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C4F532" w14:textId="77777777" w:rsidR="00D6379C" w:rsidRPr="00146330" w:rsidRDefault="00D6379C" w:rsidP="00114953">
      <w:pPr>
        <w:jc w:val="center"/>
        <w:rPr>
          <w:rFonts w:ascii="Times New Roman" w:hAnsi="Times New Roman" w:cs="Times New Roman"/>
          <w:b/>
          <w:sz w:val="36"/>
          <w:szCs w:val="36"/>
          <w:lang w:val="lv-LV"/>
        </w:rPr>
      </w:pPr>
    </w:p>
    <w:p w14:paraId="37FF83F0" w14:textId="77777777" w:rsidR="00D6379C" w:rsidRDefault="00D6379C" w:rsidP="00114953">
      <w:pPr>
        <w:jc w:val="center"/>
        <w:rPr>
          <w:rFonts w:ascii="Times New Roman" w:hAnsi="Times New Roman" w:cs="Times New Roman"/>
          <w:b/>
          <w:sz w:val="36"/>
          <w:szCs w:val="36"/>
        </w:rPr>
      </w:pPr>
    </w:p>
    <w:p w14:paraId="607562EE" w14:textId="77777777" w:rsidR="00114953" w:rsidRPr="0048534C" w:rsidRDefault="00114953" w:rsidP="00114953">
      <w:pPr>
        <w:jc w:val="center"/>
        <w:rPr>
          <w:rFonts w:ascii="Times New Roman" w:hAnsi="Times New Roman" w:cs="Times New Roman"/>
          <w:b/>
          <w:sz w:val="36"/>
          <w:szCs w:val="36"/>
        </w:rPr>
      </w:pPr>
      <w:proofErr w:type="spellStart"/>
      <w:r w:rsidRPr="0048534C">
        <w:rPr>
          <w:rFonts w:ascii="Times New Roman" w:hAnsi="Times New Roman" w:cs="Times New Roman"/>
          <w:b/>
          <w:sz w:val="36"/>
          <w:szCs w:val="36"/>
        </w:rPr>
        <w:t>Pētījums</w:t>
      </w:r>
      <w:proofErr w:type="spellEnd"/>
      <w:r w:rsidRPr="0048534C">
        <w:rPr>
          <w:rFonts w:ascii="Times New Roman" w:hAnsi="Times New Roman" w:cs="Times New Roman"/>
          <w:b/>
          <w:sz w:val="36"/>
          <w:szCs w:val="36"/>
        </w:rPr>
        <w:t xml:space="preserve"> </w:t>
      </w:r>
    </w:p>
    <w:p w14:paraId="12612F03" w14:textId="77777777" w:rsidR="00114953" w:rsidRDefault="00114953" w:rsidP="00114953">
      <w:pPr>
        <w:jc w:val="center"/>
        <w:rPr>
          <w:rFonts w:ascii="Times New Roman" w:hAnsi="Times New Roman" w:cs="Times New Roman"/>
          <w:b/>
          <w:sz w:val="36"/>
          <w:szCs w:val="36"/>
        </w:rPr>
      </w:pPr>
    </w:p>
    <w:p w14:paraId="355544CE" w14:textId="77777777" w:rsidR="00114953" w:rsidRDefault="00114953" w:rsidP="00114953">
      <w:pPr>
        <w:jc w:val="center"/>
        <w:rPr>
          <w:rFonts w:ascii="Times New Roman" w:hAnsi="Times New Roman" w:cs="Times New Roman"/>
          <w:b/>
          <w:sz w:val="36"/>
          <w:szCs w:val="36"/>
        </w:rPr>
      </w:pPr>
    </w:p>
    <w:p w14:paraId="233D6DF3" w14:textId="77777777" w:rsidR="00114953" w:rsidRDefault="00114953" w:rsidP="00114953">
      <w:pPr>
        <w:jc w:val="center"/>
        <w:rPr>
          <w:rFonts w:ascii="Times New Roman" w:hAnsi="Times New Roman" w:cs="Times New Roman"/>
          <w:b/>
          <w:sz w:val="36"/>
          <w:szCs w:val="36"/>
        </w:rPr>
      </w:pPr>
    </w:p>
    <w:p w14:paraId="06AFD853" w14:textId="77777777" w:rsidR="00114953" w:rsidRDefault="00114953" w:rsidP="00114953">
      <w:pPr>
        <w:jc w:val="center"/>
        <w:rPr>
          <w:rFonts w:ascii="Times New Roman" w:hAnsi="Times New Roman" w:cs="Times New Roman"/>
          <w:b/>
          <w:sz w:val="36"/>
          <w:szCs w:val="36"/>
        </w:rPr>
      </w:pPr>
    </w:p>
    <w:p w14:paraId="230AA1D9" w14:textId="77777777" w:rsidR="00114953" w:rsidRDefault="00114953" w:rsidP="00114953">
      <w:pPr>
        <w:jc w:val="center"/>
        <w:rPr>
          <w:rFonts w:ascii="Times New Roman" w:hAnsi="Times New Roman" w:cs="Times New Roman"/>
          <w:b/>
          <w:sz w:val="36"/>
          <w:szCs w:val="36"/>
        </w:rPr>
      </w:pPr>
    </w:p>
    <w:p w14:paraId="69EFD66D" w14:textId="77777777" w:rsidR="00114953" w:rsidRDefault="00114953" w:rsidP="00114953">
      <w:pPr>
        <w:jc w:val="center"/>
        <w:rPr>
          <w:rFonts w:ascii="Times New Roman" w:hAnsi="Times New Roman" w:cs="Times New Roman"/>
          <w:b/>
          <w:sz w:val="36"/>
          <w:szCs w:val="36"/>
        </w:rPr>
      </w:pPr>
      <w:r>
        <w:rPr>
          <w:rFonts w:ascii="Times New Roman" w:hAnsi="Times New Roman" w:cs="Times New Roman"/>
          <w:b/>
          <w:sz w:val="36"/>
          <w:szCs w:val="36"/>
        </w:rPr>
        <w:t xml:space="preserve">Par </w:t>
      </w:r>
      <w:proofErr w:type="spellStart"/>
      <w:r>
        <w:rPr>
          <w:rFonts w:ascii="Times New Roman" w:hAnsi="Times New Roman" w:cs="Times New Roman"/>
          <w:b/>
          <w:sz w:val="36"/>
          <w:szCs w:val="36"/>
        </w:rPr>
        <w:t>atsevišķu</w:t>
      </w:r>
      <w:proofErr w:type="spellEnd"/>
      <w:r>
        <w:rPr>
          <w:rFonts w:ascii="Times New Roman" w:hAnsi="Times New Roman" w:cs="Times New Roman"/>
          <w:b/>
          <w:sz w:val="36"/>
          <w:szCs w:val="36"/>
        </w:rPr>
        <w:t xml:space="preserve"> </w:t>
      </w:r>
      <w:proofErr w:type="spellStart"/>
      <w:r>
        <w:rPr>
          <w:rFonts w:ascii="Times New Roman" w:hAnsi="Times New Roman" w:cs="Times New Roman"/>
          <w:b/>
          <w:sz w:val="36"/>
          <w:szCs w:val="36"/>
        </w:rPr>
        <w:t>dokumentu</w:t>
      </w:r>
      <w:proofErr w:type="spellEnd"/>
      <w:r>
        <w:rPr>
          <w:rFonts w:ascii="Times New Roman" w:hAnsi="Times New Roman" w:cs="Times New Roman"/>
          <w:b/>
          <w:sz w:val="36"/>
          <w:szCs w:val="36"/>
        </w:rPr>
        <w:t xml:space="preserve"> </w:t>
      </w:r>
      <w:proofErr w:type="spellStart"/>
      <w:r>
        <w:rPr>
          <w:rFonts w:ascii="Times New Roman" w:hAnsi="Times New Roman" w:cs="Times New Roman"/>
          <w:b/>
          <w:sz w:val="36"/>
          <w:szCs w:val="36"/>
        </w:rPr>
        <w:t>veidiem</w:t>
      </w:r>
      <w:proofErr w:type="spellEnd"/>
      <w:r w:rsidRPr="0048534C">
        <w:rPr>
          <w:rFonts w:ascii="Times New Roman" w:hAnsi="Times New Roman" w:cs="Times New Roman"/>
          <w:b/>
          <w:sz w:val="36"/>
          <w:szCs w:val="36"/>
        </w:rPr>
        <w:t xml:space="preserve"> </w:t>
      </w:r>
      <w:proofErr w:type="spellStart"/>
      <w:r w:rsidRPr="0048534C">
        <w:rPr>
          <w:rFonts w:ascii="Times New Roman" w:hAnsi="Times New Roman" w:cs="Times New Roman"/>
          <w:b/>
          <w:sz w:val="36"/>
          <w:szCs w:val="36"/>
        </w:rPr>
        <w:t>notāru</w:t>
      </w:r>
      <w:proofErr w:type="spellEnd"/>
      <w:r w:rsidRPr="0048534C">
        <w:rPr>
          <w:rFonts w:ascii="Times New Roman" w:hAnsi="Times New Roman" w:cs="Times New Roman"/>
          <w:b/>
          <w:sz w:val="36"/>
          <w:szCs w:val="36"/>
        </w:rPr>
        <w:t xml:space="preserve"> </w:t>
      </w:r>
      <w:proofErr w:type="spellStart"/>
      <w:r w:rsidRPr="0048534C">
        <w:rPr>
          <w:rFonts w:ascii="Times New Roman" w:hAnsi="Times New Roman" w:cs="Times New Roman"/>
          <w:b/>
          <w:sz w:val="36"/>
          <w:szCs w:val="36"/>
        </w:rPr>
        <w:t>darbā</w:t>
      </w:r>
      <w:proofErr w:type="spellEnd"/>
      <w:r w:rsidRPr="0048534C">
        <w:rPr>
          <w:rFonts w:ascii="Times New Roman" w:hAnsi="Times New Roman" w:cs="Times New Roman"/>
          <w:b/>
          <w:sz w:val="36"/>
          <w:szCs w:val="36"/>
        </w:rPr>
        <w:t xml:space="preserve"> </w:t>
      </w:r>
      <w:proofErr w:type="spellStart"/>
      <w:r w:rsidRPr="0048534C">
        <w:rPr>
          <w:rFonts w:ascii="Times New Roman" w:hAnsi="Times New Roman" w:cs="Times New Roman"/>
          <w:b/>
          <w:sz w:val="36"/>
          <w:szCs w:val="36"/>
        </w:rPr>
        <w:t>starptautisko</w:t>
      </w:r>
      <w:proofErr w:type="spellEnd"/>
      <w:r w:rsidRPr="0048534C">
        <w:rPr>
          <w:rFonts w:ascii="Times New Roman" w:hAnsi="Times New Roman" w:cs="Times New Roman"/>
          <w:b/>
          <w:sz w:val="36"/>
          <w:szCs w:val="36"/>
        </w:rPr>
        <w:t xml:space="preserve"> </w:t>
      </w:r>
      <w:proofErr w:type="spellStart"/>
      <w:r w:rsidRPr="0048534C">
        <w:rPr>
          <w:rFonts w:ascii="Times New Roman" w:hAnsi="Times New Roman" w:cs="Times New Roman"/>
          <w:b/>
          <w:sz w:val="36"/>
          <w:szCs w:val="36"/>
        </w:rPr>
        <w:t>privāttiesību</w:t>
      </w:r>
      <w:proofErr w:type="spellEnd"/>
      <w:r w:rsidRPr="0048534C">
        <w:rPr>
          <w:rFonts w:ascii="Times New Roman" w:hAnsi="Times New Roman" w:cs="Times New Roman"/>
          <w:b/>
          <w:sz w:val="36"/>
          <w:szCs w:val="36"/>
        </w:rPr>
        <w:t xml:space="preserve"> </w:t>
      </w:r>
      <w:proofErr w:type="spellStart"/>
      <w:r w:rsidRPr="0048534C">
        <w:rPr>
          <w:rFonts w:ascii="Times New Roman" w:hAnsi="Times New Roman" w:cs="Times New Roman"/>
          <w:b/>
          <w:sz w:val="36"/>
          <w:szCs w:val="36"/>
        </w:rPr>
        <w:t>kontekstā</w:t>
      </w:r>
      <w:proofErr w:type="spellEnd"/>
    </w:p>
    <w:p w14:paraId="3101F036" w14:textId="77777777" w:rsidR="00114953" w:rsidRDefault="00114953" w:rsidP="00114953">
      <w:pPr>
        <w:jc w:val="center"/>
        <w:rPr>
          <w:rFonts w:ascii="Times New Roman" w:hAnsi="Times New Roman" w:cs="Times New Roman"/>
          <w:b/>
          <w:sz w:val="36"/>
          <w:szCs w:val="36"/>
        </w:rPr>
      </w:pPr>
    </w:p>
    <w:p w14:paraId="32690E93" w14:textId="77777777" w:rsidR="00114953" w:rsidRDefault="00114953" w:rsidP="00114953">
      <w:pPr>
        <w:jc w:val="center"/>
        <w:rPr>
          <w:rFonts w:ascii="Times New Roman" w:hAnsi="Times New Roman" w:cs="Times New Roman"/>
          <w:b/>
          <w:sz w:val="36"/>
          <w:szCs w:val="36"/>
        </w:rPr>
      </w:pPr>
    </w:p>
    <w:p w14:paraId="0360F7C5" w14:textId="77777777" w:rsidR="00114953" w:rsidRDefault="00114953" w:rsidP="00114953">
      <w:pPr>
        <w:jc w:val="center"/>
        <w:rPr>
          <w:rFonts w:ascii="Times New Roman" w:hAnsi="Times New Roman" w:cs="Times New Roman"/>
          <w:b/>
          <w:sz w:val="36"/>
          <w:szCs w:val="36"/>
        </w:rPr>
      </w:pPr>
    </w:p>
    <w:p w14:paraId="3A0DF64A" w14:textId="77777777" w:rsidR="00114953" w:rsidRDefault="00114953" w:rsidP="00114953">
      <w:pPr>
        <w:jc w:val="center"/>
        <w:rPr>
          <w:rFonts w:ascii="Times New Roman" w:hAnsi="Times New Roman" w:cs="Times New Roman"/>
          <w:b/>
          <w:sz w:val="36"/>
          <w:szCs w:val="36"/>
        </w:rPr>
      </w:pPr>
    </w:p>
    <w:p w14:paraId="44AE57CA" w14:textId="77777777" w:rsidR="00114953" w:rsidRDefault="00114953" w:rsidP="00114953">
      <w:pPr>
        <w:jc w:val="center"/>
        <w:rPr>
          <w:rFonts w:ascii="Times New Roman" w:hAnsi="Times New Roman" w:cs="Times New Roman"/>
          <w:b/>
          <w:sz w:val="36"/>
          <w:szCs w:val="36"/>
        </w:rPr>
      </w:pPr>
    </w:p>
    <w:p w14:paraId="6F6AB13A" w14:textId="77777777" w:rsidR="00114953" w:rsidRDefault="00114953" w:rsidP="00114953">
      <w:pPr>
        <w:jc w:val="center"/>
        <w:rPr>
          <w:rFonts w:ascii="Times New Roman" w:hAnsi="Times New Roman" w:cs="Times New Roman"/>
          <w:b/>
          <w:sz w:val="36"/>
          <w:szCs w:val="36"/>
        </w:rPr>
      </w:pPr>
    </w:p>
    <w:p w14:paraId="6B1DFDE5" w14:textId="77777777" w:rsidR="00114953" w:rsidRDefault="00114953" w:rsidP="00114953">
      <w:pPr>
        <w:jc w:val="center"/>
        <w:rPr>
          <w:rFonts w:ascii="Times New Roman" w:hAnsi="Times New Roman" w:cs="Times New Roman"/>
          <w:b/>
          <w:sz w:val="36"/>
          <w:szCs w:val="36"/>
        </w:rPr>
      </w:pPr>
    </w:p>
    <w:p w14:paraId="78A235E5" w14:textId="77777777" w:rsidR="00114953" w:rsidRDefault="00114953" w:rsidP="00114953">
      <w:pPr>
        <w:jc w:val="center"/>
        <w:rPr>
          <w:rFonts w:ascii="Times New Roman" w:hAnsi="Times New Roman" w:cs="Times New Roman"/>
          <w:b/>
          <w:sz w:val="36"/>
          <w:szCs w:val="36"/>
        </w:rPr>
      </w:pPr>
    </w:p>
    <w:p w14:paraId="01FA8E34" w14:textId="77777777" w:rsidR="00114953" w:rsidRPr="004D22FA" w:rsidRDefault="00114953" w:rsidP="00114953">
      <w:pPr>
        <w:jc w:val="center"/>
        <w:rPr>
          <w:rFonts w:ascii="Times New Roman" w:hAnsi="Times New Roman" w:cs="Times New Roman"/>
          <w:b/>
          <w:sz w:val="36"/>
          <w:szCs w:val="36"/>
          <w:lang w:val="lv-LV"/>
        </w:rPr>
      </w:pPr>
    </w:p>
    <w:p w14:paraId="042E05AF" w14:textId="77777777" w:rsidR="00114953" w:rsidRDefault="00114953" w:rsidP="00114953">
      <w:pPr>
        <w:jc w:val="center"/>
        <w:rPr>
          <w:rFonts w:ascii="Times New Roman" w:hAnsi="Times New Roman" w:cs="Times New Roman"/>
          <w:b/>
          <w:sz w:val="36"/>
          <w:szCs w:val="36"/>
        </w:rPr>
      </w:pPr>
    </w:p>
    <w:p w14:paraId="749CC52B" w14:textId="77777777" w:rsidR="00114953" w:rsidRDefault="00114953" w:rsidP="00114953">
      <w:pPr>
        <w:jc w:val="center"/>
        <w:rPr>
          <w:rFonts w:ascii="Times New Roman" w:hAnsi="Times New Roman" w:cs="Times New Roman"/>
          <w:b/>
          <w:sz w:val="36"/>
          <w:szCs w:val="36"/>
        </w:rPr>
      </w:pPr>
    </w:p>
    <w:p w14:paraId="3D44F51A" w14:textId="77777777" w:rsidR="00114953" w:rsidRPr="00E53135" w:rsidRDefault="00114953" w:rsidP="00114953">
      <w:pPr>
        <w:jc w:val="center"/>
        <w:rPr>
          <w:rFonts w:ascii="Times New Roman" w:hAnsi="Times New Roman" w:cs="Times New Roman"/>
          <w:sz w:val="28"/>
          <w:szCs w:val="28"/>
        </w:rPr>
      </w:pPr>
      <w:proofErr w:type="spellStart"/>
      <w:r w:rsidRPr="00E53135">
        <w:rPr>
          <w:rFonts w:ascii="Times New Roman" w:hAnsi="Times New Roman" w:cs="Times New Roman"/>
          <w:sz w:val="28"/>
          <w:szCs w:val="28"/>
        </w:rPr>
        <w:t>Dr.iur</w:t>
      </w:r>
      <w:proofErr w:type="spellEnd"/>
      <w:r w:rsidRPr="00E53135">
        <w:rPr>
          <w:rFonts w:ascii="Times New Roman" w:hAnsi="Times New Roman" w:cs="Times New Roman"/>
          <w:sz w:val="28"/>
          <w:szCs w:val="28"/>
        </w:rPr>
        <w:t xml:space="preserve">. </w:t>
      </w:r>
      <w:proofErr w:type="spellStart"/>
      <w:r w:rsidRPr="00E53135">
        <w:rPr>
          <w:rFonts w:ascii="Times New Roman" w:hAnsi="Times New Roman" w:cs="Times New Roman"/>
          <w:sz w:val="28"/>
          <w:szCs w:val="28"/>
        </w:rPr>
        <w:t>Baiba</w:t>
      </w:r>
      <w:proofErr w:type="spellEnd"/>
      <w:r w:rsidRPr="00E53135">
        <w:rPr>
          <w:rFonts w:ascii="Times New Roman" w:hAnsi="Times New Roman" w:cs="Times New Roman"/>
          <w:sz w:val="28"/>
          <w:szCs w:val="28"/>
        </w:rPr>
        <w:t xml:space="preserve"> </w:t>
      </w:r>
      <w:proofErr w:type="spellStart"/>
      <w:r w:rsidRPr="00E53135">
        <w:rPr>
          <w:rFonts w:ascii="Times New Roman" w:hAnsi="Times New Roman" w:cs="Times New Roman"/>
          <w:sz w:val="28"/>
          <w:szCs w:val="28"/>
        </w:rPr>
        <w:t>Rudevska</w:t>
      </w:r>
      <w:proofErr w:type="spellEnd"/>
    </w:p>
    <w:p w14:paraId="197BC622" w14:textId="77777777" w:rsidR="00114953" w:rsidRPr="00E53135" w:rsidRDefault="00114953" w:rsidP="00114953">
      <w:pPr>
        <w:jc w:val="center"/>
        <w:rPr>
          <w:rFonts w:ascii="Times New Roman" w:hAnsi="Times New Roman" w:cs="Times New Roman"/>
          <w:sz w:val="28"/>
          <w:szCs w:val="28"/>
        </w:rPr>
      </w:pPr>
    </w:p>
    <w:p w14:paraId="3C6CB81B" w14:textId="77777777" w:rsidR="00114953" w:rsidRPr="00E53135" w:rsidRDefault="00114953" w:rsidP="00114953">
      <w:pPr>
        <w:jc w:val="center"/>
        <w:rPr>
          <w:rFonts w:ascii="Times New Roman" w:hAnsi="Times New Roman" w:cs="Times New Roman"/>
          <w:sz w:val="28"/>
          <w:szCs w:val="28"/>
        </w:rPr>
      </w:pPr>
    </w:p>
    <w:p w14:paraId="31DFAEAA" w14:textId="77777777" w:rsidR="00114953" w:rsidRDefault="00114953" w:rsidP="00114953">
      <w:pPr>
        <w:jc w:val="center"/>
        <w:rPr>
          <w:rFonts w:ascii="Times New Roman" w:hAnsi="Times New Roman" w:cs="Times New Roman"/>
          <w:sz w:val="28"/>
          <w:szCs w:val="28"/>
        </w:rPr>
      </w:pPr>
    </w:p>
    <w:p w14:paraId="6D3C74D7" w14:textId="77777777" w:rsidR="00114953" w:rsidRDefault="00114953" w:rsidP="00114953">
      <w:pPr>
        <w:jc w:val="center"/>
        <w:rPr>
          <w:rFonts w:ascii="Times New Roman" w:hAnsi="Times New Roman" w:cs="Times New Roman"/>
          <w:sz w:val="28"/>
          <w:szCs w:val="28"/>
        </w:rPr>
      </w:pPr>
    </w:p>
    <w:p w14:paraId="435B4814" w14:textId="77777777" w:rsidR="00114953" w:rsidRDefault="00114953" w:rsidP="00114953">
      <w:pPr>
        <w:jc w:val="center"/>
        <w:rPr>
          <w:rFonts w:ascii="Times New Roman" w:hAnsi="Times New Roman" w:cs="Times New Roman"/>
          <w:sz w:val="28"/>
          <w:szCs w:val="28"/>
        </w:rPr>
      </w:pPr>
    </w:p>
    <w:p w14:paraId="1FE8F75E" w14:textId="77777777" w:rsidR="00114953" w:rsidRDefault="00114953" w:rsidP="00114953">
      <w:pPr>
        <w:jc w:val="center"/>
        <w:rPr>
          <w:rFonts w:ascii="Times New Roman" w:hAnsi="Times New Roman" w:cs="Times New Roman"/>
          <w:sz w:val="28"/>
          <w:szCs w:val="28"/>
        </w:rPr>
      </w:pPr>
    </w:p>
    <w:p w14:paraId="47668B4B" w14:textId="77777777" w:rsidR="00114953" w:rsidRDefault="00114953" w:rsidP="00114953">
      <w:pPr>
        <w:jc w:val="center"/>
        <w:rPr>
          <w:rFonts w:ascii="Times New Roman" w:hAnsi="Times New Roman" w:cs="Times New Roman"/>
          <w:sz w:val="28"/>
          <w:szCs w:val="28"/>
        </w:rPr>
      </w:pPr>
    </w:p>
    <w:p w14:paraId="43FA9449" w14:textId="77777777" w:rsidR="00114953" w:rsidRDefault="00114953" w:rsidP="00114953">
      <w:pPr>
        <w:jc w:val="center"/>
        <w:rPr>
          <w:rFonts w:ascii="Times New Roman" w:hAnsi="Times New Roman" w:cs="Times New Roman"/>
          <w:sz w:val="28"/>
          <w:szCs w:val="28"/>
        </w:rPr>
      </w:pPr>
    </w:p>
    <w:p w14:paraId="7F179EC4" w14:textId="77777777" w:rsidR="00114953" w:rsidRDefault="00114953" w:rsidP="00114953">
      <w:pPr>
        <w:jc w:val="center"/>
        <w:rPr>
          <w:rFonts w:ascii="Times New Roman" w:hAnsi="Times New Roman" w:cs="Times New Roman"/>
          <w:sz w:val="28"/>
          <w:szCs w:val="28"/>
        </w:rPr>
      </w:pPr>
    </w:p>
    <w:p w14:paraId="4832B4C5" w14:textId="6306E746" w:rsidR="00114953" w:rsidRPr="00BF3A72" w:rsidRDefault="004D22FA" w:rsidP="00114953">
      <w:pPr>
        <w:jc w:val="center"/>
        <w:rPr>
          <w:rFonts w:ascii="Times New Roman" w:hAnsi="Times New Roman" w:cs="Times New Roman"/>
          <w:sz w:val="28"/>
          <w:szCs w:val="28"/>
        </w:rPr>
      </w:pPr>
      <w:r>
        <w:rPr>
          <w:rFonts w:ascii="Times New Roman" w:hAnsi="Times New Roman" w:cs="Times New Roman"/>
          <w:sz w:val="28"/>
          <w:szCs w:val="28"/>
        </w:rPr>
        <w:t>2017.</w:t>
      </w:r>
      <w:r w:rsidRPr="00C91762">
        <w:rPr>
          <w:rFonts w:ascii="Times New Roman" w:hAnsi="Times New Roman" w:cs="Times New Roman"/>
          <w:sz w:val="28"/>
          <w:szCs w:val="28"/>
        </w:rPr>
        <w:t xml:space="preserve">gada </w:t>
      </w:r>
      <w:proofErr w:type="gramStart"/>
      <w:r w:rsidR="007463DB" w:rsidRPr="00C91762">
        <w:rPr>
          <w:rFonts w:ascii="Times New Roman" w:hAnsi="Times New Roman" w:cs="Times New Roman"/>
          <w:sz w:val="28"/>
          <w:szCs w:val="28"/>
        </w:rPr>
        <w:t>4</w:t>
      </w:r>
      <w:r w:rsidRPr="00C91762">
        <w:rPr>
          <w:rFonts w:ascii="Times New Roman" w:hAnsi="Times New Roman" w:cs="Times New Roman"/>
          <w:sz w:val="28"/>
          <w:szCs w:val="28"/>
        </w:rPr>
        <w:t>.august</w:t>
      </w:r>
      <w:r w:rsidR="00114953" w:rsidRPr="00C91762">
        <w:rPr>
          <w:rFonts w:ascii="Times New Roman" w:hAnsi="Times New Roman" w:cs="Times New Roman"/>
          <w:sz w:val="28"/>
          <w:szCs w:val="28"/>
        </w:rPr>
        <w:t>ā</w:t>
      </w:r>
      <w:proofErr w:type="gramEnd"/>
    </w:p>
    <w:p w14:paraId="5C4DD53D" w14:textId="77777777" w:rsidR="00114953" w:rsidRDefault="00114953" w:rsidP="00114953">
      <w:pPr>
        <w:rPr>
          <w:rFonts w:ascii="Times New Roman" w:hAnsi="Times New Roman" w:cs="Times New Roman"/>
          <w:b/>
          <w:sz w:val="28"/>
          <w:szCs w:val="28"/>
        </w:rPr>
      </w:pPr>
    </w:p>
    <w:p w14:paraId="30FA5FAD" w14:textId="77777777" w:rsidR="00114953" w:rsidRDefault="00114953" w:rsidP="00114953">
      <w:pPr>
        <w:jc w:val="center"/>
        <w:rPr>
          <w:rFonts w:ascii="Times New Roman" w:hAnsi="Times New Roman" w:cs="Times New Roman"/>
          <w:b/>
          <w:sz w:val="28"/>
          <w:szCs w:val="28"/>
        </w:rPr>
      </w:pPr>
    </w:p>
    <w:p w14:paraId="10353383" w14:textId="77777777" w:rsidR="00114953" w:rsidRDefault="00114953" w:rsidP="00114953">
      <w:pPr>
        <w:rPr>
          <w:rFonts w:ascii="Times New Roman" w:hAnsi="Times New Roman" w:cs="Times New Roman"/>
          <w:b/>
          <w:sz w:val="28"/>
          <w:szCs w:val="28"/>
        </w:rPr>
      </w:pPr>
    </w:p>
    <w:p w14:paraId="6405DCE3" w14:textId="77777777" w:rsidR="00114953" w:rsidRDefault="00114953" w:rsidP="00114953">
      <w:pPr>
        <w:jc w:val="center"/>
        <w:rPr>
          <w:rFonts w:ascii="Times New Roman" w:hAnsi="Times New Roman" w:cs="Times New Roman"/>
          <w:b/>
          <w:sz w:val="28"/>
          <w:szCs w:val="28"/>
        </w:rPr>
      </w:pPr>
    </w:p>
    <w:p w14:paraId="4FF7E86D" w14:textId="77777777" w:rsidR="00114953" w:rsidRDefault="00114953" w:rsidP="00114953">
      <w:pPr>
        <w:jc w:val="center"/>
        <w:rPr>
          <w:rFonts w:ascii="Times New Roman" w:hAnsi="Times New Roman" w:cs="Times New Roman"/>
          <w:b/>
          <w:sz w:val="28"/>
          <w:szCs w:val="28"/>
        </w:rPr>
      </w:pPr>
    </w:p>
    <w:p w14:paraId="749C7004" w14:textId="77777777" w:rsidR="00114953" w:rsidRDefault="00114953" w:rsidP="00D6379C">
      <w:pPr>
        <w:jc w:val="both"/>
        <w:rPr>
          <w:rFonts w:ascii="Times New Roman" w:hAnsi="Times New Roman" w:cs="Times New Roman"/>
          <w:b/>
          <w:sz w:val="28"/>
          <w:szCs w:val="28"/>
        </w:rPr>
      </w:pPr>
    </w:p>
    <w:p w14:paraId="3082422A" w14:textId="77777777" w:rsidR="00D6379C" w:rsidRDefault="00D6379C" w:rsidP="00D6379C">
      <w:pPr>
        <w:jc w:val="both"/>
        <w:rPr>
          <w:rFonts w:ascii="Times New Roman" w:hAnsi="Times New Roman" w:cs="Times New Roman"/>
          <w:b/>
          <w:sz w:val="28"/>
          <w:szCs w:val="28"/>
        </w:rPr>
      </w:pPr>
    </w:p>
    <w:p w14:paraId="103110B7" w14:textId="77777777" w:rsidR="00114953" w:rsidRDefault="00114953" w:rsidP="00114953">
      <w:pPr>
        <w:jc w:val="center"/>
        <w:rPr>
          <w:rFonts w:ascii="Times New Roman" w:hAnsi="Times New Roman" w:cs="Times New Roman"/>
          <w:b/>
          <w:sz w:val="28"/>
          <w:szCs w:val="28"/>
        </w:rPr>
      </w:pPr>
      <w:r>
        <w:rPr>
          <w:rFonts w:ascii="Times New Roman" w:hAnsi="Times New Roman" w:cs="Times New Roman"/>
          <w:b/>
          <w:sz w:val="28"/>
          <w:szCs w:val="28"/>
        </w:rPr>
        <w:t>I. </w:t>
      </w:r>
      <w:proofErr w:type="spellStart"/>
      <w:r>
        <w:rPr>
          <w:rFonts w:ascii="Times New Roman" w:hAnsi="Times New Roman" w:cs="Times New Roman"/>
          <w:b/>
          <w:sz w:val="28"/>
          <w:szCs w:val="28"/>
        </w:rPr>
        <w:t>Pētījumā</w:t>
      </w:r>
      <w:proofErr w:type="spellEnd"/>
      <w:r>
        <w:rPr>
          <w:rFonts w:ascii="Times New Roman" w:hAnsi="Times New Roman" w:cs="Times New Roman"/>
          <w:b/>
          <w:sz w:val="28"/>
          <w:szCs w:val="28"/>
        </w:rPr>
        <w:t xml:space="preserve"> </w:t>
      </w:r>
      <w:proofErr w:type="spellStart"/>
      <w:r>
        <w:rPr>
          <w:rFonts w:ascii="Times New Roman" w:hAnsi="Times New Roman" w:cs="Times New Roman"/>
          <w:b/>
          <w:sz w:val="28"/>
          <w:szCs w:val="28"/>
        </w:rPr>
        <w:t>uzdotie</w:t>
      </w:r>
      <w:proofErr w:type="spellEnd"/>
      <w:r>
        <w:rPr>
          <w:rFonts w:ascii="Times New Roman" w:hAnsi="Times New Roman" w:cs="Times New Roman"/>
          <w:b/>
          <w:sz w:val="28"/>
          <w:szCs w:val="28"/>
        </w:rPr>
        <w:t xml:space="preserve"> </w:t>
      </w:r>
      <w:proofErr w:type="spellStart"/>
      <w:r>
        <w:rPr>
          <w:rFonts w:ascii="Times New Roman" w:hAnsi="Times New Roman" w:cs="Times New Roman"/>
          <w:b/>
          <w:sz w:val="28"/>
          <w:szCs w:val="28"/>
        </w:rPr>
        <w:t>jautājumi</w:t>
      </w:r>
      <w:proofErr w:type="spellEnd"/>
    </w:p>
    <w:p w14:paraId="455AEC96" w14:textId="77777777" w:rsidR="00114953" w:rsidRDefault="00114953" w:rsidP="00114953">
      <w:pPr>
        <w:jc w:val="center"/>
        <w:rPr>
          <w:rFonts w:ascii="Times New Roman" w:hAnsi="Times New Roman" w:cs="Times New Roman"/>
          <w:b/>
          <w:sz w:val="28"/>
          <w:szCs w:val="28"/>
        </w:rPr>
      </w:pPr>
    </w:p>
    <w:p w14:paraId="4C33017F" w14:textId="77777777" w:rsidR="00114953" w:rsidRDefault="00114953" w:rsidP="00114953">
      <w:pPr>
        <w:jc w:val="center"/>
        <w:rPr>
          <w:rFonts w:ascii="Times New Roman" w:hAnsi="Times New Roman" w:cs="Times New Roman"/>
          <w:b/>
          <w:sz w:val="28"/>
          <w:szCs w:val="28"/>
        </w:rPr>
      </w:pPr>
    </w:p>
    <w:p w14:paraId="5BCD3828" w14:textId="1D0F81C3" w:rsidR="00114953" w:rsidRDefault="00114953" w:rsidP="00114953">
      <w:pPr>
        <w:jc w:val="both"/>
        <w:rPr>
          <w:rFonts w:ascii="Times New Roman" w:hAnsi="Times New Roman" w:cs="Times New Roman"/>
        </w:rPr>
      </w:pPr>
      <w:r>
        <w:rPr>
          <w:rFonts w:ascii="Times New Roman" w:hAnsi="Times New Roman" w:cs="Times New Roman"/>
        </w:rPr>
        <w:t xml:space="preserve">1. </w:t>
      </w:r>
      <w:proofErr w:type="spellStart"/>
      <w:r>
        <w:rPr>
          <w:rFonts w:ascii="Times New Roman" w:hAnsi="Times New Roman" w:cs="Times New Roman"/>
        </w:rPr>
        <w:t>Kādas</w:t>
      </w:r>
      <w:proofErr w:type="spellEnd"/>
      <w:r>
        <w:rPr>
          <w:rFonts w:ascii="Times New Roman" w:hAnsi="Times New Roman" w:cs="Times New Roman"/>
        </w:rPr>
        <w:t xml:space="preserve"> </w:t>
      </w:r>
      <w:proofErr w:type="spellStart"/>
      <w:r>
        <w:rPr>
          <w:rFonts w:ascii="Times New Roman" w:hAnsi="Times New Roman" w:cs="Times New Roman"/>
        </w:rPr>
        <w:t>kolīziju</w:t>
      </w:r>
      <w:proofErr w:type="spellEnd"/>
      <w:r>
        <w:rPr>
          <w:rFonts w:ascii="Times New Roman" w:hAnsi="Times New Roman" w:cs="Times New Roman"/>
        </w:rPr>
        <w:t xml:space="preserve"> normas </w:t>
      </w:r>
      <w:proofErr w:type="spellStart"/>
      <w:r>
        <w:rPr>
          <w:rFonts w:ascii="Times New Roman" w:hAnsi="Times New Roman" w:cs="Times New Roman"/>
        </w:rPr>
        <w:t>regulē</w:t>
      </w:r>
      <w:proofErr w:type="spellEnd"/>
      <w:r>
        <w:rPr>
          <w:rFonts w:ascii="Times New Roman" w:hAnsi="Times New Roman" w:cs="Times New Roman"/>
        </w:rPr>
        <w:t xml:space="preserve"> </w:t>
      </w:r>
      <w:proofErr w:type="spellStart"/>
      <w:r>
        <w:rPr>
          <w:rFonts w:ascii="Times New Roman" w:hAnsi="Times New Roman" w:cs="Times New Roman"/>
        </w:rPr>
        <w:t>jautājumu</w:t>
      </w:r>
      <w:proofErr w:type="spellEnd"/>
      <w:r>
        <w:rPr>
          <w:rFonts w:ascii="Times New Roman" w:hAnsi="Times New Roman" w:cs="Times New Roman"/>
        </w:rPr>
        <w:t xml:space="preserve"> par </w:t>
      </w:r>
      <w:proofErr w:type="spellStart"/>
      <w:r>
        <w:rPr>
          <w:rFonts w:ascii="Times New Roman" w:hAnsi="Times New Roman" w:cs="Times New Roman"/>
        </w:rPr>
        <w:t>ārvalstīs</w:t>
      </w:r>
      <w:proofErr w:type="spellEnd"/>
      <w:r>
        <w:rPr>
          <w:rFonts w:ascii="Times New Roman" w:hAnsi="Times New Roman" w:cs="Times New Roman"/>
        </w:rPr>
        <w:t xml:space="preserve"> </w:t>
      </w:r>
      <w:proofErr w:type="spellStart"/>
      <w:r>
        <w:rPr>
          <w:rFonts w:ascii="Times New Roman" w:hAnsi="Times New Roman" w:cs="Times New Roman"/>
        </w:rPr>
        <w:t>izdota</w:t>
      </w:r>
      <w:proofErr w:type="spellEnd"/>
      <w:r>
        <w:rPr>
          <w:rFonts w:ascii="Times New Roman" w:hAnsi="Times New Roman" w:cs="Times New Roman"/>
        </w:rPr>
        <w:t xml:space="preserve"> </w:t>
      </w:r>
      <w:proofErr w:type="spellStart"/>
      <w:r>
        <w:rPr>
          <w:rFonts w:ascii="Times New Roman" w:hAnsi="Times New Roman" w:cs="Times New Roman"/>
        </w:rPr>
        <w:t>dokumenta</w:t>
      </w:r>
      <w:proofErr w:type="spellEnd"/>
      <w:r>
        <w:rPr>
          <w:rFonts w:ascii="Times New Roman" w:hAnsi="Times New Roman" w:cs="Times New Roman"/>
        </w:rPr>
        <w:t>, k</w:t>
      </w:r>
      <w:r w:rsidR="002564F3">
        <w:rPr>
          <w:rFonts w:ascii="Times New Roman" w:hAnsi="Times New Roman" w:cs="Times New Roman"/>
        </w:rPr>
        <w:t xml:space="preserve">as </w:t>
      </w:r>
      <w:proofErr w:type="spellStart"/>
      <w:r w:rsidR="002564F3">
        <w:rPr>
          <w:rFonts w:ascii="Times New Roman" w:hAnsi="Times New Roman" w:cs="Times New Roman"/>
        </w:rPr>
        <w:t>apliecina</w:t>
      </w:r>
      <w:proofErr w:type="spellEnd"/>
      <w:r w:rsidR="002564F3">
        <w:rPr>
          <w:rFonts w:ascii="Times New Roman" w:hAnsi="Times New Roman" w:cs="Times New Roman"/>
        </w:rPr>
        <w:t xml:space="preserve"> </w:t>
      </w:r>
      <w:proofErr w:type="spellStart"/>
      <w:r w:rsidR="002564F3">
        <w:rPr>
          <w:rFonts w:ascii="Times New Roman" w:hAnsi="Times New Roman" w:cs="Times New Roman"/>
        </w:rPr>
        <w:t>fiziskas</w:t>
      </w:r>
      <w:proofErr w:type="spellEnd"/>
      <w:r w:rsidR="002564F3">
        <w:rPr>
          <w:rFonts w:ascii="Times New Roman" w:hAnsi="Times New Roman" w:cs="Times New Roman"/>
        </w:rPr>
        <w:t xml:space="preserve"> </w:t>
      </w:r>
      <w:proofErr w:type="spellStart"/>
      <w:r w:rsidR="002564F3">
        <w:rPr>
          <w:rFonts w:ascii="Times New Roman" w:hAnsi="Times New Roman" w:cs="Times New Roman"/>
        </w:rPr>
        <w:t>personas</w:t>
      </w:r>
      <w:proofErr w:type="spellEnd"/>
      <w:r w:rsidR="002564F3">
        <w:rPr>
          <w:rFonts w:ascii="Times New Roman" w:hAnsi="Times New Roman" w:cs="Times New Roman"/>
        </w:rPr>
        <w:t xml:space="preserve"> </w:t>
      </w:r>
      <w:proofErr w:type="spellStart"/>
      <w:r>
        <w:rPr>
          <w:rFonts w:ascii="Times New Roman" w:hAnsi="Times New Roman" w:cs="Times New Roman"/>
        </w:rPr>
        <w:t>rīcībspēju</w:t>
      </w:r>
      <w:proofErr w:type="spellEnd"/>
      <w:r>
        <w:rPr>
          <w:rFonts w:ascii="Times New Roman" w:hAnsi="Times New Roman" w:cs="Times New Roman"/>
        </w:rPr>
        <w:t xml:space="preserve"> un </w:t>
      </w:r>
      <w:proofErr w:type="spellStart"/>
      <w:r>
        <w:rPr>
          <w:rFonts w:ascii="Times New Roman" w:hAnsi="Times New Roman" w:cs="Times New Roman"/>
        </w:rPr>
        <w:t>pārstāvības</w:t>
      </w:r>
      <w:proofErr w:type="spellEnd"/>
      <w:r>
        <w:rPr>
          <w:rFonts w:ascii="Times New Roman" w:hAnsi="Times New Roman" w:cs="Times New Roman"/>
        </w:rPr>
        <w:t xml:space="preserve"> </w:t>
      </w:r>
      <w:proofErr w:type="spellStart"/>
      <w:r>
        <w:rPr>
          <w:rFonts w:ascii="Times New Roman" w:hAnsi="Times New Roman" w:cs="Times New Roman"/>
        </w:rPr>
        <w:t>tiesības</w:t>
      </w:r>
      <w:proofErr w:type="spellEnd"/>
      <w:r>
        <w:rPr>
          <w:rFonts w:ascii="Times New Roman" w:hAnsi="Times New Roman" w:cs="Times New Roman"/>
        </w:rPr>
        <w:t xml:space="preserve"> un </w:t>
      </w:r>
      <w:proofErr w:type="spellStart"/>
      <w:r>
        <w:rPr>
          <w:rFonts w:ascii="Times New Roman" w:hAnsi="Times New Roman" w:cs="Times New Roman"/>
        </w:rPr>
        <w:t>juridiskās</w:t>
      </w:r>
      <w:proofErr w:type="spellEnd"/>
      <w:r>
        <w:rPr>
          <w:rFonts w:ascii="Times New Roman" w:hAnsi="Times New Roman" w:cs="Times New Roman"/>
        </w:rPr>
        <w:t xml:space="preserve"> </w:t>
      </w:r>
      <w:proofErr w:type="spellStart"/>
      <w:r>
        <w:rPr>
          <w:rFonts w:ascii="Times New Roman" w:hAnsi="Times New Roman" w:cs="Times New Roman"/>
        </w:rPr>
        <w:t>personas</w:t>
      </w:r>
      <w:proofErr w:type="spellEnd"/>
      <w:r>
        <w:rPr>
          <w:rFonts w:ascii="Times New Roman" w:hAnsi="Times New Roman" w:cs="Times New Roman"/>
        </w:rPr>
        <w:t xml:space="preserve"> </w:t>
      </w:r>
      <w:proofErr w:type="spellStart"/>
      <w:r>
        <w:rPr>
          <w:rFonts w:ascii="Times New Roman" w:hAnsi="Times New Roman" w:cs="Times New Roman"/>
        </w:rPr>
        <w:t>tiesībspēju</w:t>
      </w:r>
      <w:proofErr w:type="spellEnd"/>
      <w:r>
        <w:rPr>
          <w:rFonts w:ascii="Times New Roman" w:hAnsi="Times New Roman" w:cs="Times New Roman"/>
        </w:rPr>
        <w:t xml:space="preserve"> un </w:t>
      </w:r>
      <w:proofErr w:type="spellStart"/>
      <w:r>
        <w:rPr>
          <w:rFonts w:ascii="Times New Roman" w:hAnsi="Times New Roman" w:cs="Times New Roman"/>
        </w:rPr>
        <w:t>pārstāvju</w:t>
      </w:r>
      <w:proofErr w:type="spellEnd"/>
      <w:r>
        <w:rPr>
          <w:rFonts w:ascii="Times New Roman" w:hAnsi="Times New Roman" w:cs="Times New Roman"/>
        </w:rPr>
        <w:t xml:space="preserve"> </w:t>
      </w:r>
      <w:proofErr w:type="spellStart"/>
      <w:r>
        <w:rPr>
          <w:rFonts w:ascii="Times New Roman" w:hAnsi="Times New Roman" w:cs="Times New Roman"/>
        </w:rPr>
        <w:t>pilnvaras</w:t>
      </w:r>
      <w:proofErr w:type="spellEnd"/>
      <w:r>
        <w:rPr>
          <w:rFonts w:ascii="Times New Roman" w:hAnsi="Times New Roman" w:cs="Times New Roman"/>
        </w:rPr>
        <w:t xml:space="preserve">, </w:t>
      </w:r>
      <w:proofErr w:type="spellStart"/>
      <w:r>
        <w:rPr>
          <w:rFonts w:ascii="Times New Roman" w:hAnsi="Times New Roman" w:cs="Times New Roman"/>
        </w:rPr>
        <w:t>izmantošanu</w:t>
      </w:r>
      <w:proofErr w:type="spellEnd"/>
      <w:r>
        <w:rPr>
          <w:rFonts w:ascii="Times New Roman" w:hAnsi="Times New Roman" w:cs="Times New Roman"/>
        </w:rPr>
        <w:t xml:space="preserve"> </w:t>
      </w:r>
      <w:proofErr w:type="spellStart"/>
      <w:r>
        <w:rPr>
          <w:rFonts w:ascii="Times New Roman" w:hAnsi="Times New Roman" w:cs="Times New Roman"/>
        </w:rPr>
        <w:t>Latvijā</w:t>
      </w:r>
      <w:proofErr w:type="spellEnd"/>
      <w:r>
        <w:rPr>
          <w:rFonts w:ascii="Times New Roman" w:hAnsi="Times New Roman" w:cs="Times New Roman"/>
        </w:rPr>
        <w:t xml:space="preserve"> ? </w:t>
      </w:r>
      <w:proofErr w:type="spellStart"/>
      <w:r>
        <w:rPr>
          <w:rFonts w:ascii="Times New Roman" w:hAnsi="Times New Roman" w:cs="Times New Roman"/>
        </w:rPr>
        <w:t>Kāds</w:t>
      </w:r>
      <w:proofErr w:type="spellEnd"/>
      <w:r>
        <w:rPr>
          <w:rFonts w:ascii="Times New Roman" w:hAnsi="Times New Roman" w:cs="Times New Roman"/>
        </w:rPr>
        <w:t xml:space="preserve"> </w:t>
      </w:r>
      <w:proofErr w:type="spellStart"/>
      <w:r>
        <w:rPr>
          <w:rFonts w:ascii="Times New Roman" w:hAnsi="Times New Roman" w:cs="Times New Roman"/>
        </w:rPr>
        <w:t>ir</w:t>
      </w:r>
      <w:proofErr w:type="spellEnd"/>
      <w:r>
        <w:rPr>
          <w:rFonts w:ascii="Times New Roman" w:hAnsi="Times New Roman" w:cs="Times New Roman"/>
        </w:rPr>
        <w:t xml:space="preserve"> </w:t>
      </w:r>
      <w:proofErr w:type="spellStart"/>
      <w:r>
        <w:rPr>
          <w:rFonts w:ascii="Times New Roman" w:hAnsi="Times New Roman" w:cs="Times New Roman"/>
        </w:rPr>
        <w:t>šo</w:t>
      </w:r>
      <w:proofErr w:type="spellEnd"/>
      <w:r>
        <w:rPr>
          <w:rFonts w:ascii="Times New Roman" w:hAnsi="Times New Roman" w:cs="Times New Roman"/>
        </w:rPr>
        <w:t xml:space="preserve"> SPT </w:t>
      </w:r>
      <w:proofErr w:type="spellStart"/>
      <w:r>
        <w:rPr>
          <w:rFonts w:ascii="Times New Roman" w:hAnsi="Times New Roman" w:cs="Times New Roman"/>
        </w:rPr>
        <w:t>kolīziju</w:t>
      </w:r>
      <w:proofErr w:type="spellEnd"/>
      <w:r>
        <w:rPr>
          <w:rFonts w:ascii="Times New Roman" w:hAnsi="Times New Roman" w:cs="Times New Roman"/>
        </w:rPr>
        <w:t xml:space="preserve"> </w:t>
      </w:r>
      <w:proofErr w:type="spellStart"/>
      <w:r>
        <w:rPr>
          <w:rFonts w:ascii="Times New Roman" w:hAnsi="Times New Roman" w:cs="Times New Roman"/>
        </w:rPr>
        <w:t>normu</w:t>
      </w:r>
      <w:proofErr w:type="spellEnd"/>
      <w:r>
        <w:rPr>
          <w:rFonts w:ascii="Times New Roman" w:hAnsi="Times New Roman" w:cs="Times New Roman"/>
        </w:rPr>
        <w:t xml:space="preserve"> </w:t>
      </w:r>
      <w:proofErr w:type="spellStart"/>
      <w:r>
        <w:rPr>
          <w:rFonts w:ascii="Times New Roman" w:hAnsi="Times New Roman" w:cs="Times New Roman"/>
        </w:rPr>
        <w:t>saturs</w:t>
      </w:r>
      <w:proofErr w:type="spellEnd"/>
      <w:r>
        <w:rPr>
          <w:rFonts w:ascii="Times New Roman" w:hAnsi="Times New Roman" w:cs="Times New Roman"/>
        </w:rPr>
        <w:t xml:space="preserve">, un </w:t>
      </w:r>
      <w:proofErr w:type="spellStart"/>
      <w:r>
        <w:rPr>
          <w:rFonts w:ascii="Times New Roman" w:hAnsi="Times New Roman" w:cs="Times New Roman"/>
        </w:rPr>
        <w:t>kādi</w:t>
      </w:r>
      <w:proofErr w:type="spellEnd"/>
      <w:r>
        <w:rPr>
          <w:rFonts w:ascii="Times New Roman" w:hAnsi="Times New Roman" w:cs="Times New Roman"/>
        </w:rPr>
        <w:t xml:space="preserve"> </w:t>
      </w:r>
      <w:proofErr w:type="spellStart"/>
      <w:r>
        <w:rPr>
          <w:rFonts w:ascii="Times New Roman" w:hAnsi="Times New Roman" w:cs="Times New Roman"/>
        </w:rPr>
        <w:t>ir</w:t>
      </w:r>
      <w:proofErr w:type="spellEnd"/>
      <w:r>
        <w:rPr>
          <w:rFonts w:ascii="Times New Roman" w:hAnsi="Times New Roman" w:cs="Times New Roman"/>
        </w:rPr>
        <w:t xml:space="preserve"> </w:t>
      </w:r>
      <w:proofErr w:type="spellStart"/>
      <w:r>
        <w:rPr>
          <w:rFonts w:ascii="Times New Roman" w:hAnsi="Times New Roman" w:cs="Times New Roman"/>
        </w:rPr>
        <w:t>piemērošanas</w:t>
      </w:r>
      <w:proofErr w:type="spellEnd"/>
      <w:r>
        <w:rPr>
          <w:rFonts w:ascii="Times New Roman" w:hAnsi="Times New Roman" w:cs="Times New Roman"/>
        </w:rPr>
        <w:t xml:space="preserve"> </w:t>
      </w:r>
      <w:proofErr w:type="spellStart"/>
      <w:r>
        <w:rPr>
          <w:rFonts w:ascii="Times New Roman" w:hAnsi="Times New Roman" w:cs="Times New Roman"/>
        </w:rPr>
        <w:t>noteikumi</w:t>
      </w:r>
      <w:proofErr w:type="spellEnd"/>
      <w:r>
        <w:rPr>
          <w:rFonts w:ascii="Times New Roman" w:hAnsi="Times New Roman" w:cs="Times New Roman"/>
        </w:rPr>
        <w:t> ?</w:t>
      </w:r>
    </w:p>
    <w:p w14:paraId="6AF03A42" w14:textId="77777777" w:rsidR="00114953" w:rsidRDefault="00114953" w:rsidP="00114953">
      <w:pPr>
        <w:jc w:val="both"/>
        <w:rPr>
          <w:rFonts w:ascii="Times New Roman" w:hAnsi="Times New Roman" w:cs="Times New Roman"/>
        </w:rPr>
      </w:pPr>
    </w:p>
    <w:p w14:paraId="1CF7ED1D" w14:textId="78572142" w:rsidR="00114953" w:rsidRDefault="00114953" w:rsidP="00114953">
      <w:pPr>
        <w:jc w:val="both"/>
        <w:rPr>
          <w:rFonts w:ascii="Times New Roman" w:hAnsi="Times New Roman" w:cs="Times New Roman"/>
        </w:rPr>
      </w:pPr>
      <w:r>
        <w:rPr>
          <w:rFonts w:ascii="Times New Roman" w:hAnsi="Times New Roman" w:cs="Times New Roman"/>
        </w:rPr>
        <w:t xml:space="preserve">2. </w:t>
      </w:r>
      <w:proofErr w:type="spellStart"/>
      <w:r>
        <w:rPr>
          <w:rFonts w:ascii="Times New Roman" w:hAnsi="Times New Roman" w:cs="Times New Roman"/>
        </w:rPr>
        <w:t>Kādi</w:t>
      </w:r>
      <w:proofErr w:type="spellEnd"/>
      <w:r>
        <w:rPr>
          <w:rFonts w:ascii="Times New Roman" w:hAnsi="Times New Roman" w:cs="Times New Roman"/>
        </w:rPr>
        <w:t xml:space="preserve"> </w:t>
      </w:r>
      <w:proofErr w:type="spellStart"/>
      <w:r>
        <w:rPr>
          <w:rFonts w:ascii="Times New Roman" w:hAnsi="Times New Roman" w:cs="Times New Roman"/>
        </w:rPr>
        <w:t>ir</w:t>
      </w:r>
      <w:proofErr w:type="spellEnd"/>
      <w:r>
        <w:rPr>
          <w:rFonts w:ascii="Times New Roman" w:hAnsi="Times New Roman" w:cs="Times New Roman"/>
        </w:rPr>
        <w:t xml:space="preserve"> </w:t>
      </w:r>
      <w:proofErr w:type="spellStart"/>
      <w:r>
        <w:rPr>
          <w:rFonts w:ascii="Times New Roman" w:hAnsi="Times New Roman" w:cs="Times New Roman"/>
        </w:rPr>
        <w:t>Latvijā</w:t>
      </w:r>
      <w:proofErr w:type="spellEnd"/>
      <w:r>
        <w:rPr>
          <w:rFonts w:ascii="Times New Roman" w:hAnsi="Times New Roman" w:cs="Times New Roman"/>
        </w:rPr>
        <w:t xml:space="preserve"> </w:t>
      </w:r>
      <w:proofErr w:type="spellStart"/>
      <w:r>
        <w:rPr>
          <w:rFonts w:ascii="Times New Roman" w:hAnsi="Times New Roman" w:cs="Times New Roman"/>
        </w:rPr>
        <w:t>izmantojamo</w:t>
      </w:r>
      <w:proofErr w:type="spellEnd"/>
      <w:r>
        <w:rPr>
          <w:rFonts w:ascii="Times New Roman" w:hAnsi="Times New Roman" w:cs="Times New Roman"/>
        </w:rPr>
        <w:t xml:space="preserve"> </w:t>
      </w:r>
      <w:proofErr w:type="spellStart"/>
      <w:r>
        <w:rPr>
          <w:rFonts w:ascii="Times New Roman" w:hAnsi="Times New Roman" w:cs="Times New Roman"/>
        </w:rPr>
        <w:t>ārvalstu</w:t>
      </w:r>
      <w:proofErr w:type="spellEnd"/>
      <w:r>
        <w:rPr>
          <w:rFonts w:ascii="Times New Roman" w:hAnsi="Times New Roman" w:cs="Times New Roman"/>
        </w:rPr>
        <w:t xml:space="preserve"> </w:t>
      </w:r>
      <w:proofErr w:type="spellStart"/>
      <w:r>
        <w:rPr>
          <w:rFonts w:ascii="Times New Roman" w:hAnsi="Times New Roman" w:cs="Times New Roman"/>
        </w:rPr>
        <w:t>dokumentu</w:t>
      </w:r>
      <w:proofErr w:type="spellEnd"/>
      <w:r>
        <w:rPr>
          <w:rFonts w:ascii="Times New Roman" w:hAnsi="Times New Roman" w:cs="Times New Roman"/>
        </w:rPr>
        <w:t xml:space="preserve"> formas </w:t>
      </w:r>
      <w:proofErr w:type="spellStart"/>
      <w:r>
        <w:rPr>
          <w:rFonts w:ascii="Times New Roman" w:hAnsi="Times New Roman" w:cs="Times New Roman"/>
        </w:rPr>
        <w:t>vē</w:t>
      </w:r>
      <w:r w:rsidR="00CA6703">
        <w:rPr>
          <w:rFonts w:ascii="Times New Roman" w:hAnsi="Times New Roman" w:cs="Times New Roman"/>
        </w:rPr>
        <w:t>rtēšanas</w:t>
      </w:r>
      <w:proofErr w:type="spellEnd"/>
      <w:r w:rsidR="00CA6703">
        <w:rPr>
          <w:rFonts w:ascii="Times New Roman" w:hAnsi="Times New Roman" w:cs="Times New Roman"/>
        </w:rPr>
        <w:t xml:space="preserve"> </w:t>
      </w:r>
      <w:proofErr w:type="spellStart"/>
      <w:r w:rsidR="00CA6703">
        <w:rPr>
          <w:rFonts w:ascii="Times New Roman" w:hAnsi="Times New Roman" w:cs="Times New Roman"/>
        </w:rPr>
        <w:t>kritēriji</w:t>
      </w:r>
      <w:proofErr w:type="spellEnd"/>
      <w:r w:rsidR="00CA6703">
        <w:rPr>
          <w:rFonts w:ascii="Times New Roman" w:hAnsi="Times New Roman" w:cs="Times New Roman"/>
        </w:rPr>
        <w:t xml:space="preserve"> un </w:t>
      </w:r>
      <w:proofErr w:type="spellStart"/>
      <w:proofErr w:type="gramStart"/>
      <w:r w:rsidR="00CA6703">
        <w:rPr>
          <w:rFonts w:ascii="Times New Roman" w:hAnsi="Times New Roman" w:cs="Times New Roman"/>
        </w:rPr>
        <w:t>noteikumi</w:t>
      </w:r>
      <w:proofErr w:type="spellEnd"/>
      <w:r>
        <w:rPr>
          <w:rFonts w:ascii="Times New Roman" w:hAnsi="Times New Roman" w:cs="Times New Roman"/>
        </w:rPr>
        <w:t>?</w:t>
      </w:r>
      <w:proofErr w:type="gramEnd"/>
    </w:p>
    <w:p w14:paraId="6E50442E" w14:textId="77777777" w:rsidR="00114953" w:rsidRDefault="00114953" w:rsidP="00114953">
      <w:pPr>
        <w:jc w:val="both"/>
        <w:rPr>
          <w:rFonts w:ascii="Times New Roman" w:hAnsi="Times New Roman" w:cs="Times New Roman"/>
        </w:rPr>
      </w:pPr>
    </w:p>
    <w:p w14:paraId="18547FF7" w14:textId="46645A7F" w:rsidR="00114953" w:rsidRDefault="00114953" w:rsidP="00114953">
      <w:pPr>
        <w:jc w:val="both"/>
        <w:rPr>
          <w:rFonts w:ascii="Times New Roman" w:hAnsi="Times New Roman" w:cs="Times New Roman"/>
        </w:rPr>
      </w:pPr>
      <w:r>
        <w:rPr>
          <w:rFonts w:ascii="Times New Roman" w:hAnsi="Times New Roman" w:cs="Times New Roman"/>
        </w:rPr>
        <w:t xml:space="preserve">3. </w:t>
      </w:r>
      <w:proofErr w:type="spellStart"/>
      <w:r>
        <w:rPr>
          <w:rFonts w:ascii="Times New Roman" w:hAnsi="Times New Roman" w:cs="Times New Roman"/>
        </w:rPr>
        <w:t>Kādi</w:t>
      </w:r>
      <w:proofErr w:type="spellEnd"/>
      <w:r>
        <w:rPr>
          <w:rFonts w:ascii="Times New Roman" w:hAnsi="Times New Roman" w:cs="Times New Roman"/>
        </w:rPr>
        <w:t xml:space="preserve"> </w:t>
      </w:r>
      <w:proofErr w:type="spellStart"/>
      <w:r>
        <w:rPr>
          <w:rFonts w:ascii="Times New Roman" w:hAnsi="Times New Roman" w:cs="Times New Roman"/>
        </w:rPr>
        <w:t>ir</w:t>
      </w:r>
      <w:proofErr w:type="spellEnd"/>
      <w:r>
        <w:rPr>
          <w:rFonts w:ascii="Times New Roman" w:hAnsi="Times New Roman" w:cs="Times New Roman"/>
        </w:rPr>
        <w:t xml:space="preserve"> </w:t>
      </w:r>
      <w:proofErr w:type="spellStart"/>
      <w:r>
        <w:rPr>
          <w:rFonts w:ascii="Times New Roman" w:hAnsi="Times New Roman" w:cs="Times New Roman"/>
        </w:rPr>
        <w:t>Latvijā</w:t>
      </w:r>
      <w:proofErr w:type="spellEnd"/>
      <w:r>
        <w:rPr>
          <w:rFonts w:ascii="Times New Roman" w:hAnsi="Times New Roman" w:cs="Times New Roman"/>
        </w:rPr>
        <w:t xml:space="preserve"> </w:t>
      </w:r>
      <w:proofErr w:type="spellStart"/>
      <w:r>
        <w:rPr>
          <w:rFonts w:ascii="Times New Roman" w:hAnsi="Times New Roman" w:cs="Times New Roman"/>
        </w:rPr>
        <w:t>izmantojamo</w:t>
      </w:r>
      <w:proofErr w:type="spellEnd"/>
      <w:r>
        <w:rPr>
          <w:rFonts w:ascii="Times New Roman" w:hAnsi="Times New Roman" w:cs="Times New Roman"/>
        </w:rPr>
        <w:t xml:space="preserve"> </w:t>
      </w:r>
      <w:proofErr w:type="spellStart"/>
      <w:r>
        <w:rPr>
          <w:rFonts w:ascii="Times New Roman" w:hAnsi="Times New Roman" w:cs="Times New Roman"/>
        </w:rPr>
        <w:t>ārvalstu</w:t>
      </w:r>
      <w:proofErr w:type="spellEnd"/>
      <w:r>
        <w:rPr>
          <w:rFonts w:ascii="Times New Roman" w:hAnsi="Times New Roman" w:cs="Times New Roman"/>
        </w:rPr>
        <w:t xml:space="preserve"> </w:t>
      </w:r>
      <w:proofErr w:type="spellStart"/>
      <w:r>
        <w:rPr>
          <w:rFonts w:ascii="Times New Roman" w:hAnsi="Times New Roman" w:cs="Times New Roman"/>
        </w:rPr>
        <w:t>dokumentu</w:t>
      </w:r>
      <w:proofErr w:type="spellEnd"/>
      <w:r>
        <w:rPr>
          <w:rFonts w:ascii="Times New Roman" w:hAnsi="Times New Roman" w:cs="Times New Roman"/>
        </w:rPr>
        <w:t xml:space="preserve"> satura </w:t>
      </w:r>
      <w:proofErr w:type="spellStart"/>
      <w:r>
        <w:rPr>
          <w:rFonts w:ascii="Times New Roman" w:hAnsi="Times New Roman" w:cs="Times New Roman"/>
        </w:rPr>
        <w:t>vē</w:t>
      </w:r>
      <w:r w:rsidR="00CA6703">
        <w:rPr>
          <w:rFonts w:ascii="Times New Roman" w:hAnsi="Times New Roman" w:cs="Times New Roman"/>
        </w:rPr>
        <w:t>rtēšanas</w:t>
      </w:r>
      <w:proofErr w:type="spellEnd"/>
      <w:r w:rsidR="00CA6703">
        <w:rPr>
          <w:rFonts w:ascii="Times New Roman" w:hAnsi="Times New Roman" w:cs="Times New Roman"/>
        </w:rPr>
        <w:t xml:space="preserve"> </w:t>
      </w:r>
      <w:proofErr w:type="spellStart"/>
      <w:r w:rsidR="00CA6703">
        <w:rPr>
          <w:rFonts w:ascii="Times New Roman" w:hAnsi="Times New Roman" w:cs="Times New Roman"/>
        </w:rPr>
        <w:t>kritēriji</w:t>
      </w:r>
      <w:proofErr w:type="spellEnd"/>
      <w:r w:rsidR="00CA6703">
        <w:rPr>
          <w:rFonts w:ascii="Times New Roman" w:hAnsi="Times New Roman" w:cs="Times New Roman"/>
        </w:rPr>
        <w:t xml:space="preserve"> un </w:t>
      </w:r>
      <w:proofErr w:type="spellStart"/>
      <w:proofErr w:type="gramStart"/>
      <w:r w:rsidR="00CA6703">
        <w:rPr>
          <w:rFonts w:ascii="Times New Roman" w:hAnsi="Times New Roman" w:cs="Times New Roman"/>
        </w:rPr>
        <w:t>noteikumi</w:t>
      </w:r>
      <w:proofErr w:type="spellEnd"/>
      <w:r>
        <w:rPr>
          <w:rFonts w:ascii="Times New Roman" w:hAnsi="Times New Roman" w:cs="Times New Roman"/>
        </w:rPr>
        <w:t>?</w:t>
      </w:r>
      <w:proofErr w:type="gramEnd"/>
    </w:p>
    <w:p w14:paraId="7CBDE5E4" w14:textId="77777777" w:rsidR="00114953" w:rsidRDefault="00114953" w:rsidP="00114953">
      <w:pPr>
        <w:jc w:val="both"/>
        <w:rPr>
          <w:rFonts w:ascii="Times New Roman" w:hAnsi="Times New Roman" w:cs="Times New Roman"/>
        </w:rPr>
      </w:pPr>
    </w:p>
    <w:p w14:paraId="1C2960C1" w14:textId="3E74A8FB" w:rsidR="00114953" w:rsidRDefault="00114953" w:rsidP="00114953">
      <w:pPr>
        <w:jc w:val="both"/>
        <w:rPr>
          <w:rFonts w:ascii="Times New Roman" w:hAnsi="Times New Roman" w:cs="Times New Roman"/>
        </w:rPr>
      </w:pPr>
      <w:r>
        <w:rPr>
          <w:rFonts w:ascii="Times New Roman" w:hAnsi="Times New Roman" w:cs="Times New Roman"/>
        </w:rPr>
        <w:t xml:space="preserve">4. </w:t>
      </w:r>
      <w:proofErr w:type="spellStart"/>
      <w:r>
        <w:rPr>
          <w:rFonts w:ascii="Times New Roman" w:hAnsi="Times New Roman" w:cs="Times New Roman"/>
        </w:rPr>
        <w:t>Kādām</w:t>
      </w:r>
      <w:proofErr w:type="spellEnd"/>
      <w:r>
        <w:rPr>
          <w:rFonts w:ascii="Times New Roman" w:hAnsi="Times New Roman" w:cs="Times New Roman"/>
        </w:rPr>
        <w:t xml:space="preserve"> </w:t>
      </w:r>
      <w:proofErr w:type="spellStart"/>
      <w:r>
        <w:rPr>
          <w:rFonts w:ascii="Times New Roman" w:hAnsi="Times New Roman" w:cs="Times New Roman"/>
        </w:rPr>
        <w:t>prasībām</w:t>
      </w:r>
      <w:proofErr w:type="spellEnd"/>
      <w:r>
        <w:rPr>
          <w:rFonts w:ascii="Times New Roman" w:hAnsi="Times New Roman" w:cs="Times New Roman"/>
        </w:rPr>
        <w:t xml:space="preserve"> </w:t>
      </w:r>
      <w:proofErr w:type="spellStart"/>
      <w:r>
        <w:rPr>
          <w:rFonts w:ascii="Times New Roman" w:hAnsi="Times New Roman" w:cs="Times New Roman"/>
        </w:rPr>
        <w:t>jāatbilst</w:t>
      </w:r>
      <w:proofErr w:type="spellEnd"/>
      <w:r>
        <w:rPr>
          <w:rFonts w:ascii="Times New Roman" w:hAnsi="Times New Roman" w:cs="Times New Roman"/>
        </w:rPr>
        <w:t xml:space="preserve"> </w:t>
      </w:r>
      <w:proofErr w:type="spellStart"/>
      <w:r>
        <w:rPr>
          <w:rFonts w:ascii="Times New Roman" w:hAnsi="Times New Roman" w:cs="Times New Roman"/>
        </w:rPr>
        <w:t>ārvalstu</w:t>
      </w:r>
      <w:proofErr w:type="spellEnd"/>
      <w:r>
        <w:rPr>
          <w:rFonts w:ascii="Times New Roman" w:hAnsi="Times New Roman" w:cs="Times New Roman"/>
        </w:rPr>
        <w:t xml:space="preserve"> </w:t>
      </w:r>
      <w:proofErr w:type="spellStart"/>
      <w:r>
        <w:rPr>
          <w:rFonts w:ascii="Times New Roman" w:hAnsi="Times New Roman" w:cs="Times New Roman"/>
        </w:rPr>
        <w:t>dokumentu</w:t>
      </w:r>
      <w:proofErr w:type="spellEnd"/>
      <w:r>
        <w:rPr>
          <w:rFonts w:ascii="Times New Roman" w:hAnsi="Times New Roman" w:cs="Times New Roman"/>
        </w:rPr>
        <w:t xml:space="preserve"> formai un </w:t>
      </w:r>
      <w:proofErr w:type="spellStart"/>
      <w:r>
        <w:rPr>
          <w:rFonts w:ascii="Times New Roman" w:hAnsi="Times New Roman" w:cs="Times New Roman"/>
        </w:rPr>
        <w:t>saturam</w:t>
      </w:r>
      <w:proofErr w:type="spellEnd"/>
      <w:r>
        <w:rPr>
          <w:rFonts w:ascii="Times New Roman" w:hAnsi="Times New Roman" w:cs="Times New Roman"/>
        </w:rPr>
        <w:t xml:space="preserve">, lai Latvijas </w:t>
      </w:r>
      <w:proofErr w:type="spellStart"/>
      <w:r>
        <w:rPr>
          <w:rFonts w:ascii="Times New Roman" w:hAnsi="Times New Roman" w:cs="Times New Roman"/>
        </w:rPr>
        <w:t>zvērināts</w:t>
      </w:r>
      <w:proofErr w:type="spellEnd"/>
      <w:r>
        <w:rPr>
          <w:rFonts w:ascii="Times New Roman" w:hAnsi="Times New Roman" w:cs="Times New Roman"/>
        </w:rPr>
        <w:t xml:space="preserve"> </w:t>
      </w:r>
      <w:proofErr w:type="spellStart"/>
      <w:r>
        <w:rPr>
          <w:rFonts w:ascii="Times New Roman" w:hAnsi="Times New Roman" w:cs="Times New Roman"/>
        </w:rPr>
        <w:t>notārs</w:t>
      </w:r>
      <w:proofErr w:type="spellEnd"/>
      <w:r>
        <w:rPr>
          <w:rFonts w:ascii="Times New Roman" w:hAnsi="Times New Roman" w:cs="Times New Roman"/>
        </w:rPr>
        <w:t xml:space="preserve"> </w:t>
      </w:r>
      <w:proofErr w:type="spellStart"/>
      <w:r>
        <w:rPr>
          <w:rFonts w:ascii="Times New Roman" w:hAnsi="Times New Roman" w:cs="Times New Roman"/>
        </w:rPr>
        <w:t>drīkstētu</w:t>
      </w:r>
      <w:proofErr w:type="spellEnd"/>
      <w:r>
        <w:rPr>
          <w:rFonts w:ascii="Times New Roman" w:hAnsi="Times New Roman" w:cs="Times New Roman"/>
        </w:rPr>
        <w:t xml:space="preserve"> to </w:t>
      </w:r>
      <w:proofErr w:type="spellStart"/>
      <w:r>
        <w:rPr>
          <w:rFonts w:ascii="Times New Roman" w:hAnsi="Times New Roman" w:cs="Times New Roman"/>
        </w:rPr>
        <w:t>izmantot</w:t>
      </w:r>
      <w:proofErr w:type="spellEnd"/>
      <w:r>
        <w:rPr>
          <w:rFonts w:ascii="Times New Roman" w:hAnsi="Times New Roman" w:cs="Times New Roman"/>
        </w:rPr>
        <w:t xml:space="preserve">, </w:t>
      </w:r>
      <w:proofErr w:type="spellStart"/>
      <w:r>
        <w:rPr>
          <w:rFonts w:ascii="Times New Roman" w:hAnsi="Times New Roman" w:cs="Times New Roman"/>
        </w:rPr>
        <w:t>taisot</w:t>
      </w:r>
      <w:proofErr w:type="spellEnd"/>
      <w:r>
        <w:rPr>
          <w:rFonts w:ascii="Times New Roman" w:hAnsi="Times New Roman" w:cs="Times New Roman"/>
        </w:rPr>
        <w:t xml:space="preserve"> </w:t>
      </w:r>
      <w:proofErr w:type="spellStart"/>
      <w:r>
        <w:rPr>
          <w:rFonts w:ascii="Times New Roman" w:hAnsi="Times New Roman" w:cs="Times New Roman"/>
        </w:rPr>
        <w:t>not</w:t>
      </w:r>
      <w:r w:rsidR="00CA6703">
        <w:rPr>
          <w:rFonts w:ascii="Times New Roman" w:hAnsi="Times New Roman" w:cs="Times New Roman"/>
        </w:rPr>
        <w:t>ariālos</w:t>
      </w:r>
      <w:proofErr w:type="spellEnd"/>
      <w:r w:rsidR="00CA6703">
        <w:rPr>
          <w:rFonts w:ascii="Times New Roman" w:hAnsi="Times New Roman" w:cs="Times New Roman"/>
        </w:rPr>
        <w:t xml:space="preserve"> </w:t>
      </w:r>
      <w:proofErr w:type="spellStart"/>
      <w:r w:rsidR="00CA6703">
        <w:rPr>
          <w:rFonts w:ascii="Times New Roman" w:hAnsi="Times New Roman" w:cs="Times New Roman"/>
        </w:rPr>
        <w:t>aktus</w:t>
      </w:r>
      <w:proofErr w:type="spellEnd"/>
      <w:r w:rsidR="00CA6703">
        <w:rPr>
          <w:rFonts w:ascii="Times New Roman" w:hAnsi="Times New Roman" w:cs="Times New Roman"/>
        </w:rPr>
        <w:t xml:space="preserve"> un </w:t>
      </w:r>
      <w:proofErr w:type="spellStart"/>
      <w:proofErr w:type="gramStart"/>
      <w:r w:rsidR="00CA6703">
        <w:rPr>
          <w:rFonts w:ascii="Times New Roman" w:hAnsi="Times New Roman" w:cs="Times New Roman"/>
        </w:rPr>
        <w:t>apliecinājumus</w:t>
      </w:r>
      <w:proofErr w:type="spellEnd"/>
      <w:r>
        <w:rPr>
          <w:rFonts w:ascii="Times New Roman" w:hAnsi="Times New Roman" w:cs="Times New Roman"/>
        </w:rPr>
        <w:t>?</w:t>
      </w:r>
      <w:proofErr w:type="gramEnd"/>
    </w:p>
    <w:p w14:paraId="7A718894" w14:textId="77777777" w:rsidR="00114953" w:rsidRDefault="00114953" w:rsidP="00114953">
      <w:pPr>
        <w:jc w:val="both"/>
        <w:rPr>
          <w:rFonts w:ascii="Times New Roman" w:hAnsi="Times New Roman" w:cs="Times New Roman"/>
        </w:rPr>
      </w:pPr>
    </w:p>
    <w:p w14:paraId="70918601" w14:textId="74743B4E" w:rsidR="00114953" w:rsidRPr="002564F3" w:rsidRDefault="00114953" w:rsidP="00114953">
      <w:pPr>
        <w:jc w:val="both"/>
        <w:rPr>
          <w:rFonts w:ascii="Times New Roman" w:hAnsi="Times New Roman" w:cs="Times New Roman"/>
          <w:lang w:val="de-DE"/>
        </w:rPr>
      </w:pPr>
      <w:r w:rsidRPr="002564F3">
        <w:rPr>
          <w:rFonts w:ascii="Times New Roman" w:hAnsi="Times New Roman" w:cs="Times New Roman"/>
          <w:lang w:val="de-DE"/>
        </w:rPr>
        <w:t xml:space="preserve">5. </w:t>
      </w:r>
      <w:proofErr w:type="spellStart"/>
      <w:r w:rsidRPr="002564F3">
        <w:rPr>
          <w:rFonts w:ascii="Times New Roman" w:hAnsi="Times New Roman" w:cs="Times New Roman"/>
          <w:lang w:val="de-DE"/>
        </w:rPr>
        <w:t>Kādām</w:t>
      </w:r>
      <w:proofErr w:type="spellEnd"/>
      <w:r w:rsidRPr="002564F3">
        <w:rPr>
          <w:rFonts w:ascii="Times New Roman" w:hAnsi="Times New Roman" w:cs="Times New Roman"/>
          <w:lang w:val="de-DE"/>
        </w:rPr>
        <w:t xml:space="preserve"> </w:t>
      </w:r>
      <w:proofErr w:type="spellStart"/>
      <w:r w:rsidRPr="002564F3">
        <w:rPr>
          <w:rFonts w:ascii="Times New Roman" w:hAnsi="Times New Roman" w:cs="Times New Roman"/>
          <w:lang w:val="de-DE"/>
        </w:rPr>
        <w:t>prasībām</w:t>
      </w:r>
      <w:proofErr w:type="spellEnd"/>
      <w:r w:rsidRPr="002564F3">
        <w:rPr>
          <w:rFonts w:ascii="Times New Roman" w:hAnsi="Times New Roman" w:cs="Times New Roman"/>
          <w:lang w:val="de-DE"/>
        </w:rPr>
        <w:t xml:space="preserve"> </w:t>
      </w:r>
      <w:proofErr w:type="spellStart"/>
      <w:r w:rsidRPr="002564F3">
        <w:rPr>
          <w:rFonts w:ascii="Times New Roman" w:hAnsi="Times New Roman" w:cs="Times New Roman"/>
          <w:lang w:val="de-DE"/>
        </w:rPr>
        <w:t>Latvijā</w:t>
      </w:r>
      <w:proofErr w:type="spellEnd"/>
      <w:r w:rsidRPr="002564F3">
        <w:rPr>
          <w:rFonts w:ascii="Times New Roman" w:hAnsi="Times New Roman" w:cs="Times New Roman"/>
          <w:lang w:val="de-DE"/>
        </w:rPr>
        <w:t xml:space="preserve"> </w:t>
      </w:r>
      <w:proofErr w:type="spellStart"/>
      <w:r w:rsidRPr="002564F3">
        <w:rPr>
          <w:rFonts w:ascii="Times New Roman" w:hAnsi="Times New Roman" w:cs="Times New Roman"/>
          <w:lang w:val="de-DE"/>
        </w:rPr>
        <w:t>izmantojamajam</w:t>
      </w:r>
      <w:proofErr w:type="spellEnd"/>
      <w:r w:rsidRPr="002564F3">
        <w:rPr>
          <w:rFonts w:ascii="Times New Roman" w:hAnsi="Times New Roman" w:cs="Times New Roman"/>
          <w:lang w:val="de-DE"/>
        </w:rPr>
        <w:t xml:space="preserve"> </w:t>
      </w:r>
      <w:proofErr w:type="spellStart"/>
      <w:r w:rsidRPr="002564F3">
        <w:rPr>
          <w:rFonts w:ascii="Times New Roman" w:hAnsi="Times New Roman" w:cs="Times New Roman"/>
          <w:lang w:val="de-DE"/>
        </w:rPr>
        <w:t>ārvalsts</w:t>
      </w:r>
      <w:proofErr w:type="spellEnd"/>
      <w:r w:rsidRPr="002564F3">
        <w:rPr>
          <w:rFonts w:ascii="Times New Roman" w:hAnsi="Times New Roman" w:cs="Times New Roman"/>
          <w:lang w:val="de-DE"/>
        </w:rPr>
        <w:t xml:space="preserve"> </w:t>
      </w:r>
      <w:proofErr w:type="spellStart"/>
      <w:r w:rsidRPr="002564F3">
        <w:rPr>
          <w:rFonts w:ascii="Times New Roman" w:hAnsi="Times New Roman" w:cs="Times New Roman"/>
          <w:lang w:val="de-DE"/>
        </w:rPr>
        <w:t>dokumentam</w:t>
      </w:r>
      <w:proofErr w:type="spellEnd"/>
      <w:r w:rsidRPr="002564F3">
        <w:rPr>
          <w:rFonts w:ascii="Times New Roman" w:hAnsi="Times New Roman" w:cs="Times New Roman"/>
          <w:lang w:val="de-DE"/>
        </w:rPr>
        <w:t xml:space="preserve"> </w:t>
      </w:r>
      <w:proofErr w:type="spellStart"/>
      <w:r w:rsidRPr="002564F3">
        <w:rPr>
          <w:rFonts w:ascii="Times New Roman" w:hAnsi="Times New Roman" w:cs="Times New Roman"/>
          <w:lang w:val="de-DE"/>
        </w:rPr>
        <w:t>ir</w:t>
      </w:r>
      <w:proofErr w:type="spellEnd"/>
      <w:r w:rsidR="002564F3">
        <w:rPr>
          <w:rFonts w:ascii="Times New Roman" w:hAnsi="Times New Roman" w:cs="Times New Roman"/>
          <w:lang w:val="de-DE"/>
        </w:rPr>
        <w:t xml:space="preserve"> </w:t>
      </w:r>
      <w:proofErr w:type="spellStart"/>
      <w:r w:rsidR="002564F3">
        <w:rPr>
          <w:rFonts w:ascii="Times New Roman" w:hAnsi="Times New Roman" w:cs="Times New Roman"/>
          <w:lang w:val="de-DE"/>
        </w:rPr>
        <w:t>jāatbilst</w:t>
      </w:r>
      <w:proofErr w:type="spellEnd"/>
      <w:r w:rsidR="002564F3">
        <w:rPr>
          <w:rFonts w:ascii="Times New Roman" w:hAnsi="Times New Roman" w:cs="Times New Roman"/>
          <w:lang w:val="de-DE"/>
        </w:rPr>
        <w:t xml:space="preserve">, </w:t>
      </w:r>
      <w:proofErr w:type="spellStart"/>
      <w:r w:rsidR="002564F3">
        <w:rPr>
          <w:rFonts w:ascii="Times New Roman" w:hAnsi="Times New Roman" w:cs="Times New Roman"/>
          <w:lang w:val="de-DE"/>
        </w:rPr>
        <w:t>lai</w:t>
      </w:r>
      <w:proofErr w:type="spellEnd"/>
      <w:r w:rsidR="002564F3">
        <w:rPr>
          <w:rFonts w:ascii="Times New Roman" w:hAnsi="Times New Roman" w:cs="Times New Roman"/>
          <w:lang w:val="de-DE"/>
        </w:rPr>
        <w:t xml:space="preserve"> </w:t>
      </w:r>
      <w:proofErr w:type="spellStart"/>
      <w:r w:rsidR="002564F3">
        <w:rPr>
          <w:rFonts w:ascii="Times New Roman" w:hAnsi="Times New Roman" w:cs="Times New Roman"/>
          <w:lang w:val="de-DE"/>
        </w:rPr>
        <w:t>to</w:t>
      </w:r>
      <w:proofErr w:type="spellEnd"/>
      <w:r w:rsidR="002564F3">
        <w:rPr>
          <w:rFonts w:ascii="Times New Roman" w:hAnsi="Times New Roman" w:cs="Times New Roman"/>
          <w:lang w:val="de-DE"/>
        </w:rPr>
        <w:t xml:space="preserve"> </w:t>
      </w:r>
      <w:proofErr w:type="spellStart"/>
      <w:r w:rsidR="002564F3">
        <w:rPr>
          <w:rFonts w:ascii="Times New Roman" w:hAnsi="Times New Roman" w:cs="Times New Roman"/>
          <w:lang w:val="de-DE"/>
        </w:rPr>
        <w:t>atzītu</w:t>
      </w:r>
      <w:proofErr w:type="spellEnd"/>
      <w:r w:rsidR="002564F3">
        <w:rPr>
          <w:rFonts w:ascii="Times New Roman" w:hAnsi="Times New Roman" w:cs="Times New Roman"/>
          <w:lang w:val="de-DE"/>
        </w:rPr>
        <w:t xml:space="preserve"> par „</w:t>
      </w:r>
      <w:proofErr w:type="spellStart"/>
      <w:r w:rsidR="002564F3">
        <w:rPr>
          <w:rFonts w:ascii="Times New Roman" w:hAnsi="Times New Roman" w:cs="Times New Roman"/>
          <w:lang w:val="de-DE"/>
        </w:rPr>
        <w:t>publisku</w:t>
      </w:r>
      <w:proofErr w:type="spellEnd"/>
      <w:r w:rsidR="002564F3">
        <w:rPr>
          <w:rFonts w:ascii="Times New Roman" w:hAnsi="Times New Roman" w:cs="Times New Roman"/>
          <w:lang w:val="de-DE"/>
        </w:rPr>
        <w:t xml:space="preserve"> </w:t>
      </w:r>
      <w:proofErr w:type="spellStart"/>
      <w:r w:rsidR="002564F3">
        <w:rPr>
          <w:rFonts w:ascii="Times New Roman" w:hAnsi="Times New Roman" w:cs="Times New Roman"/>
          <w:lang w:val="de-DE"/>
        </w:rPr>
        <w:t>dokumentu</w:t>
      </w:r>
      <w:proofErr w:type="spellEnd"/>
      <w:r w:rsidR="002564F3">
        <w:rPr>
          <w:rFonts w:ascii="Times New Roman" w:hAnsi="Times New Roman" w:cs="Times New Roman"/>
          <w:lang w:val="de-DE"/>
        </w:rPr>
        <w:t>“</w:t>
      </w:r>
      <w:r w:rsidRPr="002564F3">
        <w:rPr>
          <w:rFonts w:ascii="Times New Roman" w:hAnsi="Times New Roman" w:cs="Times New Roman"/>
          <w:lang w:val="de-DE"/>
        </w:rPr>
        <w:t xml:space="preserve"> </w:t>
      </w:r>
      <w:proofErr w:type="spellStart"/>
      <w:r w:rsidRPr="002564F3">
        <w:rPr>
          <w:rFonts w:ascii="Times New Roman" w:hAnsi="Times New Roman" w:cs="Times New Roman"/>
          <w:lang w:val="de-DE"/>
        </w:rPr>
        <w:t>Not</w:t>
      </w:r>
      <w:r w:rsidR="00CA6703">
        <w:rPr>
          <w:rFonts w:ascii="Times New Roman" w:hAnsi="Times New Roman" w:cs="Times New Roman"/>
          <w:lang w:val="de-DE"/>
        </w:rPr>
        <w:t>ariāta</w:t>
      </w:r>
      <w:proofErr w:type="spellEnd"/>
      <w:r w:rsidR="00CA6703">
        <w:rPr>
          <w:rFonts w:ascii="Times New Roman" w:hAnsi="Times New Roman" w:cs="Times New Roman"/>
          <w:lang w:val="de-DE"/>
        </w:rPr>
        <w:t xml:space="preserve"> </w:t>
      </w:r>
      <w:proofErr w:type="spellStart"/>
      <w:r w:rsidR="00CA6703">
        <w:rPr>
          <w:rFonts w:ascii="Times New Roman" w:hAnsi="Times New Roman" w:cs="Times New Roman"/>
          <w:lang w:val="de-DE"/>
        </w:rPr>
        <w:t>likuma</w:t>
      </w:r>
      <w:proofErr w:type="spellEnd"/>
      <w:r w:rsidR="00CA6703">
        <w:rPr>
          <w:rFonts w:ascii="Times New Roman" w:hAnsi="Times New Roman" w:cs="Times New Roman"/>
          <w:lang w:val="de-DE"/>
        </w:rPr>
        <w:t xml:space="preserve"> 83.panta </w:t>
      </w:r>
      <w:proofErr w:type="spellStart"/>
      <w:r w:rsidR="00CA6703">
        <w:rPr>
          <w:rFonts w:ascii="Times New Roman" w:hAnsi="Times New Roman" w:cs="Times New Roman"/>
          <w:lang w:val="de-DE"/>
        </w:rPr>
        <w:t>izpratnē</w:t>
      </w:r>
      <w:proofErr w:type="spellEnd"/>
      <w:r w:rsidRPr="002564F3">
        <w:rPr>
          <w:rFonts w:ascii="Times New Roman" w:hAnsi="Times New Roman" w:cs="Times New Roman"/>
          <w:lang w:val="de-DE"/>
        </w:rPr>
        <w:t>?</w:t>
      </w:r>
    </w:p>
    <w:p w14:paraId="19CED877" w14:textId="77777777" w:rsidR="00114953" w:rsidRPr="002564F3" w:rsidRDefault="00114953" w:rsidP="00114953">
      <w:pPr>
        <w:jc w:val="both"/>
        <w:rPr>
          <w:rFonts w:ascii="Times New Roman" w:hAnsi="Times New Roman" w:cs="Times New Roman"/>
          <w:lang w:val="de-DE"/>
        </w:rPr>
      </w:pPr>
    </w:p>
    <w:p w14:paraId="2F5309B3" w14:textId="5946A4B2" w:rsidR="00114953" w:rsidRPr="002564F3" w:rsidRDefault="00114953" w:rsidP="00114953">
      <w:pPr>
        <w:jc w:val="both"/>
        <w:rPr>
          <w:rFonts w:ascii="Times New Roman" w:hAnsi="Times New Roman" w:cs="Times New Roman"/>
          <w:lang w:val="de-DE"/>
        </w:rPr>
      </w:pPr>
      <w:r w:rsidRPr="002564F3">
        <w:rPr>
          <w:rFonts w:ascii="Times New Roman" w:hAnsi="Times New Roman" w:cs="Times New Roman"/>
          <w:lang w:val="de-DE"/>
        </w:rPr>
        <w:t xml:space="preserve">6. Vai </w:t>
      </w:r>
      <w:proofErr w:type="spellStart"/>
      <w:r w:rsidRPr="002564F3">
        <w:rPr>
          <w:rFonts w:ascii="Times New Roman" w:hAnsi="Times New Roman" w:cs="Times New Roman"/>
          <w:lang w:val="de-DE"/>
        </w:rPr>
        <w:t>publisks</w:t>
      </w:r>
      <w:proofErr w:type="spellEnd"/>
      <w:r w:rsidRPr="002564F3">
        <w:rPr>
          <w:rFonts w:ascii="Times New Roman" w:hAnsi="Times New Roman" w:cs="Times New Roman"/>
          <w:lang w:val="de-DE"/>
        </w:rPr>
        <w:t xml:space="preserve"> </w:t>
      </w:r>
      <w:proofErr w:type="spellStart"/>
      <w:r w:rsidRPr="002564F3">
        <w:rPr>
          <w:rFonts w:ascii="Times New Roman" w:hAnsi="Times New Roman" w:cs="Times New Roman"/>
          <w:lang w:val="de-DE"/>
        </w:rPr>
        <w:t>dokuments</w:t>
      </w:r>
      <w:proofErr w:type="spellEnd"/>
      <w:r w:rsidRPr="002564F3">
        <w:rPr>
          <w:rFonts w:ascii="Times New Roman" w:hAnsi="Times New Roman" w:cs="Times New Roman"/>
          <w:lang w:val="de-DE"/>
        </w:rPr>
        <w:t xml:space="preserve">, </w:t>
      </w:r>
      <w:proofErr w:type="spellStart"/>
      <w:r w:rsidRPr="002564F3">
        <w:rPr>
          <w:rFonts w:ascii="Times New Roman" w:hAnsi="Times New Roman" w:cs="Times New Roman"/>
          <w:lang w:val="de-DE"/>
        </w:rPr>
        <w:t>kas</w:t>
      </w:r>
      <w:proofErr w:type="spellEnd"/>
      <w:r w:rsidRPr="002564F3">
        <w:rPr>
          <w:rFonts w:ascii="Times New Roman" w:hAnsi="Times New Roman" w:cs="Times New Roman"/>
          <w:lang w:val="de-DE"/>
        </w:rPr>
        <w:t xml:space="preserve"> </w:t>
      </w:r>
      <w:proofErr w:type="spellStart"/>
      <w:r w:rsidRPr="002564F3">
        <w:rPr>
          <w:rFonts w:ascii="Times New Roman" w:hAnsi="Times New Roman" w:cs="Times New Roman"/>
          <w:lang w:val="de-DE"/>
        </w:rPr>
        <w:t>atbilst</w:t>
      </w:r>
      <w:proofErr w:type="spellEnd"/>
      <w:r w:rsidRPr="002564F3">
        <w:rPr>
          <w:rFonts w:ascii="Times New Roman" w:hAnsi="Times New Roman" w:cs="Times New Roman"/>
          <w:lang w:val="de-DE"/>
        </w:rPr>
        <w:t xml:space="preserve"> 1961.gada 5.oktobra </w:t>
      </w:r>
      <w:proofErr w:type="spellStart"/>
      <w:r w:rsidRPr="002564F3">
        <w:rPr>
          <w:rFonts w:ascii="Times New Roman" w:hAnsi="Times New Roman" w:cs="Times New Roman"/>
          <w:lang w:val="de-DE"/>
        </w:rPr>
        <w:t>Hāgas</w:t>
      </w:r>
      <w:proofErr w:type="spellEnd"/>
      <w:r w:rsidRPr="002564F3">
        <w:rPr>
          <w:rFonts w:ascii="Times New Roman" w:hAnsi="Times New Roman" w:cs="Times New Roman"/>
          <w:lang w:val="de-DE"/>
        </w:rPr>
        <w:t xml:space="preserve"> </w:t>
      </w:r>
      <w:proofErr w:type="spellStart"/>
      <w:r w:rsidRPr="002564F3">
        <w:rPr>
          <w:rFonts w:ascii="Times New Roman" w:hAnsi="Times New Roman" w:cs="Times New Roman"/>
          <w:lang w:val="de-DE"/>
        </w:rPr>
        <w:t>konvencijai</w:t>
      </w:r>
      <w:proofErr w:type="spellEnd"/>
      <w:r w:rsidRPr="002564F3">
        <w:rPr>
          <w:rFonts w:ascii="Times New Roman" w:hAnsi="Times New Roman" w:cs="Times New Roman"/>
          <w:lang w:val="de-DE"/>
        </w:rPr>
        <w:t xml:space="preserve"> par </w:t>
      </w:r>
      <w:proofErr w:type="spellStart"/>
      <w:r w:rsidRPr="002564F3">
        <w:rPr>
          <w:rFonts w:ascii="Times New Roman" w:hAnsi="Times New Roman" w:cs="Times New Roman"/>
          <w:lang w:val="de-DE"/>
        </w:rPr>
        <w:t>ārvalstu</w:t>
      </w:r>
      <w:proofErr w:type="spellEnd"/>
      <w:r w:rsidRPr="002564F3">
        <w:rPr>
          <w:rFonts w:ascii="Times New Roman" w:hAnsi="Times New Roman" w:cs="Times New Roman"/>
          <w:lang w:val="de-DE"/>
        </w:rPr>
        <w:t xml:space="preserve"> </w:t>
      </w:r>
      <w:proofErr w:type="spellStart"/>
      <w:r w:rsidRPr="002564F3">
        <w:rPr>
          <w:rFonts w:ascii="Times New Roman" w:hAnsi="Times New Roman" w:cs="Times New Roman"/>
          <w:lang w:val="de-DE"/>
        </w:rPr>
        <w:t>publisko</w:t>
      </w:r>
      <w:proofErr w:type="spellEnd"/>
      <w:r w:rsidRPr="002564F3">
        <w:rPr>
          <w:rFonts w:ascii="Times New Roman" w:hAnsi="Times New Roman" w:cs="Times New Roman"/>
          <w:lang w:val="de-DE"/>
        </w:rPr>
        <w:t xml:space="preserve"> </w:t>
      </w:r>
      <w:proofErr w:type="spellStart"/>
      <w:r w:rsidRPr="002564F3">
        <w:rPr>
          <w:rFonts w:ascii="Times New Roman" w:hAnsi="Times New Roman" w:cs="Times New Roman"/>
          <w:lang w:val="de-DE"/>
        </w:rPr>
        <w:t>dokumentu</w:t>
      </w:r>
      <w:proofErr w:type="spellEnd"/>
      <w:r w:rsidRPr="002564F3">
        <w:rPr>
          <w:rFonts w:ascii="Times New Roman" w:hAnsi="Times New Roman" w:cs="Times New Roman"/>
          <w:lang w:val="de-DE"/>
        </w:rPr>
        <w:t xml:space="preserve"> </w:t>
      </w:r>
      <w:proofErr w:type="spellStart"/>
      <w:r w:rsidRPr="002564F3">
        <w:rPr>
          <w:rFonts w:ascii="Times New Roman" w:hAnsi="Times New Roman" w:cs="Times New Roman"/>
          <w:lang w:val="de-DE"/>
        </w:rPr>
        <w:t>legalizācijas</w:t>
      </w:r>
      <w:proofErr w:type="spellEnd"/>
      <w:r w:rsidRPr="002564F3">
        <w:rPr>
          <w:rFonts w:ascii="Times New Roman" w:hAnsi="Times New Roman" w:cs="Times New Roman"/>
          <w:lang w:val="de-DE"/>
        </w:rPr>
        <w:t xml:space="preserve"> </w:t>
      </w:r>
      <w:proofErr w:type="spellStart"/>
      <w:r w:rsidRPr="002564F3">
        <w:rPr>
          <w:rFonts w:ascii="Times New Roman" w:hAnsi="Times New Roman" w:cs="Times New Roman"/>
          <w:lang w:val="de-DE"/>
        </w:rPr>
        <w:t>prasības</w:t>
      </w:r>
      <w:proofErr w:type="spellEnd"/>
      <w:r w:rsidRPr="002564F3">
        <w:rPr>
          <w:rFonts w:ascii="Times New Roman" w:hAnsi="Times New Roman" w:cs="Times New Roman"/>
          <w:lang w:val="de-DE"/>
        </w:rPr>
        <w:t xml:space="preserve"> </w:t>
      </w:r>
      <w:proofErr w:type="spellStart"/>
      <w:r w:rsidRPr="002564F3">
        <w:rPr>
          <w:rFonts w:ascii="Times New Roman" w:hAnsi="Times New Roman" w:cs="Times New Roman"/>
          <w:lang w:val="de-DE"/>
        </w:rPr>
        <w:t>atcelšanu</w:t>
      </w:r>
      <w:proofErr w:type="spellEnd"/>
      <w:r w:rsidRPr="002564F3">
        <w:rPr>
          <w:rFonts w:ascii="Times New Roman" w:hAnsi="Times New Roman" w:cs="Times New Roman"/>
          <w:lang w:val="de-DE"/>
        </w:rPr>
        <w:t xml:space="preserve">, </w:t>
      </w:r>
      <w:proofErr w:type="spellStart"/>
      <w:r w:rsidRPr="002564F3">
        <w:rPr>
          <w:rFonts w:ascii="Times New Roman" w:hAnsi="Times New Roman" w:cs="Times New Roman"/>
          <w:lang w:val="de-DE"/>
        </w:rPr>
        <w:t>automātiski</w:t>
      </w:r>
      <w:proofErr w:type="spellEnd"/>
      <w:r w:rsidRPr="002564F3">
        <w:rPr>
          <w:rFonts w:ascii="Times New Roman" w:hAnsi="Times New Roman" w:cs="Times New Roman"/>
          <w:lang w:val="de-DE"/>
        </w:rPr>
        <w:t xml:space="preserve"> </w:t>
      </w:r>
      <w:proofErr w:type="spellStart"/>
      <w:r w:rsidRPr="002564F3">
        <w:rPr>
          <w:rFonts w:ascii="Times New Roman" w:hAnsi="Times New Roman" w:cs="Times New Roman"/>
          <w:lang w:val="de-DE"/>
        </w:rPr>
        <w:t>ir</w:t>
      </w:r>
      <w:proofErr w:type="spellEnd"/>
      <w:r w:rsidRPr="002564F3">
        <w:rPr>
          <w:rFonts w:ascii="Times New Roman" w:hAnsi="Times New Roman" w:cs="Times New Roman"/>
          <w:lang w:val="de-DE"/>
        </w:rPr>
        <w:t xml:space="preserve"> </w:t>
      </w:r>
      <w:proofErr w:type="spellStart"/>
      <w:r w:rsidRPr="002564F3">
        <w:rPr>
          <w:rFonts w:ascii="Times New Roman" w:hAnsi="Times New Roman" w:cs="Times New Roman"/>
          <w:lang w:val="de-DE"/>
        </w:rPr>
        <w:t>atzīstams</w:t>
      </w:r>
      <w:proofErr w:type="spellEnd"/>
      <w:r w:rsidRPr="002564F3">
        <w:rPr>
          <w:rFonts w:ascii="Times New Roman" w:hAnsi="Times New Roman" w:cs="Times New Roman"/>
          <w:lang w:val="de-DE"/>
        </w:rPr>
        <w:t xml:space="preserve"> par </w:t>
      </w:r>
      <w:proofErr w:type="spellStart"/>
      <w:r w:rsidRPr="002564F3">
        <w:rPr>
          <w:rFonts w:ascii="Times New Roman" w:hAnsi="Times New Roman" w:cs="Times New Roman"/>
          <w:lang w:val="de-DE"/>
        </w:rPr>
        <w:t>publisku</w:t>
      </w:r>
      <w:proofErr w:type="spellEnd"/>
      <w:r w:rsidRPr="002564F3">
        <w:rPr>
          <w:rFonts w:ascii="Times New Roman" w:hAnsi="Times New Roman" w:cs="Times New Roman"/>
          <w:lang w:val="de-DE"/>
        </w:rPr>
        <w:t xml:space="preserve"> </w:t>
      </w:r>
      <w:proofErr w:type="spellStart"/>
      <w:r w:rsidRPr="002564F3">
        <w:rPr>
          <w:rFonts w:ascii="Times New Roman" w:hAnsi="Times New Roman" w:cs="Times New Roman"/>
          <w:lang w:val="de-DE"/>
        </w:rPr>
        <w:t>dokumentu</w:t>
      </w:r>
      <w:proofErr w:type="spellEnd"/>
      <w:r w:rsidRPr="002564F3">
        <w:rPr>
          <w:rFonts w:ascii="Times New Roman" w:hAnsi="Times New Roman" w:cs="Times New Roman"/>
          <w:lang w:val="de-DE"/>
        </w:rPr>
        <w:t xml:space="preserve"> </w:t>
      </w:r>
      <w:proofErr w:type="spellStart"/>
      <w:r w:rsidRPr="002564F3">
        <w:rPr>
          <w:rFonts w:ascii="Times New Roman" w:hAnsi="Times New Roman" w:cs="Times New Roman"/>
          <w:lang w:val="de-DE"/>
        </w:rPr>
        <w:t>Not</w:t>
      </w:r>
      <w:r w:rsidR="00CA6703">
        <w:rPr>
          <w:rFonts w:ascii="Times New Roman" w:hAnsi="Times New Roman" w:cs="Times New Roman"/>
          <w:lang w:val="de-DE"/>
        </w:rPr>
        <w:t>ariāta</w:t>
      </w:r>
      <w:proofErr w:type="spellEnd"/>
      <w:r w:rsidR="00CA6703">
        <w:rPr>
          <w:rFonts w:ascii="Times New Roman" w:hAnsi="Times New Roman" w:cs="Times New Roman"/>
          <w:lang w:val="de-DE"/>
        </w:rPr>
        <w:t xml:space="preserve"> </w:t>
      </w:r>
      <w:proofErr w:type="spellStart"/>
      <w:r w:rsidR="00CA6703">
        <w:rPr>
          <w:rFonts w:ascii="Times New Roman" w:hAnsi="Times New Roman" w:cs="Times New Roman"/>
          <w:lang w:val="de-DE"/>
        </w:rPr>
        <w:t>likuma</w:t>
      </w:r>
      <w:proofErr w:type="spellEnd"/>
      <w:r w:rsidR="00CA6703">
        <w:rPr>
          <w:rFonts w:ascii="Times New Roman" w:hAnsi="Times New Roman" w:cs="Times New Roman"/>
          <w:lang w:val="de-DE"/>
        </w:rPr>
        <w:t xml:space="preserve"> 83.panta </w:t>
      </w:r>
      <w:proofErr w:type="spellStart"/>
      <w:r w:rsidR="00CA6703">
        <w:rPr>
          <w:rFonts w:ascii="Times New Roman" w:hAnsi="Times New Roman" w:cs="Times New Roman"/>
          <w:lang w:val="de-DE"/>
        </w:rPr>
        <w:t>izpratnē</w:t>
      </w:r>
      <w:proofErr w:type="spellEnd"/>
      <w:r w:rsidRPr="002564F3">
        <w:rPr>
          <w:rFonts w:ascii="Times New Roman" w:hAnsi="Times New Roman" w:cs="Times New Roman"/>
          <w:lang w:val="de-DE"/>
        </w:rPr>
        <w:t>?</w:t>
      </w:r>
    </w:p>
    <w:p w14:paraId="1FA7E1E9" w14:textId="77777777" w:rsidR="00114953" w:rsidRPr="002564F3" w:rsidRDefault="00114953" w:rsidP="00114953">
      <w:pPr>
        <w:jc w:val="both"/>
        <w:rPr>
          <w:rFonts w:ascii="Times New Roman" w:hAnsi="Times New Roman" w:cs="Times New Roman"/>
          <w:lang w:val="de-DE"/>
        </w:rPr>
      </w:pPr>
    </w:p>
    <w:p w14:paraId="06925EDF" w14:textId="5F615605" w:rsidR="00114953" w:rsidRPr="002564F3" w:rsidRDefault="00114953" w:rsidP="00114953">
      <w:pPr>
        <w:jc w:val="both"/>
        <w:rPr>
          <w:rFonts w:ascii="Times New Roman" w:hAnsi="Times New Roman" w:cs="Times New Roman"/>
          <w:lang w:val="de-DE"/>
        </w:rPr>
      </w:pPr>
      <w:r w:rsidRPr="002564F3">
        <w:rPr>
          <w:rFonts w:ascii="Times New Roman" w:hAnsi="Times New Roman" w:cs="Times New Roman"/>
          <w:lang w:val="de-DE"/>
        </w:rPr>
        <w:t xml:space="preserve">7. </w:t>
      </w:r>
      <w:proofErr w:type="spellStart"/>
      <w:r w:rsidRPr="002564F3">
        <w:rPr>
          <w:rFonts w:ascii="Times New Roman" w:hAnsi="Times New Roman" w:cs="Times New Roman"/>
          <w:lang w:val="de-DE"/>
        </w:rPr>
        <w:t>Kādām</w:t>
      </w:r>
      <w:proofErr w:type="spellEnd"/>
      <w:r w:rsidRPr="002564F3">
        <w:rPr>
          <w:rFonts w:ascii="Times New Roman" w:hAnsi="Times New Roman" w:cs="Times New Roman"/>
          <w:lang w:val="de-DE"/>
        </w:rPr>
        <w:t xml:space="preserve"> </w:t>
      </w:r>
      <w:proofErr w:type="spellStart"/>
      <w:r w:rsidRPr="002564F3">
        <w:rPr>
          <w:rFonts w:ascii="Times New Roman" w:hAnsi="Times New Roman" w:cs="Times New Roman"/>
          <w:lang w:val="de-DE"/>
        </w:rPr>
        <w:t>prasībām</w:t>
      </w:r>
      <w:proofErr w:type="spellEnd"/>
      <w:r w:rsidRPr="002564F3">
        <w:rPr>
          <w:rFonts w:ascii="Times New Roman" w:hAnsi="Times New Roman" w:cs="Times New Roman"/>
          <w:lang w:val="de-DE"/>
        </w:rPr>
        <w:t xml:space="preserve"> </w:t>
      </w:r>
      <w:proofErr w:type="spellStart"/>
      <w:r w:rsidRPr="002564F3">
        <w:rPr>
          <w:rFonts w:ascii="Times New Roman" w:hAnsi="Times New Roman" w:cs="Times New Roman"/>
          <w:lang w:val="de-DE"/>
        </w:rPr>
        <w:t>Latvijā</w:t>
      </w:r>
      <w:proofErr w:type="spellEnd"/>
      <w:r w:rsidRPr="002564F3">
        <w:rPr>
          <w:rFonts w:ascii="Times New Roman" w:hAnsi="Times New Roman" w:cs="Times New Roman"/>
          <w:lang w:val="de-DE"/>
        </w:rPr>
        <w:t xml:space="preserve"> </w:t>
      </w:r>
      <w:proofErr w:type="spellStart"/>
      <w:r w:rsidRPr="002564F3">
        <w:rPr>
          <w:rFonts w:ascii="Times New Roman" w:hAnsi="Times New Roman" w:cs="Times New Roman"/>
          <w:lang w:val="de-DE"/>
        </w:rPr>
        <w:t>izmantojamajam</w:t>
      </w:r>
      <w:proofErr w:type="spellEnd"/>
      <w:r w:rsidRPr="002564F3">
        <w:rPr>
          <w:rFonts w:ascii="Times New Roman" w:hAnsi="Times New Roman" w:cs="Times New Roman"/>
          <w:lang w:val="de-DE"/>
        </w:rPr>
        <w:t xml:space="preserve"> </w:t>
      </w:r>
      <w:proofErr w:type="spellStart"/>
      <w:r w:rsidRPr="002564F3">
        <w:rPr>
          <w:rFonts w:ascii="Times New Roman" w:hAnsi="Times New Roman" w:cs="Times New Roman"/>
          <w:lang w:val="de-DE"/>
        </w:rPr>
        <w:t>ārvalsts</w:t>
      </w:r>
      <w:proofErr w:type="spellEnd"/>
      <w:r w:rsidRPr="002564F3">
        <w:rPr>
          <w:rFonts w:ascii="Times New Roman" w:hAnsi="Times New Roman" w:cs="Times New Roman"/>
          <w:lang w:val="de-DE"/>
        </w:rPr>
        <w:t xml:space="preserve"> </w:t>
      </w:r>
      <w:proofErr w:type="spellStart"/>
      <w:r w:rsidRPr="002564F3">
        <w:rPr>
          <w:rFonts w:ascii="Times New Roman" w:hAnsi="Times New Roman" w:cs="Times New Roman"/>
          <w:lang w:val="de-DE"/>
        </w:rPr>
        <w:t>dokumentam</w:t>
      </w:r>
      <w:proofErr w:type="spellEnd"/>
      <w:r w:rsidRPr="002564F3">
        <w:rPr>
          <w:rFonts w:ascii="Times New Roman" w:hAnsi="Times New Roman" w:cs="Times New Roman"/>
          <w:lang w:val="de-DE"/>
        </w:rPr>
        <w:t xml:space="preserve"> </w:t>
      </w:r>
      <w:proofErr w:type="spellStart"/>
      <w:r w:rsidRPr="002564F3">
        <w:rPr>
          <w:rFonts w:ascii="Times New Roman" w:hAnsi="Times New Roman" w:cs="Times New Roman"/>
          <w:lang w:val="de-DE"/>
        </w:rPr>
        <w:t>ir</w:t>
      </w:r>
      <w:proofErr w:type="spellEnd"/>
      <w:r w:rsidRPr="002564F3">
        <w:rPr>
          <w:rFonts w:ascii="Times New Roman" w:hAnsi="Times New Roman" w:cs="Times New Roman"/>
          <w:lang w:val="de-DE"/>
        </w:rPr>
        <w:t xml:space="preserve"> </w:t>
      </w:r>
      <w:proofErr w:type="spellStart"/>
      <w:r w:rsidRPr="002564F3">
        <w:rPr>
          <w:rFonts w:ascii="Times New Roman" w:hAnsi="Times New Roman" w:cs="Times New Roman"/>
          <w:lang w:val="de-DE"/>
        </w:rPr>
        <w:t>jāatbilst</w:t>
      </w:r>
      <w:proofErr w:type="spellEnd"/>
      <w:r w:rsidRPr="002564F3">
        <w:rPr>
          <w:rFonts w:ascii="Times New Roman" w:hAnsi="Times New Roman" w:cs="Times New Roman"/>
          <w:lang w:val="de-DE"/>
        </w:rPr>
        <w:t xml:space="preserve">, </w:t>
      </w:r>
      <w:proofErr w:type="spellStart"/>
      <w:r w:rsidRPr="002564F3">
        <w:rPr>
          <w:rFonts w:ascii="Times New Roman" w:hAnsi="Times New Roman" w:cs="Times New Roman"/>
          <w:lang w:val="de-DE"/>
        </w:rPr>
        <w:t>lai</w:t>
      </w:r>
      <w:proofErr w:type="spellEnd"/>
      <w:r w:rsidRPr="002564F3">
        <w:rPr>
          <w:rFonts w:ascii="Times New Roman" w:hAnsi="Times New Roman" w:cs="Times New Roman"/>
          <w:lang w:val="de-DE"/>
        </w:rPr>
        <w:t xml:space="preserve"> </w:t>
      </w:r>
      <w:proofErr w:type="spellStart"/>
      <w:r w:rsidRPr="002564F3">
        <w:rPr>
          <w:rFonts w:ascii="Times New Roman" w:hAnsi="Times New Roman" w:cs="Times New Roman"/>
          <w:lang w:val="de-DE"/>
        </w:rPr>
        <w:t>to</w:t>
      </w:r>
      <w:proofErr w:type="spellEnd"/>
      <w:r w:rsidRPr="002564F3">
        <w:rPr>
          <w:rFonts w:ascii="Times New Roman" w:hAnsi="Times New Roman" w:cs="Times New Roman"/>
          <w:lang w:val="de-DE"/>
        </w:rPr>
        <w:t xml:space="preserve"> </w:t>
      </w:r>
      <w:proofErr w:type="spellStart"/>
      <w:r w:rsidRPr="002564F3">
        <w:rPr>
          <w:rFonts w:ascii="Times New Roman" w:hAnsi="Times New Roman" w:cs="Times New Roman"/>
          <w:lang w:val="de-DE"/>
        </w:rPr>
        <w:t>atzītu</w:t>
      </w:r>
      <w:proofErr w:type="spellEnd"/>
      <w:r w:rsidRPr="002564F3">
        <w:rPr>
          <w:rFonts w:ascii="Times New Roman" w:hAnsi="Times New Roman" w:cs="Times New Roman"/>
          <w:lang w:val="de-DE"/>
        </w:rPr>
        <w:t xml:space="preserve"> par </w:t>
      </w:r>
      <w:r w:rsidR="002564F3">
        <w:rPr>
          <w:rFonts w:ascii="Times New Roman" w:hAnsi="Times New Roman" w:cs="Times New Roman"/>
          <w:lang w:val="de-DE"/>
        </w:rPr>
        <w:t>„</w:t>
      </w:r>
      <w:proofErr w:type="spellStart"/>
      <w:r w:rsidRPr="002564F3">
        <w:rPr>
          <w:rFonts w:ascii="Times New Roman" w:hAnsi="Times New Roman" w:cs="Times New Roman"/>
          <w:lang w:val="de-DE"/>
        </w:rPr>
        <w:t>ierakstiem</w:t>
      </w:r>
      <w:proofErr w:type="spellEnd"/>
      <w:r w:rsidRPr="002564F3">
        <w:rPr>
          <w:rFonts w:ascii="Times New Roman" w:hAnsi="Times New Roman" w:cs="Times New Roman"/>
          <w:lang w:val="de-DE"/>
        </w:rPr>
        <w:t xml:space="preserve"> </w:t>
      </w:r>
      <w:proofErr w:type="spellStart"/>
      <w:r w:rsidRPr="002564F3">
        <w:rPr>
          <w:rFonts w:ascii="Times New Roman" w:hAnsi="Times New Roman" w:cs="Times New Roman"/>
          <w:lang w:val="de-DE"/>
        </w:rPr>
        <w:t>Komercreģistrā</w:t>
      </w:r>
      <w:proofErr w:type="spellEnd"/>
      <w:r w:rsidR="002564F3">
        <w:rPr>
          <w:rFonts w:ascii="Times New Roman" w:hAnsi="Times New Roman" w:cs="Times New Roman"/>
          <w:lang w:val="de-DE"/>
        </w:rPr>
        <w:t xml:space="preserve"> </w:t>
      </w:r>
      <w:proofErr w:type="spellStart"/>
      <w:r w:rsidR="002564F3">
        <w:rPr>
          <w:rFonts w:ascii="Times New Roman" w:hAnsi="Times New Roman" w:cs="Times New Roman"/>
          <w:lang w:val="de-DE"/>
        </w:rPr>
        <w:t>vai</w:t>
      </w:r>
      <w:proofErr w:type="spellEnd"/>
      <w:r w:rsidR="002564F3">
        <w:rPr>
          <w:rFonts w:ascii="Times New Roman" w:hAnsi="Times New Roman" w:cs="Times New Roman"/>
          <w:lang w:val="de-DE"/>
        </w:rPr>
        <w:t xml:space="preserve"> </w:t>
      </w:r>
      <w:proofErr w:type="spellStart"/>
      <w:r w:rsidR="002564F3">
        <w:rPr>
          <w:rFonts w:ascii="Times New Roman" w:hAnsi="Times New Roman" w:cs="Times New Roman"/>
          <w:lang w:val="de-DE"/>
        </w:rPr>
        <w:t>citos</w:t>
      </w:r>
      <w:proofErr w:type="spellEnd"/>
      <w:r w:rsidR="002564F3">
        <w:rPr>
          <w:rFonts w:ascii="Times New Roman" w:hAnsi="Times New Roman" w:cs="Times New Roman"/>
          <w:lang w:val="de-DE"/>
        </w:rPr>
        <w:t xml:space="preserve"> </w:t>
      </w:r>
      <w:proofErr w:type="spellStart"/>
      <w:r w:rsidR="002564F3">
        <w:rPr>
          <w:rFonts w:ascii="Times New Roman" w:hAnsi="Times New Roman" w:cs="Times New Roman"/>
          <w:lang w:val="de-DE"/>
        </w:rPr>
        <w:t>publiskos</w:t>
      </w:r>
      <w:proofErr w:type="spellEnd"/>
      <w:r w:rsidR="002564F3">
        <w:rPr>
          <w:rFonts w:ascii="Times New Roman" w:hAnsi="Times New Roman" w:cs="Times New Roman"/>
          <w:lang w:val="de-DE"/>
        </w:rPr>
        <w:t xml:space="preserve"> </w:t>
      </w:r>
      <w:proofErr w:type="spellStart"/>
      <w:r w:rsidR="002564F3">
        <w:rPr>
          <w:rFonts w:ascii="Times New Roman" w:hAnsi="Times New Roman" w:cs="Times New Roman"/>
          <w:lang w:val="de-DE"/>
        </w:rPr>
        <w:t>reģistros</w:t>
      </w:r>
      <w:proofErr w:type="spellEnd"/>
      <w:r w:rsidR="002564F3">
        <w:rPr>
          <w:rFonts w:ascii="Times New Roman" w:hAnsi="Times New Roman" w:cs="Times New Roman"/>
          <w:lang w:val="de-DE"/>
        </w:rPr>
        <w:t>“</w:t>
      </w:r>
      <w:r w:rsidRPr="002564F3">
        <w:rPr>
          <w:rFonts w:ascii="Times New Roman" w:hAnsi="Times New Roman" w:cs="Times New Roman"/>
          <w:lang w:val="de-DE"/>
        </w:rPr>
        <w:t xml:space="preserve"> </w:t>
      </w:r>
      <w:proofErr w:type="spellStart"/>
      <w:r w:rsidRPr="002564F3">
        <w:rPr>
          <w:rFonts w:ascii="Times New Roman" w:hAnsi="Times New Roman" w:cs="Times New Roman"/>
          <w:lang w:val="de-DE"/>
        </w:rPr>
        <w:t>Not</w:t>
      </w:r>
      <w:r w:rsidR="00CA6703">
        <w:rPr>
          <w:rFonts w:ascii="Times New Roman" w:hAnsi="Times New Roman" w:cs="Times New Roman"/>
          <w:lang w:val="de-DE"/>
        </w:rPr>
        <w:t>ariāta</w:t>
      </w:r>
      <w:proofErr w:type="spellEnd"/>
      <w:r w:rsidR="00CA6703">
        <w:rPr>
          <w:rFonts w:ascii="Times New Roman" w:hAnsi="Times New Roman" w:cs="Times New Roman"/>
          <w:lang w:val="de-DE"/>
        </w:rPr>
        <w:t xml:space="preserve"> </w:t>
      </w:r>
      <w:proofErr w:type="spellStart"/>
      <w:r w:rsidR="00CA6703">
        <w:rPr>
          <w:rFonts w:ascii="Times New Roman" w:hAnsi="Times New Roman" w:cs="Times New Roman"/>
          <w:lang w:val="de-DE"/>
        </w:rPr>
        <w:t>likuma</w:t>
      </w:r>
      <w:proofErr w:type="spellEnd"/>
      <w:r w:rsidR="00CA6703">
        <w:rPr>
          <w:rFonts w:ascii="Times New Roman" w:hAnsi="Times New Roman" w:cs="Times New Roman"/>
          <w:lang w:val="de-DE"/>
        </w:rPr>
        <w:t xml:space="preserve"> 83.panta </w:t>
      </w:r>
      <w:proofErr w:type="spellStart"/>
      <w:r w:rsidR="00CA6703">
        <w:rPr>
          <w:rFonts w:ascii="Times New Roman" w:hAnsi="Times New Roman" w:cs="Times New Roman"/>
          <w:lang w:val="de-DE"/>
        </w:rPr>
        <w:t>izpratnē</w:t>
      </w:r>
      <w:proofErr w:type="spellEnd"/>
      <w:r w:rsidRPr="002564F3">
        <w:rPr>
          <w:rFonts w:ascii="Times New Roman" w:hAnsi="Times New Roman" w:cs="Times New Roman"/>
          <w:lang w:val="de-DE"/>
        </w:rPr>
        <w:t>?</w:t>
      </w:r>
    </w:p>
    <w:p w14:paraId="384E3F78" w14:textId="77777777" w:rsidR="00114953" w:rsidRPr="002564F3" w:rsidRDefault="00114953" w:rsidP="00114953">
      <w:pPr>
        <w:jc w:val="both"/>
        <w:rPr>
          <w:rFonts w:ascii="Times New Roman" w:hAnsi="Times New Roman" w:cs="Times New Roman"/>
          <w:lang w:val="de-DE"/>
        </w:rPr>
      </w:pPr>
    </w:p>
    <w:p w14:paraId="2CE5A9C0" w14:textId="5E1BB52D" w:rsidR="00114953" w:rsidRPr="000C7C76" w:rsidRDefault="00114953" w:rsidP="00114953">
      <w:pPr>
        <w:jc w:val="both"/>
        <w:rPr>
          <w:rFonts w:ascii="Times New Roman" w:hAnsi="Times New Roman" w:cs="Times New Roman"/>
          <w:lang w:val="de-DE"/>
        </w:rPr>
      </w:pPr>
      <w:r w:rsidRPr="002564F3">
        <w:rPr>
          <w:rFonts w:ascii="Times New Roman" w:hAnsi="Times New Roman" w:cs="Times New Roman"/>
          <w:lang w:val="de-DE"/>
        </w:rPr>
        <w:t xml:space="preserve">8. </w:t>
      </w:r>
      <w:proofErr w:type="spellStart"/>
      <w:r w:rsidRPr="002564F3">
        <w:rPr>
          <w:rFonts w:ascii="Times New Roman" w:hAnsi="Times New Roman" w:cs="Times New Roman"/>
          <w:lang w:val="de-DE"/>
        </w:rPr>
        <w:t>Kādām</w:t>
      </w:r>
      <w:proofErr w:type="spellEnd"/>
      <w:r w:rsidRPr="002564F3">
        <w:rPr>
          <w:rFonts w:ascii="Times New Roman" w:hAnsi="Times New Roman" w:cs="Times New Roman"/>
          <w:lang w:val="de-DE"/>
        </w:rPr>
        <w:t xml:space="preserve"> </w:t>
      </w:r>
      <w:proofErr w:type="spellStart"/>
      <w:r w:rsidRPr="002564F3">
        <w:rPr>
          <w:rFonts w:ascii="Times New Roman" w:hAnsi="Times New Roman" w:cs="Times New Roman"/>
          <w:lang w:val="de-DE"/>
        </w:rPr>
        <w:t>prasībām</w:t>
      </w:r>
      <w:proofErr w:type="spellEnd"/>
      <w:r w:rsidRPr="002564F3">
        <w:rPr>
          <w:rFonts w:ascii="Times New Roman" w:hAnsi="Times New Roman" w:cs="Times New Roman"/>
          <w:lang w:val="de-DE"/>
        </w:rPr>
        <w:t xml:space="preserve"> (</w:t>
      </w:r>
      <w:proofErr w:type="spellStart"/>
      <w:r w:rsidRPr="002564F3">
        <w:rPr>
          <w:rFonts w:ascii="Times New Roman" w:hAnsi="Times New Roman" w:cs="Times New Roman"/>
          <w:lang w:val="de-DE"/>
        </w:rPr>
        <w:t>izdevējiestāde</w:t>
      </w:r>
      <w:proofErr w:type="spellEnd"/>
      <w:r w:rsidRPr="002564F3">
        <w:rPr>
          <w:rFonts w:ascii="Times New Roman" w:hAnsi="Times New Roman" w:cs="Times New Roman"/>
          <w:lang w:val="de-DE"/>
        </w:rPr>
        <w:t xml:space="preserve">, </w:t>
      </w:r>
      <w:proofErr w:type="spellStart"/>
      <w:r w:rsidRPr="002564F3">
        <w:rPr>
          <w:rFonts w:ascii="Times New Roman" w:hAnsi="Times New Roman" w:cs="Times New Roman"/>
          <w:lang w:val="de-DE"/>
        </w:rPr>
        <w:t>derīguma</w:t>
      </w:r>
      <w:proofErr w:type="spellEnd"/>
      <w:r w:rsidRPr="002564F3">
        <w:rPr>
          <w:rFonts w:ascii="Times New Roman" w:hAnsi="Times New Roman" w:cs="Times New Roman"/>
          <w:lang w:val="de-DE"/>
        </w:rPr>
        <w:t xml:space="preserve"> </w:t>
      </w:r>
      <w:proofErr w:type="spellStart"/>
      <w:r w:rsidRPr="002564F3">
        <w:rPr>
          <w:rFonts w:ascii="Times New Roman" w:hAnsi="Times New Roman" w:cs="Times New Roman"/>
          <w:lang w:val="de-DE"/>
        </w:rPr>
        <w:t>termiņi</w:t>
      </w:r>
      <w:proofErr w:type="spellEnd"/>
      <w:r w:rsidR="002564F3" w:rsidRPr="000C7C76">
        <w:rPr>
          <w:rFonts w:ascii="Times New Roman" w:hAnsi="Times New Roman" w:cs="Times New Roman"/>
          <w:lang w:val="de-DE"/>
        </w:rPr>
        <w:t xml:space="preserve">, </w:t>
      </w:r>
      <w:proofErr w:type="spellStart"/>
      <w:r w:rsidR="002564F3" w:rsidRPr="000C7C76">
        <w:rPr>
          <w:rFonts w:ascii="Times New Roman" w:hAnsi="Times New Roman" w:cs="Times New Roman"/>
          <w:lang w:val="de-DE"/>
        </w:rPr>
        <w:t>apl</w:t>
      </w:r>
      <w:r w:rsidRPr="000C7C76">
        <w:rPr>
          <w:rFonts w:ascii="Times New Roman" w:hAnsi="Times New Roman" w:cs="Times New Roman"/>
          <w:lang w:val="de-DE"/>
        </w:rPr>
        <w:t>ie</w:t>
      </w:r>
      <w:r w:rsidR="002564F3" w:rsidRPr="000C7C76">
        <w:rPr>
          <w:rFonts w:ascii="Times New Roman" w:hAnsi="Times New Roman" w:cs="Times New Roman"/>
          <w:lang w:val="de-DE"/>
        </w:rPr>
        <w:t>c</w:t>
      </w:r>
      <w:r w:rsidRPr="000C7C76">
        <w:rPr>
          <w:rFonts w:ascii="Times New Roman" w:hAnsi="Times New Roman" w:cs="Times New Roman"/>
          <w:lang w:val="de-DE"/>
        </w:rPr>
        <w:t>inājumi</w:t>
      </w:r>
      <w:proofErr w:type="spellEnd"/>
      <w:r w:rsidRPr="000C7C76">
        <w:rPr>
          <w:rFonts w:ascii="Times New Roman" w:hAnsi="Times New Roman" w:cs="Times New Roman"/>
          <w:lang w:val="de-DE"/>
        </w:rPr>
        <w:t xml:space="preserve"> </w:t>
      </w:r>
      <w:proofErr w:type="spellStart"/>
      <w:r w:rsidRPr="000C7C76">
        <w:rPr>
          <w:rFonts w:ascii="Times New Roman" w:hAnsi="Times New Roman" w:cs="Times New Roman"/>
          <w:lang w:val="de-DE"/>
        </w:rPr>
        <w:t>u.tml</w:t>
      </w:r>
      <w:proofErr w:type="spellEnd"/>
      <w:r w:rsidRPr="000C7C76">
        <w:rPr>
          <w:rFonts w:ascii="Times New Roman" w:hAnsi="Times New Roman" w:cs="Times New Roman"/>
          <w:lang w:val="de-DE"/>
        </w:rPr>
        <w:t xml:space="preserve">.) </w:t>
      </w:r>
      <w:proofErr w:type="spellStart"/>
      <w:r w:rsidRPr="000C7C76">
        <w:rPr>
          <w:rFonts w:ascii="Times New Roman" w:hAnsi="Times New Roman" w:cs="Times New Roman"/>
          <w:lang w:val="de-DE"/>
        </w:rPr>
        <w:t>jāatbilst</w:t>
      </w:r>
      <w:proofErr w:type="spellEnd"/>
      <w:r w:rsidRPr="000C7C76">
        <w:rPr>
          <w:rFonts w:ascii="Times New Roman" w:hAnsi="Times New Roman" w:cs="Times New Roman"/>
          <w:lang w:val="de-DE"/>
        </w:rPr>
        <w:t xml:space="preserve"> </w:t>
      </w:r>
      <w:proofErr w:type="spellStart"/>
      <w:r w:rsidRPr="000C7C76">
        <w:rPr>
          <w:rFonts w:ascii="Times New Roman" w:hAnsi="Times New Roman" w:cs="Times New Roman"/>
          <w:lang w:val="de-DE"/>
        </w:rPr>
        <w:t>ārvalstu</w:t>
      </w:r>
      <w:proofErr w:type="spellEnd"/>
      <w:r w:rsidRPr="000C7C76">
        <w:rPr>
          <w:rFonts w:ascii="Times New Roman" w:hAnsi="Times New Roman" w:cs="Times New Roman"/>
          <w:lang w:val="de-DE"/>
        </w:rPr>
        <w:t xml:space="preserve"> </w:t>
      </w:r>
      <w:proofErr w:type="spellStart"/>
      <w:r w:rsidRPr="000C7C76">
        <w:rPr>
          <w:rFonts w:ascii="Times New Roman" w:hAnsi="Times New Roman" w:cs="Times New Roman"/>
          <w:lang w:val="de-DE"/>
        </w:rPr>
        <w:t>dokumentiem</w:t>
      </w:r>
      <w:proofErr w:type="spellEnd"/>
      <w:r w:rsidRPr="000C7C76">
        <w:rPr>
          <w:rFonts w:ascii="Times New Roman" w:hAnsi="Times New Roman" w:cs="Times New Roman"/>
          <w:lang w:val="de-DE"/>
        </w:rPr>
        <w:t xml:space="preserve">, </w:t>
      </w:r>
      <w:proofErr w:type="spellStart"/>
      <w:r w:rsidRPr="000C7C76">
        <w:rPr>
          <w:rFonts w:ascii="Times New Roman" w:hAnsi="Times New Roman" w:cs="Times New Roman"/>
          <w:lang w:val="de-DE"/>
        </w:rPr>
        <w:t>lai</w:t>
      </w:r>
      <w:proofErr w:type="spellEnd"/>
      <w:r w:rsidRPr="000C7C76">
        <w:rPr>
          <w:rFonts w:ascii="Times New Roman" w:hAnsi="Times New Roman" w:cs="Times New Roman"/>
          <w:lang w:val="de-DE"/>
        </w:rPr>
        <w:t xml:space="preserve"> </w:t>
      </w:r>
      <w:proofErr w:type="spellStart"/>
      <w:r w:rsidRPr="000C7C76">
        <w:rPr>
          <w:rFonts w:ascii="Times New Roman" w:hAnsi="Times New Roman" w:cs="Times New Roman"/>
          <w:lang w:val="de-DE"/>
        </w:rPr>
        <w:t>pēc</w:t>
      </w:r>
      <w:proofErr w:type="spellEnd"/>
      <w:r w:rsidRPr="000C7C76">
        <w:rPr>
          <w:rFonts w:ascii="Times New Roman" w:hAnsi="Times New Roman" w:cs="Times New Roman"/>
          <w:lang w:val="de-DE"/>
        </w:rPr>
        <w:t xml:space="preserve"> </w:t>
      </w:r>
      <w:proofErr w:type="spellStart"/>
      <w:r w:rsidRPr="000C7C76">
        <w:rPr>
          <w:rFonts w:ascii="Times New Roman" w:hAnsi="Times New Roman" w:cs="Times New Roman"/>
          <w:lang w:val="de-DE"/>
        </w:rPr>
        <w:t>tiem</w:t>
      </w:r>
      <w:proofErr w:type="spellEnd"/>
      <w:r w:rsidRPr="000C7C76">
        <w:rPr>
          <w:rFonts w:ascii="Times New Roman" w:hAnsi="Times New Roman" w:cs="Times New Roman"/>
          <w:lang w:val="de-DE"/>
        </w:rPr>
        <w:t xml:space="preserve"> </w:t>
      </w:r>
      <w:proofErr w:type="spellStart"/>
      <w:r w:rsidRPr="000C7C76">
        <w:rPr>
          <w:rFonts w:ascii="Times New Roman" w:hAnsi="Times New Roman" w:cs="Times New Roman"/>
          <w:lang w:val="de-DE"/>
        </w:rPr>
        <w:t>varētu</w:t>
      </w:r>
      <w:proofErr w:type="spellEnd"/>
      <w:r w:rsidRPr="000C7C76">
        <w:rPr>
          <w:rFonts w:ascii="Times New Roman" w:hAnsi="Times New Roman" w:cs="Times New Roman"/>
          <w:lang w:val="de-DE"/>
        </w:rPr>
        <w:t xml:space="preserve"> </w:t>
      </w:r>
      <w:proofErr w:type="spellStart"/>
      <w:r w:rsidRPr="000C7C76">
        <w:rPr>
          <w:rFonts w:ascii="Times New Roman" w:hAnsi="Times New Roman" w:cs="Times New Roman"/>
          <w:lang w:val="de-DE"/>
        </w:rPr>
        <w:t>pārbaudīt</w:t>
      </w:r>
      <w:proofErr w:type="spellEnd"/>
      <w:r w:rsidRPr="000C7C76">
        <w:rPr>
          <w:rFonts w:ascii="Times New Roman" w:hAnsi="Times New Roman" w:cs="Times New Roman"/>
          <w:lang w:val="de-DE"/>
        </w:rPr>
        <w:t xml:space="preserve"> ASV, </w:t>
      </w:r>
      <w:proofErr w:type="spellStart"/>
      <w:r w:rsidRPr="000C7C76">
        <w:rPr>
          <w:rFonts w:ascii="Times New Roman" w:hAnsi="Times New Roman" w:cs="Times New Roman"/>
          <w:lang w:val="de-DE"/>
        </w:rPr>
        <w:t>Lielbritānijā</w:t>
      </w:r>
      <w:proofErr w:type="spellEnd"/>
      <w:r w:rsidRPr="000C7C76">
        <w:rPr>
          <w:rFonts w:ascii="Times New Roman" w:hAnsi="Times New Roman" w:cs="Times New Roman"/>
          <w:lang w:val="de-DE"/>
        </w:rPr>
        <w:t xml:space="preserve"> </w:t>
      </w:r>
      <w:proofErr w:type="spellStart"/>
      <w:r w:rsidRPr="000C7C76">
        <w:rPr>
          <w:rFonts w:ascii="Times New Roman" w:hAnsi="Times New Roman" w:cs="Times New Roman"/>
          <w:lang w:val="de-DE"/>
        </w:rPr>
        <w:t>un</w:t>
      </w:r>
      <w:proofErr w:type="spellEnd"/>
      <w:r w:rsidRPr="000C7C76">
        <w:rPr>
          <w:rFonts w:ascii="Times New Roman" w:hAnsi="Times New Roman" w:cs="Times New Roman"/>
          <w:lang w:val="de-DE"/>
        </w:rPr>
        <w:t xml:space="preserve"> </w:t>
      </w:r>
      <w:proofErr w:type="spellStart"/>
      <w:r w:rsidRPr="000C7C76">
        <w:rPr>
          <w:rFonts w:ascii="Times New Roman" w:hAnsi="Times New Roman" w:cs="Times New Roman"/>
          <w:lang w:val="de-DE"/>
        </w:rPr>
        <w:t>citās</w:t>
      </w:r>
      <w:proofErr w:type="spellEnd"/>
      <w:r w:rsidRPr="000C7C76">
        <w:rPr>
          <w:rFonts w:ascii="Times New Roman" w:hAnsi="Times New Roman" w:cs="Times New Roman"/>
          <w:lang w:val="de-DE"/>
        </w:rPr>
        <w:t xml:space="preserve"> </w:t>
      </w:r>
      <w:proofErr w:type="spellStart"/>
      <w:r w:rsidRPr="000C7C76">
        <w:rPr>
          <w:rFonts w:ascii="Times New Roman" w:hAnsi="Times New Roman" w:cs="Times New Roman"/>
          <w:lang w:val="de-DE"/>
        </w:rPr>
        <w:t>anglosakšu</w:t>
      </w:r>
      <w:proofErr w:type="spellEnd"/>
      <w:r w:rsidRPr="000C7C76">
        <w:rPr>
          <w:rFonts w:ascii="Times New Roman" w:hAnsi="Times New Roman" w:cs="Times New Roman"/>
          <w:lang w:val="de-DE"/>
        </w:rPr>
        <w:t xml:space="preserve"> </w:t>
      </w:r>
      <w:proofErr w:type="spellStart"/>
      <w:r w:rsidRPr="000C7C76">
        <w:rPr>
          <w:rFonts w:ascii="Times New Roman" w:hAnsi="Times New Roman" w:cs="Times New Roman"/>
          <w:lang w:val="de-DE"/>
        </w:rPr>
        <w:t>valstīs</w:t>
      </w:r>
      <w:proofErr w:type="spellEnd"/>
      <w:r w:rsidRPr="000C7C76">
        <w:rPr>
          <w:rFonts w:ascii="Times New Roman" w:hAnsi="Times New Roman" w:cs="Times New Roman"/>
          <w:lang w:val="de-DE"/>
        </w:rPr>
        <w:t xml:space="preserve"> </w:t>
      </w:r>
      <w:proofErr w:type="spellStart"/>
      <w:r w:rsidRPr="000C7C76">
        <w:rPr>
          <w:rFonts w:ascii="Times New Roman" w:hAnsi="Times New Roman" w:cs="Times New Roman"/>
          <w:lang w:val="de-DE"/>
        </w:rPr>
        <w:t>reģistrētas</w:t>
      </w:r>
      <w:proofErr w:type="spellEnd"/>
      <w:r w:rsidRPr="000C7C76">
        <w:rPr>
          <w:rFonts w:ascii="Times New Roman" w:hAnsi="Times New Roman" w:cs="Times New Roman"/>
          <w:lang w:val="de-DE"/>
        </w:rPr>
        <w:t xml:space="preserve"> </w:t>
      </w:r>
      <w:proofErr w:type="spellStart"/>
      <w:r w:rsidRPr="000C7C76">
        <w:rPr>
          <w:rFonts w:ascii="Times New Roman" w:hAnsi="Times New Roman" w:cs="Times New Roman"/>
          <w:lang w:val="de-DE"/>
        </w:rPr>
        <w:t>juridiskās</w:t>
      </w:r>
      <w:proofErr w:type="spellEnd"/>
      <w:r w:rsidRPr="000C7C76">
        <w:rPr>
          <w:rFonts w:ascii="Times New Roman" w:hAnsi="Times New Roman" w:cs="Times New Roman"/>
          <w:lang w:val="de-DE"/>
        </w:rPr>
        <w:t xml:space="preserve"> personas </w:t>
      </w:r>
      <w:proofErr w:type="spellStart"/>
      <w:r w:rsidRPr="000C7C76">
        <w:rPr>
          <w:rFonts w:ascii="Times New Roman" w:hAnsi="Times New Roman" w:cs="Times New Roman"/>
          <w:lang w:val="de-DE"/>
        </w:rPr>
        <w:t>tiesībspēju</w:t>
      </w:r>
      <w:proofErr w:type="spellEnd"/>
      <w:r w:rsidRPr="000C7C76">
        <w:rPr>
          <w:rFonts w:ascii="Times New Roman" w:hAnsi="Times New Roman" w:cs="Times New Roman"/>
          <w:lang w:val="de-DE"/>
        </w:rPr>
        <w:t xml:space="preserve"> </w:t>
      </w:r>
      <w:proofErr w:type="spellStart"/>
      <w:r w:rsidRPr="000C7C76">
        <w:rPr>
          <w:rFonts w:ascii="Times New Roman" w:hAnsi="Times New Roman" w:cs="Times New Roman"/>
          <w:lang w:val="de-DE"/>
        </w:rPr>
        <w:t>un</w:t>
      </w:r>
      <w:proofErr w:type="spellEnd"/>
      <w:r w:rsidRPr="000C7C76">
        <w:rPr>
          <w:rFonts w:ascii="Times New Roman" w:hAnsi="Times New Roman" w:cs="Times New Roman"/>
          <w:lang w:val="de-DE"/>
        </w:rPr>
        <w:t xml:space="preserve"> </w:t>
      </w:r>
      <w:proofErr w:type="spellStart"/>
      <w:r w:rsidRPr="000C7C76">
        <w:rPr>
          <w:rFonts w:ascii="Times New Roman" w:hAnsi="Times New Roman" w:cs="Times New Roman"/>
          <w:lang w:val="de-DE"/>
        </w:rPr>
        <w:t>rīcībsp</w:t>
      </w:r>
      <w:r w:rsidR="00CA6703">
        <w:rPr>
          <w:rFonts w:ascii="Times New Roman" w:hAnsi="Times New Roman" w:cs="Times New Roman"/>
          <w:lang w:val="de-DE"/>
        </w:rPr>
        <w:t>ēju</w:t>
      </w:r>
      <w:proofErr w:type="spellEnd"/>
      <w:r w:rsidR="00CA6703">
        <w:rPr>
          <w:rFonts w:ascii="Times New Roman" w:hAnsi="Times New Roman" w:cs="Times New Roman"/>
          <w:lang w:val="de-DE"/>
        </w:rPr>
        <w:t xml:space="preserve">, </w:t>
      </w:r>
      <w:proofErr w:type="spellStart"/>
      <w:r w:rsidR="00CA6703">
        <w:rPr>
          <w:rFonts w:ascii="Times New Roman" w:hAnsi="Times New Roman" w:cs="Times New Roman"/>
          <w:lang w:val="de-DE"/>
        </w:rPr>
        <w:t>kā</w:t>
      </w:r>
      <w:proofErr w:type="spellEnd"/>
      <w:r w:rsidR="00CA6703">
        <w:rPr>
          <w:rFonts w:ascii="Times New Roman" w:hAnsi="Times New Roman" w:cs="Times New Roman"/>
          <w:lang w:val="de-DE"/>
        </w:rPr>
        <w:t xml:space="preserve"> </w:t>
      </w:r>
      <w:proofErr w:type="spellStart"/>
      <w:r w:rsidR="00CA6703">
        <w:rPr>
          <w:rFonts w:ascii="Times New Roman" w:hAnsi="Times New Roman" w:cs="Times New Roman"/>
          <w:lang w:val="de-DE"/>
        </w:rPr>
        <w:t>arī</w:t>
      </w:r>
      <w:proofErr w:type="spellEnd"/>
      <w:r w:rsidR="00CA6703">
        <w:rPr>
          <w:rFonts w:ascii="Times New Roman" w:hAnsi="Times New Roman" w:cs="Times New Roman"/>
          <w:lang w:val="de-DE"/>
        </w:rPr>
        <w:t xml:space="preserve"> </w:t>
      </w:r>
      <w:proofErr w:type="spellStart"/>
      <w:r w:rsidR="00CA6703">
        <w:rPr>
          <w:rFonts w:ascii="Times New Roman" w:hAnsi="Times New Roman" w:cs="Times New Roman"/>
          <w:lang w:val="de-DE"/>
        </w:rPr>
        <w:t>pārstāvju</w:t>
      </w:r>
      <w:proofErr w:type="spellEnd"/>
      <w:r w:rsidR="00CA6703">
        <w:rPr>
          <w:rFonts w:ascii="Times New Roman" w:hAnsi="Times New Roman" w:cs="Times New Roman"/>
          <w:lang w:val="de-DE"/>
        </w:rPr>
        <w:t xml:space="preserve"> </w:t>
      </w:r>
      <w:proofErr w:type="spellStart"/>
      <w:r w:rsidR="00CA6703">
        <w:rPr>
          <w:rFonts w:ascii="Times New Roman" w:hAnsi="Times New Roman" w:cs="Times New Roman"/>
          <w:lang w:val="de-DE"/>
        </w:rPr>
        <w:t>pilnvaras</w:t>
      </w:r>
      <w:proofErr w:type="spellEnd"/>
      <w:r w:rsidRPr="000C7C76">
        <w:rPr>
          <w:rFonts w:ascii="Times New Roman" w:hAnsi="Times New Roman" w:cs="Times New Roman"/>
          <w:lang w:val="de-DE"/>
        </w:rPr>
        <w:t>?</w:t>
      </w:r>
    </w:p>
    <w:p w14:paraId="01ADE559" w14:textId="77777777" w:rsidR="00114953" w:rsidRPr="000C7C76" w:rsidRDefault="00114953" w:rsidP="00114953">
      <w:pPr>
        <w:jc w:val="both"/>
        <w:rPr>
          <w:rFonts w:ascii="Times New Roman" w:hAnsi="Times New Roman" w:cs="Times New Roman"/>
          <w:lang w:val="de-DE"/>
        </w:rPr>
      </w:pPr>
    </w:p>
    <w:p w14:paraId="07443C76" w14:textId="4460633A" w:rsidR="00114953" w:rsidRPr="000C7C76" w:rsidRDefault="00114953" w:rsidP="00114953">
      <w:pPr>
        <w:jc w:val="both"/>
        <w:rPr>
          <w:rFonts w:ascii="Times New Roman" w:hAnsi="Times New Roman" w:cs="Times New Roman"/>
          <w:lang w:val="de-DE"/>
        </w:rPr>
      </w:pPr>
      <w:r w:rsidRPr="000C7C76">
        <w:rPr>
          <w:rFonts w:ascii="Times New Roman" w:hAnsi="Times New Roman" w:cs="Times New Roman"/>
          <w:lang w:val="de-DE"/>
        </w:rPr>
        <w:t xml:space="preserve">9. </w:t>
      </w:r>
      <w:proofErr w:type="spellStart"/>
      <w:r w:rsidRPr="000C7C76">
        <w:rPr>
          <w:rFonts w:ascii="Times New Roman" w:hAnsi="Times New Roman" w:cs="Times New Roman"/>
          <w:lang w:val="de-DE"/>
        </w:rPr>
        <w:t>Kādām</w:t>
      </w:r>
      <w:proofErr w:type="spellEnd"/>
      <w:r w:rsidRPr="000C7C76">
        <w:rPr>
          <w:rFonts w:ascii="Times New Roman" w:hAnsi="Times New Roman" w:cs="Times New Roman"/>
          <w:lang w:val="de-DE"/>
        </w:rPr>
        <w:t xml:space="preserve"> </w:t>
      </w:r>
      <w:proofErr w:type="spellStart"/>
      <w:r w:rsidRPr="000C7C76">
        <w:rPr>
          <w:rFonts w:ascii="Times New Roman" w:hAnsi="Times New Roman" w:cs="Times New Roman"/>
          <w:lang w:val="de-DE"/>
        </w:rPr>
        <w:t>prasībām</w:t>
      </w:r>
      <w:proofErr w:type="spellEnd"/>
      <w:r w:rsidRPr="000C7C76">
        <w:rPr>
          <w:rFonts w:ascii="Times New Roman" w:hAnsi="Times New Roman" w:cs="Times New Roman"/>
          <w:lang w:val="de-DE"/>
        </w:rPr>
        <w:t xml:space="preserve"> (</w:t>
      </w:r>
      <w:proofErr w:type="spellStart"/>
      <w:r w:rsidRPr="000C7C76">
        <w:rPr>
          <w:rFonts w:ascii="Times New Roman" w:hAnsi="Times New Roman" w:cs="Times New Roman"/>
          <w:lang w:val="de-DE"/>
        </w:rPr>
        <w:t>izdev</w:t>
      </w:r>
      <w:r w:rsidR="002564F3" w:rsidRPr="000C7C76">
        <w:rPr>
          <w:rFonts w:ascii="Times New Roman" w:hAnsi="Times New Roman" w:cs="Times New Roman"/>
          <w:lang w:val="de-DE"/>
        </w:rPr>
        <w:t>ējiestāde</w:t>
      </w:r>
      <w:proofErr w:type="spellEnd"/>
      <w:r w:rsidR="002564F3" w:rsidRPr="000C7C76">
        <w:rPr>
          <w:rFonts w:ascii="Times New Roman" w:hAnsi="Times New Roman" w:cs="Times New Roman"/>
          <w:lang w:val="de-DE"/>
        </w:rPr>
        <w:t xml:space="preserve">, </w:t>
      </w:r>
      <w:proofErr w:type="spellStart"/>
      <w:r w:rsidR="002564F3" w:rsidRPr="000C7C76">
        <w:rPr>
          <w:rFonts w:ascii="Times New Roman" w:hAnsi="Times New Roman" w:cs="Times New Roman"/>
          <w:lang w:val="de-DE"/>
        </w:rPr>
        <w:t>derīguma</w:t>
      </w:r>
      <w:proofErr w:type="spellEnd"/>
      <w:r w:rsidR="002564F3" w:rsidRPr="000C7C76">
        <w:rPr>
          <w:rFonts w:ascii="Times New Roman" w:hAnsi="Times New Roman" w:cs="Times New Roman"/>
          <w:lang w:val="de-DE"/>
        </w:rPr>
        <w:t xml:space="preserve"> </w:t>
      </w:r>
      <w:proofErr w:type="spellStart"/>
      <w:r w:rsidR="002564F3" w:rsidRPr="000C7C76">
        <w:rPr>
          <w:rFonts w:ascii="Times New Roman" w:hAnsi="Times New Roman" w:cs="Times New Roman"/>
          <w:lang w:val="de-DE"/>
        </w:rPr>
        <w:t>termiņi</w:t>
      </w:r>
      <w:proofErr w:type="spellEnd"/>
      <w:r w:rsidR="002564F3" w:rsidRPr="000C7C76">
        <w:rPr>
          <w:rFonts w:ascii="Times New Roman" w:hAnsi="Times New Roman" w:cs="Times New Roman"/>
          <w:lang w:val="de-DE"/>
        </w:rPr>
        <w:t xml:space="preserve">, </w:t>
      </w:r>
      <w:proofErr w:type="spellStart"/>
      <w:r w:rsidR="002564F3" w:rsidRPr="000C7C76">
        <w:rPr>
          <w:rFonts w:ascii="Times New Roman" w:hAnsi="Times New Roman" w:cs="Times New Roman"/>
          <w:lang w:val="de-DE"/>
        </w:rPr>
        <w:t>apl</w:t>
      </w:r>
      <w:r w:rsidRPr="000C7C76">
        <w:rPr>
          <w:rFonts w:ascii="Times New Roman" w:hAnsi="Times New Roman" w:cs="Times New Roman"/>
          <w:lang w:val="de-DE"/>
        </w:rPr>
        <w:t>ie</w:t>
      </w:r>
      <w:r w:rsidR="002564F3" w:rsidRPr="000C7C76">
        <w:rPr>
          <w:rFonts w:ascii="Times New Roman" w:hAnsi="Times New Roman" w:cs="Times New Roman"/>
          <w:lang w:val="de-DE"/>
        </w:rPr>
        <w:t>c</w:t>
      </w:r>
      <w:r w:rsidRPr="000C7C76">
        <w:rPr>
          <w:rFonts w:ascii="Times New Roman" w:hAnsi="Times New Roman" w:cs="Times New Roman"/>
          <w:lang w:val="de-DE"/>
        </w:rPr>
        <w:t>inājumi</w:t>
      </w:r>
      <w:proofErr w:type="spellEnd"/>
      <w:r w:rsidRPr="000C7C76">
        <w:rPr>
          <w:rFonts w:ascii="Times New Roman" w:hAnsi="Times New Roman" w:cs="Times New Roman"/>
          <w:lang w:val="de-DE"/>
        </w:rPr>
        <w:t xml:space="preserve"> </w:t>
      </w:r>
      <w:proofErr w:type="spellStart"/>
      <w:r w:rsidRPr="000C7C76">
        <w:rPr>
          <w:rFonts w:ascii="Times New Roman" w:hAnsi="Times New Roman" w:cs="Times New Roman"/>
          <w:lang w:val="de-DE"/>
        </w:rPr>
        <w:t>u.tml</w:t>
      </w:r>
      <w:proofErr w:type="spellEnd"/>
      <w:r w:rsidRPr="000C7C76">
        <w:rPr>
          <w:rFonts w:ascii="Times New Roman" w:hAnsi="Times New Roman" w:cs="Times New Roman"/>
          <w:lang w:val="de-DE"/>
        </w:rPr>
        <w:t xml:space="preserve">.) </w:t>
      </w:r>
      <w:proofErr w:type="spellStart"/>
      <w:r w:rsidRPr="000C7C76">
        <w:rPr>
          <w:rFonts w:ascii="Times New Roman" w:hAnsi="Times New Roman" w:cs="Times New Roman"/>
          <w:lang w:val="de-DE"/>
        </w:rPr>
        <w:t>jāatbilst</w:t>
      </w:r>
      <w:proofErr w:type="spellEnd"/>
      <w:r w:rsidRPr="000C7C76">
        <w:rPr>
          <w:rFonts w:ascii="Times New Roman" w:hAnsi="Times New Roman" w:cs="Times New Roman"/>
          <w:lang w:val="de-DE"/>
        </w:rPr>
        <w:t xml:space="preserve"> ASV, </w:t>
      </w:r>
      <w:proofErr w:type="spellStart"/>
      <w:r w:rsidRPr="000C7C76">
        <w:rPr>
          <w:rFonts w:ascii="Times New Roman" w:hAnsi="Times New Roman" w:cs="Times New Roman"/>
          <w:lang w:val="de-DE"/>
        </w:rPr>
        <w:t>Lielbritānijā</w:t>
      </w:r>
      <w:proofErr w:type="spellEnd"/>
      <w:r w:rsidRPr="000C7C76">
        <w:rPr>
          <w:rFonts w:ascii="Times New Roman" w:hAnsi="Times New Roman" w:cs="Times New Roman"/>
          <w:lang w:val="de-DE"/>
        </w:rPr>
        <w:t xml:space="preserve"> </w:t>
      </w:r>
      <w:proofErr w:type="spellStart"/>
      <w:r w:rsidRPr="000C7C76">
        <w:rPr>
          <w:rFonts w:ascii="Times New Roman" w:hAnsi="Times New Roman" w:cs="Times New Roman"/>
          <w:lang w:val="de-DE"/>
        </w:rPr>
        <w:t>un</w:t>
      </w:r>
      <w:proofErr w:type="spellEnd"/>
      <w:r w:rsidRPr="000C7C76">
        <w:rPr>
          <w:rFonts w:ascii="Times New Roman" w:hAnsi="Times New Roman" w:cs="Times New Roman"/>
          <w:lang w:val="de-DE"/>
        </w:rPr>
        <w:t xml:space="preserve"> </w:t>
      </w:r>
      <w:proofErr w:type="spellStart"/>
      <w:r w:rsidRPr="000C7C76">
        <w:rPr>
          <w:rFonts w:ascii="Times New Roman" w:hAnsi="Times New Roman" w:cs="Times New Roman"/>
          <w:lang w:val="de-DE"/>
        </w:rPr>
        <w:t>citās</w:t>
      </w:r>
      <w:proofErr w:type="spellEnd"/>
      <w:r w:rsidRPr="000C7C76">
        <w:rPr>
          <w:rFonts w:ascii="Times New Roman" w:hAnsi="Times New Roman" w:cs="Times New Roman"/>
          <w:lang w:val="de-DE"/>
        </w:rPr>
        <w:t xml:space="preserve"> </w:t>
      </w:r>
      <w:proofErr w:type="spellStart"/>
      <w:r w:rsidRPr="000C7C76">
        <w:rPr>
          <w:rFonts w:ascii="Times New Roman" w:hAnsi="Times New Roman" w:cs="Times New Roman"/>
          <w:lang w:val="de-DE"/>
        </w:rPr>
        <w:t>anglosakšu</w:t>
      </w:r>
      <w:proofErr w:type="spellEnd"/>
      <w:r w:rsidRPr="000C7C76">
        <w:rPr>
          <w:rFonts w:ascii="Times New Roman" w:hAnsi="Times New Roman" w:cs="Times New Roman"/>
          <w:lang w:val="de-DE"/>
        </w:rPr>
        <w:t xml:space="preserve"> </w:t>
      </w:r>
      <w:proofErr w:type="spellStart"/>
      <w:r w:rsidRPr="000C7C76">
        <w:rPr>
          <w:rFonts w:ascii="Times New Roman" w:hAnsi="Times New Roman" w:cs="Times New Roman"/>
          <w:lang w:val="de-DE"/>
        </w:rPr>
        <w:t>valstīs</w:t>
      </w:r>
      <w:proofErr w:type="spellEnd"/>
      <w:r w:rsidRPr="000C7C76">
        <w:rPr>
          <w:rFonts w:ascii="Times New Roman" w:hAnsi="Times New Roman" w:cs="Times New Roman"/>
          <w:lang w:val="de-DE"/>
        </w:rPr>
        <w:t xml:space="preserve"> </w:t>
      </w:r>
      <w:proofErr w:type="spellStart"/>
      <w:r w:rsidRPr="000C7C76">
        <w:rPr>
          <w:rFonts w:ascii="Times New Roman" w:hAnsi="Times New Roman" w:cs="Times New Roman"/>
          <w:lang w:val="de-DE"/>
        </w:rPr>
        <w:t>izdotai</w:t>
      </w:r>
      <w:proofErr w:type="spellEnd"/>
      <w:r w:rsidRPr="000C7C76">
        <w:rPr>
          <w:rFonts w:ascii="Times New Roman" w:hAnsi="Times New Roman" w:cs="Times New Roman"/>
          <w:lang w:val="de-DE"/>
        </w:rPr>
        <w:t xml:space="preserve"> </w:t>
      </w:r>
      <w:proofErr w:type="spellStart"/>
      <w:r w:rsidRPr="000C7C76">
        <w:rPr>
          <w:rFonts w:ascii="Times New Roman" w:hAnsi="Times New Roman" w:cs="Times New Roman"/>
          <w:lang w:val="de-DE"/>
        </w:rPr>
        <w:t>pilnvarai</w:t>
      </w:r>
      <w:proofErr w:type="spellEnd"/>
      <w:r w:rsidRPr="000C7C76">
        <w:rPr>
          <w:rFonts w:ascii="Times New Roman" w:hAnsi="Times New Roman" w:cs="Times New Roman"/>
          <w:lang w:val="de-DE"/>
        </w:rPr>
        <w:t xml:space="preserve">, </w:t>
      </w:r>
      <w:proofErr w:type="spellStart"/>
      <w:r w:rsidRPr="000C7C76">
        <w:rPr>
          <w:rFonts w:ascii="Times New Roman" w:hAnsi="Times New Roman" w:cs="Times New Roman"/>
          <w:lang w:val="de-DE"/>
        </w:rPr>
        <w:t>lai</w:t>
      </w:r>
      <w:proofErr w:type="spellEnd"/>
      <w:r w:rsidRPr="000C7C76">
        <w:rPr>
          <w:rFonts w:ascii="Times New Roman" w:hAnsi="Times New Roman" w:cs="Times New Roman"/>
          <w:lang w:val="de-DE"/>
        </w:rPr>
        <w:t xml:space="preserve"> </w:t>
      </w:r>
      <w:proofErr w:type="spellStart"/>
      <w:r w:rsidRPr="000C7C76">
        <w:rPr>
          <w:rFonts w:ascii="Times New Roman" w:hAnsi="Times New Roman" w:cs="Times New Roman"/>
          <w:lang w:val="de-DE"/>
        </w:rPr>
        <w:t>pēc</w:t>
      </w:r>
      <w:proofErr w:type="spellEnd"/>
      <w:r w:rsidRPr="000C7C76">
        <w:rPr>
          <w:rFonts w:ascii="Times New Roman" w:hAnsi="Times New Roman" w:cs="Times New Roman"/>
          <w:lang w:val="de-DE"/>
        </w:rPr>
        <w:t xml:space="preserve"> </w:t>
      </w:r>
      <w:proofErr w:type="spellStart"/>
      <w:r w:rsidRPr="000C7C76">
        <w:rPr>
          <w:rFonts w:ascii="Times New Roman" w:hAnsi="Times New Roman" w:cs="Times New Roman"/>
          <w:lang w:val="de-DE"/>
        </w:rPr>
        <w:t>tām</w:t>
      </w:r>
      <w:proofErr w:type="spellEnd"/>
      <w:r w:rsidRPr="000C7C76">
        <w:rPr>
          <w:rFonts w:ascii="Times New Roman" w:hAnsi="Times New Roman" w:cs="Times New Roman"/>
          <w:lang w:val="de-DE"/>
        </w:rPr>
        <w:t xml:space="preserve"> </w:t>
      </w:r>
      <w:proofErr w:type="spellStart"/>
      <w:r w:rsidRPr="000C7C76">
        <w:rPr>
          <w:rFonts w:ascii="Times New Roman" w:hAnsi="Times New Roman" w:cs="Times New Roman"/>
          <w:lang w:val="de-DE"/>
        </w:rPr>
        <w:t>Latvijā</w:t>
      </w:r>
      <w:proofErr w:type="spellEnd"/>
      <w:r w:rsidRPr="000C7C76">
        <w:rPr>
          <w:rFonts w:ascii="Times New Roman" w:hAnsi="Times New Roman" w:cs="Times New Roman"/>
          <w:lang w:val="de-DE"/>
        </w:rPr>
        <w:t xml:space="preserve"> </w:t>
      </w:r>
      <w:proofErr w:type="spellStart"/>
      <w:r w:rsidRPr="000C7C76">
        <w:rPr>
          <w:rFonts w:ascii="Times New Roman" w:hAnsi="Times New Roman" w:cs="Times New Roman"/>
          <w:lang w:val="de-DE"/>
        </w:rPr>
        <w:t>zvērināts</w:t>
      </w:r>
      <w:proofErr w:type="spellEnd"/>
      <w:r w:rsidRPr="000C7C76">
        <w:rPr>
          <w:rFonts w:ascii="Times New Roman" w:hAnsi="Times New Roman" w:cs="Times New Roman"/>
          <w:lang w:val="de-DE"/>
        </w:rPr>
        <w:t xml:space="preserve"> </w:t>
      </w:r>
      <w:proofErr w:type="spellStart"/>
      <w:r w:rsidRPr="000C7C76">
        <w:rPr>
          <w:rFonts w:ascii="Times New Roman" w:hAnsi="Times New Roman" w:cs="Times New Roman"/>
          <w:lang w:val="de-DE"/>
        </w:rPr>
        <w:t>notārs</w:t>
      </w:r>
      <w:proofErr w:type="spellEnd"/>
      <w:r w:rsidRPr="000C7C76">
        <w:rPr>
          <w:rFonts w:ascii="Times New Roman" w:hAnsi="Times New Roman" w:cs="Times New Roman"/>
          <w:lang w:val="de-DE"/>
        </w:rPr>
        <w:t xml:space="preserve"> </w:t>
      </w:r>
      <w:proofErr w:type="spellStart"/>
      <w:r w:rsidRPr="000C7C76">
        <w:rPr>
          <w:rFonts w:ascii="Times New Roman" w:hAnsi="Times New Roman" w:cs="Times New Roman"/>
          <w:lang w:val="de-DE"/>
        </w:rPr>
        <w:t>varētu</w:t>
      </w:r>
      <w:proofErr w:type="spellEnd"/>
      <w:r w:rsidR="00CA6703">
        <w:rPr>
          <w:rFonts w:ascii="Times New Roman" w:hAnsi="Times New Roman" w:cs="Times New Roman"/>
          <w:lang w:val="de-DE"/>
        </w:rPr>
        <w:t xml:space="preserve"> </w:t>
      </w:r>
      <w:proofErr w:type="spellStart"/>
      <w:r w:rsidR="00CA6703">
        <w:rPr>
          <w:rFonts w:ascii="Times New Roman" w:hAnsi="Times New Roman" w:cs="Times New Roman"/>
          <w:lang w:val="de-DE"/>
        </w:rPr>
        <w:t>pārbaudīt</w:t>
      </w:r>
      <w:proofErr w:type="spellEnd"/>
      <w:r w:rsidR="00CA6703">
        <w:rPr>
          <w:rFonts w:ascii="Times New Roman" w:hAnsi="Times New Roman" w:cs="Times New Roman"/>
          <w:lang w:val="de-DE"/>
        </w:rPr>
        <w:t xml:space="preserve"> </w:t>
      </w:r>
      <w:proofErr w:type="spellStart"/>
      <w:r w:rsidR="00CA6703">
        <w:rPr>
          <w:rFonts w:ascii="Times New Roman" w:hAnsi="Times New Roman" w:cs="Times New Roman"/>
          <w:lang w:val="de-DE"/>
        </w:rPr>
        <w:t>pārstāvības</w:t>
      </w:r>
      <w:proofErr w:type="spellEnd"/>
      <w:r w:rsidR="00CA6703">
        <w:rPr>
          <w:rFonts w:ascii="Times New Roman" w:hAnsi="Times New Roman" w:cs="Times New Roman"/>
          <w:lang w:val="de-DE"/>
        </w:rPr>
        <w:t xml:space="preserve"> </w:t>
      </w:r>
      <w:proofErr w:type="spellStart"/>
      <w:r w:rsidR="00CA6703">
        <w:rPr>
          <w:rFonts w:ascii="Times New Roman" w:hAnsi="Times New Roman" w:cs="Times New Roman"/>
          <w:lang w:val="de-DE"/>
        </w:rPr>
        <w:t>tiesības</w:t>
      </w:r>
      <w:proofErr w:type="spellEnd"/>
      <w:r w:rsidRPr="000C7C76">
        <w:rPr>
          <w:rFonts w:ascii="Times New Roman" w:hAnsi="Times New Roman" w:cs="Times New Roman"/>
          <w:lang w:val="de-DE"/>
        </w:rPr>
        <w:t>?</w:t>
      </w:r>
    </w:p>
    <w:p w14:paraId="5FD02607" w14:textId="77777777" w:rsidR="00114953" w:rsidRPr="000C7C76" w:rsidRDefault="00114953" w:rsidP="00114953">
      <w:pPr>
        <w:jc w:val="both"/>
        <w:rPr>
          <w:rFonts w:ascii="Times New Roman" w:hAnsi="Times New Roman" w:cs="Times New Roman"/>
          <w:lang w:val="de-DE"/>
        </w:rPr>
      </w:pPr>
    </w:p>
    <w:p w14:paraId="4F4FBCFD" w14:textId="77777777" w:rsidR="00114953" w:rsidRPr="000C7C76" w:rsidRDefault="00114953" w:rsidP="00114953">
      <w:pPr>
        <w:jc w:val="both"/>
        <w:rPr>
          <w:rFonts w:ascii="Times New Roman" w:hAnsi="Times New Roman" w:cs="Times New Roman"/>
          <w:lang w:val="de-DE"/>
        </w:rPr>
      </w:pPr>
    </w:p>
    <w:p w14:paraId="41121A64" w14:textId="77777777" w:rsidR="00114953" w:rsidRPr="000C7C76" w:rsidRDefault="00114953" w:rsidP="00114953">
      <w:pPr>
        <w:jc w:val="center"/>
        <w:rPr>
          <w:rFonts w:ascii="Times New Roman" w:hAnsi="Times New Roman" w:cs="Times New Roman"/>
          <w:b/>
          <w:sz w:val="28"/>
          <w:szCs w:val="28"/>
          <w:lang w:val="de-DE"/>
        </w:rPr>
      </w:pPr>
    </w:p>
    <w:p w14:paraId="6E8B380E" w14:textId="77777777" w:rsidR="00114953" w:rsidRPr="000C7C76" w:rsidRDefault="00114953" w:rsidP="00114953">
      <w:pPr>
        <w:jc w:val="center"/>
        <w:rPr>
          <w:rFonts w:ascii="Times New Roman" w:hAnsi="Times New Roman" w:cs="Times New Roman"/>
          <w:b/>
          <w:sz w:val="28"/>
          <w:szCs w:val="28"/>
          <w:lang w:val="de-DE"/>
        </w:rPr>
      </w:pPr>
    </w:p>
    <w:p w14:paraId="6DF26718" w14:textId="77777777" w:rsidR="00114953" w:rsidRPr="000C7C76" w:rsidRDefault="00114953" w:rsidP="00114953">
      <w:pPr>
        <w:jc w:val="center"/>
        <w:rPr>
          <w:rFonts w:ascii="Times New Roman" w:hAnsi="Times New Roman" w:cs="Times New Roman"/>
          <w:b/>
          <w:sz w:val="28"/>
          <w:szCs w:val="28"/>
          <w:lang w:val="de-DE"/>
        </w:rPr>
      </w:pPr>
    </w:p>
    <w:p w14:paraId="076A0739" w14:textId="77777777" w:rsidR="00114953" w:rsidRPr="000C7C76" w:rsidRDefault="00114953" w:rsidP="00114953">
      <w:pPr>
        <w:jc w:val="center"/>
        <w:rPr>
          <w:rFonts w:ascii="Times New Roman" w:hAnsi="Times New Roman" w:cs="Times New Roman"/>
          <w:b/>
          <w:sz w:val="28"/>
          <w:szCs w:val="28"/>
          <w:lang w:val="de-DE"/>
        </w:rPr>
      </w:pPr>
    </w:p>
    <w:p w14:paraId="09A3C0CB" w14:textId="77777777" w:rsidR="00114953" w:rsidRPr="000C7C76" w:rsidRDefault="00114953" w:rsidP="00114953">
      <w:pPr>
        <w:jc w:val="center"/>
        <w:rPr>
          <w:rFonts w:ascii="Times New Roman" w:hAnsi="Times New Roman" w:cs="Times New Roman"/>
          <w:b/>
          <w:sz w:val="28"/>
          <w:szCs w:val="28"/>
          <w:lang w:val="de-DE"/>
        </w:rPr>
      </w:pPr>
    </w:p>
    <w:p w14:paraId="6A27F03A" w14:textId="77777777" w:rsidR="00114953" w:rsidRPr="000C7C76" w:rsidRDefault="00114953" w:rsidP="00114953">
      <w:pPr>
        <w:jc w:val="center"/>
        <w:rPr>
          <w:rFonts w:ascii="Times New Roman" w:hAnsi="Times New Roman" w:cs="Times New Roman"/>
          <w:b/>
          <w:sz w:val="28"/>
          <w:szCs w:val="28"/>
          <w:lang w:val="de-DE"/>
        </w:rPr>
      </w:pPr>
    </w:p>
    <w:p w14:paraId="1937E206" w14:textId="77777777" w:rsidR="00114953" w:rsidRPr="000C7C76" w:rsidRDefault="00114953" w:rsidP="00114953">
      <w:pPr>
        <w:jc w:val="center"/>
        <w:rPr>
          <w:rFonts w:ascii="Times New Roman" w:hAnsi="Times New Roman" w:cs="Times New Roman"/>
          <w:b/>
          <w:sz w:val="28"/>
          <w:szCs w:val="28"/>
          <w:lang w:val="de-DE"/>
        </w:rPr>
      </w:pPr>
    </w:p>
    <w:p w14:paraId="0FE6CAD0" w14:textId="77777777" w:rsidR="00114953" w:rsidRPr="000C7C76" w:rsidRDefault="00114953" w:rsidP="00114953">
      <w:pPr>
        <w:jc w:val="center"/>
        <w:rPr>
          <w:rFonts w:ascii="Times New Roman" w:hAnsi="Times New Roman" w:cs="Times New Roman"/>
          <w:b/>
          <w:sz w:val="28"/>
          <w:szCs w:val="28"/>
          <w:lang w:val="de-DE"/>
        </w:rPr>
      </w:pPr>
    </w:p>
    <w:p w14:paraId="23FF3DBE" w14:textId="77777777" w:rsidR="00114953" w:rsidRPr="000C7C76" w:rsidRDefault="00114953" w:rsidP="00114953">
      <w:pPr>
        <w:jc w:val="center"/>
        <w:rPr>
          <w:rFonts w:ascii="Times New Roman" w:hAnsi="Times New Roman" w:cs="Times New Roman"/>
          <w:b/>
          <w:sz w:val="28"/>
          <w:szCs w:val="28"/>
          <w:lang w:val="de-DE"/>
        </w:rPr>
      </w:pPr>
    </w:p>
    <w:p w14:paraId="11F07400" w14:textId="77777777" w:rsidR="00114953" w:rsidRPr="000C7C76" w:rsidRDefault="00114953" w:rsidP="00114953">
      <w:pPr>
        <w:jc w:val="center"/>
        <w:rPr>
          <w:rFonts w:ascii="Times New Roman" w:hAnsi="Times New Roman" w:cs="Times New Roman"/>
          <w:b/>
          <w:sz w:val="28"/>
          <w:szCs w:val="28"/>
          <w:lang w:val="de-DE"/>
        </w:rPr>
      </w:pPr>
    </w:p>
    <w:p w14:paraId="509ECC89" w14:textId="77777777" w:rsidR="00114953" w:rsidRPr="000C7C76" w:rsidRDefault="00114953" w:rsidP="00114953">
      <w:pPr>
        <w:jc w:val="center"/>
        <w:rPr>
          <w:rFonts w:ascii="Times New Roman" w:hAnsi="Times New Roman" w:cs="Times New Roman"/>
          <w:b/>
          <w:sz w:val="28"/>
          <w:szCs w:val="28"/>
          <w:lang w:val="de-DE"/>
        </w:rPr>
      </w:pPr>
    </w:p>
    <w:p w14:paraId="771987DF" w14:textId="77777777" w:rsidR="00114953" w:rsidRPr="000C7C76" w:rsidRDefault="00114953" w:rsidP="00114953">
      <w:pPr>
        <w:jc w:val="center"/>
        <w:rPr>
          <w:rFonts w:ascii="Times New Roman" w:hAnsi="Times New Roman" w:cs="Times New Roman"/>
          <w:b/>
          <w:sz w:val="28"/>
          <w:szCs w:val="28"/>
          <w:lang w:val="de-DE"/>
        </w:rPr>
      </w:pPr>
    </w:p>
    <w:p w14:paraId="297E69A1" w14:textId="77777777" w:rsidR="00114953" w:rsidRPr="000C7C76" w:rsidRDefault="00114953" w:rsidP="00114953">
      <w:pPr>
        <w:jc w:val="center"/>
        <w:rPr>
          <w:rFonts w:ascii="Times New Roman" w:hAnsi="Times New Roman" w:cs="Times New Roman"/>
          <w:b/>
          <w:sz w:val="28"/>
          <w:szCs w:val="28"/>
          <w:lang w:val="de-DE"/>
        </w:rPr>
      </w:pPr>
    </w:p>
    <w:p w14:paraId="71A70374" w14:textId="77777777" w:rsidR="00114953" w:rsidRPr="000C7C76" w:rsidRDefault="00114953" w:rsidP="00114953">
      <w:pPr>
        <w:jc w:val="center"/>
        <w:rPr>
          <w:rFonts w:ascii="Times New Roman" w:hAnsi="Times New Roman" w:cs="Times New Roman"/>
          <w:b/>
          <w:sz w:val="28"/>
          <w:szCs w:val="28"/>
          <w:lang w:val="de-DE"/>
        </w:rPr>
      </w:pPr>
      <w:proofErr w:type="spellStart"/>
      <w:r w:rsidRPr="000C7C76">
        <w:rPr>
          <w:rFonts w:ascii="Times New Roman" w:hAnsi="Times New Roman" w:cs="Times New Roman"/>
          <w:b/>
          <w:sz w:val="28"/>
          <w:szCs w:val="28"/>
          <w:lang w:val="de-DE"/>
        </w:rPr>
        <w:t>Ievada</w:t>
      </w:r>
      <w:proofErr w:type="spellEnd"/>
      <w:r w:rsidRPr="000C7C76">
        <w:rPr>
          <w:rFonts w:ascii="Times New Roman" w:hAnsi="Times New Roman" w:cs="Times New Roman"/>
          <w:b/>
          <w:sz w:val="28"/>
          <w:szCs w:val="28"/>
          <w:lang w:val="de-DE"/>
        </w:rPr>
        <w:t xml:space="preserve"> </w:t>
      </w:r>
      <w:proofErr w:type="spellStart"/>
      <w:r w:rsidRPr="000C7C76">
        <w:rPr>
          <w:rFonts w:ascii="Times New Roman" w:hAnsi="Times New Roman" w:cs="Times New Roman"/>
          <w:b/>
          <w:sz w:val="28"/>
          <w:szCs w:val="28"/>
          <w:lang w:val="de-DE"/>
        </w:rPr>
        <w:t>piezīmes</w:t>
      </w:r>
      <w:proofErr w:type="spellEnd"/>
      <w:r w:rsidRPr="000C7C76">
        <w:rPr>
          <w:rFonts w:ascii="Times New Roman" w:hAnsi="Times New Roman" w:cs="Times New Roman"/>
          <w:b/>
          <w:sz w:val="28"/>
          <w:szCs w:val="28"/>
          <w:lang w:val="de-DE"/>
        </w:rPr>
        <w:t xml:space="preserve"> </w:t>
      </w:r>
      <w:proofErr w:type="spellStart"/>
      <w:r w:rsidRPr="000C7C76">
        <w:rPr>
          <w:rFonts w:ascii="Times New Roman" w:hAnsi="Times New Roman" w:cs="Times New Roman"/>
          <w:b/>
          <w:sz w:val="28"/>
          <w:szCs w:val="28"/>
          <w:lang w:val="de-DE"/>
        </w:rPr>
        <w:t>notāriem</w:t>
      </w:r>
      <w:proofErr w:type="spellEnd"/>
      <w:r w:rsidRPr="000C7C76">
        <w:rPr>
          <w:rFonts w:ascii="Times New Roman" w:hAnsi="Times New Roman" w:cs="Times New Roman"/>
          <w:b/>
          <w:sz w:val="28"/>
          <w:szCs w:val="28"/>
          <w:lang w:val="de-DE"/>
        </w:rPr>
        <w:t> </w:t>
      </w:r>
    </w:p>
    <w:p w14:paraId="2F3C5B4C" w14:textId="77777777" w:rsidR="00114953" w:rsidRPr="000C7C76" w:rsidRDefault="00114953" w:rsidP="00114953">
      <w:pPr>
        <w:jc w:val="center"/>
        <w:rPr>
          <w:rFonts w:ascii="Times New Roman" w:hAnsi="Times New Roman" w:cs="Times New Roman"/>
          <w:b/>
          <w:sz w:val="28"/>
          <w:szCs w:val="28"/>
          <w:lang w:val="de-DE"/>
        </w:rPr>
      </w:pPr>
    </w:p>
    <w:p w14:paraId="39874AA7" w14:textId="77777777" w:rsidR="00114953" w:rsidRPr="000C7C76" w:rsidRDefault="00114953" w:rsidP="00114953">
      <w:pPr>
        <w:jc w:val="center"/>
        <w:rPr>
          <w:rFonts w:ascii="Times New Roman" w:hAnsi="Times New Roman" w:cs="Times New Roman"/>
          <w:b/>
          <w:sz w:val="28"/>
          <w:szCs w:val="28"/>
          <w:lang w:val="de-DE"/>
        </w:rPr>
      </w:pPr>
    </w:p>
    <w:p w14:paraId="1647AC8E" w14:textId="77777777" w:rsidR="00114953" w:rsidRPr="000C7C76" w:rsidRDefault="00114953" w:rsidP="00114953">
      <w:pPr>
        <w:jc w:val="both"/>
        <w:rPr>
          <w:rFonts w:ascii="Times New Roman" w:hAnsi="Times New Roman" w:cs="Arial"/>
          <w:color w:val="323233"/>
          <w:lang w:val="de-DE"/>
        </w:rPr>
      </w:pPr>
      <w:r w:rsidRPr="000C7C76">
        <w:rPr>
          <w:rFonts w:ascii="Times New Roman" w:hAnsi="Times New Roman" w:cs="Times New Roman"/>
          <w:lang w:val="de-DE"/>
        </w:rPr>
        <w:t xml:space="preserve">1) Latvijas </w:t>
      </w:r>
      <w:proofErr w:type="spellStart"/>
      <w:r w:rsidRPr="000C7C76">
        <w:rPr>
          <w:rFonts w:ascii="Times New Roman" w:hAnsi="Times New Roman" w:cs="Times New Roman"/>
          <w:lang w:val="de-DE"/>
        </w:rPr>
        <w:t>notāri</w:t>
      </w:r>
      <w:proofErr w:type="spellEnd"/>
      <w:r w:rsidRPr="000C7C76">
        <w:rPr>
          <w:rFonts w:ascii="Times New Roman" w:hAnsi="Times New Roman" w:cs="Times New Roman"/>
          <w:lang w:val="de-DE"/>
        </w:rPr>
        <w:t xml:space="preserve"> </w:t>
      </w:r>
      <w:proofErr w:type="spellStart"/>
      <w:r w:rsidRPr="000C7C76">
        <w:rPr>
          <w:rFonts w:ascii="Times New Roman" w:hAnsi="Times New Roman" w:cs="Times New Roman"/>
          <w:lang w:val="de-DE"/>
        </w:rPr>
        <w:t>var</w:t>
      </w:r>
      <w:proofErr w:type="spellEnd"/>
      <w:r w:rsidRPr="000C7C76">
        <w:rPr>
          <w:rFonts w:ascii="Times New Roman" w:hAnsi="Times New Roman" w:cs="Times New Roman"/>
          <w:lang w:val="de-DE"/>
        </w:rPr>
        <w:t xml:space="preserve"> </w:t>
      </w:r>
      <w:proofErr w:type="spellStart"/>
      <w:r w:rsidRPr="000C7C76">
        <w:rPr>
          <w:rFonts w:ascii="Times New Roman" w:hAnsi="Times New Roman" w:cs="Times New Roman"/>
          <w:lang w:val="de-DE"/>
        </w:rPr>
        <w:t>būt</w:t>
      </w:r>
      <w:proofErr w:type="spellEnd"/>
      <w:r w:rsidRPr="000C7C76">
        <w:rPr>
          <w:rFonts w:ascii="Times New Roman" w:hAnsi="Times New Roman" w:cs="Times New Roman"/>
          <w:lang w:val="de-DE"/>
        </w:rPr>
        <w:t xml:space="preserve"> </w:t>
      </w:r>
      <w:proofErr w:type="spellStart"/>
      <w:r w:rsidRPr="000C7C76">
        <w:rPr>
          <w:rFonts w:ascii="Times New Roman" w:hAnsi="Times New Roman" w:cs="Times New Roman"/>
          <w:lang w:val="de-DE"/>
        </w:rPr>
        <w:t>kompetenti</w:t>
      </w:r>
      <w:proofErr w:type="spellEnd"/>
      <w:r w:rsidRPr="000C7C76">
        <w:rPr>
          <w:rFonts w:ascii="Times New Roman" w:hAnsi="Times New Roman" w:cs="Times New Roman"/>
          <w:lang w:val="de-DE"/>
        </w:rPr>
        <w:t xml:space="preserve"> </w:t>
      </w:r>
      <w:proofErr w:type="spellStart"/>
      <w:r w:rsidRPr="000C7C76">
        <w:rPr>
          <w:rFonts w:ascii="Times New Roman" w:hAnsi="Times New Roman" w:cs="Times New Roman"/>
          <w:lang w:val="de-DE"/>
        </w:rPr>
        <w:t>izdot</w:t>
      </w:r>
      <w:proofErr w:type="spellEnd"/>
      <w:r w:rsidRPr="000C7C76">
        <w:rPr>
          <w:rFonts w:ascii="Times New Roman" w:hAnsi="Times New Roman" w:cs="Times New Roman"/>
          <w:lang w:val="de-DE"/>
        </w:rPr>
        <w:t xml:space="preserve"> </w:t>
      </w:r>
      <w:proofErr w:type="spellStart"/>
      <w:r w:rsidRPr="000C7C76">
        <w:rPr>
          <w:rFonts w:ascii="Times New Roman" w:hAnsi="Times New Roman" w:cs="Times New Roman"/>
          <w:lang w:val="de-DE"/>
        </w:rPr>
        <w:t>jebkuru</w:t>
      </w:r>
      <w:proofErr w:type="spellEnd"/>
      <w:r w:rsidRPr="000C7C76">
        <w:rPr>
          <w:rFonts w:ascii="Times New Roman" w:hAnsi="Times New Roman" w:cs="Times New Roman"/>
          <w:lang w:val="de-DE"/>
        </w:rPr>
        <w:t xml:space="preserve"> </w:t>
      </w:r>
      <w:proofErr w:type="spellStart"/>
      <w:r w:rsidRPr="000C7C76">
        <w:rPr>
          <w:rFonts w:ascii="Times New Roman" w:hAnsi="Times New Roman" w:cs="Times New Roman"/>
          <w:lang w:val="de-DE"/>
        </w:rPr>
        <w:t>aktu</w:t>
      </w:r>
      <w:proofErr w:type="spellEnd"/>
      <w:r w:rsidRPr="000C7C76">
        <w:rPr>
          <w:rFonts w:ascii="Times New Roman" w:hAnsi="Times New Roman" w:cs="Times New Roman"/>
          <w:lang w:val="de-DE"/>
        </w:rPr>
        <w:t xml:space="preserve">, </w:t>
      </w:r>
      <w:proofErr w:type="spellStart"/>
      <w:r w:rsidRPr="000C7C76">
        <w:rPr>
          <w:rFonts w:ascii="Times New Roman" w:hAnsi="Times New Roman" w:cs="Times New Roman"/>
          <w:lang w:val="de-DE"/>
        </w:rPr>
        <w:t>pat</w:t>
      </w:r>
      <w:proofErr w:type="spellEnd"/>
      <w:r w:rsidRPr="000C7C76">
        <w:rPr>
          <w:rFonts w:ascii="Times New Roman" w:hAnsi="Times New Roman" w:cs="Times New Roman"/>
          <w:lang w:val="de-DE"/>
        </w:rPr>
        <w:t xml:space="preserve"> </w:t>
      </w:r>
      <w:proofErr w:type="spellStart"/>
      <w:r w:rsidRPr="000C7C76">
        <w:rPr>
          <w:rFonts w:ascii="Times New Roman" w:hAnsi="Times New Roman" w:cs="Times New Roman"/>
          <w:lang w:val="de-DE"/>
        </w:rPr>
        <w:t>tādu</w:t>
      </w:r>
      <w:proofErr w:type="spellEnd"/>
      <w:r w:rsidRPr="000C7C76">
        <w:rPr>
          <w:rFonts w:ascii="Times New Roman" w:hAnsi="Times New Roman" w:cs="Times New Roman"/>
          <w:lang w:val="de-DE"/>
        </w:rPr>
        <w:t xml:space="preserve">, </w:t>
      </w:r>
      <w:proofErr w:type="spellStart"/>
      <w:r w:rsidRPr="000C7C76">
        <w:rPr>
          <w:rFonts w:ascii="Times New Roman" w:hAnsi="Times New Roman" w:cs="Times New Roman"/>
          <w:lang w:val="de-DE"/>
        </w:rPr>
        <w:t>kuram</w:t>
      </w:r>
      <w:proofErr w:type="spellEnd"/>
      <w:r w:rsidRPr="000C7C76">
        <w:rPr>
          <w:rFonts w:ascii="Times New Roman" w:hAnsi="Times New Roman" w:cs="Times New Roman"/>
          <w:lang w:val="de-DE"/>
        </w:rPr>
        <w:t xml:space="preserve"> </w:t>
      </w:r>
      <w:proofErr w:type="spellStart"/>
      <w:r w:rsidRPr="000C7C76">
        <w:rPr>
          <w:rFonts w:ascii="Times New Roman" w:hAnsi="Times New Roman" w:cs="Times New Roman"/>
          <w:lang w:val="de-DE"/>
        </w:rPr>
        <w:t>piemērojams</w:t>
      </w:r>
      <w:proofErr w:type="spellEnd"/>
      <w:r w:rsidRPr="000C7C76">
        <w:rPr>
          <w:rFonts w:ascii="Times New Roman" w:hAnsi="Times New Roman" w:cs="Times New Roman"/>
          <w:lang w:val="de-DE"/>
        </w:rPr>
        <w:t xml:space="preserve"> </w:t>
      </w:r>
      <w:proofErr w:type="spellStart"/>
      <w:r w:rsidRPr="000C7C76">
        <w:rPr>
          <w:rFonts w:ascii="Times New Roman" w:hAnsi="Times New Roman" w:cs="Times New Roman"/>
          <w:lang w:val="de-DE"/>
        </w:rPr>
        <w:t>ārvalsts</w:t>
      </w:r>
      <w:proofErr w:type="spellEnd"/>
      <w:r w:rsidRPr="000C7C76">
        <w:rPr>
          <w:rFonts w:ascii="Times New Roman" w:hAnsi="Times New Roman" w:cs="Times New Roman"/>
          <w:lang w:val="de-DE"/>
        </w:rPr>
        <w:t xml:space="preserve"> </w:t>
      </w:r>
      <w:proofErr w:type="spellStart"/>
      <w:r w:rsidRPr="000C7C76">
        <w:rPr>
          <w:rFonts w:ascii="Times New Roman" w:hAnsi="Times New Roman" w:cs="Times New Roman"/>
          <w:lang w:val="de-DE"/>
        </w:rPr>
        <w:t>likums</w:t>
      </w:r>
      <w:proofErr w:type="spellEnd"/>
      <w:r w:rsidRPr="000C7C76">
        <w:rPr>
          <w:rFonts w:ascii="Times New Roman" w:hAnsi="Times New Roman" w:cs="Times New Roman"/>
          <w:lang w:val="de-DE"/>
        </w:rPr>
        <w:t xml:space="preserve"> </w:t>
      </w:r>
      <w:proofErr w:type="spellStart"/>
      <w:r w:rsidRPr="000C7C76">
        <w:rPr>
          <w:rFonts w:ascii="Times New Roman" w:hAnsi="Times New Roman" w:cs="Times New Roman"/>
          <w:lang w:val="de-DE"/>
        </w:rPr>
        <w:t>un</w:t>
      </w:r>
      <w:proofErr w:type="spellEnd"/>
      <w:r w:rsidRPr="000C7C76">
        <w:rPr>
          <w:rFonts w:ascii="Times New Roman" w:hAnsi="Times New Roman" w:cs="Times New Roman"/>
          <w:lang w:val="de-DE"/>
        </w:rPr>
        <w:t xml:space="preserve"> </w:t>
      </w:r>
      <w:proofErr w:type="spellStart"/>
      <w:r w:rsidRPr="000C7C76">
        <w:rPr>
          <w:rFonts w:ascii="Times New Roman" w:hAnsi="Times New Roman" w:cs="Times New Roman"/>
          <w:lang w:val="de-DE"/>
        </w:rPr>
        <w:t>kura</w:t>
      </w:r>
      <w:proofErr w:type="spellEnd"/>
      <w:r w:rsidRPr="000C7C76">
        <w:rPr>
          <w:rFonts w:ascii="Times New Roman" w:hAnsi="Times New Roman" w:cs="Times New Roman"/>
          <w:lang w:val="de-DE"/>
        </w:rPr>
        <w:t xml:space="preserve"> </w:t>
      </w:r>
      <w:proofErr w:type="spellStart"/>
      <w:r w:rsidRPr="000C7C76">
        <w:rPr>
          <w:rFonts w:ascii="Times New Roman" w:hAnsi="Times New Roman" w:cs="Times New Roman"/>
          <w:lang w:val="de-DE"/>
        </w:rPr>
        <w:t>dalībnieki</w:t>
      </w:r>
      <w:proofErr w:type="spellEnd"/>
      <w:r w:rsidRPr="000C7C76">
        <w:rPr>
          <w:rFonts w:ascii="Times New Roman" w:hAnsi="Times New Roman" w:cs="Times New Roman"/>
          <w:lang w:val="de-DE"/>
        </w:rPr>
        <w:t xml:space="preserve"> </w:t>
      </w:r>
      <w:proofErr w:type="spellStart"/>
      <w:r w:rsidRPr="000C7C76">
        <w:rPr>
          <w:rFonts w:ascii="Times New Roman" w:hAnsi="Times New Roman" w:cs="Times New Roman"/>
          <w:lang w:val="de-DE"/>
        </w:rPr>
        <w:t>ir</w:t>
      </w:r>
      <w:proofErr w:type="spellEnd"/>
      <w:r w:rsidRPr="000C7C76">
        <w:rPr>
          <w:rFonts w:ascii="Times New Roman" w:hAnsi="Times New Roman" w:cs="Times New Roman"/>
          <w:lang w:val="de-DE"/>
        </w:rPr>
        <w:t xml:space="preserve"> </w:t>
      </w:r>
      <w:proofErr w:type="spellStart"/>
      <w:r w:rsidRPr="000C7C76">
        <w:rPr>
          <w:rFonts w:ascii="Times New Roman" w:hAnsi="Times New Roman" w:cs="Times New Roman"/>
          <w:lang w:val="de-DE"/>
        </w:rPr>
        <w:t>vai</w:t>
      </w:r>
      <w:proofErr w:type="spellEnd"/>
      <w:r w:rsidRPr="000C7C76">
        <w:rPr>
          <w:rFonts w:ascii="Times New Roman" w:hAnsi="Times New Roman" w:cs="Times New Roman"/>
          <w:lang w:val="de-DE"/>
        </w:rPr>
        <w:t xml:space="preserve"> nu Latvijas </w:t>
      </w:r>
      <w:proofErr w:type="spellStart"/>
      <w:r w:rsidRPr="000C7C76">
        <w:rPr>
          <w:rFonts w:ascii="Times New Roman" w:hAnsi="Times New Roman" w:cs="Times New Roman"/>
          <w:lang w:val="de-DE"/>
        </w:rPr>
        <w:t>pilsoņi</w:t>
      </w:r>
      <w:proofErr w:type="spellEnd"/>
      <w:r w:rsidRPr="000C7C76">
        <w:rPr>
          <w:rFonts w:ascii="Times New Roman" w:hAnsi="Times New Roman" w:cs="Times New Roman"/>
          <w:lang w:val="de-DE"/>
        </w:rPr>
        <w:t xml:space="preserve"> </w:t>
      </w:r>
      <w:proofErr w:type="spellStart"/>
      <w:r w:rsidRPr="000C7C76">
        <w:rPr>
          <w:rFonts w:ascii="Times New Roman" w:hAnsi="Times New Roman" w:cs="Times New Roman"/>
          <w:lang w:val="de-DE"/>
        </w:rPr>
        <w:t>un</w:t>
      </w:r>
      <w:proofErr w:type="spellEnd"/>
      <w:r w:rsidRPr="000C7C76">
        <w:rPr>
          <w:rFonts w:ascii="Times New Roman" w:hAnsi="Times New Roman" w:cs="Times New Roman"/>
          <w:lang w:val="de-DE"/>
        </w:rPr>
        <w:t xml:space="preserve"> </w:t>
      </w:r>
      <w:proofErr w:type="spellStart"/>
      <w:r w:rsidRPr="000C7C76">
        <w:rPr>
          <w:rFonts w:ascii="Times New Roman" w:hAnsi="Times New Roman" w:cs="Times New Roman"/>
          <w:lang w:val="de-DE"/>
        </w:rPr>
        <w:t>iedzīvotāji</w:t>
      </w:r>
      <w:proofErr w:type="spellEnd"/>
      <w:r w:rsidRPr="000C7C76">
        <w:rPr>
          <w:rFonts w:ascii="Times New Roman" w:hAnsi="Times New Roman" w:cs="Times New Roman"/>
          <w:lang w:val="de-DE"/>
        </w:rPr>
        <w:t xml:space="preserve">, </w:t>
      </w:r>
      <w:proofErr w:type="spellStart"/>
      <w:r w:rsidRPr="000C7C76">
        <w:rPr>
          <w:rFonts w:ascii="Times New Roman" w:hAnsi="Times New Roman" w:cs="Times New Roman"/>
          <w:lang w:val="de-DE"/>
        </w:rPr>
        <w:t>vai</w:t>
      </w:r>
      <w:proofErr w:type="spellEnd"/>
      <w:r w:rsidRPr="000C7C76">
        <w:rPr>
          <w:rFonts w:ascii="Times New Roman" w:hAnsi="Times New Roman" w:cs="Times New Roman"/>
          <w:lang w:val="de-DE"/>
        </w:rPr>
        <w:t xml:space="preserve"> </w:t>
      </w:r>
      <w:proofErr w:type="spellStart"/>
      <w:r w:rsidRPr="000C7C76">
        <w:rPr>
          <w:rFonts w:ascii="Times New Roman" w:hAnsi="Times New Roman" w:cs="Times New Roman"/>
          <w:lang w:val="de-DE"/>
        </w:rPr>
        <w:t>ārvalstu</w:t>
      </w:r>
      <w:proofErr w:type="spellEnd"/>
      <w:r w:rsidRPr="000C7C76">
        <w:rPr>
          <w:rFonts w:ascii="Times New Roman" w:hAnsi="Times New Roman" w:cs="Times New Roman"/>
          <w:lang w:val="de-DE"/>
        </w:rPr>
        <w:t xml:space="preserve"> </w:t>
      </w:r>
      <w:proofErr w:type="spellStart"/>
      <w:r w:rsidRPr="000C7C76">
        <w:rPr>
          <w:rFonts w:ascii="Times New Roman" w:hAnsi="Times New Roman" w:cs="Times New Roman"/>
          <w:lang w:val="de-DE"/>
        </w:rPr>
        <w:t>pilsoņi</w:t>
      </w:r>
      <w:proofErr w:type="spellEnd"/>
      <w:r w:rsidRPr="000C7C76">
        <w:rPr>
          <w:rFonts w:ascii="Times New Roman" w:hAnsi="Times New Roman" w:cs="Times New Roman"/>
          <w:lang w:val="de-DE"/>
        </w:rPr>
        <w:t xml:space="preserve"> </w:t>
      </w:r>
      <w:proofErr w:type="spellStart"/>
      <w:r w:rsidRPr="000C7C76">
        <w:rPr>
          <w:rFonts w:ascii="Times New Roman" w:hAnsi="Times New Roman" w:cs="Times New Roman"/>
          <w:lang w:val="de-DE"/>
        </w:rPr>
        <w:t>un</w:t>
      </w:r>
      <w:proofErr w:type="spellEnd"/>
      <w:r w:rsidRPr="000C7C76">
        <w:rPr>
          <w:rFonts w:ascii="Times New Roman" w:hAnsi="Times New Roman" w:cs="Times New Roman"/>
          <w:lang w:val="de-DE"/>
        </w:rPr>
        <w:t xml:space="preserve"> </w:t>
      </w:r>
      <w:proofErr w:type="spellStart"/>
      <w:r w:rsidRPr="000C7C76">
        <w:rPr>
          <w:rFonts w:ascii="Times New Roman" w:hAnsi="Times New Roman" w:cs="Times New Roman"/>
          <w:lang w:val="de-DE"/>
        </w:rPr>
        <w:t>iedzīvotāji</w:t>
      </w:r>
      <w:proofErr w:type="spellEnd"/>
      <w:r w:rsidRPr="000C7C76">
        <w:rPr>
          <w:rFonts w:ascii="Times New Roman" w:hAnsi="Times New Roman" w:cs="Times New Roman"/>
          <w:lang w:val="de-DE"/>
        </w:rPr>
        <w:t xml:space="preserve">. Skat. </w:t>
      </w:r>
      <w:proofErr w:type="spellStart"/>
      <w:r w:rsidRPr="000C7C76">
        <w:rPr>
          <w:rFonts w:ascii="Times New Roman" w:hAnsi="Times New Roman" w:cs="Times New Roman"/>
          <w:lang w:val="de-DE"/>
        </w:rPr>
        <w:t>Notariāta</w:t>
      </w:r>
      <w:proofErr w:type="spellEnd"/>
      <w:r w:rsidRPr="000C7C76">
        <w:rPr>
          <w:rFonts w:ascii="Times New Roman" w:hAnsi="Times New Roman" w:cs="Times New Roman"/>
          <w:lang w:val="de-DE"/>
        </w:rPr>
        <w:t xml:space="preserve"> </w:t>
      </w:r>
      <w:proofErr w:type="spellStart"/>
      <w:r w:rsidRPr="000C7C76">
        <w:rPr>
          <w:rFonts w:ascii="Times New Roman" w:hAnsi="Times New Roman" w:cs="Times New Roman"/>
          <w:lang w:val="de-DE"/>
        </w:rPr>
        <w:t>likuma</w:t>
      </w:r>
      <w:proofErr w:type="spellEnd"/>
      <w:r w:rsidRPr="000C7C76">
        <w:rPr>
          <w:rFonts w:ascii="Times New Roman" w:hAnsi="Times New Roman" w:cs="Times New Roman"/>
          <w:lang w:val="de-DE"/>
        </w:rPr>
        <w:t xml:space="preserve"> 5.pantu </w:t>
      </w:r>
      <w:proofErr w:type="spellStart"/>
      <w:r w:rsidRPr="000C7C76">
        <w:rPr>
          <w:rFonts w:ascii="Times New Roman" w:hAnsi="Times New Roman" w:cs="Times New Roman"/>
          <w:lang w:val="de-DE"/>
        </w:rPr>
        <w:t>saskaņā</w:t>
      </w:r>
      <w:proofErr w:type="spellEnd"/>
      <w:r w:rsidRPr="000C7C76">
        <w:rPr>
          <w:rFonts w:ascii="Times New Roman" w:hAnsi="Times New Roman" w:cs="Times New Roman"/>
          <w:lang w:val="de-DE"/>
        </w:rPr>
        <w:t xml:space="preserve"> </w:t>
      </w:r>
      <w:proofErr w:type="spellStart"/>
      <w:r w:rsidRPr="000C7C76">
        <w:rPr>
          <w:rFonts w:ascii="Times New Roman" w:hAnsi="Times New Roman" w:cs="Times New Roman"/>
          <w:lang w:val="de-DE"/>
        </w:rPr>
        <w:t>ar</w:t>
      </w:r>
      <w:proofErr w:type="spellEnd"/>
      <w:r w:rsidRPr="000C7C76">
        <w:rPr>
          <w:rFonts w:ascii="Times New Roman" w:hAnsi="Times New Roman" w:cs="Times New Roman"/>
          <w:lang w:val="de-DE"/>
        </w:rPr>
        <w:t xml:space="preserve"> </w:t>
      </w:r>
      <w:proofErr w:type="spellStart"/>
      <w:r w:rsidRPr="000C7C76">
        <w:rPr>
          <w:rFonts w:ascii="Times New Roman" w:hAnsi="Times New Roman" w:cs="Times New Roman"/>
          <w:lang w:val="de-DE"/>
        </w:rPr>
        <w:t>kuru</w:t>
      </w:r>
      <w:proofErr w:type="spellEnd"/>
      <w:r w:rsidRPr="000C7C76">
        <w:rPr>
          <w:rFonts w:ascii="Times New Roman" w:hAnsi="Times New Roman" w:cs="Times New Roman"/>
          <w:lang w:val="de-DE"/>
        </w:rPr>
        <w:t xml:space="preserve"> </w:t>
      </w:r>
      <w:proofErr w:type="spellStart"/>
      <w:r w:rsidRPr="000C7C76">
        <w:rPr>
          <w:rFonts w:ascii="Times New Roman" w:hAnsi="Times New Roman" w:cs="Arial"/>
          <w:color w:val="323233"/>
          <w:lang w:val="de-DE"/>
        </w:rPr>
        <w:t>zvērināts</w:t>
      </w:r>
      <w:proofErr w:type="spellEnd"/>
      <w:r w:rsidRPr="000C7C76">
        <w:rPr>
          <w:rFonts w:ascii="Times New Roman" w:hAnsi="Times New Roman" w:cs="Arial"/>
          <w:color w:val="323233"/>
          <w:lang w:val="de-DE"/>
        </w:rPr>
        <w:t xml:space="preserve"> </w:t>
      </w:r>
      <w:proofErr w:type="spellStart"/>
      <w:r w:rsidRPr="000C7C76">
        <w:rPr>
          <w:rFonts w:ascii="Times New Roman" w:hAnsi="Times New Roman" w:cs="Arial"/>
          <w:color w:val="323233"/>
          <w:lang w:val="de-DE"/>
        </w:rPr>
        <w:t>notārs</w:t>
      </w:r>
      <w:proofErr w:type="spellEnd"/>
      <w:r w:rsidRPr="000C7C76">
        <w:rPr>
          <w:rFonts w:ascii="Times New Roman" w:hAnsi="Times New Roman" w:cs="Arial"/>
          <w:color w:val="323233"/>
          <w:lang w:val="de-DE"/>
        </w:rPr>
        <w:t xml:space="preserve"> </w:t>
      </w:r>
      <w:proofErr w:type="spellStart"/>
      <w:r w:rsidRPr="000C7C76">
        <w:rPr>
          <w:rFonts w:ascii="Times New Roman" w:hAnsi="Times New Roman" w:cs="Arial"/>
          <w:color w:val="323233"/>
          <w:lang w:val="de-DE"/>
        </w:rPr>
        <w:t>amata</w:t>
      </w:r>
      <w:proofErr w:type="spellEnd"/>
      <w:r w:rsidRPr="000C7C76">
        <w:rPr>
          <w:rFonts w:ascii="Times New Roman" w:hAnsi="Times New Roman" w:cs="Arial"/>
          <w:color w:val="323233"/>
          <w:lang w:val="de-DE"/>
        </w:rPr>
        <w:t xml:space="preserve"> </w:t>
      </w:r>
      <w:proofErr w:type="spellStart"/>
      <w:r w:rsidRPr="000C7C76">
        <w:rPr>
          <w:rFonts w:ascii="Times New Roman" w:hAnsi="Times New Roman" w:cs="Arial"/>
          <w:color w:val="323233"/>
          <w:lang w:val="de-DE"/>
        </w:rPr>
        <w:t>darbībā</w:t>
      </w:r>
      <w:proofErr w:type="spellEnd"/>
      <w:r w:rsidRPr="000C7C76">
        <w:rPr>
          <w:rFonts w:ascii="Times New Roman" w:hAnsi="Times New Roman" w:cs="Arial"/>
          <w:color w:val="323233"/>
          <w:lang w:val="de-DE"/>
        </w:rPr>
        <w:t xml:space="preserve"> </w:t>
      </w:r>
      <w:proofErr w:type="spellStart"/>
      <w:r w:rsidRPr="000C7C76">
        <w:rPr>
          <w:rFonts w:ascii="Times New Roman" w:hAnsi="Times New Roman" w:cs="Arial"/>
          <w:color w:val="323233"/>
          <w:lang w:val="de-DE"/>
        </w:rPr>
        <w:t>pakļauts</w:t>
      </w:r>
      <w:proofErr w:type="spellEnd"/>
      <w:r w:rsidRPr="000C7C76">
        <w:rPr>
          <w:rFonts w:ascii="Times New Roman" w:hAnsi="Times New Roman" w:cs="Arial"/>
          <w:color w:val="323233"/>
          <w:lang w:val="de-DE"/>
        </w:rPr>
        <w:t xml:space="preserve"> </w:t>
      </w:r>
      <w:proofErr w:type="spellStart"/>
      <w:r w:rsidRPr="000C7C76">
        <w:rPr>
          <w:rFonts w:ascii="Times New Roman" w:hAnsi="Times New Roman" w:cs="Arial"/>
          <w:color w:val="323233"/>
          <w:lang w:val="de-DE"/>
        </w:rPr>
        <w:t>vienīgi</w:t>
      </w:r>
      <w:proofErr w:type="spellEnd"/>
      <w:r w:rsidRPr="000C7C76">
        <w:rPr>
          <w:rFonts w:ascii="Times New Roman" w:hAnsi="Times New Roman" w:cs="Arial"/>
          <w:color w:val="323233"/>
          <w:lang w:val="de-DE"/>
        </w:rPr>
        <w:t xml:space="preserve"> </w:t>
      </w:r>
      <w:proofErr w:type="spellStart"/>
      <w:r w:rsidRPr="000C7C76">
        <w:rPr>
          <w:rFonts w:ascii="Times New Roman" w:hAnsi="Times New Roman" w:cs="Arial"/>
          <w:color w:val="323233"/>
          <w:lang w:val="de-DE"/>
        </w:rPr>
        <w:t>likumam</w:t>
      </w:r>
      <w:proofErr w:type="spellEnd"/>
      <w:r w:rsidRPr="000C7C76">
        <w:rPr>
          <w:rFonts w:ascii="Times New Roman" w:hAnsi="Times New Roman" w:cs="Arial"/>
          <w:color w:val="323233"/>
          <w:lang w:val="de-DE"/>
        </w:rPr>
        <w:t xml:space="preserve"> </w:t>
      </w:r>
      <w:proofErr w:type="spellStart"/>
      <w:r w:rsidRPr="000C7C76">
        <w:rPr>
          <w:rFonts w:ascii="Times New Roman" w:hAnsi="Times New Roman" w:cs="Arial"/>
          <w:color w:val="323233"/>
          <w:lang w:val="de-DE"/>
        </w:rPr>
        <w:t>un</w:t>
      </w:r>
      <w:proofErr w:type="spellEnd"/>
      <w:r w:rsidRPr="000C7C76">
        <w:rPr>
          <w:rFonts w:ascii="Times New Roman" w:hAnsi="Times New Roman" w:cs="Arial"/>
          <w:color w:val="323233"/>
          <w:lang w:val="de-DE"/>
        </w:rPr>
        <w:t xml:space="preserve"> </w:t>
      </w:r>
      <w:proofErr w:type="spellStart"/>
      <w:r w:rsidRPr="000C7C76">
        <w:rPr>
          <w:rFonts w:ascii="Times New Roman" w:hAnsi="Times New Roman" w:cs="Arial"/>
          <w:color w:val="323233"/>
          <w:lang w:val="de-DE"/>
        </w:rPr>
        <w:t>pilda</w:t>
      </w:r>
      <w:proofErr w:type="spellEnd"/>
      <w:r w:rsidRPr="000C7C76">
        <w:rPr>
          <w:rFonts w:ascii="Times New Roman" w:hAnsi="Times New Roman" w:cs="Arial"/>
          <w:color w:val="323233"/>
          <w:lang w:val="de-DE"/>
        </w:rPr>
        <w:t xml:space="preserve"> </w:t>
      </w:r>
      <w:proofErr w:type="spellStart"/>
      <w:r w:rsidRPr="000C7C76">
        <w:rPr>
          <w:rFonts w:ascii="Times New Roman" w:hAnsi="Times New Roman" w:cs="Arial"/>
          <w:color w:val="323233"/>
          <w:lang w:val="de-DE"/>
        </w:rPr>
        <w:t>savus</w:t>
      </w:r>
      <w:proofErr w:type="spellEnd"/>
      <w:r w:rsidRPr="000C7C76">
        <w:rPr>
          <w:rFonts w:ascii="Times New Roman" w:hAnsi="Times New Roman" w:cs="Arial"/>
          <w:color w:val="323233"/>
          <w:lang w:val="de-DE"/>
        </w:rPr>
        <w:t xml:space="preserve"> </w:t>
      </w:r>
      <w:proofErr w:type="spellStart"/>
      <w:r w:rsidRPr="000C7C76">
        <w:rPr>
          <w:rFonts w:ascii="Times New Roman" w:hAnsi="Times New Roman" w:cs="Arial"/>
          <w:color w:val="323233"/>
          <w:lang w:val="de-DE"/>
        </w:rPr>
        <w:t>pienākumus</w:t>
      </w:r>
      <w:proofErr w:type="spellEnd"/>
      <w:r w:rsidRPr="000C7C76">
        <w:rPr>
          <w:rFonts w:ascii="Times New Roman" w:hAnsi="Times New Roman" w:cs="Arial"/>
          <w:color w:val="323233"/>
          <w:lang w:val="de-DE"/>
        </w:rPr>
        <w:t xml:space="preserve"> </w:t>
      </w:r>
      <w:proofErr w:type="spellStart"/>
      <w:r w:rsidRPr="000C7C76">
        <w:rPr>
          <w:rFonts w:ascii="Times New Roman" w:hAnsi="Times New Roman" w:cs="Arial"/>
          <w:color w:val="323233"/>
          <w:lang w:val="de-DE"/>
        </w:rPr>
        <w:t>kā</w:t>
      </w:r>
      <w:proofErr w:type="spellEnd"/>
      <w:r w:rsidRPr="000C7C76">
        <w:rPr>
          <w:rFonts w:ascii="Times New Roman" w:hAnsi="Times New Roman" w:cs="Arial"/>
          <w:color w:val="323233"/>
          <w:lang w:val="de-DE"/>
        </w:rPr>
        <w:t xml:space="preserve"> </w:t>
      </w:r>
      <w:proofErr w:type="spellStart"/>
      <w:r w:rsidRPr="000C7C76">
        <w:rPr>
          <w:rFonts w:ascii="Times New Roman" w:hAnsi="Times New Roman" w:cs="Arial"/>
          <w:color w:val="323233"/>
          <w:lang w:val="de-DE"/>
        </w:rPr>
        <w:t>neatkarīgs</w:t>
      </w:r>
      <w:proofErr w:type="spellEnd"/>
      <w:r w:rsidRPr="000C7C76">
        <w:rPr>
          <w:rFonts w:ascii="Times New Roman" w:hAnsi="Times New Roman" w:cs="Arial"/>
          <w:color w:val="323233"/>
          <w:lang w:val="de-DE"/>
        </w:rPr>
        <w:t xml:space="preserve">, </w:t>
      </w:r>
      <w:proofErr w:type="spellStart"/>
      <w:r w:rsidRPr="000C7C76">
        <w:rPr>
          <w:rFonts w:ascii="Times New Roman" w:hAnsi="Times New Roman" w:cs="Arial"/>
          <w:color w:val="323233"/>
          <w:lang w:val="de-DE"/>
        </w:rPr>
        <w:t>neitrāls</w:t>
      </w:r>
      <w:proofErr w:type="spellEnd"/>
      <w:r w:rsidRPr="000C7C76">
        <w:rPr>
          <w:rFonts w:ascii="Times New Roman" w:hAnsi="Times New Roman" w:cs="Arial"/>
          <w:color w:val="323233"/>
          <w:lang w:val="de-DE"/>
        </w:rPr>
        <w:t xml:space="preserve"> </w:t>
      </w:r>
      <w:proofErr w:type="spellStart"/>
      <w:r w:rsidRPr="000C7C76">
        <w:rPr>
          <w:rFonts w:ascii="Times New Roman" w:hAnsi="Times New Roman" w:cs="Arial"/>
          <w:color w:val="323233"/>
          <w:u w:val="single"/>
          <w:lang w:val="de-DE"/>
        </w:rPr>
        <w:t>fizisko</w:t>
      </w:r>
      <w:proofErr w:type="spellEnd"/>
      <w:r w:rsidRPr="000C7C76">
        <w:rPr>
          <w:rFonts w:ascii="Times New Roman" w:hAnsi="Times New Roman" w:cs="Arial"/>
          <w:color w:val="323233"/>
          <w:u w:val="single"/>
          <w:lang w:val="de-DE"/>
        </w:rPr>
        <w:t xml:space="preserve"> </w:t>
      </w:r>
      <w:proofErr w:type="spellStart"/>
      <w:r w:rsidRPr="000C7C76">
        <w:rPr>
          <w:rFonts w:ascii="Times New Roman" w:hAnsi="Times New Roman" w:cs="Arial"/>
          <w:color w:val="323233"/>
          <w:u w:val="single"/>
          <w:lang w:val="de-DE"/>
        </w:rPr>
        <w:t>un</w:t>
      </w:r>
      <w:proofErr w:type="spellEnd"/>
      <w:r w:rsidRPr="000C7C76">
        <w:rPr>
          <w:rFonts w:ascii="Times New Roman" w:hAnsi="Times New Roman" w:cs="Arial"/>
          <w:color w:val="323233"/>
          <w:u w:val="single"/>
          <w:lang w:val="de-DE"/>
        </w:rPr>
        <w:t xml:space="preserve"> </w:t>
      </w:r>
      <w:proofErr w:type="spellStart"/>
      <w:r w:rsidRPr="000C7C76">
        <w:rPr>
          <w:rFonts w:ascii="Times New Roman" w:hAnsi="Times New Roman" w:cs="Arial"/>
          <w:color w:val="323233"/>
          <w:u w:val="single"/>
          <w:lang w:val="de-DE"/>
        </w:rPr>
        <w:t>juridisko</w:t>
      </w:r>
      <w:proofErr w:type="spellEnd"/>
      <w:r w:rsidRPr="000C7C76">
        <w:rPr>
          <w:rFonts w:ascii="Times New Roman" w:hAnsi="Times New Roman" w:cs="Arial"/>
          <w:color w:val="323233"/>
          <w:u w:val="single"/>
          <w:lang w:val="de-DE"/>
        </w:rPr>
        <w:t xml:space="preserve"> </w:t>
      </w:r>
      <w:proofErr w:type="spellStart"/>
      <w:r w:rsidRPr="000C7C76">
        <w:rPr>
          <w:rFonts w:ascii="Times New Roman" w:hAnsi="Times New Roman" w:cs="Arial"/>
          <w:color w:val="323233"/>
          <w:u w:val="single"/>
          <w:lang w:val="de-DE"/>
        </w:rPr>
        <w:t>personu</w:t>
      </w:r>
      <w:proofErr w:type="spellEnd"/>
      <w:r w:rsidRPr="000C7C76">
        <w:rPr>
          <w:rFonts w:ascii="Times New Roman" w:hAnsi="Times New Roman" w:cs="Arial"/>
          <w:color w:val="323233"/>
          <w:lang w:val="de-DE"/>
        </w:rPr>
        <w:t xml:space="preserve"> </w:t>
      </w:r>
      <w:proofErr w:type="spellStart"/>
      <w:r w:rsidRPr="000C7C76">
        <w:rPr>
          <w:rFonts w:ascii="Times New Roman" w:hAnsi="Times New Roman" w:cs="Arial"/>
          <w:color w:val="323233"/>
          <w:lang w:val="de-DE"/>
        </w:rPr>
        <w:t>civilo</w:t>
      </w:r>
      <w:proofErr w:type="spellEnd"/>
      <w:r w:rsidRPr="000C7C76">
        <w:rPr>
          <w:rFonts w:ascii="Times New Roman" w:hAnsi="Times New Roman" w:cs="Arial"/>
          <w:color w:val="323233"/>
          <w:lang w:val="de-DE"/>
        </w:rPr>
        <w:t xml:space="preserve"> </w:t>
      </w:r>
      <w:proofErr w:type="spellStart"/>
      <w:r w:rsidRPr="000C7C76">
        <w:rPr>
          <w:rFonts w:ascii="Times New Roman" w:hAnsi="Times New Roman" w:cs="Arial"/>
          <w:color w:val="323233"/>
          <w:lang w:val="de-DE"/>
        </w:rPr>
        <w:t>tiesību</w:t>
      </w:r>
      <w:proofErr w:type="spellEnd"/>
      <w:r w:rsidRPr="000C7C76">
        <w:rPr>
          <w:rFonts w:ascii="Times New Roman" w:hAnsi="Times New Roman" w:cs="Arial"/>
          <w:color w:val="323233"/>
          <w:lang w:val="de-DE"/>
        </w:rPr>
        <w:t xml:space="preserve"> </w:t>
      </w:r>
      <w:proofErr w:type="spellStart"/>
      <w:r w:rsidRPr="000C7C76">
        <w:rPr>
          <w:rFonts w:ascii="Times New Roman" w:hAnsi="Times New Roman" w:cs="Arial"/>
          <w:color w:val="323233"/>
          <w:lang w:val="de-DE"/>
        </w:rPr>
        <w:t>un</w:t>
      </w:r>
      <w:proofErr w:type="spellEnd"/>
      <w:r w:rsidRPr="000C7C76">
        <w:rPr>
          <w:rFonts w:ascii="Times New Roman" w:hAnsi="Times New Roman" w:cs="Arial"/>
          <w:color w:val="323233"/>
          <w:lang w:val="de-DE"/>
        </w:rPr>
        <w:t xml:space="preserve"> </w:t>
      </w:r>
      <w:proofErr w:type="spellStart"/>
      <w:r w:rsidRPr="000C7C76">
        <w:rPr>
          <w:rFonts w:ascii="Times New Roman" w:hAnsi="Times New Roman" w:cs="Arial"/>
          <w:color w:val="323233"/>
          <w:lang w:val="de-DE"/>
        </w:rPr>
        <w:t>likumisko</w:t>
      </w:r>
      <w:proofErr w:type="spellEnd"/>
      <w:r w:rsidRPr="000C7C76">
        <w:rPr>
          <w:rFonts w:ascii="Times New Roman" w:hAnsi="Times New Roman" w:cs="Arial"/>
          <w:color w:val="323233"/>
          <w:lang w:val="de-DE"/>
        </w:rPr>
        <w:t xml:space="preserve"> </w:t>
      </w:r>
      <w:proofErr w:type="spellStart"/>
      <w:r w:rsidRPr="000C7C76">
        <w:rPr>
          <w:rFonts w:ascii="Times New Roman" w:hAnsi="Times New Roman" w:cs="Arial"/>
          <w:color w:val="323233"/>
          <w:lang w:val="de-DE"/>
        </w:rPr>
        <w:t>interešu</w:t>
      </w:r>
      <w:proofErr w:type="spellEnd"/>
      <w:r w:rsidRPr="000C7C76">
        <w:rPr>
          <w:rFonts w:ascii="Times New Roman" w:hAnsi="Times New Roman" w:cs="Arial"/>
          <w:color w:val="323233"/>
          <w:lang w:val="de-DE"/>
        </w:rPr>
        <w:t xml:space="preserve"> </w:t>
      </w:r>
      <w:proofErr w:type="spellStart"/>
      <w:r w:rsidRPr="000C7C76">
        <w:rPr>
          <w:rFonts w:ascii="Times New Roman" w:hAnsi="Times New Roman" w:cs="Arial"/>
          <w:color w:val="323233"/>
          <w:lang w:val="de-DE"/>
        </w:rPr>
        <w:t>nodrošinātājs</w:t>
      </w:r>
      <w:proofErr w:type="spellEnd"/>
      <w:r w:rsidRPr="000C7C76">
        <w:rPr>
          <w:rFonts w:ascii="Times New Roman" w:hAnsi="Times New Roman" w:cs="Arial"/>
          <w:color w:val="323233"/>
          <w:lang w:val="de-DE"/>
        </w:rPr>
        <w:t>.</w:t>
      </w:r>
    </w:p>
    <w:p w14:paraId="56B38CCA" w14:textId="77777777" w:rsidR="00114953" w:rsidRPr="000C7C76" w:rsidRDefault="00114953" w:rsidP="00114953">
      <w:pPr>
        <w:jc w:val="both"/>
        <w:rPr>
          <w:rFonts w:ascii="Times New Roman" w:hAnsi="Times New Roman" w:cs="Times New Roman"/>
          <w:lang w:val="de-DE"/>
        </w:rPr>
      </w:pPr>
    </w:p>
    <w:p w14:paraId="412D0CFB" w14:textId="77777777" w:rsidR="00114953" w:rsidRPr="000C7C76" w:rsidRDefault="00114953" w:rsidP="00114953">
      <w:pPr>
        <w:jc w:val="both"/>
        <w:rPr>
          <w:rFonts w:ascii="Times New Roman" w:hAnsi="Times New Roman" w:cs="Times New Roman"/>
          <w:color w:val="323233"/>
          <w:lang w:val="de-DE"/>
        </w:rPr>
      </w:pPr>
      <w:r w:rsidRPr="000C7C76">
        <w:rPr>
          <w:rFonts w:ascii="Times New Roman" w:hAnsi="Times New Roman" w:cs="Times New Roman"/>
          <w:lang w:val="de-DE"/>
        </w:rPr>
        <w:t xml:space="preserve">2) Latvijas </w:t>
      </w:r>
      <w:proofErr w:type="spellStart"/>
      <w:r w:rsidRPr="000C7C76">
        <w:rPr>
          <w:rFonts w:ascii="Times New Roman" w:hAnsi="Times New Roman" w:cs="Times New Roman"/>
          <w:lang w:val="de-DE"/>
        </w:rPr>
        <w:t>notāri</w:t>
      </w:r>
      <w:proofErr w:type="spellEnd"/>
      <w:r w:rsidRPr="000C7C76">
        <w:rPr>
          <w:rFonts w:ascii="Times New Roman" w:hAnsi="Times New Roman" w:cs="Times New Roman"/>
          <w:lang w:val="de-DE"/>
        </w:rPr>
        <w:t xml:space="preserve"> </w:t>
      </w:r>
      <w:proofErr w:type="spellStart"/>
      <w:r w:rsidRPr="000C7C76">
        <w:rPr>
          <w:rFonts w:ascii="Times New Roman" w:hAnsi="Times New Roman" w:cs="Times New Roman"/>
          <w:lang w:val="de-DE"/>
        </w:rPr>
        <w:t>savā</w:t>
      </w:r>
      <w:proofErr w:type="spellEnd"/>
      <w:r w:rsidRPr="000C7C76">
        <w:rPr>
          <w:rFonts w:ascii="Times New Roman" w:hAnsi="Times New Roman" w:cs="Times New Roman"/>
          <w:lang w:val="de-DE"/>
        </w:rPr>
        <w:t xml:space="preserve"> </w:t>
      </w:r>
      <w:proofErr w:type="spellStart"/>
      <w:r w:rsidRPr="000C7C76">
        <w:rPr>
          <w:rFonts w:ascii="Times New Roman" w:hAnsi="Times New Roman" w:cs="Times New Roman"/>
          <w:lang w:val="de-DE"/>
        </w:rPr>
        <w:t>darbībā</w:t>
      </w:r>
      <w:proofErr w:type="spellEnd"/>
      <w:r w:rsidRPr="000C7C76">
        <w:rPr>
          <w:rFonts w:ascii="Times New Roman" w:hAnsi="Times New Roman" w:cs="Times New Roman"/>
          <w:lang w:val="de-DE"/>
        </w:rPr>
        <w:t xml:space="preserve"> </w:t>
      </w:r>
      <w:proofErr w:type="spellStart"/>
      <w:r w:rsidRPr="000C7C76">
        <w:rPr>
          <w:rFonts w:ascii="Times New Roman" w:hAnsi="Times New Roman" w:cs="Times New Roman"/>
          <w:lang w:val="de-DE"/>
        </w:rPr>
        <w:t>drīkst</w:t>
      </w:r>
      <w:proofErr w:type="spellEnd"/>
      <w:r w:rsidRPr="000C7C76">
        <w:rPr>
          <w:rFonts w:ascii="Times New Roman" w:hAnsi="Times New Roman" w:cs="Times New Roman"/>
          <w:lang w:val="de-DE"/>
        </w:rPr>
        <w:t xml:space="preserve"> </w:t>
      </w:r>
      <w:proofErr w:type="spellStart"/>
      <w:r w:rsidRPr="000C7C76">
        <w:rPr>
          <w:rFonts w:ascii="Times New Roman" w:hAnsi="Times New Roman" w:cs="Times New Roman"/>
          <w:lang w:val="de-DE"/>
        </w:rPr>
        <w:t>piemērot</w:t>
      </w:r>
      <w:proofErr w:type="spellEnd"/>
      <w:r w:rsidRPr="000C7C76">
        <w:rPr>
          <w:rFonts w:ascii="Times New Roman" w:hAnsi="Times New Roman" w:cs="Times New Roman"/>
          <w:lang w:val="de-DE"/>
        </w:rPr>
        <w:t xml:space="preserve"> </w:t>
      </w:r>
      <w:proofErr w:type="spellStart"/>
      <w:r w:rsidRPr="000C7C76">
        <w:rPr>
          <w:rFonts w:ascii="Times New Roman" w:hAnsi="Times New Roman" w:cs="Times New Roman"/>
          <w:lang w:val="de-DE"/>
        </w:rPr>
        <w:t>tikai</w:t>
      </w:r>
      <w:proofErr w:type="spellEnd"/>
      <w:r w:rsidRPr="000C7C76">
        <w:rPr>
          <w:rFonts w:ascii="Times New Roman" w:hAnsi="Times New Roman" w:cs="Times New Roman"/>
          <w:lang w:val="de-DE"/>
        </w:rPr>
        <w:t xml:space="preserve"> Latvijas </w:t>
      </w:r>
      <w:proofErr w:type="spellStart"/>
      <w:r w:rsidRPr="000C7C76">
        <w:rPr>
          <w:rFonts w:ascii="Times New Roman" w:hAnsi="Times New Roman" w:cs="Times New Roman"/>
          <w:lang w:val="de-DE"/>
        </w:rPr>
        <w:t>procesuālās</w:t>
      </w:r>
      <w:proofErr w:type="spellEnd"/>
      <w:r w:rsidRPr="000C7C76">
        <w:rPr>
          <w:rFonts w:ascii="Times New Roman" w:hAnsi="Times New Roman" w:cs="Times New Roman"/>
          <w:lang w:val="de-DE"/>
        </w:rPr>
        <w:t xml:space="preserve"> </w:t>
      </w:r>
      <w:proofErr w:type="spellStart"/>
      <w:r w:rsidRPr="000C7C76">
        <w:rPr>
          <w:rFonts w:ascii="Times New Roman" w:hAnsi="Times New Roman" w:cs="Times New Roman"/>
          <w:lang w:val="de-DE"/>
        </w:rPr>
        <w:t>tiesību</w:t>
      </w:r>
      <w:proofErr w:type="spellEnd"/>
      <w:r w:rsidRPr="000C7C76">
        <w:rPr>
          <w:rFonts w:ascii="Times New Roman" w:hAnsi="Times New Roman" w:cs="Times New Roman"/>
          <w:lang w:val="de-DE"/>
        </w:rPr>
        <w:t xml:space="preserve"> </w:t>
      </w:r>
      <w:proofErr w:type="spellStart"/>
      <w:r w:rsidRPr="000C7C76">
        <w:rPr>
          <w:rFonts w:ascii="Times New Roman" w:hAnsi="Times New Roman" w:cs="Times New Roman"/>
          <w:lang w:val="de-DE"/>
        </w:rPr>
        <w:t>normas</w:t>
      </w:r>
      <w:proofErr w:type="spellEnd"/>
      <w:r w:rsidRPr="000C7C76">
        <w:rPr>
          <w:rFonts w:ascii="Times New Roman" w:hAnsi="Times New Roman" w:cs="Times New Roman"/>
          <w:lang w:val="de-DE"/>
        </w:rPr>
        <w:t xml:space="preserve">, </w:t>
      </w:r>
      <w:proofErr w:type="spellStart"/>
      <w:r w:rsidRPr="000C7C76">
        <w:rPr>
          <w:rFonts w:ascii="Times New Roman" w:hAnsi="Times New Roman" w:cs="Times New Roman"/>
          <w:lang w:val="de-DE"/>
        </w:rPr>
        <w:t>kas</w:t>
      </w:r>
      <w:proofErr w:type="spellEnd"/>
      <w:r w:rsidRPr="000C7C76">
        <w:rPr>
          <w:rFonts w:ascii="Times New Roman" w:hAnsi="Times New Roman" w:cs="Times New Roman"/>
          <w:lang w:val="de-DE"/>
        </w:rPr>
        <w:t xml:space="preserve"> </w:t>
      </w:r>
      <w:proofErr w:type="spellStart"/>
      <w:r w:rsidRPr="000C7C76">
        <w:rPr>
          <w:rFonts w:ascii="Times New Roman" w:hAnsi="Times New Roman" w:cs="Times New Roman"/>
          <w:lang w:val="de-DE"/>
        </w:rPr>
        <w:t>noteiktas</w:t>
      </w:r>
      <w:proofErr w:type="spellEnd"/>
      <w:r w:rsidRPr="000C7C76">
        <w:rPr>
          <w:rFonts w:ascii="Times New Roman" w:hAnsi="Times New Roman" w:cs="Times New Roman"/>
          <w:lang w:val="de-DE"/>
        </w:rPr>
        <w:t xml:space="preserve"> </w:t>
      </w:r>
      <w:proofErr w:type="spellStart"/>
      <w:r w:rsidRPr="000C7C76">
        <w:rPr>
          <w:rFonts w:ascii="Times New Roman" w:hAnsi="Times New Roman" w:cs="Times New Roman"/>
          <w:lang w:val="de-DE"/>
        </w:rPr>
        <w:t>g.k</w:t>
      </w:r>
      <w:proofErr w:type="spellEnd"/>
      <w:r w:rsidRPr="000C7C76">
        <w:rPr>
          <w:rFonts w:ascii="Times New Roman" w:hAnsi="Times New Roman" w:cs="Times New Roman"/>
          <w:lang w:val="de-DE"/>
        </w:rPr>
        <w:t xml:space="preserve">. </w:t>
      </w:r>
      <w:proofErr w:type="spellStart"/>
      <w:r w:rsidRPr="000C7C76">
        <w:rPr>
          <w:rFonts w:ascii="Times New Roman" w:hAnsi="Times New Roman" w:cs="Times New Roman"/>
          <w:lang w:val="de-DE"/>
        </w:rPr>
        <w:t>Notariāta</w:t>
      </w:r>
      <w:proofErr w:type="spellEnd"/>
      <w:r w:rsidRPr="000C7C76">
        <w:rPr>
          <w:rFonts w:ascii="Times New Roman" w:hAnsi="Times New Roman" w:cs="Times New Roman"/>
          <w:lang w:val="de-DE"/>
        </w:rPr>
        <w:t xml:space="preserve"> </w:t>
      </w:r>
      <w:proofErr w:type="spellStart"/>
      <w:r w:rsidRPr="000C7C76">
        <w:rPr>
          <w:rFonts w:ascii="Times New Roman" w:hAnsi="Times New Roman" w:cs="Times New Roman"/>
          <w:lang w:val="de-DE"/>
        </w:rPr>
        <w:t>likumā</w:t>
      </w:r>
      <w:proofErr w:type="spellEnd"/>
      <w:r w:rsidRPr="000C7C76">
        <w:rPr>
          <w:rFonts w:ascii="Times New Roman" w:hAnsi="Times New Roman" w:cs="Times New Roman"/>
          <w:lang w:val="de-DE"/>
        </w:rPr>
        <w:t xml:space="preserve">. Tas </w:t>
      </w:r>
      <w:proofErr w:type="spellStart"/>
      <w:r w:rsidRPr="000C7C76">
        <w:rPr>
          <w:rFonts w:ascii="Times New Roman" w:hAnsi="Times New Roman" w:cs="Times New Roman"/>
          <w:lang w:val="de-DE"/>
        </w:rPr>
        <w:t>netieši</w:t>
      </w:r>
      <w:proofErr w:type="spellEnd"/>
      <w:r w:rsidRPr="000C7C76">
        <w:rPr>
          <w:rFonts w:ascii="Times New Roman" w:hAnsi="Times New Roman" w:cs="Times New Roman"/>
          <w:lang w:val="de-DE"/>
        </w:rPr>
        <w:t xml:space="preserve"> </w:t>
      </w:r>
      <w:proofErr w:type="spellStart"/>
      <w:r w:rsidRPr="000C7C76">
        <w:rPr>
          <w:rFonts w:ascii="Times New Roman" w:hAnsi="Times New Roman" w:cs="Times New Roman"/>
          <w:lang w:val="de-DE"/>
        </w:rPr>
        <w:t>izriet</w:t>
      </w:r>
      <w:proofErr w:type="spellEnd"/>
      <w:r w:rsidRPr="000C7C76">
        <w:rPr>
          <w:rFonts w:ascii="Times New Roman" w:hAnsi="Times New Roman" w:cs="Times New Roman"/>
          <w:lang w:val="de-DE"/>
        </w:rPr>
        <w:t xml:space="preserve"> </w:t>
      </w:r>
      <w:proofErr w:type="spellStart"/>
      <w:r w:rsidRPr="000C7C76">
        <w:rPr>
          <w:rFonts w:ascii="Times New Roman" w:hAnsi="Times New Roman" w:cs="Times New Roman"/>
          <w:lang w:val="de-DE"/>
        </w:rPr>
        <w:t>no</w:t>
      </w:r>
      <w:proofErr w:type="spellEnd"/>
      <w:r w:rsidRPr="000C7C76">
        <w:rPr>
          <w:rFonts w:ascii="Times New Roman" w:hAnsi="Times New Roman" w:cs="Times New Roman"/>
          <w:lang w:val="de-DE"/>
        </w:rPr>
        <w:t xml:space="preserve"> </w:t>
      </w:r>
      <w:proofErr w:type="spellStart"/>
      <w:r w:rsidRPr="000C7C76">
        <w:rPr>
          <w:rFonts w:ascii="Times New Roman" w:hAnsi="Times New Roman" w:cs="Times New Roman"/>
          <w:lang w:val="de-DE"/>
        </w:rPr>
        <w:t>Notariāta</w:t>
      </w:r>
      <w:proofErr w:type="spellEnd"/>
      <w:r w:rsidRPr="000C7C76">
        <w:rPr>
          <w:rFonts w:ascii="Times New Roman" w:hAnsi="Times New Roman" w:cs="Times New Roman"/>
          <w:lang w:val="de-DE"/>
        </w:rPr>
        <w:t xml:space="preserve"> </w:t>
      </w:r>
      <w:proofErr w:type="spellStart"/>
      <w:r w:rsidRPr="000C7C76">
        <w:rPr>
          <w:rFonts w:ascii="Times New Roman" w:hAnsi="Times New Roman" w:cs="Times New Roman"/>
          <w:lang w:val="de-DE"/>
        </w:rPr>
        <w:t>likuma</w:t>
      </w:r>
      <w:proofErr w:type="spellEnd"/>
      <w:r w:rsidRPr="000C7C76">
        <w:rPr>
          <w:rFonts w:ascii="Times New Roman" w:hAnsi="Times New Roman" w:cs="Times New Roman"/>
          <w:lang w:val="de-DE"/>
        </w:rPr>
        <w:t xml:space="preserve"> 2.panta </w:t>
      </w:r>
      <w:proofErr w:type="spellStart"/>
      <w:r w:rsidRPr="000C7C76">
        <w:rPr>
          <w:rFonts w:ascii="Times New Roman" w:hAnsi="Times New Roman" w:cs="Times New Roman"/>
          <w:lang w:val="de-DE"/>
        </w:rPr>
        <w:t>saskaņā</w:t>
      </w:r>
      <w:proofErr w:type="spellEnd"/>
      <w:r w:rsidRPr="000C7C76">
        <w:rPr>
          <w:rFonts w:ascii="Times New Roman" w:hAnsi="Times New Roman" w:cs="Times New Roman"/>
          <w:lang w:val="de-DE"/>
        </w:rPr>
        <w:t xml:space="preserve"> </w:t>
      </w:r>
      <w:proofErr w:type="spellStart"/>
      <w:r w:rsidRPr="000C7C76">
        <w:rPr>
          <w:rFonts w:ascii="Times New Roman" w:hAnsi="Times New Roman" w:cs="Times New Roman"/>
          <w:lang w:val="de-DE"/>
        </w:rPr>
        <w:t>ar</w:t>
      </w:r>
      <w:proofErr w:type="spellEnd"/>
      <w:r w:rsidRPr="000C7C76">
        <w:rPr>
          <w:rFonts w:ascii="Times New Roman" w:hAnsi="Times New Roman" w:cs="Times New Roman"/>
          <w:lang w:val="de-DE"/>
        </w:rPr>
        <w:t xml:space="preserve"> </w:t>
      </w:r>
      <w:proofErr w:type="spellStart"/>
      <w:r w:rsidRPr="000C7C76">
        <w:rPr>
          <w:rFonts w:ascii="Times New Roman" w:hAnsi="Times New Roman" w:cs="Times New Roman"/>
          <w:lang w:val="de-DE"/>
        </w:rPr>
        <w:t>kuru</w:t>
      </w:r>
      <w:proofErr w:type="spellEnd"/>
      <w:r w:rsidRPr="000C7C76">
        <w:rPr>
          <w:rFonts w:ascii="Times New Roman" w:hAnsi="Times New Roman" w:cs="Times New Roman"/>
          <w:lang w:val="de-DE"/>
        </w:rPr>
        <w:t xml:space="preserve"> </w:t>
      </w:r>
      <w:proofErr w:type="spellStart"/>
      <w:r w:rsidRPr="000C7C76">
        <w:rPr>
          <w:rFonts w:ascii="Times New Roman" w:hAnsi="Times New Roman" w:cs="Times New Roman"/>
          <w:color w:val="323233"/>
          <w:lang w:val="de-DE"/>
        </w:rPr>
        <w:t>zvērināti</w:t>
      </w:r>
      <w:proofErr w:type="spellEnd"/>
      <w:r w:rsidRPr="000C7C76">
        <w:rPr>
          <w:rFonts w:ascii="Times New Roman" w:hAnsi="Times New Roman" w:cs="Times New Roman"/>
          <w:color w:val="323233"/>
          <w:lang w:val="de-DE"/>
        </w:rPr>
        <w:t xml:space="preserve"> </w:t>
      </w:r>
      <w:proofErr w:type="spellStart"/>
      <w:r w:rsidRPr="000C7C76">
        <w:rPr>
          <w:rFonts w:ascii="Times New Roman" w:hAnsi="Times New Roman" w:cs="Times New Roman"/>
          <w:color w:val="323233"/>
          <w:lang w:val="de-DE"/>
        </w:rPr>
        <w:t>notāri</w:t>
      </w:r>
      <w:proofErr w:type="spellEnd"/>
      <w:r w:rsidRPr="000C7C76">
        <w:rPr>
          <w:rFonts w:ascii="Times New Roman" w:hAnsi="Times New Roman" w:cs="Times New Roman"/>
          <w:color w:val="323233"/>
          <w:lang w:val="de-DE"/>
        </w:rPr>
        <w:t xml:space="preserve"> </w:t>
      </w:r>
      <w:proofErr w:type="spellStart"/>
      <w:r w:rsidRPr="000C7C76">
        <w:rPr>
          <w:rFonts w:ascii="Times New Roman" w:hAnsi="Times New Roman" w:cs="Times New Roman"/>
          <w:color w:val="323233"/>
          <w:lang w:val="de-DE"/>
        </w:rPr>
        <w:t>ir</w:t>
      </w:r>
      <w:proofErr w:type="spellEnd"/>
      <w:r w:rsidRPr="000C7C76">
        <w:rPr>
          <w:rFonts w:ascii="Times New Roman" w:hAnsi="Times New Roman" w:cs="Times New Roman"/>
          <w:color w:val="323233"/>
          <w:lang w:val="de-DE"/>
        </w:rPr>
        <w:t xml:space="preserve"> </w:t>
      </w:r>
      <w:proofErr w:type="spellStart"/>
      <w:r w:rsidRPr="000C7C76">
        <w:rPr>
          <w:rFonts w:ascii="Times New Roman" w:hAnsi="Times New Roman" w:cs="Times New Roman"/>
          <w:color w:val="323233"/>
          <w:lang w:val="de-DE"/>
        </w:rPr>
        <w:t>tiesu</w:t>
      </w:r>
      <w:proofErr w:type="spellEnd"/>
      <w:r w:rsidRPr="000C7C76">
        <w:rPr>
          <w:rFonts w:ascii="Times New Roman" w:hAnsi="Times New Roman" w:cs="Times New Roman"/>
          <w:color w:val="323233"/>
          <w:lang w:val="de-DE"/>
        </w:rPr>
        <w:t xml:space="preserve"> </w:t>
      </w:r>
      <w:proofErr w:type="spellStart"/>
      <w:r w:rsidRPr="000C7C76">
        <w:rPr>
          <w:rFonts w:ascii="Times New Roman" w:hAnsi="Times New Roman" w:cs="Times New Roman"/>
          <w:color w:val="323233"/>
          <w:lang w:val="de-DE"/>
        </w:rPr>
        <w:t>sistēmai</w:t>
      </w:r>
      <w:proofErr w:type="spellEnd"/>
      <w:r w:rsidRPr="000C7C76">
        <w:rPr>
          <w:rFonts w:ascii="Times New Roman" w:hAnsi="Times New Roman" w:cs="Times New Roman"/>
          <w:color w:val="323233"/>
          <w:lang w:val="de-DE"/>
        </w:rPr>
        <w:t xml:space="preserve"> </w:t>
      </w:r>
      <w:proofErr w:type="spellStart"/>
      <w:r w:rsidRPr="000C7C76">
        <w:rPr>
          <w:rFonts w:ascii="Times New Roman" w:hAnsi="Times New Roman" w:cs="Times New Roman"/>
          <w:color w:val="323233"/>
          <w:lang w:val="de-DE"/>
        </w:rPr>
        <w:t>piederīgas</w:t>
      </w:r>
      <w:proofErr w:type="spellEnd"/>
      <w:r w:rsidRPr="000C7C76">
        <w:rPr>
          <w:rFonts w:ascii="Times New Roman" w:hAnsi="Times New Roman" w:cs="Times New Roman"/>
          <w:color w:val="323233"/>
          <w:lang w:val="de-DE"/>
        </w:rPr>
        <w:t xml:space="preserve"> personas, </w:t>
      </w:r>
      <w:proofErr w:type="spellStart"/>
      <w:r w:rsidRPr="000C7C76">
        <w:rPr>
          <w:rFonts w:ascii="Times New Roman" w:hAnsi="Times New Roman" w:cs="Times New Roman"/>
          <w:color w:val="323233"/>
          <w:lang w:val="de-DE"/>
        </w:rPr>
        <w:t>turklāt</w:t>
      </w:r>
      <w:proofErr w:type="spellEnd"/>
      <w:r w:rsidRPr="000C7C76">
        <w:rPr>
          <w:rFonts w:ascii="Times New Roman" w:hAnsi="Times New Roman" w:cs="Times New Roman"/>
          <w:color w:val="323233"/>
          <w:lang w:val="de-DE"/>
        </w:rPr>
        <w:t xml:space="preserve">, </w:t>
      </w:r>
      <w:proofErr w:type="spellStart"/>
      <w:r w:rsidRPr="000C7C76">
        <w:rPr>
          <w:rFonts w:ascii="Times New Roman" w:hAnsi="Times New Roman" w:cs="Times New Roman"/>
          <w:color w:val="323233"/>
          <w:lang w:val="de-DE"/>
        </w:rPr>
        <w:t>starptautisko</w:t>
      </w:r>
      <w:proofErr w:type="spellEnd"/>
      <w:r w:rsidRPr="000C7C76">
        <w:rPr>
          <w:rFonts w:ascii="Times New Roman" w:hAnsi="Times New Roman" w:cs="Times New Roman"/>
          <w:color w:val="323233"/>
          <w:lang w:val="de-DE"/>
        </w:rPr>
        <w:t xml:space="preserve"> </w:t>
      </w:r>
      <w:proofErr w:type="spellStart"/>
      <w:r w:rsidRPr="000C7C76">
        <w:rPr>
          <w:rFonts w:ascii="Times New Roman" w:hAnsi="Times New Roman" w:cs="Times New Roman"/>
          <w:color w:val="323233"/>
          <w:lang w:val="de-DE"/>
        </w:rPr>
        <w:t>privāttiesību</w:t>
      </w:r>
      <w:proofErr w:type="spellEnd"/>
      <w:r w:rsidRPr="000C7C76">
        <w:rPr>
          <w:rFonts w:ascii="Times New Roman" w:hAnsi="Times New Roman" w:cs="Times New Roman"/>
          <w:color w:val="323233"/>
          <w:lang w:val="de-DE"/>
        </w:rPr>
        <w:t xml:space="preserve"> </w:t>
      </w:r>
      <w:proofErr w:type="spellStart"/>
      <w:r w:rsidRPr="000C7C76">
        <w:rPr>
          <w:rFonts w:ascii="Times New Roman" w:hAnsi="Times New Roman" w:cs="Times New Roman"/>
          <w:color w:val="323233"/>
          <w:lang w:val="de-DE"/>
        </w:rPr>
        <w:t>teorijā</w:t>
      </w:r>
      <w:proofErr w:type="spellEnd"/>
      <w:r w:rsidRPr="000C7C76">
        <w:rPr>
          <w:rFonts w:ascii="Times New Roman" w:hAnsi="Times New Roman" w:cs="Times New Roman"/>
          <w:color w:val="323233"/>
          <w:lang w:val="de-DE"/>
        </w:rPr>
        <w:t xml:space="preserve"> </w:t>
      </w:r>
      <w:proofErr w:type="spellStart"/>
      <w:r w:rsidRPr="000C7C76">
        <w:rPr>
          <w:rFonts w:ascii="Times New Roman" w:hAnsi="Times New Roman" w:cs="Times New Roman"/>
          <w:color w:val="323233"/>
          <w:lang w:val="de-DE"/>
        </w:rPr>
        <w:t>ārvalstu</w:t>
      </w:r>
      <w:proofErr w:type="spellEnd"/>
      <w:r w:rsidRPr="000C7C76">
        <w:rPr>
          <w:rFonts w:ascii="Times New Roman" w:hAnsi="Times New Roman" w:cs="Times New Roman"/>
          <w:color w:val="323233"/>
          <w:lang w:val="de-DE"/>
        </w:rPr>
        <w:t xml:space="preserve"> </w:t>
      </w:r>
      <w:proofErr w:type="spellStart"/>
      <w:r w:rsidRPr="000C7C76">
        <w:rPr>
          <w:rFonts w:ascii="Times New Roman" w:hAnsi="Times New Roman" w:cs="Times New Roman"/>
          <w:color w:val="323233"/>
          <w:lang w:val="de-DE"/>
        </w:rPr>
        <w:t>procesuālo</w:t>
      </w:r>
      <w:proofErr w:type="spellEnd"/>
      <w:r w:rsidRPr="000C7C76">
        <w:rPr>
          <w:rFonts w:ascii="Times New Roman" w:hAnsi="Times New Roman" w:cs="Times New Roman"/>
          <w:color w:val="323233"/>
          <w:lang w:val="de-DE"/>
        </w:rPr>
        <w:t xml:space="preserve"> </w:t>
      </w:r>
      <w:proofErr w:type="spellStart"/>
      <w:r w:rsidRPr="000C7C76">
        <w:rPr>
          <w:rFonts w:ascii="Times New Roman" w:hAnsi="Times New Roman" w:cs="Times New Roman"/>
          <w:color w:val="323233"/>
          <w:lang w:val="de-DE"/>
        </w:rPr>
        <w:t>normu</w:t>
      </w:r>
      <w:proofErr w:type="spellEnd"/>
      <w:r w:rsidRPr="000C7C76">
        <w:rPr>
          <w:rFonts w:ascii="Times New Roman" w:hAnsi="Times New Roman" w:cs="Times New Roman"/>
          <w:color w:val="323233"/>
          <w:lang w:val="de-DE"/>
        </w:rPr>
        <w:t xml:space="preserve"> </w:t>
      </w:r>
      <w:proofErr w:type="spellStart"/>
      <w:r w:rsidRPr="000C7C76">
        <w:rPr>
          <w:rFonts w:ascii="Times New Roman" w:hAnsi="Times New Roman" w:cs="Times New Roman"/>
          <w:color w:val="323233"/>
          <w:lang w:val="de-DE"/>
        </w:rPr>
        <w:t>piemērošana</w:t>
      </w:r>
      <w:proofErr w:type="spellEnd"/>
      <w:r w:rsidRPr="000C7C76">
        <w:rPr>
          <w:rFonts w:ascii="Times New Roman" w:hAnsi="Times New Roman" w:cs="Times New Roman"/>
          <w:color w:val="323233"/>
          <w:lang w:val="de-DE"/>
        </w:rPr>
        <w:t xml:space="preserve"> </w:t>
      </w:r>
      <w:proofErr w:type="spellStart"/>
      <w:r w:rsidRPr="000C7C76">
        <w:rPr>
          <w:rFonts w:ascii="Times New Roman" w:hAnsi="Times New Roman" w:cs="Times New Roman"/>
          <w:color w:val="323233"/>
          <w:lang w:val="de-DE"/>
        </w:rPr>
        <w:t>tiek</w:t>
      </w:r>
      <w:proofErr w:type="spellEnd"/>
      <w:r w:rsidRPr="000C7C76">
        <w:rPr>
          <w:rFonts w:ascii="Times New Roman" w:hAnsi="Times New Roman" w:cs="Times New Roman"/>
          <w:color w:val="323233"/>
          <w:lang w:val="de-DE"/>
        </w:rPr>
        <w:t xml:space="preserve"> </w:t>
      </w:r>
      <w:proofErr w:type="spellStart"/>
      <w:r w:rsidRPr="000C7C76">
        <w:rPr>
          <w:rFonts w:ascii="Times New Roman" w:hAnsi="Times New Roman" w:cs="Times New Roman"/>
          <w:color w:val="323233"/>
          <w:lang w:val="de-DE"/>
        </w:rPr>
        <w:t>pieļauta</w:t>
      </w:r>
      <w:proofErr w:type="spellEnd"/>
      <w:r w:rsidRPr="000C7C76">
        <w:rPr>
          <w:rFonts w:ascii="Times New Roman" w:hAnsi="Times New Roman" w:cs="Times New Roman"/>
          <w:color w:val="323233"/>
          <w:lang w:val="de-DE"/>
        </w:rPr>
        <w:t xml:space="preserve"> </w:t>
      </w:r>
      <w:proofErr w:type="spellStart"/>
      <w:r w:rsidRPr="000C7C76">
        <w:rPr>
          <w:rFonts w:ascii="Times New Roman" w:hAnsi="Times New Roman" w:cs="Times New Roman"/>
          <w:color w:val="323233"/>
          <w:lang w:val="de-DE"/>
        </w:rPr>
        <w:t>ļoti</w:t>
      </w:r>
      <w:proofErr w:type="spellEnd"/>
      <w:r w:rsidRPr="000C7C76">
        <w:rPr>
          <w:rFonts w:ascii="Times New Roman" w:hAnsi="Times New Roman" w:cs="Times New Roman"/>
          <w:color w:val="323233"/>
          <w:lang w:val="de-DE"/>
        </w:rPr>
        <w:t xml:space="preserve"> </w:t>
      </w:r>
      <w:proofErr w:type="spellStart"/>
      <w:r w:rsidRPr="000C7C76">
        <w:rPr>
          <w:rFonts w:ascii="Times New Roman" w:hAnsi="Times New Roman" w:cs="Times New Roman"/>
          <w:color w:val="323233"/>
          <w:lang w:val="de-DE"/>
        </w:rPr>
        <w:t>retos</w:t>
      </w:r>
      <w:proofErr w:type="spellEnd"/>
      <w:r w:rsidRPr="000C7C76">
        <w:rPr>
          <w:rFonts w:ascii="Times New Roman" w:hAnsi="Times New Roman" w:cs="Times New Roman"/>
          <w:color w:val="323233"/>
          <w:lang w:val="de-DE"/>
        </w:rPr>
        <w:t xml:space="preserve"> </w:t>
      </w:r>
      <w:proofErr w:type="spellStart"/>
      <w:r w:rsidRPr="000C7C76">
        <w:rPr>
          <w:rFonts w:ascii="Times New Roman" w:hAnsi="Times New Roman" w:cs="Times New Roman"/>
          <w:color w:val="323233"/>
          <w:lang w:val="de-DE"/>
        </w:rPr>
        <w:t>izņēmuma</w:t>
      </w:r>
      <w:proofErr w:type="spellEnd"/>
      <w:r w:rsidRPr="000C7C76">
        <w:rPr>
          <w:rFonts w:ascii="Times New Roman" w:hAnsi="Times New Roman" w:cs="Times New Roman"/>
          <w:color w:val="323233"/>
          <w:lang w:val="de-DE"/>
        </w:rPr>
        <w:t xml:space="preserve"> </w:t>
      </w:r>
      <w:proofErr w:type="spellStart"/>
      <w:r w:rsidRPr="000C7C76">
        <w:rPr>
          <w:rFonts w:ascii="Times New Roman" w:hAnsi="Times New Roman" w:cs="Times New Roman"/>
          <w:color w:val="323233"/>
          <w:lang w:val="de-DE"/>
        </w:rPr>
        <w:t>gadījumos</w:t>
      </w:r>
      <w:proofErr w:type="spellEnd"/>
      <w:r w:rsidRPr="000C7C76">
        <w:rPr>
          <w:rFonts w:ascii="Times New Roman" w:hAnsi="Times New Roman" w:cs="Times New Roman"/>
          <w:color w:val="323233"/>
          <w:lang w:val="de-DE"/>
        </w:rPr>
        <w:t xml:space="preserve"> (</w:t>
      </w:r>
      <w:proofErr w:type="spellStart"/>
      <w:r w:rsidRPr="000C7C76">
        <w:rPr>
          <w:rFonts w:ascii="Times New Roman" w:hAnsi="Times New Roman" w:cs="Times New Roman"/>
          <w:color w:val="323233"/>
          <w:lang w:val="de-DE"/>
        </w:rPr>
        <w:t>tie</w:t>
      </w:r>
      <w:proofErr w:type="spellEnd"/>
      <w:r w:rsidRPr="000C7C76">
        <w:rPr>
          <w:rFonts w:ascii="Times New Roman" w:hAnsi="Times New Roman" w:cs="Times New Roman"/>
          <w:color w:val="323233"/>
          <w:lang w:val="de-DE"/>
        </w:rPr>
        <w:t xml:space="preserve"> </w:t>
      </w:r>
      <w:proofErr w:type="spellStart"/>
      <w:r w:rsidRPr="000C7C76">
        <w:rPr>
          <w:rFonts w:ascii="Times New Roman" w:hAnsi="Times New Roman" w:cs="Times New Roman"/>
          <w:color w:val="323233"/>
          <w:lang w:val="de-DE"/>
        </w:rPr>
        <w:t>parasti</w:t>
      </w:r>
      <w:proofErr w:type="spellEnd"/>
      <w:r w:rsidRPr="000C7C76">
        <w:rPr>
          <w:rFonts w:ascii="Times New Roman" w:hAnsi="Times New Roman" w:cs="Times New Roman"/>
          <w:color w:val="323233"/>
          <w:lang w:val="de-DE"/>
        </w:rPr>
        <w:t xml:space="preserve"> </w:t>
      </w:r>
      <w:proofErr w:type="spellStart"/>
      <w:r w:rsidRPr="000C7C76">
        <w:rPr>
          <w:rFonts w:ascii="Times New Roman" w:hAnsi="Times New Roman" w:cs="Times New Roman"/>
          <w:color w:val="323233"/>
          <w:lang w:val="de-DE"/>
        </w:rPr>
        <w:t>ir</w:t>
      </w:r>
      <w:proofErr w:type="spellEnd"/>
      <w:r w:rsidRPr="000C7C76">
        <w:rPr>
          <w:rFonts w:ascii="Times New Roman" w:hAnsi="Times New Roman" w:cs="Times New Roman"/>
          <w:color w:val="323233"/>
          <w:lang w:val="de-DE"/>
        </w:rPr>
        <w:t xml:space="preserve"> </w:t>
      </w:r>
      <w:proofErr w:type="spellStart"/>
      <w:r w:rsidRPr="000C7C76">
        <w:rPr>
          <w:rFonts w:ascii="Times New Roman" w:hAnsi="Times New Roman" w:cs="Times New Roman"/>
          <w:color w:val="323233"/>
          <w:lang w:val="de-DE"/>
        </w:rPr>
        <w:t>jautājumi</w:t>
      </w:r>
      <w:proofErr w:type="spellEnd"/>
      <w:r w:rsidRPr="000C7C76">
        <w:rPr>
          <w:rFonts w:ascii="Times New Roman" w:hAnsi="Times New Roman" w:cs="Times New Roman"/>
          <w:color w:val="323233"/>
          <w:lang w:val="de-DE"/>
        </w:rPr>
        <w:t xml:space="preserve"> par </w:t>
      </w:r>
      <w:proofErr w:type="spellStart"/>
      <w:r w:rsidRPr="000C7C76">
        <w:rPr>
          <w:rFonts w:ascii="Times New Roman" w:hAnsi="Times New Roman" w:cs="Times New Roman"/>
          <w:color w:val="323233"/>
          <w:lang w:val="de-DE"/>
        </w:rPr>
        <w:t>pierādījumiem</w:t>
      </w:r>
      <w:proofErr w:type="spellEnd"/>
      <w:r w:rsidRPr="000C7C76">
        <w:rPr>
          <w:rFonts w:ascii="Times New Roman" w:hAnsi="Times New Roman" w:cs="Times New Roman"/>
          <w:color w:val="323233"/>
          <w:lang w:val="de-DE"/>
        </w:rPr>
        <w:t xml:space="preserve">). </w:t>
      </w:r>
      <w:proofErr w:type="spellStart"/>
      <w:r w:rsidRPr="000C7C76">
        <w:rPr>
          <w:rFonts w:ascii="Times New Roman" w:hAnsi="Times New Roman" w:cs="Times New Roman"/>
          <w:color w:val="323233"/>
          <w:lang w:val="de-DE"/>
        </w:rPr>
        <w:t>Līdz</w:t>
      </w:r>
      <w:proofErr w:type="spellEnd"/>
      <w:r w:rsidRPr="000C7C76">
        <w:rPr>
          <w:rFonts w:ascii="Times New Roman" w:hAnsi="Times New Roman" w:cs="Times New Roman"/>
          <w:color w:val="323233"/>
          <w:lang w:val="de-DE"/>
        </w:rPr>
        <w:t xml:space="preserve"> </w:t>
      </w:r>
      <w:proofErr w:type="spellStart"/>
      <w:r w:rsidRPr="000C7C76">
        <w:rPr>
          <w:rFonts w:ascii="Times New Roman" w:hAnsi="Times New Roman" w:cs="Times New Roman"/>
          <w:color w:val="323233"/>
          <w:lang w:val="de-DE"/>
        </w:rPr>
        <w:t>ar</w:t>
      </w:r>
      <w:proofErr w:type="spellEnd"/>
      <w:r w:rsidRPr="000C7C76">
        <w:rPr>
          <w:rFonts w:ascii="Times New Roman" w:hAnsi="Times New Roman" w:cs="Times New Roman"/>
          <w:color w:val="323233"/>
          <w:lang w:val="de-DE"/>
        </w:rPr>
        <w:t xml:space="preserve"> </w:t>
      </w:r>
      <w:proofErr w:type="spellStart"/>
      <w:r w:rsidRPr="000C7C76">
        <w:rPr>
          <w:rFonts w:ascii="Times New Roman" w:hAnsi="Times New Roman" w:cs="Times New Roman"/>
          <w:color w:val="323233"/>
          <w:lang w:val="de-DE"/>
        </w:rPr>
        <w:t>to</w:t>
      </w:r>
      <w:proofErr w:type="spellEnd"/>
      <w:r w:rsidRPr="000C7C76">
        <w:rPr>
          <w:rFonts w:ascii="Times New Roman" w:hAnsi="Times New Roman" w:cs="Times New Roman"/>
          <w:color w:val="323233"/>
          <w:lang w:val="de-DE"/>
        </w:rPr>
        <w:t xml:space="preserve"> </w:t>
      </w:r>
      <w:proofErr w:type="spellStart"/>
      <w:r w:rsidRPr="000C7C76">
        <w:rPr>
          <w:rFonts w:ascii="Times New Roman" w:hAnsi="Times New Roman" w:cs="Times New Roman"/>
          <w:color w:val="323233"/>
          <w:lang w:val="de-DE"/>
        </w:rPr>
        <w:t>ir</w:t>
      </w:r>
      <w:proofErr w:type="spellEnd"/>
      <w:r w:rsidRPr="000C7C76">
        <w:rPr>
          <w:rFonts w:ascii="Times New Roman" w:hAnsi="Times New Roman" w:cs="Times New Roman"/>
          <w:color w:val="323233"/>
          <w:lang w:val="de-DE"/>
        </w:rPr>
        <w:t xml:space="preserve"> </w:t>
      </w:r>
      <w:proofErr w:type="spellStart"/>
      <w:r w:rsidRPr="000C7C76">
        <w:rPr>
          <w:rFonts w:ascii="Times New Roman" w:hAnsi="Times New Roman" w:cs="Times New Roman"/>
          <w:color w:val="323233"/>
          <w:lang w:val="de-DE"/>
        </w:rPr>
        <w:t>jāatceras</w:t>
      </w:r>
      <w:proofErr w:type="spellEnd"/>
      <w:r w:rsidRPr="000C7C76">
        <w:rPr>
          <w:rFonts w:ascii="Times New Roman" w:hAnsi="Times New Roman" w:cs="Times New Roman"/>
          <w:color w:val="323233"/>
          <w:lang w:val="de-DE"/>
        </w:rPr>
        <w:t xml:space="preserve">, </w:t>
      </w:r>
      <w:proofErr w:type="spellStart"/>
      <w:r w:rsidRPr="000C7C76">
        <w:rPr>
          <w:rFonts w:ascii="Times New Roman" w:hAnsi="Times New Roman" w:cs="Times New Roman"/>
          <w:color w:val="323233"/>
          <w:lang w:val="de-DE"/>
        </w:rPr>
        <w:t>ka</w:t>
      </w:r>
      <w:proofErr w:type="spellEnd"/>
      <w:r w:rsidRPr="000C7C76">
        <w:rPr>
          <w:rFonts w:ascii="Times New Roman" w:hAnsi="Times New Roman" w:cs="Times New Roman"/>
          <w:color w:val="323233"/>
          <w:lang w:val="de-DE"/>
        </w:rPr>
        <w:t xml:space="preserve"> </w:t>
      </w:r>
      <w:proofErr w:type="spellStart"/>
      <w:r w:rsidRPr="000C7C76">
        <w:rPr>
          <w:rFonts w:ascii="Times New Roman" w:hAnsi="Times New Roman" w:cs="Times New Roman"/>
          <w:color w:val="323233"/>
          <w:lang w:val="de-DE"/>
        </w:rPr>
        <w:t>notāru</w:t>
      </w:r>
      <w:proofErr w:type="spellEnd"/>
      <w:r w:rsidRPr="000C7C76">
        <w:rPr>
          <w:rFonts w:ascii="Times New Roman" w:hAnsi="Times New Roman" w:cs="Times New Roman"/>
          <w:color w:val="323233"/>
          <w:lang w:val="de-DE"/>
        </w:rPr>
        <w:t xml:space="preserve"> </w:t>
      </w:r>
      <w:proofErr w:type="spellStart"/>
      <w:r w:rsidRPr="000C7C76">
        <w:rPr>
          <w:rFonts w:ascii="Times New Roman" w:hAnsi="Times New Roman" w:cs="Times New Roman"/>
          <w:color w:val="323233"/>
          <w:lang w:val="de-DE"/>
        </w:rPr>
        <w:t>darbības</w:t>
      </w:r>
      <w:proofErr w:type="spellEnd"/>
      <w:r w:rsidRPr="000C7C76">
        <w:rPr>
          <w:rFonts w:ascii="Times New Roman" w:hAnsi="Times New Roman" w:cs="Times New Roman"/>
          <w:color w:val="323233"/>
          <w:lang w:val="de-DE"/>
        </w:rPr>
        <w:t xml:space="preserve"> </w:t>
      </w:r>
      <w:proofErr w:type="spellStart"/>
      <w:r w:rsidRPr="000C7C76">
        <w:rPr>
          <w:rFonts w:ascii="Times New Roman" w:hAnsi="Times New Roman" w:cs="Times New Roman"/>
          <w:color w:val="323233"/>
          <w:lang w:val="de-DE"/>
        </w:rPr>
        <w:t>procesuālo</w:t>
      </w:r>
      <w:proofErr w:type="spellEnd"/>
      <w:r w:rsidRPr="000C7C76">
        <w:rPr>
          <w:rFonts w:ascii="Times New Roman" w:hAnsi="Times New Roman" w:cs="Times New Roman"/>
          <w:color w:val="323233"/>
          <w:lang w:val="de-DE"/>
        </w:rPr>
        <w:t xml:space="preserve"> </w:t>
      </w:r>
      <w:proofErr w:type="spellStart"/>
      <w:r w:rsidRPr="000C7C76">
        <w:rPr>
          <w:rFonts w:ascii="Times New Roman" w:hAnsi="Times New Roman" w:cs="Times New Roman"/>
          <w:color w:val="323233"/>
          <w:lang w:val="de-DE"/>
        </w:rPr>
        <w:t>kārtību</w:t>
      </w:r>
      <w:proofErr w:type="spellEnd"/>
      <w:r w:rsidRPr="000C7C76">
        <w:rPr>
          <w:rFonts w:ascii="Times New Roman" w:hAnsi="Times New Roman" w:cs="Times New Roman"/>
          <w:color w:val="323233"/>
          <w:lang w:val="de-DE"/>
        </w:rPr>
        <w:t xml:space="preserve"> </w:t>
      </w:r>
      <w:proofErr w:type="spellStart"/>
      <w:r w:rsidRPr="000C7C76">
        <w:rPr>
          <w:rFonts w:ascii="Times New Roman" w:hAnsi="Times New Roman" w:cs="Times New Roman"/>
          <w:color w:val="323233"/>
          <w:lang w:val="de-DE"/>
        </w:rPr>
        <w:t>nosaka</w:t>
      </w:r>
      <w:proofErr w:type="spellEnd"/>
      <w:r w:rsidRPr="000C7C76">
        <w:rPr>
          <w:rFonts w:ascii="Times New Roman" w:hAnsi="Times New Roman" w:cs="Times New Roman"/>
          <w:color w:val="323233"/>
          <w:lang w:val="de-DE"/>
        </w:rPr>
        <w:t xml:space="preserve"> </w:t>
      </w:r>
      <w:proofErr w:type="spellStart"/>
      <w:r w:rsidRPr="000C7C76">
        <w:rPr>
          <w:rFonts w:ascii="Times New Roman" w:hAnsi="Times New Roman" w:cs="Times New Roman"/>
          <w:color w:val="323233"/>
          <w:lang w:val="de-DE"/>
        </w:rPr>
        <w:t>tās</w:t>
      </w:r>
      <w:proofErr w:type="spellEnd"/>
      <w:r w:rsidRPr="000C7C76">
        <w:rPr>
          <w:rFonts w:ascii="Times New Roman" w:hAnsi="Times New Roman" w:cs="Times New Roman"/>
          <w:color w:val="323233"/>
          <w:lang w:val="de-DE"/>
        </w:rPr>
        <w:t xml:space="preserve"> </w:t>
      </w:r>
      <w:proofErr w:type="spellStart"/>
      <w:r w:rsidRPr="000C7C76">
        <w:rPr>
          <w:rFonts w:ascii="Times New Roman" w:hAnsi="Times New Roman" w:cs="Times New Roman"/>
          <w:color w:val="323233"/>
          <w:lang w:val="de-DE"/>
        </w:rPr>
        <w:t>valsts</w:t>
      </w:r>
      <w:proofErr w:type="spellEnd"/>
      <w:r w:rsidRPr="000C7C76">
        <w:rPr>
          <w:rFonts w:ascii="Times New Roman" w:hAnsi="Times New Roman" w:cs="Times New Roman"/>
          <w:color w:val="323233"/>
          <w:lang w:val="de-DE"/>
        </w:rPr>
        <w:t xml:space="preserve"> </w:t>
      </w:r>
      <w:proofErr w:type="spellStart"/>
      <w:r w:rsidRPr="000C7C76">
        <w:rPr>
          <w:rFonts w:ascii="Times New Roman" w:hAnsi="Times New Roman" w:cs="Times New Roman"/>
          <w:color w:val="323233"/>
          <w:lang w:val="de-DE"/>
        </w:rPr>
        <w:t>tiesību</w:t>
      </w:r>
      <w:proofErr w:type="spellEnd"/>
      <w:r w:rsidRPr="000C7C76">
        <w:rPr>
          <w:rFonts w:ascii="Times New Roman" w:hAnsi="Times New Roman" w:cs="Times New Roman"/>
          <w:color w:val="323233"/>
          <w:lang w:val="de-DE"/>
        </w:rPr>
        <w:t xml:space="preserve"> </w:t>
      </w:r>
      <w:proofErr w:type="spellStart"/>
      <w:r w:rsidRPr="000C7C76">
        <w:rPr>
          <w:rFonts w:ascii="Times New Roman" w:hAnsi="Times New Roman" w:cs="Times New Roman"/>
          <w:color w:val="323233"/>
          <w:lang w:val="de-DE"/>
        </w:rPr>
        <w:t>akti</w:t>
      </w:r>
      <w:proofErr w:type="spellEnd"/>
      <w:r w:rsidRPr="000C7C76">
        <w:rPr>
          <w:rFonts w:ascii="Times New Roman" w:hAnsi="Times New Roman" w:cs="Times New Roman"/>
          <w:color w:val="323233"/>
          <w:lang w:val="de-DE"/>
        </w:rPr>
        <w:t xml:space="preserve">, </w:t>
      </w:r>
      <w:proofErr w:type="spellStart"/>
      <w:r w:rsidRPr="000C7C76">
        <w:rPr>
          <w:rFonts w:ascii="Times New Roman" w:hAnsi="Times New Roman" w:cs="Times New Roman"/>
          <w:color w:val="323233"/>
          <w:lang w:val="de-DE"/>
        </w:rPr>
        <w:t>kurā</w:t>
      </w:r>
      <w:proofErr w:type="spellEnd"/>
      <w:r w:rsidRPr="000C7C76">
        <w:rPr>
          <w:rFonts w:ascii="Times New Roman" w:hAnsi="Times New Roman" w:cs="Times New Roman"/>
          <w:color w:val="323233"/>
          <w:lang w:val="de-DE"/>
        </w:rPr>
        <w:t xml:space="preserve"> </w:t>
      </w:r>
      <w:proofErr w:type="spellStart"/>
      <w:r w:rsidRPr="000C7C76">
        <w:rPr>
          <w:rFonts w:ascii="Times New Roman" w:hAnsi="Times New Roman" w:cs="Times New Roman"/>
          <w:color w:val="323233"/>
          <w:lang w:val="de-DE"/>
        </w:rPr>
        <w:t>darbojas</w:t>
      </w:r>
      <w:proofErr w:type="spellEnd"/>
      <w:r w:rsidRPr="000C7C76">
        <w:rPr>
          <w:rFonts w:ascii="Times New Roman" w:hAnsi="Times New Roman" w:cs="Times New Roman"/>
          <w:color w:val="323233"/>
          <w:lang w:val="de-DE"/>
        </w:rPr>
        <w:t xml:space="preserve"> </w:t>
      </w:r>
      <w:proofErr w:type="spellStart"/>
      <w:r w:rsidRPr="000C7C76">
        <w:rPr>
          <w:rFonts w:ascii="Times New Roman" w:hAnsi="Times New Roman" w:cs="Times New Roman"/>
          <w:color w:val="323233"/>
          <w:lang w:val="de-DE"/>
        </w:rPr>
        <w:t>notārs</w:t>
      </w:r>
      <w:proofErr w:type="spellEnd"/>
      <w:r w:rsidRPr="000C7C76">
        <w:rPr>
          <w:rFonts w:ascii="Times New Roman" w:hAnsi="Times New Roman" w:cs="Times New Roman"/>
          <w:color w:val="323233"/>
          <w:lang w:val="de-DE"/>
        </w:rPr>
        <w:t xml:space="preserve"> (</w:t>
      </w:r>
      <w:proofErr w:type="spellStart"/>
      <w:r w:rsidRPr="000C7C76">
        <w:rPr>
          <w:rFonts w:ascii="Times New Roman" w:hAnsi="Times New Roman" w:cs="Times New Roman"/>
          <w:i/>
          <w:color w:val="323233"/>
          <w:lang w:val="de-DE"/>
        </w:rPr>
        <w:t>lex</w:t>
      </w:r>
      <w:proofErr w:type="spellEnd"/>
      <w:r w:rsidRPr="000C7C76">
        <w:rPr>
          <w:rFonts w:ascii="Times New Roman" w:hAnsi="Times New Roman" w:cs="Times New Roman"/>
          <w:i/>
          <w:color w:val="323233"/>
          <w:lang w:val="de-DE"/>
        </w:rPr>
        <w:t xml:space="preserve"> </w:t>
      </w:r>
      <w:proofErr w:type="spellStart"/>
      <w:r w:rsidRPr="000C7C76">
        <w:rPr>
          <w:rFonts w:ascii="Times New Roman" w:hAnsi="Times New Roman" w:cs="Times New Roman"/>
          <w:i/>
          <w:color w:val="323233"/>
          <w:lang w:val="de-DE"/>
        </w:rPr>
        <w:t>auctoris</w:t>
      </w:r>
      <w:proofErr w:type="spellEnd"/>
      <w:r w:rsidRPr="000C7C76">
        <w:rPr>
          <w:rFonts w:ascii="Times New Roman" w:hAnsi="Times New Roman" w:cs="Times New Roman"/>
          <w:i/>
          <w:color w:val="323233"/>
          <w:lang w:val="de-DE"/>
        </w:rPr>
        <w:t xml:space="preserve"> </w:t>
      </w:r>
      <w:proofErr w:type="spellStart"/>
      <w:r w:rsidRPr="000C7C76">
        <w:rPr>
          <w:rFonts w:ascii="Times New Roman" w:hAnsi="Times New Roman" w:cs="Times New Roman"/>
          <w:i/>
          <w:color w:val="323233"/>
          <w:lang w:val="de-DE"/>
        </w:rPr>
        <w:t>regit</w:t>
      </w:r>
      <w:proofErr w:type="spellEnd"/>
      <w:r w:rsidRPr="000C7C76">
        <w:rPr>
          <w:rFonts w:ascii="Times New Roman" w:hAnsi="Times New Roman" w:cs="Times New Roman"/>
          <w:i/>
          <w:color w:val="323233"/>
          <w:lang w:val="de-DE"/>
        </w:rPr>
        <w:t xml:space="preserve"> </w:t>
      </w:r>
      <w:proofErr w:type="spellStart"/>
      <w:r w:rsidRPr="000C7C76">
        <w:rPr>
          <w:rFonts w:ascii="Times New Roman" w:hAnsi="Times New Roman" w:cs="Times New Roman"/>
          <w:i/>
          <w:color w:val="323233"/>
          <w:lang w:val="de-DE"/>
        </w:rPr>
        <w:t>processum</w:t>
      </w:r>
      <w:proofErr w:type="spellEnd"/>
      <w:r w:rsidRPr="000C7C76">
        <w:rPr>
          <w:rFonts w:ascii="Times New Roman" w:hAnsi="Times New Roman" w:cs="Times New Roman"/>
          <w:color w:val="323233"/>
          <w:lang w:val="de-DE"/>
        </w:rPr>
        <w:t>).</w:t>
      </w:r>
      <w:r>
        <w:rPr>
          <w:rStyle w:val="FootnoteReference"/>
          <w:rFonts w:ascii="Times New Roman" w:hAnsi="Times New Roman" w:cs="Times New Roman"/>
          <w:color w:val="323233"/>
        </w:rPr>
        <w:footnoteReference w:id="1"/>
      </w:r>
      <w:r w:rsidRPr="000C7C76">
        <w:rPr>
          <w:rFonts w:ascii="Times New Roman" w:hAnsi="Times New Roman" w:cs="Times New Roman"/>
          <w:color w:val="323233"/>
          <w:lang w:val="de-DE"/>
        </w:rPr>
        <w:t xml:space="preserve"> </w:t>
      </w:r>
    </w:p>
    <w:p w14:paraId="7857CCBA" w14:textId="77777777" w:rsidR="00114953" w:rsidRPr="000C7C76" w:rsidRDefault="00114953" w:rsidP="00114953">
      <w:pPr>
        <w:jc w:val="both"/>
        <w:rPr>
          <w:rFonts w:ascii="Times New Roman" w:hAnsi="Times New Roman" w:cs="Times New Roman"/>
          <w:color w:val="323233"/>
          <w:lang w:val="de-DE"/>
        </w:rPr>
      </w:pPr>
    </w:p>
    <w:p w14:paraId="5B55E9B7" w14:textId="77777777" w:rsidR="00114953" w:rsidRPr="003F36DF" w:rsidRDefault="00114953" w:rsidP="00114953">
      <w:pPr>
        <w:jc w:val="both"/>
        <w:rPr>
          <w:rFonts w:ascii="Times New Roman" w:hAnsi="Times New Roman" w:cs="Times New Roman"/>
        </w:rPr>
      </w:pPr>
      <w:r w:rsidRPr="000C7C76">
        <w:rPr>
          <w:rFonts w:ascii="Times New Roman" w:hAnsi="Times New Roman" w:cs="Times New Roman"/>
          <w:color w:val="323233"/>
          <w:lang w:val="de-DE"/>
        </w:rPr>
        <w:t xml:space="preserve">3) </w:t>
      </w:r>
      <w:proofErr w:type="spellStart"/>
      <w:r w:rsidRPr="000C7C76">
        <w:rPr>
          <w:rFonts w:ascii="Times New Roman" w:hAnsi="Times New Roman" w:cs="Times New Roman"/>
          <w:color w:val="323233"/>
          <w:lang w:val="de-DE"/>
        </w:rPr>
        <w:t>Līdz</w:t>
      </w:r>
      <w:proofErr w:type="spellEnd"/>
      <w:r w:rsidRPr="000C7C76">
        <w:rPr>
          <w:rFonts w:ascii="Times New Roman" w:hAnsi="Times New Roman" w:cs="Times New Roman"/>
          <w:color w:val="323233"/>
          <w:lang w:val="de-DE"/>
        </w:rPr>
        <w:t xml:space="preserve"> </w:t>
      </w:r>
      <w:proofErr w:type="spellStart"/>
      <w:r w:rsidRPr="000C7C76">
        <w:rPr>
          <w:rFonts w:ascii="Times New Roman" w:hAnsi="Times New Roman" w:cs="Times New Roman"/>
          <w:color w:val="323233"/>
          <w:lang w:val="de-DE"/>
        </w:rPr>
        <w:t>ar</w:t>
      </w:r>
      <w:proofErr w:type="spellEnd"/>
      <w:r w:rsidRPr="000C7C76">
        <w:rPr>
          <w:rFonts w:ascii="Times New Roman" w:hAnsi="Times New Roman" w:cs="Times New Roman"/>
          <w:color w:val="323233"/>
          <w:lang w:val="de-DE"/>
        </w:rPr>
        <w:t xml:space="preserve"> </w:t>
      </w:r>
      <w:proofErr w:type="spellStart"/>
      <w:r w:rsidRPr="000C7C76">
        <w:rPr>
          <w:rFonts w:ascii="Times New Roman" w:hAnsi="Times New Roman" w:cs="Times New Roman"/>
          <w:color w:val="323233"/>
          <w:lang w:val="de-DE"/>
        </w:rPr>
        <w:t>to</w:t>
      </w:r>
      <w:proofErr w:type="spellEnd"/>
      <w:r w:rsidRPr="000C7C76">
        <w:rPr>
          <w:rFonts w:ascii="Times New Roman" w:hAnsi="Times New Roman" w:cs="Times New Roman"/>
          <w:color w:val="323233"/>
          <w:lang w:val="de-DE"/>
        </w:rPr>
        <w:t xml:space="preserve"> </w:t>
      </w:r>
      <w:proofErr w:type="spellStart"/>
      <w:r w:rsidRPr="000C7C76">
        <w:rPr>
          <w:rFonts w:ascii="Times New Roman" w:hAnsi="Times New Roman" w:cs="Times New Roman"/>
          <w:color w:val="323233"/>
          <w:lang w:val="de-DE"/>
        </w:rPr>
        <w:t>savā</w:t>
      </w:r>
      <w:proofErr w:type="spellEnd"/>
      <w:r w:rsidRPr="000C7C76">
        <w:rPr>
          <w:rFonts w:ascii="Times New Roman" w:hAnsi="Times New Roman" w:cs="Times New Roman"/>
          <w:color w:val="323233"/>
          <w:lang w:val="de-DE"/>
        </w:rPr>
        <w:t xml:space="preserve"> </w:t>
      </w:r>
      <w:proofErr w:type="spellStart"/>
      <w:r w:rsidRPr="000C7C76">
        <w:rPr>
          <w:rFonts w:ascii="Times New Roman" w:hAnsi="Times New Roman" w:cs="Times New Roman"/>
          <w:color w:val="323233"/>
          <w:lang w:val="de-DE"/>
        </w:rPr>
        <w:t>darbībā</w:t>
      </w:r>
      <w:proofErr w:type="spellEnd"/>
      <w:r w:rsidRPr="000C7C76">
        <w:rPr>
          <w:rFonts w:ascii="Times New Roman" w:hAnsi="Times New Roman" w:cs="Times New Roman"/>
          <w:color w:val="323233"/>
          <w:lang w:val="de-DE"/>
        </w:rPr>
        <w:t xml:space="preserve"> Latvijas </w:t>
      </w:r>
      <w:proofErr w:type="spellStart"/>
      <w:r w:rsidRPr="000C7C76">
        <w:rPr>
          <w:rFonts w:ascii="Times New Roman" w:hAnsi="Times New Roman" w:cs="Times New Roman"/>
          <w:color w:val="323233"/>
          <w:lang w:val="de-DE"/>
        </w:rPr>
        <w:t>notāriem</w:t>
      </w:r>
      <w:proofErr w:type="spellEnd"/>
      <w:r w:rsidRPr="000C7C76">
        <w:rPr>
          <w:rFonts w:ascii="Times New Roman" w:hAnsi="Times New Roman" w:cs="Times New Roman"/>
          <w:color w:val="323233"/>
          <w:lang w:val="de-DE"/>
        </w:rPr>
        <w:t xml:space="preserve"> </w:t>
      </w:r>
      <w:proofErr w:type="spellStart"/>
      <w:r w:rsidRPr="000C7C76">
        <w:rPr>
          <w:rFonts w:ascii="Times New Roman" w:hAnsi="Times New Roman" w:cs="Times New Roman"/>
          <w:color w:val="323233"/>
          <w:lang w:val="de-DE"/>
        </w:rPr>
        <w:t>ir</w:t>
      </w:r>
      <w:proofErr w:type="spellEnd"/>
      <w:r w:rsidRPr="000C7C76">
        <w:rPr>
          <w:rFonts w:ascii="Times New Roman" w:hAnsi="Times New Roman" w:cs="Times New Roman"/>
          <w:color w:val="323233"/>
          <w:lang w:val="de-DE"/>
        </w:rPr>
        <w:t xml:space="preserve"> </w:t>
      </w:r>
      <w:proofErr w:type="spellStart"/>
      <w:r w:rsidRPr="000C7C76">
        <w:rPr>
          <w:rFonts w:ascii="Times New Roman" w:hAnsi="Times New Roman" w:cs="Times New Roman"/>
          <w:color w:val="323233"/>
          <w:lang w:val="de-DE"/>
        </w:rPr>
        <w:t>jāprot</w:t>
      </w:r>
      <w:proofErr w:type="spellEnd"/>
      <w:r w:rsidRPr="000C7C76">
        <w:rPr>
          <w:rFonts w:ascii="Times New Roman" w:hAnsi="Times New Roman" w:cs="Times New Roman"/>
          <w:color w:val="323233"/>
          <w:lang w:val="de-DE"/>
        </w:rPr>
        <w:t xml:space="preserve"> </w:t>
      </w:r>
      <w:proofErr w:type="spellStart"/>
      <w:r w:rsidRPr="000C7C76">
        <w:rPr>
          <w:rFonts w:ascii="Times New Roman" w:hAnsi="Times New Roman" w:cs="Times New Roman"/>
          <w:color w:val="323233"/>
          <w:lang w:val="de-DE"/>
        </w:rPr>
        <w:t>nodalīt</w:t>
      </w:r>
      <w:proofErr w:type="spellEnd"/>
      <w:r w:rsidRPr="000C7C76">
        <w:rPr>
          <w:rFonts w:ascii="Times New Roman" w:hAnsi="Times New Roman" w:cs="Times New Roman"/>
          <w:color w:val="323233"/>
          <w:lang w:val="de-DE"/>
        </w:rPr>
        <w:t xml:space="preserve"> </w:t>
      </w:r>
      <w:proofErr w:type="spellStart"/>
      <w:r w:rsidRPr="000C7C76">
        <w:rPr>
          <w:rFonts w:ascii="Times New Roman" w:hAnsi="Times New Roman" w:cs="Times New Roman"/>
          <w:color w:val="323233"/>
          <w:lang w:val="de-DE"/>
        </w:rPr>
        <w:t>procesuālās</w:t>
      </w:r>
      <w:proofErr w:type="spellEnd"/>
      <w:r w:rsidRPr="000C7C76">
        <w:rPr>
          <w:rFonts w:ascii="Times New Roman" w:hAnsi="Times New Roman" w:cs="Times New Roman"/>
          <w:color w:val="323233"/>
          <w:lang w:val="de-DE"/>
        </w:rPr>
        <w:t xml:space="preserve"> </w:t>
      </w:r>
      <w:proofErr w:type="spellStart"/>
      <w:r w:rsidRPr="000C7C76">
        <w:rPr>
          <w:rFonts w:ascii="Times New Roman" w:hAnsi="Times New Roman" w:cs="Times New Roman"/>
          <w:color w:val="323233"/>
          <w:lang w:val="de-DE"/>
        </w:rPr>
        <w:t>tiesību</w:t>
      </w:r>
      <w:proofErr w:type="spellEnd"/>
      <w:r w:rsidRPr="000C7C76">
        <w:rPr>
          <w:rFonts w:ascii="Times New Roman" w:hAnsi="Times New Roman" w:cs="Times New Roman"/>
          <w:color w:val="323233"/>
          <w:lang w:val="de-DE"/>
        </w:rPr>
        <w:t xml:space="preserve"> </w:t>
      </w:r>
      <w:proofErr w:type="spellStart"/>
      <w:r w:rsidRPr="000C7C76">
        <w:rPr>
          <w:rFonts w:ascii="Times New Roman" w:hAnsi="Times New Roman" w:cs="Times New Roman"/>
          <w:color w:val="323233"/>
          <w:lang w:val="de-DE"/>
        </w:rPr>
        <w:t>normas</w:t>
      </w:r>
      <w:proofErr w:type="spellEnd"/>
      <w:r w:rsidRPr="000C7C76">
        <w:rPr>
          <w:rFonts w:ascii="Times New Roman" w:hAnsi="Times New Roman" w:cs="Times New Roman"/>
          <w:color w:val="323233"/>
          <w:lang w:val="de-DE"/>
        </w:rPr>
        <w:t xml:space="preserve"> (</w:t>
      </w:r>
      <w:proofErr w:type="spellStart"/>
      <w:r w:rsidRPr="000C7C76">
        <w:rPr>
          <w:rFonts w:ascii="Times New Roman" w:hAnsi="Times New Roman" w:cs="Times New Roman"/>
          <w:i/>
          <w:color w:val="323233"/>
          <w:lang w:val="de-DE"/>
        </w:rPr>
        <w:t>ordinatoria</w:t>
      </w:r>
      <w:proofErr w:type="spellEnd"/>
      <w:r w:rsidRPr="000C7C76">
        <w:rPr>
          <w:rFonts w:ascii="Times New Roman" w:hAnsi="Times New Roman" w:cs="Times New Roman"/>
          <w:i/>
          <w:color w:val="323233"/>
          <w:lang w:val="de-DE"/>
        </w:rPr>
        <w:t xml:space="preserve"> </w:t>
      </w:r>
      <w:proofErr w:type="spellStart"/>
      <w:r w:rsidRPr="000C7C76">
        <w:rPr>
          <w:rFonts w:ascii="Times New Roman" w:hAnsi="Times New Roman" w:cs="Times New Roman"/>
          <w:i/>
          <w:color w:val="323233"/>
          <w:lang w:val="de-DE"/>
        </w:rPr>
        <w:t>litis</w:t>
      </w:r>
      <w:proofErr w:type="spellEnd"/>
      <w:r w:rsidRPr="000C7C76">
        <w:rPr>
          <w:rFonts w:ascii="Times New Roman" w:hAnsi="Times New Roman" w:cs="Times New Roman"/>
          <w:color w:val="323233"/>
          <w:lang w:val="de-DE"/>
        </w:rPr>
        <w:t xml:space="preserve">) </w:t>
      </w:r>
      <w:proofErr w:type="spellStart"/>
      <w:r w:rsidRPr="000C7C76">
        <w:rPr>
          <w:rFonts w:ascii="Times New Roman" w:hAnsi="Times New Roman" w:cs="Times New Roman"/>
          <w:color w:val="323233"/>
          <w:lang w:val="de-DE"/>
        </w:rPr>
        <w:t>no</w:t>
      </w:r>
      <w:proofErr w:type="spellEnd"/>
      <w:r w:rsidRPr="000C7C76">
        <w:rPr>
          <w:rFonts w:ascii="Times New Roman" w:hAnsi="Times New Roman" w:cs="Times New Roman"/>
          <w:color w:val="323233"/>
          <w:lang w:val="de-DE"/>
        </w:rPr>
        <w:t xml:space="preserve"> </w:t>
      </w:r>
      <w:proofErr w:type="spellStart"/>
      <w:r w:rsidRPr="000C7C76">
        <w:rPr>
          <w:rFonts w:ascii="Times New Roman" w:hAnsi="Times New Roman" w:cs="Times New Roman"/>
          <w:color w:val="323233"/>
          <w:lang w:val="de-DE"/>
        </w:rPr>
        <w:t>materiālajām</w:t>
      </w:r>
      <w:proofErr w:type="spellEnd"/>
      <w:r w:rsidRPr="000C7C76">
        <w:rPr>
          <w:rFonts w:ascii="Times New Roman" w:hAnsi="Times New Roman" w:cs="Times New Roman"/>
          <w:color w:val="323233"/>
          <w:lang w:val="de-DE"/>
        </w:rPr>
        <w:t xml:space="preserve"> </w:t>
      </w:r>
      <w:proofErr w:type="spellStart"/>
      <w:r w:rsidRPr="000C7C76">
        <w:rPr>
          <w:rFonts w:ascii="Times New Roman" w:hAnsi="Times New Roman" w:cs="Times New Roman"/>
          <w:color w:val="323233"/>
          <w:lang w:val="de-DE"/>
        </w:rPr>
        <w:t>tiesību</w:t>
      </w:r>
      <w:proofErr w:type="spellEnd"/>
      <w:r w:rsidRPr="000C7C76">
        <w:rPr>
          <w:rFonts w:ascii="Times New Roman" w:hAnsi="Times New Roman" w:cs="Times New Roman"/>
          <w:color w:val="323233"/>
          <w:lang w:val="de-DE"/>
        </w:rPr>
        <w:t xml:space="preserve"> </w:t>
      </w:r>
      <w:proofErr w:type="spellStart"/>
      <w:r w:rsidRPr="000C7C76">
        <w:rPr>
          <w:rFonts w:ascii="Times New Roman" w:hAnsi="Times New Roman" w:cs="Times New Roman"/>
          <w:color w:val="323233"/>
          <w:lang w:val="de-DE"/>
        </w:rPr>
        <w:t>normām</w:t>
      </w:r>
      <w:proofErr w:type="spellEnd"/>
      <w:r w:rsidRPr="000C7C76">
        <w:rPr>
          <w:rFonts w:ascii="Times New Roman" w:hAnsi="Times New Roman" w:cs="Times New Roman"/>
          <w:color w:val="323233"/>
          <w:lang w:val="de-DE"/>
        </w:rPr>
        <w:t xml:space="preserve"> (</w:t>
      </w:r>
      <w:proofErr w:type="spellStart"/>
      <w:r w:rsidRPr="000C7C76">
        <w:rPr>
          <w:rFonts w:ascii="Times New Roman" w:hAnsi="Times New Roman" w:cs="Times New Roman"/>
          <w:i/>
          <w:color w:val="323233"/>
          <w:lang w:val="de-DE"/>
        </w:rPr>
        <w:t>decisoria</w:t>
      </w:r>
      <w:proofErr w:type="spellEnd"/>
      <w:r w:rsidRPr="000C7C76">
        <w:rPr>
          <w:rFonts w:ascii="Times New Roman" w:hAnsi="Times New Roman" w:cs="Times New Roman"/>
          <w:i/>
          <w:color w:val="323233"/>
          <w:lang w:val="de-DE"/>
        </w:rPr>
        <w:t xml:space="preserve"> </w:t>
      </w:r>
      <w:proofErr w:type="spellStart"/>
      <w:r w:rsidRPr="000C7C76">
        <w:rPr>
          <w:rFonts w:ascii="Times New Roman" w:hAnsi="Times New Roman" w:cs="Times New Roman"/>
          <w:i/>
          <w:color w:val="323233"/>
          <w:lang w:val="de-DE"/>
        </w:rPr>
        <w:t>litis</w:t>
      </w:r>
      <w:proofErr w:type="spellEnd"/>
      <w:r w:rsidRPr="000C7C76">
        <w:rPr>
          <w:rFonts w:ascii="Times New Roman" w:hAnsi="Times New Roman" w:cs="Times New Roman"/>
          <w:color w:val="323233"/>
          <w:lang w:val="de-DE"/>
        </w:rPr>
        <w:t>).</w:t>
      </w:r>
      <w:r>
        <w:rPr>
          <w:rStyle w:val="FootnoteReference"/>
          <w:rFonts w:ascii="Times New Roman" w:hAnsi="Times New Roman" w:cs="Times New Roman"/>
          <w:color w:val="323233"/>
        </w:rPr>
        <w:footnoteReference w:id="2"/>
      </w:r>
      <w:r w:rsidRPr="000C7C76">
        <w:rPr>
          <w:rFonts w:ascii="Times New Roman" w:hAnsi="Times New Roman" w:cs="Times New Roman"/>
          <w:color w:val="323233"/>
          <w:lang w:val="de-DE"/>
        </w:rPr>
        <w:t xml:space="preserve">  </w:t>
      </w:r>
      <w:proofErr w:type="spellStart"/>
      <w:r w:rsidRPr="000C7C76">
        <w:rPr>
          <w:rFonts w:ascii="Times New Roman" w:hAnsi="Times New Roman" w:cs="Times New Roman"/>
          <w:color w:val="323233"/>
          <w:lang w:val="de-DE"/>
        </w:rPr>
        <w:t>Pēdējās</w:t>
      </w:r>
      <w:proofErr w:type="spellEnd"/>
      <w:r w:rsidRPr="000C7C76">
        <w:rPr>
          <w:rFonts w:ascii="Times New Roman" w:hAnsi="Times New Roman" w:cs="Times New Roman"/>
          <w:color w:val="323233"/>
          <w:lang w:val="de-DE"/>
        </w:rPr>
        <w:t xml:space="preserve"> </w:t>
      </w:r>
      <w:proofErr w:type="spellStart"/>
      <w:r w:rsidRPr="000C7C76">
        <w:rPr>
          <w:rFonts w:ascii="Times New Roman" w:hAnsi="Times New Roman" w:cs="Times New Roman"/>
          <w:color w:val="323233"/>
          <w:lang w:val="de-DE"/>
        </w:rPr>
        <w:t>var</w:t>
      </w:r>
      <w:proofErr w:type="spellEnd"/>
      <w:r w:rsidRPr="000C7C76">
        <w:rPr>
          <w:rFonts w:ascii="Times New Roman" w:hAnsi="Times New Roman" w:cs="Times New Roman"/>
          <w:color w:val="323233"/>
          <w:lang w:val="de-DE"/>
        </w:rPr>
        <w:t xml:space="preserve"> </w:t>
      </w:r>
      <w:proofErr w:type="spellStart"/>
      <w:r w:rsidRPr="000C7C76">
        <w:rPr>
          <w:rFonts w:ascii="Times New Roman" w:hAnsi="Times New Roman" w:cs="Times New Roman"/>
          <w:color w:val="323233"/>
          <w:lang w:val="de-DE"/>
        </w:rPr>
        <w:t>būt</w:t>
      </w:r>
      <w:proofErr w:type="spellEnd"/>
      <w:r w:rsidRPr="000C7C76">
        <w:rPr>
          <w:rFonts w:ascii="Times New Roman" w:hAnsi="Times New Roman" w:cs="Times New Roman"/>
          <w:color w:val="323233"/>
          <w:lang w:val="de-DE"/>
        </w:rPr>
        <w:t xml:space="preserve"> </w:t>
      </w:r>
      <w:proofErr w:type="spellStart"/>
      <w:r w:rsidRPr="000C7C76">
        <w:rPr>
          <w:rFonts w:ascii="Times New Roman" w:hAnsi="Times New Roman" w:cs="Times New Roman"/>
          <w:color w:val="323233"/>
          <w:lang w:val="de-DE"/>
        </w:rPr>
        <w:t>gan</w:t>
      </w:r>
      <w:proofErr w:type="spellEnd"/>
      <w:r w:rsidRPr="000C7C76">
        <w:rPr>
          <w:rFonts w:ascii="Times New Roman" w:hAnsi="Times New Roman" w:cs="Times New Roman"/>
          <w:color w:val="323233"/>
          <w:lang w:val="de-DE"/>
        </w:rPr>
        <w:t xml:space="preserve"> Latvijas, </w:t>
      </w:r>
      <w:proofErr w:type="spellStart"/>
      <w:r w:rsidRPr="000C7C76">
        <w:rPr>
          <w:rFonts w:ascii="Times New Roman" w:hAnsi="Times New Roman" w:cs="Times New Roman"/>
          <w:color w:val="323233"/>
          <w:lang w:val="de-DE"/>
        </w:rPr>
        <w:t>gan</w:t>
      </w:r>
      <w:proofErr w:type="spellEnd"/>
      <w:r w:rsidRPr="000C7C76">
        <w:rPr>
          <w:rFonts w:ascii="Times New Roman" w:hAnsi="Times New Roman" w:cs="Times New Roman"/>
          <w:color w:val="323233"/>
          <w:lang w:val="de-DE"/>
        </w:rPr>
        <w:t xml:space="preserve"> </w:t>
      </w:r>
      <w:proofErr w:type="spellStart"/>
      <w:r w:rsidRPr="000C7C76">
        <w:rPr>
          <w:rFonts w:ascii="Times New Roman" w:hAnsi="Times New Roman" w:cs="Times New Roman"/>
          <w:color w:val="323233"/>
          <w:lang w:val="de-DE"/>
        </w:rPr>
        <w:t>ārvalstu</w:t>
      </w:r>
      <w:proofErr w:type="spellEnd"/>
      <w:r w:rsidRPr="000C7C76">
        <w:rPr>
          <w:rFonts w:ascii="Times New Roman" w:hAnsi="Times New Roman" w:cs="Times New Roman"/>
          <w:color w:val="323233"/>
          <w:lang w:val="de-DE"/>
        </w:rPr>
        <w:t xml:space="preserve"> </w:t>
      </w:r>
      <w:proofErr w:type="spellStart"/>
      <w:r w:rsidRPr="000C7C76">
        <w:rPr>
          <w:rFonts w:ascii="Times New Roman" w:hAnsi="Times New Roman" w:cs="Times New Roman"/>
          <w:color w:val="323233"/>
          <w:lang w:val="de-DE"/>
        </w:rPr>
        <w:t>materiālās</w:t>
      </w:r>
      <w:proofErr w:type="spellEnd"/>
      <w:r w:rsidRPr="000C7C76">
        <w:rPr>
          <w:rFonts w:ascii="Times New Roman" w:hAnsi="Times New Roman" w:cs="Times New Roman"/>
          <w:color w:val="323233"/>
          <w:lang w:val="de-DE"/>
        </w:rPr>
        <w:t xml:space="preserve"> </w:t>
      </w:r>
      <w:proofErr w:type="spellStart"/>
      <w:r w:rsidRPr="000C7C76">
        <w:rPr>
          <w:rFonts w:ascii="Times New Roman" w:hAnsi="Times New Roman" w:cs="Times New Roman"/>
          <w:color w:val="323233"/>
          <w:lang w:val="de-DE"/>
        </w:rPr>
        <w:t>tiesību</w:t>
      </w:r>
      <w:proofErr w:type="spellEnd"/>
      <w:r w:rsidRPr="000C7C76">
        <w:rPr>
          <w:rFonts w:ascii="Times New Roman" w:hAnsi="Times New Roman" w:cs="Times New Roman"/>
          <w:color w:val="323233"/>
          <w:lang w:val="de-DE"/>
        </w:rPr>
        <w:t xml:space="preserve"> </w:t>
      </w:r>
      <w:proofErr w:type="spellStart"/>
      <w:r w:rsidRPr="000C7C76">
        <w:rPr>
          <w:rFonts w:ascii="Times New Roman" w:hAnsi="Times New Roman" w:cs="Times New Roman"/>
          <w:color w:val="323233"/>
          <w:lang w:val="de-DE"/>
        </w:rPr>
        <w:t>normas</w:t>
      </w:r>
      <w:proofErr w:type="spellEnd"/>
      <w:r w:rsidRPr="000C7C76">
        <w:rPr>
          <w:rFonts w:ascii="Times New Roman" w:hAnsi="Times New Roman" w:cs="Times New Roman"/>
          <w:color w:val="323233"/>
          <w:lang w:val="de-DE"/>
        </w:rPr>
        <w:t xml:space="preserve">. </w:t>
      </w:r>
      <w:r>
        <w:rPr>
          <w:rFonts w:ascii="Times New Roman" w:hAnsi="Times New Roman" w:cs="Times New Roman"/>
          <w:color w:val="323233"/>
        </w:rPr>
        <w:t xml:space="preserve">Skat., </w:t>
      </w:r>
      <w:proofErr w:type="spellStart"/>
      <w:r>
        <w:rPr>
          <w:rFonts w:ascii="Times New Roman" w:hAnsi="Times New Roman" w:cs="Times New Roman"/>
          <w:color w:val="323233"/>
        </w:rPr>
        <w:t>piemēram</w:t>
      </w:r>
      <w:proofErr w:type="spellEnd"/>
      <w:r>
        <w:rPr>
          <w:rFonts w:ascii="Times New Roman" w:hAnsi="Times New Roman" w:cs="Times New Roman"/>
          <w:color w:val="323233"/>
        </w:rPr>
        <w:t xml:space="preserve">, </w:t>
      </w:r>
      <w:proofErr w:type="spellStart"/>
      <w:r>
        <w:rPr>
          <w:rFonts w:ascii="Times New Roman" w:hAnsi="Times New Roman" w:cs="Times New Roman"/>
          <w:color w:val="323233"/>
        </w:rPr>
        <w:t>Notariāta</w:t>
      </w:r>
      <w:proofErr w:type="spellEnd"/>
      <w:r>
        <w:rPr>
          <w:rFonts w:ascii="Times New Roman" w:hAnsi="Times New Roman" w:cs="Times New Roman"/>
          <w:color w:val="323233"/>
        </w:rPr>
        <w:t xml:space="preserve"> </w:t>
      </w:r>
      <w:proofErr w:type="spellStart"/>
      <w:r>
        <w:rPr>
          <w:rFonts w:ascii="Times New Roman" w:hAnsi="Times New Roman" w:cs="Times New Roman"/>
          <w:color w:val="323233"/>
        </w:rPr>
        <w:t>likuma</w:t>
      </w:r>
      <w:proofErr w:type="spellEnd"/>
      <w:r>
        <w:rPr>
          <w:rFonts w:ascii="Times New Roman" w:hAnsi="Times New Roman" w:cs="Times New Roman"/>
          <w:color w:val="323233"/>
        </w:rPr>
        <w:t xml:space="preserve"> C</w:t>
      </w:r>
      <w:r>
        <w:rPr>
          <w:rFonts w:ascii="Times New Roman" w:hAnsi="Times New Roman" w:cs="Times New Roman"/>
          <w:color w:val="323233"/>
          <w:vertAlign w:val="superscript"/>
        </w:rPr>
        <w:t>1</w:t>
      </w:r>
      <w:r>
        <w:rPr>
          <w:rFonts w:ascii="Times New Roman" w:hAnsi="Times New Roman" w:cs="Times New Roman"/>
          <w:color w:val="323233"/>
        </w:rPr>
        <w:t xml:space="preserve"> </w:t>
      </w:r>
      <w:proofErr w:type="spellStart"/>
      <w:r>
        <w:rPr>
          <w:rFonts w:ascii="Times New Roman" w:hAnsi="Times New Roman" w:cs="Times New Roman"/>
          <w:color w:val="323233"/>
        </w:rPr>
        <w:t>sadaļu</w:t>
      </w:r>
      <w:proofErr w:type="spellEnd"/>
      <w:r>
        <w:rPr>
          <w:rFonts w:ascii="Times New Roman" w:hAnsi="Times New Roman" w:cs="Times New Roman"/>
          <w:color w:val="323233"/>
        </w:rPr>
        <w:t xml:space="preserve"> par </w:t>
      </w:r>
      <w:proofErr w:type="spellStart"/>
      <w:r>
        <w:rPr>
          <w:rFonts w:ascii="Times New Roman" w:hAnsi="Times New Roman" w:cs="Times New Roman"/>
          <w:color w:val="323233"/>
        </w:rPr>
        <w:t>ārvalsts</w:t>
      </w:r>
      <w:proofErr w:type="spellEnd"/>
      <w:r>
        <w:rPr>
          <w:rFonts w:ascii="Times New Roman" w:hAnsi="Times New Roman" w:cs="Times New Roman"/>
          <w:color w:val="323233"/>
        </w:rPr>
        <w:t xml:space="preserve"> </w:t>
      </w:r>
      <w:proofErr w:type="spellStart"/>
      <w:r>
        <w:rPr>
          <w:rFonts w:ascii="Times New Roman" w:hAnsi="Times New Roman" w:cs="Times New Roman"/>
          <w:color w:val="323233"/>
        </w:rPr>
        <w:t>likuma</w:t>
      </w:r>
      <w:proofErr w:type="spellEnd"/>
      <w:r>
        <w:rPr>
          <w:rFonts w:ascii="Times New Roman" w:hAnsi="Times New Roman" w:cs="Times New Roman"/>
          <w:color w:val="323233"/>
        </w:rPr>
        <w:t xml:space="preserve"> </w:t>
      </w:r>
      <w:proofErr w:type="spellStart"/>
      <w:r>
        <w:rPr>
          <w:rFonts w:ascii="Times New Roman" w:hAnsi="Times New Roman" w:cs="Times New Roman"/>
          <w:color w:val="323233"/>
        </w:rPr>
        <w:t>piemērošanu</w:t>
      </w:r>
      <w:proofErr w:type="spellEnd"/>
      <w:r>
        <w:rPr>
          <w:rFonts w:ascii="Times New Roman" w:hAnsi="Times New Roman" w:cs="Times New Roman"/>
          <w:color w:val="323233"/>
        </w:rPr>
        <w:t>.</w:t>
      </w:r>
    </w:p>
    <w:p w14:paraId="09F3EBEC" w14:textId="77777777" w:rsidR="00114953" w:rsidRPr="003F36DF" w:rsidRDefault="00114953" w:rsidP="00114953">
      <w:pPr>
        <w:jc w:val="center"/>
        <w:rPr>
          <w:rFonts w:ascii="Times New Roman" w:hAnsi="Times New Roman" w:cs="Times New Roman"/>
          <w:b/>
        </w:rPr>
      </w:pPr>
    </w:p>
    <w:p w14:paraId="6DAE796D" w14:textId="77777777" w:rsidR="00114953" w:rsidRDefault="00114953" w:rsidP="00114953">
      <w:pPr>
        <w:jc w:val="center"/>
        <w:rPr>
          <w:rFonts w:ascii="Times New Roman" w:hAnsi="Times New Roman" w:cs="Times New Roman"/>
          <w:b/>
          <w:sz w:val="28"/>
          <w:szCs w:val="28"/>
        </w:rPr>
      </w:pPr>
    </w:p>
    <w:p w14:paraId="59752961" w14:textId="77777777" w:rsidR="00114953" w:rsidRDefault="00114953" w:rsidP="00114953">
      <w:pPr>
        <w:jc w:val="center"/>
        <w:rPr>
          <w:rFonts w:ascii="Times New Roman" w:hAnsi="Times New Roman" w:cs="Times New Roman"/>
          <w:b/>
          <w:sz w:val="28"/>
          <w:szCs w:val="28"/>
        </w:rPr>
      </w:pPr>
    </w:p>
    <w:p w14:paraId="7EC165E5" w14:textId="77777777" w:rsidR="00114953" w:rsidRDefault="00114953" w:rsidP="00114953">
      <w:pPr>
        <w:jc w:val="center"/>
        <w:rPr>
          <w:rFonts w:ascii="Times New Roman" w:hAnsi="Times New Roman" w:cs="Times New Roman"/>
          <w:b/>
          <w:sz w:val="28"/>
          <w:szCs w:val="28"/>
        </w:rPr>
      </w:pPr>
    </w:p>
    <w:p w14:paraId="5C6F0577" w14:textId="77777777" w:rsidR="00114953" w:rsidRDefault="00114953" w:rsidP="00114953">
      <w:pPr>
        <w:jc w:val="center"/>
        <w:rPr>
          <w:rFonts w:ascii="Times New Roman" w:hAnsi="Times New Roman" w:cs="Times New Roman"/>
          <w:b/>
          <w:sz w:val="28"/>
          <w:szCs w:val="28"/>
        </w:rPr>
      </w:pPr>
    </w:p>
    <w:p w14:paraId="2A318910" w14:textId="77777777" w:rsidR="00114953" w:rsidRDefault="00114953" w:rsidP="00114953">
      <w:pPr>
        <w:jc w:val="center"/>
        <w:rPr>
          <w:rFonts w:ascii="Times New Roman" w:hAnsi="Times New Roman" w:cs="Times New Roman"/>
          <w:b/>
          <w:sz w:val="28"/>
          <w:szCs w:val="28"/>
        </w:rPr>
      </w:pPr>
    </w:p>
    <w:p w14:paraId="4963F4B1" w14:textId="77777777" w:rsidR="00114953" w:rsidRDefault="00114953" w:rsidP="00114953">
      <w:pPr>
        <w:jc w:val="center"/>
        <w:rPr>
          <w:rFonts w:ascii="Times New Roman" w:hAnsi="Times New Roman" w:cs="Times New Roman"/>
          <w:b/>
          <w:sz w:val="28"/>
          <w:szCs w:val="28"/>
        </w:rPr>
      </w:pPr>
    </w:p>
    <w:p w14:paraId="1AAF07E4" w14:textId="77777777" w:rsidR="00114953" w:rsidRDefault="00114953" w:rsidP="00114953">
      <w:pPr>
        <w:jc w:val="center"/>
        <w:rPr>
          <w:rFonts w:ascii="Times New Roman" w:hAnsi="Times New Roman" w:cs="Times New Roman"/>
          <w:b/>
          <w:sz w:val="28"/>
          <w:szCs w:val="28"/>
        </w:rPr>
      </w:pPr>
    </w:p>
    <w:p w14:paraId="47CE6449" w14:textId="77777777" w:rsidR="00114953" w:rsidRDefault="00114953" w:rsidP="00114953">
      <w:pPr>
        <w:jc w:val="center"/>
        <w:rPr>
          <w:rFonts w:ascii="Times New Roman" w:hAnsi="Times New Roman" w:cs="Times New Roman"/>
          <w:b/>
          <w:sz w:val="28"/>
          <w:szCs w:val="28"/>
        </w:rPr>
      </w:pPr>
    </w:p>
    <w:p w14:paraId="53EA0FAC" w14:textId="77777777" w:rsidR="00114953" w:rsidRDefault="00114953" w:rsidP="00114953">
      <w:pPr>
        <w:jc w:val="center"/>
        <w:rPr>
          <w:rFonts w:ascii="Times New Roman" w:hAnsi="Times New Roman" w:cs="Times New Roman"/>
          <w:b/>
          <w:sz w:val="28"/>
          <w:szCs w:val="28"/>
        </w:rPr>
      </w:pPr>
    </w:p>
    <w:p w14:paraId="55681A71" w14:textId="77777777" w:rsidR="00114953" w:rsidRDefault="00114953" w:rsidP="00114953">
      <w:pPr>
        <w:jc w:val="center"/>
        <w:rPr>
          <w:rFonts w:ascii="Times New Roman" w:hAnsi="Times New Roman" w:cs="Times New Roman"/>
          <w:b/>
          <w:sz w:val="28"/>
          <w:szCs w:val="28"/>
        </w:rPr>
      </w:pPr>
    </w:p>
    <w:p w14:paraId="15CB3C8B" w14:textId="77777777" w:rsidR="00114953" w:rsidRDefault="00114953" w:rsidP="00114953">
      <w:pPr>
        <w:jc w:val="center"/>
        <w:rPr>
          <w:rFonts w:ascii="Times New Roman" w:hAnsi="Times New Roman" w:cs="Times New Roman"/>
          <w:b/>
          <w:sz w:val="28"/>
          <w:szCs w:val="28"/>
        </w:rPr>
      </w:pPr>
    </w:p>
    <w:p w14:paraId="30DE4BA8" w14:textId="77777777" w:rsidR="00114953" w:rsidRDefault="00114953" w:rsidP="00114953">
      <w:pPr>
        <w:jc w:val="center"/>
        <w:rPr>
          <w:rFonts w:ascii="Times New Roman" w:hAnsi="Times New Roman" w:cs="Times New Roman"/>
          <w:b/>
          <w:sz w:val="28"/>
          <w:szCs w:val="28"/>
        </w:rPr>
      </w:pPr>
    </w:p>
    <w:p w14:paraId="5B09377C" w14:textId="77777777" w:rsidR="00114953" w:rsidRDefault="00114953" w:rsidP="00114953">
      <w:pPr>
        <w:jc w:val="center"/>
        <w:rPr>
          <w:rFonts w:ascii="Times New Roman" w:hAnsi="Times New Roman" w:cs="Times New Roman"/>
          <w:b/>
          <w:sz w:val="28"/>
          <w:szCs w:val="28"/>
        </w:rPr>
      </w:pPr>
    </w:p>
    <w:p w14:paraId="0BA26685" w14:textId="77777777" w:rsidR="00114953" w:rsidRDefault="00114953" w:rsidP="00114953">
      <w:pPr>
        <w:jc w:val="center"/>
        <w:rPr>
          <w:rFonts w:ascii="Times New Roman" w:hAnsi="Times New Roman" w:cs="Times New Roman"/>
          <w:b/>
          <w:sz w:val="28"/>
          <w:szCs w:val="28"/>
        </w:rPr>
      </w:pPr>
    </w:p>
    <w:p w14:paraId="7043A0F4" w14:textId="77777777" w:rsidR="00114953" w:rsidRDefault="00114953" w:rsidP="00114953">
      <w:pPr>
        <w:jc w:val="center"/>
        <w:rPr>
          <w:rFonts w:ascii="Times New Roman" w:hAnsi="Times New Roman" w:cs="Times New Roman"/>
          <w:b/>
          <w:sz w:val="28"/>
          <w:szCs w:val="28"/>
        </w:rPr>
      </w:pPr>
    </w:p>
    <w:p w14:paraId="6D82AA06" w14:textId="77777777" w:rsidR="00114953" w:rsidRDefault="00114953" w:rsidP="00114953">
      <w:pPr>
        <w:jc w:val="center"/>
        <w:rPr>
          <w:rFonts w:ascii="Times New Roman" w:hAnsi="Times New Roman" w:cs="Times New Roman"/>
          <w:b/>
          <w:sz w:val="28"/>
          <w:szCs w:val="28"/>
        </w:rPr>
      </w:pPr>
    </w:p>
    <w:p w14:paraId="48C18BE9" w14:textId="77777777" w:rsidR="00114953" w:rsidRDefault="00114953" w:rsidP="00114953">
      <w:pPr>
        <w:jc w:val="center"/>
        <w:rPr>
          <w:rFonts w:ascii="Times New Roman" w:hAnsi="Times New Roman" w:cs="Times New Roman"/>
          <w:b/>
          <w:sz w:val="28"/>
          <w:szCs w:val="28"/>
        </w:rPr>
      </w:pPr>
    </w:p>
    <w:p w14:paraId="44213A7E" w14:textId="77777777" w:rsidR="00114953" w:rsidRDefault="00114953" w:rsidP="00114953">
      <w:pPr>
        <w:jc w:val="center"/>
        <w:rPr>
          <w:rFonts w:ascii="Times New Roman" w:hAnsi="Times New Roman" w:cs="Times New Roman"/>
          <w:b/>
          <w:sz w:val="28"/>
          <w:szCs w:val="28"/>
        </w:rPr>
      </w:pPr>
    </w:p>
    <w:p w14:paraId="49CDCD3D" w14:textId="77777777" w:rsidR="00114953" w:rsidRDefault="00114953" w:rsidP="00114953">
      <w:pPr>
        <w:jc w:val="center"/>
        <w:rPr>
          <w:rFonts w:ascii="Times New Roman" w:hAnsi="Times New Roman" w:cs="Times New Roman"/>
          <w:b/>
          <w:sz w:val="28"/>
          <w:szCs w:val="28"/>
        </w:rPr>
      </w:pPr>
    </w:p>
    <w:p w14:paraId="7747725A" w14:textId="77777777" w:rsidR="00114953" w:rsidRDefault="00114953" w:rsidP="00114953">
      <w:pPr>
        <w:jc w:val="center"/>
        <w:rPr>
          <w:rFonts w:ascii="Times New Roman" w:hAnsi="Times New Roman" w:cs="Times New Roman"/>
          <w:b/>
          <w:sz w:val="28"/>
          <w:szCs w:val="28"/>
        </w:rPr>
      </w:pPr>
    </w:p>
    <w:p w14:paraId="0AFAD4B2" w14:textId="77777777" w:rsidR="00114953" w:rsidRDefault="00114953" w:rsidP="00114953">
      <w:pPr>
        <w:jc w:val="center"/>
        <w:rPr>
          <w:rFonts w:ascii="Times New Roman" w:hAnsi="Times New Roman" w:cs="Times New Roman"/>
          <w:b/>
          <w:sz w:val="28"/>
          <w:szCs w:val="28"/>
        </w:rPr>
      </w:pPr>
    </w:p>
    <w:p w14:paraId="53BE56A7" w14:textId="77777777" w:rsidR="00114953" w:rsidRDefault="00114953" w:rsidP="00114953">
      <w:pPr>
        <w:jc w:val="center"/>
        <w:rPr>
          <w:rFonts w:ascii="Times New Roman" w:hAnsi="Times New Roman" w:cs="Times New Roman"/>
          <w:b/>
          <w:sz w:val="28"/>
          <w:szCs w:val="28"/>
        </w:rPr>
      </w:pPr>
    </w:p>
    <w:p w14:paraId="480F2207" w14:textId="77777777" w:rsidR="00114953" w:rsidRDefault="00114953" w:rsidP="00114953">
      <w:pPr>
        <w:jc w:val="center"/>
        <w:rPr>
          <w:rFonts w:ascii="Times New Roman" w:hAnsi="Times New Roman" w:cs="Times New Roman"/>
          <w:b/>
          <w:sz w:val="28"/>
          <w:szCs w:val="28"/>
        </w:rPr>
      </w:pPr>
    </w:p>
    <w:p w14:paraId="07994CD3" w14:textId="77777777" w:rsidR="00114953" w:rsidRDefault="00114953" w:rsidP="00114953">
      <w:pPr>
        <w:jc w:val="center"/>
        <w:rPr>
          <w:rFonts w:ascii="Times New Roman" w:hAnsi="Times New Roman" w:cs="Times New Roman"/>
          <w:b/>
          <w:sz w:val="28"/>
          <w:szCs w:val="28"/>
        </w:rPr>
      </w:pPr>
      <w:r>
        <w:rPr>
          <w:rFonts w:ascii="Times New Roman" w:hAnsi="Times New Roman" w:cs="Times New Roman"/>
          <w:b/>
          <w:sz w:val="28"/>
          <w:szCs w:val="28"/>
        </w:rPr>
        <w:t xml:space="preserve">II. </w:t>
      </w:r>
      <w:proofErr w:type="spellStart"/>
      <w:r>
        <w:rPr>
          <w:rFonts w:ascii="Times New Roman" w:hAnsi="Times New Roman" w:cs="Times New Roman"/>
          <w:b/>
          <w:sz w:val="28"/>
          <w:szCs w:val="28"/>
        </w:rPr>
        <w:t>Atbildes</w:t>
      </w:r>
      <w:proofErr w:type="spellEnd"/>
      <w:r>
        <w:rPr>
          <w:rFonts w:ascii="Times New Roman" w:hAnsi="Times New Roman" w:cs="Times New Roman"/>
          <w:b/>
          <w:sz w:val="28"/>
          <w:szCs w:val="28"/>
        </w:rPr>
        <w:t xml:space="preserve"> </w:t>
      </w:r>
      <w:proofErr w:type="spellStart"/>
      <w:r>
        <w:rPr>
          <w:rFonts w:ascii="Times New Roman" w:hAnsi="Times New Roman" w:cs="Times New Roman"/>
          <w:b/>
          <w:sz w:val="28"/>
          <w:szCs w:val="28"/>
        </w:rPr>
        <w:t>uz</w:t>
      </w:r>
      <w:proofErr w:type="spellEnd"/>
      <w:r>
        <w:rPr>
          <w:rFonts w:ascii="Times New Roman" w:hAnsi="Times New Roman" w:cs="Times New Roman"/>
          <w:b/>
          <w:sz w:val="28"/>
          <w:szCs w:val="28"/>
        </w:rPr>
        <w:t xml:space="preserve"> </w:t>
      </w:r>
      <w:proofErr w:type="spellStart"/>
      <w:r>
        <w:rPr>
          <w:rFonts w:ascii="Times New Roman" w:hAnsi="Times New Roman" w:cs="Times New Roman"/>
          <w:b/>
          <w:sz w:val="28"/>
          <w:szCs w:val="28"/>
        </w:rPr>
        <w:t>uzdotajiem</w:t>
      </w:r>
      <w:proofErr w:type="spellEnd"/>
      <w:r>
        <w:rPr>
          <w:rFonts w:ascii="Times New Roman" w:hAnsi="Times New Roman" w:cs="Times New Roman"/>
          <w:b/>
          <w:sz w:val="28"/>
          <w:szCs w:val="28"/>
        </w:rPr>
        <w:t xml:space="preserve"> </w:t>
      </w:r>
      <w:proofErr w:type="spellStart"/>
      <w:r>
        <w:rPr>
          <w:rFonts w:ascii="Times New Roman" w:hAnsi="Times New Roman" w:cs="Times New Roman"/>
          <w:b/>
          <w:sz w:val="28"/>
          <w:szCs w:val="28"/>
        </w:rPr>
        <w:t>jautājumiem</w:t>
      </w:r>
      <w:proofErr w:type="spellEnd"/>
    </w:p>
    <w:p w14:paraId="1F24EBCF" w14:textId="77777777" w:rsidR="00114953" w:rsidRDefault="00114953" w:rsidP="00114953">
      <w:pPr>
        <w:jc w:val="center"/>
        <w:rPr>
          <w:rFonts w:ascii="Times New Roman" w:hAnsi="Times New Roman" w:cs="Times New Roman"/>
          <w:b/>
          <w:sz w:val="28"/>
          <w:szCs w:val="28"/>
        </w:rPr>
      </w:pPr>
    </w:p>
    <w:p w14:paraId="66771DAB" w14:textId="77777777" w:rsidR="00114953" w:rsidRDefault="00114953" w:rsidP="00114953">
      <w:pPr>
        <w:jc w:val="both"/>
        <w:rPr>
          <w:rFonts w:ascii="Times New Roman" w:hAnsi="Times New Roman" w:cs="Times New Roman"/>
        </w:rPr>
      </w:pPr>
    </w:p>
    <w:p w14:paraId="02BA0F2D" w14:textId="77777777" w:rsidR="00114953" w:rsidRDefault="00114953" w:rsidP="00114953">
      <w:pPr>
        <w:jc w:val="both"/>
        <w:rPr>
          <w:rFonts w:ascii="Times New Roman" w:hAnsi="Times New Roman" w:cs="Times New Roman"/>
          <w:b/>
        </w:rPr>
      </w:pPr>
    </w:p>
    <w:p w14:paraId="36E4F3F6" w14:textId="77777777" w:rsidR="00114953" w:rsidRDefault="00114953" w:rsidP="00114953">
      <w:pPr>
        <w:jc w:val="both"/>
        <w:rPr>
          <w:rFonts w:ascii="Times New Roman" w:hAnsi="Times New Roman" w:cs="Times New Roman"/>
          <w:b/>
        </w:rPr>
      </w:pPr>
    </w:p>
    <w:tbl>
      <w:tblPr>
        <w:tblStyle w:val="TableGrid"/>
        <w:tblW w:w="0" w:type="auto"/>
        <w:tblLook w:val="04A0" w:firstRow="1" w:lastRow="0" w:firstColumn="1" w:lastColumn="0" w:noHBand="0" w:noVBand="1"/>
      </w:tblPr>
      <w:tblGrid>
        <w:gridCol w:w="9206"/>
      </w:tblGrid>
      <w:tr w:rsidR="00114953" w:rsidRPr="000C7C76" w14:paraId="56FD4CFA" w14:textId="77777777" w:rsidTr="00BF3A72">
        <w:tc>
          <w:tcPr>
            <w:tcW w:w="9206" w:type="dxa"/>
            <w:shd w:val="clear" w:color="auto" w:fill="D9D9D9" w:themeFill="background1" w:themeFillShade="D9"/>
          </w:tcPr>
          <w:p w14:paraId="086FEA35" w14:textId="77777777" w:rsidR="00114953" w:rsidRPr="006C311A" w:rsidRDefault="00114953" w:rsidP="00BF3A72">
            <w:pPr>
              <w:jc w:val="both"/>
              <w:rPr>
                <w:b/>
              </w:rPr>
            </w:pPr>
            <w:r w:rsidRPr="006C311A">
              <w:rPr>
                <w:b/>
              </w:rPr>
              <w:t xml:space="preserve">1. </w:t>
            </w:r>
            <w:proofErr w:type="spellStart"/>
            <w:r w:rsidRPr="006C311A">
              <w:rPr>
                <w:b/>
              </w:rPr>
              <w:t>Kādas</w:t>
            </w:r>
            <w:proofErr w:type="spellEnd"/>
            <w:r w:rsidRPr="006C311A">
              <w:rPr>
                <w:b/>
              </w:rPr>
              <w:t xml:space="preserve"> </w:t>
            </w:r>
            <w:proofErr w:type="spellStart"/>
            <w:r w:rsidRPr="006C311A">
              <w:rPr>
                <w:b/>
              </w:rPr>
              <w:t>kolīziju</w:t>
            </w:r>
            <w:proofErr w:type="spellEnd"/>
            <w:r w:rsidRPr="006C311A">
              <w:rPr>
                <w:b/>
              </w:rPr>
              <w:t xml:space="preserve"> </w:t>
            </w:r>
            <w:proofErr w:type="spellStart"/>
            <w:r w:rsidRPr="006C311A">
              <w:rPr>
                <w:b/>
              </w:rPr>
              <w:t>normas</w:t>
            </w:r>
            <w:proofErr w:type="spellEnd"/>
            <w:r w:rsidRPr="006C311A">
              <w:rPr>
                <w:b/>
              </w:rPr>
              <w:t xml:space="preserve"> </w:t>
            </w:r>
            <w:proofErr w:type="spellStart"/>
            <w:r w:rsidRPr="006C311A">
              <w:rPr>
                <w:b/>
              </w:rPr>
              <w:t>regulē</w:t>
            </w:r>
            <w:proofErr w:type="spellEnd"/>
            <w:r w:rsidRPr="006C311A">
              <w:rPr>
                <w:b/>
              </w:rPr>
              <w:t xml:space="preserve"> </w:t>
            </w:r>
            <w:proofErr w:type="spellStart"/>
            <w:r w:rsidRPr="006C311A">
              <w:rPr>
                <w:b/>
              </w:rPr>
              <w:t>jautājumu</w:t>
            </w:r>
            <w:proofErr w:type="spellEnd"/>
            <w:r w:rsidRPr="006C311A">
              <w:rPr>
                <w:b/>
              </w:rPr>
              <w:t xml:space="preserve"> par </w:t>
            </w:r>
            <w:proofErr w:type="spellStart"/>
            <w:r w:rsidRPr="006C311A">
              <w:rPr>
                <w:b/>
              </w:rPr>
              <w:t>ārvalstīs</w:t>
            </w:r>
            <w:proofErr w:type="spellEnd"/>
            <w:r w:rsidRPr="006C311A">
              <w:rPr>
                <w:b/>
              </w:rPr>
              <w:t xml:space="preserve"> </w:t>
            </w:r>
            <w:proofErr w:type="spellStart"/>
            <w:r w:rsidRPr="006C311A">
              <w:rPr>
                <w:b/>
              </w:rPr>
              <w:t>izdota</w:t>
            </w:r>
            <w:proofErr w:type="spellEnd"/>
            <w:r w:rsidRPr="006C311A">
              <w:rPr>
                <w:b/>
              </w:rPr>
              <w:t xml:space="preserve"> </w:t>
            </w:r>
            <w:proofErr w:type="spellStart"/>
            <w:r w:rsidRPr="006C311A">
              <w:rPr>
                <w:b/>
              </w:rPr>
              <w:t>dokumenta</w:t>
            </w:r>
            <w:proofErr w:type="spellEnd"/>
            <w:r w:rsidRPr="006C311A">
              <w:rPr>
                <w:b/>
              </w:rPr>
              <w:t xml:space="preserve">, </w:t>
            </w:r>
            <w:proofErr w:type="spellStart"/>
            <w:r w:rsidRPr="006C311A">
              <w:rPr>
                <w:b/>
              </w:rPr>
              <w:t>kas</w:t>
            </w:r>
            <w:proofErr w:type="spellEnd"/>
            <w:r w:rsidRPr="006C311A">
              <w:rPr>
                <w:b/>
              </w:rPr>
              <w:t xml:space="preserve"> </w:t>
            </w:r>
            <w:proofErr w:type="spellStart"/>
            <w:r w:rsidRPr="006C311A">
              <w:rPr>
                <w:b/>
              </w:rPr>
              <w:t>apliecina</w:t>
            </w:r>
            <w:proofErr w:type="spellEnd"/>
            <w:r w:rsidRPr="006C311A">
              <w:rPr>
                <w:b/>
              </w:rPr>
              <w:t xml:space="preserve"> </w:t>
            </w:r>
            <w:proofErr w:type="spellStart"/>
            <w:r w:rsidRPr="004D09A1">
              <w:rPr>
                <w:b/>
                <w:u w:val="single"/>
              </w:rPr>
              <w:t>fiziskas</w:t>
            </w:r>
            <w:proofErr w:type="spellEnd"/>
            <w:r w:rsidRPr="004D09A1">
              <w:rPr>
                <w:b/>
                <w:u w:val="single"/>
              </w:rPr>
              <w:t xml:space="preserve"> personas</w:t>
            </w:r>
            <w:r>
              <w:rPr>
                <w:b/>
              </w:rPr>
              <w:t xml:space="preserve"> </w:t>
            </w:r>
            <w:proofErr w:type="spellStart"/>
            <w:r w:rsidRPr="006C311A">
              <w:rPr>
                <w:b/>
              </w:rPr>
              <w:t>rīcībspēju</w:t>
            </w:r>
            <w:proofErr w:type="spellEnd"/>
            <w:r w:rsidRPr="006C311A">
              <w:rPr>
                <w:b/>
              </w:rPr>
              <w:t xml:space="preserve"> </w:t>
            </w:r>
            <w:proofErr w:type="spellStart"/>
            <w:r w:rsidRPr="006C311A">
              <w:rPr>
                <w:b/>
              </w:rPr>
              <w:t>un</w:t>
            </w:r>
            <w:proofErr w:type="spellEnd"/>
            <w:r w:rsidRPr="006C311A">
              <w:rPr>
                <w:b/>
              </w:rPr>
              <w:t xml:space="preserve"> </w:t>
            </w:r>
            <w:proofErr w:type="spellStart"/>
            <w:r w:rsidRPr="006C311A">
              <w:rPr>
                <w:b/>
              </w:rPr>
              <w:t>pārstāvības</w:t>
            </w:r>
            <w:proofErr w:type="spellEnd"/>
            <w:r w:rsidRPr="006C311A">
              <w:rPr>
                <w:b/>
              </w:rPr>
              <w:t xml:space="preserve"> </w:t>
            </w:r>
            <w:proofErr w:type="spellStart"/>
            <w:r w:rsidRPr="006C311A">
              <w:rPr>
                <w:b/>
              </w:rPr>
              <w:t>tiesības</w:t>
            </w:r>
            <w:proofErr w:type="spellEnd"/>
            <w:r w:rsidRPr="006C311A">
              <w:rPr>
                <w:b/>
              </w:rPr>
              <w:t xml:space="preserve"> </w:t>
            </w:r>
            <w:proofErr w:type="spellStart"/>
            <w:r w:rsidRPr="006C311A">
              <w:rPr>
                <w:b/>
              </w:rPr>
              <w:t>un</w:t>
            </w:r>
            <w:proofErr w:type="spellEnd"/>
            <w:r w:rsidRPr="006C311A">
              <w:rPr>
                <w:b/>
              </w:rPr>
              <w:t xml:space="preserve"> </w:t>
            </w:r>
            <w:proofErr w:type="spellStart"/>
            <w:r w:rsidRPr="004D09A1">
              <w:rPr>
                <w:b/>
                <w:u w:val="single"/>
              </w:rPr>
              <w:t>juridiskās</w:t>
            </w:r>
            <w:proofErr w:type="spellEnd"/>
            <w:r w:rsidRPr="004D09A1">
              <w:rPr>
                <w:b/>
                <w:u w:val="single"/>
              </w:rPr>
              <w:t xml:space="preserve"> personas</w:t>
            </w:r>
            <w:r w:rsidRPr="006C311A">
              <w:rPr>
                <w:b/>
              </w:rPr>
              <w:t xml:space="preserve"> </w:t>
            </w:r>
            <w:proofErr w:type="spellStart"/>
            <w:r w:rsidRPr="006C311A">
              <w:rPr>
                <w:b/>
              </w:rPr>
              <w:t>tiesībspēju</w:t>
            </w:r>
            <w:proofErr w:type="spellEnd"/>
            <w:r w:rsidRPr="006C311A">
              <w:rPr>
                <w:b/>
              </w:rPr>
              <w:t xml:space="preserve"> </w:t>
            </w:r>
            <w:proofErr w:type="spellStart"/>
            <w:r w:rsidRPr="006C311A">
              <w:rPr>
                <w:b/>
              </w:rPr>
              <w:t>un</w:t>
            </w:r>
            <w:proofErr w:type="spellEnd"/>
            <w:r w:rsidRPr="006C311A">
              <w:rPr>
                <w:b/>
              </w:rPr>
              <w:t xml:space="preserve"> </w:t>
            </w:r>
            <w:proofErr w:type="spellStart"/>
            <w:r w:rsidRPr="006C311A">
              <w:rPr>
                <w:b/>
              </w:rPr>
              <w:t>pārstāvju</w:t>
            </w:r>
            <w:proofErr w:type="spellEnd"/>
            <w:r w:rsidRPr="006C311A">
              <w:rPr>
                <w:b/>
              </w:rPr>
              <w:t xml:space="preserve"> </w:t>
            </w:r>
            <w:proofErr w:type="spellStart"/>
            <w:r w:rsidRPr="006C311A">
              <w:rPr>
                <w:b/>
              </w:rPr>
              <w:t>pilnvaras</w:t>
            </w:r>
            <w:proofErr w:type="spellEnd"/>
            <w:r w:rsidRPr="006C311A">
              <w:rPr>
                <w:b/>
              </w:rPr>
              <w:t xml:space="preserve">, </w:t>
            </w:r>
            <w:proofErr w:type="spellStart"/>
            <w:r w:rsidRPr="006C311A">
              <w:rPr>
                <w:b/>
              </w:rPr>
              <w:t>izmantošanu</w:t>
            </w:r>
            <w:proofErr w:type="spellEnd"/>
            <w:r w:rsidRPr="006C311A">
              <w:rPr>
                <w:b/>
              </w:rPr>
              <w:t xml:space="preserve"> </w:t>
            </w:r>
            <w:proofErr w:type="spellStart"/>
            <w:proofErr w:type="gramStart"/>
            <w:r w:rsidRPr="006C311A">
              <w:rPr>
                <w:b/>
              </w:rPr>
              <w:t>Latvijā</w:t>
            </w:r>
            <w:proofErr w:type="spellEnd"/>
            <w:r w:rsidRPr="006C311A">
              <w:rPr>
                <w:b/>
              </w:rPr>
              <w:t> ?</w:t>
            </w:r>
            <w:proofErr w:type="gramEnd"/>
            <w:r w:rsidRPr="006C311A">
              <w:rPr>
                <w:b/>
              </w:rPr>
              <w:t xml:space="preserve"> </w:t>
            </w:r>
            <w:proofErr w:type="spellStart"/>
            <w:r w:rsidRPr="006C311A">
              <w:rPr>
                <w:b/>
              </w:rPr>
              <w:t>Kāds</w:t>
            </w:r>
            <w:proofErr w:type="spellEnd"/>
            <w:r w:rsidRPr="006C311A">
              <w:rPr>
                <w:b/>
              </w:rPr>
              <w:t xml:space="preserve"> </w:t>
            </w:r>
            <w:proofErr w:type="spellStart"/>
            <w:r w:rsidRPr="006C311A">
              <w:rPr>
                <w:b/>
              </w:rPr>
              <w:t>ir</w:t>
            </w:r>
            <w:proofErr w:type="spellEnd"/>
            <w:r w:rsidRPr="006C311A">
              <w:rPr>
                <w:b/>
              </w:rPr>
              <w:t xml:space="preserve"> </w:t>
            </w:r>
            <w:proofErr w:type="spellStart"/>
            <w:r w:rsidRPr="006C311A">
              <w:rPr>
                <w:b/>
              </w:rPr>
              <w:t>šo</w:t>
            </w:r>
            <w:proofErr w:type="spellEnd"/>
            <w:r w:rsidRPr="006C311A">
              <w:rPr>
                <w:b/>
              </w:rPr>
              <w:t xml:space="preserve"> SPT </w:t>
            </w:r>
            <w:proofErr w:type="spellStart"/>
            <w:r w:rsidRPr="006C311A">
              <w:rPr>
                <w:b/>
              </w:rPr>
              <w:t>kolīziju</w:t>
            </w:r>
            <w:proofErr w:type="spellEnd"/>
            <w:r w:rsidRPr="006C311A">
              <w:rPr>
                <w:b/>
              </w:rPr>
              <w:t xml:space="preserve"> </w:t>
            </w:r>
            <w:proofErr w:type="spellStart"/>
            <w:r w:rsidRPr="006C311A">
              <w:rPr>
                <w:b/>
              </w:rPr>
              <w:t>normu</w:t>
            </w:r>
            <w:proofErr w:type="spellEnd"/>
            <w:r w:rsidRPr="006C311A">
              <w:rPr>
                <w:b/>
              </w:rPr>
              <w:t xml:space="preserve"> </w:t>
            </w:r>
            <w:proofErr w:type="spellStart"/>
            <w:r w:rsidRPr="006C311A">
              <w:rPr>
                <w:b/>
              </w:rPr>
              <w:t>saturs</w:t>
            </w:r>
            <w:proofErr w:type="spellEnd"/>
            <w:r w:rsidRPr="006C311A">
              <w:rPr>
                <w:b/>
              </w:rPr>
              <w:t xml:space="preserve">, </w:t>
            </w:r>
            <w:proofErr w:type="spellStart"/>
            <w:r w:rsidRPr="006C311A">
              <w:rPr>
                <w:b/>
              </w:rPr>
              <w:t>un</w:t>
            </w:r>
            <w:proofErr w:type="spellEnd"/>
            <w:r w:rsidRPr="006C311A">
              <w:rPr>
                <w:b/>
              </w:rPr>
              <w:t xml:space="preserve"> </w:t>
            </w:r>
            <w:proofErr w:type="spellStart"/>
            <w:r w:rsidRPr="006C311A">
              <w:rPr>
                <w:b/>
              </w:rPr>
              <w:t>kādi</w:t>
            </w:r>
            <w:proofErr w:type="spellEnd"/>
            <w:r w:rsidRPr="006C311A">
              <w:rPr>
                <w:b/>
              </w:rPr>
              <w:t xml:space="preserve"> </w:t>
            </w:r>
            <w:proofErr w:type="spellStart"/>
            <w:r w:rsidRPr="006C311A">
              <w:rPr>
                <w:b/>
              </w:rPr>
              <w:t>ir</w:t>
            </w:r>
            <w:proofErr w:type="spellEnd"/>
            <w:r w:rsidRPr="006C311A">
              <w:rPr>
                <w:b/>
              </w:rPr>
              <w:t xml:space="preserve"> </w:t>
            </w:r>
            <w:proofErr w:type="spellStart"/>
            <w:r w:rsidRPr="006C311A">
              <w:rPr>
                <w:b/>
              </w:rPr>
              <w:t>piemērošanas</w:t>
            </w:r>
            <w:proofErr w:type="spellEnd"/>
            <w:r w:rsidRPr="006C311A">
              <w:rPr>
                <w:b/>
              </w:rPr>
              <w:t xml:space="preserve"> </w:t>
            </w:r>
            <w:proofErr w:type="spellStart"/>
            <w:proofErr w:type="gramStart"/>
            <w:r w:rsidRPr="006C311A">
              <w:rPr>
                <w:b/>
              </w:rPr>
              <w:t>noteikumi</w:t>
            </w:r>
            <w:proofErr w:type="spellEnd"/>
            <w:r w:rsidRPr="006C311A">
              <w:rPr>
                <w:b/>
              </w:rPr>
              <w:t> ?</w:t>
            </w:r>
            <w:proofErr w:type="gramEnd"/>
          </w:p>
          <w:p w14:paraId="4878A275" w14:textId="77777777" w:rsidR="00114953" w:rsidRDefault="00114953" w:rsidP="00BF3A72">
            <w:pPr>
              <w:jc w:val="both"/>
              <w:rPr>
                <w:b/>
              </w:rPr>
            </w:pPr>
          </w:p>
        </w:tc>
      </w:tr>
    </w:tbl>
    <w:p w14:paraId="4E7EF0EE" w14:textId="77777777" w:rsidR="00114953" w:rsidRPr="000C7C76" w:rsidRDefault="00114953" w:rsidP="00114953">
      <w:pPr>
        <w:jc w:val="both"/>
        <w:rPr>
          <w:rFonts w:ascii="Times New Roman" w:hAnsi="Times New Roman" w:cs="Times New Roman"/>
          <w:b/>
          <w:lang w:val="de-DE"/>
        </w:rPr>
      </w:pPr>
    </w:p>
    <w:p w14:paraId="76EDB9B1" w14:textId="77777777" w:rsidR="00114953" w:rsidRPr="000C7C76" w:rsidRDefault="00114953" w:rsidP="00114953">
      <w:pPr>
        <w:jc w:val="both"/>
        <w:rPr>
          <w:rFonts w:ascii="Times New Roman" w:hAnsi="Times New Roman" w:cs="Times New Roman"/>
          <w:b/>
          <w:lang w:val="de-DE"/>
        </w:rPr>
      </w:pPr>
    </w:p>
    <w:p w14:paraId="18F9B656" w14:textId="77777777" w:rsidR="00114953" w:rsidRDefault="00114953" w:rsidP="00114953">
      <w:pPr>
        <w:widowControl w:val="0"/>
        <w:autoSpaceDE w:val="0"/>
        <w:autoSpaceDN w:val="0"/>
        <w:adjustRightInd w:val="0"/>
        <w:jc w:val="both"/>
        <w:rPr>
          <w:rFonts w:ascii="Times New Roman" w:hAnsi="Times New Roman" w:cs="Arial"/>
          <w:color w:val="323233"/>
          <w:lang w:val="lv-LV"/>
        </w:rPr>
      </w:pPr>
    </w:p>
    <w:p w14:paraId="3ED4BE9C" w14:textId="77777777" w:rsidR="00114953" w:rsidRPr="004D7D5B" w:rsidRDefault="00114953" w:rsidP="00114953">
      <w:pPr>
        <w:widowControl w:val="0"/>
        <w:autoSpaceDE w:val="0"/>
        <w:autoSpaceDN w:val="0"/>
        <w:adjustRightInd w:val="0"/>
        <w:jc w:val="both"/>
        <w:rPr>
          <w:rFonts w:ascii="Times New Roman" w:hAnsi="Times New Roman" w:cs="Arial"/>
          <w:b/>
          <w:color w:val="323233"/>
          <w:lang w:val="lv-LV"/>
        </w:rPr>
      </w:pPr>
      <w:r w:rsidRPr="004D7D5B">
        <w:rPr>
          <w:rFonts w:ascii="Times New Roman" w:hAnsi="Times New Roman" w:cs="Arial"/>
          <w:b/>
          <w:color w:val="323233"/>
          <w:lang w:val="lv-LV"/>
        </w:rPr>
        <w:t>Normatīvais regulējums:</w:t>
      </w:r>
    </w:p>
    <w:p w14:paraId="02A13773" w14:textId="77777777" w:rsidR="00114953" w:rsidRDefault="00114953" w:rsidP="00114953">
      <w:pPr>
        <w:widowControl w:val="0"/>
        <w:autoSpaceDE w:val="0"/>
        <w:autoSpaceDN w:val="0"/>
        <w:adjustRightInd w:val="0"/>
        <w:jc w:val="both"/>
        <w:rPr>
          <w:rFonts w:ascii="Times New Roman" w:hAnsi="Times New Roman" w:cs="Arial"/>
          <w:color w:val="323233"/>
          <w:lang w:val="lv-LV"/>
        </w:rPr>
      </w:pPr>
    </w:p>
    <w:p w14:paraId="7DD8E2E8" w14:textId="77777777" w:rsidR="00114953" w:rsidRPr="00970B26" w:rsidRDefault="00114953" w:rsidP="00114953">
      <w:pPr>
        <w:widowControl w:val="0"/>
        <w:autoSpaceDE w:val="0"/>
        <w:autoSpaceDN w:val="0"/>
        <w:adjustRightInd w:val="0"/>
        <w:ind w:firstLine="708"/>
        <w:jc w:val="both"/>
        <w:rPr>
          <w:rFonts w:ascii="Times New Roman" w:hAnsi="Times New Roman" w:cs="Arial"/>
          <w:b/>
          <w:bCs/>
          <w:i/>
          <w:iCs/>
          <w:color w:val="323233"/>
          <w:lang w:val="lv-LV"/>
        </w:rPr>
      </w:pPr>
      <w:r w:rsidRPr="008452A8">
        <w:rPr>
          <w:rFonts w:ascii="Times New Roman" w:hAnsi="Times New Roman" w:cs="Arial"/>
          <w:color w:val="323233"/>
          <w:lang w:val="lv-LV"/>
        </w:rPr>
        <w:t>Saskaņā ar Notariāta likuma 83.pantu „</w:t>
      </w:r>
      <w:r w:rsidRPr="000C7C76">
        <w:rPr>
          <w:rFonts w:ascii="Times New Roman" w:hAnsi="Times New Roman" w:cs="Arial"/>
          <w:i/>
          <w:iCs/>
          <w:color w:val="323233"/>
          <w:lang w:val="lv-LV"/>
        </w:rPr>
        <w:t xml:space="preserve">Zvērināts notārs pārbauda notariālā akta dalībnieku </w:t>
      </w:r>
      <w:r w:rsidRPr="000C7C76">
        <w:rPr>
          <w:rFonts w:ascii="Times New Roman" w:hAnsi="Times New Roman" w:cs="Arial"/>
          <w:i/>
          <w:iCs/>
          <w:color w:val="323233"/>
          <w:u w:val="single"/>
          <w:lang w:val="lv-LV"/>
        </w:rPr>
        <w:t>identitāti</w:t>
      </w:r>
      <w:r w:rsidRPr="000C7C76">
        <w:rPr>
          <w:rFonts w:ascii="Times New Roman" w:hAnsi="Times New Roman" w:cs="Arial"/>
          <w:i/>
          <w:iCs/>
          <w:color w:val="323233"/>
          <w:lang w:val="lv-LV"/>
        </w:rPr>
        <w:t xml:space="preserve">, </w:t>
      </w:r>
      <w:r w:rsidRPr="000C7C76">
        <w:rPr>
          <w:rFonts w:ascii="Times New Roman" w:hAnsi="Times New Roman" w:cs="Arial"/>
          <w:i/>
          <w:iCs/>
          <w:color w:val="323233"/>
          <w:u w:val="single"/>
          <w:lang w:val="lv-LV"/>
        </w:rPr>
        <w:t>rīcībspēju</w:t>
      </w:r>
      <w:r w:rsidRPr="000C7C76">
        <w:rPr>
          <w:rFonts w:ascii="Times New Roman" w:hAnsi="Times New Roman" w:cs="Arial"/>
          <w:i/>
          <w:iCs/>
          <w:color w:val="323233"/>
          <w:lang w:val="lv-LV"/>
        </w:rPr>
        <w:t xml:space="preserve"> un </w:t>
      </w:r>
      <w:r w:rsidRPr="000C7C76">
        <w:rPr>
          <w:rFonts w:ascii="Times New Roman" w:hAnsi="Times New Roman" w:cs="Arial"/>
          <w:i/>
          <w:iCs/>
          <w:color w:val="323233"/>
          <w:u w:val="single"/>
          <w:lang w:val="lv-LV"/>
        </w:rPr>
        <w:t>pārstāvības tiesības</w:t>
      </w:r>
      <w:r w:rsidRPr="000C7C76">
        <w:rPr>
          <w:rFonts w:ascii="Times New Roman" w:hAnsi="Times New Roman" w:cs="Arial"/>
          <w:i/>
          <w:iCs/>
          <w:color w:val="323233"/>
          <w:lang w:val="lv-LV"/>
        </w:rPr>
        <w:t>.</w:t>
      </w:r>
    </w:p>
    <w:p w14:paraId="0485DDF7" w14:textId="77777777" w:rsidR="00114953" w:rsidRPr="000C7C76" w:rsidRDefault="00114953" w:rsidP="00114953">
      <w:pPr>
        <w:widowControl w:val="0"/>
        <w:autoSpaceDE w:val="0"/>
        <w:autoSpaceDN w:val="0"/>
        <w:adjustRightInd w:val="0"/>
        <w:jc w:val="both"/>
        <w:rPr>
          <w:rFonts w:ascii="Times New Roman" w:hAnsi="Times New Roman" w:cs="Arial"/>
          <w:i/>
          <w:iCs/>
          <w:color w:val="323233"/>
          <w:lang w:val="lv-LV"/>
        </w:rPr>
      </w:pPr>
    </w:p>
    <w:p w14:paraId="1EA104B4" w14:textId="77777777" w:rsidR="00114953" w:rsidRPr="000C7C76" w:rsidRDefault="00114953" w:rsidP="00114953">
      <w:pPr>
        <w:widowControl w:val="0"/>
        <w:autoSpaceDE w:val="0"/>
        <w:autoSpaceDN w:val="0"/>
        <w:adjustRightInd w:val="0"/>
        <w:ind w:firstLine="708"/>
        <w:jc w:val="both"/>
        <w:rPr>
          <w:rFonts w:ascii="Times New Roman" w:hAnsi="Times New Roman" w:cs="Arial"/>
          <w:i/>
          <w:iCs/>
          <w:color w:val="323233"/>
          <w:lang w:val="lv-LV"/>
        </w:rPr>
      </w:pPr>
      <w:r w:rsidRPr="000C7C76">
        <w:rPr>
          <w:rFonts w:ascii="Times New Roman" w:hAnsi="Times New Roman" w:cs="Arial"/>
          <w:i/>
          <w:iCs/>
          <w:color w:val="323233"/>
          <w:lang w:val="lv-LV"/>
        </w:rPr>
        <w:t>Pārstāvības tiesības zvērināts notārs pārbauda pēc viņam iesniegtajiem publiskiem dokumentiem vai ierakstiem Komercreģistrā vai citos publiskos reģistros.</w:t>
      </w:r>
    </w:p>
    <w:p w14:paraId="223E3B2B" w14:textId="77777777" w:rsidR="00114953" w:rsidRPr="000C7C76" w:rsidRDefault="00114953" w:rsidP="00114953">
      <w:pPr>
        <w:widowControl w:val="0"/>
        <w:autoSpaceDE w:val="0"/>
        <w:autoSpaceDN w:val="0"/>
        <w:adjustRightInd w:val="0"/>
        <w:jc w:val="both"/>
        <w:rPr>
          <w:rFonts w:ascii="Times New Roman" w:hAnsi="Times New Roman" w:cs="Arial"/>
          <w:i/>
          <w:iCs/>
          <w:color w:val="323233"/>
          <w:lang w:val="lv-LV"/>
        </w:rPr>
      </w:pPr>
    </w:p>
    <w:p w14:paraId="4870A8ED" w14:textId="77777777" w:rsidR="00114953" w:rsidRPr="000C7C76" w:rsidRDefault="00114953" w:rsidP="00114953">
      <w:pPr>
        <w:widowControl w:val="0"/>
        <w:autoSpaceDE w:val="0"/>
        <w:autoSpaceDN w:val="0"/>
        <w:adjustRightInd w:val="0"/>
        <w:ind w:firstLine="708"/>
        <w:jc w:val="both"/>
        <w:rPr>
          <w:rFonts w:ascii="Times New Roman" w:hAnsi="Times New Roman" w:cs="Arial"/>
          <w:i/>
          <w:iCs/>
          <w:color w:val="323233"/>
          <w:lang w:val="lv-LV"/>
        </w:rPr>
      </w:pPr>
      <w:r w:rsidRPr="000C7C76">
        <w:rPr>
          <w:rFonts w:ascii="Times New Roman" w:hAnsi="Times New Roman" w:cs="Arial"/>
          <w:i/>
          <w:iCs/>
          <w:color w:val="323233"/>
          <w:lang w:val="lv-LV"/>
        </w:rPr>
        <w:t xml:space="preserve">Ja pārstāvības tiesības izriet no ieraksta Komercreģistrā vai citā publiskā reģistrā, zvērināts notārs tās pārbauda, salīdzinot ar ziņām reģistrā ne agrāk kā 15 dienas pirms notariālā akta taisīšanas vai arī reģistra izrakstā, kuru ne agrāk kā 15 dienas pirms notariālā akta taisīšanas apliecinājusi attiecīgā reģistra iestāde. </w:t>
      </w:r>
      <w:r w:rsidRPr="000C7C76">
        <w:rPr>
          <w:rFonts w:ascii="Times New Roman" w:hAnsi="Times New Roman" w:cs="Arial"/>
          <w:i/>
          <w:iCs/>
          <w:color w:val="323233"/>
          <w:u w:val="single"/>
          <w:lang w:val="lv-LV"/>
        </w:rPr>
        <w:t>Ārvalstu reģistriem</w:t>
      </w:r>
      <w:r w:rsidRPr="000C7C76">
        <w:rPr>
          <w:rFonts w:ascii="Times New Roman" w:hAnsi="Times New Roman" w:cs="Arial"/>
          <w:i/>
          <w:iCs/>
          <w:color w:val="323233"/>
          <w:lang w:val="lv-LV"/>
        </w:rPr>
        <w:t xml:space="preserve"> piemērojams 30 dienu termiņš. Zvērināts notārs aktā norāda datumu, kad pārbaudījis ziņas, vai izraksta apliecināšanas datumu.</w:t>
      </w:r>
    </w:p>
    <w:p w14:paraId="0FAD471C" w14:textId="59C23254" w:rsidR="00114953" w:rsidRPr="000C7C76" w:rsidRDefault="00114953" w:rsidP="00114953">
      <w:pPr>
        <w:jc w:val="both"/>
        <w:rPr>
          <w:rFonts w:ascii="Times New Roman" w:hAnsi="Times New Roman" w:cs="Arial"/>
          <w:color w:val="323233"/>
          <w:lang w:val="lv-LV"/>
        </w:rPr>
      </w:pPr>
      <w:r w:rsidRPr="000C7C76">
        <w:rPr>
          <w:rFonts w:ascii="Times New Roman" w:hAnsi="Times New Roman" w:cs="Arial"/>
          <w:i/>
          <w:iCs/>
          <w:color w:val="323233"/>
          <w:lang w:val="lv-LV"/>
        </w:rPr>
        <w:t xml:space="preserve">Dokumentus, kuri pierāda notariālā akta dalībnieku pārstāvības tiesības, zvērināts notārs pievieno notariālajam aktam oriģināla vai notariāli apliecināta noraksta veidā šā likuma </w:t>
      </w:r>
      <w:r w:rsidRPr="000C7C76">
        <w:rPr>
          <w:rFonts w:ascii="Times New Roman" w:hAnsi="Times New Roman" w:cs="Arial"/>
          <w:i/>
          <w:iCs/>
          <w:color w:val="133768"/>
          <w:lang w:val="lv-LV"/>
        </w:rPr>
        <w:t>74.pantā</w:t>
      </w:r>
      <w:r w:rsidRPr="000C7C76">
        <w:rPr>
          <w:rFonts w:ascii="Times New Roman" w:hAnsi="Times New Roman" w:cs="Arial"/>
          <w:i/>
          <w:iCs/>
          <w:color w:val="323233"/>
          <w:lang w:val="lv-LV"/>
        </w:rPr>
        <w:t xml:space="preserve"> noteiktajā kārtībā</w:t>
      </w:r>
      <w:r>
        <w:rPr>
          <w:rFonts w:ascii="Times New Roman" w:hAnsi="Times New Roman" w:cs="Arial"/>
          <w:color w:val="323233"/>
          <w:lang w:val="de-DE"/>
        </w:rPr>
        <w:t>“</w:t>
      </w:r>
      <w:r w:rsidRPr="000C7C76">
        <w:rPr>
          <w:rFonts w:ascii="Times New Roman" w:hAnsi="Times New Roman" w:cs="Arial"/>
          <w:color w:val="323233"/>
          <w:lang w:val="lv-LV"/>
        </w:rPr>
        <w:t>.</w:t>
      </w:r>
    </w:p>
    <w:p w14:paraId="058DC076" w14:textId="77777777" w:rsidR="00114953" w:rsidRPr="008452A8" w:rsidRDefault="00114953" w:rsidP="00114953">
      <w:pPr>
        <w:pStyle w:val="tv213"/>
        <w:ind w:firstLine="708"/>
        <w:jc w:val="both"/>
        <w:rPr>
          <w:i/>
          <w:iCs/>
        </w:rPr>
      </w:pPr>
      <w:proofErr w:type="spellStart"/>
      <w:r>
        <w:t>Saskaņā</w:t>
      </w:r>
      <w:proofErr w:type="spellEnd"/>
      <w:r>
        <w:t xml:space="preserve"> </w:t>
      </w:r>
      <w:proofErr w:type="spellStart"/>
      <w:r>
        <w:t>ar</w:t>
      </w:r>
      <w:proofErr w:type="spellEnd"/>
      <w:r>
        <w:t xml:space="preserve"> </w:t>
      </w:r>
      <w:proofErr w:type="spellStart"/>
      <w:r>
        <w:t>Notariāta</w:t>
      </w:r>
      <w:proofErr w:type="spellEnd"/>
      <w:r>
        <w:t xml:space="preserve"> </w:t>
      </w:r>
      <w:proofErr w:type="spellStart"/>
      <w:r>
        <w:t>likuma</w:t>
      </w:r>
      <w:proofErr w:type="spellEnd"/>
      <w:r>
        <w:t xml:space="preserve"> 132.pantu „</w:t>
      </w:r>
      <w:proofErr w:type="spellStart"/>
      <w:r w:rsidRPr="008452A8">
        <w:rPr>
          <w:i/>
          <w:iCs/>
        </w:rPr>
        <w:t>Lūgumu</w:t>
      </w:r>
      <w:proofErr w:type="spellEnd"/>
      <w:r w:rsidRPr="008452A8">
        <w:rPr>
          <w:i/>
          <w:iCs/>
        </w:rPr>
        <w:t xml:space="preserve"> </w:t>
      </w:r>
      <w:proofErr w:type="spellStart"/>
      <w:r w:rsidRPr="008452A8">
        <w:rPr>
          <w:i/>
          <w:iCs/>
        </w:rPr>
        <w:t>atsaukt</w:t>
      </w:r>
      <w:proofErr w:type="spellEnd"/>
      <w:r w:rsidRPr="008452A8">
        <w:rPr>
          <w:i/>
          <w:iCs/>
        </w:rPr>
        <w:t xml:space="preserve"> </w:t>
      </w:r>
      <w:proofErr w:type="spellStart"/>
      <w:r w:rsidRPr="008452A8">
        <w:rPr>
          <w:i/>
          <w:iCs/>
        </w:rPr>
        <w:t>pilnvarojumu</w:t>
      </w:r>
      <w:proofErr w:type="spellEnd"/>
      <w:r w:rsidRPr="008452A8">
        <w:rPr>
          <w:i/>
          <w:iCs/>
        </w:rPr>
        <w:t xml:space="preserve"> </w:t>
      </w:r>
      <w:proofErr w:type="spellStart"/>
      <w:r w:rsidRPr="008452A8">
        <w:rPr>
          <w:i/>
          <w:iCs/>
        </w:rPr>
        <w:t>zvērināts</w:t>
      </w:r>
      <w:proofErr w:type="spellEnd"/>
      <w:r w:rsidRPr="008452A8">
        <w:rPr>
          <w:i/>
          <w:iCs/>
        </w:rPr>
        <w:t xml:space="preserve"> </w:t>
      </w:r>
      <w:proofErr w:type="spellStart"/>
      <w:r w:rsidRPr="008452A8">
        <w:rPr>
          <w:i/>
          <w:iCs/>
        </w:rPr>
        <w:t>notārs</w:t>
      </w:r>
      <w:proofErr w:type="spellEnd"/>
      <w:r w:rsidRPr="008452A8">
        <w:rPr>
          <w:i/>
          <w:iCs/>
        </w:rPr>
        <w:t xml:space="preserve"> </w:t>
      </w:r>
      <w:proofErr w:type="spellStart"/>
      <w:r w:rsidRPr="008452A8">
        <w:rPr>
          <w:i/>
          <w:iCs/>
        </w:rPr>
        <w:t>apliecina</w:t>
      </w:r>
      <w:proofErr w:type="spellEnd"/>
      <w:r w:rsidRPr="008452A8">
        <w:rPr>
          <w:i/>
          <w:iCs/>
        </w:rPr>
        <w:t xml:space="preserve"> </w:t>
      </w:r>
      <w:proofErr w:type="spellStart"/>
      <w:r w:rsidRPr="008452A8">
        <w:rPr>
          <w:i/>
          <w:iCs/>
        </w:rPr>
        <w:t>saskaņā</w:t>
      </w:r>
      <w:proofErr w:type="spellEnd"/>
      <w:r w:rsidRPr="008452A8">
        <w:rPr>
          <w:i/>
          <w:iCs/>
        </w:rPr>
        <w:t xml:space="preserve"> </w:t>
      </w:r>
      <w:proofErr w:type="spellStart"/>
      <w:r w:rsidRPr="008452A8">
        <w:rPr>
          <w:i/>
          <w:iCs/>
        </w:rPr>
        <w:t>ar</w:t>
      </w:r>
      <w:proofErr w:type="spellEnd"/>
      <w:r w:rsidRPr="008452A8">
        <w:rPr>
          <w:i/>
          <w:iCs/>
        </w:rPr>
        <w:t xml:space="preserve"> </w:t>
      </w:r>
      <w:proofErr w:type="spellStart"/>
      <w:r w:rsidRPr="008452A8">
        <w:rPr>
          <w:i/>
          <w:iCs/>
        </w:rPr>
        <w:t>noteikumiem</w:t>
      </w:r>
      <w:proofErr w:type="spellEnd"/>
      <w:r w:rsidRPr="008452A8">
        <w:rPr>
          <w:i/>
          <w:iCs/>
        </w:rPr>
        <w:t xml:space="preserve"> par </w:t>
      </w:r>
      <w:proofErr w:type="spellStart"/>
      <w:r w:rsidRPr="008452A8">
        <w:rPr>
          <w:i/>
          <w:iCs/>
        </w:rPr>
        <w:t>gribas</w:t>
      </w:r>
      <w:proofErr w:type="spellEnd"/>
      <w:r w:rsidRPr="008452A8">
        <w:rPr>
          <w:i/>
          <w:iCs/>
        </w:rPr>
        <w:t xml:space="preserve"> </w:t>
      </w:r>
      <w:proofErr w:type="spellStart"/>
      <w:r w:rsidRPr="008452A8">
        <w:rPr>
          <w:i/>
          <w:iCs/>
        </w:rPr>
        <w:t>izteikumu</w:t>
      </w:r>
      <w:proofErr w:type="spellEnd"/>
      <w:r w:rsidRPr="008452A8">
        <w:rPr>
          <w:i/>
          <w:iCs/>
        </w:rPr>
        <w:t xml:space="preserve"> </w:t>
      </w:r>
      <w:proofErr w:type="spellStart"/>
      <w:r w:rsidRPr="008452A8">
        <w:rPr>
          <w:i/>
          <w:iCs/>
        </w:rPr>
        <w:t>apliecināšanu</w:t>
      </w:r>
      <w:proofErr w:type="spellEnd"/>
      <w:r w:rsidRPr="008452A8">
        <w:rPr>
          <w:i/>
          <w:iCs/>
        </w:rPr>
        <w:t xml:space="preserve"> </w:t>
      </w:r>
      <w:proofErr w:type="spellStart"/>
      <w:r w:rsidRPr="008452A8">
        <w:rPr>
          <w:i/>
          <w:iCs/>
        </w:rPr>
        <w:t>un</w:t>
      </w:r>
      <w:proofErr w:type="spellEnd"/>
      <w:r w:rsidRPr="008452A8">
        <w:rPr>
          <w:i/>
          <w:iCs/>
        </w:rPr>
        <w:t xml:space="preserve"> </w:t>
      </w:r>
      <w:proofErr w:type="spellStart"/>
      <w:r w:rsidRPr="008452A8">
        <w:rPr>
          <w:i/>
          <w:iCs/>
        </w:rPr>
        <w:t>pilnvarojuma</w:t>
      </w:r>
      <w:proofErr w:type="spellEnd"/>
      <w:r w:rsidRPr="008452A8">
        <w:rPr>
          <w:i/>
          <w:iCs/>
        </w:rPr>
        <w:t xml:space="preserve"> </w:t>
      </w:r>
      <w:proofErr w:type="spellStart"/>
      <w:r w:rsidRPr="008452A8">
        <w:rPr>
          <w:i/>
          <w:iCs/>
        </w:rPr>
        <w:t>atsaukšanu</w:t>
      </w:r>
      <w:proofErr w:type="spellEnd"/>
      <w:r w:rsidRPr="008452A8">
        <w:rPr>
          <w:i/>
          <w:iCs/>
        </w:rPr>
        <w:t xml:space="preserve"> </w:t>
      </w:r>
      <w:proofErr w:type="spellStart"/>
      <w:r w:rsidRPr="008452A8">
        <w:rPr>
          <w:i/>
          <w:iCs/>
        </w:rPr>
        <w:t>izsludina</w:t>
      </w:r>
      <w:proofErr w:type="spellEnd"/>
      <w:r w:rsidRPr="008452A8">
        <w:rPr>
          <w:i/>
          <w:iCs/>
        </w:rPr>
        <w:t xml:space="preserve"> </w:t>
      </w:r>
      <w:proofErr w:type="spellStart"/>
      <w:r w:rsidRPr="008452A8">
        <w:rPr>
          <w:i/>
          <w:iCs/>
        </w:rPr>
        <w:t>oficiālajā</w:t>
      </w:r>
      <w:proofErr w:type="spellEnd"/>
      <w:r w:rsidRPr="008452A8">
        <w:rPr>
          <w:i/>
          <w:iCs/>
        </w:rPr>
        <w:t xml:space="preserve"> </w:t>
      </w:r>
      <w:proofErr w:type="spellStart"/>
      <w:r w:rsidRPr="008452A8">
        <w:rPr>
          <w:i/>
          <w:iCs/>
        </w:rPr>
        <w:t>izdevumā</w:t>
      </w:r>
      <w:proofErr w:type="spellEnd"/>
      <w:r w:rsidRPr="008452A8">
        <w:rPr>
          <w:i/>
          <w:iCs/>
        </w:rPr>
        <w:t xml:space="preserve"> "Latvijas </w:t>
      </w:r>
      <w:proofErr w:type="spellStart"/>
      <w:r w:rsidRPr="008452A8">
        <w:rPr>
          <w:i/>
          <w:iCs/>
        </w:rPr>
        <w:t>Vēstnesis</w:t>
      </w:r>
      <w:proofErr w:type="spellEnd"/>
      <w:r w:rsidRPr="008452A8">
        <w:rPr>
          <w:i/>
          <w:iCs/>
        </w:rPr>
        <w:t>".</w:t>
      </w:r>
    </w:p>
    <w:p w14:paraId="2A1D26B1" w14:textId="77777777" w:rsidR="00114953" w:rsidRDefault="00114953" w:rsidP="00114953">
      <w:pPr>
        <w:pStyle w:val="tv213"/>
        <w:ind w:firstLine="708"/>
        <w:jc w:val="both"/>
      </w:pPr>
      <w:proofErr w:type="spellStart"/>
      <w:r w:rsidRPr="008452A8">
        <w:rPr>
          <w:i/>
          <w:iCs/>
        </w:rPr>
        <w:t>Zvērināts</w:t>
      </w:r>
      <w:proofErr w:type="spellEnd"/>
      <w:r w:rsidRPr="008452A8">
        <w:rPr>
          <w:i/>
          <w:iCs/>
        </w:rPr>
        <w:t xml:space="preserve"> </w:t>
      </w:r>
      <w:proofErr w:type="spellStart"/>
      <w:r w:rsidRPr="008452A8">
        <w:rPr>
          <w:i/>
          <w:iCs/>
        </w:rPr>
        <w:t>notārs</w:t>
      </w:r>
      <w:proofErr w:type="spellEnd"/>
      <w:r w:rsidRPr="008452A8">
        <w:rPr>
          <w:i/>
          <w:iCs/>
        </w:rPr>
        <w:t xml:space="preserve"> </w:t>
      </w:r>
      <w:proofErr w:type="spellStart"/>
      <w:r w:rsidRPr="008452A8">
        <w:rPr>
          <w:i/>
          <w:iCs/>
        </w:rPr>
        <w:t>pārbauda</w:t>
      </w:r>
      <w:proofErr w:type="spellEnd"/>
      <w:r w:rsidRPr="008452A8">
        <w:rPr>
          <w:i/>
          <w:iCs/>
        </w:rPr>
        <w:t xml:space="preserve"> </w:t>
      </w:r>
      <w:proofErr w:type="spellStart"/>
      <w:r w:rsidRPr="008452A8">
        <w:rPr>
          <w:i/>
          <w:iCs/>
        </w:rPr>
        <w:t>iesniedzēja</w:t>
      </w:r>
      <w:proofErr w:type="spellEnd"/>
      <w:r w:rsidRPr="008452A8">
        <w:rPr>
          <w:i/>
          <w:iCs/>
        </w:rPr>
        <w:t xml:space="preserve"> </w:t>
      </w:r>
      <w:proofErr w:type="spellStart"/>
      <w:r w:rsidRPr="008452A8">
        <w:rPr>
          <w:i/>
          <w:iCs/>
        </w:rPr>
        <w:t>vai</w:t>
      </w:r>
      <w:proofErr w:type="spellEnd"/>
      <w:r w:rsidRPr="008452A8">
        <w:rPr>
          <w:i/>
          <w:iCs/>
        </w:rPr>
        <w:t xml:space="preserve"> </w:t>
      </w:r>
      <w:proofErr w:type="spellStart"/>
      <w:r w:rsidRPr="008452A8">
        <w:rPr>
          <w:i/>
          <w:iCs/>
        </w:rPr>
        <w:t>viņa</w:t>
      </w:r>
      <w:proofErr w:type="spellEnd"/>
      <w:r w:rsidRPr="008452A8">
        <w:rPr>
          <w:i/>
          <w:iCs/>
        </w:rPr>
        <w:t xml:space="preserve"> </w:t>
      </w:r>
      <w:proofErr w:type="spellStart"/>
      <w:r w:rsidRPr="008452A8">
        <w:rPr>
          <w:i/>
          <w:iCs/>
        </w:rPr>
        <w:t>pārstāvja</w:t>
      </w:r>
      <w:proofErr w:type="spellEnd"/>
      <w:r w:rsidRPr="008452A8">
        <w:rPr>
          <w:i/>
          <w:iCs/>
        </w:rPr>
        <w:t xml:space="preserve"> </w:t>
      </w:r>
      <w:proofErr w:type="spellStart"/>
      <w:r w:rsidRPr="008452A8">
        <w:rPr>
          <w:i/>
          <w:iCs/>
          <w:u w:val="single"/>
        </w:rPr>
        <w:t>identitāti</w:t>
      </w:r>
      <w:proofErr w:type="spellEnd"/>
      <w:r w:rsidRPr="008452A8">
        <w:rPr>
          <w:i/>
          <w:iCs/>
        </w:rPr>
        <w:t xml:space="preserve">, </w:t>
      </w:r>
      <w:proofErr w:type="spellStart"/>
      <w:r w:rsidRPr="008452A8">
        <w:rPr>
          <w:i/>
          <w:iCs/>
          <w:u w:val="single"/>
        </w:rPr>
        <w:t>rīcībspēju</w:t>
      </w:r>
      <w:proofErr w:type="spellEnd"/>
      <w:r w:rsidRPr="008452A8">
        <w:rPr>
          <w:i/>
          <w:iCs/>
        </w:rPr>
        <w:t xml:space="preserve"> </w:t>
      </w:r>
      <w:proofErr w:type="spellStart"/>
      <w:r w:rsidRPr="008452A8">
        <w:rPr>
          <w:i/>
          <w:iCs/>
        </w:rPr>
        <w:t>un</w:t>
      </w:r>
      <w:proofErr w:type="spellEnd"/>
      <w:r w:rsidRPr="008452A8">
        <w:rPr>
          <w:i/>
          <w:iCs/>
        </w:rPr>
        <w:t xml:space="preserve"> </w:t>
      </w:r>
      <w:proofErr w:type="spellStart"/>
      <w:r w:rsidRPr="008452A8">
        <w:rPr>
          <w:i/>
          <w:iCs/>
          <w:u w:val="single"/>
        </w:rPr>
        <w:t>pārstāvja</w:t>
      </w:r>
      <w:proofErr w:type="spellEnd"/>
      <w:r w:rsidRPr="008452A8">
        <w:rPr>
          <w:i/>
          <w:iCs/>
          <w:u w:val="single"/>
        </w:rPr>
        <w:t xml:space="preserve"> </w:t>
      </w:r>
      <w:proofErr w:type="spellStart"/>
      <w:r w:rsidRPr="008452A8">
        <w:rPr>
          <w:i/>
          <w:iCs/>
          <w:u w:val="single"/>
        </w:rPr>
        <w:t>pilnvaras</w:t>
      </w:r>
      <w:proofErr w:type="spellEnd"/>
      <w:r w:rsidRPr="008452A8">
        <w:rPr>
          <w:i/>
          <w:iCs/>
        </w:rPr>
        <w:t>.</w:t>
      </w:r>
      <w:r>
        <w:t>“</w:t>
      </w:r>
    </w:p>
    <w:p w14:paraId="3B621424" w14:textId="77777777" w:rsidR="00114953" w:rsidRPr="008452A8" w:rsidRDefault="00114953" w:rsidP="00114953">
      <w:pPr>
        <w:jc w:val="both"/>
        <w:rPr>
          <w:rFonts w:ascii="Times New Roman" w:hAnsi="Times New Roman" w:cs="Times New Roman"/>
          <w:lang w:val="de-DE"/>
        </w:rPr>
      </w:pPr>
    </w:p>
    <w:p w14:paraId="3CAB79A0" w14:textId="77777777" w:rsidR="00114953" w:rsidRPr="000C7C76" w:rsidRDefault="00114953" w:rsidP="00114953">
      <w:pPr>
        <w:jc w:val="center"/>
        <w:rPr>
          <w:rFonts w:ascii="Times New Roman" w:hAnsi="Times New Roman" w:cs="Times New Roman"/>
          <w:b/>
          <w:bCs/>
          <w:sz w:val="28"/>
          <w:szCs w:val="28"/>
          <w:lang w:val="de-DE"/>
        </w:rPr>
      </w:pPr>
    </w:p>
    <w:p w14:paraId="1965D315" w14:textId="77777777" w:rsidR="00114953" w:rsidRDefault="00114953" w:rsidP="00114953">
      <w:pPr>
        <w:jc w:val="center"/>
        <w:rPr>
          <w:rFonts w:ascii="Times New Roman" w:hAnsi="Times New Roman" w:cs="Times New Roman"/>
          <w:b/>
          <w:bCs/>
          <w:sz w:val="28"/>
          <w:szCs w:val="28"/>
        </w:rPr>
      </w:pPr>
      <w:proofErr w:type="spellStart"/>
      <w:r w:rsidRPr="00734E20">
        <w:rPr>
          <w:rFonts w:ascii="Times New Roman" w:hAnsi="Times New Roman" w:cs="Times New Roman"/>
          <w:b/>
          <w:bCs/>
          <w:sz w:val="28"/>
          <w:szCs w:val="28"/>
        </w:rPr>
        <w:t>Fiziskas</w:t>
      </w:r>
      <w:proofErr w:type="spellEnd"/>
      <w:r w:rsidRPr="00734E20">
        <w:rPr>
          <w:rFonts w:ascii="Times New Roman" w:hAnsi="Times New Roman" w:cs="Times New Roman"/>
          <w:b/>
          <w:bCs/>
          <w:sz w:val="28"/>
          <w:szCs w:val="28"/>
        </w:rPr>
        <w:t xml:space="preserve"> </w:t>
      </w:r>
      <w:proofErr w:type="spellStart"/>
      <w:r w:rsidRPr="00734E20">
        <w:rPr>
          <w:rFonts w:ascii="Times New Roman" w:hAnsi="Times New Roman" w:cs="Times New Roman"/>
          <w:b/>
          <w:bCs/>
          <w:sz w:val="28"/>
          <w:szCs w:val="28"/>
        </w:rPr>
        <w:t>personas</w:t>
      </w:r>
      <w:proofErr w:type="spellEnd"/>
      <w:r w:rsidRPr="00734E20">
        <w:rPr>
          <w:rFonts w:ascii="Times New Roman" w:hAnsi="Times New Roman" w:cs="Times New Roman"/>
          <w:b/>
          <w:bCs/>
          <w:sz w:val="28"/>
          <w:szCs w:val="28"/>
        </w:rPr>
        <w:t xml:space="preserve"> </w:t>
      </w:r>
      <w:proofErr w:type="spellStart"/>
      <w:r w:rsidRPr="00734E20">
        <w:rPr>
          <w:rFonts w:ascii="Times New Roman" w:hAnsi="Times New Roman" w:cs="Times New Roman"/>
          <w:b/>
          <w:bCs/>
          <w:sz w:val="28"/>
          <w:szCs w:val="28"/>
        </w:rPr>
        <w:t>identitāte</w:t>
      </w:r>
      <w:proofErr w:type="spellEnd"/>
      <w:r w:rsidRPr="00734E20">
        <w:rPr>
          <w:rFonts w:ascii="Times New Roman" w:hAnsi="Times New Roman" w:cs="Times New Roman"/>
          <w:b/>
          <w:bCs/>
          <w:sz w:val="28"/>
          <w:szCs w:val="28"/>
        </w:rPr>
        <w:t xml:space="preserve">, </w:t>
      </w:r>
      <w:proofErr w:type="spellStart"/>
      <w:r w:rsidRPr="00734E20">
        <w:rPr>
          <w:rFonts w:ascii="Times New Roman" w:hAnsi="Times New Roman" w:cs="Times New Roman"/>
          <w:b/>
          <w:bCs/>
          <w:sz w:val="28"/>
          <w:szCs w:val="28"/>
        </w:rPr>
        <w:t>rīcībspēja</w:t>
      </w:r>
      <w:proofErr w:type="spellEnd"/>
      <w:r w:rsidRPr="00734E20">
        <w:rPr>
          <w:rFonts w:ascii="Times New Roman" w:hAnsi="Times New Roman" w:cs="Times New Roman"/>
          <w:b/>
          <w:bCs/>
          <w:sz w:val="28"/>
          <w:szCs w:val="28"/>
        </w:rPr>
        <w:t xml:space="preserve"> un </w:t>
      </w:r>
      <w:proofErr w:type="spellStart"/>
      <w:r w:rsidRPr="00734E20">
        <w:rPr>
          <w:rFonts w:ascii="Times New Roman" w:hAnsi="Times New Roman" w:cs="Times New Roman"/>
          <w:b/>
          <w:bCs/>
          <w:sz w:val="28"/>
          <w:szCs w:val="28"/>
        </w:rPr>
        <w:t>pilnvarojums</w:t>
      </w:r>
      <w:proofErr w:type="spellEnd"/>
      <w:r w:rsidRPr="00734E20">
        <w:rPr>
          <w:rFonts w:ascii="Times New Roman" w:hAnsi="Times New Roman" w:cs="Times New Roman"/>
          <w:b/>
          <w:bCs/>
          <w:sz w:val="28"/>
          <w:szCs w:val="28"/>
        </w:rPr>
        <w:t> </w:t>
      </w:r>
    </w:p>
    <w:p w14:paraId="725F8BF1" w14:textId="77777777" w:rsidR="00114953" w:rsidRPr="00FF2A7F" w:rsidRDefault="00114953" w:rsidP="00114953">
      <w:pPr>
        <w:jc w:val="center"/>
        <w:rPr>
          <w:rFonts w:ascii="Times New Roman" w:hAnsi="Times New Roman" w:cs="Times New Roman"/>
          <w:b/>
          <w:bCs/>
          <w:sz w:val="28"/>
          <w:szCs w:val="28"/>
        </w:rPr>
      </w:pPr>
    </w:p>
    <w:p w14:paraId="5688890C" w14:textId="77777777" w:rsidR="00114953" w:rsidRPr="00FF2A7F" w:rsidRDefault="00114953" w:rsidP="00114953">
      <w:pPr>
        <w:pStyle w:val="tv213"/>
        <w:jc w:val="both"/>
        <w:rPr>
          <w:b/>
          <w:bCs/>
        </w:rPr>
      </w:pPr>
      <w:r w:rsidRPr="00FF2A7F">
        <w:rPr>
          <w:b/>
          <w:bCs/>
        </w:rPr>
        <w:t xml:space="preserve">1. </w:t>
      </w:r>
      <w:proofErr w:type="spellStart"/>
      <w:r>
        <w:rPr>
          <w:b/>
          <w:bCs/>
        </w:rPr>
        <w:t>Fiziskas</w:t>
      </w:r>
      <w:proofErr w:type="spellEnd"/>
      <w:r>
        <w:rPr>
          <w:b/>
          <w:bCs/>
        </w:rPr>
        <w:t xml:space="preserve"> personas </w:t>
      </w:r>
      <w:proofErr w:type="spellStart"/>
      <w:r>
        <w:rPr>
          <w:b/>
          <w:bCs/>
        </w:rPr>
        <w:t>i</w:t>
      </w:r>
      <w:r w:rsidRPr="00FF2A7F">
        <w:rPr>
          <w:b/>
          <w:bCs/>
        </w:rPr>
        <w:t>dentitāte</w:t>
      </w:r>
      <w:proofErr w:type="spellEnd"/>
      <w:r w:rsidRPr="00FF2A7F">
        <w:rPr>
          <w:b/>
          <w:bCs/>
        </w:rPr>
        <w:t>:</w:t>
      </w:r>
    </w:p>
    <w:p w14:paraId="4EFE6BCC" w14:textId="77777777" w:rsidR="00114953" w:rsidRPr="00734E20" w:rsidRDefault="00114953" w:rsidP="00114953">
      <w:pPr>
        <w:pStyle w:val="tv213"/>
        <w:ind w:firstLine="708"/>
        <w:jc w:val="both"/>
        <w:rPr>
          <w:i/>
          <w:iCs/>
        </w:rPr>
      </w:pPr>
      <w:proofErr w:type="spellStart"/>
      <w:r>
        <w:lastRenderedPageBreak/>
        <w:t>Saskaņā</w:t>
      </w:r>
      <w:proofErr w:type="spellEnd"/>
      <w:r>
        <w:t xml:space="preserve"> </w:t>
      </w:r>
      <w:proofErr w:type="spellStart"/>
      <w:r>
        <w:t>ar</w:t>
      </w:r>
      <w:proofErr w:type="spellEnd"/>
      <w:r>
        <w:t xml:space="preserve"> </w:t>
      </w:r>
      <w:proofErr w:type="spellStart"/>
      <w:r>
        <w:t>Notariāta</w:t>
      </w:r>
      <w:proofErr w:type="spellEnd"/>
      <w:r>
        <w:t xml:space="preserve"> </w:t>
      </w:r>
      <w:proofErr w:type="spellStart"/>
      <w:r>
        <w:t>likuma</w:t>
      </w:r>
      <w:proofErr w:type="spellEnd"/>
      <w:r>
        <w:t xml:space="preserve"> 76.panta </w:t>
      </w:r>
      <w:proofErr w:type="spellStart"/>
      <w:r>
        <w:t>pirmo</w:t>
      </w:r>
      <w:proofErr w:type="spellEnd"/>
      <w:r>
        <w:t xml:space="preserve"> </w:t>
      </w:r>
      <w:proofErr w:type="spellStart"/>
      <w:r>
        <w:t>daļu</w:t>
      </w:r>
      <w:proofErr w:type="spellEnd"/>
      <w:r>
        <w:t xml:space="preserve"> „</w:t>
      </w:r>
      <w:r w:rsidRPr="00734E20">
        <w:rPr>
          <w:i/>
          <w:iCs/>
        </w:rPr>
        <w:t xml:space="preserve">Ja </w:t>
      </w:r>
      <w:proofErr w:type="spellStart"/>
      <w:r w:rsidRPr="00734E20">
        <w:rPr>
          <w:i/>
          <w:iCs/>
        </w:rPr>
        <w:t>zvērināts</w:t>
      </w:r>
      <w:proofErr w:type="spellEnd"/>
      <w:r w:rsidRPr="00734E20">
        <w:rPr>
          <w:i/>
          <w:iCs/>
        </w:rPr>
        <w:t xml:space="preserve"> </w:t>
      </w:r>
      <w:proofErr w:type="spellStart"/>
      <w:r w:rsidRPr="00734E20">
        <w:rPr>
          <w:i/>
          <w:iCs/>
        </w:rPr>
        <w:t>notārs</w:t>
      </w:r>
      <w:proofErr w:type="spellEnd"/>
      <w:r w:rsidRPr="00734E20">
        <w:rPr>
          <w:i/>
          <w:iCs/>
        </w:rPr>
        <w:t xml:space="preserve"> </w:t>
      </w:r>
      <w:proofErr w:type="spellStart"/>
      <w:r w:rsidRPr="00734E20">
        <w:rPr>
          <w:i/>
          <w:iCs/>
        </w:rPr>
        <w:t>nepazīst</w:t>
      </w:r>
      <w:proofErr w:type="spellEnd"/>
      <w:r w:rsidRPr="00734E20">
        <w:rPr>
          <w:i/>
          <w:iCs/>
        </w:rPr>
        <w:t xml:space="preserve"> </w:t>
      </w:r>
      <w:proofErr w:type="spellStart"/>
      <w:r w:rsidRPr="00734E20">
        <w:rPr>
          <w:b/>
          <w:bCs/>
          <w:i/>
          <w:iCs/>
        </w:rPr>
        <w:t>personu</w:t>
      </w:r>
      <w:proofErr w:type="spellEnd"/>
      <w:r w:rsidRPr="00734E20">
        <w:rPr>
          <w:i/>
          <w:iCs/>
        </w:rPr>
        <w:t xml:space="preserve">, </w:t>
      </w:r>
      <w:proofErr w:type="spellStart"/>
      <w:r w:rsidRPr="00734E20">
        <w:rPr>
          <w:i/>
          <w:iCs/>
        </w:rPr>
        <w:t>kurai</w:t>
      </w:r>
      <w:proofErr w:type="spellEnd"/>
      <w:r w:rsidRPr="00734E20">
        <w:rPr>
          <w:i/>
          <w:iCs/>
        </w:rPr>
        <w:t xml:space="preserve"> </w:t>
      </w:r>
      <w:proofErr w:type="spellStart"/>
      <w:r w:rsidRPr="00734E20">
        <w:rPr>
          <w:i/>
          <w:iCs/>
        </w:rPr>
        <w:t>jātaisa</w:t>
      </w:r>
      <w:proofErr w:type="spellEnd"/>
      <w:r w:rsidRPr="00734E20">
        <w:rPr>
          <w:i/>
          <w:iCs/>
        </w:rPr>
        <w:t xml:space="preserve"> </w:t>
      </w:r>
      <w:proofErr w:type="spellStart"/>
      <w:r w:rsidRPr="00734E20">
        <w:rPr>
          <w:i/>
          <w:iCs/>
        </w:rPr>
        <w:t>akts</w:t>
      </w:r>
      <w:proofErr w:type="spellEnd"/>
      <w:r w:rsidRPr="00734E20">
        <w:rPr>
          <w:i/>
          <w:iCs/>
        </w:rPr>
        <w:t xml:space="preserve"> </w:t>
      </w:r>
      <w:proofErr w:type="spellStart"/>
      <w:r w:rsidRPr="00734E20">
        <w:rPr>
          <w:i/>
          <w:iCs/>
        </w:rPr>
        <w:t>vai</w:t>
      </w:r>
      <w:proofErr w:type="spellEnd"/>
      <w:r w:rsidRPr="00734E20">
        <w:rPr>
          <w:i/>
          <w:iCs/>
        </w:rPr>
        <w:t xml:space="preserve"> </w:t>
      </w:r>
      <w:proofErr w:type="spellStart"/>
      <w:r w:rsidRPr="00734E20">
        <w:rPr>
          <w:i/>
          <w:iCs/>
        </w:rPr>
        <w:t>apliecinājums</w:t>
      </w:r>
      <w:proofErr w:type="spellEnd"/>
      <w:r w:rsidRPr="00734E20">
        <w:rPr>
          <w:i/>
          <w:iCs/>
        </w:rPr>
        <w:t xml:space="preserve"> </w:t>
      </w:r>
      <w:proofErr w:type="spellStart"/>
      <w:r w:rsidRPr="00734E20">
        <w:rPr>
          <w:i/>
          <w:iCs/>
        </w:rPr>
        <w:t>vai</w:t>
      </w:r>
      <w:proofErr w:type="spellEnd"/>
      <w:r w:rsidRPr="00734E20">
        <w:rPr>
          <w:i/>
          <w:iCs/>
        </w:rPr>
        <w:t xml:space="preserve"> </w:t>
      </w:r>
      <w:proofErr w:type="spellStart"/>
      <w:r w:rsidRPr="00734E20">
        <w:rPr>
          <w:i/>
          <w:iCs/>
        </w:rPr>
        <w:t>kura</w:t>
      </w:r>
      <w:proofErr w:type="spellEnd"/>
      <w:r w:rsidRPr="00734E20">
        <w:rPr>
          <w:i/>
          <w:iCs/>
        </w:rPr>
        <w:t xml:space="preserve"> </w:t>
      </w:r>
      <w:proofErr w:type="spellStart"/>
      <w:r w:rsidRPr="00734E20">
        <w:rPr>
          <w:i/>
          <w:iCs/>
        </w:rPr>
        <w:t>jāidentificē</w:t>
      </w:r>
      <w:proofErr w:type="spellEnd"/>
      <w:r w:rsidRPr="00734E20">
        <w:rPr>
          <w:i/>
          <w:iCs/>
        </w:rPr>
        <w:t xml:space="preserve"> </w:t>
      </w:r>
      <w:proofErr w:type="spellStart"/>
      <w:r w:rsidRPr="00734E20">
        <w:rPr>
          <w:i/>
          <w:iCs/>
        </w:rPr>
        <w:t>citā</w:t>
      </w:r>
      <w:proofErr w:type="spellEnd"/>
      <w:r w:rsidRPr="00734E20">
        <w:rPr>
          <w:i/>
          <w:iCs/>
        </w:rPr>
        <w:t xml:space="preserve"> </w:t>
      </w:r>
      <w:proofErr w:type="spellStart"/>
      <w:r w:rsidRPr="00734E20">
        <w:rPr>
          <w:i/>
          <w:iCs/>
        </w:rPr>
        <w:t>sakarā</w:t>
      </w:r>
      <w:proofErr w:type="spellEnd"/>
      <w:r w:rsidRPr="00734E20">
        <w:rPr>
          <w:i/>
          <w:iCs/>
        </w:rPr>
        <w:t xml:space="preserve">, </w:t>
      </w:r>
      <w:proofErr w:type="spellStart"/>
      <w:r w:rsidRPr="00734E20">
        <w:rPr>
          <w:i/>
          <w:iCs/>
        </w:rPr>
        <w:t>viņš</w:t>
      </w:r>
      <w:proofErr w:type="spellEnd"/>
      <w:r w:rsidRPr="00734E20">
        <w:rPr>
          <w:i/>
          <w:iCs/>
        </w:rPr>
        <w:t xml:space="preserve"> </w:t>
      </w:r>
      <w:proofErr w:type="spellStart"/>
      <w:r w:rsidRPr="00734E20">
        <w:rPr>
          <w:i/>
          <w:iCs/>
        </w:rPr>
        <w:t>noskaidro</w:t>
      </w:r>
      <w:proofErr w:type="spellEnd"/>
      <w:r w:rsidRPr="00734E20">
        <w:rPr>
          <w:i/>
          <w:iCs/>
        </w:rPr>
        <w:t xml:space="preserve"> </w:t>
      </w:r>
      <w:proofErr w:type="spellStart"/>
      <w:r w:rsidRPr="00734E20">
        <w:rPr>
          <w:i/>
          <w:iCs/>
        </w:rPr>
        <w:t>šīs</w:t>
      </w:r>
      <w:proofErr w:type="spellEnd"/>
      <w:r w:rsidRPr="00734E20">
        <w:rPr>
          <w:i/>
          <w:iCs/>
        </w:rPr>
        <w:t xml:space="preserve"> personas </w:t>
      </w:r>
      <w:proofErr w:type="spellStart"/>
      <w:r w:rsidRPr="00734E20">
        <w:rPr>
          <w:i/>
          <w:iCs/>
        </w:rPr>
        <w:t>identitāti</w:t>
      </w:r>
      <w:proofErr w:type="spellEnd"/>
      <w:r w:rsidRPr="00734E20">
        <w:rPr>
          <w:i/>
          <w:iCs/>
        </w:rPr>
        <w:t xml:space="preserve"> </w:t>
      </w:r>
      <w:proofErr w:type="spellStart"/>
      <w:r w:rsidRPr="00734E20">
        <w:rPr>
          <w:i/>
          <w:iCs/>
        </w:rPr>
        <w:t>pēc</w:t>
      </w:r>
      <w:proofErr w:type="spellEnd"/>
      <w:r w:rsidRPr="00734E20">
        <w:rPr>
          <w:i/>
          <w:iCs/>
        </w:rPr>
        <w:t xml:space="preserve"> </w:t>
      </w:r>
      <w:proofErr w:type="spellStart"/>
      <w:r w:rsidRPr="00734E20">
        <w:rPr>
          <w:i/>
          <w:iCs/>
        </w:rPr>
        <w:t>pases</w:t>
      </w:r>
      <w:proofErr w:type="spellEnd"/>
      <w:r w:rsidRPr="00734E20">
        <w:rPr>
          <w:i/>
          <w:iCs/>
        </w:rPr>
        <w:t xml:space="preserve"> </w:t>
      </w:r>
      <w:proofErr w:type="spellStart"/>
      <w:r w:rsidRPr="00734E20">
        <w:rPr>
          <w:i/>
          <w:iCs/>
        </w:rPr>
        <w:t>vai</w:t>
      </w:r>
      <w:proofErr w:type="spellEnd"/>
      <w:r w:rsidRPr="00734E20">
        <w:rPr>
          <w:i/>
          <w:iCs/>
        </w:rPr>
        <w:t xml:space="preserve"> personas </w:t>
      </w:r>
      <w:proofErr w:type="spellStart"/>
      <w:r w:rsidRPr="00734E20">
        <w:rPr>
          <w:i/>
          <w:iCs/>
        </w:rPr>
        <w:t>apliecības</w:t>
      </w:r>
      <w:proofErr w:type="spellEnd"/>
      <w:r w:rsidRPr="00734E20">
        <w:rPr>
          <w:i/>
          <w:iCs/>
        </w:rPr>
        <w:t xml:space="preserve">. Ja </w:t>
      </w:r>
      <w:proofErr w:type="spellStart"/>
      <w:r w:rsidRPr="00734E20">
        <w:rPr>
          <w:i/>
          <w:iCs/>
        </w:rPr>
        <w:t>minētā</w:t>
      </w:r>
      <w:proofErr w:type="spellEnd"/>
      <w:r w:rsidRPr="00734E20">
        <w:rPr>
          <w:i/>
          <w:iCs/>
        </w:rPr>
        <w:t xml:space="preserve"> </w:t>
      </w:r>
      <w:proofErr w:type="spellStart"/>
      <w:r w:rsidRPr="00734E20">
        <w:rPr>
          <w:i/>
          <w:iCs/>
        </w:rPr>
        <w:t>persona</w:t>
      </w:r>
      <w:proofErr w:type="spellEnd"/>
      <w:r w:rsidRPr="00734E20">
        <w:rPr>
          <w:i/>
          <w:iCs/>
        </w:rPr>
        <w:t xml:space="preserve"> </w:t>
      </w:r>
      <w:proofErr w:type="spellStart"/>
      <w:r w:rsidRPr="00734E20">
        <w:rPr>
          <w:i/>
          <w:iCs/>
        </w:rPr>
        <w:t>nevar</w:t>
      </w:r>
      <w:proofErr w:type="spellEnd"/>
      <w:r w:rsidRPr="00734E20">
        <w:rPr>
          <w:i/>
          <w:iCs/>
        </w:rPr>
        <w:t xml:space="preserve"> </w:t>
      </w:r>
      <w:proofErr w:type="spellStart"/>
      <w:r w:rsidRPr="00734E20">
        <w:rPr>
          <w:i/>
          <w:iCs/>
        </w:rPr>
        <w:t>šādu</w:t>
      </w:r>
      <w:proofErr w:type="spellEnd"/>
      <w:r w:rsidRPr="00734E20">
        <w:rPr>
          <w:i/>
          <w:iCs/>
        </w:rPr>
        <w:t xml:space="preserve"> </w:t>
      </w:r>
      <w:proofErr w:type="spellStart"/>
      <w:r w:rsidRPr="00734E20">
        <w:rPr>
          <w:i/>
          <w:iCs/>
        </w:rPr>
        <w:t>dokumentu</w:t>
      </w:r>
      <w:proofErr w:type="spellEnd"/>
      <w:r w:rsidRPr="00734E20">
        <w:rPr>
          <w:i/>
          <w:iCs/>
        </w:rPr>
        <w:t xml:space="preserve"> </w:t>
      </w:r>
      <w:proofErr w:type="spellStart"/>
      <w:r w:rsidRPr="00734E20">
        <w:rPr>
          <w:i/>
          <w:iCs/>
        </w:rPr>
        <w:t>uzrādīt</w:t>
      </w:r>
      <w:proofErr w:type="spellEnd"/>
      <w:r w:rsidRPr="00734E20">
        <w:rPr>
          <w:i/>
          <w:iCs/>
        </w:rPr>
        <w:t xml:space="preserve">, </w:t>
      </w:r>
      <w:proofErr w:type="spellStart"/>
      <w:r w:rsidRPr="00734E20">
        <w:rPr>
          <w:i/>
          <w:iCs/>
        </w:rPr>
        <w:t>zvērināts</w:t>
      </w:r>
      <w:proofErr w:type="spellEnd"/>
      <w:r w:rsidRPr="00734E20">
        <w:rPr>
          <w:i/>
          <w:iCs/>
        </w:rPr>
        <w:t xml:space="preserve"> </w:t>
      </w:r>
      <w:proofErr w:type="spellStart"/>
      <w:r w:rsidRPr="00734E20">
        <w:rPr>
          <w:i/>
          <w:iCs/>
        </w:rPr>
        <w:t>notārs</w:t>
      </w:r>
      <w:proofErr w:type="spellEnd"/>
      <w:r w:rsidRPr="00734E20">
        <w:rPr>
          <w:i/>
          <w:iCs/>
        </w:rPr>
        <w:t xml:space="preserve"> </w:t>
      </w:r>
      <w:proofErr w:type="spellStart"/>
      <w:r w:rsidRPr="00734E20">
        <w:rPr>
          <w:i/>
          <w:iCs/>
        </w:rPr>
        <w:t>noskaidro</w:t>
      </w:r>
      <w:proofErr w:type="spellEnd"/>
      <w:r w:rsidRPr="00734E20">
        <w:rPr>
          <w:i/>
          <w:iCs/>
        </w:rPr>
        <w:t xml:space="preserve"> </w:t>
      </w:r>
      <w:proofErr w:type="spellStart"/>
      <w:r w:rsidRPr="00734E20">
        <w:rPr>
          <w:i/>
          <w:iCs/>
        </w:rPr>
        <w:t>tās</w:t>
      </w:r>
      <w:proofErr w:type="spellEnd"/>
      <w:r w:rsidRPr="00734E20">
        <w:rPr>
          <w:i/>
          <w:iCs/>
        </w:rPr>
        <w:t xml:space="preserve"> </w:t>
      </w:r>
      <w:proofErr w:type="spellStart"/>
      <w:r w:rsidRPr="00734E20">
        <w:rPr>
          <w:i/>
          <w:iCs/>
        </w:rPr>
        <w:t>identitāti</w:t>
      </w:r>
      <w:proofErr w:type="spellEnd"/>
      <w:r w:rsidRPr="00734E20">
        <w:rPr>
          <w:i/>
          <w:iCs/>
        </w:rPr>
        <w:t xml:space="preserve"> </w:t>
      </w:r>
      <w:proofErr w:type="spellStart"/>
      <w:r w:rsidRPr="00734E20">
        <w:rPr>
          <w:i/>
          <w:iCs/>
        </w:rPr>
        <w:t>pēc</w:t>
      </w:r>
      <w:proofErr w:type="spellEnd"/>
      <w:r w:rsidRPr="00734E20">
        <w:rPr>
          <w:i/>
          <w:iCs/>
        </w:rPr>
        <w:t xml:space="preserve"> </w:t>
      </w:r>
      <w:proofErr w:type="spellStart"/>
      <w:r w:rsidRPr="00734E20">
        <w:rPr>
          <w:i/>
          <w:iCs/>
        </w:rPr>
        <w:t>citiem</w:t>
      </w:r>
      <w:proofErr w:type="spellEnd"/>
      <w:r w:rsidRPr="00734E20">
        <w:rPr>
          <w:i/>
          <w:iCs/>
        </w:rPr>
        <w:t xml:space="preserve"> </w:t>
      </w:r>
      <w:proofErr w:type="spellStart"/>
      <w:r w:rsidRPr="00734E20">
        <w:rPr>
          <w:i/>
          <w:iCs/>
        </w:rPr>
        <w:t>ticamiem</w:t>
      </w:r>
      <w:proofErr w:type="spellEnd"/>
      <w:r w:rsidRPr="00734E20">
        <w:rPr>
          <w:i/>
          <w:iCs/>
        </w:rPr>
        <w:t xml:space="preserve"> </w:t>
      </w:r>
      <w:proofErr w:type="spellStart"/>
      <w:r w:rsidRPr="00734E20">
        <w:rPr>
          <w:i/>
          <w:iCs/>
        </w:rPr>
        <w:t>dokumentiem</w:t>
      </w:r>
      <w:proofErr w:type="spellEnd"/>
      <w:r w:rsidRPr="00734E20">
        <w:rPr>
          <w:i/>
          <w:iCs/>
        </w:rPr>
        <w:t xml:space="preserve">, ja </w:t>
      </w:r>
      <w:proofErr w:type="spellStart"/>
      <w:r w:rsidRPr="00734E20">
        <w:rPr>
          <w:i/>
          <w:iCs/>
        </w:rPr>
        <w:t>nepieciešams</w:t>
      </w:r>
      <w:proofErr w:type="spellEnd"/>
      <w:r w:rsidRPr="00734E20">
        <w:rPr>
          <w:i/>
          <w:iCs/>
        </w:rPr>
        <w:t xml:space="preserve">, </w:t>
      </w:r>
      <w:proofErr w:type="spellStart"/>
      <w:r w:rsidRPr="00734E20">
        <w:rPr>
          <w:i/>
          <w:iCs/>
        </w:rPr>
        <w:t>papildinot</w:t>
      </w:r>
      <w:proofErr w:type="spellEnd"/>
      <w:r w:rsidRPr="00734E20">
        <w:rPr>
          <w:i/>
          <w:iCs/>
        </w:rPr>
        <w:t xml:space="preserve"> </w:t>
      </w:r>
      <w:proofErr w:type="spellStart"/>
      <w:r w:rsidRPr="00734E20">
        <w:rPr>
          <w:i/>
          <w:iCs/>
        </w:rPr>
        <w:t>trūkstošās</w:t>
      </w:r>
      <w:proofErr w:type="spellEnd"/>
      <w:r w:rsidRPr="00734E20">
        <w:rPr>
          <w:i/>
          <w:iCs/>
        </w:rPr>
        <w:t xml:space="preserve"> </w:t>
      </w:r>
      <w:proofErr w:type="spellStart"/>
      <w:r w:rsidRPr="00734E20">
        <w:rPr>
          <w:i/>
          <w:iCs/>
        </w:rPr>
        <w:t>ziņas</w:t>
      </w:r>
      <w:proofErr w:type="spellEnd"/>
      <w:r w:rsidRPr="00734E20">
        <w:rPr>
          <w:i/>
          <w:iCs/>
        </w:rPr>
        <w:t xml:space="preserve"> </w:t>
      </w:r>
      <w:proofErr w:type="spellStart"/>
      <w:r w:rsidRPr="00734E20">
        <w:rPr>
          <w:i/>
          <w:iCs/>
        </w:rPr>
        <w:t>pēc</w:t>
      </w:r>
      <w:proofErr w:type="spellEnd"/>
      <w:r w:rsidRPr="00734E20">
        <w:rPr>
          <w:i/>
          <w:iCs/>
        </w:rPr>
        <w:t xml:space="preserve"> </w:t>
      </w:r>
      <w:proofErr w:type="spellStart"/>
      <w:r w:rsidRPr="00734E20">
        <w:rPr>
          <w:i/>
          <w:iCs/>
        </w:rPr>
        <w:t>divu</w:t>
      </w:r>
      <w:proofErr w:type="spellEnd"/>
      <w:r w:rsidRPr="00734E20">
        <w:rPr>
          <w:i/>
          <w:iCs/>
        </w:rPr>
        <w:t xml:space="preserve"> </w:t>
      </w:r>
      <w:proofErr w:type="spellStart"/>
      <w:r w:rsidRPr="00734E20">
        <w:rPr>
          <w:i/>
          <w:iCs/>
        </w:rPr>
        <w:t>liecinieku</w:t>
      </w:r>
      <w:proofErr w:type="spellEnd"/>
      <w:r w:rsidRPr="00734E20">
        <w:rPr>
          <w:i/>
          <w:iCs/>
        </w:rPr>
        <w:t xml:space="preserve"> </w:t>
      </w:r>
      <w:proofErr w:type="spellStart"/>
      <w:r w:rsidRPr="00734E20">
        <w:rPr>
          <w:i/>
          <w:iCs/>
        </w:rPr>
        <w:t>liecībām</w:t>
      </w:r>
      <w:proofErr w:type="spellEnd"/>
      <w:r w:rsidRPr="00734E20">
        <w:rPr>
          <w:i/>
          <w:iCs/>
        </w:rPr>
        <w:t xml:space="preserve">. </w:t>
      </w:r>
      <w:proofErr w:type="spellStart"/>
      <w:r w:rsidRPr="00734E20">
        <w:rPr>
          <w:i/>
          <w:iCs/>
        </w:rPr>
        <w:t>Aktā</w:t>
      </w:r>
      <w:proofErr w:type="spellEnd"/>
      <w:r w:rsidRPr="00734E20">
        <w:rPr>
          <w:i/>
          <w:iCs/>
        </w:rPr>
        <w:t xml:space="preserve"> </w:t>
      </w:r>
      <w:proofErr w:type="spellStart"/>
      <w:r w:rsidRPr="00734E20">
        <w:rPr>
          <w:i/>
          <w:iCs/>
        </w:rPr>
        <w:t>vai</w:t>
      </w:r>
      <w:proofErr w:type="spellEnd"/>
      <w:r w:rsidRPr="00734E20">
        <w:rPr>
          <w:i/>
          <w:iCs/>
        </w:rPr>
        <w:t xml:space="preserve"> </w:t>
      </w:r>
      <w:proofErr w:type="spellStart"/>
      <w:r w:rsidRPr="00734E20">
        <w:rPr>
          <w:i/>
          <w:iCs/>
        </w:rPr>
        <w:t>apliecinājumā</w:t>
      </w:r>
      <w:proofErr w:type="spellEnd"/>
      <w:r w:rsidRPr="00734E20">
        <w:rPr>
          <w:i/>
          <w:iCs/>
        </w:rPr>
        <w:t xml:space="preserve"> </w:t>
      </w:r>
      <w:proofErr w:type="spellStart"/>
      <w:r w:rsidRPr="00734E20">
        <w:rPr>
          <w:i/>
          <w:iCs/>
        </w:rPr>
        <w:t>jānorāda</w:t>
      </w:r>
      <w:proofErr w:type="spellEnd"/>
      <w:r w:rsidRPr="00734E20">
        <w:rPr>
          <w:i/>
          <w:iCs/>
        </w:rPr>
        <w:t xml:space="preserve">, </w:t>
      </w:r>
      <w:proofErr w:type="spellStart"/>
      <w:r w:rsidRPr="00734E20">
        <w:rPr>
          <w:i/>
          <w:iCs/>
        </w:rPr>
        <w:t>kādā</w:t>
      </w:r>
      <w:proofErr w:type="spellEnd"/>
      <w:r w:rsidRPr="00734E20">
        <w:rPr>
          <w:i/>
          <w:iCs/>
        </w:rPr>
        <w:t xml:space="preserve"> </w:t>
      </w:r>
      <w:proofErr w:type="spellStart"/>
      <w:r w:rsidRPr="00734E20">
        <w:rPr>
          <w:i/>
          <w:iCs/>
        </w:rPr>
        <w:t>veidā</w:t>
      </w:r>
      <w:proofErr w:type="spellEnd"/>
      <w:r w:rsidRPr="00734E20">
        <w:rPr>
          <w:i/>
          <w:iCs/>
        </w:rPr>
        <w:t xml:space="preserve"> </w:t>
      </w:r>
      <w:proofErr w:type="spellStart"/>
      <w:r w:rsidRPr="00734E20">
        <w:rPr>
          <w:i/>
          <w:iCs/>
        </w:rPr>
        <w:t>ir</w:t>
      </w:r>
      <w:proofErr w:type="spellEnd"/>
      <w:r w:rsidRPr="00734E20">
        <w:rPr>
          <w:i/>
          <w:iCs/>
        </w:rPr>
        <w:t xml:space="preserve"> </w:t>
      </w:r>
      <w:proofErr w:type="spellStart"/>
      <w:r w:rsidRPr="00734E20">
        <w:rPr>
          <w:i/>
          <w:iCs/>
        </w:rPr>
        <w:t>noskaidrota</w:t>
      </w:r>
      <w:proofErr w:type="spellEnd"/>
      <w:r w:rsidRPr="00734E20">
        <w:rPr>
          <w:i/>
          <w:iCs/>
        </w:rPr>
        <w:t xml:space="preserve"> personas </w:t>
      </w:r>
      <w:proofErr w:type="spellStart"/>
      <w:r w:rsidRPr="00734E20">
        <w:rPr>
          <w:i/>
          <w:iCs/>
        </w:rPr>
        <w:t>identitāte</w:t>
      </w:r>
      <w:proofErr w:type="spellEnd"/>
      <w:r w:rsidRPr="00734E20">
        <w:rPr>
          <w:i/>
          <w:iCs/>
        </w:rPr>
        <w:t>.</w:t>
      </w:r>
      <w:r>
        <w:rPr>
          <w:i/>
          <w:iCs/>
        </w:rPr>
        <w:t>“</w:t>
      </w:r>
    </w:p>
    <w:p w14:paraId="117A542B" w14:textId="77777777" w:rsidR="00114953" w:rsidRDefault="00114953" w:rsidP="00114953">
      <w:pPr>
        <w:pStyle w:val="tv213"/>
        <w:jc w:val="both"/>
      </w:pPr>
      <w:r>
        <w:tab/>
      </w:r>
      <w:proofErr w:type="spellStart"/>
      <w:r>
        <w:t>No</w:t>
      </w:r>
      <w:proofErr w:type="spellEnd"/>
      <w:r>
        <w:t xml:space="preserve"> </w:t>
      </w:r>
      <w:proofErr w:type="spellStart"/>
      <w:r>
        <w:t>minētās</w:t>
      </w:r>
      <w:proofErr w:type="spellEnd"/>
      <w:r>
        <w:t xml:space="preserve"> </w:t>
      </w:r>
      <w:proofErr w:type="spellStart"/>
      <w:r>
        <w:t>tiesību</w:t>
      </w:r>
      <w:proofErr w:type="spellEnd"/>
      <w:r>
        <w:t xml:space="preserve"> </w:t>
      </w:r>
      <w:proofErr w:type="spellStart"/>
      <w:r>
        <w:t>normas</w:t>
      </w:r>
      <w:proofErr w:type="spellEnd"/>
      <w:r>
        <w:t xml:space="preserve"> </w:t>
      </w:r>
      <w:proofErr w:type="spellStart"/>
      <w:r>
        <w:t>izriet</w:t>
      </w:r>
      <w:proofErr w:type="spellEnd"/>
      <w:r>
        <w:t xml:space="preserve">, </w:t>
      </w:r>
      <w:proofErr w:type="spellStart"/>
      <w:r>
        <w:t>ka</w:t>
      </w:r>
      <w:proofErr w:type="spellEnd"/>
      <w:r>
        <w:t xml:space="preserve"> </w:t>
      </w:r>
      <w:proofErr w:type="spellStart"/>
      <w:r>
        <w:t>arī</w:t>
      </w:r>
      <w:proofErr w:type="spellEnd"/>
      <w:r>
        <w:t xml:space="preserve"> </w:t>
      </w:r>
      <w:proofErr w:type="spellStart"/>
      <w:r>
        <w:t>ārvalstu</w:t>
      </w:r>
      <w:proofErr w:type="spellEnd"/>
      <w:r>
        <w:t xml:space="preserve"> </w:t>
      </w:r>
      <w:proofErr w:type="spellStart"/>
      <w:r>
        <w:t>fiziskām</w:t>
      </w:r>
      <w:proofErr w:type="spellEnd"/>
      <w:r>
        <w:t xml:space="preserve"> </w:t>
      </w:r>
      <w:proofErr w:type="spellStart"/>
      <w:r>
        <w:t>personām</w:t>
      </w:r>
      <w:proofErr w:type="spellEnd"/>
      <w:r>
        <w:t xml:space="preserve"> (</w:t>
      </w:r>
      <w:proofErr w:type="spellStart"/>
      <w:r>
        <w:t>citu</w:t>
      </w:r>
      <w:proofErr w:type="spellEnd"/>
      <w:r>
        <w:t xml:space="preserve"> </w:t>
      </w:r>
      <w:proofErr w:type="spellStart"/>
      <w:r>
        <w:t>valstu</w:t>
      </w:r>
      <w:proofErr w:type="spellEnd"/>
      <w:r>
        <w:t xml:space="preserve"> </w:t>
      </w:r>
      <w:proofErr w:type="spellStart"/>
      <w:r>
        <w:t>pilsoņiem</w:t>
      </w:r>
      <w:proofErr w:type="spellEnd"/>
      <w:r>
        <w:t xml:space="preserve">) </w:t>
      </w:r>
      <w:proofErr w:type="spellStart"/>
      <w:r w:rsidRPr="00734E20">
        <w:rPr>
          <w:b/>
          <w:bCs/>
        </w:rPr>
        <w:t>identitāti</w:t>
      </w:r>
      <w:proofErr w:type="spellEnd"/>
      <w:r>
        <w:t xml:space="preserve"> </w:t>
      </w:r>
      <w:proofErr w:type="spellStart"/>
      <w:r>
        <w:t>noskaidro</w:t>
      </w:r>
      <w:proofErr w:type="spellEnd"/>
      <w:r>
        <w:t xml:space="preserve"> </w:t>
      </w:r>
      <w:proofErr w:type="spellStart"/>
      <w:r>
        <w:t>pēc</w:t>
      </w:r>
      <w:proofErr w:type="spellEnd"/>
      <w:r>
        <w:t xml:space="preserve"> </w:t>
      </w:r>
      <w:proofErr w:type="spellStart"/>
      <w:r w:rsidRPr="00BF3A72">
        <w:t>ārvalstī</w:t>
      </w:r>
      <w:proofErr w:type="spellEnd"/>
      <w:r w:rsidRPr="00BF3A72">
        <w:t xml:space="preserve"> </w:t>
      </w:r>
      <w:proofErr w:type="spellStart"/>
      <w:r w:rsidRPr="00BF3A72">
        <w:t>izdotas</w:t>
      </w:r>
      <w:proofErr w:type="spellEnd"/>
      <w:r w:rsidRPr="00BF3A72">
        <w:t xml:space="preserve"> </w:t>
      </w:r>
      <w:proofErr w:type="spellStart"/>
      <w:r w:rsidRPr="00BF3A72">
        <w:t>pase</w:t>
      </w:r>
      <w:r>
        <w:t>s</w:t>
      </w:r>
      <w:proofErr w:type="spellEnd"/>
      <w:r>
        <w:t xml:space="preserve"> </w:t>
      </w:r>
      <w:proofErr w:type="spellStart"/>
      <w:r>
        <w:t>vai</w:t>
      </w:r>
      <w:proofErr w:type="spellEnd"/>
      <w:r>
        <w:t xml:space="preserve"> personas </w:t>
      </w:r>
      <w:proofErr w:type="spellStart"/>
      <w:r>
        <w:t>apliecības</w:t>
      </w:r>
      <w:proofErr w:type="spellEnd"/>
      <w:r>
        <w:t xml:space="preserve">. Tas </w:t>
      </w:r>
      <w:proofErr w:type="spellStart"/>
      <w:r>
        <w:t>pats</w:t>
      </w:r>
      <w:proofErr w:type="spellEnd"/>
      <w:r>
        <w:t xml:space="preserve"> </w:t>
      </w:r>
      <w:proofErr w:type="spellStart"/>
      <w:r>
        <w:t>attiecas</w:t>
      </w:r>
      <w:proofErr w:type="spellEnd"/>
      <w:r>
        <w:t xml:space="preserve"> </w:t>
      </w:r>
      <w:proofErr w:type="spellStart"/>
      <w:r>
        <w:t>arī</w:t>
      </w:r>
      <w:proofErr w:type="spellEnd"/>
      <w:r>
        <w:t xml:space="preserve"> </w:t>
      </w:r>
      <w:proofErr w:type="spellStart"/>
      <w:r>
        <w:t>uz</w:t>
      </w:r>
      <w:proofErr w:type="spellEnd"/>
      <w:r>
        <w:t xml:space="preserve"> Latvijas </w:t>
      </w:r>
      <w:proofErr w:type="spellStart"/>
      <w:r>
        <w:t>pilsoņiem</w:t>
      </w:r>
      <w:proofErr w:type="spellEnd"/>
      <w:r>
        <w:t xml:space="preserve">, </w:t>
      </w:r>
      <w:proofErr w:type="spellStart"/>
      <w:r>
        <w:t>kuri</w:t>
      </w:r>
      <w:proofErr w:type="spellEnd"/>
      <w:r>
        <w:t xml:space="preserve"> </w:t>
      </w:r>
      <w:proofErr w:type="spellStart"/>
      <w:r>
        <w:t>dzīvo</w:t>
      </w:r>
      <w:proofErr w:type="spellEnd"/>
      <w:r>
        <w:t xml:space="preserve"> </w:t>
      </w:r>
      <w:proofErr w:type="spellStart"/>
      <w:r>
        <w:t>ārvalstīs</w:t>
      </w:r>
      <w:proofErr w:type="spellEnd"/>
      <w:r>
        <w:t xml:space="preserve"> – </w:t>
      </w:r>
      <w:proofErr w:type="spellStart"/>
      <w:r>
        <w:t>šīs</w:t>
      </w:r>
      <w:proofErr w:type="spellEnd"/>
      <w:r>
        <w:t xml:space="preserve"> personas </w:t>
      </w:r>
      <w:proofErr w:type="spellStart"/>
      <w:r>
        <w:t>zvērinātam</w:t>
      </w:r>
      <w:proofErr w:type="spellEnd"/>
      <w:r>
        <w:t xml:space="preserve"> </w:t>
      </w:r>
      <w:proofErr w:type="spellStart"/>
      <w:r>
        <w:t>notāram</w:t>
      </w:r>
      <w:proofErr w:type="spellEnd"/>
      <w:r>
        <w:t xml:space="preserve"> </w:t>
      </w:r>
      <w:proofErr w:type="spellStart"/>
      <w:r>
        <w:t>uzrāda</w:t>
      </w:r>
      <w:proofErr w:type="spellEnd"/>
      <w:r>
        <w:t xml:space="preserve"> Latvijas </w:t>
      </w:r>
      <w:proofErr w:type="spellStart"/>
      <w:r>
        <w:t>pilsoņa</w:t>
      </w:r>
      <w:proofErr w:type="spellEnd"/>
      <w:r>
        <w:t xml:space="preserve"> </w:t>
      </w:r>
      <w:proofErr w:type="spellStart"/>
      <w:r>
        <w:t>pasi</w:t>
      </w:r>
      <w:proofErr w:type="spellEnd"/>
      <w:r>
        <w:t xml:space="preserve"> </w:t>
      </w:r>
      <w:proofErr w:type="spellStart"/>
      <w:r>
        <w:t>vai</w:t>
      </w:r>
      <w:proofErr w:type="spellEnd"/>
      <w:r>
        <w:t xml:space="preserve"> personas </w:t>
      </w:r>
      <w:proofErr w:type="spellStart"/>
      <w:r>
        <w:t>apliecību</w:t>
      </w:r>
      <w:proofErr w:type="spellEnd"/>
      <w:r>
        <w:t xml:space="preserve">. </w:t>
      </w:r>
      <w:proofErr w:type="spellStart"/>
      <w:r>
        <w:t>Līdz</w:t>
      </w:r>
      <w:proofErr w:type="spellEnd"/>
      <w:r>
        <w:t xml:space="preserve"> </w:t>
      </w:r>
      <w:proofErr w:type="spellStart"/>
      <w:r>
        <w:t>ar</w:t>
      </w:r>
      <w:proofErr w:type="spellEnd"/>
      <w:r>
        <w:t xml:space="preserve"> </w:t>
      </w:r>
      <w:proofErr w:type="spellStart"/>
      <w:r>
        <w:t>to</w:t>
      </w:r>
      <w:proofErr w:type="spellEnd"/>
      <w:r>
        <w:t xml:space="preserve"> </w:t>
      </w:r>
      <w:proofErr w:type="spellStart"/>
      <w:r>
        <w:t>praksē</w:t>
      </w:r>
      <w:proofErr w:type="spellEnd"/>
      <w:r>
        <w:t xml:space="preserve"> </w:t>
      </w:r>
      <w:proofErr w:type="spellStart"/>
      <w:r>
        <w:t>šīs</w:t>
      </w:r>
      <w:proofErr w:type="spellEnd"/>
      <w:r>
        <w:t xml:space="preserve"> </w:t>
      </w:r>
      <w:proofErr w:type="spellStart"/>
      <w:r>
        <w:t>prasības</w:t>
      </w:r>
      <w:proofErr w:type="spellEnd"/>
      <w:r>
        <w:t xml:space="preserve"> </w:t>
      </w:r>
      <w:proofErr w:type="spellStart"/>
      <w:r>
        <w:t>izpilde</w:t>
      </w:r>
      <w:proofErr w:type="spellEnd"/>
      <w:r>
        <w:t xml:space="preserve"> </w:t>
      </w:r>
      <w:proofErr w:type="spellStart"/>
      <w:r>
        <w:t>nevarētu</w:t>
      </w:r>
      <w:proofErr w:type="spellEnd"/>
      <w:r>
        <w:t xml:space="preserve"> </w:t>
      </w:r>
      <w:proofErr w:type="spellStart"/>
      <w:r>
        <w:t>sagādāt</w:t>
      </w:r>
      <w:proofErr w:type="spellEnd"/>
      <w:r>
        <w:t xml:space="preserve"> </w:t>
      </w:r>
      <w:proofErr w:type="spellStart"/>
      <w:r>
        <w:t>īpašas</w:t>
      </w:r>
      <w:proofErr w:type="spellEnd"/>
      <w:r>
        <w:t xml:space="preserve"> </w:t>
      </w:r>
      <w:proofErr w:type="spellStart"/>
      <w:r>
        <w:t>grūtības</w:t>
      </w:r>
      <w:proofErr w:type="spellEnd"/>
      <w:r>
        <w:t>.</w:t>
      </w:r>
    </w:p>
    <w:p w14:paraId="1CFBAE0B" w14:textId="77777777" w:rsidR="00114953" w:rsidRDefault="00114953" w:rsidP="00114953">
      <w:pPr>
        <w:pStyle w:val="tv213"/>
        <w:jc w:val="both"/>
      </w:pPr>
      <w:r>
        <w:tab/>
      </w:r>
      <w:proofErr w:type="spellStart"/>
      <w:r>
        <w:t>No</w:t>
      </w:r>
      <w:proofErr w:type="spellEnd"/>
      <w:r>
        <w:t xml:space="preserve"> </w:t>
      </w:r>
      <w:proofErr w:type="spellStart"/>
      <w:r>
        <w:t>starptautisko</w:t>
      </w:r>
      <w:proofErr w:type="spellEnd"/>
      <w:r>
        <w:t xml:space="preserve"> </w:t>
      </w:r>
      <w:proofErr w:type="spellStart"/>
      <w:r>
        <w:t>privāttiesību</w:t>
      </w:r>
      <w:proofErr w:type="spellEnd"/>
      <w:r>
        <w:t xml:space="preserve"> (</w:t>
      </w:r>
      <w:proofErr w:type="spellStart"/>
      <w:r>
        <w:t>turpmāk</w:t>
      </w:r>
      <w:proofErr w:type="spellEnd"/>
      <w:r>
        <w:t xml:space="preserve"> – SPT) </w:t>
      </w:r>
      <w:proofErr w:type="spellStart"/>
      <w:r>
        <w:t>viedokļa</w:t>
      </w:r>
      <w:proofErr w:type="spellEnd"/>
      <w:r>
        <w:t xml:space="preserve"> </w:t>
      </w:r>
      <w:proofErr w:type="spellStart"/>
      <w:r>
        <w:t>personu</w:t>
      </w:r>
      <w:proofErr w:type="spellEnd"/>
      <w:r>
        <w:t xml:space="preserve"> </w:t>
      </w:r>
      <w:proofErr w:type="spellStart"/>
      <w:r>
        <w:t>identitātes</w:t>
      </w:r>
      <w:proofErr w:type="spellEnd"/>
      <w:r>
        <w:t xml:space="preserve"> </w:t>
      </w:r>
      <w:proofErr w:type="spellStart"/>
      <w:r>
        <w:t>pārbaudes</w:t>
      </w:r>
      <w:proofErr w:type="spellEnd"/>
      <w:r>
        <w:t xml:space="preserve"> </w:t>
      </w:r>
      <w:proofErr w:type="spellStart"/>
      <w:r>
        <w:t>procesuālā</w:t>
      </w:r>
      <w:proofErr w:type="spellEnd"/>
      <w:r>
        <w:t xml:space="preserve"> </w:t>
      </w:r>
      <w:proofErr w:type="spellStart"/>
      <w:r>
        <w:t>kārtība</w:t>
      </w:r>
      <w:proofErr w:type="spellEnd"/>
      <w:r>
        <w:t xml:space="preserve"> </w:t>
      </w:r>
      <w:proofErr w:type="spellStart"/>
      <w:r>
        <w:t>ir</w:t>
      </w:r>
      <w:proofErr w:type="spellEnd"/>
      <w:r>
        <w:t xml:space="preserve"> </w:t>
      </w:r>
      <w:proofErr w:type="spellStart"/>
      <w:r>
        <w:t>nosakāma</w:t>
      </w:r>
      <w:proofErr w:type="spellEnd"/>
      <w:r>
        <w:t xml:space="preserve"> </w:t>
      </w:r>
      <w:proofErr w:type="spellStart"/>
      <w:r>
        <w:t>saskaņā</w:t>
      </w:r>
      <w:proofErr w:type="spellEnd"/>
      <w:r>
        <w:t xml:space="preserve"> </w:t>
      </w:r>
      <w:proofErr w:type="spellStart"/>
      <w:r>
        <w:t>ar</w:t>
      </w:r>
      <w:proofErr w:type="spellEnd"/>
      <w:r>
        <w:t xml:space="preserve"> </w:t>
      </w:r>
      <w:proofErr w:type="spellStart"/>
      <w:r>
        <w:t>tās</w:t>
      </w:r>
      <w:proofErr w:type="spellEnd"/>
      <w:r>
        <w:t xml:space="preserve"> </w:t>
      </w:r>
      <w:proofErr w:type="spellStart"/>
      <w:r>
        <w:t>valsts</w:t>
      </w:r>
      <w:proofErr w:type="spellEnd"/>
      <w:r>
        <w:t xml:space="preserve"> </w:t>
      </w:r>
      <w:proofErr w:type="spellStart"/>
      <w:r>
        <w:t>likumu</w:t>
      </w:r>
      <w:proofErr w:type="spellEnd"/>
      <w:r>
        <w:t xml:space="preserve">, </w:t>
      </w:r>
      <w:proofErr w:type="spellStart"/>
      <w:r>
        <w:t>kuras</w:t>
      </w:r>
      <w:proofErr w:type="spellEnd"/>
      <w:r>
        <w:t xml:space="preserve"> </w:t>
      </w:r>
      <w:proofErr w:type="spellStart"/>
      <w:r>
        <w:t>teritorijā</w:t>
      </w:r>
      <w:proofErr w:type="spellEnd"/>
      <w:r>
        <w:t xml:space="preserve"> </w:t>
      </w:r>
      <w:proofErr w:type="spellStart"/>
      <w:r>
        <w:t>pārbauda</w:t>
      </w:r>
      <w:proofErr w:type="spellEnd"/>
      <w:r>
        <w:t xml:space="preserve"> </w:t>
      </w:r>
      <w:proofErr w:type="spellStart"/>
      <w:r>
        <w:t>šo</w:t>
      </w:r>
      <w:proofErr w:type="spellEnd"/>
      <w:r>
        <w:t xml:space="preserve"> </w:t>
      </w:r>
      <w:proofErr w:type="spellStart"/>
      <w:r>
        <w:t>identitāti</w:t>
      </w:r>
      <w:proofErr w:type="spellEnd"/>
      <w:r>
        <w:t xml:space="preserve"> (</w:t>
      </w:r>
      <w:proofErr w:type="spellStart"/>
      <w:r w:rsidRPr="004D7D5B">
        <w:rPr>
          <w:i/>
        </w:rPr>
        <w:t>lex</w:t>
      </w:r>
      <w:proofErr w:type="spellEnd"/>
      <w:r w:rsidRPr="004D7D5B">
        <w:rPr>
          <w:i/>
        </w:rPr>
        <w:t xml:space="preserve"> </w:t>
      </w:r>
      <w:proofErr w:type="spellStart"/>
      <w:r w:rsidRPr="004D7D5B">
        <w:rPr>
          <w:i/>
        </w:rPr>
        <w:t>fori</w:t>
      </w:r>
      <w:proofErr w:type="spellEnd"/>
      <w:r>
        <w:t>).</w:t>
      </w:r>
    </w:p>
    <w:p w14:paraId="7E50AD37" w14:textId="77777777" w:rsidR="00114953" w:rsidRDefault="00114953" w:rsidP="00114953">
      <w:pPr>
        <w:pStyle w:val="tv213"/>
        <w:jc w:val="both"/>
        <w:rPr>
          <w:b/>
          <w:bCs/>
        </w:rPr>
      </w:pPr>
    </w:p>
    <w:p w14:paraId="78121349" w14:textId="77777777" w:rsidR="00114953" w:rsidRDefault="00114953" w:rsidP="00114953">
      <w:pPr>
        <w:pStyle w:val="tv213"/>
        <w:jc w:val="both"/>
      </w:pPr>
      <w:r>
        <w:rPr>
          <w:b/>
          <w:bCs/>
        </w:rPr>
        <w:t xml:space="preserve">2. </w:t>
      </w:r>
      <w:proofErr w:type="spellStart"/>
      <w:r>
        <w:rPr>
          <w:b/>
          <w:bCs/>
        </w:rPr>
        <w:t>Fiziskas</w:t>
      </w:r>
      <w:proofErr w:type="spellEnd"/>
      <w:r>
        <w:rPr>
          <w:b/>
          <w:bCs/>
        </w:rPr>
        <w:t xml:space="preserve"> personas </w:t>
      </w:r>
      <w:proofErr w:type="spellStart"/>
      <w:r>
        <w:rPr>
          <w:b/>
          <w:bCs/>
        </w:rPr>
        <w:t>r</w:t>
      </w:r>
      <w:r w:rsidRPr="00734E20">
        <w:rPr>
          <w:b/>
          <w:bCs/>
        </w:rPr>
        <w:t>īcībspēja</w:t>
      </w:r>
      <w:proofErr w:type="spellEnd"/>
      <w:r w:rsidRPr="00734E20">
        <w:rPr>
          <w:b/>
          <w:bCs/>
        </w:rPr>
        <w:t>:</w:t>
      </w:r>
      <w:r>
        <w:t xml:space="preserve"> </w:t>
      </w:r>
    </w:p>
    <w:p w14:paraId="687ABE8B" w14:textId="77777777" w:rsidR="00114953" w:rsidRPr="00FB33B0" w:rsidRDefault="00114953" w:rsidP="00114953">
      <w:pPr>
        <w:pStyle w:val="tv213"/>
        <w:ind w:firstLine="708"/>
        <w:jc w:val="both"/>
      </w:pPr>
      <w:proofErr w:type="spellStart"/>
      <w:r w:rsidRPr="00F94FA3">
        <w:t>No</w:t>
      </w:r>
      <w:proofErr w:type="spellEnd"/>
      <w:r w:rsidRPr="00F94FA3">
        <w:t xml:space="preserve"> SPT </w:t>
      </w:r>
      <w:proofErr w:type="spellStart"/>
      <w:r w:rsidRPr="00F94FA3">
        <w:t>teorijas</w:t>
      </w:r>
      <w:proofErr w:type="spellEnd"/>
      <w:r w:rsidRPr="00F94FA3">
        <w:t xml:space="preserve"> </w:t>
      </w:r>
      <w:proofErr w:type="spellStart"/>
      <w:r w:rsidRPr="00F94FA3">
        <w:t>viedokļa</w:t>
      </w:r>
      <w:proofErr w:type="spellEnd"/>
      <w:r w:rsidRPr="00F94FA3">
        <w:t xml:space="preserve"> </w:t>
      </w:r>
      <w:proofErr w:type="spellStart"/>
      <w:r w:rsidRPr="00BF3A72">
        <w:t>pilnvarojuma</w:t>
      </w:r>
      <w:proofErr w:type="spellEnd"/>
      <w:r w:rsidRPr="00BF3A72">
        <w:t xml:space="preserve"> </w:t>
      </w:r>
      <w:proofErr w:type="spellStart"/>
      <w:r w:rsidRPr="00BF3A72">
        <w:t>līgumam</w:t>
      </w:r>
      <w:proofErr w:type="spellEnd"/>
      <w:r w:rsidRPr="00BF3A72">
        <w:t>/</w:t>
      </w:r>
      <w:proofErr w:type="spellStart"/>
      <w:r w:rsidRPr="00BF3A72">
        <w:t>pilnvarai</w:t>
      </w:r>
      <w:proofErr w:type="spellEnd"/>
      <w:r w:rsidRPr="00BF3A72">
        <w:t xml:space="preserve"> </w:t>
      </w:r>
      <w:proofErr w:type="spellStart"/>
      <w:r w:rsidRPr="00BF3A72">
        <w:t>piemērojamais</w:t>
      </w:r>
      <w:proofErr w:type="spellEnd"/>
      <w:r w:rsidRPr="00BF3A72">
        <w:t xml:space="preserve"> </w:t>
      </w:r>
      <w:proofErr w:type="spellStart"/>
      <w:r w:rsidRPr="00BF3A72">
        <w:t>likums</w:t>
      </w:r>
      <w:proofErr w:type="spellEnd"/>
      <w:r w:rsidRPr="00BF3A72">
        <w:t xml:space="preserve"> </w:t>
      </w:r>
      <w:proofErr w:type="spellStart"/>
      <w:r w:rsidRPr="00BF3A72">
        <w:t>neietver</w:t>
      </w:r>
      <w:proofErr w:type="spellEnd"/>
      <w:r w:rsidRPr="00BF3A72">
        <w:t xml:space="preserve"> </w:t>
      </w:r>
      <w:proofErr w:type="spellStart"/>
      <w:r w:rsidRPr="00BF3A72">
        <w:t>sevī</w:t>
      </w:r>
      <w:proofErr w:type="spellEnd"/>
      <w:r w:rsidRPr="00BF3A72">
        <w:t xml:space="preserve"> </w:t>
      </w:r>
      <w:proofErr w:type="spellStart"/>
      <w:r w:rsidRPr="00BF3A72">
        <w:t>arī</w:t>
      </w:r>
      <w:proofErr w:type="spellEnd"/>
      <w:r w:rsidRPr="00BF3A72">
        <w:t xml:space="preserve"> personas (</w:t>
      </w:r>
      <w:proofErr w:type="spellStart"/>
      <w:r w:rsidRPr="00BF3A72">
        <w:t>pilnvarnieka</w:t>
      </w:r>
      <w:proofErr w:type="spellEnd"/>
      <w:r w:rsidRPr="00BF3A72">
        <w:t xml:space="preserve"> </w:t>
      </w:r>
      <w:proofErr w:type="spellStart"/>
      <w:r w:rsidRPr="00BF3A72">
        <w:t>jeb</w:t>
      </w:r>
      <w:proofErr w:type="spellEnd"/>
      <w:r w:rsidRPr="00BF3A72">
        <w:t xml:space="preserve"> </w:t>
      </w:r>
      <w:proofErr w:type="spellStart"/>
      <w:r w:rsidRPr="00BF3A72">
        <w:t>uzdevuma</w:t>
      </w:r>
      <w:proofErr w:type="spellEnd"/>
      <w:r w:rsidRPr="00BF3A72">
        <w:t xml:space="preserve"> </w:t>
      </w:r>
      <w:proofErr w:type="spellStart"/>
      <w:r w:rsidRPr="00BF3A72">
        <w:t>ņēmēja</w:t>
      </w:r>
      <w:proofErr w:type="spellEnd"/>
      <w:r w:rsidRPr="00BF3A72">
        <w:t xml:space="preserve">) </w:t>
      </w:r>
      <w:proofErr w:type="spellStart"/>
      <w:r w:rsidRPr="00BF3A72">
        <w:t>rīcībspējai</w:t>
      </w:r>
      <w:proofErr w:type="spellEnd"/>
      <w:r w:rsidRPr="00BF3A72">
        <w:t xml:space="preserve"> (</w:t>
      </w:r>
      <w:proofErr w:type="spellStart"/>
      <w:r w:rsidRPr="00BF3A72">
        <w:t>un</w:t>
      </w:r>
      <w:proofErr w:type="spellEnd"/>
      <w:r w:rsidRPr="00BF3A72">
        <w:t xml:space="preserve"> </w:t>
      </w:r>
      <w:proofErr w:type="spellStart"/>
      <w:r w:rsidRPr="00BF3A72">
        <w:t>tiesībspējai</w:t>
      </w:r>
      <w:proofErr w:type="spellEnd"/>
      <w:r w:rsidRPr="00BF3A72">
        <w:t xml:space="preserve">) </w:t>
      </w:r>
      <w:proofErr w:type="spellStart"/>
      <w:r w:rsidRPr="00BF3A72">
        <w:t>piemērojamo</w:t>
      </w:r>
      <w:proofErr w:type="spellEnd"/>
      <w:r w:rsidRPr="00BF3A72">
        <w:t xml:space="preserve"> </w:t>
      </w:r>
      <w:proofErr w:type="spellStart"/>
      <w:r w:rsidRPr="00BF3A72">
        <w:t>likumu</w:t>
      </w:r>
      <w:proofErr w:type="spellEnd"/>
      <w:r w:rsidRPr="00BF3A72">
        <w:t xml:space="preserve">. </w:t>
      </w:r>
      <w:proofErr w:type="spellStart"/>
      <w:r w:rsidRPr="00BF3A72">
        <w:t>Šos</w:t>
      </w:r>
      <w:proofErr w:type="spellEnd"/>
      <w:r w:rsidRPr="00BF3A72">
        <w:t xml:space="preserve"> </w:t>
      </w:r>
      <w:proofErr w:type="spellStart"/>
      <w:r w:rsidRPr="00BF3A72">
        <w:t>jautājumus</w:t>
      </w:r>
      <w:proofErr w:type="spellEnd"/>
      <w:r w:rsidRPr="00BF3A72">
        <w:t xml:space="preserve"> – </w:t>
      </w:r>
      <w:proofErr w:type="spellStart"/>
      <w:r w:rsidRPr="00BF3A72">
        <w:t>pilnvarojuma</w:t>
      </w:r>
      <w:proofErr w:type="spellEnd"/>
      <w:r w:rsidRPr="00BF3A72">
        <w:t xml:space="preserve"> </w:t>
      </w:r>
      <w:proofErr w:type="spellStart"/>
      <w:r w:rsidRPr="00BF3A72">
        <w:t>līgumam</w:t>
      </w:r>
      <w:proofErr w:type="spellEnd"/>
      <w:r w:rsidRPr="00BF3A72">
        <w:t>/</w:t>
      </w:r>
      <w:proofErr w:type="spellStart"/>
      <w:r w:rsidRPr="00BF3A72">
        <w:t>pilnvarai</w:t>
      </w:r>
      <w:proofErr w:type="spellEnd"/>
      <w:r w:rsidRPr="00BF3A72">
        <w:t xml:space="preserve"> </w:t>
      </w:r>
      <w:proofErr w:type="spellStart"/>
      <w:r w:rsidRPr="00BF3A72">
        <w:t>piemērojamo</w:t>
      </w:r>
      <w:proofErr w:type="spellEnd"/>
      <w:r w:rsidRPr="00BF3A72">
        <w:t xml:space="preserve"> </w:t>
      </w:r>
      <w:proofErr w:type="spellStart"/>
      <w:r w:rsidRPr="00BF3A72">
        <w:t>likumu</w:t>
      </w:r>
      <w:proofErr w:type="spellEnd"/>
      <w:r w:rsidRPr="00BF3A72">
        <w:t xml:space="preserve"> </w:t>
      </w:r>
      <w:proofErr w:type="spellStart"/>
      <w:r w:rsidRPr="00BF3A72">
        <w:t>un</w:t>
      </w:r>
      <w:proofErr w:type="spellEnd"/>
      <w:r w:rsidRPr="00BF3A72">
        <w:t xml:space="preserve"> personas </w:t>
      </w:r>
      <w:proofErr w:type="spellStart"/>
      <w:r w:rsidRPr="00BF3A72">
        <w:t>rīcībspējai</w:t>
      </w:r>
      <w:proofErr w:type="spellEnd"/>
      <w:r w:rsidRPr="00BF3A72">
        <w:t xml:space="preserve"> </w:t>
      </w:r>
      <w:proofErr w:type="spellStart"/>
      <w:r w:rsidRPr="00BF3A72">
        <w:t>un</w:t>
      </w:r>
      <w:proofErr w:type="spellEnd"/>
      <w:r w:rsidRPr="00BF3A72">
        <w:t xml:space="preserve"> </w:t>
      </w:r>
      <w:proofErr w:type="spellStart"/>
      <w:r w:rsidRPr="00BF3A72">
        <w:t>tiesībspējai</w:t>
      </w:r>
      <w:proofErr w:type="spellEnd"/>
      <w:r w:rsidRPr="00BF3A72">
        <w:t xml:space="preserve"> </w:t>
      </w:r>
      <w:proofErr w:type="spellStart"/>
      <w:r w:rsidRPr="00BF3A72">
        <w:t>piemerojamo</w:t>
      </w:r>
      <w:proofErr w:type="spellEnd"/>
      <w:r w:rsidRPr="00BF3A72">
        <w:t xml:space="preserve"> </w:t>
      </w:r>
      <w:proofErr w:type="spellStart"/>
      <w:r w:rsidRPr="00BF3A72">
        <w:t>likumu</w:t>
      </w:r>
      <w:proofErr w:type="spellEnd"/>
      <w:r w:rsidRPr="00BF3A72">
        <w:t xml:space="preserve"> – </w:t>
      </w:r>
      <w:proofErr w:type="spellStart"/>
      <w:r w:rsidRPr="00BF3A72">
        <w:t>nosaka</w:t>
      </w:r>
      <w:proofErr w:type="spellEnd"/>
      <w:r w:rsidRPr="00BF3A72">
        <w:t xml:space="preserve"> </w:t>
      </w:r>
      <w:proofErr w:type="spellStart"/>
      <w:r w:rsidRPr="00BF3A72">
        <w:t>atšķirīgas</w:t>
      </w:r>
      <w:proofErr w:type="spellEnd"/>
      <w:r w:rsidRPr="00BF3A72">
        <w:t xml:space="preserve"> </w:t>
      </w:r>
      <w:proofErr w:type="spellStart"/>
      <w:r w:rsidRPr="00BF3A72">
        <w:t>kolīziju</w:t>
      </w:r>
      <w:proofErr w:type="spellEnd"/>
      <w:r w:rsidRPr="00BF3A72">
        <w:t xml:space="preserve"> </w:t>
      </w:r>
      <w:proofErr w:type="spellStart"/>
      <w:r w:rsidRPr="00BF3A72">
        <w:t>normas</w:t>
      </w:r>
      <w:proofErr w:type="spellEnd"/>
      <w:r w:rsidRPr="00BF3A72">
        <w:t xml:space="preserve">. Tas </w:t>
      </w:r>
      <w:proofErr w:type="spellStart"/>
      <w:r w:rsidRPr="00BF3A72">
        <w:t>tādēļ</w:t>
      </w:r>
      <w:proofErr w:type="spellEnd"/>
      <w:r w:rsidRPr="00BF3A72">
        <w:t xml:space="preserve">, </w:t>
      </w:r>
      <w:proofErr w:type="spellStart"/>
      <w:r w:rsidRPr="00BF3A72">
        <w:t>ka</w:t>
      </w:r>
      <w:proofErr w:type="spellEnd"/>
      <w:r w:rsidRPr="00BF3A72">
        <w:t xml:space="preserve"> </w:t>
      </w:r>
      <w:proofErr w:type="spellStart"/>
      <w:r w:rsidRPr="00BF3A72">
        <w:t>pilnvarojuma</w:t>
      </w:r>
      <w:proofErr w:type="spellEnd"/>
      <w:r w:rsidRPr="00BF3A72">
        <w:t xml:space="preserve"> </w:t>
      </w:r>
      <w:proofErr w:type="spellStart"/>
      <w:r w:rsidRPr="00BF3A72">
        <w:t>līgumi</w:t>
      </w:r>
      <w:proofErr w:type="spellEnd"/>
      <w:r w:rsidRPr="00BF3A72">
        <w:t>/</w:t>
      </w:r>
      <w:proofErr w:type="spellStart"/>
      <w:r w:rsidRPr="00BF3A72">
        <w:t>pilnvaras</w:t>
      </w:r>
      <w:proofErr w:type="spellEnd"/>
      <w:r w:rsidRPr="00BF3A72">
        <w:t xml:space="preserve"> </w:t>
      </w:r>
      <w:proofErr w:type="spellStart"/>
      <w:r w:rsidRPr="00BF3A72">
        <w:t>ietilpst</w:t>
      </w:r>
      <w:proofErr w:type="spellEnd"/>
      <w:r w:rsidRPr="00BF3A72">
        <w:t xml:space="preserve"> </w:t>
      </w:r>
      <w:proofErr w:type="spellStart"/>
      <w:r w:rsidRPr="00BF3A72">
        <w:t>līgumtiesību</w:t>
      </w:r>
      <w:proofErr w:type="spellEnd"/>
      <w:r w:rsidRPr="00BF3A72">
        <w:t xml:space="preserve"> </w:t>
      </w:r>
      <w:proofErr w:type="spellStart"/>
      <w:r w:rsidRPr="00BF3A72">
        <w:t>jomā</w:t>
      </w:r>
      <w:proofErr w:type="spellEnd"/>
      <w:r w:rsidRPr="00BF3A72">
        <w:t xml:space="preserve">, </w:t>
      </w:r>
      <w:proofErr w:type="spellStart"/>
      <w:r w:rsidRPr="00BF3A72">
        <w:t>savukārt</w:t>
      </w:r>
      <w:proofErr w:type="spellEnd"/>
      <w:r w:rsidRPr="00BF3A72">
        <w:t xml:space="preserve"> </w:t>
      </w:r>
      <w:proofErr w:type="spellStart"/>
      <w:r w:rsidRPr="00BF3A72">
        <w:t>fiziskas</w:t>
      </w:r>
      <w:proofErr w:type="spellEnd"/>
      <w:r w:rsidRPr="00BF3A72">
        <w:t xml:space="preserve"> personas </w:t>
      </w:r>
      <w:proofErr w:type="spellStart"/>
      <w:r w:rsidRPr="00BF3A72">
        <w:t>rīcībspēja</w:t>
      </w:r>
      <w:proofErr w:type="spellEnd"/>
      <w:r w:rsidRPr="00BF3A72">
        <w:t xml:space="preserve"> </w:t>
      </w:r>
      <w:proofErr w:type="spellStart"/>
      <w:r w:rsidRPr="00BF3A72">
        <w:t>un</w:t>
      </w:r>
      <w:proofErr w:type="spellEnd"/>
      <w:r w:rsidRPr="00BF3A72">
        <w:t xml:space="preserve"> </w:t>
      </w:r>
      <w:proofErr w:type="spellStart"/>
      <w:r w:rsidRPr="00BF3A72">
        <w:t>tiesībspēja</w:t>
      </w:r>
      <w:proofErr w:type="spellEnd"/>
      <w:r w:rsidRPr="00BF3A72">
        <w:t xml:space="preserve"> </w:t>
      </w:r>
      <w:proofErr w:type="spellStart"/>
      <w:r w:rsidRPr="00BF3A72">
        <w:t>ietilpst</w:t>
      </w:r>
      <w:proofErr w:type="spellEnd"/>
      <w:r w:rsidRPr="00BF3A72">
        <w:t xml:space="preserve"> personas</w:t>
      </w:r>
      <w:r>
        <w:t xml:space="preserve"> </w:t>
      </w:r>
      <w:proofErr w:type="spellStart"/>
      <w:r>
        <w:t>tiesiskā</w:t>
      </w:r>
      <w:proofErr w:type="spellEnd"/>
      <w:r>
        <w:t xml:space="preserve"> </w:t>
      </w:r>
      <w:proofErr w:type="spellStart"/>
      <w:r>
        <w:t>statusa</w:t>
      </w:r>
      <w:proofErr w:type="spellEnd"/>
      <w:r>
        <w:t xml:space="preserve"> </w:t>
      </w:r>
      <w:proofErr w:type="spellStart"/>
      <w:r>
        <w:t>jautājumos</w:t>
      </w:r>
      <w:proofErr w:type="spellEnd"/>
      <w:r>
        <w:t xml:space="preserve">. Ja </w:t>
      </w:r>
      <w:proofErr w:type="spellStart"/>
      <w:r>
        <w:t>aplūkojam</w:t>
      </w:r>
      <w:proofErr w:type="spellEnd"/>
      <w:r>
        <w:t xml:space="preserve"> CL </w:t>
      </w:r>
      <w:proofErr w:type="spellStart"/>
      <w:r>
        <w:t>Ievadā</w:t>
      </w:r>
      <w:proofErr w:type="spellEnd"/>
      <w:r>
        <w:t xml:space="preserve"> </w:t>
      </w:r>
      <w:proofErr w:type="spellStart"/>
      <w:r>
        <w:t>esošās</w:t>
      </w:r>
      <w:proofErr w:type="spellEnd"/>
      <w:r>
        <w:t xml:space="preserve"> </w:t>
      </w:r>
      <w:proofErr w:type="spellStart"/>
      <w:r>
        <w:t>kolīziju</w:t>
      </w:r>
      <w:proofErr w:type="spellEnd"/>
      <w:r>
        <w:t xml:space="preserve"> </w:t>
      </w:r>
      <w:proofErr w:type="spellStart"/>
      <w:r>
        <w:t>normas</w:t>
      </w:r>
      <w:proofErr w:type="spellEnd"/>
      <w:r>
        <w:t xml:space="preserve">, </w:t>
      </w:r>
      <w:proofErr w:type="spellStart"/>
      <w:r>
        <w:t>tad</w:t>
      </w:r>
      <w:proofErr w:type="spellEnd"/>
      <w:r>
        <w:t xml:space="preserve"> </w:t>
      </w:r>
      <w:proofErr w:type="spellStart"/>
      <w:r>
        <w:t>redzams</w:t>
      </w:r>
      <w:proofErr w:type="spellEnd"/>
      <w:r>
        <w:t xml:space="preserve">, </w:t>
      </w:r>
      <w:proofErr w:type="spellStart"/>
      <w:r>
        <w:t>ka</w:t>
      </w:r>
      <w:proofErr w:type="spellEnd"/>
      <w:r>
        <w:t xml:space="preserve"> </w:t>
      </w:r>
      <w:proofErr w:type="spellStart"/>
      <w:r>
        <w:t>saistību</w:t>
      </w:r>
      <w:proofErr w:type="spellEnd"/>
      <w:r>
        <w:t xml:space="preserve"> </w:t>
      </w:r>
      <w:proofErr w:type="spellStart"/>
      <w:r>
        <w:t>tiesībām</w:t>
      </w:r>
      <w:proofErr w:type="spellEnd"/>
      <w:r>
        <w:t xml:space="preserve"> (</w:t>
      </w:r>
      <w:proofErr w:type="spellStart"/>
      <w:r>
        <w:t>kas</w:t>
      </w:r>
      <w:proofErr w:type="spellEnd"/>
      <w:r>
        <w:t xml:space="preserve"> </w:t>
      </w:r>
      <w:proofErr w:type="spellStart"/>
      <w:r>
        <w:t>izriet</w:t>
      </w:r>
      <w:proofErr w:type="spellEnd"/>
      <w:r>
        <w:t xml:space="preserve"> </w:t>
      </w:r>
      <w:proofErr w:type="spellStart"/>
      <w:r>
        <w:t>no</w:t>
      </w:r>
      <w:proofErr w:type="spellEnd"/>
      <w:r>
        <w:t xml:space="preserve"> </w:t>
      </w:r>
      <w:proofErr w:type="spellStart"/>
      <w:r>
        <w:t>līgumiem</w:t>
      </w:r>
      <w:proofErr w:type="spellEnd"/>
      <w:r>
        <w:t xml:space="preserve">) </w:t>
      </w:r>
      <w:proofErr w:type="spellStart"/>
      <w:r>
        <w:t>ir</w:t>
      </w:r>
      <w:proofErr w:type="spellEnd"/>
      <w:r>
        <w:t xml:space="preserve"> </w:t>
      </w:r>
      <w:proofErr w:type="spellStart"/>
      <w:r>
        <w:t>piemērojama</w:t>
      </w:r>
      <w:proofErr w:type="spellEnd"/>
      <w:r>
        <w:t xml:space="preserve"> </w:t>
      </w:r>
      <w:proofErr w:type="spellStart"/>
      <w:r>
        <w:t>viena</w:t>
      </w:r>
      <w:proofErr w:type="spellEnd"/>
      <w:r>
        <w:t xml:space="preserve"> </w:t>
      </w:r>
      <w:proofErr w:type="spellStart"/>
      <w:r>
        <w:t>kolīziju</w:t>
      </w:r>
      <w:proofErr w:type="spellEnd"/>
      <w:r>
        <w:t xml:space="preserve"> </w:t>
      </w:r>
      <w:proofErr w:type="spellStart"/>
      <w:r>
        <w:t>norma</w:t>
      </w:r>
      <w:proofErr w:type="spellEnd"/>
      <w:r>
        <w:t xml:space="preserve"> (CL 19.p.), </w:t>
      </w:r>
      <w:proofErr w:type="spellStart"/>
      <w:r>
        <w:t>taču</w:t>
      </w:r>
      <w:proofErr w:type="spellEnd"/>
      <w:r>
        <w:t xml:space="preserve"> </w:t>
      </w:r>
      <w:proofErr w:type="spellStart"/>
      <w:r>
        <w:t>fiziskas</w:t>
      </w:r>
      <w:proofErr w:type="spellEnd"/>
      <w:r>
        <w:t xml:space="preserve"> personas </w:t>
      </w:r>
      <w:proofErr w:type="spellStart"/>
      <w:r>
        <w:t>tiesībspējas</w:t>
      </w:r>
      <w:proofErr w:type="spellEnd"/>
      <w:r>
        <w:t xml:space="preserve"> </w:t>
      </w:r>
      <w:proofErr w:type="spellStart"/>
      <w:r>
        <w:t>un</w:t>
      </w:r>
      <w:proofErr w:type="spellEnd"/>
      <w:r>
        <w:t xml:space="preserve"> </w:t>
      </w:r>
      <w:proofErr w:type="spellStart"/>
      <w:r>
        <w:t>rīcībspējas</w:t>
      </w:r>
      <w:proofErr w:type="spellEnd"/>
      <w:r>
        <w:t xml:space="preserve"> </w:t>
      </w:r>
      <w:proofErr w:type="spellStart"/>
      <w:r>
        <w:t>jautājumiem</w:t>
      </w:r>
      <w:proofErr w:type="spellEnd"/>
      <w:r>
        <w:t xml:space="preserve"> – </w:t>
      </w:r>
      <w:proofErr w:type="spellStart"/>
      <w:r>
        <w:t>cita</w:t>
      </w:r>
      <w:proofErr w:type="spellEnd"/>
      <w:r>
        <w:t xml:space="preserve"> </w:t>
      </w:r>
      <w:proofErr w:type="spellStart"/>
      <w:r>
        <w:t>kolīziju</w:t>
      </w:r>
      <w:proofErr w:type="spellEnd"/>
      <w:r>
        <w:t xml:space="preserve"> </w:t>
      </w:r>
      <w:proofErr w:type="spellStart"/>
      <w:r>
        <w:t>norma</w:t>
      </w:r>
      <w:proofErr w:type="spellEnd"/>
      <w:r>
        <w:t xml:space="preserve"> (CL 8.p. 1.un 2.daļa). </w:t>
      </w:r>
      <w:proofErr w:type="spellStart"/>
      <w:r>
        <w:t>Un</w:t>
      </w:r>
      <w:proofErr w:type="spellEnd"/>
      <w:r>
        <w:t xml:space="preserve"> </w:t>
      </w:r>
      <w:proofErr w:type="spellStart"/>
      <w:r>
        <w:t>tas</w:t>
      </w:r>
      <w:proofErr w:type="spellEnd"/>
      <w:r>
        <w:t xml:space="preserve"> </w:t>
      </w:r>
      <w:proofErr w:type="spellStart"/>
      <w:r>
        <w:t>viss</w:t>
      </w:r>
      <w:proofErr w:type="spellEnd"/>
      <w:r>
        <w:t xml:space="preserve">, </w:t>
      </w:r>
      <w:proofErr w:type="spellStart"/>
      <w:r>
        <w:t>neskatoties</w:t>
      </w:r>
      <w:proofErr w:type="spellEnd"/>
      <w:r>
        <w:t xml:space="preserve"> </w:t>
      </w:r>
      <w:proofErr w:type="spellStart"/>
      <w:r>
        <w:t>uz</w:t>
      </w:r>
      <w:proofErr w:type="spellEnd"/>
      <w:r>
        <w:t xml:space="preserve"> </w:t>
      </w:r>
      <w:proofErr w:type="spellStart"/>
      <w:r>
        <w:t>to</w:t>
      </w:r>
      <w:proofErr w:type="spellEnd"/>
      <w:r>
        <w:t xml:space="preserve">, </w:t>
      </w:r>
      <w:proofErr w:type="spellStart"/>
      <w:r>
        <w:t>ka</w:t>
      </w:r>
      <w:proofErr w:type="spellEnd"/>
      <w:r>
        <w:t xml:space="preserve"> </w:t>
      </w:r>
      <w:proofErr w:type="spellStart"/>
      <w:r>
        <w:t>materiālo</w:t>
      </w:r>
      <w:proofErr w:type="spellEnd"/>
      <w:r>
        <w:t xml:space="preserve"> </w:t>
      </w:r>
      <w:proofErr w:type="spellStart"/>
      <w:r>
        <w:t>tiesību</w:t>
      </w:r>
      <w:proofErr w:type="spellEnd"/>
      <w:r>
        <w:t xml:space="preserve"> </w:t>
      </w:r>
      <w:proofErr w:type="spellStart"/>
      <w:r>
        <w:t>normas</w:t>
      </w:r>
      <w:proofErr w:type="spellEnd"/>
      <w:r>
        <w:t xml:space="preserve"> par </w:t>
      </w:r>
      <w:proofErr w:type="spellStart"/>
      <w:r>
        <w:t>darījuma</w:t>
      </w:r>
      <w:proofErr w:type="spellEnd"/>
      <w:r>
        <w:t xml:space="preserve"> </w:t>
      </w:r>
      <w:proofErr w:type="spellStart"/>
      <w:r>
        <w:t>dalībniekiem</w:t>
      </w:r>
      <w:proofErr w:type="spellEnd"/>
      <w:r>
        <w:t xml:space="preserve"> </w:t>
      </w:r>
      <w:proofErr w:type="spellStart"/>
      <w:r>
        <w:t>ir</w:t>
      </w:r>
      <w:proofErr w:type="spellEnd"/>
      <w:r>
        <w:t xml:space="preserve"> </w:t>
      </w:r>
      <w:proofErr w:type="spellStart"/>
      <w:r>
        <w:t>ietvertas</w:t>
      </w:r>
      <w:proofErr w:type="spellEnd"/>
      <w:r>
        <w:t xml:space="preserve"> CL </w:t>
      </w:r>
      <w:proofErr w:type="spellStart"/>
      <w:r>
        <w:t>saistību</w:t>
      </w:r>
      <w:proofErr w:type="spellEnd"/>
      <w:r>
        <w:t xml:space="preserve"> </w:t>
      </w:r>
      <w:proofErr w:type="spellStart"/>
      <w:r>
        <w:t>tiesību</w:t>
      </w:r>
      <w:proofErr w:type="spellEnd"/>
      <w:r>
        <w:t xml:space="preserve"> </w:t>
      </w:r>
      <w:proofErr w:type="spellStart"/>
      <w:r>
        <w:t>daļā</w:t>
      </w:r>
      <w:proofErr w:type="spellEnd"/>
      <w:r>
        <w:t xml:space="preserve"> (</w:t>
      </w:r>
      <w:proofErr w:type="spellStart"/>
      <w:r>
        <w:t>skat</w:t>
      </w:r>
      <w:proofErr w:type="spellEnd"/>
      <w:r>
        <w:t xml:space="preserve">. CL 1405.-1411.p.). </w:t>
      </w:r>
      <w:proofErr w:type="spellStart"/>
      <w:r>
        <w:t>Šādu</w:t>
      </w:r>
      <w:proofErr w:type="spellEnd"/>
      <w:r>
        <w:t xml:space="preserve"> </w:t>
      </w:r>
      <w:proofErr w:type="spellStart"/>
      <w:r>
        <w:t>statūtu</w:t>
      </w:r>
      <w:proofErr w:type="spellEnd"/>
      <w:r>
        <w:t xml:space="preserve"> (</w:t>
      </w:r>
      <w:proofErr w:type="spellStart"/>
      <w:r>
        <w:t>jeb</w:t>
      </w:r>
      <w:proofErr w:type="spellEnd"/>
      <w:r>
        <w:t xml:space="preserve"> </w:t>
      </w:r>
      <w:proofErr w:type="spellStart"/>
      <w:r>
        <w:t>piemērojamo</w:t>
      </w:r>
      <w:proofErr w:type="spellEnd"/>
      <w:r>
        <w:t xml:space="preserve"> </w:t>
      </w:r>
      <w:proofErr w:type="spellStart"/>
      <w:r>
        <w:t>likumu</w:t>
      </w:r>
      <w:proofErr w:type="spellEnd"/>
      <w:r>
        <w:t>) „</w:t>
      </w:r>
      <w:proofErr w:type="spellStart"/>
      <w:r>
        <w:t>sadrumstalotību</w:t>
      </w:r>
      <w:proofErr w:type="spellEnd"/>
      <w:r>
        <w:t xml:space="preserve">“ SPT </w:t>
      </w:r>
      <w:proofErr w:type="spellStart"/>
      <w:r w:rsidRPr="00F94FA3">
        <w:t>dēvē</w:t>
      </w:r>
      <w:proofErr w:type="spellEnd"/>
      <w:r w:rsidRPr="00F94FA3">
        <w:t xml:space="preserve"> par </w:t>
      </w:r>
      <w:proofErr w:type="spellStart"/>
      <w:r w:rsidRPr="00F94FA3">
        <w:t>daļējo</w:t>
      </w:r>
      <w:proofErr w:type="spellEnd"/>
      <w:r w:rsidRPr="00F94FA3">
        <w:t xml:space="preserve"> </w:t>
      </w:r>
      <w:proofErr w:type="spellStart"/>
      <w:r w:rsidRPr="00F94FA3">
        <w:t>jautājumu</w:t>
      </w:r>
      <w:proofErr w:type="spellEnd"/>
      <w:r w:rsidRPr="00F94FA3">
        <w:t xml:space="preserve"> (</w:t>
      </w:r>
      <w:proofErr w:type="spellStart"/>
      <w:r w:rsidRPr="00F94FA3">
        <w:t>vācu</w:t>
      </w:r>
      <w:proofErr w:type="spellEnd"/>
      <w:r w:rsidRPr="00F94FA3">
        <w:t xml:space="preserve"> </w:t>
      </w:r>
      <w:proofErr w:type="spellStart"/>
      <w:r w:rsidRPr="00F94FA3">
        <w:t>val</w:t>
      </w:r>
      <w:proofErr w:type="spellEnd"/>
      <w:r w:rsidRPr="00F94FA3">
        <w:t xml:space="preserve">. </w:t>
      </w:r>
      <w:r w:rsidRPr="00F94FA3">
        <w:rPr>
          <w:i/>
        </w:rPr>
        <w:t>Teilfrage</w:t>
      </w:r>
      <w:r w:rsidRPr="00F94FA3">
        <w:t xml:space="preserve">) </w:t>
      </w:r>
      <w:proofErr w:type="spellStart"/>
      <w:r w:rsidRPr="00F94FA3">
        <w:t>jeb</w:t>
      </w:r>
      <w:proofErr w:type="spellEnd"/>
      <w:r w:rsidRPr="00F94FA3">
        <w:t xml:space="preserve"> </w:t>
      </w:r>
      <w:proofErr w:type="spellStart"/>
      <w:r w:rsidRPr="00F94FA3">
        <w:rPr>
          <w:i/>
        </w:rPr>
        <w:t>d</w:t>
      </w:r>
      <w:r w:rsidRPr="000C7C76">
        <w:rPr>
          <w:i/>
        </w:rPr>
        <w:t>epeçage</w:t>
      </w:r>
      <w:proofErr w:type="spellEnd"/>
      <w:r w:rsidRPr="000C7C76">
        <w:rPr>
          <w:i/>
        </w:rPr>
        <w:t xml:space="preserve"> </w:t>
      </w:r>
      <w:r w:rsidRPr="000C7C76">
        <w:t>(</w:t>
      </w:r>
      <w:proofErr w:type="spellStart"/>
      <w:r w:rsidRPr="000C7C76">
        <w:t>no</w:t>
      </w:r>
      <w:proofErr w:type="spellEnd"/>
      <w:r w:rsidRPr="000C7C76">
        <w:t xml:space="preserve"> </w:t>
      </w:r>
      <w:proofErr w:type="spellStart"/>
      <w:r w:rsidRPr="000C7C76">
        <w:t>franču</w:t>
      </w:r>
      <w:proofErr w:type="spellEnd"/>
      <w:r w:rsidRPr="000C7C76">
        <w:t xml:space="preserve"> </w:t>
      </w:r>
      <w:proofErr w:type="spellStart"/>
      <w:r w:rsidRPr="000C7C76">
        <w:t>val</w:t>
      </w:r>
      <w:proofErr w:type="spellEnd"/>
      <w:r w:rsidRPr="000C7C76">
        <w:t>.).</w:t>
      </w:r>
      <w:r w:rsidRPr="00F94FA3">
        <w:rPr>
          <w:rStyle w:val="FootnoteReference"/>
          <w:lang w:val="fr-FR"/>
        </w:rPr>
        <w:footnoteReference w:id="3"/>
      </w:r>
      <w:r w:rsidRPr="000C7C76">
        <w:t xml:space="preserve"> </w:t>
      </w:r>
      <w:proofErr w:type="spellStart"/>
      <w:r w:rsidRPr="000C7C76">
        <w:t>Minētā</w:t>
      </w:r>
      <w:proofErr w:type="spellEnd"/>
      <w:r w:rsidRPr="000C7C76">
        <w:t xml:space="preserve"> </w:t>
      </w:r>
      <w:proofErr w:type="spellStart"/>
      <w:r w:rsidRPr="000C7C76">
        <w:t>īpatnība</w:t>
      </w:r>
      <w:proofErr w:type="spellEnd"/>
      <w:r w:rsidRPr="000C7C76">
        <w:t xml:space="preserve"> </w:t>
      </w:r>
      <w:proofErr w:type="spellStart"/>
      <w:r w:rsidRPr="000C7C76">
        <w:t>ir</w:t>
      </w:r>
      <w:proofErr w:type="spellEnd"/>
      <w:r w:rsidRPr="000C7C76">
        <w:t xml:space="preserve"> </w:t>
      </w:r>
      <w:proofErr w:type="spellStart"/>
      <w:r w:rsidRPr="000C7C76">
        <w:t>labi</w:t>
      </w:r>
      <w:proofErr w:type="spellEnd"/>
      <w:r w:rsidRPr="000C7C76">
        <w:t xml:space="preserve"> </w:t>
      </w:r>
      <w:proofErr w:type="spellStart"/>
      <w:r w:rsidRPr="000C7C76">
        <w:t>pazīstama</w:t>
      </w:r>
      <w:proofErr w:type="spellEnd"/>
      <w:r w:rsidRPr="000C7C76">
        <w:t xml:space="preserve"> SPT, </w:t>
      </w:r>
      <w:proofErr w:type="spellStart"/>
      <w:r w:rsidRPr="000C7C76">
        <w:t>kur</w:t>
      </w:r>
      <w:proofErr w:type="spellEnd"/>
      <w:r w:rsidRPr="000C7C76">
        <w:t xml:space="preserve"> </w:t>
      </w:r>
      <w:proofErr w:type="spellStart"/>
      <w:r w:rsidRPr="000C7C76">
        <w:t>vienas</w:t>
      </w:r>
      <w:proofErr w:type="spellEnd"/>
      <w:r w:rsidRPr="000C7C76">
        <w:t xml:space="preserve"> </w:t>
      </w:r>
      <w:proofErr w:type="spellStart"/>
      <w:r w:rsidRPr="000C7C76">
        <w:t>un</w:t>
      </w:r>
      <w:proofErr w:type="spellEnd"/>
      <w:r w:rsidRPr="000C7C76">
        <w:t xml:space="preserve"> </w:t>
      </w:r>
      <w:proofErr w:type="spellStart"/>
      <w:r w:rsidRPr="000C7C76">
        <w:t>tās</w:t>
      </w:r>
      <w:proofErr w:type="spellEnd"/>
      <w:r w:rsidRPr="000C7C76">
        <w:t xml:space="preserve"> </w:t>
      </w:r>
      <w:proofErr w:type="spellStart"/>
      <w:r w:rsidRPr="000C7C76">
        <w:t>pašas</w:t>
      </w:r>
      <w:proofErr w:type="spellEnd"/>
      <w:r w:rsidRPr="000C7C76">
        <w:t xml:space="preserve"> </w:t>
      </w:r>
      <w:proofErr w:type="spellStart"/>
      <w:r w:rsidRPr="000C7C76">
        <w:t>tiesiskās</w:t>
      </w:r>
      <w:proofErr w:type="spellEnd"/>
      <w:r w:rsidRPr="000C7C76">
        <w:t xml:space="preserve"> </w:t>
      </w:r>
      <w:proofErr w:type="spellStart"/>
      <w:r w:rsidRPr="000C7C76">
        <w:t>situācijas</w:t>
      </w:r>
      <w:proofErr w:type="spellEnd"/>
      <w:r w:rsidRPr="000C7C76">
        <w:t xml:space="preserve"> </w:t>
      </w:r>
      <w:proofErr w:type="spellStart"/>
      <w:r w:rsidRPr="000C7C76">
        <w:t>dažādi</w:t>
      </w:r>
      <w:proofErr w:type="spellEnd"/>
      <w:r w:rsidRPr="000C7C76">
        <w:t xml:space="preserve"> </w:t>
      </w:r>
      <w:proofErr w:type="spellStart"/>
      <w:r w:rsidRPr="000C7C76">
        <w:t>aspekti</w:t>
      </w:r>
      <w:proofErr w:type="spellEnd"/>
      <w:r w:rsidRPr="000C7C76">
        <w:t xml:space="preserve"> (</w:t>
      </w:r>
      <w:proofErr w:type="spellStart"/>
      <w:r w:rsidRPr="000C7C76">
        <w:t>rīcībspēja</w:t>
      </w:r>
      <w:proofErr w:type="spellEnd"/>
      <w:r w:rsidRPr="000C7C76">
        <w:t xml:space="preserve">, </w:t>
      </w:r>
      <w:proofErr w:type="spellStart"/>
      <w:r w:rsidRPr="000C7C76">
        <w:t>darījuma</w:t>
      </w:r>
      <w:proofErr w:type="spellEnd"/>
      <w:r w:rsidRPr="000C7C76">
        <w:t xml:space="preserve"> </w:t>
      </w:r>
      <w:proofErr w:type="spellStart"/>
      <w:r w:rsidRPr="000C7C76">
        <w:t>saturs</w:t>
      </w:r>
      <w:proofErr w:type="spellEnd"/>
      <w:r w:rsidRPr="000C7C76">
        <w:t xml:space="preserve">, </w:t>
      </w:r>
      <w:proofErr w:type="spellStart"/>
      <w:r w:rsidRPr="000C7C76">
        <w:t>darījuma</w:t>
      </w:r>
      <w:proofErr w:type="spellEnd"/>
      <w:r w:rsidRPr="000C7C76">
        <w:t xml:space="preserve"> forma) </w:t>
      </w:r>
      <w:proofErr w:type="spellStart"/>
      <w:r w:rsidRPr="000C7C76">
        <w:t>tiek</w:t>
      </w:r>
      <w:proofErr w:type="spellEnd"/>
      <w:r w:rsidRPr="000C7C76">
        <w:t xml:space="preserve"> </w:t>
      </w:r>
      <w:proofErr w:type="spellStart"/>
      <w:r w:rsidRPr="000C7C76">
        <w:t>pakļauti</w:t>
      </w:r>
      <w:proofErr w:type="spellEnd"/>
      <w:r w:rsidRPr="000C7C76">
        <w:t xml:space="preserve"> </w:t>
      </w:r>
      <w:proofErr w:type="spellStart"/>
      <w:r w:rsidRPr="000C7C76">
        <w:t>dažādiem</w:t>
      </w:r>
      <w:proofErr w:type="spellEnd"/>
      <w:r w:rsidRPr="000C7C76">
        <w:t xml:space="preserve"> </w:t>
      </w:r>
      <w:proofErr w:type="spellStart"/>
      <w:r w:rsidRPr="000C7C76">
        <w:t>atsevišķiem</w:t>
      </w:r>
      <w:proofErr w:type="spellEnd"/>
      <w:r w:rsidRPr="000C7C76">
        <w:t xml:space="preserve"> </w:t>
      </w:r>
      <w:proofErr w:type="spellStart"/>
      <w:r w:rsidRPr="000C7C76">
        <w:t>statūtiem</w:t>
      </w:r>
      <w:proofErr w:type="spellEnd"/>
      <w:r w:rsidRPr="000C7C76">
        <w:t xml:space="preserve"> (</w:t>
      </w:r>
      <w:proofErr w:type="spellStart"/>
      <w:r w:rsidRPr="000C7C76">
        <w:t>jeb</w:t>
      </w:r>
      <w:proofErr w:type="spellEnd"/>
      <w:r w:rsidRPr="000C7C76">
        <w:t xml:space="preserve"> </w:t>
      </w:r>
      <w:proofErr w:type="spellStart"/>
      <w:r w:rsidRPr="000C7C76">
        <w:t>piemērojamiem</w:t>
      </w:r>
      <w:proofErr w:type="spellEnd"/>
      <w:r w:rsidRPr="000C7C76">
        <w:t xml:space="preserve"> </w:t>
      </w:r>
      <w:proofErr w:type="spellStart"/>
      <w:r w:rsidRPr="000C7C76">
        <w:t>likumiem</w:t>
      </w:r>
      <w:proofErr w:type="spellEnd"/>
      <w:r w:rsidRPr="000C7C76">
        <w:t>).</w:t>
      </w:r>
      <w:r>
        <w:rPr>
          <w:rStyle w:val="FootnoteReference"/>
          <w:lang w:val="fr-FR"/>
        </w:rPr>
        <w:footnoteReference w:id="4"/>
      </w:r>
      <w:r w:rsidRPr="000C7C76">
        <w:t xml:space="preserve"> </w:t>
      </w:r>
      <w:proofErr w:type="spellStart"/>
      <w:r>
        <w:rPr>
          <w:lang w:val="fr-FR"/>
        </w:rPr>
        <w:t>Šāda</w:t>
      </w:r>
      <w:proofErr w:type="spellEnd"/>
      <w:r>
        <w:rPr>
          <w:lang w:val="fr-FR"/>
        </w:rPr>
        <w:t xml:space="preserve"> </w:t>
      </w:r>
      <w:proofErr w:type="spellStart"/>
      <w:r>
        <w:rPr>
          <w:lang w:val="fr-FR"/>
        </w:rPr>
        <w:t>īpatnība</w:t>
      </w:r>
      <w:proofErr w:type="spellEnd"/>
      <w:r>
        <w:rPr>
          <w:lang w:val="fr-FR"/>
        </w:rPr>
        <w:t xml:space="preserve"> </w:t>
      </w:r>
      <w:proofErr w:type="spellStart"/>
      <w:r>
        <w:rPr>
          <w:lang w:val="fr-FR"/>
        </w:rPr>
        <w:t>nav</w:t>
      </w:r>
      <w:proofErr w:type="spellEnd"/>
      <w:r>
        <w:rPr>
          <w:lang w:val="fr-FR"/>
        </w:rPr>
        <w:t xml:space="preserve"> </w:t>
      </w:r>
      <w:proofErr w:type="spellStart"/>
      <w:r>
        <w:rPr>
          <w:lang w:val="fr-FR"/>
        </w:rPr>
        <w:t>pazīstama</w:t>
      </w:r>
      <w:proofErr w:type="spellEnd"/>
      <w:r>
        <w:rPr>
          <w:lang w:val="fr-FR"/>
        </w:rPr>
        <w:t xml:space="preserve"> </w:t>
      </w:r>
      <w:proofErr w:type="spellStart"/>
      <w:r>
        <w:rPr>
          <w:lang w:val="fr-FR"/>
        </w:rPr>
        <w:t>nacionālajās</w:t>
      </w:r>
      <w:proofErr w:type="spellEnd"/>
      <w:r>
        <w:rPr>
          <w:lang w:val="fr-FR"/>
        </w:rPr>
        <w:t xml:space="preserve"> </w:t>
      </w:r>
      <w:proofErr w:type="spellStart"/>
      <w:r>
        <w:rPr>
          <w:lang w:val="fr-FR"/>
        </w:rPr>
        <w:t>materiālajās</w:t>
      </w:r>
      <w:proofErr w:type="spellEnd"/>
      <w:r>
        <w:rPr>
          <w:lang w:val="fr-FR"/>
        </w:rPr>
        <w:t xml:space="preserve"> </w:t>
      </w:r>
      <w:proofErr w:type="spellStart"/>
      <w:r>
        <w:rPr>
          <w:lang w:val="fr-FR"/>
        </w:rPr>
        <w:t>privāttiesībās</w:t>
      </w:r>
      <w:proofErr w:type="spellEnd"/>
      <w:r>
        <w:rPr>
          <w:lang w:val="fr-FR"/>
        </w:rPr>
        <w:t>.</w:t>
      </w:r>
    </w:p>
    <w:p w14:paraId="47ECD168" w14:textId="77777777" w:rsidR="00114953" w:rsidRDefault="00114953" w:rsidP="00114953">
      <w:pPr>
        <w:pStyle w:val="tv213"/>
        <w:ind w:firstLine="708"/>
        <w:jc w:val="both"/>
        <w:rPr>
          <w:lang w:val="fr-FR"/>
        </w:rPr>
      </w:pPr>
      <w:proofErr w:type="spellStart"/>
      <w:r w:rsidRPr="000C7C76">
        <w:t>Izņēmums</w:t>
      </w:r>
      <w:proofErr w:type="spellEnd"/>
      <w:r w:rsidRPr="000C7C76">
        <w:t xml:space="preserve"> </w:t>
      </w:r>
      <w:proofErr w:type="spellStart"/>
      <w:r w:rsidRPr="000C7C76">
        <w:t>no</w:t>
      </w:r>
      <w:proofErr w:type="spellEnd"/>
      <w:r w:rsidRPr="000C7C76">
        <w:t xml:space="preserve"> </w:t>
      </w:r>
      <w:r w:rsidRPr="00351B16">
        <w:rPr>
          <w:lang w:val="lv-LV"/>
        </w:rPr>
        <w:t>augstāk minētā</w:t>
      </w:r>
      <w:r w:rsidRPr="000C7C76">
        <w:t xml:space="preserve"> </w:t>
      </w:r>
      <w:proofErr w:type="spellStart"/>
      <w:r w:rsidRPr="000C7C76">
        <w:t>ir</w:t>
      </w:r>
      <w:proofErr w:type="spellEnd"/>
      <w:r w:rsidRPr="000C7C76">
        <w:t xml:space="preserve"> anglo-</w:t>
      </w:r>
      <w:proofErr w:type="spellStart"/>
      <w:r w:rsidRPr="000C7C76">
        <w:t>sakšu</w:t>
      </w:r>
      <w:proofErr w:type="spellEnd"/>
      <w:r w:rsidRPr="000C7C76">
        <w:t xml:space="preserve"> </w:t>
      </w:r>
      <w:proofErr w:type="spellStart"/>
      <w:r w:rsidRPr="000C7C76">
        <w:t>jeb</w:t>
      </w:r>
      <w:proofErr w:type="spellEnd"/>
      <w:r w:rsidRPr="000C7C76">
        <w:t xml:space="preserve"> </w:t>
      </w:r>
      <w:r w:rsidRPr="000C7C76">
        <w:rPr>
          <w:i/>
        </w:rPr>
        <w:t>Common Law</w:t>
      </w:r>
      <w:r w:rsidRPr="000C7C76">
        <w:t xml:space="preserve"> </w:t>
      </w:r>
      <w:proofErr w:type="spellStart"/>
      <w:r w:rsidRPr="000C7C76">
        <w:t>tiesību</w:t>
      </w:r>
      <w:proofErr w:type="spellEnd"/>
      <w:r w:rsidRPr="000C7C76">
        <w:t xml:space="preserve"> </w:t>
      </w:r>
      <w:proofErr w:type="spellStart"/>
      <w:r w:rsidRPr="000C7C76">
        <w:t>sistēma</w:t>
      </w:r>
      <w:proofErr w:type="spellEnd"/>
      <w:r w:rsidRPr="000C7C76">
        <w:t xml:space="preserve">, </w:t>
      </w:r>
      <w:proofErr w:type="spellStart"/>
      <w:r w:rsidRPr="000C7C76">
        <w:t>kurā</w:t>
      </w:r>
      <w:proofErr w:type="spellEnd"/>
      <w:r w:rsidRPr="000C7C76">
        <w:t xml:space="preserve"> </w:t>
      </w:r>
      <w:proofErr w:type="spellStart"/>
      <w:r w:rsidRPr="000C7C76">
        <w:t>rīcībspējas</w:t>
      </w:r>
      <w:proofErr w:type="spellEnd"/>
      <w:r w:rsidRPr="000C7C76">
        <w:t xml:space="preserve"> (</w:t>
      </w:r>
      <w:proofErr w:type="spellStart"/>
      <w:r w:rsidRPr="000C7C76">
        <w:t>angļu</w:t>
      </w:r>
      <w:proofErr w:type="spellEnd"/>
      <w:r w:rsidRPr="000C7C76">
        <w:t xml:space="preserve"> </w:t>
      </w:r>
      <w:proofErr w:type="spellStart"/>
      <w:r w:rsidRPr="000C7C76">
        <w:t>val</w:t>
      </w:r>
      <w:proofErr w:type="spellEnd"/>
      <w:r w:rsidRPr="000C7C76">
        <w:t xml:space="preserve">. – </w:t>
      </w:r>
      <w:proofErr w:type="spellStart"/>
      <w:r w:rsidRPr="000C7C76">
        <w:rPr>
          <w:i/>
        </w:rPr>
        <w:t>capacity</w:t>
      </w:r>
      <w:proofErr w:type="spellEnd"/>
      <w:r w:rsidRPr="000C7C76">
        <w:t xml:space="preserve">) </w:t>
      </w:r>
      <w:proofErr w:type="spellStart"/>
      <w:r w:rsidRPr="000C7C76">
        <w:t>jautājumi</w:t>
      </w:r>
      <w:proofErr w:type="spellEnd"/>
      <w:r w:rsidRPr="000C7C76">
        <w:t xml:space="preserve"> </w:t>
      </w:r>
      <w:proofErr w:type="spellStart"/>
      <w:r w:rsidRPr="000C7C76">
        <w:t>attiecībā</w:t>
      </w:r>
      <w:proofErr w:type="spellEnd"/>
      <w:r w:rsidRPr="000C7C76">
        <w:t xml:space="preserve"> </w:t>
      </w:r>
      <w:proofErr w:type="spellStart"/>
      <w:r w:rsidRPr="000C7C76">
        <w:t>uz</w:t>
      </w:r>
      <w:proofErr w:type="spellEnd"/>
      <w:r w:rsidRPr="000C7C76">
        <w:t xml:space="preserve"> </w:t>
      </w:r>
      <w:proofErr w:type="spellStart"/>
      <w:r w:rsidRPr="000C7C76">
        <w:t>spēju</w:t>
      </w:r>
      <w:proofErr w:type="spellEnd"/>
      <w:r w:rsidRPr="000C7C76">
        <w:t xml:space="preserve"> </w:t>
      </w:r>
      <w:proofErr w:type="spellStart"/>
      <w:r w:rsidRPr="000C7C76">
        <w:t>noslēgt</w:t>
      </w:r>
      <w:proofErr w:type="spellEnd"/>
      <w:r w:rsidRPr="000C7C76">
        <w:t xml:space="preserve"> </w:t>
      </w:r>
      <w:proofErr w:type="spellStart"/>
      <w:r w:rsidRPr="000C7C76">
        <w:t>līgumu</w:t>
      </w:r>
      <w:proofErr w:type="spellEnd"/>
      <w:r w:rsidRPr="000C7C76">
        <w:t xml:space="preserve"> </w:t>
      </w:r>
      <w:proofErr w:type="spellStart"/>
      <w:r w:rsidRPr="000C7C76">
        <w:t>parasti</w:t>
      </w:r>
      <w:proofErr w:type="spellEnd"/>
      <w:r w:rsidRPr="000C7C76">
        <w:t xml:space="preserve"> </w:t>
      </w:r>
      <w:proofErr w:type="spellStart"/>
      <w:r w:rsidRPr="000C7C76">
        <w:t>ietilpst</w:t>
      </w:r>
      <w:proofErr w:type="spellEnd"/>
      <w:r w:rsidRPr="000C7C76">
        <w:t xml:space="preserve"> </w:t>
      </w:r>
      <w:proofErr w:type="spellStart"/>
      <w:r w:rsidRPr="000C7C76">
        <w:t>līgumtiesību</w:t>
      </w:r>
      <w:proofErr w:type="spellEnd"/>
      <w:r w:rsidRPr="000C7C76">
        <w:t xml:space="preserve"> </w:t>
      </w:r>
      <w:proofErr w:type="spellStart"/>
      <w:r w:rsidRPr="000C7C76">
        <w:t>jomā</w:t>
      </w:r>
      <w:proofErr w:type="spellEnd"/>
      <w:r w:rsidRPr="00351B16">
        <w:rPr>
          <w:rStyle w:val="FootnoteReference"/>
          <w:lang w:val="fr-FR"/>
        </w:rPr>
        <w:footnoteReference w:id="5"/>
      </w:r>
      <w:r w:rsidRPr="000C7C76">
        <w:t xml:space="preserve"> </w:t>
      </w:r>
      <w:proofErr w:type="spellStart"/>
      <w:r w:rsidRPr="000C7C76">
        <w:t>un</w:t>
      </w:r>
      <w:proofErr w:type="spellEnd"/>
      <w:r w:rsidRPr="000C7C76">
        <w:t xml:space="preserve"> </w:t>
      </w:r>
      <w:proofErr w:type="spellStart"/>
      <w:r w:rsidRPr="000C7C76">
        <w:t>līdz</w:t>
      </w:r>
      <w:proofErr w:type="spellEnd"/>
      <w:r w:rsidRPr="000C7C76">
        <w:t xml:space="preserve"> </w:t>
      </w:r>
      <w:proofErr w:type="spellStart"/>
      <w:r w:rsidRPr="000C7C76">
        <w:t>ar</w:t>
      </w:r>
      <w:proofErr w:type="spellEnd"/>
      <w:r w:rsidRPr="000C7C76">
        <w:t xml:space="preserve"> </w:t>
      </w:r>
      <w:proofErr w:type="spellStart"/>
      <w:r w:rsidRPr="000C7C76">
        <w:t>to</w:t>
      </w:r>
      <w:proofErr w:type="spellEnd"/>
      <w:r w:rsidRPr="000C7C76">
        <w:t xml:space="preserve"> </w:t>
      </w:r>
      <w:proofErr w:type="spellStart"/>
      <w:r w:rsidRPr="000C7C76">
        <w:t>tiem</w:t>
      </w:r>
      <w:proofErr w:type="spellEnd"/>
      <w:r w:rsidRPr="000C7C76">
        <w:t xml:space="preserve"> </w:t>
      </w:r>
      <w:proofErr w:type="spellStart"/>
      <w:r w:rsidRPr="000C7C76">
        <w:t>parasti</w:t>
      </w:r>
      <w:proofErr w:type="spellEnd"/>
      <w:r w:rsidRPr="000C7C76">
        <w:t xml:space="preserve"> </w:t>
      </w:r>
      <w:proofErr w:type="spellStart"/>
      <w:r w:rsidRPr="000C7C76">
        <w:t>piemēro</w:t>
      </w:r>
      <w:proofErr w:type="spellEnd"/>
      <w:r w:rsidRPr="000C7C76">
        <w:t xml:space="preserve"> </w:t>
      </w:r>
      <w:proofErr w:type="spellStart"/>
      <w:r w:rsidRPr="000C7C76">
        <w:t>to</w:t>
      </w:r>
      <w:proofErr w:type="spellEnd"/>
      <w:r w:rsidRPr="000C7C76">
        <w:t xml:space="preserve"> </w:t>
      </w:r>
      <w:proofErr w:type="spellStart"/>
      <w:r w:rsidRPr="000C7C76">
        <w:t>pašu</w:t>
      </w:r>
      <w:proofErr w:type="spellEnd"/>
      <w:r w:rsidRPr="000C7C76">
        <w:t xml:space="preserve"> </w:t>
      </w:r>
      <w:proofErr w:type="spellStart"/>
      <w:r w:rsidRPr="000C7C76">
        <w:t>statūtu</w:t>
      </w:r>
      <w:proofErr w:type="spellEnd"/>
      <w:r w:rsidRPr="000C7C76">
        <w:t xml:space="preserve">, </w:t>
      </w:r>
      <w:proofErr w:type="spellStart"/>
      <w:r w:rsidRPr="000C7C76">
        <w:t>ko</w:t>
      </w:r>
      <w:proofErr w:type="spellEnd"/>
      <w:r w:rsidRPr="000C7C76">
        <w:t xml:space="preserve"> </w:t>
      </w:r>
      <w:proofErr w:type="spellStart"/>
      <w:r w:rsidRPr="000C7C76">
        <w:t>piemēro</w:t>
      </w:r>
      <w:proofErr w:type="spellEnd"/>
      <w:r w:rsidRPr="000C7C76">
        <w:t xml:space="preserve"> </w:t>
      </w:r>
      <w:proofErr w:type="spellStart"/>
      <w:r w:rsidRPr="000C7C76">
        <w:t>līgumam</w:t>
      </w:r>
      <w:proofErr w:type="spellEnd"/>
      <w:r w:rsidRPr="000C7C76">
        <w:t xml:space="preserve"> (</w:t>
      </w:r>
      <w:proofErr w:type="spellStart"/>
      <w:r w:rsidRPr="000C7C76">
        <w:t>lai</w:t>
      </w:r>
      <w:proofErr w:type="spellEnd"/>
      <w:r w:rsidRPr="000C7C76">
        <w:t xml:space="preserve"> </w:t>
      </w:r>
      <w:proofErr w:type="spellStart"/>
      <w:r w:rsidRPr="000C7C76">
        <w:t>gan</w:t>
      </w:r>
      <w:proofErr w:type="spellEnd"/>
      <w:r w:rsidRPr="000C7C76">
        <w:t xml:space="preserve"> </w:t>
      </w:r>
      <w:proofErr w:type="spellStart"/>
      <w:r w:rsidRPr="000C7C76">
        <w:t>var</w:t>
      </w:r>
      <w:proofErr w:type="spellEnd"/>
      <w:r w:rsidRPr="000C7C76">
        <w:t xml:space="preserve"> </w:t>
      </w:r>
      <w:proofErr w:type="spellStart"/>
      <w:r w:rsidRPr="000C7C76">
        <w:t>tikt</w:t>
      </w:r>
      <w:proofErr w:type="spellEnd"/>
      <w:r w:rsidRPr="000C7C76">
        <w:t xml:space="preserve"> </w:t>
      </w:r>
      <w:proofErr w:type="spellStart"/>
      <w:r w:rsidRPr="000C7C76">
        <w:t>piemērots</w:t>
      </w:r>
      <w:proofErr w:type="spellEnd"/>
      <w:r w:rsidRPr="000C7C76">
        <w:t xml:space="preserve"> </w:t>
      </w:r>
      <w:proofErr w:type="spellStart"/>
      <w:r w:rsidRPr="000C7C76">
        <w:t>arī</w:t>
      </w:r>
      <w:proofErr w:type="spellEnd"/>
      <w:r w:rsidRPr="000C7C76">
        <w:t xml:space="preserve"> </w:t>
      </w:r>
      <w:proofErr w:type="spellStart"/>
      <w:r w:rsidRPr="000C7C76">
        <w:rPr>
          <w:i/>
        </w:rPr>
        <w:t>lex</w:t>
      </w:r>
      <w:proofErr w:type="spellEnd"/>
      <w:r w:rsidRPr="000C7C76">
        <w:rPr>
          <w:i/>
        </w:rPr>
        <w:t xml:space="preserve"> </w:t>
      </w:r>
      <w:proofErr w:type="spellStart"/>
      <w:r w:rsidRPr="000C7C76">
        <w:rPr>
          <w:i/>
        </w:rPr>
        <w:t>personalis</w:t>
      </w:r>
      <w:proofErr w:type="spellEnd"/>
      <w:r w:rsidRPr="000C7C76">
        <w:t>).</w:t>
      </w:r>
      <w:r>
        <w:rPr>
          <w:rStyle w:val="FootnoteReference"/>
          <w:lang w:val="fr-FR"/>
        </w:rPr>
        <w:footnoteReference w:id="6"/>
      </w:r>
      <w:r w:rsidRPr="000C7C76">
        <w:t xml:space="preserve"> </w:t>
      </w:r>
      <w:proofErr w:type="spellStart"/>
      <w:r w:rsidRPr="000C7C76">
        <w:t>Attiecībā</w:t>
      </w:r>
      <w:proofErr w:type="spellEnd"/>
      <w:r w:rsidRPr="000C7C76">
        <w:t xml:space="preserve"> </w:t>
      </w:r>
      <w:proofErr w:type="spellStart"/>
      <w:r w:rsidRPr="000C7C76">
        <w:t>uz</w:t>
      </w:r>
      <w:proofErr w:type="spellEnd"/>
      <w:r w:rsidRPr="000C7C76">
        <w:t xml:space="preserve"> </w:t>
      </w:r>
      <w:proofErr w:type="spellStart"/>
      <w:r w:rsidRPr="000C7C76">
        <w:t>fiziskas</w:t>
      </w:r>
      <w:proofErr w:type="spellEnd"/>
      <w:r w:rsidRPr="000C7C76">
        <w:t xml:space="preserve"> personas </w:t>
      </w:r>
      <w:proofErr w:type="spellStart"/>
      <w:r w:rsidRPr="000C7C76">
        <w:t>rīcībspēju</w:t>
      </w:r>
      <w:proofErr w:type="spellEnd"/>
      <w:r w:rsidRPr="000C7C76">
        <w:t xml:space="preserve"> </w:t>
      </w:r>
      <w:proofErr w:type="spellStart"/>
      <w:r w:rsidRPr="000C7C76">
        <w:lastRenderedPageBreak/>
        <w:t>pilnvarojuma</w:t>
      </w:r>
      <w:proofErr w:type="spellEnd"/>
      <w:r w:rsidRPr="000C7C76">
        <w:t xml:space="preserve"> </w:t>
      </w:r>
      <w:proofErr w:type="spellStart"/>
      <w:r w:rsidRPr="000C7C76">
        <w:t>līguma</w:t>
      </w:r>
      <w:proofErr w:type="spellEnd"/>
      <w:r w:rsidRPr="000C7C76">
        <w:t xml:space="preserve"> </w:t>
      </w:r>
      <w:proofErr w:type="spellStart"/>
      <w:r w:rsidRPr="000C7C76">
        <w:t>noslēgšanā</w:t>
      </w:r>
      <w:proofErr w:type="spellEnd"/>
      <w:r w:rsidRPr="000C7C76">
        <w:t xml:space="preserve"> (</w:t>
      </w:r>
      <w:proofErr w:type="spellStart"/>
      <w:r w:rsidRPr="000C7C76">
        <w:t>un</w:t>
      </w:r>
      <w:proofErr w:type="spellEnd"/>
      <w:r w:rsidRPr="000C7C76">
        <w:t xml:space="preserve"> </w:t>
      </w:r>
      <w:proofErr w:type="spellStart"/>
      <w:r w:rsidRPr="000C7C76">
        <w:t>pilnvaras</w:t>
      </w:r>
      <w:proofErr w:type="spellEnd"/>
      <w:r w:rsidRPr="000C7C76">
        <w:t xml:space="preserve"> </w:t>
      </w:r>
      <w:proofErr w:type="spellStart"/>
      <w:r w:rsidRPr="000C7C76">
        <w:t>izdošanā</w:t>
      </w:r>
      <w:proofErr w:type="spellEnd"/>
      <w:r w:rsidRPr="000C7C76">
        <w:t xml:space="preserve">) </w:t>
      </w:r>
      <w:r w:rsidRPr="000C7C76">
        <w:rPr>
          <w:i/>
        </w:rPr>
        <w:t>Common Law</w:t>
      </w:r>
      <w:r w:rsidRPr="000C7C76">
        <w:t xml:space="preserve"> </w:t>
      </w:r>
      <w:proofErr w:type="spellStart"/>
      <w:r w:rsidRPr="000C7C76">
        <w:t>tiesību</w:t>
      </w:r>
      <w:proofErr w:type="spellEnd"/>
      <w:r w:rsidRPr="000C7C76">
        <w:t xml:space="preserve"> </w:t>
      </w:r>
      <w:proofErr w:type="spellStart"/>
      <w:r w:rsidRPr="000C7C76">
        <w:t>sistēmā</w:t>
      </w:r>
      <w:proofErr w:type="spellEnd"/>
      <w:r w:rsidRPr="000C7C76">
        <w:t xml:space="preserve"> </w:t>
      </w:r>
      <w:proofErr w:type="spellStart"/>
      <w:r w:rsidRPr="000C7C76">
        <w:t>vienotas</w:t>
      </w:r>
      <w:proofErr w:type="spellEnd"/>
      <w:r w:rsidRPr="000C7C76">
        <w:t xml:space="preserve"> </w:t>
      </w:r>
      <w:proofErr w:type="spellStart"/>
      <w:r w:rsidRPr="000C7C76">
        <w:t>kolīziju</w:t>
      </w:r>
      <w:proofErr w:type="spellEnd"/>
      <w:r w:rsidRPr="000C7C76">
        <w:t xml:space="preserve"> </w:t>
      </w:r>
      <w:proofErr w:type="spellStart"/>
      <w:r w:rsidRPr="000C7C76">
        <w:t>tiesību</w:t>
      </w:r>
      <w:proofErr w:type="spellEnd"/>
      <w:r w:rsidRPr="000C7C76">
        <w:t xml:space="preserve"> </w:t>
      </w:r>
      <w:proofErr w:type="spellStart"/>
      <w:r w:rsidRPr="000C7C76">
        <w:t>pieejas</w:t>
      </w:r>
      <w:proofErr w:type="spellEnd"/>
      <w:r w:rsidRPr="000C7C76">
        <w:t xml:space="preserve"> </w:t>
      </w:r>
      <w:proofErr w:type="spellStart"/>
      <w:r w:rsidRPr="000C7C76">
        <w:t>nav</w:t>
      </w:r>
      <w:proofErr w:type="spellEnd"/>
      <w:r w:rsidRPr="000C7C76">
        <w:t xml:space="preserve">. </w:t>
      </w:r>
      <w:proofErr w:type="spellStart"/>
      <w:r w:rsidRPr="00BF3A72">
        <w:rPr>
          <w:lang w:val="fr-FR"/>
        </w:rPr>
        <w:t>Taču</w:t>
      </w:r>
      <w:proofErr w:type="spellEnd"/>
      <w:r w:rsidRPr="00BF3A72">
        <w:rPr>
          <w:lang w:val="fr-FR"/>
        </w:rPr>
        <w:t xml:space="preserve"> </w:t>
      </w:r>
      <w:proofErr w:type="spellStart"/>
      <w:r w:rsidRPr="00BF3A72">
        <w:rPr>
          <w:lang w:val="fr-FR"/>
        </w:rPr>
        <w:t>ārvalstu</w:t>
      </w:r>
      <w:proofErr w:type="spellEnd"/>
      <w:r w:rsidRPr="00BF3A72">
        <w:rPr>
          <w:lang w:val="fr-FR"/>
        </w:rPr>
        <w:t xml:space="preserve"> </w:t>
      </w:r>
      <w:proofErr w:type="spellStart"/>
      <w:r w:rsidRPr="00BF3A72">
        <w:rPr>
          <w:lang w:val="fr-FR"/>
        </w:rPr>
        <w:t>juridiskajā</w:t>
      </w:r>
      <w:proofErr w:type="spellEnd"/>
      <w:r w:rsidRPr="00BF3A72">
        <w:rPr>
          <w:lang w:val="fr-FR"/>
        </w:rPr>
        <w:t xml:space="preserve"> </w:t>
      </w:r>
      <w:proofErr w:type="spellStart"/>
      <w:r w:rsidRPr="00BF3A72">
        <w:rPr>
          <w:lang w:val="fr-FR"/>
        </w:rPr>
        <w:t>literatūrā</w:t>
      </w:r>
      <w:proofErr w:type="spellEnd"/>
      <w:r w:rsidRPr="00BF3A72">
        <w:rPr>
          <w:lang w:val="fr-FR"/>
        </w:rPr>
        <w:t xml:space="preserve"> </w:t>
      </w:r>
      <w:proofErr w:type="spellStart"/>
      <w:r w:rsidRPr="00BF3A72">
        <w:rPr>
          <w:lang w:val="fr-FR"/>
        </w:rPr>
        <w:t>attiecībā</w:t>
      </w:r>
      <w:proofErr w:type="spellEnd"/>
      <w:r w:rsidRPr="00BF3A72">
        <w:rPr>
          <w:lang w:val="fr-FR"/>
        </w:rPr>
        <w:t xml:space="preserve"> </w:t>
      </w:r>
      <w:proofErr w:type="spellStart"/>
      <w:r w:rsidRPr="00BF3A72">
        <w:rPr>
          <w:lang w:val="fr-FR"/>
        </w:rPr>
        <w:t>uz</w:t>
      </w:r>
      <w:proofErr w:type="spellEnd"/>
      <w:r w:rsidRPr="00BF3A72">
        <w:rPr>
          <w:lang w:val="fr-FR"/>
        </w:rPr>
        <w:t xml:space="preserve"> </w:t>
      </w:r>
      <w:proofErr w:type="spellStart"/>
      <w:r w:rsidRPr="00BF3A72">
        <w:rPr>
          <w:lang w:val="fr-FR"/>
        </w:rPr>
        <w:t>situāciju</w:t>
      </w:r>
      <w:proofErr w:type="spellEnd"/>
      <w:r w:rsidRPr="00BF3A72">
        <w:rPr>
          <w:lang w:val="fr-FR"/>
        </w:rPr>
        <w:t xml:space="preserve"> </w:t>
      </w:r>
      <w:proofErr w:type="spellStart"/>
      <w:r w:rsidRPr="00BF3A72">
        <w:rPr>
          <w:lang w:val="fr-FR"/>
        </w:rPr>
        <w:t>Anglijā</w:t>
      </w:r>
      <w:proofErr w:type="spellEnd"/>
      <w:r w:rsidRPr="00BF3A72">
        <w:rPr>
          <w:lang w:val="fr-FR"/>
        </w:rPr>
        <w:t xml:space="preserve"> </w:t>
      </w:r>
      <w:proofErr w:type="spellStart"/>
      <w:r w:rsidRPr="00BF3A72">
        <w:rPr>
          <w:lang w:val="fr-FR"/>
        </w:rPr>
        <w:t>tiek</w:t>
      </w:r>
      <w:proofErr w:type="spellEnd"/>
      <w:r w:rsidRPr="00BF3A72">
        <w:rPr>
          <w:lang w:val="fr-FR"/>
        </w:rPr>
        <w:t xml:space="preserve"> </w:t>
      </w:r>
      <w:proofErr w:type="spellStart"/>
      <w:r w:rsidRPr="00BF3A72">
        <w:rPr>
          <w:lang w:val="fr-FR"/>
        </w:rPr>
        <w:t>norādīts</w:t>
      </w:r>
      <w:proofErr w:type="spellEnd"/>
      <w:r w:rsidRPr="00BF3A72">
        <w:rPr>
          <w:lang w:val="fr-FR"/>
        </w:rPr>
        <w:t xml:space="preserve">, ka </w:t>
      </w:r>
      <w:proofErr w:type="spellStart"/>
      <w:r w:rsidRPr="00BF3A72">
        <w:rPr>
          <w:lang w:val="fr-FR"/>
        </w:rPr>
        <w:t>pilnvaras</w:t>
      </w:r>
      <w:proofErr w:type="spellEnd"/>
      <w:r w:rsidRPr="00BF3A72">
        <w:rPr>
          <w:lang w:val="fr-FR"/>
        </w:rPr>
        <w:t xml:space="preserve"> </w:t>
      </w:r>
      <w:proofErr w:type="spellStart"/>
      <w:r w:rsidRPr="00BF3A72">
        <w:rPr>
          <w:lang w:val="fr-FR"/>
        </w:rPr>
        <w:t>devēja</w:t>
      </w:r>
      <w:proofErr w:type="spellEnd"/>
      <w:r w:rsidRPr="00BF3A72">
        <w:rPr>
          <w:lang w:val="fr-FR"/>
        </w:rPr>
        <w:t xml:space="preserve"> un </w:t>
      </w:r>
      <w:proofErr w:type="spellStart"/>
      <w:r w:rsidRPr="00BF3A72">
        <w:rPr>
          <w:lang w:val="fr-FR"/>
        </w:rPr>
        <w:t>pilnvarnieka</w:t>
      </w:r>
      <w:proofErr w:type="spellEnd"/>
      <w:r w:rsidRPr="00BF3A72">
        <w:rPr>
          <w:lang w:val="fr-FR"/>
        </w:rPr>
        <w:t xml:space="preserve"> </w:t>
      </w:r>
      <w:proofErr w:type="spellStart"/>
      <w:r w:rsidRPr="00BF3A72">
        <w:rPr>
          <w:lang w:val="fr-FR"/>
        </w:rPr>
        <w:t>tiesībspēja</w:t>
      </w:r>
      <w:proofErr w:type="spellEnd"/>
      <w:r w:rsidRPr="00BF3A72">
        <w:rPr>
          <w:lang w:val="fr-FR"/>
        </w:rPr>
        <w:t xml:space="preserve"> un </w:t>
      </w:r>
      <w:proofErr w:type="spellStart"/>
      <w:r w:rsidRPr="00BF3A72">
        <w:rPr>
          <w:lang w:val="fr-FR"/>
        </w:rPr>
        <w:t>rīcībspēja</w:t>
      </w:r>
      <w:proofErr w:type="spellEnd"/>
      <w:r w:rsidRPr="00BF3A72">
        <w:rPr>
          <w:lang w:val="fr-FR"/>
        </w:rPr>
        <w:t xml:space="preserve"> </w:t>
      </w:r>
      <w:proofErr w:type="spellStart"/>
      <w:r w:rsidRPr="00BF3A72">
        <w:rPr>
          <w:lang w:val="fr-FR"/>
        </w:rPr>
        <w:t>slēgt</w:t>
      </w:r>
      <w:proofErr w:type="spellEnd"/>
      <w:r w:rsidRPr="00BF3A72">
        <w:rPr>
          <w:lang w:val="fr-FR"/>
        </w:rPr>
        <w:t xml:space="preserve"> </w:t>
      </w:r>
      <w:proofErr w:type="spellStart"/>
      <w:r w:rsidRPr="00BF3A72">
        <w:rPr>
          <w:lang w:val="fr-FR"/>
        </w:rPr>
        <w:t>pilnvarojuma</w:t>
      </w:r>
      <w:proofErr w:type="spellEnd"/>
      <w:r w:rsidRPr="00BF3A72">
        <w:rPr>
          <w:lang w:val="fr-FR"/>
        </w:rPr>
        <w:t xml:space="preserve"> </w:t>
      </w:r>
      <w:proofErr w:type="spellStart"/>
      <w:r w:rsidRPr="00BF3A72">
        <w:rPr>
          <w:lang w:val="fr-FR"/>
        </w:rPr>
        <w:t>līgumu</w:t>
      </w:r>
      <w:proofErr w:type="spellEnd"/>
      <w:r w:rsidRPr="00BF3A72">
        <w:rPr>
          <w:lang w:val="fr-FR"/>
        </w:rPr>
        <w:t xml:space="preserve"> (un </w:t>
      </w:r>
      <w:proofErr w:type="spellStart"/>
      <w:r w:rsidRPr="00BF3A72">
        <w:rPr>
          <w:lang w:val="fr-FR"/>
        </w:rPr>
        <w:t>līdz</w:t>
      </w:r>
      <w:proofErr w:type="spellEnd"/>
      <w:r w:rsidRPr="00BF3A72">
        <w:rPr>
          <w:lang w:val="fr-FR"/>
        </w:rPr>
        <w:t xml:space="preserve"> </w:t>
      </w:r>
      <w:proofErr w:type="spellStart"/>
      <w:r w:rsidRPr="00BF3A72">
        <w:rPr>
          <w:lang w:val="fr-FR"/>
        </w:rPr>
        <w:t>ar</w:t>
      </w:r>
      <w:proofErr w:type="spellEnd"/>
      <w:r w:rsidRPr="00BF3A72">
        <w:rPr>
          <w:lang w:val="fr-FR"/>
        </w:rPr>
        <w:t xml:space="preserve"> to </w:t>
      </w:r>
      <w:proofErr w:type="spellStart"/>
      <w:r w:rsidRPr="00BF3A72">
        <w:rPr>
          <w:lang w:val="fr-FR"/>
        </w:rPr>
        <w:t>arī</w:t>
      </w:r>
      <w:proofErr w:type="spellEnd"/>
      <w:r w:rsidRPr="00BF3A72">
        <w:rPr>
          <w:lang w:val="fr-FR"/>
        </w:rPr>
        <w:t xml:space="preserve"> </w:t>
      </w:r>
      <w:proofErr w:type="spellStart"/>
      <w:r w:rsidRPr="00BF3A72">
        <w:rPr>
          <w:lang w:val="fr-FR"/>
        </w:rPr>
        <w:t>izdot</w:t>
      </w:r>
      <w:proofErr w:type="spellEnd"/>
      <w:r w:rsidRPr="00BF3A72">
        <w:rPr>
          <w:lang w:val="fr-FR"/>
        </w:rPr>
        <w:t xml:space="preserve"> </w:t>
      </w:r>
      <w:proofErr w:type="spellStart"/>
      <w:r w:rsidRPr="00BF3A72">
        <w:rPr>
          <w:lang w:val="fr-FR"/>
        </w:rPr>
        <w:t>pilnvaru</w:t>
      </w:r>
      <w:proofErr w:type="spellEnd"/>
      <w:r w:rsidRPr="00BF3A72">
        <w:rPr>
          <w:lang w:val="fr-FR"/>
        </w:rPr>
        <w:t xml:space="preserve">) </w:t>
      </w:r>
      <w:proofErr w:type="spellStart"/>
      <w:r w:rsidRPr="00BF3A72">
        <w:rPr>
          <w:lang w:val="fr-FR"/>
        </w:rPr>
        <w:t>tiek</w:t>
      </w:r>
      <w:proofErr w:type="spellEnd"/>
      <w:r w:rsidRPr="00BF3A72">
        <w:rPr>
          <w:lang w:val="fr-FR"/>
        </w:rPr>
        <w:t xml:space="preserve"> </w:t>
      </w:r>
      <w:proofErr w:type="spellStart"/>
      <w:r w:rsidRPr="00BF3A72">
        <w:rPr>
          <w:lang w:val="fr-FR"/>
        </w:rPr>
        <w:t>noteikta</w:t>
      </w:r>
      <w:proofErr w:type="spellEnd"/>
      <w:r w:rsidRPr="00BF3A72">
        <w:rPr>
          <w:lang w:val="fr-FR"/>
        </w:rPr>
        <w:t xml:space="preserve"> </w:t>
      </w:r>
      <w:proofErr w:type="spellStart"/>
      <w:r w:rsidRPr="00BF3A72">
        <w:rPr>
          <w:lang w:val="fr-FR"/>
        </w:rPr>
        <w:t>vai</w:t>
      </w:r>
      <w:proofErr w:type="spellEnd"/>
      <w:r w:rsidRPr="00BF3A72">
        <w:rPr>
          <w:lang w:val="fr-FR"/>
        </w:rPr>
        <w:t xml:space="preserve"> </w:t>
      </w:r>
      <w:proofErr w:type="gramStart"/>
      <w:r w:rsidRPr="00BF3A72">
        <w:rPr>
          <w:lang w:val="fr-FR"/>
        </w:rPr>
        <w:t xml:space="preserve">nu  </w:t>
      </w:r>
      <w:proofErr w:type="spellStart"/>
      <w:r w:rsidRPr="00BF3A72">
        <w:rPr>
          <w:lang w:val="fr-FR"/>
        </w:rPr>
        <w:t>saskaņā</w:t>
      </w:r>
      <w:proofErr w:type="spellEnd"/>
      <w:proofErr w:type="gramEnd"/>
      <w:r w:rsidRPr="00BF3A72">
        <w:rPr>
          <w:lang w:val="fr-FR"/>
        </w:rPr>
        <w:t xml:space="preserve"> </w:t>
      </w:r>
      <w:proofErr w:type="spellStart"/>
      <w:r w:rsidRPr="00BF3A72">
        <w:rPr>
          <w:lang w:val="fr-FR"/>
        </w:rPr>
        <w:t>ar</w:t>
      </w:r>
      <w:proofErr w:type="spellEnd"/>
      <w:r w:rsidRPr="00BF3A72">
        <w:rPr>
          <w:lang w:val="fr-FR"/>
        </w:rPr>
        <w:t xml:space="preserve"> to </w:t>
      </w:r>
      <w:proofErr w:type="spellStart"/>
      <w:r w:rsidRPr="00BF3A72">
        <w:rPr>
          <w:lang w:val="fr-FR"/>
        </w:rPr>
        <w:t>pašu</w:t>
      </w:r>
      <w:proofErr w:type="spellEnd"/>
      <w:r w:rsidRPr="00BF3A72">
        <w:rPr>
          <w:lang w:val="fr-FR"/>
        </w:rPr>
        <w:t xml:space="preserve"> </w:t>
      </w:r>
      <w:proofErr w:type="spellStart"/>
      <w:r w:rsidRPr="00BF3A72">
        <w:rPr>
          <w:lang w:val="fr-FR"/>
        </w:rPr>
        <w:t>likumu</w:t>
      </w:r>
      <w:proofErr w:type="spellEnd"/>
      <w:r w:rsidRPr="00BF3A72">
        <w:rPr>
          <w:lang w:val="fr-FR"/>
        </w:rPr>
        <w:t xml:space="preserve">, kas </w:t>
      </w:r>
      <w:proofErr w:type="spellStart"/>
      <w:r w:rsidRPr="00BF3A72">
        <w:rPr>
          <w:lang w:val="fr-FR"/>
        </w:rPr>
        <w:t>piemērojams</w:t>
      </w:r>
      <w:proofErr w:type="spellEnd"/>
      <w:r w:rsidRPr="00BF3A72">
        <w:rPr>
          <w:lang w:val="fr-FR"/>
        </w:rPr>
        <w:t xml:space="preserve"> </w:t>
      </w:r>
      <w:proofErr w:type="spellStart"/>
      <w:r w:rsidRPr="00BF3A72">
        <w:rPr>
          <w:lang w:val="fr-FR"/>
        </w:rPr>
        <w:t>pilnvarojuma</w:t>
      </w:r>
      <w:proofErr w:type="spellEnd"/>
      <w:r w:rsidRPr="00BF3A72">
        <w:rPr>
          <w:lang w:val="fr-FR"/>
        </w:rPr>
        <w:t xml:space="preserve"> </w:t>
      </w:r>
      <w:proofErr w:type="spellStart"/>
      <w:r w:rsidRPr="00BF3A72">
        <w:rPr>
          <w:lang w:val="fr-FR"/>
        </w:rPr>
        <w:t>līgumam</w:t>
      </w:r>
      <w:proofErr w:type="spellEnd"/>
      <w:r w:rsidRPr="00BF3A72">
        <w:rPr>
          <w:lang w:val="fr-FR"/>
        </w:rPr>
        <w:t> /</w:t>
      </w:r>
      <w:proofErr w:type="spellStart"/>
      <w:r w:rsidRPr="00BF3A72">
        <w:rPr>
          <w:lang w:val="fr-FR"/>
        </w:rPr>
        <w:t>pilnvarai</w:t>
      </w:r>
      <w:proofErr w:type="spellEnd"/>
      <w:r>
        <w:rPr>
          <w:lang w:val="fr-FR"/>
        </w:rPr>
        <w:t xml:space="preserve">, </w:t>
      </w:r>
      <w:proofErr w:type="spellStart"/>
      <w:r>
        <w:rPr>
          <w:lang w:val="fr-FR"/>
        </w:rPr>
        <w:t>vai</w:t>
      </w:r>
      <w:proofErr w:type="spellEnd"/>
      <w:r>
        <w:rPr>
          <w:lang w:val="fr-FR"/>
        </w:rPr>
        <w:t xml:space="preserve"> </w:t>
      </w:r>
      <w:proofErr w:type="spellStart"/>
      <w:r>
        <w:rPr>
          <w:lang w:val="fr-FR"/>
        </w:rPr>
        <w:t>arī</w:t>
      </w:r>
      <w:proofErr w:type="spellEnd"/>
      <w:r>
        <w:rPr>
          <w:lang w:val="fr-FR"/>
        </w:rPr>
        <w:t xml:space="preserve"> </w:t>
      </w:r>
      <w:proofErr w:type="spellStart"/>
      <w:r>
        <w:rPr>
          <w:lang w:val="fr-FR"/>
        </w:rPr>
        <w:t>piemērojot</w:t>
      </w:r>
      <w:proofErr w:type="spellEnd"/>
      <w:r>
        <w:rPr>
          <w:lang w:val="fr-FR"/>
        </w:rPr>
        <w:t xml:space="preserve"> </w:t>
      </w:r>
      <w:proofErr w:type="spellStart"/>
      <w:r>
        <w:rPr>
          <w:lang w:val="fr-FR"/>
        </w:rPr>
        <w:t>patstāvīgu</w:t>
      </w:r>
      <w:proofErr w:type="spellEnd"/>
      <w:r>
        <w:rPr>
          <w:lang w:val="fr-FR"/>
        </w:rPr>
        <w:t xml:space="preserve"> </w:t>
      </w:r>
      <w:proofErr w:type="spellStart"/>
      <w:r>
        <w:rPr>
          <w:lang w:val="fr-FR"/>
        </w:rPr>
        <w:t>piesaisti</w:t>
      </w:r>
      <w:proofErr w:type="spellEnd"/>
      <w:r>
        <w:rPr>
          <w:lang w:val="fr-FR"/>
        </w:rPr>
        <w:t xml:space="preserve"> – </w:t>
      </w:r>
      <w:proofErr w:type="spellStart"/>
      <w:r>
        <w:rPr>
          <w:lang w:val="fr-FR"/>
        </w:rPr>
        <w:t>pušu</w:t>
      </w:r>
      <w:proofErr w:type="spellEnd"/>
      <w:r>
        <w:rPr>
          <w:lang w:val="fr-FR"/>
        </w:rPr>
        <w:t xml:space="preserve"> </w:t>
      </w:r>
      <w:proofErr w:type="spellStart"/>
      <w:r>
        <w:rPr>
          <w:lang w:val="fr-FR"/>
        </w:rPr>
        <w:t>domicila</w:t>
      </w:r>
      <w:proofErr w:type="spellEnd"/>
      <w:r>
        <w:rPr>
          <w:lang w:val="fr-FR"/>
        </w:rPr>
        <w:t xml:space="preserve"> </w:t>
      </w:r>
      <w:proofErr w:type="spellStart"/>
      <w:r>
        <w:rPr>
          <w:lang w:val="fr-FR"/>
        </w:rPr>
        <w:t>valsts</w:t>
      </w:r>
      <w:proofErr w:type="spellEnd"/>
      <w:r>
        <w:rPr>
          <w:lang w:val="fr-FR"/>
        </w:rPr>
        <w:t xml:space="preserve"> </w:t>
      </w:r>
      <w:proofErr w:type="spellStart"/>
      <w:r>
        <w:rPr>
          <w:lang w:val="fr-FR"/>
        </w:rPr>
        <w:t>likumu</w:t>
      </w:r>
      <w:proofErr w:type="spellEnd"/>
      <w:r>
        <w:rPr>
          <w:lang w:val="fr-FR"/>
        </w:rPr>
        <w:t xml:space="preserve"> (</w:t>
      </w:r>
      <w:proofErr w:type="spellStart"/>
      <w:r w:rsidRPr="00FB33B0">
        <w:rPr>
          <w:i/>
          <w:lang w:val="fr-FR"/>
        </w:rPr>
        <w:t>lex</w:t>
      </w:r>
      <w:proofErr w:type="spellEnd"/>
      <w:r w:rsidRPr="00FB33B0">
        <w:rPr>
          <w:i/>
          <w:lang w:val="fr-FR"/>
        </w:rPr>
        <w:t xml:space="preserve"> </w:t>
      </w:r>
      <w:proofErr w:type="spellStart"/>
      <w:r w:rsidRPr="00FB33B0">
        <w:rPr>
          <w:i/>
          <w:lang w:val="fr-FR"/>
        </w:rPr>
        <w:t>domicilii</w:t>
      </w:r>
      <w:proofErr w:type="spellEnd"/>
      <w:r>
        <w:rPr>
          <w:lang w:val="fr-FR"/>
        </w:rPr>
        <w:t>).</w:t>
      </w:r>
      <w:r>
        <w:rPr>
          <w:rStyle w:val="FootnoteReference"/>
          <w:lang w:val="fr-FR"/>
        </w:rPr>
        <w:footnoteReference w:id="7"/>
      </w:r>
    </w:p>
    <w:p w14:paraId="632A66BC" w14:textId="304795C6" w:rsidR="00114953" w:rsidRPr="00F94FA3" w:rsidRDefault="00114953" w:rsidP="00114953">
      <w:pPr>
        <w:pStyle w:val="tv213"/>
        <w:ind w:firstLine="708"/>
        <w:jc w:val="both"/>
        <w:rPr>
          <w:lang w:val="lv-LV"/>
        </w:rPr>
      </w:pPr>
      <w:proofErr w:type="spellStart"/>
      <w:r w:rsidRPr="008758F8">
        <w:rPr>
          <w:b/>
        </w:rPr>
        <w:t>Eiropas</w:t>
      </w:r>
      <w:proofErr w:type="spellEnd"/>
      <w:r w:rsidRPr="008758F8">
        <w:rPr>
          <w:b/>
        </w:rPr>
        <w:t xml:space="preserve"> </w:t>
      </w:r>
      <w:proofErr w:type="spellStart"/>
      <w:r w:rsidRPr="008758F8">
        <w:rPr>
          <w:b/>
        </w:rPr>
        <w:t>Parlamenta</w:t>
      </w:r>
      <w:proofErr w:type="spellEnd"/>
      <w:r w:rsidRPr="008758F8">
        <w:rPr>
          <w:b/>
        </w:rPr>
        <w:t xml:space="preserve"> </w:t>
      </w:r>
      <w:proofErr w:type="spellStart"/>
      <w:r w:rsidRPr="008758F8">
        <w:rPr>
          <w:b/>
        </w:rPr>
        <w:t>un</w:t>
      </w:r>
      <w:proofErr w:type="spellEnd"/>
      <w:r w:rsidRPr="008758F8">
        <w:rPr>
          <w:b/>
        </w:rPr>
        <w:t xml:space="preserve"> </w:t>
      </w:r>
      <w:proofErr w:type="spellStart"/>
      <w:r w:rsidRPr="008758F8">
        <w:rPr>
          <w:b/>
        </w:rPr>
        <w:t>Padomes</w:t>
      </w:r>
      <w:proofErr w:type="spellEnd"/>
      <w:r w:rsidRPr="008758F8">
        <w:rPr>
          <w:b/>
        </w:rPr>
        <w:t xml:space="preserve"> Regulas (EK) Nr.593/2008 (2008.gada 17.jūnijs), par </w:t>
      </w:r>
      <w:proofErr w:type="spellStart"/>
      <w:r w:rsidRPr="008758F8">
        <w:rPr>
          <w:b/>
        </w:rPr>
        <w:t>tiesību</w:t>
      </w:r>
      <w:proofErr w:type="spellEnd"/>
      <w:r w:rsidRPr="008758F8">
        <w:rPr>
          <w:b/>
        </w:rPr>
        <w:t xml:space="preserve"> </w:t>
      </w:r>
      <w:proofErr w:type="spellStart"/>
      <w:r w:rsidRPr="008758F8">
        <w:rPr>
          <w:b/>
        </w:rPr>
        <w:t>aktiem</w:t>
      </w:r>
      <w:proofErr w:type="spellEnd"/>
      <w:r w:rsidRPr="008758F8">
        <w:rPr>
          <w:b/>
        </w:rPr>
        <w:t xml:space="preserve">, </w:t>
      </w:r>
      <w:proofErr w:type="spellStart"/>
      <w:r w:rsidRPr="008758F8">
        <w:rPr>
          <w:b/>
        </w:rPr>
        <w:t>kas</w:t>
      </w:r>
      <w:proofErr w:type="spellEnd"/>
      <w:r w:rsidRPr="008758F8">
        <w:rPr>
          <w:b/>
        </w:rPr>
        <w:t xml:space="preserve"> </w:t>
      </w:r>
      <w:proofErr w:type="spellStart"/>
      <w:r w:rsidRPr="008758F8">
        <w:rPr>
          <w:b/>
        </w:rPr>
        <w:t>piemērojami</w:t>
      </w:r>
      <w:proofErr w:type="spellEnd"/>
      <w:r w:rsidRPr="008758F8">
        <w:rPr>
          <w:b/>
        </w:rPr>
        <w:t xml:space="preserve"> </w:t>
      </w:r>
      <w:proofErr w:type="spellStart"/>
      <w:r w:rsidRPr="008758F8">
        <w:rPr>
          <w:b/>
        </w:rPr>
        <w:t>līgumsaistībām</w:t>
      </w:r>
      <w:proofErr w:type="spellEnd"/>
      <w:r w:rsidRPr="00CE7D9B">
        <w:t xml:space="preserve"> (Roma I)</w:t>
      </w:r>
      <w:r w:rsidRPr="00CE7D9B">
        <w:rPr>
          <w:rStyle w:val="FootnoteReference"/>
        </w:rPr>
        <w:footnoteReference w:id="8"/>
      </w:r>
      <w:r w:rsidRPr="00CE7D9B">
        <w:t xml:space="preserve"> (</w:t>
      </w:r>
      <w:proofErr w:type="spellStart"/>
      <w:r w:rsidRPr="00CE7D9B">
        <w:t>turpmāk</w:t>
      </w:r>
      <w:proofErr w:type="spellEnd"/>
      <w:r w:rsidRPr="00CE7D9B">
        <w:t xml:space="preserve"> – Roma I Regula)</w:t>
      </w:r>
      <w:r w:rsidRPr="00CE7D9B">
        <w:rPr>
          <w:rStyle w:val="FootnoteReference"/>
        </w:rPr>
        <w:footnoteReference w:id="9"/>
      </w:r>
      <w:r w:rsidRPr="00CE7D9B">
        <w:t xml:space="preserve"> 1.panta </w:t>
      </w:r>
      <w:proofErr w:type="spellStart"/>
      <w:r w:rsidRPr="00CE7D9B">
        <w:t>otrās</w:t>
      </w:r>
      <w:proofErr w:type="spellEnd"/>
      <w:r w:rsidRPr="00CE7D9B">
        <w:t xml:space="preserve"> </w:t>
      </w:r>
      <w:proofErr w:type="spellStart"/>
      <w:r w:rsidRPr="00CE7D9B">
        <w:t>daļas</w:t>
      </w:r>
      <w:proofErr w:type="spellEnd"/>
      <w:r>
        <w:t xml:space="preserve"> „a“ </w:t>
      </w:r>
      <w:proofErr w:type="spellStart"/>
      <w:r>
        <w:t>punkts</w:t>
      </w:r>
      <w:proofErr w:type="spellEnd"/>
      <w:r>
        <w:t xml:space="preserve"> </w:t>
      </w:r>
      <w:proofErr w:type="spellStart"/>
      <w:r>
        <w:t>no</w:t>
      </w:r>
      <w:proofErr w:type="spellEnd"/>
      <w:r>
        <w:t xml:space="preserve"> Regulas </w:t>
      </w:r>
      <w:proofErr w:type="spellStart"/>
      <w:r>
        <w:t>materiālās</w:t>
      </w:r>
      <w:proofErr w:type="spellEnd"/>
      <w:r>
        <w:t xml:space="preserve"> </w:t>
      </w:r>
      <w:proofErr w:type="spellStart"/>
      <w:r>
        <w:t>piemērošanas</w:t>
      </w:r>
      <w:proofErr w:type="spellEnd"/>
      <w:r>
        <w:t xml:space="preserve"> </w:t>
      </w:r>
      <w:proofErr w:type="spellStart"/>
      <w:r>
        <w:t>jomas</w:t>
      </w:r>
      <w:proofErr w:type="spellEnd"/>
      <w:r>
        <w:t xml:space="preserve"> (</w:t>
      </w:r>
      <w:proofErr w:type="spellStart"/>
      <w:r w:rsidRPr="00FB33B0">
        <w:rPr>
          <w:i/>
        </w:rPr>
        <w:t>ratione</w:t>
      </w:r>
      <w:proofErr w:type="spellEnd"/>
      <w:r w:rsidRPr="00FB33B0">
        <w:rPr>
          <w:i/>
        </w:rPr>
        <w:t xml:space="preserve"> </w:t>
      </w:r>
      <w:proofErr w:type="spellStart"/>
      <w:r w:rsidRPr="00FB33B0">
        <w:rPr>
          <w:i/>
        </w:rPr>
        <w:t>materiae</w:t>
      </w:r>
      <w:proofErr w:type="spellEnd"/>
      <w:r w:rsidR="00485054">
        <w:t xml:space="preserve">) </w:t>
      </w:r>
      <w:proofErr w:type="spellStart"/>
      <w:r w:rsidR="00485054">
        <w:t>principā</w:t>
      </w:r>
      <w:proofErr w:type="spellEnd"/>
      <w:r w:rsidR="00485054">
        <w:t xml:space="preserve"> </w:t>
      </w:r>
      <w:proofErr w:type="spellStart"/>
      <w:r w:rsidR="00485054">
        <w:t>ir</w:t>
      </w:r>
      <w:proofErr w:type="spellEnd"/>
      <w:r w:rsidR="00485054">
        <w:t xml:space="preserve"> </w:t>
      </w:r>
      <w:proofErr w:type="spellStart"/>
      <w:r w:rsidR="00485054">
        <w:t>izslēdzis</w:t>
      </w:r>
      <w:proofErr w:type="spellEnd"/>
      <w:r w:rsidR="00485054">
        <w:t xml:space="preserve"> </w:t>
      </w:r>
      <w:proofErr w:type="spellStart"/>
      <w:r>
        <w:t>fizisko</w:t>
      </w:r>
      <w:proofErr w:type="spellEnd"/>
      <w:r>
        <w:t xml:space="preserve"> </w:t>
      </w:r>
      <w:proofErr w:type="spellStart"/>
      <w:r>
        <w:t>personu</w:t>
      </w:r>
      <w:proofErr w:type="spellEnd"/>
      <w:r>
        <w:t xml:space="preserve"> </w:t>
      </w:r>
      <w:proofErr w:type="spellStart"/>
      <w:r>
        <w:t>rīcībspē</w:t>
      </w:r>
      <w:r w:rsidR="00485054">
        <w:t>jas</w:t>
      </w:r>
      <w:proofErr w:type="spellEnd"/>
      <w:r w:rsidR="00485054">
        <w:t xml:space="preserve"> </w:t>
      </w:r>
      <w:proofErr w:type="spellStart"/>
      <w:r w:rsidR="00485054">
        <w:t>jautājumus</w:t>
      </w:r>
      <w:proofErr w:type="spellEnd"/>
      <w:r w:rsidR="00485054">
        <w:t xml:space="preserve"> (</w:t>
      </w:r>
      <w:proofErr w:type="spellStart"/>
      <w:r w:rsidR="00485054">
        <w:t>izņemot</w:t>
      </w:r>
      <w:proofErr w:type="spellEnd"/>
      <w:r w:rsidR="00485054">
        <w:t xml:space="preserve"> 13.p.</w:t>
      </w:r>
      <w:r>
        <w:t xml:space="preserve"> </w:t>
      </w:r>
      <w:proofErr w:type="spellStart"/>
      <w:r>
        <w:t>uzskaitīto</w:t>
      </w:r>
      <w:proofErr w:type="spellEnd"/>
      <w:r>
        <w:t xml:space="preserve"> </w:t>
      </w:r>
      <w:proofErr w:type="spellStart"/>
      <w:r>
        <w:t>atsevišķo</w:t>
      </w:r>
      <w:proofErr w:type="spellEnd"/>
      <w:r>
        <w:t xml:space="preserve"> </w:t>
      </w:r>
      <w:proofErr w:type="spellStart"/>
      <w:r>
        <w:t>gadījumu</w:t>
      </w:r>
      <w:proofErr w:type="spellEnd"/>
      <w:r>
        <w:t xml:space="preserve"> </w:t>
      </w:r>
      <w:proofErr w:type="spellStart"/>
      <w:r>
        <w:t>līgumu</w:t>
      </w:r>
      <w:proofErr w:type="spellEnd"/>
      <w:r>
        <w:t xml:space="preserve"> </w:t>
      </w:r>
      <w:proofErr w:type="spellStart"/>
      <w:r>
        <w:t>slēgšanas</w:t>
      </w:r>
      <w:proofErr w:type="spellEnd"/>
      <w:r>
        <w:t xml:space="preserve"> </w:t>
      </w:r>
      <w:proofErr w:type="spellStart"/>
      <w:r>
        <w:t>spējas</w:t>
      </w:r>
      <w:proofErr w:type="spellEnd"/>
      <w:r>
        <w:t xml:space="preserve"> </w:t>
      </w:r>
      <w:proofErr w:type="spellStart"/>
      <w:r>
        <w:t>jautājumā</w:t>
      </w:r>
      <w:proofErr w:type="spellEnd"/>
      <w:r>
        <w:t xml:space="preserve">). </w:t>
      </w:r>
      <w:proofErr w:type="spellStart"/>
      <w:r>
        <w:t>No</w:t>
      </w:r>
      <w:proofErr w:type="spellEnd"/>
      <w:r>
        <w:t xml:space="preserve"> Regulas </w:t>
      </w:r>
      <w:proofErr w:type="spellStart"/>
      <w:r w:rsidRPr="007550C7">
        <w:rPr>
          <w:i/>
        </w:rPr>
        <w:t>ratione</w:t>
      </w:r>
      <w:proofErr w:type="spellEnd"/>
      <w:r w:rsidRPr="007550C7">
        <w:rPr>
          <w:i/>
        </w:rPr>
        <w:t xml:space="preserve"> </w:t>
      </w:r>
      <w:proofErr w:type="spellStart"/>
      <w:r w:rsidRPr="007550C7">
        <w:rPr>
          <w:i/>
        </w:rPr>
        <w:t>materiae</w:t>
      </w:r>
      <w:proofErr w:type="spellEnd"/>
      <w:r>
        <w:t xml:space="preserve"> </w:t>
      </w:r>
      <w:proofErr w:type="spellStart"/>
      <w:r>
        <w:t>ir</w:t>
      </w:r>
      <w:proofErr w:type="spellEnd"/>
      <w:r>
        <w:t xml:space="preserve"> </w:t>
      </w:r>
      <w:proofErr w:type="spellStart"/>
      <w:r>
        <w:t>izslēgti</w:t>
      </w:r>
      <w:proofErr w:type="spellEnd"/>
      <w:r>
        <w:t xml:space="preserve"> </w:t>
      </w:r>
      <w:proofErr w:type="spellStart"/>
      <w:r>
        <w:t>arī</w:t>
      </w:r>
      <w:proofErr w:type="spellEnd"/>
      <w:r>
        <w:t xml:space="preserve"> </w:t>
      </w:r>
      <w:r w:rsidR="00CD4311">
        <w:t>„</w:t>
      </w:r>
      <w:proofErr w:type="spellStart"/>
      <w:r w:rsidRPr="00427A73">
        <w:rPr>
          <w:i/>
        </w:rPr>
        <w:t>jautājumi</w:t>
      </w:r>
      <w:proofErr w:type="spellEnd"/>
      <w:r w:rsidRPr="00427A73">
        <w:rPr>
          <w:i/>
        </w:rPr>
        <w:t xml:space="preserve"> par </w:t>
      </w:r>
      <w:proofErr w:type="spellStart"/>
      <w:r w:rsidRPr="00427A73">
        <w:rPr>
          <w:i/>
        </w:rPr>
        <w:t>to</w:t>
      </w:r>
      <w:proofErr w:type="spellEnd"/>
      <w:r w:rsidRPr="00427A73">
        <w:rPr>
          <w:i/>
        </w:rPr>
        <w:t xml:space="preserve">, </w:t>
      </w:r>
      <w:proofErr w:type="spellStart"/>
      <w:r w:rsidRPr="00427A73">
        <w:rPr>
          <w:i/>
        </w:rPr>
        <w:t>vai</w:t>
      </w:r>
      <w:proofErr w:type="spellEnd"/>
      <w:r w:rsidRPr="00834C71">
        <w:rPr>
          <w:i/>
        </w:rPr>
        <w:t xml:space="preserve"> </w:t>
      </w:r>
      <w:proofErr w:type="spellStart"/>
      <w:r w:rsidRPr="00834C71">
        <w:rPr>
          <w:i/>
        </w:rPr>
        <w:t>attiecībā</w:t>
      </w:r>
      <w:proofErr w:type="spellEnd"/>
      <w:r w:rsidRPr="00834C71">
        <w:rPr>
          <w:i/>
        </w:rPr>
        <w:t xml:space="preserve"> </w:t>
      </w:r>
      <w:proofErr w:type="spellStart"/>
      <w:r w:rsidRPr="00834C71">
        <w:rPr>
          <w:i/>
        </w:rPr>
        <w:t>pret</w:t>
      </w:r>
      <w:proofErr w:type="spellEnd"/>
      <w:r w:rsidRPr="00834C71">
        <w:rPr>
          <w:i/>
        </w:rPr>
        <w:t xml:space="preserve"> </w:t>
      </w:r>
      <w:proofErr w:type="spellStart"/>
      <w:r w:rsidRPr="00834C71">
        <w:rPr>
          <w:i/>
        </w:rPr>
        <w:t>trešām</w:t>
      </w:r>
      <w:proofErr w:type="spellEnd"/>
      <w:r w:rsidRPr="00834C71">
        <w:rPr>
          <w:i/>
        </w:rPr>
        <w:t xml:space="preserve"> </w:t>
      </w:r>
      <w:proofErr w:type="spellStart"/>
      <w:r w:rsidRPr="00834C71">
        <w:rPr>
          <w:i/>
        </w:rPr>
        <w:t>personām</w:t>
      </w:r>
      <w:proofErr w:type="spellEnd"/>
      <w:r w:rsidRPr="00834C71">
        <w:rPr>
          <w:i/>
        </w:rPr>
        <w:t xml:space="preserve"> </w:t>
      </w:r>
      <w:proofErr w:type="spellStart"/>
      <w:r w:rsidRPr="00834C71">
        <w:rPr>
          <w:i/>
        </w:rPr>
        <w:t>pārstāvis</w:t>
      </w:r>
      <w:proofErr w:type="spellEnd"/>
      <w:r w:rsidRPr="00834C71">
        <w:rPr>
          <w:i/>
        </w:rPr>
        <w:t xml:space="preserve"> </w:t>
      </w:r>
      <w:proofErr w:type="spellStart"/>
      <w:r w:rsidRPr="00834C71">
        <w:rPr>
          <w:i/>
        </w:rPr>
        <w:t>var</w:t>
      </w:r>
      <w:proofErr w:type="spellEnd"/>
      <w:r w:rsidRPr="00834C71">
        <w:rPr>
          <w:i/>
        </w:rPr>
        <w:t xml:space="preserve"> </w:t>
      </w:r>
      <w:proofErr w:type="spellStart"/>
      <w:r w:rsidRPr="00834C71">
        <w:rPr>
          <w:i/>
        </w:rPr>
        <w:t>radīt</w:t>
      </w:r>
      <w:proofErr w:type="spellEnd"/>
      <w:r w:rsidRPr="00834C71">
        <w:rPr>
          <w:i/>
        </w:rPr>
        <w:t xml:space="preserve"> </w:t>
      </w:r>
      <w:proofErr w:type="spellStart"/>
      <w:r w:rsidRPr="00834C71">
        <w:rPr>
          <w:i/>
        </w:rPr>
        <w:t>saistības</w:t>
      </w:r>
      <w:proofErr w:type="spellEnd"/>
      <w:r w:rsidRPr="00834C71">
        <w:rPr>
          <w:i/>
        </w:rPr>
        <w:t xml:space="preserve"> </w:t>
      </w:r>
      <w:proofErr w:type="spellStart"/>
      <w:r w:rsidRPr="00834C71">
        <w:rPr>
          <w:i/>
        </w:rPr>
        <w:t>pārstāvētajai</w:t>
      </w:r>
      <w:proofErr w:type="spellEnd"/>
      <w:r w:rsidRPr="00834C71">
        <w:rPr>
          <w:i/>
        </w:rPr>
        <w:t xml:space="preserve"> </w:t>
      </w:r>
      <w:proofErr w:type="spellStart"/>
      <w:r w:rsidRPr="00834C71">
        <w:rPr>
          <w:i/>
        </w:rPr>
        <w:t>personai</w:t>
      </w:r>
      <w:proofErr w:type="spellEnd"/>
      <w:r w:rsidRPr="00834C71">
        <w:rPr>
          <w:i/>
        </w:rPr>
        <w:t xml:space="preserve"> </w:t>
      </w:r>
      <w:proofErr w:type="spellStart"/>
      <w:r w:rsidRPr="00834C71">
        <w:rPr>
          <w:i/>
        </w:rPr>
        <w:t>un</w:t>
      </w:r>
      <w:proofErr w:type="spellEnd"/>
      <w:r w:rsidRPr="00834C71">
        <w:rPr>
          <w:i/>
        </w:rPr>
        <w:t xml:space="preserve"> </w:t>
      </w:r>
      <w:proofErr w:type="spellStart"/>
      <w:r w:rsidRPr="00834C71">
        <w:rPr>
          <w:i/>
        </w:rPr>
        <w:t>vai</w:t>
      </w:r>
      <w:proofErr w:type="spellEnd"/>
      <w:r w:rsidRPr="00834C71">
        <w:rPr>
          <w:i/>
        </w:rPr>
        <w:t xml:space="preserve"> </w:t>
      </w:r>
      <w:proofErr w:type="spellStart"/>
      <w:r w:rsidRPr="00834C71">
        <w:rPr>
          <w:i/>
        </w:rPr>
        <w:t>institūcija</w:t>
      </w:r>
      <w:proofErr w:type="spellEnd"/>
      <w:r w:rsidRPr="00834C71">
        <w:rPr>
          <w:i/>
        </w:rPr>
        <w:t xml:space="preserve"> </w:t>
      </w:r>
      <w:proofErr w:type="spellStart"/>
      <w:r w:rsidRPr="00834C71">
        <w:rPr>
          <w:i/>
        </w:rPr>
        <w:t>vai</w:t>
      </w:r>
      <w:proofErr w:type="spellEnd"/>
      <w:r w:rsidRPr="00834C71">
        <w:rPr>
          <w:i/>
        </w:rPr>
        <w:t xml:space="preserve"> </w:t>
      </w:r>
      <w:proofErr w:type="spellStart"/>
      <w:r w:rsidRPr="00834C71">
        <w:rPr>
          <w:i/>
        </w:rPr>
        <w:t>amatpersona</w:t>
      </w:r>
      <w:proofErr w:type="spellEnd"/>
      <w:r w:rsidRPr="00834C71">
        <w:rPr>
          <w:i/>
        </w:rPr>
        <w:t xml:space="preserve"> </w:t>
      </w:r>
      <w:proofErr w:type="spellStart"/>
      <w:r w:rsidRPr="00834C71">
        <w:rPr>
          <w:i/>
        </w:rPr>
        <w:t>var</w:t>
      </w:r>
      <w:proofErr w:type="spellEnd"/>
      <w:r w:rsidRPr="00834C71">
        <w:rPr>
          <w:i/>
        </w:rPr>
        <w:t xml:space="preserve"> </w:t>
      </w:r>
      <w:proofErr w:type="spellStart"/>
      <w:r w:rsidRPr="00834C71">
        <w:rPr>
          <w:i/>
        </w:rPr>
        <w:t>radīt</w:t>
      </w:r>
      <w:proofErr w:type="spellEnd"/>
      <w:r w:rsidRPr="00834C71">
        <w:rPr>
          <w:i/>
        </w:rPr>
        <w:t xml:space="preserve"> </w:t>
      </w:r>
      <w:proofErr w:type="spellStart"/>
      <w:r w:rsidRPr="00834C71">
        <w:rPr>
          <w:i/>
        </w:rPr>
        <w:t>saistības</w:t>
      </w:r>
      <w:proofErr w:type="spellEnd"/>
      <w:r w:rsidRPr="00834C71">
        <w:rPr>
          <w:i/>
        </w:rPr>
        <w:t xml:space="preserve"> </w:t>
      </w:r>
      <w:proofErr w:type="spellStart"/>
      <w:r w:rsidRPr="00834C71">
        <w:rPr>
          <w:i/>
        </w:rPr>
        <w:t>uzņēmējsabiedrībai</w:t>
      </w:r>
      <w:proofErr w:type="spellEnd"/>
      <w:r w:rsidRPr="00834C71">
        <w:rPr>
          <w:i/>
        </w:rPr>
        <w:t xml:space="preserve"> </w:t>
      </w:r>
      <w:proofErr w:type="spellStart"/>
      <w:r w:rsidRPr="00834C71">
        <w:rPr>
          <w:i/>
        </w:rPr>
        <w:t>vai</w:t>
      </w:r>
      <w:proofErr w:type="spellEnd"/>
      <w:r w:rsidRPr="00834C71">
        <w:rPr>
          <w:i/>
        </w:rPr>
        <w:t xml:space="preserve"> </w:t>
      </w:r>
      <w:proofErr w:type="spellStart"/>
      <w:r w:rsidRPr="00834C71">
        <w:rPr>
          <w:i/>
        </w:rPr>
        <w:t>citai</w:t>
      </w:r>
      <w:proofErr w:type="spellEnd"/>
      <w:r w:rsidRPr="00834C71">
        <w:rPr>
          <w:i/>
        </w:rPr>
        <w:t xml:space="preserve"> </w:t>
      </w:r>
      <w:proofErr w:type="spellStart"/>
      <w:r w:rsidRPr="00834C71">
        <w:rPr>
          <w:i/>
        </w:rPr>
        <w:t>korporatīvai</w:t>
      </w:r>
      <w:proofErr w:type="spellEnd"/>
      <w:r w:rsidRPr="00834C71">
        <w:rPr>
          <w:i/>
        </w:rPr>
        <w:t xml:space="preserve"> </w:t>
      </w:r>
      <w:proofErr w:type="spellStart"/>
      <w:r w:rsidRPr="00834C71">
        <w:rPr>
          <w:i/>
        </w:rPr>
        <w:t>vai</w:t>
      </w:r>
      <w:proofErr w:type="spellEnd"/>
      <w:r w:rsidRPr="00834C71">
        <w:rPr>
          <w:i/>
        </w:rPr>
        <w:t xml:space="preserve"> </w:t>
      </w:r>
      <w:proofErr w:type="spellStart"/>
      <w:r w:rsidRPr="00834C71">
        <w:rPr>
          <w:i/>
        </w:rPr>
        <w:t>nekorporatīvai</w:t>
      </w:r>
      <w:proofErr w:type="spellEnd"/>
      <w:r w:rsidRPr="00834C71">
        <w:rPr>
          <w:i/>
        </w:rPr>
        <w:t xml:space="preserve"> </w:t>
      </w:r>
      <w:proofErr w:type="spellStart"/>
      <w:r w:rsidRPr="00834C71">
        <w:rPr>
          <w:i/>
        </w:rPr>
        <w:t>struktūrai</w:t>
      </w:r>
      <w:proofErr w:type="spellEnd"/>
      <w:r w:rsidR="00CD4311">
        <w:rPr>
          <w:i/>
        </w:rPr>
        <w:t>“</w:t>
      </w:r>
      <w:r>
        <w:t xml:space="preserve"> (</w:t>
      </w:r>
      <w:proofErr w:type="spellStart"/>
      <w:r>
        <w:t>skat</w:t>
      </w:r>
      <w:proofErr w:type="spellEnd"/>
      <w:r>
        <w:t xml:space="preserve">. Regulas 1.p. 2.d. „g“ </w:t>
      </w:r>
      <w:proofErr w:type="spellStart"/>
      <w:r>
        <w:t>punktu</w:t>
      </w:r>
      <w:proofErr w:type="spellEnd"/>
      <w:r>
        <w:t xml:space="preserve">). </w:t>
      </w:r>
      <w:proofErr w:type="spellStart"/>
      <w:r>
        <w:t>Tātad</w:t>
      </w:r>
      <w:proofErr w:type="spellEnd"/>
      <w:r>
        <w:t xml:space="preserve">, </w:t>
      </w:r>
      <w:r w:rsidRPr="00BF3A72">
        <w:t xml:space="preserve">ES </w:t>
      </w:r>
      <w:proofErr w:type="spellStart"/>
      <w:r w:rsidRPr="00BF3A72">
        <w:t>tiesiskajā</w:t>
      </w:r>
      <w:proofErr w:type="spellEnd"/>
      <w:r w:rsidRPr="00BF3A72">
        <w:t xml:space="preserve"> </w:t>
      </w:r>
      <w:proofErr w:type="spellStart"/>
      <w:r w:rsidRPr="00BF3A72">
        <w:t>telpā</w:t>
      </w:r>
      <w:proofErr w:type="spellEnd"/>
      <w:r w:rsidRPr="00BF3A72">
        <w:t xml:space="preserve"> </w:t>
      </w:r>
      <w:proofErr w:type="spellStart"/>
      <w:r w:rsidRPr="00BF3A72">
        <w:t>abi</w:t>
      </w:r>
      <w:proofErr w:type="spellEnd"/>
      <w:r w:rsidRPr="00BF3A72">
        <w:t xml:space="preserve"> </w:t>
      </w:r>
      <w:proofErr w:type="spellStart"/>
      <w:r w:rsidRPr="00BF3A72">
        <w:t>minētie</w:t>
      </w:r>
      <w:proofErr w:type="spellEnd"/>
      <w:r w:rsidRPr="00BF3A72">
        <w:t xml:space="preserve"> </w:t>
      </w:r>
      <w:proofErr w:type="spellStart"/>
      <w:r w:rsidRPr="00BF3A72">
        <w:t>kolīziju</w:t>
      </w:r>
      <w:proofErr w:type="spellEnd"/>
      <w:r w:rsidRPr="00BF3A72">
        <w:t xml:space="preserve"> </w:t>
      </w:r>
      <w:proofErr w:type="spellStart"/>
      <w:r w:rsidRPr="00BF3A72">
        <w:t>tiesību</w:t>
      </w:r>
      <w:proofErr w:type="spellEnd"/>
      <w:r w:rsidRPr="00BF3A72">
        <w:t xml:space="preserve"> </w:t>
      </w:r>
      <w:proofErr w:type="spellStart"/>
      <w:r w:rsidRPr="00BF3A72">
        <w:t>jautājumi</w:t>
      </w:r>
      <w:proofErr w:type="spellEnd"/>
      <w:r w:rsidRPr="00BF3A72">
        <w:t xml:space="preserve"> – </w:t>
      </w:r>
      <w:proofErr w:type="spellStart"/>
      <w:r w:rsidRPr="00BF3A72">
        <w:t>fiziskas</w:t>
      </w:r>
      <w:proofErr w:type="spellEnd"/>
      <w:r w:rsidRPr="00BF3A72">
        <w:t xml:space="preserve"> </w:t>
      </w:r>
      <w:proofErr w:type="spellStart"/>
      <w:r w:rsidRPr="00BF3A72">
        <w:t>peronas</w:t>
      </w:r>
      <w:proofErr w:type="spellEnd"/>
      <w:r w:rsidRPr="00BF3A72">
        <w:t xml:space="preserve"> </w:t>
      </w:r>
      <w:proofErr w:type="spellStart"/>
      <w:r w:rsidRPr="00BF3A72">
        <w:t>rīcībspēja</w:t>
      </w:r>
      <w:proofErr w:type="spellEnd"/>
      <w:r w:rsidRPr="00BF3A72">
        <w:t xml:space="preserve"> </w:t>
      </w:r>
      <w:proofErr w:type="spellStart"/>
      <w:r w:rsidRPr="00BF3A72">
        <w:t>un</w:t>
      </w:r>
      <w:proofErr w:type="spellEnd"/>
      <w:r w:rsidRPr="00BF3A72">
        <w:t xml:space="preserve"> </w:t>
      </w:r>
      <w:proofErr w:type="spellStart"/>
      <w:r w:rsidRPr="00BF3A72">
        <w:t>pārstāvības</w:t>
      </w:r>
      <w:proofErr w:type="spellEnd"/>
      <w:r w:rsidRPr="00BF3A72">
        <w:t xml:space="preserve"> </w:t>
      </w:r>
      <w:proofErr w:type="spellStart"/>
      <w:r w:rsidRPr="00BF3A72">
        <w:t>tiesība</w:t>
      </w:r>
      <w:proofErr w:type="spellEnd"/>
      <w:r w:rsidRPr="00BF3A72">
        <w:t xml:space="preserve"> –</w:t>
      </w:r>
      <w:r w:rsidRPr="009051E6">
        <w:rPr>
          <w:color w:val="FF0000"/>
        </w:rPr>
        <w:t xml:space="preserve"> </w:t>
      </w:r>
      <w:proofErr w:type="spellStart"/>
      <w:r>
        <w:t>nosakāmi</w:t>
      </w:r>
      <w:proofErr w:type="spellEnd"/>
      <w:r>
        <w:t xml:space="preserve"> </w:t>
      </w:r>
      <w:proofErr w:type="spellStart"/>
      <w:r>
        <w:t>saskaņā</w:t>
      </w:r>
      <w:proofErr w:type="spellEnd"/>
      <w:r>
        <w:t xml:space="preserve"> </w:t>
      </w:r>
      <w:proofErr w:type="spellStart"/>
      <w:r>
        <w:t>ar</w:t>
      </w:r>
      <w:proofErr w:type="spellEnd"/>
      <w:r>
        <w:t xml:space="preserve"> </w:t>
      </w:r>
      <w:proofErr w:type="spellStart"/>
      <w:r>
        <w:t>nacionālajām</w:t>
      </w:r>
      <w:proofErr w:type="spellEnd"/>
      <w:r>
        <w:t xml:space="preserve"> </w:t>
      </w:r>
      <w:proofErr w:type="spellStart"/>
      <w:r>
        <w:t>kolīziju</w:t>
      </w:r>
      <w:proofErr w:type="spellEnd"/>
      <w:r>
        <w:t xml:space="preserve"> </w:t>
      </w:r>
      <w:proofErr w:type="spellStart"/>
      <w:r>
        <w:t>normām</w:t>
      </w:r>
      <w:proofErr w:type="spellEnd"/>
      <w:r>
        <w:t>.</w:t>
      </w:r>
      <w:r>
        <w:rPr>
          <w:rStyle w:val="FootnoteReference"/>
        </w:rPr>
        <w:footnoteReference w:id="10"/>
      </w:r>
    </w:p>
    <w:p w14:paraId="6CB41FF9" w14:textId="77777777" w:rsidR="00114953" w:rsidRPr="00F94FA3" w:rsidRDefault="00114953" w:rsidP="00114953">
      <w:pPr>
        <w:pStyle w:val="tv213"/>
        <w:ind w:firstLine="708"/>
        <w:jc w:val="both"/>
      </w:pPr>
      <w:proofErr w:type="spellStart"/>
      <w:r w:rsidRPr="00F94FA3">
        <w:t>Saskaņā</w:t>
      </w:r>
      <w:proofErr w:type="spellEnd"/>
      <w:r w:rsidRPr="00F94FA3">
        <w:t xml:space="preserve"> </w:t>
      </w:r>
      <w:proofErr w:type="spellStart"/>
      <w:r w:rsidRPr="00F94FA3">
        <w:t>ar</w:t>
      </w:r>
      <w:proofErr w:type="spellEnd"/>
      <w:r w:rsidRPr="00F94FA3">
        <w:t xml:space="preserve"> </w:t>
      </w:r>
      <w:proofErr w:type="spellStart"/>
      <w:r w:rsidRPr="00F94FA3">
        <w:t>Civillikuma</w:t>
      </w:r>
      <w:proofErr w:type="spellEnd"/>
      <w:r w:rsidRPr="00F94FA3">
        <w:t xml:space="preserve"> (</w:t>
      </w:r>
      <w:proofErr w:type="spellStart"/>
      <w:r w:rsidRPr="00F94FA3">
        <w:t>turpmāk</w:t>
      </w:r>
      <w:proofErr w:type="spellEnd"/>
      <w:r w:rsidRPr="00F94FA3">
        <w:t xml:space="preserve"> – CL</w:t>
      </w:r>
      <w:proofErr w:type="gramStart"/>
      <w:r w:rsidRPr="00F94FA3">
        <w:t xml:space="preserve">)  </w:t>
      </w:r>
      <w:proofErr w:type="spellStart"/>
      <w:r w:rsidRPr="00F94FA3">
        <w:t>Ievada</w:t>
      </w:r>
      <w:proofErr w:type="spellEnd"/>
      <w:proofErr w:type="gramEnd"/>
      <w:r w:rsidRPr="00F94FA3">
        <w:t xml:space="preserve">  8.panta </w:t>
      </w:r>
      <w:proofErr w:type="spellStart"/>
      <w:r w:rsidRPr="00F94FA3">
        <w:t>pirmo</w:t>
      </w:r>
      <w:proofErr w:type="spellEnd"/>
      <w:r w:rsidRPr="00F94FA3">
        <w:t xml:space="preserve"> </w:t>
      </w:r>
      <w:proofErr w:type="spellStart"/>
      <w:r w:rsidRPr="00F94FA3">
        <w:t>un</w:t>
      </w:r>
      <w:proofErr w:type="spellEnd"/>
      <w:r w:rsidRPr="00F94FA3">
        <w:t xml:space="preserve"> </w:t>
      </w:r>
      <w:proofErr w:type="spellStart"/>
      <w:r w:rsidRPr="00F94FA3">
        <w:t>otro</w:t>
      </w:r>
      <w:proofErr w:type="spellEnd"/>
      <w:r w:rsidRPr="00F94FA3">
        <w:t xml:space="preserve"> </w:t>
      </w:r>
      <w:proofErr w:type="spellStart"/>
      <w:r w:rsidRPr="00F94FA3">
        <w:t>daļu</w:t>
      </w:r>
      <w:proofErr w:type="spellEnd"/>
      <w:r w:rsidRPr="00F94FA3">
        <w:t xml:space="preserve"> „</w:t>
      </w:r>
      <w:r w:rsidRPr="00F94FA3">
        <w:rPr>
          <w:i/>
        </w:rPr>
        <w:t xml:space="preserve">(1) </w:t>
      </w:r>
      <w:proofErr w:type="spellStart"/>
      <w:r w:rsidRPr="00F94FA3">
        <w:rPr>
          <w:i/>
        </w:rPr>
        <w:t>Fiziskas</w:t>
      </w:r>
      <w:proofErr w:type="spellEnd"/>
      <w:r w:rsidRPr="00F94FA3">
        <w:rPr>
          <w:i/>
        </w:rPr>
        <w:t xml:space="preserve"> personas </w:t>
      </w:r>
      <w:proofErr w:type="spellStart"/>
      <w:r w:rsidRPr="00F94FA3">
        <w:rPr>
          <w:i/>
        </w:rPr>
        <w:t>tiesību</w:t>
      </w:r>
      <w:proofErr w:type="spellEnd"/>
      <w:r w:rsidRPr="00F94FA3">
        <w:rPr>
          <w:i/>
        </w:rPr>
        <w:t xml:space="preserve"> </w:t>
      </w:r>
      <w:proofErr w:type="spellStart"/>
      <w:r w:rsidRPr="00F94FA3">
        <w:rPr>
          <w:i/>
        </w:rPr>
        <w:t>un</w:t>
      </w:r>
      <w:proofErr w:type="spellEnd"/>
      <w:r w:rsidRPr="00F94FA3">
        <w:rPr>
          <w:i/>
        </w:rPr>
        <w:t xml:space="preserve"> </w:t>
      </w:r>
      <w:proofErr w:type="spellStart"/>
      <w:r w:rsidRPr="00F94FA3">
        <w:rPr>
          <w:i/>
        </w:rPr>
        <w:t>rīcības</w:t>
      </w:r>
      <w:proofErr w:type="spellEnd"/>
      <w:r w:rsidRPr="00F94FA3">
        <w:rPr>
          <w:i/>
        </w:rPr>
        <w:t xml:space="preserve"> </w:t>
      </w:r>
      <w:proofErr w:type="spellStart"/>
      <w:r w:rsidRPr="00F94FA3">
        <w:rPr>
          <w:i/>
        </w:rPr>
        <w:t>spēja</w:t>
      </w:r>
      <w:proofErr w:type="spellEnd"/>
      <w:r w:rsidRPr="00F94FA3">
        <w:rPr>
          <w:i/>
        </w:rPr>
        <w:t xml:space="preserve"> </w:t>
      </w:r>
      <w:proofErr w:type="spellStart"/>
      <w:r w:rsidRPr="00F94FA3">
        <w:rPr>
          <w:i/>
        </w:rPr>
        <w:t>noteicama</w:t>
      </w:r>
      <w:proofErr w:type="spellEnd"/>
      <w:r w:rsidRPr="00F94FA3">
        <w:rPr>
          <w:i/>
        </w:rPr>
        <w:t xml:space="preserve"> </w:t>
      </w:r>
      <w:proofErr w:type="spellStart"/>
      <w:r w:rsidRPr="00F94FA3">
        <w:rPr>
          <w:i/>
        </w:rPr>
        <w:t>pēc</w:t>
      </w:r>
      <w:proofErr w:type="spellEnd"/>
      <w:r w:rsidRPr="00F94FA3">
        <w:rPr>
          <w:i/>
        </w:rPr>
        <w:t xml:space="preserve"> </w:t>
      </w:r>
      <w:proofErr w:type="spellStart"/>
      <w:r w:rsidRPr="00F94FA3">
        <w:rPr>
          <w:i/>
        </w:rPr>
        <w:t>viņas</w:t>
      </w:r>
      <w:proofErr w:type="spellEnd"/>
      <w:r w:rsidRPr="00F94FA3">
        <w:rPr>
          <w:i/>
        </w:rPr>
        <w:t xml:space="preserve"> </w:t>
      </w:r>
      <w:proofErr w:type="spellStart"/>
      <w:r w:rsidRPr="00F94FA3">
        <w:rPr>
          <w:i/>
        </w:rPr>
        <w:t>dzīves</w:t>
      </w:r>
      <w:proofErr w:type="spellEnd"/>
      <w:r w:rsidRPr="00F94FA3">
        <w:rPr>
          <w:i/>
        </w:rPr>
        <w:t xml:space="preserve"> </w:t>
      </w:r>
      <w:proofErr w:type="spellStart"/>
      <w:r w:rsidRPr="00F94FA3">
        <w:rPr>
          <w:i/>
        </w:rPr>
        <w:t>vietas</w:t>
      </w:r>
      <w:proofErr w:type="spellEnd"/>
      <w:r w:rsidRPr="00F94FA3">
        <w:rPr>
          <w:i/>
        </w:rPr>
        <w:t xml:space="preserve"> </w:t>
      </w:r>
      <w:proofErr w:type="spellStart"/>
      <w:r w:rsidRPr="00F94FA3">
        <w:rPr>
          <w:i/>
        </w:rPr>
        <w:t>likuma</w:t>
      </w:r>
      <w:proofErr w:type="spellEnd"/>
      <w:r w:rsidRPr="00F94FA3">
        <w:rPr>
          <w:i/>
        </w:rPr>
        <w:t xml:space="preserve">. </w:t>
      </w:r>
      <w:proofErr w:type="gramStart"/>
      <w:r w:rsidRPr="00F94FA3">
        <w:rPr>
          <w:i/>
        </w:rPr>
        <w:t xml:space="preserve">Ja  </w:t>
      </w:r>
      <w:proofErr w:type="spellStart"/>
      <w:r w:rsidRPr="00F94FA3">
        <w:rPr>
          <w:i/>
        </w:rPr>
        <w:t>personai</w:t>
      </w:r>
      <w:proofErr w:type="spellEnd"/>
      <w:proofErr w:type="gramEnd"/>
      <w:r w:rsidRPr="00F94FA3">
        <w:rPr>
          <w:i/>
        </w:rPr>
        <w:t xml:space="preserve"> </w:t>
      </w:r>
      <w:proofErr w:type="spellStart"/>
      <w:r w:rsidRPr="00F94FA3">
        <w:rPr>
          <w:i/>
        </w:rPr>
        <w:t>ir</w:t>
      </w:r>
      <w:proofErr w:type="spellEnd"/>
      <w:r w:rsidRPr="00F94FA3">
        <w:rPr>
          <w:i/>
        </w:rPr>
        <w:t xml:space="preserve"> </w:t>
      </w:r>
      <w:proofErr w:type="spellStart"/>
      <w:r w:rsidRPr="00F94FA3">
        <w:rPr>
          <w:i/>
        </w:rPr>
        <w:t>vairāk</w:t>
      </w:r>
      <w:proofErr w:type="spellEnd"/>
      <w:r w:rsidRPr="00F94FA3">
        <w:rPr>
          <w:i/>
        </w:rPr>
        <w:t xml:space="preserve"> </w:t>
      </w:r>
      <w:proofErr w:type="spellStart"/>
      <w:r w:rsidRPr="00F94FA3">
        <w:rPr>
          <w:i/>
        </w:rPr>
        <w:t>dzīves</w:t>
      </w:r>
      <w:proofErr w:type="spellEnd"/>
      <w:r w:rsidRPr="00F94FA3">
        <w:rPr>
          <w:i/>
        </w:rPr>
        <w:t xml:space="preserve"> </w:t>
      </w:r>
      <w:proofErr w:type="spellStart"/>
      <w:r w:rsidRPr="00F94FA3">
        <w:rPr>
          <w:i/>
        </w:rPr>
        <w:t>vietu</w:t>
      </w:r>
      <w:proofErr w:type="spellEnd"/>
      <w:r w:rsidRPr="00F94FA3">
        <w:rPr>
          <w:i/>
        </w:rPr>
        <w:t xml:space="preserve"> </w:t>
      </w:r>
      <w:proofErr w:type="spellStart"/>
      <w:r w:rsidRPr="00F94FA3">
        <w:rPr>
          <w:i/>
        </w:rPr>
        <w:t>un</w:t>
      </w:r>
      <w:proofErr w:type="spellEnd"/>
      <w:r w:rsidRPr="00F94FA3">
        <w:rPr>
          <w:i/>
        </w:rPr>
        <w:t xml:space="preserve"> </w:t>
      </w:r>
      <w:proofErr w:type="spellStart"/>
      <w:r w:rsidRPr="00F94FA3">
        <w:rPr>
          <w:i/>
        </w:rPr>
        <w:t>viena</w:t>
      </w:r>
      <w:proofErr w:type="spellEnd"/>
      <w:r w:rsidRPr="00F94FA3">
        <w:rPr>
          <w:i/>
        </w:rPr>
        <w:t xml:space="preserve"> </w:t>
      </w:r>
      <w:proofErr w:type="spellStart"/>
      <w:r w:rsidRPr="00F94FA3">
        <w:rPr>
          <w:i/>
        </w:rPr>
        <w:t>no</w:t>
      </w:r>
      <w:proofErr w:type="spellEnd"/>
      <w:r w:rsidRPr="00F94FA3">
        <w:rPr>
          <w:i/>
        </w:rPr>
        <w:t xml:space="preserve"> </w:t>
      </w:r>
      <w:proofErr w:type="spellStart"/>
      <w:r w:rsidRPr="00F94FA3">
        <w:rPr>
          <w:i/>
        </w:rPr>
        <w:t>tām</w:t>
      </w:r>
      <w:proofErr w:type="spellEnd"/>
      <w:r w:rsidRPr="00F94FA3">
        <w:rPr>
          <w:i/>
        </w:rPr>
        <w:t xml:space="preserve"> </w:t>
      </w:r>
      <w:proofErr w:type="spellStart"/>
      <w:r w:rsidRPr="00F94FA3">
        <w:rPr>
          <w:i/>
        </w:rPr>
        <w:t>Latvijā</w:t>
      </w:r>
      <w:proofErr w:type="spellEnd"/>
      <w:r w:rsidRPr="00F94FA3">
        <w:rPr>
          <w:i/>
        </w:rPr>
        <w:t xml:space="preserve">, </w:t>
      </w:r>
      <w:proofErr w:type="spellStart"/>
      <w:r w:rsidRPr="00F94FA3">
        <w:rPr>
          <w:i/>
        </w:rPr>
        <w:t>tad</w:t>
      </w:r>
      <w:proofErr w:type="spellEnd"/>
      <w:r w:rsidRPr="00F94FA3">
        <w:rPr>
          <w:i/>
        </w:rPr>
        <w:t xml:space="preserve"> </w:t>
      </w:r>
      <w:proofErr w:type="spellStart"/>
      <w:r w:rsidRPr="00F94FA3">
        <w:rPr>
          <w:i/>
        </w:rPr>
        <w:t>viņas</w:t>
      </w:r>
      <w:proofErr w:type="spellEnd"/>
      <w:r w:rsidRPr="00F94FA3">
        <w:rPr>
          <w:i/>
        </w:rPr>
        <w:t xml:space="preserve"> </w:t>
      </w:r>
      <w:proofErr w:type="spellStart"/>
      <w:r w:rsidRPr="00F94FA3">
        <w:rPr>
          <w:i/>
        </w:rPr>
        <w:t>tiesību</w:t>
      </w:r>
      <w:proofErr w:type="spellEnd"/>
      <w:r w:rsidRPr="00F94FA3">
        <w:rPr>
          <w:i/>
        </w:rPr>
        <w:t xml:space="preserve"> </w:t>
      </w:r>
      <w:proofErr w:type="spellStart"/>
      <w:r w:rsidRPr="00F94FA3">
        <w:rPr>
          <w:i/>
        </w:rPr>
        <w:t>un</w:t>
      </w:r>
      <w:proofErr w:type="spellEnd"/>
      <w:r w:rsidRPr="00F94FA3">
        <w:rPr>
          <w:i/>
        </w:rPr>
        <w:t xml:space="preserve"> </w:t>
      </w:r>
      <w:proofErr w:type="spellStart"/>
      <w:r w:rsidRPr="00F94FA3">
        <w:rPr>
          <w:i/>
        </w:rPr>
        <w:t>rīcības</w:t>
      </w:r>
      <w:proofErr w:type="spellEnd"/>
      <w:r w:rsidRPr="00F94FA3">
        <w:rPr>
          <w:i/>
        </w:rPr>
        <w:t xml:space="preserve"> </w:t>
      </w:r>
      <w:proofErr w:type="spellStart"/>
      <w:r w:rsidRPr="00F94FA3">
        <w:rPr>
          <w:i/>
        </w:rPr>
        <w:t>spēja</w:t>
      </w:r>
      <w:proofErr w:type="spellEnd"/>
      <w:r w:rsidRPr="00F94FA3">
        <w:rPr>
          <w:i/>
        </w:rPr>
        <w:t xml:space="preserve"> , </w:t>
      </w:r>
      <w:proofErr w:type="spellStart"/>
      <w:r w:rsidRPr="00F94FA3">
        <w:rPr>
          <w:i/>
        </w:rPr>
        <w:t>kā</w:t>
      </w:r>
      <w:proofErr w:type="spellEnd"/>
      <w:r w:rsidRPr="00F94FA3">
        <w:rPr>
          <w:i/>
        </w:rPr>
        <w:t xml:space="preserve"> </w:t>
      </w:r>
      <w:proofErr w:type="spellStart"/>
      <w:r w:rsidRPr="00F94FA3">
        <w:rPr>
          <w:i/>
        </w:rPr>
        <w:t>arī</w:t>
      </w:r>
      <w:proofErr w:type="spellEnd"/>
      <w:r w:rsidRPr="00F94FA3">
        <w:rPr>
          <w:i/>
        </w:rPr>
        <w:t xml:space="preserve"> </w:t>
      </w:r>
      <w:proofErr w:type="spellStart"/>
      <w:r w:rsidRPr="00F94FA3">
        <w:rPr>
          <w:i/>
        </w:rPr>
        <w:t>tiesiskās</w:t>
      </w:r>
      <w:proofErr w:type="spellEnd"/>
      <w:r w:rsidRPr="00F94FA3">
        <w:rPr>
          <w:i/>
        </w:rPr>
        <w:t xml:space="preserve"> </w:t>
      </w:r>
      <w:proofErr w:type="spellStart"/>
      <w:r w:rsidRPr="00F94FA3">
        <w:rPr>
          <w:i/>
        </w:rPr>
        <w:t>darbības</w:t>
      </w:r>
      <w:proofErr w:type="spellEnd"/>
      <w:r w:rsidRPr="00F94FA3">
        <w:rPr>
          <w:i/>
        </w:rPr>
        <w:t xml:space="preserve"> </w:t>
      </w:r>
      <w:proofErr w:type="spellStart"/>
      <w:r w:rsidRPr="00F94FA3">
        <w:rPr>
          <w:i/>
        </w:rPr>
        <w:t>sekas</w:t>
      </w:r>
      <w:proofErr w:type="spellEnd"/>
      <w:r w:rsidRPr="00F94FA3">
        <w:rPr>
          <w:i/>
        </w:rPr>
        <w:t xml:space="preserve"> </w:t>
      </w:r>
      <w:proofErr w:type="spellStart"/>
      <w:r w:rsidRPr="00F94FA3">
        <w:rPr>
          <w:i/>
        </w:rPr>
        <w:t>jāapspriež</w:t>
      </w:r>
      <w:proofErr w:type="spellEnd"/>
      <w:r w:rsidRPr="00F94FA3">
        <w:rPr>
          <w:i/>
        </w:rPr>
        <w:t xml:space="preserve"> </w:t>
      </w:r>
      <w:proofErr w:type="spellStart"/>
      <w:r w:rsidRPr="00F94FA3">
        <w:rPr>
          <w:i/>
        </w:rPr>
        <w:t>pēc</w:t>
      </w:r>
      <w:proofErr w:type="spellEnd"/>
      <w:r w:rsidRPr="00F94FA3">
        <w:rPr>
          <w:i/>
        </w:rPr>
        <w:t xml:space="preserve"> Latvijas </w:t>
      </w:r>
      <w:proofErr w:type="spellStart"/>
      <w:r w:rsidRPr="00F94FA3">
        <w:rPr>
          <w:i/>
        </w:rPr>
        <w:t>likuma</w:t>
      </w:r>
      <w:proofErr w:type="spellEnd"/>
      <w:r w:rsidRPr="00F94FA3">
        <w:rPr>
          <w:i/>
        </w:rPr>
        <w:t xml:space="preserve">. (2) </w:t>
      </w:r>
      <w:proofErr w:type="spellStart"/>
      <w:r w:rsidRPr="00F94FA3">
        <w:rPr>
          <w:i/>
        </w:rPr>
        <w:t>Ārzemnieku</w:t>
      </w:r>
      <w:proofErr w:type="spellEnd"/>
      <w:r w:rsidRPr="00F94FA3">
        <w:rPr>
          <w:i/>
        </w:rPr>
        <w:t xml:space="preserve">, kam </w:t>
      </w:r>
      <w:proofErr w:type="spellStart"/>
      <w:r w:rsidRPr="00F94FA3">
        <w:rPr>
          <w:i/>
        </w:rPr>
        <w:t>nav</w:t>
      </w:r>
      <w:proofErr w:type="spellEnd"/>
      <w:r w:rsidRPr="00F94FA3">
        <w:rPr>
          <w:i/>
        </w:rPr>
        <w:t xml:space="preserve"> </w:t>
      </w:r>
      <w:proofErr w:type="spellStart"/>
      <w:r w:rsidRPr="00F94FA3">
        <w:rPr>
          <w:i/>
        </w:rPr>
        <w:t>rīcības</w:t>
      </w:r>
      <w:proofErr w:type="spellEnd"/>
      <w:r w:rsidRPr="00F94FA3">
        <w:rPr>
          <w:i/>
        </w:rPr>
        <w:t xml:space="preserve"> </w:t>
      </w:r>
      <w:proofErr w:type="spellStart"/>
      <w:r w:rsidRPr="00F94FA3">
        <w:rPr>
          <w:i/>
        </w:rPr>
        <w:t>spējas</w:t>
      </w:r>
      <w:proofErr w:type="spellEnd"/>
      <w:r w:rsidRPr="00F94FA3">
        <w:rPr>
          <w:i/>
        </w:rPr>
        <w:t xml:space="preserve">, </w:t>
      </w:r>
      <w:proofErr w:type="spellStart"/>
      <w:r w:rsidRPr="00F94FA3">
        <w:rPr>
          <w:i/>
        </w:rPr>
        <w:t>bet</w:t>
      </w:r>
      <w:proofErr w:type="spellEnd"/>
      <w:r w:rsidRPr="00F94FA3">
        <w:rPr>
          <w:i/>
        </w:rPr>
        <w:t xml:space="preserve"> kam </w:t>
      </w:r>
      <w:proofErr w:type="spellStart"/>
      <w:r w:rsidRPr="00F94FA3">
        <w:rPr>
          <w:i/>
        </w:rPr>
        <w:t>to</w:t>
      </w:r>
      <w:proofErr w:type="spellEnd"/>
      <w:r w:rsidRPr="00F94FA3">
        <w:rPr>
          <w:i/>
        </w:rPr>
        <w:t xml:space="preserve"> </w:t>
      </w:r>
      <w:proofErr w:type="spellStart"/>
      <w:r w:rsidRPr="00F94FA3">
        <w:rPr>
          <w:i/>
        </w:rPr>
        <w:t>varētu</w:t>
      </w:r>
      <w:proofErr w:type="spellEnd"/>
      <w:r w:rsidRPr="00F94FA3">
        <w:rPr>
          <w:i/>
        </w:rPr>
        <w:t xml:space="preserve"> </w:t>
      </w:r>
      <w:proofErr w:type="spellStart"/>
      <w:r w:rsidRPr="00F94FA3">
        <w:rPr>
          <w:i/>
        </w:rPr>
        <w:t>atzīt</w:t>
      </w:r>
      <w:proofErr w:type="spellEnd"/>
      <w:r w:rsidRPr="00F94FA3">
        <w:rPr>
          <w:i/>
        </w:rPr>
        <w:t xml:space="preserve"> </w:t>
      </w:r>
      <w:proofErr w:type="spellStart"/>
      <w:r w:rsidRPr="00F94FA3">
        <w:rPr>
          <w:i/>
        </w:rPr>
        <w:t>pēc</w:t>
      </w:r>
      <w:proofErr w:type="spellEnd"/>
      <w:r w:rsidRPr="00F94FA3">
        <w:rPr>
          <w:i/>
        </w:rPr>
        <w:t xml:space="preserve"> Latvijas </w:t>
      </w:r>
      <w:proofErr w:type="spellStart"/>
      <w:r w:rsidRPr="00F94FA3">
        <w:rPr>
          <w:i/>
        </w:rPr>
        <w:t>likuma</w:t>
      </w:r>
      <w:proofErr w:type="spellEnd"/>
      <w:r w:rsidRPr="00F94FA3">
        <w:rPr>
          <w:i/>
        </w:rPr>
        <w:t xml:space="preserve">, </w:t>
      </w:r>
      <w:proofErr w:type="spellStart"/>
      <w:r w:rsidRPr="00F94FA3">
        <w:rPr>
          <w:i/>
        </w:rPr>
        <w:t>saista</w:t>
      </w:r>
      <w:proofErr w:type="spellEnd"/>
      <w:r w:rsidRPr="00F94FA3">
        <w:rPr>
          <w:i/>
        </w:rPr>
        <w:t xml:space="preserve"> </w:t>
      </w:r>
      <w:proofErr w:type="spellStart"/>
      <w:r w:rsidRPr="00F94FA3">
        <w:rPr>
          <w:i/>
        </w:rPr>
        <w:t>viņa</w:t>
      </w:r>
      <w:proofErr w:type="spellEnd"/>
      <w:r w:rsidRPr="00F94FA3">
        <w:rPr>
          <w:i/>
        </w:rPr>
        <w:t xml:space="preserve"> </w:t>
      </w:r>
      <w:proofErr w:type="spellStart"/>
      <w:r w:rsidRPr="00F94FA3">
        <w:rPr>
          <w:i/>
        </w:rPr>
        <w:t>tiesiskā</w:t>
      </w:r>
      <w:proofErr w:type="spellEnd"/>
      <w:r w:rsidRPr="00F94FA3">
        <w:rPr>
          <w:i/>
        </w:rPr>
        <w:t xml:space="preserve"> </w:t>
      </w:r>
      <w:proofErr w:type="spellStart"/>
      <w:r w:rsidRPr="00F94FA3">
        <w:rPr>
          <w:i/>
        </w:rPr>
        <w:t>rīcība</w:t>
      </w:r>
      <w:proofErr w:type="spellEnd"/>
      <w:r w:rsidRPr="00F94FA3">
        <w:rPr>
          <w:i/>
        </w:rPr>
        <w:t xml:space="preserve">, </w:t>
      </w:r>
      <w:proofErr w:type="spellStart"/>
      <w:r w:rsidRPr="00F94FA3">
        <w:rPr>
          <w:i/>
        </w:rPr>
        <w:t>kas</w:t>
      </w:r>
      <w:proofErr w:type="spellEnd"/>
      <w:r w:rsidRPr="00F94FA3">
        <w:rPr>
          <w:i/>
        </w:rPr>
        <w:t xml:space="preserve"> </w:t>
      </w:r>
      <w:proofErr w:type="spellStart"/>
      <w:r w:rsidRPr="00F94FA3">
        <w:rPr>
          <w:i/>
        </w:rPr>
        <w:t>izdarīta</w:t>
      </w:r>
      <w:proofErr w:type="spellEnd"/>
      <w:r w:rsidRPr="00F94FA3">
        <w:rPr>
          <w:i/>
        </w:rPr>
        <w:t xml:space="preserve"> </w:t>
      </w:r>
      <w:proofErr w:type="spellStart"/>
      <w:r w:rsidRPr="00F94FA3">
        <w:rPr>
          <w:i/>
        </w:rPr>
        <w:t>Latvijā</w:t>
      </w:r>
      <w:proofErr w:type="spellEnd"/>
      <w:r w:rsidRPr="00F94FA3">
        <w:rPr>
          <w:i/>
        </w:rPr>
        <w:t xml:space="preserve">, ja </w:t>
      </w:r>
      <w:proofErr w:type="spellStart"/>
      <w:r w:rsidRPr="00F94FA3">
        <w:rPr>
          <w:i/>
        </w:rPr>
        <w:t>to</w:t>
      </w:r>
      <w:proofErr w:type="spellEnd"/>
      <w:r w:rsidRPr="00F94FA3">
        <w:rPr>
          <w:i/>
        </w:rPr>
        <w:t xml:space="preserve"> </w:t>
      </w:r>
      <w:proofErr w:type="spellStart"/>
      <w:r w:rsidRPr="00F94FA3">
        <w:rPr>
          <w:i/>
        </w:rPr>
        <w:t>prasa</w:t>
      </w:r>
      <w:proofErr w:type="spellEnd"/>
      <w:r w:rsidRPr="00F94FA3">
        <w:rPr>
          <w:i/>
        </w:rPr>
        <w:t xml:space="preserve"> </w:t>
      </w:r>
      <w:proofErr w:type="spellStart"/>
      <w:r w:rsidRPr="00F94FA3">
        <w:rPr>
          <w:i/>
        </w:rPr>
        <w:t>tiesiskās</w:t>
      </w:r>
      <w:proofErr w:type="spellEnd"/>
      <w:r w:rsidRPr="00F94FA3">
        <w:rPr>
          <w:i/>
        </w:rPr>
        <w:t xml:space="preserve"> </w:t>
      </w:r>
      <w:proofErr w:type="spellStart"/>
      <w:r w:rsidRPr="00F94FA3">
        <w:rPr>
          <w:i/>
        </w:rPr>
        <w:t>apgrozības</w:t>
      </w:r>
      <w:proofErr w:type="spellEnd"/>
      <w:r w:rsidRPr="00F94FA3">
        <w:rPr>
          <w:i/>
        </w:rPr>
        <w:t xml:space="preserve"> </w:t>
      </w:r>
      <w:proofErr w:type="spellStart"/>
      <w:r w:rsidRPr="00F94FA3">
        <w:rPr>
          <w:i/>
        </w:rPr>
        <w:t>intereses</w:t>
      </w:r>
      <w:proofErr w:type="spellEnd"/>
      <w:r w:rsidRPr="00F94FA3">
        <w:rPr>
          <w:i/>
        </w:rPr>
        <w:t xml:space="preserve">“. </w:t>
      </w:r>
    </w:p>
    <w:p w14:paraId="553B7FF4" w14:textId="36393D9C" w:rsidR="00114953" w:rsidRPr="00645C32" w:rsidRDefault="00114953" w:rsidP="00114953">
      <w:pPr>
        <w:pStyle w:val="tv213"/>
        <w:ind w:firstLine="708"/>
        <w:jc w:val="both"/>
        <w:rPr>
          <w:i/>
        </w:rPr>
      </w:pPr>
      <w:r w:rsidRPr="00F94FA3">
        <w:rPr>
          <w:lang w:val="lv-LV"/>
        </w:rPr>
        <w:t xml:space="preserve">Kā redzams, Latvijā dzīvojošas fiziskas personas rīcībspēja būs nosakāma pēc Latvijas likuma. Ja ārzemniekam (kuram nav dzīvesvietas Latvijā), saskaņā ar viņa dzīvesvietas valsts likumu nav rīcībspējas un viņš ir veicis tiesisku rīcību Latvijā, tad šāda tiesiskā rīcība šo personu saista, ja: 1) tai pēc Latvijas likuma var atzīt rīcībspēju, </w:t>
      </w:r>
      <w:r w:rsidRPr="003612BC">
        <w:rPr>
          <w:b/>
          <w:lang w:val="lv-LV"/>
        </w:rPr>
        <w:t>un</w:t>
      </w:r>
      <w:r w:rsidRPr="00F94FA3">
        <w:rPr>
          <w:lang w:val="lv-LV"/>
        </w:rPr>
        <w:t xml:space="preserve"> 2) to prasa tiesiskās apgrozības intereses. </w:t>
      </w:r>
      <w:r>
        <w:rPr>
          <w:lang w:val="lv-LV"/>
        </w:rPr>
        <w:t>Līdzīgu (bet ne analoģisku tiesību normu) satur Roma I Regulas 13.pants saskaņā ar kuru: “</w:t>
      </w:r>
      <w:r w:rsidRPr="00EA5674">
        <w:rPr>
          <w:i/>
          <w:lang w:val="lv-LV"/>
        </w:rPr>
        <w:t>Starp vienā un tajā pašā valstī</w:t>
      </w:r>
      <w:r>
        <w:rPr>
          <w:i/>
          <w:lang w:val="lv-LV"/>
        </w:rPr>
        <w:t xml:space="preserve"> esošām personām noslēgta līguma gadījumā fiziskā persona, kura būtu rīcībspējīga saskaņā ar attiecīgās valsts tiesību aktiem, var atsaukties uz savu rīcībnespēju, kas izriet no citas valsts tiesību aktiem, vienīgi tādā gadījumā, ja otra līgumslēdzēja puse līguma noslēgšanas laikā zināja par šo rīcībnespēju vai neuzmanības dēļ nezināja par to”. </w:t>
      </w:r>
      <w:r>
        <w:rPr>
          <w:lang w:val="lv-LV"/>
        </w:rPr>
        <w:t>Šī pieeja Roma I Regulā un, iespējams, arī CL Ievadā, ir aizgūta no Francijas Kasācijas tiesas prakses, proti</w:t>
      </w:r>
      <w:r w:rsidR="00485054">
        <w:rPr>
          <w:lang w:val="lv-LV"/>
        </w:rPr>
        <w:t>, 1861.gada l6.janvāra sprieduma</w:t>
      </w:r>
      <w:r>
        <w:rPr>
          <w:lang w:val="lv-LV"/>
        </w:rPr>
        <w:t xml:space="preserve"> lietā </w:t>
      </w:r>
      <w:r>
        <w:rPr>
          <w:lang w:val="lv-LV"/>
        </w:rPr>
        <w:lastRenderedPageBreak/>
        <w:t>“</w:t>
      </w:r>
      <w:proofErr w:type="spellStart"/>
      <w:r w:rsidRPr="006C2A59">
        <w:rPr>
          <w:i/>
          <w:lang w:val="lv-LV"/>
        </w:rPr>
        <w:t>Lizardi</w:t>
      </w:r>
      <w:proofErr w:type="spellEnd"/>
      <w:r>
        <w:rPr>
          <w:lang w:val="lv-LV"/>
        </w:rPr>
        <w:t>”</w:t>
      </w:r>
      <w:r>
        <w:rPr>
          <w:rStyle w:val="FootnoteReference"/>
          <w:lang w:val="lv-LV"/>
        </w:rPr>
        <w:footnoteReference w:id="11"/>
      </w:r>
      <w:r>
        <w:rPr>
          <w:lang w:val="lv-LV"/>
        </w:rPr>
        <w:t xml:space="preserve">, kurā tiesa noteica t.s. atvainojamo nezināšanu (franču val. – </w:t>
      </w:r>
      <w:r w:rsidRPr="006C2A59">
        <w:rPr>
          <w:i/>
          <w:lang w:val="lv-LV"/>
        </w:rPr>
        <w:t xml:space="preserve">ignorance </w:t>
      </w:r>
      <w:proofErr w:type="spellStart"/>
      <w:r w:rsidRPr="006C2A59">
        <w:rPr>
          <w:i/>
          <w:lang w:val="lv-LV"/>
        </w:rPr>
        <w:t>excusable</w:t>
      </w:r>
      <w:proofErr w:type="spellEnd"/>
      <w:r>
        <w:rPr>
          <w:lang w:val="lv-LV"/>
        </w:rPr>
        <w:t>) saskaņā ar kuru darījuma puse var atsaukties uz to, ka viņa nezināja, ka tās darījuma partnerim saskaņā ar viņa pilsonības valsts likumu (</w:t>
      </w:r>
      <w:proofErr w:type="spellStart"/>
      <w:r w:rsidRPr="006C2A59">
        <w:rPr>
          <w:i/>
          <w:lang w:val="lv-LV"/>
        </w:rPr>
        <w:t>lex</w:t>
      </w:r>
      <w:proofErr w:type="spellEnd"/>
      <w:r w:rsidRPr="006C2A59">
        <w:rPr>
          <w:i/>
          <w:lang w:val="lv-LV"/>
        </w:rPr>
        <w:t xml:space="preserve"> </w:t>
      </w:r>
      <w:proofErr w:type="spellStart"/>
      <w:r w:rsidRPr="006C2A59">
        <w:rPr>
          <w:i/>
          <w:lang w:val="lv-LV"/>
        </w:rPr>
        <w:t>patriae</w:t>
      </w:r>
      <w:proofErr w:type="spellEnd"/>
      <w:r>
        <w:rPr>
          <w:lang w:val="lv-LV"/>
        </w:rPr>
        <w:t>) trūkst rīcības spējas slēgt darījumus. Šāda pieeja izriet no tā, ka persona, kura slēdz darījumu, nevar zināt visu valstu likumus fizisku personu rīcībspējas jomā.</w:t>
      </w:r>
      <w:r>
        <w:rPr>
          <w:rStyle w:val="FootnoteReference"/>
          <w:lang w:val="lv-LV"/>
        </w:rPr>
        <w:footnoteReference w:id="12"/>
      </w:r>
      <w:r>
        <w:rPr>
          <w:lang w:val="lv-LV"/>
        </w:rPr>
        <w:t xml:space="preserve"> Jau 1938.gadā Latvijas Republikas Augstākās tiesas senators </w:t>
      </w:r>
      <w:proofErr w:type="spellStart"/>
      <w:r>
        <w:rPr>
          <w:lang w:val="lv-LV"/>
        </w:rPr>
        <w:t>O.Ozoliņš</w:t>
      </w:r>
      <w:proofErr w:type="spellEnd"/>
      <w:r>
        <w:rPr>
          <w:lang w:val="lv-LV"/>
        </w:rPr>
        <w:t xml:space="preserve"> rakstīja par CL Ievada 8.pantu sekojošo: “</w:t>
      </w:r>
      <w:r w:rsidRPr="00645C32">
        <w:rPr>
          <w:i/>
          <w:lang w:val="lv-LV"/>
        </w:rPr>
        <w:t>Latvijas</w:t>
      </w:r>
      <w:r>
        <w:rPr>
          <w:i/>
          <w:lang w:val="lv-LV"/>
        </w:rPr>
        <w:t xml:space="preserve"> pilsoņu interesēs ieviests noteikums, ka, ja viņi saistījušies Latvijā ar kādu ārzemnieku, kam nav nedz domicila Latvijā, nedz rīcības spējas pēc dzīves vietas likuma (kur, piem., pilngadība noteikta citādi), šāds ārzemnieks nevar atsaukties uz rīcības spējas trūkumu, ja viņam rīcības spēju var atzīt pēc Latvijas likuma. Šāda ārzemnieka piesaistīšana darījumam tomēr pielaižama vienīgi tiktāl, ciktāl to prasa Latvijas “tiesiskās apgrozības intereses”, jeb kā to Polijas </w:t>
      </w:r>
      <w:proofErr w:type="spellStart"/>
      <w:r>
        <w:rPr>
          <w:i/>
          <w:lang w:val="lv-LV"/>
        </w:rPr>
        <w:t>kollīziju</w:t>
      </w:r>
      <w:proofErr w:type="spellEnd"/>
      <w:r>
        <w:rPr>
          <w:i/>
          <w:lang w:val="lv-LV"/>
        </w:rPr>
        <w:t xml:space="preserve"> norma izteic: “ja to prasa godīgas apgrozības drošība”, kas pēc būtības ir viens un tas pats”.</w:t>
      </w:r>
      <w:r>
        <w:rPr>
          <w:rStyle w:val="FootnoteReference"/>
          <w:i/>
          <w:lang w:val="lv-LV"/>
        </w:rPr>
        <w:footnoteReference w:id="13"/>
      </w:r>
      <w:r>
        <w:rPr>
          <w:i/>
          <w:lang w:val="lv-LV"/>
        </w:rPr>
        <w:t xml:space="preserve"> </w:t>
      </w:r>
    </w:p>
    <w:p w14:paraId="66A88E14" w14:textId="4CFD5619" w:rsidR="00114953" w:rsidRDefault="00CD4311" w:rsidP="00114953">
      <w:pPr>
        <w:pStyle w:val="tv213"/>
        <w:ind w:firstLine="708"/>
        <w:jc w:val="both"/>
        <w:rPr>
          <w:rFonts w:cs="Arial"/>
          <w:color w:val="323233"/>
        </w:rPr>
      </w:pPr>
      <w:proofErr w:type="spellStart"/>
      <w:r>
        <w:rPr>
          <w:rFonts w:asciiTheme="majorBidi" w:hAnsiTheme="majorBidi" w:cstheme="majorBidi"/>
        </w:rPr>
        <w:t>Saskaņā</w:t>
      </w:r>
      <w:proofErr w:type="spellEnd"/>
      <w:r>
        <w:rPr>
          <w:rFonts w:asciiTheme="majorBidi" w:hAnsiTheme="majorBidi" w:cstheme="majorBidi"/>
        </w:rPr>
        <w:t xml:space="preserve"> </w:t>
      </w:r>
      <w:proofErr w:type="spellStart"/>
      <w:r>
        <w:rPr>
          <w:rFonts w:asciiTheme="majorBidi" w:hAnsiTheme="majorBidi" w:cstheme="majorBidi"/>
        </w:rPr>
        <w:t>ar</w:t>
      </w:r>
      <w:proofErr w:type="spellEnd"/>
      <w:r>
        <w:rPr>
          <w:rFonts w:asciiTheme="majorBidi" w:hAnsiTheme="majorBidi" w:cstheme="majorBidi"/>
        </w:rPr>
        <w:t xml:space="preserve"> </w:t>
      </w:r>
      <w:proofErr w:type="spellStart"/>
      <w:r>
        <w:rPr>
          <w:rFonts w:asciiTheme="majorBidi" w:hAnsiTheme="majorBidi" w:cstheme="majorBidi"/>
        </w:rPr>
        <w:t>likuma</w:t>
      </w:r>
      <w:proofErr w:type="spellEnd"/>
      <w:r>
        <w:rPr>
          <w:rFonts w:asciiTheme="majorBidi" w:hAnsiTheme="majorBidi" w:cstheme="majorBidi"/>
        </w:rPr>
        <w:t xml:space="preserve"> „</w:t>
      </w:r>
      <w:r w:rsidR="00114953">
        <w:rPr>
          <w:rFonts w:asciiTheme="majorBidi" w:hAnsiTheme="majorBidi" w:cstheme="majorBidi"/>
        </w:rPr>
        <w:t xml:space="preserve">Par Latvijas </w:t>
      </w:r>
      <w:proofErr w:type="spellStart"/>
      <w:r w:rsidR="00114953">
        <w:rPr>
          <w:rFonts w:asciiTheme="majorBidi" w:hAnsiTheme="majorBidi" w:cstheme="majorBidi"/>
        </w:rPr>
        <w:t>Republikas</w:t>
      </w:r>
      <w:proofErr w:type="spellEnd"/>
      <w:r w:rsidR="00114953">
        <w:rPr>
          <w:rFonts w:asciiTheme="majorBidi" w:hAnsiTheme="majorBidi" w:cstheme="majorBidi"/>
        </w:rPr>
        <w:t xml:space="preserve"> </w:t>
      </w:r>
      <w:proofErr w:type="spellStart"/>
      <w:r w:rsidR="00114953">
        <w:rPr>
          <w:rFonts w:asciiTheme="majorBidi" w:hAnsiTheme="majorBidi" w:cstheme="majorBidi"/>
        </w:rPr>
        <w:t>starptau</w:t>
      </w:r>
      <w:r>
        <w:rPr>
          <w:rFonts w:asciiTheme="majorBidi" w:hAnsiTheme="majorBidi" w:cstheme="majorBidi"/>
        </w:rPr>
        <w:t>tiskajiem</w:t>
      </w:r>
      <w:proofErr w:type="spellEnd"/>
      <w:r>
        <w:rPr>
          <w:rFonts w:asciiTheme="majorBidi" w:hAnsiTheme="majorBidi" w:cstheme="majorBidi"/>
        </w:rPr>
        <w:t xml:space="preserve"> </w:t>
      </w:r>
      <w:proofErr w:type="spellStart"/>
      <w:r>
        <w:rPr>
          <w:rFonts w:asciiTheme="majorBidi" w:hAnsiTheme="majorBidi" w:cstheme="majorBidi"/>
        </w:rPr>
        <w:t>līgumiem</w:t>
      </w:r>
      <w:proofErr w:type="spellEnd"/>
      <w:r>
        <w:rPr>
          <w:rFonts w:asciiTheme="majorBidi" w:hAnsiTheme="majorBidi" w:cstheme="majorBidi"/>
        </w:rPr>
        <w:t>“</w:t>
      </w:r>
      <w:r w:rsidR="00114953">
        <w:rPr>
          <w:rFonts w:asciiTheme="majorBidi" w:hAnsiTheme="majorBidi" w:cstheme="majorBidi"/>
        </w:rPr>
        <w:t xml:space="preserve"> 13.pantu: </w:t>
      </w:r>
      <w:r>
        <w:rPr>
          <w:rFonts w:asciiTheme="majorBidi" w:hAnsiTheme="majorBidi" w:cstheme="majorBidi"/>
        </w:rPr>
        <w:t>„</w:t>
      </w:r>
      <w:r w:rsidR="00114953" w:rsidRPr="00890590">
        <w:rPr>
          <w:rFonts w:cs="Arial"/>
          <w:i/>
          <w:color w:val="323233"/>
        </w:rPr>
        <w:t xml:space="preserve">Ja </w:t>
      </w:r>
      <w:proofErr w:type="spellStart"/>
      <w:r w:rsidR="00114953" w:rsidRPr="00890590">
        <w:rPr>
          <w:rFonts w:cs="Arial"/>
          <w:i/>
          <w:color w:val="323233"/>
        </w:rPr>
        <w:t>starptautiskajā</w:t>
      </w:r>
      <w:proofErr w:type="spellEnd"/>
      <w:r w:rsidR="00114953" w:rsidRPr="00890590">
        <w:rPr>
          <w:rFonts w:cs="Arial"/>
          <w:i/>
          <w:color w:val="323233"/>
        </w:rPr>
        <w:t xml:space="preserve"> </w:t>
      </w:r>
      <w:proofErr w:type="spellStart"/>
      <w:r w:rsidR="00114953" w:rsidRPr="00890590">
        <w:rPr>
          <w:rFonts w:cs="Arial"/>
          <w:i/>
          <w:color w:val="323233"/>
        </w:rPr>
        <w:t>līgumā</w:t>
      </w:r>
      <w:proofErr w:type="spellEnd"/>
      <w:r w:rsidR="00114953" w:rsidRPr="00890590">
        <w:rPr>
          <w:rFonts w:cs="Arial"/>
          <w:i/>
          <w:color w:val="323233"/>
        </w:rPr>
        <w:t xml:space="preserve">, </w:t>
      </w:r>
      <w:proofErr w:type="spellStart"/>
      <w:r w:rsidR="00114953" w:rsidRPr="00890590">
        <w:rPr>
          <w:rFonts w:cs="Arial"/>
          <w:i/>
          <w:color w:val="323233"/>
        </w:rPr>
        <w:t>kuru</w:t>
      </w:r>
      <w:proofErr w:type="spellEnd"/>
      <w:r w:rsidR="00114953" w:rsidRPr="00890590">
        <w:rPr>
          <w:rFonts w:cs="Arial"/>
          <w:i/>
          <w:color w:val="323233"/>
        </w:rPr>
        <w:t xml:space="preserve"> Saeima </w:t>
      </w:r>
      <w:proofErr w:type="spellStart"/>
      <w:r w:rsidR="00114953" w:rsidRPr="00890590">
        <w:rPr>
          <w:rFonts w:cs="Arial"/>
          <w:i/>
          <w:color w:val="323233"/>
        </w:rPr>
        <w:t>ir</w:t>
      </w:r>
      <w:proofErr w:type="spellEnd"/>
      <w:r w:rsidR="00114953" w:rsidRPr="00890590">
        <w:rPr>
          <w:rFonts w:cs="Arial"/>
          <w:i/>
          <w:color w:val="323233"/>
        </w:rPr>
        <w:t xml:space="preserve"> </w:t>
      </w:r>
      <w:proofErr w:type="spellStart"/>
      <w:r w:rsidR="00114953" w:rsidRPr="00890590">
        <w:rPr>
          <w:rFonts w:cs="Arial"/>
          <w:i/>
          <w:color w:val="323233"/>
        </w:rPr>
        <w:t>apstiprinājusi</w:t>
      </w:r>
      <w:proofErr w:type="spellEnd"/>
      <w:r w:rsidR="00114953" w:rsidRPr="00890590">
        <w:rPr>
          <w:rFonts w:cs="Arial"/>
          <w:i/>
          <w:color w:val="323233"/>
        </w:rPr>
        <w:t xml:space="preserve">, </w:t>
      </w:r>
      <w:proofErr w:type="spellStart"/>
      <w:r w:rsidR="00114953" w:rsidRPr="00890590">
        <w:rPr>
          <w:rFonts w:cs="Arial"/>
          <w:i/>
          <w:color w:val="323233"/>
        </w:rPr>
        <w:t>paredzēti</w:t>
      </w:r>
      <w:proofErr w:type="spellEnd"/>
      <w:r w:rsidR="00114953" w:rsidRPr="00890590">
        <w:rPr>
          <w:rFonts w:cs="Arial"/>
          <w:i/>
          <w:color w:val="323233"/>
        </w:rPr>
        <w:t xml:space="preserve"> </w:t>
      </w:r>
      <w:proofErr w:type="spellStart"/>
      <w:r w:rsidR="00114953" w:rsidRPr="00890590">
        <w:rPr>
          <w:rFonts w:cs="Arial"/>
          <w:i/>
          <w:color w:val="323233"/>
        </w:rPr>
        <w:t>citādi</w:t>
      </w:r>
      <w:proofErr w:type="spellEnd"/>
      <w:r w:rsidR="00114953" w:rsidRPr="00890590">
        <w:rPr>
          <w:rFonts w:cs="Arial"/>
          <w:i/>
          <w:color w:val="323233"/>
        </w:rPr>
        <w:t xml:space="preserve"> </w:t>
      </w:r>
      <w:proofErr w:type="spellStart"/>
      <w:r w:rsidR="00114953" w:rsidRPr="00890590">
        <w:rPr>
          <w:rFonts w:cs="Arial"/>
          <w:i/>
          <w:color w:val="323233"/>
        </w:rPr>
        <w:t>noteikumi</w:t>
      </w:r>
      <w:proofErr w:type="spellEnd"/>
      <w:r w:rsidR="00114953" w:rsidRPr="00890590">
        <w:rPr>
          <w:rFonts w:cs="Arial"/>
          <w:i/>
          <w:color w:val="323233"/>
        </w:rPr>
        <w:t xml:space="preserve"> </w:t>
      </w:r>
      <w:proofErr w:type="spellStart"/>
      <w:r w:rsidR="00114953" w:rsidRPr="00890590">
        <w:rPr>
          <w:rFonts w:cs="Arial"/>
          <w:i/>
          <w:color w:val="323233"/>
        </w:rPr>
        <w:t>nekā</w:t>
      </w:r>
      <w:proofErr w:type="spellEnd"/>
      <w:r w:rsidR="00114953" w:rsidRPr="00890590">
        <w:rPr>
          <w:rFonts w:cs="Arial"/>
          <w:i/>
          <w:color w:val="323233"/>
        </w:rPr>
        <w:t xml:space="preserve"> Latvijas </w:t>
      </w:r>
      <w:proofErr w:type="spellStart"/>
      <w:r w:rsidR="00114953" w:rsidRPr="00890590">
        <w:rPr>
          <w:rFonts w:cs="Arial"/>
          <w:i/>
          <w:color w:val="323233"/>
        </w:rPr>
        <w:t>Republikas</w:t>
      </w:r>
      <w:proofErr w:type="spellEnd"/>
      <w:r w:rsidR="00114953" w:rsidRPr="00890590">
        <w:rPr>
          <w:rFonts w:cs="Arial"/>
          <w:i/>
          <w:color w:val="323233"/>
        </w:rPr>
        <w:t xml:space="preserve"> </w:t>
      </w:r>
      <w:proofErr w:type="spellStart"/>
      <w:r w:rsidR="00114953" w:rsidRPr="00890590">
        <w:rPr>
          <w:rFonts w:cs="Arial"/>
          <w:i/>
          <w:color w:val="323233"/>
        </w:rPr>
        <w:t>likumdošanas</w:t>
      </w:r>
      <w:proofErr w:type="spellEnd"/>
      <w:r w:rsidR="00114953" w:rsidRPr="00890590">
        <w:rPr>
          <w:rFonts w:cs="Arial"/>
          <w:i/>
          <w:color w:val="323233"/>
        </w:rPr>
        <w:t xml:space="preserve"> </w:t>
      </w:r>
      <w:proofErr w:type="spellStart"/>
      <w:r w:rsidR="00114953" w:rsidRPr="00890590">
        <w:rPr>
          <w:rFonts w:cs="Arial"/>
          <w:i/>
          <w:color w:val="323233"/>
        </w:rPr>
        <w:t>aktos</w:t>
      </w:r>
      <w:proofErr w:type="spellEnd"/>
      <w:r w:rsidR="00114953" w:rsidRPr="00890590">
        <w:rPr>
          <w:rFonts w:cs="Arial"/>
          <w:i/>
          <w:color w:val="323233"/>
        </w:rPr>
        <w:t xml:space="preserve">, </w:t>
      </w:r>
      <w:proofErr w:type="spellStart"/>
      <w:r w:rsidR="00114953" w:rsidRPr="00890590">
        <w:rPr>
          <w:rFonts w:cs="Arial"/>
          <w:i/>
          <w:color w:val="323233"/>
        </w:rPr>
        <w:t>tiek</w:t>
      </w:r>
      <w:proofErr w:type="spellEnd"/>
      <w:r w:rsidR="00114953" w:rsidRPr="00890590">
        <w:rPr>
          <w:rFonts w:cs="Arial"/>
          <w:i/>
          <w:color w:val="323233"/>
        </w:rPr>
        <w:t xml:space="preserve"> </w:t>
      </w:r>
      <w:proofErr w:type="spellStart"/>
      <w:r w:rsidR="00114953" w:rsidRPr="00890590">
        <w:rPr>
          <w:rFonts w:cs="Arial"/>
          <w:i/>
          <w:color w:val="323233"/>
        </w:rPr>
        <w:t>piemēroti</w:t>
      </w:r>
      <w:proofErr w:type="spellEnd"/>
      <w:r w:rsidR="00114953" w:rsidRPr="00890590">
        <w:rPr>
          <w:rFonts w:cs="Arial"/>
          <w:i/>
          <w:color w:val="323233"/>
        </w:rPr>
        <w:t xml:space="preserve"> </w:t>
      </w:r>
      <w:proofErr w:type="spellStart"/>
      <w:r w:rsidR="00114953" w:rsidRPr="00890590">
        <w:rPr>
          <w:rFonts w:cs="Arial"/>
          <w:i/>
          <w:color w:val="323233"/>
        </w:rPr>
        <w:t>starptautiskā</w:t>
      </w:r>
      <w:proofErr w:type="spellEnd"/>
      <w:r w:rsidR="00114953" w:rsidRPr="00890590">
        <w:rPr>
          <w:rFonts w:cs="Arial"/>
          <w:i/>
          <w:color w:val="323233"/>
        </w:rPr>
        <w:t xml:space="preserve"> </w:t>
      </w:r>
      <w:proofErr w:type="spellStart"/>
      <w:r w:rsidR="00114953" w:rsidRPr="00890590">
        <w:rPr>
          <w:rFonts w:cs="Arial"/>
          <w:i/>
          <w:color w:val="323233"/>
        </w:rPr>
        <w:t>līguma</w:t>
      </w:r>
      <w:proofErr w:type="spellEnd"/>
      <w:r w:rsidR="00114953" w:rsidRPr="00890590">
        <w:rPr>
          <w:rFonts w:cs="Arial"/>
          <w:i/>
          <w:color w:val="323233"/>
        </w:rPr>
        <w:t xml:space="preserve"> </w:t>
      </w:r>
      <w:proofErr w:type="spellStart"/>
      <w:r w:rsidR="00114953" w:rsidRPr="00890590">
        <w:rPr>
          <w:rFonts w:cs="Arial"/>
          <w:i/>
          <w:color w:val="323233"/>
        </w:rPr>
        <w:t>noteikumi</w:t>
      </w:r>
      <w:proofErr w:type="spellEnd"/>
      <w:r>
        <w:rPr>
          <w:rFonts w:cs="Arial"/>
          <w:i/>
          <w:color w:val="323233"/>
        </w:rPr>
        <w:t>“</w:t>
      </w:r>
      <w:r w:rsidR="00114953" w:rsidRPr="00890590">
        <w:rPr>
          <w:rFonts w:cs="Arial"/>
          <w:color w:val="323233"/>
        </w:rPr>
        <w:t>.</w:t>
      </w:r>
      <w:r w:rsidR="00114953">
        <w:rPr>
          <w:rFonts w:cs="Arial"/>
          <w:color w:val="323233"/>
        </w:rPr>
        <w:t xml:space="preserve"> </w:t>
      </w:r>
      <w:proofErr w:type="spellStart"/>
      <w:r w:rsidR="00114953">
        <w:rPr>
          <w:rFonts w:cs="Arial"/>
          <w:color w:val="323233"/>
        </w:rPr>
        <w:t>Kā</w:t>
      </w:r>
      <w:proofErr w:type="spellEnd"/>
      <w:r w:rsidR="00114953">
        <w:rPr>
          <w:rFonts w:cs="Arial"/>
          <w:color w:val="323233"/>
        </w:rPr>
        <w:t xml:space="preserve"> </w:t>
      </w:r>
      <w:proofErr w:type="spellStart"/>
      <w:r w:rsidR="00114953">
        <w:rPr>
          <w:rFonts w:cs="Arial"/>
          <w:color w:val="323233"/>
        </w:rPr>
        <w:t>jau</w:t>
      </w:r>
      <w:proofErr w:type="spellEnd"/>
      <w:r w:rsidR="00114953">
        <w:rPr>
          <w:rFonts w:cs="Arial"/>
          <w:color w:val="323233"/>
        </w:rPr>
        <w:t xml:space="preserve"> </w:t>
      </w:r>
      <w:proofErr w:type="spellStart"/>
      <w:r w:rsidR="00114953">
        <w:rPr>
          <w:rFonts w:cs="Arial"/>
          <w:color w:val="323233"/>
        </w:rPr>
        <w:t>iepriekš</w:t>
      </w:r>
      <w:proofErr w:type="spellEnd"/>
      <w:r w:rsidR="00114953">
        <w:rPr>
          <w:rFonts w:cs="Arial"/>
          <w:color w:val="323233"/>
        </w:rPr>
        <w:t xml:space="preserve"> </w:t>
      </w:r>
      <w:proofErr w:type="spellStart"/>
      <w:r w:rsidR="00114953">
        <w:rPr>
          <w:rFonts w:cs="Arial"/>
          <w:color w:val="323233"/>
        </w:rPr>
        <w:t>tika</w:t>
      </w:r>
      <w:proofErr w:type="spellEnd"/>
      <w:r w:rsidR="00114953">
        <w:rPr>
          <w:rFonts w:cs="Arial"/>
          <w:color w:val="323233"/>
        </w:rPr>
        <w:t xml:space="preserve"> </w:t>
      </w:r>
      <w:proofErr w:type="spellStart"/>
      <w:r w:rsidR="00114953">
        <w:rPr>
          <w:rFonts w:cs="Arial"/>
          <w:color w:val="323233"/>
        </w:rPr>
        <w:t>minēts</w:t>
      </w:r>
      <w:proofErr w:type="spellEnd"/>
      <w:r w:rsidR="00114953">
        <w:rPr>
          <w:rFonts w:cs="Arial"/>
          <w:color w:val="323233"/>
        </w:rPr>
        <w:t xml:space="preserve">, Roma I Regula </w:t>
      </w:r>
      <w:proofErr w:type="spellStart"/>
      <w:r w:rsidR="00114953">
        <w:rPr>
          <w:rFonts w:cs="Arial"/>
          <w:color w:val="323233"/>
        </w:rPr>
        <w:t>nav</w:t>
      </w:r>
      <w:proofErr w:type="spellEnd"/>
      <w:r w:rsidR="00114953">
        <w:rPr>
          <w:rFonts w:cs="Arial"/>
          <w:color w:val="323233"/>
        </w:rPr>
        <w:t xml:space="preserve"> </w:t>
      </w:r>
      <w:proofErr w:type="spellStart"/>
      <w:r w:rsidR="00114953">
        <w:rPr>
          <w:rFonts w:cs="Arial"/>
          <w:color w:val="323233"/>
        </w:rPr>
        <w:t>piemērojama</w:t>
      </w:r>
      <w:proofErr w:type="spellEnd"/>
      <w:r w:rsidR="00114953">
        <w:rPr>
          <w:rFonts w:cs="Arial"/>
          <w:color w:val="323233"/>
        </w:rPr>
        <w:t xml:space="preserve"> ne </w:t>
      </w:r>
      <w:proofErr w:type="spellStart"/>
      <w:r w:rsidR="00114953">
        <w:rPr>
          <w:rFonts w:cs="Arial"/>
          <w:color w:val="323233"/>
        </w:rPr>
        <w:t>fizisko</w:t>
      </w:r>
      <w:proofErr w:type="spellEnd"/>
      <w:r w:rsidR="00114953">
        <w:rPr>
          <w:rFonts w:cs="Arial"/>
          <w:color w:val="323233"/>
        </w:rPr>
        <w:t xml:space="preserve"> </w:t>
      </w:r>
      <w:proofErr w:type="spellStart"/>
      <w:r w:rsidR="00114953">
        <w:rPr>
          <w:rFonts w:cs="Arial"/>
          <w:color w:val="323233"/>
        </w:rPr>
        <w:t>personu</w:t>
      </w:r>
      <w:proofErr w:type="spellEnd"/>
      <w:r w:rsidR="00114953">
        <w:rPr>
          <w:rFonts w:cs="Arial"/>
          <w:color w:val="323233"/>
        </w:rPr>
        <w:t xml:space="preserve"> </w:t>
      </w:r>
      <w:proofErr w:type="spellStart"/>
      <w:r w:rsidR="00114953">
        <w:rPr>
          <w:rFonts w:cs="Arial"/>
          <w:color w:val="323233"/>
        </w:rPr>
        <w:t>rīcībspējai</w:t>
      </w:r>
      <w:proofErr w:type="spellEnd"/>
      <w:r w:rsidR="00114953">
        <w:rPr>
          <w:rFonts w:cs="Arial"/>
          <w:color w:val="323233"/>
        </w:rPr>
        <w:t xml:space="preserve">, </w:t>
      </w:r>
      <w:proofErr w:type="spellStart"/>
      <w:r w:rsidR="00114953">
        <w:rPr>
          <w:rFonts w:cs="Arial"/>
          <w:color w:val="323233"/>
        </w:rPr>
        <w:t>nedz</w:t>
      </w:r>
      <w:proofErr w:type="spellEnd"/>
      <w:r w:rsidR="00114953">
        <w:rPr>
          <w:rFonts w:cs="Arial"/>
          <w:color w:val="323233"/>
        </w:rPr>
        <w:t xml:space="preserve"> </w:t>
      </w:r>
      <w:proofErr w:type="spellStart"/>
      <w:r w:rsidR="00114953">
        <w:rPr>
          <w:rFonts w:cs="Arial"/>
          <w:color w:val="323233"/>
        </w:rPr>
        <w:t>arī</w:t>
      </w:r>
      <w:proofErr w:type="spellEnd"/>
      <w:r w:rsidR="00114953">
        <w:rPr>
          <w:rFonts w:cs="Arial"/>
          <w:color w:val="323233"/>
        </w:rPr>
        <w:t xml:space="preserve"> </w:t>
      </w:r>
      <w:proofErr w:type="spellStart"/>
      <w:r w:rsidR="00114953">
        <w:rPr>
          <w:rFonts w:cs="Arial"/>
          <w:color w:val="323233"/>
        </w:rPr>
        <w:t>pārstāvībai</w:t>
      </w:r>
      <w:proofErr w:type="spellEnd"/>
      <w:r w:rsidR="00114953">
        <w:rPr>
          <w:rFonts w:cs="Arial"/>
          <w:color w:val="323233"/>
        </w:rPr>
        <w:t xml:space="preserve">, </w:t>
      </w:r>
      <w:proofErr w:type="spellStart"/>
      <w:r w:rsidR="00114953">
        <w:rPr>
          <w:rFonts w:cs="Arial"/>
          <w:color w:val="323233"/>
        </w:rPr>
        <w:t>tādēļ</w:t>
      </w:r>
      <w:proofErr w:type="spellEnd"/>
      <w:r w:rsidR="00114953">
        <w:rPr>
          <w:rFonts w:cs="Arial"/>
          <w:color w:val="323233"/>
        </w:rPr>
        <w:t xml:space="preserve"> Latvijas </w:t>
      </w:r>
      <w:proofErr w:type="spellStart"/>
      <w:r w:rsidR="00114953">
        <w:rPr>
          <w:rFonts w:cs="Arial"/>
          <w:color w:val="323233"/>
        </w:rPr>
        <w:t>attiecībās</w:t>
      </w:r>
      <w:proofErr w:type="spellEnd"/>
      <w:r w:rsidR="00114953">
        <w:rPr>
          <w:rFonts w:cs="Arial"/>
          <w:color w:val="323233"/>
        </w:rPr>
        <w:t xml:space="preserve"> </w:t>
      </w:r>
      <w:proofErr w:type="spellStart"/>
      <w:r w:rsidR="00114953">
        <w:rPr>
          <w:rFonts w:cs="Arial"/>
          <w:color w:val="323233"/>
        </w:rPr>
        <w:t>ar</w:t>
      </w:r>
      <w:proofErr w:type="spellEnd"/>
      <w:r w:rsidR="00114953">
        <w:rPr>
          <w:rFonts w:cs="Arial"/>
          <w:color w:val="323233"/>
        </w:rPr>
        <w:t xml:space="preserve"> </w:t>
      </w:r>
      <w:proofErr w:type="spellStart"/>
      <w:r w:rsidR="00114953">
        <w:rPr>
          <w:rFonts w:cs="Arial"/>
          <w:color w:val="323233"/>
        </w:rPr>
        <w:t>valstīm</w:t>
      </w:r>
      <w:proofErr w:type="spellEnd"/>
      <w:r w:rsidR="00114953">
        <w:rPr>
          <w:rFonts w:cs="Arial"/>
          <w:color w:val="323233"/>
        </w:rPr>
        <w:t xml:space="preserve">, </w:t>
      </w:r>
      <w:proofErr w:type="spellStart"/>
      <w:r w:rsidR="00114953">
        <w:rPr>
          <w:rFonts w:cs="Arial"/>
          <w:color w:val="323233"/>
        </w:rPr>
        <w:t>ar</w:t>
      </w:r>
      <w:proofErr w:type="spellEnd"/>
      <w:r w:rsidR="00114953">
        <w:rPr>
          <w:rFonts w:cs="Arial"/>
          <w:color w:val="323233"/>
        </w:rPr>
        <w:t xml:space="preserve"> </w:t>
      </w:r>
      <w:proofErr w:type="spellStart"/>
      <w:r w:rsidR="00114953">
        <w:rPr>
          <w:rFonts w:cs="Arial"/>
          <w:color w:val="323233"/>
        </w:rPr>
        <w:t>kurām</w:t>
      </w:r>
      <w:proofErr w:type="spellEnd"/>
      <w:r w:rsidR="00114953">
        <w:rPr>
          <w:rFonts w:cs="Arial"/>
          <w:color w:val="323233"/>
        </w:rPr>
        <w:t xml:space="preserve"> </w:t>
      </w:r>
      <w:proofErr w:type="spellStart"/>
      <w:r w:rsidR="00114953">
        <w:rPr>
          <w:rFonts w:cs="Arial"/>
          <w:color w:val="323233"/>
        </w:rPr>
        <w:t>ir</w:t>
      </w:r>
      <w:proofErr w:type="spellEnd"/>
      <w:r w:rsidR="00114953">
        <w:rPr>
          <w:rFonts w:cs="Arial"/>
          <w:color w:val="323233"/>
        </w:rPr>
        <w:t xml:space="preserve"> </w:t>
      </w:r>
      <w:proofErr w:type="spellStart"/>
      <w:r w:rsidR="00114953">
        <w:rPr>
          <w:rFonts w:cs="Arial"/>
          <w:color w:val="323233"/>
        </w:rPr>
        <w:t>noslēgti</w:t>
      </w:r>
      <w:proofErr w:type="spellEnd"/>
      <w:r w:rsidR="00114953">
        <w:rPr>
          <w:rFonts w:cs="Arial"/>
          <w:color w:val="323233"/>
        </w:rPr>
        <w:t xml:space="preserve"> </w:t>
      </w:r>
      <w:proofErr w:type="spellStart"/>
      <w:r w:rsidR="00114953">
        <w:rPr>
          <w:rFonts w:cs="Arial"/>
          <w:color w:val="323233"/>
        </w:rPr>
        <w:t>tiesiskās</w:t>
      </w:r>
      <w:proofErr w:type="spellEnd"/>
      <w:r w:rsidR="00114953">
        <w:rPr>
          <w:rFonts w:cs="Arial"/>
          <w:color w:val="323233"/>
        </w:rPr>
        <w:t xml:space="preserve"> </w:t>
      </w:r>
      <w:proofErr w:type="spellStart"/>
      <w:r w:rsidR="00114953">
        <w:rPr>
          <w:rFonts w:cs="Arial"/>
          <w:color w:val="323233"/>
        </w:rPr>
        <w:t>palīdzības</w:t>
      </w:r>
      <w:proofErr w:type="spellEnd"/>
      <w:r w:rsidR="00114953">
        <w:rPr>
          <w:rFonts w:cs="Arial"/>
          <w:color w:val="323233"/>
        </w:rPr>
        <w:t xml:space="preserve"> </w:t>
      </w:r>
      <w:proofErr w:type="spellStart"/>
      <w:r w:rsidR="00114953">
        <w:rPr>
          <w:rFonts w:cs="Arial"/>
          <w:color w:val="323233"/>
        </w:rPr>
        <w:t>līgumi</w:t>
      </w:r>
      <w:proofErr w:type="spellEnd"/>
      <w:r w:rsidR="00114953">
        <w:rPr>
          <w:rFonts w:cs="Arial"/>
          <w:color w:val="323233"/>
        </w:rPr>
        <w:t xml:space="preserve"> </w:t>
      </w:r>
      <w:r w:rsidR="00114953">
        <w:t>(</w:t>
      </w:r>
      <w:proofErr w:type="spellStart"/>
      <w:r w:rsidR="00114953">
        <w:t>to</w:t>
      </w:r>
      <w:proofErr w:type="spellEnd"/>
      <w:r w:rsidR="00114953">
        <w:t xml:space="preserve"> </w:t>
      </w:r>
      <w:proofErr w:type="spellStart"/>
      <w:r w:rsidR="00114953">
        <w:t>uzskaitījumu</w:t>
      </w:r>
      <w:proofErr w:type="spellEnd"/>
      <w:r w:rsidR="00114953">
        <w:t xml:space="preserve"> </w:t>
      </w:r>
      <w:proofErr w:type="spellStart"/>
      <w:r w:rsidR="00114953">
        <w:t>skat</w:t>
      </w:r>
      <w:proofErr w:type="spellEnd"/>
      <w:r w:rsidR="00114953">
        <w:t xml:space="preserve">. </w:t>
      </w:r>
      <w:proofErr w:type="spellStart"/>
      <w:r w:rsidR="00114953">
        <w:t>zemāk</w:t>
      </w:r>
      <w:proofErr w:type="spellEnd"/>
      <w:r w:rsidR="00114953" w:rsidRPr="006131A0">
        <w:t xml:space="preserve">), </w:t>
      </w:r>
      <w:proofErr w:type="spellStart"/>
      <w:r w:rsidR="00114953" w:rsidRPr="006131A0">
        <w:t>fiziskas</w:t>
      </w:r>
      <w:proofErr w:type="spellEnd"/>
      <w:r w:rsidR="00114953" w:rsidRPr="006131A0">
        <w:t xml:space="preserve"> personas </w:t>
      </w:r>
      <w:proofErr w:type="spellStart"/>
      <w:r w:rsidR="00114953" w:rsidRPr="006131A0">
        <w:t>rīcībspējas</w:t>
      </w:r>
      <w:proofErr w:type="spellEnd"/>
      <w:r w:rsidR="00114953">
        <w:t xml:space="preserve"> </w:t>
      </w:r>
      <w:proofErr w:type="spellStart"/>
      <w:r w:rsidR="00114953">
        <w:t>noteikšanai</w:t>
      </w:r>
      <w:proofErr w:type="spellEnd"/>
      <w:r w:rsidR="00114953">
        <w:t xml:space="preserve"> </w:t>
      </w:r>
      <w:proofErr w:type="spellStart"/>
      <w:r w:rsidR="00114953">
        <w:rPr>
          <w:rFonts w:cs="Arial"/>
          <w:color w:val="323233"/>
        </w:rPr>
        <w:t>būs</w:t>
      </w:r>
      <w:proofErr w:type="spellEnd"/>
      <w:r w:rsidR="00114953">
        <w:rPr>
          <w:rFonts w:cs="Arial"/>
          <w:color w:val="323233"/>
        </w:rPr>
        <w:t xml:space="preserve"> </w:t>
      </w:r>
      <w:proofErr w:type="spellStart"/>
      <w:r w:rsidR="00114953">
        <w:rPr>
          <w:rFonts w:cs="Arial"/>
          <w:color w:val="323233"/>
        </w:rPr>
        <w:t>piemērojama</w:t>
      </w:r>
      <w:proofErr w:type="spellEnd"/>
      <w:r w:rsidR="00114953">
        <w:rPr>
          <w:rFonts w:cs="Arial"/>
          <w:color w:val="323233"/>
        </w:rPr>
        <w:t xml:space="preserve"> </w:t>
      </w:r>
      <w:proofErr w:type="spellStart"/>
      <w:r w:rsidR="00114953">
        <w:rPr>
          <w:rFonts w:cs="Arial"/>
          <w:color w:val="323233"/>
        </w:rPr>
        <w:t>nevis</w:t>
      </w:r>
      <w:proofErr w:type="spellEnd"/>
      <w:r w:rsidR="00114953">
        <w:rPr>
          <w:rFonts w:cs="Arial"/>
          <w:color w:val="323233"/>
        </w:rPr>
        <w:t xml:space="preserve"> CL</w:t>
      </w:r>
      <w:r w:rsidR="00485054">
        <w:rPr>
          <w:rFonts w:cs="Arial"/>
          <w:color w:val="323233"/>
        </w:rPr>
        <w:t xml:space="preserve"> </w:t>
      </w:r>
      <w:proofErr w:type="spellStart"/>
      <w:r w:rsidR="00485054">
        <w:rPr>
          <w:rFonts w:cs="Arial"/>
          <w:color w:val="323233"/>
        </w:rPr>
        <w:t>Ievada</w:t>
      </w:r>
      <w:proofErr w:type="spellEnd"/>
      <w:r w:rsidR="00114953">
        <w:rPr>
          <w:rFonts w:cs="Arial"/>
          <w:color w:val="323233"/>
        </w:rPr>
        <w:t xml:space="preserve"> 8.panta </w:t>
      </w:r>
      <w:proofErr w:type="spellStart"/>
      <w:r w:rsidR="00114953">
        <w:rPr>
          <w:rFonts w:cs="Arial"/>
          <w:color w:val="323233"/>
        </w:rPr>
        <w:t>pirmā</w:t>
      </w:r>
      <w:proofErr w:type="spellEnd"/>
      <w:r w:rsidR="00114953">
        <w:rPr>
          <w:rFonts w:cs="Arial"/>
          <w:color w:val="323233"/>
        </w:rPr>
        <w:t xml:space="preserve"> </w:t>
      </w:r>
      <w:proofErr w:type="spellStart"/>
      <w:r w:rsidR="00114953">
        <w:rPr>
          <w:rFonts w:cs="Arial"/>
          <w:color w:val="323233"/>
        </w:rPr>
        <w:t>un</w:t>
      </w:r>
      <w:proofErr w:type="spellEnd"/>
      <w:r w:rsidR="00114953">
        <w:rPr>
          <w:rFonts w:cs="Arial"/>
          <w:color w:val="323233"/>
        </w:rPr>
        <w:t xml:space="preserve"> </w:t>
      </w:r>
      <w:proofErr w:type="spellStart"/>
      <w:r w:rsidR="00114953">
        <w:rPr>
          <w:rFonts w:cs="Arial"/>
          <w:color w:val="323233"/>
        </w:rPr>
        <w:t>otrā</w:t>
      </w:r>
      <w:proofErr w:type="spellEnd"/>
      <w:r w:rsidR="00114953">
        <w:rPr>
          <w:rFonts w:cs="Arial"/>
          <w:color w:val="323233"/>
        </w:rPr>
        <w:t xml:space="preserve"> </w:t>
      </w:r>
      <w:proofErr w:type="spellStart"/>
      <w:r w:rsidR="00114953">
        <w:rPr>
          <w:rFonts w:cs="Arial"/>
          <w:color w:val="323233"/>
        </w:rPr>
        <w:t>daļa</w:t>
      </w:r>
      <w:proofErr w:type="spellEnd"/>
      <w:r w:rsidR="00114953">
        <w:rPr>
          <w:rFonts w:cs="Arial"/>
          <w:color w:val="323233"/>
        </w:rPr>
        <w:t xml:space="preserve">, </w:t>
      </w:r>
      <w:proofErr w:type="spellStart"/>
      <w:r w:rsidR="00114953">
        <w:rPr>
          <w:rFonts w:cs="Arial"/>
          <w:color w:val="323233"/>
        </w:rPr>
        <w:t>bet</w:t>
      </w:r>
      <w:proofErr w:type="spellEnd"/>
      <w:r w:rsidR="00114953">
        <w:rPr>
          <w:rFonts w:cs="Arial"/>
          <w:color w:val="323233"/>
        </w:rPr>
        <w:t xml:space="preserve"> </w:t>
      </w:r>
      <w:proofErr w:type="spellStart"/>
      <w:r w:rsidR="00114953">
        <w:rPr>
          <w:rFonts w:cs="Arial"/>
          <w:color w:val="323233"/>
        </w:rPr>
        <w:t>gan</w:t>
      </w:r>
      <w:proofErr w:type="spellEnd"/>
      <w:r w:rsidR="00114953">
        <w:rPr>
          <w:rFonts w:cs="Arial"/>
          <w:color w:val="323233"/>
        </w:rPr>
        <w:t xml:space="preserve"> </w:t>
      </w:r>
      <w:proofErr w:type="spellStart"/>
      <w:r w:rsidR="00114953">
        <w:rPr>
          <w:rFonts w:cs="Arial"/>
          <w:color w:val="323233"/>
        </w:rPr>
        <w:t>attiecīgā</w:t>
      </w:r>
      <w:proofErr w:type="spellEnd"/>
      <w:r w:rsidR="00114953">
        <w:rPr>
          <w:rFonts w:cs="Arial"/>
          <w:color w:val="323233"/>
        </w:rPr>
        <w:t xml:space="preserve"> </w:t>
      </w:r>
      <w:proofErr w:type="spellStart"/>
      <w:r w:rsidR="00114953">
        <w:rPr>
          <w:rFonts w:cs="Arial"/>
          <w:color w:val="323233"/>
        </w:rPr>
        <w:t>starptautiskā</w:t>
      </w:r>
      <w:proofErr w:type="spellEnd"/>
      <w:r w:rsidR="00114953">
        <w:rPr>
          <w:rFonts w:cs="Arial"/>
          <w:color w:val="323233"/>
        </w:rPr>
        <w:t xml:space="preserve"> </w:t>
      </w:r>
      <w:proofErr w:type="spellStart"/>
      <w:r w:rsidR="00114953">
        <w:rPr>
          <w:rFonts w:cs="Arial"/>
          <w:color w:val="323233"/>
        </w:rPr>
        <w:t>līguma</w:t>
      </w:r>
      <w:proofErr w:type="spellEnd"/>
      <w:r w:rsidR="00114953">
        <w:rPr>
          <w:rFonts w:cs="Arial"/>
          <w:color w:val="323233"/>
        </w:rPr>
        <w:t xml:space="preserve"> </w:t>
      </w:r>
      <w:proofErr w:type="spellStart"/>
      <w:r w:rsidR="00114953">
        <w:rPr>
          <w:rFonts w:cs="Arial"/>
          <w:color w:val="323233"/>
        </w:rPr>
        <w:t>norma</w:t>
      </w:r>
      <w:proofErr w:type="spellEnd"/>
      <w:r w:rsidR="00114953">
        <w:rPr>
          <w:rFonts w:cs="Arial"/>
          <w:color w:val="323233"/>
        </w:rPr>
        <w:t>:</w:t>
      </w:r>
    </w:p>
    <w:p w14:paraId="6B5F7852" w14:textId="77777777" w:rsidR="00114953" w:rsidRDefault="00114953" w:rsidP="00114953">
      <w:pPr>
        <w:pStyle w:val="tv213"/>
        <w:ind w:firstLine="708"/>
        <w:jc w:val="both"/>
        <w:rPr>
          <w:rFonts w:cs="Arial"/>
          <w:color w:val="323233"/>
        </w:rPr>
      </w:pPr>
    </w:p>
    <w:p w14:paraId="4897C093" w14:textId="77777777" w:rsidR="00114953" w:rsidRPr="00ED42CD" w:rsidRDefault="00114953" w:rsidP="00114953">
      <w:pPr>
        <w:pStyle w:val="tv213"/>
        <w:ind w:firstLine="708"/>
        <w:jc w:val="center"/>
        <w:rPr>
          <w:b/>
        </w:rPr>
      </w:pPr>
      <w:proofErr w:type="spellStart"/>
      <w:r w:rsidRPr="00ED42CD">
        <w:rPr>
          <w:rFonts w:cs="Arial"/>
          <w:b/>
          <w:color w:val="323233"/>
        </w:rPr>
        <w:t>Fizisko</w:t>
      </w:r>
      <w:proofErr w:type="spellEnd"/>
      <w:r w:rsidRPr="00ED42CD">
        <w:rPr>
          <w:rFonts w:cs="Arial"/>
          <w:b/>
          <w:color w:val="323233"/>
        </w:rPr>
        <w:t xml:space="preserve"> </w:t>
      </w:r>
      <w:proofErr w:type="spellStart"/>
      <w:r w:rsidRPr="00ED42CD">
        <w:rPr>
          <w:rFonts w:cs="Arial"/>
          <w:b/>
          <w:color w:val="323233"/>
        </w:rPr>
        <w:t>personu</w:t>
      </w:r>
      <w:proofErr w:type="spellEnd"/>
      <w:r w:rsidRPr="00ED42CD">
        <w:rPr>
          <w:rFonts w:cs="Arial"/>
          <w:b/>
          <w:color w:val="323233"/>
        </w:rPr>
        <w:t xml:space="preserve"> </w:t>
      </w:r>
      <w:proofErr w:type="spellStart"/>
      <w:r w:rsidRPr="00ED42CD">
        <w:rPr>
          <w:rFonts w:cs="Arial"/>
          <w:b/>
          <w:color w:val="323233"/>
        </w:rPr>
        <w:t>rīcībspēja</w:t>
      </w:r>
      <w:proofErr w:type="spellEnd"/>
      <w:r w:rsidRPr="00ED42CD">
        <w:rPr>
          <w:rFonts w:cs="Arial"/>
          <w:b/>
          <w:color w:val="323233"/>
        </w:rPr>
        <w:t xml:space="preserve"> Latvijas </w:t>
      </w:r>
      <w:proofErr w:type="spellStart"/>
      <w:r w:rsidRPr="00ED42CD">
        <w:rPr>
          <w:rFonts w:cs="Arial"/>
          <w:b/>
          <w:color w:val="323233"/>
        </w:rPr>
        <w:t>divpusējos</w:t>
      </w:r>
      <w:proofErr w:type="spellEnd"/>
      <w:r w:rsidRPr="00ED42CD">
        <w:rPr>
          <w:rFonts w:cs="Arial"/>
          <w:b/>
          <w:color w:val="323233"/>
        </w:rPr>
        <w:t xml:space="preserve"> </w:t>
      </w:r>
      <w:proofErr w:type="spellStart"/>
      <w:r w:rsidRPr="00ED42CD">
        <w:rPr>
          <w:rFonts w:cs="Arial"/>
          <w:b/>
          <w:color w:val="323233"/>
        </w:rPr>
        <w:t>tiesiskās</w:t>
      </w:r>
      <w:proofErr w:type="spellEnd"/>
      <w:r w:rsidRPr="00ED42CD">
        <w:rPr>
          <w:rFonts w:cs="Arial"/>
          <w:b/>
          <w:color w:val="323233"/>
        </w:rPr>
        <w:t xml:space="preserve"> </w:t>
      </w:r>
      <w:proofErr w:type="spellStart"/>
      <w:r w:rsidRPr="00ED42CD">
        <w:rPr>
          <w:rFonts w:cs="Arial"/>
          <w:b/>
          <w:color w:val="323233"/>
        </w:rPr>
        <w:t>palīdzības</w:t>
      </w:r>
      <w:proofErr w:type="spellEnd"/>
      <w:r w:rsidRPr="00ED42CD">
        <w:rPr>
          <w:rFonts w:cs="Arial"/>
          <w:b/>
          <w:color w:val="323233"/>
        </w:rPr>
        <w:t xml:space="preserve"> </w:t>
      </w:r>
      <w:proofErr w:type="spellStart"/>
      <w:r w:rsidRPr="00ED42CD">
        <w:rPr>
          <w:rFonts w:cs="Arial"/>
          <w:b/>
          <w:color w:val="323233"/>
        </w:rPr>
        <w:t>līgumos</w:t>
      </w:r>
      <w:proofErr w:type="spellEnd"/>
    </w:p>
    <w:p w14:paraId="00C398B4" w14:textId="77777777" w:rsidR="00114953" w:rsidRPr="00F234F1" w:rsidRDefault="00114953" w:rsidP="00114953">
      <w:pPr>
        <w:jc w:val="both"/>
        <w:rPr>
          <w:rFonts w:ascii="Times New Roman" w:hAnsi="Times New Roman" w:cs="Arial"/>
          <w:i/>
          <w:color w:val="323233"/>
        </w:rPr>
      </w:pPr>
      <w:r w:rsidRPr="00F234F1">
        <w:rPr>
          <w:rFonts w:ascii="Times New Roman" w:hAnsi="Times New Roman" w:cs="Arial"/>
          <w:i/>
          <w:color w:val="323233"/>
        </w:rPr>
        <w:t>Tabula Nr. 1</w:t>
      </w:r>
    </w:p>
    <w:tbl>
      <w:tblPr>
        <w:tblStyle w:val="TableGrid"/>
        <w:tblW w:w="0" w:type="auto"/>
        <w:tblLook w:val="04A0" w:firstRow="1" w:lastRow="0" w:firstColumn="1" w:lastColumn="0" w:noHBand="0" w:noVBand="1"/>
      </w:tblPr>
      <w:tblGrid>
        <w:gridCol w:w="822"/>
        <w:gridCol w:w="3872"/>
        <w:gridCol w:w="2270"/>
        <w:gridCol w:w="2281"/>
        <w:gridCol w:w="37"/>
      </w:tblGrid>
      <w:tr w:rsidR="00114953" w14:paraId="1A1E1520" w14:textId="77777777" w:rsidTr="00BF3A72">
        <w:trPr>
          <w:gridAfter w:val="1"/>
          <w:wAfter w:w="38" w:type="dxa"/>
        </w:trPr>
        <w:tc>
          <w:tcPr>
            <w:tcW w:w="675" w:type="dxa"/>
            <w:shd w:val="clear" w:color="auto" w:fill="C4BC96" w:themeFill="background2" w:themeFillShade="BF"/>
          </w:tcPr>
          <w:p w14:paraId="6AC5E7F0" w14:textId="77777777" w:rsidR="00114953" w:rsidRPr="009027B6" w:rsidRDefault="00114953" w:rsidP="00BF3A72">
            <w:pPr>
              <w:jc w:val="center"/>
              <w:rPr>
                <w:rFonts w:cs="Arial"/>
                <w:b/>
                <w:color w:val="323233"/>
                <w:sz w:val="20"/>
                <w:szCs w:val="20"/>
              </w:rPr>
            </w:pPr>
            <w:proofErr w:type="spellStart"/>
            <w:r w:rsidRPr="009027B6">
              <w:rPr>
                <w:rFonts w:cs="Arial"/>
                <w:b/>
                <w:color w:val="323233"/>
                <w:sz w:val="20"/>
                <w:szCs w:val="20"/>
              </w:rPr>
              <w:t>Nr.p.k</w:t>
            </w:r>
            <w:proofErr w:type="spellEnd"/>
            <w:r w:rsidRPr="009027B6">
              <w:rPr>
                <w:rFonts w:cs="Arial"/>
                <w:b/>
                <w:color w:val="323233"/>
                <w:sz w:val="20"/>
                <w:szCs w:val="20"/>
              </w:rPr>
              <w:t>.</w:t>
            </w:r>
          </w:p>
        </w:tc>
        <w:tc>
          <w:tcPr>
            <w:tcW w:w="3932" w:type="dxa"/>
            <w:shd w:val="clear" w:color="auto" w:fill="C4BC96" w:themeFill="background2" w:themeFillShade="BF"/>
          </w:tcPr>
          <w:p w14:paraId="455FC505" w14:textId="77777777" w:rsidR="00114953" w:rsidRPr="009027B6" w:rsidRDefault="00114953" w:rsidP="00BF3A72">
            <w:pPr>
              <w:jc w:val="center"/>
              <w:rPr>
                <w:rFonts w:cs="Arial"/>
                <w:b/>
                <w:color w:val="323233"/>
                <w:sz w:val="20"/>
                <w:szCs w:val="20"/>
              </w:rPr>
            </w:pPr>
            <w:proofErr w:type="spellStart"/>
            <w:r>
              <w:rPr>
                <w:rFonts w:cs="Arial"/>
                <w:b/>
                <w:color w:val="323233"/>
                <w:sz w:val="20"/>
                <w:szCs w:val="20"/>
              </w:rPr>
              <w:t>Līguma</w:t>
            </w:r>
            <w:proofErr w:type="spellEnd"/>
            <w:r>
              <w:rPr>
                <w:rFonts w:cs="Arial"/>
                <w:b/>
                <w:color w:val="323233"/>
                <w:sz w:val="20"/>
                <w:szCs w:val="20"/>
              </w:rPr>
              <w:t xml:space="preserve"> </w:t>
            </w:r>
            <w:proofErr w:type="spellStart"/>
            <w:r>
              <w:rPr>
                <w:rFonts w:cs="Arial"/>
                <w:b/>
                <w:color w:val="323233"/>
                <w:sz w:val="20"/>
                <w:szCs w:val="20"/>
              </w:rPr>
              <w:t>nosaukums</w:t>
            </w:r>
            <w:proofErr w:type="spellEnd"/>
          </w:p>
        </w:tc>
        <w:tc>
          <w:tcPr>
            <w:tcW w:w="2302" w:type="dxa"/>
            <w:shd w:val="clear" w:color="auto" w:fill="C4BC96" w:themeFill="background2" w:themeFillShade="BF"/>
          </w:tcPr>
          <w:p w14:paraId="06162650" w14:textId="77777777" w:rsidR="00114953" w:rsidRPr="009027B6" w:rsidRDefault="00114953" w:rsidP="00BF3A72">
            <w:pPr>
              <w:jc w:val="center"/>
              <w:rPr>
                <w:rFonts w:cs="Arial"/>
                <w:b/>
                <w:color w:val="323233"/>
                <w:sz w:val="20"/>
                <w:szCs w:val="20"/>
              </w:rPr>
            </w:pPr>
            <w:r>
              <w:rPr>
                <w:rFonts w:cs="Arial"/>
                <w:b/>
                <w:color w:val="323233"/>
                <w:sz w:val="20"/>
                <w:szCs w:val="20"/>
              </w:rPr>
              <w:t>Pants</w:t>
            </w:r>
          </w:p>
        </w:tc>
        <w:tc>
          <w:tcPr>
            <w:tcW w:w="2302" w:type="dxa"/>
            <w:shd w:val="clear" w:color="auto" w:fill="C4BC96" w:themeFill="background2" w:themeFillShade="BF"/>
          </w:tcPr>
          <w:p w14:paraId="1AC88835" w14:textId="77777777" w:rsidR="00114953" w:rsidRPr="009027B6" w:rsidRDefault="00114953" w:rsidP="00BF3A72">
            <w:pPr>
              <w:jc w:val="center"/>
              <w:rPr>
                <w:rFonts w:cs="Arial"/>
                <w:b/>
                <w:color w:val="323233"/>
                <w:sz w:val="20"/>
                <w:szCs w:val="20"/>
              </w:rPr>
            </w:pPr>
            <w:r>
              <w:rPr>
                <w:rFonts w:cs="Arial"/>
                <w:b/>
                <w:color w:val="323233"/>
                <w:sz w:val="20"/>
                <w:szCs w:val="20"/>
              </w:rPr>
              <w:t xml:space="preserve">Panta </w:t>
            </w:r>
            <w:proofErr w:type="spellStart"/>
            <w:r>
              <w:rPr>
                <w:rFonts w:cs="Arial"/>
                <w:b/>
                <w:color w:val="323233"/>
                <w:sz w:val="20"/>
                <w:szCs w:val="20"/>
              </w:rPr>
              <w:t>citāts</w:t>
            </w:r>
            <w:proofErr w:type="spellEnd"/>
          </w:p>
        </w:tc>
      </w:tr>
      <w:tr w:rsidR="00114953" w:rsidRPr="000C7C76" w14:paraId="6B5E57A5" w14:textId="77777777" w:rsidTr="00BF3A72">
        <w:trPr>
          <w:gridAfter w:val="1"/>
          <w:wAfter w:w="38" w:type="dxa"/>
        </w:trPr>
        <w:tc>
          <w:tcPr>
            <w:tcW w:w="675" w:type="dxa"/>
          </w:tcPr>
          <w:p w14:paraId="0F1D2520" w14:textId="77777777" w:rsidR="00114953" w:rsidRPr="009027B6" w:rsidRDefault="00114953" w:rsidP="00BF3A72">
            <w:pPr>
              <w:jc w:val="center"/>
              <w:rPr>
                <w:rFonts w:cs="Arial"/>
                <w:color w:val="323233"/>
                <w:sz w:val="18"/>
                <w:szCs w:val="18"/>
              </w:rPr>
            </w:pPr>
            <w:r>
              <w:rPr>
                <w:rFonts w:cs="Arial"/>
                <w:color w:val="323233"/>
                <w:sz w:val="18"/>
                <w:szCs w:val="18"/>
              </w:rPr>
              <w:t>1.</w:t>
            </w:r>
          </w:p>
        </w:tc>
        <w:tc>
          <w:tcPr>
            <w:tcW w:w="3932" w:type="dxa"/>
          </w:tcPr>
          <w:p w14:paraId="6C25EE73" w14:textId="77777777" w:rsidR="00114953" w:rsidRPr="009027B6" w:rsidRDefault="00114953" w:rsidP="00BF3A72">
            <w:pPr>
              <w:jc w:val="both"/>
              <w:rPr>
                <w:rFonts w:cs="Arial"/>
                <w:color w:val="323233"/>
                <w:sz w:val="18"/>
                <w:szCs w:val="18"/>
              </w:rPr>
            </w:pPr>
            <w:proofErr w:type="spellStart"/>
            <w:r>
              <w:rPr>
                <w:rFonts w:cs="Arial"/>
                <w:color w:val="323233"/>
                <w:sz w:val="18"/>
                <w:szCs w:val="18"/>
              </w:rPr>
              <w:t>Līgums</w:t>
            </w:r>
            <w:proofErr w:type="spellEnd"/>
            <w:r>
              <w:rPr>
                <w:rFonts w:cs="Arial"/>
                <w:color w:val="323233"/>
                <w:sz w:val="18"/>
                <w:szCs w:val="18"/>
              </w:rPr>
              <w:t xml:space="preserve"> </w:t>
            </w:r>
            <w:proofErr w:type="spellStart"/>
            <w:r>
              <w:rPr>
                <w:rFonts w:cs="Arial"/>
                <w:color w:val="323233"/>
                <w:sz w:val="18"/>
                <w:szCs w:val="18"/>
              </w:rPr>
              <w:t>starp</w:t>
            </w:r>
            <w:proofErr w:type="spellEnd"/>
            <w:r>
              <w:rPr>
                <w:rFonts w:cs="Arial"/>
                <w:color w:val="323233"/>
                <w:sz w:val="18"/>
                <w:szCs w:val="18"/>
              </w:rPr>
              <w:t xml:space="preserve"> </w:t>
            </w:r>
            <w:proofErr w:type="spellStart"/>
            <w:r>
              <w:rPr>
                <w:rFonts w:cs="Arial"/>
                <w:color w:val="323233"/>
                <w:sz w:val="18"/>
                <w:szCs w:val="18"/>
              </w:rPr>
              <w:t>Latviju</w:t>
            </w:r>
            <w:proofErr w:type="spellEnd"/>
            <w:r>
              <w:rPr>
                <w:rFonts w:cs="Arial"/>
                <w:color w:val="323233"/>
                <w:sz w:val="18"/>
                <w:szCs w:val="18"/>
              </w:rPr>
              <w:t xml:space="preserve">, </w:t>
            </w:r>
            <w:proofErr w:type="spellStart"/>
            <w:r>
              <w:rPr>
                <w:rFonts w:cs="Arial"/>
                <w:color w:val="323233"/>
                <w:sz w:val="18"/>
                <w:szCs w:val="18"/>
              </w:rPr>
              <w:t>Igauniju</w:t>
            </w:r>
            <w:proofErr w:type="spellEnd"/>
            <w:r>
              <w:rPr>
                <w:rFonts w:cs="Arial"/>
                <w:color w:val="323233"/>
                <w:sz w:val="18"/>
                <w:szCs w:val="18"/>
              </w:rPr>
              <w:t xml:space="preserve"> </w:t>
            </w:r>
            <w:proofErr w:type="spellStart"/>
            <w:r>
              <w:rPr>
                <w:rFonts w:cs="Arial"/>
                <w:color w:val="323233"/>
                <w:sz w:val="18"/>
                <w:szCs w:val="18"/>
              </w:rPr>
              <w:t>un</w:t>
            </w:r>
            <w:proofErr w:type="spellEnd"/>
            <w:r>
              <w:rPr>
                <w:rFonts w:cs="Arial"/>
                <w:color w:val="323233"/>
                <w:sz w:val="18"/>
                <w:szCs w:val="18"/>
              </w:rPr>
              <w:t xml:space="preserve"> </w:t>
            </w:r>
            <w:proofErr w:type="spellStart"/>
            <w:r>
              <w:rPr>
                <w:rFonts w:cs="Arial"/>
                <w:color w:val="323233"/>
                <w:sz w:val="18"/>
                <w:szCs w:val="18"/>
              </w:rPr>
              <w:t>Lietuvu</w:t>
            </w:r>
            <w:proofErr w:type="spellEnd"/>
          </w:p>
        </w:tc>
        <w:tc>
          <w:tcPr>
            <w:tcW w:w="2302" w:type="dxa"/>
          </w:tcPr>
          <w:p w14:paraId="0639A9F7" w14:textId="77777777" w:rsidR="00114953" w:rsidRPr="009027B6" w:rsidRDefault="00114953" w:rsidP="00BF3A72">
            <w:pPr>
              <w:jc w:val="center"/>
              <w:rPr>
                <w:rFonts w:cs="Arial"/>
                <w:color w:val="323233"/>
                <w:sz w:val="18"/>
                <w:szCs w:val="18"/>
              </w:rPr>
            </w:pPr>
            <w:r>
              <w:rPr>
                <w:rFonts w:cs="Arial"/>
                <w:color w:val="323233"/>
                <w:sz w:val="18"/>
                <w:szCs w:val="18"/>
              </w:rPr>
              <w:t xml:space="preserve">21.panta </w:t>
            </w:r>
            <w:proofErr w:type="spellStart"/>
            <w:r>
              <w:rPr>
                <w:rFonts w:cs="Arial"/>
                <w:color w:val="323233"/>
                <w:sz w:val="18"/>
                <w:szCs w:val="18"/>
              </w:rPr>
              <w:t>pirmā</w:t>
            </w:r>
            <w:proofErr w:type="spellEnd"/>
            <w:r>
              <w:rPr>
                <w:rFonts w:cs="Arial"/>
                <w:color w:val="323233"/>
                <w:sz w:val="18"/>
                <w:szCs w:val="18"/>
              </w:rPr>
              <w:t xml:space="preserve"> </w:t>
            </w:r>
            <w:proofErr w:type="spellStart"/>
            <w:r>
              <w:rPr>
                <w:rFonts w:cs="Arial"/>
                <w:color w:val="323233"/>
                <w:sz w:val="18"/>
                <w:szCs w:val="18"/>
              </w:rPr>
              <w:t>daļa</w:t>
            </w:r>
            <w:proofErr w:type="spellEnd"/>
          </w:p>
        </w:tc>
        <w:tc>
          <w:tcPr>
            <w:tcW w:w="2302" w:type="dxa"/>
          </w:tcPr>
          <w:p w14:paraId="6D3A29B1" w14:textId="77777777" w:rsidR="00114953" w:rsidRPr="009027B6" w:rsidRDefault="00114953" w:rsidP="00BF3A72">
            <w:pPr>
              <w:rPr>
                <w:rFonts w:cs="Arial"/>
                <w:color w:val="323233"/>
                <w:sz w:val="18"/>
                <w:szCs w:val="18"/>
              </w:rPr>
            </w:pPr>
            <w:r>
              <w:rPr>
                <w:rFonts w:cs="Arial"/>
                <w:color w:val="323233"/>
                <w:sz w:val="18"/>
                <w:szCs w:val="18"/>
              </w:rPr>
              <w:t xml:space="preserve">„(1) </w:t>
            </w:r>
            <w:proofErr w:type="spellStart"/>
            <w:r>
              <w:rPr>
                <w:rFonts w:cs="Arial"/>
                <w:color w:val="323233"/>
                <w:sz w:val="18"/>
                <w:szCs w:val="18"/>
              </w:rPr>
              <w:t>Fiziskas</w:t>
            </w:r>
            <w:proofErr w:type="spellEnd"/>
            <w:r>
              <w:rPr>
                <w:rFonts w:cs="Arial"/>
                <w:color w:val="323233"/>
                <w:sz w:val="18"/>
                <w:szCs w:val="18"/>
              </w:rPr>
              <w:t xml:space="preserve"> personas </w:t>
            </w:r>
            <w:proofErr w:type="spellStart"/>
            <w:r>
              <w:rPr>
                <w:rFonts w:cs="Arial"/>
                <w:color w:val="323233"/>
                <w:sz w:val="18"/>
                <w:szCs w:val="18"/>
              </w:rPr>
              <w:t>rīcībspēju</w:t>
            </w:r>
            <w:proofErr w:type="spellEnd"/>
            <w:r>
              <w:rPr>
                <w:rFonts w:cs="Arial"/>
                <w:color w:val="323233"/>
                <w:sz w:val="18"/>
                <w:szCs w:val="18"/>
              </w:rPr>
              <w:t xml:space="preserve"> </w:t>
            </w:r>
            <w:proofErr w:type="spellStart"/>
            <w:r>
              <w:rPr>
                <w:rFonts w:cs="Arial"/>
                <w:color w:val="323233"/>
                <w:sz w:val="18"/>
                <w:szCs w:val="18"/>
              </w:rPr>
              <w:t>nosaka</w:t>
            </w:r>
            <w:proofErr w:type="spellEnd"/>
            <w:r>
              <w:rPr>
                <w:rFonts w:cs="Arial"/>
                <w:color w:val="323233"/>
                <w:sz w:val="18"/>
                <w:szCs w:val="18"/>
              </w:rPr>
              <w:t xml:space="preserve"> </w:t>
            </w:r>
            <w:proofErr w:type="spellStart"/>
            <w:r>
              <w:rPr>
                <w:rFonts w:cs="Arial"/>
                <w:color w:val="323233"/>
                <w:sz w:val="18"/>
                <w:szCs w:val="18"/>
              </w:rPr>
              <w:t>tās</w:t>
            </w:r>
            <w:proofErr w:type="spellEnd"/>
            <w:r>
              <w:rPr>
                <w:rFonts w:cs="Arial"/>
                <w:color w:val="323233"/>
                <w:sz w:val="18"/>
                <w:szCs w:val="18"/>
              </w:rPr>
              <w:t xml:space="preserve"> </w:t>
            </w:r>
            <w:proofErr w:type="spellStart"/>
            <w:r>
              <w:rPr>
                <w:rFonts w:cs="Arial"/>
                <w:color w:val="323233"/>
                <w:sz w:val="18"/>
                <w:szCs w:val="18"/>
              </w:rPr>
              <w:t>Līgumslēdzējas</w:t>
            </w:r>
            <w:proofErr w:type="spellEnd"/>
            <w:r>
              <w:rPr>
                <w:rFonts w:cs="Arial"/>
                <w:color w:val="323233"/>
                <w:sz w:val="18"/>
                <w:szCs w:val="18"/>
              </w:rPr>
              <w:t xml:space="preserve"> </w:t>
            </w:r>
            <w:proofErr w:type="spellStart"/>
            <w:r>
              <w:rPr>
                <w:rFonts w:cs="Arial"/>
                <w:color w:val="323233"/>
                <w:sz w:val="18"/>
                <w:szCs w:val="18"/>
              </w:rPr>
              <w:t>Puses</w:t>
            </w:r>
            <w:proofErr w:type="spellEnd"/>
            <w:r>
              <w:rPr>
                <w:rFonts w:cs="Arial"/>
                <w:color w:val="323233"/>
                <w:sz w:val="18"/>
                <w:szCs w:val="18"/>
              </w:rPr>
              <w:t xml:space="preserve"> </w:t>
            </w:r>
            <w:proofErr w:type="spellStart"/>
            <w:r>
              <w:rPr>
                <w:rFonts w:cs="Arial"/>
                <w:color w:val="323233"/>
                <w:sz w:val="18"/>
                <w:szCs w:val="18"/>
              </w:rPr>
              <w:t>likumdošana</w:t>
            </w:r>
            <w:proofErr w:type="spellEnd"/>
            <w:r>
              <w:rPr>
                <w:rFonts w:cs="Arial"/>
                <w:color w:val="323233"/>
                <w:sz w:val="18"/>
                <w:szCs w:val="18"/>
              </w:rPr>
              <w:t xml:space="preserve">, </w:t>
            </w:r>
            <w:proofErr w:type="spellStart"/>
            <w:r>
              <w:rPr>
                <w:rFonts w:cs="Arial"/>
                <w:color w:val="323233"/>
                <w:sz w:val="18"/>
                <w:szCs w:val="18"/>
              </w:rPr>
              <w:t>kuras</w:t>
            </w:r>
            <w:proofErr w:type="spellEnd"/>
            <w:r>
              <w:rPr>
                <w:rFonts w:cs="Arial"/>
                <w:color w:val="323233"/>
                <w:sz w:val="18"/>
                <w:szCs w:val="18"/>
              </w:rPr>
              <w:t xml:space="preserve"> </w:t>
            </w:r>
            <w:proofErr w:type="spellStart"/>
            <w:r>
              <w:rPr>
                <w:rFonts w:cs="Arial"/>
                <w:color w:val="323233"/>
                <w:sz w:val="18"/>
                <w:szCs w:val="18"/>
              </w:rPr>
              <w:t>pilsonis</w:t>
            </w:r>
            <w:proofErr w:type="spellEnd"/>
            <w:r>
              <w:rPr>
                <w:rFonts w:cs="Arial"/>
                <w:color w:val="323233"/>
                <w:sz w:val="18"/>
                <w:szCs w:val="18"/>
              </w:rPr>
              <w:t xml:space="preserve"> </w:t>
            </w:r>
            <w:proofErr w:type="spellStart"/>
            <w:r>
              <w:rPr>
                <w:rFonts w:cs="Arial"/>
                <w:color w:val="323233"/>
                <w:sz w:val="18"/>
                <w:szCs w:val="18"/>
              </w:rPr>
              <w:t>ir</w:t>
            </w:r>
            <w:proofErr w:type="spellEnd"/>
            <w:r>
              <w:rPr>
                <w:rFonts w:cs="Arial"/>
                <w:color w:val="323233"/>
                <w:sz w:val="18"/>
                <w:szCs w:val="18"/>
              </w:rPr>
              <w:t xml:space="preserve"> </w:t>
            </w:r>
            <w:proofErr w:type="spellStart"/>
            <w:r>
              <w:rPr>
                <w:rFonts w:cs="Arial"/>
                <w:color w:val="323233"/>
                <w:sz w:val="18"/>
                <w:szCs w:val="18"/>
              </w:rPr>
              <w:t>persona</w:t>
            </w:r>
            <w:proofErr w:type="spellEnd"/>
            <w:r>
              <w:rPr>
                <w:rFonts w:cs="Arial"/>
                <w:color w:val="323233"/>
                <w:sz w:val="18"/>
                <w:szCs w:val="18"/>
              </w:rPr>
              <w:t>“.</w:t>
            </w:r>
          </w:p>
        </w:tc>
      </w:tr>
      <w:tr w:rsidR="00114953" w:rsidRPr="000C7C76" w14:paraId="0C1EB3E9" w14:textId="77777777" w:rsidTr="00BF3A72">
        <w:trPr>
          <w:gridAfter w:val="1"/>
          <w:wAfter w:w="38" w:type="dxa"/>
        </w:trPr>
        <w:tc>
          <w:tcPr>
            <w:tcW w:w="675" w:type="dxa"/>
          </w:tcPr>
          <w:p w14:paraId="1D5547F5" w14:textId="77777777" w:rsidR="00114953" w:rsidRPr="009027B6" w:rsidRDefault="00114953" w:rsidP="00BF3A72">
            <w:pPr>
              <w:jc w:val="center"/>
              <w:rPr>
                <w:rFonts w:cs="Arial"/>
                <w:color w:val="323233"/>
                <w:sz w:val="18"/>
                <w:szCs w:val="18"/>
              </w:rPr>
            </w:pPr>
            <w:r>
              <w:rPr>
                <w:rFonts w:cs="Arial"/>
                <w:color w:val="323233"/>
                <w:sz w:val="18"/>
                <w:szCs w:val="18"/>
              </w:rPr>
              <w:t>2.</w:t>
            </w:r>
          </w:p>
        </w:tc>
        <w:tc>
          <w:tcPr>
            <w:tcW w:w="3932" w:type="dxa"/>
          </w:tcPr>
          <w:p w14:paraId="6BB654F2" w14:textId="77777777" w:rsidR="00114953" w:rsidRPr="009027B6" w:rsidRDefault="00114953" w:rsidP="00BF3A72">
            <w:pPr>
              <w:jc w:val="both"/>
              <w:rPr>
                <w:rFonts w:cs="Arial"/>
                <w:color w:val="323233"/>
                <w:sz w:val="18"/>
                <w:szCs w:val="18"/>
              </w:rPr>
            </w:pPr>
            <w:proofErr w:type="spellStart"/>
            <w:r>
              <w:rPr>
                <w:rFonts w:cs="Arial"/>
                <w:color w:val="323233"/>
                <w:sz w:val="18"/>
                <w:szCs w:val="18"/>
              </w:rPr>
              <w:t>Līgums</w:t>
            </w:r>
            <w:proofErr w:type="spellEnd"/>
            <w:r>
              <w:rPr>
                <w:rFonts w:cs="Arial"/>
                <w:color w:val="323233"/>
                <w:sz w:val="18"/>
                <w:szCs w:val="18"/>
              </w:rPr>
              <w:t xml:space="preserve"> </w:t>
            </w:r>
            <w:proofErr w:type="spellStart"/>
            <w:r>
              <w:rPr>
                <w:rFonts w:cs="Arial"/>
                <w:color w:val="323233"/>
                <w:sz w:val="18"/>
                <w:szCs w:val="18"/>
              </w:rPr>
              <w:t>starp</w:t>
            </w:r>
            <w:proofErr w:type="spellEnd"/>
            <w:r>
              <w:rPr>
                <w:rFonts w:cs="Arial"/>
                <w:color w:val="323233"/>
                <w:sz w:val="18"/>
                <w:szCs w:val="18"/>
              </w:rPr>
              <w:t xml:space="preserve"> </w:t>
            </w:r>
            <w:proofErr w:type="spellStart"/>
            <w:r>
              <w:rPr>
                <w:rFonts w:cs="Arial"/>
                <w:color w:val="323233"/>
                <w:sz w:val="18"/>
                <w:szCs w:val="18"/>
              </w:rPr>
              <w:t>Latviju</w:t>
            </w:r>
            <w:proofErr w:type="spellEnd"/>
            <w:r>
              <w:rPr>
                <w:rFonts w:cs="Arial"/>
                <w:color w:val="323233"/>
                <w:sz w:val="18"/>
                <w:szCs w:val="18"/>
              </w:rPr>
              <w:t xml:space="preserve"> </w:t>
            </w:r>
            <w:proofErr w:type="spellStart"/>
            <w:r>
              <w:rPr>
                <w:rFonts w:cs="Arial"/>
                <w:color w:val="323233"/>
                <w:sz w:val="18"/>
                <w:szCs w:val="18"/>
              </w:rPr>
              <w:t>un</w:t>
            </w:r>
            <w:proofErr w:type="spellEnd"/>
            <w:r>
              <w:rPr>
                <w:rFonts w:cs="Arial"/>
                <w:color w:val="323233"/>
                <w:sz w:val="18"/>
                <w:szCs w:val="18"/>
              </w:rPr>
              <w:t xml:space="preserve"> </w:t>
            </w:r>
            <w:proofErr w:type="spellStart"/>
            <w:r>
              <w:rPr>
                <w:rFonts w:cs="Arial"/>
                <w:color w:val="323233"/>
                <w:sz w:val="18"/>
                <w:szCs w:val="18"/>
              </w:rPr>
              <w:t>Moldovu</w:t>
            </w:r>
            <w:proofErr w:type="spellEnd"/>
          </w:p>
        </w:tc>
        <w:tc>
          <w:tcPr>
            <w:tcW w:w="2302" w:type="dxa"/>
          </w:tcPr>
          <w:p w14:paraId="4CE5CB0A" w14:textId="77777777" w:rsidR="00114953" w:rsidRPr="009027B6" w:rsidRDefault="00114953" w:rsidP="00BF3A72">
            <w:pPr>
              <w:jc w:val="center"/>
              <w:rPr>
                <w:rFonts w:cs="Arial"/>
                <w:color w:val="323233"/>
                <w:sz w:val="18"/>
                <w:szCs w:val="18"/>
              </w:rPr>
            </w:pPr>
            <w:r>
              <w:rPr>
                <w:rFonts w:cs="Arial"/>
                <w:color w:val="323233"/>
                <w:sz w:val="18"/>
                <w:szCs w:val="18"/>
              </w:rPr>
              <w:t xml:space="preserve">21.panta </w:t>
            </w:r>
            <w:proofErr w:type="spellStart"/>
            <w:r>
              <w:rPr>
                <w:rFonts w:cs="Arial"/>
                <w:color w:val="323233"/>
                <w:sz w:val="18"/>
                <w:szCs w:val="18"/>
              </w:rPr>
              <w:t>pirmā</w:t>
            </w:r>
            <w:proofErr w:type="spellEnd"/>
            <w:r>
              <w:rPr>
                <w:rFonts w:cs="Arial"/>
                <w:color w:val="323233"/>
                <w:sz w:val="18"/>
                <w:szCs w:val="18"/>
              </w:rPr>
              <w:t xml:space="preserve"> </w:t>
            </w:r>
            <w:proofErr w:type="spellStart"/>
            <w:r>
              <w:rPr>
                <w:rFonts w:cs="Arial"/>
                <w:color w:val="323233"/>
                <w:sz w:val="18"/>
                <w:szCs w:val="18"/>
              </w:rPr>
              <w:t>daļa</w:t>
            </w:r>
            <w:proofErr w:type="spellEnd"/>
          </w:p>
        </w:tc>
        <w:tc>
          <w:tcPr>
            <w:tcW w:w="2302" w:type="dxa"/>
          </w:tcPr>
          <w:p w14:paraId="26AB13AE" w14:textId="77777777" w:rsidR="00114953" w:rsidRPr="009027B6" w:rsidRDefault="00114953" w:rsidP="00BF3A72">
            <w:pPr>
              <w:rPr>
                <w:rFonts w:cs="Arial"/>
                <w:color w:val="323233"/>
                <w:sz w:val="18"/>
                <w:szCs w:val="18"/>
              </w:rPr>
            </w:pPr>
            <w:r>
              <w:rPr>
                <w:rFonts w:cs="Arial"/>
                <w:color w:val="323233"/>
                <w:sz w:val="18"/>
                <w:szCs w:val="18"/>
              </w:rPr>
              <w:t xml:space="preserve">„(1) </w:t>
            </w:r>
            <w:proofErr w:type="spellStart"/>
            <w:r>
              <w:rPr>
                <w:rFonts w:cs="Arial"/>
                <w:color w:val="323233"/>
                <w:sz w:val="18"/>
                <w:szCs w:val="18"/>
              </w:rPr>
              <w:t>Fiziskas</w:t>
            </w:r>
            <w:proofErr w:type="spellEnd"/>
            <w:r>
              <w:rPr>
                <w:rFonts w:cs="Arial"/>
                <w:color w:val="323233"/>
                <w:sz w:val="18"/>
                <w:szCs w:val="18"/>
              </w:rPr>
              <w:t xml:space="preserve"> personas </w:t>
            </w:r>
            <w:proofErr w:type="spellStart"/>
            <w:r>
              <w:rPr>
                <w:rFonts w:cs="Arial"/>
                <w:color w:val="323233"/>
                <w:sz w:val="18"/>
                <w:szCs w:val="18"/>
              </w:rPr>
              <w:t>rīcībspēju</w:t>
            </w:r>
            <w:proofErr w:type="spellEnd"/>
            <w:r>
              <w:rPr>
                <w:rFonts w:cs="Arial"/>
                <w:color w:val="323233"/>
                <w:sz w:val="18"/>
                <w:szCs w:val="18"/>
              </w:rPr>
              <w:t xml:space="preserve"> </w:t>
            </w:r>
            <w:proofErr w:type="spellStart"/>
            <w:r>
              <w:rPr>
                <w:rFonts w:cs="Arial"/>
                <w:color w:val="323233"/>
                <w:sz w:val="18"/>
                <w:szCs w:val="18"/>
              </w:rPr>
              <w:t>nosaka</w:t>
            </w:r>
            <w:proofErr w:type="spellEnd"/>
            <w:r>
              <w:rPr>
                <w:rFonts w:cs="Arial"/>
                <w:color w:val="323233"/>
                <w:sz w:val="18"/>
                <w:szCs w:val="18"/>
              </w:rPr>
              <w:t xml:space="preserve"> </w:t>
            </w:r>
            <w:proofErr w:type="spellStart"/>
            <w:r>
              <w:rPr>
                <w:rFonts w:cs="Arial"/>
                <w:color w:val="323233"/>
                <w:sz w:val="18"/>
                <w:szCs w:val="18"/>
              </w:rPr>
              <w:t>tās</w:t>
            </w:r>
            <w:proofErr w:type="spellEnd"/>
            <w:r>
              <w:rPr>
                <w:rFonts w:cs="Arial"/>
                <w:color w:val="323233"/>
                <w:sz w:val="18"/>
                <w:szCs w:val="18"/>
              </w:rPr>
              <w:t xml:space="preserve"> </w:t>
            </w:r>
            <w:proofErr w:type="spellStart"/>
            <w:r>
              <w:rPr>
                <w:rFonts w:cs="Arial"/>
                <w:color w:val="323233"/>
                <w:sz w:val="18"/>
                <w:szCs w:val="18"/>
              </w:rPr>
              <w:t>Līgumslēdzējas</w:t>
            </w:r>
            <w:proofErr w:type="spellEnd"/>
            <w:r>
              <w:rPr>
                <w:rFonts w:cs="Arial"/>
                <w:color w:val="323233"/>
                <w:sz w:val="18"/>
                <w:szCs w:val="18"/>
              </w:rPr>
              <w:t xml:space="preserve"> </w:t>
            </w:r>
            <w:proofErr w:type="spellStart"/>
            <w:r>
              <w:rPr>
                <w:rFonts w:cs="Arial"/>
                <w:color w:val="323233"/>
                <w:sz w:val="18"/>
                <w:szCs w:val="18"/>
              </w:rPr>
              <w:t>Puses</w:t>
            </w:r>
            <w:proofErr w:type="spellEnd"/>
            <w:r>
              <w:rPr>
                <w:rFonts w:cs="Arial"/>
                <w:color w:val="323233"/>
                <w:sz w:val="18"/>
                <w:szCs w:val="18"/>
              </w:rPr>
              <w:t xml:space="preserve"> </w:t>
            </w:r>
            <w:proofErr w:type="spellStart"/>
            <w:r>
              <w:rPr>
                <w:rFonts w:cs="Arial"/>
                <w:color w:val="323233"/>
                <w:sz w:val="18"/>
                <w:szCs w:val="18"/>
              </w:rPr>
              <w:t>likumdošana</w:t>
            </w:r>
            <w:proofErr w:type="spellEnd"/>
            <w:r>
              <w:rPr>
                <w:rFonts w:cs="Arial"/>
                <w:color w:val="323233"/>
                <w:sz w:val="18"/>
                <w:szCs w:val="18"/>
              </w:rPr>
              <w:t xml:space="preserve">, </w:t>
            </w:r>
            <w:proofErr w:type="spellStart"/>
            <w:r>
              <w:rPr>
                <w:rFonts w:cs="Arial"/>
                <w:color w:val="323233"/>
                <w:sz w:val="18"/>
                <w:szCs w:val="18"/>
              </w:rPr>
              <w:t>kuras</w:t>
            </w:r>
            <w:proofErr w:type="spellEnd"/>
            <w:r>
              <w:rPr>
                <w:rFonts w:cs="Arial"/>
                <w:color w:val="323233"/>
                <w:sz w:val="18"/>
                <w:szCs w:val="18"/>
              </w:rPr>
              <w:t xml:space="preserve"> </w:t>
            </w:r>
            <w:proofErr w:type="spellStart"/>
            <w:r>
              <w:rPr>
                <w:rFonts w:cs="Arial"/>
                <w:color w:val="323233"/>
                <w:sz w:val="18"/>
                <w:szCs w:val="18"/>
              </w:rPr>
              <w:t>pilsonis</w:t>
            </w:r>
            <w:proofErr w:type="spellEnd"/>
            <w:r>
              <w:rPr>
                <w:rFonts w:cs="Arial"/>
                <w:color w:val="323233"/>
                <w:sz w:val="18"/>
                <w:szCs w:val="18"/>
              </w:rPr>
              <w:t xml:space="preserve"> </w:t>
            </w:r>
            <w:proofErr w:type="spellStart"/>
            <w:r>
              <w:rPr>
                <w:rFonts w:cs="Arial"/>
                <w:color w:val="323233"/>
                <w:sz w:val="18"/>
                <w:szCs w:val="18"/>
              </w:rPr>
              <w:t>ir</w:t>
            </w:r>
            <w:proofErr w:type="spellEnd"/>
            <w:r>
              <w:rPr>
                <w:rFonts w:cs="Arial"/>
                <w:color w:val="323233"/>
                <w:sz w:val="18"/>
                <w:szCs w:val="18"/>
              </w:rPr>
              <w:t xml:space="preserve"> </w:t>
            </w:r>
            <w:proofErr w:type="spellStart"/>
            <w:r>
              <w:rPr>
                <w:rFonts w:cs="Arial"/>
                <w:color w:val="323233"/>
                <w:sz w:val="18"/>
                <w:szCs w:val="18"/>
              </w:rPr>
              <w:t>šī</w:t>
            </w:r>
            <w:proofErr w:type="spellEnd"/>
            <w:r>
              <w:rPr>
                <w:rFonts w:cs="Arial"/>
                <w:color w:val="323233"/>
                <w:sz w:val="18"/>
                <w:szCs w:val="18"/>
              </w:rPr>
              <w:t xml:space="preserve"> </w:t>
            </w:r>
            <w:proofErr w:type="spellStart"/>
            <w:r>
              <w:rPr>
                <w:rFonts w:cs="Arial"/>
                <w:color w:val="323233"/>
                <w:sz w:val="18"/>
                <w:szCs w:val="18"/>
              </w:rPr>
              <w:t>persona</w:t>
            </w:r>
            <w:proofErr w:type="spellEnd"/>
            <w:r>
              <w:rPr>
                <w:rFonts w:cs="Arial"/>
                <w:color w:val="323233"/>
                <w:sz w:val="18"/>
                <w:szCs w:val="18"/>
              </w:rPr>
              <w:t>“.</w:t>
            </w:r>
          </w:p>
        </w:tc>
      </w:tr>
      <w:tr w:rsidR="00114953" w:rsidRPr="000C7C76" w14:paraId="5417B22D" w14:textId="77777777" w:rsidTr="00BF3A72">
        <w:trPr>
          <w:gridAfter w:val="1"/>
          <w:wAfter w:w="38" w:type="dxa"/>
        </w:trPr>
        <w:tc>
          <w:tcPr>
            <w:tcW w:w="675" w:type="dxa"/>
          </w:tcPr>
          <w:p w14:paraId="10E89FE1" w14:textId="77777777" w:rsidR="00114953" w:rsidRPr="009027B6" w:rsidRDefault="00114953" w:rsidP="00BF3A72">
            <w:pPr>
              <w:jc w:val="center"/>
              <w:rPr>
                <w:rFonts w:cs="Arial"/>
                <w:color w:val="323233"/>
                <w:sz w:val="18"/>
                <w:szCs w:val="18"/>
              </w:rPr>
            </w:pPr>
            <w:r>
              <w:rPr>
                <w:rFonts w:cs="Arial"/>
                <w:color w:val="323233"/>
                <w:sz w:val="18"/>
                <w:szCs w:val="18"/>
              </w:rPr>
              <w:t>3.</w:t>
            </w:r>
          </w:p>
        </w:tc>
        <w:tc>
          <w:tcPr>
            <w:tcW w:w="3932" w:type="dxa"/>
          </w:tcPr>
          <w:p w14:paraId="474A30FC" w14:textId="77777777" w:rsidR="00114953" w:rsidRPr="009027B6" w:rsidRDefault="00114953" w:rsidP="00BF3A72">
            <w:pPr>
              <w:jc w:val="both"/>
              <w:rPr>
                <w:rFonts w:cs="Arial"/>
                <w:color w:val="323233"/>
                <w:sz w:val="18"/>
                <w:szCs w:val="18"/>
              </w:rPr>
            </w:pPr>
            <w:proofErr w:type="spellStart"/>
            <w:r>
              <w:rPr>
                <w:rFonts w:cs="Arial"/>
                <w:color w:val="323233"/>
                <w:sz w:val="18"/>
                <w:szCs w:val="18"/>
              </w:rPr>
              <w:t>Līgums</w:t>
            </w:r>
            <w:proofErr w:type="spellEnd"/>
            <w:r>
              <w:rPr>
                <w:rFonts w:cs="Arial"/>
                <w:color w:val="323233"/>
                <w:sz w:val="18"/>
                <w:szCs w:val="18"/>
              </w:rPr>
              <w:t xml:space="preserve"> </w:t>
            </w:r>
            <w:proofErr w:type="spellStart"/>
            <w:r>
              <w:rPr>
                <w:rFonts w:cs="Arial"/>
                <w:color w:val="323233"/>
                <w:sz w:val="18"/>
                <w:szCs w:val="18"/>
              </w:rPr>
              <w:t>starp</w:t>
            </w:r>
            <w:proofErr w:type="spellEnd"/>
            <w:r>
              <w:rPr>
                <w:rFonts w:cs="Arial"/>
                <w:color w:val="323233"/>
                <w:sz w:val="18"/>
                <w:szCs w:val="18"/>
              </w:rPr>
              <w:t xml:space="preserve"> </w:t>
            </w:r>
            <w:proofErr w:type="spellStart"/>
            <w:r>
              <w:rPr>
                <w:rFonts w:cs="Arial"/>
                <w:color w:val="323233"/>
                <w:sz w:val="18"/>
                <w:szCs w:val="18"/>
              </w:rPr>
              <w:t>Latviju</w:t>
            </w:r>
            <w:proofErr w:type="spellEnd"/>
            <w:r>
              <w:rPr>
                <w:rFonts w:cs="Arial"/>
                <w:color w:val="323233"/>
                <w:sz w:val="18"/>
                <w:szCs w:val="18"/>
              </w:rPr>
              <w:t xml:space="preserve"> </w:t>
            </w:r>
            <w:proofErr w:type="spellStart"/>
            <w:r>
              <w:rPr>
                <w:rFonts w:cs="Arial"/>
                <w:color w:val="323233"/>
                <w:sz w:val="18"/>
                <w:szCs w:val="18"/>
              </w:rPr>
              <w:t>un</w:t>
            </w:r>
            <w:proofErr w:type="spellEnd"/>
            <w:r>
              <w:rPr>
                <w:rFonts w:cs="Arial"/>
                <w:color w:val="323233"/>
                <w:sz w:val="18"/>
                <w:szCs w:val="18"/>
              </w:rPr>
              <w:t xml:space="preserve"> </w:t>
            </w:r>
            <w:proofErr w:type="spellStart"/>
            <w:r>
              <w:rPr>
                <w:rFonts w:cs="Arial"/>
                <w:color w:val="323233"/>
                <w:sz w:val="18"/>
                <w:szCs w:val="18"/>
              </w:rPr>
              <w:t>Baltkrieviju</w:t>
            </w:r>
            <w:proofErr w:type="spellEnd"/>
          </w:p>
        </w:tc>
        <w:tc>
          <w:tcPr>
            <w:tcW w:w="2302" w:type="dxa"/>
          </w:tcPr>
          <w:p w14:paraId="044620DF" w14:textId="77777777" w:rsidR="00114953" w:rsidRPr="009027B6" w:rsidRDefault="00114953" w:rsidP="00BF3A72">
            <w:pPr>
              <w:jc w:val="center"/>
              <w:rPr>
                <w:rFonts w:cs="Arial"/>
                <w:color w:val="323233"/>
                <w:sz w:val="18"/>
                <w:szCs w:val="18"/>
              </w:rPr>
            </w:pPr>
            <w:r>
              <w:rPr>
                <w:rFonts w:cs="Arial"/>
                <w:color w:val="323233"/>
                <w:sz w:val="18"/>
                <w:szCs w:val="18"/>
              </w:rPr>
              <w:t xml:space="preserve">21.panta </w:t>
            </w:r>
            <w:proofErr w:type="spellStart"/>
            <w:r>
              <w:rPr>
                <w:rFonts w:cs="Arial"/>
                <w:color w:val="323233"/>
                <w:sz w:val="18"/>
                <w:szCs w:val="18"/>
              </w:rPr>
              <w:t>pirmā</w:t>
            </w:r>
            <w:proofErr w:type="spellEnd"/>
            <w:r>
              <w:rPr>
                <w:rFonts w:cs="Arial"/>
                <w:color w:val="323233"/>
                <w:sz w:val="18"/>
                <w:szCs w:val="18"/>
              </w:rPr>
              <w:t xml:space="preserve"> </w:t>
            </w:r>
            <w:proofErr w:type="spellStart"/>
            <w:r>
              <w:rPr>
                <w:rFonts w:cs="Arial"/>
                <w:color w:val="323233"/>
                <w:sz w:val="18"/>
                <w:szCs w:val="18"/>
              </w:rPr>
              <w:t>daļa</w:t>
            </w:r>
            <w:proofErr w:type="spellEnd"/>
          </w:p>
        </w:tc>
        <w:tc>
          <w:tcPr>
            <w:tcW w:w="2302" w:type="dxa"/>
          </w:tcPr>
          <w:p w14:paraId="1167BF04" w14:textId="77777777" w:rsidR="00114953" w:rsidRPr="006A6BA0" w:rsidRDefault="00114953" w:rsidP="00BF3A72">
            <w:pPr>
              <w:jc w:val="both"/>
              <w:rPr>
                <w:rFonts w:cs="Arial"/>
                <w:color w:val="323233"/>
                <w:sz w:val="18"/>
                <w:szCs w:val="18"/>
              </w:rPr>
            </w:pPr>
            <w:r>
              <w:rPr>
                <w:rFonts w:cs="Arial"/>
                <w:color w:val="323233"/>
                <w:sz w:val="18"/>
                <w:szCs w:val="18"/>
              </w:rPr>
              <w:t xml:space="preserve">„(1) </w:t>
            </w:r>
            <w:proofErr w:type="spellStart"/>
            <w:r>
              <w:rPr>
                <w:rFonts w:cs="Arial"/>
                <w:color w:val="323233"/>
                <w:sz w:val="18"/>
                <w:szCs w:val="18"/>
              </w:rPr>
              <w:t>Fiziskas</w:t>
            </w:r>
            <w:proofErr w:type="spellEnd"/>
            <w:r>
              <w:rPr>
                <w:rFonts w:cs="Arial"/>
                <w:color w:val="323233"/>
                <w:sz w:val="18"/>
                <w:szCs w:val="18"/>
              </w:rPr>
              <w:t xml:space="preserve"> personas </w:t>
            </w:r>
            <w:proofErr w:type="spellStart"/>
            <w:r>
              <w:rPr>
                <w:rFonts w:cs="Arial"/>
                <w:color w:val="323233"/>
                <w:sz w:val="18"/>
                <w:szCs w:val="18"/>
              </w:rPr>
              <w:t>rīcībspēju</w:t>
            </w:r>
            <w:proofErr w:type="spellEnd"/>
            <w:r>
              <w:rPr>
                <w:rFonts w:cs="Arial"/>
                <w:color w:val="323233"/>
                <w:sz w:val="18"/>
                <w:szCs w:val="18"/>
              </w:rPr>
              <w:t xml:space="preserve"> </w:t>
            </w:r>
            <w:proofErr w:type="spellStart"/>
            <w:r>
              <w:rPr>
                <w:rFonts w:cs="Arial"/>
                <w:color w:val="323233"/>
                <w:sz w:val="18"/>
                <w:szCs w:val="18"/>
              </w:rPr>
              <w:t>nosaka</w:t>
            </w:r>
            <w:proofErr w:type="spellEnd"/>
            <w:r>
              <w:rPr>
                <w:rFonts w:cs="Arial"/>
                <w:color w:val="323233"/>
                <w:sz w:val="18"/>
                <w:szCs w:val="18"/>
              </w:rPr>
              <w:t xml:space="preserve"> </w:t>
            </w:r>
            <w:proofErr w:type="spellStart"/>
            <w:r>
              <w:rPr>
                <w:rFonts w:cs="Arial"/>
                <w:color w:val="323233"/>
                <w:sz w:val="18"/>
                <w:szCs w:val="18"/>
              </w:rPr>
              <w:t>tās</w:t>
            </w:r>
            <w:proofErr w:type="spellEnd"/>
            <w:r>
              <w:rPr>
                <w:rFonts w:cs="Arial"/>
                <w:color w:val="323233"/>
                <w:sz w:val="18"/>
                <w:szCs w:val="18"/>
              </w:rPr>
              <w:t xml:space="preserve"> </w:t>
            </w:r>
            <w:proofErr w:type="spellStart"/>
            <w:r>
              <w:rPr>
                <w:rFonts w:cs="Arial"/>
                <w:color w:val="323233"/>
                <w:sz w:val="18"/>
                <w:szCs w:val="18"/>
              </w:rPr>
              <w:t>Līgumslēdzējas</w:t>
            </w:r>
            <w:proofErr w:type="spellEnd"/>
            <w:r>
              <w:rPr>
                <w:rFonts w:cs="Arial"/>
                <w:color w:val="323233"/>
                <w:sz w:val="18"/>
                <w:szCs w:val="18"/>
              </w:rPr>
              <w:t xml:space="preserve"> </w:t>
            </w:r>
            <w:proofErr w:type="spellStart"/>
            <w:r>
              <w:rPr>
                <w:rFonts w:cs="Arial"/>
                <w:color w:val="323233"/>
                <w:sz w:val="18"/>
                <w:szCs w:val="18"/>
              </w:rPr>
              <w:t>Puses</w:t>
            </w:r>
            <w:proofErr w:type="spellEnd"/>
            <w:r>
              <w:rPr>
                <w:rFonts w:cs="Arial"/>
                <w:color w:val="323233"/>
                <w:sz w:val="18"/>
                <w:szCs w:val="18"/>
              </w:rPr>
              <w:t xml:space="preserve"> </w:t>
            </w:r>
            <w:proofErr w:type="spellStart"/>
            <w:r>
              <w:rPr>
                <w:rFonts w:cs="Arial"/>
                <w:color w:val="323233"/>
                <w:sz w:val="18"/>
                <w:szCs w:val="18"/>
              </w:rPr>
              <w:t>likumdošana</w:t>
            </w:r>
            <w:proofErr w:type="spellEnd"/>
            <w:r>
              <w:rPr>
                <w:rFonts w:cs="Arial"/>
                <w:color w:val="323233"/>
                <w:sz w:val="18"/>
                <w:szCs w:val="18"/>
              </w:rPr>
              <w:t xml:space="preserve">, </w:t>
            </w:r>
            <w:proofErr w:type="spellStart"/>
            <w:r>
              <w:rPr>
                <w:rFonts w:cs="Arial"/>
                <w:color w:val="323233"/>
                <w:sz w:val="18"/>
                <w:szCs w:val="18"/>
              </w:rPr>
              <w:t>kuras</w:t>
            </w:r>
            <w:proofErr w:type="spellEnd"/>
            <w:r>
              <w:rPr>
                <w:rFonts w:cs="Arial"/>
                <w:color w:val="323233"/>
                <w:sz w:val="18"/>
                <w:szCs w:val="18"/>
              </w:rPr>
              <w:t xml:space="preserve"> </w:t>
            </w:r>
            <w:proofErr w:type="spellStart"/>
            <w:r>
              <w:rPr>
                <w:rFonts w:cs="Arial"/>
                <w:color w:val="323233"/>
                <w:sz w:val="18"/>
                <w:szCs w:val="18"/>
              </w:rPr>
              <w:t>pilsonis</w:t>
            </w:r>
            <w:proofErr w:type="spellEnd"/>
            <w:r>
              <w:rPr>
                <w:rFonts w:cs="Arial"/>
                <w:color w:val="323233"/>
                <w:sz w:val="18"/>
                <w:szCs w:val="18"/>
              </w:rPr>
              <w:t xml:space="preserve"> </w:t>
            </w:r>
            <w:proofErr w:type="spellStart"/>
            <w:r>
              <w:rPr>
                <w:rFonts w:cs="Arial"/>
                <w:color w:val="323233"/>
                <w:sz w:val="18"/>
                <w:szCs w:val="18"/>
              </w:rPr>
              <w:t>ir</w:t>
            </w:r>
            <w:proofErr w:type="spellEnd"/>
            <w:r>
              <w:rPr>
                <w:rFonts w:cs="Arial"/>
                <w:color w:val="323233"/>
                <w:sz w:val="18"/>
                <w:szCs w:val="18"/>
              </w:rPr>
              <w:t xml:space="preserve"> </w:t>
            </w:r>
            <w:proofErr w:type="spellStart"/>
            <w:r>
              <w:rPr>
                <w:rFonts w:cs="Arial"/>
                <w:color w:val="323233"/>
                <w:sz w:val="18"/>
                <w:szCs w:val="18"/>
              </w:rPr>
              <w:t>šī</w:t>
            </w:r>
            <w:proofErr w:type="spellEnd"/>
            <w:r>
              <w:rPr>
                <w:rFonts w:cs="Arial"/>
                <w:color w:val="323233"/>
                <w:sz w:val="18"/>
                <w:szCs w:val="18"/>
              </w:rPr>
              <w:t xml:space="preserve"> </w:t>
            </w:r>
            <w:proofErr w:type="spellStart"/>
            <w:r>
              <w:rPr>
                <w:rFonts w:cs="Arial"/>
                <w:color w:val="323233"/>
                <w:sz w:val="18"/>
                <w:szCs w:val="18"/>
              </w:rPr>
              <w:t>persona</w:t>
            </w:r>
            <w:proofErr w:type="spellEnd"/>
            <w:r>
              <w:rPr>
                <w:rFonts w:cs="Arial"/>
                <w:color w:val="323233"/>
                <w:sz w:val="18"/>
                <w:szCs w:val="18"/>
              </w:rPr>
              <w:t>“.</w:t>
            </w:r>
          </w:p>
        </w:tc>
      </w:tr>
      <w:tr w:rsidR="00114953" w:rsidRPr="000C7C76" w14:paraId="1A3C7389" w14:textId="77777777" w:rsidTr="00BF3A72">
        <w:trPr>
          <w:gridAfter w:val="1"/>
          <w:wAfter w:w="38" w:type="dxa"/>
        </w:trPr>
        <w:tc>
          <w:tcPr>
            <w:tcW w:w="675" w:type="dxa"/>
          </w:tcPr>
          <w:p w14:paraId="2C1B4B41" w14:textId="77777777" w:rsidR="00114953" w:rsidRPr="009027B6" w:rsidRDefault="00114953" w:rsidP="00BF3A72">
            <w:pPr>
              <w:jc w:val="center"/>
              <w:rPr>
                <w:rFonts w:cs="Arial"/>
                <w:color w:val="323233"/>
                <w:sz w:val="18"/>
                <w:szCs w:val="18"/>
              </w:rPr>
            </w:pPr>
            <w:r>
              <w:rPr>
                <w:rFonts w:cs="Arial"/>
                <w:color w:val="323233"/>
                <w:sz w:val="18"/>
                <w:szCs w:val="18"/>
              </w:rPr>
              <w:t>4.</w:t>
            </w:r>
          </w:p>
        </w:tc>
        <w:tc>
          <w:tcPr>
            <w:tcW w:w="3932" w:type="dxa"/>
          </w:tcPr>
          <w:p w14:paraId="2E22CD76" w14:textId="77777777" w:rsidR="00114953" w:rsidRPr="009027B6" w:rsidRDefault="00114953" w:rsidP="00BF3A72">
            <w:pPr>
              <w:jc w:val="both"/>
              <w:rPr>
                <w:rFonts w:cs="Arial"/>
                <w:color w:val="323233"/>
                <w:sz w:val="18"/>
                <w:szCs w:val="18"/>
              </w:rPr>
            </w:pPr>
            <w:proofErr w:type="spellStart"/>
            <w:r>
              <w:rPr>
                <w:rFonts w:cs="Arial"/>
                <w:color w:val="323233"/>
                <w:sz w:val="18"/>
                <w:szCs w:val="18"/>
              </w:rPr>
              <w:t>Līgums</w:t>
            </w:r>
            <w:proofErr w:type="spellEnd"/>
            <w:r>
              <w:rPr>
                <w:rFonts w:cs="Arial"/>
                <w:color w:val="323233"/>
                <w:sz w:val="18"/>
                <w:szCs w:val="18"/>
              </w:rPr>
              <w:t xml:space="preserve"> </w:t>
            </w:r>
            <w:proofErr w:type="spellStart"/>
            <w:r>
              <w:rPr>
                <w:rFonts w:cs="Arial"/>
                <w:color w:val="323233"/>
                <w:sz w:val="18"/>
                <w:szCs w:val="18"/>
              </w:rPr>
              <w:t>starp</w:t>
            </w:r>
            <w:proofErr w:type="spellEnd"/>
            <w:r>
              <w:rPr>
                <w:rFonts w:cs="Arial"/>
                <w:color w:val="323233"/>
                <w:sz w:val="18"/>
                <w:szCs w:val="18"/>
              </w:rPr>
              <w:t xml:space="preserve"> </w:t>
            </w:r>
            <w:proofErr w:type="spellStart"/>
            <w:r>
              <w:rPr>
                <w:rFonts w:cs="Arial"/>
                <w:color w:val="323233"/>
                <w:sz w:val="18"/>
                <w:szCs w:val="18"/>
              </w:rPr>
              <w:t>Latviju</w:t>
            </w:r>
            <w:proofErr w:type="spellEnd"/>
            <w:r>
              <w:rPr>
                <w:rFonts w:cs="Arial"/>
                <w:color w:val="323233"/>
                <w:sz w:val="18"/>
                <w:szCs w:val="18"/>
              </w:rPr>
              <w:t xml:space="preserve"> </w:t>
            </w:r>
            <w:proofErr w:type="spellStart"/>
            <w:r>
              <w:rPr>
                <w:rFonts w:cs="Arial"/>
                <w:color w:val="323233"/>
                <w:sz w:val="18"/>
                <w:szCs w:val="18"/>
              </w:rPr>
              <w:t>un</w:t>
            </w:r>
            <w:proofErr w:type="spellEnd"/>
            <w:r>
              <w:rPr>
                <w:rFonts w:cs="Arial"/>
                <w:color w:val="323233"/>
                <w:sz w:val="18"/>
                <w:szCs w:val="18"/>
              </w:rPr>
              <w:t xml:space="preserve"> </w:t>
            </w:r>
            <w:proofErr w:type="spellStart"/>
            <w:r>
              <w:rPr>
                <w:rFonts w:cs="Arial"/>
                <w:color w:val="323233"/>
                <w:sz w:val="18"/>
                <w:szCs w:val="18"/>
              </w:rPr>
              <w:t>Poliju</w:t>
            </w:r>
            <w:proofErr w:type="spellEnd"/>
          </w:p>
        </w:tc>
        <w:tc>
          <w:tcPr>
            <w:tcW w:w="2302" w:type="dxa"/>
          </w:tcPr>
          <w:p w14:paraId="08310156" w14:textId="77777777" w:rsidR="00114953" w:rsidRPr="009027B6" w:rsidRDefault="00114953" w:rsidP="00BF3A72">
            <w:pPr>
              <w:jc w:val="center"/>
              <w:rPr>
                <w:rFonts w:cs="Arial"/>
                <w:color w:val="323233"/>
                <w:sz w:val="18"/>
                <w:szCs w:val="18"/>
              </w:rPr>
            </w:pPr>
            <w:r>
              <w:rPr>
                <w:rFonts w:cs="Arial"/>
                <w:color w:val="323233"/>
                <w:sz w:val="18"/>
                <w:szCs w:val="18"/>
              </w:rPr>
              <w:t xml:space="preserve">22.panta </w:t>
            </w:r>
            <w:proofErr w:type="spellStart"/>
            <w:r>
              <w:rPr>
                <w:rFonts w:cs="Arial"/>
                <w:color w:val="323233"/>
                <w:sz w:val="18"/>
                <w:szCs w:val="18"/>
              </w:rPr>
              <w:t>pirmā</w:t>
            </w:r>
            <w:proofErr w:type="spellEnd"/>
            <w:r>
              <w:rPr>
                <w:rFonts w:cs="Arial"/>
                <w:color w:val="323233"/>
                <w:sz w:val="18"/>
                <w:szCs w:val="18"/>
              </w:rPr>
              <w:t xml:space="preserve"> </w:t>
            </w:r>
            <w:proofErr w:type="spellStart"/>
            <w:r>
              <w:rPr>
                <w:rFonts w:cs="Arial"/>
                <w:color w:val="323233"/>
                <w:sz w:val="18"/>
                <w:szCs w:val="18"/>
              </w:rPr>
              <w:t>daļa</w:t>
            </w:r>
            <w:proofErr w:type="spellEnd"/>
          </w:p>
        </w:tc>
        <w:tc>
          <w:tcPr>
            <w:tcW w:w="2302" w:type="dxa"/>
          </w:tcPr>
          <w:p w14:paraId="5B0CEF12" w14:textId="77777777" w:rsidR="00114953" w:rsidRPr="009027B6" w:rsidRDefault="00114953" w:rsidP="00BF3A72">
            <w:pPr>
              <w:jc w:val="both"/>
              <w:rPr>
                <w:rFonts w:cs="Arial"/>
                <w:color w:val="323233"/>
                <w:sz w:val="18"/>
                <w:szCs w:val="18"/>
              </w:rPr>
            </w:pPr>
            <w:r>
              <w:rPr>
                <w:rFonts w:cs="Arial"/>
                <w:color w:val="323233"/>
                <w:sz w:val="18"/>
                <w:szCs w:val="18"/>
              </w:rPr>
              <w:t xml:space="preserve">„(1) </w:t>
            </w:r>
            <w:proofErr w:type="spellStart"/>
            <w:r>
              <w:rPr>
                <w:rFonts w:cs="Arial"/>
                <w:color w:val="323233"/>
                <w:sz w:val="18"/>
                <w:szCs w:val="18"/>
              </w:rPr>
              <w:t>Fiziskas</w:t>
            </w:r>
            <w:proofErr w:type="spellEnd"/>
            <w:r>
              <w:rPr>
                <w:rFonts w:cs="Arial"/>
                <w:color w:val="323233"/>
                <w:sz w:val="18"/>
                <w:szCs w:val="18"/>
              </w:rPr>
              <w:t xml:space="preserve"> personas </w:t>
            </w:r>
            <w:proofErr w:type="spellStart"/>
            <w:r>
              <w:rPr>
                <w:rFonts w:cs="Arial"/>
                <w:color w:val="323233"/>
                <w:sz w:val="18"/>
                <w:szCs w:val="18"/>
              </w:rPr>
              <w:t>tiesībspēju</w:t>
            </w:r>
            <w:proofErr w:type="spellEnd"/>
            <w:r>
              <w:rPr>
                <w:rFonts w:cs="Arial"/>
                <w:color w:val="323233"/>
                <w:sz w:val="18"/>
                <w:szCs w:val="18"/>
              </w:rPr>
              <w:t xml:space="preserve"> </w:t>
            </w:r>
            <w:proofErr w:type="spellStart"/>
            <w:r>
              <w:rPr>
                <w:rFonts w:cs="Arial"/>
                <w:color w:val="323233"/>
                <w:sz w:val="18"/>
                <w:szCs w:val="18"/>
              </w:rPr>
              <w:t>un</w:t>
            </w:r>
            <w:proofErr w:type="spellEnd"/>
            <w:r>
              <w:rPr>
                <w:rFonts w:cs="Arial"/>
                <w:color w:val="323233"/>
                <w:sz w:val="18"/>
                <w:szCs w:val="18"/>
              </w:rPr>
              <w:t xml:space="preserve"> </w:t>
            </w:r>
            <w:proofErr w:type="spellStart"/>
            <w:r>
              <w:rPr>
                <w:rFonts w:cs="Arial"/>
                <w:color w:val="323233"/>
                <w:sz w:val="18"/>
                <w:szCs w:val="18"/>
              </w:rPr>
              <w:t>rīcībspēju</w:t>
            </w:r>
            <w:proofErr w:type="spellEnd"/>
            <w:r>
              <w:rPr>
                <w:rFonts w:cs="Arial"/>
                <w:color w:val="323233"/>
                <w:sz w:val="18"/>
                <w:szCs w:val="18"/>
              </w:rPr>
              <w:t xml:space="preserve"> </w:t>
            </w:r>
            <w:proofErr w:type="spellStart"/>
            <w:r>
              <w:rPr>
                <w:rFonts w:cs="Arial"/>
                <w:color w:val="323233"/>
                <w:sz w:val="18"/>
                <w:szCs w:val="18"/>
              </w:rPr>
              <w:t>nosaka</w:t>
            </w:r>
            <w:proofErr w:type="spellEnd"/>
            <w:r>
              <w:rPr>
                <w:rFonts w:cs="Arial"/>
                <w:color w:val="323233"/>
                <w:sz w:val="18"/>
                <w:szCs w:val="18"/>
              </w:rPr>
              <w:t xml:space="preserve"> </w:t>
            </w:r>
            <w:proofErr w:type="spellStart"/>
            <w:r>
              <w:rPr>
                <w:rFonts w:cs="Arial"/>
                <w:color w:val="323233"/>
                <w:sz w:val="18"/>
                <w:szCs w:val="18"/>
              </w:rPr>
              <w:t>tās</w:t>
            </w:r>
            <w:proofErr w:type="spellEnd"/>
            <w:r>
              <w:rPr>
                <w:rFonts w:cs="Arial"/>
                <w:color w:val="323233"/>
                <w:sz w:val="18"/>
                <w:szCs w:val="18"/>
              </w:rPr>
              <w:t xml:space="preserve"> </w:t>
            </w:r>
            <w:proofErr w:type="spellStart"/>
            <w:r>
              <w:rPr>
                <w:rFonts w:cs="Arial"/>
                <w:color w:val="323233"/>
                <w:sz w:val="18"/>
                <w:szCs w:val="18"/>
              </w:rPr>
              <w:t>Līgumslēdzējas</w:t>
            </w:r>
            <w:proofErr w:type="spellEnd"/>
            <w:r>
              <w:rPr>
                <w:rFonts w:cs="Arial"/>
                <w:color w:val="323233"/>
                <w:sz w:val="18"/>
                <w:szCs w:val="18"/>
              </w:rPr>
              <w:t xml:space="preserve"> </w:t>
            </w:r>
            <w:proofErr w:type="spellStart"/>
            <w:r>
              <w:rPr>
                <w:rFonts w:cs="Arial"/>
                <w:color w:val="323233"/>
                <w:sz w:val="18"/>
                <w:szCs w:val="18"/>
              </w:rPr>
              <w:t>Puses</w:t>
            </w:r>
            <w:proofErr w:type="spellEnd"/>
            <w:r>
              <w:rPr>
                <w:rFonts w:cs="Arial"/>
                <w:color w:val="323233"/>
                <w:sz w:val="18"/>
                <w:szCs w:val="18"/>
              </w:rPr>
              <w:t xml:space="preserve"> </w:t>
            </w:r>
            <w:proofErr w:type="spellStart"/>
            <w:r>
              <w:rPr>
                <w:rFonts w:cs="Arial"/>
                <w:color w:val="323233"/>
                <w:sz w:val="18"/>
                <w:szCs w:val="18"/>
              </w:rPr>
              <w:t>likumdošana</w:t>
            </w:r>
            <w:proofErr w:type="spellEnd"/>
            <w:r>
              <w:rPr>
                <w:rFonts w:cs="Arial"/>
                <w:color w:val="323233"/>
                <w:sz w:val="18"/>
                <w:szCs w:val="18"/>
              </w:rPr>
              <w:t xml:space="preserve">, </w:t>
            </w:r>
            <w:proofErr w:type="spellStart"/>
            <w:r>
              <w:rPr>
                <w:rFonts w:cs="Arial"/>
                <w:color w:val="323233"/>
                <w:sz w:val="18"/>
                <w:szCs w:val="18"/>
              </w:rPr>
              <w:t>kuras</w:t>
            </w:r>
            <w:proofErr w:type="spellEnd"/>
            <w:r>
              <w:rPr>
                <w:rFonts w:cs="Arial"/>
                <w:color w:val="323233"/>
                <w:sz w:val="18"/>
                <w:szCs w:val="18"/>
              </w:rPr>
              <w:t xml:space="preserve"> </w:t>
            </w:r>
            <w:proofErr w:type="spellStart"/>
            <w:r>
              <w:rPr>
                <w:rFonts w:cs="Arial"/>
                <w:color w:val="323233"/>
                <w:sz w:val="18"/>
                <w:szCs w:val="18"/>
              </w:rPr>
              <w:t>pilsonis</w:t>
            </w:r>
            <w:proofErr w:type="spellEnd"/>
            <w:r>
              <w:rPr>
                <w:rFonts w:cs="Arial"/>
                <w:color w:val="323233"/>
                <w:sz w:val="18"/>
                <w:szCs w:val="18"/>
              </w:rPr>
              <w:t xml:space="preserve"> </w:t>
            </w:r>
            <w:proofErr w:type="spellStart"/>
            <w:r>
              <w:rPr>
                <w:rFonts w:cs="Arial"/>
                <w:color w:val="323233"/>
                <w:sz w:val="18"/>
                <w:szCs w:val="18"/>
              </w:rPr>
              <w:t>ir</w:t>
            </w:r>
            <w:proofErr w:type="spellEnd"/>
            <w:r>
              <w:rPr>
                <w:rFonts w:cs="Arial"/>
                <w:color w:val="323233"/>
                <w:sz w:val="18"/>
                <w:szCs w:val="18"/>
              </w:rPr>
              <w:t xml:space="preserve"> </w:t>
            </w:r>
            <w:proofErr w:type="spellStart"/>
            <w:r>
              <w:rPr>
                <w:rFonts w:cs="Arial"/>
                <w:color w:val="323233"/>
                <w:sz w:val="18"/>
                <w:szCs w:val="18"/>
              </w:rPr>
              <w:t>šī</w:t>
            </w:r>
            <w:proofErr w:type="spellEnd"/>
            <w:r>
              <w:rPr>
                <w:rFonts w:cs="Arial"/>
                <w:color w:val="323233"/>
                <w:sz w:val="18"/>
                <w:szCs w:val="18"/>
              </w:rPr>
              <w:t xml:space="preserve"> </w:t>
            </w:r>
            <w:proofErr w:type="spellStart"/>
            <w:r>
              <w:rPr>
                <w:rFonts w:cs="Arial"/>
                <w:color w:val="323233"/>
                <w:sz w:val="18"/>
                <w:szCs w:val="18"/>
              </w:rPr>
              <w:t>persona</w:t>
            </w:r>
            <w:proofErr w:type="spellEnd"/>
            <w:r>
              <w:rPr>
                <w:rFonts w:cs="Arial"/>
                <w:color w:val="323233"/>
                <w:sz w:val="18"/>
                <w:szCs w:val="18"/>
              </w:rPr>
              <w:t>“.</w:t>
            </w:r>
          </w:p>
        </w:tc>
      </w:tr>
      <w:tr w:rsidR="00114953" w:rsidRPr="000C7C76" w14:paraId="05B0AB83" w14:textId="77777777" w:rsidTr="00BF3A72">
        <w:trPr>
          <w:gridAfter w:val="1"/>
          <w:wAfter w:w="38" w:type="dxa"/>
        </w:trPr>
        <w:tc>
          <w:tcPr>
            <w:tcW w:w="675" w:type="dxa"/>
          </w:tcPr>
          <w:p w14:paraId="1C291B20" w14:textId="77777777" w:rsidR="00114953" w:rsidRPr="009027B6" w:rsidRDefault="00114953" w:rsidP="00BF3A72">
            <w:pPr>
              <w:jc w:val="center"/>
              <w:rPr>
                <w:rFonts w:cs="Arial"/>
                <w:color w:val="323233"/>
                <w:sz w:val="18"/>
                <w:szCs w:val="18"/>
              </w:rPr>
            </w:pPr>
            <w:r>
              <w:rPr>
                <w:rFonts w:cs="Arial"/>
                <w:color w:val="323233"/>
                <w:sz w:val="18"/>
                <w:szCs w:val="18"/>
              </w:rPr>
              <w:lastRenderedPageBreak/>
              <w:t>5.</w:t>
            </w:r>
          </w:p>
        </w:tc>
        <w:tc>
          <w:tcPr>
            <w:tcW w:w="3932" w:type="dxa"/>
          </w:tcPr>
          <w:p w14:paraId="7002519F" w14:textId="77777777" w:rsidR="00114953" w:rsidRPr="009027B6" w:rsidRDefault="00114953" w:rsidP="00BF3A72">
            <w:pPr>
              <w:jc w:val="both"/>
              <w:rPr>
                <w:rFonts w:cs="Arial"/>
                <w:color w:val="323233"/>
                <w:sz w:val="18"/>
                <w:szCs w:val="18"/>
              </w:rPr>
            </w:pPr>
            <w:proofErr w:type="spellStart"/>
            <w:r>
              <w:rPr>
                <w:rFonts w:cs="Arial"/>
                <w:color w:val="323233"/>
                <w:sz w:val="18"/>
                <w:szCs w:val="18"/>
              </w:rPr>
              <w:t>Līgums</w:t>
            </w:r>
            <w:proofErr w:type="spellEnd"/>
            <w:r>
              <w:rPr>
                <w:rFonts w:cs="Arial"/>
                <w:color w:val="323233"/>
                <w:sz w:val="18"/>
                <w:szCs w:val="18"/>
              </w:rPr>
              <w:t xml:space="preserve"> </w:t>
            </w:r>
            <w:proofErr w:type="spellStart"/>
            <w:r>
              <w:rPr>
                <w:rFonts w:cs="Arial"/>
                <w:color w:val="323233"/>
                <w:sz w:val="18"/>
                <w:szCs w:val="18"/>
              </w:rPr>
              <w:t>starp</w:t>
            </w:r>
            <w:proofErr w:type="spellEnd"/>
            <w:r>
              <w:rPr>
                <w:rFonts w:cs="Arial"/>
                <w:color w:val="323233"/>
                <w:sz w:val="18"/>
                <w:szCs w:val="18"/>
              </w:rPr>
              <w:t xml:space="preserve"> </w:t>
            </w:r>
            <w:proofErr w:type="spellStart"/>
            <w:r>
              <w:rPr>
                <w:rFonts w:cs="Arial"/>
                <w:color w:val="323233"/>
                <w:sz w:val="18"/>
                <w:szCs w:val="18"/>
              </w:rPr>
              <w:t>Latviju</w:t>
            </w:r>
            <w:proofErr w:type="spellEnd"/>
            <w:r>
              <w:rPr>
                <w:rFonts w:cs="Arial"/>
                <w:color w:val="323233"/>
                <w:sz w:val="18"/>
                <w:szCs w:val="18"/>
              </w:rPr>
              <w:t xml:space="preserve"> </w:t>
            </w:r>
            <w:proofErr w:type="spellStart"/>
            <w:r>
              <w:rPr>
                <w:rFonts w:cs="Arial"/>
                <w:color w:val="323233"/>
                <w:sz w:val="18"/>
                <w:szCs w:val="18"/>
              </w:rPr>
              <w:t>un</w:t>
            </w:r>
            <w:proofErr w:type="spellEnd"/>
            <w:r>
              <w:rPr>
                <w:rFonts w:cs="Arial"/>
                <w:color w:val="323233"/>
                <w:sz w:val="18"/>
                <w:szCs w:val="18"/>
              </w:rPr>
              <w:t xml:space="preserve"> </w:t>
            </w:r>
            <w:proofErr w:type="spellStart"/>
            <w:r>
              <w:rPr>
                <w:rFonts w:cs="Arial"/>
                <w:color w:val="323233"/>
                <w:sz w:val="18"/>
                <w:szCs w:val="18"/>
              </w:rPr>
              <w:t>Ukrainu</w:t>
            </w:r>
            <w:proofErr w:type="spellEnd"/>
          </w:p>
        </w:tc>
        <w:tc>
          <w:tcPr>
            <w:tcW w:w="2302" w:type="dxa"/>
          </w:tcPr>
          <w:p w14:paraId="2402270A" w14:textId="77777777" w:rsidR="00114953" w:rsidRPr="009027B6" w:rsidRDefault="00114953" w:rsidP="00BF3A72">
            <w:pPr>
              <w:jc w:val="center"/>
              <w:rPr>
                <w:rFonts w:cs="Arial"/>
                <w:color w:val="323233"/>
                <w:sz w:val="18"/>
                <w:szCs w:val="18"/>
              </w:rPr>
            </w:pPr>
            <w:r>
              <w:rPr>
                <w:rFonts w:cs="Arial"/>
                <w:color w:val="323233"/>
                <w:sz w:val="18"/>
                <w:szCs w:val="18"/>
              </w:rPr>
              <w:t xml:space="preserve">21.panta </w:t>
            </w:r>
            <w:proofErr w:type="spellStart"/>
            <w:r>
              <w:rPr>
                <w:rFonts w:cs="Arial"/>
                <w:color w:val="323233"/>
                <w:sz w:val="18"/>
                <w:szCs w:val="18"/>
              </w:rPr>
              <w:t>pirmā</w:t>
            </w:r>
            <w:proofErr w:type="spellEnd"/>
            <w:r>
              <w:rPr>
                <w:rFonts w:cs="Arial"/>
                <w:color w:val="323233"/>
                <w:sz w:val="18"/>
                <w:szCs w:val="18"/>
              </w:rPr>
              <w:t xml:space="preserve"> </w:t>
            </w:r>
            <w:proofErr w:type="spellStart"/>
            <w:r>
              <w:rPr>
                <w:rFonts w:cs="Arial"/>
                <w:color w:val="323233"/>
                <w:sz w:val="18"/>
                <w:szCs w:val="18"/>
              </w:rPr>
              <w:t>daļa</w:t>
            </w:r>
            <w:proofErr w:type="spellEnd"/>
          </w:p>
        </w:tc>
        <w:tc>
          <w:tcPr>
            <w:tcW w:w="2302" w:type="dxa"/>
          </w:tcPr>
          <w:p w14:paraId="01A0823A" w14:textId="77777777" w:rsidR="00114953" w:rsidRPr="009027B6" w:rsidRDefault="00114953" w:rsidP="00BF3A72">
            <w:pPr>
              <w:jc w:val="both"/>
              <w:rPr>
                <w:rFonts w:cs="Arial"/>
                <w:color w:val="323233"/>
                <w:sz w:val="18"/>
                <w:szCs w:val="18"/>
              </w:rPr>
            </w:pPr>
            <w:r>
              <w:rPr>
                <w:rFonts w:cs="Arial"/>
                <w:color w:val="323233"/>
                <w:sz w:val="18"/>
                <w:szCs w:val="18"/>
              </w:rPr>
              <w:t xml:space="preserve">„(1) </w:t>
            </w:r>
            <w:proofErr w:type="spellStart"/>
            <w:r>
              <w:rPr>
                <w:rFonts w:cs="Arial"/>
                <w:color w:val="323233"/>
                <w:sz w:val="18"/>
                <w:szCs w:val="18"/>
              </w:rPr>
              <w:t>Fiziskas</w:t>
            </w:r>
            <w:proofErr w:type="spellEnd"/>
            <w:r>
              <w:rPr>
                <w:rFonts w:cs="Arial"/>
                <w:color w:val="323233"/>
                <w:sz w:val="18"/>
                <w:szCs w:val="18"/>
              </w:rPr>
              <w:t xml:space="preserve"> personas </w:t>
            </w:r>
            <w:proofErr w:type="spellStart"/>
            <w:r>
              <w:rPr>
                <w:rFonts w:cs="Arial"/>
                <w:color w:val="323233"/>
                <w:sz w:val="18"/>
                <w:szCs w:val="18"/>
              </w:rPr>
              <w:t>tiesībspēju</w:t>
            </w:r>
            <w:proofErr w:type="spellEnd"/>
            <w:r>
              <w:rPr>
                <w:rFonts w:cs="Arial"/>
                <w:color w:val="323233"/>
                <w:sz w:val="18"/>
                <w:szCs w:val="18"/>
              </w:rPr>
              <w:t xml:space="preserve"> </w:t>
            </w:r>
            <w:proofErr w:type="spellStart"/>
            <w:r>
              <w:rPr>
                <w:rFonts w:cs="Arial"/>
                <w:color w:val="323233"/>
                <w:sz w:val="18"/>
                <w:szCs w:val="18"/>
              </w:rPr>
              <w:t>un</w:t>
            </w:r>
            <w:proofErr w:type="spellEnd"/>
            <w:r>
              <w:rPr>
                <w:rFonts w:cs="Arial"/>
                <w:color w:val="323233"/>
                <w:sz w:val="18"/>
                <w:szCs w:val="18"/>
              </w:rPr>
              <w:t xml:space="preserve"> </w:t>
            </w:r>
            <w:proofErr w:type="spellStart"/>
            <w:r>
              <w:rPr>
                <w:rFonts w:cs="Arial"/>
                <w:color w:val="323233"/>
                <w:sz w:val="18"/>
                <w:szCs w:val="18"/>
              </w:rPr>
              <w:t>rīcībspēju</w:t>
            </w:r>
            <w:proofErr w:type="spellEnd"/>
            <w:r>
              <w:rPr>
                <w:rFonts w:cs="Arial"/>
                <w:color w:val="323233"/>
                <w:sz w:val="18"/>
                <w:szCs w:val="18"/>
              </w:rPr>
              <w:t xml:space="preserve"> </w:t>
            </w:r>
            <w:proofErr w:type="spellStart"/>
            <w:r>
              <w:rPr>
                <w:rFonts w:cs="Arial"/>
                <w:color w:val="323233"/>
                <w:sz w:val="18"/>
                <w:szCs w:val="18"/>
              </w:rPr>
              <w:t>nosaka</w:t>
            </w:r>
            <w:proofErr w:type="spellEnd"/>
            <w:r>
              <w:rPr>
                <w:rFonts w:cs="Arial"/>
                <w:color w:val="323233"/>
                <w:sz w:val="18"/>
                <w:szCs w:val="18"/>
              </w:rPr>
              <w:t xml:space="preserve"> </w:t>
            </w:r>
            <w:proofErr w:type="spellStart"/>
            <w:r>
              <w:rPr>
                <w:rFonts w:cs="Arial"/>
                <w:color w:val="323233"/>
                <w:sz w:val="18"/>
                <w:szCs w:val="18"/>
              </w:rPr>
              <w:t>tās</w:t>
            </w:r>
            <w:proofErr w:type="spellEnd"/>
            <w:r>
              <w:rPr>
                <w:rFonts w:cs="Arial"/>
                <w:color w:val="323233"/>
                <w:sz w:val="18"/>
                <w:szCs w:val="18"/>
              </w:rPr>
              <w:t xml:space="preserve"> </w:t>
            </w:r>
            <w:proofErr w:type="spellStart"/>
            <w:r>
              <w:rPr>
                <w:rFonts w:cs="Arial"/>
                <w:color w:val="323233"/>
                <w:sz w:val="18"/>
                <w:szCs w:val="18"/>
              </w:rPr>
              <w:t>Līgumslēdzējas</w:t>
            </w:r>
            <w:proofErr w:type="spellEnd"/>
            <w:r>
              <w:rPr>
                <w:rFonts w:cs="Arial"/>
                <w:color w:val="323233"/>
                <w:sz w:val="18"/>
                <w:szCs w:val="18"/>
              </w:rPr>
              <w:t xml:space="preserve"> </w:t>
            </w:r>
            <w:proofErr w:type="spellStart"/>
            <w:r>
              <w:rPr>
                <w:rFonts w:cs="Arial"/>
                <w:color w:val="323233"/>
                <w:sz w:val="18"/>
                <w:szCs w:val="18"/>
              </w:rPr>
              <w:t>Puses</w:t>
            </w:r>
            <w:proofErr w:type="spellEnd"/>
            <w:r>
              <w:rPr>
                <w:rFonts w:cs="Arial"/>
                <w:color w:val="323233"/>
                <w:sz w:val="18"/>
                <w:szCs w:val="18"/>
              </w:rPr>
              <w:t xml:space="preserve"> </w:t>
            </w:r>
            <w:proofErr w:type="spellStart"/>
            <w:r>
              <w:rPr>
                <w:rFonts w:cs="Arial"/>
                <w:color w:val="323233"/>
                <w:sz w:val="18"/>
                <w:szCs w:val="18"/>
              </w:rPr>
              <w:t>likumdošana</w:t>
            </w:r>
            <w:proofErr w:type="spellEnd"/>
            <w:r>
              <w:rPr>
                <w:rFonts w:cs="Arial"/>
                <w:color w:val="323233"/>
                <w:sz w:val="18"/>
                <w:szCs w:val="18"/>
              </w:rPr>
              <w:t xml:space="preserve">, </w:t>
            </w:r>
            <w:proofErr w:type="spellStart"/>
            <w:r>
              <w:rPr>
                <w:rFonts w:cs="Arial"/>
                <w:color w:val="323233"/>
                <w:sz w:val="18"/>
                <w:szCs w:val="18"/>
              </w:rPr>
              <w:t>kuras</w:t>
            </w:r>
            <w:proofErr w:type="spellEnd"/>
            <w:r>
              <w:rPr>
                <w:rFonts w:cs="Arial"/>
                <w:color w:val="323233"/>
                <w:sz w:val="18"/>
                <w:szCs w:val="18"/>
              </w:rPr>
              <w:t xml:space="preserve"> </w:t>
            </w:r>
            <w:proofErr w:type="spellStart"/>
            <w:r>
              <w:rPr>
                <w:rFonts w:cs="Arial"/>
                <w:color w:val="323233"/>
                <w:sz w:val="18"/>
                <w:szCs w:val="18"/>
              </w:rPr>
              <w:t>pilsonis</w:t>
            </w:r>
            <w:proofErr w:type="spellEnd"/>
            <w:r>
              <w:rPr>
                <w:rFonts w:cs="Arial"/>
                <w:color w:val="323233"/>
                <w:sz w:val="18"/>
                <w:szCs w:val="18"/>
              </w:rPr>
              <w:t xml:space="preserve"> </w:t>
            </w:r>
            <w:proofErr w:type="spellStart"/>
            <w:r>
              <w:rPr>
                <w:rFonts w:cs="Arial"/>
                <w:color w:val="323233"/>
                <w:sz w:val="18"/>
                <w:szCs w:val="18"/>
              </w:rPr>
              <w:t>ir</w:t>
            </w:r>
            <w:proofErr w:type="spellEnd"/>
            <w:r>
              <w:rPr>
                <w:rFonts w:cs="Arial"/>
                <w:color w:val="323233"/>
                <w:sz w:val="18"/>
                <w:szCs w:val="18"/>
              </w:rPr>
              <w:t xml:space="preserve"> </w:t>
            </w:r>
            <w:proofErr w:type="spellStart"/>
            <w:r>
              <w:rPr>
                <w:rFonts w:cs="Arial"/>
                <w:color w:val="323233"/>
                <w:sz w:val="18"/>
                <w:szCs w:val="18"/>
              </w:rPr>
              <w:t>šī</w:t>
            </w:r>
            <w:proofErr w:type="spellEnd"/>
            <w:r>
              <w:rPr>
                <w:rFonts w:cs="Arial"/>
                <w:color w:val="323233"/>
                <w:sz w:val="18"/>
                <w:szCs w:val="18"/>
              </w:rPr>
              <w:t xml:space="preserve"> </w:t>
            </w:r>
            <w:proofErr w:type="spellStart"/>
            <w:r>
              <w:rPr>
                <w:rFonts w:cs="Arial"/>
                <w:color w:val="323233"/>
                <w:sz w:val="18"/>
                <w:szCs w:val="18"/>
              </w:rPr>
              <w:t>persona</w:t>
            </w:r>
            <w:proofErr w:type="spellEnd"/>
            <w:r>
              <w:rPr>
                <w:rFonts w:cs="Arial"/>
                <w:color w:val="323233"/>
                <w:sz w:val="18"/>
                <w:szCs w:val="18"/>
              </w:rPr>
              <w:t>“.</w:t>
            </w:r>
          </w:p>
        </w:tc>
      </w:tr>
      <w:tr w:rsidR="00114953" w:rsidRPr="000C7C76" w14:paraId="071416A3" w14:textId="77777777" w:rsidTr="00BF3A72">
        <w:trPr>
          <w:gridAfter w:val="1"/>
          <w:wAfter w:w="38" w:type="dxa"/>
        </w:trPr>
        <w:tc>
          <w:tcPr>
            <w:tcW w:w="675" w:type="dxa"/>
          </w:tcPr>
          <w:p w14:paraId="65B07C28" w14:textId="77777777" w:rsidR="00114953" w:rsidRPr="009027B6" w:rsidRDefault="00114953" w:rsidP="00BF3A72">
            <w:pPr>
              <w:jc w:val="center"/>
              <w:rPr>
                <w:rFonts w:cs="Arial"/>
                <w:color w:val="323233"/>
                <w:sz w:val="18"/>
                <w:szCs w:val="18"/>
              </w:rPr>
            </w:pPr>
            <w:r>
              <w:rPr>
                <w:rFonts w:cs="Arial"/>
                <w:color w:val="323233"/>
                <w:sz w:val="18"/>
                <w:szCs w:val="18"/>
              </w:rPr>
              <w:t>6.</w:t>
            </w:r>
          </w:p>
        </w:tc>
        <w:tc>
          <w:tcPr>
            <w:tcW w:w="3932" w:type="dxa"/>
          </w:tcPr>
          <w:p w14:paraId="3E97FF61" w14:textId="77777777" w:rsidR="00114953" w:rsidRPr="009027B6" w:rsidRDefault="00114953" w:rsidP="00BF3A72">
            <w:pPr>
              <w:jc w:val="both"/>
              <w:rPr>
                <w:rFonts w:cs="Arial"/>
                <w:color w:val="323233"/>
                <w:sz w:val="18"/>
                <w:szCs w:val="18"/>
              </w:rPr>
            </w:pPr>
            <w:proofErr w:type="spellStart"/>
            <w:r>
              <w:rPr>
                <w:rFonts w:cs="Arial"/>
                <w:color w:val="323233"/>
                <w:sz w:val="18"/>
                <w:szCs w:val="18"/>
              </w:rPr>
              <w:t>Līgums</w:t>
            </w:r>
            <w:proofErr w:type="spellEnd"/>
            <w:r>
              <w:rPr>
                <w:rFonts w:cs="Arial"/>
                <w:color w:val="323233"/>
                <w:sz w:val="18"/>
                <w:szCs w:val="18"/>
              </w:rPr>
              <w:t xml:space="preserve"> </w:t>
            </w:r>
            <w:proofErr w:type="spellStart"/>
            <w:r>
              <w:rPr>
                <w:rFonts w:cs="Arial"/>
                <w:color w:val="323233"/>
                <w:sz w:val="18"/>
                <w:szCs w:val="18"/>
              </w:rPr>
              <w:t>starp</w:t>
            </w:r>
            <w:proofErr w:type="spellEnd"/>
            <w:r>
              <w:rPr>
                <w:rFonts w:cs="Arial"/>
                <w:color w:val="323233"/>
                <w:sz w:val="18"/>
                <w:szCs w:val="18"/>
              </w:rPr>
              <w:t xml:space="preserve"> </w:t>
            </w:r>
            <w:proofErr w:type="spellStart"/>
            <w:r>
              <w:rPr>
                <w:rFonts w:cs="Arial"/>
                <w:color w:val="323233"/>
                <w:sz w:val="18"/>
                <w:szCs w:val="18"/>
              </w:rPr>
              <w:t>Latviju</w:t>
            </w:r>
            <w:proofErr w:type="spellEnd"/>
            <w:r>
              <w:rPr>
                <w:rFonts w:cs="Arial"/>
                <w:color w:val="323233"/>
                <w:sz w:val="18"/>
                <w:szCs w:val="18"/>
              </w:rPr>
              <w:t xml:space="preserve"> </w:t>
            </w:r>
            <w:proofErr w:type="spellStart"/>
            <w:r>
              <w:rPr>
                <w:rFonts w:cs="Arial"/>
                <w:color w:val="323233"/>
                <w:sz w:val="18"/>
                <w:szCs w:val="18"/>
              </w:rPr>
              <w:t>un</w:t>
            </w:r>
            <w:proofErr w:type="spellEnd"/>
            <w:r>
              <w:rPr>
                <w:rFonts w:cs="Arial"/>
                <w:color w:val="323233"/>
                <w:sz w:val="18"/>
                <w:szCs w:val="18"/>
              </w:rPr>
              <w:t xml:space="preserve"> </w:t>
            </w:r>
            <w:proofErr w:type="spellStart"/>
            <w:r>
              <w:rPr>
                <w:rFonts w:cs="Arial"/>
                <w:color w:val="323233"/>
                <w:sz w:val="18"/>
                <w:szCs w:val="18"/>
              </w:rPr>
              <w:t>Uzbekistānu</w:t>
            </w:r>
            <w:proofErr w:type="spellEnd"/>
          </w:p>
        </w:tc>
        <w:tc>
          <w:tcPr>
            <w:tcW w:w="2302" w:type="dxa"/>
          </w:tcPr>
          <w:p w14:paraId="682CF597" w14:textId="77777777" w:rsidR="00114953" w:rsidRPr="009027B6" w:rsidRDefault="00114953" w:rsidP="00BF3A72">
            <w:pPr>
              <w:jc w:val="center"/>
              <w:rPr>
                <w:rFonts w:cs="Arial"/>
                <w:color w:val="323233"/>
                <w:sz w:val="18"/>
                <w:szCs w:val="18"/>
              </w:rPr>
            </w:pPr>
            <w:r>
              <w:rPr>
                <w:rFonts w:cs="Arial"/>
                <w:color w:val="323233"/>
                <w:sz w:val="18"/>
                <w:szCs w:val="18"/>
              </w:rPr>
              <w:t xml:space="preserve">22.panta </w:t>
            </w:r>
            <w:proofErr w:type="spellStart"/>
            <w:r>
              <w:rPr>
                <w:rFonts w:cs="Arial"/>
                <w:color w:val="323233"/>
                <w:sz w:val="18"/>
                <w:szCs w:val="18"/>
              </w:rPr>
              <w:t>pirmā</w:t>
            </w:r>
            <w:proofErr w:type="spellEnd"/>
            <w:r>
              <w:rPr>
                <w:rFonts w:cs="Arial"/>
                <w:color w:val="323233"/>
                <w:sz w:val="18"/>
                <w:szCs w:val="18"/>
              </w:rPr>
              <w:t xml:space="preserve"> </w:t>
            </w:r>
            <w:proofErr w:type="spellStart"/>
            <w:r>
              <w:rPr>
                <w:rFonts w:cs="Arial"/>
                <w:color w:val="323233"/>
                <w:sz w:val="18"/>
                <w:szCs w:val="18"/>
              </w:rPr>
              <w:t>daļa</w:t>
            </w:r>
            <w:proofErr w:type="spellEnd"/>
          </w:p>
        </w:tc>
        <w:tc>
          <w:tcPr>
            <w:tcW w:w="2302" w:type="dxa"/>
          </w:tcPr>
          <w:p w14:paraId="1FD69B64" w14:textId="77777777" w:rsidR="00114953" w:rsidRPr="009027B6" w:rsidRDefault="00114953" w:rsidP="00BF3A72">
            <w:pPr>
              <w:jc w:val="both"/>
              <w:rPr>
                <w:rFonts w:cs="Arial"/>
                <w:color w:val="323233"/>
                <w:sz w:val="18"/>
                <w:szCs w:val="18"/>
              </w:rPr>
            </w:pPr>
            <w:r>
              <w:rPr>
                <w:rFonts w:cs="Arial"/>
                <w:color w:val="323233"/>
                <w:sz w:val="18"/>
                <w:szCs w:val="18"/>
              </w:rPr>
              <w:t xml:space="preserve">„(1) </w:t>
            </w:r>
            <w:proofErr w:type="spellStart"/>
            <w:r>
              <w:rPr>
                <w:rFonts w:cs="Arial"/>
                <w:color w:val="323233"/>
                <w:sz w:val="18"/>
                <w:szCs w:val="18"/>
              </w:rPr>
              <w:t>Fiziskas</w:t>
            </w:r>
            <w:proofErr w:type="spellEnd"/>
            <w:r>
              <w:rPr>
                <w:rFonts w:cs="Arial"/>
                <w:color w:val="323233"/>
                <w:sz w:val="18"/>
                <w:szCs w:val="18"/>
              </w:rPr>
              <w:t xml:space="preserve"> personas </w:t>
            </w:r>
            <w:proofErr w:type="spellStart"/>
            <w:r>
              <w:rPr>
                <w:rFonts w:cs="Arial"/>
                <w:color w:val="323233"/>
                <w:sz w:val="18"/>
                <w:szCs w:val="18"/>
              </w:rPr>
              <w:t>tiesībspēju</w:t>
            </w:r>
            <w:proofErr w:type="spellEnd"/>
            <w:r>
              <w:rPr>
                <w:rFonts w:cs="Arial"/>
                <w:color w:val="323233"/>
                <w:sz w:val="18"/>
                <w:szCs w:val="18"/>
              </w:rPr>
              <w:t xml:space="preserve"> </w:t>
            </w:r>
            <w:proofErr w:type="spellStart"/>
            <w:r>
              <w:rPr>
                <w:rFonts w:cs="Arial"/>
                <w:color w:val="323233"/>
                <w:sz w:val="18"/>
                <w:szCs w:val="18"/>
              </w:rPr>
              <w:t>un</w:t>
            </w:r>
            <w:proofErr w:type="spellEnd"/>
            <w:r>
              <w:rPr>
                <w:rFonts w:cs="Arial"/>
                <w:color w:val="323233"/>
                <w:sz w:val="18"/>
                <w:szCs w:val="18"/>
              </w:rPr>
              <w:t xml:space="preserve"> </w:t>
            </w:r>
            <w:proofErr w:type="spellStart"/>
            <w:r>
              <w:rPr>
                <w:rFonts w:cs="Arial"/>
                <w:color w:val="323233"/>
                <w:sz w:val="18"/>
                <w:szCs w:val="18"/>
              </w:rPr>
              <w:t>rīcībspēju</w:t>
            </w:r>
            <w:proofErr w:type="spellEnd"/>
            <w:r>
              <w:rPr>
                <w:rFonts w:cs="Arial"/>
                <w:color w:val="323233"/>
                <w:sz w:val="18"/>
                <w:szCs w:val="18"/>
              </w:rPr>
              <w:t xml:space="preserve"> </w:t>
            </w:r>
            <w:proofErr w:type="spellStart"/>
            <w:r>
              <w:rPr>
                <w:rFonts w:cs="Arial"/>
                <w:color w:val="323233"/>
                <w:sz w:val="18"/>
                <w:szCs w:val="18"/>
              </w:rPr>
              <w:t>nosaka</w:t>
            </w:r>
            <w:proofErr w:type="spellEnd"/>
            <w:r>
              <w:rPr>
                <w:rFonts w:cs="Arial"/>
                <w:color w:val="323233"/>
                <w:sz w:val="18"/>
                <w:szCs w:val="18"/>
              </w:rPr>
              <w:t xml:space="preserve"> </w:t>
            </w:r>
            <w:proofErr w:type="spellStart"/>
            <w:r>
              <w:rPr>
                <w:rFonts w:cs="Arial"/>
                <w:color w:val="323233"/>
                <w:sz w:val="18"/>
                <w:szCs w:val="18"/>
              </w:rPr>
              <w:t>tās</w:t>
            </w:r>
            <w:proofErr w:type="spellEnd"/>
            <w:r>
              <w:rPr>
                <w:rFonts w:cs="Arial"/>
                <w:color w:val="323233"/>
                <w:sz w:val="18"/>
                <w:szCs w:val="18"/>
              </w:rPr>
              <w:t xml:space="preserve"> </w:t>
            </w:r>
            <w:proofErr w:type="spellStart"/>
            <w:r>
              <w:rPr>
                <w:rFonts w:cs="Arial"/>
                <w:color w:val="323233"/>
                <w:sz w:val="18"/>
                <w:szCs w:val="18"/>
              </w:rPr>
              <w:t>Līgumslēdzējas</w:t>
            </w:r>
            <w:proofErr w:type="spellEnd"/>
            <w:r>
              <w:rPr>
                <w:rFonts w:cs="Arial"/>
                <w:color w:val="323233"/>
                <w:sz w:val="18"/>
                <w:szCs w:val="18"/>
              </w:rPr>
              <w:t xml:space="preserve"> </w:t>
            </w:r>
            <w:proofErr w:type="spellStart"/>
            <w:r>
              <w:rPr>
                <w:rFonts w:cs="Arial"/>
                <w:color w:val="323233"/>
                <w:sz w:val="18"/>
                <w:szCs w:val="18"/>
              </w:rPr>
              <w:t>Puses</w:t>
            </w:r>
            <w:proofErr w:type="spellEnd"/>
            <w:r>
              <w:rPr>
                <w:rFonts w:cs="Arial"/>
                <w:color w:val="323233"/>
                <w:sz w:val="18"/>
                <w:szCs w:val="18"/>
              </w:rPr>
              <w:t xml:space="preserve"> </w:t>
            </w:r>
            <w:proofErr w:type="spellStart"/>
            <w:r>
              <w:rPr>
                <w:rFonts w:cs="Arial"/>
                <w:color w:val="323233"/>
                <w:sz w:val="18"/>
                <w:szCs w:val="18"/>
              </w:rPr>
              <w:t>likumdošana</w:t>
            </w:r>
            <w:proofErr w:type="spellEnd"/>
            <w:r>
              <w:rPr>
                <w:rFonts w:cs="Arial"/>
                <w:color w:val="323233"/>
                <w:sz w:val="18"/>
                <w:szCs w:val="18"/>
              </w:rPr>
              <w:t xml:space="preserve">, </w:t>
            </w:r>
            <w:proofErr w:type="spellStart"/>
            <w:r>
              <w:rPr>
                <w:rFonts w:cs="Arial"/>
                <w:color w:val="323233"/>
                <w:sz w:val="18"/>
                <w:szCs w:val="18"/>
              </w:rPr>
              <w:t>kuras</w:t>
            </w:r>
            <w:proofErr w:type="spellEnd"/>
            <w:r>
              <w:rPr>
                <w:rFonts w:cs="Arial"/>
                <w:color w:val="323233"/>
                <w:sz w:val="18"/>
                <w:szCs w:val="18"/>
              </w:rPr>
              <w:t xml:space="preserve"> </w:t>
            </w:r>
            <w:proofErr w:type="spellStart"/>
            <w:r>
              <w:rPr>
                <w:rFonts w:cs="Arial"/>
                <w:color w:val="323233"/>
                <w:sz w:val="18"/>
                <w:szCs w:val="18"/>
              </w:rPr>
              <w:t>pilsonis</w:t>
            </w:r>
            <w:proofErr w:type="spellEnd"/>
            <w:r>
              <w:rPr>
                <w:rFonts w:cs="Arial"/>
                <w:color w:val="323233"/>
                <w:sz w:val="18"/>
                <w:szCs w:val="18"/>
              </w:rPr>
              <w:t xml:space="preserve"> </w:t>
            </w:r>
            <w:proofErr w:type="spellStart"/>
            <w:r>
              <w:rPr>
                <w:rFonts w:cs="Arial"/>
                <w:color w:val="323233"/>
                <w:sz w:val="18"/>
                <w:szCs w:val="18"/>
              </w:rPr>
              <w:t>ir</w:t>
            </w:r>
            <w:proofErr w:type="spellEnd"/>
            <w:r>
              <w:rPr>
                <w:rFonts w:cs="Arial"/>
                <w:color w:val="323233"/>
                <w:sz w:val="18"/>
                <w:szCs w:val="18"/>
              </w:rPr>
              <w:t xml:space="preserve"> </w:t>
            </w:r>
            <w:proofErr w:type="spellStart"/>
            <w:r>
              <w:rPr>
                <w:rFonts w:cs="Arial"/>
                <w:color w:val="323233"/>
                <w:sz w:val="18"/>
                <w:szCs w:val="18"/>
              </w:rPr>
              <w:t>šī</w:t>
            </w:r>
            <w:proofErr w:type="spellEnd"/>
            <w:r>
              <w:rPr>
                <w:rFonts w:cs="Arial"/>
                <w:color w:val="323233"/>
                <w:sz w:val="18"/>
                <w:szCs w:val="18"/>
              </w:rPr>
              <w:t xml:space="preserve"> </w:t>
            </w:r>
            <w:proofErr w:type="spellStart"/>
            <w:r>
              <w:rPr>
                <w:rFonts w:cs="Arial"/>
                <w:color w:val="323233"/>
                <w:sz w:val="18"/>
                <w:szCs w:val="18"/>
              </w:rPr>
              <w:t>persona</w:t>
            </w:r>
            <w:proofErr w:type="spellEnd"/>
            <w:r>
              <w:rPr>
                <w:rFonts w:cs="Arial"/>
                <w:color w:val="323233"/>
                <w:sz w:val="18"/>
                <w:szCs w:val="18"/>
              </w:rPr>
              <w:t>“.</w:t>
            </w:r>
          </w:p>
        </w:tc>
      </w:tr>
      <w:tr w:rsidR="00114953" w:rsidRPr="000C7C76" w14:paraId="07093DF8" w14:textId="77777777" w:rsidTr="00BF3A72">
        <w:trPr>
          <w:gridAfter w:val="1"/>
          <w:wAfter w:w="38" w:type="dxa"/>
        </w:trPr>
        <w:tc>
          <w:tcPr>
            <w:tcW w:w="675" w:type="dxa"/>
          </w:tcPr>
          <w:p w14:paraId="28B50D62" w14:textId="77777777" w:rsidR="00114953" w:rsidRPr="009027B6" w:rsidRDefault="00114953" w:rsidP="00BF3A72">
            <w:pPr>
              <w:jc w:val="center"/>
              <w:rPr>
                <w:rFonts w:cs="Arial"/>
                <w:color w:val="323233"/>
                <w:sz w:val="18"/>
                <w:szCs w:val="18"/>
              </w:rPr>
            </w:pPr>
            <w:r>
              <w:rPr>
                <w:rFonts w:cs="Arial"/>
                <w:color w:val="323233"/>
                <w:sz w:val="18"/>
                <w:szCs w:val="18"/>
              </w:rPr>
              <w:t>7.</w:t>
            </w:r>
          </w:p>
        </w:tc>
        <w:tc>
          <w:tcPr>
            <w:tcW w:w="3932" w:type="dxa"/>
          </w:tcPr>
          <w:p w14:paraId="44CF3BD9" w14:textId="77777777" w:rsidR="00114953" w:rsidRPr="009027B6" w:rsidRDefault="00114953" w:rsidP="00BF3A72">
            <w:pPr>
              <w:jc w:val="both"/>
              <w:rPr>
                <w:rFonts w:cs="Arial"/>
                <w:color w:val="323233"/>
                <w:sz w:val="18"/>
                <w:szCs w:val="18"/>
              </w:rPr>
            </w:pPr>
            <w:proofErr w:type="spellStart"/>
            <w:r>
              <w:rPr>
                <w:rFonts w:cs="Arial"/>
                <w:color w:val="323233"/>
                <w:sz w:val="18"/>
                <w:szCs w:val="18"/>
              </w:rPr>
              <w:t>Līgums</w:t>
            </w:r>
            <w:proofErr w:type="spellEnd"/>
            <w:r>
              <w:rPr>
                <w:rFonts w:cs="Arial"/>
                <w:color w:val="323233"/>
                <w:sz w:val="18"/>
                <w:szCs w:val="18"/>
              </w:rPr>
              <w:t xml:space="preserve"> </w:t>
            </w:r>
            <w:proofErr w:type="spellStart"/>
            <w:r>
              <w:rPr>
                <w:rFonts w:cs="Arial"/>
                <w:color w:val="323233"/>
                <w:sz w:val="18"/>
                <w:szCs w:val="18"/>
              </w:rPr>
              <w:t>starp</w:t>
            </w:r>
            <w:proofErr w:type="spellEnd"/>
            <w:r>
              <w:rPr>
                <w:rFonts w:cs="Arial"/>
                <w:color w:val="323233"/>
                <w:sz w:val="18"/>
                <w:szCs w:val="18"/>
              </w:rPr>
              <w:t xml:space="preserve"> </w:t>
            </w:r>
            <w:proofErr w:type="spellStart"/>
            <w:r>
              <w:rPr>
                <w:rFonts w:cs="Arial"/>
                <w:color w:val="323233"/>
                <w:sz w:val="18"/>
                <w:szCs w:val="18"/>
              </w:rPr>
              <w:t>Latviju</w:t>
            </w:r>
            <w:proofErr w:type="spellEnd"/>
            <w:r>
              <w:rPr>
                <w:rFonts w:cs="Arial"/>
                <w:color w:val="323233"/>
                <w:sz w:val="18"/>
                <w:szCs w:val="18"/>
              </w:rPr>
              <w:t xml:space="preserve"> </w:t>
            </w:r>
            <w:proofErr w:type="spellStart"/>
            <w:r>
              <w:rPr>
                <w:rFonts w:cs="Arial"/>
                <w:color w:val="323233"/>
                <w:sz w:val="18"/>
                <w:szCs w:val="18"/>
              </w:rPr>
              <w:t>un</w:t>
            </w:r>
            <w:proofErr w:type="spellEnd"/>
            <w:r>
              <w:rPr>
                <w:rFonts w:cs="Arial"/>
                <w:color w:val="323233"/>
                <w:sz w:val="18"/>
                <w:szCs w:val="18"/>
              </w:rPr>
              <w:t xml:space="preserve"> </w:t>
            </w:r>
            <w:proofErr w:type="spellStart"/>
            <w:r>
              <w:rPr>
                <w:rFonts w:cs="Arial"/>
                <w:color w:val="323233"/>
                <w:sz w:val="18"/>
                <w:szCs w:val="18"/>
              </w:rPr>
              <w:t>Kirgizstānu</w:t>
            </w:r>
            <w:proofErr w:type="spellEnd"/>
          </w:p>
        </w:tc>
        <w:tc>
          <w:tcPr>
            <w:tcW w:w="2302" w:type="dxa"/>
          </w:tcPr>
          <w:p w14:paraId="5D37C61A" w14:textId="77777777" w:rsidR="00114953" w:rsidRPr="009027B6" w:rsidRDefault="00114953" w:rsidP="00BF3A72">
            <w:pPr>
              <w:jc w:val="center"/>
              <w:rPr>
                <w:rFonts w:cs="Arial"/>
                <w:color w:val="323233"/>
                <w:sz w:val="18"/>
                <w:szCs w:val="18"/>
              </w:rPr>
            </w:pPr>
            <w:r>
              <w:rPr>
                <w:rFonts w:cs="Arial"/>
                <w:color w:val="323233"/>
                <w:sz w:val="18"/>
                <w:szCs w:val="18"/>
              </w:rPr>
              <w:t xml:space="preserve">22.panta </w:t>
            </w:r>
            <w:proofErr w:type="spellStart"/>
            <w:r>
              <w:rPr>
                <w:rFonts w:cs="Arial"/>
                <w:color w:val="323233"/>
                <w:sz w:val="18"/>
                <w:szCs w:val="18"/>
              </w:rPr>
              <w:t>pirmā</w:t>
            </w:r>
            <w:proofErr w:type="spellEnd"/>
            <w:r>
              <w:rPr>
                <w:rFonts w:cs="Arial"/>
                <w:color w:val="323233"/>
                <w:sz w:val="18"/>
                <w:szCs w:val="18"/>
              </w:rPr>
              <w:t xml:space="preserve"> </w:t>
            </w:r>
            <w:proofErr w:type="spellStart"/>
            <w:r>
              <w:rPr>
                <w:rFonts w:cs="Arial"/>
                <w:color w:val="323233"/>
                <w:sz w:val="18"/>
                <w:szCs w:val="18"/>
              </w:rPr>
              <w:t>daļa</w:t>
            </w:r>
            <w:proofErr w:type="spellEnd"/>
          </w:p>
        </w:tc>
        <w:tc>
          <w:tcPr>
            <w:tcW w:w="2302" w:type="dxa"/>
          </w:tcPr>
          <w:p w14:paraId="3FB7BE38" w14:textId="77777777" w:rsidR="00114953" w:rsidRPr="009027B6" w:rsidRDefault="00114953" w:rsidP="00BF3A72">
            <w:pPr>
              <w:rPr>
                <w:rFonts w:cs="Arial"/>
                <w:color w:val="323233"/>
                <w:sz w:val="18"/>
                <w:szCs w:val="18"/>
              </w:rPr>
            </w:pPr>
            <w:r>
              <w:rPr>
                <w:rFonts w:cs="Arial"/>
                <w:color w:val="323233"/>
                <w:sz w:val="18"/>
                <w:szCs w:val="18"/>
              </w:rPr>
              <w:t xml:space="preserve">„(1) </w:t>
            </w:r>
            <w:proofErr w:type="spellStart"/>
            <w:r>
              <w:rPr>
                <w:rFonts w:cs="Arial"/>
                <w:color w:val="323233"/>
                <w:sz w:val="18"/>
                <w:szCs w:val="18"/>
              </w:rPr>
              <w:t>Fiziskas</w:t>
            </w:r>
            <w:proofErr w:type="spellEnd"/>
            <w:r>
              <w:rPr>
                <w:rFonts w:cs="Arial"/>
                <w:color w:val="323233"/>
                <w:sz w:val="18"/>
                <w:szCs w:val="18"/>
              </w:rPr>
              <w:t xml:space="preserve"> personas </w:t>
            </w:r>
            <w:proofErr w:type="spellStart"/>
            <w:r>
              <w:rPr>
                <w:rFonts w:cs="Arial"/>
                <w:color w:val="323233"/>
                <w:sz w:val="18"/>
                <w:szCs w:val="18"/>
              </w:rPr>
              <w:t>rīcībspēju</w:t>
            </w:r>
            <w:proofErr w:type="spellEnd"/>
            <w:r>
              <w:rPr>
                <w:rFonts w:cs="Arial"/>
                <w:color w:val="323233"/>
                <w:sz w:val="18"/>
                <w:szCs w:val="18"/>
              </w:rPr>
              <w:t xml:space="preserve"> </w:t>
            </w:r>
            <w:proofErr w:type="spellStart"/>
            <w:r>
              <w:rPr>
                <w:rFonts w:cs="Arial"/>
                <w:color w:val="323233"/>
                <w:sz w:val="18"/>
                <w:szCs w:val="18"/>
              </w:rPr>
              <w:t>nosaka</w:t>
            </w:r>
            <w:proofErr w:type="spellEnd"/>
            <w:r>
              <w:rPr>
                <w:rFonts w:cs="Arial"/>
                <w:color w:val="323233"/>
                <w:sz w:val="18"/>
                <w:szCs w:val="18"/>
              </w:rPr>
              <w:t xml:space="preserve"> </w:t>
            </w:r>
            <w:proofErr w:type="spellStart"/>
            <w:r>
              <w:rPr>
                <w:rFonts w:cs="Arial"/>
                <w:color w:val="323233"/>
                <w:sz w:val="18"/>
                <w:szCs w:val="18"/>
              </w:rPr>
              <w:t>tās</w:t>
            </w:r>
            <w:proofErr w:type="spellEnd"/>
            <w:r>
              <w:rPr>
                <w:rFonts w:cs="Arial"/>
                <w:color w:val="323233"/>
                <w:sz w:val="18"/>
                <w:szCs w:val="18"/>
              </w:rPr>
              <w:t xml:space="preserve"> </w:t>
            </w:r>
            <w:proofErr w:type="spellStart"/>
            <w:r>
              <w:rPr>
                <w:rFonts w:cs="Arial"/>
                <w:color w:val="323233"/>
                <w:sz w:val="18"/>
                <w:szCs w:val="18"/>
              </w:rPr>
              <w:t>Līgumslēdzējas</w:t>
            </w:r>
            <w:proofErr w:type="spellEnd"/>
            <w:r>
              <w:rPr>
                <w:rFonts w:cs="Arial"/>
                <w:color w:val="323233"/>
                <w:sz w:val="18"/>
                <w:szCs w:val="18"/>
              </w:rPr>
              <w:t xml:space="preserve"> </w:t>
            </w:r>
            <w:proofErr w:type="spellStart"/>
            <w:r>
              <w:rPr>
                <w:rFonts w:cs="Arial"/>
                <w:color w:val="323233"/>
                <w:sz w:val="18"/>
                <w:szCs w:val="18"/>
              </w:rPr>
              <w:t>Puses</w:t>
            </w:r>
            <w:proofErr w:type="spellEnd"/>
            <w:r>
              <w:rPr>
                <w:rFonts w:cs="Arial"/>
                <w:color w:val="323233"/>
                <w:sz w:val="18"/>
                <w:szCs w:val="18"/>
              </w:rPr>
              <w:t xml:space="preserve"> </w:t>
            </w:r>
            <w:proofErr w:type="spellStart"/>
            <w:r>
              <w:rPr>
                <w:rFonts w:cs="Arial"/>
                <w:color w:val="323233"/>
                <w:sz w:val="18"/>
                <w:szCs w:val="18"/>
              </w:rPr>
              <w:t>likumdošana</w:t>
            </w:r>
            <w:proofErr w:type="spellEnd"/>
            <w:r>
              <w:rPr>
                <w:rFonts w:cs="Arial"/>
                <w:color w:val="323233"/>
                <w:sz w:val="18"/>
                <w:szCs w:val="18"/>
              </w:rPr>
              <w:t xml:space="preserve">, </w:t>
            </w:r>
            <w:proofErr w:type="spellStart"/>
            <w:r>
              <w:rPr>
                <w:rFonts w:cs="Arial"/>
                <w:color w:val="323233"/>
                <w:sz w:val="18"/>
                <w:szCs w:val="18"/>
              </w:rPr>
              <w:t>kuras</w:t>
            </w:r>
            <w:proofErr w:type="spellEnd"/>
            <w:r>
              <w:rPr>
                <w:rFonts w:cs="Arial"/>
                <w:color w:val="323233"/>
                <w:sz w:val="18"/>
                <w:szCs w:val="18"/>
              </w:rPr>
              <w:t xml:space="preserve"> </w:t>
            </w:r>
            <w:proofErr w:type="spellStart"/>
            <w:r>
              <w:rPr>
                <w:rFonts w:cs="Arial"/>
                <w:color w:val="323233"/>
                <w:sz w:val="18"/>
                <w:szCs w:val="18"/>
              </w:rPr>
              <w:t>pilsonis</w:t>
            </w:r>
            <w:proofErr w:type="spellEnd"/>
            <w:r>
              <w:rPr>
                <w:rFonts w:cs="Arial"/>
                <w:color w:val="323233"/>
                <w:sz w:val="18"/>
                <w:szCs w:val="18"/>
              </w:rPr>
              <w:t xml:space="preserve"> </w:t>
            </w:r>
            <w:proofErr w:type="spellStart"/>
            <w:r>
              <w:rPr>
                <w:rFonts w:cs="Arial"/>
                <w:color w:val="323233"/>
                <w:sz w:val="18"/>
                <w:szCs w:val="18"/>
              </w:rPr>
              <w:t>ir</w:t>
            </w:r>
            <w:proofErr w:type="spellEnd"/>
            <w:r>
              <w:rPr>
                <w:rFonts w:cs="Arial"/>
                <w:color w:val="323233"/>
                <w:sz w:val="18"/>
                <w:szCs w:val="18"/>
              </w:rPr>
              <w:t xml:space="preserve"> </w:t>
            </w:r>
            <w:proofErr w:type="spellStart"/>
            <w:r>
              <w:rPr>
                <w:rFonts w:cs="Arial"/>
                <w:color w:val="323233"/>
                <w:sz w:val="18"/>
                <w:szCs w:val="18"/>
              </w:rPr>
              <w:t>šī</w:t>
            </w:r>
            <w:proofErr w:type="spellEnd"/>
            <w:r>
              <w:rPr>
                <w:rFonts w:cs="Arial"/>
                <w:color w:val="323233"/>
                <w:sz w:val="18"/>
                <w:szCs w:val="18"/>
              </w:rPr>
              <w:t xml:space="preserve"> </w:t>
            </w:r>
            <w:proofErr w:type="spellStart"/>
            <w:r>
              <w:rPr>
                <w:rFonts w:cs="Arial"/>
                <w:color w:val="323233"/>
                <w:sz w:val="18"/>
                <w:szCs w:val="18"/>
              </w:rPr>
              <w:t>persona</w:t>
            </w:r>
            <w:proofErr w:type="spellEnd"/>
            <w:r>
              <w:rPr>
                <w:rFonts w:cs="Arial"/>
                <w:color w:val="323233"/>
                <w:sz w:val="18"/>
                <w:szCs w:val="18"/>
              </w:rPr>
              <w:t>“.</w:t>
            </w:r>
          </w:p>
        </w:tc>
      </w:tr>
      <w:tr w:rsidR="00114953" w:rsidRPr="000C7C76" w14:paraId="7CCCE747" w14:textId="77777777" w:rsidTr="00BF3A72">
        <w:tc>
          <w:tcPr>
            <w:tcW w:w="675" w:type="dxa"/>
          </w:tcPr>
          <w:p w14:paraId="089AFB7C" w14:textId="77777777" w:rsidR="00114953" w:rsidRPr="009027B6" w:rsidRDefault="00114953" w:rsidP="00BF3A72">
            <w:pPr>
              <w:jc w:val="center"/>
              <w:rPr>
                <w:rFonts w:cs="Arial"/>
                <w:color w:val="323233"/>
                <w:sz w:val="18"/>
                <w:szCs w:val="18"/>
              </w:rPr>
            </w:pPr>
            <w:r>
              <w:rPr>
                <w:rFonts w:cs="Arial"/>
                <w:color w:val="323233"/>
                <w:sz w:val="18"/>
                <w:szCs w:val="18"/>
              </w:rPr>
              <w:t>8.</w:t>
            </w:r>
          </w:p>
        </w:tc>
        <w:tc>
          <w:tcPr>
            <w:tcW w:w="3932" w:type="dxa"/>
          </w:tcPr>
          <w:p w14:paraId="3CAE73DA" w14:textId="77777777" w:rsidR="00114953" w:rsidRPr="009027B6" w:rsidRDefault="00114953" w:rsidP="00BF3A72">
            <w:pPr>
              <w:jc w:val="both"/>
              <w:rPr>
                <w:rFonts w:cs="Arial"/>
                <w:color w:val="323233"/>
                <w:sz w:val="18"/>
                <w:szCs w:val="18"/>
              </w:rPr>
            </w:pPr>
            <w:proofErr w:type="spellStart"/>
            <w:r>
              <w:rPr>
                <w:rFonts w:cs="Arial"/>
                <w:color w:val="323233"/>
                <w:sz w:val="18"/>
                <w:szCs w:val="18"/>
              </w:rPr>
              <w:t>Līgums</w:t>
            </w:r>
            <w:proofErr w:type="spellEnd"/>
            <w:r>
              <w:rPr>
                <w:rFonts w:cs="Arial"/>
                <w:color w:val="323233"/>
                <w:sz w:val="18"/>
                <w:szCs w:val="18"/>
              </w:rPr>
              <w:t xml:space="preserve"> </w:t>
            </w:r>
            <w:proofErr w:type="spellStart"/>
            <w:r>
              <w:rPr>
                <w:rFonts w:cs="Arial"/>
                <w:color w:val="323233"/>
                <w:sz w:val="18"/>
                <w:szCs w:val="18"/>
              </w:rPr>
              <w:t>starp</w:t>
            </w:r>
            <w:proofErr w:type="spellEnd"/>
            <w:r>
              <w:rPr>
                <w:rFonts w:cs="Arial"/>
                <w:color w:val="323233"/>
                <w:sz w:val="18"/>
                <w:szCs w:val="18"/>
              </w:rPr>
              <w:t xml:space="preserve"> </w:t>
            </w:r>
            <w:proofErr w:type="spellStart"/>
            <w:r>
              <w:rPr>
                <w:rFonts w:cs="Arial"/>
                <w:color w:val="323233"/>
                <w:sz w:val="18"/>
                <w:szCs w:val="18"/>
              </w:rPr>
              <w:t>Latviju</w:t>
            </w:r>
            <w:proofErr w:type="spellEnd"/>
            <w:r>
              <w:rPr>
                <w:rFonts w:cs="Arial"/>
                <w:color w:val="323233"/>
                <w:sz w:val="18"/>
                <w:szCs w:val="18"/>
              </w:rPr>
              <w:t xml:space="preserve"> </w:t>
            </w:r>
            <w:proofErr w:type="spellStart"/>
            <w:r>
              <w:rPr>
                <w:rFonts w:cs="Arial"/>
                <w:color w:val="323233"/>
                <w:sz w:val="18"/>
                <w:szCs w:val="18"/>
              </w:rPr>
              <w:t>un</w:t>
            </w:r>
            <w:proofErr w:type="spellEnd"/>
            <w:r>
              <w:rPr>
                <w:rFonts w:cs="Arial"/>
                <w:color w:val="323233"/>
                <w:sz w:val="18"/>
                <w:szCs w:val="18"/>
              </w:rPr>
              <w:t xml:space="preserve"> </w:t>
            </w:r>
            <w:proofErr w:type="spellStart"/>
            <w:r>
              <w:rPr>
                <w:rFonts w:cs="Arial"/>
                <w:color w:val="323233"/>
                <w:sz w:val="18"/>
                <w:szCs w:val="18"/>
              </w:rPr>
              <w:t>Krievijas</w:t>
            </w:r>
            <w:proofErr w:type="spellEnd"/>
            <w:r>
              <w:rPr>
                <w:rFonts w:cs="Arial"/>
                <w:color w:val="323233"/>
                <w:sz w:val="18"/>
                <w:szCs w:val="18"/>
              </w:rPr>
              <w:t xml:space="preserve"> </w:t>
            </w:r>
            <w:proofErr w:type="spellStart"/>
            <w:r>
              <w:rPr>
                <w:rFonts w:cs="Arial"/>
                <w:color w:val="323233"/>
                <w:sz w:val="18"/>
                <w:szCs w:val="18"/>
              </w:rPr>
              <w:t>Federāciju</w:t>
            </w:r>
            <w:proofErr w:type="spellEnd"/>
          </w:p>
        </w:tc>
        <w:tc>
          <w:tcPr>
            <w:tcW w:w="2302" w:type="dxa"/>
          </w:tcPr>
          <w:p w14:paraId="0B9F47B1" w14:textId="77777777" w:rsidR="00114953" w:rsidRPr="009027B6" w:rsidRDefault="00114953" w:rsidP="00BF3A72">
            <w:pPr>
              <w:jc w:val="center"/>
              <w:rPr>
                <w:rFonts w:cs="Arial"/>
                <w:color w:val="323233"/>
                <w:sz w:val="18"/>
                <w:szCs w:val="18"/>
              </w:rPr>
            </w:pPr>
            <w:r>
              <w:rPr>
                <w:rFonts w:cs="Arial"/>
                <w:color w:val="323233"/>
                <w:sz w:val="18"/>
                <w:szCs w:val="18"/>
              </w:rPr>
              <w:t xml:space="preserve">22.panta </w:t>
            </w:r>
            <w:proofErr w:type="spellStart"/>
            <w:r>
              <w:rPr>
                <w:rFonts w:cs="Arial"/>
                <w:color w:val="323233"/>
                <w:sz w:val="18"/>
                <w:szCs w:val="18"/>
              </w:rPr>
              <w:t>pirmā</w:t>
            </w:r>
            <w:proofErr w:type="spellEnd"/>
            <w:r>
              <w:rPr>
                <w:rFonts w:cs="Arial"/>
                <w:color w:val="323233"/>
                <w:sz w:val="18"/>
                <w:szCs w:val="18"/>
              </w:rPr>
              <w:t xml:space="preserve"> </w:t>
            </w:r>
            <w:proofErr w:type="spellStart"/>
            <w:r>
              <w:rPr>
                <w:rFonts w:cs="Arial"/>
                <w:color w:val="323233"/>
                <w:sz w:val="18"/>
                <w:szCs w:val="18"/>
              </w:rPr>
              <w:t>daļa</w:t>
            </w:r>
            <w:proofErr w:type="spellEnd"/>
          </w:p>
        </w:tc>
        <w:tc>
          <w:tcPr>
            <w:tcW w:w="2340" w:type="dxa"/>
            <w:gridSpan w:val="2"/>
          </w:tcPr>
          <w:p w14:paraId="788E0E70" w14:textId="77777777" w:rsidR="00114953" w:rsidRPr="009027B6" w:rsidRDefault="00114953" w:rsidP="00BF3A72">
            <w:pPr>
              <w:rPr>
                <w:rFonts w:cs="Arial"/>
                <w:color w:val="323233"/>
                <w:sz w:val="18"/>
                <w:szCs w:val="18"/>
              </w:rPr>
            </w:pPr>
            <w:r>
              <w:rPr>
                <w:rFonts w:cs="Arial"/>
                <w:color w:val="323233"/>
                <w:sz w:val="18"/>
                <w:szCs w:val="18"/>
              </w:rPr>
              <w:t xml:space="preserve">„(1) </w:t>
            </w:r>
            <w:proofErr w:type="spellStart"/>
            <w:r>
              <w:rPr>
                <w:rFonts w:cs="Arial"/>
                <w:color w:val="323233"/>
                <w:sz w:val="18"/>
                <w:szCs w:val="18"/>
              </w:rPr>
              <w:t>Fiziskas</w:t>
            </w:r>
            <w:proofErr w:type="spellEnd"/>
            <w:r>
              <w:rPr>
                <w:rFonts w:cs="Arial"/>
                <w:color w:val="323233"/>
                <w:sz w:val="18"/>
                <w:szCs w:val="18"/>
              </w:rPr>
              <w:t xml:space="preserve"> personas </w:t>
            </w:r>
            <w:proofErr w:type="spellStart"/>
            <w:r>
              <w:rPr>
                <w:rFonts w:cs="Arial"/>
                <w:color w:val="323233"/>
                <w:sz w:val="18"/>
                <w:szCs w:val="18"/>
              </w:rPr>
              <w:t>rīcībspēju</w:t>
            </w:r>
            <w:proofErr w:type="spellEnd"/>
            <w:r>
              <w:rPr>
                <w:rFonts w:cs="Arial"/>
                <w:color w:val="323233"/>
                <w:sz w:val="18"/>
                <w:szCs w:val="18"/>
              </w:rPr>
              <w:t xml:space="preserve"> </w:t>
            </w:r>
            <w:proofErr w:type="spellStart"/>
            <w:r>
              <w:rPr>
                <w:rFonts w:cs="Arial"/>
                <w:color w:val="323233"/>
                <w:sz w:val="18"/>
                <w:szCs w:val="18"/>
              </w:rPr>
              <w:t>nosaka</w:t>
            </w:r>
            <w:proofErr w:type="spellEnd"/>
            <w:r>
              <w:rPr>
                <w:rFonts w:cs="Arial"/>
                <w:color w:val="323233"/>
                <w:sz w:val="18"/>
                <w:szCs w:val="18"/>
              </w:rPr>
              <w:t xml:space="preserve"> </w:t>
            </w:r>
            <w:proofErr w:type="spellStart"/>
            <w:r>
              <w:rPr>
                <w:rFonts w:cs="Arial"/>
                <w:color w:val="323233"/>
                <w:sz w:val="18"/>
                <w:szCs w:val="18"/>
              </w:rPr>
              <w:t>tās</w:t>
            </w:r>
            <w:proofErr w:type="spellEnd"/>
            <w:r>
              <w:rPr>
                <w:rFonts w:cs="Arial"/>
                <w:color w:val="323233"/>
                <w:sz w:val="18"/>
                <w:szCs w:val="18"/>
              </w:rPr>
              <w:t xml:space="preserve"> </w:t>
            </w:r>
            <w:proofErr w:type="spellStart"/>
            <w:r>
              <w:rPr>
                <w:rFonts w:cs="Arial"/>
                <w:color w:val="323233"/>
                <w:sz w:val="18"/>
                <w:szCs w:val="18"/>
              </w:rPr>
              <w:t>Līgumslēdzējas</w:t>
            </w:r>
            <w:proofErr w:type="spellEnd"/>
            <w:r>
              <w:rPr>
                <w:rFonts w:cs="Arial"/>
                <w:color w:val="323233"/>
                <w:sz w:val="18"/>
                <w:szCs w:val="18"/>
              </w:rPr>
              <w:t xml:space="preserve"> </w:t>
            </w:r>
            <w:proofErr w:type="spellStart"/>
            <w:r>
              <w:rPr>
                <w:rFonts w:cs="Arial"/>
                <w:color w:val="323233"/>
                <w:sz w:val="18"/>
                <w:szCs w:val="18"/>
              </w:rPr>
              <w:t>Puses</w:t>
            </w:r>
            <w:proofErr w:type="spellEnd"/>
            <w:r>
              <w:rPr>
                <w:rFonts w:cs="Arial"/>
                <w:color w:val="323233"/>
                <w:sz w:val="18"/>
                <w:szCs w:val="18"/>
              </w:rPr>
              <w:t xml:space="preserve"> </w:t>
            </w:r>
            <w:proofErr w:type="spellStart"/>
            <w:r>
              <w:rPr>
                <w:rFonts w:cs="Arial"/>
                <w:color w:val="323233"/>
                <w:sz w:val="18"/>
                <w:szCs w:val="18"/>
              </w:rPr>
              <w:t>likumdošana</w:t>
            </w:r>
            <w:proofErr w:type="spellEnd"/>
            <w:r>
              <w:rPr>
                <w:rFonts w:cs="Arial"/>
                <w:color w:val="323233"/>
                <w:sz w:val="18"/>
                <w:szCs w:val="18"/>
              </w:rPr>
              <w:t xml:space="preserve">, </w:t>
            </w:r>
            <w:proofErr w:type="spellStart"/>
            <w:r>
              <w:rPr>
                <w:rFonts w:cs="Arial"/>
                <w:color w:val="323233"/>
                <w:sz w:val="18"/>
                <w:szCs w:val="18"/>
              </w:rPr>
              <w:t>kuras</w:t>
            </w:r>
            <w:proofErr w:type="spellEnd"/>
            <w:r>
              <w:rPr>
                <w:rFonts w:cs="Arial"/>
                <w:color w:val="323233"/>
                <w:sz w:val="18"/>
                <w:szCs w:val="18"/>
              </w:rPr>
              <w:t xml:space="preserve"> </w:t>
            </w:r>
            <w:proofErr w:type="spellStart"/>
            <w:r>
              <w:rPr>
                <w:rFonts w:cs="Arial"/>
                <w:color w:val="323233"/>
                <w:sz w:val="18"/>
                <w:szCs w:val="18"/>
              </w:rPr>
              <w:t>pilsonis</w:t>
            </w:r>
            <w:proofErr w:type="spellEnd"/>
            <w:r>
              <w:rPr>
                <w:rFonts w:cs="Arial"/>
                <w:color w:val="323233"/>
                <w:sz w:val="18"/>
                <w:szCs w:val="18"/>
              </w:rPr>
              <w:t xml:space="preserve"> </w:t>
            </w:r>
            <w:proofErr w:type="spellStart"/>
            <w:r>
              <w:rPr>
                <w:rFonts w:cs="Arial"/>
                <w:color w:val="323233"/>
                <w:sz w:val="18"/>
                <w:szCs w:val="18"/>
              </w:rPr>
              <w:t>ir</w:t>
            </w:r>
            <w:proofErr w:type="spellEnd"/>
            <w:r>
              <w:rPr>
                <w:rFonts w:cs="Arial"/>
                <w:color w:val="323233"/>
                <w:sz w:val="18"/>
                <w:szCs w:val="18"/>
              </w:rPr>
              <w:t xml:space="preserve"> </w:t>
            </w:r>
            <w:proofErr w:type="spellStart"/>
            <w:r>
              <w:rPr>
                <w:rFonts w:cs="Arial"/>
                <w:color w:val="323233"/>
                <w:sz w:val="18"/>
                <w:szCs w:val="18"/>
              </w:rPr>
              <w:t>šī</w:t>
            </w:r>
            <w:proofErr w:type="spellEnd"/>
            <w:r>
              <w:rPr>
                <w:rFonts w:cs="Arial"/>
                <w:color w:val="323233"/>
                <w:sz w:val="18"/>
                <w:szCs w:val="18"/>
              </w:rPr>
              <w:t xml:space="preserve"> </w:t>
            </w:r>
            <w:proofErr w:type="spellStart"/>
            <w:r>
              <w:rPr>
                <w:rFonts w:cs="Arial"/>
                <w:color w:val="323233"/>
                <w:sz w:val="18"/>
                <w:szCs w:val="18"/>
              </w:rPr>
              <w:t>persona</w:t>
            </w:r>
            <w:proofErr w:type="spellEnd"/>
            <w:r>
              <w:rPr>
                <w:rFonts w:cs="Arial"/>
                <w:color w:val="323233"/>
                <w:sz w:val="18"/>
                <w:szCs w:val="18"/>
              </w:rPr>
              <w:t>“.</w:t>
            </w:r>
          </w:p>
        </w:tc>
      </w:tr>
    </w:tbl>
    <w:p w14:paraId="5BD19417" w14:textId="2DDCE16A" w:rsidR="00114953" w:rsidRPr="006131A0" w:rsidRDefault="00114953" w:rsidP="00114953">
      <w:pPr>
        <w:pStyle w:val="tv213"/>
        <w:ind w:firstLine="708"/>
        <w:jc w:val="both"/>
      </w:pPr>
      <w:proofErr w:type="spellStart"/>
      <w:r>
        <w:t>Kā</w:t>
      </w:r>
      <w:proofErr w:type="spellEnd"/>
      <w:r>
        <w:t xml:space="preserve"> </w:t>
      </w:r>
      <w:proofErr w:type="spellStart"/>
      <w:r>
        <w:t>redzams</w:t>
      </w:r>
      <w:proofErr w:type="spellEnd"/>
      <w:r>
        <w:t xml:space="preserve">, </w:t>
      </w:r>
      <w:proofErr w:type="spellStart"/>
      <w:r>
        <w:t>atšķirībā</w:t>
      </w:r>
      <w:proofErr w:type="spellEnd"/>
      <w:r>
        <w:t xml:space="preserve"> </w:t>
      </w:r>
      <w:proofErr w:type="spellStart"/>
      <w:r>
        <w:t>no</w:t>
      </w:r>
      <w:proofErr w:type="spellEnd"/>
      <w:r>
        <w:t xml:space="preserve"> CL </w:t>
      </w:r>
      <w:proofErr w:type="spellStart"/>
      <w:r w:rsidR="00485054">
        <w:t>Ievada</w:t>
      </w:r>
      <w:proofErr w:type="spellEnd"/>
      <w:r w:rsidR="00485054">
        <w:t xml:space="preserve"> </w:t>
      </w:r>
      <w:r>
        <w:t xml:space="preserve">8.panta, </w:t>
      </w:r>
      <w:proofErr w:type="spellStart"/>
      <w:r>
        <w:t>kurā</w:t>
      </w:r>
      <w:proofErr w:type="spellEnd"/>
      <w:r>
        <w:t xml:space="preserve"> </w:t>
      </w:r>
      <w:proofErr w:type="spellStart"/>
      <w:r>
        <w:t>fiziskas</w:t>
      </w:r>
      <w:proofErr w:type="spellEnd"/>
      <w:r>
        <w:t xml:space="preserve"> personas </w:t>
      </w:r>
      <w:proofErr w:type="spellStart"/>
      <w:r>
        <w:t>rīcībspējas</w:t>
      </w:r>
      <w:proofErr w:type="spellEnd"/>
      <w:r>
        <w:t xml:space="preserve"> </w:t>
      </w:r>
      <w:proofErr w:type="spellStart"/>
      <w:r>
        <w:t>noteikšanai</w:t>
      </w:r>
      <w:proofErr w:type="spellEnd"/>
      <w:r>
        <w:t xml:space="preserve"> </w:t>
      </w:r>
      <w:proofErr w:type="spellStart"/>
      <w:r>
        <w:t>principā</w:t>
      </w:r>
      <w:proofErr w:type="spellEnd"/>
      <w:r>
        <w:t xml:space="preserve"> </w:t>
      </w:r>
      <w:proofErr w:type="spellStart"/>
      <w:r>
        <w:t>ir</w:t>
      </w:r>
      <w:proofErr w:type="spellEnd"/>
      <w:r>
        <w:t xml:space="preserve"> </w:t>
      </w:r>
      <w:proofErr w:type="spellStart"/>
      <w:r>
        <w:t>piemērojama</w:t>
      </w:r>
      <w:proofErr w:type="spellEnd"/>
      <w:r>
        <w:t xml:space="preserve"> </w:t>
      </w:r>
      <w:proofErr w:type="spellStart"/>
      <w:r w:rsidRPr="006131A0">
        <w:rPr>
          <w:i/>
        </w:rPr>
        <w:t>lex</w:t>
      </w:r>
      <w:proofErr w:type="spellEnd"/>
      <w:r w:rsidRPr="006131A0">
        <w:rPr>
          <w:i/>
        </w:rPr>
        <w:t xml:space="preserve"> </w:t>
      </w:r>
      <w:proofErr w:type="spellStart"/>
      <w:r w:rsidRPr="006131A0">
        <w:rPr>
          <w:i/>
        </w:rPr>
        <w:t>domicilii</w:t>
      </w:r>
      <w:proofErr w:type="spellEnd"/>
      <w:r>
        <w:t xml:space="preserve"> </w:t>
      </w:r>
      <w:proofErr w:type="spellStart"/>
      <w:r>
        <w:t>piesaiste</w:t>
      </w:r>
      <w:proofErr w:type="spellEnd"/>
      <w:r>
        <w:t xml:space="preserve">, </w:t>
      </w:r>
      <w:proofErr w:type="spellStart"/>
      <w:r>
        <w:t>starptautiskie</w:t>
      </w:r>
      <w:proofErr w:type="spellEnd"/>
      <w:r>
        <w:t xml:space="preserve"> </w:t>
      </w:r>
      <w:proofErr w:type="spellStart"/>
      <w:r>
        <w:t>tiesiskās</w:t>
      </w:r>
      <w:proofErr w:type="spellEnd"/>
      <w:r>
        <w:t xml:space="preserve"> </w:t>
      </w:r>
      <w:proofErr w:type="spellStart"/>
      <w:r>
        <w:t>palīdzības</w:t>
      </w:r>
      <w:proofErr w:type="spellEnd"/>
      <w:r>
        <w:t xml:space="preserve"> </w:t>
      </w:r>
      <w:proofErr w:type="spellStart"/>
      <w:r>
        <w:t>līgumi</w:t>
      </w:r>
      <w:proofErr w:type="spellEnd"/>
      <w:r>
        <w:t xml:space="preserve"> </w:t>
      </w:r>
      <w:proofErr w:type="spellStart"/>
      <w:r>
        <w:t>paredz</w:t>
      </w:r>
      <w:proofErr w:type="spellEnd"/>
      <w:r>
        <w:t xml:space="preserve"> </w:t>
      </w:r>
      <w:proofErr w:type="spellStart"/>
      <w:r w:rsidRPr="00BF3A72">
        <w:t>pilsonības</w:t>
      </w:r>
      <w:proofErr w:type="spellEnd"/>
      <w:r w:rsidRPr="00BF3A72">
        <w:t xml:space="preserve"> </w:t>
      </w:r>
      <w:proofErr w:type="spellStart"/>
      <w:r w:rsidRPr="00BF3A72">
        <w:t>valsts</w:t>
      </w:r>
      <w:proofErr w:type="spellEnd"/>
      <w:r w:rsidRPr="00BF3A72">
        <w:t xml:space="preserve"> (</w:t>
      </w:r>
      <w:proofErr w:type="spellStart"/>
      <w:r w:rsidRPr="00BF3A72">
        <w:rPr>
          <w:i/>
        </w:rPr>
        <w:t>lex</w:t>
      </w:r>
      <w:proofErr w:type="spellEnd"/>
      <w:r w:rsidRPr="00BF3A72">
        <w:rPr>
          <w:i/>
        </w:rPr>
        <w:t xml:space="preserve"> </w:t>
      </w:r>
      <w:proofErr w:type="spellStart"/>
      <w:r w:rsidRPr="00BF3A72">
        <w:rPr>
          <w:i/>
        </w:rPr>
        <w:t>nationalis</w:t>
      </w:r>
      <w:proofErr w:type="spellEnd"/>
      <w:r w:rsidRPr="00BF3A72">
        <w:rPr>
          <w:i/>
        </w:rPr>
        <w:t xml:space="preserve">; </w:t>
      </w:r>
      <w:proofErr w:type="spellStart"/>
      <w:r w:rsidRPr="00BF3A72">
        <w:rPr>
          <w:i/>
        </w:rPr>
        <w:t>lex</w:t>
      </w:r>
      <w:proofErr w:type="spellEnd"/>
      <w:r w:rsidRPr="00BF3A72">
        <w:rPr>
          <w:i/>
        </w:rPr>
        <w:t xml:space="preserve"> </w:t>
      </w:r>
      <w:proofErr w:type="spellStart"/>
      <w:r w:rsidRPr="00BF3A72">
        <w:rPr>
          <w:i/>
        </w:rPr>
        <w:t>patriae</w:t>
      </w:r>
      <w:proofErr w:type="spellEnd"/>
      <w:r w:rsidRPr="006131A0">
        <w:rPr>
          <w:i/>
        </w:rPr>
        <w:t>)</w:t>
      </w:r>
      <w:r>
        <w:t xml:space="preserve"> </w:t>
      </w:r>
      <w:proofErr w:type="spellStart"/>
      <w:r>
        <w:t>piesaisti</w:t>
      </w:r>
      <w:proofErr w:type="spellEnd"/>
      <w:r>
        <w:t>.</w:t>
      </w:r>
    </w:p>
    <w:p w14:paraId="122B1598" w14:textId="77777777" w:rsidR="00114953" w:rsidRDefault="00114953" w:rsidP="00114953">
      <w:pPr>
        <w:pStyle w:val="tv213"/>
        <w:jc w:val="both"/>
        <w:rPr>
          <w:b/>
          <w:bCs/>
        </w:rPr>
      </w:pPr>
    </w:p>
    <w:p w14:paraId="19E81687" w14:textId="77777777" w:rsidR="00114953" w:rsidRDefault="00114953" w:rsidP="00114953">
      <w:pPr>
        <w:pStyle w:val="tv213"/>
        <w:jc w:val="both"/>
      </w:pPr>
      <w:r>
        <w:rPr>
          <w:b/>
          <w:bCs/>
        </w:rPr>
        <w:t xml:space="preserve">3. </w:t>
      </w:r>
      <w:proofErr w:type="spellStart"/>
      <w:r>
        <w:rPr>
          <w:b/>
          <w:bCs/>
        </w:rPr>
        <w:t>Fiziskas</w:t>
      </w:r>
      <w:proofErr w:type="spellEnd"/>
      <w:r>
        <w:rPr>
          <w:b/>
          <w:bCs/>
        </w:rPr>
        <w:t xml:space="preserve"> personas </w:t>
      </w:r>
      <w:proofErr w:type="spellStart"/>
      <w:r>
        <w:rPr>
          <w:b/>
          <w:bCs/>
        </w:rPr>
        <w:t>pārstāvības</w:t>
      </w:r>
      <w:proofErr w:type="spellEnd"/>
      <w:r>
        <w:rPr>
          <w:b/>
          <w:bCs/>
        </w:rPr>
        <w:t xml:space="preserve"> </w:t>
      </w:r>
      <w:proofErr w:type="spellStart"/>
      <w:r>
        <w:rPr>
          <w:b/>
          <w:bCs/>
        </w:rPr>
        <w:t>tiesības</w:t>
      </w:r>
      <w:proofErr w:type="spellEnd"/>
      <w:r>
        <w:rPr>
          <w:b/>
          <w:bCs/>
        </w:rPr>
        <w:t xml:space="preserve"> (</w:t>
      </w:r>
      <w:proofErr w:type="spellStart"/>
      <w:r>
        <w:rPr>
          <w:b/>
          <w:bCs/>
        </w:rPr>
        <w:t>pilnvarojums</w:t>
      </w:r>
      <w:proofErr w:type="spellEnd"/>
      <w:r>
        <w:rPr>
          <w:b/>
          <w:bCs/>
        </w:rPr>
        <w:t>)</w:t>
      </w:r>
      <w:r w:rsidRPr="00734E20">
        <w:rPr>
          <w:b/>
          <w:bCs/>
        </w:rPr>
        <w:t>:</w:t>
      </w:r>
      <w:r>
        <w:t xml:space="preserve"> </w:t>
      </w:r>
    </w:p>
    <w:p w14:paraId="77B4F642" w14:textId="77777777" w:rsidR="00114953" w:rsidRDefault="00114953" w:rsidP="00114953">
      <w:pPr>
        <w:ind w:firstLine="708"/>
        <w:jc w:val="both"/>
        <w:rPr>
          <w:rFonts w:ascii="Times New Roman" w:hAnsi="Times New Roman" w:cs="Times New Roman"/>
          <w:lang w:val="de-DE"/>
        </w:rPr>
      </w:pPr>
      <w:proofErr w:type="spellStart"/>
      <w:r w:rsidRPr="000C7C76">
        <w:rPr>
          <w:rFonts w:ascii="Times New Roman" w:hAnsi="Times New Roman" w:cs="Times New Roman"/>
          <w:lang w:val="de-DE"/>
        </w:rPr>
        <w:t>Saskaņā</w:t>
      </w:r>
      <w:proofErr w:type="spellEnd"/>
      <w:r w:rsidRPr="000C7C76">
        <w:rPr>
          <w:rFonts w:ascii="Times New Roman" w:hAnsi="Times New Roman" w:cs="Times New Roman"/>
          <w:lang w:val="de-DE"/>
        </w:rPr>
        <w:t xml:space="preserve"> </w:t>
      </w:r>
      <w:proofErr w:type="spellStart"/>
      <w:r w:rsidRPr="000C7C76">
        <w:rPr>
          <w:rFonts w:ascii="Times New Roman" w:hAnsi="Times New Roman" w:cs="Times New Roman"/>
          <w:lang w:val="de-DE"/>
        </w:rPr>
        <w:t>ar</w:t>
      </w:r>
      <w:proofErr w:type="spellEnd"/>
      <w:r w:rsidRPr="000C7C76">
        <w:rPr>
          <w:rFonts w:ascii="Times New Roman" w:hAnsi="Times New Roman" w:cs="Times New Roman"/>
          <w:lang w:val="de-DE"/>
        </w:rPr>
        <w:t xml:space="preserve"> Latvijas </w:t>
      </w:r>
      <w:proofErr w:type="spellStart"/>
      <w:r w:rsidRPr="000C7C76">
        <w:rPr>
          <w:rFonts w:ascii="Times New Roman" w:hAnsi="Times New Roman" w:cs="Times New Roman"/>
          <w:lang w:val="de-DE"/>
        </w:rPr>
        <w:t>Civillikuma</w:t>
      </w:r>
      <w:proofErr w:type="spellEnd"/>
      <w:r w:rsidRPr="000C7C76">
        <w:rPr>
          <w:rFonts w:ascii="Times New Roman" w:hAnsi="Times New Roman" w:cs="Times New Roman"/>
          <w:lang w:val="de-DE"/>
        </w:rPr>
        <w:t xml:space="preserve"> 2289.pantu </w:t>
      </w:r>
      <w:r>
        <w:rPr>
          <w:rFonts w:ascii="Times New Roman" w:hAnsi="Times New Roman" w:cs="Times New Roman"/>
          <w:lang w:val="de-DE"/>
        </w:rPr>
        <w:t>„</w:t>
      </w:r>
      <w:r w:rsidRPr="00677877">
        <w:rPr>
          <w:rFonts w:ascii="Times New Roman" w:hAnsi="Times New Roman" w:cs="Times New Roman"/>
          <w:i/>
          <w:iCs/>
          <w:lang w:val="de-DE"/>
        </w:rPr>
        <w:t xml:space="preserve">Ar </w:t>
      </w:r>
      <w:proofErr w:type="spellStart"/>
      <w:r w:rsidRPr="00686427">
        <w:rPr>
          <w:rFonts w:ascii="Times New Roman" w:hAnsi="Times New Roman" w:cs="Times New Roman"/>
          <w:i/>
          <w:iCs/>
          <w:u w:val="single"/>
          <w:lang w:val="de-DE"/>
        </w:rPr>
        <w:t>pilnvarojuma</w:t>
      </w:r>
      <w:proofErr w:type="spellEnd"/>
      <w:r w:rsidRPr="00686427">
        <w:rPr>
          <w:rFonts w:ascii="Times New Roman" w:hAnsi="Times New Roman" w:cs="Times New Roman"/>
          <w:i/>
          <w:iCs/>
          <w:u w:val="single"/>
          <w:lang w:val="de-DE"/>
        </w:rPr>
        <w:t xml:space="preserve"> </w:t>
      </w:r>
      <w:proofErr w:type="spellStart"/>
      <w:r w:rsidRPr="00686427">
        <w:rPr>
          <w:rFonts w:ascii="Times New Roman" w:hAnsi="Times New Roman" w:cs="Times New Roman"/>
          <w:i/>
          <w:iCs/>
          <w:u w:val="single"/>
          <w:lang w:val="de-DE"/>
        </w:rPr>
        <w:t>līgumu</w:t>
      </w:r>
      <w:proofErr w:type="spellEnd"/>
      <w:r w:rsidRPr="00677877">
        <w:rPr>
          <w:rFonts w:ascii="Times New Roman" w:hAnsi="Times New Roman" w:cs="Times New Roman"/>
          <w:i/>
          <w:iCs/>
          <w:lang w:val="de-DE"/>
        </w:rPr>
        <w:t xml:space="preserve"> </w:t>
      </w:r>
      <w:proofErr w:type="spellStart"/>
      <w:r w:rsidRPr="00677877">
        <w:rPr>
          <w:rFonts w:ascii="Times New Roman" w:hAnsi="Times New Roman" w:cs="Times New Roman"/>
          <w:i/>
          <w:iCs/>
          <w:lang w:val="de-DE"/>
        </w:rPr>
        <w:t>viena</w:t>
      </w:r>
      <w:proofErr w:type="spellEnd"/>
      <w:r w:rsidRPr="00677877">
        <w:rPr>
          <w:rFonts w:ascii="Times New Roman" w:hAnsi="Times New Roman" w:cs="Times New Roman"/>
          <w:i/>
          <w:iCs/>
          <w:lang w:val="de-DE"/>
        </w:rPr>
        <w:t xml:space="preserve"> </w:t>
      </w:r>
      <w:proofErr w:type="spellStart"/>
      <w:r w:rsidRPr="00677877">
        <w:rPr>
          <w:rFonts w:ascii="Times New Roman" w:hAnsi="Times New Roman" w:cs="Times New Roman"/>
          <w:i/>
          <w:iCs/>
          <w:lang w:val="de-DE"/>
        </w:rPr>
        <w:t>puse</w:t>
      </w:r>
      <w:proofErr w:type="spellEnd"/>
      <w:r w:rsidRPr="00677877">
        <w:rPr>
          <w:rFonts w:ascii="Times New Roman" w:hAnsi="Times New Roman" w:cs="Times New Roman"/>
          <w:i/>
          <w:iCs/>
          <w:lang w:val="de-DE"/>
        </w:rPr>
        <w:t xml:space="preserve"> (</w:t>
      </w:r>
      <w:proofErr w:type="spellStart"/>
      <w:r w:rsidRPr="00677877">
        <w:rPr>
          <w:rFonts w:ascii="Times New Roman" w:hAnsi="Times New Roman" w:cs="Times New Roman"/>
          <w:i/>
          <w:iCs/>
          <w:lang w:val="de-DE"/>
        </w:rPr>
        <w:t>pilnvarnieks</w:t>
      </w:r>
      <w:proofErr w:type="spellEnd"/>
      <w:r w:rsidRPr="00677877">
        <w:rPr>
          <w:rFonts w:ascii="Times New Roman" w:hAnsi="Times New Roman" w:cs="Times New Roman"/>
          <w:i/>
          <w:iCs/>
          <w:lang w:val="de-DE"/>
        </w:rPr>
        <w:t xml:space="preserve">, </w:t>
      </w:r>
      <w:proofErr w:type="spellStart"/>
      <w:r w:rsidRPr="00677877">
        <w:rPr>
          <w:rFonts w:ascii="Times New Roman" w:hAnsi="Times New Roman" w:cs="Times New Roman"/>
          <w:i/>
          <w:iCs/>
          <w:lang w:val="de-DE"/>
        </w:rPr>
        <w:t>uzdevuma</w:t>
      </w:r>
      <w:proofErr w:type="spellEnd"/>
      <w:r w:rsidRPr="00677877">
        <w:rPr>
          <w:rFonts w:ascii="Times New Roman" w:hAnsi="Times New Roman" w:cs="Times New Roman"/>
          <w:i/>
          <w:iCs/>
          <w:lang w:val="de-DE"/>
        </w:rPr>
        <w:t xml:space="preserve"> </w:t>
      </w:r>
      <w:proofErr w:type="spellStart"/>
      <w:r w:rsidRPr="00677877">
        <w:rPr>
          <w:rFonts w:ascii="Times New Roman" w:hAnsi="Times New Roman" w:cs="Times New Roman"/>
          <w:i/>
          <w:iCs/>
          <w:lang w:val="de-DE"/>
        </w:rPr>
        <w:t>ņēmējs</w:t>
      </w:r>
      <w:proofErr w:type="spellEnd"/>
      <w:r w:rsidRPr="00677877">
        <w:rPr>
          <w:rFonts w:ascii="Times New Roman" w:hAnsi="Times New Roman" w:cs="Times New Roman"/>
          <w:i/>
          <w:iCs/>
          <w:lang w:val="de-DE"/>
        </w:rPr>
        <w:t xml:space="preserve">) </w:t>
      </w:r>
      <w:proofErr w:type="spellStart"/>
      <w:r w:rsidRPr="00677877">
        <w:rPr>
          <w:rFonts w:ascii="Times New Roman" w:hAnsi="Times New Roman" w:cs="Times New Roman"/>
          <w:i/>
          <w:iCs/>
          <w:lang w:val="de-DE"/>
        </w:rPr>
        <w:t>uzņemas</w:t>
      </w:r>
      <w:proofErr w:type="spellEnd"/>
      <w:r w:rsidRPr="00677877">
        <w:rPr>
          <w:rFonts w:ascii="Times New Roman" w:hAnsi="Times New Roman" w:cs="Times New Roman"/>
          <w:i/>
          <w:iCs/>
          <w:lang w:val="de-DE"/>
        </w:rPr>
        <w:t xml:space="preserve"> </w:t>
      </w:r>
      <w:proofErr w:type="spellStart"/>
      <w:r w:rsidRPr="00677877">
        <w:rPr>
          <w:rFonts w:ascii="Times New Roman" w:hAnsi="Times New Roman" w:cs="Times New Roman"/>
          <w:i/>
          <w:iCs/>
          <w:lang w:val="de-DE"/>
        </w:rPr>
        <w:t>izpildīt</w:t>
      </w:r>
      <w:proofErr w:type="spellEnd"/>
      <w:r w:rsidRPr="00677877">
        <w:rPr>
          <w:rFonts w:ascii="Times New Roman" w:hAnsi="Times New Roman" w:cs="Times New Roman"/>
          <w:i/>
          <w:iCs/>
          <w:lang w:val="de-DE"/>
        </w:rPr>
        <w:t xml:space="preserve"> </w:t>
      </w:r>
      <w:proofErr w:type="spellStart"/>
      <w:r w:rsidRPr="00677877">
        <w:rPr>
          <w:rFonts w:ascii="Times New Roman" w:hAnsi="Times New Roman" w:cs="Times New Roman"/>
          <w:i/>
          <w:iCs/>
          <w:lang w:val="de-DE"/>
        </w:rPr>
        <w:t>otrai</w:t>
      </w:r>
      <w:proofErr w:type="spellEnd"/>
      <w:r w:rsidRPr="00677877">
        <w:rPr>
          <w:rFonts w:ascii="Times New Roman" w:hAnsi="Times New Roman" w:cs="Times New Roman"/>
          <w:i/>
          <w:iCs/>
          <w:lang w:val="de-DE"/>
        </w:rPr>
        <w:t xml:space="preserve"> (</w:t>
      </w:r>
      <w:proofErr w:type="spellStart"/>
      <w:r w:rsidRPr="00677877">
        <w:rPr>
          <w:rFonts w:ascii="Times New Roman" w:hAnsi="Times New Roman" w:cs="Times New Roman"/>
          <w:i/>
          <w:iCs/>
          <w:lang w:val="de-DE"/>
        </w:rPr>
        <w:t>pilnvaras</w:t>
      </w:r>
      <w:proofErr w:type="spellEnd"/>
      <w:r w:rsidRPr="00677877">
        <w:rPr>
          <w:rFonts w:ascii="Times New Roman" w:hAnsi="Times New Roman" w:cs="Times New Roman"/>
          <w:i/>
          <w:iCs/>
          <w:lang w:val="de-DE"/>
        </w:rPr>
        <w:t xml:space="preserve"> </w:t>
      </w:r>
      <w:proofErr w:type="spellStart"/>
      <w:r w:rsidRPr="00677877">
        <w:rPr>
          <w:rFonts w:ascii="Times New Roman" w:hAnsi="Times New Roman" w:cs="Times New Roman"/>
          <w:i/>
          <w:iCs/>
          <w:lang w:val="de-DE"/>
        </w:rPr>
        <w:t>devējam</w:t>
      </w:r>
      <w:proofErr w:type="spellEnd"/>
      <w:r w:rsidRPr="00677877">
        <w:rPr>
          <w:rFonts w:ascii="Times New Roman" w:hAnsi="Times New Roman" w:cs="Times New Roman"/>
          <w:i/>
          <w:iCs/>
          <w:lang w:val="de-DE"/>
        </w:rPr>
        <w:t xml:space="preserve">, </w:t>
      </w:r>
      <w:proofErr w:type="spellStart"/>
      <w:r w:rsidRPr="00677877">
        <w:rPr>
          <w:rFonts w:ascii="Times New Roman" w:hAnsi="Times New Roman" w:cs="Times New Roman"/>
          <w:i/>
          <w:iCs/>
          <w:lang w:val="de-DE"/>
        </w:rPr>
        <w:t>pilnvarotājam</w:t>
      </w:r>
      <w:proofErr w:type="spellEnd"/>
      <w:r w:rsidRPr="00677877">
        <w:rPr>
          <w:rFonts w:ascii="Times New Roman" w:hAnsi="Times New Roman" w:cs="Times New Roman"/>
          <w:i/>
          <w:iCs/>
          <w:lang w:val="de-DE"/>
        </w:rPr>
        <w:t xml:space="preserve">, </w:t>
      </w:r>
      <w:proofErr w:type="spellStart"/>
      <w:r w:rsidRPr="00677877">
        <w:rPr>
          <w:rFonts w:ascii="Times New Roman" w:hAnsi="Times New Roman" w:cs="Times New Roman"/>
          <w:i/>
          <w:iCs/>
          <w:lang w:val="de-DE"/>
        </w:rPr>
        <w:t>uzdevuma</w:t>
      </w:r>
      <w:proofErr w:type="spellEnd"/>
      <w:r w:rsidRPr="00677877">
        <w:rPr>
          <w:rFonts w:ascii="Times New Roman" w:hAnsi="Times New Roman" w:cs="Times New Roman"/>
          <w:i/>
          <w:iCs/>
          <w:lang w:val="de-DE"/>
        </w:rPr>
        <w:t xml:space="preserve"> </w:t>
      </w:r>
      <w:proofErr w:type="spellStart"/>
      <w:r w:rsidRPr="00677877">
        <w:rPr>
          <w:rFonts w:ascii="Times New Roman" w:hAnsi="Times New Roman" w:cs="Times New Roman"/>
          <w:i/>
          <w:iCs/>
          <w:lang w:val="de-DE"/>
        </w:rPr>
        <w:t>devējam</w:t>
      </w:r>
      <w:proofErr w:type="spellEnd"/>
      <w:r w:rsidRPr="00677877">
        <w:rPr>
          <w:rFonts w:ascii="Times New Roman" w:hAnsi="Times New Roman" w:cs="Times New Roman"/>
          <w:i/>
          <w:iCs/>
          <w:lang w:val="de-DE"/>
        </w:rPr>
        <w:t xml:space="preserve">) – </w:t>
      </w:r>
      <w:proofErr w:type="spellStart"/>
      <w:r w:rsidRPr="00677877">
        <w:rPr>
          <w:rFonts w:ascii="Times New Roman" w:hAnsi="Times New Roman" w:cs="Times New Roman"/>
          <w:i/>
          <w:iCs/>
          <w:lang w:val="de-DE"/>
        </w:rPr>
        <w:t>zināmu</w:t>
      </w:r>
      <w:proofErr w:type="spellEnd"/>
      <w:r w:rsidRPr="00677877">
        <w:rPr>
          <w:rFonts w:ascii="Times New Roman" w:hAnsi="Times New Roman" w:cs="Times New Roman"/>
          <w:i/>
          <w:iCs/>
          <w:lang w:val="de-DE"/>
        </w:rPr>
        <w:t xml:space="preserve"> </w:t>
      </w:r>
      <w:proofErr w:type="spellStart"/>
      <w:r w:rsidRPr="00677877">
        <w:rPr>
          <w:rFonts w:ascii="Times New Roman" w:hAnsi="Times New Roman" w:cs="Times New Roman"/>
          <w:i/>
          <w:iCs/>
          <w:lang w:val="de-DE"/>
        </w:rPr>
        <w:t>uzdevumu</w:t>
      </w:r>
      <w:proofErr w:type="spellEnd"/>
      <w:r w:rsidRPr="00677877">
        <w:rPr>
          <w:rFonts w:ascii="Times New Roman" w:hAnsi="Times New Roman" w:cs="Times New Roman"/>
          <w:i/>
          <w:iCs/>
          <w:lang w:val="de-DE"/>
        </w:rPr>
        <w:t xml:space="preserve">, </w:t>
      </w:r>
      <w:proofErr w:type="spellStart"/>
      <w:r w:rsidRPr="00677877">
        <w:rPr>
          <w:rFonts w:ascii="Times New Roman" w:hAnsi="Times New Roman" w:cs="Times New Roman"/>
          <w:i/>
          <w:iCs/>
          <w:lang w:val="de-DE"/>
        </w:rPr>
        <w:t>bet</w:t>
      </w:r>
      <w:proofErr w:type="spellEnd"/>
      <w:r w:rsidRPr="00677877">
        <w:rPr>
          <w:rFonts w:ascii="Times New Roman" w:hAnsi="Times New Roman" w:cs="Times New Roman"/>
          <w:i/>
          <w:iCs/>
          <w:lang w:val="de-DE"/>
        </w:rPr>
        <w:t xml:space="preserve"> </w:t>
      </w:r>
      <w:proofErr w:type="spellStart"/>
      <w:r w:rsidRPr="00677877">
        <w:rPr>
          <w:rFonts w:ascii="Times New Roman" w:hAnsi="Times New Roman" w:cs="Times New Roman"/>
          <w:i/>
          <w:iCs/>
          <w:lang w:val="de-DE"/>
        </w:rPr>
        <w:t>pilnvaras</w:t>
      </w:r>
      <w:proofErr w:type="spellEnd"/>
      <w:r w:rsidRPr="00677877">
        <w:rPr>
          <w:rFonts w:ascii="Times New Roman" w:hAnsi="Times New Roman" w:cs="Times New Roman"/>
          <w:i/>
          <w:iCs/>
          <w:lang w:val="de-DE"/>
        </w:rPr>
        <w:t xml:space="preserve"> </w:t>
      </w:r>
      <w:proofErr w:type="spellStart"/>
      <w:r w:rsidRPr="00677877">
        <w:rPr>
          <w:rFonts w:ascii="Times New Roman" w:hAnsi="Times New Roman" w:cs="Times New Roman"/>
          <w:i/>
          <w:iCs/>
          <w:lang w:val="de-DE"/>
        </w:rPr>
        <w:t>devējs</w:t>
      </w:r>
      <w:proofErr w:type="spellEnd"/>
      <w:r w:rsidRPr="00677877">
        <w:rPr>
          <w:rFonts w:ascii="Times New Roman" w:hAnsi="Times New Roman" w:cs="Times New Roman"/>
          <w:i/>
          <w:iCs/>
          <w:lang w:val="de-DE"/>
        </w:rPr>
        <w:t xml:space="preserve"> </w:t>
      </w:r>
      <w:proofErr w:type="spellStart"/>
      <w:r w:rsidRPr="00677877">
        <w:rPr>
          <w:rFonts w:ascii="Times New Roman" w:hAnsi="Times New Roman" w:cs="Times New Roman"/>
          <w:i/>
          <w:iCs/>
          <w:lang w:val="de-DE"/>
        </w:rPr>
        <w:t>apņemas</w:t>
      </w:r>
      <w:proofErr w:type="spellEnd"/>
      <w:r w:rsidRPr="00677877">
        <w:rPr>
          <w:rFonts w:ascii="Times New Roman" w:hAnsi="Times New Roman" w:cs="Times New Roman"/>
          <w:i/>
          <w:iCs/>
          <w:lang w:val="de-DE"/>
        </w:rPr>
        <w:t xml:space="preserve"> </w:t>
      </w:r>
      <w:proofErr w:type="spellStart"/>
      <w:r w:rsidRPr="00677877">
        <w:rPr>
          <w:rFonts w:ascii="Times New Roman" w:hAnsi="Times New Roman" w:cs="Times New Roman"/>
          <w:i/>
          <w:iCs/>
          <w:lang w:val="de-DE"/>
        </w:rPr>
        <w:t>pilnvarnieka</w:t>
      </w:r>
      <w:proofErr w:type="spellEnd"/>
      <w:r w:rsidRPr="00677877">
        <w:rPr>
          <w:rFonts w:ascii="Times New Roman" w:hAnsi="Times New Roman" w:cs="Times New Roman"/>
          <w:i/>
          <w:iCs/>
          <w:lang w:val="de-DE"/>
        </w:rPr>
        <w:t xml:space="preserve"> </w:t>
      </w:r>
      <w:proofErr w:type="spellStart"/>
      <w:r w:rsidRPr="00677877">
        <w:rPr>
          <w:rFonts w:ascii="Times New Roman" w:hAnsi="Times New Roman" w:cs="Times New Roman"/>
          <w:i/>
          <w:iCs/>
          <w:lang w:val="de-DE"/>
        </w:rPr>
        <w:t>rīcību</w:t>
      </w:r>
      <w:proofErr w:type="spellEnd"/>
      <w:r w:rsidRPr="00677877">
        <w:rPr>
          <w:rFonts w:ascii="Times New Roman" w:hAnsi="Times New Roman" w:cs="Times New Roman"/>
          <w:i/>
          <w:iCs/>
          <w:lang w:val="de-DE"/>
        </w:rPr>
        <w:t xml:space="preserve"> </w:t>
      </w:r>
      <w:proofErr w:type="spellStart"/>
      <w:r w:rsidRPr="00677877">
        <w:rPr>
          <w:rFonts w:ascii="Times New Roman" w:hAnsi="Times New Roman" w:cs="Times New Roman"/>
          <w:i/>
          <w:iCs/>
          <w:lang w:val="de-DE"/>
        </w:rPr>
        <w:t>atzīt</w:t>
      </w:r>
      <w:proofErr w:type="spellEnd"/>
      <w:r w:rsidRPr="00677877">
        <w:rPr>
          <w:rFonts w:ascii="Times New Roman" w:hAnsi="Times New Roman" w:cs="Times New Roman"/>
          <w:i/>
          <w:iCs/>
          <w:lang w:val="de-DE"/>
        </w:rPr>
        <w:t xml:space="preserve"> </w:t>
      </w:r>
      <w:proofErr w:type="spellStart"/>
      <w:r w:rsidRPr="00677877">
        <w:rPr>
          <w:rFonts w:ascii="Times New Roman" w:hAnsi="Times New Roman" w:cs="Times New Roman"/>
          <w:i/>
          <w:iCs/>
          <w:lang w:val="de-DE"/>
        </w:rPr>
        <w:t>sev</w:t>
      </w:r>
      <w:proofErr w:type="spellEnd"/>
      <w:r w:rsidRPr="00677877">
        <w:rPr>
          <w:rFonts w:ascii="Times New Roman" w:hAnsi="Times New Roman" w:cs="Times New Roman"/>
          <w:i/>
          <w:iCs/>
          <w:lang w:val="de-DE"/>
        </w:rPr>
        <w:t xml:space="preserve"> par </w:t>
      </w:r>
      <w:proofErr w:type="spellStart"/>
      <w:r w:rsidRPr="00677877">
        <w:rPr>
          <w:rFonts w:ascii="Times New Roman" w:hAnsi="Times New Roman" w:cs="Times New Roman"/>
          <w:i/>
          <w:iCs/>
          <w:lang w:val="de-DE"/>
        </w:rPr>
        <w:t>saistošu</w:t>
      </w:r>
      <w:proofErr w:type="spellEnd"/>
      <w:r>
        <w:rPr>
          <w:rFonts w:ascii="Times New Roman" w:hAnsi="Times New Roman" w:cs="Times New Roman"/>
          <w:lang w:val="de-DE"/>
        </w:rPr>
        <w:t xml:space="preserve">“. </w:t>
      </w:r>
      <w:proofErr w:type="spellStart"/>
      <w:r w:rsidRPr="00677877">
        <w:rPr>
          <w:rFonts w:ascii="Times New Roman" w:hAnsi="Times New Roman" w:cs="Times New Roman"/>
          <w:u w:val="single"/>
          <w:lang w:val="de-DE"/>
        </w:rPr>
        <w:t>Pilnvarojuma</w:t>
      </w:r>
      <w:proofErr w:type="spellEnd"/>
      <w:r w:rsidRPr="00677877">
        <w:rPr>
          <w:rFonts w:ascii="Times New Roman" w:hAnsi="Times New Roman" w:cs="Times New Roman"/>
          <w:u w:val="single"/>
          <w:lang w:val="de-DE"/>
        </w:rPr>
        <w:t xml:space="preserve"> </w:t>
      </w:r>
      <w:proofErr w:type="spellStart"/>
      <w:r w:rsidRPr="00677877">
        <w:rPr>
          <w:rFonts w:ascii="Times New Roman" w:hAnsi="Times New Roman" w:cs="Times New Roman"/>
          <w:u w:val="single"/>
          <w:lang w:val="de-DE"/>
        </w:rPr>
        <w:t>līgums</w:t>
      </w:r>
      <w:proofErr w:type="spellEnd"/>
      <w:r>
        <w:rPr>
          <w:rFonts w:ascii="Times New Roman" w:hAnsi="Times New Roman" w:cs="Times New Roman"/>
          <w:lang w:val="de-DE"/>
        </w:rPr>
        <w:t xml:space="preserve"> </w:t>
      </w:r>
      <w:proofErr w:type="spellStart"/>
      <w:r>
        <w:rPr>
          <w:rFonts w:ascii="Times New Roman" w:hAnsi="Times New Roman" w:cs="Times New Roman"/>
          <w:lang w:val="de-DE"/>
        </w:rPr>
        <w:t>regulē</w:t>
      </w:r>
      <w:proofErr w:type="spellEnd"/>
      <w:r>
        <w:rPr>
          <w:rFonts w:ascii="Times New Roman" w:hAnsi="Times New Roman" w:cs="Times New Roman"/>
          <w:lang w:val="de-DE"/>
        </w:rPr>
        <w:t xml:space="preserve"> </w:t>
      </w:r>
      <w:proofErr w:type="spellStart"/>
      <w:r>
        <w:rPr>
          <w:rFonts w:ascii="Times New Roman" w:hAnsi="Times New Roman" w:cs="Times New Roman"/>
          <w:lang w:val="de-DE"/>
        </w:rPr>
        <w:t>pilnvarnieka</w:t>
      </w:r>
      <w:proofErr w:type="spellEnd"/>
      <w:r>
        <w:rPr>
          <w:rFonts w:ascii="Times New Roman" w:hAnsi="Times New Roman" w:cs="Times New Roman"/>
          <w:lang w:val="de-DE"/>
        </w:rPr>
        <w:t xml:space="preserve"> </w:t>
      </w:r>
      <w:proofErr w:type="spellStart"/>
      <w:r>
        <w:rPr>
          <w:rFonts w:ascii="Times New Roman" w:hAnsi="Times New Roman" w:cs="Times New Roman"/>
          <w:lang w:val="de-DE"/>
        </w:rPr>
        <w:t>un</w:t>
      </w:r>
      <w:proofErr w:type="spellEnd"/>
      <w:r>
        <w:rPr>
          <w:rFonts w:ascii="Times New Roman" w:hAnsi="Times New Roman" w:cs="Times New Roman"/>
          <w:lang w:val="de-DE"/>
        </w:rPr>
        <w:t xml:space="preserve"> </w:t>
      </w:r>
      <w:proofErr w:type="spellStart"/>
      <w:r>
        <w:rPr>
          <w:rFonts w:ascii="Times New Roman" w:hAnsi="Times New Roman" w:cs="Times New Roman"/>
          <w:lang w:val="de-DE"/>
        </w:rPr>
        <w:t>pilnvarotāja</w:t>
      </w:r>
      <w:proofErr w:type="spellEnd"/>
      <w:r>
        <w:rPr>
          <w:rFonts w:ascii="Times New Roman" w:hAnsi="Times New Roman" w:cs="Times New Roman"/>
          <w:lang w:val="de-DE"/>
        </w:rPr>
        <w:t xml:space="preserve"> </w:t>
      </w:r>
      <w:proofErr w:type="spellStart"/>
      <w:r>
        <w:rPr>
          <w:rFonts w:ascii="Times New Roman" w:hAnsi="Times New Roman" w:cs="Times New Roman"/>
          <w:lang w:val="de-DE"/>
        </w:rPr>
        <w:t>savstarpējās</w:t>
      </w:r>
      <w:proofErr w:type="spellEnd"/>
      <w:r>
        <w:rPr>
          <w:rFonts w:ascii="Times New Roman" w:hAnsi="Times New Roman" w:cs="Times New Roman"/>
          <w:lang w:val="de-DE"/>
        </w:rPr>
        <w:t xml:space="preserve"> </w:t>
      </w:r>
      <w:proofErr w:type="spellStart"/>
      <w:r>
        <w:rPr>
          <w:rFonts w:ascii="Times New Roman" w:hAnsi="Times New Roman" w:cs="Times New Roman"/>
          <w:lang w:val="de-DE"/>
        </w:rPr>
        <w:t>attiecības</w:t>
      </w:r>
      <w:proofErr w:type="spellEnd"/>
      <w:r>
        <w:rPr>
          <w:rFonts w:ascii="Times New Roman" w:hAnsi="Times New Roman" w:cs="Times New Roman"/>
          <w:lang w:val="de-DE"/>
        </w:rPr>
        <w:t xml:space="preserve">, </w:t>
      </w:r>
      <w:proofErr w:type="spellStart"/>
      <w:r>
        <w:rPr>
          <w:rFonts w:ascii="Times New Roman" w:hAnsi="Times New Roman" w:cs="Times New Roman"/>
          <w:lang w:val="de-DE"/>
        </w:rPr>
        <w:t>ietverot</w:t>
      </w:r>
      <w:proofErr w:type="spellEnd"/>
      <w:r>
        <w:rPr>
          <w:rFonts w:ascii="Times New Roman" w:hAnsi="Times New Roman" w:cs="Times New Roman"/>
          <w:lang w:val="de-DE"/>
        </w:rPr>
        <w:t xml:space="preserve"> </w:t>
      </w:r>
      <w:proofErr w:type="spellStart"/>
      <w:r>
        <w:rPr>
          <w:rFonts w:ascii="Times New Roman" w:hAnsi="Times New Roman" w:cs="Times New Roman"/>
          <w:lang w:val="de-DE"/>
        </w:rPr>
        <w:t>pilnvarnieka</w:t>
      </w:r>
      <w:proofErr w:type="spellEnd"/>
      <w:r>
        <w:rPr>
          <w:rFonts w:ascii="Times New Roman" w:hAnsi="Times New Roman" w:cs="Times New Roman"/>
          <w:lang w:val="de-DE"/>
        </w:rPr>
        <w:t xml:space="preserve"> </w:t>
      </w:r>
      <w:proofErr w:type="spellStart"/>
      <w:r>
        <w:rPr>
          <w:rFonts w:ascii="Times New Roman" w:hAnsi="Times New Roman" w:cs="Times New Roman"/>
          <w:lang w:val="de-DE"/>
        </w:rPr>
        <w:t>apņemšanos</w:t>
      </w:r>
      <w:proofErr w:type="spellEnd"/>
      <w:r>
        <w:rPr>
          <w:rFonts w:ascii="Times New Roman" w:hAnsi="Times New Roman" w:cs="Times New Roman"/>
          <w:lang w:val="de-DE"/>
        </w:rPr>
        <w:t xml:space="preserve"> </w:t>
      </w:r>
      <w:proofErr w:type="spellStart"/>
      <w:r>
        <w:rPr>
          <w:rFonts w:ascii="Times New Roman" w:hAnsi="Times New Roman" w:cs="Times New Roman"/>
          <w:lang w:val="de-DE"/>
        </w:rPr>
        <w:t>darboties</w:t>
      </w:r>
      <w:proofErr w:type="spellEnd"/>
      <w:r>
        <w:rPr>
          <w:rFonts w:ascii="Times New Roman" w:hAnsi="Times New Roman" w:cs="Times New Roman"/>
          <w:lang w:val="de-DE"/>
        </w:rPr>
        <w:t xml:space="preserve"> </w:t>
      </w:r>
      <w:proofErr w:type="spellStart"/>
      <w:r>
        <w:rPr>
          <w:rFonts w:ascii="Times New Roman" w:hAnsi="Times New Roman" w:cs="Times New Roman"/>
          <w:lang w:val="de-DE"/>
        </w:rPr>
        <w:t>attiecībā</w:t>
      </w:r>
      <w:proofErr w:type="spellEnd"/>
      <w:r>
        <w:rPr>
          <w:rFonts w:ascii="Times New Roman" w:hAnsi="Times New Roman" w:cs="Times New Roman"/>
          <w:lang w:val="de-DE"/>
        </w:rPr>
        <w:t xml:space="preserve"> </w:t>
      </w:r>
      <w:proofErr w:type="spellStart"/>
      <w:r>
        <w:rPr>
          <w:rFonts w:ascii="Times New Roman" w:hAnsi="Times New Roman" w:cs="Times New Roman"/>
          <w:lang w:val="de-DE"/>
        </w:rPr>
        <w:t>uz</w:t>
      </w:r>
      <w:proofErr w:type="spellEnd"/>
      <w:r>
        <w:rPr>
          <w:rFonts w:ascii="Times New Roman" w:hAnsi="Times New Roman" w:cs="Times New Roman"/>
          <w:lang w:val="de-DE"/>
        </w:rPr>
        <w:t xml:space="preserve"> </w:t>
      </w:r>
      <w:proofErr w:type="spellStart"/>
      <w:r>
        <w:rPr>
          <w:rFonts w:ascii="Times New Roman" w:hAnsi="Times New Roman" w:cs="Times New Roman"/>
          <w:lang w:val="de-DE"/>
        </w:rPr>
        <w:t>trešajām</w:t>
      </w:r>
      <w:proofErr w:type="spellEnd"/>
      <w:r>
        <w:rPr>
          <w:rFonts w:ascii="Times New Roman" w:hAnsi="Times New Roman" w:cs="Times New Roman"/>
          <w:lang w:val="de-DE"/>
        </w:rPr>
        <w:t xml:space="preserve"> </w:t>
      </w:r>
      <w:proofErr w:type="spellStart"/>
      <w:r>
        <w:rPr>
          <w:rFonts w:ascii="Times New Roman" w:hAnsi="Times New Roman" w:cs="Times New Roman"/>
          <w:lang w:val="de-DE"/>
        </w:rPr>
        <w:t>personām</w:t>
      </w:r>
      <w:proofErr w:type="spellEnd"/>
      <w:r>
        <w:rPr>
          <w:rFonts w:ascii="Times New Roman" w:hAnsi="Times New Roman" w:cs="Times New Roman"/>
          <w:lang w:val="de-DE"/>
        </w:rPr>
        <w:t xml:space="preserve">. </w:t>
      </w:r>
      <w:proofErr w:type="spellStart"/>
      <w:r>
        <w:rPr>
          <w:rFonts w:ascii="Times New Roman" w:hAnsi="Times New Roman" w:cs="Times New Roman"/>
          <w:lang w:val="de-DE"/>
        </w:rPr>
        <w:t>Savukārt</w:t>
      </w:r>
      <w:proofErr w:type="spellEnd"/>
      <w:r>
        <w:rPr>
          <w:rFonts w:ascii="Times New Roman" w:hAnsi="Times New Roman" w:cs="Times New Roman"/>
          <w:lang w:val="de-DE"/>
        </w:rPr>
        <w:t xml:space="preserve"> </w:t>
      </w:r>
      <w:proofErr w:type="spellStart"/>
      <w:r w:rsidRPr="008E44A5">
        <w:rPr>
          <w:rFonts w:ascii="Times New Roman" w:hAnsi="Times New Roman" w:cs="Times New Roman"/>
          <w:u w:val="single"/>
          <w:lang w:val="de-DE"/>
        </w:rPr>
        <w:t>pilnvara</w:t>
      </w:r>
      <w:proofErr w:type="spellEnd"/>
      <w:r w:rsidRPr="008E44A5">
        <w:rPr>
          <w:rFonts w:ascii="Times New Roman" w:hAnsi="Times New Roman" w:cs="Times New Roman"/>
          <w:u w:val="single"/>
          <w:lang w:val="de-DE"/>
        </w:rPr>
        <w:t xml:space="preserve"> </w:t>
      </w:r>
      <w:proofErr w:type="spellStart"/>
      <w:r>
        <w:rPr>
          <w:rFonts w:ascii="Times New Roman" w:hAnsi="Times New Roman" w:cs="Times New Roman"/>
          <w:lang w:val="de-DE"/>
        </w:rPr>
        <w:t>dod</w:t>
      </w:r>
      <w:proofErr w:type="spellEnd"/>
      <w:r>
        <w:rPr>
          <w:rFonts w:ascii="Times New Roman" w:hAnsi="Times New Roman" w:cs="Times New Roman"/>
          <w:lang w:val="de-DE"/>
        </w:rPr>
        <w:t xml:space="preserve"> </w:t>
      </w:r>
      <w:proofErr w:type="spellStart"/>
      <w:r>
        <w:rPr>
          <w:rFonts w:ascii="Times New Roman" w:hAnsi="Times New Roman" w:cs="Times New Roman"/>
          <w:lang w:val="de-DE"/>
        </w:rPr>
        <w:t>pilnvarniekam</w:t>
      </w:r>
      <w:proofErr w:type="spellEnd"/>
      <w:r>
        <w:rPr>
          <w:rFonts w:ascii="Times New Roman" w:hAnsi="Times New Roman" w:cs="Times New Roman"/>
          <w:lang w:val="de-DE"/>
        </w:rPr>
        <w:t xml:space="preserve"> </w:t>
      </w:r>
      <w:proofErr w:type="spellStart"/>
      <w:r>
        <w:rPr>
          <w:rFonts w:ascii="Times New Roman" w:hAnsi="Times New Roman" w:cs="Times New Roman"/>
          <w:lang w:val="de-DE"/>
        </w:rPr>
        <w:t>tiesības</w:t>
      </w:r>
      <w:proofErr w:type="spellEnd"/>
      <w:r>
        <w:rPr>
          <w:rFonts w:ascii="Times New Roman" w:hAnsi="Times New Roman" w:cs="Times New Roman"/>
          <w:lang w:val="de-DE"/>
        </w:rPr>
        <w:t xml:space="preserve"> </w:t>
      </w:r>
      <w:proofErr w:type="spellStart"/>
      <w:r>
        <w:rPr>
          <w:rFonts w:ascii="Times New Roman" w:hAnsi="Times New Roman" w:cs="Times New Roman"/>
          <w:lang w:val="de-DE"/>
        </w:rPr>
        <w:t>stāties</w:t>
      </w:r>
      <w:proofErr w:type="spellEnd"/>
      <w:r>
        <w:rPr>
          <w:rFonts w:ascii="Times New Roman" w:hAnsi="Times New Roman" w:cs="Times New Roman"/>
          <w:lang w:val="de-DE"/>
        </w:rPr>
        <w:t xml:space="preserve"> </w:t>
      </w:r>
      <w:proofErr w:type="spellStart"/>
      <w:r>
        <w:rPr>
          <w:rFonts w:ascii="Times New Roman" w:hAnsi="Times New Roman" w:cs="Times New Roman"/>
          <w:lang w:val="de-DE"/>
        </w:rPr>
        <w:t>tiesiskās</w:t>
      </w:r>
      <w:proofErr w:type="spellEnd"/>
      <w:r>
        <w:rPr>
          <w:rFonts w:ascii="Times New Roman" w:hAnsi="Times New Roman" w:cs="Times New Roman"/>
          <w:lang w:val="de-DE"/>
        </w:rPr>
        <w:t xml:space="preserve"> </w:t>
      </w:r>
      <w:proofErr w:type="spellStart"/>
      <w:r>
        <w:rPr>
          <w:rFonts w:ascii="Times New Roman" w:hAnsi="Times New Roman" w:cs="Times New Roman"/>
          <w:lang w:val="de-DE"/>
        </w:rPr>
        <w:t>attiecībās</w:t>
      </w:r>
      <w:proofErr w:type="spellEnd"/>
      <w:r>
        <w:rPr>
          <w:rFonts w:ascii="Times New Roman" w:hAnsi="Times New Roman" w:cs="Times New Roman"/>
          <w:lang w:val="de-DE"/>
        </w:rPr>
        <w:t xml:space="preserve"> </w:t>
      </w:r>
      <w:proofErr w:type="spellStart"/>
      <w:r>
        <w:rPr>
          <w:rFonts w:ascii="Times New Roman" w:hAnsi="Times New Roman" w:cs="Times New Roman"/>
          <w:lang w:val="de-DE"/>
        </w:rPr>
        <w:t>ar</w:t>
      </w:r>
      <w:proofErr w:type="spellEnd"/>
      <w:r>
        <w:rPr>
          <w:rFonts w:ascii="Times New Roman" w:hAnsi="Times New Roman" w:cs="Times New Roman"/>
          <w:lang w:val="de-DE"/>
        </w:rPr>
        <w:t xml:space="preserve"> </w:t>
      </w:r>
      <w:proofErr w:type="spellStart"/>
      <w:r>
        <w:rPr>
          <w:rFonts w:ascii="Times New Roman" w:hAnsi="Times New Roman" w:cs="Times New Roman"/>
          <w:lang w:val="de-DE"/>
        </w:rPr>
        <w:t>trešajām</w:t>
      </w:r>
      <w:proofErr w:type="spellEnd"/>
      <w:r>
        <w:rPr>
          <w:rFonts w:ascii="Times New Roman" w:hAnsi="Times New Roman" w:cs="Times New Roman"/>
          <w:lang w:val="de-DE"/>
        </w:rPr>
        <w:t xml:space="preserve"> </w:t>
      </w:r>
      <w:proofErr w:type="spellStart"/>
      <w:r>
        <w:rPr>
          <w:rFonts w:ascii="Times New Roman" w:hAnsi="Times New Roman" w:cs="Times New Roman"/>
          <w:lang w:val="de-DE"/>
        </w:rPr>
        <w:t>personām</w:t>
      </w:r>
      <w:proofErr w:type="spellEnd"/>
      <w:r>
        <w:rPr>
          <w:rFonts w:ascii="Times New Roman" w:hAnsi="Times New Roman" w:cs="Times New Roman"/>
          <w:lang w:val="de-DE"/>
        </w:rPr>
        <w:t xml:space="preserve"> </w:t>
      </w:r>
      <w:proofErr w:type="spellStart"/>
      <w:r>
        <w:rPr>
          <w:rFonts w:ascii="Times New Roman" w:hAnsi="Times New Roman" w:cs="Times New Roman"/>
          <w:lang w:val="de-DE"/>
        </w:rPr>
        <w:t>un</w:t>
      </w:r>
      <w:proofErr w:type="spellEnd"/>
      <w:r>
        <w:rPr>
          <w:rFonts w:ascii="Times New Roman" w:hAnsi="Times New Roman" w:cs="Times New Roman"/>
          <w:lang w:val="de-DE"/>
        </w:rPr>
        <w:t xml:space="preserve"> </w:t>
      </w:r>
      <w:proofErr w:type="spellStart"/>
      <w:r>
        <w:rPr>
          <w:rFonts w:ascii="Times New Roman" w:hAnsi="Times New Roman" w:cs="Times New Roman"/>
          <w:lang w:val="de-DE"/>
        </w:rPr>
        <w:t>darboties</w:t>
      </w:r>
      <w:proofErr w:type="spellEnd"/>
      <w:r>
        <w:rPr>
          <w:rFonts w:ascii="Times New Roman" w:hAnsi="Times New Roman" w:cs="Times New Roman"/>
          <w:lang w:val="de-DE"/>
        </w:rPr>
        <w:t xml:space="preserve"> </w:t>
      </w:r>
      <w:proofErr w:type="spellStart"/>
      <w:r>
        <w:rPr>
          <w:rFonts w:ascii="Times New Roman" w:hAnsi="Times New Roman" w:cs="Times New Roman"/>
          <w:lang w:val="de-DE"/>
        </w:rPr>
        <w:t>kā</w:t>
      </w:r>
      <w:proofErr w:type="spellEnd"/>
      <w:r>
        <w:rPr>
          <w:rFonts w:ascii="Times New Roman" w:hAnsi="Times New Roman" w:cs="Times New Roman"/>
          <w:lang w:val="de-DE"/>
        </w:rPr>
        <w:t xml:space="preserve"> </w:t>
      </w:r>
      <w:proofErr w:type="spellStart"/>
      <w:r>
        <w:rPr>
          <w:rFonts w:ascii="Times New Roman" w:hAnsi="Times New Roman" w:cs="Times New Roman"/>
          <w:lang w:val="de-DE"/>
        </w:rPr>
        <w:t>pilnvarotāja</w:t>
      </w:r>
      <w:proofErr w:type="spellEnd"/>
      <w:r>
        <w:rPr>
          <w:rFonts w:ascii="Times New Roman" w:hAnsi="Times New Roman" w:cs="Times New Roman"/>
          <w:lang w:val="de-DE"/>
        </w:rPr>
        <w:t xml:space="preserve"> </w:t>
      </w:r>
      <w:proofErr w:type="spellStart"/>
      <w:r>
        <w:rPr>
          <w:rFonts w:ascii="Times New Roman" w:hAnsi="Times New Roman" w:cs="Times New Roman"/>
          <w:lang w:val="de-DE"/>
        </w:rPr>
        <w:t>vietniekam</w:t>
      </w:r>
      <w:proofErr w:type="spellEnd"/>
      <w:r>
        <w:rPr>
          <w:rFonts w:ascii="Times New Roman" w:hAnsi="Times New Roman" w:cs="Times New Roman"/>
          <w:lang w:val="de-DE"/>
        </w:rPr>
        <w:t>.</w:t>
      </w:r>
      <w:r>
        <w:rPr>
          <w:rStyle w:val="FootnoteReference"/>
          <w:rFonts w:ascii="Times New Roman" w:hAnsi="Times New Roman" w:cs="Times New Roman"/>
          <w:lang w:val="de-DE"/>
        </w:rPr>
        <w:footnoteReference w:id="14"/>
      </w:r>
      <w:r>
        <w:rPr>
          <w:rFonts w:ascii="Times New Roman" w:hAnsi="Times New Roman" w:cs="Times New Roman"/>
          <w:lang w:val="de-DE"/>
        </w:rPr>
        <w:t xml:space="preserve"> </w:t>
      </w:r>
      <w:proofErr w:type="spellStart"/>
      <w:r>
        <w:rPr>
          <w:rFonts w:ascii="Times New Roman" w:hAnsi="Times New Roman" w:cs="Times New Roman"/>
          <w:lang w:val="de-DE"/>
        </w:rPr>
        <w:t>Arī</w:t>
      </w:r>
      <w:proofErr w:type="spellEnd"/>
      <w:r>
        <w:rPr>
          <w:rFonts w:ascii="Times New Roman" w:hAnsi="Times New Roman" w:cs="Times New Roman"/>
          <w:lang w:val="de-DE"/>
        </w:rPr>
        <w:t xml:space="preserve"> </w:t>
      </w:r>
      <w:proofErr w:type="spellStart"/>
      <w:r>
        <w:rPr>
          <w:rFonts w:ascii="Times New Roman" w:hAnsi="Times New Roman" w:cs="Times New Roman"/>
          <w:lang w:val="de-DE"/>
        </w:rPr>
        <w:t>no</w:t>
      </w:r>
      <w:proofErr w:type="spellEnd"/>
      <w:r>
        <w:rPr>
          <w:rFonts w:ascii="Times New Roman" w:hAnsi="Times New Roman" w:cs="Times New Roman"/>
          <w:lang w:val="de-DE"/>
        </w:rPr>
        <w:t xml:space="preserve"> CL 2294.panta </w:t>
      </w:r>
      <w:proofErr w:type="spellStart"/>
      <w:r>
        <w:rPr>
          <w:rFonts w:ascii="Times New Roman" w:hAnsi="Times New Roman" w:cs="Times New Roman"/>
          <w:lang w:val="de-DE"/>
        </w:rPr>
        <w:t>izriet</w:t>
      </w:r>
      <w:proofErr w:type="spellEnd"/>
      <w:r>
        <w:rPr>
          <w:rFonts w:ascii="Times New Roman" w:hAnsi="Times New Roman" w:cs="Times New Roman"/>
          <w:lang w:val="de-DE"/>
        </w:rPr>
        <w:t xml:space="preserve">, </w:t>
      </w:r>
      <w:proofErr w:type="spellStart"/>
      <w:r>
        <w:rPr>
          <w:rFonts w:ascii="Times New Roman" w:hAnsi="Times New Roman" w:cs="Times New Roman"/>
          <w:lang w:val="de-DE"/>
        </w:rPr>
        <w:t>ka</w:t>
      </w:r>
      <w:proofErr w:type="spellEnd"/>
      <w:r>
        <w:rPr>
          <w:rFonts w:ascii="Times New Roman" w:hAnsi="Times New Roman" w:cs="Times New Roman"/>
          <w:lang w:val="de-DE"/>
        </w:rPr>
        <w:t xml:space="preserve"> </w:t>
      </w:r>
      <w:proofErr w:type="spellStart"/>
      <w:r>
        <w:rPr>
          <w:rFonts w:ascii="Times New Roman" w:hAnsi="Times New Roman" w:cs="Times New Roman"/>
          <w:lang w:val="de-DE"/>
        </w:rPr>
        <w:t>līdzēju</w:t>
      </w:r>
      <w:proofErr w:type="spellEnd"/>
      <w:r>
        <w:rPr>
          <w:rFonts w:ascii="Times New Roman" w:hAnsi="Times New Roman" w:cs="Times New Roman"/>
          <w:lang w:val="de-DE"/>
        </w:rPr>
        <w:t xml:space="preserve"> </w:t>
      </w:r>
      <w:proofErr w:type="spellStart"/>
      <w:r>
        <w:rPr>
          <w:rFonts w:ascii="Times New Roman" w:hAnsi="Times New Roman" w:cs="Times New Roman"/>
          <w:lang w:val="de-DE"/>
        </w:rPr>
        <w:t>attiecības</w:t>
      </w:r>
      <w:proofErr w:type="spellEnd"/>
      <w:r>
        <w:rPr>
          <w:rFonts w:ascii="Times New Roman" w:hAnsi="Times New Roman" w:cs="Times New Roman"/>
          <w:lang w:val="de-DE"/>
        </w:rPr>
        <w:t xml:space="preserve"> </w:t>
      </w:r>
      <w:proofErr w:type="spellStart"/>
      <w:r>
        <w:rPr>
          <w:rFonts w:ascii="Times New Roman" w:hAnsi="Times New Roman" w:cs="Times New Roman"/>
          <w:lang w:val="de-DE"/>
        </w:rPr>
        <w:t>pret</w:t>
      </w:r>
      <w:proofErr w:type="spellEnd"/>
      <w:r>
        <w:rPr>
          <w:rFonts w:ascii="Times New Roman" w:hAnsi="Times New Roman" w:cs="Times New Roman"/>
          <w:lang w:val="de-DE"/>
        </w:rPr>
        <w:t xml:space="preserve"> </w:t>
      </w:r>
      <w:proofErr w:type="spellStart"/>
      <w:r>
        <w:rPr>
          <w:rFonts w:ascii="Times New Roman" w:hAnsi="Times New Roman" w:cs="Times New Roman"/>
          <w:lang w:val="de-DE"/>
        </w:rPr>
        <w:t>trešajām</w:t>
      </w:r>
      <w:proofErr w:type="spellEnd"/>
      <w:r>
        <w:rPr>
          <w:rFonts w:ascii="Times New Roman" w:hAnsi="Times New Roman" w:cs="Times New Roman"/>
          <w:lang w:val="de-DE"/>
        </w:rPr>
        <w:t xml:space="preserve"> </w:t>
      </w:r>
      <w:proofErr w:type="spellStart"/>
      <w:r>
        <w:rPr>
          <w:rFonts w:ascii="Times New Roman" w:hAnsi="Times New Roman" w:cs="Times New Roman"/>
          <w:lang w:val="de-DE"/>
        </w:rPr>
        <w:t>personām</w:t>
      </w:r>
      <w:proofErr w:type="spellEnd"/>
      <w:r>
        <w:rPr>
          <w:rFonts w:ascii="Times New Roman" w:hAnsi="Times New Roman" w:cs="Times New Roman"/>
          <w:lang w:val="de-DE"/>
        </w:rPr>
        <w:t xml:space="preserve"> </w:t>
      </w:r>
      <w:proofErr w:type="spellStart"/>
      <w:r>
        <w:rPr>
          <w:rFonts w:ascii="Times New Roman" w:hAnsi="Times New Roman" w:cs="Times New Roman"/>
          <w:lang w:val="de-DE"/>
        </w:rPr>
        <w:t>nosakāmas</w:t>
      </w:r>
      <w:proofErr w:type="spellEnd"/>
      <w:r>
        <w:rPr>
          <w:rFonts w:ascii="Times New Roman" w:hAnsi="Times New Roman" w:cs="Times New Roman"/>
          <w:lang w:val="de-DE"/>
        </w:rPr>
        <w:t xml:space="preserve"> </w:t>
      </w:r>
      <w:proofErr w:type="spellStart"/>
      <w:r>
        <w:rPr>
          <w:rFonts w:ascii="Times New Roman" w:hAnsi="Times New Roman" w:cs="Times New Roman"/>
          <w:lang w:val="de-DE"/>
        </w:rPr>
        <w:t>pēc</w:t>
      </w:r>
      <w:proofErr w:type="spellEnd"/>
      <w:r>
        <w:rPr>
          <w:rFonts w:ascii="Times New Roman" w:hAnsi="Times New Roman" w:cs="Times New Roman"/>
          <w:lang w:val="de-DE"/>
        </w:rPr>
        <w:t xml:space="preserve"> </w:t>
      </w:r>
      <w:proofErr w:type="spellStart"/>
      <w:r>
        <w:rPr>
          <w:rFonts w:ascii="Times New Roman" w:hAnsi="Times New Roman" w:cs="Times New Roman"/>
          <w:lang w:val="de-DE"/>
        </w:rPr>
        <w:t>vispārējiem</w:t>
      </w:r>
      <w:proofErr w:type="spellEnd"/>
      <w:r>
        <w:rPr>
          <w:rFonts w:ascii="Times New Roman" w:hAnsi="Times New Roman" w:cs="Times New Roman"/>
          <w:lang w:val="de-DE"/>
        </w:rPr>
        <w:t xml:space="preserve"> </w:t>
      </w:r>
      <w:proofErr w:type="spellStart"/>
      <w:r>
        <w:rPr>
          <w:rFonts w:ascii="Times New Roman" w:hAnsi="Times New Roman" w:cs="Times New Roman"/>
          <w:lang w:val="de-DE"/>
        </w:rPr>
        <w:t>noteikumiem</w:t>
      </w:r>
      <w:proofErr w:type="spellEnd"/>
      <w:r>
        <w:rPr>
          <w:rFonts w:ascii="Times New Roman" w:hAnsi="Times New Roman" w:cs="Times New Roman"/>
          <w:lang w:val="de-DE"/>
        </w:rPr>
        <w:t xml:space="preserve"> par </w:t>
      </w:r>
      <w:proofErr w:type="spellStart"/>
      <w:r>
        <w:rPr>
          <w:rFonts w:ascii="Times New Roman" w:hAnsi="Times New Roman" w:cs="Times New Roman"/>
          <w:lang w:val="de-DE"/>
        </w:rPr>
        <w:t>vietniecību</w:t>
      </w:r>
      <w:proofErr w:type="spellEnd"/>
      <w:r>
        <w:rPr>
          <w:rFonts w:ascii="Times New Roman" w:hAnsi="Times New Roman" w:cs="Times New Roman"/>
          <w:lang w:val="de-DE"/>
        </w:rPr>
        <w:t xml:space="preserve">. Par </w:t>
      </w:r>
      <w:proofErr w:type="spellStart"/>
      <w:r>
        <w:rPr>
          <w:rFonts w:ascii="Times New Roman" w:hAnsi="Times New Roman" w:cs="Times New Roman"/>
          <w:lang w:val="de-DE"/>
        </w:rPr>
        <w:t>vietniecību</w:t>
      </w:r>
      <w:proofErr w:type="spellEnd"/>
      <w:r>
        <w:rPr>
          <w:rFonts w:ascii="Times New Roman" w:hAnsi="Times New Roman" w:cs="Times New Roman"/>
          <w:lang w:val="de-DE"/>
        </w:rPr>
        <w:t xml:space="preserve"> </w:t>
      </w:r>
      <w:proofErr w:type="spellStart"/>
      <w:r>
        <w:rPr>
          <w:rFonts w:ascii="Times New Roman" w:hAnsi="Times New Roman" w:cs="Times New Roman"/>
          <w:lang w:val="de-DE"/>
        </w:rPr>
        <w:t>dēvē</w:t>
      </w:r>
      <w:proofErr w:type="spellEnd"/>
      <w:r>
        <w:rPr>
          <w:rFonts w:ascii="Times New Roman" w:hAnsi="Times New Roman" w:cs="Times New Roman"/>
          <w:lang w:val="de-DE"/>
        </w:rPr>
        <w:t xml:space="preserve"> personas </w:t>
      </w:r>
      <w:proofErr w:type="spellStart"/>
      <w:r>
        <w:rPr>
          <w:rFonts w:ascii="Times New Roman" w:hAnsi="Times New Roman" w:cs="Times New Roman"/>
          <w:lang w:val="de-DE"/>
        </w:rPr>
        <w:t>darbošanos</w:t>
      </w:r>
      <w:proofErr w:type="spellEnd"/>
      <w:r>
        <w:rPr>
          <w:rFonts w:ascii="Times New Roman" w:hAnsi="Times New Roman" w:cs="Times New Roman"/>
          <w:lang w:val="de-DE"/>
        </w:rPr>
        <w:t xml:space="preserve"> </w:t>
      </w:r>
      <w:proofErr w:type="spellStart"/>
      <w:r>
        <w:rPr>
          <w:rFonts w:ascii="Times New Roman" w:hAnsi="Times New Roman" w:cs="Times New Roman"/>
          <w:lang w:val="de-DE"/>
        </w:rPr>
        <w:t>citas</w:t>
      </w:r>
      <w:proofErr w:type="spellEnd"/>
      <w:r>
        <w:rPr>
          <w:rFonts w:ascii="Times New Roman" w:hAnsi="Times New Roman" w:cs="Times New Roman"/>
          <w:lang w:val="de-DE"/>
        </w:rPr>
        <w:t xml:space="preserve"> personas </w:t>
      </w:r>
      <w:proofErr w:type="spellStart"/>
      <w:r>
        <w:rPr>
          <w:rFonts w:ascii="Times New Roman" w:hAnsi="Times New Roman" w:cs="Times New Roman"/>
          <w:lang w:val="de-DE"/>
        </w:rPr>
        <w:t>interesēs</w:t>
      </w:r>
      <w:proofErr w:type="spellEnd"/>
      <w:r>
        <w:rPr>
          <w:rFonts w:ascii="Times New Roman" w:hAnsi="Times New Roman" w:cs="Times New Roman"/>
          <w:lang w:val="de-DE"/>
        </w:rPr>
        <w:t xml:space="preserve"> </w:t>
      </w:r>
      <w:proofErr w:type="spellStart"/>
      <w:r>
        <w:rPr>
          <w:rFonts w:ascii="Times New Roman" w:hAnsi="Times New Roman" w:cs="Times New Roman"/>
          <w:lang w:val="de-DE"/>
        </w:rPr>
        <w:t>uz</w:t>
      </w:r>
      <w:proofErr w:type="spellEnd"/>
      <w:r>
        <w:rPr>
          <w:rFonts w:ascii="Times New Roman" w:hAnsi="Times New Roman" w:cs="Times New Roman"/>
          <w:lang w:val="de-DE"/>
        </w:rPr>
        <w:t xml:space="preserve"> </w:t>
      </w:r>
      <w:proofErr w:type="spellStart"/>
      <w:r>
        <w:rPr>
          <w:rFonts w:ascii="Times New Roman" w:hAnsi="Times New Roman" w:cs="Times New Roman"/>
          <w:lang w:val="de-DE"/>
        </w:rPr>
        <w:t>likuma</w:t>
      </w:r>
      <w:proofErr w:type="spellEnd"/>
      <w:r>
        <w:rPr>
          <w:rFonts w:ascii="Times New Roman" w:hAnsi="Times New Roman" w:cs="Times New Roman"/>
          <w:lang w:val="de-DE"/>
        </w:rPr>
        <w:t xml:space="preserve"> </w:t>
      </w:r>
      <w:proofErr w:type="spellStart"/>
      <w:r>
        <w:rPr>
          <w:rFonts w:ascii="Times New Roman" w:hAnsi="Times New Roman" w:cs="Times New Roman"/>
          <w:lang w:val="de-DE"/>
        </w:rPr>
        <w:t>vai</w:t>
      </w:r>
      <w:proofErr w:type="spellEnd"/>
      <w:r>
        <w:rPr>
          <w:rFonts w:ascii="Times New Roman" w:hAnsi="Times New Roman" w:cs="Times New Roman"/>
          <w:lang w:val="de-DE"/>
        </w:rPr>
        <w:t xml:space="preserve"> </w:t>
      </w:r>
      <w:proofErr w:type="spellStart"/>
      <w:r>
        <w:rPr>
          <w:rFonts w:ascii="Times New Roman" w:hAnsi="Times New Roman" w:cs="Times New Roman"/>
          <w:lang w:val="de-DE"/>
        </w:rPr>
        <w:t>pilnvarojuma</w:t>
      </w:r>
      <w:proofErr w:type="spellEnd"/>
      <w:r>
        <w:rPr>
          <w:rFonts w:ascii="Times New Roman" w:hAnsi="Times New Roman" w:cs="Times New Roman"/>
          <w:lang w:val="de-DE"/>
        </w:rPr>
        <w:t xml:space="preserve"> </w:t>
      </w:r>
      <w:proofErr w:type="spellStart"/>
      <w:r>
        <w:rPr>
          <w:rFonts w:ascii="Times New Roman" w:hAnsi="Times New Roman" w:cs="Times New Roman"/>
          <w:lang w:val="de-DE"/>
        </w:rPr>
        <w:t>pamata</w:t>
      </w:r>
      <w:proofErr w:type="spellEnd"/>
      <w:r>
        <w:rPr>
          <w:rFonts w:ascii="Times New Roman" w:hAnsi="Times New Roman" w:cs="Times New Roman"/>
          <w:lang w:val="de-DE"/>
        </w:rPr>
        <w:t xml:space="preserve"> (</w:t>
      </w:r>
      <w:proofErr w:type="spellStart"/>
      <w:r>
        <w:rPr>
          <w:rFonts w:ascii="Times New Roman" w:hAnsi="Times New Roman" w:cs="Times New Roman"/>
          <w:lang w:val="de-DE"/>
        </w:rPr>
        <w:t>skat</w:t>
      </w:r>
      <w:proofErr w:type="spellEnd"/>
      <w:r>
        <w:rPr>
          <w:rFonts w:ascii="Times New Roman" w:hAnsi="Times New Roman" w:cs="Times New Roman"/>
          <w:lang w:val="de-DE"/>
        </w:rPr>
        <w:t>. CL 1410.p.)</w:t>
      </w:r>
      <w:r>
        <w:rPr>
          <w:rStyle w:val="FootnoteReference"/>
          <w:rFonts w:ascii="Times New Roman" w:hAnsi="Times New Roman" w:cs="Times New Roman"/>
          <w:lang w:val="de-DE"/>
        </w:rPr>
        <w:footnoteReference w:id="15"/>
      </w:r>
      <w:r>
        <w:rPr>
          <w:rFonts w:ascii="Times New Roman" w:hAnsi="Times New Roman" w:cs="Times New Roman"/>
          <w:lang w:val="de-DE"/>
        </w:rPr>
        <w:t>.</w:t>
      </w:r>
    </w:p>
    <w:p w14:paraId="74582B2C" w14:textId="77777777" w:rsidR="00114953" w:rsidRDefault="00114953" w:rsidP="00114953">
      <w:pPr>
        <w:ind w:firstLine="708"/>
        <w:jc w:val="both"/>
        <w:rPr>
          <w:rFonts w:ascii="Times New Roman" w:hAnsi="Times New Roman" w:cs="Times New Roman"/>
          <w:lang w:val="de-DE"/>
        </w:rPr>
      </w:pPr>
    </w:p>
    <w:p w14:paraId="757D3815" w14:textId="77777777" w:rsidR="00114953" w:rsidRPr="00BF3A72" w:rsidRDefault="00114953" w:rsidP="00114953">
      <w:pPr>
        <w:ind w:firstLine="708"/>
        <w:jc w:val="both"/>
        <w:rPr>
          <w:rFonts w:ascii="Times New Roman" w:hAnsi="Times New Roman" w:cs="Times New Roman"/>
          <w:lang w:val="de-DE"/>
        </w:rPr>
      </w:pPr>
      <w:proofErr w:type="spellStart"/>
      <w:r w:rsidRPr="00BF3A72">
        <w:rPr>
          <w:rFonts w:ascii="Times New Roman" w:hAnsi="Times New Roman" w:cs="Times New Roman"/>
          <w:lang w:val="de-DE"/>
        </w:rPr>
        <w:t>Ievērojot</w:t>
      </w:r>
      <w:proofErr w:type="spellEnd"/>
      <w:r w:rsidRPr="00BF3A72">
        <w:rPr>
          <w:rFonts w:ascii="Times New Roman" w:hAnsi="Times New Roman" w:cs="Times New Roman"/>
          <w:lang w:val="de-DE"/>
        </w:rPr>
        <w:t xml:space="preserve"> </w:t>
      </w:r>
      <w:proofErr w:type="spellStart"/>
      <w:r w:rsidRPr="00BF3A72">
        <w:rPr>
          <w:rFonts w:ascii="Times New Roman" w:hAnsi="Times New Roman" w:cs="Times New Roman"/>
          <w:lang w:val="de-DE"/>
        </w:rPr>
        <w:t>iepriekš</w:t>
      </w:r>
      <w:proofErr w:type="spellEnd"/>
      <w:r w:rsidRPr="00BF3A72">
        <w:rPr>
          <w:rFonts w:ascii="Times New Roman" w:hAnsi="Times New Roman" w:cs="Times New Roman"/>
          <w:lang w:val="de-DE"/>
        </w:rPr>
        <w:t xml:space="preserve"> </w:t>
      </w:r>
      <w:proofErr w:type="spellStart"/>
      <w:r w:rsidRPr="00BF3A72">
        <w:rPr>
          <w:rFonts w:ascii="Times New Roman" w:hAnsi="Times New Roman" w:cs="Times New Roman"/>
          <w:lang w:val="de-DE"/>
        </w:rPr>
        <w:t>minēto</w:t>
      </w:r>
      <w:proofErr w:type="spellEnd"/>
      <w:r w:rsidRPr="00BF3A72">
        <w:rPr>
          <w:rFonts w:ascii="Times New Roman" w:hAnsi="Times New Roman" w:cs="Times New Roman"/>
          <w:lang w:val="de-DE"/>
        </w:rPr>
        <w:t xml:space="preserve">, </w:t>
      </w:r>
      <w:proofErr w:type="spellStart"/>
      <w:r w:rsidRPr="00BF3A72">
        <w:rPr>
          <w:rFonts w:ascii="Times New Roman" w:hAnsi="Times New Roman" w:cs="Times New Roman"/>
          <w:lang w:val="de-DE"/>
        </w:rPr>
        <w:t>ir</w:t>
      </w:r>
      <w:proofErr w:type="spellEnd"/>
      <w:r w:rsidRPr="00BF3A72">
        <w:rPr>
          <w:rFonts w:ascii="Times New Roman" w:hAnsi="Times New Roman" w:cs="Times New Roman"/>
          <w:lang w:val="de-DE"/>
        </w:rPr>
        <w:t xml:space="preserve"> </w:t>
      </w:r>
      <w:proofErr w:type="spellStart"/>
      <w:r w:rsidRPr="00BF3A72">
        <w:rPr>
          <w:rFonts w:ascii="Times New Roman" w:hAnsi="Times New Roman" w:cs="Times New Roman"/>
          <w:lang w:val="de-DE"/>
        </w:rPr>
        <w:t>jāapskata</w:t>
      </w:r>
      <w:proofErr w:type="spellEnd"/>
      <w:r w:rsidRPr="00BF3A72">
        <w:rPr>
          <w:rFonts w:ascii="Times New Roman" w:hAnsi="Times New Roman" w:cs="Times New Roman"/>
          <w:lang w:val="de-DE"/>
        </w:rPr>
        <w:t xml:space="preserve"> </w:t>
      </w:r>
      <w:proofErr w:type="spellStart"/>
      <w:r w:rsidRPr="00BF3A72">
        <w:rPr>
          <w:rFonts w:ascii="Times New Roman" w:hAnsi="Times New Roman" w:cs="Times New Roman"/>
          <w:lang w:val="de-DE"/>
        </w:rPr>
        <w:t>atsevišķi</w:t>
      </w:r>
      <w:proofErr w:type="spellEnd"/>
      <w:r w:rsidRPr="00BF3A72">
        <w:rPr>
          <w:rFonts w:ascii="Times New Roman" w:hAnsi="Times New Roman" w:cs="Times New Roman"/>
          <w:lang w:val="de-DE"/>
        </w:rPr>
        <w:t xml:space="preserve"> </w:t>
      </w:r>
      <w:proofErr w:type="spellStart"/>
      <w:r w:rsidRPr="00BF3A72">
        <w:rPr>
          <w:rFonts w:ascii="Times New Roman" w:hAnsi="Times New Roman" w:cs="Times New Roman"/>
          <w:lang w:val="de-DE"/>
        </w:rPr>
        <w:t>ar</w:t>
      </w:r>
      <w:proofErr w:type="spellEnd"/>
      <w:r w:rsidRPr="00BF3A72">
        <w:rPr>
          <w:rFonts w:ascii="Times New Roman" w:hAnsi="Times New Roman" w:cs="Times New Roman"/>
          <w:lang w:val="de-DE"/>
        </w:rPr>
        <w:t xml:space="preserve"> </w:t>
      </w:r>
      <w:proofErr w:type="spellStart"/>
      <w:r w:rsidRPr="00BF3A72">
        <w:rPr>
          <w:rFonts w:ascii="Times New Roman" w:hAnsi="Times New Roman" w:cs="Times New Roman"/>
          <w:b/>
          <w:lang w:val="de-DE"/>
        </w:rPr>
        <w:t>terminoloģiju</w:t>
      </w:r>
      <w:proofErr w:type="spellEnd"/>
      <w:r w:rsidRPr="00BF3A72">
        <w:rPr>
          <w:rFonts w:ascii="Times New Roman" w:hAnsi="Times New Roman" w:cs="Times New Roman"/>
          <w:b/>
          <w:lang w:val="de-DE"/>
        </w:rPr>
        <w:t xml:space="preserve"> </w:t>
      </w:r>
      <w:proofErr w:type="spellStart"/>
      <w:r w:rsidRPr="00BF3A72">
        <w:rPr>
          <w:rFonts w:ascii="Times New Roman" w:hAnsi="Times New Roman" w:cs="Times New Roman"/>
          <w:lang w:val="de-DE"/>
        </w:rPr>
        <w:t>saistīti</w:t>
      </w:r>
      <w:proofErr w:type="spellEnd"/>
      <w:r w:rsidRPr="00BF3A72">
        <w:rPr>
          <w:rFonts w:ascii="Times New Roman" w:hAnsi="Times New Roman" w:cs="Times New Roman"/>
          <w:lang w:val="de-DE"/>
        </w:rPr>
        <w:t xml:space="preserve"> </w:t>
      </w:r>
      <w:proofErr w:type="spellStart"/>
      <w:r w:rsidRPr="00BF3A72">
        <w:rPr>
          <w:rFonts w:ascii="Times New Roman" w:hAnsi="Times New Roman" w:cs="Times New Roman"/>
          <w:lang w:val="de-DE"/>
        </w:rPr>
        <w:t>jautājumi</w:t>
      </w:r>
      <w:proofErr w:type="spellEnd"/>
      <w:r w:rsidRPr="00BF3A72">
        <w:rPr>
          <w:rFonts w:ascii="Times New Roman" w:hAnsi="Times New Roman" w:cs="Times New Roman"/>
          <w:lang w:val="de-DE"/>
        </w:rPr>
        <w:t>:</w:t>
      </w:r>
    </w:p>
    <w:p w14:paraId="5FDD7CA1" w14:textId="77777777" w:rsidR="00114953" w:rsidRPr="00BF3A72" w:rsidRDefault="00114953" w:rsidP="00114953">
      <w:pPr>
        <w:jc w:val="both"/>
        <w:rPr>
          <w:rFonts w:ascii="Times New Roman" w:hAnsi="Times New Roman" w:cs="Times New Roman"/>
          <w:lang w:val="de-DE"/>
        </w:rPr>
      </w:pPr>
    </w:p>
    <w:p w14:paraId="4F032832" w14:textId="77777777" w:rsidR="00114953" w:rsidRPr="00BF3A72" w:rsidRDefault="00114953" w:rsidP="00114953">
      <w:pPr>
        <w:ind w:firstLine="708"/>
        <w:jc w:val="both"/>
        <w:rPr>
          <w:rFonts w:ascii="Times New Roman" w:hAnsi="Times New Roman" w:cs="Times New Roman"/>
          <w:lang w:val="de-DE"/>
        </w:rPr>
      </w:pPr>
      <w:proofErr w:type="spellStart"/>
      <w:r w:rsidRPr="00BF3A72">
        <w:rPr>
          <w:rFonts w:ascii="Times New Roman" w:hAnsi="Times New Roman" w:cs="Times New Roman"/>
          <w:b/>
          <w:lang w:val="de-DE"/>
        </w:rPr>
        <w:t>Pilnvarojuma</w:t>
      </w:r>
      <w:proofErr w:type="spellEnd"/>
      <w:r w:rsidRPr="00BF3A72">
        <w:rPr>
          <w:rFonts w:ascii="Times New Roman" w:hAnsi="Times New Roman" w:cs="Times New Roman"/>
          <w:b/>
          <w:lang w:val="de-DE"/>
        </w:rPr>
        <w:t xml:space="preserve"> </w:t>
      </w:r>
      <w:proofErr w:type="spellStart"/>
      <w:r w:rsidRPr="00BF3A72">
        <w:rPr>
          <w:rFonts w:ascii="Times New Roman" w:hAnsi="Times New Roman" w:cs="Times New Roman"/>
          <w:b/>
          <w:lang w:val="de-DE"/>
        </w:rPr>
        <w:t>līgums</w:t>
      </w:r>
      <w:proofErr w:type="spellEnd"/>
      <w:r w:rsidRPr="00BF3A72">
        <w:rPr>
          <w:rFonts w:ascii="Times New Roman" w:hAnsi="Times New Roman" w:cs="Times New Roman"/>
          <w:b/>
          <w:lang w:val="de-DE"/>
        </w:rPr>
        <w:t>:</w:t>
      </w:r>
      <w:r w:rsidRPr="00BF3A72">
        <w:rPr>
          <w:rFonts w:ascii="Times New Roman" w:hAnsi="Times New Roman" w:cs="Times New Roman"/>
          <w:lang w:val="de-DE"/>
        </w:rPr>
        <w:t xml:space="preserve"> </w:t>
      </w:r>
      <w:proofErr w:type="spellStart"/>
      <w:r w:rsidRPr="00BF3A72">
        <w:rPr>
          <w:rFonts w:ascii="Times New Roman" w:hAnsi="Times New Roman" w:cs="Times New Roman"/>
          <w:lang w:val="de-DE"/>
        </w:rPr>
        <w:t>regulē</w:t>
      </w:r>
      <w:proofErr w:type="spellEnd"/>
      <w:r w:rsidRPr="00BF3A72">
        <w:rPr>
          <w:rFonts w:ascii="Times New Roman" w:hAnsi="Times New Roman" w:cs="Times New Roman"/>
          <w:lang w:val="de-DE"/>
        </w:rPr>
        <w:t xml:space="preserve"> </w:t>
      </w:r>
      <w:proofErr w:type="spellStart"/>
      <w:r w:rsidRPr="00BF3A72">
        <w:rPr>
          <w:rFonts w:ascii="Times New Roman" w:hAnsi="Times New Roman" w:cs="Times New Roman"/>
          <w:lang w:val="de-DE"/>
        </w:rPr>
        <w:t>pilnvarnieka</w:t>
      </w:r>
      <w:proofErr w:type="spellEnd"/>
      <w:r w:rsidRPr="00BF3A72">
        <w:rPr>
          <w:rFonts w:ascii="Times New Roman" w:hAnsi="Times New Roman" w:cs="Times New Roman"/>
          <w:lang w:val="de-DE"/>
        </w:rPr>
        <w:t xml:space="preserve"> (</w:t>
      </w:r>
      <w:proofErr w:type="spellStart"/>
      <w:r w:rsidRPr="00BF3A72">
        <w:rPr>
          <w:rFonts w:ascii="Times New Roman" w:hAnsi="Times New Roman" w:cs="Times New Roman"/>
          <w:lang w:val="de-DE"/>
        </w:rPr>
        <w:t>uzdevuma</w:t>
      </w:r>
      <w:proofErr w:type="spellEnd"/>
      <w:r w:rsidRPr="00BF3A72">
        <w:rPr>
          <w:rFonts w:ascii="Times New Roman" w:hAnsi="Times New Roman" w:cs="Times New Roman"/>
          <w:lang w:val="de-DE"/>
        </w:rPr>
        <w:t xml:space="preserve"> </w:t>
      </w:r>
      <w:proofErr w:type="spellStart"/>
      <w:r w:rsidRPr="00BF3A72">
        <w:rPr>
          <w:rFonts w:ascii="Times New Roman" w:hAnsi="Times New Roman" w:cs="Times New Roman"/>
          <w:lang w:val="de-DE"/>
        </w:rPr>
        <w:t>ņēmēja</w:t>
      </w:r>
      <w:proofErr w:type="spellEnd"/>
      <w:r w:rsidRPr="00BF3A72">
        <w:rPr>
          <w:rFonts w:ascii="Times New Roman" w:hAnsi="Times New Roman" w:cs="Times New Roman"/>
          <w:lang w:val="de-DE"/>
        </w:rPr>
        <w:t xml:space="preserve">) </w:t>
      </w:r>
      <w:proofErr w:type="spellStart"/>
      <w:r w:rsidRPr="00BF3A72">
        <w:rPr>
          <w:rFonts w:ascii="Times New Roman" w:hAnsi="Times New Roman" w:cs="Times New Roman"/>
          <w:lang w:val="de-DE"/>
        </w:rPr>
        <w:t>un</w:t>
      </w:r>
      <w:proofErr w:type="spellEnd"/>
      <w:r w:rsidRPr="00BF3A72">
        <w:rPr>
          <w:rFonts w:ascii="Times New Roman" w:hAnsi="Times New Roman" w:cs="Times New Roman"/>
          <w:lang w:val="de-DE"/>
        </w:rPr>
        <w:t xml:space="preserve"> </w:t>
      </w:r>
      <w:proofErr w:type="spellStart"/>
      <w:r w:rsidRPr="00BF3A72">
        <w:rPr>
          <w:rFonts w:ascii="Times New Roman" w:hAnsi="Times New Roman" w:cs="Times New Roman"/>
          <w:lang w:val="de-DE"/>
        </w:rPr>
        <w:t>pilnvarotāja</w:t>
      </w:r>
      <w:proofErr w:type="spellEnd"/>
      <w:r w:rsidRPr="00BF3A72">
        <w:rPr>
          <w:rFonts w:ascii="Times New Roman" w:hAnsi="Times New Roman" w:cs="Times New Roman"/>
          <w:lang w:val="de-DE"/>
        </w:rPr>
        <w:t xml:space="preserve"> (</w:t>
      </w:r>
      <w:proofErr w:type="spellStart"/>
      <w:r w:rsidRPr="00BF3A72">
        <w:rPr>
          <w:rFonts w:ascii="Times New Roman" w:hAnsi="Times New Roman" w:cs="Times New Roman"/>
          <w:lang w:val="de-DE"/>
        </w:rPr>
        <w:t>pilnvaras</w:t>
      </w:r>
      <w:proofErr w:type="spellEnd"/>
      <w:r w:rsidRPr="00BF3A72">
        <w:rPr>
          <w:rFonts w:ascii="Times New Roman" w:hAnsi="Times New Roman" w:cs="Times New Roman"/>
          <w:lang w:val="de-DE"/>
        </w:rPr>
        <w:t xml:space="preserve"> </w:t>
      </w:r>
      <w:proofErr w:type="spellStart"/>
      <w:r w:rsidRPr="00BF3A72">
        <w:rPr>
          <w:rFonts w:ascii="Times New Roman" w:hAnsi="Times New Roman" w:cs="Times New Roman"/>
          <w:lang w:val="de-DE"/>
        </w:rPr>
        <w:t>devēja</w:t>
      </w:r>
      <w:proofErr w:type="spellEnd"/>
      <w:r w:rsidRPr="00BF3A72">
        <w:rPr>
          <w:rFonts w:ascii="Times New Roman" w:hAnsi="Times New Roman" w:cs="Times New Roman"/>
          <w:lang w:val="de-DE"/>
        </w:rPr>
        <w:t xml:space="preserve">, </w:t>
      </w:r>
      <w:proofErr w:type="spellStart"/>
      <w:r w:rsidRPr="00BF3A72">
        <w:rPr>
          <w:rFonts w:ascii="Times New Roman" w:hAnsi="Times New Roman" w:cs="Times New Roman"/>
          <w:lang w:val="de-DE"/>
        </w:rPr>
        <w:t>uzdevuma</w:t>
      </w:r>
      <w:proofErr w:type="spellEnd"/>
      <w:r w:rsidRPr="00BF3A72">
        <w:rPr>
          <w:rFonts w:ascii="Times New Roman" w:hAnsi="Times New Roman" w:cs="Times New Roman"/>
          <w:lang w:val="de-DE"/>
        </w:rPr>
        <w:t xml:space="preserve"> </w:t>
      </w:r>
      <w:proofErr w:type="spellStart"/>
      <w:r w:rsidRPr="00BF3A72">
        <w:rPr>
          <w:rFonts w:ascii="Times New Roman" w:hAnsi="Times New Roman" w:cs="Times New Roman"/>
          <w:lang w:val="de-DE"/>
        </w:rPr>
        <w:t>devēja</w:t>
      </w:r>
      <w:proofErr w:type="spellEnd"/>
      <w:r w:rsidRPr="00BF3A72">
        <w:rPr>
          <w:rFonts w:ascii="Times New Roman" w:hAnsi="Times New Roman" w:cs="Times New Roman"/>
          <w:lang w:val="de-DE"/>
        </w:rPr>
        <w:t xml:space="preserve">) </w:t>
      </w:r>
      <w:proofErr w:type="spellStart"/>
      <w:r w:rsidRPr="00BF3A72">
        <w:rPr>
          <w:rFonts w:ascii="Times New Roman" w:hAnsi="Times New Roman" w:cs="Times New Roman"/>
          <w:u w:val="single"/>
          <w:lang w:val="de-DE"/>
        </w:rPr>
        <w:t>savstarpējās</w:t>
      </w:r>
      <w:proofErr w:type="spellEnd"/>
      <w:r w:rsidRPr="00BF3A72">
        <w:rPr>
          <w:rFonts w:ascii="Times New Roman" w:hAnsi="Times New Roman" w:cs="Times New Roman"/>
          <w:u w:val="single"/>
          <w:lang w:val="de-DE"/>
        </w:rPr>
        <w:t xml:space="preserve"> </w:t>
      </w:r>
      <w:proofErr w:type="spellStart"/>
      <w:r w:rsidRPr="00BF3A72">
        <w:rPr>
          <w:rFonts w:ascii="Times New Roman" w:hAnsi="Times New Roman" w:cs="Times New Roman"/>
          <w:u w:val="single"/>
          <w:lang w:val="de-DE"/>
        </w:rPr>
        <w:t>attiecības</w:t>
      </w:r>
      <w:proofErr w:type="spellEnd"/>
      <w:r w:rsidRPr="00BF3A72">
        <w:rPr>
          <w:rFonts w:ascii="Times New Roman" w:hAnsi="Times New Roman" w:cs="Times New Roman"/>
          <w:lang w:val="de-DE"/>
        </w:rPr>
        <w:t xml:space="preserve">, </w:t>
      </w:r>
      <w:proofErr w:type="spellStart"/>
      <w:r w:rsidRPr="00BF3A72">
        <w:rPr>
          <w:rFonts w:ascii="Times New Roman" w:hAnsi="Times New Roman" w:cs="Times New Roman"/>
          <w:lang w:val="de-DE"/>
        </w:rPr>
        <w:t>ietverot</w:t>
      </w:r>
      <w:proofErr w:type="spellEnd"/>
      <w:r w:rsidRPr="00BF3A72">
        <w:rPr>
          <w:rFonts w:ascii="Times New Roman" w:hAnsi="Times New Roman" w:cs="Times New Roman"/>
          <w:lang w:val="de-DE"/>
        </w:rPr>
        <w:t xml:space="preserve"> </w:t>
      </w:r>
      <w:proofErr w:type="spellStart"/>
      <w:r w:rsidRPr="00BF3A72">
        <w:rPr>
          <w:rFonts w:ascii="Times New Roman" w:hAnsi="Times New Roman" w:cs="Times New Roman"/>
          <w:lang w:val="de-DE"/>
        </w:rPr>
        <w:t>pilnvarnieka</w:t>
      </w:r>
      <w:proofErr w:type="spellEnd"/>
      <w:r w:rsidRPr="00BF3A72">
        <w:rPr>
          <w:rFonts w:ascii="Times New Roman" w:hAnsi="Times New Roman" w:cs="Times New Roman"/>
          <w:lang w:val="de-DE"/>
        </w:rPr>
        <w:t xml:space="preserve"> </w:t>
      </w:r>
      <w:proofErr w:type="spellStart"/>
      <w:r w:rsidRPr="00BF3A72">
        <w:rPr>
          <w:rFonts w:ascii="Times New Roman" w:hAnsi="Times New Roman" w:cs="Times New Roman"/>
          <w:lang w:val="de-DE"/>
        </w:rPr>
        <w:t>apņemšanos</w:t>
      </w:r>
      <w:proofErr w:type="spellEnd"/>
      <w:r w:rsidRPr="00BF3A72">
        <w:rPr>
          <w:rFonts w:ascii="Times New Roman" w:hAnsi="Times New Roman" w:cs="Times New Roman"/>
          <w:lang w:val="de-DE"/>
        </w:rPr>
        <w:t xml:space="preserve"> </w:t>
      </w:r>
      <w:proofErr w:type="spellStart"/>
      <w:r w:rsidRPr="00BF3A72">
        <w:rPr>
          <w:rFonts w:ascii="Times New Roman" w:hAnsi="Times New Roman" w:cs="Times New Roman"/>
          <w:lang w:val="de-DE"/>
        </w:rPr>
        <w:t>darboties</w:t>
      </w:r>
      <w:proofErr w:type="spellEnd"/>
      <w:r w:rsidRPr="00BF3A72">
        <w:rPr>
          <w:rFonts w:ascii="Times New Roman" w:hAnsi="Times New Roman" w:cs="Times New Roman"/>
          <w:lang w:val="de-DE"/>
        </w:rPr>
        <w:t xml:space="preserve"> </w:t>
      </w:r>
      <w:proofErr w:type="spellStart"/>
      <w:r w:rsidRPr="00BF3A72">
        <w:rPr>
          <w:rFonts w:ascii="Times New Roman" w:hAnsi="Times New Roman" w:cs="Times New Roman"/>
          <w:lang w:val="de-DE"/>
        </w:rPr>
        <w:t>attiecībā</w:t>
      </w:r>
      <w:proofErr w:type="spellEnd"/>
      <w:r w:rsidRPr="00BF3A72">
        <w:rPr>
          <w:rFonts w:ascii="Times New Roman" w:hAnsi="Times New Roman" w:cs="Times New Roman"/>
          <w:lang w:val="de-DE"/>
        </w:rPr>
        <w:t xml:space="preserve"> </w:t>
      </w:r>
      <w:proofErr w:type="spellStart"/>
      <w:r w:rsidRPr="00BF3A72">
        <w:rPr>
          <w:rFonts w:ascii="Times New Roman" w:hAnsi="Times New Roman" w:cs="Times New Roman"/>
          <w:lang w:val="de-DE"/>
        </w:rPr>
        <w:t>uz</w:t>
      </w:r>
      <w:proofErr w:type="spellEnd"/>
      <w:r w:rsidRPr="00BF3A72">
        <w:rPr>
          <w:rFonts w:ascii="Times New Roman" w:hAnsi="Times New Roman" w:cs="Times New Roman"/>
          <w:lang w:val="de-DE"/>
        </w:rPr>
        <w:t xml:space="preserve"> </w:t>
      </w:r>
      <w:proofErr w:type="spellStart"/>
      <w:r w:rsidRPr="00BF3A72">
        <w:rPr>
          <w:rFonts w:ascii="Times New Roman" w:hAnsi="Times New Roman" w:cs="Times New Roman"/>
          <w:lang w:val="de-DE"/>
        </w:rPr>
        <w:t>trešajām</w:t>
      </w:r>
      <w:proofErr w:type="spellEnd"/>
      <w:r w:rsidRPr="00BF3A72">
        <w:rPr>
          <w:rFonts w:ascii="Times New Roman" w:hAnsi="Times New Roman" w:cs="Times New Roman"/>
          <w:lang w:val="de-DE"/>
        </w:rPr>
        <w:t xml:space="preserve"> </w:t>
      </w:r>
      <w:proofErr w:type="spellStart"/>
      <w:r w:rsidRPr="00BF3A72">
        <w:rPr>
          <w:rFonts w:ascii="Times New Roman" w:hAnsi="Times New Roman" w:cs="Times New Roman"/>
          <w:lang w:val="de-DE"/>
        </w:rPr>
        <w:t>personām</w:t>
      </w:r>
      <w:proofErr w:type="spellEnd"/>
      <w:r w:rsidRPr="00BF3A72">
        <w:rPr>
          <w:rFonts w:ascii="Times New Roman" w:hAnsi="Times New Roman" w:cs="Times New Roman"/>
          <w:lang w:val="de-DE"/>
        </w:rPr>
        <w:t>.</w:t>
      </w:r>
      <w:r w:rsidRPr="00BF3A72">
        <w:rPr>
          <w:rStyle w:val="FootnoteReference"/>
          <w:rFonts w:ascii="Times New Roman" w:hAnsi="Times New Roman" w:cs="Times New Roman"/>
          <w:lang w:val="de-DE"/>
        </w:rPr>
        <w:footnoteReference w:id="16"/>
      </w:r>
      <w:r w:rsidRPr="00BF3A72">
        <w:rPr>
          <w:rFonts w:ascii="Times New Roman" w:hAnsi="Times New Roman" w:cs="Times New Roman"/>
          <w:lang w:val="de-DE"/>
        </w:rPr>
        <w:t xml:space="preserve"> </w:t>
      </w:r>
      <w:proofErr w:type="spellStart"/>
      <w:r w:rsidRPr="00BF3A72">
        <w:rPr>
          <w:rFonts w:ascii="Times New Roman" w:hAnsi="Times New Roman" w:cs="Times New Roman"/>
          <w:lang w:val="de-DE"/>
        </w:rPr>
        <w:t>Pilnvarojuma</w:t>
      </w:r>
      <w:proofErr w:type="spellEnd"/>
      <w:r w:rsidRPr="00BF3A72">
        <w:rPr>
          <w:rFonts w:ascii="Times New Roman" w:hAnsi="Times New Roman" w:cs="Times New Roman"/>
          <w:lang w:val="de-DE"/>
        </w:rPr>
        <w:t xml:space="preserve"> </w:t>
      </w:r>
      <w:proofErr w:type="spellStart"/>
      <w:r w:rsidRPr="00BF3A72">
        <w:rPr>
          <w:rFonts w:ascii="Times New Roman" w:hAnsi="Times New Roman" w:cs="Times New Roman"/>
          <w:lang w:val="de-DE"/>
        </w:rPr>
        <w:t>līgums</w:t>
      </w:r>
      <w:proofErr w:type="spellEnd"/>
      <w:r w:rsidRPr="00BF3A72">
        <w:rPr>
          <w:rFonts w:ascii="Times New Roman" w:hAnsi="Times New Roman" w:cs="Times New Roman"/>
          <w:lang w:val="de-DE"/>
        </w:rPr>
        <w:t xml:space="preserve"> </w:t>
      </w:r>
      <w:proofErr w:type="spellStart"/>
      <w:r w:rsidRPr="00BF3A72">
        <w:rPr>
          <w:rFonts w:ascii="Times New Roman" w:hAnsi="Times New Roman" w:cs="Times New Roman"/>
          <w:lang w:val="de-DE"/>
        </w:rPr>
        <w:t>ir</w:t>
      </w:r>
      <w:proofErr w:type="spellEnd"/>
      <w:r w:rsidRPr="00BF3A72">
        <w:rPr>
          <w:rFonts w:ascii="Times New Roman" w:hAnsi="Times New Roman" w:cs="Times New Roman"/>
          <w:lang w:val="de-DE"/>
        </w:rPr>
        <w:t xml:space="preserve"> </w:t>
      </w:r>
      <w:proofErr w:type="spellStart"/>
      <w:r w:rsidRPr="00BF3A72">
        <w:rPr>
          <w:rFonts w:ascii="Times New Roman" w:hAnsi="Times New Roman" w:cs="Times New Roman"/>
          <w:lang w:val="de-DE"/>
        </w:rPr>
        <w:t>konsensuāls</w:t>
      </w:r>
      <w:proofErr w:type="spellEnd"/>
      <w:r w:rsidRPr="00BF3A72">
        <w:rPr>
          <w:rFonts w:ascii="Times New Roman" w:hAnsi="Times New Roman" w:cs="Times New Roman"/>
          <w:lang w:val="de-DE"/>
        </w:rPr>
        <w:t xml:space="preserve"> </w:t>
      </w:r>
      <w:proofErr w:type="spellStart"/>
      <w:r w:rsidRPr="00BF3A72">
        <w:rPr>
          <w:rFonts w:ascii="Times New Roman" w:hAnsi="Times New Roman" w:cs="Times New Roman"/>
          <w:lang w:val="de-DE"/>
        </w:rPr>
        <w:t>līgums</w:t>
      </w:r>
      <w:proofErr w:type="spellEnd"/>
      <w:r w:rsidRPr="00BF3A72">
        <w:rPr>
          <w:rFonts w:ascii="Times New Roman" w:hAnsi="Times New Roman" w:cs="Times New Roman"/>
          <w:lang w:val="de-DE"/>
        </w:rPr>
        <w:t xml:space="preserve"> </w:t>
      </w:r>
      <w:proofErr w:type="spellStart"/>
      <w:r w:rsidRPr="00BF3A72">
        <w:rPr>
          <w:rFonts w:ascii="Times New Roman" w:hAnsi="Times New Roman" w:cs="Times New Roman"/>
          <w:lang w:val="de-DE"/>
        </w:rPr>
        <w:t>un</w:t>
      </w:r>
      <w:proofErr w:type="spellEnd"/>
      <w:r w:rsidRPr="00BF3A72">
        <w:rPr>
          <w:rFonts w:ascii="Times New Roman" w:hAnsi="Times New Roman" w:cs="Times New Roman"/>
          <w:lang w:val="de-DE"/>
        </w:rPr>
        <w:t xml:space="preserve"> </w:t>
      </w:r>
      <w:proofErr w:type="spellStart"/>
      <w:r w:rsidRPr="00BF3A72">
        <w:rPr>
          <w:rFonts w:ascii="Times New Roman" w:hAnsi="Times New Roman" w:cs="Times New Roman"/>
          <w:lang w:val="de-DE"/>
        </w:rPr>
        <w:t>sevišķas</w:t>
      </w:r>
      <w:proofErr w:type="spellEnd"/>
      <w:r w:rsidRPr="00BF3A72">
        <w:rPr>
          <w:rFonts w:ascii="Times New Roman" w:hAnsi="Times New Roman" w:cs="Times New Roman"/>
          <w:lang w:val="de-DE"/>
        </w:rPr>
        <w:t xml:space="preserve"> </w:t>
      </w:r>
      <w:proofErr w:type="spellStart"/>
      <w:r w:rsidRPr="00BF3A72">
        <w:rPr>
          <w:rFonts w:ascii="Times New Roman" w:hAnsi="Times New Roman" w:cs="Times New Roman"/>
          <w:lang w:val="de-DE"/>
        </w:rPr>
        <w:t>uzticības</w:t>
      </w:r>
      <w:proofErr w:type="spellEnd"/>
      <w:r w:rsidRPr="00BF3A72">
        <w:rPr>
          <w:rFonts w:ascii="Times New Roman" w:hAnsi="Times New Roman" w:cs="Times New Roman"/>
          <w:lang w:val="de-DE"/>
        </w:rPr>
        <w:t xml:space="preserve"> </w:t>
      </w:r>
      <w:proofErr w:type="spellStart"/>
      <w:r w:rsidRPr="00BF3A72">
        <w:rPr>
          <w:rFonts w:ascii="Times New Roman" w:hAnsi="Times New Roman" w:cs="Times New Roman"/>
          <w:lang w:val="de-DE"/>
        </w:rPr>
        <w:t>līgums</w:t>
      </w:r>
      <w:proofErr w:type="spellEnd"/>
      <w:r w:rsidRPr="00BF3A72">
        <w:rPr>
          <w:rFonts w:ascii="Times New Roman" w:hAnsi="Times New Roman" w:cs="Times New Roman"/>
          <w:lang w:val="de-DE"/>
        </w:rPr>
        <w:t>.</w:t>
      </w:r>
      <w:r w:rsidRPr="00BF3A72">
        <w:rPr>
          <w:rStyle w:val="FootnoteReference"/>
          <w:rFonts w:ascii="Times New Roman" w:hAnsi="Times New Roman" w:cs="Times New Roman"/>
          <w:lang w:val="de-DE"/>
        </w:rPr>
        <w:footnoteReference w:id="17"/>
      </w:r>
      <w:r w:rsidRPr="00BF3A72">
        <w:rPr>
          <w:rFonts w:ascii="Times New Roman" w:hAnsi="Times New Roman" w:cs="Times New Roman"/>
          <w:lang w:val="de-DE"/>
        </w:rPr>
        <w:t xml:space="preserve"> </w:t>
      </w:r>
    </w:p>
    <w:p w14:paraId="4729DBBB" w14:textId="77777777" w:rsidR="00114953" w:rsidRPr="00BF3A72" w:rsidRDefault="00114953" w:rsidP="00114953">
      <w:pPr>
        <w:ind w:firstLine="708"/>
        <w:jc w:val="both"/>
        <w:rPr>
          <w:rFonts w:ascii="Times New Roman" w:hAnsi="Times New Roman" w:cs="Times New Roman"/>
          <w:lang w:val="de-DE"/>
        </w:rPr>
      </w:pPr>
      <w:r w:rsidRPr="00BF3A72">
        <w:rPr>
          <w:rFonts w:ascii="Times New Roman" w:hAnsi="Times New Roman" w:cs="Times New Roman"/>
          <w:lang w:val="de-DE"/>
        </w:rPr>
        <w:t xml:space="preserve">Ja </w:t>
      </w:r>
      <w:proofErr w:type="spellStart"/>
      <w:r w:rsidRPr="00BF3A72">
        <w:rPr>
          <w:rFonts w:ascii="Times New Roman" w:hAnsi="Times New Roman" w:cs="Times New Roman"/>
          <w:lang w:val="de-DE"/>
        </w:rPr>
        <w:t>puses</w:t>
      </w:r>
      <w:proofErr w:type="spellEnd"/>
      <w:r w:rsidRPr="00BF3A72">
        <w:rPr>
          <w:rFonts w:ascii="Times New Roman" w:hAnsi="Times New Roman" w:cs="Times New Roman"/>
          <w:lang w:val="de-DE"/>
        </w:rPr>
        <w:t xml:space="preserve"> </w:t>
      </w:r>
      <w:proofErr w:type="spellStart"/>
      <w:r w:rsidRPr="00BF3A72">
        <w:rPr>
          <w:rFonts w:ascii="Times New Roman" w:hAnsi="Times New Roman" w:cs="Times New Roman"/>
          <w:lang w:val="de-DE"/>
        </w:rPr>
        <w:t>nav</w:t>
      </w:r>
      <w:proofErr w:type="spellEnd"/>
      <w:r w:rsidRPr="00BF3A72">
        <w:rPr>
          <w:rFonts w:ascii="Times New Roman" w:hAnsi="Times New Roman" w:cs="Times New Roman"/>
          <w:lang w:val="de-DE"/>
        </w:rPr>
        <w:t xml:space="preserve"> </w:t>
      </w:r>
      <w:proofErr w:type="spellStart"/>
      <w:r w:rsidRPr="00BF3A72">
        <w:rPr>
          <w:rFonts w:ascii="Times New Roman" w:hAnsi="Times New Roman" w:cs="Times New Roman"/>
          <w:lang w:val="de-DE"/>
        </w:rPr>
        <w:t>vienojušās</w:t>
      </w:r>
      <w:proofErr w:type="spellEnd"/>
      <w:r w:rsidRPr="00BF3A72">
        <w:rPr>
          <w:rFonts w:ascii="Times New Roman" w:hAnsi="Times New Roman" w:cs="Times New Roman"/>
          <w:lang w:val="de-DE"/>
        </w:rPr>
        <w:t xml:space="preserve"> par </w:t>
      </w:r>
      <w:proofErr w:type="spellStart"/>
      <w:r w:rsidRPr="00BF3A72">
        <w:rPr>
          <w:rFonts w:ascii="Times New Roman" w:hAnsi="Times New Roman" w:cs="Times New Roman"/>
          <w:lang w:val="de-DE"/>
        </w:rPr>
        <w:t>atlīdzību</w:t>
      </w:r>
      <w:proofErr w:type="spellEnd"/>
      <w:r w:rsidRPr="00BF3A72">
        <w:rPr>
          <w:rFonts w:ascii="Times New Roman" w:hAnsi="Times New Roman" w:cs="Times New Roman"/>
          <w:lang w:val="de-DE"/>
        </w:rPr>
        <w:t xml:space="preserve">, </w:t>
      </w:r>
      <w:proofErr w:type="spellStart"/>
      <w:r w:rsidRPr="00BF3A72">
        <w:rPr>
          <w:rFonts w:ascii="Times New Roman" w:hAnsi="Times New Roman" w:cs="Times New Roman"/>
          <w:lang w:val="de-DE"/>
        </w:rPr>
        <w:t>tad</w:t>
      </w:r>
      <w:proofErr w:type="spellEnd"/>
      <w:r w:rsidRPr="00BF3A72">
        <w:rPr>
          <w:rFonts w:ascii="Times New Roman" w:hAnsi="Times New Roman" w:cs="Times New Roman"/>
          <w:lang w:val="de-DE"/>
        </w:rPr>
        <w:t xml:space="preserve"> </w:t>
      </w:r>
      <w:proofErr w:type="spellStart"/>
      <w:r w:rsidRPr="00BF3A72">
        <w:rPr>
          <w:rFonts w:ascii="Times New Roman" w:hAnsi="Times New Roman" w:cs="Times New Roman"/>
          <w:lang w:val="de-DE"/>
        </w:rPr>
        <w:t>pilnvarojuma</w:t>
      </w:r>
      <w:proofErr w:type="spellEnd"/>
      <w:r w:rsidRPr="00BF3A72">
        <w:rPr>
          <w:rFonts w:ascii="Times New Roman" w:hAnsi="Times New Roman" w:cs="Times New Roman"/>
          <w:lang w:val="de-DE"/>
        </w:rPr>
        <w:t xml:space="preserve"> </w:t>
      </w:r>
      <w:proofErr w:type="spellStart"/>
      <w:r w:rsidRPr="00BF3A72">
        <w:rPr>
          <w:rFonts w:ascii="Times New Roman" w:hAnsi="Times New Roman" w:cs="Times New Roman"/>
          <w:lang w:val="de-DE"/>
        </w:rPr>
        <w:t>līgums</w:t>
      </w:r>
      <w:proofErr w:type="spellEnd"/>
      <w:r w:rsidRPr="00BF3A72">
        <w:rPr>
          <w:rFonts w:ascii="Times New Roman" w:hAnsi="Times New Roman" w:cs="Times New Roman"/>
          <w:lang w:val="de-DE"/>
        </w:rPr>
        <w:t xml:space="preserve"> </w:t>
      </w:r>
      <w:proofErr w:type="spellStart"/>
      <w:r w:rsidRPr="00BF3A72">
        <w:rPr>
          <w:rFonts w:ascii="Times New Roman" w:hAnsi="Times New Roman" w:cs="Times New Roman"/>
          <w:lang w:val="de-DE"/>
        </w:rPr>
        <w:t>ir</w:t>
      </w:r>
      <w:proofErr w:type="spellEnd"/>
      <w:r w:rsidRPr="00BF3A72">
        <w:rPr>
          <w:rFonts w:ascii="Times New Roman" w:hAnsi="Times New Roman" w:cs="Times New Roman"/>
          <w:lang w:val="de-DE"/>
        </w:rPr>
        <w:t xml:space="preserve"> </w:t>
      </w:r>
      <w:proofErr w:type="spellStart"/>
      <w:r w:rsidRPr="00BF3A72">
        <w:rPr>
          <w:rFonts w:ascii="Times New Roman" w:hAnsi="Times New Roman" w:cs="Times New Roman"/>
          <w:lang w:val="de-DE"/>
        </w:rPr>
        <w:t>bezatlīdzības</w:t>
      </w:r>
      <w:proofErr w:type="spellEnd"/>
      <w:r w:rsidRPr="00BF3A72">
        <w:rPr>
          <w:rFonts w:ascii="Times New Roman" w:hAnsi="Times New Roman" w:cs="Times New Roman"/>
          <w:lang w:val="de-DE"/>
        </w:rPr>
        <w:t xml:space="preserve"> </w:t>
      </w:r>
      <w:proofErr w:type="spellStart"/>
      <w:r w:rsidRPr="00BF3A72">
        <w:rPr>
          <w:rFonts w:ascii="Times New Roman" w:hAnsi="Times New Roman" w:cs="Times New Roman"/>
          <w:lang w:val="de-DE"/>
        </w:rPr>
        <w:t>līgums</w:t>
      </w:r>
      <w:proofErr w:type="spellEnd"/>
      <w:r w:rsidRPr="00BF3A72">
        <w:rPr>
          <w:rFonts w:ascii="Times New Roman" w:hAnsi="Times New Roman" w:cs="Times New Roman"/>
          <w:lang w:val="de-DE"/>
        </w:rPr>
        <w:t xml:space="preserve"> </w:t>
      </w:r>
      <w:proofErr w:type="spellStart"/>
      <w:r w:rsidRPr="00BF3A72">
        <w:rPr>
          <w:rFonts w:ascii="Times New Roman" w:hAnsi="Times New Roman" w:cs="Times New Roman"/>
          <w:lang w:val="de-DE"/>
        </w:rPr>
        <w:t>un</w:t>
      </w:r>
      <w:proofErr w:type="spellEnd"/>
      <w:r w:rsidRPr="00BF3A72">
        <w:rPr>
          <w:rFonts w:ascii="Times New Roman" w:hAnsi="Times New Roman" w:cs="Times New Roman"/>
          <w:lang w:val="de-DE"/>
        </w:rPr>
        <w:t xml:space="preserve"> </w:t>
      </w:r>
      <w:proofErr w:type="spellStart"/>
      <w:r w:rsidRPr="00BF3A72">
        <w:rPr>
          <w:rFonts w:ascii="Times New Roman" w:hAnsi="Times New Roman" w:cs="Times New Roman"/>
          <w:lang w:val="de-DE"/>
        </w:rPr>
        <w:t>līdz</w:t>
      </w:r>
      <w:proofErr w:type="spellEnd"/>
      <w:r w:rsidRPr="00BF3A72">
        <w:rPr>
          <w:rFonts w:ascii="Times New Roman" w:hAnsi="Times New Roman" w:cs="Times New Roman"/>
          <w:lang w:val="de-DE"/>
        </w:rPr>
        <w:t xml:space="preserve"> </w:t>
      </w:r>
      <w:proofErr w:type="spellStart"/>
      <w:r w:rsidRPr="00BF3A72">
        <w:rPr>
          <w:rFonts w:ascii="Times New Roman" w:hAnsi="Times New Roman" w:cs="Times New Roman"/>
          <w:lang w:val="de-DE"/>
        </w:rPr>
        <w:t>ar</w:t>
      </w:r>
      <w:proofErr w:type="spellEnd"/>
      <w:r w:rsidRPr="00BF3A72">
        <w:rPr>
          <w:rFonts w:ascii="Times New Roman" w:hAnsi="Times New Roman" w:cs="Times New Roman"/>
          <w:lang w:val="de-DE"/>
        </w:rPr>
        <w:t xml:space="preserve"> </w:t>
      </w:r>
      <w:proofErr w:type="spellStart"/>
      <w:r w:rsidRPr="00BF3A72">
        <w:rPr>
          <w:rFonts w:ascii="Times New Roman" w:hAnsi="Times New Roman" w:cs="Times New Roman"/>
          <w:lang w:val="de-DE"/>
        </w:rPr>
        <w:t>to</w:t>
      </w:r>
      <w:proofErr w:type="spellEnd"/>
      <w:r w:rsidRPr="00BF3A72">
        <w:rPr>
          <w:rFonts w:ascii="Times New Roman" w:hAnsi="Times New Roman" w:cs="Times New Roman"/>
          <w:lang w:val="de-DE"/>
        </w:rPr>
        <w:t xml:space="preserve"> </w:t>
      </w:r>
      <w:proofErr w:type="spellStart"/>
      <w:r w:rsidRPr="00BF3A72">
        <w:rPr>
          <w:rFonts w:ascii="Times New Roman" w:hAnsi="Times New Roman" w:cs="Times New Roman"/>
          <w:lang w:val="de-DE"/>
        </w:rPr>
        <w:t>vienpusējs</w:t>
      </w:r>
      <w:proofErr w:type="spellEnd"/>
      <w:r w:rsidRPr="00BF3A72">
        <w:rPr>
          <w:rFonts w:ascii="Times New Roman" w:hAnsi="Times New Roman" w:cs="Times New Roman"/>
          <w:lang w:val="de-DE"/>
        </w:rPr>
        <w:t xml:space="preserve"> </w:t>
      </w:r>
      <w:proofErr w:type="spellStart"/>
      <w:r w:rsidRPr="00BF3A72">
        <w:rPr>
          <w:rFonts w:ascii="Times New Roman" w:hAnsi="Times New Roman" w:cs="Times New Roman"/>
          <w:lang w:val="de-DE"/>
        </w:rPr>
        <w:t>līgums</w:t>
      </w:r>
      <w:proofErr w:type="spellEnd"/>
      <w:r w:rsidRPr="00BF3A72">
        <w:rPr>
          <w:rFonts w:ascii="Times New Roman" w:hAnsi="Times New Roman" w:cs="Times New Roman"/>
          <w:lang w:val="de-DE"/>
        </w:rPr>
        <w:t xml:space="preserve">. </w:t>
      </w:r>
      <w:proofErr w:type="spellStart"/>
      <w:r w:rsidRPr="00BF3A72">
        <w:rPr>
          <w:rFonts w:ascii="Times New Roman" w:hAnsi="Times New Roman" w:cs="Times New Roman"/>
          <w:lang w:val="de-DE"/>
        </w:rPr>
        <w:t>Savukārt</w:t>
      </w:r>
      <w:proofErr w:type="spellEnd"/>
      <w:r w:rsidRPr="00BF3A72">
        <w:rPr>
          <w:rFonts w:ascii="Times New Roman" w:hAnsi="Times New Roman" w:cs="Times New Roman"/>
          <w:lang w:val="de-DE"/>
        </w:rPr>
        <w:t xml:space="preserve">, ja </w:t>
      </w:r>
      <w:proofErr w:type="spellStart"/>
      <w:r w:rsidRPr="00BF3A72">
        <w:rPr>
          <w:rFonts w:ascii="Times New Roman" w:hAnsi="Times New Roman" w:cs="Times New Roman"/>
          <w:lang w:val="de-DE"/>
        </w:rPr>
        <w:t>ir</w:t>
      </w:r>
      <w:proofErr w:type="spellEnd"/>
      <w:r w:rsidRPr="00BF3A72">
        <w:rPr>
          <w:rFonts w:ascii="Times New Roman" w:hAnsi="Times New Roman" w:cs="Times New Roman"/>
          <w:lang w:val="de-DE"/>
        </w:rPr>
        <w:t xml:space="preserve"> </w:t>
      </w:r>
      <w:proofErr w:type="spellStart"/>
      <w:r w:rsidRPr="00BF3A72">
        <w:rPr>
          <w:rFonts w:ascii="Times New Roman" w:hAnsi="Times New Roman" w:cs="Times New Roman"/>
          <w:lang w:val="de-DE"/>
        </w:rPr>
        <w:t>paredzēta</w:t>
      </w:r>
      <w:proofErr w:type="spellEnd"/>
      <w:r w:rsidRPr="00BF3A72">
        <w:rPr>
          <w:rFonts w:ascii="Times New Roman" w:hAnsi="Times New Roman" w:cs="Times New Roman"/>
          <w:lang w:val="de-DE"/>
        </w:rPr>
        <w:t xml:space="preserve"> </w:t>
      </w:r>
      <w:proofErr w:type="spellStart"/>
      <w:r w:rsidRPr="00BF3A72">
        <w:rPr>
          <w:rFonts w:ascii="Times New Roman" w:hAnsi="Times New Roman" w:cs="Times New Roman"/>
          <w:lang w:val="de-DE"/>
        </w:rPr>
        <w:t>atlīdzība</w:t>
      </w:r>
      <w:proofErr w:type="spellEnd"/>
      <w:r w:rsidRPr="00BF3A72">
        <w:rPr>
          <w:rFonts w:ascii="Times New Roman" w:hAnsi="Times New Roman" w:cs="Times New Roman"/>
          <w:lang w:val="de-DE"/>
        </w:rPr>
        <w:t xml:space="preserve">, </w:t>
      </w:r>
      <w:proofErr w:type="spellStart"/>
      <w:r w:rsidRPr="00BF3A72">
        <w:rPr>
          <w:rFonts w:ascii="Times New Roman" w:hAnsi="Times New Roman" w:cs="Times New Roman"/>
          <w:lang w:val="de-DE"/>
        </w:rPr>
        <w:t>tad</w:t>
      </w:r>
      <w:proofErr w:type="spellEnd"/>
      <w:r w:rsidRPr="00BF3A72">
        <w:rPr>
          <w:rFonts w:ascii="Times New Roman" w:hAnsi="Times New Roman" w:cs="Times New Roman"/>
          <w:lang w:val="de-DE"/>
        </w:rPr>
        <w:t xml:space="preserve"> </w:t>
      </w:r>
      <w:proofErr w:type="spellStart"/>
      <w:r w:rsidRPr="00BF3A72">
        <w:rPr>
          <w:rFonts w:ascii="Times New Roman" w:hAnsi="Times New Roman" w:cs="Times New Roman"/>
          <w:lang w:val="de-DE"/>
        </w:rPr>
        <w:t>šāds</w:t>
      </w:r>
      <w:proofErr w:type="spellEnd"/>
      <w:r w:rsidRPr="00BF3A72">
        <w:rPr>
          <w:rFonts w:ascii="Times New Roman" w:hAnsi="Times New Roman" w:cs="Times New Roman"/>
          <w:lang w:val="de-DE"/>
        </w:rPr>
        <w:t xml:space="preserve"> </w:t>
      </w:r>
      <w:proofErr w:type="spellStart"/>
      <w:r w:rsidRPr="00BF3A72">
        <w:rPr>
          <w:rFonts w:ascii="Times New Roman" w:hAnsi="Times New Roman" w:cs="Times New Roman"/>
          <w:lang w:val="de-DE"/>
        </w:rPr>
        <w:t>pilnvarojuma</w:t>
      </w:r>
      <w:proofErr w:type="spellEnd"/>
      <w:r w:rsidRPr="00BF3A72">
        <w:rPr>
          <w:rFonts w:ascii="Times New Roman" w:hAnsi="Times New Roman" w:cs="Times New Roman"/>
          <w:lang w:val="de-DE"/>
        </w:rPr>
        <w:t xml:space="preserve"> </w:t>
      </w:r>
      <w:proofErr w:type="spellStart"/>
      <w:r w:rsidRPr="00BF3A72">
        <w:rPr>
          <w:rFonts w:ascii="Times New Roman" w:hAnsi="Times New Roman" w:cs="Times New Roman"/>
          <w:lang w:val="de-DE"/>
        </w:rPr>
        <w:t>līgums</w:t>
      </w:r>
      <w:proofErr w:type="spellEnd"/>
      <w:r w:rsidRPr="00BF3A72">
        <w:rPr>
          <w:rFonts w:ascii="Times New Roman" w:hAnsi="Times New Roman" w:cs="Times New Roman"/>
          <w:lang w:val="de-DE"/>
        </w:rPr>
        <w:t xml:space="preserve"> </w:t>
      </w:r>
      <w:proofErr w:type="spellStart"/>
      <w:r w:rsidRPr="00BF3A72">
        <w:rPr>
          <w:rFonts w:ascii="Times New Roman" w:hAnsi="Times New Roman" w:cs="Times New Roman"/>
          <w:lang w:val="de-DE"/>
        </w:rPr>
        <w:t>ir</w:t>
      </w:r>
      <w:proofErr w:type="spellEnd"/>
      <w:r w:rsidRPr="00BF3A72">
        <w:rPr>
          <w:rFonts w:ascii="Times New Roman" w:hAnsi="Times New Roman" w:cs="Times New Roman"/>
          <w:lang w:val="de-DE"/>
        </w:rPr>
        <w:t xml:space="preserve"> </w:t>
      </w:r>
      <w:proofErr w:type="spellStart"/>
      <w:r w:rsidRPr="00BF3A72">
        <w:rPr>
          <w:rFonts w:ascii="Times New Roman" w:hAnsi="Times New Roman" w:cs="Times New Roman"/>
          <w:lang w:val="de-DE"/>
        </w:rPr>
        <w:t>divpusējs</w:t>
      </w:r>
      <w:proofErr w:type="spellEnd"/>
      <w:r w:rsidRPr="00BF3A72">
        <w:rPr>
          <w:rFonts w:ascii="Times New Roman" w:hAnsi="Times New Roman" w:cs="Times New Roman"/>
          <w:lang w:val="de-DE"/>
        </w:rPr>
        <w:t>.</w:t>
      </w:r>
      <w:r w:rsidRPr="00BF3A72">
        <w:rPr>
          <w:rStyle w:val="FootnoteReference"/>
          <w:rFonts w:ascii="Times New Roman" w:hAnsi="Times New Roman" w:cs="Times New Roman"/>
          <w:lang w:val="de-DE"/>
        </w:rPr>
        <w:footnoteReference w:id="18"/>
      </w:r>
    </w:p>
    <w:p w14:paraId="2BDF7F69" w14:textId="77777777" w:rsidR="00114953" w:rsidRDefault="00114953" w:rsidP="00114953">
      <w:pPr>
        <w:jc w:val="both"/>
        <w:rPr>
          <w:rFonts w:ascii="Times New Roman" w:hAnsi="Times New Roman" w:cs="Times New Roman"/>
          <w:color w:val="FF0000"/>
          <w:lang w:val="de-DE"/>
        </w:rPr>
      </w:pPr>
    </w:p>
    <w:p w14:paraId="382796E4" w14:textId="77777777" w:rsidR="00114953" w:rsidRPr="00BF3A72" w:rsidRDefault="00114953" w:rsidP="00114953">
      <w:pPr>
        <w:ind w:firstLine="708"/>
        <w:jc w:val="both"/>
        <w:rPr>
          <w:rFonts w:ascii="Times New Roman" w:hAnsi="Times New Roman" w:cs="Times New Roman"/>
          <w:lang w:val="de-DE"/>
        </w:rPr>
      </w:pPr>
      <w:proofErr w:type="spellStart"/>
      <w:r w:rsidRPr="00BF3A72">
        <w:rPr>
          <w:rFonts w:ascii="Times New Roman" w:hAnsi="Times New Roman" w:cs="Times New Roman"/>
          <w:b/>
          <w:lang w:val="de-DE"/>
        </w:rPr>
        <w:t>Pilnvarojums</w:t>
      </w:r>
      <w:proofErr w:type="spellEnd"/>
      <w:r w:rsidRPr="00BF3A72">
        <w:rPr>
          <w:rFonts w:ascii="Times New Roman" w:hAnsi="Times New Roman" w:cs="Times New Roman"/>
          <w:b/>
          <w:lang w:val="de-DE"/>
        </w:rPr>
        <w:t xml:space="preserve"> (</w:t>
      </w:r>
      <w:proofErr w:type="spellStart"/>
      <w:r w:rsidRPr="00BF3A72">
        <w:rPr>
          <w:rFonts w:ascii="Times New Roman" w:hAnsi="Times New Roman" w:cs="Times New Roman"/>
          <w:b/>
          <w:lang w:val="de-DE"/>
        </w:rPr>
        <w:t>pilnvaras</w:t>
      </w:r>
      <w:proofErr w:type="spellEnd"/>
      <w:r w:rsidRPr="00BF3A72">
        <w:rPr>
          <w:rFonts w:ascii="Times New Roman" w:hAnsi="Times New Roman" w:cs="Times New Roman"/>
          <w:b/>
          <w:lang w:val="de-DE"/>
        </w:rPr>
        <w:t xml:space="preserve">, </w:t>
      </w:r>
      <w:proofErr w:type="spellStart"/>
      <w:r w:rsidRPr="00BF3A72">
        <w:rPr>
          <w:rFonts w:ascii="Times New Roman" w:hAnsi="Times New Roman" w:cs="Times New Roman"/>
          <w:b/>
          <w:lang w:val="de-DE"/>
        </w:rPr>
        <w:t>pārstāvības</w:t>
      </w:r>
      <w:proofErr w:type="spellEnd"/>
      <w:r w:rsidRPr="00BF3A72">
        <w:rPr>
          <w:rFonts w:ascii="Times New Roman" w:hAnsi="Times New Roman" w:cs="Times New Roman"/>
          <w:b/>
          <w:lang w:val="de-DE"/>
        </w:rPr>
        <w:t xml:space="preserve"> </w:t>
      </w:r>
      <w:proofErr w:type="spellStart"/>
      <w:r w:rsidRPr="00BF3A72">
        <w:rPr>
          <w:rFonts w:ascii="Times New Roman" w:hAnsi="Times New Roman" w:cs="Times New Roman"/>
          <w:b/>
          <w:lang w:val="de-DE"/>
        </w:rPr>
        <w:t>tiesība</w:t>
      </w:r>
      <w:proofErr w:type="spellEnd"/>
      <w:r w:rsidRPr="00BF3A72">
        <w:rPr>
          <w:rFonts w:ascii="Times New Roman" w:hAnsi="Times New Roman" w:cs="Times New Roman"/>
          <w:b/>
          <w:lang w:val="de-DE"/>
        </w:rPr>
        <w:t>)</w:t>
      </w:r>
      <w:r w:rsidRPr="00BF3A72">
        <w:rPr>
          <w:rFonts w:ascii="Times New Roman" w:hAnsi="Times New Roman" w:cs="Times New Roman"/>
          <w:lang w:val="de-DE"/>
        </w:rPr>
        <w:t xml:space="preserve">: </w:t>
      </w:r>
      <w:proofErr w:type="spellStart"/>
      <w:r w:rsidRPr="00BF3A72">
        <w:rPr>
          <w:rFonts w:ascii="Times New Roman" w:hAnsi="Times New Roman" w:cs="Times New Roman"/>
          <w:lang w:val="de-DE"/>
        </w:rPr>
        <w:t>pārstāvības</w:t>
      </w:r>
      <w:proofErr w:type="spellEnd"/>
      <w:r w:rsidRPr="00BF3A72">
        <w:rPr>
          <w:rFonts w:ascii="Times New Roman" w:hAnsi="Times New Roman" w:cs="Times New Roman"/>
          <w:lang w:val="de-DE"/>
        </w:rPr>
        <w:t xml:space="preserve"> </w:t>
      </w:r>
      <w:proofErr w:type="spellStart"/>
      <w:r w:rsidRPr="00BF3A72">
        <w:rPr>
          <w:rFonts w:ascii="Times New Roman" w:hAnsi="Times New Roman" w:cs="Times New Roman"/>
          <w:lang w:val="de-DE"/>
        </w:rPr>
        <w:t>tiesība</w:t>
      </w:r>
      <w:proofErr w:type="spellEnd"/>
      <w:r w:rsidRPr="00BF3A72">
        <w:rPr>
          <w:rFonts w:ascii="Times New Roman" w:hAnsi="Times New Roman" w:cs="Times New Roman"/>
          <w:lang w:val="de-DE"/>
        </w:rPr>
        <w:t xml:space="preserve"> </w:t>
      </w:r>
      <w:proofErr w:type="spellStart"/>
      <w:r w:rsidRPr="00BF3A72">
        <w:rPr>
          <w:rFonts w:ascii="Times New Roman" w:hAnsi="Times New Roman" w:cs="Times New Roman"/>
          <w:lang w:val="de-DE"/>
        </w:rPr>
        <w:t>rodas</w:t>
      </w:r>
      <w:proofErr w:type="spellEnd"/>
      <w:r w:rsidRPr="00BF3A72">
        <w:rPr>
          <w:rFonts w:ascii="Times New Roman" w:hAnsi="Times New Roman" w:cs="Times New Roman"/>
          <w:lang w:val="de-DE"/>
        </w:rPr>
        <w:t xml:space="preserve"> </w:t>
      </w:r>
      <w:proofErr w:type="spellStart"/>
      <w:r w:rsidRPr="00BF3A72">
        <w:rPr>
          <w:rFonts w:ascii="Times New Roman" w:hAnsi="Times New Roman" w:cs="Times New Roman"/>
          <w:lang w:val="de-DE"/>
        </w:rPr>
        <w:t>gan</w:t>
      </w:r>
      <w:proofErr w:type="spellEnd"/>
      <w:r w:rsidRPr="00BF3A72">
        <w:rPr>
          <w:rFonts w:ascii="Times New Roman" w:hAnsi="Times New Roman" w:cs="Times New Roman"/>
          <w:lang w:val="de-DE"/>
        </w:rPr>
        <w:t xml:space="preserve"> </w:t>
      </w:r>
      <w:proofErr w:type="spellStart"/>
      <w:r w:rsidRPr="00BF3A72">
        <w:rPr>
          <w:rFonts w:ascii="Times New Roman" w:hAnsi="Times New Roman" w:cs="Times New Roman"/>
          <w:lang w:val="de-DE"/>
        </w:rPr>
        <w:t>uz</w:t>
      </w:r>
      <w:proofErr w:type="spellEnd"/>
      <w:r w:rsidRPr="00BF3A72">
        <w:rPr>
          <w:rFonts w:ascii="Times New Roman" w:hAnsi="Times New Roman" w:cs="Times New Roman"/>
          <w:lang w:val="de-DE"/>
        </w:rPr>
        <w:t xml:space="preserve"> </w:t>
      </w:r>
      <w:proofErr w:type="spellStart"/>
      <w:r w:rsidRPr="00BF3A72">
        <w:rPr>
          <w:rFonts w:ascii="Times New Roman" w:hAnsi="Times New Roman" w:cs="Times New Roman"/>
          <w:lang w:val="de-DE"/>
        </w:rPr>
        <w:t>pilnvarojuma</w:t>
      </w:r>
      <w:proofErr w:type="spellEnd"/>
      <w:r w:rsidRPr="00BF3A72">
        <w:rPr>
          <w:rFonts w:ascii="Times New Roman" w:hAnsi="Times New Roman" w:cs="Times New Roman"/>
          <w:lang w:val="de-DE"/>
        </w:rPr>
        <w:t xml:space="preserve"> </w:t>
      </w:r>
      <w:proofErr w:type="spellStart"/>
      <w:r w:rsidRPr="00BF3A72">
        <w:rPr>
          <w:rFonts w:ascii="Times New Roman" w:hAnsi="Times New Roman" w:cs="Times New Roman"/>
          <w:lang w:val="de-DE"/>
        </w:rPr>
        <w:t>līguma</w:t>
      </w:r>
      <w:proofErr w:type="spellEnd"/>
      <w:r w:rsidRPr="00BF3A72">
        <w:rPr>
          <w:rFonts w:ascii="Times New Roman" w:hAnsi="Times New Roman" w:cs="Times New Roman"/>
          <w:lang w:val="de-DE"/>
        </w:rPr>
        <w:t xml:space="preserve">, </w:t>
      </w:r>
      <w:proofErr w:type="spellStart"/>
      <w:r w:rsidRPr="00BF3A72">
        <w:rPr>
          <w:rFonts w:ascii="Times New Roman" w:hAnsi="Times New Roman" w:cs="Times New Roman"/>
          <w:lang w:val="de-DE"/>
        </w:rPr>
        <w:t>gan</w:t>
      </w:r>
      <w:proofErr w:type="spellEnd"/>
      <w:r w:rsidRPr="00BF3A72">
        <w:rPr>
          <w:rFonts w:ascii="Times New Roman" w:hAnsi="Times New Roman" w:cs="Times New Roman"/>
          <w:lang w:val="de-DE"/>
        </w:rPr>
        <w:t xml:space="preserve"> </w:t>
      </w:r>
      <w:proofErr w:type="spellStart"/>
      <w:r w:rsidRPr="00BF3A72">
        <w:rPr>
          <w:rFonts w:ascii="Times New Roman" w:hAnsi="Times New Roman" w:cs="Times New Roman"/>
          <w:lang w:val="de-DE"/>
        </w:rPr>
        <w:t>darba</w:t>
      </w:r>
      <w:proofErr w:type="spellEnd"/>
      <w:r w:rsidRPr="00BF3A72">
        <w:rPr>
          <w:rFonts w:ascii="Times New Roman" w:hAnsi="Times New Roman" w:cs="Times New Roman"/>
          <w:lang w:val="de-DE"/>
        </w:rPr>
        <w:t xml:space="preserve"> </w:t>
      </w:r>
      <w:proofErr w:type="spellStart"/>
      <w:r w:rsidRPr="00BF3A72">
        <w:rPr>
          <w:rFonts w:ascii="Times New Roman" w:hAnsi="Times New Roman" w:cs="Times New Roman"/>
          <w:lang w:val="de-DE"/>
        </w:rPr>
        <w:t>līguma</w:t>
      </w:r>
      <w:proofErr w:type="spellEnd"/>
      <w:r w:rsidRPr="00BF3A72">
        <w:rPr>
          <w:rFonts w:ascii="Times New Roman" w:hAnsi="Times New Roman" w:cs="Times New Roman"/>
          <w:lang w:val="de-DE"/>
        </w:rPr>
        <w:t xml:space="preserve"> </w:t>
      </w:r>
      <w:proofErr w:type="spellStart"/>
      <w:r w:rsidRPr="00BF3A72">
        <w:rPr>
          <w:rFonts w:ascii="Times New Roman" w:hAnsi="Times New Roman" w:cs="Times New Roman"/>
          <w:lang w:val="de-DE"/>
        </w:rPr>
        <w:t>pamata</w:t>
      </w:r>
      <w:proofErr w:type="spellEnd"/>
      <w:r w:rsidRPr="00BF3A72">
        <w:rPr>
          <w:rFonts w:ascii="Times New Roman" w:hAnsi="Times New Roman" w:cs="Times New Roman"/>
          <w:lang w:val="de-DE"/>
        </w:rPr>
        <w:t xml:space="preserve">, </w:t>
      </w:r>
      <w:proofErr w:type="spellStart"/>
      <w:r w:rsidRPr="00BF3A72">
        <w:rPr>
          <w:rFonts w:ascii="Times New Roman" w:hAnsi="Times New Roman" w:cs="Times New Roman"/>
          <w:lang w:val="de-DE"/>
        </w:rPr>
        <w:t>var</w:t>
      </w:r>
      <w:proofErr w:type="spellEnd"/>
      <w:r w:rsidRPr="00BF3A72">
        <w:rPr>
          <w:rFonts w:ascii="Times New Roman" w:hAnsi="Times New Roman" w:cs="Times New Roman"/>
          <w:lang w:val="de-DE"/>
        </w:rPr>
        <w:t xml:space="preserve"> </w:t>
      </w:r>
      <w:proofErr w:type="spellStart"/>
      <w:r w:rsidRPr="00BF3A72">
        <w:rPr>
          <w:rFonts w:ascii="Times New Roman" w:hAnsi="Times New Roman" w:cs="Times New Roman"/>
          <w:lang w:val="de-DE"/>
        </w:rPr>
        <w:t>izrietēt</w:t>
      </w:r>
      <w:proofErr w:type="spellEnd"/>
      <w:r w:rsidRPr="00BF3A72">
        <w:rPr>
          <w:rFonts w:ascii="Times New Roman" w:hAnsi="Times New Roman" w:cs="Times New Roman"/>
          <w:lang w:val="de-DE"/>
        </w:rPr>
        <w:t xml:space="preserve"> </w:t>
      </w:r>
      <w:proofErr w:type="spellStart"/>
      <w:r w:rsidRPr="00BF3A72">
        <w:rPr>
          <w:rFonts w:ascii="Times New Roman" w:hAnsi="Times New Roman" w:cs="Times New Roman"/>
          <w:lang w:val="de-DE"/>
        </w:rPr>
        <w:t>no</w:t>
      </w:r>
      <w:proofErr w:type="spellEnd"/>
      <w:r w:rsidRPr="00BF3A72">
        <w:rPr>
          <w:rFonts w:ascii="Times New Roman" w:hAnsi="Times New Roman" w:cs="Times New Roman"/>
          <w:lang w:val="de-DE"/>
        </w:rPr>
        <w:t xml:space="preserve"> personas </w:t>
      </w:r>
      <w:proofErr w:type="spellStart"/>
      <w:r w:rsidRPr="00BF3A72">
        <w:rPr>
          <w:rFonts w:ascii="Times New Roman" w:hAnsi="Times New Roman" w:cs="Times New Roman"/>
          <w:lang w:val="de-DE"/>
        </w:rPr>
        <w:t>atrašanās</w:t>
      </w:r>
      <w:proofErr w:type="spellEnd"/>
      <w:r w:rsidRPr="00BF3A72">
        <w:rPr>
          <w:rFonts w:ascii="Times New Roman" w:hAnsi="Times New Roman" w:cs="Times New Roman"/>
          <w:lang w:val="de-DE"/>
        </w:rPr>
        <w:t xml:space="preserve"> </w:t>
      </w:r>
      <w:proofErr w:type="spellStart"/>
      <w:r w:rsidRPr="00BF3A72">
        <w:rPr>
          <w:rFonts w:ascii="Times New Roman" w:hAnsi="Times New Roman" w:cs="Times New Roman"/>
          <w:lang w:val="de-DE"/>
        </w:rPr>
        <w:t>vadītāja</w:t>
      </w:r>
      <w:proofErr w:type="spellEnd"/>
      <w:r w:rsidRPr="00BF3A72">
        <w:rPr>
          <w:rFonts w:ascii="Times New Roman" w:hAnsi="Times New Roman" w:cs="Times New Roman"/>
          <w:lang w:val="de-DE"/>
        </w:rPr>
        <w:t xml:space="preserve"> </w:t>
      </w:r>
      <w:proofErr w:type="spellStart"/>
      <w:r w:rsidRPr="00BF3A72">
        <w:rPr>
          <w:rFonts w:ascii="Times New Roman" w:hAnsi="Times New Roman" w:cs="Times New Roman"/>
          <w:lang w:val="de-DE"/>
        </w:rPr>
        <w:t>amatā</w:t>
      </w:r>
      <w:proofErr w:type="spellEnd"/>
      <w:r w:rsidRPr="00BF3A72">
        <w:rPr>
          <w:rFonts w:ascii="Times New Roman" w:hAnsi="Times New Roman" w:cs="Times New Roman"/>
          <w:lang w:val="de-DE"/>
        </w:rPr>
        <w:t xml:space="preserve">, </w:t>
      </w:r>
      <w:proofErr w:type="spellStart"/>
      <w:r w:rsidRPr="00BF3A72">
        <w:rPr>
          <w:rFonts w:ascii="Times New Roman" w:hAnsi="Times New Roman" w:cs="Times New Roman"/>
          <w:lang w:val="de-DE"/>
        </w:rPr>
        <w:t>tēva</w:t>
      </w:r>
      <w:proofErr w:type="spellEnd"/>
      <w:r w:rsidRPr="00BF3A72">
        <w:rPr>
          <w:rFonts w:ascii="Times New Roman" w:hAnsi="Times New Roman" w:cs="Times New Roman"/>
          <w:lang w:val="de-DE"/>
        </w:rPr>
        <w:t xml:space="preserve"> </w:t>
      </w:r>
      <w:proofErr w:type="spellStart"/>
      <w:r w:rsidRPr="00BF3A72">
        <w:rPr>
          <w:rFonts w:ascii="Times New Roman" w:hAnsi="Times New Roman" w:cs="Times New Roman"/>
          <w:lang w:val="de-DE"/>
        </w:rPr>
        <w:t>vai</w:t>
      </w:r>
      <w:proofErr w:type="spellEnd"/>
      <w:r w:rsidRPr="00BF3A72">
        <w:rPr>
          <w:rFonts w:ascii="Times New Roman" w:hAnsi="Times New Roman" w:cs="Times New Roman"/>
          <w:lang w:val="de-DE"/>
        </w:rPr>
        <w:t xml:space="preserve"> </w:t>
      </w:r>
      <w:proofErr w:type="spellStart"/>
      <w:r w:rsidRPr="00BF3A72">
        <w:rPr>
          <w:rFonts w:ascii="Times New Roman" w:hAnsi="Times New Roman" w:cs="Times New Roman"/>
          <w:lang w:val="de-DE"/>
        </w:rPr>
        <w:t>mātes</w:t>
      </w:r>
      <w:proofErr w:type="spellEnd"/>
      <w:r w:rsidRPr="00BF3A72">
        <w:rPr>
          <w:rFonts w:ascii="Times New Roman" w:hAnsi="Times New Roman" w:cs="Times New Roman"/>
          <w:lang w:val="de-DE"/>
        </w:rPr>
        <w:t xml:space="preserve"> </w:t>
      </w:r>
      <w:proofErr w:type="spellStart"/>
      <w:r w:rsidRPr="00BF3A72">
        <w:rPr>
          <w:rFonts w:ascii="Times New Roman" w:hAnsi="Times New Roman" w:cs="Times New Roman"/>
          <w:lang w:val="de-DE"/>
        </w:rPr>
        <w:t>statusa</w:t>
      </w:r>
      <w:proofErr w:type="spellEnd"/>
      <w:r w:rsidRPr="00BF3A72">
        <w:rPr>
          <w:rFonts w:ascii="Times New Roman" w:hAnsi="Times New Roman" w:cs="Times New Roman"/>
          <w:lang w:val="de-DE"/>
        </w:rPr>
        <w:t xml:space="preserve"> </w:t>
      </w:r>
      <w:proofErr w:type="spellStart"/>
      <w:r w:rsidRPr="00BF3A72">
        <w:rPr>
          <w:rFonts w:ascii="Times New Roman" w:hAnsi="Times New Roman" w:cs="Times New Roman"/>
          <w:lang w:val="de-DE"/>
        </w:rPr>
        <w:t>u.c</w:t>
      </w:r>
      <w:proofErr w:type="spellEnd"/>
      <w:r w:rsidRPr="00BF3A72">
        <w:rPr>
          <w:rFonts w:ascii="Times New Roman" w:hAnsi="Times New Roman" w:cs="Times New Roman"/>
          <w:lang w:val="de-DE"/>
        </w:rPr>
        <w:t>.</w:t>
      </w:r>
      <w:r w:rsidRPr="00BF3A72">
        <w:rPr>
          <w:rStyle w:val="FootnoteReference"/>
          <w:rFonts w:ascii="Times New Roman" w:hAnsi="Times New Roman" w:cs="Times New Roman"/>
          <w:lang w:val="de-DE"/>
        </w:rPr>
        <w:footnoteReference w:id="19"/>
      </w:r>
      <w:r w:rsidRPr="00BF3A72">
        <w:rPr>
          <w:rFonts w:ascii="Times New Roman" w:hAnsi="Times New Roman" w:cs="Times New Roman"/>
          <w:lang w:val="de-DE"/>
        </w:rPr>
        <w:t xml:space="preserve"> </w:t>
      </w:r>
      <w:proofErr w:type="spellStart"/>
      <w:r w:rsidRPr="00BF3A72">
        <w:rPr>
          <w:rFonts w:ascii="Times New Roman" w:hAnsi="Times New Roman" w:cs="Times New Roman"/>
          <w:lang w:val="de-DE"/>
        </w:rPr>
        <w:t>Tātad</w:t>
      </w:r>
      <w:proofErr w:type="spellEnd"/>
      <w:r w:rsidRPr="00BF3A72">
        <w:rPr>
          <w:rFonts w:ascii="Times New Roman" w:hAnsi="Times New Roman" w:cs="Times New Roman"/>
          <w:lang w:val="de-DE"/>
        </w:rPr>
        <w:t xml:space="preserve">, </w:t>
      </w:r>
      <w:proofErr w:type="spellStart"/>
      <w:r w:rsidRPr="00BF3A72">
        <w:rPr>
          <w:rFonts w:ascii="Times New Roman" w:hAnsi="Times New Roman" w:cs="Times New Roman"/>
          <w:lang w:val="de-DE"/>
        </w:rPr>
        <w:t>pilnvarojums</w:t>
      </w:r>
      <w:proofErr w:type="spellEnd"/>
      <w:r w:rsidRPr="00BF3A72">
        <w:rPr>
          <w:rFonts w:ascii="Times New Roman" w:hAnsi="Times New Roman" w:cs="Times New Roman"/>
          <w:lang w:val="de-DE"/>
        </w:rPr>
        <w:t xml:space="preserve"> </w:t>
      </w:r>
      <w:proofErr w:type="spellStart"/>
      <w:r w:rsidRPr="00BF3A72">
        <w:rPr>
          <w:rFonts w:ascii="Times New Roman" w:hAnsi="Times New Roman" w:cs="Times New Roman"/>
          <w:lang w:val="de-DE"/>
        </w:rPr>
        <w:t>ir</w:t>
      </w:r>
      <w:proofErr w:type="spellEnd"/>
      <w:r w:rsidRPr="00BF3A72">
        <w:rPr>
          <w:rFonts w:ascii="Times New Roman" w:hAnsi="Times New Roman" w:cs="Times New Roman"/>
          <w:lang w:val="de-DE"/>
        </w:rPr>
        <w:t xml:space="preserve"> </w:t>
      </w:r>
      <w:proofErr w:type="spellStart"/>
      <w:r w:rsidRPr="00BF3A72">
        <w:rPr>
          <w:rFonts w:ascii="Times New Roman" w:hAnsi="Times New Roman" w:cs="Times New Roman"/>
          <w:lang w:val="de-DE"/>
        </w:rPr>
        <w:t>pārstāvības</w:t>
      </w:r>
      <w:proofErr w:type="spellEnd"/>
      <w:r w:rsidRPr="00BF3A72">
        <w:rPr>
          <w:rFonts w:ascii="Times New Roman" w:hAnsi="Times New Roman" w:cs="Times New Roman"/>
          <w:lang w:val="de-DE"/>
        </w:rPr>
        <w:t xml:space="preserve"> </w:t>
      </w:r>
      <w:proofErr w:type="spellStart"/>
      <w:r w:rsidRPr="00BF3A72">
        <w:rPr>
          <w:rFonts w:ascii="Times New Roman" w:hAnsi="Times New Roman" w:cs="Times New Roman"/>
          <w:lang w:val="de-DE"/>
        </w:rPr>
        <w:t>tiesība</w:t>
      </w:r>
      <w:proofErr w:type="spellEnd"/>
      <w:r w:rsidRPr="00BF3A72">
        <w:rPr>
          <w:rFonts w:ascii="Times New Roman" w:hAnsi="Times New Roman" w:cs="Times New Roman"/>
          <w:lang w:val="de-DE"/>
        </w:rPr>
        <w:t xml:space="preserve">, </w:t>
      </w:r>
      <w:proofErr w:type="spellStart"/>
      <w:r w:rsidRPr="00BF3A72">
        <w:rPr>
          <w:rFonts w:ascii="Times New Roman" w:hAnsi="Times New Roman" w:cs="Times New Roman"/>
          <w:lang w:val="de-DE"/>
        </w:rPr>
        <w:t>kas</w:t>
      </w:r>
      <w:proofErr w:type="spellEnd"/>
      <w:r w:rsidRPr="00BF3A72">
        <w:rPr>
          <w:rFonts w:ascii="Times New Roman" w:hAnsi="Times New Roman" w:cs="Times New Roman"/>
          <w:lang w:val="de-DE"/>
        </w:rPr>
        <w:t xml:space="preserve"> </w:t>
      </w:r>
      <w:proofErr w:type="spellStart"/>
      <w:r w:rsidRPr="00BF3A72">
        <w:rPr>
          <w:rFonts w:ascii="Times New Roman" w:hAnsi="Times New Roman" w:cs="Times New Roman"/>
          <w:lang w:val="de-DE"/>
        </w:rPr>
        <w:t>ietverta</w:t>
      </w:r>
      <w:proofErr w:type="spellEnd"/>
      <w:r w:rsidRPr="00BF3A72">
        <w:rPr>
          <w:rFonts w:ascii="Times New Roman" w:hAnsi="Times New Roman" w:cs="Times New Roman"/>
          <w:lang w:val="de-DE"/>
        </w:rPr>
        <w:t xml:space="preserve"> </w:t>
      </w:r>
      <w:proofErr w:type="spellStart"/>
      <w:r w:rsidRPr="00BF3A72">
        <w:rPr>
          <w:rFonts w:ascii="Times New Roman" w:hAnsi="Times New Roman" w:cs="Times New Roman"/>
          <w:lang w:val="de-DE"/>
        </w:rPr>
        <w:t>pilnvarojuma</w:t>
      </w:r>
      <w:proofErr w:type="spellEnd"/>
      <w:r w:rsidRPr="00BF3A72">
        <w:rPr>
          <w:rFonts w:ascii="Times New Roman" w:hAnsi="Times New Roman" w:cs="Times New Roman"/>
          <w:lang w:val="de-DE"/>
        </w:rPr>
        <w:t xml:space="preserve"> </w:t>
      </w:r>
      <w:proofErr w:type="spellStart"/>
      <w:r w:rsidRPr="00BF3A72">
        <w:rPr>
          <w:rFonts w:ascii="Times New Roman" w:hAnsi="Times New Roman" w:cs="Times New Roman"/>
          <w:lang w:val="de-DE"/>
        </w:rPr>
        <w:t>līgumā</w:t>
      </w:r>
      <w:proofErr w:type="spellEnd"/>
      <w:r w:rsidRPr="00BF3A72">
        <w:rPr>
          <w:rFonts w:ascii="Times New Roman" w:hAnsi="Times New Roman" w:cs="Times New Roman"/>
          <w:lang w:val="de-DE"/>
        </w:rPr>
        <w:t xml:space="preserve"> (</w:t>
      </w:r>
      <w:proofErr w:type="spellStart"/>
      <w:r w:rsidRPr="00BF3A72">
        <w:rPr>
          <w:rFonts w:ascii="Times New Roman" w:hAnsi="Times New Roman" w:cs="Times New Roman"/>
          <w:lang w:val="de-DE"/>
        </w:rPr>
        <w:t>vai</w:t>
      </w:r>
      <w:proofErr w:type="spellEnd"/>
      <w:r w:rsidRPr="00BF3A72">
        <w:rPr>
          <w:rFonts w:ascii="Times New Roman" w:hAnsi="Times New Roman" w:cs="Times New Roman"/>
          <w:lang w:val="de-DE"/>
        </w:rPr>
        <w:t xml:space="preserve"> </w:t>
      </w:r>
      <w:proofErr w:type="spellStart"/>
      <w:r w:rsidRPr="00BF3A72">
        <w:rPr>
          <w:rFonts w:ascii="Times New Roman" w:hAnsi="Times New Roman" w:cs="Times New Roman"/>
          <w:lang w:val="de-DE"/>
        </w:rPr>
        <w:t>darba</w:t>
      </w:r>
      <w:proofErr w:type="spellEnd"/>
      <w:r w:rsidRPr="00BF3A72">
        <w:rPr>
          <w:rFonts w:ascii="Times New Roman" w:hAnsi="Times New Roman" w:cs="Times New Roman"/>
          <w:lang w:val="de-DE"/>
        </w:rPr>
        <w:t xml:space="preserve"> </w:t>
      </w:r>
      <w:proofErr w:type="spellStart"/>
      <w:r w:rsidRPr="00BF3A72">
        <w:rPr>
          <w:rFonts w:ascii="Times New Roman" w:hAnsi="Times New Roman" w:cs="Times New Roman"/>
          <w:lang w:val="de-DE"/>
        </w:rPr>
        <w:t>līgumā</w:t>
      </w:r>
      <w:proofErr w:type="spellEnd"/>
      <w:r w:rsidRPr="00BF3A72">
        <w:rPr>
          <w:rFonts w:ascii="Times New Roman" w:hAnsi="Times New Roman" w:cs="Times New Roman"/>
          <w:lang w:val="de-DE"/>
        </w:rPr>
        <w:t xml:space="preserve">), </w:t>
      </w:r>
      <w:proofErr w:type="spellStart"/>
      <w:r w:rsidRPr="00BF3A72">
        <w:rPr>
          <w:rFonts w:ascii="Times New Roman" w:hAnsi="Times New Roman" w:cs="Times New Roman"/>
          <w:lang w:val="de-DE"/>
        </w:rPr>
        <w:t>vai</w:t>
      </w:r>
      <w:proofErr w:type="spellEnd"/>
      <w:r w:rsidRPr="00BF3A72">
        <w:rPr>
          <w:rFonts w:ascii="Times New Roman" w:hAnsi="Times New Roman" w:cs="Times New Roman"/>
          <w:lang w:val="de-DE"/>
        </w:rPr>
        <w:t xml:space="preserve"> </w:t>
      </w:r>
      <w:proofErr w:type="spellStart"/>
      <w:r w:rsidRPr="00BF3A72">
        <w:rPr>
          <w:rFonts w:ascii="Times New Roman" w:hAnsi="Times New Roman" w:cs="Times New Roman"/>
          <w:lang w:val="de-DE"/>
        </w:rPr>
        <w:t>izriet</w:t>
      </w:r>
      <w:proofErr w:type="spellEnd"/>
      <w:r w:rsidRPr="00BF3A72">
        <w:rPr>
          <w:rFonts w:ascii="Times New Roman" w:hAnsi="Times New Roman" w:cs="Times New Roman"/>
          <w:lang w:val="de-DE"/>
        </w:rPr>
        <w:t xml:space="preserve"> </w:t>
      </w:r>
      <w:proofErr w:type="spellStart"/>
      <w:r w:rsidRPr="00BF3A72">
        <w:rPr>
          <w:rFonts w:ascii="Times New Roman" w:hAnsi="Times New Roman" w:cs="Times New Roman"/>
          <w:lang w:val="de-DE"/>
        </w:rPr>
        <w:t>no</w:t>
      </w:r>
      <w:proofErr w:type="spellEnd"/>
      <w:r w:rsidRPr="00BF3A72">
        <w:rPr>
          <w:rFonts w:ascii="Times New Roman" w:hAnsi="Times New Roman" w:cs="Times New Roman"/>
          <w:lang w:val="de-DE"/>
        </w:rPr>
        <w:t xml:space="preserve"> </w:t>
      </w:r>
      <w:proofErr w:type="spellStart"/>
      <w:r w:rsidRPr="00BF3A72">
        <w:rPr>
          <w:rFonts w:ascii="Times New Roman" w:hAnsi="Times New Roman" w:cs="Times New Roman"/>
          <w:lang w:val="de-DE"/>
        </w:rPr>
        <w:t>likuma</w:t>
      </w:r>
      <w:proofErr w:type="spellEnd"/>
      <w:r w:rsidRPr="00BF3A72">
        <w:rPr>
          <w:rFonts w:ascii="Times New Roman" w:hAnsi="Times New Roman" w:cs="Times New Roman"/>
          <w:lang w:val="de-DE"/>
        </w:rPr>
        <w:t xml:space="preserve">, </w:t>
      </w:r>
      <w:proofErr w:type="spellStart"/>
      <w:r w:rsidRPr="00BF3A72">
        <w:rPr>
          <w:rFonts w:ascii="Times New Roman" w:hAnsi="Times New Roman" w:cs="Times New Roman"/>
          <w:lang w:val="de-DE"/>
        </w:rPr>
        <w:t>vai</w:t>
      </w:r>
      <w:proofErr w:type="spellEnd"/>
      <w:r w:rsidRPr="00BF3A72">
        <w:rPr>
          <w:rFonts w:ascii="Times New Roman" w:hAnsi="Times New Roman" w:cs="Times New Roman"/>
          <w:lang w:val="de-DE"/>
        </w:rPr>
        <w:t xml:space="preserve">, </w:t>
      </w:r>
      <w:proofErr w:type="spellStart"/>
      <w:r w:rsidRPr="00BF3A72">
        <w:rPr>
          <w:rFonts w:ascii="Times New Roman" w:hAnsi="Times New Roman" w:cs="Times New Roman"/>
          <w:lang w:val="de-DE"/>
        </w:rPr>
        <w:t>piemēram</w:t>
      </w:r>
      <w:proofErr w:type="spellEnd"/>
      <w:r w:rsidRPr="00BF3A72">
        <w:rPr>
          <w:rFonts w:ascii="Times New Roman" w:hAnsi="Times New Roman" w:cs="Times New Roman"/>
          <w:lang w:val="de-DE"/>
        </w:rPr>
        <w:t xml:space="preserve">, </w:t>
      </w:r>
      <w:proofErr w:type="spellStart"/>
      <w:r w:rsidRPr="00BF3A72">
        <w:rPr>
          <w:rFonts w:ascii="Times New Roman" w:hAnsi="Times New Roman" w:cs="Times New Roman"/>
          <w:lang w:val="de-DE"/>
        </w:rPr>
        <w:t>uzņēmuma</w:t>
      </w:r>
      <w:proofErr w:type="spellEnd"/>
      <w:r w:rsidRPr="00BF3A72">
        <w:rPr>
          <w:rFonts w:ascii="Times New Roman" w:hAnsi="Times New Roman" w:cs="Times New Roman"/>
          <w:lang w:val="de-DE"/>
        </w:rPr>
        <w:t xml:space="preserve"> </w:t>
      </w:r>
      <w:proofErr w:type="spellStart"/>
      <w:r w:rsidRPr="00BF3A72">
        <w:rPr>
          <w:rFonts w:ascii="Times New Roman" w:hAnsi="Times New Roman" w:cs="Times New Roman"/>
          <w:lang w:val="de-DE"/>
        </w:rPr>
        <w:t>statūtiem</w:t>
      </w:r>
      <w:proofErr w:type="spellEnd"/>
      <w:r w:rsidRPr="00BF3A72">
        <w:rPr>
          <w:rFonts w:ascii="Times New Roman" w:hAnsi="Times New Roman" w:cs="Times New Roman"/>
          <w:lang w:val="de-DE"/>
        </w:rPr>
        <w:t xml:space="preserve">. </w:t>
      </w:r>
      <w:proofErr w:type="spellStart"/>
      <w:r w:rsidRPr="00BF3A72">
        <w:rPr>
          <w:rFonts w:ascii="Times New Roman" w:hAnsi="Times New Roman" w:cs="Times New Roman"/>
          <w:lang w:val="de-DE"/>
        </w:rPr>
        <w:t>Pārstāvības</w:t>
      </w:r>
      <w:proofErr w:type="spellEnd"/>
      <w:r w:rsidRPr="00BF3A72">
        <w:rPr>
          <w:rFonts w:ascii="Times New Roman" w:hAnsi="Times New Roman" w:cs="Times New Roman"/>
          <w:lang w:val="de-DE"/>
        </w:rPr>
        <w:t xml:space="preserve"> </w:t>
      </w:r>
      <w:proofErr w:type="spellStart"/>
      <w:r w:rsidRPr="00BF3A72">
        <w:rPr>
          <w:rFonts w:ascii="Times New Roman" w:hAnsi="Times New Roman" w:cs="Times New Roman"/>
          <w:lang w:val="de-DE"/>
        </w:rPr>
        <w:t>tiesība</w:t>
      </w:r>
      <w:proofErr w:type="spellEnd"/>
      <w:r w:rsidRPr="00BF3A72">
        <w:rPr>
          <w:rFonts w:ascii="Times New Roman" w:hAnsi="Times New Roman" w:cs="Times New Roman"/>
          <w:lang w:val="de-DE"/>
        </w:rPr>
        <w:t xml:space="preserve">, </w:t>
      </w:r>
      <w:proofErr w:type="spellStart"/>
      <w:r w:rsidRPr="00BF3A72">
        <w:rPr>
          <w:rFonts w:ascii="Times New Roman" w:hAnsi="Times New Roman" w:cs="Times New Roman"/>
          <w:lang w:val="de-DE"/>
        </w:rPr>
        <w:t>kas</w:t>
      </w:r>
      <w:proofErr w:type="spellEnd"/>
      <w:r w:rsidRPr="00BF3A72">
        <w:rPr>
          <w:rFonts w:ascii="Times New Roman" w:hAnsi="Times New Roman" w:cs="Times New Roman"/>
          <w:lang w:val="de-DE"/>
        </w:rPr>
        <w:t xml:space="preserve"> </w:t>
      </w:r>
      <w:proofErr w:type="spellStart"/>
      <w:r w:rsidRPr="00BF3A72">
        <w:rPr>
          <w:rFonts w:ascii="Times New Roman" w:hAnsi="Times New Roman" w:cs="Times New Roman"/>
          <w:lang w:val="de-DE"/>
        </w:rPr>
        <w:t>izriet</w:t>
      </w:r>
      <w:proofErr w:type="spellEnd"/>
      <w:r w:rsidRPr="00BF3A72">
        <w:rPr>
          <w:rFonts w:ascii="Times New Roman" w:hAnsi="Times New Roman" w:cs="Times New Roman"/>
          <w:lang w:val="de-DE"/>
        </w:rPr>
        <w:t xml:space="preserve"> </w:t>
      </w:r>
      <w:proofErr w:type="spellStart"/>
      <w:r w:rsidRPr="00BF3A72">
        <w:rPr>
          <w:rFonts w:ascii="Times New Roman" w:hAnsi="Times New Roman" w:cs="Times New Roman"/>
          <w:lang w:val="de-DE"/>
        </w:rPr>
        <w:t>no</w:t>
      </w:r>
      <w:proofErr w:type="spellEnd"/>
      <w:r w:rsidRPr="00BF3A72">
        <w:rPr>
          <w:rFonts w:ascii="Times New Roman" w:hAnsi="Times New Roman" w:cs="Times New Roman"/>
          <w:lang w:val="de-DE"/>
        </w:rPr>
        <w:t xml:space="preserve"> </w:t>
      </w:r>
      <w:proofErr w:type="spellStart"/>
      <w:r w:rsidRPr="00BF3A72">
        <w:rPr>
          <w:rFonts w:ascii="Times New Roman" w:hAnsi="Times New Roman" w:cs="Times New Roman"/>
          <w:lang w:val="de-DE"/>
        </w:rPr>
        <w:t>līgumiem</w:t>
      </w:r>
      <w:proofErr w:type="spellEnd"/>
      <w:r w:rsidRPr="00BF3A72">
        <w:rPr>
          <w:rFonts w:ascii="Times New Roman" w:hAnsi="Times New Roman" w:cs="Times New Roman"/>
          <w:lang w:val="de-DE"/>
        </w:rPr>
        <w:t xml:space="preserve">, </w:t>
      </w:r>
      <w:proofErr w:type="spellStart"/>
      <w:r w:rsidRPr="00BF3A72">
        <w:rPr>
          <w:rFonts w:ascii="Times New Roman" w:hAnsi="Times New Roman" w:cs="Times New Roman"/>
          <w:lang w:val="de-DE"/>
        </w:rPr>
        <w:t>tiek</w:t>
      </w:r>
      <w:proofErr w:type="spellEnd"/>
      <w:r w:rsidRPr="00BF3A72">
        <w:rPr>
          <w:rFonts w:ascii="Times New Roman" w:hAnsi="Times New Roman" w:cs="Times New Roman"/>
          <w:lang w:val="de-DE"/>
        </w:rPr>
        <w:t xml:space="preserve"> </w:t>
      </w:r>
      <w:proofErr w:type="spellStart"/>
      <w:r w:rsidRPr="00BF3A72">
        <w:rPr>
          <w:rFonts w:ascii="Times New Roman" w:hAnsi="Times New Roman" w:cs="Times New Roman"/>
          <w:lang w:val="de-DE"/>
        </w:rPr>
        <w:t>norādīta</w:t>
      </w:r>
      <w:proofErr w:type="spellEnd"/>
      <w:r w:rsidRPr="00BF3A72">
        <w:rPr>
          <w:rFonts w:ascii="Times New Roman" w:hAnsi="Times New Roman" w:cs="Times New Roman"/>
          <w:lang w:val="de-DE"/>
        </w:rPr>
        <w:t xml:space="preserve"> </w:t>
      </w:r>
      <w:proofErr w:type="spellStart"/>
      <w:r w:rsidRPr="00BF3A72">
        <w:rPr>
          <w:rFonts w:ascii="Times New Roman" w:hAnsi="Times New Roman" w:cs="Times New Roman"/>
          <w:lang w:val="de-DE"/>
        </w:rPr>
        <w:t>arī</w:t>
      </w:r>
      <w:proofErr w:type="spellEnd"/>
      <w:r w:rsidRPr="00BF3A72">
        <w:rPr>
          <w:rFonts w:ascii="Times New Roman" w:hAnsi="Times New Roman" w:cs="Times New Roman"/>
          <w:lang w:val="de-DE"/>
        </w:rPr>
        <w:t xml:space="preserve"> </w:t>
      </w:r>
      <w:proofErr w:type="spellStart"/>
      <w:r w:rsidRPr="00BF3A72">
        <w:rPr>
          <w:rFonts w:ascii="Times New Roman" w:hAnsi="Times New Roman" w:cs="Times New Roman"/>
          <w:lang w:val="de-DE"/>
        </w:rPr>
        <w:t>pilnvarā</w:t>
      </w:r>
      <w:proofErr w:type="spellEnd"/>
      <w:r w:rsidRPr="00BF3A72">
        <w:rPr>
          <w:rFonts w:ascii="Times New Roman" w:hAnsi="Times New Roman" w:cs="Times New Roman"/>
          <w:lang w:val="de-DE"/>
        </w:rPr>
        <w:t xml:space="preserve"> (</w:t>
      </w:r>
      <w:proofErr w:type="spellStart"/>
      <w:r w:rsidRPr="00BF3A72">
        <w:rPr>
          <w:rFonts w:ascii="Times New Roman" w:hAnsi="Times New Roman" w:cs="Times New Roman"/>
          <w:lang w:val="de-DE"/>
        </w:rPr>
        <w:t>lai</w:t>
      </w:r>
      <w:proofErr w:type="spellEnd"/>
      <w:r w:rsidRPr="00BF3A72">
        <w:rPr>
          <w:rFonts w:ascii="Times New Roman" w:hAnsi="Times New Roman" w:cs="Times New Roman"/>
          <w:lang w:val="de-DE"/>
        </w:rPr>
        <w:t xml:space="preserve"> </w:t>
      </w:r>
      <w:proofErr w:type="spellStart"/>
      <w:r w:rsidRPr="00BF3A72">
        <w:rPr>
          <w:rFonts w:ascii="Times New Roman" w:hAnsi="Times New Roman" w:cs="Times New Roman"/>
          <w:lang w:val="de-DE"/>
        </w:rPr>
        <w:t>trešā</w:t>
      </w:r>
      <w:proofErr w:type="spellEnd"/>
      <w:r w:rsidRPr="00BF3A72">
        <w:rPr>
          <w:rFonts w:ascii="Times New Roman" w:hAnsi="Times New Roman" w:cs="Times New Roman"/>
          <w:lang w:val="de-DE"/>
        </w:rPr>
        <w:t xml:space="preserve"> </w:t>
      </w:r>
      <w:proofErr w:type="spellStart"/>
      <w:r w:rsidRPr="00BF3A72">
        <w:rPr>
          <w:rFonts w:ascii="Times New Roman" w:hAnsi="Times New Roman" w:cs="Times New Roman"/>
          <w:lang w:val="de-DE"/>
        </w:rPr>
        <w:t>persona</w:t>
      </w:r>
      <w:proofErr w:type="spellEnd"/>
      <w:r w:rsidRPr="00BF3A72">
        <w:rPr>
          <w:rFonts w:ascii="Times New Roman" w:hAnsi="Times New Roman" w:cs="Times New Roman"/>
          <w:lang w:val="de-DE"/>
        </w:rPr>
        <w:t xml:space="preserve"> </w:t>
      </w:r>
      <w:proofErr w:type="spellStart"/>
      <w:r w:rsidRPr="00BF3A72">
        <w:rPr>
          <w:rFonts w:ascii="Times New Roman" w:hAnsi="Times New Roman" w:cs="Times New Roman"/>
          <w:lang w:val="de-DE"/>
        </w:rPr>
        <w:t>varētu</w:t>
      </w:r>
      <w:proofErr w:type="spellEnd"/>
      <w:r w:rsidRPr="00BF3A72">
        <w:rPr>
          <w:rFonts w:ascii="Times New Roman" w:hAnsi="Times New Roman" w:cs="Times New Roman"/>
          <w:lang w:val="de-DE"/>
        </w:rPr>
        <w:t xml:space="preserve"> </w:t>
      </w:r>
      <w:proofErr w:type="spellStart"/>
      <w:r w:rsidRPr="00BF3A72">
        <w:rPr>
          <w:rFonts w:ascii="Times New Roman" w:hAnsi="Times New Roman" w:cs="Times New Roman"/>
          <w:lang w:val="de-DE"/>
        </w:rPr>
        <w:t>pārliecināties</w:t>
      </w:r>
      <w:proofErr w:type="spellEnd"/>
      <w:r w:rsidRPr="00BF3A72">
        <w:rPr>
          <w:rFonts w:ascii="Times New Roman" w:hAnsi="Times New Roman" w:cs="Times New Roman"/>
          <w:lang w:val="de-DE"/>
        </w:rPr>
        <w:t xml:space="preserve"> par </w:t>
      </w:r>
      <w:proofErr w:type="spellStart"/>
      <w:r w:rsidRPr="00BF3A72">
        <w:rPr>
          <w:rFonts w:ascii="Times New Roman" w:hAnsi="Times New Roman" w:cs="Times New Roman"/>
          <w:lang w:val="de-DE"/>
        </w:rPr>
        <w:t>pilnvarojumu</w:t>
      </w:r>
      <w:proofErr w:type="spellEnd"/>
      <w:r w:rsidRPr="00BF3A72">
        <w:rPr>
          <w:rFonts w:ascii="Times New Roman" w:hAnsi="Times New Roman" w:cs="Times New Roman"/>
          <w:lang w:val="de-DE"/>
        </w:rPr>
        <w:t xml:space="preserve"> </w:t>
      </w:r>
      <w:proofErr w:type="spellStart"/>
      <w:r w:rsidRPr="00BF3A72">
        <w:rPr>
          <w:rFonts w:ascii="Times New Roman" w:hAnsi="Times New Roman" w:cs="Times New Roman"/>
          <w:lang w:val="de-DE"/>
        </w:rPr>
        <w:t>jeb</w:t>
      </w:r>
      <w:proofErr w:type="spellEnd"/>
      <w:r w:rsidRPr="00BF3A72">
        <w:rPr>
          <w:rFonts w:ascii="Times New Roman" w:hAnsi="Times New Roman" w:cs="Times New Roman"/>
          <w:lang w:val="de-DE"/>
        </w:rPr>
        <w:t xml:space="preserve"> </w:t>
      </w:r>
      <w:proofErr w:type="spellStart"/>
      <w:r w:rsidRPr="00BF3A72">
        <w:rPr>
          <w:rFonts w:ascii="Times New Roman" w:hAnsi="Times New Roman" w:cs="Times New Roman"/>
          <w:lang w:val="de-DE"/>
        </w:rPr>
        <w:t>pārstāvības</w:t>
      </w:r>
      <w:proofErr w:type="spellEnd"/>
      <w:r w:rsidRPr="00BF3A72">
        <w:rPr>
          <w:rFonts w:ascii="Times New Roman" w:hAnsi="Times New Roman" w:cs="Times New Roman"/>
          <w:lang w:val="de-DE"/>
        </w:rPr>
        <w:t xml:space="preserve"> </w:t>
      </w:r>
      <w:proofErr w:type="spellStart"/>
      <w:r w:rsidRPr="00BF3A72">
        <w:rPr>
          <w:rFonts w:ascii="Times New Roman" w:hAnsi="Times New Roman" w:cs="Times New Roman"/>
          <w:lang w:val="de-DE"/>
        </w:rPr>
        <w:t>tiesību</w:t>
      </w:r>
      <w:proofErr w:type="spellEnd"/>
      <w:r w:rsidRPr="00BF3A72">
        <w:rPr>
          <w:rFonts w:ascii="Times New Roman" w:hAnsi="Times New Roman" w:cs="Times New Roman"/>
          <w:lang w:val="de-DE"/>
        </w:rPr>
        <w:t xml:space="preserve">). </w:t>
      </w:r>
    </w:p>
    <w:p w14:paraId="3174A27C" w14:textId="77777777" w:rsidR="00114953" w:rsidRPr="00BF3A72" w:rsidRDefault="00114953" w:rsidP="00114953">
      <w:pPr>
        <w:jc w:val="both"/>
        <w:rPr>
          <w:rFonts w:ascii="Times New Roman" w:hAnsi="Times New Roman" w:cs="Times New Roman"/>
          <w:lang w:val="de-DE"/>
        </w:rPr>
      </w:pPr>
    </w:p>
    <w:p w14:paraId="628A2C43" w14:textId="77777777" w:rsidR="00114953" w:rsidRPr="00BF3A72" w:rsidRDefault="00114953" w:rsidP="00114953">
      <w:pPr>
        <w:ind w:firstLine="708"/>
        <w:jc w:val="both"/>
        <w:rPr>
          <w:rFonts w:ascii="Times New Roman" w:hAnsi="Times New Roman" w:cs="Times New Roman"/>
          <w:lang w:val="de-DE"/>
        </w:rPr>
      </w:pPr>
      <w:proofErr w:type="spellStart"/>
      <w:r w:rsidRPr="00BF3A72">
        <w:rPr>
          <w:rFonts w:ascii="Times New Roman" w:hAnsi="Times New Roman" w:cs="Times New Roman"/>
          <w:b/>
          <w:lang w:val="de-DE"/>
        </w:rPr>
        <w:t>Pilnvara</w:t>
      </w:r>
      <w:proofErr w:type="spellEnd"/>
      <w:r w:rsidRPr="00BF3A72">
        <w:rPr>
          <w:rFonts w:ascii="Times New Roman" w:hAnsi="Times New Roman" w:cs="Times New Roman"/>
          <w:b/>
          <w:lang w:val="de-DE"/>
        </w:rPr>
        <w:t>:</w:t>
      </w:r>
      <w:r w:rsidRPr="00BF3A72">
        <w:rPr>
          <w:rFonts w:ascii="Times New Roman" w:hAnsi="Times New Roman" w:cs="Times New Roman"/>
          <w:lang w:val="de-DE"/>
        </w:rPr>
        <w:t xml:space="preserve"> </w:t>
      </w:r>
      <w:proofErr w:type="spellStart"/>
      <w:r w:rsidRPr="00BF3A72">
        <w:rPr>
          <w:rFonts w:ascii="Times New Roman" w:hAnsi="Times New Roman" w:cs="Times New Roman"/>
          <w:lang w:val="de-DE"/>
        </w:rPr>
        <w:t>tā</w:t>
      </w:r>
      <w:proofErr w:type="spellEnd"/>
      <w:r w:rsidRPr="00BF3A72">
        <w:rPr>
          <w:rFonts w:ascii="Times New Roman" w:hAnsi="Times New Roman" w:cs="Times New Roman"/>
          <w:lang w:val="de-DE"/>
        </w:rPr>
        <w:t xml:space="preserve"> </w:t>
      </w:r>
      <w:proofErr w:type="spellStart"/>
      <w:r w:rsidRPr="00BF3A72">
        <w:rPr>
          <w:rFonts w:ascii="Times New Roman" w:hAnsi="Times New Roman" w:cs="Times New Roman"/>
          <w:lang w:val="de-DE"/>
        </w:rPr>
        <w:t>dod</w:t>
      </w:r>
      <w:proofErr w:type="spellEnd"/>
      <w:r w:rsidRPr="00BF3A72">
        <w:rPr>
          <w:rFonts w:ascii="Times New Roman" w:hAnsi="Times New Roman" w:cs="Times New Roman"/>
          <w:lang w:val="de-DE"/>
        </w:rPr>
        <w:t xml:space="preserve"> </w:t>
      </w:r>
      <w:proofErr w:type="spellStart"/>
      <w:r w:rsidRPr="00BF3A72">
        <w:rPr>
          <w:rFonts w:ascii="Times New Roman" w:hAnsi="Times New Roman" w:cs="Times New Roman"/>
          <w:lang w:val="de-DE"/>
        </w:rPr>
        <w:t>pilnvarniekam</w:t>
      </w:r>
      <w:proofErr w:type="spellEnd"/>
      <w:r w:rsidRPr="00BF3A72">
        <w:rPr>
          <w:rFonts w:ascii="Times New Roman" w:hAnsi="Times New Roman" w:cs="Times New Roman"/>
          <w:lang w:val="de-DE"/>
        </w:rPr>
        <w:t xml:space="preserve"> </w:t>
      </w:r>
      <w:proofErr w:type="spellStart"/>
      <w:r w:rsidRPr="00BF3A72">
        <w:rPr>
          <w:rFonts w:ascii="Times New Roman" w:hAnsi="Times New Roman" w:cs="Times New Roman"/>
          <w:lang w:val="de-DE"/>
        </w:rPr>
        <w:t>tiesības</w:t>
      </w:r>
      <w:proofErr w:type="spellEnd"/>
      <w:r w:rsidRPr="00BF3A72">
        <w:rPr>
          <w:rFonts w:ascii="Times New Roman" w:hAnsi="Times New Roman" w:cs="Times New Roman"/>
          <w:lang w:val="de-DE"/>
        </w:rPr>
        <w:t xml:space="preserve"> </w:t>
      </w:r>
      <w:proofErr w:type="spellStart"/>
      <w:r w:rsidRPr="00BF3A72">
        <w:rPr>
          <w:rFonts w:ascii="Times New Roman" w:hAnsi="Times New Roman" w:cs="Times New Roman"/>
          <w:lang w:val="de-DE"/>
        </w:rPr>
        <w:t>stāties</w:t>
      </w:r>
      <w:proofErr w:type="spellEnd"/>
      <w:r w:rsidRPr="00BF3A72">
        <w:rPr>
          <w:rFonts w:ascii="Times New Roman" w:hAnsi="Times New Roman" w:cs="Times New Roman"/>
          <w:lang w:val="de-DE"/>
        </w:rPr>
        <w:t xml:space="preserve"> </w:t>
      </w:r>
      <w:proofErr w:type="spellStart"/>
      <w:r w:rsidRPr="00BF3A72">
        <w:rPr>
          <w:rFonts w:ascii="Times New Roman" w:hAnsi="Times New Roman" w:cs="Times New Roman"/>
          <w:lang w:val="de-DE"/>
        </w:rPr>
        <w:t>tiesiskās</w:t>
      </w:r>
      <w:proofErr w:type="spellEnd"/>
      <w:r w:rsidRPr="00BF3A72">
        <w:rPr>
          <w:rFonts w:ascii="Times New Roman" w:hAnsi="Times New Roman" w:cs="Times New Roman"/>
          <w:lang w:val="de-DE"/>
        </w:rPr>
        <w:t xml:space="preserve"> </w:t>
      </w:r>
      <w:proofErr w:type="spellStart"/>
      <w:r w:rsidRPr="00BF3A72">
        <w:rPr>
          <w:rFonts w:ascii="Times New Roman" w:hAnsi="Times New Roman" w:cs="Times New Roman"/>
          <w:lang w:val="de-DE"/>
        </w:rPr>
        <w:t>attiecībās</w:t>
      </w:r>
      <w:proofErr w:type="spellEnd"/>
      <w:r w:rsidRPr="00BF3A72">
        <w:rPr>
          <w:rFonts w:ascii="Times New Roman" w:hAnsi="Times New Roman" w:cs="Times New Roman"/>
          <w:lang w:val="de-DE"/>
        </w:rPr>
        <w:t xml:space="preserve"> </w:t>
      </w:r>
      <w:proofErr w:type="spellStart"/>
      <w:r w:rsidRPr="00BF3A72">
        <w:rPr>
          <w:rFonts w:ascii="Times New Roman" w:hAnsi="Times New Roman" w:cs="Times New Roman"/>
          <w:u w:val="single"/>
          <w:lang w:val="de-DE"/>
        </w:rPr>
        <w:t>ar</w:t>
      </w:r>
      <w:proofErr w:type="spellEnd"/>
      <w:r w:rsidRPr="00BF3A72">
        <w:rPr>
          <w:rFonts w:ascii="Times New Roman" w:hAnsi="Times New Roman" w:cs="Times New Roman"/>
          <w:u w:val="single"/>
          <w:lang w:val="de-DE"/>
        </w:rPr>
        <w:t xml:space="preserve"> </w:t>
      </w:r>
      <w:proofErr w:type="spellStart"/>
      <w:r w:rsidRPr="00BF3A72">
        <w:rPr>
          <w:rFonts w:ascii="Times New Roman" w:hAnsi="Times New Roman" w:cs="Times New Roman"/>
          <w:u w:val="single"/>
          <w:lang w:val="de-DE"/>
        </w:rPr>
        <w:t>trešajām</w:t>
      </w:r>
      <w:proofErr w:type="spellEnd"/>
      <w:r w:rsidRPr="00BF3A72">
        <w:rPr>
          <w:rFonts w:ascii="Times New Roman" w:hAnsi="Times New Roman" w:cs="Times New Roman"/>
          <w:u w:val="single"/>
          <w:lang w:val="de-DE"/>
        </w:rPr>
        <w:t xml:space="preserve"> </w:t>
      </w:r>
      <w:proofErr w:type="spellStart"/>
      <w:r w:rsidRPr="00BF3A72">
        <w:rPr>
          <w:rFonts w:ascii="Times New Roman" w:hAnsi="Times New Roman" w:cs="Times New Roman"/>
          <w:u w:val="single"/>
          <w:lang w:val="de-DE"/>
        </w:rPr>
        <w:t>personām</w:t>
      </w:r>
      <w:proofErr w:type="spellEnd"/>
      <w:r w:rsidRPr="00BF3A72">
        <w:rPr>
          <w:rFonts w:ascii="Times New Roman" w:hAnsi="Times New Roman" w:cs="Times New Roman"/>
          <w:u w:val="single"/>
          <w:lang w:val="de-DE"/>
        </w:rPr>
        <w:t xml:space="preserve"> </w:t>
      </w:r>
      <w:proofErr w:type="spellStart"/>
      <w:r w:rsidRPr="00BF3A72">
        <w:rPr>
          <w:rFonts w:ascii="Times New Roman" w:hAnsi="Times New Roman" w:cs="Times New Roman"/>
          <w:lang w:val="de-DE"/>
        </w:rPr>
        <w:t>un</w:t>
      </w:r>
      <w:proofErr w:type="spellEnd"/>
      <w:r w:rsidRPr="00BF3A72">
        <w:rPr>
          <w:rFonts w:ascii="Times New Roman" w:hAnsi="Times New Roman" w:cs="Times New Roman"/>
          <w:lang w:val="de-DE"/>
        </w:rPr>
        <w:t xml:space="preserve"> </w:t>
      </w:r>
      <w:proofErr w:type="spellStart"/>
      <w:r w:rsidRPr="00BF3A72">
        <w:rPr>
          <w:rFonts w:ascii="Times New Roman" w:hAnsi="Times New Roman" w:cs="Times New Roman"/>
          <w:lang w:val="de-DE"/>
        </w:rPr>
        <w:t>darboties</w:t>
      </w:r>
      <w:proofErr w:type="spellEnd"/>
      <w:r w:rsidRPr="00BF3A72">
        <w:rPr>
          <w:rFonts w:ascii="Times New Roman" w:hAnsi="Times New Roman" w:cs="Times New Roman"/>
          <w:lang w:val="de-DE"/>
        </w:rPr>
        <w:t xml:space="preserve"> </w:t>
      </w:r>
      <w:proofErr w:type="spellStart"/>
      <w:r w:rsidRPr="00BF3A72">
        <w:rPr>
          <w:rFonts w:ascii="Times New Roman" w:hAnsi="Times New Roman" w:cs="Times New Roman"/>
          <w:lang w:val="de-DE"/>
        </w:rPr>
        <w:t>kā</w:t>
      </w:r>
      <w:proofErr w:type="spellEnd"/>
      <w:r w:rsidRPr="00BF3A72">
        <w:rPr>
          <w:rFonts w:ascii="Times New Roman" w:hAnsi="Times New Roman" w:cs="Times New Roman"/>
          <w:lang w:val="de-DE"/>
        </w:rPr>
        <w:t xml:space="preserve"> </w:t>
      </w:r>
      <w:proofErr w:type="spellStart"/>
      <w:r w:rsidRPr="00BF3A72">
        <w:rPr>
          <w:rFonts w:ascii="Times New Roman" w:hAnsi="Times New Roman" w:cs="Times New Roman"/>
          <w:lang w:val="de-DE"/>
        </w:rPr>
        <w:t>pilnvarotāja</w:t>
      </w:r>
      <w:proofErr w:type="spellEnd"/>
      <w:r w:rsidRPr="00BF3A72">
        <w:rPr>
          <w:rFonts w:ascii="Times New Roman" w:hAnsi="Times New Roman" w:cs="Times New Roman"/>
          <w:lang w:val="de-DE"/>
        </w:rPr>
        <w:t xml:space="preserve"> </w:t>
      </w:r>
      <w:proofErr w:type="spellStart"/>
      <w:r w:rsidRPr="00BF3A72">
        <w:rPr>
          <w:rFonts w:ascii="Times New Roman" w:hAnsi="Times New Roman" w:cs="Times New Roman"/>
          <w:lang w:val="de-DE"/>
        </w:rPr>
        <w:t>vietniekam</w:t>
      </w:r>
      <w:proofErr w:type="spellEnd"/>
      <w:r w:rsidRPr="00BF3A72">
        <w:rPr>
          <w:rFonts w:ascii="Times New Roman" w:hAnsi="Times New Roman" w:cs="Times New Roman"/>
          <w:lang w:val="de-DE"/>
        </w:rPr>
        <w:t xml:space="preserve">. </w:t>
      </w:r>
      <w:proofErr w:type="spellStart"/>
      <w:r w:rsidRPr="00BF3A72">
        <w:rPr>
          <w:rFonts w:ascii="Times New Roman" w:hAnsi="Times New Roman" w:cs="Times New Roman"/>
          <w:lang w:val="de-DE"/>
        </w:rPr>
        <w:t>Pilnvaru</w:t>
      </w:r>
      <w:proofErr w:type="spellEnd"/>
      <w:r w:rsidRPr="00BF3A72">
        <w:rPr>
          <w:rFonts w:ascii="Times New Roman" w:hAnsi="Times New Roman" w:cs="Times New Roman"/>
          <w:lang w:val="de-DE"/>
        </w:rPr>
        <w:t xml:space="preserve"> </w:t>
      </w:r>
      <w:proofErr w:type="spellStart"/>
      <w:r w:rsidRPr="00BF3A72">
        <w:rPr>
          <w:rFonts w:ascii="Times New Roman" w:hAnsi="Times New Roman" w:cs="Times New Roman"/>
          <w:lang w:val="de-DE"/>
        </w:rPr>
        <w:t>var</w:t>
      </w:r>
      <w:proofErr w:type="spellEnd"/>
      <w:r w:rsidRPr="00BF3A72">
        <w:rPr>
          <w:rFonts w:ascii="Times New Roman" w:hAnsi="Times New Roman" w:cs="Times New Roman"/>
          <w:lang w:val="de-DE"/>
        </w:rPr>
        <w:t xml:space="preserve"> </w:t>
      </w:r>
      <w:proofErr w:type="spellStart"/>
      <w:r w:rsidRPr="00BF3A72">
        <w:rPr>
          <w:rFonts w:ascii="Times New Roman" w:hAnsi="Times New Roman" w:cs="Times New Roman"/>
          <w:lang w:val="de-DE"/>
        </w:rPr>
        <w:t>izdot</w:t>
      </w:r>
      <w:proofErr w:type="spellEnd"/>
      <w:r w:rsidRPr="00BF3A72">
        <w:rPr>
          <w:rFonts w:ascii="Times New Roman" w:hAnsi="Times New Roman" w:cs="Times New Roman"/>
          <w:lang w:val="de-DE"/>
        </w:rPr>
        <w:t xml:space="preserve"> ne </w:t>
      </w:r>
      <w:proofErr w:type="spellStart"/>
      <w:r w:rsidRPr="00BF3A72">
        <w:rPr>
          <w:rFonts w:ascii="Times New Roman" w:hAnsi="Times New Roman" w:cs="Times New Roman"/>
          <w:lang w:val="de-DE"/>
        </w:rPr>
        <w:t>tikai</w:t>
      </w:r>
      <w:proofErr w:type="spellEnd"/>
      <w:r w:rsidRPr="00BF3A72">
        <w:rPr>
          <w:rFonts w:ascii="Times New Roman" w:hAnsi="Times New Roman" w:cs="Times New Roman"/>
          <w:lang w:val="de-DE"/>
        </w:rPr>
        <w:t xml:space="preserve"> </w:t>
      </w:r>
      <w:proofErr w:type="spellStart"/>
      <w:r w:rsidRPr="00BF3A72">
        <w:rPr>
          <w:rFonts w:ascii="Times New Roman" w:hAnsi="Times New Roman" w:cs="Times New Roman"/>
          <w:lang w:val="de-DE"/>
        </w:rPr>
        <w:t>pilnvarojuma</w:t>
      </w:r>
      <w:proofErr w:type="spellEnd"/>
      <w:r w:rsidRPr="00BF3A72">
        <w:rPr>
          <w:rFonts w:ascii="Times New Roman" w:hAnsi="Times New Roman" w:cs="Times New Roman"/>
          <w:lang w:val="de-DE"/>
        </w:rPr>
        <w:t xml:space="preserve"> </w:t>
      </w:r>
      <w:proofErr w:type="spellStart"/>
      <w:r w:rsidRPr="00BF3A72">
        <w:rPr>
          <w:rFonts w:ascii="Times New Roman" w:hAnsi="Times New Roman" w:cs="Times New Roman"/>
          <w:lang w:val="de-DE"/>
        </w:rPr>
        <w:t>līguma</w:t>
      </w:r>
      <w:proofErr w:type="spellEnd"/>
      <w:r w:rsidRPr="00BF3A72">
        <w:rPr>
          <w:rFonts w:ascii="Times New Roman" w:hAnsi="Times New Roman" w:cs="Times New Roman"/>
          <w:lang w:val="de-DE"/>
        </w:rPr>
        <w:t xml:space="preserve"> </w:t>
      </w:r>
      <w:proofErr w:type="spellStart"/>
      <w:r w:rsidRPr="00BF3A72">
        <w:rPr>
          <w:rFonts w:ascii="Times New Roman" w:hAnsi="Times New Roman" w:cs="Times New Roman"/>
          <w:lang w:val="de-DE"/>
        </w:rPr>
        <w:t>izpildei</w:t>
      </w:r>
      <w:proofErr w:type="spellEnd"/>
      <w:r w:rsidRPr="00BF3A72">
        <w:rPr>
          <w:rFonts w:ascii="Times New Roman" w:hAnsi="Times New Roman" w:cs="Times New Roman"/>
          <w:lang w:val="de-DE"/>
        </w:rPr>
        <w:t xml:space="preserve">, </w:t>
      </w:r>
      <w:proofErr w:type="spellStart"/>
      <w:r w:rsidRPr="00BF3A72">
        <w:rPr>
          <w:rFonts w:ascii="Times New Roman" w:hAnsi="Times New Roman" w:cs="Times New Roman"/>
          <w:lang w:val="de-DE"/>
        </w:rPr>
        <w:t>bet</w:t>
      </w:r>
      <w:proofErr w:type="spellEnd"/>
      <w:r w:rsidRPr="00BF3A72">
        <w:rPr>
          <w:rFonts w:ascii="Times New Roman" w:hAnsi="Times New Roman" w:cs="Times New Roman"/>
          <w:lang w:val="de-DE"/>
        </w:rPr>
        <w:t xml:space="preserve"> </w:t>
      </w:r>
      <w:proofErr w:type="spellStart"/>
      <w:r w:rsidRPr="00BF3A72">
        <w:rPr>
          <w:rFonts w:ascii="Times New Roman" w:hAnsi="Times New Roman" w:cs="Times New Roman"/>
          <w:lang w:val="de-DE"/>
        </w:rPr>
        <w:t>arī</w:t>
      </w:r>
      <w:proofErr w:type="spellEnd"/>
      <w:r w:rsidRPr="00BF3A72">
        <w:rPr>
          <w:rFonts w:ascii="Times New Roman" w:hAnsi="Times New Roman" w:cs="Times New Roman"/>
          <w:lang w:val="de-DE"/>
        </w:rPr>
        <w:t xml:space="preserve"> </w:t>
      </w:r>
      <w:proofErr w:type="spellStart"/>
      <w:r w:rsidRPr="00BF3A72">
        <w:rPr>
          <w:rFonts w:ascii="Times New Roman" w:hAnsi="Times New Roman" w:cs="Times New Roman"/>
          <w:lang w:val="de-DE"/>
        </w:rPr>
        <w:t>darba</w:t>
      </w:r>
      <w:proofErr w:type="spellEnd"/>
      <w:r w:rsidRPr="00BF3A72">
        <w:rPr>
          <w:rFonts w:ascii="Times New Roman" w:hAnsi="Times New Roman" w:cs="Times New Roman"/>
          <w:lang w:val="de-DE"/>
        </w:rPr>
        <w:t xml:space="preserve"> </w:t>
      </w:r>
      <w:proofErr w:type="spellStart"/>
      <w:r w:rsidRPr="00BF3A72">
        <w:rPr>
          <w:rFonts w:ascii="Times New Roman" w:hAnsi="Times New Roman" w:cs="Times New Roman"/>
          <w:lang w:val="de-DE"/>
        </w:rPr>
        <w:t>tiesisko</w:t>
      </w:r>
      <w:proofErr w:type="spellEnd"/>
      <w:r w:rsidRPr="00BF3A72">
        <w:rPr>
          <w:rFonts w:ascii="Times New Roman" w:hAnsi="Times New Roman" w:cs="Times New Roman"/>
          <w:lang w:val="de-DE"/>
        </w:rPr>
        <w:t xml:space="preserve"> </w:t>
      </w:r>
      <w:proofErr w:type="spellStart"/>
      <w:r w:rsidRPr="00BF3A72">
        <w:rPr>
          <w:rFonts w:ascii="Times New Roman" w:hAnsi="Times New Roman" w:cs="Times New Roman"/>
          <w:lang w:val="de-DE"/>
        </w:rPr>
        <w:t>attiecību</w:t>
      </w:r>
      <w:proofErr w:type="spellEnd"/>
      <w:r w:rsidRPr="00BF3A72">
        <w:rPr>
          <w:rFonts w:ascii="Times New Roman" w:hAnsi="Times New Roman" w:cs="Times New Roman"/>
          <w:lang w:val="de-DE"/>
        </w:rPr>
        <w:t xml:space="preserve"> </w:t>
      </w:r>
      <w:proofErr w:type="spellStart"/>
      <w:r w:rsidRPr="00BF3A72">
        <w:rPr>
          <w:rFonts w:ascii="Times New Roman" w:hAnsi="Times New Roman" w:cs="Times New Roman"/>
          <w:lang w:val="de-DE"/>
        </w:rPr>
        <w:t>ietvaros</w:t>
      </w:r>
      <w:proofErr w:type="spellEnd"/>
      <w:r w:rsidRPr="00BF3A72">
        <w:rPr>
          <w:rFonts w:ascii="Times New Roman" w:hAnsi="Times New Roman" w:cs="Times New Roman"/>
          <w:lang w:val="de-DE"/>
        </w:rPr>
        <w:t xml:space="preserve">. </w:t>
      </w:r>
      <w:proofErr w:type="spellStart"/>
      <w:r w:rsidRPr="00BF3A72">
        <w:rPr>
          <w:rFonts w:ascii="Times New Roman" w:hAnsi="Times New Roman" w:cs="Times New Roman"/>
          <w:u w:val="single"/>
          <w:lang w:val="de-DE"/>
        </w:rPr>
        <w:t>Pilnvaras</w:t>
      </w:r>
      <w:proofErr w:type="spellEnd"/>
      <w:r w:rsidRPr="00BF3A72">
        <w:rPr>
          <w:rFonts w:ascii="Times New Roman" w:hAnsi="Times New Roman" w:cs="Times New Roman"/>
          <w:u w:val="single"/>
          <w:lang w:val="de-DE"/>
        </w:rPr>
        <w:t xml:space="preserve"> </w:t>
      </w:r>
      <w:proofErr w:type="spellStart"/>
      <w:r w:rsidRPr="00BF3A72">
        <w:rPr>
          <w:rFonts w:ascii="Times New Roman" w:hAnsi="Times New Roman" w:cs="Times New Roman"/>
          <w:u w:val="single"/>
          <w:lang w:val="de-DE"/>
        </w:rPr>
        <w:t>došana</w:t>
      </w:r>
      <w:proofErr w:type="spellEnd"/>
      <w:r w:rsidRPr="00BF3A72">
        <w:rPr>
          <w:rFonts w:ascii="Times New Roman" w:hAnsi="Times New Roman" w:cs="Times New Roman"/>
          <w:u w:val="single"/>
          <w:lang w:val="de-DE"/>
        </w:rPr>
        <w:t xml:space="preserve"> </w:t>
      </w:r>
      <w:proofErr w:type="spellStart"/>
      <w:r w:rsidRPr="00BF3A72">
        <w:rPr>
          <w:rFonts w:ascii="Times New Roman" w:hAnsi="Times New Roman" w:cs="Times New Roman"/>
          <w:u w:val="single"/>
          <w:lang w:val="de-DE"/>
        </w:rPr>
        <w:t>ir</w:t>
      </w:r>
      <w:proofErr w:type="spellEnd"/>
      <w:r w:rsidRPr="00BF3A72">
        <w:rPr>
          <w:rFonts w:ascii="Times New Roman" w:hAnsi="Times New Roman" w:cs="Times New Roman"/>
          <w:u w:val="single"/>
          <w:lang w:val="de-DE"/>
        </w:rPr>
        <w:t xml:space="preserve"> </w:t>
      </w:r>
      <w:proofErr w:type="spellStart"/>
      <w:r w:rsidRPr="00BF3A72">
        <w:rPr>
          <w:rFonts w:ascii="Times New Roman" w:hAnsi="Times New Roman" w:cs="Times New Roman"/>
          <w:u w:val="single"/>
          <w:lang w:val="de-DE"/>
        </w:rPr>
        <w:t>vienpusējs</w:t>
      </w:r>
      <w:proofErr w:type="spellEnd"/>
      <w:r w:rsidRPr="00BF3A72">
        <w:rPr>
          <w:rFonts w:ascii="Times New Roman" w:hAnsi="Times New Roman" w:cs="Times New Roman"/>
          <w:u w:val="single"/>
          <w:lang w:val="de-DE"/>
        </w:rPr>
        <w:t xml:space="preserve"> </w:t>
      </w:r>
      <w:proofErr w:type="spellStart"/>
      <w:r w:rsidRPr="00BF3A72">
        <w:rPr>
          <w:rFonts w:ascii="Times New Roman" w:hAnsi="Times New Roman" w:cs="Times New Roman"/>
          <w:u w:val="single"/>
          <w:lang w:val="de-DE"/>
        </w:rPr>
        <w:t>gribas</w:t>
      </w:r>
      <w:proofErr w:type="spellEnd"/>
      <w:r w:rsidRPr="00BF3A72">
        <w:rPr>
          <w:rFonts w:ascii="Times New Roman" w:hAnsi="Times New Roman" w:cs="Times New Roman"/>
          <w:u w:val="single"/>
          <w:lang w:val="de-DE"/>
        </w:rPr>
        <w:t xml:space="preserve"> </w:t>
      </w:r>
      <w:proofErr w:type="spellStart"/>
      <w:r w:rsidRPr="00BF3A72">
        <w:rPr>
          <w:rFonts w:ascii="Times New Roman" w:hAnsi="Times New Roman" w:cs="Times New Roman"/>
          <w:u w:val="single"/>
          <w:lang w:val="de-DE"/>
        </w:rPr>
        <w:t>akts</w:t>
      </w:r>
      <w:proofErr w:type="spellEnd"/>
      <w:r w:rsidRPr="00BF3A72">
        <w:rPr>
          <w:rFonts w:ascii="Times New Roman" w:hAnsi="Times New Roman" w:cs="Times New Roman"/>
          <w:u w:val="single"/>
          <w:lang w:val="de-DE"/>
        </w:rPr>
        <w:t xml:space="preserve">, </w:t>
      </w:r>
      <w:proofErr w:type="spellStart"/>
      <w:r w:rsidRPr="00BF3A72">
        <w:rPr>
          <w:rFonts w:ascii="Times New Roman" w:hAnsi="Times New Roman" w:cs="Times New Roman"/>
          <w:u w:val="single"/>
          <w:lang w:val="de-DE"/>
        </w:rPr>
        <w:t>vienpusējs</w:t>
      </w:r>
      <w:proofErr w:type="spellEnd"/>
      <w:r w:rsidRPr="00BF3A72">
        <w:rPr>
          <w:rFonts w:ascii="Times New Roman" w:hAnsi="Times New Roman" w:cs="Times New Roman"/>
          <w:u w:val="single"/>
          <w:lang w:val="de-DE"/>
        </w:rPr>
        <w:t xml:space="preserve"> </w:t>
      </w:r>
      <w:proofErr w:type="spellStart"/>
      <w:r w:rsidRPr="00BF3A72">
        <w:rPr>
          <w:rFonts w:ascii="Times New Roman" w:hAnsi="Times New Roman" w:cs="Times New Roman"/>
          <w:u w:val="single"/>
          <w:lang w:val="de-DE"/>
        </w:rPr>
        <w:t>darījums</w:t>
      </w:r>
      <w:proofErr w:type="spellEnd"/>
      <w:r w:rsidRPr="00BF3A72">
        <w:rPr>
          <w:rFonts w:ascii="Times New Roman" w:hAnsi="Times New Roman" w:cs="Times New Roman"/>
          <w:lang w:val="de-DE"/>
        </w:rPr>
        <w:t xml:space="preserve">, </w:t>
      </w:r>
      <w:proofErr w:type="spellStart"/>
      <w:r w:rsidRPr="00BF3A72">
        <w:rPr>
          <w:rFonts w:ascii="Times New Roman" w:hAnsi="Times New Roman" w:cs="Times New Roman"/>
          <w:lang w:val="de-DE"/>
        </w:rPr>
        <w:t>kas</w:t>
      </w:r>
      <w:proofErr w:type="spellEnd"/>
      <w:r w:rsidRPr="00BF3A72">
        <w:rPr>
          <w:rFonts w:ascii="Times New Roman" w:hAnsi="Times New Roman" w:cs="Times New Roman"/>
          <w:lang w:val="de-DE"/>
        </w:rPr>
        <w:t xml:space="preserve"> </w:t>
      </w:r>
      <w:proofErr w:type="spellStart"/>
      <w:r w:rsidRPr="00BF3A72">
        <w:rPr>
          <w:rFonts w:ascii="Times New Roman" w:hAnsi="Times New Roman" w:cs="Times New Roman"/>
          <w:lang w:val="de-DE"/>
        </w:rPr>
        <w:t>nebūt</w:t>
      </w:r>
      <w:proofErr w:type="spellEnd"/>
      <w:r w:rsidRPr="00BF3A72">
        <w:rPr>
          <w:rFonts w:ascii="Times New Roman" w:hAnsi="Times New Roman" w:cs="Times New Roman"/>
          <w:lang w:val="de-DE"/>
        </w:rPr>
        <w:t xml:space="preserve"> </w:t>
      </w:r>
      <w:proofErr w:type="spellStart"/>
      <w:r w:rsidRPr="00BF3A72">
        <w:rPr>
          <w:rFonts w:ascii="Times New Roman" w:hAnsi="Times New Roman" w:cs="Times New Roman"/>
          <w:lang w:val="de-DE"/>
        </w:rPr>
        <w:t>nesaista</w:t>
      </w:r>
      <w:proofErr w:type="spellEnd"/>
      <w:r w:rsidRPr="00BF3A72">
        <w:rPr>
          <w:rFonts w:ascii="Times New Roman" w:hAnsi="Times New Roman" w:cs="Times New Roman"/>
          <w:lang w:val="de-DE"/>
        </w:rPr>
        <w:t xml:space="preserve"> </w:t>
      </w:r>
      <w:proofErr w:type="spellStart"/>
      <w:r w:rsidRPr="00BF3A72">
        <w:rPr>
          <w:rFonts w:ascii="Times New Roman" w:hAnsi="Times New Roman" w:cs="Times New Roman"/>
          <w:lang w:val="de-DE"/>
        </w:rPr>
        <w:t>pilnvarojumu</w:t>
      </w:r>
      <w:proofErr w:type="spellEnd"/>
      <w:r w:rsidRPr="00BF3A72">
        <w:rPr>
          <w:rFonts w:ascii="Times New Roman" w:hAnsi="Times New Roman" w:cs="Times New Roman"/>
          <w:lang w:val="de-DE"/>
        </w:rPr>
        <w:t xml:space="preserve"> </w:t>
      </w:r>
      <w:proofErr w:type="spellStart"/>
      <w:r w:rsidRPr="00BF3A72">
        <w:rPr>
          <w:rFonts w:ascii="Times New Roman" w:hAnsi="Times New Roman" w:cs="Times New Roman"/>
          <w:lang w:val="de-DE"/>
        </w:rPr>
        <w:t>saņēmušo</w:t>
      </w:r>
      <w:proofErr w:type="spellEnd"/>
      <w:r w:rsidRPr="00BF3A72">
        <w:rPr>
          <w:rFonts w:ascii="Times New Roman" w:hAnsi="Times New Roman" w:cs="Times New Roman"/>
          <w:lang w:val="de-DE"/>
        </w:rPr>
        <w:t xml:space="preserve"> </w:t>
      </w:r>
      <w:proofErr w:type="spellStart"/>
      <w:r w:rsidRPr="00BF3A72">
        <w:rPr>
          <w:rFonts w:ascii="Times New Roman" w:hAnsi="Times New Roman" w:cs="Times New Roman"/>
          <w:lang w:val="de-DE"/>
        </w:rPr>
        <w:t>personu</w:t>
      </w:r>
      <w:proofErr w:type="spellEnd"/>
      <w:r w:rsidRPr="00BF3A72">
        <w:rPr>
          <w:rFonts w:ascii="Times New Roman" w:hAnsi="Times New Roman" w:cs="Times New Roman"/>
          <w:lang w:val="de-DE"/>
        </w:rPr>
        <w:t xml:space="preserve"> kaut </w:t>
      </w:r>
      <w:proofErr w:type="spellStart"/>
      <w:r w:rsidRPr="00BF3A72">
        <w:rPr>
          <w:rFonts w:ascii="Times New Roman" w:hAnsi="Times New Roman" w:cs="Times New Roman"/>
          <w:lang w:val="de-DE"/>
        </w:rPr>
        <w:t>ko</w:t>
      </w:r>
      <w:proofErr w:type="spellEnd"/>
      <w:r w:rsidRPr="00BF3A72">
        <w:rPr>
          <w:rFonts w:ascii="Times New Roman" w:hAnsi="Times New Roman" w:cs="Times New Roman"/>
          <w:lang w:val="de-DE"/>
        </w:rPr>
        <w:t xml:space="preserve"> </w:t>
      </w:r>
      <w:proofErr w:type="spellStart"/>
      <w:r w:rsidRPr="00BF3A72">
        <w:rPr>
          <w:rFonts w:ascii="Times New Roman" w:hAnsi="Times New Roman" w:cs="Times New Roman"/>
          <w:lang w:val="de-DE"/>
        </w:rPr>
        <w:t>darīt</w:t>
      </w:r>
      <w:proofErr w:type="spellEnd"/>
      <w:r w:rsidRPr="00BF3A72">
        <w:rPr>
          <w:rFonts w:ascii="Times New Roman" w:hAnsi="Times New Roman" w:cs="Times New Roman"/>
          <w:lang w:val="de-DE"/>
        </w:rPr>
        <w:t xml:space="preserve"> </w:t>
      </w:r>
      <w:proofErr w:type="spellStart"/>
      <w:r w:rsidRPr="00BF3A72">
        <w:rPr>
          <w:rFonts w:ascii="Times New Roman" w:hAnsi="Times New Roman" w:cs="Times New Roman"/>
          <w:lang w:val="de-DE"/>
        </w:rPr>
        <w:t>un</w:t>
      </w:r>
      <w:proofErr w:type="spellEnd"/>
      <w:r w:rsidRPr="00BF3A72">
        <w:rPr>
          <w:rFonts w:ascii="Times New Roman" w:hAnsi="Times New Roman" w:cs="Times New Roman"/>
          <w:lang w:val="de-DE"/>
        </w:rPr>
        <w:t xml:space="preserve"> </w:t>
      </w:r>
      <w:proofErr w:type="spellStart"/>
      <w:r w:rsidRPr="00BF3A72">
        <w:rPr>
          <w:rFonts w:ascii="Times New Roman" w:hAnsi="Times New Roman" w:cs="Times New Roman"/>
          <w:lang w:val="de-DE"/>
        </w:rPr>
        <w:t>neatrisina</w:t>
      </w:r>
      <w:proofErr w:type="spellEnd"/>
      <w:r w:rsidRPr="00BF3A72">
        <w:rPr>
          <w:rFonts w:ascii="Times New Roman" w:hAnsi="Times New Roman" w:cs="Times New Roman"/>
          <w:lang w:val="de-DE"/>
        </w:rPr>
        <w:t xml:space="preserve"> </w:t>
      </w:r>
      <w:proofErr w:type="spellStart"/>
      <w:r w:rsidRPr="00BF3A72">
        <w:rPr>
          <w:rFonts w:ascii="Times New Roman" w:hAnsi="Times New Roman" w:cs="Times New Roman"/>
          <w:lang w:val="de-DE"/>
        </w:rPr>
        <w:t>arī</w:t>
      </w:r>
      <w:proofErr w:type="spellEnd"/>
      <w:r w:rsidRPr="00BF3A72">
        <w:rPr>
          <w:rFonts w:ascii="Times New Roman" w:hAnsi="Times New Roman" w:cs="Times New Roman"/>
          <w:lang w:val="de-DE"/>
        </w:rPr>
        <w:t xml:space="preserve"> </w:t>
      </w:r>
      <w:proofErr w:type="spellStart"/>
      <w:r w:rsidRPr="00BF3A72">
        <w:rPr>
          <w:rFonts w:ascii="Times New Roman" w:hAnsi="Times New Roman" w:cs="Times New Roman"/>
          <w:lang w:val="de-DE"/>
        </w:rPr>
        <w:t>jautājumus</w:t>
      </w:r>
      <w:proofErr w:type="spellEnd"/>
      <w:r w:rsidRPr="00BF3A72">
        <w:rPr>
          <w:rFonts w:ascii="Times New Roman" w:hAnsi="Times New Roman" w:cs="Times New Roman"/>
          <w:lang w:val="de-DE"/>
        </w:rPr>
        <w:t xml:space="preserve"> par </w:t>
      </w:r>
      <w:proofErr w:type="spellStart"/>
      <w:r w:rsidRPr="00BF3A72">
        <w:rPr>
          <w:rFonts w:ascii="Times New Roman" w:hAnsi="Times New Roman" w:cs="Times New Roman"/>
          <w:lang w:val="de-DE"/>
        </w:rPr>
        <w:t>savstarpēju</w:t>
      </w:r>
      <w:proofErr w:type="spellEnd"/>
      <w:r w:rsidRPr="00BF3A72">
        <w:rPr>
          <w:rFonts w:ascii="Times New Roman" w:hAnsi="Times New Roman" w:cs="Times New Roman"/>
          <w:lang w:val="de-DE"/>
        </w:rPr>
        <w:t xml:space="preserve"> </w:t>
      </w:r>
      <w:proofErr w:type="spellStart"/>
      <w:r w:rsidRPr="00BF3A72">
        <w:rPr>
          <w:rFonts w:ascii="Times New Roman" w:hAnsi="Times New Roman" w:cs="Times New Roman"/>
          <w:lang w:val="de-DE"/>
        </w:rPr>
        <w:t>rīcības</w:t>
      </w:r>
      <w:proofErr w:type="spellEnd"/>
      <w:r w:rsidRPr="00BF3A72">
        <w:rPr>
          <w:rFonts w:ascii="Times New Roman" w:hAnsi="Times New Roman" w:cs="Times New Roman"/>
          <w:lang w:val="de-DE"/>
        </w:rPr>
        <w:t xml:space="preserve"> </w:t>
      </w:r>
      <w:proofErr w:type="spellStart"/>
      <w:r w:rsidRPr="00BF3A72">
        <w:rPr>
          <w:rFonts w:ascii="Times New Roman" w:hAnsi="Times New Roman" w:cs="Times New Roman"/>
          <w:lang w:val="de-DE"/>
        </w:rPr>
        <w:t>saskaņošanu</w:t>
      </w:r>
      <w:proofErr w:type="spellEnd"/>
      <w:r w:rsidRPr="00BF3A72">
        <w:rPr>
          <w:rFonts w:ascii="Times New Roman" w:hAnsi="Times New Roman" w:cs="Times New Roman"/>
          <w:lang w:val="de-DE"/>
        </w:rPr>
        <w:t xml:space="preserve">, ja </w:t>
      </w:r>
      <w:proofErr w:type="spellStart"/>
      <w:r w:rsidRPr="00BF3A72">
        <w:rPr>
          <w:rFonts w:ascii="Times New Roman" w:hAnsi="Times New Roman" w:cs="Times New Roman"/>
          <w:lang w:val="de-DE"/>
        </w:rPr>
        <w:t>uzdevuma</w:t>
      </w:r>
      <w:proofErr w:type="spellEnd"/>
      <w:r w:rsidRPr="00BF3A72">
        <w:rPr>
          <w:rFonts w:ascii="Times New Roman" w:hAnsi="Times New Roman" w:cs="Times New Roman"/>
          <w:lang w:val="de-DE"/>
        </w:rPr>
        <w:t xml:space="preserve"> </w:t>
      </w:r>
      <w:proofErr w:type="spellStart"/>
      <w:r w:rsidRPr="00BF3A72">
        <w:rPr>
          <w:rFonts w:ascii="Times New Roman" w:hAnsi="Times New Roman" w:cs="Times New Roman"/>
          <w:lang w:val="de-DE"/>
        </w:rPr>
        <w:t>izpilde</w:t>
      </w:r>
      <w:proofErr w:type="spellEnd"/>
      <w:r w:rsidRPr="00BF3A72">
        <w:rPr>
          <w:rFonts w:ascii="Times New Roman" w:hAnsi="Times New Roman" w:cs="Times New Roman"/>
          <w:lang w:val="de-DE"/>
        </w:rPr>
        <w:t xml:space="preserve"> </w:t>
      </w:r>
      <w:proofErr w:type="spellStart"/>
      <w:r w:rsidRPr="00BF3A72">
        <w:rPr>
          <w:rFonts w:ascii="Times New Roman" w:hAnsi="Times New Roman" w:cs="Times New Roman"/>
          <w:lang w:val="de-DE"/>
        </w:rPr>
        <w:t>veicama</w:t>
      </w:r>
      <w:proofErr w:type="spellEnd"/>
      <w:r w:rsidRPr="00BF3A72">
        <w:rPr>
          <w:rFonts w:ascii="Times New Roman" w:hAnsi="Times New Roman" w:cs="Times New Roman"/>
          <w:lang w:val="de-DE"/>
        </w:rPr>
        <w:t xml:space="preserve"> </w:t>
      </w:r>
      <w:proofErr w:type="spellStart"/>
      <w:r w:rsidRPr="00BF3A72">
        <w:rPr>
          <w:rFonts w:ascii="Times New Roman" w:hAnsi="Times New Roman" w:cs="Times New Roman"/>
          <w:lang w:val="de-DE"/>
        </w:rPr>
        <w:t>ilgākā</w:t>
      </w:r>
      <w:proofErr w:type="spellEnd"/>
      <w:r w:rsidRPr="00BF3A72">
        <w:rPr>
          <w:rFonts w:ascii="Times New Roman" w:hAnsi="Times New Roman" w:cs="Times New Roman"/>
          <w:lang w:val="de-DE"/>
        </w:rPr>
        <w:t xml:space="preserve"> </w:t>
      </w:r>
      <w:proofErr w:type="spellStart"/>
      <w:r w:rsidRPr="00BF3A72">
        <w:rPr>
          <w:rFonts w:ascii="Times New Roman" w:hAnsi="Times New Roman" w:cs="Times New Roman"/>
          <w:lang w:val="de-DE"/>
        </w:rPr>
        <w:t>laikā</w:t>
      </w:r>
      <w:proofErr w:type="spellEnd"/>
      <w:r w:rsidRPr="00BF3A72">
        <w:rPr>
          <w:rFonts w:ascii="Times New Roman" w:hAnsi="Times New Roman" w:cs="Times New Roman"/>
          <w:lang w:val="de-DE"/>
        </w:rPr>
        <w:t xml:space="preserve">, </w:t>
      </w:r>
      <w:proofErr w:type="spellStart"/>
      <w:r w:rsidRPr="00BF3A72">
        <w:rPr>
          <w:rFonts w:ascii="Times New Roman" w:hAnsi="Times New Roman" w:cs="Times New Roman"/>
          <w:lang w:val="de-DE"/>
        </w:rPr>
        <w:t>kā</w:t>
      </w:r>
      <w:proofErr w:type="spellEnd"/>
      <w:r w:rsidRPr="00BF3A72">
        <w:rPr>
          <w:rFonts w:ascii="Times New Roman" w:hAnsi="Times New Roman" w:cs="Times New Roman"/>
          <w:lang w:val="de-DE"/>
        </w:rPr>
        <w:t xml:space="preserve"> </w:t>
      </w:r>
      <w:proofErr w:type="spellStart"/>
      <w:r w:rsidRPr="00BF3A72">
        <w:rPr>
          <w:rFonts w:ascii="Times New Roman" w:hAnsi="Times New Roman" w:cs="Times New Roman"/>
          <w:lang w:val="de-DE"/>
        </w:rPr>
        <w:t>arī</w:t>
      </w:r>
      <w:proofErr w:type="spellEnd"/>
      <w:r w:rsidRPr="00BF3A72">
        <w:rPr>
          <w:rFonts w:ascii="Times New Roman" w:hAnsi="Times New Roman" w:cs="Times New Roman"/>
          <w:lang w:val="de-DE"/>
        </w:rPr>
        <w:t xml:space="preserve"> par </w:t>
      </w:r>
      <w:proofErr w:type="spellStart"/>
      <w:r w:rsidRPr="00BF3A72">
        <w:rPr>
          <w:rFonts w:ascii="Times New Roman" w:hAnsi="Times New Roman" w:cs="Times New Roman"/>
          <w:lang w:val="de-DE"/>
        </w:rPr>
        <w:t>iespējamo</w:t>
      </w:r>
      <w:proofErr w:type="spellEnd"/>
      <w:r w:rsidRPr="00BF3A72">
        <w:rPr>
          <w:rFonts w:ascii="Times New Roman" w:hAnsi="Times New Roman" w:cs="Times New Roman"/>
          <w:lang w:val="de-DE"/>
        </w:rPr>
        <w:t xml:space="preserve"> </w:t>
      </w:r>
      <w:proofErr w:type="spellStart"/>
      <w:r w:rsidRPr="00BF3A72">
        <w:rPr>
          <w:rFonts w:ascii="Times New Roman" w:hAnsi="Times New Roman" w:cs="Times New Roman"/>
          <w:lang w:val="de-DE"/>
        </w:rPr>
        <w:t>atlīdzību</w:t>
      </w:r>
      <w:proofErr w:type="spellEnd"/>
      <w:r w:rsidRPr="00BF3A72">
        <w:rPr>
          <w:rFonts w:ascii="Times New Roman" w:hAnsi="Times New Roman" w:cs="Times New Roman"/>
          <w:lang w:val="de-DE"/>
        </w:rPr>
        <w:t>.</w:t>
      </w:r>
      <w:r w:rsidRPr="00BF3A72">
        <w:rPr>
          <w:rStyle w:val="FootnoteReference"/>
          <w:rFonts w:ascii="Times New Roman" w:hAnsi="Times New Roman" w:cs="Times New Roman"/>
          <w:lang w:val="de-DE"/>
        </w:rPr>
        <w:footnoteReference w:id="20"/>
      </w:r>
    </w:p>
    <w:p w14:paraId="69D0EF89" w14:textId="77777777" w:rsidR="00114953" w:rsidRPr="00BF3A72" w:rsidRDefault="00114953" w:rsidP="00114953">
      <w:pPr>
        <w:ind w:firstLine="708"/>
        <w:jc w:val="both"/>
        <w:rPr>
          <w:rFonts w:ascii="Times New Roman" w:hAnsi="Times New Roman" w:cs="Times New Roman"/>
          <w:lang w:val="de-DE"/>
        </w:rPr>
      </w:pPr>
      <w:proofErr w:type="spellStart"/>
      <w:r w:rsidRPr="00BF3A72">
        <w:rPr>
          <w:rFonts w:ascii="Times New Roman" w:hAnsi="Times New Roman" w:cs="Times New Roman"/>
          <w:u w:val="single"/>
          <w:lang w:val="de-DE"/>
        </w:rPr>
        <w:t>Rakstiska</w:t>
      </w:r>
      <w:proofErr w:type="spellEnd"/>
      <w:r w:rsidRPr="00BF3A72">
        <w:rPr>
          <w:rFonts w:ascii="Times New Roman" w:hAnsi="Times New Roman" w:cs="Times New Roman"/>
          <w:u w:val="single"/>
          <w:lang w:val="de-DE"/>
        </w:rPr>
        <w:t xml:space="preserve"> </w:t>
      </w:r>
      <w:proofErr w:type="spellStart"/>
      <w:r w:rsidRPr="00BF3A72">
        <w:rPr>
          <w:rFonts w:ascii="Times New Roman" w:hAnsi="Times New Roman" w:cs="Times New Roman"/>
          <w:u w:val="single"/>
          <w:lang w:val="de-DE"/>
        </w:rPr>
        <w:t>pilnvara</w:t>
      </w:r>
      <w:proofErr w:type="spellEnd"/>
      <w:r w:rsidRPr="00BF3A72">
        <w:rPr>
          <w:rFonts w:ascii="Times New Roman" w:hAnsi="Times New Roman" w:cs="Times New Roman"/>
          <w:u w:val="single"/>
          <w:lang w:val="de-DE"/>
        </w:rPr>
        <w:t xml:space="preserve"> </w:t>
      </w:r>
      <w:proofErr w:type="spellStart"/>
      <w:r w:rsidRPr="00BF3A72">
        <w:rPr>
          <w:rFonts w:ascii="Times New Roman" w:hAnsi="Times New Roman" w:cs="Times New Roman"/>
          <w:u w:val="single"/>
          <w:lang w:val="de-DE"/>
        </w:rPr>
        <w:t>kļūst</w:t>
      </w:r>
      <w:proofErr w:type="spellEnd"/>
      <w:r w:rsidRPr="00BF3A72">
        <w:rPr>
          <w:rFonts w:ascii="Times New Roman" w:hAnsi="Times New Roman" w:cs="Times New Roman"/>
          <w:u w:val="single"/>
          <w:lang w:val="de-DE"/>
        </w:rPr>
        <w:t xml:space="preserve"> par </w:t>
      </w:r>
      <w:proofErr w:type="spellStart"/>
      <w:r w:rsidRPr="00BF3A72">
        <w:rPr>
          <w:rFonts w:ascii="Times New Roman" w:hAnsi="Times New Roman" w:cs="Times New Roman"/>
          <w:u w:val="single"/>
          <w:lang w:val="de-DE"/>
        </w:rPr>
        <w:t>pilnvarojuma</w:t>
      </w:r>
      <w:proofErr w:type="spellEnd"/>
      <w:r w:rsidRPr="00BF3A72">
        <w:rPr>
          <w:rFonts w:ascii="Times New Roman" w:hAnsi="Times New Roman" w:cs="Times New Roman"/>
          <w:u w:val="single"/>
          <w:lang w:val="de-DE"/>
        </w:rPr>
        <w:t xml:space="preserve"> </w:t>
      </w:r>
      <w:proofErr w:type="spellStart"/>
      <w:r w:rsidRPr="00BF3A72">
        <w:rPr>
          <w:rFonts w:ascii="Times New Roman" w:hAnsi="Times New Roman" w:cs="Times New Roman"/>
          <w:u w:val="single"/>
          <w:lang w:val="de-DE"/>
        </w:rPr>
        <w:t>līguma</w:t>
      </w:r>
      <w:proofErr w:type="spellEnd"/>
      <w:r w:rsidRPr="00BF3A72">
        <w:rPr>
          <w:rFonts w:ascii="Times New Roman" w:hAnsi="Times New Roman" w:cs="Times New Roman"/>
          <w:u w:val="single"/>
          <w:lang w:val="de-DE"/>
        </w:rPr>
        <w:t xml:space="preserve"> </w:t>
      </w:r>
      <w:proofErr w:type="spellStart"/>
      <w:r w:rsidRPr="00BF3A72">
        <w:rPr>
          <w:rFonts w:ascii="Times New Roman" w:hAnsi="Times New Roman" w:cs="Times New Roman"/>
          <w:u w:val="single"/>
          <w:lang w:val="de-DE"/>
        </w:rPr>
        <w:t>noslēgšanas</w:t>
      </w:r>
      <w:proofErr w:type="spellEnd"/>
      <w:r w:rsidRPr="00BF3A72">
        <w:rPr>
          <w:rFonts w:ascii="Times New Roman" w:hAnsi="Times New Roman" w:cs="Times New Roman"/>
          <w:u w:val="single"/>
          <w:lang w:val="de-DE"/>
        </w:rPr>
        <w:t xml:space="preserve"> </w:t>
      </w:r>
      <w:proofErr w:type="spellStart"/>
      <w:r w:rsidRPr="00BF3A72">
        <w:rPr>
          <w:rFonts w:ascii="Times New Roman" w:hAnsi="Times New Roman" w:cs="Times New Roman"/>
          <w:u w:val="single"/>
          <w:lang w:val="de-DE"/>
        </w:rPr>
        <w:t>pierādījumu</w:t>
      </w:r>
      <w:proofErr w:type="spellEnd"/>
      <w:r w:rsidRPr="00BF3A72">
        <w:rPr>
          <w:rFonts w:ascii="Times New Roman" w:hAnsi="Times New Roman" w:cs="Times New Roman"/>
          <w:lang w:val="de-DE"/>
        </w:rPr>
        <w:t xml:space="preserve">. Tas, </w:t>
      </w:r>
      <w:proofErr w:type="spellStart"/>
      <w:r w:rsidRPr="00BF3A72">
        <w:rPr>
          <w:rFonts w:ascii="Times New Roman" w:hAnsi="Times New Roman" w:cs="Times New Roman"/>
          <w:lang w:val="de-DE"/>
        </w:rPr>
        <w:t>ka</w:t>
      </w:r>
      <w:proofErr w:type="spellEnd"/>
      <w:r w:rsidRPr="00BF3A72">
        <w:rPr>
          <w:rFonts w:ascii="Times New Roman" w:hAnsi="Times New Roman" w:cs="Times New Roman"/>
          <w:lang w:val="de-DE"/>
        </w:rPr>
        <w:t xml:space="preserve"> </w:t>
      </w:r>
      <w:proofErr w:type="spellStart"/>
      <w:r w:rsidRPr="00BF3A72">
        <w:rPr>
          <w:rFonts w:ascii="Times New Roman" w:hAnsi="Times New Roman" w:cs="Times New Roman"/>
          <w:lang w:val="de-DE"/>
        </w:rPr>
        <w:t>pilnvarnieks</w:t>
      </w:r>
      <w:proofErr w:type="spellEnd"/>
      <w:r w:rsidRPr="00BF3A72">
        <w:rPr>
          <w:rFonts w:ascii="Times New Roman" w:hAnsi="Times New Roman" w:cs="Times New Roman"/>
          <w:lang w:val="de-DE"/>
        </w:rPr>
        <w:t xml:space="preserve"> </w:t>
      </w:r>
      <w:proofErr w:type="spellStart"/>
      <w:r w:rsidRPr="00BF3A72">
        <w:rPr>
          <w:rFonts w:ascii="Times New Roman" w:hAnsi="Times New Roman" w:cs="Times New Roman"/>
          <w:lang w:val="de-DE"/>
        </w:rPr>
        <w:t>sāk</w:t>
      </w:r>
      <w:proofErr w:type="spellEnd"/>
      <w:r w:rsidRPr="00BF3A72">
        <w:rPr>
          <w:rFonts w:ascii="Times New Roman" w:hAnsi="Times New Roman" w:cs="Times New Roman"/>
          <w:lang w:val="de-DE"/>
        </w:rPr>
        <w:t xml:space="preserve"> </w:t>
      </w:r>
      <w:proofErr w:type="spellStart"/>
      <w:r w:rsidRPr="00BF3A72">
        <w:rPr>
          <w:rFonts w:ascii="Times New Roman" w:hAnsi="Times New Roman" w:cs="Times New Roman"/>
          <w:lang w:val="de-DE"/>
        </w:rPr>
        <w:t>rīkoties</w:t>
      </w:r>
      <w:proofErr w:type="spellEnd"/>
      <w:r w:rsidRPr="00BF3A72">
        <w:rPr>
          <w:rFonts w:ascii="Times New Roman" w:hAnsi="Times New Roman" w:cs="Times New Roman"/>
          <w:lang w:val="de-DE"/>
        </w:rPr>
        <w:t xml:space="preserve"> </w:t>
      </w:r>
      <w:proofErr w:type="spellStart"/>
      <w:r w:rsidRPr="00BF3A72">
        <w:rPr>
          <w:rFonts w:ascii="Times New Roman" w:hAnsi="Times New Roman" w:cs="Times New Roman"/>
          <w:lang w:val="de-DE"/>
        </w:rPr>
        <w:t>atbilstoši</w:t>
      </w:r>
      <w:proofErr w:type="spellEnd"/>
      <w:r w:rsidRPr="00BF3A72">
        <w:rPr>
          <w:rFonts w:ascii="Times New Roman" w:hAnsi="Times New Roman" w:cs="Times New Roman"/>
          <w:lang w:val="de-DE"/>
        </w:rPr>
        <w:t xml:space="preserve"> </w:t>
      </w:r>
      <w:proofErr w:type="spellStart"/>
      <w:r w:rsidRPr="00BF3A72">
        <w:rPr>
          <w:rFonts w:ascii="Times New Roman" w:hAnsi="Times New Roman" w:cs="Times New Roman"/>
          <w:lang w:val="de-DE"/>
        </w:rPr>
        <w:t>izsniegtajai</w:t>
      </w:r>
      <w:proofErr w:type="spellEnd"/>
      <w:r w:rsidRPr="00BF3A72">
        <w:rPr>
          <w:rFonts w:ascii="Times New Roman" w:hAnsi="Times New Roman" w:cs="Times New Roman"/>
          <w:lang w:val="de-DE"/>
        </w:rPr>
        <w:t xml:space="preserve"> </w:t>
      </w:r>
      <w:proofErr w:type="spellStart"/>
      <w:r w:rsidRPr="00BF3A72">
        <w:rPr>
          <w:rFonts w:ascii="Times New Roman" w:hAnsi="Times New Roman" w:cs="Times New Roman"/>
          <w:lang w:val="de-DE"/>
        </w:rPr>
        <w:t>pilnvarai</w:t>
      </w:r>
      <w:proofErr w:type="spellEnd"/>
      <w:r w:rsidRPr="00BF3A72">
        <w:rPr>
          <w:rFonts w:ascii="Times New Roman" w:hAnsi="Times New Roman" w:cs="Times New Roman"/>
          <w:lang w:val="de-DE"/>
        </w:rPr>
        <w:t xml:space="preserve">, </w:t>
      </w:r>
      <w:proofErr w:type="spellStart"/>
      <w:r w:rsidRPr="00BF3A72">
        <w:rPr>
          <w:rFonts w:ascii="Times New Roman" w:hAnsi="Times New Roman" w:cs="Times New Roman"/>
          <w:lang w:val="de-DE"/>
        </w:rPr>
        <w:t>apliecina</w:t>
      </w:r>
      <w:proofErr w:type="spellEnd"/>
      <w:r w:rsidRPr="00BF3A72">
        <w:rPr>
          <w:rFonts w:ascii="Times New Roman" w:hAnsi="Times New Roman" w:cs="Times New Roman"/>
          <w:lang w:val="de-DE"/>
        </w:rPr>
        <w:t xml:space="preserve"> </w:t>
      </w:r>
      <w:proofErr w:type="spellStart"/>
      <w:r w:rsidRPr="00BF3A72">
        <w:rPr>
          <w:rFonts w:ascii="Times New Roman" w:hAnsi="Times New Roman" w:cs="Times New Roman"/>
          <w:lang w:val="de-DE"/>
        </w:rPr>
        <w:t>viņa</w:t>
      </w:r>
      <w:proofErr w:type="spellEnd"/>
      <w:r w:rsidRPr="00BF3A72">
        <w:rPr>
          <w:rFonts w:ascii="Times New Roman" w:hAnsi="Times New Roman" w:cs="Times New Roman"/>
          <w:lang w:val="de-DE"/>
        </w:rPr>
        <w:t xml:space="preserve"> </w:t>
      </w:r>
      <w:proofErr w:type="spellStart"/>
      <w:r w:rsidRPr="00BF3A72">
        <w:rPr>
          <w:rFonts w:ascii="Times New Roman" w:hAnsi="Times New Roman" w:cs="Times New Roman"/>
          <w:lang w:val="de-DE"/>
        </w:rPr>
        <w:t>piekrišanu</w:t>
      </w:r>
      <w:proofErr w:type="spellEnd"/>
      <w:r w:rsidRPr="00BF3A72">
        <w:rPr>
          <w:rFonts w:ascii="Times New Roman" w:hAnsi="Times New Roman" w:cs="Times New Roman"/>
          <w:lang w:val="de-DE"/>
        </w:rPr>
        <w:t xml:space="preserve"> </w:t>
      </w:r>
      <w:proofErr w:type="spellStart"/>
      <w:r w:rsidRPr="00BF3A72">
        <w:rPr>
          <w:rFonts w:ascii="Times New Roman" w:hAnsi="Times New Roman" w:cs="Times New Roman"/>
          <w:lang w:val="de-DE"/>
        </w:rPr>
        <w:t>pilnvarā</w:t>
      </w:r>
      <w:proofErr w:type="spellEnd"/>
      <w:r w:rsidRPr="00BF3A72">
        <w:rPr>
          <w:rFonts w:ascii="Times New Roman" w:hAnsi="Times New Roman" w:cs="Times New Roman"/>
          <w:lang w:val="de-DE"/>
        </w:rPr>
        <w:t xml:space="preserve"> </w:t>
      </w:r>
      <w:proofErr w:type="spellStart"/>
      <w:r w:rsidRPr="00BF3A72">
        <w:rPr>
          <w:rFonts w:ascii="Times New Roman" w:hAnsi="Times New Roman" w:cs="Times New Roman"/>
          <w:lang w:val="de-DE"/>
        </w:rPr>
        <w:t>norādītajam</w:t>
      </w:r>
      <w:proofErr w:type="spellEnd"/>
      <w:r w:rsidRPr="00BF3A72">
        <w:rPr>
          <w:rFonts w:ascii="Times New Roman" w:hAnsi="Times New Roman" w:cs="Times New Roman"/>
          <w:lang w:val="de-DE"/>
        </w:rPr>
        <w:t xml:space="preserve"> </w:t>
      </w:r>
      <w:proofErr w:type="spellStart"/>
      <w:r w:rsidRPr="00BF3A72">
        <w:rPr>
          <w:rFonts w:ascii="Times New Roman" w:hAnsi="Times New Roman" w:cs="Times New Roman"/>
          <w:lang w:val="de-DE"/>
        </w:rPr>
        <w:t>un</w:t>
      </w:r>
      <w:proofErr w:type="spellEnd"/>
      <w:r w:rsidRPr="00BF3A72">
        <w:rPr>
          <w:rFonts w:ascii="Times New Roman" w:hAnsi="Times New Roman" w:cs="Times New Roman"/>
          <w:lang w:val="de-DE"/>
        </w:rPr>
        <w:t xml:space="preserve"> </w:t>
      </w:r>
      <w:proofErr w:type="spellStart"/>
      <w:r w:rsidRPr="00BF3A72">
        <w:rPr>
          <w:rFonts w:ascii="Times New Roman" w:hAnsi="Times New Roman" w:cs="Times New Roman"/>
          <w:lang w:val="de-DE"/>
        </w:rPr>
        <w:t>tātad</w:t>
      </w:r>
      <w:proofErr w:type="spellEnd"/>
      <w:r w:rsidRPr="00BF3A72">
        <w:rPr>
          <w:rFonts w:ascii="Times New Roman" w:hAnsi="Times New Roman" w:cs="Times New Roman"/>
          <w:lang w:val="de-DE"/>
        </w:rPr>
        <w:t xml:space="preserve"> </w:t>
      </w:r>
      <w:proofErr w:type="spellStart"/>
      <w:r w:rsidRPr="00BF3A72">
        <w:rPr>
          <w:rFonts w:ascii="Times New Roman" w:hAnsi="Times New Roman" w:cs="Times New Roman"/>
          <w:lang w:val="de-DE"/>
        </w:rPr>
        <w:t>apliecina</w:t>
      </w:r>
      <w:proofErr w:type="spellEnd"/>
      <w:r w:rsidRPr="00BF3A72">
        <w:rPr>
          <w:rFonts w:ascii="Times New Roman" w:hAnsi="Times New Roman" w:cs="Times New Roman"/>
          <w:lang w:val="de-DE"/>
        </w:rPr>
        <w:t xml:space="preserve"> </w:t>
      </w:r>
      <w:proofErr w:type="spellStart"/>
      <w:r w:rsidRPr="00BF3A72">
        <w:rPr>
          <w:rFonts w:ascii="Times New Roman" w:hAnsi="Times New Roman" w:cs="Times New Roman"/>
          <w:lang w:val="de-DE"/>
        </w:rPr>
        <w:t>arī</w:t>
      </w:r>
      <w:proofErr w:type="spellEnd"/>
      <w:r w:rsidRPr="00BF3A72">
        <w:rPr>
          <w:rFonts w:ascii="Times New Roman" w:hAnsi="Times New Roman" w:cs="Times New Roman"/>
          <w:lang w:val="de-DE"/>
        </w:rPr>
        <w:t xml:space="preserve"> </w:t>
      </w:r>
      <w:proofErr w:type="spellStart"/>
      <w:r w:rsidRPr="00BF3A72">
        <w:rPr>
          <w:rFonts w:ascii="Times New Roman" w:hAnsi="Times New Roman" w:cs="Times New Roman"/>
          <w:lang w:val="de-DE"/>
        </w:rPr>
        <w:t>pilnvarojuma</w:t>
      </w:r>
      <w:proofErr w:type="spellEnd"/>
      <w:r w:rsidRPr="00BF3A72">
        <w:rPr>
          <w:rFonts w:ascii="Times New Roman" w:hAnsi="Times New Roman" w:cs="Times New Roman"/>
          <w:lang w:val="de-DE"/>
        </w:rPr>
        <w:t xml:space="preserve"> </w:t>
      </w:r>
      <w:proofErr w:type="spellStart"/>
      <w:r w:rsidRPr="00BF3A72">
        <w:rPr>
          <w:rFonts w:ascii="Times New Roman" w:hAnsi="Times New Roman" w:cs="Times New Roman"/>
          <w:lang w:val="de-DE"/>
        </w:rPr>
        <w:t>līguma</w:t>
      </w:r>
      <w:proofErr w:type="spellEnd"/>
      <w:r w:rsidRPr="00BF3A72">
        <w:rPr>
          <w:rFonts w:ascii="Times New Roman" w:hAnsi="Times New Roman" w:cs="Times New Roman"/>
          <w:lang w:val="de-DE"/>
        </w:rPr>
        <w:t xml:space="preserve"> </w:t>
      </w:r>
      <w:proofErr w:type="spellStart"/>
      <w:r w:rsidRPr="00BF3A72">
        <w:rPr>
          <w:rFonts w:ascii="Times New Roman" w:hAnsi="Times New Roman" w:cs="Times New Roman"/>
          <w:lang w:val="de-DE"/>
        </w:rPr>
        <w:t>noslēgšanu</w:t>
      </w:r>
      <w:proofErr w:type="spellEnd"/>
      <w:r w:rsidRPr="00BF3A72">
        <w:rPr>
          <w:rFonts w:ascii="Times New Roman" w:hAnsi="Times New Roman" w:cs="Times New Roman"/>
          <w:lang w:val="de-DE"/>
        </w:rPr>
        <w:t>.</w:t>
      </w:r>
      <w:r w:rsidRPr="00BF3A72">
        <w:rPr>
          <w:rStyle w:val="FootnoteReference"/>
          <w:rFonts w:ascii="Times New Roman" w:hAnsi="Times New Roman" w:cs="Times New Roman"/>
          <w:lang w:val="de-DE"/>
        </w:rPr>
        <w:footnoteReference w:id="21"/>
      </w:r>
    </w:p>
    <w:p w14:paraId="0F825BE0" w14:textId="77777777" w:rsidR="00114953" w:rsidRPr="00BF3A72" w:rsidRDefault="00114953" w:rsidP="00114953">
      <w:pPr>
        <w:ind w:firstLine="708"/>
        <w:jc w:val="both"/>
        <w:rPr>
          <w:rFonts w:ascii="Times New Roman" w:hAnsi="Times New Roman" w:cs="Times New Roman"/>
          <w:lang w:val="de-DE"/>
        </w:rPr>
      </w:pPr>
      <w:proofErr w:type="spellStart"/>
      <w:r w:rsidRPr="00BF3A72">
        <w:rPr>
          <w:rFonts w:ascii="Times New Roman" w:hAnsi="Times New Roman" w:cs="Times New Roman"/>
          <w:lang w:val="de-DE"/>
        </w:rPr>
        <w:t>Piemēram</w:t>
      </w:r>
      <w:proofErr w:type="spellEnd"/>
      <w:r w:rsidRPr="00BF3A72">
        <w:rPr>
          <w:rFonts w:ascii="Times New Roman" w:hAnsi="Times New Roman" w:cs="Times New Roman"/>
          <w:lang w:val="de-DE"/>
        </w:rPr>
        <w:t xml:space="preserve">, </w:t>
      </w:r>
      <w:proofErr w:type="spellStart"/>
      <w:r w:rsidRPr="00BF3A72">
        <w:rPr>
          <w:rFonts w:ascii="Times New Roman" w:hAnsi="Times New Roman" w:cs="Times New Roman"/>
          <w:b/>
          <w:lang w:val="de-DE"/>
        </w:rPr>
        <w:t>Polijas</w:t>
      </w:r>
      <w:proofErr w:type="spellEnd"/>
      <w:r w:rsidRPr="00BF3A72">
        <w:rPr>
          <w:rFonts w:ascii="Times New Roman" w:hAnsi="Times New Roman" w:cs="Times New Roman"/>
          <w:lang w:val="de-DE"/>
        </w:rPr>
        <w:t xml:space="preserve"> </w:t>
      </w:r>
      <w:proofErr w:type="spellStart"/>
      <w:r w:rsidRPr="00BF3A72">
        <w:rPr>
          <w:rFonts w:ascii="Times New Roman" w:hAnsi="Times New Roman" w:cs="Times New Roman"/>
          <w:lang w:val="de-DE"/>
        </w:rPr>
        <w:t>un</w:t>
      </w:r>
      <w:proofErr w:type="spellEnd"/>
      <w:r w:rsidRPr="00BF3A72">
        <w:rPr>
          <w:rFonts w:ascii="Times New Roman" w:hAnsi="Times New Roman" w:cs="Times New Roman"/>
          <w:lang w:val="de-DE"/>
        </w:rPr>
        <w:t xml:space="preserve"> </w:t>
      </w:r>
      <w:proofErr w:type="spellStart"/>
      <w:r w:rsidRPr="00BF3A72">
        <w:rPr>
          <w:rFonts w:ascii="Times New Roman" w:hAnsi="Times New Roman" w:cs="Times New Roman"/>
          <w:b/>
          <w:lang w:val="de-DE"/>
        </w:rPr>
        <w:t>Vācijas</w:t>
      </w:r>
      <w:proofErr w:type="spellEnd"/>
      <w:r w:rsidRPr="00BF3A72">
        <w:rPr>
          <w:rFonts w:ascii="Times New Roman" w:hAnsi="Times New Roman" w:cs="Times New Roman"/>
          <w:lang w:val="de-DE"/>
        </w:rPr>
        <w:t xml:space="preserve"> </w:t>
      </w:r>
      <w:proofErr w:type="spellStart"/>
      <w:r w:rsidRPr="00BF3A72">
        <w:rPr>
          <w:rFonts w:ascii="Times New Roman" w:hAnsi="Times New Roman" w:cs="Times New Roman"/>
          <w:lang w:val="de-DE"/>
        </w:rPr>
        <w:t>civiltiesībās</w:t>
      </w:r>
      <w:proofErr w:type="spellEnd"/>
      <w:r w:rsidRPr="00BF3A72">
        <w:rPr>
          <w:rFonts w:ascii="Times New Roman" w:hAnsi="Times New Roman" w:cs="Times New Roman"/>
          <w:lang w:val="de-DE"/>
        </w:rPr>
        <w:t xml:space="preserve"> </w:t>
      </w:r>
      <w:proofErr w:type="spellStart"/>
      <w:r w:rsidRPr="00BF3A72">
        <w:rPr>
          <w:rFonts w:ascii="Times New Roman" w:hAnsi="Times New Roman" w:cs="Times New Roman"/>
          <w:lang w:val="de-DE"/>
        </w:rPr>
        <w:t>pārstāvības</w:t>
      </w:r>
      <w:proofErr w:type="spellEnd"/>
      <w:r w:rsidRPr="00BF3A72">
        <w:rPr>
          <w:rFonts w:ascii="Times New Roman" w:hAnsi="Times New Roman" w:cs="Times New Roman"/>
          <w:lang w:val="de-DE"/>
        </w:rPr>
        <w:t xml:space="preserve"> </w:t>
      </w:r>
      <w:proofErr w:type="spellStart"/>
      <w:r w:rsidRPr="00BF3A72">
        <w:rPr>
          <w:rFonts w:ascii="Times New Roman" w:hAnsi="Times New Roman" w:cs="Times New Roman"/>
          <w:lang w:val="de-DE"/>
        </w:rPr>
        <w:t>tiesībās</w:t>
      </w:r>
      <w:proofErr w:type="spellEnd"/>
      <w:r w:rsidRPr="00BF3A72">
        <w:rPr>
          <w:rFonts w:ascii="Times New Roman" w:hAnsi="Times New Roman" w:cs="Times New Roman"/>
          <w:lang w:val="de-DE"/>
        </w:rPr>
        <w:t xml:space="preserve"> </w:t>
      </w:r>
      <w:proofErr w:type="spellStart"/>
      <w:r w:rsidRPr="00BF3A72">
        <w:rPr>
          <w:rFonts w:ascii="Times New Roman" w:hAnsi="Times New Roman" w:cs="Times New Roman"/>
          <w:lang w:val="de-DE"/>
        </w:rPr>
        <w:t>izšķir</w:t>
      </w:r>
      <w:proofErr w:type="spellEnd"/>
      <w:r w:rsidRPr="00BF3A72">
        <w:rPr>
          <w:rFonts w:ascii="Times New Roman" w:hAnsi="Times New Roman" w:cs="Times New Roman"/>
          <w:lang w:val="de-DE"/>
        </w:rPr>
        <w:t xml:space="preserve"> </w:t>
      </w:r>
      <w:proofErr w:type="spellStart"/>
      <w:r w:rsidRPr="00BF3A72">
        <w:rPr>
          <w:rFonts w:ascii="Times New Roman" w:hAnsi="Times New Roman" w:cs="Times New Roman"/>
          <w:lang w:val="de-DE"/>
        </w:rPr>
        <w:t>iekšējās</w:t>
      </w:r>
      <w:proofErr w:type="spellEnd"/>
      <w:r w:rsidRPr="00BF3A72">
        <w:rPr>
          <w:rFonts w:ascii="Times New Roman" w:hAnsi="Times New Roman" w:cs="Times New Roman"/>
          <w:lang w:val="de-DE"/>
        </w:rPr>
        <w:t xml:space="preserve"> </w:t>
      </w:r>
      <w:proofErr w:type="spellStart"/>
      <w:r w:rsidRPr="00BF3A72">
        <w:rPr>
          <w:rFonts w:ascii="Times New Roman" w:hAnsi="Times New Roman" w:cs="Times New Roman"/>
          <w:lang w:val="de-DE"/>
        </w:rPr>
        <w:t>un</w:t>
      </w:r>
      <w:proofErr w:type="spellEnd"/>
      <w:r w:rsidRPr="00BF3A72">
        <w:rPr>
          <w:rFonts w:ascii="Times New Roman" w:hAnsi="Times New Roman" w:cs="Times New Roman"/>
          <w:lang w:val="de-DE"/>
        </w:rPr>
        <w:t xml:space="preserve"> </w:t>
      </w:r>
      <w:proofErr w:type="spellStart"/>
      <w:r w:rsidRPr="00BF3A72">
        <w:rPr>
          <w:rFonts w:ascii="Times New Roman" w:hAnsi="Times New Roman" w:cs="Times New Roman"/>
          <w:lang w:val="de-DE"/>
        </w:rPr>
        <w:t>ārējās</w:t>
      </w:r>
      <w:proofErr w:type="spellEnd"/>
      <w:r w:rsidRPr="00BF3A72">
        <w:rPr>
          <w:rFonts w:ascii="Times New Roman" w:hAnsi="Times New Roman" w:cs="Times New Roman"/>
          <w:lang w:val="de-DE"/>
        </w:rPr>
        <w:t xml:space="preserve"> </w:t>
      </w:r>
      <w:proofErr w:type="spellStart"/>
      <w:r w:rsidRPr="00BF3A72">
        <w:rPr>
          <w:rFonts w:ascii="Times New Roman" w:hAnsi="Times New Roman" w:cs="Times New Roman"/>
          <w:lang w:val="de-DE"/>
        </w:rPr>
        <w:t>attiecības</w:t>
      </w:r>
      <w:proofErr w:type="spellEnd"/>
      <w:r w:rsidRPr="00BF3A72">
        <w:rPr>
          <w:rFonts w:ascii="Times New Roman" w:hAnsi="Times New Roman" w:cs="Times New Roman"/>
          <w:lang w:val="de-DE"/>
        </w:rPr>
        <w:t xml:space="preserve"> (</w:t>
      </w:r>
      <w:proofErr w:type="spellStart"/>
      <w:r w:rsidRPr="00BF3A72">
        <w:rPr>
          <w:rFonts w:ascii="Times New Roman" w:hAnsi="Times New Roman" w:cs="Times New Roman"/>
          <w:lang w:val="de-DE"/>
        </w:rPr>
        <w:t>tāpat</w:t>
      </w:r>
      <w:proofErr w:type="spellEnd"/>
      <w:r w:rsidRPr="00BF3A72">
        <w:rPr>
          <w:rFonts w:ascii="Times New Roman" w:hAnsi="Times New Roman" w:cs="Times New Roman"/>
          <w:lang w:val="de-DE"/>
        </w:rPr>
        <w:t xml:space="preserve"> </w:t>
      </w:r>
      <w:proofErr w:type="spellStart"/>
      <w:r w:rsidRPr="00BF3A72">
        <w:rPr>
          <w:rFonts w:ascii="Times New Roman" w:hAnsi="Times New Roman" w:cs="Times New Roman"/>
          <w:lang w:val="de-DE"/>
        </w:rPr>
        <w:t>kā</w:t>
      </w:r>
      <w:proofErr w:type="spellEnd"/>
      <w:r w:rsidRPr="00BF3A72">
        <w:rPr>
          <w:rFonts w:ascii="Times New Roman" w:hAnsi="Times New Roman" w:cs="Times New Roman"/>
          <w:lang w:val="de-DE"/>
        </w:rPr>
        <w:t xml:space="preserve"> Latvijas </w:t>
      </w:r>
      <w:proofErr w:type="spellStart"/>
      <w:r w:rsidRPr="00BF3A72">
        <w:rPr>
          <w:rFonts w:ascii="Times New Roman" w:hAnsi="Times New Roman" w:cs="Times New Roman"/>
          <w:lang w:val="de-DE"/>
        </w:rPr>
        <w:t>civiltiesībās</w:t>
      </w:r>
      <w:proofErr w:type="spellEnd"/>
      <w:r w:rsidRPr="00BF3A72">
        <w:rPr>
          <w:rFonts w:ascii="Times New Roman" w:hAnsi="Times New Roman" w:cs="Times New Roman"/>
          <w:lang w:val="de-DE"/>
        </w:rPr>
        <w:t xml:space="preserve">). Tas </w:t>
      </w:r>
      <w:proofErr w:type="spellStart"/>
      <w:r w:rsidRPr="00BF3A72">
        <w:rPr>
          <w:rFonts w:ascii="Times New Roman" w:hAnsi="Times New Roman" w:cs="Times New Roman"/>
          <w:lang w:val="de-DE"/>
        </w:rPr>
        <w:t>nozīmē</w:t>
      </w:r>
      <w:proofErr w:type="spellEnd"/>
      <w:r w:rsidRPr="00BF3A72">
        <w:rPr>
          <w:rFonts w:ascii="Times New Roman" w:hAnsi="Times New Roman" w:cs="Times New Roman"/>
          <w:lang w:val="de-DE"/>
        </w:rPr>
        <w:t xml:space="preserve">, </w:t>
      </w:r>
      <w:proofErr w:type="spellStart"/>
      <w:r w:rsidRPr="00BF3A72">
        <w:rPr>
          <w:rFonts w:ascii="Times New Roman" w:hAnsi="Times New Roman" w:cs="Times New Roman"/>
          <w:lang w:val="de-DE"/>
        </w:rPr>
        <w:t>ka</w:t>
      </w:r>
      <w:proofErr w:type="spellEnd"/>
      <w:r w:rsidRPr="00BF3A72">
        <w:rPr>
          <w:rFonts w:ascii="Times New Roman" w:hAnsi="Times New Roman" w:cs="Times New Roman"/>
          <w:lang w:val="de-DE"/>
        </w:rPr>
        <w:t xml:space="preserve"> </w:t>
      </w:r>
      <w:proofErr w:type="spellStart"/>
      <w:r w:rsidRPr="00BF3A72">
        <w:rPr>
          <w:rFonts w:ascii="Times New Roman" w:hAnsi="Times New Roman" w:cs="Times New Roman"/>
          <w:lang w:val="de-DE"/>
        </w:rPr>
        <w:t>pilnvara</w:t>
      </w:r>
      <w:proofErr w:type="spellEnd"/>
      <w:r w:rsidRPr="00BF3A72">
        <w:rPr>
          <w:rFonts w:ascii="Times New Roman" w:hAnsi="Times New Roman" w:cs="Times New Roman"/>
          <w:lang w:val="de-DE"/>
        </w:rPr>
        <w:t xml:space="preserve"> </w:t>
      </w:r>
      <w:proofErr w:type="spellStart"/>
      <w:r w:rsidRPr="00BF3A72">
        <w:rPr>
          <w:rFonts w:ascii="Times New Roman" w:hAnsi="Times New Roman" w:cs="Times New Roman"/>
          <w:lang w:val="de-DE"/>
        </w:rPr>
        <w:t>tiek</w:t>
      </w:r>
      <w:proofErr w:type="spellEnd"/>
      <w:r w:rsidRPr="00BF3A72">
        <w:rPr>
          <w:rFonts w:ascii="Times New Roman" w:hAnsi="Times New Roman" w:cs="Times New Roman"/>
          <w:lang w:val="de-DE"/>
        </w:rPr>
        <w:t xml:space="preserve"> </w:t>
      </w:r>
      <w:proofErr w:type="spellStart"/>
      <w:r w:rsidRPr="00BF3A72">
        <w:rPr>
          <w:rFonts w:ascii="Times New Roman" w:hAnsi="Times New Roman" w:cs="Times New Roman"/>
          <w:lang w:val="de-DE"/>
        </w:rPr>
        <w:t>nodalīta</w:t>
      </w:r>
      <w:proofErr w:type="spellEnd"/>
      <w:r w:rsidRPr="00BF3A72">
        <w:rPr>
          <w:rFonts w:ascii="Times New Roman" w:hAnsi="Times New Roman" w:cs="Times New Roman"/>
          <w:lang w:val="de-DE"/>
        </w:rPr>
        <w:t xml:space="preserve"> </w:t>
      </w:r>
      <w:proofErr w:type="spellStart"/>
      <w:r w:rsidRPr="00BF3A72">
        <w:rPr>
          <w:rFonts w:ascii="Times New Roman" w:hAnsi="Times New Roman" w:cs="Times New Roman"/>
          <w:lang w:val="de-DE"/>
        </w:rPr>
        <w:t>no</w:t>
      </w:r>
      <w:proofErr w:type="spellEnd"/>
      <w:r w:rsidRPr="00BF3A72">
        <w:rPr>
          <w:rFonts w:ascii="Times New Roman" w:hAnsi="Times New Roman" w:cs="Times New Roman"/>
          <w:lang w:val="de-DE"/>
        </w:rPr>
        <w:t xml:space="preserve"> </w:t>
      </w:r>
      <w:proofErr w:type="spellStart"/>
      <w:r w:rsidRPr="00BF3A72">
        <w:rPr>
          <w:rFonts w:ascii="Times New Roman" w:hAnsi="Times New Roman" w:cs="Times New Roman"/>
          <w:lang w:val="de-DE"/>
        </w:rPr>
        <w:t>tām</w:t>
      </w:r>
      <w:proofErr w:type="spellEnd"/>
      <w:r w:rsidRPr="00BF3A72">
        <w:rPr>
          <w:rFonts w:ascii="Times New Roman" w:hAnsi="Times New Roman" w:cs="Times New Roman"/>
          <w:lang w:val="de-DE"/>
        </w:rPr>
        <w:t xml:space="preserve"> </w:t>
      </w:r>
      <w:proofErr w:type="spellStart"/>
      <w:r w:rsidRPr="00BF3A72">
        <w:rPr>
          <w:rFonts w:ascii="Times New Roman" w:hAnsi="Times New Roman" w:cs="Times New Roman"/>
          <w:lang w:val="de-DE"/>
        </w:rPr>
        <w:t>tiesiskajām</w:t>
      </w:r>
      <w:proofErr w:type="spellEnd"/>
      <w:r w:rsidRPr="00BF3A72">
        <w:rPr>
          <w:rFonts w:ascii="Times New Roman" w:hAnsi="Times New Roman" w:cs="Times New Roman"/>
          <w:lang w:val="de-DE"/>
        </w:rPr>
        <w:t xml:space="preserve"> </w:t>
      </w:r>
      <w:proofErr w:type="spellStart"/>
      <w:r w:rsidRPr="00BF3A72">
        <w:rPr>
          <w:rFonts w:ascii="Times New Roman" w:hAnsi="Times New Roman" w:cs="Times New Roman"/>
          <w:lang w:val="de-DE"/>
        </w:rPr>
        <w:t>attiecībām</w:t>
      </w:r>
      <w:proofErr w:type="spellEnd"/>
      <w:r w:rsidRPr="00BF3A72">
        <w:rPr>
          <w:rFonts w:ascii="Times New Roman" w:hAnsi="Times New Roman" w:cs="Times New Roman"/>
          <w:lang w:val="de-DE"/>
        </w:rPr>
        <w:t xml:space="preserve">, </w:t>
      </w:r>
      <w:proofErr w:type="spellStart"/>
      <w:r w:rsidRPr="00BF3A72">
        <w:rPr>
          <w:rFonts w:ascii="Times New Roman" w:hAnsi="Times New Roman" w:cs="Times New Roman"/>
          <w:lang w:val="de-DE"/>
        </w:rPr>
        <w:t>kas</w:t>
      </w:r>
      <w:proofErr w:type="spellEnd"/>
      <w:r w:rsidRPr="00BF3A72">
        <w:rPr>
          <w:rFonts w:ascii="Times New Roman" w:hAnsi="Times New Roman" w:cs="Times New Roman"/>
          <w:lang w:val="de-DE"/>
        </w:rPr>
        <w:t xml:space="preserve"> </w:t>
      </w:r>
      <w:proofErr w:type="spellStart"/>
      <w:r w:rsidRPr="00BF3A72">
        <w:rPr>
          <w:rFonts w:ascii="Times New Roman" w:hAnsi="Times New Roman" w:cs="Times New Roman"/>
          <w:lang w:val="de-DE"/>
        </w:rPr>
        <w:t>ir</w:t>
      </w:r>
      <w:proofErr w:type="spellEnd"/>
      <w:r w:rsidRPr="00BF3A72">
        <w:rPr>
          <w:rFonts w:ascii="Times New Roman" w:hAnsi="Times New Roman" w:cs="Times New Roman"/>
          <w:lang w:val="de-DE"/>
        </w:rPr>
        <w:t xml:space="preserve"> </w:t>
      </w:r>
      <w:proofErr w:type="spellStart"/>
      <w:r w:rsidRPr="00BF3A72">
        <w:rPr>
          <w:rFonts w:ascii="Times New Roman" w:hAnsi="Times New Roman" w:cs="Times New Roman"/>
          <w:lang w:val="de-DE"/>
        </w:rPr>
        <w:t>pilnvaras</w:t>
      </w:r>
      <w:proofErr w:type="spellEnd"/>
      <w:r w:rsidRPr="00BF3A72">
        <w:rPr>
          <w:rFonts w:ascii="Times New Roman" w:hAnsi="Times New Roman" w:cs="Times New Roman"/>
          <w:lang w:val="de-DE"/>
        </w:rPr>
        <w:t xml:space="preserve"> </w:t>
      </w:r>
      <w:proofErr w:type="spellStart"/>
      <w:r w:rsidRPr="00BF3A72">
        <w:rPr>
          <w:rFonts w:ascii="Times New Roman" w:hAnsi="Times New Roman" w:cs="Times New Roman"/>
          <w:lang w:val="de-DE"/>
        </w:rPr>
        <w:t>izdošanas</w:t>
      </w:r>
      <w:proofErr w:type="spellEnd"/>
      <w:r w:rsidRPr="00BF3A72">
        <w:rPr>
          <w:rFonts w:ascii="Times New Roman" w:hAnsi="Times New Roman" w:cs="Times New Roman"/>
          <w:lang w:val="de-DE"/>
        </w:rPr>
        <w:t xml:space="preserve"> </w:t>
      </w:r>
      <w:proofErr w:type="spellStart"/>
      <w:r w:rsidRPr="00BF3A72">
        <w:rPr>
          <w:rFonts w:ascii="Times New Roman" w:hAnsi="Times New Roman" w:cs="Times New Roman"/>
          <w:lang w:val="de-DE"/>
        </w:rPr>
        <w:t>pamatā</w:t>
      </w:r>
      <w:proofErr w:type="spellEnd"/>
      <w:r w:rsidRPr="00BF3A72">
        <w:rPr>
          <w:rFonts w:ascii="Times New Roman" w:hAnsi="Times New Roman" w:cs="Times New Roman"/>
          <w:lang w:val="de-DE"/>
        </w:rPr>
        <w:t xml:space="preserve">. </w:t>
      </w:r>
      <w:proofErr w:type="spellStart"/>
      <w:r w:rsidRPr="00BF3A72">
        <w:rPr>
          <w:rFonts w:ascii="Times New Roman" w:hAnsi="Times New Roman" w:cs="Times New Roman"/>
          <w:lang w:val="de-DE"/>
        </w:rPr>
        <w:t>Arī</w:t>
      </w:r>
      <w:proofErr w:type="spellEnd"/>
      <w:r w:rsidRPr="00BF3A72">
        <w:rPr>
          <w:rFonts w:ascii="Times New Roman" w:hAnsi="Times New Roman" w:cs="Times New Roman"/>
          <w:lang w:val="de-DE"/>
        </w:rPr>
        <w:t xml:space="preserve"> </w:t>
      </w:r>
      <w:proofErr w:type="spellStart"/>
      <w:r w:rsidRPr="00BF3A72">
        <w:rPr>
          <w:rFonts w:ascii="Times New Roman" w:hAnsi="Times New Roman" w:cs="Times New Roman"/>
          <w:lang w:val="de-DE"/>
        </w:rPr>
        <w:t>Polijā</w:t>
      </w:r>
      <w:proofErr w:type="spellEnd"/>
      <w:r w:rsidRPr="00BF3A72">
        <w:rPr>
          <w:rFonts w:ascii="Times New Roman" w:hAnsi="Times New Roman" w:cs="Times New Roman"/>
          <w:lang w:val="de-DE"/>
        </w:rPr>
        <w:t xml:space="preserve"> </w:t>
      </w:r>
      <w:proofErr w:type="spellStart"/>
      <w:r w:rsidRPr="00BF3A72">
        <w:rPr>
          <w:rFonts w:ascii="Times New Roman" w:hAnsi="Times New Roman" w:cs="Times New Roman"/>
          <w:lang w:val="de-DE"/>
        </w:rPr>
        <w:t>pilnvaras</w:t>
      </w:r>
      <w:proofErr w:type="spellEnd"/>
      <w:r w:rsidRPr="00BF3A72">
        <w:rPr>
          <w:rFonts w:ascii="Times New Roman" w:hAnsi="Times New Roman" w:cs="Times New Roman"/>
          <w:lang w:val="de-DE"/>
        </w:rPr>
        <w:t xml:space="preserve"> </w:t>
      </w:r>
      <w:proofErr w:type="spellStart"/>
      <w:r w:rsidRPr="00BF3A72">
        <w:rPr>
          <w:rFonts w:ascii="Times New Roman" w:hAnsi="Times New Roman" w:cs="Times New Roman"/>
          <w:lang w:val="de-DE"/>
        </w:rPr>
        <w:t>izdošana</w:t>
      </w:r>
      <w:proofErr w:type="spellEnd"/>
      <w:r w:rsidRPr="00BF3A72">
        <w:rPr>
          <w:rFonts w:ascii="Times New Roman" w:hAnsi="Times New Roman" w:cs="Times New Roman"/>
          <w:lang w:val="de-DE"/>
        </w:rPr>
        <w:t xml:space="preserve"> </w:t>
      </w:r>
      <w:proofErr w:type="spellStart"/>
      <w:r w:rsidRPr="00BF3A72">
        <w:rPr>
          <w:rFonts w:ascii="Times New Roman" w:hAnsi="Times New Roman" w:cs="Times New Roman"/>
          <w:lang w:val="de-DE"/>
        </w:rPr>
        <w:t>tiek</w:t>
      </w:r>
      <w:proofErr w:type="spellEnd"/>
      <w:r w:rsidRPr="00BF3A72">
        <w:rPr>
          <w:rFonts w:ascii="Times New Roman" w:hAnsi="Times New Roman" w:cs="Times New Roman"/>
          <w:lang w:val="de-DE"/>
        </w:rPr>
        <w:t xml:space="preserve"> </w:t>
      </w:r>
      <w:proofErr w:type="spellStart"/>
      <w:r w:rsidRPr="00BF3A72">
        <w:rPr>
          <w:rFonts w:ascii="Times New Roman" w:hAnsi="Times New Roman" w:cs="Times New Roman"/>
          <w:lang w:val="de-DE"/>
        </w:rPr>
        <w:t>uzskatīta</w:t>
      </w:r>
      <w:proofErr w:type="spellEnd"/>
      <w:r w:rsidRPr="00BF3A72">
        <w:rPr>
          <w:rFonts w:ascii="Times New Roman" w:hAnsi="Times New Roman" w:cs="Times New Roman"/>
          <w:lang w:val="de-DE"/>
        </w:rPr>
        <w:t xml:space="preserve"> par </w:t>
      </w:r>
      <w:proofErr w:type="spellStart"/>
      <w:r w:rsidRPr="00BF3A72">
        <w:rPr>
          <w:rFonts w:ascii="Times New Roman" w:hAnsi="Times New Roman" w:cs="Times New Roman"/>
          <w:lang w:val="de-DE"/>
        </w:rPr>
        <w:t>vienpusēju</w:t>
      </w:r>
      <w:proofErr w:type="spellEnd"/>
      <w:r w:rsidRPr="00BF3A72">
        <w:rPr>
          <w:rFonts w:ascii="Times New Roman" w:hAnsi="Times New Roman" w:cs="Times New Roman"/>
          <w:lang w:val="de-DE"/>
        </w:rPr>
        <w:t xml:space="preserve"> </w:t>
      </w:r>
      <w:proofErr w:type="spellStart"/>
      <w:r w:rsidRPr="00BF3A72">
        <w:rPr>
          <w:rFonts w:ascii="Times New Roman" w:hAnsi="Times New Roman" w:cs="Times New Roman"/>
          <w:lang w:val="de-DE"/>
        </w:rPr>
        <w:t>darījumu</w:t>
      </w:r>
      <w:proofErr w:type="spellEnd"/>
      <w:r w:rsidRPr="00BF3A72">
        <w:rPr>
          <w:rFonts w:ascii="Times New Roman" w:hAnsi="Times New Roman" w:cs="Times New Roman"/>
          <w:lang w:val="de-DE"/>
        </w:rPr>
        <w:t>.</w:t>
      </w:r>
      <w:r w:rsidRPr="00BF3A72">
        <w:rPr>
          <w:rStyle w:val="FootnoteReference"/>
          <w:rFonts w:ascii="Times New Roman" w:hAnsi="Times New Roman" w:cs="Times New Roman"/>
          <w:lang w:val="de-DE"/>
        </w:rPr>
        <w:footnoteReference w:id="22"/>
      </w:r>
    </w:p>
    <w:p w14:paraId="170B5294" w14:textId="77777777" w:rsidR="00114953" w:rsidRPr="00BF3A72" w:rsidRDefault="00114953" w:rsidP="00114953">
      <w:pPr>
        <w:jc w:val="both"/>
        <w:rPr>
          <w:rFonts w:ascii="Times New Roman" w:hAnsi="Times New Roman" w:cs="Times New Roman"/>
          <w:lang w:val="de-DE"/>
        </w:rPr>
      </w:pPr>
    </w:p>
    <w:p w14:paraId="286BC611" w14:textId="77777777" w:rsidR="00114953" w:rsidRPr="00BF3A72" w:rsidRDefault="00114953" w:rsidP="00114953">
      <w:pPr>
        <w:ind w:firstLine="708"/>
        <w:jc w:val="both"/>
        <w:rPr>
          <w:rFonts w:ascii="Times New Roman" w:hAnsi="Times New Roman" w:cs="Times New Roman"/>
          <w:lang w:val="de-DE"/>
        </w:rPr>
      </w:pPr>
      <w:proofErr w:type="spellStart"/>
      <w:r w:rsidRPr="00BF3A72">
        <w:rPr>
          <w:rFonts w:ascii="Times New Roman" w:hAnsi="Times New Roman" w:cs="Times New Roman"/>
          <w:b/>
          <w:lang w:val="de-DE"/>
        </w:rPr>
        <w:t>Pārstāvība</w:t>
      </w:r>
      <w:proofErr w:type="spellEnd"/>
      <w:r w:rsidRPr="00BF3A72">
        <w:rPr>
          <w:rFonts w:ascii="Times New Roman" w:hAnsi="Times New Roman" w:cs="Times New Roman"/>
          <w:b/>
          <w:lang w:val="de-DE"/>
        </w:rPr>
        <w:t xml:space="preserve"> (</w:t>
      </w:r>
      <w:proofErr w:type="spellStart"/>
      <w:r w:rsidRPr="00BF3A72">
        <w:rPr>
          <w:rFonts w:ascii="Times New Roman" w:hAnsi="Times New Roman" w:cs="Times New Roman"/>
          <w:b/>
          <w:lang w:val="de-DE"/>
        </w:rPr>
        <w:t>vietniecība</w:t>
      </w:r>
      <w:proofErr w:type="spellEnd"/>
      <w:r w:rsidRPr="00BF3A72">
        <w:rPr>
          <w:rFonts w:ascii="Times New Roman" w:hAnsi="Times New Roman" w:cs="Times New Roman"/>
          <w:b/>
          <w:lang w:val="de-DE"/>
        </w:rPr>
        <w:t>):</w:t>
      </w:r>
      <w:r w:rsidRPr="00BF3A72">
        <w:rPr>
          <w:rFonts w:ascii="Times New Roman" w:hAnsi="Times New Roman" w:cs="Times New Roman"/>
          <w:lang w:val="de-DE"/>
        </w:rPr>
        <w:t xml:space="preserve"> </w:t>
      </w:r>
      <w:proofErr w:type="spellStart"/>
      <w:r w:rsidRPr="00BF3A72">
        <w:rPr>
          <w:rFonts w:ascii="Times New Roman" w:hAnsi="Times New Roman" w:cs="Times New Roman"/>
          <w:lang w:val="de-DE"/>
        </w:rPr>
        <w:t>Saskaņā</w:t>
      </w:r>
      <w:proofErr w:type="spellEnd"/>
      <w:r w:rsidRPr="00BF3A72">
        <w:rPr>
          <w:rFonts w:ascii="Times New Roman" w:hAnsi="Times New Roman" w:cs="Times New Roman"/>
          <w:lang w:val="de-DE"/>
        </w:rPr>
        <w:t xml:space="preserve"> </w:t>
      </w:r>
      <w:proofErr w:type="spellStart"/>
      <w:r w:rsidRPr="00BF3A72">
        <w:rPr>
          <w:rFonts w:ascii="Times New Roman" w:hAnsi="Times New Roman" w:cs="Times New Roman"/>
          <w:lang w:val="de-DE"/>
        </w:rPr>
        <w:t>ar</w:t>
      </w:r>
      <w:proofErr w:type="spellEnd"/>
      <w:r w:rsidRPr="00BF3A72">
        <w:rPr>
          <w:rFonts w:ascii="Times New Roman" w:hAnsi="Times New Roman" w:cs="Times New Roman"/>
          <w:lang w:val="de-DE"/>
        </w:rPr>
        <w:t xml:space="preserve"> CL 2295.pantu „</w:t>
      </w:r>
      <w:proofErr w:type="spellStart"/>
      <w:r w:rsidRPr="00BF3A72">
        <w:rPr>
          <w:rFonts w:ascii="Times New Roman" w:hAnsi="Times New Roman" w:cs="Times New Roman"/>
          <w:i/>
          <w:lang w:val="de-DE"/>
        </w:rPr>
        <w:t>Līdzēju</w:t>
      </w:r>
      <w:proofErr w:type="spellEnd"/>
      <w:r w:rsidRPr="00BF3A72">
        <w:rPr>
          <w:rFonts w:ascii="Times New Roman" w:hAnsi="Times New Roman" w:cs="Times New Roman"/>
          <w:i/>
          <w:lang w:val="de-DE"/>
        </w:rPr>
        <w:t xml:space="preserve"> </w:t>
      </w:r>
      <w:proofErr w:type="spellStart"/>
      <w:r w:rsidRPr="00BF3A72">
        <w:rPr>
          <w:rFonts w:ascii="Times New Roman" w:hAnsi="Times New Roman" w:cs="Times New Roman"/>
          <w:i/>
          <w:lang w:val="de-DE"/>
        </w:rPr>
        <w:t>attiecības</w:t>
      </w:r>
      <w:proofErr w:type="spellEnd"/>
      <w:r w:rsidRPr="00BF3A72">
        <w:rPr>
          <w:rFonts w:ascii="Times New Roman" w:hAnsi="Times New Roman" w:cs="Times New Roman"/>
          <w:i/>
          <w:lang w:val="de-DE"/>
        </w:rPr>
        <w:t xml:space="preserve"> </w:t>
      </w:r>
      <w:proofErr w:type="spellStart"/>
      <w:r w:rsidRPr="00BF3A72">
        <w:rPr>
          <w:rFonts w:ascii="Times New Roman" w:hAnsi="Times New Roman" w:cs="Times New Roman"/>
          <w:i/>
          <w:lang w:val="de-DE"/>
        </w:rPr>
        <w:t>pret</w:t>
      </w:r>
      <w:proofErr w:type="spellEnd"/>
      <w:r w:rsidRPr="00BF3A72">
        <w:rPr>
          <w:rFonts w:ascii="Times New Roman" w:hAnsi="Times New Roman" w:cs="Times New Roman"/>
          <w:i/>
          <w:lang w:val="de-DE"/>
        </w:rPr>
        <w:t xml:space="preserve"> </w:t>
      </w:r>
      <w:proofErr w:type="spellStart"/>
      <w:r w:rsidRPr="00BF3A72">
        <w:rPr>
          <w:rFonts w:ascii="Times New Roman" w:hAnsi="Times New Roman" w:cs="Times New Roman"/>
          <w:i/>
          <w:lang w:val="de-DE"/>
        </w:rPr>
        <w:t>trešajām</w:t>
      </w:r>
      <w:proofErr w:type="spellEnd"/>
      <w:r w:rsidRPr="00BF3A72">
        <w:rPr>
          <w:rFonts w:ascii="Times New Roman" w:hAnsi="Times New Roman" w:cs="Times New Roman"/>
          <w:i/>
          <w:lang w:val="de-DE"/>
        </w:rPr>
        <w:t xml:space="preserve"> </w:t>
      </w:r>
      <w:proofErr w:type="spellStart"/>
      <w:r w:rsidRPr="00BF3A72">
        <w:rPr>
          <w:rFonts w:ascii="Times New Roman" w:hAnsi="Times New Roman" w:cs="Times New Roman"/>
          <w:i/>
          <w:lang w:val="de-DE"/>
        </w:rPr>
        <w:t>personām</w:t>
      </w:r>
      <w:proofErr w:type="spellEnd"/>
      <w:r w:rsidRPr="00BF3A72">
        <w:rPr>
          <w:rFonts w:ascii="Times New Roman" w:hAnsi="Times New Roman" w:cs="Times New Roman"/>
          <w:i/>
          <w:lang w:val="de-DE"/>
        </w:rPr>
        <w:t xml:space="preserve"> </w:t>
      </w:r>
      <w:proofErr w:type="spellStart"/>
      <w:r w:rsidRPr="00BF3A72">
        <w:rPr>
          <w:rFonts w:ascii="Times New Roman" w:hAnsi="Times New Roman" w:cs="Times New Roman"/>
          <w:i/>
          <w:lang w:val="de-DE"/>
        </w:rPr>
        <w:t>nosakāmas</w:t>
      </w:r>
      <w:proofErr w:type="spellEnd"/>
      <w:r w:rsidRPr="00BF3A72">
        <w:rPr>
          <w:rFonts w:ascii="Times New Roman" w:hAnsi="Times New Roman" w:cs="Times New Roman"/>
          <w:i/>
          <w:lang w:val="de-DE"/>
        </w:rPr>
        <w:t xml:space="preserve"> </w:t>
      </w:r>
      <w:proofErr w:type="spellStart"/>
      <w:r w:rsidRPr="00BF3A72">
        <w:rPr>
          <w:rFonts w:ascii="Times New Roman" w:hAnsi="Times New Roman" w:cs="Times New Roman"/>
          <w:i/>
          <w:lang w:val="de-DE"/>
        </w:rPr>
        <w:t>pēc</w:t>
      </w:r>
      <w:proofErr w:type="spellEnd"/>
      <w:r w:rsidRPr="00BF3A72">
        <w:rPr>
          <w:rFonts w:ascii="Times New Roman" w:hAnsi="Times New Roman" w:cs="Times New Roman"/>
          <w:i/>
          <w:lang w:val="de-DE"/>
        </w:rPr>
        <w:t xml:space="preserve"> </w:t>
      </w:r>
      <w:proofErr w:type="spellStart"/>
      <w:r w:rsidRPr="00BF3A72">
        <w:rPr>
          <w:rFonts w:ascii="Times New Roman" w:hAnsi="Times New Roman" w:cs="Times New Roman"/>
          <w:i/>
          <w:lang w:val="de-DE"/>
        </w:rPr>
        <w:t>vispārējiem</w:t>
      </w:r>
      <w:proofErr w:type="spellEnd"/>
      <w:r w:rsidRPr="00BF3A72">
        <w:rPr>
          <w:rFonts w:ascii="Times New Roman" w:hAnsi="Times New Roman" w:cs="Times New Roman"/>
          <w:i/>
          <w:lang w:val="de-DE"/>
        </w:rPr>
        <w:t xml:space="preserve"> </w:t>
      </w:r>
      <w:proofErr w:type="spellStart"/>
      <w:r w:rsidRPr="00BF3A72">
        <w:rPr>
          <w:rFonts w:ascii="Times New Roman" w:hAnsi="Times New Roman" w:cs="Times New Roman"/>
          <w:i/>
          <w:lang w:val="de-DE"/>
        </w:rPr>
        <w:t>noteikumiem</w:t>
      </w:r>
      <w:proofErr w:type="spellEnd"/>
      <w:r w:rsidRPr="00BF3A72">
        <w:rPr>
          <w:rFonts w:ascii="Times New Roman" w:hAnsi="Times New Roman" w:cs="Times New Roman"/>
          <w:i/>
          <w:lang w:val="de-DE"/>
        </w:rPr>
        <w:t xml:space="preserve"> par </w:t>
      </w:r>
      <w:proofErr w:type="spellStart"/>
      <w:r w:rsidRPr="00BF3A72">
        <w:rPr>
          <w:rFonts w:ascii="Times New Roman" w:hAnsi="Times New Roman" w:cs="Times New Roman"/>
          <w:i/>
          <w:lang w:val="de-DE"/>
        </w:rPr>
        <w:t>vietniecību</w:t>
      </w:r>
      <w:proofErr w:type="spellEnd"/>
      <w:r w:rsidRPr="00BF3A72">
        <w:rPr>
          <w:rFonts w:ascii="Times New Roman" w:hAnsi="Times New Roman" w:cs="Times New Roman"/>
          <w:lang w:val="de-DE"/>
        </w:rPr>
        <w:t xml:space="preserve">“. Par </w:t>
      </w:r>
      <w:proofErr w:type="spellStart"/>
      <w:r w:rsidRPr="00BF3A72">
        <w:rPr>
          <w:rFonts w:ascii="Times New Roman" w:hAnsi="Times New Roman" w:cs="Times New Roman"/>
          <w:lang w:val="de-DE"/>
        </w:rPr>
        <w:t>vietniecību</w:t>
      </w:r>
      <w:proofErr w:type="spellEnd"/>
      <w:r w:rsidRPr="00BF3A72">
        <w:rPr>
          <w:rFonts w:ascii="Times New Roman" w:hAnsi="Times New Roman" w:cs="Times New Roman"/>
          <w:lang w:val="de-DE"/>
        </w:rPr>
        <w:t xml:space="preserve"> </w:t>
      </w:r>
      <w:proofErr w:type="spellStart"/>
      <w:r w:rsidRPr="00BF3A72">
        <w:rPr>
          <w:rFonts w:ascii="Times New Roman" w:hAnsi="Times New Roman" w:cs="Times New Roman"/>
          <w:lang w:val="de-DE"/>
        </w:rPr>
        <w:t>dēvē</w:t>
      </w:r>
      <w:proofErr w:type="spellEnd"/>
      <w:r w:rsidRPr="00BF3A72">
        <w:rPr>
          <w:rFonts w:ascii="Times New Roman" w:hAnsi="Times New Roman" w:cs="Times New Roman"/>
          <w:lang w:val="de-DE"/>
        </w:rPr>
        <w:t xml:space="preserve"> personas </w:t>
      </w:r>
      <w:proofErr w:type="spellStart"/>
      <w:r w:rsidRPr="00BF3A72">
        <w:rPr>
          <w:rFonts w:ascii="Times New Roman" w:hAnsi="Times New Roman" w:cs="Times New Roman"/>
          <w:lang w:val="de-DE"/>
        </w:rPr>
        <w:t>darbošanos</w:t>
      </w:r>
      <w:proofErr w:type="spellEnd"/>
      <w:r w:rsidRPr="00BF3A72">
        <w:rPr>
          <w:rFonts w:ascii="Times New Roman" w:hAnsi="Times New Roman" w:cs="Times New Roman"/>
          <w:lang w:val="de-DE"/>
        </w:rPr>
        <w:t xml:space="preserve"> </w:t>
      </w:r>
      <w:proofErr w:type="spellStart"/>
      <w:r w:rsidRPr="00BF3A72">
        <w:rPr>
          <w:rFonts w:ascii="Times New Roman" w:hAnsi="Times New Roman" w:cs="Times New Roman"/>
          <w:lang w:val="de-DE"/>
        </w:rPr>
        <w:t>citas</w:t>
      </w:r>
      <w:proofErr w:type="spellEnd"/>
      <w:r w:rsidRPr="00BF3A72">
        <w:rPr>
          <w:rFonts w:ascii="Times New Roman" w:hAnsi="Times New Roman" w:cs="Times New Roman"/>
          <w:lang w:val="de-DE"/>
        </w:rPr>
        <w:t xml:space="preserve"> personas </w:t>
      </w:r>
      <w:proofErr w:type="spellStart"/>
      <w:r w:rsidRPr="00BF3A72">
        <w:rPr>
          <w:rFonts w:ascii="Times New Roman" w:hAnsi="Times New Roman" w:cs="Times New Roman"/>
          <w:lang w:val="de-DE"/>
        </w:rPr>
        <w:t>interesēs</w:t>
      </w:r>
      <w:proofErr w:type="spellEnd"/>
      <w:r w:rsidRPr="00BF3A72">
        <w:rPr>
          <w:rFonts w:ascii="Times New Roman" w:hAnsi="Times New Roman" w:cs="Times New Roman"/>
          <w:lang w:val="de-DE"/>
        </w:rPr>
        <w:t xml:space="preserve"> </w:t>
      </w:r>
      <w:proofErr w:type="spellStart"/>
      <w:r w:rsidRPr="00BF3A72">
        <w:rPr>
          <w:rFonts w:ascii="Times New Roman" w:hAnsi="Times New Roman" w:cs="Times New Roman"/>
          <w:lang w:val="de-DE"/>
        </w:rPr>
        <w:t>uz</w:t>
      </w:r>
      <w:proofErr w:type="spellEnd"/>
      <w:r w:rsidRPr="00BF3A72">
        <w:rPr>
          <w:rFonts w:ascii="Times New Roman" w:hAnsi="Times New Roman" w:cs="Times New Roman"/>
          <w:lang w:val="de-DE"/>
        </w:rPr>
        <w:t xml:space="preserve"> </w:t>
      </w:r>
      <w:proofErr w:type="spellStart"/>
      <w:r w:rsidRPr="00BF3A72">
        <w:rPr>
          <w:rFonts w:ascii="Times New Roman" w:hAnsi="Times New Roman" w:cs="Times New Roman"/>
          <w:lang w:val="de-DE"/>
        </w:rPr>
        <w:t>likuma</w:t>
      </w:r>
      <w:proofErr w:type="spellEnd"/>
      <w:r w:rsidRPr="00BF3A72">
        <w:rPr>
          <w:rFonts w:ascii="Times New Roman" w:hAnsi="Times New Roman" w:cs="Times New Roman"/>
          <w:lang w:val="de-DE"/>
        </w:rPr>
        <w:t xml:space="preserve"> </w:t>
      </w:r>
      <w:proofErr w:type="spellStart"/>
      <w:r w:rsidRPr="00BF3A72">
        <w:rPr>
          <w:rFonts w:ascii="Times New Roman" w:hAnsi="Times New Roman" w:cs="Times New Roman"/>
          <w:lang w:val="de-DE"/>
        </w:rPr>
        <w:t>vai</w:t>
      </w:r>
      <w:proofErr w:type="spellEnd"/>
      <w:r w:rsidRPr="00BF3A72">
        <w:rPr>
          <w:rFonts w:ascii="Times New Roman" w:hAnsi="Times New Roman" w:cs="Times New Roman"/>
          <w:lang w:val="de-DE"/>
        </w:rPr>
        <w:t xml:space="preserve"> </w:t>
      </w:r>
      <w:proofErr w:type="spellStart"/>
      <w:r w:rsidRPr="00BF3A72">
        <w:rPr>
          <w:rFonts w:ascii="Times New Roman" w:hAnsi="Times New Roman" w:cs="Times New Roman"/>
          <w:lang w:val="de-DE"/>
        </w:rPr>
        <w:t>pilnvarojuma</w:t>
      </w:r>
      <w:proofErr w:type="spellEnd"/>
      <w:r w:rsidRPr="00BF3A72">
        <w:rPr>
          <w:rFonts w:ascii="Times New Roman" w:hAnsi="Times New Roman" w:cs="Times New Roman"/>
          <w:lang w:val="de-DE"/>
        </w:rPr>
        <w:t xml:space="preserve"> </w:t>
      </w:r>
      <w:proofErr w:type="spellStart"/>
      <w:r w:rsidRPr="00BF3A72">
        <w:rPr>
          <w:rFonts w:ascii="Times New Roman" w:hAnsi="Times New Roman" w:cs="Times New Roman"/>
          <w:lang w:val="de-DE"/>
        </w:rPr>
        <w:t>pamata</w:t>
      </w:r>
      <w:proofErr w:type="spellEnd"/>
      <w:r w:rsidRPr="00BF3A72">
        <w:rPr>
          <w:rFonts w:ascii="Times New Roman" w:hAnsi="Times New Roman" w:cs="Times New Roman"/>
          <w:lang w:val="de-DE"/>
        </w:rPr>
        <w:t xml:space="preserve"> (</w:t>
      </w:r>
      <w:proofErr w:type="spellStart"/>
      <w:r w:rsidRPr="00BF3A72">
        <w:rPr>
          <w:rFonts w:ascii="Times New Roman" w:hAnsi="Times New Roman" w:cs="Times New Roman"/>
          <w:lang w:val="de-DE"/>
        </w:rPr>
        <w:t>skat</w:t>
      </w:r>
      <w:proofErr w:type="spellEnd"/>
      <w:r w:rsidRPr="00BF3A72">
        <w:rPr>
          <w:rFonts w:ascii="Times New Roman" w:hAnsi="Times New Roman" w:cs="Times New Roman"/>
          <w:lang w:val="de-DE"/>
        </w:rPr>
        <w:t xml:space="preserve">. CL 1410.p.). </w:t>
      </w:r>
      <w:proofErr w:type="spellStart"/>
      <w:r w:rsidRPr="00BF3A72">
        <w:rPr>
          <w:rFonts w:ascii="Times New Roman" w:hAnsi="Times New Roman" w:cs="Times New Roman"/>
          <w:lang w:val="de-DE"/>
        </w:rPr>
        <w:t>Citiem</w:t>
      </w:r>
      <w:proofErr w:type="spellEnd"/>
      <w:r w:rsidRPr="00BF3A72">
        <w:rPr>
          <w:rFonts w:ascii="Times New Roman" w:hAnsi="Times New Roman" w:cs="Times New Roman"/>
          <w:lang w:val="de-DE"/>
        </w:rPr>
        <w:t xml:space="preserve"> </w:t>
      </w:r>
      <w:proofErr w:type="spellStart"/>
      <w:r w:rsidRPr="00BF3A72">
        <w:rPr>
          <w:rFonts w:ascii="Times New Roman" w:hAnsi="Times New Roman" w:cs="Times New Roman"/>
          <w:lang w:val="de-DE"/>
        </w:rPr>
        <w:t>vārdiem</w:t>
      </w:r>
      <w:proofErr w:type="spellEnd"/>
      <w:r w:rsidRPr="00BF3A72">
        <w:rPr>
          <w:rFonts w:ascii="Times New Roman" w:hAnsi="Times New Roman" w:cs="Times New Roman"/>
          <w:lang w:val="de-DE"/>
        </w:rPr>
        <w:t xml:space="preserve"> </w:t>
      </w:r>
      <w:proofErr w:type="spellStart"/>
      <w:r w:rsidRPr="00BF3A72">
        <w:rPr>
          <w:rFonts w:ascii="Times New Roman" w:hAnsi="Times New Roman" w:cs="Times New Roman"/>
          <w:lang w:val="de-DE"/>
        </w:rPr>
        <w:t>sakot</w:t>
      </w:r>
      <w:proofErr w:type="spellEnd"/>
      <w:r w:rsidRPr="00BF3A72">
        <w:rPr>
          <w:rFonts w:ascii="Times New Roman" w:hAnsi="Times New Roman" w:cs="Times New Roman"/>
          <w:lang w:val="de-DE"/>
        </w:rPr>
        <w:t xml:space="preserve">, </w:t>
      </w:r>
      <w:proofErr w:type="spellStart"/>
      <w:r w:rsidRPr="00BF3A72">
        <w:rPr>
          <w:rFonts w:ascii="Times New Roman" w:hAnsi="Times New Roman" w:cs="Times New Roman"/>
          <w:lang w:val="de-DE"/>
        </w:rPr>
        <w:t>vietniecība</w:t>
      </w:r>
      <w:proofErr w:type="spellEnd"/>
      <w:r w:rsidRPr="00BF3A72">
        <w:rPr>
          <w:rFonts w:ascii="Times New Roman" w:hAnsi="Times New Roman" w:cs="Times New Roman"/>
          <w:lang w:val="de-DE"/>
        </w:rPr>
        <w:t xml:space="preserve"> </w:t>
      </w:r>
      <w:proofErr w:type="spellStart"/>
      <w:r w:rsidRPr="00BF3A72">
        <w:rPr>
          <w:rFonts w:ascii="Times New Roman" w:hAnsi="Times New Roman" w:cs="Times New Roman"/>
          <w:lang w:val="de-DE"/>
        </w:rPr>
        <w:t>var</w:t>
      </w:r>
      <w:proofErr w:type="spellEnd"/>
      <w:r w:rsidRPr="00BF3A72">
        <w:rPr>
          <w:rFonts w:ascii="Times New Roman" w:hAnsi="Times New Roman" w:cs="Times New Roman"/>
          <w:lang w:val="de-DE"/>
        </w:rPr>
        <w:t xml:space="preserve"> </w:t>
      </w:r>
      <w:proofErr w:type="spellStart"/>
      <w:r w:rsidRPr="00BF3A72">
        <w:rPr>
          <w:rFonts w:ascii="Times New Roman" w:hAnsi="Times New Roman" w:cs="Times New Roman"/>
          <w:lang w:val="de-DE"/>
        </w:rPr>
        <w:t>izrietēt</w:t>
      </w:r>
      <w:proofErr w:type="spellEnd"/>
      <w:r w:rsidRPr="00BF3A72">
        <w:rPr>
          <w:rFonts w:ascii="Times New Roman" w:hAnsi="Times New Roman" w:cs="Times New Roman"/>
          <w:lang w:val="de-DE"/>
        </w:rPr>
        <w:t xml:space="preserve"> </w:t>
      </w:r>
      <w:proofErr w:type="spellStart"/>
      <w:r w:rsidRPr="00BF3A72">
        <w:rPr>
          <w:rFonts w:ascii="Times New Roman" w:hAnsi="Times New Roman" w:cs="Times New Roman"/>
          <w:lang w:val="de-DE"/>
        </w:rPr>
        <w:t>gan</w:t>
      </w:r>
      <w:proofErr w:type="spellEnd"/>
      <w:r w:rsidRPr="00BF3A72">
        <w:rPr>
          <w:rFonts w:ascii="Times New Roman" w:hAnsi="Times New Roman" w:cs="Times New Roman"/>
          <w:lang w:val="de-DE"/>
        </w:rPr>
        <w:t xml:space="preserve"> </w:t>
      </w:r>
      <w:proofErr w:type="spellStart"/>
      <w:r w:rsidRPr="00BF3A72">
        <w:rPr>
          <w:rFonts w:ascii="Times New Roman" w:hAnsi="Times New Roman" w:cs="Times New Roman"/>
          <w:lang w:val="de-DE"/>
        </w:rPr>
        <w:t>no</w:t>
      </w:r>
      <w:proofErr w:type="spellEnd"/>
      <w:r w:rsidRPr="00BF3A72">
        <w:rPr>
          <w:rFonts w:ascii="Times New Roman" w:hAnsi="Times New Roman" w:cs="Times New Roman"/>
          <w:lang w:val="de-DE"/>
        </w:rPr>
        <w:t xml:space="preserve"> </w:t>
      </w:r>
      <w:proofErr w:type="spellStart"/>
      <w:r w:rsidRPr="00BF3A72">
        <w:rPr>
          <w:rFonts w:ascii="Times New Roman" w:hAnsi="Times New Roman" w:cs="Times New Roman"/>
          <w:lang w:val="de-DE"/>
        </w:rPr>
        <w:t>likuma</w:t>
      </w:r>
      <w:proofErr w:type="spellEnd"/>
      <w:r w:rsidRPr="00BF3A72">
        <w:rPr>
          <w:rFonts w:ascii="Times New Roman" w:hAnsi="Times New Roman" w:cs="Times New Roman"/>
          <w:lang w:val="de-DE"/>
        </w:rPr>
        <w:t xml:space="preserve">, </w:t>
      </w:r>
      <w:proofErr w:type="spellStart"/>
      <w:r w:rsidRPr="00BF3A72">
        <w:rPr>
          <w:rFonts w:ascii="Times New Roman" w:hAnsi="Times New Roman" w:cs="Times New Roman"/>
          <w:lang w:val="de-DE"/>
        </w:rPr>
        <w:t>gan</w:t>
      </w:r>
      <w:proofErr w:type="spellEnd"/>
      <w:r w:rsidRPr="00BF3A72">
        <w:rPr>
          <w:rFonts w:ascii="Times New Roman" w:hAnsi="Times New Roman" w:cs="Times New Roman"/>
          <w:lang w:val="de-DE"/>
        </w:rPr>
        <w:t xml:space="preserve"> </w:t>
      </w:r>
      <w:proofErr w:type="spellStart"/>
      <w:r w:rsidRPr="00BF3A72">
        <w:rPr>
          <w:rFonts w:ascii="Times New Roman" w:hAnsi="Times New Roman" w:cs="Times New Roman"/>
          <w:lang w:val="de-DE"/>
        </w:rPr>
        <w:t>pilnvarojuma</w:t>
      </w:r>
      <w:proofErr w:type="spellEnd"/>
      <w:r w:rsidRPr="00BF3A72">
        <w:rPr>
          <w:rFonts w:ascii="Times New Roman" w:hAnsi="Times New Roman" w:cs="Times New Roman"/>
          <w:lang w:val="de-DE"/>
        </w:rPr>
        <w:t xml:space="preserve"> </w:t>
      </w:r>
      <w:proofErr w:type="spellStart"/>
      <w:r w:rsidRPr="00BF3A72">
        <w:rPr>
          <w:rFonts w:ascii="Times New Roman" w:hAnsi="Times New Roman" w:cs="Times New Roman"/>
          <w:lang w:val="de-DE"/>
        </w:rPr>
        <w:t>līguma</w:t>
      </w:r>
      <w:proofErr w:type="spellEnd"/>
      <w:r w:rsidRPr="00BF3A72">
        <w:rPr>
          <w:rFonts w:ascii="Times New Roman" w:hAnsi="Times New Roman" w:cs="Times New Roman"/>
          <w:lang w:val="de-DE"/>
        </w:rPr>
        <w:t xml:space="preserve">. </w:t>
      </w:r>
      <w:proofErr w:type="spellStart"/>
      <w:r w:rsidRPr="00BF3A72">
        <w:rPr>
          <w:rFonts w:ascii="Times New Roman" w:hAnsi="Times New Roman" w:cs="Times New Roman"/>
          <w:lang w:val="de-DE"/>
        </w:rPr>
        <w:t>Šī</w:t>
      </w:r>
      <w:proofErr w:type="spellEnd"/>
      <w:r w:rsidRPr="00BF3A72">
        <w:rPr>
          <w:rFonts w:ascii="Times New Roman" w:hAnsi="Times New Roman" w:cs="Times New Roman"/>
          <w:lang w:val="de-DE"/>
        </w:rPr>
        <w:t xml:space="preserve"> </w:t>
      </w:r>
      <w:proofErr w:type="spellStart"/>
      <w:r w:rsidRPr="00BF3A72">
        <w:rPr>
          <w:rFonts w:ascii="Times New Roman" w:hAnsi="Times New Roman" w:cs="Times New Roman"/>
          <w:lang w:val="de-DE"/>
        </w:rPr>
        <w:t>pētījuma</w:t>
      </w:r>
      <w:proofErr w:type="spellEnd"/>
      <w:r w:rsidRPr="00BF3A72">
        <w:rPr>
          <w:rFonts w:ascii="Times New Roman" w:hAnsi="Times New Roman" w:cs="Times New Roman"/>
          <w:lang w:val="de-DE"/>
        </w:rPr>
        <w:t xml:space="preserve"> </w:t>
      </w:r>
      <w:proofErr w:type="spellStart"/>
      <w:r w:rsidRPr="00BF3A72">
        <w:rPr>
          <w:rFonts w:ascii="Times New Roman" w:hAnsi="Times New Roman" w:cs="Times New Roman"/>
          <w:lang w:val="de-DE"/>
        </w:rPr>
        <w:t>ietvaros</w:t>
      </w:r>
      <w:proofErr w:type="spellEnd"/>
      <w:r w:rsidRPr="00BF3A72">
        <w:rPr>
          <w:rFonts w:ascii="Times New Roman" w:hAnsi="Times New Roman" w:cs="Times New Roman"/>
          <w:lang w:val="de-DE"/>
        </w:rPr>
        <w:t xml:space="preserve"> </w:t>
      </w:r>
      <w:proofErr w:type="spellStart"/>
      <w:r w:rsidRPr="00BF3A72">
        <w:rPr>
          <w:rFonts w:ascii="Times New Roman" w:hAnsi="Times New Roman" w:cs="Times New Roman"/>
          <w:lang w:val="de-DE"/>
        </w:rPr>
        <w:t>tiek</w:t>
      </w:r>
      <w:proofErr w:type="spellEnd"/>
      <w:r w:rsidRPr="00BF3A72">
        <w:rPr>
          <w:rFonts w:ascii="Times New Roman" w:hAnsi="Times New Roman" w:cs="Times New Roman"/>
          <w:lang w:val="de-DE"/>
        </w:rPr>
        <w:t xml:space="preserve"> </w:t>
      </w:r>
      <w:proofErr w:type="spellStart"/>
      <w:r w:rsidRPr="00BF3A72">
        <w:rPr>
          <w:rFonts w:ascii="Times New Roman" w:hAnsi="Times New Roman" w:cs="Times New Roman"/>
          <w:lang w:val="de-DE"/>
        </w:rPr>
        <w:t>runāts</w:t>
      </w:r>
      <w:proofErr w:type="spellEnd"/>
      <w:r w:rsidRPr="00BF3A72">
        <w:rPr>
          <w:rFonts w:ascii="Times New Roman" w:hAnsi="Times New Roman" w:cs="Times New Roman"/>
          <w:lang w:val="de-DE"/>
        </w:rPr>
        <w:t xml:space="preserve"> </w:t>
      </w:r>
      <w:proofErr w:type="spellStart"/>
      <w:r w:rsidRPr="00BF3A72">
        <w:rPr>
          <w:rFonts w:ascii="Times New Roman" w:hAnsi="Times New Roman" w:cs="Times New Roman"/>
          <w:lang w:val="de-DE"/>
        </w:rPr>
        <w:t>tikai</w:t>
      </w:r>
      <w:proofErr w:type="spellEnd"/>
      <w:r w:rsidRPr="00BF3A72">
        <w:rPr>
          <w:rFonts w:ascii="Times New Roman" w:hAnsi="Times New Roman" w:cs="Times New Roman"/>
          <w:lang w:val="de-DE"/>
        </w:rPr>
        <w:t xml:space="preserve"> par </w:t>
      </w:r>
      <w:proofErr w:type="spellStart"/>
      <w:r w:rsidRPr="00BF3A72">
        <w:rPr>
          <w:rFonts w:ascii="Times New Roman" w:hAnsi="Times New Roman" w:cs="Times New Roman"/>
          <w:lang w:val="de-DE"/>
        </w:rPr>
        <w:t>otro</w:t>
      </w:r>
      <w:proofErr w:type="spellEnd"/>
      <w:r w:rsidRPr="00BF3A72">
        <w:rPr>
          <w:rFonts w:ascii="Times New Roman" w:hAnsi="Times New Roman" w:cs="Times New Roman"/>
          <w:lang w:val="de-DE"/>
        </w:rPr>
        <w:t xml:space="preserve"> </w:t>
      </w:r>
      <w:proofErr w:type="spellStart"/>
      <w:r w:rsidRPr="00BF3A72">
        <w:rPr>
          <w:rFonts w:ascii="Times New Roman" w:hAnsi="Times New Roman" w:cs="Times New Roman"/>
          <w:lang w:val="de-DE"/>
        </w:rPr>
        <w:t>variantu</w:t>
      </w:r>
      <w:proofErr w:type="spellEnd"/>
      <w:r w:rsidRPr="00BF3A72">
        <w:rPr>
          <w:rFonts w:ascii="Times New Roman" w:hAnsi="Times New Roman" w:cs="Times New Roman"/>
          <w:lang w:val="de-DE"/>
        </w:rPr>
        <w:t xml:space="preserve"> – </w:t>
      </w:r>
      <w:proofErr w:type="spellStart"/>
      <w:r w:rsidRPr="00BF3A72">
        <w:rPr>
          <w:rFonts w:ascii="Times New Roman" w:hAnsi="Times New Roman" w:cs="Times New Roman"/>
          <w:lang w:val="de-DE"/>
        </w:rPr>
        <w:t>vietniecību</w:t>
      </w:r>
      <w:proofErr w:type="spellEnd"/>
      <w:r w:rsidRPr="00BF3A72">
        <w:rPr>
          <w:rFonts w:ascii="Times New Roman" w:hAnsi="Times New Roman" w:cs="Times New Roman"/>
          <w:lang w:val="de-DE"/>
        </w:rPr>
        <w:t xml:space="preserve"> </w:t>
      </w:r>
      <w:proofErr w:type="spellStart"/>
      <w:r w:rsidRPr="00BF3A72">
        <w:rPr>
          <w:rFonts w:ascii="Times New Roman" w:hAnsi="Times New Roman" w:cs="Times New Roman"/>
          <w:lang w:val="de-DE"/>
        </w:rPr>
        <w:t>uz</w:t>
      </w:r>
      <w:proofErr w:type="spellEnd"/>
      <w:r w:rsidRPr="00BF3A72">
        <w:rPr>
          <w:rFonts w:ascii="Times New Roman" w:hAnsi="Times New Roman" w:cs="Times New Roman"/>
          <w:lang w:val="de-DE"/>
        </w:rPr>
        <w:t xml:space="preserve"> </w:t>
      </w:r>
      <w:proofErr w:type="spellStart"/>
      <w:r w:rsidRPr="00BF3A72">
        <w:rPr>
          <w:rFonts w:ascii="Times New Roman" w:hAnsi="Times New Roman" w:cs="Times New Roman"/>
          <w:lang w:val="de-DE"/>
        </w:rPr>
        <w:t>pilnvarojuma</w:t>
      </w:r>
      <w:proofErr w:type="spellEnd"/>
      <w:r w:rsidRPr="00BF3A72">
        <w:rPr>
          <w:rFonts w:ascii="Times New Roman" w:hAnsi="Times New Roman" w:cs="Times New Roman"/>
          <w:lang w:val="de-DE"/>
        </w:rPr>
        <w:t xml:space="preserve"> </w:t>
      </w:r>
      <w:proofErr w:type="spellStart"/>
      <w:r w:rsidRPr="00BF3A72">
        <w:rPr>
          <w:rFonts w:ascii="Times New Roman" w:hAnsi="Times New Roman" w:cs="Times New Roman"/>
          <w:lang w:val="de-DE"/>
        </w:rPr>
        <w:t>līguma</w:t>
      </w:r>
      <w:proofErr w:type="spellEnd"/>
      <w:r w:rsidRPr="00BF3A72">
        <w:rPr>
          <w:rFonts w:ascii="Times New Roman" w:hAnsi="Times New Roman" w:cs="Times New Roman"/>
          <w:lang w:val="de-DE"/>
        </w:rPr>
        <w:t xml:space="preserve"> </w:t>
      </w:r>
      <w:proofErr w:type="spellStart"/>
      <w:r w:rsidRPr="00BF3A72">
        <w:rPr>
          <w:rFonts w:ascii="Times New Roman" w:hAnsi="Times New Roman" w:cs="Times New Roman"/>
          <w:lang w:val="de-DE"/>
        </w:rPr>
        <w:t>pamata</w:t>
      </w:r>
      <w:proofErr w:type="spellEnd"/>
      <w:r w:rsidRPr="00BF3A72">
        <w:rPr>
          <w:rFonts w:ascii="Times New Roman" w:hAnsi="Times New Roman" w:cs="Times New Roman"/>
          <w:lang w:val="de-DE"/>
        </w:rPr>
        <w:t xml:space="preserve">. CL </w:t>
      </w:r>
      <w:proofErr w:type="spellStart"/>
      <w:r w:rsidRPr="00BF3A72">
        <w:rPr>
          <w:rFonts w:ascii="Times New Roman" w:hAnsi="Times New Roman" w:cs="Times New Roman"/>
          <w:lang w:val="de-DE"/>
        </w:rPr>
        <w:t>izpratnē</w:t>
      </w:r>
      <w:proofErr w:type="spellEnd"/>
      <w:r w:rsidRPr="00BF3A72">
        <w:rPr>
          <w:rFonts w:ascii="Times New Roman" w:hAnsi="Times New Roman" w:cs="Times New Roman"/>
          <w:lang w:val="de-DE"/>
        </w:rPr>
        <w:t xml:space="preserve"> </w:t>
      </w:r>
      <w:proofErr w:type="spellStart"/>
      <w:r w:rsidRPr="00BF3A72">
        <w:rPr>
          <w:rFonts w:ascii="Times New Roman" w:hAnsi="Times New Roman" w:cs="Times New Roman"/>
          <w:lang w:val="de-DE"/>
        </w:rPr>
        <w:t>būtiskas</w:t>
      </w:r>
      <w:proofErr w:type="spellEnd"/>
      <w:r w:rsidRPr="00BF3A72">
        <w:rPr>
          <w:rFonts w:ascii="Times New Roman" w:hAnsi="Times New Roman" w:cs="Times New Roman"/>
          <w:lang w:val="de-DE"/>
        </w:rPr>
        <w:t xml:space="preserve"> </w:t>
      </w:r>
      <w:proofErr w:type="spellStart"/>
      <w:r w:rsidRPr="00BF3A72">
        <w:rPr>
          <w:rFonts w:ascii="Times New Roman" w:hAnsi="Times New Roman" w:cs="Times New Roman"/>
          <w:lang w:val="de-DE"/>
        </w:rPr>
        <w:t>atšķirības</w:t>
      </w:r>
      <w:proofErr w:type="spellEnd"/>
      <w:r w:rsidRPr="00BF3A72">
        <w:rPr>
          <w:rFonts w:ascii="Times New Roman" w:hAnsi="Times New Roman" w:cs="Times New Roman"/>
          <w:lang w:val="de-DE"/>
        </w:rPr>
        <w:t xml:space="preserve"> </w:t>
      </w:r>
      <w:proofErr w:type="spellStart"/>
      <w:r w:rsidRPr="00BF3A72">
        <w:rPr>
          <w:rFonts w:ascii="Times New Roman" w:hAnsi="Times New Roman" w:cs="Times New Roman"/>
          <w:lang w:val="de-DE"/>
        </w:rPr>
        <w:t>starp</w:t>
      </w:r>
      <w:proofErr w:type="spellEnd"/>
      <w:r w:rsidRPr="00BF3A72">
        <w:rPr>
          <w:rFonts w:ascii="Times New Roman" w:hAnsi="Times New Roman" w:cs="Times New Roman"/>
          <w:lang w:val="de-DE"/>
        </w:rPr>
        <w:t xml:space="preserve"> </w:t>
      </w:r>
      <w:proofErr w:type="spellStart"/>
      <w:r w:rsidRPr="00BF3A72">
        <w:rPr>
          <w:rFonts w:ascii="Times New Roman" w:hAnsi="Times New Roman" w:cs="Times New Roman"/>
          <w:lang w:val="de-DE"/>
        </w:rPr>
        <w:t>jēdzieniem</w:t>
      </w:r>
      <w:proofErr w:type="spellEnd"/>
      <w:r w:rsidRPr="00BF3A72">
        <w:rPr>
          <w:rFonts w:ascii="Times New Roman" w:hAnsi="Times New Roman" w:cs="Times New Roman"/>
          <w:lang w:val="de-DE"/>
        </w:rPr>
        <w:t xml:space="preserve"> „</w:t>
      </w:r>
      <w:proofErr w:type="spellStart"/>
      <w:r w:rsidRPr="00BF3A72">
        <w:rPr>
          <w:rFonts w:ascii="Times New Roman" w:hAnsi="Times New Roman" w:cs="Times New Roman"/>
          <w:lang w:val="de-DE"/>
        </w:rPr>
        <w:t>vietnieks</w:t>
      </w:r>
      <w:proofErr w:type="spellEnd"/>
      <w:r w:rsidRPr="00BF3A72">
        <w:rPr>
          <w:rFonts w:ascii="Times New Roman" w:hAnsi="Times New Roman" w:cs="Times New Roman"/>
          <w:lang w:val="de-DE"/>
        </w:rPr>
        <w:t xml:space="preserve">“ </w:t>
      </w:r>
      <w:proofErr w:type="spellStart"/>
      <w:r w:rsidRPr="00BF3A72">
        <w:rPr>
          <w:rFonts w:ascii="Times New Roman" w:hAnsi="Times New Roman" w:cs="Times New Roman"/>
          <w:lang w:val="de-DE"/>
        </w:rPr>
        <w:t>un</w:t>
      </w:r>
      <w:proofErr w:type="spellEnd"/>
      <w:r w:rsidRPr="00BF3A72">
        <w:rPr>
          <w:rFonts w:ascii="Times New Roman" w:hAnsi="Times New Roman" w:cs="Times New Roman"/>
          <w:lang w:val="de-DE"/>
        </w:rPr>
        <w:t xml:space="preserve"> „</w:t>
      </w:r>
      <w:proofErr w:type="spellStart"/>
      <w:r w:rsidRPr="00BF3A72">
        <w:rPr>
          <w:rFonts w:ascii="Times New Roman" w:hAnsi="Times New Roman" w:cs="Times New Roman"/>
          <w:lang w:val="de-DE"/>
        </w:rPr>
        <w:t>pārstāvis</w:t>
      </w:r>
      <w:proofErr w:type="spellEnd"/>
      <w:r w:rsidRPr="00BF3A72">
        <w:rPr>
          <w:rFonts w:ascii="Times New Roman" w:hAnsi="Times New Roman" w:cs="Times New Roman"/>
          <w:lang w:val="de-DE"/>
        </w:rPr>
        <w:t xml:space="preserve">“ </w:t>
      </w:r>
      <w:proofErr w:type="spellStart"/>
      <w:r w:rsidRPr="00BF3A72">
        <w:rPr>
          <w:rFonts w:ascii="Times New Roman" w:hAnsi="Times New Roman" w:cs="Times New Roman"/>
          <w:lang w:val="de-DE"/>
        </w:rPr>
        <w:t>nav</w:t>
      </w:r>
      <w:proofErr w:type="spellEnd"/>
      <w:r w:rsidRPr="00BF3A72">
        <w:rPr>
          <w:rFonts w:ascii="Times New Roman" w:hAnsi="Times New Roman" w:cs="Times New Roman"/>
          <w:lang w:val="de-DE"/>
        </w:rPr>
        <w:t>.</w:t>
      </w:r>
      <w:r w:rsidRPr="00BF3A72">
        <w:rPr>
          <w:rStyle w:val="FootnoteReference"/>
          <w:rFonts w:ascii="Times New Roman" w:hAnsi="Times New Roman" w:cs="Times New Roman"/>
          <w:lang w:val="de-DE"/>
        </w:rPr>
        <w:footnoteReference w:id="23"/>
      </w:r>
      <w:r w:rsidRPr="00BF3A72">
        <w:rPr>
          <w:rFonts w:ascii="Times New Roman" w:hAnsi="Times New Roman" w:cs="Times New Roman"/>
          <w:lang w:val="de-DE"/>
        </w:rPr>
        <w:t xml:space="preserve"> </w:t>
      </w:r>
      <w:proofErr w:type="spellStart"/>
      <w:r w:rsidRPr="00BF3A72">
        <w:rPr>
          <w:rFonts w:ascii="Times New Roman" w:hAnsi="Times New Roman" w:cs="Times New Roman"/>
          <w:lang w:val="de-DE"/>
        </w:rPr>
        <w:t>Tomēr</w:t>
      </w:r>
      <w:proofErr w:type="spellEnd"/>
      <w:r w:rsidRPr="00BF3A72">
        <w:rPr>
          <w:rFonts w:ascii="Times New Roman" w:hAnsi="Times New Roman" w:cs="Times New Roman"/>
          <w:lang w:val="de-DE"/>
        </w:rPr>
        <w:t xml:space="preserve">, </w:t>
      </w:r>
      <w:proofErr w:type="spellStart"/>
      <w:r w:rsidRPr="00BF3A72">
        <w:rPr>
          <w:rFonts w:ascii="Times New Roman" w:hAnsi="Times New Roman" w:cs="Times New Roman"/>
          <w:lang w:val="de-DE"/>
        </w:rPr>
        <w:t>kā</w:t>
      </w:r>
      <w:proofErr w:type="spellEnd"/>
      <w:r w:rsidRPr="00BF3A72">
        <w:rPr>
          <w:rFonts w:ascii="Times New Roman" w:hAnsi="Times New Roman" w:cs="Times New Roman"/>
          <w:lang w:val="de-DE"/>
        </w:rPr>
        <w:t xml:space="preserve"> </w:t>
      </w:r>
      <w:proofErr w:type="spellStart"/>
      <w:r w:rsidRPr="00BF3A72">
        <w:rPr>
          <w:rFonts w:ascii="Times New Roman" w:hAnsi="Times New Roman" w:cs="Times New Roman"/>
          <w:lang w:val="de-DE"/>
        </w:rPr>
        <w:t>norāda</w:t>
      </w:r>
      <w:proofErr w:type="spellEnd"/>
      <w:r w:rsidRPr="00BF3A72">
        <w:rPr>
          <w:rFonts w:ascii="Times New Roman" w:hAnsi="Times New Roman" w:cs="Times New Roman"/>
          <w:lang w:val="de-DE"/>
        </w:rPr>
        <w:t xml:space="preserve"> prof. </w:t>
      </w:r>
      <w:proofErr w:type="spellStart"/>
      <w:r w:rsidRPr="00BF3A72">
        <w:rPr>
          <w:rFonts w:ascii="Times New Roman" w:hAnsi="Times New Roman" w:cs="Times New Roman"/>
          <w:lang w:val="de-DE"/>
        </w:rPr>
        <w:t>K.Torgāns</w:t>
      </w:r>
      <w:proofErr w:type="spellEnd"/>
      <w:r w:rsidRPr="00BF3A72">
        <w:rPr>
          <w:rFonts w:ascii="Times New Roman" w:hAnsi="Times New Roman" w:cs="Times New Roman"/>
          <w:lang w:val="de-DE"/>
        </w:rPr>
        <w:t xml:space="preserve">: </w:t>
      </w:r>
    </w:p>
    <w:p w14:paraId="499A4CE5" w14:textId="0DC05B4E" w:rsidR="00114953" w:rsidRPr="00BF3A72" w:rsidRDefault="00114953" w:rsidP="00114953">
      <w:pPr>
        <w:ind w:left="708"/>
        <w:jc w:val="both"/>
        <w:rPr>
          <w:rFonts w:ascii="Times New Roman" w:hAnsi="Times New Roman" w:cs="Times New Roman"/>
          <w:lang w:val="de-DE"/>
        </w:rPr>
      </w:pPr>
      <w:r w:rsidRPr="00BF3A72">
        <w:rPr>
          <w:rFonts w:ascii="Times New Roman" w:hAnsi="Times New Roman" w:cs="Times New Roman"/>
          <w:lang w:val="de-DE"/>
        </w:rPr>
        <w:t>„</w:t>
      </w:r>
      <w:proofErr w:type="spellStart"/>
      <w:r w:rsidRPr="00BF3A72">
        <w:rPr>
          <w:rFonts w:ascii="Times New Roman" w:hAnsi="Times New Roman" w:cs="Times New Roman"/>
          <w:i/>
          <w:lang w:val="de-DE"/>
        </w:rPr>
        <w:t>Nianses</w:t>
      </w:r>
      <w:proofErr w:type="spellEnd"/>
      <w:r w:rsidRPr="00BF3A72">
        <w:rPr>
          <w:rFonts w:ascii="Times New Roman" w:hAnsi="Times New Roman" w:cs="Times New Roman"/>
          <w:i/>
          <w:lang w:val="de-DE"/>
        </w:rPr>
        <w:t xml:space="preserve"> </w:t>
      </w:r>
      <w:proofErr w:type="spellStart"/>
      <w:r w:rsidRPr="00BF3A72">
        <w:rPr>
          <w:rFonts w:ascii="Times New Roman" w:hAnsi="Times New Roman" w:cs="Times New Roman"/>
          <w:i/>
          <w:lang w:val="de-DE"/>
        </w:rPr>
        <w:t>varētu</w:t>
      </w:r>
      <w:proofErr w:type="spellEnd"/>
      <w:r w:rsidRPr="00BF3A72">
        <w:rPr>
          <w:rFonts w:ascii="Times New Roman" w:hAnsi="Times New Roman" w:cs="Times New Roman"/>
          <w:i/>
          <w:lang w:val="de-DE"/>
        </w:rPr>
        <w:t xml:space="preserve"> </w:t>
      </w:r>
      <w:proofErr w:type="spellStart"/>
      <w:r w:rsidRPr="00BF3A72">
        <w:rPr>
          <w:rFonts w:ascii="Times New Roman" w:hAnsi="Times New Roman" w:cs="Times New Roman"/>
          <w:i/>
          <w:lang w:val="de-DE"/>
        </w:rPr>
        <w:t>meklēt</w:t>
      </w:r>
      <w:proofErr w:type="spellEnd"/>
      <w:r w:rsidRPr="00BF3A72">
        <w:rPr>
          <w:rFonts w:ascii="Times New Roman" w:hAnsi="Times New Roman" w:cs="Times New Roman"/>
          <w:i/>
          <w:lang w:val="de-DE"/>
        </w:rPr>
        <w:t xml:space="preserve"> </w:t>
      </w:r>
      <w:proofErr w:type="spellStart"/>
      <w:r w:rsidRPr="00BF3A72">
        <w:rPr>
          <w:rFonts w:ascii="Times New Roman" w:hAnsi="Times New Roman" w:cs="Times New Roman"/>
          <w:i/>
          <w:lang w:val="de-DE"/>
        </w:rPr>
        <w:t>sokojošajā</w:t>
      </w:r>
      <w:proofErr w:type="spellEnd"/>
      <w:r w:rsidRPr="00BF3A72">
        <w:rPr>
          <w:rFonts w:ascii="Times New Roman" w:hAnsi="Times New Roman" w:cs="Times New Roman"/>
          <w:i/>
          <w:lang w:val="de-DE"/>
        </w:rPr>
        <w:t xml:space="preserve">. </w:t>
      </w:r>
      <w:proofErr w:type="spellStart"/>
      <w:r w:rsidRPr="00BF3A72">
        <w:rPr>
          <w:rFonts w:ascii="Times New Roman" w:hAnsi="Times New Roman" w:cs="Times New Roman"/>
          <w:i/>
          <w:lang w:val="de-DE"/>
        </w:rPr>
        <w:t>Pārstāvībā</w:t>
      </w:r>
      <w:proofErr w:type="spellEnd"/>
      <w:r w:rsidRPr="00BF3A72">
        <w:rPr>
          <w:rFonts w:ascii="Times New Roman" w:hAnsi="Times New Roman" w:cs="Times New Roman"/>
          <w:i/>
          <w:lang w:val="de-DE"/>
        </w:rPr>
        <w:t xml:space="preserve"> </w:t>
      </w:r>
      <w:proofErr w:type="spellStart"/>
      <w:r w:rsidRPr="00BF3A72">
        <w:rPr>
          <w:rFonts w:ascii="Times New Roman" w:hAnsi="Times New Roman" w:cs="Times New Roman"/>
          <w:i/>
          <w:lang w:val="de-DE"/>
        </w:rPr>
        <w:t>kāda</w:t>
      </w:r>
      <w:proofErr w:type="spellEnd"/>
      <w:r w:rsidRPr="00BF3A72">
        <w:rPr>
          <w:rFonts w:ascii="Times New Roman" w:hAnsi="Times New Roman" w:cs="Times New Roman"/>
          <w:i/>
          <w:lang w:val="de-DE"/>
        </w:rPr>
        <w:t xml:space="preserve"> </w:t>
      </w:r>
      <w:proofErr w:type="spellStart"/>
      <w:r w:rsidRPr="00BF3A72">
        <w:rPr>
          <w:rFonts w:ascii="Times New Roman" w:hAnsi="Times New Roman" w:cs="Times New Roman"/>
          <w:i/>
          <w:lang w:val="de-DE"/>
        </w:rPr>
        <w:t>persona</w:t>
      </w:r>
      <w:proofErr w:type="spellEnd"/>
      <w:r w:rsidRPr="00BF3A72">
        <w:rPr>
          <w:rFonts w:ascii="Times New Roman" w:hAnsi="Times New Roman" w:cs="Times New Roman"/>
          <w:i/>
          <w:lang w:val="de-DE"/>
        </w:rPr>
        <w:t xml:space="preserve"> </w:t>
      </w:r>
      <w:proofErr w:type="spellStart"/>
      <w:r w:rsidRPr="00BF3A72">
        <w:rPr>
          <w:rFonts w:ascii="Times New Roman" w:hAnsi="Times New Roman" w:cs="Times New Roman"/>
          <w:i/>
          <w:lang w:val="de-DE"/>
        </w:rPr>
        <w:t>ir</w:t>
      </w:r>
      <w:proofErr w:type="spellEnd"/>
      <w:r w:rsidRPr="00BF3A72">
        <w:rPr>
          <w:rFonts w:ascii="Times New Roman" w:hAnsi="Times New Roman" w:cs="Times New Roman"/>
          <w:i/>
          <w:lang w:val="de-DE"/>
        </w:rPr>
        <w:t xml:space="preserve"> </w:t>
      </w:r>
      <w:proofErr w:type="spellStart"/>
      <w:r w:rsidRPr="00BF3A72">
        <w:rPr>
          <w:rFonts w:ascii="Times New Roman" w:hAnsi="Times New Roman" w:cs="Times New Roman"/>
          <w:i/>
          <w:lang w:val="de-DE"/>
        </w:rPr>
        <w:t>tiesīga</w:t>
      </w:r>
      <w:proofErr w:type="spellEnd"/>
      <w:r w:rsidRPr="00BF3A72">
        <w:rPr>
          <w:rFonts w:ascii="Times New Roman" w:hAnsi="Times New Roman" w:cs="Times New Roman"/>
          <w:i/>
          <w:lang w:val="de-DE"/>
        </w:rPr>
        <w:t xml:space="preserve"> paust </w:t>
      </w:r>
      <w:proofErr w:type="spellStart"/>
      <w:proofErr w:type="gramStart"/>
      <w:r w:rsidRPr="00BF3A72">
        <w:rPr>
          <w:rFonts w:ascii="Times New Roman" w:hAnsi="Times New Roman" w:cs="Times New Roman"/>
          <w:i/>
          <w:lang w:val="de-DE"/>
        </w:rPr>
        <w:t>pārstāvamā</w:t>
      </w:r>
      <w:proofErr w:type="spellEnd"/>
      <w:r w:rsidRPr="00BF3A72">
        <w:rPr>
          <w:rFonts w:ascii="Times New Roman" w:hAnsi="Times New Roman" w:cs="Times New Roman"/>
          <w:i/>
          <w:lang w:val="de-DE"/>
        </w:rPr>
        <w:t xml:space="preserve">  </w:t>
      </w:r>
      <w:proofErr w:type="spellStart"/>
      <w:r w:rsidRPr="00BF3A72">
        <w:rPr>
          <w:rFonts w:ascii="Times New Roman" w:hAnsi="Times New Roman" w:cs="Times New Roman"/>
          <w:i/>
          <w:lang w:val="de-DE"/>
        </w:rPr>
        <w:t>juridiski</w:t>
      </w:r>
      <w:proofErr w:type="spellEnd"/>
      <w:proofErr w:type="gramEnd"/>
      <w:r w:rsidRPr="00BF3A72">
        <w:rPr>
          <w:rFonts w:ascii="Times New Roman" w:hAnsi="Times New Roman" w:cs="Times New Roman"/>
          <w:i/>
          <w:lang w:val="de-DE"/>
        </w:rPr>
        <w:t xml:space="preserve"> </w:t>
      </w:r>
      <w:proofErr w:type="spellStart"/>
      <w:r w:rsidRPr="00BF3A72">
        <w:rPr>
          <w:rFonts w:ascii="Times New Roman" w:hAnsi="Times New Roman" w:cs="Times New Roman"/>
          <w:i/>
          <w:lang w:val="de-DE"/>
        </w:rPr>
        <w:t>nozīmīgu</w:t>
      </w:r>
      <w:proofErr w:type="spellEnd"/>
      <w:r w:rsidRPr="00BF3A72">
        <w:rPr>
          <w:rFonts w:ascii="Times New Roman" w:hAnsi="Times New Roman" w:cs="Times New Roman"/>
          <w:i/>
          <w:lang w:val="de-DE"/>
        </w:rPr>
        <w:t xml:space="preserve"> </w:t>
      </w:r>
      <w:proofErr w:type="spellStart"/>
      <w:r w:rsidRPr="00BF3A72">
        <w:rPr>
          <w:rFonts w:ascii="Times New Roman" w:hAnsi="Times New Roman" w:cs="Times New Roman"/>
          <w:i/>
          <w:lang w:val="de-DE"/>
        </w:rPr>
        <w:t>gribu</w:t>
      </w:r>
      <w:proofErr w:type="spellEnd"/>
      <w:r w:rsidRPr="00BF3A72">
        <w:rPr>
          <w:rFonts w:ascii="Times New Roman" w:hAnsi="Times New Roman" w:cs="Times New Roman"/>
          <w:i/>
          <w:lang w:val="de-DE"/>
        </w:rPr>
        <w:t xml:space="preserve">, </w:t>
      </w:r>
      <w:proofErr w:type="spellStart"/>
      <w:r w:rsidRPr="00BF3A72">
        <w:rPr>
          <w:rFonts w:ascii="Times New Roman" w:hAnsi="Times New Roman" w:cs="Times New Roman"/>
          <w:i/>
          <w:lang w:val="de-DE"/>
        </w:rPr>
        <w:t>rīkojoties</w:t>
      </w:r>
      <w:proofErr w:type="spellEnd"/>
      <w:r w:rsidRPr="00BF3A72">
        <w:rPr>
          <w:rFonts w:ascii="Times New Roman" w:hAnsi="Times New Roman" w:cs="Times New Roman"/>
          <w:i/>
          <w:lang w:val="de-DE"/>
        </w:rPr>
        <w:t xml:space="preserve"> </w:t>
      </w:r>
      <w:proofErr w:type="spellStart"/>
      <w:r w:rsidRPr="00BF3A72">
        <w:rPr>
          <w:rFonts w:ascii="Times New Roman" w:hAnsi="Times New Roman" w:cs="Times New Roman"/>
          <w:i/>
          <w:lang w:val="de-DE"/>
        </w:rPr>
        <w:t>viņa</w:t>
      </w:r>
      <w:proofErr w:type="spellEnd"/>
      <w:r w:rsidRPr="00BF3A72">
        <w:rPr>
          <w:rFonts w:ascii="Times New Roman" w:hAnsi="Times New Roman" w:cs="Times New Roman"/>
          <w:i/>
          <w:lang w:val="de-DE"/>
        </w:rPr>
        <w:t xml:space="preserve"> </w:t>
      </w:r>
      <w:proofErr w:type="spellStart"/>
      <w:r w:rsidRPr="00BF3A72">
        <w:rPr>
          <w:rFonts w:ascii="Times New Roman" w:hAnsi="Times New Roman" w:cs="Times New Roman"/>
          <w:i/>
          <w:lang w:val="de-DE"/>
        </w:rPr>
        <w:t>vārdā</w:t>
      </w:r>
      <w:proofErr w:type="spellEnd"/>
      <w:r w:rsidRPr="00BF3A72">
        <w:rPr>
          <w:rFonts w:ascii="Times New Roman" w:hAnsi="Times New Roman" w:cs="Times New Roman"/>
          <w:i/>
          <w:lang w:val="de-DE"/>
        </w:rPr>
        <w:t xml:space="preserve">. </w:t>
      </w:r>
      <w:proofErr w:type="spellStart"/>
      <w:r w:rsidRPr="00BF3A72">
        <w:rPr>
          <w:rFonts w:ascii="Times New Roman" w:hAnsi="Times New Roman" w:cs="Times New Roman"/>
          <w:i/>
          <w:lang w:val="de-DE"/>
        </w:rPr>
        <w:t>Tā</w:t>
      </w:r>
      <w:proofErr w:type="spellEnd"/>
      <w:r w:rsidRPr="00BF3A72">
        <w:rPr>
          <w:rFonts w:ascii="Times New Roman" w:hAnsi="Times New Roman" w:cs="Times New Roman"/>
          <w:i/>
          <w:lang w:val="de-DE"/>
        </w:rPr>
        <w:t xml:space="preserve"> </w:t>
      </w:r>
      <w:proofErr w:type="spellStart"/>
      <w:r w:rsidRPr="00BF3A72">
        <w:rPr>
          <w:rFonts w:ascii="Times New Roman" w:hAnsi="Times New Roman" w:cs="Times New Roman"/>
          <w:i/>
          <w:lang w:val="de-DE"/>
        </w:rPr>
        <w:t>tas</w:t>
      </w:r>
      <w:proofErr w:type="spellEnd"/>
      <w:r w:rsidRPr="00BF3A72">
        <w:rPr>
          <w:rFonts w:ascii="Times New Roman" w:hAnsi="Times New Roman" w:cs="Times New Roman"/>
          <w:i/>
          <w:lang w:val="de-DE"/>
        </w:rPr>
        <w:t xml:space="preserve"> </w:t>
      </w:r>
      <w:proofErr w:type="spellStart"/>
      <w:r w:rsidRPr="00BF3A72">
        <w:rPr>
          <w:rFonts w:ascii="Times New Roman" w:hAnsi="Times New Roman" w:cs="Times New Roman"/>
          <w:i/>
          <w:lang w:val="de-DE"/>
        </w:rPr>
        <w:t>ir</w:t>
      </w:r>
      <w:proofErr w:type="spellEnd"/>
      <w:r w:rsidRPr="00BF3A72">
        <w:rPr>
          <w:rFonts w:ascii="Times New Roman" w:hAnsi="Times New Roman" w:cs="Times New Roman"/>
          <w:i/>
          <w:lang w:val="de-DE"/>
        </w:rPr>
        <w:t xml:space="preserve"> </w:t>
      </w:r>
      <w:proofErr w:type="spellStart"/>
      <w:r w:rsidRPr="00BF3A72">
        <w:rPr>
          <w:rFonts w:ascii="Times New Roman" w:hAnsi="Times New Roman" w:cs="Times New Roman"/>
          <w:i/>
          <w:lang w:val="de-DE"/>
        </w:rPr>
        <w:t>pilnvarojuma</w:t>
      </w:r>
      <w:proofErr w:type="spellEnd"/>
      <w:r w:rsidRPr="00BF3A72">
        <w:rPr>
          <w:rFonts w:ascii="Times New Roman" w:hAnsi="Times New Roman" w:cs="Times New Roman"/>
          <w:i/>
          <w:lang w:val="de-DE"/>
        </w:rPr>
        <w:t xml:space="preserve"> </w:t>
      </w:r>
      <w:proofErr w:type="spellStart"/>
      <w:r w:rsidRPr="00BF3A72">
        <w:rPr>
          <w:rFonts w:ascii="Times New Roman" w:hAnsi="Times New Roman" w:cs="Times New Roman"/>
          <w:i/>
          <w:lang w:val="de-DE"/>
        </w:rPr>
        <w:t>gadījumā</w:t>
      </w:r>
      <w:proofErr w:type="spellEnd"/>
      <w:r w:rsidRPr="00BF3A72">
        <w:rPr>
          <w:rFonts w:ascii="Times New Roman" w:hAnsi="Times New Roman" w:cs="Times New Roman"/>
          <w:i/>
          <w:lang w:val="de-DE"/>
        </w:rPr>
        <w:t xml:space="preserve">, </w:t>
      </w:r>
      <w:proofErr w:type="spellStart"/>
      <w:r w:rsidRPr="00BF3A72">
        <w:rPr>
          <w:rFonts w:ascii="Times New Roman" w:hAnsi="Times New Roman" w:cs="Times New Roman"/>
          <w:i/>
          <w:lang w:val="de-DE"/>
        </w:rPr>
        <w:t>kad</w:t>
      </w:r>
      <w:proofErr w:type="spellEnd"/>
      <w:r w:rsidRPr="00BF3A72">
        <w:rPr>
          <w:rFonts w:ascii="Times New Roman" w:hAnsi="Times New Roman" w:cs="Times New Roman"/>
          <w:i/>
          <w:lang w:val="de-DE"/>
        </w:rPr>
        <w:t xml:space="preserve"> </w:t>
      </w:r>
      <w:proofErr w:type="spellStart"/>
      <w:r w:rsidRPr="00BF3A72">
        <w:rPr>
          <w:rFonts w:ascii="Times New Roman" w:hAnsi="Times New Roman" w:cs="Times New Roman"/>
          <w:i/>
          <w:lang w:val="de-DE"/>
        </w:rPr>
        <w:t>vienas</w:t>
      </w:r>
      <w:proofErr w:type="spellEnd"/>
      <w:r w:rsidRPr="00BF3A72">
        <w:rPr>
          <w:rFonts w:ascii="Times New Roman" w:hAnsi="Times New Roman" w:cs="Times New Roman"/>
          <w:i/>
          <w:lang w:val="de-DE"/>
        </w:rPr>
        <w:t xml:space="preserve"> </w:t>
      </w:r>
      <w:proofErr w:type="spellStart"/>
      <w:r w:rsidRPr="00BF3A72">
        <w:rPr>
          <w:rFonts w:ascii="Times New Roman" w:hAnsi="Times New Roman" w:cs="Times New Roman"/>
          <w:i/>
          <w:lang w:val="de-DE"/>
        </w:rPr>
        <w:t>rīcībspējīgas</w:t>
      </w:r>
      <w:proofErr w:type="spellEnd"/>
      <w:r w:rsidRPr="00BF3A72">
        <w:rPr>
          <w:rFonts w:ascii="Times New Roman" w:hAnsi="Times New Roman" w:cs="Times New Roman"/>
          <w:i/>
          <w:lang w:val="de-DE"/>
        </w:rPr>
        <w:t xml:space="preserve"> personas </w:t>
      </w:r>
      <w:proofErr w:type="spellStart"/>
      <w:r w:rsidRPr="00BF3A72">
        <w:rPr>
          <w:rFonts w:ascii="Times New Roman" w:hAnsi="Times New Roman" w:cs="Times New Roman"/>
          <w:i/>
          <w:lang w:val="de-DE"/>
        </w:rPr>
        <w:t>gribu</w:t>
      </w:r>
      <w:proofErr w:type="spellEnd"/>
      <w:r w:rsidRPr="00BF3A72">
        <w:rPr>
          <w:rFonts w:ascii="Times New Roman" w:hAnsi="Times New Roman" w:cs="Times New Roman"/>
          <w:i/>
          <w:lang w:val="de-DE"/>
        </w:rPr>
        <w:t xml:space="preserve"> </w:t>
      </w:r>
      <w:proofErr w:type="spellStart"/>
      <w:r w:rsidRPr="00BF3A72">
        <w:rPr>
          <w:rFonts w:ascii="Times New Roman" w:hAnsi="Times New Roman" w:cs="Times New Roman"/>
          <w:i/>
          <w:lang w:val="de-DE"/>
        </w:rPr>
        <w:t>pauž</w:t>
      </w:r>
      <w:proofErr w:type="spellEnd"/>
      <w:r w:rsidRPr="00BF3A72">
        <w:rPr>
          <w:rFonts w:ascii="Times New Roman" w:hAnsi="Times New Roman" w:cs="Times New Roman"/>
          <w:i/>
          <w:lang w:val="de-DE"/>
        </w:rPr>
        <w:t xml:space="preserve"> </w:t>
      </w:r>
      <w:proofErr w:type="spellStart"/>
      <w:r w:rsidRPr="00BF3A72">
        <w:rPr>
          <w:rFonts w:ascii="Times New Roman" w:hAnsi="Times New Roman" w:cs="Times New Roman"/>
          <w:i/>
          <w:lang w:val="de-DE"/>
        </w:rPr>
        <w:t>cita</w:t>
      </w:r>
      <w:proofErr w:type="spellEnd"/>
      <w:r w:rsidRPr="00BF3A72">
        <w:rPr>
          <w:rFonts w:ascii="Times New Roman" w:hAnsi="Times New Roman" w:cs="Times New Roman"/>
          <w:i/>
          <w:lang w:val="de-DE"/>
        </w:rPr>
        <w:t xml:space="preserve"> </w:t>
      </w:r>
      <w:proofErr w:type="spellStart"/>
      <w:r w:rsidRPr="00BF3A72">
        <w:rPr>
          <w:rFonts w:ascii="Times New Roman" w:hAnsi="Times New Roman" w:cs="Times New Roman"/>
          <w:i/>
          <w:lang w:val="de-DE"/>
        </w:rPr>
        <w:t>rīcībspējīga</w:t>
      </w:r>
      <w:proofErr w:type="spellEnd"/>
      <w:r w:rsidRPr="00BF3A72">
        <w:rPr>
          <w:rFonts w:ascii="Times New Roman" w:hAnsi="Times New Roman" w:cs="Times New Roman"/>
          <w:i/>
          <w:lang w:val="de-DE"/>
        </w:rPr>
        <w:t xml:space="preserve"> </w:t>
      </w:r>
      <w:proofErr w:type="spellStart"/>
      <w:r w:rsidRPr="00BF3A72">
        <w:rPr>
          <w:rFonts w:ascii="Times New Roman" w:hAnsi="Times New Roman" w:cs="Times New Roman"/>
          <w:i/>
          <w:lang w:val="de-DE"/>
        </w:rPr>
        <w:t>persona</w:t>
      </w:r>
      <w:proofErr w:type="spellEnd"/>
      <w:r w:rsidRPr="00BF3A72">
        <w:rPr>
          <w:rFonts w:ascii="Times New Roman" w:hAnsi="Times New Roman" w:cs="Times New Roman"/>
          <w:i/>
          <w:lang w:val="de-DE"/>
        </w:rPr>
        <w:t xml:space="preserve">. Ja </w:t>
      </w:r>
      <w:proofErr w:type="spellStart"/>
      <w:r w:rsidRPr="00BF3A72">
        <w:rPr>
          <w:rFonts w:ascii="Times New Roman" w:hAnsi="Times New Roman" w:cs="Times New Roman"/>
          <w:i/>
          <w:lang w:val="de-DE"/>
        </w:rPr>
        <w:t>persona</w:t>
      </w:r>
      <w:proofErr w:type="spellEnd"/>
      <w:r w:rsidRPr="00BF3A72">
        <w:rPr>
          <w:rFonts w:ascii="Times New Roman" w:hAnsi="Times New Roman" w:cs="Times New Roman"/>
          <w:i/>
          <w:lang w:val="de-DE"/>
        </w:rPr>
        <w:t xml:space="preserve"> </w:t>
      </w:r>
      <w:proofErr w:type="spellStart"/>
      <w:r w:rsidRPr="00BF3A72">
        <w:rPr>
          <w:rFonts w:ascii="Times New Roman" w:hAnsi="Times New Roman" w:cs="Times New Roman"/>
          <w:i/>
          <w:lang w:val="de-DE"/>
        </w:rPr>
        <w:t>pati</w:t>
      </w:r>
      <w:proofErr w:type="spellEnd"/>
      <w:r w:rsidRPr="00BF3A72">
        <w:rPr>
          <w:rFonts w:ascii="Times New Roman" w:hAnsi="Times New Roman" w:cs="Times New Roman"/>
          <w:i/>
          <w:lang w:val="de-DE"/>
        </w:rPr>
        <w:t xml:space="preserve"> </w:t>
      </w:r>
      <w:proofErr w:type="spellStart"/>
      <w:r w:rsidRPr="00BF3A72">
        <w:rPr>
          <w:rFonts w:ascii="Times New Roman" w:hAnsi="Times New Roman" w:cs="Times New Roman"/>
          <w:i/>
          <w:lang w:val="de-DE"/>
        </w:rPr>
        <w:t>nav</w:t>
      </w:r>
      <w:proofErr w:type="spellEnd"/>
      <w:r w:rsidRPr="00BF3A72">
        <w:rPr>
          <w:rFonts w:ascii="Times New Roman" w:hAnsi="Times New Roman" w:cs="Times New Roman"/>
          <w:i/>
          <w:lang w:val="de-DE"/>
        </w:rPr>
        <w:t xml:space="preserve"> </w:t>
      </w:r>
      <w:proofErr w:type="spellStart"/>
      <w:r w:rsidRPr="00BF3A72">
        <w:rPr>
          <w:rFonts w:ascii="Times New Roman" w:hAnsi="Times New Roman" w:cs="Times New Roman"/>
          <w:i/>
          <w:lang w:val="de-DE"/>
        </w:rPr>
        <w:t>rīcībspējīga</w:t>
      </w:r>
      <w:proofErr w:type="spellEnd"/>
      <w:r w:rsidRPr="00BF3A72">
        <w:rPr>
          <w:rFonts w:ascii="Times New Roman" w:hAnsi="Times New Roman" w:cs="Times New Roman"/>
          <w:i/>
          <w:lang w:val="de-DE"/>
        </w:rPr>
        <w:t xml:space="preserve">, </w:t>
      </w:r>
      <w:proofErr w:type="spellStart"/>
      <w:r w:rsidRPr="00BF3A72">
        <w:rPr>
          <w:rFonts w:ascii="Times New Roman" w:hAnsi="Times New Roman" w:cs="Times New Roman"/>
          <w:i/>
          <w:lang w:val="de-DE"/>
        </w:rPr>
        <w:t>piemēram</w:t>
      </w:r>
      <w:proofErr w:type="spellEnd"/>
      <w:r w:rsidRPr="00BF3A72">
        <w:rPr>
          <w:rFonts w:ascii="Times New Roman" w:hAnsi="Times New Roman" w:cs="Times New Roman"/>
          <w:i/>
          <w:lang w:val="de-DE"/>
        </w:rPr>
        <w:t xml:space="preserve">, </w:t>
      </w:r>
      <w:proofErr w:type="spellStart"/>
      <w:r w:rsidRPr="00BF3A72">
        <w:rPr>
          <w:rFonts w:ascii="Times New Roman" w:hAnsi="Times New Roman" w:cs="Times New Roman"/>
          <w:i/>
          <w:lang w:val="de-DE"/>
        </w:rPr>
        <w:t>bērns</w:t>
      </w:r>
      <w:proofErr w:type="spellEnd"/>
      <w:r w:rsidRPr="00BF3A72">
        <w:rPr>
          <w:rFonts w:ascii="Times New Roman" w:hAnsi="Times New Roman" w:cs="Times New Roman"/>
          <w:i/>
          <w:lang w:val="de-DE"/>
        </w:rPr>
        <w:t xml:space="preserve">, </w:t>
      </w:r>
      <w:proofErr w:type="spellStart"/>
      <w:r w:rsidRPr="00BF3A72">
        <w:rPr>
          <w:rFonts w:ascii="Times New Roman" w:hAnsi="Times New Roman" w:cs="Times New Roman"/>
          <w:i/>
          <w:lang w:val="de-DE"/>
        </w:rPr>
        <w:t>tad</w:t>
      </w:r>
      <w:proofErr w:type="spellEnd"/>
      <w:r w:rsidRPr="00BF3A72">
        <w:rPr>
          <w:rFonts w:ascii="Times New Roman" w:hAnsi="Times New Roman" w:cs="Times New Roman"/>
          <w:i/>
          <w:lang w:val="de-DE"/>
        </w:rPr>
        <w:t xml:space="preserve"> </w:t>
      </w:r>
      <w:proofErr w:type="spellStart"/>
      <w:r w:rsidRPr="00BF3A72">
        <w:rPr>
          <w:rFonts w:ascii="Times New Roman" w:hAnsi="Times New Roman" w:cs="Times New Roman"/>
          <w:i/>
          <w:lang w:val="de-DE"/>
        </w:rPr>
        <w:t>nav</w:t>
      </w:r>
      <w:proofErr w:type="spellEnd"/>
      <w:r w:rsidRPr="00BF3A72">
        <w:rPr>
          <w:rFonts w:ascii="Times New Roman" w:hAnsi="Times New Roman" w:cs="Times New Roman"/>
          <w:i/>
          <w:lang w:val="de-DE"/>
        </w:rPr>
        <w:t xml:space="preserve"> </w:t>
      </w:r>
      <w:proofErr w:type="spellStart"/>
      <w:r w:rsidRPr="00BF3A72">
        <w:rPr>
          <w:rFonts w:ascii="Times New Roman" w:hAnsi="Times New Roman" w:cs="Times New Roman"/>
          <w:i/>
          <w:lang w:val="de-DE"/>
        </w:rPr>
        <w:t>svarīga</w:t>
      </w:r>
      <w:proofErr w:type="spellEnd"/>
      <w:r w:rsidRPr="00BF3A72">
        <w:rPr>
          <w:rFonts w:ascii="Times New Roman" w:hAnsi="Times New Roman" w:cs="Times New Roman"/>
          <w:i/>
          <w:lang w:val="de-DE"/>
        </w:rPr>
        <w:t xml:space="preserve"> </w:t>
      </w:r>
      <w:proofErr w:type="spellStart"/>
      <w:r w:rsidRPr="00BF3A72">
        <w:rPr>
          <w:rFonts w:ascii="Times New Roman" w:hAnsi="Times New Roman" w:cs="Times New Roman"/>
          <w:i/>
          <w:lang w:val="de-DE"/>
        </w:rPr>
        <w:t>šīs</w:t>
      </w:r>
      <w:proofErr w:type="spellEnd"/>
      <w:r w:rsidRPr="00BF3A72">
        <w:rPr>
          <w:rFonts w:ascii="Times New Roman" w:hAnsi="Times New Roman" w:cs="Times New Roman"/>
          <w:i/>
          <w:lang w:val="de-DE"/>
        </w:rPr>
        <w:t xml:space="preserve"> personas </w:t>
      </w:r>
      <w:proofErr w:type="spellStart"/>
      <w:r w:rsidRPr="00BF3A72">
        <w:rPr>
          <w:rFonts w:ascii="Times New Roman" w:hAnsi="Times New Roman" w:cs="Times New Roman"/>
          <w:i/>
          <w:lang w:val="de-DE"/>
        </w:rPr>
        <w:t>griba</w:t>
      </w:r>
      <w:proofErr w:type="spellEnd"/>
      <w:r w:rsidRPr="00BF3A72">
        <w:rPr>
          <w:rFonts w:ascii="Times New Roman" w:hAnsi="Times New Roman" w:cs="Times New Roman"/>
          <w:i/>
          <w:lang w:val="de-DE"/>
        </w:rPr>
        <w:t xml:space="preserve">; </w:t>
      </w:r>
      <w:proofErr w:type="spellStart"/>
      <w:r w:rsidRPr="00BF3A72">
        <w:rPr>
          <w:rFonts w:ascii="Times New Roman" w:hAnsi="Times New Roman" w:cs="Times New Roman"/>
          <w:i/>
          <w:lang w:val="de-DE"/>
        </w:rPr>
        <w:t>tad</w:t>
      </w:r>
      <w:proofErr w:type="spellEnd"/>
      <w:r w:rsidRPr="00BF3A72">
        <w:rPr>
          <w:rFonts w:ascii="Times New Roman" w:hAnsi="Times New Roman" w:cs="Times New Roman"/>
          <w:i/>
          <w:lang w:val="de-DE"/>
        </w:rPr>
        <w:t xml:space="preserve"> </w:t>
      </w:r>
      <w:proofErr w:type="spellStart"/>
      <w:r w:rsidRPr="00BF3A72">
        <w:rPr>
          <w:rFonts w:ascii="Times New Roman" w:hAnsi="Times New Roman" w:cs="Times New Roman"/>
          <w:i/>
          <w:lang w:val="de-DE"/>
        </w:rPr>
        <w:t>pareizāk</w:t>
      </w:r>
      <w:proofErr w:type="spellEnd"/>
      <w:r w:rsidRPr="00BF3A72">
        <w:rPr>
          <w:rFonts w:ascii="Times New Roman" w:hAnsi="Times New Roman" w:cs="Times New Roman"/>
          <w:i/>
          <w:lang w:val="de-DE"/>
        </w:rPr>
        <w:t xml:space="preserve"> </w:t>
      </w:r>
      <w:proofErr w:type="spellStart"/>
      <w:r w:rsidRPr="00BF3A72">
        <w:rPr>
          <w:rFonts w:ascii="Times New Roman" w:hAnsi="Times New Roman" w:cs="Times New Roman"/>
          <w:i/>
          <w:lang w:val="de-DE"/>
        </w:rPr>
        <w:t>būtu</w:t>
      </w:r>
      <w:proofErr w:type="spellEnd"/>
      <w:r w:rsidRPr="00BF3A72">
        <w:rPr>
          <w:rFonts w:ascii="Times New Roman" w:hAnsi="Times New Roman" w:cs="Times New Roman"/>
          <w:i/>
          <w:lang w:val="de-DE"/>
        </w:rPr>
        <w:t xml:space="preserve"> </w:t>
      </w:r>
      <w:proofErr w:type="spellStart"/>
      <w:r w:rsidRPr="00BF3A72">
        <w:rPr>
          <w:rFonts w:ascii="Times New Roman" w:hAnsi="Times New Roman" w:cs="Times New Roman"/>
          <w:i/>
          <w:lang w:val="de-DE"/>
        </w:rPr>
        <w:t>runā</w:t>
      </w:r>
      <w:r w:rsidR="00485054">
        <w:rPr>
          <w:rFonts w:ascii="Times New Roman" w:hAnsi="Times New Roman" w:cs="Times New Roman"/>
          <w:i/>
          <w:lang w:val="de-DE"/>
        </w:rPr>
        <w:t>t</w:t>
      </w:r>
      <w:proofErr w:type="spellEnd"/>
      <w:r w:rsidRPr="00BF3A72">
        <w:rPr>
          <w:rFonts w:ascii="Times New Roman" w:hAnsi="Times New Roman" w:cs="Times New Roman"/>
          <w:i/>
          <w:lang w:val="de-DE"/>
        </w:rPr>
        <w:t xml:space="preserve"> par </w:t>
      </w:r>
      <w:proofErr w:type="spellStart"/>
      <w:r w:rsidRPr="00BF3A72">
        <w:rPr>
          <w:rFonts w:ascii="Times New Roman" w:hAnsi="Times New Roman" w:cs="Times New Roman"/>
          <w:i/>
          <w:lang w:val="de-DE"/>
        </w:rPr>
        <w:t>viņas</w:t>
      </w:r>
      <w:proofErr w:type="spellEnd"/>
      <w:r w:rsidRPr="00BF3A72">
        <w:rPr>
          <w:rFonts w:ascii="Times New Roman" w:hAnsi="Times New Roman" w:cs="Times New Roman"/>
          <w:i/>
          <w:lang w:val="de-DE"/>
        </w:rPr>
        <w:t xml:space="preserve"> </w:t>
      </w:r>
      <w:proofErr w:type="spellStart"/>
      <w:r w:rsidRPr="00BF3A72">
        <w:rPr>
          <w:rFonts w:ascii="Times New Roman" w:hAnsi="Times New Roman" w:cs="Times New Roman"/>
          <w:i/>
          <w:lang w:val="de-DE"/>
        </w:rPr>
        <w:t>atvietošanu</w:t>
      </w:r>
      <w:proofErr w:type="spellEnd"/>
      <w:r w:rsidRPr="00BF3A72">
        <w:rPr>
          <w:rFonts w:ascii="Times New Roman" w:hAnsi="Times New Roman" w:cs="Times New Roman"/>
          <w:i/>
          <w:lang w:val="de-DE"/>
        </w:rPr>
        <w:t xml:space="preserve">, par </w:t>
      </w:r>
      <w:proofErr w:type="spellStart"/>
      <w:r w:rsidRPr="00BF3A72">
        <w:rPr>
          <w:rFonts w:ascii="Times New Roman" w:hAnsi="Times New Roman" w:cs="Times New Roman"/>
          <w:i/>
          <w:lang w:val="de-DE"/>
        </w:rPr>
        <w:t>vietniecību</w:t>
      </w:r>
      <w:proofErr w:type="spellEnd"/>
      <w:r w:rsidRPr="00BF3A72">
        <w:rPr>
          <w:rFonts w:ascii="Times New Roman" w:hAnsi="Times New Roman" w:cs="Times New Roman"/>
          <w:i/>
          <w:lang w:val="de-DE"/>
        </w:rPr>
        <w:t>“</w:t>
      </w:r>
      <w:r w:rsidRPr="00BF3A72">
        <w:rPr>
          <w:rFonts w:ascii="Times New Roman" w:hAnsi="Times New Roman" w:cs="Times New Roman"/>
          <w:lang w:val="de-DE"/>
        </w:rPr>
        <w:t>.</w:t>
      </w:r>
      <w:r w:rsidRPr="00BF3A72">
        <w:rPr>
          <w:rStyle w:val="FootnoteReference"/>
          <w:rFonts w:ascii="Times New Roman" w:hAnsi="Times New Roman" w:cs="Times New Roman"/>
          <w:lang w:val="de-DE"/>
        </w:rPr>
        <w:footnoteReference w:id="24"/>
      </w:r>
      <w:r w:rsidRPr="00BF3A72">
        <w:rPr>
          <w:rFonts w:ascii="Times New Roman" w:hAnsi="Times New Roman" w:cs="Times New Roman"/>
          <w:lang w:val="de-DE"/>
        </w:rPr>
        <w:t xml:space="preserve"> </w:t>
      </w:r>
    </w:p>
    <w:p w14:paraId="3F84DB69" w14:textId="77777777" w:rsidR="00114953" w:rsidRPr="00BF3A72" w:rsidRDefault="00114953" w:rsidP="00114953">
      <w:pPr>
        <w:jc w:val="both"/>
        <w:rPr>
          <w:rFonts w:ascii="Times New Roman" w:hAnsi="Times New Roman" w:cs="Times New Roman"/>
          <w:i/>
          <w:lang w:val="de-DE"/>
        </w:rPr>
      </w:pPr>
      <w:proofErr w:type="spellStart"/>
      <w:r w:rsidRPr="00BF3A72">
        <w:rPr>
          <w:rFonts w:ascii="Times New Roman" w:hAnsi="Times New Roman" w:cs="Times New Roman"/>
          <w:lang w:val="de-DE"/>
        </w:rPr>
        <w:t>Tā</w:t>
      </w:r>
      <w:proofErr w:type="spellEnd"/>
      <w:r w:rsidRPr="00BF3A72">
        <w:rPr>
          <w:rFonts w:ascii="Times New Roman" w:hAnsi="Times New Roman" w:cs="Times New Roman"/>
          <w:lang w:val="de-DE"/>
        </w:rPr>
        <w:t xml:space="preserve"> </w:t>
      </w:r>
      <w:proofErr w:type="spellStart"/>
      <w:r w:rsidRPr="00BF3A72">
        <w:rPr>
          <w:rFonts w:ascii="Times New Roman" w:hAnsi="Times New Roman" w:cs="Times New Roman"/>
          <w:lang w:val="de-DE"/>
        </w:rPr>
        <w:t>kā</w:t>
      </w:r>
      <w:proofErr w:type="spellEnd"/>
      <w:r w:rsidRPr="00BF3A72">
        <w:rPr>
          <w:rFonts w:ascii="Times New Roman" w:hAnsi="Times New Roman" w:cs="Times New Roman"/>
          <w:lang w:val="de-DE"/>
        </w:rPr>
        <w:t xml:space="preserve"> </w:t>
      </w:r>
      <w:proofErr w:type="spellStart"/>
      <w:r w:rsidRPr="00BF3A72">
        <w:rPr>
          <w:rFonts w:ascii="Times New Roman" w:hAnsi="Times New Roman" w:cs="Times New Roman"/>
          <w:lang w:val="de-DE"/>
        </w:rPr>
        <w:t>šajā</w:t>
      </w:r>
      <w:proofErr w:type="spellEnd"/>
      <w:r w:rsidRPr="00BF3A72">
        <w:rPr>
          <w:rFonts w:ascii="Times New Roman" w:hAnsi="Times New Roman" w:cs="Times New Roman"/>
          <w:lang w:val="de-DE"/>
        </w:rPr>
        <w:t xml:space="preserve"> </w:t>
      </w:r>
      <w:proofErr w:type="spellStart"/>
      <w:r w:rsidRPr="00BF3A72">
        <w:rPr>
          <w:rFonts w:ascii="Times New Roman" w:hAnsi="Times New Roman" w:cs="Times New Roman"/>
          <w:lang w:val="de-DE"/>
        </w:rPr>
        <w:t>pētījumā</w:t>
      </w:r>
      <w:proofErr w:type="spellEnd"/>
      <w:r w:rsidRPr="00BF3A72">
        <w:rPr>
          <w:rFonts w:ascii="Times New Roman" w:hAnsi="Times New Roman" w:cs="Times New Roman"/>
          <w:lang w:val="de-DE"/>
        </w:rPr>
        <w:t xml:space="preserve"> </w:t>
      </w:r>
      <w:proofErr w:type="spellStart"/>
      <w:r w:rsidRPr="00BF3A72">
        <w:rPr>
          <w:rFonts w:ascii="Times New Roman" w:hAnsi="Times New Roman" w:cs="Times New Roman"/>
          <w:lang w:val="de-DE"/>
        </w:rPr>
        <w:t>runa</w:t>
      </w:r>
      <w:proofErr w:type="spellEnd"/>
      <w:r w:rsidRPr="00BF3A72">
        <w:rPr>
          <w:rFonts w:ascii="Times New Roman" w:hAnsi="Times New Roman" w:cs="Times New Roman"/>
          <w:lang w:val="de-DE"/>
        </w:rPr>
        <w:t xml:space="preserve"> </w:t>
      </w:r>
      <w:proofErr w:type="spellStart"/>
      <w:r w:rsidRPr="00BF3A72">
        <w:rPr>
          <w:rFonts w:ascii="Times New Roman" w:hAnsi="Times New Roman" w:cs="Times New Roman"/>
          <w:lang w:val="de-DE"/>
        </w:rPr>
        <w:t>ir</w:t>
      </w:r>
      <w:proofErr w:type="spellEnd"/>
      <w:r w:rsidRPr="00BF3A72">
        <w:rPr>
          <w:rFonts w:ascii="Times New Roman" w:hAnsi="Times New Roman" w:cs="Times New Roman"/>
          <w:lang w:val="de-DE"/>
        </w:rPr>
        <w:t xml:space="preserve"> par </w:t>
      </w:r>
      <w:proofErr w:type="spellStart"/>
      <w:r w:rsidRPr="00BF3A72">
        <w:rPr>
          <w:rFonts w:ascii="Times New Roman" w:hAnsi="Times New Roman" w:cs="Times New Roman"/>
          <w:lang w:val="de-DE"/>
        </w:rPr>
        <w:t>pilnvarojuma</w:t>
      </w:r>
      <w:proofErr w:type="spellEnd"/>
      <w:r w:rsidRPr="00BF3A72">
        <w:rPr>
          <w:rFonts w:ascii="Times New Roman" w:hAnsi="Times New Roman" w:cs="Times New Roman"/>
          <w:lang w:val="de-DE"/>
        </w:rPr>
        <w:t xml:space="preserve"> </w:t>
      </w:r>
      <w:proofErr w:type="spellStart"/>
      <w:r w:rsidRPr="00BF3A72">
        <w:rPr>
          <w:rFonts w:ascii="Times New Roman" w:hAnsi="Times New Roman" w:cs="Times New Roman"/>
          <w:lang w:val="de-DE"/>
        </w:rPr>
        <w:t>līgumiem</w:t>
      </w:r>
      <w:proofErr w:type="spellEnd"/>
      <w:r w:rsidRPr="00BF3A72">
        <w:rPr>
          <w:rFonts w:ascii="Times New Roman" w:hAnsi="Times New Roman" w:cs="Times New Roman"/>
          <w:lang w:val="de-DE"/>
        </w:rPr>
        <w:t>/</w:t>
      </w:r>
      <w:proofErr w:type="spellStart"/>
      <w:r w:rsidRPr="00BF3A72">
        <w:rPr>
          <w:rFonts w:ascii="Times New Roman" w:hAnsi="Times New Roman" w:cs="Times New Roman"/>
          <w:lang w:val="de-DE"/>
        </w:rPr>
        <w:t>pilnvarām</w:t>
      </w:r>
      <w:proofErr w:type="spellEnd"/>
      <w:r w:rsidRPr="00BF3A72">
        <w:rPr>
          <w:rFonts w:ascii="Times New Roman" w:hAnsi="Times New Roman" w:cs="Times New Roman"/>
          <w:lang w:val="de-DE"/>
        </w:rPr>
        <w:t xml:space="preserve"> (</w:t>
      </w:r>
      <w:proofErr w:type="spellStart"/>
      <w:r w:rsidRPr="00BF3A72">
        <w:rPr>
          <w:rFonts w:ascii="Times New Roman" w:hAnsi="Times New Roman" w:cs="Times New Roman"/>
          <w:lang w:val="de-DE"/>
        </w:rPr>
        <w:t>pilnvarojuma</w:t>
      </w:r>
      <w:proofErr w:type="spellEnd"/>
      <w:r w:rsidRPr="00BF3A72">
        <w:rPr>
          <w:rFonts w:ascii="Times New Roman" w:hAnsi="Times New Roman" w:cs="Times New Roman"/>
          <w:lang w:val="de-DE"/>
        </w:rPr>
        <w:t xml:space="preserve">, </w:t>
      </w:r>
      <w:proofErr w:type="spellStart"/>
      <w:r w:rsidRPr="00BF3A72">
        <w:rPr>
          <w:rFonts w:ascii="Times New Roman" w:hAnsi="Times New Roman" w:cs="Times New Roman"/>
          <w:lang w:val="de-DE"/>
        </w:rPr>
        <w:t>kas</w:t>
      </w:r>
      <w:proofErr w:type="spellEnd"/>
      <w:r w:rsidRPr="00BF3A72">
        <w:rPr>
          <w:rFonts w:ascii="Times New Roman" w:hAnsi="Times New Roman" w:cs="Times New Roman"/>
          <w:lang w:val="de-DE"/>
        </w:rPr>
        <w:t xml:space="preserve"> </w:t>
      </w:r>
      <w:proofErr w:type="spellStart"/>
      <w:r w:rsidRPr="00BF3A72">
        <w:rPr>
          <w:rFonts w:ascii="Times New Roman" w:hAnsi="Times New Roman" w:cs="Times New Roman"/>
          <w:lang w:val="de-DE"/>
        </w:rPr>
        <w:t>izriet</w:t>
      </w:r>
      <w:proofErr w:type="spellEnd"/>
      <w:r w:rsidRPr="00BF3A72">
        <w:rPr>
          <w:rFonts w:ascii="Times New Roman" w:hAnsi="Times New Roman" w:cs="Times New Roman"/>
          <w:lang w:val="de-DE"/>
        </w:rPr>
        <w:t xml:space="preserve"> </w:t>
      </w:r>
      <w:proofErr w:type="spellStart"/>
      <w:r w:rsidRPr="00BF3A72">
        <w:rPr>
          <w:rFonts w:ascii="Times New Roman" w:hAnsi="Times New Roman" w:cs="Times New Roman"/>
          <w:lang w:val="de-DE"/>
        </w:rPr>
        <w:t>no</w:t>
      </w:r>
      <w:proofErr w:type="spellEnd"/>
      <w:r w:rsidRPr="00BF3A72">
        <w:rPr>
          <w:rFonts w:ascii="Times New Roman" w:hAnsi="Times New Roman" w:cs="Times New Roman"/>
          <w:lang w:val="de-DE"/>
        </w:rPr>
        <w:t xml:space="preserve"> </w:t>
      </w:r>
      <w:proofErr w:type="spellStart"/>
      <w:r w:rsidRPr="00BF3A72">
        <w:rPr>
          <w:rFonts w:ascii="Times New Roman" w:hAnsi="Times New Roman" w:cs="Times New Roman"/>
          <w:lang w:val="de-DE"/>
        </w:rPr>
        <w:t>līguma</w:t>
      </w:r>
      <w:proofErr w:type="spellEnd"/>
      <w:r w:rsidRPr="00BF3A72">
        <w:rPr>
          <w:rFonts w:ascii="Times New Roman" w:hAnsi="Times New Roman" w:cs="Times New Roman"/>
          <w:lang w:val="de-DE"/>
        </w:rPr>
        <w:t xml:space="preserve">), </w:t>
      </w:r>
      <w:proofErr w:type="spellStart"/>
      <w:r w:rsidRPr="00BF3A72">
        <w:rPr>
          <w:rFonts w:ascii="Times New Roman" w:hAnsi="Times New Roman" w:cs="Times New Roman"/>
          <w:lang w:val="de-DE"/>
        </w:rPr>
        <w:t>tad</w:t>
      </w:r>
      <w:proofErr w:type="spellEnd"/>
      <w:r w:rsidRPr="00BF3A72">
        <w:rPr>
          <w:rFonts w:ascii="Times New Roman" w:hAnsi="Times New Roman" w:cs="Times New Roman"/>
          <w:lang w:val="de-DE"/>
        </w:rPr>
        <w:t xml:space="preserve"> </w:t>
      </w:r>
      <w:proofErr w:type="spellStart"/>
      <w:r w:rsidRPr="00BF3A72">
        <w:rPr>
          <w:rFonts w:ascii="Times New Roman" w:hAnsi="Times New Roman" w:cs="Times New Roman"/>
          <w:lang w:val="de-DE"/>
        </w:rPr>
        <w:t>tiks</w:t>
      </w:r>
      <w:proofErr w:type="spellEnd"/>
      <w:r w:rsidRPr="00BF3A72">
        <w:rPr>
          <w:rFonts w:ascii="Times New Roman" w:hAnsi="Times New Roman" w:cs="Times New Roman"/>
          <w:lang w:val="de-DE"/>
        </w:rPr>
        <w:t xml:space="preserve"> </w:t>
      </w:r>
      <w:proofErr w:type="spellStart"/>
      <w:r w:rsidRPr="00BF3A72">
        <w:rPr>
          <w:rFonts w:ascii="Times New Roman" w:hAnsi="Times New Roman" w:cs="Times New Roman"/>
          <w:lang w:val="de-DE"/>
        </w:rPr>
        <w:t>lietots</w:t>
      </w:r>
      <w:proofErr w:type="spellEnd"/>
      <w:r w:rsidRPr="00BF3A72">
        <w:rPr>
          <w:rFonts w:ascii="Times New Roman" w:hAnsi="Times New Roman" w:cs="Times New Roman"/>
          <w:lang w:val="de-DE"/>
        </w:rPr>
        <w:t xml:space="preserve"> </w:t>
      </w:r>
      <w:proofErr w:type="spellStart"/>
      <w:r w:rsidRPr="00BF3A72">
        <w:rPr>
          <w:rFonts w:ascii="Times New Roman" w:hAnsi="Times New Roman" w:cs="Times New Roman"/>
          <w:lang w:val="de-DE"/>
        </w:rPr>
        <w:t>termins</w:t>
      </w:r>
      <w:proofErr w:type="spellEnd"/>
      <w:r w:rsidRPr="00BF3A72">
        <w:rPr>
          <w:rFonts w:ascii="Times New Roman" w:hAnsi="Times New Roman" w:cs="Times New Roman"/>
          <w:lang w:val="de-DE"/>
        </w:rPr>
        <w:t xml:space="preserve"> „</w:t>
      </w:r>
      <w:proofErr w:type="spellStart"/>
      <w:r w:rsidRPr="00BF3A72">
        <w:rPr>
          <w:rFonts w:ascii="Times New Roman" w:hAnsi="Times New Roman" w:cs="Times New Roman"/>
          <w:b/>
          <w:lang w:val="de-DE"/>
        </w:rPr>
        <w:t>pārstāvība</w:t>
      </w:r>
      <w:proofErr w:type="spellEnd"/>
      <w:r w:rsidRPr="00BF3A72">
        <w:rPr>
          <w:rFonts w:ascii="Times New Roman" w:hAnsi="Times New Roman" w:cs="Times New Roman"/>
          <w:lang w:val="de-DE"/>
        </w:rPr>
        <w:t>“.</w:t>
      </w:r>
    </w:p>
    <w:p w14:paraId="0DCE3C6B" w14:textId="77777777" w:rsidR="00114953" w:rsidRDefault="00114953" w:rsidP="00BF3A72">
      <w:pPr>
        <w:jc w:val="both"/>
        <w:rPr>
          <w:rFonts w:ascii="Times New Roman" w:hAnsi="Times New Roman" w:cs="Times New Roman"/>
          <w:lang w:val="de-DE"/>
        </w:rPr>
      </w:pPr>
    </w:p>
    <w:p w14:paraId="3BF095E9" w14:textId="16AB8E54" w:rsidR="00114953" w:rsidRDefault="00114953" w:rsidP="00114953">
      <w:pPr>
        <w:ind w:firstLine="708"/>
        <w:jc w:val="both"/>
        <w:rPr>
          <w:rFonts w:ascii="Times New Roman" w:hAnsi="Times New Roman" w:cs="Times New Roman"/>
          <w:lang w:val="de-DE"/>
        </w:rPr>
      </w:pPr>
      <w:r>
        <w:rPr>
          <w:rFonts w:ascii="Times New Roman" w:hAnsi="Times New Roman" w:cs="Times New Roman"/>
          <w:lang w:val="de-DE"/>
        </w:rPr>
        <w:t xml:space="preserve">Latvijas </w:t>
      </w:r>
      <w:proofErr w:type="spellStart"/>
      <w:r>
        <w:rPr>
          <w:rFonts w:ascii="Times New Roman" w:hAnsi="Times New Roman" w:cs="Times New Roman"/>
          <w:lang w:val="de-DE"/>
        </w:rPr>
        <w:t>civiltiesībās</w:t>
      </w:r>
      <w:proofErr w:type="spellEnd"/>
      <w:r>
        <w:rPr>
          <w:rFonts w:ascii="Times New Roman" w:hAnsi="Times New Roman" w:cs="Times New Roman"/>
          <w:lang w:val="de-DE"/>
        </w:rPr>
        <w:t xml:space="preserve"> </w:t>
      </w:r>
      <w:proofErr w:type="spellStart"/>
      <w:r>
        <w:rPr>
          <w:rFonts w:ascii="Times New Roman" w:hAnsi="Times New Roman" w:cs="Times New Roman"/>
          <w:lang w:val="de-DE"/>
        </w:rPr>
        <w:t>ir</w:t>
      </w:r>
      <w:proofErr w:type="spellEnd"/>
      <w:r>
        <w:rPr>
          <w:rFonts w:ascii="Times New Roman" w:hAnsi="Times New Roman" w:cs="Times New Roman"/>
          <w:lang w:val="de-DE"/>
        </w:rPr>
        <w:t xml:space="preserve"> </w:t>
      </w:r>
      <w:proofErr w:type="spellStart"/>
      <w:r>
        <w:rPr>
          <w:rFonts w:ascii="Times New Roman" w:hAnsi="Times New Roman" w:cs="Times New Roman"/>
          <w:lang w:val="de-DE"/>
        </w:rPr>
        <w:t>jāatšķir</w:t>
      </w:r>
      <w:proofErr w:type="spellEnd"/>
      <w:r>
        <w:rPr>
          <w:rFonts w:ascii="Times New Roman" w:hAnsi="Times New Roman" w:cs="Times New Roman"/>
          <w:lang w:val="de-DE"/>
        </w:rPr>
        <w:t xml:space="preserve"> </w:t>
      </w:r>
      <w:proofErr w:type="spellStart"/>
      <w:r w:rsidRPr="008E44A5">
        <w:rPr>
          <w:rFonts w:ascii="Times New Roman" w:hAnsi="Times New Roman" w:cs="Times New Roman"/>
          <w:u w:val="single"/>
          <w:lang w:val="de-DE"/>
        </w:rPr>
        <w:t>pilnvarojuma</w:t>
      </w:r>
      <w:proofErr w:type="spellEnd"/>
      <w:r w:rsidRPr="008E44A5">
        <w:rPr>
          <w:rFonts w:ascii="Times New Roman" w:hAnsi="Times New Roman" w:cs="Times New Roman"/>
          <w:u w:val="single"/>
          <w:lang w:val="de-DE"/>
        </w:rPr>
        <w:t xml:space="preserve"> </w:t>
      </w:r>
      <w:proofErr w:type="spellStart"/>
      <w:r w:rsidRPr="008E44A5">
        <w:rPr>
          <w:rFonts w:ascii="Times New Roman" w:hAnsi="Times New Roman" w:cs="Times New Roman"/>
          <w:u w:val="single"/>
          <w:lang w:val="de-DE"/>
        </w:rPr>
        <w:t>līguma</w:t>
      </w:r>
      <w:proofErr w:type="spellEnd"/>
      <w:r w:rsidRPr="008E44A5">
        <w:rPr>
          <w:rFonts w:ascii="Times New Roman" w:hAnsi="Times New Roman" w:cs="Times New Roman"/>
          <w:u w:val="single"/>
          <w:lang w:val="de-DE"/>
        </w:rPr>
        <w:t xml:space="preserve"> </w:t>
      </w:r>
      <w:r w:rsidRPr="006D1BFB">
        <w:rPr>
          <w:rFonts w:ascii="Times New Roman" w:hAnsi="Times New Roman" w:cs="Times New Roman"/>
          <w:b/>
          <w:u w:val="single"/>
          <w:lang w:val="de-DE"/>
        </w:rPr>
        <w:t>forma</w:t>
      </w:r>
      <w:r>
        <w:rPr>
          <w:rFonts w:ascii="Times New Roman" w:hAnsi="Times New Roman" w:cs="Times New Roman"/>
          <w:lang w:val="de-DE"/>
        </w:rPr>
        <w:t xml:space="preserve"> </w:t>
      </w:r>
      <w:proofErr w:type="spellStart"/>
      <w:r>
        <w:rPr>
          <w:rFonts w:ascii="Times New Roman" w:hAnsi="Times New Roman" w:cs="Times New Roman"/>
          <w:lang w:val="de-DE"/>
        </w:rPr>
        <w:t>no</w:t>
      </w:r>
      <w:proofErr w:type="spellEnd"/>
      <w:r>
        <w:rPr>
          <w:rFonts w:ascii="Times New Roman" w:hAnsi="Times New Roman" w:cs="Times New Roman"/>
          <w:lang w:val="de-DE"/>
        </w:rPr>
        <w:t xml:space="preserve"> </w:t>
      </w:r>
      <w:proofErr w:type="spellStart"/>
      <w:r w:rsidRPr="008E44A5">
        <w:rPr>
          <w:rFonts w:ascii="Times New Roman" w:hAnsi="Times New Roman" w:cs="Times New Roman"/>
          <w:u w:val="single"/>
          <w:lang w:val="de-DE"/>
        </w:rPr>
        <w:t>pilnvaras</w:t>
      </w:r>
      <w:proofErr w:type="spellEnd"/>
      <w:r w:rsidRPr="008E44A5">
        <w:rPr>
          <w:rFonts w:ascii="Times New Roman" w:hAnsi="Times New Roman" w:cs="Times New Roman"/>
          <w:u w:val="single"/>
          <w:lang w:val="de-DE"/>
        </w:rPr>
        <w:t xml:space="preserve"> </w:t>
      </w:r>
      <w:proofErr w:type="spellStart"/>
      <w:r w:rsidRPr="006D1BFB">
        <w:rPr>
          <w:rFonts w:ascii="Times New Roman" w:hAnsi="Times New Roman" w:cs="Times New Roman"/>
          <w:b/>
          <w:u w:val="single"/>
          <w:lang w:val="de-DE"/>
        </w:rPr>
        <w:t>formas</w:t>
      </w:r>
      <w:proofErr w:type="spellEnd"/>
      <w:r>
        <w:rPr>
          <w:rFonts w:ascii="Times New Roman" w:hAnsi="Times New Roman" w:cs="Times New Roman"/>
          <w:lang w:val="de-DE"/>
        </w:rPr>
        <w:t>.</w:t>
      </w:r>
      <w:r>
        <w:rPr>
          <w:rStyle w:val="FootnoteReference"/>
          <w:rFonts w:ascii="Times New Roman" w:hAnsi="Times New Roman" w:cs="Times New Roman"/>
          <w:lang w:val="de-DE"/>
        </w:rPr>
        <w:footnoteReference w:id="25"/>
      </w:r>
      <w:r>
        <w:rPr>
          <w:rFonts w:ascii="Times New Roman" w:hAnsi="Times New Roman" w:cs="Times New Roman"/>
          <w:lang w:val="de-DE"/>
        </w:rPr>
        <w:t xml:space="preserve"> </w:t>
      </w:r>
      <w:proofErr w:type="spellStart"/>
      <w:r>
        <w:rPr>
          <w:rFonts w:ascii="Times New Roman" w:hAnsi="Times New Roman" w:cs="Times New Roman"/>
          <w:lang w:val="de-DE"/>
        </w:rPr>
        <w:t>Piemēram</w:t>
      </w:r>
      <w:proofErr w:type="spellEnd"/>
      <w:r>
        <w:rPr>
          <w:rFonts w:ascii="Times New Roman" w:hAnsi="Times New Roman" w:cs="Times New Roman"/>
          <w:lang w:val="de-DE"/>
        </w:rPr>
        <w:t xml:space="preserve">, </w:t>
      </w:r>
      <w:proofErr w:type="spellStart"/>
      <w:r>
        <w:rPr>
          <w:rFonts w:ascii="Times New Roman" w:hAnsi="Times New Roman" w:cs="Times New Roman"/>
          <w:lang w:val="de-DE"/>
        </w:rPr>
        <w:t>prasības</w:t>
      </w:r>
      <w:proofErr w:type="spellEnd"/>
      <w:r>
        <w:rPr>
          <w:rFonts w:ascii="Times New Roman" w:hAnsi="Times New Roman" w:cs="Times New Roman"/>
          <w:lang w:val="de-DE"/>
        </w:rPr>
        <w:t xml:space="preserve">, </w:t>
      </w:r>
      <w:proofErr w:type="spellStart"/>
      <w:r>
        <w:rPr>
          <w:rFonts w:ascii="Times New Roman" w:hAnsi="Times New Roman" w:cs="Times New Roman"/>
          <w:lang w:val="de-DE"/>
        </w:rPr>
        <w:t>kas</w:t>
      </w:r>
      <w:proofErr w:type="spellEnd"/>
      <w:r>
        <w:rPr>
          <w:rFonts w:ascii="Times New Roman" w:hAnsi="Times New Roman" w:cs="Times New Roman"/>
          <w:lang w:val="de-DE"/>
        </w:rPr>
        <w:t xml:space="preserve"> </w:t>
      </w:r>
      <w:proofErr w:type="spellStart"/>
      <w:r>
        <w:rPr>
          <w:rFonts w:ascii="Times New Roman" w:hAnsi="Times New Roman" w:cs="Times New Roman"/>
          <w:lang w:val="de-DE"/>
        </w:rPr>
        <w:t>likumā</w:t>
      </w:r>
      <w:proofErr w:type="spellEnd"/>
      <w:r>
        <w:rPr>
          <w:rFonts w:ascii="Times New Roman" w:hAnsi="Times New Roman" w:cs="Times New Roman"/>
          <w:lang w:val="de-DE"/>
        </w:rPr>
        <w:t xml:space="preserve"> </w:t>
      </w:r>
      <w:proofErr w:type="spellStart"/>
      <w:r>
        <w:rPr>
          <w:rFonts w:ascii="Times New Roman" w:hAnsi="Times New Roman" w:cs="Times New Roman"/>
          <w:lang w:val="de-DE"/>
        </w:rPr>
        <w:t>izvirzītas</w:t>
      </w:r>
      <w:proofErr w:type="spellEnd"/>
      <w:r>
        <w:rPr>
          <w:rFonts w:ascii="Times New Roman" w:hAnsi="Times New Roman" w:cs="Times New Roman"/>
          <w:lang w:val="de-DE"/>
        </w:rPr>
        <w:t xml:space="preserve"> </w:t>
      </w:r>
      <w:proofErr w:type="spellStart"/>
      <w:r>
        <w:rPr>
          <w:rFonts w:ascii="Times New Roman" w:hAnsi="Times New Roman" w:cs="Times New Roman"/>
          <w:lang w:val="de-DE"/>
        </w:rPr>
        <w:t>pilnvaras</w:t>
      </w:r>
      <w:proofErr w:type="spellEnd"/>
      <w:r>
        <w:rPr>
          <w:rFonts w:ascii="Times New Roman" w:hAnsi="Times New Roman" w:cs="Times New Roman"/>
          <w:lang w:val="de-DE"/>
        </w:rPr>
        <w:t xml:space="preserve"> </w:t>
      </w:r>
      <w:proofErr w:type="spellStart"/>
      <w:r>
        <w:rPr>
          <w:rFonts w:ascii="Times New Roman" w:hAnsi="Times New Roman" w:cs="Times New Roman"/>
          <w:lang w:val="de-DE"/>
        </w:rPr>
        <w:t>formai</w:t>
      </w:r>
      <w:proofErr w:type="spellEnd"/>
      <w:r>
        <w:rPr>
          <w:rFonts w:ascii="Times New Roman" w:hAnsi="Times New Roman" w:cs="Times New Roman"/>
          <w:lang w:val="de-DE"/>
        </w:rPr>
        <w:t xml:space="preserve">, </w:t>
      </w:r>
      <w:proofErr w:type="spellStart"/>
      <w:r>
        <w:rPr>
          <w:rFonts w:ascii="Times New Roman" w:hAnsi="Times New Roman" w:cs="Times New Roman"/>
          <w:lang w:val="de-DE"/>
        </w:rPr>
        <w:t>neattiecas</w:t>
      </w:r>
      <w:proofErr w:type="spellEnd"/>
      <w:r>
        <w:rPr>
          <w:rFonts w:ascii="Times New Roman" w:hAnsi="Times New Roman" w:cs="Times New Roman"/>
          <w:lang w:val="de-DE"/>
        </w:rPr>
        <w:t xml:space="preserve"> </w:t>
      </w:r>
      <w:proofErr w:type="spellStart"/>
      <w:r>
        <w:rPr>
          <w:rFonts w:ascii="Times New Roman" w:hAnsi="Times New Roman" w:cs="Times New Roman"/>
          <w:lang w:val="de-DE"/>
        </w:rPr>
        <w:t>uz</w:t>
      </w:r>
      <w:proofErr w:type="spellEnd"/>
      <w:r>
        <w:rPr>
          <w:rFonts w:ascii="Times New Roman" w:hAnsi="Times New Roman" w:cs="Times New Roman"/>
          <w:lang w:val="de-DE"/>
        </w:rPr>
        <w:t xml:space="preserve"> </w:t>
      </w:r>
      <w:proofErr w:type="spellStart"/>
      <w:r>
        <w:rPr>
          <w:rFonts w:ascii="Times New Roman" w:hAnsi="Times New Roman" w:cs="Times New Roman"/>
          <w:lang w:val="de-DE"/>
        </w:rPr>
        <w:t>pilnvarojuma</w:t>
      </w:r>
      <w:proofErr w:type="spellEnd"/>
      <w:r>
        <w:rPr>
          <w:rFonts w:ascii="Times New Roman" w:hAnsi="Times New Roman" w:cs="Times New Roman"/>
          <w:lang w:val="de-DE"/>
        </w:rPr>
        <w:t xml:space="preserve"> </w:t>
      </w:r>
      <w:proofErr w:type="spellStart"/>
      <w:r>
        <w:rPr>
          <w:rFonts w:ascii="Times New Roman" w:hAnsi="Times New Roman" w:cs="Times New Roman"/>
          <w:lang w:val="de-DE"/>
        </w:rPr>
        <w:t>līguma</w:t>
      </w:r>
      <w:proofErr w:type="spellEnd"/>
      <w:r>
        <w:rPr>
          <w:rFonts w:ascii="Times New Roman" w:hAnsi="Times New Roman" w:cs="Times New Roman"/>
          <w:lang w:val="de-DE"/>
        </w:rPr>
        <w:t xml:space="preserve"> </w:t>
      </w:r>
      <w:proofErr w:type="spellStart"/>
      <w:r>
        <w:rPr>
          <w:rFonts w:ascii="Times New Roman" w:hAnsi="Times New Roman" w:cs="Times New Roman"/>
          <w:lang w:val="de-DE"/>
        </w:rPr>
        <w:t>formu</w:t>
      </w:r>
      <w:proofErr w:type="spellEnd"/>
      <w:r>
        <w:rPr>
          <w:rStyle w:val="FootnoteReference"/>
          <w:rFonts w:ascii="Times New Roman" w:hAnsi="Times New Roman" w:cs="Times New Roman"/>
          <w:lang w:val="de-DE"/>
        </w:rPr>
        <w:footnoteReference w:id="26"/>
      </w:r>
      <w:r>
        <w:rPr>
          <w:rFonts w:ascii="Times New Roman" w:hAnsi="Times New Roman" w:cs="Times New Roman"/>
          <w:lang w:val="de-DE"/>
        </w:rPr>
        <w:t xml:space="preserve">, </w:t>
      </w:r>
      <w:proofErr w:type="spellStart"/>
      <w:r>
        <w:rPr>
          <w:rFonts w:ascii="Times New Roman" w:hAnsi="Times New Roman" w:cs="Times New Roman"/>
          <w:lang w:val="de-DE"/>
        </w:rPr>
        <w:t>t.i</w:t>
      </w:r>
      <w:proofErr w:type="spellEnd"/>
      <w:r>
        <w:rPr>
          <w:rFonts w:ascii="Times New Roman" w:hAnsi="Times New Roman" w:cs="Times New Roman"/>
          <w:lang w:val="de-DE"/>
        </w:rPr>
        <w:t xml:space="preserve">., </w:t>
      </w:r>
      <w:proofErr w:type="spellStart"/>
      <w:r>
        <w:rPr>
          <w:rFonts w:ascii="Times New Roman" w:hAnsi="Times New Roman" w:cs="Times New Roman"/>
          <w:lang w:val="de-DE"/>
        </w:rPr>
        <w:t>noteiktu</w:t>
      </w:r>
      <w:proofErr w:type="spellEnd"/>
      <w:r>
        <w:rPr>
          <w:rFonts w:ascii="Times New Roman" w:hAnsi="Times New Roman" w:cs="Times New Roman"/>
          <w:lang w:val="de-DE"/>
        </w:rPr>
        <w:t xml:space="preserve"> </w:t>
      </w:r>
      <w:proofErr w:type="spellStart"/>
      <w:r>
        <w:rPr>
          <w:rFonts w:ascii="Times New Roman" w:hAnsi="Times New Roman" w:cs="Times New Roman"/>
          <w:lang w:val="de-DE"/>
        </w:rPr>
        <w:t>darbību</w:t>
      </w:r>
      <w:proofErr w:type="spellEnd"/>
      <w:r>
        <w:rPr>
          <w:rFonts w:ascii="Times New Roman" w:hAnsi="Times New Roman" w:cs="Times New Roman"/>
          <w:lang w:val="de-DE"/>
        </w:rPr>
        <w:t xml:space="preserve"> </w:t>
      </w:r>
      <w:proofErr w:type="spellStart"/>
      <w:r>
        <w:rPr>
          <w:rFonts w:ascii="Times New Roman" w:hAnsi="Times New Roman" w:cs="Times New Roman"/>
          <w:lang w:val="de-DE"/>
        </w:rPr>
        <w:t>veikšanai</w:t>
      </w:r>
      <w:proofErr w:type="spellEnd"/>
      <w:r>
        <w:rPr>
          <w:rFonts w:ascii="Times New Roman" w:hAnsi="Times New Roman" w:cs="Times New Roman"/>
          <w:lang w:val="de-DE"/>
        </w:rPr>
        <w:t xml:space="preserve"> </w:t>
      </w:r>
      <w:proofErr w:type="spellStart"/>
      <w:r>
        <w:rPr>
          <w:rFonts w:ascii="Times New Roman" w:hAnsi="Times New Roman" w:cs="Times New Roman"/>
          <w:lang w:val="de-DE"/>
        </w:rPr>
        <w:t>likums</w:t>
      </w:r>
      <w:proofErr w:type="spellEnd"/>
      <w:r>
        <w:rPr>
          <w:rFonts w:ascii="Times New Roman" w:hAnsi="Times New Roman" w:cs="Times New Roman"/>
          <w:lang w:val="de-DE"/>
        </w:rPr>
        <w:t xml:space="preserve"> </w:t>
      </w:r>
      <w:proofErr w:type="spellStart"/>
      <w:r>
        <w:rPr>
          <w:rFonts w:ascii="Times New Roman" w:hAnsi="Times New Roman" w:cs="Times New Roman"/>
          <w:lang w:val="de-DE"/>
        </w:rPr>
        <w:t>var</w:t>
      </w:r>
      <w:proofErr w:type="spellEnd"/>
      <w:r>
        <w:rPr>
          <w:rFonts w:ascii="Times New Roman" w:hAnsi="Times New Roman" w:cs="Times New Roman"/>
          <w:lang w:val="de-DE"/>
        </w:rPr>
        <w:t xml:space="preserve"> </w:t>
      </w:r>
      <w:proofErr w:type="spellStart"/>
      <w:r>
        <w:rPr>
          <w:rFonts w:ascii="Times New Roman" w:hAnsi="Times New Roman" w:cs="Times New Roman"/>
          <w:lang w:val="de-DE"/>
        </w:rPr>
        <w:t>prasīt</w:t>
      </w:r>
      <w:proofErr w:type="spellEnd"/>
      <w:r>
        <w:rPr>
          <w:rFonts w:ascii="Times New Roman" w:hAnsi="Times New Roman" w:cs="Times New Roman"/>
          <w:lang w:val="de-DE"/>
        </w:rPr>
        <w:t xml:space="preserve"> </w:t>
      </w:r>
      <w:proofErr w:type="spellStart"/>
      <w:r>
        <w:rPr>
          <w:rFonts w:ascii="Times New Roman" w:hAnsi="Times New Roman" w:cs="Times New Roman"/>
          <w:lang w:val="de-DE"/>
        </w:rPr>
        <w:t>konkrētu</w:t>
      </w:r>
      <w:proofErr w:type="spellEnd"/>
      <w:r>
        <w:rPr>
          <w:rFonts w:ascii="Times New Roman" w:hAnsi="Times New Roman" w:cs="Times New Roman"/>
          <w:lang w:val="de-DE"/>
        </w:rPr>
        <w:t xml:space="preserve"> </w:t>
      </w:r>
      <w:proofErr w:type="spellStart"/>
      <w:r>
        <w:rPr>
          <w:rFonts w:ascii="Times New Roman" w:hAnsi="Times New Roman" w:cs="Times New Roman"/>
          <w:lang w:val="de-DE"/>
        </w:rPr>
        <w:t>pilnvaras</w:t>
      </w:r>
      <w:proofErr w:type="spellEnd"/>
      <w:r>
        <w:rPr>
          <w:rFonts w:ascii="Times New Roman" w:hAnsi="Times New Roman" w:cs="Times New Roman"/>
          <w:lang w:val="de-DE"/>
        </w:rPr>
        <w:t xml:space="preserve"> (</w:t>
      </w:r>
      <w:proofErr w:type="spellStart"/>
      <w:r>
        <w:rPr>
          <w:rFonts w:ascii="Times New Roman" w:hAnsi="Times New Roman" w:cs="Times New Roman"/>
          <w:lang w:val="de-DE"/>
        </w:rPr>
        <w:t>nevis</w:t>
      </w:r>
      <w:proofErr w:type="spellEnd"/>
      <w:r>
        <w:rPr>
          <w:rFonts w:ascii="Times New Roman" w:hAnsi="Times New Roman" w:cs="Times New Roman"/>
          <w:lang w:val="de-DE"/>
        </w:rPr>
        <w:t xml:space="preserve"> </w:t>
      </w:r>
      <w:proofErr w:type="spellStart"/>
      <w:r>
        <w:rPr>
          <w:rFonts w:ascii="Times New Roman" w:hAnsi="Times New Roman" w:cs="Times New Roman"/>
          <w:lang w:val="de-DE"/>
        </w:rPr>
        <w:lastRenderedPageBreak/>
        <w:t>pilnvarojuma</w:t>
      </w:r>
      <w:proofErr w:type="spellEnd"/>
      <w:r>
        <w:rPr>
          <w:rFonts w:ascii="Times New Roman" w:hAnsi="Times New Roman" w:cs="Times New Roman"/>
          <w:lang w:val="de-DE"/>
        </w:rPr>
        <w:t xml:space="preserve"> </w:t>
      </w:r>
      <w:proofErr w:type="spellStart"/>
      <w:r>
        <w:rPr>
          <w:rFonts w:ascii="Times New Roman" w:hAnsi="Times New Roman" w:cs="Times New Roman"/>
          <w:lang w:val="de-DE"/>
        </w:rPr>
        <w:t>līguma</w:t>
      </w:r>
      <w:proofErr w:type="spellEnd"/>
      <w:r>
        <w:rPr>
          <w:rFonts w:ascii="Times New Roman" w:hAnsi="Times New Roman" w:cs="Times New Roman"/>
          <w:lang w:val="de-DE"/>
        </w:rPr>
        <w:t xml:space="preserve">) </w:t>
      </w:r>
      <w:proofErr w:type="spellStart"/>
      <w:r>
        <w:rPr>
          <w:rFonts w:ascii="Times New Roman" w:hAnsi="Times New Roman" w:cs="Times New Roman"/>
          <w:lang w:val="de-DE"/>
        </w:rPr>
        <w:t>formu</w:t>
      </w:r>
      <w:proofErr w:type="spellEnd"/>
      <w:r>
        <w:rPr>
          <w:rFonts w:ascii="Times New Roman" w:hAnsi="Times New Roman" w:cs="Times New Roman"/>
          <w:lang w:val="de-DE"/>
        </w:rPr>
        <w:t xml:space="preserve">. </w:t>
      </w:r>
      <w:proofErr w:type="spellStart"/>
      <w:r>
        <w:rPr>
          <w:rFonts w:ascii="Times New Roman" w:hAnsi="Times New Roman" w:cs="Times New Roman"/>
          <w:lang w:val="de-DE"/>
        </w:rPr>
        <w:t>Viena</w:t>
      </w:r>
      <w:proofErr w:type="spellEnd"/>
      <w:r>
        <w:rPr>
          <w:rFonts w:ascii="Times New Roman" w:hAnsi="Times New Roman" w:cs="Times New Roman"/>
          <w:lang w:val="de-DE"/>
        </w:rPr>
        <w:t xml:space="preserve"> </w:t>
      </w:r>
      <w:proofErr w:type="spellStart"/>
      <w:r>
        <w:rPr>
          <w:rFonts w:ascii="Times New Roman" w:hAnsi="Times New Roman" w:cs="Times New Roman"/>
          <w:lang w:val="de-DE"/>
        </w:rPr>
        <w:t>no</w:t>
      </w:r>
      <w:proofErr w:type="spellEnd"/>
      <w:r>
        <w:rPr>
          <w:rFonts w:ascii="Times New Roman" w:hAnsi="Times New Roman" w:cs="Times New Roman"/>
          <w:lang w:val="de-DE"/>
        </w:rPr>
        <w:t xml:space="preserve"> </w:t>
      </w:r>
      <w:proofErr w:type="spellStart"/>
      <w:r>
        <w:rPr>
          <w:rFonts w:ascii="Times New Roman" w:hAnsi="Times New Roman" w:cs="Times New Roman"/>
          <w:lang w:val="de-DE"/>
        </w:rPr>
        <w:t>šādām</w:t>
      </w:r>
      <w:proofErr w:type="spellEnd"/>
      <w:r>
        <w:rPr>
          <w:rFonts w:ascii="Times New Roman" w:hAnsi="Times New Roman" w:cs="Times New Roman"/>
          <w:lang w:val="de-DE"/>
        </w:rPr>
        <w:t xml:space="preserve"> </w:t>
      </w:r>
      <w:proofErr w:type="spellStart"/>
      <w:r>
        <w:rPr>
          <w:rFonts w:ascii="Times New Roman" w:hAnsi="Times New Roman" w:cs="Times New Roman"/>
          <w:lang w:val="de-DE"/>
        </w:rPr>
        <w:t>pilnvaras</w:t>
      </w:r>
      <w:proofErr w:type="spellEnd"/>
      <w:r>
        <w:rPr>
          <w:rFonts w:ascii="Times New Roman" w:hAnsi="Times New Roman" w:cs="Times New Roman"/>
          <w:lang w:val="de-DE"/>
        </w:rPr>
        <w:t xml:space="preserve"> </w:t>
      </w:r>
      <w:proofErr w:type="spellStart"/>
      <w:r>
        <w:rPr>
          <w:rFonts w:ascii="Times New Roman" w:hAnsi="Times New Roman" w:cs="Times New Roman"/>
          <w:lang w:val="de-DE"/>
        </w:rPr>
        <w:t>formām</w:t>
      </w:r>
      <w:proofErr w:type="spellEnd"/>
      <w:r>
        <w:rPr>
          <w:rFonts w:ascii="Times New Roman" w:hAnsi="Times New Roman" w:cs="Times New Roman"/>
          <w:lang w:val="de-DE"/>
        </w:rPr>
        <w:t xml:space="preserve"> </w:t>
      </w:r>
      <w:proofErr w:type="spellStart"/>
      <w:r>
        <w:rPr>
          <w:rFonts w:ascii="Times New Roman" w:hAnsi="Times New Roman" w:cs="Times New Roman"/>
          <w:lang w:val="de-DE"/>
        </w:rPr>
        <w:t>ir</w:t>
      </w:r>
      <w:proofErr w:type="spellEnd"/>
      <w:r>
        <w:rPr>
          <w:rFonts w:ascii="Times New Roman" w:hAnsi="Times New Roman" w:cs="Times New Roman"/>
          <w:lang w:val="de-DE"/>
        </w:rPr>
        <w:t xml:space="preserve"> </w:t>
      </w:r>
      <w:proofErr w:type="spellStart"/>
      <w:r>
        <w:rPr>
          <w:rFonts w:ascii="Times New Roman" w:hAnsi="Times New Roman" w:cs="Times New Roman"/>
          <w:u w:val="single"/>
          <w:lang w:val="de-DE"/>
        </w:rPr>
        <w:t>notariāli</w:t>
      </w:r>
      <w:proofErr w:type="spellEnd"/>
      <w:r w:rsidRPr="007A7631">
        <w:rPr>
          <w:rFonts w:ascii="Times New Roman" w:hAnsi="Times New Roman" w:cs="Times New Roman"/>
          <w:u w:val="single"/>
          <w:lang w:val="de-DE"/>
        </w:rPr>
        <w:t xml:space="preserve"> </w:t>
      </w:r>
      <w:proofErr w:type="spellStart"/>
      <w:r>
        <w:rPr>
          <w:rFonts w:ascii="Times New Roman" w:hAnsi="Times New Roman" w:cs="Times New Roman"/>
          <w:u w:val="single"/>
          <w:lang w:val="de-DE"/>
        </w:rPr>
        <w:t>apliecināta</w:t>
      </w:r>
      <w:proofErr w:type="spellEnd"/>
      <w:r>
        <w:rPr>
          <w:rFonts w:ascii="Times New Roman" w:hAnsi="Times New Roman" w:cs="Times New Roman"/>
          <w:u w:val="single"/>
          <w:lang w:val="de-DE"/>
        </w:rPr>
        <w:t xml:space="preserve"> </w:t>
      </w:r>
      <w:proofErr w:type="spellStart"/>
      <w:r w:rsidRPr="007A7631">
        <w:rPr>
          <w:rFonts w:ascii="Times New Roman" w:hAnsi="Times New Roman" w:cs="Times New Roman"/>
          <w:u w:val="single"/>
          <w:lang w:val="de-DE"/>
        </w:rPr>
        <w:t>pilnvara</w:t>
      </w:r>
      <w:proofErr w:type="spellEnd"/>
      <w:r>
        <w:rPr>
          <w:rStyle w:val="FootnoteReference"/>
          <w:rFonts w:ascii="Times New Roman" w:hAnsi="Times New Roman" w:cs="Times New Roman"/>
          <w:lang w:val="de-DE"/>
        </w:rPr>
        <w:footnoteReference w:id="27"/>
      </w:r>
      <w:r>
        <w:rPr>
          <w:rFonts w:ascii="Times New Roman" w:hAnsi="Times New Roman" w:cs="Times New Roman"/>
          <w:lang w:val="de-DE"/>
        </w:rPr>
        <w:t xml:space="preserve"> (</w:t>
      </w:r>
      <w:proofErr w:type="spellStart"/>
      <w:r>
        <w:rPr>
          <w:rFonts w:ascii="Times New Roman" w:hAnsi="Times New Roman" w:cs="Times New Roman"/>
          <w:lang w:val="de-DE"/>
        </w:rPr>
        <w:t>sk</w:t>
      </w:r>
      <w:r w:rsidR="00485054">
        <w:rPr>
          <w:rFonts w:ascii="Times New Roman" w:hAnsi="Times New Roman" w:cs="Times New Roman"/>
          <w:lang w:val="de-DE"/>
        </w:rPr>
        <w:t>at</w:t>
      </w:r>
      <w:proofErr w:type="spellEnd"/>
      <w:r w:rsidR="00485054">
        <w:rPr>
          <w:rFonts w:ascii="Times New Roman" w:hAnsi="Times New Roman" w:cs="Times New Roman"/>
          <w:lang w:val="de-DE"/>
        </w:rPr>
        <w:t xml:space="preserve">., </w:t>
      </w:r>
      <w:proofErr w:type="spellStart"/>
      <w:r w:rsidR="00485054">
        <w:rPr>
          <w:rFonts w:ascii="Times New Roman" w:hAnsi="Times New Roman" w:cs="Times New Roman"/>
          <w:lang w:val="de-DE"/>
        </w:rPr>
        <w:t>piemēram</w:t>
      </w:r>
      <w:proofErr w:type="spellEnd"/>
      <w:r>
        <w:rPr>
          <w:rFonts w:ascii="Times New Roman" w:hAnsi="Times New Roman" w:cs="Times New Roman"/>
          <w:lang w:val="de-DE"/>
        </w:rPr>
        <w:t xml:space="preserve">, </w:t>
      </w:r>
      <w:proofErr w:type="spellStart"/>
      <w:r>
        <w:rPr>
          <w:rFonts w:ascii="Times New Roman" w:hAnsi="Times New Roman" w:cs="Times New Roman"/>
          <w:lang w:val="de-DE"/>
        </w:rPr>
        <w:t>Zemergrāmatu</w:t>
      </w:r>
      <w:proofErr w:type="spellEnd"/>
      <w:r>
        <w:rPr>
          <w:rFonts w:ascii="Times New Roman" w:hAnsi="Times New Roman" w:cs="Times New Roman"/>
          <w:lang w:val="de-DE"/>
        </w:rPr>
        <w:t xml:space="preserve"> </w:t>
      </w:r>
      <w:proofErr w:type="spellStart"/>
      <w:r>
        <w:rPr>
          <w:rFonts w:ascii="Times New Roman" w:hAnsi="Times New Roman" w:cs="Times New Roman"/>
          <w:lang w:val="de-DE"/>
        </w:rPr>
        <w:t>likuma</w:t>
      </w:r>
      <w:proofErr w:type="spellEnd"/>
      <w:r>
        <w:rPr>
          <w:rFonts w:ascii="Times New Roman" w:hAnsi="Times New Roman" w:cs="Times New Roman"/>
          <w:lang w:val="de-DE"/>
        </w:rPr>
        <w:t xml:space="preserve"> 58.p.; </w:t>
      </w:r>
      <w:proofErr w:type="spellStart"/>
      <w:r>
        <w:rPr>
          <w:rFonts w:ascii="Times New Roman" w:hAnsi="Times New Roman" w:cs="Times New Roman"/>
          <w:lang w:val="de-DE"/>
        </w:rPr>
        <w:t>Civilprocesa</w:t>
      </w:r>
      <w:proofErr w:type="spellEnd"/>
      <w:r>
        <w:rPr>
          <w:rFonts w:ascii="Times New Roman" w:hAnsi="Times New Roman" w:cs="Times New Roman"/>
          <w:lang w:val="de-DE"/>
        </w:rPr>
        <w:t xml:space="preserve"> </w:t>
      </w:r>
      <w:proofErr w:type="spellStart"/>
      <w:r>
        <w:rPr>
          <w:rFonts w:ascii="Times New Roman" w:hAnsi="Times New Roman" w:cs="Times New Roman"/>
          <w:lang w:val="de-DE"/>
        </w:rPr>
        <w:t>likuma</w:t>
      </w:r>
      <w:proofErr w:type="spellEnd"/>
      <w:r>
        <w:rPr>
          <w:rFonts w:ascii="Times New Roman" w:hAnsi="Times New Roman" w:cs="Times New Roman"/>
          <w:lang w:val="de-DE"/>
        </w:rPr>
        <w:t xml:space="preserve"> 85.p. 1.d.). </w:t>
      </w:r>
    </w:p>
    <w:p w14:paraId="17B3D899" w14:textId="77777777" w:rsidR="00114953" w:rsidRDefault="00114953" w:rsidP="00114953">
      <w:pPr>
        <w:ind w:firstLine="708"/>
        <w:jc w:val="both"/>
        <w:rPr>
          <w:rFonts w:ascii="Times New Roman" w:hAnsi="Times New Roman" w:cs="Times New Roman"/>
          <w:lang w:val="de-DE"/>
        </w:rPr>
      </w:pPr>
      <w:proofErr w:type="spellStart"/>
      <w:r>
        <w:rPr>
          <w:rFonts w:ascii="Times New Roman" w:hAnsi="Times New Roman" w:cs="Times New Roman"/>
          <w:lang w:val="de-DE"/>
        </w:rPr>
        <w:t>Pilnvarojuma</w:t>
      </w:r>
      <w:proofErr w:type="spellEnd"/>
      <w:r>
        <w:rPr>
          <w:rFonts w:ascii="Times New Roman" w:hAnsi="Times New Roman" w:cs="Times New Roman"/>
          <w:lang w:val="de-DE"/>
        </w:rPr>
        <w:t xml:space="preserve"> </w:t>
      </w:r>
      <w:proofErr w:type="spellStart"/>
      <w:r>
        <w:rPr>
          <w:rFonts w:ascii="Times New Roman" w:hAnsi="Times New Roman" w:cs="Times New Roman"/>
          <w:lang w:val="de-DE"/>
        </w:rPr>
        <w:t>līgums</w:t>
      </w:r>
      <w:proofErr w:type="spellEnd"/>
      <w:r>
        <w:rPr>
          <w:rFonts w:ascii="Times New Roman" w:hAnsi="Times New Roman" w:cs="Times New Roman"/>
          <w:lang w:val="de-DE"/>
        </w:rPr>
        <w:t xml:space="preserve"> </w:t>
      </w:r>
      <w:proofErr w:type="spellStart"/>
      <w:r>
        <w:rPr>
          <w:rFonts w:ascii="Times New Roman" w:hAnsi="Times New Roman" w:cs="Times New Roman"/>
          <w:lang w:val="de-DE"/>
        </w:rPr>
        <w:t>saista</w:t>
      </w:r>
      <w:proofErr w:type="spellEnd"/>
      <w:r>
        <w:rPr>
          <w:rFonts w:ascii="Times New Roman" w:hAnsi="Times New Roman" w:cs="Times New Roman"/>
          <w:lang w:val="de-DE"/>
        </w:rPr>
        <w:t xml:space="preserve"> </w:t>
      </w:r>
      <w:proofErr w:type="spellStart"/>
      <w:r>
        <w:rPr>
          <w:rFonts w:ascii="Times New Roman" w:hAnsi="Times New Roman" w:cs="Times New Roman"/>
          <w:lang w:val="de-DE"/>
        </w:rPr>
        <w:t>līdzējus</w:t>
      </w:r>
      <w:proofErr w:type="spellEnd"/>
      <w:r>
        <w:rPr>
          <w:rFonts w:ascii="Times New Roman" w:hAnsi="Times New Roman" w:cs="Times New Roman"/>
          <w:lang w:val="de-DE"/>
        </w:rPr>
        <w:t xml:space="preserve">, </w:t>
      </w:r>
      <w:proofErr w:type="spellStart"/>
      <w:r>
        <w:rPr>
          <w:rFonts w:ascii="Times New Roman" w:hAnsi="Times New Roman" w:cs="Times New Roman"/>
          <w:lang w:val="de-DE"/>
        </w:rPr>
        <w:t>bet</w:t>
      </w:r>
      <w:proofErr w:type="spellEnd"/>
      <w:r>
        <w:rPr>
          <w:rFonts w:ascii="Times New Roman" w:hAnsi="Times New Roman" w:cs="Times New Roman"/>
          <w:lang w:val="de-DE"/>
        </w:rPr>
        <w:t xml:space="preserve"> </w:t>
      </w:r>
      <w:proofErr w:type="spellStart"/>
      <w:r>
        <w:rPr>
          <w:rFonts w:ascii="Times New Roman" w:hAnsi="Times New Roman" w:cs="Times New Roman"/>
          <w:lang w:val="de-DE"/>
        </w:rPr>
        <w:t>nesaista</w:t>
      </w:r>
      <w:proofErr w:type="spellEnd"/>
      <w:r>
        <w:rPr>
          <w:rFonts w:ascii="Times New Roman" w:hAnsi="Times New Roman" w:cs="Times New Roman"/>
          <w:lang w:val="de-DE"/>
        </w:rPr>
        <w:t xml:space="preserve"> </w:t>
      </w:r>
      <w:proofErr w:type="spellStart"/>
      <w:r>
        <w:rPr>
          <w:rFonts w:ascii="Times New Roman" w:hAnsi="Times New Roman" w:cs="Times New Roman"/>
          <w:lang w:val="de-DE"/>
        </w:rPr>
        <w:t>trešās</w:t>
      </w:r>
      <w:proofErr w:type="spellEnd"/>
      <w:r>
        <w:rPr>
          <w:rFonts w:ascii="Times New Roman" w:hAnsi="Times New Roman" w:cs="Times New Roman"/>
          <w:lang w:val="de-DE"/>
        </w:rPr>
        <w:t xml:space="preserve"> personas </w:t>
      </w:r>
      <w:proofErr w:type="spellStart"/>
      <w:r>
        <w:rPr>
          <w:rFonts w:ascii="Times New Roman" w:hAnsi="Times New Roman" w:cs="Times New Roman"/>
          <w:lang w:val="de-DE"/>
        </w:rPr>
        <w:t>atzīt</w:t>
      </w:r>
      <w:proofErr w:type="spellEnd"/>
      <w:r>
        <w:rPr>
          <w:rFonts w:ascii="Times New Roman" w:hAnsi="Times New Roman" w:cs="Times New Roman"/>
          <w:lang w:val="de-DE"/>
        </w:rPr>
        <w:t xml:space="preserve"> </w:t>
      </w:r>
      <w:proofErr w:type="spellStart"/>
      <w:r>
        <w:rPr>
          <w:rFonts w:ascii="Times New Roman" w:hAnsi="Times New Roman" w:cs="Times New Roman"/>
          <w:lang w:val="de-DE"/>
        </w:rPr>
        <w:t>jebkura</w:t>
      </w:r>
      <w:proofErr w:type="spellEnd"/>
      <w:r>
        <w:rPr>
          <w:rFonts w:ascii="Times New Roman" w:hAnsi="Times New Roman" w:cs="Times New Roman"/>
          <w:lang w:val="de-DE"/>
        </w:rPr>
        <w:t xml:space="preserve"> </w:t>
      </w:r>
      <w:proofErr w:type="spellStart"/>
      <w:r>
        <w:rPr>
          <w:rFonts w:ascii="Times New Roman" w:hAnsi="Times New Roman" w:cs="Times New Roman"/>
          <w:lang w:val="de-DE"/>
        </w:rPr>
        <w:t>apgalvojumus</w:t>
      </w:r>
      <w:proofErr w:type="spellEnd"/>
      <w:r>
        <w:rPr>
          <w:rFonts w:ascii="Times New Roman" w:hAnsi="Times New Roman" w:cs="Times New Roman"/>
          <w:lang w:val="de-DE"/>
        </w:rPr>
        <w:t xml:space="preserve"> par </w:t>
      </w:r>
      <w:proofErr w:type="spellStart"/>
      <w:r>
        <w:rPr>
          <w:rFonts w:ascii="Times New Roman" w:hAnsi="Times New Roman" w:cs="Times New Roman"/>
          <w:lang w:val="de-DE"/>
        </w:rPr>
        <w:t>pilnvarojumu</w:t>
      </w:r>
      <w:proofErr w:type="spellEnd"/>
      <w:r>
        <w:rPr>
          <w:rFonts w:ascii="Times New Roman" w:hAnsi="Times New Roman" w:cs="Times New Roman"/>
          <w:lang w:val="de-DE"/>
        </w:rPr>
        <w:t xml:space="preserve">. </w:t>
      </w:r>
      <w:proofErr w:type="spellStart"/>
      <w:r>
        <w:rPr>
          <w:rFonts w:ascii="Times New Roman" w:hAnsi="Times New Roman" w:cs="Times New Roman"/>
          <w:lang w:val="de-DE"/>
        </w:rPr>
        <w:t>T.i</w:t>
      </w:r>
      <w:proofErr w:type="spellEnd"/>
      <w:r>
        <w:rPr>
          <w:rFonts w:ascii="Times New Roman" w:hAnsi="Times New Roman" w:cs="Times New Roman"/>
          <w:lang w:val="de-DE"/>
        </w:rPr>
        <w:t xml:space="preserve">., </w:t>
      </w:r>
      <w:proofErr w:type="spellStart"/>
      <w:r>
        <w:rPr>
          <w:rFonts w:ascii="Times New Roman" w:hAnsi="Times New Roman" w:cs="Times New Roman"/>
          <w:lang w:val="de-DE"/>
        </w:rPr>
        <w:t>pilnvarojuma</w:t>
      </w:r>
      <w:proofErr w:type="spellEnd"/>
      <w:r>
        <w:rPr>
          <w:rFonts w:ascii="Times New Roman" w:hAnsi="Times New Roman" w:cs="Times New Roman"/>
          <w:lang w:val="de-DE"/>
        </w:rPr>
        <w:t xml:space="preserve"> </w:t>
      </w:r>
      <w:proofErr w:type="spellStart"/>
      <w:r>
        <w:rPr>
          <w:rFonts w:ascii="Times New Roman" w:hAnsi="Times New Roman" w:cs="Times New Roman"/>
          <w:lang w:val="de-DE"/>
        </w:rPr>
        <w:t>līgums</w:t>
      </w:r>
      <w:proofErr w:type="spellEnd"/>
      <w:r>
        <w:rPr>
          <w:rFonts w:ascii="Times New Roman" w:hAnsi="Times New Roman" w:cs="Times New Roman"/>
          <w:lang w:val="de-DE"/>
        </w:rPr>
        <w:t xml:space="preserve"> </w:t>
      </w:r>
      <w:proofErr w:type="spellStart"/>
      <w:r>
        <w:rPr>
          <w:rFonts w:ascii="Times New Roman" w:hAnsi="Times New Roman" w:cs="Times New Roman"/>
          <w:lang w:val="de-DE"/>
        </w:rPr>
        <w:t>var</w:t>
      </w:r>
      <w:proofErr w:type="spellEnd"/>
      <w:r>
        <w:rPr>
          <w:rFonts w:ascii="Times New Roman" w:hAnsi="Times New Roman" w:cs="Times New Roman"/>
          <w:lang w:val="de-DE"/>
        </w:rPr>
        <w:t xml:space="preserve"> </w:t>
      </w:r>
      <w:proofErr w:type="spellStart"/>
      <w:r>
        <w:rPr>
          <w:rFonts w:ascii="Times New Roman" w:hAnsi="Times New Roman" w:cs="Times New Roman"/>
          <w:lang w:val="de-DE"/>
        </w:rPr>
        <w:t>palikt</w:t>
      </w:r>
      <w:proofErr w:type="spellEnd"/>
      <w:r>
        <w:rPr>
          <w:rFonts w:ascii="Times New Roman" w:hAnsi="Times New Roman" w:cs="Times New Roman"/>
          <w:lang w:val="de-DE"/>
        </w:rPr>
        <w:t xml:space="preserve"> </w:t>
      </w:r>
      <w:proofErr w:type="spellStart"/>
      <w:r>
        <w:rPr>
          <w:rFonts w:ascii="Times New Roman" w:hAnsi="Times New Roman" w:cs="Times New Roman"/>
          <w:lang w:val="de-DE"/>
        </w:rPr>
        <w:t>neizpildīts</w:t>
      </w:r>
      <w:proofErr w:type="spellEnd"/>
      <w:r>
        <w:rPr>
          <w:rFonts w:ascii="Times New Roman" w:hAnsi="Times New Roman" w:cs="Times New Roman"/>
          <w:lang w:val="de-DE"/>
        </w:rPr>
        <w:t xml:space="preserve">, </w:t>
      </w:r>
      <w:proofErr w:type="spellStart"/>
      <w:r>
        <w:rPr>
          <w:rFonts w:ascii="Times New Roman" w:hAnsi="Times New Roman" w:cs="Times New Roman"/>
          <w:lang w:val="de-DE"/>
        </w:rPr>
        <w:t>jo</w:t>
      </w:r>
      <w:proofErr w:type="spellEnd"/>
      <w:r>
        <w:rPr>
          <w:rFonts w:ascii="Times New Roman" w:hAnsi="Times New Roman" w:cs="Times New Roman"/>
          <w:lang w:val="de-DE"/>
        </w:rPr>
        <w:t xml:space="preserve"> </w:t>
      </w:r>
      <w:proofErr w:type="spellStart"/>
      <w:r>
        <w:rPr>
          <w:rFonts w:ascii="Times New Roman" w:hAnsi="Times New Roman" w:cs="Times New Roman"/>
          <w:lang w:val="de-DE"/>
        </w:rPr>
        <w:t>pilnvarniekam</w:t>
      </w:r>
      <w:proofErr w:type="spellEnd"/>
      <w:r>
        <w:rPr>
          <w:rFonts w:ascii="Times New Roman" w:hAnsi="Times New Roman" w:cs="Times New Roman"/>
          <w:lang w:val="de-DE"/>
        </w:rPr>
        <w:t xml:space="preserve"> </w:t>
      </w:r>
      <w:proofErr w:type="spellStart"/>
      <w:r>
        <w:rPr>
          <w:rFonts w:ascii="Times New Roman" w:hAnsi="Times New Roman" w:cs="Times New Roman"/>
          <w:lang w:val="de-DE"/>
        </w:rPr>
        <w:t>nav</w:t>
      </w:r>
      <w:proofErr w:type="spellEnd"/>
      <w:r>
        <w:rPr>
          <w:rFonts w:ascii="Times New Roman" w:hAnsi="Times New Roman" w:cs="Times New Roman"/>
          <w:lang w:val="de-DE"/>
        </w:rPr>
        <w:t xml:space="preserve"> </w:t>
      </w:r>
      <w:proofErr w:type="spellStart"/>
      <w:r>
        <w:rPr>
          <w:rFonts w:ascii="Times New Roman" w:hAnsi="Times New Roman" w:cs="Times New Roman"/>
          <w:lang w:val="de-DE"/>
        </w:rPr>
        <w:t>bijusi</w:t>
      </w:r>
      <w:proofErr w:type="spellEnd"/>
      <w:r>
        <w:rPr>
          <w:rFonts w:ascii="Times New Roman" w:hAnsi="Times New Roman" w:cs="Times New Roman"/>
          <w:lang w:val="de-DE"/>
        </w:rPr>
        <w:t xml:space="preserve"> </w:t>
      </w:r>
      <w:proofErr w:type="spellStart"/>
      <w:r>
        <w:rPr>
          <w:rFonts w:ascii="Times New Roman" w:hAnsi="Times New Roman" w:cs="Times New Roman"/>
          <w:lang w:val="de-DE"/>
        </w:rPr>
        <w:t>izdota</w:t>
      </w:r>
      <w:proofErr w:type="spellEnd"/>
      <w:r>
        <w:rPr>
          <w:rFonts w:ascii="Times New Roman" w:hAnsi="Times New Roman" w:cs="Times New Roman"/>
          <w:lang w:val="de-DE"/>
        </w:rPr>
        <w:t xml:space="preserve"> </w:t>
      </w:r>
      <w:proofErr w:type="spellStart"/>
      <w:r>
        <w:rPr>
          <w:rFonts w:ascii="Times New Roman" w:hAnsi="Times New Roman" w:cs="Times New Roman"/>
          <w:lang w:val="de-DE"/>
        </w:rPr>
        <w:t>pienācīgi</w:t>
      </w:r>
      <w:proofErr w:type="spellEnd"/>
      <w:r>
        <w:rPr>
          <w:rFonts w:ascii="Times New Roman" w:hAnsi="Times New Roman" w:cs="Times New Roman"/>
          <w:lang w:val="de-DE"/>
        </w:rPr>
        <w:t xml:space="preserve"> </w:t>
      </w:r>
      <w:proofErr w:type="spellStart"/>
      <w:r>
        <w:rPr>
          <w:rFonts w:ascii="Times New Roman" w:hAnsi="Times New Roman" w:cs="Times New Roman"/>
          <w:lang w:val="de-DE"/>
        </w:rPr>
        <w:t>noformēta</w:t>
      </w:r>
      <w:proofErr w:type="spellEnd"/>
      <w:r>
        <w:rPr>
          <w:rFonts w:ascii="Times New Roman" w:hAnsi="Times New Roman" w:cs="Times New Roman"/>
          <w:lang w:val="de-DE"/>
        </w:rPr>
        <w:t xml:space="preserve"> </w:t>
      </w:r>
      <w:proofErr w:type="spellStart"/>
      <w:r>
        <w:rPr>
          <w:rFonts w:ascii="Times New Roman" w:hAnsi="Times New Roman" w:cs="Times New Roman"/>
          <w:lang w:val="de-DE"/>
        </w:rPr>
        <w:t>pilnvara</w:t>
      </w:r>
      <w:proofErr w:type="spellEnd"/>
      <w:r>
        <w:rPr>
          <w:rFonts w:ascii="Times New Roman" w:hAnsi="Times New Roman" w:cs="Times New Roman"/>
          <w:lang w:val="de-DE"/>
        </w:rPr>
        <w:t xml:space="preserve">. Tas </w:t>
      </w:r>
      <w:proofErr w:type="spellStart"/>
      <w:r>
        <w:rPr>
          <w:rFonts w:ascii="Times New Roman" w:hAnsi="Times New Roman" w:cs="Times New Roman"/>
          <w:lang w:val="de-DE"/>
        </w:rPr>
        <w:t>tādēļ</w:t>
      </w:r>
      <w:proofErr w:type="spellEnd"/>
      <w:r>
        <w:rPr>
          <w:rFonts w:ascii="Times New Roman" w:hAnsi="Times New Roman" w:cs="Times New Roman"/>
          <w:lang w:val="de-DE"/>
        </w:rPr>
        <w:t xml:space="preserve">, </w:t>
      </w:r>
      <w:proofErr w:type="spellStart"/>
      <w:r>
        <w:rPr>
          <w:rFonts w:ascii="Times New Roman" w:hAnsi="Times New Roman" w:cs="Times New Roman"/>
          <w:lang w:val="de-DE"/>
        </w:rPr>
        <w:t>ka</w:t>
      </w:r>
      <w:proofErr w:type="spellEnd"/>
      <w:r>
        <w:rPr>
          <w:rFonts w:ascii="Times New Roman" w:hAnsi="Times New Roman" w:cs="Times New Roman"/>
          <w:lang w:val="de-DE"/>
        </w:rPr>
        <w:t xml:space="preserve"> </w:t>
      </w:r>
      <w:proofErr w:type="spellStart"/>
      <w:r w:rsidRPr="00894BFC">
        <w:rPr>
          <w:rFonts w:ascii="Times New Roman" w:hAnsi="Times New Roman" w:cs="Times New Roman"/>
          <w:u w:val="single"/>
          <w:lang w:val="de-DE"/>
        </w:rPr>
        <w:t>rakstiska</w:t>
      </w:r>
      <w:proofErr w:type="spellEnd"/>
      <w:r w:rsidRPr="00894BFC">
        <w:rPr>
          <w:rFonts w:ascii="Times New Roman" w:hAnsi="Times New Roman" w:cs="Times New Roman"/>
          <w:u w:val="single"/>
          <w:lang w:val="de-DE"/>
        </w:rPr>
        <w:t xml:space="preserve"> </w:t>
      </w:r>
      <w:proofErr w:type="spellStart"/>
      <w:r w:rsidRPr="00894BFC">
        <w:rPr>
          <w:rFonts w:ascii="Times New Roman" w:hAnsi="Times New Roman" w:cs="Times New Roman"/>
          <w:u w:val="single"/>
          <w:lang w:val="de-DE"/>
        </w:rPr>
        <w:t>pilnvara</w:t>
      </w:r>
      <w:proofErr w:type="spellEnd"/>
      <w:r w:rsidRPr="00894BFC">
        <w:rPr>
          <w:rFonts w:ascii="Times New Roman" w:hAnsi="Times New Roman" w:cs="Times New Roman"/>
          <w:u w:val="single"/>
          <w:lang w:val="de-DE"/>
        </w:rPr>
        <w:t xml:space="preserve"> </w:t>
      </w:r>
      <w:proofErr w:type="spellStart"/>
      <w:r w:rsidRPr="00894BFC">
        <w:rPr>
          <w:rFonts w:ascii="Times New Roman" w:hAnsi="Times New Roman" w:cs="Times New Roman"/>
          <w:u w:val="single"/>
          <w:lang w:val="de-DE"/>
        </w:rPr>
        <w:t>ir</w:t>
      </w:r>
      <w:proofErr w:type="spellEnd"/>
      <w:r w:rsidRPr="00894BFC">
        <w:rPr>
          <w:rFonts w:ascii="Times New Roman" w:hAnsi="Times New Roman" w:cs="Times New Roman"/>
          <w:u w:val="single"/>
          <w:lang w:val="de-DE"/>
        </w:rPr>
        <w:t xml:space="preserve"> </w:t>
      </w:r>
      <w:proofErr w:type="spellStart"/>
      <w:r w:rsidRPr="00894BFC">
        <w:rPr>
          <w:rFonts w:ascii="Times New Roman" w:hAnsi="Times New Roman" w:cs="Times New Roman"/>
          <w:u w:val="single"/>
          <w:lang w:val="de-DE"/>
        </w:rPr>
        <w:t>līguma</w:t>
      </w:r>
      <w:proofErr w:type="spellEnd"/>
      <w:r w:rsidRPr="00894BFC">
        <w:rPr>
          <w:rFonts w:ascii="Times New Roman" w:hAnsi="Times New Roman" w:cs="Times New Roman"/>
          <w:u w:val="single"/>
          <w:lang w:val="de-DE"/>
        </w:rPr>
        <w:t xml:space="preserve"> </w:t>
      </w:r>
      <w:proofErr w:type="spellStart"/>
      <w:r w:rsidRPr="00894BFC">
        <w:rPr>
          <w:rFonts w:ascii="Times New Roman" w:hAnsi="Times New Roman" w:cs="Times New Roman"/>
          <w:u w:val="single"/>
          <w:lang w:val="de-DE"/>
        </w:rPr>
        <w:t>noslēgšanas</w:t>
      </w:r>
      <w:proofErr w:type="spellEnd"/>
      <w:r w:rsidRPr="00894BFC">
        <w:rPr>
          <w:rFonts w:ascii="Times New Roman" w:hAnsi="Times New Roman" w:cs="Times New Roman"/>
          <w:u w:val="single"/>
          <w:lang w:val="de-DE"/>
        </w:rPr>
        <w:t xml:space="preserve"> </w:t>
      </w:r>
      <w:proofErr w:type="spellStart"/>
      <w:r w:rsidRPr="00894BFC">
        <w:rPr>
          <w:rFonts w:ascii="Times New Roman" w:hAnsi="Times New Roman" w:cs="Times New Roman"/>
          <w:u w:val="single"/>
          <w:lang w:val="de-DE"/>
        </w:rPr>
        <w:t>pierādījums</w:t>
      </w:r>
      <w:proofErr w:type="spellEnd"/>
      <w:r>
        <w:rPr>
          <w:rFonts w:ascii="Times New Roman" w:hAnsi="Times New Roman" w:cs="Times New Roman"/>
          <w:lang w:val="de-DE"/>
        </w:rPr>
        <w:t>.</w:t>
      </w:r>
      <w:r>
        <w:rPr>
          <w:rStyle w:val="FootnoteReference"/>
          <w:rFonts w:ascii="Times New Roman" w:hAnsi="Times New Roman" w:cs="Times New Roman"/>
          <w:lang w:val="de-DE"/>
        </w:rPr>
        <w:footnoteReference w:id="28"/>
      </w:r>
      <w:r>
        <w:rPr>
          <w:rFonts w:ascii="Times New Roman" w:hAnsi="Times New Roman" w:cs="Times New Roman"/>
          <w:lang w:val="de-DE"/>
        </w:rPr>
        <w:t xml:space="preserve"> </w:t>
      </w:r>
      <w:proofErr w:type="spellStart"/>
      <w:r>
        <w:rPr>
          <w:rFonts w:ascii="Times New Roman" w:hAnsi="Times New Roman" w:cs="Times New Roman"/>
          <w:lang w:val="de-DE"/>
        </w:rPr>
        <w:t>Līdz</w:t>
      </w:r>
      <w:proofErr w:type="spellEnd"/>
      <w:r>
        <w:rPr>
          <w:rFonts w:ascii="Times New Roman" w:hAnsi="Times New Roman" w:cs="Times New Roman"/>
          <w:lang w:val="de-DE"/>
        </w:rPr>
        <w:t xml:space="preserve"> </w:t>
      </w:r>
      <w:proofErr w:type="spellStart"/>
      <w:r>
        <w:rPr>
          <w:rFonts w:ascii="Times New Roman" w:hAnsi="Times New Roman" w:cs="Times New Roman"/>
          <w:lang w:val="de-DE"/>
        </w:rPr>
        <w:t>ar</w:t>
      </w:r>
      <w:proofErr w:type="spellEnd"/>
      <w:r>
        <w:rPr>
          <w:rFonts w:ascii="Times New Roman" w:hAnsi="Times New Roman" w:cs="Times New Roman"/>
          <w:lang w:val="de-DE"/>
        </w:rPr>
        <w:t xml:space="preserve"> </w:t>
      </w:r>
      <w:proofErr w:type="spellStart"/>
      <w:r>
        <w:rPr>
          <w:rFonts w:ascii="Times New Roman" w:hAnsi="Times New Roman" w:cs="Times New Roman"/>
          <w:lang w:val="de-DE"/>
        </w:rPr>
        <w:t>to</w:t>
      </w:r>
      <w:proofErr w:type="spellEnd"/>
      <w:r>
        <w:rPr>
          <w:rFonts w:ascii="Times New Roman" w:hAnsi="Times New Roman" w:cs="Times New Roman"/>
          <w:lang w:val="de-DE"/>
        </w:rPr>
        <w:t xml:space="preserve"> </w:t>
      </w:r>
      <w:proofErr w:type="spellStart"/>
      <w:r>
        <w:rPr>
          <w:rFonts w:ascii="Times New Roman" w:hAnsi="Times New Roman" w:cs="Times New Roman"/>
          <w:lang w:val="de-DE"/>
        </w:rPr>
        <w:t>var</w:t>
      </w:r>
      <w:proofErr w:type="spellEnd"/>
      <w:r>
        <w:rPr>
          <w:rFonts w:ascii="Times New Roman" w:hAnsi="Times New Roman" w:cs="Times New Roman"/>
          <w:lang w:val="de-DE"/>
        </w:rPr>
        <w:t xml:space="preserve"> </w:t>
      </w:r>
      <w:proofErr w:type="spellStart"/>
      <w:r>
        <w:rPr>
          <w:rFonts w:ascii="Times New Roman" w:hAnsi="Times New Roman" w:cs="Times New Roman"/>
          <w:lang w:val="de-DE"/>
        </w:rPr>
        <w:t>apgalvot</w:t>
      </w:r>
      <w:proofErr w:type="spellEnd"/>
      <w:r>
        <w:rPr>
          <w:rFonts w:ascii="Times New Roman" w:hAnsi="Times New Roman" w:cs="Times New Roman"/>
          <w:lang w:val="de-DE"/>
        </w:rPr>
        <w:t xml:space="preserve">, </w:t>
      </w:r>
      <w:proofErr w:type="spellStart"/>
      <w:r>
        <w:rPr>
          <w:rFonts w:ascii="Times New Roman" w:hAnsi="Times New Roman" w:cs="Times New Roman"/>
          <w:lang w:val="de-DE"/>
        </w:rPr>
        <w:t>ka</w:t>
      </w:r>
      <w:proofErr w:type="spellEnd"/>
      <w:r>
        <w:rPr>
          <w:rFonts w:ascii="Times New Roman" w:hAnsi="Times New Roman" w:cs="Times New Roman"/>
          <w:lang w:val="de-DE"/>
        </w:rPr>
        <w:t xml:space="preserve"> </w:t>
      </w:r>
      <w:proofErr w:type="spellStart"/>
      <w:r>
        <w:rPr>
          <w:rFonts w:ascii="Times New Roman" w:hAnsi="Times New Roman" w:cs="Times New Roman"/>
          <w:lang w:val="de-DE"/>
        </w:rPr>
        <w:t>pilnvarojuma</w:t>
      </w:r>
      <w:proofErr w:type="spellEnd"/>
      <w:r>
        <w:rPr>
          <w:rFonts w:ascii="Times New Roman" w:hAnsi="Times New Roman" w:cs="Times New Roman"/>
          <w:lang w:val="de-DE"/>
        </w:rPr>
        <w:t xml:space="preserve"> </w:t>
      </w:r>
      <w:proofErr w:type="spellStart"/>
      <w:r>
        <w:rPr>
          <w:rFonts w:ascii="Times New Roman" w:hAnsi="Times New Roman" w:cs="Times New Roman"/>
          <w:lang w:val="de-DE"/>
        </w:rPr>
        <w:t>līguma</w:t>
      </w:r>
      <w:proofErr w:type="spellEnd"/>
      <w:r>
        <w:rPr>
          <w:rFonts w:ascii="Times New Roman" w:hAnsi="Times New Roman" w:cs="Times New Roman"/>
          <w:lang w:val="de-DE"/>
        </w:rPr>
        <w:t xml:space="preserve"> </w:t>
      </w:r>
      <w:proofErr w:type="spellStart"/>
      <w:r>
        <w:rPr>
          <w:rFonts w:ascii="Times New Roman" w:hAnsi="Times New Roman" w:cs="Times New Roman"/>
          <w:lang w:val="de-DE"/>
        </w:rPr>
        <w:t>mērķis</w:t>
      </w:r>
      <w:proofErr w:type="spellEnd"/>
      <w:r>
        <w:rPr>
          <w:rFonts w:ascii="Times New Roman" w:hAnsi="Times New Roman" w:cs="Times New Roman"/>
          <w:lang w:val="de-DE"/>
        </w:rPr>
        <w:t xml:space="preserve"> </w:t>
      </w:r>
      <w:proofErr w:type="spellStart"/>
      <w:r>
        <w:rPr>
          <w:rFonts w:ascii="Times New Roman" w:hAnsi="Times New Roman" w:cs="Times New Roman"/>
          <w:lang w:val="de-DE"/>
        </w:rPr>
        <w:t>ir</w:t>
      </w:r>
      <w:proofErr w:type="spellEnd"/>
      <w:r>
        <w:rPr>
          <w:rFonts w:ascii="Times New Roman" w:hAnsi="Times New Roman" w:cs="Times New Roman"/>
          <w:lang w:val="de-DE"/>
        </w:rPr>
        <w:t xml:space="preserve"> </w:t>
      </w:r>
      <w:proofErr w:type="spellStart"/>
      <w:r>
        <w:rPr>
          <w:rFonts w:ascii="Times New Roman" w:hAnsi="Times New Roman" w:cs="Times New Roman"/>
          <w:lang w:val="de-DE"/>
        </w:rPr>
        <w:t>izveidot</w:t>
      </w:r>
      <w:proofErr w:type="spellEnd"/>
      <w:r>
        <w:rPr>
          <w:rFonts w:ascii="Times New Roman" w:hAnsi="Times New Roman" w:cs="Times New Roman"/>
          <w:lang w:val="de-DE"/>
        </w:rPr>
        <w:t xml:space="preserve"> </w:t>
      </w:r>
      <w:proofErr w:type="spellStart"/>
      <w:r>
        <w:rPr>
          <w:rFonts w:ascii="Times New Roman" w:hAnsi="Times New Roman" w:cs="Times New Roman"/>
          <w:lang w:val="de-DE"/>
        </w:rPr>
        <w:t>pārstāvības</w:t>
      </w:r>
      <w:proofErr w:type="spellEnd"/>
      <w:r>
        <w:rPr>
          <w:rFonts w:ascii="Times New Roman" w:hAnsi="Times New Roman" w:cs="Times New Roman"/>
          <w:lang w:val="de-DE"/>
        </w:rPr>
        <w:t xml:space="preserve"> </w:t>
      </w:r>
      <w:proofErr w:type="spellStart"/>
      <w:r>
        <w:rPr>
          <w:rFonts w:ascii="Times New Roman" w:hAnsi="Times New Roman" w:cs="Times New Roman"/>
          <w:lang w:val="de-DE"/>
        </w:rPr>
        <w:t>attiecības</w:t>
      </w:r>
      <w:proofErr w:type="spellEnd"/>
      <w:r>
        <w:rPr>
          <w:rFonts w:ascii="Times New Roman" w:hAnsi="Times New Roman" w:cs="Times New Roman"/>
          <w:lang w:val="de-DE"/>
        </w:rPr>
        <w:t xml:space="preserve"> </w:t>
      </w:r>
      <w:proofErr w:type="spellStart"/>
      <w:r>
        <w:rPr>
          <w:rFonts w:ascii="Times New Roman" w:hAnsi="Times New Roman" w:cs="Times New Roman"/>
          <w:lang w:val="de-DE"/>
        </w:rPr>
        <w:t>un</w:t>
      </w:r>
      <w:proofErr w:type="spellEnd"/>
      <w:r>
        <w:rPr>
          <w:rFonts w:ascii="Times New Roman" w:hAnsi="Times New Roman" w:cs="Times New Roman"/>
          <w:lang w:val="de-DE"/>
        </w:rPr>
        <w:t xml:space="preserve"> </w:t>
      </w:r>
      <w:proofErr w:type="spellStart"/>
      <w:r>
        <w:rPr>
          <w:rFonts w:ascii="Times New Roman" w:hAnsi="Times New Roman" w:cs="Times New Roman"/>
          <w:lang w:val="de-DE"/>
        </w:rPr>
        <w:t>tādējādi</w:t>
      </w:r>
      <w:proofErr w:type="spellEnd"/>
      <w:r>
        <w:rPr>
          <w:rFonts w:ascii="Times New Roman" w:hAnsi="Times New Roman" w:cs="Times New Roman"/>
          <w:lang w:val="de-DE"/>
        </w:rPr>
        <w:t xml:space="preserve"> </w:t>
      </w:r>
      <w:proofErr w:type="spellStart"/>
      <w:r>
        <w:rPr>
          <w:rFonts w:ascii="Times New Roman" w:hAnsi="Times New Roman" w:cs="Times New Roman"/>
          <w:lang w:val="de-DE"/>
        </w:rPr>
        <w:t>šis</w:t>
      </w:r>
      <w:proofErr w:type="spellEnd"/>
      <w:r>
        <w:rPr>
          <w:rFonts w:ascii="Times New Roman" w:hAnsi="Times New Roman" w:cs="Times New Roman"/>
          <w:lang w:val="de-DE"/>
        </w:rPr>
        <w:t xml:space="preserve"> </w:t>
      </w:r>
      <w:proofErr w:type="spellStart"/>
      <w:r>
        <w:rPr>
          <w:rFonts w:ascii="Times New Roman" w:hAnsi="Times New Roman" w:cs="Times New Roman"/>
          <w:lang w:val="de-DE"/>
        </w:rPr>
        <w:t>līgums</w:t>
      </w:r>
      <w:proofErr w:type="spellEnd"/>
      <w:r>
        <w:rPr>
          <w:rFonts w:ascii="Times New Roman" w:hAnsi="Times New Roman" w:cs="Times New Roman"/>
          <w:lang w:val="de-DE"/>
        </w:rPr>
        <w:t xml:space="preserve"> </w:t>
      </w:r>
      <w:proofErr w:type="spellStart"/>
      <w:r>
        <w:rPr>
          <w:rFonts w:ascii="Times New Roman" w:hAnsi="Times New Roman" w:cs="Times New Roman"/>
          <w:lang w:val="de-DE"/>
        </w:rPr>
        <w:t>darbojas</w:t>
      </w:r>
      <w:proofErr w:type="spellEnd"/>
      <w:r>
        <w:rPr>
          <w:rFonts w:ascii="Times New Roman" w:hAnsi="Times New Roman" w:cs="Times New Roman"/>
          <w:lang w:val="de-DE"/>
        </w:rPr>
        <w:t xml:space="preserve"> </w:t>
      </w:r>
      <w:proofErr w:type="spellStart"/>
      <w:r>
        <w:rPr>
          <w:rFonts w:ascii="Times New Roman" w:hAnsi="Times New Roman" w:cs="Times New Roman"/>
          <w:lang w:val="de-DE"/>
        </w:rPr>
        <w:t>divos</w:t>
      </w:r>
      <w:proofErr w:type="spellEnd"/>
      <w:r>
        <w:rPr>
          <w:rFonts w:ascii="Times New Roman" w:hAnsi="Times New Roman" w:cs="Times New Roman"/>
          <w:lang w:val="de-DE"/>
        </w:rPr>
        <w:t xml:space="preserve"> </w:t>
      </w:r>
      <w:proofErr w:type="spellStart"/>
      <w:r>
        <w:rPr>
          <w:rFonts w:ascii="Times New Roman" w:hAnsi="Times New Roman" w:cs="Times New Roman"/>
          <w:lang w:val="de-DE"/>
        </w:rPr>
        <w:t>līmeņos</w:t>
      </w:r>
      <w:proofErr w:type="spellEnd"/>
      <w:r>
        <w:rPr>
          <w:rFonts w:ascii="Times New Roman" w:hAnsi="Times New Roman" w:cs="Times New Roman"/>
          <w:lang w:val="de-DE"/>
        </w:rPr>
        <w:t xml:space="preserve">: </w:t>
      </w:r>
      <w:proofErr w:type="spellStart"/>
      <w:r w:rsidRPr="003372E0">
        <w:rPr>
          <w:rFonts w:ascii="Times New Roman" w:hAnsi="Times New Roman" w:cs="Times New Roman"/>
          <w:b/>
          <w:bCs/>
          <w:lang w:val="de-DE"/>
        </w:rPr>
        <w:t>pirmkārt</w:t>
      </w:r>
      <w:proofErr w:type="spellEnd"/>
      <w:r>
        <w:rPr>
          <w:rFonts w:ascii="Times New Roman" w:hAnsi="Times New Roman" w:cs="Times New Roman"/>
          <w:lang w:val="de-DE"/>
        </w:rPr>
        <w:t xml:space="preserve">, </w:t>
      </w:r>
      <w:proofErr w:type="spellStart"/>
      <w:r>
        <w:rPr>
          <w:rFonts w:ascii="Times New Roman" w:hAnsi="Times New Roman" w:cs="Times New Roman"/>
          <w:lang w:val="de-DE"/>
        </w:rPr>
        <w:t>pilnvarojuma</w:t>
      </w:r>
      <w:proofErr w:type="spellEnd"/>
      <w:r>
        <w:rPr>
          <w:rFonts w:ascii="Times New Roman" w:hAnsi="Times New Roman" w:cs="Times New Roman"/>
          <w:lang w:val="de-DE"/>
        </w:rPr>
        <w:t xml:space="preserve"> </w:t>
      </w:r>
      <w:proofErr w:type="spellStart"/>
      <w:r>
        <w:rPr>
          <w:rFonts w:ascii="Times New Roman" w:hAnsi="Times New Roman" w:cs="Times New Roman"/>
          <w:lang w:val="de-DE"/>
        </w:rPr>
        <w:t>līgums</w:t>
      </w:r>
      <w:proofErr w:type="spellEnd"/>
      <w:r>
        <w:rPr>
          <w:rFonts w:ascii="Times New Roman" w:hAnsi="Times New Roman" w:cs="Times New Roman"/>
          <w:lang w:val="de-DE"/>
        </w:rPr>
        <w:t xml:space="preserve"> </w:t>
      </w:r>
      <w:proofErr w:type="spellStart"/>
      <w:r>
        <w:rPr>
          <w:rFonts w:ascii="Times New Roman" w:hAnsi="Times New Roman" w:cs="Times New Roman"/>
          <w:lang w:val="de-DE"/>
        </w:rPr>
        <w:t>rada</w:t>
      </w:r>
      <w:proofErr w:type="spellEnd"/>
      <w:r>
        <w:rPr>
          <w:rFonts w:ascii="Times New Roman" w:hAnsi="Times New Roman" w:cs="Times New Roman"/>
          <w:lang w:val="de-DE"/>
        </w:rPr>
        <w:t xml:space="preserve"> </w:t>
      </w:r>
      <w:proofErr w:type="spellStart"/>
      <w:r>
        <w:rPr>
          <w:rFonts w:ascii="Times New Roman" w:hAnsi="Times New Roman" w:cs="Times New Roman"/>
          <w:lang w:val="de-DE"/>
        </w:rPr>
        <w:t>saistības</w:t>
      </w:r>
      <w:proofErr w:type="spellEnd"/>
      <w:r>
        <w:rPr>
          <w:rFonts w:ascii="Times New Roman" w:hAnsi="Times New Roman" w:cs="Times New Roman"/>
          <w:lang w:val="de-DE"/>
        </w:rPr>
        <w:t xml:space="preserve"> </w:t>
      </w:r>
      <w:proofErr w:type="spellStart"/>
      <w:r>
        <w:rPr>
          <w:rFonts w:ascii="Times New Roman" w:hAnsi="Times New Roman" w:cs="Times New Roman"/>
          <w:lang w:val="de-DE"/>
        </w:rPr>
        <w:t>starp</w:t>
      </w:r>
      <w:proofErr w:type="spellEnd"/>
      <w:r>
        <w:rPr>
          <w:rFonts w:ascii="Times New Roman" w:hAnsi="Times New Roman" w:cs="Times New Roman"/>
          <w:lang w:val="de-DE"/>
        </w:rPr>
        <w:t xml:space="preserve"> </w:t>
      </w:r>
      <w:proofErr w:type="spellStart"/>
      <w:r>
        <w:rPr>
          <w:rFonts w:ascii="Times New Roman" w:hAnsi="Times New Roman" w:cs="Times New Roman"/>
          <w:lang w:val="de-DE"/>
        </w:rPr>
        <w:t>pilnvarnieku</w:t>
      </w:r>
      <w:proofErr w:type="spellEnd"/>
      <w:r>
        <w:rPr>
          <w:rFonts w:ascii="Times New Roman" w:hAnsi="Times New Roman" w:cs="Times New Roman"/>
          <w:lang w:val="de-DE"/>
        </w:rPr>
        <w:t xml:space="preserve"> </w:t>
      </w:r>
      <w:proofErr w:type="spellStart"/>
      <w:r>
        <w:rPr>
          <w:rFonts w:ascii="Times New Roman" w:hAnsi="Times New Roman" w:cs="Times New Roman"/>
          <w:lang w:val="de-DE"/>
        </w:rPr>
        <w:t>un</w:t>
      </w:r>
      <w:proofErr w:type="spellEnd"/>
      <w:r>
        <w:rPr>
          <w:rFonts w:ascii="Times New Roman" w:hAnsi="Times New Roman" w:cs="Times New Roman"/>
          <w:lang w:val="de-DE"/>
        </w:rPr>
        <w:t xml:space="preserve"> </w:t>
      </w:r>
      <w:proofErr w:type="spellStart"/>
      <w:r>
        <w:rPr>
          <w:rFonts w:ascii="Times New Roman" w:hAnsi="Times New Roman" w:cs="Times New Roman"/>
          <w:lang w:val="de-DE"/>
        </w:rPr>
        <w:t>pilnvarotāju</w:t>
      </w:r>
      <w:proofErr w:type="spellEnd"/>
      <w:r>
        <w:rPr>
          <w:rFonts w:ascii="Times New Roman" w:hAnsi="Times New Roman" w:cs="Times New Roman"/>
          <w:lang w:val="de-DE"/>
        </w:rPr>
        <w:t xml:space="preserve">. </w:t>
      </w:r>
      <w:proofErr w:type="spellStart"/>
      <w:r w:rsidRPr="003372E0">
        <w:rPr>
          <w:rFonts w:ascii="Times New Roman" w:hAnsi="Times New Roman" w:cs="Times New Roman"/>
          <w:b/>
          <w:bCs/>
          <w:lang w:val="de-DE"/>
        </w:rPr>
        <w:t>Otrkārt</w:t>
      </w:r>
      <w:proofErr w:type="spellEnd"/>
      <w:r>
        <w:rPr>
          <w:rFonts w:ascii="Times New Roman" w:hAnsi="Times New Roman" w:cs="Times New Roman"/>
          <w:lang w:val="de-DE"/>
        </w:rPr>
        <w:t xml:space="preserve">, </w:t>
      </w:r>
      <w:proofErr w:type="spellStart"/>
      <w:r>
        <w:rPr>
          <w:rFonts w:ascii="Times New Roman" w:hAnsi="Times New Roman" w:cs="Times New Roman"/>
          <w:lang w:val="de-DE"/>
        </w:rPr>
        <w:t>pilnvarojuma</w:t>
      </w:r>
      <w:proofErr w:type="spellEnd"/>
      <w:r>
        <w:rPr>
          <w:rFonts w:ascii="Times New Roman" w:hAnsi="Times New Roman" w:cs="Times New Roman"/>
          <w:lang w:val="de-DE"/>
        </w:rPr>
        <w:t xml:space="preserve"> </w:t>
      </w:r>
      <w:proofErr w:type="spellStart"/>
      <w:r>
        <w:rPr>
          <w:rFonts w:ascii="Times New Roman" w:hAnsi="Times New Roman" w:cs="Times New Roman"/>
          <w:lang w:val="de-DE"/>
        </w:rPr>
        <w:t>līgums</w:t>
      </w:r>
      <w:proofErr w:type="spellEnd"/>
      <w:r>
        <w:rPr>
          <w:rFonts w:ascii="Times New Roman" w:hAnsi="Times New Roman" w:cs="Times New Roman"/>
          <w:lang w:val="de-DE"/>
        </w:rPr>
        <w:t xml:space="preserve"> </w:t>
      </w:r>
      <w:proofErr w:type="spellStart"/>
      <w:r>
        <w:rPr>
          <w:rFonts w:ascii="Times New Roman" w:hAnsi="Times New Roman" w:cs="Times New Roman"/>
          <w:lang w:val="de-DE"/>
        </w:rPr>
        <w:t>darbojas</w:t>
      </w:r>
      <w:proofErr w:type="spellEnd"/>
      <w:r>
        <w:rPr>
          <w:rFonts w:ascii="Times New Roman" w:hAnsi="Times New Roman" w:cs="Times New Roman"/>
          <w:lang w:val="de-DE"/>
        </w:rPr>
        <w:t xml:space="preserve"> </w:t>
      </w:r>
      <w:proofErr w:type="spellStart"/>
      <w:r>
        <w:rPr>
          <w:rFonts w:ascii="Times New Roman" w:hAnsi="Times New Roman" w:cs="Times New Roman"/>
          <w:lang w:val="de-DE"/>
        </w:rPr>
        <w:t>kā</w:t>
      </w:r>
      <w:proofErr w:type="spellEnd"/>
      <w:r>
        <w:rPr>
          <w:rFonts w:ascii="Times New Roman" w:hAnsi="Times New Roman" w:cs="Times New Roman"/>
          <w:lang w:val="de-DE"/>
        </w:rPr>
        <w:t xml:space="preserve"> </w:t>
      </w:r>
      <w:proofErr w:type="spellStart"/>
      <w:r>
        <w:rPr>
          <w:rFonts w:ascii="Times New Roman" w:hAnsi="Times New Roman" w:cs="Times New Roman"/>
          <w:lang w:val="de-DE"/>
        </w:rPr>
        <w:t>pilnvarojums</w:t>
      </w:r>
      <w:proofErr w:type="spellEnd"/>
      <w:r>
        <w:rPr>
          <w:rFonts w:ascii="Times New Roman" w:hAnsi="Times New Roman" w:cs="Times New Roman"/>
          <w:lang w:val="de-DE"/>
        </w:rPr>
        <w:t xml:space="preserve">, </w:t>
      </w:r>
      <w:proofErr w:type="spellStart"/>
      <w:r>
        <w:rPr>
          <w:rFonts w:ascii="Times New Roman" w:hAnsi="Times New Roman" w:cs="Times New Roman"/>
          <w:lang w:val="de-DE"/>
        </w:rPr>
        <w:t>kas</w:t>
      </w:r>
      <w:proofErr w:type="spellEnd"/>
      <w:r>
        <w:rPr>
          <w:rFonts w:ascii="Times New Roman" w:hAnsi="Times New Roman" w:cs="Times New Roman"/>
          <w:lang w:val="de-DE"/>
        </w:rPr>
        <w:t xml:space="preserve"> </w:t>
      </w:r>
      <w:proofErr w:type="spellStart"/>
      <w:r>
        <w:rPr>
          <w:rFonts w:ascii="Times New Roman" w:hAnsi="Times New Roman" w:cs="Times New Roman"/>
          <w:lang w:val="de-DE"/>
        </w:rPr>
        <w:t>ļauj</w:t>
      </w:r>
      <w:proofErr w:type="spellEnd"/>
      <w:r>
        <w:rPr>
          <w:rFonts w:ascii="Times New Roman" w:hAnsi="Times New Roman" w:cs="Times New Roman"/>
          <w:lang w:val="de-DE"/>
        </w:rPr>
        <w:t xml:space="preserve"> </w:t>
      </w:r>
      <w:proofErr w:type="spellStart"/>
      <w:r>
        <w:rPr>
          <w:rFonts w:ascii="Times New Roman" w:hAnsi="Times New Roman" w:cs="Times New Roman"/>
          <w:lang w:val="de-DE"/>
        </w:rPr>
        <w:t>pilnvarniekam</w:t>
      </w:r>
      <w:proofErr w:type="spellEnd"/>
      <w:r>
        <w:rPr>
          <w:rFonts w:ascii="Times New Roman" w:hAnsi="Times New Roman" w:cs="Times New Roman"/>
          <w:lang w:val="de-DE"/>
        </w:rPr>
        <w:t xml:space="preserve"> </w:t>
      </w:r>
      <w:proofErr w:type="spellStart"/>
      <w:r>
        <w:rPr>
          <w:rFonts w:ascii="Times New Roman" w:hAnsi="Times New Roman" w:cs="Times New Roman"/>
          <w:lang w:val="de-DE"/>
        </w:rPr>
        <w:t>pilnvarotāja</w:t>
      </w:r>
      <w:proofErr w:type="spellEnd"/>
      <w:r>
        <w:rPr>
          <w:rFonts w:ascii="Times New Roman" w:hAnsi="Times New Roman" w:cs="Times New Roman"/>
          <w:lang w:val="de-DE"/>
        </w:rPr>
        <w:t xml:space="preserve"> </w:t>
      </w:r>
      <w:proofErr w:type="spellStart"/>
      <w:r>
        <w:rPr>
          <w:rFonts w:ascii="Times New Roman" w:hAnsi="Times New Roman" w:cs="Times New Roman"/>
          <w:lang w:val="de-DE"/>
        </w:rPr>
        <w:t>vārdā</w:t>
      </w:r>
      <w:proofErr w:type="spellEnd"/>
      <w:r>
        <w:rPr>
          <w:rFonts w:ascii="Times New Roman" w:hAnsi="Times New Roman" w:cs="Times New Roman"/>
          <w:lang w:val="de-DE"/>
        </w:rPr>
        <w:t xml:space="preserve"> </w:t>
      </w:r>
      <w:proofErr w:type="spellStart"/>
      <w:r>
        <w:rPr>
          <w:rFonts w:ascii="Times New Roman" w:hAnsi="Times New Roman" w:cs="Times New Roman"/>
          <w:lang w:val="de-DE"/>
        </w:rPr>
        <w:t>stāties</w:t>
      </w:r>
      <w:proofErr w:type="spellEnd"/>
      <w:r>
        <w:rPr>
          <w:rFonts w:ascii="Times New Roman" w:hAnsi="Times New Roman" w:cs="Times New Roman"/>
          <w:lang w:val="de-DE"/>
        </w:rPr>
        <w:t xml:space="preserve"> </w:t>
      </w:r>
      <w:proofErr w:type="spellStart"/>
      <w:r>
        <w:rPr>
          <w:rFonts w:ascii="Times New Roman" w:hAnsi="Times New Roman" w:cs="Times New Roman"/>
          <w:lang w:val="de-DE"/>
        </w:rPr>
        <w:t>tiesiskajās</w:t>
      </w:r>
      <w:proofErr w:type="spellEnd"/>
      <w:r>
        <w:rPr>
          <w:rFonts w:ascii="Times New Roman" w:hAnsi="Times New Roman" w:cs="Times New Roman"/>
          <w:lang w:val="de-DE"/>
        </w:rPr>
        <w:t xml:space="preserve"> </w:t>
      </w:r>
      <w:proofErr w:type="spellStart"/>
      <w:r>
        <w:rPr>
          <w:rFonts w:ascii="Times New Roman" w:hAnsi="Times New Roman" w:cs="Times New Roman"/>
          <w:lang w:val="de-DE"/>
        </w:rPr>
        <w:t>attiecībās</w:t>
      </w:r>
      <w:proofErr w:type="spellEnd"/>
      <w:r>
        <w:rPr>
          <w:rFonts w:ascii="Times New Roman" w:hAnsi="Times New Roman" w:cs="Times New Roman"/>
          <w:lang w:val="de-DE"/>
        </w:rPr>
        <w:t xml:space="preserve"> </w:t>
      </w:r>
      <w:proofErr w:type="spellStart"/>
      <w:r>
        <w:rPr>
          <w:rFonts w:ascii="Times New Roman" w:hAnsi="Times New Roman" w:cs="Times New Roman"/>
          <w:lang w:val="de-DE"/>
        </w:rPr>
        <w:t>ar</w:t>
      </w:r>
      <w:proofErr w:type="spellEnd"/>
      <w:r>
        <w:rPr>
          <w:rFonts w:ascii="Times New Roman" w:hAnsi="Times New Roman" w:cs="Times New Roman"/>
          <w:lang w:val="de-DE"/>
        </w:rPr>
        <w:t xml:space="preserve"> </w:t>
      </w:r>
      <w:proofErr w:type="spellStart"/>
      <w:r>
        <w:rPr>
          <w:rFonts w:ascii="Times New Roman" w:hAnsi="Times New Roman" w:cs="Times New Roman"/>
          <w:lang w:val="de-DE"/>
        </w:rPr>
        <w:t>trešajām</w:t>
      </w:r>
      <w:proofErr w:type="spellEnd"/>
      <w:r>
        <w:rPr>
          <w:rFonts w:ascii="Times New Roman" w:hAnsi="Times New Roman" w:cs="Times New Roman"/>
          <w:lang w:val="de-DE"/>
        </w:rPr>
        <w:t xml:space="preserve"> </w:t>
      </w:r>
      <w:proofErr w:type="spellStart"/>
      <w:r>
        <w:rPr>
          <w:rFonts w:ascii="Times New Roman" w:hAnsi="Times New Roman" w:cs="Times New Roman"/>
          <w:lang w:val="de-DE"/>
        </w:rPr>
        <w:t>personām</w:t>
      </w:r>
      <w:proofErr w:type="spellEnd"/>
      <w:r>
        <w:rPr>
          <w:rFonts w:ascii="Times New Roman" w:hAnsi="Times New Roman" w:cs="Times New Roman"/>
          <w:lang w:val="de-DE"/>
        </w:rPr>
        <w:t>.</w:t>
      </w:r>
      <w:r>
        <w:rPr>
          <w:rStyle w:val="FootnoteReference"/>
          <w:rFonts w:ascii="Times New Roman" w:hAnsi="Times New Roman" w:cs="Times New Roman"/>
          <w:lang w:val="de-DE"/>
        </w:rPr>
        <w:footnoteReference w:id="29"/>
      </w:r>
      <w:r>
        <w:rPr>
          <w:rFonts w:ascii="Times New Roman" w:hAnsi="Times New Roman" w:cs="Times New Roman"/>
          <w:lang w:val="de-DE"/>
        </w:rPr>
        <w:t xml:space="preserve"> </w:t>
      </w:r>
      <w:proofErr w:type="spellStart"/>
      <w:r>
        <w:rPr>
          <w:rFonts w:ascii="Times New Roman" w:hAnsi="Times New Roman" w:cs="Times New Roman"/>
          <w:lang w:val="de-DE"/>
        </w:rPr>
        <w:t>Pastāv</w:t>
      </w:r>
      <w:proofErr w:type="spellEnd"/>
      <w:r>
        <w:rPr>
          <w:rFonts w:ascii="Times New Roman" w:hAnsi="Times New Roman" w:cs="Times New Roman"/>
          <w:lang w:val="de-DE"/>
        </w:rPr>
        <w:t xml:space="preserve"> </w:t>
      </w:r>
      <w:proofErr w:type="spellStart"/>
      <w:r>
        <w:rPr>
          <w:rFonts w:ascii="Times New Roman" w:hAnsi="Times New Roman" w:cs="Times New Roman"/>
          <w:lang w:val="de-DE"/>
        </w:rPr>
        <w:t>arī</w:t>
      </w:r>
      <w:proofErr w:type="spellEnd"/>
      <w:r>
        <w:rPr>
          <w:rFonts w:ascii="Times New Roman" w:hAnsi="Times New Roman" w:cs="Times New Roman"/>
          <w:lang w:val="de-DE"/>
        </w:rPr>
        <w:t xml:space="preserve"> </w:t>
      </w:r>
      <w:proofErr w:type="spellStart"/>
      <w:r>
        <w:rPr>
          <w:rFonts w:ascii="Times New Roman" w:hAnsi="Times New Roman" w:cs="Times New Roman"/>
          <w:lang w:val="de-DE"/>
        </w:rPr>
        <w:t>galvenais</w:t>
      </w:r>
      <w:proofErr w:type="spellEnd"/>
      <w:r>
        <w:rPr>
          <w:rFonts w:ascii="Times New Roman" w:hAnsi="Times New Roman" w:cs="Times New Roman"/>
          <w:lang w:val="de-DE"/>
        </w:rPr>
        <w:t xml:space="preserve"> </w:t>
      </w:r>
      <w:proofErr w:type="spellStart"/>
      <w:r>
        <w:rPr>
          <w:rFonts w:ascii="Times New Roman" w:hAnsi="Times New Roman" w:cs="Times New Roman"/>
          <w:lang w:val="de-DE"/>
        </w:rPr>
        <w:t>darījums</w:t>
      </w:r>
      <w:proofErr w:type="spellEnd"/>
      <w:r>
        <w:rPr>
          <w:rFonts w:ascii="Times New Roman" w:hAnsi="Times New Roman" w:cs="Times New Roman"/>
          <w:lang w:val="de-DE"/>
        </w:rPr>
        <w:t xml:space="preserve"> (</w:t>
      </w:r>
      <w:proofErr w:type="spellStart"/>
      <w:r>
        <w:rPr>
          <w:rFonts w:ascii="Times New Roman" w:hAnsi="Times New Roman" w:cs="Times New Roman"/>
          <w:lang w:val="de-DE"/>
        </w:rPr>
        <w:t>vācu</w:t>
      </w:r>
      <w:proofErr w:type="spellEnd"/>
      <w:r>
        <w:rPr>
          <w:rFonts w:ascii="Times New Roman" w:hAnsi="Times New Roman" w:cs="Times New Roman"/>
          <w:lang w:val="de-DE"/>
        </w:rPr>
        <w:t xml:space="preserve"> </w:t>
      </w:r>
      <w:proofErr w:type="spellStart"/>
      <w:r>
        <w:rPr>
          <w:rFonts w:ascii="Times New Roman" w:hAnsi="Times New Roman" w:cs="Times New Roman"/>
          <w:lang w:val="de-DE"/>
        </w:rPr>
        <w:t>val</w:t>
      </w:r>
      <w:proofErr w:type="spellEnd"/>
      <w:r>
        <w:rPr>
          <w:rFonts w:ascii="Times New Roman" w:hAnsi="Times New Roman" w:cs="Times New Roman"/>
          <w:lang w:val="de-DE"/>
        </w:rPr>
        <w:t xml:space="preserve">. – </w:t>
      </w:r>
      <w:r>
        <w:rPr>
          <w:rFonts w:ascii="Times New Roman" w:hAnsi="Times New Roman" w:cs="Times New Roman"/>
          <w:i/>
          <w:lang w:val="de-DE"/>
        </w:rPr>
        <w:t>Hauptgesch</w:t>
      </w:r>
      <w:r w:rsidRPr="000C7C76">
        <w:rPr>
          <w:rFonts w:ascii="Times New Roman" w:hAnsi="Times New Roman" w:cs="Times New Roman"/>
          <w:i/>
          <w:lang w:val="de-DE"/>
        </w:rPr>
        <w:t>ä</w:t>
      </w:r>
      <w:r w:rsidRPr="00F33A4E">
        <w:rPr>
          <w:rFonts w:ascii="Times New Roman" w:hAnsi="Times New Roman" w:cs="Times New Roman"/>
          <w:i/>
          <w:lang w:val="de-DE"/>
        </w:rPr>
        <w:t>ft</w:t>
      </w:r>
      <w:r>
        <w:rPr>
          <w:rFonts w:ascii="Times New Roman" w:hAnsi="Times New Roman" w:cs="Times New Roman"/>
          <w:lang w:val="de-DE"/>
        </w:rPr>
        <w:t xml:space="preserve">) </w:t>
      </w:r>
      <w:proofErr w:type="spellStart"/>
      <w:r>
        <w:rPr>
          <w:rFonts w:ascii="Times New Roman" w:hAnsi="Times New Roman" w:cs="Times New Roman"/>
          <w:lang w:val="de-DE"/>
        </w:rPr>
        <w:t>starp</w:t>
      </w:r>
      <w:proofErr w:type="spellEnd"/>
      <w:r>
        <w:rPr>
          <w:rFonts w:ascii="Times New Roman" w:hAnsi="Times New Roman" w:cs="Times New Roman"/>
          <w:lang w:val="de-DE"/>
        </w:rPr>
        <w:t xml:space="preserve"> </w:t>
      </w:r>
      <w:proofErr w:type="spellStart"/>
      <w:r>
        <w:rPr>
          <w:rFonts w:ascii="Times New Roman" w:hAnsi="Times New Roman" w:cs="Times New Roman"/>
          <w:lang w:val="de-DE"/>
        </w:rPr>
        <w:t>pilnvaras</w:t>
      </w:r>
      <w:proofErr w:type="spellEnd"/>
      <w:r>
        <w:rPr>
          <w:rFonts w:ascii="Times New Roman" w:hAnsi="Times New Roman" w:cs="Times New Roman"/>
          <w:lang w:val="de-DE"/>
        </w:rPr>
        <w:t xml:space="preserve"> </w:t>
      </w:r>
      <w:proofErr w:type="spellStart"/>
      <w:r>
        <w:rPr>
          <w:rFonts w:ascii="Times New Roman" w:hAnsi="Times New Roman" w:cs="Times New Roman"/>
          <w:lang w:val="de-DE"/>
        </w:rPr>
        <w:t>devēju</w:t>
      </w:r>
      <w:proofErr w:type="spellEnd"/>
      <w:r>
        <w:rPr>
          <w:rFonts w:ascii="Times New Roman" w:hAnsi="Times New Roman" w:cs="Times New Roman"/>
          <w:lang w:val="de-DE"/>
        </w:rPr>
        <w:t xml:space="preserve"> </w:t>
      </w:r>
      <w:proofErr w:type="spellStart"/>
      <w:r>
        <w:rPr>
          <w:rFonts w:ascii="Times New Roman" w:hAnsi="Times New Roman" w:cs="Times New Roman"/>
          <w:lang w:val="de-DE"/>
        </w:rPr>
        <w:t>un</w:t>
      </w:r>
      <w:proofErr w:type="spellEnd"/>
      <w:r>
        <w:rPr>
          <w:rFonts w:ascii="Times New Roman" w:hAnsi="Times New Roman" w:cs="Times New Roman"/>
          <w:lang w:val="de-DE"/>
        </w:rPr>
        <w:t xml:space="preserve"> </w:t>
      </w:r>
      <w:proofErr w:type="spellStart"/>
      <w:r>
        <w:rPr>
          <w:rFonts w:ascii="Times New Roman" w:hAnsi="Times New Roman" w:cs="Times New Roman"/>
          <w:lang w:val="de-DE"/>
        </w:rPr>
        <w:t>trešo</w:t>
      </w:r>
      <w:proofErr w:type="spellEnd"/>
      <w:r>
        <w:rPr>
          <w:rFonts w:ascii="Times New Roman" w:hAnsi="Times New Roman" w:cs="Times New Roman"/>
          <w:lang w:val="de-DE"/>
        </w:rPr>
        <w:t xml:space="preserve"> </w:t>
      </w:r>
      <w:proofErr w:type="spellStart"/>
      <w:r>
        <w:rPr>
          <w:rFonts w:ascii="Times New Roman" w:hAnsi="Times New Roman" w:cs="Times New Roman"/>
          <w:lang w:val="de-DE"/>
        </w:rPr>
        <w:t>personu</w:t>
      </w:r>
      <w:proofErr w:type="spellEnd"/>
      <w:r>
        <w:rPr>
          <w:rFonts w:ascii="Times New Roman" w:hAnsi="Times New Roman" w:cs="Times New Roman"/>
          <w:lang w:val="de-DE"/>
        </w:rPr>
        <w:t xml:space="preserve"> (</w:t>
      </w:r>
      <w:proofErr w:type="spellStart"/>
      <w:r>
        <w:rPr>
          <w:rFonts w:ascii="Times New Roman" w:hAnsi="Times New Roman" w:cs="Times New Roman"/>
          <w:lang w:val="de-DE"/>
        </w:rPr>
        <w:t>piemēram</w:t>
      </w:r>
      <w:proofErr w:type="spellEnd"/>
      <w:r>
        <w:rPr>
          <w:rFonts w:ascii="Times New Roman" w:hAnsi="Times New Roman" w:cs="Times New Roman"/>
          <w:lang w:val="de-DE"/>
        </w:rPr>
        <w:t xml:space="preserve">, </w:t>
      </w:r>
      <w:proofErr w:type="spellStart"/>
      <w:r>
        <w:rPr>
          <w:rFonts w:ascii="Times New Roman" w:hAnsi="Times New Roman" w:cs="Times New Roman"/>
          <w:lang w:val="de-DE"/>
        </w:rPr>
        <w:t>pirkuma</w:t>
      </w:r>
      <w:proofErr w:type="spellEnd"/>
      <w:r>
        <w:rPr>
          <w:rFonts w:ascii="Times New Roman" w:hAnsi="Times New Roman" w:cs="Times New Roman"/>
          <w:lang w:val="de-DE"/>
        </w:rPr>
        <w:t xml:space="preserve"> </w:t>
      </w:r>
      <w:proofErr w:type="spellStart"/>
      <w:r>
        <w:rPr>
          <w:rFonts w:ascii="Times New Roman" w:hAnsi="Times New Roman" w:cs="Times New Roman"/>
          <w:lang w:val="de-DE"/>
        </w:rPr>
        <w:t>līgums</w:t>
      </w:r>
      <w:proofErr w:type="spellEnd"/>
      <w:r>
        <w:rPr>
          <w:rFonts w:ascii="Times New Roman" w:hAnsi="Times New Roman" w:cs="Times New Roman"/>
          <w:lang w:val="de-DE"/>
        </w:rPr>
        <w:t>).</w:t>
      </w:r>
      <w:r>
        <w:rPr>
          <w:rStyle w:val="FootnoteReference"/>
          <w:rFonts w:ascii="Times New Roman" w:hAnsi="Times New Roman" w:cs="Times New Roman"/>
          <w:lang w:val="de-DE"/>
        </w:rPr>
        <w:footnoteReference w:id="30"/>
      </w:r>
    </w:p>
    <w:p w14:paraId="69892DF6" w14:textId="77777777" w:rsidR="00114953" w:rsidRPr="000C7C76" w:rsidRDefault="00114953" w:rsidP="00114953">
      <w:pPr>
        <w:ind w:firstLine="708"/>
        <w:jc w:val="both"/>
        <w:rPr>
          <w:rFonts w:ascii="Times New Roman" w:hAnsi="Times New Roman" w:cs="Times New Roman"/>
          <w:lang w:val="de-DE"/>
        </w:rPr>
      </w:pPr>
      <w:proofErr w:type="spellStart"/>
      <w:r w:rsidRPr="000C7C76">
        <w:rPr>
          <w:rFonts w:ascii="Times New Roman" w:hAnsi="Times New Roman" w:cs="Times New Roman"/>
          <w:lang w:val="de-DE"/>
        </w:rPr>
        <w:t>Kā</w:t>
      </w:r>
      <w:proofErr w:type="spellEnd"/>
      <w:r w:rsidRPr="000C7C76">
        <w:rPr>
          <w:rFonts w:ascii="Times New Roman" w:hAnsi="Times New Roman" w:cs="Times New Roman"/>
          <w:lang w:val="de-DE"/>
        </w:rPr>
        <w:t xml:space="preserve"> </w:t>
      </w:r>
      <w:proofErr w:type="spellStart"/>
      <w:r w:rsidRPr="000C7C76">
        <w:rPr>
          <w:rFonts w:ascii="Times New Roman" w:hAnsi="Times New Roman" w:cs="Times New Roman"/>
          <w:lang w:val="de-DE"/>
        </w:rPr>
        <w:t>redzams</w:t>
      </w:r>
      <w:proofErr w:type="spellEnd"/>
      <w:r w:rsidRPr="000C7C76">
        <w:rPr>
          <w:rFonts w:ascii="Times New Roman" w:hAnsi="Times New Roman" w:cs="Times New Roman"/>
          <w:lang w:val="de-DE"/>
        </w:rPr>
        <w:t xml:space="preserve">, Latvijas </w:t>
      </w:r>
      <w:proofErr w:type="spellStart"/>
      <w:r w:rsidRPr="000C7C76">
        <w:rPr>
          <w:rFonts w:ascii="Times New Roman" w:hAnsi="Times New Roman" w:cs="Times New Roman"/>
          <w:lang w:val="de-DE"/>
        </w:rPr>
        <w:t>privāttiesībās</w:t>
      </w:r>
      <w:proofErr w:type="spellEnd"/>
      <w:r w:rsidRPr="000C7C76">
        <w:rPr>
          <w:rFonts w:ascii="Times New Roman" w:hAnsi="Times New Roman" w:cs="Times New Roman"/>
          <w:lang w:val="de-DE"/>
        </w:rPr>
        <w:t xml:space="preserve"> </w:t>
      </w:r>
      <w:proofErr w:type="spellStart"/>
      <w:r w:rsidRPr="000C7C76">
        <w:rPr>
          <w:rFonts w:ascii="Times New Roman" w:hAnsi="Times New Roman" w:cs="Times New Roman"/>
          <w:lang w:val="de-DE"/>
        </w:rPr>
        <w:t>tiek</w:t>
      </w:r>
      <w:proofErr w:type="spellEnd"/>
      <w:r w:rsidRPr="000C7C76">
        <w:rPr>
          <w:rFonts w:ascii="Times New Roman" w:hAnsi="Times New Roman" w:cs="Times New Roman"/>
          <w:lang w:val="de-DE"/>
        </w:rPr>
        <w:t xml:space="preserve"> </w:t>
      </w:r>
      <w:proofErr w:type="spellStart"/>
      <w:r w:rsidRPr="000C7C76">
        <w:rPr>
          <w:rFonts w:ascii="Times New Roman" w:hAnsi="Times New Roman" w:cs="Times New Roman"/>
          <w:lang w:val="de-DE"/>
        </w:rPr>
        <w:t>atsevišķi</w:t>
      </w:r>
      <w:proofErr w:type="spellEnd"/>
      <w:r w:rsidRPr="000C7C76">
        <w:rPr>
          <w:rFonts w:ascii="Times New Roman" w:hAnsi="Times New Roman" w:cs="Times New Roman"/>
          <w:lang w:val="de-DE"/>
        </w:rPr>
        <w:t xml:space="preserve"> </w:t>
      </w:r>
      <w:proofErr w:type="spellStart"/>
      <w:r w:rsidRPr="000C7C76">
        <w:rPr>
          <w:rFonts w:ascii="Times New Roman" w:hAnsi="Times New Roman" w:cs="Times New Roman"/>
          <w:lang w:val="de-DE"/>
        </w:rPr>
        <w:t>nodalīts</w:t>
      </w:r>
      <w:proofErr w:type="spellEnd"/>
      <w:r w:rsidRPr="000C7C76">
        <w:rPr>
          <w:rFonts w:ascii="Times New Roman" w:hAnsi="Times New Roman" w:cs="Times New Roman"/>
          <w:lang w:val="de-DE"/>
        </w:rPr>
        <w:t xml:space="preserve"> </w:t>
      </w:r>
      <w:proofErr w:type="spellStart"/>
      <w:r w:rsidRPr="000C7C76">
        <w:rPr>
          <w:rFonts w:ascii="Times New Roman" w:hAnsi="Times New Roman" w:cs="Times New Roman"/>
          <w:lang w:val="de-DE"/>
        </w:rPr>
        <w:t>pilnvarojuma</w:t>
      </w:r>
      <w:proofErr w:type="spellEnd"/>
      <w:r w:rsidRPr="000C7C76">
        <w:rPr>
          <w:rFonts w:ascii="Times New Roman" w:hAnsi="Times New Roman" w:cs="Times New Roman"/>
          <w:lang w:val="de-DE"/>
        </w:rPr>
        <w:t xml:space="preserve"> </w:t>
      </w:r>
      <w:proofErr w:type="spellStart"/>
      <w:r w:rsidRPr="000C7C76">
        <w:rPr>
          <w:rFonts w:ascii="Times New Roman" w:hAnsi="Times New Roman" w:cs="Times New Roman"/>
          <w:lang w:val="de-DE"/>
        </w:rPr>
        <w:t>līgums</w:t>
      </w:r>
      <w:proofErr w:type="spellEnd"/>
      <w:r w:rsidRPr="000C7C76">
        <w:rPr>
          <w:rFonts w:ascii="Times New Roman" w:hAnsi="Times New Roman" w:cs="Times New Roman"/>
          <w:lang w:val="de-DE"/>
        </w:rPr>
        <w:t xml:space="preserve"> (</w:t>
      </w:r>
      <w:proofErr w:type="spellStart"/>
      <w:r w:rsidRPr="000C7C76">
        <w:rPr>
          <w:rFonts w:ascii="Times New Roman" w:hAnsi="Times New Roman" w:cs="Times New Roman"/>
          <w:lang w:val="de-DE"/>
        </w:rPr>
        <w:t>un</w:t>
      </w:r>
      <w:proofErr w:type="spellEnd"/>
      <w:r w:rsidRPr="000C7C76">
        <w:rPr>
          <w:rFonts w:ascii="Times New Roman" w:hAnsi="Times New Roman" w:cs="Times New Roman"/>
          <w:lang w:val="de-DE"/>
        </w:rPr>
        <w:t xml:space="preserve"> </w:t>
      </w:r>
      <w:proofErr w:type="spellStart"/>
      <w:r w:rsidRPr="000C7C76">
        <w:rPr>
          <w:rFonts w:ascii="Times New Roman" w:hAnsi="Times New Roman" w:cs="Times New Roman"/>
          <w:lang w:val="de-DE"/>
        </w:rPr>
        <w:t>tā</w:t>
      </w:r>
      <w:proofErr w:type="spellEnd"/>
      <w:r w:rsidRPr="000C7C76">
        <w:rPr>
          <w:rFonts w:ascii="Times New Roman" w:hAnsi="Times New Roman" w:cs="Times New Roman"/>
          <w:lang w:val="de-DE"/>
        </w:rPr>
        <w:t xml:space="preserve"> forma) </w:t>
      </w:r>
      <w:proofErr w:type="spellStart"/>
      <w:r w:rsidRPr="000C7C76">
        <w:rPr>
          <w:rFonts w:ascii="Times New Roman" w:hAnsi="Times New Roman" w:cs="Times New Roman"/>
          <w:lang w:val="de-DE"/>
        </w:rPr>
        <w:t>un</w:t>
      </w:r>
      <w:proofErr w:type="spellEnd"/>
      <w:r w:rsidRPr="000C7C76">
        <w:rPr>
          <w:rFonts w:ascii="Times New Roman" w:hAnsi="Times New Roman" w:cs="Times New Roman"/>
          <w:lang w:val="de-DE"/>
        </w:rPr>
        <w:t xml:space="preserve"> </w:t>
      </w:r>
      <w:proofErr w:type="spellStart"/>
      <w:r w:rsidRPr="000C7C76">
        <w:rPr>
          <w:rFonts w:ascii="Times New Roman" w:hAnsi="Times New Roman" w:cs="Times New Roman"/>
          <w:lang w:val="de-DE"/>
        </w:rPr>
        <w:t>pilnvara</w:t>
      </w:r>
      <w:proofErr w:type="spellEnd"/>
      <w:r w:rsidRPr="000C7C76">
        <w:rPr>
          <w:rFonts w:ascii="Times New Roman" w:hAnsi="Times New Roman" w:cs="Times New Roman"/>
          <w:lang w:val="de-DE"/>
        </w:rPr>
        <w:t xml:space="preserve"> (</w:t>
      </w:r>
      <w:proofErr w:type="spellStart"/>
      <w:r w:rsidRPr="000C7C76">
        <w:rPr>
          <w:rFonts w:ascii="Times New Roman" w:hAnsi="Times New Roman" w:cs="Times New Roman"/>
          <w:lang w:val="de-DE"/>
        </w:rPr>
        <w:t>un</w:t>
      </w:r>
      <w:proofErr w:type="spellEnd"/>
      <w:r w:rsidRPr="000C7C76">
        <w:rPr>
          <w:rFonts w:ascii="Times New Roman" w:hAnsi="Times New Roman" w:cs="Times New Roman"/>
          <w:lang w:val="de-DE"/>
        </w:rPr>
        <w:t xml:space="preserve"> </w:t>
      </w:r>
      <w:proofErr w:type="spellStart"/>
      <w:r w:rsidRPr="000C7C76">
        <w:rPr>
          <w:rFonts w:ascii="Times New Roman" w:hAnsi="Times New Roman" w:cs="Times New Roman"/>
          <w:lang w:val="de-DE"/>
        </w:rPr>
        <w:t>tās</w:t>
      </w:r>
      <w:proofErr w:type="spellEnd"/>
      <w:r w:rsidRPr="000C7C76">
        <w:rPr>
          <w:rFonts w:ascii="Times New Roman" w:hAnsi="Times New Roman" w:cs="Times New Roman"/>
          <w:lang w:val="de-DE"/>
        </w:rPr>
        <w:t xml:space="preserve"> forma), </w:t>
      </w:r>
      <w:proofErr w:type="spellStart"/>
      <w:r w:rsidRPr="000C7C76">
        <w:rPr>
          <w:rFonts w:ascii="Times New Roman" w:hAnsi="Times New Roman" w:cs="Times New Roman"/>
          <w:lang w:val="de-DE"/>
        </w:rPr>
        <w:t>kā</w:t>
      </w:r>
      <w:proofErr w:type="spellEnd"/>
      <w:r w:rsidRPr="000C7C76">
        <w:rPr>
          <w:rFonts w:ascii="Times New Roman" w:hAnsi="Times New Roman" w:cs="Times New Roman"/>
          <w:lang w:val="de-DE"/>
        </w:rPr>
        <w:t xml:space="preserve"> </w:t>
      </w:r>
      <w:proofErr w:type="spellStart"/>
      <w:r w:rsidRPr="000C7C76">
        <w:rPr>
          <w:rFonts w:ascii="Times New Roman" w:hAnsi="Times New Roman" w:cs="Times New Roman"/>
          <w:lang w:val="de-DE"/>
        </w:rPr>
        <w:t>arī</w:t>
      </w:r>
      <w:proofErr w:type="spellEnd"/>
      <w:r w:rsidRPr="000C7C76">
        <w:rPr>
          <w:rFonts w:ascii="Times New Roman" w:hAnsi="Times New Roman" w:cs="Times New Roman"/>
          <w:lang w:val="de-DE"/>
        </w:rPr>
        <w:t xml:space="preserve">: 1) </w:t>
      </w:r>
      <w:proofErr w:type="spellStart"/>
      <w:r w:rsidRPr="000C7C76">
        <w:rPr>
          <w:rFonts w:ascii="Times New Roman" w:hAnsi="Times New Roman" w:cs="Times New Roman"/>
          <w:lang w:val="de-DE"/>
        </w:rPr>
        <w:t>tiesiskās</w:t>
      </w:r>
      <w:proofErr w:type="spellEnd"/>
      <w:r w:rsidRPr="000C7C76">
        <w:rPr>
          <w:rFonts w:ascii="Times New Roman" w:hAnsi="Times New Roman" w:cs="Times New Roman"/>
          <w:lang w:val="de-DE"/>
        </w:rPr>
        <w:t xml:space="preserve"> </w:t>
      </w:r>
      <w:proofErr w:type="spellStart"/>
      <w:r w:rsidRPr="000C7C76">
        <w:rPr>
          <w:rFonts w:ascii="Times New Roman" w:hAnsi="Times New Roman" w:cs="Times New Roman"/>
          <w:lang w:val="de-DE"/>
        </w:rPr>
        <w:t>attiecības</w:t>
      </w:r>
      <w:proofErr w:type="spellEnd"/>
      <w:r w:rsidRPr="000C7C76">
        <w:rPr>
          <w:rFonts w:ascii="Times New Roman" w:hAnsi="Times New Roman" w:cs="Times New Roman"/>
          <w:lang w:val="de-DE"/>
        </w:rPr>
        <w:t xml:space="preserve"> </w:t>
      </w:r>
      <w:proofErr w:type="spellStart"/>
      <w:r w:rsidRPr="000C7C76">
        <w:rPr>
          <w:rFonts w:ascii="Times New Roman" w:hAnsi="Times New Roman" w:cs="Times New Roman"/>
          <w:lang w:val="de-DE"/>
        </w:rPr>
        <w:t>starp</w:t>
      </w:r>
      <w:proofErr w:type="spellEnd"/>
      <w:r w:rsidRPr="000C7C76">
        <w:rPr>
          <w:rFonts w:ascii="Times New Roman" w:hAnsi="Times New Roman" w:cs="Times New Roman"/>
          <w:lang w:val="de-DE"/>
        </w:rPr>
        <w:t xml:space="preserve"> </w:t>
      </w:r>
      <w:proofErr w:type="spellStart"/>
      <w:r w:rsidRPr="000C7C76">
        <w:rPr>
          <w:rFonts w:ascii="Times New Roman" w:hAnsi="Times New Roman" w:cs="Times New Roman"/>
          <w:lang w:val="de-DE"/>
        </w:rPr>
        <w:t>pilnvarnieku</w:t>
      </w:r>
      <w:proofErr w:type="spellEnd"/>
      <w:r w:rsidRPr="000C7C76">
        <w:rPr>
          <w:rFonts w:ascii="Times New Roman" w:hAnsi="Times New Roman" w:cs="Times New Roman"/>
          <w:lang w:val="de-DE"/>
        </w:rPr>
        <w:t xml:space="preserve"> </w:t>
      </w:r>
      <w:proofErr w:type="spellStart"/>
      <w:r w:rsidRPr="000C7C76">
        <w:rPr>
          <w:rFonts w:ascii="Times New Roman" w:hAnsi="Times New Roman" w:cs="Times New Roman"/>
          <w:lang w:val="de-DE"/>
        </w:rPr>
        <w:t>un</w:t>
      </w:r>
      <w:proofErr w:type="spellEnd"/>
      <w:r w:rsidRPr="000C7C76">
        <w:rPr>
          <w:rFonts w:ascii="Times New Roman" w:hAnsi="Times New Roman" w:cs="Times New Roman"/>
          <w:lang w:val="de-DE"/>
        </w:rPr>
        <w:t xml:space="preserve"> </w:t>
      </w:r>
      <w:proofErr w:type="spellStart"/>
      <w:r w:rsidRPr="000C7C76">
        <w:rPr>
          <w:rFonts w:ascii="Times New Roman" w:hAnsi="Times New Roman" w:cs="Times New Roman"/>
          <w:lang w:val="de-DE"/>
        </w:rPr>
        <w:t>pilnvarotāju</w:t>
      </w:r>
      <w:proofErr w:type="spellEnd"/>
      <w:r w:rsidRPr="000C7C76">
        <w:rPr>
          <w:rFonts w:ascii="Times New Roman" w:hAnsi="Times New Roman" w:cs="Times New Roman"/>
          <w:lang w:val="de-DE"/>
        </w:rPr>
        <w:t xml:space="preserve"> (</w:t>
      </w:r>
      <w:proofErr w:type="spellStart"/>
      <w:r w:rsidRPr="000C7C76">
        <w:rPr>
          <w:rFonts w:ascii="Times New Roman" w:hAnsi="Times New Roman" w:cs="Times New Roman"/>
          <w:lang w:val="de-DE"/>
        </w:rPr>
        <w:t>pilnvaras</w:t>
      </w:r>
      <w:proofErr w:type="spellEnd"/>
      <w:r w:rsidRPr="000C7C76">
        <w:rPr>
          <w:rFonts w:ascii="Times New Roman" w:hAnsi="Times New Roman" w:cs="Times New Roman"/>
          <w:lang w:val="de-DE"/>
        </w:rPr>
        <w:t xml:space="preserve"> </w:t>
      </w:r>
      <w:proofErr w:type="spellStart"/>
      <w:r w:rsidRPr="000C7C76">
        <w:rPr>
          <w:rFonts w:ascii="Times New Roman" w:hAnsi="Times New Roman" w:cs="Times New Roman"/>
          <w:lang w:val="de-DE"/>
        </w:rPr>
        <w:t>devēju</w:t>
      </w:r>
      <w:proofErr w:type="spellEnd"/>
      <w:r w:rsidRPr="000C7C76">
        <w:rPr>
          <w:rFonts w:ascii="Times New Roman" w:hAnsi="Times New Roman" w:cs="Times New Roman"/>
          <w:lang w:val="de-DE"/>
        </w:rPr>
        <w:t xml:space="preserve">) </w:t>
      </w:r>
      <w:proofErr w:type="spellStart"/>
      <w:r w:rsidRPr="000C7C76">
        <w:rPr>
          <w:rFonts w:ascii="Times New Roman" w:hAnsi="Times New Roman" w:cs="Times New Roman"/>
          <w:lang w:val="de-DE"/>
        </w:rPr>
        <w:t>un</w:t>
      </w:r>
      <w:proofErr w:type="spellEnd"/>
      <w:r w:rsidRPr="000C7C76">
        <w:rPr>
          <w:rFonts w:ascii="Times New Roman" w:hAnsi="Times New Roman" w:cs="Times New Roman"/>
          <w:lang w:val="de-DE"/>
        </w:rPr>
        <w:t xml:space="preserve"> 2) </w:t>
      </w:r>
      <w:proofErr w:type="spellStart"/>
      <w:r w:rsidRPr="000C7C76">
        <w:rPr>
          <w:rFonts w:ascii="Times New Roman" w:hAnsi="Times New Roman" w:cs="Times New Roman"/>
          <w:lang w:val="de-DE"/>
        </w:rPr>
        <w:t>šo</w:t>
      </w:r>
      <w:proofErr w:type="spellEnd"/>
      <w:r w:rsidRPr="000C7C76">
        <w:rPr>
          <w:rFonts w:ascii="Times New Roman" w:hAnsi="Times New Roman" w:cs="Times New Roman"/>
          <w:lang w:val="de-DE"/>
        </w:rPr>
        <w:t xml:space="preserve"> </w:t>
      </w:r>
      <w:proofErr w:type="spellStart"/>
      <w:r w:rsidRPr="000C7C76">
        <w:rPr>
          <w:rFonts w:ascii="Times New Roman" w:hAnsi="Times New Roman" w:cs="Times New Roman"/>
          <w:lang w:val="de-DE"/>
        </w:rPr>
        <w:t>abu</w:t>
      </w:r>
      <w:proofErr w:type="spellEnd"/>
      <w:r w:rsidRPr="000C7C76">
        <w:rPr>
          <w:rFonts w:ascii="Times New Roman" w:hAnsi="Times New Roman" w:cs="Times New Roman"/>
          <w:lang w:val="de-DE"/>
        </w:rPr>
        <w:t xml:space="preserve"> </w:t>
      </w:r>
      <w:proofErr w:type="spellStart"/>
      <w:r w:rsidRPr="000C7C76">
        <w:rPr>
          <w:rFonts w:ascii="Times New Roman" w:hAnsi="Times New Roman" w:cs="Times New Roman"/>
          <w:lang w:val="de-DE"/>
        </w:rPr>
        <w:t>līdzēju</w:t>
      </w:r>
      <w:proofErr w:type="spellEnd"/>
      <w:r w:rsidRPr="000C7C76">
        <w:rPr>
          <w:rFonts w:ascii="Times New Roman" w:hAnsi="Times New Roman" w:cs="Times New Roman"/>
          <w:lang w:val="de-DE"/>
        </w:rPr>
        <w:t xml:space="preserve"> </w:t>
      </w:r>
      <w:proofErr w:type="spellStart"/>
      <w:r w:rsidRPr="000C7C76">
        <w:rPr>
          <w:rFonts w:ascii="Times New Roman" w:hAnsi="Times New Roman" w:cs="Times New Roman"/>
          <w:lang w:val="de-DE"/>
        </w:rPr>
        <w:t>attiecības</w:t>
      </w:r>
      <w:proofErr w:type="spellEnd"/>
      <w:r w:rsidRPr="000C7C76">
        <w:rPr>
          <w:rFonts w:ascii="Times New Roman" w:hAnsi="Times New Roman" w:cs="Times New Roman"/>
          <w:lang w:val="de-DE"/>
        </w:rPr>
        <w:t xml:space="preserve"> </w:t>
      </w:r>
      <w:proofErr w:type="spellStart"/>
      <w:r w:rsidRPr="000C7C76">
        <w:rPr>
          <w:rFonts w:ascii="Times New Roman" w:hAnsi="Times New Roman" w:cs="Times New Roman"/>
          <w:lang w:val="de-DE"/>
        </w:rPr>
        <w:t>ar</w:t>
      </w:r>
      <w:proofErr w:type="spellEnd"/>
      <w:r w:rsidRPr="000C7C76">
        <w:rPr>
          <w:rFonts w:ascii="Times New Roman" w:hAnsi="Times New Roman" w:cs="Times New Roman"/>
          <w:lang w:val="de-DE"/>
        </w:rPr>
        <w:t xml:space="preserve"> </w:t>
      </w:r>
      <w:proofErr w:type="spellStart"/>
      <w:r w:rsidRPr="000C7C76">
        <w:rPr>
          <w:rFonts w:ascii="Times New Roman" w:hAnsi="Times New Roman" w:cs="Times New Roman"/>
          <w:lang w:val="de-DE"/>
        </w:rPr>
        <w:t>trešajām</w:t>
      </w:r>
      <w:proofErr w:type="spellEnd"/>
      <w:r w:rsidRPr="000C7C76">
        <w:rPr>
          <w:rFonts w:ascii="Times New Roman" w:hAnsi="Times New Roman" w:cs="Times New Roman"/>
          <w:lang w:val="de-DE"/>
        </w:rPr>
        <w:t xml:space="preserve"> </w:t>
      </w:r>
      <w:proofErr w:type="spellStart"/>
      <w:r w:rsidRPr="000C7C76">
        <w:rPr>
          <w:rFonts w:ascii="Times New Roman" w:hAnsi="Times New Roman" w:cs="Times New Roman"/>
          <w:lang w:val="de-DE"/>
        </w:rPr>
        <w:t>personām</w:t>
      </w:r>
      <w:proofErr w:type="spellEnd"/>
      <w:r w:rsidRPr="000C7C76">
        <w:rPr>
          <w:rFonts w:ascii="Times New Roman" w:hAnsi="Times New Roman" w:cs="Times New Roman"/>
          <w:lang w:val="de-DE"/>
        </w:rPr>
        <w:t xml:space="preserve"> (</w:t>
      </w:r>
      <w:proofErr w:type="spellStart"/>
      <w:r w:rsidRPr="000C7C76">
        <w:rPr>
          <w:rFonts w:ascii="Times New Roman" w:hAnsi="Times New Roman" w:cs="Times New Roman"/>
          <w:lang w:val="de-DE"/>
        </w:rPr>
        <w:t>ar</w:t>
      </w:r>
      <w:proofErr w:type="spellEnd"/>
      <w:r w:rsidRPr="000C7C76">
        <w:rPr>
          <w:rFonts w:ascii="Times New Roman" w:hAnsi="Times New Roman" w:cs="Times New Roman"/>
          <w:lang w:val="de-DE"/>
        </w:rPr>
        <w:t xml:space="preserve"> </w:t>
      </w:r>
      <w:proofErr w:type="spellStart"/>
      <w:r w:rsidRPr="000C7C76">
        <w:rPr>
          <w:rFonts w:ascii="Times New Roman" w:hAnsi="Times New Roman" w:cs="Times New Roman"/>
          <w:lang w:val="de-DE"/>
        </w:rPr>
        <w:t>kurām</w:t>
      </w:r>
      <w:proofErr w:type="spellEnd"/>
      <w:r w:rsidRPr="000C7C76">
        <w:rPr>
          <w:rFonts w:ascii="Times New Roman" w:hAnsi="Times New Roman" w:cs="Times New Roman"/>
          <w:lang w:val="de-DE"/>
        </w:rPr>
        <w:t xml:space="preserve"> </w:t>
      </w:r>
      <w:proofErr w:type="spellStart"/>
      <w:r w:rsidRPr="000C7C76">
        <w:rPr>
          <w:rFonts w:ascii="Times New Roman" w:hAnsi="Times New Roman" w:cs="Times New Roman"/>
          <w:lang w:val="de-DE"/>
        </w:rPr>
        <w:t>pilnvarnieks</w:t>
      </w:r>
      <w:proofErr w:type="spellEnd"/>
      <w:r w:rsidRPr="000C7C76">
        <w:rPr>
          <w:rFonts w:ascii="Times New Roman" w:hAnsi="Times New Roman" w:cs="Times New Roman"/>
          <w:lang w:val="de-DE"/>
        </w:rPr>
        <w:t xml:space="preserve"> </w:t>
      </w:r>
      <w:proofErr w:type="spellStart"/>
      <w:r w:rsidRPr="000C7C76">
        <w:rPr>
          <w:rFonts w:ascii="Times New Roman" w:hAnsi="Times New Roman" w:cs="Times New Roman"/>
          <w:lang w:val="de-DE"/>
        </w:rPr>
        <w:t>slēdz</w:t>
      </w:r>
      <w:proofErr w:type="spellEnd"/>
      <w:r w:rsidRPr="000C7C76">
        <w:rPr>
          <w:rFonts w:ascii="Times New Roman" w:hAnsi="Times New Roman" w:cs="Times New Roman"/>
          <w:lang w:val="de-DE"/>
        </w:rPr>
        <w:t xml:space="preserve"> </w:t>
      </w:r>
      <w:proofErr w:type="spellStart"/>
      <w:r w:rsidRPr="000C7C76">
        <w:rPr>
          <w:rFonts w:ascii="Times New Roman" w:hAnsi="Times New Roman" w:cs="Times New Roman"/>
          <w:lang w:val="de-DE"/>
        </w:rPr>
        <w:t>dažādus</w:t>
      </w:r>
      <w:proofErr w:type="spellEnd"/>
      <w:r w:rsidRPr="000C7C76">
        <w:rPr>
          <w:rFonts w:ascii="Times New Roman" w:hAnsi="Times New Roman" w:cs="Times New Roman"/>
          <w:lang w:val="de-DE"/>
        </w:rPr>
        <w:t xml:space="preserve"> </w:t>
      </w:r>
      <w:proofErr w:type="spellStart"/>
      <w:r w:rsidRPr="000C7C76">
        <w:rPr>
          <w:rFonts w:ascii="Times New Roman" w:hAnsi="Times New Roman" w:cs="Times New Roman"/>
          <w:lang w:val="de-DE"/>
        </w:rPr>
        <w:t>tiesiskos</w:t>
      </w:r>
      <w:proofErr w:type="spellEnd"/>
      <w:r w:rsidRPr="000C7C76">
        <w:rPr>
          <w:rFonts w:ascii="Times New Roman" w:hAnsi="Times New Roman" w:cs="Times New Roman"/>
          <w:lang w:val="de-DE"/>
        </w:rPr>
        <w:t xml:space="preserve"> </w:t>
      </w:r>
      <w:proofErr w:type="spellStart"/>
      <w:r w:rsidRPr="000C7C76">
        <w:rPr>
          <w:rFonts w:ascii="Times New Roman" w:hAnsi="Times New Roman" w:cs="Times New Roman"/>
          <w:lang w:val="de-DE"/>
        </w:rPr>
        <w:t>darījumus</w:t>
      </w:r>
      <w:proofErr w:type="spellEnd"/>
      <w:r w:rsidRPr="000C7C76">
        <w:rPr>
          <w:rFonts w:ascii="Times New Roman" w:hAnsi="Times New Roman" w:cs="Times New Roman"/>
          <w:lang w:val="de-DE"/>
        </w:rPr>
        <w:t xml:space="preserve">). </w:t>
      </w:r>
      <w:proofErr w:type="spellStart"/>
      <w:r w:rsidRPr="000C7C76">
        <w:rPr>
          <w:rFonts w:ascii="Times New Roman" w:hAnsi="Times New Roman" w:cs="Times New Roman"/>
          <w:b/>
          <w:bCs/>
          <w:lang w:val="de-DE"/>
        </w:rPr>
        <w:t>Šis</w:t>
      </w:r>
      <w:proofErr w:type="spellEnd"/>
      <w:r w:rsidRPr="000C7C76">
        <w:rPr>
          <w:rFonts w:ascii="Times New Roman" w:hAnsi="Times New Roman" w:cs="Times New Roman"/>
          <w:b/>
          <w:bCs/>
          <w:lang w:val="de-DE"/>
        </w:rPr>
        <w:t xml:space="preserve"> </w:t>
      </w:r>
      <w:proofErr w:type="spellStart"/>
      <w:r w:rsidRPr="000C7C76">
        <w:rPr>
          <w:rFonts w:ascii="Times New Roman" w:hAnsi="Times New Roman" w:cs="Times New Roman"/>
          <w:b/>
          <w:bCs/>
          <w:lang w:val="de-DE"/>
        </w:rPr>
        <w:t>iedalījums</w:t>
      </w:r>
      <w:proofErr w:type="spellEnd"/>
      <w:r w:rsidRPr="000C7C76">
        <w:rPr>
          <w:rFonts w:ascii="Times New Roman" w:hAnsi="Times New Roman" w:cs="Times New Roman"/>
          <w:b/>
          <w:bCs/>
          <w:lang w:val="de-DE"/>
        </w:rPr>
        <w:t xml:space="preserve"> </w:t>
      </w:r>
      <w:proofErr w:type="spellStart"/>
      <w:r w:rsidRPr="000C7C76">
        <w:rPr>
          <w:rFonts w:ascii="Times New Roman" w:hAnsi="Times New Roman" w:cs="Times New Roman"/>
          <w:b/>
          <w:bCs/>
          <w:lang w:val="de-DE"/>
        </w:rPr>
        <w:t>var</w:t>
      </w:r>
      <w:proofErr w:type="spellEnd"/>
      <w:r w:rsidRPr="000C7C76">
        <w:rPr>
          <w:rFonts w:ascii="Times New Roman" w:hAnsi="Times New Roman" w:cs="Times New Roman"/>
          <w:b/>
          <w:bCs/>
          <w:lang w:val="de-DE"/>
        </w:rPr>
        <w:t xml:space="preserve"> </w:t>
      </w:r>
      <w:proofErr w:type="spellStart"/>
      <w:r w:rsidRPr="000C7C76">
        <w:rPr>
          <w:rFonts w:ascii="Times New Roman" w:hAnsi="Times New Roman" w:cs="Times New Roman"/>
          <w:b/>
          <w:bCs/>
          <w:lang w:val="de-DE"/>
        </w:rPr>
        <w:t>ietekmēt</w:t>
      </w:r>
      <w:proofErr w:type="spellEnd"/>
      <w:r w:rsidRPr="000C7C76">
        <w:rPr>
          <w:rFonts w:ascii="Times New Roman" w:hAnsi="Times New Roman" w:cs="Times New Roman"/>
          <w:b/>
          <w:bCs/>
          <w:lang w:val="de-DE"/>
        </w:rPr>
        <w:t xml:space="preserve"> </w:t>
      </w:r>
      <w:proofErr w:type="spellStart"/>
      <w:r w:rsidRPr="000C7C76">
        <w:rPr>
          <w:rFonts w:ascii="Times New Roman" w:hAnsi="Times New Roman" w:cs="Times New Roman"/>
          <w:b/>
          <w:bCs/>
          <w:lang w:val="de-DE"/>
        </w:rPr>
        <w:t>arī</w:t>
      </w:r>
      <w:proofErr w:type="spellEnd"/>
      <w:r w:rsidRPr="000C7C76">
        <w:rPr>
          <w:rFonts w:ascii="Times New Roman" w:hAnsi="Times New Roman" w:cs="Times New Roman"/>
          <w:b/>
          <w:bCs/>
          <w:lang w:val="de-DE"/>
        </w:rPr>
        <w:t xml:space="preserve"> </w:t>
      </w:r>
      <w:proofErr w:type="spellStart"/>
      <w:r w:rsidRPr="000C7C76">
        <w:rPr>
          <w:rFonts w:ascii="Times New Roman" w:hAnsi="Times New Roman" w:cs="Times New Roman"/>
          <w:b/>
          <w:bCs/>
          <w:lang w:val="de-DE"/>
        </w:rPr>
        <w:t>kolīziju</w:t>
      </w:r>
      <w:proofErr w:type="spellEnd"/>
      <w:r w:rsidRPr="000C7C76">
        <w:rPr>
          <w:rFonts w:ascii="Times New Roman" w:hAnsi="Times New Roman" w:cs="Times New Roman"/>
          <w:b/>
          <w:bCs/>
          <w:lang w:val="de-DE"/>
        </w:rPr>
        <w:t xml:space="preserve"> </w:t>
      </w:r>
      <w:proofErr w:type="spellStart"/>
      <w:r w:rsidRPr="000C7C76">
        <w:rPr>
          <w:rFonts w:ascii="Times New Roman" w:hAnsi="Times New Roman" w:cs="Times New Roman"/>
          <w:b/>
          <w:bCs/>
          <w:lang w:val="de-DE"/>
        </w:rPr>
        <w:t>normu</w:t>
      </w:r>
      <w:proofErr w:type="spellEnd"/>
      <w:r w:rsidRPr="000C7C76">
        <w:rPr>
          <w:rFonts w:ascii="Times New Roman" w:hAnsi="Times New Roman" w:cs="Times New Roman"/>
          <w:b/>
          <w:bCs/>
          <w:lang w:val="de-DE"/>
        </w:rPr>
        <w:t xml:space="preserve"> </w:t>
      </w:r>
      <w:proofErr w:type="spellStart"/>
      <w:r w:rsidRPr="000C7C76">
        <w:rPr>
          <w:rFonts w:ascii="Times New Roman" w:hAnsi="Times New Roman" w:cs="Times New Roman"/>
          <w:b/>
          <w:bCs/>
          <w:lang w:val="de-DE"/>
        </w:rPr>
        <w:t>izvēli</w:t>
      </w:r>
      <w:proofErr w:type="spellEnd"/>
      <w:r w:rsidRPr="000C7C76">
        <w:rPr>
          <w:rFonts w:ascii="Times New Roman" w:hAnsi="Times New Roman" w:cs="Times New Roman"/>
          <w:b/>
          <w:bCs/>
          <w:lang w:val="de-DE"/>
        </w:rPr>
        <w:t xml:space="preserve">, </w:t>
      </w:r>
      <w:proofErr w:type="spellStart"/>
      <w:r w:rsidRPr="000C7C76">
        <w:rPr>
          <w:rFonts w:ascii="Times New Roman" w:hAnsi="Times New Roman" w:cs="Times New Roman"/>
          <w:lang w:val="de-DE"/>
        </w:rPr>
        <w:t>proti</w:t>
      </w:r>
      <w:proofErr w:type="spellEnd"/>
      <w:r w:rsidRPr="000C7C76">
        <w:rPr>
          <w:rFonts w:ascii="Times New Roman" w:hAnsi="Times New Roman" w:cs="Times New Roman"/>
          <w:lang w:val="de-DE"/>
        </w:rPr>
        <w:t xml:space="preserve">, </w:t>
      </w:r>
      <w:proofErr w:type="spellStart"/>
      <w:r w:rsidRPr="000C7C76">
        <w:rPr>
          <w:rFonts w:ascii="Times New Roman" w:hAnsi="Times New Roman" w:cs="Times New Roman"/>
          <w:lang w:val="de-DE"/>
        </w:rPr>
        <w:t>ārējās</w:t>
      </w:r>
      <w:proofErr w:type="spellEnd"/>
      <w:r w:rsidRPr="000C7C76">
        <w:rPr>
          <w:rFonts w:ascii="Times New Roman" w:hAnsi="Times New Roman" w:cs="Times New Roman"/>
          <w:lang w:val="de-DE"/>
        </w:rPr>
        <w:t xml:space="preserve"> </w:t>
      </w:r>
      <w:proofErr w:type="spellStart"/>
      <w:r w:rsidRPr="000C7C76">
        <w:rPr>
          <w:rFonts w:ascii="Times New Roman" w:hAnsi="Times New Roman" w:cs="Times New Roman"/>
          <w:lang w:val="de-DE"/>
        </w:rPr>
        <w:t>tiesiskās</w:t>
      </w:r>
      <w:proofErr w:type="spellEnd"/>
      <w:r w:rsidRPr="000C7C76">
        <w:rPr>
          <w:rFonts w:ascii="Times New Roman" w:hAnsi="Times New Roman" w:cs="Times New Roman"/>
          <w:lang w:val="de-DE"/>
        </w:rPr>
        <w:t xml:space="preserve"> </w:t>
      </w:r>
      <w:proofErr w:type="spellStart"/>
      <w:r w:rsidRPr="000C7C76">
        <w:rPr>
          <w:rFonts w:ascii="Times New Roman" w:hAnsi="Times New Roman" w:cs="Times New Roman"/>
          <w:lang w:val="de-DE"/>
        </w:rPr>
        <w:t>attiecības</w:t>
      </w:r>
      <w:proofErr w:type="spellEnd"/>
      <w:r w:rsidRPr="000C7C76">
        <w:rPr>
          <w:rFonts w:ascii="Times New Roman" w:hAnsi="Times New Roman" w:cs="Times New Roman"/>
          <w:lang w:val="de-DE"/>
        </w:rPr>
        <w:t xml:space="preserve"> (</w:t>
      </w:r>
      <w:proofErr w:type="spellStart"/>
      <w:r w:rsidRPr="000C7C76">
        <w:rPr>
          <w:rFonts w:ascii="Times New Roman" w:hAnsi="Times New Roman" w:cs="Times New Roman"/>
          <w:lang w:val="de-DE"/>
        </w:rPr>
        <w:t>angļu</w:t>
      </w:r>
      <w:proofErr w:type="spellEnd"/>
      <w:r w:rsidRPr="000C7C76">
        <w:rPr>
          <w:rFonts w:ascii="Times New Roman" w:hAnsi="Times New Roman" w:cs="Times New Roman"/>
          <w:lang w:val="de-DE"/>
        </w:rPr>
        <w:t xml:space="preserve"> </w:t>
      </w:r>
      <w:proofErr w:type="spellStart"/>
      <w:r w:rsidRPr="000C7C76">
        <w:rPr>
          <w:rFonts w:ascii="Times New Roman" w:hAnsi="Times New Roman" w:cs="Times New Roman"/>
          <w:lang w:val="de-DE"/>
        </w:rPr>
        <w:t>val</w:t>
      </w:r>
      <w:proofErr w:type="spellEnd"/>
      <w:r w:rsidRPr="000C7C76">
        <w:rPr>
          <w:rFonts w:ascii="Times New Roman" w:hAnsi="Times New Roman" w:cs="Times New Roman"/>
          <w:lang w:val="de-DE"/>
        </w:rPr>
        <w:t xml:space="preserve">. – </w:t>
      </w:r>
      <w:proofErr w:type="spellStart"/>
      <w:proofErr w:type="gramStart"/>
      <w:r w:rsidRPr="000C7C76">
        <w:rPr>
          <w:rFonts w:ascii="Times New Roman" w:hAnsi="Times New Roman" w:cs="Times New Roman"/>
          <w:i/>
          <w:lang w:val="de-DE"/>
        </w:rPr>
        <w:t>authority</w:t>
      </w:r>
      <w:proofErr w:type="spellEnd"/>
      <w:r w:rsidRPr="000C7C76">
        <w:rPr>
          <w:rFonts w:ascii="Times New Roman" w:hAnsi="Times New Roman" w:cs="Times New Roman"/>
          <w:lang w:val="de-DE"/>
        </w:rPr>
        <w:t> ;</w:t>
      </w:r>
      <w:proofErr w:type="gramEnd"/>
      <w:r w:rsidRPr="000C7C76">
        <w:rPr>
          <w:rFonts w:ascii="Times New Roman" w:hAnsi="Times New Roman" w:cs="Times New Roman"/>
          <w:lang w:val="de-DE"/>
        </w:rPr>
        <w:t xml:space="preserve"> </w:t>
      </w:r>
      <w:proofErr w:type="spellStart"/>
      <w:r w:rsidRPr="000C7C76">
        <w:rPr>
          <w:rFonts w:ascii="Times New Roman" w:hAnsi="Times New Roman" w:cs="Times New Roman"/>
          <w:lang w:val="de-DE"/>
        </w:rPr>
        <w:t>vācu</w:t>
      </w:r>
      <w:proofErr w:type="spellEnd"/>
      <w:r w:rsidRPr="000C7C76">
        <w:rPr>
          <w:rFonts w:ascii="Times New Roman" w:hAnsi="Times New Roman" w:cs="Times New Roman"/>
          <w:lang w:val="de-DE"/>
        </w:rPr>
        <w:t xml:space="preserve"> </w:t>
      </w:r>
      <w:proofErr w:type="spellStart"/>
      <w:r w:rsidRPr="000C7C76">
        <w:rPr>
          <w:rFonts w:ascii="Times New Roman" w:hAnsi="Times New Roman" w:cs="Times New Roman"/>
          <w:lang w:val="de-DE"/>
        </w:rPr>
        <w:t>val</w:t>
      </w:r>
      <w:proofErr w:type="spellEnd"/>
      <w:r w:rsidRPr="000C7C76">
        <w:rPr>
          <w:rFonts w:ascii="Times New Roman" w:hAnsi="Times New Roman" w:cs="Times New Roman"/>
          <w:lang w:val="de-DE"/>
        </w:rPr>
        <w:t xml:space="preserve">. – </w:t>
      </w:r>
      <w:r w:rsidRPr="000C7C76">
        <w:rPr>
          <w:rFonts w:ascii="Times New Roman" w:hAnsi="Times New Roman" w:cs="Times New Roman"/>
          <w:i/>
          <w:lang w:val="de-DE"/>
        </w:rPr>
        <w:t>Au</w:t>
      </w:r>
      <w:r w:rsidRPr="00C82B8B">
        <w:rPr>
          <w:rFonts w:ascii="Times New Roman" w:hAnsi="Times New Roman" w:cs="Times New Roman"/>
          <w:i/>
        </w:rPr>
        <w:t>β</w:t>
      </w:r>
      <w:proofErr w:type="spellStart"/>
      <w:r w:rsidRPr="000C7C76">
        <w:rPr>
          <w:rFonts w:ascii="Times New Roman" w:hAnsi="Times New Roman" w:cs="Times New Roman"/>
          <w:i/>
          <w:lang w:val="de-DE"/>
        </w:rPr>
        <w:t>enverhältnis</w:t>
      </w:r>
      <w:proofErr w:type="spellEnd"/>
      <w:r w:rsidRPr="000C7C76">
        <w:rPr>
          <w:rFonts w:ascii="Times New Roman" w:hAnsi="Times New Roman" w:cs="Times New Roman"/>
          <w:lang w:val="de-DE"/>
        </w:rPr>
        <w:t xml:space="preserve">) </w:t>
      </w:r>
      <w:proofErr w:type="spellStart"/>
      <w:r w:rsidRPr="000C7C76">
        <w:rPr>
          <w:rFonts w:ascii="Times New Roman" w:hAnsi="Times New Roman" w:cs="Times New Roman"/>
          <w:lang w:val="de-DE"/>
        </w:rPr>
        <w:t>starp</w:t>
      </w:r>
      <w:proofErr w:type="spellEnd"/>
      <w:r w:rsidRPr="000C7C76">
        <w:rPr>
          <w:rFonts w:ascii="Times New Roman" w:hAnsi="Times New Roman" w:cs="Times New Roman"/>
          <w:lang w:val="de-DE"/>
        </w:rPr>
        <w:t xml:space="preserve"> </w:t>
      </w:r>
      <w:proofErr w:type="spellStart"/>
      <w:r w:rsidRPr="000C7C76">
        <w:rPr>
          <w:rFonts w:ascii="Times New Roman" w:hAnsi="Times New Roman" w:cs="Times New Roman"/>
          <w:lang w:val="de-DE"/>
        </w:rPr>
        <w:t>trešo</w:t>
      </w:r>
      <w:proofErr w:type="spellEnd"/>
      <w:r w:rsidRPr="000C7C76">
        <w:rPr>
          <w:rFonts w:ascii="Times New Roman" w:hAnsi="Times New Roman" w:cs="Times New Roman"/>
          <w:lang w:val="de-DE"/>
        </w:rPr>
        <w:t xml:space="preserve"> </w:t>
      </w:r>
      <w:proofErr w:type="spellStart"/>
      <w:r w:rsidRPr="000C7C76">
        <w:rPr>
          <w:rFonts w:ascii="Times New Roman" w:hAnsi="Times New Roman" w:cs="Times New Roman"/>
          <w:lang w:val="de-DE"/>
        </w:rPr>
        <w:t>personu</w:t>
      </w:r>
      <w:proofErr w:type="spellEnd"/>
      <w:r w:rsidRPr="000C7C76">
        <w:rPr>
          <w:rFonts w:ascii="Times New Roman" w:hAnsi="Times New Roman" w:cs="Times New Roman"/>
          <w:lang w:val="de-DE"/>
        </w:rPr>
        <w:t xml:space="preserve"> </w:t>
      </w:r>
      <w:proofErr w:type="spellStart"/>
      <w:r w:rsidRPr="000C7C76">
        <w:rPr>
          <w:rFonts w:ascii="Times New Roman" w:hAnsi="Times New Roman" w:cs="Times New Roman"/>
          <w:lang w:val="de-DE"/>
        </w:rPr>
        <w:t>un</w:t>
      </w:r>
      <w:proofErr w:type="spellEnd"/>
      <w:r w:rsidRPr="000C7C76">
        <w:rPr>
          <w:rFonts w:ascii="Times New Roman" w:hAnsi="Times New Roman" w:cs="Times New Roman"/>
          <w:lang w:val="de-DE"/>
        </w:rPr>
        <w:t xml:space="preserve"> </w:t>
      </w:r>
      <w:proofErr w:type="spellStart"/>
      <w:r w:rsidRPr="000C7C76">
        <w:rPr>
          <w:rFonts w:ascii="Times New Roman" w:hAnsi="Times New Roman" w:cs="Times New Roman"/>
          <w:lang w:val="de-DE"/>
        </w:rPr>
        <w:t>pilnvaras</w:t>
      </w:r>
      <w:proofErr w:type="spellEnd"/>
      <w:r w:rsidRPr="000C7C76">
        <w:rPr>
          <w:rFonts w:ascii="Times New Roman" w:hAnsi="Times New Roman" w:cs="Times New Roman"/>
          <w:lang w:val="de-DE"/>
        </w:rPr>
        <w:t xml:space="preserve"> </w:t>
      </w:r>
      <w:proofErr w:type="spellStart"/>
      <w:r w:rsidRPr="000C7C76">
        <w:rPr>
          <w:rFonts w:ascii="Times New Roman" w:hAnsi="Times New Roman" w:cs="Times New Roman"/>
          <w:lang w:val="de-DE"/>
        </w:rPr>
        <w:t>devēju</w:t>
      </w:r>
      <w:proofErr w:type="spellEnd"/>
      <w:r w:rsidRPr="000C7C76">
        <w:rPr>
          <w:rFonts w:ascii="Times New Roman" w:hAnsi="Times New Roman" w:cs="Times New Roman"/>
          <w:lang w:val="de-DE"/>
        </w:rPr>
        <w:t xml:space="preserve"> </w:t>
      </w:r>
      <w:proofErr w:type="spellStart"/>
      <w:r w:rsidRPr="000C7C76">
        <w:rPr>
          <w:rFonts w:ascii="Times New Roman" w:hAnsi="Times New Roman" w:cs="Times New Roman"/>
          <w:lang w:val="de-DE"/>
        </w:rPr>
        <w:t>mēdz</w:t>
      </w:r>
      <w:proofErr w:type="spellEnd"/>
      <w:r w:rsidRPr="000C7C76">
        <w:rPr>
          <w:rFonts w:ascii="Times New Roman" w:hAnsi="Times New Roman" w:cs="Times New Roman"/>
          <w:lang w:val="de-DE"/>
        </w:rPr>
        <w:t xml:space="preserve"> </w:t>
      </w:r>
      <w:proofErr w:type="spellStart"/>
      <w:r w:rsidRPr="000C7C76">
        <w:rPr>
          <w:rFonts w:ascii="Times New Roman" w:hAnsi="Times New Roman" w:cs="Times New Roman"/>
          <w:lang w:val="de-DE"/>
        </w:rPr>
        <w:t>nodalīt</w:t>
      </w:r>
      <w:proofErr w:type="spellEnd"/>
      <w:r w:rsidRPr="000C7C76">
        <w:rPr>
          <w:rFonts w:ascii="Times New Roman" w:hAnsi="Times New Roman" w:cs="Times New Roman"/>
          <w:lang w:val="de-DE"/>
        </w:rPr>
        <w:t xml:space="preserve"> </w:t>
      </w:r>
      <w:proofErr w:type="spellStart"/>
      <w:r w:rsidRPr="000C7C76">
        <w:rPr>
          <w:rFonts w:ascii="Times New Roman" w:hAnsi="Times New Roman" w:cs="Times New Roman"/>
          <w:lang w:val="de-DE"/>
        </w:rPr>
        <w:t>no</w:t>
      </w:r>
      <w:proofErr w:type="spellEnd"/>
      <w:r w:rsidRPr="000C7C76">
        <w:rPr>
          <w:rFonts w:ascii="Times New Roman" w:hAnsi="Times New Roman" w:cs="Times New Roman"/>
          <w:lang w:val="de-DE"/>
        </w:rPr>
        <w:t xml:space="preserve"> </w:t>
      </w:r>
      <w:proofErr w:type="spellStart"/>
      <w:r w:rsidRPr="000C7C76">
        <w:rPr>
          <w:rFonts w:ascii="Times New Roman" w:hAnsi="Times New Roman" w:cs="Times New Roman"/>
          <w:lang w:val="de-DE"/>
        </w:rPr>
        <w:t>iekšējām</w:t>
      </w:r>
      <w:proofErr w:type="spellEnd"/>
      <w:r w:rsidRPr="000C7C76">
        <w:rPr>
          <w:rFonts w:ascii="Times New Roman" w:hAnsi="Times New Roman" w:cs="Times New Roman"/>
          <w:lang w:val="de-DE"/>
        </w:rPr>
        <w:t xml:space="preserve"> </w:t>
      </w:r>
      <w:proofErr w:type="spellStart"/>
      <w:r w:rsidRPr="000C7C76">
        <w:rPr>
          <w:rFonts w:ascii="Times New Roman" w:hAnsi="Times New Roman" w:cs="Times New Roman"/>
          <w:lang w:val="de-DE"/>
        </w:rPr>
        <w:t>tiesiskajām</w:t>
      </w:r>
      <w:proofErr w:type="spellEnd"/>
      <w:r w:rsidRPr="000C7C76">
        <w:rPr>
          <w:rFonts w:ascii="Times New Roman" w:hAnsi="Times New Roman" w:cs="Times New Roman"/>
          <w:lang w:val="de-DE"/>
        </w:rPr>
        <w:t xml:space="preserve"> </w:t>
      </w:r>
      <w:proofErr w:type="spellStart"/>
      <w:r w:rsidRPr="000C7C76">
        <w:rPr>
          <w:rFonts w:ascii="Times New Roman" w:hAnsi="Times New Roman" w:cs="Times New Roman"/>
          <w:lang w:val="de-DE"/>
        </w:rPr>
        <w:t>attiecībām</w:t>
      </w:r>
      <w:proofErr w:type="spellEnd"/>
      <w:r w:rsidRPr="000C7C76">
        <w:rPr>
          <w:rFonts w:ascii="Times New Roman" w:hAnsi="Times New Roman" w:cs="Times New Roman"/>
          <w:lang w:val="de-DE"/>
        </w:rPr>
        <w:t xml:space="preserve">, </w:t>
      </w:r>
      <w:proofErr w:type="spellStart"/>
      <w:r w:rsidRPr="000C7C76">
        <w:rPr>
          <w:rFonts w:ascii="Times New Roman" w:hAnsi="Times New Roman" w:cs="Times New Roman"/>
          <w:lang w:val="de-DE"/>
        </w:rPr>
        <w:t>kas</w:t>
      </w:r>
      <w:proofErr w:type="spellEnd"/>
      <w:r w:rsidRPr="000C7C76">
        <w:rPr>
          <w:rFonts w:ascii="Times New Roman" w:hAnsi="Times New Roman" w:cs="Times New Roman"/>
          <w:lang w:val="de-DE"/>
        </w:rPr>
        <w:t xml:space="preserve"> </w:t>
      </w:r>
      <w:proofErr w:type="spellStart"/>
      <w:r w:rsidRPr="000C7C76">
        <w:rPr>
          <w:rFonts w:ascii="Times New Roman" w:hAnsi="Times New Roman" w:cs="Times New Roman"/>
          <w:lang w:val="de-DE"/>
        </w:rPr>
        <w:t>pastāv</w:t>
      </w:r>
      <w:proofErr w:type="spellEnd"/>
      <w:r w:rsidRPr="000C7C76">
        <w:rPr>
          <w:rFonts w:ascii="Times New Roman" w:hAnsi="Times New Roman" w:cs="Times New Roman"/>
          <w:lang w:val="de-DE"/>
        </w:rPr>
        <w:t xml:space="preserve"> </w:t>
      </w:r>
      <w:proofErr w:type="spellStart"/>
      <w:r w:rsidRPr="000C7C76">
        <w:rPr>
          <w:rFonts w:ascii="Times New Roman" w:hAnsi="Times New Roman" w:cs="Times New Roman"/>
          <w:lang w:val="de-DE"/>
        </w:rPr>
        <w:t>pilnvarojuma</w:t>
      </w:r>
      <w:proofErr w:type="spellEnd"/>
      <w:r w:rsidRPr="000C7C76">
        <w:rPr>
          <w:rFonts w:ascii="Times New Roman" w:hAnsi="Times New Roman" w:cs="Times New Roman"/>
          <w:lang w:val="de-DE"/>
        </w:rPr>
        <w:t xml:space="preserve"> </w:t>
      </w:r>
      <w:proofErr w:type="spellStart"/>
      <w:r w:rsidRPr="000C7C76">
        <w:rPr>
          <w:rFonts w:ascii="Times New Roman" w:hAnsi="Times New Roman" w:cs="Times New Roman"/>
          <w:lang w:val="de-DE"/>
        </w:rPr>
        <w:t>līguma</w:t>
      </w:r>
      <w:proofErr w:type="spellEnd"/>
      <w:r w:rsidRPr="000C7C76">
        <w:rPr>
          <w:rFonts w:ascii="Times New Roman" w:hAnsi="Times New Roman" w:cs="Times New Roman"/>
          <w:lang w:val="de-DE"/>
        </w:rPr>
        <w:t xml:space="preserve"> </w:t>
      </w:r>
      <w:proofErr w:type="spellStart"/>
      <w:r w:rsidRPr="000C7C76">
        <w:rPr>
          <w:rFonts w:ascii="Times New Roman" w:hAnsi="Times New Roman" w:cs="Times New Roman"/>
          <w:lang w:val="de-DE"/>
        </w:rPr>
        <w:t>ietvaros</w:t>
      </w:r>
      <w:proofErr w:type="spellEnd"/>
      <w:r w:rsidRPr="000C7C76">
        <w:rPr>
          <w:rFonts w:ascii="Times New Roman" w:hAnsi="Times New Roman" w:cs="Times New Roman"/>
          <w:lang w:val="de-DE"/>
        </w:rPr>
        <w:t xml:space="preserve"> </w:t>
      </w:r>
      <w:proofErr w:type="spellStart"/>
      <w:r w:rsidRPr="000C7C76">
        <w:rPr>
          <w:rFonts w:ascii="Times New Roman" w:hAnsi="Times New Roman" w:cs="Times New Roman"/>
          <w:lang w:val="de-DE"/>
        </w:rPr>
        <w:t>starp</w:t>
      </w:r>
      <w:proofErr w:type="spellEnd"/>
      <w:r w:rsidRPr="000C7C76">
        <w:rPr>
          <w:rFonts w:ascii="Times New Roman" w:hAnsi="Times New Roman" w:cs="Times New Roman"/>
          <w:lang w:val="de-DE"/>
        </w:rPr>
        <w:t xml:space="preserve"> </w:t>
      </w:r>
      <w:proofErr w:type="spellStart"/>
      <w:r w:rsidRPr="000C7C76">
        <w:rPr>
          <w:rFonts w:ascii="Times New Roman" w:hAnsi="Times New Roman" w:cs="Times New Roman"/>
          <w:lang w:val="de-DE"/>
        </w:rPr>
        <w:t>pilnvarnieku</w:t>
      </w:r>
      <w:proofErr w:type="spellEnd"/>
      <w:r w:rsidRPr="000C7C76">
        <w:rPr>
          <w:rFonts w:ascii="Times New Roman" w:hAnsi="Times New Roman" w:cs="Times New Roman"/>
          <w:lang w:val="de-DE"/>
        </w:rPr>
        <w:t xml:space="preserve"> </w:t>
      </w:r>
      <w:proofErr w:type="spellStart"/>
      <w:r w:rsidRPr="000C7C76">
        <w:rPr>
          <w:rFonts w:ascii="Times New Roman" w:hAnsi="Times New Roman" w:cs="Times New Roman"/>
          <w:lang w:val="de-DE"/>
        </w:rPr>
        <w:t>un</w:t>
      </w:r>
      <w:proofErr w:type="spellEnd"/>
      <w:r w:rsidRPr="000C7C76">
        <w:rPr>
          <w:rFonts w:ascii="Times New Roman" w:hAnsi="Times New Roman" w:cs="Times New Roman"/>
          <w:lang w:val="de-DE"/>
        </w:rPr>
        <w:t xml:space="preserve"> </w:t>
      </w:r>
      <w:proofErr w:type="spellStart"/>
      <w:r w:rsidRPr="000C7C76">
        <w:rPr>
          <w:rFonts w:ascii="Times New Roman" w:hAnsi="Times New Roman" w:cs="Times New Roman"/>
          <w:lang w:val="de-DE"/>
        </w:rPr>
        <w:t>pilnvaras</w:t>
      </w:r>
      <w:proofErr w:type="spellEnd"/>
      <w:r w:rsidRPr="000C7C76">
        <w:rPr>
          <w:rFonts w:ascii="Times New Roman" w:hAnsi="Times New Roman" w:cs="Times New Roman"/>
          <w:lang w:val="de-DE"/>
        </w:rPr>
        <w:t xml:space="preserve"> </w:t>
      </w:r>
      <w:proofErr w:type="spellStart"/>
      <w:r w:rsidRPr="000C7C76">
        <w:rPr>
          <w:rFonts w:ascii="Times New Roman" w:hAnsi="Times New Roman" w:cs="Times New Roman"/>
          <w:lang w:val="de-DE"/>
        </w:rPr>
        <w:t>devēju</w:t>
      </w:r>
      <w:proofErr w:type="spellEnd"/>
      <w:r w:rsidRPr="000C7C76">
        <w:rPr>
          <w:rFonts w:ascii="Times New Roman" w:hAnsi="Times New Roman" w:cs="Times New Roman"/>
          <w:lang w:val="de-DE"/>
        </w:rPr>
        <w:t xml:space="preserve"> (</w:t>
      </w:r>
      <w:proofErr w:type="spellStart"/>
      <w:r w:rsidRPr="000C7C76">
        <w:rPr>
          <w:rFonts w:ascii="Times New Roman" w:hAnsi="Times New Roman" w:cs="Times New Roman"/>
          <w:lang w:val="de-DE"/>
        </w:rPr>
        <w:t>angļu</w:t>
      </w:r>
      <w:proofErr w:type="spellEnd"/>
      <w:r w:rsidRPr="000C7C76">
        <w:rPr>
          <w:rFonts w:ascii="Times New Roman" w:hAnsi="Times New Roman" w:cs="Times New Roman"/>
          <w:lang w:val="de-DE"/>
        </w:rPr>
        <w:t xml:space="preserve"> </w:t>
      </w:r>
      <w:proofErr w:type="spellStart"/>
      <w:r w:rsidRPr="000C7C76">
        <w:rPr>
          <w:rFonts w:ascii="Times New Roman" w:hAnsi="Times New Roman" w:cs="Times New Roman"/>
          <w:lang w:val="de-DE"/>
        </w:rPr>
        <w:t>val</w:t>
      </w:r>
      <w:proofErr w:type="spellEnd"/>
      <w:r w:rsidRPr="000C7C76">
        <w:rPr>
          <w:rFonts w:ascii="Times New Roman" w:hAnsi="Times New Roman" w:cs="Times New Roman"/>
          <w:lang w:val="de-DE"/>
        </w:rPr>
        <w:t xml:space="preserve">. – </w:t>
      </w:r>
      <w:proofErr w:type="spellStart"/>
      <w:r w:rsidRPr="000C7C76">
        <w:rPr>
          <w:rFonts w:ascii="Times New Roman" w:hAnsi="Times New Roman" w:cs="Times New Roman"/>
          <w:i/>
          <w:lang w:val="de-DE"/>
        </w:rPr>
        <w:t>agency</w:t>
      </w:r>
      <w:proofErr w:type="spellEnd"/>
      <w:r w:rsidRPr="000C7C76">
        <w:rPr>
          <w:rFonts w:ascii="Times New Roman" w:hAnsi="Times New Roman" w:cs="Times New Roman"/>
          <w:i/>
          <w:lang w:val="de-DE"/>
        </w:rPr>
        <w:t xml:space="preserve"> </w:t>
      </w:r>
      <w:proofErr w:type="spellStart"/>
      <w:proofErr w:type="gramStart"/>
      <w:r w:rsidRPr="000C7C76">
        <w:rPr>
          <w:rFonts w:ascii="Times New Roman" w:hAnsi="Times New Roman" w:cs="Times New Roman"/>
          <w:i/>
          <w:lang w:val="de-DE"/>
        </w:rPr>
        <w:t>relationship</w:t>
      </w:r>
      <w:proofErr w:type="spellEnd"/>
      <w:r w:rsidRPr="000C7C76">
        <w:rPr>
          <w:rFonts w:ascii="Times New Roman" w:hAnsi="Times New Roman" w:cs="Times New Roman"/>
          <w:i/>
          <w:lang w:val="de-DE"/>
        </w:rPr>
        <w:t> </w:t>
      </w:r>
      <w:r w:rsidRPr="000C7C76">
        <w:rPr>
          <w:rFonts w:ascii="Times New Roman" w:hAnsi="Times New Roman" w:cs="Times New Roman"/>
          <w:lang w:val="de-DE"/>
        </w:rPr>
        <w:t>;</w:t>
      </w:r>
      <w:proofErr w:type="gramEnd"/>
      <w:r w:rsidRPr="000C7C76">
        <w:rPr>
          <w:rFonts w:ascii="Times New Roman" w:hAnsi="Times New Roman" w:cs="Times New Roman"/>
          <w:lang w:val="de-DE"/>
        </w:rPr>
        <w:t xml:space="preserve"> </w:t>
      </w:r>
      <w:proofErr w:type="spellStart"/>
      <w:r w:rsidRPr="000C7C76">
        <w:rPr>
          <w:rFonts w:ascii="Times New Roman" w:hAnsi="Times New Roman" w:cs="Times New Roman"/>
          <w:lang w:val="de-DE"/>
        </w:rPr>
        <w:t>vācu</w:t>
      </w:r>
      <w:proofErr w:type="spellEnd"/>
      <w:r w:rsidRPr="000C7C76">
        <w:rPr>
          <w:rFonts w:ascii="Times New Roman" w:hAnsi="Times New Roman" w:cs="Times New Roman"/>
          <w:lang w:val="de-DE"/>
        </w:rPr>
        <w:t xml:space="preserve"> </w:t>
      </w:r>
      <w:proofErr w:type="spellStart"/>
      <w:r w:rsidRPr="000C7C76">
        <w:rPr>
          <w:rFonts w:ascii="Times New Roman" w:hAnsi="Times New Roman" w:cs="Times New Roman"/>
          <w:lang w:val="de-DE"/>
        </w:rPr>
        <w:t>val</w:t>
      </w:r>
      <w:proofErr w:type="spellEnd"/>
      <w:r w:rsidRPr="000C7C76">
        <w:rPr>
          <w:rFonts w:ascii="Times New Roman" w:hAnsi="Times New Roman" w:cs="Times New Roman"/>
          <w:lang w:val="de-DE"/>
        </w:rPr>
        <w:t xml:space="preserve">. – </w:t>
      </w:r>
      <w:r w:rsidRPr="000C7C76">
        <w:rPr>
          <w:rFonts w:ascii="Times New Roman" w:hAnsi="Times New Roman" w:cs="Times New Roman"/>
          <w:i/>
          <w:lang w:val="de-DE"/>
        </w:rPr>
        <w:t>Innenverhältnis</w:t>
      </w:r>
      <w:r w:rsidRPr="000C7C76">
        <w:rPr>
          <w:rFonts w:ascii="Times New Roman" w:hAnsi="Times New Roman" w:cs="Times New Roman"/>
          <w:lang w:val="de-DE"/>
        </w:rPr>
        <w:t>).</w:t>
      </w:r>
      <w:r>
        <w:rPr>
          <w:rStyle w:val="FootnoteReference"/>
          <w:rFonts w:ascii="Times New Roman" w:hAnsi="Times New Roman" w:cs="Times New Roman"/>
        </w:rPr>
        <w:footnoteReference w:id="31"/>
      </w:r>
      <w:r w:rsidRPr="000C7C76">
        <w:rPr>
          <w:rFonts w:ascii="Times New Roman" w:hAnsi="Times New Roman" w:cs="Times New Roman"/>
          <w:lang w:val="de-DE"/>
        </w:rPr>
        <w:t xml:space="preserve"> </w:t>
      </w:r>
    </w:p>
    <w:p w14:paraId="4EB5220A" w14:textId="77777777" w:rsidR="00114953" w:rsidRPr="000C7C76" w:rsidRDefault="00114953" w:rsidP="00114953">
      <w:pPr>
        <w:ind w:firstLine="708"/>
        <w:jc w:val="both"/>
        <w:rPr>
          <w:rFonts w:ascii="Times New Roman" w:hAnsi="Times New Roman" w:cs="Times New Roman"/>
          <w:lang w:val="de-DE"/>
        </w:rPr>
      </w:pPr>
      <w:proofErr w:type="spellStart"/>
      <w:r w:rsidRPr="000C7C76">
        <w:rPr>
          <w:rFonts w:ascii="Times New Roman" w:hAnsi="Times New Roman" w:cs="Times New Roman"/>
          <w:lang w:val="de-DE"/>
        </w:rPr>
        <w:t>Līdz</w:t>
      </w:r>
      <w:proofErr w:type="spellEnd"/>
      <w:r w:rsidRPr="000C7C76">
        <w:rPr>
          <w:rFonts w:ascii="Times New Roman" w:hAnsi="Times New Roman" w:cs="Times New Roman"/>
          <w:lang w:val="de-DE"/>
        </w:rPr>
        <w:t xml:space="preserve"> </w:t>
      </w:r>
      <w:proofErr w:type="spellStart"/>
      <w:r w:rsidRPr="000C7C76">
        <w:rPr>
          <w:rFonts w:ascii="Times New Roman" w:hAnsi="Times New Roman" w:cs="Times New Roman"/>
          <w:lang w:val="de-DE"/>
        </w:rPr>
        <w:t>ar</w:t>
      </w:r>
      <w:proofErr w:type="spellEnd"/>
      <w:r w:rsidRPr="000C7C76">
        <w:rPr>
          <w:rFonts w:ascii="Times New Roman" w:hAnsi="Times New Roman" w:cs="Times New Roman"/>
          <w:lang w:val="de-DE"/>
        </w:rPr>
        <w:t xml:space="preserve"> </w:t>
      </w:r>
      <w:proofErr w:type="spellStart"/>
      <w:r w:rsidRPr="000C7C76">
        <w:rPr>
          <w:rFonts w:ascii="Times New Roman" w:hAnsi="Times New Roman" w:cs="Times New Roman"/>
          <w:lang w:val="de-DE"/>
        </w:rPr>
        <w:t>to</w:t>
      </w:r>
      <w:proofErr w:type="spellEnd"/>
      <w:r w:rsidRPr="000C7C76">
        <w:rPr>
          <w:rFonts w:ascii="Times New Roman" w:hAnsi="Times New Roman" w:cs="Times New Roman"/>
          <w:lang w:val="de-DE"/>
        </w:rPr>
        <w:t xml:space="preserve"> SPT </w:t>
      </w:r>
      <w:proofErr w:type="spellStart"/>
      <w:r w:rsidRPr="000C7C76">
        <w:rPr>
          <w:rFonts w:ascii="Times New Roman" w:hAnsi="Times New Roman" w:cs="Times New Roman"/>
          <w:lang w:val="de-DE"/>
        </w:rPr>
        <w:t>šajā</w:t>
      </w:r>
      <w:proofErr w:type="spellEnd"/>
      <w:r w:rsidRPr="000C7C76">
        <w:rPr>
          <w:rFonts w:ascii="Times New Roman" w:hAnsi="Times New Roman" w:cs="Times New Roman"/>
          <w:lang w:val="de-DE"/>
        </w:rPr>
        <w:t xml:space="preserve"> </w:t>
      </w:r>
      <w:proofErr w:type="spellStart"/>
      <w:r w:rsidRPr="000C7C76">
        <w:rPr>
          <w:rFonts w:ascii="Times New Roman" w:hAnsi="Times New Roman" w:cs="Times New Roman"/>
          <w:lang w:val="de-DE"/>
        </w:rPr>
        <w:t>jautājumā</w:t>
      </w:r>
      <w:proofErr w:type="spellEnd"/>
      <w:r w:rsidRPr="000C7C76">
        <w:rPr>
          <w:rFonts w:ascii="Times New Roman" w:hAnsi="Times New Roman" w:cs="Times New Roman"/>
          <w:lang w:val="de-DE"/>
        </w:rPr>
        <w:t xml:space="preserve"> </w:t>
      </w:r>
      <w:proofErr w:type="spellStart"/>
      <w:r w:rsidRPr="000C7C76">
        <w:rPr>
          <w:rFonts w:ascii="Times New Roman" w:hAnsi="Times New Roman" w:cs="Times New Roman"/>
          <w:lang w:val="de-DE"/>
        </w:rPr>
        <w:t>izdala</w:t>
      </w:r>
      <w:proofErr w:type="spellEnd"/>
      <w:r w:rsidRPr="000C7C76">
        <w:rPr>
          <w:rFonts w:ascii="Times New Roman" w:hAnsi="Times New Roman" w:cs="Times New Roman"/>
          <w:lang w:val="de-DE"/>
        </w:rPr>
        <w:t xml:space="preserve"> </w:t>
      </w:r>
      <w:proofErr w:type="spellStart"/>
      <w:r w:rsidRPr="000C7C76">
        <w:rPr>
          <w:rFonts w:ascii="Times New Roman" w:hAnsi="Times New Roman" w:cs="Times New Roman"/>
          <w:lang w:val="de-DE"/>
        </w:rPr>
        <w:t>vairākus</w:t>
      </w:r>
      <w:proofErr w:type="spellEnd"/>
      <w:r w:rsidRPr="000C7C76">
        <w:rPr>
          <w:rFonts w:ascii="Times New Roman" w:hAnsi="Times New Roman" w:cs="Times New Roman"/>
          <w:lang w:val="de-DE"/>
        </w:rPr>
        <w:t xml:space="preserve"> </w:t>
      </w:r>
      <w:proofErr w:type="spellStart"/>
      <w:r w:rsidRPr="000C7C76">
        <w:rPr>
          <w:rFonts w:ascii="Times New Roman" w:hAnsi="Times New Roman" w:cs="Times New Roman"/>
          <w:lang w:val="de-DE"/>
        </w:rPr>
        <w:t>atsevišķus</w:t>
      </w:r>
      <w:proofErr w:type="spellEnd"/>
      <w:r w:rsidRPr="000C7C76">
        <w:rPr>
          <w:rFonts w:ascii="Times New Roman" w:hAnsi="Times New Roman" w:cs="Times New Roman"/>
          <w:lang w:val="de-DE"/>
        </w:rPr>
        <w:t xml:space="preserve"> </w:t>
      </w:r>
      <w:proofErr w:type="spellStart"/>
      <w:r w:rsidRPr="000C7C76">
        <w:rPr>
          <w:rFonts w:ascii="Times New Roman" w:hAnsi="Times New Roman" w:cs="Times New Roman"/>
          <w:lang w:val="de-DE"/>
        </w:rPr>
        <w:t>statūtus</w:t>
      </w:r>
      <w:proofErr w:type="spellEnd"/>
      <w:r w:rsidRPr="000C7C76">
        <w:rPr>
          <w:rFonts w:ascii="Times New Roman" w:hAnsi="Times New Roman" w:cs="Times New Roman"/>
          <w:lang w:val="de-DE"/>
        </w:rPr>
        <w:t xml:space="preserve">: </w:t>
      </w:r>
    </w:p>
    <w:p w14:paraId="15E7B426" w14:textId="77777777" w:rsidR="00114953" w:rsidRPr="000C7C76" w:rsidRDefault="00114953" w:rsidP="00114953">
      <w:pPr>
        <w:jc w:val="both"/>
        <w:rPr>
          <w:rFonts w:ascii="Times New Roman" w:hAnsi="Times New Roman" w:cs="Times New Roman"/>
          <w:lang w:val="de-DE"/>
        </w:rPr>
      </w:pPr>
      <w:r w:rsidRPr="000C7C76">
        <w:rPr>
          <w:rFonts w:ascii="Times New Roman" w:hAnsi="Times New Roman" w:cs="Times New Roman"/>
          <w:lang w:val="de-DE"/>
        </w:rPr>
        <w:t xml:space="preserve">1) </w:t>
      </w:r>
      <w:proofErr w:type="spellStart"/>
      <w:r w:rsidRPr="000C7C76">
        <w:rPr>
          <w:rFonts w:ascii="Times New Roman" w:hAnsi="Times New Roman" w:cs="Times New Roman"/>
          <w:lang w:val="de-DE"/>
        </w:rPr>
        <w:t>pilnvaras</w:t>
      </w:r>
      <w:proofErr w:type="spellEnd"/>
      <w:r w:rsidRPr="000C7C76">
        <w:rPr>
          <w:rFonts w:ascii="Times New Roman" w:hAnsi="Times New Roman" w:cs="Times New Roman"/>
          <w:lang w:val="de-DE"/>
        </w:rPr>
        <w:t xml:space="preserve"> </w:t>
      </w:r>
      <w:proofErr w:type="spellStart"/>
      <w:r w:rsidRPr="000C7C76">
        <w:rPr>
          <w:rFonts w:ascii="Times New Roman" w:hAnsi="Times New Roman" w:cs="Times New Roman"/>
          <w:lang w:val="de-DE"/>
        </w:rPr>
        <w:t>statūtu</w:t>
      </w:r>
      <w:proofErr w:type="spellEnd"/>
      <w:r w:rsidRPr="000C7C76">
        <w:rPr>
          <w:rFonts w:ascii="Times New Roman" w:hAnsi="Times New Roman" w:cs="Times New Roman"/>
          <w:lang w:val="de-DE"/>
        </w:rPr>
        <w:t xml:space="preserve"> </w:t>
      </w:r>
      <w:proofErr w:type="spellStart"/>
      <w:r w:rsidRPr="000C7C76">
        <w:rPr>
          <w:rFonts w:ascii="Times New Roman" w:hAnsi="Times New Roman" w:cs="Times New Roman"/>
          <w:lang w:val="de-DE"/>
        </w:rPr>
        <w:t>jeb</w:t>
      </w:r>
      <w:proofErr w:type="spellEnd"/>
      <w:r w:rsidRPr="000C7C76">
        <w:rPr>
          <w:rFonts w:ascii="Times New Roman" w:hAnsi="Times New Roman" w:cs="Times New Roman"/>
          <w:lang w:val="de-DE"/>
        </w:rPr>
        <w:t xml:space="preserve"> </w:t>
      </w:r>
      <w:proofErr w:type="spellStart"/>
      <w:r w:rsidRPr="000C7C76">
        <w:rPr>
          <w:rFonts w:ascii="Times New Roman" w:hAnsi="Times New Roman" w:cs="Times New Roman"/>
          <w:lang w:val="de-DE"/>
        </w:rPr>
        <w:t>pilnvarai</w:t>
      </w:r>
      <w:proofErr w:type="spellEnd"/>
      <w:r w:rsidRPr="000C7C76">
        <w:rPr>
          <w:rFonts w:ascii="Times New Roman" w:hAnsi="Times New Roman" w:cs="Times New Roman"/>
          <w:lang w:val="de-DE"/>
        </w:rPr>
        <w:t xml:space="preserve"> </w:t>
      </w:r>
      <w:proofErr w:type="spellStart"/>
      <w:r w:rsidRPr="000C7C76">
        <w:rPr>
          <w:rFonts w:ascii="Times New Roman" w:hAnsi="Times New Roman" w:cs="Times New Roman"/>
          <w:lang w:val="de-DE"/>
        </w:rPr>
        <w:t>piemērojamo</w:t>
      </w:r>
      <w:proofErr w:type="spellEnd"/>
      <w:r w:rsidRPr="000C7C76">
        <w:rPr>
          <w:rFonts w:ascii="Times New Roman" w:hAnsi="Times New Roman" w:cs="Times New Roman"/>
          <w:lang w:val="de-DE"/>
        </w:rPr>
        <w:t xml:space="preserve"> </w:t>
      </w:r>
      <w:proofErr w:type="spellStart"/>
      <w:r w:rsidRPr="000C7C76">
        <w:rPr>
          <w:rFonts w:ascii="Times New Roman" w:hAnsi="Times New Roman" w:cs="Times New Roman"/>
          <w:lang w:val="de-DE"/>
        </w:rPr>
        <w:t>likumu</w:t>
      </w:r>
      <w:proofErr w:type="spellEnd"/>
      <w:r w:rsidRPr="000C7C76">
        <w:rPr>
          <w:rFonts w:ascii="Times New Roman" w:hAnsi="Times New Roman" w:cs="Times New Roman"/>
          <w:lang w:val="de-DE"/>
        </w:rPr>
        <w:t xml:space="preserve"> (</w:t>
      </w:r>
      <w:proofErr w:type="spellStart"/>
      <w:r w:rsidRPr="000C7C76">
        <w:rPr>
          <w:rFonts w:ascii="Times New Roman" w:hAnsi="Times New Roman" w:cs="Times New Roman"/>
          <w:lang w:val="de-DE"/>
        </w:rPr>
        <w:t>vācu</w:t>
      </w:r>
      <w:proofErr w:type="spellEnd"/>
      <w:r w:rsidRPr="000C7C76">
        <w:rPr>
          <w:rFonts w:ascii="Times New Roman" w:hAnsi="Times New Roman" w:cs="Times New Roman"/>
          <w:lang w:val="de-DE"/>
        </w:rPr>
        <w:t xml:space="preserve"> </w:t>
      </w:r>
      <w:proofErr w:type="spellStart"/>
      <w:r w:rsidRPr="000C7C76">
        <w:rPr>
          <w:rFonts w:ascii="Times New Roman" w:hAnsi="Times New Roman" w:cs="Times New Roman"/>
          <w:lang w:val="de-DE"/>
        </w:rPr>
        <w:t>val</w:t>
      </w:r>
      <w:proofErr w:type="spellEnd"/>
      <w:r w:rsidRPr="000C7C76">
        <w:rPr>
          <w:rFonts w:ascii="Times New Roman" w:hAnsi="Times New Roman" w:cs="Times New Roman"/>
          <w:lang w:val="de-DE"/>
        </w:rPr>
        <w:t xml:space="preserve">. – </w:t>
      </w:r>
      <w:r w:rsidRPr="000C7C76">
        <w:rPr>
          <w:rFonts w:ascii="Times New Roman" w:hAnsi="Times New Roman" w:cs="Times New Roman"/>
          <w:i/>
          <w:lang w:val="de-DE"/>
        </w:rPr>
        <w:t>Vollmachtstatut</w:t>
      </w:r>
      <w:proofErr w:type="gramStart"/>
      <w:r w:rsidRPr="000C7C76">
        <w:rPr>
          <w:rFonts w:ascii="Times New Roman" w:hAnsi="Times New Roman" w:cs="Times New Roman"/>
          <w:lang w:val="de-DE"/>
        </w:rPr>
        <w:t>) ;</w:t>
      </w:r>
      <w:proofErr w:type="gramEnd"/>
      <w:r w:rsidRPr="000C7C76">
        <w:rPr>
          <w:rFonts w:ascii="Times New Roman" w:hAnsi="Times New Roman" w:cs="Times New Roman"/>
          <w:lang w:val="de-DE"/>
        </w:rPr>
        <w:t xml:space="preserve"> </w:t>
      </w:r>
    </w:p>
    <w:p w14:paraId="74F6D976" w14:textId="77777777" w:rsidR="00114953" w:rsidRPr="000C7C76" w:rsidRDefault="00114953" w:rsidP="00114953">
      <w:pPr>
        <w:jc w:val="both"/>
        <w:rPr>
          <w:rFonts w:ascii="Times New Roman" w:hAnsi="Times New Roman" w:cs="Times New Roman"/>
          <w:lang w:val="de-DE"/>
        </w:rPr>
      </w:pPr>
      <w:r w:rsidRPr="000C7C76">
        <w:rPr>
          <w:rFonts w:ascii="Times New Roman" w:hAnsi="Times New Roman" w:cs="Times New Roman"/>
          <w:lang w:val="de-DE"/>
        </w:rPr>
        <w:t xml:space="preserve">2) </w:t>
      </w:r>
      <w:proofErr w:type="spellStart"/>
      <w:r w:rsidRPr="000C7C76">
        <w:rPr>
          <w:rFonts w:ascii="Times New Roman" w:hAnsi="Times New Roman" w:cs="Times New Roman"/>
          <w:lang w:val="de-DE"/>
        </w:rPr>
        <w:t>iekšējo</w:t>
      </w:r>
      <w:proofErr w:type="spellEnd"/>
      <w:r w:rsidRPr="000C7C76">
        <w:rPr>
          <w:rFonts w:ascii="Times New Roman" w:hAnsi="Times New Roman" w:cs="Times New Roman"/>
          <w:lang w:val="de-DE"/>
        </w:rPr>
        <w:t xml:space="preserve"> </w:t>
      </w:r>
      <w:proofErr w:type="spellStart"/>
      <w:r w:rsidRPr="000C7C76">
        <w:rPr>
          <w:rFonts w:ascii="Times New Roman" w:hAnsi="Times New Roman" w:cs="Times New Roman"/>
          <w:lang w:val="de-DE"/>
        </w:rPr>
        <w:t>statūtu</w:t>
      </w:r>
      <w:proofErr w:type="spellEnd"/>
      <w:r w:rsidRPr="000C7C76">
        <w:rPr>
          <w:rFonts w:ascii="Times New Roman" w:hAnsi="Times New Roman" w:cs="Times New Roman"/>
          <w:lang w:val="de-DE"/>
        </w:rPr>
        <w:t xml:space="preserve"> (</w:t>
      </w:r>
      <w:proofErr w:type="spellStart"/>
      <w:r w:rsidRPr="000C7C76">
        <w:rPr>
          <w:rFonts w:ascii="Times New Roman" w:hAnsi="Times New Roman" w:cs="Times New Roman"/>
          <w:lang w:val="de-DE"/>
        </w:rPr>
        <w:t>vācu</w:t>
      </w:r>
      <w:proofErr w:type="spellEnd"/>
      <w:r w:rsidRPr="000C7C76">
        <w:rPr>
          <w:rFonts w:ascii="Times New Roman" w:hAnsi="Times New Roman" w:cs="Times New Roman"/>
          <w:lang w:val="de-DE"/>
        </w:rPr>
        <w:t xml:space="preserve"> </w:t>
      </w:r>
      <w:proofErr w:type="spellStart"/>
      <w:r w:rsidRPr="000C7C76">
        <w:rPr>
          <w:rFonts w:ascii="Times New Roman" w:hAnsi="Times New Roman" w:cs="Times New Roman"/>
          <w:lang w:val="de-DE"/>
        </w:rPr>
        <w:t>val</w:t>
      </w:r>
      <w:proofErr w:type="spellEnd"/>
      <w:r w:rsidRPr="000C7C76">
        <w:rPr>
          <w:rFonts w:ascii="Times New Roman" w:hAnsi="Times New Roman" w:cs="Times New Roman"/>
          <w:lang w:val="de-DE"/>
        </w:rPr>
        <w:t xml:space="preserve">. – </w:t>
      </w:r>
      <w:r w:rsidRPr="000C7C76">
        <w:rPr>
          <w:rFonts w:ascii="Times New Roman" w:hAnsi="Times New Roman" w:cs="Times New Roman"/>
          <w:i/>
          <w:lang w:val="de-DE"/>
        </w:rPr>
        <w:t>Innenstatut</w:t>
      </w:r>
      <w:r w:rsidRPr="000C7C76">
        <w:rPr>
          <w:rFonts w:ascii="Times New Roman" w:hAnsi="Times New Roman" w:cs="Times New Roman"/>
          <w:lang w:val="de-DE"/>
        </w:rPr>
        <w:t xml:space="preserve">) </w:t>
      </w:r>
      <w:proofErr w:type="spellStart"/>
      <w:r w:rsidRPr="000C7C76">
        <w:rPr>
          <w:rFonts w:ascii="Times New Roman" w:hAnsi="Times New Roman" w:cs="Times New Roman"/>
          <w:lang w:val="de-DE"/>
        </w:rPr>
        <w:t>jeb</w:t>
      </w:r>
      <w:proofErr w:type="spellEnd"/>
      <w:r w:rsidRPr="000C7C76">
        <w:rPr>
          <w:rFonts w:ascii="Times New Roman" w:hAnsi="Times New Roman" w:cs="Times New Roman"/>
          <w:lang w:val="de-DE"/>
        </w:rPr>
        <w:t xml:space="preserve"> </w:t>
      </w:r>
      <w:proofErr w:type="spellStart"/>
      <w:r w:rsidRPr="000C7C76">
        <w:rPr>
          <w:rFonts w:ascii="Times New Roman" w:hAnsi="Times New Roman" w:cs="Times New Roman"/>
          <w:lang w:val="de-DE"/>
        </w:rPr>
        <w:t>pilnvaras</w:t>
      </w:r>
      <w:proofErr w:type="spellEnd"/>
      <w:r w:rsidRPr="000C7C76">
        <w:rPr>
          <w:rFonts w:ascii="Times New Roman" w:hAnsi="Times New Roman" w:cs="Times New Roman"/>
          <w:lang w:val="de-DE"/>
        </w:rPr>
        <w:t xml:space="preserve"> </w:t>
      </w:r>
      <w:proofErr w:type="spellStart"/>
      <w:r w:rsidRPr="000C7C76">
        <w:rPr>
          <w:rFonts w:ascii="Times New Roman" w:hAnsi="Times New Roman" w:cs="Times New Roman"/>
          <w:lang w:val="de-DE"/>
        </w:rPr>
        <w:t>devēja</w:t>
      </w:r>
      <w:proofErr w:type="spellEnd"/>
      <w:r w:rsidRPr="000C7C76">
        <w:rPr>
          <w:rFonts w:ascii="Times New Roman" w:hAnsi="Times New Roman" w:cs="Times New Roman"/>
          <w:lang w:val="de-DE"/>
        </w:rPr>
        <w:t xml:space="preserve"> </w:t>
      </w:r>
      <w:proofErr w:type="spellStart"/>
      <w:r w:rsidRPr="000C7C76">
        <w:rPr>
          <w:rFonts w:ascii="Times New Roman" w:hAnsi="Times New Roman" w:cs="Times New Roman"/>
          <w:lang w:val="de-DE"/>
        </w:rPr>
        <w:t>un</w:t>
      </w:r>
      <w:proofErr w:type="spellEnd"/>
      <w:r w:rsidRPr="000C7C76">
        <w:rPr>
          <w:rFonts w:ascii="Times New Roman" w:hAnsi="Times New Roman" w:cs="Times New Roman"/>
          <w:lang w:val="de-DE"/>
        </w:rPr>
        <w:t xml:space="preserve"> </w:t>
      </w:r>
      <w:proofErr w:type="spellStart"/>
      <w:r w:rsidRPr="000C7C76">
        <w:rPr>
          <w:rFonts w:ascii="Times New Roman" w:hAnsi="Times New Roman" w:cs="Times New Roman"/>
          <w:lang w:val="de-DE"/>
        </w:rPr>
        <w:t>pilnvarnieka</w:t>
      </w:r>
      <w:proofErr w:type="spellEnd"/>
      <w:r w:rsidRPr="000C7C76">
        <w:rPr>
          <w:rFonts w:ascii="Times New Roman" w:hAnsi="Times New Roman" w:cs="Times New Roman"/>
          <w:lang w:val="de-DE"/>
        </w:rPr>
        <w:t xml:space="preserve"> </w:t>
      </w:r>
      <w:proofErr w:type="spellStart"/>
      <w:r w:rsidRPr="000C7C76">
        <w:rPr>
          <w:rFonts w:ascii="Times New Roman" w:hAnsi="Times New Roman" w:cs="Times New Roman"/>
          <w:lang w:val="de-DE"/>
        </w:rPr>
        <w:t>savstarpējām</w:t>
      </w:r>
      <w:proofErr w:type="spellEnd"/>
      <w:r w:rsidRPr="000C7C76">
        <w:rPr>
          <w:rFonts w:ascii="Times New Roman" w:hAnsi="Times New Roman" w:cs="Times New Roman"/>
          <w:lang w:val="de-DE"/>
        </w:rPr>
        <w:t xml:space="preserve"> </w:t>
      </w:r>
      <w:proofErr w:type="spellStart"/>
      <w:r w:rsidRPr="000C7C76">
        <w:rPr>
          <w:rFonts w:ascii="Times New Roman" w:hAnsi="Times New Roman" w:cs="Times New Roman"/>
          <w:lang w:val="de-DE"/>
        </w:rPr>
        <w:t>iekšējām</w:t>
      </w:r>
      <w:proofErr w:type="spellEnd"/>
      <w:r w:rsidRPr="000C7C76">
        <w:rPr>
          <w:rFonts w:ascii="Times New Roman" w:hAnsi="Times New Roman" w:cs="Times New Roman"/>
          <w:lang w:val="de-DE"/>
        </w:rPr>
        <w:t xml:space="preserve"> </w:t>
      </w:r>
      <w:proofErr w:type="spellStart"/>
      <w:r w:rsidRPr="000C7C76">
        <w:rPr>
          <w:rFonts w:ascii="Times New Roman" w:hAnsi="Times New Roman" w:cs="Times New Roman"/>
          <w:lang w:val="de-DE"/>
        </w:rPr>
        <w:t>attiecībām</w:t>
      </w:r>
      <w:proofErr w:type="spellEnd"/>
      <w:r w:rsidRPr="000C7C76">
        <w:rPr>
          <w:rFonts w:ascii="Times New Roman" w:hAnsi="Times New Roman" w:cs="Times New Roman"/>
          <w:lang w:val="de-DE"/>
        </w:rPr>
        <w:t xml:space="preserve"> (</w:t>
      </w:r>
      <w:proofErr w:type="spellStart"/>
      <w:r w:rsidRPr="000C7C76">
        <w:rPr>
          <w:rFonts w:ascii="Times New Roman" w:hAnsi="Times New Roman" w:cs="Times New Roman"/>
          <w:lang w:val="de-DE"/>
        </w:rPr>
        <w:t>pilnvarojuma</w:t>
      </w:r>
      <w:proofErr w:type="spellEnd"/>
      <w:r w:rsidRPr="000C7C76">
        <w:rPr>
          <w:rFonts w:ascii="Times New Roman" w:hAnsi="Times New Roman" w:cs="Times New Roman"/>
          <w:lang w:val="de-DE"/>
        </w:rPr>
        <w:t xml:space="preserve"> </w:t>
      </w:r>
      <w:proofErr w:type="spellStart"/>
      <w:r w:rsidRPr="000C7C76">
        <w:rPr>
          <w:rFonts w:ascii="Times New Roman" w:hAnsi="Times New Roman" w:cs="Times New Roman"/>
          <w:lang w:val="de-DE"/>
        </w:rPr>
        <w:t>līgumam</w:t>
      </w:r>
      <w:proofErr w:type="spellEnd"/>
      <w:r w:rsidRPr="000C7C76">
        <w:rPr>
          <w:rFonts w:ascii="Times New Roman" w:hAnsi="Times New Roman" w:cs="Times New Roman"/>
          <w:lang w:val="de-DE"/>
        </w:rPr>
        <w:t xml:space="preserve">) </w:t>
      </w:r>
      <w:proofErr w:type="spellStart"/>
      <w:r w:rsidRPr="000C7C76">
        <w:rPr>
          <w:rFonts w:ascii="Times New Roman" w:hAnsi="Times New Roman" w:cs="Times New Roman"/>
          <w:lang w:val="de-DE"/>
        </w:rPr>
        <w:t>piemērojamo</w:t>
      </w:r>
      <w:proofErr w:type="spellEnd"/>
      <w:r w:rsidRPr="000C7C76">
        <w:rPr>
          <w:rFonts w:ascii="Times New Roman" w:hAnsi="Times New Roman" w:cs="Times New Roman"/>
          <w:lang w:val="de-DE"/>
        </w:rPr>
        <w:t xml:space="preserve"> </w:t>
      </w:r>
      <w:proofErr w:type="spellStart"/>
      <w:r w:rsidRPr="000C7C76">
        <w:rPr>
          <w:rFonts w:ascii="Times New Roman" w:hAnsi="Times New Roman" w:cs="Times New Roman"/>
          <w:lang w:val="de-DE"/>
        </w:rPr>
        <w:t>likumu</w:t>
      </w:r>
      <w:proofErr w:type="spellEnd"/>
      <w:r w:rsidRPr="000C7C76">
        <w:rPr>
          <w:rFonts w:ascii="Times New Roman" w:hAnsi="Times New Roman" w:cs="Times New Roman"/>
          <w:lang w:val="de-DE"/>
        </w:rPr>
        <w:t>, </w:t>
      </w:r>
      <w:proofErr w:type="spellStart"/>
      <w:r w:rsidRPr="000C7C76">
        <w:rPr>
          <w:rFonts w:ascii="Times New Roman" w:hAnsi="Times New Roman" w:cs="Times New Roman"/>
          <w:lang w:val="de-DE"/>
        </w:rPr>
        <w:t>un</w:t>
      </w:r>
      <w:proofErr w:type="spellEnd"/>
      <w:r w:rsidRPr="000C7C76">
        <w:rPr>
          <w:rFonts w:ascii="Times New Roman" w:hAnsi="Times New Roman" w:cs="Times New Roman"/>
          <w:lang w:val="de-DE"/>
        </w:rPr>
        <w:t xml:space="preserve"> </w:t>
      </w:r>
    </w:p>
    <w:p w14:paraId="3D0184E5" w14:textId="12B3484D" w:rsidR="00114953" w:rsidRPr="000C7C76" w:rsidRDefault="00114953" w:rsidP="00114953">
      <w:pPr>
        <w:jc w:val="both"/>
        <w:rPr>
          <w:rFonts w:ascii="Times New Roman" w:hAnsi="Times New Roman" w:cs="Times New Roman"/>
          <w:lang w:val="de-DE"/>
        </w:rPr>
      </w:pPr>
      <w:r w:rsidRPr="000C7C76">
        <w:rPr>
          <w:rFonts w:ascii="Times New Roman" w:hAnsi="Times New Roman" w:cs="Times New Roman"/>
          <w:lang w:val="de-DE"/>
        </w:rPr>
        <w:t xml:space="preserve">3) </w:t>
      </w:r>
      <w:proofErr w:type="spellStart"/>
      <w:r w:rsidRPr="000C7C76">
        <w:rPr>
          <w:rFonts w:ascii="Times New Roman" w:hAnsi="Times New Roman" w:cs="Times New Roman"/>
          <w:lang w:val="de-DE"/>
        </w:rPr>
        <w:t>galvenā</w:t>
      </w:r>
      <w:proofErr w:type="spellEnd"/>
      <w:r w:rsidRPr="000C7C76">
        <w:rPr>
          <w:rFonts w:ascii="Times New Roman" w:hAnsi="Times New Roman" w:cs="Times New Roman"/>
          <w:lang w:val="de-DE"/>
        </w:rPr>
        <w:t xml:space="preserve"> </w:t>
      </w:r>
      <w:proofErr w:type="spellStart"/>
      <w:r w:rsidRPr="000C7C76">
        <w:rPr>
          <w:rFonts w:ascii="Times New Roman" w:hAnsi="Times New Roman" w:cs="Times New Roman"/>
          <w:lang w:val="de-DE"/>
        </w:rPr>
        <w:t>darījuma</w:t>
      </w:r>
      <w:proofErr w:type="spellEnd"/>
      <w:r w:rsidRPr="000C7C76">
        <w:rPr>
          <w:rFonts w:ascii="Times New Roman" w:hAnsi="Times New Roman" w:cs="Times New Roman"/>
          <w:lang w:val="de-DE"/>
        </w:rPr>
        <w:t xml:space="preserve"> </w:t>
      </w:r>
      <w:proofErr w:type="spellStart"/>
      <w:r w:rsidRPr="000C7C76">
        <w:rPr>
          <w:rFonts w:ascii="Times New Roman" w:hAnsi="Times New Roman" w:cs="Times New Roman"/>
          <w:lang w:val="de-DE"/>
        </w:rPr>
        <w:t>statūtu</w:t>
      </w:r>
      <w:proofErr w:type="spellEnd"/>
      <w:r w:rsidRPr="000C7C76">
        <w:rPr>
          <w:rFonts w:ascii="Times New Roman" w:hAnsi="Times New Roman" w:cs="Times New Roman"/>
          <w:lang w:val="de-DE"/>
        </w:rPr>
        <w:t xml:space="preserve"> (</w:t>
      </w:r>
      <w:proofErr w:type="spellStart"/>
      <w:r w:rsidRPr="000C7C76">
        <w:rPr>
          <w:rFonts w:ascii="Times New Roman" w:hAnsi="Times New Roman" w:cs="Times New Roman"/>
          <w:lang w:val="de-DE"/>
        </w:rPr>
        <w:t>vācu</w:t>
      </w:r>
      <w:proofErr w:type="spellEnd"/>
      <w:r w:rsidRPr="000C7C76">
        <w:rPr>
          <w:rFonts w:ascii="Times New Roman" w:hAnsi="Times New Roman" w:cs="Times New Roman"/>
          <w:lang w:val="de-DE"/>
        </w:rPr>
        <w:t xml:space="preserve"> </w:t>
      </w:r>
      <w:proofErr w:type="spellStart"/>
      <w:r w:rsidRPr="000C7C76">
        <w:rPr>
          <w:rFonts w:ascii="Times New Roman" w:hAnsi="Times New Roman" w:cs="Times New Roman"/>
          <w:lang w:val="de-DE"/>
        </w:rPr>
        <w:t>val</w:t>
      </w:r>
      <w:proofErr w:type="spellEnd"/>
      <w:r w:rsidRPr="000C7C76">
        <w:rPr>
          <w:rFonts w:ascii="Times New Roman" w:hAnsi="Times New Roman" w:cs="Times New Roman"/>
          <w:lang w:val="de-DE"/>
        </w:rPr>
        <w:t xml:space="preserve">. – </w:t>
      </w:r>
      <w:r w:rsidRPr="000C7C76">
        <w:rPr>
          <w:rFonts w:ascii="Times New Roman" w:hAnsi="Times New Roman" w:cs="Times New Roman"/>
          <w:i/>
          <w:lang w:val="de-DE"/>
        </w:rPr>
        <w:t>Geschäftsstatut</w:t>
      </w:r>
      <w:r w:rsidRPr="000C7C76">
        <w:rPr>
          <w:rFonts w:ascii="Times New Roman" w:hAnsi="Times New Roman" w:cs="Times New Roman"/>
          <w:lang w:val="de-DE"/>
        </w:rPr>
        <w:t>)</w:t>
      </w:r>
      <w:r w:rsidR="00485054" w:rsidRPr="000C7C76">
        <w:rPr>
          <w:rFonts w:ascii="Times New Roman" w:hAnsi="Times New Roman" w:cs="Times New Roman"/>
          <w:lang w:val="de-DE"/>
        </w:rPr>
        <w:t xml:space="preserve"> </w:t>
      </w:r>
      <w:proofErr w:type="spellStart"/>
      <w:r w:rsidR="00485054" w:rsidRPr="000C7C76">
        <w:rPr>
          <w:rFonts w:ascii="Times New Roman" w:hAnsi="Times New Roman" w:cs="Times New Roman"/>
          <w:lang w:val="de-DE"/>
        </w:rPr>
        <w:t>jeb</w:t>
      </w:r>
      <w:proofErr w:type="spellEnd"/>
      <w:r w:rsidR="00485054" w:rsidRPr="000C7C76">
        <w:rPr>
          <w:rFonts w:ascii="Times New Roman" w:hAnsi="Times New Roman" w:cs="Times New Roman"/>
          <w:lang w:val="de-DE"/>
        </w:rPr>
        <w:t xml:space="preserve"> </w:t>
      </w:r>
      <w:proofErr w:type="spellStart"/>
      <w:r w:rsidR="00485054" w:rsidRPr="000C7C76">
        <w:rPr>
          <w:rFonts w:ascii="Times New Roman" w:hAnsi="Times New Roman" w:cs="Times New Roman"/>
          <w:lang w:val="de-DE"/>
        </w:rPr>
        <w:t>galvenajam</w:t>
      </w:r>
      <w:proofErr w:type="spellEnd"/>
      <w:r w:rsidR="00485054" w:rsidRPr="000C7C76">
        <w:rPr>
          <w:rFonts w:ascii="Times New Roman" w:hAnsi="Times New Roman" w:cs="Times New Roman"/>
          <w:lang w:val="de-DE"/>
        </w:rPr>
        <w:t xml:space="preserve"> </w:t>
      </w:r>
      <w:proofErr w:type="spellStart"/>
      <w:r w:rsidR="00485054" w:rsidRPr="000C7C76">
        <w:rPr>
          <w:rFonts w:ascii="Times New Roman" w:hAnsi="Times New Roman" w:cs="Times New Roman"/>
          <w:lang w:val="de-DE"/>
        </w:rPr>
        <w:t>darījumam</w:t>
      </w:r>
      <w:proofErr w:type="spellEnd"/>
      <w:r w:rsidR="00485054" w:rsidRPr="000C7C76">
        <w:rPr>
          <w:rFonts w:ascii="Times New Roman" w:hAnsi="Times New Roman" w:cs="Times New Roman"/>
          <w:lang w:val="de-DE"/>
        </w:rPr>
        <w:t xml:space="preserve"> (</w:t>
      </w:r>
      <w:proofErr w:type="spellStart"/>
      <w:r w:rsidR="00485054" w:rsidRPr="000C7C76">
        <w:rPr>
          <w:rFonts w:ascii="Times New Roman" w:hAnsi="Times New Roman" w:cs="Times New Roman"/>
          <w:lang w:val="de-DE"/>
        </w:rPr>
        <w:t>piemēram</w:t>
      </w:r>
      <w:proofErr w:type="spellEnd"/>
      <w:r w:rsidRPr="000C7C76">
        <w:rPr>
          <w:rFonts w:ascii="Times New Roman" w:hAnsi="Times New Roman" w:cs="Times New Roman"/>
          <w:lang w:val="de-DE"/>
        </w:rPr>
        <w:t xml:space="preserve">, </w:t>
      </w:r>
      <w:proofErr w:type="spellStart"/>
      <w:r w:rsidRPr="000C7C76">
        <w:rPr>
          <w:rFonts w:ascii="Times New Roman" w:hAnsi="Times New Roman" w:cs="Times New Roman"/>
          <w:lang w:val="de-DE"/>
        </w:rPr>
        <w:t>pirkuma</w:t>
      </w:r>
      <w:proofErr w:type="spellEnd"/>
      <w:r w:rsidRPr="000C7C76">
        <w:rPr>
          <w:rFonts w:ascii="Times New Roman" w:hAnsi="Times New Roman" w:cs="Times New Roman"/>
          <w:lang w:val="de-DE"/>
        </w:rPr>
        <w:t xml:space="preserve"> </w:t>
      </w:r>
      <w:proofErr w:type="spellStart"/>
      <w:r w:rsidRPr="000C7C76">
        <w:rPr>
          <w:rFonts w:ascii="Times New Roman" w:hAnsi="Times New Roman" w:cs="Times New Roman"/>
          <w:lang w:val="de-DE"/>
        </w:rPr>
        <w:t>līgumam</w:t>
      </w:r>
      <w:proofErr w:type="spellEnd"/>
      <w:r w:rsidRPr="000C7C76">
        <w:rPr>
          <w:rFonts w:ascii="Times New Roman" w:hAnsi="Times New Roman" w:cs="Times New Roman"/>
          <w:lang w:val="de-DE"/>
        </w:rPr>
        <w:t xml:space="preserve">) </w:t>
      </w:r>
      <w:proofErr w:type="spellStart"/>
      <w:r w:rsidRPr="000C7C76">
        <w:rPr>
          <w:rFonts w:ascii="Times New Roman" w:hAnsi="Times New Roman" w:cs="Times New Roman"/>
          <w:lang w:val="de-DE"/>
        </w:rPr>
        <w:t>piemērojamo</w:t>
      </w:r>
      <w:proofErr w:type="spellEnd"/>
      <w:r w:rsidRPr="000C7C76">
        <w:rPr>
          <w:rFonts w:ascii="Times New Roman" w:hAnsi="Times New Roman" w:cs="Times New Roman"/>
          <w:lang w:val="de-DE"/>
        </w:rPr>
        <w:t xml:space="preserve"> </w:t>
      </w:r>
      <w:proofErr w:type="spellStart"/>
      <w:r w:rsidRPr="000C7C76">
        <w:rPr>
          <w:rFonts w:ascii="Times New Roman" w:hAnsi="Times New Roman" w:cs="Times New Roman"/>
          <w:lang w:val="de-DE"/>
        </w:rPr>
        <w:t>likumu</w:t>
      </w:r>
      <w:proofErr w:type="spellEnd"/>
      <w:r w:rsidRPr="000C7C76">
        <w:rPr>
          <w:rFonts w:ascii="Times New Roman" w:hAnsi="Times New Roman" w:cs="Times New Roman"/>
          <w:lang w:val="de-DE"/>
        </w:rPr>
        <w:t xml:space="preserve">. </w:t>
      </w:r>
    </w:p>
    <w:p w14:paraId="7E5416EF" w14:textId="77777777" w:rsidR="00114953" w:rsidRPr="000C7C76" w:rsidRDefault="00114953" w:rsidP="00114953">
      <w:pPr>
        <w:ind w:firstLine="708"/>
        <w:jc w:val="both"/>
        <w:rPr>
          <w:rFonts w:ascii="Times New Roman" w:hAnsi="Times New Roman" w:cs="Times New Roman"/>
          <w:lang w:val="de-DE"/>
        </w:rPr>
      </w:pPr>
      <w:proofErr w:type="spellStart"/>
      <w:r w:rsidRPr="000C7C76">
        <w:rPr>
          <w:rFonts w:ascii="Times New Roman" w:hAnsi="Times New Roman" w:cs="Times New Roman"/>
          <w:lang w:val="de-DE"/>
        </w:rPr>
        <w:t>Šāds</w:t>
      </w:r>
      <w:proofErr w:type="spellEnd"/>
      <w:r w:rsidRPr="000C7C76">
        <w:rPr>
          <w:rFonts w:ascii="Times New Roman" w:hAnsi="Times New Roman" w:cs="Times New Roman"/>
          <w:lang w:val="de-DE"/>
        </w:rPr>
        <w:t xml:space="preserve"> </w:t>
      </w:r>
      <w:proofErr w:type="spellStart"/>
      <w:r w:rsidRPr="000C7C76">
        <w:rPr>
          <w:rFonts w:ascii="Times New Roman" w:hAnsi="Times New Roman" w:cs="Times New Roman"/>
          <w:lang w:val="de-DE"/>
        </w:rPr>
        <w:t>nodalījums</w:t>
      </w:r>
      <w:proofErr w:type="spellEnd"/>
      <w:r w:rsidRPr="000C7C76">
        <w:rPr>
          <w:rFonts w:ascii="Times New Roman" w:hAnsi="Times New Roman" w:cs="Times New Roman"/>
          <w:lang w:val="de-DE"/>
        </w:rPr>
        <w:t xml:space="preserve"> </w:t>
      </w:r>
      <w:proofErr w:type="spellStart"/>
      <w:r w:rsidRPr="000C7C76">
        <w:rPr>
          <w:rFonts w:ascii="Times New Roman" w:hAnsi="Times New Roman" w:cs="Times New Roman"/>
          <w:lang w:val="de-DE"/>
        </w:rPr>
        <w:t>starp</w:t>
      </w:r>
      <w:proofErr w:type="spellEnd"/>
      <w:r w:rsidRPr="000C7C76">
        <w:rPr>
          <w:rFonts w:ascii="Times New Roman" w:hAnsi="Times New Roman" w:cs="Times New Roman"/>
          <w:lang w:val="de-DE"/>
        </w:rPr>
        <w:t xml:space="preserve"> </w:t>
      </w:r>
      <w:proofErr w:type="spellStart"/>
      <w:r w:rsidRPr="000C7C76">
        <w:rPr>
          <w:rFonts w:ascii="Times New Roman" w:hAnsi="Times New Roman" w:cs="Times New Roman"/>
          <w:lang w:val="de-DE"/>
        </w:rPr>
        <w:t>pilnvaras</w:t>
      </w:r>
      <w:proofErr w:type="spellEnd"/>
      <w:r w:rsidRPr="000C7C76">
        <w:rPr>
          <w:rFonts w:ascii="Times New Roman" w:hAnsi="Times New Roman" w:cs="Times New Roman"/>
          <w:lang w:val="de-DE"/>
        </w:rPr>
        <w:t xml:space="preserve"> </w:t>
      </w:r>
      <w:proofErr w:type="spellStart"/>
      <w:r w:rsidRPr="000C7C76">
        <w:rPr>
          <w:rFonts w:ascii="Times New Roman" w:hAnsi="Times New Roman" w:cs="Times New Roman"/>
          <w:lang w:val="de-DE"/>
        </w:rPr>
        <w:t>statūtu</w:t>
      </w:r>
      <w:proofErr w:type="spellEnd"/>
      <w:r w:rsidRPr="000C7C76">
        <w:rPr>
          <w:rFonts w:ascii="Times New Roman" w:hAnsi="Times New Roman" w:cs="Times New Roman"/>
          <w:lang w:val="de-DE"/>
        </w:rPr>
        <w:t xml:space="preserve"> (</w:t>
      </w:r>
      <w:proofErr w:type="spellStart"/>
      <w:r w:rsidRPr="000C7C76">
        <w:rPr>
          <w:rFonts w:ascii="Times New Roman" w:hAnsi="Times New Roman" w:cs="Times New Roman"/>
          <w:lang w:val="de-DE"/>
        </w:rPr>
        <w:t>vācu</w:t>
      </w:r>
      <w:proofErr w:type="spellEnd"/>
      <w:r w:rsidRPr="000C7C76">
        <w:rPr>
          <w:rFonts w:ascii="Times New Roman" w:hAnsi="Times New Roman" w:cs="Times New Roman"/>
          <w:lang w:val="de-DE"/>
        </w:rPr>
        <w:t xml:space="preserve"> </w:t>
      </w:r>
      <w:proofErr w:type="spellStart"/>
      <w:r w:rsidRPr="000C7C76">
        <w:rPr>
          <w:rFonts w:ascii="Times New Roman" w:hAnsi="Times New Roman" w:cs="Times New Roman"/>
          <w:lang w:val="de-DE"/>
        </w:rPr>
        <w:t>val</w:t>
      </w:r>
      <w:proofErr w:type="spellEnd"/>
      <w:r w:rsidRPr="000C7C76">
        <w:rPr>
          <w:rFonts w:ascii="Times New Roman" w:hAnsi="Times New Roman" w:cs="Times New Roman"/>
          <w:lang w:val="de-DE"/>
        </w:rPr>
        <w:t xml:space="preserve">. – </w:t>
      </w:r>
      <w:r w:rsidRPr="000C7C76">
        <w:rPr>
          <w:rFonts w:ascii="Times New Roman" w:hAnsi="Times New Roman" w:cs="Times New Roman"/>
          <w:i/>
          <w:lang w:val="de-DE"/>
        </w:rPr>
        <w:t>Vollmachtstatut</w:t>
      </w:r>
      <w:r w:rsidRPr="000C7C76">
        <w:rPr>
          <w:rFonts w:ascii="Times New Roman" w:hAnsi="Times New Roman" w:cs="Times New Roman"/>
          <w:lang w:val="de-DE"/>
        </w:rPr>
        <w:t xml:space="preserve">) </w:t>
      </w:r>
      <w:proofErr w:type="spellStart"/>
      <w:r w:rsidRPr="000C7C76">
        <w:rPr>
          <w:rFonts w:ascii="Times New Roman" w:hAnsi="Times New Roman" w:cs="Times New Roman"/>
          <w:lang w:val="de-DE"/>
        </w:rPr>
        <w:t>un</w:t>
      </w:r>
      <w:proofErr w:type="spellEnd"/>
      <w:r w:rsidRPr="000C7C76">
        <w:rPr>
          <w:rFonts w:ascii="Times New Roman" w:hAnsi="Times New Roman" w:cs="Times New Roman"/>
          <w:lang w:val="de-DE"/>
        </w:rPr>
        <w:t xml:space="preserve"> </w:t>
      </w:r>
      <w:proofErr w:type="spellStart"/>
      <w:r w:rsidRPr="000C7C76">
        <w:rPr>
          <w:rFonts w:ascii="Times New Roman" w:hAnsi="Times New Roman" w:cs="Times New Roman"/>
          <w:lang w:val="de-DE"/>
        </w:rPr>
        <w:t>iekšējo</w:t>
      </w:r>
      <w:proofErr w:type="spellEnd"/>
      <w:r w:rsidRPr="000C7C76">
        <w:rPr>
          <w:rFonts w:ascii="Times New Roman" w:hAnsi="Times New Roman" w:cs="Times New Roman"/>
          <w:lang w:val="de-DE"/>
        </w:rPr>
        <w:t xml:space="preserve"> </w:t>
      </w:r>
      <w:proofErr w:type="spellStart"/>
      <w:r w:rsidRPr="000C7C76">
        <w:rPr>
          <w:rFonts w:ascii="Times New Roman" w:hAnsi="Times New Roman" w:cs="Times New Roman"/>
          <w:lang w:val="de-DE"/>
        </w:rPr>
        <w:t>statūtu</w:t>
      </w:r>
      <w:proofErr w:type="spellEnd"/>
      <w:r w:rsidRPr="000C7C76">
        <w:rPr>
          <w:rFonts w:ascii="Times New Roman" w:hAnsi="Times New Roman" w:cs="Times New Roman"/>
          <w:lang w:val="de-DE"/>
        </w:rPr>
        <w:t xml:space="preserve"> (</w:t>
      </w:r>
      <w:proofErr w:type="spellStart"/>
      <w:r w:rsidRPr="000C7C76">
        <w:rPr>
          <w:rFonts w:ascii="Times New Roman" w:hAnsi="Times New Roman" w:cs="Times New Roman"/>
          <w:lang w:val="de-DE"/>
        </w:rPr>
        <w:t>vācu</w:t>
      </w:r>
      <w:proofErr w:type="spellEnd"/>
      <w:r w:rsidRPr="000C7C76">
        <w:rPr>
          <w:rFonts w:ascii="Times New Roman" w:hAnsi="Times New Roman" w:cs="Times New Roman"/>
          <w:lang w:val="de-DE"/>
        </w:rPr>
        <w:t xml:space="preserve"> </w:t>
      </w:r>
      <w:proofErr w:type="spellStart"/>
      <w:r w:rsidRPr="000C7C76">
        <w:rPr>
          <w:rFonts w:ascii="Times New Roman" w:hAnsi="Times New Roman" w:cs="Times New Roman"/>
          <w:lang w:val="de-DE"/>
        </w:rPr>
        <w:t>val</w:t>
      </w:r>
      <w:proofErr w:type="spellEnd"/>
      <w:r w:rsidRPr="000C7C76">
        <w:rPr>
          <w:rFonts w:ascii="Times New Roman" w:hAnsi="Times New Roman" w:cs="Times New Roman"/>
          <w:lang w:val="de-DE"/>
        </w:rPr>
        <w:t xml:space="preserve">. – </w:t>
      </w:r>
      <w:r w:rsidRPr="000C7C76">
        <w:rPr>
          <w:rFonts w:ascii="Times New Roman" w:hAnsi="Times New Roman" w:cs="Times New Roman"/>
          <w:i/>
          <w:lang w:val="de-DE"/>
        </w:rPr>
        <w:t>Innenstatut</w:t>
      </w:r>
      <w:r w:rsidRPr="000C7C76">
        <w:rPr>
          <w:rFonts w:ascii="Times New Roman" w:hAnsi="Times New Roman" w:cs="Times New Roman"/>
          <w:lang w:val="de-DE"/>
        </w:rPr>
        <w:t xml:space="preserve">) </w:t>
      </w:r>
      <w:proofErr w:type="spellStart"/>
      <w:r w:rsidRPr="000C7C76">
        <w:rPr>
          <w:rFonts w:ascii="Times New Roman" w:hAnsi="Times New Roman" w:cs="Times New Roman"/>
          <w:lang w:val="de-DE"/>
        </w:rPr>
        <w:t>ir</w:t>
      </w:r>
      <w:proofErr w:type="spellEnd"/>
      <w:r w:rsidRPr="000C7C76">
        <w:rPr>
          <w:rFonts w:ascii="Times New Roman" w:hAnsi="Times New Roman" w:cs="Times New Roman"/>
          <w:lang w:val="de-DE"/>
        </w:rPr>
        <w:t xml:space="preserve"> </w:t>
      </w:r>
      <w:proofErr w:type="spellStart"/>
      <w:r w:rsidRPr="000C7C76">
        <w:rPr>
          <w:rFonts w:ascii="Times New Roman" w:hAnsi="Times New Roman" w:cs="Times New Roman"/>
          <w:lang w:val="de-DE"/>
        </w:rPr>
        <w:t>sastopams</w:t>
      </w:r>
      <w:proofErr w:type="spellEnd"/>
      <w:r w:rsidRPr="000C7C76">
        <w:rPr>
          <w:rFonts w:ascii="Times New Roman" w:hAnsi="Times New Roman" w:cs="Times New Roman"/>
          <w:lang w:val="de-DE"/>
        </w:rPr>
        <w:t xml:space="preserve">, </w:t>
      </w:r>
      <w:proofErr w:type="spellStart"/>
      <w:r w:rsidRPr="000C7C76">
        <w:rPr>
          <w:rFonts w:ascii="Times New Roman" w:hAnsi="Times New Roman" w:cs="Times New Roman"/>
          <w:lang w:val="de-DE"/>
        </w:rPr>
        <w:t>piemēram</w:t>
      </w:r>
      <w:proofErr w:type="spellEnd"/>
      <w:r w:rsidRPr="000C7C76">
        <w:rPr>
          <w:rFonts w:ascii="Times New Roman" w:hAnsi="Times New Roman" w:cs="Times New Roman"/>
          <w:lang w:val="de-DE"/>
        </w:rPr>
        <w:t xml:space="preserve">, 1978.gada 14.marta </w:t>
      </w:r>
      <w:proofErr w:type="spellStart"/>
      <w:r w:rsidRPr="000C7C76">
        <w:rPr>
          <w:rFonts w:ascii="Times New Roman" w:hAnsi="Times New Roman" w:cs="Times New Roman"/>
          <w:lang w:val="de-DE"/>
        </w:rPr>
        <w:t>Hāgas</w:t>
      </w:r>
      <w:proofErr w:type="spellEnd"/>
      <w:r w:rsidRPr="000C7C76">
        <w:rPr>
          <w:rFonts w:ascii="Times New Roman" w:hAnsi="Times New Roman" w:cs="Times New Roman"/>
          <w:lang w:val="de-DE"/>
        </w:rPr>
        <w:t xml:space="preserve"> </w:t>
      </w:r>
      <w:proofErr w:type="spellStart"/>
      <w:r w:rsidRPr="000C7C76">
        <w:rPr>
          <w:rFonts w:ascii="Times New Roman" w:hAnsi="Times New Roman" w:cs="Times New Roman"/>
          <w:b/>
          <w:lang w:val="de-DE"/>
        </w:rPr>
        <w:t>Konvencijā</w:t>
      </w:r>
      <w:proofErr w:type="spellEnd"/>
      <w:r w:rsidRPr="000C7C76">
        <w:rPr>
          <w:rFonts w:ascii="Times New Roman" w:hAnsi="Times New Roman" w:cs="Times New Roman"/>
          <w:b/>
          <w:lang w:val="de-DE"/>
        </w:rPr>
        <w:t xml:space="preserve"> par </w:t>
      </w:r>
      <w:proofErr w:type="spellStart"/>
      <w:r w:rsidRPr="000C7C76">
        <w:rPr>
          <w:rFonts w:ascii="Times New Roman" w:hAnsi="Times New Roman" w:cs="Times New Roman"/>
          <w:b/>
          <w:lang w:val="de-DE"/>
        </w:rPr>
        <w:t>tiesību</w:t>
      </w:r>
      <w:proofErr w:type="spellEnd"/>
      <w:r w:rsidRPr="000C7C76">
        <w:rPr>
          <w:rFonts w:ascii="Times New Roman" w:hAnsi="Times New Roman" w:cs="Times New Roman"/>
          <w:b/>
          <w:lang w:val="de-DE"/>
        </w:rPr>
        <w:t xml:space="preserve"> </w:t>
      </w:r>
      <w:proofErr w:type="spellStart"/>
      <w:r w:rsidRPr="000C7C76">
        <w:rPr>
          <w:rFonts w:ascii="Times New Roman" w:hAnsi="Times New Roman" w:cs="Times New Roman"/>
          <w:b/>
          <w:lang w:val="de-DE"/>
        </w:rPr>
        <w:t>aktiem</w:t>
      </w:r>
      <w:proofErr w:type="spellEnd"/>
      <w:r w:rsidRPr="000C7C76">
        <w:rPr>
          <w:rFonts w:ascii="Times New Roman" w:hAnsi="Times New Roman" w:cs="Times New Roman"/>
          <w:b/>
          <w:lang w:val="de-DE"/>
        </w:rPr>
        <w:t xml:space="preserve">, </w:t>
      </w:r>
      <w:proofErr w:type="spellStart"/>
      <w:r w:rsidRPr="000C7C76">
        <w:rPr>
          <w:rFonts w:ascii="Times New Roman" w:hAnsi="Times New Roman" w:cs="Times New Roman"/>
          <w:b/>
          <w:lang w:val="de-DE"/>
        </w:rPr>
        <w:t>kas</w:t>
      </w:r>
      <w:proofErr w:type="spellEnd"/>
      <w:r w:rsidRPr="000C7C76">
        <w:rPr>
          <w:rFonts w:ascii="Times New Roman" w:hAnsi="Times New Roman" w:cs="Times New Roman"/>
          <w:b/>
          <w:lang w:val="de-DE"/>
        </w:rPr>
        <w:t xml:space="preserve"> </w:t>
      </w:r>
      <w:proofErr w:type="spellStart"/>
      <w:r w:rsidRPr="000C7C76">
        <w:rPr>
          <w:rFonts w:ascii="Times New Roman" w:hAnsi="Times New Roman" w:cs="Times New Roman"/>
          <w:b/>
          <w:lang w:val="de-DE"/>
        </w:rPr>
        <w:t>piemērojami</w:t>
      </w:r>
      <w:proofErr w:type="spellEnd"/>
      <w:r w:rsidRPr="000C7C76">
        <w:rPr>
          <w:rFonts w:ascii="Times New Roman" w:hAnsi="Times New Roman" w:cs="Times New Roman"/>
          <w:b/>
          <w:lang w:val="de-DE"/>
        </w:rPr>
        <w:t xml:space="preserve"> </w:t>
      </w:r>
      <w:proofErr w:type="spellStart"/>
      <w:r w:rsidRPr="000C7C76">
        <w:rPr>
          <w:rFonts w:ascii="Times New Roman" w:hAnsi="Times New Roman" w:cs="Times New Roman"/>
          <w:b/>
          <w:lang w:val="de-DE"/>
        </w:rPr>
        <w:t>starpnieku</w:t>
      </w:r>
      <w:proofErr w:type="spellEnd"/>
      <w:r w:rsidRPr="000C7C76">
        <w:rPr>
          <w:rFonts w:ascii="Times New Roman" w:hAnsi="Times New Roman" w:cs="Times New Roman"/>
          <w:b/>
          <w:lang w:val="de-DE"/>
        </w:rPr>
        <w:t xml:space="preserve"> </w:t>
      </w:r>
      <w:proofErr w:type="spellStart"/>
      <w:r w:rsidRPr="000C7C76">
        <w:rPr>
          <w:rFonts w:ascii="Times New Roman" w:hAnsi="Times New Roman" w:cs="Times New Roman"/>
          <w:b/>
          <w:lang w:val="de-DE"/>
        </w:rPr>
        <w:t>līgumiem</w:t>
      </w:r>
      <w:proofErr w:type="spellEnd"/>
      <w:r w:rsidRPr="000C7C76">
        <w:rPr>
          <w:rFonts w:ascii="Times New Roman" w:hAnsi="Times New Roman" w:cs="Times New Roman"/>
          <w:b/>
          <w:lang w:val="de-DE"/>
        </w:rPr>
        <w:t xml:space="preserve"> </w:t>
      </w:r>
      <w:proofErr w:type="spellStart"/>
      <w:r w:rsidRPr="000C7C76">
        <w:rPr>
          <w:rFonts w:ascii="Times New Roman" w:hAnsi="Times New Roman" w:cs="Times New Roman"/>
          <w:b/>
          <w:lang w:val="de-DE"/>
        </w:rPr>
        <w:t>un</w:t>
      </w:r>
      <w:proofErr w:type="spellEnd"/>
      <w:r w:rsidRPr="000C7C76">
        <w:rPr>
          <w:rFonts w:ascii="Times New Roman" w:hAnsi="Times New Roman" w:cs="Times New Roman"/>
          <w:b/>
          <w:lang w:val="de-DE"/>
        </w:rPr>
        <w:t xml:space="preserve"> </w:t>
      </w:r>
      <w:proofErr w:type="spellStart"/>
      <w:r w:rsidRPr="000C7C76">
        <w:rPr>
          <w:rFonts w:ascii="Times New Roman" w:hAnsi="Times New Roman" w:cs="Times New Roman"/>
          <w:b/>
          <w:lang w:val="de-DE"/>
        </w:rPr>
        <w:t>pārstāvībai</w:t>
      </w:r>
      <w:proofErr w:type="spellEnd"/>
      <w:r w:rsidRPr="000C7C76">
        <w:rPr>
          <w:rFonts w:ascii="Times New Roman" w:hAnsi="Times New Roman" w:cs="Times New Roman"/>
          <w:lang w:val="de-DE"/>
        </w:rPr>
        <w:t>.</w:t>
      </w:r>
      <w:r w:rsidRPr="00BF3A72">
        <w:rPr>
          <w:rStyle w:val="FootnoteReference"/>
          <w:rFonts w:ascii="Times New Roman" w:hAnsi="Times New Roman" w:cs="Times New Roman"/>
        </w:rPr>
        <w:footnoteReference w:id="32"/>
      </w:r>
    </w:p>
    <w:p w14:paraId="7B00D58B" w14:textId="50EE070A" w:rsidR="00114953" w:rsidRPr="000C7C76" w:rsidRDefault="00114953" w:rsidP="00114953">
      <w:pPr>
        <w:ind w:firstLine="708"/>
        <w:jc w:val="both"/>
        <w:rPr>
          <w:rFonts w:ascii="Times New Roman" w:hAnsi="Times New Roman" w:cs="Times New Roman"/>
          <w:lang w:val="de-DE"/>
        </w:rPr>
      </w:pPr>
      <w:r w:rsidRPr="000C7C76">
        <w:rPr>
          <w:rFonts w:ascii="Times New Roman" w:hAnsi="Times New Roman" w:cs="Times New Roman"/>
          <w:lang w:val="de-DE"/>
        </w:rPr>
        <w:t xml:space="preserve">XX </w:t>
      </w:r>
      <w:proofErr w:type="spellStart"/>
      <w:r w:rsidRPr="000C7C76">
        <w:rPr>
          <w:rFonts w:ascii="Times New Roman" w:hAnsi="Times New Roman" w:cs="Times New Roman"/>
          <w:lang w:val="de-DE"/>
        </w:rPr>
        <w:t>gadsimta</w:t>
      </w:r>
      <w:proofErr w:type="spellEnd"/>
      <w:r w:rsidRPr="000C7C76">
        <w:rPr>
          <w:rFonts w:ascii="Times New Roman" w:hAnsi="Times New Roman" w:cs="Times New Roman"/>
          <w:lang w:val="de-DE"/>
        </w:rPr>
        <w:t xml:space="preserve"> </w:t>
      </w:r>
      <w:proofErr w:type="spellStart"/>
      <w:r w:rsidRPr="000C7C76">
        <w:rPr>
          <w:rFonts w:ascii="Times New Roman" w:hAnsi="Times New Roman" w:cs="Times New Roman"/>
          <w:b/>
          <w:lang w:val="de-DE"/>
        </w:rPr>
        <w:t>vācu</w:t>
      </w:r>
      <w:proofErr w:type="spellEnd"/>
      <w:r w:rsidRPr="000C7C76">
        <w:rPr>
          <w:rFonts w:ascii="Times New Roman" w:hAnsi="Times New Roman" w:cs="Times New Roman"/>
          <w:lang w:val="de-DE"/>
        </w:rPr>
        <w:t xml:space="preserve"> SPT </w:t>
      </w:r>
      <w:proofErr w:type="spellStart"/>
      <w:r w:rsidRPr="000C7C76">
        <w:rPr>
          <w:rFonts w:ascii="Times New Roman" w:hAnsi="Times New Roman" w:cs="Times New Roman"/>
          <w:lang w:val="de-DE"/>
        </w:rPr>
        <w:t>doktrīnā</w:t>
      </w:r>
      <w:proofErr w:type="spellEnd"/>
      <w:r w:rsidRPr="000C7C76">
        <w:rPr>
          <w:rFonts w:ascii="Times New Roman" w:hAnsi="Times New Roman" w:cs="Times New Roman"/>
          <w:lang w:val="de-DE"/>
        </w:rPr>
        <w:t xml:space="preserve"> </w:t>
      </w:r>
      <w:proofErr w:type="spellStart"/>
      <w:r w:rsidRPr="000C7C76">
        <w:rPr>
          <w:rFonts w:ascii="Times New Roman" w:hAnsi="Times New Roman" w:cs="Times New Roman"/>
          <w:lang w:val="de-DE"/>
        </w:rPr>
        <w:t>pilnva</w:t>
      </w:r>
      <w:r w:rsidR="00485054" w:rsidRPr="000C7C76">
        <w:rPr>
          <w:rFonts w:ascii="Times New Roman" w:hAnsi="Times New Roman" w:cs="Times New Roman"/>
          <w:lang w:val="de-DE"/>
        </w:rPr>
        <w:t>ru</w:t>
      </w:r>
      <w:proofErr w:type="spellEnd"/>
      <w:r w:rsidR="00485054" w:rsidRPr="000C7C76">
        <w:rPr>
          <w:rFonts w:ascii="Times New Roman" w:hAnsi="Times New Roman" w:cs="Times New Roman"/>
          <w:lang w:val="de-DE"/>
        </w:rPr>
        <w:t xml:space="preserve"> </w:t>
      </w:r>
      <w:proofErr w:type="spellStart"/>
      <w:r w:rsidR="00485054" w:rsidRPr="000C7C76">
        <w:rPr>
          <w:rFonts w:ascii="Times New Roman" w:hAnsi="Times New Roman" w:cs="Times New Roman"/>
          <w:lang w:val="de-DE"/>
        </w:rPr>
        <w:t>piesaistīja</w:t>
      </w:r>
      <w:proofErr w:type="spellEnd"/>
      <w:r w:rsidR="00485054" w:rsidRPr="000C7C76">
        <w:rPr>
          <w:rFonts w:ascii="Times New Roman" w:hAnsi="Times New Roman" w:cs="Times New Roman"/>
          <w:lang w:val="de-DE"/>
        </w:rPr>
        <w:t xml:space="preserve"> </w:t>
      </w:r>
      <w:proofErr w:type="spellStart"/>
      <w:r w:rsidR="00485054" w:rsidRPr="000C7C76">
        <w:rPr>
          <w:rFonts w:ascii="Times New Roman" w:hAnsi="Times New Roman" w:cs="Times New Roman"/>
          <w:lang w:val="de-DE"/>
        </w:rPr>
        <w:t>galvenā</w:t>
      </w:r>
      <w:proofErr w:type="spellEnd"/>
      <w:r w:rsidR="00485054" w:rsidRPr="000C7C76">
        <w:rPr>
          <w:rFonts w:ascii="Times New Roman" w:hAnsi="Times New Roman" w:cs="Times New Roman"/>
          <w:lang w:val="de-DE"/>
        </w:rPr>
        <w:t xml:space="preserve"> </w:t>
      </w:r>
      <w:proofErr w:type="spellStart"/>
      <w:r w:rsidR="00485054" w:rsidRPr="000C7C76">
        <w:rPr>
          <w:rFonts w:ascii="Times New Roman" w:hAnsi="Times New Roman" w:cs="Times New Roman"/>
          <w:lang w:val="de-DE"/>
        </w:rPr>
        <w:t>darījuma</w:t>
      </w:r>
      <w:proofErr w:type="spellEnd"/>
      <w:r w:rsidRPr="000C7C76">
        <w:rPr>
          <w:rFonts w:ascii="Times New Roman" w:hAnsi="Times New Roman" w:cs="Times New Roman"/>
          <w:lang w:val="de-DE"/>
        </w:rPr>
        <w:t xml:space="preserve"> </w:t>
      </w:r>
      <w:proofErr w:type="spellStart"/>
      <w:r w:rsidRPr="000C7C76">
        <w:rPr>
          <w:rFonts w:ascii="Times New Roman" w:hAnsi="Times New Roman" w:cs="Times New Roman"/>
          <w:lang w:val="de-DE"/>
        </w:rPr>
        <w:t>statūtam</w:t>
      </w:r>
      <w:proofErr w:type="spellEnd"/>
      <w:r w:rsidRPr="000C7C76">
        <w:rPr>
          <w:rFonts w:ascii="Times New Roman" w:hAnsi="Times New Roman" w:cs="Times New Roman"/>
          <w:lang w:val="de-DE"/>
        </w:rPr>
        <w:t xml:space="preserve"> (</w:t>
      </w:r>
      <w:r w:rsidRPr="000C7C76">
        <w:rPr>
          <w:rFonts w:ascii="Times New Roman" w:hAnsi="Times New Roman" w:cs="Times New Roman"/>
          <w:i/>
          <w:lang w:val="de-DE"/>
        </w:rPr>
        <w:t>Geschäftsstatut</w:t>
      </w:r>
      <w:r w:rsidRPr="000C7C76">
        <w:rPr>
          <w:rFonts w:ascii="Times New Roman" w:hAnsi="Times New Roman" w:cs="Times New Roman"/>
          <w:lang w:val="de-DE"/>
        </w:rPr>
        <w:t>).</w:t>
      </w:r>
      <w:r w:rsidRPr="00BF3A72">
        <w:rPr>
          <w:rStyle w:val="FootnoteReference"/>
          <w:rFonts w:ascii="Times New Roman" w:hAnsi="Times New Roman" w:cs="Times New Roman"/>
        </w:rPr>
        <w:footnoteReference w:id="33"/>
      </w:r>
      <w:r w:rsidRPr="000C7C76">
        <w:rPr>
          <w:rFonts w:ascii="Times New Roman" w:hAnsi="Times New Roman" w:cs="Times New Roman"/>
          <w:lang w:val="de-DE"/>
        </w:rPr>
        <w:t xml:space="preserve"> </w:t>
      </w:r>
      <w:proofErr w:type="spellStart"/>
      <w:r w:rsidRPr="000C7C76">
        <w:rPr>
          <w:rFonts w:ascii="Times New Roman" w:hAnsi="Times New Roman" w:cs="Times New Roman"/>
          <w:lang w:val="de-DE"/>
        </w:rPr>
        <w:t>Taču</w:t>
      </w:r>
      <w:proofErr w:type="spellEnd"/>
      <w:r w:rsidRPr="000C7C76">
        <w:rPr>
          <w:rFonts w:ascii="Times New Roman" w:hAnsi="Times New Roman" w:cs="Times New Roman"/>
          <w:lang w:val="de-DE"/>
        </w:rPr>
        <w:t xml:space="preserve"> </w:t>
      </w:r>
      <w:proofErr w:type="spellStart"/>
      <w:r w:rsidRPr="000C7C76">
        <w:rPr>
          <w:rFonts w:ascii="Times New Roman" w:hAnsi="Times New Roman" w:cs="Times New Roman"/>
          <w:lang w:val="de-DE"/>
        </w:rPr>
        <w:t>vēlāk</w:t>
      </w:r>
      <w:proofErr w:type="spellEnd"/>
      <w:r w:rsidRPr="000C7C76">
        <w:rPr>
          <w:rFonts w:ascii="Times New Roman" w:hAnsi="Times New Roman" w:cs="Times New Roman"/>
          <w:lang w:val="de-DE"/>
        </w:rPr>
        <w:t xml:space="preserve"> </w:t>
      </w:r>
      <w:proofErr w:type="spellStart"/>
      <w:r w:rsidRPr="000C7C76">
        <w:rPr>
          <w:rFonts w:ascii="Times New Roman" w:hAnsi="Times New Roman" w:cs="Times New Roman"/>
          <w:lang w:val="de-DE"/>
        </w:rPr>
        <w:t>Vācijas</w:t>
      </w:r>
      <w:proofErr w:type="spellEnd"/>
      <w:r w:rsidRPr="000C7C76">
        <w:rPr>
          <w:rFonts w:ascii="Times New Roman" w:hAnsi="Times New Roman" w:cs="Times New Roman"/>
          <w:lang w:val="de-DE"/>
        </w:rPr>
        <w:t xml:space="preserve"> SPT </w:t>
      </w:r>
      <w:proofErr w:type="spellStart"/>
      <w:r w:rsidRPr="000C7C76">
        <w:rPr>
          <w:rFonts w:ascii="Times New Roman" w:hAnsi="Times New Roman" w:cs="Times New Roman"/>
          <w:lang w:val="de-DE"/>
        </w:rPr>
        <w:t>doktrīnā</w:t>
      </w:r>
      <w:proofErr w:type="spellEnd"/>
      <w:r w:rsidRPr="000C7C76">
        <w:rPr>
          <w:rFonts w:ascii="Times New Roman" w:hAnsi="Times New Roman" w:cs="Times New Roman"/>
          <w:lang w:val="de-DE"/>
        </w:rPr>
        <w:t xml:space="preserve"> </w:t>
      </w:r>
      <w:proofErr w:type="spellStart"/>
      <w:r w:rsidRPr="000C7C76">
        <w:rPr>
          <w:rFonts w:ascii="Times New Roman" w:hAnsi="Times New Roman" w:cs="Times New Roman"/>
          <w:lang w:val="de-DE"/>
        </w:rPr>
        <w:t>un</w:t>
      </w:r>
      <w:proofErr w:type="spellEnd"/>
      <w:r w:rsidRPr="000C7C76">
        <w:rPr>
          <w:rFonts w:ascii="Times New Roman" w:hAnsi="Times New Roman" w:cs="Times New Roman"/>
          <w:lang w:val="de-DE"/>
        </w:rPr>
        <w:t xml:space="preserve"> </w:t>
      </w:r>
      <w:proofErr w:type="spellStart"/>
      <w:r w:rsidRPr="000C7C76">
        <w:rPr>
          <w:rFonts w:ascii="Times New Roman" w:hAnsi="Times New Roman" w:cs="Times New Roman"/>
          <w:lang w:val="de-DE"/>
        </w:rPr>
        <w:t>tiesu</w:t>
      </w:r>
      <w:proofErr w:type="spellEnd"/>
      <w:r w:rsidRPr="000C7C76">
        <w:rPr>
          <w:rFonts w:ascii="Times New Roman" w:hAnsi="Times New Roman" w:cs="Times New Roman"/>
          <w:lang w:val="de-DE"/>
        </w:rPr>
        <w:t xml:space="preserve"> </w:t>
      </w:r>
      <w:proofErr w:type="spellStart"/>
      <w:r w:rsidRPr="000C7C76">
        <w:rPr>
          <w:rFonts w:ascii="Times New Roman" w:hAnsi="Times New Roman" w:cs="Times New Roman"/>
          <w:lang w:val="de-DE"/>
        </w:rPr>
        <w:t>praksē</w:t>
      </w:r>
      <w:proofErr w:type="spellEnd"/>
      <w:r w:rsidRPr="00BF3A72">
        <w:rPr>
          <w:rStyle w:val="FootnoteReference"/>
          <w:rFonts w:ascii="Times New Roman" w:hAnsi="Times New Roman" w:cs="Times New Roman"/>
        </w:rPr>
        <w:footnoteReference w:id="34"/>
      </w:r>
      <w:r w:rsidRPr="000C7C76">
        <w:rPr>
          <w:rFonts w:ascii="Times New Roman" w:hAnsi="Times New Roman" w:cs="Times New Roman"/>
          <w:lang w:val="de-DE"/>
        </w:rPr>
        <w:t xml:space="preserve"> </w:t>
      </w:r>
      <w:proofErr w:type="spellStart"/>
      <w:r w:rsidRPr="000C7C76">
        <w:rPr>
          <w:rFonts w:ascii="Times New Roman" w:hAnsi="Times New Roman" w:cs="Times New Roman"/>
          <w:lang w:val="de-DE"/>
        </w:rPr>
        <w:t>pilnvaru</w:t>
      </w:r>
      <w:proofErr w:type="spellEnd"/>
      <w:r w:rsidRPr="000C7C76">
        <w:rPr>
          <w:rFonts w:ascii="Times New Roman" w:hAnsi="Times New Roman" w:cs="Times New Roman"/>
          <w:lang w:val="de-DE"/>
        </w:rPr>
        <w:t xml:space="preserve"> </w:t>
      </w:r>
      <w:proofErr w:type="spellStart"/>
      <w:r w:rsidRPr="000C7C76">
        <w:rPr>
          <w:rFonts w:ascii="Times New Roman" w:hAnsi="Times New Roman" w:cs="Times New Roman"/>
          <w:lang w:val="de-DE"/>
        </w:rPr>
        <w:t>sāka</w:t>
      </w:r>
      <w:proofErr w:type="spellEnd"/>
      <w:r w:rsidRPr="000C7C76">
        <w:rPr>
          <w:rFonts w:ascii="Times New Roman" w:hAnsi="Times New Roman" w:cs="Times New Roman"/>
          <w:lang w:val="de-DE"/>
        </w:rPr>
        <w:t xml:space="preserve"> </w:t>
      </w:r>
      <w:proofErr w:type="spellStart"/>
      <w:r w:rsidRPr="000C7C76">
        <w:rPr>
          <w:rFonts w:ascii="Times New Roman" w:hAnsi="Times New Roman" w:cs="Times New Roman"/>
          <w:lang w:val="de-DE"/>
        </w:rPr>
        <w:t>piesaistīt</w:t>
      </w:r>
      <w:proofErr w:type="spellEnd"/>
      <w:r w:rsidRPr="000C7C76">
        <w:rPr>
          <w:rFonts w:ascii="Times New Roman" w:hAnsi="Times New Roman" w:cs="Times New Roman"/>
          <w:lang w:val="de-DE"/>
        </w:rPr>
        <w:t xml:space="preserve"> </w:t>
      </w:r>
      <w:proofErr w:type="spellStart"/>
      <w:r w:rsidRPr="000C7C76">
        <w:rPr>
          <w:rFonts w:ascii="Times New Roman" w:hAnsi="Times New Roman" w:cs="Times New Roman"/>
          <w:lang w:val="de-DE"/>
        </w:rPr>
        <w:t>pastāvīgam</w:t>
      </w:r>
      <w:proofErr w:type="spellEnd"/>
      <w:r w:rsidRPr="000C7C76">
        <w:rPr>
          <w:rFonts w:ascii="Times New Roman" w:hAnsi="Times New Roman" w:cs="Times New Roman"/>
          <w:lang w:val="de-DE"/>
        </w:rPr>
        <w:t xml:space="preserve"> </w:t>
      </w:r>
      <w:proofErr w:type="spellStart"/>
      <w:r w:rsidRPr="000C7C76">
        <w:rPr>
          <w:rFonts w:ascii="Times New Roman" w:hAnsi="Times New Roman" w:cs="Times New Roman"/>
          <w:lang w:val="de-DE"/>
        </w:rPr>
        <w:t>pilnvaras</w:t>
      </w:r>
      <w:proofErr w:type="spellEnd"/>
      <w:r w:rsidRPr="000C7C76">
        <w:rPr>
          <w:rFonts w:ascii="Times New Roman" w:hAnsi="Times New Roman" w:cs="Times New Roman"/>
          <w:lang w:val="de-DE"/>
        </w:rPr>
        <w:t xml:space="preserve"> </w:t>
      </w:r>
      <w:proofErr w:type="spellStart"/>
      <w:r w:rsidRPr="000C7C76">
        <w:rPr>
          <w:rFonts w:ascii="Times New Roman" w:hAnsi="Times New Roman" w:cs="Times New Roman"/>
          <w:lang w:val="de-DE"/>
        </w:rPr>
        <w:t>statūtam</w:t>
      </w:r>
      <w:proofErr w:type="spellEnd"/>
      <w:r w:rsidRPr="000C7C76">
        <w:rPr>
          <w:rFonts w:ascii="Times New Roman" w:hAnsi="Times New Roman" w:cs="Times New Roman"/>
          <w:lang w:val="de-DE"/>
        </w:rPr>
        <w:t xml:space="preserve"> (</w:t>
      </w:r>
      <w:proofErr w:type="spellStart"/>
      <w:r w:rsidRPr="000C7C76">
        <w:rPr>
          <w:rFonts w:ascii="Times New Roman" w:hAnsi="Times New Roman" w:cs="Times New Roman"/>
          <w:lang w:val="de-DE"/>
        </w:rPr>
        <w:t>vācu</w:t>
      </w:r>
      <w:proofErr w:type="spellEnd"/>
      <w:r w:rsidRPr="000C7C76">
        <w:rPr>
          <w:rFonts w:ascii="Times New Roman" w:hAnsi="Times New Roman" w:cs="Times New Roman"/>
          <w:lang w:val="de-DE"/>
        </w:rPr>
        <w:t xml:space="preserve"> </w:t>
      </w:r>
      <w:proofErr w:type="spellStart"/>
      <w:r w:rsidRPr="000C7C76">
        <w:rPr>
          <w:rFonts w:ascii="Times New Roman" w:hAnsi="Times New Roman" w:cs="Times New Roman"/>
          <w:lang w:val="de-DE"/>
        </w:rPr>
        <w:t>val</w:t>
      </w:r>
      <w:proofErr w:type="spellEnd"/>
      <w:r w:rsidRPr="000C7C76">
        <w:rPr>
          <w:rFonts w:ascii="Times New Roman" w:hAnsi="Times New Roman" w:cs="Times New Roman"/>
          <w:lang w:val="de-DE"/>
        </w:rPr>
        <w:t xml:space="preserve">. – </w:t>
      </w:r>
      <w:r w:rsidRPr="000C7C76">
        <w:rPr>
          <w:rFonts w:ascii="Times New Roman" w:hAnsi="Times New Roman" w:cs="Times New Roman"/>
          <w:i/>
          <w:lang w:val="de-DE"/>
        </w:rPr>
        <w:t>Vollmachtstatut</w:t>
      </w:r>
      <w:r w:rsidRPr="000C7C76">
        <w:rPr>
          <w:rFonts w:ascii="Times New Roman" w:hAnsi="Times New Roman" w:cs="Times New Roman"/>
          <w:lang w:val="de-DE"/>
        </w:rPr>
        <w:t xml:space="preserve">). Tas </w:t>
      </w:r>
      <w:proofErr w:type="spellStart"/>
      <w:r w:rsidRPr="000C7C76">
        <w:rPr>
          <w:rFonts w:ascii="Times New Roman" w:hAnsi="Times New Roman" w:cs="Times New Roman"/>
          <w:lang w:val="de-DE"/>
        </w:rPr>
        <w:t>nozīmē</w:t>
      </w:r>
      <w:proofErr w:type="spellEnd"/>
      <w:r w:rsidRPr="000C7C76">
        <w:rPr>
          <w:rFonts w:ascii="Times New Roman" w:hAnsi="Times New Roman" w:cs="Times New Roman"/>
          <w:lang w:val="de-DE"/>
        </w:rPr>
        <w:t xml:space="preserve">, </w:t>
      </w:r>
      <w:proofErr w:type="spellStart"/>
      <w:r w:rsidRPr="000C7C76">
        <w:rPr>
          <w:rFonts w:ascii="Times New Roman" w:hAnsi="Times New Roman" w:cs="Times New Roman"/>
          <w:lang w:val="de-DE"/>
        </w:rPr>
        <w:t>ka</w:t>
      </w:r>
      <w:proofErr w:type="spellEnd"/>
      <w:r w:rsidRPr="000C7C76">
        <w:rPr>
          <w:rFonts w:ascii="Times New Roman" w:hAnsi="Times New Roman" w:cs="Times New Roman"/>
          <w:lang w:val="de-DE"/>
        </w:rPr>
        <w:t xml:space="preserve"> </w:t>
      </w:r>
      <w:proofErr w:type="spellStart"/>
      <w:r w:rsidRPr="000C7C76">
        <w:rPr>
          <w:rFonts w:ascii="Times New Roman" w:hAnsi="Times New Roman" w:cs="Times New Roman"/>
          <w:lang w:val="de-DE"/>
        </w:rPr>
        <w:t>pilnvarai</w:t>
      </w:r>
      <w:proofErr w:type="spellEnd"/>
      <w:r w:rsidRPr="000C7C76">
        <w:rPr>
          <w:rFonts w:ascii="Times New Roman" w:hAnsi="Times New Roman" w:cs="Times New Roman"/>
          <w:lang w:val="de-DE"/>
        </w:rPr>
        <w:t xml:space="preserve"> </w:t>
      </w:r>
      <w:proofErr w:type="spellStart"/>
      <w:r w:rsidRPr="000C7C76">
        <w:rPr>
          <w:rFonts w:ascii="Times New Roman" w:hAnsi="Times New Roman" w:cs="Times New Roman"/>
          <w:lang w:val="de-DE"/>
        </w:rPr>
        <w:t>piemērojamais</w:t>
      </w:r>
      <w:proofErr w:type="spellEnd"/>
      <w:r w:rsidRPr="000C7C76">
        <w:rPr>
          <w:rFonts w:ascii="Times New Roman" w:hAnsi="Times New Roman" w:cs="Times New Roman"/>
          <w:lang w:val="de-DE"/>
        </w:rPr>
        <w:t xml:space="preserve"> </w:t>
      </w:r>
      <w:proofErr w:type="spellStart"/>
      <w:r w:rsidRPr="000C7C76">
        <w:rPr>
          <w:rFonts w:ascii="Times New Roman" w:hAnsi="Times New Roman" w:cs="Times New Roman"/>
          <w:lang w:val="de-DE"/>
        </w:rPr>
        <w:t>likums</w:t>
      </w:r>
      <w:proofErr w:type="spellEnd"/>
      <w:r w:rsidRPr="000C7C76">
        <w:rPr>
          <w:rFonts w:ascii="Times New Roman" w:hAnsi="Times New Roman" w:cs="Times New Roman"/>
          <w:lang w:val="de-DE"/>
        </w:rPr>
        <w:t xml:space="preserve"> </w:t>
      </w:r>
      <w:proofErr w:type="spellStart"/>
      <w:r w:rsidRPr="000C7C76">
        <w:rPr>
          <w:rFonts w:ascii="Times New Roman" w:hAnsi="Times New Roman" w:cs="Times New Roman"/>
          <w:lang w:val="de-DE"/>
        </w:rPr>
        <w:t>tiek</w:t>
      </w:r>
      <w:proofErr w:type="spellEnd"/>
      <w:r w:rsidRPr="000C7C76">
        <w:rPr>
          <w:rFonts w:ascii="Times New Roman" w:hAnsi="Times New Roman" w:cs="Times New Roman"/>
          <w:lang w:val="de-DE"/>
        </w:rPr>
        <w:t xml:space="preserve"> </w:t>
      </w:r>
      <w:proofErr w:type="spellStart"/>
      <w:r w:rsidRPr="000C7C76">
        <w:rPr>
          <w:rFonts w:ascii="Times New Roman" w:hAnsi="Times New Roman" w:cs="Times New Roman"/>
          <w:lang w:val="de-DE"/>
        </w:rPr>
        <w:t>nodalīts</w:t>
      </w:r>
      <w:proofErr w:type="spellEnd"/>
      <w:r w:rsidRPr="000C7C76">
        <w:rPr>
          <w:rFonts w:ascii="Times New Roman" w:hAnsi="Times New Roman" w:cs="Times New Roman"/>
          <w:lang w:val="de-DE"/>
        </w:rPr>
        <w:t xml:space="preserve"> </w:t>
      </w:r>
      <w:proofErr w:type="spellStart"/>
      <w:r w:rsidRPr="000C7C76">
        <w:rPr>
          <w:rFonts w:ascii="Times New Roman" w:hAnsi="Times New Roman" w:cs="Times New Roman"/>
          <w:lang w:val="de-DE"/>
        </w:rPr>
        <w:t>no</w:t>
      </w:r>
      <w:proofErr w:type="spellEnd"/>
      <w:r w:rsidRPr="000C7C76">
        <w:rPr>
          <w:rFonts w:ascii="Times New Roman" w:hAnsi="Times New Roman" w:cs="Times New Roman"/>
          <w:lang w:val="de-DE"/>
        </w:rPr>
        <w:t xml:space="preserve"> </w:t>
      </w:r>
      <w:proofErr w:type="spellStart"/>
      <w:r w:rsidRPr="000C7C76">
        <w:rPr>
          <w:rFonts w:ascii="Times New Roman" w:hAnsi="Times New Roman" w:cs="Times New Roman"/>
          <w:lang w:val="de-DE"/>
        </w:rPr>
        <w:t>iekšējam</w:t>
      </w:r>
      <w:proofErr w:type="spellEnd"/>
      <w:r w:rsidRPr="000C7C76">
        <w:rPr>
          <w:rFonts w:ascii="Times New Roman" w:hAnsi="Times New Roman" w:cs="Times New Roman"/>
          <w:lang w:val="de-DE"/>
        </w:rPr>
        <w:t xml:space="preserve"> </w:t>
      </w:r>
      <w:proofErr w:type="spellStart"/>
      <w:r w:rsidRPr="000C7C76">
        <w:rPr>
          <w:rFonts w:ascii="Times New Roman" w:hAnsi="Times New Roman" w:cs="Times New Roman"/>
          <w:lang w:val="de-DE"/>
        </w:rPr>
        <w:t>statūtam</w:t>
      </w:r>
      <w:proofErr w:type="spellEnd"/>
      <w:r w:rsidRPr="000C7C76">
        <w:rPr>
          <w:rFonts w:ascii="Times New Roman" w:hAnsi="Times New Roman" w:cs="Times New Roman"/>
          <w:lang w:val="de-DE"/>
        </w:rPr>
        <w:t xml:space="preserve"> (</w:t>
      </w:r>
      <w:proofErr w:type="spellStart"/>
      <w:r w:rsidRPr="000C7C76">
        <w:rPr>
          <w:rFonts w:ascii="Times New Roman" w:hAnsi="Times New Roman" w:cs="Times New Roman"/>
          <w:lang w:val="de-DE"/>
        </w:rPr>
        <w:t>pilnvarojuma</w:t>
      </w:r>
      <w:proofErr w:type="spellEnd"/>
      <w:r w:rsidRPr="000C7C76">
        <w:rPr>
          <w:rFonts w:ascii="Times New Roman" w:hAnsi="Times New Roman" w:cs="Times New Roman"/>
          <w:lang w:val="de-DE"/>
        </w:rPr>
        <w:t xml:space="preserve"> </w:t>
      </w:r>
      <w:proofErr w:type="spellStart"/>
      <w:r w:rsidRPr="000C7C76">
        <w:rPr>
          <w:rFonts w:ascii="Times New Roman" w:hAnsi="Times New Roman" w:cs="Times New Roman"/>
          <w:lang w:val="de-DE"/>
        </w:rPr>
        <w:t>līgumam</w:t>
      </w:r>
      <w:proofErr w:type="spellEnd"/>
      <w:r w:rsidRPr="000C7C76">
        <w:rPr>
          <w:rFonts w:ascii="Times New Roman" w:hAnsi="Times New Roman" w:cs="Times New Roman"/>
          <w:lang w:val="de-DE"/>
        </w:rPr>
        <w:t xml:space="preserve">) </w:t>
      </w:r>
      <w:proofErr w:type="spellStart"/>
      <w:r w:rsidRPr="000C7C76">
        <w:rPr>
          <w:rFonts w:ascii="Times New Roman" w:hAnsi="Times New Roman" w:cs="Times New Roman"/>
          <w:lang w:val="de-DE"/>
        </w:rPr>
        <w:t>un</w:t>
      </w:r>
      <w:proofErr w:type="spellEnd"/>
      <w:r w:rsidRPr="000C7C76">
        <w:rPr>
          <w:rFonts w:ascii="Times New Roman" w:hAnsi="Times New Roman" w:cs="Times New Roman"/>
          <w:lang w:val="de-DE"/>
        </w:rPr>
        <w:t xml:space="preserve"> </w:t>
      </w:r>
      <w:proofErr w:type="spellStart"/>
      <w:r w:rsidRPr="000C7C76">
        <w:rPr>
          <w:rFonts w:ascii="Times New Roman" w:hAnsi="Times New Roman" w:cs="Times New Roman"/>
          <w:lang w:val="de-DE"/>
        </w:rPr>
        <w:t>galvenā</w:t>
      </w:r>
      <w:proofErr w:type="spellEnd"/>
      <w:r w:rsidRPr="000C7C76">
        <w:rPr>
          <w:rFonts w:ascii="Times New Roman" w:hAnsi="Times New Roman" w:cs="Times New Roman"/>
          <w:lang w:val="de-DE"/>
        </w:rPr>
        <w:t xml:space="preserve"> </w:t>
      </w:r>
      <w:proofErr w:type="spellStart"/>
      <w:r w:rsidRPr="000C7C76">
        <w:rPr>
          <w:rFonts w:ascii="Times New Roman" w:hAnsi="Times New Roman" w:cs="Times New Roman"/>
          <w:lang w:val="de-DE"/>
        </w:rPr>
        <w:t>darījuma</w:t>
      </w:r>
      <w:proofErr w:type="spellEnd"/>
      <w:r w:rsidRPr="000C7C76">
        <w:rPr>
          <w:rFonts w:ascii="Times New Roman" w:hAnsi="Times New Roman" w:cs="Times New Roman"/>
          <w:lang w:val="de-DE"/>
        </w:rPr>
        <w:t xml:space="preserve"> </w:t>
      </w:r>
      <w:proofErr w:type="spellStart"/>
      <w:r w:rsidRPr="000C7C76">
        <w:rPr>
          <w:rFonts w:ascii="Times New Roman" w:hAnsi="Times New Roman" w:cs="Times New Roman"/>
          <w:lang w:val="de-DE"/>
        </w:rPr>
        <w:t>statūtam</w:t>
      </w:r>
      <w:proofErr w:type="spellEnd"/>
      <w:r w:rsidRPr="000C7C76">
        <w:rPr>
          <w:rFonts w:ascii="Times New Roman" w:hAnsi="Times New Roman" w:cs="Times New Roman"/>
          <w:lang w:val="de-DE"/>
        </w:rPr>
        <w:t xml:space="preserve"> </w:t>
      </w:r>
      <w:proofErr w:type="spellStart"/>
      <w:r w:rsidRPr="000C7C76">
        <w:rPr>
          <w:rFonts w:ascii="Times New Roman" w:hAnsi="Times New Roman" w:cs="Times New Roman"/>
          <w:lang w:val="de-DE"/>
        </w:rPr>
        <w:t>piemērojamā</w:t>
      </w:r>
      <w:proofErr w:type="spellEnd"/>
      <w:r w:rsidRPr="000C7C76">
        <w:rPr>
          <w:rFonts w:ascii="Times New Roman" w:hAnsi="Times New Roman" w:cs="Times New Roman"/>
          <w:lang w:val="de-DE"/>
        </w:rPr>
        <w:t xml:space="preserve"> </w:t>
      </w:r>
      <w:proofErr w:type="spellStart"/>
      <w:r w:rsidRPr="000C7C76">
        <w:rPr>
          <w:rFonts w:ascii="Times New Roman" w:hAnsi="Times New Roman" w:cs="Times New Roman"/>
          <w:lang w:val="de-DE"/>
        </w:rPr>
        <w:t>likuma</w:t>
      </w:r>
      <w:proofErr w:type="spellEnd"/>
      <w:r w:rsidRPr="000C7C76">
        <w:rPr>
          <w:rFonts w:ascii="Times New Roman" w:hAnsi="Times New Roman" w:cs="Times New Roman"/>
          <w:lang w:val="de-DE"/>
        </w:rPr>
        <w:t>.</w:t>
      </w:r>
      <w:r w:rsidRPr="00BF3A72">
        <w:rPr>
          <w:rStyle w:val="FootnoteReference"/>
          <w:rFonts w:ascii="Times New Roman" w:hAnsi="Times New Roman" w:cs="Times New Roman"/>
        </w:rPr>
        <w:footnoteReference w:id="35"/>
      </w:r>
    </w:p>
    <w:p w14:paraId="6A0D261C" w14:textId="12BBDA8E" w:rsidR="00114953" w:rsidRPr="000C7C76" w:rsidRDefault="00114953" w:rsidP="00114953">
      <w:pPr>
        <w:ind w:firstLine="708"/>
        <w:jc w:val="both"/>
        <w:rPr>
          <w:rFonts w:ascii="Times New Roman" w:hAnsi="Times New Roman" w:cs="Times New Roman"/>
          <w:lang w:val="de-DE"/>
        </w:rPr>
      </w:pPr>
      <w:proofErr w:type="spellStart"/>
      <w:r w:rsidRPr="000C7C76">
        <w:rPr>
          <w:rFonts w:ascii="Times New Roman" w:hAnsi="Times New Roman" w:cs="Times New Roman"/>
          <w:lang w:val="de-DE"/>
        </w:rPr>
        <w:t>Jāatzīmē</w:t>
      </w:r>
      <w:proofErr w:type="spellEnd"/>
      <w:r w:rsidRPr="000C7C76">
        <w:rPr>
          <w:rFonts w:ascii="Times New Roman" w:hAnsi="Times New Roman" w:cs="Times New Roman"/>
          <w:lang w:val="de-DE"/>
        </w:rPr>
        <w:t xml:space="preserve">, </w:t>
      </w:r>
      <w:proofErr w:type="spellStart"/>
      <w:r w:rsidRPr="000C7C76">
        <w:rPr>
          <w:rFonts w:ascii="Times New Roman" w:hAnsi="Times New Roman" w:cs="Times New Roman"/>
          <w:lang w:val="de-DE"/>
        </w:rPr>
        <w:t>ka</w:t>
      </w:r>
      <w:proofErr w:type="spellEnd"/>
      <w:r w:rsidRPr="000C7C76">
        <w:rPr>
          <w:rFonts w:ascii="Times New Roman" w:hAnsi="Times New Roman" w:cs="Times New Roman"/>
          <w:lang w:val="de-DE"/>
        </w:rPr>
        <w:t xml:space="preserve"> </w:t>
      </w:r>
      <w:proofErr w:type="spellStart"/>
      <w:r w:rsidRPr="000C7C76">
        <w:rPr>
          <w:rFonts w:ascii="Times New Roman" w:hAnsi="Times New Roman" w:cs="Times New Roman"/>
          <w:lang w:val="de-DE"/>
        </w:rPr>
        <w:t>Vācijā</w:t>
      </w:r>
      <w:proofErr w:type="spellEnd"/>
      <w:r w:rsidRPr="000C7C76">
        <w:rPr>
          <w:rFonts w:ascii="Times New Roman" w:hAnsi="Times New Roman" w:cs="Times New Roman"/>
          <w:lang w:val="de-DE"/>
        </w:rPr>
        <w:t xml:space="preserve">, </w:t>
      </w:r>
      <w:proofErr w:type="spellStart"/>
      <w:r w:rsidRPr="000C7C76">
        <w:rPr>
          <w:rFonts w:ascii="Times New Roman" w:hAnsi="Times New Roman" w:cs="Times New Roman"/>
          <w:lang w:val="de-DE"/>
        </w:rPr>
        <w:t>tāpat</w:t>
      </w:r>
      <w:proofErr w:type="spellEnd"/>
      <w:r w:rsidRPr="000C7C76">
        <w:rPr>
          <w:rFonts w:ascii="Times New Roman" w:hAnsi="Times New Roman" w:cs="Times New Roman"/>
          <w:lang w:val="de-DE"/>
        </w:rPr>
        <w:t xml:space="preserve"> </w:t>
      </w:r>
      <w:proofErr w:type="spellStart"/>
      <w:r w:rsidRPr="000C7C76">
        <w:rPr>
          <w:rFonts w:ascii="Times New Roman" w:hAnsi="Times New Roman" w:cs="Times New Roman"/>
          <w:lang w:val="de-DE"/>
        </w:rPr>
        <w:t>kā</w:t>
      </w:r>
      <w:proofErr w:type="spellEnd"/>
      <w:r w:rsidRPr="000C7C76">
        <w:rPr>
          <w:rFonts w:ascii="Times New Roman" w:hAnsi="Times New Roman" w:cs="Times New Roman"/>
          <w:lang w:val="de-DE"/>
        </w:rPr>
        <w:t xml:space="preserve"> </w:t>
      </w:r>
      <w:proofErr w:type="spellStart"/>
      <w:r w:rsidRPr="000C7C76">
        <w:rPr>
          <w:rFonts w:ascii="Times New Roman" w:hAnsi="Times New Roman" w:cs="Times New Roman"/>
          <w:lang w:val="de-DE"/>
        </w:rPr>
        <w:t>Latvijā</w:t>
      </w:r>
      <w:proofErr w:type="spellEnd"/>
      <w:r w:rsidRPr="000C7C76">
        <w:rPr>
          <w:rFonts w:ascii="Times New Roman" w:hAnsi="Times New Roman" w:cs="Times New Roman"/>
          <w:lang w:val="de-DE"/>
        </w:rPr>
        <w:t xml:space="preserve">, </w:t>
      </w:r>
      <w:proofErr w:type="spellStart"/>
      <w:r w:rsidRPr="000C7C76">
        <w:rPr>
          <w:rFonts w:ascii="Times New Roman" w:hAnsi="Times New Roman" w:cs="Times New Roman"/>
          <w:lang w:val="de-DE"/>
        </w:rPr>
        <w:t>pagaidām</w:t>
      </w:r>
      <w:proofErr w:type="spellEnd"/>
      <w:r w:rsidRPr="000C7C76">
        <w:rPr>
          <w:rFonts w:ascii="Times New Roman" w:hAnsi="Times New Roman" w:cs="Times New Roman"/>
          <w:lang w:val="de-DE"/>
        </w:rPr>
        <w:t xml:space="preserve"> </w:t>
      </w:r>
      <w:proofErr w:type="spellStart"/>
      <w:r w:rsidRPr="000C7C76">
        <w:rPr>
          <w:rFonts w:ascii="Times New Roman" w:hAnsi="Times New Roman" w:cs="Times New Roman"/>
          <w:lang w:val="de-DE"/>
        </w:rPr>
        <w:t>vēl</w:t>
      </w:r>
      <w:proofErr w:type="spellEnd"/>
      <w:r w:rsidRPr="000C7C76">
        <w:rPr>
          <w:rFonts w:ascii="Times New Roman" w:hAnsi="Times New Roman" w:cs="Times New Roman"/>
          <w:lang w:val="de-DE"/>
        </w:rPr>
        <w:t xml:space="preserve"> </w:t>
      </w:r>
      <w:proofErr w:type="spellStart"/>
      <w:r w:rsidRPr="000C7C76">
        <w:rPr>
          <w:rFonts w:ascii="Times New Roman" w:hAnsi="Times New Roman" w:cs="Times New Roman"/>
          <w:lang w:val="de-DE"/>
        </w:rPr>
        <w:t>nav</w:t>
      </w:r>
      <w:proofErr w:type="spellEnd"/>
      <w:r w:rsidRPr="000C7C76">
        <w:rPr>
          <w:rFonts w:ascii="Times New Roman" w:hAnsi="Times New Roman" w:cs="Times New Roman"/>
          <w:lang w:val="de-DE"/>
        </w:rPr>
        <w:t xml:space="preserve"> </w:t>
      </w:r>
      <w:proofErr w:type="spellStart"/>
      <w:r w:rsidRPr="000C7C76">
        <w:rPr>
          <w:rFonts w:ascii="Times New Roman" w:hAnsi="Times New Roman" w:cs="Times New Roman"/>
          <w:lang w:val="de-DE"/>
        </w:rPr>
        <w:t>speciālas</w:t>
      </w:r>
      <w:proofErr w:type="spellEnd"/>
      <w:r w:rsidRPr="000C7C76">
        <w:rPr>
          <w:rFonts w:ascii="Times New Roman" w:hAnsi="Times New Roman" w:cs="Times New Roman"/>
          <w:lang w:val="de-DE"/>
        </w:rPr>
        <w:t xml:space="preserve"> </w:t>
      </w:r>
      <w:proofErr w:type="spellStart"/>
      <w:r w:rsidRPr="000C7C76">
        <w:rPr>
          <w:rFonts w:ascii="Times New Roman" w:hAnsi="Times New Roman" w:cs="Times New Roman"/>
          <w:lang w:val="de-DE"/>
        </w:rPr>
        <w:t>kolīziju</w:t>
      </w:r>
      <w:proofErr w:type="spellEnd"/>
      <w:r w:rsidRPr="000C7C76">
        <w:rPr>
          <w:rFonts w:ascii="Times New Roman" w:hAnsi="Times New Roman" w:cs="Times New Roman"/>
          <w:lang w:val="de-DE"/>
        </w:rPr>
        <w:t xml:space="preserve"> </w:t>
      </w:r>
      <w:proofErr w:type="spellStart"/>
      <w:r w:rsidRPr="000C7C76">
        <w:rPr>
          <w:rFonts w:ascii="Times New Roman" w:hAnsi="Times New Roman" w:cs="Times New Roman"/>
          <w:lang w:val="de-DE"/>
        </w:rPr>
        <w:t>normas</w:t>
      </w:r>
      <w:proofErr w:type="spellEnd"/>
      <w:r w:rsidRPr="000C7C76">
        <w:rPr>
          <w:rFonts w:ascii="Times New Roman" w:hAnsi="Times New Roman" w:cs="Times New Roman"/>
          <w:lang w:val="de-DE"/>
        </w:rPr>
        <w:t xml:space="preserve"> </w:t>
      </w:r>
      <w:proofErr w:type="spellStart"/>
      <w:r w:rsidRPr="000C7C76">
        <w:rPr>
          <w:rFonts w:ascii="Times New Roman" w:hAnsi="Times New Roman" w:cs="Times New Roman"/>
          <w:lang w:val="de-DE"/>
        </w:rPr>
        <w:t>pilnvarojumiem</w:t>
      </w:r>
      <w:proofErr w:type="spellEnd"/>
      <w:r w:rsidRPr="000C7C76">
        <w:rPr>
          <w:rFonts w:ascii="Times New Roman" w:hAnsi="Times New Roman" w:cs="Times New Roman"/>
          <w:lang w:val="de-DE"/>
        </w:rPr>
        <w:t xml:space="preserve"> (</w:t>
      </w:r>
      <w:proofErr w:type="spellStart"/>
      <w:r w:rsidRPr="000C7C76">
        <w:rPr>
          <w:rFonts w:ascii="Times New Roman" w:hAnsi="Times New Roman" w:cs="Times New Roman"/>
          <w:lang w:val="de-DE"/>
        </w:rPr>
        <w:t>pārstāvībai</w:t>
      </w:r>
      <w:proofErr w:type="spellEnd"/>
      <w:r w:rsidRPr="000C7C76">
        <w:rPr>
          <w:rFonts w:ascii="Times New Roman" w:hAnsi="Times New Roman" w:cs="Times New Roman"/>
          <w:lang w:val="de-DE"/>
        </w:rPr>
        <w:t xml:space="preserve"> </w:t>
      </w:r>
      <w:proofErr w:type="spellStart"/>
      <w:r w:rsidRPr="000C7C76">
        <w:rPr>
          <w:rFonts w:ascii="Times New Roman" w:hAnsi="Times New Roman" w:cs="Times New Roman"/>
          <w:lang w:val="de-DE"/>
        </w:rPr>
        <w:t>uz</w:t>
      </w:r>
      <w:proofErr w:type="spellEnd"/>
      <w:r w:rsidRPr="000C7C76">
        <w:rPr>
          <w:rFonts w:ascii="Times New Roman" w:hAnsi="Times New Roman" w:cs="Times New Roman"/>
          <w:lang w:val="de-DE"/>
        </w:rPr>
        <w:t xml:space="preserve"> </w:t>
      </w:r>
      <w:proofErr w:type="spellStart"/>
      <w:r w:rsidRPr="000C7C76">
        <w:rPr>
          <w:rFonts w:ascii="Times New Roman" w:hAnsi="Times New Roman" w:cs="Times New Roman"/>
          <w:lang w:val="de-DE"/>
        </w:rPr>
        <w:t>līguma</w:t>
      </w:r>
      <w:proofErr w:type="spellEnd"/>
      <w:r w:rsidRPr="000C7C76">
        <w:rPr>
          <w:rFonts w:ascii="Times New Roman" w:hAnsi="Times New Roman" w:cs="Times New Roman"/>
          <w:lang w:val="de-DE"/>
        </w:rPr>
        <w:t xml:space="preserve"> </w:t>
      </w:r>
      <w:proofErr w:type="spellStart"/>
      <w:r w:rsidRPr="000C7C76">
        <w:rPr>
          <w:rFonts w:ascii="Times New Roman" w:hAnsi="Times New Roman" w:cs="Times New Roman"/>
          <w:lang w:val="de-DE"/>
        </w:rPr>
        <w:t>pamata</w:t>
      </w:r>
      <w:proofErr w:type="spellEnd"/>
      <w:r w:rsidRPr="000C7C76">
        <w:rPr>
          <w:rFonts w:ascii="Times New Roman" w:hAnsi="Times New Roman" w:cs="Times New Roman"/>
          <w:lang w:val="de-DE"/>
        </w:rPr>
        <w:t xml:space="preserve">). </w:t>
      </w:r>
      <w:proofErr w:type="spellStart"/>
      <w:r w:rsidRPr="000C7C76">
        <w:rPr>
          <w:rFonts w:ascii="Times New Roman" w:hAnsi="Times New Roman" w:cs="Times New Roman"/>
          <w:lang w:val="de-DE"/>
        </w:rPr>
        <w:t>Minēto</w:t>
      </w:r>
      <w:proofErr w:type="spellEnd"/>
      <w:r w:rsidRPr="000C7C76">
        <w:rPr>
          <w:rFonts w:ascii="Times New Roman" w:hAnsi="Times New Roman" w:cs="Times New Roman"/>
          <w:lang w:val="de-DE"/>
        </w:rPr>
        <w:t xml:space="preserve"> </w:t>
      </w:r>
      <w:proofErr w:type="spellStart"/>
      <w:r w:rsidRPr="000C7C76">
        <w:rPr>
          <w:rFonts w:ascii="Times New Roman" w:hAnsi="Times New Roman" w:cs="Times New Roman"/>
          <w:lang w:val="de-DE"/>
        </w:rPr>
        <w:t>pieeju</w:t>
      </w:r>
      <w:proofErr w:type="spellEnd"/>
      <w:r w:rsidRPr="000C7C76">
        <w:rPr>
          <w:rFonts w:ascii="Times New Roman" w:hAnsi="Times New Roman" w:cs="Times New Roman"/>
          <w:lang w:val="de-DE"/>
        </w:rPr>
        <w:t xml:space="preserve"> </w:t>
      </w:r>
      <w:proofErr w:type="spellStart"/>
      <w:r w:rsidRPr="000C7C76">
        <w:rPr>
          <w:rFonts w:ascii="Times New Roman" w:hAnsi="Times New Roman" w:cs="Times New Roman"/>
          <w:lang w:val="de-DE"/>
        </w:rPr>
        <w:t>līdz</w:t>
      </w:r>
      <w:proofErr w:type="spellEnd"/>
      <w:r w:rsidRPr="000C7C76">
        <w:rPr>
          <w:rFonts w:ascii="Times New Roman" w:hAnsi="Times New Roman" w:cs="Times New Roman"/>
          <w:lang w:val="de-DE"/>
        </w:rPr>
        <w:t xml:space="preserve"> </w:t>
      </w:r>
      <w:proofErr w:type="spellStart"/>
      <w:r w:rsidRPr="000C7C76">
        <w:rPr>
          <w:rFonts w:ascii="Times New Roman" w:hAnsi="Times New Roman" w:cs="Times New Roman"/>
          <w:lang w:val="de-DE"/>
        </w:rPr>
        <w:t>šim</w:t>
      </w:r>
      <w:proofErr w:type="spellEnd"/>
      <w:r w:rsidRPr="000C7C76">
        <w:rPr>
          <w:rFonts w:ascii="Times New Roman" w:hAnsi="Times New Roman" w:cs="Times New Roman"/>
          <w:lang w:val="de-DE"/>
        </w:rPr>
        <w:t xml:space="preserve"> </w:t>
      </w:r>
      <w:r w:rsidRPr="000C7C76">
        <w:rPr>
          <w:rFonts w:ascii="Times New Roman" w:hAnsi="Times New Roman" w:cs="Times New Roman"/>
          <w:i/>
          <w:lang w:val="de-DE"/>
        </w:rPr>
        <w:t>praeter legem</w:t>
      </w:r>
      <w:r w:rsidRPr="000C7C76">
        <w:rPr>
          <w:rFonts w:ascii="Times New Roman" w:hAnsi="Times New Roman" w:cs="Times New Roman"/>
          <w:lang w:val="de-DE"/>
        </w:rPr>
        <w:t xml:space="preserve"> </w:t>
      </w:r>
      <w:proofErr w:type="spellStart"/>
      <w:r w:rsidRPr="000C7C76">
        <w:rPr>
          <w:rFonts w:ascii="Times New Roman" w:hAnsi="Times New Roman" w:cs="Times New Roman"/>
          <w:lang w:val="de-DE"/>
        </w:rPr>
        <w:t>ietvaros</w:t>
      </w:r>
      <w:proofErr w:type="spellEnd"/>
      <w:r w:rsidRPr="000C7C76">
        <w:rPr>
          <w:rFonts w:ascii="Times New Roman" w:hAnsi="Times New Roman" w:cs="Times New Roman"/>
          <w:lang w:val="de-DE"/>
        </w:rPr>
        <w:t xml:space="preserve"> </w:t>
      </w:r>
      <w:proofErr w:type="spellStart"/>
      <w:r w:rsidRPr="000C7C76">
        <w:rPr>
          <w:rFonts w:ascii="Times New Roman" w:hAnsi="Times New Roman" w:cs="Times New Roman"/>
          <w:lang w:val="de-DE"/>
        </w:rPr>
        <w:t>ir</w:t>
      </w:r>
      <w:proofErr w:type="spellEnd"/>
      <w:r w:rsidRPr="000C7C76">
        <w:rPr>
          <w:rFonts w:ascii="Times New Roman" w:hAnsi="Times New Roman" w:cs="Times New Roman"/>
          <w:lang w:val="de-DE"/>
        </w:rPr>
        <w:t xml:space="preserve"> </w:t>
      </w:r>
      <w:proofErr w:type="spellStart"/>
      <w:r w:rsidRPr="000C7C76">
        <w:rPr>
          <w:rFonts w:ascii="Times New Roman" w:hAnsi="Times New Roman" w:cs="Times New Roman"/>
          <w:lang w:val="de-DE"/>
        </w:rPr>
        <w:t>attīstījusi</w:t>
      </w:r>
      <w:proofErr w:type="spellEnd"/>
      <w:r w:rsidRPr="000C7C76">
        <w:rPr>
          <w:rFonts w:ascii="Times New Roman" w:hAnsi="Times New Roman" w:cs="Times New Roman"/>
          <w:lang w:val="de-DE"/>
        </w:rPr>
        <w:t xml:space="preserve"> </w:t>
      </w:r>
      <w:proofErr w:type="spellStart"/>
      <w:r w:rsidRPr="000C7C76">
        <w:rPr>
          <w:rFonts w:ascii="Times New Roman" w:hAnsi="Times New Roman" w:cs="Times New Roman"/>
          <w:lang w:val="de-DE"/>
        </w:rPr>
        <w:t>vācu</w:t>
      </w:r>
      <w:proofErr w:type="spellEnd"/>
      <w:r w:rsidRPr="000C7C76">
        <w:rPr>
          <w:rFonts w:ascii="Times New Roman" w:hAnsi="Times New Roman" w:cs="Times New Roman"/>
          <w:lang w:val="de-DE"/>
        </w:rPr>
        <w:t xml:space="preserve"> SPT </w:t>
      </w:r>
      <w:proofErr w:type="spellStart"/>
      <w:r w:rsidRPr="000C7C76">
        <w:rPr>
          <w:rFonts w:ascii="Times New Roman" w:hAnsi="Times New Roman" w:cs="Times New Roman"/>
          <w:lang w:val="de-DE"/>
        </w:rPr>
        <w:t>doktrīna</w:t>
      </w:r>
      <w:proofErr w:type="spellEnd"/>
      <w:r w:rsidRPr="000C7C76">
        <w:rPr>
          <w:rFonts w:ascii="Times New Roman" w:hAnsi="Times New Roman" w:cs="Times New Roman"/>
          <w:lang w:val="de-DE"/>
        </w:rPr>
        <w:t xml:space="preserve">, </w:t>
      </w:r>
      <w:proofErr w:type="spellStart"/>
      <w:r w:rsidRPr="000C7C76">
        <w:rPr>
          <w:rFonts w:ascii="Times New Roman" w:hAnsi="Times New Roman" w:cs="Times New Roman"/>
          <w:lang w:val="de-DE"/>
        </w:rPr>
        <w:t>kā</w:t>
      </w:r>
      <w:proofErr w:type="spellEnd"/>
      <w:r w:rsidRPr="000C7C76">
        <w:rPr>
          <w:rFonts w:ascii="Times New Roman" w:hAnsi="Times New Roman" w:cs="Times New Roman"/>
          <w:lang w:val="de-DE"/>
        </w:rPr>
        <w:t xml:space="preserve"> </w:t>
      </w:r>
      <w:proofErr w:type="spellStart"/>
      <w:r w:rsidRPr="000C7C76">
        <w:rPr>
          <w:rFonts w:ascii="Times New Roman" w:hAnsi="Times New Roman" w:cs="Times New Roman"/>
          <w:lang w:val="de-DE"/>
        </w:rPr>
        <w:t>arī</w:t>
      </w:r>
      <w:proofErr w:type="spellEnd"/>
      <w:r w:rsidRPr="000C7C76">
        <w:rPr>
          <w:rFonts w:ascii="Times New Roman" w:hAnsi="Times New Roman" w:cs="Times New Roman"/>
          <w:lang w:val="de-DE"/>
        </w:rPr>
        <w:t xml:space="preserve"> </w:t>
      </w:r>
      <w:proofErr w:type="spellStart"/>
      <w:r w:rsidRPr="000C7C76">
        <w:rPr>
          <w:rFonts w:ascii="Times New Roman" w:hAnsi="Times New Roman" w:cs="Times New Roman"/>
          <w:lang w:val="de-DE"/>
        </w:rPr>
        <w:t>tiesu</w:t>
      </w:r>
      <w:proofErr w:type="spellEnd"/>
      <w:r w:rsidRPr="000C7C76">
        <w:rPr>
          <w:rFonts w:ascii="Times New Roman" w:hAnsi="Times New Roman" w:cs="Times New Roman"/>
          <w:lang w:val="de-DE"/>
        </w:rPr>
        <w:t xml:space="preserve"> </w:t>
      </w:r>
      <w:proofErr w:type="spellStart"/>
      <w:r w:rsidRPr="000C7C76">
        <w:rPr>
          <w:rFonts w:ascii="Times New Roman" w:hAnsi="Times New Roman" w:cs="Times New Roman"/>
          <w:lang w:val="de-DE"/>
        </w:rPr>
        <w:t>prakse</w:t>
      </w:r>
      <w:proofErr w:type="spellEnd"/>
      <w:r w:rsidRPr="000C7C76">
        <w:rPr>
          <w:rFonts w:ascii="Times New Roman" w:hAnsi="Times New Roman" w:cs="Times New Roman"/>
          <w:lang w:val="de-DE"/>
        </w:rPr>
        <w:t xml:space="preserve">. </w:t>
      </w:r>
      <w:proofErr w:type="spellStart"/>
      <w:r w:rsidRPr="000C7C76">
        <w:rPr>
          <w:rFonts w:ascii="Times New Roman" w:hAnsi="Times New Roman" w:cs="Times New Roman"/>
          <w:lang w:val="de-DE"/>
        </w:rPr>
        <w:t>Turklāt</w:t>
      </w:r>
      <w:proofErr w:type="spellEnd"/>
      <w:r w:rsidRPr="000C7C76">
        <w:rPr>
          <w:rFonts w:ascii="Times New Roman" w:hAnsi="Times New Roman" w:cs="Times New Roman"/>
          <w:lang w:val="de-DE"/>
        </w:rPr>
        <w:t xml:space="preserve">, </w:t>
      </w:r>
      <w:r w:rsidRPr="004719AA">
        <w:rPr>
          <w:rFonts w:ascii="Times New Roman" w:hAnsi="Times New Roman" w:cs="Times New Roman"/>
          <w:lang w:val="lv-LV"/>
        </w:rPr>
        <w:t xml:space="preserve">šāda nostādne </w:t>
      </w:r>
      <w:proofErr w:type="spellStart"/>
      <w:r w:rsidRPr="000C7C76">
        <w:rPr>
          <w:rFonts w:ascii="Times New Roman" w:hAnsi="Times New Roman" w:cs="Times New Roman"/>
          <w:lang w:val="de-DE"/>
        </w:rPr>
        <w:t>netieši</w:t>
      </w:r>
      <w:proofErr w:type="spellEnd"/>
      <w:r w:rsidRPr="000C7C76">
        <w:rPr>
          <w:rFonts w:ascii="Times New Roman" w:hAnsi="Times New Roman" w:cs="Times New Roman"/>
          <w:lang w:val="de-DE"/>
        </w:rPr>
        <w:t xml:space="preserve"> </w:t>
      </w:r>
      <w:proofErr w:type="spellStart"/>
      <w:r w:rsidRPr="000C7C76">
        <w:rPr>
          <w:rFonts w:ascii="Times New Roman" w:hAnsi="Times New Roman" w:cs="Times New Roman"/>
          <w:lang w:val="de-DE"/>
        </w:rPr>
        <w:t>izriet</w:t>
      </w:r>
      <w:proofErr w:type="spellEnd"/>
      <w:r w:rsidRPr="000C7C76">
        <w:rPr>
          <w:rFonts w:ascii="Times New Roman" w:hAnsi="Times New Roman" w:cs="Times New Roman"/>
          <w:lang w:val="de-DE"/>
        </w:rPr>
        <w:t xml:space="preserve"> </w:t>
      </w:r>
      <w:proofErr w:type="spellStart"/>
      <w:r w:rsidRPr="000C7C76">
        <w:rPr>
          <w:rFonts w:ascii="Times New Roman" w:hAnsi="Times New Roman" w:cs="Times New Roman"/>
          <w:lang w:val="de-DE"/>
        </w:rPr>
        <w:t>arī</w:t>
      </w:r>
      <w:proofErr w:type="spellEnd"/>
      <w:r w:rsidRPr="000C7C76">
        <w:rPr>
          <w:rFonts w:ascii="Times New Roman" w:hAnsi="Times New Roman" w:cs="Times New Roman"/>
          <w:lang w:val="de-DE"/>
        </w:rPr>
        <w:t xml:space="preserve"> </w:t>
      </w:r>
      <w:proofErr w:type="spellStart"/>
      <w:r w:rsidRPr="000C7C76">
        <w:rPr>
          <w:rFonts w:ascii="Times New Roman" w:hAnsi="Times New Roman" w:cs="Times New Roman"/>
          <w:lang w:val="de-DE"/>
        </w:rPr>
        <w:t>no</w:t>
      </w:r>
      <w:proofErr w:type="spellEnd"/>
      <w:r w:rsidRPr="000C7C76">
        <w:rPr>
          <w:rFonts w:ascii="Times New Roman" w:hAnsi="Times New Roman" w:cs="Times New Roman"/>
          <w:lang w:val="de-DE"/>
        </w:rPr>
        <w:t xml:space="preserve"> Roma I Regulas 1.panta </w:t>
      </w:r>
      <w:proofErr w:type="spellStart"/>
      <w:r w:rsidRPr="000C7C76">
        <w:rPr>
          <w:rFonts w:ascii="Times New Roman" w:hAnsi="Times New Roman" w:cs="Times New Roman"/>
          <w:lang w:val="de-DE"/>
        </w:rPr>
        <w:t>otrās</w:t>
      </w:r>
      <w:proofErr w:type="spellEnd"/>
      <w:r w:rsidRPr="000C7C76">
        <w:rPr>
          <w:rFonts w:ascii="Times New Roman" w:hAnsi="Times New Roman" w:cs="Times New Roman"/>
          <w:lang w:val="de-DE"/>
        </w:rPr>
        <w:t xml:space="preserve"> </w:t>
      </w:r>
      <w:proofErr w:type="spellStart"/>
      <w:r w:rsidRPr="000C7C76">
        <w:rPr>
          <w:rFonts w:ascii="Times New Roman" w:hAnsi="Times New Roman" w:cs="Times New Roman"/>
          <w:lang w:val="de-DE"/>
        </w:rPr>
        <w:t>daļas</w:t>
      </w:r>
      <w:proofErr w:type="spellEnd"/>
      <w:r w:rsidRPr="000C7C76">
        <w:rPr>
          <w:rFonts w:ascii="Times New Roman" w:hAnsi="Times New Roman" w:cs="Times New Roman"/>
          <w:lang w:val="de-DE"/>
        </w:rPr>
        <w:t xml:space="preserve"> </w:t>
      </w:r>
      <w:r>
        <w:rPr>
          <w:rFonts w:ascii="Times New Roman" w:hAnsi="Times New Roman" w:cs="Times New Roman"/>
          <w:lang w:val="de-DE"/>
        </w:rPr>
        <w:t>„</w:t>
      </w:r>
      <w:r w:rsidRPr="000C7C76">
        <w:rPr>
          <w:rFonts w:ascii="Times New Roman" w:hAnsi="Times New Roman" w:cs="Times New Roman"/>
          <w:lang w:val="de-DE"/>
        </w:rPr>
        <w:t>g</w:t>
      </w:r>
      <w:r>
        <w:rPr>
          <w:rFonts w:ascii="Times New Roman" w:hAnsi="Times New Roman" w:cs="Times New Roman"/>
          <w:lang w:val="de-DE"/>
        </w:rPr>
        <w:t>“</w:t>
      </w:r>
      <w:r w:rsidRPr="000C7C76">
        <w:rPr>
          <w:rFonts w:ascii="Times New Roman" w:hAnsi="Times New Roman" w:cs="Times New Roman"/>
          <w:lang w:val="de-DE"/>
        </w:rPr>
        <w:t xml:space="preserve"> </w:t>
      </w:r>
      <w:proofErr w:type="spellStart"/>
      <w:r w:rsidRPr="000C7C76">
        <w:rPr>
          <w:rFonts w:ascii="Times New Roman" w:hAnsi="Times New Roman" w:cs="Times New Roman"/>
          <w:lang w:val="de-DE"/>
        </w:rPr>
        <w:t>punkta</w:t>
      </w:r>
      <w:proofErr w:type="spellEnd"/>
      <w:r w:rsidRPr="000C7C76">
        <w:rPr>
          <w:rFonts w:ascii="Times New Roman" w:hAnsi="Times New Roman" w:cs="Times New Roman"/>
          <w:lang w:val="de-DE"/>
        </w:rPr>
        <w:t xml:space="preserve"> </w:t>
      </w:r>
      <w:proofErr w:type="spellStart"/>
      <w:r w:rsidRPr="000C7C76">
        <w:rPr>
          <w:rFonts w:ascii="Times New Roman" w:hAnsi="Times New Roman" w:cs="Times New Roman"/>
          <w:lang w:val="de-DE"/>
        </w:rPr>
        <w:t>saskaņā</w:t>
      </w:r>
      <w:proofErr w:type="spellEnd"/>
      <w:r w:rsidRPr="000C7C76">
        <w:rPr>
          <w:rFonts w:ascii="Times New Roman" w:hAnsi="Times New Roman" w:cs="Times New Roman"/>
          <w:lang w:val="de-DE"/>
        </w:rPr>
        <w:t xml:space="preserve"> </w:t>
      </w:r>
      <w:proofErr w:type="spellStart"/>
      <w:r w:rsidRPr="000C7C76">
        <w:rPr>
          <w:rFonts w:ascii="Times New Roman" w:hAnsi="Times New Roman" w:cs="Times New Roman"/>
          <w:lang w:val="de-DE"/>
        </w:rPr>
        <w:t>ar</w:t>
      </w:r>
      <w:proofErr w:type="spellEnd"/>
      <w:r w:rsidRPr="000C7C76">
        <w:rPr>
          <w:rFonts w:ascii="Times New Roman" w:hAnsi="Times New Roman" w:cs="Times New Roman"/>
          <w:lang w:val="de-DE"/>
        </w:rPr>
        <w:t xml:space="preserve"> </w:t>
      </w:r>
      <w:proofErr w:type="spellStart"/>
      <w:r w:rsidRPr="000C7C76">
        <w:rPr>
          <w:rFonts w:ascii="Times New Roman" w:hAnsi="Times New Roman" w:cs="Times New Roman"/>
          <w:lang w:val="de-DE"/>
        </w:rPr>
        <w:t>kuru</w:t>
      </w:r>
      <w:proofErr w:type="spellEnd"/>
      <w:r w:rsidRPr="000C7C76">
        <w:rPr>
          <w:rFonts w:ascii="Times New Roman" w:hAnsi="Times New Roman" w:cs="Times New Roman"/>
          <w:lang w:val="de-DE"/>
        </w:rPr>
        <w:t xml:space="preserve"> </w:t>
      </w:r>
      <w:proofErr w:type="spellStart"/>
      <w:r w:rsidRPr="000C7C76">
        <w:rPr>
          <w:rFonts w:ascii="Times New Roman" w:hAnsi="Times New Roman" w:cs="Times New Roman"/>
          <w:lang w:val="de-DE"/>
        </w:rPr>
        <w:t>no</w:t>
      </w:r>
      <w:proofErr w:type="spellEnd"/>
      <w:r w:rsidRPr="000C7C76">
        <w:rPr>
          <w:rFonts w:ascii="Times New Roman" w:hAnsi="Times New Roman" w:cs="Times New Roman"/>
          <w:lang w:val="de-DE"/>
        </w:rPr>
        <w:t xml:space="preserve"> Roma I Regulas </w:t>
      </w:r>
      <w:proofErr w:type="spellStart"/>
      <w:r w:rsidRPr="000C7C76">
        <w:rPr>
          <w:rFonts w:ascii="Times New Roman" w:hAnsi="Times New Roman" w:cs="Times New Roman"/>
          <w:lang w:val="de-DE"/>
        </w:rPr>
        <w:t>darbības</w:t>
      </w:r>
      <w:proofErr w:type="spellEnd"/>
      <w:r w:rsidRPr="000C7C76">
        <w:rPr>
          <w:rFonts w:ascii="Times New Roman" w:hAnsi="Times New Roman" w:cs="Times New Roman"/>
          <w:lang w:val="de-DE"/>
        </w:rPr>
        <w:t xml:space="preserve"> </w:t>
      </w:r>
      <w:proofErr w:type="spellStart"/>
      <w:r w:rsidRPr="000C7C76">
        <w:rPr>
          <w:rFonts w:ascii="Times New Roman" w:hAnsi="Times New Roman" w:cs="Times New Roman"/>
          <w:lang w:val="de-DE"/>
        </w:rPr>
        <w:t>jomas</w:t>
      </w:r>
      <w:proofErr w:type="spellEnd"/>
      <w:r w:rsidRPr="000C7C76">
        <w:rPr>
          <w:rFonts w:ascii="Times New Roman" w:hAnsi="Times New Roman" w:cs="Times New Roman"/>
          <w:lang w:val="de-DE"/>
        </w:rPr>
        <w:t xml:space="preserve"> </w:t>
      </w:r>
      <w:proofErr w:type="spellStart"/>
      <w:r w:rsidRPr="000C7C76">
        <w:rPr>
          <w:rFonts w:ascii="Times New Roman" w:hAnsi="Times New Roman" w:cs="Times New Roman"/>
          <w:lang w:val="de-DE"/>
        </w:rPr>
        <w:t>ir</w:t>
      </w:r>
      <w:proofErr w:type="spellEnd"/>
      <w:r w:rsidRPr="000C7C76">
        <w:rPr>
          <w:rFonts w:ascii="Times New Roman" w:hAnsi="Times New Roman" w:cs="Times New Roman"/>
          <w:lang w:val="de-DE"/>
        </w:rPr>
        <w:t xml:space="preserve"> </w:t>
      </w:r>
      <w:proofErr w:type="spellStart"/>
      <w:r w:rsidRPr="000C7C76">
        <w:rPr>
          <w:rFonts w:ascii="Times New Roman" w:hAnsi="Times New Roman" w:cs="Times New Roman"/>
          <w:lang w:val="de-DE"/>
        </w:rPr>
        <w:t>izslēgti</w:t>
      </w:r>
      <w:proofErr w:type="spellEnd"/>
      <w:r w:rsidRPr="000C7C76">
        <w:rPr>
          <w:rFonts w:ascii="Times New Roman" w:hAnsi="Times New Roman" w:cs="Times New Roman"/>
          <w:lang w:val="de-DE"/>
        </w:rPr>
        <w:t xml:space="preserve"> </w:t>
      </w:r>
      <w:r>
        <w:rPr>
          <w:rFonts w:ascii="Times New Roman" w:hAnsi="Times New Roman" w:cs="Times New Roman"/>
          <w:lang w:val="de-DE"/>
        </w:rPr>
        <w:t>„</w:t>
      </w:r>
      <w:proofErr w:type="spellStart"/>
      <w:r w:rsidRPr="000C7C76">
        <w:rPr>
          <w:rFonts w:ascii="Times New Roman" w:hAnsi="Times New Roman" w:cs="Times New Roman"/>
          <w:i/>
          <w:lang w:val="de-DE"/>
        </w:rPr>
        <w:t>jautājumi</w:t>
      </w:r>
      <w:proofErr w:type="spellEnd"/>
      <w:r w:rsidRPr="000C7C76">
        <w:rPr>
          <w:rFonts w:ascii="Times New Roman" w:hAnsi="Times New Roman" w:cs="Times New Roman"/>
          <w:i/>
          <w:lang w:val="de-DE"/>
        </w:rPr>
        <w:t xml:space="preserve"> par </w:t>
      </w:r>
      <w:proofErr w:type="spellStart"/>
      <w:r w:rsidRPr="000C7C76">
        <w:rPr>
          <w:rFonts w:ascii="Times New Roman" w:hAnsi="Times New Roman" w:cs="Times New Roman"/>
          <w:i/>
          <w:lang w:val="de-DE"/>
        </w:rPr>
        <w:t>to</w:t>
      </w:r>
      <w:proofErr w:type="spellEnd"/>
      <w:r w:rsidRPr="000C7C76">
        <w:rPr>
          <w:rFonts w:ascii="Times New Roman" w:hAnsi="Times New Roman" w:cs="Times New Roman"/>
          <w:i/>
          <w:lang w:val="de-DE"/>
        </w:rPr>
        <w:t xml:space="preserve">, </w:t>
      </w:r>
      <w:proofErr w:type="spellStart"/>
      <w:r w:rsidRPr="000C7C76">
        <w:rPr>
          <w:rFonts w:ascii="Times New Roman" w:hAnsi="Times New Roman" w:cs="Times New Roman"/>
          <w:i/>
          <w:lang w:val="de-DE"/>
        </w:rPr>
        <w:t>vai</w:t>
      </w:r>
      <w:proofErr w:type="spellEnd"/>
      <w:r w:rsidRPr="000C7C76">
        <w:rPr>
          <w:rFonts w:ascii="Times New Roman" w:hAnsi="Times New Roman" w:cs="Times New Roman"/>
          <w:i/>
          <w:lang w:val="de-DE"/>
        </w:rPr>
        <w:t xml:space="preserve"> </w:t>
      </w:r>
      <w:proofErr w:type="spellStart"/>
      <w:r w:rsidRPr="000C7C76">
        <w:rPr>
          <w:rFonts w:ascii="Times New Roman" w:hAnsi="Times New Roman" w:cs="Times New Roman"/>
          <w:i/>
          <w:lang w:val="de-DE"/>
        </w:rPr>
        <w:t>attiecībā</w:t>
      </w:r>
      <w:proofErr w:type="spellEnd"/>
      <w:r w:rsidRPr="000C7C76">
        <w:rPr>
          <w:rFonts w:ascii="Times New Roman" w:hAnsi="Times New Roman" w:cs="Times New Roman"/>
          <w:i/>
          <w:lang w:val="de-DE"/>
        </w:rPr>
        <w:t xml:space="preserve"> </w:t>
      </w:r>
      <w:proofErr w:type="spellStart"/>
      <w:r w:rsidRPr="000C7C76">
        <w:rPr>
          <w:rFonts w:ascii="Times New Roman" w:hAnsi="Times New Roman" w:cs="Times New Roman"/>
          <w:i/>
          <w:lang w:val="de-DE"/>
        </w:rPr>
        <w:t>pret</w:t>
      </w:r>
      <w:proofErr w:type="spellEnd"/>
      <w:r w:rsidRPr="000C7C76">
        <w:rPr>
          <w:rFonts w:ascii="Times New Roman" w:hAnsi="Times New Roman" w:cs="Times New Roman"/>
          <w:i/>
          <w:lang w:val="de-DE"/>
        </w:rPr>
        <w:t xml:space="preserve"> </w:t>
      </w:r>
      <w:proofErr w:type="spellStart"/>
      <w:r w:rsidRPr="000C7C76">
        <w:rPr>
          <w:rFonts w:ascii="Times New Roman" w:hAnsi="Times New Roman" w:cs="Times New Roman"/>
          <w:i/>
          <w:lang w:val="de-DE"/>
        </w:rPr>
        <w:t>trešām</w:t>
      </w:r>
      <w:proofErr w:type="spellEnd"/>
      <w:r w:rsidRPr="000C7C76">
        <w:rPr>
          <w:rFonts w:ascii="Times New Roman" w:hAnsi="Times New Roman" w:cs="Times New Roman"/>
          <w:i/>
          <w:lang w:val="de-DE"/>
        </w:rPr>
        <w:t xml:space="preserve"> </w:t>
      </w:r>
      <w:proofErr w:type="spellStart"/>
      <w:r w:rsidRPr="000C7C76">
        <w:rPr>
          <w:rFonts w:ascii="Times New Roman" w:hAnsi="Times New Roman" w:cs="Times New Roman"/>
          <w:i/>
          <w:lang w:val="de-DE"/>
        </w:rPr>
        <w:t>personām</w:t>
      </w:r>
      <w:proofErr w:type="spellEnd"/>
      <w:r w:rsidRPr="000C7C76">
        <w:rPr>
          <w:rFonts w:ascii="Times New Roman" w:hAnsi="Times New Roman" w:cs="Times New Roman"/>
          <w:i/>
          <w:lang w:val="de-DE"/>
        </w:rPr>
        <w:t xml:space="preserve"> </w:t>
      </w:r>
      <w:proofErr w:type="spellStart"/>
      <w:r w:rsidRPr="000C7C76">
        <w:rPr>
          <w:rFonts w:ascii="Times New Roman" w:hAnsi="Times New Roman" w:cs="Times New Roman"/>
          <w:i/>
          <w:lang w:val="de-DE"/>
        </w:rPr>
        <w:lastRenderedPageBreak/>
        <w:t>pārstāvis</w:t>
      </w:r>
      <w:proofErr w:type="spellEnd"/>
      <w:r w:rsidRPr="000C7C76">
        <w:rPr>
          <w:rFonts w:ascii="Times New Roman" w:hAnsi="Times New Roman" w:cs="Times New Roman"/>
          <w:i/>
          <w:lang w:val="de-DE"/>
        </w:rPr>
        <w:t xml:space="preserve"> </w:t>
      </w:r>
      <w:proofErr w:type="spellStart"/>
      <w:r w:rsidRPr="000C7C76">
        <w:rPr>
          <w:rFonts w:ascii="Times New Roman" w:hAnsi="Times New Roman" w:cs="Times New Roman"/>
          <w:i/>
          <w:lang w:val="de-DE"/>
        </w:rPr>
        <w:t>var</w:t>
      </w:r>
      <w:proofErr w:type="spellEnd"/>
      <w:r w:rsidRPr="000C7C76">
        <w:rPr>
          <w:rFonts w:ascii="Times New Roman" w:hAnsi="Times New Roman" w:cs="Times New Roman"/>
          <w:i/>
          <w:lang w:val="de-DE"/>
        </w:rPr>
        <w:t xml:space="preserve"> </w:t>
      </w:r>
      <w:proofErr w:type="spellStart"/>
      <w:r w:rsidRPr="000C7C76">
        <w:rPr>
          <w:rFonts w:ascii="Times New Roman" w:hAnsi="Times New Roman" w:cs="Times New Roman"/>
          <w:i/>
          <w:lang w:val="de-DE"/>
        </w:rPr>
        <w:t>radīt</w:t>
      </w:r>
      <w:proofErr w:type="spellEnd"/>
      <w:r w:rsidRPr="000C7C76">
        <w:rPr>
          <w:rFonts w:ascii="Times New Roman" w:hAnsi="Times New Roman" w:cs="Times New Roman"/>
          <w:i/>
          <w:lang w:val="de-DE"/>
        </w:rPr>
        <w:t xml:space="preserve"> </w:t>
      </w:r>
      <w:proofErr w:type="spellStart"/>
      <w:r w:rsidRPr="000C7C76">
        <w:rPr>
          <w:rFonts w:ascii="Times New Roman" w:hAnsi="Times New Roman" w:cs="Times New Roman"/>
          <w:i/>
          <w:lang w:val="de-DE"/>
        </w:rPr>
        <w:t>saistības</w:t>
      </w:r>
      <w:proofErr w:type="spellEnd"/>
      <w:r w:rsidRPr="000C7C76">
        <w:rPr>
          <w:rFonts w:ascii="Times New Roman" w:hAnsi="Times New Roman" w:cs="Times New Roman"/>
          <w:i/>
          <w:lang w:val="de-DE"/>
        </w:rPr>
        <w:t xml:space="preserve"> </w:t>
      </w:r>
      <w:proofErr w:type="spellStart"/>
      <w:r w:rsidRPr="000C7C76">
        <w:rPr>
          <w:rFonts w:ascii="Times New Roman" w:hAnsi="Times New Roman" w:cs="Times New Roman"/>
          <w:i/>
          <w:lang w:val="de-DE"/>
        </w:rPr>
        <w:t>pārstāvētajai</w:t>
      </w:r>
      <w:proofErr w:type="spellEnd"/>
      <w:r w:rsidRPr="000C7C76">
        <w:rPr>
          <w:rFonts w:ascii="Times New Roman" w:hAnsi="Times New Roman" w:cs="Times New Roman"/>
          <w:i/>
          <w:lang w:val="de-DE"/>
        </w:rPr>
        <w:t xml:space="preserve"> </w:t>
      </w:r>
      <w:proofErr w:type="spellStart"/>
      <w:r w:rsidRPr="000C7C76">
        <w:rPr>
          <w:rFonts w:ascii="Times New Roman" w:hAnsi="Times New Roman" w:cs="Times New Roman"/>
          <w:i/>
          <w:lang w:val="de-DE"/>
        </w:rPr>
        <w:t>personai</w:t>
      </w:r>
      <w:proofErr w:type="spellEnd"/>
      <w:r w:rsidRPr="000C7C76">
        <w:rPr>
          <w:rFonts w:ascii="Times New Roman" w:hAnsi="Times New Roman" w:cs="Times New Roman"/>
          <w:i/>
          <w:lang w:val="de-DE"/>
        </w:rPr>
        <w:t xml:space="preserve"> </w:t>
      </w:r>
      <w:proofErr w:type="spellStart"/>
      <w:r w:rsidRPr="000C7C76">
        <w:rPr>
          <w:rFonts w:ascii="Times New Roman" w:hAnsi="Times New Roman" w:cs="Times New Roman"/>
          <w:i/>
          <w:lang w:val="de-DE"/>
        </w:rPr>
        <w:t>un</w:t>
      </w:r>
      <w:proofErr w:type="spellEnd"/>
      <w:r w:rsidRPr="000C7C76">
        <w:rPr>
          <w:rFonts w:ascii="Times New Roman" w:hAnsi="Times New Roman" w:cs="Times New Roman"/>
          <w:i/>
          <w:lang w:val="de-DE"/>
        </w:rPr>
        <w:t xml:space="preserve"> </w:t>
      </w:r>
      <w:proofErr w:type="spellStart"/>
      <w:r w:rsidRPr="000C7C76">
        <w:rPr>
          <w:rFonts w:ascii="Times New Roman" w:hAnsi="Times New Roman" w:cs="Times New Roman"/>
          <w:i/>
          <w:lang w:val="de-DE"/>
        </w:rPr>
        <w:t>vai</w:t>
      </w:r>
      <w:proofErr w:type="spellEnd"/>
      <w:r w:rsidRPr="000C7C76">
        <w:rPr>
          <w:rFonts w:ascii="Times New Roman" w:hAnsi="Times New Roman" w:cs="Times New Roman"/>
          <w:i/>
          <w:lang w:val="de-DE"/>
        </w:rPr>
        <w:t xml:space="preserve"> </w:t>
      </w:r>
      <w:proofErr w:type="spellStart"/>
      <w:r w:rsidRPr="000C7C76">
        <w:rPr>
          <w:rFonts w:ascii="Times New Roman" w:hAnsi="Times New Roman" w:cs="Times New Roman"/>
          <w:i/>
          <w:lang w:val="de-DE"/>
        </w:rPr>
        <w:t>institūcija</w:t>
      </w:r>
      <w:proofErr w:type="spellEnd"/>
      <w:r w:rsidRPr="000C7C76">
        <w:rPr>
          <w:rFonts w:ascii="Times New Roman" w:hAnsi="Times New Roman" w:cs="Times New Roman"/>
          <w:i/>
          <w:lang w:val="de-DE"/>
        </w:rPr>
        <w:t xml:space="preserve"> </w:t>
      </w:r>
      <w:proofErr w:type="spellStart"/>
      <w:r w:rsidRPr="000C7C76">
        <w:rPr>
          <w:rFonts w:ascii="Times New Roman" w:hAnsi="Times New Roman" w:cs="Times New Roman"/>
          <w:i/>
          <w:lang w:val="de-DE"/>
        </w:rPr>
        <w:t>vai</w:t>
      </w:r>
      <w:proofErr w:type="spellEnd"/>
      <w:r w:rsidRPr="000C7C76">
        <w:rPr>
          <w:rFonts w:ascii="Times New Roman" w:hAnsi="Times New Roman" w:cs="Times New Roman"/>
          <w:i/>
          <w:lang w:val="de-DE"/>
        </w:rPr>
        <w:t xml:space="preserve"> </w:t>
      </w:r>
      <w:proofErr w:type="spellStart"/>
      <w:r w:rsidRPr="000C7C76">
        <w:rPr>
          <w:rFonts w:ascii="Times New Roman" w:hAnsi="Times New Roman" w:cs="Times New Roman"/>
          <w:i/>
          <w:lang w:val="de-DE"/>
        </w:rPr>
        <w:t>amatpersona</w:t>
      </w:r>
      <w:proofErr w:type="spellEnd"/>
      <w:r w:rsidRPr="000C7C76">
        <w:rPr>
          <w:rFonts w:ascii="Times New Roman" w:hAnsi="Times New Roman" w:cs="Times New Roman"/>
          <w:i/>
          <w:lang w:val="de-DE"/>
        </w:rPr>
        <w:t xml:space="preserve"> </w:t>
      </w:r>
      <w:proofErr w:type="spellStart"/>
      <w:r w:rsidRPr="000C7C76">
        <w:rPr>
          <w:rFonts w:ascii="Times New Roman" w:hAnsi="Times New Roman" w:cs="Times New Roman"/>
          <w:i/>
          <w:lang w:val="de-DE"/>
        </w:rPr>
        <w:t>var</w:t>
      </w:r>
      <w:proofErr w:type="spellEnd"/>
      <w:r w:rsidRPr="000C7C76">
        <w:rPr>
          <w:rFonts w:ascii="Times New Roman" w:hAnsi="Times New Roman" w:cs="Times New Roman"/>
          <w:i/>
          <w:lang w:val="de-DE"/>
        </w:rPr>
        <w:t xml:space="preserve"> </w:t>
      </w:r>
      <w:proofErr w:type="spellStart"/>
      <w:r w:rsidRPr="000C7C76">
        <w:rPr>
          <w:rFonts w:ascii="Times New Roman" w:hAnsi="Times New Roman" w:cs="Times New Roman"/>
          <w:i/>
          <w:lang w:val="de-DE"/>
        </w:rPr>
        <w:t>radīt</w:t>
      </w:r>
      <w:proofErr w:type="spellEnd"/>
      <w:r w:rsidRPr="000C7C76">
        <w:rPr>
          <w:rFonts w:ascii="Times New Roman" w:hAnsi="Times New Roman" w:cs="Times New Roman"/>
          <w:i/>
          <w:lang w:val="de-DE"/>
        </w:rPr>
        <w:t xml:space="preserve"> </w:t>
      </w:r>
      <w:proofErr w:type="spellStart"/>
      <w:r w:rsidRPr="000C7C76">
        <w:rPr>
          <w:rFonts w:ascii="Times New Roman" w:hAnsi="Times New Roman" w:cs="Times New Roman"/>
          <w:i/>
          <w:lang w:val="de-DE"/>
        </w:rPr>
        <w:t>saistības</w:t>
      </w:r>
      <w:proofErr w:type="spellEnd"/>
      <w:r w:rsidRPr="000C7C76">
        <w:rPr>
          <w:rFonts w:ascii="Times New Roman" w:hAnsi="Times New Roman" w:cs="Times New Roman"/>
          <w:i/>
          <w:lang w:val="de-DE"/>
        </w:rPr>
        <w:t xml:space="preserve"> </w:t>
      </w:r>
      <w:proofErr w:type="spellStart"/>
      <w:r w:rsidRPr="000C7C76">
        <w:rPr>
          <w:rFonts w:ascii="Times New Roman" w:hAnsi="Times New Roman" w:cs="Times New Roman"/>
          <w:i/>
          <w:lang w:val="de-DE"/>
        </w:rPr>
        <w:t>uzņēmējsabiedrībai</w:t>
      </w:r>
      <w:proofErr w:type="spellEnd"/>
      <w:r w:rsidRPr="000C7C76">
        <w:rPr>
          <w:rFonts w:ascii="Times New Roman" w:hAnsi="Times New Roman" w:cs="Times New Roman"/>
          <w:i/>
          <w:lang w:val="de-DE"/>
        </w:rPr>
        <w:t xml:space="preserve"> </w:t>
      </w:r>
      <w:proofErr w:type="spellStart"/>
      <w:r w:rsidRPr="000C7C76">
        <w:rPr>
          <w:rFonts w:ascii="Times New Roman" w:hAnsi="Times New Roman" w:cs="Times New Roman"/>
          <w:i/>
          <w:lang w:val="de-DE"/>
        </w:rPr>
        <w:t>vai</w:t>
      </w:r>
      <w:proofErr w:type="spellEnd"/>
      <w:r w:rsidRPr="000C7C76">
        <w:rPr>
          <w:rFonts w:ascii="Times New Roman" w:hAnsi="Times New Roman" w:cs="Times New Roman"/>
          <w:i/>
          <w:lang w:val="de-DE"/>
        </w:rPr>
        <w:t xml:space="preserve"> </w:t>
      </w:r>
      <w:proofErr w:type="spellStart"/>
      <w:r w:rsidRPr="000C7C76">
        <w:rPr>
          <w:rFonts w:ascii="Times New Roman" w:hAnsi="Times New Roman" w:cs="Times New Roman"/>
          <w:i/>
          <w:lang w:val="de-DE"/>
        </w:rPr>
        <w:t>citai</w:t>
      </w:r>
      <w:proofErr w:type="spellEnd"/>
      <w:r w:rsidRPr="000C7C76">
        <w:rPr>
          <w:rFonts w:ascii="Times New Roman" w:hAnsi="Times New Roman" w:cs="Times New Roman"/>
          <w:i/>
          <w:lang w:val="de-DE"/>
        </w:rPr>
        <w:t xml:space="preserve"> </w:t>
      </w:r>
      <w:proofErr w:type="spellStart"/>
      <w:r w:rsidRPr="000C7C76">
        <w:rPr>
          <w:rFonts w:ascii="Times New Roman" w:hAnsi="Times New Roman" w:cs="Times New Roman"/>
          <w:i/>
          <w:lang w:val="de-DE"/>
        </w:rPr>
        <w:t>korporatīvai</w:t>
      </w:r>
      <w:proofErr w:type="spellEnd"/>
      <w:r w:rsidRPr="000C7C76">
        <w:rPr>
          <w:rFonts w:ascii="Times New Roman" w:hAnsi="Times New Roman" w:cs="Times New Roman"/>
          <w:i/>
          <w:lang w:val="de-DE"/>
        </w:rPr>
        <w:t xml:space="preserve"> </w:t>
      </w:r>
      <w:proofErr w:type="spellStart"/>
      <w:r w:rsidRPr="000C7C76">
        <w:rPr>
          <w:rFonts w:ascii="Times New Roman" w:hAnsi="Times New Roman" w:cs="Times New Roman"/>
          <w:i/>
          <w:lang w:val="de-DE"/>
        </w:rPr>
        <w:t>vai</w:t>
      </w:r>
      <w:proofErr w:type="spellEnd"/>
      <w:r w:rsidRPr="000C7C76">
        <w:rPr>
          <w:rFonts w:ascii="Times New Roman" w:hAnsi="Times New Roman" w:cs="Times New Roman"/>
          <w:i/>
          <w:lang w:val="de-DE"/>
        </w:rPr>
        <w:t xml:space="preserve"> </w:t>
      </w:r>
      <w:proofErr w:type="spellStart"/>
      <w:r w:rsidRPr="000C7C76">
        <w:rPr>
          <w:rFonts w:ascii="Times New Roman" w:hAnsi="Times New Roman" w:cs="Times New Roman"/>
          <w:i/>
          <w:lang w:val="de-DE"/>
        </w:rPr>
        <w:t>nekorporatīvai</w:t>
      </w:r>
      <w:proofErr w:type="spellEnd"/>
      <w:r w:rsidRPr="000C7C76">
        <w:rPr>
          <w:rFonts w:ascii="Times New Roman" w:hAnsi="Times New Roman" w:cs="Times New Roman"/>
          <w:i/>
          <w:lang w:val="de-DE"/>
        </w:rPr>
        <w:t xml:space="preserve"> </w:t>
      </w:r>
      <w:proofErr w:type="spellStart"/>
      <w:r w:rsidRPr="000C7C76">
        <w:rPr>
          <w:rFonts w:ascii="Times New Roman" w:hAnsi="Times New Roman" w:cs="Times New Roman"/>
          <w:i/>
          <w:lang w:val="de-DE"/>
        </w:rPr>
        <w:t>struktūrai</w:t>
      </w:r>
      <w:proofErr w:type="spellEnd"/>
      <w:r>
        <w:rPr>
          <w:rFonts w:ascii="Times New Roman" w:hAnsi="Times New Roman" w:cs="Times New Roman"/>
          <w:i/>
          <w:lang w:val="de-DE"/>
        </w:rPr>
        <w:t>“</w:t>
      </w:r>
      <w:r w:rsidRPr="000C7C76">
        <w:rPr>
          <w:rFonts w:ascii="Times New Roman" w:hAnsi="Times New Roman" w:cs="Times New Roman"/>
          <w:lang w:val="de-DE"/>
        </w:rPr>
        <w:t xml:space="preserve">. Tas </w:t>
      </w:r>
      <w:proofErr w:type="spellStart"/>
      <w:r w:rsidRPr="000C7C76">
        <w:rPr>
          <w:rFonts w:ascii="Times New Roman" w:hAnsi="Times New Roman" w:cs="Times New Roman"/>
          <w:lang w:val="de-DE"/>
        </w:rPr>
        <w:t>nozīmē</w:t>
      </w:r>
      <w:proofErr w:type="spellEnd"/>
      <w:r w:rsidRPr="000C7C76">
        <w:rPr>
          <w:rFonts w:ascii="Times New Roman" w:hAnsi="Times New Roman" w:cs="Times New Roman"/>
          <w:lang w:val="de-DE"/>
        </w:rPr>
        <w:t xml:space="preserve">, </w:t>
      </w:r>
      <w:proofErr w:type="spellStart"/>
      <w:r w:rsidRPr="000C7C76">
        <w:rPr>
          <w:rFonts w:ascii="Times New Roman" w:hAnsi="Times New Roman" w:cs="Times New Roman"/>
          <w:lang w:val="de-DE"/>
        </w:rPr>
        <w:t>ka</w:t>
      </w:r>
      <w:proofErr w:type="spellEnd"/>
      <w:r w:rsidRPr="000C7C76">
        <w:rPr>
          <w:rFonts w:ascii="Times New Roman" w:hAnsi="Times New Roman" w:cs="Times New Roman"/>
          <w:lang w:val="de-DE"/>
        </w:rPr>
        <w:t xml:space="preserve"> Roma I Regula </w:t>
      </w:r>
      <w:proofErr w:type="spellStart"/>
      <w:r w:rsidRPr="000C7C76">
        <w:rPr>
          <w:rFonts w:ascii="Times New Roman" w:hAnsi="Times New Roman" w:cs="Times New Roman"/>
          <w:lang w:val="de-DE"/>
        </w:rPr>
        <w:t>nav</w:t>
      </w:r>
      <w:proofErr w:type="spellEnd"/>
      <w:r w:rsidRPr="000C7C76">
        <w:rPr>
          <w:rFonts w:ascii="Times New Roman" w:hAnsi="Times New Roman" w:cs="Times New Roman"/>
          <w:lang w:val="de-DE"/>
        </w:rPr>
        <w:t xml:space="preserve"> </w:t>
      </w:r>
      <w:proofErr w:type="spellStart"/>
      <w:r w:rsidRPr="000C7C76">
        <w:rPr>
          <w:rFonts w:ascii="Times New Roman" w:hAnsi="Times New Roman" w:cs="Times New Roman"/>
          <w:lang w:val="de-DE"/>
        </w:rPr>
        <w:t>piemērojama</w:t>
      </w:r>
      <w:proofErr w:type="spellEnd"/>
      <w:r w:rsidRPr="000C7C76">
        <w:rPr>
          <w:rFonts w:ascii="Times New Roman" w:hAnsi="Times New Roman" w:cs="Times New Roman"/>
          <w:lang w:val="de-DE"/>
        </w:rPr>
        <w:t xml:space="preserve"> </w:t>
      </w:r>
      <w:proofErr w:type="spellStart"/>
      <w:r w:rsidRPr="000C7C76">
        <w:rPr>
          <w:rFonts w:ascii="Times New Roman" w:hAnsi="Times New Roman" w:cs="Times New Roman"/>
          <w:lang w:val="de-DE"/>
        </w:rPr>
        <w:t>strīdos</w:t>
      </w:r>
      <w:proofErr w:type="spellEnd"/>
      <w:r w:rsidRPr="000C7C76">
        <w:rPr>
          <w:rFonts w:ascii="Times New Roman" w:hAnsi="Times New Roman" w:cs="Times New Roman"/>
          <w:lang w:val="de-DE"/>
        </w:rPr>
        <w:t xml:space="preserve"> </w:t>
      </w:r>
      <w:proofErr w:type="spellStart"/>
      <w:r w:rsidRPr="000C7C76">
        <w:rPr>
          <w:rFonts w:ascii="Times New Roman" w:hAnsi="Times New Roman" w:cs="Times New Roman"/>
          <w:lang w:val="de-DE"/>
        </w:rPr>
        <w:t>starp</w:t>
      </w:r>
      <w:proofErr w:type="spellEnd"/>
      <w:r w:rsidRPr="000C7C76">
        <w:rPr>
          <w:rFonts w:ascii="Times New Roman" w:hAnsi="Times New Roman" w:cs="Times New Roman"/>
          <w:lang w:val="de-DE"/>
        </w:rPr>
        <w:t xml:space="preserve"> </w:t>
      </w:r>
      <w:proofErr w:type="spellStart"/>
      <w:r w:rsidRPr="000C7C76">
        <w:rPr>
          <w:rFonts w:ascii="Times New Roman" w:hAnsi="Times New Roman" w:cs="Times New Roman"/>
          <w:lang w:val="de-DE"/>
        </w:rPr>
        <w:t>pilnvaras</w:t>
      </w:r>
      <w:proofErr w:type="spellEnd"/>
      <w:r w:rsidRPr="000C7C76">
        <w:rPr>
          <w:rFonts w:ascii="Times New Roman" w:hAnsi="Times New Roman" w:cs="Times New Roman"/>
          <w:lang w:val="de-DE"/>
        </w:rPr>
        <w:t xml:space="preserve"> </w:t>
      </w:r>
      <w:proofErr w:type="spellStart"/>
      <w:r w:rsidRPr="000C7C76">
        <w:rPr>
          <w:rFonts w:ascii="Times New Roman" w:hAnsi="Times New Roman" w:cs="Times New Roman"/>
          <w:lang w:val="de-DE"/>
        </w:rPr>
        <w:t>devēju</w:t>
      </w:r>
      <w:proofErr w:type="spellEnd"/>
      <w:r w:rsidRPr="000C7C76">
        <w:rPr>
          <w:rFonts w:ascii="Times New Roman" w:hAnsi="Times New Roman" w:cs="Times New Roman"/>
          <w:lang w:val="de-DE"/>
        </w:rPr>
        <w:t xml:space="preserve"> </w:t>
      </w:r>
      <w:proofErr w:type="spellStart"/>
      <w:r w:rsidRPr="000C7C76">
        <w:rPr>
          <w:rFonts w:ascii="Times New Roman" w:hAnsi="Times New Roman" w:cs="Times New Roman"/>
          <w:lang w:val="de-DE"/>
        </w:rPr>
        <w:t>un</w:t>
      </w:r>
      <w:proofErr w:type="spellEnd"/>
      <w:r w:rsidRPr="000C7C76">
        <w:rPr>
          <w:rFonts w:ascii="Times New Roman" w:hAnsi="Times New Roman" w:cs="Times New Roman"/>
          <w:lang w:val="de-DE"/>
        </w:rPr>
        <w:t xml:space="preserve"> </w:t>
      </w:r>
      <w:proofErr w:type="spellStart"/>
      <w:r w:rsidRPr="000C7C76">
        <w:rPr>
          <w:rFonts w:ascii="Times New Roman" w:hAnsi="Times New Roman" w:cs="Times New Roman"/>
          <w:lang w:val="de-DE"/>
        </w:rPr>
        <w:t>trešo</w:t>
      </w:r>
      <w:proofErr w:type="spellEnd"/>
      <w:r w:rsidRPr="000C7C76">
        <w:rPr>
          <w:rFonts w:ascii="Times New Roman" w:hAnsi="Times New Roman" w:cs="Times New Roman"/>
          <w:lang w:val="de-DE"/>
        </w:rPr>
        <w:t xml:space="preserve"> </w:t>
      </w:r>
      <w:proofErr w:type="spellStart"/>
      <w:r w:rsidRPr="000C7C76">
        <w:rPr>
          <w:rFonts w:ascii="Times New Roman" w:hAnsi="Times New Roman" w:cs="Times New Roman"/>
          <w:lang w:val="de-DE"/>
        </w:rPr>
        <w:t>personu</w:t>
      </w:r>
      <w:proofErr w:type="spellEnd"/>
      <w:r w:rsidRPr="000C7C76">
        <w:rPr>
          <w:rFonts w:ascii="Times New Roman" w:hAnsi="Times New Roman" w:cs="Times New Roman"/>
          <w:lang w:val="de-DE"/>
        </w:rPr>
        <w:t xml:space="preserve">, ja </w:t>
      </w:r>
      <w:proofErr w:type="spellStart"/>
      <w:r w:rsidRPr="000C7C76">
        <w:rPr>
          <w:rFonts w:ascii="Times New Roman" w:hAnsi="Times New Roman" w:cs="Times New Roman"/>
          <w:lang w:val="de-DE"/>
        </w:rPr>
        <w:t>pilnvarnieka</w:t>
      </w:r>
      <w:proofErr w:type="spellEnd"/>
      <w:r w:rsidRPr="000C7C76">
        <w:rPr>
          <w:rFonts w:ascii="Times New Roman" w:hAnsi="Times New Roman" w:cs="Times New Roman"/>
          <w:lang w:val="de-DE"/>
        </w:rPr>
        <w:t xml:space="preserve"> </w:t>
      </w:r>
      <w:proofErr w:type="spellStart"/>
      <w:r w:rsidRPr="000C7C76">
        <w:rPr>
          <w:rFonts w:ascii="Times New Roman" w:hAnsi="Times New Roman" w:cs="Times New Roman"/>
          <w:lang w:val="de-DE"/>
        </w:rPr>
        <w:t>pilnvarojuma</w:t>
      </w:r>
      <w:proofErr w:type="spellEnd"/>
      <w:r w:rsidRPr="000C7C76">
        <w:rPr>
          <w:rFonts w:ascii="Times New Roman" w:hAnsi="Times New Roman" w:cs="Times New Roman"/>
          <w:lang w:val="de-DE"/>
        </w:rPr>
        <w:t xml:space="preserve"> </w:t>
      </w:r>
      <w:proofErr w:type="spellStart"/>
      <w:r w:rsidRPr="000C7C76">
        <w:rPr>
          <w:rFonts w:ascii="Times New Roman" w:hAnsi="Times New Roman" w:cs="Times New Roman"/>
          <w:lang w:val="de-DE"/>
        </w:rPr>
        <w:t>apjoms</w:t>
      </w:r>
      <w:proofErr w:type="spellEnd"/>
      <w:r w:rsidRPr="000C7C76">
        <w:rPr>
          <w:rFonts w:ascii="Times New Roman" w:hAnsi="Times New Roman" w:cs="Times New Roman"/>
          <w:lang w:val="de-DE"/>
        </w:rPr>
        <w:t xml:space="preserve"> </w:t>
      </w:r>
      <w:proofErr w:type="spellStart"/>
      <w:r w:rsidRPr="000C7C76">
        <w:rPr>
          <w:rFonts w:ascii="Times New Roman" w:hAnsi="Times New Roman" w:cs="Times New Roman"/>
          <w:lang w:val="de-DE"/>
        </w:rPr>
        <w:t>ietekmē</w:t>
      </w:r>
      <w:proofErr w:type="spellEnd"/>
      <w:r w:rsidRPr="000C7C76">
        <w:rPr>
          <w:rFonts w:ascii="Times New Roman" w:hAnsi="Times New Roman" w:cs="Times New Roman"/>
          <w:lang w:val="de-DE"/>
        </w:rPr>
        <w:t xml:space="preserve"> </w:t>
      </w:r>
      <w:proofErr w:type="spellStart"/>
      <w:r w:rsidRPr="000C7C76">
        <w:rPr>
          <w:rFonts w:ascii="Times New Roman" w:hAnsi="Times New Roman" w:cs="Times New Roman"/>
          <w:lang w:val="de-DE"/>
        </w:rPr>
        <w:t>galvenā</w:t>
      </w:r>
      <w:proofErr w:type="spellEnd"/>
      <w:r w:rsidRPr="000C7C76">
        <w:rPr>
          <w:rFonts w:ascii="Times New Roman" w:hAnsi="Times New Roman" w:cs="Times New Roman"/>
          <w:lang w:val="de-DE"/>
        </w:rPr>
        <w:t xml:space="preserve"> </w:t>
      </w:r>
      <w:proofErr w:type="spellStart"/>
      <w:r w:rsidRPr="000C7C76">
        <w:rPr>
          <w:rFonts w:ascii="Times New Roman" w:hAnsi="Times New Roman" w:cs="Times New Roman"/>
          <w:lang w:val="de-DE"/>
        </w:rPr>
        <w:t>darījuma</w:t>
      </w:r>
      <w:proofErr w:type="spellEnd"/>
      <w:r w:rsidRPr="000C7C76">
        <w:rPr>
          <w:rFonts w:ascii="Times New Roman" w:hAnsi="Times New Roman" w:cs="Times New Roman"/>
          <w:lang w:val="de-DE"/>
        </w:rPr>
        <w:t xml:space="preserve"> </w:t>
      </w:r>
      <w:proofErr w:type="spellStart"/>
      <w:r w:rsidRPr="000C7C76">
        <w:rPr>
          <w:rFonts w:ascii="Times New Roman" w:hAnsi="Times New Roman" w:cs="Times New Roman"/>
          <w:lang w:val="de-DE"/>
        </w:rPr>
        <w:t>spēkā</w:t>
      </w:r>
      <w:proofErr w:type="spellEnd"/>
      <w:r w:rsidRPr="000C7C76">
        <w:rPr>
          <w:rFonts w:ascii="Times New Roman" w:hAnsi="Times New Roman" w:cs="Times New Roman"/>
          <w:lang w:val="de-DE"/>
        </w:rPr>
        <w:t xml:space="preserve"> </w:t>
      </w:r>
      <w:proofErr w:type="spellStart"/>
      <w:r w:rsidRPr="000C7C76">
        <w:rPr>
          <w:rFonts w:ascii="Times New Roman" w:hAnsi="Times New Roman" w:cs="Times New Roman"/>
          <w:lang w:val="de-DE"/>
        </w:rPr>
        <w:t>esamību</w:t>
      </w:r>
      <w:proofErr w:type="spellEnd"/>
      <w:r w:rsidRPr="000C7C76">
        <w:rPr>
          <w:rFonts w:ascii="Times New Roman" w:hAnsi="Times New Roman" w:cs="Times New Roman"/>
          <w:lang w:val="de-DE"/>
        </w:rPr>
        <w:t xml:space="preserve">. Regula </w:t>
      </w:r>
      <w:proofErr w:type="spellStart"/>
      <w:r w:rsidRPr="000C7C76">
        <w:rPr>
          <w:rFonts w:ascii="Times New Roman" w:hAnsi="Times New Roman" w:cs="Times New Roman"/>
          <w:lang w:val="de-DE"/>
        </w:rPr>
        <w:t>nebūs</w:t>
      </w:r>
      <w:proofErr w:type="spellEnd"/>
      <w:r w:rsidRPr="000C7C76">
        <w:rPr>
          <w:rFonts w:ascii="Times New Roman" w:hAnsi="Times New Roman" w:cs="Times New Roman"/>
          <w:lang w:val="de-DE"/>
        </w:rPr>
        <w:t xml:space="preserve"> </w:t>
      </w:r>
      <w:proofErr w:type="spellStart"/>
      <w:r w:rsidRPr="000C7C76">
        <w:rPr>
          <w:rFonts w:ascii="Times New Roman" w:hAnsi="Times New Roman" w:cs="Times New Roman"/>
          <w:lang w:val="de-DE"/>
        </w:rPr>
        <w:t>piemērojama</w:t>
      </w:r>
      <w:proofErr w:type="spellEnd"/>
      <w:r w:rsidRPr="000C7C76">
        <w:rPr>
          <w:rFonts w:ascii="Times New Roman" w:hAnsi="Times New Roman" w:cs="Times New Roman"/>
          <w:lang w:val="de-DE"/>
        </w:rPr>
        <w:t xml:space="preserve"> </w:t>
      </w:r>
      <w:proofErr w:type="spellStart"/>
      <w:r w:rsidRPr="000C7C76">
        <w:rPr>
          <w:rFonts w:ascii="Times New Roman" w:hAnsi="Times New Roman" w:cs="Times New Roman"/>
          <w:lang w:val="de-DE"/>
        </w:rPr>
        <w:t>arī</w:t>
      </w:r>
      <w:proofErr w:type="spellEnd"/>
      <w:r w:rsidRPr="000C7C76">
        <w:rPr>
          <w:rFonts w:ascii="Times New Roman" w:hAnsi="Times New Roman" w:cs="Times New Roman"/>
          <w:lang w:val="de-DE"/>
        </w:rPr>
        <w:t xml:space="preserve"> </w:t>
      </w:r>
      <w:proofErr w:type="spellStart"/>
      <w:r w:rsidRPr="000C7C76">
        <w:rPr>
          <w:rFonts w:ascii="Times New Roman" w:hAnsi="Times New Roman" w:cs="Times New Roman"/>
          <w:lang w:val="de-DE"/>
        </w:rPr>
        <w:t>strīdiem</w:t>
      </w:r>
      <w:proofErr w:type="spellEnd"/>
      <w:r w:rsidRPr="000C7C76">
        <w:rPr>
          <w:rFonts w:ascii="Times New Roman" w:hAnsi="Times New Roman" w:cs="Times New Roman"/>
          <w:lang w:val="de-DE"/>
        </w:rPr>
        <w:t xml:space="preserve"> </w:t>
      </w:r>
      <w:proofErr w:type="spellStart"/>
      <w:r w:rsidRPr="000C7C76">
        <w:rPr>
          <w:rFonts w:ascii="Times New Roman" w:hAnsi="Times New Roman" w:cs="Times New Roman"/>
          <w:lang w:val="de-DE"/>
        </w:rPr>
        <w:t>starp</w:t>
      </w:r>
      <w:proofErr w:type="spellEnd"/>
      <w:r w:rsidRPr="000C7C76">
        <w:rPr>
          <w:rFonts w:ascii="Times New Roman" w:hAnsi="Times New Roman" w:cs="Times New Roman"/>
          <w:lang w:val="de-DE"/>
        </w:rPr>
        <w:t xml:space="preserve"> </w:t>
      </w:r>
      <w:proofErr w:type="spellStart"/>
      <w:r w:rsidRPr="000C7C76">
        <w:rPr>
          <w:rFonts w:ascii="Times New Roman" w:hAnsi="Times New Roman" w:cs="Times New Roman"/>
          <w:lang w:val="de-DE"/>
        </w:rPr>
        <w:t>pilnvarnieku</w:t>
      </w:r>
      <w:proofErr w:type="spellEnd"/>
      <w:r w:rsidRPr="000C7C76">
        <w:rPr>
          <w:rFonts w:ascii="Times New Roman" w:hAnsi="Times New Roman" w:cs="Times New Roman"/>
          <w:lang w:val="de-DE"/>
        </w:rPr>
        <w:t xml:space="preserve"> </w:t>
      </w:r>
      <w:proofErr w:type="spellStart"/>
      <w:r w:rsidRPr="000C7C76">
        <w:rPr>
          <w:rFonts w:ascii="Times New Roman" w:hAnsi="Times New Roman" w:cs="Times New Roman"/>
          <w:lang w:val="de-DE"/>
        </w:rPr>
        <w:t>un</w:t>
      </w:r>
      <w:proofErr w:type="spellEnd"/>
      <w:r w:rsidRPr="000C7C76">
        <w:rPr>
          <w:rFonts w:ascii="Times New Roman" w:hAnsi="Times New Roman" w:cs="Times New Roman"/>
          <w:lang w:val="de-DE"/>
        </w:rPr>
        <w:t xml:space="preserve"> </w:t>
      </w:r>
      <w:proofErr w:type="spellStart"/>
      <w:r w:rsidRPr="000C7C76">
        <w:rPr>
          <w:rFonts w:ascii="Times New Roman" w:hAnsi="Times New Roman" w:cs="Times New Roman"/>
          <w:lang w:val="de-DE"/>
        </w:rPr>
        <w:t>trešo</w:t>
      </w:r>
      <w:proofErr w:type="spellEnd"/>
      <w:r w:rsidRPr="000C7C76">
        <w:rPr>
          <w:rFonts w:ascii="Times New Roman" w:hAnsi="Times New Roman" w:cs="Times New Roman"/>
          <w:lang w:val="de-DE"/>
        </w:rPr>
        <w:t xml:space="preserve"> </w:t>
      </w:r>
      <w:proofErr w:type="spellStart"/>
      <w:r w:rsidRPr="000C7C76">
        <w:rPr>
          <w:rFonts w:ascii="Times New Roman" w:hAnsi="Times New Roman" w:cs="Times New Roman"/>
          <w:lang w:val="de-DE"/>
        </w:rPr>
        <w:t>personu</w:t>
      </w:r>
      <w:proofErr w:type="spellEnd"/>
      <w:r w:rsidRPr="000C7C76">
        <w:rPr>
          <w:rFonts w:ascii="Times New Roman" w:hAnsi="Times New Roman" w:cs="Times New Roman"/>
          <w:lang w:val="de-DE"/>
        </w:rPr>
        <w:t xml:space="preserve">, </w:t>
      </w:r>
      <w:proofErr w:type="spellStart"/>
      <w:r w:rsidRPr="000C7C76">
        <w:rPr>
          <w:rFonts w:ascii="Times New Roman" w:hAnsi="Times New Roman" w:cs="Times New Roman"/>
          <w:lang w:val="de-DE"/>
        </w:rPr>
        <w:t>piemēram</w:t>
      </w:r>
      <w:proofErr w:type="spellEnd"/>
      <w:r w:rsidRPr="000C7C76">
        <w:rPr>
          <w:rFonts w:ascii="Times New Roman" w:hAnsi="Times New Roman" w:cs="Times New Roman"/>
          <w:lang w:val="de-DE"/>
        </w:rPr>
        <w:t xml:space="preserve">, ja </w:t>
      </w:r>
      <w:proofErr w:type="spellStart"/>
      <w:r w:rsidRPr="000C7C76">
        <w:rPr>
          <w:rFonts w:ascii="Times New Roman" w:hAnsi="Times New Roman" w:cs="Times New Roman"/>
          <w:lang w:val="de-DE"/>
        </w:rPr>
        <w:t>trešā</w:t>
      </w:r>
      <w:proofErr w:type="spellEnd"/>
      <w:r w:rsidRPr="000C7C76">
        <w:rPr>
          <w:rFonts w:ascii="Times New Roman" w:hAnsi="Times New Roman" w:cs="Times New Roman"/>
          <w:lang w:val="de-DE"/>
        </w:rPr>
        <w:t xml:space="preserve"> </w:t>
      </w:r>
      <w:proofErr w:type="spellStart"/>
      <w:r w:rsidRPr="000C7C76">
        <w:rPr>
          <w:rFonts w:ascii="Times New Roman" w:hAnsi="Times New Roman" w:cs="Times New Roman"/>
          <w:lang w:val="de-DE"/>
        </w:rPr>
        <w:t>persona</w:t>
      </w:r>
      <w:proofErr w:type="spellEnd"/>
      <w:r w:rsidRPr="000C7C76">
        <w:rPr>
          <w:rFonts w:ascii="Times New Roman" w:hAnsi="Times New Roman" w:cs="Times New Roman"/>
          <w:lang w:val="de-DE"/>
        </w:rPr>
        <w:t xml:space="preserve"> </w:t>
      </w:r>
      <w:proofErr w:type="spellStart"/>
      <w:r w:rsidRPr="000C7C76">
        <w:rPr>
          <w:rFonts w:ascii="Times New Roman" w:hAnsi="Times New Roman" w:cs="Times New Roman"/>
          <w:lang w:val="de-DE"/>
        </w:rPr>
        <w:t>iesūdz</w:t>
      </w:r>
      <w:proofErr w:type="spellEnd"/>
      <w:r w:rsidRPr="000C7C76">
        <w:rPr>
          <w:rFonts w:ascii="Times New Roman" w:hAnsi="Times New Roman" w:cs="Times New Roman"/>
          <w:lang w:val="de-DE"/>
        </w:rPr>
        <w:t xml:space="preserve"> </w:t>
      </w:r>
      <w:proofErr w:type="spellStart"/>
      <w:r w:rsidRPr="000C7C76">
        <w:rPr>
          <w:rFonts w:ascii="Times New Roman" w:hAnsi="Times New Roman" w:cs="Times New Roman"/>
          <w:lang w:val="de-DE"/>
        </w:rPr>
        <w:t>tiesā</w:t>
      </w:r>
      <w:proofErr w:type="spellEnd"/>
      <w:r w:rsidRPr="000C7C76">
        <w:rPr>
          <w:rFonts w:ascii="Times New Roman" w:hAnsi="Times New Roman" w:cs="Times New Roman"/>
          <w:lang w:val="de-DE"/>
        </w:rPr>
        <w:t xml:space="preserve"> </w:t>
      </w:r>
      <w:proofErr w:type="spellStart"/>
      <w:r w:rsidRPr="000C7C76">
        <w:rPr>
          <w:rFonts w:ascii="Times New Roman" w:hAnsi="Times New Roman" w:cs="Times New Roman"/>
          <w:lang w:val="de-DE"/>
        </w:rPr>
        <w:t>pilnvarnieku</w:t>
      </w:r>
      <w:proofErr w:type="spellEnd"/>
      <w:r w:rsidRPr="000C7C76">
        <w:rPr>
          <w:rFonts w:ascii="Times New Roman" w:hAnsi="Times New Roman" w:cs="Times New Roman"/>
          <w:lang w:val="de-DE"/>
        </w:rPr>
        <w:t xml:space="preserve"> par </w:t>
      </w:r>
      <w:proofErr w:type="spellStart"/>
      <w:r w:rsidRPr="000C7C76">
        <w:rPr>
          <w:rFonts w:ascii="Times New Roman" w:hAnsi="Times New Roman" w:cs="Times New Roman"/>
          <w:lang w:val="de-DE"/>
        </w:rPr>
        <w:t>pilnvarojuma</w:t>
      </w:r>
      <w:proofErr w:type="spellEnd"/>
      <w:r w:rsidRPr="000C7C76">
        <w:rPr>
          <w:rFonts w:ascii="Times New Roman" w:hAnsi="Times New Roman" w:cs="Times New Roman"/>
          <w:lang w:val="de-DE"/>
        </w:rPr>
        <w:t xml:space="preserve"> </w:t>
      </w:r>
      <w:proofErr w:type="spellStart"/>
      <w:r w:rsidRPr="000C7C76">
        <w:rPr>
          <w:rFonts w:ascii="Times New Roman" w:hAnsi="Times New Roman" w:cs="Times New Roman"/>
          <w:lang w:val="de-DE"/>
        </w:rPr>
        <w:t>apjoma</w:t>
      </w:r>
      <w:proofErr w:type="spellEnd"/>
      <w:r w:rsidRPr="000C7C76">
        <w:rPr>
          <w:rFonts w:ascii="Times New Roman" w:hAnsi="Times New Roman" w:cs="Times New Roman"/>
          <w:lang w:val="de-DE"/>
        </w:rPr>
        <w:t xml:space="preserve"> </w:t>
      </w:r>
      <w:proofErr w:type="spellStart"/>
      <w:r w:rsidRPr="000C7C76">
        <w:rPr>
          <w:rFonts w:ascii="Times New Roman" w:hAnsi="Times New Roman" w:cs="Times New Roman"/>
          <w:lang w:val="de-DE"/>
        </w:rPr>
        <w:t>pārsniegšanu</w:t>
      </w:r>
      <w:proofErr w:type="spellEnd"/>
      <w:r w:rsidRPr="000C7C76">
        <w:rPr>
          <w:rFonts w:ascii="Times New Roman" w:hAnsi="Times New Roman" w:cs="Times New Roman"/>
          <w:lang w:val="de-DE"/>
        </w:rPr>
        <w:t>.</w:t>
      </w:r>
      <w:r>
        <w:rPr>
          <w:rStyle w:val="FootnoteReference"/>
          <w:rFonts w:ascii="Times New Roman" w:hAnsi="Times New Roman" w:cs="Times New Roman"/>
        </w:rPr>
        <w:footnoteReference w:id="36"/>
      </w:r>
      <w:r w:rsidRPr="000C7C76">
        <w:rPr>
          <w:rFonts w:ascii="Times New Roman" w:hAnsi="Times New Roman" w:cs="Times New Roman"/>
          <w:lang w:val="de-DE"/>
        </w:rPr>
        <w:t xml:space="preserve"> </w:t>
      </w:r>
      <w:proofErr w:type="spellStart"/>
      <w:r w:rsidRPr="000C7C76">
        <w:rPr>
          <w:rFonts w:ascii="Times New Roman" w:hAnsi="Times New Roman" w:cs="Times New Roman"/>
          <w:lang w:val="de-DE"/>
        </w:rPr>
        <w:t>Tādējādi</w:t>
      </w:r>
      <w:proofErr w:type="spellEnd"/>
      <w:r w:rsidRPr="000C7C76">
        <w:rPr>
          <w:rFonts w:ascii="Times New Roman" w:hAnsi="Times New Roman" w:cs="Times New Roman"/>
          <w:lang w:val="de-DE"/>
        </w:rPr>
        <w:t xml:space="preserve"> </w:t>
      </w:r>
      <w:proofErr w:type="spellStart"/>
      <w:r w:rsidRPr="000C7C76">
        <w:rPr>
          <w:rFonts w:ascii="Times New Roman" w:hAnsi="Times New Roman" w:cs="Times New Roman"/>
          <w:lang w:val="de-DE"/>
        </w:rPr>
        <w:t>no</w:t>
      </w:r>
      <w:proofErr w:type="spellEnd"/>
      <w:r w:rsidRPr="000C7C76">
        <w:rPr>
          <w:rFonts w:ascii="Times New Roman" w:hAnsi="Times New Roman" w:cs="Times New Roman"/>
          <w:lang w:val="de-DE"/>
        </w:rPr>
        <w:t xml:space="preserve"> Roma I Regulas </w:t>
      </w:r>
      <w:proofErr w:type="spellStart"/>
      <w:r w:rsidRPr="000C7C76">
        <w:rPr>
          <w:rFonts w:ascii="Times New Roman" w:hAnsi="Times New Roman" w:cs="Times New Roman"/>
          <w:lang w:val="de-DE"/>
        </w:rPr>
        <w:t>var</w:t>
      </w:r>
      <w:proofErr w:type="spellEnd"/>
      <w:r w:rsidRPr="000C7C76">
        <w:rPr>
          <w:rFonts w:ascii="Times New Roman" w:hAnsi="Times New Roman" w:cs="Times New Roman"/>
          <w:lang w:val="de-DE"/>
        </w:rPr>
        <w:t xml:space="preserve"> </w:t>
      </w:r>
      <w:proofErr w:type="spellStart"/>
      <w:r w:rsidRPr="000C7C76">
        <w:rPr>
          <w:rFonts w:ascii="Times New Roman" w:hAnsi="Times New Roman" w:cs="Times New Roman"/>
          <w:lang w:val="de-DE"/>
        </w:rPr>
        <w:t>secināt</w:t>
      </w:r>
      <w:proofErr w:type="spellEnd"/>
      <w:r w:rsidRPr="000C7C76">
        <w:rPr>
          <w:rFonts w:ascii="Times New Roman" w:hAnsi="Times New Roman" w:cs="Times New Roman"/>
          <w:lang w:val="de-DE"/>
        </w:rPr>
        <w:t xml:space="preserve">, </w:t>
      </w:r>
      <w:proofErr w:type="spellStart"/>
      <w:r w:rsidRPr="000C7C76">
        <w:rPr>
          <w:rFonts w:ascii="Times New Roman" w:hAnsi="Times New Roman" w:cs="Times New Roman"/>
          <w:lang w:val="de-DE"/>
        </w:rPr>
        <w:t>ka</w:t>
      </w:r>
      <w:proofErr w:type="spellEnd"/>
      <w:r w:rsidRPr="000C7C76">
        <w:rPr>
          <w:rFonts w:ascii="Times New Roman" w:hAnsi="Times New Roman" w:cs="Times New Roman"/>
          <w:lang w:val="de-DE"/>
        </w:rPr>
        <w:t xml:space="preserve"> </w:t>
      </w:r>
      <w:proofErr w:type="spellStart"/>
      <w:r w:rsidRPr="000C7C76">
        <w:rPr>
          <w:rFonts w:ascii="Times New Roman" w:hAnsi="Times New Roman" w:cs="Times New Roman"/>
          <w:lang w:val="de-DE"/>
        </w:rPr>
        <w:t>pilnvara</w:t>
      </w:r>
      <w:proofErr w:type="spellEnd"/>
      <w:r w:rsidRPr="000C7C76">
        <w:rPr>
          <w:rFonts w:ascii="Times New Roman" w:hAnsi="Times New Roman" w:cs="Times New Roman"/>
          <w:lang w:val="de-DE"/>
        </w:rPr>
        <w:t xml:space="preserve"> </w:t>
      </w:r>
      <w:proofErr w:type="spellStart"/>
      <w:r w:rsidRPr="000C7C76">
        <w:rPr>
          <w:rFonts w:ascii="Times New Roman" w:hAnsi="Times New Roman" w:cs="Times New Roman"/>
          <w:lang w:val="de-DE"/>
        </w:rPr>
        <w:t>principā</w:t>
      </w:r>
      <w:proofErr w:type="spellEnd"/>
      <w:r w:rsidRPr="000C7C76">
        <w:rPr>
          <w:rFonts w:ascii="Times New Roman" w:hAnsi="Times New Roman" w:cs="Times New Roman"/>
          <w:lang w:val="de-DE"/>
        </w:rPr>
        <w:t xml:space="preserve"> </w:t>
      </w:r>
      <w:proofErr w:type="spellStart"/>
      <w:r w:rsidRPr="000C7C76">
        <w:rPr>
          <w:rFonts w:ascii="Times New Roman" w:hAnsi="Times New Roman" w:cs="Times New Roman"/>
          <w:lang w:val="de-DE"/>
        </w:rPr>
        <w:t>vairs</w:t>
      </w:r>
      <w:proofErr w:type="spellEnd"/>
      <w:r w:rsidRPr="000C7C76">
        <w:rPr>
          <w:rFonts w:ascii="Times New Roman" w:hAnsi="Times New Roman" w:cs="Times New Roman"/>
          <w:lang w:val="de-DE"/>
        </w:rPr>
        <w:t xml:space="preserve"> </w:t>
      </w:r>
      <w:proofErr w:type="spellStart"/>
      <w:r w:rsidRPr="000C7C76">
        <w:rPr>
          <w:rFonts w:ascii="Times New Roman" w:hAnsi="Times New Roman" w:cs="Times New Roman"/>
          <w:lang w:val="de-DE"/>
        </w:rPr>
        <w:t>netiek</w:t>
      </w:r>
      <w:proofErr w:type="spellEnd"/>
      <w:r w:rsidRPr="000C7C76">
        <w:rPr>
          <w:rFonts w:ascii="Times New Roman" w:hAnsi="Times New Roman" w:cs="Times New Roman"/>
          <w:lang w:val="de-DE"/>
        </w:rPr>
        <w:t xml:space="preserve"> </w:t>
      </w:r>
      <w:proofErr w:type="spellStart"/>
      <w:r w:rsidRPr="000C7C76">
        <w:rPr>
          <w:rFonts w:ascii="Times New Roman" w:hAnsi="Times New Roman" w:cs="Times New Roman"/>
          <w:lang w:val="de-DE"/>
        </w:rPr>
        <w:t>pakārtota</w:t>
      </w:r>
      <w:proofErr w:type="spellEnd"/>
      <w:r w:rsidRPr="000C7C76">
        <w:rPr>
          <w:rFonts w:ascii="Times New Roman" w:hAnsi="Times New Roman" w:cs="Times New Roman"/>
          <w:lang w:val="de-DE"/>
        </w:rPr>
        <w:t xml:space="preserve"> </w:t>
      </w:r>
      <w:proofErr w:type="spellStart"/>
      <w:r w:rsidRPr="000C7C76">
        <w:rPr>
          <w:rFonts w:ascii="Times New Roman" w:hAnsi="Times New Roman" w:cs="Times New Roman"/>
          <w:lang w:val="de-DE"/>
        </w:rPr>
        <w:t>galvenā</w:t>
      </w:r>
      <w:proofErr w:type="spellEnd"/>
      <w:r w:rsidRPr="000C7C76">
        <w:rPr>
          <w:rFonts w:ascii="Times New Roman" w:hAnsi="Times New Roman" w:cs="Times New Roman"/>
          <w:lang w:val="de-DE"/>
        </w:rPr>
        <w:t xml:space="preserve"> </w:t>
      </w:r>
      <w:proofErr w:type="spellStart"/>
      <w:r w:rsidRPr="000C7C76">
        <w:rPr>
          <w:rFonts w:ascii="Times New Roman" w:hAnsi="Times New Roman" w:cs="Times New Roman"/>
          <w:lang w:val="de-DE"/>
        </w:rPr>
        <w:t>darījuma</w:t>
      </w:r>
      <w:proofErr w:type="spellEnd"/>
      <w:r w:rsidRPr="000C7C76">
        <w:rPr>
          <w:rFonts w:ascii="Times New Roman" w:hAnsi="Times New Roman" w:cs="Times New Roman"/>
          <w:lang w:val="de-DE"/>
        </w:rPr>
        <w:t xml:space="preserve"> </w:t>
      </w:r>
      <w:proofErr w:type="spellStart"/>
      <w:r w:rsidRPr="000C7C76">
        <w:rPr>
          <w:rFonts w:ascii="Times New Roman" w:hAnsi="Times New Roman" w:cs="Times New Roman"/>
          <w:lang w:val="de-DE"/>
        </w:rPr>
        <w:t>statūtam</w:t>
      </w:r>
      <w:proofErr w:type="spellEnd"/>
      <w:r w:rsidRPr="000C7C76">
        <w:rPr>
          <w:rFonts w:ascii="Times New Roman" w:hAnsi="Times New Roman" w:cs="Times New Roman"/>
          <w:lang w:val="de-DE"/>
        </w:rPr>
        <w:t xml:space="preserve"> </w:t>
      </w:r>
      <w:proofErr w:type="spellStart"/>
      <w:r w:rsidRPr="000C7C76">
        <w:rPr>
          <w:rFonts w:ascii="Times New Roman" w:hAnsi="Times New Roman" w:cs="Times New Roman"/>
          <w:lang w:val="de-DE"/>
        </w:rPr>
        <w:t>un</w:t>
      </w:r>
      <w:proofErr w:type="spellEnd"/>
      <w:r w:rsidRPr="000C7C76">
        <w:rPr>
          <w:rFonts w:ascii="Times New Roman" w:hAnsi="Times New Roman" w:cs="Times New Roman"/>
          <w:lang w:val="de-DE"/>
        </w:rPr>
        <w:t xml:space="preserve"> </w:t>
      </w:r>
      <w:proofErr w:type="spellStart"/>
      <w:r w:rsidRPr="000C7C76">
        <w:rPr>
          <w:rFonts w:ascii="Times New Roman" w:hAnsi="Times New Roman" w:cs="Times New Roman"/>
          <w:lang w:val="de-DE"/>
        </w:rPr>
        <w:t>tas</w:t>
      </w:r>
      <w:proofErr w:type="spellEnd"/>
      <w:r w:rsidRPr="000C7C76">
        <w:rPr>
          <w:rFonts w:ascii="Times New Roman" w:hAnsi="Times New Roman" w:cs="Times New Roman"/>
          <w:lang w:val="de-DE"/>
        </w:rPr>
        <w:t xml:space="preserve"> </w:t>
      </w:r>
      <w:proofErr w:type="spellStart"/>
      <w:r w:rsidRPr="000C7C76">
        <w:rPr>
          <w:rFonts w:ascii="Times New Roman" w:hAnsi="Times New Roman" w:cs="Times New Roman"/>
          <w:lang w:val="de-DE"/>
        </w:rPr>
        <w:t>nozīmē</w:t>
      </w:r>
      <w:proofErr w:type="spellEnd"/>
      <w:r w:rsidRPr="000C7C76">
        <w:rPr>
          <w:rFonts w:ascii="Times New Roman" w:hAnsi="Times New Roman" w:cs="Times New Roman"/>
          <w:lang w:val="de-DE"/>
        </w:rPr>
        <w:t xml:space="preserve">, </w:t>
      </w:r>
      <w:proofErr w:type="spellStart"/>
      <w:r w:rsidRPr="000C7C76">
        <w:rPr>
          <w:rFonts w:ascii="Times New Roman" w:hAnsi="Times New Roman" w:cs="Times New Roman"/>
          <w:lang w:val="de-DE"/>
        </w:rPr>
        <w:t>ka</w:t>
      </w:r>
      <w:proofErr w:type="spellEnd"/>
      <w:r w:rsidRPr="000C7C76">
        <w:rPr>
          <w:rFonts w:ascii="Times New Roman" w:hAnsi="Times New Roman" w:cs="Times New Roman"/>
          <w:lang w:val="de-DE"/>
        </w:rPr>
        <w:t xml:space="preserve"> </w:t>
      </w:r>
      <w:proofErr w:type="spellStart"/>
      <w:r w:rsidRPr="000C7C76">
        <w:rPr>
          <w:rFonts w:ascii="Times New Roman" w:hAnsi="Times New Roman" w:cs="Times New Roman"/>
          <w:lang w:val="de-DE"/>
        </w:rPr>
        <w:t>tai</w:t>
      </w:r>
      <w:proofErr w:type="spellEnd"/>
      <w:r w:rsidRPr="000C7C76">
        <w:rPr>
          <w:rFonts w:ascii="Times New Roman" w:hAnsi="Times New Roman" w:cs="Times New Roman"/>
          <w:lang w:val="de-DE"/>
        </w:rPr>
        <w:t xml:space="preserve"> </w:t>
      </w:r>
      <w:proofErr w:type="spellStart"/>
      <w:r w:rsidRPr="000C7C76">
        <w:rPr>
          <w:rFonts w:ascii="Times New Roman" w:hAnsi="Times New Roman" w:cs="Times New Roman"/>
          <w:lang w:val="de-DE"/>
        </w:rPr>
        <w:t>piemērojamo</w:t>
      </w:r>
      <w:proofErr w:type="spellEnd"/>
      <w:r w:rsidRPr="000C7C76">
        <w:rPr>
          <w:rFonts w:ascii="Times New Roman" w:hAnsi="Times New Roman" w:cs="Times New Roman"/>
          <w:lang w:val="de-DE"/>
        </w:rPr>
        <w:t xml:space="preserve"> </w:t>
      </w:r>
      <w:proofErr w:type="spellStart"/>
      <w:r w:rsidRPr="000C7C76">
        <w:rPr>
          <w:rFonts w:ascii="Times New Roman" w:hAnsi="Times New Roman" w:cs="Times New Roman"/>
          <w:lang w:val="de-DE"/>
        </w:rPr>
        <w:t>likumu</w:t>
      </w:r>
      <w:proofErr w:type="spellEnd"/>
      <w:r w:rsidRPr="000C7C76">
        <w:rPr>
          <w:rFonts w:ascii="Times New Roman" w:hAnsi="Times New Roman" w:cs="Times New Roman"/>
          <w:lang w:val="de-DE"/>
        </w:rPr>
        <w:t xml:space="preserve"> </w:t>
      </w:r>
      <w:proofErr w:type="spellStart"/>
      <w:r w:rsidRPr="000C7C76">
        <w:rPr>
          <w:rFonts w:ascii="Times New Roman" w:hAnsi="Times New Roman" w:cs="Times New Roman"/>
          <w:lang w:val="de-DE"/>
        </w:rPr>
        <w:t>nosaka</w:t>
      </w:r>
      <w:proofErr w:type="spellEnd"/>
      <w:r w:rsidRPr="000C7C76">
        <w:rPr>
          <w:rFonts w:ascii="Times New Roman" w:hAnsi="Times New Roman" w:cs="Times New Roman"/>
          <w:lang w:val="de-DE"/>
        </w:rPr>
        <w:t xml:space="preserve"> </w:t>
      </w:r>
      <w:proofErr w:type="spellStart"/>
      <w:r w:rsidRPr="000C7C76">
        <w:rPr>
          <w:rFonts w:ascii="Times New Roman" w:hAnsi="Times New Roman" w:cs="Times New Roman"/>
          <w:lang w:val="de-DE"/>
        </w:rPr>
        <w:t>saskaņā</w:t>
      </w:r>
      <w:proofErr w:type="spellEnd"/>
      <w:r w:rsidRPr="000C7C76">
        <w:rPr>
          <w:rFonts w:ascii="Times New Roman" w:hAnsi="Times New Roman" w:cs="Times New Roman"/>
          <w:lang w:val="de-DE"/>
        </w:rPr>
        <w:t xml:space="preserve"> </w:t>
      </w:r>
      <w:proofErr w:type="spellStart"/>
      <w:r w:rsidRPr="000C7C76">
        <w:rPr>
          <w:rFonts w:ascii="Times New Roman" w:hAnsi="Times New Roman" w:cs="Times New Roman"/>
          <w:lang w:val="de-DE"/>
        </w:rPr>
        <w:t>ar</w:t>
      </w:r>
      <w:proofErr w:type="spellEnd"/>
      <w:r w:rsidRPr="000C7C76">
        <w:rPr>
          <w:rFonts w:ascii="Times New Roman" w:hAnsi="Times New Roman" w:cs="Times New Roman"/>
          <w:lang w:val="de-DE"/>
        </w:rPr>
        <w:t xml:space="preserve"> </w:t>
      </w:r>
      <w:proofErr w:type="spellStart"/>
      <w:r w:rsidRPr="000C7C76">
        <w:rPr>
          <w:rFonts w:ascii="Times New Roman" w:hAnsi="Times New Roman" w:cs="Times New Roman"/>
          <w:lang w:val="de-DE"/>
        </w:rPr>
        <w:t>tiesas</w:t>
      </w:r>
      <w:proofErr w:type="spellEnd"/>
      <w:r w:rsidRPr="000C7C76">
        <w:rPr>
          <w:rFonts w:ascii="Times New Roman" w:hAnsi="Times New Roman" w:cs="Times New Roman"/>
          <w:lang w:val="de-DE"/>
        </w:rPr>
        <w:t xml:space="preserve"> </w:t>
      </w:r>
      <w:proofErr w:type="spellStart"/>
      <w:r w:rsidRPr="000C7C76">
        <w:rPr>
          <w:rFonts w:ascii="Times New Roman" w:hAnsi="Times New Roman" w:cs="Times New Roman"/>
          <w:lang w:val="de-DE"/>
        </w:rPr>
        <w:t>valsts</w:t>
      </w:r>
      <w:proofErr w:type="spellEnd"/>
      <w:r w:rsidRPr="000C7C76">
        <w:rPr>
          <w:rFonts w:ascii="Times New Roman" w:hAnsi="Times New Roman" w:cs="Times New Roman"/>
          <w:lang w:val="de-DE"/>
        </w:rPr>
        <w:t xml:space="preserve"> </w:t>
      </w:r>
      <w:proofErr w:type="spellStart"/>
      <w:r w:rsidRPr="000C7C76">
        <w:rPr>
          <w:rFonts w:ascii="Times New Roman" w:hAnsi="Times New Roman" w:cs="Times New Roman"/>
          <w:lang w:val="de-DE"/>
        </w:rPr>
        <w:t>nacionālajām</w:t>
      </w:r>
      <w:proofErr w:type="spellEnd"/>
      <w:r w:rsidRPr="000C7C76">
        <w:rPr>
          <w:rFonts w:ascii="Times New Roman" w:hAnsi="Times New Roman" w:cs="Times New Roman"/>
          <w:lang w:val="de-DE"/>
        </w:rPr>
        <w:t xml:space="preserve"> </w:t>
      </w:r>
      <w:proofErr w:type="spellStart"/>
      <w:r w:rsidRPr="000C7C76">
        <w:rPr>
          <w:rFonts w:ascii="Times New Roman" w:hAnsi="Times New Roman" w:cs="Times New Roman"/>
          <w:lang w:val="de-DE"/>
        </w:rPr>
        <w:t>kolīziju</w:t>
      </w:r>
      <w:proofErr w:type="spellEnd"/>
      <w:r w:rsidRPr="000C7C76">
        <w:rPr>
          <w:rFonts w:ascii="Times New Roman" w:hAnsi="Times New Roman" w:cs="Times New Roman"/>
          <w:lang w:val="de-DE"/>
        </w:rPr>
        <w:t xml:space="preserve"> </w:t>
      </w:r>
      <w:proofErr w:type="spellStart"/>
      <w:r w:rsidRPr="000C7C76">
        <w:rPr>
          <w:rFonts w:ascii="Times New Roman" w:hAnsi="Times New Roman" w:cs="Times New Roman"/>
          <w:lang w:val="de-DE"/>
        </w:rPr>
        <w:t>normām</w:t>
      </w:r>
      <w:proofErr w:type="spellEnd"/>
      <w:r w:rsidRPr="000C7C76">
        <w:rPr>
          <w:rFonts w:ascii="Times New Roman" w:hAnsi="Times New Roman" w:cs="Times New Roman"/>
          <w:lang w:val="de-DE"/>
        </w:rPr>
        <w:t>.</w:t>
      </w:r>
      <w:r>
        <w:rPr>
          <w:rStyle w:val="FootnoteReference"/>
          <w:rFonts w:ascii="Times New Roman" w:hAnsi="Times New Roman" w:cs="Times New Roman"/>
        </w:rPr>
        <w:footnoteReference w:id="37"/>
      </w:r>
      <w:r w:rsidR="00485054" w:rsidRPr="000C7C76">
        <w:rPr>
          <w:rFonts w:ascii="Times New Roman" w:hAnsi="Times New Roman" w:cs="Times New Roman"/>
          <w:lang w:val="de-DE"/>
        </w:rPr>
        <w:t xml:space="preserve"> </w:t>
      </w:r>
      <w:proofErr w:type="spellStart"/>
      <w:r w:rsidR="00485054" w:rsidRPr="000C7C76">
        <w:rPr>
          <w:rFonts w:ascii="Times New Roman" w:hAnsi="Times New Roman" w:cs="Times New Roman"/>
          <w:lang w:val="de-DE"/>
        </w:rPr>
        <w:t>Vienīg</w:t>
      </w:r>
      <w:r w:rsidRPr="000C7C76">
        <w:rPr>
          <w:rFonts w:ascii="Times New Roman" w:hAnsi="Times New Roman" w:cs="Times New Roman"/>
          <w:lang w:val="de-DE"/>
        </w:rPr>
        <w:t>ie</w:t>
      </w:r>
      <w:proofErr w:type="spellEnd"/>
      <w:r w:rsidRPr="000C7C76">
        <w:rPr>
          <w:rFonts w:ascii="Times New Roman" w:hAnsi="Times New Roman" w:cs="Times New Roman"/>
          <w:lang w:val="de-DE"/>
        </w:rPr>
        <w:t xml:space="preserve"> </w:t>
      </w:r>
      <w:proofErr w:type="spellStart"/>
      <w:r w:rsidRPr="000C7C76">
        <w:rPr>
          <w:rFonts w:ascii="Times New Roman" w:hAnsi="Times New Roman" w:cs="Times New Roman"/>
          <w:lang w:val="de-DE"/>
        </w:rPr>
        <w:t>izņēmumi</w:t>
      </w:r>
      <w:proofErr w:type="spellEnd"/>
      <w:r w:rsidRPr="000C7C76">
        <w:rPr>
          <w:rFonts w:ascii="Times New Roman" w:hAnsi="Times New Roman" w:cs="Times New Roman"/>
          <w:lang w:val="de-DE"/>
        </w:rPr>
        <w:t xml:space="preserve">, </w:t>
      </w:r>
      <w:proofErr w:type="spellStart"/>
      <w:r w:rsidRPr="000C7C76">
        <w:rPr>
          <w:rFonts w:ascii="Times New Roman" w:hAnsi="Times New Roman" w:cs="Times New Roman"/>
          <w:lang w:val="de-DE"/>
        </w:rPr>
        <w:t>kad</w:t>
      </w:r>
      <w:proofErr w:type="spellEnd"/>
      <w:r w:rsidRPr="000C7C76">
        <w:rPr>
          <w:rFonts w:ascii="Times New Roman" w:hAnsi="Times New Roman" w:cs="Times New Roman"/>
          <w:lang w:val="de-DE"/>
        </w:rPr>
        <w:t xml:space="preserve"> Roma I </w:t>
      </w:r>
      <w:proofErr w:type="spellStart"/>
      <w:r w:rsidRPr="000C7C76">
        <w:rPr>
          <w:rFonts w:ascii="Times New Roman" w:hAnsi="Times New Roman" w:cs="Times New Roman"/>
          <w:lang w:val="de-DE"/>
        </w:rPr>
        <w:t>Regulu</w:t>
      </w:r>
      <w:proofErr w:type="spellEnd"/>
      <w:r w:rsidRPr="000C7C76">
        <w:rPr>
          <w:rFonts w:ascii="Times New Roman" w:hAnsi="Times New Roman" w:cs="Times New Roman"/>
          <w:lang w:val="de-DE"/>
        </w:rPr>
        <w:t xml:space="preserve"> </w:t>
      </w:r>
      <w:proofErr w:type="spellStart"/>
      <w:r w:rsidRPr="000C7C76">
        <w:rPr>
          <w:rFonts w:ascii="Times New Roman" w:hAnsi="Times New Roman" w:cs="Times New Roman"/>
          <w:lang w:val="de-DE"/>
        </w:rPr>
        <w:t>piemēro</w:t>
      </w:r>
      <w:proofErr w:type="spellEnd"/>
      <w:r w:rsidRPr="000C7C76">
        <w:rPr>
          <w:rFonts w:ascii="Times New Roman" w:hAnsi="Times New Roman" w:cs="Times New Roman"/>
          <w:lang w:val="de-DE"/>
        </w:rPr>
        <w:t xml:space="preserve">, </w:t>
      </w:r>
      <w:proofErr w:type="spellStart"/>
      <w:r w:rsidRPr="000C7C76">
        <w:rPr>
          <w:rFonts w:ascii="Times New Roman" w:hAnsi="Times New Roman" w:cs="Times New Roman"/>
          <w:lang w:val="de-DE"/>
        </w:rPr>
        <w:t>ir</w:t>
      </w:r>
      <w:proofErr w:type="spellEnd"/>
      <w:r w:rsidRPr="000C7C76">
        <w:rPr>
          <w:rFonts w:ascii="Times New Roman" w:hAnsi="Times New Roman" w:cs="Times New Roman"/>
          <w:lang w:val="de-DE"/>
        </w:rPr>
        <w:t>:</w:t>
      </w:r>
    </w:p>
    <w:p w14:paraId="157C00AD" w14:textId="0BD79EF9" w:rsidR="00114953" w:rsidRPr="000C7C76" w:rsidRDefault="00114953" w:rsidP="00114953">
      <w:pPr>
        <w:jc w:val="both"/>
        <w:rPr>
          <w:rFonts w:ascii="Times New Roman" w:hAnsi="Times New Roman" w:cs="Times New Roman"/>
          <w:lang w:val="en-US"/>
        </w:rPr>
      </w:pPr>
      <w:r w:rsidRPr="000C7C76">
        <w:rPr>
          <w:rFonts w:ascii="Times New Roman" w:hAnsi="Times New Roman" w:cs="Times New Roman"/>
          <w:lang w:val="de-DE"/>
        </w:rPr>
        <w:t xml:space="preserve">1) </w:t>
      </w:r>
      <w:proofErr w:type="spellStart"/>
      <w:r w:rsidRPr="000C7C76">
        <w:rPr>
          <w:rFonts w:ascii="Times New Roman" w:hAnsi="Times New Roman" w:cs="Times New Roman"/>
          <w:lang w:val="de-DE"/>
        </w:rPr>
        <w:t>tādi</w:t>
      </w:r>
      <w:proofErr w:type="spellEnd"/>
      <w:r w:rsidRPr="000C7C76">
        <w:rPr>
          <w:rFonts w:ascii="Times New Roman" w:hAnsi="Times New Roman" w:cs="Times New Roman"/>
          <w:lang w:val="de-DE"/>
        </w:rPr>
        <w:t xml:space="preserve"> </w:t>
      </w:r>
      <w:proofErr w:type="spellStart"/>
      <w:r w:rsidRPr="000C7C76">
        <w:rPr>
          <w:rFonts w:ascii="Times New Roman" w:hAnsi="Times New Roman" w:cs="Times New Roman"/>
          <w:lang w:val="de-DE"/>
        </w:rPr>
        <w:t>vispārīgie</w:t>
      </w:r>
      <w:proofErr w:type="spellEnd"/>
      <w:r w:rsidRPr="000C7C76">
        <w:rPr>
          <w:rFonts w:ascii="Times New Roman" w:hAnsi="Times New Roman" w:cs="Times New Roman"/>
          <w:lang w:val="de-DE"/>
        </w:rPr>
        <w:t xml:space="preserve"> </w:t>
      </w:r>
      <w:proofErr w:type="spellStart"/>
      <w:r w:rsidRPr="000C7C76">
        <w:rPr>
          <w:rFonts w:ascii="Times New Roman" w:hAnsi="Times New Roman" w:cs="Times New Roman"/>
          <w:lang w:val="de-DE"/>
        </w:rPr>
        <w:t>līgumtiesību</w:t>
      </w:r>
      <w:proofErr w:type="spellEnd"/>
      <w:r w:rsidRPr="000C7C76">
        <w:rPr>
          <w:rFonts w:ascii="Times New Roman" w:hAnsi="Times New Roman" w:cs="Times New Roman"/>
          <w:lang w:val="de-DE"/>
        </w:rPr>
        <w:t xml:space="preserve"> </w:t>
      </w:r>
      <w:proofErr w:type="spellStart"/>
      <w:r w:rsidRPr="000C7C76">
        <w:rPr>
          <w:rFonts w:ascii="Times New Roman" w:hAnsi="Times New Roman" w:cs="Times New Roman"/>
          <w:lang w:val="de-DE"/>
        </w:rPr>
        <w:t>jautājumi</w:t>
      </w:r>
      <w:proofErr w:type="spellEnd"/>
      <w:r w:rsidRPr="000C7C76">
        <w:rPr>
          <w:rFonts w:ascii="Times New Roman" w:hAnsi="Times New Roman" w:cs="Times New Roman"/>
          <w:lang w:val="de-DE"/>
        </w:rPr>
        <w:t xml:space="preserve">, </w:t>
      </w:r>
      <w:proofErr w:type="spellStart"/>
      <w:r w:rsidRPr="000C7C76">
        <w:rPr>
          <w:rFonts w:ascii="Times New Roman" w:hAnsi="Times New Roman" w:cs="Times New Roman"/>
          <w:lang w:val="de-DE"/>
        </w:rPr>
        <w:t>kas</w:t>
      </w:r>
      <w:proofErr w:type="spellEnd"/>
      <w:r w:rsidRPr="000C7C76">
        <w:rPr>
          <w:rFonts w:ascii="Times New Roman" w:hAnsi="Times New Roman" w:cs="Times New Roman"/>
          <w:lang w:val="de-DE"/>
        </w:rPr>
        <w:t xml:space="preserve"> </w:t>
      </w:r>
      <w:proofErr w:type="spellStart"/>
      <w:r w:rsidRPr="000C7C76">
        <w:rPr>
          <w:rFonts w:ascii="Times New Roman" w:hAnsi="Times New Roman" w:cs="Times New Roman"/>
          <w:lang w:val="de-DE"/>
        </w:rPr>
        <w:t>nosaka</w:t>
      </w:r>
      <w:proofErr w:type="spellEnd"/>
      <w:r w:rsidRPr="000C7C76">
        <w:rPr>
          <w:rFonts w:ascii="Times New Roman" w:hAnsi="Times New Roman" w:cs="Times New Roman"/>
          <w:lang w:val="de-DE"/>
        </w:rPr>
        <w:t xml:space="preserve"> </w:t>
      </w:r>
      <w:proofErr w:type="spellStart"/>
      <w:r w:rsidRPr="000C7C76">
        <w:rPr>
          <w:rFonts w:ascii="Times New Roman" w:hAnsi="Times New Roman" w:cs="Times New Roman"/>
          <w:lang w:val="de-DE"/>
        </w:rPr>
        <w:t>ārpus</w:t>
      </w:r>
      <w:proofErr w:type="spellEnd"/>
      <w:r w:rsidRPr="000C7C76">
        <w:rPr>
          <w:rFonts w:ascii="Times New Roman" w:hAnsi="Times New Roman" w:cs="Times New Roman"/>
          <w:lang w:val="de-DE"/>
        </w:rPr>
        <w:t xml:space="preserve"> </w:t>
      </w:r>
      <w:proofErr w:type="spellStart"/>
      <w:r w:rsidRPr="000C7C76">
        <w:rPr>
          <w:rFonts w:ascii="Times New Roman" w:hAnsi="Times New Roman" w:cs="Times New Roman"/>
          <w:lang w:val="de-DE"/>
        </w:rPr>
        <w:t>pilnvarojuma</w:t>
      </w:r>
      <w:proofErr w:type="spellEnd"/>
      <w:r w:rsidRPr="000C7C76">
        <w:rPr>
          <w:rFonts w:ascii="Times New Roman" w:hAnsi="Times New Roman" w:cs="Times New Roman"/>
          <w:lang w:val="de-DE"/>
        </w:rPr>
        <w:t xml:space="preserve"> (</w:t>
      </w:r>
      <w:proofErr w:type="spellStart"/>
      <w:r w:rsidRPr="000C7C76">
        <w:rPr>
          <w:rFonts w:ascii="Times New Roman" w:hAnsi="Times New Roman" w:cs="Times New Roman"/>
          <w:lang w:val="de-DE"/>
        </w:rPr>
        <w:t>pilnvaras</w:t>
      </w:r>
      <w:proofErr w:type="spellEnd"/>
      <w:r w:rsidRPr="000C7C76">
        <w:rPr>
          <w:rFonts w:ascii="Times New Roman" w:hAnsi="Times New Roman" w:cs="Times New Roman"/>
          <w:lang w:val="de-DE"/>
        </w:rPr>
        <w:t xml:space="preserve">) </w:t>
      </w:r>
      <w:proofErr w:type="spellStart"/>
      <w:r w:rsidRPr="000C7C76">
        <w:rPr>
          <w:rFonts w:ascii="Times New Roman" w:hAnsi="Times New Roman" w:cs="Times New Roman"/>
          <w:lang w:val="de-DE"/>
        </w:rPr>
        <w:t>esošās</w:t>
      </w:r>
      <w:proofErr w:type="spellEnd"/>
      <w:r w:rsidRPr="000C7C76">
        <w:rPr>
          <w:rFonts w:ascii="Times New Roman" w:hAnsi="Times New Roman" w:cs="Times New Roman"/>
          <w:lang w:val="de-DE"/>
        </w:rPr>
        <w:t xml:space="preserve"> </w:t>
      </w:r>
      <w:proofErr w:type="spellStart"/>
      <w:r w:rsidRPr="000C7C76">
        <w:rPr>
          <w:rFonts w:ascii="Times New Roman" w:hAnsi="Times New Roman" w:cs="Times New Roman"/>
          <w:lang w:val="de-DE"/>
        </w:rPr>
        <w:t>tiesiskās</w:t>
      </w:r>
      <w:proofErr w:type="spellEnd"/>
      <w:r w:rsidRPr="000C7C76">
        <w:rPr>
          <w:rFonts w:ascii="Times New Roman" w:hAnsi="Times New Roman" w:cs="Times New Roman"/>
          <w:lang w:val="de-DE"/>
        </w:rPr>
        <w:t xml:space="preserve"> </w:t>
      </w:r>
      <w:proofErr w:type="spellStart"/>
      <w:r w:rsidRPr="000C7C76">
        <w:rPr>
          <w:rFonts w:ascii="Times New Roman" w:hAnsi="Times New Roman" w:cs="Times New Roman"/>
          <w:lang w:val="de-DE"/>
        </w:rPr>
        <w:t>attiecības</w:t>
      </w:r>
      <w:proofErr w:type="spellEnd"/>
      <w:r w:rsidRPr="000C7C76">
        <w:rPr>
          <w:rFonts w:ascii="Times New Roman" w:hAnsi="Times New Roman" w:cs="Times New Roman"/>
          <w:lang w:val="de-DE"/>
        </w:rPr>
        <w:t xml:space="preserve"> </w:t>
      </w:r>
      <w:proofErr w:type="spellStart"/>
      <w:r w:rsidRPr="000C7C76">
        <w:rPr>
          <w:rFonts w:ascii="Times New Roman" w:hAnsi="Times New Roman" w:cs="Times New Roman"/>
          <w:lang w:val="de-DE"/>
        </w:rPr>
        <w:t>starp</w:t>
      </w:r>
      <w:proofErr w:type="spellEnd"/>
      <w:r w:rsidRPr="000C7C76">
        <w:rPr>
          <w:rFonts w:ascii="Times New Roman" w:hAnsi="Times New Roman" w:cs="Times New Roman"/>
          <w:lang w:val="de-DE"/>
        </w:rPr>
        <w:t xml:space="preserve"> </w:t>
      </w:r>
      <w:proofErr w:type="spellStart"/>
      <w:r w:rsidRPr="000C7C76">
        <w:rPr>
          <w:rFonts w:ascii="Times New Roman" w:hAnsi="Times New Roman" w:cs="Times New Roman"/>
          <w:lang w:val="de-DE"/>
        </w:rPr>
        <w:t>pilnvaras</w:t>
      </w:r>
      <w:proofErr w:type="spellEnd"/>
      <w:r w:rsidRPr="000C7C76">
        <w:rPr>
          <w:rFonts w:ascii="Times New Roman" w:hAnsi="Times New Roman" w:cs="Times New Roman"/>
          <w:lang w:val="de-DE"/>
        </w:rPr>
        <w:t xml:space="preserve"> </w:t>
      </w:r>
      <w:proofErr w:type="spellStart"/>
      <w:r w:rsidRPr="000C7C76">
        <w:rPr>
          <w:rFonts w:ascii="Times New Roman" w:hAnsi="Times New Roman" w:cs="Times New Roman"/>
          <w:lang w:val="de-DE"/>
        </w:rPr>
        <w:t>devēju</w:t>
      </w:r>
      <w:proofErr w:type="spellEnd"/>
      <w:r w:rsidRPr="000C7C76">
        <w:rPr>
          <w:rFonts w:ascii="Times New Roman" w:hAnsi="Times New Roman" w:cs="Times New Roman"/>
          <w:lang w:val="de-DE"/>
        </w:rPr>
        <w:t xml:space="preserve"> </w:t>
      </w:r>
      <w:proofErr w:type="spellStart"/>
      <w:r w:rsidRPr="000C7C76">
        <w:rPr>
          <w:rFonts w:ascii="Times New Roman" w:hAnsi="Times New Roman" w:cs="Times New Roman"/>
          <w:lang w:val="de-DE"/>
        </w:rPr>
        <w:t>un</w:t>
      </w:r>
      <w:proofErr w:type="spellEnd"/>
      <w:r w:rsidRPr="000C7C76">
        <w:rPr>
          <w:rFonts w:ascii="Times New Roman" w:hAnsi="Times New Roman" w:cs="Times New Roman"/>
          <w:lang w:val="de-DE"/>
        </w:rPr>
        <w:t xml:space="preserve"> </w:t>
      </w:r>
      <w:proofErr w:type="spellStart"/>
      <w:r w:rsidRPr="000C7C76">
        <w:rPr>
          <w:rFonts w:ascii="Times New Roman" w:hAnsi="Times New Roman" w:cs="Times New Roman"/>
          <w:lang w:val="de-DE"/>
        </w:rPr>
        <w:t>pilnvarnieku</w:t>
      </w:r>
      <w:proofErr w:type="spellEnd"/>
      <w:r w:rsidRPr="000C7C76">
        <w:rPr>
          <w:rFonts w:ascii="Times New Roman" w:hAnsi="Times New Roman" w:cs="Times New Roman"/>
          <w:lang w:val="de-DE"/>
        </w:rPr>
        <w:t>.</w:t>
      </w:r>
      <w:r>
        <w:rPr>
          <w:rStyle w:val="FootnoteReference"/>
          <w:rFonts w:ascii="Times New Roman" w:hAnsi="Times New Roman" w:cs="Times New Roman"/>
        </w:rPr>
        <w:footnoteReference w:id="38"/>
      </w:r>
      <w:r w:rsidRPr="000C7C76">
        <w:rPr>
          <w:rFonts w:ascii="Times New Roman" w:hAnsi="Times New Roman" w:cs="Times New Roman"/>
          <w:lang w:val="de-DE"/>
        </w:rPr>
        <w:t xml:space="preserve"> </w:t>
      </w:r>
      <w:proofErr w:type="spellStart"/>
      <w:r w:rsidRPr="000C7C76">
        <w:rPr>
          <w:rFonts w:ascii="Times New Roman" w:hAnsi="Times New Roman" w:cs="Times New Roman"/>
          <w:lang w:val="en-US"/>
        </w:rPr>
        <w:t>Tātad</w:t>
      </w:r>
      <w:proofErr w:type="spellEnd"/>
      <w:r w:rsidRPr="000C7C76">
        <w:rPr>
          <w:rFonts w:ascii="Times New Roman" w:hAnsi="Times New Roman" w:cs="Times New Roman"/>
          <w:lang w:val="en-US"/>
        </w:rPr>
        <w:t xml:space="preserve">, Roma I Regula var </w:t>
      </w:r>
      <w:proofErr w:type="spellStart"/>
      <w:r w:rsidRPr="000C7C76">
        <w:rPr>
          <w:rFonts w:ascii="Times New Roman" w:hAnsi="Times New Roman" w:cs="Times New Roman"/>
          <w:lang w:val="en-US"/>
        </w:rPr>
        <w:t>tikt</w:t>
      </w:r>
      <w:proofErr w:type="spellEnd"/>
      <w:r w:rsidRPr="000C7C76">
        <w:rPr>
          <w:rFonts w:ascii="Times New Roman" w:hAnsi="Times New Roman" w:cs="Times New Roman"/>
          <w:lang w:val="en-US"/>
        </w:rPr>
        <w:t xml:space="preserve"> </w:t>
      </w:r>
      <w:proofErr w:type="spellStart"/>
      <w:r w:rsidRPr="000C7C76">
        <w:rPr>
          <w:rFonts w:ascii="Times New Roman" w:hAnsi="Times New Roman" w:cs="Times New Roman"/>
          <w:lang w:val="en-US"/>
        </w:rPr>
        <w:t>piemērota</w:t>
      </w:r>
      <w:proofErr w:type="spellEnd"/>
      <w:r w:rsidRPr="000C7C76">
        <w:rPr>
          <w:rFonts w:ascii="Times New Roman" w:hAnsi="Times New Roman" w:cs="Times New Roman"/>
          <w:lang w:val="en-US"/>
        </w:rPr>
        <w:t xml:space="preserve"> </w:t>
      </w:r>
      <w:proofErr w:type="spellStart"/>
      <w:r w:rsidRPr="000C7C76">
        <w:rPr>
          <w:rFonts w:ascii="Times New Roman" w:hAnsi="Times New Roman" w:cs="Times New Roman"/>
          <w:lang w:val="en-US"/>
        </w:rPr>
        <w:t>pilnvarojuma</w:t>
      </w:r>
      <w:proofErr w:type="spellEnd"/>
      <w:r w:rsidRPr="000C7C76">
        <w:rPr>
          <w:rFonts w:ascii="Times New Roman" w:hAnsi="Times New Roman" w:cs="Times New Roman"/>
          <w:lang w:val="en-US"/>
        </w:rPr>
        <w:t xml:space="preserve"> </w:t>
      </w:r>
      <w:proofErr w:type="spellStart"/>
      <w:r w:rsidRPr="000C7C76">
        <w:rPr>
          <w:rFonts w:ascii="Times New Roman" w:hAnsi="Times New Roman" w:cs="Times New Roman"/>
          <w:lang w:val="en-US"/>
        </w:rPr>
        <w:t>līgu</w:t>
      </w:r>
      <w:r w:rsidR="00485054" w:rsidRPr="000C7C76">
        <w:rPr>
          <w:rFonts w:ascii="Times New Roman" w:hAnsi="Times New Roman" w:cs="Times New Roman"/>
          <w:lang w:val="en-US"/>
        </w:rPr>
        <w:t>mam</w:t>
      </w:r>
      <w:proofErr w:type="spellEnd"/>
      <w:r w:rsidR="00485054" w:rsidRPr="000C7C76">
        <w:rPr>
          <w:rFonts w:ascii="Times New Roman" w:hAnsi="Times New Roman" w:cs="Times New Roman"/>
          <w:lang w:val="en-US"/>
        </w:rPr>
        <w:t xml:space="preserve"> </w:t>
      </w:r>
      <w:proofErr w:type="spellStart"/>
      <w:r w:rsidR="00485054" w:rsidRPr="000C7C76">
        <w:rPr>
          <w:rFonts w:ascii="Times New Roman" w:hAnsi="Times New Roman" w:cs="Times New Roman"/>
          <w:lang w:val="en-US"/>
        </w:rPr>
        <w:t>kā</w:t>
      </w:r>
      <w:proofErr w:type="spellEnd"/>
      <w:r w:rsidR="00485054" w:rsidRPr="000C7C76">
        <w:rPr>
          <w:rFonts w:ascii="Times New Roman" w:hAnsi="Times New Roman" w:cs="Times New Roman"/>
          <w:lang w:val="en-US"/>
        </w:rPr>
        <w:t xml:space="preserve"> </w:t>
      </w:r>
      <w:proofErr w:type="spellStart"/>
      <w:r w:rsidR="00485054" w:rsidRPr="000C7C76">
        <w:rPr>
          <w:rFonts w:ascii="Times New Roman" w:hAnsi="Times New Roman" w:cs="Times New Roman"/>
          <w:lang w:val="en-US"/>
        </w:rPr>
        <w:t>tādam</w:t>
      </w:r>
      <w:proofErr w:type="spellEnd"/>
      <w:r w:rsidR="00485054" w:rsidRPr="000C7C76">
        <w:rPr>
          <w:rFonts w:ascii="Times New Roman" w:hAnsi="Times New Roman" w:cs="Times New Roman"/>
          <w:lang w:val="en-US"/>
        </w:rPr>
        <w:t xml:space="preserve"> (bet ne </w:t>
      </w:r>
      <w:proofErr w:type="spellStart"/>
      <w:r w:rsidR="00485054" w:rsidRPr="000C7C76">
        <w:rPr>
          <w:rFonts w:ascii="Times New Roman" w:hAnsi="Times New Roman" w:cs="Times New Roman"/>
          <w:lang w:val="en-US"/>
        </w:rPr>
        <w:t>pilnvarām</w:t>
      </w:r>
      <w:proofErr w:type="spellEnd"/>
      <w:r w:rsidR="00485054" w:rsidRPr="000C7C76">
        <w:rPr>
          <w:rFonts w:ascii="Times New Roman" w:hAnsi="Times New Roman" w:cs="Times New Roman"/>
          <w:lang w:val="en-US"/>
        </w:rPr>
        <w:t>)</w:t>
      </w:r>
      <w:r w:rsidRPr="000C7C76">
        <w:rPr>
          <w:rFonts w:ascii="Times New Roman" w:hAnsi="Times New Roman" w:cs="Times New Roman"/>
          <w:lang w:val="en-US"/>
        </w:rPr>
        <w:t>;</w:t>
      </w:r>
      <w:r w:rsidRPr="00BF3A72">
        <w:rPr>
          <w:rStyle w:val="FootnoteReference"/>
          <w:rFonts w:ascii="Times New Roman" w:hAnsi="Times New Roman" w:cs="Times New Roman"/>
        </w:rPr>
        <w:footnoteReference w:id="39"/>
      </w:r>
    </w:p>
    <w:p w14:paraId="5132B407" w14:textId="77777777" w:rsidR="00114953" w:rsidRPr="000C7C76" w:rsidRDefault="00114953" w:rsidP="00114953">
      <w:pPr>
        <w:jc w:val="both"/>
        <w:rPr>
          <w:rFonts w:ascii="Times New Roman" w:hAnsi="Times New Roman" w:cs="Times New Roman"/>
          <w:lang w:val="en-US"/>
        </w:rPr>
      </w:pPr>
      <w:r w:rsidRPr="000C7C76">
        <w:rPr>
          <w:rFonts w:ascii="Times New Roman" w:hAnsi="Times New Roman" w:cs="Times New Roman"/>
          <w:lang w:val="en-US"/>
        </w:rPr>
        <w:t xml:space="preserve">2) </w:t>
      </w:r>
      <w:proofErr w:type="spellStart"/>
      <w:r w:rsidRPr="000C7C76">
        <w:rPr>
          <w:rFonts w:ascii="Times New Roman" w:hAnsi="Times New Roman" w:cs="Times New Roman"/>
          <w:lang w:val="en-US"/>
        </w:rPr>
        <w:t>tas</w:t>
      </w:r>
      <w:proofErr w:type="spellEnd"/>
      <w:r w:rsidRPr="000C7C76">
        <w:rPr>
          <w:rFonts w:ascii="Times New Roman" w:hAnsi="Times New Roman" w:cs="Times New Roman"/>
          <w:lang w:val="en-US"/>
        </w:rPr>
        <w:t xml:space="preserve"> pats </w:t>
      </w:r>
      <w:proofErr w:type="spellStart"/>
      <w:r w:rsidRPr="000C7C76">
        <w:rPr>
          <w:rFonts w:ascii="Times New Roman" w:hAnsi="Times New Roman" w:cs="Times New Roman"/>
          <w:lang w:val="en-US"/>
        </w:rPr>
        <w:t>attiecas</w:t>
      </w:r>
      <w:proofErr w:type="spellEnd"/>
      <w:r w:rsidRPr="000C7C76">
        <w:rPr>
          <w:rFonts w:ascii="Times New Roman" w:hAnsi="Times New Roman" w:cs="Times New Roman"/>
          <w:lang w:val="en-US"/>
        </w:rPr>
        <w:t xml:space="preserve"> </w:t>
      </w:r>
      <w:proofErr w:type="spellStart"/>
      <w:r w:rsidRPr="000C7C76">
        <w:rPr>
          <w:rFonts w:ascii="Times New Roman" w:hAnsi="Times New Roman" w:cs="Times New Roman"/>
          <w:lang w:val="en-US"/>
        </w:rPr>
        <w:t>uz</w:t>
      </w:r>
      <w:proofErr w:type="spellEnd"/>
      <w:r w:rsidRPr="000C7C76">
        <w:rPr>
          <w:rFonts w:ascii="Times New Roman" w:hAnsi="Times New Roman" w:cs="Times New Roman"/>
          <w:lang w:val="en-US"/>
        </w:rPr>
        <w:t xml:space="preserve"> </w:t>
      </w:r>
      <w:proofErr w:type="spellStart"/>
      <w:r w:rsidRPr="000C7C76">
        <w:rPr>
          <w:rFonts w:ascii="Times New Roman" w:hAnsi="Times New Roman" w:cs="Times New Roman"/>
          <w:lang w:val="en-US"/>
        </w:rPr>
        <w:t>attiecībām</w:t>
      </w:r>
      <w:proofErr w:type="spellEnd"/>
      <w:r w:rsidRPr="000C7C76">
        <w:rPr>
          <w:rFonts w:ascii="Times New Roman" w:hAnsi="Times New Roman" w:cs="Times New Roman"/>
          <w:lang w:val="en-US"/>
        </w:rPr>
        <w:t xml:space="preserve"> </w:t>
      </w:r>
      <w:proofErr w:type="spellStart"/>
      <w:r w:rsidRPr="000C7C76">
        <w:rPr>
          <w:rFonts w:ascii="Times New Roman" w:hAnsi="Times New Roman" w:cs="Times New Roman"/>
          <w:lang w:val="en-US"/>
        </w:rPr>
        <w:t>starp</w:t>
      </w:r>
      <w:proofErr w:type="spellEnd"/>
      <w:r w:rsidRPr="000C7C76">
        <w:rPr>
          <w:rFonts w:ascii="Times New Roman" w:hAnsi="Times New Roman" w:cs="Times New Roman"/>
          <w:lang w:val="en-US"/>
        </w:rPr>
        <w:t xml:space="preserve"> </w:t>
      </w:r>
      <w:proofErr w:type="spellStart"/>
      <w:r w:rsidRPr="000C7C76">
        <w:rPr>
          <w:rFonts w:ascii="Times New Roman" w:hAnsi="Times New Roman" w:cs="Times New Roman"/>
          <w:lang w:val="en-US"/>
        </w:rPr>
        <w:t>pilnvarnieku</w:t>
      </w:r>
      <w:proofErr w:type="spellEnd"/>
      <w:r w:rsidRPr="000C7C76">
        <w:rPr>
          <w:rFonts w:ascii="Times New Roman" w:hAnsi="Times New Roman" w:cs="Times New Roman"/>
          <w:lang w:val="en-US"/>
        </w:rPr>
        <w:t xml:space="preserve"> un </w:t>
      </w:r>
      <w:proofErr w:type="spellStart"/>
      <w:r w:rsidRPr="000C7C76">
        <w:rPr>
          <w:rFonts w:ascii="Times New Roman" w:hAnsi="Times New Roman" w:cs="Times New Roman"/>
          <w:lang w:val="en-US"/>
        </w:rPr>
        <w:t>trešo</w:t>
      </w:r>
      <w:proofErr w:type="spellEnd"/>
      <w:r w:rsidRPr="000C7C76">
        <w:rPr>
          <w:rFonts w:ascii="Times New Roman" w:hAnsi="Times New Roman" w:cs="Times New Roman"/>
          <w:lang w:val="en-US"/>
        </w:rPr>
        <w:t xml:space="preserve"> </w:t>
      </w:r>
      <w:proofErr w:type="spellStart"/>
      <w:r w:rsidRPr="000C7C76">
        <w:rPr>
          <w:rFonts w:ascii="Times New Roman" w:hAnsi="Times New Roman" w:cs="Times New Roman"/>
          <w:lang w:val="en-US"/>
        </w:rPr>
        <w:t>personu</w:t>
      </w:r>
      <w:proofErr w:type="spellEnd"/>
      <w:r w:rsidRPr="000C7C76">
        <w:rPr>
          <w:rFonts w:ascii="Times New Roman" w:hAnsi="Times New Roman" w:cs="Times New Roman"/>
          <w:lang w:val="en-US"/>
        </w:rPr>
        <w:t xml:space="preserve">, ja </w:t>
      </w:r>
      <w:proofErr w:type="spellStart"/>
      <w:r w:rsidRPr="000C7C76">
        <w:rPr>
          <w:rFonts w:ascii="Times New Roman" w:hAnsi="Times New Roman" w:cs="Times New Roman"/>
          <w:lang w:val="en-US"/>
        </w:rPr>
        <w:t>tām</w:t>
      </w:r>
      <w:proofErr w:type="spellEnd"/>
      <w:r w:rsidRPr="000C7C76">
        <w:rPr>
          <w:rFonts w:ascii="Times New Roman" w:hAnsi="Times New Roman" w:cs="Times New Roman"/>
          <w:lang w:val="en-US"/>
        </w:rPr>
        <w:t xml:space="preserve"> </w:t>
      </w:r>
      <w:proofErr w:type="spellStart"/>
      <w:r w:rsidRPr="000C7C76">
        <w:rPr>
          <w:rFonts w:ascii="Times New Roman" w:hAnsi="Times New Roman" w:cs="Times New Roman"/>
          <w:lang w:val="en-US"/>
        </w:rPr>
        <w:t>ir</w:t>
      </w:r>
      <w:proofErr w:type="spellEnd"/>
      <w:r w:rsidRPr="000C7C76">
        <w:rPr>
          <w:rFonts w:ascii="Times New Roman" w:hAnsi="Times New Roman" w:cs="Times New Roman"/>
          <w:lang w:val="en-US"/>
        </w:rPr>
        <w:t xml:space="preserve"> </w:t>
      </w:r>
      <w:proofErr w:type="spellStart"/>
      <w:r w:rsidRPr="000C7C76">
        <w:rPr>
          <w:rFonts w:ascii="Times New Roman" w:hAnsi="Times New Roman" w:cs="Times New Roman"/>
          <w:lang w:val="en-US"/>
        </w:rPr>
        <w:t>līgumtiesību</w:t>
      </w:r>
      <w:proofErr w:type="spellEnd"/>
      <w:r w:rsidRPr="000C7C76">
        <w:rPr>
          <w:rFonts w:ascii="Times New Roman" w:hAnsi="Times New Roman" w:cs="Times New Roman"/>
          <w:lang w:val="en-US"/>
        </w:rPr>
        <w:t xml:space="preserve"> </w:t>
      </w:r>
      <w:proofErr w:type="spellStart"/>
      <w:r w:rsidRPr="000C7C76">
        <w:rPr>
          <w:rFonts w:ascii="Times New Roman" w:hAnsi="Times New Roman" w:cs="Times New Roman"/>
          <w:lang w:val="en-US"/>
        </w:rPr>
        <w:t>raksturs</w:t>
      </w:r>
      <w:proofErr w:type="spellEnd"/>
      <w:r w:rsidRPr="000C7C76">
        <w:rPr>
          <w:rFonts w:ascii="Times New Roman" w:hAnsi="Times New Roman" w:cs="Times New Roman"/>
          <w:lang w:val="en-US"/>
        </w:rPr>
        <w:t>.</w:t>
      </w:r>
      <w:r w:rsidRPr="00BF3A72">
        <w:rPr>
          <w:rStyle w:val="FootnoteReference"/>
          <w:rFonts w:ascii="Times New Roman" w:hAnsi="Times New Roman" w:cs="Times New Roman"/>
        </w:rPr>
        <w:footnoteReference w:id="40"/>
      </w:r>
      <w:r w:rsidRPr="000C7C76">
        <w:rPr>
          <w:rFonts w:ascii="Times New Roman" w:hAnsi="Times New Roman" w:cs="Times New Roman"/>
          <w:lang w:val="en-US"/>
        </w:rPr>
        <w:t xml:space="preserve"> </w:t>
      </w:r>
      <w:proofErr w:type="spellStart"/>
      <w:r w:rsidRPr="000C7C76">
        <w:rPr>
          <w:rFonts w:ascii="Times New Roman" w:hAnsi="Times New Roman" w:cs="Times New Roman"/>
          <w:lang w:val="en-US"/>
        </w:rPr>
        <w:t>Citiem</w:t>
      </w:r>
      <w:proofErr w:type="spellEnd"/>
      <w:r w:rsidRPr="000C7C76">
        <w:rPr>
          <w:rFonts w:ascii="Times New Roman" w:hAnsi="Times New Roman" w:cs="Times New Roman"/>
          <w:lang w:val="en-US"/>
        </w:rPr>
        <w:t xml:space="preserve"> </w:t>
      </w:r>
      <w:proofErr w:type="spellStart"/>
      <w:r w:rsidRPr="000C7C76">
        <w:rPr>
          <w:rFonts w:ascii="Times New Roman" w:hAnsi="Times New Roman" w:cs="Times New Roman"/>
          <w:lang w:val="en-US"/>
        </w:rPr>
        <w:t>vārdiem</w:t>
      </w:r>
      <w:proofErr w:type="spellEnd"/>
      <w:r w:rsidRPr="000C7C76">
        <w:rPr>
          <w:rFonts w:ascii="Times New Roman" w:hAnsi="Times New Roman" w:cs="Times New Roman"/>
          <w:lang w:val="en-US"/>
        </w:rPr>
        <w:t xml:space="preserve"> </w:t>
      </w:r>
      <w:proofErr w:type="spellStart"/>
      <w:r w:rsidRPr="000C7C76">
        <w:rPr>
          <w:rFonts w:ascii="Times New Roman" w:hAnsi="Times New Roman" w:cs="Times New Roman"/>
          <w:lang w:val="en-US"/>
        </w:rPr>
        <w:t>sakot</w:t>
      </w:r>
      <w:proofErr w:type="spellEnd"/>
      <w:r w:rsidRPr="000C7C76">
        <w:rPr>
          <w:rFonts w:ascii="Times New Roman" w:hAnsi="Times New Roman" w:cs="Times New Roman"/>
          <w:lang w:val="en-US"/>
        </w:rPr>
        <w:t xml:space="preserve">, </w:t>
      </w:r>
      <w:proofErr w:type="spellStart"/>
      <w:r w:rsidRPr="000C7C76">
        <w:rPr>
          <w:rFonts w:ascii="Times New Roman" w:hAnsi="Times New Roman" w:cs="Times New Roman"/>
          <w:lang w:val="en-US"/>
        </w:rPr>
        <w:t>galvenā</w:t>
      </w:r>
      <w:proofErr w:type="spellEnd"/>
      <w:r w:rsidRPr="000C7C76">
        <w:rPr>
          <w:rFonts w:ascii="Times New Roman" w:hAnsi="Times New Roman" w:cs="Times New Roman"/>
          <w:lang w:val="en-US"/>
        </w:rPr>
        <w:t xml:space="preserve"> </w:t>
      </w:r>
      <w:proofErr w:type="spellStart"/>
      <w:r w:rsidRPr="000C7C76">
        <w:rPr>
          <w:rFonts w:ascii="Times New Roman" w:hAnsi="Times New Roman" w:cs="Times New Roman"/>
          <w:lang w:val="en-US"/>
        </w:rPr>
        <w:t>darījuma</w:t>
      </w:r>
      <w:proofErr w:type="spellEnd"/>
      <w:r w:rsidRPr="000C7C76">
        <w:rPr>
          <w:rFonts w:ascii="Times New Roman" w:hAnsi="Times New Roman" w:cs="Times New Roman"/>
          <w:lang w:val="en-US"/>
        </w:rPr>
        <w:t xml:space="preserve"> (</w:t>
      </w:r>
      <w:proofErr w:type="spellStart"/>
      <w:r w:rsidRPr="000C7C76">
        <w:rPr>
          <w:rFonts w:ascii="Times New Roman" w:hAnsi="Times New Roman" w:cs="Times New Roman"/>
          <w:lang w:val="en-US"/>
        </w:rPr>
        <w:t>piemēram</w:t>
      </w:r>
      <w:proofErr w:type="spellEnd"/>
      <w:r w:rsidRPr="000C7C76">
        <w:rPr>
          <w:rFonts w:ascii="Times New Roman" w:hAnsi="Times New Roman" w:cs="Times New Roman"/>
          <w:lang w:val="en-US"/>
        </w:rPr>
        <w:t xml:space="preserve">, </w:t>
      </w:r>
      <w:proofErr w:type="spellStart"/>
      <w:r w:rsidRPr="000C7C76">
        <w:rPr>
          <w:rFonts w:ascii="Times New Roman" w:hAnsi="Times New Roman" w:cs="Times New Roman"/>
          <w:lang w:val="en-US"/>
        </w:rPr>
        <w:t>pirkuma</w:t>
      </w:r>
      <w:proofErr w:type="spellEnd"/>
      <w:r w:rsidRPr="000C7C76">
        <w:rPr>
          <w:rFonts w:ascii="Times New Roman" w:hAnsi="Times New Roman" w:cs="Times New Roman"/>
          <w:lang w:val="en-US"/>
        </w:rPr>
        <w:t xml:space="preserve"> </w:t>
      </w:r>
      <w:proofErr w:type="spellStart"/>
      <w:r w:rsidRPr="000C7C76">
        <w:rPr>
          <w:rFonts w:ascii="Times New Roman" w:hAnsi="Times New Roman" w:cs="Times New Roman"/>
          <w:lang w:val="en-US"/>
        </w:rPr>
        <w:t>līguma</w:t>
      </w:r>
      <w:proofErr w:type="spellEnd"/>
      <w:r w:rsidRPr="000C7C76">
        <w:rPr>
          <w:rFonts w:ascii="Times New Roman" w:hAnsi="Times New Roman" w:cs="Times New Roman"/>
          <w:lang w:val="en-US"/>
        </w:rPr>
        <w:t xml:space="preserve">) </w:t>
      </w:r>
      <w:proofErr w:type="spellStart"/>
      <w:r w:rsidRPr="000C7C76">
        <w:rPr>
          <w:rFonts w:ascii="Times New Roman" w:hAnsi="Times New Roman" w:cs="Times New Roman"/>
          <w:lang w:val="en-US"/>
        </w:rPr>
        <w:t>statūtam</w:t>
      </w:r>
      <w:proofErr w:type="spellEnd"/>
      <w:r w:rsidRPr="000C7C76">
        <w:rPr>
          <w:rFonts w:ascii="Times New Roman" w:hAnsi="Times New Roman" w:cs="Times New Roman"/>
          <w:lang w:val="en-US"/>
        </w:rPr>
        <w:t xml:space="preserve"> (ja </w:t>
      </w:r>
      <w:proofErr w:type="spellStart"/>
      <w:r w:rsidRPr="000C7C76">
        <w:rPr>
          <w:rFonts w:ascii="Times New Roman" w:hAnsi="Times New Roman" w:cs="Times New Roman"/>
          <w:lang w:val="en-US"/>
        </w:rPr>
        <w:t>tas</w:t>
      </w:r>
      <w:proofErr w:type="spellEnd"/>
      <w:r w:rsidRPr="000C7C76">
        <w:rPr>
          <w:rFonts w:ascii="Times New Roman" w:hAnsi="Times New Roman" w:cs="Times New Roman"/>
          <w:lang w:val="en-US"/>
        </w:rPr>
        <w:t xml:space="preserve"> </w:t>
      </w:r>
      <w:proofErr w:type="spellStart"/>
      <w:r w:rsidRPr="000C7C76">
        <w:rPr>
          <w:rFonts w:ascii="Times New Roman" w:hAnsi="Times New Roman" w:cs="Times New Roman"/>
          <w:lang w:val="en-US"/>
        </w:rPr>
        <w:t>ietilpst</w:t>
      </w:r>
      <w:proofErr w:type="spellEnd"/>
      <w:r w:rsidRPr="000C7C76">
        <w:rPr>
          <w:rFonts w:ascii="Times New Roman" w:hAnsi="Times New Roman" w:cs="Times New Roman"/>
          <w:lang w:val="en-US"/>
        </w:rPr>
        <w:t xml:space="preserve"> ES </w:t>
      </w:r>
      <w:proofErr w:type="spellStart"/>
      <w:r w:rsidRPr="000C7C76">
        <w:rPr>
          <w:rFonts w:ascii="Times New Roman" w:hAnsi="Times New Roman" w:cs="Times New Roman"/>
          <w:lang w:val="en-US"/>
        </w:rPr>
        <w:t>līgumtiesību</w:t>
      </w:r>
      <w:proofErr w:type="spellEnd"/>
      <w:r w:rsidRPr="000C7C76">
        <w:rPr>
          <w:rFonts w:ascii="Times New Roman" w:hAnsi="Times New Roman" w:cs="Times New Roman"/>
          <w:lang w:val="en-US"/>
        </w:rPr>
        <w:t xml:space="preserve"> </w:t>
      </w:r>
      <w:proofErr w:type="spellStart"/>
      <w:r w:rsidRPr="000C7C76">
        <w:rPr>
          <w:rFonts w:ascii="Times New Roman" w:hAnsi="Times New Roman" w:cs="Times New Roman"/>
          <w:lang w:val="en-US"/>
        </w:rPr>
        <w:t>jomā</w:t>
      </w:r>
      <w:proofErr w:type="spellEnd"/>
      <w:r w:rsidRPr="000C7C76">
        <w:rPr>
          <w:rFonts w:ascii="Times New Roman" w:hAnsi="Times New Roman" w:cs="Times New Roman"/>
          <w:lang w:val="en-US"/>
        </w:rPr>
        <w:t xml:space="preserve">) </w:t>
      </w:r>
      <w:proofErr w:type="spellStart"/>
      <w:r w:rsidRPr="000C7C76">
        <w:rPr>
          <w:rFonts w:ascii="Times New Roman" w:hAnsi="Times New Roman" w:cs="Times New Roman"/>
          <w:lang w:val="en-US"/>
        </w:rPr>
        <w:t>būs</w:t>
      </w:r>
      <w:proofErr w:type="spellEnd"/>
      <w:r w:rsidRPr="000C7C76">
        <w:rPr>
          <w:rFonts w:ascii="Times New Roman" w:hAnsi="Times New Roman" w:cs="Times New Roman"/>
          <w:lang w:val="en-US"/>
        </w:rPr>
        <w:t xml:space="preserve"> </w:t>
      </w:r>
      <w:proofErr w:type="spellStart"/>
      <w:r w:rsidRPr="000C7C76">
        <w:rPr>
          <w:rFonts w:ascii="Times New Roman" w:hAnsi="Times New Roman" w:cs="Times New Roman"/>
          <w:lang w:val="en-US"/>
        </w:rPr>
        <w:t>piemērojama</w:t>
      </w:r>
      <w:proofErr w:type="spellEnd"/>
      <w:r w:rsidRPr="000C7C76">
        <w:rPr>
          <w:rFonts w:ascii="Times New Roman" w:hAnsi="Times New Roman" w:cs="Times New Roman"/>
          <w:lang w:val="en-US"/>
        </w:rPr>
        <w:t xml:space="preserve"> Roma I Regula (skat. </w:t>
      </w:r>
      <w:proofErr w:type="spellStart"/>
      <w:r w:rsidRPr="000C7C76">
        <w:rPr>
          <w:rFonts w:ascii="Times New Roman" w:hAnsi="Times New Roman" w:cs="Times New Roman"/>
          <w:lang w:val="en-US"/>
        </w:rPr>
        <w:t>šīs</w:t>
      </w:r>
      <w:proofErr w:type="spellEnd"/>
      <w:r w:rsidRPr="000C7C76">
        <w:rPr>
          <w:rFonts w:ascii="Times New Roman" w:hAnsi="Times New Roman" w:cs="Times New Roman"/>
          <w:lang w:val="en-US"/>
        </w:rPr>
        <w:t xml:space="preserve"> Regulas 2.p. par </w:t>
      </w:r>
      <w:proofErr w:type="spellStart"/>
      <w:r w:rsidRPr="000C7C76">
        <w:rPr>
          <w:rFonts w:ascii="Times New Roman" w:hAnsi="Times New Roman" w:cs="Times New Roman"/>
          <w:lang w:val="en-US"/>
        </w:rPr>
        <w:t>tās</w:t>
      </w:r>
      <w:proofErr w:type="spellEnd"/>
      <w:r w:rsidRPr="000C7C76">
        <w:rPr>
          <w:rFonts w:ascii="Times New Roman" w:hAnsi="Times New Roman" w:cs="Times New Roman"/>
          <w:lang w:val="en-US"/>
        </w:rPr>
        <w:t xml:space="preserve"> </w:t>
      </w:r>
      <w:proofErr w:type="spellStart"/>
      <w:r w:rsidRPr="000C7C76">
        <w:rPr>
          <w:rFonts w:ascii="Times New Roman" w:hAnsi="Times New Roman" w:cs="Times New Roman"/>
          <w:lang w:val="en-US"/>
        </w:rPr>
        <w:t>universālo</w:t>
      </w:r>
      <w:proofErr w:type="spellEnd"/>
      <w:r w:rsidRPr="000C7C76">
        <w:rPr>
          <w:rFonts w:ascii="Times New Roman" w:hAnsi="Times New Roman" w:cs="Times New Roman"/>
          <w:lang w:val="en-US"/>
        </w:rPr>
        <w:t xml:space="preserve"> </w:t>
      </w:r>
      <w:proofErr w:type="spellStart"/>
      <w:r w:rsidRPr="000C7C76">
        <w:rPr>
          <w:rFonts w:ascii="Times New Roman" w:hAnsi="Times New Roman" w:cs="Times New Roman"/>
          <w:lang w:val="en-US"/>
        </w:rPr>
        <w:t>piemērošamu</w:t>
      </w:r>
      <w:proofErr w:type="spellEnd"/>
      <w:r w:rsidRPr="000C7C76">
        <w:rPr>
          <w:rFonts w:ascii="Times New Roman" w:hAnsi="Times New Roman" w:cs="Times New Roman"/>
          <w:lang w:val="en-US"/>
        </w:rPr>
        <w:t>).</w:t>
      </w:r>
    </w:p>
    <w:p w14:paraId="21315FD0" w14:textId="77777777" w:rsidR="00114953" w:rsidRPr="00BF3A72" w:rsidRDefault="00114953" w:rsidP="00114953">
      <w:pPr>
        <w:ind w:firstLine="708"/>
        <w:jc w:val="both"/>
        <w:rPr>
          <w:rFonts w:ascii="Times New Roman" w:hAnsi="Times New Roman" w:cs="Times New Roman"/>
          <w:lang w:val="lv-LV"/>
        </w:rPr>
      </w:pPr>
      <w:proofErr w:type="spellStart"/>
      <w:r w:rsidRPr="000C7C76">
        <w:rPr>
          <w:rFonts w:ascii="Times New Roman" w:hAnsi="Times New Roman" w:cs="Times New Roman"/>
          <w:lang w:val="en-US"/>
        </w:rPr>
        <w:t>Runājot</w:t>
      </w:r>
      <w:proofErr w:type="spellEnd"/>
      <w:r w:rsidRPr="000C7C76">
        <w:rPr>
          <w:rFonts w:ascii="Times New Roman" w:hAnsi="Times New Roman" w:cs="Times New Roman"/>
          <w:lang w:val="en-US"/>
        </w:rPr>
        <w:t xml:space="preserve"> par </w:t>
      </w:r>
      <w:proofErr w:type="spellStart"/>
      <w:r w:rsidRPr="000C7C76">
        <w:rPr>
          <w:rFonts w:ascii="Times New Roman" w:hAnsi="Times New Roman" w:cs="Times New Roman"/>
          <w:lang w:val="en-US"/>
        </w:rPr>
        <w:t>situāciju</w:t>
      </w:r>
      <w:proofErr w:type="spellEnd"/>
      <w:r w:rsidRPr="000C7C76">
        <w:rPr>
          <w:rFonts w:ascii="Times New Roman" w:hAnsi="Times New Roman" w:cs="Times New Roman"/>
          <w:lang w:val="en-US"/>
        </w:rPr>
        <w:t xml:space="preserve"> </w:t>
      </w:r>
      <w:proofErr w:type="spellStart"/>
      <w:r w:rsidRPr="000C7C76">
        <w:rPr>
          <w:rFonts w:ascii="Times New Roman" w:hAnsi="Times New Roman" w:cs="Times New Roman"/>
          <w:b/>
          <w:lang w:val="en-US"/>
        </w:rPr>
        <w:t>Vācijā</w:t>
      </w:r>
      <w:proofErr w:type="spellEnd"/>
      <w:r w:rsidRPr="000C7C76">
        <w:rPr>
          <w:rFonts w:ascii="Times New Roman" w:hAnsi="Times New Roman" w:cs="Times New Roman"/>
          <w:lang w:val="en-US"/>
        </w:rPr>
        <w:t xml:space="preserve">, </w:t>
      </w:r>
      <w:proofErr w:type="spellStart"/>
      <w:r w:rsidRPr="000C7C76">
        <w:rPr>
          <w:rFonts w:ascii="Times New Roman" w:hAnsi="Times New Roman" w:cs="Times New Roman"/>
          <w:lang w:val="en-US"/>
        </w:rPr>
        <w:t>ir</w:t>
      </w:r>
      <w:proofErr w:type="spellEnd"/>
      <w:r w:rsidRPr="000C7C76">
        <w:rPr>
          <w:rFonts w:ascii="Times New Roman" w:hAnsi="Times New Roman" w:cs="Times New Roman"/>
          <w:lang w:val="en-US"/>
        </w:rPr>
        <w:t xml:space="preserve"> </w:t>
      </w:r>
      <w:proofErr w:type="spellStart"/>
      <w:r w:rsidRPr="000C7C76">
        <w:rPr>
          <w:rFonts w:ascii="Times New Roman" w:hAnsi="Times New Roman" w:cs="Times New Roman"/>
          <w:lang w:val="en-US"/>
        </w:rPr>
        <w:t>jāatzīmē</w:t>
      </w:r>
      <w:proofErr w:type="spellEnd"/>
      <w:r w:rsidRPr="000C7C76">
        <w:rPr>
          <w:rFonts w:ascii="Times New Roman" w:hAnsi="Times New Roman" w:cs="Times New Roman"/>
          <w:lang w:val="en-US"/>
        </w:rPr>
        <w:t xml:space="preserve">, ka </w:t>
      </w:r>
      <w:proofErr w:type="spellStart"/>
      <w:r w:rsidRPr="000C7C76">
        <w:rPr>
          <w:rFonts w:ascii="Times New Roman" w:hAnsi="Times New Roman" w:cs="Times New Roman"/>
          <w:lang w:val="en-US"/>
        </w:rPr>
        <w:t>Vācijas</w:t>
      </w:r>
      <w:proofErr w:type="spellEnd"/>
      <w:r w:rsidRPr="000C7C76">
        <w:rPr>
          <w:rFonts w:ascii="Times New Roman" w:hAnsi="Times New Roman" w:cs="Times New Roman"/>
          <w:lang w:val="en-US"/>
        </w:rPr>
        <w:t xml:space="preserve"> </w:t>
      </w:r>
      <w:proofErr w:type="spellStart"/>
      <w:r w:rsidRPr="000C7C76">
        <w:rPr>
          <w:rFonts w:ascii="Times New Roman" w:hAnsi="Times New Roman" w:cs="Times New Roman"/>
          <w:lang w:val="en-US"/>
        </w:rPr>
        <w:t>Federālā</w:t>
      </w:r>
      <w:proofErr w:type="spellEnd"/>
      <w:r w:rsidRPr="000C7C76">
        <w:rPr>
          <w:rFonts w:ascii="Times New Roman" w:hAnsi="Times New Roman" w:cs="Times New Roman"/>
          <w:lang w:val="en-US"/>
        </w:rPr>
        <w:t xml:space="preserve"> </w:t>
      </w:r>
      <w:proofErr w:type="spellStart"/>
      <w:r w:rsidRPr="000C7C76">
        <w:rPr>
          <w:rFonts w:ascii="Times New Roman" w:hAnsi="Times New Roman" w:cs="Times New Roman"/>
          <w:lang w:val="en-US"/>
        </w:rPr>
        <w:t>Tieslietu</w:t>
      </w:r>
      <w:proofErr w:type="spellEnd"/>
      <w:r w:rsidRPr="000C7C76">
        <w:rPr>
          <w:rFonts w:ascii="Times New Roman" w:hAnsi="Times New Roman" w:cs="Times New Roman"/>
          <w:lang w:val="en-US"/>
        </w:rPr>
        <w:t xml:space="preserve"> un </w:t>
      </w:r>
      <w:proofErr w:type="spellStart"/>
      <w:r w:rsidRPr="000C7C76">
        <w:rPr>
          <w:rFonts w:ascii="Times New Roman" w:hAnsi="Times New Roman" w:cs="Times New Roman"/>
          <w:lang w:val="en-US"/>
        </w:rPr>
        <w:t>Patērētāju</w:t>
      </w:r>
      <w:proofErr w:type="spellEnd"/>
      <w:r w:rsidRPr="000C7C76">
        <w:rPr>
          <w:rFonts w:ascii="Times New Roman" w:hAnsi="Times New Roman" w:cs="Times New Roman"/>
          <w:lang w:val="en-US"/>
        </w:rPr>
        <w:t xml:space="preserve"> </w:t>
      </w:r>
      <w:proofErr w:type="spellStart"/>
      <w:r w:rsidRPr="000C7C76">
        <w:rPr>
          <w:rFonts w:ascii="Times New Roman" w:hAnsi="Times New Roman" w:cs="Times New Roman"/>
          <w:lang w:val="en-US"/>
        </w:rPr>
        <w:t>aizsardzības</w:t>
      </w:r>
      <w:proofErr w:type="spellEnd"/>
      <w:r w:rsidRPr="000C7C76">
        <w:rPr>
          <w:rFonts w:ascii="Times New Roman" w:hAnsi="Times New Roman" w:cs="Times New Roman"/>
          <w:lang w:val="en-US"/>
        </w:rPr>
        <w:t xml:space="preserve"> </w:t>
      </w:r>
      <w:proofErr w:type="spellStart"/>
      <w:r w:rsidRPr="000C7C76">
        <w:rPr>
          <w:rFonts w:ascii="Times New Roman" w:hAnsi="Times New Roman" w:cs="Times New Roman"/>
          <w:lang w:val="en-US"/>
        </w:rPr>
        <w:t>ministrija</w:t>
      </w:r>
      <w:proofErr w:type="spellEnd"/>
      <w:r w:rsidRPr="000C7C76">
        <w:rPr>
          <w:rFonts w:ascii="Times New Roman" w:hAnsi="Times New Roman" w:cs="Times New Roman"/>
          <w:lang w:val="en-US"/>
        </w:rPr>
        <w:t xml:space="preserve"> (</w:t>
      </w:r>
      <w:proofErr w:type="spellStart"/>
      <w:r w:rsidRPr="000C7C76">
        <w:rPr>
          <w:rFonts w:ascii="Times New Roman" w:hAnsi="Times New Roman" w:cs="Times New Roman"/>
          <w:lang w:val="en-US"/>
        </w:rPr>
        <w:t>vācu</w:t>
      </w:r>
      <w:proofErr w:type="spellEnd"/>
      <w:r w:rsidRPr="000C7C76">
        <w:rPr>
          <w:rFonts w:ascii="Times New Roman" w:hAnsi="Times New Roman" w:cs="Times New Roman"/>
          <w:lang w:val="en-US"/>
        </w:rPr>
        <w:t xml:space="preserve"> val. – </w:t>
      </w:r>
      <w:proofErr w:type="spellStart"/>
      <w:r w:rsidRPr="000C7C76">
        <w:rPr>
          <w:rFonts w:ascii="Times New Roman" w:hAnsi="Times New Roman" w:cs="Times New Roman"/>
          <w:i/>
          <w:lang w:val="en-US"/>
        </w:rPr>
        <w:t>Bundesministerium</w:t>
      </w:r>
      <w:proofErr w:type="spellEnd"/>
      <w:r w:rsidRPr="000C7C76">
        <w:rPr>
          <w:rFonts w:ascii="Times New Roman" w:hAnsi="Times New Roman" w:cs="Times New Roman"/>
          <w:i/>
          <w:lang w:val="en-US"/>
        </w:rPr>
        <w:t xml:space="preserve"> der Justiz und für </w:t>
      </w:r>
      <w:proofErr w:type="spellStart"/>
      <w:r w:rsidRPr="000C7C76">
        <w:rPr>
          <w:rFonts w:ascii="Times New Roman" w:hAnsi="Times New Roman" w:cs="Times New Roman"/>
          <w:i/>
          <w:lang w:val="en-US"/>
        </w:rPr>
        <w:t>Verbraucherschutz</w:t>
      </w:r>
      <w:proofErr w:type="spellEnd"/>
      <w:r w:rsidRPr="000C7C76">
        <w:rPr>
          <w:rFonts w:ascii="Times New Roman" w:hAnsi="Times New Roman" w:cs="Times New Roman"/>
          <w:lang w:val="en-US"/>
        </w:rPr>
        <w:t xml:space="preserve">) 2016.gada 20.decembrī </w:t>
      </w:r>
      <w:proofErr w:type="spellStart"/>
      <w:r w:rsidRPr="000C7C76">
        <w:rPr>
          <w:rFonts w:ascii="Times New Roman" w:hAnsi="Times New Roman" w:cs="Times New Roman"/>
          <w:lang w:val="en-US"/>
        </w:rPr>
        <w:t>ir</w:t>
      </w:r>
      <w:proofErr w:type="spellEnd"/>
      <w:r w:rsidRPr="000C7C76">
        <w:rPr>
          <w:rFonts w:ascii="Times New Roman" w:hAnsi="Times New Roman" w:cs="Times New Roman"/>
          <w:lang w:val="en-US"/>
        </w:rPr>
        <w:t xml:space="preserve"> </w:t>
      </w:r>
      <w:proofErr w:type="spellStart"/>
      <w:r w:rsidRPr="000C7C76">
        <w:rPr>
          <w:rFonts w:ascii="Times New Roman" w:hAnsi="Times New Roman" w:cs="Times New Roman"/>
          <w:lang w:val="en-US"/>
        </w:rPr>
        <w:t>izstrādājusi</w:t>
      </w:r>
      <w:proofErr w:type="spellEnd"/>
      <w:r w:rsidRPr="000C7C76">
        <w:rPr>
          <w:rFonts w:ascii="Times New Roman" w:hAnsi="Times New Roman" w:cs="Times New Roman"/>
          <w:lang w:val="en-US"/>
        </w:rPr>
        <w:t xml:space="preserve"> </w:t>
      </w:r>
      <w:proofErr w:type="spellStart"/>
      <w:r w:rsidRPr="000C7C76">
        <w:rPr>
          <w:rFonts w:ascii="Times New Roman" w:hAnsi="Times New Roman" w:cs="Times New Roman"/>
          <w:lang w:val="en-US"/>
        </w:rPr>
        <w:t>likumprojektu</w:t>
      </w:r>
      <w:proofErr w:type="spellEnd"/>
      <w:r w:rsidRPr="000C7C76">
        <w:rPr>
          <w:rFonts w:ascii="Times New Roman" w:hAnsi="Times New Roman" w:cs="Times New Roman"/>
          <w:lang w:val="en-US"/>
        </w:rPr>
        <w:t xml:space="preserve"> </w:t>
      </w:r>
      <w:proofErr w:type="spellStart"/>
      <w:r w:rsidRPr="000C7C76">
        <w:rPr>
          <w:rFonts w:ascii="Times New Roman" w:hAnsi="Times New Roman" w:cs="Times New Roman"/>
          <w:lang w:val="en-US"/>
        </w:rPr>
        <w:t>grozījumiem</w:t>
      </w:r>
      <w:proofErr w:type="spellEnd"/>
      <w:r w:rsidRPr="000C7C76">
        <w:rPr>
          <w:rFonts w:ascii="Times New Roman" w:hAnsi="Times New Roman" w:cs="Times New Roman"/>
          <w:lang w:val="en-US"/>
        </w:rPr>
        <w:t xml:space="preserve"> </w:t>
      </w:r>
      <w:proofErr w:type="spellStart"/>
      <w:r w:rsidRPr="000C7C76">
        <w:rPr>
          <w:rFonts w:ascii="Times New Roman" w:hAnsi="Times New Roman" w:cs="Times New Roman"/>
          <w:lang w:val="en-US"/>
        </w:rPr>
        <w:t>Vācijas</w:t>
      </w:r>
      <w:proofErr w:type="spellEnd"/>
      <w:r w:rsidRPr="000C7C76">
        <w:rPr>
          <w:rFonts w:ascii="Times New Roman" w:hAnsi="Times New Roman" w:cs="Times New Roman"/>
          <w:lang w:val="en-US"/>
        </w:rPr>
        <w:t xml:space="preserve"> </w:t>
      </w:r>
      <w:proofErr w:type="spellStart"/>
      <w:r w:rsidRPr="000C7C76">
        <w:rPr>
          <w:rFonts w:ascii="Times New Roman" w:hAnsi="Times New Roman" w:cs="Times New Roman"/>
          <w:lang w:val="en-US"/>
        </w:rPr>
        <w:t>Civillikuma</w:t>
      </w:r>
      <w:proofErr w:type="spellEnd"/>
      <w:r w:rsidRPr="000C7C76">
        <w:rPr>
          <w:rFonts w:ascii="Times New Roman" w:hAnsi="Times New Roman" w:cs="Times New Roman"/>
          <w:lang w:val="en-US"/>
        </w:rPr>
        <w:t xml:space="preserve"> </w:t>
      </w:r>
      <w:proofErr w:type="spellStart"/>
      <w:r w:rsidRPr="000C7C76">
        <w:rPr>
          <w:rFonts w:ascii="Times New Roman" w:hAnsi="Times New Roman" w:cs="Times New Roman"/>
          <w:lang w:val="en-US"/>
        </w:rPr>
        <w:t>Ievadā</w:t>
      </w:r>
      <w:proofErr w:type="spellEnd"/>
      <w:r w:rsidRPr="000C7C76">
        <w:rPr>
          <w:rFonts w:ascii="Times New Roman" w:hAnsi="Times New Roman" w:cs="Times New Roman"/>
          <w:lang w:val="en-US"/>
        </w:rPr>
        <w:t xml:space="preserve"> (kas </w:t>
      </w:r>
      <w:proofErr w:type="spellStart"/>
      <w:r w:rsidRPr="000C7C76">
        <w:rPr>
          <w:rFonts w:ascii="Times New Roman" w:hAnsi="Times New Roman" w:cs="Times New Roman"/>
          <w:lang w:val="en-US"/>
        </w:rPr>
        <w:t>satur</w:t>
      </w:r>
      <w:proofErr w:type="spellEnd"/>
      <w:r w:rsidRPr="000C7C76">
        <w:rPr>
          <w:rFonts w:ascii="Times New Roman" w:hAnsi="Times New Roman" w:cs="Times New Roman"/>
          <w:lang w:val="en-US"/>
        </w:rPr>
        <w:t xml:space="preserve"> </w:t>
      </w:r>
      <w:proofErr w:type="spellStart"/>
      <w:r w:rsidRPr="000C7C76">
        <w:rPr>
          <w:rFonts w:ascii="Times New Roman" w:hAnsi="Times New Roman" w:cs="Times New Roman"/>
          <w:lang w:val="en-US"/>
        </w:rPr>
        <w:t>kolīziju</w:t>
      </w:r>
      <w:proofErr w:type="spellEnd"/>
      <w:r w:rsidRPr="000C7C76">
        <w:rPr>
          <w:rFonts w:ascii="Times New Roman" w:hAnsi="Times New Roman" w:cs="Times New Roman"/>
          <w:lang w:val="en-US"/>
        </w:rPr>
        <w:t xml:space="preserve"> </w:t>
      </w:r>
      <w:proofErr w:type="spellStart"/>
      <w:r w:rsidRPr="000C7C76">
        <w:rPr>
          <w:rFonts w:ascii="Times New Roman" w:hAnsi="Times New Roman" w:cs="Times New Roman"/>
          <w:lang w:val="en-US"/>
        </w:rPr>
        <w:t>normas</w:t>
      </w:r>
      <w:proofErr w:type="spellEnd"/>
      <w:r w:rsidRPr="000C7C76">
        <w:rPr>
          <w:rFonts w:ascii="Times New Roman" w:hAnsi="Times New Roman" w:cs="Times New Roman"/>
          <w:lang w:val="en-US"/>
        </w:rPr>
        <w:t>) (</w:t>
      </w:r>
      <w:proofErr w:type="spellStart"/>
      <w:r w:rsidRPr="000C7C76">
        <w:rPr>
          <w:rFonts w:ascii="Times New Roman" w:hAnsi="Times New Roman" w:cs="Times New Roman"/>
          <w:lang w:val="en-US"/>
        </w:rPr>
        <w:t>vācu</w:t>
      </w:r>
      <w:proofErr w:type="spellEnd"/>
      <w:r w:rsidRPr="000C7C76">
        <w:rPr>
          <w:rFonts w:ascii="Times New Roman" w:hAnsi="Times New Roman" w:cs="Times New Roman"/>
          <w:lang w:val="en-US"/>
        </w:rPr>
        <w:t xml:space="preserve"> val. – </w:t>
      </w:r>
      <w:r w:rsidRPr="000C7C76">
        <w:rPr>
          <w:rFonts w:ascii="Times New Roman" w:hAnsi="Times New Roman" w:cs="Times New Roman"/>
          <w:i/>
          <w:lang w:val="en-US"/>
        </w:rPr>
        <w:t>EGBGB</w:t>
      </w:r>
      <w:r w:rsidRPr="000C7C76">
        <w:rPr>
          <w:rFonts w:ascii="Times New Roman" w:hAnsi="Times New Roman" w:cs="Times New Roman"/>
          <w:lang w:val="en-US"/>
        </w:rPr>
        <w:t xml:space="preserve">), un </w:t>
      </w:r>
      <w:proofErr w:type="spellStart"/>
      <w:r w:rsidRPr="000C7C76">
        <w:rPr>
          <w:rFonts w:ascii="Times New Roman" w:hAnsi="Times New Roman" w:cs="Times New Roman"/>
          <w:lang w:val="en-US"/>
        </w:rPr>
        <w:t>tas</w:t>
      </w:r>
      <w:proofErr w:type="spellEnd"/>
      <w:r w:rsidRPr="000C7C76">
        <w:rPr>
          <w:rFonts w:ascii="Times New Roman" w:hAnsi="Times New Roman" w:cs="Times New Roman"/>
          <w:lang w:val="en-US"/>
        </w:rPr>
        <w:t xml:space="preserve"> </w:t>
      </w:r>
      <w:proofErr w:type="spellStart"/>
      <w:r w:rsidRPr="000C7C76">
        <w:rPr>
          <w:rFonts w:ascii="Times New Roman" w:hAnsi="Times New Roman" w:cs="Times New Roman"/>
          <w:lang w:val="en-US"/>
        </w:rPr>
        <w:t>paredz</w:t>
      </w:r>
      <w:proofErr w:type="spellEnd"/>
      <w:r w:rsidRPr="000C7C76">
        <w:rPr>
          <w:rFonts w:ascii="Times New Roman" w:hAnsi="Times New Roman" w:cs="Times New Roman"/>
          <w:lang w:val="en-US"/>
        </w:rPr>
        <w:t xml:space="preserve"> </w:t>
      </w:r>
      <w:proofErr w:type="spellStart"/>
      <w:r w:rsidRPr="000C7C76">
        <w:rPr>
          <w:rFonts w:ascii="Times New Roman" w:hAnsi="Times New Roman" w:cs="Times New Roman"/>
          <w:lang w:val="en-US"/>
        </w:rPr>
        <w:t>papildināt</w:t>
      </w:r>
      <w:proofErr w:type="spellEnd"/>
      <w:r w:rsidRPr="000C7C76">
        <w:rPr>
          <w:rFonts w:ascii="Times New Roman" w:hAnsi="Times New Roman" w:cs="Times New Roman"/>
          <w:lang w:val="en-US"/>
        </w:rPr>
        <w:t xml:space="preserve"> CL Ievadu </w:t>
      </w:r>
      <w:proofErr w:type="spellStart"/>
      <w:r w:rsidRPr="000C7C76">
        <w:rPr>
          <w:rFonts w:ascii="Times New Roman" w:hAnsi="Times New Roman" w:cs="Times New Roman"/>
          <w:lang w:val="en-US"/>
        </w:rPr>
        <w:t>ar</w:t>
      </w:r>
      <w:proofErr w:type="spellEnd"/>
      <w:r w:rsidRPr="000C7C76">
        <w:rPr>
          <w:rFonts w:ascii="Times New Roman" w:hAnsi="Times New Roman" w:cs="Times New Roman"/>
          <w:lang w:val="en-US"/>
        </w:rPr>
        <w:t xml:space="preserve"> 8.pantu, kas </w:t>
      </w:r>
      <w:proofErr w:type="spellStart"/>
      <w:r w:rsidRPr="000C7C76">
        <w:rPr>
          <w:rFonts w:ascii="Times New Roman" w:hAnsi="Times New Roman" w:cs="Times New Roman"/>
          <w:lang w:val="en-US"/>
        </w:rPr>
        <w:t>noteiktu</w:t>
      </w:r>
      <w:proofErr w:type="spellEnd"/>
      <w:r w:rsidRPr="000C7C76">
        <w:rPr>
          <w:rFonts w:ascii="Times New Roman" w:hAnsi="Times New Roman" w:cs="Times New Roman"/>
          <w:lang w:val="en-US"/>
        </w:rPr>
        <w:t xml:space="preserve"> </w:t>
      </w:r>
      <w:proofErr w:type="spellStart"/>
      <w:r w:rsidRPr="000C7C76">
        <w:rPr>
          <w:rFonts w:ascii="Times New Roman" w:hAnsi="Times New Roman" w:cs="Times New Roman"/>
          <w:lang w:val="en-US"/>
        </w:rPr>
        <w:t>kolīziju</w:t>
      </w:r>
      <w:proofErr w:type="spellEnd"/>
      <w:r w:rsidRPr="000C7C76">
        <w:rPr>
          <w:rFonts w:ascii="Times New Roman" w:hAnsi="Times New Roman" w:cs="Times New Roman"/>
          <w:lang w:val="en-US"/>
        </w:rPr>
        <w:t xml:space="preserve"> </w:t>
      </w:r>
      <w:proofErr w:type="spellStart"/>
      <w:r w:rsidRPr="000C7C76">
        <w:rPr>
          <w:rFonts w:ascii="Times New Roman" w:hAnsi="Times New Roman" w:cs="Times New Roman"/>
          <w:lang w:val="en-US"/>
        </w:rPr>
        <w:t>normas</w:t>
      </w:r>
      <w:proofErr w:type="spellEnd"/>
      <w:r w:rsidRPr="000C7C76">
        <w:rPr>
          <w:rFonts w:ascii="Times New Roman" w:hAnsi="Times New Roman" w:cs="Times New Roman"/>
          <w:lang w:val="en-US"/>
        </w:rPr>
        <w:t xml:space="preserve"> </w:t>
      </w:r>
      <w:proofErr w:type="spellStart"/>
      <w:r w:rsidRPr="000C7C76">
        <w:rPr>
          <w:rFonts w:ascii="Times New Roman" w:hAnsi="Times New Roman" w:cs="Times New Roman"/>
          <w:lang w:val="en-US"/>
        </w:rPr>
        <w:t>pārstāvībai</w:t>
      </w:r>
      <w:proofErr w:type="spellEnd"/>
      <w:r w:rsidRPr="000C7C76">
        <w:rPr>
          <w:rFonts w:ascii="Times New Roman" w:hAnsi="Times New Roman" w:cs="Times New Roman"/>
          <w:lang w:val="en-US"/>
        </w:rPr>
        <w:t xml:space="preserve"> </w:t>
      </w:r>
      <w:proofErr w:type="spellStart"/>
      <w:r w:rsidRPr="000C7C76">
        <w:rPr>
          <w:rFonts w:ascii="Times New Roman" w:hAnsi="Times New Roman" w:cs="Times New Roman"/>
          <w:lang w:val="en-US"/>
        </w:rPr>
        <w:t>uz</w:t>
      </w:r>
      <w:proofErr w:type="spellEnd"/>
      <w:r w:rsidRPr="000C7C76">
        <w:rPr>
          <w:rFonts w:ascii="Times New Roman" w:hAnsi="Times New Roman" w:cs="Times New Roman"/>
          <w:lang w:val="en-US"/>
        </w:rPr>
        <w:t xml:space="preserve"> </w:t>
      </w:r>
      <w:proofErr w:type="spellStart"/>
      <w:r w:rsidRPr="000C7C76">
        <w:rPr>
          <w:rFonts w:ascii="Times New Roman" w:hAnsi="Times New Roman" w:cs="Times New Roman"/>
          <w:lang w:val="en-US"/>
        </w:rPr>
        <w:t>līguma</w:t>
      </w:r>
      <w:proofErr w:type="spellEnd"/>
      <w:r w:rsidRPr="000C7C76">
        <w:rPr>
          <w:rFonts w:ascii="Times New Roman" w:hAnsi="Times New Roman" w:cs="Times New Roman"/>
          <w:lang w:val="en-US"/>
        </w:rPr>
        <w:t xml:space="preserve"> </w:t>
      </w:r>
      <w:proofErr w:type="spellStart"/>
      <w:r w:rsidRPr="000C7C76">
        <w:rPr>
          <w:rFonts w:ascii="Times New Roman" w:hAnsi="Times New Roman" w:cs="Times New Roman"/>
          <w:lang w:val="en-US"/>
        </w:rPr>
        <w:t>pamata</w:t>
      </w:r>
      <w:proofErr w:type="spellEnd"/>
      <w:r w:rsidRPr="000C7C76">
        <w:rPr>
          <w:rFonts w:ascii="Times New Roman" w:hAnsi="Times New Roman" w:cs="Times New Roman"/>
          <w:lang w:val="en-US"/>
        </w:rPr>
        <w:t xml:space="preserve"> (</w:t>
      </w:r>
      <w:proofErr w:type="spellStart"/>
      <w:r w:rsidRPr="000C7C76">
        <w:rPr>
          <w:rFonts w:ascii="Times New Roman" w:hAnsi="Times New Roman" w:cs="Times New Roman"/>
          <w:lang w:val="en-US"/>
        </w:rPr>
        <w:t>vācu</w:t>
      </w:r>
      <w:proofErr w:type="spellEnd"/>
      <w:r w:rsidRPr="000C7C76">
        <w:rPr>
          <w:rFonts w:ascii="Times New Roman" w:hAnsi="Times New Roman" w:cs="Times New Roman"/>
          <w:lang w:val="en-US"/>
        </w:rPr>
        <w:t xml:space="preserve"> val. – </w:t>
      </w:r>
      <w:proofErr w:type="spellStart"/>
      <w:r w:rsidRPr="000C7C76">
        <w:rPr>
          <w:rFonts w:ascii="Times New Roman" w:hAnsi="Times New Roman" w:cs="Times New Roman"/>
          <w:i/>
          <w:lang w:val="en-US"/>
        </w:rPr>
        <w:t>gewillkürte</w:t>
      </w:r>
      <w:proofErr w:type="spellEnd"/>
      <w:r w:rsidRPr="000C7C76">
        <w:rPr>
          <w:rFonts w:ascii="Times New Roman" w:hAnsi="Times New Roman" w:cs="Times New Roman"/>
          <w:i/>
          <w:lang w:val="en-US"/>
        </w:rPr>
        <w:t xml:space="preserve"> </w:t>
      </w:r>
      <w:proofErr w:type="spellStart"/>
      <w:r w:rsidRPr="000C7C76">
        <w:rPr>
          <w:rFonts w:ascii="Times New Roman" w:hAnsi="Times New Roman" w:cs="Times New Roman"/>
          <w:i/>
          <w:lang w:val="en-US"/>
        </w:rPr>
        <w:t>Stellvertretung</w:t>
      </w:r>
      <w:proofErr w:type="spellEnd"/>
      <w:r w:rsidRPr="000C7C76">
        <w:rPr>
          <w:rFonts w:ascii="Times New Roman" w:hAnsi="Times New Roman" w:cs="Times New Roman"/>
          <w:lang w:val="en-US"/>
        </w:rPr>
        <w:t>).</w:t>
      </w:r>
      <w:r w:rsidRPr="00BF3A72">
        <w:rPr>
          <w:rStyle w:val="FootnoteReference"/>
          <w:rFonts w:ascii="Times New Roman" w:hAnsi="Times New Roman" w:cs="Times New Roman"/>
        </w:rPr>
        <w:footnoteReference w:id="41"/>
      </w:r>
      <w:r w:rsidRPr="000C7C76">
        <w:rPr>
          <w:rFonts w:ascii="Times New Roman" w:hAnsi="Times New Roman" w:cs="Times New Roman"/>
          <w:lang w:val="en-US"/>
        </w:rPr>
        <w:t xml:space="preserve"> </w:t>
      </w:r>
      <w:proofErr w:type="spellStart"/>
      <w:r w:rsidRPr="000C7C76">
        <w:rPr>
          <w:rFonts w:ascii="Times New Roman" w:hAnsi="Times New Roman" w:cs="Times New Roman"/>
          <w:lang w:val="en-US"/>
        </w:rPr>
        <w:t>Tādējādi</w:t>
      </w:r>
      <w:proofErr w:type="spellEnd"/>
      <w:r w:rsidRPr="000C7C76">
        <w:rPr>
          <w:rFonts w:ascii="Times New Roman" w:hAnsi="Times New Roman" w:cs="Times New Roman"/>
          <w:lang w:val="en-US"/>
        </w:rPr>
        <w:t xml:space="preserve"> </w:t>
      </w:r>
      <w:proofErr w:type="spellStart"/>
      <w:r w:rsidRPr="000C7C76">
        <w:rPr>
          <w:rFonts w:ascii="Times New Roman" w:hAnsi="Times New Roman" w:cs="Times New Roman"/>
          <w:lang w:val="en-US"/>
        </w:rPr>
        <w:t>Vācija</w:t>
      </w:r>
      <w:proofErr w:type="spellEnd"/>
      <w:r w:rsidRPr="000C7C76">
        <w:rPr>
          <w:rFonts w:ascii="Times New Roman" w:hAnsi="Times New Roman" w:cs="Times New Roman"/>
          <w:lang w:val="en-US"/>
        </w:rPr>
        <w:t xml:space="preserve"> </w:t>
      </w:r>
      <w:proofErr w:type="spellStart"/>
      <w:r w:rsidRPr="000C7C76">
        <w:rPr>
          <w:rFonts w:ascii="Times New Roman" w:hAnsi="Times New Roman" w:cs="Times New Roman"/>
          <w:lang w:val="en-US"/>
        </w:rPr>
        <w:t>beidzot</w:t>
      </w:r>
      <w:proofErr w:type="spellEnd"/>
      <w:r w:rsidRPr="000C7C76">
        <w:rPr>
          <w:rFonts w:ascii="Times New Roman" w:hAnsi="Times New Roman" w:cs="Times New Roman"/>
          <w:lang w:val="en-US"/>
        </w:rPr>
        <w:t xml:space="preserve"> </w:t>
      </w:r>
      <w:proofErr w:type="spellStart"/>
      <w:r w:rsidRPr="000C7C76">
        <w:rPr>
          <w:rFonts w:ascii="Times New Roman" w:hAnsi="Times New Roman" w:cs="Times New Roman"/>
          <w:lang w:val="en-US"/>
        </w:rPr>
        <w:t>vēlas</w:t>
      </w:r>
      <w:proofErr w:type="spellEnd"/>
      <w:r w:rsidRPr="000C7C76">
        <w:rPr>
          <w:rFonts w:ascii="Times New Roman" w:hAnsi="Times New Roman" w:cs="Times New Roman"/>
          <w:lang w:val="en-US"/>
        </w:rPr>
        <w:t xml:space="preserve"> </w:t>
      </w:r>
      <w:proofErr w:type="spellStart"/>
      <w:r w:rsidRPr="000C7C76">
        <w:rPr>
          <w:rFonts w:ascii="Times New Roman" w:hAnsi="Times New Roman" w:cs="Times New Roman"/>
          <w:lang w:val="en-US"/>
        </w:rPr>
        <w:t>aizpildīt</w:t>
      </w:r>
      <w:proofErr w:type="spellEnd"/>
      <w:r w:rsidRPr="000C7C76">
        <w:rPr>
          <w:rFonts w:ascii="Times New Roman" w:hAnsi="Times New Roman" w:cs="Times New Roman"/>
          <w:lang w:val="en-US"/>
        </w:rPr>
        <w:t xml:space="preserve"> </w:t>
      </w:r>
      <w:proofErr w:type="spellStart"/>
      <w:r w:rsidRPr="000C7C76">
        <w:rPr>
          <w:rFonts w:ascii="Times New Roman" w:hAnsi="Times New Roman" w:cs="Times New Roman"/>
          <w:lang w:val="en-US"/>
        </w:rPr>
        <w:t>šo</w:t>
      </w:r>
      <w:proofErr w:type="spellEnd"/>
      <w:r w:rsidRPr="000C7C76">
        <w:rPr>
          <w:rFonts w:ascii="Times New Roman" w:hAnsi="Times New Roman" w:cs="Times New Roman"/>
          <w:lang w:val="en-US"/>
        </w:rPr>
        <w:t xml:space="preserve"> </w:t>
      </w:r>
      <w:proofErr w:type="spellStart"/>
      <w:r w:rsidRPr="000C7C76">
        <w:rPr>
          <w:rFonts w:ascii="Times New Roman" w:hAnsi="Times New Roman" w:cs="Times New Roman"/>
          <w:lang w:val="en-US"/>
        </w:rPr>
        <w:t>kolīziju</w:t>
      </w:r>
      <w:proofErr w:type="spellEnd"/>
      <w:r w:rsidRPr="000C7C76">
        <w:rPr>
          <w:rFonts w:ascii="Times New Roman" w:hAnsi="Times New Roman" w:cs="Times New Roman"/>
          <w:lang w:val="en-US"/>
        </w:rPr>
        <w:t xml:space="preserve"> </w:t>
      </w:r>
      <w:proofErr w:type="spellStart"/>
      <w:r w:rsidRPr="000C7C76">
        <w:rPr>
          <w:rFonts w:ascii="Times New Roman" w:hAnsi="Times New Roman" w:cs="Times New Roman"/>
          <w:lang w:val="en-US"/>
        </w:rPr>
        <w:t>normu</w:t>
      </w:r>
      <w:proofErr w:type="spellEnd"/>
      <w:r w:rsidRPr="000C7C76">
        <w:rPr>
          <w:rFonts w:ascii="Times New Roman" w:hAnsi="Times New Roman" w:cs="Times New Roman"/>
          <w:lang w:val="en-US"/>
        </w:rPr>
        <w:t xml:space="preserve"> </w:t>
      </w:r>
      <w:proofErr w:type="spellStart"/>
      <w:r w:rsidRPr="000C7C76">
        <w:rPr>
          <w:rFonts w:ascii="Times New Roman" w:hAnsi="Times New Roman" w:cs="Times New Roman"/>
          <w:lang w:val="en-US"/>
        </w:rPr>
        <w:t>trūkumu</w:t>
      </w:r>
      <w:proofErr w:type="spellEnd"/>
      <w:r w:rsidRPr="000C7C76">
        <w:rPr>
          <w:rFonts w:ascii="Times New Roman" w:hAnsi="Times New Roman" w:cs="Times New Roman"/>
          <w:lang w:val="en-US"/>
        </w:rPr>
        <w:t xml:space="preserve">, </w:t>
      </w:r>
      <w:proofErr w:type="spellStart"/>
      <w:r w:rsidRPr="000C7C76">
        <w:rPr>
          <w:rFonts w:ascii="Times New Roman" w:hAnsi="Times New Roman" w:cs="Times New Roman"/>
          <w:lang w:val="en-US"/>
        </w:rPr>
        <w:t>nodrošinot</w:t>
      </w:r>
      <w:proofErr w:type="spellEnd"/>
      <w:r w:rsidRPr="000C7C76">
        <w:rPr>
          <w:rFonts w:ascii="Times New Roman" w:hAnsi="Times New Roman" w:cs="Times New Roman"/>
          <w:lang w:val="en-US"/>
        </w:rPr>
        <w:t xml:space="preserve"> </w:t>
      </w:r>
      <w:proofErr w:type="spellStart"/>
      <w:r w:rsidRPr="000C7C76">
        <w:rPr>
          <w:rFonts w:ascii="Times New Roman" w:hAnsi="Times New Roman" w:cs="Times New Roman"/>
          <w:lang w:val="en-US"/>
        </w:rPr>
        <w:t>tiesisko</w:t>
      </w:r>
      <w:proofErr w:type="spellEnd"/>
      <w:r w:rsidRPr="000C7C76">
        <w:rPr>
          <w:rFonts w:ascii="Times New Roman" w:hAnsi="Times New Roman" w:cs="Times New Roman"/>
          <w:lang w:val="en-US"/>
        </w:rPr>
        <w:t xml:space="preserve"> </w:t>
      </w:r>
      <w:proofErr w:type="spellStart"/>
      <w:r w:rsidRPr="000C7C76">
        <w:rPr>
          <w:rFonts w:ascii="Times New Roman" w:hAnsi="Times New Roman" w:cs="Times New Roman"/>
          <w:lang w:val="en-US"/>
        </w:rPr>
        <w:t>drošību</w:t>
      </w:r>
      <w:proofErr w:type="spellEnd"/>
      <w:r w:rsidRPr="000C7C76">
        <w:rPr>
          <w:rFonts w:ascii="Times New Roman" w:hAnsi="Times New Roman" w:cs="Times New Roman"/>
          <w:lang w:val="en-US"/>
        </w:rPr>
        <w:t xml:space="preserve"> un </w:t>
      </w:r>
      <w:proofErr w:type="spellStart"/>
      <w:r w:rsidRPr="000C7C76">
        <w:rPr>
          <w:rFonts w:ascii="Times New Roman" w:hAnsi="Times New Roman" w:cs="Times New Roman"/>
          <w:lang w:val="en-US"/>
        </w:rPr>
        <w:t>paredzamību</w:t>
      </w:r>
      <w:proofErr w:type="spellEnd"/>
      <w:r w:rsidRPr="000C7C76">
        <w:rPr>
          <w:rFonts w:ascii="Times New Roman" w:hAnsi="Times New Roman" w:cs="Times New Roman"/>
          <w:lang w:val="en-US"/>
        </w:rPr>
        <w:t xml:space="preserve"> </w:t>
      </w:r>
      <w:proofErr w:type="spellStart"/>
      <w:r w:rsidRPr="000C7C76">
        <w:rPr>
          <w:rFonts w:ascii="Times New Roman" w:hAnsi="Times New Roman" w:cs="Times New Roman"/>
          <w:lang w:val="en-US"/>
        </w:rPr>
        <w:t>pārstāvības</w:t>
      </w:r>
      <w:proofErr w:type="spellEnd"/>
      <w:r w:rsidRPr="000C7C76">
        <w:rPr>
          <w:rFonts w:ascii="Times New Roman" w:hAnsi="Times New Roman" w:cs="Times New Roman"/>
          <w:lang w:val="en-US"/>
        </w:rPr>
        <w:t xml:space="preserve"> </w:t>
      </w:r>
      <w:proofErr w:type="spellStart"/>
      <w:r w:rsidRPr="000C7C76">
        <w:rPr>
          <w:rFonts w:ascii="Times New Roman" w:hAnsi="Times New Roman" w:cs="Times New Roman"/>
          <w:lang w:val="en-US"/>
        </w:rPr>
        <w:t>jomā</w:t>
      </w:r>
      <w:proofErr w:type="spellEnd"/>
      <w:r w:rsidRPr="000C7C76">
        <w:rPr>
          <w:rFonts w:ascii="Times New Roman" w:hAnsi="Times New Roman" w:cs="Times New Roman"/>
          <w:lang w:val="en-US"/>
        </w:rPr>
        <w:t xml:space="preserve">. </w:t>
      </w:r>
      <w:proofErr w:type="spellStart"/>
      <w:r w:rsidRPr="000C7C76">
        <w:rPr>
          <w:rFonts w:ascii="Times New Roman" w:hAnsi="Times New Roman" w:cs="Times New Roman"/>
          <w:lang w:val="en-US"/>
        </w:rPr>
        <w:t>Jaunās</w:t>
      </w:r>
      <w:proofErr w:type="spellEnd"/>
      <w:r w:rsidRPr="000C7C76">
        <w:rPr>
          <w:rFonts w:ascii="Times New Roman" w:hAnsi="Times New Roman" w:cs="Times New Roman"/>
          <w:lang w:val="en-US"/>
        </w:rPr>
        <w:t xml:space="preserve"> </w:t>
      </w:r>
      <w:proofErr w:type="spellStart"/>
      <w:r w:rsidRPr="000C7C76">
        <w:rPr>
          <w:rFonts w:ascii="Times New Roman" w:hAnsi="Times New Roman" w:cs="Times New Roman"/>
          <w:lang w:val="en-US"/>
        </w:rPr>
        <w:t>kolīziju</w:t>
      </w:r>
      <w:proofErr w:type="spellEnd"/>
      <w:r w:rsidRPr="000C7C76">
        <w:rPr>
          <w:rFonts w:ascii="Times New Roman" w:hAnsi="Times New Roman" w:cs="Times New Roman"/>
          <w:lang w:val="en-US"/>
        </w:rPr>
        <w:t xml:space="preserve"> </w:t>
      </w:r>
      <w:proofErr w:type="spellStart"/>
      <w:r w:rsidRPr="000C7C76">
        <w:rPr>
          <w:rFonts w:ascii="Times New Roman" w:hAnsi="Times New Roman" w:cs="Times New Roman"/>
          <w:lang w:val="en-US"/>
        </w:rPr>
        <w:t>normas</w:t>
      </w:r>
      <w:proofErr w:type="spellEnd"/>
      <w:r w:rsidRPr="000C7C76">
        <w:rPr>
          <w:rFonts w:ascii="Times New Roman" w:hAnsi="Times New Roman" w:cs="Times New Roman"/>
          <w:lang w:val="en-US"/>
        </w:rPr>
        <w:t xml:space="preserve"> (kas </w:t>
      </w:r>
      <w:proofErr w:type="spellStart"/>
      <w:r w:rsidRPr="000C7C76">
        <w:rPr>
          <w:rFonts w:ascii="Times New Roman" w:hAnsi="Times New Roman" w:cs="Times New Roman"/>
          <w:lang w:val="en-US"/>
        </w:rPr>
        <w:t>paredzētas</w:t>
      </w:r>
      <w:proofErr w:type="spellEnd"/>
      <w:r w:rsidRPr="000C7C76">
        <w:rPr>
          <w:rFonts w:ascii="Times New Roman" w:hAnsi="Times New Roman" w:cs="Times New Roman"/>
          <w:lang w:val="en-US"/>
        </w:rPr>
        <w:t xml:space="preserve"> 8.p.) </w:t>
      </w:r>
      <w:proofErr w:type="spellStart"/>
      <w:r w:rsidRPr="000C7C76">
        <w:rPr>
          <w:rFonts w:ascii="Times New Roman" w:hAnsi="Times New Roman" w:cs="Times New Roman"/>
          <w:lang w:val="en-US"/>
        </w:rPr>
        <w:t>attieksies</w:t>
      </w:r>
      <w:proofErr w:type="spellEnd"/>
      <w:r w:rsidRPr="000C7C76">
        <w:rPr>
          <w:rFonts w:ascii="Times New Roman" w:hAnsi="Times New Roman" w:cs="Times New Roman"/>
          <w:lang w:val="en-US"/>
        </w:rPr>
        <w:t xml:space="preserve"> </w:t>
      </w:r>
      <w:proofErr w:type="spellStart"/>
      <w:r w:rsidRPr="000C7C76">
        <w:rPr>
          <w:rFonts w:ascii="Times New Roman" w:hAnsi="Times New Roman" w:cs="Times New Roman"/>
          <w:lang w:val="en-US"/>
        </w:rPr>
        <w:t>tikai</w:t>
      </w:r>
      <w:proofErr w:type="spellEnd"/>
      <w:r w:rsidRPr="000C7C76">
        <w:rPr>
          <w:rFonts w:ascii="Times New Roman" w:hAnsi="Times New Roman" w:cs="Times New Roman"/>
          <w:lang w:val="en-US"/>
        </w:rPr>
        <w:t xml:space="preserve"> </w:t>
      </w:r>
      <w:proofErr w:type="spellStart"/>
      <w:r w:rsidRPr="000C7C76">
        <w:rPr>
          <w:rFonts w:ascii="Times New Roman" w:hAnsi="Times New Roman" w:cs="Times New Roman"/>
          <w:lang w:val="en-US"/>
        </w:rPr>
        <w:t>uz</w:t>
      </w:r>
      <w:proofErr w:type="spellEnd"/>
      <w:r w:rsidRPr="000C7C76">
        <w:rPr>
          <w:rFonts w:ascii="Times New Roman" w:hAnsi="Times New Roman" w:cs="Times New Roman"/>
          <w:lang w:val="en-US"/>
        </w:rPr>
        <w:t xml:space="preserve"> </w:t>
      </w:r>
      <w:proofErr w:type="spellStart"/>
      <w:r w:rsidRPr="000C7C76">
        <w:rPr>
          <w:rFonts w:ascii="Times New Roman" w:hAnsi="Times New Roman" w:cs="Times New Roman"/>
          <w:lang w:val="en-US"/>
        </w:rPr>
        <w:t>pārstāvību</w:t>
      </w:r>
      <w:proofErr w:type="spellEnd"/>
      <w:r w:rsidRPr="000C7C76">
        <w:rPr>
          <w:rFonts w:ascii="Times New Roman" w:hAnsi="Times New Roman" w:cs="Times New Roman"/>
          <w:lang w:val="en-US"/>
        </w:rPr>
        <w:t xml:space="preserve"> </w:t>
      </w:r>
      <w:proofErr w:type="spellStart"/>
      <w:r w:rsidRPr="000C7C76">
        <w:rPr>
          <w:rFonts w:ascii="Times New Roman" w:hAnsi="Times New Roman" w:cs="Times New Roman"/>
          <w:lang w:val="en-US"/>
        </w:rPr>
        <w:t>uz</w:t>
      </w:r>
      <w:proofErr w:type="spellEnd"/>
      <w:r w:rsidRPr="000C7C76">
        <w:rPr>
          <w:rFonts w:ascii="Times New Roman" w:hAnsi="Times New Roman" w:cs="Times New Roman"/>
          <w:lang w:val="en-US"/>
        </w:rPr>
        <w:t xml:space="preserve"> </w:t>
      </w:r>
      <w:proofErr w:type="spellStart"/>
      <w:r w:rsidRPr="000C7C76">
        <w:rPr>
          <w:rFonts w:ascii="Times New Roman" w:hAnsi="Times New Roman" w:cs="Times New Roman"/>
          <w:lang w:val="en-US"/>
        </w:rPr>
        <w:t>līguma</w:t>
      </w:r>
      <w:proofErr w:type="spellEnd"/>
      <w:r w:rsidRPr="000C7C76">
        <w:rPr>
          <w:rFonts w:ascii="Times New Roman" w:hAnsi="Times New Roman" w:cs="Times New Roman"/>
          <w:lang w:val="en-US"/>
        </w:rPr>
        <w:t xml:space="preserve"> </w:t>
      </w:r>
      <w:proofErr w:type="spellStart"/>
      <w:r w:rsidRPr="000C7C76">
        <w:rPr>
          <w:rFonts w:ascii="Times New Roman" w:hAnsi="Times New Roman" w:cs="Times New Roman"/>
          <w:lang w:val="en-US"/>
        </w:rPr>
        <w:t>pamata</w:t>
      </w:r>
      <w:proofErr w:type="spellEnd"/>
      <w:r w:rsidRPr="000C7C76">
        <w:rPr>
          <w:rFonts w:ascii="Times New Roman" w:hAnsi="Times New Roman" w:cs="Times New Roman"/>
          <w:lang w:val="en-US"/>
        </w:rPr>
        <w:t xml:space="preserve"> (bet ne </w:t>
      </w:r>
      <w:proofErr w:type="spellStart"/>
      <w:r w:rsidRPr="000C7C76">
        <w:rPr>
          <w:rFonts w:ascii="Times New Roman" w:hAnsi="Times New Roman" w:cs="Times New Roman"/>
          <w:lang w:val="en-US"/>
        </w:rPr>
        <w:t>uz</w:t>
      </w:r>
      <w:proofErr w:type="spellEnd"/>
      <w:r w:rsidRPr="000C7C76">
        <w:rPr>
          <w:rFonts w:ascii="Times New Roman" w:hAnsi="Times New Roman" w:cs="Times New Roman"/>
          <w:lang w:val="en-US"/>
        </w:rPr>
        <w:t xml:space="preserve"> </w:t>
      </w:r>
      <w:proofErr w:type="spellStart"/>
      <w:r w:rsidRPr="000C7C76">
        <w:rPr>
          <w:rFonts w:ascii="Times New Roman" w:hAnsi="Times New Roman" w:cs="Times New Roman"/>
          <w:lang w:val="en-US"/>
        </w:rPr>
        <w:t>likuma</w:t>
      </w:r>
      <w:proofErr w:type="spellEnd"/>
      <w:r w:rsidRPr="000C7C76">
        <w:rPr>
          <w:rFonts w:ascii="Times New Roman" w:hAnsi="Times New Roman" w:cs="Times New Roman"/>
          <w:lang w:val="en-US"/>
        </w:rPr>
        <w:t xml:space="preserve"> </w:t>
      </w:r>
      <w:proofErr w:type="spellStart"/>
      <w:r w:rsidRPr="000C7C76">
        <w:rPr>
          <w:rFonts w:ascii="Times New Roman" w:hAnsi="Times New Roman" w:cs="Times New Roman"/>
          <w:lang w:val="en-US"/>
        </w:rPr>
        <w:t>pamata</w:t>
      </w:r>
      <w:proofErr w:type="spellEnd"/>
      <w:r w:rsidRPr="000C7C76">
        <w:rPr>
          <w:rFonts w:ascii="Times New Roman" w:hAnsi="Times New Roman" w:cs="Times New Roman"/>
          <w:lang w:val="en-US"/>
        </w:rPr>
        <w:t xml:space="preserve">). </w:t>
      </w:r>
      <w:proofErr w:type="spellStart"/>
      <w:r w:rsidRPr="000C7C76">
        <w:rPr>
          <w:rFonts w:ascii="Times New Roman" w:hAnsi="Times New Roman" w:cs="Times New Roman"/>
          <w:lang w:val="en-US"/>
        </w:rPr>
        <w:t>Šīs</w:t>
      </w:r>
      <w:proofErr w:type="spellEnd"/>
      <w:r w:rsidRPr="000C7C76">
        <w:rPr>
          <w:rFonts w:ascii="Times New Roman" w:hAnsi="Times New Roman" w:cs="Times New Roman"/>
          <w:lang w:val="en-US"/>
        </w:rPr>
        <w:t xml:space="preserve"> </w:t>
      </w:r>
      <w:proofErr w:type="spellStart"/>
      <w:r w:rsidRPr="000C7C76">
        <w:rPr>
          <w:rFonts w:ascii="Times New Roman" w:hAnsi="Times New Roman" w:cs="Times New Roman"/>
          <w:lang w:val="en-US"/>
        </w:rPr>
        <w:t>jaunās</w:t>
      </w:r>
      <w:proofErr w:type="spellEnd"/>
      <w:r w:rsidRPr="000C7C76">
        <w:rPr>
          <w:rFonts w:ascii="Times New Roman" w:hAnsi="Times New Roman" w:cs="Times New Roman"/>
          <w:lang w:val="en-US"/>
        </w:rPr>
        <w:t xml:space="preserve"> </w:t>
      </w:r>
      <w:proofErr w:type="spellStart"/>
      <w:r w:rsidRPr="000C7C76">
        <w:rPr>
          <w:rFonts w:ascii="Times New Roman" w:hAnsi="Times New Roman" w:cs="Times New Roman"/>
          <w:lang w:val="en-US"/>
        </w:rPr>
        <w:t>kolīziju</w:t>
      </w:r>
      <w:proofErr w:type="spellEnd"/>
      <w:r w:rsidRPr="000C7C76">
        <w:rPr>
          <w:rFonts w:ascii="Times New Roman" w:hAnsi="Times New Roman" w:cs="Times New Roman"/>
          <w:lang w:val="en-US"/>
        </w:rPr>
        <w:t xml:space="preserve"> </w:t>
      </w:r>
      <w:proofErr w:type="spellStart"/>
      <w:r w:rsidRPr="000C7C76">
        <w:rPr>
          <w:rFonts w:ascii="Times New Roman" w:hAnsi="Times New Roman" w:cs="Times New Roman"/>
          <w:lang w:val="en-US"/>
        </w:rPr>
        <w:t>normas</w:t>
      </w:r>
      <w:proofErr w:type="spellEnd"/>
      <w:r w:rsidRPr="000C7C76">
        <w:rPr>
          <w:rFonts w:ascii="Times New Roman" w:hAnsi="Times New Roman" w:cs="Times New Roman"/>
          <w:lang w:val="en-US"/>
        </w:rPr>
        <w:t xml:space="preserve"> </w:t>
      </w:r>
      <w:proofErr w:type="spellStart"/>
      <w:r w:rsidRPr="000C7C76">
        <w:rPr>
          <w:rFonts w:ascii="Times New Roman" w:hAnsi="Times New Roman" w:cs="Times New Roman"/>
          <w:lang w:val="en-US"/>
        </w:rPr>
        <w:t>izslēgs</w:t>
      </w:r>
      <w:proofErr w:type="spellEnd"/>
      <w:r w:rsidRPr="000C7C76">
        <w:rPr>
          <w:rFonts w:ascii="Times New Roman" w:hAnsi="Times New Roman" w:cs="Times New Roman"/>
          <w:lang w:val="en-US"/>
        </w:rPr>
        <w:t xml:space="preserve"> </w:t>
      </w:r>
      <w:r w:rsidRPr="000C7C76">
        <w:rPr>
          <w:rFonts w:ascii="Times New Roman" w:hAnsi="Times New Roman" w:cs="Times New Roman"/>
          <w:i/>
          <w:lang w:val="en-US"/>
        </w:rPr>
        <w:t>renvoi</w:t>
      </w:r>
      <w:r w:rsidRPr="000C7C76">
        <w:rPr>
          <w:rFonts w:ascii="Times New Roman" w:hAnsi="Times New Roman" w:cs="Times New Roman"/>
          <w:lang w:val="en-US"/>
        </w:rPr>
        <w:t xml:space="preserve"> (</w:t>
      </w:r>
      <w:proofErr w:type="spellStart"/>
      <w:r w:rsidRPr="000C7C76">
        <w:rPr>
          <w:rFonts w:ascii="Times New Roman" w:hAnsi="Times New Roman" w:cs="Times New Roman"/>
          <w:lang w:val="en-US"/>
        </w:rPr>
        <w:t>jeb</w:t>
      </w:r>
      <w:proofErr w:type="spellEnd"/>
      <w:r w:rsidRPr="000C7C76">
        <w:rPr>
          <w:rFonts w:ascii="Times New Roman" w:hAnsi="Times New Roman" w:cs="Times New Roman"/>
          <w:lang w:val="en-US"/>
        </w:rPr>
        <w:t xml:space="preserve"> </w:t>
      </w:r>
      <w:proofErr w:type="spellStart"/>
      <w:r w:rsidRPr="000C7C76">
        <w:rPr>
          <w:rFonts w:ascii="Times New Roman" w:hAnsi="Times New Roman" w:cs="Times New Roman"/>
          <w:lang w:val="en-US"/>
        </w:rPr>
        <w:t>kolīziju</w:t>
      </w:r>
      <w:proofErr w:type="spellEnd"/>
      <w:r w:rsidRPr="000C7C76">
        <w:rPr>
          <w:rFonts w:ascii="Times New Roman" w:hAnsi="Times New Roman" w:cs="Times New Roman"/>
          <w:lang w:val="en-US"/>
        </w:rPr>
        <w:t xml:space="preserve"> </w:t>
      </w:r>
      <w:proofErr w:type="spellStart"/>
      <w:r w:rsidRPr="000C7C76">
        <w:rPr>
          <w:rFonts w:ascii="Times New Roman" w:hAnsi="Times New Roman" w:cs="Times New Roman"/>
          <w:lang w:val="en-US"/>
        </w:rPr>
        <w:t>normu</w:t>
      </w:r>
      <w:proofErr w:type="spellEnd"/>
      <w:r w:rsidRPr="000C7C76">
        <w:rPr>
          <w:rFonts w:ascii="Times New Roman" w:hAnsi="Times New Roman" w:cs="Times New Roman"/>
          <w:lang w:val="en-US"/>
        </w:rPr>
        <w:t xml:space="preserve"> </w:t>
      </w:r>
      <w:proofErr w:type="spellStart"/>
      <w:r w:rsidRPr="000C7C76">
        <w:rPr>
          <w:rFonts w:ascii="Times New Roman" w:hAnsi="Times New Roman" w:cs="Times New Roman"/>
          <w:lang w:val="en-US"/>
        </w:rPr>
        <w:t>tālāknorādi</w:t>
      </w:r>
      <w:proofErr w:type="spellEnd"/>
      <w:r w:rsidRPr="000C7C76">
        <w:rPr>
          <w:rFonts w:ascii="Times New Roman" w:hAnsi="Times New Roman" w:cs="Times New Roman"/>
          <w:lang w:val="en-US"/>
        </w:rPr>
        <w:t xml:space="preserve"> un </w:t>
      </w:r>
      <w:proofErr w:type="spellStart"/>
      <w:r w:rsidRPr="000C7C76">
        <w:rPr>
          <w:rFonts w:ascii="Times New Roman" w:hAnsi="Times New Roman" w:cs="Times New Roman"/>
          <w:lang w:val="en-US"/>
        </w:rPr>
        <w:t>atpakaļnorādi</w:t>
      </w:r>
      <w:proofErr w:type="spellEnd"/>
      <w:r w:rsidRPr="000C7C76">
        <w:rPr>
          <w:rFonts w:ascii="Times New Roman" w:hAnsi="Times New Roman" w:cs="Times New Roman"/>
          <w:lang w:val="en-US"/>
        </w:rPr>
        <w:t xml:space="preserve">). </w:t>
      </w:r>
      <w:proofErr w:type="spellStart"/>
      <w:r w:rsidRPr="000C7C76">
        <w:rPr>
          <w:rFonts w:ascii="Times New Roman" w:hAnsi="Times New Roman" w:cs="Times New Roman"/>
          <w:lang w:val="en-US"/>
        </w:rPr>
        <w:t>Jaunā</w:t>
      </w:r>
      <w:proofErr w:type="spellEnd"/>
      <w:r w:rsidRPr="000C7C76">
        <w:rPr>
          <w:rFonts w:ascii="Times New Roman" w:hAnsi="Times New Roman" w:cs="Times New Roman"/>
          <w:lang w:val="en-US"/>
        </w:rPr>
        <w:t xml:space="preserve"> </w:t>
      </w:r>
      <w:proofErr w:type="gramStart"/>
      <w:r w:rsidRPr="000C7C76">
        <w:rPr>
          <w:rFonts w:ascii="Times New Roman" w:hAnsi="Times New Roman" w:cs="Times New Roman"/>
          <w:lang w:val="en-US"/>
        </w:rPr>
        <w:t>8.panta</w:t>
      </w:r>
      <w:proofErr w:type="gramEnd"/>
      <w:r w:rsidRPr="000C7C76">
        <w:rPr>
          <w:rFonts w:ascii="Times New Roman" w:hAnsi="Times New Roman" w:cs="Times New Roman"/>
          <w:lang w:val="en-US"/>
        </w:rPr>
        <w:t xml:space="preserve"> (</w:t>
      </w:r>
      <w:proofErr w:type="spellStart"/>
      <w:r w:rsidRPr="000C7C76">
        <w:rPr>
          <w:rFonts w:ascii="Times New Roman" w:hAnsi="Times New Roman" w:cs="Times New Roman"/>
          <w:lang w:val="en-US"/>
        </w:rPr>
        <w:t>kurš</w:t>
      </w:r>
      <w:proofErr w:type="spellEnd"/>
      <w:r w:rsidRPr="000C7C76">
        <w:rPr>
          <w:rFonts w:ascii="Times New Roman" w:hAnsi="Times New Roman" w:cs="Times New Roman"/>
          <w:lang w:val="en-US"/>
        </w:rPr>
        <w:t xml:space="preserve"> </w:t>
      </w:r>
      <w:proofErr w:type="spellStart"/>
      <w:r w:rsidRPr="000C7C76">
        <w:rPr>
          <w:rFonts w:ascii="Times New Roman" w:hAnsi="Times New Roman" w:cs="Times New Roman"/>
          <w:lang w:val="en-US"/>
        </w:rPr>
        <w:t>satur</w:t>
      </w:r>
      <w:proofErr w:type="spellEnd"/>
      <w:r w:rsidRPr="000C7C76">
        <w:rPr>
          <w:rFonts w:ascii="Times New Roman" w:hAnsi="Times New Roman" w:cs="Times New Roman"/>
          <w:lang w:val="en-US"/>
        </w:rPr>
        <w:t xml:space="preserve"> </w:t>
      </w:r>
      <w:proofErr w:type="spellStart"/>
      <w:r w:rsidRPr="000C7C76">
        <w:rPr>
          <w:rFonts w:ascii="Times New Roman" w:hAnsi="Times New Roman" w:cs="Times New Roman"/>
          <w:lang w:val="en-US"/>
        </w:rPr>
        <w:t>astoņas</w:t>
      </w:r>
      <w:proofErr w:type="spellEnd"/>
      <w:r w:rsidRPr="000C7C76">
        <w:rPr>
          <w:rFonts w:ascii="Times New Roman" w:hAnsi="Times New Roman" w:cs="Times New Roman"/>
          <w:lang w:val="en-US"/>
        </w:rPr>
        <w:t xml:space="preserve"> </w:t>
      </w:r>
      <w:proofErr w:type="spellStart"/>
      <w:r w:rsidRPr="000C7C76">
        <w:rPr>
          <w:rFonts w:ascii="Times New Roman" w:hAnsi="Times New Roman" w:cs="Times New Roman"/>
          <w:lang w:val="en-US"/>
        </w:rPr>
        <w:t>daļas</w:t>
      </w:r>
      <w:proofErr w:type="spellEnd"/>
      <w:r w:rsidRPr="000C7C76">
        <w:rPr>
          <w:rFonts w:ascii="Times New Roman" w:hAnsi="Times New Roman" w:cs="Times New Roman"/>
          <w:lang w:val="en-US"/>
        </w:rPr>
        <w:t xml:space="preserve">) </w:t>
      </w:r>
      <w:proofErr w:type="spellStart"/>
      <w:r w:rsidRPr="000C7C76">
        <w:rPr>
          <w:rFonts w:ascii="Times New Roman" w:hAnsi="Times New Roman" w:cs="Times New Roman"/>
          <w:lang w:val="en-US"/>
        </w:rPr>
        <w:t>pamatkoncepcija</w:t>
      </w:r>
      <w:proofErr w:type="spellEnd"/>
      <w:r w:rsidRPr="000C7C76">
        <w:rPr>
          <w:rFonts w:ascii="Times New Roman" w:hAnsi="Times New Roman" w:cs="Times New Roman"/>
          <w:lang w:val="en-US"/>
        </w:rPr>
        <w:t xml:space="preserve"> </w:t>
      </w:r>
      <w:proofErr w:type="spellStart"/>
      <w:r w:rsidRPr="000C7C76">
        <w:rPr>
          <w:rFonts w:ascii="Times New Roman" w:hAnsi="Times New Roman" w:cs="Times New Roman"/>
          <w:lang w:val="en-US"/>
        </w:rPr>
        <w:t>ir</w:t>
      </w:r>
      <w:proofErr w:type="spellEnd"/>
      <w:r w:rsidRPr="000C7C76">
        <w:rPr>
          <w:rFonts w:ascii="Times New Roman" w:hAnsi="Times New Roman" w:cs="Times New Roman"/>
          <w:lang w:val="en-US"/>
        </w:rPr>
        <w:t xml:space="preserve"> </w:t>
      </w:r>
      <w:proofErr w:type="spellStart"/>
      <w:r w:rsidRPr="000C7C76">
        <w:rPr>
          <w:rFonts w:ascii="Times New Roman" w:hAnsi="Times New Roman" w:cs="Times New Roman"/>
          <w:lang w:val="en-US"/>
        </w:rPr>
        <w:t>primāra</w:t>
      </w:r>
      <w:proofErr w:type="spellEnd"/>
      <w:r w:rsidRPr="000C7C76">
        <w:rPr>
          <w:rFonts w:ascii="Times New Roman" w:hAnsi="Times New Roman" w:cs="Times New Roman"/>
          <w:lang w:val="en-US"/>
        </w:rPr>
        <w:t xml:space="preserve"> </w:t>
      </w:r>
      <w:proofErr w:type="spellStart"/>
      <w:r w:rsidRPr="000C7C76">
        <w:rPr>
          <w:rFonts w:ascii="Times New Roman" w:hAnsi="Times New Roman" w:cs="Times New Roman"/>
          <w:lang w:val="en-US"/>
        </w:rPr>
        <w:t>pušu</w:t>
      </w:r>
      <w:proofErr w:type="spellEnd"/>
      <w:r w:rsidRPr="000C7C76">
        <w:rPr>
          <w:rFonts w:ascii="Times New Roman" w:hAnsi="Times New Roman" w:cs="Times New Roman"/>
          <w:lang w:val="en-US"/>
        </w:rPr>
        <w:t xml:space="preserve"> </w:t>
      </w:r>
      <w:proofErr w:type="spellStart"/>
      <w:r w:rsidRPr="000C7C76">
        <w:rPr>
          <w:rFonts w:ascii="Times New Roman" w:hAnsi="Times New Roman" w:cs="Times New Roman"/>
          <w:lang w:val="en-US"/>
        </w:rPr>
        <w:t>gribas</w:t>
      </w:r>
      <w:proofErr w:type="spellEnd"/>
      <w:r w:rsidRPr="000C7C76">
        <w:rPr>
          <w:rFonts w:ascii="Times New Roman" w:hAnsi="Times New Roman" w:cs="Times New Roman"/>
          <w:lang w:val="en-US"/>
        </w:rPr>
        <w:t xml:space="preserve"> </w:t>
      </w:r>
      <w:proofErr w:type="spellStart"/>
      <w:r w:rsidRPr="000C7C76">
        <w:rPr>
          <w:rFonts w:ascii="Times New Roman" w:hAnsi="Times New Roman" w:cs="Times New Roman"/>
          <w:lang w:val="en-US"/>
        </w:rPr>
        <w:t>autonomija</w:t>
      </w:r>
      <w:proofErr w:type="spellEnd"/>
      <w:r w:rsidRPr="000C7C76">
        <w:rPr>
          <w:rFonts w:ascii="Times New Roman" w:hAnsi="Times New Roman" w:cs="Times New Roman"/>
          <w:lang w:val="en-US"/>
        </w:rPr>
        <w:t xml:space="preserve"> (</w:t>
      </w:r>
      <w:proofErr w:type="spellStart"/>
      <w:r w:rsidRPr="000C7C76">
        <w:rPr>
          <w:rFonts w:ascii="Times New Roman" w:hAnsi="Times New Roman" w:cs="Times New Roman"/>
          <w:lang w:val="en-US"/>
        </w:rPr>
        <w:t>puses</w:t>
      </w:r>
      <w:proofErr w:type="spellEnd"/>
      <w:r w:rsidRPr="000C7C76">
        <w:rPr>
          <w:rFonts w:ascii="Times New Roman" w:hAnsi="Times New Roman" w:cs="Times New Roman"/>
          <w:lang w:val="en-US"/>
        </w:rPr>
        <w:t xml:space="preserve"> </w:t>
      </w:r>
      <w:proofErr w:type="spellStart"/>
      <w:r w:rsidRPr="000C7C76">
        <w:rPr>
          <w:rFonts w:ascii="Times New Roman" w:hAnsi="Times New Roman" w:cs="Times New Roman"/>
          <w:lang w:val="en-US"/>
        </w:rPr>
        <w:t>pašas</w:t>
      </w:r>
      <w:proofErr w:type="spellEnd"/>
      <w:r w:rsidRPr="000C7C76">
        <w:rPr>
          <w:rFonts w:ascii="Times New Roman" w:hAnsi="Times New Roman" w:cs="Times New Roman"/>
          <w:lang w:val="en-US"/>
        </w:rPr>
        <w:t xml:space="preserve"> var </w:t>
      </w:r>
      <w:proofErr w:type="spellStart"/>
      <w:r w:rsidRPr="000C7C76">
        <w:rPr>
          <w:rFonts w:ascii="Times New Roman" w:hAnsi="Times New Roman" w:cs="Times New Roman"/>
          <w:lang w:val="en-US"/>
        </w:rPr>
        <w:t>izvēlēties</w:t>
      </w:r>
      <w:proofErr w:type="spellEnd"/>
      <w:r w:rsidRPr="000C7C76">
        <w:rPr>
          <w:rFonts w:ascii="Times New Roman" w:hAnsi="Times New Roman" w:cs="Times New Roman"/>
          <w:lang w:val="en-US"/>
        </w:rPr>
        <w:t xml:space="preserve"> </w:t>
      </w:r>
      <w:proofErr w:type="spellStart"/>
      <w:r w:rsidRPr="000C7C76">
        <w:rPr>
          <w:rFonts w:ascii="Times New Roman" w:hAnsi="Times New Roman" w:cs="Times New Roman"/>
          <w:lang w:val="en-US"/>
        </w:rPr>
        <w:t>pārstāvībai</w:t>
      </w:r>
      <w:proofErr w:type="spellEnd"/>
      <w:r w:rsidRPr="000C7C76">
        <w:rPr>
          <w:rFonts w:ascii="Times New Roman" w:hAnsi="Times New Roman" w:cs="Times New Roman"/>
          <w:lang w:val="en-US"/>
        </w:rPr>
        <w:t xml:space="preserve"> </w:t>
      </w:r>
      <w:proofErr w:type="spellStart"/>
      <w:r w:rsidRPr="000C7C76">
        <w:rPr>
          <w:rFonts w:ascii="Times New Roman" w:hAnsi="Times New Roman" w:cs="Times New Roman"/>
          <w:lang w:val="en-US"/>
        </w:rPr>
        <w:t>piemērojamo</w:t>
      </w:r>
      <w:proofErr w:type="spellEnd"/>
      <w:r w:rsidRPr="000C7C76">
        <w:rPr>
          <w:rFonts w:ascii="Times New Roman" w:hAnsi="Times New Roman" w:cs="Times New Roman"/>
          <w:lang w:val="en-US"/>
        </w:rPr>
        <w:t xml:space="preserve"> </w:t>
      </w:r>
      <w:proofErr w:type="spellStart"/>
      <w:r w:rsidRPr="000C7C76">
        <w:rPr>
          <w:rFonts w:ascii="Times New Roman" w:hAnsi="Times New Roman" w:cs="Times New Roman"/>
          <w:lang w:val="en-US"/>
        </w:rPr>
        <w:t>likumu</w:t>
      </w:r>
      <w:proofErr w:type="spellEnd"/>
      <w:r w:rsidRPr="000C7C76">
        <w:rPr>
          <w:rFonts w:ascii="Times New Roman" w:hAnsi="Times New Roman" w:cs="Times New Roman"/>
          <w:lang w:val="en-US"/>
        </w:rPr>
        <w:t xml:space="preserve">), </w:t>
      </w:r>
      <w:proofErr w:type="spellStart"/>
      <w:r w:rsidRPr="000C7C76">
        <w:rPr>
          <w:rFonts w:ascii="Times New Roman" w:hAnsi="Times New Roman" w:cs="Times New Roman"/>
          <w:lang w:val="en-US"/>
        </w:rPr>
        <w:t>taču</w:t>
      </w:r>
      <w:proofErr w:type="spellEnd"/>
      <w:r w:rsidRPr="000C7C76">
        <w:rPr>
          <w:rFonts w:ascii="Times New Roman" w:hAnsi="Times New Roman" w:cs="Times New Roman"/>
          <w:lang w:val="en-US"/>
        </w:rPr>
        <w:t xml:space="preserve">, ja </w:t>
      </w:r>
      <w:proofErr w:type="spellStart"/>
      <w:r w:rsidRPr="000C7C76">
        <w:rPr>
          <w:rFonts w:ascii="Times New Roman" w:hAnsi="Times New Roman" w:cs="Times New Roman"/>
          <w:lang w:val="en-US"/>
        </w:rPr>
        <w:t>puses</w:t>
      </w:r>
      <w:proofErr w:type="spellEnd"/>
      <w:r w:rsidRPr="000C7C76">
        <w:rPr>
          <w:rFonts w:ascii="Times New Roman" w:hAnsi="Times New Roman" w:cs="Times New Roman"/>
          <w:lang w:val="en-US"/>
        </w:rPr>
        <w:t xml:space="preserve"> nav </w:t>
      </w:r>
      <w:proofErr w:type="spellStart"/>
      <w:r w:rsidRPr="000C7C76">
        <w:rPr>
          <w:rFonts w:ascii="Times New Roman" w:hAnsi="Times New Roman" w:cs="Times New Roman"/>
          <w:lang w:val="en-US"/>
        </w:rPr>
        <w:t>izvēlējušās</w:t>
      </w:r>
      <w:proofErr w:type="spellEnd"/>
      <w:r w:rsidRPr="000C7C76">
        <w:rPr>
          <w:rFonts w:ascii="Times New Roman" w:hAnsi="Times New Roman" w:cs="Times New Roman"/>
          <w:lang w:val="en-US"/>
        </w:rPr>
        <w:t xml:space="preserve"> </w:t>
      </w:r>
      <w:proofErr w:type="spellStart"/>
      <w:r w:rsidRPr="000C7C76">
        <w:rPr>
          <w:rFonts w:ascii="Times New Roman" w:hAnsi="Times New Roman" w:cs="Times New Roman"/>
          <w:lang w:val="en-US"/>
        </w:rPr>
        <w:t>piemērojamo</w:t>
      </w:r>
      <w:proofErr w:type="spellEnd"/>
      <w:r w:rsidRPr="000C7C76">
        <w:rPr>
          <w:rFonts w:ascii="Times New Roman" w:hAnsi="Times New Roman" w:cs="Times New Roman"/>
          <w:lang w:val="en-US"/>
        </w:rPr>
        <w:t xml:space="preserve"> </w:t>
      </w:r>
      <w:proofErr w:type="spellStart"/>
      <w:r w:rsidRPr="000C7C76">
        <w:rPr>
          <w:rFonts w:ascii="Times New Roman" w:hAnsi="Times New Roman" w:cs="Times New Roman"/>
          <w:lang w:val="en-US"/>
        </w:rPr>
        <w:t>likumu</w:t>
      </w:r>
      <w:proofErr w:type="spellEnd"/>
      <w:r w:rsidRPr="000C7C76">
        <w:rPr>
          <w:rFonts w:ascii="Times New Roman" w:hAnsi="Times New Roman" w:cs="Times New Roman"/>
          <w:lang w:val="en-US"/>
        </w:rPr>
        <w:t xml:space="preserve">, tad 8.pants </w:t>
      </w:r>
      <w:proofErr w:type="spellStart"/>
      <w:r w:rsidRPr="000C7C76">
        <w:rPr>
          <w:rFonts w:ascii="Times New Roman" w:hAnsi="Times New Roman" w:cs="Times New Roman"/>
          <w:lang w:val="en-US"/>
        </w:rPr>
        <w:t>piedāvā</w:t>
      </w:r>
      <w:proofErr w:type="spellEnd"/>
      <w:r w:rsidRPr="000C7C76">
        <w:rPr>
          <w:rFonts w:ascii="Times New Roman" w:hAnsi="Times New Roman" w:cs="Times New Roman"/>
          <w:lang w:val="en-US"/>
        </w:rPr>
        <w:t xml:space="preserve"> </w:t>
      </w:r>
      <w:proofErr w:type="spellStart"/>
      <w:r w:rsidRPr="000C7C76">
        <w:rPr>
          <w:rFonts w:ascii="Times New Roman" w:hAnsi="Times New Roman" w:cs="Times New Roman"/>
          <w:lang w:val="en-US"/>
        </w:rPr>
        <w:t>vairākus</w:t>
      </w:r>
      <w:proofErr w:type="spellEnd"/>
      <w:r w:rsidRPr="000C7C76">
        <w:rPr>
          <w:rFonts w:ascii="Times New Roman" w:hAnsi="Times New Roman" w:cs="Times New Roman"/>
          <w:lang w:val="en-US"/>
        </w:rPr>
        <w:t xml:space="preserve"> </w:t>
      </w:r>
      <w:proofErr w:type="spellStart"/>
      <w:r w:rsidRPr="000C7C76">
        <w:rPr>
          <w:rFonts w:ascii="Times New Roman" w:hAnsi="Times New Roman" w:cs="Times New Roman"/>
          <w:lang w:val="en-US"/>
        </w:rPr>
        <w:t>piemērojamā</w:t>
      </w:r>
      <w:proofErr w:type="spellEnd"/>
      <w:r w:rsidRPr="000C7C76">
        <w:rPr>
          <w:rFonts w:ascii="Times New Roman" w:hAnsi="Times New Roman" w:cs="Times New Roman"/>
          <w:lang w:val="en-US"/>
        </w:rPr>
        <w:t xml:space="preserve"> </w:t>
      </w:r>
      <w:proofErr w:type="spellStart"/>
      <w:r w:rsidRPr="000C7C76">
        <w:rPr>
          <w:rFonts w:ascii="Times New Roman" w:hAnsi="Times New Roman" w:cs="Times New Roman"/>
          <w:lang w:val="en-US"/>
        </w:rPr>
        <w:t>likuma</w:t>
      </w:r>
      <w:proofErr w:type="spellEnd"/>
      <w:r w:rsidRPr="000C7C76">
        <w:rPr>
          <w:rFonts w:ascii="Times New Roman" w:hAnsi="Times New Roman" w:cs="Times New Roman"/>
          <w:lang w:val="en-US"/>
        </w:rPr>
        <w:t xml:space="preserve"> </w:t>
      </w:r>
      <w:proofErr w:type="spellStart"/>
      <w:r w:rsidRPr="000C7C76">
        <w:rPr>
          <w:rFonts w:ascii="Times New Roman" w:hAnsi="Times New Roman" w:cs="Times New Roman"/>
          <w:lang w:val="en-US"/>
        </w:rPr>
        <w:t>veidus</w:t>
      </w:r>
      <w:proofErr w:type="spellEnd"/>
      <w:r w:rsidRPr="000C7C76">
        <w:rPr>
          <w:rFonts w:ascii="Times New Roman" w:hAnsi="Times New Roman" w:cs="Times New Roman"/>
          <w:lang w:val="en-US"/>
        </w:rPr>
        <w:t xml:space="preserve">. </w:t>
      </w:r>
      <w:proofErr w:type="spellStart"/>
      <w:r w:rsidRPr="000C7C76">
        <w:rPr>
          <w:rFonts w:ascii="Times New Roman" w:hAnsi="Times New Roman" w:cs="Times New Roman"/>
          <w:lang w:val="en-US"/>
        </w:rPr>
        <w:t>Tāpat</w:t>
      </w:r>
      <w:proofErr w:type="spellEnd"/>
      <w:r w:rsidRPr="000C7C76">
        <w:rPr>
          <w:rFonts w:ascii="Times New Roman" w:hAnsi="Times New Roman" w:cs="Times New Roman"/>
          <w:lang w:val="en-US"/>
        </w:rPr>
        <w:t xml:space="preserve"> </w:t>
      </w:r>
      <w:proofErr w:type="spellStart"/>
      <w:r w:rsidRPr="000C7C76">
        <w:rPr>
          <w:rFonts w:ascii="Times New Roman" w:hAnsi="Times New Roman" w:cs="Times New Roman"/>
          <w:lang w:val="en-US"/>
        </w:rPr>
        <w:t>ir</w:t>
      </w:r>
      <w:proofErr w:type="spellEnd"/>
      <w:r w:rsidRPr="000C7C76">
        <w:rPr>
          <w:rFonts w:ascii="Times New Roman" w:hAnsi="Times New Roman" w:cs="Times New Roman"/>
          <w:lang w:val="en-US"/>
        </w:rPr>
        <w:t xml:space="preserve"> </w:t>
      </w:r>
      <w:proofErr w:type="spellStart"/>
      <w:r w:rsidRPr="000C7C76">
        <w:rPr>
          <w:rFonts w:ascii="Times New Roman" w:hAnsi="Times New Roman" w:cs="Times New Roman"/>
          <w:lang w:val="en-US"/>
        </w:rPr>
        <w:t>paredzēts</w:t>
      </w:r>
      <w:proofErr w:type="spellEnd"/>
      <w:r w:rsidRPr="000C7C76">
        <w:rPr>
          <w:rFonts w:ascii="Times New Roman" w:hAnsi="Times New Roman" w:cs="Times New Roman"/>
          <w:lang w:val="en-US"/>
        </w:rPr>
        <w:t xml:space="preserve"> </w:t>
      </w:r>
      <w:proofErr w:type="spellStart"/>
      <w:r w:rsidRPr="000C7C76">
        <w:rPr>
          <w:rFonts w:ascii="Times New Roman" w:hAnsi="Times New Roman" w:cs="Times New Roman"/>
          <w:lang w:val="en-US"/>
        </w:rPr>
        <w:t>izņēmums</w:t>
      </w:r>
      <w:proofErr w:type="spellEnd"/>
      <w:r w:rsidRPr="000C7C76">
        <w:rPr>
          <w:rFonts w:ascii="Times New Roman" w:hAnsi="Times New Roman" w:cs="Times New Roman"/>
          <w:lang w:val="en-US"/>
        </w:rPr>
        <w:t xml:space="preserve"> </w:t>
      </w:r>
      <w:proofErr w:type="spellStart"/>
      <w:r w:rsidRPr="000C7C76">
        <w:rPr>
          <w:rFonts w:ascii="Times New Roman" w:hAnsi="Times New Roman" w:cs="Times New Roman"/>
          <w:lang w:val="en-US"/>
        </w:rPr>
        <w:t>pārstāvībai</w:t>
      </w:r>
      <w:proofErr w:type="spellEnd"/>
      <w:r w:rsidRPr="000C7C76">
        <w:rPr>
          <w:rFonts w:ascii="Times New Roman" w:hAnsi="Times New Roman" w:cs="Times New Roman"/>
          <w:lang w:val="en-US"/>
        </w:rPr>
        <w:t xml:space="preserve"> </w:t>
      </w:r>
      <w:proofErr w:type="spellStart"/>
      <w:r w:rsidRPr="000C7C76">
        <w:rPr>
          <w:rFonts w:ascii="Times New Roman" w:hAnsi="Times New Roman" w:cs="Times New Roman"/>
          <w:lang w:val="en-US"/>
        </w:rPr>
        <w:t>nekustamo</w:t>
      </w:r>
      <w:proofErr w:type="spellEnd"/>
      <w:r w:rsidRPr="000C7C76">
        <w:rPr>
          <w:rFonts w:ascii="Times New Roman" w:hAnsi="Times New Roman" w:cs="Times New Roman"/>
          <w:lang w:val="en-US"/>
        </w:rPr>
        <w:t xml:space="preserve"> </w:t>
      </w:r>
      <w:proofErr w:type="spellStart"/>
      <w:r w:rsidRPr="000C7C76">
        <w:rPr>
          <w:rFonts w:ascii="Times New Roman" w:hAnsi="Times New Roman" w:cs="Times New Roman"/>
          <w:lang w:val="en-US"/>
        </w:rPr>
        <w:t>īpašumu</w:t>
      </w:r>
      <w:proofErr w:type="spellEnd"/>
      <w:r w:rsidRPr="000C7C76">
        <w:rPr>
          <w:rFonts w:ascii="Times New Roman" w:hAnsi="Times New Roman" w:cs="Times New Roman"/>
          <w:lang w:val="en-US"/>
        </w:rPr>
        <w:t xml:space="preserve"> </w:t>
      </w:r>
      <w:proofErr w:type="spellStart"/>
      <w:r w:rsidRPr="000C7C76">
        <w:rPr>
          <w:rFonts w:ascii="Times New Roman" w:hAnsi="Times New Roman" w:cs="Times New Roman"/>
          <w:lang w:val="en-US"/>
        </w:rPr>
        <w:t>jomā</w:t>
      </w:r>
      <w:proofErr w:type="spellEnd"/>
      <w:r w:rsidRPr="000C7C76">
        <w:rPr>
          <w:rFonts w:ascii="Times New Roman" w:hAnsi="Times New Roman" w:cs="Times New Roman"/>
          <w:lang w:val="en-US"/>
        </w:rPr>
        <w:t xml:space="preserve">. 8.pants </w:t>
      </w:r>
      <w:proofErr w:type="spellStart"/>
      <w:r w:rsidRPr="000C7C76">
        <w:rPr>
          <w:rFonts w:ascii="Times New Roman" w:hAnsi="Times New Roman" w:cs="Times New Roman"/>
          <w:lang w:val="en-US"/>
        </w:rPr>
        <w:t>netiek</w:t>
      </w:r>
      <w:proofErr w:type="spellEnd"/>
      <w:r w:rsidRPr="000C7C76">
        <w:rPr>
          <w:rFonts w:ascii="Times New Roman" w:hAnsi="Times New Roman" w:cs="Times New Roman"/>
          <w:lang w:val="en-US"/>
        </w:rPr>
        <w:t xml:space="preserve"> </w:t>
      </w:r>
      <w:proofErr w:type="spellStart"/>
      <w:r w:rsidRPr="000C7C76">
        <w:rPr>
          <w:rFonts w:ascii="Times New Roman" w:hAnsi="Times New Roman" w:cs="Times New Roman"/>
          <w:lang w:val="en-US"/>
        </w:rPr>
        <w:t>attiecināts</w:t>
      </w:r>
      <w:proofErr w:type="spellEnd"/>
      <w:r w:rsidRPr="000C7C76">
        <w:rPr>
          <w:rFonts w:ascii="Times New Roman" w:hAnsi="Times New Roman" w:cs="Times New Roman"/>
          <w:lang w:val="en-US"/>
        </w:rPr>
        <w:t xml:space="preserve"> </w:t>
      </w:r>
      <w:proofErr w:type="spellStart"/>
      <w:r w:rsidRPr="000C7C76">
        <w:rPr>
          <w:rFonts w:ascii="Times New Roman" w:hAnsi="Times New Roman" w:cs="Times New Roman"/>
          <w:lang w:val="en-US"/>
        </w:rPr>
        <w:t>uz</w:t>
      </w:r>
      <w:proofErr w:type="spellEnd"/>
      <w:r w:rsidRPr="000C7C76">
        <w:rPr>
          <w:rFonts w:ascii="Times New Roman" w:hAnsi="Times New Roman" w:cs="Times New Roman"/>
          <w:lang w:val="en-US"/>
        </w:rPr>
        <w:t xml:space="preserve"> </w:t>
      </w:r>
      <w:proofErr w:type="spellStart"/>
      <w:r w:rsidRPr="000C7C76">
        <w:rPr>
          <w:rFonts w:ascii="Times New Roman" w:hAnsi="Times New Roman" w:cs="Times New Roman"/>
          <w:lang w:val="en-US"/>
        </w:rPr>
        <w:t>pārstāvību</w:t>
      </w:r>
      <w:proofErr w:type="spellEnd"/>
      <w:r w:rsidRPr="000C7C76">
        <w:rPr>
          <w:rFonts w:ascii="Times New Roman" w:hAnsi="Times New Roman" w:cs="Times New Roman"/>
          <w:lang w:val="en-US"/>
        </w:rPr>
        <w:t xml:space="preserve"> </w:t>
      </w:r>
      <w:proofErr w:type="spellStart"/>
      <w:r w:rsidRPr="000C7C76">
        <w:rPr>
          <w:rFonts w:ascii="Times New Roman" w:hAnsi="Times New Roman" w:cs="Times New Roman"/>
          <w:lang w:val="en-US"/>
        </w:rPr>
        <w:t>biržās</w:t>
      </w:r>
      <w:proofErr w:type="spellEnd"/>
      <w:r w:rsidRPr="000C7C76">
        <w:rPr>
          <w:rFonts w:ascii="Times New Roman" w:hAnsi="Times New Roman" w:cs="Times New Roman"/>
          <w:lang w:val="en-US"/>
        </w:rPr>
        <w:t xml:space="preserve"> un </w:t>
      </w:r>
      <w:proofErr w:type="spellStart"/>
      <w:r w:rsidRPr="000C7C76">
        <w:rPr>
          <w:rFonts w:ascii="Times New Roman" w:hAnsi="Times New Roman" w:cs="Times New Roman"/>
          <w:lang w:val="en-US"/>
        </w:rPr>
        <w:t>izsolēs</w:t>
      </w:r>
      <w:proofErr w:type="spellEnd"/>
      <w:r w:rsidRPr="000C7C76">
        <w:rPr>
          <w:rFonts w:ascii="Times New Roman" w:hAnsi="Times New Roman" w:cs="Times New Roman"/>
          <w:lang w:val="en-US"/>
        </w:rPr>
        <w:t xml:space="preserve">. </w:t>
      </w:r>
      <w:proofErr w:type="spellStart"/>
      <w:r w:rsidRPr="000C7C76">
        <w:rPr>
          <w:rFonts w:ascii="Times New Roman" w:hAnsi="Times New Roman" w:cs="Times New Roman"/>
          <w:lang w:val="en-US"/>
        </w:rPr>
        <w:t>Otra</w:t>
      </w:r>
      <w:proofErr w:type="spellEnd"/>
      <w:r w:rsidRPr="000C7C76">
        <w:rPr>
          <w:rFonts w:ascii="Times New Roman" w:hAnsi="Times New Roman" w:cs="Times New Roman"/>
          <w:lang w:val="en-US"/>
        </w:rPr>
        <w:t xml:space="preserve"> </w:t>
      </w:r>
      <w:proofErr w:type="spellStart"/>
      <w:r w:rsidRPr="000C7C76">
        <w:rPr>
          <w:rFonts w:ascii="Times New Roman" w:hAnsi="Times New Roman" w:cs="Times New Roman"/>
          <w:lang w:val="en-US"/>
        </w:rPr>
        <w:t>pamatkoncepcija</w:t>
      </w:r>
      <w:proofErr w:type="spellEnd"/>
      <w:r w:rsidRPr="000C7C76">
        <w:rPr>
          <w:rFonts w:ascii="Times New Roman" w:hAnsi="Times New Roman" w:cs="Times New Roman"/>
          <w:lang w:val="en-US"/>
        </w:rPr>
        <w:t xml:space="preserve"> </w:t>
      </w:r>
      <w:proofErr w:type="spellStart"/>
      <w:r w:rsidRPr="000C7C76">
        <w:rPr>
          <w:rFonts w:ascii="Times New Roman" w:hAnsi="Times New Roman" w:cs="Times New Roman"/>
          <w:lang w:val="en-US"/>
        </w:rPr>
        <w:t>ir</w:t>
      </w:r>
      <w:proofErr w:type="spellEnd"/>
      <w:r w:rsidRPr="000C7C76">
        <w:rPr>
          <w:rFonts w:ascii="Times New Roman" w:hAnsi="Times New Roman" w:cs="Times New Roman"/>
          <w:lang w:val="en-US"/>
        </w:rPr>
        <w:t xml:space="preserve"> </w:t>
      </w:r>
      <w:proofErr w:type="spellStart"/>
      <w:r w:rsidRPr="000C7C76">
        <w:rPr>
          <w:rFonts w:ascii="Times New Roman" w:hAnsi="Times New Roman" w:cs="Times New Roman"/>
          <w:lang w:val="en-US"/>
        </w:rPr>
        <w:t>trešo</w:t>
      </w:r>
      <w:proofErr w:type="spellEnd"/>
      <w:r w:rsidRPr="000C7C76">
        <w:rPr>
          <w:rFonts w:ascii="Times New Roman" w:hAnsi="Times New Roman" w:cs="Times New Roman"/>
          <w:lang w:val="en-US"/>
        </w:rPr>
        <w:t xml:space="preserve"> </w:t>
      </w:r>
      <w:proofErr w:type="spellStart"/>
      <w:r w:rsidRPr="000C7C76">
        <w:rPr>
          <w:rFonts w:ascii="Times New Roman" w:hAnsi="Times New Roman" w:cs="Times New Roman"/>
          <w:lang w:val="en-US"/>
        </w:rPr>
        <w:t>personu</w:t>
      </w:r>
      <w:proofErr w:type="spellEnd"/>
      <w:r w:rsidRPr="000C7C76">
        <w:rPr>
          <w:rFonts w:ascii="Times New Roman" w:hAnsi="Times New Roman" w:cs="Times New Roman"/>
          <w:lang w:val="en-US"/>
        </w:rPr>
        <w:t xml:space="preserve"> </w:t>
      </w:r>
      <w:proofErr w:type="spellStart"/>
      <w:r w:rsidRPr="000C7C76">
        <w:rPr>
          <w:rFonts w:ascii="Times New Roman" w:hAnsi="Times New Roman" w:cs="Times New Roman"/>
          <w:lang w:val="en-US"/>
        </w:rPr>
        <w:t>interešu</w:t>
      </w:r>
      <w:proofErr w:type="spellEnd"/>
      <w:r w:rsidRPr="000C7C76">
        <w:rPr>
          <w:rFonts w:ascii="Times New Roman" w:hAnsi="Times New Roman" w:cs="Times New Roman"/>
          <w:lang w:val="en-US"/>
        </w:rPr>
        <w:t xml:space="preserve"> </w:t>
      </w:r>
      <w:proofErr w:type="spellStart"/>
      <w:r w:rsidRPr="000C7C76">
        <w:rPr>
          <w:rFonts w:ascii="Times New Roman" w:hAnsi="Times New Roman" w:cs="Times New Roman"/>
          <w:lang w:val="en-US"/>
        </w:rPr>
        <w:t>aizsardzība</w:t>
      </w:r>
      <w:proofErr w:type="spellEnd"/>
      <w:r w:rsidRPr="000C7C76">
        <w:rPr>
          <w:rFonts w:ascii="Times New Roman" w:hAnsi="Times New Roman" w:cs="Times New Roman"/>
          <w:lang w:val="en-US"/>
        </w:rPr>
        <w:t xml:space="preserve">. </w:t>
      </w:r>
      <w:proofErr w:type="spellStart"/>
      <w:r w:rsidRPr="000C7C76">
        <w:rPr>
          <w:rFonts w:ascii="Times New Roman" w:hAnsi="Times New Roman" w:cs="Times New Roman"/>
          <w:lang w:val="en-US"/>
        </w:rPr>
        <w:t>Interesanti</w:t>
      </w:r>
      <w:proofErr w:type="spellEnd"/>
      <w:r w:rsidRPr="000C7C76">
        <w:rPr>
          <w:rFonts w:ascii="Times New Roman" w:hAnsi="Times New Roman" w:cs="Times New Roman"/>
          <w:lang w:val="en-US"/>
        </w:rPr>
        <w:t xml:space="preserve">, ka </w:t>
      </w:r>
      <w:proofErr w:type="spellStart"/>
      <w:r w:rsidRPr="000C7C76">
        <w:rPr>
          <w:rFonts w:ascii="Times New Roman" w:hAnsi="Times New Roman" w:cs="Times New Roman"/>
          <w:lang w:val="en-US"/>
        </w:rPr>
        <w:t>jaunajā</w:t>
      </w:r>
      <w:proofErr w:type="spellEnd"/>
      <w:r w:rsidRPr="000C7C76">
        <w:rPr>
          <w:rFonts w:ascii="Times New Roman" w:hAnsi="Times New Roman" w:cs="Times New Roman"/>
          <w:lang w:val="en-US"/>
        </w:rPr>
        <w:t xml:space="preserve"> </w:t>
      </w:r>
      <w:proofErr w:type="gramStart"/>
      <w:r w:rsidRPr="000C7C76">
        <w:rPr>
          <w:rFonts w:ascii="Times New Roman" w:hAnsi="Times New Roman" w:cs="Times New Roman"/>
          <w:lang w:val="en-US"/>
        </w:rPr>
        <w:t>8.pantā</w:t>
      </w:r>
      <w:proofErr w:type="gramEnd"/>
      <w:r w:rsidRPr="000C7C76">
        <w:rPr>
          <w:rFonts w:ascii="Times New Roman" w:hAnsi="Times New Roman" w:cs="Times New Roman"/>
          <w:lang w:val="en-US"/>
        </w:rPr>
        <w:t xml:space="preserve"> </w:t>
      </w:r>
      <w:proofErr w:type="spellStart"/>
      <w:r w:rsidRPr="000C7C76">
        <w:rPr>
          <w:rFonts w:ascii="Times New Roman" w:hAnsi="Times New Roman" w:cs="Times New Roman"/>
          <w:lang w:val="en-US"/>
        </w:rPr>
        <w:t>kolīziju</w:t>
      </w:r>
      <w:proofErr w:type="spellEnd"/>
      <w:r w:rsidRPr="000C7C76">
        <w:rPr>
          <w:rFonts w:ascii="Times New Roman" w:hAnsi="Times New Roman" w:cs="Times New Roman"/>
          <w:lang w:val="en-US"/>
        </w:rPr>
        <w:t xml:space="preserve"> </w:t>
      </w:r>
      <w:proofErr w:type="spellStart"/>
      <w:r w:rsidRPr="000C7C76">
        <w:rPr>
          <w:rFonts w:ascii="Times New Roman" w:hAnsi="Times New Roman" w:cs="Times New Roman"/>
          <w:lang w:val="en-US"/>
        </w:rPr>
        <w:t>normas</w:t>
      </w:r>
      <w:proofErr w:type="spellEnd"/>
      <w:r w:rsidRPr="000C7C76">
        <w:rPr>
          <w:rFonts w:ascii="Times New Roman" w:hAnsi="Times New Roman" w:cs="Times New Roman"/>
          <w:lang w:val="en-US"/>
        </w:rPr>
        <w:t xml:space="preserve"> </w:t>
      </w:r>
      <w:proofErr w:type="spellStart"/>
      <w:r w:rsidRPr="000C7C76">
        <w:rPr>
          <w:rFonts w:ascii="Times New Roman" w:hAnsi="Times New Roman" w:cs="Times New Roman"/>
          <w:lang w:val="en-US"/>
        </w:rPr>
        <w:t>apjoms</w:t>
      </w:r>
      <w:proofErr w:type="spellEnd"/>
      <w:r w:rsidRPr="000C7C76">
        <w:rPr>
          <w:rFonts w:ascii="Times New Roman" w:hAnsi="Times New Roman" w:cs="Times New Roman"/>
          <w:lang w:val="en-US"/>
        </w:rPr>
        <w:t xml:space="preserve"> (</w:t>
      </w:r>
      <w:proofErr w:type="spellStart"/>
      <w:r w:rsidRPr="000C7C76">
        <w:rPr>
          <w:rFonts w:ascii="Times New Roman" w:hAnsi="Times New Roman" w:cs="Times New Roman"/>
          <w:lang w:val="en-US"/>
        </w:rPr>
        <w:t>jeb</w:t>
      </w:r>
      <w:proofErr w:type="spellEnd"/>
      <w:r w:rsidRPr="000C7C76">
        <w:rPr>
          <w:rFonts w:ascii="Times New Roman" w:hAnsi="Times New Roman" w:cs="Times New Roman"/>
          <w:lang w:val="en-US"/>
        </w:rPr>
        <w:t xml:space="preserve"> </w:t>
      </w:r>
      <w:proofErr w:type="spellStart"/>
      <w:r w:rsidRPr="000C7C76">
        <w:rPr>
          <w:rFonts w:ascii="Times New Roman" w:hAnsi="Times New Roman" w:cs="Times New Roman"/>
          <w:lang w:val="en-US"/>
        </w:rPr>
        <w:t>sistēmjēdziens</w:t>
      </w:r>
      <w:proofErr w:type="spellEnd"/>
      <w:r w:rsidRPr="000C7C76">
        <w:rPr>
          <w:rFonts w:ascii="Times New Roman" w:hAnsi="Times New Roman" w:cs="Times New Roman"/>
          <w:lang w:val="en-US"/>
        </w:rPr>
        <w:t xml:space="preserve">) </w:t>
      </w:r>
      <w:proofErr w:type="spellStart"/>
      <w:r w:rsidRPr="000C7C76">
        <w:rPr>
          <w:rFonts w:ascii="Times New Roman" w:hAnsi="Times New Roman" w:cs="Times New Roman"/>
          <w:lang w:val="en-US"/>
        </w:rPr>
        <w:t>ir</w:t>
      </w:r>
      <w:proofErr w:type="spellEnd"/>
      <w:r w:rsidRPr="000C7C76">
        <w:rPr>
          <w:rFonts w:ascii="Times New Roman" w:hAnsi="Times New Roman" w:cs="Times New Roman"/>
          <w:lang w:val="en-US"/>
        </w:rPr>
        <w:t xml:space="preserve"> </w:t>
      </w:r>
      <w:proofErr w:type="spellStart"/>
      <w:r w:rsidRPr="000C7C76">
        <w:rPr>
          <w:rFonts w:ascii="Times New Roman" w:hAnsi="Times New Roman" w:cs="Times New Roman"/>
          <w:lang w:val="en-US"/>
        </w:rPr>
        <w:t>formulēts</w:t>
      </w:r>
      <w:proofErr w:type="spellEnd"/>
      <w:r w:rsidRPr="000C7C76">
        <w:rPr>
          <w:rFonts w:ascii="Times New Roman" w:hAnsi="Times New Roman" w:cs="Times New Roman"/>
          <w:lang w:val="en-US"/>
        </w:rPr>
        <w:t xml:space="preserve"> </w:t>
      </w:r>
      <w:proofErr w:type="spellStart"/>
      <w:r w:rsidRPr="000C7C76">
        <w:rPr>
          <w:rFonts w:ascii="Times New Roman" w:hAnsi="Times New Roman" w:cs="Times New Roman"/>
          <w:lang w:val="en-US"/>
        </w:rPr>
        <w:t>kā</w:t>
      </w:r>
      <w:proofErr w:type="spellEnd"/>
      <w:r w:rsidRPr="000C7C76">
        <w:rPr>
          <w:rFonts w:ascii="Times New Roman" w:hAnsi="Times New Roman" w:cs="Times New Roman"/>
          <w:lang w:val="en-US"/>
        </w:rPr>
        <w:t xml:space="preserve"> </w:t>
      </w:r>
      <w:r w:rsidRPr="00BF3A72">
        <w:rPr>
          <w:rFonts w:ascii="Times New Roman" w:hAnsi="Times New Roman" w:cs="Times New Roman"/>
          <w:lang w:val="de-DE"/>
        </w:rPr>
        <w:t>„</w:t>
      </w:r>
      <w:proofErr w:type="spellStart"/>
      <w:r w:rsidRPr="00BF3A72">
        <w:rPr>
          <w:rFonts w:ascii="Times New Roman" w:hAnsi="Times New Roman" w:cs="Times New Roman"/>
          <w:lang w:val="de-DE"/>
        </w:rPr>
        <w:t>pārstāvība</w:t>
      </w:r>
      <w:proofErr w:type="spellEnd"/>
      <w:r w:rsidRPr="00BF3A72">
        <w:rPr>
          <w:rFonts w:ascii="Times New Roman" w:hAnsi="Times New Roman" w:cs="Times New Roman"/>
          <w:lang w:val="de-DE"/>
        </w:rPr>
        <w:t xml:space="preserve"> </w:t>
      </w:r>
      <w:proofErr w:type="spellStart"/>
      <w:r w:rsidRPr="00BF3A72">
        <w:rPr>
          <w:rFonts w:ascii="Times New Roman" w:hAnsi="Times New Roman" w:cs="Times New Roman"/>
          <w:lang w:val="de-DE"/>
        </w:rPr>
        <w:t>uz</w:t>
      </w:r>
      <w:proofErr w:type="spellEnd"/>
      <w:r w:rsidRPr="00BF3A72">
        <w:rPr>
          <w:rFonts w:ascii="Times New Roman" w:hAnsi="Times New Roman" w:cs="Times New Roman"/>
          <w:lang w:val="de-DE"/>
        </w:rPr>
        <w:t xml:space="preserve"> </w:t>
      </w:r>
      <w:proofErr w:type="spellStart"/>
      <w:r w:rsidRPr="00BF3A72">
        <w:rPr>
          <w:rFonts w:ascii="Times New Roman" w:hAnsi="Times New Roman" w:cs="Times New Roman"/>
          <w:lang w:val="de-DE"/>
        </w:rPr>
        <w:t>līguma</w:t>
      </w:r>
      <w:proofErr w:type="spellEnd"/>
      <w:r w:rsidRPr="00BF3A72">
        <w:rPr>
          <w:rFonts w:ascii="Times New Roman" w:hAnsi="Times New Roman" w:cs="Times New Roman"/>
          <w:lang w:val="de-DE"/>
        </w:rPr>
        <w:t xml:space="preserve"> </w:t>
      </w:r>
      <w:proofErr w:type="spellStart"/>
      <w:r w:rsidRPr="00BF3A72">
        <w:rPr>
          <w:rFonts w:ascii="Times New Roman" w:hAnsi="Times New Roman" w:cs="Times New Roman"/>
          <w:lang w:val="de-DE"/>
        </w:rPr>
        <w:t>pamata</w:t>
      </w:r>
      <w:proofErr w:type="spellEnd"/>
      <w:r w:rsidRPr="00BF3A72">
        <w:rPr>
          <w:rFonts w:ascii="Times New Roman" w:hAnsi="Times New Roman" w:cs="Times New Roman"/>
          <w:lang w:val="de-DE"/>
        </w:rPr>
        <w:t>“ (</w:t>
      </w:r>
      <w:proofErr w:type="spellStart"/>
      <w:r w:rsidRPr="00BF3A72">
        <w:rPr>
          <w:rFonts w:ascii="Times New Roman" w:hAnsi="Times New Roman" w:cs="Times New Roman"/>
          <w:lang w:val="de-DE"/>
        </w:rPr>
        <w:t>vācu</w:t>
      </w:r>
      <w:proofErr w:type="spellEnd"/>
      <w:r w:rsidRPr="00BF3A72">
        <w:rPr>
          <w:rFonts w:ascii="Times New Roman" w:hAnsi="Times New Roman" w:cs="Times New Roman"/>
          <w:lang w:val="de-DE"/>
        </w:rPr>
        <w:t xml:space="preserve"> </w:t>
      </w:r>
      <w:proofErr w:type="spellStart"/>
      <w:r w:rsidRPr="00BF3A72">
        <w:rPr>
          <w:rFonts w:ascii="Times New Roman" w:hAnsi="Times New Roman" w:cs="Times New Roman"/>
          <w:lang w:val="de-DE"/>
        </w:rPr>
        <w:t>val</w:t>
      </w:r>
      <w:proofErr w:type="spellEnd"/>
      <w:r w:rsidRPr="00BF3A72">
        <w:rPr>
          <w:rFonts w:ascii="Times New Roman" w:hAnsi="Times New Roman" w:cs="Times New Roman"/>
          <w:lang w:val="de-DE"/>
        </w:rPr>
        <w:t xml:space="preserve">. - </w:t>
      </w:r>
      <w:r w:rsidRPr="000C7C76">
        <w:rPr>
          <w:rFonts w:ascii="Times New Roman" w:hAnsi="Times New Roman" w:cs="Times New Roman"/>
          <w:lang w:val="en-US"/>
        </w:rPr>
        <w:t xml:space="preserve"> </w:t>
      </w:r>
      <w:proofErr w:type="spellStart"/>
      <w:r w:rsidRPr="000C7C76">
        <w:rPr>
          <w:rFonts w:ascii="Times New Roman" w:hAnsi="Times New Roman" w:cs="Times New Roman"/>
          <w:i/>
          <w:lang w:val="en-US"/>
        </w:rPr>
        <w:t>gewillkürte</w:t>
      </w:r>
      <w:proofErr w:type="spellEnd"/>
      <w:r w:rsidRPr="000C7C76">
        <w:rPr>
          <w:rFonts w:ascii="Times New Roman" w:hAnsi="Times New Roman" w:cs="Times New Roman"/>
          <w:i/>
          <w:lang w:val="en-US"/>
        </w:rPr>
        <w:t xml:space="preserve"> </w:t>
      </w:r>
      <w:proofErr w:type="spellStart"/>
      <w:r w:rsidRPr="000C7C76">
        <w:rPr>
          <w:rFonts w:ascii="Times New Roman" w:hAnsi="Times New Roman" w:cs="Times New Roman"/>
          <w:i/>
          <w:lang w:val="en-US"/>
        </w:rPr>
        <w:t>Stellvertretung</w:t>
      </w:r>
      <w:proofErr w:type="spellEnd"/>
      <w:r w:rsidRPr="000C7C76">
        <w:rPr>
          <w:rFonts w:ascii="Times New Roman" w:hAnsi="Times New Roman" w:cs="Times New Roman"/>
          <w:lang w:val="en-US"/>
        </w:rPr>
        <w:t xml:space="preserve">). No </w:t>
      </w:r>
      <w:proofErr w:type="spellStart"/>
      <w:r w:rsidRPr="000C7C76">
        <w:rPr>
          <w:rFonts w:ascii="Times New Roman" w:hAnsi="Times New Roman" w:cs="Times New Roman"/>
          <w:lang w:val="en-US"/>
        </w:rPr>
        <w:t>tā</w:t>
      </w:r>
      <w:proofErr w:type="spellEnd"/>
      <w:r w:rsidRPr="000C7C76">
        <w:rPr>
          <w:rFonts w:ascii="Times New Roman" w:hAnsi="Times New Roman" w:cs="Times New Roman"/>
          <w:lang w:val="en-US"/>
        </w:rPr>
        <w:t xml:space="preserve"> </w:t>
      </w:r>
      <w:proofErr w:type="spellStart"/>
      <w:r w:rsidRPr="000C7C76">
        <w:rPr>
          <w:rFonts w:ascii="Times New Roman" w:hAnsi="Times New Roman" w:cs="Times New Roman"/>
          <w:lang w:val="en-US"/>
        </w:rPr>
        <w:t>izriet</w:t>
      </w:r>
      <w:proofErr w:type="spellEnd"/>
      <w:r w:rsidRPr="000C7C76">
        <w:rPr>
          <w:rFonts w:ascii="Times New Roman" w:hAnsi="Times New Roman" w:cs="Times New Roman"/>
          <w:lang w:val="en-US"/>
        </w:rPr>
        <w:t xml:space="preserve">, ka </w:t>
      </w:r>
      <w:proofErr w:type="spellStart"/>
      <w:r w:rsidRPr="000C7C76">
        <w:rPr>
          <w:rFonts w:ascii="Times New Roman" w:hAnsi="Times New Roman" w:cs="Times New Roman"/>
          <w:lang w:val="en-US"/>
        </w:rPr>
        <w:t>kolīziju</w:t>
      </w:r>
      <w:proofErr w:type="spellEnd"/>
      <w:r w:rsidRPr="000C7C76">
        <w:rPr>
          <w:rFonts w:ascii="Times New Roman" w:hAnsi="Times New Roman" w:cs="Times New Roman"/>
          <w:lang w:val="en-US"/>
        </w:rPr>
        <w:t xml:space="preserve"> </w:t>
      </w:r>
      <w:proofErr w:type="spellStart"/>
      <w:r w:rsidRPr="000C7C76">
        <w:rPr>
          <w:rFonts w:ascii="Times New Roman" w:hAnsi="Times New Roman" w:cs="Times New Roman"/>
          <w:lang w:val="en-US"/>
        </w:rPr>
        <w:t>normu</w:t>
      </w:r>
      <w:proofErr w:type="spellEnd"/>
      <w:r w:rsidRPr="000C7C76">
        <w:rPr>
          <w:rFonts w:ascii="Times New Roman" w:hAnsi="Times New Roman" w:cs="Times New Roman"/>
          <w:lang w:val="en-US"/>
        </w:rPr>
        <w:t xml:space="preserve"> </w:t>
      </w:r>
      <w:proofErr w:type="spellStart"/>
      <w:r w:rsidRPr="000C7C76">
        <w:rPr>
          <w:rFonts w:ascii="Times New Roman" w:hAnsi="Times New Roman" w:cs="Times New Roman"/>
          <w:lang w:val="en-US"/>
        </w:rPr>
        <w:t>apjoms</w:t>
      </w:r>
      <w:proofErr w:type="spellEnd"/>
      <w:r w:rsidRPr="000C7C76">
        <w:rPr>
          <w:rFonts w:ascii="Times New Roman" w:hAnsi="Times New Roman" w:cs="Times New Roman"/>
          <w:lang w:val="en-US"/>
        </w:rPr>
        <w:t xml:space="preserve"> </w:t>
      </w:r>
      <w:proofErr w:type="spellStart"/>
      <w:r w:rsidRPr="000C7C76">
        <w:rPr>
          <w:rFonts w:ascii="Times New Roman" w:hAnsi="Times New Roman" w:cs="Times New Roman"/>
          <w:lang w:val="en-US"/>
        </w:rPr>
        <w:t>ir</w:t>
      </w:r>
      <w:proofErr w:type="spellEnd"/>
      <w:r w:rsidRPr="000C7C76">
        <w:rPr>
          <w:rFonts w:ascii="Times New Roman" w:hAnsi="Times New Roman" w:cs="Times New Roman"/>
          <w:lang w:val="en-US"/>
        </w:rPr>
        <w:t xml:space="preserve"> </w:t>
      </w:r>
      <w:proofErr w:type="spellStart"/>
      <w:r w:rsidRPr="000C7C76">
        <w:rPr>
          <w:rFonts w:ascii="Times New Roman" w:hAnsi="Times New Roman" w:cs="Times New Roman"/>
          <w:lang w:val="en-US"/>
        </w:rPr>
        <w:t>diezgan</w:t>
      </w:r>
      <w:proofErr w:type="spellEnd"/>
      <w:r w:rsidRPr="000C7C76">
        <w:rPr>
          <w:rFonts w:ascii="Times New Roman" w:hAnsi="Times New Roman" w:cs="Times New Roman"/>
          <w:lang w:val="en-US"/>
        </w:rPr>
        <w:t xml:space="preserve"> </w:t>
      </w:r>
      <w:proofErr w:type="spellStart"/>
      <w:r w:rsidRPr="000C7C76">
        <w:rPr>
          <w:rFonts w:ascii="Times New Roman" w:hAnsi="Times New Roman" w:cs="Times New Roman"/>
          <w:lang w:val="en-US"/>
        </w:rPr>
        <w:t>plašs</w:t>
      </w:r>
      <w:proofErr w:type="spellEnd"/>
      <w:r w:rsidRPr="000C7C76">
        <w:rPr>
          <w:rFonts w:ascii="Times New Roman" w:hAnsi="Times New Roman" w:cs="Times New Roman"/>
          <w:lang w:val="en-US"/>
        </w:rPr>
        <w:t xml:space="preserve"> un </w:t>
      </w:r>
      <w:proofErr w:type="spellStart"/>
      <w:r w:rsidRPr="000C7C76">
        <w:rPr>
          <w:rFonts w:ascii="Times New Roman" w:hAnsi="Times New Roman" w:cs="Times New Roman"/>
          <w:lang w:val="en-US"/>
        </w:rPr>
        <w:t>aptver</w:t>
      </w:r>
      <w:proofErr w:type="spellEnd"/>
      <w:r w:rsidRPr="000C7C76">
        <w:rPr>
          <w:rFonts w:ascii="Times New Roman" w:hAnsi="Times New Roman" w:cs="Times New Roman"/>
          <w:lang w:val="en-US"/>
        </w:rPr>
        <w:t xml:space="preserve"> </w:t>
      </w:r>
      <w:proofErr w:type="spellStart"/>
      <w:r w:rsidRPr="000C7C76">
        <w:rPr>
          <w:rFonts w:ascii="Times New Roman" w:hAnsi="Times New Roman" w:cs="Times New Roman"/>
          <w:lang w:val="en-US"/>
        </w:rPr>
        <w:t>visu</w:t>
      </w:r>
      <w:proofErr w:type="spellEnd"/>
      <w:r w:rsidRPr="000C7C76">
        <w:rPr>
          <w:rFonts w:ascii="Times New Roman" w:hAnsi="Times New Roman" w:cs="Times New Roman"/>
          <w:lang w:val="en-US"/>
        </w:rPr>
        <w:t xml:space="preserve"> </w:t>
      </w:r>
      <w:proofErr w:type="spellStart"/>
      <w:r w:rsidRPr="000C7C76">
        <w:rPr>
          <w:rFonts w:ascii="Times New Roman" w:hAnsi="Times New Roman" w:cs="Times New Roman"/>
          <w:lang w:val="en-US"/>
        </w:rPr>
        <w:t>pārstāvības</w:t>
      </w:r>
      <w:proofErr w:type="spellEnd"/>
      <w:r w:rsidRPr="000C7C76">
        <w:rPr>
          <w:rFonts w:ascii="Times New Roman" w:hAnsi="Times New Roman" w:cs="Times New Roman"/>
          <w:lang w:val="en-US"/>
        </w:rPr>
        <w:t xml:space="preserve"> </w:t>
      </w:r>
      <w:proofErr w:type="spellStart"/>
      <w:r w:rsidRPr="000C7C76">
        <w:rPr>
          <w:rFonts w:ascii="Times New Roman" w:hAnsi="Times New Roman" w:cs="Times New Roman"/>
          <w:lang w:val="en-US"/>
        </w:rPr>
        <w:t>gaitu</w:t>
      </w:r>
      <w:proofErr w:type="spellEnd"/>
      <w:r w:rsidRPr="000C7C76">
        <w:rPr>
          <w:rFonts w:ascii="Times New Roman" w:hAnsi="Times New Roman" w:cs="Times New Roman"/>
          <w:lang w:val="en-US"/>
        </w:rPr>
        <w:t xml:space="preserve"> un </w:t>
      </w:r>
      <w:proofErr w:type="spellStart"/>
      <w:r w:rsidRPr="000C7C76">
        <w:rPr>
          <w:rFonts w:ascii="Times New Roman" w:hAnsi="Times New Roman" w:cs="Times New Roman"/>
          <w:lang w:val="en-US"/>
        </w:rPr>
        <w:t>tās</w:t>
      </w:r>
      <w:proofErr w:type="spellEnd"/>
      <w:r w:rsidRPr="000C7C76">
        <w:rPr>
          <w:rFonts w:ascii="Times New Roman" w:hAnsi="Times New Roman" w:cs="Times New Roman"/>
          <w:lang w:val="en-US"/>
        </w:rPr>
        <w:t xml:space="preserve"> </w:t>
      </w:r>
      <w:proofErr w:type="spellStart"/>
      <w:r w:rsidRPr="000C7C76">
        <w:rPr>
          <w:rFonts w:ascii="Times New Roman" w:hAnsi="Times New Roman" w:cs="Times New Roman"/>
          <w:lang w:val="en-US"/>
        </w:rPr>
        <w:t>tiesiskās</w:t>
      </w:r>
      <w:proofErr w:type="spellEnd"/>
      <w:r w:rsidRPr="000C7C76">
        <w:rPr>
          <w:rFonts w:ascii="Times New Roman" w:hAnsi="Times New Roman" w:cs="Times New Roman"/>
          <w:lang w:val="en-US"/>
        </w:rPr>
        <w:t xml:space="preserve"> </w:t>
      </w:r>
      <w:proofErr w:type="spellStart"/>
      <w:r w:rsidRPr="000C7C76">
        <w:rPr>
          <w:rFonts w:ascii="Times New Roman" w:hAnsi="Times New Roman" w:cs="Times New Roman"/>
          <w:lang w:val="en-US"/>
        </w:rPr>
        <w:t>sekas</w:t>
      </w:r>
      <w:proofErr w:type="spellEnd"/>
      <w:r w:rsidRPr="000C7C76">
        <w:rPr>
          <w:rFonts w:ascii="Times New Roman" w:hAnsi="Times New Roman" w:cs="Times New Roman"/>
          <w:lang w:val="en-US"/>
        </w:rPr>
        <w:t>.</w:t>
      </w:r>
      <w:r w:rsidRPr="00BF3A72">
        <w:rPr>
          <w:rStyle w:val="FootnoteReference"/>
          <w:rFonts w:ascii="Times New Roman" w:hAnsi="Times New Roman" w:cs="Times New Roman"/>
        </w:rPr>
        <w:footnoteReference w:id="42"/>
      </w:r>
      <w:r w:rsidRPr="000C7C76">
        <w:rPr>
          <w:rFonts w:ascii="Times New Roman" w:hAnsi="Times New Roman" w:cs="Times New Roman"/>
          <w:lang w:val="en-US"/>
        </w:rPr>
        <w:t xml:space="preserve"> </w:t>
      </w:r>
      <w:proofErr w:type="spellStart"/>
      <w:r w:rsidRPr="00BF3A72">
        <w:rPr>
          <w:rFonts w:ascii="Times New Roman" w:hAnsi="Times New Roman" w:cs="Times New Roman"/>
          <w:lang w:val="de-DE"/>
        </w:rPr>
        <w:t>Tātad</w:t>
      </w:r>
      <w:proofErr w:type="spellEnd"/>
      <w:r w:rsidRPr="00BF3A72">
        <w:rPr>
          <w:rFonts w:ascii="Times New Roman" w:hAnsi="Times New Roman" w:cs="Times New Roman"/>
          <w:lang w:val="de-DE"/>
        </w:rPr>
        <w:t xml:space="preserve">, </w:t>
      </w:r>
      <w:proofErr w:type="spellStart"/>
      <w:r w:rsidRPr="00BF3A72">
        <w:rPr>
          <w:rFonts w:ascii="Times New Roman" w:hAnsi="Times New Roman" w:cs="Times New Roman"/>
          <w:lang w:val="de-DE"/>
        </w:rPr>
        <w:t>šis</w:t>
      </w:r>
      <w:proofErr w:type="spellEnd"/>
      <w:r w:rsidRPr="00BF3A72">
        <w:rPr>
          <w:rFonts w:ascii="Times New Roman" w:hAnsi="Times New Roman" w:cs="Times New Roman"/>
          <w:lang w:val="de-DE"/>
        </w:rPr>
        <w:t xml:space="preserve"> </w:t>
      </w:r>
      <w:proofErr w:type="spellStart"/>
      <w:r w:rsidRPr="00BF3A72">
        <w:rPr>
          <w:rFonts w:ascii="Times New Roman" w:hAnsi="Times New Roman" w:cs="Times New Roman"/>
          <w:lang w:val="de-DE"/>
        </w:rPr>
        <w:t>formulējums</w:t>
      </w:r>
      <w:proofErr w:type="spellEnd"/>
      <w:r w:rsidRPr="00BF3A72">
        <w:rPr>
          <w:rFonts w:ascii="Times New Roman" w:hAnsi="Times New Roman" w:cs="Times New Roman"/>
          <w:lang w:val="de-DE"/>
        </w:rPr>
        <w:t xml:space="preserve"> </w:t>
      </w:r>
      <w:proofErr w:type="spellStart"/>
      <w:r w:rsidRPr="00BF3A72">
        <w:rPr>
          <w:rFonts w:ascii="Times New Roman" w:hAnsi="Times New Roman" w:cs="Times New Roman"/>
          <w:lang w:val="de-DE"/>
        </w:rPr>
        <w:t>ir</w:t>
      </w:r>
      <w:proofErr w:type="spellEnd"/>
      <w:r w:rsidRPr="00BF3A72">
        <w:rPr>
          <w:rFonts w:ascii="Times New Roman" w:hAnsi="Times New Roman" w:cs="Times New Roman"/>
          <w:lang w:val="de-DE"/>
        </w:rPr>
        <w:t xml:space="preserve"> </w:t>
      </w:r>
      <w:proofErr w:type="spellStart"/>
      <w:r w:rsidRPr="00BF3A72">
        <w:rPr>
          <w:rFonts w:ascii="Times New Roman" w:hAnsi="Times New Roman" w:cs="Times New Roman"/>
          <w:lang w:val="de-DE"/>
        </w:rPr>
        <w:t>plašāks</w:t>
      </w:r>
      <w:proofErr w:type="spellEnd"/>
      <w:r w:rsidRPr="00BF3A72">
        <w:rPr>
          <w:rFonts w:ascii="Times New Roman" w:hAnsi="Times New Roman" w:cs="Times New Roman"/>
          <w:lang w:val="de-DE"/>
        </w:rPr>
        <w:t xml:space="preserve"> </w:t>
      </w:r>
      <w:proofErr w:type="spellStart"/>
      <w:r w:rsidRPr="00BF3A72">
        <w:rPr>
          <w:rFonts w:ascii="Times New Roman" w:hAnsi="Times New Roman" w:cs="Times New Roman"/>
          <w:lang w:val="de-DE"/>
        </w:rPr>
        <w:t>un</w:t>
      </w:r>
      <w:proofErr w:type="spellEnd"/>
      <w:r w:rsidRPr="00BF3A72">
        <w:rPr>
          <w:rFonts w:ascii="Times New Roman" w:hAnsi="Times New Roman" w:cs="Times New Roman"/>
          <w:lang w:val="de-DE"/>
        </w:rPr>
        <w:t xml:space="preserve"> </w:t>
      </w:r>
      <w:r w:rsidRPr="00BF3A72">
        <w:rPr>
          <w:rFonts w:ascii="Times New Roman" w:hAnsi="Times New Roman" w:cs="Times New Roman"/>
          <w:lang w:val="lv-LV"/>
        </w:rPr>
        <w:t xml:space="preserve">tādējādi nākotnē paplašinās pilnvaras statūta (vācu val. – </w:t>
      </w:r>
      <w:proofErr w:type="spellStart"/>
      <w:r w:rsidRPr="00BF3A72">
        <w:rPr>
          <w:rFonts w:ascii="Times New Roman" w:hAnsi="Times New Roman" w:cs="Times New Roman"/>
          <w:i/>
          <w:lang w:val="lv-LV"/>
        </w:rPr>
        <w:t>Vollmachtstatut</w:t>
      </w:r>
      <w:proofErr w:type="spellEnd"/>
      <w:r w:rsidRPr="00BF3A72">
        <w:rPr>
          <w:rFonts w:ascii="Times New Roman" w:hAnsi="Times New Roman" w:cs="Times New Roman"/>
          <w:lang w:val="lv-LV"/>
        </w:rPr>
        <w:t>) jēdziena izpratni.</w:t>
      </w:r>
    </w:p>
    <w:p w14:paraId="7E357E48" w14:textId="77777777" w:rsidR="00114953" w:rsidRPr="00BF3A72" w:rsidRDefault="00114953" w:rsidP="00114953">
      <w:pPr>
        <w:ind w:firstLine="708"/>
        <w:jc w:val="both"/>
        <w:rPr>
          <w:rFonts w:ascii="Times New Roman" w:hAnsi="Times New Roman" w:cs="Times New Roman"/>
          <w:lang w:val="lv-LV"/>
        </w:rPr>
      </w:pPr>
      <w:r w:rsidRPr="00BF3A72">
        <w:rPr>
          <w:rFonts w:ascii="Times New Roman" w:hAnsi="Times New Roman" w:cs="Times New Roman"/>
          <w:lang w:val="lv-LV"/>
        </w:rPr>
        <w:lastRenderedPageBreak/>
        <w:t xml:space="preserve">Arī </w:t>
      </w:r>
      <w:r w:rsidRPr="00BF3A72">
        <w:rPr>
          <w:rFonts w:ascii="Times New Roman" w:hAnsi="Times New Roman" w:cs="Times New Roman"/>
          <w:b/>
          <w:lang w:val="lv-LV"/>
        </w:rPr>
        <w:t>Polijas</w:t>
      </w:r>
      <w:r w:rsidRPr="00BF3A72">
        <w:rPr>
          <w:rFonts w:ascii="Times New Roman" w:hAnsi="Times New Roman" w:cs="Times New Roman"/>
          <w:lang w:val="lv-LV"/>
        </w:rPr>
        <w:t xml:space="preserve"> SPT ir speciālas kolīziju normas pārstāvībai. Tās atrodamas Polijas </w:t>
      </w:r>
      <w:r w:rsidRPr="00BF3A72">
        <w:rPr>
          <w:rFonts w:ascii="Times New Roman" w:hAnsi="Times New Roman" w:cs="Times New Roman"/>
          <w:i/>
          <w:lang w:val="lv-LV"/>
        </w:rPr>
        <w:t>Starptautisko privāttiesību likuma</w:t>
      </w:r>
      <w:r w:rsidRPr="00BF3A72">
        <w:rPr>
          <w:rFonts w:ascii="Times New Roman" w:hAnsi="Times New Roman" w:cs="Times New Roman"/>
          <w:lang w:val="lv-LV"/>
        </w:rPr>
        <w:t xml:space="preserve"> (pieņemts 2011.gada 4.februārī)</w:t>
      </w:r>
      <w:r w:rsidRPr="00BF3A72">
        <w:rPr>
          <w:rStyle w:val="FootnoteReference"/>
          <w:rFonts w:ascii="Times New Roman" w:hAnsi="Times New Roman" w:cs="Times New Roman"/>
          <w:lang w:val="lv-LV"/>
        </w:rPr>
        <w:footnoteReference w:id="43"/>
      </w:r>
      <w:r w:rsidRPr="00BF3A72">
        <w:rPr>
          <w:rFonts w:ascii="Times New Roman" w:hAnsi="Times New Roman" w:cs="Times New Roman"/>
          <w:lang w:val="lv-LV"/>
        </w:rPr>
        <w:t xml:space="preserve"> 22. un 23.pantā. 22.pants ir veltīts pārstāvībai uz likuma pamata, savukārt 23.pants satur kolīziju normas par pilnvarām piemērojamo likumu. Vispirms 23.panta pirmā daļa atļauj pilnvaras devējam pašam izvēlēties pilnvarai piemērojamo likumu. Taču ir paredzēts speciāls nosacījums attiecībā uz trešajām personām, ar kurām pilnvarnieks stājas tiesiskajās attiecībās – šajās tiesiskajās attiecībās uz pilnvaras devēja izvēlēto likumu var atsaukties tikai tad, ja trešā persona zināja par šo izvēli vai arī viegli varēja par to uzzināt. Savukārt pilnvaras devējs var atsaukties uz izvēlētajām tiesībām attiecībās ar pilnvarnieku tikai tad, ja pilnvarnieks zināja par šo izvēli vai arī viegli varēja par to uzzināt.  Kā redzams, tā kā pilnvaras izdošana Polijā (tāpat kā Latvijā) ir vienpusējs darījums, tad pilnvaras devējs var arī vienpusēji izvēlēties pilnvarai piemērojamo likumu, taču tiesiskajās attiecībās ar pilnvarnieku un/vai trešo personu viņš uz šo izvēlēto likumu var atsaukties tikai tad, ja abas minētās puses ir zinājušas par šo izvēli vai arī viegli varēja par to uzzināt.</w:t>
      </w:r>
    </w:p>
    <w:p w14:paraId="653A9A8C" w14:textId="77777777" w:rsidR="00114953" w:rsidRPr="00BF3A72" w:rsidRDefault="00114953" w:rsidP="00114953">
      <w:pPr>
        <w:ind w:firstLine="708"/>
        <w:jc w:val="both"/>
        <w:rPr>
          <w:rFonts w:ascii="Times New Roman" w:hAnsi="Times New Roman" w:cs="Times New Roman"/>
          <w:lang w:val="lv-LV"/>
        </w:rPr>
      </w:pPr>
      <w:r w:rsidRPr="00BF3A72">
        <w:rPr>
          <w:rFonts w:ascii="Times New Roman" w:hAnsi="Times New Roman" w:cs="Times New Roman"/>
          <w:lang w:val="lv-LV"/>
        </w:rPr>
        <w:t xml:space="preserve">Savukārt, ja pilnvaras devējs nav izdarījis piemērojamā likuma izvēli pilnvarai, tad 23.panta otrā daļa piedāvā konkrētas kolīziju normas ar </w:t>
      </w:r>
      <w:proofErr w:type="spellStart"/>
      <w:r w:rsidRPr="00BF3A72">
        <w:rPr>
          <w:rFonts w:ascii="Times New Roman" w:hAnsi="Times New Roman" w:cs="Times New Roman"/>
          <w:lang w:val="lv-LV"/>
        </w:rPr>
        <w:t>subsidiārajām</w:t>
      </w:r>
      <w:proofErr w:type="spellEnd"/>
      <w:r w:rsidRPr="00BF3A72">
        <w:rPr>
          <w:rFonts w:ascii="Times New Roman" w:hAnsi="Times New Roman" w:cs="Times New Roman"/>
          <w:lang w:val="lv-LV"/>
        </w:rPr>
        <w:t xml:space="preserve"> piesaistēm, proti:</w:t>
      </w:r>
    </w:p>
    <w:p w14:paraId="1447D995" w14:textId="77777777" w:rsidR="00114953" w:rsidRPr="00BF3A72" w:rsidRDefault="00114953" w:rsidP="00114953">
      <w:pPr>
        <w:jc w:val="both"/>
        <w:rPr>
          <w:rFonts w:ascii="Times New Roman" w:hAnsi="Times New Roman" w:cs="Times New Roman"/>
          <w:lang w:val="lv-LV"/>
        </w:rPr>
      </w:pPr>
      <w:r w:rsidRPr="00BF3A72">
        <w:rPr>
          <w:rFonts w:ascii="Times New Roman" w:hAnsi="Times New Roman" w:cs="Times New Roman"/>
          <w:lang w:val="lv-LV"/>
        </w:rPr>
        <w:t>- piemērot tās valsts likumu, kurā atrodas pilnvarnieka galvenais darbības centrs, ja viņš tur pastāvīgi veic savu darbību;</w:t>
      </w:r>
    </w:p>
    <w:p w14:paraId="2372F21C" w14:textId="77777777" w:rsidR="00114953" w:rsidRPr="00BF3A72" w:rsidRDefault="00114953" w:rsidP="00114953">
      <w:pPr>
        <w:jc w:val="both"/>
        <w:rPr>
          <w:rFonts w:ascii="Times New Roman" w:hAnsi="Times New Roman" w:cs="Times New Roman"/>
          <w:lang w:val="lv-LV"/>
        </w:rPr>
      </w:pPr>
      <w:r w:rsidRPr="00BF3A72">
        <w:rPr>
          <w:rFonts w:ascii="Times New Roman" w:hAnsi="Times New Roman" w:cs="Times New Roman"/>
          <w:lang w:val="lv-LV"/>
        </w:rPr>
        <w:t>- piemērot tās valsts likumu, kurā atrodas pilnvaras devēja uzņēmums, ar nosacījumu, ka pilnvarnieks šajā valstī pastāvīgi veic savu darbību;</w:t>
      </w:r>
    </w:p>
    <w:p w14:paraId="0BBEF2DE" w14:textId="77777777" w:rsidR="00114953" w:rsidRPr="00BF3A72" w:rsidRDefault="00114953" w:rsidP="00114953">
      <w:pPr>
        <w:jc w:val="both"/>
        <w:rPr>
          <w:rFonts w:ascii="Times New Roman" w:hAnsi="Times New Roman" w:cs="Times New Roman"/>
          <w:lang w:val="lv-LV"/>
        </w:rPr>
      </w:pPr>
      <w:r w:rsidRPr="00BF3A72">
        <w:rPr>
          <w:rFonts w:ascii="Times New Roman" w:hAnsi="Times New Roman" w:cs="Times New Roman"/>
          <w:lang w:val="lv-LV"/>
        </w:rPr>
        <w:t>- piemērot tās valsts likumu, kur pilnvarnieks faktiski darbojas un tādēļ pārstāv tur pilnvaras devēju, vai arī kur pēc pilnvaras devēja gribas pilnvarniekam ir jādarbojas.</w:t>
      </w:r>
    </w:p>
    <w:p w14:paraId="3777E832" w14:textId="77777777" w:rsidR="00114953" w:rsidRPr="00BF3A72" w:rsidRDefault="00114953" w:rsidP="00114953">
      <w:pPr>
        <w:jc w:val="both"/>
        <w:rPr>
          <w:rFonts w:ascii="Times New Roman" w:hAnsi="Times New Roman" w:cs="Times New Roman"/>
          <w:lang w:val="lv-LV"/>
        </w:rPr>
      </w:pPr>
      <w:r w:rsidRPr="00BF3A72">
        <w:rPr>
          <w:rFonts w:ascii="Times New Roman" w:hAnsi="Times New Roman" w:cs="Times New Roman"/>
          <w:lang w:val="lv-LV"/>
        </w:rPr>
        <w:tab/>
        <w:t>Polijas SPT, tāpat kā Vācijas SPT, tiek atsevišķi nodalīti trīs statūti (jeb piemērojamie likumi): 1) pilnvarai  piemērojamais likums: 2) pilnvaras devēja un pilnvarnieka iekšējām tiesiskajām attiecībām (pilnvarojuma līgumam) piemērojamais likums, un 3) galvenajam darījumam piemērojamais likums.</w:t>
      </w:r>
      <w:r w:rsidRPr="00BF3A72">
        <w:rPr>
          <w:rStyle w:val="FootnoteReference"/>
          <w:rFonts w:ascii="Times New Roman" w:hAnsi="Times New Roman" w:cs="Times New Roman"/>
          <w:lang w:val="lv-LV"/>
        </w:rPr>
        <w:footnoteReference w:id="44"/>
      </w:r>
    </w:p>
    <w:p w14:paraId="0E138CD3" w14:textId="77777777" w:rsidR="00114953" w:rsidRPr="005C312C" w:rsidRDefault="00114953" w:rsidP="00114953">
      <w:pPr>
        <w:jc w:val="both"/>
        <w:rPr>
          <w:rFonts w:ascii="Times New Roman" w:hAnsi="Times New Roman" w:cs="Times New Roman"/>
          <w:color w:val="FF0000"/>
          <w:lang w:val="lv-LV"/>
        </w:rPr>
      </w:pPr>
      <w:r w:rsidRPr="00BF3A72">
        <w:rPr>
          <w:rFonts w:ascii="Times New Roman" w:hAnsi="Times New Roman" w:cs="Times New Roman"/>
          <w:lang w:val="lv-LV"/>
        </w:rPr>
        <w:tab/>
        <w:t xml:space="preserve">Arī </w:t>
      </w:r>
      <w:r w:rsidRPr="00BF3A72">
        <w:rPr>
          <w:rFonts w:ascii="Times New Roman" w:hAnsi="Times New Roman" w:cs="Times New Roman"/>
          <w:b/>
          <w:lang w:val="lv-LV"/>
        </w:rPr>
        <w:t xml:space="preserve">Beļģijas </w:t>
      </w:r>
      <w:r w:rsidRPr="00BF3A72">
        <w:rPr>
          <w:rFonts w:ascii="Times New Roman" w:hAnsi="Times New Roman" w:cs="Times New Roman"/>
          <w:i/>
          <w:lang w:val="lv-LV"/>
        </w:rPr>
        <w:t>Starptautisko privāttiesību likuma</w:t>
      </w:r>
      <w:r w:rsidRPr="00BF3A72">
        <w:rPr>
          <w:rStyle w:val="FootnoteReference"/>
          <w:rFonts w:ascii="Times New Roman" w:hAnsi="Times New Roman" w:cs="Times New Roman"/>
          <w:lang w:val="lv-LV"/>
        </w:rPr>
        <w:footnoteReference w:id="45"/>
      </w:r>
      <w:r w:rsidRPr="00BF3A72">
        <w:rPr>
          <w:rFonts w:ascii="Times New Roman" w:hAnsi="Times New Roman" w:cs="Times New Roman"/>
          <w:lang w:val="lv-LV"/>
        </w:rPr>
        <w:t xml:space="preserve"> 108.pantā ir atrodama atsevišķa kolīziju norma pilnvarām.  Kolīziju normas apjoms (jeb </w:t>
      </w:r>
      <w:proofErr w:type="spellStart"/>
      <w:r w:rsidRPr="00BF3A72">
        <w:rPr>
          <w:rFonts w:ascii="Times New Roman" w:hAnsi="Times New Roman" w:cs="Times New Roman"/>
          <w:lang w:val="lv-LV"/>
        </w:rPr>
        <w:t>sistēmjēdziens</w:t>
      </w:r>
      <w:proofErr w:type="spellEnd"/>
      <w:r w:rsidRPr="00BF3A72">
        <w:rPr>
          <w:rFonts w:ascii="Times New Roman" w:hAnsi="Times New Roman" w:cs="Times New Roman"/>
          <w:lang w:val="lv-LV"/>
        </w:rPr>
        <w:t>) ir formulēts šādi: “jautājums par to, vai pārstāvis var pārstāvēt personu, kuras vārdā viņš vēlas darboties, attiecībā pret trešajām personām” (franču val. – “</w:t>
      </w:r>
      <w:proofErr w:type="spellStart"/>
      <w:r w:rsidRPr="00BF3A72">
        <w:rPr>
          <w:rFonts w:ascii="Times New Roman" w:hAnsi="Times New Roman" w:cs="Times New Roman"/>
          <w:i/>
          <w:lang w:val="lv-LV"/>
        </w:rPr>
        <w:t>la</w:t>
      </w:r>
      <w:proofErr w:type="spellEnd"/>
      <w:r w:rsidRPr="00BF3A72">
        <w:rPr>
          <w:rFonts w:ascii="Times New Roman" w:hAnsi="Times New Roman" w:cs="Times New Roman"/>
          <w:i/>
          <w:lang w:val="lv-LV"/>
        </w:rPr>
        <w:t xml:space="preserve"> </w:t>
      </w:r>
      <w:r w:rsidRPr="00BF3A72">
        <w:rPr>
          <w:rFonts w:ascii="Times New Roman" w:hAnsi="Times New Roman" w:cs="Times New Roman"/>
          <w:i/>
        </w:rPr>
        <w:t>question de savoir si un intermédiaire peut représenter envers les tiers la personne pour le compte de laquelle il prétend agir</w:t>
      </w:r>
      <w:r w:rsidRPr="00BF3A72">
        <w:rPr>
          <w:rFonts w:ascii="Times New Roman" w:hAnsi="Times New Roman" w:cs="Times New Roman"/>
          <w:lang w:val="de-DE"/>
        </w:rPr>
        <w:t>“</w:t>
      </w:r>
      <w:r w:rsidRPr="00BF3A72">
        <w:rPr>
          <w:rFonts w:ascii="Times New Roman" w:hAnsi="Times New Roman" w:cs="Times New Roman"/>
        </w:rPr>
        <w:t xml:space="preserve">). </w:t>
      </w:r>
      <w:proofErr w:type="spellStart"/>
      <w:r w:rsidRPr="00BF3A72">
        <w:rPr>
          <w:rFonts w:ascii="Times New Roman" w:hAnsi="Times New Roman" w:cs="Times New Roman"/>
        </w:rPr>
        <w:t>Kā</w:t>
      </w:r>
      <w:proofErr w:type="spellEnd"/>
      <w:r w:rsidRPr="00BF3A72">
        <w:rPr>
          <w:rFonts w:ascii="Times New Roman" w:hAnsi="Times New Roman" w:cs="Times New Roman"/>
        </w:rPr>
        <w:t xml:space="preserve"> </w:t>
      </w:r>
      <w:proofErr w:type="spellStart"/>
      <w:r w:rsidRPr="00BF3A72">
        <w:rPr>
          <w:rFonts w:ascii="Times New Roman" w:hAnsi="Times New Roman" w:cs="Times New Roman"/>
        </w:rPr>
        <w:t>piemērojamais</w:t>
      </w:r>
      <w:proofErr w:type="spellEnd"/>
      <w:r w:rsidRPr="00BF3A72">
        <w:rPr>
          <w:rFonts w:ascii="Times New Roman" w:hAnsi="Times New Roman" w:cs="Times New Roman"/>
        </w:rPr>
        <w:t xml:space="preserve"> </w:t>
      </w:r>
      <w:proofErr w:type="spellStart"/>
      <w:r w:rsidRPr="00BF3A72">
        <w:rPr>
          <w:rFonts w:ascii="Times New Roman" w:hAnsi="Times New Roman" w:cs="Times New Roman"/>
        </w:rPr>
        <w:t>likums</w:t>
      </w:r>
      <w:proofErr w:type="spellEnd"/>
      <w:r w:rsidRPr="00BF3A72">
        <w:rPr>
          <w:rFonts w:ascii="Times New Roman" w:hAnsi="Times New Roman" w:cs="Times New Roman"/>
        </w:rPr>
        <w:t xml:space="preserve"> </w:t>
      </w:r>
      <w:proofErr w:type="spellStart"/>
      <w:r w:rsidRPr="00BF3A72">
        <w:rPr>
          <w:rFonts w:ascii="Times New Roman" w:hAnsi="Times New Roman" w:cs="Times New Roman"/>
        </w:rPr>
        <w:t>tiek</w:t>
      </w:r>
      <w:proofErr w:type="spellEnd"/>
      <w:r w:rsidRPr="00BF3A72">
        <w:rPr>
          <w:rFonts w:ascii="Times New Roman" w:hAnsi="Times New Roman" w:cs="Times New Roman"/>
        </w:rPr>
        <w:t xml:space="preserve"> </w:t>
      </w:r>
      <w:proofErr w:type="spellStart"/>
      <w:r w:rsidRPr="00BF3A72">
        <w:rPr>
          <w:rFonts w:ascii="Times New Roman" w:hAnsi="Times New Roman" w:cs="Times New Roman"/>
        </w:rPr>
        <w:t>paredzēts</w:t>
      </w:r>
      <w:proofErr w:type="spellEnd"/>
      <w:r w:rsidRPr="00BF3A72">
        <w:rPr>
          <w:rFonts w:ascii="Times New Roman" w:hAnsi="Times New Roman" w:cs="Times New Roman"/>
        </w:rPr>
        <w:t xml:space="preserve"> </w:t>
      </w:r>
      <w:proofErr w:type="spellStart"/>
      <w:r w:rsidRPr="00BF3A72">
        <w:rPr>
          <w:rFonts w:ascii="Times New Roman" w:hAnsi="Times New Roman" w:cs="Times New Roman"/>
        </w:rPr>
        <w:t>tās</w:t>
      </w:r>
      <w:proofErr w:type="spellEnd"/>
      <w:r w:rsidRPr="00BF3A72">
        <w:rPr>
          <w:rFonts w:ascii="Times New Roman" w:hAnsi="Times New Roman" w:cs="Times New Roman"/>
        </w:rPr>
        <w:t xml:space="preserve"> </w:t>
      </w:r>
      <w:proofErr w:type="spellStart"/>
      <w:r w:rsidRPr="00BF3A72">
        <w:rPr>
          <w:rFonts w:ascii="Times New Roman" w:hAnsi="Times New Roman" w:cs="Times New Roman"/>
        </w:rPr>
        <w:t>valsts</w:t>
      </w:r>
      <w:proofErr w:type="spellEnd"/>
      <w:r w:rsidRPr="00BF3A72">
        <w:rPr>
          <w:rFonts w:ascii="Times New Roman" w:hAnsi="Times New Roman" w:cs="Times New Roman"/>
        </w:rPr>
        <w:t xml:space="preserve"> </w:t>
      </w:r>
      <w:proofErr w:type="spellStart"/>
      <w:r w:rsidRPr="00BF3A72">
        <w:rPr>
          <w:rFonts w:ascii="Times New Roman" w:hAnsi="Times New Roman" w:cs="Times New Roman"/>
        </w:rPr>
        <w:t>likums</w:t>
      </w:r>
      <w:proofErr w:type="spellEnd"/>
      <w:r w:rsidRPr="00BF3A72">
        <w:rPr>
          <w:rFonts w:ascii="Times New Roman" w:hAnsi="Times New Roman" w:cs="Times New Roman"/>
        </w:rPr>
        <w:t xml:space="preserve">, </w:t>
      </w:r>
      <w:proofErr w:type="spellStart"/>
      <w:r w:rsidRPr="00BF3A72">
        <w:rPr>
          <w:rFonts w:ascii="Times New Roman" w:hAnsi="Times New Roman" w:cs="Times New Roman"/>
        </w:rPr>
        <w:t>kuras</w:t>
      </w:r>
      <w:proofErr w:type="spellEnd"/>
      <w:r w:rsidRPr="00BF3A72">
        <w:rPr>
          <w:rFonts w:ascii="Times New Roman" w:hAnsi="Times New Roman" w:cs="Times New Roman"/>
        </w:rPr>
        <w:t xml:space="preserve"> </w:t>
      </w:r>
      <w:proofErr w:type="spellStart"/>
      <w:r w:rsidRPr="00BF3A72">
        <w:rPr>
          <w:rFonts w:ascii="Times New Roman" w:hAnsi="Times New Roman" w:cs="Times New Roman"/>
        </w:rPr>
        <w:t>teritorijā</w:t>
      </w:r>
      <w:proofErr w:type="spellEnd"/>
      <w:r w:rsidRPr="00BF3A72">
        <w:rPr>
          <w:rFonts w:ascii="Times New Roman" w:hAnsi="Times New Roman" w:cs="Times New Roman"/>
        </w:rPr>
        <w:t xml:space="preserve"> </w:t>
      </w:r>
      <w:proofErr w:type="spellStart"/>
      <w:r w:rsidRPr="00BF3A72">
        <w:rPr>
          <w:rFonts w:ascii="Times New Roman" w:hAnsi="Times New Roman" w:cs="Times New Roman"/>
        </w:rPr>
        <w:t>pilnvarnieks</w:t>
      </w:r>
      <w:proofErr w:type="spellEnd"/>
      <w:r w:rsidRPr="00BF3A72">
        <w:rPr>
          <w:rFonts w:ascii="Times New Roman" w:hAnsi="Times New Roman" w:cs="Times New Roman"/>
        </w:rPr>
        <w:t xml:space="preserve"> </w:t>
      </w:r>
      <w:proofErr w:type="spellStart"/>
      <w:r w:rsidRPr="00BF3A72">
        <w:rPr>
          <w:rFonts w:ascii="Times New Roman" w:hAnsi="Times New Roman" w:cs="Times New Roman"/>
        </w:rPr>
        <w:t>veic</w:t>
      </w:r>
      <w:proofErr w:type="spellEnd"/>
      <w:r w:rsidRPr="00BF3A72">
        <w:rPr>
          <w:rFonts w:ascii="Times New Roman" w:hAnsi="Times New Roman" w:cs="Times New Roman"/>
        </w:rPr>
        <w:t xml:space="preserve"> </w:t>
      </w:r>
      <w:proofErr w:type="spellStart"/>
      <w:r w:rsidRPr="00BF3A72">
        <w:rPr>
          <w:rFonts w:ascii="Times New Roman" w:hAnsi="Times New Roman" w:cs="Times New Roman"/>
        </w:rPr>
        <w:t>savu</w:t>
      </w:r>
      <w:proofErr w:type="spellEnd"/>
      <w:r w:rsidRPr="00BF3A72">
        <w:rPr>
          <w:rFonts w:ascii="Times New Roman" w:hAnsi="Times New Roman" w:cs="Times New Roman"/>
        </w:rPr>
        <w:t xml:space="preserve"> </w:t>
      </w:r>
      <w:proofErr w:type="spellStart"/>
      <w:r w:rsidRPr="00BF3A72">
        <w:rPr>
          <w:rFonts w:ascii="Times New Roman" w:hAnsi="Times New Roman" w:cs="Times New Roman"/>
        </w:rPr>
        <w:t>darbību</w:t>
      </w:r>
      <w:proofErr w:type="spellEnd"/>
      <w:r w:rsidRPr="00BF3A72">
        <w:rPr>
          <w:rFonts w:ascii="Times New Roman" w:hAnsi="Times New Roman" w:cs="Times New Roman"/>
        </w:rPr>
        <w:t xml:space="preserve">. </w:t>
      </w:r>
      <w:proofErr w:type="spellStart"/>
      <w:r w:rsidRPr="00BF3A72">
        <w:rPr>
          <w:rFonts w:ascii="Times New Roman" w:hAnsi="Times New Roman" w:cs="Times New Roman"/>
        </w:rPr>
        <w:t>Tiek</w:t>
      </w:r>
      <w:proofErr w:type="spellEnd"/>
      <w:r w:rsidRPr="00BF3A72">
        <w:rPr>
          <w:rFonts w:ascii="Times New Roman" w:hAnsi="Times New Roman" w:cs="Times New Roman"/>
        </w:rPr>
        <w:t xml:space="preserve"> </w:t>
      </w:r>
      <w:proofErr w:type="spellStart"/>
      <w:r w:rsidRPr="00BF3A72">
        <w:rPr>
          <w:rFonts w:ascii="Times New Roman" w:hAnsi="Times New Roman" w:cs="Times New Roman"/>
        </w:rPr>
        <w:t>prezumēts</w:t>
      </w:r>
      <w:proofErr w:type="spellEnd"/>
      <w:r w:rsidRPr="00BF3A72">
        <w:rPr>
          <w:rFonts w:ascii="Times New Roman" w:hAnsi="Times New Roman" w:cs="Times New Roman"/>
        </w:rPr>
        <w:t xml:space="preserve">, </w:t>
      </w:r>
      <w:proofErr w:type="spellStart"/>
      <w:r w:rsidRPr="00BF3A72">
        <w:rPr>
          <w:rFonts w:ascii="Times New Roman" w:hAnsi="Times New Roman" w:cs="Times New Roman"/>
        </w:rPr>
        <w:t>ja</w:t>
      </w:r>
      <w:proofErr w:type="spellEnd"/>
      <w:r w:rsidRPr="00BF3A72">
        <w:rPr>
          <w:rFonts w:ascii="Times New Roman" w:hAnsi="Times New Roman" w:cs="Times New Roman"/>
        </w:rPr>
        <w:t xml:space="preserve"> </w:t>
      </w:r>
      <w:proofErr w:type="spellStart"/>
      <w:r w:rsidRPr="00BF3A72">
        <w:rPr>
          <w:rFonts w:ascii="Times New Roman" w:hAnsi="Times New Roman" w:cs="Times New Roman"/>
        </w:rPr>
        <w:t>vien</w:t>
      </w:r>
      <w:proofErr w:type="spellEnd"/>
      <w:r w:rsidRPr="00BF3A72">
        <w:rPr>
          <w:rFonts w:ascii="Times New Roman" w:hAnsi="Times New Roman" w:cs="Times New Roman"/>
        </w:rPr>
        <w:t xml:space="preserve"> </w:t>
      </w:r>
      <w:proofErr w:type="spellStart"/>
      <w:r w:rsidRPr="00BF3A72">
        <w:rPr>
          <w:rFonts w:ascii="Times New Roman" w:hAnsi="Times New Roman" w:cs="Times New Roman"/>
        </w:rPr>
        <w:t>nav</w:t>
      </w:r>
      <w:proofErr w:type="spellEnd"/>
      <w:r w:rsidRPr="00BF3A72">
        <w:rPr>
          <w:rFonts w:ascii="Times New Roman" w:hAnsi="Times New Roman" w:cs="Times New Roman"/>
        </w:rPr>
        <w:t xml:space="preserve"> </w:t>
      </w:r>
      <w:proofErr w:type="spellStart"/>
      <w:r w:rsidRPr="00BF3A72">
        <w:rPr>
          <w:rFonts w:ascii="Times New Roman" w:hAnsi="Times New Roman" w:cs="Times New Roman"/>
        </w:rPr>
        <w:t>pierādīts</w:t>
      </w:r>
      <w:proofErr w:type="spellEnd"/>
      <w:r w:rsidRPr="00BF3A72">
        <w:rPr>
          <w:rFonts w:ascii="Times New Roman" w:hAnsi="Times New Roman" w:cs="Times New Roman"/>
        </w:rPr>
        <w:t xml:space="preserve"> </w:t>
      </w:r>
      <w:proofErr w:type="spellStart"/>
      <w:r w:rsidRPr="00BF3A72">
        <w:rPr>
          <w:rFonts w:ascii="Times New Roman" w:hAnsi="Times New Roman" w:cs="Times New Roman"/>
        </w:rPr>
        <w:t>pretējais</w:t>
      </w:r>
      <w:proofErr w:type="spellEnd"/>
      <w:r w:rsidRPr="00BF3A72">
        <w:rPr>
          <w:rFonts w:ascii="Times New Roman" w:hAnsi="Times New Roman" w:cs="Times New Roman"/>
        </w:rPr>
        <w:t xml:space="preserve">, ka </w:t>
      </w:r>
      <w:proofErr w:type="spellStart"/>
      <w:r w:rsidRPr="00BF3A72">
        <w:rPr>
          <w:rFonts w:ascii="Times New Roman" w:hAnsi="Times New Roman" w:cs="Times New Roman"/>
        </w:rPr>
        <w:t>šī</w:t>
      </w:r>
      <w:proofErr w:type="spellEnd"/>
      <w:r w:rsidRPr="00BF3A72">
        <w:rPr>
          <w:rFonts w:ascii="Times New Roman" w:hAnsi="Times New Roman" w:cs="Times New Roman"/>
        </w:rPr>
        <w:t xml:space="preserve"> </w:t>
      </w:r>
      <w:proofErr w:type="spellStart"/>
      <w:r w:rsidRPr="00BF3A72">
        <w:rPr>
          <w:rFonts w:ascii="Times New Roman" w:hAnsi="Times New Roman" w:cs="Times New Roman"/>
        </w:rPr>
        <w:t>valsts</w:t>
      </w:r>
      <w:proofErr w:type="spellEnd"/>
      <w:r w:rsidRPr="00BF3A72">
        <w:rPr>
          <w:rFonts w:ascii="Times New Roman" w:hAnsi="Times New Roman" w:cs="Times New Roman"/>
        </w:rPr>
        <w:t xml:space="preserve"> </w:t>
      </w:r>
      <w:proofErr w:type="spellStart"/>
      <w:r w:rsidRPr="00BF3A72">
        <w:rPr>
          <w:rFonts w:ascii="Times New Roman" w:hAnsi="Times New Roman" w:cs="Times New Roman"/>
        </w:rPr>
        <w:t>ir</w:t>
      </w:r>
      <w:proofErr w:type="spellEnd"/>
      <w:r w:rsidRPr="00BF3A72">
        <w:rPr>
          <w:rFonts w:ascii="Times New Roman" w:hAnsi="Times New Roman" w:cs="Times New Roman"/>
        </w:rPr>
        <w:t xml:space="preserve"> </w:t>
      </w:r>
      <w:proofErr w:type="spellStart"/>
      <w:r w:rsidRPr="00BF3A72">
        <w:rPr>
          <w:rFonts w:ascii="Times New Roman" w:hAnsi="Times New Roman" w:cs="Times New Roman"/>
        </w:rPr>
        <w:t>tā</w:t>
      </w:r>
      <w:proofErr w:type="spellEnd"/>
      <w:r w:rsidRPr="00BF3A72">
        <w:rPr>
          <w:rFonts w:ascii="Times New Roman" w:hAnsi="Times New Roman" w:cs="Times New Roman"/>
        </w:rPr>
        <w:t xml:space="preserve">, </w:t>
      </w:r>
      <w:proofErr w:type="spellStart"/>
      <w:r w:rsidRPr="00BF3A72">
        <w:rPr>
          <w:rFonts w:ascii="Times New Roman" w:hAnsi="Times New Roman" w:cs="Times New Roman"/>
        </w:rPr>
        <w:t>kuras</w:t>
      </w:r>
      <w:proofErr w:type="spellEnd"/>
      <w:r w:rsidRPr="00BF3A72">
        <w:rPr>
          <w:rFonts w:ascii="Times New Roman" w:hAnsi="Times New Roman" w:cs="Times New Roman"/>
        </w:rPr>
        <w:t xml:space="preserve"> </w:t>
      </w:r>
      <w:proofErr w:type="spellStart"/>
      <w:r w:rsidRPr="00BF3A72">
        <w:rPr>
          <w:rFonts w:ascii="Times New Roman" w:hAnsi="Times New Roman" w:cs="Times New Roman"/>
        </w:rPr>
        <w:t>teritorijā</w:t>
      </w:r>
      <w:proofErr w:type="spellEnd"/>
      <w:r w:rsidRPr="00BF3A72">
        <w:rPr>
          <w:rFonts w:ascii="Times New Roman" w:hAnsi="Times New Roman" w:cs="Times New Roman"/>
        </w:rPr>
        <w:t xml:space="preserve"> </w:t>
      </w:r>
      <w:proofErr w:type="spellStart"/>
      <w:r w:rsidRPr="00BF3A72">
        <w:rPr>
          <w:rFonts w:ascii="Times New Roman" w:hAnsi="Times New Roman" w:cs="Times New Roman"/>
        </w:rPr>
        <w:t>pilnvarniekam</w:t>
      </w:r>
      <w:proofErr w:type="spellEnd"/>
      <w:r w:rsidRPr="00BF3A72">
        <w:rPr>
          <w:rFonts w:ascii="Times New Roman" w:hAnsi="Times New Roman" w:cs="Times New Roman"/>
        </w:rPr>
        <w:t xml:space="preserve"> </w:t>
      </w:r>
      <w:proofErr w:type="spellStart"/>
      <w:r w:rsidRPr="00BF3A72">
        <w:rPr>
          <w:rFonts w:ascii="Times New Roman" w:hAnsi="Times New Roman" w:cs="Times New Roman"/>
        </w:rPr>
        <w:t>ir</w:t>
      </w:r>
      <w:proofErr w:type="spellEnd"/>
      <w:r w:rsidRPr="00BF3A72">
        <w:rPr>
          <w:rFonts w:ascii="Times New Roman" w:hAnsi="Times New Roman" w:cs="Times New Roman"/>
        </w:rPr>
        <w:t xml:space="preserve"> </w:t>
      </w:r>
      <w:proofErr w:type="spellStart"/>
      <w:r w:rsidRPr="00BF3A72">
        <w:rPr>
          <w:rFonts w:ascii="Times New Roman" w:hAnsi="Times New Roman" w:cs="Times New Roman"/>
        </w:rPr>
        <w:t>ierastā</w:t>
      </w:r>
      <w:proofErr w:type="spellEnd"/>
      <w:r w:rsidRPr="00BF3A72">
        <w:rPr>
          <w:rFonts w:ascii="Times New Roman" w:hAnsi="Times New Roman" w:cs="Times New Roman"/>
        </w:rPr>
        <w:t xml:space="preserve"> </w:t>
      </w:r>
      <w:proofErr w:type="spellStart"/>
      <w:r w:rsidRPr="00BF3A72">
        <w:rPr>
          <w:rFonts w:ascii="Times New Roman" w:hAnsi="Times New Roman" w:cs="Times New Roman"/>
        </w:rPr>
        <w:t>uzturēšanās</w:t>
      </w:r>
      <w:proofErr w:type="spellEnd"/>
      <w:r w:rsidRPr="00BF3A72">
        <w:rPr>
          <w:rFonts w:ascii="Times New Roman" w:hAnsi="Times New Roman" w:cs="Times New Roman"/>
        </w:rPr>
        <w:t xml:space="preserve"> </w:t>
      </w:r>
      <w:proofErr w:type="spellStart"/>
      <w:r w:rsidRPr="00BF3A72">
        <w:rPr>
          <w:rFonts w:ascii="Times New Roman" w:hAnsi="Times New Roman" w:cs="Times New Roman"/>
        </w:rPr>
        <w:t>vieta</w:t>
      </w:r>
      <w:proofErr w:type="spellEnd"/>
      <w:r w:rsidRPr="00BF3A72">
        <w:rPr>
          <w:rFonts w:ascii="Times New Roman" w:hAnsi="Times New Roman" w:cs="Times New Roman"/>
        </w:rPr>
        <w:t xml:space="preserve"> (</w:t>
      </w:r>
      <w:proofErr w:type="spellStart"/>
      <w:r w:rsidRPr="00BF3A72">
        <w:rPr>
          <w:rFonts w:ascii="Times New Roman" w:hAnsi="Times New Roman" w:cs="Times New Roman"/>
        </w:rPr>
        <w:t>jēdziena</w:t>
      </w:r>
      <w:proofErr w:type="spellEnd"/>
      <w:r w:rsidRPr="00BF3A72">
        <w:rPr>
          <w:rFonts w:ascii="Times New Roman" w:hAnsi="Times New Roman" w:cs="Times New Roman"/>
        </w:rPr>
        <w:t xml:space="preserve"> </w:t>
      </w:r>
      <w:r w:rsidRPr="00BF3A72">
        <w:rPr>
          <w:rFonts w:ascii="Times New Roman" w:hAnsi="Times New Roman" w:cs="Times New Roman"/>
          <w:lang w:val="de-DE"/>
        </w:rPr>
        <w:t>„</w:t>
      </w:r>
      <w:proofErr w:type="spellStart"/>
      <w:r w:rsidRPr="00BF3A72">
        <w:rPr>
          <w:rFonts w:ascii="Times New Roman" w:hAnsi="Times New Roman" w:cs="Times New Roman"/>
          <w:lang w:val="de-DE"/>
        </w:rPr>
        <w:t>ierastā</w:t>
      </w:r>
      <w:proofErr w:type="spellEnd"/>
      <w:r w:rsidRPr="00BF3A72">
        <w:rPr>
          <w:rFonts w:ascii="Times New Roman" w:hAnsi="Times New Roman" w:cs="Times New Roman"/>
          <w:lang w:val="de-DE"/>
        </w:rPr>
        <w:t xml:space="preserve"> </w:t>
      </w:r>
      <w:proofErr w:type="spellStart"/>
      <w:r w:rsidRPr="00BF3A72">
        <w:rPr>
          <w:rFonts w:ascii="Times New Roman" w:hAnsi="Times New Roman" w:cs="Times New Roman"/>
          <w:lang w:val="de-DE"/>
        </w:rPr>
        <w:t>uzturēšanās</w:t>
      </w:r>
      <w:proofErr w:type="spellEnd"/>
      <w:r w:rsidRPr="00BF3A72">
        <w:rPr>
          <w:rFonts w:ascii="Times New Roman" w:hAnsi="Times New Roman" w:cs="Times New Roman"/>
          <w:lang w:val="de-DE"/>
        </w:rPr>
        <w:t xml:space="preserve"> </w:t>
      </w:r>
      <w:proofErr w:type="spellStart"/>
      <w:r w:rsidRPr="00BF3A72">
        <w:rPr>
          <w:rFonts w:ascii="Times New Roman" w:hAnsi="Times New Roman" w:cs="Times New Roman"/>
          <w:lang w:val="de-DE"/>
        </w:rPr>
        <w:t>vieta</w:t>
      </w:r>
      <w:proofErr w:type="spellEnd"/>
      <w:r w:rsidRPr="00BF3A72">
        <w:rPr>
          <w:rFonts w:ascii="Times New Roman" w:hAnsi="Times New Roman" w:cs="Times New Roman"/>
          <w:lang w:val="de-DE"/>
        </w:rPr>
        <w:t xml:space="preserve">“ </w:t>
      </w:r>
      <w:proofErr w:type="spellStart"/>
      <w:r w:rsidRPr="00BF3A72">
        <w:rPr>
          <w:rFonts w:ascii="Times New Roman" w:hAnsi="Times New Roman" w:cs="Times New Roman"/>
          <w:lang w:val="de-DE"/>
        </w:rPr>
        <w:t>skaidrojums</w:t>
      </w:r>
      <w:proofErr w:type="spellEnd"/>
      <w:r w:rsidRPr="00BF3A72">
        <w:rPr>
          <w:rFonts w:ascii="Times New Roman" w:hAnsi="Times New Roman" w:cs="Times New Roman"/>
        </w:rPr>
        <w:t xml:space="preserve"> dots </w:t>
      </w:r>
      <w:proofErr w:type="spellStart"/>
      <w:r w:rsidRPr="00BF3A72">
        <w:rPr>
          <w:rFonts w:ascii="Times New Roman" w:hAnsi="Times New Roman" w:cs="Times New Roman"/>
        </w:rPr>
        <w:t>Beļģijas</w:t>
      </w:r>
      <w:proofErr w:type="spellEnd"/>
      <w:r w:rsidRPr="00BF3A72">
        <w:rPr>
          <w:rFonts w:ascii="Times New Roman" w:hAnsi="Times New Roman" w:cs="Times New Roman"/>
        </w:rPr>
        <w:t xml:space="preserve"> </w:t>
      </w:r>
      <w:proofErr w:type="spellStart"/>
      <w:r w:rsidRPr="00BF3A72">
        <w:rPr>
          <w:rFonts w:ascii="Times New Roman" w:hAnsi="Times New Roman" w:cs="Times New Roman"/>
        </w:rPr>
        <w:t>Starptautisko</w:t>
      </w:r>
      <w:proofErr w:type="spellEnd"/>
      <w:r w:rsidRPr="00BF3A72">
        <w:rPr>
          <w:rFonts w:ascii="Times New Roman" w:hAnsi="Times New Roman" w:cs="Times New Roman"/>
        </w:rPr>
        <w:t xml:space="preserve"> </w:t>
      </w:r>
      <w:proofErr w:type="spellStart"/>
      <w:r w:rsidRPr="00BF3A72">
        <w:rPr>
          <w:rFonts w:ascii="Times New Roman" w:hAnsi="Times New Roman" w:cs="Times New Roman"/>
        </w:rPr>
        <w:t>privāttiesību</w:t>
      </w:r>
      <w:proofErr w:type="spellEnd"/>
      <w:r w:rsidRPr="00BF3A72">
        <w:rPr>
          <w:rFonts w:ascii="Times New Roman" w:hAnsi="Times New Roman" w:cs="Times New Roman"/>
        </w:rPr>
        <w:t xml:space="preserve"> </w:t>
      </w:r>
      <w:proofErr w:type="spellStart"/>
      <w:r w:rsidRPr="00BF3A72">
        <w:rPr>
          <w:rFonts w:ascii="Times New Roman" w:hAnsi="Times New Roman" w:cs="Times New Roman"/>
        </w:rPr>
        <w:t>likuma</w:t>
      </w:r>
      <w:proofErr w:type="spellEnd"/>
      <w:r w:rsidRPr="00BF3A72">
        <w:rPr>
          <w:rFonts w:ascii="Times New Roman" w:hAnsi="Times New Roman" w:cs="Times New Roman"/>
        </w:rPr>
        <w:t xml:space="preserve"> </w:t>
      </w:r>
      <w:proofErr w:type="gramStart"/>
      <w:r w:rsidRPr="00BF3A72">
        <w:rPr>
          <w:rFonts w:ascii="Times New Roman" w:hAnsi="Times New Roman" w:cs="Times New Roman"/>
        </w:rPr>
        <w:t>4.panta</w:t>
      </w:r>
      <w:proofErr w:type="gramEnd"/>
      <w:r w:rsidRPr="00BF3A72">
        <w:rPr>
          <w:rFonts w:ascii="Times New Roman" w:hAnsi="Times New Roman" w:cs="Times New Roman"/>
        </w:rPr>
        <w:t xml:space="preserve"> § 2).</w:t>
      </w:r>
    </w:p>
    <w:p w14:paraId="1F0E3925" w14:textId="77777777" w:rsidR="00114953" w:rsidRDefault="00114953" w:rsidP="00114953">
      <w:pPr>
        <w:ind w:firstLine="708"/>
        <w:jc w:val="both"/>
        <w:rPr>
          <w:rFonts w:ascii="Times New Roman" w:hAnsi="Times New Roman" w:cs="Times New Roman"/>
        </w:rPr>
      </w:pPr>
    </w:p>
    <w:p w14:paraId="7FB306A5" w14:textId="07552200" w:rsidR="00114953" w:rsidRPr="00BA7F97" w:rsidRDefault="00114953" w:rsidP="00114953">
      <w:pPr>
        <w:ind w:firstLine="708"/>
        <w:jc w:val="both"/>
        <w:rPr>
          <w:rFonts w:ascii="Times New Roman" w:hAnsi="Times New Roman" w:cs="Times New Roman"/>
        </w:rPr>
      </w:pPr>
      <w:proofErr w:type="spellStart"/>
      <w:r>
        <w:rPr>
          <w:rFonts w:ascii="Times New Roman" w:hAnsi="Times New Roman" w:cs="Times New Roman"/>
        </w:rPr>
        <w:t>Kā</w:t>
      </w:r>
      <w:proofErr w:type="spellEnd"/>
      <w:r>
        <w:rPr>
          <w:rFonts w:ascii="Times New Roman" w:hAnsi="Times New Roman" w:cs="Times New Roman"/>
        </w:rPr>
        <w:t xml:space="preserve"> </w:t>
      </w:r>
      <w:proofErr w:type="spellStart"/>
      <w:r>
        <w:rPr>
          <w:rFonts w:ascii="Times New Roman" w:hAnsi="Times New Roman" w:cs="Times New Roman"/>
        </w:rPr>
        <w:t>redzams</w:t>
      </w:r>
      <w:proofErr w:type="spellEnd"/>
      <w:r>
        <w:rPr>
          <w:rFonts w:ascii="Times New Roman" w:hAnsi="Times New Roman" w:cs="Times New Roman"/>
        </w:rPr>
        <w:t xml:space="preserve"> no </w:t>
      </w:r>
      <w:proofErr w:type="spellStart"/>
      <w:r>
        <w:rPr>
          <w:rFonts w:ascii="Times New Roman" w:hAnsi="Times New Roman" w:cs="Times New Roman"/>
        </w:rPr>
        <w:t>iepriekš</w:t>
      </w:r>
      <w:proofErr w:type="spellEnd"/>
      <w:r>
        <w:rPr>
          <w:rFonts w:ascii="Times New Roman" w:hAnsi="Times New Roman" w:cs="Times New Roman"/>
        </w:rPr>
        <w:t xml:space="preserve"> </w:t>
      </w:r>
      <w:proofErr w:type="spellStart"/>
      <w:r>
        <w:rPr>
          <w:rFonts w:ascii="Times New Roman" w:hAnsi="Times New Roman" w:cs="Times New Roman"/>
        </w:rPr>
        <w:t>minetā</w:t>
      </w:r>
      <w:proofErr w:type="spellEnd"/>
      <w:r>
        <w:rPr>
          <w:rFonts w:ascii="Times New Roman" w:hAnsi="Times New Roman" w:cs="Times New Roman"/>
        </w:rPr>
        <w:t xml:space="preserve">, </w:t>
      </w:r>
      <w:proofErr w:type="spellStart"/>
      <w:r>
        <w:rPr>
          <w:rFonts w:ascii="Times New Roman" w:hAnsi="Times New Roman" w:cs="Times New Roman"/>
        </w:rPr>
        <w:t>tā</w:t>
      </w:r>
      <w:proofErr w:type="spellEnd"/>
      <w:r>
        <w:rPr>
          <w:rFonts w:ascii="Times New Roman" w:hAnsi="Times New Roman" w:cs="Times New Roman"/>
        </w:rPr>
        <w:t xml:space="preserve"> </w:t>
      </w:r>
      <w:proofErr w:type="spellStart"/>
      <w:r>
        <w:rPr>
          <w:rFonts w:ascii="Times New Roman" w:hAnsi="Times New Roman" w:cs="Times New Roman"/>
        </w:rPr>
        <w:t>kā</w:t>
      </w:r>
      <w:proofErr w:type="spellEnd"/>
      <w:r>
        <w:rPr>
          <w:rFonts w:ascii="Times New Roman" w:hAnsi="Times New Roman" w:cs="Times New Roman"/>
        </w:rPr>
        <w:t xml:space="preserve"> Roma I </w:t>
      </w:r>
      <w:proofErr w:type="spellStart"/>
      <w:r>
        <w:rPr>
          <w:rFonts w:ascii="Times New Roman" w:hAnsi="Times New Roman" w:cs="Times New Roman"/>
        </w:rPr>
        <w:t>Regula</w:t>
      </w:r>
      <w:proofErr w:type="spellEnd"/>
      <w:r>
        <w:rPr>
          <w:rFonts w:ascii="Times New Roman" w:hAnsi="Times New Roman" w:cs="Times New Roman"/>
        </w:rPr>
        <w:t xml:space="preserve"> </w:t>
      </w:r>
      <w:proofErr w:type="spellStart"/>
      <w:r>
        <w:rPr>
          <w:rFonts w:ascii="Times New Roman" w:hAnsi="Times New Roman" w:cs="Times New Roman"/>
        </w:rPr>
        <w:t>nav</w:t>
      </w:r>
      <w:proofErr w:type="spellEnd"/>
      <w:r>
        <w:rPr>
          <w:rFonts w:ascii="Times New Roman" w:hAnsi="Times New Roman" w:cs="Times New Roman"/>
        </w:rPr>
        <w:t xml:space="preserve"> </w:t>
      </w:r>
      <w:proofErr w:type="spellStart"/>
      <w:r>
        <w:rPr>
          <w:rFonts w:ascii="Times New Roman" w:hAnsi="Times New Roman" w:cs="Times New Roman"/>
        </w:rPr>
        <w:t>piemērojama</w:t>
      </w:r>
      <w:proofErr w:type="spellEnd"/>
      <w:r>
        <w:rPr>
          <w:rFonts w:ascii="Times New Roman" w:hAnsi="Times New Roman" w:cs="Times New Roman"/>
        </w:rPr>
        <w:t xml:space="preserve"> </w:t>
      </w:r>
      <w:proofErr w:type="spellStart"/>
      <w:r w:rsidRPr="00BA7F97">
        <w:rPr>
          <w:rFonts w:ascii="Times New Roman" w:hAnsi="Times New Roman" w:cs="Times New Roman"/>
        </w:rPr>
        <w:t>pilnvarām</w:t>
      </w:r>
      <w:proofErr w:type="spellEnd"/>
      <w:r w:rsidRPr="00BA7F97">
        <w:rPr>
          <w:rFonts w:ascii="Times New Roman" w:hAnsi="Times New Roman" w:cs="Times New Roman"/>
        </w:rPr>
        <w:t xml:space="preserve">, </w:t>
      </w:r>
      <w:proofErr w:type="spellStart"/>
      <w:r w:rsidRPr="00BA7F97">
        <w:rPr>
          <w:rFonts w:ascii="Times New Roman" w:hAnsi="Times New Roman" w:cs="Times New Roman"/>
        </w:rPr>
        <w:t>tad</w:t>
      </w:r>
      <w:proofErr w:type="spellEnd"/>
      <w:r w:rsidRPr="00BA7F97">
        <w:rPr>
          <w:rFonts w:ascii="Times New Roman" w:hAnsi="Times New Roman" w:cs="Times New Roman"/>
        </w:rPr>
        <w:t xml:space="preserve"> </w:t>
      </w:r>
      <w:proofErr w:type="spellStart"/>
      <w:r w:rsidRPr="00BA7F97">
        <w:rPr>
          <w:rFonts w:ascii="Times New Roman" w:hAnsi="Times New Roman" w:cs="Times New Roman"/>
        </w:rPr>
        <w:t>nacionālajās</w:t>
      </w:r>
      <w:proofErr w:type="spellEnd"/>
      <w:r w:rsidRPr="00BA7F97">
        <w:rPr>
          <w:rFonts w:ascii="Times New Roman" w:hAnsi="Times New Roman" w:cs="Times New Roman"/>
        </w:rPr>
        <w:t xml:space="preserve"> </w:t>
      </w:r>
      <w:proofErr w:type="spellStart"/>
      <w:r w:rsidRPr="00BA7F97">
        <w:rPr>
          <w:rFonts w:ascii="Times New Roman" w:hAnsi="Times New Roman" w:cs="Times New Roman"/>
        </w:rPr>
        <w:t>kolīziju</w:t>
      </w:r>
      <w:proofErr w:type="spellEnd"/>
      <w:r w:rsidRPr="00BA7F97">
        <w:rPr>
          <w:rFonts w:ascii="Times New Roman" w:hAnsi="Times New Roman" w:cs="Times New Roman"/>
        </w:rPr>
        <w:t xml:space="preserve"> </w:t>
      </w:r>
      <w:proofErr w:type="spellStart"/>
      <w:r w:rsidRPr="00BA7F97">
        <w:rPr>
          <w:rFonts w:ascii="Times New Roman" w:hAnsi="Times New Roman" w:cs="Times New Roman"/>
        </w:rPr>
        <w:t>tiesībās</w:t>
      </w:r>
      <w:proofErr w:type="spellEnd"/>
      <w:r w:rsidRPr="00BA7F97">
        <w:rPr>
          <w:rFonts w:ascii="Times New Roman" w:hAnsi="Times New Roman" w:cs="Times New Roman"/>
        </w:rPr>
        <w:t xml:space="preserve"> </w:t>
      </w:r>
      <w:proofErr w:type="spellStart"/>
      <w:r w:rsidRPr="00BA7F97">
        <w:rPr>
          <w:rFonts w:ascii="Times New Roman" w:hAnsi="Times New Roman" w:cs="Times New Roman"/>
        </w:rPr>
        <w:t>pilnvarām</w:t>
      </w:r>
      <w:proofErr w:type="spellEnd"/>
      <w:r w:rsidRPr="00BA7F97">
        <w:rPr>
          <w:rFonts w:ascii="Times New Roman" w:hAnsi="Times New Roman" w:cs="Times New Roman"/>
        </w:rPr>
        <w:t xml:space="preserve"> </w:t>
      </w:r>
      <w:proofErr w:type="spellStart"/>
      <w:r w:rsidRPr="00BA7F97">
        <w:rPr>
          <w:rFonts w:ascii="Times New Roman" w:hAnsi="Times New Roman" w:cs="Times New Roman"/>
        </w:rPr>
        <w:t>ir</w:t>
      </w:r>
      <w:proofErr w:type="spellEnd"/>
      <w:r w:rsidRPr="00BA7F97">
        <w:rPr>
          <w:rFonts w:ascii="Times New Roman" w:hAnsi="Times New Roman" w:cs="Times New Roman"/>
        </w:rPr>
        <w:t xml:space="preserve"> </w:t>
      </w:r>
      <w:proofErr w:type="spellStart"/>
      <w:r w:rsidRPr="00BA7F97">
        <w:rPr>
          <w:rFonts w:ascii="Times New Roman" w:hAnsi="Times New Roman" w:cs="Times New Roman"/>
        </w:rPr>
        <w:t>jāatrod</w:t>
      </w:r>
      <w:proofErr w:type="spellEnd"/>
      <w:r w:rsidRPr="00BA7F97">
        <w:rPr>
          <w:rFonts w:ascii="Times New Roman" w:hAnsi="Times New Roman" w:cs="Times New Roman"/>
        </w:rPr>
        <w:t xml:space="preserve"> </w:t>
      </w:r>
      <w:proofErr w:type="spellStart"/>
      <w:r w:rsidRPr="00BA7F97">
        <w:rPr>
          <w:rFonts w:ascii="Times New Roman" w:hAnsi="Times New Roman" w:cs="Times New Roman"/>
        </w:rPr>
        <w:t>pašām</w:t>
      </w:r>
      <w:proofErr w:type="spellEnd"/>
      <w:r w:rsidRPr="00BA7F97">
        <w:rPr>
          <w:rFonts w:ascii="Times New Roman" w:hAnsi="Times New Roman" w:cs="Times New Roman"/>
        </w:rPr>
        <w:t xml:space="preserve"> </w:t>
      </w:r>
      <w:proofErr w:type="spellStart"/>
      <w:r w:rsidRPr="00BA7F97">
        <w:rPr>
          <w:rFonts w:ascii="Times New Roman" w:hAnsi="Times New Roman" w:cs="Times New Roman"/>
        </w:rPr>
        <w:t>savs</w:t>
      </w:r>
      <w:proofErr w:type="spellEnd"/>
      <w:r w:rsidRPr="00BA7F97">
        <w:rPr>
          <w:rFonts w:ascii="Times New Roman" w:hAnsi="Times New Roman" w:cs="Times New Roman"/>
        </w:rPr>
        <w:t xml:space="preserve"> </w:t>
      </w:r>
      <w:proofErr w:type="spellStart"/>
      <w:r w:rsidRPr="00BA7F97">
        <w:rPr>
          <w:rFonts w:ascii="Times New Roman" w:hAnsi="Times New Roman" w:cs="Times New Roman"/>
        </w:rPr>
        <w:t>statūts</w:t>
      </w:r>
      <w:proofErr w:type="spellEnd"/>
      <w:r w:rsidRPr="00BA7F97">
        <w:rPr>
          <w:rFonts w:ascii="Times New Roman" w:hAnsi="Times New Roman" w:cs="Times New Roman"/>
        </w:rPr>
        <w:t xml:space="preserve">. </w:t>
      </w:r>
    </w:p>
    <w:p w14:paraId="1212EFB7" w14:textId="77777777" w:rsidR="00114953" w:rsidRDefault="00114953" w:rsidP="00114953">
      <w:pPr>
        <w:ind w:firstLine="708"/>
        <w:jc w:val="both"/>
        <w:rPr>
          <w:rFonts w:ascii="Times New Roman" w:hAnsi="Times New Roman" w:cs="Times New Roman"/>
        </w:rPr>
      </w:pPr>
      <w:proofErr w:type="spellStart"/>
      <w:r w:rsidRPr="00BA7F97">
        <w:rPr>
          <w:rFonts w:ascii="Times New Roman" w:hAnsi="Times New Roman" w:cs="Times New Roman"/>
          <w:b/>
          <w:u w:val="single"/>
        </w:rPr>
        <w:t>Vācu</w:t>
      </w:r>
      <w:proofErr w:type="spellEnd"/>
      <w:r w:rsidRPr="00BA7F97">
        <w:rPr>
          <w:rFonts w:ascii="Times New Roman" w:hAnsi="Times New Roman" w:cs="Times New Roman"/>
          <w:u w:val="single"/>
        </w:rPr>
        <w:t xml:space="preserve"> SPT </w:t>
      </w:r>
      <w:proofErr w:type="spellStart"/>
      <w:r w:rsidRPr="00BA7F97">
        <w:rPr>
          <w:rFonts w:ascii="Times New Roman" w:hAnsi="Times New Roman" w:cs="Times New Roman"/>
          <w:u w:val="single"/>
        </w:rPr>
        <w:t>zinātnē</w:t>
      </w:r>
      <w:proofErr w:type="spellEnd"/>
      <w:r w:rsidRPr="00BA7F97">
        <w:rPr>
          <w:rFonts w:ascii="Times New Roman" w:hAnsi="Times New Roman" w:cs="Times New Roman"/>
        </w:rPr>
        <w:t xml:space="preserve"> </w:t>
      </w:r>
      <w:proofErr w:type="spellStart"/>
      <w:r w:rsidRPr="00BA7F97">
        <w:rPr>
          <w:rFonts w:ascii="Times New Roman" w:hAnsi="Times New Roman" w:cs="Times New Roman"/>
        </w:rPr>
        <w:t>šobrīd</w:t>
      </w:r>
      <w:proofErr w:type="spellEnd"/>
      <w:r w:rsidRPr="00BA7F97">
        <w:rPr>
          <w:rFonts w:ascii="Times New Roman" w:hAnsi="Times New Roman" w:cs="Times New Roman"/>
        </w:rPr>
        <w:t xml:space="preserve"> </w:t>
      </w:r>
      <w:proofErr w:type="spellStart"/>
      <w:r w:rsidRPr="00BA7F97">
        <w:rPr>
          <w:rFonts w:ascii="Times New Roman" w:hAnsi="Times New Roman" w:cs="Times New Roman"/>
        </w:rPr>
        <w:t>izdala</w:t>
      </w:r>
      <w:proofErr w:type="spellEnd"/>
      <w:r w:rsidRPr="00BA7F97">
        <w:rPr>
          <w:rFonts w:ascii="Times New Roman" w:hAnsi="Times New Roman" w:cs="Times New Roman"/>
        </w:rPr>
        <w:t xml:space="preserve"> </w:t>
      </w:r>
      <w:proofErr w:type="spellStart"/>
      <w:r w:rsidRPr="00BA7F97">
        <w:rPr>
          <w:rFonts w:ascii="Times New Roman" w:hAnsi="Times New Roman" w:cs="Times New Roman"/>
        </w:rPr>
        <w:t>divus</w:t>
      </w:r>
      <w:proofErr w:type="spellEnd"/>
      <w:r w:rsidRPr="00BA7F97">
        <w:rPr>
          <w:rFonts w:ascii="Times New Roman" w:hAnsi="Times New Roman" w:cs="Times New Roman"/>
        </w:rPr>
        <w:t xml:space="preserve"> </w:t>
      </w:r>
      <w:proofErr w:type="spellStart"/>
      <w:r w:rsidRPr="00BA7F97">
        <w:rPr>
          <w:rFonts w:ascii="Times New Roman" w:hAnsi="Times New Roman" w:cs="Times New Roman"/>
          <w:b/>
        </w:rPr>
        <w:t>pilnvaru</w:t>
      </w:r>
      <w:proofErr w:type="spellEnd"/>
      <w:r w:rsidRPr="00BA7F97">
        <w:rPr>
          <w:rFonts w:ascii="Times New Roman" w:hAnsi="Times New Roman" w:cs="Times New Roman"/>
        </w:rPr>
        <w:t xml:space="preserve"> </w:t>
      </w:r>
      <w:proofErr w:type="spellStart"/>
      <w:r w:rsidRPr="00BA7F97">
        <w:rPr>
          <w:rFonts w:ascii="Times New Roman" w:hAnsi="Times New Roman" w:cs="Times New Roman"/>
        </w:rPr>
        <w:t>piesaistu</w:t>
      </w:r>
      <w:proofErr w:type="spellEnd"/>
      <w:r w:rsidRPr="00BA7F97">
        <w:rPr>
          <w:rFonts w:ascii="Times New Roman" w:hAnsi="Times New Roman" w:cs="Times New Roman"/>
        </w:rPr>
        <w:t xml:space="preserve"> </w:t>
      </w:r>
      <w:proofErr w:type="spellStart"/>
      <w:r w:rsidRPr="00BA7F97">
        <w:rPr>
          <w:rFonts w:ascii="Times New Roman" w:hAnsi="Times New Roman" w:cs="Times New Roman"/>
        </w:rPr>
        <w:t>veidus</w:t>
      </w:r>
      <w:proofErr w:type="spellEnd"/>
      <w:r w:rsidRPr="00BA7F97">
        <w:rPr>
          <w:rFonts w:ascii="Times New Roman" w:hAnsi="Times New Roman" w:cs="Times New Roman"/>
        </w:rPr>
        <w:t xml:space="preserve"> : 1) </w:t>
      </w:r>
      <w:proofErr w:type="spellStart"/>
      <w:r w:rsidRPr="00BA7F97">
        <w:rPr>
          <w:rFonts w:ascii="Times New Roman" w:hAnsi="Times New Roman" w:cs="Times New Roman"/>
        </w:rPr>
        <w:t>subjektīvo</w:t>
      </w:r>
      <w:proofErr w:type="spellEnd"/>
      <w:r w:rsidRPr="00BA7F97">
        <w:rPr>
          <w:rFonts w:ascii="Times New Roman" w:hAnsi="Times New Roman" w:cs="Times New Roman"/>
        </w:rPr>
        <w:t xml:space="preserve"> </w:t>
      </w:r>
      <w:proofErr w:type="spellStart"/>
      <w:r w:rsidRPr="00BA7F97">
        <w:rPr>
          <w:rFonts w:ascii="Times New Roman" w:hAnsi="Times New Roman" w:cs="Times New Roman"/>
        </w:rPr>
        <w:t>piesaisti</w:t>
      </w:r>
      <w:proofErr w:type="spellEnd"/>
      <w:r w:rsidRPr="00BA7F97">
        <w:rPr>
          <w:rFonts w:ascii="Times New Roman" w:hAnsi="Times New Roman" w:cs="Times New Roman"/>
        </w:rPr>
        <w:t xml:space="preserve"> (</w:t>
      </w:r>
      <w:proofErr w:type="spellStart"/>
      <w:r w:rsidRPr="00BA7F97">
        <w:rPr>
          <w:rFonts w:ascii="Times New Roman" w:hAnsi="Times New Roman" w:cs="Times New Roman"/>
        </w:rPr>
        <w:t>pušu</w:t>
      </w:r>
      <w:proofErr w:type="spellEnd"/>
      <w:r w:rsidRPr="00BA7F97">
        <w:rPr>
          <w:rFonts w:ascii="Times New Roman" w:hAnsi="Times New Roman" w:cs="Times New Roman"/>
        </w:rPr>
        <w:t xml:space="preserve"> </w:t>
      </w:r>
      <w:proofErr w:type="spellStart"/>
      <w:r w:rsidRPr="00BA7F97">
        <w:rPr>
          <w:rFonts w:ascii="Times New Roman" w:hAnsi="Times New Roman" w:cs="Times New Roman"/>
        </w:rPr>
        <w:t>gribas</w:t>
      </w:r>
      <w:proofErr w:type="spellEnd"/>
      <w:r w:rsidRPr="00BA7F97">
        <w:rPr>
          <w:rFonts w:ascii="Times New Roman" w:hAnsi="Times New Roman" w:cs="Times New Roman"/>
        </w:rPr>
        <w:t xml:space="preserve"> </w:t>
      </w:r>
      <w:proofErr w:type="spellStart"/>
      <w:r w:rsidRPr="00BA7F97">
        <w:rPr>
          <w:rFonts w:ascii="Times New Roman" w:hAnsi="Times New Roman" w:cs="Times New Roman"/>
        </w:rPr>
        <w:t>autonomija</w:t>
      </w:r>
      <w:proofErr w:type="spellEnd"/>
      <w:r w:rsidRPr="00BA7F97">
        <w:rPr>
          <w:rFonts w:ascii="Times New Roman" w:hAnsi="Times New Roman" w:cs="Times New Roman"/>
        </w:rPr>
        <w:t xml:space="preserve"> </w:t>
      </w:r>
      <w:proofErr w:type="spellStart"/>
      <w:r w:rsidRPr="00BA7F97">
        <w:rPr>
          <w:rFonts w:ascii="Times New Roman" w:hAnsi="Times New Roman" w:cs="Times New Roman"/>
        </w:rPr>
        <w:t>jeb</w:t>
      </w:r>
      <w:proofErr w:type="spellEnd"/>
      <w:r w:rsidRPr="00BA7F97">
        <w:rPr>
          <w:rFonts w:ascii="Times New Roman" w:hAnsi="Times New Roman" w:cs="Times New Roman"/>
        </w:rPr>
        <w:t xml:space="preserve"> </w:t>
      </w:r>
      <w:proofErr w:type="spellStart"/>
      <w:r w:rsidRPr="00BA7F97">
        <w:rPr>
          <w:rFonts w:ascii="Times New Roman" w:hAnsi="Times New Roman" w:cs="Times New Roman"/>
        </w:rPr>
        <w:t>tiesības</w:t>
      </w:r>
      <w:proofErr w:type="spellEnd"/>
      <w:r w:rsidRPr="00BA7F97">
        <w:rPr>
          <w:rFonts w:ascii="Times New Roman" w:hAnsi="Times New Roman" w:cs="Times New Roman"/>
        </w:rPr>
        <w:t xml:space="preserve"> </w:t>
      </w:r>
      <w:proofErr w:type="spellStart"/>
      <w:r w:rsidRPr="00BA7F97">
        <w:rPr>
          <w:rFonts w:ascii="Times New Roman" w:hAnsi="Times New Roman" w:cs="Times New Roman"/>
        </w:rPr>
        <w:t>izvēlēties</w:t>
      </w:r>
      <w:proofErr w:type="spellEnd"/>
      <w:r w:rsidRPr="00BA7F97">
        <w:rPr>
          <w:rFonts w:ascii="Times New Roman" w:hAnsi="Times New Roman" w:cs="Times New Roman"/>
        </w:rPr>
        <w:t xml:space="preserve"> </w:t>
      </w:r>
      <w:proofErr w:type="spellStart"/>
      <w:r w:rsidRPr="00BA7F97">
        <w:rPr>
          <w:rFonts w:ascii="Times New Roman" w:hAnsi="Times New Roman" w:cs="Times New Roman"/>
        </w:rPr>
        <w:t>piemērojamo</w:t>
      </w:r>
      <w:proofErr w:type="spellEnd"/>
      <w:r w:rsidRPr="00BA7F97">
        <w:rPr>
          <w:rFonts w:ascii="Times New Roman" w:hAnsi="Times New Roman" w:cs="Times New Roman"/>
        </w:rPr>
        <w:t xml:space="preserve"> </w:t>
      </w:r>
      <w:proofErr w:type="spellStart"/>
      <w:r w:rsidRPr="00BA7F97">
        <w:rPr>
          <w:rFonts w:ascii="Times New Roman" w:hAnsi="Times New Roman" w:cs="Times New Roman"/>
        </w:rPr>
        <w:t>likumu</w:t>
      </w:r>
      <w:proofErr w:type="spellEnd"/>
      <w:r w:rsidRPr="00BA7F97">
        <w:rPr>
          <w:rFonts w:ascii="Times New Roman" w:hAnsi="Times New Roman" w:cs="Times New Roman"/>
        </w:rPr>
        <w:t>) un</w:t>
      </w:r>
      <w:r>
        <w:rPr>
          <w:rFonts w:ascii="Times New Roman" w:hAnsi="Times New Roman" w:cs="Times New Roman"/>
        </w:rPr>
        <w:t xml:space="preserve"> 2) </w:t>
      </w:r>
      <w:proofErr w:type="spellStart"/>
      <w:r>
        <w:rPr>
          <w:rFonts w:ascii="Times New Roman" w:hAnsi="Times New Roman" w:cs="Times New Roman"/>
        </w:rPr>
        <w:t>objektīvo</w:t>
      </w:r>
      <w:proofErr w:type="spellEnd"/>
      <w:r>
        <w:rPr>
          <w:rFonts w:ascii="Times New Roman" w:hAnsi="Times New Roman" w:cs="Times New Roman"/>
        </w:rPr>
        <w:t xml:space="preserve"> </w:t>
      </w:r>
      <w:proofErr w:type="spellStart"/>
      <w:r>
        <w:rPr>
          <w:rFonts w:ascii="Times New Roman" w:hAnsi="Times New Roman" w:cs="Times New Roman"/>
        </w:rPr>
        <w:t>piesaisti</w:t>
      </w:r>
      <w:proofErr w:type="spellEnd"/>
      <w:r>
        <w:rPr>
          <w:rFonts w:ascii="Times New Roman" w:hAnsi="Times New Roman" w:cs="Times New Roman"/>
        </w:rPr>
        <w:t xml:space="preserve">. </w:t>
      </w:r>
    </w:p>
    <w:p w14:paraId="7B82F80C" w14:textId="77777777" w:rsidR="00114953" w:rsidRDefault="00114953" w:rsidP="00114953">
      <w:pPr>
        <w:ind w:firstLine="708"/>
        <w:jc w:val="both"/>
        <w:rPr>
          <w:rFonts w:ascii="Times New Roman" w:hAnsi="Times New Roman" w:cs="Times New Roman"/>
        </w:rPr>
      </w:pPr>
      <w:proofErr w:type="spellStart"/>
      <w:r w:rsidRPr="008B2961">
        <w:rPr>
          <w:rFonts w:ascii="Times New Roman" w:hAnsi="Times New Roman" w:cs="Times New Roman"/>
          <w:b/>
        </w:rPr>
        <w:t>Subjektīvā</w:t>
      </w:r>
      <w:proofErr w:type="spellEnd"/>
      <w:r w:rsidRPr="008B2961">
        <w:rPr>
          <w:rFonts w:ascii="Times New Roman" w:hAnsi="Times New Roman" w:cs="Times New Roman"/>
          <w:b/>
        </w:rPr>
        <w:t xml:space="preserve"> </w:t>
      </w:r>
      <w:proofErr w:type="spellStart"/>
      <w:proofErr w:type="gramStart"/>
      <w:r w:rsidRPr="008B2961">
        <w:rPr>
          <w:rFonts w:ascii="Times New Roman" w:hAnsi="Times New Roman" w:cs="Times New Roman"/>
          <w:b/>
        </w:rPr>
        <w:t>piesaiste</w:t>
      </w:r>
      <w:proofErr w:type="spellEnd"/>
      <w:r w:rsidRPr="008B2961">
        <w:rPr>
          <w:rFonts w:ascii="Times New Roman" w:hAnsi="Times New Roman" w:cs="Times New Roman"/>
          <w:b/>
        </w:rPr>
        <w:t>:</w:t>
      </w:r>
      <w:proofErr w:type="gramEnd"/>
      <w:r>
        <w:rPr>
          <w:rFonts w:ascii="Times New Roman" w:hAnsi="Times New Roman" w:cs="Times New Roman"/>
        </w:rPr>
        <w:t xml:space="preserve"> tas </w:t>
      </w:r>
      <w:proofErr w:type="spellStart"/>
      <w:r>
        <w:rPr>
          <w:rFonts w:ascii="Times New Roman" w:hAnsi="Times New Roman" w:cs="Times New Roman"/>
        </w:rPr>
        <w:t>nozīmē</w:t>
      </w:r>
      <w:proofErr w:type="spellEnd"/>
      <w:r>
        <w:rPr>
          <w:rFonts w:ascii="Times New Roman" w:hAnsi="Times New Roman" w:cs="Times New Roman"/>
        </w:rPr>
        <w:t xml:space="preserve">, ka </w:t>
      </w:r>
      <w:proofErr w:type="spellStart"/>
      <w:r>
        <w:rPr>
          <w:rFonts w:ascii="Times New Roman" w:hAnsi="Times New Roman" w:cs="Times New Roman"/>
        </w:rPr>
        <w:t>puses</w:t>
      </w:r>
      <w:proofErr w:type="spellEnd"/>
      <w:r>
        <w:rPr>
          <w:rFonts w:ascii="Times New Roman" w:hAnsi="Times New Roman" w:cs="Times New Roman"/>
        </w:rPr>
        <w:t xml:space="preserve"> </w:t>
      </w:r>
      <w:proofErr w:type="spellStart"/>
      <w:r>
        <w:rPr>
          <w:rFonts w:ascii="Times New Roman" w:hAnsi="Times New Roman" w:cs="Times New Roman"/>
        </w:rPr>
        <w:t>pašas</w:t>
      </w:r>
      <w:proofErr w:type="spellEnd"/>
      <w:r>
        <w:rPr>
          <w:rFonts w:ascii="Times New Roman" w:hAnsi="Times New Roman" w:cs="Times New Roman"/>
        </w:rPr>
        <w:t xml:space="preserve"> </w:t>
      </w:r>
      <w:proofErr w:type="spellStart"/>
      <w:r>
        <w:rPr>
          <w:rFonts w:ascii="Times New Roman" w:hAnsi="Times New Roman" w:cs="Times New Roman"/>
        </w:rPr>
        <w:t>drīkst</w:t>
      </w:r>
      <w:proofErr w:type="spellEnd"/>
      <w:r>
        <w:rPr>
          <w:rFonts w:ascii="Times New Roman" w:hAnsi="Times New Roman" w:cs="Times New Roman"/>
        </w:rPr>
        <w:t xml:space="preserve"> </w:t>
      </w:r>
      <w:proofErr w:type="spellStart"/>
      <w:r>
        <w:rPr>
          <w:rFonts w:ascii="Times New Roman" w:hAnsi="Times New Roman" w:cs="Times New Roman"/>
        </w:rPr>
        <w:t>izvēlēties</w:t>
      </w:r>
      <w:proofErr w:type="spellEnd"/>
      <w:r>
        <w:rPr>
          <w:rFonts w:ascii="Times New Roman" w:hAnsi="Times New Roman" w:cs="Times New Roman"/>
        </w:rPr>
        <w:t xml:space="preserve"> </w:t>
      </w:r>
      <w:proofErr w:type="spellStart"/>
      <w:r>
        <w:rPr>
          <w:rFonts w:ascii="Times New Roman" w:hAnsi="Times New Roman" w:cs="Times New Roman"/>
        </w:rPr>
        <w:t>pilnvarai</w:t>
      </w:r>
      <w:proofErr w:type="spellEnd"/>
      <w:r>
        <w:rPr>
          <w:rFonts w:ascii="Times New Roman" w:hAnsi="Times New Roman" w:cs="Times New Roman"/>
        </w:rPr>
        <w:t xml:space="preserve"> </w:t>
      </w:r>
      <w:proofErr w:type="spellStart"/>
      <w:r>
        <w:rPr>
          <w:rFonts w:ascii="Times New Roman" w:hAnsi="Times New Roman" w:cs="Times New Roman"/>
        </w:rPr>
        <w:t>piemērojamo</w:t>
      </w:r>
      <w:proofErr w:type="spellEnd"/>
      <w:r>
        <w:rPr>
          <w:rFonts w:ascii="Times New Roman" w:hAnsi="Times New Roman" w:cs="Times New Roman"/>
        </w:rPr>
        <w:t xml:space="preserve"> </w:t>
      </w:r>
      <w:proofErr w:type="spellStart"/>
      <w:r>
        <w:rPr>
          <w:rFonts w:ascii="Times New Roman" w:hAnsi="Times New Roman" w:cs="Times New Roman"/>
        </w:rPr>
        <w:t>likumu</w:t>
      </w:r>
      <w:proofErr w:type="spellEnd"/>
      <w:r>
        <w:rPr>
          <w:rFonts w:ascii="Times New Roman" w:hAnsi="Times New Roman" w:cs="Times New Roman"/>
        </w:rPr>
        <w:t xml:space="preserve">. Tas var </w:t>
      </w:r>
      <w:proofErr w:type="spellStart"/>
      <w:r>
        <w:rPr>
          <w:rFonts w:ascii="Times New Roman" w:hAnsi="Times New Roman" w:cs="Times New Roman"/>
        </w:rPr>
        <w:t>notikt</w:t>
      </w:r>
      <w:proofErr w:type="spellEnd"/>
      <w:r>
        <w:rPr>
          <w:rFonts w:ascii="Times New Roman" w:hAnsi="Times New Roman" w:cs="Times New Roman"/>
        </w:rPr>
        <w:t xml:space="preserve"> </w:t>
      </w:r>
      <w:proofErr w:type="spellStart"/>
      <w:r>
        <w:rPr>
          <w:rFonts w:ascii="Times New Roman" w:hAnsi="Times New Roman" w:cs="Times New Roman"/>
        </w:rPr>
        <w:t>vai</w:t>
      </w:r>
      <w:proofErr w:type="spellEnd"/>
      <w:r>
        <w:rPr>
          <w:rFonts w:ascii="Times New Roman" w:hAnsi="Times New Roman" w:cs="Times New Roman"/>
        </w:rPr>
        <w:t xml:space="preserve"> nu </w:t>
      </w:r>
      <w:proofErr w:type="spellStart"/>
      <w:r>
        <w:rPr>
          <w:rFonts w:ascii="Times New Roman" w:hAnsi="Times New Roman" w:cs="Times New Roman"/>
        </w:rPr>
        <w:t>konkrēti</w:t>
      </w:r>
      <w:proofErr w:type="spellEnd"/>
      <w:r>
        <w:rPr>
          <w:rFonts w:ascii="Times New Roman" w:hAnsi="Times New Roman" w:cs="Times New Roman"/>
        </w:rPr>
        <w:t xml:space="preserve"> </w:t>
      </w:r>
      <w:proofErr w:type="spellStart"/>
      <w:r>
        <w:rPr>
          <w:rFonts w:ascii="Times New Roman" w:hAnsi="Times New Roman" w:cs="Times New Roman"/>
        </w:rPr>
        <w:t>izteiktā</w:t>
      </w:r>
      <w:proofErr w:type="spellEnd"/>
      <w:r>
        <w:rPr>
          <w:rFonts w:ascii="Times New Roman" w:hAnsi="Times New Roman" w:cs="Times New Roman"/>
        </w:rPr>
        <w:t xml:space="preserve"> </w:t>
      </w:r>
      <w:proofErr w:type="spellStart"/>
      <w:r>
        <w:rPr>
          <w:rFonts w:ascii="Times New Roman" w:hAnsi="Times New Roman" w:cs="Times New Roman"/>
        </w:rPr>
        <w:t>formā</w:t>
      </w:r>
      <w:proofErr w:type="spellEnd"/>
      <w:r>
        <w:rPr>
          <w:rFonts w:ascii="Times New Roman" w:hAnsi="Times New Roman" w:cs="Times New Roman"/>
        </w:rPr>
        <w:t xml:space="preserve">, </w:t>
      </w:r>
      <w:proofErr w:type="spellStart"/>
      <w:r>
        <w:rPr>
          <w:rFonts w:ascii="Times New Roman" w:hAnsi="Times New Roman" w:cs="Times New Roman"/>
        </w:rPr>
        <w:t>vai</w:t>
      </w:r>
      <w:proofErr w:type="spellEnd"/>
      <w:r>
        <w:rPr>
          <w:rFonts w:ascii="Times New Roman" w:hAnsi="Times New Roman" w:cs="Times New Roman"/>
        </w:rPr>
        <w:t xml:space="preserve"> </w:t>
      </w:r>
      <w:proofErr w:type="spellStart"/>
      <w:r>
        <w:rPr>
          <w:rFonts w:ascii="Times New Roman" w:hAnsi="Times New Roman" w:cs="Times New Roman"/>
        </w:rPr>
        <w:t>arī</w:t>
      </w:r>
      <w:proofErr w:type="spellEnd"/>
      <w:r>
        <w:rPr>
          <w:rFonts w:ascii="Times New Roman" w:hAnsi="Times New Roman" w:cs="Times New Roman"/>
        </w:rPr>
        <w:t xml:space="preserve"> </w:t>
      </w:r>
      <w:proofErr w:type="spellStart"/>
      <w:r>
        <w:rPr>
          <w:rFonts w:ascii="Times New Roman" w:hAnsi="Times New Roman" w:cs="Times New Roman"/>
        </w:rPr>
        <w:t>ar</w:t>
      </w:r>
      <w:proofErr w:type="spellEnd"/>
      <w:r>
        <w:rPr>
          <w:rFonts w:ascii="Times New Roman" w:hAnsi="Times New Roman" w:cs="Times New Roman"/>
        </w:rPr>
        <w:t xml:space="preserve"> </w:t>
      </w:r>
      <w:proofErr w:type="spellStart"/>
      <w:r>
        <w:rPr>
          <w:rFonts w:ascii="Times New Roman" w:hAnsi="Times New Roman" w:cs="Times New Roman"/>
        </w:rPr>
        <w:t>konkludentām</w:t>
      </w:r>
      <w:proofErr w:type="spellEnd"/>
      <w:r>
        <w:rPr>
          <w:rFonts w:ascii="Times New Roman" w:hAnsi="Times New Roman" w:cs="Times New Roman"/>
        </w:rPr>
        <w:t xml:space="preserve"> </w:t>
      </w:r>
      <w:proofErr w:type="spellStart"/>
      <w:r>
        <w:rPr>
          <w:rFonts w:ascii="Times New Roman" w:hAnsi="Times New Roman" w:cs="Times New Roman"/>
        </w:rPr>
        <w:t>darbībām</w:t>
      </w:r>
      <w:proofErr w:type="spellEnd"/>
      <w:r>
        <w:rPr>
          <w:rFonts w:ascii="Times New Roman" w:hAnsi="Times New Roman" w:cs="Times New Roman"/>
        </w:rPr>
        <w:t xml:space="preserve"> </w:t>
      </w:r>
      <w:proofErr w:type="spellStart"/>
      <w:r>
        <w:rPr>
          <w:rFonts w:ascii="Times New Roman" w:hAnsi="Times New Roman" w:cs="Times New Roman"/>
        </w:rPr>
        <w:t>izteiktā</w:t>
      </w:r>
      <w:proofErr w:type="spellEnd"/>
      <w:r>
        <w:rPr>
          <w:rFonts w:ascii="Times New Roman" w:hAnsi="Times New Roman" w:cs="Times New Roman"/>
        </w:rPr>
        <w:t xml:space="preserve"> </w:t>
      </w:r>
      <w:proofErr w:type="spellStart"/>
      <w:r>
        <w:rPr>
          <w:rFonts w:ascii="Times New Roman" w:hAnsi="Times New Roman" w:cs="Times New Roman"/>
        </w:rPr>
        <w:t>formā</w:t>
      </w:r>
      <w:proofErr w:type="spellEnd"/>
      <w:r>
        <w:rPr>
          <w:rFonts w:ascii="Times New Roman" w:hAnsi="Times New Roman" w:cs="Times New Roman"/>
        </w:rPr>
        <w:t xml:space="preserve">. </w:t>
      </w:r>
      <w:proofErr w:type="spellStart"/>
      <w:r>
        <w:rPr>
          <w:rFonts w:ascii="Times New Roman" w:hAnsi="Times New Roman" w:cs="Times New Roman"/>
        </w:rPr>
        <w:t>Pieļaujama</w:t>
      </w:r>
      <w:proofErr w:type="spellEnd"/>
      <w:r>
        <w:rPr>
          <w:rFonts w:ascii="Times New Roman" w:hAnsi="Times New Roman" w:cs="Times New Roman"/>
        </w:rPr>
        <w:t xml:space="preserve"> </w:t>
      </w:r>
      <w:proofErr w:type="spellStart"/>
      <w:r>
        <w:rPr>
          <w:rFonts w:ascii="Times New Roman" w:hAnsi="Times New Roman" w:cs="Times New Roman"/>
        </w:rPr>
        <w:t>tikai</w:t>
      </w:r>
      <w:proofErr w:type="spellEnd"/>
      <w:r>
        <w:rPr>
          <w:rFonts w:ascii="Times New Roman" w:hAnsi="Times New Roman" w:cs="Times New Roman"/>
        </w:rPr>
        <w:t xml:space="preserve"> </w:t>
      </w:r>
      <w:proofErr w:type="spellStart"/>
      <w:r>
        <w:rPr>
          <w:rFonts w:ascii="Times New Roman" w:hAnsi="Times New Roman" w:cs="Times New Roman"/>
        </w:rPr>
        <w:t>tāda</w:t>
      </w:r>
      <w:proofErr w:type="spellEnd"/>
      <w:r>
        <w:rPr>
          <w:rFonts w:ascii="Times New Roman" w:hAnsi="Times New Roman" w:cs="Times New Roman"/>
        </w:rPr>
        <w:t xml:space="preserve"> </w:t>
      </w:r>
      <w:proofErr w:type="spellStart"/>
      <w:r>
        <w:rPr>
          <w:rFonts w:ascii="Times New Roman" w:hAnsi="Times New Roman" w:cs="Times New Roman"/>
        </w:rPr>
        <w:t>piemērojamā</w:t>
      </w:r>
      <w:proofErr w:type="spellEnd"/>
      <w:r>
        <w:rPr>
          <w:rFonts w:ascii="Times New Roman" w:hAnsi="Times New Roman" w:cs="Times New Roman"/>
        </w:rPr>
        <w:t xml:space="preserve"> </w:t>
      </w:r>
      <w:proofErr w:type="spellStart"/>
      <w:r>
        <w:rPr>
          <w:rFonts w:ascii="Times New Roman" w:hAnsi="Times New Roman" w:cs="Times New Roman"/>
        </w:rPr>
        <w:t>likuma</w:t>
      </w:r>
      <w:proofErr w:type="spellEnd"/>
      <w:r>
        <w:rPr>
          <w:rFonts w:ascii="Times New Roman" w:hAnsi="Times New Roman" w:cs="Times New Roman"/>
        </w:rPr>
        <w:t xml:space="preserve"> </w:t>
      </w:r>
      <w:proofErr w:type="spellStart"/>
      <w:r>
        <w:rPr>
          <w:rFonts w:ascii="Times New Roman" w:hAnsi="Times New Roman" w:cs="Times New Roman"/>
        </w:rPr>
        <w:t>izvēle</w:t>
      </w:r>
      <w:proofErr w:type="spellEnd"/>
      <w:r>
        <w:rPr>
          <w:rFonts w:ascii="Times New Roman" w:hAnsi="Times New Roman" w:cs="Times New Roman"/>
        </w:rPr>
        <w:t xml:space="preserve">, </w:t>
      </w:r>
      <w:proofErr w:type="spellStart"/>
      <w:r>
        <w:rPr>
          <w:rFonts w:ascii="Times New Roman" w:hAnsi="Times New Roman" w:cs="Times New Roman"/>
        </w:rPr>
        <w:t>kurai</w:t>
      </w:r>
      <w:proofErr w:type="spellEnd"/>
      <w:r>
        <w:rPr>
          <w:rFonts w:ascii="Times New Roman" w:hAnsi="Times New Roman" w:cs="Times New Roman"/>
        </w:rPr>
        <w:t xml:space="preserve"> </w:t>
      </w:r>
      <w:proofErr w:type="spellStart"/>
      <w:r>
        <w:rPr>
          <w:rFonts w:ascii="Times New Roman" w:hAnsi="Times New Roman" w:cs="Times New Roman"/>
        </w:rPr>
        <w:t>piekrīt</w:t>
      </w:r>
      <w:proofErr w:type="spellEnd"/>
      <w:r>
        <w:rPr>
          <w:rFonts w:ascii="Times New Roman" w:hAnsi="Times New Roman" w:cs="Times New Roman"/>
        </w:rPr>
        <w:t xml:space="preserve"> </w:t>
      </w:r>
      <w:proofErr w:type="spellStart"/>
      <w:r>
        <w:rPr>
          <w:rFonts w:ascii="Times New Roman" w:hAnsi="Times New Roman" w:cs="Times New Roman"/>
        </w:rPr>
        <w:t>visi</w:t>
      </w:r>
      <w:proofErr w:type="spellEnd"/>
      <w:r>
        <w:rPr>
          <w:rFonts w:ascii="Times New Roman" w:hAnsi="Times New Roman" w:cs="Times New Roman"/>
        </w:rPr>
        <w:t xml:space="preserve"> </w:t>
      </w:r>
      <w:proofErr w:type="spellStart"/>
      <w:r>
        <w:rPr>
          <w:rFonts w:ascii="Times New Roman" w:hAnsi="Times New Roman" w:cs="Times New Roman"/>
        </w:rPr>
        <w:lastRenderedPageBreak/>
        <w:t>trīs</w:t>
      </w:r>
      <w:proofErr w:type="spellEnd"/>
      <w:r>
        <w:rPr>
          <w:rFonts w:ascii="Times New Roman" w:hAnsi="Times New Roman" w:cs="Times New Roman"/>
        </w:rPr>
        <w:t xml:space="preserve"> </w:t>
      </w:r>
      <w:proofErr w:type="spellStart"/>
      <w:r>
        <w:rPr>
          <w:rFonts w:ascii="Times New Roman" w:hAnsi="Times New Roman" w:cs="Times New Roman"/>
        </w:rPr>
        <w:t>dalībnieki</w:t>
      </w:r>
      <w:proofErr w:type="spellEnd"/>
      <w:r>
        <w:rPr>
          <w:rFonts w:ascii="Times New Roman" w:hAnsi="Times New Roman" w:cs="Times New Roman"/>
        </w:rPr>
        <w:t xml:space="preserve"> (</w:t>
      </w:r>
      <w:proofErr w:type="spellStart"/>
      <w:r>
        <w:rPr>
          <w:rFonts w:ascii="Times New Roman" w:hAnsi="Times New Roman" w:cs="Times New Roman"/>
        </w:rPr>
        <w:t>pilnvaras</w:t>
      </w:r>
      <w:proofErr w:type="spellEnd"/>
      <w:r>
        <w:rPr>
          <w:rFonts w:ascii="Times New Roman" w:hAnsi="Times New Roman" w:cs="Times New Roman"/>
        </w:rPr>
        <w:t xml:space="preserve"> </w:t>
      </w:r>
      <w:proofErr w:type="spellStart"/>
      <w:r>
        <w:rPr>
          <w:rFonts w:ascii="Times New Roman" w:hAnsi="Times New Roman" w:cs="Times New Roman"/>
        </w:rPr>
        <w:t>devējs</w:t>
      </w:r>
      <w:proofErr w:type="spellEnd"/>
      <w:r>
        <w:rPr>
          <w:rFonts w:ascii="Times New Roman" w:hAnsi="Times New Roman" w:cs="Times New Roman"/>
        </w:rPr>
        <w:t xml:space="preserve">, </w:t>
      </w:r>
      <w:proofErr w:type="spellStart"/>
      <w:r>
        <w:rPr>
          <w:rFonts w:ascii="Times New Roman" w:hAnsi="Times New Roman" w:cs="Times New Roman"/>
        </w:rPr>
        <w:t>pilnvarnieks</w:t>
      </w:r>
      <w:proofErr w:type="spellEnd"/>
      <w:r>
        <w:rPr>
          <w:rFonts w:ascii="Times New Roman" w:hAnsi="Times New Roman" w:cs="Times New Roman"/>
        </w:rPr>
        <w:t xml:space="preserve">, </w:t>
      </w:r>
      <w:proofErr w:type="spellStart"/>
      <w:r>
        <w:rPr>
          <w:rFonts w:ascii="Times New Roman" w:hAnsi="Times New Roman" w:cs="Times New Roman"/>
        </w:rPr>
        <w:t>trešā</w:t>
      </w:r>
      <w:proofErr w:type="spellEnd"/>
      <w:r>
        <w:rPr>
          <w:rFonts w:ascii="Times New Roman" w:hAnsi="Times New Roman" w:cs="Times New Roman"/>
        </w:rPr>
        <w:t xml:space="preserve"> persona). </w:t>
      </w:r>
      <w:proofErr w:type="spellStart"/>
      <w:r>
        <w:rPr>
          <w:rFonts w:ascii="Times New Roman" w:hAnsi="Times New Roman" w:cs="Times New Roman"/>
        </w:rPr>
        <w:t>Parasti</w:t>
      </w:r>
      <w:proofErr w:type="spellEnd"/>
      <w:r>
        <w:rPr>
          <w:rFonts w:ascii="Times New Roman" w:hAnsi="Times New Roman" w:cs="Times New Roman"/>
        </w:rPr>
        <w:t xml:space="preserve"> </w:t>
      </w:r>
      <w:proofErr w:type="spellStart"/>
      <w:r>
        <w:rPr>
          <w:rFonts w:ascii="Times New Roman" w:hAnsi="Times New Roman" w:cs="Times New Roman"/>
        </w:rPr>
        <w:t>pilnvaras</w:t>
      </w:r>
      <w:proofErr w:type="spellEnd"/>
      <w:r>
        <w:rPr>
          <w:rFonts w:ascii="Times New Roman" w:hAnsi="Times New Roman" w:cs="Times New Roman"/>
        </w:rPr>
        <w:t xml:space="preserve"> </w:t>
      </w:r>
      <w:proofErr w:type="spellStart"/>
      <w:r>
        <w:rPr>
          <w:rFonts w:ascii="Times New Roman" w:hAnsi="Times New Roman" w:cs="Times New Roman"/>
        </w:rPr>
        <w:t>devējs</w:t>
      </w:r>
      <w:proofErr w:type="spellEnd"/>
      <w:r>
        <w:rPr>
          <w:rFonts w:ascii="Times New Roman" w:hAnsi="Times New Roman" w:cs="Times New Roman"/>
        </w:rPr>
        <w:t xml:space="preserve"> </w:t>
      </w:r>
      <w:proofErr w:type="spellStart"/>
      <w:r>
        <w:rPr>
          <w:rFonts w:ascii="Times New Roman" w:hAnsi="Times New Roman" w:cs="Times New Roman"/>
        </w:rPr>
        <w:t>piemērojamā</w:t>
      </w:r>
      <w:proofErr w:type="spellEnd"/>
      <w:r>
        <w:rPr>
          <w:rFonts w:ascii="Times New Roman" w:hAnsi="Times New Roman" w:cs="Times New Roman"/>
        </w:rPr>
        <w:t xml:space="preserve"> </w:t>
      </w:r>
      <w:proofErr w:type="spellStart"/>
      <w:r>
        <w:rPr>
          <w:rFonts w:ascii="Times New Roman" w:hAnsi="Times New Roman" w:cs="Times New Roman"/>
        </w:rPr>
        <w:t>likuma</w:t>
      </w:r>
      <w:proofErr w:type="spellEnd"/>
      <w:r>
        <w:rPr>
          <w:rFonts w:ascii="Times New Roman" w:hAnsi="Times New Roman" w:cs="Times New Roman"/>
        </w:rPr>
        <w:t xml:space="preserve"> </w:t>
      </w:r>
      <w:proofErr w:type="spellStart"/>
      <w:r>
        <w:rPr>
          <w:rFonts w:ascii="Times New Roman" w:hAnsi="Times New Roman" w:cs="Times New Roman"/>
        </w:rPr>
        <w:t>izvēli</w:t>
      </w:r>
      <w:proofErr w:type="spellEnd"/>
      <w:r>
        <w:rPr>
          <w:rFonts w:ascii="Times New Roman" w:hAnsi="Times New Roman" w:cs="Times New Roman"/>
        </w:rPr>
        <w:t xml:space="preserve"> </w:t>
      </w:r>
      <w:proofErr w:type="spellStart"/>
      <w:r>
        <w:rPr>
          <w:rFonts w:ascii="Times New Roman" w:hAnsi="Times New Roman" w:cs="Times New Roman"/>
        </w:rPr>
        <w:t>vai</w:t>
      </w:r>
      <w:proofErr w:type="spellEnd"/>
      <w:r>
        <w:rPr>
          <w:rFonts w:ascii="Times New Roman" w:hAnsi="Times New Roman" w:cs="Times New Roman"/>
        </w:rPr>
        <w:t xml:space="preserve"> nu </w:t>
      </w:r>
      <w:proofErr w:type="spellStart"/>
      <w:r>
        <w:rPr>
          <w:rFonts w:ascii="Times New Roman" w:hAnsi="Times New Roman" w:cs="Times New Roman"/>
        </w:rPr>
        <w:t>izdara</w:t>
      </w:r>
      <w:proofErr w:type="spellEnd"/>
      <w:r>
        <w:rPr>
          <w:rFonts w:ascii="Times New Roman" w:hAnsi="Times New Roman" w:cs="Times New Roman"/>
        </w:rPr>
        <w:t xml:space="preserve"> </w:t>
      </w:r>
      <w:proofErr w:type="spellStart"/>
      <w:r>
        <w:rPr>
          <w:rFonts w:ascii="Times New Roman" w:hAnsi="Times New Roman" w:cs="Times New Roman"/>
        </w:rPr>
        <w:t>ar</w:t>
      </w:r>
      <w:proofErr w:type="spellEnd"/>
      <w:r>
        <w:rPr>
          <w:rFonts w:ascii="Times New Roman" w:hAnsi="Times New Roman" w:cs="Times New Roman"/>
        </w:rPr>
        <w:t xml:space="preserve"> </w:t>
      </w:r>
      <w:proofErr w:type="spellStart"/>
      <w:r>
        <w:rPr>
          <w:rFonts w:ascii="Times New Roman" w:hAnsi="Times New Roman" w:cs="Times New Roman"/>
        </w:rPr>
        <w:t>vienpusēju</w:t>
      </w:r>
      <w:proofErr w:type="spellEnd"/>
      <w:r>
        <w:rPr>
          <w:rFonts w:ascii="Times New Roman" w:hAnsi="Times New Roman" w:cs="Times New Roman"/>
        </w:rPr>
        <w:t xml:space="preserve"> </w:t>
      </w:r>
      <w:proofErr w:type="spellStart"/>
      <w:r>
        <w:rPr>
          <w:rFonts w:ascii="Times New Roman" w:hAnsi="Times New Roman" w:cs="Times New Roman"/>
        </w:rPr>
        <w:t>paziņojumu</w:t>
      </w:r>
      <w:proofErr w:type="spellEnd"/>
      <w:r>
        <w:rPr>
          <w:rFonts w:ascii="Times New Roman" w:hAnsi="Times New Roman" w:cs="Times New Roman"/>
        </w:rPr>
        <w:t xml:space="preserve"> </w:t>
      </w:r>
      <w:proofErr w:type="spellStart"/>
      <w:r>
        <w:rPr>
          <w:rFonts w:ascii="Times New Roman" w:hAnsi="Times New Roman" w:cs="Times New Roman"/>
        </w:rPr>
        <w:t>pilnvarā</w:t>
      </w:r>
      <w:proofErr w:type="spellEnd"/>
      <w:r>
        <w:rPr>
          <w:rFonts w:ascii="Times New Roman" w:hAnsi="Times New Roman" w:cs="Times New Roman"/>
        </w:rPr>
        <w:t xml:space="preserve"> (</w:t>
      </w:r>
      <w:proofErr w:type="spellStart"/>
      <w:r>
        <w:rPr>
          <w:rFonts w:ascii="Times New Roman" w:hAnsi="Times New Roman" w:cs="Times New Roman"/>
        </w:rPr>
        <w:t>bez</w:t>
      </w:r>
      <w:proofErr w:type="spellEnd"/>
      <w:r>
        <w:rPr>
          <w:rFonts w:ascii="Times New Roman" w:hAnsi="Times New Roman" w:cs="Times New Roman"/>
        </w:rPr>
        <w:t xml:space="preserve"> </w:t>
      </w:r>
      <w:proofErr w:type="spellStart"/>
      <w:r>
        <w:rPr>
          <w:rFonts w:ascii="Times New Roman" w:hAnsi="Times New Roman" w:cs="Times New Roman"/>
        </w:rPr>
        <w:t>trešās</w:t>
      </w:r>
      <w:proofErr w:type="spellEnd"/>
      <w:r>
        <w:rPr>
          <w:rFonts w:ascii="Times New Roman" w:hAnsi="Times New Roman" w:cs="Times New Roman"/>
        </w:rPr>
        <w:t xml:space="preserve"> </w:t>
      </w:r>
      <w:proofErr w:type="spellStart"/>
      <w:r>
        <w:rPr>
          <w:rFonts w:ascii="Times New Roman" w:hAnsi="Times New Roman" w:cs="Times New Roman"/>
        </w:rPr>
        <w:t>personas</w:t>
      </w:r>
      <w:proofErr w:type="spellEnd"/>
      <w:r>
        <w:rPr>
          <w:rFonts w:ascii="Times New Roman" w:hAnsi="Times New Roman" w:cs="Times New Roman"/>
        </w:rPr>
        <w:t xml:space="preserve"> </w:t>
      </w:r>
      <w:proofErr w:type="spellStart"/>
      <w:r>
        <w:rPr>
          <w:rFonts w:ascii="Times New Roman" w:hAnsi="Times New Roman" w:cs="Times New Roman"/>
        </w:rPr>
        <w:t>piedalīšanās</w:t>
      </w:r>
      <w:proofErr w:type="spellEnd"/>
      <w:r>
        <w:rPr>
          <w:rFonts w:ascii="Times New Roman" w:hAnsi="Times New Roman" w:cs="Times New Roman"/>
        </w:rPr>
        <w:t xml:space="preserve"> </w:t>
      </w:r>
      <w:proofErr w:type="spellStart"/>
      <w:r>
        <w:rPr>
          <w:rFonts w:ascii="Times New Roman" w:hAnsi="Times New Roman" w:cs="Times New Roman"/>
        </w:rPr>
        <w:t>šāds</w:t>
      </w:r>
      <w:proofErr w:type="spellEnd"/>
      <w:r>
        <w:rPr>
          <w:rFonts w:ascii="Times New Roman" w:hAnsi="Times New Roman" w:cs="Times New Roman"/>
        </w:rPr>
        <w:t xml:space="preserve"> </w:t>
      </w:r>
      <w:proofErr w:type="spellStart"/>
      <w:r>
        <w:rPr>
          <w:rFonts w:ascii="Times New Roman" w:hAnsi="Times New Roman" w:cs="Times New Roman"/>
        </w:rPr>
        <w:t>vienpusējs</w:t>
      </w:r>
      <w:proofErr w:type="spellEnd"/>
      <w:r>
        <w:rPr>
          <w:rFonts w:ascii="Times New Roman" w:hAnsi="Times New Roman" w:cs="Times New Roman"/>
        </w:rPr>
        <w:t xml:space="preserve"> </w:t>
      </w:r>
      <w:proofErr w:type="spellStart"/>
      <w:r>
        <w:rPr>
          <w:rFonts w:ascii="Times New Roman" w:hAnsi="Times New Roman" w:cs="Times New Roman"/>
        </w:rPr>
        <w:t>paziņojums</w:t>
      </w:r>
      <w:proofErr w:type="spellEnd"/>
      <w:r>
        <w:rPr>
          <w:rFonts w:ascii="Times New Roman" w:hAnsi="Times New Roman" w:cs="Times New Roman"/>
        </w:rPr>
        <w:t xml:space="preserve"> </w:t>
      </w:r>
      <w:proofErr w:type="spellStart"/>
      <w:r>
        <w:rPr>
          <w:rFonts w:ascii="Times New Roman" w:hAnsi="Times New Roman" w:cs="Times New Roman"/>
        </w:rPr>
        <w:t>būs</w:t>
      </w:r>
      <w:proofErr w:type="spellEnd"/>
      <w:r>
        <w:rPr>
          <w:rFonts w:ascii="Times New Roman" w:hAnsi="Times New Roman" w:cs="Times New Roman"/>
        </w:rPr>
        <w:t xml:space="preserve"> </w:t>
      </w:r>
      <w:proofErr w:type="spellStart"/>
      <w:r>
        <w:rPr>
          <w:rFonts w:ascii="Times New Roman" w:hAnsi="Times New Roman" w:cs="Times New Roman"/>
        </w:rPr>
        <w:t>spēkā</w:t>
      </w:r>
      <w:proofErr w:type="spellEnd"/>
      <w:r>
        <w:rPr>
          <w:rFonts w:ascii="Times New Roman" w:hAnsi="Times New Roman" w:cs="Times New Roman"/>
        </w:rPr>
        <w:t xml:space="preserve"> </w:t>
      </w:r>
      <w:proofErr w:type="spellStart"/>
      <w:r>
        <w:rPr>
          <w:rFonts w:ascii="Times New Roman" w:hAnsi="Times New Roman" w:cs="Times New Roman"/>
        </w:rPr>
        <w:t>tikai</w:t>
      </w:r>
      <w:proofErr w:type="spellEnd"/>
      <w:r>
        <w:rPr>
          <w:rFonts w:ascii="Times New Roman" w:hAnsi="Times New Roman" w:cs="Times New Roman"/>
        </w:rPr>
        <w:t xml:space="preserve"> </w:t>
      </w:r>
      <w:proofErr w:type="spellStart"/>
      <w:r>
        <w:rPr>
          <w:rFonts w:ascii="Times New Roman" w:hAnsi="Times New Roman" w:cs="Times New Roman"/>
        </w:rPr>
        <w:t>tad</w:t>
      </w:r>
      <w:proofErr w:type="spellEnd"/>
      <w:r>
        <w:rPr>
          <w:rFonts w:ascii="Times New Roman" w:hAnsi="Times New Roman" w:cs="Times New Roman"/>
        </w:rPr>
        <w:t xml:space="preserve">, </w:t>
      </w:r>
      <w:proofErr w:type="spellStart"/>
      <w:r>
        <w:rPr>
          <w:rFonts w:ascii="Times New Roman" w:hAnsi="Times New Roman" w:cs="Times New Roman"/>
        </w:rPr>
        <w:t>ja</w:t>
      </w:r>
      <w:proofErr w:type="spellEnd"/>
      <w:r>
        <w:rPr>
          <w:rFonts w:ascii="Times New Roman" w:hAnsi="Times New Roman" w:cs="Times New Roman"/>
        </w:rPr>
        <w:t xml:space="preserve"> </w:t>
      </w:r>
      <w:proofErr w:type="spellStart"/>
      <w:r>
        <w:rPr>
          <w:rFonts w:ascii="Times New Roman" w:hAnsi="Times New Roman" w:cs="Times New Roman"/>
        </w:rPr>
        <w:t>pietiekami</w:t>
      </w:r>
      <w:proofErr w:type="spellEnd"/>
      <w:r>
        <w:rPr>
          <w:rFonts w:ascii="Times New Roman" w:hAnsi="Times New Roman" w:cs="Times New Roman"/>
        </w:rPr>
        <w:t xml:space="preserve"> </w:t>
      </w:r>
      <w:proofErr w:type="spellStart"/>
      <w:r>
        <w:rPr>
          <w:rFonts w:ascii="Times New Roman" w:hAnsi="Times New Roman" w:cs="Times New Roman"/>
        </w:rPr>
        <w:t>laicīgi</w:t>
      </w:r>
      <w:proofErr w:type="spellEnd"/>
      <w:r>
        <w:rPr>
          <w:rFonts w:ascii="Times New Roman" w:hAnsi="Times New Roman" w:cs="Times New Roman"/>
        </w:rPr>
        <w:t xml:space="preserve"> </w:t>
      </w:r>
      <w:proofErr w:type="spellStart"/>
      <w:r>
        <w:rPr>
          <w:rFonts w:ascii="Times New Roman" w:hAnsi="Times New Roman" w:cs="Times New Roman"/>
        </w:rPr>
        <w:t>pirms</w:t>
      </w:r>
      <w:proofErr w:type="spellEnd"/>
      <w:r>
        <w:rPr>
          <w:rFonts w:ascii="Times New Roman" w:hAnsi="Times New Roman" w:cs="Times New Roman"/>
        </w:rPr>
        <w:t xml:space="preserve"> </w:t>
      </w:r>
      <w:proofErr w:type="spellStart"/>
      <w:r>
        <w:rPr>
          <w:rFonts w:ascii="Times New Roman" w:hAnsi="Times New Roman" w:cs="Times New Roman"/>
        </w:rPr>
        <w:t>darījuma</w:t>
      </w:r>
      <w:proofErr w:type="spellEnd"/>
      <w:r>
        <w:rPr>
          <w:rFonts w:ascii="Times New Roman" w:hAnsi="Times New Roman" w:cs="Times New Roman"/>
        </w:rPr>
        <w:t xml:space="preserve"> </w:t>
      </w:r>
      <w:proofErr w:type="spellStart"/>
      <w:r>
        <w:rPr>
          <w:rFonts w:ascii="Times New Roman" w:hAnsi="Times New Roman" w:cs="Times New Roman"/>
        </w:rPr>
        <w:t>noslēgšanas</w:t>
      </w:r>
      <w:proofErr w:type="spellEnd"/>
      <w:r>
        <w:rPr>
          <w:rFonts w:ascii="Times New Roman" w:hAnsi="Times New Roman" w:cs="Times New Roman"/>
        </w:rPr>
        <w:t xml:space="preserve"> </w:t>
      </w:r>
      <w:proofErr w:type="spellStart"/>
      <w:r>
        <w:rPr>
          <w:rFonts w:ascii="Times New Roman" w:hAnsi="Times New Roman" w:cs="Times New Roman"/>
        </w:rPr>
        <w:t>trešā</w:t>
      </w:r>
      <w:proofErr w:type="spellEnd"/>
      <w:r>
        <w:rPr>
          <w:rFonts w:ascii="Times New Roman" w:hAnsi="Times New Roman" w:cs="Times New Roman"/>
        </w:rPr>
        <w:t xml:space="preserve"> persona </w:t>
      </w:r>
      <w:proofErr w:type="spellStart"/>
      <w:r>
        <w:rPr>
          <w:rFonts w:ascii="Times New Roman" w:hAnsi="Times New Roman" w:cs="Times New Roman"/>
        </w:rPr>
        <w:t>vēl</w:t>
      </w:r>
      <w:proofErr w:type="spellEnd"/>
      <w:r>
        <w:rPr>
          <w:rFonts w:ascii="Times New Roman" w:hAnsi="Times New Roman" w:cs="Times New Roman"/>
        </w:rPr>
        <w:t xml:space="preserve"> var </w:t>
      </w:r>
      <w:proofErr w:type="spellStart"/>
      <w:r>
        <w:rPr>
          <w:rFonts w:ascii="Times New Roman" w:hAnsi="Times New Roman" w:cs="Times New Roman"/>
        </w:rPr>
        <w:t>atkāpties</w:t>
      </w:r>
      <w:proofErr w:type="spellEnd"/>
      <w:r>
        <w:rPr>
          <w:rFonts w:ascii="Times New Roman" w:hAnsi="Times New Roman" w:cs="Times New Roman"/>
        </w:rPr>
        <w:t xml:space="preserve"> no </w:t>
      </w:r>
      <w:proofErr w:type="spellStart"/>
      <w:r>
        <w:rPr>
          <w:rFonts w:ascii="Times New Roman" w:hAnsi="Times New Roman" w:cs="Times New Roman"/>
        </w:rPr>
        <w:t>darījuma</w:t>
      </w:r>
      <w:proofErr w:type="spellEnd"/>
      <w:r>
        <w:rPr>
          <w:rFonts w:ascii="Times New Roman" w:hAnsi="Times New Roman" w:cs="Times New Roman"/>
        </w:rPr>
        <w:t xml:space="preserve">), </w:t>
      </w:r>
      <w:proofErr w:type="spellStart"/>
      <w:r>
        <w:rPr>
          <w:rFonts w:ascii="Times New Roman" w:hAnsi="Times New Roman" w:cs="Times New Roman"/>
        </w:rPr>
        <w:t>vai</w:t>
      </w:r>
      <w:proofErr w:type="spellEnd"/>
      <w:r>
        <w:rPr>
          <w:rFonts w:ascii="Times New Roman" w:hAnsi="Times New Roman" w:cs="Times New Roman"/>
        </w:rPr>
        <w:t xml:space="preserve"> </w:t>
      </w:r>
      <w:proofErr w:type="spellStart"/>
      <w:r>
        <w:rPr>
          <w:rFonts w:ascii="Times New Roman" w:hAnsi="Times New Roman" w:cs="Times New Roman"/>
        </w:rPr>
        <w:t>arī</w:t>
      </w:r>
      <w:proofErr w:type="spellEnd"/>
      <w:r>
        <w:rPr>
          <w:rFonts w:ascii="Times New Roman" w:hAnsi="Times New Roman" w:cs="Times New Roman"/>
        </w:rPr>
        <w:t xml:space="preserve"> </w:t>
      </w:r>
      <w:proofErr w:type="spellStart"/>
      <w:r>
        <w:rPr>
          <w:rFonts w:ascii="Times New Roman" w:hAnsi="Times New Roman" w:cs="Times New Roman"/>
        </w:rPr>
        <w:t>noslēdz</w:t>
      </w:r>
      <w:proofErr w:type="spellEnd"/>
      <w:r>
        <w:rPr>
          <w:rFonts w:ascii="Times New Roman" w:hAnsi="Times New Roman" w:cs="Times New Roman"/>
        </w:rPr>
        <w:t xml:space="preserve"> </w:t>
      </w:r>
      <w:proofErr w:type="spellStart"/>
      <w:r>
        <w:rPr>
          <w:rFonts w:ascii="Times New Roman" w:hAnsi="Times New Roman" w:cs="Times New Roman"/>
        </w:rPr>
        <w:t>atsevišķu</w:t>
      </w:r>
      <w:proofErr w:type="spellEnd"/>
      <w:r>
        <w:rPr>
          <w:rFonts w:ascii="Times New Roman" w:hAnsi="Times New Roman" w:cs="Times New Roman"/>
        </w:rPr>
        <w:t xml:space="preserve"> </w:t>
      </w:r>
      <w:proofErr w:type="spellStart"/>
      <w:r>
        <w:rPr>
          <w:rFonts w:ascii="Times New Roman" w:hAnsi="Times New Roman" w:cs="Times New Roman"/>
        </w:rPr>
        <w:t>līgumu</w:t>
      </w:r>
      <w:proofErr w:type="spellEnd"/>
      <w:r>
        <w:rPr>
          <w:rFonts w:ascii="Times New Roman" w:hAnsi="Times New Roman" w:cs="Times New Roman"/>
        </w:rPr>
        <w:t xml:space="preserve"> (</w:t>
      </w:r>
      <w:proofErr w:type="spellStart"/>
      <w:r>
        <w:rPr>
          <w:rFonts w:ascii="Times New Roman" w:hAnsi="Times New Roman" w:cs="Times New Roman"/>
        </w:rPr>
        <w:t>ar</w:t>
      </w:r>
      <w:proofErr w:type="spellEnd"/>
      <w:r>
        <w:rPr>
          <w:rFonts w:ascii="Times New Roman" w:hAnsi="Times New Roman" w:cs="Times New Roman"/>
        </w:rPr>
        <w:t xml:space="preserve"> </w:t>
      </w:r>
      <w:proofErr w:type="spellStart"/>
      <w:r>
        <w:rPr>
          <w:rFonts w:ascii="Times New Roman" w:hAnsi="Times New Roman" w:cs="Times New Roman"/>
        </w:rPr>
        <w:t>pilnvarnieku</w:t>
      </w:r>
      <w:proofErr w:type="spellEnd"/>
      <w:r>
        <w:rPr>
          <w:rFonts w:ascii="Times New Roman" w:hAnsi="Times New Roman" w:cs="Times New Roman"/>
        </w:rPr>
        <w:t xml:space="preserve"> un/</w:t>
      </w:r>
      <w:proofErr w:type="spellStart"/>
      <w:r>
        <w:rPr>
          <w:rFonts w:ascii="Times New Roman" w:hAnsi="Times New Roman" w:cs="Times New Roman"/>
        </w:rPr>
        <w:t>vai</w:t>
      </w:r>
      <w:proofErr w:type="spellEnd"/>
      <w:r>
        <w:rPr>
          <w:rFonts w:ascii="Times New Roman" w:hAnsi="Times New Roman" w:cs="Times New Roman"/>
        </w:rPr>
        <w:t xml:space="preserve"> </w:t>
      </w:r>
      <w:proofErr w:type="spellStart"/>
      <w:r>
        <w:rPr>
          <w:rFonts w:ascii="Times New Roman" w:hAnsi="Times New Roman" w:cs="Times New Roman"/>
        </w:rPr>
        <w:t>trešo</w:t>
      </w:r>
      <w:proofErr w:type="spellEnd"/>
      <w:r>
        <w:rPr>
          <w:rFonts w:ascii="Times New Roman" w:hAnsi="Times New Roman" w:cs="Times New Roman"/>
        </w:rPr>
        <w:t xml:space="preserve"> </w:t>
      </w:r>
      <w:proofErr w:type="spellStart"/>
      <w:r>
        <w:rPr>
          <w:rFonts w:ascii="Times New Roman" w:hAnsi="Times New Roman" w:cs="Times New Roman"/>
        </w:rPr>
        <w:t>personu</w:t>
      </w:r>
      <w:proofErr w:type="spellEnd"/>
      <w:r>
        <w:rPr>
          <w:rFonts w:ascii="Times New Roman" w:hAnsi="Times New Roman" w:cs="Times New Roman"/>
        </w:rPr>
        <w:t xml:space="preserve">) par </w:t>
      </w:r>
      <w:proofErr w:type="spellStart"/>
      <w:r>
        <w:rPr>
          <w:rFonts w:ascii="Times New Roman" w:hAnsi="Times New Roman" w:cs="Times New Roman"/>
        </w:rPr>
        <w:t>piemērojamā</w:t>
      </w:r>
      <w:proofErr w:type="spellEnd"/>
      <w:r>
        <w:rPr>
          <w:rFonts w:ascii="Times New Roman" w:hAnsi="Times New Roman" w:cs="Times New Roman"/>
        </w:rPr>
        <w:t xml:space="preserve"> </w:t>
      </w:r>
      <w:proofErr w:type="spellStart"/>
      <w:r>
        <w:rPr>
          <w:rFonts w:ascii="Times New Roman" w:hAnsi="Times New Roman" w:cs="Times New Roman"/>
        </w:rPr>
        <w:t>likuma</w:t>
      </w:r>
      <w:proofErr w:type="spellEnd"/>
      <w:r>
        <w:rPr>
          <w:rFonts w:ascii="Times New Roman" w:hAnsi="Times New Roman" w:cs="Times New Roman"/>
        </w:rPr>
        <w:t xml:space="preserve"> </w:t>
      </w:r>
      <w:proofErr w:type="spellStart"/>
      <w:r>
        <w:rPr>
          <w:rFonts w:ascii="Times New Roman" w:hAnsi="Times New Roman" w:cs="Times New Roman"/>
        </w:rPr>
        <w:t>izvēli</w:t>
      </w:r>
      <w:proofErr w:type="spellEnd"/>
      <w:r>
        <w:rPr>
          <w:rFonts w:ascii="Times New Roman" w:hAnsi="Times New Roman" w:cs="Times New Roman"/>
        </w:rPr>
        <w:t xml:space="preserve">. </w:t>
      </w:r>
      <w:proofErr w:type="spellStart"/>
      <w:r>
        <w:rPr>
          <w:rFonts w:ascii="Times New Roman" w:hAnsi="Times New Roman" w:cs="Times New Roman"/>
        </w:rPr>
        <w:t>Ja</w:t>
      </w:r>
      <w:proofErr w:type="spellEnd"/>
      <w:r>
        <w:rPr>
          <w:rFonts w:ascii="Times New Roman" w:hAnsi="Times New Roman" w:cs="Times New Roman"/>
        </w:rPr>
        <w:t xml:space="preserve"> </w:t>
      </w:r>
      <w:proofErr w:type="spellStart"/>
      <w:r>
        <w:rPr>
          <w:rFonts w:ascii="Times New Roman" w:hAnsi="Times New Roman" w:cs="Times New Roman"/>
        </w:rPr>
        <w:t>pilnvaras</w:t>
      </w:r>
      <w:proofErr w:type="spellEnd"/>
      <w:r>
        <w:rPr>
          <w:rFonts w:ascii="Times New Roman" w:hAnsi="Times New Roman" w:cs="Times New Roman"/>
        </w:rPr>
        <w:t xml:space="preserve"> </w:t>
      </w:r>
      <w:proofErr w:type="spellStart"/>
      <w:r>
        <w:rPr>
          <w:rFonts w:ascii="Times New Roman" w:hAnsi="Times New Roman" w:cs="Times New Roman"/>
        </w:rPr>
        <w:t>devējs</w:t>
      </w:r>
      <w:proofErr w:type="spellEnd"/>
      <w:r>
        <w:rPr>
          <w:rFonts w:ascii="Times New Roman" w:hAnsi="Times New Roman" w:cs="Times New Roman"/>
        </w:rPr>
        <w:t xml:space="preserve"> </w:t>
      </w:r>
      <w:proofErr w:type="spellStart"/>
      <w:r>
        <w:rPr>
          <w:rFonts w:ascii="Times New Roman" w:hAnsi="Times New Roman" w:cs="Times New Roman"/>
        </w:rPr>
        <w:t>ir</w:t>
      </w:r>
      <w:proofErr w:type="spellEnd"/>
      <w:r>
        <w:rPr>
          <w:rFonts w:ascii="Times New Roman" w:hAnsi="Times New Roman" w:cs="Times New Roman"/>
        </w:rPr>
        <w:t xml:space="preserve"> devis </w:t>
      </w:r>
      <w:proofErr w:type="spellStart"/>
      <w:r>
        <w:rPr>
          <w:rFonts w:ascii="Times New Roman" w:hAnsi="Times New Roman" w:cs="Times New Roman"/>
        </w:rPr>
        <w:t>savu</w:t>
      </w:r>
      <w:proofErr w:type="spellEnd"/>
      <w:r>
        <w:rPr>
          <w:rFonts w:ascii="Times New Roman" w:hAnsi="Times New Roman" w:cs="Times New Roman"/>
        </w:rPr>
        <w:t xml:space="preserve"> </w:t>
      </w:r>
      <w:proofErr w:type="spellStart"/>
      <w:r>
        <w:rPr>
          <w:rFonts w:ascii="Times New Roman" w:hAnsi="Times New Roman" w:cs="Times New Roman"/>
        </w:rPr>
        <w:t>piekrišanu</w:t>
      </w:r>
      <w:proofErr w:type="spellEnd"/>
      <w:r>
        <w:rPr>
          <w:rFonts w:ascii="Times New Roman" w:hAnsi="Times New Roman" w:cs="Times New Roman"/>
        </w:rPr>
        <w:t xml:space="preserve">, </w:t>
      </w:r>
      <w:proofErr w:type="spellStart"/>
      <w:r>
        <w:rPr>
          <w:rFonts w:ascii="Times New Roman" w:hAnsi="Times New Roman" w:cs="Times New Roman"/>
        </w:rPr>
        <w:t>tad</w:t>
      </w:r>
      <w:proofErr w:type="spellEnd"/>
      <w:r>
        <w:rPr>
          <w:rFonts w:ascii="Times New Roman" w:hAnsi="Times New Roman" w:cs="Times New Roman"/>
        </w:rPr>
        <w:t xml:space="preserve"> </w:t>
      </w:r>
      <w:proofErr w:type="spellStart"/>
      <w:r>
        <w:rPr>
          <w:rFonts w:ascii="Times New Roman" w:hAnsi="Times New Roman" w:cs="Times New Roman"/>
        </w:rPr>
        <w:t>arī</w:t>
      </w:r>
      <w:proofErr w:type="spellEnd"/>
      <w:r>
        <w:rPr>
          <w:rFonts w:ascii="Times New Roman" w:hAnsi="Times New Roman" w:cs="Times New Roman"/>
        </w:rPr>
        <w:t xml:space="preserve"> </w:t>
      </w:r>
      <w:proofErr w:type="spellStart"/>
      <w:r>
        <w:rPr>
          <w:rFonts w:ascii="Times New Roman" w:hAnsi="Times New Roman" w:cs="Times New Roman"/>
        </w:rPr>
        <w:t>pilnvarnieks</w:t>
      </w:r>
      <w:proofErr w:type="spellEnd"/>
      <w:r>
        <w:rPr>
          <w:rFonts w:ascii="Times New Roman" w:hAnsi="Times New Roman" w:cs="Times New Roman"/>
        </w:rPr>
        <w:t xml:space="preserve"> var </w:t>
      </w:r>
      <w:proofErr w:type="spellStart"/>
      <w:r>
        <w:rPr>
          <w:rFonts w:ascii="Times New Roman" w:hAnsi="Times New Roman" w:cs="Times New Roman"/>
        </w:rPr>
        <w:t>vienoties</w:t>
      </w:r>
      <w:proofErr w:type="spellEnd"/>
      <w:r>
        <w:rPr>
          <w:rFonts w:ascii="Times New Roman" w:hAnsi="Times New Roman" w:cs="Times New Roman"/>
        </w:rPr>
        <w:t xml:space="preserve"> </w:t>
      </w:r>
      <w:proofErr w:type="spellStart"/>
      <w:r>
        <w:rPr>
          <w:rFonts w:ascii="Times New Roman" w:hAnsi="Times New Roman" w:cs="Times New Roman"/>
        </w:rPr>
        <w:t>ar</w:t>
      </w:r>
      <w:proofErr w:type="spellEnd"/>
      <w:r>
        <w:rPr>
          <w:rFonts w:ascii="Times New Roman" w:hAnsi="Times New Roman" w:cs="Times New Roman"/>
        </w:rPr>
        <w:t xml:space="preserve"> </w:t>
      </w:r>
      <w:proofErr w:type="spellStart"/>
      <w:r>
        <w:rPr>
          <w:rFonts w:ascii="Times New Roman" w:hAnsi="Times New Roman" w:cs="Times New Roman"/>
        </w:rPr>
        <w:t>trešo</w:t>
      </w:r>
      <w:proofErr w:type="spellEnd"/>
      <w:r>
        <w:rPr>
          <w:rFonts w:ascii="Times New Roman" w:hAnsi="Times New Roman" w:cs="Times New Roman"/>
        </w:rPr>
        <w:t xml:space="preserve"> </w:t>
      </w:r>
      <w:proofErr w:type="spellStart"/>
      <w:r>
        <w:rPr>
          <w:rFonts w:ascii="Times New Roman" w:hAnsi="Times New Roman" w:cs="Times New Roman"/>
        </w:rPr>
        <w:t>personu</w:t>
      </w:r>
      <w:proofErr w:type="spellEnd"/>
      <w:r>
        <w:rPr>
          <w:rFonts w:ascii="Times New Roman" w:hAnsi="Times New Roman" w:cs="Times New Roman"/>
        </w:rPr>
        <w:t xml:space="preserve"> par </w:t>
      </w:r>
      <w:proofErr w:type="spellStart"/>
      <w:r>
        <w:rPr>
          <w:rFonts w:ascii="Times New Roman" w:hAnsi="Times New Roman" w:cs="Times New Roman"/>
        </w:rPr>
        <w:t>pilnvarai</w:t>
      </w:r>
      <w:proofErr w:type="spellEnd"/>
      <w:r>
        <w:rPr>
          <w:rFonts w:ascii="Times New Roman" w:hAnsi="Times New Roman" w:cs="Times New Roman"/>
        </w:rPr>
        <w:t xml:space="preserve"> </w:t>
      </w:r>
      <w:proofErr w:type="spellStart"/>
      <w:r>
        <w:rPr>
          <w:rFonts w:ascii="Times New Roman" w:hAnsi="Times New Roman" w:cs="Times New Roman"/>
        </w:rPr>
        <w:t>piemērojamo</w:t>
      </w:r>
      <w:proofErr w:type="spellEnd"/>
      <w:r>
        <w:rPr>
          <w:rFonts w:ascii="Times New Roman" w:hAnsi="Times New Roman" w:cs="Times New Roman"/>
        </w:rPr>
        <w:t xml:space="preserve"> </w:t>
      </w:r>
      <w:proofErr w:type="spellStart"/>
      <w:r>
        <w:rPr>
          <w:rFonts w:ascii="Times New Roman" w:hAnsi="Times New Roman" w:cs="Times New Roman"/>
        </w:rPr>
        <w:t>likumu</w:t>
      </w:r>
      <w:proofErr w:type="spellEnd"/>
      <w:r>
        <w:rPr>
          <w:rFonts w:ascii="Times New Roman" w:hAnsi="Times New Roman" w:cs="Times New Roman"/>
        </w:rPr>
        <w:t>.</w:t>
      </w:r>
      <w:r>
        <w:rPr>
          <w:rStyle w:val="FootnoteReference"/>
          <w:rFonts w:ascii="Times New Roman" w:hAnsi="Times New Roman" w:cs="Times New Roman"/>
        </w:rPr>
        <w:footnoteReference w:id="46"/>
      </w:r>
    </w:p>
    <w:p w14:paraId="6A72E9E1" w14:textId="77777777" w:rsidR="00114953" w:rsidRPr="00BA7F97" w:rsidRDefault="00114953" w:rsidP="00114953">
      <w:pPr>
        <w:ind w:firstLine="708"/>
        <w:jc w:val="both"/>
        <w:rPr>
          <w:rFonts w:ascii="Times New Roman" w:hAnsi="Times New Roman" w:cs="Times New Roman"/>
        </w:rPr>
      </w:pPr>
      <w:proofErr w:type="spellStart"/>
      <w:r w:rsidRPr="00351B16">
        <w:rPr>
          <w:rFonts w:ascii="Times New Roman" w:hAnsi="Times New Roman" w:cs="Times New Roman"/>
          <w:b/>
        </w:rPr>
        <w:t>Objektīvā</w:t>
      </w:r>
      <w:proofErr w:type="spellEnd"/>
      <w:r w:rsidRPr="00351B16">
        <w:rPr>
          <w:rFonts w:ascii="Times New Roman" w:hAnsi="Times New Roman" w:cs="Times New Roman"/>
          <w:b/>
        </w:rPr>
        <w:t xml:space="preserve"> </w:t>
      </w:r>
      <w:proofErr w:type="spellStart"/>
      <w:proofErr w:type="gramStart"/>
      <w:r w:rsidRPr="00351B16">
        <w:rPr>
          <w:rFonts w:ascii="Times New Roman" w:hAnsi="Times New Roman" w:cs="Times New Roman"/>
          <w:b/>
        </w:rPr>
        <w:t>piesaiste</w:t>
      </w:r>
      <w:proofErr w:type="spellEnd"/>
      <w:r w:rsidRPr="00351B16">
        <w:rPr>
          <w:rFonts w:ascii="Times New Roman" w:hAnsi="Times New Roman" w:cs="Times New Roman"/>
          <w:b/>
        </w:rPr>
        <w:t>:</w:t>
      </w:r>
      <w:proofErr w:type="gramEnd"/>
      <w:r w:rsidRPr="00351B16">
        <w:rPr>
          <w:rFonts w:ascii="Times New Roman" w:hAnsi="Times New Roman" w:cs="Times New Roman"/>
        </w:rPr>
        <w:t xml:space="preserve"> </w:t>
      </w:r>
      <w:proofErr w:type="spellStart"/>
      <w:r w:rsidRPr="00351B16">
        <w:rPr>
          <w:rFonts w:ascii="Times New Roman" w:hAnsi="Times New Roman" w:cs="Times New Roman"/>
        </w:rPr>
        <w:t>Ja</w:t>
      </w:r>
      <w:proofErr w:type="spellEnd"/>
      <w:r w:rsidRPr="00351B16">
        <w:rPr>
          <w:rFonts w:ascii="Times New Roman" w:hAnsi="Times New Roman" w:cs="Times New Roman"/>
        </w:rPr>
        <w:t xml:space="preserve"> </w:t>
      </w:r>
      <w:proofErr w:type="spellStart"/>
      <w:r w:rsidRPr="00351B16">
        <w:rPr>
          <w:rFonts w:ascii="Times New Roman" w:hAnsi="Times New Roman" w:cs="Times New Roman"/>
        </w:rPr>
        <w:t>puses</w:t>
      </w:r>
      <w:proofErr w:type="spellEnd"/>
      <w:r w:rsidRPr="00351B16">
        <w:rPr>
          <w:rFonts w:ascii="Times New Roman" w:hAnsi="Times New Roman" w:cs="Times New Roman"/>
        </w:rPr>
        <w:t xml:space="preserve"> </w:t>
      </w:r>
      <w:proofErr w:type="spellStart"/>
      <w:r w:rsidRPr="00351B16">
        <w:rPr>
          <w:rFonts w:ascii="Times New Roman" w:hAnsi="Times New Roman" w:cs="Times New Roman"/>
        </w:rPr>
        <w:t>paš</w:t>
      </w:r>
      <w:r>
        <w:rPr>
          <w:rFonts w:ascii="Times New Roman" w:hAnsi="Times New Roman" w:cs="Times New Roman"/>
        </w:rPr>
        <w:t>as</w:t>
      </w:r>
      <w:proofErr w:type="spellEnd"/>
      <w:r>
        <w:rPr>
          <w:rFonts w:ascii="Times New Roman" w:hAnsi="Times New Roman" w:cs="Times New Roman"/>
        </w:rPr>
        <w:t xml:space="preserve"> </w:t>
      </w:r>
      <w:proofErr w:type="spellStart"/>
      <w:r>
        <w:rPr>
          <w:rFonts w:ascii="Times New Roman" w:hAnsi="Times New Roman" w:cs="Times New Roman"/>
        </w:rPr>
        <w:t>nav</w:t>
      </w:r>
      <w:proofErr w:type="spellEnd"/>
      <w:r>
        <w:rPr>
          <w:rFonts w:ascii="Times New Roman" w:hAnsi="Times New Roman" w:cs="Times New Roman"/>
        </w:rPr>
        <w:t xml:space="preserve"> </w:t>
      </w:r>
      <w:proofErr w:type="spellStart"/>
      <w:r>
        <w:rPr>
          <w:rFonts w:ascii="Times New Roman" w:hAnsi="Times New Roman" w:cs="Times New Roman"/>
        </w:rPr>
        <w:t>izvēlējušās</w:t>
      </w:r>
      <w:proofErr w:type="spellEnd"/>
      <w:r>
        <w:rPr>
          <w:rFonts w:ascii="Times New Roman" w:hAnsi="Times New Roman" w:cs="Times New Roman"/>
        </w:rPr>
        <w:t xml:space="preserve"> </w:t>
      </w:r>
      <w:proofErr w:type="spellStart"/>
      <w:r>
        <w:rPr>
          <w:rFonts w:ascii="Times New Roman" w:hAnsi="Times New Roman" w:cs="Times New Roman"/>
        </w:rPr>
        <w:t>pilnvarai</w:t>
      </w:r>
      <w:proofErr w:type="spellEnd"/>
      <w:r w:rsidRPr="00351B16">
        <w:rPr>
          <w:rFonts w:ascii="Times New Roman" w:hAnsi="Times New Roman" w:cs="Times New Roman"/>
        </w:rPr>
        <w:t xml:space="preserve"> </w:t>
      </w:r>
      <w:proofErr w:type="spellStart"/>
      <w:r w:rsidRPr="00351B16">
        <w:rPr>
          <w:rFonts w:ascii="Times New Roman" w:hAnsi="Times New Roman" w:cs="Times New Roman"/>
        </w:rPr>
        <w:t>piemērojamo</w:t>
      </w:r>
      <w:proofErr w:type="spellEnd"/>
      <w:r w:rsidRPr="00351B16">
        <w:rPr>
          <w:rFonts w:ascii="Times New Roman" w:hAnsi="Times New Roman" w:cs="Times New Roman"/>
        </w:rPr>
        <w:t xml:space="preserve"> </w:t>
      </w:r>
      <w:proofErr w:type="spellStart"/>
      <w:r w:rsidRPr="00351B16">
        <w:rPr>
          <w:rFonts w:ascii="Times New Roman" w:hAnsi="Times New Roman" w:cs="Times New Roman"/>
        </w:rPr>
        <w:t>likumu</w:t>
      </w:r>
      <w:proofErr w:type="spellEnd"/>
      <w:r w:rsidRPr="00351B16">
        <w:rPr>
          <w:rFonts w:ascii="Times New Roman" w:hAnsi="Times New Roman" w:cs="Times New Roman"/>
        </w:rPr>
        <w:t xml:space="preserve">, </w:t>
      </w:r>
      <w:proofErr w:type="spellStart"/>
      <w:r w:rsidRPr="00351B16">
        <w:rPr>
          <w:rFonts w:ascii="Times New Roman" w:hAnsi="Times New Roman" w:cs="Times New Roman"/>
        </w:rPr>
        <w:t>tad</w:t>
      </w:r>
      <w:proofErr w:type="spellEnd"/>
      <w:r w:rsidRPr="00351B16">
        <w:rPr>
          <w:rFonts w:ascii="Times New Roman" w:hAnsi="Times New Roman" w:cs="Times New Roman"/>
        </w:rPr>
        <w:t xml:space="preserve"> </w:t>
      </w:r>
      <w:proofErr w:type="spellStart"/>
      <w:r w:rsidRPr="00351B16">
        <w:rPr>
          <w:rFonts w:ascii="Times New Roman" w:hAnsi="Times New Roman" w:cs="Times New Roman"/>
        </w:rPr>
        <w:t>tiek</w:t>
      </w:r>
      <w:proofErr w:type="spellEnd"/>
      <w:r w:rsidRPr="00351B16">
        <w:rPr>
          <w:rFonts w:ascii="Times New Roman" w:hAnsi="Times New Roman" w:cs="Times New Roman"/>
        </w:rPr>
        <w:t xml:space="preserve"> </w:t>
      </w:r>
      <w:proofErr w:type="spellStart"/>
      <w:r w:rsidRPr="00351B16">
        <w:rPr>
          <w:rFonts w:ascii="Times New Roman" w:hAnsi="Times New Roman" w:cs="Times New Roman"/>
        </w:rPr>
        <w:t>piemērotas</w:t>
      </w:r>
      <w:proofErr w:type="spellEnd"/>
      <w:r w:rsidRPr="00351B16">
        <w:rPr>
          <w:rFonts w:ascii="Times New Roman" w:hAnsi="Times New Roman" w:cs="Times New Roman"/>
        </w:rPr>
        <w:t xml:space="preserve"> </w:t>
      </w:r>
      <w:proofErr w:type="spellStart"/>
      <w:r w:rsidRPr="00351B16">
        <w:rPr>
          <w:rFonts w:ascii="Times New Roman" w:hAnsi="Times New Roman" w:cs="Times New Roman"/>
        </w:rPr>
        <w:t>Vācijas</w:t>
      </w:r>
      <w:proofErr w:type="spellEnd"/>
      <w:r w:rsidRPr="00351B16">
        <w:rPr>
          <w:rFonts w:ascii="Times New Roman" w:hAnsi="Times New Roman" w:cs="Times New Roman"/>
        </w:rPr>
        <w:t xml:space="preserve"> </w:t>
      </w:r>
      <w:proofErr w:type="spellStart"/>
      <w:r w:rsidRPr="00351B16">
        <w:rPr>
          <w:rFonts w:ascii="Times New Roman" w:hAnsi="Times New Roman" w:cs="Times New Roman"/>
        </w:rPr>
        <w:t>tiesību</w:t>
      </w:r>
      <w:proofErr w:type="spellEnd"/>
      <w:r w:rsidRPr="00351B16">
        <w:rPr>
          <w:rFonts w:ascii="Times New Roman" w:hAnsi="Times New Roman" w:cs="Times New Roman"/>
        </w:rPr>
        <w:t xml:space="preserve"> </w:t>
      </w:r>
      <w:proofErr w:type="spellStart"/>
      <w:r w:rsidRPr="00351B16">
        <w:rPr>
          <w:rFonts w:ascii="Times New Roman" w:hAnsi="Times New Roman" w:cs="Times New Roman"/>
        </w:rPr>
        <w:t>doktrīnā</w:t>
      </w:r>
      <w:proofErr w:type="spellEnd"/>
      <w:r w:rsidRPr="00351B16">
        <w:rPr>
          <w:rFonts w:ascii="Times New Roman" w:hAnsi="Times New Roman" w:cs="Times New Roman"/>
        </w:rPr>
        <w:t xml:space="preserve"> un </w:t>
      </w:r>
      <w:proofErr w:type="spellStart"/>
      <w:r w:rsidRPr="00351B16">
        <w:rPr>
          <w:rFonts w:ascii="Times New Roman" w:hAnsi="Times New Roman" w:cs="Times New Roman"/>
        </w:rPr>
        <w:t>tiesu</w:t>
      </w:r>
      <w:proofErr w:type="spellEnd"/>
      <w:r w:rsidRPr="00351B16">
        <w:rPr>
          <w:rFonts w:ascii="Times New Roman" w:hAnsi="Times New Roman" w:cs="Times New Roman"/>
        </w:rPr>
        <w:t xml:space="preserve"> </w:t>
      </w:r>
      <w:proofErr w:type="spellStart"/>
      <w:r w:rsidRPr="00351B16">
        <w:rPr>
          <w:rFonts w:ascii="Times New Roman" w:hAnsi="Times New Roman" w:cs="Times New Roman"/>
        </w:rPr>
        <w:t>praksē</w:t>
      </w:r>
      <w:proofErr w:type="spellEnd"/>
      <w:r w:rsidRPr="00351B16">
        <w:rPr>
          <w:rFonts w:ascii="Times New Roman" w:hAnsi="Times New Roman" w:cs="Times New Roman"/>
        </w:rPr>
        <w:t xml:space="preserve"> </w:t>
      </w:r>
      <w:proofErr w:type="spellStart"/>
      <w:r w:rsidRPr="00351B16">
        <w:rPr>
          <w:rFonts w:ascii="Times New Roman" w:hAnsi="Times New Roman" w:cs="Times New Roman"/>
        </w:rPr>
        <w:t>izstrādātās</w:t>
      </w:r>
      <w:proofErr w:type="spellEnd"/>
      <w:r w:rsidRPr="00351B16">
        <w:rPr>
          <w:rFonts w:ascii="Times New Roman" w:hAnsi="Times New Roman" w:cs="Times New Roman"/>
        </w:rPr>
        <w:t xml:space="preserve"> </w:t>
      </w:r>
      <w:proofErr w:type="spellStart"/>
      <w:r w:rsidRPr="00351B16">
        <w:rPr>
          <w:rFonts w:ascii="Times New Roman" w:hAnsi="Times New Roman" w:cs="Times New Roman"/>
        </w:rPr>
        <w:t>objektīvās</w:t>
      </w:r>
      <w:proofErr w:type="spellEnd"/>
      <w:r w:rsidRPr="00351B16">
        <w:rPr>
          <w:rFonts w:ascii="Times New Roman" w:hAnsi="Times New Roman" w:cs="Times New Roman"/>
        </w:rPr>
        <w:t xml:space="preserve"> </w:t>
      </w:r>
      <w:proofErr w:type="spellStart"/>
      <w:r w:rsidRPr="00351B16">
        <w:rPr>
          <w:rFonts w:ascii="Times New Roman" w:hAnsi="Times New Roman" w:cs="Times New Roman"/>
        </w:rPr>
        <w:t>piesaistes</w:t>
      </w:r>
      <w:proofErr w:type="spellEnd"/>
      <w:r w:rsidRPr="00351B16">
        <w:rPr>
          <w:rFonts w:ascii="Times New Roman" w:hAnsi="Times New Roman" w:cs="Times New Roman"/>
        </w:rPr>
        <w:t xml:space="preserve">. </w:t>
      </w:r>
      <w:proofErr w:type="spellStart"/>
      <w:r w:rsidRPr="00351B16">
        <w:rPr>
          <w:rFonts w:ascii="Times New Roman" w:hAnsi="Times New Roman" w:cs="Times New Roman"/>
        </w:rPr>
        <w:t>Tās</w:t>
      </w:r>
      <w:proofErr w:type="spellEnd"/>
      <w:r w:rsidRPr="00351B16">
        <w:rPr>
          <w:rFonts w:ascii="Times New Roman" w:hAnsi="Times New Roman" w:cs="Times New Roman"/>
        </w:rPr>
        <w:t xml:space="preserve"> </w:t>
      </w:r>
      <w:proofErr w:type="spellStart"/>
      <w:r w:rsidRPr="00BA7F97">
        <w:rPr>
          <w:rFonts w:ascii="Times New Roman" w:hAnsi="Times New Roman" w:cs="Times New Roman"/>
        </w:rPr>
        <w:t>šobrīd</w:t>
      </w:r>
      <w:proofErr w:type="spellEnd"/>
      <w:r w:rsidRPr="00BA7F97">
        <w:rPr>
          <w:rFonts w:ascii="Times New Roman" w:hAnsi="Times New Roman" w:cs="Times New Roman"/>
        </w:rPr>
        <w:t xml:space="preserve"> (</w:t>
      </w:r>
      <w:proofErr w:type="spellStart"/>
      <w:r w:rsidRPr="00BA7F97">
        <w:rPr>
          <w:rFonts w:ascii="Times New Roman" w:hAnsi="Times New Roman" w:cs="Times New Roman"/>
        </w:rPr>
        <w:t>kamēr</w:t>
      </w:r>
      <w:proofErr w:type="spellEnd"/>
      <w:r w:rsidRPr="00BA7F97">
        <w:rPr>
          <w:rFonts w:ascii="Times New Roman" w:hAnsi="Times New Roman" w:cs="Times New Roman"/>
        </w:rPr>
        <w:t xml:space="preserve"> </w:t>
      </w:r>
      <w:proofErr w:type="spellStart"/>
      <w:r w:rsidRPr="00BA7F97">
        <w:rPr>
          <w:rFonts w:ascii="Times New Roman" w:hAnsi="Times New Roman" w:cs="Times New Roman"/>
        </w:rPr>
        <w:t>nav</w:t>
      </w:r>
      <w:proofErr w:type="spellEnd"/>
      <w:r w:rsidRPr="00BA7F97">
        <w:rPr>
          <w:rFonts w:ascii="Times New Roman" w:hAnsi="Times New Roman" w:cs="Times New Roman"/>
        </w:rPr>
        <w:t xml:space="preserve"> </w:t>
      </w:r>
      <w:proofErr w:type="spellStart"/>
      <w:r w:rsidRPr="00BA7F97">
        <w:rPr>
          <w:rFonts w:ascii="Times New Roman" w:hAnsi="Times New Roman" w:cs="Times New Roman"/>
        </w:rPr>
        <w:t>pieņemts</w:t>
      </w:r>
      <w:proofErr w:type="spellEnd"/>
      <w:r w:rsidRPr="00BA7F97">
        <w:rPr>
          <w:rFonts w:ascii="Times New Roman" w:hAnsi="Times New Roman" w:cs="Times New Roman"/>
        </w:rPr>
        <w:t xml:space="preserve"> </w:t>
      </w:r>
      <w:proofErr w:type="spellStart"/>
      <w:r w:rsidRPr="00BA7F97">
        <w:rPr>
          <w:rFonts w:ascii="Times New Roman" w:hAnsi="Times New Roman" w:cs="Times New Roman"/>
        </w:rPr>
        <w:t>iepriekš</w:t>
      </w:r>
      <w:proofErr w:type="spellEnd"/>
      <w:r w:rsidRPr="00BA7F97">
        <w:rPr>
          <w:rFonts w:ascii="Times New Roman" w:hAnsi="Times New Roman" w:cs="Times New Roman"/>
        </w:rPr>
        <w:t xml:space="preserve"> </w:t>
      </w:r>
      <w:proofErr w:type="spellStart"/>
      <w:r w:rsidRPr="00BA7F97">
        <w:rPr>
          <w:rFonts w:ascii="Times New Roman" w:hAnsi="Times New Roman" w:cs="Times New Roman"/>
        </w:rPr>
        <w:t>minētais</w:t>
      </w:r>
      <w:proofErr w:type="spellEnd"/>
      <w:r w:rsidRPr="00BA7F97">
        <w:rPr>
          <w:rFonts w:ascii="Times New Roman" w:hAnsi="Times New Roman" w:cs="Times New Roman"/>
        </w:rPr>
        <w:t xml:space="preserve"> </w:t>
      </w:r>
      <w:proofErr w:type="spellStart"/>
      <w:r w:rsidRPr="00BA7F97">
        <w:rPr>
          <w:rFonts w:ascii="Times New Roman" w:hAnsi="Times New Roman" w:cs="Times New Roman"/>
        </w:rPr>
        <w:t>papildinājums</w:t>
      </w:r>
      <w:proofErr w:type="spellEnd"/>
      <w:r w:rsidRPr="00BA7F97">
        <w:rPr>
          <w:rFonts w:ascii="Times New Roman" w:hAnsi="Times New Roman" w:cs="Times New Roman"/>
        </w:rPr>
        <w:t xml:space="preserve"> </w:t>
      </w:r>
      <w:proofErr w:type="spellStart"/>
      <w:r w:rsidRPr="00BA7F97">
        <w:rPr>
          <w:rFonts w:ascii="Times New Roman" w:hAnsi="Times New Roman" w:cs="Times New Roman"/>
        </w:rPr>
        <w:t>Vācijas</w:t>
      </w:r>
      <w:proofErr w:type="spellEnd"/>
      <w:r w:rsidRPr="00BA7F97">
        <w:rPr>
          <w:rFonts w:ascii="Times New Roman" w:hAnsi="Times New Roman" w:cs="Times New Roman"/>
        </w:rPr>
        <w:t xml:space="preserve"> CL </w:t>
      </w:r>
      <w:proofErr w:type="spellStart"/>
      <w:r w:rsidRPr="00BA7F97">
        <w:rPr>
          <w:rFonts w:ascii="Times New Roman" w:hAnsi="Times New Roman" w:cs="Times New Roman"/>
        </w:rPr>
        <w:t>Ievadā</w:t>
      </w:r>
      <w:proofErr w:type="spellEnd"/>
      <w:r w:rsidRPr="00BA7F97">
        <w:rPr>
          <w:rFonts w:ascii="Times New Roman" w:hAnsi="Times New Roman" w:cs="Times New Roman"/>
        </w:rPr>
        <w:t xml:space="preserve">) </w:t>
      </w:r>
      <w:proofErr w:type="spellStart"/>
      <w:r w:rsidRPr="00BA7F97">
        <w:rPr>
          <w:rFonts w:ascii="Times New Roman" w:hAnsi="Times New Roman" w:cs="Times New Roman"/>
        </w:rPr>
        <w:t>ir</w:t>
      </w:r>
      <w:proofErr w:type="spellEnd"/>
      <w:r w:rsidRPr="00BA7F97">
        <w:rPr>
          <w:rFonts w:ascii="Times New Roman" w:hAnsi="Times New Roman" w:cs="Times New Roman"/>
        </w:rPr>
        <w:t xml:space="preserve"> </w:t>
      </w:r>
      <w:proofErr w:type="spellStart"/>
      <w:r w:rsidRPr="00BA7F97">
        <w:rPr>
          <w:rFonts w:ascii="Times New Roman" w:hAnsi="Times New Roman" w:cs="Times New Roman"/>
        </w:rPr>
        <w:t>sekojošas</w:t>
      </w:r>
      <w:proofErr w:type="spellEnd"/>
      <w:r w:rsidRPr="00BA7F97">
        <w:rPr>
          <w:rStyle w:val="FootnoteReference"/>
          <w:rFonts w:ascii="Times New Roman" w:hAnsi="Times New Roman" w:cs="Times New Roman"/>
        </w:rPr>
        <w:footnoteReference w:id="47"/>
      </w:r>
      <w:r w:rsidRPr="00BA7F97">
        <w:rPr>
          <w:rFonts w:ascii="Times New Roman" w:hAnsi="Times New Roman" w:cs="Times New Roman"/>
        </w:rPr>
        <w:t>:</w:t>
      </w:r>
    </w:p>
    <w:p w14:paraId="558350F3" w14:textId="77777777" w:rsidR="00114953" w:rsidRPr="00BA7F97" w:rsidRDefault="00114953" w:rsidP="00114953">
      <w:pPr>
        <w:jc w:val="both"/>
        <w:rPr>
          <w:rFonts w:ascii="Times New Roman" w:hAnsi="Times New Roman" w:cs="Times New Roman"/>
        </w:rPr>
      </w:pPr>
      <w:r w:rsidRPr="00BA7F97">
        <w:rPr>
          <w:rFonts w:ascii="Times New Roman" w:hAnsi="Times New Roman" w:cs="Times New Roman"/>
        </w:rPr>
        <w:t xml:space="preserve">- </w:t>
      </w:r>
      <w:proofErr w:type="spellStart"/>
      <w:r w:rsidRPr="00BA7F97">
        <w:rPr>
          <w:rFonts w:ascii="Times New Roman" w:hAnsi="Times New Roman" w:cs="Times New Roman"/>
          <w:b/>
        </w:rPr>
        <w:t>pirmkārt</w:t>
      </w:r>
      <w:proofErr w:type="spellEnd"/>
      <w:r w:rsidRPr="00BA7F97">
        <w:rPr>
          <w:rFonts w:ascii="Times New Roman" w:hAnsi="Times New Roman" w:cs="Times New Roman"/>
        </w:rPr>
        <w:t xml:space="preserve"> – </w:t>
      </w:r>
      <w:proofErr w:type="spellStart"/>
      <w:r w:rsidRPr="00BA7F97">
        <w:rPr>
          <w:rFonts w:ascii="Times New Roman" w:hAnsi="Times New Roman" w:cs="Times New Roman"/>
        </w:rPr>
        <w:t>tās</w:t>
      </w:r>
      <w:proofErr w:type="spellEnd"/>
      <w:r w:rsidRPr="00BA7F97">
        <w:rPr>
          <w:rFonts w:ascii="Times New Roman" w:hAnsi="Times New Roman" w:cs="Times New Roman"/>
        </w:rPr>
        <w:t xml:space="preserve"> </w:t>
      </w:r>
      <w:proofErr w:type="spellStart"/>
      <w:r w:rsidRPr="00BA7F97">
        <w:rPr>
          <w:rFonts w:ascii="Times New Roman" w:hAnsi="Times New Roman" w:cs="Times New Roman"/>
        </w:rPr>
        <w:t>valsts</w:t>
      </w:r>
      <w:proofErr w:type="spellEnd"/>
      <w:r w:rsidRPr="00BA7F97">
        <w:rPr>
          <w:rFonts w:ascii="Times New Roman" w:hAnsi="Times New Roman" w:cs="Times New Roman"/>
        </w:rPr>
        <w:t xml:space="preserve"> </w:t>
      </w:r>
      <w:proofErr w:type="spellStart"/>
      <w:r w:rsidRPr="00BA7F97">
        <w:rPr>
          <w:rFonts w:ascii="Times New Roman" w:hAnsi="Times New Roman" w:cs="Times New Roman"/>
        </w:rPr>
        <w:t>likums</w:t>
      </w:r>
      <w:proofErr w:type="spellEnd"/>
      <w:r w:rsidRPr="00BA7F97">
        <w:rPr>
          <w:rFonts w:ascii="Times New Roman" w:hAnsi="Times New Roman" w:cs="Times New Roman"/>
        </w:rPr>
        <w:t xml:space="preserve">, </w:t>
      </w:r>
      <w:proofErr w:type="spellStart"/>
      <w:r w:rsidRPr="00BA7F97">
        <w:rPr>
          <w:rFonts w:ascii="Times New Roman" w:hAnsi="Times New Roman" w:cs="Times New Roman"/>
        </w:rPr>
        <w:t>kurā</w:t>
      </w:r>
      <w:proofErr w:type="spellEnd"/>
      <w:r w:rsidRPr="00BA7F97">
        <w:rPr>
          <w:rFonts w:ascii="Times New Roman" w:hAnsi="Times New Roman" w:cs="Times New Roman"/>
        </w:rPr>
        <w:t xml:space="preserve"> </w:t>
      </w:r>
      <w:proofErr w:type="spellStart"/>
      <w:r w:rsidRPr="00BA7F97">
        <w:rPr>
          <w:rFonts w:ascii="Times New Roman" w:hAnsi="Times New Roman" w:cs="Times New Roman"/>
        </w:rPr>
        <w:t>izmanto</w:t>
      </w:r>
      <w:proofErr w:type="spellEnd"/>
      <w:r w:rsidRPr="00BA7F97">
        <w:rPr>
          <w:rFonts w:ascii="Times New Roman" w:hAnsi="Times New Roman" w:cs="Times New Roman"/>
        </w:rPr>
        <w:t xml:space="preserve"> </w:t>
      </w:r>
      <w:proofErr w:type="spellStart"/>
      <w:r w:rsidRPr="00BA7F97">
        <w:rPr>
          <w:rFonts w:ascii="Times New Roman" w:hAnsi="Times New Roman" w:cs="Times New Roman"/>
        </w:rPr>
        <w:t>pilnvaru</w:t>
      </w:r>
      <w:proofErr w:type="spellEnd"/>
      <w:r w:rsidRPr="00BA7F97">
        <w:rPr>
          <w:rFonts w:ascii="Times New Roman" w:hAnsi="Times New Roman" w:cs="Times New Roman"/>
        </w:rPr>
        <w:t xml:space="preserve">. </w:t>
      </w:r>
      <w:proofErr w:type="spellStart"/>
      <w:r w:rsidRPr="00BA7F97">
        <w:rPr>
          <w:rFonts w:ascii="Times New Roman" w:hAnsi="Times New Roman" w:cs="Times New Roman"/>
        </w:rPr>
        <w:t>Piemēram</w:t>
      </w:r>
      <w:proofErr w:type="spellEnd"/>
      <w:r w:rsidRPr="00BA7F97">
        <w:rPr>
          <w:rFonts w:ascii="Times New Roman" w:hAnsi="Times New Roman" w:cs="Times New Roman"/>
        </w:rPr>
        <w:t xml:space="preserve">, </w:t>
      </w:r>
      <w:proofErr w:type="spellStart"/>
      <w:r w:rsidRPr="00BA7F97">
        <w:rPr>
          <w:rFonts w:ascii="Times New Roman" w:hAnsi="Times New Roman" w:cs="Times New Roman"/>
        </w:rPr>
        <w:t>ja</w:t>
      </w:r>
      <w:proofErr w:type="spellEnd"/>
      <w:r w:rsidRPr="00BA7F97">
        <w:rPr>
          <w:rFonts w:ascii="Times New Roman" w:hAnsi="Times New Roman" w:cs="Times New Roman"/>
        </w:rPr>
        <w:t xml:space="preserve"> </w:t>
      </w:r>
      <w:proofErr w:type="spellStart"/>
      <w:r w:rsidRPr="00BA7F97">
        <w:rPr>
          <w:rFonts w:ascii="Times New Roman" w:hAnsi="Times New Roman" w:cs="Times New Roman"/>
        </w:rPr>
        <w:t>pilnvara</w:t>
      </w:r>
      <w:proofErr w:type="spellEnd"/>
      <w:r w:rsidRPr="00BA7F97">
        <w:rPr>
          <w:rFonts w:ascii="Times New Roman" w:hAnsi="Times New Roman" w:cs="Times New Roman"/>
        </w:rPr>
        <w:t xml:space="preserve"> </w:t>
      </w:r>
      <w:proofErr w:type="spellStart"/>
      <w:r w:rsidRPr="00BA7F97">
        <w:rPr>
          <w:rFonts w:ascii="Times New Roman" w:hAnsi="Times New Roman" w:cs="Times New Roman"/>
        </w:rPr>
        <w:t>ir</w:t>
      </w:r>
      <w:proofErr w:type="spellEnd"/>
      <w:r w:rsidRPr="00BA7F97">
        <w:rPr>
          <w:rFonts w:ascii="Times New Roman" w:hAnsi="Times New Roman" w:cs="Times New Roman"/>
        </w:rPr>
        <w:t xml:space="preserve"> </w:t>
      </w:r>
      <w:proofErr w:type="spellStart"/>
      <w:r w:rsidRPr="00BA7F97">
        <w:rPr>
          <w:rFonts w:ascii="Times New Roman" w:hAnsi="Times New Roman" w:cs="Times New Roman"/>
        </w:rPr>
        <w:t>izdota</w:t>
      </w:r>
      <w:proofErr w:type="spellEnd"/>
      <w:r w:rsidRPr="00BA7F97">
        <w:rPr>
          <w:rFonts w:ascii="Times New Roman" w:hAnsi="Times New Roman" w:cs="Times New Roman"/>
        </w:rPr>
        <w:t xml:space="preserve"> </w:t>
      </w:r>
      <w:proofErr w:type="spellStart"/>
      <w:r w:rsidRPr="00BA7F97">
        <w:rPr>
          <w:rFonts w:ascii="Times New Roman" w:hAnsi="Times New Roman" w:cs="Times New Roman"/>
        </w:rPr>
        <w:t>Vācijā</w:t>
      </w:r>
      <w:proofErr w:type="spellEnd"/>
      <w:r w:rsidRPr="00BA7F97">
        <w:rPr>
          <w:rFonts w:ascii="Times New Roman" w:hAnsi="Times New Roman" w:cs="Times New Roman"/>
        </w:rPr>
        <w:t xml:space="preserve"> </w:t>
      </w:r>
      <w:proofErr w:type="spellStart"/>
      <w:r w:rsidRPr="00BA7F97">
        <w:rPr>
          <w:rFonts w:ascii="Times New Roman" w:hAnsi="Times New Roman" w:cs="Times New Roman"/>
        </w:rPr>
        <w:t>darbībām</w:t>
      </w:r>
      <w:proofErr w:type="spellEnd"/>
      <w:r w:rsidRPr="00BA7F97">
        <w:rPr>
          <w:rFonts w:ascii="Times New Roman" w:hAnsi="Times New Roman" w:cs="Times New Roman"/>
        </w:rPr>
        <w:t xml:space="preserve"> </w:t>
      </w:r>
      <w:proofErr w:type="spellStart"/>
      <w:r w:rsidRPr="00BA7F97">
        <w:rPr>
          <w:rFonts w:ascii="Times New Roman" w:hAnsi="Times New Roman" w:cs="Times New Roman"/>
        </w:rPr>
        <w:t>Latvijā</w:t>
      </w:r>
      <w:proofErr w:type="spellEnd"/>
      <w:r w:rsidRPr="00BA7F97">
        <w:rPr>
          <w:rFonts w:ascii="Times New Roman" w:hAnsi="Times New Roman" w:cs="Times New Roman"/>
        </w:rPr>
        <w:t xml:space="preserve">, </w:t>
      </w:r>
      <w:proofErr w:type="spellStart"/>
      <w:r w:rsidRPr="00BA7F97">
        <w:rPr>
          <w:rFonts w:ascii="Times New Roman" w:hAnsi="Times New Roman" w:cs="Times New Roman"/>
        </w:rPr>
        <w:t>tad</w:t>
      </w:r>
      <w:proofErr w:type="spellEnd"/>
      <w:r w:rsidRPr="00BA7F97">
        <w:rPr>
          <w:rFonts w:ascii="Times New Roman" w:hAnsi="Times New Roman" w:cs="Times New Roman"/>
        </w:rPr>
        <w:t xml:space="preserve"> </w:t>
      </w:r>
      <w:proofErr w:type="spellStart"/>
      <w:r w:rsidRPr="00BA7F97">
        <w:rPr>
          <w:rFonts w:ascii="Times New Roman" w:hAnsi="Times New Roman" w:cs="Times New Roman"/>
        </w:rPr>
        <w:t>pilnvarojuma</w:t>
      </w:r>
      <w:proofErr w:type="spellEnd"/>
      <w:r w:rsidRPr="00BA7F97">
        <w:rPr>
          <w:rFonts w:ascii="Times New Roman" w:hAnsi="Times New Roman" w:cs="Times New Roman"/>
        </w:rPr>
        <w:t xml:space="preserve"> </w:t>
      </w:r>
      <w:proofErr w:type="spellStart"/>
      <w:r w:rsidRPr="00BA7F97">
        <w:rPr>
          <w:rFonts w:ascii="Times New Roman" w:hAnsi="Times New Roman" w:cs="Times New Roman"/>
        </w:rPr>
        <w:t>statūtam</w:t>
      </w:r>
      <w:proofErr w:type="spellEnd"/>
      <w:r w:rsidRPr="00BA7F97">
        <w:rPr>
          <w:rFonts w:ascii="Times New Roman" w:hAnsi="Times New Roman" w:cs="Times New Roman"/>
        </w:rPr>
        <w:t xml:space="preserve"> </w:t>
      </w:r>
      <w:proofErr w:type="spellStart"/>
      <w:r w:rsidRPr="00BA7F97">
        <w:rPr>
          <w:rFonts w:ascii="Times New Roman" w:hAnsi="Times New Roman" w:cs="Times New Roman"/>
        </w:rPr>
        <w:t>būtu</w:t>
      </w:r>
      <w:proofErr w:type="spellEnd"/>
      <w:r w:rsidRPr="00BA7F97">
        <w:rPr>
          <w:rFonts w:ascii="Times New Roman" w:hAnsi="Times New Roman" w:cs="Times New Roman"/>
        </w:rPr>
        <w:t xml:space="preserve"> </w:t>
      </w:r>
      <w:proofErr w:type="spellStart"/>
      <w:r w:rsidRPr="00BA7F97">
        <w:rPr>
          <w:rFonts w:ascii="Times New Roman" w:hAnsi="Times New Roman" w:cs="Times New Roman"/>
        </w:rPr>
        <w:t>piemērojams</w:t>
      </w:r>
      <w:proofErr w:type="spellEnd"/>
      <w:r w:rsidRPr="00BA7F97">
        <w:rPr>
          <w:rFonts w:ascii="Times New Roman" w:hAnsi="Times New Roman" w:cs="Times New Roman"/>
        </w:rPr>
        <w:t xml:space="preserve"> Latvijas </w:t>
      </w:r>
      <w:proofErr w:type="spellStart"/>
      <w:r w:rsidRPr="00BA7F97">
        <w:rPr>
          <w:rFonts w:ascii="Times New Roman" w:hAnsi="Times New Roman" w:cs="Times New Roman"/>
        </w:rPr>
        <w:t>likums</w:t>
      </w:r>
      <w:proofErr w:type="spellEnd"/>
      <w:r w:rsidRPr="00BA7F97">
        <w:rPr>
          <w:rFonts w:ascii="Times New Roman" w:hAnsi="Times New Roman" w:cs="Times New Roman"/>
        </w:rPr>
        <w:t xml:space="preserve">. </w:t>
      </w:r>
      <w:proofErr w:type="spellStart"/>
      <w:r w:rsidRPr="00BA7F97">
        <w:rPr>
          <w:rFonts w:ascii="Times New Roman" w:hAnsi="Times New Roman" w:cs="Times New Roman"/>
        </w:rPr>
        <w:t>Šāda</w:t>
      </w:r>
      <w:proofErr w:type="spellEnd"/>
      <w:r w:rsidRPr="00BA7F97">
        <w:rPr>
          <w:rFonts w:ascii="Times New Roman" w:hAnsi="Times New Roman" w:cs="Times New Roman"/>
        </w:rPr>
        <w:t xml:space="preserve"> </w:t>
      </w:r>
      <w:proofErr w:type="spellStart"/>
      <w:r w:rsidRPr="00BA7F97">
        <w:rPr>
          <w:rFonts w:ascii="Times New Roman" w:hAnsi="Times New Roman" w:cs="Times New Roman"/>
        </w:rPr>
        <w:t>piesaiste</w:t>
      </w:r>
      <w:proofErr w:type="spellEnd"/>
      <w:r w:rsidRPr="00BA7F97">
        <w:rPr>
          <w:rFonts w:ascii="Times New Roman" w:hAnsi="Times New Roman" w:cs="Times New Roman"/>
        </w:rPr>
        <w:t xml:space="preserve"> </w:t>
      </w:r>
      <w:proofErr w:type="spellStart"/>
      <w:r w:rsidRPr="00BA7F97">
        <w:rPr>
          <w:rFonts w:ascii="Times New Roman" w:hAnsi="Times New Roman" w:cs="Times New Roman"/>
        </w:rPr>
        <w:t>kalpo</w:t>
      </w:r>
      <w:proofErr w:type="spellEnd"/>
      <w:r w:rsidRPr="00BA7F97">
        <w:rPr>
          <w:rFonts w:ascii="Times New Roman" w:hAnsi="Times New Roman" w:cs="Times New Roman"/>
        </w:rPr>
        <w:t xml:space="preserve"> </w:t>
      </w:r>
      <w:proofErr w:type="spellStart"/>
      <w:r w:rsidRPr="00BA7F97">
        <w:rPr>
          <w:rFonts w:ascii="Times New Roman" w:hAnsi="Times New Roman" w:cs="Times New Roman"/>
        </w:rPr>
        <w:t>g.k</w:t>
      </w:r>
      <w:proofErr w:type="spellEnd"/>
      <w:r w:rsidRPr="00BA7F97">
        <w:rPr>
          <w:rFonts w:ascii="Times New Roman" w:hAnsi="Times New Roman" w:cs="Times New Roman"/>
        </w:rPr>
        <w:t xml:space="preserve">. </w:t>
      </w:r>
      <w:proofErr w:type="spellStart"/>
      <w:r w:rsidRPr="00BA7F97">
        <w:rPr>
          <w:rFonts w:ascii="Times New Roman" w:hAnsi="Times New Roman" w:cs="Times New Roman"/>
        </w:rPr>
        <w:t>trešo</w:t>
      </w:r>
      <w:proofErr w:type="spellEnd"/>
      <w:r w:rsidRPr="00BA7F97">
        <w:rPr>
          <w:rFonts w:ascii="Times New Roman" w:hAnsi="Times New Roman" w:cs="Times New Roman"/>
        </w:rPr>
        <w:t xml:space="preserve"> </w:t>
      </w:r>
      <w:proofErr w:type="spellStart"/>
      <w:r w:rsidRPr="00BA7F97">
        <w:rPr>
          <w:rFonts w:ascii="Times New Roman" w:hAnsi="Times New Roman" w:cs="Times New Roman"/>
        </w:rPr>
        <w:t>personu</w:t>
      </w:r>
      <w:proofErr w:type="spellEnd"/>
      <w:r w:rsidRPr="00BA7F97">
        <w:rPr>
          <w:rFonts w:ascii="Times New Roman" w:hAnsi="Times New Roman" w:cs="Times New Roman"/>
        </w:rPr>
        <w:t xml:space="preserve"> </w:t>
      </w:r>
      <w:proofErr w:type="spellStart"/>
      <w:proofErr w:type="gramStart"/>
      <w:r w:rsidRPr="00BA7F97">
        <w:rPr>
          <w:rFonts w:ascii="Times New Roman" w:hAnsi="Times New Roman" w:cs="Times New Roman"/>
        </w:rPr>
        <w:t>interesēm</w:t>
      </w:r>
      <w:proofErr w:type="spellEnd"/>
      <w:r w:rsidRPr="00BA7F97">
        <w:rPr>
          <w:rFonts w:ascii="Times New Roman" w:hAnsi="Times New Roman" w:cs="Times New Roman"/>
        </w:rPr>
        <w:t>;</w:t>
      </w:r>
      <w:proofErr w:type="gramEnd"/>
      <w:r w:rsidRPr="00BA7F97">
        <w:rPr>
          <w:rFonts w:ascii="Times New Roman" w:hAnsi="Times New Roman" w:cs="Times New Roman"/>
        </w:rPr>
        <w:t xml:space="preserve"> </w:t>
      </w:r>
    </w:p>
    <w:p w14:paraId="29C56FEB" w14:textId="77777777" w:rsidR="00114953" w:rsidRPr="00351B16" w:rsidRDefault="00114953" w:rsidP="00114953">
      <w:pPr>
        <w:jc w:val="both"/>
        <w:rPr>
          <w:rFonts w:ascii="Times New Roman" w:hAnsi="Times New Roman" w:cs="Times New Roman"/>
        </w:rPr>
      </w:pPr>
      <w:r w:rsidRPr="00BA7F97">
        <w:rPr>
          <w:rFonts w:ascii="Times New Roman" w:hAnsi="Times New Roman" w:cs="Times New Roman"/>
        </w:rPr>
        <w:t xml:space="preserve">- </w:t>
      </w:r>
      <w:proofErr w:type="spellStart"/>
      <w:r w:rsidRPr="00BA7F97">
        <w:rPr>
          <w:rFonts w:ascii="Times New Roman" w:hAnsi="Times New Roman" w:cs="Times New Roman"/>
          <w:b/>
        </w:rPr>
        <w:t>otrkārt</w:t>
      </w:r>
      <w:proofErr w:type="spellEnd"/>
      <w:r w:rsidRPr="00BA7F97">
        <w:rPr>
          <w:rFonts w:ascii="Times New Roman" w:hAnsi="Times New Roman" w:cs="Times New Roman"/>
        </w:rPr>
        <w:t xml:space="preserve"> – </w:t>
      </w:r>
      <w:proofErr w:type="spellStart"/>
      <w:r w:rsidRPr="00BA7F97">
        <w:rPr>
          <w:rFonts w:ascii="Times New Roman" w:hAnsi="Times New Roman" w:cs="Times New Roman"/>
        </w:rPr>
        <w:t>ja</w:t>
      </w:r>
      <w:proofErr w:type="spellEnd"/>
      <w:r w:rsidRPr="00BA7F97">
        <w:rPr>
          <w:rFonts w:ascii="Times New Roman" w:hAnsi="Times New Roman" w:cs="Times New Roman"/>
        </w:rPr>
        <w:t xml:space="preserve"> </w:t>
      </w:r>
      <w:proofErr w:type="spellStart"/>
      <w:r w:rsidRPr="00BA7F97">
        <w:rPr>
          <w:rFonts w:ascii="Times New Roman" w:hAnsi="Times New Roman" w:cs="Times New Roman"/>
        </w:rPr>
        <w:t>pilnvarniekam</w:t>
      </w:r>
      <w:proofErr w:type="spellEnd"/>
      <w:r w:rsidRPr="00BA7F97">
        <w:rPr>
          <w:rFonts w:ascii="Times New Roman" w:hAnsi="Times New Roman" w:cs="Times New Roman"/>
        </w:rPr>
        <w:t xml:space="preserve"> </w:t>
      </w:r>
      <w:proofErr w:type="spellStart"/>
      <w:r w:rsidRPr="00BA7F97">
        <w:rPr>
          <w:rFonts w:ascii="Times New Roman" w:hAnsi="Times New Roman" w:cs="Times New Roman"/>
        </w:rPr>
        <w:t>ir</w:t>
      </w:r>
      <w:proofErr w:type="spellEnd"/>
      <w:r w:rsidRPr="00BA7F97">
        <w:rPr>
          <w:rFonts w:ascii="Times New Roman" w:hAnsi="Times New Roman" w:cs="Times New Roman"/>
        </w:rPr>
        <w:t xml:space="preserve"> </w:t>
      </w:r>
      <w:proofErr w:type="spellStart"/>
      <w:r w:rsidRPr="00BA7F97">
        <w:rPr>
          <w:rFonts w:ascii="Times New Roman" w:hAnsi="Times New Roman" w:cs="Times New Roman"/>
        </w:rPr>
        <w:t>sava</w:t>
      </w:r>
      <w:proofErr w:type="spellEnd"/>
      <w:r w:rsidRPr="00BA7F97">
        <w:rPr>
          <w:rFonts w:ascii="Times New Roman" w:hAnsi="Times New Roman" w:cs="Times New Roman"/>
        </w:rPr>
        <w:t xml:space="preserve"> </w:t>
      </w:r>
      <w:proofErr w:type="spellStart"/>
      <w:r w:rsidRPr="00BA7F97">
        <w:rPr>
          <w:rFonts w:ascii="Times New Roman" w:hAnsi="Times New Roman" w:cs="Times New Roman"/>
        </w:rPr>
        <w:t>pastāvīga</w:t>
      </w:r>
      <w:proofErr w:type="spellEnd"/>
      <w:r w:rsidRPr="00BA7F97">
        <w:rPr>
          <w:rFonts w:ascii="Times New Roman" w:hAnsi="Times New Roman" w:cs="Times New Roman"/>
        </w:rPr>
        <w:t xml:space="preserve"> </w:t>
      </w:r>
      <w:proofErr w:type="spellStart"/>
      <w:r w:rsidRPr="00BA7F97">
        <w:rPr>
          <w:rFonts w:ascii="Times New Roman" w:hAnsi="Times New Roman" w:cs="Times New Roman"/>
        </w:rPr>
        <w:t>uzņēmuma</w:t>
      </w:r>
      <w:proofErr w:type="spellEnd"/>
      <w:r w:rsidRPr="00BA7F97">
        <w:rPr>
          <w:rFonts w:ascii="Times New Roman" w:hAnsi="Times New Roman" w:cs="Times New Roman"/>
        </w:rPr>
        <w:t xml:space="preserve"> </w:t>
      </w:r>
      <w:proofErr w:type="spellStart"/>
      <w:r w:rsidRPr="00BA7F97">
        <w:rPr>
          <w:rFonts w:ascii="Times New Roman" w:hAnsi="Times New Roman" w:cs="Times New Roman"/>
        </w:rPr>
        <w:t>atrašanās</w:t>
      </w:r>
      <w:proofErr w:type="spellEnd"/>
      <w:r w:rsidRPr="00BA7F97">
        <w:rPr>
          <w:rFonts w:ascii="Times New Roman" w:hAnsi="Times New Roman" w:cs="Times New Roman"/>
        </w:rPr>
        <w:t xml:space="preserve"> </w:t>
      </w:r>
      <w:proofErr w:type="spellStart"/>
      <w:r w:rsidRPr="00BA7F97">
        <w:rPr>
          <w:rFonts w:ascii="Times New Roman" w:hAnsi="Times New Roman" w:cs="Times New Roman"/>
        </w:rPr>
        <w:t>vieta</w:t>
      </w:r>
      <w:proofErr w:type="spellEnd"/>
      <w:r w:rsidRPr="00BA7F97">
        <w:rPr>
          <w:rFonts w:ascii="Times New Roman" w:hAnsi="Times New Roman" w:cs="Times New Roman"/>
        </w:rPr>
        <w:t xml:space="preserve">, </w:t>
      </w:r>
      <w:proofErr w:type="spellStart"/>
      <w:r w:rsidRPr="00BA7F97">
        <w:rPr>
          <w:rFonts w:ascii="Times New Roman" w:hAnsi="Times New Roman" w:cs="Times New Roman"/>
        </w:rPr>
        <w:t>tad</w:t>
      </w:r>
      <w:proofErr w:type="spellEnd"/>
      <w:r w:rsidRPr="00BA7F97">
        <w:rPr>
          <w:rFonts w:ascii="Times New Roman" w:hAnsi="Times New Roman" w:cs="Times New Roman"/>
        </w:rPr>
        <w:t xml:space="preserve"> </w:t>
      </w:r>
      <w:proofErr w:type="spellStart"/>
      <w:r w:rsidRPr="00BA7F97">
        <w:rPr>
          <w:rFonts w:ascii="Times New Roman" w:hAnsi="Times New Roman" w:cs="Times New Roman"/>
        </w:rPr>
        <w:t>pilnvaras</w:t>
      </w:r>
      <w:proofErr w:type="spellEnd"/>
      <w:r w:rsidRPr="00BA7F97">
        <w:rPr>
          <w:rFonts w:ascii="Times New Roman" w:hAnsi="Times New Roman" w:cs="Times New Roman"/>
        </w:rPr>
        <w:t xml:space="preserve"> </w:t>
      </w:r>
      <w:proofErr w:type="spellStart"/>
      <w:r w:rsidRPr="00BA7F97">
        <w:rPr>
          <w:rFonts w:ascii="Times New Roman" w:hAnsi="Times New Roman" w:cs="Times New Roman"/>
        </w:rPr>
        <w:t>statūtam</w:t>
      </w:r>
      <w:proofErr w:type="spellEnd"/>
      <w:r w:rsidRPr="00BA7F97">
        <w:rPr>
          <w:rFonts w:ascii="Times New Roman" w:hAnsi="Times New Roman" w:cs="Times New Roman"/>
        </w:rPr>
        <w:t xml:space="preserve"> var </w:t>
      </w:r>
      <w:proofErr w:type="spellStart"/>
      <w:r w:rsidRPr="00BA7F97">
        <w:rPr>
          <w:rFonts w:ascii="Times New Roman" w:hAnsi="Times New Roman" w:cs="Times New Roman"/>
        </w:rPr>
        <w:t>piemērot</w:t>
      </w:r>
      <w:proofErr w:type="spellEnd"/>
      <w:r w:rsidRPr="00BA7F97">
        <w:rPr>
          <w:rFonts w:ascii="Times New Roman" w:hAnsi="Times New Roman" w:cs="Times New Roman"/>
        </w:rPr>
        <w:t xml:space="preserve"> </w:t>
      </w:r>
      <w:proofErr w:type="spellStart"/>
      <w:r w:rsidRPr="00BA7F97">
        <w:rPr>
          <w:rFonts w:ascii="Times New Roman" w:hAnsi="Times New Roman" w:cs="Times New Roman"/>
        </w:rPr>
        <w:t>tās</w:t>
      </w:r>
      <w:proofErr w:type="spellEnd"/>
      <w:r w:rsidRPr="00BA7F97">
        <w:rPr>
          <w:rFonts w:ascii="Times New Roman" w:hAnsi="Times New Roman" w:cs="Times New Roman"/>
        </w:rPr>
        <w:t xml:space="preserve"> </w:t>
      </w:r>
      <w:proofErr w:type="spellStart"/>
      <w:r w:rsidRPr="00BA7F97">
        <w:rPr>
          <w:rFonts w:ascii="Times New Roman" w:hAnsi="Times New Roman" w:cs="Times New Roman"/>
        </w:rPr>
        <w:t>valsts</w:t>
      </w:r>
      <w:proofErr w:type="spellEnd"/>
      <w:r w:rsidRPr="00BA7F97">
        <w:rPr>
          <w:rFonts w:ascii="Times New Roman" w:hAnsi="Times New Roman" w:cs="Times New Roman"/>
        </w:rPr>
        <w:t xml:space="preserve"> </w:t>
      </w:r>
      <w:proofErr w:type="spellStart"/>
      <w:r w:rsidRPr="00BA7F97">
        <w:rPr>
          <w:rFonts w:ascii="Times New Roman" w:hAnsi="Times New Roman" w:cs="Times New Roman"/>
        </w:rPr>
        <w:t>likumu</w:t>
      </w:r>
      <w:proofErr w:type="spellEnd"/>
      <w:r w:rsidRPr="00BA7F97">
        <w:rPr>
          <w:rFonts w:ascii="Times New Roman" w:hAnsi="Times New Roman" w:cs="Times New Roman"/>
        </w:rPr>
        <w:t xml:space="preserve">, </w:t>
      </w:r>
      <w:proofErr w:type="spellStart"/>
      <w:r w:rsidRPr="00BA7F97">
        <w:rPr>
          <w:rFonts w:ascii="Times New Roman" w:hAnsi="Times New Roman" w:cs="Times New Roman"/>
        </w:rPr>
        <w:t>kuras</w:t>
      </w:r>
      <w:proofErr w:type="spellEnd"/>
      <w:r w:rsidRPr="00BA7F97">
        <w:rPr>
          <w:rFonts w:ascii="Times New Roman" w:hAnsi="Times New Roman" w:cs="Times New Roman"/>
        </w:rPr>
        <w:t xml:space="preserve"> </w:t>
      </w:r>
      <w:proofErr w:type="spellStart"/>
      <w:r w:rsidRPr="00BA7F97">
        <w:rPr>
          <w:rFonts w:ascii="Times New Roman" w:hAnsi="Times New Roman" w:cs="Times New Roman"/>
        </w:rPr>
        <w:t>teritorijā</w:t>
      </w:r>
      <w:proofErr w:type="spellEnd"/>
      <w:r w:rsidRPr="00BA7F97">
        <w:rPr>
          <w:rFonts w:ascii="Times New Roman" w:hAnsi="Times New Roman" w:cs="Times New Roman"/>
        </w:rPr>
        <w:t xml:space="preserve"> </w:t>
      </w:r>
      <w:proofErr w:type="spellStart"/>
      <w:r w:rsidRPr="00BA7F97">
        <w:rPr>
          <w:rFonts w:ascii="Times New Roman" w:hAnsi="Times New Roman" w:cs="Times New Roman"/>
        </w:rPr>
        <w:t>atrodas</w:t>
      </w:r>
      <w:proofErr w:type="spellEnd"/>
      <w:r w:rsidRPr="00BA7F97">
        <w:rPr>
          <w:rFonts w:ascii="Times New Roman" w:hAnsi="Times New Roman" w:cs="Times New Roman"/>
        </w:rPr>
        <w:t xml:space="preserve"> </w:t>
      </w:r>
      <w:proofErr w:type="spellStart"/>
      <w:r w:rsidRPr="00BA7F97">
        <w:rPr>
          <w:rFonts w:ascii="Times New Roman" w:hAnsi="Times New Roman" w:cs="Times New Roman"/>
        </w:rPr>
        <w:t>šī</w:t>
      </w:r>
      <w:proofErr w:type="spellEnd"/>
      <w:r w:rsidRPr="00BA7F97">
        <w:rPr>
          <w:rFonts w:ascii="Times New Roman" w:hAnsi="Times New Roman" w:cs="Times New Roman"/>
        </w:rPr>
        <w:t xml:space="preserve"> </w:t>
      </w:r>
      <w:proofErr w:type="spellStart"/>
      <w:r w:rsidRPr="00BA7F97">
        <w:rPr>
          <w:rFonts w:ascii="Times New Roman" w:hAnsi="Times New Roman" w:cs="Times New Roman"/>
        </w:rPr>
        <w:t>pilnvarnieka</w:t>
      </w:r>
      <w:proofErr w:type="spellEnd"/>
      <w:r w:rsidRPr="00BA7F97">
        <w:rPr>
          <w:rFonts w:ascii="Times New Roman" w:hAnsi="Times New Roman" w:cs="Times New Roman"/>
        </w:rPr>
        <w:t xml:space="preserve"> </w:t>
      </w:r>
      <w:proofErr w:type="spellStart"/>
      <w:r w:rsidRPr="00BA7F97">
        <w:rPr>
          <w:rFonts w:ascii="Times New Roman" w:hAnsi="Times New Roman" w:cs="Times New Roman"/>
        </w:rPr>
        <w:t>uzņēmuma</w:t>
      </w:r>
      <w:proofErr w:type="spellEnd"/>
      <w:r w:rsidRPr="00BA7F97">
        <w:rPr>
          <w:rFonts w:ascii="Times New Roman" w:hAnsi="Times New Roman" w:cs="Times New Roman"/>
        </w:rPr>
        <w:t xml:space="preserve"> </w:t>
      </w:r>
      <w:proofErr w:type="spellStart"/>
      <w:r w:rsidRPr="00BA7F97">
        <w:rPr>
          <w:rFonts w:ascii="Times New Roman" w:hAnsi="Times New Roman" w:cs="Times New Roman"/>
        </w:rPr>
        <w:t>valde</w:t>
      </w:r>
      <w:proofErr w:type="spellEnd"/>
      <w:r w:rsidRPr="00BA7F97">
        <w:rPr>
          <w:rFonts w:ascii="Times New Roman" w:hAnsi="Times New Roman" w:cs="Times New Roman"/>
        </w:rPr>
        <w:t xml:space="preserve"> (</w:t>
      </w:r>
      <w:proofErr w:type="spellStart"/>
      <w:r w:rsidRPr="00BA7F97">
        <w:rPr>
          <w:rFonts w:ascii="Times New Roman" w:hAnsi="Times New Roman" w:cs="Times New Roman"/>
        </w:rPr>
        <w:t>ar</w:t>
      </w:r>
      <w:proofErr w:type="spellEnd"/>
      <w:r w:rsidRPr="00BA7F97">
        <w:rPr>
          <w:rFonts w:ascii="Times New Roman" w:hAnsi="Times New Roman" w:cs="Times New Roman"/>
        </w:rPr>
        <w:t xml:space="preserve"> </w:t>
      </w:r>
      <w:proofErr w:type="spellStart"/>
      <w:r w:rsidRPr="00BA7F97">
        <w:rPr>
          <w:rFonts w:ascii="Times New Roman" w:hAnsi="Times New Roman" w:cs="Times New Roman"/>
        </w:rPr>
        <w:t>nosacījumu</w:t>
      </w:r>
      <w:proofErr w:type="spellEnd"/>
      <w:r w:rsidRPr="00BA7F97">
        <w:rPr>
          <w:rFonts w:ascii="Times New Roman" w:hAnsi="Times New Roman" w:cs="Times New Roman"/>
        </w:rPr>
        <w:t xml:space="preserve">, ka </w:t>
      </w:r>
      <w:proofErr w:type="spellStart"/>
      <w:r w:rsidRPr="00BA7F97">
        <w:rPr>
          <w:rFonts w:ascii="Times New Roman" w:hAnsi="Times New Roman" w:cs="Times New Roman"/>
        </w:rPr>
        <w:t>pilnvarnieks</w:t>
      </w:r>
      <w:proofErr w:type="spellEnd"/>
      <w:r w:rsidRPr="00BA7F97">
        <w:rPr>
          <w:rFonts w:ascii="Times New Roman" w:hAnsi="Times New Roman" w:cs="Times New Roman"/>
        </w:rPr>
        <w:t xml:space="preserve"> </w:t>
      </w:r>
      <w:proofErr w:type="spellStart"/>
      <w:r w:rsidRPr="00BA7F97">
        <w:rPr>
          <w:rFonts w:ascii="Times New Roman" w:hAnsi="Times New Roman" w:cs="Times New Roman"/>
        </w:rPr>
        <w:t>darbojas</w:t>
      </w:r>
      <w:proofErr w:type="spellEnd"/>
      <w:r w:rsidRPr="00BA7F97">
        <w:rPr>
          <w:rFonts w:ascii="Times New Roman" w:hAnsi="Times New Roman" w:cs="Times New Roman"/>
        </w:rPr>
        <w:t xml:space="preserve"> </w:t>
      </w:r>
      <w:proofErr w:type="spellStart"/>
      <w:r w:rsidRPr="00BA7F97">
        <w:rPr>
          <w:rFonts w:ascii="Times New Roman" w:hAnsi="Times New Roman" w:cs="Times New Roman"/>
        </w:rPr>
        <w:t>šajā</w:t>
      </w:r>
      <w:proofErr w:type="spellEnd"/>
      <w:r w:rsidRPr="00351B16">
        <w:rPr>
          <w:rFonts w:ascii="Times New Roman" w:hAnsi="Times New Roman" w:cs="Times New Roman"/>
        </w:rPr>
        <w:t xml:space="preserve"> </w:t>
      </w:r>
      <w:proofErr w:type="spellStart"/>
      <w:r w:rsidRPr="00351B16">
        <w:rPr>
          <w:rFonts w:ascii="Times New Roman" w:hAnsi="Times New Roman" w:cs="Times New Roman"/>
        </w:rPr>
        <w:t>valdes</w:t>
      </w:r>
      <w:proofErr w:type="spellEnd"/>
      <w:r w:rsidRPr="00351B16">
        <w:rPr>
          <w:rFonts w:ascii="Times New Roman" w:hAnsi="Times New Roman" w:cs="Times New Roman"/>
        </w:rPr>
        <w:t xml:space="preserve"> </w:t>
      </w:r>
      <w:proofErr w:type="spellStart"/>
      <w:r w:rsidRPr="00351B16">
        <w:rPr>
          <w:rFonts w:ascii="Times New Roman" w:hAnsi="Times New Roman" w:cs="Times New Roman"/>
        </w:rPr>
        <w:t>atrašanās</w:t>
      </w:r>
      <w:proofErr w:type="spellEnd"/>
      <w:r w:rsidRPr="00351B16">
        <w:rPr>
          <w:rFonts w:ascii="Times New Roman" w:hAnsi="Times New Roman" w:cs="Times New Roman"/>
        </w:rPr>
        <w:t xml:space="preserve"> </w:t>
      </w:r>
      <w:proofErr w:type="spellStart"/>
      <w:r w:rsidRPr="00351B16">
        <w:rPr>
          <w:rFonts w:ascii="Times New Roman" w:hAnsi="Times New Roman" w:cs="Times New Roman"/>
        </w:rPr>
        <w:t>valstī</w:t>
      </w:r>
      <w:proofErr w:type="spellEnd"/>
      <w:proofErr w:type="gramStart"/>
      <w:r w:rsidRPr="00351B16">
        <w:rPr>
          <w:rFonts w:ascii="Times New Roman" w:hAnsi="Times New Roman" w:cs="Times New Roman"/>
        </w:rPr>
        <w:t>);</w:t>
      </w:r>
      <w:proofErr w:type="gramEnd"/>
    </w:p>
    <w:p w14:paraId="16634498" w14:textId="77777777" w:rsidR="00114953" w:rsidRPr="00351B16" w:rsidRDefault="00114953" w:rsidP="00114953">
      <w:pPr>
        <w:jc w:val="both"/>
        <w:rPr>
          <w:rFonts w:ascii="Times New Roman" w:hAnsi="Times New Roman" w:cs="Times New Roman"/>
        </w:rPr>
      </w:pPr>
      <w:r w:rsidRPr="00351B16">
        <w:rPr>
          <w:rFonts w:ascii="Times New Roman" w:hAnsi="Times New Roman" w:cs="Times New Roman"/>
        </w:rPr>
        <w:t xml:space="preserve">- </w:t>
      </w:r>
      <w:proofErr w:type="spellStart"/>
      <w:r w:rsidRPr="00351B16">
        <w:rPr>
          <w:rFonts w:ascii="Times New Roman" w:hAnsi="Times New Roman" w:cs="Times New Roman"/>
          <w:b/>
        </w:rPr>
        <w:t>treškārt</w:t>
      </w:r>
      <w:proofErr w:type="spellEnd"/>
      <w:r w:rsidRPr="00351B16">
        <w:rPr>
          <w:rFonts w:ascii="Times New Roman" w:hAnsi="Times New Roman" w:cs="Times New Roman"/>
        </w:rPr>
        <w:t xml:space="preserve"> – </w:t>
      </w:r>
      <w:proofErr w:type="spellStart"/>
      <w:r w:rsidRPr="00351B16">
        <w:rPr>
          <w:rFonts w:ascii="Times New Roman" w:hAnsi="Times New Roman" w:cs="Times New Roman"/>
        </w:rPr>
        <w:t>ja</w:t>
      </w:r>
      <w:proofErr w:type="spellEnd"/>
      <w:r w:rsidRPr="00351B16">
        <w:rPr>
          <w:rFonts w:ascii="Times New Roman" w:hAnsi="Times New Roman" w:cs="Times New Roman"/>
        </w:rPr>
        <w:t xml:space="preserve"> </w:t>
      </w:r>
      <w:proofErr w:type="spellStart"/>
      <w:r w:rsidRPr="00351B16">
        <w:rPr>
          <w:rFonts w:ascii="Times New Roman" w:hAnsi="Times New Roman" w:cs="Times New Roman"/>
        </w:rPr>
        <w:t>pilnvarnieks</w:t>
      </w:r>
      <w:proofErr w:type="spellEnd"/>
      <w:r w:rsidRPr="00351B16">
        <w:rPr>
          <w:rFonts w:ascii="Times New Roman" w:hAnsi="Times New Roman" w:cs="Times New Roman"/>
        </w:rPr>
        <w:t xml:space="preserve"> </w:t>
      </w:r>
      <w:proofErr w:type="spellStart"/>
      <w:r w:rsidRPr="00351B16">
        <w:rPr>
          <w:rFonts w:ascii="Times New Roman" w:hAnsi="Times New Roman" w:cs="Times New Roman"/>
        </w:rPr>
        <w:t>ir</w:t>
      </w:r>
      <w:proofErr w:type="spellEnd"/>
      <w:r w:rsidRPr="00351B16">
        <w:rPr>
          <w:rFonts w:ascii="Times New Roman" w:hAnsi="Times New Roman" w:cs="Times New Roman"/>
        </w:rPr>
        <w:t xml:space="preserve"> </w:t>
      </w:r>
      <w:proofErr w:type="spellStart"/>
      <w:r w:rsidRPr="00351B16">
        <w:rPr>
          <w:rFonts w:ascii="Times New Roman" w:hAnsi="Times New Roman" w:cs="Times New Roman"/>
        </w:rPr>
        <w:t>pilnvaras</w:t>
      </w:r>
      <w:proofErr w:type="spellEnd"/>
      <w:r w:rsidRPr="00351B16">
        <w:rPr>
          <w:rFonts w:ascii="Times New Roman" w:hAnsi="Times New Roman" w:cs="Times New Roman"/>
        </w:rPr>
        <w:t xml:space="preserve"> </w:t>
      </w:r>
      <w:proofErr w:type="spellStart"/>
      <w:r w:rsidRPr="00351B16">
        <w:rPr>
          <w:rFonts w:ascii="Times New Roman" w:hAnsi="Times New Roman" w:cs="Times New Roman"/>
        </w:rPr>
        <w:t>devēja</w:t>
      </w:r>
      <w:proofErr w:type="spellEnd"/>
      <w:r w:rsidRPr="00351B16">
        <w:rPr>
          <w:rFonts w:ascii="Times New Roman" w:hAnsi="Times New Roman" w:cs="Times New Roman"/>
        </w:rPr>
        <w:t xml:space="preserve"> </w:t>
      </w:r>
      <w:proofErr w:type="spellStart"/>
      <w:r w:rsidRPr="00351B16">
        <w:rPr>
          <w:rFonts w:ascii="Times New Roman" w:hAnsi="Times New Roman" w:cs="Times New Roman"/>
        </w:rPr>
        <w:t>darbinieks</w:t>
      </w:r>
      <w:proofErr w:type="spellEnd"/>
      <w:r w:rsidRPr="00351B16">
        <w:rPr>
          <w:rFonts w:ascii="Times New Roman" w:hAnsi="Times New Roman" w:cs="Times New Roman"/>
        </w:rPr>
        <w:t xml:space="preserve">, </w:t>
      </w:r>
      <w:proofErr w:type="spellStart"/>
      <w:r>
        <w:rPr>
          <w:rFonts w:ascii="Times New Roman" w:hAnsi="Times New Roman" w:cs="Times New Roman"/>
        </w:rPr>
        <w:t>tad</w:t>
      </w:r>
      <w:proofErr w:type="spellEnd"/>
      <w:r>
        <w:rPr>
          <w:rFonts w:ascii="Times New Roman" w:hAnsi="Times New Roman" w:cs="Times New Roman"/>
        </w:rPr>
        <w:t xml:space="preserve"> </w:t>
      </w:r>
      <w:proofErr w:type="spellStart"/>
      <w:r>
        <w:rPr>
          <w:rFonts w:ascii="Times New Roman" w:hAnsi="Times New Roman" w:cs="Times New Roman"/>
        </w:rPr>
        <w:t>pilnvaras</w:t>
      </w:r>
      <w:proofErr w:type="spellEnd"/>
      <w:r w:rsidRPr="00351B16">
        <w:rPr>
          <w:rFonts w:ascii="Times New Roman" w:hAnsi="Times New Roman" w:cs="Times New Roman"/>
        </w:rPr>
        <w:t xml:space="preserve"> </w:t>
      </w:r>
      <w:proofErr w:type="spellStart"/>
      <w:r w:rsidRPr="00351B16">
        <w:rPr>
          <w:rFonts w:ascii="Times New Roman" w:hAnsi="Times New Roman" w:cs="Times New Roman"/>
        </w:rPr>
        <w:t>statūtam</w:t>
      </w:r>
      <w:proofErr w:type="spellEnd"/>
      <w:r w:rsidRPr="00351B16">
        <w:rPr>
          <w:rFonts w:ascii="Times New Roman" w:hAnsi="Times New Roman" w:cs="Times New Roman"/>
        </w:rPr>
        <w:t xml:space="preserve"> </w:t>
      </w:r>
      <w:proofErr w:type="spellStart"/>
      <w:r w:rsidRPr="00351B16">
        <w:rPr>
          <w:rFonts w:ascii="Times New Roman" w:hAnsi="Times New Roman" w:cs="Times New Roman"/>
        </w:rPr>
        <w:t>piemēro</w:t>
      </w:r>
      <w:proofErr w:type="spellEnd"/>
      <w:r w:rsidRPr="00351B16">
        <w:rPr>
          <w:rFonts w:ascii="Times New Roman" w:hAnsi="Times New Roman" w:cs="Times New Roman"/>
        </w:rPr>
        <w:t xml:space="preserve"> </w:t>
      </w:r>
      <w:proofErr w:type="spellStart"/>
      <w:r w:rsidRPr="00351B16">
        <w:rPr>
          <w:rFonts w:ascii="Times New Roman" w:hAnsi="Times New Roman" w:cs="Times New Roman"/>
        </w:rPr>
        <w:t>darba</w:t>
      </w:r>
      <w:proofErr w:type="spellEnd"/>
      <w:r w:rsidRPr="00351B16">
        <w:rPr>
          <w:rFonts w:ascii="Times New Roman" w:hAnsi="Times New Roman" w:cs="Times New Roman"/>
        </w:rPr>
        <w:t xml:space="preserve"> </w:t>
      </w:r>
      <w:proofErr w:type="spellStart"/>
      <w:r w:rsidRPr="00351B16">
        <w:rPr>
          <w:rFonts w:ascii="Times New Roman" w:hAnsi="Times New Roman" w:cs="Times New Roman"/>
        </w:rPr>
        <w:t>devēja</w:t>
      </w:r>
      <w:proofErr w:type="spellEnd"/>
      <w:r w:rsidRPr="00351B16">
        <w:rPr>
          <w:rFonts w:ascii="Times New Roman" w:hAnsi="Times New Roman" w:cs="Times New Roman"/>
        </w:rPr>
        <w:t xml:space="preserve"> (</w:t>
      </w:r>
      <w:proofErr w:type="spellStart"/>
      <w:r w:rsidRPr="00351B16">
        <w:rPr>
          <w:rFonts w:ascii="Times New Roman" w:hAnsi="Times New Roman" w:cs="Times New Roman"/>
        </w:rPr>
        <w:t>pilnvaras</w:t>
      </w:r>
      <w:proofErr w:type="spellEnd"/>
      <w:r w:rsidRPr="00351B16">
        <w:rPr>
          <w:rFonts w:ascii="Times New Roman" w:hAnsi="Times New Roman" w:cs="Times New Roman"/>
        </w:rPr>
        <w:t xml:space="preserve"> </w:t>
      </w:r>
      <w:proofErr w:type="spellStart"/>
      <w:r w:rsidRPr="00351B16">
        <w:rPr>
          <w:rFonts w:ascii="Times New Roman" w:hAnsi="Times New Roman" w:cs="Times New Roman"/>
        </w:rPr>
        <w:t>devēja</w:t>
      </w:r>
      <w:proofErr w:type="spellEnd"/>
      <w:r w:rsidRPr="00351B16">
        <w:rPr>
          <w:rFonts w:ascii="Times New Roman" w:hAnsi="Times New Roman" w:cs="Times New Roman"/>
        </w:rPr>
        <w:t xml:space="preserve">) </w:t>
      </w:r>
      <w:proofErr w:type="spellStart"/>
      <w:r w:rsidRPr="00351B16">
        <w:rPr>
          <w:rFonts w:ascii="Times New Roman" w:hAnsi="Times New Roman" w:cs="Times New Roman"/>
        </w:rPr>
        <w:t>atrašanās</w:t>
      </w:r>
      <w:proofErr w:type="spellEnd"/>
      <w:r w:rsidRPr="00351B16">
        <w:rPr>
          <w:rFonts w:ascii="Times New Roman" w:hAnsi="Times New Roman" w:cs="Times New Roman"/>
        </w:rPr>
        <w:t xml:space="preserve"> </w:t>
      </w:r>
      <w:proofErr w:type="spellStart"/>
      <w:r w:rsidRPr="00351B16">
        <w:rPr>
          <w:rFonts w:ascii="Times New Roman" w:hAnsi="Times New Roman" w:cs="Times New Roman"/>
        </w:rPr>
        <w:t>vietas</w:t>
      </w:r>
      <w:proofErr w:type="spellEnd"/>
      <w:r w:rsidRPr="00351B16">
        <w:rPr>
          <w:rFonts w:ascii="Times New Roman" w:hAnsi="Times New Roman" w:cs="Times New Roman"/>
        </w:rPr>
        <w:t xml:space="preserve"> </w:t>
      </w:r>
      <w:proofErr w:type="spellStart"/>
      <w:r w:rsidRPr="00351B16">
        <w:rPr>
          <w:rFonts w:ascii="Times New Roman" w:hAnsi="Times New Roman" w:cs="Times New Roman"/>
        </w:rPr>
        <w:t>valsts</w:t>
      </w:r>
      <w:proofErr w:type="spellEnd"/>
      <w:r w:rsidRPr="00351B16">
        <w:rPr>
          <w:rFonts w:ascii="Times New Roman" w:hAnsi="Times New Roman" w:cs="Times New Roman"/>
        </w:rPr>
        <w:t xml:space="preserve"> </w:t>
      </w:r>
      <w:proofErr w:type="spellStart"/>
      <w:r w:rsidRPr="00351B16">
        <w:rPr>
          <w:rFonts w:ascii="Times New Roman" w:hAnsi="Times New Roman" w:cs="Times New Roman"/>
        </w:rPr>
        <w:t>likumu</w:t>
      </w:r>
      <w:proofErr w:type="spellEnd"/>
      <w:r w:rsidRPr="00351B16">
        <w:rPr>
          <w:rFonts w:ascii="Times New Roman" w:hAnsi="Times New Roman" w:cs="Times New Roman"/>
        </w:rPr>
        <w:t xml:space="preserve">. </w:t>
      </w:r>
    </w:p>
    <w:p w14:paraId="794B33DD" w14:textId="77777777" w:rsidR="00114953" w:rsidRDefault="00114953" w:rsidP="00114953">
      <w:pPr>
        <w:pStyle w:val="tv213"/>
        <w:ind w:firstLine="708"/>
        <w:jc w:val="both"/>
        <w:rPr>
          <w:b/>
          <w:color w:val="FF0000"/>
        </w:rPr>
      </w:pPr>
    </w:p>
    <w:p w14:paraId="55118B69" w14:textId="77777777" w:rsidR="00114953" w:rsidRPr="00BA7F97" w:rsidRDefault="00114953" w:rsidP="00114953">
      <w:pPr>
        <w:pStyle w:val="tv213"/>
        <w:ind w:firstLine="708"/>
        <w:jc w:val="center"/>
        <w:rPr>
          <w:b/>
        </w:rPr>
      </w:pPr>
      <w:proofErr w:type="spellStart"/>
      <w:r w:rsidRPr="00BA7F97">
        <w:rPr>
          <w:b/>
        </w:rPr>
        <w:t>Pilnvarojuma</w:t>
      </w:r>
      <w:proofErr w:type="spellEnd"/>
      <w:r w:rsidRPr="00BA7F97">
        <w:rPr>
          <w:b/>
        </w:rPr>
        <w:t xml:space="preserve"> </w:t>
      </w:r>
      <w:proofErr w:type="spellStart"/>
      <w:r w:rsidRPr="00BA7F97">
        <w:rPr>
          <w:b/>
        </w:rPr>
        <w:t>līguma</w:t>
      </w:r>
      <w:proofErr w:type="spellEnd"/>
      <w:r w:rsidRPr="00BA7F97">
        <w:rPr>
          <w:b/>
        </w:rPr>
        <w:t xml:space="preserve"> </w:t>
      </w:r>
      <w:proofErr w:type="spellStart"/>
      <w:r w:rsidRPr="00BA7F97">
        <w:rPr>
          <w:b/>
        </w:rPr>
        <w:t>saturam</w:t>
      </w:r>
      <w:proofErr w:type="spellEnd"/>
      <w:r w:rsidRPr="00BA7F97">
        <w:rPr>
          <w:b/>
        </w:rPr>
        <w:t xml:space="preserve"> </w:t>
      </w:r>
      <w:proofErr w:type="spellStart"/>
      <w:r w:rsidRPr="00BA7F97">
        <w:rPr>
          <w:b/>
        </w:rPr>
        <w:t>piemērojamais</w:t>
      </w:r>
      <w:proofErr w:type="spellEnd"/>
      <w:r w:rsidRPr="00BA7F97">
        <w:rPr>
          <w:b/>
        </w:rPr>
        <w:t xml:space="preserve"> </w:t>
      </w:r>
      <w:proofErr w:type="spellStart"/>
      <w:r w:rsidRPr="00BA7F97">
        <w:rPr>
          <w:b/>
        </w:rPr>
        <w:t>likums</w:t>
      </w:r>
      <w:proofErr w:type="spellEnd"/>
    </w:p>
    <w:p w14:paraId="1D1E2B2A" w14:textId="68060EF9" w:rsidR="00114953" w:rsidRPr="00BA7F97" w:rsidRDefault="00114953" w:rsidP="00114953">
      <w:pPr>
        <w:pStyle w:val="tv213"/>
        <w:ind w:firstLine="708"/>
        <w:jc w:val="both"/>
        <w:rPr>
          <w:strike/>
        </w:rPr>
      </w:pPr>
      <w:proofErr w:type="spellStart"/>
      <w:r w:rsidRPr="00BA7F97">
        <w:rPr>
          <w:b/>
        </w:rPr>
        <w:t>Pilnvarojuma</w:t>
      </w:r>
      <w:proofErr w:type="spellEnd"/>
      <w:r w:rsidRPr="00BA7F97">
        <w:rPr>
          <w:b/>
        </w:rPr>
        <w:t xml:space="preserve"> </w:t>
      </w:r>
      <w:proofErr w:type="spellStart"/>
      <w:r w:rsidRPr="00BA7F97">
        <w:rPr>
          <w:b/>
        </w:rPr>
        <w:t>līguma</w:t>
      </w:r>
      <w:proofErr w:type="spellEnd"/>
      <w:r w:rsidRPr="00BA7F97">
        <w:rPr>
          <w:b/>
        </w:rPr>
        <w:t xml:space="preserve"> </w:t>
      </w:r>
      <w:proofErr w:type="spellStart"/>
      <w:r w:rsidRPr="00BA7F97">
        <w:rPr>
          <w:b/>
        </w:rPr>
        <w:t>saturam</w:t>
      </w:r>
      <w:proofErr w:type="spellEnd"/>
      <w:r w:rsidRPr="00BA7F97">
        <w:rPr>
          <w:b/>
        </w:rPr>
        <w:t xml:space="preserve"> </w:t>
      </w:r>
      <w:proofErr w:type="spellStart"/>
      <w:r w:rsidRPr="00BA7F97">
        <w:rPr>
          <w:b/>
        </w:rPr>
        <w:t>piemērojamais</w:t>
      </w:r>
      <w:proofErr w:type="spellEnd"/>
      <w:r w:rsidRPr="00BA7F97">
        <w:rPr>
          <w:b/>
        </w:rPr>
        <w:t xml:space="preserve"> </w:t>
      </w:r>
      <w:proofErr w:type="spellStart"/>
      <w:r w:rsidRPr="00BA7F97">
        <w:rPr>
          <w:b/>
        </w:rPr>
        <w:t>likums</w:t>
      </w:r>
      <w:proofErr w:type="spellEnd"/>
      <w:r w:rsidRPr="00BA7F97">
        <w:rPr>
          <w:b/>
        </w:rPr>
        <w:t xml:space="preserve"> </w:t>
      </w:r>
      <w:proofErr w:type="spellStart"/>
      <w:r w:rsidRPr="00BA7F97">
        <w:rPr>
          <w:b/>
        </w:rPr>
        <w:t>Latvijā</w:t>
      </w:r>
      <w:proofErr w:type="spellEnd"/>
      <w:r w:rsidRPr="00BA7F97">
        <w:rPr>
          <w:b/>
        </w:rPr>
        <w:t xml:space="preserve"> </w:t>
      </w:r>
      <w:proofErr w:type="spellStart"/>
      <w:r w:rsidRPr="00BA7F97">
        <w:t>nosakāms</w:t>
      </w:r>
      <w:proofErr w:type="spellEnd"/>
      <w:r w:rsidRPr="00BA7F97">
        <w:t xml:space="preserve"> </w:t>
      </w:r>
      <w:proofErr w:type="spellStart"/>
      <w:r w:rsidRPr="00BA7F97">
        <w:t>saskaņā</w:t>
      </w:r>
      <w:proofErr w:type="spellEnd"/>
      <w:r w:rsidRPr="00BA7F97">
        <w:t xml:space="preserve"> </w:t>
      </w:r>
      <w:proofErr w:type="spellStart"/>
      <w:r w:rsidRPr="00BA7F97">
        <w:t>ar</w:t>
      </w:r>
      <w:proofErr w:type="spellEnd"/>
      <w:r w:rsidRPr="00BA7F97">
        <w:t xml:space="preserve"> Roma I </w:t>
      </w:r>
      <w:proofErr w:type="spellStart"/>
      <w:r w:rsidRPr="00BA7F97">
        <w:t>Regulu</w:t>
      </w:r>
      <w:proofErr w:type="spellEnd"/>
      <w:r w:rsidRPr="00BA7F97">
        <w:rPr>
          <w:b/>
        </w:rPr>
        <w:t>.</w:t>
      </w:r>
      <w:r w:rsidRPr="00BA7F97">
        <w:t xml:space="preserve"> </w:t>
      </w:r>
    </w:p>
    <w:p w14:paraId="6E7AD5C2" w14:textId="77777777" w:rsidR="00114953" w:rsidRDefault="00114953" w:rsidP="00BA7F97">
      <w:pPr>
        <w:pStyle w:val="tv213"/>
        <w:jc w:val="both"/>
        <w:rPr>
          <w:b/>
          <w:color w:val="FF0000"/>
        </w:rPr>
      </w:pPr>
    </w:p>
    <w:p w14:paraId="7967582D" w14:textId="77777777" w:rsidR="00114953" w:rsidRPr="00BA7F97" w:rsidRDefault="00114953" w:rsidP="00114953">
      <w:pPr>
        <w:pStyle w:val="tv213"/>
        <w:ind w:firstLine="708"/>
        <w:jc w:val="center"/>
        <w:rPr>
          <w:b/>
        </w:rPr>
      </w:pPr>
      <w:proofErr w:type="spellStart"/>
      <w:r w:rsidRPr="00BA7F97">
        <w:rPr>
          <w:b/>
        </w:rPr>
        <w:t>Pilnvaras</w:t>
      </w:r>
      <w:proofErr w:type="spellEnd"/>
      <w:r w:rsidRPr="00BA7F97">
        <w:rPr>
          <w:b/>
        </w:rPr>
        <w:t xml:space="preserve"> </w:t>
      </w:r>
      <w:proofErr w:type="spellStart"/>
      <w:r w:rsidRPr="00BA7F97">
        <w:rPr>
          <w:b/>
        </w:rPr>
        <w:t>saturam</w:t>
      </w:r>
      <w:proofErr w:type="spellEnd"/>
      <w:r w:rsidRPr="00BA7F97">
        <w:rPr>
          <w:b/>
        </w:rPr>
        <w:t xml:space="preserve"> </w:t>
      </w:r>
      <w:proofErr w:type="spellStart"/>
      <w:r w:rsidRPr="00BA7F97">
        <w:rPr>
          <w:b/>
        </w:rPr>
        <w:t>piemērojamais</w:t>
      </w:r>
      <w:proofErr w:type="spellEnd"/>
      <w:r w:rsidRPr="00BA7F97">
        <w:rPr>
          <w:b/>
        </w:rPr>
        <w:t xml:space="preserve"> </w:t>
      </w:r>
      <w:proofErr w:type="spellStart"/>
      <w:r w:rsidRPr="00BA7F97">
        <w:rPr>
          <w:b/>
        </w:rPr>
        <w:t>likums</w:t>
      </w:r>
      <w:proofErr w:type="spellEnd"/>
    </w:p>
    <w:p w14:paraId="0CAEBB59" w14:textId="77777777" w:rsidR="00114953" w:rsidRPr="00BA7F97" w:rsidRDefault="00114953" w:rsidP="00114953">
      <w:pPr>
        <w:pStyle w:val="tv213"/>
        <w:ind w:firstLine="708"/>
        <w:jc w:val="both"/>
      </w:pPr>
      <w:proofErr w:type="spellStart"/>
      <w:r w:rsidRPr="00BA7F97">
        <w:rPr>
          <w:b/>
        </w:rPr>
        <w:t>Pilnvaras</w:t>
      </w:r>
      <w:proofErr w:type="spellEnd"/>
      <w:r w:rsidRPr="00BA7F97">
        <w:rPr>
          <w:b/>
        </w:rPr>
        <w:t xml:space="preserve"> </w:t>
      </w:r>
      <w:proofErr w:type="spellStart"/>
      <w:r w:rsidRPr="00BA7F97">
        <w:rPr>
          <w:b/>
        </w:rPr>
        <w:t>saturam</w:t>
      </w:r>
      <w:proofErr w:type="spellEnd"/>
      <w:r w:rsidRPr="00BA7F97">
        <w:rPr>
          <w:b/>
        </w:rPr>
        <w:t xml:space="preserve"> </w:t>
      </w:r>
      <w:proofErr w:type="spellStart"/>
      <w:r w:rsidRPr="00BA7F97">
        <w:rPr>
          <w:b/>
        </w:rPr>
        <w:t>piemērojamais</w:t>
      </w:r>
      <w:proofErr w:type="spellEnd"/>
      <w:r w:rsidRPr="00BA7F97">
        <w:rPr>
          <w:b/>
        </w:rPr>
        <w:t xml:space="preserve"> </w:t>
      </w:r>
      <w:proofErr w:type="spellStart"/>
      <w:r w:rsidRPr="00BA7F97">
        <w:rPr>
          <w:b/>
        </w:rPr>
        <w:t>likums</w:t>
      </w:r>
      <w:proofErr w:type="spellEnd"/>
      <w:r w:rsidRPr="00BA7F97">
        <w:rPr>
          <w:b/>
        </w:rPr>
        <w:t xml:space="preserve"> </w:t>
      </w:r>
      <w:proofErr w:type="spellStart"/>
      <w:r w:rsidRPr="00BA7F97">
        <w:rPr>
          <w:b/>
        </w:rPr>
        <w:t>Latvijā</w:t>
      </w:r>
      <w:proofErr w:type="spellEnd"/>
      <w:r w:rsidRPr="00BA7F97">
        <w:rPr>
          <w:b/>
        </w:rPr>
        <w:t>:</w:t>
      </w:r>
      <w:r w:rsidRPr="00BA7F97">
        <w:t xml:space="preserve"> </w:t>
      </w:r>
      <w:proofErr w:type="spellStart"/>
      <w:r w:rsidRPr="00BA7F97">
        <w:t>Kā</w:t>
      </w:r>
      <w:proofErr w:type="spellEnd"/>
      <w:r w:rsidRPr="00BA7F97">
        <w:t xml:space="preserve"> </w:t>
      </w:r>
      <w:proofErr w:type="spellStart"/>
      <w:r w:rsidRPr="00BA7F97">
        <w:t>iepriekš</w:t>
      </w:r>
      <w:proofErr w:type="spellEnd"/>
      <w:r w:rsidRPr="00BA7F97">
        <w:t xml:space="preserve"> </w:t>
      </w:r>
      <w:proofErr w:type="spellStart"/>
      <w:r w:rsidRPr="00BA7F97">
        <w:t>tika</w:t>
      </w:r>
      <w:proofErr w:type="spellEnd"/>
      <w:r w:rsidRPr="00BA7F97">
        <w:t xml:space="preserve"> </w:t>
      </w:r>
      <w:proofErr w:type="spellStart"/>
      <w:r w:rsidRPr="00BA7F97">
        <w:t>minēts</w:t>
      </w:r>
      <w:proofErr w:type="spellEnd"/>
      <w:r w:rsidRPr="00BA7F97">
        <w:t xml:space="preserve">, Roma I Regula </w:t>
      </w:r>
      <w:proofErr w:type="spellStart"/>
      <w:r w:rsidRPr="00BA7F97">
        <w:t>nav</w:t>
      </w:r>
      <w:proofErr w:type="spellEnd"/>
      <w:r w:rsidRPr="00BA7F97">
        <w:t xml:space="preserve"> </w:t>
      </w:r>
      <w:proofErr w:type="spellStart"/>
      <w:r w:rsidRPr="00BA7F97">
        <w:t>piemērojama</w:t>
      </w:r>
      <w:proofErr w:type="spellEnd"/>
      <w:r w:rsidRPr="00BA7F97">
        <w:t xml:space="preserve"> ne </w:t>
      </w:r>
      <w:proofErr w:type="spellStart"/>
      <w:r w:rsidRPr="00BA7F97">
        <w:t>pilnvaru</w:t>
      </w:r>
      <w:proofErr w:type="spellEnd"/>
      <w:r w:rsidRPr="00BA7F97">
        <w:t xml:space="preserve"> </w:t>
      </w:r>
      <w:proofErr w:type="spellStart"/>
      <w:r w:rsidRPr="00BA7F97">
        <w:t>saturam</w:t>
      </w:r>
      <w:proofErr w:type="spellEnd"/>
      <w:r w:rsidRPr="00BA7F97">
        <w:t xml:space="preserve">, ne </w:t>
      </w:r>
      <w:proofErr w:type="spellStart"/>
      <w:r w:rsidRPr="00BA7F97">
        <w:t>formai</w:t>
      </w:r>
      <w:proofErr w:type="spellEnd"/>
      <w:r w:rsidRPr="00BA7F97">
        <w:t xml:space="preserve"> (</w:t>
      </w:r>
      <w:proofErr w:type="spellStart"/>
      <w:r w:rsidRPr="00BA7F97">
        <w:t>skat</w:t>
      </w:r>
      <w:proofErr w:type="spellEnd"/>
      <w:r w:rsidRPr="00BA7F97">
        <w:t xml:space="preserve">. Roma I Regulas 1.p. 2.d. „g“ </w:t>
      </w:r>
      <w:proofErr w:type="spellStart"/>
      <w:r w:rsidRPr="00BA7F97">
        <w:t>punktu</w:t>
      </w:r>
      <w:proofErr w:type="spellEnd"/>
      <w:r w:rsidRPr="00BA7F97">
        <w:t xml:space="preserve">). </w:t>
      </w:r>
      <w:proofErr w:type="spellStart"/>
      <w:r w:rsidRPr="00BA7F97">
        <w:t>Arī</w:t>
      </w:r>
      <w:proofErr w:type="spellEnd"/>
      <w:r w:rsidRPr="00BA7F97">
        <w:t xml:space="preserve"> Latvijas </w:t>
      </w:r>
      <w:proofErr w:type="spellStart"/>
      <w:r w:rsidRPr="00BA7F97">
        <w:t>nacionālajās</w:t>
      </w:r>
      <w:proofErr w:type="spellEnd"/>
      <w:r w:rsidRPr="00BA7F97">
        <w:t xml:space="preserve"> SPT </w:t>
      </w:r>
      <w:proofErr w:type="spellStart"/>
      <w:r w:rsidRPr="00BA7F97">
        <w:t>nav</w:t>
      </w:r>
      <w:proofErr w:type="spellEnd"/>
      <w:r w:rsidRPr="00BA7F97">
        <w:t xml:space="preserve"> </w:t>
      </w:r>
      <w:proofErr w:type="spellStart"/>
      <w:r w:rsidRPr="00BA7F97">
        <w:t>nevienas</w:t>
      </w:r>
      <w:proofErr w:type="spellEnd"/>
      <w:r w:rsidRPr="00BA7F97">
        <w:t xml:space="preserve"> </w:t>
      </w:r>
      <w:proofErr w:type="spellStart"/>
      <w:r w:rsidRPr="00BA7F97">
        <w:t>kolīziju</w:t>
      </w:r>
      <w:proofErr w:type="spellEnd"/>
      <w:r w:rsidRPr="00BA7F97">
        <w:t xml:space="preserve"> </w:t>
      </w:r>
      <w:proofErr w:type="spellStart"/>
      <w:r w:rsidRPr="00BA7F97">
        <w:t>normas</w:t>
      </w:r>
      <w:proofErr w:type="spellEnd"/>
      <w:r w:rsidRPr="00BA7F97">
        <w:t xml:space="preserve">, </w:t>
      </w:r>
      <w:proofErr w:type="spellStart"/>
      <w:r w:rsidRPr="00BA7F97">
        <w:t>kas</w:t>
      </w:r>
      <w:proofErr w:type="spellEnd"/>
      <w:r w:rsidRPr="00BA7F97">
        <w:t xml:space="preserve"> </w:t>
      </w:r>
      <w:proofErr w:type="spellStart"/>
      <w:r w:rsidRPr="00BA7F97">
        <w:t>būtu</w:t>
      </w:r>
      <w:proofErr w:type="spellEnd"/>
      <w:r w:rsidRPr="00BA7F97">
        <w:t xml:space="preserve"> </w:t>
      </w:r>
      <w:proofErr w:type="spellStart"/>
      <w:r w:rsidRPr="00BA7F97">
        <w:t>piemērojama</w:t>
      </w:r>
      <w:proofErr w:type="spellEnd"/>
      <w:r w:rsidRPr="00BA7F97">
        <w:t xml:space="preserve"> </w:t>
      </w:r>
      <w:proofErr w:type="spellStart"/>
      <w:r w:rsidRPr="00BA7F97">
        <w:rPr>
          <w:b/>
        </w:rPr>
        <w:t>pilnvarām</w:t>
      </w:r>
      <w:proofErr w:type="spellEnd"/>
      <w:r w:rsidRPr="00BA7F97">
        <w:t xml:space="preserve"> (</w:t>
      </w:r>
      <w:proofErr w:type="spellStart"/>
      <w:r w:rsidRPr="00BA7F97">
        <w:t>to</w:t>
      </w:r>
      <w:proofErr w:type="spellEnd"/>
      <w:r w:rsidRPr="00BA7F97">
        <w:t xml:space="preserve"> </w:t>
      </w:r>
      <w:proofErr w:type="spellStart"/>
      <w:r w:rsidRPr="00BA7F97">
        <w:t>sauram</w:t>
      </w:r>
      <w:proofErr w:type="spellEnd"/>
      <w:r w:rsidRPr="00BA7F97">
        <w:t xml:space="preserve"> </w:t>
      </w:r>
      <w:proofErr w:type="spellStart"/>
      <w:r w:rsidRPr="00BA7F97">
        <w:t>un</w:t>
      </w:r>
      <w:proofErr w:type="spellEnd"/>
      <w:r w:rsidRPr="00BA7F97">
        <w:t xml:space="preserve"> </w:t>
      </w:r>
      <w:proofErr w:type="spellStart"/>
      <w:r w:rsidRPr="00BA7F97">
        <w:t>formai</w:t>
      </w:r>
      <w:proofErr w:type="spellEnd"/>
      <w:r w:rsidRPr="00BA7F97">
        <w:t xml:space="preserve">). </w:t>
      </w:r>
      <w:proofErr w:type="spellStart"/>
      <w:r w:rsidRPr="00BA7F97">
        <w:t>Turklāt</w:t>
      </w:r>
      <w:proofErr w:type="spellEnd"/>
      <w:r w:rsidRPr="00BA7F97">
        <w:t xml:space="preserve">, Latvijas </w:t>
      </w:r>
      <w:proofErr w:type="spellStart"/>
      <w:r w:rsidRPr="00BA7F97">
        <w:t>tiesību</w:t>
      </w:r>
      <w:proofErr w:type="spellEnd"/>
      <w:r w:rsidRPr="00BA7F97">
        <w:t xml:space="preserve"> </w:t>
      </w:r>
      <w:proofErr w:type="spellStart"/>
      <w:r w:rsidRPr="00BA7F97">
        <w:t>zinātnē</w:t>
      </w:r>
      <w:proofErr w:type="spellEnd"/>
      <w:r w:rsidRPr="00BA7F97">
        <w:t xml:space="preserve"> </w:t>
      </w:r>
      <w:proofErr w:type="spellStart"/>
      <w:r w:rsidRPr="00BA7F97">
        <w:t>un</w:t>
      </w:r>
      <w:proofErr w:type="spellEnd"/>
      <w:r w:rsidRPr="00BA7F97">
        <w:t xml:space="preserve"> </w:t>
      </w:r>
      <w:proofErr w:type="spellStart"/>
      <w:r w:rsidRPr="00BA7F97">
        <w:t>tiesu</w:t>
      </w:r>
      <w:proofErr w:type="spellEnd"/>
      <w:r w:rsidRPr="00BA7F97">
        <w:t xml:space="preserve"> </w:t>
      </w:r>
      <w:proofErr w:type="spellStart"/>
      <w:r w:rsidRPr="00BA7F97">
        <w:t>praksē</w:t>
      </w:r>
      <w:proofErr w:type="spellEnd"/>
      <w:r w:rsidRPr="00BA7F97">
        <w:t xml:space="preserve"> </w:t>
      </w:r>
      <w:proofErr w:type="spellStart"/>
      <w:r w:rsidRPr="00BA7F97">
        <w:t>autorei</w:t>
      </w:r>
      <w:proofErr w:type="spellEnd"/>
      <w:r w:rsidRPr="00BA7F97">
        <w:t xml:space="preserve"> </w:t>
      </w:r>
      <w:proofErr w:type="spellStart"/>
      <w:r w:rsidRPr="00BA7F97">
        <w:t>neizdevās</w:t>
      </w:r>
      <w:proofErr w:type="spellEnd"/>
      <w:r w:rsidRPr="00BA7F97">
        <w:t xml:space="preserve"> </w:t>
      </w:r>
      <w:proofErr w:type="spellStart"/>
      <w:r w:rsidRPr="00BA7F97">
        <w:t>atrast</w:t>
      </w:r>
      <w:proofErr w:type="spellEnd"/>
      <w:r w:rsidRPr="00BA7F97">
        <w:t xml:space="preserve"> </w:t>
      </w:r>
      <w:proofErr w:type="spellStart"/>
      <w:r w:rsidRPr="00BA7F97">
        <w:t>nevienu</w:t>
      </w:r>
      <w:proofErr w:type="spellEnd"/>
      <w:r w:rsidRPr="00BA7F97">
        <w:t xml:space="preserve"> </w:t>
      </w:r>
      <w:proofErr w:type="spellStart"/>
      <w:r w:rsidRPr="00BA7F97">
        <w:t>norādi</w:t>
      </w:r>
      <w:proofErr w:type="spellEnd"/>
      <w:r w:rsidRPr="00BA7F97">
        <w:t xml:space="preserve"> par </w:t>
      </w:r>
      <w:proofErr w:type="spellStart"/>
      <w:r w:rsidRPr="00BA7F97">
        <w:t>to</w:t>
      </w:r>
      <w:proofErr w:type="spellEnd"/>
      <w:r w:rsidRPr="00BA7F97">
        <w:t xml:space="preserve">, </w:t>
      </w:r>
      <w:proofErr w:type="spellStart"/>
      <w:r w:rsidRPr="00BA7F97">
        <w:t>kā</w:t>
      </w:r>
      <w:proofErr w:type="spellEnd"/>
      <w:r w:rsidRPr="00BA7F97">
        <w:t xml:space="preserve"> </w:t>
      </w:r>
      <w:proofErr w:type="spellStart"/>
      <w:r w:rsidRPr="00BA7F97">
        <w:t>Latvijā</w:t>
      </w:r>
      <w:proofErr w:type="spellEnd"/>
      <w:r w:rsidRPr="00BA7F97">
        <w:t xml:space="preserve"> </w:t>
      </w:r>
      <w:proofErr w:type="spellStart"/>
      <w:r w:rsidRPr="00BA7F97">
        <w:t>būtu</w:t>
      </w:r>
      <w:proofErr w:type="spellEnd"/>
      <w:r w:rsidRPr="00BA7F97">
        <w:t xml:space="preserve"> </w:t>
      </w:r>
      <w:proofErr w:type="spellStart"/>
      <w:r w:rsidRPr="00BA7F97">
        <w:t>iespējams</w:t>
      </w:r>
      <w:proofErr w:type="spellEnd"/>
      <w:r w:rsidRPr="00BA7F97">
        <w:t xml:space="preserve"> </w:t>
      </w:r>
      <w:proofErr w:type="spellStart"/>
      <w:r w:rsidRPr="00BA7F97">
        <w:t>rīkoties</w:t>
      </w:r>
      <w:proofErr w:type="spellEnd"/>
      <w:r w:rsidRPr="00BA7F97">
        <w:t xml:space="preserve"> </w:t>
      </w:r>
      <w:proofErr w:type="spellStart"/>
      <w:r w:rsidRPr="00BA7F97">
        <w:t>attiecībā</w:t>
      </w:r>
      <w:proofErr w:type="spellEnd"/>
      <w:r w:rsidRPr="00BA7F97">
        <w:t xml:space="preserve"> </w:t>
      </w:r>
      <w:proofErr w:type="spellStart"/>
      <w:r w:rsidRPr="00BA7F97">
        <w:t>uz</w:t>
      </w:r>
      <w:proofErr w:type="spellEnd"/>
      <w:r w:rsidRPr="00BA7F97">
        <w:t xml:space="preserve"> </w:t>
      </w:r>
      <w:proofErr w:type="spellStart"/>
      <w:r w:rsidRPr="00BA7F97">
        <w:t>pilnvarām</w:t>
      </w:r>
      <w:proofErr w:type="spellEnd"/>
      <w:r w:rsidRPr="00BA7F97">
        <w:t xml:space="preserve"> (</w:t>
      </w:r>
      <w:proofErr w:type="spellStart"/>
      <w:r w:rsidRPr="00BA7F97">
        <w:t>to</w:t>
      </w:r>
      <w:proofErr w:type="spellEnd"/>
      <w:r w:rsidRPr="00BA7F97">
        <w:t xml:space="preserve"> </w:t>
      </w:r>
      <w:proofErr w:type="spellStart"/>
      <w:r w:rsidRPr="00BA7F97">
        <w:t>saturam</w:t>
      </w:r>
      <w:proofErr w:type="spellEnd"/>
      <w:r w:rsidRPr="00BA7F97">
        <w:t xml:space="preserve">) </w:t>
      </w:r>
      <w:proofErr w:type="spellStart"/>
      <w:r w:rsidRPr="00BA7F97">
        <w:t>piemērojamo</w:t>
      </w:r>
      <w:proofErr w:type="spellEnd"/>
      <w:r w:rsidRPr="00BA7F97">
        <w:t xml:space="preserve"> </w:t>
      </w:r>
      <w:proofErr w:type="spellStart"/>
      <w:r w:rsidRPr="00BA7F97">
        <w:t>likumu</w:t>
      </w:r>
      <w:proofErr w:type="spellEnd"/>
      <w:r w:rsidRPr="00BA7F97">
        <w:t xml:space="preserve">. </w:t>
      </w:r>
      <w:proofErr w:type="spellStart"/>
      <w:r w:rsidRPr="00BA7F97">
        <w:t>Līdz</w:t>
      </w:r>
      <w:proofErr w:type="spellEnd"/>
      <w:r w:rsidRPr="00BA7F97">
        <w:t xml:space="preserve"> </w:t>
      </w:r>
      <w:proofErr w:type="spellStart"/>
      <w:r w:rsidRPr="00BA7F97">
        <w:t>ar</w:t>
      </w:r>
      <w:proofErr w:type="spellEnd"/>
      <w:r w:rsidRPr="00BA7F97">
        <w:t xml:space="preserve"> </w:t>
      </w:r>
      <w:proofErr w:type="spellStart"/>
      <w:r w:rsidRPr="00BA7F97">
        <w:t>to</w:t>
      </w:r>
      <w:proofErr w:type="spellEnd"/>
      <w:r w:rsidRPr="00BA7F97">
        <w:t xml:space="preserve"> </w:t>
      </w:r>
      <w:proofErr w:type="spellStart"/>
      <w:r w:rsidRPr="00BA7F97">
        <w:t>šis</w:t>
      </w:r>
      <w:proofErr w:type="spellEnd"/>
      <w:r w:rsidRPr="00BA7F97">
        <w:t xml:space="preserve"> </w:t>
      </w:r>
      <w:proofErr w:type="spellStart"/>
      <w:r w:rsidRPr="00BA7F97">
        <w:t>trūkums</w:t>
      </w:r>
      <w:proofErr w:type="spellEnd"/>
      <w:r w:rsidRPr="00BA7F97">
        <w:t xml:space="preserve"> </w:t>
      </w:r>
      <w:proofErr w:type="spellStart"/>
      <w:r w:rsidRPr="00BA7F97">
        <w:t>jāmēģina</w:t>
      </w:r>
      <w:proofErr w:type="spellEnd"/>
      <w:r w:rsidRPr="00BA7F97">
        <w:t xml:space="preserve"> </w:t>
      </w:r>
      <w:proofErr w:type="spellStart"/>
      <w:r w:rsidRPr="00BA7F97">
        <w:t>vispirms</w:t>
      </w:r>
      <w:proofErr w:type="spellEnd"/>
      <w:r w:rsidRPr="00BA7F97">
        <w:t xml:space="preserve"> </w:t>
      </w:r>
      <w:proofErr w:type="spellStart"/>
      <w:r w:rsidRPr="00BA7F97">
        <w:t>aizpildīt</w:t>
      </w:r>
      <w:proofErr w:type="spellEnd"/>
      <w:r w:rsidRPr="00BA7F97">
        <w:t xml:space="preserve"> </w:t>
      </w:r>
      <w:proofErr w:type="spellStart"/>
      <w:r w:rsidRPr="00BA7F97">
        <w:t>ar</w:t>
      </w:r>
      <w:proofErr w:type="spellEnd"/>
      <w:r w:rsidRPr="00BA7F97">
        <w:t xml:space="preserve"> </w:t>
      </w:r>
      <w:proofErr w:type="spellStart"/>
      <w:r w:rsidRPr="00BA7F97">
        <w:t>tiesību</w:t>
      </w:r>
      <w:proofErr w:type="spellEnd"/>
      <w:r w:rsidRPr="00BA7F97">
        <w:t xml:space="preserve"> </w:t>
      </w:r>
      <w:proofErr w:type="spellStart"/>
      <w:r w:rsidRPr="00BA7F97">
        <w:t>normu</w:t>
      </w:r>
      <w:proofErr w:type="spellEnd"/>
      <w:r w:rsidRPr="00BA7F97">
        <w:t xml:space="preserve"> </w:t>
      </w:r>
      <w:proofErr w:type="spellStart"/>
      <w:r w:rsidRPr="00BA7F97">
        <w:t>interpretācijas</w:t>
      </w:r>
      <w:proofErr w:type="spellEnd"/>
      <w:r w:rsidRPr="00BA7F97">
        <w:t xml:space="preserve"> </w:t>
      </w:r>
      <w:proofErr w:type="spellStart"/>
      <w:r w:rsidRPr="00BA7F97">
        <w:t>metodēm</w:t>
      </w:r>
      <w:proofErr w:type="spellEnd"/>
      <w:r w:rsidRPr="00BA7F97">
        <w:t xml:space="preserve"> </w:t>
      </w:r>
      <w:proofErr w:type="spellStart"/>
      <w:r w:rsidRPr="00BA7F97">
        <w:t>un</w:t>
      </w:r>
      <w:proofErr w:type="spellEnd"/>
      <w:r w:rsidRPr="00BA7F97">
        <w:t xml:space="preserve">, ja </w:t>
      </w:r>
      <w:proofErr w:type="spellStart"/>
      <w:r w:rsidRPr="00BA7F97">
        <w:t>nepieciešams</w:t>
      </w:r>
      <w:proofErr w:type="spellEnd"/>
      <w:r w:rsidRPr="00BA7F97">
        <w:t xml:space="preserve">, </w:t>
      </w:r>
      <w:proofErr w:type="spellStart"/>
      <w:r w:rsidRPr="00BA7F97">
        <w:t>arī</w:t>
      </w:r>
      <w:proofErr w:type="spellEnd"/>
      <w:r w:rsidRPr="00BA7F97">
        <w:t xml:space="preserve"> </w:t>
      </w:r>
      <w:proofErr w:type="spellStart"/>
      <w:r w:rsidRPr="00BA7F97">
        <w:t>tiesību</w:t>
      </w:r>
      <w:proofErr w:type="spellEnd"/>
      <w:r w:rsidRPr="00BA7F97">
        <w:t xml:space="preserve"> </w:t>
      </w:r>
      <w:proofErr w:type="spellStart"/>
      <w:r w:rsidRPr="00BA7F97">
        <w:t>tālākveidošanas</w:t>
      </w:r>
      <w:proofErr w:type="spellEnd"/>
      <w:r w:rsidRPr="00BA7F97">
        <w:t xml:space="preserve"> </w:t>
      </w:r>
      <w:proofErr w:type="spellStart"/>
      <w:r w:rsidRPr="00BA7F97">
        <w:t>ceļā</w:t>
      </w:r>
      <w:proofErr w:type="spellEnd"/>
      <w:r w:rsidRPr="00BA7F97">
        <w:t xml:space="preserve"> (</w:t>
      </w:r>
      <w:proofErr w:type="spellStart"/>
      <w:r w:rsidRPr="00BA7F97">
        <w:t>piemērojot</w:t>
      </w:r>
      <w:proofErr w:type="spellEnd"/>
      <w:r w:rsidRPr="00BA7F97">
        <w:t xml:space="preserve"> </w:t>
      </w:r>
      <w:proofErr w:type="spellStart"/>
      <w:r w:rsidRPr="000C7C76">
        <w:t>tiesību</w:t>
      </w:r>
      <w:proofErr w:type="spellEnd"/>
      <w:r w:rsidRPr="000C7C76">
        <w:t xml:space="preserve"> </w:t>
      </w:r>
      <w:proofErr w:type="spellStart"/>
      <w:r w:rsidRPr="000C7C76">
        <w:t>normu</w:t>
      </w:r>
      <w:proofErr w:type="spellEnd"/>
      <w:r w:rsidRPr="000C7C76">
        <w:t xml:space="preserve"> </w:t>
      </w:r>
      <w:proofErr w:type="spellStart"/>
      <w:r w:rsidRPr="000C7C76">
        <w:t>analoģiju</w:t>
      </w:r>
      <w:proofErr w:type="spellEnd"/>
      <w:r w:rsidRPr="00BA7F97">
        <w:t xml:space="preserve">). </w:t>
      </w:r>
      <w:proofErr w:type="spellStart"/>
      <w:r w:rsidRPr="00BA7F97">
        <w:t>Tā</w:t>
      </w:r>
      <w:proofErr w:type="spellEnd"/>
      <w:r w:rsidRPr="00BA7F97">
        <w:t xml:space="preserve"> </w:t>
      </w:r>
      <w:proofErr w:type="spellStart"/>
      <w:r w:rsidRPr="00BA7F97">
        <w:t>kā</w:t>
      </w:r>
      <w:proofErr w:type="spellEnd"/>
      <w:r w:rsidRPr="00BA7F97">
        <w:t xml:space="preserve"> CL 2294.pants </w:t>
      </w:r>
      <w:proofErr w:type="spellStart"/>
      <w:r w:rsidRPr="00BA7F97">
        <w:t>nosaka</w:t>
      </w:r>
      <w:proofErr w:type="spellEnd"/>
      <w:r w:rsidRPr="00BA7F97">
        <w:t xml:space="preserve">, </w:t>
      </w:r>
      <w:proofErr w:type="spellStart"/>
      <w:r w:rsidRPr="00BA7F97">
        <w:t>ka</w:t>
      </w:r>
      <w:proofErr w:type="spellEnd"/>
      <w:r w:rsidRPr="00BA7F97">
        <w:t xml:space="preserve"> (</w:t>
      </w:r>
      <w:proofErr w:type="spellStart"/>
      <w:r w:rsidRPr="00BA7F97">
        <w:t>pilnvarojuma</w:t>
      </w:r>
      <w:proofErr w:type="spellEnd"/>
      <w:r w:rsidRPr="00BA7F97">
        <w:t xml:space="preserve"> </w:t>
      </w:r>
      <w:proofErr w:type="spellStart"/>
      <w:r w:rsidRPr="00BA7F97">
        <w:t>līguma</w:t>
      </w:r>
      <w:proofErr w:type="spellEnd"/>
      <w:r w:rsidRPr="00BA7F97">
        <w:t xml:space="preserve">) </w:t>
      </w:r>
      <w:proofErr w:type="spellStart"/>
      <w:r w:rsidRPr="00BA7F97">
        <w:t>līdzēju</w:t>
      </w:r>
      <w:proofErr w:type="spellEnd"/>
      <w:r w:rsidRPr="00BA7F97">
        <w:t xml:space="preserve"> </w:t>
      </w:r>
      <w:proofErr w:type="spellStart"/>
      <w:r w:rsidRPr="00BA7F97">
        <w:t>attiecības</w:t>
      </w:r>
      <w:proofErr w:type="spellEnd"/>
      <w:r w:rsidRPr="00BA7F97">
        <w:t xml:space="preserve"> </w:t>
      </w:r>
      <w:proofErr w:type="spellStart"/>
      <w:r w:rsidRPr="00BA7F97">
        <w:t>ar</w:t>
      </w:r>
      <w:proofErr w:type="spellEnd"/>
      <w:r w:rsidRPr="00BA7F97">
        <w:t xml:space="preserve"> </w:t>
      </w:r>
      <w:proofErr w:type="spellStart"/>
      <w:r w:rsidRPr="00BA7F97">
        <w:t>trešajām</w:t>
      </w:r>
      <w:proofErr w:type="spellEnd"/>
      <w:r w:rsidRPr="00BA7F97">
        <w:t xml:space="preserve"> </w:t>
      </w:r>
      <w:proofErr w:type="spellStart"/>
      <w:r w:rsidRPr="00BA7F97">
        <w:t>personām</w:t>
      </w:r>
      <w:proofErr w:type="spellEnd"/>
      <w:r w:rsidRPr="00BA7F97">
        <w:t xml:space="preserve"> </w:t>
      </w:r>
      <w:proofErr w:type="spellStart"/>
      <w:r w:rsidRPr="00BA7F97">
        <w:t>nosakāmas</w:t>
      </w:r>
      <w:proofErr w:type="spellEnd"/>
      <w:r w:rsidRPr="00BA7F97">
        <w:t xml:space="preserve"> </w:t>
      </w:r>
      <w:proofErr w:type="spellStart"/>
      <w:r w:rsidRPr="00BA7F97">
        <w:t>pēc</w:t>
      </w:r>
      <w:proofErr w:type="spellEnd"/>
      <w:r w:rsidRPr="00BA7F97">
        <w:t xml:space="preserve"> </w:t>
      </w:r>
      <w:proofErr w:type="spellStart"/>
      <w:r w:rsidRPr="00BA7F97">
        <w:t>vispārējiem</w:t>
      </w:r>
      <w:proofErr w:type="spellEnd"/>
      <w:r w:rsidRPr="00BA7F97">
        <w:t xml:space="preserve"> </w:t>
      </w:r>
      <w:proofErr w:type="spellStart"/>
      <w:r w:rsidRPr="00BA7F97">
        <w:t>noteikumiem</w:t>
      </w:r>
      <w:proofErr w:type="spellEnd"/>
      <w:r w:rsidRPr="00BA7F97">
        <w:t xml:space="preserve"> par </w:t>
      </w:r>
      <w:proofErr w:type="spellStart"/>
      <w:r w:rsidRPr="00BA7F97">
        <w:t>vietniecību</w:t>
      </w:r>
      <w:proofErr w:type="spellEnd"/>
      <w:r w:rsidRPr="00BA7F97">
        <w:t xml:space="preserve"> </w:t>
      </w:r>
      <w:proofErr w:type="spellStart"/>
      <w:r w:rsidRPr="00BA7F97">
        <w:t>un</w:t>
      </w:r>
      <w:proofErr w:type="spellEnd"/>
      <w:r w:rsidRPr="00BA7F97">
        <w:t xml:space="preserve"> </w:t>
      </w:r>
      <w:proofErr w:type="spellStart"/>
      <w:r w:rsidRPr="00BA7F97">
        <w:t>pēdējie</w:t>
      </w:r>
      <w:proofErr w:type="spellEnd"/>
      <w:r w:rsidRPr="00BA7F97">
        <w:t xml:space="preserve"> </w:t>
      </w:r>
      <w:proofErr w:type="spellStart"/>
      <w:r w:rsidRPr="00BA7F97">
        <w:t>ir</w:t>
      </w:r>
      <w:proofErr w:type="spellEnd"/>
      <w:r w:rsidRPr="00BA7F97">
        <w:t xml:space="preserve"> </w:t>
      </w:r>
      <w:proofErr w:type="spellStart"/>
      <w:r w:rsidRPr="00BA7F97">
        <w:t>atrodami</w:t>
      </w:r>
      <w:proofErr w:type="spellEnd"/>
      <w:r w:rsidRPr="00BA7F97">
        <w:t xml:space="preserve"> CL 1515.-1518.pantā (</w:t>
      </w:r>
      <w:proofErr w:type="spellStart"/>
      <w:r w:rsidRPr="00BA7F97">
        <w:t>daļā</w:t>
      </w:r>
      <w:proofErr w:type="spellEnd"/>
      <w:r w:rsidRPr="00BA7F97">
        <w:t xml:space="preserve"> „</w:t>
      </w:r>
      <w:proofErr w:type="spellStart"/>
      <w:r w:rsidRPr="00BA7F97">
        <w:t>Saistību</w:t>
      </w:r>
      <w:proofErr w:type="spellEnd"/>
      <w:r w:rsidRPr="00BA7F97">
        <w:t xml:space="preserve"> </w:t>
      </w:r>
      <w:proofErr w:type="spellStart"/>
      <w:r w:rsidRPr="00BA7F97">
        <w:t>tiesības</w:t>
      </w:r>
      <w:proofErr w:type="spellEnd"/>
      <w:r w:rsidRPr="00BA7F97">
        <w:t xml:space="preserve">“), </w:t>
      </w:r>
      <w:proofErr w:type="spellStart"/>
      <w:r w:rsidRPr="00BA7F97">
        <w:t>tad</w:t>
      </w:r>
      <w:proofErr w:type="spellEnd"/>
      <w:r w:rsidRPr="00BA7F97">
        <w:t xml:space="preserve"> CL </w:t>
      </w:r>
      <w:proofErr w:type="spellStart"/>
      <w:r w:rsidRPr="00BA7F97">
        <w:t>Ievada</w:t>
      </w:r>
      <w:proofErr w:type="spellEnd"/>
      <w:r w:rsidRPr="00BA7F97">
        <w:t xml:space="preserve"> 19.panta </w:t>
      </w:r>
      <w:proofErr w:type="spellStart"/>
      <w:r w:rsidRPr="00BA7F97">
        <w:t>kolīziju</w:t>
      </w:r>
      <w:proofErr w:type="spellEnd"/>
      <w:r w:rsidRPr="00BA7F97">
        <w:t xml:space="preserve"> </w:t>
      </w:r>
      <w:proofErr w:type="spellStart"/>
      <w:r w:rsidRPr="00BA7F97">
        <w:t>normas</w:t>
      </w:r>
      <w:proofErr w:type="spellEnd"/>
      <w:r w:rsidRPr="00BA7F97">
        <w:t xml:space="preserve"> </w:t>
      </w:r>
      <w:proofErr w:type="spellStart"/>
      <w:r w:rsidRPr="00BA7F97">
        <w:t>apjomam</w:t>
      </w:r>
      <w:proofErr w:type="spellEnd"/>
      <w:r w:rsidRPr="00BA7F97">
        <w:t xml:space="preserve"> (</w:t>
      </w:r>
      <w:proofErr w:type="spellStart"/>
      <w:r w:rsidRPr="00BA7F97">
        <w:t>jeb</w:t>
      </w:r>
      <w:proofErr w:type="spellEnd"/>
      <w:r w:rsidRPr="00BA7F97">
        <w:t xml:space="preserve"> </w:t>
      </w:r>
      <w:proofErr w:type="spellStart"/>
      <w:r w:rsidRPr="00BA7F97">
        <w:t>sistēmjēdzienam</w:t>
      </w:r>
      <w:proofErr w:type="spellEnd"/>
      <w:r w:rsidRPr="00BA7F97">
        <w:t xml:space="preserve">), </w:t>
      </w:r>
      <w:proofErr w:type="spellStart"/>
      <w:r w:rsidRPr="00BA7F97">
        <w:t>kas</w:t>
      </w:r>
      <w:proofErr w:type="spellEnd"/>
      <w:r w:rsidRPr="00BA7F97">
        <w:t xml:space="preserve"> </w:t>
      </w:r>
      <w:proofErr w:type="spellStart"/>
      <w:r w:rsidRPr="00BA7F97">
        <w:t>skan</w:t>
      </w:r>
      <w:proofErr w:type="spellEnd"/>
      <w:r w:rsidRPr="00BA7F97">
        <w:t xml:space="preserve"> </w:t>
      </w:r>
      <w:proofErr w:type="spellStart"/>
      <w:r w:rsidRPr="00BA7F97">
        <w:t>šādi</w:t>
      </w:r>
      <w:proofErr w:type="spellEnd"/>
      <w:r w:rsidRPr="00BA7F97">
        <w:t>: „</w:t>
      </w:r>
      <w:proofErr w:type="spellStart"/>
      <w:r w:rsidRPr="00BA7F97">
        <w:t>saistību</w:t>
      </w:r>
      <w:proofErr w:type="spellEnd"/>
      <w:r w:rsidRPr="00BA7F97">
        <w:t xml:space="preserve"> </w:t>
      </w:r>
      <w:proofErr w:type="spellStart"/>
      <w:r w:rsidRPr="00BA7F97">
        <w:t>tiesībās</w:t>
      </w:r>
      <w:proofErr w:type="spellEnd"/>
      <w:r w:rsidRPr="00BA7F97">
        <w:t xml:space="preserve"> </w:t>
      </w:r>
      <w:proofErr w:type="spellStart"/>
      <w:r w:rsidRPr="00BA7F97">
        <w:t>un</w:t>
      </w:r>
      <w:proofErr w:type="spellEnd"/>
      <w:r w:rsidRPr="00BA7F97">
        <w:t xml:space="preserve"> </w:t>
      </w:r>
      <w:proofErr w:type="spellStart"/>
      <w:r w:rsidRPr="00BA7F97">
        <w:t>pienākumos</w:t>
      </w:r>
      <w:proofErr w:type="spellEnd"/>
      <w:r w:rsidRPr="00BA7F97">
        <w:t xml:space="preserve">, </w:t>
      </w:r>
      <w:proofErr w:type="spellStart"/>
      <w:r w:rsidRPr="00BA7F97">
        <w:t>kas</w:t>
      </w:r>
      <w:proofErr w:type="spellEnd"/>
      <w:r w:rsidRPr="00BA7F97">
        <w:t xml:space="preserve"> </w:t>
      </w:r>
      <w:proofErr w:type="spellStart"/>
      <w:r w:rsidRPr="00BA7F97">
        <w:t>izriet</w:t>
      </w:r>
      <w:proofErr w:type="spellEnd"/>
      <w:r w:rsidRPr="00BA7F97">
        <w:t xml:space="preserve"> </w:t>
      </w:r>
      <w:proofErr w:type="spellStart"/>
      <w:r w:rsidRPr="00BA7F97">
        <w:t>no</w:t>
      </w:r>
      <w:proofErr w:type="spellEnd"/>
      <w:r w:rsidRPr="00BA7F97">
        <w:t xml:space="preserve"> </w:t>
      </w:r>
      <w:proofErr w:type="spellStart"/>
      <w:r w:rsidRPr="00BA7F97">
        <w:t>līgumiem</w:t>
      </w:r>
      <w:proofErr w:type="spellEnd"/>
      <w:r w:rsidRPr="00BA7F97">
        <w:t xml:space="preserve">“, </w:t>
      </w:r>
      <w:proofErr w:type="spellStart"/>
      <w:r w:rsidRPr="00BA7F97">
        <w:t>var</w:t>
      </w:r>
      <w:proofErr w:type="spellEnd"/>
      <w:r w:rsidRPr="00BA7F97">
        <w:t xml:space="preserve"> </w:t>
      </w:r>
      <w:proofErr w:type="spellStart"/>
      <w:r w:rsidRPr="00BA7F97">
        <w:t>tikt</w:t>
      </w:r>
      <w:proofErr w:type="spellEnd"/>
      <w:r w:rsidRPr="00BA7F97">
        <w:t xml:space="preserve"> </w:t>
      </w:r>
      <w:proofErr w:type="spellStart"/>
      <w:r w:rsidRPr="00BA7F97">
        <w:t>subsumēti</w:t>
      </w:r>
      <w:proofErr w:type="spellEnd"/>
      <w:r w:rsidRPr="00BA7F97">
        <w:t xml:space="preserve"> </w:t>
      </w:r>
      <w:proofErr w:type="spellStart"/>
      <w:r w:rsidRPr="00BA7F97">
        <w:t>arī</w:t>
      </w:r>
      <w:proofErr w:type="spellEnd"/>
      <w:r w:rsidRPr="00BA7F97">
        <w:t xml:space="preserve"> </w:t>
      </w:r>
      <w:proofErr w:type="spellStart"/>
      <w:r w:rsidRPr="00BA7F97">
        <w:t>noteikumi</w:t>
      </w:r>
      <w:proofErr w:type="spellEnd"/>
      <w:r w:rsidRPr="00BA7F97">
        <w:t xml:space="preserve"> par </w:t>
      </w:r>
      <w:proofErr w:type="spellStart"/>
      <w:r w:rsidRPr="00BA7F97">
        <w:t>vietniecību</w:t>
      </w:r>
      <w:proofErr w:type="spellEnd"/>
      <w:r w:rsidRPr="00BA7F97">
        <w:t xml:space="preserve"> </w:t>
      </w:r>
      <w:proofErr w:type="spellStart"/>
      <w:r w:rsidRPr="00BA7F97">
        <w:t>un</w:t>
      </w:r>
      <w:proofErr w:type="spellEnd"/>
      <w:r w:rsidRPr="00BA7F97">
        <w:t xml:space="preserve">, </w:t>
      </w:r>
      <w:proofErr w:type="spellStart"/>
      <w:r w:rsidRPr="00BA7F97">
        <w:t>tātad</w:t>
      </w:r>
      <w:proofErr w:type="spellEnd"/>
      <w:r w:rsidRPr="00BA7F97">
        <w:t xml:space="preserve">, </w:t>
      </w:r>
      <w:proofErr w:type="spellStart"/>
      <w:r w:rsidRPr="00BA7F97">
        <w:t>arī</w:t>
      </w:r>
      <w:proofErr w:type="spellEnd"/>
      <w:r w:rsidRPr="00BA7F97">
        <w:t xml:space="preserve"> par </w:t>
      </w:r>
      <w:proofErr w:type="spellStart"/>
      <w:r w:rsidRPr="00BA7F97">
        <w:t>pilnvaru</w:t>
      </w:r>
      <w:proofErr w:type="spellEnd"/>
      <w:r w:rsidRPr="00BA7F97">
        <w:t xml:space="preserve">. </w:t>
      </w:r>
      <w:proofErr w:type="spellStart"/>
      <w:r w:rsidRPr="00BA7F97">
        <w:t>Līdz</w:t>
      </w:r>
      <w:proofErr w:type="spellEnd"/>
      <w:r w:rsidRPr="00BA7F97">
        <w:t xml:space="preserve"> </w:t>
      </w:r>
      <w:proofErr w:type="spellStart"/>
      <w:r w:rsidRPr="00BA7F97">
        <w:t>ar</w:t>
      </w:r>
      <w:proofErr w:type="spellEnd"/>
      <w:r w:rsidRPr="00BA7F97">
        <w:t xml:space="preserve"> </w:t>
      </w:r>
      <w:proofErr w:type="spellStart"/>
      <w:r w:rsidRPr="00BA7F97">
        <w:t>to</w:t>
      </w:r>
      <w:proofErr w:type="spellEnd"/>
      <w:r w:rsidRPr="00BA7F97">
        <w:t xml:space="preserve">, CL </w:t>
      </w:r>
      <w:proofErr w:type="spellStart"/>
      <w:r w:rsidRPr="00BA7F97">
        <w:t>normu</w:t>
      </w:r>
      <w:proofErr w:type="spellEnd"/>
      <w:r w:rsidRPr="00BA7F97">
        <w:t xml:space="preserve"> </w:t>
      </w:r>
      <w:proofErr w:type="spellStart"/>
      <w:r w:rsidRPr="00BA7F97">
        <w:t>sistēmiskās</w:t>
      </w:r>
      <w:proofErr w:type="spellEnd"/>
      <w:r w:rsidRPr="00BA7F97">
        <w:t xml:space="preserve"> </w:t>
      </w:r>
      <w:proofErr w:type="spellStart"/>
      <w:r w:rsidRPr="00BA7F97">
        <w:t>interpretācijas</w:t>
      </w:r>
      <w:proofErr w:type="spellEnd"/>
      <w:r w:rsidRPr="00BA7F97">
        <w:t xml:space="preserve"> </w:t>
      </w:r>
      <w:proofErr w:type="spellStart"/>
      <w:r w:rsidRPr="00BA7F97">
        <w:t>rezultātā</w:t>
      </w:r>
      <w:proofErr w:type="spellEnd"/>
      <w:r w:rsidRPr="00BA7F97">
        <w:t xml:space="preserve"> </w:t>
      </w:r>
      <w:proofErr w:type="spellStart"/>
      <w:r w:rsidRPr="00BA7F97">
        <w:t>vienīgā</w:t>
      </w:r>
      <w:proofErr w:type="spellEnd"/>
      <w:r w:rsidRPr="00BA7F97">
        <w:t xml:space="preserve"> </w:t>
      </w:r>
      <w:proofErr w:type="spellStart"/>
      <w:r w:rsidRPr="00BA7F97">
        <w:t>iespējamā</w:t>
      </w:r>
      <w:proofErr w:type="spellEnd"/>
      <w:r w:rsidRPr="00BA7F97">
        <w:t xml:space="preserve"> </w:t>
      </w:r>
      <w:proofErr w:type="spellStart"/>
      <w:r w:rsidRPr="00BA7F97">
        <w:t>kolīziju</w:t>
      </w:r>
      <w:proofErr w:type="spellEnd"/>
      <w:r w:rsidRPr="00BA7F97">
        <w:t xml:space="preserve"> </w:t>
      </w:r>
      <w:proofErr w:type="spellStart"/>
      <w:r w:rsidRPr="00BA7F97">
        <w:t>norma</w:t>
      </w:r>
      <w:proofErr w:type="spellEnd"/>
      <w:r w:rsidRPr="00BA7F97">
        <w:t xml:space="preserve"> </w:t>
      </w:r>
      <w:proofErr w:type="spellStart"/>
      <w:r w:rsidRPr="00BA7F97">
        <w:t>ir</w:t>
      </w:r>
      <w:proofErr w:type="spellEnd"/>
      <w:r w:rsidRPr="00BA7F97">
        <w:t xml:space="preserve"> </w:t>
      </w:r>
      <w:proofErr w:type="spellStart"/>
      <w:r w:rsidRPr="00BA7F97">
        <w:t>atrasta</w:t>
      </w:r>
      <w:proofErr w:type="spellEnd"/>
      <w:r w:rsidRPr="00BA7F97">
        <w:t xml:space="preserve"> – CL </w:t>
      </w:r>
      <w:proofErr w:type="spellStart"/>
      <w:r w:rsidRPr="00BA7F97">
        <w:t>Ievada</w:t>
      </w:r>
      <w:proofErr w:type="spellEnd"/>
      <w:r w:rsidRPr="00BA7F97">
        <w:t xml:space="preserve"> 19.pants. </w:t>
      </w:r>
      <w:proofErr w:type="spellStart"/>
      <w:r w:rsidRPr="00BA7F97">
        <w:t>Tālāk</w:t>
      </w:r>
      <w:proofErr w:type="spellEnd"/>
      <w:r w:rsidRPr="00BA7F97">
        <w:t xml:space="preserve"> </w:t>
      </w:r>
      <w:proofErr w:type="spellStart"/>
      <w:r w:rsidRPr="00BA7F97">
        <w:t>ir</w:t>
      </w:r>
      <w:proofErr w:type="spellEnd"/>
      <w:r w:rsidRPr="00BA7F97">
        <w:t xml:space="preserve"> </w:t>
      </w:r>
      <w:proofErr w:type="spellStart"/>
      <w:r w:rsidRPr="00BA7F97">
        <w:t>jāaplūko</w:t>
      </w:r>
      <w:proofErr w:type="spellEnd"/>
      <w:r w:rsidRPr="00BA7F97">
        <w:t xml:space="preserve">, </w:t>
      </w:r>
      <w:proofErr w:type="spellStart"/>
      <w:r w:rsidRPr="00BA7F97">
        <w:t>kādas</w:t>
      </w:r>
      <w:proofErr w:type="spellEnd"/>
      <w:r w:rsidRPr="00BA7F97">
        <w:t xml:space="preserve"> </w:t>
      </w:r>
      <w:proofErr w:type="spellStart"/>
      <w:r w:rsidRPr="00BA7F97">
        <w:t>piesaistes</w:t>
      </w:r>
      <w:proofErr w:type="spellEnd"/>
      <w:r w:rsidRPr="00BA7F97">
        <w:t xml:space="preserve"> (</w:t>
      </w:r>
      <w:proofErr w:type="spellStart"/>
      <w:r w:rsidRPr="00BA7F97">
        <w:t>jeb</w:t>
      </w:r>
      <w:proofErr w:type="spellEnd"/>
      <w:r w:rsidRPr="00BA7F97">
        <w:t xml:space="preserve"> </w:t>
      </w:r>
      <w:proofErr w:type="spellStart"/>
      <w:r w:rsidRPr="00BA7F97">
        <w:t>piemērojamos</w:t>
      </w:r>
      <w:proofErr w:type="spellEnd"/>
      <w:r w:rsidRPr="00BA7F97">
        <w:t xml:space="preserve"> </w:t>
      </w:r>
      <w:proofErr w:type="spellStart"/>
      <w:r w:rsidRPr="00BA7F97">
        <w:t>likumus</w:t>
      </w:r>
      <w:proofErr w:type="spellEnd"/>
      <w:r w:rsidRPr="00BA7F97">
        <w:t xml:space="preserve">) 19.pants </w:t>
      </w:r>
      <w:proofErr w:type="spellStart"/>
      <w:r w:rsidRPr="00BA7F97">
        <w:t>piedāvā</w:t>
      </w:r>
      <w:proofErr w:type="spellEnd"/>
      <w:r w:rsidRPr="00BA7F97">
        <w:t xml:space="preserve"> </w:t>
      </w:r>
      <w:proofErr w:type="spellStart"/>
      <w:r w:rsidRPr="00BA7F97">
        <w:t>pilnvarām</w:t>
      </w:r>
      <w:proofErr w:type="spellEnd"/>
      <w:r w:rsidRPr="00BA7F97">
        <w:t xml:space="preserve">. </w:t>
      </w:r>
      <w:proofErr w:type="spellStart"/>
      <w:r w:rsidRPr="00BA7F97">
        <w:t>Taču</w:t>
      </w:r>
      <w:proofErr w:type="spellEnd"/>
      <w:r w:rsidRPr="00BA7F97">
        <w:t xml:space="preserve"> </w:t>
      </w:r>
      <w:proofErr w:type="spellStart"/>
      <w:r w:rsidRPr="00BA7F97">
        <w:t>speciālā</w:t>
      </w:r>
      <w:proofErr w:type="spellEnd"/>
      <w:r w:rsidRPr="00BA7F97">
        <w:t xml:space="preserve"> </w:t>
      </w:r>
      <w:proofErr w:type="spellStart"/>
      <w:r w:rsidRPr="00BA7F97">
        <w:t>kolīziju</w:t>
      </w:r>
      <w:proofErr w:type="spellEnd"/>
      <w:r w:rsidRPr="00BA7F97">
        <w:t xml:space="preserve"> </w:t>
      </w:r>
      <w:proofErr w:type="spellStart"/>
      <w:r w:rsidRPr="00BA7F97">
        <w:t>norma</w:t>
      </w:r>
      <w:proofErr w:type="spellEnd"/>
      <w:r w:rsidRPr="00BA7F97">
        <w:t xml:space="preserve"> </w:t>
      </w:r>
      <w:proofErr w:type="spellStart"/>
      <w:r w:rsidRPr="00BA7F97">
        <w:t>pilnvarām</w:t>
      </w:r>
      <w:proofErr w:type="spellEnd"/>
      <w:r w:rsidRPr="00BA7F97">
        <w:t xml:space="preserve"> (</w:t>
      </w:r>
      <w:proofErr w:type="spellStart"/>
      <w:r w:rsidRPr="00BA7F97">
        <w:t>to</w:t>
      </w:r>
      <w:proofErr w:type="spellEnd"/>
      <w:r w:rsidRPr="00BA7F97">
        <w:t xml:space="preserve"> </w:t>
      </w:r>
      <w:proofErr w:type="spellStart"/>
      <w:r w:rsidRPr="00BA7F97">
        <w:t>saturam</w:t>
      </w:r>
      <w:proofErr w:type="spellEnd"/>
      <w:r w:rsidRPr="00BA7F97">
        <w:t xml:space="preserve"> </w:t>
      </w:r>
      <w:proofErr w:type="spellStart"/>
      <w:r w:rsidRPr="00BA7F97">
        <w:t>un</w:t>
      </w:r>
      <w:proofErr w:type="spellEnd"/>
      <w:r w:rsidRPr="00BA7F97">
        <w:t xml:space="preserve"> </w:t>
      </w:r>
      <w:proofErr w:type="spellStart"/>
      <w:r w:rsidRPr="00BA7F97">
        <w:t>formai</w:t>
      </w:r>
      <w:proofErr w:type="spellEnd"/>
      <w:r w:rsidRPr="00BA7F97">
        <w:t xml:space="preserve">) </w:t>
      </w:r>
      <w:proofErr w:type="spellStart"/>
      <w:r w:rsidRPr="00BA7F97">
        <w:t>Latvijā</w:t>
      </w:r>
      <w:proofErr w:type="spellEnd"/>
      <w:r w:rsidRPr="00BA7F97">
        <w:t xml:space="preserve"> </w:t>
      </w:r>
      <w:proofErr w:type="spellStart"/>
      <w:r w:rsidRPr="00BA7F97">
        <w:t>esošu</w:t>
      </w:r>
      <w:proofErr w:type="spellEnd"/>
      <w:r w:rsidRPr="00BA7F97">
        <w:t xml:space="preserve"> </w:t>
      </w:r>
      <w:proofErr w:type="spellStart"/>
      <w:r w:rsidRPr="00BA7F97">
        <w:t>nekustamo</w:t>
      </w:r>
      <w:proofErr w:type="spellEnd"/>
      <w:r>
        <w:rPr>
          <w:color w:val="008000"/>
        </w:rPr>
        <w:t xml:space="preserve"> </w:t>
      </w:r>
      <w:proofErr w:type="spellStart"/>
      <w:r w:rsidRPr="00BA7F97">
        <w:lastRenderedPageBreak/>
        <w:t>īpašumu</w:t>
      </w:r>
      <w:proofErr w:type="spellEnd"/>
      <w:r w:rsidRPr="00BA7F97">
        <w:t xml:space="preserve"> </w:t>
      </w:r>
      <w:proofErr w:type="spellStart"/>
      <w:r w:rsidRPr="00BA7F97">
        <w:t>lietās</w:t>
      </w:r>
      <w:proofErr w:type="spellEnd"/>
      <w:r w:rsidRPr="00BA7F97">
        <w:t xml:space="preserve"> </w:t>
      </w:r>
      <w:proofErr w:type="spellStart"/>
      <w:r w:rsidRPr="00BA7F97">
        <w:t>būs</w:t>
      </w:r>
      <w:proofErr w:type="spellEnd"/>
      <w:r w:rsidRPr="00BA7F97">
        <w:t xml:space="preserve"> CL </w:t>
      </w:r>
      <w:proofErr w:type="spellStart"/>
      <w:r w:rsidRPr="00BA7F97">
        <w:t>Ievada</w:t>
      </w:r>
      <w:proofErr w:type="spellEnd"/>
      <w:r w:rsidRPr="00BA7F97">
        <w:t xml:space="preserve"> 18.panta </w:t>
      </w:r>
      <w:proofErr w:type="spellStart"/>
      <w:r w:rsidRPr="00BA7F97">
        <w:t>ceturtā</w:t>
      </w:r>
      <w:proofErr w:type="spellEnd"/>
      <w:r w:rsidRPr="00BA7F97">
        <w:t xml:space="preserve"> </w:t>
      </w:r>
      <w:proofErr w:type="spellStart"/>
      <w:r w:rsidRPr="00BA7F97">
        <w:t>daļa</w:t>
      </w:r>
      <w:proofErr w:type="spellEnd"/>
      <w:r w:rsidRPr="00BA7F97">
        <w:t xml:space="preserve"> (</w:t>
      </w:r>
      <w:proofErr w:type="spellStart"/>
      <w:r w:rsidRPr="00BA7F97">
        <w:t>skat</w:t>
      </w:r>
      <w:proofErr w:type="spellEnd"/>
      <w:r w:rsidRPr="00BA7F97">
        <w:t xml:space="preserve">. </w:t>
      </w:r>
      <w:proofErr w:type="spellStart"/>
      <w:r w:rsidRPr="00BA7F97">
        <w:t>arī</w:t>
      </w:r>
      <w:proofErr w:type="spellEnd"/>
      <w:r w:rsidRPr="00BA7F97">
        <w:t xml:space="preserve"> 21.p. 2.d.), </w:t>
      </w:r>
      <w:proofErr w:type="spellStart"/>
      <w:r w:rsidRPr="00BA7F97">
        <w:t>kas</w:t>
      </w:r>
      <w:proofErr w:type="spellEnd"/>
      <w:r w:rsidRPr="00BA7F97">
        <w:t xml:space="preserve"> </w:t>
      </w:r>
      <w:proofErr w:type="spellStart"/>
      <w:r w:rsidRPr="00BA7F97">
        <w:t>paredz</w:t>
      </w:r>
      <w:proofErr w:type="spellEnd"/>
      <w:r w:rsidRPr="00BA7F97">
        <w:t xml:space="preserve"> </w:t>
      </w:r>
      <w:proofErr w:type="spellStart"/>
      <w:r w:rsidRPr="00BA7F97">
        <w:t>tikai</w:t>
      </w:r>
      <w:proofErr w:type="spellEnd"/>
      <w:r w:rsidRPr="00BA7F97">
        <w:t xml:space="preserve"> </w:t>
      </w:r>
      <w:proofErr w:type="spellStart"/>
      <w:r w:rsidRPr="00BA7F97">
        <w:t>un</w:t>
      </w:r>
      <w:proofErr w:type="spellEnd"/>
      <w:r w:rsidRPr="00BA7F97">
        <w:t xml:space="preserve"> </w:t>
      </w:r>
      <w:proofErr w:type="spellStart"/>
      <w:r w:rsidRPr="00BA7F97">
        <w:t>vienīgi</w:t>
      </w:r>
      <w:proofErr w:type="spellEnd"/>
      <w:r w:rsidRPr="00BA7F97">
        <w:t xml:space="preserve"> Latvijas </w:t>
      </w:r>
      <w:proofErr w:type="spellStart"/>
      <w:r w:rsidRPr="00BA7F97">
        <w:t>likuma</w:t>
      </w:r>
      <w:proofErr w:type="spellEnd"/>
      <w:r w:rsidRPr="00BA7F97">
        <w:t xml:space="preserve"> </w:t>
      </w:r>
      <w:proofErr w:type="spellStart"/>
      <w:r w:rsidRPr="00BA7F97">
        <w:t>piemērošanu</w:t>
      </w:r>
      <w:proofErr w:type="spellEnd"/>
      <w:r w:rsidRPr="00BA7F97">
        <w:t xml:space="preserve"> (</w:t>
      </w:r>
      <w:proofErr w:type="spellStart"/>
      <w:r w:rsidRPr="00BA7F97">
        <w:rPr>
          <w:i/>
        </w:rPr>
        <w:t>lex</w:t>
      </w:r>
      <w:proofErr w:type="spellEnd"/>
      <w:r w:rsidRPr="00BA7F97">
        <w:rPr>
          <w:i/>
        </w:rPr>
        <w:t xml:space="preserve"> </w:t>
      </w:r>
      <w:proofErr w:type="spellStart"/>
      <w:r w:rsidRPr="00BA7F97">
        <w:rPr>
          <w:i/>
        </w:rPr>
        <w:t>rei</w:t>
      </w:r>
      <w:proofErr w:type="spellEnd"/>
      <w:r w:rsidRPr="00BA7F97">
        <w:rPr>
          <w:i/>
        </w:rPr>
        <w:t xml:space="preserve"> </w:t>
      </w:r>
      <w:proofErr w:type="spellStart"/>
      <w:r w:rsidRPr="00BA7F97">
        <w:rPr>
          <w:i/>
        </w:rPr>
        <w:t>sitae</w:t>
      </w:r>
      <w:proofErr w:type="spellEnd"/>
      <w:r w:rsidRPr="00BA7F97">
        <w:t>).</w:t>
      </w:r>
    </w:p>
    <w:p w14:paraId="265608B2" w14:textId="77777777" w:rsidR="00114953" w:rsidRPr="00BA7F97" w:rsidRDefault="00114953" w:rsidP="00114953">
      <w:pPr>
        <w:ind w:firstLine="708"/>
        <w:jc w:val="both"/>
        <w:rPr>
          <w:rFonts w:ascii="Times New Roman" w:hAnsi="Times New Roman" w:cs="Times New Roman"/>
          <w:lang w:val="lv-LV"/>
        </w:rPr>
      </w:pPr>
      <w:r w:rsidRPr="000C7C76">
        <w:rPr>
          <w:rFonts w:ascii="Times New Roman" w:hAnsi="Times New Roman" w:cs="Times New Roman"/>
          <w:lang w:val="de-DE"/>
        </w:rPr>
        <w:t xml:space="preserve">CL </w:t>
      </w:r>
      <w:proofErr w:type="spellStart"/>
      <w:r w:rsidRPr="000C7C76">
        <w:rPr>
          <w:rFonts w:ascii="Times New Roman" w:hAnsi="Times New Roman" w:cs="Times New Roman"/>
          <w:lang w:val="de-DE"/>
        </w:rPr>
        <w:t>Ievada</w:t>
      </w:r>
      <w:proofErr w:type="spellEnd"/>
      <w:r w:rsidRPr="000C7C76">
        <w:rPr>
          <w:rFonts w:ascii="Times New Roman" w:hAnsi="Times New Roman" w:cs="Times New Roman"/>
          <w:lang w:val="de-DE"/>
        </w:rPr>
        <w:t xml:space="preserve"> 19.pantā </w:t>
      </w:r>
      <w:proofErr w:type="spellStart"/>
      <w:r w:rsidRPr="000C7C76">
        <w:rPr>
          <w:rFonts w:ascii="Times New Roman" w:hAnsi="Times New Roman" w:cs="Times New Roman"/>
          <w:lang w:val="de-DE"/>
        </w:rPr>
        <w:t>ir</w:t>
      </w:r>
      <w:proofErr w:type="spellEnd"/>
      <w:r w:rsidRPr="000C7C76">
        <w:rPr>
          <w:rFonts w:ascii="Times New Roman" w:hAnsi="Times New Roman" w:cs="Times New Roman"/>
          <w:lang w:val="de-DE"/>
        </w:rPr>
        <w:t xml:space="preserve"> </w:t>
      </w:r>
      <w:proofErr w:type="spellStart"/>
      <w:r w:rsidRPr="000C7C76">
        <w:rPr>
          <w:rFonts w:ascii="Times New Roman" w:hAnsi="Times New Roman" w:cs="Times New Roman"/>
          <w:lang w:val="de-DE"/>
        </w:rPr>
        <w:t>iestrādātas</w:t>
      </w:r>
      <w:proofErr w:type="spellEnd"/>
      <w:r w:rsidRPr="000C7C76">
        <w:rPr>
          <w:rFonts w:ascii="Times New Roman" w:hAnsi="Times New Roman" w:cs="Times New Roman"/>
          <w:lang w:val="de-DE"/>
        </w:rPr>
        <w:t xml:space="preserve"> </w:t>
      </w:r>
      <w:proofErr w:type="spellStart"/>
      <w:r w:rsidRPr="000C7C76">
        <w:rPr>
          <w:rFonts w:ascii="Times New Roman" w:hAnsi="Times New Roman" w:cs="Times New Roman"/>
          <w:lang w:val="de-DE"/>
        </w:rPr>
        <w:t>subsidiārās</w:t>
      </w:r>
      <w:proofErr w:type="spellEnd"/>
      <w:r w:rsidRPr="000C7C76">
        <w:rPr>
          <w:rFonts w:ascii="Times New Roman" w:hAnsi="Times New Roman" w:cs="Times New Roman"/>
          <w:lang w:val="de-DE"/>
        </w:rPr>
        <w:t xml:space="preserve"> </w:t>
      </w:r>
      <w:proofErr w:type="spellStart"/>
      <w:r w:rsidRPr="000C7C76">
        <w:rPr>
          <w:rFonts w:ascii="Times New Roman" w:hAnsi="Times New Roman" w:cs="Times New Roman"/>
          <w:lang w:val="de-DE"/>
        </w:rPr>
        <w:t>piesaistes</w:t>
      </w:r>
      <w:proofErr w:type="spellEnd"/>
      <w:r w:rsidRPr="000C7C76">
        <w:rPr>
          <w:rFonts w:ascii="Times New Roman" w:hAnsi="Times New Roman" w:cs="Times New Roman"/>
          <w:lang w:val="de-DE"/>
        </w:rPr>
        <w:t xml:space="preserve">. </w:t>
      </w:r>
      <w:proofErr w:type="spellStart"/>
      <w:r w:rsidRPr="000C7C76">
        <w:rPr>
          <w:rFonts w:ascii="Times New Roman" w:hAnsi="Times New Roman" w:cs="Times New Roman"/>
          <w:lang w:val="de-DE"/>
        </w:rPr>
        <w:t>Vispirms</w:t>
      </w:r>
      <w:proofErr w:type="spellEnd"/>
      <w:r w:rsidRPr="000C7C76">
        <w:rPr>
          <w:rFonts w:ascii="Times New Roman" w:hAnsi="Times New Roman" w:cs="Times New Roman"/>
          <w:lang w:val="de-DE"/>
        </w:rPr>
        <w:t xml:space="preserve"> </w:t>
      </w:r>
      <w:proofErr w:type="spellStart"/>
      <w:r w:rsidRPr="000C7C76">
        <w:rPr>
          <w:rFonts w:ascii="Times New Roman" w:hAnsi="Times New Roman" w:cs="Times New Roman"/>
          <w:lang w:val="de-DE"/>
        </w:rPr>
        <w:t>tiek</w:t>
      </w:r>
      <w:proofErr w:type="spellEnd"/>
      <w:r w:rsidRPr="000C7C76">
        <w:rPr>
          <w:rFonts w:ascii="Times New Roman" w:hAnsi="Times New Roman" w:cs="Times New Roman"/>
          <w:lang w:val="de-DE"/>
        </w:rPr>
        <w:t xml:space="preserve"> </w:t>
      </w:r>
      <w:proofErr w:type="spellStart"/>
      <w:r w:rsidRPr="000C7C76">
        <w:rPr>
          <w:rFonts w:ascii="Times New Roman" w:hAnsi="Times New Roman" w:cs="Times New Roman"/>
          <w:lang w:val="de-DE"/>
        </w:rPr>
        <w:t>piedāvāta</w:t>
      </w:r>
      <w:proofErr w:type="spellEnd"/>
      <w:r w:rsidRPr="000C7C76">
        <w:rPr>
          <w:rFonts w:ascii="Times New Roman" w:hAnsi="Times New Roman" w:cs="Times New Roman"/>
          <w:lang w:val="de-DE"/>
        </w:rPr>
        <w:t xml:space="preserve"> </w:t>
      </w:r>
      <w:proofErr w:type="spellStart"/>
      <w:r w:rsidRPr="000C7C76">
        <w:rPr>
          <w:rFonts w:ascii="Times New Roman" w:hAnsi="Times New Roman" w:cs="Times New Roman"/>
          <w:lang w:val="de-DE"/>
        </w:rPr>
        <w:t>pušu</w:t>
      </w:r>
      <w:proofErr w:type="spellEnd"/>
      <w:r w:rsidRPr="000C7C76">
        <w:rPr>
          <w:rFonts w:ascii="Times New Roman" w:hAnsi="Times New Roman" w:cs="Times New Roman"/>
          <w:lang w:val="de-DE"/>
        </w:rPr>
        <w:t xml:space="preserve"> </w:t>
      </w:r>
      <w:proofErr w:type="spellStart"/>
      <w:r w:rsidRPr="000C7C76">
        <w:rPr>
          <w:rFonts w:ascii="Times New Roman" w:hAnsi="Times New Roman" w:cs="Times New Roman"/>
          <w:b/>
          <w:lang w:val="de-DE"/>
        </w:rPr>
        <w:t>gribas</w:t>
      </w:r>
      <w:proofErr w:type="spellEnd"/>
      <w:r w:rsidRPr="000C7C76">
        <w:rPr>
          <w:rFonts w:ascii="Times New Roman" w:hAnsi="Times New Roman" w:cs="Times New Roman"/>
          <w:b/>
          <w:lang w:val="de-DE"/>
        </w:rPr>
        <w:t xml:space="preserve"> </w:t>
      </w:r>
      <w:proofErr w:type="spellStart"/>
      <w:r w:rsidRPr="000C7C76">
        <w:rPr>
          <w:rFonts w:ascii="Times New Roman" w:hAnsi="Times New Roman" w:cs="Times New Roman"/>
          <w:b/>
          <w:lang w:val="de-DE"/>
        </w:rPr>
        <w:t>autonomija</w:t>
      </w:r>
      <w:proofErr w:type="spellEnd"/>
      <w:r w:rsidRPr="000C7C76">
        <w:rPr>
          <w:rFonts w:ascii="Times New Roman" w:hAnsi="Times New Roman" w:cs="Times New Roman"/>
          <w:lang w:val="de-DE"/>
        </w:rPr>
        <w:t xml:space="preserve">, </w:t>
      </w:r>
      <w:proofErr w:type="spellStart"/>
      <w:r w:rsidRPr="000C7C76">
        <w:rPr>
          <w:rFonts w:ascii="Times New Roman" w:hAnsi="Times New Roman" w:cs="Times New Roman"/>
          <w:lang w:val="de-DE"/>
        </w:rPr>
        <w:t>t.i</w:t>
      </w:r>
      <w:proofErr w:type="spellEnd"/>
      <w:r w:rsidRPr="000C7C76">
        <w:rPr>
          <w:rFonts w:ascii="Times New Roman" w:hAnsi="Times New Roman" w:cs="Times New Roman"/>
          <w:lang w:val="de-DE"/>
        </w:rPr>
        <w:t>., „</w:t>
      </w:r>
      <w:proofErr w:type="spellStart"/>
      <w:r w:rsidRPr="000C7C76">
        <w:rPr>
          <w:rFonts w:ascii="Times New Roman" w:hAnsi="Times New Roman" w:cs="Times New Roman"/>
          <w:lang w:val="de-DE"/>
        </w:rPr>
        <w:t>līdzēji</w:t>
      </w:r>
      <w:proofErr w:type="spellEnd"/>
      <w:r w:rsidRPr="000C7C76">
        <w:rPr>
          <w:rFonts w:ascii="Times New Roman" w:hAnsi="Times New Roman" w:cs="Times New Roman"/>
          <w:lang w:val="de-DE"/>
        </w:rPr>
        <w:t xml:space="preserve"> </w:t>
      </w:r>
      <w:proofErr w:type="spellStart"/>
      <w:r w:rsidRPr="000C7C76">
        <w:rPr>
          <w:rFonts w:ascii="Times New Roman" w:hAnsi="Times New Roman" w:cs="Times New Roman"/>
          <w:lang w:val="de-DE"/>
        </w:rPr>
        <w:t>var</w:t>
      </w:r>
      <w:proofErr w:type="spellEnd"/>
      <w:r w:rsidRPr="000C7C76">
        <w:rPr>
          <w:rFonts w:ascii="Times New Roman" w:hAnsi="Times New Roman" w:cs="Times New Roman"/>
          <w:lang w:val="de-DE"/>
        </w:rPr>
        <w:t xml:space="preserve"> </w:t>
      </w:r>
      <w:proofErr w:type="spellStart"/>
      <w:r w:rsidRPr="000C7C76">
        <w:rPr>
          <w:rFonts w:ascii="Times New Roman" w:hAnsi="Times New Roman" w:cs="Times New Roman"/>
          <w:lang w:val="de-DE"/>
        </w:rPr>
        <w:t>vienoties</w:t>
      </w:r>
      <w:proofErr w:type="spellEnd"/>
      <w:r w:rsidRPr="000C7C76">
        <w:rPr>
          <w:rFonts w:ascii="Times New Roman" w:hAnsi="Times New Roman" w:cs="Times New Roman"/>
          <w:lang w:val="de-DE"/>
        </w:rPr>
        <w:t xml:space="preserve">, </w:t>
      </w:r>
      <w:proofErr w:type="spellStart"/>
      <w:r w:rsidRPr="000C7C76">
        <w:rPr>
          <w:rFonts w:ascii="Times New Roman" w:hAnsi="Times New Roman" w:cs="Times New Roman"/>
          <w:lang w:val="de-DE"/>
        </w:rPr>
        <w:t>pēc</w:t>
      </w:r>
      <w:proofErr w:type="spellEnd"/>
      <w:r w:rsidRPr="000C7C76">
        <w:rPr>
          <w:rFonts w:ascii="Times New Roman" w:hAnsi="Times New Roman" w:cs="Times New Roman"/>
          <w:lang w:val="de-DE"/>
        </w:rPr>
        <w:t xml:space="preserve"> </w:t>
      </w:r>
      <w:proofErr w:type="spellStart"/>
      <w:r w:rsidRPr="000C7C76">
        <w:rPr>
          <w:rFonts w:ascii="Times New Roman" w:hAnsi="Times New Roman" w:cs="Times New Roman"/>
          <w:lang w:val="de-DE"/>
        </w:rPr>
        <w:t>kādiem</w:t>
      </w:r>
      <w:proofErr w:type="spellEnd"/>
      <w:r w:rsidRPr="000C7C76">
        <w:rPr>
          <w:rFonts w:ascii="Times New Roman" w:hAnsi="Times New Roman" w:cs="Times New Roman"/>
          <w:lang w:val="de-DE"/>
        </w:rPr>
        <w:t xml:space="preserve"> </w:t>
      </w:r>
      <w:proofErr w:type="spellStart"/>
      <w:r w:rsidRPr="000C7C76">
        <w:rPr>
          <w:rFonts w:ascii="Times New Roman" w:hAnsi="Times New Roman" w:cs="Times New Roman"/>
          <w:lang w:val="de-DE"/>
        </w:rPr>
        <w:t>likumiem</w:t>
      </w:r>
      <w:proofErr w:type="spellEnd"/>
      <w:r w:rsidRPr="000C7C76">
        <w:rPr>
          <w:rFonts w:ascii="Times New Roman" w:hAnsi="Times New Roman" w:cs="Times New Roman"/>
          <w:lang w:val="de-DE"/>
        </w:rPr>
        <w:t xml:space="preserve"> </w:t>
      </w:r>
      <w:proofErr w:type="spellStart"/>
      <w:r w:rsidRPr="000C7C76">
        <w:rPr>
          <w:rFonts w:ascii="Times New Roman" w:hAnsi="Times New Roman" w:cs="Times New Roman"/>
          <w:lang w:val="de-DE"/>
        </w:rPr>
        <w:t>apspriežamas</w:t>
      </w:r>
      <w:proofErr w:type="spellEnd"/>
      <w:r w:rsidRPr="000C7C76">
        <w:rPr>
          <w:rFonts w:ascii="Times New Roman" w:hAnsi="Times New Roman" w:cs="Times New Roman"/>
          <w:lang w:val="de-DE"/>
        </w:rPr>
        <w:t xml:space="preserve"> </w:t>
      </w:r>
      <w:proofErr w:type="spellStart"/>
      <w:r w:rsidRPr="000C7C76">
        <w:rPr>
          <w:rFonts w:ascii="Times New Roman" w:hAnsi="Times New Roman" w:cs="Times New Roman"/>
          <w:lang w:val="de-DE"/>
        </w:rPr>
        <w:t>viņu</w:t>
      </w:r>
      <w:proofErr w:type="spellEnd"/>
      <w:r w:rsidRPr="000C7C76">
        <w:rPr>
          <w:rFonts w:ascii="Times New Roman" w:hAnsi="Times New Roman" w:cs="Times New Roman"/>
          <w:lang w:val="de-DE"/>
        </w:rPr>
        <w:t xml:space="preserve"> </w:t>
      </w:r>
      <w:proofErr w:type="spellStart"/>
      <w:r w:rsidRPr="000C7C76">
        <w:rPr>
          <w:rFonts w:ascii="Times New Roman" w:hAnsi="Times New Roman" w:cs="Times New Roman"/>
          <w:lang w:val="de-DE"/>
        </w:rPr>
        <w:t>savstarpējās</w:t>
      </w:r>
      <w:proofErr w:type="spellEnd"/>
      <w:r w:rsidRPr="000C7C76">
        <w:rPr>
          <w:rFonts w:ascii="Times New Roman" w:hAnsi="Times New Roman" w:cs="Times New Roman"/>
          <w:lang w:val="de-DE"/>
        </w:rPr>
        <w:t xml:space="preserve"> </w:t>
      </w:r>
      <w:proofErr w:type="spellStart"/>
      <w:r w:rsidRPr="000C7C76">
        <w:rPr>
          <w:rFonts w:ascii="Times New Roman" w:hAnsi="Times New Roman" w:cs="Times New Roman"/>
          <w:lang w:val="de-DE"/>
        </w:rPr>
        <w:t>attiecības</w:t>
      </w:r>
      <w:proofErr w:type="spellEnd"/>
      <w:r w:rsidRPr="000C7C76">
        <w:rPr>
          <w:rFonts w:ascii="Times New Roman" w:hAnsi="Times New Roman" w:cs="Times New Roman"/>
          <w:lang w:val="de-DE"/>
        </w:rPr>
        <w:t xml:space="preserve">“. </w:t>
      </w:r>
      <w:proofErr w:type="spellStart"/>
      <w:r w:rsidRPr="000C7C76">
        <w:rPr>
          <w:rFonts w:ascii="Times New Roman" w:hAnsi="Times New Roman" w:cs="Times New Roman"/>
          <w:lang w:val="de-DE"/>
        </w:rPr>
        <w:t>Šeit</w:t>
      </w:r>
      <w:proofErr w:type="spellEnd"/>
      <w:r w:rsidRPr="000C7C76">
        <w:rPr>
          <w:rFonts w:ascii="Times New Roman" w:hAnsi="Times New Roman" w:cs="Times New Roman"/>
          <w:lang w:val="de-DE"/>
        </w:rPr>
        <w:t xml:space="preserve"> </w:t>
      </w:r>
      <w:proofErr w:type="spellStart"/>
      <w:r w:rsidRPr="000C7C76">
        <w:rPr>
          <w:rFonts w:ascii="Times New Roman" w:hAnsi="Times New Roman" w:cs="Times New Roman"/>
          <w:lang w:val="de-DE"/>
        </w:rPr>
        <w:t>rodas</w:t>
      </w:r>
      <w:proofErr w:type="spellEnd"/>
      <w:r w:rsidRPr="000C7C76">
        <w:rPr>
          <w:rFonts w:ascii="Times New Roman" w:hAnsi="Times New Roman" w:cs="Times New Roman"/>
          <w:lang w:val="de-DE"/>
        </w:rPr>
        <w:t xml:space="preserve"> </w:t>
      </w:r>
      <w:proofErr w:type="spellStart"/>
      <w:r w:rsidRPr="000C7C76">
        <w:rPr>
          <w:rFonts w:ascii="Times New Roman" w:hAnsi="Times New Roman" w:cs="Times New Roman"/>
          <w:lang w:val="de-DE"/>
        </w:rPr>
        <w:t>jautājums</w:t>
      </w:r>
      <w:proofErr w:type="spellEnd"/>
      <w:r w:rsidRPr="000C7C76">
        <w:rPr>
          <w:rFonts w:ascii="Times New Roman" w:hAnsi="Times New Roman" w:cs="Times New Roman"/>
          <w:lang w:val="de-DE"/>
        </w:rPr>
        <w:t xml:space="preserve"> par </w:t>
      </w:r>
      <w:proofErr w:type="spellStart"/>
      <w:r w:rsidRPr="000C7C76">
        <w:rPr>
          <w:rFonts w:ascii="Times New Roman" w:hAnsi="Times New Roman" w:cs="Times New Roman"/>
          <w:lang w:val="de-DE"/>
        </w:rPr>
        <w:t>to</w:t>
      </w:r>
      <w:proofErr w:type="spellEnd"/>
      <w:r w:rsidRPr="000C7C76">
        <w:rPr>
          <w:rFonts w:ascii="Times New Roman" w:hAnsi="Times New Roman" w:cs="Times New Roman"/>
          <w:lang w:val="de-DE"/>
        </w:rPr>
        <w:t xml:space="preserve">, </w:t>
      </w:r>
      <w:proofErr w:type="spellStart"/>
      <w:r w:rsidRPr="000C7C76">
        <w:rPr>
          <w:rFonts w:ascii="Times New Roman" w:hAnsi="Times New Roman" w:cs="Times New Roman"/>
          <w:lang w:val="de-DE"/>
        </w:rPr>
        <w:t>kā</w:t>
      </w:r>
      <w:proofErr w:type="spellEnd"/>
      <w:r w:rsidRPr="000C7C76">
        <w:rPr>
          <w:rFonts w:ascii="Times New Roman" w:hAnsi="Times New Roman" w:cs="Times New Roman"/>
          <w:lang w:val="de-DE"/>
        </w:rPr>
        <w:t xml:space="preserve"> </w:t>
      </w:r>
      <w:proofErr w:type="spellStart"/>
      <w:r w:rsidRPr="000C7C76">
        <w:rPr>
          <w:rFonts w:ascii="Times New Roman" w:hAnsi="Times New Roman" w:cs="Times New Roman"/>
          <w:lang w:val="de-DE"/>
        </w:rPr>
        <w:t>pilnvaru</w:t>
      </w:r>
      <w:proofErr w:type="spellEnd"/>
      <w:r w:rsidRPr="000C7C76">
        <w:rPr>
          <w:rFonts w:ascii="Times New Roman" w:hAnsi="Times New Roman" w:cs="Times New Roman"/>
          <w:lang w:val="de-DE"/>
        </w:rPr>
        <w:t xml:space="preserve"> </w:t>
      </w:r>
      <w:proofErr w:type="spellStart"/>
      <w:r w:rsidRPr="000C7C76">
        <w:rPr>
          <w:rFonts w:ascii="Times New Roman" w:hAnsi="Times New Roman" w:cs="Times New Roman"/>
          <w:lang w:val="de-DE"/>
        </w:rPr>
        <w:t>gadījumā</w:t>
      </w:r>
      <w:proofErr w:type="spellEnd"/>
      <w:r w:rsidRPr="000C7C76">
        <w:rPr>
          <w:rFonts w:ascii="Times New Roman" w:hAnsi="Times New Roman" w:cs="Times New Roman"/>
          <w:lang w:val="de-DE"/>
        </w:rPr>
        <w:t xml:space="preserve"> </w:t>
      </w:r>
      <w:proofErr w:type="spellStart"/>
      <w:r w:rsidRPr="000C7C76">
        <w:rPr>
          <w:rFonts w:ascii="Times New Roman" w:hAnsi="Times New Roman" w:cs="Times New Roman"/>
          <w:lang w:val="de-DE"/>
        </w:rPr>
        <w:t>intepretēt</w:t>
      </w:r>
      <w:proofErr w:type="spellEnd"/>
      <w:r w:rsidRPr="000C7C76">
        <w:rPr>
          <w:rFonts w:ascii="Times New Roman" w:hAnsi="Times New Roman" w:cs="Times New Roman"/>
          <w:lang w:val="de-DE"/>
        </w:rPr>
        <w:t xml:space="preserve"> </w:t>
      </w:r>
      <w:proofErr w:type="spellStart"/>
      <w:r w:rsidRPr="000C7C76">
        <w:rPr>
          <w:rFonts w:ascii="Times New Roman" w:hAnsi="Times New Roman" w:cs="Times New Roman"/>
          <w:lang w:val="de-DE"/>
        </w:rPr>
        <w:t>jēdzienu</w:t>
      </w:r>
      <w:proofErr w:type="spellEnd"/>
      <w:r w:rsidRPr="000C7C76">
        <w:rPr>
          <w:rFonts w:ascii="Times New Roman" w:hAnsi="Times New Roman" w:cs="Times New Roman"/>
          <w:lang w:val="de-DE"/>
        </w:rPr>
        <w:t xml:space="preserve"> „</w:t>
      </w:r>
      <w:proofErr w:type="spellStart"/>
      <w:r w:rsidRPr="000C7C76">
        <w:rPr>
          <w:rFonts w:ascii="Times New Roman" w:hAnsi="Times New Roman" w:cs="Times New Roman"/>
          <w:lang w:val="de-DE"/>
        </w:rPr>
        <w:t>līdzēji</w:t>
      </w:r>
      <w:proofErr w:type="spellEnd"/>
      <w:r w:rsidRPr="000C7C76">
        <w:rPr>
          <w:rFonts w:ascii="Times New Roman" w:hAnsi="Times New Roman" w:cs="Times New Roman"/>
          <w:lang w:val="de-DE"/>
        </w:rPr>
        <w:t xml:space="preserve">“. </w:t>
      </w:r>
      <w:proofErr w:type="spellStart"/>
      <w:r w:rsidRPr="000C7C76">
        <w:rPr>
          <w:rFonts w:ascii="Times New Roman" w:hAnsi="Times New Roman" w:cs="Times New Roman"/>
          <w:lang w:val="de-DE"/>
        </w:rPr>
        <w:t>Kā</w:t>
      </w:r>
      <w:proofErr w:type="spellEnd"/>
      <w:r w:rsidRPr="000C7C76">
        <w:rPr>
          <w:rFonts w:ascii="Times New Roman" w:hAnsi="Times New Roman" w:cs="Times New Roman"/>
          <w:lang w:val="de-DE"/>
        </w:rPr>
        <w:t xml:space="preserve"> </w:t>
      </w:r>
      <w:proofErr w:type="spellStart"/>
      <w:r w:rsidRPr="000C7C76">
        <w:rPr>
          <w:rFonts w:ascii="Times New Roman" w:hAnsi="Times New Roman" w:cs="Times New Roman"/>
          <w:lang w:val="de-DE"/>
        </w:rPr>
        <w:t>iepriekš</w:t>
      </w:r>
      <w:proofErr w:type="spellEnd"/>
      <w:r w:rsidRPr="000C7C76">
        <w:rPr>
          <w:rFonts w:ascii="Times New Roman" w:hAnsi="Times New Roman" w:cs="Times New Roman"/>
          <w:lang w:val="de-DE"/>
        </w:rPr>
        <w:t xml:space="preserve"> </w:t>
      </w:r>
      <w:proofErr w:type="spellStart"/>
      <w:r w:rsidRPr="000C7C76">
        <w:rPr>
          <w:rFonts w:ascii="Times New Roman" w:hAnsi="Times New Roman" w:cs="Times New Roman"/>
          <w:lang w:val="de-DE"/>
        </w:rPr>
        <w:t>jau</w:t>
      </w:r>
      <w:proofErr w:type="spellEnd"/>
      <w:r w:rsidRPr="000C7C76">
        <w:rPr>
          <w:rFonts w:ascii="Times New Roman" w:hAnsi="Times New Roman" w:cs="Times New Roman"/>
          <w:lang w:val="de-DE"/>
        </w:rPr>
        <w:t xml:space="preserve"> </w:t>
      </w:r>
      <w:proofErr w:type="spellStart"/>
      <w:r w:rsidRPr="000C7C76">
        <w:rPr>
          <w:rFonts w:ascii="Times New Roman" w:hAnsi="Times New Roman" w:cs="Times New Roman"/>
          <w:lang w:val="de-DE"/>
        </w:rPr>
        <w:t>tika</w:t>
      </w:r>
      <w:proofErr w:type="spellEnd"/>
      <w:r w:rsidRPr="000C7C76">
        <w:rPr>
          <w:rFonts w:ascii="Times New Roman" w:hAnsi="Times New Roman" w:cs="Times New Roman"/>
          <w:lang w:val="de-DE"/>
        </w:rPr>
        <w:t xml:space="preserve"> </w:t>
      </w:r>
      <w:proofErr w:type="spellStart"/>
      <w:r w:rsidRPr="000C7C76">
        <w:rPr>
          <w:rFonts w:ascii="Times New Roman" w:hAnsi="Times New Roman" w:cs="Times New Roman"/>
          <w:lang w:val="de-DE"/>
        </w:rPr>
        <w:t>noskaidrots</w:t>
      </w:r>
      <w:proofErr w:type="spellEnd"/>
      <w:r w:rsidRPr="000C7C76">
        <w:rPr>
          <w:rFonts w:ascii="Times New Roman" w:hAnsi="Times New Roman" w:cs="Times New Roman"/>
          <w:lang w:val="de-DE"/>
        </w:rPr>
        <w:t xml:space="preserve">, </w:t>
      </w:r>
      <w:proofErr w:type="spellStart"/>
      <w:r w:rsidRPr="000C7C76">
        <w:rPr>
          <w:rFonts w:ascii="Times New Roman" w:hAnsi="Times New Roman" w:cs="Times New Roman"/>
          <w:lang w:val="de-DE"/>
        </w:rPr>
        <w:t>pilnvara</w:t>
      </w:r>
      <w:proofErr w:type="spellEnd"/>
      <w:r w:rsidRPr="000C7C76">
        <w:rPr>
          <w:rFonts w:ascii="Times New Roman" w:hAnsi="Times New Roman" w:cs="Times New Roman"/>
          <w:lang w:val="de-DE"/>
        </w:rPr>
        <w:t xml:space="preserve"> (</w:t>
      </w:r>
      <w:proofErr w:type="spellStart"/>
      <w:r w:rsidRPr="000C7C76">
        <w:rPr>
          <w:rFonts w:ascii="Times New Roman" w:hAnsi="Times New Roman" w:cs="Times New Roman"/>
          <w:lang w:val="de-DE"/>
        </w:rPr>
        <w:t>tās</w:t>
      </w:r>
      <w:proofErr w:type="spellEnd"/>
      <w:r w:rsidRPr="000C7C76">
        <w:rPr>
          <w:rFonts w:ascii="Times New Roman" w:hAnsi="Times New Roman" w:cs="Times New Roman"/>
          <w:lang w:val="de-DE"/>
        </w:rPr>
        <w:t xml:space="preserve"> </w:t>
      </w:r>
      <w:proofErr w:type="spellStart"/>
      <w:r w:rsidRPr="000C7C76">
        <w:rPr>
          <w:rFonts w:ascii="Times New Roman" w:hAnsi="Times New Roman" w:cs="Times New Roman"/>
          <w:lang w:val="de-DE"/>
        </w:rPr>
        <w:t>izdošana</w:t>
      </w:r>
      <w:proofErr w:type="spellEnd"/>
      <w:r w:rsidRPr="000C7C76">
        <w:rPr>
          <w:rFonts w:ascii="Times New Roman" w:hAnsi="Times New Roman" w:cs="Times New Roman"/>
          <w:lang w:val="de-DE"/>
        </w:rPr>
        <w:t xml:space="preserve">) </w:t>
      </w:r>
      <w:proofErr w:type="spellStart"/>
      <w:r w:rsidRPr="00BA7F97">
        <w:rPr>
          <w:rFonts w:ascii="Times New Roman" w:hAnsi="Times New Roman" w:cs="Times New Roman"/>
          <w:u w:val="single"/>
          <w:lang w:val="de-DE"/>
        </w:rPr>
        <w:t>ir</w:t>
      </w:r>
      <w:proofErr w:type="spellEnd"/>
      <w:r w:rsidRPr="00BA7F97">
        <w:rPr>
          <w:rFonts w:ascii="Times New Roman" w:hAnsi="Times New Roman" w:cs="Times New Roman"/>
          <w:u w:val="single"/>
          <w:lang w:val="de-DE"/>
        </w:rPr>
        <w:t xml:space="preserve"> </w:t>
      </w:r>
      <w:proofErr w:type="spellStart"/>
      <w:r w:rsidRPr="00BA7F97">
        <w:rPr>
          <w:rFonts w:ascii="Times New Roman" w:hAnsi="Times New Roman" w:cs="Times New Roman"/>
          <w:u w:val="single"/>
          <w:lang w:val="de-DE"/>
        </w:rPr>
        <w:t>vienpusējs</w:t>
      </w:r>
      <w:proofErr w:type="spellEnd"/>
      <w:r w:rsidRPr="00BA7F97">
        <w:rPr>
          <w:rFonts w:ascii="Times New Roman" w:hAnsi="Times New Roman" w:cs="Times New Roman"/>
          <w:u w:val="single"/>
          <w:lang w:val="de-DE"/>
        </w:rPr>
        <w:t xml:space="preserve"> </w:t>
      </w:r>
      <w:proofErr w:type="spellStart"/>
      <w:r w:rsidRPr="00BA7F97">
        <w:rPr>
          <w:rFonts w:ascii="Times New Roman" w:hAnsi="Times New Roman" w:cs="Times New Roman"/>
          <w:u w:val="single"/>
          <w:lang w:val="de-DE"/>
        </w:rPr>
        <w:t>gribas</w:t>
      </w:r>
      <w:proofErr w:type="spellEnd"/>
      <w:r w:rsidRPr="00BA7F97">
        <w:rPr>
          <w:rFonts w:ascii="Times New Roman" w:hAnsi="Times New Roman" w:cs="Times New Roman"/>
          <w:u w:val="single"/>
          <w:lang w:val="de-DE"/>
        </w:rPr>
        <w:t xml:space="preserve"> </w:t>
      </w:r>
      <w:proofErr w:type="spellStart"/>
      <w:r w:rsidRPr="00BA7F97">
        <w:rPr>
          <w:rFonts w:ascii="Times New Roman" w:hAnsi="Times New Roman" w:cs="Times New Roman"/>
          <w:u w:val="single"/>
          <w:lang w:val="de-DE"/>
        </w:rPr>
        <w:t>akts</w:t>
      </w:r>
      <w:proofErr w:type="spellEnd"/>
      <w:r w:rsidRPr="00BA7F97">
        <w:rPr>
          <w:rFonts w:ascii="Times New Roman" w:hAnsi="Times New Roman" w:cs="Times New Roman"/>
          <w:u w:val="single"/>
          <w:lang w:val="de-DE"/>
        </w:rPr>
        <w:t xml:space="preserve">, </w:t>
      </w:r>
      <w:proofErr w:type="spellStart"/>
      <w:r w:rsidRPr="00BA7F97">
        <w:rPr>
          <w:rFonts w:ascii="Times New Roman" w:hAnsi="Times New Roman" w:cs="Times New Roman"/>
          <w:u w:val="single"/>
          <w:lang w:val="de-DE"/>
        </w:rPr>
        <w:t>vienpusējs</w:t>
      </w:r>
      <w:proofErr w:type="spellEnd"/>
      <w:r w:rsidRPr="00BA7F97">
        <w:rPr>
          <w:rFonts w:ascii="Times New Roman" w:hAnsi="Times New Roman" w:cs="Times New Roman"/>
          <w:u w:val="single"/>
          <w:lang w:val="de-DE"/>
        </w:rPr>
        <w:t xml:space="preserve"> </w:t>
      </w:r>
      <w:proofErr w:type="spellStart"/>
      <w:r w:rsidRPr="00BA7F97">
        <w:rPr>
          <w:rFonts w:ascii="Times New Roman" w:hAnsi="Times New Roman" w:cs="Times New Roman"/>
          <w:u w:val="single"/>
          <w:lang w:val="de-DE"/>
        </w:rPr>
        <w:t>darījums</w:t>
      </w:r>
      <w:proofErr w:type="spellEnd"/>
      <w:r w:rsidRPr="00BA7F97">
        <w:rPr>
          <w:rFonts w:ascii="Times New Roman" w:hAnsi="Times New Roman" w:cs="Times New Roman"/>
          <w:lang w:val="de-DE"/>
        </w:rPr>
        <w:t xml:space="preserve">, </w:t>
      </w:r>
      <w:proofErr w:type="spellStart"/>
      <w:r w:rsidRPr="00BA7F97">
        <w:rPr>
          <w:rFonts w:ascii="Times New Roman" w:hAnsi="Times New Roman" w:cs="Times New Roman"/>
          <w:lang w:val="de-DE"/>
        </w:rPr>
        <w:t>kas</w:t>
      </w:r>
      <w:proofErr w:type="spellEnd"/>
      <w:r w:rsidRPr="00BA7F97">
        <w:rPr>
          <w:rFonts w:ascii="Times New Roman" w:hAnsi="Times New Roman" w:cs="Times New Roman"/>
          <w:lang w:val="de-DE"/>
        </w:rPr>
        <w:t xml:space="preserve"> </w:t>
      </w:r>
      <w:proofErr w:type="spellStart"/>
      <w:r w:rsidRPr="00BA7F97">
        <w:rPr>
          <w:rFonts w:ascii="Times New Roman" w:hAnsi="Times New Roman" w:cs="Times New Roman"/>
          <w:lang w:val="de-DE"/>
        </w:rPr>
        <w:t>nebūt</w:t>
      </w:r>
      <w:proofErr w:type="spellEnd"/>
      <w:r w:rsidRPr="00BA7F97">
        <w:rPr>
          <w:rFonts w:ascii="Times New Roman" w:hAnsi="Times New Roman" w:cs="Times New Roman"/>
          <w:lang w:val="de-DE"/>
        </w:rPr>
        <w:t xml:space="preserve"> </w:t>
      </w:r>
      <w:proofErr w:type="spellStart"/>
      <w:r w:rsidRPr="00BA7F97">
        <w:rPr>
          <w:rFonts w:ascii="Times New Roman" w:hAnsi="Times New Roman" w:cs="Times New Roman"/>
          <w:lang w:val="de-DE"/>
        </w:rPr>
        <w:t>nesaista</w:t>
      </w:r>
      <w:proofErr w:type="spellEnd"/>
      <w:r w:rsidRPr="00BA7F97">
        <w:rPr>
          <w:rFonts w:ascii="Times New Roman" w:hAnsi="Times New Roman" w:cs="Times New Roman"/>
          <w:lang w:val="de-DE"/>
        </w:rPr>
        <w:t xml:space="preserve"> </w:t>
      </w:r>
      <w:proofErr w:type="spellStart"/>
      <w:r w:rsidRPr="00BA7F97">
        <w:rPr>
          <w:rFonts w:ascii="Times New Roman" w:hAnsi="Times New Roman" w:cs="Times New Roman"/>
          <w:lang w:val="de-DE"/>
        </w:rPr>
        <w:t>pilnvarojumu</w:t>
      </w:r>
      <w:proofErr w:type="spellEnd"/>
      <w:r w:rsidRPr="00BA7F97">
        <w:rPr>
          <w:rFonts w:ascii="Times New Roman" w:hAnsi="Times New Roman" w:cs="Times New Roman"/>
          <w:lang w:val="de-DE"/>
        </w:rPr>
        <w:t xml:space="preserve"> </w:t>
      </w:r>
      <w:proofErr w:type="spellStart"/>
      <w:r w:rsidRPr="00BA7F97">
        <w:rPr>
          <w:rFonts w:ascii="Times New Roman" w:hAnsi="Times New Roman" w:cs="Times New Roman"/>
          <w:lang w:val="de-DE"/>
        </w:rPr>
        <w:t>saņēmušo</w:t>
      </w:r>
      <w:proofErr w:type="spellEnd"/>
      <w:r w:rsidRPr="00BA7F97">
        <w:rPr>
          <w:rFonts w:ascii="Times New Roman" w:hAnsi="Times New Roman" w:cs="Times New Roman"/>
          <w:lang w:val="de-DE"/>
        </w:rPr>
        <w:t xml:space="preserve"> </w:t>
      </w:r>
      <w:proofErr w:type="spellStart"/>
      <w:r w:rsidRPr="00BA7F97">
        <w:rPr>
          <w:rFonts w:ascii="Times New Roman" w:hAnsi="Times New Roman" w:cs="Times New Roman"/>
          <w:lang w:val="de-DE"/>
        </w:rPr>
        <w:t>personu</w:t>
      </w:r>
      <w:proofErr w:type="spellEnd"/>
      <w:r w:rsidRPr="00BA7F97">
        <w:rPr>
          <w:rFonts w:ascii="Times New Roman" w:hAnsi="Times New Roman" w:cs="Times New Roman"/>
          <w:lang w:val="de-DE"/>
        </w:rPr>
        <w:t xml:space="preserve"> kaut </w:t>
      </w:r>
      <w:proofErr w:type="spellStart"/>
      <w:r w:rsidRPr="00BA7F97">
        <w:rPr>
          <w:rFonts w:ascii="Times New Roman" w:hAnsi="Times New Roman" w:cs="Times New Roman"/>
          <w:lang w:val="de-DE"/>
        </w:rPr>
        <w:t>ko</w:t>
      </w:r>
      <w:proofErr w:type="spellEnd"/>
      <w:r w:rsidRPr="00BA7F97">
        <w:rPr>
          <w:rFonts w:ascii="Times New Roman" w:hAnsi="Times New Roman" w:cs="Times New Roman"/>
          <w:lang w:val="de-DE"/>
        </w:rPr>
        <w:t xml:space="preserve"> </w:t>
      </w:r>
      <w:proofErr w:type="spellStart"/>
      <w:r w:rsidRPr="00BA7F97">
        <w:rPr>
          <w:rFonts w:ascii="Times New Roman" w:hAnsi="Times New Roman" w:cs="Times New Roman"/>
          <w:lang w:val="de-DE"/>
        </w:rPr>
        <w:t>darīt</w:t>
      </w:r>
      <w:proofErr w:type="spellEnd"/>
      <w:r w:rsidRPr="00BA7F97">
        <w:rPr>
          <w:rFonts w:ascii="Times New Roman" w:hAnsi="Times New Roman" w:cs="Times New Roman"/>
          <w:lang w:val="de-DE"/>
        </w:rPr>
        <w:t xml:space="preserve"> </w:t>
      </w:r>
      <w:proofErr w:type="spellStart"/>
      <w:r w:rsidRPr="00BA7F97">
        <w:rPr>
          <w:rFonts w:ascii="Times New Roman" w:hAnsi="Times New Roman" w:cs="Times New Roman"/>
          <w:lang w:val="de-DE"/>
        </w:rPr>
        <w:t>un</w:t>
      </w:r>
      <w:proofErr w:type="spellEnd"/>
      <w:r w:rsidRPr="00BA7F97">
        <w:rPr>
          <w:rFonts w:ascii="Times New Roman" w:hAnsi="Times New Roman" w:cs="Times New Roman"/>
          <w:lang w:val="de-DE"/>
        </w:rPr>
        <w:t xml:space="preserve"> </w:t>
      </w:r>
      <w:proofErr w:type="spellStart"/>
      <w:r w:rsidRPr="00BA7F97">
        <w:rPr>
          <w:rFonts w:ascii="Times New Roman" w:hAnsi="Times New Roman" w:cs="Times New Roman"/>
          <w:lang w:val="de-DE"/>
        </w:rPr>
        <w:t>neatrisina</w:t>
      </w:r>
      <w:proofErr w:type="spellEnd"/>
      <w:r w:rsidRPr="00BA7F97">
        <w:rPr>
          <w:rFonts w:ascii="Times New Roman" w:hAnsi="Times New Roman" w:cs="Times New Roman"/>
          <w:lang w:val="de-DE"/>
        </w:rPr>
        <w:t xml:space="preserve"> </w:t>
      </w:r>
      <w:proofErr w:type="spellStart"/>
      <w:r w:rsidRPr="00BA7F97">
        <w:rPr>
          <w:rFonts w:ascii="Times New Roman" w:hAnsi="Times New Roman" w:cs="Times New Roman"/>
          <w:lang w:val="de-DE"/>
        </w:rPr>
        <w:t>arī</w:t>
      </w:r>
      <w:proofErr w:type="spellEnd"/>
      <w:r w:rsidRPr="00BA7F97">
        <w:rPr>
          <w:rFonts w:ascii="Times New Roman" w:hAnsi="Times New Roman" w:cs="Times New Roman"/>
          <w:lang w:val="de-DE"/>
        </w:rPr>
        <w:t xml:space="preserve"> </w:t>
      </w:r>
      <w:proofErr w:type="spellStart"/>
      <w:r w:rsidRPr="00BA7F97">
        <w:rPr>
          <w:rFonts w:ascii="Times New Roman" w:hAnsi="Times New Roman" w:cs="Times New Roman"/>
          <w:lang w:val="de-DE"/>
        </w:rPr>
        <w:t>jautājumus</w:t>
      </w:r>
      <w:proofErr w:type="spellEnd"/>
      <w:r w:rsidRPr="00BA7F97">
        <w:rPr>
          <w:rFonts w:ascii="Times New Roman" w:hAnsi="Times New Roman" w:cs="Times New Roman"/>
          <w:lang w:val="de-DE"/>
        </w:rPr>
        <w:t xml:space="preserve"> par </w:t>
      </w:r>
      <w:proofErr w:type="spellStart"/>
      <w:r w:rsidRPr="00BA7F97">
        <w:rPr>
          <w:rFonts w:ascii="Times New Roman" w:hAnsi="Times New Roman" w:cs="Times New Roman"/>
          <w:lang w:val="de-DE"/>
        </w:rPr>
        <w:t>savstarpēju</w:t>
      </w:r>
      <w:proofErr w:type="spellEnd"/>
      <w:r w:rsidRPr="00BA7F97">
        <w:rPr>
          <w:rFonts w:ascii="Times New Roman" w:hAnsi="Times New Roman" w:cs="Times New Roman"/>
          <w:lang w:val="de-DE"/>
        </w:rPr>
        <w:t xml:space="preserve"> </w:t>
      </w:r>
      <w:proofErr w:type="spellStart"/>
      <w:r w:rsidRPr="00BA7F97">
        <w:rPr>
          <w:rFonts w:ascii="Times New Roman" w:hAnsi="Times New Roman" w:cs="Times New Roman"/>
          <w:lang w:val="de-DE"/>
        </w:rPr>
        <w:t>rīcības</w:t>
      </w:r>
      <w:proofErr w:type="spellEnd"/>
      <w:r w:rsidRPr="00BA7F97">
        <w:rPr>
          <w:rFonts w:ascii="Times New Roman" w:hAnsi="Times New Roman" w:cs="Times New Roman"/>
          <w:lang w:val="de-DE"/>
        </w:rPr>
        <w:t xml:space="preserve"> </w:t>
      </w:r>
      <w:proofErr w:type="spellStart"/>
      <w:r w:rsidRPr="00BA7F97">
        <w:rPr>
          <w:rFonts w:ascii="Times New Roman" w:hAnsi="Times New Roman" w:cs="Times New Roman"/>
          <w:lang w:val="de-DE"/>
        </w:rPr>
        <w:t>saskaņošanu</w:t>
      </w:r>
      <w:proofErr w:type="spellEnd"/>
      <w:r w:rsidRPr="00BA7F97">
        <w:rPr>
          <w:rFonts w:ascii="Times New Roman" w:hAnsi="Times New Roman" w:cs="Times New Roman"/>
          <w:lang w:val="de-DE"/>
        </w:rPr>
        <w:t xml:space="preserve">, ja </w:t>
      </w:r>
      <w:proofErr w:type="spellStart"/>
      <w:r w:rsidRPr="00BA7F97">
        <w:rPr>
          <w:rFonts w:ascii="Times New Roman" w:hAnsi="Times New Roman" w:cs="Times New Roman"/>
          <w:lang w:val="de-DE"/>
        </w:rPr>
        <w:t>uzdevuma</w:t>
      </w:r>
      <w:proofErr w:type="spellEnd"/>
      <w:r w:rsidRPr="00BA7F97">
        <w:rPr>
          <w:rFonts w:ascii="Times New Roman" w:hAnsi="Times New Roman" w:cs="Times New Roman"/>
          <w:lang w:val="de-DE"/>
        </w:rPr>
        <w:t xml:space="preserve"> </w:t>
      </w:r>
      <w:proofErr w:type="spellStart"/>
      <w:r w:rsidRPr="00BA7F97">
        <w:rPr>
          <w:rFonts w:ascii="Times New Roman" w:hAnsi="Times New Roman" w:cs="Times New Roman"/>
          <w:lang w:val="de-DE"/>
        </w:rPr>
        <w:t>izpilde</w:t>
      </w:r>
      <w:proofErr w:type="spellEnd"/>
      <w:r w:rsidRPr="00BA7F97">
        <w:rPr>
          <w:rFonts w:ascii="Times New Roman" w:hAnsi="Times New Roman" w:cs="Times New Roman"/>
          <w:lang w:val="de-DE"/>
        </w:rPr>
        <w:t xml:space="preserve"> </w:t>
      </w:r>
      <w:proofErr w:type="spellStart"/>
      <w:r w:rsidRPr="00BA7F97">
        <w:rPr>
          <w:rFonts w:ascii="Times New Roman" w:hAnsi="Times New Roman" w:cs="Times New Roman"/>
          <w:lang w:val="de-DE"/>
        </w:rPr>
        <w:t>veicama</w:t>
      </w:r>
      <w:proofErr w:type="spellEnd"/>
      <w:r w:rsidRPr="00BA7F97">
        <w:rPr>
          <w:rFonts w:ascii="Times New Roman" w:hAnsi="Times New Roman" w:cs="Times New Roman"/>
          <w:lang w:val="de-DE"/>
        </w:rPr>
        <w:t xml:space="preserve"> </w:t>
      </w:r>
      <w:proofErr w:type="spellStart"/>
      <w:r w:rsidRPr="00BA7F97">
        <w:rPr>
          <w:rFonts w:ascii="Times New Roman" w:hAnsi="Times New Roman" w:cs="Times New Roman"/>
          <w:lang w:val="de-DE"/>
        </w:rPr>
        <w:t>ilgākā</w:t>
      </w:r>
      <w:proofErr w:type="spellEnd"/>
      <w:r w:rsidRPr="00BA7F97">
        <w:rPr>
          <w:rFonts w:ascii="Times New Roman" w:hAnsi="Times New Roman" w:cs="Times New Roman"/>
          <w:lang w:val="de-DE"/>
        </w:rPr>
        <w:t xml:space="preserve"> </w:t>
      </w:r>
      <w:proofErr w:type="spellStart"/>
      <w:r w:rsidRPr="00BA7F97">
        <w:rPr>
          <w:rFonts w:ascii="Times New Roman" w:hAnsi="Times New Roman" w:cs="Times New Roman"/>
          <w:lang w:val="de-DE"/>
        </w:rPr>
        <w:t>laikā</w:t>
      </w:r>
      <w:proofErr w:type="spellEnd"/>
      <w:r w:rsidRPr="00BA7F97">
        <w:rPr>
          <w:rFonts w:ascii="Times New Roman" w:hAnsi="Times New Roman" w:cs="Times New Roman"/>
          <w:lang w:val="de-DE"/>
        </w:rPr>
        <w:t xml:space="preserve">, </w:t>
      </w:r>
      <w:proofErr w:type="spellStart"/>
      <w:r w:rsidRPr="00BA7F97">
        <w:rPr>
          <w:rFonts w:ascii="Times New Roman" w:hAnsi="Times New Roman" w:cs="Times New Roman"/>
          <w:lang w:val="de-DE"/>
        </w:rPr>
        <w:t>kā</w:t>
      </w:r>
      <w:proofErr w:type="spellEnd"/>
      <w:r w:rsidRPr="00BA7F97">
        <w:rPr>
          <w:rFonts w:ascii="Times New Roman" w:hAnsi="Times New Roman" w:cs="Times New Roman"/>
          <w:lang w:val="de-DE"/>
        </w:rPr>
        <w:t xml:space="preserve"> </w:t>
      </w:r>
      <w:proofErr w:type="spellStart"/>
      <w:r w:rsidRPr="00BA7F97">
        <w:rPr>
          <w:rFonts w:ascii="Times New Roman" w:hAnsi="Times New Roman" w:cs="Times New Roman"/>
          <w:lang w:val="de-DE"/>
        </w:rPr>
        <w:t>arī</w:t>
      </w:r>
      <w:proofErr w:type="spellEnd"/>
      <w:r w:rsidRPr="00BA7F97">
        <w:rPr>
          <w:rFonts w:ascii="Times New Roman" w:hAnsi="Times New Roman" w:cs="Times New Roman"/>
          <w:lang w:val="de-DE"/>
        </w:rPr>
        <w:t xml:space="preserve"> par </w:t>
      </w:r>
      <w:proofErr w:type="spellStart"/>
      <w:r w:rsidRPr="00BA7F97">
        <w:rPr>
          <w:rFonts w:ascii="Times New Roman" w:hAnsi="Times New Roman" w:cs="Times New Roman"/>
          <w:lang w:val="de-DE"/>
        </w:rPr>
        <w:t>iespējamo</w:t>
      </w:r>
      <w:proofErr w:type="spellEnd"/>
      <w:r w:rsidRPr="00BA7F97">
        <w:rPr>
          <w:rFonts w:ascii="Times New Roman" w:hAnsi="Times New Roman" w:cs="Times New Roman"/>
          <w:lang w:val="de-DE"/>
        </w:rPr>
        <w:t xml:space="preserve"> </w:t>
      </w:r>
      <w:proofErr w:type="spellStart"/>
      <w:r w:rsidRPr="00BA7F97">
        <w:rPr>
          <w:rFonts w:ascii="Times New Roman" w:hAnsi="Times New Roman" w:cs="Times New Roman"/>
          <w:lang w:val="de-DE"/>
        </w:rPr>
        <w:t>atlīdzību</w:t>
      </w:r>
      <w:proofErr w:type="spellEnd"/>
      <w:r w:rsidRPr="00BA7F97">
        <w:rPr>
          <w:rFonts w:ascii="Times New Roman" w:hAnsi="Times New Roman" w:cs="Times New Roman"/>
          <w:lang w:val="de-DE"/>
        </w:rPr>
        <w:t>.</w:t>
      </w:r>
      <w:r w:rsidRPr="00BA7F97">
        <w:rPr>
          <w:rStyle w:val="FootnoteReference"/>
          <w:rFonts w:ascii="Times New Roman" w:hAnsi="Times New Roman" w:cs="Times New Roman"/>
          <w:lang w:val="de-DE"/>
        </w:rPr>
        <w:footnoteReference w:id="48"/>
      </w:r>
      <w:r w:rsidRPr="00BA7F97">
        <w:rPr>
          <w:rFonts w:ascii="Times New Roman" w:hAnsi="Times New Roman" w:cs="Times New Roman"/>
          <w:lang w:val="de-DE"/>
        </w:rPr>
        <w:t xml:space="preserve"> </w:t>
      </w:r>
      <w:proofErr w:type="spellStart"/>
      <w:r w:rsidRPr="00BA7F97">
        <w:rPr>
          <w:rFonts w:ascii="Times New Roman" w:hAnsi="Times New Roman" w:cs="Times New Roman"/>
          <w:lang w:val="de-DE"/>
        </w:rPr>
        <w:t>Tātad</w:t>
      </w:r>
      <w:proofErr w:type="spellEnd"/>
      <w:r w:rsidRPr="00BA7F97">
        <w:rPr>
          <w:rFonts w:ascii="Times New Roman" w:hAnsi="Times New Roman" w:cs="Times New Roman"/>
          <w:lang w:val="de-DE"/>
        </w:rPr>
        <w:t xml:space="preserve">, </w:t>
      </w:r>
      <w:proofErr w:type="spellStart"/>
      <w:r w:rsidRPr="00BA7F97">
        <w:rPr>
          <w:rFonts w:ascii="Times New Roman" w:hAnsi="Times New Roman" w:cs="Times New Roman"/>
          <w:lang w:val="de-DE"/>
        </w:rPr>
        <w:t>pilnvaras</w:t>
      </w:r>
      <w:proofErr w:type="spellEnd"/>
      <w:r w:rsidRPr="00BA7F97">
        <w:rPr>
          <w:rFonts w:ascii="Times New Roman" w:hAnsi="Times New Roman" w:cs="Times New Roman"/>
          <w:lang w:val="de-DE"/>
        </w:rPr>
        <w:t xml:space="preserve"> </w:t>
      </w:r>
      <w:proofErr w:type="spellStart"/>
      <w:r w:rsidRPr="00BA7F97">
        <w:rPr>
          <w:rFonts w:ascii="Times New Roman" w:hAnsi="Times New Roman" w:cs="Times New Roman"/>
          <w:lang w:val="de-DE"/>
        </w:rPr>
        <w:t>izdošanā</w:t>
      </w:r>
      <w:proofErr w:type="spellEnd"/>
      <w:r w:rsidRPr="00BA7F97">
        <w:rPr>
          <w:rFonts w:ascii="Times New Roman" w:hAnsi="Times New Roman" w:cs="Times New Roman"/>
          <w:lang w:val="de-DE"/>
        </w:rPr>
        <w:t xml:space="preserve"> „</w:t>
      </w:r>
      <w:proofErr w:type="spellStart"/>
      <w:r w:rsidRPr="00BA7F97">
        <w:rPr>
          <w:rFonts w:ascii="Times New Roman" w:hAnsi="Times New Roman" w:cs="Times New Roman"/>
          <w:lang w:val="de-DE"/>
        </w:rPr>
        <w:t>līdzēji</w:t>
      </w:r>
      <w:proofErr w:type="spellEnd"/>
      <w:r w:rsidRPr="00BA7F97">
        <w:rPr>
          <w:rFonts w:ascii="Times New Roman" w:hAnsi="Times New Roman" w:cs="Times New Roman"/>
          <w:lang w:val="de-DE"/>
        </w:rPr>
        <w:t xml:space="preserve">“ </w:t>
      </w:r>
      <w:proofErr w:type="spellStart"/>
      <w:r w:rsidRPr="00BA7F97">
        <w:rPr>
          <w:rFonts w:ascii="Times New Roman" w:hAnsi="Times New Roman" w:cs="Times New Roman"/>
          <w:lang w:val="de-DE"/>
        </w:rPr>
        <w:t>ir</w:t>
      </w:r>
      <w:proofErr w:type="spellEnd"/>
      <w:r w:rsidRPr="00BA7F97">
        <w:rPr>
          <w:rFonts w:ascii="Times New Roman" w:hAnsi="Times New Roman" w:cs="Times New Roman"/>
          <w:lang w:val="de-DE"/>
        </w:rPr>
        <w:t xml:space="preserve"> </w:t>
      </w:r>
      <w:proofErr w:type="spellStart"/>
      <w:r w:rsidRPr="00BA7F97">
        <w:rPr>
          <w:rFonts w:ascii="Times New Roman" w:hAnsi="Times New Roman" w:cs="Times New Roman"/>
          <w:lang w:val="de-DE"/>
        </w:rPr>
        <w:t>tikai</w:t>
      </w:r>
      <w:proofErr w:type="spellEnd"/>
      <w:r w:rsidRPr="00BA7F97">
        <w:rPr>
          <w:rFonts w:ascii="Times New Roman" w:hAnsi="Times New Roman" w:cs="Times New Roman"/>
          <w:lang w:val="de-DE"/>
        </w:rPr>
        <w:t xml:space="preserve"> </w:t>
      </w:r>
      <w:proofErr w:type="spellStart"/>
      <w:r w:rsidRPr="00BA7F97">
        <w:rPr>
          <w:rFonts w:ascii="Times New Roman" w:hAnsi="Times New Roman" w:cs="Times New Roman"/>
          <w:lang w:val="de-DE"/>
        </w:rPr>
        <w:t>pilnvarotājs</w:t>
      </w:r>
      <w:proofErr w:type="spellEnd"/>
      <w:r w:rsidRPr="00BA7F97">
        <w:rPr>
          <w:rFonts w:ascii="Times New Roman" w:hAnsi="Times New Roman" w:cs="Times New Roman"/>
          <w:lang w:val="de-DE"/>
        </w:rPr>
        <w:t xml:space="preserve">. </w:t>
      </w:r>
      <w:proofErr w:type="spellStart"/>
      <w:r w:rsidRPr="00BA7F97">
        <w:rPr>
          <w:rFonts w:ascii="Times New Roman" w:hAnsi="Times New Roman" w:cs="Times New Roman"/>
          <w:lang w:val="de-DE"/>
        </w:rPr>
        <w:t>Līdz</w:t>
      </w:r>
      <w:proofErr w:type="spellEnd"/>
      <w:r w:rsidRPr="00BA7F97">
        <w:rPr>
          <w:rFonts w:ascii="Times New Roman" w:hAnsi="Times New Roman" w:cs="Times New Roman"/>
          <w:lang w:val="de-DE"/>
        </w:rPr>
        <w:t xml:space="preserve"> </w:t>
      </w:r>
      <w:proofErr w:type="spellStart"/>
      <w:r w:rsidRPr="00BA7F97">
        <w:rPr>
          <w:rFonts w:ascii="Times New Roman" w:hAnsi="Times New Roman" w:cs="Times New Roman"/>
          <w:lang w:val="de-DE"/>
        </w:rPr>
        <w:t>ar</w:t>
      </w:r>
      <w:proofErr w:type="spellEnd"/>
      <w:r w:rsidRPr="00BA7F97">
        <w:rPr>
          <w:rFonts w:ascii="Times New Roman" w:hAnsi="Times New Roman" w:cs="Times New Roman"/>
          <w:lang w:val="de-DE"/>
        </w:rPr>
        <w:t xml:space="preserve"> </w:t>
      </w:r>
      <w:proofErr w:type="spellStart"/>
      <w:r w:rsidRPr="00BA7F97">
        <w:rPr>
          <w:rFonts w:ascii="Times New Roman" w:hAnsi="Times New Roman" w:cs="Times New Roman"/>
          <w:lang w:val="de-DE"/>
        </w:rPr>
        <w:t>to</w:t>
      </w:r>
      <w:proofErr w:type="spellEnd"/>
      <w:r w:rsidRPr="00BA7F97">
        <w:rPr>
          <w:rFonts w:ascii="Times New Roman" w:hAnsi="Times New Roman" w:cs="Times New Roman"/>
          <w:lang w:val="de-DE"/>
        </w:rPr>
        <w:t xml:space="preserve"> </w:t>
      </w:r>
      <w:proofErr w:type="spellStart"/>
      <w:r w:rsidRPr="00BA7F97">
        <w:rPr>
          <w:rFonts w:ascii="Times New Roman" w:hAnsi="Times New Roman" w:cs="Times New Roman"/>
          <w:lang w:val="de-DE"/>
        </w:rPr>
        <w:t>pilnvarai</w:t>
      </w:r>
      <w:proofErr w:type="spellEnd"/>
      <w:r w:rsidRPr="00BA7F97">
        <w:rPr>
          <w:rFonts w:ascii="Times New Roman" w:hAnsi="Times New Roman" w:cs="Times New Roman"/>
          <w:lang w:val="de-DE"/>
        </w:rPr>
        <w:t xml:space="preserve"> </w:t>
      </w:r>
      <w:proofErr w:type="spellStart"/>
      <w:r w:rsidRPr="00BA7F97">
        <w:rPr>
          <w:rFonts w:ascii="Times New Roman" w:hAnsi="Times New Roman" w:cs="Times New Roman"/>
          <w:lang w:val="de-DE"/>
        </w:rPr>
        <w:t>piemērojamo</w:t>
      </w:r>
      <w:proofErr w:type="spellEnd"/>
      <w:r w:rsidRPr="00BA7F97">
        <w:rPr>
          <w:rFonts w:ascii="Times New Roman" w:hAnsi="Times New Roman" w:cs="Times New Roman"/>
          <w:lang w:val="de-DE"/>
        </w:rPr>
        <w:t xml:space="preserve"> </w:t>
      </w:r>
      <w:proofErr w:type="spellStart"/>
      <w:r w:rsidRPr="00BA7F97">
        <w:rPr>
          <w:rFonts w:ascii="Times New Roman" w:hAnsi="Times New Roman" w:cs="Times New Roman"/>
          <w:lang w:val="de-DE"/>
        </w:rPr>
        <w:t>likumu</w:t>
      </w:r>
      <w:proofErr w:type="spellEnd"/>
      <w:r w:rsidRPr="00BA7F97">
        <w:rPr>
          <w:rFonts w:ascii="Times New Roman" w:hAnsi="Times New Roman" w:cs="Times New Roman"/>
          <w:lang w:val="de-DE"/>
        </w:rPr>
        <w:t xml:space="preserve"> </w:t>
      </w:r>
      <w:proofErr w:type="spellStart"/>
      <w:r w:rsidRPr="00BA7F97">
        <w:rPr>
          <w:rFonts w:ascii="Times New Roman" w:hAnsi="Times New Roman" w:cs="Times New Roman"/>
          <w:lang w:val="de-DE"/>
        </w:rPr>
        <w:t>var</w:t>
      </w:r>
      <w:proofErr w:type="spellEnd"/>
      <w:r w:rsidRPr="00BA7F97">
        <w:rPr>
          <w:rFonts w:ascii="Times New Roman" w:hAnsi="Times New Roman" w:cs="Times New Roman"/>
          <w:lang w:val="de-DE"/>
        </w:rPr>
        <w:t xml:space="preserve"> </w:t>
      </w:r>
      <w:proofErr w:type="spellStart"/>
      <w:r w:rsidRPr="00BA7F97">
        <w:rPr>
          <w:rFonts w:ascii="Times New Roman" w:hAnsi="Times New Roman" w:cs="Times New Roman"/>
          <w:lang w:val="de-DE"/>
        </w:rPr>
        <w:t>izvēlēties</w:t>
      </w:r>
      <w:proofErr w:type="spellEnd"/>
      <w:r w:rsidRPr="00BA7F97">
        <w:rPr>
          <w:rFonts w:ascii="Times New Roman" w:hAnsi="Times New Roman" w:cs="Times New Roman"/>
          <w:lang w:val="de-DE"/>
        </w:rPr>
        <w:t xml:space="preserve"> </w:t>
      </w:r>
      <w:proofErr w:type="spellStart"/>
      <w:r w:rsidRPr="00BA7F97">
        <w:rPr>
          <w:rFonts w:ascii="Times New Roman" w:hAnsi="Times New Roman" w:cs="Times New Roman"/>
          <w:lang w:val="de-DE"/>
        </w:rPr>
        <w:t>pilnvarotājs</w:t>
      </w:r>
      <w:proofErr w:type="spellEnd"/>
      <w:r w:rsidRPr="00BA7F97">
        <w:rPr>
          <w:rFonts w:ascii="Times New Roman" w:hAnsi="Times New Roman" w:cs="Times New Roman"/>
          <w:lang w:val="de-DE"/>
        </w:rPr>
        <w:t xml:space="preserve"> </w:t>
      </w:r>
      <w:proofErr w:type="spellStart"/>
      <w:r w:rsidRPr="00BA7F97">
        <w:rPr>
          <w:rFonts w:ascii="Times New Roman" w:hAnsi="Times New Roman" w:cs="Times New Roman"/>
          <w:lang w:val="de-DE"/>
        </w:rPr>
        <w:t>viens</w:t>
      </w:r>
      <w:proofErr w:type="spellEnd"/>
      <w:r w:rsidRPr="00BA7F97">
        <w:rPr>
          <w:rFonts w:ascii="Times New Roman" w:hAnsi="Times New Roman" w:cs="Times New Roman"/>
          <w:lang w:val="de-DE"/>
        </w:rPr>
        <w:t xml:space="preserve"> </w:t>
      </w:r>
      <w:proofErr w:type="spellStart"/>
      <w:r w:rsidRPr="00BA7F97">
        <w:rPr>
          <w:rFonts w:ascii="Times New Roman" w:hAnsi="Times New Roman" w:cs="Times New Roman"/>
          <w:lang w:val="de-DE"/>
        </w:rPr>
        <w:t>pats</w:t>
      </w:r>
      <w:proofErr w:type="spellEnd"/>
      <w:r w:rsidRPr="00BA7F97">
        <w:rPr>
          <w:rFonts w:ascii="Times New Roman" w:hAnsi="Times New Roman" w:cs="Times New Roman"/>
          <w:lang w:val="de-DE"/>
        </w:rPr>
        <w:t xml:space="preserve">. </w:t>
      </w:r>
      <w:proofErr w:type="spellStart"/>
      <w:r w:rsidRPr="00BA7F97">
        <w:rPr>
          <w:rFonts w:ascii="Times New Roman" w:hAnsi="Times New Roman" w:cs="Times New Roman"/>
          <w:lang w:val="de-DE"/>
        </w:rPr>
        <w:t>Tomēr</w:t>
      </w:r>
      <w:proofErr w:type="spellEnd"/>
      <w:r w:rsidRPr="00BA7F97">
        <w:rPr>
          <w:rFonts w:ascii="Times New Roman" w:hAnsi="Times New Roman" w:cs="Times New Roman"/>
          <w:lang w:val="de-DE"/>
        </w:rPr>
        <w:t xml:space="preserve">, </w:t>
      </w:r>
      <w:proofErr w:type="spellStart"/>
      <w:r w:rsidRPr="00BA7F97">
        <w:rPr>
          <w:rFonts w:ascii="Times New Roman" w:hAnsi="Times New Roman" w:cs="Times New Roman"/>
          <w:lang w:val="de-DE"/>
        </w:rPr>
        <w:t>tā</w:t>
      </w:r>
      <w:proofErr w:type="spellEnd"/>
      <w:r w:rsidRPr="00BA7F97">
        <w:rPr>
          <w:rFonts w:ascii="Times New Roman" w:hAnsi="Times New Roman" w:cs="Times New Roman"/>
          <w:lang w:val="de-DE"/>
        </w:rPr>
        <w:t xml:space="preserve"> </w:t>
      </w:r>
      <w:proofErr w:type="spellStart"/>
      <w:r w:rsidRPr="00BA7F97">
        <w:rPr>
          <w:rFonts w:ascii="Times New Roman" w:hAnsi="Times New Roman" w:cs="Times New Roman"/>
          <w:lang w:val="de-DE"/>
        </w:rPr>
        <w:t>kā</w:t>
      </w:r>
      <w:proofErr w:type="spellEnd"/>
      <w:r w:rsidRPr="00BA7F97">
        <w:rPr>
          <w:rFonts w:ascii="Times New Roman" w:hAnsi="Times New Roman" w:cs="Times New Roman"/>
          <w:lang w:val="de-DE"/>
        </w:rPr>
        <w:t xml:space="preserve"> </w:t>
      </w:r>
      <w:proofErr w:type="spellStart"/>
      <w:r w:rsidRPr="00BA7F97">
        <w:rPr>
          <w:rFonts w:ascii="Times New Roman" w:hAnsi="Times New Roman" w:cs="Times New Roman"/>
          <w:lang w:val="de-DE"/>
        </w:rPr>
        <w:t>pilnvara</w:t>
      </w:r>
      <w:proofErr w:type="spellEnd"/>
      <w:r w:rsidRPr="00BA7F97">
        <w:rPr>
          <w:rFonts w:ascii="Times New Roman" w:hAnsi="Times New Roman" w:cs="Times New Roman"/>
          <w:lang w:val="de-DE"/>
        </w:rPr>
        <w:t xml:space="preserve"> </w:t>
      </w:r>
      <w:proofErr w:type="spellStart"/>
      <w:r w:rsidRPr="00BA7F97">
        <w:rPr>
          <w:rFonts w:ascii="Times New Roman" w:hAnsi="Times New Roman" w:cs="Times New Roman"/>
          <w:lang w:val="de-DE"/>
        </w:rPr>
        <w:t>dod</w:t>
      </w:r>
      <w:proofErr w:type="spellEnd"/>
      <w:r w:rsidRPr="00BA7F97">
        <w:rPr>
          <w:rFonts w:ascii="Times New Roman" w:hAnsi="Times New Roman" w:cs="Times New Roman"/>
          <w:lang w:val="de-DE"/>
        </w:rPr>
        <w:t xml:space="preserve"> </w:t>
      </w:r>
      <w:proofErr w:type="spellStart"/>
      <w:r w:rsidRPr="00BA7F97">
        <w:rPr>
          <w:rFonts w:ascii="Times New Roman" w:hAnsi="Times New Roman" w:cs="Times New Roman"/>
          <w:lang w:val="de-DE"/>
        </w:rPr>
        <w:t>tiesības</w:t>
      </w:r>
      <w:proofErr w:type="spellEnd"/>
      <w:r w:rsidRPr="00BA7F97">
        <w:rPr>
          <w:rFonts w:ascii="Times New Roman" w:hAnsi="Times New Roman" w:cs="Times New Roman"/>
          <w:lang w:val="de-DE"/>
        </w:rPr>
        <w:t xml:space="preserve"> </w:t>
      </w:r>
      <w:proofErr w:type="spellStart"/>
      <w:r w:rsidRPr="00BA7F97">
        <w:rPr>
          <w:rFonts w:ascii="Times New Roman" w:hAnsi="Times New Roman" w:cs="Times New Roman"/>
          <w:lang w:val="de-DE"/>
        </w:rPr>
        <w:t>pilnvarniekam</w:t>
      </w:r>
      <w:proofErr w:type="spellEnd"/>
      <w:r w:rsidRPr="00BA7F97">
        <w:rPr>
          <w:rFonts w:ascii="Times New Roman" w:hAnsi="Times New Roman" w:cs="Times New Roman"/>
          <w:lang w:val="de-DE"/>
        </w:rPr>
        <w:t xml:space="preserve"> </w:t>
      </w:r>
      <w:proofErr w:type="spellStart"/>
      <w:r w:rsidRPr="00BA7F97">
        <w:rPr>
          <w:rFonts w:ascii="Times New Roman" w:hAnsi="Times New Roman" w:cs="Times New Roman"/>
          <w:lang w:val="de-DE"/>
        </w:rPr>
        <w:t>stāties</w:t>
      </w:r>
      <w:proofErr w:type="spellEnd"/>
      <w:r w:rsidRPr="00BA7F97">
        <w:rPr>
          <w:rFonts w:ascii="Times New Roman" w:hAnsi="Times New Roman" w:cs="Times New Roman"/>
          <w:lang w:val="de-DE"/>
        </w:rPr>
        <w:t xml:space="preserve"> </w:t>
      </w:r>
      <w:proofErr w:type="spellStart"/>
      <w:r w:rsidRPr="00BA7F97">
        <w:rPr>
          <w:rFonts w:ascii="Times New Roman" w:hAnsi="Times New Roman" w:cs="Times New Roman"/>
          <w:lang w:val="de-DE"/>
        </w:rPr>
        <w:t>tiesiskajās</w:t>
      </w:r>
      <w:proofErr w:type="spellEnd"/>
      <w:r w:rsidRPr="00BA7F97">
        <w:rPr>
          <w:rFonts w:ascii="Times New Roman" w:hAnsi="Times New Roman" w:cs="Times New Roman"/>
          <w:lang w:val="de-DE"/>
        </w:rPr>
        <w:t xml:space="preserve"> </w:t>
      </w:r>
      <w:proofErr w:type="spellStart"/>
      <w:r w:rsidRPr="00BA7F97">
        <w:rPr>
          <w:rFonts w:ascii="Times New Roman" w:hAnsi="Times New Roman" w:cs="Times New Roman"/>
          <w:lang w:val="de-DE"/>
        </w:rPr>
        <w:t>attiecībās</w:t>
      </w:r>
      <w:proofErr w:type="spellEnd"/>
      <w:r w:rsidRPr="00BA7F97">
        <w:rPr>
          <w:rFonts w:ascii="Times New Roman" w:hAnsi="Times New Roman" w:cs="Times New Roman"/>
          <w:lang w:val="de-DE"/>
        </w:rPr>
        <w:t xml:space="preserve"> </w:t>
      </w:r>
      <w:proofErr w:type="spellStart"/>
      <w:r w:rsidRPr="00BA7F97">
        <w:rPr>
          <w:rFonts w:ascii="Times New Roman" w:hAnsi="Times New Roman" w:cs="Times New Roman"/>
          <w:lang w:val="de-DE"/>
        </w:rPr>
        <w:t>ar</w:t>
      </w:r>
      <w:proofErr w:type="spellEnd"/>
      <w:r w:rsidRPr="00BA7F97">
        <w:rPr>
          <w:rFonts w:ascii="Times New Roman" w:hAnsi="Times New Roman" w:cs="Times New Roman"/>
          <w:lang w:val="de-DE"/>
        </w:rPr>
        <w:t xml:space="preserve"> </w:t>
      </w:r>
      <w:proofErr w:type="spellStart"/>
      <w:r w:rsidRPr="00BA7F97">
        <w:rPr>
          <w:rFonts w:ascii="Times New Roman" w:hAnsi="Times New Roman" w:cs="Times New Roman"/>
          <w:lang w:val="de-DE"/>
        </w:rPr>
        <w:t>trešajām</w:t>
      </w:r>
      <w:proofErr w:type="spellEnd"/>
      <w:r w:rsidRPr="00BA7F97">
        <w:rPr>
          <w:rFonts w:ascii="Times New Roman" w:hAnsi="Times New Roman" w:cs="Times New Roman"/>
          <w:lang w:val="de-DE"/>
        </w:rPr>
        <w:t xml:space="preserve"> </w:t>
      </w:r>
      <w:proofErr w:type="spellStart"/>
      <w:r w:rsidRPr="00BA7F97">
        <w:rPr>
          <w:rFonts w:ascii="Times New Roman" w:hAnsi="Times New Roman" w:cs="Times New Roman"/>
          <w:lang w:val="de-DE"/>
        </w:rPr>
        <w:t>personām</w:t>
      </w:r>
      <w:proofErr w:type="spellEnd"/>
      <w:r w:rsidRPr="00BA7F97">
        <w:rPr>
          <w:rFonts w:ascii="Times New Roman" w:hAnsi="Times New Roman" w:cs="Times New Roman"/>
          <w:lang w:val="de-DE"/>
        </w:rPr>
        <w:t xml:space="preserve">, </w:t>
      </w:r>
      <w:proofErr w:type="spellStart"/>
      <w:r w:rsidRPr="00BA7F97">
        <w:rPr>
          <w:rFonts w:ascii="Times New Roman" w:hAnsi="Times New Roman" w:cs="Times New Roman"/>
          <w:lang w:val="de-DE"/>
        </w:rPr>
        <w:t>tad</w:t>
      </w:r>
      <w:proofErr w:type="spellEnd"/>
      <w:r w:rsidRPr="00BA7F97">
        <w:rPr>
          <w:rFonts w:ascii="Times New Roman" w:hAnsi="Times New Roman" w:cs="Times New Roman"/>
          <w:lang w:val="de-DE"/>
        </w:rPr>
        <w:t xml:space="preserve"> </w:t>
      </w:r>
      <w:proofErr w:type="spellStart"/>
      <w:r w:rsidRPr="00BA7F97">
        <w:rPr>
          <w:rFonts w:ascii="Times New Roman" w:hAnsi="Times New Roman" w:cs="Times New Roman"/>
          <w:lang w:val="de-DE"/>
        </w:rPr>
        <w:t>praksē</w:t>
      </w:r>
      <w:proofErr w:type="spellEnd"/>
      <w:r w:rsidRPr="00BA7F97">
        <w:rPr>
          <w:rFonts w:ascii="Times New Roman" w:hAnsi="Times New Roman" w:cs="Times New Roman"/>
          <w:lang w:val="de-DE"/>
        </w:rPr>
        <w:t xml:space="preserve"> </w:t>
      </w:r>
      <w:proofErr w:type="spellStart"/>
      <w:r w:rsidRPr="00BA7F97">
        <w:rPr>
          <w:rFonts w:ascii="Times New Roman" w:hAnsi="Times New Roman" w:cs="Times New Roman"/>
          <w:lang w:val="de-DE"/>
        </w:rPr>
        <w:t>šis</w:t>
      </w:r>
      <w:proofErr w:type="spellEnd"/>
      <w:r w:rsidRPr="00BA7F97">
        <w:rPr>
          <w:rFonts w:ascii="Times New Roman" w:hAnsi="Times New Roman" w:cs="Times New Roman"/>
          <w:lang w:val="de-DE"/>
        </w:rPr>
        <w:t xml:space="preserve"> </w:t>
      </w:r>
      <w:proofErr w:type="spellStart"/>
      <w:r w:rsidRPr="00BA7F97">
        <w:rPr>
          <w:rFonts w:ascii="Times New Roman" w:hAnsi="Times New Roman" w:cs="Times New Roman"/>
          <w:lang w:val="de-DE"/>
        </w:rPr>
        <w:t>noteikums</w:t>
      </w:r>
      <w:proofErr w:type="spellEnd"/>
      <w:r w:rsidRPr="00BA7F97">
        <w:rPr>
          <w:rFonts w:ascii="Times New Roman" w:hAnsi="Times New Roman" w:cs="Times New Roman"/>
          <w:lang w:val="de-DE"/>
        </w:rPr>
        <w:t xml:space="preserve"> </w:t>
      </w:r>
      <w:proofErr w:type="spellStart"/>
      <w:r w:rsidRPr="00BA7F97">
        <w:rPr>
          <w:rFonts w:ascii="Times New Roman" w:hAnsi="Times New Roman" w:cs="Times New Roman"/>
          <w:lang w:val="de-DE"/>
        </w:rPr>
        <w:t>būtu</w:t>
      </w:r>
      <w:proofErr w:type="spellEnd"/>
      <w:r w:rsidRPr="00BA7F97">
        <w:rPr>
          <w:rFonts w:ascii="Times New Roman" w:hAnsi="Times New Roman" w:cs="Times New Roman"/>
          <w:lang w:val="de-DE"/>
        </w:rPr>
        <w:t xml:space="preserve"> </w:t>
      </w:r>
      <w:proofErr w:type="spellStart"/>
      <w:r w:rsidRPr="00BA7F97">
        <w:rPr>
          <w:rFonts w:ascii="Times New Roman" w:hAnsi="Times New Roman" w:cs="Times New Roman"/>
          <w:lang w:val="de-DE"/>
        </w:rPr>
        <w:t>interpretējams</w:t>
      </w:r>
      <w:proofErr w:type="spellEnd"/>
      <w:r w:rsidRPr="00BA7F97">
        <w:rPr>
          <w:rFonts w:ascii="Times New Roman" w:hAnsi="Times New Roman" w:cs="Times New Roman"/>
          <w:lang w:val="de-DE"/>
        </w:rPr>
        <w:t xml:space="preserve"> </w:t>
      </w:r>
      <w:proofErr w:type="spellStart"/>
      <w:r w:rsidRPr="00BA7F97">
        <w:rPr>
          <w:rFonts w:ascii="Times New Roman" w:hAnsi="Times New Roman" w:cs="Times New Roman"/>
          <w:lang w:val="de-DE"/>
        </w:rPr>
        <w:t>līdzīgi</w:t>
      </w:r>
      <w:proofErr w:type="spellEnd"/>
      <w:r w:rsidRPr="00BA7F97">
        <w:rPr>
          <w:rFonts w:ascii="Times New Roman" w:hAnsi="Times New Roman" w:cs="Times New Roman"/>
          <w:lang w:val="de-DE"/>
        </w:rPr>
        <w:t xml:space="preserve"> </w:t>
      </w:r>
      <w:proofErr w:type="spellStart"/>
      <w:r w:rsidRPr="00BA7F97">
        <w:rPr>
          <w:rFonts w:ascii="Times New Roman" w:hAnsi="Times New Roman" w:cs="Times New Roman"/>
          <w:lang w:val="de-DE"/>
        </w:rPr>
        <w:t>tam</w:t>
      </w:r>
      <w:proofErr w:type="spellEnd"/>
      <w:r w:rsidRPr="00BA7F97">
        <w:rPr>
          <w:rFonts w:ascii="Times New Roman" w:hAnsi="Times New Roman" w:cs="Times New Roman"/>
          <w:lang w:val="de-DE"/>
        </w:rPr>
        <w:t xml:space="preserve">, </w:t>
      </w:r>
      <w:proofErr w:type="spellStart"/>
      <w:r w:rsidRPr="00BA7F97">
        <w:rPr>
          <w:rFonts w:ascii="Times New Roman" w:hAnsi="Times New Roman" w:cs="Times New Roman"/>
          <w:lang w:val="de-DE"/>
        </w:rPr>
        <w:t>kā</w:t>
      </w:r>
      <w:proofErr w:type="spellEnd"/>
      <w:r w:rsidRPr="00BA7F97">
        <w:rPr>
          <w:rFonts w:ascii="Times New Roman" w:hAnsi="Times New Roman" w:cs="Times New Roman"/>
          <w:lang w:val="de-DE"/>
        </w:rPr>
        <w:t xml:space="preserve"> </w:t>
      </w:r>
      <w:proofErr w:type="spellStart"/>
      <w:r w:rsidRPr="00BA7F97">
        <w:rPr>
          <w:rFonts w:ascii="Times New Roman" w:hAnsi="Times New Roman" w:cs="Times New Roman"/>
          <w:lang w:val="de-DE"/>
        </w:rPr>
        <w:t>tas</w:t>
      </w:r>
      <w:proofErr w:type="spellEnd"/>
      <w:r w:rsidRPr="00BA7F97">
        <w:rPr>
          <w:rFonts w:ascii="Times New Roman" w:hAnsi="Times New Roman" w:cs="Times New Roman"/>
          <w:lang w:val="de-DE"/>
        </w:rPr>
        <w:t xml:space="preserve"> </w:t>
      </w:r>
      <w:proofErr w:type="spellStart"/>
      <w:r w:rsidRPr="00BA7F97">
        <w:rPr>
          <w:rFonts w:ascii="Times New Roman" w:hAnsi="Times New Roman" w:cs="Times New Roman"/>
          <w:lang w:val="de-DE"/>
        </w:rPr>
        <w:t>notiek</w:t>
      </w:r>
      <w:proofErr w:type="spellEnd"/>
      <w:r w:rsidRPr="00BA7F97">
        <w:rPr>
          <w:rFonts w:ascii="Times New Roman" w:hAnsi="Times New Roman" w:cs="Times New Roman"/>
          <w:lang w:val="de-DE"/>
        </w:rPr>
        <w:t xml:space="preserve"> </w:t>
      </w:r>
      <w:proofErr w:type="spellStart"/>
      <w:r w:rsidRPr="00BA7F97">
        <w:rPr>
          <w:rFonts w:ascii="Times New Roman" w:hAnsi="Times New Roman" w:cs="Times New Roman"/>
          <w:lang w:val="de-DE"/>
        </w:rPr>
        <w:t>Polijas</w:t>
      </w:r>
      <w:proofErr w:type="spellEnd"/>
      <w:r w:rsidRPr="00BA7F97">
        <w:rPr>
          <w:rFonts w:ascii="Times New Roman" w:hAnsi="Times New Roman" w:cs="Times New Roman"/>
          <w:lang w:val="de-DE"/>
        </w:rPr>
        <w:t xml:space="preserve"> </w:t>
      </w:r>
      <w:proofErr w:type="spellStart"/>
      <w:r w:rsidRPr="00BA7F97">
        <w:rPr>
          <w:rFonts w:ascii="Times New Roman" w:hAnsi="Times New Roman" w:cs="Times New Roman"/>
          <w:lang w:val="de-DE"/>
        </w:rPr>
        <w:t>un</w:t>
      </w:r>
      <w:proofErr w:type="spellEnd"/>
      <w:r w:rsidRPr="00BA7F97">
        <w:rPr>
          <w:rFonts w:ascii="Times New Roman" w:hAnsi="Times New Roman" w:cs="Times New Roman"/>
          <w:lang w:val="de-DE"/>
        </w:rPr>
        <w:t xml:space="preserve"> </w:t>
      </w:r>
      <w:proofErr w:type="spellStart"/>
      <w:r w:rsidRPr="00BA7F97">
        <w:rPr>
          <w:rFonts w:ascii="Times New Roman" w:hAnsi="Times New Roman" w:cs="Times New Roman"/>
          <w:lang w:val="de-DE"/>
        </w:rPr>
        <w:t>Vācijas</w:t>
      </w:r>
      <w:proofErr w:type="spellEnd"/>
      <w:r w:rsidRPr="00BA7F97">
        <w:rPr>
          <w:rFonts w:ascii="Times New Roman" w:hAnsi="Times New Roman" w:cs="Times New Roman"/>
          <w:lang w:val="de-DE"/>
        </w:rPr>
        <w:t xml:space="preserve"> SPT, </w:t>
      </w:r>
      <w:proofErr w:type="spellStart"/>
      <w:r w:rsidRPr="00BA7F97">
        <w:rPr>
          <w:rFonts w:ascii="Times New Roman" w:hAnsi="Times New Roman" w:cs="Times New Roman"/>
          <w:lang w:val="de-DE"/>
        </w:rPr>
        <w:t>proti</w:t>
      </w:r>
      <w:proofErr w:type="spellEnd"/>
      <w:r w:rsidRPr="00BA7F97">
        <w:rPr>
          <w:rFonts w:ascii="Times New Roman" w:hAnsi="Times New Roman" w:cs="Times New Roman"/>
          <w:lang w:val="de-DE"/>
        </w:rPr>
        <w:t xml:space="preserve">, </w:t>
      </w:r>
      <w:r w:rsidRPr="00BA7F97">
        <w:rPr>
          <w:rFonts w:ascii="Times New Roman" w:hAnsi="Times New Roman" w:cs="Times New Roman"/>
          <w:lang w:val="lv-LV"/>
        </w:rPr>
        <w:t>tiesiskajās attiecībās ar pilnvarnieku un/vai trešo personu pilnvarotājs uz šo sevis izvēlēto likumu varētu atsaukties tikai tad, ja abas minētās puses ir zinājušas par šo izvēli vai arī viegli varēja par to uzzināt. Tas nozīmē, ka pilnvarā tomēr būtu jānorāda, kuras valsts likums būs piemērojams pilnvarai (tās saturam un sekām).</w:t>
      </w:r>
    </w:p>
    <w:p w14:paraId="4D985374" w14:textId="77777777" w:rsidR="00114953" w:rsidRPr="00BA7F97" w:rsidRDefault="00114953" w:rsidP="00114953">
      <w:pPr>
        <w:ind w:firstLine="708"/>
        <w:jc w:val="both"/>
        <w:rPr>
          <w:rFonts w:ascii="Times New Roman" w:hAnsi="Times New Roman" w:cs="Times New Roman"/>
          <w:highlight w:val="yellow"/>
          <w:lang w:val="de-DE"/>
        </w:rPr>
      </w:pPr>
    </w:p>
    <w:p w14:paraId="67C66B38" w14:textId="77777777" w:rsidR="00114953" w:rsidRPr="00BA7F97" w:rsidRDefault="00114953" w:rsidP="00114953">
      <w:pPr>
        <w:ind w:firstLine="708"/>
        <w:jc w:val="both"/>
        <w:rPr>
          <w:rFonts w:ascii="Times New Roman" w:hAnsi="Times New Roman" w:cs="Times New Roman"/>
          <w:lang w:val="de-DE"/>
        </w:rPr>
      </w:pPr>
      <w:r w:rsidRPr="00BA7F97">
        <w:rPr>
          <w:rFonts w:ascii="Times New Roman" w:hAnsi="Times New Roman" w:cs="Times New Roman"/>
          <w:b/>
          <w:lang w:val="de-DE"/>
        </w:rPr>
        <w:t xml:space="preserve">Ja </w:t>
      </w:r>
      <w:proofErr w:type="spellStart"/>
      <w:r w:rsidRPr="00BA7F97">
        <w:rPr>
          <w:rFonts w:ascii="Times New Roman" w:hAnsi="Times New Roman" w:cs="Times New Roman"/>
          <w:b/>
          <w:lang w:val="de-DE"/>
        </w:rPr>
        <w:t>pilnvarotājs</w:t>
      </w:r>
      <w:proofErr w:type="spellEnd"/>
      <w:r w:rsidRPr="00BA7F97">
        <w:rPr>
          <w:rFonts w:ascii="Times New Roman" w:hAnsi="Times New Roman" w:cs="Times New Roman"/>
          <w:b/>
          <w:lang w:val="de-DE"/>
        </w:rPr>
        <w:t xml:space="preserve"> </w:t>
      </w:r>
      <w:proofErr w:type="spellStart"/>
      <w:r w:rsidRPr="00BA7F97">
        <w:rPr>
          <w:rFonts w:ascii="Times New Roman" w:hAnsi="Times New Roman" w:cs="Times New Roman"/>
          <w:b/>
          <w:lang w:val="de-DE"/>
        </w:rPr>
        <w:t>tomēr</w:t>
      </w:r>
      <w:proofErr w:type="spellEnd"/>
      <w:r w:rsidRPr="00BA7F97">
        <w:rPr>
          <w:rFonts w:ascii="Times New Roman" w:hAnsi="Times New Roman" w:cs="Times New Roman"/>
          <w:b/>
          <w:lang w:val="de-DE"/>
        </w:rPr>
        <w:t xml:space="preserve"> </w:t>
      </w:r>
      <w:proofErr w:type="spellStart"/>
      <w:r w:rsidRPr="00BA7F97">
        <w:rPr>
          <w:rFonts w:ascii="Times New Roman" w:hAnsi="Times New Roman" w:cs="Times New Roman"/>
          <w:b/>
          <w:lang w:val="de-DE"/>
        </w:rPr>
        <w:t>nav</w:t>
      </w:r>
      <w:proofErr w:type="spellEnd"/>
      <w:r w:rsidRPr="00BA7F97">
        <w:rPr>
          <w:rFonts w:ascii="Times New Roman" w:hAnsi="Times New Roman" w:cs="Times New Roman"/>
          <w:b/>
          <w:lang w:val="de-DE"/>
        </w:rPr>
        <w:t xml:space="preserve"> </w:t>
      </w:r>
      <w:proofErr w:type="spellStart"/>
      <w:r w:rsidRPr="00BA7F97">
        <w:rPr>
          <w:rFonts w:ascii="Times New Roman" w:hAnsi="Times New Roman" w:cs="Times New Roman"/>
          <w:b/>
          <w:lang w:val="de-DE"/>
        </w:rPr>
        <w:t>izvēlējies</w:t>
      </w:r>
      <w:proofErr w:type="spellEnd"/>
      <w:r w:rsidRPr="00BA7F97">
        <w:rPr>
          <w:rFonts w:ascii="Times New Roman" w:hAnsi="Times New Roman" w:cs="Times New Roman"/>
          <w:b/>
          <w:lang w:val="de-DE"/>
        </w:rPr>
        <w:t xml:space="preserve"> </w:t>
      </w:r>
      <w:proofErr w:type="spellStart"/>
      <w:r w:rsidRPr="00BA7F97">
        <w:rPr>
          <w:rFonts w:ascii="Times New Roman" w:hAnsi="Times New Roman" w:cs="Times New Roman"/>
          <w:b/>
          <w:lang w:val="de-DE"/>
        </w:rPr>
        <w:t>pilnvarai</w:t>
      </w:r>
      <w:proofErr w:type="spellEnd"/>
      <w:r w:rsidRPr="00BA7F97">
        <w:rPr>
          <w:rFonts w:ascii="Times New Roman" w:hAnsi="Times New Roman" w:cs="Times New Roman"/>
          <w:b/>
          <w:lang w:val="de-DE"/>
        </w:rPr>
        <w:t xml:space="preserve"> (</w:t>
      </w:r>
      <w:proofErr w:type="spellStart"/>
      <w:r w:rsidRPr="00BA7F97">
        <w:rPr>
          <w:rFonts w:ascii="Times New Roman" w:hAnsi="Times New Roman" w:cs="Times New Roman"/>
          <w:b/>
          <w:lang w:val="de-DE"/>
        </w:rPr>
        <w:t>tās</w:t>
      </w:r>
      <w:proofErr w:type="spellEnd"/>
      <w:r w:rsidRPr="00BA7F97">
        <w:rPr>
          <w:rFonts w:ascii="Times New Roman" w:hAnsi="Times New Roman" w:cs="Times New Roman"/>
          <w:b/>
          <w:lang w:val="de-DE"/>
        </w:rPr>
        <w:t xml:space="preserve"> </w:t>
      </w:r>
      <w:proofErr w:type="spellStart"/>
      <w:r w:rsidRPr="00BA7F97">
        <w:rPr>
          <w:rFonts w:ascii="Times New Roman" w:hAnsi="Times New Roman" w:cs="Times New Roman"/>
          <w:b/>
          <w:lang w:val="de-DE"/>
        </w:rPr>
        <w:t>saturam</w:t>
      </w:r>
      <w:proofErr w:type="spellEnd"/>
      <w:r w:rsidRPr="00BA7F97">
        <w:rPr>
          <w:rFonts w:ascii="Times New Roman" w:hAnsi="Times New Roman" w:cs="Times New Roman"/>
          <w:b/>
          <w:lang w:val="de-DE"/>
        </w:rPr>
        <w:t xml:space="preserve"> </w:t>
      </w:r>
      <w:proofErr w:type="spellStart"/>
      <w:r w:rsidRPr="00BA7F97">
        <w:rPr>
          <w:rFonts w:ascii="Times New Roman" w:hAnsi="Times New Roman" w:cs="Times New Roman"/>
          <w:b/>
          <w:lang w:val="de-DE"/>
        </w:rPr>
        <w:t>un</w:t>
      </w:r>
      <w:proofErr w:type="spellEnd"/>
      <w:r w:rsidRPr="00BA7F97">
        <w:rPr>
          <w:rFonts w:ascii="Times New Roman" w:hAnsi="Times New Roman" w:cs="Times New Roman"/>
          <w:b/>
          <w:lang w:val="de-DE"/>
        </w:rPr>
        <w:t xml:space="preserve"> </w:t>
      </w:r>
      <w:proofErr w:type="spellStart"/>
      <w:r w:rsidRPr="00BA7F97">
        <w:rPr>
          <w:rFonts w:ascii="Times New Roman" w:hAnsi="Times New Roman" w:cs="Times New Roman"/>
          <w:b/>
          <w:lang w:val="de-DE"/>
        </w:rPr>
        <w:t>sekām</w:t>
      </w:r>
      <w:proofErr w:type="spellEnd"/>
      <w:r w:rsidRPr="00BA7F97">
        <w:rPr>
          <w:rFonts w:ascii="Times New Roman" w:hAnsi="Times New Roman" w:cs="Times New Roman"/>
          <w:b/>
          <w:lang w:val="de-DE"/>
        </w:rPr>
        <w:t xml:space="preserve">) </w:t>
      </w:r>
      <w:proofErr w:type="spellStart"/>
      <w:r w:rsidRPr="00BA7F97">
        <w:rPr>
          <w:rFonts w:ascii="Times New Roman" w:hAnsi="Times New Roman" w:cs="Times New Roman"/>
          <w:b/>
          <w:lang w:val="de-DE"/>
        </w:rPr>
        <w:t>piemērojamo</w:t>
      </w:r>
      <w:proofErr w:type="spellEnd"/>
      <w:r w:rsidRPr="00BA7F97">
        <w:rPr>
          <w:rFonts w:ascii="Times New Roman" w:hAnsi="Times New Roman" w:cs="Times New Roman"/>
          <w:b/>
          <w:lang w:val="de-DE"/>
        </w:rPr>
        <w:t xml:space="preserve"> </w:t>
      </w:r>
      <w:proofErr w:type="spellStart"/>
      <w:r w:rsidRPr="00BA7F97">
        <w:rPr>
          <w:rFonts w:ascii="Times New Roman" w:hAnsi="Times New Roman" w:cs="Times New Roman"/>
          <w:b/>
          <w:lang w:val="de-DE"/>
        </w:rPr>
        <w:t>likumu</w:t>
      </w:r>
      <w:proofErr w:type="spellEnd"/>
      <w:r w:rsidRPr="00BA7F97">
        <w:rPr>
          <w:rFonts w:ascii="Times New Roman" w:hAnsi="Times New Roman" w:cs="Times New Roman"/>
          <w:b/>
          <w:lang w:val="de-DE"/>
        </w:rPr>
        <w:t xml:space="preserve">, </w:t>
      </w:r>
      <w:proofErr w:type="spellStart"/>
      <w:r w:rsidRPr="00BA7F97">
        <w:rPr>
          <w:rFonts w:ascii="Times New Roman" w:hAnsi="Times New Roman" w:cs="Times New Roman"/>
          <w:b/>
          <w:lang w:val="de-DE"/>
        </w:rPr>
        <w:t>tad</w:t>
      </w:r>
      <w:proofErr w:type="spellEnd"/>
      <w:r w:rsidRPr="00BA7F97">
        <w:rPr>
          <w:rFonts w:ascii="Times New Roman" w:hAnsi="Times New Roman" w:cs="Times New Roman"/>
          <w:lang w:val="de-DE"/>
        </w:rPr>
        <w:t xml:space="preserve"> CL </w:t>
      </w:r>
      <w:proofErr w:type="spellStart"/>
      <w:r w:rsidRPr="00BA7F97">
        <w:rPr>
          <w:rFonts w:ascii="Times New Roman" w:hAnsi="Times New Roman" w:cs="Times New Roman"/>
          <w:lang w:val="de-DE"/>
        </w:rPr>
        <w:t>Ievada</w:t>
      </w:r>
      <w:proofErr w:type="spellEnd"/>
      <w:r w:rsidRPr="00BA7F97">
        <w:rPr>
          <w:rFonts w:ascii="Times New Roman" w:hAnsi="Times New Roman" w:cs="Times New Roman"/>
          <w:lang w:val="de-DE"/>
        </w:rPr>
        <w:t xml:space="preserve"> 19.panta </w:t>
      </w:r>
      <w:proofErr w:type="spellStart"/>
      <w:r w:rsidRPr="00BA7F97">
        <w:rPr>
          <w:rFonts w:ascii="Times New Roman" w:hAnsi="Times New Roman" w:cs="Times New Roman"/>
          <w:lang w:val="de-DE"/>
        </w:rPr>
        <w:t>otrā</w:t>
      </w:r>
      <w:proofErr w:type="spellEnd"/>
      <w:r w:rsidRPr="00BA7F97">
        <w:rPr>
          <w:rFonts w:ascii="Times New Roman" w:hAnsi="Times New Roman" w:cs="Times New Roman"/>
          <w:lang w:val="de-DE"/>
        </w:rPr>
        <w:t xml:space="preserve"> </w:t>
      </w:r>
      <w:proofErr w:type="spellStart"/>
      <w:r w:rsidRPr="00BA7F97">
        <w:rPr>
          <w:rFonts w:ascii="Times New Roman" w:hAnsi="Times New Roman" w:cs="Times New Roman"/>
          <w:lang w:val="de-DE"/>
        </w:rPr>
        <w:t>un</w:t>
      </w:r>
      <w:proofErr w:type="spellEnd"/>
      <w:r w:rsidRPr="00BA7F97">
        <w:rPr>
          <w:rFonts w:ascii="Times New Roman" w:hAnsi="Times New Roman" w:cs="Times New Roman"/>
          <w:lang w:val="de-DE"/>
        </w:rPr>
        <w:t xml:space="preserve"> </w:t>
      </w:r>
      <w:proofErr w:type="spellStart"/>
      <w:r w:rsidRPr="00BA7F97">
        <w:rPr>
          <w:rFonts w:ascii="Times New Roman" w:hAnsi="Times New Roman" w:cs="Times New Roman"/>
          <w:lang w:val="de-DE"/>
        </w:rPr>
        <w:t>trešā</w:t>
      </w:r>
      <w:proofErr w:type="spellEnd"/>
      <w:r w:rsidRPr="00BA7F97">
        <w:rPr>
          <w:rFonts w:ascii="Times New Roman" w:hAnsi="Times New Roman" w:cs="Times New Roman"/>
          <w:lang w:val="de-DE"/>
        </w:rPr>
        <w:t xml:space="preserve"> </w:t>
      </w:r>
      <w:proofErr w:type="spellStart"/>
      <w:r w:rsidRPr="00BA7F97">
        <w:rPr>
          <w:rFonts w:ascii="Times New Roman" w:hAnsi="Times New Roman" w:cs="Times New Roman"/>
          <w:lang w:val="de-DE"/>
        </w:rPr>
        <w:t>daļa</w:t>
      </w:r>
      <w:proofErr w:type="spellEnd"/>
      <w:r w:rsidRPr="00BA7F97">
        <w:rPr>
          <w:rFonts w:ascii="Times New Roman" w:hAnsi="Times New Roman" w:cs="Times New Roman"/>
          <w:lang w:val="de-DE"/>
        </w:rPr>
        <w:t xml:space="preserve"> </w:t>
      </w:r>
      <w:proofErr w:type="spellStart"/>
      <w:r w:rsidRPr="00BA7F97">
        <w:rPr>
          <w:rFonts w:ascii="Times New Roman" w:hAnsi="Times New Roman" w:cs="Times New Roman"/>
          <w:lang w:val="de-DE"/>
        </w:rPr>
        <w:t>piedāvā</w:t>
      </w:r>
      <w:proofErr w:type="spellEnd"/>
      <w:r w:rsidRPr="00BA7F97">
        <w:rPr>
          <w:rFonts w:ascii="Times New Roman" w:hAnsi="Times New Roman" w:cs="Times New Roman"/>
          <w:lang w:val="de-DE"/>
        </w:rPr>
        <w:t xml:space="preserve"> </w:t>
      </w:r>
      <w:proofErr w:type="spellStart"/>
      <w:r w:rsidRPr="00BA7F97">
        <w:rPr>
          <w:rFonts w:ascii="Times New Roman" w:hAnsi="Times New Roman" w:cs="Times New Roman"/>
          <w:lang w:val="de-DE"/>
        </w:rPr>
        <w:t>šādas</w:t>
      </w:r>
      <w:proofErr w:type="spellEnd"/>
      <w:r w:rsidRPr="00BA7F97">
        <w:rPr>
          <w:rFonts w:ascii="Times New Roman" w:hAnsi="Times New Roman" w:cs="Times New Roman"/>
          <w:lang w:val="de-DE"/>
        </w:rPr>
        <w:t xml:space="preserve"> </w:t>
      </w:r>
      <w:proofErr w:type="spellStart"/>
      <w:r w:rsidRPr="00BA7F97">
        <w:rPr>
          <w:rFonts w:ascii="Times New Roman" w:hAnsi="Times New Roman" w:cs="Times New Roman"/>
          <w:lang w:val="de-DE"/>
        </w:rPr>
        <w:t>subsidiārās</w:t>
      </w:r>
      <w:proofErr w:type="spellEnd"/>
      <w:r w:rsidRPr="00BA7F97">
        <w:rPr>
          <w:rFonts w:ascii="Times New Roman" w:hAnsi="Times New Roman" w:cs="Times New Roman"/>
          <w:lang w:val="de-DE"/>
        </w:rPr>
        <w:t xml:space="preserve"> </w:t>
      </w:r>
      <w:proofErr w:type="spellStart"/>
      <w:r w:rsidRPr="00BA7F97">
        <w:rPr>
          <w:rFonts w:ascii="Times New Roman" w:hAnsi="Times New Roman" w:cs="Times New Roman"/>
          <w:lang w:val="de-DE"/>
        </w:rPr>
        <w:t>piesaistes</w:t>
      </w:r>
      <w:proofErr w:type="spellEnd"/>
      <w:r w:rsidRPr="00BA7F97">
        <w:rPr>
          <w:rFonts w:ascii="Times New Roman" w:hAnsi="Times New Roman" w:cs="Times New Roman"/>
          <w:lang w:val="de-DE"/>
        </w:rPr>
        <w:t>:</w:t>
      </w:r>
    </w:p>
    <w:p w14:paraId="420C3AA1" w14:textId="77777777" w:rsidR="00114953" w:rsidRPr="00BA7F97" w:rsidRDefault="00114953" w:rsidP="00114953">
      <w:pPr>
        <w:ind w:firstLine="708"/>
        <w:jc w:val="both"/>
        <w:rPr>
          <w:rFonts w:ascii="Times New Roman" w:hAnsi="Times New Roman" w:cs="Times New Roman"/>
          <w:lang w:val="de-DE"/>
        </w:rPr>
      </w:pPr>
    </w:p>
    <w:p w14:paraId="6A3212EB" w14:textId="77777777" w:rsidR="00114953" w:rsidRPr="00AF3341" w:rsidRDefault="00114953" w:rsidP="00114953">
      <w:pPr>
        <w:jc w:val="both"/>
        <w:rPr>
          <w:rFonts w:ascii="Times New Roman" w:hAnsi="Times New Roman" w:cs="Times New Roman"/>
          <w:color w:val="FF0000"/>
          <w:lang w:val="de-DE"/>
        </w:rPr>
      </w:pPr>
      <w:r w:rsidRPr="00BA7F97">
        <w:rPr>
          <w:rFonts w:ascii="Times New Roman" w:hAnsi="Times New Roman" w:cs="Times New Roman"/>
          <w:lang w:val="de-DE"/>
        </w:rPr>
        <w:t xml:space="preserve">1) </w:t>
      </w:r>
      <w:proofErr w:type="spellStart"/>
      <w:r w:rsidRPr="00BA7F97">
        <w:rPr>
          <w:rFonts w:ascii="Times New Roman" w:hAnsi="Times New Roman" w:cs="Times New Roman"/>
          <w:i/>
          <w:lang w:val="de-DE"/>
        </w:rPr>
        <w:t>Piemēro</w:t>
      </w:r>
      <w:proofErr w:type="spellEnd"/>
      <w:r w:rsidRPr="00BA7F97">
        <w:rPr>
          <w:rFonts w:ascii="Times New Roman" w:hAnsi="Times New Roman" w:cs="Times New Roman"/>
          <w:i/>
          <w:lang w:val="de-DE"/>
        </w:rPr>
        <w:t xml:space="preserve"> </w:t>
      </w:r>
      <w:proofErr w:type="spellStart"/>
      <w:r w:rsidRPr="00BA7F97">
        <w:rPr>
          <w:rFonts w:ascii="Times New Roman" w:hAnsi="Times New Roman" w:cs="Times New Roman"/>
          <w:i/>
          <w:lang w:val="de-DE"/>
        </w:rPr>
        <w:t>tās</w:t>
      </w:r>
      <w:proofErr w:type="spellEnd"/>
      <w:r w:rsidRPr="00BA7F97">
        <w:rPr>
          <w:rFonts w:ascii="Times New Roman" w:hAnsi="Times New Roman" w:cs="Times New Roman"/>
          <w:i/>
          <w:lang w:val="de-DE"/>
        </w:rPr>
        <w:t xml:space="preserve"> </w:t>
      </w:r>
      <w:proofErr w:type="spellStart"/>
      <w:r w:rsidRPr="00BA7F97">
        <w:rPr>
          <w:rFonts w:ascii="Times New Roman" w:hAnsi="Times New Roman" w:cs="Times New Roman"/>
          <w:i/>
          <w:lang w:val="de-DE"/>
        </w:rPr>
        <w:t>valsts</w:t>
      </w:r>
      <w:proofErr w:type="spellEnd"/>
      <w:r w:rsidRPr="00BA7F97">
        <w:rPr>
          <w:rFonts w:ascii="Times New Roman" w:hAnsi="Times New Roman" w:cs="Times New Roman"/>
          <w:i/>
          <w:lang w:val="de-DE"/>
        </w:rPr>
        <w:t xml:space="preserve"> </w:t>
      </w:r>
      <w:proofErr w:type="spellStart"/>
      <w:r w:rsidRPr="00BA7F97">
        <w:rPr>
          <w:rFonts w:ascii="Times New Roman" w:hAnsi="Times New Roman" w:cs="Times New Roman"/>
          <w:i/>
          <w:lang w:val="de-DE"/>
        </w:rPr>
        <w:t>likumu</w:t>
      </w:r>
      <w:proofErr w:type="spellEnd"/>
      <w:r w:rsidRPr="00BA7F97">
        <w:rPr>
          <w:rFonts w:ascii="Times New Roman" w:hAnsi="Times New Roman" w:cs="Times New Roman"/>
          <w:i/>
          <w:lang w:val="de-DE"/>
        </w:rPr>
        <w:t xml:space="preserve">, </w:t>
      </w:r>
      <w:proofErr w:type="spellStart"/>
      <w:r w:rsidRPr="00BA7F97">
        <w:rPr>
          <w:rFonts w:ascii="Times New Roman" w:hAnsi="Times New Roman" w:cs="Times New Roman"/>
          <w:i/>
          <w:lang w:val="de-DE"/>
        </w:rPr>
        <w:t>kur</w:t>
      </w:r>
      <w:proofErr w:type="spellEnd"/>
      <w:r w:rsidRPr="00BA7F97">
        <w:rPr>
          <w:rFonts w:ascii="Times New Roman" w:hAnsi="Times New Roman" w:cs="Times New Roman"/>
          <w:i/>
          <w:lang w:val="de-DE"/>
        </w:rPr>
        <w:t xml:space="preserve"> </w:t>
      </w:r>
      <w:proofErr w:type="spellStart"/>
      <w:r w:rsidRPr="00BA7F97">
        <w:rPr>
          <w:rFonts w:ascii="Times New Roman" w:hAnsi="Times New Roman" w:cs="Times New Roman"/>
          <w:i/>
          <w:lang w:val="de-DE"/>
        </w:rPr>
        <w:t>saistība</w:t>
      </w:r>
      <w:proofErr w:type="spellEnd"/>
      <w:r w:rsidRPr="00BA7F97">
        <w:rPr>
          <w:rFonts w:ascii="Times New Roman" w:hAnsi="Times New Roman" w:cs="Times New Roman"/>
          <w:i/>
          <w:lang w:val="de-DE"/>
        </w:rPr>
        <w:t xml:space="preserve"> </w:t>
      </w:r>
      <w:proofErr w:type="spellStart"/>
      <w:r w:rsidRPr="00BA7F97">
        <w:rPr>
          <w:rFonts w:ascii="Times New Roman" w:hAnsi="Times New Roman" w:cs="Times New Roman"/>
          <w:i/>
          <w:lang w:val="de-DE"/>
        </w:rPr>
        <w:t>jāizpilda</w:t>
      </w:r>
      <w:proofErr w:type="spellEnd"/>
      <w:r w:rsidRPr="00BA7F97">
        <w:rPr>
          <w:rFonts w:ascii="Times New Roman" w:hAnsi="Times New Roman" w:cs="Times New Roman"/>
          <w:i/>
          <w:lang w:val="de-DE"/>
        </w:rPr>
        <w:t xml:space="preserve">. </w:t>
      </w:r>
      <w:proofErr w:type="spellStart"/>
      <w:r w:rsidRPr="000C7C76">
        <w:rPr>
          <w:rFonts w:asciiTheme="majorBidi" w:hAnsiTheme="majorBidi" w:cstheme="majorBidi"/>
          <w:lang w:val="de-DE"/>
        </w:rPr>
        <w:t>Šeit</w:t>
      </w:r>
      <w:proofErr w:type="spellEnd"/>
      <w:r w:rsidRPr="000C7C76">
        <w:rPr>
          <w:rFonts w:asciiTheme="majorBidi" w:hAnsiTheme="majorBidi" w:cstheme="majorBidi"/>
          <w:lang w:val="de-DE"/>
        </w:rPr>
        <w:t xml:space="preserve"> </w:t>
      </w:r>
      <w:proofErr w:type="spellStart"/>
      <w:r w:rsidRPr="000C7C76">
        <w:rPr>
          <w:rFonts w:asciiTheme="majorBidi" w:hAnsiTheme="majorBidi" w:cstheme="majorBidi"/>
          <w:lang w:val="de-DE"/>
        </w:rPr>
        <w:t>svarīgi</w:t>
      </w:r>
      <w:proofErr w:type="spellEnd"/>
      <w:r w:rsidRPr="000C7C76">
        <w:rPr>
          <w:rFonts w:asciiTheme="majorBidi" w:hAnsiTheme="majorBidi" w:cstheme="majorBidi"/>
          <w:lang w:val="de-DE"/>
        </w:rPr>
        <w:t xml:space="preserve"> </w:t>
      </w:r>
      <w:proofErr w:type="spellStart"/>
      <w:r w:rsidRPr="000C7C76">
        <w:rPr>
          <w:rFonts w:asciiTheme="majorBidi" w:hAnsiTheme="majorBidi" w:cstheme="majorBidi"/>
          <w:lang w:val="de-DE"/>
        </w:rPr>
        <w:t>ir</w:t>
      </w:r>
      <w:proofErr w:type="spellEnd"/>
      <w:r w:rsidRPr="000C7C76">
        <w:rPr>
          <w:rFonts w:asciiTheme="majorBidi" w:hAnsiTheme="majorBidi" w:cstheme="majorBidi"/>
          <w:lang w:val="de-DE"/>
        </w:rPr>
        <w:t xml:space="preserve"> </w:t>
      </w:r>
      <w:proofErr w:type="spellStart"/>
      <w:r w:rsidRPr="000C7C76">
        <w:rPr>
          <w:rFonts w:asciiTheme="majorBidi" w:hAnsiTheme="majorBidi" w:cstheme="majorBidi"/>
          <w:lang w:val="de-DE"/>
        </w:rPr>
        <w:t>saprast</w:t>
      </w:r>
      <w:proofErr w:type="spellEnd"/>
      <w:r w:rsidRPr="000C7C76">
        <w:rPr>
          <w:rFonts w:asciiTheme="majorBidi" w:hAnsiTheme="majorBidi" w:cstheme="majorBidi"/>
          <w:lang w:val="de-DE"/>
        </w:rPr>
        <w:t xml:space="preserve">, </w:t>
      </w:r>
      <w:proofErr w:type="spellStart"/>
      <w:r w:rsidRPr="000C7C76">
        <w:rPr>
          <w:rFonts w:asciiTheme="majorBidi" w:hAnsiTheme="majorBidi" w:cstheme="majorBidi"/>
          <w:lang w:val="de-DE"/>
        </w:rPr>
        <w:t>kas</w:t>
      </w:r>
      <w:proofErr w:type="spellEnd"/>
      <w:r w:rsidRPr="000C7C76">
        <w:rPr>
          <w:rFonts w:asciiTheme="majorBidi" w:hAnsiTheme="majorBidi" w:cstheme="majorBidi"/>
          <w:lang w:val="de-DE"/>
        </w:rPr>
        <w:t xml:space="preserve"> </w:t>
      </w:r>
      <w:proofErr w:type="spellStart"/>
      <w:r w:rsidRPr="000C7C76">
        <w:rPr>
          <w:rFonts w:asciiTheme="majorBidi" w:hAnsiTheme="majorBidi" w:cstheme="majorBidi"/>
          <w:lang w:val="de-DE"/>
        </w:rPr>
        <w:t>pilnvaras</w:t>
      </w:r>
      <w:proofErr w:type="spellEnd"/>
      <w:r w:rsidRPr="000C7C76">
        <w:rPr>
          <w:rFonts w:asciiTheme="majorBidi" w:hAnsiTheme="majorBidi" w:cstheme="majorBidi"/>
          <w:lang w:val="de-DE"/>
        </w:rPr>
        <w:t xml:space="preserve"> </w:t>
      </w:r>
      <w:proofErr w:type="spellStart"/>
      <w:r w:rsidRPr="000C7C76">
        <w:rPr>
          <w:rFonts w:asciiTheme="majorBidi" w:hAnsiTheme="majorBidi" w:cstheme="majorBidi"/>
          <w:lang w:val="de-DE"/>
        </w:rPr>
        <w:t>gadījumā</w:t>
      </w:r>
      <w:proofErr w:type="spellEnd"/>
      <w:r w:rsidRPr="000C7C76">
        <w:rPr>
          <w:rFonts w:asciiTheme="majorBidi" w:hAnsiTheme="majorBidi" w:cstheme="majorBidi"/>
          <w:lang w:val="de-DE"/>
        </w:rPr>
        <w:t xml:space="preserve"> </w:t>
      </w:r>
      <w:proofErr w:type="spellStart"/>
      <w:r w:rsidRPr="000C7C76">
        <w:rPr>
          <w:rFonts w:asciiTheme="majorBidi" w:hAnsiTheme="majorBidi" w:cstheme="majorBidi"/>
          <w:lang w:val="de-DE"/>
        </w:rPr>
        <w:t>būs</w:t>
      </w:r>
      <w:proofErr w:type="spellEnd"/>
      <w:r w:rsidRPr="000C7C76">
        <w:rPr>
          <w:rFonts w:asciiTheme="majorBidi" w:hAnsiTheme="majorBidi" w:cstheme="majorBidi"/>
          <w:lang w:val="de-DE"/>
        </w:rPr>
        <w:t xml:space="preserve"> </w:t>
      </w:r>
      <w:proofErr w:type="spellStart"/>
      <w:r w:rsidRPr="000C7C76">
        <w:rPr>
          <w:rFonts w:asciiTheme="majorBidi" w:hAnsiTheme="majorBidi" w:cstheme="majorBidi"/>
          <w:lang w:val="de-DE"/>
        </w:rPr>
        <w:t>šī</w:t>
      </w:r>
      <w:proofErr w:type="spellEnd"/>
      <w:r w:rsidRPr="000C7C76">
        <w:rPr>
          <w:rFonts w:asciiTheme="majorBidi" w:hAnsiTheme="majorBidi" w:cstheme="majorBidi"/>
          <w:lang w:val="de-DE"/>
        </w:rPr>
        <w:t xml:space="preserve"> </w:t>
      </w:r>
      <w:r w:rsidRPr="00BA7F97">
        <w:rPr>
          <w:rFonts w:asciiTheme="majorBidi" w:hAnsiTheme="majorBidi" w:cstheme="majorBidi"/>
          <w:lang w:val="de-DE"/>
        </w:rPr>
        <w:t>„</w:t>
      </w:r>
      <w:proofErr w:type="spellStart"/>
      <w:r w:rsidRPr="000C7C76">
        <w:rPr>
          <w:rFonts w:asciiTheme="majorBidi" w:hAnsiTheme="majorBidi" w:cstheme="majorBidi"/>
          <w:i/>
          <w:iCs/>
          <w:lang w:val="de-DE"/>
        </w:rPr>
        <w:t>saistību</w:t>
      </w:r>
      <w:proofErr w:type="spellEnd"/>
      <w:r w:rsidRPr="000C7C76">
        <w:rPr>
          <w:rFonts w:asciiTheme="majorBidi" w:hAnsiTheme="majorBidi" w:cstheme="majorBidi"/>
          <w:i/>
          <w:iCs/>
          <w:lang w:val="de-DE"/>
        </w:rPr>
        <w:t xml:space="preserve"> </w:t>
      </w:r>
      <w:proofErr w:type="spellStart"/>
      <w:r w:rsidRPr="000C7C76">
        <w:rPr>
          <w:rFonts w:asciiTheme="majorBidi" w:hAnsiTheme="majorBidi" w:cstheme="majorBidi"/>
          <w:i/>
          <w:iCs/>
          <w:lang w:val="de-DE"/>
        </w:rPr>
        <w:t>izpildes</w:t>
      </w:r>
      <w:proofErr w:type="spellEnd"/>
      <w:r w:rsidRPr="000C7C76">
        <w:rPr>
          <w:rFonts w:asciiTheme="majorBidi" w:hAnsiTheme="majorBidi" w:cstheme="majorBidi"/>
          <w:i/>
          <w:iCs/>
          <w:lang w:val="de-DE"/>
        </w:rPr>
        <w:t xml:space="preserve"> </w:t>
      </w:r>
      <w:proofErr w:type="spellStart"/>
      <w:r w:rsidRPr="000C7C76">
        <w:rPr>
          <w:rFonts w:asciiTheme="majorBidi" w:hAnsiTheme="majorBidi" w:cstheme="majorBidi"/>
          <w:i/>
          <w:iCs/>
          <w:lang w:val="de-DE"/>
        </w:rPr>
        <w:t>vieta</w:t>
      </w:r>
      <w:proofErr w:type="spellEnd"/>
      <w:r w:rsidRPr="00BA7F97">
        <w:rPr>
          <w:rFonts w:asciiTheme="majorBidi" w:hAnsiTheme="majorBidi" w:cstheme="majorBidi"/>
          <w:lang w:val="de-DE"/>
        </w:rPr>
        <w:t>“</w:t>
      </w:r>
      <w:r w:rsidRPr="000C7C76">
        <w:rPr>
          <w:rFonts w:asciiTheme="majorBidi" w:hAnsiTheme="majorBidi" w:cstheme="majorBidi"/>
          <w:lang w:val="de-DE"/>
        </w:rPr>
        <w:t xml:space="preserve">.  </w:t>
      </w:r>
      <w:proofErr w:type="spellStart"/>
      <w:r w:rsidRPr="000C7C76">
        <w:rPr>
          <w:rFonts w:asciiTheme="majorBidi" w:hAnsiTheme="majorBidi" w:cstheme="majorBidi"/>
          <w:lang w:val="de-DE"/>
        </w:rPr>
        <w:t>Vācu</w:t>
      </w:r>
      <w:proofErr w:type="spellEnd"/>
      <w:r w:rsidRPr="000C7C76">
        <w:rPr>
          <w:rFonts w:asciiTheme="majorBidi" w:hAnsiTheme="majorBidi" w:cstheme="majorBidi"/>
          <w:lang w:val="de-DE"/>
        </w:rPr>
        <w:t xml:space="preserve"> </w:t>
      </w:r>
      <w:proofErr w:type="spellStart"/>
      <w:r w:rsidRPr="000C7C76">
        <w:rPr>
          <w:rFonts w:asciiTheme="majorBidi" w:hAnsiTheme="majorBidi" w:cstheme="majorBidi"/>
          <w:lang w:val="de-DE"/>
        </w:rPr>
        <w:t>juridiskajā</w:t>
      </w:r>
      <w:proofErr w:type="spellEnd"/>
      <w:r w:rsidRPr="000C7C76">
        <w:rPr>
          <w:rFonts w:asciiTheme="majorBidi" w:hAnsiTheme="majorBidi" w:cstheme="majorBidi"/>
          <w:lang w:val="de-DE"/>
        </w:rPr>
        <w:t xml:space="preserve"> </w:t>
      </w:r>
      <w:proofErr w:type="spellStart"/>
      <w:r w:rsidRPr="000C7C76">
        <w:rPr>
          <w:rFonts w:asciiTheme="majorBidi" w:hAnsiTheme="majorBidi" w:cstheme="majorBidi"/>
          <w:lang w:val="de-DE"/>
        </w:rPr>
        <w:t>literatūrā</w:t>
      </w:r>
      <w:proofErr w:type="spellEnd"/>
      <w:r w:rsidRPr="000C7C76">
        <w:rPr>
          <w:rFonts w:asciiTheme="majorBidi" w:hAnsiTheme="majorBidi" w:cstheme="majorBidi"/>
          <w:lang w:val="de-DE"/>
        </w:rPr>
        <w:t xml:space="preserve"> </w:t>
      </w:r>
      <w:proofErr w:type="spellStart"/>
      <w:r w:rsidRPr="000C7C76">
        <w:rPr>
          <w:rFonts w:asciiTheme="majorBidi" w:hAnsiTheme="majorBidi" w:cstheme="majorBidi"/>
          <w:lang w:val="de-DE"/>
        </w:rPr>
        <w:t>tiek</w:t>
      </w:r>
      <w:proofErr w:type="spellEnd"/>
      <w:r w:rsidRPr="000C7C76">
        <w:rPr>
          <w:rFonts w:asciiTheme="majorBidi" w:hAnsiTheme="majorBidi" w:cstheme="majorBidi"/>
          <w:lang w:val="de-DE"/>
        </w:rPr>
        <w:t xml:space="preserve"> </w:t>
      </w:r>
      <w:proofErr w:type="spellStart"/>
      <w:r w:rsidRPr="000C7C76">
        <w:rPr>
          <w:rFonts w:asciiTheme="majorBidi" w:hAnsiTheme="majorBidi" w:cstheme="majorBidi"/>
          <w:lang w:val="de-DE"/>
        </w:rPr>
        <w:t>norādīts</w:t>
      </w:r>
      <w:proofErr w:type="spellEnd"/>
      <w:r w:rsidRPr="000C7C76">
        <w:rPr>
          <w:rFonts w:asciiTheme="majorBidi" w:hAnsiTheme="majorBidi" w:cstheme="majorBidi"/>
          <w:lang w:val="de-DE"/>
        </w:rPr>
        <w:t xml:space="preserve">, </w:t>
      </w:r>
      <w:proofErr w:type="spellStart"/>
      <w:r w:rsidRPr="000C7C76">
        <w:rPr>
          <w:rFonts w:asciiTheme="majorBidi" w:hAnsiTheme="majorBidi" w:cstheme="majorBidi"/>
          <w:lang w:val="de-DE"/>
        </w:rPr>
        <w:t>ka</w:t>
      </w:r>
      <w:proofErr w:type="spellEnd"/>
      <w:r w:rsidRPr="000C7C76">
        <w:rPr>
          <w:rFonts w:asciiTheme="majorBidi" w:hAnsiTheme="majorBidi" w:cstheme="majorBidi"/>
          <w:lang w:val="de-DE"/>
        </w:rPr>
        <w:t xml:space="preserve"> </w:t>
      </w:r>
      <w:proofErr w:type="spellStart"/>
      <w:r w:rsidRPr="000C7C76">
        <w:rPr>
          <w:rFonts w:asciiTheme="majorBidi" w:hAnsiTheme="majorBidi" w:cstheme="majorBidi"/>
          <w:lang w:val="de-DE"/>
        </w:rPr>
        <w:t>tā</w:t>
      </w:r>
      <w:proofErr w:type="spellEnd"/>
      <w:r w:rsidRPr="000C7C76">
        <w:rPr>
          <w:rFonts w:asciiTheme="majorBidi" w:hAnsiTheme="majorBidi" w:cstheme="majorBidi"/>
          <w:lang w:val="de-DE"/>
        </w:rPr>
        <w:t xml:space="preserve"> </w:t>
      </w:r>
      <w:proofErr w:type="spellStart"/>
      <w:r w:rsidRPr="000C7C76">
        <w:rPr>
          <w:rFonts w:asciiTheme="majorBidi" w:hAnsiTheme="majorBidi" w:cstheme="majorBidi"/>
          <w:lang w:val="de-DE"/>
        </w:rPr>
        <w:t>ir</w:t>
      </w:r>
      <w:proofErr w:type="spellEnd"/>
      <w:r w:rsidRPr="000C7C76">
        <w:rPr>
          <w:rFonts w:asciiTheme="majorBidi" w:hAnsiTheme="majorBidi" w:cstheme="majorBidi"/>
          <w:lang w:val="de-DE"/>
        </w:rPr>
        <w:t xml:space="preserve"> </w:t>
      </w:r>
      <w:proofErr w:type="spellStart"/>
      <w:r w:rsidRPr="000C7C76">
        <w:rPr>
          <w:rFonts w:asciiTheme="majorBidi" w:hAnsiTheme="majorBidi" w:cstheme="majorBidi"/>
          <w:u w:val="single"/>
          <w:lang w:val="de-DE"/>
        </w:rPr>
        <w:t>vieta</w:t>
      </w:r>
      <w:proofErr w:type="spellEnd"/>
      <w:r w:rsidRPr="000C7C76">
        <w:rPr>
          <w:rFonts w:asciiTheme="majorBidi" w:hAnsiTheme="majorBidi" w:cstheme="majorBidi"/>
          <w:u w:val="single"/>
          <w:lang w:val="de-DE"/>
        </w:rPr>
        <w:t xml:space="preserve">, </w:t>
      </w:r>
      <w:proofErr w:type="spellStart"/>
      <w:r w:rsidRPr="000C7C76">
        <w:rPr>
          <w:rFonts w:asciiTheme="majorBidi" w:hAnsiTheme="majorBidi" w:cstheme="majorBidi"/>
          <w:u w:val="single"/>
          <w:lang w:val="de-DE"/>
        </w:rPr>
        <w:t>kurā</w:t>
      </w:r>
      <w:proofErr w:type="spellEnd"/>
      <w:r w:rsidRPr="000C7C76">
        <w:rPr>
          <w:rFonts w:asciiTheme="majorBidi" w:hAnsiTheme="majorBidi" w:cstheme="majorBidi"/>
          <w:u w:val="single"/>
          <w:lang w:val="de-DE"/>
        </w:rPr>
        <w:t xml:space="preserve"> </w:t>
      </w:r>
      <w:proofErr w:type="spellStart"/>
      <w:r w:rsidRPr="000C7C76">
        <w:rPr>
          <w:rFonts w:asciiTheme="majorBidi" w:hAnsiTheme="majorBidi" w:cstheme="majorBidi"/>
          <w:u w:val="single"/>
          <w:lang w:val="de-DE"/>
        </w:rPr>
        <w:t>paredzēts</w:t>
      </w:r>
      <w:proofErr w:type="spellEnd"/>
      <w:r w:rsidRPr="000C7C76">
        <w:rPr>
          <w:rFonts w:asciiTheme="majorBidi" w:hAnsiTheme="majorBidi" w:cstheme="majorBidi"/>
          <w:u w:val="single"/>
          <w:lang w:val="de-DE"/>
        </w:rPr>
        <w:t xml:space="preserve"> </w:t>
      </w:r>
      <w:proofErr w:type="spellStart"/>
      <w:r w:rsidRPr="000C7C76">
        <w:rPr>
          <w:rFonts w:asciiTheme="majorBidi" w:hAnsiTheme="majorBidi" w:cstheme="majorBidi"/>
          <w:u w:val="single"/>
          <w:lang w:val="de-DE"/>
        </w:rPr>
        <w:t>izmantot</w:t>
      </w:r>
      <w:proofErr w:type="spellEnd"/>
      <w:r w:rsidRPr="000C7C76">
        <w:rPr>
          <w:rFonts w:asciiTheme="majorBidi" w:hAnsiTheme="majorBidi" w:cstheme="majorBidi"/>
          <w:u w:val="single"/>
          <w:lang w:val="de-DE"/>
        </w:rPr>
        <w:t xml:space="preserve"> </w:t>
      </w:r>
      <w:proofErr w:type="spellStart"/>
      <w:r w:rsidRPr="000C7C76">
        <w:rPr>
          <w:rFonts w:asciiTheme="majorBidi" w:hAnsiTheme="majorBidi" w:cstheme="majorBidi"/>
          <w:u w:val="single"/>
          <w:lang w:val="de-DE"/>
        </w:rPr>
        <w:t>pilnvaru</w:t>
      </w:r>
      <w:proofErr w:type="spellEnd"/>
      <w:r w:rsidRPr="000C7C76">
        <w:rPr>
          <w:rFonts w:asciiTheme="majorBidi" w:hAnsiTheme="majorBidi" w:cstheme="majorBidi"/>
          <w:u w:val="single"/>
          <w:lang w:val="de-DE"/>
        </w:rPr>
        <w:t xml:space="preserve">. </w:t>
      </w:r>
      <w:proofErr w:type="spellStart"/>
      <w:r w:rsidRPr="000C7C76">
        <w:rPr>
          <w:rFonts w:asciiTheme="majorBidi" w:hAnsiTheme="majorBidi" w:cstheme="majorBidi"/>
          <w:lang w:val="de-DE"/>
        </w:rPr>
        <w:t>Taču</w:t>
      </w:r>
      <w:proofErr w:type="spellEnd"/>
      <w:r w:rsidRPr="000C7C76">
        <w:rPr>
          <w:rFonts w:asciiTheme="majorBidi" w:hAnsiTheme="majorBidi" w:cstheme="majorBidi"/>
          <w:lang w:val="de-DE"/>
        </w:rPr>
        <w:t xml:space="preserve">, ja </w:t>
      </w:r>
      <w:proofErr w:type="spellStart"/>
      <w:r w:rsidRPr="000C7C76">
        <w:rPr>
          <w:rFonts w:asciiTheme="majorBidi" w:hAnsiTheme="majorBidi" w:cstheme="majorBidi"/>
          <w:lang w:val="de-DE"/>
        </w:rPr>
        <w:t>pilnvara</w:t>
      </w:r>
      <w:proofErr w:type="spellEnd"/>
      <w:r w:rsidRPr="000C7C76">
        <w:rPr>
          <w:rFonts w:asciiTheme="majorBidi" w:hAnsiTheme="majorBidi" w:cstheme="majorBidi"/>
          <w:lang w:val="de-DE"/>
        </w:rPr>
        <w:t xml:space="preserve"> </w:t>
      </w:r>
      <w:proofErr w:type="spellStart"/>
      <w:r w:rsidRPr="000C7C76">
        <w:rPr>
          <w:rFonts w:asciiTheme="majorBidi" w:hAnsiTheme="majorBidi" w:cstheme="majorBidi"/>
          <w:lang w:val="de-DE"/>
        </w:rPr>
        <w:t>tomēr</w:t>
      </w:r>
      <w:proofErr w:type="spellEnd"/>
      <w:r w:rsidRPr="000C7C76">
        <w:rPr>
          <w:rFonts w:asciiTheme="majorBidi" w:hAnsiTheme="majorBidi" w:cstheme="majorBidi"/>
          <w:lang w:val="de-DE"/>
        </w:rPr>
        <w:t xml:space="preserve"> </w:t>
      </w:r>
      <w:proofErr w:type="spellStart"/>
      <w:r w:rsidRPr="000C7C76">
        <w:rPr>
          <w:rFonts w:asciiTheme="majorBidi" w:hAnsiTheme="majorBidi" w:cstheme="majorBidi"/>
          <w:lang w:val="de-DE"/>
        </w:rPr>
        <w:t>tiek</w:t>
      </w:r>
      <w:proofErr w:type="spellEnd"/>
      <w:r w:rsidRPr="000C7C76">
        <w:rPr>
          <w:rFonts w:asciiTheme="majorBidi" w:hAnsiTheme="majorBidi" w:cstheme="majorBidi"/>
          <w:lang w:val="de-DE"/>
        </w:rPr>
        <w:t xml:space="preserve"> </w:t>
      </w:r>
      <w:proofErr w:type="spellStart"/>
      <w:r w:rsidRPr="000C7C76">
        <w:rPr>
          <w:rFonts w:asciiTheme="majorBidi" w:hAnsiTheme="majorBidi" w:cstheme="majorBidi"/>
          <w:lang w:val="de-DE"/>
        </w:rPr>
        <w:t>izmantota</w:t>
      </w:r>
      <w:proofErr w:type="spellEnd"/>
      <w:r w:rsidRPr="000C7C76">
        <w:rPr>
          <w:rFonts w:asciiTheme="majorBidi" w:hAnsiTheme="majorBidi" w:cstheme="majorBidi"/>
          <w:lang w:val="de-DE"/>
        </w:rPr>
        <w:t xml:space="preserve"> </w:t>
      </w:r>
      <w:proofErr w:type="spellStart"/>
      <w:r w:rsidRPr="000C7C76">
        <w:rPr>
          <w:rFonts w:asciiTheme="majorBidi" w:hAnsiTheme="majorBidi" w:cstheme="majorBidi"/>
          <w:lang w:val="de-DE"/>
        </w:rPr>
        <w:t>citā</w:t>
      </w:r>
      <w:proofErr w:type="spellEnd"/>
      <w:r w:rsidRPr="000C7C76">
        <w:rPr>
          <w:rFonts w:asciiTheme="majorBidi" w:hAnsiTheme="majorBidi" w:cstheme="majorBidi"/>
          <w:lang w:val="de-DE"/>
        </w:rPr>
        <w:t xml:space="preserve"> </w:t>
      </w:r>
      <w:proofErr w:type="spellStart"/>
      <w:r w:rsidRPr="000C7C76">
        <w:rPr>
          <w:rFonts w:asciiTheme="majorBidi" w:hAnsiTheme="majorBidi" w:cstheme="majorBidi"/>
          <w:lang w:val="de-DE"/>
        </w:rPr>
        <w:t>valstī</w:t>
      </w:r>
      <w:proofErr w:type="spellEnd"/>
      <w:r w:rsidRPr="000C7C76">
        <w:rPr>
          <w:rFonts w:asciiTheme="majorBidi" w:hAnsiTheme="majorBidi" w:cstheme="majorBidi"/>
          <w:lang w:val="de-DE"/>
        </w:rPr>
        <w:t xml:space="preserve">, </w:t>
      </w:r>
      <w:proofErr w:type="spellStart"/>
      <w:r w:rsidRPr="000C7C76">
        <w:rPr>
          <w:rFonts w:asciiTheme="majorBidi" w:hAnsiTheme="majorBidi" w:cstheme="majorBidi"/>
          <w:lang w:val="de-DE"/>
        </w:rPr>
        <w:t>tad</w:t>
      </w:r>
      <w:proofErr w:type="spellEnd"/>
      <w:r w:rsidRPr="000C7C76">
        <w:rPr>
          <w:rFonts w:asciiTheme="majorBidi" w:hAnsiTheme="majorBidi" w:cstheme="majorBidi"/>
          <w:lang w:val="de-DE"/>
        </w:rPr>
        <w:t xml:space="preserve"> </w:t>
      </w:r>
      <w:proofErr w:type="spellStart"/>
      <w:r w:rsidRPr="000C7C76">
        <w:rPr>
          <w:rFonts w:asciiTheme="majorBidi" w:hAnsiTheme="majorBidi" w:cstheme="majorBidi"/>
          <w:lang w:val="de-DE"/>
        </w:rPr>
        <w:t>tiek</w:t>
      </w:r>
      <w:proofErr w:type="spellEnd"/>
      <w:r w:rsidRPr="000C7C76">
        <w:rPr>
          <w:rFonts w:asciiTheme="majorBidi" w:hAnsiTheme="majorBidi" w:cstheme="majorBidi"/>
          <w:lang w:val="de-DE"/>
        </w:rPr>
        <w:t xml:space="preserve"> </w:t>
      </w:r>
      <w:proofErr w:type="spellStart"/>
      <w:r w:rsidRPr="000C7C76">
        <w:rPr>
          <w:rFonts w:asciiTheme="majorBidi" w:hAnsiTheme="majorBidi" w:cstheme="majorBidi"/>
          <w:lang w:val="de-DE"/>
        </w:rPr>
        <w:t>ņemta</w:t>
      </w:r>
      <w:proofErr w:type="spellEnd"/>
      <w:r w:rsidRPr="000C7C76">
        <w:rPr>
          <w:rFonts w:asciiTheme="majorBidi" w:hAnsiTheme="majorBidi" w:cstheme="majorBidi"/>
          <w:lang w:val="de-DE"/>
        </w:rPr>
        <w:t xml:space="preserve"> </w:t>
      </w:r>
      <w:proofErr w:type="spellStart"/>
      <w:r w:rsidRPr="000C7C76">
        <w:rPr>
          <w:rFonts w:asciiTheme="majorBidi" w:hAnsiTheme="majorBidi" w:cstheme="majorBidi"/>
          <w:lang w:val="de-DE"/>
        </w:rPr>
        <w:t>vērā</w:t>
      </w:r>
      <w:proofErr w:type="spellEnd"/>
      <w:r w:rsidRPr="000C7C76">
        <w:rPr>
          <w:rFonts w:asciiTheme="majorBidi" w:hAnsiTheme="majorBidi" w:cstheme="majorBidi"/>
          <w:lang w:val="de-DE"/>
        </w:rPr>
        <w:t xml:space="preserve"> </w:t>
      </w:r>
      <w:proofErr w:type="spellStart"/>
      <w:r w:rsidRPr="000C7C76">
        <w:rPr>
          <w:rFonts w:asciiTheme="majorBidi" w:hAnsiTheme="majorBidi" w:cstheme="majorBidi"/>
          <w:lang w:val="de-DE"/>
        </w:rPr>
        <w:t>šī</w:t>
      </w:r>
      <w:proofErr w:type="spellEnd"/>
      <w:r w:rsidRPr="000C7C76">
        <w:rPr>
          <w:rFonts w:asciiTheme="majorBidi" w:hAnsiTheme="majorBidi" w:cstheme="majorBidi"/>
          <w:lang w:val="de-DE"/>
        </w:rPr>
        <w:t xml:space="preserve"> </w:t>
      </w:r>
      <w:proofErr w:type="spellStart"/>
      <w:r w:rsidRPr="000C7C76">
        <w:rPr>
          <w:rFonts w:asciiTheme="majorBidi" w:hAnsiTheme="majorBidi" w:cstheme="majorBidi"/>
          <w:lang w:val="de-DE"/>
        </w:rPr>
        <w:t>cita</w:t>
      </w:r>
      <w:proofErr w:type="spellEnd"/>
      <w:r w:rsidRPr="000C7C76">
        <w:rPr>
          <w:rFonts w:asciiTheme="majorBidi" w:hAnsiTheme="majorBidi" w:cstheme="majorBidi"/>
          <w:lang w:val="de-DE"/>
        </w:rPr>
        <w:t xml:space="preserve"> </w:t>
      </w:r>
      <w:proofErr w:type="spellStart"/>
      <w:r w:rsidRPr="000C7C76">
        <w:rPr>
          <w:rFonts w:asciiTheme="majorBidi" w:hAnsiTheme="majorBidi" w:cstheme="majorBidi"/>
          <w:lang w:val="de-DE"/>
        </w:rPr>
        <w:t>valsts</w:t>
      </w:r>
      <w:proofErr w:type="spellEnd"/>
      <w:r w:rsidRPr="000C7C76">
        <w:rPr>
          <w:rFonts w:asciiTheme="majorBidi" w:hAnsiTheme="majorBidi" w:cstheme="majorBidi"/>
          <w:lang w:val="de-DE"/>
        </w:rPr>
        <w:t xml:space="preserve"> </w:t>
      </w:r>
      <w:proofErr w:type="spellStart"/>
      <w:r w:rsidRPr="000C7C76">
        <w:rPr>
          <w:rFonts w:asciiTheme="majorBidi" w:hAnsiTheme="majorBidi" w:cstheme="majorBidi"/>
          <w:lang w:val="de-DE"/>
        </w:rPr>
        <w:t>un</w:t>
      </w:r>
      <w:proofErr w:type="spellEnd"/>
      <w:r w:rsidRPr="000C7C76">
        <w:rPr>
          <w:rFonts w:asciiTheme="majorBidi" w:hAnsiTheme="majorBidi" w:cstheme="majorBidi"/>
          <w:lang w:val="de-DE"/>
        </w:rPr>
        <w:t xml:space="preserve"> </w:t>
      </w:r>
      <w:proofErr w:type="spellStart"/>
      <w:r w:rsidRPr="000C7C76">
        <w:rPr>
          <w:rFonts w:asciiTheme="majorBidi" w:hAnsiTheme="majorBidi" w:cstheme="majorBidi"/>
          <w:lang w:val="de-DE"/>
        </w:rPr>
        <w:t>tās</w:t>
      </w:r>
      <w:proofErr w:type="spellEnd"/>
      <w:r w:rsidRPr="000C7C76">
        <w:rPr>
          <w:rFonts w:asciiTheme="majorBidi" w:hAnsiTheme="majorBidi" w:cstheme="majorBidi"/>
          <w:lang w:val="de-DE"/>
        </w:rPr>
        <w:t xml:space="preserve"> </w:t>
      </w:r>
      <w:proofErr w:type="spellStart"/>
      <w:r w:rsidRPr="000C7C76">
        <w:rPr>
          <w:rFonts w:asciiTheme="majorBidi" w:hAnsiTheme="majorBidi" w:cstheme="majorBidi"/>
          <w:lang w:val="de-DE"/>
        </w:rPr>
        <w:t>tiesību</w:t>
      </w:r>
      <w:proofErr w:type="spellEnd"/>
      <w:r w:rsidRPr="000C7C76">
        <w:rPr>
          <w:rFonts w:asciiTheme="majorBidi" w:hAnsiTheme="majorBidi" w:cstheme="majorBidi"/>
          <w:lang w:val="de-DE"/>
        </w:rPr>
        <w:t xml:space="preserve"> </w:t>
      </w:r>
      <w:proofErr w:type="spellStart"/>
      <w:r w:rsidRPr="000C7C76">
        <w:rPr>
          <w:rFonts w:asciiTheme="majorBidi" w:hAnsiTheme="majorBidi" w:cstheme="majorBidi"/>
          <w:lang w:val="de-DE"/>
        </w:rPr>
        <w:t>sistēma</w:t>
      </w:r>
      <w:proofErr w:type="spellEnd"/>
      <w:r w:rsidRPr="000C7C76">
        <w:rPr>
          <w:rFonts w:asciiTheme="majorBidi" w:hAnsiTheme="majorBidi" w:cstheme="majorBidi"/>
          <w:lang w:val="de-DE"/>
        </w:rPr>
        <w:t>.</w:t>
      </w:r>
      <w:r w:rsidRPr="003F1F74">
        <w:rPr>
          <w:rStyle w:val="FootnoteReference"/>
          <w:rFonts w:asciiTheme="majorBidi" w:hAnsiTheme="majorBidi" w:cstheme="majorBidi"/>
        </w:rPr>
        <w:footnoteReference w:id="49"/>
      </w:r>
      <w:r w:rsidRPr="000C7C76">
        <w:rPr>
          <w:rFonts w:asciiTheme="majorBidi" w:hAnsiTheme="majorBidi" w:cstheme="majorBidi"/>
          <w:lang w:val="de-DE"/>
        </w:rPr>
        <w:t xml:space="preserve"> </w:t>
      </w:r>
      <w:proofErr w:type="spellStart"/>
      <w:r w:rsidRPr="000C7C76">
        <w:rPr>
          <w:rFonts w:asciiTheme="majorBidi" w:hAnsiTheme="majorBidi" w:cstheme="majorBidi"/>
          <w:lang w:val="de-DE"/>
        </w:rPr>
        <w:t>Piemēram</w:t>
      </w:r>
      <w:proofErr w:type="spellEnd"/>
      <w:r w:rsidRPr="000C7C76">
        <w:rPr>
          <w:rFonts w:asciiTheme="majorBidi" w:hAnsiTheme="majorBidi" w:cstheme="majorBidi"/>
          <w:lang w:val="de-DE"/>
        </w:rPr>
        <w:t xml:space="preserve">, ja </w:t>
      </w:r>
      <w:proofErr w:type="spellStart"/>
      <w:r w:rsidRPr="000C7C76">
        <w:rPr>
          <w:rFonts w:asciiTheme="majorBidi" w:hAnsiTheme="majorBidi" w:cstheme="majorBidi"/>
          <w:lang w:val="de-DE"/>
        </w:rPr>
        <w:t>pilnvara</w:t>
      </w:r>
      <w:proofErr w:type="spellEnd"/>
      <w:r w:rsidRPr="000C7C76">
        <w:rPr>
          <w:rFonts w:asciiTheme="majorBidi" w:hAnsiTheme="majorBidi" w:cstheme="majorBidi"/>
          <w:lang w:val="de-DE"/>
        </w:rPr>
        <w:t xml:space="preserve"> </w:t>
      </w:r>
      <w:proofErr w:type="spellStart"/>
      <w:r w:rsidRPr="000C7C76">
        <w:rPr>
          <w:rFonts w:asciiTheme="majorBidi" w:hAnsiTheme="majorBidi" w:cstheme="majorBidi"/>
          <w:lang w:val="de-DE"/>
        </w:rPr>
        <w:t>izdota</w:t>
      </w:r>
      <w:proofErr w:type="spellEnd"/>
      <w:r w:rsidRPr="000C7C76">
        <w:rPr>
          <w:rFonts w:asciiTheme="majorBidi" w:hAnsiTheme="majorBidi" w:cstheme="majorBidi"/>
          <w:lang w:val="de-DE"/>
        </w:rPr>
        <w:t xml:space="preserve"> </w:t>
      </w:r>
      <w:proofErr w:type="spellStart"/>
      <w:r w:rsidRPr="000C7C76">
        <w:rPr>
          <w:rFonts w:asciiTheme="majorBidi" w:hAnsiTheme="majorBidi" w:cstheme="majorBidi"/>
          <w:lang w:val="de-DE"/>
        </w:rPr>
        <w:t>Vācijā</w:t>
      </w:r>
      <w:proofErr w:type="spellEnd"/>
      <w:r w:rsidRPr="000C7C76">
        <w:rPr>
          <w:rFonts w:asciiTheme="majorBidi" w:hAnsiTheme="majorBidi" w:cstheme="majorBidi"/>
          <w:lang w:val="de-DE"/>
        </w:rPr>
        <w:t xml:space="preserve"> </w:t>
      </w:r>
      <w:proofErr w:type="spellStart"/>
      <w:r w:rsidRPr="000C7C76">
        <w:rPr>
          <w:rFonts w:asciiTheme="majorBidi" w:hAnsiTheme="majorBidi" w:cstheme="majorBidi"/>
          <w:lang w:val="de-DE"/>
        </w:rPr>
        <w:t>un</w:t>
      </w:r>
      <w:proofErr w:type="spellEnd"/>
      <w:r w:rsidRPr="000C7C76">
        <w:rPr>
          <w:rFonts w:asciiTheme="majorBidi" w:hAnsiTheme="majorBidi" w:cstheme="majorBidi"/>
          <w:lang w:val="de-DE"/>
        </w:rPr>
        <w:t xml:space="preserve"> </w:t>
      </w:r>
      <w:proofErr w:type="spellStart"/>
      <w:r w:rsidRPr="000C7C76">
        <w:rPr>
          <w:rFonts w:asciiTheme="majorBidi" w:hAnsiTheme="majorBidi" w:cstheme="majorBidi"/>
          <w:lang w:val="de-DE"/>
        </w:rPr>
        <w:t>tajā</w:t>
      </w:r>
      <w:proofErr w:type="spellEnd"/>
      <w:r w:rsidRPr="000C7C76">
        <w:rPr>
          <w:rFonts w:asciiTheme="majorBidi" w:hAnsiTheme="majorBidi" w:cstheme="majorBidi"/>
          <w:lang w:val="de-DE"/>
        </w:rPr>
        <w:t xml:space="preserve"> </w:t>
      </w:r>
      <w:proofErr w:type="spellStart"/>
      <w:r w:rsidRPr="000C7C76">
        <w:rPr>
          <w:rFonts w:asciiTheme="majorBidi" w:hAnsiTheme="majorBidi" w:cstheme="majorBidi"/>
          <w:lang w:val="de-DE"/>
        </w:rPr>
        <w:t>nav</w:t>
      </w:r>
      <w:proofErr w:type="spellEnd"/>
      <w:r w:rsidRPr="000C7C76">
        <w:rPr>
          <w:rFonts w:asciiTheme="majorBidi" w:hAnsiTheme="majorBidi" w:cstheme="majorBidi"/>
          <w:lang w:val="de-DE"/>
        </w:rPr>
        <w:t xml:space="preserve"> </w:t>
      </w:r>
      <w:proofErr w:type="spellStart"/>
      <w:r w:rsidRPr="000C7C76">
        <w:rPr>
          <w:rFonts w:asciiTheme="majorBidi" w:hAnsiTheme="majorBidi" w:cstheme="majorBidi"/>
          <w:lang w:val="de-DE"/>
        </w:rPr>
        <w:t>norādīts</w:t>
      </w:r>
      <w:proofErr w:type="spellEnd"/>
      <w:r w:rsidRPr="000C7C76">
        <w:rPr>
          <w:rFonts w:asciiTheme="majorBidi" w:hAnsiTheme="majorBidi" w:cstheme="majorBidi"/>
          <w:lang w:val="de-DE"/>
        </w:rPr>
        <w:t xml:space="preserve">, </w:t>
      </w:r>
      <w:proofErr w:type="spellStart"/>
      <w:r w:rsidRPr="000C7C76">
        <w:rPr>
          <w:rFonts w:asciiTheme="majorBidi" w:hAnsiTheme="majorBidi" w:cstheme="majorBidi"/>
          <w:lang w:val="de-DE"/>
        </w:rPr>
        <w:t>kuras</w:t>
      </w:r>
      <w:proofErr w:type="spellEnd"/>
      <w:r w:rsidRPr="000C7C76">
        <w:rPr>
          <w:rFonts w:asciiTheme="majorBidi" w:hAnsiTheme="majorBidi" w:cstheme="majorBidi"/>
          <w:lang w:val="de-DE"/>
        </w:rPr>
        <w:t xml:space="preserve"> </w:t>
      </w:r>
      <w:proofErr w:type="spellStart"/>
      <w:r w:rsidRPr="000C7C76">
        <w:rPr>
          <w:rFonts w:asciiTheme="majorBidi" w:hAnsiTheme="majorBidi" w:cstheme="majorBidi"/>
          <w:lang w:val="de-DE"/>
        </w:rPr>
        <w:t>valsts</w:t>
      </w:r>
      <w:proofErr w:type="spellEnd"/>
      <w:r w:rsidRPr="000C7C76">
        <w:rPr>
          <w:rFonts w:asciiTheme="majorBidi" w:hAnsiTheme="majorBidi" w:cstheme="majorBidi"/>
          <w:lang w:val="de-DE"/>
        </w:rPr>
        <w:t xml:space="preserve"> </w:t>
      </w:r>
      <w:proofErr w:type="spellStart"/>
      <w:r w:rsidRPr="000C7C76">
        <w:rPr>
          <w:rFonts w:asciiTheme="majorBidi" w:hAnsiTheme="majorBidi" w:cstheme="majorBidi"/>
          <w:lang w:val="de-DE"/>
        </w:rPr>
        <w:t>likums</w:t>
      </w:r>
      <w:proofErr w:type="spellEnd"/>
      <w:r w:rsidRPr="000C7C76">
        <w:rPr>
          <w:rFonts w:asciiTheme="majorBidi" w:hAnsiTheme="majorBidi" w:cstheme="majorBidi"/>
          <w:lang w:val="de-DE"/>
        </w:rPr>
        <w:t xml:space="preserve"> </w:t>
      </w:r>
      <w:proofErr w:type="spellStart"/>
      <w:r w:rsidRPr="000C7C76">
        <w:rPr>
          <w:rFonts w:asciiTheme="majorBidi" w:hAnsiTheme="majorBidi" w:cstheme="majorBidi"/>
          <w:lang w:val="de-DE"/>
        </w:rPr>
        <w:t>tai</w:t>
      </w:r>
      <w:proofErr w:type="spellEnd"/>
      <w:r w:rsidRPr="000C7C76">
        <w:rPr>
          <w:rFonts w:asciiTheme="majorBidi" w:hAnsiTheme="majorBidi" w:cstheme="majorBidi"/>
          <w:lang w:val="de-DE"/>
        </w:rPr>
        <w:t xml:space="preserve"> </w:t>
      </w:r>
      <w:proofErr w:type="spellStart"/>
      <w:r w:rsidRPr="000C7C76">
        <w:rPr>
          <w:rFonts w:asciiTheme="majorBidi" w:hAnsiTheme="majorBidi" w:cstheme="majorBidi"/>
          <w:lang w:val="de-DE"/>
        </w:rPr>
        <w:t>piemērojams</w:t>
      </w:r>
      <w:proofErr w:type="spellEnd"/>
      <w:r w:rsidRPr="000C7C76">
        <w:rPr>
          <w:rFonts w:asciiTheme="majorBidi" w:hAnsiTheme="majorBidi" w:cstheme="majorBidi"/>
          <w:lang w:val="de-DE"/>
        </w:rPr>
        <w:t xml:space="preserve">, </w:t>
      </w:r>
      <w:proofErr w:type="spellStart"/>
      <w:r w:rsidRPr="000C7C76">
        <w:rPr>
          <w:rFonts w:asciiTheme="majorBidi" w:hAnsiTheme="majorBidi" w:cstheme="majorBidi"/>
          <w:lang w:val="de-DE"/>
        </w:rPr>
        <w:t>tad</w:t>
      </w:r>
      <w:proofErr w:type="spellEnd"/>
      <w:r w:rsidRPr="000C7C76">
        <w:rPr>
          <w:rFonts w:asciiTheme="majorBidi" w:hAnsiTheme="majorBidi" w:cstheme="majorBidi"/>
          <w:lang w:val="de-DE"/>
        </w:rPr>
        <w:t xml:space="preserve"> </w:t>
      </w:r>
      <w:proofErr w:type="spellStart"/>
      <w:r w:rsidRPr="000C7C76">
        <w:rPr>
          <w:rFonts w:asciiTheme="majorBidi" w:hAnsiTheme="majorBidi" w:cstheme="majorBidi"/>
          <w:lang w:val="de-DE"/>
        </w:rPr>
        <w:t>gadījumā</w:t>
      </w:r>
      <w:proofErr w:type="spellEnd"/>
      <w:r w:rsidRPr="000C7C76">
        <w:rPr>
          <w:rFonts w:asciiTheme="majorBidi" w:hAnsiTheme="majorBidi" w:cstheme="majorBidi"/>
          <w:lang w:val="de-DE"/>
        </w:rPr>
        <w:t xml:space="preserve">, ja </w:t>
      </w:r>
      <w:proofErr w:type="spellStart"/>
      <w:r w:rsidRPr="000C7C76">
        <w:rPr>
          <w:rFonts w:asciiTheme="majorBidi" w:hAnsiTheme="majorBidi" w:cstheme="majorBidi"/>
          <w:lang w:val="de-DE"/>
        </w:rPr>
        <w:t>pilnvaru</w:t>
      </w:r>
      <w:proofErr w:type="spellEnd"/>
      <w:r w:rsidRPr="000C7C76">
        <w:rPr>
          <w:rFonts w:asciiTheme="majorBidi" w:hAnsiTheme="majorBidi" w:cstheme="majorBidi"/>
          <w:lang w:val="de-DE"/>
        </w:rPr>
        <w:t xml:space="preserve"> </w:t>
      </w:r>
      <w:proofErr w:type="spellStart"/>
      <w:r w:rsidRPr="000C7C76">
        <w:rPr>
          <w:rFonts w:asciiTheme="majorBidi" w:hAnsiTheme="majorBidi" w:cstheme="majorBidi"/>
          <w:lang w:val="de-DE"/>
        </w:rPr>
        <w:t>paredzēts</w:t>
      </w:r>
      <w:proofErr w:type="spellEnd"/>
      <w:r w:rsidRPr="000C7C76">
        <w:rPr>
          <w:rFonts w:asciiTheme="majorBidi" w:hAnsiTheme="majorBidi" w:cstheme="majorBidi"/>
          <w:lang w:val="de-DE"/>
        </w:rPr>
        <w:t xml:space="preserve"> </w:t>
      </w:r>
      <w:proofErr w:type="spellStart"/>
      <w:r w:rsidRPr="000C7C76">
        <w:rPr>
          <w:rFonts w:asciiTheme="majorBidi" w:hAnsiTheme="majorBidi" w:cstheme="majorBidi"/>
          <w:lang w:val="de-DE"/>
        </w:rPr>
        <w:t>izmantot</w:t>
      </w:r>
      <w:proofErr w:type="spellEnd"/>
      <w:r w:rsidRPr="000C7C76">
        <w:rPr>
          <w:rFonts w:asciiTheme="majorBidi" w:hAnsiTheme="majorBidi" w:cstheme="majorBidi"/>
          <w:lang w:val="de-DE"/>
        </w:rPr>
        <w:t xml:space="preserve"> (</w:t>
      </w:r>
      <w:proofErr w:type="spellStart"/>
      <w:r w:rsidRPr="000C7C76">
        <w:rPr>
          <w:rFonts w:asciiTheme="majorBidi" w:hAnsiTheme="majorBidi" w:cstheme="majorBidi"/>
          <w:lang w:val="de-DE"/>
        </w:rPr>
        <w:t>vai</w:t>
      </w:r>
      <w:proofErr w:type="spellEnd"/>
      <w:r w:rsidRPr="000C7C76">
        <w:rPr>
          <w:rFonts w:asciiTheme="majorBidi" w:hAnsiTheme="majorBidi" w:cstheme="majorBidi"/>
          <w:lang w:val="de-DE"/>
        </w:rPr>
        <w:t xml:space="preserve"> </w:t>
      </w:r>
      <w:proofErr w:type="spellStart"/>
      <w:r w:rsidRPr="000C7C76">
        <w:rPr>
          <w:rFonts w:asciiTheme="majorBidi" w:hAnsiTheme="majorBidi" w:cstheme="majorBidi"/>
          <w:lang w:val="de-DE"/>
        </w:rPr>
        <w:t>to</w:t>
      </w:r>
      <w:proofErr w:type="spellEnd"/>
      <w:r w:rsidRPr="000C7C76">
        <w:rPr>
          <w:rFonts w:asciiTheme="majorBidi" w:hAnsiTheme="majorBidi" w:cstheme="majorBidi"/>
          <w:lang w:val="de-DE"/>
        </w:rPr>
        <w:t xml:space="preserve"> </w:t>
      </w:r>
      <w:proofErr w:type="spellStart"/>
      <w:r w:rsidRPr="000C7C76">
        <w:rPr>
          <w:rFonts w:asciiTheme="majorBidi" w:hAnsiTheme="majorBidi" w:cstheme="majorBidi"/>
          <w:lang w:val="de-DE"/>
        </w:rPr>
        <w:t>izmanto</w:t>
      </w:r>
      <w:proofErr w:type="spellEnd"/>
      <w:r w:rsidRPr="000C7C76">
        <w:rPr>
          <w:rFonts w:asciiTheme="majorBidi" w:hAnsiTheme="majorBidi" w:cstheme="majorBidi"/>
          <w:lang w:val="de-DE"/>
        </w:rPr>
        <w:t xml:space="preserve">) </w:t>
      </w:r>
      <w:proofErr w:type="spellStart"/>
      <w:r w:rsidRPr="000C7C76">
        <w:rPr>
          <w:rFonts w:asciiTheme="majorBidi" w:hAnsiTheme="majorBidi" w:cstheme="majorBidi"/>
          <w:lang w:val="de-DE"/>
        </w:rPr>
        <w:t>Latvijā</w:t>
      </w:r>
      <w:proofErr w:type="spellEnd"/>
      <w:r w:rsidRPr="000C7C76">
        <w:rPr>
          <w:rFonts w:asciiTheme="majorBidi" w:hAnsiTheme="majorBidi" w:cstheme="majorBidi"/>
          <w:lang w:val="de-DE"/>
        </w:rPr>
        <w:t xml:space="preserve">, </w:t>
      </w:r>
      <w:proofErr w:type="spellStart"/>
      <w:r w:rsidRPr="000C7C76">
        <w:rPr>
          <w:rFonts w:asciiTheme="majorBidi" w:hAnsiTheme="majorBidi" w:cstheme="majorBidi"/>
          <w:lang w:val="de-DE"/>
        </w:rPr>
        <w:t>tās</w:t>
      </w:r>
      <w:proofErr w:type="spellEnd"/>
      <w:r w:rsidRPr="000C7C76">
        <w:rPr>
          <w:rFonts w:asciiTheme="majorBidi" w:hAnsiTheme="majorBidi" w:cstheme="majorBidi"/>
          <w:lang w:val="de-DE"/>
        </w:rPr>
        <w:t xml:space="preserve"> </w:t>
      </w:r>
      <w:proofErr w:type="spellStart"/>
      <w:r w:rsidRPr="000C7C76">
        <w:rPr>
          <w:rFonts w:asciiTheme="majorBidi" w:hAnsiTheme="majorBidi" w:cstheme="majorBidi"/>
          <w:lang w:val="de-DE"/>
        </w:rPr>
        <w:t>saturu</w:t>
      </w:r>
      <w:proofErr w:type="spellEnd"/>
      <w:r w:rsidRPr="000C7C76">
        <w:rPr>
          <w:rFonts w:asciiTheme="majorBidi" w:hAnsiTheme="majorBidi" w:cstheme="majorBidi"/>
          <w:lang w:val="de-DE"/>
        </w:rPr>
        <w:t xml:space="preserve"> </w:t>
      </w:r>
      <w:proofErr w:type="spellStart"/>
      <w:r w:rsidRPr="000C7C76">
        <w:rPr>
          <w:rFonts w:asciiTheme="majorBidi" w:hAnsiTheme="majorBidi" w:cstheme="majorBidi"/>
          <w:lang w:val="de-DE"/>
        </w:rPr>
        <w:t>un</w:t>
      </w:r>
      <w:proofErr w:type="spellEnd"/>
      <w:r w:rsidRPr="000C7C76">
        <w:rPr>
          <w:rFonts w:asciiTheme="majorBidi" w:hAnsiTheme="majorBidi" w:cstheme="majorBidi"/>
          <w:lang w:val="de-DE"/>
        </w:rPr>
        <w:t xml:space="preserve"> </w:t>
      </w:r>
      <w:proofErr w:type="spellStart"/>
      <w:r w:rsidRPr="000C7C76">
        <w:rPr>
          <w:rFonts w:asciiTheme="majorBidi" w:hAnsiTheme="majorBidi" w:cstheme="majorBidi"/>
          <w:lang w:val="de-DE"/>
        </w:rPr>
        <w:t>sekas</w:t>
      </w:r>
      <w:proofErr w:type="spellEnd"/>
      <w:r w:rsidRPr="000C7C76">
        <w:rPr>
          <w:rFonts w:asciiTheme="majorBidi" w:hAnsiTheme="majorBidi" w:cstheme="majorBidi"/>
          <w:lang w:val="de-DE"/>
        </w:rPr>
        <w:t xml:space="preserve"> </w:t>
      </w:r>
      <w:proofErr w:type="spellStart"/>
      <w:r w:rsidRPr="000C7C76">
        <w:rPr>
          <w:rFonts w:asciiTheme="majorBidi" w:hAnsiTheme="majorBidi" w:cstheme="majorBidi"/>
          <w:lang w:val="de-DE"/>
        </w:rPr>
        <w:t>nosaka</w:t>
      </w:r>
      <w:proofErr w:type="spellEnd"/>
      <w:r w:rsidRPr="000C7C76">
        <w:rPr>
          <w:rFonts w:asciiTheme="majorBidi" w:hAnsiTheme="majorBidi" w:cstheme="majorBidi"/>
          <w:lang w:val="de-DE"/>
        </w:rPr>
        <w:t xml:space="preserve"> </w:t>
      </w:r>
      <w:proofErr w:type="spellStart"/>
      <w:r w:rsidRPr="000C7C76">
        <w:rPr>
          <w:rFonts w:asciiTheme="majorBidi" w:hAnsiTheme="majorBidi" w:cstheme="majorBidi"/>
          <w:lang w:val="de-DE"/>
        </w:rPr>
        <w:t>pēc</w:t>
      </w:r>
      <w:proofErr w:type="spellEnd"/>
      <w:r w:rsidRPr="000C7C76">
        <w:rPr>
          <w:rFonts w:asciiTheme="majorBidi" w:hAnsiTheme="majorBidi" w:cstheme="majorBidi"/>
          <w:lang w:val="de-DE"/>
        </w:rPr>
        <w:t xml:space="preserve"> Latvijas </w:t>
      </w:r>
      <w:proofErr w:type="spellStart"/>
      <w:r w:rsidRPr="000C7C76">
        <w:rPr>
          <w:rFonts w:asciiTheme="majorBidi" w:hAnsiTheme="majorBidi" w:cstheme="majorBidi"/>
          <w:lang w:val="de-DE"/>
        </w:rPr>
        <w:t>likuma</w:t>
      </w:r>
      <w:proofErr w:type="spellEnd"/>
      <w:r w:rsidRPr="000C7C76">
        <w:rPr>
          <w:rFonts w:asciiTheme="majorBidi" w:hAnsiTheme="majorBidi" w:cstheme="majorBidi"/>
          <w:lang w:val="de-DE"/>
        </w:rPr>
        <w:t xml:space="preserve">. </w:t>
      </w:r>
    </w:p>
    <w:p w14:paraId="1E0CB8CF" w14:textId="77777777" w:rsidR="00114953" w:rsidRPr="000C7C76" w:rsidRDefault="00114953" w:rsidP="00114953">
      <w:pPr>
        <w:ind w:firstLine="708"/>
        <w:jc w:val="both"/>
        <w:rPr>
          <w:rFonts w:asciiTheme="majorBidi" w:hAnsiTheme="majorBidi" w:cstheme="majorBidi"/>
          <w:lang w:val="de-DE"/>
        </w:rPr>
      </w:pPr>
    </w:p>
    <w:p w14:paraId="691AA534" w14:textId="77777777" w:rsidR="00114953" w:rsidRPr="003F1F74" w:rsidRDefault="00114953" w:rsidP="00114953">
      <w:pPr>
        <w:ind w:firstLine="708"/>
        <w:jc w:val="both"/>
        <w:rPr>
          <w:rFonts w:asciiTheme="majorBidi" w:hAnsiTheme="majorBidi" w:cstheme="majorBidi"/>
        </w:rPr>
      </w:pPr>
      <w:proofErr w:type="spellStart"/>
      <w:r w:rsidRPr="003F1F74">
        <w:rPr>
          <w:rFonts w:asciiTheme="majorBidi" w:hAnsiTheme="majorBidi" w:cstheme="majorBidi"/>
        </w:rPr>
        <w:t>Saistību</w:t>
      </w:r>
      <w:proofErr w:type="spellEnd"/>
      <w:r w:rsidRPr="003F1F74">
        <w:rPr>
          <w:rFonts w:asciiTheme="majorBidi" w:hAnsiTheme="majorBidi" w:cstheme="majorBidi"/>
        </w:rPr>
        <w:t xml:space="preserve"> </w:t>
      </w:r>
      <w:proofErr w:type="spellStart"/>
      <w:r w:rsidRPr="003F1F74">
        <w:rPr>
          <w:rFonts w:asciiTheme="majorBidi" w:hAnsiTheme="majorBidi" w:cstheme="majorBidi"/>
        </w:rPr>
        <w:t>izpildes</w:t>
      </w:r>
      <w:proofErr w:type="spellEnd"/>
      <w:r w:rsidRPr="003F1F74">
        <w:rPr>
          <w:rFonts w:asciiTheme="majorBidi" w:hAnsiTheme="majorBidi" w:cstheme="majorBidi"/>
        </w:rPr>
        <w:t xml:space="preserve"> </w:t>
      </w:r>
      <w:proofErr w:type="spellStart"/>
      <w:r w:rsidRPr="003F1F74">
        <w:rPr>
          <w:rFonts w:asciiTheme="majorBidi" w:hAnsiTheme="majorBidi" w:cstheme="majorBidi"/>
        </w:rPr>
        <w:t>vietas</w:t>
      </w:r>
      <w:proofErr w:type="spellEnd"/>
      <w:r w:rsidRPr="003F1F74">
        <w:rPr>
          <w:rFonts w:asciiTheme="majorBidi" w:hAnsiTheme="majorBidi" w:cstheme="majorBidi"/>
        </w:rPr>
        <w:t xml:space="preserve"> </w:t>
      </w:r>
      <w:proofErr w:type="spellStart"/>
      <w:r w:rsidRPr="003F1F74">
        <w:rPr>
          <w:rFonts w:asciiTheme="majorBidi" w:hAnsiTheme="majorBidi" w:cstheme="majorBidi"/>
        </w:rPr>
        <w:t>valsts</w:t>
      </w:r>
      <w:proofErr w:type="spellEnd"/>
      <w:r w:rsidRPr="003F1F74">
        <w:rPr>
          <w:rFonts w:asciiTheme="majorBidi" w:hAnsiTheme="majorBidi" w:cstheme="majorBidi"/>
        </w:rPr>
        <w:t xml:space="preserve"> </w:t>
      </w:r>
      <w:proofErr w:type="spellStart"/>
      <w:r w:rsidRPr="003F1F74">
        <w:rPr>
          <w:rFonts w:asciiTheme="majorBidi" w:hAnsiTheme="majorBidi" w:cstheme="majorBidi"/>
        </w:rPr>
        <w:t>likuma</w:t>
      </w:r>
      <w:proofErr w:type="spellEnd"/>
      <w:r w:rsidRPr="003F1F74">
        <w:rPr>
          <w:rFonts w:asciiTheme="majorBidi" w:hAnsiTheme="majorBidi" w:cstheme="majorBidi"/>
        </w:rPr>
        <w:t xml:space="preserve"> </w:t>
      </w:r>
      <w:proofErr w:type="spellStart"/>
      <w:r w:rsidRPr="003F1F74">
        <w:rPr>
          <w:rFonts w:asciiTheme="majorBidi" w:hAnsiTheme="majorBidi" w:cstheme="majorBidi"/>
        </w:rPr>
        <w:t>piemērošana</w:t>
      </w:r>
      <w:proofErr w:type="spellEnd"/>
      <w:r w:rsidRPr="003F1F74">
        <w:rPr>
          <w:rFonts w:asciiTheme="majorBidi" w:hAnsiTheme="majorBidi" w:cstheme="majorBidi"/>
        </w:rPr>
        <w:t xml:space="preserve"> </w:t>
      </w:r>
      <w:proofErr w:type="spellStart"/>
      <w:r w:rsidRPr="003F1F74">
        <w:rPr>
          <w:rFonts w:asciiTheme="majorBidi" w:hAnsiTheme="majorBidi" w:cstheme="majorBidi"/>
        </w:rPr>
        <w:t>atsevišķos</w:t>
      </w:r>
      <w:proofErr w:type="spellEnd"/>
      <w:r w:rsidRPr="003F1F74">
        <w:rPr>
          <w:rFonts w:asciiTheme="majorBidi" w:hAnsiTheme="majorBidi" w:cstheme="majorBidi"/>
        </w:rPr>
        <w:t xml:space="preserve"> </w:t>
      </w:r>
      <w:proofErr w:type="spellStart"/>
      <w:r w:rsidRPr="003F1F74">
        <w:rPr>
          <w:rFonts w:asciiTheme="majorBidi" w:hAnsiTheme="majorBidi" w:cstheme="majorBidi"/>
        </w:rPr>
        <w:t>gadījumos</w:t>
      </w:r>
      <w:proofErr w:type="spellEnd"/>
      <w:r w:rsidRPr="003F1F74">
        <w:rPr>
          <w:rFonts w:asciiTheme="majorBidi" w:hAnsiTheme="majorBidi" w:cstheme="majorBidi"/>
        </w:rPr>
        <w:t xml:space="preserve"> var </w:t>
      </w:r>
      <w:proofErr w:type="spellStart"/>
      <w:r w:rsidRPr="003F1F74">
        <w:rPr>
          <w:rFonts w:asciiTheme="majorBidi" w:hAnsiTheme="majorBidi" w:cstheme="majorBidi"/>
        </w:rPr>
        <w:t>sagādāt</w:t>
      </w:r>
      <w:proofErr w:type="spellEnd"/>
      <w:r w:rsidRPr="003F1F74">
        <w:rPr>
          <w:rFonts w:asciiTheme="majorBidi" w:hAnsiTheme="majorBidi" w:cstheme="majorBidi"/>
        </w:rPr>
        <w:t xml:space="preserve"> </w:t>
      </w:r>
      <w:proofErr w:type="spellStart"/>
      <w:r w:rsidRPr="003F1F74">
        <w:rPr>
          <w:rFonts w:asciiTheme="majorBidi" w:hAnsiTheme="majorBidi" w:cstheme="majorBidi"/>
        </w:rPr>
        <w:t>grūtības</w:t>
      </w:r>
      <w:proofErr w:type="spellEnd"/>
      <w:r w:rsidRPr="003F1F74">
        <w:rPr>
          <w:rFonts w:asciiTheme="majorBidi" w:hAnsiTheme="majorBidi" w:cstheme="majorBidi"/>
        </w:rPr>
        <w:t xml:space="preserve">. </w:t>
      </w:r>
      <w:proofErr w:type="spellStart"/>
      <w:proofErr w:type="gramStart"/>
      <w:r w:rsidRPr="003F1F74">
        <w:rPr>
          <w:rFonts w:asciiTheme="majorBidi" w:hAnsiTheme="majorBidi" w:cstheme="majorBidi"/>
        </w:rPr>
        <w:t>Piemēram</w:t>
      </w:r>
      <w:proofErr w:type="spellEnd"/>
      <w:r w:rsidRPr="003F1F74">
        <w:rPr>
          <w:rFonts w:asciiTheme="majorBidi" w:hAnsiTheme="majorBidi" w:cstheme="majorBidi"/>
        </w:rPr>
        <w:t>:</w:t>
      </w:r>
      <w:proofErr w:type="gramEnd"/>
    </w:p>
    <w:p w14:paraId="3E40AB16" w14:textId="77777777" w:rsidR="00114953" w:rsidRPr="003F1F74" w:rsidRDefault="00114953" w:rsidP="00114953">
      <w:pPr>
        <w:jc w:val="both"/>
        <w:rPr>
          <w:rFonts w:asciiTheme="majorBidi" w:hAnsiTheme="majorBidi" w:cstheme="majorBidi"/>
        </w:rPr>
      </w:pPr>
    </w:p>
    <w:p w14:paraId="51F033BF" w14:textId="77777777" w:rsidR="00114953" w:rsidRPr="003F1F74" w:rsidRDefault="00114953" w:rsidP="00114953">
      <w:pPr>
        <w:jc w:val="both"/>
        <w:rPr>
          <w:rFonts w:asciiTheme="majorBidi" w:hAnsiTheme="majorBidi" w:cstheme="majorBidi"/>
        </w:rPr>
      </w:pPr>
      <w:r w:rsidRPr="003F1F74">
        <w:rPr>
          <w:rFonts w:asciiTheme="majorBidi" w:hAnsiTheme="majorBidi" w:cstheme="majorBidi"/>
        </w:rPr>
        <w:t xml:space="preserve">1) </w:t>
      </w:r>
      <w:proofErr w:type="spellStart"/>
      <w:r w:rsidRPr="003F1F74">
        <w:rPr>
          <w:rFonts w:asciiTheme="majorBidi" w:hAnsiTheme="majorBidi" w:cstheme="majorBidi"/>
        </w:rPr>
        <w:t>ja</w:t>
      </w:r>
      <w:proofErr w:type="spellEnd"/>
      <w:r w:rsidRPr="003F1F74">
        <w:rPr>
          <w:rFonts w:asciiTheme="majorBidi" w:hAnsiTheme="majorBidi" w:cstheme="majorBidi"/>
        </w:rPr>
        <w:t xml:space="preserve"> </w:t>
      </w:r>
      <w:proofErr w:type="spellStart"/>
      <w:r w:rsidRPr="003F1F74">
        <w:rPr>
          <w:rFonts w:asciiTheme="majorBidi" w:hAnsiTheme="majorBidi" w:cstheme="majorBidi"/>
        </w:rPr>
        <w:t>pilnvaru</w:t>
      </w:r>
      <w:proofErr w:type="spellEnd"/>
      <w:r w:rsidRPr="003F1F74">
        <w:rPr>
          <w:rFonts w:asciiTheme="majorBidi" w:hAnsiTheme="majorBidi" w:cstheme="majorBidi"/>
        </w:rPr>
        <w:t xml:space="preserve"> </w:t>
      </w:r>
      <w:proofErr w:type="spellStart"/>
      <w:r w:rsidRPr="003F1F74">
        <w:rPr>
          <w:rFonts w:asciiTheme="majorBidi" w:hAnsiTheme="majorBidi" w:cstheme="majorBidi"/>
        </w:rPr>
        <w:t>paredzēts</w:t>
      </w:r>
      <w:proofErr w:type="spellEnd"/>
      <w:r w:rsidRPr="003F1F74">
        <w:rPr>
          <w:rFonts w:asciiTheme="majorBidi" w:hAnsiTheme="majorBidi" w:cstheme="majorBidi"/>
        </w:rPr>
        <w:t xml:space="preserve"> </w:t>
      </w:r>
      <w:proofErr w:type="spellStart"/>
      <w:r w:rsidRPr="003F1F74">
        <w:rPr>
          <w:rFonts w:asciiTheme="majorBidi" w:hAnsiTheme="majorBidi" w:cstheme="majorBidi"/>
        </w:rPr>
        <w:t>izmantot</w:t>
      </w:r>
      <w:proofErr w:type="spellEnd"/>
      <w:r w:rsidRPr="003F1F74">
        <w:rPr>
          <w:rFonts w:asciiTheme="majorBidi" w:hAnsiTheme="majorBidi" w:cstheme="majorBidi"/>
        </w:rPr>
        <w:t xml:space="preserve"> </w:t>
      </w:r>
      <w:proofErr w:type="spellStart"/>
      <w:r w:rsidRPr="003F1F74">
        <w:rPr>
          <w:rFonts w:asciiTheme="majorBidi" w:hAnsiTheme="majorBidi" w:cstheme="majorBidi"/>
        </w:rPr>
        <w:t>vairākās</w:t>
      </w:r>
      <w:proofErr w:type="spellEnd"/>
      <w:r w:rsidRPr="003F1F74">
        <w:rPr>
          <w:rFonts w:asciiTheme="majorBidi" w:hAnsiTheme="majorBidi" w:cstheme="majorBidi"/>
        </w:rPr>
        <w:t xml:space="preserve"> </w:t>
      </w:r>
      <w:proofErr w:type="spellStart"/>
      <w:proofErr w:type="gramStart"/>
      <w:r w:rsidRPr="003F1F74">
        <w:rPr>
          <w:rFonts w:asciiTheme="majorBidi" w:hAnsiTheme="majorBidi" w:cstheme="majorBidi"/>
        </w:rPr>
        <w:t>valstīs</w:t>
      </w:r>
      <w:proofErr w:type="spellEnd"/>
      <w:r w:rsidRPr="003F1F74">
        <w:rPr>
          <w:rFonts w:asciiTheme="majorBidi" w:hAnsiTheme="majorBidi" w:cstheme="majorBidi"/>
        </w:rPr>
        <w:t>;</w:t>
      </w:r>
      <w:proofErr w:type="gramEnd"/>
      <w:r w:rsidRPr="003F1F74">
        <w:rPr>
          <w:rFonts w:asciiTheme="majorBidi" w:hAnsiTheme="majorBidi" w:cstheme="majorBidi"/>
        </w:rPr>
        <w:t xml:space="preserve"> </w:t>
      </w:r>
    </w:p>
    <w:p w14:paraId="06FE0E8A" w14:textId="77777777" w:rsidR="00114953" w:rsidRPr="003F1F74" w:rsidRDefault="00114953" w:rsidP="00114953">
      <w:pPr>
        <w:jc w:val="both"/>
        <w:rPr>
          <w:rFonts w:asciiTheme="majorBidi" w:hAnsiTheme="majorBidi" w:cstheme="majorBidi"/>
        </w:rPr>
      </w:pPr>
    </w:p>
    <w:p w14:paraId="5B808A0A" w14:textId="77777777" w:rsidR="00114953" w:rsidRPr="003F1F74" w:rsidRDefault="00114953" w:rsidP="00114953">
      <w:pPr>
        <w:jc w:val="both"/>
        <w:rPr>
          <w:rFonts w:asciiTheme="majorBidi" w:hAnsiTheme="majorBidi" w:cstheme="majorBidi"/>
        </w:rPr>
      </w:pPr>
      <w:r w:rsidRPr="003F1F74">
        <w:rPr>
          <w:rFonts w:asciiTheme="majorBidi" w:hAnsiTheme="majorBidi" w:cstheme="majorBidi"/>
        </w:rPr>
        <w:t xml:space="preserve">2) </w:t>
      </w:r>
      <w:proofErr w:type="spellStart"/>
      <w:r w:rsidRPr="003F1F74">
        <w:rPr>
          <w:rFonts w:asciiTheme="majorBidi" w:hAnsiTheme="majorBidi" w:cstheme="majorBidi"/>
        </w:rPr>
        <w:t>ja</w:t>
      </w:r>
      <w:proofErr w:type="spellEnd"/>
      <w:r w:rsidRPr="003F1F74">
        <w:rPr>
          <w:rFonts w:asciiTheme="majorBidi" w:hAnsiTheme="majorBidi" w:cstheme="majorBidi"/>
        </w:rPr>
        <w:t xml:space="preserve"> </w:t>
      </w:r>
      <w:proofErr w:type="spellStart"/>
      <w:r w:rsidRPr="003F1F74">
        <w:rPr>
          <w:rFonts w:asciiTheme="majorBidi" w:hAnsiTheme="majorBidi" w:cstheme="majorBidi"/>
        </w:rPr>
        <w:t>ir</w:t>
      </w:r>
      <w:proofErr w:type="spellEnd"/>
      <w:r w:rsidRPr="003F1F74">
        <w:rPr>
          <w:rFonts w:asciiTheme="majorBidi" w:hAnsiTheme="majorBidi" w:cstheme="majorBidi"/>
        </w:rPr>
        <w:t xml:space="preserve"> </w:t>
      </w:r>
      <w:proofErr w:type="spellStart"/>
      <w:r w:rsidRPr="003F1F74">
        <w:rPr>
          <w:rFonts w:asciiTheme="majorBidi" w:hAnsiTheme="majorBidi" w:cstheme="majorBidi"/>
        </w:rPr>
        <w:t>situācija</w:t>
      </w:r>
      <w:proofErr w:type="spellEnd"/>
      <w:r w:rsidRPr="003F1F74">
        <w:rPr>
          <w:rFonts w:asciiTheme="majorBidi" w:hAnsiTheme="majorBidi" w:cstheme="majorBidi"/>
        </w:rPr>
        <w:t xml:space="preserve">, </w:t>
      </w:r>
      <w:proofErr w:type="spellStart"/>
      <w:r w:rsidRPr="003F1F74">
        <w:rPr>
          <w:rFonts w:asciiTheme="majorBidi" w:hAnsiTheme="majorBidi" w:cstheme="majorBidi"/>
        </w:rPr>
        <w:t>kurā</w:t>
      </w:r>
      <w:proofErr w:type="spellEnd"/>
      <w:r w:rsidRPr="003F1F74">
        <w:rPr>
          <w:rFonts w:asciiTheme="majorBidi" w:hAnsiTheme="majorBidi" w:cstheme="majorBidi"/>
        </w:rPr>
        <w:t xml:space="preserve"> </w:t>
      </w:r>
      <w:proofErr w:type="spellStart"/>
      <w:r w:rsidRPr="003F1F74">
        <w:rPr>
          <w:rFonts w:asciiTheme="majorBidi" w:hAnsiTheme="majorBidi" w:cstheme="majorBidi"/>
        </w:rPr>
        <w:t>grūti</w:t>
      </w:r>
      <w:proofErr w:type="spellEnd"/>
      <w:r w:rsidRPr="003F1F74">
        <w:rPr>
          <w:rFonts w:asciiTheme="majorBidi" w:hAnsiTheme="majorBidi" w:cstheme="majorBidi"/>
        </w:rPr>
        <w:t xml:space="preserve"> </w:t>
      </w:r>
      <w:proofErr w:type="spellStart"/>
      <w:r w:rsidRPr="003F1F74">
        <w:rPr>
          <w:rFonts w:asciiTheme="majorBidi" w:hAnsiTheme="majorBidi" w:cstheme="majorBidi"/>
        </w:rPr>
        <w:t>noteikt</w:t>
      </w:r>
      <w:proofErr w:type="spellEnd"/>
      <w:r w:rsidRPr="003F1F74">
        <w:rPr>
          <w:rFonts w:asciiTheme="majorBidi" w:hAnsiTheme="majorBidi" w:cstheme="majorBidi"/>
        </w:rPr>
        <w:t xml:space="preserve">, </w:t>
      </w:r>
      <w:proofErr w:type="spellStart"/>
      <w:r w:rsidRPr="003F1F74">
        <w:rPr>
          <w:rFonts w:asciiTheme="majorBidi" w:hAnsiTheme="majorBidi" w:cstheme="majorBidi"/>
        </w:rPr>
        <w:t>kuras</w:t>
      </w:r>
      <w:proofErr w:type="spellEnd"/>
      <w:r w:rsidRPr="003F1F74">
        <w:rPr>
          <w:rFonts w:asciiTheme="majorBidi" w:hAnsiTheme="majorBidi" w:cstheme="majorBidi"/>
        </w:rPr>
        <w:t xml:space="preserve"> </w:t>
      </w:r>
      <w:proofErr w:type="spellStart"/>
      <w:r w:rsidRPr="003F1F74">
        <w:rPr>
          <w:rFonts w:asciiTheme="majorBidi" w:hAnsiTheme="majorBidi" w:cstheme="majorBidi"/>
        </w:rPr>
        <w:t>valsts</w:t>
      </w:r>
      <w:proofErr w:type="spellEnd"/>
      <w:r w:rsidRPr="003F1F74">
        <w:rPr>
          <w:rFonts w:asciiTheme="majorBidi" w:hAnsiTheme="majorBidi" w:cstheme="majorBidi"/>
        </w:rPr>
        <w:t xml:space="preserve"> </w:t>
      </w:r>
      <w:proofErr w:type="spellStart"/>
      <w:r w:rsidRPr="003F1F74">
        <w:rPr>
          <w:rFonts w:asciiTheme="majorBidi" w:hAnsiTheme="majorBidi" w:cstheme="majorBidi"/>
        </w:rPr>
        <w:t>teritorijā</w:t>
      </w:r>
      <w:proofErr w:type="spellEnd"/>
      <w:r w:rsidRPr="003F1F74">
        <w:rPr>
          <w:rFonts w:asciiTheme="majorBidi" w:hAnsiTheme="majorBidi" w:cstheme="majorBidi"/>
        </w:rPr>
        <w:t xml:space="preserve"> </w:t>
      </w:r>
      <w:proofErr w:type="spellStart"/>
      <w:r w:rsidRPr="003F1F74">
        <w:rPr>
          <w:rFonts w:asciiTheme="majorBidi" w:hAnsiTheme="majorBidi" w:cstheme="majorBidi"/>
        </w:rPr>
        <w:t>ir</w:t>
      </w:r>
      <w:proofErr w:type="spellEnd"/>
      <w:r w:rsidRPr="003F1F74">
        <w:rPr>
          <w:rFonts w:asciiTheme="majorBidi" w:hAnsiTheme="majorBidi" w:cstheme="majorBidi"/>
        </w:rPr>
        <w:t xml:space="preserve"> </w:t>
      </w:r>
      <w:proofErr w:type="spellStart"/>
      <w:r w:rsidRPr="003F1F74">
        <w:rPr>
          <w:rFonts w:asciiTheme="majorBidi" w:hAnsiTheme="majorBidi" w:cstheme="majorBidi"/>
        </w:rPr>
        <w:t>saistību</w:t>
      </w:r>
      <w:proofErr w:type="spellEnd"/>
      <w:r w:rsidRPr="003F1F74">
        <w:rPr>
          <w:rFonts w:asciiTheme="majorBidi" w:hAnsiTheme="majorBidi" w:cstheme="majorBidi"/>
        </w:rPr>
        <w:t xml:space="preserve"> </w:t>
      </w:r>
      <w:proofErr w:type="spellStart"/>
      <w:r w:rsidRPr="003F1F74">
        <w:rPr>
          <w:rFonts w:asciiTheme="majorBidi" w:hAnsiTheme="majorBidi" w:cstheme="majorBidi"/>
        </w:rPr>
        <w:t>izpildes</w:t>
      </w:r>
      <w:proofErr w:type="spellEnd"/>
      <w:r w:rsidRPr="003F1F74">
        <w:rPr>
          <w:rFonts w:asciiTheme="majorBidi" w:hAnsiTheme="majorBidi" w:cstheme="majorBidi"/>
        </w:rPr>
        <w:t xml:space="preserve"> </w:t>
      </w:r>
      <w:proofErr w:type="spellStart"/>
      <w:r w:rsidRPr="003F1F74">
        <w:rPr>
          <w:rFonts w:asciiTheme="majorBidi" w:hAnsiTheme="majorBidi" w:cstheme="majorBidi"/>
        </w:rPr>
        <w:t>vieta</w:t>
      </w:r>
      <w:proofErr w:type="spellEnd"/>
      <w:r w:rsidRPr="003F1F74">
        <w:rPr>
          <w:rFonts w:asciiTheme="majorBidi" w:hAnsiTheme="majorBidi" w:cstheme="majorBidi"/>
        </w:rPr>
        <w:t xml:space="preserve"> (</w:t>
      </w:r>
      <w:proofErr w:type="spellStart"/>
      <w:r w:rsidRPr="003F1F74">
        <w:rPr>
          <w:rFonts w:asciiTheme="majorBidi" w:hAnsiTheme="majorBidi" w:cstheme="majorBidi"/>
        </w:rPr>
        <w:t>piemēram</w:t>
      </w:r>
      <w:proofErr w:type="spellEnd"/>
      <w:r w:rsidRPr="003F1F74">
        <w:rPr>
          <w:rFonts w:asciiTheme="majorBidi" w:hAnsiTheme="majorBidi" w:cstheme="majorBidi"/>
        </w:rPr>
        <w:t xml:space="preserve">, </w:t>
      </w:r>
      <w:proofErr w:type="spellStart"/>
      <w:r w:rsidRPr="003F1F74">
        <w:rPr>
          <w:rFonts w:asciiTheme="majorBidi" w:hAnsiTheme="majorBidi" w:cstheme="majorBidi"/>
        </w:rPr>
        <w:t>ja</w:t>
      </w:r>
      <w:proofErr w:type="spellEnd"/>
      <w:r w:rsidRPr="003F1F74">
        <w:rPr>
          <w:rFonts w:asciiTheme="majorBidi" w:hAnsiTheme="majorBidi" w:cstheme="majorBidi"/>
        </w:rPr>
        <w:t xml:space="preserve"> </w:t>
      </w:r>
      <w:proofErr w:type="spellStart"/>
      <w:r w:rsidRPr="003F1F74">
        <w:rPr>
          <w:rFonts w:asciiTheme="majorBidi" w:hAnsiTheme="majorBidi" w:cstheme="majorBidi"/>
        </w:rPr>
        <w:t>komunikācija</w:t>
      </w:r>
      <w:proofErr w:type="spellEnd"/>
      <w:r w:rsidRPr="003F1F74">
        <w:rPr>
          <w:rFonts w:asciiTheme="majorBidi" w:hAnsiTheme="majorBidi" w:cstheme="majorBidi"/>
        </w:rPr>
        <w:t xml:space="preserve"> </w:t>
      </w:r>
      <w:proofErr w:type="spellStart"/>
      <w:r w:rsidRPr="003F1F74">
        <w:rPr>
          <w:rFonts w:asciiTheme="majorBidi" w:hAnsiTheme="majorBidi" w:cstheme="majorBidi"/>
        </w:rPr>
        <w:t>notiek</w:t>
      </w:r>
      <w:proofErr w:type="spellEnd"/>
      <w:r w:rsidRPr="003F1F74">
        <w:rPr>
          <w:rFonts w:asciiTheme="majorBidi" w:hAnsiTheme="majorBidi" w:cstheme="majorBidi"/>
        </w:rPr>
        <w:t xml:space="preserve"> </w:t>
      </w:r>
      <w:proofErr w:type="spellStart"/>
      <w:r w:rsidRPr="003F1F74">
        <w:rPr>
          <w:rFonts w:asciiTheme="majorBidi" w:hAnsiTheme="majorBidi" w:cstheme="majorBidi"/>
        </w:rPr>
        <w:t>pa</w:t>
      </w:r>
      <w:proofErr w:type="spellEnd"/>
      <w:r w:rsidRPr="003F1F74">
        <w:rPr>
          <w:rFonts w:asciiTheme="majorBidi" w:hAnsiTheme="majorBidi" w:cstheme="majorBidi"/>
        </w:rPr>
        <w:t xml:space="preserve"> </w:t>
      </w:r>
      <w:proofErr w:type="spellStart"/>
      <w:r w:rsidRPr="003F1F74">
        <w:rPr>
          <w:rFonts w:asciiTheme="majorBidi" w:hAnsiTheme="majorBidi" w:cstheme="majorBidi"/>
        </w:rPr>
        <w:t>pastu</w:t>
      </w:r>
      <w:proofErr w:type="spellEnd"/>
      <w:r w:rsidRPr="003F1F74">
        <w:rPr>
          <w:rFonts w:asciiTheme="majorBidi" w:hAnsiTheme="majorBidi" w:cstheme="majorBidi"/>
        </w:rPr>
        <w:t>, e-</w:t>
      </w:r>
      <w:proofErr w:type="spellStart"/>
      <w:r w:rsidRPr="003F1F74">
        <w:rPr>
          <w:rFonts w:asciiTheme="majorBidi" w:hAnsiTheme="majorBidi" w:cstheme="majorBidi"/>
        </w:rPr>
        <w:t>pastu</w:t>
      </w:r>
      <w:proofErr w:type="spellEnd"/>
      <w:r w:rsidRPr="003F1F74">
        <w:rPr>
          <w:rFonts w:asciiTheme="majorBidi" w:hAnsiTheme="majorBidi" w:cstheme="majorBidi"/>
        </w:rPr>
        <w:t xml:space="preserve">, </w:t>
      </w:r>
      <w:proofErr w:type="spellStart"/>
      <w:r w:rsidRPr="003F1F74">
        <w:rPr>
          <w:rFonts w:asciiTheme="majorBidi" w:hAnsiTheme="majorBidi" w:cstheme="majorBidi"/>
        </w:rPr>
        <w:t>telefaksu</w:t>
      </w:r>
      <w:proofErr w:type="spellEnd"/>
      <w:proofErr w:type="gramStart"/>
      <w:r w:rsidRPr="003F1F74">
        <w:rPr>
          <w:rFonts w:asciiTheme="majorBidi" w:hAnsiTheme="majorBidi" w:cstheme="majorBidi"/>
        </w:rPr>
        <w:t>);</w:t>
      </w:r>
      <w:proofErr w:type="gramEnd"/>
    </w:p>
    <w:p w14:paraId="6D3C8D87" w14:textId="77777777" w:rsidR="00114953" w:rsidRPr="003F1F74" w:rsidRDefault="00114953" w:rsidP="00114953">
      <w:pPr>
        <w:jc w:val="both"/>
        <w:rPr>
          <w:rFonts w:asciiTheme="majorBidi" w:hAnsiTheme="majorBidi" w:cstheme="majorBidi"/>
        </w:rPr>
      </w:pPr>
    </w:p>
    <w:p w14:paraId="470E6376" w14:textId="77777777" w:rsidR="00114953" w:rsidRDefault="00114953" w:rsidP="00114953">
      <w:pPr>
        <w:jc w:val="both"/>
        <w:rPr>
          <w:rFonts w:asciiTheme="majorBidi" w:hAnsiTheme="majorBidi" w:cstheme="majorBidi"/>
        </w:rPr>
      </w:pPr>
      <w:r w:rsidRPr="003F1F74">
        <w:rPr>
          <w:rFonts w:asciiTheme="majorBidi" w:hAnsiTheme="majorBidi" w:cstheme="majorBidi"/>
        </w:rPr>
        <w:t xml:space="preserve">3) </w:t>
      </w:r>
      <w:proofErr w:type="spellStart"/>
      <w:r w:rsidRPr="003F1F74">
        <w:rPr>
          <w:rFonts w:asciiTheme="majorBidi" w:hAnsiTheme="majorBidi" w:cstheme="majorBidi"/>
        </w:rPr>
        <w:t>ja</w:t>
      </w:r>
      <w:proofErr w:type="spellEnd"/>
      <w:r w:rsidRPr="003F1F74">
        <w:rPr>
          <w:rFonts w:asciiTheme="majorBidi" w:hAnsiTheme="majorBidi" w:cstheme="majorBidi"/>
        </w:rPr>
        <w:t xml:space="preserve"> </w:t>
      </w:r>
      <w:proofErr w:type="spellStart"/>
      <w:r w:rsidRPr="003F1F74">
        <w:rPr>
          <w:rFonts w:asciiTheme="majorBidi" w:hAnsiTheme="majorBidi" w:cstheme="majorBidi"/>
        </w:rPr>
        <w:t>pilnvarniekam</w:t>
      </w:r>
      <w:proofErr w:type="spellEnd"/>
      <w:r w:rsidRPr="003F1F74">
        <w:rPr>
          <w:rFonts w:asciiTheme="majorBidi" w:hAnsiTheme="majorBidi" w:cstheme="majorBidi"/>
        </w:rPr>
        <w:t xml:space="preserve"> var </w:t>
      </w:r>
      <w:proofErr w:type="spellStart"/>
      <w:r w:rsidRPr="003F1F74">
        <w:rPr>
          <w:rFonts w:asciiTheme="majorBidi" w:hAnsiTheme="majorBidi" w:cstheme="majorBidi"/>
        </w:rPr>
        <w:t>nākties</w:t>
      </w:r>
      <w:proofErr w:type="spellEnd"/>
      <w:r w:rsidRPr="003F1F74">
        <w:rPr>
          <w:rFonts w:asciiTheme="majorBidi" w:hAnsiTheme="majorBidi" w:cstheme="majorBidi"/>
        </w:rPr>
        <w:t xml:space="preserve"> </w:t>
      </w:r>
      <w:proofErr w:type="spellStart"/>
      <w:r w:rsidRPr="003F1F74">
        <w:rPr>
          <w:rFonts w:asciiTheme="majorBidi" w:hAnsiTheme="majorBidi" w:cstheme="majorBidi"/>
        </w:rPr>
        <w:t>rīkoties</w:t>
      </w:r>
      <w:proofErr w:type="spellEnd"/>
      <w:r w:rsidRPr="003F1F74">
        <w:rPr>
          <w:rFonts w:asciiTheme="majorBidi" w:hAnsiTheme="majorBidi" w:cstheme="majorBidi"/>
        </w:rPr>
        <w:t xml:space="preserve"> </w:t>
      </w:r>
      <w:proofErr w:type="spellStart"/>
      <w:r w:rsidRPr="003F1F74">
        <w:rPr>
          <w:rFonts w:asciiTheme="majorBidi" w:hAnsiTheme="majorBidi" w:cstheme="majorBidi"/>
        </w:rPr>
        <w:t>valstī</w:t>
      </w:r>
      <w:proofErr w:type="spellEnd"/>
      <w:r w:rsidRPr="003F1F74">
        <w:rPr>
          <w:rFonts w:asciiTheme="majorBidi" w:hAnsiTheme="majorBidi" w:cstheme="majorBidi"/>
        </w:rPr>
        <w:t xml:space="preserve">, kuru </w:t>
      </w:r>
      <w:proofErr w:type="spellStart"/>
      <w:r w:rsidRPr="003F1F74">
        <w:rPr>
          <w:rFonts w:asciiTheme="majorBidi" w:hAnsiTheme="majorBidi" w:cstheme="majorBidi"/>
        </w:rPr>
        <w:t>pilnvaras</w:t>
      </w:r>
      <w:proofErr w:type="spellEnd"/>
      <w:r w:rsidRPr="003F1F74">
        <w:rPr>
          <w:rFonts w:asciiTheme="majorBidi" w:hAnsiTheme="majorBidi" w:cstheme="majorBidi"/>
        </w:rPr>
        <w:t xml:space="preserve"> </w:t>
      </w:r>
      <w:proofErr w:type="spellStart"/>
      <w:r w:rsidRPr="003F1F74">
        <w:rPr>
          <w:rFonts w:asciiTheme="majorBidi" w:hAnsiTheme="majorBidi" w:cstheme="majorBidi"/>
        </w:rPr>
        <w:t>devējs</w:t>
      </w:r>
      <w:proofErr w:type="spellEnd"/>
      <w:r w:rsidRPr="003F1F74">
        <w:rPr>
          <w:rFonts w:asciiTheme="majorBidi" w:hAnsiTheme="majorBidi" w:cstheme="majorBidi"/>
        </w:rPr>
        <w:t xml:space="preserve"> </w:t>
      </w:r>
      <w:proofErr w:type="spellStart"/>
      <w:r w:rsidRPr="003F1F74">
        <w:rPr>
          <w:rFonts w:asciiTheme="majorBidi" w:hAnsiTheme="majorBidi" w:cstheme="majorBidi"/>
        </w:rPr>
        <w:t>iepriekš</w:t>
      </w:r>
      <w:proofErr w:type="spellEnd"/>
      <w:r w:rsidRPr="003F1F74">
        <w:rPr>
          <w:rFonts w:asciiTheme="majorBidi" w:hAnsiTheme="majorBidi" w:cstheme="majorBidi"/>
        </w:rPr>
        <w:t xml:space="preserve"> </w:t>
      </w:r>
      <w:proofErr w:type="spellStart"/>
      <w:r w:rsidRPr="003F1F74">
        <w:rPr>
          <w:rFonts w:asciiTheme="majorBidi" w:hAnsiTheme="majorBidi" w:cstheme="majorBidi"/>
        </w:rPr>
        <w:t>nevarēja</w:t>
      </w:r>
      <w:proofErr w:type="spellEnd"/>
      <w:r w:rsidRPr="003F1F74">
        <w:rPr>
          <w:rFonts w:asciiTheme="majorBidi" w:hAnsiTheme="majorBidi" w:cstheme="majorBidi"/>
        </w:rPr>
        <w:t xml:space="preserve"> </w:t>
      </w:r>
      <w:proofErr w:type="spellStart"/>
      <w:r w:rsidRPr="003F1F74">
        <w:rPr>
          <w:rFonts w:asciiTheme="majorBidi" w:hAnsiTheme="majorBidi" w:cstheme="majorBidi"/>
        </w:rPr>
        <w:t>paredzēt</w:t>
      </w:r>
      <w:proofErr w:type="spellEnd"/>
      <w:r w:rsidRPr="003F1F74">
        <w:rPr>
          <w:rFonts w:asciiTheme="majorBidi" w:hAnsiTheme="majorBidi" w:cstheme="majorBidi"/>
        </w:rPr>
        <w:t xml:space="preserve"> </w:t>
      </w:r>
      <w:proofErr w:type="spellStart"/>
      <w:r w:rsidRPr="003F1F74">
        <w:rPr>
          <w:rFonts w:asciiTheme="majorBidi" w:hAnsiTheme="majorBidi" w:cstheme="majorBidi"/>
        </w:rPr>
        <w:t>kā</w:t>
      </w:r>
      <w:proofErr w:type="spellEnd"/>
      <w:r w:rsidRPr="003F1F74">
        <w:rPr>
          <w:rFonts w:asciiTheme="majorBidi" w:hAnsiTheme="majorBidi" w:cstheme="majorBidi"/>
        </w:rPr>
        <w:t xml:space="preserve"> </w:t>
      </w:r>
      <w:proofErr w:type="spellStart"/>
      <w:r w:rsidRPr="003F1F74">
        <w:rPr>
          <w:rFonts w:asciiTheme="majorBidi" w:hAnsiTheme="majorBidi" w:cstheme="majorBidi"/>
        </w:rPr>
        <w:t>saistību</w:t>
      </w:r>
      <w:proofErr w:type="spellEnd"/>
      <w:r w:rsidRPr="003F1F74">
        <w:rPr>
          <w:rFonts w:asciiTheme="majorBidi" w:hAnsiTheme="majorBidi" w:cstheme="majorBidi"/>
        </w:rPr>
        <w:t xml:space="preserve"> </w:t>
      </w:r>
      <w:proofErr w:type="spellStart"/>
      <w:r w:rsidRPr="003F1F74">
        <w:rPr>
          <w:rFonts w:asciiTheme="majorBidi" w:hAnsiTheme="majorBidi" w:cstheme="majorBidi"/>
        </w:rPr>
        <w:t>izpildes</w:t>
      </w:r>
      <w:proofErr w:type="spellEnd"/>
      <w:r w:rsidRPr="003F1F74">
        <w:rPr>
          <w:rFonts w:asciiTheme="majorBidi" w:hAnsiTheme="majorBidi" w:cstheme="majorBidi"/>
        </w:rPr>
        <w:t xml:space="preserve"> </w:t>
      </w:r>
      <w:proofErr w:type="spellStart"/>
      <w:r w:rsidRPr="003F1F74">
        <w:rPr>
          <w:rFonts w:asciiTheme="majorBidi" w:hAnsiTheme="majorBidi" w:cstheme="majorBidi"/>
        </w:rPr>
        <w:t>vietu</w:t>
      </w:r>
      <w:proofErr w:type="spellEnd"/>
      <w:r w:rsidRPr="003F1F74">
        <w:rPr>
          <w:rFonts w:asciiTheme="majorBidi" w:hAnsiTheme="majorBidi" w:cstheme="majorBidi"/>
        </w:rPr>
        <w:t>.</w:t>
      </w:r>
      <w:r w:rsidRPr="003F1F74">
        <w:rPr>
          <w:rStyle w:val="FootnoteReference"/>
          <w:rFonts w:asciiTheme="majorBidi" w:hAnsiTheme="majorBidi" w:cstheme="majorBidi"/>
        </w:rPr>
        <w:footnoteReference w:id="50"/>
      </w:r>
    </w:p>
    <w:p w14:paraId="0E0A839B" w14:textId="77777777" w:rsidR="00114953" w:rsidRPr="003F1F74" w:rsidRDefault="00114953" w:rsidP="00114953">
      <w:pPr>
        <w:jc w:val="both"/>
        <w:rPr>
          <w:rFonts w:asciiTheme="majorBidi" w:hAnsiTheme="majorBidi" w:cstheme="majorBidi"/>
        </w:rPr>
      </w:pPr>
    </w:p>
    <w:p w14:paraId="44678DB3" w14:textId="460C5DA9" w:rsidR="00114953" w:rsidRPr="00565D81" w:rsidRDefault="00114953" w:rsidP="00114953">
      <w:pPr>
        <w:ind w:firstLine="708"/>
        <w:jc w:val="both"/>
        <w:rPr>
          <w:rFonts w:asciiTheme="majorBidi" w:hAnsiTheme="majorBidi" w:cstheme="majorBidi"/>
        </w:rPr>
      </w:pPr>
      <w:proofErr w:type="spellStart"/>
      <w:r w:rsidRPr="003F1F74">
        <w:rPr>
          <w:rFonts w:asciiTheme="majorBidi" w:hAnsiTheme="majorBidi" w:cstheme="majorBidi"/>
        </w:rPr>
        <w:t>Taču</w:t>
      </w:r>
      <w:proofErr w:type="spellEnd"/>
      <w:r w:rsidRPr="003F1F74">
        <w:rPr>
          <w:rFonts w:asciiTheme="majorBidi" w:hAnsiTheme="majorBidi" w:cstheme="majorBidi"/>
        </w:rPr>
        <w:t xml:space="preserve"> </w:t>
      </w:r>
      <w:proofErr w:type="spellStart"/>
      <w:r w:rsidRPr="003F1F74">
        <w:rPr>
          <w:rFonts w:asciiTheme="majorBidi" w:hAnsiTheme="majorBidi" w:cstheme="majorBidi"/>
        </w:rPr>
        <w:t>ir</w:t>
      </w:r>
      <w:proofErr w:type="spellEnd"/>
      <w:r w:rsidRPr="003F1F74">
        <w:rPr>
          <w:rFonts w:asciiTheme="majorBidi" w:hAnsiTheme="majorBidi" w:cstheme="majorBidi"/>
        </w:rPr>
        <w:t xml:space="preserve"> </w:t>
      </w:r>
      <w:proofErr w:type="spellStart"/>
      <w:r w:rsidRPr="003F1F74">
        <w:rPr>
          <w:rFonts w:asciiTheme="majorBidi" w:hAnsiTheme="majorBidi" w:cstheme="majorBidi"/>
        </w:rPr>
        <w:t>arī</w:t>
      </w:r>
      <w:proofErr w:type="spellEnd"/>
      <w:r w:rsidRPr="003F1F74">
        <w:rPr>
          <w:rFonts w:asciiTheme="majorBidi" w:hAnsiTheme="majorBidi" w:cstheme="majorBidi"/>
        </w:rPr>
        <w:t xml:space="preserve"> </w:t>
      </w:r>
      <w:proofErr w:type="spellStart"/>
      <w:r w:rsidRPr="003F1F74">
        <w:rPr>
          <w:rFonts w:asciiTheme="majorBidi" w:hAnsiTheme="majorBidi" w:cstheme="majorBidi"/>
          <w:b/>
        </w:rPr>
        <w:t>speciālie</w:t>
      </w:r>
      <w:proofErr w:type="spellEnd"/>
      <w:r w:rsidRPr="003F1F74">
        <w:rPr>
          <w:rFonts w:asciiTheme="majorBidi" w:hAnsiTheme="majorBidi" w:cstheme="majorBidi"/>
        </w:rPr>
        <w:t xml:space="preserve"> </w:t>
      </w:r>
      <w:proofErr w:type="spellStart"/>
      <w:r w:rsidRPr="003F1F74">
        <w:rPr>
          <w:rFonts w:asciiTheme="majorBidi" w:hAnsiTheme="majorBidi" w:cstheme="majorBidi"/>
          <w:b/>
          <w:bCs/>
        </w:rPr>
        <w:t>izņēmuma</w:t>
      </w:r>
      <w:proofErr w:type="spellEnd"/>
      <w:r w:rsidRPr="003F1F74">
        <w:rPr>
          <w:rFonts w:asciiTheme="majorBidi" w:hAnsiTheme="majorBidi" w:cstheme="majorBidi"/>
          <w:b/>
          <w:bCs/>
        </w:rPr>
        <w:t xml:space="preserve"> </w:t>
      </w:r>
      <w:proofErr w:type="spellStart"/>
      <w:r w:rsidRPr="003F1F74">
        <w:rPr>
          <w:rFonts w:asciiTheme="majorBidi" w:hAnsiTheme="majorBidi" w:cstheme="majorBidi"/>
          <w:b/>
          <w:bCs/>
        </w:rPr>
        <w:t>gadījumi</w:t>
      </w:r>
      <w:proofErr w:type="spellEnd"/>
      <w:r w:rsidRPr="003F1F74">
        <w:rPr>
          <w:rFonts w:asciiTheme="majorBidi" w:hAnsiTheme="majorBidi" w:cstheme="majorBidi"/>
        </w:rPr>
        <w:t xml:space="preserve">, </w:t>
      </w:r>
      <w:proofErr w:type="spellStart"/>
      <w:r w:rsidRPr="003F1F74">
        <w:rPr>
          <w:rFonts w:asciiTheme="majorBidi" w:hAnsiTheme="majorBidi" w:cstheme="majorBidi"/>
        </w:rPr>
        <w:t>kuros</w:t>
      </w:r>
      <w:proofErr w:type="spellEnd"/>
      <w:r w:rsidRPr="003F1F74">
        <w:rPr>
          <w:rFonts w:asciiTheme="majorBidi" w:hAnsiTheme="majorBidi" w:cstheme="majorBidi"/>
        </w:rPr>
        <w:t xml:space="preserve"> </w:t>
      </w:r>
      <w:proofErr w:type="spellStart"/>
      <w:r w:rsidRPr="00BA7F97">
        <w:rPr>
          <w:rFonts w:asciiTheme="majorBidi" w:hAnsiTheme="majorBidi" w:cstheme="majorBidi"/>
        </w:rPr>
        <w:t>pilnvaras</w:t>
      </w:r>
      <w:proofErr w:type="spellEnd"/>
      <w:r w:rsidRPr="00BA7F97">
        <w:rPr>
          <w:rFonts w:asciiTheme="majorBidi" w:hAnsiTheme="majorBidi" w:cstheme="majorBidi"/>
        </w:rPr>
        <w:t xml:space="preserve"> </w:t>
      </w:r>
      <w:r w:rsidRPr="00BA7F97">
        <w:rPr>
          <w:rFonts w:asciiTheme="majorBidi" w:hAnsiTheme="majorBidi" w:cstheme="majorBidi"/>
          <w:u w:val="single"/>
        </w:rPr>
        <w:t>formai</w:t>
      </w:r>
      <w:r w:rsidRPr="003F1F74">
        <w:rPr>
          <w:rFonts w:asciiTheme="majorBidi" w:hAnsiTheme="majorBidi" w:cstheme="majorBidi"/>
          <w:u w:val="single"/>
        </w:rPr>
        <w:t xml:space="preserve"> un </w:t>
      </w:r>
      <w:proofErr w:type="spellStart"/>
      <w:r w:rsidRPr="003F1F74">
        <w:rPr>
          <w:rFonts w:asciiTheme="majorBidi" w:hAnsiTheme="majorBidi" w:cstheme="majorBidi"/>
          <w:u w:val="single"/>
        </w:rPr>
        <w:t>saturam</w:t>
      </w:r>
      <w:proofErr w:type="spellEnd"/>
      <w:r w:rsidRPr="003F1F74">
        <w:rPr>
          <w:rFonts w:asciiTheme="majorBidi" w:hAnsiTheme="majorBidi" w:cstheme="majorBidi"/>
        </w:rPr>
        <w:t xml:space="preserve"> </w:t>
      </w:r>
      <w:proofErr w:type="spellStart"/>
      <w:r w:rsidRPr="003F1F74">
        <w:rPr>
          <w:rFonts w:asciiTheme="majorBidi" w:hAnsiTheme="majorBidi" w:cstheme="majorBidi"/>
        </w:rPr>
        <w:t>piemēro</w:t>
      </w:r>
      <w:proofErr w:type="spellEnd"/>
      <w:r w:rsidRPr="003F1F74">
        <w:rPr>
          <w:rFonts w:asciiTheme="majorBidi" w:hAnsiTheme="majorBidi" w:cstheme="majorBidi"/>
        </w:rPr>
        <w:t xml:space="preserve"> </w:t>
      </w:r>
      <w:proofErr w:type="spellStart"/>
      <w:r w:rsidRPr="003F1F74">
        <w:rPr>
          <w:rFonts w:asciiTheme="majorBidi" w:hAnsiTheme="majorBidi" w:cstheme="majorBidi"/>
        </w:rPr>
        <w:t>tās</w:t>
      </w:r>
      <w:proofErr w:type="spellEnd"/>
      <w:r w:rsidRPr="003F1F74">
        <w:rPr>
          <w:rFonts w:asciiTheme="majorBidi" w:hAnsiTheme="majorBidi" w:cstheme="majorBidi"/>
        </w:rPr>
        <w:t xml:space="preserve"> </w:t>
      </w:r>
      <w:proofErr w:type="spellStart"/>
      <w:r w:rsidRPr="003F1F74">
        <w:rPr>
          <w:rFonts w:asciiTheme="majorBidi" w:hAnsiTheme="majorBidi" w:cstheme="majorBidi"/>
        </w:rPr>
        <w:t>valsts</w:t>
      </w:r>
      <w:proofErr w:type="spellEnd"/>
      <w:r w:rsidRPr="003F1F74">
        <w:rPr>
          <w:rFonts w:asciiTheme="majorBidi" w:hAnsiTheme="majorBidi" w:cstheme="majorBidi"/>
        </w:rPr>
        <w:t xml:space="preserve"> </w:t>
      </w:r>
      <w:proofErr w:type="spellStart"/>
      <w:r w:rsidRPr="003F1F74">
        <w:rPr>
          <w:rFonts w:asciiTheme="majorBidi" w:hAnsiTheme="majorBidi" w:cstheme="majorBidi"/>
        </w:rPr>
        <w:t>likumu</w:t>
      </w:r>
      <w:proofErr w:type="spellEnd"/>
      <w:r w:rsidRPr="003F1F74">
        <w:rPr>
          <w:rFonts w:asciiTheme="majorBidi" w:hAnsiTheme="majorBidi" w:cstheme="majorBidi"/>
        </w:rPr>
        <w:t xml:space="preserve">, </w:t>
      </w:r>
      <w:proofErr w:type="spellStart"/>
      <w:r w:rsidRPr="003F1F74">
        <w:rPr>
          <w:rFonts w:asciiTheme="majorBidi" w:hAnsiTheme="majorBidi" w:cstheme="majorBidi"/>
        </w:rPr>
        <w:t>kuras</w:t>
      </w:r>
      <w:proofErr w:type="spellEnd"/>
      <w:r w:rsidRPr="003F1F74">
        <w:rPr>
          <w:rFonts w:asciiTheme="majorBidi" w:hAnsiTheme="majorBidi" w:cstheme="majorBidi"/>
        </w:rPr>
        <w:t xml:space="preserve"> </w:t>
      </w:r>
      <w:proofErr w:type="spellStart"/>
      <w:r w:rsidRPr="003F1F74">
        <w:rPr>
          <w:rFonts w:asciiTheme="majorBidi" w:hAnsiTheme="majorBidi" w:cstheme="majorBidi"/>
        </w:rPr>
        <w:t>teritorijā</w:t>
      </w:r>
      <w:proofErr w:type="spellEnd"/>
      <w:r w:rsidRPr="003F1F74">
        <w:rPr>
          <w:rFonts w:asciiTheme="majorBidi" w:hAnsiTheme="majorBidi" w:cstheme="majorBidi"/>
        </w:rPr>
        <w:t xml:space="preserve"> </w:t>
      </w:r>
      <w:proofErr w:type="spellStart"/>
      <w:r w:rsidRPr="003F1F74">
        <w:rPr>
          <w:rFonts w:asciiTheme="majorBidi" w:hAnsiTheme="majorBidi" w:cstheme="majorBidi"/>
        </w:rPr>
        <w:t>koncentrējas</w:t>
      </w:r>
      <w:proofErr w:type="spellEnd"/>
      <w:r w:rsidRPr="003F1F74">
        <w:rPr>
          <w:rFonts w:asciiTheme="majorBidi" w:hAnsiTheme="majorBidi" w:cstheme="majorBidi"/>
        </w:rPr>
        <w:t xml:space="preserve"> </w:t>
      </w:r>
      <w:proofErr w:type="spellStart"/>
      <w:r w:rsidRPr="003F1F74">
        <w:rPr>
          <w:rFonts w:asciiTheme="majorBidi" w:hAnsiTheme="majorBidi" w:cstheme="majorBidi"/>
        </w:rPr>
        <w:t>pilnvarā</w:t>
      </w:r>
      <w:proofErr w:type="spellEnd"/>
      <w:r w:rsidRPr="003F1F74">
        <w:rPr>
          <w:rFonts w:asciiTheme="majorBidi" w:hAnsiTheme="majorBidi" w:cstheme="majorBidi"/>
        </w:rPr>
        <w:t xml:space="preserve"> </w:t>
      </w:r>
      <w:proofErr w:type="spellStart"/>
      <w:r w:rsidRPr="003F1F74">
        <w:rPr>
          <w:rFonts w:asciiTheme="majorBidi" w:hAnsiTheme="majorBidi" w:cstheme="majorBidi"/>
        </w:rPr>
        <w:t>norādīto</w:t>
      </w:r>
      <w:proofErr w:type="spellEnd"/>
      <w:r w:rsidRPr="003F1F74">
        <w:rPr>
          <w:rFonts w:asciiTheme="majorBidi" w:hAnsiTheme="majorBidi" w:cstheme="majorBidi"/>
        </w:rPr>
        <w:t xml:space="preserve"> </w:t>
      </w:r>
      <w:proofErr w:type="spellStart"/>
      <w:r w:rsidRPr="003F1F74">
        <w:rPr>
          <w:rFonts w:asciiTheme="majorBidi" w:hAnsiTheme="majorBidi" w:cstheme="majorBidi"/>
        </w:rPr>
        <w:t>tiesisko</w:t>
      </w:r>
      <w:proofErr w:type="spellEnd"/>
      <w:r w:rsidRPr="003F1F74">
        <w:rPr>
          <w:rFonts w:asciiTheme="majorBidi" w:hAnsiTheme="majorBidi" w:cstheme="majorBidi"/>
        </w:rPr>
        <w:t xml:space="preserve"> </w:t>
      </w:r>
      <w:proofErr w:type="spellStart"/>
      <w:r w:rsidRPr="003F1F74">
        <w:rPr>
          <w:rFonts w:asciiTheme="majorBidi" w:hAnsiTheme="majorBidi" w:cstheme="majorBidi"/>
        </w:rPr>
        <w:t>darbību</w:t>
      </w:r>
      <w:proofErr w:type="spellEnd"/>
      <w:r w:rsidRPr="003F1F74">
        <w:rPr>
          <w:rFonts w:asciiTheme="majorBidi" w:hAnsiTheme="majorBidi" w:cstheme="majorBidi"/>
        </w:rPr>
        <w:t xml:space="preserve"> </w:t>
      </w:r>
      <w:proofErr w:type="spellStart"/>
      <w:r w:rsidRPr="003F1F74">
        <w:rPr>
          <w:rFonts w:asciiTheme="majorBidi" w:hAnsiTheme="majorBidi" w:cstheme="majorBidi"/>
        </w:rPr>
        <w:t>smaguma</w:t>
      </w:r>
      <w:proofErr w:type="spellEnd"/>
      <w:r w:rsidRPr="003F1F74">
        <w:rPr>
          <w:rFonts w:asciiTheme="majorBidi" w:hAnsiTheme="majorBidi" w:cstheme="majorBidi"/>
        </w:rPr>
        <w:t xml:space="preserve"> </w:t>
      </w:r>
      <w:proofErr w:type="spellStart"/>
      <w:r w:rsidRPr="003F1F74">
        <w:rPr>
          <w:rFonts w:asciiTheme="majorBidi" w:hAnsiTheme="majorBidi" w:cstheme="majorBidi"/>
        </w:rPr>
        <w:t>centrs</w:t>
      </w:r>
      <w:proofErr w:type="spellEnd"/>
      <w:r w:rsidRPr="003F1F74">
        <w:rPr>
          <w:rFonts w:asciiTheme="majorBidi" w:hAnsiTheme="majorBidi" w:cstheme="majorBidi"/>
        </w:rPr>
        <w:t xml:space="preserve">. </w:t>
      </w:r>
      <w:proofErr w:type="spellStart"/>
      <w:r w:rsidRPr="003F1F74">
        <w:rPr>
          <w:rFonts w:asciiTheme="majorBidi" w:hAnsiTheme="majorBidi" w:cstheme="majorBidi"/>
        </w:rPr>
        <w:t>Piemēram</w:t>
      </w:r>
      <w:proofErr w:type="spellEnd"/>
      <w:r w:rsidRPr="003F1F74">
        <w:rPr>
          <w:rFonts w:asciiTheme="majorBidi" w:hAnsiTheme="majorBidi" w:cstheme="majorBidi"/>
        </w:rPr>
        <w:t xml:space="preserve">, </w:t>
      </w:r>
      <w:proofErr w:type="spellStart"/>
      <w:r w:rsidRPr="003F1F74">
        <w:rPr>
          <w:rFonts w:asciiTheme="majorBidi" w:hAnsiTheme="majorBidi" w:cstheme="majorBidi"/>
        </w:rPr>
        <w:t>pilnvarām</w:t>
      </w:r>
      <w:proofErr w:type="spellEnd"/>
      <w:r w:rsidRPr="003F1F74">
        <w:rPr>
          <w:rFonts w:asciiTheme="majorBidi" w:hAnsiTheme="majorBidi" w:cstheme="majorBidi"/>
        </w:rPr>
        <w:t xml:space="preserve"> </w:t>
      </w:r>
      <w:proofErr w:type="spellStart"/>
      <w:r w:rsidRPr="003F1F74">
        <w:rPr>
          <w:rFonts w:asciiTheme="majorBidi" w:hAnsiTheme="majorBidi" w:cstheme="majorBidi"/>
        </w:rPr>
        <w:t>attiecībā</w:t>
      </w:r>
      <w:proofErr w:type="spellEnd"/>
      <w:r w:rsidRPr="003F1F74">
        <w:rPr>
          <w:rFonts w:asciiTheme="majorBidi" w:hAnsiTheme="majorBidi" w:cstheme="majorBidi"/>
        </w:rPr>
        <w:t xml:space="preserve"> </w:t>
      </w:r>
      <w:proofErr w:type="spellStart"/>
      <w:r w:rsidRPr="003F1F74">
        <w:rPr>
          <w:rFonts w:asciiTheme="majorBidi" w:hAnsiTheme="majorBidi" w:cstheme="majorBidi"/>
        </w:rPr>
        <w:t>uz</w:t>
      </w:r>
      <w:proofErr w:type="spellEnd"/>
      <w:r w:rsidRPr="003F1F74">
        <w:rPr>
          <w:rFonts w:asciiTheme="majorBidi" w:hAnsiTheme="majorBidi" w:cstheme="majorBidi"/>
        </w:rPr>
        <w:t xml:space="preserve"> </w:t>
      </w:r>
      <w:proofErr w:type="spellStart"/>
      <w:r w:rsidRPr="003F1F74">
        <w:rPr>
          <w:rFonts w:asciiTheme="majorBidi" w:hAnsiTheme="majorBidi" w:cstheme="majorBidi"/>
        </w:rPr>
        <w:t>darbībām</w:t>
      </w:r>
      <w:proofErr w:type="spellEnd"/>
      <w:r w:rsidRPr="003F1F74">
        <w:rPr>
          <w:rFonts w:asciiTheme="majorBidi" w:hAnsiTheme="majorBidi" w:cstheme="majorBidi"/>
        </w:rPr>
        <w:t xml:space="preserve"> </w:t>
      </w:r>
      <w:proofErr w:type="spellStart"/>
      <w:r w:rsidRPr="003F1F74">
        <w:rPr>
          <w:rFonts w:asciiTheme="majorBidi" w:hAnsiTheme="majorBidi" w:cstheme="majorBidi"/>
        </w:rPr>
        <w:t>ar</w:t>
      </w:r>
      <w:proofErr w:type="spellEnd"/>
      <w:r w:rsidRPr="003F1F74">
        <w:rPr>
          <w:rFonts w:asciiTheme="majorBidi" w:hAnsiTheme="majorBidi" w:cstheme="majorBidi"/>
        </w:rPr>
        <w:t xml:space="preserve"> </w:t>
      </w:r>
      <w:proofErr w:type="spellStart"/>
      <w:r w:rsidRPr="003F1F74">
        <w:rPr>
          <w:rFonts w:asciiTheme="majorBidi" w:hAnsiTheme="majorBidi" w:cstheme="majorBidi"/>
          <w:u w:val="single"/>
        </w:rPr>
        <w:t>nekustamajiem</w:t>
      </w:r>
      <w:proofErr w:type="spellEnd"/>
      <w:r w:rsidRPr="003F1F74">
        <w:rPr>
          <w:rFonts w:asciiTheme="majorBidi" w:hAnsiTheme="majorBidi" w:cstheme="majorBidi"/>
          <w:u w:val="single"/>
        </w:rPr>
        <w:t xml:space="preserve"> </w:t>
      </w:r>
      <w:proofErr w:type="spellStart"/>
      <w:r w:rsidRPr="003F1F74">
        <w:rPr>
          <w:rFonts w:asciiTheme="majorBidi" w:hAnsiTheme="majorBidi" w:cstheme="majorBidi"/>
          <w:u w:val="single"/>
        </w:rPr>
        <w:t>īpašumiem</w:t>
      </w:r>
      <w:proofErr w:type="spellEnd"/>
      <w:r w:rsidRPr="003F1F74">
        <w:rPr>
          <w:rFonts w:asciiTheme="majorBidi" w:hAnsiTheme="majorBidi" w:cstheme="majorBidi"/>
        </w:rPr>
        <w:t xml:space="preserve"> </w:t>
      </w:r>
      <w:proofErr w:type="spellStart"/>
      <w:r w:rsidRPr="003F1F74">
        <w:rPr>
          <w:rFonts w:asciiTheme="majorBidi" w:hAnsiTheme="majorBidi" w:cstheme="majorBidi"/>
        </w:rPr>
        <w:t>parasti</w:t>
      </w:r>
      <w:proofErr w:type="spellEnd"/>
      <w:r w:rsidRPr="003F1F74">
        <w:rPr>
          <w:rFonts w:asciiTheme="majorBidi" w:hAnsiTheme="majorBidi" w:cstheme="majorBidi"/>
        </w:rPr>
        <w:t xml:space="preserve"> </w:t>
      </w:r>
      <w:proofErr w:type="spellStart"/>
      <w:r w:rsidRPr="003F1F74">
        <w:rPr>
          <w:rFonts w:asciiTheme="majorBidi" w:hAnsiTheme="majorBidi" w:cstheme="majorBidi"/>
        </w:rPr>
        <w:t>tiek</w:t>
      </w:r>
      <w:proofErr w:type="spellEnd"/>
      <w:r w:rsidRPr="003F1F74">
        <w:rPr>
          <w:rFonts w:asciiTheme="majorBidi" w:hAnsiTheme="majorBidi" w:cstheme="majorBidi"/>
        </w:rPr>
        <w:t xml:space="preserve"> </w:t>
      </w:r>
      <w:proofErr w:type="spellStart"/>
      <w:r w:rsidRPr="003F1F74">
        <w:rPr>
          <w:rFonts w:asciiTheme="majorBidi" w:hAnsiTheme="majorBidi" w:cstheme="majorBidi"/>
        </w:rPr>
        <w:t>piemērots</w:t>
      </w:r>
      <w:proofErr w:type="spellEnd"/>
      <w:r w:rsidRPr="003F1F74">
        <w:rPr>
          <w:rFonts w:asciiTheme="majorBidi" w:hAnsiTheme="majorBidi" w:cstheme="majorBidi"/>
        </w:rPr>
        <w:t xml:space="preserve"> </w:t>
      </w:r>
      <w:proofErr w:type="spellStart"/>
      <w:r w:rsidRPr="003F1F74">
        <w:rPr>
          <w:rFonts w:asciiTheme="majorBidi" w:hAnsiTheme="majorBidi" w:cstheme="majorBidi"/>
          <w:i/>
          <w:iCs/>
        </w:rPr>
        <w:t>lex</w:t>
      </w:r>
      <w:proofErr w:type="spellEnd"/>
      <w:r w:rsidRPr="003F1F74">
        <w:rPr>
          <w:rFonts w:asciiTheme="majorBidi" w:hAnsiTheme="majorBidi" w:cstheme="majorBidi"/>
          <w:i/>
          <w:iCs/>
        </w:rPr>
        <w:t xml:space="preserve"> rei </w:t>
      </w:r>
      <w:proofErr w:type="spellStart"/>
      <w:r w:rsidRPr="003F1F74">
        <w:rPr>
          <w:rFonts w:asciiTheme="majorBidi" w:hAnsiTheme="majorBidi" w:cstheme="majorBidi"/>
          <w:i/>
          <w:iCs/>
        </w:rPr>
        <w:t>sitae</w:t>
      </w:r>
      <w:proofErr w:type="spellEnd"/>
      <w:r w:rsidRPr="003F1F74">
        <w:rPr>
          <w:rFonts w:asciiTheme="majorBidi" w:hAnsiTheme="majorBidi" w:cstheme="majorBidi"/>
        </w:rPr>
        <w:t xml:space="preserve"> (</w:t>
      </w:r>
      <w:proofErr w:type="spellStart"/>
      <w:r w:rsidRPr="003F1F74">
        <w:rPr>
          <w:rFonts w:asciiTheme="majorBidi" w:hAnsiTheme="majorBidi" w:cstheme="majorBidi"/>
        </w:rPr>
        <w:t>nekustamā</w:t>
      </w:r>
      <w:proofErr w:type="spellEnd"/>
      <w:r w:rsidRPr="003F1F74">
        <w:rPr>
          <w:rFonts w:asciiTheme="majorBidi" w:hAnsiTheme="majorBidi" w:cstheme="majorBidi"/>
        </w:rPr>
        <w:t xml:space="preserve"> </w:t>
      </w:r>
      <w:proofErr w:type="spellStart"/>
      <w:r w:rsidRPr="003F1F74">
        <w:rPr>
          <w:rFonts w:asciiTheme="majorBidi" w:hAnsiTheme="majorBidi" w:cstheme="majorBidi"/>
        </w:rPr>
        <w:t>īpašuma</w:t>
      </w:r>
      <w:proofErr w:type="spellEnd"/>
      <w:r w:rsidRPr="003F1F74">
        <w:rPr>
          <w:rFonts w:asciiTheme="majorBidi" w:hAnsiTheme="majorBidi" w:cstheme="majorBidi"/>
        </w:rPr>
        <w:t xml:space="preserve"> </w:t>
      </w:r>
      <w:proofErr w:type="spellStart"/>
      <w:r w:rsidRPr="003F1F74">
        <w:rPr>
          <w:rFonts w:asciiTheme="majorBidi" w:hAnsiTheme="majorBidi" w:cstheme="majorBidi"/>
        </w:rPr>
        <w:t>atrašanās</w:t>
      </w:r>
      <w:proofErr w:type="spellEnd"/>
      <w:r w:rsidRPr="003F1F74">
        <w:rPr>
          <w:rFonts w:asciiTheme="majorBidi" w:hAnsiTheme="majorBidi" w:cstheme="majorBidi"/>
        </w:rPr>
        <w:t xml:space="preserve"> </w:t>
      </w:r>
      <w:proofErr w:type="spellStart"/>
      <w:r w:rsidRPr="003F1F74">
        <w:rPr>
          <w:rFonts w:asciiTheme="majorBidi" w:hAnsiTheme="majorBidi" w:cstheme="majorBidi"/>
        </w:rPr>
        <w:t>vietas</w:t>
      </w:r>
      <w:proofErr w:type="spellEnd"/>
      <w:r w:rsidRPr="003F1F74">
        <w:rPr>
          <w:rFonts w:asciiTheme="majorBidi" w:hAnsiTheme="majorBidi" w:cstheme="majorBidi"/>
        </w:rPr>
        <w:t xml:space="preserve"> </w:t>
      </w:r>
      <w:proofErr w:type="spellStart"/>
      <w:r w:rsidRPr="003F1F74">
        <w:rPr>
          <w:rFonts w:asciiTheme="majorBidi" w:hAnsiTheme="majorBidi" w:cstheme="majorBidi"/>
        </w:rPr>
        <w:t>valsts</w:t>
      </w:r>
      <w:proofErr w:type="spellEnd"/>
      <w:r w:rsidRPr="003F1F74">
        <w:rPr>
          <w:rFonts w:asciiTheme="majorBidi" w:hAnsiTheme="majorBidi" w:cstheme="majorBidi"/>
        </w:rPr>
        <w:t xml:space="preserve"> </w:t>
      </w:r>
      <w:proofErr w:type="spellStart"/>
      <w:r w:rsidRPr="003F1F74">
        <w:rPr>
          <w:rFonts w:asciiTheme="majorBidi" w:hAnsiTheme="majorBidi" w:cstheme="majorBidi"/>
        </w:rPr>
        <w:t>likums</w:t>
      </w:r>
      <w:proofErr w:type="spellEnd"/>
      <w:proofErr w:type="gramStart"/>
      <w:r w:rsidRPr="003F1F74">
        <w:rPr>
          <w:rFonts w:asciiTheme="majorBidi" w:hAnsiTheme="majorBidi" w:cstheme="majorBidi"/>
        </w:rPr>
        <w:t>);</w:t>
      </w:r>
      <w:proofErr w:type="gramEnd"/>
      <w:r w:rsidRPr="003F1F74">
        <w:rPr>
          <w:rFonts w:asciiTheme="majorBidi" w:hAnsiTheme="majorBidi" w:cstheme="majorBidi"/>
        </w:rPr>
        <w:t xml:space="preserve"> tas </w:t>
      </w:r>
      <w:proofErr w:type="spellStart"/>
      <w:r w:rsidRPr="003F1F74">
        <w:rPr>
          <w:rFonts w:asciiTheme="majorBidi" w:hAnsiTheme="majorBidi" w:cstheme="majorBidi"/>
        </w:rPr>
        <w:t>izriet</w:t>
      </w:r>
      <w:proofErr w:type="spellEnd"/>
      <w:r w:rsidRPr="003F1F74">
        <w:rPr>
          <w:rFonts w:asciiTheme="majorBidi" w:hAnsiTheme="majorBidi" w:cstheme="majorBidi"/>
        </w:rPr>
        <w:t xml:space="preserve"> </w:t>
      </w:r>
      <w:proofErr w:type="spellStart"/>
      <w:r w:rsidRPr="003F1F74">
        <w:rPr>
          <w:rFonts w:asciiTheme="majorBidi" w:hAnsiTheme="majorBidi" w:cstheme="majorBidi"/>
        </w:rPr>
        <w:t>arī</w:t>
      </w:r>
      <w:proofErr w:type="spellEnd"/>
      <w:r w:rsidRPr="003F1F74">
        <w:rPr>
          <w:rFonts w:asciiTheme="majorBidi" w:hAnsiTheme="majorBidi" w:cstheme="majorBidi"/>
        </w:rPr>
        <w:t xml:space="preserve"> no CL</w:t>
      </w:r>
      <w:r w:rsidR="00B72FCB">
        <w:rPr>
          <w:rFonts w:asciiTheme="majorBidi" w:hAnsiTheme="majorBidi" w:cstheme="majorBidi"/>
        </w:rPr>
        <w:t xml:space="preserve"> </w:t>
      </w:r>
      <w:proofErr w:type="spellStart"/>
      <w:r w:rsidR="00B72FCB">
        <w:rPr>
          <w:rFonts w:asciiTheme="majorBidi" w:hAnsiTheme="majorBidi" w:cstheme="majorBidi"/>
        </w:rPr>
        <w:t>Ievada</w:t>
      </w:r>
      <w:proofErr w:type="spellEnd"/>
      <w:r w:rsidRPr="003F1F74">
        <w:rPr>
          <w:rFonts w:asciiTheme="majorBidi" w:hAnsiTheme="majorBidi" w:cstheme="majorBidi"/>
        </w:rPr>
        <w:t xml:space="preserve"> 18.panta </w:t>
      </w:r>
      <w:proofErr w:type="spellStart"/>
      <w:r w:rsidRPr="003F1F74">
        <w:rPr>
          <w:rFonts w:asciiTheme="majorBidi" w:hAnsiTheme="majorBidi" w:cstheme="majorBidi"/>
        </w:rPr>
        <w:t>ceturtās</w:t>
      </w:r>
      <w:proofErr w:type="spellEnd"/>
      <w:r w:rsidRPr="003F1F74">
        <w:rPr>
          <w:rFonts w:asciiTheme="majorBidi" w:hAnsiTheme="majorBidi" w:cstheme="majorBidi"/>
        </w:rPr>
        <w:t xml:space="preserve"> </w:t>
      </w:r>
      <w:proofErr w:type="spellStart"/>
      <w:r w:rsidRPr="003F1F74">
        <w:rPr>
          <w:rFonts w:asciiTheme="majorBidi" w:hAnsiTheme="majorBidi" w:cstheme="majorBidi"/>
        </w:rPr>
        <w:t>daļas</w:t>
      </w:r>
      <w:proofErr w:type="spellEnd"/>
      <w:r w:rsidRPr="003F1F74">
        <w:rPr>
          <w:rFonts w:asciiTheme="majorBidi" w:hAnsiTheme="majorBidi" w:cstheme="majorBidi"/>
        </w:rPr>
        <w:t xml:space="preserve"> un 21.panta </w:t>
      </w:r>
      <w:proofErr w:type="spellStart"/>
      <w:r w:rsidRPr="003F1F74">
        <w:rPr>
          <w:rFonts w:asciiTheme="majorBidi" w:hAnsiTheme="majorBidi" w:cstheme="majorBidi"/>
        </w:rPr>
        <w:t>otrās</w:t>
      </w:r>
      <w:proofErr w:type="spellEnd"/>
      <w:r w:rsidRPr="003F1F74">
        <w:rPr>
          <w:rFonts w:asciiTheme="majorBidi" w:hAnsiTheme="majorBidi" w:cstheme="majorBidi"/>
        </w:rPr>
        <w:t xml:space="preserve"> </w:t>
      </w:r>
      <w:proofErr w:type="spellStart"/>
      <w:r w:rsidRPr="003F1F74">
        <w:rPr>
          <w:rFonts w:asciiTheme="majorBidi" w:hAnsiTheme="majorBidi" w:cstheme="majorBidi"/>
        </w:rPr>
        <w:t>daļas</w:t>
      </w:r>
      <w:proofErr w:type="spellEnd"/>
      <w:r w:rsidRPr="003F1F74">
        <w:rPr>
          <w:rFonts w:asciiTheme="majorBidi" w:hAnsiTheme="majorBidi" w:cstheme="majorBidi"/>
        </w:rPr>
        <w:t xml:space="preserve">. </w:t>
      </w:r>
      <w:proofErr w:type="spellStart"/>
      <w:r w:rsidRPr="003F1F74">
        <w:rPr>
          <w:rFonts w:asciiTheme="majorBidi" w:hAnsiTheme="majorBidi" w:cstheme="majorBidi"/>
        </w:rPr>
        <w:t>Attiecīgi</w:t>
      </w:r>
      <w:proofErr w:type="spellEnd"/>
      <w:r w:rsidRPr="003F1F74">
        <w:rPr>
          <w:rFonts w:asciiTheme="majorBidi" w:hAnsiTheme="majorBidi" w:cstheme="majorBidi"/>
        </w:rPr>
        <w:t xml:space="preserve"> </w:t>
      </w:r>
      <w:proofErr w:type="spellStart"/>
      <w:r w:rsidRPr="003F1F74">
        <w:rPr>
          <w:rFonts w:asciiTheme="majorBidi" w:hAnsiTheme="majorBidi" w:cstheme="majorBidi"/>
        </w:rPr>
        <w:t>pilnvarām</w:t>
      </w:r>
      <w:proofErr w:type="spellEnd"/>
      <w:r w:rsidRPr="003F1F74">
        <w:rPr>
          <w:rFonts w:asciiTheme="majorBidi" w:hAnsiTheme="majorBidi" w:cstheme="majorBidi"/>
        </w:rPr>
        <w:t xml:space="preserve"> </w:t>
      </w:r>
      <w:proofErr w:type="spellStart"/>
      <w:r w:rsidRPr="003F1F74">
        <w:rPr>
          <w:rFonts w:asciiTheme="majorBidi" w:hAnsiTheme="majorBidi" w:cstheme="majorBidi"/>
        </w:rPr>
        <w:t>attiecībā</w:t>
      </w:r>
      <w:proofErr w:type="spellEnd"/>
      <w:r w:rsidRPr="003F1F74">
        <w:rPr>
          <w:rFonts w:asciiTheme="majorBidi" w:hAnsiTheme="majorBidi" w:cstheme="majorBidi"/>
        </w:rPr>
        <w:t xml:space="preserve"> </w:t>
      </w:r>
      <w:proofErr w:type="spellStart"/>
      <w:r w:rsidRPr="003F1F74">
        <w:rPr>
          <w:rFonts w:asciiTheme="majorBidi" w:hAnsiTheme="majorBidi" w:cstheme="majorBidi"/>
        </w:rPr>
        <w:t>uz</w:t>
      </w:r>
      <w:proofErr w:type="spellEnd"/>
      <w:r w:rsidRPr="003F1F74">
        <w:rPr>
          <w:rFonts w:asciiTheme="majorBidi" w:hAnsiTheme="majorBidi" w:cstheme="majorBidi"/>
        </w:rPr>
        <w:t xml:space="preserve"> </w:t>
      </w:r>
      <w:proofErr w:type="spellStart"/>
      <w:r w:rsidRPr="003F1F74">
        <w:rPr>
          <w:rFonts w:asciiTheme="majorBidi" w:hAnsiTheme="majorBidi" w:cstheme="majorBidi"/>
          <w:u w:val="single"/>
        </w:rPr>
        <w:t>ierakstiem</w:t>
      </w:r>
      <w:proofErr w:type="spellEnd"/>
      <w:r w:rsidRPr="003F1F74">
        <w:rPr>
          <w:rFonts w:asciiTheme="majorBidi" w:hAnsiTheme="majorBidi" w:cstheme="majorBidi"/>
          <w:u w:val="single"/>
        </w:rPr>
        <w:t xml:space="preserve"> </w:t>
      </w:r>
      <w:proofErr w:type="spellStart"/>
      <w:r w:rsidRPr="003F1F74">
        <w:rPr>
          <w:rFonts w:asciiTheme="majorBidi" w:hAnsiTheme="majorBidi" w:cstheme="majorBidi"/>
          <w:u w:val="single"/>
        </w:rPr>
        <w:t>reģistros</w:t>
      </w:r>
      <w:proofErr w:type="spellEnd"/>
      <w:r w:rsidRPr="003F1F74">
        <w:rPr>
          <w:rFonts w:asciiTheme="majorBidi" w:hAnsiTheme="majorBidi" w:cstheme="majorBidi"/>
        </w:rPr>
        <w:t xml:space="preserve"> </w:t>
      </w:r>
      <w:proofErr w:type="spellStart"/>
      <w:r w:rsidRPr="003F1F74">
        <w:rPr>
          <w:rFonts w:asciiTheme="majorBidi" w:hAnsiTheme="majorBidi" w:cstheme="majorBidi"/>
        </w:rPr>
        <w:t>būtu</w:t>
      </w:r>
      <w:proofErr w:type="spellEnd"/>
      <w:r w:rsidRPr="003F1F74">
        <w:rPr>
          <w:rFonts w:asciiTheme="majorBidi" w:hAnsiTheme="majorBidi" w:cstheme="majorBidi"/>
        </w:rPr>
        <w:t xml:space="preserve"> </w:t>
      </w:r>
      <w:proofErr w:type="spellStart"/>
      <w:r w:rsidRPr="003F1F74">
        <w:rPr>
          <w:rFonts w:asciiTheme="majorBidi" w:hAnsiTheme="majorBidi" w:cstheme="majorBidi"/>
        </w:rPr>
        <w:t>jāpiemēro</w:t>
      </w:r>
      <w:proofErr w:type="spellEnd"/>
      <w:r w:rsidRPr="003F1F74">
        <w:rPr>
          <w:rFonts w:asciiTheme="majorBidi" w:hAnsiTheme="majorBidi" w:cstheme="majorBidi"/>
        </w:rPr>
        <w:t xml:space="preserve"> </w:t>
      </w:r>
      <w:proofErr w:type="spellStart"/>
      <w:r w:rsidRPr="003F1F74">
        <w:rPr>
          <w:rFonts w:asciiTheme="majorBidi" w:hAnsiTheme="majorBidi" w:cstheme="majorBidi"/>
        </w:rPr>
        <w:t>reģistra</w:t>
      </w:r>
      <w:proofErr w:type="spellEnd"/>
      <w:r w:rsidRPr="003F1F74">
        <w:rPr>
          <w:rFonts w:asciiTheme="majorBidi" w:hAnsiTheme="majorBidi" w:cstheme="majorBidi"/>
        </w:rPr>
        <w:t xml:space="preserve"> </w:t>
      </w:r>
      <w:proofErr w:type="spellStart"/>
      <w:r w:rsidRPr="003F1F74">
        <w:rPr>
          <w:rFonts w:asciiTheme="majorBidi" w:hAnsiTheme="majorBidi" w:cstheme="majorBidi"/>
        </w:rPr>
        <w:t>atrašanās</w:t>
      </w:r>
      <w:proofErr w:type="spellEnd"/>
      <w:r w:rsidRPr="003F1F74">
        <w:rPr>
          <w:rFonts w:asciiTheme="majorBidi" w:hAnsiTheme="majorBidi" w:cstheme="majorBidi"/>
        </w:rPr>
        <w:t xml:space="preserve"> </w:t>
      </w:r>
      <w:proofErr w:type="spellStart"/>
      <w:r w:rsidRPr="003F1F74">
        <w:rPr>
          <w:rFonts w:asciiTheme="majorBidi" w:hAnsiTheme="majorBidi" w:cstheme="majorBidi"/>
        </w:rPr>
        <w:t>vietas</w:t>
      </w:r>
      <w:proofErr w:type="spellEnd"/>
      <w:r w:rsidRPr="003F1F74">
        <w:rPr>
          <w:rFonts w:asciiTheme="majorBidi" w:hAnsiTheme="majorBidi" w:cstheme="majorBidi"/>
        </w:rPr>
        <w:t xml:space="preserve"> </w:t>
      </w:r>
      <w:proofErr w:type="spellStart"/>
      <w:r w:rsidRPr="003F1F74">
        <w:rPr>
          <w:rFonts w:asciiTheme="majorBidi" w:hAnsiTheme="majorBidi" w:cstheme="majorBidi"/>
        </w:rPr>
        <w:t>valsts</w:t>
      </w:r>
      <w:proofErr w:type="spellEnd"/>
      <w:r w:rsidRPr="003F1F74">
        <w:rPr>
          <w:rFonts w:asciiTheme="majorBidi" w:hAnsiTheme="majorBidi" w:cstheme="majorBidi"/>
        </w:rPr>
        <w:t xml:space="preserve"> </w:t>
      </w:r>
      <w:proofErr w:type="spellStart"/>
      <w:proofErr w:type="gramStart"/>
      <w:r w:rsidRPr="003F1F74">
        <w:rPr>
          <w:rFonts w:asciiTheme="majorBidi" w:hAnsiTheme="majorBidi" w:cstheme="majorBidi"/>
        </w:rPr>
        <w:t>likums</w:t>
      </w:r>
      <w:proofErr w:type="spellEnd"/>
      <w:r w:rsidRPr="003F1F74">
        <w:rPr>
          <w:rFonts w:asciiTheme="majorBidi" w:hAnsiTheme="majorBidi" w:cstheme="majorBidi"/>
        </w:rPr>
        <w:t>;</w:t>
      </w:r>
      <w:proofErr w:type="gramEnd"/>
      <w:r w:rsidRPr="003F1F74">
        <w:rPr>
          <w:rFonts w:asciiTheme="majorBidi" w:hAnsiTheme="majorBidi" w:cstheme="majorBidi"/>
        </w:rPr>
        <w:t xml:space="preserve"> </w:t>
      </w:r>
      <w:proofErr w:type="spellStart"/>
      <w:r w:rsidRPr="003F1F74">
        <w:rPr>
          <w:rFonts w:asciiTheme="majorBidi" w:hAnsiTheme="majorBidi" w:cstheme="majorBidi"/>
        </w:rPr>
        <w:t>pilnvarām</w:t>
      </w:r>
      <w:proofErr w:type="spellEnd"/>
      <w:r w:rsidRPr="003F1F74">
        <w:rPr>
          <w:rFonts w:asciiTheme="majorBidi" w:hAnsiTheme="majorBidi" w:cstheme="majorBidi"/>
        </w:rPr>
        <w:t xml:space="preserve"> par </w:t>
      </w:r>
      <w:proofErr w:type="spellStart"/>
      <w:r w:rsidRPr="003F1F74">
        <w:rPr>
          <w:rFonts w:asciiTheme="majorBidi" w:hAnsiTheme="majorBidi" w:cstheme="majorBidi"/>
          <w:u w:val="single"/>
        </w:rPr>
        <w:lastRenderedPageBreak/>
        <w:t>darbībām</w:t>
      </w:r>
      <w:proofErr w:type="spellEnd"/>
      <w:r w:rsidRPr="003F1F74">
        <w:rPr>
          <w:rFonts w:asciiTheme="majorBidi" w:hAnsiTheme="majorBidi" w:cstheme="majorBidi"/>
          <w:u w:val="single"/>
        </w:rPr>
        <w:t xml:space="preserve"> </w:t>
      </w:r>
      <w:proofErr w:type="spellStart"/>
      <w:r w:rsidRPr="003F1F74">
        <w:rPr>
          <w:rFonts w:asciiTheme="majorBidi" w:hAnsiTheme="majorBidi" w:cstheme="majorBidi"/>
          <w:u w:val="single"/>
        </w:rPr>
        <w:t>izsolēs</w:t>
      </w:r>
      <w:proofErr w:type="spellEnd"/>
      <w:r w:rsidRPr="003F1F74">
        <w:rPr>
          <w:rFonts w:asciiTheme="majorBidi" w:hAnsiTheme="majorBidi" w:cstheme="majorBidi"/>
        </w:rPr>
        <w:t xml:space="preserve"> </w:t>
      </w:r>
      <w:proofErr w:type="spellStart"/>
      <w:r w:rsidRPr="003F1F74">
        <w:rPr>
          <w:rFonts w:asciiTheme="majorBidi" w:hAnsiTheme="majorBidi" w:cstheme="majorBidi"/>
        </w:rPr>
        <w:t>piemēro</w:t>
      </w:r>
      <w:proofErr w:type="spellEnd"/>
      <w:r w:rsidRPr="003F1F74">
        <w:rPr>
          <w:rFonts w:asciiTheme="majorBidi" w:hAnsiTheme="majorBidi" w:cstheme="majorBidi"/>
        </w:rPr>
        <w:t xml:space="preserve"> </w:t>
      </w:r>
      <w:proofErr w:type="spellStart"/>
      <w:r w:rsidRPr="003F1F74">
        <w:rPr>
          <w:rFonts w:asciiTheme="majorBidi" w:hAnsiTheme="majorBidi" w:cstheme="majorBidi"/>
        </w:rPr>
        <w:t>izsoles</w:t>
      </w:r>
      <w:proofErr w:type="spellEnd"/>
      <w:r w:rsidRPr="003F1F74">
        <w:rPr>
          <w:rFonts w:asciiTheme="majorBidi" w:hAnsiTheme="majorBidi" w:cstheme="majorBidi"/>
        </w:rPr>
        <w:t xml:space="preserve"> </w:t>
      </w:r>
      <w:proofErr w:type="spellStart"/>
      <w:r w:rsidRPr="003F1F74">
        <w:rPr>
          <w:rFonts w:asciiTheme="majorBidi" w:hAnsiTheme="majorBidi" w:cstheme="majorBidi"/>
        </w:rPr>
        <w:t>vietas</w:t>
      </w:r>
      <w:proofErr w:type="spellEnd"/>
      <w:r w:rsidRPr="003F1F74">
        <w:rPr>
          <w:rFonts w:asciiTheme="majorBidi" w:hAnsiTheme="majorBidi" w:cstheme="majorBidi"/>
        </w:rPr>
        <w:t xml:space="preserve"> </w:t>
      </w:r>
      <w:proofErr w:type="spellStart"/>
      <w:r w:rsidRPr="003F1F74">
        <w:rPr>
          <w:rFonts w:asciiTheme="majorBidi" w:hAnsiTheme="majorBidi" w:cstheme="majorBidi"/>
        </w:rPr>
        <w:t>valsts</w:t>
      </w:r>
      <w:proofErr w:type="spellEnd"/>
      <w:r w:rsidRPr="003F1F74">
        <w:rPr>
          <w:rFonts w:asciiTheme="majorBidi" w:hAnsiTheme="majorBidi" w:cstheme="majorBidi"/>
        </w:rPr>
        <w:t xml:space="preserve"> </w:t>
      </w:r>
      <w:proofErr w:type="spellStart"/>
      <w:r w:rsidRPr="003F1F74">
        <w:rPr>
          <w:rFonts w:asciiTheme="majorBidi" w:hAnsiTheme="majorBidi" w:cstheme="majorBidi"/>
        </w:rPr>
        <w:t>likumu</w:t>
      </w:r>
      <w:proofErr w:type="spellEnd"/>
      <w:r w:rsidRPr="003F1F74">
        <w:rPr>
          <w:rFonts w:asciiTheme="majorBidi" w:hAnsiTheme="majorBidi" w:cstheme="majorBidi"/>
        </w:rPr>
        <w:t xml:space="preserve">; </w:t>
      </w:r>
      <w:proofErr w:type="spellStart"/>
      <w:r w:rsidRPr="003F1F74">
        <w:rPr>
          <w:rFonts w:asciiTheme="majorBidi" w:hAnsiTheme="majorBidi" w:cstheme="majorBidi"/>
        </w:rPr>
        <w:t>pilnvarām</w:t>
      </w:r>
      <w:proofErr w:type="spellEnd"/>
      <w:r w:rsidRPr="003F1F74">
        <w:rPr>
          <w:rFonts w:asciiTheme="majorBidi" w:hAnsiTheme="majorBidi" w:cstheme="majorBidi"/>
        </w:rPr>
        <w:t xml:space="preserve"> </w:t>
      </w:r>
      <w:proofErr w:type="spellStart"/>
      <w:r w:rsidRPr="003F1F74">
        <w:rPr>
          <w:rFonts w:asciiTheme="majorBidi" w:hAnsiTheme="majorBidi" w:cstheme="majorBidi"/>
        </w:rPr>
        <w:t>attiecībā</w:t>
      </w:r>
      <w:proofErr w:type="spellEnd"/>
      <w:r w:rsidRPr="003F1F74">
        <w:rPr>
          <w:rFonts w:asciiTheme="majorBidi" w:hAnsiTheme="majorBidi" w:cstheme="majorBidi"/>
        </w:rPr>
        <w:t xml:space="preserve"> </w:t>
      </w:r>
      <w:proofErr w:type="spellStart"/>
      <w:r w:rsidRPr="003F1F74">
        <w:rPr>
          <w:rFonts w:asciiTheme="majorBidi" w:hAnsiTheme="majorBidi" w:cstheme="majorBidi"/>
        </w:rPr>
        <w:t>uz</w:t>
      </w:r>
      <w:proofErr w:type="spellEnd"/>
      <w:r w:rsidRPr="003F1F74">
        <w:rPr>
          <w:rFonts w:asciiTheme="majorBidi" w:hAnsiTheme="majorBidi" w:cstheme="majorBidi"/>
        </w:rPr>
        <w:t xml:space="preserve"> </w:t>
      </w:r>
      <w:proofErr w:type="spellStart"/>
      <w:r w:rsidRPr="003F1F74">
        <w:rPr>
          <w:rFonts w:asciiTheme="majorBidi" w:hAnsiTheme="majorBidi" w:cstheme="majorBidi"/>
          <w:u w:val="single"/>
        </w:rPr>
        <w:t>darbībām</w:t>
      </w:r>
      <w:proofErr w:type="spellEnd"/>
      <w:r w:rsidRPr="003F1F74">
        <w:rPr>
          <w:rFonts w:asciiTheme="majorBidi" w:hAnsiTheme="majorBidi" w:cstheme="majorBidi"/>
          <w:u w:val="single"/>
        </w:rPr>
        <w:t xml:space="preserve"> </w:t>
      </w:r>
      <w:proofErr w:type="spellStart"/>
      <w:r w:rsidRPr="003F1F74">
        <w:rPr>
          <w:rFonts w:asciiTheme="majorBidi" w:hAnsiTheme="majorBidi" w:cstheme="majorBidi"/>
          <w:u w:val="single"/>
        </w:rPr>
        <w:t>biržās</w:t>
      </w:r>
      <w:proofErr w:type="spellEnd"/>
      <w:r w:rsidRPr="003F1F74">
        <w:rPr>
          <w:rFonts w:asciiTheme="majorBidi" w:hAnsiTheme="majorBidi" w:cstheme="majorBidi"/>
        </w:rPr>
        <w:t xml:space="preserve"> </w:t>
      </w:r>
      <w:proofErr w:type="spellStart"/>
      <w:r w:rsidRPr="003F1F74">
        <w:rPr>
          <w:rFonts w:asciiTheme="majorBidi" w:hAnsiTheme="majorBidi" w:cstheme="majorBidi"/>
        </w:rPr>
        <w:t>piemēro</w:t>
      </w:r>
      <w:proofErr w:type="spellEnd"/>
      <w:r w:rsidRPr="003F1F74">
        <w:rPr>
          <w:rFonts w:asciiTheme="majorBidi" w:hAnsiTheme="majorBidi" w:cstheme="majorBidi"/>
        </w:rPr>
        <w:t xml:space="preserve"> </w:t>
      </w:r>
      <w:proofErr w:type="spellStart"/>
      <w:r w:rsidRPr="003F1F74">
        <w:rPr>
          <w:rFonts w:asciiTheme="majorBidi" w:hAnsiTheme="majorBidi" w:cstheme="majorBidi"/>
        </w:rPr>
        <w:t>biržas</w:t>
      </w:r>
      <w:proofErr w:type="spellEnd"/>
      <w:r w:rsidRPr="003F1F74">
        <w:rPr>
          <w:rFonts w:asciiTheme="majorBidi" w:hAnsiTheme="majorBidi" w:cstheme="majorBidi"/>
        </w:rPr>
        <w:t xml:space="preserve"> </w:t>
      </w:r>
      <w:proofErr w:type="spellStart"/>
      <w:r w:rsidRPr="003F1F74">
        <w:rPr>
          <w:rFonts w:asciiTheme="majorBidi" w:hAnsiTheme="majorBidi" w:cstheme="majorBidi"/>
        </w:rPr>
        <w:t>atrašanās</w:t>
      </w:r>
      <w:proofErr w:type="spellEnd"/>
      <w:r w:rsidRPr="003F1F74">
        <w:rPr>
          <w:rFonts w:asciiTheme="majorBidi" w:hAnsiTheme="majorBidi" w:cstheme="majorBidi"/>
        </w:rPr>
        <w:t xml:space="preserve"> </w:t>
      </w:r>
      <w:proofErr w:type="spellStart"/>
      <w:r w:rsidRPr="003F1F74">
        <w:rPr>
          <w:rFonts w:asciiTheme="majorBidi" w:hAnsiTheme="majorBidi" w:cstheme="majorBidi"/>
        </w:rPr>
        <w:t>vietas</w:t>
      </w:r>
      <w:proofErr w:type="spellEnd"/>
      <w:r w:rsidRPr="003F1F74">
        <w:rPr>
          <w:rFonts w:asciiTheme="majorBidi" w:hAnsiTheme="majorBidi" w:cstheme="majorBidi"/>
        </w:rPr>
        <w:t xml:space="preserve"> </w:t>
      </w:r>
      <w:proofErr w:type="spellStart"/>
      <w:r w:rsidRPr="003F1F74">
        <w:rPr>
          <w:rFonts w:asciiTheme="majorBidi" w:hAnsiTheme="majorBidi" w:cstheme="majorBidi"/>
        </w:rPr>
        <w:t>valsts</w:t>
      </w:r>
      <w:proofErr w:type="spellEnd"/>
      <w:r w:rsidRPr="003F1F74">
        <w:rPr>
          <w:rFonts w:asciiTheme="majorBidi" w:hAnsiTheme="majorBidi" w:cstheme="majorBidi"/>
        </w:rPr>
        <w:t xml:space="preserve"> </w:t>
      </w:r>
      <w:proofErr w:type="spellStart"/>
      <w:r w:rsidRPr="003F1F74">
        <w:rPr>
          <w:rFonts w:asciiTheme="majorBidi" w:hAnsiTheme="majorBidi" w:cstheme="majorBidi"/>
        </w:rPr>
        <w:t>likumu</w:t>
      </w:r>
      <w:proofErr w:type="spellEnd"/>
      <w:r w:rsidRPr="003F1F74">
        <w:rPr>
          <w:rFonts w:asciiTheme="majorBidi" w:hAnsiTheme="majorBidi" w:cstheme="majorBidi"/>
        </w:rPr>
        <w:t xml:space="preserve"> (pat, </w:t>
      </w:r>
      <w:proofErr w:type="spellStart"/>
      <w:r w:rsidRPr="003F1F74">
        <w:rPr>
          <w:rFonts w:asciiTheme="majorBidi" w:hAnsiTheme="majorBidi" w:cstheme="majorBidi"/>
        </w:rPr>
        <w:t>ja</w:t>
      </w:r>
      <w:proofErr w:type="spellEnd"/>
      <w:r w:rsidRPr="003F1F74">
        <w:rPr>
          <w:rFonts w:asciiTheme="majorBidi" w:hAnsiTheme="majorBidi" w:cstheme="majorBidi"/>
        </w:rPr>
        <w:t xml:space="preserve"> </w:t>
      </w:r>
      <w:proofErr w:type="spellStart"/>
      <w:r w:rsidRPr="003F1F74">
        <w:rPr>
          <w:rFonts w:asciiTheme="majorBidi" w:hAnsiTheme="majorBidi" w:cstheme="majorBidi"/>
        </w:rPr>
        <w:t>pilnvarnieka</w:t>
      </w:r>
      <w:proofErr w:type="spellEnd"/>
      <w:r w:rsidRPr="003F1F74">
        <w:rPr>
          <w:rFonts w:asciiTheme="majorBidi" w:hAnsiTheme="majorBidi" w:cstheme="majorBidi"/>
        </w:rPr>
        <w:t xml:space="preserve"> – </w:t>
      </w:r>
      <w:proofErr w:type="spellStart"/>
      <w:r w:rsidRPr="003F1F74">
        <w:rPr>
          <w:rFonts w:asciiTheme="majorBidi" w:hAnsiTheme="majorBidi" w:cstheme="majorBidi"/>
        </w:rPr>
        <w:t>biržas</w:t>
      </w:r>
      <w:proofErr w:type="spellEnd"/>
      <w:r w:rsidRPr="003F1F74">
        <w:rPr>
          <w:rFonts w:asciiTheme="majorBidi" w:hAnsiTheme="majorBidi" w:cstheme="majorBidi"/>
        </w:rPr>
        <w:t xml:space="preserve"> </w:t>
      </w:r>
      <w:proofErr w:type="spellStart"/>
      <w:r w:rsidRPr="003F1F74">
        <w:rPr>
          <w:rFonts w:asciiTheme="majorBidi" w:hAnsiTheme="majorBidi" w:cstheme="majorBidi"/>
        </w:rPr>
        <w:t>māklera</w:t>
      </w:r>
      <w:proofErr w:type="spellEnd"/>
      <w:r w:rsidRPr="003F1F74">
        <w:rPr>
          <w:rFonts w:asciiTheme="majorBidi" w:hAnsiTheme="majorBidi" w:cstheme="majorBidi"/>
        </w:rPr>
        <w:t xml:space="preserve"> – </w:t>
      </w:r>
      <w:proofErr w:type="spellStart"/>
      <w:r w:rsidRPr="003F1F74">
        <w:rPr>
          <w:rFonts w:asciiTheme="majorBidi" w:hAnsiTheme="majorBidi" w:cstheme="majorBidi"/>
        </w:rPr>
        <w:t>atrašanās</w:t>
      </w:r>
      <w:proofErr w:type="spellEnd"/>
      <w:r w:rsidRPr="003F1F74">
        <w:rPr>
          <w:rFonts w:asciiTheme="majorBidi" w:hAnsiTheme="majorBidi" w:cstheme="majorBidi"/>
        </w:rPr>
        <w:t xml:space="preserve"> </w:t>
      </w:r>
      <w:proofErr w:type="spellStart"/>
      <w:r w:rsidRPr="003F1F74">
        <w:rPr>
          <w:rFonts w:asciiTheme="majorBidi" w:hAnsiTheme="majorBidi" w:cstheme="majorBidi"/>
        </w:rPr>
        <w:t>vieta</w:t>
      </w:r>
      <w:proofErr w:type="spellEnd"/>
      <w:r w:rsidRPr="003F1F74">
        <w:rPr>
          <w:rFonts w:asciiTheme="majorBidi" w:hAnsiTheme="majorBidi" w:cstheme="majorBidi"/>
        </w:rPr>
        <w:t xml:space="preserve"> </w:t>
      </w:r>
      <w:proofErr w:type="spellStart"/>
      <w:r w:rsidRPr="003F1F74">
        <w:rPr>
          <w:rFonts w:asciiTheme="majorBidi" w:hAnsiTheme="majorBidi" w:cstheme="majorBidi"/>
        </w:rPr>
        <w:t>ir</w:t>
      </w:r>
      <w:proofErr w:type="spellEnd"/>
      <w:r w:rsidRPr="003F1F74">
        <w:rPr>
          <w:rFonts w:asciiTheme="majorBidi" w:hAnsiTheme="majorBidi" w:cstheme="majorBidi"/>
        </w:rPr>
        <w:t xml:space="preserve"> </w:t>
      </w:r>
      <w:proofErr w:type="spellStart"/>
      <w:r w:rsidRPr="003F1F74">
        <w:rPr>
          <w:rFonts w:asciiTheme="majorBidi" w:hAnsiTheme="majorBidi" w:cstheme="majorBidi"/>
        </w:rPr>
        <w:t>citā</w:t>
      </w:r>
      <w:proofErr w:type="spellEnd"/>
      <w:r w:rsidRPr="003F1F74">
        <w:rPr>
          <w:rFonts w:asciiTheme="majorBidi" w:hAnsiTheme="majorBidi" w:cstheme="majorBidi"/>
        </w:rPr>
        <w:t xml:space="preserve"> </w:t>
      </w:r>
      <w:proofErr w:type="spellStart"/>
      <w:r w:rsidRPr="003F1F74">
        <w:rPr>
          <w:rFonts w:asciiTheme="majorBidi" w:hAnsiTheme="majorBidi" w:cstheme="majorBidi"/>
        </w:rPr>
        <w:t>valstī</w:t>
      </w:r>
      <w:proofErr w:type="spellEnd"/>
      <w:r w:rsidRPr="003F1F74">
        <w:rPr>
          <w:rFonts w:asciiTheme="majorBidi" w:hAnsiTheme="majorBidi" w:cstheme="majorBidi"/>
        </w:rPr>
        <w:t xml:space="preserve">). </w:t>
      </w:r>
      <w:proofErr w:type="spellStart"/>
      <w:r w:rsidRPr="003F1F74">
        <w:rPr>
          <w:rFonts w:asciiTheme="majorBidi" w:hAnsiTheme="majorBidi" w:cstheme="majorBidi"/>
        </w:rPr>
        <w:t>Savukārt</w:t>
      </w:r>
      <w:proofErr w:type="spellEnd"/>
      <w:r w:rsidRPr="003F1F74">
        <w:rPr>
          <w:rFonts w:asciiTheme="majorBidi" w:hAnsiTheme="majorBidi" w:cstheme="majorBidi"/>
        </w:rPr>
        <w:t xml:space="preserve"> </w:t>
      </w:r>
      <w:proofErr w:type="spellStart"/>
      <w:r w:rsidRPr="003F1F74">
        <w:rPr>
          <w:rFonts w:asciiTheme="majorBidi" w:hAnsiTheme="majorBidi" w:cstheme="majorBidi"/>
        </w:rPr>
        <w:t>pilnvarām</w:t>
      </w:r>
      <w:proofErr w:type="spellEnd"/>
      <w:r w:rsidRPr="003F1F74">
        <w:rPr>
          <w:rFonts w:asciiTheme="majorBidi" w:hAnsiTheme="majorBidi" w:cstheme="majorBidi"/>
        </w:rPr>
        <w:t xml:space="preserve"> </w:t>
      </w:r>
      <w:proofErr w:type="spellStart"/>
      <w:r w:rsidRPr="003F1F74">
        <w:rPr>
          <w:rFonts w:asciiTheme="majorBidi" w:hAnsiTheme="majorBidi" w:cstheme="majorBidi"/>
          <w:u w:val="single"/>
        </w:rPr>
        <w:t>pārstāvēt</w:t>
      </w:r>
      <w:proofErr w:type="spellEnd"/>
      <w:r w:rsidRPr="003F1F74">
        <w:rPr>
          <w:rFonts w:asciiTheme="majorBidi" w:hAnsiTheme="majorBidi" w:cstheme="majorBidi"/>
          <w:u w:val="single"/>
        </w:rPr>
        <w:t xml:space="preserve"> </w:t>
      </w:r>
      <w:proofErr w:type="spellStart"/>
      <w:r w:rsidRPr="003F1F74">
        <w:rPr>
          <w:rFonts w:asciiTheme="majorBidi" w:hAnsiTheme="majorBidi" w:cstheme="majorBidi"/>
          <w:u w:val="single"/>
        </w:rPr>
        <w:t>kādu</w:t>
      </w:r>
      <w:proofErr w:type="spellEnd"/>
      <w:r w:rsidRPr="003F1F74">
        <w:rPr>
          <w:rFonts w:asciiTheme="majorBidi" w:hAnsiTheme="majorBidi" w:cstheme="majorBidi"/>
          <w:u w:val="single"/>
        </w:rPr>
        <w:t xml:space="preserve"> </w:t>
      </w:r>
      <w:proofErr w:type="spellStart"/>
      <w:r w:rsidRPr="003F1F74">
        <w:rPr>
          <w:rFonts w:asciiTheme="majorBidi" w:hAnsiTheme="majorBidi" w:cstheme="majorBidi"/>
          <w:u w:val="single"/>
        </w:rPr>
        <w:t>tiesā</w:t>
      </w:r>
      <w:proofErr w:type="spellEnd"/>
      <w:r w:rsidRPr="003F1F74">
        <w:rPr>
          <w:rFonts w:asciiTheme="majorBidi" w:hAnsiTheme="majorBidi" w:cstheme="majorBidi"/>
        </w:rPr>
        <w:t xml:space="preserve"> </w:t>
      </w:r>
      <w:proofErr w:type="spellStart"/>
      <w:r w:rsidRPr="003F1F74">
        <w:rPr>
          <w:rFonts w:asciiTheme="majorBidi" w:hAnsiTheme="majorBidi" w:cstheme="majorBidi"/>
        </w:rPr>
        <w:t>vienmēr</w:t>
      </w:r>
      <w:proofErr w:type="spellEnd"/>
      <w:r w:rsidRPr="003F1F74">
        <w:rPr>
          <w:rFonts w:asciiTheme="majorBidi" w:hAnsiTheme="majorBidi" w:cstheme="majorBidi"/>
        </w:rPr>
        <w:t xml:space="preserve"> </w:t>
      </w:r>
      <w:proofErr w:type="spellStart"/>
      <w:r w:rsidRPr="003F1F74">
        <w:rPr>
          <w:rFonts w:asciiTheme="majorBidi" w:hAnsiTheme="majorBidi" w:cstheme="majorBidi"/>
        </w:rPr>
        <w:t>piemēro</w:t>
      </w:r>
      <w:proofErr w:type="spellEnd"/>
      <w:r w:rsidRPr="003F1F74">
        <w:rPr>
          <w:rFonts w:asciiTheme="majorBidi" w:hAnsiTheme="majorBidi" w:cstheme="majorBidi"/>
        </w:rPr>
        <w:t xml:space="preserve"> </w:t>
      </w:r>
      <w:proofErr w:type="spellStart"/>
      <w:r w:rsidRPr="003F1F74">
        <w:rPr>
          <w:rFonts w:asciiTheme="majorBidi" w:hAnsiTheme="majorBidi" w:cstheme="majorBidi"/>
        </w:rPr>
        <w:t>tiesas</w:t>
      </w:r>
      <w:proofErr w:type="spellEnd"/>
      <w:r w:rsidRPr="003F1F74">
        <w:rPr>
          <w:rFonts w:asciiTheme="majorBidi" w:hAnsiTheme="majorBidi" w:cstheme="majorBidi"/>
        </w:rPr>
        <w:t xml:space="preserve"> </w:t>
      </w:r>
      <w:proofErr w:type="spellStart"/>
      <w:r w:rsidRPr="003F1F74">
        <w:rPr>
          <w:rFonts w:asciiTheme="majorBidi" w:hAnsiTheme="majorBidi" w:cstheme="majorBidi"/>
        </w:rPr>
        <w:t>valsts</w:t>
      </w:r>
      <w:proofErr w:type="spellEnd"/>
      <w:r w:rsidRPr="003F1F74">
        <w:rPr>
          <w:rFonts w:asciiTheme="majorBidi" w:hAnsiTheme="majorBidi" w:cstheme="majorBidi"/>
        </w:rPr>
        <w:t xml:space="preserve"> </w:t>
      </w:r>
      <w:proofErr w:type="spellStart"/>
      <w:r w:rsidRPr="003F1F74">
        <w:rPr>
          <w:rFonts w:asciiTheme="majorBidi" w:hAnsiTheme="majorBidi" w:cstheme="majorBidi"/>
        </w:rPr>
        <w:t>likumu</w:t>
      </w:r>
      <w:proofErr w:type="spellEnd"/>
      <w:r w:rsidRPr="003F1F74">
        <w:rPr>
          <w:rFonts w:asciiTheme="majorBidi" w:hAnsiTheme="majorBidi" w:cstheme="majorBidi"/>
        </w:rPr>
        <w:t xml:space="preserve"> (</w:t>
      </w:r>
      <w:proofErr w:type="spellStart"/>
      <w:r w:rsidRPr="003F1F74">
        <w:rPr>
          <w:rFonts w:asciiTheme="majorBidi" w:hAnsiTheme="majorBidi" w:cstheme="majorBidi"/>
          <w:i/>
          <w:iCs/>
        </w:rPr>
        <w:t>lex</w:t>
      </w:r>
      <w:proofErr w:type="spellEnd"/>
      <w:r w:rsidRPr="003F1F74">
        <w:rPr>
          <w:rFonts w:asciiTheme="majorBidi" w:hAnsiTheme="majorBidi" w:cstheme="majorBidi"/>
          <w:i/>
          <w:iCs/>
        </w:rPr>
        <w:t xml:space="preserve"> </w:t>
      </w:r>
      <w:proofErr w:type="spellStart"/>
      <w:r w:rsidRPr="003F1F74">
        <w:rPr>
          <w:rFonts w:asciiTheme="majorBidi" w:hAnsiTheme="majorBidi" w:cstheme="majorBidi"/>
          <w:i/>
          <w:iCs/>
        </w:rPr>
        <w:t>fori</w:t>
      </w:r>
      <w:proofErr w:type="spellEnd"/>
      <w:r w:rsidRPr="003F1F74">
        <w:rPr>
          <w:rFonts w:asciiTheme="majorBidi" w:hAnsiTheme="majorBidi" w:cstheme="majorBidi"/>
        </w:rPr>
        <w:t>).</w:t>
      </w:r>
      <w:r w:rsidRPr="003F1F74">
        <w:rPr>
          <w:rStyle w:val="FootnoteReference"/>
          <w:rFonts w:asciiTheme="majorBidi" w:hAnsiTheme="majorBidi" w:cstheme="majorBidi"/>
        </w:rPr>
        <w:footnoteReference w:id="51"/>
      </w:r>
      <w:r w:rsidRPr="003F1F74">
        <w:rPr>
          <w:rFonts w:asciiTheme="majorBidi" w:hAnsiTheme="majorBidi" w:cstheme="majorBidi"/>
        </w:rPr>
        <w:t xml:space="preserve"> </w:t>
      </w:r>
      <w:proofErr w:type="spellStart"/>
      <w:r w:rsidRPr="003F1F74">
        <w:rPr>
          <w:rFonts w:asciiTheme="majorBidi" w:hAnsiTheme="majorBidi" w:cstheme="majorBidi"/>
        </w:rPr>
        <w:t>Kā</w:t>
      </w:r>
      <w:proofErr w:type="spellEnd"/>
      <w:r w:rsidRPr="003F1F74">
        <w:rPr>
          <w:rFonts w:asciiTheme="majorBidi" w:hAnsiTheme="majorBidi" w:cstheme="majorBidi"/>
        </w:rPr>
        <w:t xml:space="preserve"> </w:t>
      </w:r>
      <w:proofErr w:type="spellStart"/>
      <w:r w:rsidRPr="003F1F74">
        <w:rPr>
          <w:rFonts w:asciiTheme="majorBidi" w:hAnsiTheme="majorBidi" w:cstheme="majorBidi"/>
        </w:rPr>
        <w:t>redzams</w:t>
      </w:r>
      <w:proofErr w:type="spellEnd"/>
      <w:r w:rsidRPr="003F1F74">
        <w:rPr>
          <w:rFonts w:asciiTheme="majorBidi" w:hAnsiTheme="majorBidi" w:cstheme="majorBidi"/>
        </w:rPr>
        <w:t xml:space="preserve">, </w:t>
      </w:r>
      <w:proofErr w:type="spellStart"/>
      <w:r w:rsidRPr="003F1F74">
        <w:rPr>
          <w:rFonts w:asciiTheme="majorBidi" w:hAnsiTheme="majorBidi" w:cstheme="majorBidi"/>
        </w:rPr>
        <w:t>speciālo</w:t>
      </w:r>
      <w:proofErr w:type="spellEnd"/>
      <w:r w:rsidRPr="003F1F74">
        <w:rPr>
          <w:rFonts w:asciiTheme="majorBidi" w:hAnsiTheme="majorBidi" w:cstheme="majorBidi"/>
        </w:rPr>
        <w:t xml:space="preserve"> </w:t>
      </w:r>
      <w:proofErr w:type="spellStart"/>
      <w:r w:rsidRPr="003F1F74">
        <w:rPr>
          <w:rFonts w:asciiTheme="majorBidi" w:hAnsiTheme="majorBidi" w:cstheme="majorBidi"/>
        </w:rPr>
        <w:t>izņēmuma</w:t>
      </w:r>
      <w:proofErr w:type="spellEnd"/>
      <w:r w:rsidRPr="003F1F74">
        <w:rPr>
          <w:rFonts w:asciiTheme="majorBidi" w:hAnsiTheme="majorBidi" w:cstheme="majorBidi"/>
        </w:rPr>
        <w:t xml:space="preserve"> </w:t>
      </w:r>
      <w:proofErr w:type="spellStart"/>
      <w:r w:rsidRPr="003F1F74">
        <w:rPr>
          <w:rFonts w:asciiTheme="majorBidi" w:hAnsiTheme="majorBidi" w:cstheme="majorBidi"/>
        </w:rPr>
        <w:t>gadījumu</w:t>
      </w:r>
      <w:proofErr w:type="spellEnd"/>
      <w:r w:rsidRPr="003F1F74">
        <w:rPr>
          <w:rFonts w:asciiTheme="majorBidi" w:hAnsiTheme="majorBidi" w:cstheme="majorBidi"/>
        </w:rPr>
        <w:t xml:space="preserve"> </w:t>
      </w:r>
      <w:proofErr w:type="spellStart"/>
      <w:r w:rsidRPr="00565D81">
        <w:rPr>
          <w:rFonts w:asciiTheme="majorBidi" w:hAnsiTheme="majorBidi" w:cstheme="majorBidi"/>
        </w:rPr>
        <w:t>situācijās</w:t>
      </w:r>
      <w:proofErr w:type="spellEnd"/>
      <w:r w:rsidRPr="00565D81">
        <w:rPr>
          <w:rFonts w:asciiTheme="majorBidi" w:hAnsiTheme="majorBidi" w:cstheme="majorBidi"/>
        </w:rPr>
        <w:t xml:space="preserve"> </w:t>
      </w:r>
      <w:proofErr w:type="spellStart"/>
      <w:r w:rsidRPr="00565D81">
        <w:rPr>
          <w:rFonts w:asciiTheme="majorBidi" w:hAnsiTheme="majorBidi" w:cstheme="majorBidi"/>
        </w:rPr>
        <w:t>pilnvarai</w:t>
      </w:r>
      <w:proofErr w:type="spellEnd"/>
      <w:r w:rsidRPr="00565D81">
        <w:rPr>
          <w:rFonts w:asciiTheme="majorBidi" w:hAnsiTheme="majorBidi" w:cstheme="majorBidi"/>
        </w:rPr>
        <w:t xml:space="preserve"> </w:t>
      </w:r>
      <w:proofErr w:type="spellStart"/>
      <w:r w:rsidRPr="00565D81">
        <w:rPr>
          <w:rFonts w:asciiTheme="majorBidi" w:hAnsiTheme="majorBidi" w:cstheme="majorBidi"/>
        </w:rPr>
        <w:t>piemērojamais</w:t>
      </w:r>
      <w:proofErr w:type="spellEnd"/>
      <w:r w:rsidRPr="00565D81">
        <w:rPr>
          <w:rFonts w:asciiTheme="majorBidi" w:hAnsiTheme="majorBidi" w:cstheme="majorBidi"/>
        </w:rPr>
        <w:t xml:space="preserve"> </w:t>
      </w:r>
      <w:proofErr w:type="spellStart"/>
      <w:r w:rsidRPr="00565D81">
        <w:rPr>
          <w:rFonts w:asciiTheme="majorBidi" w:hAnsiTheme="majorBidi" w:cstheme="majorBidi"/>
        </w:rPr>
        <w:t>likums</w:t>
      </w:r>
      <w:proofErr w:type="spellEnd"/>
      <w:r w:rsidRPr="00565D81">
        <w:rPr>
          <w:rFonts w:asciiTheme="majorBidi" w:hAnsiTheme="majorBidi" w:cstheme="majorBidi"/>
        </w:rPr>
        <w:t xml:space="preserve"> </w:t>
      </w:r>
      <w:proofErr w:type="spellStart"/>
      <w:r w:rsidRPr="00565D81">
        <w:rPr>
          <w:rFonts w:asciiTheme="majorBidi" w:hAnsiTheme="majorBidi" w:cstheme="majorBidi"/>
        </w:rPr>
        <w:t>sakritīs</w:t>
      </w:r>
      <w:proofErr w:type="spellEnd"/>
      <w:r w:rsidRPr="00565D81">
        <w:rPr>
          <w:rFonts w:asciiTheme="majorBidi" w:hAnsiTheme="majorBidi" w:cstheme="majorBidi"/>
        </w:rPr>
        <w:t xml:space="preserve"> </w:t>
      </w:r>
      <w:proofErr w:type="spellStart"/>
      <w:r w:rsidRPr="00565D81">
        <w:rPr>
          <w:rFonts w:asciiTheme="majorBidi" w:hAnsiTheme="majorBidi" w:cstheme="majorBidi"/>
        </w:rPr>
        <w:t>ar</w:t>
      </w:r>
      <w:proofErr w:type="spellEnd"/>
      <w:r w:rsidRPr="00565D81">
        <w:rPr>
          <w:rFonts w:asciiTheme="majorBidi" w:hAnsiTheme="majorBidi" w:cstheme="majorBidi"/>
        </w:rPr>
        <w:t xml:space="preserve"> </w:t>
      </w:r>
      <w:proofErr w:type="spellStart"/>
      <w:r w:rsidRPr="00565D81">
        <w:rPr>
          <w:rFonts w:asciiTheme="majorBidi" w:hAnsiTheme="majorBidi" w:cstheme="majorBidi"/>
        </w:rPr>
        <w:t>pilnvaras</w:t>
      </w:r>
      <w:proofErr w:type="spellEnd"/>
      <w:r w:rsidRPr="00565D81">
        <w:rPr>
          <w:rFonts w:asciiTheme="majorBidi" w:hAnsiTheme="majorBidi" w:cstheme="majorBidi"/>
        </w:rPr>
        <w:t xml:space="preserve"> </w:t>
      </w:r>
      <w:proofErr w:type="spellStart"/>
      <w:r w:rsidRPr="00565D81">
        <w:rPr>
          <w:rFonts w:asciiTheme="majorBidi" w:hAnsiTheme="majorBidi" w:cstheme="majorBidi"/>
        </w:rPr>
        <w:t>izmantošanas</w:t>
      </w:r>
      <w:proofErr w:type="spellEnd"/>
      <w:r w:rsidRPr="00565D81">
        <w:rPr>
          <w:rFonts w:asciiTheme="majorBidi" w:hAnsiTheme="majorBidi" w:cstheme="majorBidi"/>
        </w:rPr>
        <w:t xml:space="preserve"> </w:t>
      </w:r>
      <w:proofErr w:type="spellStart"/>
      <w:r w:rsidRPr="00565D81">
        <w:rPr>
          <w:rFonts w:asciiTheme="majorBidi" w:hAnsiTheme="majorBidi" w:cstheme="majorBidi"/>
        </w:rPr>
        <w:t>vietas</w:t>
      </w:r>
      <w:proofErr w:type="spellEnd"/>
      <w:r w:rsidRPr="00565D81">
        <w:rPr>
          <w:rFonts w:asciiTheme="majorBidi" w:hAnsiTheme="majorBidi" w:cstheme="majorBidi"/>
        </w:rPr>
        <w:t xml:space="preserve"> </w:t>
      </w:r>
      <w:proofErr w:type="spellStart"/>
      <w:r w:rsidRPr="00565D81">
        <w:rPr>
          <w:rFonts w:asciiTheme="majorBidi" w:hAnsiTheme="majorBidi" w:cstheme="majorBidi"/>
        </w:rPr>
        <w:t>valsts</w:t>
      </w:r>
      <w:proofErr w:type="spellEnd"/>
      <w:r w:rsidRPr="00565D81">
        <w:rPr>
          <w:rFonts w:asciiTheme="majorBidi" w:hAnsiTheme="majorBidi" w:cstheme="majorBidi"/>
        </w:rPr>
        <w:t xml:space="preserve"> </w:t>
      </w:r>
      <w:proofErr w:type="spellStart"/>
      <w:r w:rsidRPr="00565D81">
        <w:rPr>
          <w:rFonts w:asciiTheme="majorBidi" w:hAnsiTheme="majorBidi" w:cstheme="majorBidi"/>
        </w:rPr>
        <w:t>likumu</w:t>
      </w:r>
      <w:proofErr w:type="spellEnd"/>
      <w:r w:rsidRPr="00565D81">
        <w:rPr>
          <w:rFonts w:asciiTheme="majorBidi" w:hAnsiTheme="majorBidi" w:cstheme="majorBidi"/>
        </w:rPr>
        <w:t>.</w:t>
      </w:r>
      <w:r w:rsidRPr="00565D81">
        <w:rPr>
          <w:rStyle w:val="FootnoteReference"/>
          <w:rFonts w:asciiTheme="majorBidi" w:hAnsiTheme="majorBidi" w:cstheme="majorBidi"/>
        </w:rPr>
        <w:footnoteReference w:id="52"/>
      </w:r>
    </w:p>
    <w:p w14:paraId="53B3F54D" w14:textId="77777777" w:rsidR="00114953" w:rsidRPr="00565D81" w:rsidRDefault="00114953" w:rsidP="00114953">
      <w:pPr>
        <w:jc w:val="both"/>
        <w:rPr>
          <w:rFonts w:ascii="Times New Roman" w:hAnsi="Times New Roman" w:cs="Times New Roman"/>
          <w:highlight w:val="yellow"/>
          <w:lang w:val="de-DE"/>
        </w:rPr>
      </w:pPr>
    </w:p>
    <w:p w14:paraId="39D66CAE" w14:textId="05E100A7" w:rsidR="00114953" w:rsidRPr="00565D81" w:rsidRDefault="00114953" w:rsidP="00114953">
      <w:pPr>
        <w:jc w:val="both"/>
        <w:rPr>
          <w:rFonts w:ascii="Times New Roman" w:hAnsi="Times New Roman" w:cs="Times New Roman"/>
          <w:lang w:val="de-DE"/>
        </w:rPr>
      </w:pPr>
      <w:r w:rsidRPr="00565D81">
        <w:rPr>
          <w:rFonts w:ascii="Times New Roman" w:hAnsi="Times New Roman" w:cs="Times New Roman"/>
          <w:lang w:val="de-DE"/>
        </w:rPr>
        <w:t xml:space="preserve">2) Ja </w:t>
      </w:r>
      <w:proofErr w:type="spellStart"/>
      <w:r w:rsidRPr="00565D81">
        <w:rPr>
          <w:rFonts w:ascii="Times New Roman" w:hAnsi="Times New Roman" w:cs="Times New Roman"/>
          <w:lang w:val="de-DE"/>
        </w:rPr>
        <w:t>saistību</w:t>
      </w:r>
      <w:proofErr w:type="spellEnd"/>
      <w:r w:rsidRPr="00565D81">
        <w:rPr>
          <w:rFonts w:ascii="Times New Roman" w:hAnsi="Times New Roman" w:cs="Times New Roman"/>
          <w:lang w:val="de-DE"/>
        </w:rPr>
        <w:t xml:space="preserve"> </w:t>
      </w:r>
      <w:proofErr w:type="spellStart"/>
      <w:r w:rsidRPr="00565D81">
        <w:rPr>
          <w:rFonts w:ascii="Times New Roman" w:hAnsi="Times New Roman" w:cs="Times New Roman"/>
          <w:lang w:val="de-DE"/>
        </w:rPr>
        <w:t>izpildīšanas</w:t>
      </w:r>
      <w:proofErr w:type="spellEnd"/>
      <w:r w:rsidRPr="00565D81">
        <w:rPr>
          <w:rFonts w:ascii="Times New Roman" w:hAnsi="Times New Roman" w:cs="Times New Roman"/>
          <w:lang w:val="de-DE"/>
        </w:rPr>
        <w:t xml:space="preserve"> </w:t>
      </w:r>
      <w:proofErr w:type="spellStart"/>
      <w:r w:rsidRPr="00565D81">
        <w:rPr>
          <w:rFonts w:ascii="Times New Roman" w:hAnsi="Times New Roman" w:cs="Times New Roman"/>
          <w:lang w:val="de-DE"/>
        </w:rPr>
        <w:t>vieta</w:t>
      </w:r>
      <w:proofErr w:type="spellEnd"/>
      <w:r w:rsidRPr="00565D81">
        <w:rPr>
          <w:rFonts w:ascii="Times New Roman" w:hAnsi="Times New Roman" w:cs="Times New Roman"/>
          <w:lang w:val="de-DE"/>
        </w:rPr>
        <w:t xml:space="preserve"> </w:t>
      </w:r>
      <w:proofErr w:type="spellStart"/>
      <w:r w:rsidRPr="00565D81">
        <w:rPr>
          <w:rFonts w:ascii="Times New Roman" w:hAnsi="Times New Roman" w:cs="Times New Roman"/>
          <w:lang w:val="de-DE"/>
        </w:rPr>
        <w:t>nav</w:t>
      </w:r>
      <w:proofErr w:type="spellEnd"/>
      <w:r w:rsidRPr="00565D81">
        <w:rPr>
          <w:rFonts w:ascii="Times New Roman" w:hAnsi="Times New Roman" w:cs="Times New Roman"/>
          <w:lang w:val="de-DE"/>
        </w:rPr>
        <w:t xml:space="preserve"> </w:t>
      </w:r>
      <w:proofErr w:type="spellStart"/>
      <w:r w:rsidRPr="00565D81">
        <w:rPr>
          <w:rFonts w:ascii="Times New Roman" w:hAnsi="Times New Roman" w:cs="Times New Roman"/>
          <w:lang w:val="de-DE"/>
        </w:rPr>
        <w:t>noteicama</w:t>
      </w:r>
      <w:proofErr w:type="spellEnd"/>
      <w:r w:rsidRPr="00565D81">
        <w:rPr>
          <w:rFonts w:ascii="Times New Roman" w:hAnsi="Times New Roman" w:cs="Times New Roman"/>
          <w:lang w:val="de-DE"/>
        </w:rPr>
        <w:t xml:space="preserve">, </w:t>
      </w:r>
      <w:proofErr w:type="spellStart"/>
      <w:r w:rsidRPr="00565D81">
        <w:rPr>
          <w:rFonts w:ascii="Times New Roman" w:hAnsi="Times New Roman" w:cs="Times New Roman"/>
          <w:lang w:val="de-DE"/>
        </w:rPr>
        <w:t>tad</w:t>
      </w:r>
      <w:proofErr w:type="spellEnd"/>
      <w:r w:rsidRPr="00565D81">
        <w:rPr>
          <w:rFonts w:ascii="Times New Roman" w:hAnsi="Times New Roman" w:cs="Times New Roman"/>
          <w:i/>
          <w:lang w:val="de-DE"/>
        </w:rPr>
        <w:t xml:space="preserve"> </w:t>
      </w:r>
      <w:proofErr w:type="spellStart"/>
      <w:r w:rsidRPr="00565D81">
        <w:rPr>
          <w:rFonts w:ascii="Times New Roman" w:hAnsi="Times New Roman" w:cs="Times New Roman"/>
          <w:i/>
          <w:lang w:val="de-DE"/>
        </w:rPr>
        <w:t>piemēro</w:t>
      </w:r>
      <w:proofErr w:type="spellEnd"/>
      <w:r w:rsidRPr="00565D81">
        <w:rPr>
          <w:rFonts w:ascii="Times New Roman" w:hAnsi="Times New Roman" w:cs="Times New Roman"/>
          <w:i/>
          <w:lang w:val="de-DE"/>
        </w:rPr>
        <w:t xml:space="preserve"> </w:t>
      </w:r>
      <w:proofErr w:type="spellStart"/>
      <w:r w:rsidRPr="00565D81">
        <w:rPr>
          <w:rFonts w:ascii="Times New Roman" w:hAnsi="Times New Roman" w:cs="Times New Roman"/>
          <w:i/>
          <w:lang w:val="de-DE"/>
        </w:rPr>
        <w:t>tās</w:t>
      </w:r>
      <w:proofErr w:type="spellEnd"/>
      <w:r w:rsidRPr="00565D81">
        <w:rPr>
          <w:rFonts w:ascii="Times New Roman" w:hAnsi="Times New Roman" w:cs="Times New Roman"/>
          <w:i/>
          <w:lang w:val="de-DE"/>
        </w:rPr>
        <w:t xml:space="preserve"> </w:t>
      </w:r>
      <w:proofErr w:type="spellStart"/>
      <w:r w:rsidRPr="00565D81">
        <w:rPr>
          <w:rFonts w:ascii="Times New Roman" w:hAnsi="Times New Roman" w:cs="Times New Roman"/>
          <w:i/>
          <w:lang w:val="de-DE"/>
        </w:rPr>
        <w:t>valsts</w:t>
      </w:r>
      <w:proofErr w:type="spellEnd"/>
      <w:r w:rsidRPr="00565D81">
        <w:rPr>
          <w:rFonts w:ascii="Times New Roman" w:hAnsi="Times New Roman" w:cs="Times New Roman"/>
          <w:i/>
          <w:lang w:val="de-DE"/>
        </w:rPr>
        <w:t xml:space="preserve"> </w:t>
      </w:r>
      <w:proofErr w:type="spellStart"/>
      <w:r w:rsidRPr="00565D81">
        <w:rPr>
          <w:rFonts w:ascii="Times New Roman" w:hAnsi="Times New Roman" w:cs="Times New Roman"/>
          <w:i/>
          <w:lang w:val="de-DE"/>
        </w:rPr>
        <w:t>likumu</w:t>
      </w:r>
      <w:proofErr w:type="spellEnd"/>
      <w:r w:rsidRPr="00565D81">
        <w:rPr>
          <w:rFonts w:ascii="Times New Roman" w:hAnsi="Times New Roman" w:cs="Times New Roman"/>
          <w:i/>
          <w:lang w:val="de-DE"/>
        </w:rPr>
        <w:t xml:space="preserve">, </w:t>
      </w:r>
      <w:proofErr w:type="spellStart"/>
      <w:r w:rsidRPr="00565D81">
        <w:rPr>
          <w:rFonts w:ascii="Times New Roman" w:hAnsi="Times New Roman" w:cs="Times New Roman"/>
          <w:i/>
          <w:lang w:val="de-DE"/>
        </w:rPr>
        <w:t>kuras</w:t>
      </w:r>
      <w:proofErr w:type="spellEnd"/>
      <w:r w:rsidRPr="00565D81">
        <w:rPr>
          <w:rFonts w:ascii="Times New Roman" w:hAnsi="Times New Roman" w:cs="Times New Roman"/>
          <w:i/>
          <w:lang w:val="de-DE"/>
        </w:rPr>
        <w:t xml:space="preserve"> </w:t>
      </w:r>
      <w:proofErr w:type="spellStart"/>
      <w:r w:rsidRPr="00565D81">
        <w:rPr>
          <w:rFonts w:ascii="Times New Roman" w:hAnsi="Times New Roman" w:cs="Times New Roman"/>
          <w:i/>
          <w:lang w:val="de-DE"/>
        </w:rPr>
        <w:t>teritorijā</w:t>
      </w:r>
      <w:proofErr w:type="spellEnd"/>
      <w:r w:rsidRPr="00565D81">
        <w:rPr>
          <w:rFonts w:ascii="Times New Roman" w:hAnsi="Times New Roman" w:cs="Times New Roman"/>
          <w:i/>
          <w:lang w:val="de-DE"/>
        </w:rPr>
        <w:t xml:space="preserve"> </w:t>
      </w:r>
      <w:proofErr w:type="spellStart"/>
      <w:r w:rsidRPr="00565D81">
        <w:rPr>
          <w:rFonts w:ascii="Times New Roman" w:hAnsi="Times New Roman" w:cs="Times New Roman"/>
          <w:i/>
          <w:lang w:val="de-DE"/>
        </w:rPr>
        <w:t>līgums</w:t>
      </w:r>
      <w:proofErr w:type="spellEnd"/>
      <w:r w:rsidRPr="00565D81">
        <w:rPr>
          <w:rFonts w:ascii="Times New Roman" w:hAnsi="Times New Roman" w:cs="Times New Roman"/>
          <w:i/>
          <w:lang w:val="de-DE"/>
        </w:rPr>
        <w:t xml:space="preserve"> </w:t>
      </w:r>
      <w:proofErr w:type="spellStart"/>
      <w:r w:rsidRPr="00565D81">
        <w:rPr>
          <w:rFonts w:ascii="Times New Roman" w:hAnsi="Times New Roman" w:cs="Times New Roman"/>
          <w:i/>
          <w:lang w:val="de-DE"/>
        </w:rPr>
        <w:t>ir</w:t>
      </w:r>
      <w:proofErr w:type="spellEnd"/>
      <w:r w:rsidRPr="00565D81">
        <w:rPr>
          <w:rFonts w:ascii="Times New Roman" w:hAnsi="Times New Roman" w:cs="Times New Roman"/>
          <w:i/>
          <w:lang w:val="de-DE"/>
        </w:rPr>
        <w:t xml:space="preserve"> </w:t>
      </w:r>
      <w:proofErr w:type="spellStart"/>
      <w:r w:rsidRPr="00565D81">
        <w:rPr>
          <w:rFonts w:ascii="Times New Roman" w:hAnsi="Times New Roman" w:cs="Times New Roman"/>
          <w:i/>
          <w:lang w:val="de-DE"/>
        </w:rPr>
        <w:t>noslēgts</w:t>
      </w:r>
      <w:proofErr w:type="spellEnd"/>
      <w:r w:rsidRPr="00565D81">
        <w:rPr>
          <w:rFonts w:ascii="Times New Roman" w:hAnsi="Times New Roman" w:cs="Times New Roman"/>
          <w:i/>
          <w:lang w:val="de-DE"/>
        </w:rPr>
        <w:t xml:space="preserve">. </w:t>
      </w:r>
      <w:proofErr w:type="spellStart"/>
      <w:r w:rsidRPr="00565D81">
        <w:rPr>
          <w:rFonts w:ascii="Times New Roman" w:hAnsi="Times New Roman" w:cs="Times New Roman"/>
          <w:lang w:val="de-DE"/>
        </w:rPr>
        <w:t>Šī</w:t>
      </w:r>
      <w:proofErr w:type="spellEnd"/>
      <w:r w:rsidRPr="00565D81">
        <w:rPr>
          <w:rFonts w:ascii="Times New Roman" w:hAnsi="Times New Roman" w:cs="Times New Roman"/>
          <w:lang w:val="de-DE"/>
        </w:rPr>
        <w:t xml:space="preserve"> </w:t>
      </w:r>
      <w:proofErr w:type="spellStart"/>
      <w:r w:rsidRPr="00565D81">
        <w:rPr>
          <w:rFonts w:ascii="Times New Roman" w:hAnsi="Times New Roman" w:cs="Times New Roman"/>
          <w:lang w:val="de-DE"/>
        </w:rPr>
        <w:t>piesaiste</w:t>
      </w:r>
      <w:proofErr w:type="spellEnd"/>
      <w:r w:rsidRPr="00565D81">
        <w:rPr>
          <w:rFonts w:ascii="Times New Roman" w:hAnsi="Times New Roman" w:cs="Times New Roman"/>
          <w:lang w:val="de-DE"/>
        </w:rPr>
        <w:t xml:space="preserve"> </w:t>
      </w:r>
      <w:proofErr w:type="spellStart"/>
      <w:r w:rsidRPr="00565D81">
        <w:rPr>
          <w:rFonts w:ascii="Times New Roman" w:hAnsi="Times New Roman" w:cs="Times New Roman"/>
          <w:lang w:val="de-DE"/>
        </w:rPr>
        <w:t>situācijās</w:t>
      </w:r>
      <w:proofErr w:type="spellEnd"/>
      <w:r w:rsidRPr="00565D81">
        <w:rPr>
          <w:rFonts w:ascii="Times New Roman" w:hAnsi="Times New Roman" w:cs="Times New Roman"/>
          <w:lang w:val="de-DE"/>
        </w:rPr>
        <w:t xml:space="preserve"> </w:t>
      </w:r>
      <w:proofErr w:type="spellStart"/>
      <w:r w:rsidRPr="00565D81">
        <w:rPr>
          <w:rFonts w:ascii="Times New Roman" w:hAnsi="Times New Roman" w:cs="Times New Roman"/>
          <w:lang w:val="de-DE"/>
        </w:rPr>
        <w:t>ar</w:t>
      </w:r>
      <w:proofErr w:type="spellEnd"/>
      <w:r w:rsidRPr="00565D81">
        <w:rPr>
          <w:rFonts w:ascii="Times New Roman" w:hAnsi="Times New Roman" w:cs="Times New Roman"/>
          <w:lang w:val="de-DE"/>
        </w:rPr>
        <w:t xml:space="preserve"> </w:t>
      </w:r>
      <w:proofErr w:type="spellStart"/>
      <w:r w:rsidRPr="00565D81">
        <w:rPr>
          <w:rFonts w:ascii="Times New Roman" w:hAnsi="Times New Roman" w:cs="Times New Roman"/>
          <w:lang w:val="de-DE"/>
        </w:rPr>
        <w:t>pilnvarām</w:t>
      </w:r>
      <w:proofErr w:type="spellEnd"/>
      <w:r w:rsidRPr="00565D81">
        <w:rPr>
          <w:rFonts w:ascii="Times New Roman" w:hAnsi="Times New Roman" w:cs="Times New Roman"/>
          <w:lang w:val="de-DE"/>
        </w:rPr>
        <w:t xml:space="preserve"> </w:t>
      </w:r>
      <w:proofErr w:type="spellStart"/>
      <w:r w:rsidRPr="00565D81">
        <w:rPr>
          <w:rFonts w:ascii="Times New Roman" w:hAnsi="Times New Roman" w:cs="Times New Roman"/>
          <w:lang w:val="de-DE"/>
        </w:rPr>
        <w:t>būtu</w:t>
      </w:r>
      <w:proofErr w:type="spellEnd"/>
      <w:r w:rsidRPr="00565D81">
        <w:rPr>
          <w:rFonts w:ascii="Times New Roman" w:hAnsi="Times New Roman" w:cs="Times New Roman"/>
          <w:lang w:val="de-DE"/>
        </w:rPr>
        <w:t xml:space="preserve"> </w:t>
      </w:r>
      <w:proofErr w:type="spellStart"/>
      <w:r w:rsidRPr="00565D81">
        <w:rPr>
          <w:rFonts w:ascii="Times New Roman" w:hAnsi="Times New Roman" w:cs="Times New Roman"/>
          <w:lang w:val="de-DE"/>
        </w:rPr>
        <w:t>interpretējama</w:t>
      </w:r>
      <w:proofErr w:type="spellEnd"/>
      <w:r w:rsidRPr="00565D81">
        <w:rPr>
          <w:rFonts w:ascii="Times New Roman" w:hAnsi="Times New Roman" w:cs="Times New Roman"/>
          <w:lang w:val="de-DE"/>
        </w:rPr>
        <w:t xml:space="preserve"> </w:t>
      </w:r>
      <w:proofErr w:type="spellStart"/>
      <w:r w:rsidRPr="00565D81">
        <w:rPr>
          <w:rFonts w:ascii="Times New Roman" w:hAnsi="Times New Roman" w:cs="Times New Roman"/>
          <w:lang w:val="de-DE"/>
        </w:rPr>
        <w:t>tādējādi</w:t>
      </w:r>
      <w:proofErr w:type="spellEnd"/>
      <w:r w:rsidRPr="00565D81">
        <w:rPr>
          <w:rFonts w:ascii="Times New Roman" w:hAnsi="Times New Roman" w:cs="Times New Roman"/>
          <w:lang w:val="de-DE"/>
        </w:rPr>
        <w:t xml:space="preserve">, </w:t>
      </w:r>
      <w:proofErr w:type="spellStart"/>
      <w:r w:rsidRPr="00565D81">
        <w:rPr>
          <w:rFonts w:ascii="Times New Roman" w:hAnsi="Times New Roman" w:cs="Times New Roman"/>
          <w:lang w:val="de-DE"/>
        </w:rPr>
        <w:t>ka</w:t>
      </w:r>
      <w:proofErr w:type="spellEnd"/>
      <w:r w:rsidRPr="00565D81">
        <w:rPr>
          <w:rFonts w:ascii="Times New Roman" w:hAnsi="Times New Roman" w:cs="Times New Roman"/>
          <w:lang w:val="de-DE"/>
        </w:rPr>
        <w:t xml:space="preserve">, ja </w:t>
      </w:r>
      <w:proofErr w:type="spellStart"/>
      <w:r w:rsidRPr="00565D81">
        <w:rPr>
          <w:rFonts w:ascii="Times New Roman" w:hAnsi="Times New Roman" w:cs="Times New Roman"/>
          <w:lang w:val="de-DE"/>
        </w:rPr>
        <w:t>nav</w:t>
      </w:r>
      <w:proofErr w:type="spellEnd"/>
      <w:r w:rsidRPr="00565D81">
        <w:rPr>
          <w:rFonts w:ascii="Times New Roman" w:hAnsi="Times New Roman" w:cs="Times New Roman"/>
          <w:lang w:val="de-DE"/>
        </w:rPr>
        <w:t xml:space="preserve"> </w:t>
      </w:r>
      <w:proofErr w:type="spellStart"/>
      <w:r w:rsidRPr="00565D81">
        <w:rPr>
          <w:rFonts w:ascii="Times New Roman" w:hAnsi="Times New Roman" w:cs="Times New Roman"/>
          <w:lang w:val="de-DE"/>
        </w:rPr>
        <w:t>iespējams</w:t>
      </w:r>
      <w:proofErr w:type="spellEnd"/>
      <w:r w:rsidRPr="00565D81">
        <w:rPr>
          <w:rFonts w:ascii="Times New Roman" w:hAnsi="Times New Roman" w:cs="Times New Roman"/>
          <w:lang w:val="de-DE"/>
        </w:rPr>
        <w:t xml:space="preserve"> </w:t>
      </w:r>
      <w:proofErr w:type="spellStart"/>
      <w:r w:rsidRPr="00565D81">
        <w:rPr>
          <w:rFonts w:ascii="Times New Roman" w:hAnsi="Times New Roman" w:cs="Times New Roman"/>
          <w:lang w:val="de-DE"/>
        </w:rPr>
        <w:t>noteikt</w:t>
      </w:r>
      <w:proofErr w:type="spellEnd"/>
      <w:r w:rsidRPr="00565D81">
        <w:rPr>
          <w:rFonts w:ascii="Times New Roman" w:hAnsi="Times New Roman" w:cs="Times New Roman"/>
          <w:lang w:val="de-DE"/>
        </w:rPr>
        <w:t xml:space="preserve"> </w:t>
      </w:r>
      <w:proofErr w:type="spellStart"/>
      <w:r w:rsidRPr="00565D81">
        <w:rPr>
          <w:rFonts w:ascii="Times New Roman" w:hAnsi="Times New Roman" w:cs="Times New Roman"/>
          <w:lang w:val="de-DE"/>
        </w:rPr>
        <w:t>konkrētu</w:t>
      </w:r>
      <w:proofErr w:type="spellEnd"/>
      <w:r w:rsidRPr="00565D81">
        <w:rPr>
          <w:rFonts w:ascii="Times New Roman" w:hAnsi="Times New Roman" w:cs="Times New Roman"/>
          <w:lang w:val="de-DE"/>
        </w:rPr>
        <w:t xml:space="preserve"> </w:t>
      </w:r>
      <w:proofErr w:type="spellStart"/>
      <w:r w:rsidRPr="00565D81">
        <w:rPr>
          <w:rFonts w:ascii="Times New Roman" w:hAnsi="Times New Roman" w:cs="Times New Roman"/>
          <w:lang w:val="de-DE"/>
        </w:rPr>
        <w:t>pilnvaras</w:t>
      </w:r>
      <w:proofErr w:type="spellEnd"/>
      <w:r w:rsidRPr="00565D81">
        <w:rPr>
          <w:rFonts w:ascii="Times New Roman" w:hAnsi="Times New Roman" w:cs="Times New Roman"/>
          <w:lang w:val="de-DE"/>
        </w:rPr>
        <w:t xml:space="preserve"> </w:t>
      </w:r>
      <w:proofErr w:type="spellStart"/>
      <w:r w:rsidRPr="00565D81">
        <w:rPr>
          <w:rFonts w:ascii="Times New Roman" w:hAnsi="Times New Roman" w:cs="Times New Roman"/>
          <w:lang w:val="de-DE"/>
        </w:rPr>
        <w:t>izmant</w:t>
      </w:r>
      <w:r w:rsidR="00B72FCB">
        <w:rPr>
          <w:rFonts w:ascii="Times New Roman" w:hAnsi="Times New Roman" w:cs="Times New Roman"/>
          <w:lang w:val="de-DE"/>
        </w:rPr>
        <w:t>ošanas</w:t>
      </w:r>
      <w:proofErr w:type="spellEnd"/>
      <w:r w:rsidR="00B72FCB">
        <w:rPr>
          <w:rFonts w:ascii="Times New Roman" w:hAnsi="Times New Roman" w:cs="Times New Roman"/>
          <w:lang w:val="de-DE"/>
        </w:rPr>
        <w:t xml:space="preserve"> </w:t>
      </w:r>
      <w:proofErr w:type="spellStart"/>
      <w:r w:rsidR="00B72FCB">
        <w:rPr>
          <w:rFonts w:ascii="Times New Roman" w:hAnsi="Times New Roman" w:cs="Times New Roman"/>
          <w:lang w:val="de-DE"/>
        </w:rPr>
        <w:t>vietu</w:t>
      </w:r>
      <w:proofErr w:type="spellEnd"/>
      <w:r w:rsidR="00B72FCB">
        <w:rPr>
          <w:rFonts w:ascii="Times New Roman" w:hAnsi="Times New Roman" w:cs="Times New Roman"/>
          <w:lang w:val="de-DE"/>
        </w:rPr>
        <w:t xml:space="preserve"> (</w:t>
      </w:r>
      <w:proofErr w:type="spellStart"/>
      <w:r w:rsidR="00B72FCB">
        <w:rPr>
          <w:rFonts w:ascii="Times New Roman" w:hAnsi="Times New Roman" w:cs="Times New Roman"/>
          <w:lang w:val="de-DE"/>
        </w:rPr>
        <w:t>valsti</w:t>
      </w:r>
      <w:proofErr w:type="spellEnd"/>
      <w:r w:rsidR="00B72FCB">
        <w:rPr>
          <w:rFonts w:ascii="Times New Roman" w:hAnsi="Times New Roman" w:cs="Times New Roman"/>
          <w:lang w:val="de-DE"/>
        </w:rPr>
        <w:t xml:space="preserve">), </w:t>
      </w:r>
      <w:proofErr w:type="spellStart"/>
      <w:r w:rsidR="00B72FCB">
        <w:rPr>
          <w:rFonts w:ascii="Times New Roman" w:hAnsi="Times New Roman" w:cs="Times New Roman"/>
          <w:lang w:val="de-DE"/>
        </w:rPr>
        <w:t>tad</w:t>
      </w:r>
      <w:proofErr w:type="spellEnd"/>
      <w:r w:rsidR="00B72FCB">
        <w:rPr>
          <w:rFonts w:ascii="Times New Roman" w:hAnsi="Times New Roman" w:cs="Times New Roman"/>
          <w:lang w:val="de-DE"/>
        </w:rPr>
        <w:t xml:space="preserve"> </w:t>
      </w:r>
      <w:proofErr w:type="spellStart"/>
      <w:r w:rsidR="00B72FCB">
        <w:rPr>
          <w:rFonts w:ascii="Times New Roman" w:hAnsi="Times New Roman" w:cs="Times New Roman"/>
          <w:lang w:val="de-DE"/>
        </w:rPr>
        <w:t>piemē</w:t>
      </w:r>
      <w:r w:rsidRPr="00565D81">
        <w:rPr>
          <w:rFonts w:ascii="Times New Roman" w:hAnsi="Times New Roman" w:cs="Times New Roman"/>
          <w:lang w:val="de-DE"/>
        </w:rPr>
        <w:t>rojams</w:t>
      </w:r>
      <w:proofErr w:type="spellEnd"/>
      <w:r w:rsidRPr="00565D81">
        <w:rPr>
          <w:rFonts w:ascii="Times New Roman" w:hAnsi="Times New Roman" w:cs="Times New Roman"/>
          <w:lang w:val="de-DE"/>
        </w:rPr>
        <w:t xml:space="preserve"> </w:t>
      </w:r>
      <w:proofErr w:type="spellStart"/>
      <w:r w:rsidRPr="00565D81">
        <w:rPr>
          <w:rFonts w:ascii="Times New Roman" w:hAnsi="Times New Roman" w:cs="Times New Roman"/>
          <w:lang w:val="de-DE"/>
        </w:rPr>
        <w:t>tās</w:t>
      </w:r>
      <w:proofErr w:type="spellEnd"/>
      <w:r w:rsidRPr="00565D81">
        <w:rPr>
          <w:rFonts w:ascii="Times New Roman" w:hAnsi="Times New Roman" w:cs="Times New Roman"/>
          <w:lang w:val="de-DE"/>
        </w:rPr>
        <w:t xml:space="preserve"> </w:t>
      </w:r>
      <w:proofErr w:type="spellStart"/>
      <w:r w:rsidRPr="00565D81">
        <w:rPr>
          <w:rFonts w:ascii="Times New Roman" w:hAnsi="Times New Roman" w:cs="Times New Roman"/>
          <w:lang w:val="de-DE"/>
        </w:rPr>
        <w:t>valsts</w:t>
      </w:r>
      <w:proofErr w:type="spellEnd"/>
      <w:r w:rsidRPr="00565D81">
        <w:rPr>
          <w:rFonts w:ascii="Times New Roman" w:hAnsi="Times New Roman" w:cs="Times New Roman"/>
          <w:lang w:val="de-DE"/>
        </w:rPr>
        <w:t xml:space="preserve"> </w:t>
      </w:r>
      <w:proofErr w:type="spellStart"/>
      <w:r w:rsidRPr="00565D81">
        <w:rPr>
          <w:rFonts w:ascii="Times New Roman" w:hAnsi="Times New Roman" w:cs="Times New Roman"/>
          <w:lang w:val="de-DE"/>
        </w:rPr>
        <w:t>likums</w:t>
      </w:r>
      <w:proofErr w:type="spellEnd"/>
      <w:r w:rsidRPr="00565D81">
        <w:rPr>
          <w:rFonts w:ascii="Times New Roman" w:hAnsi="Times New Roman" w:cs="Times New Roman"/>
          <w:lang w:val="de-DE"/>
        </w:rPr>
        <w:t xml:space="preserve">, </w:t>
      </w:r>
      <w:proofErr w:type="spellStart"/>
      <w:r w:rsidRPr="00565D81">
        <w:rPr>
          <w:rFonts w:ascii="Times New Roman" w:hAnsi="Times New Roman" w:cs="Times New Roman"/>
          <w:lang w:val="de-DE"/>
        </w:rPr>
        <w:t>kurā</w:t>
      </w:r>
      <w:proofErr w:type="spellEnd"/>
      <w:r w:rsidRPr="00565D81">
        <w:rPr>
          <w:rFonts w:ascii="Times New Roman" w:hAnsi="Times New Roman" w:cs="Times New Roman"/>
          <w:lang w:val="de-DE"/>
        </w:rPr>
        <w:t xml:space="preserve"> </w:t>
      </w:r>
      <w:proofErr w:type="spellStart"/>
      <w:r w:rsidRPr="00565D81">
        <w:rPr>
          <w:rFonts w:ascii="Times New Roman" w:hAnsi="Times New Roman" w:cs="Times New Roman"/>
          <w:lang w:val="de-DE"/>
        </w:rPr>
        <w:t>pilnvara</w:t>
      </w:r>
      <w:proofErr w:type="spellEnd"/>
      <w:r w:rsidRPr="00565D81">
        <w:rPr>
          <w:rFonts w:ascii="Times New Roman" w:hAnsi="Times New Roman" w:cs="Times New Roman"/>
          <w:lang w:val="de-DE"/>
        </w:rPr>
        <w:t xml:space="preserve"> </w:t>
      </w:r>
      <w:proofErr w:type="spellStart"/>
      <w:r w:rsidRPr="00565D81">
        <w:rPr>
          <w:rFonts w:ascii="Times New Roman" w:hAnsi="Times New Roman" w:cs="Times New Roman"/>
          <w:lang w:val="de-DE"/>
        </w:rPr>
        <w:t>izdota</w:t>
      </w:r>
      <w:proofErr w:type="spellEnd"/>
      <w:r w:rsidRPr="00565D81">
        <w:rPr>
          <w:rFonts w:ascii="Times New Roman" w:hAnsi="Times New Roman" w:cs="Times New Roman"/>
          <w:lang w:val="de-DE"/>
        </w:rPr>
        <w:t xml:space="preserve"> (kur </w:t>
      </w:r>
      <w:proofErr w:type="spellStart"/>
      <w:r w:rsidRPr="00565D81">
        <w:rPr>
          <w:rFonts w:ascii="Times New Roman" w:hAnsi="Times New Roman" w:cs="Times New Roman"/>
          <w:lang w:val="de-DE"/>
        </w:rPr>
        <w:t>noticis</w:t>
      </w:r>
      <w:proofErr w:type="spellEnd"/>
      <w:r w:rsidRPr="00565D81">
        <w:rPr>
          <w:rFonts w:ascii="Times New Roman" w:hAnsi="Times New Roman" w:cs="Times New Roman"/>
          <w:lang w:val="de-DE"/>
        </w:rPr>
        <w:t xml:space="preserve"> </w:t>
      </w:r>
      <w:proofErr w:type="spellStart"/>
      <w:r w:rsidRPr="00565D81">
        <w:rPr>
          <w:rFonts w:ascii="Times New Roman" w:hAnsi="Times New Roman" w:cs="Times New Roman"/>
          <w:lang w:val="de-DE"/>
        </w:rPr>
        <w:t>vienpusējais</w:t>
      </w:r>
      <w:proofErr w:type="spellEnd"/>
      <w:r w:rsidRPr="00565D81">
        <w:rPr>
          <w:rFonts w:ascii="Times New Roman" w:hAnsi="Times New Roman" w:cs="Times New Roman"/>
          <w:lang w:val="de-DE"/>
        </w:rPr>
        <w:t xml:space="preserve"> </w:t>
      </w:r>
      <w:proofErr w:type="spellStart"/>
      <w:r w:rsidRPr="00565D81">
        <w:rPr>
          <w:rFonts w:ascii="Times New Roman" w:hAnsi="Times New Roman" w:cs="Times New Roman"/>
          <w:lang w:val="de-DE"/>
        </w:rPr>
        <w:t>darījums</w:t>
      </w:r>
      <w:proofErr w:type="spellEnd"/>
      <w:r w:rsidRPr="00565D81">
        <w:rPr>
          <w:rFonts w:ascii="Times New Roman" w:hAnsi="Times New Roman" w:cs="Times New Roman"/>
          <w:lang w:val="de-DE"/>
        </w:rPr>
        <w:t xml:space="preserve"> – </w:t>
      </w:r>
      <w:proofErr w:type="spellStart"/>
      <w:r w:rsidRPr="00565D81">
        <w:rPr>
          <w:rFonts w:ascii="Times New Roman" w:hAnsi="Times New Roman" w:cs="Times New Roman"/>
          <w:lang w:val="de-DE"/>
        </w:rPr>
        <w:t>pilnvaras</w:t>
      </w:r>
      <w:proofErr w:type="spellEnd"/>
      <w:r w:rsidRPr="00565D81">
        <w:rPr>
          <w:rFonts w:ascii="Times New Roman" w:hAnsi="Times New Roman" w:cs="Times New Roman"/>
          <w:lang w:val="de-DE"/>
        </w:rPr>
        <w:t xml:space="preserve"> </w:t>
      </w:r>
      <w:proofErr w:type="spellStart"/>
      <w:r w:rsidRPr="00565D81">
        <w:rPr>
          <w:rFonts w:ascii="Times New Roman" w:hAnsi="Times New Roman" w:cs="Times New Roman"/>
          <w:lang w:val="de-DE"/>
        </w:rPr>
        <w:t>izdošana</w:t>
      </w:r>
      <w:proofErr w:type="spellEnd"/>
      <w:r w:rsidRPr="00565D81">
        <w:rPr>
          <w:rFonts w:ascii="Times New Roman" w:hAnsi="Times New Roman" w:cs="Times New Roman"/>
          <w:lang w:val="de-DE"/>
        </w:rPr>
        <w:t xml:space="preserve">). </w:t>
      </w:r>
    </w:p>
    <w:p w14:paraId="721423A7" w14:textId="77777777" w:rsidR="00114953" w:rsidRPr="00565D81" w:rsidRDefault="00114953" w:rsidP="00114953">
      <w:pPr>
        <w:jc w:val="both"/>
        <w:rPr>
          <w:rFonts w:ascii="Times New Roman" w:hAnsi="Times New Roman" w:cs="Times New Roman"/>
          <w:lang w:val="de-DE"/>
        </w:rPr>
      </w:pPr>
      <w:r w:rsidRPr="00565D81">
        <w:rPr>
          <w:rFonts w:ascii="Times New Roman" w:hAnsi="Times New Roman" w:cs="Times New Roman"/>
          <w:lang w:val="de-DE"/>
        </w:rPr>
        <w:tab/>
      </w:r>
    </w:p>
    <w:p w14:paraId="09A8B2B6" w14:textId="77777777" w:rsidR="00114953" w:rsidRPr="000C7C76" w:rsidRDefault="00114953" w:rsidP="00114953">
      <w:pPr>
        <w:jc w:val="both"/>
        <w:rPr>
          <w:rFonts w:asciiTheme="majorBidi" w:hAnsiTheme="majorBidi" w:cstheme="majorBidi"/>
          <w:lang w:val="de-DE"/>
        </w:rPr>
      </w:pPr>
    </w:p>
    <w:p w14:paraId="27DC991B" w14:textId="77777777" w:rsidR="00114953" w:rsidRPr="000C7C76" w:rsidRDefault="00114953" w:rsidP="00114953">
      <w:pPr>
        <w:jc w:val="both"/>
        <w:rPr>
          <w:rFonts w:asciiTheme="majorBidi" w:hAnsiTheme="majorBidi" w:cstheme="majorBidi"/>
          <w:lang w:val="de-DE"/>
        </w:rPr>
      </w:pPr>
      <w:proofErr w:type="spellStart"/>
      <w:r w:rsidRPr="000C7C76">
        <w:rPr>
          <w:rFonts w:asciiTheme="majorBidi" w:hAnsiTheme="majorBidi" w:cstheme="majorBidi"/>
          <w:lang w:val="de-DE"/>
        </w:rPr>
        <w:t>Latvija</w:t>
      </w:r>
      <w:proofErr w:type="spellEnd"/>
      <w:r w:rsidRPr="000C7C76">
        <w:rPr>
          <w:rFonts w:asciiTheme="majorBidi" w:hAnsiTheme="majorBidi" w:cstheme="majorBidi"/>
          <w:lang w:val="de-DE"/>
        </w:rPr>
        <w:t xml:space="preserve"> </w:t>
      </w:r>
      <w:proofErr w:type="spellStart"/>
      <w:r w:rsidRPr="000C7C76">
        <w:rPr>
          <w:rFonts w:asciiTheme="majorBidi" w:hAnsiTheme="majorBidi" w:cstheme="majorBidi"/>
          <w:lang w:val="de-DE"/>
        </w:rPr>
        <w:t>ir</w:t>
      </w:r>
      <w:proofErr w:type="spellEnd"/>
      <w:r w:rsidRPr="000C7C76">
        <w:rPr>
          <w:rFonts w:asciiTheme="majorBidi" w:hAnsiTheme="majorBidi" w:cstheme="majorBidi"/>
          <w:lang w:val="de-DE"/>
        </w:rPr>
        <w:t xml:space="preserve"> </w:t>
      </w:r>
      <w:proofErr w:type="spellStart"/>
      <w:r w:rsidRPr="000C7C76">
        <w:rPr>
          <w:rFonts w:asciiTheme="majorBidi" w:hAnsiTheme="majorBidi" w:cstheme="majorBidi"/>
          <w:lang w:val="de-DE"/>
        </w:rPr>
        <w:t>noslēgusi</w:t>
      </w:r>
      <w:proofErr w:type="spellEnd"/>
      <w:r w:rsidRPr="000C7C76">
        <w:rPr>
          <w:rFonts w:asciiTheme="majorBidi" w:hAnsiTheme="majorBidi" w:cstheme="majorBidi"/>
          <w:lang w:val="de-DE"/>
        </w:rPr>
        <w:t xml:space="preserve"> </w:t>
      </w:r>
      <w:proofErr w:type="spellStart"/>
      <w:r w:rsidRPr="000C7C76">
        <w:rPr>
          <w:rFonts w:asciiTheme="majorBidi" w:hAnsiTheme="majorBidi" w:cstheme="majorBidi"/>
          <w:lang w:val="de-DE"/>
        </w:rPr>
        <w:t>arī</w:t>
      </w:r>
      <w:proofErr w:type="spellEnd"/>
      <w:r w:rsidRPr="000C7C76">
        <w:rPr>
          <w:rFonts w:asciiTheme="majorBidi" w:hAnsiTheme="majorBidi" w:cstheme="majorBidi"/>
          <w:lang w:val="de-DE"/>
        </w:rPr>
        <w:t xml:space="preserve"> </w:t>
      </w:r>
      <w:proofErr w:type="spellStart"/>
      <w:r w:rsidRPr="000C7C76">
        <w:rPr>
          <w:rFonts w:asciiTheme="majorBidi" w:hAnsiTheme="majorBidi" w:cstheme="majorBidi"/>
          <w:b/>
          <w:lang w:val="de-DE"/>
        </w:rPr>
        <w:t>tiesiskās</w:t>
      </w:r>
      <w:proofErr w:type="spellEnd"/>
      <w:r w:rsidRPr="000C7C76">
        <w:rPr>
          <w:rFonts w:asciiTheme="majorBidi" w:hAnsiTheme="majorBidi" w:cstheme="majorBidi"/>
          <w:b/>
          <w:lang w:val="de-DE"/>
        </w:rPr>
        <w:t xml:space="preserve"> </w:t>
      </w:r>
      <w:proofErr w:type="spellStart"/>
      <w:r w:rsidRPr="000C7C76">
        <w:rPr>
          <w:rFonts w:asciiTheme="majorBidi" w:hAnsiTheme="majorBidi" w:cstheme="majorBidi"/>
          <w:b/>
          <w:lang w:val="de-DE"/>
        </w:rPr>
        <w:t>palīdzības</w:t>
      </w:r>
      <w:proofErr w:type="spellEnd"/>
      <w:r w:rsidRPr="000C7C76">
        <w:rPr>
          <w:rFonts w:asciiTheme="majorBidi" w:hAnsiTheme="majorBidi" w:cstheme="majorBidi"/>
          <w:b/>
          <w:lang w:val="de-DE"/>
        </w:rPr>
        <w:t xml:space="preserve"> </w:t>
      </w:r>
      <w:proofErr w:type="spellStart"/>
      <w:r w:rsidRPr="000C7C76">
        <w:rPr>
          <w:rFonts w:asciiTheme="majorBidi" w:hAnsiTheme="majorBidi" w:cstheme="majorBidi"/>
          <w:b/>
          <w:lang w:val="de-DE"/>
        </w:rPr>
        <w:t>līgumus</w:t>
      </w:r>
      <w:proofErr w:type="spellEnd"/>
      <w:r w:rsidRPr="000C7C76">
        <w:rPr>
          <w:rFonts w:asciiTheme="majorBidi" w:hAnsiTheme="majorBidi" w:cstheme="majorBidi"/>
          <w:lang w:val="de-DE"/>
        </w:rPr>
        <w:t xml:space="preserve"> </w:t>
      </w:r>
      <w:proofErr w:type="spellStart"/>
      <w:r w:rsidRPr="000C7C76">
        <w:rPr>
          <w:rFonts w:asciiTheme="majorBidi" w:hAnsiTheme="majorBidi" w:cstheme="majorBidi"/>
          <w:lang w:val="de-DE"/>
        </w:rPr>
        <w:t>ar</w:t>
      </w:r>
      <w:proofErr w:type="spellEnd"/>
      <w:r w:rsidRPr="000C7C76">
        <w:rPr>
          <w:rFonts w:asciiTheme="majorBidi" w:hAnsiTheme="majorBidi" w:cstheme="majorBidi"/>
          <w:lang w:val="de-DE"/>
        </w:rPr>
        <w:t xml:space="preserve"> </w:t>
      </w:r>
      <w:proofErr w:type="spellStart"/>
      <w:r w:rsidRPr="000C7C76">
        <w:rPr>
          <w:rFonts w:asciiTheme="majorBidi" w:hAnsiTheme="majorBidi" w:cstheme="majorBidi"/>
          <w:lang w:val="de-DE"/>
        </w:rPr>
        <w:t>šādām</w:t>
      </w:r>
      <w:proofErr w:type="spellEnd"/>
      <w:r w:rsidRPr="000C7C76">
        <w:rPr>
          <w:rFonts w:asciiTheme="majorBidi" w:hAnsiTheme="majorBidi" w:cstheme="majorBidi"/>
          <w:lang w:val="de-DE"/>
        </w:rPr>
        <w:t xml:space="preserve"> </w:t>
      </w:r>
      <w:proofErr w:type="spellStart"/>
      <w:r w:rsidRPr="000C7C76">
        <w:rPr>
          <w:rFonts w:asciiTheme="majorBidi" w:hAnsiTheme="majorBidi" w:cstheme="majorBidi"/>
          <w:lang w:val="de-DE"/>
        </w:rPr>
        <w:t>valstīm</w:t>
      </w:r>
      <w:proofErr w:type="spellEnd"/>
      <w:r w:rsidRPr="000C7C76">
        <w:rPr>
          <w:rFonts w:asciiTheme="majorBidi" w:hAnsiTheme="majorBidi" w:cstheme="majorBidi"/>
          <w:lang w:val="de-DE"/>
        </w:rPr>
        <w:t>:</w:t>
      </w:r>
    </w:p>
    <w:p w14:paraId="54EA61FF" w14:textId="77777777" w:rsidR="00114953" w:rsidRPr="000C7C76" w:rsidRDefault="00114953" w:rsidP="00114953">
      <w:pPr>
        <w:ind w:firstLine="708"/>
        <w:jc w:val="both"/>
        <w:rPr>
          <w:rFonts w:asciiTheme="majorBidi" w:hAnsiTheme="majorBidi" w:cstheme="majorBidi"/>
          <w:highlight w:val="yellow"/>
          <w:lang w:val="de-DE"/>
        </w:rPr>
      </w:pPr>
    </w:p>
    <w:p w14:paraId="3EBE4E86" w14:textId="77777777" w:rsidR="00114953" w:rsidRPr="000C7C76" w:rsidRDefault="00114953" w:rsidP="00114953">
      <w:pPr>
        <w:ind w:firstLine="708"/>
        <w:jc w:val="both"/>
        <w:rPr>
          <w:rFonts w:asciiTheme="majorBidi" w:hAnsiTheme="majorBidi" w:cstheme="majorBidi"/>
          <w:lang w:val="de-DE"/>
        </w:rPr>
      </w:pPr>
      <w:r w:rsidRPr="000C7C76">
        <w:rPr>
          <w:rFonts w:asciiTheme="majorBidi" w:hAnsiTheme="majorBidi" w:cstheme="majorBidi"/>
          <w:lang w:val="de-DE"/>
        </w:rPr>
        <w:t xml:space="preserve">1) 1992.gada 11.novembra </w:t>
      </w:r>
      <w:proofErr w:type="spellStart"/>
      <w:r w:rsidRPr="000C7C76">
        <w:rPr>
          <w:rFonts w:asciiTheme="majorBidi" w:hAnsiTheme="majorBidi" w:cstheme="majorBidi"/>
          <w:lang w:val="de-DE"/>
        </w:rPr>
        <w:t>Līgums</w:t>
      </w:r>
      <w:proofErr w:type="spellEnd"/>
      <w:r w:rsidRPr="000C7C76">
        <w:rPr>
          <w:rFonts w:asciiTheme="majorBidi" w:hAnsiTheme="majorBidi" w:cstheme="majorBidi"/>
          <w:lang w:val="de-DE"/>
        </w:rPr>
        <w:t xml:space="preserve"> par </w:t>
      </w:r>
      <w:proofErr w:type="spellStart"/>
      <w:r w:rsidRPr="000C7C76">
        <w:rPr>
          <w:rFonts w:asciiTheme="majorBidi" w:hAnsiTheme="majorBidi" w:cstheme="majorBidi"/>
          <w:lang w:val="de-DE"/>
        </w:rPr>
        <w:t>tiesisko</w:t>
      </w:r>
      <w:proofErr w:type="spellEnd"/>
      <w:r w:rsidRPr="000C7C76">
        <w:rPr>
          <w:rFonts w:asciiTheme="majorBidi" w:hAnsiTheme="majorBidi" w:cstheme="majorBidi"/>
          <w:lang w:val="de-DE"/>
        </w:rPr>
        <w:t xml:space="preserve"> </w:t>
      </w:r>
      <w:proofErr w:type="spellStart"/>
      <w:r w:rsidRPr="000C7C76">
        <w:rPr>
          <w:rFonts w:asciiTheme="majorBidi" w:hAnsiTheme="majorBidi" w:cstheme="majorBidi"/>
          <w:lang w:val="de-DE"/>
        </w:rPr>
        <w:t>palīdzību</w:t>
      </w:r>
      <w:proofErr w:type="spellEnd"/>
      <w:r w:rsidRPr="000C7C76">
        <w:rPr>
          <w:rFonts w:asciiTheme="majorBidi" w:hAnsiTheme="majorBidi" w:cstheme="majorBidi"/>
          <w:lang w:val="de-DE"/>
        </w:rPr>
        <w:t xml:space="preserve"> </w:t>
      </w:r>
      <w:proofErr w:type="spellStart"/>
      <w:r w:rsidRPr="000C7C76">
        <w:rPr>
          <w:rFonts w:asciiTheme="majorBidi" w:hAnsiTheme="majorBidi" w:cstheme="majorBidi"/>
          <w:lang w:val="de-DE"/>
        </w:rPr>
        <w:t>un</w:t>
      </w:r>
      <w:proofErr w:type="spellEnd"/>
      <w:r w:rsidRPr="000C7C76">
        <w:rPr>
          <w:rFonts w:asciiTheme="majorBidi" w:hAnsiTheme="majorBidi" w:cstheme="majorBidi"/>
          <w:lang w:val="de-DE"/>
        </w:rPr>
        <w:t xml:space="preserve"> </w:t>
      </w:r>
      <w:proofErr w:type="spellStart"/>
      <w:r w:rsidRPr="000C7C76">
        <w:rPr>
          <w:rFonts w:asciiTheme="majorBidi" w:hAnsiTheme="majorBidi" w:cstheme="majorBidi"/>
          <w:lang w:val="de-DE"/>
        </w:rPr>
        <w:t>tiesiskajām</w:t>
      </w:r>
      <w:proofErr w:type="spellEnd"/>
      <w:r w:rsidRPr="000C7C76">
        <w:rPr>
          <w:rFonts w:asciiTheme="majorBidi" w:hAnsiTheme="majorBidi" w:cstheme="majorBidi"/>
          <w:lang w:val="de-DE"/>
        </w:rPr>
        <w:t xml:space="preserve"> </w:t>
      </w:r>
      <w:proofErr w:type="spellStart"/>
      <w:r w:rsidRPr="000C7C76">
        <w:rPr>
          <w:rFonts w:asciiTheme="majorBidi" w:hAnsiTheme="majorBidi" w:cstheme="majorBidi"/>
          <w:lang w:val="de-DE"/>
        </w:rPr>
        <w:t>attiecībām</w:t>
      </w:r>
      <w:proofErr w:type="spellEnd"/>
      <w:r w:rsidRPr="000C7C76">
        <w:rPr>
          <w:rFonts w:asciiTheme="majorBidi" w:hAnsiTheme="majorBidi" w:cstheme="majorBidi"/>
          <w:lang w:val="de-DE"/>
        </w:rPr>
        <w:t xml:space="preserve"> </w:t>
      </w:r>
      <w:proofErr w:type="spellStart"/>
      <w:r w:rsidRPr="000C7C76">
        <w:rPr>
          <w:rFonts w:asciiTheme="majorBidi" w:hAnsiTheme="majorBidi" w:cstheme="majorBidi"/>
          <w:lang w:val="de-DE"/>
        </w:rPr>
        <w:t>starp</w:t>
      </w:r>
      <w:proofErr w:type="spellEnd"/>
      <w:r w:rsidRPr="000C7C76">
        <w:rPr>
          <w:rFonts w:asciiTheme="majorBidi" w:hAnsiTheme="majorBidi" w:cstheme="majorBidi"/>
          <w:lang w:val="de-DE"/>
        </w:rPr>
        <w:t xml:space="preserve"> Latvijas </w:t>
      </w:r>
      <w:proofErr w:type="spellStart"/>
      <w:r w:rsidRPr="000C7C76">
        <w:rPr>
          <w:rFonts w:asciiTheme="majorBidi" w:hAnsiTheme="majorBidi" w:cstheme="majorBidi"/>
          <w:lang w:val="de-DE"/>
        </w:rPr>
        <w:t>Republiku</w:t>
      </w:r>
      <w:proofErr w:type="spellEnd"/>
      <w:r w:rsidRPr="000C7C76">
        <w:rPr>
          <w:rFonts w:asciiTheme="majorBidi" w:hAnsiTheme="majorBidi" w:cstheme="majorBidi"/>
          <w:lang w:val="de-DE"/>
        </w:rPr>
        <w:t xml:space="preserve">, </w:t>
      </w:r>
      <w:proofErr w:type="spellStart"/>
      <w:r w:rsidRPr="000C7C76">
        <w:rPr>
          <w:rFonts w:asciiTheme="majorBidi" w:hAnsiTheme="majorBidi" w:cstheme="majorBidi"/>
          <w:b/>
          <w:lang w:val="de-DE"/>
        </w:rPr>
        <w:t>Igaunijas</w:t>
      </w:r>
      <w:proofErr w:type="spellEnd"/>
      <w:r w:rsidRPr="000C7C76">
        <w:rPr>
          <w:rFonts w:asciiTheme="majorBidi" w:hAnsiTheme="majorBidi" w:cstheme="majorBidi"/>
          <w:b/>
          <w:lang w:val="de-DE"/>
        </w:rPr>
        <w:t xml:space="preserve"> </w:t>
      </w:r>
      <w:proofErr w:type="spellStart"/>
      <w:r w:rsidRPr="000C7C76">
        <w:rPr>
          <w:rFonts w:asciiTheme="majorBidi" w:hAnsiTheme="majorBidi" w:cstheme="majorBidi"/>
          <w:b/>
          <w:lang w:val="de-DE"/>
        </w:rPr>
        <w:t>Republiku</w:t>
      </w:r>
      <w:proofErr w:type="spellEnd"/>
      <w:r w:rsidRPr="000C7C76">
        <w:rPr>
          <w:rFonts w:asciiTheme="majorBidi" w:hAnsiTheme="majorBidi" w:cstheme="majorBidi"/>
          <w:lang w:val="de-DE"/>
        </w:rPr>
        <w:t xml:space="preserve"> </w:t>
      </w:r>
      <w:proofErr w:type="spellStart"/>
      <w:r w:rsidRPr="000C7C76">
        <w:rPr>
          <w:rFonts w:asciiTheme="majorBidi" w:hAnsiTheme="majorBidi" w:cstheme="majorBidi"/>
          <w:lang w:val="de-DE"/>
        </w:rPr>
        <w:t>un</w:t>
      </w:r>
      <w:proofErr w:type="spellEnd"/>
      <w:r w:rsidRPr="000C7C76">
        <w:rPr>
          <w:rFonts w:asciiTheme="majorBidi" w:hAnsiTheme="majorBidi" w:cstheme="majorBidi"/>
          <w:lang w:val="de-DE"/>
        </w:rPr>
        <w:t xml:space="preserve"> </w:t>
      </w:r>
      <w:proofErr w:type="spellStart"/>
      <w:r w:rsidRPr="000C7C76">
        <w:rPr>
          <w:rFonts w:asciiTheme="majorBidi" w:hAnsiTheme="majorBidi" w:cstheme="majorBidi"/>
          <w:b/>
          <w:lang w:val="de-DE"/>
        </w:rPr>
        <w:t>Lietuvas</w:t>
      </w:r>
      <w:proofErr w:type="spellEnd"/>
      <w:r w:rsidRPr="000C7C76">
        <w:rPr>
          <w:rFonts w:asciiTheme="majorBidi" w:hAnsiTheme="majorBidi" w:cstheme="majorBidi"/>
          <w:b/>
          <w:lang w:val="de-DE"/>
        </w:rPr>
        <w:t xml:space="preserve"> </w:t>
      </w:r>
      <w:proofErr w:type="spellStart"/>
      <w:r w:rsidRPr="000C7C76">
        <w:rPr>
          <w:rFonts w:asciiTheme="majorBidi" w:hAnsiTheme="majorBidi" w:cstheme="majorBidi"/>
          <w:b/>
          <w:lang w:val="de-DE"/>
        </w:rPr>
        <w:t>Republiku</w:t>
      </w:r>
      <w:proofErr w:type="spellEnd"/>
      <w:r w:rsidRPr="005815C3">
        <w:rPr>
          <w:rStyle w:val="FootnoteReference"/>
          <w:rFonts w:asciiTheme="majorBidi" w:hAnsiTheme="majorBidi" w:cstheme="majorBidi"/>
        </w:rPr>
        <w:footnoteReference w:id="53"/>
      </w:r>
      <w:r w:rsidRPr="000C7C76">
        <w:rPr>
          <w:rFonts w:asciiTheme="majorBidi" w:hAnsiTheme="majorBidi" w:cstheme="majorBidi"/>
          <w:lang w:val="de-DE"/>
        </w:rPr>
        <w:t xml:space="preserve"> (</w:t>
      </w:r>
      <w:proofErr w:type="spellStart"/>
      <w:r w:rsidRPr="000C7C76">
        <w:rPr>
          <w:rFonts w:asciiTheme="majorBidi" w:hAnsiTheme="majorBidi" w:cstheme="majorBidi"/>
          <w:i/>
          <w:lang w:val="de-DE"/>
        </w:rPr>
        <w:t>piemērojams</w:t>
      </w:r>
      <w:proofErr w:type="spellEnd"/>
      <w:r w:rsidRPr="000C7C76">
        <w:rPr>
          <w:rFonts w:asciiTheme="majorBidi" w:hAnsiTheme="majorBidi" w:cstheme="majorBidi"/>
          <w:i/>
          <w:lang w:val="de-DE"/>
        </w:rPr>
        <w:t xml:space="preserve"> </w:t>
      </w:r>
      <w:proofErr w:type="spellStart"/>
      <w:r w:rsidRPr="000C7C76">
        <w:rPr>
          <w:rFonts w:asciiTheme="majorBidi" w:hAnsiTheme="majorBidi" w:cstheme="majorBidi"/>
          <w:i/>
          <w:lang w:val="de-DE"/>
        </w:rPr>
        <w:t>tikai</w:t>
      </w:r>
      <w:proofErr w:type="spellEnd"/>
      <w:r w:rsidRPr="000C7C76">
        <w:rPr>
          <w:rFonts w:asciiTheme="majorBidi" w:hAnsiTheme="majorBidi" w:cstheme="majorBidi"/>
          <w:i/>
          <w:lang w:val="de-DE"/>
        </w:rPr>
        <w:t xml:space="preserve"> </w:t>
      </w:r>
      <w:proofErr w:type="spellStart"/>
      <w:r w:rsidRPr="000C7C76">
        <w:rPr>
          <w:rFonts w:asciiTheme="majorBidi" w:hAnsiTheme="majorBidi" w:cstheme="majorBidi"/>
          <w:i/>
          <w:lang w:val="de-DE"/>
        </w:rPr>
        <w:t>tajās</w:t>
      </w:r>
      <w:proofErr w:type="spellEnd"/>
      <w:r w:rsidRPr="000C7C76">
        <w:rPr>
          <w:rFonts w:asciiTheme="majorBidi" w:hAnsiTheme="majorBidi" w:cstheme="majorBidi"/>
          <w:i/>
          <w:lang w:val="de-DE"/>
        </w:rPr>
        <w:t xml:space="preserve"> </w:t>
      </w:r>
      <w:proofErr w:type="spellStart"/>
      <w:r w:rsidRPr="000C7C76">
        <w:rPr>
          <w:rFonts w:asciiTheme="majorBidi" w:hAnsiTheme="majorBidi" w:cstheme="majorBidi"/>
          <w:i/>
          <w:lang w:val="de-DE"/>
        </w:rPr>
        <w:t>lietu</w:t>
      </w:r>
      <w:proofErr w:type="spellEnd"/>
      <w:r w:rsidRPr="000C7C76">
        <w:rPr>
          <w:rFonts w:asciiTheme="majorBidi" w:hAnsiTheme="majorBidi" w:cstheme="majorBidi"/>
          <w:i/>
          <w:lang w:val="de-DE"/>
        </w:rPr>
        <w:t xml:space="preserve"> </w:t>
      </w:r>
      <w:proofErr w:type="spellStart"/>
      <w:r w:rsidRPr="000C7C76">
        <w:rPr>
          <w:rFonts w:asciiTheme="majorBidi" w:hAnsiTheme="majorBidi" w:cstheme="majorBidi"/>
          <w:i/>
          <w:lang w:val="de-DE"/>
        </w:rPr>
        <w:t>kategorijās</w:t>
      </w:r>
      <w:proofErr w:type="spellEnd"/>
      <w:r w:rsidRPr="000C7C76">
        <w:rPr>
          <w:rFonts w:asciiTheme="majorBidi" w:hAnsiTheme="majorBidi" w:cstheme="majorBidi"/>
          <w:i/>
          <w:lang w:val="de-DE"/>
        </w:rPr>
        <w:t xml:space="preserve"> </w:t>
      </w:r>
      <w:proofErr w:type="spellStart"/>
      <w:r w:rsidRPr="000C7C76">
        <w:rPr>
          <w:rFonts w:asciiTheme="majorBidi" w:hAnsiTheme="majorBidi" w:cstheme="majorBidi"/>
          <w:i/>
          <w:lang w:val="de-DE"/>
        </w:rPr>
        <w:t>un</w:t>
      </w:r>
      <w:proofErr w:type="spellEnd"/>
      <w:r w:rsidRPr="000C7C76">
        <w:rPr>
          <w:rFonts w:asciiTheme="majorBidi" w:hAnsiTheme="majorBidi" w:cstheme="majorBidi"/>
          <w:i/>
          <w:lang w:val="de-DE"/>
        </w:rPr>
        <w:t xml:space="preserve"> </w:t>
      </w:r>
      <w:proofErr w:type="spellStart"/>
      <w:r w:rsidRPr="000C7C76">
        <w:rPr>
          <w:rFonts w:asciiTheme="majorBidi" w:hAnsiTheme="majorBidi" w:cstheme="majorBidi"/>
          <w:i/>
          <w:lang w:val="de-DE"/>
        </w:rPr>
        <w:t>gadījumos</w:t>
      </w:r>
      <w:proofErr w:type="spellEnd"/>
      <w:r w:rsidRPr="000C7C76">
        <w:rPr>
          <w:rFonts w:asciiTheme="majorBidi" w:hAnsiTheme="majorBidi" w:cstheme="majorBidi"/>
          <w:i/>
          <w:lang w:val="de-DE"/>
        </w:rPr>
        <w:t xml:space="preserve">, kur </w:t>
      </w:r>
      <w:proofErr w:type="spellStart"/>
      <w:r w:rsidRPr="000C7C76">
        <w:rPr>
          <w:rFonts w:asciiTheme="majorBidi" w:hAnsiTheme="majorBidi" w:cstheme="majorBidi"/>
          <w:i/>
          <w:lang w:val="de-DE"/>
        </w:rPr>
        <w:t>nav</w:t>
      </w:r>
      <w:proofErr w:type="spellEnd"/>
      <w:r w:rsidRPr="000C7C76">
        <w:rPr>
          <w:rFonts w:asciiTheme="majorBidi" w:hAnsiTheme="majorBidi" w:cstheme="majorBidi"/>
          <w:i/>
          <w:lang w:val="de-DE"/>
        </w:rPr>
        <w:t xml:space="preserve"> </w:t>
      </w:r>
      <w:proofErr w:type="spellStart"/>
      <w:r w:rsidRPr="000C7C76">
        <w:rPr>
          <w:rFonts w:asciiTheme="majorBidi" w:hAnsiTheme="majorBidi" w:cstheme="majorBidi"/>
          <w:i/>
          <w:lang w:val="de-DE"/>
        </w:rPr>
        <w:t>piemērojama</w:t>
      </w:r>
      <w:proofErr w:type="spellEnd"/>
      <w:r w:rsidRPr="000C7C76">
        <w:rPr>
          <w:rFonts w:asciiTheme="majorBidi" w:hAnsiTheme="majorBidi" w:cstheme="majorBidi"/>
          <w:i/>
          <w:lang w:val="de-DE"/>
        </w:rPr>
        <w:t xml:space="preserve"> </w:t>
      </w:r>
      <w:proofErr w:type="spellStart"/>
      <w:r w:rsidRPr="000C7C76">
        <w:rPr>
          <w:rFonts w:asciiTheme="majorBidi" w:hAnsiTheme="majorBidi" w:cstheme="majorBidi"/>
          <w:i/>
          <w:lang w:val="de-DE"/>
        </w:rPr>
        <w:t>kāda</w:t>
      </w:r>
      <w:proofErr w:type="spellEnd"/>
      <w:r w:rsidRPr="000C7C76">
        <w:rPr>
          <w:rFonts w:asciiTheme="majorBidi" w:hAnsiTheme="majorBidi" w:cstheme="majorBidi"/>
          <w:i/>
          <w:lang w:val="de-DE"/>
        </w:rPr>
        <w:t xml:space="preserve"> </w:t>
      </w:r>
      <w:proofErr w:type="spellStart"/>
      <w:r w:rsidRPr="000C7C76">
        <w:rPr>
          <w:rFonts w:asciiTheme="majorBidi" w:hAnsiTheme="majorBidi" w:cstheme="majorBidi"/>
          <w:i/>
          <w:lang w:val="de-DE"/>
        </w:rPr>
        <w:t>no</w:t>
      </w:r>
      <w:proofErr w:type="spellEnd"/>
      <w:r w:rsidRPr="000C7C76">
        <w:rPr>
          <w:rFonts w:asciiTheme="majorBidi" w:hAnsiTheme="majorBidi" w:cstheme="majorBidi"/>
          <w:i/>
          <w:lang w:val="de-DE"/>
        </w:rPr>
        <w:t xml:space="preserve"> ES </w:t>
      </w:r>
      <w:proofErr w:type="spellStart"/>
      <w:r w:rsidRPr="000C7C76">
        <w:rPr>
          <w:rFonts w:asciiTheme="majorBidi" w:hAnsiTheme="majorBidi" w:cstheme="majorBidi"/>
          <w:i/>
          <w:lang w:val="de-DE"/>
        </w:rPr>
        <w:t>regulām</w:t>
      </w:r>
      <w:proofErr w:type="spellEnd"/>
      <w:r w:rsidRPr="00B72FCB">
        <w:rPr>
          <w:rStyle w:val="FootnoteReference"/>
          <w:rFonts w:asciiTheme="majorBidi" w:hAnsiTheme="majorBidi" w:cstheme="majorBidi"/>
        </w:rPr>
        <w:footnoteReference w:id="54"/>
      </w:r>
      <w:r w:rsidRPr="000C7C76">
        <w:rPr>
          <w:rFonts w:asciiTheme="majorBidi" w:hAnsiTheme="majorBidi" w:cstheme="majorBidi"/>
          <w:lang w:val="de-DE"/>
        </w:rPr>
        <w:t>);</w:t>
      </w:r>
    </w:p>
    <w:p w14:paraId="25D7512F" w14:textId="77777777" w:rsidR="00114953" w:rsidRPr="000C7C76" w:rsidRDefault="00114953" w:rsidP="00114953">
      <w:pPr>
        <w:ind w:firstLine="708"/>
        <w:jc w:val="both"/>
        <w:rPr>
          <w:rFonts w:asciiTheme="majorBidi" w:hAnsiTheme="majorBidi" w:cstheme="majorBidi"/>
          <w:lang w:val="de-DE"/>
        </w:rPr>
      </w:pPr>
    </w:p>
    <w:p w14:paraId="50523E22" w14:textId="77777777" w:rsidR="00114953" w:rsidRPr="000C7C76" w:rsidRDefault="00114953" w:rsidP="00114953">
      <w:pPr>
        <w:ind w:firstLine="708"/>
        <w:jc w:val="both"/>
        <w:rPr>
          <w:rFonts w:asciiTheme="majorBidi" w:hAnsiTheme="majorBidi" w:cstheme="majorBidi"/>
          <w:lang w:val="de-DE"/>
        </w:rPr>
      </w:pPr>
      <w:r w:rsidRPr="000C7C76">
        <w:rPr>
          <w:rFonts w:asciiTheme="majorBidi" w:hAnsiTheme="majorBidi" w:cstheme="majorBidi"/>
          <w:lang w:val="de-DE"/>
        </w:rPr>
        <w:t xml:space="preserve">2) 1993.gada 3.februāra </w:t>
      </w:r>
      <w:proofErr w:type="spellStart"/>
      <w:r w:rsidRPr="000C7C76">
        <w:rPr>
          <w:rFonts w:asciiTheme="majorBidi" w:hAnsiTheme="majorBidi" w:cstheme="majorBidi"/>
          <w:lang w:val="de-DE"/>
        </w:rPr>
        <w:t>Līgums</w:t>
      </w:r>
      <w:proofErr w:type="spellEnd"/>
      <w:r w:rsidRPr="000C7C76">
        <w:rPr>
          <w:rFonts w:asciiTheme="majorBidi" w:hAnsiTheme="majorBidi" w:cstheme="majorBidi"/>
          <w:lang w:val="de-DE"/>
        </w:rPr>
        <w:t xml:space="preserve"> </w:t>
      </w:r>
      <w:proofErr w:type="spellStart"/>
      <w:r w:rsidRPr="000C7C76">
        <w:rPr>
          <w:rFonts w:asciiTheme="majorBidi" w:hAnsiTheme="majorBidi" w:cstheme="majorBidi"/>
          <w:lang w:val="de-DE"/>
        </w:rPr>
        <w:t>starp</w:t>
      </w:r>
      <w:proofErr w:type="spellEnd"/>
      <w:r w:rsidRPr="000C7C76">
        <w:rPr>
          <w:rFonts w:asciiTheme="majorBidi" w:hAnsiTheme="majorBidi" w:cstheme="majorBidi"/>
          <w:lang w:val="de-DE"/>
        </w:rPr>
        <w:t xml:space="preserve"> Latvijas </w:t>
      </w:r>
      <w:proofErr w:type="spellStart"/>
      <w:r w:rsidRPr="000C7C76">
        <w:rPr>
          <w:rFonts w:asciiTheme="majorBidi" w:hAnsiTheme="majorBidi" w:cstheme="majorBidi"/>
          <w:lang w:val="de-DE"/>
        </w:rPr>
        <w:t>Republiku</w:t>
      </w:r>
      <w:proofErr w:type="spellEnd"/>
      <w:r w:rsidRPr="000C7C76">
        <w:rPr>
          <w:rFonts w:asciiTheme="majorBidi" w:hAnsiTheme="majorBidi" w:cstheme="majorBidi"/>
          <w:lang w:val="de-DE"/>
        </w:rPr>
        <w:t xml:space="preserve"> </w:t>
      </w:r>
      <w:proofErr w:type="spellStart"/>
      <w:r w:rsidRPr="000C7C76">
        <w:rPr>
          <w:rFonts w:asciiTheme="majorBidi" w:hAnsiTheme="majorBidi" w:cstheme="majorBidi"/>
          <w:lang w:val="de-DE"/>
        </w:rPr>
        <w:t>un</w:t>
      </w:r>
      <w:proofErr w:type="spellEnd"/>
      <w:r w:rsidRPr="000C7C76">
        <w:rPr>
          <w:rFonts w:asciiTheme="majorBidi" w:hAnsiTheme="majorBidi" w:cstheme="majorBidi"/>
          <w:lang w:val="de-DE"/>
        </w:rPr>
        <w:t xml:space="preserve"> </w:t>
      </w:r>
      <w:proofErr w:type="spellStart"/>
      <w:r w:rsidRPr="000C7C76">
        <w:rPr>
          <w:rFonts w:asciiTheme="majorBidi" w:hAnsiTheme="majorBidi" w:cstheme="majorBidi"/>
          <w:b/>
          <w:lang w:val="de-DE"/>
        </w:rPr>
        <w:t>Krievijas</w:t>
      </w:r>
      <w:proofErr w:type="spellEnd"/>
      <w:r w:rsidRPr="000C7C76">
        <w:rPr>
          <w:rFonts w:asciiTheme="majorBidi" w:hAnsiTheme="majorBidi" w:cstheme="majorBidi"/>
          <w:b/>
          <w:lang w:val="de-DE"/>
        </w:rPr>
        <w:t xml:space="preserve"> </w:t>
      </w:r>
      <w:proofErr w:type="spellStart"/>
      <w:r w:rsidRPr="000C7C76">
        <w:rPr>
          <w:rFonts w:asciiTheme="majorBidi" w:hAnsiTheme="majorBidi" w:cstheme="majorBidi"/>
          <w:b/>
          <w:lang w:val="de-DE"/>
        </w:rPr>
        <w:t>Federāciju</w:t>
      </w:r>
      <w:proofErr w:type="spellEnd"/>
      <w:r w:rsidRPr="000C7C76">
        <w:rPr>
          <w:rFonts w:asciiTheme="majorBidi" w:hAnsiTheme="majorBidi" w:cstheme="majorBidi"/>
          <w:lang w:val="de-DE"/>
        </w:rPr>
        <w:t xml:space="preserve"> par </w:t>
      </w:r>
      <w:proofErr w:type="spellStart"/>
      <w:r w:rsidRPr="000C7C76">
        <w:rPr>
          <w:rFonts w:asciiTheme="majorBidi" w:hAnsiTheme="majorBidi" w:cstheme="majorBidi"/>
          <w:lang w:val="de-DE"/>
        </w:rPr>
        <w:t>tiesisko</w:t>
      </w:r>
      <w:proofErr w:type="spellEnd"/>
      <w:r w:rsidRPr="000C7C76">
        <w:rPr>
          <w:rFonts w:asciiTheme="majorBidi" w:hAnsiTheme="majorBidi" w:cstheme="majorBidi"/>
          <w:lang w:val="de-DE"/>
        </w:rPr>
        <w:t xml:space="preserve"> </w:t>
      </w:r>
      <w:proofErr w:type="spellStart"/>
      <w:r w:rsidRPr="000C7C76">
        <w:rPr>
          <w:rFonts w:asciiTheme="majorBidi" w:hAnsiTheme="majorBidi" w:cstheme="majorBidi"/>
          <w:lang w:val="de-DE"/>
        </w:rPr>
        <w:t>palīdzību</w:t>
      </w:r>
      <w:proofErr w:type="spellEnd"/>
      <w:r w:rsidRPr="000C7C76">
        <w:rPr>
          <w:rFonts w:asciiTheme="majorBidi" w:hAnsiTheme="majorBidi" w:cstheme="majorBidi"/>
          <w:lang w:val="de-DE"/>
        </w:rPr>
        <w:t xml:space="preserve"> </w:t>
      </w:r>
      <w:proofErr w:type="spellStart"/>
      <w:r w:rsidRPr="000C7C76">
        <w:rPr>
          <w:rFonts w:asciiTheme="majorBidi" w:hAnsiTheme="majorBidi" w:cstheme="majorBidi"/>
          <w:lang w:val="de-DE"/>
        </w:rPr>
        <w:t>un</w:t>
      </w:r>
      <w:proofErr w:type="spellEnd"/>
      <w:r w:rsidRPr="000C7C76">
        <w:rPr>
          <w:rFonts w:asciiTheme="majorBidi" w:hAnsiTheme="majorBidi" w:cstheme="majorBidi"/>
          <w:lang w:val="de-DE"/>
        </w:rPr>
        <w:t xml:space="preserve"> </w:t>
      </w:r>
      <w:proofErr w:type="spellStart"/>
      <w:r w:rsidRPr="000C7C76">
        <w:rPr>
          <w:rFonts w:asciiTheme="majorBidi" w:hAnsiTheme="majorBidi" w:cstheme="majorBidi"/>
          <w:lang w:val="de-DE"/>
        </w:rPr>
        <w:t>tiesiskajām</w:t>
      </w:r>
      <w:proofErr w:type="spellEnd"/>
      <w:r w:rsidRPr="000C7C76">
        <w:rPr>
          <w:rFonts w:asciiTheme="majorBidi" w:hAnsiTheme="majorBidi" w:cstheme="majorBidi"/>
          <w:lang w:val="de-DE"/>
        </w:rPr>
        <w:t xml:space="preserve"> </w:t>
      </w:r>
      <w:proofErr w:type="spellStart"/>
      <w:r w:rsidRPr="000C7C76">
        <w:rPr>
          <w:rFonts w:asciiTheme="majorBidi" w:hAnsiTheme="majorBidi" w:cstheme="majorBidi"/>
          <w:lang w:val="de-DE"/>
        </w:rPr>
        <w:t>attiecībām</w:t>
      </w:r>
      <w:proofErr w:type="spellEnd"/>
      <w:r w:rsidRPr="000C7C76">
        <w:rPr>
          <w:rFonts w:asciiTheme="majorBidi" w:hAnsiTheme="majorBidi" w:cstheme="majorBidi"/>
          <w:lang w:val="de-DE"/>
        </w:rPr>
        <w:t xml:space="preserve"> </w:t>
      </w:r>
      <w:proofErr w:type="spellStart"/>
      <w:r w:rsidRPr="000C7C76">
        <w:rPr>
          <w:rFonts w:asciiTheme="majorBidi" w:hAnsiTheme="majorBidi" w:cstheme="majorBidi"/>
          <w:lang w:val="de-DE"/>
        </w:rPr>
        <w:t>civilajās</w:t>
      </w:r>
      <w:proofErr w:type="spellEnd"/>
      <w:r w:rsidRPr="000C7C76">
        <w:rPr>
          <w:rFonts w:asciiTheme="majorBidi" w:hAnsiTheme="majorBidi" w:cstheme="majorBidi"/>
          <w:lang w:val="de-DE"/>
        </w:rPr>
        <w:t xml:space="preserve">, </w:t>
      </w:r>
      <w:proofErr w:type="spellStart"/>
      <w:r w:rsidRPr="000C7C76">
        <w:rPr>
          <w:rFonts w:asciiTheme="majorBidi" w:hAnsiTheme="majorBidi" w:cstheme="majorBidi"/>
          <w:lang w:val="de-DE"/>
        </w:rPr>
        <w:t>ģimenes</w:t>
      </w:r>
      <w:proofErr w:type="spellEnd"/>
      <w:r w:rsidRPr="000C7C76">
        <w:rPr>
          <w:rFonts w:asciiTheme="majorBidi" w:hAnsiTheme="majorBidi" w:cstheme="majorBidi"/>
          <w:lang w:val="de-DE"/>
        </w:rPr>
        <w:t xml:space="preserve">, </w:t>
      </w:r>
      <w:proofErr w:type="spellStart"/>
      <w:r w:rsidRPr="000C7C76">
        <w:rPr>
          <w:rFonts w:asciiTheme="majorBidi" w:hAnsiTheme="majorBidi" w:cstheme="majorBidi"/>
          <w:lang w:val="de-DE"/>
        </w:rPr>
        <w:t>darba</w:t>
      </w:r>
      <w:proofErr w:type="spellEnd"/>
      <w:r w:rsidRPr="000C7C76">
        <w:rPr>
          <w:rFonts w:asciiTheme="majorBidi" w:hAnsiTheme="majorBidi" w:cstheme="majorBidi"/>
          <w:lang w:val="de-DE"/>
        </w:rPr>
        <w:t xml:space="preserve"> </w:t>
      </w:r>
      <w:proofErr w:type="spellStart"/>
      <w:r w:rsidRPr="000C7C76">
        <w:rPr>
          <w:rFonts w:asciiTheme="majorBidi" w:hAnsiTheme="majorBidi" w:cstheme="majorBidi"/>
          <w:lang w:val="de-DE"/>
        </w:rPr>
        <w:t>un</w:t>
      </w:r>
      <w:proofErr w:type="spellEnd"/>
      <w:r w:rsidRPr="000C7C76">
        <w:rPr>
          <w:rFonts w:asciiTheme="majorBidi" w:hAnsiTheme="majorBidi" w:cstheme="majorBidi"/>
          <w:lang w:val="de-DE"/>
        </w:rPr>
        <w:t xml:space="preserve"> </w:t>
      </w:r>
      <w:proofErr w:type="spellStart"/>
      <w:r w:rsidRPr="000C7C76">
        <w:rPr>
          <w:rFonts w:asciiTheme="majorBidi" w:hAnsiTheme="majorBidi" w:cstheme="majorBidi"/>
          <w:lang w:val="de-DE"/>
        </w:rPr>
        <w:t>krimināllietās</w:t>
      </w:r>
      <w:proofErr w:type="spellEnd"/>
      <w:r>
        <w:rPr>
          <w:rStyle w:val="FootnoteReference"/>
          <w:rFonts w:asciiTheme="majorBidi" w:hAnsiTheme="majorBidi" w:cstheme="majorBidi"/>
        </w:rPr>
        <w:footnoteReference w:id="55"/>
      </w:r>
      <w:r w:rsidRPr="000C7C76">
        <w:rPr>
          <w:rFonts w:asciiTheme="majorBidi" w:hAnsiTheme="majorBidi" w:cstheme="majorBidi"/>
          <w:lang w:val="de-DE"/>
        </w:rPr>
        <w:t>;</w:t>
      </w:r>
    </w:p>
    <w:p w14:paraId="7E2671D1" w14:textId="77777777" w:rsidR="00114953" w:rsidRPr="000C7C76" w:rsidRDefault="00114953" w:rsidP="00114953">
      <w:pPr>
        <w:ind w:firstLine="708"/>
        <w:jc w:val="both"/>
        <w:rPr>
          <w:rFonts w:asciiTheme="majorBidi" w:hAnsiTheme="majorBidi" w:cstheme="majorBidi"/>
          <w:lang w:val="de-DE"/>
        </w:rPr>
      </w:pPr>
    </w:p>
    <w:p w14:paraId="23E96C78" w14:textId="77777777" w:rsidR="00114953" w:rsidRPr="000C7C76" w:rsidRDefault="00114953" w:rsidP="00114953">
      <w:pPr>
        <w:ind w:firstLine="708"/>
        <w:jc w:val="both"/>
        <w:rPr>
          <w:rFonts w:asciiTheme="majorBidi" w:hAnsiTheme="majorBidi" w:cstheme="majorBidi"/>
          <w:lang w:val="de-DE"/>
        </w:rPr>
      </w:pPr>
      <w:r w:rsidRPr="000C7C76">
        <w:rPr>
          <w:rFonts w:asciiTheme="majorBidi" w:hAnsiTheme="majorBidi" w:cstheme="majorBidi"/>
          <w:lang w:val="de-DE"/>
        </w:rPr>
        <w:t xml:space="preserve">3) 1993.gada 14.aprīļa </w:t>
      </w:r>
      <w:proofErr w:type="spellStart"/>
      <w:r w:rsidRPr="000C7C76">
        <w:rPr>
          <w:rFonts w:asciiTheme="majorBidi" w:hAnsiTheme="majorBidi" w:cstheme="majorBidi"/>
          <w:lang w:val="de-DE"/>
        </w:rPr>
        <w:t>Līgums</w:t>
      </w:r>
      <w:proofErr w:type="spellEnd"/>
      <w:r w:rsidRPr="000C7C76">
        <w:rPr>
          <w:rFonts w:asciiTheme="majorBidi" w:hAnsiTheme="majorBidi" w:cstheme="majorBidi"/>
          <w:lang w:val="de-DE"/>
        </w:rPr>
        <w:t xml:space="preserve"> </w:t>
      </w:r>
      <w:proofErr w:type="spellStart"/>
      <w:r w:rsidRPr="000C7C76">
        <w:rPr>
          <w:rFonts w:asciiTheme="majorBidi" w:hAnsiTheme="majorBidi" w:cstheme="majorBidi"/>
          <w:lang w:val="de-DE"/>
        </w:rPr>
        <w:t>starp</w:t>
      </w:r>
      <w:proofErr w:type="spellEnd"/>
      <w:r w:rsidRPr="000C7C76">
        <w:rPr>
          <w:rFonts w:asciiTheme="majorBidi" w:hAnsiTheme="majorBidi" w:cstheme="majorBidi"/>
          <w:lang w:val="de-DE"/>
        </w:rPr>
        <w:t xml:space="preserve"> Latvijas </w:t>
      </w:r>
      <w:proofErr w:type="spellStart"/>
      <w:r w:rsidRPr="000C7C76">
        <w:rPr>
          <w:rFonts w:asciiTheme="majorBidi" w:hAnsiTheme="majorBidi" w:cstheme="majorBidi"/>
          <w:lang w:val="de-DE"/>
        </w:rPr>
        <w:t>Republiku</w:t>
      </w:r>
      <w:proofErr w:type="spellEnd"/>
      <w:r w:rsidRPr="000C7C76">
        <w:rPr>
          <w:rFonts w:asciiTheme="majorBidi" w:hAnsiTheme="majorBidi" w:cstheme="majorBidi"/>
          <w:lang w:val="de-DE"/>
        </w:rPr>
        <w:t xml:space="preserve"> </w:t>
      </w:r>
      <w:proofErr w:type="spellStart"/>
      <w:r w:rsidRPr="000C7C76">
        <w:rPr>
          <w:rFonts w:asciiTheme="majorBidi" w:hAnsiTheme="majorBidi" w:cstheme="majorBidi"/>
          <w:lang w:val="de-DE"/>
        </w:rPr>
        <w:t>un</w:t>
      </w:r>
      <w:proofErr w:type="spellEnd"/>
      <w:r w:rsidRPr="000C7C76">
        <w:rPr>
          <w:rFonts w:asciiTheme="majorBidi" w:hAnsiTheme="majorBidi" w:cstheme="majorBidi"/>
          <w:lang w:val="de-DE"/>
        </w:rPr>
        <w:t xml:space="preserve"> </w:t>
      </w:r>
      <w:proofErr w:type="spellStart"/>
      <w:r w:rsidRPr="000C7C76">
        <w:rPr>
          <w:rFonts w:asciiTheme="majorBidi" w:hAnsiTheme="majorBidi" w:cstheme="majorBidi"/>
          <w:b/>
          <w:lang w:val="de-DE"/>
        </w:rPr>
        <w:t>Moldovas</w:t>
      </w:r>
      <w:proofErr w:type="spellEnd"/>
      <w:r w:rsidRPr="000C7C76">
        <w:rPr>
          <w:rFonts w:asciiTheme="majorBidi" w:hAnsiTheme="majorBidi" w:cstheme="majorBidi"/>
          <w:b/>
          <w:lang w:val="de-DE"/>
        </w:rPr>
        <w:t xml:space="preserve"> </w:t>
      </w:r>
      <w:proofErr w:type="spellStart"/>
      <w:r w:rsidRPr="000C7C76">
        <w:rPr>
          <w:rFonts w:asciiTheme="majorBidi" w:hAnsiTheme="majorBidi" w:cstheme="majorBidi"/>
          <w:b/>
          <w:lang w:val="de-DE"/>
        </w:rPr>
        <w:t>Republiku</w:t>
      </w:r>
      <w:proofErr w:type="spellEnd"/>
      <w:r w:rsidRPr="000C7C76">
        <w:rPr>
          <w:rFonts w:asciiTheme="majorBidi" w:hAnsiTheme="majorBidi" w:cstheme="majorBidi"/>
          <w:lang w:val="de-DE"/>
        </w:rPr>
        <w:t xml:space="preserve"> par </w:t>
      </w:r>
      <w:proofErr w:type="spellStart"/>
      <w:r w:rsidRPr="000C7C76">
        <w:rPr>
          <w:rFonts w:asciiTheme="majorBidi" w:hAnsiTheme="majorBidi" w:cstheme="majorBidi"/>
          <w:lang w:val="de-DE"/>
        </w:rPr>
        <w:t>tiesisko</w:t>
      </w:r>
      <w:proofErr w:type="spellEnd"/>
      <w:r w:rsidRPr="000C7C76">
        <w:rPr>
          <w:rFonts w:asciiTheme="majorBidi" w:hAnsiTheme="majorBidi" w:cstheme="majorBidi"/>
          <w:lang w:val="de-DE"/>
        </w:rPr>
        <w:t xml:space="preserve"> </w:t>
      </w:r>
      <w:proofErr w:type="spellStart"/>
      <w:r w:rsidRPr="000C7C76">
        <w:rPr>
          <w:rFonts w:asciiTheme="majorBidi" w:hAnsiTheme="majorBidi" w:cstheme="majorBidi"/>
          <w:lang w:val="de-DE"/>
        </w:rPr>
        <w:t>palīdzību</w:t>
      </w:r>
      <w:proofErr w:type="spellEnd"/>
      <w:r w:rsidRPr="000C7C76">
        <w:rPr>
          <w:rFonts w:asciiTheme="majorBidi" w:hAnsiTheme="majorBidi" w:cstheme="majorBidi"/>
          <w:lang w:val="de-DE"/>
        </w:rPr>
        <w:t xml:space="preserve"> </w:t>
      </w:r>
      <w:proofErr w:type="spellStart"/>
      <w:r w:rsidRPr="000C7C76">
        <w:rPr>
          <w:rFonts w:asciiTheme="majorBidi" w:hAnsiTheme="majorBidi" w:cstheme="majorBidi"/>
          <w:lang w:val="de-DE"/>
        </w:rPr>
        <w:t>un</w:t>
      </w:r>
      <w:proofErr w:type="spellEnd"/>
      <w:r w:rsidRPr="000C7C76">
        <w:rPr>
          <w:rFonts w:asciiTheme="majorBidi" w:hAnsiTheme="majorBidi" w:cstheme="majorBidi"/>
          <w:lang w:val="de-DE"/>
        </w:rPr>
        <w:t xml:space="preserve"> </w:t>
      </w:r>
      <w:proofErr w:type="spellStart"/>
      <w:r w:rsidRPr="000C7C76">
        <w:rPr>
          <w:rFonts w:asciiTheme="majorBidi" w:hAnsiTheme="majorBidi" w:cstheme="majorBidi"/>
          <w:lang w:val="de-DE"/>
        </w:rPr>
        <w:t>tiesiskajām</w:t>
      </w:r>
      <w:proofErr w:type="spellEnd"/>
      <w:r w:rsidRPr="000C7C76">
        <w:rPr>
          <w:rFonts w:asciiTheme="majorBidi" w:hAnsiTheme="majorBidi" w:cstheme="majorBidi"/>
          <w:lang w:val="de-DE"/>
        </w:rPr>
        <w:t xml:space="preserve"> </w:t>
      </w:r>
      <w:proofErr w:type="spellStart"/>
      <w:r w:rsidRPr="000C7C76">
        <w:rPr>
          <w:rFonts w:asciiTheme="majorBidi" w:hAnsiTheme="majorBidi" w:cstheme="majorBidi"/>
          <w:lang w:val="de-DE"/>
        </w:rPr>
        <w:t>attiecībām</w:t>
      </w:r>
      <w:proofErr w:type="spellEnd"/>
      <w:r w:rsidRPr="000C7C76">
        <w:rPr>
          <w:rFonts w:asciiTheme="majorBidi" w:hAnsiTheme="majorBidi" w:cstheme="majorBidi"/>
          <w:lang w:val="de-DE"/>
        </w:rPr>
        <w:t xml:space="preserve"> </w:t>
      </w:r>
      <w:proofErr w:type="spellStart"/>
      <w:r w:rsidRPr="000C7C76">
        <w:rPr>
          <w:rFonts w:asciiTheme="majorBidi" w:hAnsiTheme="majorBidi" w:cstheme="majorBidi"/>
          <w:lang w:val="de-DE"/>
        </w:rPr>
        <w:t>civilajās</w:t>
      </w:r>
      <w:proofErr w:type="spellEnd"/>
      <w:r w:rsidRPr="000C7C76">
        <w:rPr>
          <w:rFonts w:asciiTheme="majorBidi" w:hAnsiTheme="majorBidi" w:cstheme="majorBidi"/>
          <w:lang w:val="de-DE"/>
        </w:rPr>
        <w:t xml:space="preserve">, </w:t>
      </w:r>
      <w:proofErr w:type="spellStart"/>
      <w:r w:rsidRPr="000C7C76">
        <w:rPr>
          <w:rFonts w:asciiTheme="majorBidi" w:hAnsiTheme="majorBidi" w:cstheme="majorBidi"/>
          <w:lang w:val="de-DE"/>
        </w:rPr>
        <w:t>ģimenes</w:t>
      </w:r>
      <w:proofErr w:type="spellEnd"/>
      <w:r w:rsidRPr="000C7C76">
        <w:rPr>
          <w:rFonts w:asciiTheme="majorBidi" w:hAnsiTheme="majorBidi" w:cstheme="majorBidi"/>
          <w:lang w:val="de-DE"/>
        </w:rPr>
        <w:t xml:space="preserve">, </w:t>
      </w:r>
      <w:proofErr w:type="spellStart"/>
      <w:r w:rsidRPr="000C7C76">
        <w:rPr>
          <w:rFonts w:asciiTheme="majorBidi" w:hAnsiTheme="majorBidi" w:cstheme="majorBidi"/>
          <w:lang w:val="de-DE"/>
        </w:rPr>
        <w:t>darba</w:t>
      </w:r>
      <w:proofErr w:type="spellEnd"/>
      <w:r w:rsidRPr="000C7C76">
        <w:rPr>
          <w:rFonts w:asciiTheme="majorBidi" w:hAnsiTheme="majorBidi" w:cstheme="majorBidi"/>
          <w:lang w:val="de-DE"/>
        </w:rPr>
        <w:t xml:space="preserve"> </w:t>
      </w:r>
      <w:proofErr w:type="spellStart"/>
      <w:r w:rsidRPr="000C7C76">
        <w:rPr>
          <w:rFonts w:asciiTheme="majorBidi" w:hAnsiTheme="majorBidi" w:cstheme="majorBidi"/>
          <w:lang w:val="de-DE"/>
        </w:rPr>
        <w:t>un</w:t>
      </w:r>
      <w:proofErr w:type="spellEnd"/>
      <w:r w:rsidRPr="000C7C76">
        <w:rPr>
          <w:rFonts w:asciiTheme="majorBidi" w:hAnsiTheme="majorBidi" w:cstheme="majorBidi"/>
          <w:lang w:val="de-DE"/>
        </w:rPr>
        <w:t xml:space="preserve"> </w:t>
      </w:r>
      <w:proofErr w:type="spellStart"/>
      <w:r w:rsidRPr="000C7C76">
        <w:rPr>
          <w:rFonts w:asciiTheme="majorBidi" w:hAnsiTheme="majorBidi" w:cstheme="majorBidi"/>
          <w:lang w:val="de-DE"/>
        </w:rPr>
        <w:t>krimināllietās</w:t>
      </w:r>
      <w:proofErr w:type="spellEnd"/>
      <w:r>
        <w:rPr>
          <w:rStyle w:val="FootnoteReference"/>
          <w:rFonts w:asciiTheme="majorBidi" w:hAnsiTheme="majorBidi" w:cstheme="majorBidi"/>
        </w:rPr>
        <w:footnoteReference w:id="56"/>
      </w:r>
      <w:r w:rsidRPr="000C7C76">
        <w:rPr>
          <w:rFonts w:asciiTheme="majorBidi" w:hAnsiTheme="majorBidi" w:cstheme="majorBidi"/>
          <w:lang w:val="de-DE"/>
        </w:rPr>
        <w:t>;</w:t>
      </w:r>
    </w:p>
    <w:p w14:paraId="4CF2EFB7" w14:textId="77777777" w:rsidR="00114953" w:rsidRPr="000C7C76" w:rsidRDefault="00114953" w:rsidP="00114953">
      <w:pPr>
        <w:ind w:firstLine="708"/>
        <w:jc w:val="both"/>
        <w:rPr>
          <w:rFonts w:asciiTheme="majorBidi" w:hAnsiTheme="majorBidi" w:cstheme="majorBidi"/>
          <w:lang w:val="de-DE"/>
        </w:rPr>
      </w:pPr>
    </w:p>
    <w:p w14:paraId="1EE31B32" w14:textId="77777777" w:rsidR="00114953" w:rsidRPr="000C7C76" w:rsidRDefault="00114953" w:rsidP="00114953">
      <w:pPr>
        <w:ind w:firstLine="708"/>
        <w:jc w:val="both"/>
        <w:rPr>
          <w:rFonts w:asciiTheme="majorBidi" w:hAnsiTheme="majorBidi" w:cstheme="majorBidi"/>
          <w:lang w:val="de-DE"/>
        </w:rPr>
      </w:pPr>
      <w:r w:rsidRPr="000C7C76">
        <w:rPr>
          <w:rFonts w:asciiTheme="majorBidi" w:hAnsiTheme="majorBidi" w:cstheme="majorBidi"/>
          <w:lang w:val="de-DE"/>
        </w:rPr>
        <w:t xml:space="preserve">4) 1994.gada 21.februāra </w:t>
      </w:r>
      <w:proofErr w:type="spellStart"/>
      <w:r w:rsidRPr="000C7C76">
        <w:rPr>
          <w:rFonts w:asciiTheme="majorBidi" w:hAnsiTheme="majorBidi" w:cstheme="majorBidi"/>
          <w:lang w:val="de-DE"/>
        </w:rPr>
        <w:t>Līgums</w:t>
      </w:r>
      <w:proofErr w:type="spellEnd"/>
      <w:r w:rsidRPr="000C7C76">
        <w:rPr>
          <w:rFonts w:asciiTheme="majorBidi" w:hAnsiTheme="majorBidi" w:cstheme="majorBidi"/>
          <w:lang w:val="de-DE"/>
        </w:rPr>
        <w:t xml:space="preserve"> </w:t>
      </w:r>
      <w:proofErr w:type="spellStart"/>
      <w:r w:rsidRPr="000C7C76">
        <w:rPr>
          <w:rFonts w:asciiTheme="majorBidi" w:hAnsiTheme="majorBidi" w:cstheme="majorBidi"/>
          <w:lang w:val="de-DE"/>
        </w:rPr>
        <w:t>starp</w:t>
      </w:r>
      <w:proofErr w:type="spellEnd"/>
      <w:r w:rsidRPr="000C7C76">
        <w:rPr>
          <w:rFonts w:asciiTheme="majorBidi" w:hAnsiTheme="majorBidi" w:cstheme="majorBidi"/>
          <w:lang w:val="de-DE"/>
        </w:rPr>
        <w:t xml:space="preserve"> Latvijas </w:t>
      </w:r>
      <w:proofErr w:type="spellStart"/>
      <w:r w:rsidRPr="000C7C76">
        <w:rPr>
          <w:rFonts w:asciiTheme="majorBidi" w:hAnsiTheme="majorBidi" w:cstheme="majorBidi"/>
          <w:lang w:val="de-DE"/>
        </w:rPr>
        <w:t>Republiku</w:t>
      </w:r>
      <w:proofErr w:type="spellEnd"/>
      <w:r w:rsidRPr="000C7C76">
        <w:rPr>
          <w:rFonts w:asciiTheme="majorBidi" w:hAnsiTheme="majorBidi" w:cstheme="majorBidi"/>
          <w:lang w:val="de-DE"/>
        </w:rPr>
        <w:t xml:space="preserve"> </w:t>
      </w:r>
      <w:proofErr w:type="spellStart"/>
      <w:r w:rsidRPr="000C7C76">
        <w:rPr>
          <w:rFonts w:asciiTheme="majorBidi" w:hAnsiTheme="majorBidi" w:cstheme="majorBidi"/>
          <w:lang w:val="de-DE"/>
        </w:rPr>
        <w:t>un</w:t>
      </w:r>
      <w:proofErr w:type="spellEnd"/>
      <w:r w:rsidRPr="000C7C76">
        <w:rPr>
          <w:rFonts w:asciiTheme="majorBidi" w:hAnsiTheme="majorBidi" w:cstheme="majorBidi"/>
          <w:lang w:val="de-DE"/>
        </w:rPr>
        <w:t xml:space="preserve"> </w:t>
      </w:r>
      <w:proofErr w:type="spellStart"/>
      <w:r w:rsidRPr="000C7C76">
        <w:rPr>
          <w:rFonts w:asciiTheme="majorBidi" w:hAnsiTheme="majorBidi" w:cstheme="majorBidi"/>
          <w:b/>
          <w:lang w:val="de-DE"/>
        </w:rPr>
        <w:t>Baltkrievijas</w:t>
      </w:r>
      <w:proofErr w:type="spellEnd"/>
      <w:r w:rsidRPr="000C7C76">
        <w:rPr>
          <w:rFonts w:asciiTheme="majorBidi" w:hAnsiTheme="majorBidi" w:cstheme="majorBidi"/>
          <w:b/>
          <w:lang w:val="de-DE"/>
        </w:rPr>
        <w:t xml:space="preserve"> </w:t>
      </w:r>
      <w:proofErr w:type="spellStart"/>
      <w:r w:rsidRPr="000C7C76">
        <w:rPr>
          <w:rFonts w:asciiTheme="majorBidi" w:hAnsiTheme="majorBidi" w:cstheme="majorBidi"/>
          <w:b/>
          <w:lang w:val="de-DE"/>
        </w:rPr>
        <w:t>Republiku</w:t>
      </w:r>
      <w:proofErr w:type="spellEnd"/>
      <w:r w:rsidRPr="000C7C76">
        <w:rPr>
          <w:rFonts w:asciiTheme="majorBidi" w:hAnsiTheme="majorBidi" w:cstheme="majorBidi"/>
          <w:lang w:val="de-DE"/>
        </w:rPr>
        <w:t xml:space="preserve"> par </w:t>
      </w:r>
      <w:proofErr w:type="spellStart"/>
      <w:r w:rsidRPr="000C7C76">
        <w:rPr>
          <w:rFonts w:asciiTheme="majorBidi" w:hAnsiTheme="majorBidi" w:cstheme="majorBidi"/>
          <w:lang w:val="de-DE"/>
        </w:rPr>
        <w:t>tiesisko</w:t>
      </w:r>
      <w:proofErr w:type="spellEnd"/>
      <w:r w:rsidRPr="000C7C76">
        <w:rPr>
          <w:rFonts w:asciiTheme="majorBidi" w:hAnsiTheme="majorBidi" w:cstheme="majorBidi"/>
          <w:lang w:val="de-DE"/>
        </w:rPr>
        <w:t xml:space="preserve"> </w:t>
      </w:r>
      <w:proofErr w:type="spellStart"/>
      <w:r w:rsidRPr="000C7C76">
        <w:rPr>
          <w:rFonts w:asciiTheme="majorBidi" w:hAnsiTheme="majorBidi" w:cstheme="majorBidi"/>
          <w:lang w:val="de-DE"/>
        </w:rPr>
        <w:t>palīdzību</w:t>
      </w:r>
      <w:proofErr w:type="spellEnd"/>
      <w:r w:rsidRPr="000C7C76">
        <w:rPr>
          <w:rFonts w:asciiTheme="majorBidi" w:hAnsiTheme="majorBidi" w:cstheme="majorBidi"/>
          <w:lang w:val="de-DE"/>
        </w:rPr>
        <w:t xml:space="preserve"> </w:t>
      </w:r>
      <w:proofErr w:type="spellStart"/>
      <w:r w:rsidRPr="000C7C76">
        <w:rPr>
          <w:rFonts w:asciiTheme="majorBidi" w:hAnsiTheme="majorBidi" w:cstheme="majorBidi"/>
          <w:lang w:val="de-DE"/>
        </w:rPr>
        <w:t>un</w:t>
      </w:r>
      <w:proofErr w:type="spellEnd"/>
      <w:r w:rsidRPr="000C7C76">
        <w:rPr>
          <w:rFonts w:asciiTheme="majorBidi" w:hAnsiTheme="majorBidi" w:cstheme="majorBidi"/>
          <w:lang w:val="de-DE"/>
        </w:rPr>
        <w:t xml:space="preserve"> </w:t>
      </w:r>
      <w:proofErr w:type="spellStart"/>
      <w:r w:rsidRPr="000C7C76">
        <w:rPr>
          <w:rFonts w:asciiTheme="majorBidi" w:hAnsiTheme="majorBidi" w:cstheme="majorBidi"/>
          <w:lang w:val="de-DE"/>
        </w:rPr>
        <w:t>tiesiskajām</w:t>
      </w:r>
      <w:proofErr w:type="spellEnd"/>
      <w:r w:rsidRPr="000C7C76">
        <w:rPr>
          <w:rFonts w:asciiTheme="majorBidi" w:hAnsiTheme="majorBidi" w:cstheme="majorBidi"/>
          <w:lang w:val="de-DE"/>
        </w:rPr>
        <w:t xml:space="preserve"> </w:t>
      </w:r>
      <w:proofErr w:type="spellStart"/>
      <w:r w:rsidRPr="000C7C76">
        <w:rPr>
          <w:rFonts w:asciiTheme="majorBidi" w:hAnsiTheme="majorBidi" w:cstheme="majorBidi"/>
          <w:lang w:val="de-DE"/>
        </w:rPr>
        <w:t>attiecībām</w:t>
      </w:r>
      <w:proofErr w:type="spellEnd"/>
      <w:r w:rsidRPr="000C7C76">
        <w:rPr>
          <w:rFonts w:asciiTheme="majorBidi" w:hAnsiTheme="majorBidi" w:cstheme="majorBidi"/>
          <w:lang w:val="de-DE"/>
        </w:rPr>
        <w:t xml:space="preserve"> </w:t>
      </w:r>
      <w:proofErr w:type="spellStart"/>
      <w:r w:rsidRPr="000C7C76">
        <w:rPr>
          <w:rFonts w:asciiTheme="majorBidi" w:hAnsiTheme="majorBidi" w:cstheme="majorBidi"/>
          <w:lang w:val="de-DE"/>
        </w:rPr>
        <w:t>civilajās</w:t>
      </w:r>
      <w:proofErr w:type="spellEnd"/>
      <w:r w:rsidRPr="000C7C76">
        <w:rPr>
          <w:rFonts w:asciiTheme="majorBidi" w:hAnsiTheme="majorBidi" w:cstheme="majorBidi"/>
          <w:lang w:val="de-DE"/>
        </w:rPr>
        <w:t xml:space="preserve">, </w:t>
      </w:r>
      <w:proofErr w:type="spellStart"/>
      <w:r w:rsidRPr="000C7C76">
        <w:rPr>
          <w:rFonts w:asciiTheme="majorBidi" w:hAnsiTheme="majorBidi" w:cstheme="majorBidi"/>
          <w:lang w:val="de-DE"/>
        </w:rPr>
        <w:t>ģimenes</w:t>
      </w:r>
      <w:proofErr w:type="spellEnd"/>
      <w:r w:rsidRPr="000C7C76">
        <w:rPr>
          <w:rFonts w:asciiTheme="majorBidi" w:hAnsiTheme="majorBidi" w:cstheme="majorBidi"/>
          <w:lang w:val="de-DE"/>
        </w:rPr>
        <w:t xml:space="preserve">, </w:t>
      </w:r>
      <w:proofErr w:type="spellStart"/>
      <w:r w:rsidRPr="000C7C76">
        <w:rPr>
          <w:rFonts w:asciiTheme="majorBidi" w:hAnsiTheme="majorBidi" w:cstheme="majorBidi"/>
          <w:lang w:val="de-DE"/>
        </w:rPr>
        <w:t>darba</w:t>
      </w:r>
      <w:proofErr w:type="spellEnd"/>
      <w:r w:rsidRPr="000C7C76">
        <w:rPr>
          <w:rFonts w:asciiTheme="majorBidi" w:hAnsiTheme="majorBidi" w:cstheme="majorBidi"/>
          <w:lang w:val="de-DE"/>
        </w:rPr>
        <w:t xml:space="preserve"> </w:t>
      </w:r>
      <w:proofErr w:type="spellStart"/>
      <w:r w:rsidRPr="000C7C76">
        <w:rPr>
          <w:rFonts w:asciiTheme="majorBidi" w:hAnsiTheme="majorBidi" w:cstheme="majorBidi"/>
          <w:lang w:val="de-DE"/>
        </w:rPr>
        <w:t>un</w:t>
      </w:r>
      <w:proofErr w:type="spellEnd"/>
      <w:r w:rsidRPr="000C7C76">
        <w:rPr>
          <w:rFonts w:asciiTheme="majorBidi" w:hAnsiTheme="majorBidi" w:cstheme="majorBidi"/>
          <w:lang w:val="de-DE"/>
        </w:rPr>
        <w:t xml:space="preserve"> </w:t>
      </w:r>
      <w:proofErr w:type="spellStart"/>
      <w:r w:rsidRPr="000C7C76">
        <w:rPr>
          <w:rFonts w:asciiTheme="majorBidi" w:hAnsiTheme="majorBidi" w:cstheme="majorBidi"/>
          <w:lang w:val="de-DE"/>
        </w:rPr>
        <w:t>krimināllietās</w:t>
      </w:r>
      <w:proofErr w:type="spellEnd"/>
      <w:r>
        <w:rPr>
          <w:rStyle w:val="FootnoteReference"/>
          <w:rFonts w:asciiTheme="majorBidi" w:hAnsiTheme="majorBidi" w:cstheme="majorBidi"/>
        </w:rPr>
        <w:footnoteReference w:id="57"/>
      </w:r>
      <w:r w:rsidRPr="000C7C76">
        <w:rPr>
          <w:rFonts w:asciiTheme="majorBidi" w:hAnsiTheme="majorBidi" w:cstheme="majorBidi"/>
          <w:lang w:val="de-DE"/>
        </w:rPr>
        <w:t>;</w:t>
      </w:r>
    </w:p>
    <w:p w14:paraId="09970D3B" w14:textId="77777777" w:rsidR="00114953" w:rsidRPr="000C7C76" w:rsidRDefault="00114953" w:rsidP="00114953">
      <w:pPr>
        <w:ind w:firstLine="708"/>
        <w:jc w:val="both"/>
        <w:rPr>
          <w:rFonts w:asciiTheme="majorBidi" w:hAnsiTheme="majorBidi" w:cstheme="majorBidi"/>
          <w:lang w:val="de-DE"/>
        </w:rPr>
      </w:pPr>
    </w:p>
    <w:p w14:paraId="02E34F87" w14:textId="77777777" w:rsidR="00114953" w:rsidRPr="000C7C76" w:rsidRDefault="00114953" w:rsidP="00114953">
      <w:pPr>
        <w:ind w:firstLine="708"/>
        <w:jc w:val="both"/>
        <w:rPr>
          <w:rFonts w:asciiTheme="majorBidi" w:hAnsiTheme="majorBidi" w:cstheme="majorBidi"/>
          <w:lang w:val="de-DE"/>
        </w:rPr>
      </w:pPr>
      <w:r w:rsidRPr="000C7C76">
        <w:rPr>
          <w:rFonts w:asciiTheme="majorBidi" w:hAnsiTheme="majorBidi" w:cstheme="majorBidi"/>
          <w:lang w:val="de-DE"/>
        </w:rPr>
        <w:t xml:space="preserve">5) 1994.gada 23.februāra </w:t>
      </w:r>
      <w:proofErr w:type="spellStart"/>
      <w:r w:rsidRPr="000C7C76">
        <w:rPr>
          <w:rFonts w:asciiTheme="majorBidi" w:hAnsiTheme="majorBidi" w:cstheme="majorBidi"/>
          <w:lang w:val="de-DE"/>
        </w:rPr>
        <w:t>Līgums</w:t>
      </w:r>
      <w:proofErr w:type="spellEnd"/>
      <w:r w:rsidRPr="000C7C76">
        <w:rPr>
          <w:rFonts w:asciiTheme="majorBidi" w:hAnsiTheme="majorBidi" w:cstheme="majorBidi"/>
          <w:lang w:val="de-DE"/>
        </w:rPr>
        <w:t xml:space="preserve"> </w:t>
      </w:r>
      <w:proofErr w:type="spellStart"/>
      <w:r w:rsidRPr="000C7C76">
        <w:rPr>
          <w:rFonts w:asciiTheme="majorBidi" w:hAnsiTheme="majorBidi" w:cstheme="majorBidi"/>
          <w:lang w:val="de-DE"/>
        </w:rPr>
        <w:t>starp</w:t>
      </w:r>
      <w:proofErr w:type="spellEnd"/>
      <w:r w:rsidRPr="000C7C76">
        <w:rPr>
          <w:rFonts w:asciiTheme="majorBidi" w:hAnsiTheme="majorBidi" w:cstheme="majorBidi"/>
          <w:lang w:val="de-DE"/>
        </w:rPr>
        <w:t xml:space="preserve"> Latvijas </w:t>
      </w:r>
      <w:proofErr w:type="spellStart"/>
      <w:r w:rsidRPr="000C7C76">
        <w:rPr>
          <w:rFonts w:asciiTheme="majorBidi" w:hAnsiTheme="majorBidi" w:cstheme="majorBidi"/>
          <w:lang w:val="de-DE"/>
        </w:rPr>
        <w:t>Republiku</w:t>
      </w:r>
      <w:proofErr w:type="spellEnd"/>
      <w:r w:rsidRPr="000C7C76">
        <w:rPr>
          <w:rFonts w:asciiTheme="majorBidi" w:hAnsiTheme="majorBidi" w:cstheme="majorBidi"/>
          <w:lang w:val="de-DE"/>
        </w:rPr>
        <w:t xml:space="preserve"> </w:t>
      </w:r>
      <w:proofErr w:type="spellStart"/>
      <w:r w:rsidRPr="000C7C76">
        <w:rPr>
          <w:rFonts w:asciiTheme="majorBidi" w:hAnsiTheme="majorBidi" w:cstheme="majorBidi"/>
          <w:lang w:val="de-DE"/>
        </w:rPr>
        <w:t>un</w:t>
      </w:r>
      <w:proofErr w:type="spellEnd"/>
      <w:r w:rsidRPr="000C7C76">
        <w:rPr>
          <w:rFonts w:asciiTheme="majorBidi" w:hAnsiTheme="majorBidi" w:cstheme="majorBidi"/>
          <w:lang w:val="de-DE"/>
        </w:rPr>
        <w:t xml:space="preserve"> </w:t>
      </w:r>
      <w:proofErr w:type="spellStart"/>
      <w:r w:rsidRPr="000C7C76">
        <w:rPr>
          <w:rFonts w:asciiTheme="majorBidi" w:hAnsiTheme="majorBidi" w:cstheme="majorBidi"/>
          <w:b/>
          <w:lang w:val="de-DE"/>
        </w:rPr>
        <w:t>Polijas</w:t>
      </w:r>
      <w:proofErr w:type="spellEnd"/>
      <w:r w:rsidRPr="000C7C76">
        <w:rPr>
          <w:rFonts w:asciiTheme="majorBidi" w:hAnsiTheme="majorBidi" w:cstheme="majorBidi"/>
          <w:b/>
          <w:lang w:val="de-DE"/>
        </w:rPr>
        <w:t xml:space="preserve"> </w:t>
      </w:r>
      <w:proofErr w:type="spellStart"/>
      <w:r w:rsidRPr="000C7C76">
        <w:rPr>
          <w:rFonts w:asciiTheme="majorBidi" w:hAnsiTheme="majorBidi" w:cstheme="majorBidi"/>
          <w:b/>
          <w:lang w:val="de-DE"/>
        </w:rPr>
        <w:t>Republiku</w:t>
      </w:r>
      <w:proofErr w:type="spellEnd"/>
      <w:r w:rsidRPr="000C7C76">
        <w:rPr>
          <w:rFonts w:asciiTheme="majorBidi" w:hAnsiTheme="majorBidi" w:cstheme="majorBidi"/>
          <w:lang w:val="de-DE"/>
        </w:rPr>
        <w:t xml:space="preserve"> par </w:t>
      </w:r>
      <w:proofErr w:type="spellStart"/>
      <w:r w:rsidRPr="000C7C76">
        <w:rPr>
          <w:rFonts w:asciiTheme="majorBidi" w:hAnsiTheme="majorBidi" w:cstheme="majorBidi"/>
          <w:lang w:val="de-DE"/>
        </w:rPr>
        <w:t>tiesisko</w:t>
      </w:r>
      <w:proofErr w:type="spellEnd"/>
      <w:r w:rsidRPr="000C7C76">
        <w:rPr>
          <w:rFonts w:asciiTheme="majorBidi" w:hAnsiTheme="majorBidi" w:cstheme="majorBidi"/>
          <w:lang w:val="de-DE"/>
        </w:rPr>
        <w:t xml:space="preserve"> </w:t>
      </w:r>
      <w:proofErr w:type="spellStart"/>
      <w:r w:rsidRPr="000C7C76">
        <w:rPr>
          <w:rFonts w:asciiTheme="majorBidi" w:hAnsiTheme="majorBidi" w:cstheme="majorBidi"/>
          <w:lang w:val="de-DE"/>
        </w:rPr>
        <w:t>palīdzību</w:t>
      </w:r>
      <w:proofErr w:type="spellEnd"/>
      <w:r w:rsidRPr="000C7C76">
        <w:rPr>
          <w:rFonts w:asciiTheme="majorBidi" w:hAnsiTheme="majorBidi" w:cstheme="majorBidi"/>
          <w:lang w:val="de-DE"/>
        </w:rPr>
        <w:t xml:space="preserve"> </w:t>
      </w:r>
      <w:proofErr w:type="spellStart"/>
      <w:r w:rsidRPr="000C7C76">
        <w:rPr>
          <w:rFonts w:asciiTheme="majorBidi" w:hAnsiTheme="majorBidi" w:cstheme="majorBidi"/>
          <w:lang w:val="de-DE"/>
        </w:rPr>
        <w:t>un</w:t>
      </w:r>
      <w:proofErr w:type="spellEnd"/>
      <w:r w:rsidRPr="000C7C76">
        <w:rPr>
          <w:rFonts w:asciiTheme="majorBidi" w:hAnsiTheme="majorBidi" w:cstheme="majorBidi"/>
          <w:lang w:val="de-DE"/>
        </w:rPr>
        <w:t xml:space="preserve"> </w:t>
      </w:r>
      <w:proofErr w:type="spellStart"/>
      <w:r w:rsidRPr="000C7C76">
        <w:rPr>
          <w:rFonts w:asciiTheme="majorBidi" w:hAnsiTheme="majorBidi" w:cstheme="majorBidi"/>
          <w:lang w:val="de-DE"/>
        </w:rPr>
        <w:t>tiesiskajām</w:t>
      </w:r>
      <w:proofErr w:type="spellEnd"/>
      <w:r w:rsidRPr="000C7C76">
        <w:rPr>
          <w:rFonts w:asciiTheme="majorBidi" w:hAnsiTheme="majorBidi" w:cstheme="majorBidi"/>
          <w:lang w:val="de-DE"/>
        </w:rPr>
        <w:t xml:space="preserve"> </w:t>
      </w:r>
      <w:proofErr w:type="spellStart"/>
      <w:r w:rsidRPr="000C7C76">
        <w:rPr>
          <w:rFonts w:asciiTheme="majorBidi" w:hAnsiTheme="majorBidi" w:cstheme="majorBidi"/>
          <w:lang w:val="de-DE"/>
        </w:rPr>
        <w:t>attiecībām</w:t>
      </w:r>
      <w:proofErr w:type="spellEnd"/>
      <w:r w:rsidRPr="000C7C76">
        <w:rPr>
          <w:rFonts w:asciiTheme="majorBidi" w:hAnsiTheme="majorBidi" w:cstheme="majorBidi"/>
          <w:lang w:val="de-DE"/>
        </w:rPr>
        <w:t xml:space="preserve"> </w:t>
      </w:r>
      <w:proofErr w:type="spellStart"/>
      <w:r w:rsidRPr="000C7C76">
        <w:rPr>
          <w:rFonts w:asciiTheme="majorBidi" w:hAnsiTheme="majorBidi" w:cstheme="majorBidi"/>
          <w:lang w:val="de-DE"/>
        </w:rPr>
        <w:t>civilajās</w:t>
      </w:r>
      <w:proofErr w:type="spellEnd"/>
      <w:r w:rsidRPr="000C7C76">
        <w:rPr>
          <w:rFonts w:asciiTheme="majorBidi" w:hAnsiTheme="majorBidi" w:cstheme="majorBidi"/>
          <w:lang w:val="de-DE"/>
        </w:rPr>
        <w:t xml:space="preserve">, </w:t>
      </w:r>
      <w:proofErr w:type="spellStart"/>
      <w:r w:rsidRPr="000C7C76">
        <w:rPr>
          <w:rFonts w:asciiTheme="majorBidi" w:hAnsiTheme="majorBidi" w:cstheme="majorBidi"/>
          <w:lang w:val="de-DE"/>
        </w:rPr>
        <w:t>ģimenes</w:t>
      </w:r>
      <w:proofErr w:type="spellEnd"/>
      <w:r w:rsidRPr="000C7C76">
        <w:rPr>
          <w:rFonts w:asciiTheme="majorBidi" w:hAnsiTheme="majorBidi" w:cstheme="majorBidi"/>
          <w:lang w:val="de-DE"/>
        </w:rPr>
        <w:t xml:space="preserve">, </w:t>
      </w:r>
      <w:proofErr w:type="spellStart"/>
      <w:r w:rsidRPr="000C7C76">
        <w:rPr>
          <w:rFonts w:asciiTheme="majorBidi" w:hAnsiTheme="majorBidi" w:cstheme="majorBidi"/>
          <w:lang w:val="de-DE"/>
        </w:rPr>
        <w:t>darba</w:t>
      </w:r>
      <w:proofErr w:type="spellEnd"/>
      <w:r w:rsidRPr="000C7C76">
        <w:rPr>
          <w:rFonts w:asciiTheme="majorBidi" w:hAnsiTheme="majorBidi" w:cstheme="majorBidi"/>
          <w:lang w:val="de-DE"/>
        </w:rPr>
        <w:t xml:space="preserve"> </w:t>
      </w:r>
      <w:proofErr w:type="spellStart"/>
      <w:r w:rsidRPr="000C7C76">
        <w:rPr>
          <w:rFonts w:asciiTheme="majorBidi" w:hAnsiTheme="majorBidi" w:cstheme="majorBidi"/>
          <w:lang w:val="de-DE"/>
        </w:rPr>
        <w:t>un</w:t>
      </w:r>
      <w:proofErr w:type="spellEnd"/>
      <w:r w:rsidRPr="000C7C76">
        <w:rPr>
          <w:rFonts w:asciiTheme="majorBidi" w:hAnsiTheme="majorBidi" w:cstheme="majorBidi"/>
          <w:lang w:val="de-DE"/>
        </w:rPr>
        <w:t xml:space="preserve"> </w:t>
      </w:r>
      <w:proofErr w:type="spellStart"/>
      <w:r w:rsidRPr="000C7C76">
        <w:rPr>
          <w:rFonts w:asciiTheme="majorBidi" w:hAnsiTheme="majorBidi" w:cstheme="majorBidi"/>
          <w:lang w:val="de-DE"/>
        </w:rPr>
        <w:t>krimināllietās</w:t>
      </w:r>
      <w:proofErr w:type="spellEnd"/>
      <w:r>
        <w:rPr>
          <w:rStyle w:val="FootnoteReference"/>
          <w:rFonts w:asciiTheme="majorBidi" w:hAnsiTheme="majorBidi" w:cstheme="majorBidi"/>
        </w:rPr>
        <w:footnoteReference w:id="58"/>
      </w:r>
      <w:r w:rsidRPr="000C7C76">
        <w:rPr>
          <w:rFonts w:asciiTheme="majorBidi" w:hAnsiTheme="majorBidi" w:cstheme="majorBidi"/>
          <w:lang w:val="de-DE"/>
        </w:rPr>
        <w:t xml:space="preserve"> </w:t>
      </w:r>
      <w:r w:rsidRPr="000C7C76">
        <w:rPr>
          <w:rFonts w:asciiTheme="majorBidi" w:hAnsiTheme="majorBidi" w:cstheme="majorBidi"/>
          <w:lang w:val="de-DE"/>
        </w:rPr>
        <w:lastRenderedPageBreak/>
        <w:t>(</w:t>
      </w:r>
      <w:proofErr w:type="spellStart"/>
      <w:r w:rsidRPr="000C7C76">
        <w:rPr>
          <w:rFonts w:asciiTheme="majorBidi" w:hAnsiTheme="majorBidi" w:cstheme="majorBidi"/>
          <w:i/>
          <w:lang w:val="de-DE"/>
        </w:rPr>
        <w:t>piemērojams</w:t>
      </w:r>
      <w:proofErr w:type="spellEnd"/>
      <w:r w:rsidRPr="000C7C76">
        <w:rPr>
          <w:rFonts w:asciiTheme="majorBidi" w:hAnsiTheme="majorBidi" w:cstheme="majorBidi"/>
          <w:i/>
          <w:lang w:val="de-DE"/>
        </w:rPr>
        <w:t xml:space="preserve"> </w:t>
      </w:r>
      <w:proofErr w:type="spellStart"/>
      <w:r w:rsidRPr="000C7C76">
        <w:rPr>
          <w:rFonts w:asciiTheme="majorBidi" w:hAnsiTheme="majorBidi" w:cstheme="majorBidi"/>
          <w:i/>
          <w:lang w:val="de-DE"/>
        </w:rPr>
        <w:t>tikai</w:t>
      </w:r>
      <w:proofErr w:type="spellEnd"/>
      <w:r w:rsidRPr="000C7C76">
        <w:rPr>
          <w:rFonts w:asciiTheme="majorBidi" w:hAnsiTheme="majorBidi" w:cstheme="majorBidi"/>
          <w:i/>
          <w:lang w:val="de-DE"/>
        </w:rPr>
        <w:t xml:space="preserve"> </w:t>
      </w:r>
      <w:proofErr w:type="spellStart"/>
      <w:r w:rsidRPr="000C7C76">
        <w:rPr>
          <w:rFonts w:asciiTheme="majorBidi" w:hAnsiTheme="majorBidi" w:cstheme="majorBidi"/>
          <w:i/>
          <w:lang w:val="de-DE"/>
        </w:rPr>
        <w:t>tajās</w:t>
      </w:r>
      <w:proofErr w:type="spellEnd"/>
      <w:r w:rsidRPr="000C7C76">
        <w:rPr>
          <w:rFonts w:asciiTheme="majorBidi" w:hAnsiTheme="majorBidi" w:cstheme="majorBidi"/>
          <w:i/>
          <w:lang w:val="de-DE"/>
        </w:rPr>
        <w:t xml:space="preserve"> </w:t>
      </w:r>
      <w:proofErr w:type="spellStart"/>
      <w:r w:rsidRPr="000C7C76">
        <w:rPr>
          <w:rFonts w:asciiTheme="majorBidi" w:hAnsiTheme="majorBidi" w:cstheme="majorBidi"/>
          <w:i/>
          <w:lang w:val="de-DE"/>
        </w:rPr>
        <w:t>lietu</w:t>
      </w:r>
      <w:proofErr w:type="spellEnd"/>
      <w:r w:rsidRPr="000C7C76">
        <w:rPr>
          <w:rFonts w:asciiTheme="majorBidi" w:hAnsiTheme="majorBidi" w:cstheme="majorBidi"/>
          <w:i/>
          <w:lang w:val="de-DE"/>
        </w:rPr>
        <w:t xml:space="preserve"> </w:t>
      </w:r>
      <w:proofErr w:type="spellStart"/>
      <w:r w:rsidRPr="000C7C76">
        <w:rPr>
          <w:rFonts w:asciiTheme="majorBidi" w:hAnsiTheme="majorBidi" w:cstheme="majorBidi"/>
          <w:i/>
          <w:lang w:val="de-DE"/>
        </w:rPr>
        <w:t>kategorijās</w:t>
      </w:r>
      <w:proofErr w:type="spellEnd"/>
      <w:r w:rsidRPr="000C7C76">
        <w:rPr>
          <w:rFonts w:asciiTheme="majorBidi" w:hAnsiTheme="majorBidi" w:cstheme="majorBidi"/>
          <w:i/>
          <w:lang w:val="de-DE"/>
        </w:rPr>
        <w:t xml:space="preserve"> </w:t>
      </w:r>
      <w:proofErr w:type="spellStart"/>
      <w:r w:rsidRPr="000C7C76">
        <w:rPr>
          <w:rFonts w:asciiTheme="majorBidi" w:hAnsiTheme="majorBidi" w:cstheme="majorBidi"/>
          <w:i/>
          <w:lang w:val="de-DE"/>
        </w:rPr>
        <w:t>un</w:t>
      </w:r>
      <w:proofErr w:type="spellEnd"/>
      <w:r w:rsidRPr="000C7C76">
        <w:rPr>
          <w:rFonts w:asciiTheme="majorBidi" w:hAnsiTheme="majorBidi" w:cstheme="majorBidi"/>
          <w:i/>
          <w:lang w:val="de-DE"/>
        </w:rPr>
        <w:t xml:space="preserve"> </w:t>
      </w:r>
      <w:proofErr w:type="spellStart"/>
      <w:r w:rsidRPr="000C7C76">
        <w:rPr>
          <w:rFonts w:asciiTheme="majorBidi" w:hAnsiTheme="majorBidi" w:cstheme="majorBidi"/>
          <w:i/>
          <w:lang w:val="de-DE"/>
        </w:rPr>
        <w:t>gadījumos</w:t>
      </w:r>
      <w:proofErr w:type="spellEnd"/>
      <w:r w:rsidRPr="000C7C76">
        <w:rPr>
          <w:rFonts w:asciiTheme="majorBidi" w:hAnsiTheme="majorBidi" w:cstheme="majorBidi"/>
          <w:i/>
          <w:lang w:val="de-DE"/>
        </w:rPr>
        <w:t xml:space="preserve">, kur </w:t>
      </w:r>
      <w:proofErr w:type="spellStart"/>
      <w:r w:rsidRPr="000C7C76">
        <w:rPr>
          <w:rFonts w:asciiTheme="majorBidi" w:hAnsiTheme="majorBidi" w:cstheme="majorBidi"/>
          <w:i/>
          <w:lang w:val="de-DE"/>
        </w:rPr>
        <w:t>nav</w:t>
      </w:r>
      <w:proofErr w:type="spellEnd"/>
      <w:r w:rsidRPr="000C7C76">
        <w:rPr>
          <w:rFonts w:asciiTheme="majorBidi" w:hAnsiTheme="majorBidi" w:cstheme="majorBidi"/>
          <w:i/>
          <w:lang w:val="de-DE"/>
        </w:rPr>
        <w:t xml:space="preserve"> </w:t>
      </w:r>
      <w:proofErr w:type="spellStart"/>
      <w:r w:rsidRPr="000C7C76">
        <w:rPr>
          <w:rFonts w:asciiTheme="majorBidi" w:hAnsiTheme="majorBidi" w:cstheme="majorBidi"/>
          <w:i/>
          <w:lang w:val="de-DE"/>
        </w:rPr>
        <w:t>piemērojama</w:t>
      </w:r>
      <w:proofErr w:type="spellEnd"/>
      <w:r w:rsidRPr="000C7C76">
        <w:rPr>
          <w:rFonts w:asciiTheme="majorBidi" w:hAnsiTheme="majorBidi" w:cstheme="majorBidi"/>
          <w:i/>
          <w:lang w:val="de-DE"/>
        </w:rPr>
        <w:t xml:space="preserve"> </w:t>
      </w:r>
      <w:proofErr w:type="spellStart"/>
      <w:r w:rsidRPr="000C7C76">
        <w:rPr>
          <w:rFonts w:asciiTheme="majorBidi" w:hAnsiTheme="majorBidi" w:cstheme="majorBidi"/>
          <w:i/>
          <w:lang w:val="de-DE"/>
        </w:rPr>
        <w:t>kāda</w:t>
      </w:r>
      <w:proofErr w:type="spellEnd"/>
      <w:r w:rsidRPr="000C7C76">
        <w:rPr>
          <w:rFonts w:asciiTheme="majorBidi" w:hAnsiTheme="majorBidi" w:cstheme="majorBidi"/>
          <w:i/>
          <w:lang w:val="de-DE"/>
        </w:rPr>
        <w:t xml:space="preserve"> </w:t>
      </w:r>
      <w:proofErr w:type="spellStart"/>
      <w:r w:rsidRPr="000C7C76">
        <w:rPr>
          <w:rFonts w:asciiTheme="majorBidi" w:hAnsiTheme="majorBidi" w:cstheme="majorBidi"/>
          <w:i/>
          <w:lang w:val="de-DE"/>
        </w:rPr>
        <w:t>no</w:t>
      </w:r>
      <w:proofErr w:type="spellEnd"/>
      <w:r w:rsidRPr="000C7C76">
        <w:rPr>
          <w:rFonts w:asciiTheme="majorBidi" w:hAnsiTheme="majorBidi" w:cstheme="majorBidi"/>
          <w:i/>
          <w:lang w:val="de-DE"/>
        </w:rPr>
        <w:t xml:space="preserve"> ES </w:t>
      </w:r>
      <w:proofErr w:type="spellStart"/>
      <w:r w:rsidRPr="000C7C76">
        <w:rPr>
          <w:rFonts w:asciiTheme="majorBidi" w:hAnsiTheme="majorBidi" w:cstheme="majorBidi"/>
          <w:i/>
          <w:lang w:val="de-DE"/>
        </w:rPr>
        <w:t>regulām</w:t>
      </w:r>
      <w:proofErr w:type="spellEnd"/>
      <w:r w:rsidRPr="00AF3341">
        <w:rPr>
          <w:rStyle w:val="FootnoteReference"/>
          <w:rFonts w:asciiTheme="majorBidi" w:hAnsiTheme="majorBidi" w:cstheme="majorBidi"/>
        </w:rPr>
        <w:footnoteReference w:id="59"/>
      </w:r>
      <w:r w:rsidRPr="000C7C76">
        <w:rPr>
          <w:rFonts w:asciiTheme="majorBidi" w:hAnsiTheme="majorBidi" w:cstheme="majorBidi"/>
          <w:lang w:val="de-DE"/>
        </w:rPr>
        <w:t>);</w:t>
      </w:r>
    </w:p>
    <w:p w14:paraId="656E9F45" w14:textId="77777777" w:rsidR="00114953" w:rsidRPr="000C7C76" w:rsidRDefault="00114953" w:rsidP="00114953">
      <w:pPr>
        <w:ind w:firstLine="708"/>
        <w:jc w:val="both"/>
        <w:rPr>
          <w:rFonts w:asciiTheme="majorBidi" w:hAnsiTheme="majorBidi" w:cstheme="majorBidi"/>
          <w:lang w:val="de-DE"/>
        </w:rPr>
      </w:pPr>
    </w:p>
    <w:p w14:paraId="5FE100DE" w14:textId="77777777" w:rsidR="00114953" w:rsidRPr="000C7C76" w:rsidRDefault="00114953" w:rsidP="00114953">
      <w:pPr>
        <w:ind w:firstLine="708"/>
        <w:jc w:val="both"/>
        <w:rPr>
          <w:rFonts w:asciiTheme="majorBidi" w:hAnsiTheme="majorBidi" w:cstheme="majorBidi"/>
          <w:lang w:val="de-DE"/>
        </w:rPr>
      </w:pPr>
      <w:r w:rsidRPr="000C7C76">
        <w:rPr>
          <w:rFonts w:asciiTheme="majorBidi" w:hAnsiTheme="majorBidi" w:cstheme="majorBidi"/>
          <w:lang w:val="de-DE"/>
        </w:rPr>
        <w:t xml:space="preserve">6) 1995.gada 23.maija Latvijas </w:t>
      </w:r>
      <w:proofErr w:type="spellStart"/>
      <w:r w:rsidRPr="000C7C76">
        <w:rPr>
          <w:rFonts w:asciiTheme="majorBidi" w:hAnsiTheme="majorBidi" w:cstheme="majorBidi"/>
          <w:lang w:val="de-DE"/>
        </w:rPr>
        <w:t>Republikas</w:t>
      </w:r>
      <w:proofErr w:type="spellEnd"/>
      <w:r w:rsidRPr="000C7C76">
        <w:rPr>
          <w:rFonts w:asciiTheme="majorBidi" w:hAnsiTheme="majorBidi" w:cstheme="majorBidi"/>
          <w:lang w:val="de-DE"/>
        </w:rPr>
        <w:t xml:space="preserve"> </w:t>
      </w:r>
      <w:proofErr w:type="spellStart"/>
      <w:r w:rsidRPr="000C7C76">
        <w:rPr>
          <w:rFonts w:asciiTheme="majorBidi" w:hAnsiTheme="majorBidi" w:cstheme="majorBidi"/>
          <w:lang w:val="de-DE"/>
        </w:rPr>
        <w:t>un</w:t>
      </w:r>
      <w:proofErr w:type="spellEnd"/>
      <w:r w:rsidRPr="000C7C76">
        <w:rPr>
          <w:rFonts w:asciiTheme="majorBidi" w:hAnsiTheme="majorBidi" w:cstheme="majorBidi"/>
          <w:lang w:val="de-DE"/>
        </w:rPr>
        <w:t xml:space="preserve"> </w:t>
      </w:r>
      <w:proofErr w:type="spellStart"/>
      <w:r w:rsidRPr="000C7C76">
        <w:rPr>
          <w:rFonts w:asciiTheme="majorBidi" w:hAnsiTheme="majorBidi" w:cstheme="majorBidi"/>
          <w:b/>
          <w:lang w:val="de-DE"/>
        </w:rPr>
        <w:t>Ukrainas</w:t>
      </w:r>
      <w:proofErr w:type="spellEnd"/>
      <w:r w:rsidRPr="000C7C76">
        <w:rPr>
          <w:rFonts w:asciiTheme="majorBidi" w:hAnsiTheme="majorBidi" w:cstheme="majorBidi"/>
          <w:b/>
          <w:lang w:val="de-DE"/>
        </w:rPr>
        <w:t xml:space="preserve"> </w:t>
      </w:r>
      <w:proofErr w:type="spellStart"/>
      <w:r w:rsidRPr="000C7C76">
        <w:rPr>
          <w:rFonts w:asciiTheme="majorBidi" w:hAnsiTheme="majorBidi" w:cstheme="majorBidi"/>
          <w:lang w:val="de-DE"/>
        </w:rPr>
        <w:t>līgums</w:t>
      </w:r>
      <w:proofErr w:type="spellEnd"/>
      <w:r w:rsidRPr="000C7C76">
        <w:rPr>
          <w:rFonts w:asciiTheme="majorBidi" w:hAnsiTheme="majorBidi" w:cstheme="majorBidi"/>
          <w:lang w:val="de-DE"/>
        </w:rPr>
        <w:t xml:space="preserve"> par </w:t>
      </w:r>
      <w:proofErr w:type="spellStart"/>
      <w:r w:rsidRPr="000C7C76">
        <w:rPr>
          <w:rFonts w:asciiTheme="majorBidi" w:hAnsiTheme="majorBidi" w:cstheme="majorBidi"/>
          <w:lang w:val="de-DE"/>
        </w:rPr>
        <w:t>tiesisko</w:t>
      </w:r>
      <w:proofErr w:type="spellEnd"/>
      <w:r w:rsidRPr="000C7C76">
        <w:rPr>
          <w:rFonts w:asciiTheme="majorBidi" w:hAnsiTheme="majorBidi" w:cstheme="majorBidi"/>
          <w:lang w:val="de-DE"/>
        </w:rPr>
        <w:t xml:space="preserve"> </w:t>
      </w:r>
      <w:proofErr w:type="spellStart"/>
      <w:r w:rsidRPr="000C7C76">
        <w:rPr>
          <w:rFonts w:asciiTheme="majorBidi" w:hAnsiTheme="majorBidi" w:cstheme="majorBidi"/>
          <w:lang w:val="de-DE"/>
        </w:rPr>
        <w:t>palīdzību</w:t>
      </w:r>
      <w:proofErr w:type="spellEnd"/>
      <w:r w:rsidRPr="000C7C76">
        <w:rPr>
          <w:rFonts w:asciiTheme="majorBidi" w:hAnsiTheme="majorBidi" w:cstheme="majorBidi"/>
          <w:lang w:val="de-DE"/>
        </w:rPr>
        <w:t xml:space="preserve"> </w:t>
      </w:r>
      <w:proofErr w:type="spellStart"/>
      <w:r w:rsidRPr="000C7C76">
        <w:rPr>
          <w:rFonts w:asciiTheme="majorBidi" w:hAnsiTheme="majorBidi" w:cstheme="majorBidi"/>
          <w:lang w:val="de-DE"/>
        </w:rPr>
        <w:t>un</w:t>
      </w:r>
      <w:proofErr w:type="spellEnd"/>
      <w:r w:rsidRPr="000C7C76">
        <w:rPr>
          <w:rFonts w:asciiTheme="majorBidi" w:hAnsiTheme="majorBidi" w:cstheme="majorBidi"/>
          <w:lang w:val="de-DE"/>
        </w:rPr>
        <w:t xml:space="preserve"> </w:t>
      </w:r>
      <w:proofErr w:type="spellStart"/>
      <w:r w:rsidRPr="000C7C76">
        <w:rPr>
          <w:rFonts w:asciiTheme="majorBidi" w:hAnsiTheme="majorBidi" w:cstheme="majorBidi"/>
          <w:lang w:val="de-DE"/>
        </w:rPr>
        <w:t>tiesiskajām</w:t>
      </w:r>
      <w:proofErr w:type="spellEnd"/>
      <w:r w:rsidRPr="000C7C76">
        <w:rPr>
          <w:rFonts w:asciiTheme="majorBidi" w:hAnsiTheme="majorBidi" w:cstheme="majorBidi"/>
          <w:lang w:val="de-DE"/>
        </w:rPr>
        <w:t xml:space="preserve"> </w:t>
      </w:r>
      <w:proofErr w:type="spellStart"/>
      <w:r w:rsidRPr="000C7C76">
        <w:rPr>
          <w:rFonts w:asciiTheme="majorBidi" w:hAnsiTheme="majorBidi" w:cstheme="majorBidi"/>
          <w:lang w:val="de-DE"/>
        </w:rPr>
        <w:t>attiecībām</w:t>
      </w:r>
      <w:proofErr w:type="spellEnd"/>
      <w:r w:rsidRPr="000C7C76">
        <w:rPr>
          <w:rFonts w:asciiTheme="majorBidi" w:hAnsiTheme="majorBidi" w:cstheme="majorBidi"/>
          <w:lang w:val="de-DE"/>
        </w:rPr>
        <w:t xml:space="preserve"> </w:t>
      </w:r>
      <w:proofErr w:type="spellStart"/>
      <w:r w:rsidRPr="000C7C76">
        <w:rPr>
          <w:rFonts w:asciiTheme="majorBidi" w:hAnsiTheme="majorBidi" w:cstheme="majorBidi"/>
          <w:lang w:val="de-DE"/>
        </w:rPr>
        <w:t>civilajās</w:t>
      </w:r>
      <w:proofErr w:type="spellEnd"/>
      <w:r w:rsidRPr="000C7C76">
        <w:rPr>
          <w:rFonts w:asciiTheme="majorBidi" w:hAnsiTheme="majorBidi" w:cstheme="majorBidi"/>
          <w:lang w:val="de-DE"/>
        </w:rPr>
        <w:t xml:space="preserve">, </w:t>
      </w:r>
      <w:proofErr w:type="spellStart"/>
      <w:r w:rsidRPr="000C7C76">
        <w:rPr>
          <w:rFonts w:asciiTheme="majorBidi" w:hAnsiTheme="majorBidi" w:cstheme="majorBidi"/>
          <w:lang w:val="de-DE"/>
        </w:rPr>
        <w:t>ģimenes</w:t>
      </w:r>
      <w:proofErr w:type="spellEnd"/>
      <w:r w:rsidRPr="000C7C76">
        <w:rPr>
          <w:rFonts w:asciiTheme="majorBidi" w:hAnsiTheme="majorBidi" w:cstheme="majorBidi"/>
          <w:lang w:val="de-DE"/>
        </w:rPr>
        <w:t xml:space="preserve">, </w:t>
      </w:r>
      <w:proofErr w:type="spellStart"/>
      <w:r w:rsidRPr="000C7C76">
        <w:rPr>
          <w:rFonts w:asciiTheme="majorBidi" w:hAnsiTheme="majorBidi" w:cstheme="majorBidi"/>
          <w:lang w:val="de-DE"/>
        </w:rPr>
        <w:t>darba</w:t>
      </w:r>
      <w:proofErr w:type="spellEnd"/>
      <w:r w:rsidRPr="000C7C76">
        <w:rPr>
          <w:rFonts w:asciiTheme="majorBidi" w:hAnsiTheme="majorBidi" w:cstheme="majorBidi"/>
          <w:lang w:val="de-DE"/>
        </w:rPr>
        <w:t xml:space="preserve"> </w:t>
      </w:r>
      <w:proofErr w:type="spellStart"/>
      <w:r w:rsidRPr="000C7C76">
        <w:rPr>
          <w:rFonts w:asciiTheme="majorBidi" w:hAnsiTheme="majorBidi" w:cstheme="majorBidi"/>
          <w:lang w:val="de-DE"/>
        </w:rPr>
        <w:t>un</w:t>
      </w:r>
      <w:proofErr w:type="spellEnd"/>
      <w:r w:rsidRPr="000C7C76">
        <w:rPr>
          <w:rFonts w:asciiTheme="majorBidi" w:hAnsiTheme="majorBidi" w:cstheme="majorBidi"/>
          <w:lang w:val="de-DE"/>
        </w:rPr>
        <w:t xml:space="preserve"> </w:t>
      </w:r>
      <w:proofErr w:type="spellStart"/>
      <w:r w:rsidRPr="000C7C76">
        <w:rPr>
          <w:rFonts w:asciiTheme="majorBidi" w:hAnsiTheme="majorBidi" w:cstheme="majorBidi"/>
          <w:lang w:val="de-DE"/>
        </w:rPr>
        <w:t>krimināllietās</w:t>
      </w:r>
      <w:proofErr w:type="spellEnd"/>
      <w:r w:rsidRPr="005815C3">
        <w:rPr>
          <w:rStyle w:val="FootnoteReference"/>
          <w:rFonts w:asciiTheme="majorBidi" w:hAnsiTheme="majorBidi" w:cstheme="majorBidi"/>
        </w:rPr>
        <w:footnoteReference w:id="60"/>
      </w:r>
      <w:r w:rsidRPr="000C7C76">
        <w:rPr>
          <w:rFonts w:asciiTheme="majorBidi" w:hAnsiTheme="majorBidi" w:cstheme="majorBidi"/>
          <w:lang w:val="de-DE"/>
        </w:rPr>
        <w:t>;</w:t>
      </w:r>
    </w:p>
    <w:p w14:paraId="55EB3D95" w14:textId="77777777" w:rsidR="00114953" w:rsidRPr="000C7C76" w:rsidRDefault="00114953" w:rsidP="00114953">
      <w:pPr>
        <w:ind w:firstLine="708"/>
        <w:jc w:val="both"/>
        <w:rPr>
          <w:rFonts w:asciiTheme="majorBidi" w:hAnsiTheme="majorBidi" w:cstheme="majorBidi"/>
          <w:lang w:val="de-DE"/>
        </w:rPr>
      </w:pPr>
    </w:p>
    <w:p w14:paraId="3CA65D6A" w14:textId="77777777" w:rsidR="00114953" w:rsidRPr="000C7C76" w:rsidRDefault="00114953" w:rsidP="00114953">
      <w:pPr>
        <w:ind w:firstLine="708"/>
        <w:jc w:val="both"/>
        <w:rPr>
          <w:rFonts w:asciiTheme="majorBidi" w:hAnsiTheme="majorBidi" w:cstheme="majorBidi"/>
          <w:lang w:val="de-DE"/>
        </w:rPr>
      </w:pPr>
      <w:r w:rsidRPr="000C7C76">
        <w:rPr>
          <w:rFonts w:asciiTheme="majorBidi" w:hAnsiTheme="majorBidi" w:cstheme="majorBidi"/>
          <w:lang w:val="de-DE"/>
        </w:rPr>
        <w:t xml:space="preserve">7) 1996.gada 23.maija </w:t>
      </w:r>
      <w:proofErr w:type="spellStart"/>
      <w:r w:rsidRPr="000C7C76">
        <w:rPr>
          <w:rFonts w:asciiTheme="majorBidi" w:hAnsiTheme="majorBidi" w:cstheme="majorBidi"/>
          <w:lang w:val="de-DE"/>
        </w:rPr>
        <w:t>Līgums</w:t>
      </w:r>
      <w:proofErr w:type="spellEnd"/>
      <w:r w:rsidRPr="000C7C76">
        <w:rPr>
          <w:rFonts w:asciiTheme="majorBidi" w:hAnsiTheme="majorBidi" w:cstheme="majorBidi"/>
          <w:lang w:val="de-DE"/>
        </w:rPr>
        <w:t xml:space="preserve"> </w:t>
      </w:r>
      <w:proofErr w:type="spellStart"/>
      <w:r w:rsidRPr="000C7C76">
        <w:rPr>
          <w:rFonts w:asciiTheme="majorBidi" w:hAnsiTheme="majorBidi" w:cstheme="majorBidi"/>
          <w:lang w:val="de-DE"/>
        </w:rPr>
        <w:t>starp</w:t>
      </w:r>
      <w:proofErr w:type="spellEnd"/>
      <w:r w:rsidRPr="000C7C76">
        <w:rPr>
          <w:rFonts w:asciiTheme="majorBidi" w:hAnsiTheme="majorBidi" w:cstheme="majorBidi"/>
          <w:lang w:val="de-DE"/>
        </w:rPr>
        <w:t xml:space="preserve"> Latvijas </w:t>
      </w:r>
      <w:proofErr w:type="spellStart"/>
      <w:r w:rsidRPr="000C7C76">
        <w:rPr>
          <w:rFonts w:asciiTheme="majorBidi" w:hAnsiTheme="majorBidi" w:cstheme="majorBidi"/>
          <w:lang w:val="de-DE"/>
        </w:rPr>
        <w:t>Republiku</w:t>
      </w:r>
      <w:proofErr w:type="spellEnd"/>
      <w:r w:rsidRPr="000C7C76">
        <w:rPr>
          <w:rFonts w:asciiTheme="majorBidi" w:hAnsiTheme="majorBidi" w:cstheme="majorBidi"/>
          <w:lang w:val="de-DE"/>
        </w:rPr>
        <w:t xml:space="preserve"> </w:t>
      </w:r>
      <w:proofErr w:type="spellStart"/>
      <w:r w:rsidRPr="000C7C76">
        <w:rPr>
          <w:rFonts w:asciiTheme="majorBidi" w:hAnsiTheme="majorBidi" w:cstheme="majorBidi"/>
          <w:lang w:val="de-DE"/>
        </w:rPr>
        <w:t>un</w:t>
      </w:r>
      <w:proofErr w:type="spellEnd"/>
      <w:r w:rsidRPr="000C7C76">
        <w:rPr>
          <w:rFonts w:asciiTheme="majorBidi" w:hAnsiTheme="majorBidi" w:cstheme="majorBidi"/>
          <w:lang w:val="de-DE"/>
        </w:rPr>
        <w:t xml:space="preserve"> </w:t>
      </w:r>
      <w:proofErr w:type="spellStart"/>
      <w:r w:rsidRPr="000C7C76">
        <w:rPr>
          <w:rFonts w:asciiTheme="majorBidi" w:hAnsiTheme="majorBidi" w:cstheme="majorBidi"/>
          <w:b/>
          <w:lang w:val="de-DE"/>
        </w:rPr>
        <w:t>Uzbekistānas</w:t>
      </w:r>
      <w:proofErr w:type="spellEnd"/>
      <w:r w:rsidRPr="000C7C76">
        <w:rPr>
          <w:rFonts w:asciiTheme="majorBidi" w:hAnsiTheme="majorBidi" w:cstheme="majorBidi"/>
          <w:b/>
          <w:lang w:val="de-DE"/>
        </w:rPr>
        <w:t xml:space="preserve"> </w:t>
      </w:r>
      <w:proofErr w:type="spellStart"/>
      <w:r w:rsidRPr="000C7C76">
        <w:rPr>
          <w:rFonts w:asciiTheme="majorBidi" w:hAnsiTheme="majorBidi" w:cstheme="majorBidi"/>
          <w:b/>
          <w:lang w:val="de-DE"/>
        </w:rPr>
        <w:t>Republiku</w:t>
      </w:r>
      <w:proofErr w:type="spellEnd"/>
      <w:r w:rsidRPr="000C7C76">
        <w:rPr>
          <w:rFonts w:asciiTheme="majorBidi" w:hAnsiTheme="majorBidi" w:cstheme="majorBidi"/>
          <w:lang w:val="de-DE"/>
        </w:rPr>
        <w:t xml:space="preserve"> par </w:t>
      </w:r>
      <w:proofErr w:type="spellStart"/>
      <w:r w:rsidRPr="000C7C76">
        <w:rPr>
          <w:rFonts w:asciiTheme="majorBidi" w:hAnsiTheme="majorBidi" w:cstheme="majorBidi"/>
          <w:lang w:val="de-DE"/>
        </w:rPr>
        <w:t>tiesisko</w:t>
      </w:r>
      <w:proofErr w:type="spellEnd"/>
      <w:r w:rsidRPr="000C7C76">
        <w:rPr>
          <w:rFonts w:asciiTheme="majorBidi" w:hAnsiTheme="majorBidi" w:cstheme="majorBidi"/>
          <w:lang w:val="de-DE"/>
        </w:rPr>
        <w:t xml:space="preserve"> </w:t>
      </w:r>
      <w:proofErr w:type="spellStart"/>
      <w:r w:rsidRPr="000C7C76">
        <w:rPr>
          <w:rFonts w:asciiTheme="majorBidi" w:hAnsiTheme="majorBidi" w:cstheme="majorBidi"/>
          <w:lang w:val="de-DE"/>
        </w:rPr>
        <w:t>palīdzību</w:t>
      </w:r>
      <w:proofErr w:type="spellEnd"/>
      <w:r w:rsidRPr="000C7C76">
        <w:rPr>
          <w:rFonts w:asciiTheme="majorBidi" w:hAnsiTheme="majorBidi" w:cstheme="majorBidi"/>
          <w:lang w:val="de-DE"/>
        </w:rPr>
        <w:t xml:space="preserve"> </w:t>
      </w:r>
      <w:proofErr w:type="spellStart"/>
      <w:r w:rsidRPr="000C7C76">
        <w:rPr>
          <w:rFonts w:asciiTheme="majorBidi" w:hAnsiTheme="majorBidi" w:cstheme="majorBidi"/>
          <w:lang w:val="de-DE"/>
        </w:rPr>
        <w:t>un</w:t>
      </w:r>
      <w:proofErr w:type="spellEnd"/>
      <w:r w:rsidRPr="000C7C76">
        <w:rPr>
          <w:rFonts w:asciiTheme="majorBidi" w:hAnsiTheme="majorBidi" w:cstheme="majorBidi"/>
          <w:lang w:val="de-DE"/>
        </w:rPr>
        <w:t xml:space="preserve"> </w:t>
      </w:r>
      <w:proofErr w:type="spellStart"/>
      <w:r w:rsidRPr="000C7C76">
        <w:rPr>
          <w:rFonts w:asciiTheme="majorBidi" w:hAnsiTheme="majorBidi" w:cstheme="majorBidi"/>
          <w:lang w:val="de-DE"/>
        </w:rPr>
        <w:t>tiesiskajām</w:t>
      </w:r>
      <w:proofErr w:type="spellEnd"/>
      <w:r w:rsidRPr="000C7C76">
        <w:rPr>
          <w:rFonts w:asciiTheme="majorBidi" w:hAnsiTheme="majorBidi" w:cstheme="majorBidi"/>
          <w:lang w:val="de-DE"/>
        </w:rPr>
        <w:t xml:space="preserve"> </w:t>
      </w:r>
      <w:proofErr w:type="spellStart"/>
      <w:r w:rsidRPr="000C7C76">
        <w:rPr>
          <w:rFonts w:asciiTheme="majorBidi" w:hAnsiTheme="majorBidi" w:cstheme="majorBidi"/>
          <w:lang w:val="de-DE"/>
        </w:rPr>
        <w:t>attiecībām</w:t>
      </w:r>
      <w:proofErr w:type="spellEnd"/>
      <w:r w:rsidRPr="000C7C76">
        <w:rPr>
          <w:rFonts w:asciiTheme="majorBidi" w:hAnsiTheme="majorBidi" w:cstheme="majorBidi"/>
          <w:lang w:val="de-DE"/>
        </w:rPr>
        <w:t xml:space="preserve"> </w:t>
      </w:r>
      <w:proofErr w:type="spellStart"/>
      <w:r w:rsidRPr="000C7C76">
        <w:rPr>
          <w:rFonts w:asciiTheme="majorBidi" w:hAnsiTheme="majorBidi" w:cstheme="majorBidi"/>
          <w:lang w:val="de-DE"/>
        </w:rPr>
        <w:t>civilajās</w:t>
      </w:r>
      <w:proofErr w:type="spellEnd"/>
      <w:r w:rsidRPr="000C7C76">
        <w:rPr>
          <w:rFonts w:asciiTheme="majorBidi" w:hAnsiTheme="majorBidi" w:cstheme="majorBidi"/>
          <w:lang w:val="de-DE"/>
        </w:rPr>
        <w:t xml:space="preserve">, </w:t>
      </w:r>
      <w:proofErr w:type="spellStart"/>
      <w:r w:rsidRPr="000C7C76">
        <w:rPr>
          <w:rFonts w:asciiTheme="majorBidi" w:hAnsiTheme="majorBidi" w:cstheme="majorBidi"/>
          <w:lang w:val="de-DE"/>
        </w:rPr>
        <w:t>ģimenes</w:t>
      </w:r>
      <w:proofErr w:type="spellEnd"/>
      <w:r w:rsidRPr="000C7C76">
        <w:rPr>
          <w:rFonts w:asciiTheme="majorBidi" w:hAnsiTheme="majorBidi" w:cstheme="majorBidi"/>
          <w:lang w:val="de-DE"/>
        </w:rPr>
        <w:t xml:space="preserve">, </w:t>
      </w:r>
      <w:proofErr w:type="spellStart"/>
      <w:r w:rsidRPr="000C7C76">
        <w:rPr>
          <w:rFonts w:asciiTheme="majorBidi" w:hAnsiTheme="majorBidi" w:cstheme="majorBidi"/>
          <w:lang w:val="de-DE"/>
        </w:rPr>
        <w:t>darba</w:t>
      </w:r>
      <w:proofErr w:type="spellEnd"/>
      <w:r w:rsidRPr="000C7C76">
        <w:rPr>
          <w:rFonts w:asciiTheme="majorBidi" w:hAnsiTheme="majorBidi" w:cstheme="majorBidi"/>
          <w:lang w:val="de-DE"/>
        </w:rPr>
        <w:t xml:space="preserve"> </w:t>
      </w:r>
      <w:proofErr w:type="spellStart"/>
      <w:r w:rsidRPr="000C7C76">
        <w:rPr>
          <w:rFonts w:asciiTheme="majorBidi" w:hAnsiTheme="majorBidi" w:cstheme="majorBidi"/>
          <w:lang w:val="de-DE"/>
        </w:rPr>
        <w:t>un</w:t>
      </w:r>
      <w:proofErr w:type="spellEnd"/>
      <w:r w:rsidRPr="000C7C76">
        <w:rPr>
          <w:rFonts w:asciiTheme="majorBidi" w:hAnsiTheme="majorBidi" w:cstheme="majorBidi"/>
          <w:lang w:val="de-DE"/>
        </w:rPr>
        <w:t xml:space="preserve"> </w:t>
      </w:r>
      <w:proofErr w:type="spellStart"/>
      <w:r w:rsidRPr="000C7C76">
        <w:rPr>
          <w:rFonts w:asciiTheme="majorBidi" w:hAnsiTheme="majorBidi" w:cstheme="majorBidi"/>
          <w:lang w:val="de-DE"/>
        </w:rPr>
        <w:t>krimināllietās</w:t>
      </w:r>
      <w:proofErr w:type="spellEnd"/>
      <w:r w:rsidRPr="005815C3">
        <w:rPr>
          <w:rStyle w:val="FootnoteReference"/>
          <w:rFonts w:asciiTheme="majorBidi" w:hAnsiTheme="majorBidi" w:cstheme="majorBidi"/>
        </w:rPr>
        <w:footnoteReference w:id="61"/>
      </w:r>
      <w:r w:rsidRPr="000C7C76">
        <w:rPr>
          <w:rFonts w:asciiTheme="majorBidi" w:hAnsiTheme="majorBidi" w:cstheme="majorBidi"/>
          <w:lang w:val="de-DE"/>
        </w:rPr>
        <w:t>;</w:t>
      </w:r>
    </w:p>
    <w:p w14:paraId="555A6EA5" w14:textId="77777777" w:rsidR="00114953" w:rsidRPr="000C7C76" w:rsidRDefault="00114953" w:rsidP="00114953">
      <w:pPr>
        <w:ind w:firstLine="708"/>
        <w:jc w:val="both"/>
        <w:rPr>
          <w:rFonts w:asciiTheme="majorBidi" w:hAnsiTheme="majorBidi" w:cstheme="majorBidi"/>
          <w:lang w:val="de-DE"/>
        </w:rPr>
      </w:pPr>
    </w:p>
    <w:p w14:paraId="09538031" w14:textId="77777777" w:rsidR="00114953" w:rsidRPr="000C7C76" w:rsidRDefault="00114953" w:rsidP="00114953">
      <w:pPr>
        <w:ind w:firstLine="708"/>
        <w:jc w:val="both"/>
        <w:rPr>
          <w:rFonts w:asciiTheme="majorBidi" w:hAnsiTheme="majorBidi" w:cstheme="majorBidi"/>
          <w:lang w:val="de-DE"/>
        </w:rPr>
      </w:pPr>
      <w:r w:rsidRPr="000C7C76">
        <w:rPr>
          <w:rFonts w:asciiTheme="majorBidi" w:hAnsiTheme="majorBidi" w:cstheme="majorBidi"/>
          <w:lang w:val="de-DE"/>
        </w:rPr>
        <w:t xml:space="preserve">8) 1997.gada 10.aprīļa </w:t>
      </w:r>
      <w:proofErr w:type="spellStart"/>
      <w:r w:rsidRPr="000C7C76">
        <w:rPr>
          <w:rFonts w:asciiTheme="majorBidi" w:hAnsiTheme="majorBidi" w:cstheme="majorBidi"/>
          <w:lang w:val="de-DE"/>
        </w:rPr>
        <w:t>Līgums</w:t>
      </w:r>
      <w:proofErr w:type="spellEnd"/>
      <w:r w:rsidRPr="000C7C76">
        <w:rPr>
          <w:rFonts w:asciiTheme="majorBidi" w:hAnsiTheme="majorBidi" w:cstheme="majorBidi"/>
          <w:lang w:val="de-DE"/>
        </w:rPr>
        <w:t xml:space="preserve"> </w:t>
      </w:r>
      <w:proofErr w:type="spellStart"/>
      <w:r w:rsidRPr="000C7C76">
        <w:rPr>
          <w:rFonts w:asciiTheme="majorBidi" w:hAnsiTheme="majorBidi" w:cstheme="majorBidi"/>
          <w:lang w:val="de-DE"/>
        </w:rPr>
        <w:t>starp</w:t>
      </w:r>
      <w:proofErr w:type="spellEnd"/>
      <w:r w:rsidRPr="000C7C76">
        <w:rPr>
          <w:rFonts w:asciiTheme="majorBidi" w:hAnsiTheme="majorBidi" w:cstheme="majorBidi"/>
          <w:lang w:val="de-DE"/>
        </w:rPr>
        <w:t xml:space="preserve"> Latvijas </w:t>
      </w:r>
      <w:proofErr w:type="spellStart"/>
      <w:r w:rsidRPr="000C7C76">
        <w:rPr>
          <w:rFonts w:asciiTheme="majorBidi" w:hAnsiTheme="majorBidi" w:cstheme="majorBidi"/>
          <w:lang w:val="de-DE"/>
        </w:rPr>
        <w:t>Republiku</w:t>
      </w:r>
      <w:proofErr w:type="spellEnd"/>
      <w:r w:rsidRPr="000C7C76">
        <w:rPr>
          <w:rFonts w:asciiTheme="majorBidi" w:hAnsiTheme="majorBidi" w:cstheme="majorBidi"/>
          <w:lang w:val="de-DE"/>
        </w:rPr>
        <w:t xml:space="preserve"> </w:t>
      </w:r>
      <w:proofErr w:type="spellStart"/>
      <w:r w:rsidRPr="000C7C76">
        <w:rPr>
          <w:rFonts w:asciiTheme="majorBidi" w:hAnsiTheme="majorBidi" w:cstheme="majorBidi"/>
          <w:lang w:val="de-DE"/>
        </w:rPr>
        <w:t>un</w:t>
      </w:r>
      <w:proofErr w:type="spellEnd"/>
      <w:r w:rsidRPr="000C7C76">
        <w:rPr>
          <w:rFonts w:asciiTheme="majorBidi" w:hAnsiTheme="majorBidi" w:cstheme="majorBidi"/>
          <w:lang w:val="de-DE"/>
        </w:rPr>
        <w:t xml:space="preserve"> </w:t>
      </w:r>
      <w:proofErr w:type="spellStart"/>
      <w:r w:rsidRPr="000C7C76">
        <w:rPr>
          <w:rFonts w:asciiTheme="majorBidi" w:hAnsiTheme="majorBidi" w:cstheme="majorBidi"/>
          <w:b/>
          <w:lang w:val="de-DE"/>
        </w:rPr>
        <w:t>Kirgizstānas</w:t>
      </w:r>
      <w:proofErr w:type="spellEnd"/>
      <w:r w:rsidRPr="000C7C76">
        <w:rPr>
          <w:rFonts w:asciiTheme="majorBidi" w:hAnsiTheme="majorBidi" w:cstheme="majorBidi"/>
          <w:b/>
          <w:lang w:val="de-DE"/>
        </w:rPr>
        <w:t xml:space="preserve"> </w:t>
      </w:r>
      <w:proofErr w:type="spellStart"/>
      <w:r w:rsidRPr="000C7C76">
        <w:rPr>
          <w:rFonts w:asciiTheme="majorBidi" w:hAnsiTheme="majorBidi" w:cstheme="majorBidi"/>
          <w:b/>
          <w:lang w:val="de-DE"/>
        </w:rPr>
        <w:t>Republiku</w:t>
      </w:r>
      <w:proofErr w:type="spellEnd"/>
      <w:r w:rsidRPr="000C7C76">
        <w:rPr>
          <w:rFonts w:asciiTheme="majorBidi" w:hAnsiTheme="majorBidi" w:cstheme="majorBidi"/>
          <w:lang w:val="de-DE"/>
        </w:rPr>
        <w:t xml:space="preserve"> par </w:t>
      </w:r>
      <w:proofErr w:type="spellStart"/>
      <w:r w:rsidRPr="000C7C76">
        <w:rPr>
          <w:rFonts w:asciiTheme="majorBidi" w:hAnsiTheme="majorBidi" w:cstheme="majorBidi"/>
          <w:lang w:val="de-DE"/>
        </w:rPr>
        <w:t>tiesisko</w:t>
      </w:r>
      <w:proofErr w:type="spellEnd"/>
      <w:r w:rsidRPr="000C7C76">
        <w:rPr>
          <w:rFonts w:asciiTheme="majorBidi" w:hAnsiTheme="majorBidi" w:cstheme="majorBidi"/>
          <w:lang w:val="de-DE"/>
        </w:rPr>
        <w:t xml:space="preserve"> </w:t>
      </w:r>
      <w:proofErr w:type="spellStart"/>
      <w:r w:rsidRPr="000C7C76">
        <w:rPr>
          <w:rFonts w:asciiTheme="majorBidi" w:hAnsiTheme="majorBidi" w:cstheme="majorBidi"/>
          <w:lang w:val="de-DE"/>
        </w:rPr>
        <w:t>palīdzību</w:t>
      </w:r>
      <w:proofErr w:type="spellEnd"/>
      <w:r w:rsidRPr="000C7C76">
        <w:rPr>
          <w:rFonts w:asciiTheme="majorBidi" w:hAnsiTheme="majorBidi" w:cstheme="majorBidi"/>
          <w:lang w:val="de-DE"/>
        </w:rPr>
        <w:t xml:space="preserve"> </w:t>
      </w:r>
      <w:proofErr w:type="spellStart"/>
      <w:r w:rsidRPr="000C7C76">
        <w:rPr>
          <w:rFonts w:asciiTheme="majorBidi" w:hAnsiTheme="majorBidi" w:cstheme="majorBidi"/>
          <w:lang w:val="de-DE"/>
        </w:rPr>
        <w:t>un</w:t>
      </w:r>
      <w:proofErr w:type="spellEnd"/>
      <w:r w:rsidRPr="000C7C76">
        <w:rPr>
          <w:rFonts w:asciiTheme="majorBidi" w:hAnsiTheme="majorBidi" w:cstheme="majorBidi"/>
          <w:lang w:val="de-DE"/>
        </w:rPr>
        <w:t xml:space="preserve"> </w:t>
      </w:r>
      <w:proofErr w:type="spellStart"/>
      <w:r w:rsidRPr="000C7C76">
        <w:rPr>
          <w:rFonts w:asciiTheme="majorBidi" w:hAnsiTheme="majorBidi" w:cstheme="majorBidi"/>
          <w:lang w:val="de-DE"/>
        </w:rPr>
        <w:t>tiesiskajām</w:t>
      </w:r>
      <w:proofErr w:type="spellEnd"/>
      <w:r w:rsidRPr="000C7C76">
        <w:rPr>
          <w:rFonts w:asciiTheme="majorBidi" w:hAnsiTheme="majorBidi" w:cstheme="majorBidi"/>
          <w:lang w:val="de-DE"/>
        </w:rPr>
        <w:t xml:space="preserve"> </w:t>
      </w:r>
      <w:proofErr w:type="spellStart"/>
      <w:r w:rsidRPr="000C7C76">
        <w:rPr>
          <w:rFonts w:asciiTheme="majorBidi" w:hAnsiTheme="majorBidi" w:cstheme="majorBidi"/>
          <w:lang w:val="de-DE"/>
        </w:rPr>
        <w:t>attiecībām</w:t>
      </w:r>
      <w:proofErr w:type="spellEnd"/>
      <w:r w:rsidRPr="000C7C76">
        <w:rPr>
          <w:rFonts w:asciiTheme="majorBidi" w:hAnsiTheme="majorBidi" w:cstheme="majorBidi"/>
          <w:lang w:val="de-DE"/>
        </w:rPr>
        <w:t xml:space="preserve"> </w:t>
      </w:r>
      <w:proofErr w:type="spellStart"/>
      <w:r w:rsidRPr="000C7C76">
        <w:rPr>
          <w:rFonts w:asciiTheme="majorBidi" w:hAnsiTheme="majorBidi" w:cstheme="majorBidi"/>
          <w:lang w:val="de-DE"/>
        </w:rPr>
        <w:t>civilajās</w:t>
      </w:r>
      <w:proofErr w:type="spellEnd"/>
      <w:r w:rsidRPr="000C7C76">
        <w:rPr>
          <w:rFonts w:asciiTheme="majorBidi" w:hAnsiTheme="majorBidi" w:cstheme="majorBidi"/>
          <w:lang w:val="de-DE"/>
        </w:rPr>
        <w:t xml:space="preserve">, </w:t>
      </w:r>
      <w:proofErr w:type="spellStart"/>
      <w:r w:rsidRPr="000C7C76">
        <w:rPr>
          <w:rFonts w:asciiTheme="majorBidi" w:hAnsiTheme="majorBidi" w:cstheme="majorBidi"/>
          <w:lang w:val="de-DE"/>
        </w:rPr>
        <w:t>ģimenes</w:t>
      </w:r>
      <w:proofErr w:type="spellEnd"/>
      <w:r w:rsidRPr="000C7C76">
        <w:rPr>
          <w:rFonts w:asciiTheme="majorBidi" w:hAnsiTheme="majorBidi" w:cstheme="majorBidi"/>
          <w:lang w:val="de-DE"/>
        </w:rPr>
        <w:t xml:space="preserve">, </w:t>
      </w:r>
      <w:proofErr w:type="spellStart"/>
      <w:r w:rsidRPr="000C7C76">
        <w:rPr>
          <w:rFonts w:asciiTheme="majorBidi" w:hAnsiTheme="majorBidi" w:cstheme="majorBidi"/>
          <w:lang w:val="de-DE"/>
        </w:rPr>
        <w:t>darba</w:t>
      </w:r>
      <w:proofErr w:type="spellEnd"/>
      <w:r w:rsidRPr="000C7C76">
        <w:rPr>
          <w:rFonts w:asciiTheme="majorBidi" w:hAnsiTheme="majorBidi" w:cstheme="majorBidi"/>
          <w:lang w:val="de-DE"/>
        </w:rPr>
        <w:t xml:space="preserve"> </w:t>
      </w:r>
      <w:proofErr w:type="spellStart"/>
      <w:r w:rsidRPr="000C7C76">
        <w:rPr>
          <w:rFonts w:asciiTheme="majorBidi" w:hAnsiTheme="majorBidi" w:cstheme="majorBidi"/>
          <w:lang w:val="de-DE"/>
        </w:rPr>
        <w:t>un</w:t>
      </w:r>
      <w:proofErr w:type="spellEnd"/>
      <w:r w:rsidRPr="000C7C76">
        <w:rPr>
          <w:rFonts w:asciiTheme="majorBidi" w:hAnsiTheme="majorBidi" w:cstheme="majorBidi"/>
          <w:lang w:val="de-DE"/>
        </w:rPr>
        <w:t xml:space="preserve"> </w:t>
      </w:r>
      <w:proofErr w:type="spellStart"/>
      <w:r w:rsidRPr="000C7C76">
        <w:rPr>
          <w:rFonts w:asciiTheme="majorBidi" w:hAnsiTheme="majorBidi" w:cstheme="majorBidi"/>
          <w:lang w:val="de-DE"/>
        </w:rPr>
        <w:t>krimināllietās</w:t>
      </w:r>
      <w:proofErr w:type="spellEnd"/>
      <w:r w:rsidRPr="005815C3">
        <w:rPr>
          <w:rStyle w:val="FootnoteReference"/>
          <w:rFonts w:asciiTheme="majorBidi" w:hAnsiTheme="majorBidi" w:cstheme="majorBidi"/>
        </w:rPr>
        <w:footnoteReference w:id="62"/>
      </w:r>
      <w:r w:rsidRPr="000C7C76">
        <w:rPr>
          <w:rFonts w:asciiTheme="majorBidi" w:hAnsiTheme="majorBidi" w:cstheme="majorBidi"/>
          <w:lang w:val="de-DE"/>
        </w:rPr>
        <w:t>.</w:t>
      </w:r>
    </w:p>
    <w:p w14:paraId="63699FE1" w14:textId="77777777" w:rsidR="00114953" w:rsidRPr="000C7C76" w:rsidRDefault="00114953" w:rsidP="00114953">
      <w:pPr>
        <w:jc w:val="both"/>
        <w:rPr>
          <w:rFonts w:asciiTheme="majorBidi" w:hAnsiTheme="majorBidi" w:cstheme="majorBidi"/>
          <w:lang w:val="de-DE"/>
        </w:rPr>
      </w:pPr>
    </w:p>
    <w:p w14:paraId="662770E6" w14:textId="5201267C" w:rsidR="00114953" w:rsidRPr="00AF3341" w:rsidRDefault="00114953" w:rsidP="00114953">
      <w:pPr>
        <w:ind w:firstLine="708"/>
        <w:jc w:val="both"/>
        <w:rPr>
          <w:rFonts w:ascii="Times New Roman" w:hAnsi="Times New Roman" w:cs="Arial"/>
          <w:color w:val="323233"/>
          <w:lang w:val="de-DE"/>
        </w:rPr>
      </w:pPr>
      <w:proofErr w:type="spellStart"/>
      <w:r w:rsidRPr="00AF3341">
        <w:rPr>
          <w:rFonts w:asciiTheme="majorBidi" w:hAnsiTheme="majorBidi" w:cstheme="majorBidi"/>
          <w:lang w:val="de-DE"/>
        </w:rPr>
        <w:t>Saskaņā</w:t>
      </w:r>
      <w:proofErr w:type="spellEnd"/>
      <w:r w:rsidRPr="00AF3341">
        <w:rPr>
          <w:rFonts w:asciiTheme="majorBidi" w:hAnsiTheme="majorBidi" w:cstheme="majorBidi"/>
          <w:lang w:val="de-DE"/>
        </w:rPr>
        <w:t xml:space="preserve"> </w:t>
      </w:r>
      <w:proofErr w:type="spellStart"/>
      <w:r w:rsidRPr="00AF3341">
        <w:rPr>
          <w:rFonts w:asciiTheme="majorBidi" w:hAnsiTheme="majorBidi" w:cstheme="majorBidi"/>
          <w:lang w:val="de-DE"/>
        </w:rPr>
        <w:t>ar</w:t>
      </w:r>
      <w:proofErr w:type="spellEnd"/>
      <w:r w:rsidRPr="00AF3341">
        <w:rPr>
          <w:rFonts w:asciiTheme="majorBidi" w:hAnsiTheme="majorBidi" w:cstheme="majorBidi"/>
          <w:lang w:val="de-DE"/>
        </w:rPr>
        <w:t xml:space="preserve"> </w:t>
      </w:r>
      <w:proofErr w:type="spellStart"/>
      <w:r w:rsidRPr="00AF3341">
        <w:rPr>
          <w:rFonts w:asciiTheme="majorBidi" w:hAnsiTheme="majorBidi" w:cstheme="majorBidi"/>
          <w:lang w:val="de-DE"/>
        </w:rPr>
        <w:t>likuma</w:t>
      </w:r>
      <w:proofErr w:type="spellEnd"/>
      <w:r w:rsidRPr="00AF3341">
        <w:rPr>
          <w:rFonts w:asciiTheme="majorBidi" w:hAnsiTheme="majorBidi" w:cstheme="majorBidi"/>
          <w:lang w:val="de-DE"/>
        </w:rPr>
        <w:t xml:space="preserve"> </w:t>
      </w:r>
      <w:r>
        <w:rPr>
          <w:rFonts w:asciiTheme="majorBidi" w:hAnsiTheme="majorBidi" w:cstheme="majorBidi"/>
          <w:lang w:val="de-DE"/>
        </w:rPr>
        <w:t>„</w:t>
      </w:r>
      <w:r w:rsidRPr="00AF3341">
        <w:rPr>
          <w:rFonts w:asciiTheme="majorBidi" w:hAnsiTheme="majorBidi" w:cstheme="majorBidi"/>
          <w:lang w:val="de-DE"/>
        </w:rPr>
        <w:t xml:space="preserve">Par Latvijas </w:t>
      </w:r>
      <w:proofErr w:type="spellStart"/>
      <w:r w:rsidRPr="00AF3341">
        <w:rPr>
          <w:rFonts w:asciiTheme="majorBidi" w:hAnsiTheme="majorBidi" w:cstheme="majorBidi"/>
          <w:lang w:val="de-DE"/>
        </w:rPr>
        <w:t>Republikas</w:t>
      </w:r>
      <w:proofErr w:type="spellEnd"/>
      <w:r w:rsidRPr="00AF3341">
        <w:rPr>
          <w:rFonts w:asciiTheme="majorBidi" w:hAnsiTheme="majorBidi" w:cstheme="majorBidi"/>
          <w:lang w:val="de-DE"/>
        </w:rPr>
        <w:t xml:space="preserve"> </w:t>
      </w:r>
      <w:proofErr w:type="spellStart"/>
      <w:r w:rsidRPr="00AF3341">
        <w:rPr>
          <w:rFonts w:asciiTheme="majorBidi" w:hAnsiTheme="majorBidi" w:cstheme="majorBidi"/>
          <w:lang w:val="de-DE"/>
        </w:rPr>
        <w:t>starptautiskajiem</w:t>
      </w:r>
      <w:proofErr w:type="spellEnd"/>
      <w:r w:rsidRPr="00AF3341">
        <w:rPr>
          <w:rFonts w:asciiTheme="majorBidi" w:hAnsiTheme="majorBidi" w:cstheme="majorBidi"/>
          <w:lang w:val="de-DE"/>
        </w:rPr>
        <w:t xml:space="preserve"> </w:t>
      </w:r>
      <w:proofErr w:type="spellStart"/>
      <w:r w:rsidRPr="00AF3341">
        <w:rPr>
          <w:rFonts w:asciiTheme="majorBidi" w:hAnsiTheme="majorBidi" w:cstheme="majorBidi"/>
          <w:lang w:val="de-DE"/>
        </w:rPr>
        <w:t>līgumiem</w:t>
      </w:r>
      <w:proofErr w:type="spellEnd"/>
      <w:r>
        <w:rPr>
          <w:rFonts w:asciiTheme="majorBidi" w:hAnsiTheme="majorBidi" w:cstheme="majorBidi"/>
          <w:lang w:val="de-DE"/>
        </w:rPr>
        <w:t>“</w:t>
      </w:r>
      <w:r w:rsidRPr="00AF3341">
        <w:rPr>
          <w:rFonts w:asciiTheme="majorBidi" w:hAnsiTheme="majorBidi" w:cstheme="majorBidi"/>
          <w:lang w:val="de-DE"/>
        </w:rPr>
        <w:t xml:space="preserve"> 13.pantu: </w:t>
      </w:r>
      <w:r>
        <w:rPr>
          <w:rFonts w:asciiTheme="majorBidi" w:hAnsiTheme="majorBidi" w:cstheme="majorBidi"/>
          <w:lang w:val="de-DE"/>
        </w:rPr>
        <w:t>„</w:t>
      </w:r>
      <w:r w:rsidRPr="00AF3341">
        <w:rPr>
          <w:rFonts w:ascii="Times New Roman" w:hAnsi="Times New Roman" w:cs="Arial"/>
          <w:i/>
          <w:color w:val="323233"/>
          <w:lang w:val="de-DE"/>
        </w:rPr>
        <w:t xml:space="preserve">Ja </w:t>
      </w:r>
      <w:proofErr w:type="spellStart"/>
      <w:r w:rsidRPr="00AF3341">
        <w:rPr>
          <w:rFonts w:ascii="Times New Roman" w:hAnsi="Times New Roman" w:cs="Arial"/>
          <w:i/>
          <w:color w:val="323233"/>
          <w:lang w:val="de-DE"/>
        </w:rPr>
        <w:t>starptautiskajā</w:t>
      </w:r>
      <w:proofErr w:type="spellEnd"/>
      <w:r w:rsidRPr="00AF3341">
        <w:rPr>
          <w:rFonts w:ascii="Times New Roman" w:hAnsi="Times New Roman" w:cs="Arial"/>
          <w:i/>
          <w:color w:val="323233"/>
          <w:lang w:val="de-DE"/>
        </w:rPr>
        <w:t xml:space="preserve"> </w:t>
      </w:r>
      <w:proofErr w:type="spellStart"/>
      <w:r w:rsidRPr="00AF3341">
        <w:rPr>
          <w:rFonts w:ascii="Times New Roman" w:hAnsi="Times New Roman" w:cs="Arial"/>
          <w:i/>
          <w:color w:val="323233"/>
          <w:lang w:val="de-DE"/>
        </w:rPr>
        <w:t>līgumā</w:t>
      </w:r>
      <w:proofErr w:type="spellEnd"/>
      <w:r w:rsidRPr="00AF3341">
        <w:rPr>
          <w:rFonts w:ascii="Times New Roman" w:hAnsi="Times New Roman" w:cs="Arial"/>
          <w:i/>
          <w:color w:val="323233"/>
          <w:lang w:val="de-DE"/>
        </w:rPr>
        <w:t xml:space="preserve">, </w:t>
      </w:r>
      <w:proofErr w:type="spellStart"/>
      <w:r w:rsidRPr="00AF3341">
        <w:rPr>
          <w:rFonts w:ascii="Times New Roman" w:hAnsi="Times New Roman" w:cs="Arial"/>
          <w:i/>
          <w:color w:val="323233"/>
          <w:lang w:val="de-DE"/>
        </w:rPr>
        <w:t>kuru</w:t>
      </w:r>
      <w:proofErr w:type="spellEnd"/>
      <w:r w:rsidRPr="00AF3341">
        <w:rPr>
          <w:rFonts w:ascii="Times New Roman" w:hAnsi="Times New Roman" w:cs="Arial"/>
          <w:i/>
          <w:color w:val="323233"/>
          <w:lang w:val="de-DE"/>
        </w:rPr>
        <w:t xml:space="preserve"> Saeima </w:t>
      </w:r>
      <w:proofErr w:type="spellStart"/>
      <w:r w:rsidRPr="00AF3341">
        <w:rPr>
          <w:rFonts w:ascii="Times New Roman" w:hAnsi="Times New Roman" w:cs="Arial"/>
          <w:i/>
          <w:color w:val="323233"/>
          <w:lang w:val="de-DE"/>
        </w:rPr>
        <w:t>ir</w:t>
      </w:r>
      <w:proofErr w:type="spellEnd"/>
      <w:r w:rsidRPr="00AF3341">
        <w:rPr>
          <w:rFonts w:ascii="Times New Roman" w:hAnsi="Times New Roman" w:cs="Arial"/>
          <w:i/>
          <w:color w:val="323233"/>
          <w:lang w:val="de-DE"/>
        </w:rPr>
        <w:t xml:space="preserve"> </w:t>
      </w:r>
      <w:proofErr w:type="spellStart"/>
      <w:r w:rsidRPr="00AF3341">
        <w:rPr>
          <w:rFonts w:ascii="Times New Roman" w:hAnsi="Times New Roman" w:cs="Arial"/>
          <w:i/>
          <w:color w:val="323233"/>
          <w:lang w:val="de-DE"/>
        </w:rPr>
        <w:t>apstiprinājusi</w:t>
      </w:r>
      <w:proofErr w:type="spellEnd"/>
      <w:r w:rsidRPr="00AF3341">
        <w:rPr>
          <w:rFonts w:ascii="Times New Roman" w:hAnsi="Times New Roman" w:cs="Arial"/>
          <w:i/>
          <w:color w:val="323233"/>
          <w:lang w:val="de-DE"/>
        </w:rPr>
        <w:t xml:space="preserve">, </w:t>
      </w:r>
      <w:proofErr w:type="spellStart"/>
      <w:r w:rsidRPr="00AF3341">
        <w:rPr>
          <w:rFonts w:ascii="Times New Roman" w:hAnsi="Times New Roman" w:cs="Arial"/>
          <w:i/>
          <w:color w:val="323233"/>
          <w:lang w:val="de-DE"/>
        </w:rPr>
        <w:t>paredzēti</w:t>
      </w:r>
      <w:proofErr w:type="spellEnd"/>
      <w:r w:rsidRPr="00AF3341">
        <w:rPr>
          <w:rFonts w:ascii="Times New Roman" w:hAnsi="Times New Roman" w:cs="Arial"/>
          <w:i/>
          <w:color w:val="323233"/>
          <w:lang w:val="de-DE"/>
        </w:rPr>
        <w:t xml:space="preserve"> </w:t>
      </w:r>
      <w:proofErr w:type="spellStart"/>
      <w:r w:rsidRPr="00AF3341">
        <w:rPr>
          <w:rFonts w:ascii="Times New Roman" w:hAnsi="Times New Roman" w:cs="Arial"/>
          <w:i/>
          <w:color w:val="323233"/>
          <w:lang w:val="de-DE"/>
        </w:rPr>
        <w:t>citādi</w:t>
      </w:r>
      <w:proofErr w:type="spellEnd"/>
      <w:r w:rsidRPr="00AF3341">
        <w:rPr>
          <w:rFonts w:ascii="Times New Roman" w:hAnsi="Times New Roman" w:cs="Arial"/>
          <w:i/>
          <w:color w:val="323233"/>
          <w:lang w:val="de-DE"/>
        </w:rPr>
        <w:t xml:space="preserve"> </w:t>
      </w:r>
      <w:proofErr w:type="spellStart"/>
      <w:r w:rsidRPr="00AF3341">
        <w:rPr>
          <w:rFonts w:ascii="Times New Roman" w:hAnsi="Times New Roman" w:cs="Arial"/>
          <w:i/>
          <w:color w:val="323233"/>
          <w:lang w:val="de-DE"/>
        </w:rPr>
        <w:t>noteikumi</w:t>
      </w:r>
      <w:proofErr w:type="spellEnd"/>
      <w:r w:rsidRPr="00AF3341">
        <w:rPr>
          <w:rFonts w:ascii="Times New Roman" w:hAnsi="Times New Roman" w:cs="Arial"/>
          <w:i/>
          <w:color w:val="323233"/>
          <w:lang w:val="de-DE"/>
        </w:rPr>
        <w:t xml:space="preserve"> </w:t>
      </w:r>
      <w:proofErr w:type="spellStart"/>
      <w:r w:rsidRPr="00AF3341">
        <w:rPr>
          <w:rFonts w:ascii="Times New Roman" w:hAnsi="Times New Roman" w:cs="Arial"/>
          <w:i/>
          <w:color w:val="323233"/>
          <w:lang w:val="de-DE"/>
        </w:rPr>
        <w:t>nekā</w:t>
      </w:r>
      <w:proofErr w:type="spellEnd"/>
      <w:r w:rsidRPr="00AF3341">
        <w:rPr>
          <w:rFonts w:ascii="Times New Roman" w:hAnsi="Times New Roman" w:cs="Arial"/>
          <w:i/>
          <w:color w:val="323233"/>
          <w:lang w:val="de-DE"/>
        </w:rPr>
        <w:t xml:space="preserve"> Latvijas </w:t>
      </w:r>
      <w:proofErr w:type="spellStart"/>
      <w:r w:rsidRPr="00AF3341">
        <w:rPr>
          <w:rFonts w:ascii="Times New Roman" w:hAnsi="Times New Roman" w:cs="Arial"/>
          <w:i/>
          <w:color w:val="323233"/>
          <w:lang w:val="de-DE"/>
        </w:rPr>
        <w:t>Republikas</w:t>
      </w:r>
      <w:proofErr w:type="spellEnd"/>
      <w:r w:rsidRPr="00AF3341">
        <w:rPr>
          <w:rFonts w:ascii="Times New Roman" w:hAnsi="Times New Roman" w:cs="Arial"/>
          <w:i/>
          <w:color w:val="323233"/>
          <w:lang w:val="de-DE"/>
        </w:rPr>
        <w:t xml:space="preserve"> </w:t>
      </w:r>
      <w:proofErr w:type="spellStart"/>
      <w:r w:rsidRPr="00AF3341">
        <w:rPr>
          <w:rFonts w:ascii="Times New Roman" w:hAnsi="Times New Roman" w:cs="Arial"/>
          <w:i/>
          <w:color w:val="323233"/>
          <w:lang w:val="de-DE"/>
        </w:rPr>
        <w:t>likumdošanas</w:t>
      </w:r>
      <w:proofErr w:type="spellEnd"/>
      <w:r w:rsidRPr="00AF3341">
        <w:rPr>
          <w:rFonts w:ascii="Times New Roman" w:hAnsi="Times New Roman" w:cs="Arial"/>
          <w:i/>
          <w:color w:val="323233"/>
          <w:lang w:val="de-DE"/>
        </w:rPr>
        <w:t xml:space="preserve"> </w:t>
      </w:r>
      <w:proofErr w:type="spellStart"/>
      <w:r w:rsidRPr="00AF3341">
        <w:rPr>
          <w:rFonts w:ascii="Times New Roman" w:hAnsi="Times New Roman" w:cs="Arial"/>
          <w:i/>
          <w:color w:val="323233"/>
          <w:lang w:val="de-DE"/>
        </w:rPr>
        <w:t>aktos</w:t>
      </w:r>
      <w:proofErr w:type="spellEnd"/>
      <w:r w:rsidRPr="00AF3341">
        <w:rPr>
          <w:rFonts w:ascii="Times New Roman" w:hAnsi="Times New Roman" w:cs="Arial"/>
          <w:i/>
          <w:color w:val="323233"/>
          <w:lang w:val="de-DE"/>
        </w:rPr>
        <w:t xml:space="preserve">, </w:t>
      </w:r>
      <w:proofErr w:type="spellStart"/>
      <w:r w:rsidRPr="00AF3341">
        <w:rPr>
          <w:rFonts w:ascii="Times New Roman" w:hAnsi="Times New Roman" w:cs="Arial"/>
          <w:i/>
          <w:color w:val="323233"/>
          <w:lang w:val="de-DE"/>
        </w:rPr>
        <w:t>tiek</w:t>
      </w:r>
      <w:proofErr w:type="spellEnd"/>
      <w:r w:rsidRPr="00AF3341">
        <w:rPr>
          <w:rFonts w:ascii="Times New Roman" w:hAnsi="Times New Roman" w:cs="Arial"/>
          <w:i/>
          <w:color w:val="323233"/>
          <w:lang w:val="de-DE"/>
        </w:rPr>
        <w:t xml:space="preserve"> </w:t>
      </w:r>
      <w:proofErr w:type="spellStart"/>
      <w:r w:rsidRPr="00AF3341">
        <w:rPr>
          <w:rFonts w:ascii="Times New Roman" w:hAnsi="Times New Roman" w:cs="Arial"/>
          <w:i/>
          <w:color w:val="323233"/>
          <w:lang w:val="de-DE"/>
        </w:rPr>
        <w:t>piemēroti</w:t>
      </w:r>
      <w:proofErr w:type="spellEnd"/>
      <w:r w:rsidRPr="00AF3341">
        <w:rPr>
          <w:rFonts w:ascii="Times New Roman" w:hAnsi="Times New Roman" w:cs="Arial"/>
          <w:i/>
          <w:color w:val="323233"/>
          <w:lang w:val="de-DE"/>
        </w:rPr>
        <w:t xml:space="preserve"> </w:t>
      </w:r>
      <w:proofErr w:type="spellStart"/>
      <w:r w:rsidRPr="00AF3341">
        <w:rPr>
          <w:rFonts w:ascii="Times New Roman" w:hAnsi="Times New Roman" w:cs="Arial"/>
          <w:i/>
          <w:color w:val="323233"/>
          <w:lang w:val="de-DE"/>
        </w:rPr>
        <w:t>starptautiskā</w:t>
      </w:r>
      <w:proofErr w:type="spellEnd"/>
      <w:r w:rsidRPr="00AF3341">
        <w:rPr>
          <w:rFonts w:ascii="Times New Roman" w:hAnsi="Times New Roman" w:cs="Arial"/>
          <w:i/>
          <w:color w:val="323233"/>
          <w:lang w:val="de-DE"/>
        </w:rPr>
        <w:t xml:space="preserve"> </w:t>
      </w:r>
      <w:proofErr w:type="spellStart"/>
      <w:r w:rsidRPr="00AF3341">
        <w:rPr>
          <w:rFonts w:ascii="Times New Roman" w:hAnsi="Times New Roman" w:cs="Arial"/>
          <w:i/>
          <w:color w:val="323233"/>
          <w:lang w:val="de-DE"/>
        </w:rPr>
        <w:t>līguma</w:t>
      </w:r>
      <w:proofErr w:type="spellEnd"/>
      <w:r w:rsidRPr="00AF3341">
        <w:rPr>
          <w:rFonts w:ascii="Times New Roman" w:hAnsi="Times New Roman" w:cs="Arial"/>
          <w:i/>
          <w:color w:val="323233"/>
          <w:lang w:val="de-DE"/>
        </w:rPr>
        <w:t xml:space="preserve"> </w:t>
      </w:r>
      <w:proofErr w:type="spellStart"/>
      <w:r w:rsidRPr="00AF3341">
        <w:rPr>
          <w:rFonts w:ascii="Times New Roman" w:hAnsi="Times New Roman" w:cs="Arial"/>
          <w:i/>
          <w:color w:val="323233"/>
          <w:lang w:val="de-DE"/>
        </w:rPr>
        <w:t>noteikumi</w:t>
      </w:r>
      <w:proofErr w:type="spellEnd"/>
      <w:r>
        <w:rPr>
          <w:rFonts w:ascii="Times New Roman" w:hAnsi="Times New Roman" w:cs="Arial"/>
          <w:i/>
          <w:color w:val="323233"/>
          <w:lang w:val="de-DE"/>
        </w:rPr>
        <w:t>“</w:t>
      </w:r>
      <w:r w:rsidRPr="00AF3341">
        <w:rPr>
          <w:rFonts w:ascii="Times New Roman" w:hAnsi="Times New Roman" w:cs="Arial"/>
          <w:color w:val="323233"/>
          <w:lang w:val="de-DE"/>
        </w:rPr>
        <w:t xml:space="preserve">. </w:t>
      </w:r>
      <w:proofErr w:type="spellStart"/>
      <w:r w:rsidRPr="00AF3341">
        <w:rPr>
          <w:rFonts w:ascii="Times New Roman" w:hAnsi="Times New Roman" w:cs="Arial"/>
          <w:color w:val="323233"/>
          <w:lang w:val="de-DE"/>
        </w:rPr>
        <w:t>Kā</w:t>
      </w:r>
      <w:proofErr w:type="spellEnd"/>
      <w:r w:rsidRPr="00AF3341">
        <w:rPr>
          <w:rFonts w:ascii="Times New Roman" w:hAnsi="Times New Roman" w:cs="Arial"/>
          <w:color w:val="323233"/>
          <w:lang w:val="de-DE"/>
        </w:rPr>
        <w:t xml:space="preserve"> </w:t>
      </w:r>
      <w:proofErr w:type="spellStart"/>
      <w:r w:rsidRPr="00AF3341">
        <w:rPr>
          <w:rFonts w:ascii="Times New Roman" w:hAnsi="Times New Roman" w:cs="Arial"/>
          <w:color w:val="323233"/>
          <w:lang w:val="de-DE"/>
        </w:rPr>
        <w:t>jau</w:t>
      </w:r>
      <w:proofErr w:type="spellEnd"/>
      <w:r w:rsidRPr="00AF3341">
        <w:rPr>
          <w:rFonts w:ascii="Times New Roman" w:hAnsi="Times New Roman" w:cs="Arial"/>
          <w:color w:val="323233"/>
          <w:lang w:val="de-DE"/>
        </w:rPr>
        <w:t xml:space="preserve"> </w:t>
      </w:r>
      <w:proofErr w:type="spellStart"/>
      <w:r w:rsidRPr="00AF3341">
        <w:rPr>
          <w:rFonts w:ascii="Times New Roman" w:hAnsi="Times New Roman" w:cs="Arial"/>
          <w:color w:val="323233"/>
          <w:lang w:val="de-DE"/>
        </w:rPr>
        <w:t>iepriekš</w:t>
      </w:r>
      <w:proofErr w:type="spellEnd"/>
      <w:r w:rsidRPr="00AF3341">
        <w:rPr>
          <w:rFonts w:ascii="Times New Roman" w:hAnsi="Times New Roman" w:cs="Arial"/>
          <w:color w:val="323233"/>
          <w:lang w:val="de-DE"/>
        </w:rPr>
        <w:t xml:space="preserve"> </w:t>
      </w:r>
      <w:proofErr w:type="spellStart"/>
      <w:r w:rsidRPr="00AF3341">
        <w:rPr>
          <w:rFonts w:ascii="Times New Roman" w:hAnsi="Times New Roman" w:cs="Arial"/>
          <w:color w:val="323233"/>
          <w:lang w:val="de-DE"/>
        </w:rPr>
        <w:t>tika</w:t>
      </w:r>
      <w:proofErr w:type="spellEnd"/>
      <w:r w:rsidRPr="00AF3341">
        <w:rPr>
          <w:rFonts w:ascii="Times New Roman" w:hAnsi="Times New Roman" w:cs="Arial"/>
          <w:color w:val="323233"/>
          <w:lang w:val="de-DE"/>
        </w:rPr>
        <w:t xml:space="preserve"> </w:t>
      </w:r>
      <w:proofErr w:type="spellStart"/>
      <w:r w:rsidRPr="00AF3341">
        <w:rPr>
          <w:rFonts w:ascii="Times New Roman" w:hAnsi="Times New Roman" w:cs="Arial"/>
          <w:color w:val="323233"/>
          <w:lang w:val="de-DE"/>
        </w:rPr>
        <w:t>minēts</w:t>
      </w:r>
      <w:proofErr w:type="spellEnd"/>
      <w:r w:rsidRPr="00AF3341">
        <w:rPr>
          <w:rFonts w:ascii="Times New Roman" w:hAnsi="Times New Roman" w:cs="Arial"/>
          <w:color w:val="323233"/>
          <w:lang w:val="de-DE"/>
        </w:rPr>
        <w:t xml:space="preserve">, Roma I Regula </w:t>
      </w:r>
      <w:proofErr w:type="spellStart"/>
      <w:r w:rsidRPr="00AF3341">
        <w:rPr>
          <w:rFonts w:ascii="Times New Roman" w:hAnsi="Times New Roman" w:cs="Arial"/>
          <w:color w:val="323233"/>
          <w:lang w:val="de-DE"/>
        </w:rPr>
        <w:t>nav</w:t>
      </w:r>
      <w:proofErr w:type="spellEnd"/>
      <w:r w:rsidRPr="00AF3341">
        <w:rPr>
          <w:rFonts w:ascii="Times New Roman" w:hAnsi="Times New Roman" w:cs="Arial"/>
          <w:color w:val="323233"/>
          <w:lang w:val="de-DE"/>
        </w:rPr>
        <w:t xml:space="preserve"> </w:t>
      </w:r>
      <w:proofErr w:type="spellStart"/>
      <w:r w:rsidRPr="00AF3341">
        <w:rPr>
          <w:rFonts w:ascii="Times New Roman" w:hAnsi="Times New Roman" w:cs="Arial"/>
          <w:color w:val="323233"/>
          <w:lang w:val="de-DE"/>
        </w:rPr>
        <w:t>piemērojama</w:t>
      </w:r>
      <w:proofErr w:type="spellEnd"/>
      <w:r>
        <w:rPr>
          <w:rFonts w:ascii="Times New Roman" w:hAnsi="Times New Roman" w:cs="Arial"/>
          <w:color w:val="323233"/>
          <w:lang w:val="de-DE"/>
        </w:rPr>
        <w:t xml:space="preserve"> </w:t>
      </w:r>
      <w:proofErr w:type="spellStart"/>
      <w:r w:rsidRPr="00565D81">
        <w:rPr>
          <w:rFonts w:ascii="Times New Roman" w:hAnsi="Times New Roman" w:cs="Arial"/>
          <w:lang w:val="de-DE"/>
        </w:rPr>
        <w:t>pilnvarām</w:t>
      </w:r>
      <w:proofErr w:type="spellEnd"/>
      <w:r w:rsidR="00565D81" w:rsidRPr="00565D81">
        <w:rPr>
          <w:rFonts w:ascii="Times New Roman" w:hAnsi="Times New Roman" w:cs="Arial"/>
          <w:lang w:val="de-DE"/>
        </w:rPr>
        <w:t xml:space="preserve">, </w:t>
      </w:r>
      <w:proofErr w:type="spellStart"/>
      <w:r w:rsidRPr="00565D81">
        <w:rPr>
          <w:rFonts w:ascii="Times New Roman" w:hAnsi="Times New Roman" w:cs="Arial"/>
          <w:lang w:val="de-DE"/>
        </w:rPr>
        <w:t>tādēļ</w:t>
      </w:r>
      <w:proofErr w:type="spellEnd"/>
      <w:r w:rsidRPr="00565D81">
        <w:rPr>
          <w:rFonts w:ascii="Times New Roman" w:hAnsi="Times New Roman" w:cs="Arial"/>
          <w:lang w:val="de-DE"/>
        </w:rPr>
        <w:t xml:space="preserve"> Latvijas </w:t>
      </w:r>
      <w:proofErr w:type="spellStart"/>
      <w:r w:rsidRPr="00565D81">
        <w:rPr>
          <w:rFonts w:ascii="Times New Roman" w:hAnsi="Times New Roman" w:cs="Arial"/>
          <w:lang w:val="de-DE"/>
        </w:rPr>
        <w:t>attiecībās</w:t>
      </w:r>
      <w:proofErr w:type="spellEnd"/>
      <w:r w:rsidRPr="00565D81">
        <w:rPr>
          <w:rFonts w:ascii="Times New Roman" w:hAnsi="Times New Roman" w:cs="Arial"/>
          <w:lang w:val="de-DE"/>
        </w:rPr>
        <w:t xml:space="preserve"> </w:t>
      </w:r>
      <w:proofErr w:type="spellStart"/>
      <w:r w:rsidRPr="00565D81">
        <w:rPr>
          <w:rFonts w:ascii="Times New Roman" w:hAnsi="Times New Roman" w:cs="Arial"/>
          <w:lang w:val="de-DE"/>
        </w:rPr>
        <w:t>ar</w:t>
      </w:r>
      <w:proofErr w:type="spellEnd"/>
      <w:r w:rsidRPr="00565D81">
        <w:rPr>
          <w:rFonts w:ascii="Times New Roman" w:hAnsi="Times New Roman" w:cs="Arial"/>
          <w:lang w:val="de-DE"/>
        </w:rPr>
        <w:t xml:space="preserve"> </w:t>
      </w:r>
      <w:proofErr w:type="spellStart"/>
      <w:r w:rsidRPr="00565D81">
        <w:rPr>
          <w:rFonts w:ascii="Times New Roman" w:hAnsi="Times New Roman" w:cs="Arial"/>
          <w:lang w:val="de-DE"/>
        </w:rPr>
        <w:t>valstīm</w:t>
      </w:r>
      <w:proofErr w:type="spellEnd"/>
      <w:r w:rsidRPr="00565D81">
        <w:rPr>
          <w:rFonts w:ascii="Times New Roman" w:hAnsi="Times New Roman" w:cs="Arial"/>
          <w:lang w:val="de-DE"/>
        </w:rPr>
        <w:t xml:space="preserve">, </w:t>
      </w:r>
      <w:proofErr w:type="spellStart"/>
      <w:r w:rsidRPr="00565D81">
        <w:rPr>
          <w:rFonts w:ascii="Times New Roman" w:hAnsi="Times New Roman" w:cs="Arial"/>
          <w:lang w:val="de-DE"/>
        </w:rPr>
        <w:t>ar</w:t>
      </w:r>
      <w:proofErr w:type="spellEnd"/>
      <w:r w:rsidRPr="00565D81">
        <w:rPr>
          <w:rFonts w:ascii="Times New Roman" w:hAnsi="Times New Roman" w:cs="Arial"/>
          <w:lang w:val="de-DE"/>
        </w:rPr>
        <w:t xml:space="preserve"> </w:t>
      </w:r>
      <w:proofErr w:type="spellStart"/>
      <w:r w:rsidRPr="00565D81">
        <w:rPr>
          <w:rFonts w:ascii="Times New Roman" w:hAnsi="Times New Roman" w:cs="Arial"/>
          <w:lang w:val="de-DE"/>
        </w:rPr>
        <w:t>kurām</w:t>
      </w:r>
      <w:proofErr w:type="spellEnd"/>
      <w:r w:rsidRPr="00565D81">
        <w:rPr>
          <w:rFonts w:ascii="Times New Roman" w:hAnsi="Times New Roman" w:cs="Arial"/>
          <w:lang w:val="de-DE"/>
        </w:rPr>
        <w:t xml:space="preserve"> </w:t>
      </w:r>
      <w:proofErr w:type="spellStart"/>
      <w:r w:rsidRPr="00565D81">
        <w:rPr>
          <w:rFonts w:ascii="Times New Roman" w:hAnsi="Times New Roman" w:cs="Arial"/>
          <w:lang w:val="de-DE"/>
        </w:rPr>
        <w:t>ir</w:t>
      </w:r>
      <w:proofErr w:type="spellEnd"/>
      <w:r w:rsidRPr="00565D81">
        <w:rPr>
          <w:rFonts w:ascii="Times New Roman" w:hAnsi="Times New Roman" w:cs="Arial"/>
          <w:lang w:val="de-DE"/>
        </w:rPr>
        <w:t xml:space="preserve"> </w:t>
      </w:r>
      <w:proofErr w:type="spellStart"/>
      <w:r w:rsidRPr="00565D81">
        <w:rPr>
          <w:rFonts w:ascii="Times New Roman" w:hAnsi="Times New Roman" w:cs="Arial"/>
          <w:lang w:val="de-DE"/>
        </w:rPr>
        <w:t>noslēgti</w:t>
      </w:r>
      <w:proofErr w:type="spellEnd"/>
      <w:r w:rsidRPr="00565D81">
        <w:rPr>
          <w:rFonts w:ascii="Times New Roman" w:hAnsi="Times New Roman" w:cs="Arial"/>
          <w:lang w:val="de-DE"/>
        </w:rPr>
        <w:t xml:space="preserve"> </w:t>
      </w:r>
      <w:proofErr w:type="spellStart"/>
      <w:r w:rsidRPr="00565D81">
        <w:rPr>
          <w:rFonts w:ascii="Times New Roman" w:hAnsi="Times New Roman" w:cs="Arial"/>
          <w:lang w:val="de-DE"/>
        </w:rPr>
        <w:t>tiesiskās</w:t>
      </w:r>
      <w:proofErr w:type="spellEnd"/>
      <w:r w:rsidRPr="00565D81">
        <w:rPr>
          <w:rFonts w:ascii="Times New Roman" w:hAnsi="Times New Roman" w:cs="Arial"/>
          <w:lang w:val="de-DE"/>
        </w:rPr>
        <w:t xml:space="preserve"> </w:t>
      </w:r>
      <w:proofErr w:type="spellStart"/>
      <w:r w:rsidRPr="00565D81">
        <w:rPr>
          <w:rFonts w:ascii="Times New Roman" w:hAnsi="Times New Roman" w:cs="Arial"/>
          <w:lang w:val="de-DE"/>
        </w:rPr>
        <w:t>palīdzības</w:t>
      </w:r>
      <w:proofErr w:type="spellEnd"/>
      <w:r w:rsidRPr="00565D81">
        <w:rPr>
          <w:rFonts w:ascii="Times New Roman" w:hAnsi="Times New Roman" w:cs="Arial"/>
          <w:lang w:val="de-DE"/>
        </w:rPr>
        <w:t xml:space="preserve"> </w:t>
      </w:r>
      <w:proofErr w:type="spellStart"/>
      <w:r w:rsidRPr="00565D81">
        <w:rPr>
          <w:rFonts w:ascii="Times New Roman" w:hAnsi="Times New Roman" w:cs="Arial"/>
          <w:lang w:val="de-DE"/>
        </w:rPr>
        <w:t>līgumi</w:t>
      </w:r>
      <w:proofErr w:type="spellEnd"/>
      <w:r w:rsidRPr="00565D81">
        <w:rPr>
          <w:rFonts w:ascii="Times New Roman" w:hAnsi="Times New Roman" w:cs="Arial"/>
          <w:lang w:val="de-DE"/>
        </w:rPr>
        <w:t xml:space="preserve">, </w:t>
      </w:r>
      <w:proofErr w:type="spellStart"/>
      <w:r w:rsidRPr="00565D81">
        <w:rPr>
          <w:rFonts w:ascii="Times New Roman" w:hAnsi="Times New Roman" w:cs="Arial"/>
          <w:lang w:val="de-DE"/>
        </w:rPr>
        <w:t>pilnvarām</w:t>
      </w:r>
      <w:proofErr w:type="spellEnd"/>
      <w:r w:rsidRPr="00565D81">
        <w:rPr>
          <w:rFonts w:ascii="Times New Roman" w:hAnsi="Times New Roman" w:cs="Arial"/>
          <w:lang w:val="de-DE"/>
        </w:rPr>
        <w:t xml:space="preserve"> </w:t>
      </w:r>
      <w:proofErr w:type="spellStart"/>
      <w:r w:rsidRPr="00565D81">
        <w:rPr>
          <w:rFonts w:ascii="Times New Roman" w:hAnsi="Times New Roman" w:cs="Arial"/>
          <w:lang w:val="de-DE"/>
        </w:rPr>
        <w:t>būs</w:t>
      </w:r>
      <w:proofErr w:type="spellEnd"/>
      <w:r w:rsidRPr="00565D81">
        <w:rPr>
          <w:rFonts w:ascii="Times New Roman" w:hAnsi="Times New Roman" w:cs="Arial"/>
          <w:lang w:val="de-DE"/>
        </w:rPr>
        <w:t xml:space="preserve"> </w:t>
      </w:r>
      <w:proofErr w:type="spellStart"/>
      <w:r w:rsidRPr="00565D81">
        <w:rPr>
          <w:rFonts w:ascii="Times New Roman" w:hAnsi="Times New Roman" w:cs="Arial"/>
          <w:lang w:val="de-DE"/>
        </w:rPr>
        <w:t>piemērojams</w:t>
      </w:r>
      <w:proofErr w:type="spellEnd"/>
      <w:r w:rsidRPr="00565D81">
        <w:rPr>
          <w:rFonts w:ascii="Times New Roman" w:hAnsi="Times New Roman" w:cs="Arial"/>
          <w:lang w:val="de-DE"/>
        </w:rPr>
        <w:t xml:space="preserve"> </w:t>
      </w:r>
      <w:proofErr w:type="spellStart"/>
      <w:r w:rsidRPr="00565D81">
        <w:rPr>
          <w:rFonts w:ascii="Times New Roman" w:hAnsi="Times New Roman" w:cs="Arial"/>
          <w:lang w:val="de-DE"/>
        </w:rPr>
        <w:t>nevis</w:t>
      </w:r>
      <w:proofErr w:type="spellEnd"/>
      <w:r w:rsidRPr="00565D81">
        <w:rPr>
          <w:rFonts w:ascii="Times New Roman" w:hAnsi="Times New Roman" w:cs="Arial"/>
          <w:lang w:val="de-DE"/>
        </w:rPr>
        <w:t xml:space="preserve"> CL </w:t>
      </w:r>
      <w:proofErr w:type="spellStart"/>
      <w:r w:rsidR="00B72FCB">
        <w:rPr>
          <w:rFonts w:ascii="Times New Roman" w:hAnsi="Times New Roman" w:cs="Arial"/>
          <w:lang w:val="de-DE"/>
        </w:rPr>
        <w:t>Ievada</w:t>
      </w:r>
      <w:proofErr w:type="spellEnd"/>
      <w:r w:rsidR="00B72FCB">
        <w:rPr>
          <w:rFonts w:ascii="Times New Roman" w:hAnsi="Times New Roman" w:cs="Arial"/>
          <w:lang w:val="de-DE"/>
        </w:rPr>
        <w:t xml:space="preserve"> </w:t>
      </w:r>
      <w:r w:rsidRPr="00565D81">
        <w:rPr>
          <w:rFonts w:ascii="Times New Roman" w:hAnsi="Times New Roman" w:cs="Arial"/>
          <w:lang w:val="de-DE"/>
        </w:rPr>
        <w:t xml:space="preserve">19.pants, </w:t>
      </w:r>
      <w:proofErr w:type="spellStart"/>
      <w:r w:rsidRPr="00565D81">
        <w:rPr>
          <w:rFonts w:ascii="Times New Roman" w:hAnsi="Times New Roman" w:cs="Arial"/>
          <w:lang w:val="de-DE"/>
        </w:rPr>
        <w:t>bet</w:t>
      </w:r>
      <w:proofErr w:type="spellEnd"/>
      <w:r w:rsidRPr="00565D81">
        <w:rPr>
          <w:rFonts w:ascii="Times New Roman" w:hAnsi="Times New Roman" w:cs="Arial"/>
          <w:lang w:val="de-DE"/>
        </w:rPr>
        <w:t xml:space="preserve"> </w:t>
      </w:r>
      <w:proofErr w:type="spellStart"/>
      <w:r w:rsidRPr="00565D81">
        <w:rPr>
          <w:rFonts w:ascii="Times New Roman" w:hAnsi="Times New Roman" w:cs="Arial"/>
          <w:lang w:val="de-DE"/>
        </w:rPr>
        <w:t>gan</w:t>
      </w:r>
      <w:proofErr w:type="spellEnd"/>
      <w:r w:rsidRPr="00565D81">
        <w:rPr>
          <w:rFonts w:ascii="Times New Roman" w:hAnsi="Times New Roman" w:cs="Arial"/>
          <w:lang w:val="de-DE"/>
        </w:rPr>
        <w:t xml:space="preserve"> </w:t>
      </w:r>
      <w:proofErr w:type="spellStart"/>
      <w:r w:rsidRPr="00565D81">
        <w:rPr>
          <w:rFonts w:ascii="Times New Roman" w:hAnsi="Times New Roman" w:cs="Arial"/>
          <w:lang w:val="de-DE"/>
        </w:rPr>
        <w:t>attiecīgā</w:t>
      </w:r>
      <w:proofErr w:type="spellEnd"/>
      <w:r w:rsidRPr="00565D81">
        <w:rPr>
          <w:rFonts w:ascii="Times New Roman" w:hAnsi="Times New Roman" w:cs="Arial"/>
          <w:lang w:val="de-DE"/>
        </w:rPr>
        <w:t xml:space="preserve"> </w:t>
      </w:r>
      <w:proofErr w:type="spellStart"/>
      <w:r w:rsidRPr="00565D81">
        <w:rPr>
          <w:rFonts w:ascii="Times New Roman" w:hAnsi="Times New Roman" w:cs="Arial"/>
          <w:lang w:val="de-DE"/>
        </w:rPr>
        <w:t>starptautiskā</w:t>
      </w:r>
      <w:proofErr w:type="spellEnd"/>
      <w:r w:rsidRPr="00565D81">
        <w:rPr>
          <w:rFonts w:ascii="Times New Roman" w:hAnsi="Times New Roman" w:cs="Arial"/>
          <w:lang w:val="de-DE"/>
        </w:rPr>
        <w:t xml:space="preserve"> </w:t>
      </w:r>
      <w:proofErr w:type="spellStart"/>
      <w:r w:rsidRPr="00565D81">
        <w:rPr>
          <w:rFonts w:ascii="Times New Roman" w:hAnsi="Times New Roman" w:cs="Arial"/>
          <w:lang w:val="de-DE"/>
        </w:rPr>
        <w:t>līguma</w:t>
      </w:r>
      <w:proofErr w:type="spellEnd"/>
      <w:r w:rsidRPr="00565D81">
        <w:rPr>
          <w:rFonts w:ascii="Times New Roman" w:hAnsi="Times New Roman" w:cs="Arial"/>
          <w:lang w:val="de-DE"/>
        </w:rPr>
        <w:t xml:space="preserve"> </w:t>
      </w:r>
      <w:proofErr w:type="spellStart"/>
      <w:r w:rsidRPr="00565D81">
        <w:rPr>
          <w:rFonts w:ascii="Times New Roman" w:hAnsi="Times New Roman" w:cs="Arial"/>
          <w:lang w:val="de-DE"/>
        </w:rPr>
        <w:t>norma</w:t>
      </w:r>
      <w:proofErr w:type="spellEnd"/>
      <w:r w:rsidRPr="00565D81">
        <w:rPr>
          <w:rFonts w:ascii="Times New Roman" w:hAnsi="Times New Roman" w:cs="Arial"/>
          <w:lang w:val="de-DE"/>
        </w:rPr>
        <w:t xml:space="preserve"> (ja </w:t>
      </w:r>
      <w:proofErr w:type="spellStart"/>
      <w:r w:rsidRPr="00565D81">
        <w:rPr>
          <w:rFonts w:ascii="Times New Roman" w:hAnsi="Times New Roman" w:cs="Arial"/>
          <w:lang w:val="de-DE"/>
        </w:rPr>
        <w:t>starptautiskajā</w:t>
      </w:r>
      <w:proofErr w:type="spellEnd"/>
      <w:r w:rsidRPr="00AF3341">
        <w:rPr>
          <w:rFonts w:ascii="Times New Roman" w:hAnsi="Times New Roman" w:cs="Arial"/>
          <w:color w:val="323233"/>
          <w:lang w:val="de-DE"/>
        </w:rPr>
        <w:t xml:space="preserve"> </w:t>
      </w:r>
      <w:proofErr w:type="spellStart"/>
      <w:r w:rsidRPr="00AF3341">
        <w:rPr>
          <w:rFonts w:ascii="Times New Roman" w:hAnsi="Times New Roman" w:cs="Arial"/>
          <w:color w:val="323233"/>
          <w:lang w:val="de-DE"/>
        </w:rPr>
        <w:t>līgumā</w:t>
      </w:r>
      <w:proofErr w:type="spellEnd"/>
      <w:r w:rsidRPr="00AF3341">
        <w:rPr>
          <w:rFonts w:ascii="Times New Roman" w:hAnsi="Times New Roman" w:cs="Arial"/>
          <w:color w:val="323233"/>
          <w:lang w:val="de-DE"/>
        </w:rPr>
        <w:t xml:space="preserve"> </w:t>
      </w:r>
      <w:proofErr w:type="spellStart"/>
      <w:r w:rsidRPr="00AF3341">
        <w:rPr>
          <w:rFonts w:ascii="Times New Roman" w:hAnsi="Times New Roman" w:cs="Arial"/>
          <w:color w:val="323233"/>
          <w:lang w:val="de-DE"/>
        </w:rPr>
        <w:t>tāda</w:t>
      </w:r>
      <w:proofErr w:type="spellEnd"/>
      <w:r w:rsidRPr="00AF3341">
        <w:rPr>
          <w:rFonts w:ascii="Times New Roman" w:hAnsi="Times New Roman" w:cs="Arial"/>
          <w:color w:val="323233"/>
          <w:lang w:val="de-DE"/>
        </w:rPr>
        <w:t xml:space="preserve"> </w:t>
      </w:r>
      <w:proofErr w:type="spellStart"/>
      <w:r w:rsidRPr="00AF3341">
        <w:rPr>
          <w:rFonts w:ascii="Times New Roman" w:hAnsi="Times New Roman" w:cs="Arial"/>
          <w:color w:val="323233"/>
          <w:lang w:val="de-DE"/>
        </w:rPr>
        <w:t>ir</w:t>
      </w:r>
      <w:proofErr w:type="spellEnd"/>
      <w:proofErr w:type="gramStart"/>
      <w:r w:rsidRPr="00AF3341">
        <w:rPr>
          <w:rFonts w:ascii="Times New Roman" w:hAnsi="Times New Roman" w:cs="Arial"/>
          <w:color w:val="323233"/>
          <w:lang w:val="de-DE"/>
        </w:rPr>
        <w:t>) :</w:t>
      </w:r>
      <w:proofErr w:type="gramEnd"/>
    </w:p>
    <w:p w14:paraId="1223128E" w14:textId="77777777" w:rsidR="00114953" w:rsidRPr="000C7C76" w:rsidRDefault="00114953" w:rsidP="00114953">
      <w:pPr>
        <w:ind w:firstLine="708"/>
        <w:jc w:val="both"/>
        <w:rPr>
          <w:rFonts w:ascii="Times New Roman" w:hAnsi="Times New Roman" w:cs="Arial"/>
          <w:color w:val="323233"/>
          <w:lang w:val="de-DE"/>
        </w:rPr>
      </w:pPr>
    </w:p>
    <w:p w14:paraId="668B93BF" w14:textId="77777777" w:rsidR="00114953" w:rsidRPr="000C7C76" w:rsidRDefault="00114953" w:rsidP="00114953">
      <w:pPr>
        <w:ind w:firstLine="708"/>
        <w:jc w:val="both"/>
        <w:rPr>
          <w:rFonts w:ascii="Times New Roman" w:hAnsi="Times New Roman" w:cs="Arial"/>
          <w:color w:val="323233"/>
          <w:lang w:val="de-DE"/>
        </w:rPr>
      </w:pPr>
    </w:p>
    <w:p w14:paraId="13AFEF24" w14:textId="77777777" w:rsidR="00114953" w:rsidRPr="000C7C76" w:rsidRDefault="00114953" w:rsidP="00114953">
      <w:pPr>
        <w:ind w:firstLine="708"/>
        <w:jc w:val="center"/>
        <w:rPr>
          <w:rFonts w:ascii="Times New Roman" w:hAnsi="Times New Roman" w:cs="Arial"/>
          <w:b/>
          <w:color w:val="323233"/>
          <w:lang w:val="de-DE"/>
        </w:rPr>
      </w:pPr>
      <w:proofErr w:type="spellStart"/>
      <w:r w:rsidRPr="000C7C76">
        <w:rPr>
          <w:rFonts w:ascii="Times New Roman" w:hAnsi="Times New Roman" w:cs="Arial"/>
          <w:b/>
          <w:color w:val="323233"/>
          <w:lang w:val="de-DE"/>
        </w:rPr>
        <w:t>Līgumiskās</w:t>
      </w:r>
      <w:proofErr w:type="spellEnd"/>
      <w:r w:rsidRPr="000C7C76">
        <w:rPr>
          <w:rFonts w:ascii="Times New Roman" w:hAnsi="Times New Roman" w:cs="Arial"/>
          <w:b/>
          <w:color w:val="323233"/>
          <w:lang w:val="de-DE"/>
        </w:rPr>
        <w:t xml:space="preserve"> </w:t>
      </w:r>
      <w:proofErr w:type="spellStart"/>
      <w:r w:rsidRPr="000C7C76">
        <w:rPr>
          <w:rFonts w:ascii="Times New Roman" w:hAnsi="Times New Roman" w:cs="Arial"/>
          <w:b/>
          <w:color w:val="323233"/>
          <w:lang w:val="de-DE"/>
        </w:rPr>
        <w:t>attiecības</w:t>
      </w:r>
      <w:proofErr w:type="spellEnd"/>
      <w:r w:rsidRPr="000C7C76">
        <w:rPr>
          <w:rFonts w:ascii="Times New Roman" w:hAnsi="Times New Roman" w:cs="Arial"/>
          <w:b/>
          <w:color w:val="323233"/>
          <w:lang w:val="de-DE"/>
        </w:rPr>
        <w:t xml:space="preserve"> Latvijas </w:t>
      </w:r>
      <w:proofErr w:type="spellStart"/>
      <w:r w:rsidRPr="000C7C76">
        <w:rPr>
          <w:rFonts w:ascii="Times New Roman" w:hAnsi="Times New Roman" w:cs="Arial"/>
          <w:b/>
          <w:color w:val="323233"/>
          <w:lang w:val="de-DE"/>
        </w:rPr>
        <w:t>divpusējos</w:t>
      </w:r>
      <w:proofErr w:type="spellEnd"/>
      <w:r w:rsidRPr="000C7C76">
        <w:rPr>
          <w:rFonts w:ascii="Times New Roman" w:hAnsi="Times New Roman" w:cs="Arial"/>
          <w:b/>
          <w:color w:val="323233"/>
          <w:lang w:val="de-DE"/>
        </w:rPr>
        <w:t xml:space="preserve"> </w:t>
      </w:r>
      <w:proofErr w:type="spellStart"/>
      <w:r w:rsidRPr="000C7C76">
        <w:rPr>
          <w:rFonts w:ascii="Times New Roman" w:hAnsi="Times New Roman" w:cs="Arial"/>
          <w:b/>
          <w:color w:val="323233"/>
          <w:lang w:val="de-DE"/>
        </w:rPr>
        <w:t>tiesiskās</w:t>
      </w:r>
      <w:proofErr w:type="spellEnd"/>
      <w:r w:rsidRPr="000C7C76">
        <w:rPr>
          <w:rFonts w:ascii="Times New Roman" w:hAnsi="Times New Roman" w:cs="Arial"/>
          <w:b/>
          <w:color w:val="323233"/>
          <w:lang w:val="de-DE"/>
        </w:rPr>
        <w:t xml:space="preserve"> </w:t>
      </w:r>
      <w:proofErr w:type="spellStart"/>
      <w:r w:rsidRPr="000C7C76">
        <w:rPr>
          <w:rFonts w:ascii="Times New Roman" w:hAnsi="Times New Roman" w:cs="Arial"/>
          <w:b/>
          <w:color w:val="323233"/>
          <w:lang w:val="de-DE"/>
        </w:rPr>
        <w:t>palīdzības</w:t>
      </w:r>
      <w:proofErr w:type="spellEnd"/>
      <w:r w:rsidRPr="000C7C76">
        <w:rPr>
          <w:rFonts w:ascii="Times New Roman" w:hAnsi="Times New Roman" w:cs="Arial"/>
          <w:b/>
          <w:color w:val="323233"/>
          <w:lang w:val="de-DE"/>
        </w:rPr>
        <w:t xml:space="preserve"> </w:t>
      </w:r>
      <w:proofErr w:type="spellStart"/>
      <w:r w:rsidRPr="000C7C76">
        <w:rPr>
          <w:rFonts w:ascii="Times New Roman" w:hAnsi="Times New Roman" w:cs="Arial"/>
          <w:b/>
          <w:color w:val="323233"/>
          <w:lang w:val="de-DE"/>
        </w:rPr>
        <w:t>līgumos</w:t>
      </w:r>
      <w:proofErr w:type="spellEnd"/>
    </w:p>
    <w:p w14:paraId="5F75E901" w14:textId="77777777" w:rsidR="00114953" w:rsidRPr="000C7C76" w:rsidRDefault="00114953" w:rsidP="00114953">
      <w:pPr>
        <w:jc w:val="both"/>
        <w:rPr>
          <w:rFonts w:ascii="Times New Roman" w:hAnsi="Times New Roman" w:cs="Arial"/>
          <w:color w:val="323233"/>
          <w:lang w:val="de-DE"/>
        </w:rPr>
      </w:pPr>
    </w:p>
    <w:p w14:paraId="4978BCA8" w14:textId="77777777" w:rsidR="00114953" w:rsidRPr="00F234F1" w:rsidRDefault="00114953" w:rsidP="00114953">
      <w:pPr>
        <w:jc w:val="both"/>
        <w:rPr>
          <w:rFonts w:ascii="Times New Roman" w:hAnsi="Times New Roman" w:cs="Arial"/>
          <w:i/>
          <w:color w:val="323233"/>
        </w:rPr>
      </w:pPr>
      <w:r>
        <w:rPr>
          <w:rFonts w:ascii="Times New Roman" w:hAnsi="Times New Roman" w:cs="Arial"/>
          <w:i/>
          <w:color w:val="323233"/>
        </w:rPr>
        <w:t>Tabula Nr. 2</w:t>
      </w:r>
    </w:p>
    <w:tbl>
      <w:tblPr>
        <w:tblStyle w:val="TableGrid"/>
        <w:tblW w:w="0" w:type="auto"/>
        <w:tblLook w:val="04A0" w:firstRow="1" w:lastRow="0" w:firstColumn="1" w:lastColumn="0" w:noHBand="0" w:noVBand="1"/>
      </w:tblPr>
      <w:tblGrid>
        <w:gridCol w:w="822"/>
        <w:gridCol w:w="3872"/>
        <w:gridCol w:w="2270"/>
        <w:gridCol w:w="2281"/>
        <w:gridCol w:w="37"/>
      </w:tblGrid>
      <w:tr w:rsidR="00114953" w14:paraId="7DBEE3DC" w14:textId="77777777" w:rsidTr="00BF3A72">
        <w:trPr>
          <w:gridAfter w:val="1"/>
          <w:wAfter w:w="38" w:type="dxa"/>
        </w:trPr>
        <w:tc>
          <w:tcPr>
            <w:tcW w:w="675" w:type="dxa"/>
            <w:shd w:val="clear" w:color="auto" w:fill="C4BC96" w:themeFill="background2" w:themeFillShade="BF"/>
          </w:tcPr>
          <w:p w14:paraId="37EA4516" w14:textId="77777777" w:rsidR="00114953" w:rsidRPr="009027B6" w:rsidRDefault="00114953" w:rsidP="00BF3A72">
            <w:pPr>
              <w:jc w:val="center"/>
              <w:rPr>
                <w:rFonts w:cs="Arial"/>
                <w:b/>
                <w:color w:val="323233"/>
                <w:sz w:val="20"/>
                <w:szCs w:val="20"/>
              </w:rPr>
            </w:pPr>
            <w:proofErr w:type="spellStart"/>
            <w:r w:rsidRPr="009027B6">
              <w:rPr>
                <w:rFonts w:cs="Arial"/>
                <w:b/>
                <w:color w:val="323233"/>
                <w:sz w:val="20"/>
                <w:szCs w:val="20"/>
              </w:rPr>
              <w:t>Nr.p.k</w:t>
            </w:r>
            <w:proofErr w:type="spellEnd"/>
            <w:r w:rsidRPr="009027B6">
              <w:rPr>
                <w:rFonts w:cs="Arial"/>
                <w:b/>
                <w:color w:val="323233"/>
                <w:sz w:val="20"/>
                <w:szCs w:val="20"/>
              </w:rPr>
              <w:t>.</w:t>
            </w:r>
          </w:p>
        </w:tc>
        <w:tc>
          <w:tcPr>
            <w:tcW w:w="3932" w:type="dxa"/>
            <w:shd w:val="clear" w:color="auto" w:fill="C4BC96" w:themeFill="background2" w:themeFillShade="BF"/>
          </w:tcPr>
          <w:p w14:paraId="31691E7B" w14:textId="77777777" w:rsidR="00114953" w:rsidRPr="009027B6" w:rsidRDefault="00114953" w:rsidP="00BF3A72">
            <w:pPr>
              <w:jc w:val="center"/>
              <w:rPr>
                <w:rFonts w:cs="Arial"/>
                <w:b/>
                <w:color w:val="323233"/>
                <w:sz w:val="20"/>
                <w:szCs w:val="20"/>
              </w:rPr>
            </w:pPr>
            <w:proofErr w:type="spellStart"/>
            <w:r>
              <w:rPr>
                <w:rFonts w:cs="Arial"/>
                <w:b/>
                <w:color w:val="323233"/>
                <w:sz w:val="20"/>
                <w:szCs w:val="20"/>
              </w:rPr>
              <w:t>Līguma</w:t>
            </w:r>
            <w:proofErr w:type="spellEnd"/>
            <w:r>
              <w:rPr>
                <w:rFonts w:cs="Arial"/>
                <w:b/>
                <w:color w:val="323233"/>
                <w:sz w:val="20"/>
                <w:szCs w:val="20"/>
              </w:rPr>
              <w:t xml:space="preserve"> </w:t>
            </w:r>
            <w:proofErr w:type="spellStart"/>
            <w:r>
              <w:rPr>
                <w:rFonts w:cs="Arial"/>
                <w:b/>
                <w:color w:val="323233"/>
                <w:sz w:val="20"/>
                <w:szCs w:val="20"/>
              </w:rPr>
              <w:t>nosaukums</w:t>
            </w:r>
            <w:proofErr w:type="spellEnd"/>
          </w:p>
        </w:tc>
        <w:tc>
          <w:tcPr>
            <w:tcW w:w="2302" w:type="dxa"/>
            <w:shd w:val="clear" w:color="auto" w:fill="C4BC96" w:themeFill="background2" w:themeFillShade="BF"/>
          </w:tcPr>
          <w:p w14:paraId="28C32515" w14:textId="77777777" w:rsidR="00114953" w:rsidRPr="009027B6" w:rsidRDefault="00114953" w:rsidP="00BF3A72">
            <w:pPr>
              <w:jc w:val="center"/>
              <w:rPr>
                <w:rFonts w:cs="Arial"/>
                <w:b/>
                <w:color w:val="323233"/>
                <w:sz w:val="20"/>
                <w:szCs w:val="20"/>
              </w:rPr>
            </w:pPr>
            <w:r>
              <w:rPr>
                <w:rFonts w:cs="Arial"/>
                <w:b/>
                <w:color w:val="323233"/>
                <w:sz w:val="20"/>
                <w:szCs w:val="20"/>
              </w:rPr>
              <w:t>Pants</w:t>
            </w:r>
          </w:p>
        </w:tc>
        <w:tc>
          <w:tcPr>
            <w:tcW w:w="2302" w:type="dxa"/>
            <w:shd w:val="clear" w:color="auto" w:fill="C4BC96" w:themeFill="background2" w:themeFillShade="BF"/>
          </w:tcPr>
          <w:p w14:paraId="61726CA5" w14:textId="77777777" w:rsidR="00114953" w:rsidRPr="009027B6" w:rsidRDefault="00114953" w:rsidP="00BF3A72">
            <w:pPr>
              <w:jc w:val="center"/>
              <w:rPr>
                <w:rFonts w:cs="Arial"/>
                <w:b/>
                <w:color w:val="323233"/>
                <w:sz w:val="20"/>
                <w:szCs w:val="20"/>
              </w:rPr>
            </w:pPr>
            <w:r>
              <w:rPr>
                <w:rFonts w:cs="Arial"/>
                <w:b/>
                <w:color w:val="323233"/>
                <w:sz w:val="20"/>
                <w:szCs w:val="20"/>
              </w:rPr>
              <w:t xml:space="preserve">Panta </w:t>
            </w:r>
            <w:proofErr w:type="spellStart"/>
            <w:r>
              <w:rPr>
                <w:rFonts w:cs="Arial"/>
                <w:b/>
                <w:color w:val="323233"/>
                <w:sz w:val="20"/>
                <w:szCs w:val="20"/>
              </w:rPr>
              <w:t>citāts</w:t>
            </w:r>
            <w:proofErr w:type="spellEnd"/>
          </w:p>
        </w:tc>
      </w:tr>
      <w:tr w:rsidR="00114953" w:rsidRPr="009027B6" w14:paraId="3B2FDC91" w14:textId="77777777" w:rsidTr="00BF3A72">
        <w:trPr>
          <w:gridAfter w:val="1"/>
          <w:wAfter w:w="38" w:type="dxa"/>
        </w:trPr>
        <w:tc>
          <w:tcPr>
            <w:tcW w:w="675" w:type="dxa"/>
          </w:tcPr>
          <w:p w14:paraId="1F385AAC" w14:textId="77777777" w:rsidR="00114953" w:rsidRPr="009027B6" w:rsidRDefault="00114953" w:rsidP="00BF3A72">
            <w:pPr>
              <w:jc w:val="center"/>
              <w:rPr>
                <w:rFonts w:cs="Arial"/>
                <w:color w:val="323233"/>
                <w:sz w:val="18"/>
                <w:szCs w:val="18"/>
              </w:rPr>
            </w:pPr>
            <w:r>
              <w:rPr>
                <w:rFonts w:cs="Arial"/>
                <w:color w:val="323233"/>
                <w:sz w:val="18"/>
                <w:szCs w:val="18"/>
              </w:rPr>
              <w:t>1.</w:t>
            </w:r>
          </w:p>
        </w:tc>
        <w:tc>
          <w:tcPr>
            <w:tcW w:w="3932" w:type="dxa"/>
          </w:tcPr>
          <w:p w14:paraId="4FFB33C1" w14:textId="77777777" w:rsidR="00114953" w:rsidRPr="009027B6" w:rsidRDefault="00114953" w:rsidP="00BF3A72">
            <w:pPr>
              <w:jc w:val="both"/>
              <w:rPr>
                <w:rFonts w:cs="Arial"/>
                <w:color w:val="323233"/>
                <w:sz w:val="18"/>
                <w:szCs w:val="18"/>
              </w:rPr>
            </w:pPr>
            <w:proofErr w:type="spellStart"/>
            <w:r>
              <w:rPr>
                <w:rFonts w:cs="Arial"/>
                <w:color w:val="323233"/>
                <w:sz w:val="18"/>
                <w:szCs w:val="18"/>
              </w:rPr>
              <w:t>Līgums</w:t>
            </w:r>
            <w:proofErr w:type="spellEnd"/>
            <w:r>
              <w:rPr>
                <w:rFonts w:cs="Arial"/>
                <w:color w:val="323233"/>
                <w:sz w:val="18"/>
                <w:szCs w:val="18"/>
              </w:rPr>
              <w:t xml:space="preserve"> </w:t>
            </w:r>
            <w:proofErr w:type="spellStart"/>
            <w:r>
              <w:rPr>
                <w:rFonts w:cs="Arial"/>
                <w:color w:val="323233"/>
                <w:sz w:val="18"/>
                <w:szCs w:val="18"/>
              </w:rPr>
              <w:t>starp</w:t>
            </w:r>
            <w:proofErr w:type="spellEnd"/>
            <w:r>
              <w:rPr>
                <w:rFonts w:cs="Arial"/>
                <w:color w:val="323233"/>
                <w:sz w:val="18"/>
                <w:szCs w:val="18"/>
              </w:rPr>
              <w:t xml:space="preserve"> </w:t>
            </w:r>
            <w:proofErr w:type="spellStart"/>
            <w:r>
              <w:rPr>
                <w:rFonts w:cs="Arial"/>
                <w:color w:val="323233"/>
                <w:sz w:val="18"/>
                <w:szCs w:val="18"/>
              </w:rPr>
              <w:t>Latviju</w:t>
            </w:r>
            <w:proofErr w:type="spellEnd"/>
            <w:r>
              <w:rPr>
                <w:rFonts w:cs="Arial"/>
                <w:color w:val="323233"/>
                <w:sz w:val="18"/>
                <w:szCs w:val="18"/>
              </w:rPr>
              <w:t xml:space="preserve">, </w:t>
            </w:r>
            <w:proofErr w:type="spellStart"/>
            <w:r>
              <w:rPr>
                <w:rFonts w:cs="Arial"/>
                <w:color w:val="323233"/>
                <w:sz w:val="18"/>
                <w:szCs w:val="18"/>
              </w:rPr>
              <w:t>Igauniju</w:t>
            </w:r>
            <w:proofErr w:type="spellEnd"/>
            <w:r>
              <w:rPr>
                <w:rFonts w:cs="Arial"/>
                <w:color w:val="323233"/>
                <w:sz w:val="18"/>
                <w:szCs w:val="18"/>
              </w:rPr>
              <w:t xml:space="preserve"> </w:t>
            </w:r>
            <w:proofErr w:type="spellStart"/>
            <w:r>
              <w:rPr>
                <w:rFonts w:cs="Arial"/>
                <w:color w:val="323233"/>
                <w:sz w:val="18"/>
                <w:szCs w:val="18"/>
              </w:rPr>
              <w:t>un</w:t>
            </w:r>
            <w:proofErr w:type="spellEnd"/>
            <w:r>
              <w:rPr>
                <w:rFonts w:cs="Arial"/>
                <w:color w:val="323233"/>
                <w:sz w:val="18"/>
                <w:szCs w:val="18"/>
              </w:rPr>
              <w:t xml:space="preserve"> </w:t>
            </w:r>
            <w:proofErr w:type="spellStart"/>
            <w:r>
              <w:rPr>
                <w:rFonts w:cs="Arial"/>
                <w:color w:val="323233"/>
                <w:sz w:val="18"/>
                <w:szCs w:val="18"/>
              </w:rPr>
              <w:t>Lietuvu</w:t>
            </w:r>
            <w:proofErr w:type="spellEnd"/>
          </w:p>
        </w:tc>
        <w:tc>
          <w:tcPr>
            <w:tcW w:w="2302" w:type="dxa"/>
          </w:tcPr>
          <w:p w14:paraId="72FD4096" w14:textId="77777777" w:rsidR="00114953" w:rsidRPr="009027B6" w:rsidRDefault="00114953" w:rsidP="00BF3A72">
            <w:pPr>
              <w:jc w:val="center"/>
              <w:rPr>
                <w:rFonts w:cs="Arial"/>
                <w:color w:val="323233"/>
                <w:sz w:val="18"/>
                <w:szCs w:val="18"/>
              </w:rPr>
            </w:pPr>
            <w:r>
              <w:rPr>
                <w:rFonts w:cs="Arial"/>
                <w:color w:val="323233"/>
                <w:sz w:val="18"/>
                <w:szCs w:val="18"/>
              </w:rPr>
              <w:t>-</w:t>
            </w:r>
          </w:p>
        </w:tc>
        <w:tc>
          <w:tcPr>
            <w:tcW w:w="2302" w:type="dxa"/>
          </w:tcPr>
          <w:p w14:paraId="78A3B3A6" w14:textId="77777777" w:rsidR="00114953" w:rsidRPr="009027B6" w:rsidRDefault="00114953" w:rsidP="00BF3A72">
            <w:pPr>
              <w:jc w:val="center"/>
              <w:rPr>
                <w:rFonts w:cs="Arial"/>
                <w:color w:val="323233"/>
                <w:sz w:val="18"/>
                <w:szCs w:val="18"/>
              </w:rPr>
            </w:pPr>
            <w:r>
              <w:rPr>
                <w:rFonts w:cs="Arial"/>
                <w:color w:val="323233"/>
                <w:sz w:val="18"/>
                <w:szCs w:val="18"/>
              </w:rPr>
              <w:t>-</w:t>
            </w:r>
          </w:p>
        </w:tc>
      </w:tr>
      <w:tr w:rsidR="00114953" w:rsidRPr="009027B6" w14:paraId="6F636F62" w14:textId="77777777" w:rsidTr="00BF3A72">
        <w:trPr>
          <w:gridAfter w:val="1"/>
          <w:wAfter w:w="38" w:type="dxa"/>
        </w:trPr>
        <w:tc>
          <w:tcPr>
            <w:tcW w:w="675" w:type="dxa"/>
          </w:tcPr>
          <w:p w14:paraId="362D8ADB" w14:textId="77777777" w:rsidR="00114953" w:rsidRPr="009027B6" w:rsidRDefault="00114953" w:rsidP="00BF3A72">
            <w:pPr>
              <w:jc w:val="center"/>
              <w:rPr>
                <w:rFonts w:cs="Arial"/>
                <w:color w:val="323233"/>
                <w:sz w:val="18"/>
                <w:szCs w:val="18"/>
              </w:rPr>
            </w:pPr>
            <w:r>
              <w:rPr>
                <w:rFonts w:cs="Arial"/>
                <w:color w:val="323233"/>
                <w:sz w:val="18"/>
                <w:szCs w:val="18"/>
              </w:rPr>
              <w:t>2.</w:t>
            </w:r>
          </w:p>
        </w:tc>
        <w:tc>
          <w:tcPr>
            <w:tcW w:w="3932" w:type="dxa"/>
          </w:tcPr>
          <w:p w14:paraId="0C34C7C8" w14:textId="77777777" w:rsidR="00114953" w:rsidRPr="009027B6" w:rsidRDefault="00114953" w:rsidP="00BF3A72">
            <w:pPr>
              <w:jc w:val="both"/>
              <w:rPr>
                <w:rFonts w:cs="Arial"/>
                <w:color w:val="323233"/>
                <w:sz w:val="18"/>
                <w:szCs w:val="18"/>
              </w:rPr>
            </w:pPr>
            <w:proofErr w:type="spellStart"/>
            <w:r>
              <w:rPr>
                <w:rFonts w:cs="Arial"/>
                <w:color w:val="323233"/>
                <w:sz w:val="18"/>
                <w:szCs w:val="18"/>
              </w:rPr>
              <w:t>Līgums</w:t>
            </w:r>
            <w:proofErr w:type="spellEnd"/>
            <w:r>
              <w:rPr>
                <w:rFonts w:cs="Arial"/>
                <w:color w:val="323233"/>
                <w:sz w:val="18"/>
                <w:szCs w:val="18"/>
              </w:rPr>
              <w:t xml:space="preserve"> </w:t>
            </w:r>
            <w:proofErr w:type="spellStart"/>
            <w:r>
              <w:rPr>
                <w:rFonts w:cs="Arial"/>
                <w:color w:val="323233"/>
                <w:sz w:val="18"/>
                <w:szCs w:val="18"/>
              </w:rPr>
              <w:t>starp</w:t>
            </w:r>
            <w:proofErr w:type="spellEnd"/>
            <w:r>
              <w:rPr>
                <w:rFonts w:cs="Arial"/>
                <w:color w:val="323233"/>
                <w:sz w:val="18"/>
                <w:szCs w:val="18"/>
              </w:rPr>
              <w:t xml:space="preserve"> </w:t>
            </w:r>
            <w:proofErr w:type="spellStart"/>
            <w:r>
              <w:rPr>
                <w:rFonts w:cs="Arial"/>
                <w:color w:val="323233"/>
                <w:sz w:val="18"/>
                <w:szCs w:val="18"/>
              </w:rPr>
              <w:t>Latviju</w:t>
            </w:r>
            <w:proofErr w:type="spellEnd"/>
            <w:r>
              <w:rPr>
                <w:rFonts w:cs="Arial"/>
                <w:color w:val="323233"/>
                <w:sz w:val="18"/>
                <w:szCs w:val="18"/>
              </w:rPr>
              <w:t xml:space="preserve"> </w:t>
            </w:r>
            <w:proofErr w:type="spellStart"/>
            <w:r>
              <w:rPr>
                <w:rFonts w:cs="Arial"/>
                <w:color w:val="323233"/>
                <w:sz w:val="18"/>
                <w:szCs w:val="18"/>
              </w:rPr>
              <w:t>un</w:t>
            </w:r>
            <w:proofErr w:type="spellEnd"/>
            <w:r>
              <w:rPr>
                <w:rFonts w:cs="Arial"/>
                <w:color w:val="323233"/>
                <w:sz w:val="18"/>
                <w:szCs w:val="18"/>
              </w:rPr>
              <w:t xml:space="preserve"> </w:t>
            </w:r>
            <w:proofErr w:type="spellStart"/>
            <w:r>
              <w:rPr>
                <w:rFonts w:cs="Arial"/>
                <w:color w:val="323233"/>
                <w:sz w:val="18"/>
                <w:szCs w:val="18"/>
              </w:rPr>
              <w:t>Moldovu</w:t>
            </w:r>
            <w:proofErr w:type="spellEnd"/>
          </w:p>
        </w:tc>
        <w:tc>
          <w:tcPr>
            <w:tcW w:w="2302" w:type="dxa"/>
          </w:tcPr>
          <w:p w14:paraId="5FE0FD6D" w14:textId="77777777" w:rsidR="00114953" w:rsidRPr="009027B6" w:rsidRDefault="00114953" w:rsidP="00BF3A72">
            <w:pPr>
              <w:jc w:val="center"/>
              <w:rPr>
                <w:rFonts w:cs="Arial"/>
                <w:color w:val="323233"/>
                <w:sz w:val="18"/>
                <w:szCs w:val="18"/>
              </w:rPr>
            </w:pPr>
            <w:r>
              <w:rPr>
                <w:rFonts w:cs="Arial"/>
                <w:color w:val="323233"/>
                <w:sz w:val="18"/>
                <w:szCs w:val="18"/>
              </w:rPr>
              <w:t>-</w:t>
            </w:r>
          </w:p>
        </w:tc>
        <w:tc>
          <w:tcPr>
            <w:tcW w:w="2302" w:type="dxa"/>
          </w:tcPr>
          <w:p w14:paraId="55671A29" w14:textId="77777777" w:rsidR="00114953" w:rsidRPr="009027B6" w:rsidRDefault="00114953" w:rsidP="00BF3A72">
            <w:pPr>
              <w:jc w:val="center"/>
              <w:rPr>
                <w:rFonts w:cs="Arial"/>
                <w:color w:val="323233"/>
                <w:sz w:val="18"/>
                <w:szCs w:val="18"/>
              </w:rPr>
            </w:pPr>
            <w:r>
              <w:rPr>
                <w:rFonts w:cs="Arial"/>
                <w:color w:val="323233"/>
                <w:sz w:val="18"/>
                <w:szCs w:val="18"/>
              </w:rPr>
              <w:t>-</w:t>
            </w:r>
          </w:p>
        </w:tc>
      </w:tr>
      <w:tr w:rsidR="00114953" w:rsidRPr="000C7C76" w14:paraId="47CCAEBC" w14:textId="77777777" w:rsidTr="00BF3A72">
        <w:trPr>
          <w:gridAfter w:val="1"/>
          <w:wAfter w:w="38" w:type="dxa"/>
        </w:trPr>
        <w:tc>
          <w:tcPr>
            <w:tcW w:w="675" w:type="dxa"/>
          </w:tcPr>
          <w:p w14:paraId="54B4F04C" w14:textId="77777777" w:rsidR="00114953" w:rsidRPr="009027B6" w:rsidRDefault="00114953" w:rsidP="00BF3A72">
            <w:pPr>
              <w:jc w:val="center"/>
              <w:rPr>
                <w:rFonts w:cs="Arial"/>
                <w:color w:val="323233"/>
                <w:sz w:val="18"/>
                <w:szCs w:val="18"/>
              </w:rPr>
            </w:pPr>
            <w:r>
              <w:rPr>
                <w:rFonts w:cs="Arial"/>
                <w:color w:val="323233"/>
                <w:sz w:val="18"/>
                <w:szCs w:val="18"/>
              </w:rPr>
              <w:t>3.</w:t>
            </w:r>
          </w:p>
        </w:tc>
        <w:tc>
          <w:tcPr>
            <w:tcW w:w="3932" w:type="dxa"/>
          </w:tcPr>
          <w:p w14:paraId="3C736A74" w14:textId="77777777" w:rsidR="00114953" w:rsidRPr="009027B6" w:rsidRDefault="00114953" w:rsidP="00BF3A72">
            <w:pPr>
              <w:jc w:val="both"/>
              <w:rPr>
                <w:rFonts w:cs="Arial"/>
                <w:color w:val="323233"/>
                <w:sz w:val="18"/>
                <w:szCs w:val="18"/>
              </w:rPr>
            </w:pPr>
            <w:proofErr w:type="spellStart"/>
            <w:r>
              <w:rPr>
                <w:rFonts w:cs="Arial"/>
                <w:color w:val="323233"/>
                <w:sz w:val="18"/>
                <w:szCs w:val="18"/>
              </w:rPr>
              <w:t>Līgums</w:t>
            </w:r>
            <w:proofErr w:type="spellEnd"/>
            <w:r>
              <w:rPr>
                <w:rFonts w:cs="Arial"/>
                <w:color w:val="323233"/>
                <w:sz w:val="18"/>
                <w:szCs w:val="18"/>
              </w:rPr>
              <w:t xml:space="preserve"> </w:t>
            </w:r>
            <w:proofErr w:type="spellStart"/>
            <w:r>
              <w:rPr>
                <w:rFonts w:cs="Arial"/>
                <w:color w:val="323233"/>
                <w:sz w:val="18"/>
                <w:szCs w:val="18"/>
              </w:rPr>
              <w:t>starp</w:t>
            </w:r>
            <w:proofErr w:type="spellEnd"/>
            <w:r>
              <w:rPr>
                <w:rFonts w:cs="Arial"/>
                <w:color w:val="323233"/>
                <w:sz w:val="18"/>
                <w:szCs w:val="18"/>
              </w:rPr>
              <w:t xml:space="preserve"> </w:t>
            </w:r>
            <w:proofErr w:type="spellStart"/>
            <w:r>
              <w:rPr>
                <w:rFonts w:cs="Arial"/>
                <w:color w:val="323233"/>
                <w:sz w:val="18"/>
                <w:szCs w:val="18"/>
              </w:rPr>
              <w:t>Latviju</w:t>
            </w:r>
            <w:proofErr w:type="spellEnd"/>
            <w:r>
              <w:rPr>
                <w:rFonts w:cs="Arial"/>
                <w:color w:val="323233"/>
                <w:sz w:val="18"/>
                <w:szCs w:val="18"/>
              </w:rPr>
              <w:t xml:space="preserve"> </w:t>
            </w:r>
            <w:proofErr w:type="spellStart"/>
            <w:r>
              <w:rPr>
                <w:rFonts w:cs="Arial"/>
                <w:color w:val="323233"/>
                <w:sz w:val="18"/>
                <w:szCs w:val="18"/>
              </w:rPr>
              <w:t>un</w:t>
            </w:r>
            <w:proofErr w:type="spellEnd"/>
            <w:r>
              <w:rPr>
                <w:rFonts w:cs="Arial"/>
                <w:color w:val="323233"/>
                <w:sz w:val="18"/>
                <w:szCs w:val="18"/>
              </w:rPr>
              <w:t xml:space="preserve"> </w:t>
            </w:r>
            <w:proofErr w:type="spellStart"/>
            <w:r>
              <w:rPr>
                <w:rFonts w:cs="Arial"/>
                <w:color w:val="323233"/>
                <w:sz w:val="18"/>
                <w:szCs w:val="18"/>
              </w:rPr>
              <w:t>Baltkrieviju</w:t>
            </w:r>
            <w:proofErr w:type="spellEnd"/>
          </w:p>
        </w:tc>
        <w:tc>
          <w:tcPr>
            <w:tcW w:w="2302" w:type="dxa"/>
          </w:tcPr>
          <w:p w14:paraId="32C7ABA0" w14:textId="77777777" w:rsidR="00114953" w:rsidRPr="009027B6" w:rsidRDefault="00114953" w:rsidP="00BF3A72">
            <w:pPr>
              <w:jc w:val="center"/>
              <w:rPr>
                <w:rFonts w:cs="Arial"/>
                <w:color w:val="323233"/>
                <w:sz w:val="18"/>
                <w:szCs w:val="18"/>
              </w:rPr>
            </w:pPr>
            <w:r>
              <w:rPr>
                <w:rFonts w:cs="Arial"/>
                <w:color w:val="323233"/>
                <w:sz w:val="18"/>
                <w:szCs w:val="18"/>
              </w:rPr>
              <w:t xml:space="preserve">38.panta </w:t>
            </w:r>
            <w:proofErr w:type="spellStart"/>
            <w:r>
              <w:rPr>
                <w:rFonts w:cs="Arial"/>
                <w:color w:val="323233"/>
                <w:sz w:val="18"/>
                <w:szCs w:val="18"/>
              </w:rPr>
              <w:t>pirmā</w:t>
            </w:r>
            <w:proofErr w:type="spellEnd"/>
            <w:r>
              <w:rPr>
                <w:rFonts w:cs="Arial"/>
                <w:color w:val="323233"/>
                <w:sz w:val="18"/>
                <w:szCs w:val="18"/>
              </w:rPr>
              <w:t xml:space="preserve"> </w:t>
            </w:r>
            <w:proofErr w:type="spellStart"/>
            <w:r>
              <w:rPr>
                <w:rFonts w:cs="Arial"/>
                <w:color w:val="323233"/>
                <w:sz w:val="18"/>
                <w:szCs w:val="18"/>
              </w:rPr>
              <w:t>daļa</w:t>
            </w:r>
            <w:proofErr w:type="spellEnd"/>
          </w:p>
        </w:tc>
        <w:tc>
          <w:tcPr>
            <w:tcW w:w="2302" w:type="dxa"/>
          </w:tcPr>
          <w:p w14:paraId="310FD78B" w14:textId="77777777" w:rsidR="00114953" w:rsidRPr="006A6BA0" w:rsidRDefault="00114953" w:rsidP="00BF3A72">
            <w:pPr>
              <w:jc w:val="both"/>
              <w:rPr>
                <w:rFonts w:cs="Arial"/>
                <w:color w:val="323233"/>
                <w:sz w:val="18"/>
                <w:szCs w:val="18"/>
              </w:rPr>
            </w:pPr>
            <w:r w:rsidRPr="006A6BA0">
              <w:rPr>
                <w:rFonts w:cs="Arial"/>
                <w:color w:val="323233"/>
                <w:sz w:val="18"/>
                <w:szCs w:val="18"/>
              </w:rPr>
              <w:t>„</w:t>
            </w:r>
            <w:r>
              <w:rPr>
                <w:rFonts w:cs="Arial"/>
                <w:color w:val="323233"/>
                <w:sz w:val="18"/>
                <w:szCs w:val="18"/>
              </w:rPr>
              <w:t>(1)</w:t>
            </w:r>
            <w:r w:rsidRPr="006A6BA0">
              <w:rPr>
                <w:rFonts w:cs="Arial"/>
                <w:color w:val="323233"/>
                <w:sz w:val="18"/>
                <w:szCs w:val="18"/>
              </w:rPr>
              <w:t xml:space="preserve"> </w:t>
            </w:r>
            <w:proofErr w:type="spellStart"/>
            <w:r w:rsidRPr="006A6BA0">
              <w:rPr>
                <w:rFonts w:cs="Arial"/>
                <w:color w:val="323233"/>
                <w:sz w:val="18"/>
                <w:szCs w:val="18"/>
              </w:rPr>
              <w:t>Darījuma</w:t>
            </w:r>
            <w:proofErr w:type="spellEnd"/>
            <w:r w:rsidRPr="006A6BA0">
              <w:rPr>
                <w:rFonts w:cs="Arial"/>
                <w:color w:val="323233"/>
                <w:sz w:val="18"/>
                <w:szCs w:val="18"/>
              </w:rPr>
              <w:t xml:space="preserve"> </w:t>
            </w:r>
            <w:proofErr w:type="spellStart"/>
            <w:r w:rsidRPr="006A6BA0">
              <w:rPr>
                <w:rFonts w:cs="Arial"/>
                <w:color w:val="323233"/>
                <w:sz w:val="18"/>
                <w:szCs w:val="18"/>
              </w:rPr>
              <w:t>formu</w:t>
            </w:r>
            <w:proofErr w:type="spellEnd"/>
            <w:r w:rsidRPr="006A6BA0">
              <w:rPr>
                <w:rFonts w:cs="Arial"/>
                <w:color w:val="323233"/>
                <w:sz w:val="18"/>
                <w:szCs w:val="18"/>
              </w:rPr>
              <w:t xml:space="preserve"> </w:t>
            </w:r>
            <w:proofErr w:type="spellStart"/>
            <w:r w:rsidRPr="006A6BA0">
              <w:rPr>
                <w:rFonts w:cs="Arial"/>
                <w:color w:val="323233"/>
                <w:sz w:val="18"/>
                <w:szCs w:val="18"/>
              </w:rPr>
              <w:t>un</w:t>
            </w:r>
            <w:proofErr w:type="spellEnd"/>
            <w:r w:rsidRPr="006A6BA0">
              <w:rPr>
                <w:rFonts w:cs="Arial"/>
                <w:color w:val="323233"/>
                <w:sz w:val="18"/>
                <w:szCs w:val="18"/>
              </w:rPr>
              <w:t xml:space="preserve"> </w:t>
            </w:r>
            <w:proofErr w:type="spellStart"/>
            <w:r w:rsidRPr="006A6BA0">
              <w:rPr>
                <w:rFonts w:cs="Arial"/>
                <w:b/>
                <w:color w:val="323233"/>
                <w:sz w:val="18"/>
                <w:szCs w:val="18"/>
              </w:rPr>
              <w:t>darījuma</w:t>
            </w:r>
            <w:proofErr w:type="spellEnd"/>
            <w:r w:rsidRPr="006A6BA0">
              <w:rPr>
                <w:rFonts w:cs="Arial"/>
                <w:b/>
                <w:color w:val="323233"/>
                <w:sz w:val="18"/>
                <w:szCs w:val="18"/>
              </w:rPr>
              <w:t xml:space="preserve"> </w:t>
            </w:r>
            <w:proofErr w:type="spellStart"/>
            <w:r w:rsidRPr="006A6BA0">
              <w:rPr>
                <w:rFonts w:cs="Arial"/>
                <w:b/>
                <w:color w:val="323233"/>
                <w:sz w:val="18"/>
                <w:szCs w:val="18"/>
              </w:rPr>
              <w:t>pušu</w:t>
            </w:r>
            <w:proofErr w:type="spellEnd"/>
            <w:r w:rsidRPr="006A6BA0">
              <w:rPr>
                <w:rFonts w:cs="Arial"/>
                <w:b/>
                <w:color w:val="323233"/>
                <w:sz w:val="18"/>
                <w:szCs w:val="18"/>
              </w:rPr>
              <w:t xml:space="preserve"> </w:t>
            </w:r>
            <w:proofErr w:type="spellStart"/>
            <w:r w:rsidRPr="006A6BA0">
              <w:rPr>
                <w:rFonts w:cs="Arial"/>
                <w:b/>
                <w:color w:val="323233"/>
                <w:sz w:val="18"/>
                <w:szCs w:val="18"/>
              </w:rPr>
              <w:t>pienākumus</w:t>
            </w:r>
            <w:proofErr w:type="spellEnd"/>
            <w:r w:rsidRPr="006A6BA0">
              <w:rPr>
                <w:rFonts w:cs="Arial"/>
                <w:color w:val="323233"/>
                <w:sz w:val="18"/>
                <w:szCs w:val="18"/>
              </w:rPr>
              <w:t xml:space="preserve"> </w:t>
            </w:r>
            <w:proofErr w:type="spellStart"/>
            <w:r w:rsidRPr="006A6BA0">
              <w:rPr>
                <w:rFonts w:cs="Arial"/>
                <w:color w:val="323233"/>
                <w:sz w:val="18"/>
                <w:szCs w:val="18"/>
              </w:rPr>
              <w:t>nosaka</w:t>
            </w:r>
            <w:proofErr w:type="spellEnd"/>
            <w:r w:rsidRPr="006A6BA0">
              <w:rPr>
                <w:rFonts w:cs="Arial"/>
                <w:color w:val="323233"/>
                <w:sz w:val="18"/>
                <w:szCs w:val="18"/>
              </w:rPr>
              <w:t xml:space="preserve"> </w:t>
            </w:r>
            <w:proofErr w:type="spellStart"/>
            <w:r w:rsidRPr="006A6BA0">
              <w:rPr>
                <w:rFonts w:cs="Arial"/>
                <w:color w:val="323233"/>
                <w:sz w:val="18"/>
                <w:szCs w:val="18"/>
              </w:rPr>
              <w:t>tā</w:t>
            </w:r>
            <w:proofErr w:type="spellEnd"/>
            <w:r w:rsidRPr="006A6BA0">
              <w:rPr>
                <w:rFonts w:cs="Arial"/>
                <w:color w:val="323233"/>
                <w:sz w:val="18"/>
                <w:szCs w:val="18"/>
              </w:rPr>
              <w:t xml:space="preserve"> </w:t>
            </w:r>
            <w:proofErr w:type="spellStart"/>
            <w:r w:rsidRPr="006A6BA0">
              <w:rPr>
                <w:rFonts w:cs="Arial"/>
                <w:color w:val="323233"/>
                <w:sz w:val="18"/>
                <w:szCs w:val="18"/>
              </w:rPr>
              <w:t>noslēgšanas</w:t>
            </w:r>
            <w:proofErr w:type="spellEnd"/>
            <w:r w:rsidRPr="006A6BA0">
              <w:rPr>
                <w:rFonts w:cs="Arial"/>
                <w:color w:val="323233"/>
                <w:sz w:val="18"/>
                <w:szCs w:val="18"/>
              </w:rPr>
              <w:t xml:space="preserve"> </w:t>
            </w:r>
            <w:proofErr w:type="spellStart"/>
            <w:r w:rsidRPr="006A6BA0">
              <w:rPr>
                <w:rFonts w:cs="Arial"/>
                <w:color w:val="323233"/>
                <w:sz w:val="18"/>
                <w:szCs w:val="18"/>
              </w:rPr>
              <w:t>vietas</w:t>
            </w:r>
            <w:proofErr w:type="spellEnd"/>
            <w:r w:rsidRPr="006A6BA0">
              <w:rPr>
                <w:rFonts w:cs="Arial"/>
                <w:color w:val="323233"/>
                <w:sz w:val="18"/>
                <w:szCs w:val="18"/>
              </w:rPr>
              <w:t xml:space="preserve"> </w:t>
            </w:r>
            <w:proofErr w:type="spellStart"/>
            <w:r w:rsidRPr="006A6BA0">
              <w:rPr>
                <w:rFonts w:cs="Arial"/>
                <w:color w:val="323233"/>
                <w:sz w:val="18"/>
                <w:szCs w:val="18"/>
              </w:rPr>
              <w:t>likumdošana</w:t>
            </w:r>
            <w:proofErr w:type="spellEnd"/>
            <w:r w:rsidRPr="006A6BA0">
              <w:rPr>
                <w:rFonts w:cs="Arial"/>
                <w:color w:val="323233"/>
                <w:sz w:val="18"/>
                <w:szCs w:val="18"/>
              </w:rPr>
              <w:t xml:space="preserve">, ja </w:t>
            </w:r>
            <w:proofErr w:type="spellStart"/>
            <w:r w:rsidRPr="006A6BA0">
              <w:rPr>
                <w:rFonts w:cs="Arial"/>
                <w:color w:val="323233"/>
                <w:sz w:val="18"/>
                <w:szCs w:val="18"/>
              </w:rPr>
              <w:t>pušu</w:t>
            </w:r>
            <w:proofErr w:type="spellEnd"/>
            <w:r w:rsidRPr="006A6BA0">
              <w:rPr>
                <w:rFonts w:cs="Arial"/>
                <w:color w:val="323233"/>
                <w:sz w:val="18"/>
                <w:szCs w:val="18"/>
              </w:rPr>
              <w:t xml:space="preserve"> </w:t>
            </w:r>
            <w:proofErr w:type="spellStart"/>
            <w:r w:rsidRPr="006A6BA0">
              <w:rPr>
                <w:rFonts w:cs="Arial"/>
                <w:color w:val="323233"/>
                <w:sz w:val="18"/>
                <w:szCs w:val="18"/>
              </w:rPr>
              <w:t>vienošanās</w:t>
            </w:r>
            <w:proofErr w:type="spellEnd"/>
            <w:r w:rsidRPr="006A6BA0">
              <w:rPr>
                <w:rFonts w:cs="Arial"/>
                <w:color w:val="323233"/>
                <w:sz w:val="18"/>
                <w:szCs w:val="18"/>
              </w:rPr>
              <w:t xml:space="preserve"> </w:t>
            </w:r>
            <w:proofErr w:type="spellStart"/>
            <w:r w:rsidRPr="006A6BA0">
              <w:rPr>
                <w:rFonts w:cs="Arial"/>
                <w:color w:val="323233"/>
                <w:sz w:val="18"/>
                <w:szCs w:val="18"/>
              </w:rPr>
              <w:t>neparedz</w:t>
            </w:r>
            <w:proofErr w:type="spellEnd"/>
            <w:r w:rsidRPr="006A6BA0">
              <w:rPr>
                <w:rFonts w:cs="Arial"/>
                <w:color w:val="323233"/>
                <w:sz w:val="18"/>
                <w:szCs w:val="18"/>
              </w:rPr>
              <w:t xml:space="preserve"> </w:t>
            </w:r>
            <w:proofErr w:type="spellStart"/>
            <w:r w:rsidRPr="006A6BA0">
              <w:rPr>
                <w:rFonts w:cs="Arial"/>
                <w:color w:val="323233"/>
                <w:sz w:val="18"/>
                <w:szCs w:val="18"/>
              </w:rPr>
              <w:t>citu</w:t>
            </w:r>
            <w:proofErr w:type="spellEnd"/>
            <w:r w:rsidRPr="006A6BA0">
              <w:rPr>
                <w:rFonts w:cs="Arial"/>
                <w:color w:val="323233"/>
                <w:sz w:val="18"/>
                <w:szCs w:val="18"/>
              </w:rPr>
              <w:t xml:space="preserve"> </w:t>
            </w:r>
            <w:proofErr w:type="spellStart"/>
            <w:r w:rsidRPr="006A6BA0">
              <w:rPr>
                <w:rFonts w:cs="Arial"/>
                <w:color w:val="323233"/>
                <w:sz w:val="18"/>
                <w:szCs w:val="18"/>
              </w:rPr>
              <w:t>kārtību</w:t>
            </w:r>
            <w:proofErr w:type="spellEnd"/>
            <w:r>
              <w:rPr>
                <w:rFonts w:cs="Arial"/>
                <w:color w:val="323233"/>
                <w:sz w:val="18"/>
                <w:szCs w:val="18"/>
              </w:rPr>
              <w:t>“</w:t>
            </w:r>
            <w:r w:rsidRPr="006A6BA0">
              <w:rPr>
                <w:rFonts w:cs="Arial"/>
                <w:color w:val="323233"/>
                <w:sz w:val="18"/>
                <w:szCs w:val="18"/>
              </w:rPr>
              <w:t>.</w:t>
            </w:r>
          </w:p>
        </w:tc>
      </w:tr>
      <w:tr w:rsidR="00114953" w:rsidRPr="000C7C76" w14:paraId="0272B9D7" w14:textId="77777777" w:rsidTr="00BF3A72">
        <w:trPr>
          <w:gridAfter w:val="1"/>
          <w:wAfter w:w="38" w:type="dxa"/>
        </w:trPr>
        <w:tc>
          <w:tcPr>
            <w:tcW w:w="675" w:type="dxa"/>
          </w:tcPr>
          <w:p w14:paraId="125847D4" w14:textId="77777777" w:rsidR="00114953" w:rsidRPr="009027B6" w:rsidRDefault="00114953" w:rsidP="00BF3A72">
            <w:pPr>
              <w:jc w:val="center"/>
              <w:rPr>
                <w:rFonts w:cs="Arial"/>
                <w:color w:val="323233"/>
                <w:sz w:val="18"/>
                <w:szCs w:val="18"/>
              </w:rPr>
            </w:pPr>
            <w:r>
              <w:rPr>
                <w:rFonts w:cs="Arial"/>
                <w:color w:val="323233"/>
                <w:sz w:val="18"/>
                <w:szCs w:val="18"/>
              </w:rPr>
              <w:t>4.</w:t>
            </w:r>
          </w:p>
        </w:tc>
        <w:tc>
          <w:tcPr>
            <w:tcW w:w="3932" w:type="dxa"/>
          </w:tcPr>
          <w:p w14:paraId="5FC84836" w14:textId="77777777" w:rsidR="00114953" w:rsidRPr="009027B6" w:rsidRDefault="00114953" w:rsidP="00BF3A72">
            <w:pPr>
              <w:jc w:val="both"/>
              <w:rPr>
                <w:rFonts w:cs="Arial"/>
                <w:color w:val="323233"/>
                <w:sz w:val="18"/>
                <w:szCs w:val="18"/>
              </w:rPr>
            </w:pPr>
            <w:proofErr w:type="spellStart"/>
            <w:r>
              <w:rPr>
                <w:rFonts w:cs="Arial"/>
                <w:color w:val="323233"/>
                <w:sz w:val="18"/>
                <w:szCs w:val="18"/>
              </w:rPr>
              <w:t>Līgums</w:t>
            </w:r>
            <w:proofErr w:type="spellEnd"/>
            <w:r>
              <w:rPr>
                <w:rFonts w:cs="Arial"/>
                <w:color w:val="323233"/>
                <w:sz w:val="18"/>
                <w:szCs w:val="18"/>
              </w:rPr>
              <w:t xml:space="preserve"> </w:t>
            </w:r>
            <w:proofErr w:type="spellStart"/>
            <w:r>
              <w:rPr>
                <w:rFonts w:cs="Arial"/>
                <w:color w:val="323233"/>
                <w:sz w:val="18"/>
                <w:szCs w:val="18"/>
              </w:rPr>
              <w:t>starp</w:t>
            </w:r>
            <w:proofErr w:type="spellEnd"/>
            <w:r>
              <w:rPr>
                <w:rFonts w:cs="Arial"/>
                <w:color w:val="323233"/>
                <w:sz w:val="18"/>
                <w:szCs w:val="18"/>
              </w:rPr>
              <w:t xml:space="preserve"> </w:t>
            </w:r>
            <w:proofErr w:type="spellStart"/>
            <w:r>
              <w:rPr>
                <w:rFonts w:cs="Arial"/>
                <w:color w:val="323233"/>
                <w:sz w:val="18"/>
                <w:szCs w:val="18"/>
              </w:rPr>
              <w:t>Latviju</w:t>
            </w:r>
            <w:proofErr w:type="spellEnd"/>
            <w:r>
              <w:rPr>
                <w:rFonts w:cs="Arial"/>
                <w:color w:val="323233"/>
                <w:sz w:val="18"/>
                <w:szCs w:val="18"/>
              </w:rPr>
              <w:t xml:space="preserve"> </w:t>
            </w:r>
            <w:proofErr w:type="spellStart"/>
            <w:r>
              <w:rPr>
                <w:rFonts w:cs="Arial"/>
                <w:color w:val="323233"/>
                <w:sz w:val="18"/>
                <w:szCs w:val="18"/>
              </w:rPr>
              <w:t>un</w:t>
            </w:r>
            <w:proofErr w:type="spellEnd"/>
            <w:r>
              <w:rPr>
                <w:rFonts w:cs="Arial"/>
                <w:color w:val="323233"/>
                <w:sz w:val="18"/>
                <w:szCs w:val="18"/>
              </w:rPr>
              <w:t xml:space="preserve"> </w:t>
            </w:r>
            <w:proofErr w:type="spellStart"/>
            <w:r>
              <w:rPr>
                <w:rFonts w:cs="Arial"/>
                <w:color w:val="323233"/>
                <w:sz w:val="18"/>
                <w:szCs w:val="18"/>
              </w:rPr>
              <w:t>Poliju</w:t>
            </w:r>
            <w:proofErr w:type="spellEnd"/>
          </w:p>
        </w:tc>
        <w:tc>
          <w:tcPr>
            <w:tcW w:w="2302" w:type="dxa"/>
          </w:tcPr>
          <w:p w14:paraId="2187224D" w14:textId="77777777" w:rsidR="00114953" w:rsidRPr="009027B6" w:rsidRDefault="00114953" w:rsidP="00BF3A72">
            <w:pPr>
              <w:jc w:val="center"/>
              <w:rPr>
                <w:rFonts w:cs="Arial"/>
                <w:color w:val="323233"/>
                <w:sz w:val="18"/>
                <w:szCs w:val="18"/>
              </w:rPr>
            </w:pPr>
            <w:r>
              <w:rPr>
                <w:rFonts w:cs="Arial"/>
                <w:color w:val="323233"/>
                <w:sz w:val="18"/>
                <w:szCs w:val="18"/>
              </w:rPr>
              <w:t xml:space="preserve">39.panta </w:t>
            </w:r>
            <w:proofErr w:type="spellStart"/>
            <w:r>
              <w:rPr>
                <w:rFonts w:cs="Arial"/>
                <w:color w:val="323233"/>
                <w:sz w:val="18"/>
                <w:szCs w:val="18"/>
              </w:rPr>
              <w:t>pirmā</w:t>
            </w:r>
            <w:proofErr w:type="spellEnd"/>
            <w:r>
              <w:rPr>
                <w:rFonts w:cs="Arial"/>
                <w:color w:val="323233"/>
                <w:sz w:val="18"/>
                <w:szCs w:val="18"/>
              </w:rPr>
              <w:t xml:space="preserve"> </w:t>
            </w:r>
            <w:proofErr w:type="spellStart"/>
            <w:r>
              <w:rPr>
                <w:rFonts w:cs="Arial"/>
                <w:color w:val="323233"/>
                <w:sz w:val="18"/>
                <w:szCs w:val="18"/>
              </w:rPr>
              <w:t>daļa</w:t>
            </w:r>
            <w:proofErr w:type="spellEnd"/>
          </w:p>
        </w:tc>
        <w:tc>
          <w:tcPr>
            <w:tcW w:w="2302" w:type="dxa"/>
          </w:tcPr>
          <w:p w14:paraId="583B9FEA" w14:textId="77777777" w:rsidR="00114953" w:rsidRPr="009027B6" w:rsidRDefault="00114953" w:rsidP="00BF3A72">
            <w:pPr>
              <w:jc w:val="both"/>
              <w:rPr>
                <w:rFonts w:cs="Arial"/>
                <w:color w:val="323233"/>
                <w:sz w:val="18"/>
                <w:szCs w:val="18"/>
              </w:rPr>
            </w:pPr>
            <w:r>
              <w:rPr>
                <w:rFonts w:cs="Arial"/>
                <w:color w:val="323233"/>
                <w:sz w:val="18"/>
                <w:szCs w:val="18"/>
              </w:rPr>
              <w:t xml:space="preserve">„(1) </w:t>
            </w:r>
            <w:proofErr w:type="spellStart"/>
            <w:r>
              <w:rPr>
                <w:rFonts w:cs="Arial"/>
                <w:color w:val="323233"/>
                <w:sz w:val="18"/>
                <w:szCs w:val="18"/>
              </w:rPr>
              <w:t>Līgumiskās</w:t>
            </w:r>
            <w:proofErr w:type="spellEnd"/>
            <w:r>
              <w:rPr>
                <w:rFonts w:cs="Arial"/>
                <w:color w:val="323233"/>
                <w:sz w:val="18"/>
                <w:szCs w:val="18"/>
              </w:rPr>
              <w:t xml:space="preserve"> </w:t>
            </w:r>
            <w:proofErr w:type="spellStart"/>
            <w:r>
              <w:rPr>
                <w:rFonts w:cs="Arial"/>
                <w:color w:val="323233"/>
                <w:sz w:val="18"/>
                <w:szCs w:val="18"/>
              </w:rPr>
              <w:t>attiecības</w:t>
            </w:r>
            <w:proofErr w:type="spellEnd"/>
            <w:r>
              <w:rPr>
                <w:rFonts w:cs="Arial"/>
                <w:color w:val="323233"/>
                <w:sz w:val="18"/>
                <w:szCs w:val="18"/>
              </w:rPr>
              <w:t xml:space="preserve"> </w:t>
            </w:r>
            <w:proofErr w:type="spellStart"/>
            <w:r>
              <w:rPr>
                <w:rFonts w:cs="Arial"/>
                <w:color w:val="323233"/>
                <w:sz w:val="18"/>
                <w:szCs w:val="18"/>
              </w:rPr>
              <w:t>nosaka</w:t>
            </w:r>
            <w:proofErr w:type="spellEnd"/>
            <w:r>
              <w:rPr>
                <w:rFonts w:cs="Arial"/>
                <w:color w:val="323233"/>
                <w:sz w:val="18"/>
                <w:szCs w:val="18"/>
              </w:rPr>
              <w:t xml:space="preserve"> </w:t>
            </w:r>
            <w:proofErr w:type="spellStart"/>
            <w:r>
              <w:rPr>
                <w:rFonts w:cs="Arial"/>
                <w:color w:val="323233"/>
                <w:sz w:val="18"/>
                <w:szCs w:val="18"/>
              </w:rPr>
              <w:t>tās</w:t>
            </w:r>
            <w:proofErr w:type="spellEnd"/>
            <w:r>
              <w:rPr>
                <w:rFonts w:cs="Arial"/>
                <w:color w:val="323233"/>
                <w:sz w:val="18"/>
                <w:szCs w:val="18"/>
              </w:rPr>
              <w:t xml:space="preserve"> </w:t>
            </w:r>
            <w:proofErr w:type="spellStart"/>
            <w:r>
              <w:rPr>
                <w:rFonts w:cs="Arial"/>
                <w:color w:val="323233"/>
                <w:sz w:val="18"/>
                <w:szCs w:val="18"/>
              </w:rPr>
              <w:t>Līgumslēdzējas</w:t>
            </w:r>
            <w:proofErr w:type="spellEnd"/>
            <w:r>
              <w:rPr>
                <w:rFonts w:cs="Arial"/>
                <w:color w:val="323233"/>
                <w:sz w:val="18"/>
                <w:szCs w:val="18"/>
              </w:rPr>
              <w:t xml:space="preserve"> </w:t>
            </w:r>
            <w:proofErr w:type="spellStart"/>
            <w:r>
              <w:rPr>
                <w:rFonts w:cs="Arial"/>
                <w:color w:val="323233"/>
                <w:sz w:val="18"/>
                <w:szCs w:val="18"/>
              </w:rPr>
              <w:t>Puses</w:t>
            </w:r>
            <w:proofErr w:type="spellEnd"/>
            <w:r>
              <w:rPr>
                <w:rFonts w:cs="Arial"/>
                <w:color w:val="323233"/>
                <w:sz w:val="18"/>
                <w:szCs w:val="18"/>
              </w:rPr>
              <w:t xml:space="preserve"> </w:t>
            </w:r>
            <w:proofErr w:type="spellStart"/>
            <w:r>
              <w:rPr>
                <w:rFonts w:cs="Arial"/>
                <w:color w:val="323233"/>
                <w:sz w:val="18"/>
                <w:szCs w:val="18"/>
              </w:rPr>
              <w:t>likumdošana</w:t>
            </w:r>
            <w:proofErr w:type="spellEnd"/>
            <w:r>
              <w:rPr>
                <w:rFonts w:cs="Arial"/>
                <w:color w:val="323233"/>
                <w:sz w:val="18"/>
                <w:szCs w:val="18"/>
              </w:rPr>
              <w:t xml:space="preserve">, </w:t>
            </w:r>
            <w:proofErr w:type="spellStart"/>
            <w:r>
              <w:rPr>
                <w:rFonts w:cs="Arial"/>
                <w:color w:val="323233"/>
                <w:sz w:val="18"/>
                <w:szCs w:val="18"/>
              </w:rPr>
              <w:t>kuras</w:t>
            </w:r>
            <w:proofErr w:type="spellEnd"/>
            <w:r>
              <w:rPr>
                <w:rFonts w:cs="Arial"/>
                <w:color w:val="323233"/>
                <w:sz w:val="18"/>
                <w:szCs w:val="18"/>
              </w:rPr>
              <w:t xml:space="preserve"> </w:t>
            </w:r>
            <w:proofErr w:type="spellStart"/>
            <w:r>
              <w:rPr>
                <w:rFonts w:cs="Arial"/>
                <w:color w:val="323233"/>
                <w:sz w:val="18"/>
                <w:szCs w:val="18"/>
              </w:rPr>
              <w:t>teritorijā</w:t>
            </w:r>
            <w:proofErr w:type="spellEnd"/>
            <w:r>
              <w:rPr>
                <w:rFonts w:cs="Arial"/>
                <w:color w:val="323233"/>
                <w:sz w:val="18"/>
                <w:szCs w:val="18"/>
              </w:rPr>
              <w:t xml:space="preserve"> </w:t>
            </w:r>
            <w:proofErr w:type="spellStart"/>
            <w:r>
              <w:rPr>
                <w:rFonts w:cs="Arial"/>
                <w:color w:val="323233"/>
                <w:sz w:val="18"/>
                <w:szCs w:val="18"/>
              </w:rPr>
              <w:t>tika</w:t>
            </w:r>
            <w:proofErr w:type="spellEnd"/>
            <w:r>
              <w:rPr>
                <w:rFonts w:cs="Arial"/>
                <w:color w:val="323233"/>
                <w:sz w:val="18"/>
                <w:szCs w:val="18"/>
              </w:rPr>
              <w:t xml:space="preserve"> </w:t>
            </w:r>
            <w:proofErr w:type="spellStart"/>
            <w:r>
              <w:rPr>
                <w:rFonts w:cs="Arial"/>
                <w:color w:val="323233"/>
                <w:sz w:val="18"/>
                <w:szCs w:val="18"/>
              </w:rPr>
              <w:t>noslēgts</w:t>
            </w:r>
            <w:proofErr w:type="spellEnd"/>
            <w:r>
              <w:rPr>
                <w:rFonts w:cs="Arial"/>
                <w:color w:val="323233"/>
                <w:sz w:val="18"/>
                <w:szCs w:val="18"/>
              </w:rPr>
              <w:t xml:space="preserve"> </w:t>
            </w:r>
            <w:proofErr w:type="spellStart"/>
            <w:r>
              <w:rPr>
                <w:rFonts w:cs="Arial"/>
                <w:color w:val="323233"/>
                <w:sz w:val="18"/>
                <w:szCs w:val="18"/>
              </w:rPr>
              <w:t>līgums</w:t>
            </w:r>
            <w:proofErr w:type="spellEnd"/>
            <w:r>
              <w:rPr>
                <w:rFonts w:cs="Arial"/>
                <w:color w:val="323233"/>
                <w:sz w:val="18"/>
                <w:szCs w:val="18"/>
              </w:rPr>
              <w:t xml:space="preserve">, ja </w:t>
            </w:r>
            <w:proofErr w:type="spellStart"/>
            <w:r>
              <w:rPr>
                <w:rFonts w:cs="Arial"/>
                <w:color w:val="323233"/>
                <w:sz w:val="18"/>
                <w:szCs w:val="18"/>
              </w:rPr>
              <w:t>saistību</w:t>
            </w:r>
            <w:proofErr w:type="spellEnd"/>
            <w:r>
              <w:rPr>
                <w:rFonts w:cs="Arial"/>
                <w:color w:val="323233"/>
                <w:sz w:val="18"/>
                <w:szCs w:val="18"/>
              </w:rPr>
              <w:t xml:space="preserve"> </w:t>
            </w:r>
            <w:proofErr w:type="spellStart"/>
            <w:r>
              <w:rPr>
                <w:rFonts w:cs="Arial"/>
                <w:color w:val="323233"/>
                <w:sz w:val="18"/>
                <w:szCs w:val="18"/>
              </w:rPr>
              <w:t>attiecību</w:t>
            </w:r>
            <w:proofErr w:type="spellEnd"/>
            <w:r>
              <w:rPr>
                <w:rFonts w:cs="Arial"/>
                <w:color w:val="323233"/>
                <w:sz w:val="18"/>
                <w:szCs w:val="18"/>
              </w:rPr>
              <w:t xml:space="preserve"> </w:t>
            </w:r>
            <w:proofErr w:type="spellStart"/>
            <w:r>
              <w:rPr>
                <w:rFonts w:cs="Arial"/>
                <w:color w:val="323233"/>
                <w:sz w:val="18"/>
                <w:szCs w:val="18"/>
              </w:rPr>
              <w:t>dalībnieki</w:t>
            </w:r>
            <w:proofErr w:type="spellEnd"/>
            <w:r>
              <w:rPr>
                <w:rFonts w:cs="Arial"/>
                <w:color w:val="323233"/>
                <w:sz w:val="18"/>
                <w:szCs w:val="18"/>
              </w:rPr>
              <w:t xml:space="preserve"> </w:t>
            </w:r>
            <w:proofErr w:type="spellStart"/>
            <w:r>
              <w:rPr>
                <w:rFonts w:cs="Arial"/>
                <w:color w:val="323233"/>
                <w:sz w:val="18"/>
                <w:szCs w:val="18"/>
              </w:rPr>
              <w:t>nepakļaujas</w:t>
            </w:r>
            <w:proofErr w:type="spellEnd"/>
            <w:r>
              <w:rPr>
                <w:rFonts w:cs="Arial"/>
                <w:color w:val="323233"/>
                <w:sz w:val="18"/>
                <w:szCs w:val="18"/>
              </w:rPr>
              <w:t xml:space="preserve"> </w:t>
            </w:r>
            <w:proofErr w:type="spellStart"/>
            <w:r>
              <w:rPr>
                <w:rFonts w:cs="Arial"/>
                <w:color w:val="323233"/>
                <w:sz w:val="18"/>
                <w:szCs w:val="18"/>
              </w:rPr>
              <w:t>tai</w:t>
            </w:r>
            <w:proofErr w:type="spellEnd"/>
            <w:r>
              <w:rPr>
                <w:rFonts w:cs="Arial"/>
                <w:color w:val="323233"/>
                <w:sz w:val="18"/>
                <w:szCs w:val="18"/>
              </w:rPr>
              <w:t xml:space="preserve"> </w:t>
            </w:r>
            <w:proofErr w:type="spellStart"/>
            <w:r>
              <w:rPr>
                <w:rFonts w:cs="Arial"/>
                <w:color w:val="323233"/>
                <w:sz w:val="18"/>
                <w:szCs w:val="18"/>
              </w:rPr>
              <w:t>likumdošanai</w:t>
            </w:r>
            <w:proofErr w:type="spellEnd"/>
            <w:r>
              <w:rPr>
                <w:rFonts w:cs="Arial"/>
                <w:color w:val="323233"/>
                <w:sz w:val="18"/>
                <w:szCs w:val="18"/>
              </w:rPr>
              <w:t xml:space="preserve">, </w:t>
            </w:r>
            <w:proofErr w:type="spellStart"/>
            <w:r>
              <w:rPr>
                <w:rFonts w:cs="Arial"/>
                <w:color w:val="323233"/>
                <w:sz w:val="18"/>
                <w:szCs w:val="18"/>
              </w:rPr>
              <w:t>kuru</w:t>
            </w:r>
            <w:proofErr w:type="spellEnd"/>
            <w:r>
              <w:rPr>
                <w:rFonts w:cs="Arial"/>
                <w:color w:val="323233"/>
                <w:sz w:val="18"/>
                <w:szCs w:val="18"/>
              </w:rPr>
              <w:t xml:space="preserve"> </w:t>
            </w:r>
            <w:proofErr w:type="spellStart"/>
            <w:r>
              <w:rPr>
                <w:rFonts w:cs="Arial"/>
                <w:color w:val="323233"/>
                <w:sz w:val="18"/>
                <w:szCs w:val="18"/>
              </w:rPr>
              <w:t>izvēlējušies</w:t>
            </w:r>
            <w:proofErr w:type="spellEnd"/>
            <w:r>
              <w:rPr>
                <w:rFonts w:cs="Arial"/>
                <w:color w:val="323233"/>
                <w:sz w:val="18"/>
                <w:szCs w:val="18"/>
              </w:rPr>
              <w:t xml:space="preserve"> </w:t>
            </w:r>
            <w:proofErr w:type="spellStart"/>
            <w:r>
              <w:rPr>
                <w:rFonts w:cs="Arial"/>
                <w:color w:val="323233"/>
                <w:sz w:val="18"/>
                <w:szCs w:val="18"/>
              </w:rPr>
              <w:t>paši</w:t>
            </w:r>
            <w:proofErr w:type="spellEnd"/>
            <w:r>
              <w:rPr>
                <w:rFonts w:cs="Arial"/>
                <w:color w:val="323233"/>
                <w:sz w:val="18"/>
                <w:szCs w:val="18"/>
              </w:rPr>
              <w:t>“.</w:t>
            </w:r>
          </w:p>
        </w:tc>
      </w:tr>
      <w:tr w:rsidR="00114953" w:rsidRPr="000C7C76" w14:paraId="0C412F54" w14:textId="77777777" w:rsidTr="00BF3A72">
        <w:trPr>
          <w:gridAfter w:val="1"/>
          <w:wAfter w:w="38" w:type="dxa"/>
        </w:trPr>
        <w:tc>
          <w:tcPr>
            <w:tcW w:w="675" w:type="dxa"/>
          </w:tcPr>
          <w:p w14:paraId="06501AD1" w14:textId="77777777" w:rsidR="00114953" w:rsidRPr="009027B6" w:rsidRDefault="00114953" w:rsidP="00BF3A72">
            <w:pPr>
              <w:jc w:val="center"/>
              <w:rPr>
                <w:rFonts w:cs="Arial"/>
                <w:color w:val="323233"/>
                <w:sz w:val="18"/>
                <w:szCs w:val="18"/>
              </w:rPr>
            </w:pPr>
            <w:r>
              <w:rPr>
                <w:rFonts w:cs="Arial"/>
                <w:color w:val="323233"/>
                <w:sz w:val="18"/>
                <w:szCs w:val="18"/>
              </w:rPr>
              <w:t>5.</w:t>
            </w:r>
          </w:p>
        </w:tc>
        <w:tc>
          <w:tcPr>
            <w:tcW w:w="3932" w:type="dxa"/>
          </w:tcPr>
          <w:p w14:paraId="4A216FC3" w14:textId="77777777" w:rsidR="00114953" w:rsidRPr="009027B6" w:rsidRDefault="00114953" w:rsidP="00BF3A72">
            <w:pPr>
              <w:jc w:val="both"/>
              <w:rPr>
                <w:rFonts w:cs="Arial"/>
                <w:color w:val="323233"/>
                <w:sz w:val="18"/>
                <w:szCs w:val="18"/>
              </w:rPr>
            </w:pPr>
            <w:proofErr w:type="spellStart"/>
            <w:r>
              <w:rPr>
                <w:rFonts w:cs="Arial"/>
                <w:color w:val="323233"/>
                <w:sz w:val="18"/>
                <w:szCs w:val="18"/>
              </w:rPr>
              <w:t>Līgums</w:t>
            </w:r>
            <w:proofErr w:type="spellEnd"/>
            <w:r>
              <w:rPr>
                <w:rFonts w:cs="Arial"/>
                <w:color w:val="323233"/>
                <w:sz w:val="18"/>
                <w:szCs w:val="18"/>
              </w:rPr>
              <w:t xml:space="preserve"> </w:t>
            </w:r>
            <w:proofErr w:type="spellStart"/>
            <w:r>
              <w:rPr>
                <w:rFonts w:cs="Arial"/>
                <w:color w:val="323233"/>
                <w:sz w:val="18"/>
                <w:szCs w:val="18"/>
              </w:rPr>
              <w:t>starp</w:t>
            </w:r>
            <w:proofErr w:type="spellEnd"/>
            <w:r>
              <w:rPr>
                <w:rFonts w:cs="Arial"/>
                <w:color w:val="323233"/>
                <w:sz w:val="18"/>
                <w:szCs w:val="18"/>
              </w:rPr>
              <w:t xml:space="preserve"> </w:t>
            </w:r>
            <w:proofErr w:type="spellStart"/>
            <w:r>
              <w:rPr>
                <w:rFonts w:cs="Arial"/>
                <w:color w:val="323233"/>
                <w:sz w:val="18"/>
                <w:szCs w:val="18"/>
              </w:rPr>
              <w:t>Latviju</w:t>
            </w:r>
            <w:proofErr w:type="spellEnd"/>
            <w:r>
              <w:rPr>
                <w:rFonts w:cs="Arial"/>
                <w:color w:val="323233"/>
                <w:sz w:val="18"/>
                <w:szCs w:val="18"/>
              </w:rPr>
              <w:t xml:space="preserve"> </w:t>
            </w:r>
            <w:proofErr w:type="spellStart"/>
            <w:r>
              <w:rPr>
                <w:rFonts w:cs="Arial"/>
                <w:color w:val="323233"/>
                <w:sz w:val="18"/>
                <w:szCs w:val="18"/>
              </w:rPr>
              <w:t>un</w:t>
            </w:r>
            <w:proofErr w:type="spellEnd"/>
            <w:r>
              <w:rPr>
                <w:rFonts w:cs="Arial"/>
                <w:color w:val="323233"/>
                <w:sz w:val="18"/>
                <w:szCs w:val="18"/>
              </w:rPr>
              <w:t xml:space="preserve"> </w:t>
            </w:r>
            <w:proofErr w:type="spellStart"/>
            <w:r>
              <w:rPr>
                <w:rFonts w:cs="Arial"/>
                <w:color w:val="323233"/>
                <w:sz w:val="18"/>
                <w:szCs w:val="18"/>
              </w:rPr>
              <w:t>Ukrainu</w:t>
            </w:r>
            <w:proofErr w:type="spellEnd"/>
          </w:p>
        </w:tc>
        <w:tc>
          <w:tcPr>
            <w:tcW w:w="2302" w:type="dxa"/>
          </w:tcPr>
          <w:p w14:paraId="7FC96045" w14:textId="77777777" w:rsidR="00114953" w:rsidRPr="009027B6" w:rsidRDefault="00114953" w:rsidP="00BF3A72">
            <w:pPr>
              <w:jc w:val="center"/>
              <w:rPr>
                <w:rFonts w:cs="Arial"/>
                <w:color w:val="323233"/>
                <w:sz w:val="18"/>
                <w:szCs w:val="18"/>
              </w:rPr>
            </w:pPr>
            <w:r>
              <w:rPr>
                <w:rFonts w:cs="Arial"/>
                <w:color w:val="323233"/>
                <w:sz w:val="18"/>
                <w:szCs w:val="18"/>
              </w:rPr>
              <w:t xml:space="preserve">32.panta </w:t>
            </w:r>
            <w:proofErr w:type="spellStart"/>
            <w:r>
              <w:rPr>
                <w:rFonts w:cs="Arial"/>
                <w:color w:val="323233"/>
                <w:sz w:val="18"/>
                <w:szCs w:val="18"/>
              </w:rPr>
              <w:t>pirmā</w:t>
            </w:r>
            <w:proofErr w:type="spellEnd"/>
            <w:r>
              <w:rPr>
                <w:rFonts w:cs="Arial"/>
                <w:color w:val="323233"/>
                <w:sz w:val="18"/>
                <w:szCs w:val="18"/>
              </w:rPr>
              <w:t xml:space="preserve"> </w:t>
            </w:r>
            <w:proofErr w:type="spellStart"/>
            <w:r>
              <w:rPr>
                <w:rFonts w:cs="Arial"/>
                <w:color w:val="323233"/>
                <w:sz w:val="18"/>
                <w:szCs w:val="18"/>
              </w:rPr>
              <w:t>daļa</w:t>
            </w:r>
            <w:proofErr w:type="spellEnd"/>
          </w:p>
        </w:tc>
        <w:tc>
          <w:tcPr>
            <w:tcW w:w="2302" w:type="dxa"/>
          </w:tcPr>
          <w:p w14:paraId="6B7F432E" w14:textId="77777777" w:rsidR="00114953" w:rsidRPr="009027B6" w:rsidRDefault="00114953" w:rsidP="00BF3A72">
            <w:pPr>
              <w:jc w:val="both"/>
              <w:rPr>
                <w:rFonts w:cs="Arial"/>
                <w:color w:val="323233"/>
                <w:sz w:val="18"/>
                <w:szCs w:val="18"/>
              </w:rPr>
            </w:pPr>
            <w:r>
              <w:rPr>
                <w:rFonts w:cs="Arial"/>
                <w:color w:val="323233"/>
                <w:sz w:val="18"/>
                <w:szCs w:val="18"/>
              </w:rPr>
              <w:t xml:space="preserve">„(1) </w:t>
            </w:r>
            <w:proofErr w:type="spellStart"/>
            <w:r>
              <w:rPr>
                <w:rFonts w:cs="Arial"/>
                <w:color w:val="323233"/>
                <w:sz w:val="18"/>
                <w:szCs w:val="18"/>
              </w:rPr>
              <w:t>Līgumiskās</w:t>
            </w:r>
            <w:proofErr w:type="spellEnd"/>
            <w:r>
              <w:rPr>
                <w:rFonts w:cs="Arial"/>
                <w:color w:val="323233"/>
                <w:sz w:val="18"/>
                <w:szCs w:val="18"/>
              </w:rPr>
              <w:t xml:space="preserve"> </w:t>
            </w:r>
            <w:proofErr w:type="spellStart"/>
            <w:r>
              <w:rPr>
                <w:rFonts w:cs="Arial"/>
                <w:color w:val="323233"/>
                <w:sz w:val="18"/>
                <w:szCs w:val="18"/>
              </w:rPr>
              <w:t>attiecības</w:t>
            </w:r>
            <w:proofErr w:type="spellEnd"/>
            <w:r>
              <w:rPr>
                <w:rFonts w:cs="Arial"/>
                <w:color w:val="323233"/>
                <w:sz w:val="18"/>
                <w:szCs w:val="18"/>
              </w:rPr>
              <w:t xml:space="preserve"> </w:t>
            </w:r>
            <w:proofErr w:type="spellStart"/>
            <w:r>
              <w:rPr>
                <w:rFonts w:cs="Arial"/>
                <w:color w:val="323233"/>
                <w:sz w:val="18"/>
                <w:szCs w:val="18"/>
              </w:rPr>
              <w:lastRenderedPageBreak/>
              <w:t>nosaka</w:t>
            </w:r>
            <w:proofErr w:type="spellEnd"/>
            <w:r>
              <w:rPr>
                <w:rFonts w:cs="Arial"/>
                <w:color w:val="323233"/>
                <w:sz w:val="18"/>
                <w:szCs w:val="18"/>
              </w:rPr>
              <w:t xml:space="preserve"> </w:t>
            </w:r>
            <w:proofErr w:type="spellStart"/>
            <w:r>
              <w:rPr>
                <w:rFonts w:cs="Arial"/>
                <w:color w:val="323233"/>
                <w:sz w:val="18"/>
                <w:szCs w:val="18"/>
              </w:rPr>
              <w:t>tās</w:t>
            </w:r>
            <w:proofErr w:type="spellEnd"/>
            <w:r>
              <w:rPr>
                <w:rFonts w:cs="Arial"/>
                <w:color w:val="323233"/>
                <w:sz w:val="18"/>
                <w:szCs w:val="18"/>
              </w:rPr>
              <w:t xml:space="preserve"> </w:t>
            </w:r>
            <w:proofErr w:type="spellStart"/>
            <w:r>
              <w:rPr>
                <w:rFonts w:cs="Arial"/>
                <w:color w:val="323233"/>
                <w:sz w:val="18"/>
                <w:szCs w:val="18"/>
              </w:rPr>
              <w:t>Līgumslēdzējas</w:t>
            </w:r>
            <w:proofErr w:type="spellEnd"/>
            <w:r>
              <w:rPr>
                <w:rFonts w:cs="Arial"/>
                <w:color w:val="323233"/>
                <w:sz w:val="18"/>
                <w:szCs w:val="18"/>
              </w:rPr>
              <w:t xml:space="preserve"> </w:t>
            </w:r>
            <w:proofErr w:type="spellStart"/>
            <w:r>
              <w:rPr>
                <w:rFonts w:cs="Arial"/>
                <w:color w:val="323233"/>
                <w:sz w:val="18"/>
                <w:szCs w:val="18"/>
              </w:rPr>
              <w:t>Puses</w:t>
            </w:r>
            <w:proofErr w:type="spellEnd"/>
            <w:r>
              <w:rPr>
                <w:rFonts w:cs="Arial"/>
                <w:color w:val="323233"/>
                <w:sz w:val="18"/>
                <w:szCs w:val="18"/>
              </w:rPr>
              <w:t xml:space="preserve"> </w:t>
            </w:r>
            <w:proofErr w:type="spellStart"/>
            <w:r>
              <w:rPr>
                <w:rFonts w:cs="Arial"/>
                <w:color w:val="323233"/>
                <w:sz w:val="18"/>
                <w:szCs w:val="18"/>
              </w:rPr>
              <w:t>likumdošana</w:t>
            </w:r>
            <w:proofErr w:type="spellEnd"/>
            <w:r>
              <w:rPr>
                <w:rFonts w:cs="Arial"/>
                <w:color w:val="323233"/>
                <w:sz w:val="18"/>
                <w:szCs w:val="18"/>
              </w:rPr>
              <w:t xml:space="preserve">, </w:t>
            </w:r>
            <w:proofErr w:type="spellStart"/>
            <w:r>
              <w:rPr>
                <w:rFonts w:cs="Arial"/>
                <w:color w:val="323233"/>
                <w:sz w:val="18"/>
                <w:szCs w:val="18"/>
              </w:rPr>
              <w:t>kuras</w:t>
            </w:r>
            <w:proofErr w:type="spellEnd"/>
            <w:r>
              <w:rPr>
                <w:rFonts w:cs="Arial"/>
                <w:color w:val="323233"/>
                <w:sz w:val="18"/>
                <w:szCs w:val="18"/>
              </w:rPr>
              <w:t xml:space="preserve"> </w:t>
            </w:r>
            <w:proofErr w:type="spellStart"/>
            <w:r>
              <w:rPr>
                <w:rFonts w:cs="Arial"/>
                <w:color w:val="323233"/>
                <w:sz w:val="18"/>
                <w:szCs w:val="18"/>
              </w:rPr>
              <w:t>teritorijā</w:t>
            </w:r>
            <w:proofErr w:type="spellEnd"/>
            <w:r>
              <w:rPr>
                <w:rFonts w:cs="Arial"/>
                <w:color w:val="323233"/>
                <w:sz w:val="18"/>
                <w:szCs w:val="18"/>
              </w:rPr>
              <w:t xml:space="preserve"> </w:t>
            </w:r>
            <w:proofErr w:type="spellStart"/>
            <w:r>
              <w:rPr>
                <w:rFonts w:cs="Arial"/>
                <w:color w:val="323233"/>
                <w:sz w:val="18"/>
                <w:szCs w:val="18"/>
              </w:rPr>
              <w:t>līgums</w:t>
            </w:r>
            <w:proofErr w:type="spellEnd"/>
            <w:r>
              <w:rPr>
                <w:rFonts w:cs="Arial"/>
                <w:color w:val="323233"/>
                <w:sz w:val="18"/>
                <w:szCs w:val="18"/>
              </w:rPr>
              <w:t xml:space="preserve"> </w:t>
            </w:r>
            <w:proofErr w:type="spellStart"/>
            <w:r>
              <w:rPr>
                <w:rFonts w:cs="Arial"/>
                <w:color w:val="323233"/>
                <w:sz w:val="18"/>
                <w:szCs w:val="18"/>
              </w:rPr>
              <w:t>tika</w:t>
            </w:r>
            <w:proofErr w:type="spellEnd"/>
            <w:r>
              <w:rPr>
                <w:rFonts w:cs="Arial"/>
                <w:color w:val="323233"/>
                <w:sz w:val="18"/>
                <w:szCs w:val="18"/>
              </w:rPr>
              <w:t xml:space="preserve"> </w:t>
            </w:r>
            <w:proofErr w:type="spellStart"/>
            <w:r>
              <w:rPr>
                <w:rFonts w:cs="Arial"/>
                <w:color w:val="323233"/>
                <w:sz w:val="18"/>
                <w:szCs w:val="18"/>
              </w:rPr>
              <w:t>noslēgts</w:t>
            </w:r>
            <w:proofErr w:type="spellEnd"/>
            <w:r>
              <w:rPr>
                <w:rFonts w:cs="Arial"/>
                <w:color w:val="323233"/>
                <w:sz w:val="18"/>
                <w:szCs w:val="18"/>
              </w:rPr>
              <w:t xml:space="preserve">, ja </w:t>
            </w:r>
            <w:proofErr w:type="spellStart"/>
            <w:r>
              <w:rPr>
                <w:rFonts w:cs="Arial"/>
                <w:color w:val="323233"/>
                <w:sz w:val="18"/>
                <w:szCs w:val="18"/>
              </w:rPr>
              <w:t>saistību</w:t>
            </w:r>
            <w:proofErr w:type="spellEnd"/>
            <w:r>
              <w:rPr>
                <w:rFonts w:cs="Arial"/>
                <w:color w:val="323233"/>
                <w:sz w:val="18"/>
                <w:szCs w:val="18"/>
              </w:rPr>
              <w:t xml:space="preserve"> </w:t>
            </w:r>
            <w:proofErr w:type="spellStart"/>
            <w:r>
              <w:rPr>
                <w:rFonts w:cs="Arial"/>
                <w:color w:val="323233"/>
                <w:sz w:val="18"/>
                <w:szCs w:val="18"/>
              </w:rPr>
              <w:t>dalībnieki</w:t>
            </w:r>
            <w:proofErr w:type="spellEnd"/>
            <w:r>
              <w:rPr>
                <w:rFonts w:cs="Arial"/>
                <w:color w:val="323233"/>
                <w:sz w:val="18"/>
                <w:szCs w:val="18"/>
              </w:rPr>
              <w:t xml:space="preserve"> </w:t>
            </w:r>
            <w:proofErr w:type="spellStart"/>
            <w:r>
              <w:rPr>
                <w:rFonts w:cs="Arial"/>
                <w:color w:val="323233"/>
                <w:sz w:val="18"/>
                <w:szCs w:val="18"/>
              </w:rPr>
              <w:t>nepakļaujas</w:t>
            </w:r>
            <w:proofErr w:type="spellEnd"/>
            <w:r>
              <w:rPr>
                <w:rFonts w:cs="Arial"/>
                <w:color w:val="323233"/>
                <w:sz w:val="18"/>
                <w:szCs w:val="18"/>
              </w:rPr>
              <w:t xml:space="preserve"> </w:t>
            </w:r>
            <w:proofErr w:type="spellStart"/>
            <w:r>
              <w:rPr>
                <w:rFonts w:cs="Arial"/>
                <w:color w:val="323233"/>
                <w:sz w:val="18"/>
                <w:szCs w:val="18"/>
              </w:rPr>
              <w:t>likumdošanai</w:t>
            </w:r>
            <w:proofErr w:type="spellEnd"/>
            <w:r>
              <w:rPr>
                <w:rFonts w:cs="Arial"/>
                <w:color w:val="323233"/>
                <w:sz w:val="18"/>
                <w:szCs w:val="18"/>
              </w:rPr>
              <w:t xml:space="preserve">, </w:t>
            </w:r>
            <w:proofErr w:type="spellStart"/>
            <w:r>
              <w:rPr>
                <w:rFonts w:cs="Arial"/>
                <w:color w:val="323233"/>
                <w:sz w:val="18"/>
                <w:szCs w:val="18"/>
              </w:rPr>
              <w:t>kuru</w:t>
            </w:r>
            <w:proofErr w:type="spellEnd"/>
            <w:r>
              <w:rPr>
                <w:rFonts w:cs="Arial"/>
                <w:color w:val="323233"/>
                <w:sz w:val="18"/>
                <w:szCs w:val="18"/>
              </w:rPr>
              <w:t xml:space="preserve"> </w:t>
            </w:r>
            <w:proofErr w:type="spellStart"/>
            <w:r>
              <w:rPr>
                <w:rFonts w:cs="Arial"/>
                <w:color w:val="323233"/>
                <w:sz w:val="18"/>
                <w:szCs w:val="18"/>
              </w:rPr>
              <w:t>izvēlējušies</w:t>
            </w:r>
            <w:proofErr w:type="spellEnd"/>
            <w:r>
              <w:rPr>
                <w:rFonts w:cs="Arial"/>
                <w:color w:val="323233"/>
                <w:sz w:val="18"/>
                <w:szCs w:val="18"/>
              </w:rPr>
              <w:t xml:space="preserve"> </w:t>
            </w:r>
            <w:proofErr w:type="spellStart"/>
            <w:r>
              <w:rPr>
                <w:rFonts w:cs="Arial"/>
                <w:color w:val="323233"/>
                <w:sz w:val="18"/>
                <w:szCs w:val="18"/>
              </w:rPr>
              <w:t>paši</w:t>
            </w:r>
            <w:proofErr w:type="spellEnd"/>
            <w:r>
              <w:rPr>
                <w:rFonts w:cs="Arial"/>
                <w:color w:val="323233"/>
                <w:sz w:val="18"/>
                <w:szCs w:val="18"/>
              </w:rPr>
              <w:t>“.</w:t>
            </w:r>
          </w:p>
        </w:tc>
      </w:tr>
      <w:tr w:rsidR="00114953" w:rsidRPr="000C7C76" w14:paraId="445133B9" w14:textId="77777777" w:rsidTr="00BF3A72">
        <w:trPr>
          <w:gridAfter w:val="1"/>
          <w:wAfter w:w="38" w:type="dxa"/>
        </w:trPr>
        <w:tc>
          <w:tcPr>
            <w:tcW w:w="675" w:type="dxa"/>
          </w:tcPr>
          <w:p w14:paraId="3BC1677B" w14:textId="77777777" w:rsidR="00114953" w:rsidRPr="009027B6" w:rsidRDefault="00114953" w:rsidP="00BF3A72">
            <w:pPr>
              <w:jc w:val="center"/>
              <w:rPr>
                <w:rFonts w:cs="Arial"/>
                <w:color w:val="323233"/>
                <w:sz w:val="18"/>
                <w:szCs w:val="18"/>
              </w:rPr>
            </w:pPr>
            <w:r>
              <w:rPr>
                <w:rFonts w:cs="Arial"/>
                <w:color w:val="323233"/>
                <w:sz w:val="18"/>
                <w:szCs w:val="18"/>
              </w:rPr>
              <w:lastRenderedPageBreak/>
              <w:t>6.</w:t>
            </w:r>
          </w:p>
        </w:tc>
        <w:tc>
          <w:tcPr>
            <w:tcW w:w="3932" w:type="dxa"/>
          </w:tcPr>
          <w:p w14:paraId="05ABBBD8" w14:textId="77777777" w:rsidR="00114953" w:rsidRPr="009027B6" w:rsidRDefault="00114953" w:rsidP="00BF3A72">
            <w:pPr>
              <w:jc w:val="both"/>
              <w:rPr>
                <w:rFonts w:cs="Arial"/>
                <w:color w:val="323233"/>
                <w:sz w:val="18"/>
                <w:szCs w:val="18"/>
              </w:rPr>
            </w:pPr>
            <w:proofErr w:type="spellStart"/>
            <w:r>
              <w:rPr>
                <w:rFonts w:cs="Arial"/>
                <w:color w:val="323233"/>
                <w:sz w:val="18"/>
                <w:szCs w:val="18"/>
              </w:rPr>
              <w:t>Līgums</w:t>
            </w:r>
            <w:proofErr w:type="spellEnd"/>
            <w:r>
              <w:rPr>
                <w:rFonts w:cs="Arial"/>
                <w:color w:val="323233"/>
                <w:sz w:val="18"/>
                <w:szCs w:val="18"/>
              </w:rPr>
              <w:t xml:space="preserve"> </w:t>
            </w:r>
            <w:proofErr w:type="spellStart"/>
            <w:r>
              <w:rPr>
                <w:rFonts w:cs="Arial"/>
                <w:color w:val="323233"/>
                <w:sz w:val="18"/>
                <w:szCs w:val="18"/>
              </w:rPr>
              <w:t>starp</w:t>
            </w:r>
            <w:proofErr w:type="spellEnd"/>
            <w:r>
              <w:rPr>
                <w:rFonts w:cs="Arial"/>
                <w:color w:val="323233"/>
                <w:sz w:val="18"/>
                <w:szCs w:val="18"/>
              </w:rPr>
              <w:t xml:space="preserve"> </w:t>
            </w:r>
            <w:proofErr w:type="spellStart"/>
            <w:r>
              <w:rPr>
                <w:rFonts w:cs="Arial"/>
                <w:color w:val="323233"/>
                <w:sz w:val="18"/>
                <w:szCs w:val="18"/>
              </w:rPr>
              <w:t>Latviju</w:t>
            </w:r>
            <w:proofErr w:type="spellEnd"/>
            <w:r>
              <w:rPr>
                <w:rFonts w:cs="Arial"/>
                <w:color w:val="323233"/>
                <w:sz w:val="18"/>
                <w:szCs w:val="18"/>
              </w:rPr>
              <w:t xml:space="preserve"> </w:t>
            </w:r>
            <w:proofErr w:type="spellStart"/>
            <w:r>
              <w:rPr>
                <w:rFonts w:cs="Arial"/>
                <w:color w:val="323233"/>
                <w:sz w:val="18"/>
                <w:szCs w:val="18"/>
              </w:rPr>
              <w:t>un</w:t>
            </w:r>
            <w:proofErr w:type="spellEnd"/>
            <w:r>
              <w:rPr>
                <w:rFonts w:cs="Arial"/>
                <w:color w:val="323233"/>
                <w:sz w:val="18"/>
                <w:szCs w:val="18"/>
              </w:rPr>
              <w:t xml:space="preserve"> </w:t>
            </w:r>
            <w:proofErr w:type="spellStart"/>
            <w:r>
              <w:rPr>
                <w:rFonts w:cs="Arial"/>
                <w:color w:val="323233"/>
                <w:sz w:val="18"/>
                <w:szCs w:val="18"/>
              </w:rPr>
              <w:t>Uzbekistānu</w:t>
            </w:r>
            <w:proofErr w:type="spellEnd"/>
          </w:p>
        </w:tc>
        <w:tc>
          <w:tcPr>
            <w:tcW w:w="2302" w:type="dxa"/>
          </w:tcPr>
          <w:p w14:paraId="2851FF00" w14:textId="77777777" w:rsidR="00114953" w:rsidRPr="009027B6" w:rsidRDefault="00114953" w:rsidP="00BF3A72">
            <w:pPr>
              <w:jc w:val="center"/>
              <w:rPr>
                <w:rFonts w:cs="Arial"/>
                <w:color w:val="323233"/>
                <w:sz w:val="18"/>
                <w:szCs w:val="18"/>
              </w:rPr>
            </w:pPr>
            <w:r>
              <w:rPr>
                <w:rFonts w:cs="Arial"/>
                <w:color w:val="323233"/>
                <w:sz w:val="18"/>
                <w:szCs w:val="18"/>
              </w:rPr>
              <w:t xml:space="preserve">33.panta </w:t>
            </w:r>
            <w:proofErr w:type="spellStart"/>
            <w:r>
              <w:rPr>
                <w:rFonts w:cs="Arial"/>
                <w:color w:val="323233"/>
                <w:sz w:val="18"/>
                <w:szCs w:val="18"/>
              </w:rPr>
              <w:t>pirmā</w:t>
            </w:r>
            <w:proofErr w:type="spellEnd"/>
            <w:r>
              <w:rPr>
                <w:rFonts w:cs="Arial"/>
                <w:color w:val="323233"/>
                <w:sz w:val="18"/>
                <w:szCs w:val="18"/>
              </w:rPr>
              <w:t xml:space="preserve"> </w:t>
            </w:r>
            <w:proofErr w:type="spellStart"/>
            <w:r>
              <w:rPr>
                <w:rFonts w:cs="Arial"/>
                <w:color w:val="323233"/>
                <w:sz w:val="18"/>
                <w:szCs w:val="18"/>
              </w:rPr>
              <w:t>daļa</w:t>
            </w:r>
            <w:proofErr w:type="spellEnd"/>
          </w:p>
        </w:tc>
        <w:tc>
          <w:tcPr>
            <w:tcW w:w="2302" w:type="dxa"/>
          </w:tcPr>
          <w:p w14:paraId="6CB058F2" w14:textId="77777777" w:rsidR="00114953" w:rsidRPr="009027B6" w:rsidRDefault="00114953" w:rsidP="00BF3A72">
            <w:pPr>
              <w:jc w:val="both"/>
              <w:rPr>
                <w:rFonts w:cs="Arial"/>
                <w:color w:val="323233"/>
                <w:sz w:val="18"/>
                <w:szCs w:val="18"/>
              </w:rPr>
            </w:pPr>
            <w:r>
              <w:rPr>
                <w:rFonts w:cs="Arial"/>
                <w:color w:val="323233"/>
                <w:sz w:val="18"/>
                <w:szCs w:val="18"/>
              </w:rPr>
              <w:t xml:space="preserve">„(1) </w:t>
            </w:r>
            <w:proofErr w:type="spellStart"/>
            <w:r>
              <w:rPr>
                <w:rFonts w:cs="Arial"/>
                <w:color w:val="323233"/>
                <w:sz w:val="18"/>
                <w:szCs w:val="18"/>
              </w:rPr>
              <w:t>Līgumiskās</w:t>
            </w:r>
            <w:proofErr w:type="spellEnd"/>
            <w:r>
              <w:rPr>
                <w:rFonts w:cs="Arial"/>
                <w:color w:val="323233"/>
                <w:sz w:val="18"/>
                <w:szCs w:val="18"/>
              </w:rPr>
              <w:t xml:space="preserve"> </w:t>
            </w:r>
            <w:proofErr w:type="spellStart"/>
            <w:r>
              <w:rPr>
                <w:rFonts w:cs="Arial"/>
                <w:color w:val="323233"/>
                <w:sz w:val="18"/>
                <w:szCs w:val="18"/>
              </w:rPr>
              <w:t>attiecības</w:t>
            </w:r>
            <w:proofErr w:type="spellEnd"/>
            <w:r>
              <w:rPr>
                <w:rFonts w:cs="Arial"/>
                <w:color w:val="323233"/>
                <w:sz w:val="18"/>
                <w:szCs w:val="18"/>
              </w:rPr>
              <w:t xml:space="preserve"> </w:t>
            </w:r>
            <w:proofErr w:type="spellStart"/>
            <w:r>
              <w:rPr>
                <w:rFonts w:cs="Arial"/>
                <w:color w:val="323233"/>
                <w:sz w:val="18"/>
                <w:szCs w:val="18"/>
              </w:rPr>
              <w:t>nosaka</w:t>
            </w:r>
            <w:proofErr w:type="spellEnd"/>
            <w:r>
              <w:rPr>
                <w:rFonts w:cs="Arial"/>
                <w:color w:val="323233"/>
                <w:sz w:val="18"/>
                <w:szCs w:val="18"/>
              </w:rPr>
              <w:t xml:space="preserve"> </w:t>
            </w:r>
            <w:proofErr w:type="spellStart"/>
            <w:r>
              <w:rPr>
                <w:rFonts w:cs="Arial"/>
                <w:color w:val="323233"/>
                <w:sz w:val="18"/>
                <w:szCs w:val="18"/>
              </w:rPr>
              <w:t>tās</w:t>
            </w:r>
            <w:proofErr w:type="spellEnd"/>
            <w:r>
              <w:rPr>
                <w:rFonts w:cs="Arial"/>
                <w:color w:val="323233"/>
                <w:sz w:val="18"/>
                <w:szCs w:val="18"/>
              </w:rPr>
              <w:t xml:space="preserve"> </w:t>
            </w:r>
            <w:proofErr w:type="spellStart"/>
            <w:r>
              <w:rPr>
                <w:rFonts w:cs="Arial"/>
                <w:color w:val="323233"/>
                <w:sz w:val="18"/>
                <w:szCs w:val="18"/>
              </w:rPr>
              <w:t>Līgumslēdzējas</w:t>
            </w:r>
            <w:proofErr w:type="spellEnd"/>
            <w:r>
              <w:rPr>
                <w:rFonts w:cs="Arial"/>
                <w:color w:val="323233"/>
                <w:sz w:val="18"/>
                <w:szCs w:val="18"/>
              </w:rPr>
              <w:t xml:space="preserve"> </w:t>
            </w:r>
            <w:proofErr w:type="spellStart"/>
            <w:r>
              <w:rPr>
                <w:rFonts w:cs="Arial"/>
                <w:color w:val="323233"/>
                <w:sz w:val="18"/>
                <w:szCs w:val="18"/>
              </w:rPr>
              <w:t>Puses</w:t>
            </w:r>
            <w:proofErr w:type="spellEnd"/>
            <w:r>
              <w:rPr>
                <w:rFonts w:cs="Arial"/>
                <w:color w:val="323233"/>
                <w:sz w:val="18"/>
                <w:szCs w:val="18"/>
              </w:rPr>
              <w:t xml:space="preserve"> </w:t>
            </w:r>
            <w:proofErr w:type="spellStart"/>
            <w:r>
              <w:rPr>
                <w:rFonts w:cs="Arial"/>
                <w:color w:val="323233"/>
                <w:sz w:val="18"/>
                <w:szCs w:val="18"/>
              </w:rPr>
              <w:t>likumdošana</w:t>
            </w:r>
            <w:proofErr w:type="spellEnd"/>
            <w:r>
              <w:rPr>
                <w:rFonts w:cs="Arial"/>
                <w:color w:val="323233"/>
                <w:sz w:val="18"/>
                <w:szCs w:val="18"/>
              </w:rPr>
              <w:t xml:space="preserve">, </w:t>
            </w:r>
            <w:proofErr w:type="spellStart"/>
            <w:r>
              <w:rPr>
                <w:rFonts w:cs="Arial"/>
                <w:color w:val="323233"/>
                <w:sz w:val="18"/>
                <w:szCs w:val="18"/>
              </w:rPr>
              <w:t>kuras</w:t>
            </w:r>
            <w:proofErr w:type="spellEnd"/>
            <w:r>
              <w:rPr>
                <w:rFonts w:cs="Arial"/>
                <w:color w:val="323233"/>
                <w:sz w:val="18"/>
                <w:szCs w:val="18"/>
              </w:rPr>
              <w:t xml:space="preserve"> </w:t>
            </w:r>
            <w:proofErr w:type="spellStart"/>
            <w:r>
              <w:rPr>
                <w:rFonts w:cs="Arial"/>
                <w:color w:val="323233"/>
                <w:sz w:val="18"/>
                <w:szCs w:val="18"/>
              </w:rPr>
              <w:t>teritorijā</w:t>
            </w:r>
            <w:proofErr w:type="spellEnd"/>
            <w:r>
              <w:rPr>
                <w:rFonts w:cs="Arial"/>
                <w:color w:val="323233"/>
                <w:sz w:val="18"/>
                <w:szCs w:val="18"/>
              </w:rPr>
              <w:t xml:space="preserve"> </w:t>
            </w:r>
            <w:proofErr w:type="spellStart"/>
            <w:r>
              <w:rPr>
                <w:rFonts w:cs="Arial"/>
                <w:color w:val="323233"/>
                <w:sz w:val="18"/>
                <w:szCs w:val="18"/>
              </w:rPr>
              <w:t>tika</w:t>
            </w:r>
            <w:proofErr w:type="spellEnd"/>
            <w:r>
              <w:rPr>
                <w:rFonts w:cs="Arial"/>
                <w:color w:val="323233"/>
                <w:sz w:val="18"/>
                <w:szCs w:val="18"/>
              </w:rPr>
              <w:t xml:space="preserve"> </w:t>
            </w:r>
            <w:proofErr w:type="spellStart"/>
            <w:r>
              <w:rPr>
                <w:rFonts w:cs="Arial"/>
                <w:color w:val="323233"/>
                <w:sz w:val="18"/>
                <w:szCs w:val="18"/>
              </w:rPr>
              <w:t>noslēgts</w:t>
            </w:r>
            <w:proofErr w:type="spellEnd"/>
            <w:r>
              <w:rPr>
                <w:rFonts w:cs="Arial"/>
                <w:color w:val="323233"/>
                <w:sz w:val="18"/>
                <w:szCs w:val="18"/>
              </w:rPr>
              <w:t xml:space="preserve"> </w:t>
            </w:r>
            <w:proofErr w:type="spellStart"/>
            <w:r>
              <w:rPr>
                <w:rFonts w:cs="Arial"/>
                <w:color w:val="323233"/>
                <w:sz w:val="18"/>
                <w:szCs w:val="18"/>
              </w:rPr>
              <w:t>līgums</w:t>
            </w:r>
            <w:proofErr w:type="spellEnd"/>
            <w:r>
              <w:rPr>
                <w:rFonts w:cs="Arial"/>
                <w:color w:val="323233"/>
                <w:sz w:val="18"/>
                <w:szCs w:val="18"/>
              </w:rPr>
              <w:t xml:space="preserve">, ja </w:t>
            </w:r>
            <w:proofErr w:type="spellStart"/>
            <w:r>
              <w:rPr>
                <w:rFonts w:cs="Arial"/>
                <w:color w:val="323233"/>
                <w:sz w:val="18"/>
                <w:szCs w:val="18"/>
              </w:rPr>
              <w:t>saistību</w:t>
            </w:r>
            <w:proofErr w:type="spellEnd"/>
            <w:r>
              <w:rPr>
                <w:rFonts w:cs="Arial"/>
                <w:color w:val="323233"/>
                <w:sz w:val="18"/>
                <w:szCs w:val="18"/>
              </w:rPr>
              <w:t xml:space="preserve"> </w:t>
            </w:r>
            <w:proofErr w:type="spellStart"/>
            <w:r>
              <w:rPr>
                <w:rFonts w:cs="Arial"/>
                <w:color w:val="323233"/>
                <w:sz w:val="18"/>
                <w:szCs w:val="18"/>
              </w:rPr>
              <w:t>attiecību</w:t>
            </w:r>
            <w:proofErr w:type="spellEnd"/>
            <w:r>
              <w:rPr>
                <w:rFonts w:cs="Arial"/>
                <w:color w:val="323233"/>
                <w:sz w:val="18"/>
                <w:szCs w:val="18"/>
              </w:rPr>
              <w:t xml:space="preserve"> </w:t>
            </w:r>
            <w:proofErr w:type="spellStart"/>
            <w:r>
              <w:rPr>
                <w:rFonts w:cs="Arial"/>
                <w:color w:val="323233"/>
                <w:sz w:val="18"/>
                <w:szCs w:val="18"/>
              </w:rPr>
              <w:t>dalībnieki</w:t>
            </w:r>
            <w:proofErr w:type="spellEnd"/>
            <w:r>
              <w:rPr>
                <w:rFonts w:cs="Arial"/>
                <w:color w:val="323233"/>
                <w:sz w:val="18"/>
                <w:szCs w:val="18"/>
              </w:rPr>
              <w:t xml:space="preserve"> </w:t>
            </w:r>
            <w:proofErr w:type="spellStart"/>
            <w:r>
              <w:rPr>
                <w:rFonts w:cs="Arial"/>
                <w:color w:val="323233"/>
                <w:sz w:val="18"/>
                <w:szCs w:val="18"/>
              </w:rPr>
              <w:t>nepakļaujas</w:t>
            </w:r>
            <w:proofErr w:type="spellEnd"/>
            <w:r>
              <w:rPr>
                <w:rFonts w:cs="Arial"/>
                <w:color w:val="323233"/>
                <w:sz w:val="18"/>
                <w:szCs w:val="18"/>
              </w:rPr>
              <w:t xml:space="preserve"> </w:t>
            </w:r>
            <w:proofErr w:type="spellStart"/>
            <w:r>
              <w:rPr>
                <w:rFonts w:cs="Arial"/>
                <w:color w:val="323233"/>
                <w:sz w:val="18"/>
                <w:szCs w:val="18"/>
              </w:rPr>
              <w:t>tai</w:t>
            </w:r>
            <w:proofErr w:type="spellEnd"/>
            <w:r>
              <w:rPr>
                <w:rFonts w:cs="Arial"/>
                <w:color w:val="323233"/>
                <w:sz w:val="18"/>
                <w:szCs w:val="18"/>
              </w:rPr>
              <w:t xml:space="preserve"> </w:t>
            </w:r>
            <w:proofErr w:type="spellStart"/>
            <w:r>
              <w:rPr>
                <w:rFonts w:cs="Arial"/>
                <w:color w:val="323233"/>
                <w:sz w:val="18"/>
                <w:szCs w:val="18"/>
              </w:rPr>
              <w:t>likumdošanai</w:t>
            </w:r>
            <w:proofErr w:type="spellEnd"/>
            <w:r>
              <w:rPr>
                <w:rFonts w:cs="Arial"/>
                <w:color w:val="323233"/>
                <w:sz w:val="18"/>
                <w:szCs w:val="18"/>
              </w:rPr>
              <w:t xml:space="preserve">, </w:t>
            </w:r>
            <w:proofErr w:type="spellStart"/>
            <w:r>
              <w:rPr>
                <w:rFonts w:cs="Arial"/>
                <w:color w:val="323233"/>
                <w:sz w:val="18"/>
                <w:szCs w:val="18"/>
              </w:rPr>
              <w:t>kuru</w:t>
            </w:r>
            <w:proofErr w:type="spellEnd"/>
            <w:r>
              <w:rPr>
                <w:rFonts w:cs="Arial"/>
                <w:color w:val="323233"/>
                <w:sz w:val="18"/>
                <w:szCs w:val="18"/>
              </w:rPr>
              <w:t xml:space="preserve"> </w:t>
            </w:r>
            <w:proofErr w:type="spellStart"/>
            <w:r>
              <w:rPr>
                <w:rFonts w:cs="Arial"/>
                <w:color w:val="323233"/>
                <w:sz w:val="18"/>
                <w:szCs w:val="18"/>
              </w:rPr>
              <w:t>izvēlējušies</w:t>
            </w:r>
            <w:proofErr w:type="spellEnd"/>
            <w:r>
              <w:rPr>
                <w:rFonts w:cs="Arial"/>
                <w:color w:val="323233"/>
                <w:sz w:val="18"/>
                <w:szCs w:val="18"/>
              </w:rPr>
              <w:t xml:space="preserve"> </w:t>
            </w:r>
            <w:proofErr w:type="spellStart"/>
            <w:r>
              <w:rPr>
                <w:rFonts w:cs="Arial"/>
                <w:color w:val="323233"/>
                <w:sz w:val="18"/>
                <w:szCs w:val="18"/>
              </w:rPr>
              <w:t>paši</w:t>
            </w:r>
            <w:proofErr w:type="spellEnd"/>
            <w:r>
              <w:rPr>
                <w:rFonts w:cs="Arial"/>
                <w:color w:val="323233"/>
                <w:sz w:val="18"/>
                <w:szCs w:val="18"/>
              </w:rPr>
              <w:t>“.</w:t>
            </w:r>
          </w:p>
        </w:tc>
      </w:tr>
      <w:tr w:rsidR="00114953" w:rsidRPr="009027B6" w14:paraId="758B0A67" w14:textId="77777777" w:rsidTr="00BF3A72">
        <w:trPr>
          <w:gridAfter w:val="1"/>
          <w:wAfter w:w="38" w:type="dxa"/>
        </w:trPr>
        <w:tc>
          <w:tcPr>
            <w:tcW w:w="675" w:type="dxa"/>
          </w:tcPr>
          <w:p w14:paraId="7A3A2B20" w14:textId="77777777" w:rsidR="00114953" w:rsidRPr="009027B6" w:rsidRDefault="00114953" w:rsidP="00BF3A72">
            <w:pPr>
              <w:jc w:val="center"/>
              <w:rPr>
                <w:rFonts w:cs="Arial"/>
                <w:color w:val="323233"/>
                <w:sz w:val="18"/>
                <w:szCs w:val="18"/>
              </w:rPr>
            </w:pPr>
            <w:r>
              <w:rPr>
                <w:rFonts w:cs="Arial"/>
                <w:color w:val="323233"/>
                <w:sz w:val="18"/>
                <w:szCs w:val="18"/>
              </w:rPr>
              <w:t>7.</w:t>
            </w:r>
          </w:p>
        </w:tc>
        <w:tc>
          <w:tcPr>
            <w:tcW w:w="3932" w:type="dxa"/>
          </w:tcPr>
          <w:p w14:paraId="2495728C" w14:textId="77777777" w:rsidR="00114953" w:rsidRPr="009027B6" w:rsidRDefault="00114953" w:rsidP="00BF3A72">
            <w:pPr>
              <w:jc w:val="both"/>
              <w:rPr>
                <w:rFonts w:cs="Arial"/>
                <w:color w:val="323233"/>
                <w:sz w:val="18"/>
                <w:szCs w:val="18"/>
              </w:rPr>
            </w:pPr>
            <w:proofErr w:type="spellStart"/>
            <w:r>
              <w:rPr>
                <w:rFonts w:cs="Arial"/>
                <w:color w:val="323233"/>
                <w:sz w:val="18"/>
                <w:szCs w:val="18"/>
              </w:rPr>
              <w:t>Līgums</w:t>
            </w:r>
            <w:proofErr w:type="spellEnd"/>
            <w:r>
              <w:rPr>
                <w:rFonts w:cs="Arial"/>
                <w:color w:val="323233"/>
                <w:sz w:val="18"/>
                <w:szCs w:val="18"/>
              </w:rPr>
              <w:t xml:space="preserve"> </w:t>
            </w:r>
            <w:proofErr w:type="spellStart"/>
            <w:r>
              <w:rPr>
                <w:rFonts w:cs="Arial"/>
                <w:color w:val="323233"/>
                <w:sz w:val="18"/>
                <w:szCs w:val="18"/>
              </w:rPr>
              <w:t>starp</w:t>
            </w:r>
            <w:proofErr w:type="spellEnd"/>
            <w:r>
              <w:rPr>
                <w:rFonts w:cs="Arial"/>
                <w:color w:val="323233"/>
                <w:sz w:val="18"/>
                <w:szCs w:val="18"/>
              </w:rPr>
              <w:t xml:space="preserve"> </w:t>
            </w:r>
            <w:proofErr w:type="spellStart"/>
            <w:r>
              <w:rPr>
                <w:rFonts w:cs="Arial"/>
                <w:color w:val="323233"/>
                <w:sz w:val="18"/>
                <w:szCs w:val="18"/>
              </w:rPr>
              <w:t>Latviju</w:t>
            </w:r>
            <w:proofErr w:type="spellEnd"/>
            <w:r>
              <w:rPr>
                <w:rFonts w:cs="Arial"/>
                <w:color w:val="323233"/>
                <w:sz w:val="18"/>
                <w:szCs w:val="18"/>
              </w:rPr>
              <w:t xml:space="preserve"> </w:t>
            </w:r>
            <w:proofErr w:type="spellStart"/>
            <w:r>
              <w:rPr>
                <w:rFonts w:cs="Arial"/>
                <w:color w:val="323233"/>
                <w:sz w:val="18"/>
                <w:szCs w:val="18"/>
              </w:rPr>
              <w:t>un</w:t>
            </w:r>
            <w:proofErr w:type="spellEnd"/>
            <w:r>
              <w:rPr>
                <w:rFonts w:cs="Arial"/>
                <w:color w:val="323233"/>
                <w:sz w:val="18"/>
                <w:szCs w:val="18"/>
              </w:rPr>
              <w:t xml:space="preserve"> </w:t>
            </w:r>
            <w:proofErr w:type="spellStart"/>
            <w:r>
              <w:rPr>
                <w:rFonts w:cs="Arial"/>
                <w:color w:val="323233"/>
                <w:sz w:val="18"/>
                <w:szCs w:val="18"/>
              </w:rPr>
              <w:t>Kirgizstānu</w:t>
            </w:r>
            <w:proofErr w:type="spellEnd"/>
          </w:p>
        </w:tc>
        <w:tc>
          <w:tcPr>
            <w:tcW w:w="2302" w:type="dxa"/>
          </w:tcPr>
          <w:p w14:paraId="14582B85" w14:textId="77777777" w:rsidR="00114953" w:rsidRPr="009027B6" w:rsidRDefault="00114953" w:rsidP="00BF3A72">
            <w:pPr>
              <w:jc w:val="center"/>
              <w:rPr>
                <w:rFonts w:cs="Arial"/>
                <w:color w:val="323233"/>
                <w:sz w:val="18"/>
                <w:szCs w:val="18"/>
              </w:rPr>
            </w:pPr>
            <w:r>
              <w:rPr>
                <w:rFonts w:cs="Arial"/>
                <w:color w:val="323233"/>
                <w:sz w:val="18"/>
                <w:szCs w:val="18"/>
              </w:rPr>
              <w:t>-</w:t>
            </w:r>
          </w:p>
        </w:tc>
        <w:tc>
          <w:tcPr>
            <w:tcW w:w="2302" w:type="dxa"/>
          </w:tcPr>
          <w:p w14:paraId="158A4BCF" w14:textId="77777777" w:rsidR="00114953" w:rsidRPr="009027B6" w:rsidRDefault="00114953" w:rsidP="00BF3A72">
            <w:pPr>
              <w:jc w:val="center"/>
              <w:rPr>
                <w:rFonts w:cs="Arial"/>
                <w:color w:val="323233"/>
                <w:sz w:val="18"/>
                <w:szCs w:val="18"/>
              </w:rPr>
            </w:pPr>
            <w:r>
              <w:rPr>
                <w:rFonts w:cs="Arial"/>
                <w:color w:val="323233"/>
                <w:sz w:val="18"/>
                <w:szCs w:val="18"/>
              </w:rPr>
              <w:t>-</w:t>
            </w:r>
          </w:p>
        </w:tc>
      </w:tr>
      <w:tr w:rsidR="00114953" w14:paraId="23A00CAB" w14:textId="77777777" w:rsidTr="00BF3A72">
        <w:tc>
          <w:tcPr>
            <w:tcW w:w="675" w:type="dxa"/>
          </w:tcPr>
          <w:p w14:paraId="721B192F" w14:textId="77777777" w:rsidR="00114953" w:rsidRPr="009027B6" w:rsidRDefault="00114953" w:rsidP="00BF3A72">
            <w:pPr>
              <w:jc w:val="center"/>
              <w:rPr>
                <w:rFonts w:cs="Arial"/>
                <w:color w:val="323233"/>
                <w:sz w:val="18"/>
                <w:szCs w:val="18"/>
              </w:rPr>
            </w:pPr>
            <w:r>
              <w:rPr>
                <w:rFonts w:cs="Arial"/>
                <w:color w:val="323233"/>
                <w:sz w:val="18"/>
                <w:szCs w:val="18"/>
              </w:rPr>
              <w:t>8.</w:t>
            </w:r>
          </w:p>
        </w:tc>
        <w:tc>
          <w:tcPr>
            <w:tcW w:w="3932" w:type="dxa"/>
          </w:tcPr>
          <w:p w14:paraId="14A22560" w14:textId="77777777" w:rsidR="00114953" w:rsidRPr="009027B6" w:rsidRDefault="00114953" w:rsidP="00BF3A72">
            <w:pPr>
              <w:jc w:val="both"/>
              <w:rPr>
                <w:rFonts w:cs="Arial"/>
                <w:color w:val="323233"/>
                <w:sz w:val="18"/>
                <w:szCs w:val="18"/>
              </w:rPr>
            </w:pPr>
            <w:proofErr w:type="spellStart"/>
            <w:r>
              <w:rPr>
                <w:rFonts w:cs="Arial"/>
                <w:color w:val="323233"/>
                <w:sz w:val="18"/>
                <w:szCs w:val="18"/>
              </w:rPr>
              <w:t>Līgums</w:t>
            </w:r>
            <w:proofErr w:type="spellEnd"/>
            <w:r>
              <w:rPr>
                <w:rFonts w:cs="Arial"/>
                <w:color w:val="323233"/>
                <w:sz w:val="18"/>
                <w:szCs w:val="18"/>
              </w:rPr>
              <w:t xml:space="preserve"> </w:t>
            </w:r>
            <w:proofErr w:type="spellStart"/>
            <w:r>
              <w:rPr>
                <w:rFonts w:cs="Arial"/>
                <w:color w:val="323233"/>
                <w:sz w:val="18"/>
                <w:szCs w:val="18"/>
              </w:rPr>
              <w:t>starp</w:t>
            </w:r>
            <w:proofErr w:type="spellEnd"/>
            <w:r>
              <w:rPr>
                <w:rFonts w:cs="Arial"/>
                <w:color w:val="323233"/>
                <w:sz w:val="18"/>
                <w:szCs w:val="18"/>
              </w:rPr>
              <w:t xml:space="preserve"> </w:t>
            </w:r>
            <w:proofErr w:type="spellStart"/>
            <w:r>
              <w:rPr>
                <w:rFonts w:cs="Arial"/>
                <w:color w:val="323233"/>
                <w:sz w:val="18"/>
                <w:szCs w:val="18"/>
              </w:rPr>
              <w:t>Latviju</w:t>
            </w:r>
            <w:proofErr w:type="spellEnd"/>
            <w:r>
              <w:rPr>
                <w:rFonts w:cs="Arial"/>
                <w:color w:val="323233"/>
                <w:sz w:val="18"/>
                <w:szCs w:val="18"/>
              </w:rPr>
              <w:t xml:space="preserve"> </w:t>
            </w:r>
            <w:proofErr w:type="spellStart"/>
            <w:r>
              <w:rPr>
                <w:rFonts w:cs="Arial"/>
                <w:color w:val="323233"/>
                <w:sz w:val="18"/>
                <w:szCs w:val="18"/>
              </w:rPr>
              <w:t>un</w:t>
            </w:r>
            <w:proofErr w:type="spellEnd"/>
            <w:r>
              <w:rPr>
                <w:rFonts w:cs="Arial"/>
                <w:color w:val="323233"/>
                <w:sz w:val="18"/>
                <w:szCs w:val="18"/>
              </w:rPr>
              <w:t xml:space="preserve"> </w:t>
            </w:r>
            <w:proofErr w:type="spellStart"/>
            <w:r>
              <w:rPr>
                <w:rFonts w:cs="Arial"/>
                <w:color w:val="323233"/>
                <w:sz w:val="18"/>
                <w:szCs w:val="18"/>
              </w:rPr>
              <w:t>Krievijas</w:t>
            </w:r>
            <w:proofErr w:type="spellEnd"/>
            <w:r>
              <w:rPr>
                <w:rFonts w:cs="Arial"/>
                <w:color w:val="323233"/>
                <w:sz w:val="18"/>
                <w:szCs w:val="18"/>
              </w:rPr>
              <w:t xml:space="preserve"> </w:t>
            </w:r>
            <w:proofErr w:type="spellStart"/>
            <w:r>
              <w:rPr>
                <w:rFonts w:cs="Arial"/>
                <w:color w:val="323233"/>
                <w:sz w:val="18"/>
                <w:szCs w:val="18"/>
              </w:rPr>
              <w:t>Federāciju</w:t>
            </w:r>
            <w:proofErr w:type="spellEnd"/>
          </w:p>
        </w:tc>
        <w:tc>
          <w:tcPr>
            <w:tcW w:w="2302" w:type="dxa"/>
          </w:tcPr>
          <w:p w14:paraId="2B808CBF" w14:textId="77777777" w:rsidR="00114953" w:rsidRPr="009027B6" w:rsidRDefault="00114953" w:rsidP="00BF3A72">
            <w:pPr>
              <w:jc w:val="center"/>
              <w:rPr>
                <w:rFonts w:cs="Arial"/>
                <w:color w:val="323233"/>
                <w:sz w:val="18"/>
                <w:szCs w:val="18"/>
              </w:rPr>
            </w:pPr>
            <w:r>
              <w:rPr>
                <w:rFonts w:cs="Arial"/>
                <w:color w:val="323233"/>
                <w:sz w:val="18"/>
                <w:szCs w:val="18"/>
              </w:rPr>
              <w:t>-</w:t>
            </w:r>
          </w:p>
        </w:tc>
        <w:tc>
          <w:tcPr>
            <w:tcW w:w="2340" w:type="dxa"/>
            <w:gridSpan w:val="2"/>
          </w:tcPr>
          <w:p w14:paraId="7DA4500D" w14:textId="77777777" w:rsidR="00114953" w:rsidRPr="009027B6" w:rsidRDefault="00114953" w:rsidP="00BF3A72">
            <w:pPr>
              <w:jc w:val="center"/>
              <w:rPr>
                <w:rFonts w:cs="Arial"/>
                <w:color w:val="323233"/>
                <w:sz w:val="18"/>
                <w:szCs w:val="18"/>
              </w:rPr>
            </w:pPr>
            <w:r>
              <w:rPr>
                <w:rFonts w:cs="Arial"/>
                <w:color w:val="323233"/>
                <w:sz w:val="18"/>
                <w:szCs w:val="18"/>
              </w:rPr>
              <w:t>-</w:t>
            </w:r>
          </w:p>
        </w:tc>
      </w:tr>
    </w:tbl>
    <w:p w14:paraId="4E12BF08" w14:textId="77777777" w:rsidR="00114953" w:rsidRDefault="00114953" w:rsidP="00114953">
      <w:pPr>
        <w:jc w:val="both"/>
        <w:rPr>
          <w:rFonts w:ascii="Times New Roman" w:hAnsi="Times New Roman" w:cs="Arial"/>
          <w:color w:val="323233"/>
        </w:rPr>
      </w:pPr>
    </w:p>
    <w:p w14:paraId="4037779D" w14:textId="77777777" w:rsidR="00114953" w:rsidRDefault="00114953" w:rsidP="00B72FCB">
      <w:pPr>
        <w:ind w:firstLine="708"/>
        <w:jc w:val="both"/>
        <w:rPr>
          <w:rFonts w:ascii="Times New Roman" w:hAnsi="Times New Roman" w:cs="Arial"/>
          <w:color w:val="323233"/>
        </w:rPr>
      </w:pPr>
      <w:proofErr w:type="spellStart"/>
      <w:r>
        <w:rPr>
          <w:rFonts w:ascii="Times New Roman" w:hAnsi="Times New Roman" w:cs="Arial"/>
          <w:color w:val="323233"/>
        </w:rPr>
        <w:t>Ja</w:t>
      </w:r>
      <w:proofErr w:type="spellEnd"/>
      <w:r>
        <w:rPr>
          <w:rFonts w:ascii="Times New Roman" w:hAnsi="Times New Roman" w:cs="Arial"/>
          <w:color w:val="323233"/>
        </w:rPr>
        <w:t xml:space="preserve"> </w:t>
      </w:r>
      <w:proofErr w:type="spellStart"/>
      <w:r>
        <w:rPr>
          <w:rFonts w:ascii="Times New Roman" w:hAnsi="Times New Roman" w:cs="Arial"/>
          <w:color w:val="323233"/>
        </w:rPr>
        <w:t>attiecīgajā</w:t>
      </w:r>
      <w:proofErr w:type="spellEnd"/>
      <w:r>
        <w:rPr>
          <w:rFonts w:ascii="Times New Roman" w:hAnsi="Times New Roman" w:cs="Arial"/>
          <w:color w:val="323233"/>
        </w:rPr>
        <w:t xml:space="preserve"> </w:t>
      </w:r>
      <w:proofErr w:type="spellStart"/>
      <w:r>
        <w:rPr>
          <w:rFonts w:ascii="Times New Roman" w:hAnsi="Times New Roman" w:cs="Arial"/>
          <w:color w:val="323233"/>
        </w:rPr>
        <w:t>starptautiskajā</w:t>
      </w:r>
      <w:proofErr w:type="spellEnd"/>
      <w:r>
        <w:rPr>
          <w:rFonts w:ascii="Times New Roman" w:hAnsi="Times New Roman" w:cs="Arial"/>
          <w:color w:val="323233"/>
        </w:rPr>
        <w:t xml:space="preserve"> </w:t>
      </w:r>
      <w:proofErr w:type="spellStart"/>
      <w:r>
        <w:rPr>
          <w:rFonts w:ascii="Times New Roman" w:hAnsi="Times New Roman" w:cs="Arial"/>
          <w:color w:val="323233"/>
        </w:rPr>
        <w:t>līgumā</w:t>
      </w:r>
      <w:proofErr w:type="spellEnd"/>
      <w:r>
        <w:rPr>
          <w:rFonts w:ascii="Times New Roman" w:hAnsi="Times New Roman" w:cs="Arial"/>
          <w:color w:val="323233"/>
        </w:rPr>
        <w:t xml:space="preserve"> </w:t>
      </w:r>
      <w:proofErr w:type="spellStart"/>
      <w:r>
        <w:rPr>
          <w:rFonts w:ascii="Times New Roman" w:hAnsi="Times New Roman" w:cs="Arial"/>
          <w:color w:val="323233"/>
        </w:rPr>
        <w:t>nav</w:t>
      </w:r>
      <w:proofErr w:type="spellEnd"/>
      <w:r>
        <w:rPr>
          <w:rFonts w:ascii="Times New Roman" w:hAnsi="Times New Roman" w:cs="Arial"/>
          <w:color w:val="323233"/>
        </w:rPr>
        <w:t xml:space="preserve"> </w:t>
      </w:r>
      <w:proofErr w:type="spellStart"/>
      <w:r>
        <w:rPr>
          <w:rFonts w:ascii="Times New Roman" w:hAnsi="Times New Roman" w:cs="Arial"/>
          <w:color w:val="323233"/>
        </w:rPr>
        <w:t>kolīziju</w:t>
      </w:r>
      <w:proofErr w:type="spellEnd"/>
      <w:r>
        <w:rPr>
          <w:rFonts w:ascii="Times New Roman" w:hAnsi="Times New Roman" w:cs="Arial"/>
          <w:color w:val="323233"/>
        </w:rPr>
        <w:t xml:space="preserve"> normas, kas </w:t>
      </w:r>
      <w:proofErr w:type="spellStart"/>
      <w:r>
        <w:rPr>
          <w:rFonts w:ascii="Times New Roman" w:hAnsi="Times New Roman" w:cs="Arial"/>
          <w:color w:val="323233"/>
        </w:rPr>
        <w:t>piemērojamas</w:t>
      </w:r>
      <w:proofErr w:type="spellEnd"/>
      <w:r>
        <w:rPr>
          <w:rFonts w:ascii="Times New Roman" w:hAnsi="Times New Roman" w:cs="Arial"/>
          <w:color w:val="323233"/>
        </w:rPr>
        <w:t xml:space="preserve"> </w:t>
      </w:r>
      <w:proofErr w:type="spellStart"/>
      <w:r>
        <w:rPr>
          <w:rFonts w:ascii="Times New Roman" w:hAnsi="Times New Roman" w:cs="Arial"/>
          <w:color w:val="323233"/>
        </w:rPr>
        <w:t>līgumu</w:t>
      </w:r>
      <w:proofErr w:type="spellEnd"/>
      <w:r>
        <w:rPr>
          <w:rFonts w:ascii="Times New Roman" w:hAnsi="Times New Roman" w:cs="Arial"/>
          <w:color w:val="323233"/>
        </w:rPr>
        <w:t xml:space="preserve"> </w:t>
      </w:r>
      <w:proofErr w:type="spellStart"/>
      <w:r>
        <w:rPr>
          <w:rFonts w:ascii="Times New Roman" w:hAnsi="Times New Roman" w:cs="Arial"/>
          <w:color w:val="323233"/>
        </w:rPr>
        <w:t>tiesībām</w:t>
      </w:r>
      <w:proofErr w:type="spellEnd"/>
      <w:r>
        <w:rPr>
          <w:rFonts w:ascii="Times New Roman" w:hAnsi="Times New Roman" w:cs="Arial"/>
          <w:color w:val="323233"/>
        </w:rPr>
        <w:t xml:space="preserve">, </w:t>
      </w:r>
      <w:proofErr w:type="spellStart"/>
      <w:r>
        <w:rPr>
          <w:rFonts w:ascii="Times New Roman" w:hAnsi="Times New Roman" w:cs="Arial"/>
          <w:color w:val="323233"/>
        </w:rPr>
        <w:t>tad</w:t>
      </w:r>
      <w:proofErr w:type="spellEnd"/>
      <w:r>
        <w:rPr>
          <w:rFonts w:ascii="Times New Roman" w:hAnsi="Times New Roman" w:cs="Arial"/>
          <w:color w:val="323233"/>
        </w:rPr>
        <w:t xml:space="preserve"> </w:t>
      </w:r>
      <w:proofErr w:type="spellStart"/>
      <w:r>
        <w:rPr>
          <w:rFonts w:ascii="Times New Roman" w:hAnsi="Times New Roman" w:cs="Arial"/>
          <w:color w:val="323233"/>
        </w:rPr>
        <w:t>piemēro</w:t>
      </w:r>
      <w:proofErr w:type="spellEnd"/>
      <w:r>
        <w:rPr>
          <w:rFonts w:ascii="Times New Roman" w:hAnsi="Times New Roman" w:cs="Arial"/>
          <w:color w:val="323233"/>
        </w:rPr>
        <w:t xml:space="preserve"> CL </w:t>
      </w:r>
      <w:proofErr w:type="spellStart"/>
      <w:r>
        <w:rPr>
          <w:rFonts w:ascii="Times New Roman" w:hAnsi="Times New Roman" w:cs="Arial"/>
          <w:color w:val="323233"/>
        </w:rPr>
        <w:t>Ievada</w:t>
      </w:r>
      <w:proofErr w:type="spellEnd"/>
      <w:r>
        <w:rPr>
          <w:rFonts w:ascii="Times New Roman" w:hAnsi="Times New Roman" w:cs="Arial"/>
          <w:color w:val="323233"/>
        </w:rPr>
        <w:t xml:space="preserve"> </w:t>
      </w:r>
      <w:proofErr w:type="gramStart"/>
      <w:r>
        <w:rPr>
          <w:rFonts w:ascii="Times New Roman" w:hAnsi="Times New Roman" w:cs="Arial"/>
          <w:color w:val="323233"/>
        </w:rPr>
        <w:t>19.pantu</w:t>
      </w:r>
      <w:proofErr w:type="gramEnd"/>
      <w:r>
        <w:rPr>
          <w:rFonts w:ascii="Times New Roman" w:hAnsi="Times New Roman" w:cs="Arial"/>
          <w:color w:val="323233"/>
        </w:rPr>
        <w:t>.</w:t>
      </w:r>
    </w:p>
    <w:p w14:paraId="2AF4967B" w14:textId="77777777" w:rsidR="00114953" w:rsidRPr="004C7834" w:rsidRDefault="00114953" w:rsidP="00114953">
      <w:pPr>
        <w:pStyle w:val="tv213"/>
        <w:jc w:val="both"/>
        <w:rPr>
          <w:b/>
        </w:rPr>
      </w:pPr>
      <w:r w:rsidRPr="004C7834">
        <w:rPr>
          <w:b/>
        </w:rPr>
        <w:t xml:space="preserve">SPT </w:t>
      </w:r>
      <w:proofErr w:type="spellStart"/>
      <w:r w:rsidRPr="004C7834">
        <w:rPr>
          <w:b/>
        </w:rPr>
        <w:t>tiek</w:t>
      </w:r>
      <w:proofErr w:type="spellEnd"/>
      <w:r w:rsidRPr="004C7834">
        <w:rPr>
          <w:b/>
        </w:rPr>
        <w:t xml:space="preserve"> </w:t>
      </w:r>
      <w:proofErr w:type="spellStart"/>
      <w:r w:rsidRPr="004C7834">
        <w:rPr>
          <w:b/>
        </w:rPr>
        <w:t>nodalīti</w:t>
      </w:r>
      <w:proofErr w:type="spellEnd"/>
      <w:r w:rsidRPr="004C7834">
        <w:rPr>
          <w:b/>
        </w:rPr>
        <w:t xml:space="preserve">: </w:t>
      </w:r>
    </w:p>
    <w:p w14:paraId="043DBB5D" w14:textId="77777777" w:rsidR="00114953" w:rsidRPr="00565D81" w:rsidRDefault="00114953" w:rsidP="00114953">
      <w:pPr>
        <w:pStyle w:val="tv213"/>
        <w:jc w:val="both"/>
      </w:pPr>
      <w:r w:rsidRPr="00565D81">
        <w:t xml:space="preserve">- </w:t>
      </w:r>
      <w:proofErr w:type="spellStart"/>
      <w:r w:rsidRPr="00565D81">
        <w:t>pilnvarojuma</w:t>
      </w:r>
      <w:proofErr w:type="spellEnd"/>
      <w:r w:rsidRPr="00565D81">
        <w:t xml:space="preserve"> </w:t>
      </w:r>
      <w:proofErr w:type="spellStart"/>
      <w:r w:rsidRPr="00565D81">
        <w:t>līguma</w:t>
      </w:r>
      <w:proofErr w:type="spellEnd"/>
      <w:r w:rsidRPr="00565D81">
        <w:t xml:space="preserve"> </w:t>
      </w:r>
      <w:proofErr w:type="spellStart"/>
      <w:r w:rsidRPr="00565D81">
        <w:t>saturs</w:t>
      </w:r>
      <w:proofErr w:type="spellEnd"/>
      <w:r w:rsidRPr="00565D81">
        <w:t>;</w:t>
      </w:r>
    </w:p>
    <w:p w14:paraId="4F49879F" w14:textId="77777777" w:rsidR="00114953" w:rsidRPr="00565D81" w:rsidRDefault="00114953" w:rsidP="00114953">
      <w:pPr>
        <w:pStyle w:val="tv213"/>
        <w:jc w:val="both"/>
      </w:pPr>
      <w:r w:rsidRPr="00565D81">
        <w:t xml:space="preserve">- </w:t>
      </w:r>
      <w:proofErr w:type="spellStart"/>
      <w:r w:rsidRPr="00565D81">
        <w:t>pilnvarojuma</w:t>
      </w:r>
      <w:proofErr w:type="spellEnd"/>
      <w:r w:rsidRPr="00565D81">
        <w:t xml:space="preserve"> </w:t>
      </w:r>
      <w:proofErr w:type="spellStart"/>
      <w:r w:rsidRPr="00565D81">
        <w:t>līguma</w:t>
      </w:r>
      <w:proofErr w:type="spellEnd"/>
      <w:r w:rsidRPr="00565D81">
        <w:t xml:space="preserve"> forma; </w:t>
      </w:r>
      <w:proofErr w:type="spellStart"/>
      <w:r w:rsidRPr="00565D81">
        <w:t>un</w:t>
      </w:r>
      <w:proofErr w:type="spellEnd"/>
      <w:r w:rsidRPr="00565D81">
        <w:t xml:space="preserve"> </w:t>
      </w:r>
    </w:p>
    <w:p w14:paraId="52E4B860" w14:textId="77777777" w:rsidR="00114953" w:rsidRPr="00565D81" w:rsidRDefault="00114953" w:rsidP="00114953">
      <w:pPr>
        <w:pStyle w:val="tv213"/>
        <w:jc w:val="both"/>
      </w:pPr>
      <w:r w:rsidRPr="00565D81">
        <w:t xml:space="preserve">- </w:t>
      </w:r>
      <w:proofErr w:type="spellStart"/>
      <w:r w:rsidRPr="00565D81">
        <w:t>pilnvaras</w:t>
      </w:r>
      <w:proofErr w:type="spellEnd"/>
      <w:r w:rsidRPr="00565D81">
        <w:t xml:space="preserve"> </w:t>
      </w:r>
      <w:proofErr w:type="spellStart"/>
      <w:r w:rsidRPr="00565D81">
        <w:t>saturs</w:t>
      </w:r>
      <w:proofErr w:type="spellEnd"/>
      <w:r w:rsidRPr="00565D81">
        <w:t xml:space="preserve">; </w:t>
      </w:r>
      <w:proofErr w:type="spellStart"/>
      <w:r w:rsidRPr="00565D81">
        <w:t>un</w:t>
      </w:r>
      <w:proofErr w:type="spellEnd"/>
    </w:p>
    <w:p w14:paraId="2B821E02" w14:textId="77777777" w:rsidR="00114953" w:rsidRDefault="00114953" w:rsidP="00114953">
      <w:pPr>
        <w:pStyle w:val="tv213"/>
        <w:jc w:val="both"/>
      </w:pPr>
      <w:r>
        <w:t xml:space="preserve">- </w:t>
      </w:r>
      <w:proofErr w:type="spellStart"/>
      <w:r>
        <w:t>pilnvaras</w:t>
      </w:r>
      <w:proofErr w:type="spellEnd"/>
      <w:r w:rsidRPr="006F52BA">
        <w:t xml:space="preserve"> </w:t>
      </w:r>
      <w:r w:rsidRPr="006F52BA">
        <w:rPr>
          <w:b/>
          <w:bCs/>
        </w:rPr>
        <w:t>forma</w:t>
      </w:r>
      <w:r w:rsidRPr="006F52BA">
        <w:t xml:space="preserve">. </w:t>
      </w:r>
    </w:p>
    <w:p w14:paraId="39C5F21E" w14:textId="65B614F4" w:rsidR="00114953" w:rsidRDefault="00114953" w:rsidP="00B72FCB">
      <w:pPr>
        <w:pStyle w:val="tv213"/>
        <w:ind w:firstLine="708"/>
        <w:jc w:val="both"/>
      </w:pPr>
      <w:proofErr w:type="spellStart"/>
      <w:r w:rsidRPr="006F52BA">
        <w:t>Līdz</w:t>
      </w:r>
      <w:proofErr w:type="spellEnd"/>
      <w:r w:rsidRPr="006F52BA">
        <w:t xml:space="preserve"> </w:t>
      </w:r>
      <w:proofErr w:type="spellStart"/>
      <w:r w:rsidRPr="006F52BA">
        <w:t>ar</w:t>
      </w:r>
      <w:proofErr w:type="spellEnd"/>
      <w:r w:rsidRPr="006F52BA">
        <w:t xml:space="preserve"> </w:t>
      </w:r>
      <w:proofErr w:type="spellStart"/>
      <w:r w:rsidRPr="006F52BA">
        <w:t>to</w:t>
      </w:r>
      <w:proofErr w:type="spellEnd"/>
      <w:r w:rsidRPr="006F52BA">
        <w:t xml:space="preserve"> </w:t>
      </w:r>
      <w:proofErr w:type="spellStart"/>
      <w:r w:rsidRPr="006F52BA">
        <w:t>uz</w:t>
      </w:r>
      <w:proofErr w:type="spellEnd"/>
      <w:r w:rsidRPr="006F52BA">
        <w:t xml:space="preserve"> </w:t>
      </w:r>
      <w:proofErr w:type="spellStart"/>
      <w:r w:rsidRPr="006F52BA">
        <w:t>katru</w:t>
      </w:r>
      <w:proofErr w:type="spellEnd"/>
      <w:r w:rsidRPr="006F52BA">
        <w:t xml:space="preserve"> </w:t>
      </w:r>
      <w:proofErr w:type="spellStart"/>
      <w:r w:rsidRPr="006F52BA">
        <w:t>no</w:t>
      </w:r>
      <w:proofErr w:type="spellEnd"/>
      <w:r w:rsidRPr="006F52BA">
        <w:t xml:space="preserve"> </w:t>
      </w:r>
      <w:proofErr w:type="spellStart"/>
      <w:r w:rsidRPr="006F52BA">
        <w:t>tām</w:t>
      </w:r>
      <w:proofErr w:type="spellEnd"/>
      <w:r w:rsidRPr="006F52BA">
        <w:t xml:space="preserve"> </w:t>
      </w:r>
      <w:proofErr w:type="spellStart"/>
      <w:r w:rsidRPr="006F52BA">
        <w:t>attiecas</w:t>
      </w:r>
      <w:proofErr w:type="spellEnd"/>
      <w:r w:rsidRPr="006F52BA">
        <w:t xml:space="preserve"> </w:t>
      </w:r>
      <w:proofErr w:type="spellStart"/>
      <w:r w:rsidRPr="006F52BA">
        <w:t>atsevišķas</w:t>
      </w:r>
      <w:proofErr w:type="spellEnd"/>
      <w:r w:rsidRPr="006F52BA">
        <w:t xml:space="preserve"> </w:t>
      </w:r>
      <w:proofErr w:type="spellStart"/>
      <w:r w:rsidRPr="006F52BA">
        <w:t>kolīziju</w:t>
      </w:r>
      <w:proofErr w:type="spellEnd"/>
      <w:r w:rsidRPr="006F52BA">
        <w:t xml:space="preserve"> </w:t>
      </w:r>
      <w:proofErr w:type="spellStart"/>
      <w:r w:rsidRPr="006F52BA">
        <w:t>normas</w:t>
      </w:r>
      <w:proofErr w:type="spellEnd"/>
      <w:r w:rsidRPr="006F52BA">
        <w:t xml:space="preserve">. </w:t>
      </w:r>
      <w:proofErr w:type="spellStart"/>
      <w:r w:rsidRPr="006F52BA">
        <w:t>Piemēram</w:t>
      </w:r>
      <w:proofErr w:type="spellEnd"/>
      <w:r w:rsidRPr="006F52BA">
        <w:t xml:space="preserve">, </w:t>
      </w:r>
      <w:proofErr w:type="spellStart"/>
      <w:r w:rsidRPr="006F52BA">
        <w:t>jau</w:t>
      </w:r>
      <w:proofErr w:type="spellEnd"/>
      <w:r w:rsidRPr="006F52BA">
        <w:t xml:space="preserve"> </w:t>
      </w:r>
      <w:proofErr w:type="spellStart"/>
      <w:r w:rsidRPr="006F52BA">
        <w:t>minētā</w:t>
      </w:r>
      <w:proofErr w:type="spellEnd"/>
      <w:r w:rsidRPr="006F52BA">
        <w:t xml:space="preserve"> 1978.gada 14.marta </w:t>
      </w:r>
      <w:proofErr w:type="spellStart"/>
      <w:r w:rsidRPr="006F52BA">
        <w:t>Hāgas</w:t>
      </w:r>
      <w:proofErr w:type="spellEnd"/>
      <w:r w:rsidRPr="006F52BA">
        <w:t xml:space="preserve"> </w:t>
      </w:r>
      <w:proofErr w:type="spellStart"/>
      <w:r w:rsidRPr="006F52BA">
        <w:t>konvencija</w:t>
      </w:r>
      <w:proofErr w:type="spellEnd"/>
      <w:r w:rsidRPr="006F52BA">
        <w:t xml:space="preserve"> par </w:t>
      </w:r>
      <w:proofErr w:type="spellStart"/>
      <w:r w:rsidRPr="006F52BA">
        <w:t>tiesību</w:t>
      </w:r>
      <w:proofErr w:type="spellEnd"/>
      <w:r w:rsidRPr="006F52BA">
        <w:t xml:space="preserve"> </w:t>
      </w:r>
      <w:proofErr w:type="spellStart"/>
      <w:r w:rsidRPr="006F52BA">
        <w:t>aktiem</w:t>
      </w:r>
      <w:proofErr w:type="spellEnd"/>
      <w:r w:rsidRPr="006F52BA">
        <w:t xml:space="preserve">, </w:t>
      </w:r>
      <w:proofErr w:type="spellStart"/>
      <w:r w:rsidRPr="006F52BA">
        <w:t>kas</w:t>
      </w:r>
      <w:proofErr w:type="spellEnd"/>
      <w:r w:rsidRPr="006F52BA">
        <w:t xml:space="preserve"> </w:t>
      </w:r>
      <w:proofErr w:type="spellStart"/>
      <w:r w:rsidRPr="006F52BA">
        <w:t>piemērojami</w:t>
      </w:r>
      <w:proofErr w:type="spellEnd"/>
      <w:r w:rsidRPr="006F52BA">
        <w:t xml:space="preserve"> </w:t>
      </w:r>
      <w:proofErr w:type="spellStart"/>
      <w:r w:rsidRPr="006F52BA">
        <w:t>starpnieku</w:t>
      </w:r>
      <w:proofErr w:type="spellEnd"/>
      <w:r w:rsidRPr="006F52BA">
        <w:t xml:space="preserve"> </w:t>
      </w:r>
      <w:proofErr w:type="spellStart"/>
      <w:r w:rsidRPr="006F52BA">
        <w:t>līgumiem</w:t>
      </w:r>
      <w:proofErr w:type="spellEnd"/>
      <w:r w:rsidRPr="006F52BA">
        <w:t xml:space="preserve"> </w:t>
      </w:r>
      <w:proofErr w:type="spellStart"/>
      <w:r w:rsidRPr="006F52BA">
        <w:t>un</w:t>
      </w:r>
      <w:proofErr w:type="spellEnd"/>
      <w:r w:rsidRPr="006F52BA">
        <w:t xml:space="preserve"> </w:t>
      </w:r>
      <w:proofErr w:type="spellStart"/>
      <w:r w:rsidRPr="006F52BA">
        <w:t>pārstāvībai</w:t>
      </w:r>
      <w:proofErr w:type="spellEnd"/>
      <w:r w:rsidRPr="006F52BA">
        <w:t xml:space="preserve">, </w:t>
      </w:r>
      <w:proofErr w:type="spellStart"/>
      <w:r w:rsidRPr="006F52BA">
        <w:t>attiecas</w:t>
      </w:r>
      <w:proofErr w:type="spellEnd"/>
      <w:r w:rsidRPr="006F52BA">
        <w:t xml:space="preserve"> </w:t>
      </w:r>
      <w:proofErr w:type="spellStart"/>
      <w:r w:rsidRPr="006F52BA">
        <w:t>tikai</w:t>
      </w:r>
      <w:proofErr w:type="spellEnd"/>
      <w:r w:rsidRPr="006F52BA">
        <w:t xml:space="preserve"> </w:t>
      </w:r>
      <w:proofErr w:type="spellStart"/>
      <w:r w:rsidRPr="006F52BA">
        <w:t>uz</w:t>
      </w:r>
      <w:proofErr w:type="spellEnd"/>
      <w:r w:rsidRPr="006F52BA">
        <w:t xml:space="preserve"> </w:t>
      </w:r>
      <w:proofErr w:type="spellStart"/>
      <w:r w:rsidRPr="00565D81">
        <w:t>pilnvarojuma</w:t>
      </w:r>
      <w:proofErr w:type="spellEnd"/>
      <w:r w:rsidRPr="00565D81">
        <w:t xml:space="preserve"> </w:t>
      </w:r>
      <w:proofErr w:type="spellStart"/>
      <w:r w:rsidRPr="00565D81">
        <w:t>līguma</w:t>
      </w:r>
      <w:proofErr w:type="spellEnd"/>
      <w:r w:rsidRPr="00565D81">
        <w:t xml:space="preserve"> </w:t>
      </w:r>
      <w:proofErr w:type="spellStart"/>
      <w:r w:rsidRPr="00565D81">
        <w:t>un</w:t>
      </w:r>
      <w:proofErr w:type="spellEnd"/>
      <w:r w:rsidRPr="00565D81">
        <w:t xml:space="preserve"> </w:t>
      </w:r>
      <w:proofErr w:type="spellStart"/>
      <w:r w:rsidRPr="00565D81">
        <w:t>pilnvaras</w:t>
      </w:r>
      <w:proofErr w:type="spellEnd"/>
      <w:r w:rsidRPr="00565D81">
        <w:t xml:space="preserve"> </w:t>
      </w:r>
      <w:proofErr w:type="spellStart"/>
      <w:r w:rsidRPr="00565D81">
        <w:t>saturu</w:t>
      </w:r>
      <w:proofErr w:type="spellEnd"/>
      <w:r w:rsidRPr="006F52BA">
        <w:t xml:space="preserve">, </w:t>
      </w:r>
      <w:proofErr w:type="spellStart"/>
      <w:r w:rsidRPr="006F52BA">
        <w:t>bet</w:t>
      </w:r>
      <w:proofErr w:type="spellEnd"/>
      <w:r w:rsidRPr="006F52BA">
        <w:t xml:space="preserve"> </w:t>
      </w:r>
      <w:proofErr w:type="spellStart"/>
      <w:r w:rsidRPr="006F52BA">
        <w:t>nevis</w:t>
      </w:r>
      <w:proofErr w:type="spellEnd"/>
      <w:r w:rsidRPr="006F52BA">
        <w:t xml:space="preserve"> </w:t>
      </w:r>
      <w:proofErr w:type="spellStart"/>
      <w:r w:rsidRPr="006F52BA">
        <w:t>to</w:t>
      </w:r>
      <w:proofErr w:type="spellEnd"/>
      <w:r w:rsidRPr="006F52BA">
        <w:t xml:space="preserve"> </w:t>
      </w:r>
      <w:proofErr w:type="spellStart"/>
      <w:r w:rsidRPr="006F52BA">
        <w:t>formu</w:t>
      </w:r>
      <w:proofErr w:type="spellEnd"/>
      <w:r w:rsidRPr="006F52BA">
        <w:t xml:space="preserve"> (</w:t>
      </w:r>
      <w:proofErr w:type="spellStart"/>
      <w:r w:rsidRPr="006F52BA">
        <w:t>sk</w:t>
      </w:r>
      <w:r>
        <w:t>at</w:t>
      </w:r>
      <w:proofErr w:type="spellEnd"/>
      <w:r w:rsidR="00B72FCB">
        <w:t xml:space="preserve">. </w:t>
      </w:r>
      <w:proofErr w:type="spellStart"/>
      <w:r w:rsidR="00B72FCB">
        <w:t>šīs</w:t>
      </w:r>
      <w:proofErr w:type="spellEnd"/>
      <w:r w:rsidR="00B72FCB">
        <w:t xml:space="preserve"> </w:t>
      </w:r>
      <w:proofErr w:type="spellStart"/>
      <w:r w:rsidR="00B72FCB">
        <w:t>K</w:t>
      </w:r>
      <w:r w:rsidRPr="006F52BA">
        <w:t>onvencijas</w:t>
      </w:r>
      <w:proofErr w:type="spellEnd"/>
      <w:r w:rsidRPr="006F52BA">
        <w:t xml:space="preserve"> 2.p. „b“ </w:t>
      </w:r>
      <w:proofErr w:type="spellStart"/>
      <w:r w:rsidRPr="006F52BA">
        <w:t>punktu</w:t>
      </w:r>
      <w:proofErr w:type="spellEnd"/>
      <w:r w:rsidRPr="006F52BA">
        <w:t>).</w:t>
      </w:r>
      <w:r>
        <w:t xml:space="preserve"> </w:t>
      </w:r>
    </w:p>
    <w:p w14:paraId="79E635FF" w14:textId="77777777" w:rsidR="00114953" w:rsidRDefault="00114953" w:rsidP="00114953">
      <w:pPr>
        <w:pStyle w:val="tv213"/>
        <w:jc w:val="both"/>
      </w:pPr>
    </w:p>
    <w:p w14:paraId="0FB27452" w14:textId="77777777" w:rsidR="00114953" w:rsidRPr="00565D81" w:rsidRDefault="00114953" w:rsidP="00114953">
      <w:pPr>
        <w:pStyle w:val="tv213"/>
        <w:jc w:val="center"/>
        <w:rPr>
          <w:b/>
        </w:rPr>
      </w:pPr>
      <w:proofErr w:type="spellStart"/>
      <w:r w:rsidRPr="00565D81">
        <w:rPr>
          <w:b/>
        </w:rPr>
        <w:t>Pilnvarojuma</w:t>
      </w:r>
      <w:proofErr w:type="spellEnd"/>
      <w:r w:rsidRPr="00565D81">
        <w:rPr>
          <w:b/>
        </w:rPr>
        <w:t xml:space="preserve"> </w:t>
      </w:r>
      <w:proofErr w:type="spellStart"/>
      <w:r w:rsidRPr="00565D81">
        <w:rPr>
          <w:b/>
        </w:rPr>
        <w:t>līguma</w:t>
      </w:r>
      <w:proofErr w:type="spellEnd"/>
      <w:r w:rsidRPr="00565D81">
        <w:rPr>
          <w:b/>
        </w:rPr>
        <w:t xml:space="preserve"> </w:t>
      </w:r>
      <w:proofErr w:type="spellStart"/>
      <w:r w:rsidRPr="00565D81">
        <w:rPr>
          <w:b/>
        </w:rPr>
        <w:t>formai</w:t>
      </w:r>
      <w:proofErr w:type="spellEnd"/>
      <w:r w:rsidRPr="00565D81">
        <w:rPr>
          <w:b/>
        </w:rPr>
        <w:t xml:space="preserve"> </w:t>
      </w:r>
      <w:proofErr w:type="spellStart"/>
      <w:r w:rsidRPr="00565D81">
        <w:rPr>
          <w:b/>
        </w:rPr>
        <w:t>piemērojamais</w:t>
      </w:r>
      <w:proofErr w:type="spellEnd"/>
      <w:r w:rsidRPr="00565D81">
        <w:rPr>
          <w:b/>
        </w:rPr>
        <w:t xml:space="preserve"> </w:t>
      </w:r>
      <w:proofErr w:type="spellStart"/>
      <w:r w:rsidRPr="00565D81">
        <w:rPr>
          <w:b/>
        </w:rPr>
        <w:t>likums</w:t>
      </w:r>
      <w:proofErr w:type="spellEnd"/>
    </w:p>
    <w:p w14:paraId="4C252ADB" w14:textId="37FD52C1" w:rsidR="00114953" w:rsidRPr="00565D81" w:rsidRDefault="00114953" w:rsidP="00114953">
      <w:pPr>
        <w:pStyle w:val="tv213"/>
        <w:ind w:firstLine="708"/>
        <w:jc w:val="both"/>
      </w:pPr>
      <w:proofErr w:type="spellStart"/>
      <w:r w:rsidRPr="00565D81">
        <w:t>Tātad</w:t>
      </w:r>
      <w:proofErr w:type="spellEnd"/>
      <w:r w:rsidRPr="00565D81">
        <w:t xml:space="preserve">, ja </w:t>
      </w:r>
      <w:proofErr w:type="spellStart"/>
      <w:r w:rsidRPr="00565D81">
        <w:t>Latvijā</w:t>
      </w:r>
      <w:proofErr w:type="spellEnd"/>
      <w:r w:rsidRPr="00565D81">
        <w:t xml:space="preserve"> </w:t>
      </w:r>
      <w:proofErr w:type="spellStart"/>
      <w:r w:rsidRPr="00565D81">
        <w:rPr>
          <w:u w:val="single"/>
        </w:rPr>
        <w:t>pilnvarojuma</w:t>
      </w:r>
      <w:proofErr w:type="spellEnd"/>
      <w:r w:rsidRPr="00565D81">
        <w:rPr>
          <w:u w:val="single"/>
        </w:rPr>
        <w:t xml:space="preserve"> </w:t>
      </w:r>
      <w:proofErr w:type="spellStart"/>
      <w:r w:rsidRPr="00565D81">
        <w:rPr>
          <w:u w:val="single"/>
        </w:rPr>
        <w:t>līguma</w:t>
      </w:r>
      <w:proofErr w:type="spellEnd"/>
      <w:r w:rsidRPr="00565D81">
        <w:t xml:space="preserve"> </w:t>
      </w:r>
      <w:proofErr w:type="spellStart"/>
      <w:r w:rsidRPr="00565D81">
        <w:t>saturam</w:t>
      </w:r>
      <w:proofErr w:type="spellEnd"/>
      <w:r w:rsidRPr="00565D81">
        <w:t xml:space="preserve"> </w:t>
      </w:r>
      <w:proofErr w:type="spellStart"/>
      <w:r w:rsidRPr="00565D81">
        <w:t>piemērojamo</w:t>
      </w:r>
      <w:proofErr w:type="spellEnd"/>
      <w:r w:rsidRPr="00565D81">
        <w:t xml:space="preserve"> </w:t>
      </w:r>
      <w:proofErr w:type="spellStart"/>
      <w:r w:rsidRPr="00565D81">
        <w:t>likumu</w:t>
      </w:r>
      <w:proofErr w:type="spellEnd"/>
      <w:r w:rsidRPr="00565D81">
        <w:t xml:space="preserve"> </w:t>
      </w:r>
      <w:proofErr w:type="spellStart"/>
      <w:r w:rsidRPr="00565D81">
        <w:t>nosaka</w:t>
      </w:r>
      <w:proofErr w:type="spellEnd"/>
      <w:r w:rsidRPr="00565D81">
        <w:t xml:space="preserve"> </w:t>
      </w:r>
      <w:proofErr w:type="spellStart"/>
      <w:r w:rsidRPr="00565D81">
        <w:t>saskaņā</w:t>
      </w:r>
      <w:proofErr w:type="spellEnd"/>
      <w:r w:rsidRPr="00565D81">
        <w:t xml:space="preserve"> </w:t>
      </w:r>
      <w:proofErr w:type="spellStart"/>
      <w:r w:rsidRPr="00565D81">
        <w:t>ar</w:t>
      </w:r>
      <w:proofErr w:type="spellEnd"/>
      <w:r w:rsidRPr="00565D81">
        <w:t xml:space="preserve"> Roma I Regulas 3. </w:t>
      </w:r>
      <w:proofErr w:type="spellStart"/>
      <w:r w:rsidRPr="00565D81">
        <w:t>vai</w:t>
      </w:r>
      <w:proofErr w:type="spellEnd"/>
      <w:r w:rsidRPr="00565D81">
        <w:t xml:space="preserve"> 4.pantu, </w:t>
      </w:r>
      <w:proofErr w:type="spellStart"/>
      <w:r w:rsidRPr="00565D81">
        <w:t>tad</w:t>
      </w:r>
      <w:proofErr w:type="spellEnd"/>
      <w:r w:rsidRPr="00565D81">
        <w:t xml:space="preserve"> </w:t>
      </w:r>
      <w:proofErr w:type="spellStart"/>
      <w:r w:rsidRPr="00565D81">
        <w:rPr>
          <w:u w:val="single"/>
        </w:rPr>
        <w:t>formu</w:t>
      </w:r>
      <w:proofErr w:type="spellEnd"/>
      <w:r w:rsidRPr="00565D81">
        <w:t xml:space="preserve"> </w:t>
      </w:r>
      <w:proofErr w:type="spellStart"/>
      <w:r w:rsidRPr="00565D81">
        <w:t>nosaka</w:t>
      </w:r>
      <w:proofErr w:type="spellEnd"/>
      <w:r w:rsidRPr="00565D81">
        <w:t xml:space="preserve"> </w:t>
      </w:r>
      <w:proofErr w:type="spellStart"/>
      <w:r w:rsidRPr="00565D81">
        <w:t>saskaņā</w:t>
      </w:r>
      <w:proofErr w:type="spellEnd"/>
      <w:r w:rsidRPr="00565D81">
        <w:t xml:space="preserve"> </w:t>
      </w:r>
      <w:proofErr w:type="spellStart"/>
      <w:r w:rsidRPr="00565D81">
        <w:t>ar</w:t>
      </w:r>
      <w:proofErr w:type="spellEnd"/>
      <w:r w:rsidRPr="00565D81">
        <w:t xml:space="preserve"> Roma I Regulas 11.pantu: </w:t>
      </w:r>
    </w:p>
    <w:p w14:paraId="48E9EED2" w14:textId="77777777" w:rsidR="00114953" w:rsidRPr="000C7C76" w:rsidRDefault="00114953" w:rsidP="00114953">
      <w:pPr>
        <w:ind w:left="708"/>
        <w:jc w:val="both"/>
        <w:rPr>
          <w:rFonts w:ascii="Times New Roman" w:eastAsia="Arial Unicode MS" w:hAnsi="Times New Roman" w:cs="Times New Roman"/>
          <w:i/>
          <w:shd w:val="clear" w:color="auto" w:fill="FFFFFF"/>
          <w:lang w:val="de-DE"/>
        </w:rPr>
      </w:pPr>
      <w:r w:rsidRPr="000C7C76">
        <w:rPr>
          <w:rFonts w:ascii="Times New Roman" w:hAnsi="Times New Roman" w:cs="Times New Roman"/>
          <w:lang w:val="de-DE"/>
        </w:rPr>
        <w:t>„</w:t>
      </w:r>
      <w:r w:rsidRPr="000C7C76">
        <w:rPr>
          <w:rFonts w:ascii="Times New Roman" w:hAnsi="Times New Roman" w:cs="Times New Roman"/>
          <w:i/>
          <w:lang w:val="de-DE"/>
        </w:rPr>
        <w:t>1.</w:t>
      </w:r>
      <w:r w:rsidRPr="000C7C76">
        <w:rPr>
          <w:rFonts w:ascii="Times New Roman" w:eastAsia="Arial Unicode MS" w:hAnsi="Times New Roman" w:cs="Times New Roman"/>
          <w:i/>
          <w:shd w:val="clear" w:color="auto" w:fill="FFFFFF"/>
          <w:lang w:val="de-DE"/>
        </w:rPr>
        <w:t xml:space="preserve"> </w:t>
      </w:r>
      <w:proofErr w:type="spellStart"/>
      <w:r w:rsidRPr="000C7C76">
        <w:rPr>
          <w:rFonts w:ascii="Times New Roman" w:eastAsia="Arial Unicode MS" w:hAnsi="Times New Roman" w:cs="Times New Roman"/>
          <w:i/>
          <w:shd w:val="clear" w:color="auto" w:fill="FFFFFF"/>
          <w:lang w:val="de-DE"/>
        </w:rPr>
        <w:t>Līgums</w:t>
      </w:r>
      <w:proofErr w:type="spellEnd"/>
      <w:r w:rsidRPr="000C7C76">
        <w:rPr>
          <w:rFonts w:ascii="Times New Roman" w:eastAsia="Arial Unicode MS" w:hAnsi="Times New Roman" w:cs="Times New Roman"/>
          <w:i/>
          <w:shd w:val="clear" w:color="auto" w:fill="FFFFFF"/>
          <w:lang w:val="de-DE"/>
        </w:rPr>
        <w:t xml:space="preserve">, </w:t>
      </w:r>
      <w:proofErr w:type="spellStart"/>
      <w:r w:rsidRPr="000C7C76">
        <w:rPr>
          <w:rFonts w:ascii="Times New Roman" w:eastAsia="Arial Unicode MS" w:hAnsi="Times New Roman" w:cs="Times New Roman"/>
          <w:i/>
          <w:shd w:val="clear" w:color="auto" w:fill="FFFFFF"/>
          <w:lang w:val="de-DE"/>
        </w:rPr>
        <w:t>kurš</w:t>
      </w:r>
      <w:proofErr w:type="spellEnd"/>
      <w:r w:rsidRPr="000C7C76">
        <w:rPr>
          <w:rFonts w:ascii="Times New Roman" w:eastAsia="Arial Unicode MS" w:hAnsi="Times New Roman" w:cs="Times New Roman"/>
          <w:i/>
          <w:shd w:val="clear" w:color="auto" w:fill="FFFFFF"/>
          <w:lang w:val="de-DE"/>
        </w:rPr>
        <w:t xml:space="preserve"> </w:t>
      </w:r>
      <w:proofErr w:type="spellStart"/>
      <w:r w:rsidRPr="000C7C76">
        <w:rPr>
          <w:rFonts w:ascii="Times New Roman" w:eastAsia="Arial Unicode MS" w:hAnsi="Times New Roman" w:cs="Times New Roman"/>
          <w:i/>
          <w:shd w:val="clear" w:color="auto" w:fill="FFFFFF"/>
          <w:lang w:val="de-DE"/>
        </w:rPr>
        <w:t>noslēgts</w:t>
      </w:r>
      <w:proofErr w:type="spellEnd"/>
      <w:r w:rsidRPr="000C7C76">
        <w:rPr>
          <w:rFonts w:ascii="Times New Roman" w:eastAsia="Arial Unicode MS" w:hAnsi="Times New Roman" w:cs="Times New Roman"/>
          <w:i/>
          <w:shd w:val="clear" w:color="auto" w:fill="FFFFFF"/>
          <w:lang w:val="de-DE"/>
        </w:rPr>
        <w:t xml:space="preserve"> </w:t>
      </w:r>
      <w:proofErr w:type="spellStart"/>
      <w:r w:rsidRPr="000C7C76">
        <w:rPr>
          <w:rFonts w:ascii="Times New Roman" w:eastAsia="Arial Unicode MS" w:hAnsi="Times New Roman" w:cs="Times New Roman"/>
          <w:i/>
          <w:shd w:val="clear" w:color="auto" w:fill="FFFFFF"/>
          <w:lang w:val="de-DE"/>
        </w:rPr>
        <w:t>starp</w:t>
      </w:r>
      <w:proofErr w:type="spellEnd"/>
      <w:r w:rsidRPr="000C7C76">
        <w:rPr>
          <w:rFonts w:ascii="Times New Roman" w:eastAsia="Arial Unicode MS" w:hAnsi="Times New Roman" w:cs="Times New Roman"/>
          <w:i/>
          <w:shd w:val="clear" w:color="auto" w:fill="FFFFFF"/>
          <w:lang w:val="de-DE"/>
        </w:rPr>
        <w:t xml:space="preserve"> </w:t>
      </w:r>
      <w:proofErr w:type="spellStart"/>
      <w:r w:rsidRPr="000C7C76">
        <w:rPr>
          <w:rFonts w:ascii="Times New Roman" w:eastAsia="Arial Unicode MS" w:hAnsi="Times New Roman" w:cs="Times New Roman"/>
          <w:i/>
          <w:shd w:val="clear" w:color="auto" w:fill="FFFFFF"/>
          <w:lang w:val="de-DE"/>
        </w:rPr>
        <w:t>personām</w:t>
      </w:r>
      <w:proofErr w:type="spellEnd"/>
      <w:r w:rsidRPr="000C7C76">
        <w:rPr>
          <w:rFonts w:ascii="Times New Roman" w:eastAsia="Arial Unicode MS" w:hAnsi="Times New Roman" w:cs="Times New Roman"/>
          <w:i/>
          <w:shd w:val="clear" w:color="auto" w:fill="FFFFFF"/>
          <w:lang w:val="de-DE"/>
        </w:rPr>
        <w:t xml:space="preserve"> </w:t>
      </w:r>
      <w:proofErr w:type="spellStart"/>
      <w:r w:rsidRPr="000C7C76">
        <w:rPr>
          <w:rFonts w:ascii="Times New Roman" w:eastAsia="Arial Unicode MS" w:hAnsi="Times New Roman" w:cs="Times New Roman"/>
          <w:i/>
          <w:u w:val="single"/>
          <w:shd w:val="clear" w:color="auto" w:fill="FFFFFF"/>
          <w:lang w:val="de-DE"/>
        </w:rPr>
        <w:t>vai</w:t>
      </w:r>
      <w:proofErr w:type="spellEnd"/>
      <w:r w:rsidRPr="000C7C76">
        <w:rPr>
          <w:rFonts w:ascii="Times New Roman" w:eastAsia="Arial Unicode MS" w:hAnsi="Times New Roman" w:cs="Times New Roman"/>
          <w:i/>
          <w:u w:val="single"/>
          <w:shd w:val="clear" w:color="auto" w:fill="FFFFFF"/>
          <w:lang w:val="de-DE"/>
        </w:rPr>
        <w:t xml:space="preserve"> </w:t>
      </w:r>
      <w:proofErr w:type="spellStart"/>
      <w:r w:rsidRPr="000C7C76">
        <w:rPr>
          <w:rFonts w:ascii="Times New Roman" w:eastAsia="Arial Unicode MS" w:hAnsi="Times New Roman" w:cs="Times New Roman"/>
          <w:i/>
          <w:u w:val="single"/>
          <w:shd w:val="clear" w:color="auto" w:fill="FFFFFF"/>
          <w:lang w:val="de-DE"/>
        </w:rPr>
        <w:t>to</w:t>
      </w:r>
      <w:proofErr w:type="spellEnd"/>
      <w:r w:rsidRPr="000C7C76">
        <w:rPr>
          <w:rFonts w:ascii="Times New Roman" w:eastAsia="Arial Unicode MS" w:hAnsi="Times New Roman" w:cs="Times New Roman"/>
          <w:i/>
          <w:u w:val="single"/>
          <w:shd w:val="clear" w:color="auto" w:fill="FFFFFF"/>
          <w:lang w:val="de-DE"/>
        </w:rPr>
        <w:t xml:space="preserve"> </w:t>
      </w:r>
      <w:proofErr w:type="spellStart"/>
      <w:r w:rsidRPr="000C7C76">
        <w:rPr>
          <w:rFonts w:ascii="Times New Roman" w:eastAsia="Arial Unicode MS" w:hAnsi="Times New Roman" w:cs="Times New Roman"/>
          <w:i/>
          <w:u w:val="single"/>
          <w:shd w:val="clear" w:color="auto" w:fill="FFFFFF"/>
          <w:lang w:val="de-DE"/>
        </w:rPr>
        <w:t>pārstāvjiem</w:t>
      </w:r>
      <w:proofErr w:type="spellEnd"/>
      <w:r w:rsidRPr="000C7C76">
        <w:rPr>
          <w:rFonts w:ascii="Times New Roman" w:eastAsia="Arial Unicode MS" w:hAnsi="Times New Roman" w:cs="Times New Roman"/>
          <w:i/>
          <w:shd w:val="clear" w:color="auto" w:fill="FFFFFF"/>
          <w:lang w:val="de-DE"/>
        </w:rPr>
        <w:t xml:space="preserve">, </w:t>
      </w:r>
      <w:proofErr w:type="spellStart"/>
      <w:r w:rsidRPr="000C7C76">
        <w:rPr>
          <w:rFonts w:ascii="Times New Roman" w:eastAsia="Arial Unicode MS" w:hAnsi="Times New Roman" w:cs="Times New Roman"/>
          <w:i/>
          <w:shd w:val="clear" w:color="auto" w:fill="FFFFFF"/>
          <w:lang w:val="de-DE"/>
        </w:rPr>
        <w:t>kas</w:t>
      </w:r>
      <w:proofErr w:type="spellEnd"/>
      <w:r w:rsidRPr="000C7C76">
        <w:rPr>
          <w:rFonts w:ascii="Times New Roman" w:eastAsia="Arial Unicode MS" w:hAnsi="Times New Roman" w:cs="Times New Roman"/>
          <w:i/>
          <w:shd w:val="clear" w:color="auto" w:fill="FFFFFF"/>
          <w:lang w:val="de-DE"/>
        </w:rPr>
        <w:t xml:space="preserve"> </w:t>
      </w:r>
      <w:proofErr w:type="spellStart"/>
      <w:r w:rsidRPr="000C7C76">
        <w:rPr>
          <w:rFonts w:ascii="Times New Roman" w:eastAsia="Arial Unicode MS" w:hAnsi="Times New Roman" w:cs="Times New Roman"/>
          <w:i/>
          <w:shd w:val="clear" w:color="auto" w:fill="FFFFFF"/>
          <w:lang w:val="de-DE"/>
        </w:rPr>
        <w:t>līguma</w:t>
      </w:r>
      <w:proofErr w:type="spellEnd"/>
      <w:r w:rsidRPr="000C7C76">
        <w:rPr>
          <w:rFonts w:ascii="Times New Roman" w:eastAsia="Arial Unicode MS" w:hAnsi="Times New Roman" w:cs="Times New Roman"/>
          <w:i/>
          <w:shd w:val="clear" w:color="auto" w:fill="FFFFFF"/>
          <w:lang w:val="de-DE"/>
        </w:rPr>
        <w:t xml:space="preserve"> </w:t>
      </w:r>
      <w:proofErr w:type="spellStart"/>
      <w:r w:rsidRPr="000C7C76">
        <w:rPr>
          <w:rFonts w:ascii="Times New Roman" w:eastAsia="Arial Unicode MS" w:hAnsi="Times New Roman" w:cs="Times New Roman"/>
          <w:i/>
          <w:shd w:val="clear" w:color="auto" w:fill="FFFFFF"/>
          <w:lang w:val="de-DE"/>
        </w:rPr>
        <w:t>noslēgšanas</w:t>
      </w:r>
      <w:proofErr w:type="spellEnd"/>
      <w:r w:rsidRPr="000C7C76">
        <w:rPr>
          <w:rFonts w:ascii="Times New Roman" w:eastAsia="Arial Unicode MS" w:hAnsi="Times New Roman" w:cs="Times New Roman"/>
          <w:i/>
          <w:shd w:val="clear" w:color="auto" w:fill="FFFFFF"/>
          <w:lang w:val="de-DE"/>
        </w:rPr>
        <w:t xml:space="preserve"> </w:t>
      </w:r>
      <w:proofErr w:type="spellStart"/>
      <w:r w:rsidRPr="000C7C76">
        <w:rPr>
          <w:rFonts w:ascii="Times New Roman" w:eastAsia="Arial Unicode MS" w:hAnsi="Times New Roman" w:cs="Times New Roman"/>
          <w:i/>
          <w:shd w:val="clear" w:color="auto" w:fill="FFFFFF"/>
          <w:lang w:val="de-DE"/>
        </w:rPr>
        <w:t>brīdī</w:t>
      </w:r>
      <w:proofErr w:type="spellEnd"/>
      <w:r w:rsidRPr="000C7C76">
        <w:rPr>
          <w:rFonts w:ascii="Times New Roman" w:eastAsia="Arial Unicode MS" w:hAnsi="Times New Roman" w:cs="Times New Roman"/>
          <w:i/>
          <w:shd w:val="clear" w:color="auto" w:fill="FFFFFF"/>
          <w:lang w:val="de-DE"/>
        </w:rPr>
        <w:t xml:space="preserve"> </w:t>
      </w:r>
      <w:proofErr w:type="spellStart"/>
      <w:r w:rsidRPr="000C7C76">
        <w:rPr>
          <w:rFonts w:ascii="Times New Roman" w:eastAsia="Arial Unicode MS" w:hAnsi="Times New Roman" w:cs="Times New Roman"/>
          <w:i/>
          <w:shd w:val="clear" w:color="auto" w:fill="FFFFFF"/>
          <w:lang w:val="de-DE"/>
        </w:rPr>
        <w:t>ir</w:t>
      </w:r>
      <w:proofErr w:type="spellEnd"/>
      <w:r w:rsidRPr="000C7C76">
        <w:rPr>
          <w:rFonts w:ascii="Times New Roman" w:eastAsia="Arial Unicode MS" w:hAnsi="Times New Roman" w:cs="Times New Roman"/>
          <w:i/>
          <w:shd w:val="clear" w:color="auto" w:fill="FFFFFF"/>
          <w:lang w:val="de-DE"/>
        </w:rPr>
        <w:t xml:space="preserve"> </w:t>
      </w:r>
      <w:proofErr w:type="spellStart"/>
      <w:r w:rsidRPr="000C7C76">
        <w:rPr>
          <w:rFonts w:ascii="Times New Roman" w:eastAsia="Arial Unicode MS" w:hAnsi="Times New Roman" w:cs="Times New Roman"/>
          <w:i/>
          <w:shd w:val="clear" w:color="auto" w:fill="FFFFFF"/>
          <w:lang w:val="de-DE"/>
        </w:rPr>
        <w:t>dažādās</w:t>
      </w:r>
      <w:proofErr w:type="spellEnd"/>
      <w:r w:rsidRPr="000C7C76">
        <w:rPr>
          <w:rFonts w:ascii="Times New Roman" w:eastAsia="Arial Unicode MS" w:hAnsi="Times New Roman" w:cs="Times New Roman"/>
          <w:i/>
          <w:shd w:val="clear" w:color="auto" w:fill="FFFFFF"/>
          <w:lang w:val="de-DE"/>
        </w:rPr>
        <w:t xml:space="preserve"> </w:t>
      </w:r>
      <w:proofErr w:type="spellStart"/>
      <w:r w:rsidRPr="000C7C76">
        <w:rPr>
          <w:rFonts w:ascii="Times New Roman" w:eastAsia="Arial Unicode MS" w:hAnsi="Times New Roman" w:cs="Times New Roman"/>
          <w:i/>
          <w:shd w:val="clear" w:color="auto" w:fill="FFFFFF"/>
          <w:lang w:val="de-DE"/>
        </w:rPr>
        <w:t>valstīs</w:t>
      </w:r>
      <w:proofErr w:type="spellEnd"/>
      <w:r w:rsidRPr="000C7C76">
        <w:rPr>
          <w:rFonts w:ascii="Times New Roman" w:eastAsia="Arial Unicode MS" w:hAnsi="Times New Roman" w:cs="Times New Roman"/>
          <w:i/>
          <w:shd w:val="clear" w:color="auto" w:fill="FFFFFF"/>
          <w:lang w:val="de-DE"/>
        </w:rPr>
        <w:t xml:space="preserve">, </w:t>
      </w:r>
      <w:proofErr w:type="spellStart"/>
      <w:r w:rsidRPr="000C7C76">
        <w:rPr>
          <w:rFonts w:ascii="Times New Roman" w:eastAsia="Arial Unicode MS" w:hAnsi="Times New Roman" w:cs="Times New Roman"/>
          <w:i/>
          <w:shd w:val="clear" w:color="auto" w:fill="FFFFFF"/>
          <w:lang w:val="de-DE"/>
        </w:rPr>
        <w:t>formāli</w:t>
      </w:r>
      <w:proofErr w:type="spellEnd"/>
      <w:r w:rsidRPr="000C7C76">
        <w:rPr>
          <w:rFonts w:ascii="Times New Roman" w:eastAsia="Arial Unicode MS" w:hAnsi="Times New Roman" w:cs="Times New Roman"/>
          <w:i/>
          <w:shd w:val="clear" w:color="auto" w:fill="FFFFFF"/>
          <w:lang w:val="de-DE"/>
        </w:rPr>
        <w:t xml:space="preserve"> </w:t>
      </w:r>
      <w:proofErr w:type="spellStart"/>
      <w:r w:rsidRPr="000C7C76">
        <w:rPr>
          <w:rFonts w:ascii="Times New Roman" w:eastAsia="Arial Unicode MS" w:hAnsi="Times New Roman" w:cs="Times New Roman"/>
          <w:i/>
          <w:shd w:val="clear" w:color="auto" w:fill="FFFFFF"/>
          <w:lang w:val="de-DE"/>
        </w:rPr>
        <w:t>ir</w:t>
      </w:r>
      <w:proofErr w:type="spellEnd"/>
      <w:r w:rsidRPr="000C7C76">
        <w:rPr>
          <w:rFonts w:ascii="Times New Roman" w:eastAsia="Arial Unicode MS" w:hAnsi="Times New Roman" w:cs="Times New Roman"/>
          <w:i/>
          <w:shd w:val="clear" w:color="auto" w:fill="FFFFFF"/>
          <w:lang w:val="de-DE"/>
        </w:rPr>
        <w:t xml:space="preserve"> </w:t>
      </w:r>
      <w:proofErr w:type="spellStart"/>
      <w:r w:rsidRPr="000C7C76">
        <w:rPr>
          <w:rFonts w:ascii="Times New Roman" w:eastAsia="Arial Unicode MS" w:hAnsi="Times New Roman" w:cs="Times New Roman"/>
          <w:i/>
          <w:shd w:val="clear" w:color="auto" w:fill="FFFFFF"/>
          <w:lang w:val="de-DE"/>
        </w:rPr>
        <w:t>spēkā</w:t>
      </w:r>
      <w:proofErr w:type="spellEnd"/>
      <w:r w:rsidRPr="000C7C76">
        <w:rPr>
          <w:rFonts w:ascii="Times New Roman" w:eastAsia="Arial Unicode MS" w:hAnsi="Times New Roman" w:cs="Times New Roman"/>
          <w:i/>
          <w:shd w:val="clear" w:color="auto" w:fill="FFFFFF"/>
          <w:lang w:val="de-DE"/>
        </w:rPr>
        <w:t xml:space="preserve">, ja </w:t>
      </w:r>
      <w:proofErr w:type="spellStart"/>
      <w:r w:rsidRPr="000C7C76">
        <w:rPr>
          <w:rFonts w:ascii="Times New Roman" w:eastAsia="Arial Unicode MS" w:hAnsi="Times New Roman" w:cs="Times New Roman"/>
          <w:i/>
          <w:shd w:val="clear" w:color="auto" w:fill="FFFFFF"/>
          <w:lang w:val="de-DE"/>
        </w:rPr>
        <w:t>tas</w:t>
      </w:r>
      <w:proofErr w:type="spellEnd"/>
      <w:r w:rsidRPr="000C7C76">
        <w:rPr>
          <w:rFonts w:ascii="Times New Roman" w:eastAsia="Arial Unicode MS" w:hAnsi="Times New Roman" w:cs="Times New Roman"/>
          <w:i/>
          <w:shd w:val="clear" w:color="auto" w:fill="FFFFFF"/>
          <w:lang w:val="de-DE"/>
        </w:rPr>
        <w:t xml:space="preserve"> </w:t>
      </w:r>
      <w:proofErr w:type="spellStart"/>
      <w:r w:rsidRPr="000C7C76">
        <w:rPr>
          <w:rFonts w:ascii="Times New Roman" w:eastAsia="Arial Unicode MS" w:hAnsi="Times New Roman" w:cs="Times New Roman"/>
          <w:i/>
          <w:shd w:val="clear" w:color="auto" w:fill="FFFFFF"/>
          <w:lang w:val="de-DE"/>
        </w:rPr>
        <w:t>atbilst</w:t>
      </w:r>
      <w:proofErr w:type="spellEnd"/>
      <w:r w:rsidRPr="000C7C76">
        <w:rPr>
          <w:rFonts w:ascii="Times New Roman" w:eastAsia="Arial Unicode MS" w:hAnsi="Times New Roman" w:cs="Times New Roman"/>
          <w:i/>
          <w:shd w:val="clear" w:color="auto" w:fill="FFFFFF"/>
          <w:lang w:val="de-DE"/>
        </w:rPr>
        <w:t xml:space="preserve"> </w:t>
      </w:r>
      <w:proofErr w:type="spellStart"/>
      <w:r w:rsidRPr="000C7C76">
        <w:rPr>
          <w:rFonts w:ascii="Times New Roman" w:eastAsia="Arial Unicode MS" w:hAnsi="Times New Roman" w:cs="Times New Roman"/>
          <w:b/>
          <w:i/>
          <w:shd w:val="clear" w:color="auto" w:fill="FFFFFF"/>
          <w:lang w:val="de-DE"/>
        </w:rPr>
        <w:t>formas</w:t>
      </w:r>
      <w:proofErr w:type="spellEnd"/>
      <w:r w:rsidRPr="000C7C76">
        <w:rPr>
          <w:rFonts w:ascii="Times New Roman" w:eastAsia="Arial Unicode MS" w:hAnsi="Times New Roman" w:cs="Times New Roman"/>
          <w:i/>
          <w:shd w:val="clear" w:color="auto" w:fill="FFFFFF"/>
          <w:lang w:val="de-DE"/>
        </w:rPr>
        <w:t xml:space="preserve"> </w:t>
      </w:r>
      <w:proofErr w:type="spellStart"/>
      <w:r w:rsidRPr="000C7C76">
        <w:rPr>
          <w:rFonts w:ascii="Times New Roman" w:eastAsia="Arial Unicode MS" w:hAnsi="Times New Roman" w:cs="Times New Roman"/>
          <w:i/>
          <w:shd w:val="clear" w:color="auto" w:fill="FFFFFF"/>
          <w:lang w:val="de-DE"/>
        </w:rPr>
        <w:t>prasībām</w:t>
      </w:r>
      <w:proofErr w:type="spellEnd"/>
      <w:r w:rsidRPr="000C7C76">
        <w:rPr>
          <w:rFonts w:ascii="Times New Roman" w:eastAsia="Arial Unicode MS" w:hAnsi="Times New Roman" w:cs="Times New Roman"/>
          <w:i/>
          <w:shd w:val="clear" w:color="auto" w:fill="FFFFFF"/>
          <w:lang w:val="de-DE"/>
        </w:rPr>
        <w:t xml:space="preserve">, </w:t>
      </w:r>
      <w:proofErr w:type="spellStart"/>
      <w:r w:rsidRPr="000C7C76">
        <w:rPr>
          <w:rFonts w:ascii="Times New Roman" w:eastAsia="Arial Unicode MS" w:hAnsi="Times New Roman" w:cs="Times New Roman"/>
          <w:i/>
          <w:shd w:val="clear" w:color="auto" w:fill="FFFFFF"/>
          <w:lang w:val="de-DE"/>
        </w:rPr>
        <w:t>kuras</w:t>
      </w:r>
      <w:proofErr w:type="spellEnd"/>
      <w:r w:rsidRPr="000C7C76">
        <w:rPr>
          <w:rFonts w:ascii="Times New Roman" w:eastAsia="Arial Unicode MS" w:hAnsi="Times New Roman" w:cs="Times New Roman"/>
          <w:i/>
          <w:shd w:val="clear" w:color="auto" w:fill="FFFFFF"/>
          <w:lang w:val="de-DE"/>
        </w:rPr>
        <w:t xml:space="preserve"> </w:t>
      </w:r>
      <w:proofErr w:type="spellStart"/>
      <w:r w:rsidRPr="000C7C76">
        <w:rPr>
          <w:rFonts w:ascii="Times New Roman" w:eastAsia="Arial Unicode MS" w:hAnsi="Times New Roman" w:cs="Times New Roman"/>
          <w:i/>
          <w:shd w:val="clear" w:color="auto" w:fill="FFFFFF"/>
          <w:lang w:val="de-DE"/>
        </w:rPr>
        <w:t>paredzētas</w:t>
      </w:r>
      <w:proofErr w:type="spellEnd"/>
      <w:r w:rsidRPr="000C7C76">
        <w:rPr>
          <w:rFonts w:ascii="Times New Roman" w:eastAsia="Arial Unicode MS" w:hAnsi="Times New Roman" w:cs="Times New Roman"/>
          <w:i/>
          <w:shd w:val="clear" w:color="auto" w:fill="FFFFFF"/>
          <w:lang w:val="de-DE"/>
        </w:rPr>
        <w:t xml:space="preserve"> </w:t>
      </w:r>
      <w:proofErr w:type="spellStart"/>
      <w:r w:rsidRPr="000C7C76">
        <w:rPr>
          <w:rFonts w:ascii="Times New Roman" w:eastAsia="Arial Unicode MS" w:hAnsi="Times New Roman" w:cs="Times New Roman"/>
          <w:i/>
          <w:shd w:val="clear" w:color="auto" w:fill="FFFFFF"/>
          <w:lang w:val="de-DE"/>
        </w:rPr>
        <w:t>tiesību</w:t>
      </w:r>
      <w:proofErr w:type="spellEnd"/>
      <w:r w:rsidRPr="000C7C76">
        <w:rPr>
          <w:rFonts w:ascii="Times New Roman" w:eastAsia="Arial Unicode MS" w:hAnsi="Times New Roman" w:cs="Times New Roman"/>
          <w:i/>
          <w:shd w:val="clear" w:color="auto" w:fill="FFFFFF"/>
          <w:lang w:val="de-DE"/>
        </w:rPr>
        <w:t xml:space="preserve"> </w:t>
      </w:r>
      <w:proofErr w:type="spellStart"/>
      <w:r w:rsidRPr="000C7C76">
        <w:rPr>
          <w:rFonts w:ascii="Times New Roman" w:eastAsia="Arial Unicode MS" w:hAnsi="Times New Roman" w:cs="Times New Roman"/>
          <w:i/>
          <w:shd w:val="clear" w:color="auto" w:fill="FFFFFF"/>
          <w:lang w:val="de-DE"/>
        </w:rPr>
        <w:t>aktos</w:t>
      </w:r>
      <w:proofErr w:type="spellEnd"/>
      <w:r w:rsidRPr="000C7C76">
        <w:rPr>
          <w:rFonts w:ascii="Times New Roman" w:eastAsia="Arial Unicode MS" w:hAnsi="Times New Roman" w:cs="Times New Roman"/>
          <w:i/>
          <w:shd w:val="clear" w:color="auto" w:fill="FFFFFF"/>
          <w:lang w:val="de-DE"/>
        </w:rPr>
        <w:t xml:space="preserve">, </w:t>
      </w:r>
      <w:proofErr w:type="spellStart"/>
      <w:r w:rsidRPr="000C7C76">
        <w:rPr>
          <w:rFonts w:ascii="Times New Roman" w:eastAsia="Arial Unicode MS" w:hAnsi="Times New Roman" w:cs="Times New Roman"/>
          <w:i/>
          <w:shd w:val="clear" w:color="auto" w:fill="FFFFFF"/>
          <w:lang w:val="de-DE"/>
        </w:rPr>
        <w:t>kas</w:t>
      </w:r>
      <w:proofErr w:type="spellEnd"/>
      <w:r w:rsidRPr="000C7C76">
        <w:rPr>
          <w:rFonts w:ascii="Times New Roman" w:eastAsia="Arial Unicode MS" w:hAnsi="Times New Roman" w:cs="Times New Roman"/>
          <w:i/>
          <w:shd w:val="clear" w:color="auto" w:fill="FFFFFF"/>
          <w:lang w:val="de-DE"/>
        </w:rPr>
        <w:t xml:space="preserve"> </w:t>
      </w:r>
      <w:proofErr w:type="spellStart"/>
      <w:r w:rsidRPr="000C7C76">
        <w:rPr>
          <w:rFonts w:ascii="Times New Roman" w:eastAsia="Arial Unicode MS" w:hAnsi="Times New Roman" w:cs="Times New Roman"/>
          <w:i/>
          <w:shd w:val="clear" w:color="auto" w:fill="FFFFFF"/>
          <w:lang w:val="de-DE"/>
        </w:rPr>
        <w:t>saskaņā</w:t>
      </w:r>
      <w:proofErr w:type="spellEnd"/>
      <w:r w:rsidRPr="000C7C76">
        <w:rPr>
          <w:rFonts w:ascii="Times New Roman" w:eastAsia="Arial Unicode MS" w:hAnsi="Times New Roman" w:cs="Times New Roman"/>
          <w:i/>
          <w:shd w:val="clear" w:color="auto" w:fill="FFFFFF"/>
          <w:lang w:val="de-DE"/>
        </w:rPr>
        <w:t xml:space="preserve"> </w:t>
      </w:r>
      <w:proofErr w:type="spellStart"/>
      <w:r w:rsidRPr="000C7C76">
        <w:rPr>
          <w:rFonts w:ascii="Times New Roman" w:eastAsia="Arial Unicode MS" w:hAnsi="Times New Roman" w:cs="Times New Roman"/>
          <w:i/>
          <w:shd w:val="clear" w:color="auto" w:fill="FFFFFF"/>
          <w:lang w:val="de-DE"/>
        </w:rPr>
        <w:t>ar</w:t>
      </w:r>
      <w:proofErr w:type="spellEnd"/>
      <w:r w:rsidRPr="000C7C76">
        <w:rPr>
          <w:rFonts w:ascii="Times New Roman" w:eastAsia="Arial Unicode MS" w:hAnsi="Times New Roman" w:cs="Times New Roman"/>
          <w:i/>
          <w:shd w:val="clear" w:color="auto" w:fill="FFFFFF"/>
          <w:lang w:val="de-DE"/>
        </w:rPr>
        <w:t xml:space="preserve"> </w:t>
      </w:r>
      <w:proofErr w:type="spellStart"/>
      <w:r w:rsidRPr="000C7C76">
        <w:rPr>
          <w:rFonts w:ascii="Times New Roman" w:eastAsia="Arial Unicode MS" w:hAnsi="Times New Roman" w:cs="Times New Roman"/>
          <w:i/>
          <w:shd w:val="clear" w:color="auto" w:fill="FFFFFF"/>
          <w:lang w:val="de-DE"/>
        </w:rPr>
        <w:t>šo</w:t>
      </w:r>
      <w:proofErr w:type="spellEnd"/>
      <w:r w:rsidRPr="000C7C76">
        <w:rPr>
          <w:rFonts w:ascii="Times New Roman" w:eastAsia="Arial Unicode MS" w:hAnsi="Times New Roman" w:cs="Times New Roman"/>
          <w:i/>
          <w:shd w:val="clear" w:color="auto" w:fill="FFFFFF"/>
          <w:lang w:val="de-DE"/>
        </w:rPr>
        <w:t xml:space="preserve"> </w:t>
      </w:r>
      <w:proofErr w:type="spellStart"/>
      <w:r w:rsidRPr="000C7C76">
        <w:rPr>
          <w:rFonts w:ascii="Times New Roman" w:eastAsia="Arial Unicode MS" w:hAnsi="Times New Roman" w:cs="Times New Roman"/>
          <w:i/>
          <w:shd w:val="clear" w:color="auto" w:fill="FFFFFF"/>
          <w:lang w:val="de-DE"/>
        </w:rPr>
        <w:t>regulu</w:t>
      </w:r>
      <w:proofErr w:type="spellEnd"/>
      <w:r w:rsidRPr="000C7C76">
        <w:rPr>
          <w:rFonts w:ascii="Times New Roman" w:eastAsia="Arial Unicode MS" w:hAnsi="Times New Roman" w:cs="Times New Roman"/>
          <w:i/>
          <w:shd w:val="clear" w:color="auto" w:fill="FFFFFF"/>
          <w:lang w:val="de-DE"/>
        </w:rPr>
        <w:t xml:space="preserve"> </w:t>
      </w:r>
      <w:proofErr w:type="spellStart"/>
      <w:r w:rsidRPr="000C7C76">
        <w:rPr>
          <w:rFonts w:ascii="Times New Roman" w:eastAsia="Arial Unicode MS" w:hAnsi="Times New Roman" w:cs="Times New Roman"/>
          <w:i/>
          <w:shd w:val="clear" w:color="auto" w:fill="FFFFFF"/>
          <w:lang w:val="de-DE"/>
        </w:rPr>
        <w:t>attiecīgo</w:t>
      </w:r>
      <w:proofErr w:type="spellEnd"/>
      <w:r w:rsidRPr="000C7C76">
        <w:rPr>
          <w:rFonts w:ascii="Times New Roman" w:eastAsia="Arial Unicode MS" w:hAnsi="Times New Roman" w:cs="Times New Roman"/>
          <w:i/>
          <w:shd w:val="clear" w:color="auto" w:fill="FFFFFF"/>
          <w:lang w:val="de-DE"/>
        </w:rPr>
        <w:t xml:space="preserve"> </w:t>
      </w:r>
      <w:proofErr w:type="spellStart"/>
      <w:r w:rsidRPr="000C7C76">
        <w:rPr>
          <w:rFonts w:ascii="Times New Roman" w:eastAsia="Arial Unicode MS" w:hAnsi="Times New Roman" w:cs="Times New Roman"/>
          <w:i/>
          <w:shd w:val="clear" w:color="auto" w:fill="FFFFFF"/>
          <w:lang w:val="de-DE"/>
        </w:rPr>
        <w:t>līgumu</w:t>
      </w:r>
      <w:proofErr w:type="spellEnd"/>
      <w:r w:rsidRPr="000C7C76">
        <w:rPr>
          <w:rFonts w:ascii="Times New Roman" w:eastAsia="Arial Unicode MS" w:hAnsi="Times New Roman" w:cs="Times New Roman"/>
          <w:i/>
          <w:shd w:val="clear" w:color="auto" w:fill="FFFFFF"/>
          <w:lang w:val="de-DE"/>
        </w:rPr>
        <w:t xml:space="preserve"> </w:t>
      </w:r>
      <w:proofErr w:type="spellStart"/>
      <w:r w:rsidRPr="000C7C76">
        <w:rPr>
          <w:rFonts w:ascii="Times New Roman" w:eastAsia="Arial Unicode MS" w:hAnsi="Times New Roman" w:cs="Times New Roman"/>
          <w:i/>
          <w:shd w:val="clear" w:color="auto" w:fill="FFFFFF"/>
          <w:lang w:val="de-DE"/>
        </w:rPr>
        <w:t>reglamentē</w:t>
      </w:r>
      <w:proofErr w:type="spellEnd"/>
      <w:r w:rsidRPr="000C7C76">
        <w:rPr>
          <w:rFonts w:ascii="Times New Roman" w:eastAsia="Arial Unicode MS" w:hAnsi="Times New Roman" w:cs="Times New Roman"/>
          <w:i/>
          <w:shd w:val="clear" w:color="auto" w:fill="FFFFFF"/>
          <w:lang w:val="de-DE"/>
        </w:rPr>
        <w:t xml:space="preserve"> </w:t>
      </w:r>
      <w:proofErr w:type="spellStart"/>
      <w:r w:rsidRPr="000C7C76">
        <w:rPr>
          <w:rFonts w:ascii="Times New Roman" w:eastAsia="Arial Unicode MS" w:hAnsi="Times New Roman" w:cs="Times New Roman"/>
          <w:i/>
          <w:shd w:val="clear" w:color="auto" w:fill="FFFFFF"/>
          <w:lang w:val="de-DE"/>
        </w:rPr>
        <w:t>pēc</w:t>
      </w:r>
      <w:proofErr w:type="spellEnd"/>
      <w:r w:rsidRPr="000C7C76">
        <w:rPr>
          <w:rFonts w:ascii="Times New Roman" w:eastAsia="Arial Unicode MS" w:hAnsi="Times New Roman" w:cs="Times New Roman"/>
          <w:i/>
          <w:shd w:val="clear" w:color="auto" w:fill="FFFFFF"/>
          <w:lang w:val="de-DE"/>
        </w:rPr>
        <w:t xml:space="preserve"> </w:t>
      </w:r>
      <w:proofErr w:type="spellStart"/>
      <w:r w:rsidRPr="000C7C76">
        <w:rPr>
          <w:rFonts w:ascii="Times New Roman" w:eastAsia="Arial Unicode MS" w:hAnsi="Times New Roman" w:cs="Times New Roman"/>
          <w:i/>
          <w:shd w:val="clear" w:color="auto" w:fill="FFFFFF"/>
          <w:lang w:val="de-DE"/>
        </w:rPr>
        <w:t>būtības</w:t>
      </w:r>
      <w:proofErr w:type="spellEnd"/>
      <w:r w:rsidRPr="000C7C76">
        <w:rPr>
          <w:rFonts w:ascii="Times New Roman" w:eastAsia="Arial Unicode MS" w:hAnsi="Times New Roman" w:cs="Times New Roman"/>
          <w:i/>
          <w:shd w:val="clear" w:color="auto" w:fill="FFFFFF"/>
          <w:lang w:val="de-DE"/>
        </w:rPr>
        <w:t xml:space="preserve">, </w:t>
      </w:r>
      <w:proofErr w:type="spellStart"/>
      <w:r w:rsidRPr="000C7C76">
        <w:rPr>
          <w:rFonts w:ascii="Times New Roman" w:eastAsia="Arial Unicode MS" w:hAnsi="Times New Roman" w:cs="Times New Roman"/>
          <w:i/>
          <w:shd w:val="clear" w:color="auto" w:fill="FFFFFF"/>
          <w:lang w:val="de-DE"/>
        </w:rPr>
        <w:t>vai</w:t>
      </w:r>
      <w:proofErr w:type="spellEnd"/>
      <w:r w:rsidRPr="000C7C76">
        <w:rPr>
          <w:rFonts w:ascii="Times New Roman" w:eastAsia="Arial Unicode MS" w:hAnsi="Times New Roman" w:cs="Times New Roman"/>
          <w:i/>
          <w:shd w:val="clear" w:color="auto" w:fill="FFFFFF"/>
          <w:lang w:val="de-DE"/>
        </w:rPr>
        <w:t xml:space="preserve"> </w:t>
      </w:r>
      <w:proofErr w:type="spellStart"/>
      <w:r w:rsidRPr="000C7C76">
        <w:rPr>
          <w:rFonts w:ascii="Times New Roman" w:eastAsia="Arial Unicode MS" w:hAnsi="Times New Roman" w:cs="Times New Roman"/>
          <w:i/>
          <w:shd w:val="clear" w:color="auto" w:fill="FFFFFF"/>
          <w:lang w:val="de-DE"/>
        </w:rPr>
        <w:t>tā</w:t>
      </w:r>
      <w:proofErr w:type="spellEnd"/>
      <w:r w:rsidRPr="000C7C76">
        <w:rPr>
          <w:rFonts w:ascii="Times New Roman" w:eastAsia="Arial Unicode MS" w:hAnsi="Times New Roman" w:cs="Times New Roman"/>
          <w:i/>
          <w:shd w:val="clear" w:color="auto" w:fill="FFFFFF"/>
          <w:lang w:val="de-DE"/>
        </w:rPr>
        <w:t xml:space="preserve"> </w:t>
      </w:r>
      <w:proofErr w:type="spellStart"/>
      <w:r w:rsidRPr="000C7C76">
        <w:rPr>
          <w:rFonts w:ascii="Times New Roman" w:eastAsia="Arial Unicode MS" w:hAnsi="Times New Roman" w:cs="Times New Roman"/>
          <w:i/>
          <w:shd w:val="clear" w:color="auto" w:fill="FFFFFF"/>
          <w:lang w:val="de-DE"/>
        </w:rPr>
        <w:t>noslēgšanas</w:t>
      </w:r>
      <w:proofErr w:type="spellEnd"/>
      <w:r w:rsidRPr="000C7C76">
        <w:rPr>
          <w:rFonts w:ascii="Times New Roman" w:eastAsia="Arial Unicode MS" w:hAnsi="Times New Roman" w:cs="Times New Roman"/>
          <w:i/>
          <w:shd w:val="clear" w:color="auto" w:fill="FFFFFF"/>
          <w:lang w:val="de-DE"/>
        </w:rPr>
        <w:t xml:space="preserve"> </w:t>
      </w:r>
      <w:proofErr w:type="spellStart"/>
      <w:r w:rsidRPr="000C7C76">
        <w:rPr>
          <w:rFonts w:ascii="Times New Roman" w:eastAsia="Arial Unicode MS" w:hAnsi="Times New Roman" w:cs="Times New Roman"/>
          <w:i/>
          <w:shd w:val="clear" w:color="auto" w:fill="FFFFFF"/>
          <w:lang w:val="de-DE"/>
        </w:rPr>
        <w:t>valsts</w:t>
      </w:r>
      <w:proofErr w:type="spellEnd"/>
      <w:r w:rsidRPr="000C7C76">
        <w:rPr>
          <w:rFonts w:ascii="Times New Roman" w:eastAsia="Arial Unicode MS" w:hAnsi="Times New Roman" w:cs="Times New Roman"/>
          <w:i/>
          <w:shd w:val="clear" w:color="auto" w:fill="FFFFFF"/>
          <w:lang w:val="de-DE"/>
        </w:rPr>
        <w:t xml:space="preserve"> </w:t>
      </w:r>
      <w:proofErr w:type="spellStart"/>
      <w:r w:rsidRPr="000C7C76">
        <w:rPr>
          <w:rFonts w:ascii="Times New Roman" w:eastAsia="Arial Unicode MS" w:hAnsi="Times New Roman" w:cs="Times New Roman"/>
          <w:i/>
          <w:shd w:val="clear" w:color="auto" w:fill="FFFFFF"/>
          <w:lang w:val="de-DE"/>
        </w:rPr>
        <w:t>tiesību</w:t>
      </w:r>
      <w:proofErr w:type="spellEnd"/>
      <w:r w:rsidRPr="000C7C76">
        <w:rPr>
          <w:rFonts w:ascii="Times New Roman" w:eastAsia="Arial Unicode MS" w:hAnsi="Times New Roman" w:cs="Times New Roman"/>
          <w:i/>
          <w:shd w:val="clear" w:color="auto" w:fill="FFFFFF"/>
          <w:lang w:val="de-DE"/>
        </w:rPr>
        <w:t xml:space="preserve"> </w:t>
      </w:r>
      <w:proofErr w:type="spellStart"/>
      <w:r w:rsidRPr="000C7C76">
        <w:rPr>
          <w:rFonts w:ascii="Times New Roman" w:eastAsia="Arial Unicode MS" w:hAnsi="Times New Roman" w:cs="Times New Roman"/>
          <w:i/>
          <w:shd w:val="clear" w:color="auto" w:fill="FFFFFF"/>
          <w:lang w:val="de-DE"/>
        </w:rPr>
        <w:t>aktos</w:t>
      </w:r>
      <w:proofErr w:type="spellEnd"/>
      <w:r w:rsidRPr="000C7C76">
        <w:rPr>
          <w:rFonts w:ascii="Times New Roman" w:eastAsia="Arial Unicode MS" w:hAnsi="Times New Roman" w:cs="Times New Roman"/>
          <w:i/>
          <w:shd w:val="clear" w:color="auto" w:fill="FFFFFF"/>
          <w:lang w:val="de-DE"/>
        </w:rPr>
        <w:t>.</w:t>
      </w:r>
    </w:p>
    <w:p w14:paraId="154ED2AC" w14:textId="77777777" w:rsidR="00B72FCB" w:rsidRPr="000C7C76" w:rsidRDefault="00B72FCB" w:rsidP="00114953">
      <w:pPr>
        <w:ind w:left="708"/>
        <w:jc w:val="both"/>
        <w:rPr>
          <w:rFonts w:ascii="Times New Roman" w:eastAsia="Arial Unicode MS" w:hAnsi="Times New Roman" w:cs="Times New Roman"/>
          <w:i/>
          <w:shd w:val="clear" w:color="auto" w:fill="FFFFFF"/>
          <w:lang w:val="de-DE"/>
        </w:rPr>
      </w:pPr>
    </w:p>
    <w:p w14:paraId="517BD145" w14:textId="77777777" w:rsidR="00114953" w:rsidRPr="000C7C76" w:rsidRDefault="00114953" w:rsidP="00114953">
      <w:pPr>
        <w:ind w:left="708"/>
        <w:jc w:val="both"/>
        <w:rPr>
          <w:rFonts w:ascii="Times New Roman" w:eastAsia="Times New Roman" w:hAnsi="Times New Roman" w:cs="Times New Roman"/>
          <w:i/>
          <w:lang w:val="de-DE"/>
        </w:rPr>
      </w:pPr>
      <w:r w:rsidRPr="000C7C76">
        <w:rPr>
          <w:rFonts w:ascii="Times New Roman" w:eastAsia="Times New Roman" w:hAnsi="Times New Roman" w:cs="Times New Roman"/>
          <w:i/>
          <w:lang w:val="de-DE"/>
        </w:rPr>
        <w:t>2.</w:t>
      </w:r>
      <w:r w:rsidRPr="000C7C76">
        <w:rPr>
          <w:rFonts w:ascii="Times New Roman" w:eastAsia="Arial Unicode MS" w:hAnsi="Times New Roman" w:cs="Times New Roman"/>
          <w:i/>
          <w:shd w:val="clear" w:color="auto" w:fill="FFFFFF"/>
          <w:lang w:val="de-DE"/>
        </w:rPr>
        <w:t xml:space="preserve"> </w:t>
      </w:r>
      <w:proofErr w:type="spellStart"/>
      <w:r w:rsidRPr="000C7C76">
        <w:rPr>
          <w:rFonts w:ascii="Times New Roman" w:eastAsia="Arial Unicode MS" w:hAnsi="Times New Roman" w:cs="Times New Roman"/>
          <w:i/>
          <w:shd w:val="clear" w:color="auto" w:fill="FFFFFF"/>
          <w:lang w:val="de-DE"/>
        </w:rPr>
        <w:t>Līgums</w:t>
      </w:r>
      <w:proofErr w:type="spellEnd"/>
      <w:r w:rsidRPr="000C7C76">
        <w:rPr>
          <w:rFonts w:ascii="Times New Roman" w:eastAsia="Arial Unicode MS" w:hAnsi="Times New Roman" w:cs="Times New Roman"/>
          <w:i/>
          <w:shd w:val="clear" w:color="auto" w:fill="FFFFFF"/>
          <w:lang w:val="de-DE"/>
        </w:rPr>
        <w:t xml:space="preserve">, </w:t>
      </w:r>
      <w:proofErr w:type="spellStart"/>
      <w:r w:rsidRPr="000C7C76">
        <w:rPr>
          <w:rFonts w:ascii="Times New Roman" w:eastAsia="Arial Unicode MS" w:hAnsi="Times New Roman" w:cs="Times New Roman"/>
          <w:i/>
          <w:shd w:val="clear" w:color="auto" w:fill="FFFFFF"/>
          <w:lang w:val="de-DE"/>
        </w:rPr>
        <w:t>kurš</w:t>
      </w:r>
      <w:proofErr w:type="spellEnd"/>
      <w:r w:rsidRPr="000C7C76">
        <w:rPr>
          <w:rFonts w:ascii="Times New Roman" w:eastAsia="Arial Unicode MS" w:hAnsi="Times New Roman" w:cs="Times New Roman"/>
          <w:i/>
          <w:shd w:val="clear" w:color="auto" w:fill="FFFFFF"/>
          <w:lang w:val="de-DE"/>
        </w:rPr>
        <w:t xml:space="preserve"> </w:t>
      </w:r>
      <w:proofErr w:type="spellStart"/>
      <w:r w:rsidRPr="000C7C76">
        <w:rPr>
          <w:rFonts w:ascii="Times New Roman" w:eastAsia="Arial Unicode MS" w:hAnsi="Times New Roman" w:cs="Times New Roman"/>
          <w:i/>
          <w:shd w:val="clear" w:color="auto" w:fill="FFFFFF"/>
          <w:lang w:val="de-DE"/>
        </w:rPr>
        <w:t>noslēgts</w:t>
      </w:r>
      <w:proofErr w:type="spellEnd"/>
      <w:r w:rsidRPr="000C7C76">
        <w:rPr>
          <w:rFonts w:ascii="Times New Roman" w:eastAsia="Arial Unicode MS" w:hAnsi="Times New Roman" w:cs="Times New Roman"/>
          <w:i/>
          <w:shd w:val="clear" w:color="auto" w:fill="FFFFFF"/>
          <w:lang w:val="de-DE"/>
        </w:rPr>
        <w:t xml:space="preserve"> </w:t>
      </w:r>
      <w:proofErr w:type="spellStart"/>
      <w:r w:rsidRPr="000C7C76">
        <w:rPr>
          <w:rFonts w:ascii="Times New Roman" w:eastAsia="Arial Unicode MS" w:hAnsi="Times New Roman" w:cs="Times New Roman"/>
          <w:i/>
          <w:shd w:val="clear" w:color="auto" w:fill="FFFFFF"/>
          <w:lang w:val="de-DE"/>
        </w:rPr>
        <w:t>starp</w:t>
      </w:r>
      <w:proofErr w:type="spellEnd"/>
      <w:r w:rsidRPr="000C7C76">
        <w:rPr>
          <w:rFonts w:ascii="Times New Roman" w:eastAsia="Arial Unicode MS" w:hAnsi="Times New Roman" w:cs="Times New Roman"/>
          <w:i/>
          <w:shd w:val="clear" w:color="auto" w:fill="FFFFFF"/>
          <w:lang w:val="de-DE"/>
        </w:rPr>
        <w:t xml:space="preserve"> </w:t>
      </w:r>
      <w:proofErr w:type="spellStart"/>
      <w:r w:rsidRPr="000C7C76">
        <w:rPr>
          <w:rFonts w:ascii="Times New Roman" w:eastAsia="Arial Unicode MS" w:hAnsi="Times New Roman" w:cs="Times New Roman"/>
          <w:i/>
          <w:shd w:val="clear" w:color="auto" w:fill="FFFFFF"/>
          <w:lang w:val="de-DE"/>
        </w:rPr>
        <w:t>personām</w:t>
      </w:r>
      <w:proofErr w:type="spellEnd"/>
      <w:r w:rsidRPr="000C7C76">
        <w:rPr>
          <w:rFonts w:ascii="Times New Roman" w:eastAsia="Arial Unicode MS" w:hAnsi="Times New Roman" w:cs="Times New Roman"/>
          <w:i/>
          <w:shd w:val="clear" w:color="auto" w:fill="FFFFFF"/>
          <w:lang w:val="de-DE"/>
        </w:rPr>
        <w:t xml:space="preserve"> </w:t>
      </w:r>
      <w:proofErr w:type="spellStart"/>
      <w:r w:rsidRPr="000C7C76">
        <w:rPr>
          <w:rFonts w:ascii="Times New Roman" w:eastAsia="Arial Unicode MS" w:hAnsi="Times New Roman" w:cs="Times New Roman"/>
          <w:i/>
          <w:u w:val="single"/>
          <w:shd w:val="clear" w:color="auto" w:fill="FFFFFF"/>
          <w:lang w:val="de-DE"/>
        </w:rPr>
        <w:t>vai</w:t>
      </w:r>
      <w:proofErr w:type="spellEnd"/>
      <w:r w:rsidRPr="000C7C76">
        <w:rPr>
          <w:rFonts w:ascii="Times New Roman" w:eastAsia="Arial Unicode MS" w:hAnsi="Times New Roman" w:cs="Times New Roman"/>
          <w:i/>
          <w:u w:val="single"/>
          <w:shd w:val="clear" w:color="auto" w:fill="FFFFFF"/>
          <w:lang w:val="de-DE"/>
        </w:rPr>
        <w:t xml:space="preserve"> </w:t>
      </w:r>
      <w:proofErr w:type="spellStart"/>
      <w:r w:rsidRPr="000C7C76">
        <w:rPr>
          <w:rFonts w:ascii="Times New Roman" w:eastAsia="Arial Unicode MS" w:hAnsi="Times New Roman" w:cs="Times New Roman"/>
          <w:i/>
          <w:u w:val="single"/>
          <w:shd w:val="clear" w:color="auto" w:fill="FFFFFF"/>
          <w:lang w:val="de-DE"/>
        </w:rPr>
        <w:t>to</w:t>
      </w:r>
      <w:proofErr w:type="spellEnd"/>
      <w:r w:rsidRPr="000C7C76">
        <w:rPr>
          <w:rFonts w:ascii="Times New Roman" w:eastAsia="Arial Unicode MS" w:hAnsi="Times New Roman" w:cs="Times New Roman"/>
          <w:i/>
          <w:u w:val="single"/>
          <w:shd w:val="clear" w:color="auto" w:fill="FFFFFF"/>
          <w:lang w:val="de-DE"/>
        </w:rPr>
        <w:t xml:space="preserve"> </w:t>
      </w:r>
      <w:proofErr w:type="spellStart"/>
      <w:r w:rsidRPr="000C7C76">
        <w:rPr>
          <w:rFonts w:ascii="Times New Roman" w:eastAsia="Arial Unicode MS" w:hAnsi="Times New Roman" w:cs="Times New Roman"/>
          <w:i/>
          <w:u w:val="single"/>
          <w:shd w:val="clear" w:color="auto" w:fill="FFFFFF"/>
          <w:lang w:val="de-DE"/>
        </w:rPr>
        <w:t>pārstāvjiem</w:t>
      </w:r>
      <w:proofErr w:type="spellEnd"/>
      <w:r w:rsidRPr="000C7C76">
        <w:rPr>
          <w:rFonts w:ascii="Times New Roman" w:eastAsia="Arial Unicode MS" w:hAnsi="Times New Roman" w:cs="Times New Roman"/>
          <w:i/>
          <w:shd w:val="clear" w:color="auto" w:fill="FFFFFF"/>
          <w:lang w:val="de-DE"/>
        </w:rPr>
        <w:t xml:space="preserve">, </w:t>
      </w:r>
      <w:proofErr w:type="spellStart"/>
      <w:r w:rsidRPr="000C7C76">
        <w:rPr>
          <w:rFonts w:ascii="Times New Roman" w:eastAsia="Arial Unicode MS" w:hAnsi="Times New Roman" w:cs="Times New Roman"/>
          <w:i/>
          <w:shd w:val="clear" w:color="auto" w:fill="FFFFFF"/>
          <w:lang w:val="de-DE"/>
        </w:rPr>
        <w:t>kas</w:t>
      </w:r>
      <w:proofErr w:type="spellEnd"/>
      <w:r w:rsidRPr="000C7C76">
        <w:rPr>
          <w:rFonts w:ascii="Times New Roman" w:eastAsia="Arial Unicode MS" w:hAnsi="Times New Roman" w:cs="Times New Roman"/>
          <w:i/>
          <w:shd w:val="clear" w:color="auto" w:fill="FFFFFF"/>
          <w:lang w:val="de-DE"/>
        </w:rPr>
        <w:t xml:space="preserve"> </w:t>
      </w:r>
      <w:proofErr w:type="spellStart"/>
      <w:r w:rsidRPr="000C7C76">
        <w:rPr>
          <w:rFonts w:ascii="Times New Roman" w:eastAsia="Arial Unicode MS" w:hAnsi="Times New Roman" w:cs="Times New Roman"/>
          <w:i/>
          <w:shd w:val="clear" w:color="auto" w:fill="FFFFFF"/>
          <w:lang w:val="de-DE"/>
        </w:rPr>
        <w:t>līguma</w:t>
      </w:r>
      <w:proofErr w:type="spellEnd"/>
      <w:r w:rsidRPr="000C7C76">
        <w:rPr>
          <w:rFonts w:ascii="Times New Roman" w:eastAsia="Arial Unicode MS" w:hAnsi="Times New Roman" w:cs="Times New Roman"/>
          <w:i/>
          <w:shd w:val="clear" w:color="auto" w:fill="FFFFFF"/>
          <w:lang w:val="de-DE"/>
        </w:rPr>
        <w:t xml:space="preserve"> </w:t>
      </w:r>
      <w:proofErr w:type="spellStart"/>
      <w:r w:rsidRPr="000C7C76">
        <w:rPr>
          <w:rFonts w:ascii="Times New Roman" w:eastAsia="Arial Unicode MS" w:hAnsi="Times New Roman" w:cs="Times New Roman"/>
          <w:i/>
          <w:shd w:val="clear" w:color="auto" w:fill="FFFFFF"/>
          <w:lang w:val="de-DE"/>
        </w:rPr>
        <w:t>noslēgšanas</w:t>
      </w:r>
      <w:proofErr w:type="spellEnd"/>
      <w:r w:rsidRPr="000C7C76">
        <w:rPr>
          <w:rFonts w:ascii="Times New Roman" w:eastAsia="Arial Unicode MS" w:hAnsi="Times New Roman" w:cs="Times New Roman"/>
          <w:i/>
          <w:shd w:val="clear" w:color="auto" w:fill="FFFFFF"/>
          <w:lang w:val="de-DE"/>
        </w:rPr>
        <w:t xml:space="preserve"> </w:t>
      </w:r>
      <w:proofErr w:type="spellStart"/>
      <w:r w:rsidRPr="000C7C76">
        <w:rPr>
          <w:rFonts w:ascii="Times New Roman" w:eastAsia="Arial Unicode MS" w:hAnsi="Times New Roman" w:cs="Times New Roman"/>
          <w:i/>
          <w:shd w:val="clear" w:color="auto" w:fill="FFFFFF"/>
          <w:lang w:val="de-DE"/>
        </w:rPr>
        <w:t>brīdī</w:t>
      </w:r>
      <w:proofErr w:type="spellEnd"/>
      <w:r w:rsidRPr="000C7C76">
        <w:rPr>
          <w:rFonts w:ascii="Times New Roman" w:eastAsia="Arial Unicode MS" w:hAnsi="Times New Roman" w:cs="Times New Roman"/>
          <w:i/>
          <w:shd w:val="clear" w:color="auto" w:fill="FFFFFF"/>
          <w:lang w:val="de-DE"/>
        </w:rPr>
        <w:t xml:space="preserve"> </w:t>
      </w:r>
      <w:proofErr w:type="spellStart"/>
      <w:r w:rsidRPr="000C7C76">
        <w:rPr>
          <w:rFonts w:ascii="Times New Roman" w:eastAsia="Arial Unicode MS" w:hAnsi="Times New Roman" w:cs="Times New Roman"/>
          <w:i/>
          <w:shd w:val="clear" w:color="auto" w:fill="FFFFFF"/>
          <w:lang w:val="de-DE"/>
        </w:rPr>
        <w:t>ir</w:t>
      </w:r>
      <w:proofErr w:type="spellEnd"/>
      <w:r w:rsidRPr="000C7C76">
        <w:rPr>
          <w:rFonts w:ascii="Times New Roman" w:eastAsia="Arial Unicode MS" w:hAnsi="Times New Roman" w:cs="Times New Roman"/>
          <w:i/>
          <w:shd w:val="clear" w:color="auto" w:fill="FFFFFF"/>
          <w:lang w:val="de-DE"/>
        </w:rPr>
        <w:t xml:space="preserve"> </w:t>
      </w:r>
      <w:proofErr w:type="spellStart"/>
      <w:r w:rsidRPr="000C7C76">
        <w:rPr>
          <w:rFonts w:ascii="Times New Roman" w:eastAsia="Arial Unicode MS" w:hAnsi="Times New Roman" w:cs="Times New Roman"/>
          <w:i/>
          <w:shd w:val="clear" w:color="auto" w:fill="FFFFFF"/>
          <w:lang w:val="de-DE"/>
        </w:rPr>
        <w:t>dažādās</w:t>
      </w:r>
      <w:proofErr w:type="spellEnd"/>
      <w:r w:rsidRPr="000C7C76">
        <w:rPr>
          <w:rFonts w:ascii="Times New Roman" w:eastAsia="Arial Unicode MS" w:hAnsi="Times New Roman" w:cs="Times New Roman"/>
          <w:i/>
          <w:shd w:val="clear" w:color="auto" w:fill="FFFFFF"/>
          <w:lang w:val="de-DE"/>
        </w:rPr>
        <w:t xml:space="preserve"> </w:t>
      </w:r>
      <w:proofErr w:type="spellStart"/>
      <w:r w:rsidRPr="000C7C76">
        <w:rPr>
          <w:rFonts w:ascii="Times New Roman" w:eastAsia="Arial Unicode MS" w:hAnsi="Times New Roman" w:cs="Times New Roman"/>
          <w:i/>
          <w:shd w:val="clear" w:color="auto" w:fill="FFFFFF"/>
          <w:lang w:val="de-DE"/>
        </w:rPr>
        <w:t>valstīs</w:t>
      </w:r>
      <w:proofErr w:type="spellEnd"/>
      <w:r w:rsidRPr="000C7C76">
        <w:rPr>
          <w:rFonts w:ascii="Times New Roman" w:eastAsia="Arial Unicode MS" w:hAnsi="Times New Roman" w:cs="Times New Roman"/>
          <w:i/>
          <w:shd w:val="clear" w:color="auto" w:fill="FFFFFF"/>
          <w:lang w:val="de-DE"/>
        </w:rPr>
        <w:t xml:space="preserve">, </w:t>
      </w:r>
      <w:proofErr w:type="spellStart"/>
      <w:r w:rsidRPr="000C7C76">
        <w:rPr>
          <w:rFonts w:ascii="Times New Roman" w:eastAsia="Arial Unicode MS" w:hAnsi="Times New Roman" w:cs="Times New Roman"/>
          <w:i/>
          <w:shd w:val="clear" w:color="auto" w:fill="FFFFFF"/>
          <w:lang w:val="de-DE"/>
        </w:rPr>
        <w:t>formāli</w:t>
      </w:r>
      <w:proofErr w:type="spellEnd"/>
      <w:r w:rsidRPr="000C7C76">
        <w:rPr>
          <w:rFonts w:ascii="Times New Roman" w:eastAsia="Arial Unicode MS" w:hAnsi="Times New Roman" w:cs="Times New Roman"/>
          <w:i/>
          <w:shd w:val="clear" w:color="auto" w:fill="FFFFFF"/>
          <w:lang w:val="de-DE"/>
        </w:rPr>
        <w:t xml:space="preserve"> </w:t>
      </w:r>
      <w:proofErr w:type="spellStart"/>
      <w:r w:rsidRPr="000C7C76">
        <w:rPr>
          <w:rFonts w:ascii="Times New Roman" w:eastAsia="Arial Unicode MS" w:hAnsi="Times New Roman" w:cs="Times New Roman"/>
          <w:i/>
          <w:shd w:val="clear" w:color="auto" w:fill="FFFFFF"/>
          <w:lang w:val="de-DE"/>
        </w:rPr>
        <w:t>ir</w:t>
      </w:r>
      <w:proofErr w:type="spellEnd"/>
      <w:r w:rsidRPr="000C7C76">
        <w:rPr>
          <w:rFonts w:ascii="Times New Roman" w:eastAsia="Arial Unicode MS" w:hAnsi="Times New Roman" w:cs="Times New Roman"/>
          <w:i/>
          <w:shd w:val="clear" w:color="auto" w:fill="FFFFFF"/>
          <w:lang w:val="de-DE"/>
        </w:rPr>
        <w:t xml:space="preserve"> </w:t>
      </w:r>
      <w:proofErr w:type="spellStart"/>
      <w:r w:rsidRPr="000C7C76">
        <w:rPr>
          <w:rFonts w:ascii="Times New Roman" w:eastAsia="Arial Unicode MS" w:hAnsi="Times New Roman" w:cs="Times New Roman"/>
          <w:i/>
          <w:shd w:val="clear" w:color="auto" w:fill="FFFFFF"/>
          <w:lang w:val="de-DE"/>
        </w:rPr>
        <w:t>spēkā</w:t>
      </w:r>
      <w:proofErr w:type="spellEnd"/>
      <w:r w:rsidRPr="000C7C76">
        <w:rPr>
          <w:rFonts w:ascii="Times New Roman" w:eastAsia="Arial Unicode MS" w:hAnsi="Times New Roman" w:cs="Times New Roman"/>
          <w:i/>
          <w:shd w:val="clear" w:color="auto" w:fill="FFFFFF"/>
          <w:lang w:val="de-DE"/>
        </w:rPr>
        <w:t xml:space="preserve">, ja </w:t>
      </w:r>
      <w:proofErr w:type="spellStart"/>
      <w:r w:rsidRPr="000C7C76">
        <w:rPr>
          <w:rFonts w:ascii="Times New Roman" w:eastAsia="Arial Unicode MS" w:hAnsi="Times New Roman" w:cs="Times New Roman"/>
          <w:i/>
          <w:shd w:val="clear" w:color="auto" w:fill="FFFFFF"/>
          <w:lang w:val="de-DE"/>
        </w:rPr>
        <w:t>tas</w:t>
      </w:r>
      <w:proofErr w:type="spellEnd"/>
      <w:r w:rsidRPr="000C7C76">
        <w:rPr>
          <w:rFonts w:ascii="Times New Roman" w:eastAsia="Arial Unicode MS" w:hAnsi="Times New Roman" w:cs="Times New Roman"/>
          <w:i/>
          <w:shd w:val="clear" w:color="auto" w:fill="FFFFFF"/>
          <w:lang w:val="de-DE"/>
        </w:rPr>
        <w:t xml:space="preserve"> </w:t>
      </w:r>
      <w:proofErr w:type="spellStart"/>
      <w:r w:rsidRPr="000C7C76">
        <w:rPr>
          <w:rFonts w:ascii="Times New Roman" w:eastAsia="Arial Unicode MS" w:hAnsi="Times New Roman" w:cs="Times New Roman"/>
          <w:i/>
          <w:shd w:val="clear" w:color="auto" w:fill="FFFFFF"/>
          <w:lang w:val="de-DE"/>
        </w:rPr>
        <w:t>atbilst</w:t>
      </w:r>
      <w:proofErr w:type="spellEnd"/>
      <w:r w:rsidRPr="000C7C76">
        <w:rPr>
          <w:rFonts w:ascii="Times New Roman" w:eastAsia="Arial Unicode MS" w:hAnsi="Times New Roman" w:cs="Times New Roman"/>
          <w:i/>
          <w:shd w:val="clear" w:color="auto" w:fill="FFFFFF"/>
          <w:lang w:val="de-DE"/>
        </w:rPr>
        <w:t xml:space="preserve"> </w:t>
      </w:r>
      <w:proofErr w:type="spellStart"/>
      <w:r w:rsidRPr="000C7C76">
        <w:rPr>
          <w:rFonts w:ascii="Times New Roman" w:eastAsia="Arial Unicode MS" w:hAnsi="Times New Roman" w:cs="Times New Roman"/>
          <w:b/>
          <w:i/>
          <w:shd w:val="clear" w:color="auto" w:fill="FFFFFF"/>
          <w:lang w:val="de-DE"/>
        </w:rPr>
        <w:t>formas</w:t>
      </w:r>
      <w:proofErr w:type="spellEnd"/>
      <w:r w:rsidRPr="000C7C76">
        <w:rPr>
          <w:rFonts w:ascii="Times New Roman" w:eastAsia="Arial Unicode MS" w:hAnsi="Times New Roman" w:cs="Times New Roman"/>
          <w:i/>
          <w:shd w:val="clear" w:color="auto" w:fill="FFFFFF"/>
          <w:lang w:val="de-DE"/>
        </w:rPr>
        <w:t xml:space="preserve"> </w:t>
      </w:r>
      <w:proofErr w:type="spellStart"/>
      <w:r w:rsidRPr="000C7C76">
        <w:rPr>
          <w:rFonts w:ascii="Times New Roman" w:eastAsia="Arial Unicode MS" w:hAnsi="Times New Roman" w:cs="Times New Roman"/>
          <w:i/>
          <w:shd w:val="clear" w:color="auto" w:fill="FFFFFF"/>
          <w:lang w:val="de-DE"/>
        </w:rPr>
        <w:t>prasībām</w:t>
      </w:r>
      <w:proofErr w:type="spellEnd"/>
      <w:r w:rsidRPr="000C7C76">
        <w:rPr>
          <w:rFonts w:ascii="Times New Roman" w:eastAsia="Arial Unicode MS" w:hAnsi="Times New Roman" w:cs="Times New Roman"/>
          <w:i/>
          <w:shd w:val="clear" w:color="auto" w:fill="FFFFFF"/>
          <w:lang w:val="de-DE"/>
        </w:rPr>
        <w:t xml:space="preserve">, </w:t>
      </w:r>
      <w:proofErr w:type="spellStart"/>
      <w:r w:rsidRPr="000C7C76">
        <w:rPr>
          <w:rFonts w:ascii="Times New Roman" w:eastAsia="Arial Unicode MS" w:hAnsi="Times New Roman" w:cs="Times New Roman"/>
          <w:i/>
          <w:shd w:val="clear" w:color="auto" w:fill="FFFFFF"/>
          <w:lang w:val="de-DE"/>
        </w:rPr>
        <w:t>kuras</w:t>
      </w:r>
      <w:proofErr w:type="spellEnd"/>
      <w:r w:rsidRPr="000C7C76">
        <w:rPr>
          <w:rFonts w:ascii="Times New Roman" w:eastAsia="Arial Unicode MS" w:hAnsi="Times New Roman" w:cs="Times New Roman"/>
          <w:i/>
          <w:shd w:val="clear" w:color="auto" w:fill="FFFFFF"/>
          <w:lang w:val="de-DE"/>
        </w:rPr>
        <w:t xml:space="preserve"> </w:t>
      </w:r>
      <w:proofErr w:type="spellStart"/>
      <w:r w:rsidRPr="000C7C76">
        <w:rPr>
          <w:rFonts w:ascii="Times New Roman" w:eastAsia="Arial Unicode MS" w:hAnsi="Times New Roman" w:cs="Times New Roman"/>
          <w:i/>
          <w:shd w:val="clear" w:color="auto" w:fill="FFFFFF"/>
          <w:lang w:val="de-DE"/>
        </w:rPr>
        <w:t>paredzētas</w:t>
      </w:r>
      <w:proofErr w:type="spellEnd"/>
      <w:r w:rsidRPr="000C7C76">
        <w:rPr>
          <w:rFonts w:ascii="Times New Roman" w:eastAsia="Arial Unicode MS" w:hAnsi="Times New Roman" w:cs="Times New Roman"/>
          <w:i/>
          <w:shd w:val="clear" w:color="auto" w:fill="FFFFFF"/>
          <w:lang w:val="de-DE"/>
        </w:rPr>
        <w:t xml:space="preserve"> </w:t>
      </w:r>
      <w:proofErr w:type="spellStart"/>
      <w:r w:rsidRPr="000C7C76">
        <w:rPr>
          <w:rFonts w:ascii="Times New Roman" w:eastAsia="Arial Unicode MS" w:hAnsi="Times New Roman" w:cs="Times New Roman"/>
          <w:i/>
          <w:shd w:val="clear" w:color="auto" w:fill="FFFFFF"/>
          <w:lang w:val="de-DE"/>
        </w:rPr>
        <w:t>tiesību</w:t>
      </w:r>
      <w:proofErr w:type="spellEnd"/>
      <w:r w:rsidRPr="000C7C76">
        <w:rPr>
          <w:rFonts w:ascii="Times New Roman" w:eastAsia="Arial Unicode MS" w:hAnsi="Times New Roman" w:cs="Times New Roman"/>
          <w:i/>
          <w:shd w:val="clear" w:color="auto" w:fill="FFFFFF"/>
          <w:lang w:val="de-DE"/>
        </w:rPr>
        <w:t xml:space="preserve"> </w:t>
      </w:r>
      <w:proofErr w:type="spellStart"/>
      <w:r w:rsidRPr="000C7C76">
        <w:rPr>
          <w:rFonts w:ascii="Times New Roman" w:eastAsia="Arial Unicode MS" w:hAnsi="Times New Roman" w:cs="Times New Roman"/>
          <w:i/>
          <w:shd w:val="clear" w:color="auto" w:fill="FFFFFF"/>
          <w:lang w:val="de-DE"/>
        </w:rPr>
        <w:t>aktos</w:t>
      </w:r>
      <w:proofErr w:type="spellEnd"/>
      <w:r w:rsidRPr="000C7C76">
        <w:rPr>
          <w:rFonts w:ascii="Times New Roman" w:eastAsia="Arial Unicode MS" w:hAnsi="Times New Roman" w:cs="Times New Roman"/>
          <w:i/>
          <w:shd w:val="clear" w:color="auto" w:fill="FFFFFF"/>
          <w:lang w:val="de-DE"/>
        </w:rPr>
        <w:t xml:space="preserve">, </w:t>
      </w:r>
      <w:proofErr w:type="spellStart"/>
      <w:r w:rsidRPr="000C7C76">
        <w:rPr>
          <w:rFonts w:ascii="Times New Roman" w:eastAsia="Arial Unicode MS" w:hAnsi="Times New Roman" w:cs="Times New Roman"/>
          <w:i/>
          <w:shd w:val="clear" w:color="auto" w:fill="FFFFFF"/>
          <w:lang w:val="de-DE"/>
        </w:rPr>
        <w:t>kas</w:t>
      </w:r>
      <w:proofErr w:type="spellEnd"/>
      <w:r w:rsidRPr="000C7C76">
        <w:rPr>
          <w:rFonts w:ascii="Times New Roman" w:eastAsia="Arial Unicode MS" w:hAnsi="Times New Roman" w:cs="Times New Roman"/>
          <w:i/>
          <w:shd w:val="clear" w:color="auto" w:fill="FFFFFF"/>
          <w:lang w:val="de-DE"/>
        </w:rPr>
        <w:t xml:space="preserve"> </w:t>
      </w:r>
      <w:proofErr w:type="spellStart"/>
      <w:r w:rsidRPr="000C7C76">
        <w:rPr>
          <w:rFonts w:ascii="Times New Roman" w:eastAsia="Arial Unicode MS" w:hAnsi="Times New Roman" w:cs="Times New Roman"/>
          <w:i/>
          <w:shd w:val="clear" w:color="auto" w:fill="FFFFFF"/>
          <w:lang w:val="de-DE"/>
        </w:rPr>
        <w:t>saskaņā</w:t>
      </w:r>
      <w:proofErr w:type="spellEnd"/>
      <w:r w:rsidRPr="000C7C76">
        <w:rPr>
          <w:rFonts w:ascii="Times New Roman" w:eastAsia="Arial Unicode MS" w:hAnsi="Times New Roman" w:cs="Times New Roman"/>
          <w:i/>
          <w:shd w:val="clear" w:color="auto" w:fill="FFFFFF"/>
          <w:lang w:val="de-DE"/>
        </w:rPr>
        <w:t xml:space="preserve"> </w:t>
      </w:r>
      <w:proofErr w:type="spellStart"/>
      <w:r w:rsidRPr="000C7C76">
        <w:rPr>
          <w:rFonts w:ascii="Times New Roman" w:eastAsia="Arial Unicode MS" w:hAnsi="Times New Roman" w:cs="Times New Roman"/>
          <w:i/>
          <w:shd w:val="clear" w:color="auto" w:fill="FFFFFF"/>
          <w:lang w:val="de-DE"/>
        </w:rPr>
        <w:t>ar</w:t>
      </w:r>
      <w:proofErr w:type="spellEnd"/>
      <w:r w:rsidRPr="000C7C76">
        <w:rPr>
          <w:rFonts w:ascii="Times New Roman" w:eastAsia="Arial Unicode MS" w:hAnsi="Times New Roman" w:cs="Times New Roman"/>
          <w:i/>
          <w:shd w:val="clear" w:color="auto" w:fill="FFFFFF"/>
          <w:lang w:val="de-DE"/>
        </w:rPr>
        <w:t xml:space="preserve"> </w:t>
      </w:r>
      <w:proofErr w:type="spellStart"/>
      <w:r w:rsidRPr="000C7C76">
        <w:rPr>
          <w:rFonts w:ascii="Times New Roman" w:eastAsia="Arial Unicode MS" w:hAnsi="Times New Roman" w:cs="Times New Roman"/>
          <w:i/>
          <w:shd w:val="clear" w:color="auto" w:fill="FFFFFF"/>
          <w:lang w:val="de-DE"/>
        </w:rPr>
        <w:t>šo</w:t>
      </w:r>
      <w:proofErr w:type="spellEnd"/>
      <w:r w:rsidRPr="000C7C76">
        <w:rPr>
          <w:rFonts w:ascii="Times New Roman" w:eastAsia="Arial Unicode MS" w:hAnsi="Times New Roman" w:cs="Times New Roman"/>
          <w:i/>
          <w:shd w:val="clear" w:color="auto" w:fill="FFFFFF"/>
          <w:lang w:val="de-DE"/>
        </w:rPr>
        <w:t xml:space="preserve"> </w:t>
      </w:r>
      <w:proofErr w:type="spellStart"/>
      <w:r w:rsidRPr="000C7C76">
        <w:rPr>
          <w:rFonts w:ascii="Times New Roman" w:eastAsia="Arial Unicode MS" w:hAnsi="Times New Roman" w:cs="Times New Roman"/>
          <w:i/>
          <w:shd w:val="clear" w:color="auto" w:fill="FFFFFF"/>
          <w:lang w:val="de-DE"/>
        </w:rPr>
        <w:t>regulu</w:t>
      </w:r>
      <w:proofErr w:type="spellEnd"/>
      <w:r w:rsidRPr="000C7C76">
        <w:rPr>
          <w:rFonts w:ascii="Times New Roman" w:eastAsia="Arial Unicode MS" w:hAnsi="Times New Roman" w:cs="Times New Roman"/>
          <w:i/>
          <w:shd w:val="clear" w:color="auto" w:fill="FFFFFF"/>
          <w:lang w:val="de-DE"/>
        </w:rPr>
        <w:t xml:space="preserve"> </w:t>
      </w:r>
      <w:proofErr w:type="spellStart"/>
      <w:r w:rsidRPr="000C7C76">
        <w:rPr>
          <w:rFonts w:ascii="Times New Roman" w:eastAsia="Arial Unicode MS" w:hAnsi="Times New Roman" w:cs="Times New Roman"/>
          <w:i/>
          <w:shd w:val="clear" w:color="auto" w:fill="FFFFFF"/>
          <w:lang w:val="de-DE"/>
        </w:rPr>
        <w:t>attiecīgo</w:t>
      </w:r>
      <w:proofErr w:type="spellEnd"/>
      <w:r w:rsidRPr="000C7C76">
        <w:rPr>
          <w:rFonts w:ascii="Times New Roman" w:eastAsia="Arial Unicode MS" w:hAnsi="Times New Roman" w:cs="Times New Roman"/>
          <w:i/>
          <w:shd w:val="clear" w:color="auto" w:fill="FFFFFF"/>
          <w:lang w:val="de-DE"/>
        </w:rPr>
        <w:t xml:space="preserve"> </w:t>
      </w:r>
      <w:proofErr w:type="spellStart"/>
      <w:r w:rsidRPr="000C7C76">
        <w:rPr>
          <w:rFonts w:ascii="Times New Roman" w:eastAsia="Arial Unicode MS" w:hAnsi="Times New Roman" w:cs="Times New Roman"/>
          <w:i/>
          <w:shd w:val="clear" w:color="auto" w:fill="FFFFFF"/>
          <w:lang w:val="de-DE"/>
        </w:rPr>
        <w:t>līgumu</w:t>
      </w:r>
      <w:proofErr w:type="spellEnd"/>
      <w:r w:rsidRPr="000C7C76">
        <w:rPr>
          <w:rFonts w:ascii="Times New Roman" w:eastAsia="Arial Unicode MS" w:hAnsi="Times New Roman" w:cs="Times New Roman"/>
          <w:i/>
          <w:shd w:val="clear" w:color="auto" w:fill="FFFFFF"/>
          <w:lang w:val="de-DE"/>
        </w:rPr>
        <w:t xml:space="preserve"> </w:t>
      </w:r>
      <w:proofErr w:type="spellStart"/>
      <w:r w:rsidRPr="000C7C76">
        <w:rPr>
          <w:rFonts w:ascii="Times New Roman" w:eastAsia="Arial Unicode MS" w:hAnsi="Times New Roman" w:cs="Times New Roman"/>
          <w:i/>
          <w:shd w:val="clear" w:color="auto" w:fill="FFFFFF"/>
          <w:lang w:val="de-DE"/>
        </w:rPr>
        <w:t>reglamentē</w:t>
      </w:r>
      <w:proofErr w:type="spellEnd"/>
      <w:r w:rsidRPr="000C7C76">
        <w:rPr>
          <w:rFonts w:ascii="Times New Roman" w:eastAsia="Arial Unicode MS" w:hAnsi="Times New Roman" w:cs="Times New Roman"/>
          <w:i/>
          <w:shd w:val="clear" w:color="auto" w:fill="FFFFFF"/>
          <w:lang w:val="de-DE"/>
        </w:rPr>
        <w:t xml:space="preserve"> </w:t>
      </w:r>
      <w:proofErr w:type="spellStart"/>
      <w:r w:rsidRPr="000C7C76">
        <w:rPr>
          <w:rFonts w:ascii="Times New Roman" w:eastAsia="Arial Unicode MS" w:hAnsi="Times New Roman" w:cs="Times New Roman"/>
          <w:i/>
          <w:shd w:val="clear" w:color="auto" w:fill="FFFFFF"/>
          <w:lang w:val="de-DE"/>
        </w:rPr>
        <w:t>pēc</w:t>
      </w:r>
      <w:proofErr w:type="spellEnd"/>
      <w:r w:rsidRPr="000C7C76">
        <w:rPr>
          <w:rFonts w:ascii="Times New Roman" w:eastAsia="Arial Unicode MS" w:hAnsi="Times New Roman" w:cs="Times New Roman"/>
          <w:i/>
          <w:shd w:val="clear" w:color="auto" w:fill="FFFFFF"/>
          <w:lang w:val="de-DE"/>
        </w:rPr>
        <w:t xml:space="preserve"> </w:t>
      </w:r>
      <w:proofErr w:type="spellStart"/>
      <w:r w:rsidRPr="000C7C76">
        <w:rPr>
          <w:rFonts w:ascii="Times New Roman" w:eastAsia="Arial Unicode MS" w:hAnsi="Times New Roman" w:cs="Times New Roman"/>
          <w:i/>
          <w:shd w:val="clear" w:color="auto" w:fill="FFFFFF"/>
          <w:lang w:val="de-DE"/>
        </w:rPr>
        <w:t>būtības</w:t>
      </w:r>
      <w:proofErr w:type="spellEnd"/>
      <w:r w:rsidRPr="000C7C76">
        <w:rPr>
          <w:rFonts w:ascii="Times New Roman" w:eastAsia="Arial Unicode MS" w:hAnsi="Times New Roman" w:cs="Times New Roman"/>
          <w:i/>
          <w:shd w:val="clear" w:color="auto" w:fill="FFFFFF"/>
          <w:lang w:val="de-DE"/>
        </w:rPr>
        <w:t xml:space="preserve">, </w:t>
      </w:r>
      <w:proofErr w:type="spellStart"/>
      <w:r w:rsidRPr="000C7C76">
        <w:rPr>
          <w:rFonts w:ascii="Times New Roman" w:eastAsia="Arial Unicode MS" w:hAnsi="Times New Roman" w:cs="Times New Roman"/>
          <w:i/>
          <w:shd w:val="clear" w:color="auto" w:fill="FFFFFF"/>
          <w:lang w:val="de-DE"/>
        </w:rPr>
        <w:t>vai</w:t>
      </w:r>
      <w:proofErr w:type="spellEnd"/>
      <w:r w:rsidRPr="000C7C76">
        <w:rPr>
          <w:rFonts w:ascii="Times New Roman" w:eastAsia="Arial Unicode MS" w:hAnsi="Times New Roman" w:cs="Times New Roman"/>
          <w:i/>
          <w:shd w:val="clear" w:color="auto" w:fill="FFFFFF"/>
          <w:lang w:val="de-DE"/>
        </w:rPr>
        <w:t xml:space="preserve"> </w:t>
      </w:r>
      <w:proofErr w:type="spellStart"/>
      <w:r w:rsidRPr="000C7C76">
        <w:rPr>
          <w:rFonts w:ascii="Times New Roman" w:eastAsia="Arial Unicode MS" w:hAnsi="Times New Roman" w:cs="Times New Roman"/>
          <w:i/>
          <w:shd w:val="clear" w:color="auto" w:fill="FFFFFF"/>
          <w:lang w:val="de-DE"/>
        </w:rPr>
        <w:t>tās</w:t>
      </w:r>
      <w:proofErr w:type="spellEnd"/>
      <w:r w:rsidRPr="000C7C76">
        <w:rPr>
          <w:rFonts w:ascii="Times New Roman" w:eastAsia="Arial Unicode MS" w:hAnsi="Times New Roman" w:cs="Times New Roman"/>
          <w:i/>
          <w:shd w:val="clear" w:color="auto" w:fill="FFFFFF"/>
          <w:lang w:val="de-DE"/>
        </w:rPr>
        <w:t xml:space="preserve"> </w:t>
      </w:r>
      <w:proofErr w:type="spellStart"/>
      <w:r w:rsidRPr="000C7C76">
        <w:rPr>
          <w:rFonts w:ascii="Times New Roman" w:eastAsia="Arial Unicode MS" w:hAnsi="Times New Roman" w:cs="Times New Roman"/>
          <w:i/>
          <w:shd w:val="clear" w:color="auto" w:fill="FFFFFF"/>
          <w:lang w:val="de-DE"/>
        </w:rPr>
        <w:t>valsts</w:t>
      </w:r>
      <w:proofErr w:type="spellEnd"/>
      <w:r w:rsidRPr="000C7C76">
        <w:rPr>
          <w:rFonts w:ascii="Times New Roman" w:eastAsia="Arial Unicode MS" w:hAnsi="Times New Roman" w:cs="Times New Roman"/>
          <w:i/>
          <w:shd w:val="clear" w:color="auto" w:fill="FFFFFF"/>
          <w:lang w:val="de-DE"/>
        </w:rPr>
        <w:t xml:space="preserve"> </w:t>
      </w:r>
      <w:proofErr w:type="spellStart"/>
      <w:r w:rsidRPr="000C7C76">
        <w:rPr>
          <w:rFonts w:ascii="Times New Roman" w:eastAsia="Arial Unicode MS" w:hAnsi="Times New Roman" w:cs="Times New Roman"/>
          <w:i/>
          <w:shd w:val="clear" w:color="auto" w:fill="FFFFFF"/>
          <w:lang w:val="de-DE"/>
        </w:rPr>
        <w:t>tiesību</w:t>
      </w:r>
      <w:proofErr w:type="spellEnd"/>
      <w:r w:rsidRPr="000C7C76">
        <w:rPr>
          <w:rFonts w:ascii="Times New Roman" w:eastAsia="Arial Unicode MS" w:hAnsi="Times New Roman" w:cs="Times New Roman"/>
          <w:i/>
          <w:shd w:val="clear" w:color="auto" w:fill="FFFFFF"/>
          <w:lang w:val="de-DE"/>
        </w:rPr>
        <w:t xml:space="preserve"> </w:t>
      </w:r>
      <w:proofErr w:type="spellStart"/>
      <w:r w:rsidRPr="000C7C76">
        <w:rPr>
          <w:rFonts w:ascii="Times New Roman" w:eastAsia="Arial Unicode MS" w:hAnsi="Times New Roman" w:cs="Times New Roman"/>
          <w:i/>
          <w:shd w:val="clear" w:color="auto" w:fill="FFFFFF"/>
          <w:lang w:val="de-DE"/>
        </w:rPr>
        <w:t>aktos</w:t>
      </w:r>
      <w:proofErr w:type="spellEnd"/>
      <w:r w:rsidRPr="000C7C76">
        <w:rPr>
          <w:rFonts w:ascii="Times New Roman" w:eastAsia="Arial Unicode MS" w:hAnsi="Times New Roman" w:cs="Times New Roman"/>
          <w:i/>
          <w:shd w:val="clear" w:color="auto" w:fill="FFFFFF"/>
          <w:lang w:val="de-DE"/>
        </w:rPr>
        <w:t xml:space="preserve">, </w:t>
      </w:r>
      <w:proofErr w:type="spellStart"/>
      <w:r w:rsidRPr="000C7C76">
        <w:rPr>
          <w:rFonts w:ascii="Times New Roman" w:eastAsia="Arial Unicode MS" w:hAnsi="Times New Roman" w:cs="Times New Roman"/>
          <w:i/>
          <w:shd w:val="clear" w:color="auto" w:fill="FFFFFF"/>
          <w:lang w:val="de-DE"/>
        </w:rPr>
        <w:t>kurā</w:t>
      </w:r>
      <w:proofErr w:type="spellEnd"/>
      <w:r w:rsidRPr="000C7C76">
        <w:rPr>
          <w:rFonts w:ascii="Times New Roman" w:eastAsia="Arial Unicode MS" w:hAnsi="Times New Roman" w:cs="Times New Roman"/>
          <w:i/>
          <w:shd w:val="clear" w:color="auto" w:fill="FFFFFF"/>
          <w:lang w:val="de-DE"/>
        </w:rPr>
        <w:t xml:space="preserve"> </w:t>
      </w:r>
      <w:proofErr w:type="spellStart"/>
      <w:r w:rsidRPr="000C7C76">
        <w:rPr>
          <w:rFonts w:ascii="Times New Roman" w:eastAsia="Arial Unicode MS" w:hAnsi="Times New Roman" w:cs="Times New Roman"/>
          <w:i/>
          <w:shd w:val="clear" w:color="auto" w:fill="FFFFFF"/>
          <w:lang w:val="de-DE"/>
        </w:rPr>
        <w:t>līguma</w:t>
      </w:r>
      <w:proofErr w:type="spellEnd"/>
      <w:r w:rsidRPr="000C7C76">
        <w:rPr>
          <w:rFonts w:ascii="Times New Roman" w:eastAsia="Arial Unicode MS" w:hAnsi="Times New Roman" w:cs="Times New Roman"/>
          <w:i/>
          <w:shd w:val="clear" w:color="auto" w:fill="FFFFFF"/>
          <w:lang w:val="de-DE"/>
        </w:rPr>
        <w:t xml:space="preserve"> </w:t>
      </w:r>
      <w:proofErr w:type="spellStart"/>
      <w:r w:rsidRPr="000C7C76">
        <w:rPr>
          <w:rFonts w:ascii="Times New Roman" w:eastAsia="Arial Unicode MS" w:hAnsi="Times New Roman" w:cs="Times New Roman"/>
          <w:i/>
          <w:shd w:val="clear" w:color="auto" w:fill="FFFFFF"/>
          <w:lang w:val="de-DE"/>
        </w:rPr>
        <w:t>noslēgšanas</w:t>
      </w:r>
      <w:proofErr w:type="spellEnd"/>
      <w:r w:rsidRPr="000C7C76">
        <w:rPr>
          <w:rFonts w:ascii="Times New Roman" w:eastAsia="Arial Unicode MS" w:hAnsi="Times New Roman" w:cs="Times New Roman"/>
          <w:i/>
          <w:shd w:val="clear" w:color="auto" w:fill="FFFFFF"/>
          <w:lang w:val="de-DE"/>
        </w:rPr>
        <w:t xml:space="preserve"> </w:t>
      </w:r>
      <w:proofErr w:type="spellStart"/>
      <w:r w:rsidRPr="000C7C76">
        <w:rPr>
          <w:rFonts w:ascii="Times New Roman" w:eastAsia="Arial Unicode MS" w:hAnsi="Times New Roman" w:cs="Times New Roman"/>
          <w:i/>
          <w:shd w:val="clear" w:color="auto" w:fill="FFFFFF"/>
          <w:lang w:val="de-DE"/>
        </w:rPr>
        <w:t>brīdī</w:t>
      </w:r>
      <w:proofErr w:type="spellEnd"/>
      <w:r w:rsidRPr="000C7C76">
        <w:rPr>
          <w:rFonts w:ascii="Times New Roman" w:eastAsia="Arial Unicode MS" w:hAnsi="Times New Roman" w:cs="Times New Roman"/>
          <w:i/>
          <w:shd w:val="clear" w:color="auto" w:fill="FFFFFF"/>
          <w:lang w:val="de-DE"/>
        </w:rPr>
        <w:t xml:space="preserve"> </w:t>
      </w:r>
      <w:proofErr w:type="spellStart"/>
      <w:r w:rsidRPr="000C7C76">
        <w:rPr>
          <w:rFonts w:ascii="Times New Roman" w:eastAsia="Arial Unicode MS" w:hAnsi="Times New Roman" w:cs="Times New Roman"/>
          <w:i/>
          <w:shd w:val="clear" w:color="auto" w:fill="FFFFFF"/>
          <w:lang w:val="de-DE"/>
        </w:rPr>
        <w:t>atrodas</w:t>
      </w:r>
      <w:proofErr w:type="spellEnd"/>
      <w:r w:rsidRPr="000C7C76">
        <w:rPr>
          <w:rFonts w:ascii="Times New Roman" w:eastAsia="Arial Unicode MS" w:hAnsi="Times New Roman" w:cs="Times New Roman"/>
          <w:i/>
          <w:shd w:val="clear" w:color="auto" w:fill="FFFFFF"/>
          <w:lang w:val="de-DE"/>
        </w:rPr>
        <w:t xml:space="preserve"> </w:t>
      </w:r>
      <w:proofErr w:type="spellStart"/>
      <w:r w:rsidRPr="000C7C76">
        <w:rPr>
          <w:rFonts w:ascii="Times New Roman" w:eastAsia="Arial Unicode MS" w:hAnsi="Times New Roman" w:cs="Times New Roman"/>
          <w:i/>
          <w:shd w:val="clear" w:color="auto" w:fill="FFFFFF"/>
          <w:lang w:val="de-DE"/>
        </w:rPr>
        <w:t>viena</w:t>
      </w:r>
      <w:proofErr w:type="spellEnd"/>
      <w:r w:rsidRPr="000C7C76">
        <w:rPr>
          <w:rFonts w:ascii="Times New Roman" w:eastAsia="Arial Unicode MS" w:hAnsi="Times New Roman" w:cs="Times New Roman"/>
          <w:i/>
          <w:shd w:val="clear" w:color="auto" w:fill="FFFFFF"/>
          <w:lang w:val="de-DE"/>
        </w:rPr>
        <w:t xml:space="preserve"> </w:t>
      </w:r>
      <w:proofErr w:type="spellStart"/>
      <w:r w:rsidRPr="000C7C76">
        <w:rPr>
          <w:rFonts w:ascii="Times New Roman" w:eastAsia="Arial Unicode MS" w:hAnsi="Times New Roman" w:cs="Times New Roman"/>
          <w:i/>
          <w:shd w:val="clear" w:color="auto" w:fill="FFFFFF"/>
          <w:lang w:val="de-DE"/>
        </w:rPr>
        <w:t>vai</w:t>
      </w:r>
      <w:proofErr w:type="spellEnd"/>
      <w:r w:rsidRPr="000C7C76">
        <w:rPr>
          <w:rFonts w:ascii="Times New Roman" w:eastAsia="Arial Unicode MS" w:hAnsi="Times New Roman" w:cs="Times New Roman"/>
          <w:i/>
          <w:shd w:val="clear" w:color="auto" w:fill="FFFFFF"/>
          <w:lang w:val="de-DE"/>
        </w:rPr>
        <w:t xml:space="preserve"> </w:t>
      </w:r>
      <w:proofErr w:type="spellStart"/>
      <w:r w:rsidRPr="000C7C76">
        <w:rPr>
          <w:rFonts w:ascii="Times New Roman" w:eastAsia="Arial Unicode MS" w:hAnsi="Times New Roman" w:cs="Times New Roman"/>
          <w:i/>
          <w:shd w:val="clear" w:color="auto" w:fill="FFFFFF"/>
          <w:lang w:val="de-DE"/>
        </w:rPr>
        <w:t>otra</w:t>
      </w:r>
      <w:proofErr w:type="spellEnd"/>
      <w:r w:rsidRPr="000C7C76">
        <w:rPr>
          <w:rFonts w:ascii="Times New Roman" w:eastAsia="Arial Unicode MS" w:hAnsi="Times New Roman" w:cs="Times New Roman"/>
          <w:i/>
          <w:shd w:val="clear" w:color="auto" w:fill="FFFFFF"/>
          <w:lang w:val="de-DE"/>
        </w:rPr>
        <w:t xml:space="preserve"> </w:t>
      </w:r>
      <w:proofErr w:type="spellStart"/>
      <w:r w:rsidRPr="000C7C76">
        <w:rPr>
          <w:rFonts w:ascii="Times New Roman" w:eastAsia="Arial Unicode MS" w:hAnsi="Times New Roman" w:cs="Times New Roman"/>
          <w:i/>
          <w:shd w:val="clear" w:color="auto" w:fill="FFFFFF"/>
          <w:lang w:val="de-DE"/>
        </w:rPr>
        <w:t>puse</w:t>
      </w:r>
      <w:proofErr w:type="spellEnd"/>
      <w:r w:rsidRPr="000C7C76">
        <w:rPr>
          <w:rFonts w:ascii="Times New Roman" w:eastAsia="Arial Unicode MS" w:hAnsi="Times New Roman" w:cs="Times New Roman"/>
          <w:i/>
          <w:shd w:val="clear" w:color="auto" w:fill="FFFFFF"/>
          <w:lang w:val="de-DE"/>
        </w:rPr>
        <w:t xml:space="preserve"> </w:t>
      </w:r>
      <w:proofErr w:type="spellStart"/>
      <w:r w:rsidRPr="000C7C76">
        <w:rPr>
          <w:rFonts w:ascii="Times New Roman" w:eastAsia="Arial Unicode MS" w:hAnsi="Times New Roman" w:cs="Times New Roman"/>
          <w:i/>
          <w:shd w:val="clear" w:color="auto" w:fill="FFFFFF"/>
          <w:lang w:val="de-DE"/>
        </w:rPr>
        <w:t>vai</w:t>
      </w:r>
      <w:proofErr w:type="spellEnd"/>
      <w:r w:rsidRPr="000C7C76">
        <w:rPr>
          <w:rFonts w:ascii="Times New Roman" w:eastAsia="Arial Unicode MS" w:hAnsi="Times New Roman" w:cs="Times New Roman"/>
          <w:i/>
          <w:shd w:val="clear" w:color="auto" w:fill="FFFFFF"/>
          <w:lang w:val="de-DE"/>
        </w:rPr>
        <w:t xml:space="preserve"> </w:t>
      </w:r>
      <w:proofErr w:type="spellStart"/>
      <w:r w:rsidRPr="000C7C76">
        <w:rPr>
          <w:rFonts w:ascii="Times New Roman" w:eastAsia="Arial Unicode MS" w:hAnsi="Times New Roman" w:cs="Times New Roman"/>
          <w:i/>
          <w:shd w:val="clear" w:color="auto" w:fill="FFFFFF"/>
          <w:lang w:val="de-DE"/>
        </w:rPr>
        <w:t>to</w:t>
      </w:r>
      <w:proofErr w:type="spellEnd"/>
      <w:r w:rsidRPr="000C7C76">
        <w:rPr>
          <w:rFonts w:ascii="Times New Roman" w:eastAsia="Arial Unicode MS" w:hAnsi="Times New Roman" w:cs="Times New Roman"/>
          <w:i/>
          <w:shd w:val="clear" w:color="auto" w:fill="FFFFFF"/>
          <w:lang w:val="de-DE"/>
        </w:rPr>
        <w:t xml:space="preserve"> </w:t>
      </w:r>
      <w:proofErr w:type="spellStart"/>
      <w:r w:rsidRPr="000C7C76">
        <w:rPr>
          <w:rFonts w:ascii="Times New Roman" w:eastAsia="Arial Unicode MS" w:hAnsi="Times New Roman" w:cs="Times New Roman"/>
          <w:i/>
          <w:shd w:val="clear" w:color="auto" w:fill="FFFFFF"/>
          <w:lang w:val="de-DE"/>
        </w:rPr>
        <w:t>pārstāvis</w:t>
      </w:r>
      <w:proofErr w:type="spellEnd"/>
      <w:r w:rsidRPr="000C7C76">
        <w:rPr>
          <w:rFonts w:ascii="Times New Roman" w:eastAsia="Arial Unicode MS" w:hAnsi="Times New Roman" w:cs="Times New Roman"/>
          <w:i/>
          <w:shd w:val="clear" w:color="auto" w:fill="FFFFFF"/>
          <w:lang w:val="de-DE"/>
        </w:rPr>
        <w:t xml:space="preserve">, </w:t>
      </w:r>
      <w:proofErr w:type="spellStart"/>
      <w:r w:rsidRPr="000C7C76">
        <w:rPr>
          <w:rFonts w:ascii="Times New Roman" w:eastAsia="Arial Unicode MS" w:hAnsi="Times New Roman" w:cs="Times New Roman"/>
          <w:i/>
          <w:shd w:val="clear" w:color="auto" w:fill="FFFFFF"/>
          <w:lang w:val="de-DE"/>
        </w:rPr>
        <w:t>vai</w:t>
      </w:r>
      <w:proofErr w:type="spellEnd"/>
      <w:r w:rsidRPr="000C7C76">
        <w:rPr>
          <w:rFonts w:ascii="Times New Roman" w:eastAsia="Arial Unicode MS" w:hAnsi="Times New Roman" w:cs="Times New Roman"/>
          <w:i/>
          <w:shd w:val="clear" w:color="auto" w:fill="FFFFFF"/>
          <w:lang w:val="de-DE"/>
        </w:rPr>
        <w:t xml:space="preserve"> </w:t>
      </w:r>
      <w:proofErr w:type="spellStart"/>
      <w:r w:rsidRPr="000C7C76">
        <w:rPr>
          <w:rFonts w:ascii="Times New Roman" w:eastAsia="Arial Unicode MS" w:hAnsi="Times New Roman" w:cs="Times New Roman"/>
          <w:i/>
          <w:shd w:val="clear" w:color="auto" w:fill="FFFFFF"/>
          <w:lang w:val="de-DE"/>
        </w:rPr>
        <w:t>tās</w:t>
      </w:r>
      <w:proofErr w:type="spellEnd"/>
      <w:r w:rsidRPr="000C7C76">
        <w:rPr>
          <w:rFonts w:ascii="Times New Roman" w:eastAsia="Arial Unicode MS" w:hAnsi="Times New Roman" w:cs="Times New Roman"/>
          <w:i/>
          <w:shd w:val="clear" w:color="auto" w:fill="FFFFFF"/>
          <w:lang w:val="de-DE"/>
        </w:rPr>
        <w:t xml:space="preserve"> </w:t>
      </w:r>
      <w:proofErr w:type="spellStart"/>
      <w:r w:rsidRPr="000C7C76">
        <w:rPr>
          <w:rFonts w:ascii="Times New Roman" w:eastAsia="Arial Unicode MS" w:hAnsi="Times New Roman" w:cs="Times New Roman"/>
          <w:i/>
          <w:shd w:val="clear" w:color="auto" w:fill="FFFFFF"/>
          <w:lang w:val="de-DE"/>
        </w:rPr>
        <w:t>valsts</w:t>
      </w:r>
      <w:proofErr w:type="spellEnd"/>
      <w:r w:rsidRPr="000C7C76">
        <w:rPr>
          <w:rFonts w:ascii="Times New Roman" w:eastAsia="Arial Unicode MS" w:hAnsi="Times New Roman" w:cs="Times New Roman"/>
          <w:i/>
          <w:shd w:val="clear" w:color="auto" w:fill="FFFFFF"/>
          <w:lang w:val="de-DE"/>
        </w:rPr>
        <w:t xml:space="preserve"> </w:t>
      </w:r>
      <w:proofErr w:type="spellStart"/>
      <w:r w:rsidRPr="000C7C76">
        <w:rPr>
          <w:rFonts w:ascii="Times New Roman" w:eastAsia="Arial Unicode MS" w:hAnsi="Times New Roman" w:cs="Times New Roman"/>
          <w:i/>
          <w:shd w:val="clear" w:color="auto" w:fill="FFFFFF"/>
          <w:lang w:val="de-DE"/>
        </w:rPr>
        <w:t>tiesību</w:t>
      </w:r>
      <w:proofErr w:type="spellEnd"/>
      <w:r w:rsidRPr="000C7C76">
        <w:rPr>
          <w:rFonts w:ascii="Times New Roman" w:eastAsia="Arial Unicode MS" w:hAnsi="Times New Roman" w:cs="Times New Roman"/>
          <w:i/>
          <w:shd w:val="clear" w:color="auto" w:fill="FFFFFF"/>
          <w:lang w:val="de-DE"/>
        </w:rPr>
        <w:t xml:space="preserve"> </w:t>
      </w:r>
      <w:proofErr w:type="spellStart"/>
      <w:r w:rsidRPr="000C7C76">
        <w:rPr>
          <w:rFonts w:ascii="Times New Roman" w:eastAsia="Arial Unicode MS" w:hAnsi="Times New Roman" w:cs="Times New Roman"/>
          <w:i/>
          <w:shd w:val="clear" w:color="auto" w:fill="FFFFFF"/>
          <w:lang w:val="de-DE"/>
        </w:rPr>
        <w:t>aktos</w:t>
      </w:r>
      <w:proofErr w:type="spellEnd"/>
      <w:r w:rsidRPr="000C7C76">
        <w:rPr>
          <w:rFonts w:ascii="Times New Roman" w:eastAsia="Arial Unicode MS" w:hAnsi="Times New Roman" w:cs="Times New Roman"/>
          <w:i/>
          <w:shd w:val="clear" w:color="auto" w:fill="FFFFFF"/>
          <w:lang w:val="de-DE"/>
        </w:rPr>
        <w:t xml:space="preserve">, </w:t>
      </w:r>
      <w:proofErr w:type="spellStart"/>
      <w:r w:rsidRPr="000C7C76">
        <w:rPr>
          <w:rFonts w:ascii="Times New Roman" w:eastAsia="Arial Unicode MS" w:hAnsi="Times New Roman" w:cs="Times New Roman"/>
          <w:i/>
          <w:shd w:val="clear" w:color="auto" w:fill="FFFFFF"/>
          <w:lang w:val="de-DE"/>
        </w:rPr>
        <w:t>kurā</w:t>
      </w:r>
      <w:proofErr w:type="spellEnd"/>
      <w:r w:rsidRPr="000C7C76">
        <w:rPr>
          <w:rFonts w:ascii="Times New Roman" w:eastAsia="Arial Unicode MS" w:hAnsi="Times New Roman" w:cs="Times New Roman"/>
          <w:i/>
          <w:shd w:val="clear" w:color="auto" w:fill="FFFFFF"/>
          <w:lang w:val="de-DE"/>
        </w:rPr>
        <w:t xml:space="preserve"> </w:t>
      </w:r>
      <w:proofErr w:type="spellStart"/>
      <w:r w:rsidRPr="000C7C76">
        <w:rPr>
          <w:rFonts w:ascii="Times New Roman" w:eastAsia="Arial Unicode MS" w:hAnsi="Times New Roman" w:cs="Times New Roman"/>
          <w:i/>
          <w:shd w:val="clear" w:color="auto" w:fill="FFFFFF"/>
          <w:lang w:val="de-DE"/>
        </w:rPr>
        <w:t>vienai</w:t>
      </w:r>
      <w:proofErr w:type="spellEnd"/>
      <w:r w:rsidRPr="000C7C76">
        <w:rPr>
          <w:rFonts w:ascii="Times New Roman" w:eastAsia="Arial Unicode MS" w:hAnsi="Times New Roman" w:cs="Times New Roman"/>
          <w:i/>
          <w:shd w:val="clear" w:color="auto" w:fill="FFFFFF"/>
          <w:lang w:val="de-DE"/>
        </w:rPr>
        <w:t xml:space="preserve"> </w:t>
      </w:r>
      <w:proofErr w:type="spellStart"/>
      <w:r w:rsidRPr="000C7C76">
        <w:rPr>
          <w:rFonts w:ascii="Times New Roman" w:eastAsia="Arial Unicode MS" w:hAnsi="Times New Roman" w:cs="Times New Roman"/>
          <w:i/>
          <w:shd w:val="clear" w:color="auto" w:fill="FFFFFF"/>
          <w:lang w:val="de-DE"/>
        </w:rPr>
        <w:t>vai</w:t>
      </w:r>
      <w:proofErr w:type="spellEnd"/>
      <w:r w:rsidRPr="000C7C76">
        <w:rPr>
          <w:rFonts w:ascii="Times New Roman" w:eastAsia="Arial Unicode MS" w:hAnsi="Times New Roman" w:cs="Times New Roman"/>
          <w:i/>
          <w:shd w:val="clear" w:color="auto" w:fill="FFFFFF"/>
          <w:lang w:val="de-DE"/>
        </w:rPr>
        <w:t xml:space="preserve"> </w:t>
      </w:r>
      <w:proofErr w:type="spellStart"/>
      <w:r w:rsidRPr="000C7C76">
        <w:rPr>
          <w:rFonts w:ascii="Times New Roman" w:eastAsia="Arial Unicode MS" w:hAnsi="Times New Roman" w:cs="Times New Roman"/>
          <w:i/>
          <w:shd w:val="clear" w:color="auto" w:fill="FFFFFF"/>
          <w:lang w:val="de-DE"/>
        </w:rPr>
        <w:t>otrai</w:t>
      </w:r>
      <w:proofErr w:type="spellEnd"/>
      <w:r w:rsidRPr="000C7C76">
        <w:rPr>
          <w:rFonts w:ascii="Times New Roman" w:eastAsia="Arial Unicode MS" w:hAnsi="Times New Roman" w:cs="Times New Roman"/>
          <w:i/>
          <w:shd w:val="clear" w:color="auto" w:fill="FFFFFF"/>
          <w:lang w:val="de-DE"/>
        </w:rPr>
        <w:t xml:space="preserve"> </w:t>
      </w:r>
      <w:proofErr w:type="spellStart"/>
      <w:r w:rsidRPr="000C7C76">
        <w:rPr>
          <w:rFonts w:ascii="Times New Roman" w:eastAsia="Arial Unicode MS" w:hAnsi="Times New Roman" w:cs="Times New Roman"/>
          <w:i/>
          <w:shd w:val="clear" w:color="auto" w:fill="FFFFFF"/>
          <w:lang w:val="de-DE"/>
        </w:rPr>
        <w:t>pusei</w:t>
      </w:r>
      <w:proofErr w:type="spellEnd"/>
      <w:r w:rsidRPr="000C7C76">
        <w:rPr>
          <w:rFonts w:ascii="Times New Roman" w:eastAsia="Arial Unicode MS" w:hAnsi="Times New Roman" w:cs="Times New Roman"/>
          <w:i/>
          <w:shd w:val="clear" w:color="auto" w:fill="FFFFFF"/>
          <w:lang w:val="de-DE"/>
        </w:rPr>
        <w:t xml:space="preserve"> </w:t>
      </w:r>
      <w:proofErr w:type="spellStart"/>
      <w:r w:rsidRPr="000C7C76">
        <w:rPr>
          <w:rFonts w:ascii="Times New Roman" w:eastAsia="Arial Unicode MS" w:hAnsi="Times New Roman" w:cs="Times New Roman"/>
          <w:i/>
          <w:shd w:val="clear" w:color="auto" w:fill="FFFFFF"/>
          <w:lang w:val="de-DE"/>
        </w:rPr>
        <w:t>šajā</w:t>
      </w:r>
      <w:proofErr w:type="spellEnd"/>
      <w:r w:rsidRPr="000C7C76">
        <w:rPr>
          <w:rFonts w:ascii="Times New Roman" w:eastAsia="Arial Unicode MS" w:hAnsi="Times New Roman" w:cs="Times New Roman"/>
          <w:i/>
          <w:shd w:val="clear" w:color="auto" w:fill="FFFFFF"/>
          <w:lang w:val="de-DE"/>
        </w:rPr>
        <w:t xml:space="preserve"> </w:t>
      </w:r>
      <w:proofErr w:type="spellStart"/>
      <w:r w:rsidRPr="000C7C76">
        <w:rPr>
          <w:rFonts w:ascii="Times New Roman" w:eastAsia="Arial Unicode MS" w:hAnsi="Times New Roman" w:cs="Times New Roman"/>
          <w:i/>
          <w:shd w:val="clear" w:color="auto" w:fill="FFFFFF"/>
          <w:lang w:val="de-DE"/>
        </w:rPr>
        <w:t>brīdī</w:t>
      </w:r>
      <w:proofErr w:type="spellEnd"/>
      <w:r w:rsidRPr="000C7C76">
        <w:rPr>
          <w:rFonts w:ascii="Times New Roman" w:eastAsia="Arial Unicode MS" w:hAnsi="Times New Roman" w:cs="Times New Roman"/>
          <w:i/>
          <w:shd w:val="clear" w:color="auto" w:fill="FFFFFF"/>
          <w:lang w:val="de-DE"/>
        </w:rPr>
        <w:t xml:space="preserve"> </w:t>
      </w:r>
      <w:proofErr w:type="spellStart"/>
      <w:r w:rsidRPr="000C7C76">
        <w:rPr>
          <w:rFonts w:ascii="Times New Roman" w:eastAsia="Arial Unicode MS" w:hAnsi="Times New Roman" w:cs="Times New Roman"/>
          <w:i/>
          <w:shd w:val="clear" w:color="auto" w:fill="FFFFFF"/>
          <w:lang w:val="de-DE"/>
        </w:rPr>
        <w:t>bija</w:t>
      </w:r>
      <w:proofErr w:type="spellEnd"/>
      <w:r w:rsidRPr="000C7C76">
        <w:rPr>
          <w:rFonts w:ascii="Times New Roman" w:eastAsia="Arial Unicode MS" w:hAnsi="Times New Roman" w:cs="Times New Roman"/>
          <w:i/>
          <w:shd w:val="clear" w:color="auto" w:fill="FFFFFF"/>
          <w:lang w:val="de-DE"/>
        </w:rPr>
        <w:t xml:space="preserve"> </w:t>
      </w:r>
      <w:proofErr w:type="spellStart"/>
      <w:r w:rsidRPr="000C7C76">
        <w:rPr>
          <w:rFonts w:ascii="Times New Roman" w:eastAsia="Arial Unicode MS" w:hAnsi="Times New Roman" w:cs="Times New Roman"/>
          <w:i/>
          <w:shd w:val="clear" w:color="auto" w:fill="FFFFFF"/>
          <w:lang w:val="de-DE"/>
        </w:rPr>
        <w:t>pastāvīgā</w:t>
      </w:r>
      <w:proofErr w:type="spellEnd"/>
      <w:r w:rsidRPr="000C7C76">
        <w:rPr>
          <w:rFonts w:ascii="Times New Roman" w:eastAsia="Arial Unicode MS" w:hAnsi="Times New Roman" w:cs="Times New Roman"/>
          <w:i/>
          <w:shd w:val="clear" w:color="auto" w:fill="FFFFFF"/>
          <w:lang w:val="de-DE"/>
        </w:rPr>
        <w:t xml:space="preserve"> </w:t>
      </w:r>
      <w:proofErr w:type="spellStart"/>
      <w:r w:rsidRPr="000C7C76">
        <w:rPr>
          <w:rFonts w:ascii="Times New Roman" w:eastAsia="Arial Unicode MS" w:hAnsi="Times New Roman" w:cs="Times New Roman"/>
          <w:i/>
          <w:shd w:val="clear" w:color="auto" w:fill="FFFFFF"/>
          <w:lang w:val="de-DE"/>
        </w:rPr>
        <w:t>mītnesvieta</w:t>
      </w:r>
      <w:proofErr w:type="spellEnd"/>
      <w:r w:rsidRPr="000C7C76">
        <w:rPr>
          <w:rFonts w:ascii="Times New Roman" w:eastAsia="Arial Unicode MS" w:hAnsi="Times New Roman" w:cs="Times New Roman"/>
          <w:i/>
          <w:shd w:val="clear" w:color="auto" w:fill="FFFFFF"/>
          <w:lang w:val="de-DE"/>
        </w:rPr>
        <w:t>.</w:t>
      </w:r>
    </w:p>
    <w:p w14:paraId="16181BE3" w14:textId="77777777" w:rsidR="00114953" w:rsidRPr="000C7C76" w:rsidRDefault="00114953" w:rsidP="00114953">
      <w:pPr>
        <w:pStyle w:val="norm"/>
        <w:spacing w:before="120" w:beforeAutospacing="0" w:after="0" w:afterAutospacing="0" w:line="312" w:lineRule="atLeast"/>
        <w:ind w:left="708"/>
        <w:jc w:val="both"/>
        <w:textAlignment w:val="baseline"/>
        <w:rPr>
          <w:rFonts w:ascii="Times New Roman" w:eastAsia="Arial Unicode MS" w:hAnsi="Times New Roman" w:cs="Times New Roman"/>
          <w:i/>
          <w:sz w:val="24"/>
          <w:szCs w:val="24"/>
          <w:lang w:val="de-DE"/>
        </w:rPr>
      </w:pPr>
      <w:r w:rsidRPr="000C7C76">
        <w:rPr>
          <w:rFonts w:ascii="Times New Roman" w:eastAsia="Times New Roman" w:hAnsi="Times New Roman" w:cs="Times New Roman"/>
          <w:i/>
          <w:sz w:val="24"/>
          <w:szCs w:val="24"/>
          <w:lang w:val="de-DE"/>
        </w:rPr>
        <w:lastRenderedPageBreak/>
        <w:t>3.</w:t>
      </w:r>
      <w:r w:rsidRPr="000C7C76">
        <w:rPr>
          <w:rFonts w:ascii="Times New Roman" w:eastAsia="Arial Unicode MS" w:hAnsi="Times New Roman" w:cs="Times New Roman"/>
          <w:i/>
          <w:sz w:val="24"/>
          <w:szCs w:val="24"/>
          <w:lang w:val="de-DE"/>
        </w:rPr>
        <w:t xml:space="preserve"> </w:t>
      </w:r>
      <w:proofErr w:type="spellStart"/>
      <w:r w:rsidRPr="000C7C76">
        <w:rPr>
          <w:rFonts w:ascii="Times New Roman" w:eastAsia="Arial Unicode MS" w:hAnsi="Times New Roman" w:cs="Times New Roman"/>
          <w:i/>
          <w:sz w:val="24"/>
          <w:szCs w:val="24"/>
          <w:lang w:val="de-DE"/>
        </w:rPr>
        <w:t>Vienpusēja</w:t>
      </w:r>
      <w:proofErr w:type="spellEnd"/>
      <w:r w:rsidRPr="000C7C76">
        <w:rPr>
          <w:rFonts w:ascii="Times New Roman" w:eastAsia="Arial Unicode MS" w:hAnsi="Times New Roman" w:cs="Times New Roman"/>
          <w:i/>
          <w:sz w:val="24"/>
          <w:szCs w:val="24"/>
          <w:lang w:val="de-DE"/>
        </w:rPr>
        <w:t xml:space="preserve"> </w:t>
      </w:r>
      <w:proofErr w:type="spellStart"/>
      <w:r w:rsidRPr="000C7C76">
        <w:rPr>
          <w:rFonts w:ascii="Times New Roman" w:eastAsia="Arial Unicode MS" w:hAnsi="Times New Roman" w:cs="Times New Roman"/>
          <w:i/>
          <w:sz w:val="24"/>
          <w:szCs w:val="24"/>
          <w:lang w:val="de-DE"/>
        </w:rPr>
        <w:t>darbība</w:t>
      </w:r>
      <w:proofErr w:type="spellEnd"/>
      <w:r w:rsidRPr="000C7C76">
        <w:rPr>
          <w:rFonts w:ascii="Times New Roman" w:eastAsia="Arial Unicode MS" w:hAnsi="Times New Roman" w:cs="Times New Roman"/>
          <w:i/>
          <w:sz w:val="24"/>
          <w:szCs w:val="24"/>
          <w:lang w:val="de-DE"/>
        </w:rPr>
        <w:t xml:space="preserve">, </w:t>
      </w:r>
      <w:proofErr w:type="spellStart"/>
      <w:r w:rsidRPr="000C7C76">
        <w:rPr>
          <w:rFonts w:ascii="Times New Roman" w:eastAsia="Arial Unicode MS" w:hAnsi="Times New Roman" w:cs="Times New Roman"/>
          <w:i/>
          <w:sz w:val="24"/>
          <w:szCs w:val="24"/>
          <w:lang w:val="de-DE"/>
        </w:rPr>
        <w:t>kas</w:t>
      </w:r>
      <w:proofErr w:type="spellEnd"/>
      <w:r w:rsidRPr="000C7C76">
        <w:rPr>
          <w:rFonts w:ascii="Times New Roman" w:eastAsia="Arial Unicode MS" w:hAnsi="Times New Roman" w:cs="Times New Roman"/>
          <w:i/>
          <w:sz w:val="24"/>
          <w:szCs w:val="24"/>
          <w:lang w:val="de-DE"/>
        </w:rPr>
        <w:t xml:space="preserve"> </w:t>
      </w:r>
      <w:proofErr w:type="spellStart"/>
      <w:r w:rsidRPr="000C7C76">
        <w:rPr>
          <w:rFonts w:ascii="Times New Roman" w:eastAsia="Arial Unicode MS" w:hAnsi="Times New Roman" w:cs="Times New Roman"/>
          <w:i/>
          <w:sz w:val="24"/>
          <w:szCs w:val="24"/>
          <w:lang w:val="de-DE"/>
        </w:rPr>
        <w:t>vērsta</w:t>
      </w:r>
      <w:proofErr w:type="spellEnd"/>
      <w:r w:rsidRPr="000C7C76">
        <w:rPr>
          <w:rFonts w:ascii="Times New Roman" w:eastAsia="Arial Unicode MS" w:hAnsi="Times New Roman" w:cs="Times New Roman"/>
          <w:i/>
          <w:sz w:val="24"/>
          <w:szCs w:val="24"/>
          <w:lang w:val="de-DE"/>
        </w:rPr>
        <w:t xml:space="preserve"> </w:t>
      </w:r>
      <w:proofErr w:type="spellStart"/>
      <w:r w:rsidRPr="000C7C76">
        <w:rPr>
          <w:rFonts w:ascii="Times New Roman" w:eastAsia="Arial Unicode MS" w:hAnsi="Times New Roman" w:cs="Times New Roman"/>
          <w:i/>
          <w:sz w:val="24"/>
          <w:szCs w:val="24"/>
          <w:lang w:val="de-DE"/>
        </w:rPr>
        <w:t>uz</w:t>
      </w:r>
      <w:proofErr w:type="spellEnd"/>
      <w:r w:rsidRPr="000C7C76">
        <w:rPr>
          <w:rFonts w:ascii="Times New Roman" w:eastAsia="Arial Unicode MS" w:hAnsi="Times New Roman" w:cs="Times New Roman"/>
          <w:i/>
          <w:sz w:val="24"/>
          <w:szCs w:val="24"/>
          <w:lang w:val="de-DE"/>
        </w:rPr>
        <w:t xml:space="preserve"> </w:t>
      </w:r>
      <w:proofErr w:type="spellStart"/>
      <w:r w:rsidRPr="000C7C76">
        <w:rPr>
          <w:rFonts w:ascii="Times New Roman" w:eastAsia="Arial Unicode MS" w:hAnsi="Times New Roman" w:cs="Times New Roman"/>
          <w:i/>
          <w:sz w:val="24"/>
          <w:szCs w:val="24"/>
          <w:lang w:val="de-DE"/>
        </w:rPr>
        <w:t>tiesisku</w:t>
      </w:r>
      <w:proofErr w:type="spellEnd"/>
      <w:r w:rsidRPr="000C7C76">
        <w:rPr>
          <w:rFonts w:ascii="Times New Roman" w:eastAsia="Arial Unicode MS" w:hAnsi="Times New Roman" w:cs="Times New Roman"/>
          <w:i/>
          <w:sz w:val="24"/>
          <w:szCs w:val="24"/>
          <w:lang w:val="de-DE"/>
        </w:rPr>
        <w:t xml:space="preserve"> </w:t>
      </w:r>
      <w:proofErr w:type="spellStart"/>
      <w:r w:rsidRPr="000C7C76">
        <w:rPr>
          <w:rFonts w:ascii="Times New Roman" w:eastAsia="Arial Unicode MS" w:hAnsi="Times New Roman" w:cs="Times New Roman"/>
          <w:i/>
          <w:sz w:val="24"/>
          <w:szCs w:val="24"/>
          <w:lang w:val="de-DE"/>
        </w:rPr>
        <w:t>seku</w:t>
      </w:r>
      <w:proofErr w:type="spellEnd"/>
      <w:r w:rsidRPr="000C7C76">
        <w:rPr>
          <w:rFonts w:ascii="Times New Roman" w:eastAsia="Arial Unicode MS" w:hAnsi="Times New Roman" w:cs="Times New Roman"/>
          <w:i/>
          <w:sz w:val="24"/>
          <w:szCs w:val="24"/>
          <w:lang w:val="de-DE"/>
        </w:rPr>
        <w:t xml:space="preserve"> </w:t>
      </w:r>
      <w:proofErr w:type="spellStart"/>
      <w:r w:rsidRPr="000C7C76">
        <w:rPr>
          <w:rFonts w:ascii="Times New Roman" w:eastAsia="Arial Unicode MS" w:hAnsi="Times New Roman" w:cs="Times New Roman"/>
          <w:i/>
          <w:sz w:val="24"/>
          <w:szCs w:val="24"/>
          <w:lang w:val="de-DE"/>
        </w:rPr>
        <w:t>radīšanu</w:t>
      </w:r>
      <w:proofErr w:type="spellEnd"/>
      <w:r w:rsidRPr="000C7C76">
        <w:rPr>
          <w:rFonts w:ascii="Times New Roman" w:eastAsia="Arial Unicode MS" w:hAnsi="Times New Roman" w:cs="Times New Roman"/>
          <w:i/>
          <w:sz w:val="24"/>
          <w:szCs w:val="24"/>
          <w:lang w:val="de-DE"/>
        </w:rPr>
        <w:t xml:space="preserve"> </w:t>
      </w:r>
      <w:proofErr w:type="spellStart"/>
      <w:r w:rsidRPr="000C7C76">
        <w:rPr>
          <w:rFonts w:ascii="Times New Roman" w:eastAsia="Arial Unicode MS" w:hAnsi="Times New Roman" w:cs="Times New Roman"/>
          <w:i/>
          <w:sz w:val="24"/>
          <w:szCs w:val="24"/>
          <w:lang w:val="de-DE"/>
        </w:rPr>
        <w:t>saistībā</w:t>
      </w:r>
      <w:proofErr w:type="spellEnd"/>
      <w:r w:rsidRPr="000C7C76">
        <w:rPr>
          <w:rFonts w:ascii="Times New Roman" w:eastAsia="Arial Unicode MS" w:hAnsi="Times New Roman" w:cs="Times New Roman"/>
          <w:i/>
          <w:sz w:val="24"/>
          <w:szCs w:val="24"/>
          <w:lang w:val="de-DE"/>
        </w:rPr>
        <w:t xml:space="preserve"> </w:t>
      </w:r>
      <w:proofErr w:type="spellStart"/>
      <w:r w:rsidRPr="000C7C76">
        <w:rPr>
          <w:rFonts w:ascii="Times New Roman" w:eastAsia="Arial Unicode MS" w:hAnsi="Times New Roman" w:cs="Times New Roman"/>
          <w:i/>
          <w:sz w:val="24"/>
          <w:szCs w:val="24"/>
          <w:lang w:val="de-DE"/>
        </w:rPr>
        <w:t>ar</w:t>
      </w:r>
      <w:proofErr w:type="spellEnd"/>
      <w:r w:rsidRPr="000C7C76">
        <w:rPr>
          <w:rFonts w:ascii="Times New Roman" w:eastAsia="Arial Unicode MS" w:hAnsi="Times New Roman" w:cs="Times New Roman"/>
          <w:i/>
          <w:sz w:val="24"/>
          <w:szCs w:val="24"/>
          <w:lang w:val="de-DE"/>
        </w:rPr>
        <w:t xml:space="preserve"> </w:t>
      </w:r>
      <w:proofErr w:type="spellStart"/>
      <w:r w:rsidRPr="000C7C76">
        <w:rPr>
          <w:rFonts w:ascii="Times New Roman" w:eastAsia="Arial Unicode MS" w:hAnsi="Times New Roman" w:cs="Times New Roman"/>
          <w:i/>
          <w:sz w:val="24"/>
          <w:szCs w:val="24"/>
          <w:lang w:val="de-DE"/>
        </w:rPr>
        <w:t>pastāvošu</w:t>
      </w:r>
      <w:proofErr w:type="spellEnd"/>
      <w:r w:rsidRPr="000C7C76">
        <w:rPr>
          <w:rFonts w:ascii="Times New Roman" w:eastAsia="Arial Unicode MS" w:hAnsi="Times New Roman" w:cs="Times New Roman"/>
          <w:i/>
          <w:sz w:val="24"/>
          <w:szCs w:val="24"/>
          <w:lang w:val="de-DE"/>
        </w:rPr>
        <w:t xml:space="preserve"> </w:t>
      </w:r>
      <w:proofErr w:type="spellStart"/>
      <w:r w:rsidRPr="000C7C76">
        <w:rPr>
          <w:rFonts w:ascii="Times New Roman" w:eastAsia="Arial Unicode MS" w:hAnsi="Times New Roman" w:cs="Times New Roman"/>
          <w:i/>
          <w:sz w:val="24"/>
          <w:szCs w:val="24"/>
          <w:lang w:val="de-DE"/>
        </w:rPr>
        <w:t>vai</w:t>
      </w:r>
      <w:proofErr w:type="spellEnd"/>
      <w:r w:rsidRPr="000C7C76">
        <w:rPr>
          <w:rFonts w:ascii="Times New Roman" w:eastAsia="Arial Unicode MS" w:hAnsi="Times New Roman" w:cs="Times New Roman"/>
          <w:i/>
          <w:sz w:val="24"/>
          <w:szCs w:val="24"/>
          <w:lang w:val="de-DE"/>
        </w:rPr>
        <w:t xml:space="preserve"> </w:t>
      </w:r>
      <w:proofErr w:type="spellStart"/>
      <w:r w:rsidRPr="000C7C76">
        <w:rPr>
          <w:rFonts w:ascii="Times New Roman" w:eastAsia="Arial Unicode MS" w:hAnsi="Times New Roman" w:cs="Times New Roman"/>
          <w:i/>
          <w:sz w:val="24"/>
          <w:szCs w:val="24"/>
          <w:lang w:val="de-DE"/>
        </w:rPr>
        <w:t>paredzamu</w:t>
      </w:r>
      <w:proofErr w:type="spellEnd"/>
      <w:r w:rsidRPr="000C7C76">
        <w:rPr>
          <w:rFonts w:ascii="Times New Roman" w:eastAsia="Arial Unicode MS" w:hAnsi="Times New Roman" w:cs="Times New Roman"/>
          <w:i/>
          <w:sz w:val="24"/>
          <w:szCs w:val="24"/>
          <w:lang w:val="de-DE"/>
        </w:rPr>
        <w:t xml:space="preserve"> </w:t>
      </w:r>
      <w:proofErr w:type="spellStart"/>
      <w:r w:rsidRPr="000C7C76">
        <w:rPr>
          <w:rFonts w:ascii="Times New Roman" w:eastAsia="Arial Unicode MS" w:hAnsi="Times New Roman" w:cs="Times New Roman"/>
          <w:i/>
          <w:sz w:val="24"/>
          <w:szCs w:val="24"/>
          <w:lang w:val="de-DE"/>
        </w:rPr>
        <w:t>līgumu</w:t>
      </w:r>
      <w:proofErr w:type="spellEnd"/>
      <w:r w:rsidRPr="000C7C76">
        <w:rPr>
          <w:rFonts w:ascii="Times New Roman" w:eastAsia="Arial Unicode MS" w:hAnsi="Times New Roman" w:cs="Times New Roman"/>
          <w:i/>
          <w:sz w:val="24"/>
          <w:szCs w:val="24"/>
          <w:lang w:val="de-DE"/>
        </w:rPr>
        <w:t xml:space="preserve">, </w:t>
      </w:r>
      <w:proofErr w:type="spellStart"/>
      <w:r w:rsidRPr="000C7C76">
        <w:rPr>
          <w:rFonts w:ascii="Times New Roman" w:eastAsia="Arial Unicode MS" w:hAnsi="Times New Roman" w:cs="Times New Roman"/>
          <w:i/>
          <w:sz w:val="24"/>
          <w:szCs w:val="24"/>
          <w:lang w:val="de-DE"/>
        </w:rPr>
        <w:t>formāli</w:t>
      </w:r>
      <w:proofErr w:type="spellEnd"/>
      <w:r w:rsidRPr="000C7C76">
        <w:rPr>
          <w:rFonts w:ascii="Times New Roman" w:eastAsia="Arial Unicode MS" w:hAnsi="Times New Roman" w:cs="Times New Roman"/>
          <w:i/>
          <w:sz w:val="24"/>
          <w:szCs w:val="24"/>
          <w:lang w:val="de-DE"/>
        </w:rPr>
        <w:t xml:space="preserve"> </w:t>
      </w:r>
      <w:proofErr w:type="spellStart"/>
      <w:r w:rsidRPr="000C7C76">
        <w:rPr>
          <w:rFonts w:ascii="Times New Roman" w:eastAsia="Arial Unicode MS" w:hAnsi="Times New Roman" w:cs="Times New Roman"/>
          <w:i/>
          <w:sz w:val="24"/>
          <w:szCs w:val="24"/>
          <w:lang w:val="de-DE"/>
        </w:rPr>
        <w:t>ir</w:t>
      </w:r>
      <w:proofErr w:type="spellEnd"/>
      <w:r w:rsidRPr="000C7C76">
        <w:rPr>
          <w:rFonts w:ascii="Times New Roman" w:eastAsia="Arial Unicode MS" w:hAnsi="Times New Roman" w:cs="Times New Roman"/>
          <w:i/>
          <w:sz w:val="24"/>
          <w:szCs w:val="24"/>
          <w:lang w:val="de-DE"/>
        </w:rPr>
        <w:t xml:space="preserve"> </w:t>
      </w:r>
      <w:proofErr w:type="spellStart"/>
      <w:r w:rsidRPr="000C7C76">
        <w:rPr>
          <w:rFonts w:ascii="Times New Roman" w:eastAsia="Arial Unicode MS" w:hAnsi="Times New Roman" w:cs="Times New Roman"/>
          <w:i/>
          <w:sz w:val="24"/>
          <w:szCs w:val="24"/>
          <w:lang w:val="de-DE"/>
        </w:rPr>
        <w:t>spēkā</w:t>
      </w:r>
      <w:proofErr w:type="spellEnd"/>
      <w:r w:rsidRPr="000C7C76">
        <w:rPr>
          <w:rFonts w:ascii="Times New Roman" w:eastAsia="Arial Unicode MS" w:hAnsi="Times New Roman" w:cs="Times New Roman"/>
          <w:i/>
          <w:sz w:val="24"/>
          <w:szCs w:val="24"/>
          <w:lang w:val="de-DE"/>
        </w:rPr>
        <w:t xml:space="preserve">, ja </w:t>
      </w:r>
      <w:proofErr w:type="spellStart"/>
      <w:r w:rsidRPr="000C7C76">
        <w:rPr>
          <w:rFonts w:ascii="Times New Roman" w:eastAsia="Arial Unicode MS" w:hAnsi="Times New Roman" w:cs="Times New Roman"/>
          <w:i/>
          <w:sz w:val="24"/>
          <w:szCs w:val="24"/>
          <w:lang w:val="de-DE"/>
        </w:rPr>
        <w:t>tā</w:t>
      </w:r>
      <w:proofErr w:type="spellEnd"/>
      <w:r w:rsidRPr="000C7C76">
        <w:rPr>
          <w:rFonts w:ascii="Times New Roman" w:eastAsia="Arial Unicode MS" w:hAnsi="Times New Roman" w:cs="Times New Roman"/>
          <w:i/>
          <w:sz w:val="24"/>
          <w:szCs w:val="24"/>
          <w:lang w:val="de-DE"/>
        </w:rPr>
        <w:t xml:space="preserve"> </w:t>
      </w:r>
      <w:proofErr w:type="spellStart"/>
      <w:r w:rsidRPr="000C7C76">
        <w:rPr>
          <w:rFonts w:ascii="Times New Roman" w:eastAsia="Arial Unicode MS" w:hAnsi="Times New Roman" w:cs="Times New Roman"/>
          <w:i/>
          <w:sz w:val="24"/>
          <w:szCs w:val="24"/>
          <w:lang w:val="de-DE"/>
        </w:rPr>
        <w:t>atbilst</w:t>
      </w:r>
      <w:proofErr w:type="spellEnd"/>
      <w:r w:rsidRPr="000C7C76">
        <w:rPr>
          <w:rFonts w:ascii="Times New Roman" w:eastAsia="Arial Unicode MS" w:hAnsi="Times New Roman" w:cs="Times New Roman"/>
          <w:i/>
          <w:sz w:val="24"/>
          <w:szCs w:val="24"/>
          <w:lang w:val="de-DE"/>
        </w:rPr>
        <w:t xml:space="preserve"> </w:t>
      </w:r>
      <w:proofErr w:type="spellStart"/>
      <w:r w:rsidRPr="000C7C76">
        <w:rPr>
          <w:rFonts w:ascii="Times New Roman" w:eastAsia="Arial Unicode MS" w:hAnsi="Times New Roman" w:cs="Times New Roman"/>
          <w:b/>
          <w:i/>
          <w:sz w:val="24"/>
          <w:szCs w:val="24"/>
          <w:lang w:val="de-DE"/>
        </w:rPr>
        <w:t>formas</w:t>
      </w:r>
      <w:proofErr w:type="spellEnd"/>
      <w:r w:rsidRPr="000C7C76">
        <w:rPr>
          <w:rFonts w:ascii="Times New Roman" w:eastAsia="Arial Unicode MS" w:hAnsi="Times New Roman" w:cs="Times New Roman"/>
          <w:i/>
          <w:sz w:val="24"/>
          <w:szCs w:val="24"/>
          <w:lang w:val="de-DE"/>
        </w:rPr>
        <w:t xml:space="preserve"> </w:t>
      </w:r>
      <w:proofErr w:type="spellStart"/>
      <w:r w:rsidRPr="000C7C76">
        <w:rPr>
          <w:rFonts w:ascii="Times New Roman" w:eastAsia="Arial Unicode MS" w:hAnsi="Times New Roman" w:cs="Times New Roman"/>
          <w:i/>
          <w:sz w:val="24"/>
          <w:szCs w:val="24"/>
          <w:lang w:val="de-DE"/>
        </w:rPr>
        <w:t>prasībām</w:t>
      </w:r>
      <w:proofErr w:type="spellEnd"/>
      <w:r w:rsidRPr="000C7C76">
        <w:rPr>
          <w:rFonts w:ascii="Times New Roman" w:eastAsia="Arial Unicode MS" w:hAnsi="Times New Roman" w:cs="Times New Roman"/>
          <w:i/>
          <w:sz w:val="24"/>
          <w:szCs w:val="24"/>
          <w:lang w:val="de-DE"/>
        </w:rPr>
        <w:t xml:space="preserve">, </w:t>
      </w:r>
      <w:proofErr w:type="spellStart"/>
      <w:r w:rsidRPr="000C7C76">
        <w:rPr>
          <w:rFonts w:ascii="Times New Roman" w:eastAsia="Arial Unicode MS" w:hAnsi="Times New Roman" w:cs="Times New Roman"/>
          <w:i/>
          <w:sz w:val="24"/>
          <w:szCs w:val="24"/>
          <w:lang w:val="de-DE"/>
        </w:rPr>
        <w:t>kuras</w:t>
      </w:r>
      <w:proofErr w:type="spellEnd"/>
      <w:r w:rsidRPr="000C7C76">
        <w:rPr>
          <w:rFonts w:ascii="Times New Roman" w:eastAsia="Arial Unicode MS" w:hAnsi="Times New Roman" w:cs="Times New Roman"/>
          <w:i/>
          <w:sz w:val="24"/>
          <w:szCs w:val="24"/>
          <w:lang w:val="de-DE"/>
        </w:rPr>
        <w:t xml:space="preserve"> </w:t>
      </w:r>
      <w:proofErr w:type="spellStart"/>
      <w:r w:rsidRPr="000C7C76">
        <w:rPr>
          <w:rFonts w:ascii="Times New Roman" w:eastAsia="Arial Unicode MS" w:hAnsi="Times New Roman" w:cs="Times New Roman"/>
          <w:i/>
          <w:sz w:val="24"/>
          <w:szCs w:val="24"/>
          <w:lang w:val="de-DE"/>
        </w:rPr>
        <w:t>paredzētas</w:t>
      </w:r>
      <w:proofErr w:type="spellEnd"/>
      <w:r w:rsidRPr="000C7C76">
        <w:rPr>
          <w:rFonts w:ascii="Times New Roman" w:eastAsia="Arial Unicode MS" w:hAnsi="Times New Roman" w:cs="Times New Roman"/>
          <w:i/>
          <w:sz w:val="24"/>
          <w:szCs w:val="24"/>
          <w:lang w:val="de-DE"/>
        </w:rPr>
        <w:t xml:space="preserve"> </w:t>
      </w:r>
      <w:proofErr w:type="spellStart"/>
      <w:r w:rsidRPr="000C7C76">
        <w:rPr>
          <w:rFonts w:ascii="Times New Roman" w:eastAsia="Arial Unicode MS" w:hAnsi="Times New Roman" w:cs="Times New Roman"/>
          <w:i/>
          <w:sz w:val="24"/>
          <w:szCs w:val="24"/>
          <w:lang w:val="de-DE"/>
        </w:rPr>
        <w:t>tiesību</w:t>
      </w:r>
      <w:proofErr w:type="spellEnd"/>
      <w:r w:rsidRPr="000C7C76">
        <w:rPr>
          <w:rFonts w:ascii="Times New Roman" w:eastAsia="Arial Unicode MS" w:hAnsi="Times New Roman" w:cs="Times New Roman"/>
          <w:i/>
          <w:sz w:val="24"/>
          <w:szCs w:val="24"/>
          <w:lang w:val="de-DE"/>
        </w:rPr>
        <w:t xml:space="preserve"> </w:t>
      </w:r>
      <w:proofErr w:type="spellStart"/>
      <w:r w:rsidRPr="000C7C76">
        <w:rPr>
          <w:rFonts w:ascii="Times New Roman" w:eastAsia="Arial Unicode MS" w:hAnsi="Times New Roman" w:cs="Times New Roman"/>
          <w:i/>
          <w:sz w:val="24"/>
          <w:szCs w:val="24"/>
          <w:lang w:val="de-DE"/>
        </w:rPr>
        <w:t>aktos</w:t>
      </w:r>
      <w:proofErr w:type="spellEnd"/>
      <w:r w:rsidRPr="000C7C76">
        <w:rPr>
          <w:rFonts w:ascii="Times New Roman" w:eastAsia="Arial Unicode MS" w:hAnsi="Times New Roman" w:cs="Times New Roman"/>
          <w:i/>
          <w:sz w:val="24"/>
          <w:szCs w:val="24"/>
          <w:lang w:val="de-DE"/>
        </w:rPr>
        <w:t xml:space="preserve">, </w:t>
      </w:r>
      <w:proofErr w:type="spellStart"/>
      <w:r w:rsidRPr="000C7C76">
        <w:rPr>
          <w:rFonts w:ascii="Times New Roman" w:eastAsia="Arial Unicode MS" w:hAnsi="Times New Roman" w:cs="Times New Roman"/>
          <w:i/>
          <w:sz w:val="24"/>
          <w:szCs w:val="24"/>
          <w:lang w:val="de-DE"/>
        </w:rPr>
        <w:t>kas</w:t>
      </w:r>
      <w:proofErr w:type="spellEnd"/>
      <w:r w:rsidRPr="000C7C76">
        <w:rPr>
          <w:rFonts w:ascii="Times New Roman" w:eastAsia="Arial Unicode MS" w:hAnsi="Times New Roman" w:cs="Times New Roman"/>
          <w:i/>
          <w:sz w:val="24"/>
          <w:szCs w:val="24"/>
          <w:lang w:val="de-DE"/>
        </w:rPr>
        <w:t xml:space="preserve"> </w:t>
      </w:r>
      <w:proofErr w:type="spellStart"/>
      <w:r w:rsidRPr="000C7C76">
        <w:rPr>
          <w:rFonts w:ascii="Times New Roman" w:eastAsia="Arial Unicode MS" w:hAnsi="Times New Roman" w:cs="Times New Roman"/>
          <w:i/>
          <w:sz w:val="24"/>
          <w:szCs w:val="24"/>
          <w:lang w:val="de-DE"/>
        </w:rPr>
        <w:t>saskaņā</w:t>
      </w:r>
      <w:proofErr w:type="spellEnd"/>
      <w:r w:rsidRPr="000C7C76">
        <w:rPr>
          <w:rFonts w:ascii="Times New Roman" w:eastAsia="Arial Unicode MS" w:hAnsi="Times New Roman" w:cs="Times New Roman"/>
          <w:i/>
          <w:sz w:val="24"/>
          <w:szCs w:val="24"/>
          <w:lang w:val="de-DE"/>
        </w:rPr>
        <w:t xml:space="preserve"> </w:t>
      </w:r>
      <w:proofErr w:type="spellStart"/>
      <w:r w:rsidRPr="000C7C76">
        <w:rPr>
          <w:rFonts w:ascii="Times New Roman" w:eastAsia="Arial Unicode MS" w:hAnsi="Times New Roman" w:cs="Times New Roman"/>
          <w:i/>
          <w:sz w:val="24"/>
          <w:szCs w:val="24"/>
          <w:lang w:val="de-DE"/>
        </w:rPr>
        <w:t>ar</w:t>
      </w:r>
      <w:proofErr w:type="spellEnd"/>
      <w:r w:rsidRPr="000C7C76">
        <w:rPr>
          <w:rFonts w:ascii="Times New Roman" w:eastAsia="Arial Unicode MS" w:hAnsi="Times New Roman" w:cs="Times New Roman"/>
          <w:i/>
          <w:sz w:val="24"/>
          <w:szCs w:val="24"/>
          <w:lang w:val="de-DE"/>
        </w:rPr>
        <w:t xml:space="preserve"> </w:t>
      </w:r>
      <w:proofErr w:type="spellStart"/>
      <w:r w:rsidRPr="000C7C76">
        <w:rPr>
          <w:rFonts w:ascii="Times New Roman" w:eastAsia="Arial Unicode MS" w:hAnsi="Times New Roman" w:cs="Times New Roman"/>
          <w:i/>
          <w:sz w:val="24"/>
          <w:szCs w:val="24"/>
          <w:lang w:val="de-DE"/>
        </w:rPr>
        <w:t>šo</w:t>
      </w:r>
      <w:proofErr w:type="spellEnd"/>
      <w:r w:rsidRPr="000C7C76">
        <w:rPr>
          <w:rFonts w:ascii="Times New Roman" w:eastAsia="Arial Unicode MS" w:hAnsi="Times New Roman" w:cs="Times New Roman"/>
          <w:i/>
          <w:sz w:val="24"/>
          <w:szCs w:val="24"/>
          <w:lang w:val="de-DE"/>
        </w:rPr>
        <w:t xml:space="preserve"> </w:t>
      </w:r>
      <w:proofErr w:type="spellStart"/>
      <w:r w:rsidRPr="000C7C76">
        <w:rPr>
          <w:rFonts w:ascii="Times New Roman" w:eastAsia="Arial Unicode MS" w:hAnsi="Times New Roman" w:cs="Times New Roman"/>
          <w:i/>
          <w:sz w:val="24"/>
          <w:szCs w:val="24"/>
          <w:lang w:val="de-DE"/>
        </w:rPr>
        <w:t>regulu</w:t>
      </w:r>
      <w:proofErr w:type="spellEnd"/>
      <w:r w:rsidRPr="000C7C76">
        <w:rPr>
          <w:rFonts w:ascii="Times New Roman" w:eastAsia="Arial Unicode MS" w:hAnsi="Times New Roman" w:cs="Times New Roman"/>
          <w:i/>
          <w:sz w:val="24"/>
          <w:szCs w:val="24"/>
          <w:lang w:val="de-DE"/>
        </w:rPr>
        <w:t xml:space="preserve"> </w:t>
      </w:r>
      <w:proofErr w:type="spellStart"/>
      <w:r w:rsidRPr="000C7C76">
        <w:rPr>
          <w:rFonts w:ascii="Times New Roman" w:eastAsia="Arial Unicode MS" w:hAnsi="Times New Roman" w:cs="Times New Roman"/>
          <w:i/>
          <w:sz w:val="24"/>
          <w:szCs w:val="24"/>
          <w:lang w:val="de-DE"/>
        </w:rPr>
        <w:t>attiecīgo</w:t>
      </w:r>
      <w:proofErr w:type="spellEnd"/>
      <w:r w:rsidRPr="000C7C76">
        <w:rPr>
          <w:rFonts w:ascii="Times New Roman" w:eastAsia="Arial Unicode MS" w:hAnsi="Times New Roman" w:cs="Times New Roman"/>
          <w:i/>
          <w:sz w:val="24"/>
          <w:szCs w:val="24"/>
          <w:lang w:val="de-DE"/>
        </w:rPr>
        <w:t xml:space="preserve"> </w:t>
      </w:r>
      <w:proofErr w:type="spellStart"/>
      <w:r w:rsidRPr="000C7C76">
        <w:rPr>
          <w:rFonts w:ascii="Times New Roman" w:eastAsia="Arial Unicode MS" w:hAnsi="Times New Roman" w:cs="Times New Roman"/>
          <w:i/>
          <w:sz w:val="24"/>
          <w:szCs w:val="24"/>
          <w:lang w:val="de-DE"/>
        </w:rPr>
        <w:t>līgumu</w:t>
      </w:r>
      <w:proofErr w:type="spellEnd"/>
      <w:r w:rsidRPr="000C7C76">
        <w:rPr>
          <w:rFonts w:ascii="Times New Roman" w:eastAsia="Arial Unicode MS" w:hAnsi="Times New Roman" w:cs="Times New Roman"/>
          <w:i/>
          <w:sz w:val="24"/>
          <w:szCs w:val="24"/>
          <w:lang w:val="de-DE"/>
        </w:rPr>
        <w:t xml:space="preserve"> </w:t>
      </w:r>
      <w:proofErr w:type="spellStart"/>
      <w:r w:rsidRPr="000C7C76">
        <w:rPr>
          <w:rFonts w:ascii="Times New Roman" w:eastAsia="Arial Unicode MS" w:hAnsi="Times New Roman" w:cs="Times New Roman"/>
          <w:i/>
          <w:sz w:val="24"/>
          <w:szCs w:val="24"/>
          <w:lang w:val="de-DE"/>
        </w:rPr>
        <w:t>reglamentē</w:t>
      </w:r>
      <w:proofErr w:type="spellEnd"/>
      <w:r w:rsidRPr="000C7C76">
        <w:rPr>
          <w:rFonts w:ascii="Times New Roman" w:eastAsia="Arial Unicode MS" w:hAnsi="Times New Roman" w:cs="Times New Roman"/>
          <w:i/>
          <w:sz w:val="24"/>
          <w:szCs w:val="24"/>
          <w:lang w:val="de-DE"/>
        </w:rPr>
        <w:t xml:space="preserve"> </w:t>
      </w:r>
      <w:proofErr w:type="spellStart"/>
      <w:r w:rsidRPr="000C7C76">
        <w:rPr>
          <w:rFonts w:ascii="Times New Roman" w:eastAsia="Arial Unicode MS" w:hAnsi="Times New Roman" w:cs="Times New Roman"/>
          <w:i/>
          <w:sz w:val="24"/>
          <w:szCs w:val="24"/>
          <w:lang w:val="de-DE"/>
        </w:rPr>
        <w:t>vai</w:t>
      </w:r>
      <w:proofErr w:type="spellEnd"/>
      <w:r w:rsidRPr="000C7C76">
        <w:rPr>
          <w:rFonts w:ascii="Times New Roman" w:eastAsia="Arial Unicode MS" w:hAnsi="Times New Roman" w:cs="Times New Roman"/>
          <w:i/>
          <w:sz w:val="24"/>
          <w:szCs w:val="24"/>
          <w:lang w:val="de-DE"/>
        </w:rPr>
        <w:t xml:space="preserve"> </w:t>
      </w:r>
      <w:proofErr w:type="spellStart"/>
      <w:r w:rsidRPr="000C7C76">
        <w:rPr>
          <w:rFonts w:ascii="Times New Roman" w:eastAsia="Arial Unicode MS" w:hAnsi="Times New Roman" w:cs="Times New Roman"/>
          <w:i/>
          <w:sz w:val="24"/>
          <w:szCs w:val="24"/>
          <w:lang w:val="de-DE"/>
        </w:rPr>
        <w:t>reglamentētu</w:t>
      </w:r>
      <w:proofErr w:type="spellEnd"/>
      <w:r w:rsidRPr="000C7C76">
        <w:rPr>
          <w:rFonts w:ascii="Times New Roman" w:eastAsia="Arial Unicode MS" w:hAnsi="Times New Roman" w:cs="Times New Roman"/>
          <w:i/>
          <w:sz w:val="24"/>
          <w:szCs w:val="24"/>
          <w:lang w:val="de-DE"/>
        </w:rPr>
        <w:t xml:space="preserve"> </w:t>
      </w:r>
      <w:proofErr w:type="spellStart"/>
      <w:r w:rsidRPr="000C7C76">
        <w:rPr>
          <w:rFonts w:ascii="Times New Roman" w:eastAsia="Arial Unicode MS" w:hAnsi="Times New Roman" w:cs="Times New Roman"/>
          <w:i/>
          <w:sz w:val="24"/>
          <w:szCs w:val="24"/>
          <w:lang w:val="de-DE"/>
        </w:rPr>
        <w:t>pēc</w:t>
      </w:r>
      <w:proofErr w:type="spellEnd"/>
      <w:r w:rsidRPr="000C7C76">
        <w:rPr>
          <w:rFonts w:ascii="Times New Roman" w:eastAsia="Arial Unicode MS" w:hAnsi="Times New Roman" w:cs="Times New Roman"/>
          <w:i/>
          <w:sz w:val="24"/>
          <w:szCs w:val="24"/>
          <w:lang w:val="de-DE"/>
        </w:rPr>
        <w:t xml:space="preserve"> </w:t>
      </w:r>
      <w:proofErr w:type="spellStart"/>
      <w:r w:rsidRPr="000C7C76">
        <w:rPr>
          <w:rFonts w:ascii="Times New Roman" w:eastAsia="Arial Unicode MS" w:hAnsi="Times New Roman" w:cs="Times New Roman"/>
          <w:i/>
          <w:sz w:val="24"/>
          <w:szCs w:val="24"/>
          <w:lang w:val="de-DE"/>
        </w:rPr>
        <w:t>būtības</w:t>
      </w:r>
      <w:proofErr w:type="spellEnd"/>
      <w:r w:rsidRPr="000C7C76">
        <w:rPr>
          <w:rFonts w:ascii="Times New Roman" w:eastAsia="Arial Unicode MS" w:hAnsi="Times New Roman" w:cs="Times New Roman"/>
          <w:i/>
          <w:sz w:val="24"/>
          <w:szCs w:val="24"/>
          <w:lang w:val="de-DE"/>
        </w:rPr>
        <w:t xml:space="preserve">, </w:t>
      </w:r>
      <w:proofErr w:type="spellStart"/>
      <w:r w:rsidRPr="000C7C76">
        <w:rPr>
          <w:rFonts w:ascii="Times New Roman" w:eastAsia="Arial Unicode MS" w:hAnsi="Times New Roman" w:cs="Times New Roman"/>
          <w:i/>
          <w:sz w:val="24"/>
          <w:szCs w:val="24"/>
          <w:lang w:val="de-DE"/>
        </w:rPr>
        <w:t>vai</w:t>
      </w:r>
      <w:proofErr w:type="spellEnd"/>
      <w:r w:rsidRPr="000C7C76">
        <w:rPr>
          <w:rFonts w:ascii="Times New Roman" w:eastAsia="Arial Unicode MS" w:hAnsi="Times New Roman" w:cs="Times New Roman"/>
          <w:i/>
          <w:sz w:val="24"/>
          <w:szCs w:val="24"/>
          <w:lang w:val="de-DE"/>
        </w:rPr>
        <w:t xml:space="preserve"> </w:t>
      </w:r>
      <w:proofErr w:type="spellStart"/>
      <w:r w:rsidRPr="000C7C76">
        <w:rPr>
          <w:rFonts w:ascii="Times New Roman" w:eastAsia="Arial Unicode MS" w:hAnsi="Times New Roman" w:cs="Times New Roman"/>
          <w:i/>
          <w:sz w:val="24"/>
          <w:szCs w:val="24"/>
          <w:lang w:val="de-DE"/>
        </w:rPr>
        <w:t>tās</w:t>
      </w:r>
      <w:proofErr w:type="spellEnd"/>
      <w:r w:rsidRPr="000C7C76">
        <w:rPr>
          <w:rFonts w:ascii="Times New Roman" w:eastAsia="Arial Unicode MS" w:hAnsi="Times New Roman" w:cs="Times New Roman"/>
          <w:i/>
          <w:sz w:val="24"/>
          <w:szCs w:val="24"/>
          <w:lang w:val="de-DE"/>
        </w:rPr>
        <w:t xml:space="preserve"> </w:t>
      </w:r>
      <w:proofErr w:type="spellStart"/>
      <w:r w:rsidRPr="000C7C76">
        <w:rPr>
          <w:rFonts w:ascii="Times New Roman" w:eastAsia="Arial Unicode MS" w:hAnsi="Times New Roman" w:cs="Times New Roman"/>
          <w:i/>
          <w:sz w:val="24"/>
          <w:szCs w:val="24"/>
          <w:lang w:val="de-DE"/>
        </w:rPr>
        <w:t>valsts</w:t>
      </w:r>
      <w:proofErr w:type="spellEnd"/>
      <w:r w:rsidRPr="000C7C76">
        <w:rPr>
          <w:rFonts w:ascii="Times New Roman" w:eastAsia="Arial Unicode MS" w:hAnsi="Times New Roman" w:cs="Times New Roman"/>
          <w:i/>
          <w:sz w:val="24"/>
          <w:szCs w:val="24"/>
          <w:lang w:val="de-DE"/>
        </w:rPr>
        <w:t xml:space="preserve"> </w:t>
      </w:r>
      <w:proofErr w:type="spellStart"/>
      <w:r w:rsidRPr="000C7C76">
        <w:rPr>
          <w:rFonts w:ascii="Times New Roman" w:eastAsia="Arial Unicode MS" w:hAnsi="Times New Roman" w:cs="Times New Roman"/>
          <w:i/>
          <w:sz w:val="24"/>
          <w:szCs w:val="24"/>
          <w:lang w:val="de-DE"/>
        </w:rPr>
        <w:t>tiesību</w:t>
      </w:r>
      <w:proofErr w:type="spellEnd"/>
      <w:r w:rsidRPr="000C7C76">
        <w:rPr>
          <w:rFonts w:ascii="Times New Roman" w:eastAsia="Arial Unicode MS" w:hAnsi="Times New Roman" w:cs="Times New Roman"/>
          <w:i/>
          <w:sz w:val="24"/>
          <w:szCs w:val="24"/>
          <w:lang w:val="de-DE"/>
        </w:rPr>
        <w:t xml:space="preserve"> </w:t>
      </w:r>
      <w:proofErr w:type="spellStart"/>
      <w:r w:rsidRPr="000C7C76">
        <w:rPr>
          <w:rFonts w:ascii="Times New Roman" w:eastAsia="Arial Unicode MS" w:hAnsi="Times New Roman" w:cs="Times New Roman"/>
          <w:i/>
          <w:sz w:val="24"/>
          <w:szCs w:val="24"/>
          <w:lang w:val="de-DE"/>
        </w:rPr>
        <w:t>aktos</w:t>
      </w:r>
      <w:proofErr w:type="spellEnd"/>
      <w:r w:rsidRPr="000C7C76">
        <w:rPr>
          <w:rFonts w:ascii="Times New Roman" w:eastAsia="Arial Unicode MS" w:hAnsi="Times New Roman" w:cs="Times New Roman"/>
          <w:i/>
          <w:sz w:val="24"/>
          <w:szCs w:val="24"/>
          <w:lang w:val="de-DE"/>
        </w:rPr>
        <w:t xml:space="preserve">, </w:t>
      </w:r>
      <w:proofErr w:type="spellStart"/>
      <w:r w:rsidRPr="000C7C76">
        <w:rPr>
          <w:rFonts w:ascii="Times New Roman" w:eastAsia="Arial Unicode MS" w:hAnsi="Times New Roman" w:cs="Times New Roman"/>
          <w:i/>
          <w:sz w:val="24"/>
          <w:szCs w:val="24"/>
          <w:lang w:val="de-DE"/>
        </w:rPr>
        <w:t>kurā</w:t>
      </w:r>
      <w:proofErr w:type="spellEnd"/>
      <w:r w:rsidRPr="000C7C76">
        <w:rPr>
          <w:rFonts w:ascii="Times New Roman" w:eastAsia="Arial Unicode MS" w:hAnsi="Times New Roman" w:cs="Times New Roman"/>
          <w:i/>
          <w:sz w:val="24"/>
          <w:szCs w:val="24"/>
          <w:lang w:val="de-DE"/>
        </w:rPr>
        <w:t xml:space="preserve"> </w:t>
      </w:r>
      <w:proofErr w:type="spellStart"/>
      <w:r w:rsidRPr="000C7C76">
        <w:rPr>
          <w:rFonts w:ascii="Times New Roman" w:eastAsia="Arial Unicode MS" w:hAnsi="Times New Roman" w:cs="Times New Roman"/>
          <w:i/>
          <w:sz w:val="24"/>
          <w:szCs w:val="24"/>
          <w:lang w:val="de-DE"/>
        </w:rPr>
        <w:t>darbība</w:t>
      </w:r>
      <w:proofErr w:type="spellEnd"/>
      <w:r w:rsidRPr="000C7C76">
        <w:rPr>
          <w:rFonts w:ascii="Times New Roman" w:eastAsia="Arial Unicode MS" w:hAnsi="Times New Roman" w:cs="Times New Roman"/>
          <w:i/>
          <w:sz w:val="24"/>
          <w:szCs w:val="24"/>
          <w:lang w:val="de-DE"/>
        </w:rPr>
        <w:t xml:space="preserve"> </w:t>
      </w:r>
      <w:proofErr w:type="spellStart"/>
      <w:r w:rsidRPr="000C7C76">
        <w:rPr>
          <w:rFonts w:ascii="Times New Roman" w:eastAsia="Arial Unicode MS" w:hAnsi="Times New Roman" w:cs="Times New Roman"/>
          <w:i/>
          <w:sz w:val="24"/>
          <w:szCs w:val="24"/>
          <w:lang w:val="de-DE"/>
        </w:rPr>
        <w:t>veikta</w:t>
      </w:r>
      <w:proofErr w:type="spellEnd"/>
      <w:r w:rsidRPr="000C7C76">
        <w:rPr>
          <w:rFonts w:ascii="Times New Roman" w:eastAsia="Arial Unicode MS" w:hAnsi="Times New Roman" w:cs="Times New Roman"/>
          <w:i/>
          <w:sz w:val="24"/>
          <w:szCs w:val="24"/>
          <w:lang w:val="de-DE"/>
        </w:rPr>
        <w:t xml:space="preserve">, </w:t>
      </w:r>
      <w:proofErr w:type="spellStart"/>
      <w:r w:rsidRPr="000C7C76">
        <w:rPr>
          <w:rFonts w:ascii="Times New Roman" w:eastAsia="Arial Unicode MS" w:hAnsi="Times New Roman" w:cs="Times New Roman"/>
          <w:i/>
          <w:sz w:val="24"/>
          <w:szCs w:val="24"/>
          <w:lang w:val="de-DE"/>
        </w:rPr>
        <w:t>vai</w:t>
      </w:r>
      <w:proofErr w:type="spellEnd"/>
      <w:r w:rsidRPr="000C7C76">
        <w:rPr>
          <w:rFonts w:ascii="Times New Roman" w:eastAsia="Arial Unicode MS" w:hAnsi="Times New Roman" w:cs="Times New Roman"/>
          <w:i/>
          <w:sz w:val="24"/>
          <w:szCs w:val="24"/>
          <w:lang w:val="de-DE"/>
        </w:rPr>
        <w:t xml:space="preserve"> </w:t>
      </w:r>
      <w:proofErr w:type="spellStart"/>
      <w:r w:rsidRPr="000C7C76">
        <w:rPr>
          <w:rFonts w:ascii="Times New Roman" w:eastAsia="Arial Unicode MS" w:hAnsi="Times New Roman" w:cs="Times New Roman"/>
          <w:i/>
          <w:sz w:val="24"/>
          <w:szCs w:val="24"/>
          <w:lang w:val="de-DE"/>
        </w:rPr>
        <w:t>tās</w:t>
      </w:r>
      <w:proofErr w:type="spellEnd"/>
      <w:r w:rsidRPr="000C7C76">
        <w:rPr>
          <w:rFonts w:ascii="Times New Roman" w:eastAsia="Arial Unicode MS" w:hAnsi="Times New Roman" w:cs="Times New Roman"/>
          <w:i/>
          <w:sz w:val="24"/>
          <w:szCs w:val="24"/>
          <w:lang w:val="de-DE"/>
        </w:rPr>
        <w:t xml:space="preserve"> </w:t>
      </w:r>
      <w:proofErr w:type="spellStart"/>
      <w:r w:rsidRPr="000C7C76">
        <w:rPr>
          <w:rFonts w:ascii="Times New Roman" w:eastAsia="Arial Unicode MS" w:hAnsi="Times New Roman" w:cs="Times New Roman"/>
          <w:i/>
          <w:sz w:val="24"/>
          <w:szCs w:val="24"/>
          <w:lang w:val="de-DE"/>
        </w:rPr>
        <w:t>valsts</w:t>
      </w:r>
      <w:proofErr w:type="spellEnd"/>
      <w:r w:rsidRPr="000C7C76">
        <w:rPr>
          <w:rFonts w:ascii="Times New Roman" w:eastAsia="Arial Unicode MS" w:hAnsi="Times New Roman" w:cs="Times New Roman"/>
          <w:i/>
          <w:sz w:val="24"/>
          <w:szCs w:val="24"/>
          <w:lang w:val="de-DE"/>
        </w:rPr>
        <w:t xml:space="preserve"> </w:t>
      </w:r>
      <w:proofErr w:type="spellStart"/>
      <w:r w:rsidRPr="000C7C76">
        <w:rPr>
          <w:rFonts w:ascii="Times New Roman" w:eastAsia="Arial Unicode MS" w:hAnsi="Times New Roman" w:cs="Times New Roman"/>
          <w:i/>
          <w:sz w:val="24"/>
          <w:szCs w:val="24"/>
          <w:lang w:val="de-DE"/>
        </w:rPr>
        <w:t>tiesību</w:t>
      </w:r>
      <w:proofErr w:type="spellEnd"/>
      <w:r w:rsidRPr="000C7C76">
        <w:rPr>
          <w:rFonts w:ascii="Times New Roman" w:eastAsia="Arial Unicode MS" w:hAnsi="Times New Roman" w:cs="Times New Roman"/>
          <w:i/>
          <w:sz w:val="24"/>
          <w:szCs w:val="24"/>
          <w:lang w:val="de-DE"/>
        </w:rPr>
        <w:t xml:space="preserve"> </w:t>
      </w:r>
      <w:proofErr w:type="spellStart"/>
      <w:r w:rsidRPr="000C7C76">
        <w:rPr>
          <w:rFonts w:ascii="Times New Roman" w:eastAsia="Arial Unicode MS" w:hAnsi="Times New Roman" w:cs="Times New Roman"/>
          <w:i/>
          <w:sz w:val="24"/>
          <w:szCs w:val="24"/>
          <w:lang w:val="de-DE"/>
        </w:rPr>
        <w:t>aktos</w:t>
      </w:r>
      <w:proofErr w:type="spellEnd"/>
      <w:r w:rsidRPr="000C7C76">
        <w:rPr>
          <w:rFonts w:ascii="Times New Roman" w:eastAsia="Arial Unicode MS" w:hAnsi="Times New Roman" w:cs="Times New Roman"/>
          <w:i/>
          <w:sz w:val="24"/>
          <w:szCs w:val="24"/>
          <w:lang w:val="de-DE"/>
        </w:rPr>
        <w:t xml:space="preserve">, </w:t>
      </w:r>
      <w:proofErr w:type="spellStart"/>
      <w:r w:rsidRPr="000C7C76">
        <w:rPr>
          <w:rFonts w:ascii="Times New Roman" w:eastAsia="Arial Unicode MS" w:hAnsi="Times New Roman" w:cs="Times New Roman"/>
          <w:i/>
          <w:sz w:val="24"/>
          <w:szCs w:val="24"/>
          <w:lang w:val="de-DE"/>
        </w:rPr>
        <w:t>kurā</w:t>
      </w:r>
      <w:proofErr w:type="spellEnd"/>
      <w:r w:rsidRPr="000C7C76">
        <w:rPr>
          <w:rFonts w:ascii="Times New Roman" w:eastAsia="Arial Unicode MS" w:hAnsi="Times New Roman" w:cs="Times New Roman"/>
          <w:i/>
          <w:sz w:val="24"/>
          <w:szCs w:val="24"/>
          <w:lang w:val="de-DE"/>
        </w:rPr>
        <w:t xml:space="preserve"> </w:t>
      </w:r>
      <w:proofErr w:type="spellStart"/>
      <w:r w:rsidRPr="000C7C76">
        <w:rPr>
          <w:rFonts w:ascii="Times New Roman" w:eastAsia="Arial Unicode MS" w:hAnsi="Times New Roman" w:cs="Times New Roman"/>
          <w:i/>
          <w:sz w:val="24"/>
          <w:szCs w:val="24"/>
          <w:lang w:val="de-DE"/>
        </w:rPr>
        <w:t>šajā</w:t>
      </w:r>
      <w:proofErr w:type="spellEnd"/>
      <w:r w:rsidRPr="000C7C76">
        <w:rPr>
          <w:rFonts w:ascii="Times New Roman" w:eastAsia="Arial Unicode MS" w:hAnsi="Times New Roman" w:cs="Times New Roman"/>
          <w:i/>
          <w:sz w:val="24"/>
          <w:szCs w:val="24"/>
          <w:lang w:val="de-DE"/>
        </w:rPr>
        <w:t xml:space="preserve"> </w:t>
      </w:r>
      <w:proofErr w:type="spellStart"/>
      <w:r w:rsidRPr="000C7C76">
        <w:rPr>
          <w:rFonts w:ascii="Times New Roman" w:eastAsia="Arial Unicode MS" w:hAnsi="Times New Roman" w:cs="Times New Roman"/>
          <w:i/>
          <w:sz w:val="24"/>
          <w:szCs w:val="24"/>
          <w:lang w:val="de-DE"/>
        </w:rPr>
        <w:t>brīdī</w:t>
      </w:r>
      <w:proofErr w:type="spellEnd"/>
      <w:r w:rsidRPr="000C7C76">
        <w:rPr>
          <w:rFonts w:ascii="Times New Roman" w:eastAsia="Arial Unicode MS" w:hAnsi="Times New Roman" w:cs="Times New Roman"/>
          <w:i/>
          <w:sz w:val="24"/>
          <w:szCs w:val="24"/>
          <w:lang w:val="de-DE"/>
        </w:rPr>
        <w:t xml:space="preserve"> </w:t>
      </w:r>
      <w:proofErr w:type="spellStart"/>
      <w:r w:rsidRPr="000C7C76">
        <w:rPr>
          <w:rFonts w:ascii="Times New Roman" w:eastAsia="Arial Unicode MS" w:hAnsi="Times New Roman" w:cs="Times New Roman"/>
          <w:i/>
          <w:sz w:val="24"/>
          <w:szCs w:val="24"/>
          <w:lang w:val="de-DE"/>
        </w:rPr>
        <w:t>pastāvīgā</w:t>
      </w:r>
      <w:proofErr w:type="spellEnd"/>
      <w:r w:rsidRPr="000C7C76">
        <w:rPr>
          <w:rFonts w:ascii="Times New Roman" w:eastAsia="Arial Unicode MS" w:hAnsi="Times New Roman" w:cs="Times New Roman"/>
          <w:i/>
          <w:sz w:val="24"/>
          <w:szCs w:val="24"/>
          <w:lang w:val="de-DE"/>
        </w:rPr>
        <w:t xml:space="preserve"> </w:t>
      </w:r>
      <w:proofErr w:type="spellStart"/>
      <w:r w:rsidRPr="000C7C76">
        <w:rPr>
          <w:rFonts w:ascii="Times New Roman" w:eastAsia="Arial Unicode MS" w:hAnsi="Times New Roman" w:cs="Times New Roman"/>
          <w:i/>
          <w:sz w:val="24"/>
          <w:szCs w:val="24"/>
          <w:lang w:val="de-DE"/>
        </w:rPr>
        <w:t>mītnesvieta</w:t>
      </w:r>
      <w:proofErr w:type="spellEnd"/>
      <w:r w:rsidRPr="000C7C76">
        <w:rPr>
          <w:rFonts w:ascii="Times New Roman" w:eastAsia="Arial Unicode MS" w:hAnsi="Times New Roman" w:cs="Times New Roman"/>
          <w:i/>
          <w:sz w:val="24"/>
          <w:szCs w:val="24"/>
          <w:lang w:val="de-DE"/>
        </w:rPr>
        <w:t xml:space="preserve"> </w:t>
      </w:r>
      <w:proofErr w:type="spellStart"/>
      <w:r w:rsidRPr="000C7C76">
        <w:rPr>
          <w:rFonts w:ascii="Times New Roman" w:eastAsia="Arial Unicode MS" w:hAnsi="Times New Roman" w:cs="Times New Roman"/>
          <w:i/>
          <w:sz w:val="24"/>
          <w:szCs w:val="24"/>
          <w:lang w:val="de-DE"/>
        </w:rPr>
        <w:t>bija</w:t>
      </w:r>
      <w:proofErr w:type="spellEnd"/>
      <w:r w:rsidRPr="000C7C76">
        <w:rPr>
          <w:rFonts w:ascii="Times New Roman" w:eastAsia="Arial Unicode MS" w:hAnsi="Times New Roman" w:cs="Times New Roman"/>
          <w:i/>
          <w:sz w:val="24"/>
          <w:szCs w:val="24"/>
          <w:lang w:val="de-DE"/>
        </w:rPr>
        <w:t xml:space="preserve"> </w:t>
      </w:r>
      <w:proofErr w:type="spellStart"/>
      <w:r w:rsidRPr="000C7C76">
        <w:rPr>
          <w:rFonts w:ascii="Times New Roman" w:eastAsia="Arial Unicode MS" w:hAnsi="Times New Roman" w:cs="Times New Roman"/>
          <w:i/>
          <w:sz w:val="24"/>
          <w:szCs w:val="24"/>
          <w:lang w:val="de-DE"/>
        </w:rPr>
        <w:t>personai</w:t>
      </w:r>
      <w:proofErr w:type="spellEnd"/>
      <w:r w:rsidRPr="000C7C76">
        <w:rPr>
          <w:rFonts w:ascii="Times New Roman" w:eastAsia="Arial Unicode MS" w:hAnsi="Times New Roman" w:cs="Times New Roman"/>
          <w:i/>
          <w:sz w:val="24"/>
          <w:szCs w:val="24"/>
          <w:lang w:val="de-DE"/>
        </w:rPr>
        <w:t xml:space="preserve">, </w:t>
      </w:r>
      <w:proofErr w:type="spellStart"/>
      <w:r w:rsidRPr="000C7C76">
        <w:rPr>
          <w:rFonts w:ascii="Times New Roman" w:eastAsia="Arial Unicode MS" w:hAnsi="Times New Roman" w:cs="Times New Roman"/>
          <w:i/>
          <w:sz w:val="24"/>
          <w:szCs w:val="24"/>
          <w:lang w:val="de-DE"/>
        </w:rPr>
        <w:t>kas</w:t>
      </w:r>
      <w:proofErr w:type="spellEnd"/>
      <w:r w:rsidRPr="000C7C76">
        <w:rPr>
          <w:rFonts w:ascii="Times New Roman" w:eastAsia="Arial Unicode MS" w:hAnsi="Times New Roman" w:cs="Times New Roman"/>
          <w:i/>
          <w:sz w:val="24"/>
          <w:szCs w:val="24"/>
          <w:lang w:val="de-DE"/>
        </w:rPr>
        <w:t xml:space="preserve"> </w:t>
      </w:r>
      <w:proofErr w:type="spellStart"/>
      <w:r w:rsidRPr="000C7C76">
        <w:rPr>
          <w:rFonts w:ascii="Times New Roman" w:eastAsia="Arial Unicode MS" w:hAnsi="Times New Roman" w:cs="Times New Roman"/>
          <w:i/>
          <w:sz w:val="24"/>
          <w:szCs w:val="24"/>
          <w:lang w:val="de-DE"/>
        </w:rPr>
        <w:t>veikusi</w:t>
      </w:r>
      <w:proofErr w:type="spellEnd"/>
      <w:r w:rsidRPr="000C7C76">
        <w:rPr>
          <w:rFonts w:ascii="Times New Roman" w:eastAsia="Arial Unicode MS" w:hAnsi="Times New Roman" w:cs="Times New Roman"/>
          <w:i/>
          <w:sz w:val="24"/>
          <w:szCs w:val="24"/>
          <w:lang w:val="de-DE"/>
        </w:rPr>
        <w:t xml:space="preserve"> </w:t>
      </w:r>
      <w:proofErr w:type="spellStart"/>
      <w:r w:rsidRPr="000C7C76">
        <w:rPr>
          <w:rFonts w:ascii="Times New Roman" w:eastAsia="Arial Unicode MS" w:hAnsi="Times New Roman" w:cs="Times New Roman"/>
          <w:i/>
          <w:sz w:val="24"/>
          <w:szCs w:val="24"/>
          <w:lang w:val="de-DE"/>
        </w:rPr>
        <w:t>darbību</w:t>
      </w:r>
      <w:proofErr w:type="spellEnd"/>
      <w:r w:rsidRPr="000C7C76">
        <w:rPr>
          <w:rFonts w:ascii="Times New Roman" w:eastAsia="Arial Unicode MS" w:hAnsi="Times New Roman" w:cs="Times New Roman"/>
          <w:i/>
          <w:sz w:val="24"/>
          <w:szCs w:val="24"/>
          <w:lang w:val="de-DE"/>
        </w:rPr>
        <w:t>.</w:t>
      </w:r>
    </w:p>
    <w:p w14:paraId="35F28272" w14:textId="77777777" w:rsidR="00114953" w:rsidRPr="00565D81" w:rsidRDefault="00114953" w:rsidP="00114953">
      <w:pPr>
        <w:ind w:left="708"/>
        <w:jc w:val="both"/>
        <w:rPr>
          <w:rFonts w:ascii="Times New Roman" w:eastAsia="Times New Roman" w:hAnsi="Times New Roman" w:cs="Times New Roman"/>
          <w:i/>
          <w:lang w:val="lv-LV"/>
        </w:rPr>
      </w:pPr>
    </w:p>
    <w:p w14:paraId="338324FC" w14:textId="77777777" w:rsidR="00114953" w:rsidRPr="00565D81" w:rsidRDefault="00114953" w:rsidP="00114953">
      <w:pPr>
        <w:ind w:left="708"/>
        <w:jc w:val="both"/>
        <w:rPr>
          <w:rFonts w:ascii="Times New Roman" w:eastAsia="Times New Roman" w:hAnsi="Times New Roman" w:cs="Times New Roman"/>
          <w:i/>
        </w:rPr>
      </w:pPr>
      <w:r w:rsidRPr="00565D81">
        <w:rPr>
          <w:rFonts w:ascii="Times New Roman" w:eastAsia="Times New Roman" w:hAnsi="Times New Roman" w:cs="Times New Roman"/>
          <w:i/>
          <w:lang w:val="lv-LV"/>
        </w:rPr>
        <w:t>4.</w:t>
      </w:r>
      <w:r w:rsidRPr="00565D81">
        <w:rPr>
          <w:rFonts w:ascii="Times New Roman" w:eastAsia="Arial Unicode MS" w:hAnsi="Times New Roman" w:cs="Times New Roman"/>
          <w:i/>
          <w:shd w:val="clear" w:color="auto" w:fill="FFFFFF"/>
        </w:rPr>
        <w:t xml:space="preserve"> </w:t>
      </w:r>
      <w:proofErr w:type="spellStart"/>
      <w:r w:rsidRPr="00565D81">
        <w:rPr>
          <w:rFonts w:ascii="Times New Roman" w:eastAsia="Arial Unicode MS" w:hAnsi="Times New Roman" w:cs="Times New Roman"/>
          <w:i/>
          <w:shd w:val="clear" w:color="auto" w:fill="FFFFFF"/>
        </w:rPr>
        <w:t>Šā</w:t>
      </w:r>
      <w:proofErr w:type="spellEnd"/>
      <w:r w:rsidRPr="00565D81">
        <w:rPr>
          <w:rFonts w:ascii="Times New Roman" w:eastAsia="Arial Unicode MS" w:hAnsi="Times New Roman" w:cs="Times New Roman"/>
          <w:i/>
          <w:shd w:val="clear" w:color="auto" w:fill="FFFFFF"/>
        </w:rPr>
        <w:t xml:space="preserve"> </w:t>
      </w:r>
      <w:proofErr w:type="spellStart"/>
      <w:r w:rsidRPr="00565D81">
        <w:rPr>
          <w:rFonts w:ascii="Times New Roman" w:eastAsia="Arial Unicode MS" w:hAnsi="Times New Roman" w:cs="Times New Roman"/>
          <w:i/>
          <w:shd w:val="clear" w:color="auto" w:fill="FFFFFF"/>
        </w:rPr>
        <w:t>panta</w:t>
      </w:r>
      <w:proofErr w:type="spellEnd"/>
      <w:r w:rsidRPr="00565D81">
        <w:rPr>
          <w:rFonts w:ascii="Times New Roman" w:eastAsia="Arial Unicode MS" w:hAnsi="Times New Roman" w:cs="Times New Roman"/>
          <w:i/>
          <w:shd w:val="clear" w:color="auto" w:fill="FFFFFF"/>
        </w:rPr>
        <w:t xml:space="preserve"> 1., 2. un 3. </w:t>
      </w:r>
      <w:proofErr w:type="spellStart"/>
      <w:proofErr w:type="gramStart"/>
      <w:r w:rsidRPr="00565D81">
        <w:rPr>
          <w:rFonts w:ascii="Times New Roman" w:eastAsia="Arial Unicode MS" w:hAnsi="Times New Roman" w:cs="Times New Roman"/>
          <w:i/>
          <w:shd w:val="clear" w:color="auto" w:fill="FFFFFF"/>
        </w:rPr>
        <w:t>punkts</w:t>
      </w:r>
      <w:proofErr w:type="spellEnd"/>
      <w:proofErr w:type="gramEnd"/>
      <w:r w:rsidRPr="00565D81">
        <w:rPr>
          <w:rFonts w:ascii="Times New Roman" w:eastAsia="Arial Unicode MS" w:hAnsi="Times New Roman" w:cs="Times New Roman"/>
          <w:i/>
          <w:shd w:val="clear" w:color="auto" w:fill="FFFFFF"/>
        </w:rPr>
        <w:t xml:space="preserve"> </w:t>
      </w:r>
      <w:proofErr w:type="spellStart"/>
      <w:r w:rsidRPr="00565D81">
        <w:rPr>
          <w:rFonts w:ascii="Times New Roman" w:eastAsia="Arial Unicode MS" w:hAnsi="Times New Roman" w:cs="Times New Roman"/>
          <w:i/>
          <w:shd w:val="clear" w:color="auto" w:fill="FFFFFF"/>
        </w:rPr>
        <w:t>neattiecas</w:t>
      </w:r>
      <w:proofErr w:type="spellEnd"/>
      <w:r w:rsidRPr="00565D81">
        <w:rPr>
          <w:rFonts w:ascii="Times New Roman" w:eastAsia="Arial Unicode MS" w:hAnsi="Times New Roman" w:cs="Times New Roman"/>
          <w:i/>
          <w:shd w:val="clear" w:color="auto" w:fill="FFFFFF"/>
        </w:rPr>
        <w:t xml:space="preserve"> </w:t>
      </w:r>
      <w:proofErr w:type="spellStart"/>
      <w:r w:rsidRPr="00565D81">
        <w:rPr>
          <w:rFonts w:ascii="Times New Roman" w:eastAsia="Arial Unicode MS" w:hAnsi="Times New Roman" w:cs="Times New Roman"/>
          <w:i/>
          <w:shd w:val="clear" w:color="auto" w:fill="FFFFFF"/>
        </w:rPr>
        <w:t>uz</w:t>
      </w:r>
      <w:proofErr w:type="spellEnd"/>
      <w:r w:rsidRPr="00565D81">
        <w:rPr>
          <w:rFonts w:ascii="Times New Roman" w:eastAsia="Arial Unicode MS" w:hAnsi="Times New Roman" w:cs="Times New Roman"/>
          <w:i/>
          <w:shd w:val="clear" w:color="auto" w:fill="FFFFFF"/>
        </w:rPr>
        <w:t xml:space="preserve"> </w:t>
      </w:r>
      <w:proofErr w:type="spellStart"/>
      <w:r w:rsidRPr="00565D81">
        <w:rPr>
          <w:rFonts w:ascii="Times New Roman" w:eastAsia="Arial Unicode MS" w:hAnsi="Times New Roman" w:cs="Times New Roman"/>
          <w:i/>
          <w:shd w:val="clear" w:color="auto" w:fill="FFFFFF"/>
        </w:rPr>
        <w:t>līgumiem</w:t>
      </w:r>
      <w:proofErr w:type="spellEnd"/>
      <w:r w:rsidRPr="00565D81">
        <w:rPr>
          <w:rFonts w:ascii="Times New Roman" w:eastAsia="Arial Unicode MS" w:hAnsi="Times New Roman" w:cs="Times New Roman"/>
          <w:i/>
          <w:shd w:val="clear" w:color="auto" w:fill="FFFFFF"/>
        </w:rPr>
        <w:t xml:space="preserve">, </w:t>
      </w:r>
      <w:proofErr w:type="spellStart"/>
      <w:r w:rsidRPr="00565D81">
        <w:rPr>
          <w:rFonts w:ascii="Times New Roman" w:eastAsia="Arial Unicode MS" w:hAnsi="Times New Roman" w:cs="Times New Roman"/>
          <w:i/>
          <w:shd w:val="clear" w:color="auto" w:fill="FFFFFF"/>
        </w:rPr>
        <w:t>kuriem</w:t>
      </w:r>
      <w:proofErr w:type="spellEnd"/>
      <w:r w:rsidRPr="00565D81">
        <w:rPr>
          <w:rFonts w:ascii="Times New Roman" w:eastAsia="Arial Unicode MS" w:hAnsi="Times New Roman" w:cs="Times New Roman"/>
          <w:i/>
          <w:shd w:val="clear" w:color="auto" w:fill="FFFFFF"/>
        </w:rPr>
        <w:t xml:space="preserve"> </w:t>
      </w:r>
      <w:proofErr w:type="spellStart"/>
      <w:r w:rsidRPr="00565D81">
        <w:rPr>
          <w:rFonts w:ascii="Times New Roman" w:eastAsia="Arial Unicode MS" w:hAnsi="Times New Roman" w:cs="Times New Roman"/>
          <w:i/>
          <w:shd w:val="clear" w:color="auto" w:fill="FFFFFF"/>
        </w:rPr>
        <w:t>piemēro</w:t>
      </w:r>
      <w:proofErr w:type="spellEnd"/>
      <w:r w:rsidRPr="00565D81">
        <w:rPr>
          <w:rFonts w:ascii="Times New Roman" w:eastAsia="Arial Unicode MS" w:hAnsi="Times New Roman" w:cs="Times New Roman"/>
          <w:i/>
          <w:shd w:val="clear" w:color="auto" w:fill="FFFFFF"/>
        </w:rPr>
        <w:t xml:space="preserve"> 6. </w:t>
      </w:r>
      <w:proofErr w:type="spellStart"/>
      <w:proofErr w:type="gramStart"/>
      <w:r w:rsidRPr="00565D81">
        <w:rPr>
          <w:rFonts w:ascii="Times New Roman" w:eastAsia="Arial Unicode MS" w:hAnsi="Times New Roman" w:cs="Times New Roman"/>
          <w:i/>
          <w:shd w:val="clear" w:color="auto" w:fill="FFFFFF"/>
        </w:rPr>
        <w:t>pantu</w:t>
      </w:r>
      <w:proofErr w:type="spellEnd"/>
      <w:proofErr w:type="gramEnd"/>
      <w:r w:rsidRPr="00565D81">
        <w:rPr>
          <w:rFonts w:ascii="Times New Roman" w:eastAsia="Arial Unicode MS" w:hAnsi="Times New Roman" w:cs="Times New Roman"/>
          <w:i/>
          <w:shd w:val="clear" w:color="auto" w:fill="FFFFFF"/>
        </w:rPr>
        <w:t xml:space="preserve">. </w:t>
      </w:r>
      <w:proofErr w:type="spellStart"/>
      <w:r w:rsidRPr="00565D81">
        <w:rPr>
          <w:rFonts w:ascii="Times New Roman" w:eastAsia="Arial Unicode MS" w:hAnsi="Times New Roman" w:cs="Times New Roman"/>
          <w:i/>
          <w:shd w:val="clear" w:color="auto" w:fill="FFFFFF"/>
        </w:rPr>
        <w:t>Šo</w:t>
      </w:r>
      <w:proofErr w:type="spellEnd"/>
      <w:r w:rsidRPr="00565D81">
        <w:rPr>
          <w:rFonts w:ascii="Times New Roman" w:eastAsia="Arial Unicode MS" w:hAnsi="Times New Roman" w:cs="Times New Roman"/>
          <w:i/>
          <w:shd w:val="clear" w:color="auto" w:fill="FFFFFF"/>
        </w:rPr>
        <w:t xml:space="preserve"> </w:t>
      </w:r>
      <w:proofErr w:type="spellStart"/>
      <w:r w:rsidRPr="00565D81">
        <w:rPr>
          <w:rFonts w:ascii="Times New Roman" w:eastAsia="Arial Unicode MS" w:hAnsi="Times New Roman" w:cs="Times New Roman"/>
          <w:i/>
          <w:shd w:val="clear" w:color="auto" w:fill="FFFFFF"/>
        </w:rPr>
        <w:t>līgumu</w:t>
      </w:r>
      <w:proofErr w:type="spellEnd"/>
      <w:r w:rsidRPr="00565D81">
        <w:rPr>
          <w:rFonts w:ascii="Times New Roman" w:eastAsia="Arial Unicode MS" w:hAnsi="Times New Roman" w:cs="Times New Roman"/>
          <w:i/>
          <w:shd w:val="clear" w:color="auto" w:fill="FFFFFF"/>
        </w:rPr>
        <w:t xml:space="preserve"> </w:t>
      </w:r>
      <w:proofErr w:type="spellStart"/>
      <w:r w:rsidRPr="00565D81">
        <w:rPr>
          <w:rFonts w:ascii="Times New Roman" w:eastAsia="Arial Unicode MS" w:hAnsi="Times New Roman" w:cs="Times New Roman"/>
          <w:b/>
          <w:i/>
          <w:shd w:val="clear" w:color="auto" w:fill="FFFFFF"/>
        </w:rPr>
        <w:t>formu</w:t>
      </w:r>
      <w:proofErr w:type="spellEnd"/>
      <w:r w:rsidRPr="00565D81">
        <w:rPr>
          <w:rFonts w:ascii="Times New Roman" w:eastAsia="Arial Unicode MS" w:hAnsi="Times New Roman" w:cs="Times New Roman"/>
          <w:i/>
          <w:shd w:val="clear" w:color="auto" w:fill="FFFFFF"/>
        </w:rPr>
        <w:t xml:space="preserve"> </w:t>
      </w:r>
      <w:proofErr w:type="spellStart"/>
      <w:r w:rsidRPr="00565D81">
        <w:rPr>
          <w:rFonts w:ascii="Times New Roman" w:eastAsia="Arial Unicode MS" w:hAnsi="Times New Roman" w:cs="Times New Roman"/>
          <w:i/>
          <w:shd w:val="clear" w:color="auto" w:fill="FFFFFF"/>
        </w:rPr>
        <w:t>reglamentē</w:t>
      </w:r>
      <w:proofErr w:type="spellEnd"/>
      <w:r w:rsidRPr="00565D81">
        <w:rPr>
          <w:rFonts w:ascii="Times New Roman" w:eastAsia="Arial Unicode MS" w:hAnsi="Times New Roman" w:cs="Times New Roman"/>
          <w:i/>
          <w:shd w:val="clear" w:color="auto" w:fill="FFFFFF"/>
        </w:rPr>
        <w:t xml:space="preserve"> </w:t>
      </w:r>
      <w:proofErr w:type="spellStart"/>
      <w:r w:rsidRPr="00565D81">
        <w:rPr>
          <w:rFonts w:ascii="Times New Roman" w:eastAsia="Arial Unicode MS" w:hAnsi="Times New Roman" w:cs="Times New Roman"/>
          <w:i/>
          <w:shd w:val="clear" w:color="auto" w:fill="FFFFFF"/>
        </w:rPr>
        <w:t>tās</w:t>
      </w:r>
      <w:proofErr w:type="spellEnd"/>
      <w:r w:rsidRPr="00565D81">
        <w:rPr>
          <w:rFonts w:ascii="Times New Roman" w:eastAsia="Arial Unicode MS" w:hAnsi="Times New Roman" w:cs="Times New Roman"/>
          <w:i/>
          <w:shd w:val="clear" w:color="auto" w:fill="FFFFFF"/>
        </w:rPr>
        <w:t xml:space="preserve"> </w:t>
      </w:r>
      <w:proofErr w:type="spellStart"/>
      <w:r w:rsidRPr="00565D81">
        <w:rPr>
          <w:rFonts w:ascii="Times New Roman" w:eastAsia="Arial Unicode MS" w:hAnsi="Times New Roman" w:cs="Times New Roman"/>
          <w:i/>
          <w:shd w:val="clear" w:color="auto" w:fill="FFFFFF"/>
        </w:rPr>
        <w:t>valsts</w:t>
      </w:r>
      <w:proofErr w:type="spellEnd"/>
      <w:r w:rsidRPr="00565D81">
        <w:rPr>
          <w:rFonts w:ascii="Times New Roman" w:eastAsia="Arial Unicode MS" w:hAnsi="Times New Roman" w:cs="Times New Roman"/>
          <w:i/>
          <w:shd w:val="clear" w:color="auto" w:fill="FFFFFF"/>
        </w:rPr>
        <w:t xml:space="preserve"> </w:t>
      </w:r>
      <w:proofErr w:type="spellStart"/>
      <w:r w:rsidRPr="00565D81">
        <w:rPr>
          <w:rFonts w:ascii="Times New Roman" w:eastAsia="Arial Unicode MS" w:hAnsi="Times New Roman" w:cs="Times New Roman"/>
          <w:i/>
          <w:shd w:val="clear" w:color="auto" w:fill="FFFFFF"/>
        </w:rPr>
        <w:t>tiesību</w:t>
      </w:r>
      <w:proofErr w:type="spellEnd"/>
      <w:r w:rsidRPr="00565D81">
        <w:rPr>
          <w:rFonts w:ascii="Times New Roman" w:eastAsia="Arial Unicode MS" w:hAnsi="Times New Roman" w:cs="Times New Roman"/>
          <w:i/>
          <w:shd w:val="clear" w:color="auto" w:fill="FFFFFF"/>
        </w:rPr>
        <w:t xml:space="preserve"> </w:t>
      </w:r>
      <w:proofErr w:type="spellStart"/>
      <w:r w:rsidRPr="00565D81">
        <w:rPr>
          <w:rFonts w:ascii="Times New Roman" w:eastAsia="Arial Unicode MS" w:hAnsi="Times New Roman" w:cs="Times New Roman"/>
          <w:i/>
          <w:shd w:val="clear" w:color="auto" w:fill="FFFFFF"/>
        </w:rPr>
        <w:t>akti</w:t>
      </w:r>
      <w:proofErr w:type="spellEnd"/>
      <w:r w:rsidRPr="00565D81">
        <w:rPr>
          <w:rFonts w:ascii="Times New Roman" w:eastAsia="Arial Unicode MS" w:hAnsi="Times New Roman" w:cs="Times New Roman"/>
          <w:i/>
          <w:shd w:val="clear" w:color="auto" w:fill="FFFFFF"/>
        </w:rPr>
        <w:t xml:space="preserve">, </w:t>
      </w:r>
      <w:proofErr w:type="spellStart"/>
      <w:r w:rsidRPr="00565D81">
        <w:rPr>
          <w:rFonts w:ascii="Times New Roman" w:eastAsia="Arial Unicode MS" w:hAnsi="Times New Roman" w:cs="Times New Roman"/>
          <w:i/>
          <w:shd w:val="clear" w:color="auto" w:fill="FFFFFF"/>
        </w:rPr>
        <w:t>kurā</w:t>
      </w:r>
      <w:proofErr w:type="spellEnd"/>
      <w:r w:rsidRPr="00565D81">
        <w:rPr>
          <w:rFonts w:ascii="Times New Roman" w:eastAsia="Arial Unicode MS" w:hAnsi="Times New Roman" w:cs="Times New Roman"/>
          <w:i/>
          <w:shd w:val="clear" w:color="auto" w:fill="FFFFFF"/>
        </w:rPr>
        <w:t xml:space="preserve"> </w:t>
      </w:r>
      <w:proofErr w:type="spellStart"/>
      <w:r w:rsidRPr="00565D81">
        <w:rPr>
          <w:rFonts w:ascii="Times New Roman" w:eastAsia="Arial Unicode MS" w:hAnsi="Times New Roman" w:cs="Times New Roman"/>
          <w:i/>
          <w:u w:val="single"/>
          <w:shd w:val="clear" w:color="auto" w:fill="FFFFFF"/>
        </w:rPr>
        <w:t>patērētajam</w:t>
      </w:r>
      <w:proofErr w:type="spellEnd"/>
      <w:r w:rsidRPr="00565D81">
        <w:rPr>
          <w:rFonts w:ascii="Times New Roman" w:eastAsia="Arial Unicode MS" w:hAnsi="Times New Roman" w:cs="Times New Roman"/>
          <w:i/>
          <w:shd w:val="clear" w:color="auto" w:fill="FFFFFF"/>
        </w:rPr>
        <w:t xml:space="preserve"> </w:t>
      </w:r>
      <w:proofErr w:type="spellStart"/>
      <w:r w:rsidRPr="00565D81">
        <w:rPr>
          <w:rFonts w:ascii="Times New Roman" w:eastAsia="Arial Unicode MS" w:hAnsi="Times New Roman" w:cs="Times New Roman"/>
          <w:i/>
          <w:shd w:val="clear" w:color="auto" w:fill="FFFFFF"/>
        </w:rPr>
        <w:t>ir</w:t>
      </w:r>
      <w:proofErr w:type="spellEnd"/>
      <w:r w:rsidRPr="00565D81">
        <w:rPr>
          <w:rFonts w:ascii="Times New Roman" w:eastAsia="Arial Unicode MS" w:hAnsi="Times New Roman" w:cs="Times New Roman"/>
          <w:i/>
          <w:shd w:val="clear" w:color="auto" w:fill="FFFFFF"/>
        </w:rPr>
        <w:t xml:space="preserve"> </w:t>
      </w:r>
      <w:proofErr w:type="spellStart"/>
      <w:r w:rsidRPr="00565D81">
        <w:rPr>
          <w:rFonts w:ascii="Times New Roman" w:eastAsia="Arial Unicode MS" w:hAnsi="Times New Roman" w:cs="Times New Roman"/>
          <w:i/>
          <w:shd w:val="clear" w:color="auto" w:fill="FFFFFF"/>
        </w:rPr>
        <w:t>pastāvīgā</w:t>
      </w:r>
      <w:proofErr w:type="spellEnd"/>
      <w:r w:rsidRPr="00565D81">
        <w:rPr>
          <w:rFonts w:ascii="Times New Roman" w:eastAsia="Arial Unicode MS" w:hAnsi="Times New Roman" w:cs="Times New Roman"/>
          <w:i/>
          <w:shd w:val="clear" w:color="auto" w:fill="FFFFFF"/>
        </w:rPr>
        <w:t xml:space="preserve"> </w:t>
      </w:r>
      <w:proofErr w:type="spellStart"/>
      <w:r w:rsidRPr="00565D81">
        <w:rPr>
          <w:rFonts w:ascii="Times New Roman" w:eastAsia="Arial Unicode MS" w:hAnsi="Times New Roman" w:cs="Times New Roman"/>
          <w:i/>
          <w:shd w:val="clear" w:color="auto" w:fill="FFFFFF"/>
        </w:rPr>
        <w:t>mītnesvieta</w:t>
      </w:r>
      <w:proofErr w:type="spellEnd"/>
      <w:r w:rsidRPr="00565D81">
        <w:rPr>
          <w:rFonts w:ascii="Times New Roman" w:eastAsia="Arial Unicode MS" w:hAnsi="Times New Roman" w:cs="Times New Roman"/>
          <w:i/>
          <w:shd w:val="clear" w:color="auto" w:fill="FFFFFF"/>
        </w:rPr>
        <w:t>.</w:t>
      </w:r>
    </w:p>
    <w:p w14:paraId="492E9BA8" w14:textId="77777777" w:rsidR="00114953" w:rsidRPr="00565D81" w:rsidRDefault="00114953" w:rsidP="00114953">
      <w:pPr>
        <w:pStyle w:val="norm"/>
        <w:spacing w:before="120" w:beforeAutospacing="0" w:after="0" w:afterAutospacing="0" w:line="312" w:lineRule="atLeast"/>
        <w:ind w:left="708"/>
        <w:jc w:val="both"/>
        <w:textAlignment w:val="baseline"/>
        <w:rPr>
          <w:rFonts w:ascii="Times New Roman" w:eastAsia="Arial Unicode MS" w:hAnsi="Times New Roman" w:cs="Times New Roman"/>
          <w:i/>
          <w:sz w:val="24"/>
          <w:szCs w:val="24"/>
        </w:rPr>
      </w:pPr>
      <w:r w:rsidRPr="00565D81">
        <w:rPr>
          <w:rFonts w:ascii="Times New Roman" w:eastAsia="Times New Roman" w:hAnsi="Times New Roman" w:cs="Times New Roman"/>
          <w:i/>
          <w:sz w:val="24"/>
          <w:szCs w:val="24"/>
          <w:lang w:val="lv-LV"/>
        </w:rPr>
        <w:t>5.</w:t>
      </w:r>
      <w:r w:rsidRPr="00565D81">
        <w:rPr>
          <w:rFonts w:ascii="Times New Roman" w:eastAsia="Arial Unicode MS" w:hAnsi="Times New Roman" w:cs="Times New Roman"/>
          <w:i/>
          <w:sz w:val="24"/>
          <w:szCs w:val="24"/>
        </w:rPr>
        <w:t xml:space="preserve"> </w:t>
      </w:r>
      <w:proofErr w:type="spellStart"/>
      <w:r w:rsidRPr="00565D81">
        <w:rPr>
          <w:rFonts w:ascii="Times New Roman" w:eastAsia="Arial Unicode MS" w:hAnsi="Times New Roman" w:cs="Times New Roman"/>
          <w:i/>
          <w:sz w:val="24"/>
          <w:szCs w:val="24"/>
        </w:rPr>
        <w:t>Neskarot</w:t>
      </w:r>
      <w:proofErr w:type="spellEnd"/>
      <w:r w:rsidRPr="00565D81">
        <w:rPr>
          <w:rFonts w:ascii="Times New Roman" w:eastAsia="Arial Unicode MS" w:hAnsi="Times New Roman" w:cs="Times New Roman"/>
          <w:i/>
          <w:sz w:val="24"/>
          <w:szCs w:val="24"/>
        </w:rPr>
        <w:t xml:space="preserve"> 1. </w:t>
      </w:r>
      <w:proofErr w:type="spellStart"/>
      <w:proofErr w:type="gramStart"/>
      <w:r w:rsidRPr="00565D81">
        <w:rPr>
          <w:rFonts w:ascii="Times New Roman" w:eastAsia="Arial Unicode MS" w:hAnsi="Times New Roman" w:cs="Times New Roman"/>
          <w:i/>
          <w:sz w:val="24"/>
          <w:szCs w:val="24"/>
        </w:rPr>
        <w:t>līdz</w:t>
      </w:r>
      <w:proofErr w:type="spellEnd"/>
      <w:proofErr w:type="gramEnd"/>
      <w:r w:rsidRPr="00565D81">
        <w:rPr>
          <w:rFonts w:ascii="Times New Roman" w:eastAsia="Arial Unicode MS" w:hAnsi="Times New Roman" w:cs="Times New Roman"/>
          <w:i/>
          <w:sz w:val="24"/>
          <w:szCs w:val="24"/>
        </w:rPr>
        <w:t xml:space="preserve"> 4. </w:t>
      </w:r>
      <w:proofErr w:type="spellStart"/>
      <w:proofErr w:type="gramStart"/>
      <w:r w:rsidRPr="00565D81">
        <w:rPr>
          <w:rFonts w:ascii="Times New Roman" w:eastAsia="Arial Unicode MS" w:hAnsi="Times New Roman" w:cs="Times New Roman"/>
          <w:i/>
          <w:sz w:val="24"/>
          <w:szCs w:val="24"/>
        </w:rPr>
        <w:t>punktu</w:t>
      </w:r>
      <w:proofErr w:type="spellEnd"/>
      <w:proofErr w:type="gramEnd"/>
      <w:r w:rsidRPr="00565D81">
        <w:rPr>
          <w:rFonts w:ascii="Times New Roman" w:eastAsia="Arial Unicode MS" w:hAnsi="Times New Roman" w:cs="Times New Roman"/>
          <w:i/>
          <w:sz w:val="24"/>
          <w:szCs w:val="24"/>
        </w:rPr>
        <w:t xml:space="preserve">, </w:t>
      </w:r>
      <w:proofErr w:type="spellStart"/>
      <w:r w:rsidRPr="00565D81">
        <w:rPr>
          <w:rFonts w:ascii="Times New Roman" w:eastAsia="Arial Unicode MS" w:hAnsi="Times New Roman" w:cs="Times New Roman"/>
          <w:i/>
          <w:sz w:val="24"/>
          <w:szCs w:val="24"/>
        </w:rPr>
        <w:t>līgumu</w:t>
      </w:r>
      <w:proofErr w:type="spellEnd"/>
      <w:r w:rsidRPr="00565D81">
        <w:rPr>
          <w:rFonts w:ascii="Times New Roman" w:eastAsia="Arial Unicode MS" w:hAnsi="Times New Roman" w:cs="Times New Roman"/>
          <w:i/>
          <w:sz w:val="24"/>
          <w:szCs w:val="24"/>
        </w:rPr>
        <w:t xml:space="preserve">, </w:t>
      </w:r>
      <w:proofErr w:type="spellStart"/>
      <w:r w:rsidRPr="00565D81">
        <w:rPr>
          <w:rFonts w:ascii="Times New Roman" w:eastAsia="Arial Unicode MS" w:hAnsi="Times New Roman" w:cs="Times New Roman"/>
          <w:i/>
          <w:sz w:val="24"/>
          <w:szCs w:val="24"/>
        </w:rPr>
        <w:t>kura</w:t>
      </w:r>
      <w:proofErr w:type="spellEnd"/>
      <w:r w:rsidRPr="00565D81">
        <w:rPr>
          <w:rFonts w:ascii="Times New Roman" w:eastAsia="Arial Unicode MS" w:hAnsi="Times New Roman" w:cs="Times New Roman"/>
          <w:i/>
          <w:sz w:val="24"/>
          <w:szCs w:val="24"/>
        </w:rPr>
        <w:t xml:space="preserve"> </w:t>
      </w:r>
      <w:proofErr w:type="spellStart"/>
      <w:r w:rsidRPr="00565D81">
        <w:rPr>
          <w:rFonts w:ascii="Times New Roman" w:eastAsia="Arial Unicode MS" w:hAnsi="Times New Roman" w:cs="Times New Roman"/>
          <w:i/>
          <w:sz w:val="24"/>
          <w:szCs w:val="24"/>
        </w:rPr>
        <w:t>priekšmets</w:t>
      </w:r>
      <w:proofErr w:type="spellEnd"/>
      <w:r w:rsidRPr="00565D81">
        <w:rPr>
          <w:rFonts w:ascii="Times New Roman" w:eastAsia="Arial Unicode MS" w:hAnsi="Times New Roman" w:cs="Times New Roman"/>
          <w:i/>
          <w:sz w:val="24"/>
          <w:szCs w:val="24"/>
        </w:rPr>
        <w:t xml:space="preserve"> </w:t>
      </w:r>
      <w:proofErr w:type="spellStart"/>
      <w:r w:rsidRPr="00565D81">
        <w:rPr>
          <w:rFonts w:ascii="Times New Roman" w:eastAsia="Arial Unicode MS" w:hAnsi="Times New Roman" w:cs="Times New Roman"/>
          <w:i/>
          <w:sz w:val="24"/>
          <w:szCs w:val="24"/>
        </w:rPr>
        <w:t>ir</w:t>
      </w:r>
      <w:proofErr w:type="spellEnd"/>
      <w:r w:rsidRPr="00565D81">
        <w:rPr>
          <w:rFonts w:ascii="Times New Roman" w:eastAsia="Arial Unicode MS" w:hAnsi="Times New Roman" w:cs="Times New Roman"/>
          <w:i/>
          <w:sz w:val="24"/>
          <w:szCs w:val="24"/>
        </w:rPr>
        <w:t xml:space="preserve"> </w:t>
      </w:r>
      <w:proofErr w:type="spellStart"/>
      <w:r w:rsidRPr="00565D81">
        <w:rPr>
          <w:rFonts w:ascii="Times New Roman" w:eastAsia="Arial Unicode MS" w:hAnsi="Times New Roman" w:cs="Times New Roman"/>
          <w:i/>
          <w:sz w:val="24"/>
          <w:szCs w:val="24"/>
          <w:u w:val="single"/>
        </w:rPr>
        <w:t>lietu</w:t>
      </w:r>
      <w:proofErr w:type="spellEnd"/>
      <w:r w:rsidRPr="00565D81">
        <w:rPr>
          <w:rFonts w:ascii="Times New Roman" w:eastAsia="Arial Unicode MS" w:hAnsi="Times New Roman" w:cs="Times New Roman"/>
          <w:i/>
          <w:sz w:val="24"/>
          <w:szCs w:val="24"/>
          <w:u w:val="single"/>
        </w:rPr>
        <w:t xml:space="preserve"> </w:t>
      </w:r>
      <w:proofErr w:type="spellStart"/>
      <w:r w:rsidRPr="00565D81">
        <w:rPr>
          <w:rFonts w:ascii="Times New Roman" w:eastAsia="Arial Unicode MS" w:hAnsi="Times New Roman" w:cs="Times New Roman"/>
          <w:i/>
          <w:sz w:val="24"/>
          <w:szCs w:val="24"/>
          <w:u w:val="single"/>
        </w:rPr>
        <w:t>tiesības</w:t>
      </w:r>
      <w:proofErr w:type="spellEnd"/>
      <w:r w:rsidRPr="00565D81">
        <w:rPr>
          <w:rFonts w:ascii="Times New Roman" w:eastAsia="Arial Unicode MS" w:hAnsi="Times New Roman" w:cs="Times New Roman"/>
          <w:i/>
          <w:sz w:val="24"/>
          <w:szCs w:val="24"/>
          <w:u w:val="single"/>
        </w:rPr>
        <w:t xml:space="preserve"> </w:t>
      </w:r>
      <w:proofErr w:type="spellStart"/>
      <w:r w:rsidRPr="00565D81">
        <w:rPr>
          <w:rFonts w:ascii="Times New Roman" w:eastAsia="Arial Unicode MS" w:hAnsi="Times New Roman" w:cs="Times New Roman"/>
          <w:i/>
          <w:sz w:val="24"/>
          <w:szCs w:val="24"/>
          <w:u w:val="single"/>
        </w:rPr>
        <w:t>uz</w:t>
      </w:r>
      <w:proofErr w:type="spellEnd"/>
      <w:r w:rsidRPr="00565D81">
        <w:rPr>
          <w:rFonts w:ascii="Times New Roman" w:eastAsia="Arial Unicode MS" w:hAnsi="Times New Roman" w:cs="Times New Roman"/>
          <w:i/>
          <w:sz w:val="24"/>
          <w:szCs w:val="24"/>
          <w:u w:val="single"/>
        </w:rPr>
        <w:t xml:space="preserve"> </w:t>
      </w:r>
      <w:proofErr w:type="spellStart"/>
      <w:r w:rsidRPr="00565D81">
        <w:rPr>
          <w:rFonts w:ascii="Times New Roman" w:eastAsia="Arial Unicode MS" w:hAnsi="Times New Roman" w:cs="Times New Roman"/>
          <w:i/>
          <w:sz w:val="24"/>
          <w:szCs w:val="24"/>
          <w:u w:val="single"/>
        </w:rPr>
        <w:t>nekustamo</w:t>
      </w:r>
      <w:proofErr w:type="spellEnd"/>
      <w:r w:rsidRPr="00565D81">
        <w:rPr>
          <w:rFonts w:ascii="Times New Roman" w:eastAsia="Arial Unicode MS" w:hAnsi="Times New Roman" w:cs="Times New Roman"/>
          <w:i/>
          <w:sz w:val="24"/>
          <w:szCs w:val="24"/>
          <w:u w:val="single"/>
        </w:rPr>
        <w:t xml:space="preserve"> </w:t>
      </w:r>
      <w:proofErr w:type="spellStart"/>
      <w:r w:rsidRPr="00565D81">
        <w:rPr>
          <w:rFonts w:ascii="Times New Roman" w:eastAsia="Arial Unicode MS" w:hAnsi="Times New Roman" w:cs="Times New Roman"/>
          <w:i/>
          <w:sz w:val="24"/>
          <w:szCs w:val="24"/>
          <w:u w:val="single"/>
        </w:rPr>
        <w:t>īpašumu</w:t>
      </w:r>
      <w:proofErr w:type="spellEnd"/>
      <w:r w:rsidRPr="00565D81">
        <w:rPr>
          <w:rFonts w:ascii="Times New Roman" w:eastAsia="Arial Unicode MS" w:hAnsi="Times New Roman" w:cs="Times New Roman"/>
          <w:i/>
          <w:sz w:val="24"/>
          <w:szCs w:val="24"/>
          <w:u w:val="single"/>
        </w:rPr>
        <w:t xml:space="preserve"> </w:t>
      </w:r>
      <w:proofErr w:type="spellStart"/>
      <w:r w:rsidRPr="00565D81">
        <w:rPr>
          <w:rFonts w:ascii="Times New Roman" w:eastAsia="Arial Unicode MS" w:hAnsi="Times New Roman" w:cs="Times New Roman"/>
          <w:i/>
          <w:sz w:val="24"/>
          <w:szCs w:val="24"/>
          <w:u w:val="single"/>
        </w:rPr>
        <w:t>vai</w:t>
      </w:r>
      <w:proofErr w:type="spellEnd"/>
      <w:r w:rsidRPr="00565D81">
        <w:rPr>
          <w:rFonts w:ascii="Times New Roman" w:eastAsia="Arial Unicode MS" w:hAnsi="Times New Roman" w:cs="Times New Roman"/>
          <w:i/>
          <w:sz w:val="24"/>
          <w:szCs w:val="24"/>
          <w:u w:val="single"/>
        </w:rPr>
        <w:t xml:space="preserve"> </w:t>
      </w:r>
      <w:proofErr w:type="spellStart"/>
      <w:r w:rsidRPr="00565D81">
        <w:rPr>
          <w:rFonts w:ascii="Times New Roman" w:eastAsia="Arial Unicode MS" w:hAnsi="Times New Roman" w:cs="Times New Roman"/>
          <w:i/>
          <w:sz w:val="24"/>
          <w:szCs w:val="24"/>
          <w:u w:val="single"/>
        </w:rPr>
        <w:t>nekustamā</w:t>
      </w:r>
      <w:proofErr w:type="spellEnd"/>
      <w:r w:rsidRPr="00565D81">
        <w:rPr>
          <w:rFonts w:ascii="Times New Roman" w:eastAsia="Arial Unicode MS" w:hAnsi="Times New Roman" w:cs="Times New Roman"/>
          <w:i/>
          <w:sz w:val="24"/>
          <w:szCs w:val="24"/>
          <w:u w:val="single"/>
        </w:rPr>
        <w:t xml:space="preserve"> </w:t>
      </w:r>
      <w:proofErr w:type="spellStart"/>
      <w:r w:rsidRPr="00565D81">
        <w:rPr>
          <w:rFonts w:ascii="Times New Roman" w:eastAsia="Arial Unicode MS" w:hAnsi="Times New Roman" w:cs="Times New Roman"/>
          <w:i/>
          <w:sz w:val="24"/>
          <w:szCs w:val="24"/>
          <w:u w:val="single"/>
        </w:rPr>
        <w:t>īpašuma</w:t>
      </w:r>
      <w:proofErr w:type="spellEnd"/>
      <w:r w:rsidRPr="00565D81">
        <w:rPr>
          <w:rFonts w:ascii="Times New Roman" w:eastAsia="Arial Unicode MS" w:hAnsi="Times New Roman" w:cs="Times New Roman"/>
          <w:i/>
          <w:sz w:val="24"/>
          <w:szCs w:val="24"/>
          <w:u w:val="single"/>
        </w:rPr>
        <w:t xml:space="preserve"> </w:t>
      </w:r>
      <w:proofErr w:type="spellStart"/>
      <w:r w:rsidRPr="00565D81">
        <w:rPr>
          <w:rFonts w:ascii="Times New Roman" w:eastAsia="Arial Unicode MS" w:hAnsi="Times New Roman" w:cs="Times New Roman"/>
          <w:i/>
          <w:sz w:val="24"/>
          <w:szCs w:val="24"/>
          <w:u w:val="single"/>
        </w:rPr>
        <w:t>noma</w:t>
      </w:r>
      <w:proofErr w:type="spellEnd"/>
      <w:r w:rsidRPr="00565D81">
        <w:rPr>
          <w:rFonts w:ascii="Times New Roman" w:eastAsia="Arial Unicode MS" w:hAnsi="Times New Roman" w:cs="Times New Roman"/>
          <w:i/>
          <w:sz w:val="24"/>
          <w:szCs w:val="24"/>
          <w:u w:val="single"/>
        </w:rPr>
        <w:t>/</w:t>
      </w:r>
      <w:proofErr w:type="spellStart"/>
      <w:r w:rsidRPr="00565D81">
        <w:rPr>
          <w:rFonts w:ascii="Times New Roman" w:eastAsia="Arial Unicode MS" w:hAnsi="Times New Roman" w:cs="Times New Roman"/>
          <w:i/>
          <w:sz w:val="24"/>
          <w:szCs w:val="24"/>
          <w:u w:val="single"/>
        </w:rPr>
        <w:t>īre</w:t>
      </w:r>
      <w:proofErr w:type="spellEnd"/>
      <w:r w:rsidRPr="00565D81">
        <w:rPr>
          <w:rFonts w:ascii="Times New Roman" w:eastAsia="Arial Unicode MS" w:hAnsi="Times New Roman" w:cs="Times New Roman"/>
          <w:i/>
          <w:sz w:val="24"/>
          <w:szCs w:val="24"/>
        </w:rPr>
        <w:t xml:space="preserve">, </w:t>
      </w:r>
      <w:proofErr w:type="spellStart"/>
      <w:r w:rsidRPr="00565D81">
        <w:rPr>
          <w:rFonts w:ascii="Times New Roman" w:eastAsia="Arial Unicode MS" w:hAnsi="Times New Roman" w:cs="Times New Roman"/>
          <w:i/>
          <w:sz w:val="24"/>
          <w:szCs w:val="24"/>
        </w:rPr>
        <w:t>attiecībā</w:t>
      </w:r>
      <w:proofErr w:type="spellEnd"/>
      <w:r w:rsidRPr="00565D81">
        <w:rPr>
          <w:rFonts w:ascii="Times New Roman" w:eastAsia="Arial Unicode MS" w:hAnsi="Times New Roman" w:cs="Times New Roman"/>
          <w:i/>
          <w:sz w:val="24"/>
          <w:szCs w:val="24"/>
        </w:rPr>
        <w:t xml:space="preserve"> </w:t>
      </w:r>
      <w:proofErr w:type="spellStart"/>
      <w:r w:rsidRPr="00565D81">
        <w:rPr>
          <w:rFonts w:ascii="Times New Roman" w:eastAsia="Arial Unicode MS" w:hAnsi="Times New Roman" w:cs="Times New Roman"/>
          <w:i/>
          <w:sz w:val="24"/>
          <w:szCs w:val="24"/>
        </w:rPr>
        <w:t>uz</w:t>
      </w:r>
      <w:proofErr w:type="spellEnd"/>
      <w:r w:rsidRPr="00565D81">
        <w:rPr>
          <w:rFonts w:ascii="Times New Roman" w:eastAsia="Arial Unicode MS" w:hAnsi="Times New Roman" w:cs="Times New Roman"/>
          <w:i/>
          <w:sz w:val="24"/>
          <w:szCs w:val="24"/>
        </w:rPr>
        <w:t xml:space="preserve"> </w:t>
      </w:r>
      <w:proofErr w:type="spellStart"/>
      <w:r w:rsidRPr="00565D81">
        <w:rPr>
          <w:rFonts w:ascii="Times New Roman" w:eastAsia="Arial Unicode MS" w:hAnsi="Times New Roman" w:cs="Times New Roman"/>
          <w:i/>
          <w:sz w:val="24"/>
          <w:szCs w:val="24"/>
        </w:rPr>
        <w:t>līguma</w:t>
      </w:r>
      <w:proofErr w:type="spellEnd"/>
      <w:r w:rsidRPr="00565D81">
        <w:rPr>
          <w:rFonts w:ascii="Times New Roman" w:eastAsia="Arial Unicode MS" w:hAnsi="Times New Roman" w:cs="Times New Roman"/>
          <w:i/>
          <w:sz w:val="24"/>
          <w:szCs w:val="24"/>
        </w:rPr>
        <w:t xml:space="preserve"> </w:t>
      </w:r>
      <w:proofErr w:type="spellStart"/>
      <w:r w:rsidRPr="00565D81">
        <w:rPr>
          <w:rFonts w:ascii="Times New Roman" w:eastAsia="Arial Unicode MS" w:hAnsi="Times New Roman" w:cs="Times New Roman"/>
          <w:b/>
          <w:i/>
          <w:sz w:val="24"/>
          <w:szCs w:val="24"/>
        </w:rPr>
        <w:t>formu</w:t>
      </w:r>
      <w:proofErr w:type="spellEnd"/>
      <w:r w:rsidRPr="00565D81">
        <w:rPr>
          <w:rFonts w:ascii="Times New Roman" w:eastAsia="Arial Unicode MS" w:hAnsi="Times New Roman" w:cs="Times New Roman"/>
          <w:i/>
          <w:sz w:val="24"/>
          <w:szCs w:val="24"/>
        </w:rPr>
        <w:t xml:space="preserve"> </w:t>
      </w:r>
      <w:proofErr w:type="spellStart"/>
      <w:r w:rsidRPr="00565D81">
        <w:rPr>
          <w:rFonts w:ascii="Times New Roman" w:eastAsia="Arial Unicode MS" w:hAnsi="Times New Roman" w:cs="Times New Roman"/>
          <w:i/>
          <w:sz w:val="24"/>
          <w:szCs w:val="24"/>
        </w:rPr>
        <w:t>reglamentē</w:t>
      </w:r>
      <w:proofErr w:type="spellEnd"/>
      <w:r w:rsidRPr="00565D81">
        <w:rPr>
          <w:rFonts w:ascii="Times New Roman" w:eastAsia="Arial Unicode MS" w:hAnsi="Times New Roman" w:cs="Times New Roman"/>
          <w:i/>
          <w:sz w:val="24"/>
          <w:szCs w:val="24"/>
        </w:rPr>
        <w:t xml:space="preserve"> </w:t>
      </w:r>
      <w:proofErr w:type="spellStart"/>
      <w:r w:rsidRPr="00565D81">
        <w:rPr>
          <w:rFonts w:ascii="Times New Roman" w:eastAsia="Arial Unicode MS" w:hAnsi="Times New Roman" w:cs="Times New Roman"/>
          <w:i/>
          <w:sz w:val="24"/>
          <w:szCs w:val="24"/>
        </w:rPr>
        <w:t>īpašuma</w:t>
      </w:r>
      <w:proofErr w:type="spellEnd"/>
      <w:r w:rsidRPr="00565D81">
        <w:rPr>
          <w:rFonts w:ascii="Times New Roman" w:eastAsia="Arial Unicode MS" w:hAnsi="Times New Roman" w:cs="Times New Roman"/>
          <w:i/>
          <w:sz w:val="24"/>
          <w:szCs w:val="24"/>
        </w:rPr>
        <w:t xml:space="preserve"> </w:t>
      </w:r>
      <w:proofErr w:type="spellStart"/>
      <w:r w:rsidRPr="00565D81">
        <w:rPr>
          <w:rFonts w:ascii="Times New Roman" w:eastAsia="Arial Unicode MS" w:hAnsi="Times New Roman" w:cs="Times New Roman"/>
          <w:i/>
          <w:sz w:val="24"/>
          <w:szCs w:val="24"/>
        </w:rPr>
        <w:t>atrašanās</w:t>
      </w:r>
      <w:proofErr w:type="spellEnd"/>
      <w:r w:rsidRPr="00565D81">
        <w:rPr>
          <w:rFonts w:ascii="Times New Roman" w:eastAsia="Arial Unicode MS" w:hAnsi="Times New Roman" w:cs="Times New Roman"/>
          <w:i/>
          <w:sz w:val="24"/>
          <w:szCs w:val="24"/>
        </w:rPr>
        <w:t xml:space="preserve"> </w:t>
      </w:r>
      <w:proofErr w:type="spellStart"/>
      <w:r w:rsidRPr="00565D81">
        <w:rPr>
          <w:rFonts w:ascii="Times New Roman" w:eastAsia="Arial Unicode MS" w:hAnsi="Times New Roman" w:cs="Times New Roman"/>
          <w:i/>
          <w:sz w:val="24"/>
          <w:szCs w:val="24"/>
        </w:rPr>
        <w:t>valsts</w:t>
      </w:r>
      <w:proofErr w:type="spellEnd"/>
      <w:r w:rsidRPr="00565D81">
        <w:rPr>
          <w:rFonts w:ascii="Times New Roman" w:eastAsia="Arial Unicode MS" w:hAnsi="Times New Roman" w:cs="Times New Roman"/>
          <w:i/>
          <w:sz w:val="24"/>
          <w:szCs w:val="24"/>
        </w:rPr>
        <w:t xml:space="preserve"> </w:t>
      </w:r>
      <w:proofErr w:type="spellStart"/>
      <w:r w:rsidRPr="00565D81">
        <w:rPr>
          <w:rFonts w:ascii="Times New Roman" w:eastAsia="Arial Unicode MS" w:hAnsi="Times New Roman" w:cs="Times New Roman"/>
          <w:i/>
          <w:sz w:val="24"/>
          <w:szCs w:val="24"/>
        </w:rPr>
        <w:t>tiesību</w:t>
      </w:r>
      <w:proofErr w:type="spellEnd"/>
      <w:r w:rsidRPr="00565D81">
        <w:rPr>
          <w:rFonts w:ascii="Times New Roman" w:eastAsia="Arial Unicode MS" w:hAnsi="Times New Roman" w:cs="Times New Roman"/>
          <w:i/>
          <w:sz w:val="24"/>
          <w:szCs w:val="24"/>
        </w:rPr>
        <w:t xml:space="preserve"> </w:t>
      </w:r>
      <w:proofErr w:type="spellStart"/>
      <w:r w:rsidRPr="00565D81">
        <w:rPr>
          <w:rFonts w:ascii="Times New Roman" w:eastAsia="Arial Unicode MS" w:hAnsi="Times New Roman" w:cs="Times New Roman"/>
          <w:i/>
          <w:sz w:val="24"/>
          <w:szCs w:val="24"/>
        </w:rPr>
        <w:t>aktu</w:t>
      </w:r>
      <w:proofErr w:type="spellEnd"/>
      <w:r w:rsidRPr="00565D81">
        <w:rPr>
          <w:rFonts w:ascii="Times New Roman" w:eastAsia="Arial Unicode MS" w:hAnsi="Times New Roman" w:cs="Times New Roman"/>
          <w:i/>
          <w:sz w:val="24"/>
          <w:szCs w:val="24"/>
        </w:rPr>
        <w:t xml:space="preserve"> </w:t>
      </w:r>
      <w:proofErr w:type="spellStart"/>
      <w:r w:rsidRPr="00565D81">
        <w:rPr>
          <w:rFonts w:ascii="Times New Roman" w:eastAsia="Arial Unicode MS" w:hAnsi="Times New Roman" w:cs="Times New Roman"/>
          <w:i/>
          <w:sz w:val="24"/>
          <w:szCs w:val="24"/>
        </w:rPr>
        <w:t>prasības</w:t>
      </w:r>
      <w:proofErr w:type="spellEnd"/>
      <w:r w:rsidRPr="00565D81">
        <w:rPr>
          <w:rFonts w:ascii="Times New Roman" w:eastAsia="Arial Unicode MS" w:hAnsi="Times New Roman" w:cs="Times New Roman"/>
          <w:i/>
          <w:sz w:val="24"/>
          <w:szCs w:val="24"/>
        </w:rPr>
        <w:t xml:space="preserve">, </w:t>
      </w:r>
      <w:proofErr w:type="spellStart"/>
      <w:r w:rsidRPr="00565D81">
        <w:rPr>
          <w:rFonts w:ascii="Times New Roman" w:eastAsia="Arial Unicode MS" w:hAnsi="Times New Roman" w:cs="Times New Roman"/>
          <w:i/>
          <w:sz w:val="24"/>
          <w:szCs w:val="24"/>
        </w:rPr>
        <w:t>ja</w:t>
      </w:r>
      <w:proofErr w:type="spellEnd"/>
      <w:r w:rsidRPr="00565D81">
        <w:rPr>
          <w:rFonts w:ascii="Times New Roman" w:eastAsia="Arial Unicode MS" w:hAnsi="Times New Roman" w:cs="Times New Roman"/>
          <w:i/>
          <w:sz w:val="24"/>
          <w:szCs w:val="24"/>
        </w:rPr>
        <w:t xml:space="preserve"> </w:t>
      </w:r>
      <w:proofErr w:type="spellStart"/>
      <w:r w:rsidRPr="00565D81">
        <w:rPr>
          <w:rFonts w:ascii="Times New Roman" w:eastAsia="Arial Unicode MS" w:hAnsi="Times New Roman" w:cs="Times New Roman"/>
          <w:i/>
          <w:sz w:val="24"/>
          <w:szCs w:val="24"/>
        </w:rPr>
        <w:t>saskaņā</w:t>
      </w:r>
      <w:proofErr w:type="spellEnd"/>
      <w:r w:rsidRPr="00565D81">
        <w:rPr>
          <w:rFonts w:ascii="Times New Roman" w:eastAsia="Arial Unicode MS" w:hAnsi="Times New Roman" w:cs="Times New Roman"/>
          <w:i/>
          <w:sz w:val="24"/>
          <w:szCs w:val="24"/>
        </w:rPr>
        <w:t xml:space="preserve"> </w:t>
      </w:r>
      <w:proofErr w:type="spellStart"/>
      <w:r w:rsidRPr="00565D81">
        <w:rPr>
          <w:rFonts w:ascii="Times New Roman" w:eastAsia="Arial Unicode MS" w:hAnsi="Times New Roman" w:cs="Times New Roman"/>
          <w:i/>
          <w:sz w:val="24"/>
          <w:szCs w:val="24"/>
        </w:rPr>
        <w:t>ar</w:t>
      </w:r>
      <w:proofErr w:type="spellEnd"/>
      <w:r w:rsidRPr="00565D81">
        <w:rPr>
          <w:rFonts w:ascii="Times New Roman" w:eastAsia="Arial Unicode MS" w:hAnsi="Times New Roman" w:cs="Times New Roman"/>
          <w:i/>
          <w:sz w:val="24"/>
          <w:szCs w:val="24"/>
        </w:rPr>
        <w:t xml:space="preserve"> </w:t>
      </w:r>
      <w:proofErr w:type="spellStart"/>
      <w:r w:rsidRPr="00565D81">
        <w:rPr>
          <w:rFonts w:ascii="Times New Roman" w:eastAsia="Arial Unicode MS" w:hAnsi="Times New Roman" w:cs="Times New Roman"/>
          <w:i/>
          <w:sz w:val="24"/>
          <w:szCs w:val="24"/>
        </w:rPr>
        <w:t>minētajiem</w:t>
      </w:r>
      <w:proofErr w:type="spellEnd"/>
      <w:r w:rsidRPr="00565D81">
        <w:rPr>
          <w:rFonts w:ascii="Times New Roman" w:eastAsia="Arial Unicode MS" w:hAnsi="Times New Roman" w:cs="Times New Roman"/>
          <w:i/>
          <w:sz w:val="24"/>
          <w:szCs w:val="24"/>
        </w:rPr>
        <w:t xml:space="preserve"> </w:t>
      </w:r>
      <w:proofErr w:type="spellStart"/>
      <w:r w:rsidRPr="00565D81">
        <w:rPr>
          <w:rFonts w:ascii="Times New Roman" w:eastAsia="Arial Unicode MS" w:hAnsi="Times New Roman" w:cs="Times New Roman"/>
          <w:i/>
          <w:sz w:val="24"/>
          <w:szCs w:val="24"/>
        </w:rPr>
        <w:t>tiesību</w:t>
      </w:r>
      <w:proofErr w:type="spellEnd"/>
      <w:r w:rsidRPr="00565D81">
        <w:rPr>
          <w:rFonts w:ascii="Times New Roman" w:eastAsia="Arial Unicode MS" w:hAnsi="Times New Roman" w:cs="Times New Roman"/>
          <w:i/>
          <w:sz w:val="24"/>
          <w:szCs w:val="24"/>
        </w:rPr>
        <w:t xml:space="preserve"> </w:t>
      </w:r>
      <w:proofErr w:type="spellStart"/>
      <w:r w:rsidRPr="00565D81">
        <w:rPr>
          <w:rFonts w:ascii="Times New Roman" w:eastAsia="Arial Unicode MS" w:hAnsi="Times New Roman" w:cs="Times New Roman"/>
          <w:i/>
          <w:sz w:val="24"/>
          <w:szCs w:val="24"/>
        </w:rPr>
        <w:t>aktiem</w:t>
      </w:r>
      <w:proofErr w:type="spellEnd"/>
      <w:r w:rsidRPr="00565D81">
        <w:rPr>
          <w:rFonts w:ascii="Times New Roman" w:eastAsia="Arial Unicode MS" w:hAnsi="Times New Roman" w:cs="Times New Roman"/>
          <w:i/>
          <w:sz w:val="24"/>
          <w:szCs w:val="24"/>
        </w:rPr>
        <w:t>:</w:t>
      </w:r>
    </w:p>
    <w:p w14:paraId="1C165A25" w14:textId="77777777" w:rsidR="00114953" w:rsidRPr="00565D81" w:rsidRDefault="00114953" w:rsidP="00114953">
      <w:pPr>
        <w:ind w:left="708" w:firstLine="708"/>
        <w:jc w:val="both"/>
        <w:rPr>
          <w:rFonts w:ascii="Times New Roman" w:eastAsia="Times New Roman" w:hAnsi="Times New Roman" w:cs="Times New Roman"/>
          <w:i/>
        </w:rPr>
      </w:pPr>
      <w:r w:rsidRPr="00565D81">
        <w:rPr>
          <w:rFonts w:ascii="Times New Roman" w:eastAsia="Times New Roman" w:hAnsi="Times New Roman" w:cs="Times New Roman"/>
          <w:i/>
        </w:rPr>
        <w:t>a)</w:t>
      </w:r>
      <w:r w:rsidRPr="00565D81">
        <w:rPr>
          <w:rFonts w:ascii="Times New Roman" w:eastAsia="Arial Unicode MS" w:hAnsi="Times New Roman" w:cs="Times New Roman"/>
          <w:i/>
          <w:shd w:val="clear" w:color="auto" w:fill="FFFFFF"/>
        </w:rPr>
        <w:t xml:space="preserve"> </w:t>
      </w:r>
      <w:proofErr w:type="spellStart"/>
      <w:r w:rsidRPr="00565D81">
        <w:rPr>
          <w:rFonts w:ascii="Times New Roman" w:eastAsia="Arial Unicode MS" w:hAnsi="Times New Roman" w:cs="Times New Roman"/>
          <w:i/>
          <w:shd w:val="clear" w:color="auto" w:fill="FFFFFF"/>
        </w:rPr>
        <w:t>šādas</w:t>
      </w:r>
      <w:proofErr w:type="spellEnd"/>
      <w:r w:rsidRPr="00565D81">
        <w:rPr>
          <w:rFonts w:ascii="Times New Roman" w:eastAsia="Arial Unicode MS" w:hAnsi="Times New Roman" w:cs="Times New Roman"/>
          <w:i/>
          <w:shd w:val="clear" w:color="auto" w:fill="FFFFFF"/>
        </w:rPr>
        <w:t xml:space="preserve"> </w:t>
      </w:r>
      <w:proofErr w:type="spellStart"/>
      <w:r w:rsidRPr="00565D81">
        <w:rPr>
          <w:rFonts w:ascii="Times New Roman" w:eastAsia="Arial Unicode MS" w:hAnsi="Times New Roman" w:cs="Times New Roman"/>
          <w:i/>
          <w:shd w:val="clear" w:color="auto" w:fill="FFFFFF"/>
        </w:rPr>
        <w:t>prasības</w:t>
      </w:r>
      <w:proofErr w:type="spellEnd"/>
      <w:r w:rsidRPr="00565D81">
        <w:rPr>
          <w:rFonts w:ascii="Times New Roman" w:eastAsia="Arial Unicode MS" w:hAnsi="Times New Roman" w:cs="Times New Roman"/>
          <w:i/>
          <w:shd w:val="clear" w:color="auto" w:fill="FFFFFF"/>
        </w:rPr>
        <w:t xml:space="preserve"> </w:t>
      </w:r>
      <w:proofErr w:type="spellStart"/>
      <w:r w:rsidRPr="00565D81">
        <w:rPr>
          <w:rFonts w:ascii="Times New Roman" w:eastAsia="Arial Unicode MS" w:hAnsi="Times New Roman" w:cs="Times New Roman"/>
          <w:i/>
          <w:shd w:val="clear" w:color="auto" w:fill="FFFFFF"/>
        </w:rPr>
        <w:t>tiek</w:t>
      </w:r>
      <w:proofErr w:type="spellEnd"/>
      <w:r w:rsidRPr="00565D81">
        <w:rPr>
          <w:rFonts w:ascii="Times New Roman" w:eastAsia="Arial Unicode MS" w:hAnsi="Times New Roman" w:cs="Times New Roman"/>
          <w:i/>
          <w:shd w:val="clear" w:color="auto" w:fill="FFFFFF"/>
        </w:rPr>
        <w:t xml:space="preserve"> </w:t>
      </w:r>
      <w:proofErr w:type="spellStart"/>
      <w:r w:rsidRPr="00565D81">
        <w:rPr>
          <w:rFonts w:ascii="Times New Roman" w:eastAsia="Arial Unicode MS" w:hAnsi="Times New Roman" w:cs="Times New Roman"/>
          <w:i/>
          <w:shd w:val="clear" w:color="auto" w:fill="FFFFFF"/>
        </w:rPr>
        <w:t>piemērotas</w:t>
      </w:r>
      <w:proofErr w:type="spellEnd"/>
      <w:r w:rsidRPr="00565D81">
        <w:rPr>
          <w:rFonts w:ascii="Times New Roman" w:eastAsia="Arial Unicode MS" w:hAnsi="Times New Roman" w:cs="Times New Roman"/>
          <w:i/>
          <w:shd w:val="clear" w:color="auto" w:fill="FFFFFF"/>
        </w:rPr>
        <w:t xml:space="preserve"> </w:t>
      </w:r>
      <w:proofErr w:type="spellStart"/>
      <w:r w:rsidRPr="00565D81">
        <w:rPr>
          <w:rFonts w:ascii="Times New Roman" w:eastAsia="Arial Unicode MS" w:hAnsi="Times New Roman" w:cs="Times New Roman"/>
          <w:i/>
          <w:shd w:val="clear" w:color="auto" w:fill="FFFFFF"/>
        </w:rPr>
        <w:t>neatkarīgi</w:t>
      </w:r>
      <w:proofErr w:type="spellEnd"/>
      <w:r w:rsidRPr="00565D81">
        <w:rPr>
          <w:rFonts w:ascii="Times New Roman" w:eastAsia="Arial Unicode MS" w:hAnsi="Times New Roman" w:cs="Times New Roman"/>
          <w:i/>
          <w:shd w:val="clear" w:color="auto" w:fill="FFFFFF"/>
        </w:rPr>
        <w:t xml:space="preserve"> no </w:t>
      </w:r>
      <w:proofErr w:type="spellStart"/>
      <w:r w:rsidRPr="00565D81">
        <w:rPr>
          <w:rFonts w:ascii="Times New Roman" w:eastAsia="Arial Unicode MS" w:hAnsi="Times New Roman" w:cs="Times New Roman"/>
          <w:i/>
          <w:shd w:val="clear" w:color="auto" w:fill="FFFFFF"/>
        </w:rPr>
        <w:t>līguma</w:t>
      </w:r>
      <w:proofErr w:type="spellEnd"/>
      <w:r w:rsidRPr="00565D81">
        <w:rPr>
          <w:rFonts w:ascii="Times New Roman" w:eastAsia="Arial Unicode MS" w:hAnsi="Times New Roman" w:cs="Times New Roman"/>
          <w:i/>
          <w:shd w:val="clear" w:color="auto" w:fill="FFFFFF"/>
        </w:rPr>
        <w:t xml:space="preserve"> </w:t>
      </w:r>
      <w:proofErr w:type="spellStart"/>
      <w:r w:rsidRPr="00565D81">
        <w:rPr>
          <w:rFonts w:ascii="Times New Roman" w:eastAsia="Arial Unicode MS" w:hAnsi="Times New Roman" w:cs="Times New Roman"/>
          <w:i/>
          <w:shd w:val="clear" w:color="auto" w:fill="FFFFFF"/>
        </w:rPr>
        <w:t>noslēgšanas</w:t>
      </w:r>
      <w:proofErr w:type="spellEnd"/>
      <w:r w:rsidRPr="00565D81">
        <w:rPr>
          <w:rFonts w:ascii="Times New Roman" w:eastAsia="Arial Unicode MS" w:hAnsi="Times New Roman" w:cs="Times New Roman"/>
          <w:i/>
          <w:shd w:val="clear" w:color="auto" w:fill="FFFFFF"/>
        </w:rPr>
        <w:t xml:space="preserve"> </w:t>
      </w:r>
      <w:proofErr w:type="spellStart"/>
      <w:r w:rsidRPr="00565D81">
        <w:rPr>
          <w:rFonts w:ascii="Times New Roman" w:eastAsia="Arial Unicode MS" w:hAnsi="Times New Roman" w:cs="Times New Roman"/>
          <w:i/>
          <w:shd w:val="clear" w:color="auto" w:fill="FFFFFF"/>
        </w:rPr>
        <w:t>valsts</w:t>
      </w:r>
      <w:proofErr w:type="spellEnd"/>
      <w:r w:rsidRPr="00565D81">
        <w:rPr>
          <w:rFonts w:ascii="Times New Roman" w:eastAsia="Arial Unicode MS" w:hAnsi="Times New Roman" w:cs="Times New Roman"/>
          <w:i/>
          <w:shd w:val="clear" w:color="auto" w:fill="FFFFFF"/>
        </w:rPr>
        <w:t xml:space="preserve"> un </w:t>
      </w:r>
      <w:proofErr w:type="spellStart"/>
      <w:r w:rsidRPr="00565D81">
        <w:rPr>
          <w:rFonts w:ascii="Times New Roman" w:eastAsia="Arial Unicode MS" w:hAnsi="Times New Roman" w:cs="Times New Roman"/>
          <w:i/>
          <w:shd w:val="clear" w:color="auto" w:fill="FFFFFF"/>
        </w:rPr>
        <w:t>neatkarīgi</w:t>
      </w:r>
      <w:proofErr w:type="spellEnd"/>
      <w:r w:rsidRPr="00565D81">
        <w:rPr>
          <w:rFonts w:ascii="Times New Roman" w:eastAsia="Arial Unicode MS" w:hAnsi="Times New Roman" w:cs="Times New Roman"/>
          <w:i/>
          <w:shd w:val="clear" w:color="auto" w:fill="FFFFFF"/>
        </w:rPr>
        <w:t xml:space="preserve"> no </w:t>
      </w:r>
      <w:proofErr w:type="spellStart"/>
      <w:r w:rsidRPr="00565D81">
        <w:rPr>
          <w:rFonts w:ascii="Times New Roman" w:eastAsia="Arial Unicode MS" w:hAnsi="Times New Roman" w:cs="Times New Roman"/>
          <w:i/>
          <w:shd w:val="clear" w:color="auto" w:fill="FFFFFF"/>
        </w:rPr>
        <w:t>līgumu</w:t>
      </w:r>
      <w:proofErr w:type="spellEnd"/>
      <w:r w:rsidRPr="00565D81">
        <w:rPr>
          <w:rFonts w:ascii="Times New Roman" w:eastAsia="Arial Unicode MS" w:hAnsi="Times New Roman" w:cs="Times New Roman"/>
          <w:i/>
          <w:shd w:val="clear" w:color="auto" w:fill="FFFFFF"/>
        </w:rPr>
        <w:t xml:space="preserve"> </w:t>
      </w:r>
      <w:proofErr w:type="spellStart"/>
      <w:r w:rsidRPr="00565D81">
        <w:rPr>
          <w:rFonts w:ascii="Times New Roman" w:eastAsia="Arial Unicode MS" w:hAnsi="Times New Roman" w:cs="Times New Roman"/>
          <w:i/>
          <w:shd w:val="clear" w:color="auto" w:fill="FFFFFF"/>
        </w:rPr>
        <w:t>reglamentējošiem</w:t>
      </w:r>
      <w:proofErr w:type="spellEnd"/>
      <w:r w:rsidRPr="00565D81">
        <w:rPr>
          <w:rFonts w:ascii="Times New Roman" w:eastAsia="Arial Unicode MS" w:hAnsi="Times New Roman" w:cs="Times New Roman"/>
          <w:i/>
          <w:shd w:val="clear" w:color="auto" w:fill="FFFFFF"/>
        </w:rPr>
        <w:t xml:space="preserve"> </w:t>
      </w:r>
      <w:proofErr w:type="spellStart"/>
      <w:r w:rsidRPr="00565D81">
        <w:rPr>
          <w:rFonts w:ascii="Times New Roman" w:eastAsia="Arial Unicode MS" w:hAnsi="Times New Roman" w:cs="Times New Roman"/>
          <w:i/>
          <w:shd w:val="clear" w:color="auto" w:fill="FFFFFF"/>
        </w:rPr>
        <w:t>tiesību</w:t>
      </w:r>
      <w:proofErr w:type="spellEnd"/>
      <w:r w:rsidRPr="00565D81">
        <w:rPr>
          <w:rFonts w:ascii="Times New Roman" w:eastAsia="Arial Unicode MS" w:hAnsi="Times New Roman" w:cs="Times New Roman"/>
          <w:i/>
          <w:shd w:val="clear" w:color="auto" w:fill="FFFFFF"/>
        </w:rPr>
        <w:t xml:space="preserve"> </w:t>
      </w:r>
      <w:proofErr w:type="spellStart"/>
      <w:proofErr w:type="gramStart"/>
      <w:r w:rsidRPr="00565D81">
        <w:rPr>
          <w:rFonts w:ascii="Times New Roman" w:eastAsia="Arial Unicode MS" w:hAnsi="Times New Roman" w:cs="Times New Roman"/>
          <w:i/>
          <w:shd w:val="clear" w:color="auto" w:fill="FFFFFF"/>
        </w:rPr>
        <w:t>aktiem</w:t>
      </w:r>
      <w:proofErr w:type="spellEnd"/>
      <w:r w:rsidRPr="00565D81">
        <w:rPr>
          <w:rFonts w:ascii="Times New Roman" w:eastAsia="Arial Unicode MS" w:hAnsi="Times New Roman" w:cs="Times New Roman"/>
          <w:i/>
          <w:shd w:val="clear" w:color="auto" w:fill="FFFFFF"/>
        </w:rPr>
        <w:t>;</w:t>
      </w:r>
      <w:proofErr w:type="gramEnd"/>
      <w:r w:rsidRPr="00565D81">
        <w:rPr>
          <w:rFonts w:ascii="Times New Roman" w:eastAsia="Arial Unicode MS" w:hAnsi="Times New Roman" w:cs="Times New Roman"/>
          <w:i/>
          <w:shd w:val="clear" w:color="auto" w:fill="FFFFFF"/>
        </w:rPr>
        <w:t xml:space="preserve"> un</w:t>
      </w:r>
    </w:p>
    <w:p w14:paraId="208CF650" w14:textId="77777777" w:rsidR="00114953" w:rsidRPr="000C7C76" w:rsidRDefault="00114953" w:rsidP="00114953">
      <w:pPr>
        <w:ind w:left="708" w:firstLine="708"/>
        <w:jc w:val="both"/>
        <w:rPr>
          <w:rFonts w:ascii="Times New Roman" w:eastAsia="Times New Roman" w:hAnsi="Times New Roman" w:cs="Times New Roman"/>
          <w:lang w:val="en-US"/>
        </w:rPr>
      </w:pPr>
      <w:r w:rsidRPr="000C7C76">
        <w:rPr>
          <w:rFonts w:ascii="Times New Roman" w:eastAsia="Times New Roman" w:hAnsi="Times New Roman" w:cs="Times New Roman"/>
          <w:i/>
          <w:lang w:val="en-US"/>
        </w:rPr>
        <w:t>b)</w:t>
      </w:r>
      <w:r w:rsidRPr="000C7C76">
        <w:rPr>
          <w:rFonts w:ascii="Times New Roman" w:eastAsia="Arial Unicode MS" w:hAnsi="Times New Roman" w:cs="Times New Roman"/>
          <w:i/>
          <w:shd w:val="clear" w:color="auto" w:fill="FFFFFF"/>
          <w:lang w:val="en-US"/>
        </w:rPr>
        <w:t xml:space="preserve"> no </w:t>
      </w:r>
      <w:proofErr w:type="spellStart"/>
      <w:r w:rsidRPr="000C7C76">
        <w:rPr>
          <w:rFonts w:ascii="Times New Roman" w:eastAsia="Arial Unicode MS" w:hAnsi="Times New Roman" w:cs="Times New Roman"/>
          <w:i/>
          <w:shd w:val="clear" w:color="auto" w:fill="FFFFFF"/>
          <w:lang w:val="en-US"/>
        </w:rPr>
        <w:t>šīm</w:t>
      </w:r>
      <w:proofErr w:type="spellEnd"/>
      <w:r w:rsidRPr="000C7C76">
        <w:rPr>
          <w:rFonts w:ascii="Times New Roman" w:eastAsia="Arial Unicode MS" w:hAnsi="Times New Roman" w:cs="Times New Roman"/>
          <w:i/>
          <w:shd w:val="clear" w:color="auto" w:fill="FFFFFF"/>
          <w:lang w:val="en-US"/>
        </w:rPr>
        <w:t xml:space="preserve"> </w:t>
      </w:r>
      <w:proofErr w:type="spellStart"/>
      <w:r w:rsidRPr="000C7C76">
        <w:rPr>
          <w:rFonts w:ascii="Times New Roman" w:eastAsia="Arial Unicode MS" w:hAnsi="Times New Roman" w:cs="Times New Roman"/>
          <w:i/>
          <w:shd w:val="clear" w:color="auto" w:fill="FFFFFF"/>
          <w:lang w:val="en-US"/>
        </w:rPr>
        <w:t>prasībām</w:t>
      </w:r>
      <w:proofErr w:type="spellEnd"/>
      <w:r w:rsidRPr="000C7C76">
        <w:rPr>
          <w:rFonts w:ascii="Times New Roman" w:eastAsia="Arial Unicode MS" w:hAnsi="Times New Roman" w:cs="Times New Roman"/>
          <w:i/>
          <w:shd w:val="clear" w:color="auto" w:fill="FFFFFF"/>
          <w:lang w:val="en-US"/>
        </w:rPr>
        <w:t xml:space="preserve"> </w:t>
      </w:r>
      <w:proofErr w:type="spellStart"/>
      <w:r w:rsidRPr="000C7C76">
        <w:rPr>
          <w:rFonts w:ascii="Times New Roman" w:eastAsia="Arial Unicode MS" w:hAnsi="Times New Roman" w:cs="Times New Roman"/>
          <w:i/>
          <w:shd w:val="clear" w:color="auto" w:fill="FFFFFF"/>
          <w:lang w:val="en-US"/>
        </w:rPr>
        <w:t>nevar</w:t>
      </w:r>
      <w:proofErr w:type="spellEnd"/>
      <w:r w:rsidRPr="000C7C76">
        <w:rPr>
          <w:rFonts w:ascii="Times New Roman" w:eastAsia="Arial Unicode MS" w:hAnsi="Times New Roman" w:cs="Times New Roman"/>
          <w:i/>
          <w:shd w:val="clear" w:color="auto" w:fill="FFFFFF"/>
          <w:lang w:val="en-US"/>
        </w:rPr>
        <w:t xml:space="preserve"> </w:t>
      </w:r>
      <w:proofErr w:type="spellStart"/>
      <w:r w:rsidRPr="000C7C76">
        <w:rPr>
          <w:rFonts w:ascii="Times New Roman" w:eastAsia="Arial Unicode MS" w:hAnsi="Times New Roman" w:cs="Times New Roman"/>
          <w:i/>
          <w:shd w:val="clear" w:color="auto" w:fill="FFFFFF"/>
          <w:lang w:val="en-US"/>
        </w:rPr>
        <w:t>atkāpties</w:t>
      </w:r>
      <w:proofErr w:type="spellEnd"/>
      <w:r w:rsidRPr="000C7C76">
        <w:rPr>
          <w:rFonts w:ascii="Times New Roman" w:eastAsia="Arial Unicode MS" w:hAnsi="Times New Roman" w:cs="Times New Roman"/>
          <w:i/>
          <w:shd w:val="clear" w:color="auto" w:fill="FFFFFF"/>
          <w:lang w:val="en-US"/>
        </w:rPr>
        <w:t xml:space="preserve">, </w:t>
      </w:r>
      <w:proofErr w:type="spellStart"/>
      <w:r w:rsidRPr="000C7C76">
        <w:rPr>
          <w:rFonts w:ascii="Times New Roman" w:eastAsia="Arial Unicode MS" w:hAnsi="Times New Roman" w:cs="Times New Roman"/>
          <w:i/>
          <w:shd w:val="clear" w:color="auto" w:fill="FFFFFF"/>
          <w:lang w:val="en-US"/>
        </w:rPr>
        <w:t>savstarpēji</w:t>
      </w:r>
      <w:proofErr w:type="spellEnd"/>
      <w:r w:rsidRPr="000C7C76">
        <w:rPr>
          <w:rFonts w:ascii="Times New Roman" w:eastAsia="Arial Unicode MS" w:hAnsi="Times New Roman" w:cs="Times New Roman"/>
          <w:i/>
          <w:shd w:val="clear" w:color="auto" w:fill="FFFFFF"/>
          <w:lang w:val="en-US"/>
        </w:rPr>
        <w:t xml:space="preserve"> </w:t>
      </w:r>
      <w:proofErr w:type="spellStart"/>
      <w:proofErr w:type="gramStart"/>
      <w:r w:rsidRPr="000C7C76">
        <w:rPr>
          <w:rFonts w:ascii="Times New Roman" w:eastAsia="Arial Unicode MS" w:hAnsi="Times New Roman" w:cs="Times New Roman"/>
          <w:i/>
          <w:shd w:val="clear" w:color="auto" w:fill="FFFFFF"/>
          <w:lang w:val="en-US"/>
        </w:rPr>
        <w:t>vienojoties</w:t>
      </w:r>
      <w:proofErr w:type="spellEnd"/>
      <w:r w:rsidRPr="000C7C76">
        <w:rPr>
          <w:rFonts w:ascii="Times New Roman" w:hAnsi="Times New Roman" w:cs="Times New Roman"/>
          <w:lang w:val="en-US"/>
        </w:rPr>
        <w:t>“</w:t>
      </w:r>
      <w:proofErr w:type="gramEnd"/>
      <w:r w:rsidRPr="000C7C76">
        <w:rPr>
          <w:rFonts w:ascii="Times New Roman" w:hAnsi="Times New Roman" w:cs="Times New Roman"/>
          <w:lang w:val="en-US"/>
        </w:rPr>
        <w:t xml:space="preserve">.   </w:t>
      </w:r>
    </w:p>
    <w:p w14:paraId="60701E1F" w14:textId="77777777" w:rsidR="00114953" w:rsidRDefault="00114953" w:rsidP="00114953">
      <w:pPr>
        <w:pStyle w:val="tv213"/>
        <w:ind w:firstLine="708"/>
        <w:jc w:val="center"/>
        <w:rPr>
          <w:color w:val="FF0000"/>
        </w:rPr>
      </w:pPr>
    </w:p>
    <w:p w14:paraId="484063D4" w14:textId="77777777" w:rsidR="00114953" w:rsidRPr="00565D81" w:rsidRDefault="00114953" w:rsidP="00114953">
      <w:pPr>
        <w:pStyle w:val="tv213"/>
        <w:ind w:firstLine="708"/>
        <w:jc w:val="center"/>
        <w:rPr>
          <w:b/>
        </w:rPr>
      </w:pPr>
      <w:proofErr w:type="spellStart"/>
      <w:r w:rsidRPr="00565D81">
        <w:rPr>
          <w:b/>
        </w:rPr>
        <w:t>Pilnvaras</w:t>
      </w:r>
      <w:proofErr w:type="spellEnd"/>
      <w:r w:rsidRPr="00565D81">
        <w:rPr>
          <w:b/>
        </w:rPr>
        <w:t xml:space="preserve"> </w:t>
      </w:r>
      <w:proofErr w:type="spellStart"/>
      <w:r w:rsidRPr="00565D81">
        <w:rPr>
          <w:b/>
        </w:rPr>
        <w:t>formai</w:t>
      </w:r>
      <w:proofErr w:type="spellEnd"/>
      <w:r w:rsidRPr="00565D81">
        <w:rPr>
          <w:b/>
        </w:rPr>
        <w:t xml:space="preserve"> </w:t>
      </w:r>
      <w:proofErr w:type="spellStart"/>
      <w:r w:rsidRPr="00565D81">
        <w:rPr>
          <w:b/>
        </w:rPr>
        <w:t>piemērpjamais</w:t>
      </w:r>
      <w:proofErr w:type="spellEnd"/>
      <w:r w:rsidRPr="00565D81">
        <w:rPr>
          <w:b/>
        </w:rPr>
        <w:t xml:space="preserve"> </w:t>
      </w:r>
      <w:proofErr w:type="spellStart"/>
      <w:r w:rsidRPr="00565D81">
        <w:rPr>
          <w:b/>
        </w:rPr>
        <w:t>likums</w:t>
      </w:r>
      <w:proofErr w:type="spellEnd"/>
    </w:p>
    <w:p w14:paraId="69428A50" w14:textId="77777777" w:rsidR="00114953" w:rsidRPr="00565D81" w:rsidRDefault="00114953" w:rsidP="00114953">
      <w:pPr>
        <w:pStyle w:val="tv213"/>
        <w:ind w:firstLine="708"/>
        <w:jc w:val="both"/>
      </w:pPr>
      <w:proofErr w:type="spellStart"/>
      <w:r w:rsidRPr="00565D81">
        <w:t>Iepriekš</w:t>
      </w:r>
      <w:proofErr w:type="spellEnd"/>
      <w:r w:rsidRPr="00565D81">
        <w:t xml:space="preserve"> </w:t>
      </w:r>
      <w:proofErr w:type="spellStart"/>
      <w:r w:rsidRPr="00565D81">
        <w:t>tika</w:t>
      </w:r>
      <w:proofErr w:type="spellEnd"/>
      <w:r w:rsidRPr="00565D81">
        <w:t xml:space="preserve"> </w:t>
      </w:r>
      <w:proofErr w:type="spellStart"/>
      <w:r w:rsidRPr="00565D81">
        <w:t>minēts</w:t>
      </w:r>
      <w:proofErr w:type="spellEnd"/>
      <w:r w:rsidRPr="00565D81">
        <w:t xml:space="preserve">, </w:t>
      </w:r>
      <w:proofErr w:type="spellStart"/>
      <w:r w:rsidRPr="00565D81">
        <w:t>ka</w:t>
      </w:r>
      <w:proofErr w:type="spellEnd"/>
      <w:r w:rsidRPr="00565D81">
        <w:t xml:space="preserve"> Roma I Regula </w:t>
      </w:r>
      <w:proofErr w:type="spellStart"/>
      <w:r w:rsidRPr="00565D81">
        <w:t>nav</w:t>
      </w:r>
      <w:proofErr w:type="spellEnd"/>
      <w:r w:rsidRPr="00565D81">
        <w:t xml:space="preserve"> </w:t>
      </w:r>
      <w:proofErr w:type="spellStart"/>
      <w:r w:rsidRPr="00565D81">
        <w:t>piemērojama</w:t>
      </w:r>
      <w:proofErr w:type="spellEnd"/>
      <w:r w:rsidRPr="00565D81">
        <w:t xml:space="preserve"> </w:t>
      </w:r>
      <w:proofErr w:type="spellStart"/>
      <w:r w:rsidRPr="00565D81">
        <w:t>pilnvarām</w:t>
      </w:r>
      <w:proofErr w:type="spellEnd"/>
      <w:r w:rsidRPr="00565D81">
        <w:t xml:space="preserve"> (ne </w:t>
      </w:r>
      <w:proofErr w:type="spellStart"/>
      <w:r w:rsidRPr="00565D81">
        <w:t>to</w:t>
      </w:r>
      <w:proofErr w:type="spellEnd"/>
      <w:r w:rsidRPr="00565D81">
        <w:t xml:space="preserve"> </w:t>
      </w:r>
      <w:proofErr w:type="spellStart"/>
      <w:r w:rsidRPr="00565D81">
        <w:t>saturam</w:t>
      </w:r>
      <w:proofErr w:type="spellEnd"/>
      <w:r w:rsidRPr="00565D81">
        <w:t xml:space="preserve">, ne </w:t>
      </w:r>
      <w:proofErr w:type="spellStart"/>
      <w:r w:rsidRPr="00565D81">
        <w:t>formai</w:t>
      </w:r>
      <w:proofErr w:type="spellEnd"/>
      <w:r w:rsidRPr="00565D81">
        <w:t xml:space="preserve">). </w:t>
      </w:r>
      <w:proofErr w:type="spellStart"/>
      <w:r w:rsidRPr="00565D81">
        <w:t>Tā</w:t>
      </w:r>
      <w:proofErr w:type="spellEnd"/>
      <w:r w:rsidRPr="00565D81">
        <w:t xml:space="preserve"> </w:t>
      </w:r>
      <w:proofErr w:type="spellStart"/>
      <w:r w:rsidRPr="00565D81">
        <w:t>kā</w:t>
      </w:r>
      <w:proofErr w:type="spellEnd"/>
      <w:r w:rsidRPr="00565D81">
        <w:t xml:space="preserve"> </w:t>
      </w:r>
      <w:proofErr w:type="spellStart"/>
      <w:r w:rsidRPr="00565D81">
        <w:rPr>
          <w:u w:val="single"/>
        </w:rPr>
        <w:t>pilnvara</w:t>
      </w:r>
      <w:proofErr w:type="spellEnd"/>
      <w:r w:rsidRPr="00565D81">
        <w:t xml:space="preserve"> </w:t>
      </w:r>
      <w:proofErr w:type="spellStart"/>
      <w:r w:rsidRPr="00565D81">
        <w:t>ir</w:t>
      </w:r>
      <w:proofErr w:type="spellEnd"/>
      <w:r w:rsidRPr="00565D81">
        <w:t xml:space="preserve"> </w:t>
      </w:r>
      <w:proofErr w:type="spellStart"/>
      <w:r w:rsidRPr="00565D81">
        <w:t>vienpusējs</w:t>
      </w:r>
      <w:proofErr w:type="spellEnd"/>
      <w:r w:rsidRPr="00565D81">
        <w:t xml:space="preserve"> </w:t>
      </w:r>
      <w:proofErr w:type="spellStart"/>
      <w:r w:rsidRPr="00565D81">
        <w:t>tiesisks</w:t>
      </w:r>
      <w:proofErr w:type="spellEnd"/>
      <w:r w:rsidRPr="00565D81">
        <w:t xml:space="preserve"> </w:t>
      </w:r>
      <w:proofErr w:type="spellStart"/>
      <w:r w:rsidRPr="00565D81">
        <w:t>darījums</w:t>
      </w:r>
      <w:proofErr w:type="spellEnd"/>
      <w:r w:rsidRPr="00565D81">
        <w:t xml:space="preserve">, </w:t>
      </w:r>
      <w:proofErr w:type="spellStart"/>
      <w:r w:rsidRPr="00565D81">
        <w:t>tad</w:t>
      </w:r>
      <w:proofErr w:type="spellEnd"/>
      <w:r w:rsidRPr="00565D81">
        <w:t xml:space="preserve"> </w:t>
      </w:r>
      <w:proofErr w:type="spellStart"/>
      <w:r w:rsidRPr="00565D81">
        <w:t>tās</w:t>
      </w:r>
      <w:proofErr w:type="spellEnd"/>
      <w:r w:rsidRPr="00565D81">
        <w:t xml:space="preserve"> </w:t>
      </w:r>
      <w:proofErr w:type="spellStart"/>
      <w:r w:rsidRPr="00565D81">
        <w:t>formas</w:t>
      </w:r>
      <w:proofErr w:type="spellEnd"/>
      <w:r w:rsidRPr="00565D81">
        <w:t xml:space="preserve"> </w:t>
      </w:r>
      <w:proofErr w:type="spellStart"/>
      <w:r w:rsidRPr="00565D81">
        <w:t>noteikumus</w:t>
      </w:r>
      <w:proofErr w:type="spellEnd"/>
      <w:r w:rsidRPr="00565D81">
        <w:t xml:space="preserve"> </w:t>
      </w:r>
      <w:proofErr w:type="spellStart"/>
      <w:r w:rsidRPr="00565D81">
        <w:t>var</w:t>
      </w:r>
      <w:proofErr w:type="spellEnd"/>
      <w:r w:rsidRPr="00565D81">
        <w:t xml:space="preserve"> </w:t>
      </w:r>
      <w:proofErr w:type="spellStart"/>
      <w:r w:rsidRPr="00565D81">
        <w:t>subsumēt</w:t>
      </w:r>
      <w:proofErr w:type="spellEnd"/>
      <w:r w:rsidRPr="00565D81">
        <w:t xml:space="preserve"> CL </w:t>
      </w:r>
      <w:proofErr w:type="spellStart"/>
      <w:r w:rsidRPr="00565D81">
        <w:t>Ievada</w:t>
      </w:r>
      <w:proofErr w:type="spellEnd"/>
      <w:r w:rsidRPr="00565D81">
        <w:t xml:space="preserve"> 21.pantam. Tas </w:t>
      </w:r>
      <w:proofErr w:type="spellStart"/>
      <w:r w:rsidRPr="00565D81">
        <w:t>nozīmē</w:t>
      </w:r>
      <w:proofErr w:type="spellEnd"/>
      <w:r w:rsidRPr="00565D81">
        <w:t xml:space="preserve">, </w:t>
      </w:r>
      <w:proofErr w:type="spellStart"/>
      <w:r w:rsidRPr="00565D81">
        <w:t>ka</w:t>
      </w:r>
      <w:proofErr w:type="spellEnd"/>
      <w:r w:rsidRPr="00565D81">
        <w:t xml:space="preserve"> </w:t>
      </w:r>
      <w:proofErr w:type="spellStart"/>
      <w:r w:rsidRPr="00565D81">
        <w:t>arī</w:t>
      </w:r>
      <w:proofErr w:type="spellEnd"/>
      <w:r w:rsidRPr="00565D81">
        <w:t xml:space="preserve"> </w:t>
      </w:r>
      <w:proofErr w:type="spellStart"/>
      <w:r w:rsidRPr="00565D81">
        <w:rPr>
          <w:u w:val="single"/>
        </w:rPr>
        <w:t>pilnvaras</w:t>
      </w:r>
      <w:proofErr w:type="spellEnd"/>
      <w:r w:rsidRPr="00565D81">
        <w:rPr>
          <w:u w:val="single"/>
        </w:rPr>
        <w:t xml:space="preserve"> </w:t>
      </w:r>
      <w:proofErr w:type="spellStart"/>
      <w:r w:rsidRPr="00565D81">
        <w:rPr>
          <w:u w:val="single"/>
        </w:rPr>
        <w:t>formai</w:t>
      </w:r>
      <w:proofErr w:type="spellEnd"/>
      <w:r w:rsidRPr="00565D81">
        <w:t xml:space="preserve"> </w:t>
      </w:r>
      <w:proofErr w:type="spellStart"/>
      <w:r w:rsidRPr="00565D81">
        <w:t>var</w:t>
      </w:r>
      <w:proofErr w:type="spellEnd"/>
      <w:r w:rsidRPr="00565D81">
        <w:t xml:space="preserve"> </w:t>
      </w:r>
      <w:proofErr w:type="spellStart"/>
      <w:r w:rsidRPr="00565D81">
        <w:t>piemērot</w:t>
      </w:r>
      <w:proofErr w:type="spellEnd"/>
      <w:r w:rsidRPr="00565D81">
        <w:t xml:space="preserve"> </w:t>
      </w:r>
      <w:proofErr w:type="spellStart"/>
      <w:r w:rsidRPr="00565D81">
        <w:t>vai</w:t>
      </w:r>
      <w:proofErr w:type="spellEnd"/>
      <w:r w:rsidRPr="00565D81">
        <w:t xml:space="preserve"> nu </w:t>
      </w:r>
      <w:proofErr w:type="spellStart"/>
      <w:r w:rsidRPr="00565D81">
        <w:t>tās</w:t>
      </w:r>
      <w:proofErr w:type="spellEnd"/>
      <w:r w:rsidRPr="00565D81">
        <w:t xml:space="preserve"> </w:t>
      </w:r>
      <w:proofErr w:type="spellStart"/>
      <w:r w:rsidRPr="00565D81">
        <w:t>valsts</w:t>
      </w:r>
      <w:proofErr w:type="spellEnd"/>
      <w:r w:rsidRPr="00565D81">
        <w:t xml:space="preserve"> </w:t>
      </w:r>
      <w:proofErr w:type="spellStart"/>
      <w:r w:rsidRPr="00565D81">
        <w:t>likumu</w:t>
      </w:r>
      <w:proofErr w:type="spellEnd"/>
      <w:r w:rsidRPr="00565D81">
        <w:t xml:space="preserve">, </w:t>
      </w:r>
      <w:proofErr w:type="spellStart"/>
      <w:r w:rsidRPr="00565D81">
        <w:t>kur</w:t>
      </w:r>
      <w:proofErr w:type="spellEnd"/>
      <w:r w:rsidRPr="00565D81">
        <w:t xml:space="preserve"> </w:t>
      </w:r>
      <w:proofErr w:type="spellStart"/>
      <w:r w:rsidRPr="00565D81">
        <w:t>darījums</w:t>
      </w:r>
      <w:proofErr w:type="spellEnd"/>
      <w:r w:rsidRPr="00565D81">
        <w:t xml:space="preserve"> </w:t>
      </w:r>
      <w:proofErr w:type="spellStart"/>
      <w:r w:rsidRPr="00565D81">
        <w:t>taisīts</w:t>
      </w:r>
      <w:proofErr w:type="spellEnd"/>
      <w:r w:rsidRPr="00565D81">
        <w:t xml:space="preserve"> (</w:t>
      </w:r>
      <w:proofErr w:type="spellStart"/>
      <w:r w:rsidRPr="00565D81">
        <w:t>pilnvara</w:t>
      </w:r>
      <w:proofErr w:type="spellEnd"/>
      <w:r w:rsidRPr="00565D81">
        <w:t xml:space="preserve"> </w:t>
      </w:r>
      <w:proofErr w:type="spellStart"/>
      <w:r w:rsidRPr="00565D81">
        <w:t>izdota</w:t>
      </w:r>
      <w:proofErr w:type="spellEnd"/>
      <w:r w:rsidRPr="00565D81">
        <w:t xml:space="preserve">), </w:t>
      </w:r>
      <w:proofErr w:type="spellStart"/>
      <w:r w:rsidRPr="00565D81">
        <w:t>vai</w:t>
      </w:r>
      <w:proofErr w:type="spellEnd"/>
      <w:r w:rsidRPr="00565D81">
        <w:t xml:space="preserve"> </w:t>
      </w:r>
      <w:proofErr w:type="spellStart"/>
      <w:r w:rsidRPr="00565D81">
        <w:t>tās</w:t>
      </w:r>
      <w:proofErr w:type="spellEnd"/>
      <w:r w:rsidRPr="00565D81">
        <w:t xml:space="preserve"> </w:t>
      </w:r>
      <w:proofErr w:type="spellStart"/>
      <w:r w:rsidRPr="00565D81">
        <w:t>valsts</w:t>
      </w:r>
      <w:proofErr w:type="spellEnd"/>
      <w:r w:rsidRPr="00565D81">
        <w:t xml:space="preserve"> </w:t>
      </w:r>
      <w:proofErr w:type="spellStart"/>
      <w:r w:rsidRPr="00565D81">
        <w:t>likumu</w:t>
      </w:r>
      <w:proofErr w:type="spellEnd"/>
      <w:r w:rsidRPr="00565D81">
        <w:t xml:space="preserve">, kur </w:t>
      </w:r>
      <w:proofErr w:type="spellStart"/>
      <w:r w:rsidRPr="00565D81">
        <w:t>tas</w:t>
      </w:r>
      <w:proofErr w:type="spellEnd"/>
      <w:r w:rsidRPr="00565D81">
        <w:t xml:space="preserve"> </w:t>
      </w:r>
      <w:proofErr w:type="spellStart"/>
      <w:r w:rsidRPr="00565D81">
        <w:t>izpildāms</w:t>
      </w:r>
      <w:proofErr w:type="spellEnd"/>
      <w:r w:rsidRPr="00565D81">
        <w:t xml:space="preserve"> (kur </w:t>
      </w:r>
      <w:proofErr w:type="spellStart"/>
      <w:r w:rsidRPr="00565D81">
        <w:t>pilnvara</w:t>
      </w:r>
      <w:proofErr w:type="spellEnd"/>
      <w:r w:rsidRPr="00565D81">
        <w:t xml:space="preserve"> </w:t>
      </w:r>
      <w:proofErr w:type="spellStart"/>
      <w:r w:rsidRPr="00565D81">
        <w:t>tiks</w:t>
      </w:r>
      <w:proofErr w:type="spellEnd"/>
      <w:r w:rsidRPr="00565D81">
        <w:t xml:space="preserve"> </w:t>
      </w:r>
      <w:proofErr w:type="spellStart"/>
      <w:r w:rsidRPr="00565D81">
        <w:t>izmantota</w:t>
      </w:r>
      <w:proofErr w:type="spellEnd"/>
      <w:r w:rsidRPr="00565D81">
        <w:t xml:space="preserve">). </w:t>
      </w:r>
      <w:proofErr w:type="spellStart"/>
      <w:r w:rsidRPr="00565D81">
        <w:t>Vienpusējā</w:t>
      </w:r>
      <w:proofErr w:type="spellEnd"/>
      <w:r w:rsidRPr="00565D81">
        <w:t xml:space="preserve"> </w:t>
      </w:r>
      <w:proofErr w:type="spellStart"/>
      <w:r w:rsidRPr="00565D81">
        <w:t>darījumā</w:t>
      </w:r>
      <w:proofErr w:type="spellEnd"/>
      <w:r w:rsidRPr="00565D81">
        <w:t xml:space="preserve"> </w:t>
      </w:r>
      <w:proofErr w:type="spellStart"/>
      <w:r w:rsidRPr="00565D81">
        <w:t>pilnvaras</w:t>
      </w:r>
      <w:proofErr w:type="spellEnd"/>
      <w:r w:rsidRPr="00565D81">
        <w:t xml:space="preserve"> </w:t>
      </w:r>
      <w:proofErr w:type="spellStart"/>
      <w:r w:rsidRPr="00565D81">
        <w:t>formai</w:t>
      </w:r>
      <w:proofErr w:type="spellEnd"/>
      <w:r w:rsidRPr="00565D81">
        <w:t xml:space="preserve"> </w:t>
      </w:r>
      <w:proofErr w:type="spellStart"/>
      <w:r w:rsidRPr="00565D81">
        <w:t>piemērojamo</w:t>
      </w:r>
      <w:proofErr w:type="spellEnd"/>
      <w:r w:rsidRPr="00565D81">
        <w:t xml:space="preserve"> </w:t>
      </w:r>
      <w:proofErr w:type="spellStart"/>
      <w:r w:rsidRPr="00565D81">
        <w:t>likumu</w:t>
      </w:r>
      <w:proofErr w:type="spellEnd"/>
      <w:r w:rsidRPr="00565D81">
        <w:t xml:space="preserve"> (</w:t>
      </w:r>
      <w:proofErr w:type="spellStart"/>
      <w:r w:rsidRPr="00565D81">
        <w:t>no</w:t>
      </w:r>
      <w:proofErr w:type="spellEnd"/>
      <w:r w:rsidRPr="00565D81">
        <w:t xml:space="preserve"> </w:t>
      </w:r>
      <w:proofErr w:type="spellStart"/>
      <w:r w:rsidRPr="00565D81">
        <w:t>diviem</w:t>
      </w:r>
      <w:proofErr w:type="spellEnd"/>
      <w:r w:rsidRPr="00565D81">
        <w:t xml:space="preserve"> </w:t>
      </w:r>
      <w:proofErr w:type="spellStart"/>
      <w:r w:rsidRPr="00565D81">
        <w:t>minētajiem</w:t>
      </w:r>
      <w:proofErr w:type="spellEnd"/>
      <w:r w:rsidRPr="00565D81">
        <w:t xml:space="preserve"> </w:t>
      </w:r>
      <w:proofErr w:type="spellStart"/>
      <w:r w:rsidRPr="00565D81">
        <w:t>likumiem</w:t>
      </w:r>
      <w:proofErr w:type="spellEnd"/>
      <w:r w:rsidRPr="00565D81">
        <w:t xml:space="preserve">) </w:t>
      </w:r>
      <w:proofErr w:type="spellStart"/>
      <w:r w:rsidRPr="00565D81">
        <w:t>izvēlas</w:t>
      </w:r>
      <w:proofErr w:type="spellEnd"/>
      <w:r w:rsidRPr="00565D81">
        <w:t xml:space="preserve"> </w:t>
      </w:r>
      <w:proofErr w:type="spellStart"/>
      <w:r w:rsidRPr="00565D81">
        <w:t>pilnvaras</w:t>
      </w:r>
      <w:proofErr w:type="spellEnd"/>
      <w:r w:rsidRPr="00565D81">
        <w:t xml:space="preserve"> </w:t>
      </w:r>
      <w:proofErr w:type="spellStart"/>
      <w:r w:rsidRPr="00565D81">
        <w:t>devējs</w:t>
      </w:r>
      <w:proofErr w:type="spellEnd"/>
      <w:r w:rsidRPr="00565D81">
        <w:t xml:space="preserve">. </w:t>
      </w:r>
      <w:proofErr w:type="spellStart"/>
      <w:r w:rsidRPr="00565D81">
        <w:t>Kritērijs</w:t>
      </w:r>
      <w:proofErr w:type="spellEnd"/>
      <w:r w:rsidRPr="00565D81">
        <w:t xml:space="preserve"> </w:t>
      </w:r>
      <w:proofErr w:type="spellStart"/>
      <w:r w:rsidRPr="00565D81">
        <w:t>arī</w:t>
      </w:r>
      <w:proofErr w:type="spellEnd"/>
      <w:r w:rsidRPr="00565D81">
        <w:t xml:space="preserve"> </w:t>
      </w:r>
      <w:proofErr w:type="spellStart"/>
      <w:r w:rsidRPr="00565D81">
        <w:t>šajā</w:t>
      </w:r>
      <w:proofErr w:type="spellEnd"/>
      <w:r w:rsidRPr="00565D81">
        <w:t xml:space="preserve"> </w:t>
      </w:r>
      <w:proofErr w:type="spellStart"/>
      <w:r w:rsidRPr="00565D81">
        <w:t>gadījumā</w:t>
      </w:r>
      <w:proofErr w:type="spellEnd"/>
      <w:r w:rsidRPr="00565D81">
        <w:t xml:space="preserve"> </w:t>
      </w:r>
      <w:proofErr w:type="spellStart"/>
      <w:r w:rsidRPr="00565D81">
        <w:t>ir</w:t>
      </w:r>
      <w:proofErr w:type="spellEnd"/>
      <w:r w:rsidRPr="00565D81">
        <w:t xml:space="preserve"> </w:t>
      </w:r>
      <w:proofErr w:type="spellStart"/>
      <w:r w:rsidRPr="00565D81">
        <w:t>visciešākās</w:t>
      </w:r>
      <w:proofErr w:type="spellEnd"/>
      <w:r w:rsidRPr="00565D81">
        <w:t xml:space="preserve"> </w:t>
      </w:r>
      <w:proofErr w:type="spellStart"/>
      <w:r w:rsidRPr="00565D81">
        <w:t>saiknes</w:t>
      </w:r>
      <w:proofErr w:type="spellEnd"/>
      <w:r w:rsidRPr="00565D81">
        <w:t xml:space="preserve"> </w:t>
      </w:r>
      <w:proofErr w:type="spellStart"/>
      <w:r w:rsidRPr="00565D81">
        <w:t>princips</w:t>
      </w:r>
      <w:proofErr w:type="spellEnd"/>
      <w:r w:rsidRPr="00565D81">
        <w:t xml:space="preserve">. </w:t>
      </w:r>
      <w:proofErr w:type="spellStart"/>
      <w:r w:rsidRPr="00565D81">
        <w:t>Proti</w:t>
      </w:r>
      <w:proofErr w:type="spellEnd"/>
      <w:r w:rsidRPr="00565D81">
        <w:t xml:space="preserve">, ja </w:t>
      </w:r>
      <w:proofErr w:type="spellStart"/>
      <w:r w:rsidRPr="00565D81">
        <w:t>pilnvarotājs</w:t>
      </w:r>
      <w:proofErr w:type="spellEnd"/>
      <w:r w:rsidRPr="00565D81">
        <w:t xml:space="preserve"> </w:t>
      </w:r>
      <w:proofErr w:type="spellStart"/>
      <w:r w:rsidRPr="00565D81">
        <w:t>zin</w:t>
      </w:r>
      <w:proofErr w:type="spellEnd"/>
      <w:r w:rsidRPr="00565D81">
        <w:t xml:space="preserve">, </w:t>
      </w:r>
      <w:proofErr w:type="spellStart"/>
      <w:r w:rsidRPr="00565D81">
        <w:t>ka</w:t>
      </w:r>
      <w:proofErr w:type="spellEnd"/>
      <w:r w:rsidRPr="00565D81">
        <w:t xml:space="preserve"> </w:t>
      </w:r>
      <w:proofErr w:type="spellStart"/>
      <w:r w:rsidRPr="00565D81">
        <w:t>Latvijā</w:t>
      </w:r>
      <w:proofErr w:type="spellEnd"/>
      <w:r w:rsidRPr="00565D81">
        <w:t xml:space="preserve"> </w:t>
      </w:r>
      <w:proofErr w:type="spellStart"/>
      <w:r w:rsidRPr="00565D81">
        <w:t>izdoto</w:t>
      </w:r>
      <w:proofErr w:type="spellEnd"/>
      <w:r w:rsidRPr="00565D81">
        <w:t xml:space="preserve"> </w:t>
      </w:r>
      <w:proofErr w:type="spellStart"/>
      <w:r w:rsidRPr="00565D81">
        <w:t>pilnvaru</w:t>
      </w:r>
      <w:proofErr w:type="spellEnd"/>
      <w:r w:rsidRPr="00565D81">
        <w:t xml:space="preserve"> </w:t>
      </w:r>
      <w:proofErr w:type="spellStart"/>
      <w:r w:rsidRPr="00565D81">
        <w:t>būs</w:t>
      </w:r>
      <w:proofErr w:type="spellEnd"/>
      <w:r w:rsidRPr="00565D81">
        <w:t xml:space="preserve"> </w:t>
      </w:r>
      <w:proofErr w:type="spellStart"/>
      <w:r w:rsidRPr="00565D81">
        <w:t>jāizmanto</w:t>
      </w:r>
      <w:proofErr w:type="spellEnd"/>
      <w:r w:rsidRPr="00565D81">
        <w:t xml:space="preserve"> </w:t>
      </w:r>
      <w:proofErr w:type="spellStart"/>
      <w:r w:rsidRPr="00565D81">
        <w:t>Polijā</w:t>
      </w:r>
      <w:proofErr w:type="spellEnd"/>
      <w:r w:rsidRPr="00565D81">
        <w:t xml:space="preserve">, </w:t>
      </w:r>
      <w:proofErr w:type="spellStart"/>
      <w:r w:rsidRPr="00565D81">
        <w:t>tad</w:t>
      </w:r>
      <w:proofErr w:type="spellEnd"/>
      <w:r w:rsidRPr="00565D81">
        <w:t xml:space="preserve"> </w:t>
      </w:r>
      <w:proofErr w:type="spellStart"/>
      <w:r w:rsidRPr="00565D81">
        <w:t>pilnvara</w:t>
      </w:r>
      <w:proofErr w:type="spellEnd"/>
      <w:r w:rsidRPr="00565D81">
        <w:t xml:space="preserve"> </w:t>
      </w:r>
      <w:proofErr w:type="spellStart"/>
      <w:r w:rsidRPr="00565D81">
        <w:t>visciešāk</w:t>
      </w:r>
      <w:proofErr w:type="spellEnd"/>
      <w:r w:rsidRPr="00565D81">
        <w:t xml:space="preserve"> </w:t>
      </w:r>
      <w:proofErr w:type="spellStart"/>
      <w:r w:rsidRPr="00565D81">
        <w:t>būs</w:t>
      </w:r>
      <w:proofErr w:type="spellEnd"/>
      <w:r w:rsidRPr="00565D81">
        <w:t xml:space="preserve"> </w:t>
      </w:r>
      <w:proofErr w:type="spellStart"/>
      <w:r w:rsidRPr="00565D81">
        <w:t>saistīta</w:t>
      </w:r>
      <w:proofErr w:type="spellEnd"/>
      <w:r w:rsidRPr="00565D81">
        <w:t xml:space="preserve"> </w:t>
      </w:r>
      <w:proofErr w:type="spellStart"/>
      <w:r w:rsidRPr="00565D81">
        <w:t>ar</w:t>
      </w:r>
      <w:proofErr w:type="spellEnd"/>
      <w:r w:rsidRPr="00565D81">
        <w:t xml:space="preserve"> </w:t>
      </w:r>
      <w:proofErr w:type="spellStart"/>
      <w:r w:rsidRPr="00565D81">
        <w:t>Poliju</w:t>
      </w:r>
      <w:proofErr w:type="spellEnd"/>
      <w:r w:rsidRPr="00565D81">
        <w:t xml:space="preserve">, </w:t>
      </w:r>
      <w:proofErr w:type="spellStart"/>
      <w:r w:rsidRPr="00565D81">
        <w:t>un</w:t>
      </w:r>
      <w:proofErr w:type="spellEnd"/>
      <w:r w:rsidRPr="00565D81">
        <w:t xml:space="preserve"> </w:t>
      </w:r>
      <w:proofErr w:type="spellStart"/>
      <w:r w:rsidRPr="00565D81">
        <w:t>nevis</w:t>
      </w:r>
      <w:proofErr w:type="spellEnd"/>
      <w:r w:rsidRPr="00565D81">
        <w:t xml:space="preserve"> </w:t>
      </w:r>
      <w:proofErr w:type="spellStart"/>
      <w:r w:rsidRPr="00565D81">
        <w:t>Latviju</w:t>
      </w:r>
      <w:proofErr w:type="spellEnd"/>
      <w:r w:rsidRPr="00565D81">
        <w:t xml:space="preserve">. </w:t>
      </w:r>
      <w:proofErr w:type="spellStart"/>
      <w:r w:rsidRPr="00565D81">
        <w:t>Tādēļ</w:t>
      </w:r>
      <w:proofErr w:type="spellEnd"/>
      <w:r w:rsidRPr="00565D81">
        <w:t xml:space="preserve"> </w:t>
      </w:r>
      <w:proofErr w:type="spellStart"/>
      <w:r w:rsidRPr="00565D81">
        <w:t>šādas</w:t>
      </w:r>
      <w:proofErr w:type="spellEnd"/>
      <w:r w:rsidRPr="00565D81">
        <w:t xml:space="preserve"> </w:t>
      </w:r>
      <w:proofErr w:type="spellStart"/>
      <w:r w:rsidRPr="00565D81">
        <w:t>pilnvaras</w:t>
      </w:r>
      <w:proofErr w:type="spellEnd"/>
      <w:r w:rsidRPr="00565D81">
        <w:t xml:space="preserve"> </w:t>
      </w:r>
      <w:proofErr w:type="spellStart"/>
      <w:r w:rsidRPr="00565D81">
        <w:t>formai</w:t>
      </w:r>
      <w:proofErr w:type="spellEnd"/>
      <w:r w:rsidRPr="00565D81">
        <w:t xml:space="preserve"> </w:t>
      </w:r>
      <w:proofErr w:type="spellStart"/>
      <w:r w:rsidRPr="00565D81">
        <w:t>vislabāk</w:t>
      </w:r>
      <w:proofErr w:type="spellEnd"/>
      <w:r w:rsidRPr="00565D81">
        <w:t xml:space="preserve"> </w:t>
      </w:r>
      <w:proofErr w:type="spellStart"/>
      <w:r w:rsidRPr="00565D81">
        <w:t>ir</w:t>
      </w:r>
      <w:proofErr w:type="spellEnd"/>
      <w:r w:rsidRPr="00565D81">
        <w:t xml:space="preserve"> </w:t>
      </w:r>
      <w:proofErr w:type="spellStart"/>
      <w:r w:rsidRPr="00565D81">
        <w:t>izvēlēties</w:t>
      </w:r>
      <w:proofErr w:type="spellEnd"/>
      <w:r w:rsidRPr="00565D81">
        <w:t xml:space="preserve"> </w:t>
      </w:r>
      <w:proofErr w:type="spellStart"/>
      <w:r w:rsidRPr="00565D81">
        <w:t>Polijas</w:t>
      </w:r>
      <w:proofErr w:type="spellEnd"/>
      <w:r w:rsidRPr="00565D81">
        <w:t xml:space="preserve"> </w:t>
      </w:r>
      <w:proofErr w:type="spellStart"/>
      <w:r w:rsidRPr="00565D81">
        <w:t>likumu</w:t>
      </w:r>
      <w:proofErr w:type="spellEnd"/>
      <w:r w:rsidRPr="00565D81">
        <w:t xml:space="preserve">. </w:t>
      </w:r>
      <w:proofErr w:type="spellStart"/>
      <w:r w:rsidRPr="00565D81">
        <w:t>Šo</w:t>
      </w:r>
      <w:proofErr w:type="spellEnd"/>
      <w:r w:rsidRPr="00565D81">
        <w:t xml:space="preserve"> </w:t>
      </w:r>
      <w:proofErr w:type="spellStart"/>
      <w:r w:rsidRPr="00565D81">
        <w:t>piemērojamā</w:t>
      </w:r>
      <w:proofErr w:type="spellEnd"/>
      <w:r w:rsidRPr="00565D81">
        <w:t xml:space="preserve"> </w:t>
      </w:r>
      <w:proofErr w:type="spellStart"/>
      <w:r w:rsidRPr="00565D81">
        <w:t>likuma</w:t>
      </w:r>
      <w:proofErr w:type="spellEnd"/>
      <w:r w:rsidRPr="00565D81">
        <w:t xml:space="preserve"> </w:t>
      </w:r>
      <w:proofErr w:type="spellStart"/>
      <w:r w:rsidRPr="00565D81">
        <w:t>izvēli</w:t>
      </w:r>
      <w:proofErr w:type="spellEnd"/>
      <w:r w:rsidRPr="00565D81">
        <w:t xml:space="preserve"> </w:t>
      </w:r>
      <w:proofErr w:type="spellStart"/>
      <w:r w:rsidRPr="00565D81">
        <w:t>vēlams</w:t>
      </w:r>
      <w:proofErr w:type="spellEnd"/>
      <w:r w:rsidRPr="00565D81">
        <w:t xml:space="preserve"> </w:t>
      </w:r>
      <w:proofErr w:type="spellStart"/>
      <w:r w:rsidRPr="00565D81">
        <w:t>norādīt</w:t>
      </w:r>
      <w:proofErr w:type="spellEnd"/>
      <w:r w:rsidRPr="00565D81">
        <w:t xml:space="preserve"> </w:t>
      </w:r>
      <w:proofErr w:type="spellStart"/>
      <w:r w:rsidRPr="00565D81">
        <w:t>pilnvarā</w:t>
      </w:r>
      <w:proofErr w:type="spellEnd"/>
      <w:r w:rsidRPr="00565D81">
        <w:t>.</w:t>
      </w:r>
    </w:p>
    <w:p w14:paraId="38C11826" w14:textId="441A9557" w:rsidR="00114953" w:rsidRPr="00565D81" w:rsidRDefault="00B72FCB" w:rsidP="00114953">
      <w:pPr>
        <w:pStyle w:val="tv213"/>
        <w:ind w:firstLine="708"/>
        <w:jc w:val="both"/>
      </w:pPr>
      <w:proofErr w:type="spellStart"/>
      <w:r>
        <w:t>Kā</w:t>
      </w:r>
      <w:proofErr w:type="spellEnd"/>
      <w:r>
        <w:t xml:space="preserve"> </w:t>
      </w:r>
      <w:proofErr w:type="spellStart"/>
      <w:r>
        <w:t>jau</w:t>
      </w:r>
      <w:proofErr w:type="spellEnd"/>
      <w:r>
        <w:t xml:space="preserve"> </w:t>
      </w:r>
      <w:proofErr w:type="spellStart"/>
      <w:r>
        <w:t>tika</w:t>
      </w:r>
      <w:proofErr w:type="spellEnd"/>
      <w:r>
        <w:t xml:space="preserve"> </w:t>
      </w:r>
      <w:proofErr w:type="spellStart"/>
      <w:r>
        <w:t>minēts</w:t>
      </w:r>
      <w:proofErr w:type="spellEnd"/>
      <w:r w:rsidR="00114953">
        <w:t xml:space="preserve">, CL </w:t>
      </w:r>
      <w:proofErr w:type="spellStart"/>
      <w:r w:rsidR="00114953">
        <w:t>Ievada</w:t>
      </w:r>
      <w:proofErr w:type="spellEnd"/>
      <w:r w:rsidR="00114953">
        <w:t xml:space="preserve"> 21.panta </w:t>
      </w:r>
      <w:proofErr w:type="spellStart"/>
      <w:r w:rsidR="00114953">
        <w:t>otrā</w:t>
      </w:r>
      <w:proofErr w:type="spellEnd"/>
      <w:r w:rsidR="00114953">
        <w:t xml:space="preserve"> </w:t>
      </w:r>
      <w:proofErr w:type="spellStart"/>
      <w:r w:rsidR="00114953">
        <w:t>daļa</w:t>
      </w:r>
      <w:proofErr w:type="spellEnd"/>
      <w:r w:rsidR="00114953">
        <w:t xml:space="preserve"> </w:t>
      </w:r>
      <w:proofErr w:type="spellStart"/>
      <w:r w:rsidR="00114953">
        <w:t>nosaka</w:t>
      </w:r>
      <w:proofErr w:type="spellEnd"/>
      <w:r w:rsidR="00114953">
        <w:t xml:space="preserve"> </w:t>
      </w:r>
      <w:proofErr w:type="spellStart"/>
      <w:r w:rsidR="00114953">
        <w:t>izņēmuma</w:t>
      </w:r>
      <w:proofErr w:type="spellEnd"/>
      <w:r w:rsidR="00114953">
        <w:t xml:space="preserve"> </w:t>
      </w:r>
      <w:proofErr w:type="spellStart"/>
      <w:r w:rsidR="00114953">
        <w:t>gadījumu</w:t>
      </w:r>
      <w:proofErr w:type="spellEnd"/>
      <w:r w:rsidR="00114953">
        <w:t xml:space="preserve">, </w:t>
      </w:r>
      <w:proofErr w:type="spellStart"/>
      <w:r w:rsidR="00114953">
        <w:t>kad</w:t>
      </w:r>
      <w:proofErr w:type="spellEnd"/>
      <w:r w:rsidR="00114953">
        <w:t xml:space="preserve"> </w:t>
      </w:r>
      <w:proofErr w:type="spellStart"/>
      <w:r w:rsidR="00114953">
        <w:rPr>
          <w:u w:val="single"/>
        </w:rPr>
        <w:t>pilnvaras</w:t>
      </w:r>
      <w:proofErr w:type="spellEnd"/>
      <w:r w:rsidR="00114953">
        <w:t xml:space="preserve"> </w:t>
      </w:r>
      <w:proofErr w:type="spellStart"/>
      <w:r w:rsidR="00114953" w:rsidRPr="006F52BA">
        <w:rPr>
          <w:u w:val="single"/>
        </w:rPr>
        <w:t>formai</w:t>
      </w:r>
      <w:proofErr w:type="spellEnd"/>
      <w:r w:rsidR="00114953">
        <w:t xml:space="preserve"> </w:t>
      </w:r>
      <w:proofErr w:type="spellStart"/>
      <w:r w:rsidR="00114953">
        <w:t>piemēro</w:t>
      </w:r>
      <w:proofErr w:type="spellEnd"/>
      <w:r w:rsidR="00114953">
        <w:t xml:space="preserve"> </w:t>
      </w:r>
      <w:proofErr w:type="spellStart"/>
      <w:r w:rsidR="00114953">
        <w:t>tās</w:t>
      </w:r>
      <w:proofErr w:type="spellEnd"/>
      <w:r w:rsidR="00114953">
        <w:t xml:space="preserve"> </w:t>
      </w:r>
      <w:proofErr w:type="spellStart"/>
      <w:r w:rsidR="00114953">
        <w:t>valsts</w:t>
      </w:r>
      <w:proofErr w:type="spellEnd"/>
      <w:r w:rsidR="00114953">
        <w:t xml:space="preserve"> </w:t>
      </w:r>
      <w:proofErr w:type="spellStart"/>
      <w:r w:rsidR="00114953">
        <w:t>likumu</w:t>
      </w:r>
      <w:proofErr w:type="spellEnd"/>
      <w:r w:rsidR="00114953">
        <w:t xml:space="preserve">, </w:t>
      </w:r>
      <w:proofErr w:type="spellStart"/>
      <w:r w:rsidR="00114953">
        <w:t>kuras</w:t>
      </w:r>
      <w:proofErr w:type="spellEnd"/>
      <w:r w:rsidR="00114953">
        <w:t xml:space="preserve"> </w:t>
      </w:r>
      <w:proofErr w:type="spellStart"/>
      <w:r w:rsidR="00114953">
        <w:t>teritorijā</w:t>
      </w:r>
      <w:proofErr w:type="spellEnd"/>
      <w:r w:rsidR="00114953">
        <w:t xml:space="preserve"> </w:t>
      </w:r>
      <w:proofErr w:type="spellStart"/>
      <w:r w:rsidR="00114953">
        <w:t>atrodas</w:t>
      </w:r>
      <w:proofErr w:type="spellEnd"/>
      <w:r w:rsidR="00114953">
        <w:t xml:space="preserve"> </w:t>
      </w:r>
      <w:proofErr w:type="spellStart"/>
      <w:r w:rsidR="00114953" w:rsidRPr="0096076D">
        <w:rPr>
          <w:b/>
          <w:bCs/>
        </w:rPr>
        <w:t>nekustamais</w:t>
      </w:r>
      <w:proofErr w:type="spellEnd"/>
      <w:r w:rsidR="00114953" w:rsidRPr="0096076D">
        <w:rPr>
          <w:b/>
          <w:bCs/>
        </w:rPr>
        <w:t xml:space="preserve"> </w:t>
      </w:r>
      <w:proofErr w:type="spellStart"/>
      <w:r w:rsidR="00114953" w:rsidRPr="0096076D">
        <w:rPr>
          <w:b/>
          <w:bCs/>
        </w:rPr>
        <w:t>īpašums</w:t>
      </w:r>
      <w:proofErr w:type="spellEnd"/>
      <w:r w:rsidR="00114953">
        <w:t xml:space="preserve"> (</w:t>
      </w:r>
      <w:proofErr w:type="spellStart"/>
      <w:r w:rsidR="00114953" w:rsidRPr="00ED54EB">
        <w:rPr>
          <w:i/>
          <w:iCs/>
        </w:rPr>
        <w:t>lex</w:t>
      </w:r>
      <w:proofErr w:type="spellEnd"/>
      <w:r w:rsidR="00114953" w:rsidRPr="00ED54EB">
        <w:rPr>
          <w:i/>
          <w:iCs/>
        </w:rPr>
        <w:t xml:space="preserve"> </w:t>
      </w:r>
      <w:proofErr w:type="spellStart"/>
      <w:r w:rsidR="00114953" w:rsidRPr="00ED54EB">
        <w:rPr>
          <w:i/>
          <w:iCs/>
        </w:rPr>
        <w:t>rei</w:t>
      </w:r>
      <w:proofErr w:type="spellEnd"/>
      <w:r w:rsidR="00114953" w:rsidRPr="00ED54EB">
        <w:rPr>
          <w:i/>
          <w:iCs/>
        </w:rPr>
        <w:t xml:space="preserve"> </w:t>
      </w:r>
      <w:proofErr w:type="spellStart"/>
      <w:r w:rsidR="00114953" w:rsidRPr="00ED54EB">
        <w:rPr>
          <w:i/>
          <w:iCs/>
        </w:rPr>
        <w:t>sitae</w:t>
      </w:r>
      <w:proofErr w:type="spellEnd"/>
      <w:r w:rsidR="00114953">
        <w:t xml:space="preserve">). </w:t>
      </w:r>
      <w:proofErr w:type="spellStart"/>
      <w:r w:rsidR="00114953">
        <w:t>Tie</w:t>
      </w:r>
      <w:proofErr w:type="spellEnd"/>
      <w:r w:rsidR="00114953">
        <w:t xml:space="preserve"> </w:t>
      </w:r>
      <w:proofErr w:type="spellStart"/>
      <w:r w:rsidR="00114953">
        <w:t>būs</w:t>
      </w:r>
      <w:proofErr w:type="spellEnd"/>
      <w:r w:rsidR="00114953">
        <w:t xml:space="preserve"> </w:t>
      </w:r>
      <w:proofErr w:type="spellStart"/>
      <w:r w:rsidR="00114953">
        <w:t>gadījumi</w:t>
      </w:r>
      <w:proofErr w:type="spellEnd"/>
      <w:r w:rsidR="00114953">
        <w:t xml:space="preserve">, </w:t>
      </w:r>
      <w:proofErr w:type="spellStart"/>
      <w:r w:rsidR="00114953">
        <w:t>kuros</w:t>
      </w:r>
      <w:proofErr w:type="spellEnd"/>
      <w:r w:rsidR="00114953">
        <w:t xml:space="preserve"> </w:t>
      </w:r>
      <w:proofErr w:type="spellStart"/>
      <w:r w:rsidR="00114953">
        <w:t>pilnvara</w:t>
      </w:r>
      <w:proofErr w:type="spellEnd"/>
      <w:r w:rsidR="00114953">
        <w:t xml:space="preserve"> </w:t>
      </w:r>
      <w:proofErr w:type="spellStart"/>
      <w:r w:rsidR="00114953">
        <w:t>ir</w:t>
      </w:r>
      <w:proofErr w:type="spellEnd"/>
      <w:r w:rsidR="00114953">
        <w:t xml:space="preserve"> </w:t>
      </w:r>
      <w:proofErr w:type="spellStart"/>
      <w:r w:rsidR="00114953">
        <w:t>saistīta</w:t>
      </w:r>
      <w:proofErr w:type="spellEnd"/>
      <w:r w:rsidR="00114953">
        <w:t xml:space="preserve"> </w:t>
      </w:r>
      <w:proofErr w:type="spellStart"/>
      <w:r w:rsidR="00114953">
        <w:t>ar</w:t>
      </w:r>
      <w:proofErr w:type="spellEnd"/>
      <w:r w:rsidR="00114953">
        <w:t xml:space="preserve"> </w:t>
      </w:r>
      <w:proofErr w:type="spellStart"/>
      <w:r w:rsidR="00114953">
        <w:t>visa</w:t>
      </w:r>
      <w:proofErr w:type="spellEnd"/>
      <w:r w:rsidR="00114953">
        <w:t xml:space="preserve"> </w:t>
      </w:r>
      <w:proofErr w:type="spellStart"/>
      <w:r w:rsidR="00114953">
        <w:t>veida</w:t>
      </w:r>
      <w:proofErr w:type="spellEnd"/>
      <w:r w:rsidR="00114953">
        <w:t xml:space="preserve"> </w:t>
      </w:r>
      <w:proofErr w:type="spellStart"/>
      <w:r w:rsidR="00114953">
        <w:t>tiesiskām</w:t>
      </w:r>
      <w:proofErr w:type="spellEnd"/>
      <w:r w:rsidR="00114953">
        <w:t xml:space="preserve"> </w:t>
      </w:r>
      <w:proofErr w:type="spellStart"/>
      <w:r w:rsidR="00114953">
        <w:t>darbībām</w:t>
      </w:r>
      <w:proofErr w:type="spellEnd"/>
      <w:r w:rsidR="00114953">
        <w:t xml:space="preserve"> </w:t>
      </w:r>
      <w:proofErr w:type="spellStart"/>
      <w:r w:rsidR="00114953">
        <w:t>ar</w:t>
      </w:r>
      <w:proofErr w:type="spellEnd"/>
      <w:r w:rsidR="00114953">
        <w:t xml:space="preserve"> </w:t>
      </w:r>
      <w:proofErr w:type="spellStart"/>
      <w:r w:rsidR="00114953">
        <w:t>nekustamo</w:t>
      </w:r>
      <w:proofErr w:type="spellEnd"/>
      <w:r w:rsidR="00114953">
        <w:t xml:space="preserve"> </w:t>
      </w:r>
      <w:proofErr w:type="spellStart"/>
      <w:r w:rsidR="00114953">
        <w:t>īpašumu</w:t>
      </w:r>
      <w:proofErr w:type="spellEnd"/>
      <w:r w:rsidR="00114953">
        <w:t xml:space="preserve"> (</w:t>
      </w:r>
      <w:proofErr w:type="spellStart"/>
      <w:r w:rsidR="00114953">
        <w:t>skat</w:t>
      </w:r>
      <w:proofErr w:type="spellEnd"/>
      <w:r w:rsidR="00114953">
        <w:t xml:space="preserve">. CL </w:t>
      </w:r>
      <w:proofErr w:type="spellStart"/>
      <w:r w:rsidR="00114953">
        <w:t>Ievada</w:t>
      </w:r>
      <w:proofErr w:type="spellEnd"/>
      <w:r w:rsidR="00114953">
        <w:t xml:space="preserve"> 18.p. 4.d.). </w:t>
      </w:r>
      <w:proofErr w:type="spellStart"/>
      <w:r w:rsidR="00114953">
        <w:t>Saskaņā</w:t>
      </w:r>
      <w:proofErr w:type="spellEnd"/>
      <w:r w:rsidR="00114953">
        <w:t xml:space="preserve"> </w:t>
      </w:r>
      <w:proofErr w:type="spellStart"/>
      <w:r w:rsidR="00114953">
        <w:t>ar</w:t>
      </w:r>
      <w:proofErr w:type="spellEnd"/>
      <w:r w:rsidR="00114953">
        <w:t xml:space="preserve"> CL </w:t>
      </w:r>
      <w:proofErr w:type="spellStart"/>
      <w:r w:rsidR="00114953">
        <w:t>Ievada</w:t>
      </w:r>
      <w:proofErr w:type="spellEnd"/>
      <w:r w:rsidR="00114953">
        <w:t xml:space="preserve"> 18.panta </w:t>
      </w:r>
      <w:proofErr w:type="spellStart"/>
      <w:r w:rsidR="00114953">
        <w:t>ceturto</w:t>
      </w:r>
      <w:proofErr w:type="spellEnd"/>
      <w:r w:rsidR="00114953">
        <w:t xml:space="preserve"> </w:t>
      </w:r>
      <w:proofErr w:type="spellStart"/>
      <w:r w:rsidR="00114953">
        <w:t>daļu</w:t>
      </w:r>
      <w:proofErr w:type="spellEnd"/>
      <w:r w:rsidR="00114953">
        <w:t xml:space="preserve"> „</w:t>
      </w:r>
      <w:proofErr w:type="spellStart"/>
      <w:r w:rsidR="00114953" w:rsidRPr="00D51AFD">
        <w:rPr>
          <w:i/>
        </w:rPr>
        <w:t>Lietu</w:t>
      </w:r>
      <w:proofErr w:type="spellEnd"/>
      <w:r w:rsidR="00114953" w:rsidRPr="00D51AFD">
        <w:rPr>
          <w:i/>
        </w:rPr>
        <w:t xml:space="preserve"> </w:t>
      </w:r>
      <w:proofErr w:type="spellStart"/>
      <w:r w:rsidR="00114953" w:rsidRPr="00D51AFD">
        <w:rPr>
          <w:i/>
        </w:rPr>
        <w:t>tiesību</w:t>
      </w:r>
      <w:proofErr w:type="spellEnd"/>
      <w:r w:rsidR="00114953" w:rsidRPr="00D51AFD">
        <w:rPr>
          <w:i/>
        </w:rPr>
        <w:t xml:space="preserve"> </w:t>
      </w:r>
      <w:proofErr w:type="spellStart"/>
      <w:r w:rsidR="00114953" w:rsidRPr="00D51AFD">
        <w:rPr>
          <w:i/>
        </w:rPr>
        <w:t>iegūšana</w:t>
      </w:r>
      <w:proofErr w:type="spellEnd"/>
      <w:r w:rsidR="00114953">
        <w:rPr>
          <w:i/>
        </w:rPr>
        <w:t xml:space="preserve">, </w:t>
      </w:r>
      <w:proofErr w:type="spellStart"/>
      <w:r w:rsidR="00114953">
        <w:rPr>
          <w:i/>
        </w:rPr>
        <w:t>pārgrozīšana</w:t>
      </w:r>
      <w:proofErr w:type="spellEnd"/>
      <w:r w:rsidR="00114953">
        <w:rPr>
          <w:i/>
        </w:rPr>
        <w:t xml:space="preserve"> </w:t>
      </w:r>
      <w:proofErr w:type="spellStart"/>
      <w:r w:rsidR="00114953">
        <w:rPr>
          <w:i/>
        </w:rPr>
        <w:t>vai</w:t>
      </w:r>
      <w:proofErr w:type="spellEnd"/>
      <w:r w:rsidR="00114953">
        <w:rPr>
          <w:i/>
        </w:rPr>
        <w:t xml:space="preserve"> </w:t>
      </w:r>
      <w:proofErr w:type="spellStart"/>
      <w:r w:rsidR="00114953">
        <w:rPr>
          <w:i/>
        </w:rPr>
        <w:t>izbeigšana</w:t>
      </w:r>
      <w:proofErr w:type="spellEnd"/>
      <w:r w:rsidR="00114953">
        <w:rPr>
          <w:i/>
        </w:rPr>
        <w:t xml:space="preserve">, ja </w:t>
      </w:r>
      <w:proofErr w:type="spellStart"/>
      <w:r w:rsidR="00114953">
        <w:rPr>
          <w:i/>
        </w:rPr>
        <w:t>tās</w:t>
      </w:r>
      <w:proofErr w:type="spellEnd"/>
      <w:r w:rsidR="00114953">
        <w:rPr>
          <w:i/>
        </w:rPr>
        <w:t xml:space="preserve"> </w:t>
      </w:r>
      <w:proofErr w:type="spellStart"/>
      <w:r w:rsidR="00114953">
        <w:rPr>
          <w:i/>
        </w:rPr>
        <w:t>attiecas</w:t>
      </w:r>
      <w:proofErr w:type="spellEnd"/>
      <w:r w:rsidR="00114953">
        <w:rPr>
          <w:i/>
        </w:rPr>
        <w:t xml:space="preserve"> </w:t>
      </w:r>
      <w:proofErr w:type="spellStart"/>
      <w:r w:rsidR="00114953">
        <w:rPr>
          <w:i/>
        </w:rPr>
        <w:t>uz</w:t>
      </w:r>
      <w:proofErr w:type="spellEnd"/>
      <w:r w:rsidR="00114953">
        <w:rPr>
          <w:i/>
        </w:rPr>
        <w:t xml:space="preserve"> </w:t>
      </w:r>
      <w:proofErr w:type="spellStart"/>
      <w:r w:rsidR="00114953">
        <w:rPr>
          <w:i/>
        </w:rPr>
        <w:t>Latvijā</w:t>
      </w:r>
      <w:proofErr w:type="spellEnd"/>
      <w:r w:rsidR="00114953">
        <w:rPr>
          <w:i/>
        </w:rPr>
        <w:t xml:space="preserve"> </w:t>
      </w:r>
      <w:proofErr w:type="spellStart"/>
      <w:r w:rsidR="00114953">
        <w:rPr>
          <w:i/>
        </w:rPr>
        <w:t>esošu</w:t>
      </w:r>
      <w:proofErr w:type="spellEnd"/>
      <w:r w:rsidR="00114953">
        <w:rPr>
          <w:i/>
        </w:rPr>
        <w:t xml:space="preserve"> </w:t>
      </w:r>
      <w:proofErr w:type="spellStart"/>
      <w:r w:rsidR="00114953">
        <w:rPr>
          <w:i/>
        </w:rPr>
        <w:t>nekustamu</w:t>
      </w:r>
      <w:proofErr w:type="spellEnd"/>
      <w:r w:rsidR="00114953">
        <w:rPr>
          <w:i/>
        </w:rPr>
        <w:t xml:space="preserve"> </w:t>
      </w:r>
      <w:proofErr w:type="spellStart"/>
      <w:r w:rsidR="00114953">
        <w:rPr>
          <w:i/>
        </w:rPr>
        <w:t>mantu</w:t>
      </w:r>
      <w:proofErr w:type="spellEnd"/>
      <w:r w:rsidR="00114953">
        <w:rPr>
          <w:i/>
        </w:rPr>
        <w:t xml:space="preserve">, </w:t>
      </w:r>
      <w:proofErr w:type="spellStart"/>
      <w:r w:rsidR="00114953">
        <w:rPr>
          <w:i/>
        </w:rPr>
        <w:t>kā</w:t>
      </w:r>
      <w:proofErr w:type="spellEnd"/>
      <w:r w:rsidR="00114953">
        <w:rPr>
          <w:i/>
        </w:rPr>
        <w:t xml:space="preserve"> </w:t>
      </w:r>
      <w:proofErr w:type="spellStart"/>
      <w:r w:rsidR="00114953">
        <w:rPr>
          <w:i/>
        </w:rPr>
        <w:t>arī</w:t>
      </w:r>
      <w:proofErr w:type="spellEnd"/>
      <w:r w:rsidR="00114953">
        <w:rPr>
          <w:i/>
        </w:rPr>
        <w:t xml:space="preserve"> </w:t>
      </w:r>
      <w:proofErr w:type="spellStart"/>
      <w:r w:rsidR="00114953">
        <w:rPr>
          <w:i/>
        </w:rPr>
        <w:t>no</w:t>
      </w:r>
      <w:proofErr w:type="spellEnd"/>
      <w:r w:rsidR="00114953">
        <w:rPr>
          <w:i/>
        </w:rPr>
        <w:t xml:space="preserve"> </w:t>
      </w:r>
      <w:proofErr w:type="spellStart"/>
      <w:r w:rsidR="00114953">
        <w:rPr>
          <w:i/>
        </w:rPr>
        <w:t>tiesiskiem</w:t>
      </w:r>
      <w:proofErr w:type="spellEnd"/>
      <w:r w:rsidR="00114953">
        <w:rPr>
          <w:i/>
        </w:rPr>
        <w:t xml:space="preserve"> </w:t>
      </w:r>
      <w:proofErr w:type="spellStart"/>
      <w:r w:rsidR="00114953">
        <w:rPr>
          <w:i/>
        </w:rPr>
        <w:t>darījumiem</w:t>
      </w:r>
      <w:proofErr w:type="spellEnd"/>
      <w:r w:rsidR="00114953">
        <w:rPr>
          <w:i/>
        </w:rPr>
        <w:t xml:space="preserve"> </w:t>
      </w:r>
      <w:proofErr w:type="spellStart"/>
      <w:r w:rsidR="00114953">
        <w:rPr>
          <w:i/>
        </w:rPr>
        <w:t>izrietošas</w:t>
      </w:r>
      <w:proofErr w:type="spellEnd"/>
      <w:r w:rsidR="00114953">
        <w:rPr>
          <w:i/>
        </w:rPr>
        <w:t xml:space="preserve"> </w:t>
      </w:r>
      <w:proofErr w:type="spellStart"/>
      <w:r w:rsidR="00114953">
        <w:rPr>
          <w:i/>
        </w:rPr>
        <w:t>saistību</w:t>
      </w:r>
      <w:proofErr w:type="spellEnd"/>
      <w:r w:rsidR="00114953">
        <w:rPr>
          <w:i/>
        </w:rPr>
        <w:t xml:space="preserve"> </w:t>
      </w:r>
      <w:proofErr w:type="spellStart"/>
      <w:r w:rsidR="00114953">
        <w:rPr>
          <w:i/>
        </w:rPr>
        <w:t>tiesības</w:t>
      </w:r>
      <w:proofErr w:type="spellEnd"/>
      <w:r w:rsidR="00114953">
        <w:rPr>
          <w:i/>
        </w:rPr>
        <w:t xml:space="preserve">, zu </w:t>
      </w:r>
      <w:proofErr w:type="spellStart"/>
      <w:r w:rsidR="00114953">
        <w:rPr>
          <w:i/>
        </w:rPr>
        <w:t>kuru</w:t>
      </w:r>
      <w:proofErr w:type="spellEnd"/>
      <w:r w:rsidR="00114953">
        <w:rPr>
          <w:i/>
        </w:rPr>
        <w:t xml:space="preserve"> </w:t>
      </w:r>
      <w:proofErr w:type="spellStart"/>
      <w:r w:rsidR="00114953">
        <w:rPr>
          <w:i/>
        </w:rPr>
        <w:t>pamata</w:t>
      </w:r>
      <w:proofErr w:type="spellEnd"/>
      <w:r w:rsidR="00114953">
        <w:rPr>
          <w:i/>
        </w:rPr>
        <w:t xml:space="preserve"> </w:t>
      </w:r>
      <w:proofErr w:type="spellStart"/>
      <w:r w:rsidR="00114953">
        <w:rPr>
          <w:i/>
        </w:rPr>
        <w:t>šādas</w:t>
      </w:r>
      <w:proofErr w:type="spellEnd"/>
      <w:r w:rsidR="00114953">
        <w:rPr>
          <w:i/>
        </w:rPr>
        <w:t xml:space="preserve"> </w:t>
      </w:r>
      <w:proofErr w:type="spellStart"/>
      <w:r w:rsidR="00114953">
        <w:rPr>
          <w:i/>
        </w:rPr>
        <w:t>lietu</w:t>
      </w:r>
      <w:proofErr w:type="spellEnd"/>
      <w:r w:rsidR="00114953">
        <w:rPr>
          <w:i/>
        </w:rPr>
        <w:t xml:space="preserve"> </w:t>
      </w:r>
      <w:proofErr w:type="spellStart"/>
      <w:r w:rsidR="00114953">
        <w:rPr>
          <w:i/>
        </w:rPr>
        <w:t>tiesības</w:t>
      </w:r>
      <w:proofErr w:type="spellEnd"/>
      <w:r w:rsidR="00114953">
        <w:rPr>
          <w:i/>
        </w:rPr>
        <w:t xml:space="preserve"> </w:t>
      </w:r>
      <w:proofErr w:type="spellStart"/>
      <w:r w:rsidR="00114953">
        <w:rPr>
          <w:i/>
        </w:rPr>
        <w:t>var</w:t>
      </w:r>
      <w:proofErr w:type="spellEnd"/>
      <w:r w:rsidR="00114953">
        <w:rPr>
          <w:i/>
        </w:rPr>
        <w:t xml:space="preserve"> </w:t>
      </w:r>
      <w:proofErr w:type="spellStart"/>
      <w:r w:rsidR="00114953">
        <w:rPr>
          <w:i/>
        </w:rPr>
        <w:t>iegūt</w:t>
      </w:r>
      <w:proofErr w:type="spellEnd"/>
      <w:r w:rsidR="00114953">
        <w:rPr>
          <w:i/>
        </w:rPr>
        <w:t xml:space="preserve">, </w:t>
      </w:r>
      <w:proofErr w:type="spellStart"/>
      <w:r w:rsidR="00114953">
        <w:rPr>
          <w:i/>
        </w:rPr>
        <w:t>pārgrozīt</w:t>
      </w:r>
      <w:proofErr w:type="spellEnd"/>
      <w:r w:rsidR="00114953">
        <w:rPr>
          <w:i/>
        </w:rPr>
        <w:t xml:space="preserve"> </w:t>
      </w:r>
      <w:proofErr w:type="spellStart"/>
      <w:r w:rsidR="00114953">
        <w:rPr>
          <w:i/>
        </w:rPr>
        <w:t>vai</w:t>
      </w:r>
      <w:proofErr w:type="spellEnd"/>
      <w:r w:rsidR="00114953">
        <w:rPr>
          <w:i/>
        </w:rPr>
        <w:t xml:space="preserve"> </w:t>
      </w:r>
      <w:proofErr w:type="spellStart"/>
      <w:r w:rsidR="00114953">
        <w:rPr>
          <w:i/>
        </w:rPr>
        <w:t>izbeigt</w:t>
      </w:r>
      <w:proofErr w:type="spellEnd"/>
      <w:r w:rsidR="00114953">
        <w:rPr>
          <w:i/>
        </w:rPr>
        <w:t xml:space="preserve">, </w:t>
      </w:r>
      <w:proofErr w:type="spellStart"/>
      <w:r w:rsidR="00114953" w:rsidRPr="00D51AFD">
        <w:rPr>
          <w:b/>
          <w:i/>
        </w:rPr>
        <w:t>formas</w:t>
      </w:r>
      <w:proofErr w:type="spellEnd"/>
      <w:r w:rsidR="00114953">
        <w:rPr>
          <w:i/>
        </w:rPr>
        <w:t xml:space="preserve"> </w:t>
      </w:r>
      <w:proofErr w:type="spellStart"/>
      <w:r w:rsidR="00114953">
        <w:rPr>
          <w:i/>
        </w:rPr>
        <w:t>un</w:t>
      </w:r>
      <w:proofErr w:type="spellEnd"/>
      <w:r w:rsidR="00114953">
        <w:rPr>
          <w:i/>
        </w:rPr>
        <w:t xml:space="preserve"> </w:t>
      </w:r>
      <w:proofErr w:type="spellStart"/>
      <w:r w:rsidR="00114953" w:rsidRPr="00D51AFD">
        <w:rPr>
          <w:b/>
          <w:i/>
        </w:rPr>
        <w:t>satura</w:t>
      </w:r>
      <w:proofErr w:type="spellEnd"/>
      <w:r w:rsidR="00114953">
        <w:rPr>
          <w:i/>
        </w:rPr>
        <w:t xml:space="preserve"> </w:t>
      </w:r>
      <w:proofErr w:type="spellStart"/>
      <w:r w:rsidR="00114953">
        <w:rPr>
          <w:i/>
        </w:rPr>
        <w:t>ziņā</w:t>
      </w:r>
      <w:proofErr w:type="spellEnd"/>
      <w:r w:rsidR="00114953">
        <w:rPr>
          <w:i/>
        </w:rPr>
        <w:t xml:space="preserve"> </w:t>
      </w:r>
      <w:proofErr w:type="spellStart"/>
      <w:r w:rsidR="00114953">
        <w:rPr>
          <w:i/>
        </w:rPr>
        <w:t>noteicamas</w:t>
      </w:r>
      <w:proofErr w:type="spellEnd"/>
      <w:r w:rsidR="00114953">
        <w:rPr>
          <w:i/>
        </w:rPr>
        <w:t xml:space="preserve"> </w:t>
      </w:r>
      <w:proofErr w:type="spellStart"/>
      <w:r w:rsidR="00114953">
        <w:rPr>
          <w:i/>
        </w:rPr>
        <w:t>vienīgi</w:t>
      </w:r>
      <w:proofErr w:type="spellEnd"/>
      <w:r w:rsidR="00114953">
        <w:rPr>
          <w:i/>
        </w:rPr>
        <w:t xml:space="preserve"> </w:t>
      </w:r>
      <w:proofErr w:type="spellStart"/>
      <w:r w:rsidR="00114953">
        <w:rPr>
          <w:i/>
        </w:rPr>
        <w:t>pēc</w:t>
      </w:r>
      <w:proofErr w:type="spellEnd"/>
      <w:r w:rsidR="00114953">
        <w:rPr>
          <w:i/>
        </w:rPr>
        <w:t xml:space="preserve"> Latvijas </w:t>
      </w:r>
      <w:proofErr w:type="spellStart"/>
      <w:r w:rsidR="00114953">
        <w:rPr>
          <w:i/>
        </w:rPr>
        <w:t>likuma</w:t>
      </w:r>
      <w:proofErr w:type="spellEnd"/>
      <w:r w:rsidR="00114953">
        <w:rPr>
          <w:i/>
        </w:rPr>
        <w:t xml:space="preserve">, </w:t>
      </w:r>
      <w:proofErr w:type="spellStart"/>
      <w:r w:rsidR="00114953" w:rsidRPr="00D51AFD">
        <w:rPr>
          <w:i/>
          <w:u w:val="single"/>
        </w:rPr>
        <w:t>vienalga</w:t>
      </w:r>
      <w:proofErr w:type="spellEnd"/>
      <w:r w:rsidR="00114953" w:rsidRPr="00D51AFD">
        <w:rPr>
          <w:i/>
          <w:u w:val="single"/>
        </w:rPr>
        <w:t xml:space="preserve">, </w:t>
      </w:r>
      <w:proofErr w:type="spellStart"/>
      <w:r w:rsidR="00114953" w:rsidRPr="00D51AFD">
        <w:rPr>
          <w:i/>
          <w:u w:val="single"/>
        </w:rPr>
        <w:t>kādas</w:t>
      </w:r>
      <w:proofErr w:type="spellEnd"/>
      <w:r w:rsidR="00114953" w:rsidRPr="00D51AFD">
        <w:rPr>
          <w:i/>
          <w:u w:val="single"/>
        </w:rPr>
        <w:t xml:space="preserve"> personas </w:t>
      </w:r>
      <w:proofErr w:type="spellStart"/>
      <w:r w:rsidR="00114953" w:rsidRPr="00D51AFD">
        <w:rPr>
          <w:i/>
          <w:u w:val="single"/>
        </w:rPr>
        <w:t>un</w:t>
      </w:r>
      <w:proofErr w:type="spellEnd"/>
      <w:r w:rsidR="00114953" w:rsidRPr="00D51AFD">
        <w:rPr>
          <w:i/>
          <w:u w:val="single"/>
        </w:rPr>
        <w:t xml:space="preserve"> kur </w:t>
      </w:r>
      <w:proofErr w:type="spellStart"/>
      <w:r w:rsidR="00114953" w:rsidRPr="00D51AFD">
        <w:rPr>
          <w:i/>
          <w:u w:val="single"/>
        </w:rPr>
        <w:t>taisījušas</w:t>
      </w:r>
      <w:proofErr w:type="spellEnd"/>
      <w:r w:rsidR="00114953" w:rsidRPr="00D51AFD">
        <w:rPr>
          <w:i/>
          <w:u w:val="single"/>
        </w:rPr>
        <w:t xml:space="preserve"> </w:t>
      </w:r>
      <w:proofErr w:type="spellStart"/>
      <w:r w:rsidR="00114953" w:rsidRPr="00D51AFD">
        <w:rPr>
          <w:i/>
          <w:u w:val="single"/>
        </w:rPr>
        <w:t>attiecīgos</w:t>
      </w:r>
      <w:proofErr w:type="spellEnd"/>
      <w:r w:rsidR="00114953" w:rsidRPr="00D51AFD">
        <w:rPr>
          <w:i/>
          <w:u w:val="single"/>
        </w:rPr>
        <w:t xml:space="preserve"> </w:t>
      </w:r>
      <w:proofErr w:type="spellStart"/>
      <w:r w:rsidR="00114953" w:rsidRPr="00D51AFD">
        <w:rPr>
          <w:i/>
          <w:u w:val="single"/>
        </w:rPr>
        <w:t>tiesiskos</w:t>
      </w:r>
      <w:proofErr w:type="spellEnd"/>
      <w:r w:rsidR="00114953" w:rsidRPr="00D51AFD">
        <w:rPr>
          <w:i/>
          <w:u w:val="single"/>
        </w:rPr>
        <w:t xml:space="preserve"> </w:t>
      </w:r>
      <w:proofErr w:type="spellStart"/>
      <w:r w:rsidR="00114953" w:rsidRPr="00D51AFD">
        <w:rPr>
          <w:i/>
          <w:u w:val="single"/>
        </w:rPr>
        <w:t>darījumus</w:t>
      </w:r>
      <w:proofErr w:type="spellEnd"/>
      <w:r w:rsidR="00114953">
        <w:rPr>
          <w:i/>
        </w:rPr>
        <w:t xml:space="preserve">. </w:t>
      </w:r>
      <w:proofErr w:type="spellStart"/>
      <w:r w:rsidR="00114953">
        <w:rPr>
          <w:i/>
        </w:rPr>
        <w:t>Pretēji</w:t>
      </w:r>
      <w:proofErr w:type="spellEnd"/>
      <w:r w:rsidR="00114953">
        <w:rPr>
          <w:i/>
        </w:rPr>
        <w:t xml:space="preserve"> </w:t>
      </w:r>
      <w:proofErr w:type="spellStart"/>
      <w:r w:rsidR="00114953">
        <w:rPr>
          <w:i/>
        </w:rPr>
        <w:t>noteikumi</w:t>
      </w:r>
      <w:proofErr w:type="spellEnd"/>
      <w:r w:rsidR="00114953">
        <w:rPr>
          <w:i/>
        </w:rPr>
        <w:t xml:space="preserve"> </w:t>
      </w:r>
      <w:proofErr w:type="spellStart"/>
      <w:r w:rsidR="00114953">
        <w:rPr>
          <w:i/>
        </w:rPr>
        <w:t>un</w:t>
      </w:r>
      <w:proofErr w:type="spellEnd"/>
      <w:r w:rsidR="00114953">
        <w:rPr>
          <w:i/>
        </w:rPr>
        <w:t xml:space="preserve"> </w:t>
      </w:r>
      <w:proofErr w:type="spellStart"/>
      <w:r w:rsidR="00114953">
        <w:rPr>
          <w:i/>
        </w:rPr>
        <w:t>formas</w:t>
      </w:r>
      <w:proofErr w:type="spellEnd"/>
      <w:r w:rsidR="00114953">
        <w:rPr>
          <w:i/>
        </w:rPr>
        <w:t xml:space="preserve"> </w:t>
      </w:r>
      <w:proofErr w:type="spellStart"/>
      <w:r w:rsidR="00114953">
        <w:rPr>
          <w:i/>
        </w:rPr>
        <w:t>šajos</w:t>
      </w:r>
      <w:proofErr w:type="spellEnd"/>
      <w:r w:rsidR="00114953">
        <w:rPr>
          <w:i/>
        </w:rPr>
        <w:t xml:space="preserve"> </w:t>
      </w:r>
      <w:proofErr w:type="spellStart"/>
      <w:r w:rsidR="00114953">
        <w:rPr>
          <w:i/>
        </w:rPr>
        <w:t>tiesiskos</w:t>
      </w:r>
      <w:proofErr w:type="spellEnd"/>
      <w:r w:rsidR="00114953">
        <w:rPr>
          <w:i/>
        </w:rPr>
        <w:t xml:space="preserve"> </w:t>
      </w:r>
      <w:proofErr w:type="spellStart"/>
      <w:r w:rsidR="00114953">
        <w:rPr>
          <w:i/>
        </w:rPr>
        <w:t>darījumos</w:t>
      </w:r>
      <w:proofErr w:type="spellEnd"/>
      <w:r w:rsidR="00114953">
        <w:rPr>
          <w:i/>
        </w:rPr>
        <w:t xml:space="preserve"> </w:t>
      </w:r>
      <w:proofErr w:type="spellStart"/>
      <w:r w:rsidR="00114953">
        <w:rPr>
          <w:i/>
        </w:rPr>
        <w:t>Latvijā</w:t>
      </w:r>
      <w:proofErr w:type="spellEnd"/>
      <w:r w:rsidR="00114953">
        <w:rPr>
          <w:i/>
        </w:rPr>
        <w:t xml:space="preserve"> </w:t>
      </w:r>
      <w:proofErr w:type="spellStart"/>
      <w:r w:rsidR="00114953">
        <w:rPr>
          <w:i/>
        </w:rPr>
        <w:t>nav</w:t>
      </w:r>
      <w:proofErr w:type="spellEnd"/>
      <w:r w:rsidR="00114953">
        <w:rPr>
          <w:i/>
        </w:rPr>
        <w:t xml:space="preserve"> </w:t>
      </w:r>
      <w:proofErr w:type="spellStart"/>
      <w:r w:rsidR="00114953">
        <w:rPr>
          <w:i/>
        </w:rPr>
        <w:t>spēkā</w:t>
      </w:r>
      <w:proofErr w:type="spellEnd"/>
      <w:r w:rsidR="00114953">
        <w:rPr>
          <w:i/>
        </w:rPr>
        <w:t xml:space="preserve">“. </w:t>
      </w:r>
      <w:proofErr w:type="spellStart"/>
      <w:r w:rsidR="00114953" w:rsidRPr="00565D81">
        <w:t>Tātad</w:t>
      </w:r>
      <w:proofErr w:type="spellEnd"/>
      <w:r w:rsidR="00114953" w:rsidRPr="00565D81">
        <w:t xml:space="preserve">, ja </w:t>
      </w:r>
      <w:proofErr w:type="spellStart"/>
      <w:r w:rsidR="00114953" w:rsidRPr="00565D81">
        <w:t>nekustamais</w:t>
      </w:r>
      <w:proofErr w:type="spellEnd"/>
      <w:r w:rsidR="00114953" w:rsidRPr="00565D81">
        <w:t xml:space="preserve"> </w:t>
      </w:r>
      <w:proofErr w:type="spellStart"/>
      <w:r w:rsidR="00114953" w:rsidRPr="00565D81">
        <w:t>īpašums</w:t>
      </w:r>
      <w:proofErr w:type="spellEnd"/>
      <w:r w:rsidR="00114953" w:rsidRPr="00565D81">
        <w:t xml:space="preserve">, </w:t>
      </w:r>
      <w:proofErr w:type="spellStart"/>
      <w:r w:rsidR="00114953" w:rsidRPr="00565D81">
        <w:t>uz</w:t>
      </w:r>
      <w:proofErr w:type="spellEnd"/>
      <w:r w:rsidR="00114953" w:rsidRPr="00565D81">
        <w:t xml:space="preserve"> </w:t>
      </w:r>
      <w:proofErr w:type="spellStart"/>
      <w:r w:rsidR="00114953" w:rsidRPr="00565D81">
        <w:t>kuru</w:t>
      </w:r>
      <w:proofErr w:type="spellEnd"/>
      <w:r w:rsidR="00114953" w:rsidRPr="00565D81">
        <w:t xml:space="preserve"> </w:t>
      </w:r>
      <w:proofErr w:type="spellStart"/>
      <w:r w:rsidR="00114953" w:rsidRPr="00565D81">
        <w:t>attiecas</w:t>
      </w:r>
      <w:proofErr w:type="spellEnd"/>
      <w:r w:rsidR="00114953" w:rsidRPr="00565D81">
        <w:t xml:space="preserve"> </w:t>
      </w:r>
      <w:proofErr w:type="spellStart"/>
      <w:r w:rsidR="00114953" w:rsidRPr="00565D81">
        <w:t>pilnvara</w:t>
      </w:r>
      <w:proofErr w:type="spellEnd"/>
      <w:r w:rsidR="00114953" w:rsidRPr="00565D81">
        <w:t xml:space="preserve">, </w:t>
      </w:r>
      <w:proofErr w:type="spellStart"/>
      <w:r w:rsidR="00114953" w:rsidRPr="00565D81">
        <w:t>atrodas</w:t>
      </w:r>
      <w:proofErr w:type="spellEnd"/>
      <w:r w:rsidR="00114953" w:rsidRPr="00565D81">
        <w:t xml:space="preserve"> Latvijas </w:t>
      </w:r>
      <w:proofErr w:type="spellStart"/>
      <w:r w:rsidR="00114953" w:rsidRPr="00565D81">
        <w:t>teritorijā</w:t>
      </w:r>
      <w:proofErr w:type="spellEnd"/>
      <w:r w:rsidR="00114953" w:rsidRPr="00565D81">
        <w:t xml:space="preserve">, </w:t>
      </w:r>
      <w:proofErr w:type="spellStart"/>
      <w:r w:rsidR="00114953" w:rsidRPr="00565D81">
        <w:t>tad</w:t>
      </w:r>
      <w:proofErr w:type="spellEnd"/>
      <w:r w:rsidR="00114953" w:rsidRPr="00565D81">
        <w:t xml:space="preserve"> </w:t>
      </w:r>
      <w:proofErr w:type="spellStart"/>
      <w:proofErr w:type="gramStart"/>
      <w:r w:rsidR="00114953" w:rsidRPr="00565D81">
        <w:rPr>
          <w:u w:val="single"/>
        </w:rPr>
        <w:t>pilnvaras</w:t>
      </w:r>
      <w:proofErr w:type="spellEnd"/>
      <w:r w:rsidR="00114953" w:rsidRPr="00565D81">
        <w:rPr>
          <w:u w:val="single"/>
        </w:rPr>
        <w:t xml:space="preserve"> </w:t>
      </w:r>
      <w:r w:rsidR="00114953" w:rsidRPr="00565D81">
        <w:t xml:space="preserve"> </w:t>
      </w:r>
      <w:proofErr w:type="spellStart"/>
      <w:r w:rsidR="00114953" w:rsidRPr="00565D81">
        <w:rPr>
          <w:u w:val="single"/>
        </w:rPr>
        <w:t>saturam</w:t>
      </w:r>
      <w:proofErr w:type="spellEnd"/>
      <w:proofErr w:type="gramEnd"/>
      <w:r w:rsidR="00114953" w:rsidRPr="00565D81">
        <w:rPr>
          <w:u w:val="single"/>
        </w:rPr>
        <w:t xml:space="preserve"> </w:t>
      </w:r>
      <w:proofErr w:type="spellStart"/>
      <w:r w:rsidR="00114953" w:rsidRPr="00565D81">
        <w:rPr>
          <w:u w:val="single"/>
        </w:rPr>
        <w:t>un</w:t>
      </w:r>
      <w:proofErr w:type="spellEnd"/>
      <w:r w:rsidR="00114953" w:rsidRPr="00565D81">
        <w:rPr>
          <w:u w:val="single"/>
        </w:rPr>
        <w:t xml:space="preserve"> </w:t>
      </w:r>
      <w:proofErr w:type="spellStart"/>
      <w:r w:rsidR="00114953" w:rsidRPr="00565D81">
        <w:rPr>
          <w:u w:val="single"/>
        </w:rPr>
        <w:t>formai</w:t>
      </w:r>
      <w:proofErr w:type="spellEnd"/>
      <w:r w:rsidR="00114953" w:rsidRPr="00565D81">
        <w:t xml:space="preserve"> </w:t>
      </w:r>
      <w:proofErr w:type="spellStart"/>
      <w:r w:rsidR="00114953" w:rsidRPr="00565D81">
        <w:t>vienmēr</w:t>
      </w:r>
      <w:proofErr w:type="spellEnd"/>
      <w:r w:rsidR="00114953" w:rsidRPr="00565D81">
        <w:t xml:space="preserve"> </w:t>
      </w:r>
      <w:proofErr w:type="spellStart"/>
      <w:r w:rsidR="00114953" w:rsidRPr="00565D81">
        <w:t>būs</w:t>
      </w:r>
      <w:proofErr w:type="spellEnd"/>
      <w:r w:rsidR="00114953" w:rsidRPr="00565D81">
        <w:t xml:space="preserve"> </w:t>
      </w:r>
      <w:proofErr w:type="spellStart"/>
      <w:r w:rsidR="00114953" w:rsidRPr="00565D81">
        <w:t>piemērojams</w:t>
      </w:r>
      <w:proofErr w:type="spellEnd"/>
      <w:r w:rsidR="00114953" w:rsidRPr="00565D81">
        <w:t xml:space="preserve"> Latvijas </w:t>
      </w:r>
      <w:proofErr w:type="spellStart"/>
      <w:r w:rsidR="00114953" w:rsidRPr="00565D81">
        <w:t>likums</w:t>
      </w:r>
      <w:proofErr w:type="spellEnd"/>
      <w:r w:rsidR="00114953" w:rsidRPr="00565D81">
        <w:t xml:space="preserve">. Latvijas </w:t>
      </w:r>
      <w:proofErr w:type="spellStart"/>
      <w:r w:rsidR="00114953" w:rsidRPr="00565D81">
        <w:t>likums</w:t>
      </w:r>
      <w:proofErr w:type="spellEnd"/>
      <w:r w:rsidR="00114953" w:rsidRPr="00565D81">
        <w:t xml:space="preserve"> </w:t>
      </w:r>
      <w:proofErr w:type="spellStart"/>
      <w:r w:rsidR="00114953" w:rsidRPr="00565D81">
        <w:t>būs</w:t>
      </w:r>
      <w:proofErr w:type="spellEnd"/>
      <w:r w:rsidR="00114953" w:rsidRPr="00565D81">
        <w:t xml:space="preserve"> </w:t>
      </w:r>
      <w:proofErr w:type="spellStart"/>
      <w:r w:rsidR="00114953" w:rsidRPr="00565D81">
        <w:t>piemērojams</w:t>
      </w:r>
      <w:proofErr w:type="spellEnd"/>
      <w:r w:rsidR="00114953" w:rsidRPr="00565D81">
        <w:t xml:space="preserve"> </w:t>
      </w:r>
      <w:proofErr w:type="spellStart"/>
      <w:r w:rsidR="00114953" w:rsidRPr="00565D81">
        <w:t>arī</w:t>
      </w:r>
      <w:proofErr w:type="spellEnd"/>
      <w:r w:rsidR="00114953" w:rsidRPr="00565D81">
        <w:t xml:space="preserve"> </w:t>
      </w:r>
      <w:proofErr w:type="spellStart"/>
      <w:r w:rsidR="00114953" w:rsidRPr="00565D81">
        <w:t>tādas</w:t>
      </w:r>
      <w:proofErr w:type="spellEnd"/>
      <w:r w:rsidR="00114953" w:rsidRPr="00565D81">
        <w:t xml:space="preserve"> </w:t>
      </w:r>
      <w:proofErr w:type="spellStart"/>
      <w:r w:rsidR="00114953" w:rsidRPr="00565D81">
        <w:rPr>
          <w:u w:val="single"/>
        </w:rPr>
        <w:t>pilnvaras</w:t>
      </w:r>
      <w:proofErr w:type="spellEnd"/>
      <w:r w:rsidR="00114953" w:rsidRPr="00565D81">
        <w:t xml:space="preserve"> </w:t>
      </w:r>
      <w:proofErr w:type="spellStart"/>
      <w:r w:rsidR="00114953" w:rsidRPr="00565D81">
        <w:t>saturam</w:t>
      </w:r>
      <w:proofErr w:type="spellEnd"/>
      <w:r w:rsidR="00114953" w:rsidRPr="00565D81">
        <w:t xml:space="preserve"> </w:t>
      </w:r>
      <w:proofErr w:type="spellStart"/>
      <w:r w:rsidR="00114953" w:rsidRPr="00565D81">
        <w:t>un</w:t>
      </w:r>
      <w:proofErr w:type="spellEnd"/>
      <w:r w:rsidR="00114953" w:rsidRPr="00565D81">
        <w:t xml:space="preserve"> </w:t>
      </w:r>
      <w:proofErr w:type="spellStart"/>
      <w:r w:rsidR="00114953" w:rsidRPr="00565D81">
        <w:rPr>
          <w:u w:val="single"/>
        </w:rPr>
        <w:t>formai</w:t>
      </w:r>
      <w:proofErr w:type="spellEnd"/>
      <w:r w:rsidR="00114953" w:rsidRPr="00565D81">
        <w:rPr>
          <w:u w:val="single"/>
        </w:rPr>
        <w:t>,</w:t>
      </w:r>
      <w:r w:rsidR="00114953" w:rsidRPr="00565D81">
        <w:t xml:space="preserve"> </w:t>
      </w:r>
      <w:proofErr w:type="spellStart"/>
      <w:r w:rsidR="00114953" w:rsidRPr="00565D81">
        <w:t>kas</w:t>
      </w:r>
      <w:proofErr w:type="spellEnd"/>
      <w:r w:rsidR="00114953" w:rsidRPr="00565D81">
        <w:t xml:space="preserve"> </w:t>
      </w:r>
      <w:proofErr w:type="spellStart"/>
      <w:r w:rsidR="00114953" w:rsidRPr="00565D81">
        <w:t>izdota</w:t>
      </w:r>
      <w:proofErr w:type="spellEnd"/>
      <w:r w:rsidR="00114953" w:rsidRPr="00565D81">
        <w:t xml:space="preserve"> </w:t>
      </w:r>
      <w:proofErr w:type="spellStart"/>
      <w:r w:rsidR="00114953" w:rsidRPr="00565D81">
        <w:t>visa</w:t>
      </w:r>
      <w:proofErr w:type="spellEnd"/>
      <w:r w:rsidR="00114953" w:rsidRPr="00565D81">
        <w:t xml:space="preserve"> </w:t>
      </w:r>
      <w:proofErr w:type="spellStart"/>
      <w:r w:rsidR="00114953" w:rsidRPr="00565D81">
        <w:t>veida</w:t>
      </w:r>
      <w:proofErr w:type="spellEnd"/>
      <w:r w:rsidR="00114953" w:rsidRPr="00565D81">
        <w:t xml:space="preserve"> </w:t>
      </w:r>
      <w:proofErr w:type="spellStart"/>
      <w:r w:rsidR="00114953" w:rsidRPr="00565D81">
        <w:t>darbībām</w:t>
      </w:r>
      <w:proofErr w:type="spellEnd"/>
      <w:r w:rsidR="00114953" w:rsidRPr="00565D81">
        <w:t xml:space="preserve"> </w:t>
      </w:r>
      <w:proofErr w:type="spellStart"/>
      <w:r w:rsidR="00114953" w:rsidRPr="00565D81">
        <w:t>ar</w:t>
      </w:r>
      <w:proofErr w:type="spellEnd"/>
      <w:r w:rsidR="00114953" w:rsidRPr="00565D81">
        <w:t xml:space="preserve"> </w:t>
      </w:r>
      <w:proofErr w:type="spellStart"/>
      <w:r w:rsidR="00114953" w:rsidRPr="00565D81">
        <w:t>Latvijā</w:t>
      </w:r>
      <w:proofErr w:type="spellEnd"/>
      <w:r w:rsidR="00114953" w:rsidRPr="00565D81">
        <w:t xml:space="preserve"> </w:t>
      </w:r>
      <w:proofErr w:type="spellStart"/>
      <w:r w:rsidR="00114953" w:rsidRPr="00565D81">
        <w:t>esošu</w:t>
      </w:r>
      <w:proofErr w:type="spellEnd"/>
      <w:r w:rsidR="00114953" w:rsidRPr="00565D81">
        <w:t xml:space="preserve"> </w:t>
      </w:r>
      <w:proofErr w:type="spellStart"/>
      <w:r w:rsidR="00114953" w:rsidRPr="00565D81">
        <w:t>nekustamo</w:t>
      </w:r>
      <w:proofErr w:type="spellEnd"/>
      <w:r w:rsidR="00114953" w:rsidRPr="00565D81">
        <w:t xml:space="preserve"> </w:t>
      </w:r>
      <w:proofErr w:type="spellStart"/>
      <w:r w:rsidR="00114953" w:rsidRPr="00565D81">
        <w:t>īpašumu</w:t>
      </w:r>
      <w:proofErr w:type="spellEnd"/>
      <w:r w:rsidR="00114953" w:rsidRPr="00565D81">
        <w:t>.</w:t>
      </w:r>
    </w:p>
    <w:p w14:paraId="62C831A9" w14:textId="4AE00CB0" w:rsidR="00114953" w:rsidRPr="000C7C76" w:rsidRDefault="00114953" w:rsidP="00114953">
      <w:pPr>
        <w:ind w:firstLine="708"/>
        <w:jc w:val="both"/>
        <w:rPr>
          <w:rFonts w:ascii="Times New Roman" w:hAnsi="Times New Roman" w:cs="Arial"/>
          <w:lang w:val="de-DE"/>
        </w:rPr>
      </w:pPr>
      <w:proofErr w:type="spellStart"/>
      <w:r w:rsidRPr="000C7C76">
        <w:rPr>
          <w:rFonts w:asciiTheme="majorBidi" w:hAnsiTheme="majorBidi" w:cstheme="majorBidi"/>
          <w:lang w:val="de-DE"/>
        </w:rPr>
        <w:t>Saskaņā</w:t>
      </w:r>
      <w:proofErr w:type="spellEnd"/>
      <w:r w:rsidRPr="000C7C76">
        <w:rPr>
          <w:rFonts w:asciiTheme="majorBidi" w:hAnsiTheme="majorBidi" w:cstheme="majorBidi"/>
          <w:lang w:val="de-DE"/>
        </w:rPr>
        <w:t xml:space="preserve"> </w:t>
      </w:r>
      <w:proofErr w:type="spellStart"/>
      <w:r w:rsidRPr="000C7C76">
        <w:rPr>
          <w:rFonts w:asciiTheme="majorBidi" w:hAnsiTheme="majorBidi" w:cstheme="majorBidi"/>
          <w:lang w:val="de-DE"/>
        </w:rPr>
        <w:t>ar</w:t>
      </w:r>
      <w:proofErr w:type="spellEnd"/>
      <w:r w:rsidRPr="000C7C76">
        <w:rPr>
          <w:rFonts w:asciiTheme="majorBidi" w:hAnsiTheme="majorBidi" w:cstheme="majorBidi"/>
          <w:lang w:val="de-DE"/>
        </w:rPr>
        <w:t xml:space="preserve"> </w:t>
      </w:r>
      <w:proofErr w:type="spellStart"/>
      <w:r w:rsidRPr="000C7C76">
        <w:rPr>
          <w:rFonts w:asciiTheme="majorBidi" w:hAnsiTheme="majorBidi" w:cstheme="majorBidi"/>
          <w:lang w:val="de-DE"/>
        </w:rPr>
        <w:t>likuma</w:t>
      </w:r>
      <w:proofErr w:type="spellEnd"/>
      <w:r w:rsidRPr="000C7C76">
        <w:rPr>
          <w:rFonts w:asciiTheme="majorBidi" w:hAnsiTheme="majorBidi" w:cstheme="majorBidi"/>
          <w:lang w:val="de-DE"/>
        </w:rPr>
        <w:t xml:space="preserve"> </w:t>
      </w:r>
      <w:r>
        <w:rPr>
          <w:rFonts w:asciiTheme="majorBidi" w:hAnsiTheme="majorBidi" w:cstheme="majorBidi"/>
          <w:lang w:val="de-DE"/>
        </w:rPr>
        <w:t>„</w:t>
      </w:r>
      <w:r w:rsidRPr="000C7C76">
        <w:rPr>
          <w:rFonts w:asciiTheme="majorBidi" w:hAnsiTheme="majorBidi" w:cstheme="majorBidi"/>
          <w:lang w:val="de-DE"/>
        </w:rPr>
        <w:t xml:space="preserve">Par Latvijas </w:t>
      </w:r>
      <w:proofErr w:type="spellStart"/>
      <w:r w:rsidRPr="000C7C76">
        <w:rPr>
          <w:rFonts w:asciiTheme="majorBidi" w:hAnsiTheme="majorBidi" w:cstheme="majorBidi"/>
          <w:lang w:val="de-DE"/>
        </w:rPr>
        <w:t>Republikas</w:t>
      </w:r>
      <w:proofErr w:type="spellEnd"/>
      <w:r w:rsidRPr="000C7C76">
        <w:rPr>
          <w:rFonts w:asciiTheme="majorBidi" w:hAnsiTheme="majorBidi" w:cstheme="majorBidi"/>
          <w:lang w:val="de-DE"/>
        </w:rPr>
        <w:t xml:space="preserve"> </w:t>
      </w:r>
      <w:proofErr w:type="spellStart"/>
      <w:r w:rsidRPr="000C7C76">
        <w:rPr>
          <w:rFonts w:asciiTheme="majorBidi" w:hAnsiTheme="majorBidi" w:cstheme="majorBidi"/>
          <w:lang w:val="de-DE"/>
        </w:rPr>
        <w:t>starptautiskajiem</w:t>
      </w:r>
      <w:proofErr w:type="spellEnd"/>
      <w:r w:rsidRPr="000C7C76">
        <w:rPr>
          <w:rFonts w:asciiTheme="majorBidi" w:hAnsiTheme="majorBidi" w:cstheme="majorBidi"/>
          <w:lang w:val="de-DE"/>
        </w:rPr>
        <w:t xml:space="preserve"> </w:t>
      </w:r>
      <w:proofErr w:type="spellStart"/>
      <w:r w:rsidRPr="000C7C76">
        <w:rPr>
          <w:rFonts w:asciiTheme="majorBidi" w:hAnsiTheme="majorBidi" w:cstheme="majorBidi"/>
          <w:lang w:val="de-DE"/>
        </w:rPr>
        <w:t>līgumiem</w:t>
      </w:r>
      <w:proofErr w:type="spellEnd"/>
      <w:r>
        <w:rPr>
          <w:rFonts w:asciiTheme="majorBidi" w:hAnsiTheme="majorBidi" w:cstheme="majorBidi"/>
          <w:lang w:val="de-DE"/>
        </w:rPr>
        <w:t>“</w:t>
      </w:r>
      <w:r w:rsidRPr="000C7C76">
        <w:rPr>
          <w:rFonts w:asciiTheme="majorBidi" w:hAnsiTheme="majorBidi" w:cstheme="majorBidi"/>
          <w:lang w:val="de-DE"/>
        </w:rPr>
        <w:t xml:space="preserve"> 13.pantu: </w:t>
      </w:r>
      <w:r>
        <w:rPr>
          <w:rFonts w:asciiTheme="majorBidi" w:hAnsiTheme="majorBidi" w:cstheme="majorBidi"/>
          <w:lang w:val="de-DE"/>
        </w:rPr>
        <w:t>„</w:t>
      </w:r>
      <w:r w:rsidRPr="000C7C76">
        <w:rPr>
          <w:rFonts w:ascii="Times New Roman" w:hAnsi="Times New Roman" w:cs="Arial"/>
          <w:i/>
          <w:color w:val="323233"/>
          <w:lang w:val="de-DE"/>
        </w:rPr>
        <w:t xml:space="preserve">Ja </w:t>
      </w:r>
      <w:proofErr w:type="spellStart"/>
      <w:r w:rsidRPr="000C7C76">
        <w:rPr>
          <w:rFonts w:ascii="Times New Roman" w:hAnsi="Times New Roman" w:cs="Arial"/>
          <w:i/>
          <w:color w:val="323233"/>
          <w:lang w:val="de-DE"/>
        </w:rPr>
        <w:t>starptautiskajā</w:t>
      </w:r>
      <w:proofErr w:type="spellEnd"/>
      <w:r w:rsidRPr="000C7C76">
        <w:rPr>
          <w:rFonts w:ascii="Times New Roman" w:hAnsi="Times New Roman" w:cs="Arial"/>
          <w:i/>
          <w:color w:val="323233"/>
          <w:lang w:val="de-DE"/>
        </w:rPr>
        <w:t xml:space="preserve"> </w:t>
      </w:r>
      <w:proofErr w:type="spellStart"/>
      <w:r w:rsidRPr="000C7C76">
        <w:rPr>
          <w:rFonts w:ascii="Times New Roman" w:hAnsi="Times New Roman" w:cs="Arial"/>
          <w:i/>
          <w:color w:val="323233"/>
          <w:lang w:val="de-DE"/>
        </w:rPr>
        <w:t>līgumā</w:t>
      </w:r>
      <w:proofErr w:type="spellEnd"/>
      <w:r w:rsidRPr="000C7C76">
        <w:rPr>
          <w:rFonts w:ascii="Times New Roman" w:hAnsi="Times New Roman" w:cs="Arial"/>
          <w:i/>
          <w:color w:val="323233"/>
          <w:lang w:val="de-DE"/>
        </w:rPr>
        <w:t xml:space="preserve">, </w:t>
      </w:r>
      <w:proofErr w:type="spellStart"/>
      <w:r w:rsidRPr="000C7C76">
        <w:rPr>
          <w:rFonts w:ascii="Times New Roman" w:hAnsi="Times New Roman" w:cs="Arial"/>
          <w:i/>
          <w:color w:val="323233"/>
          <w:lang w:val="de-DE"/>
        </w:rPr>
        <w:t>kuru</w:t>
      </w:r>
      <w:proofErr w:type="spellEnd"/>
      <w:r w:rsidRPr="000C7C76">
        <w:rPr>
          <w:rFonts w:ascii="Times New Roman" w:hAnsi="Times New Roman" w:cs="Arial"/>
          <w:i/>
          <w:color w:val="323233"/>
          <w:lang w:val="de-DE"/>
        </w:rPr>
        <w:t xml:space="preserve"> Saeima </w:t>
      </w:r>
      <w:proofErr w:type="spellStart"/>
      <w:r w:rsidRPr="000C7C76">
        <w:rPr>
          <w:rFonts w:ascii="Times New Roman" w:hAnsi="Times New Roman" w:cs="Arial"/>
          <w:i/>
          <w:color w:val="323233"/>
          <w:lang w:val="de-DE"/>
        </w:rPr>
        <w:t>ir</w:t>
      </w:r>
      <w:proofErr w:type="spellEnd"/>
      <w:r w:rsidRPr="000C7C76">
        <w:rPr>
          <w:rFonts w:ascii="Times New Roman" w:hAnsi="Times New Roman" w:cs="Arial"/>
          <w:i/>
          <w:color w:val="323233"/>
          <w:lang w:val="de-DE"/>
        </w:rPr>
        <w:t xml:space="preserve"> </w:t>
      </w:r>
      <w:proofErr w:type="spellStart"/>
      <w:r w:rsidRPr="000C7C76">
        <w:rPr>
          <w:rFonts w:ascii="Times New Roman" w:hAnsi="Times New Roman" w:cs="Arial"/>
          <w:i/>
          <w:color w:val="323233"/>
          <w:lang w:val="de-DE"/>
        </w:rPr>
        <w:t>apstiprinājusi</w:t>
      </w:r>
      <w:proofErr w:type="spellEnd"/>
      <w:r w:rsidRPr="000C7C76">
        <w:rPr>
          <w:rFonts w:ascii="Times New Roman" w:hAnsi="Times New Roman" w:cs="Arial"/>
          <w:i/>
          <w:color w:val="323233"/>
          <w:lang w:val="de-DE"/>
        </w:rPr>
        <w:t xml:space="preserve">, </w:t>
      </w:r>
      <w:proofErr w:type="spellStart"/>
      <w:r w:rsidRPr="000C7C76">
        <w:rPr>
          <w:rFonts w:ascii="Times New Roman" w:hAnsi="Times New Roman" w:cs="Arial"/>
          <w:i/>
          <w:color w:val="323233"/>
          <w:lang w:val="de-DE"/>
        </w:rPr>
        <w:t>paredzēti</w:t>
      </w:r>
      <w:proofErr w:type="spellEnd"/>
      <w:r w:rsidRPr="000C7C76">
        <w:rPr>
          <w:rFonts w:ascii="Times New Roman" w:hAnsi="Times New Roman" w:cs="Arial"/>
          <w:i/>
          <w:color w:val="323233"/>
          <w:lang w:val="de-DE"/>
        </w:rPr>
        <w:t xml:space="preserve"> </w:t>
      </w:r>
      <w:proofErr w:type="spellStart"/>
      <w:r w:rsidRPr="000C7C76">
        <w:rPr>
          <w:rFonts w:ascii="Times New Roman" w:hAnsi="Times New Roman" w:cs="Arial"/>
          <w:i/>
          <w:color w:val="323233"/>
          <w:lang w:val="de-DE"/>
        </w:rPr>
        <w:t>citādi</w:t>
      </w:r>
      <w:proofErr w:type="spellEnd"/>
      <w:r w:rsidRPr="000C7C76">
        <w:rPr>
          <w:rFonts w:ascii="Times New Roman" w:hAnsi="Times New Roman" w:cs="Arial"/>
          <w:i/>
          <w:color w:val="323233"/>
          <w:lang w:val="de-DE"/>
        </w:rPr>
        <w:t xml:space="preserve"> </w:t>
      </w:r>
      <w:proofErr w:type="spellStart"/>
      <w:r w:rsidRPr="000C7C76">
        <w:rPr>
          <w:rFonts w:ascii="Times New Roman" w:hAnsi="Times New Roman" w:cs="Arial"/>
          <w:i/>
          <w:color w:val="323233"/>
          <w:lang w:val="de-DE"/>
        </w:rPr>
        <w:t>noteikumi</w:t>
      </w:r>
      <w:proofErr w:type="spellEnd"/>
      <w:r w:rsidRPr="000C7C76">
        <w:rPr>
          <w:rFonts w:ascii="Times New Roman" w:hAnsi="Times New Roman" w:cs="Arial"/>
          <w:i/>
          <w:color w:val="323233"/>
          <w:lang w:val="de-DE"/>
        </w:rPr>
        <w:t xml:space="preserve"> </w:t>
      </w:r>
      <w:proofErr w:type="spellStart"/>
      <w:r w:rsidRPr="000C7C76">
        <w:rPr>
          <w:rFonts w:ascii="Times New Roman" w:hAnsi="Times New Roman" w:cs="Arial"/>
          <w:i/>
          <w:color w:val="323233"/>
          <w:lang w:val="de-DE"/>
        </w:rPr>
        <w:t>nekā</w:t>
      </w:r>
      <w:proofErr w:type="spellEnd"/>
      <w:r w:rsidRPr="000C7C76">
        <w:rPr>
          <w:rFonts w:ascii="Times New Roman" w:hAnsi="Times New Roman" w:cs="Arial"/>
          <w:i/>
          <w:color w:val="323233"/>
          <w:lang w:val="de-DE"/>
        </w:rPr>
        <w:t xml:space="preserve"> Latvijas </w:t>
      </w:r>
      <w:proofErr w:type="spellStart"/>
      <w:r w:rsidRPr="000C7C76">
        <w:rPr>
          <w:rFonts w:ascii="Times New Roman" w:hAnsi="Times New Roman" w:cs="Arial"/>
          <w:i/>
          <w:color w:val="323233"/>
          <w:lang w:val="de-DE"/>
        </w:rPr>
        <w:t>Republikas</w:t>
      </w:r>
      <w:proofErr w:type="spellEnd"/>
      <w:r w:rsidRPr="000C7C76">
        <w:rPr>
          <w:rFonts w:ascii="Times New Roman" w:hAnsi="Times New Roman" w:cs="Arial"/>
          <w:i/>
          <w:color w:val="323233"/>
          <w:lang w:val="de-DE"/>
        </w:rPr>
        <w:t xml:space="preserve"> </w:t>
      </w:r>
      <w:proofErr w:type="spellStart"/>
      <w:r w:rsidRPr="000C7C76">
        <w:rPr>
          <w:rFonts w:ascii="Times New Roman" w:hAnsi="Times New Roman" w:cs="Arial"/>
          <w:i/>
          <w:color w:val="323233"/>
          <w:lang w:val="de-DE"/>
        </w:rPr>
        <w:t>likumdošanas</w:t>
      </w:r>
      <w:proofErr w:type="spellEnd"/>
      <w:r w:rsidRPr="000C7C76">
        <w:rPr>
          <w:rFonts w:ascii="Times New Roman" w:hAnsi="Times New Roman" w:cs="Arial"/>
          <w:i/>
          <w:color w:val="323233"/>
          <w:lang w:val="de-DE"/>
        </w:rPr>
        <w:t xml:space="preserve"> </w:t>
      </w:r>
      <w:proofErr w:type="spellStart"/>
      <w:r w:rsidRPr="000C7C76">
        <w:rPr>
          <w:rFonts w:ascii="Times New Roman" w:hAnsi="Times New Roman" w:cs="Arial"/>
          <w:i/>
          <w:color w:val="323233"/>
          <w:lang w:val="de-DE"/>
        </w:rPr>
        <w:t>aktos</w:t>
      </w:r>
      <w:proofErr w:type="spellEnd"/>
      <w:r w:rsidRPr="000C7C76">
        <w:rPr>
          <w:rFonts w:ascii="Times New Roman" w:hAnsi="Times New Roman" w:cs="Arial"/>
          <w:i/>
          <w:color w:val="323233"/>
          <w:lang w:val="de-DE"/>
        </w:rPr>
        <w:t xml:space="preserve">, </w:t>
      </w:r>
      <w:proofErr w:type="spellStart"/>
      <w:r w:rsidRPr="000C7C76">
        <w:rPr>
          <w:rFonts w:ascii="Times New Roman" w:hAnsi="Times New Roman" w:cs="Arial"/>
          <w:i/>
          <w:color w:val="323233"/>
          <w:lang w:val="de-DE"/>
        </w:rPr>
        <w:t>tiek</w:t>
      </w:r>
      <w:proofErr w:type="spellEnd"/>
      <w:r w:rsidRPr="000C7C76">
        <w:rPr>
          <w:rFonts w:ascii="Times New Roman" w:hAnsi="Times New Roman" w:cs="Arial"/>
          <w:i/>
          <w:color w:val="323233"/>
          <w:lang w:val="de-DE"/>
        </w:rPr>
        <w:t xml:space="preserve"> </w:t>
      </w:r>
      <w:proofErr w:type="spellStart"/>
      <w:r w:rsidRPr="000C7C76">
        <w:rPr>
          <w:rFonts w:ascii="Times New Roman" w:hAnsi="Times New Roman" w:cs="Arial"/>
          <w:i/>
          <w:color w:val="323233"/>
          <w:lang w:val="de-DE"/>
        </w:rPr>
        <w:t>piemēroti</w:t>
      </w:r>
      <w:proofErr w:type="spellEnd"/>
      <w:r w:rsidRPr="000C7C76">
        <w:rPr>
          <w:rFonts w:ascii="Times New Roman" w:hAnsi="Times New Roman" w:cs="Arial"/>
          <w:i/>
          <w:color w:val="323233"/>
          <w:lang w:val="de-DE"/>
        </w:rPr>
        <w:t xml:space="preserve"> </w:t>
      </w:r>
      <w:proofErr w:type="spellStart"/>
      <w:r w:rsidRPr="000C7C76">
        <w:rPr>
          <w:rFonts w:ascii="Times New Roman" w:hAnsi="Times New Roman" w:cs="Arial"/>
          <w:i/>
          <w:color w:val="323233"/>
          <w:lang w:val="de-DE"/>
        </w:rPr>
        <w:t>starptautiskā</w:t>
      </w:r>
      <w:proofErr w:type="spellEnd"/>
      <w:r w:rsidRPr="000C7C76">
        <w:rPr>
          <w:rFonts w:ascii="Times New Roman" w:hAnsi="Times New Roman" w:cs="Arial"/>
          <w:i/>
          <w:color w:val="323233"/>
          <w:lang w:val="de-DE"/>
        </w:rPr>
        <w:t xml:space="preserve"> </w:t>
      </w:r>
      <w:proofErr w:type="spellStart"/>
      <w:r w:rsidRPr="000C7C76">
        <w:rPr>
          <w:rFonts w:ascii="Times New Roman" w:hAnsi="Times New Roman" w:cs="Arial"/>
          <w:i/>
          <w:color w:val="323233"/>
          <w:lang w:val="de-DE"/>
        </w:rPr>
        <w:t>līguma</w:t>
      </w:r>
      <w:proofErr w:type="spellEnd"/>
      <w:r w:rsidRPr="000C7C76">
        <w:rPr>
          <w:rFonts w:ascii="Times New Roman" w:hAnsi="Times New Roman" w:cs="Arial"/>
          <w:i/>
          <w:color w:val="323233"/>
          <w:lang w:val="de-DE"/>
        </w:rPr>
        <w:t xml:space="preserve"> </w:t>
      </w:r>
      <w:proofErr w:type="spellStart"/>
      <w:r w:rsidRPr="000C7C76">
        <w:rPr>
          <w:rFonts w:ascii="Times New Roman" w:hAnsi="Times New Roman" w:cs="Arial"/>
          <w:i/>
          <w:color w:val="323233"/>
          <w:lang w:val="de-DE"/>
        </w:rPr>
        <w:t>noteikumi</w:t>
      </w:r>
      <w:proofErr w:type="spellEnd"/>
      <w:r>
        <w:rPr>
          <w:rFonts w:ascii="Times New Roman" w:hAnsi="Times New Roman" w:cs="Arial"/>
          <w:i/>
          <w:color w:val="323233"/>
          <w:lang w:val="de-DE"/>
        </w:rPr>
        <w:t>“</w:t>
      </w:r>
      <w:r w:rsidRPr="000C7C76">
        <w:rPr>
          <w:rFonts w:ascii="Times New Roman" w:hAnsi="Times New Roman" w:cs="Arial"/>
          <w:color w:val="323233"/>
          <w:lang w:val="de-DE"/>
        </w:rPr>
        <w:t xml:space="preserve">. </w:t>
      </w:r>
      <w:proofErr w:type="spellStart"/>
      <w:r w:rsidRPr="000C7C76">
        <w:rPr>
          <w:rFonts w:ascii="Times New Roman" w:hAnsi="Times New Roman" w:cs="Arial"/>
          <w:color w:val="323233"/>
          <w:lang w:val="de-DE"/>
        </w:rPr>
        <w:t>Kā</w:t>
      </w:r>
      <w:proofErr w:type="spellEnd"/>
      <w:r w:rsidRPr="000C7C76">
        <w:rPr>
          <w:rFonts w:ascii="Times New Roman" w:hAnsi="Times New Roman" w:cs="Arial"/>
          <w:color w:val="323233"/>
          <w:lang w:val="de-DE"/>
        </w:rPr>
        <w:t xml:space="preserve"> </w:t>
      </w:r>
      <w:proofErr w:type="spellStart"/>
      <w:r w:rsidRPr="000C7C76">
        <w:rPr>
          <w:rFonts w:ascii="Times New Roman" w:hAnsi="Times New Roman" w:cs="Arial"/>
          <w:color w:val="323233"/>
          <w:lang w:val="de-DE"/>
        </w:rPr>
        <w:lastRenderedPageBreak/>
        <w:t>jau</w:t>
      </w:r>
      <w:proofErr w:type="spellEnd"/>
      <w:r w:rsidRPr="000C7C76">
        <w:rPr>
          <w:rFonts w:ascii="Times New Roman" w:hAnsi="Times New Roman" w:cs="Arial"/>
          <w:color w:val="323233"/>
          <w:lang w:val="de-DE"/>
        </w:rPr>
        <w:t xml:space="preserve"> </w:t>
      </w:r>
      <w:proofErr w:type="spellStart"/>
      <w:r w:rsidRPr="000C7C76">
        <w:rPr>
          <w:rFonts w:ascii="Times New Roman" w:hAnsi="Times New Roman" w:cs="Arial"/>
          <w:color w:val="323233"/>
          <w:lang w:val="de-DE"/>
        </w:rPr>
        <w:t>iepriekš</w:t>
      </w:r>
      <w:proofErr w:type="spellEnd"/>
      <w:r w:rsidRPr="000C7C76">
        <w:rPr>
          <w:rFonts w:ascii="Times New Roman" w:hAnsi="Times New Roman" w:cs="Arial"/>
          <w:color w:val="323233"/>
          <w:lang w:val="de-DE"/>
        </w:rPr>
        <w:t xml:space="preserve"> </w:t>
      </w:r>
      <w:proofErr w:type="spellStart"/>
      <w:r w:rsidRPr="000C7C76">
        <w:rPr>
          <w:rFonts w:ascii="Times New Roman" w:hAnsi="Times New Roman" w:cs="Arial"/>
          <w:color w:val="323233"/>
          <w:lang w:val="de-DE"/>
        </w:rPr>
        <w:t>tika</w:t>
      </w:r>
      <w:proofErr w:type="spellEnd"/>
      <w:r w:rsidRPr="000C7C76">
        <w:rPr>
          <w:rFonts w:ascii="Times New Roman" w:hAnsi="Times New Roman" w:cs="Arial"/>
          <w:color w:val="323233"/>
          <w:lang w:val="de-DE"/>
        </w:rPr>
        <w:t xml:space="preserve"> </w:t>
      </w:r>
      <w:proofErr w:type="spellStart"/>
      <w:r w:rsidRPr="000C7C76">
        <w:rPr>
          <w:rFonts w:ascii="Times New Roman" w:hAnsi="Times New Roman" w:cs="Arial"/>
          <w:color w:val="323233"/>
          <w:lang w:val="de-DE"/>
        </w:rPr>
        <w:t>minēts</w:t>
      </w:r>
      <w:proofErr w:type="spellEnd"/>
      <w:r w:rsidRPr="000C7C76">
        <w:rPr>
          <w:rFonts w:ascii="Times New Roman" w:hAnsi="Times New Roman" w:cs="Arial"/>
          <w:color w:val="323233"/>
          <w:lang w:val="de-DE"/>
        </w:rPr>
        <w:t xml:space="preserve">, Roma I Regula </w:t>
      </w:r>
      <w:proofErr w:type="spellStart"/>
      <w:r w:rsidRPr="000C7C76">
        <w:rPr>
          <w:rFonts w:ascii="Times New Roman" w:hAnsi="Times New Roman" w:cs="Arial"/>
          <w:color w:val="323233"/>
          <w:lang w:val="de-DE"/>
        </w:rPr>
        <w:t>nav</w:t>
      </w:r>
      <w:proofErr w:type="spellEnd"/>
      <w:r w:rsidRPr="000C7C76">
        <w:rPr>
          <w:rFonts w:ascii="Times New Roman" w:hAnsi="Times New Roman" w:cs="Arial"/>
          <w:color w:val="323233"/>
          <w:lang w:val="de-DE"/>
        </w:rPr>
        <w:t xml:space="preserve"> </w:t>
      </w:r>
      <w:proofErr w:type="spellStart"/>
      <w:r w:rsidRPr="000C7C76">
        <w:rPr>
          <w:rFonts w:ascii="Times New Roman" w:hAnsi="Times New Roman" w:cs="Arial"/>
          <w:color w:val="323233"/>
          <w:lang w:val="de-DE"/>
        </w:rPr>
        <w:t>piemērojama</w:t>
      </w:r>
      <w:proofErr w:type="spellEnd"/>
      <w:r w:rsidRPr="000C7C76">
        <w:rPr>
          <w:rFonts w:ascii="Times New Roman" w:hAnsi="Times New Roman" w:cs="Arial"/>
          <w:color w:val="323233"/>
          <w:lang w:val="de-DE"/>
        </w:rPr>
        <w:t xml:space="preserve"> </w:t>
      </w:r>
      <w:proofErr w:type="spellStart"/>
      <w:r w:rsidRPr="000C7C76">
        <w:rPr>
          <w:rFonts w:ascii="Times New Roman" w:hAnsi="Times New Roman" w:cs="Arial"/>
          <w:color w:val="323233"/>
          <w:lang w:val="de-DE"/>
        </w:rPr>
        <w:t>pilnvarām</w:t>
      </w:r>
      <w:proofErr w:type="spellEnd"/>
      <w:r w:rsidRPr="000C7C76">
        <w:rPr>
          <w:rFonts w:ascii="Times New Roman" w:hAnsi="Times New Roman" w:cs="Arial"/>
          <w:color w:val="323233"/>
          <w:lang w:val="de-DE"/>
        </w:rPr>
        <w:t xml:space="preserve"> (t.sk. </w:t>
      </w:r>
      <w:proofErr w:type="spellStart"/>
      <w:r w:rsidRPr="000C7C76">
        <w:rPr>
          <w:rFonts w:ascii="Times New Roman" w:hAnsi="Times New Roman" w:cs="Arial"/>
          <w:lang w:val="de-DE"/>
        </w:rPr>
        <w:t>arī</w:t>
      </w:r>
      <w:proofErr w:type="spellEnd"/>
      <w:r w:rsidRPr="000C7C76">
        <w:rPr>
          <w:rFonts w:ascii="Times New Roman" w:hAnsi="Times New Roman" w:cs="Arial"/>
          <w:lang w:val="de-DE"/>
        </w:rPr>
        <w:t xml:space="preserve"> </w:t>
      </w:r>
      <w:proofErr w:type="spellStart"/>
      <w:r w:rsidRPr="000C7C76">
        <w:rPr>
          <w:rFonts w:ascii="Times New Roman" w:hAnsi="Times New Roman" w:cs="Arial"/>
          <w:lang w:val="de-DE"/>
        </w:rPr>
        <w:t>pilnvaras</w:t>
      </w:r>
      <w:proofErr w:type="spellEnd"/>
      <w:r w:rsidRPr="000C7C76">
        <w:rPr>
          <w:rFonts w:ascii="Times New Roman" w:hAnsi="Times New Roman" w:cs="Arial"/>
          <w:lang w:val="de-DE"/>
        </w:rPr>
        <w:t xml:space="preserve"> </w:t>
      </w:r>
      <w:proofErr w:type="spellStart"/>
      <w:r w:rsidRPr="000C7C76">
        <w:rPr>
          <w:rFonts w:ascii="Times New Roman" w:hAnsi="Times New Roman" w:cs="Arial"/>
          <w:lang w:val="de-DE"/>
        </w:rPr>
        <w:t>formai</w:t>
      </w:r>
      <w:proofErr w:type="spellEnd"/>
      <w:r w:rsidRPr="000C7C76">
        <w:rPr>
          <w:rFonts w:ascii="Times New Roman" w:hAnsi="Times New Roman" w:cs="Arial"/>
          <w:lang w:val="de-DE"/>
        </w:rPr>
        <w:t xml:space="preserve">), </w:t>
      </w:r>
      <w:proofErr w:type="spellStart"/>
      <w:r w:rsidRPr="000C7C76">
        <w:rPr>
          <w:rFonts w:ascii="Times New Roman" w:hAnsi="Times New Roman" w:cs="Arial"/>
          <w:lang w:val="de-DE"/>
        </w:rPr>
        <w:t>tādēļ</w:t>
      </w:r>
      <w:proofErr w:type="spellEnd"/>
      <w:r w:rsidRPr="000C7C76">
        <w:rPr>
          <w:rFonts w:ascii="Times New Roman" w:hAnsi="Times New Roman" w:cs="Arial"/>
          <w:lang w:val="de-DE"/>
        </w:rPr>
        <w:t xml:space="preserve"> Latvijas </w:t>
      </w:r>
      <w:proofErr w:type="spellStart"/>
      <w:r w:rsidRPr="000C7C76">
        <w:rPr>
          <w:rFonts w:ascii="Times New Roman" w:hAnsi="Times New Roman" w:cs="Arial"/>
          <w:lang w:val="de-DE"/>
        </w:rPr>
        <w:t>attiecībās</w:t>
      </w:r>
      <w:proofErr w:type="spellEnd"/>
      <w:r w:rsidRPr="000C7C76">
        <w:rPr>
          <w:rFonts w:ascii="Times New Roman" w:hAnsi="Times New Roman" w:cs="Arial"/>
          <w:lang w:val="de-DE"/>
        </w:rPr>
        <w:t xml:space="preserve"> </w:t>
      </w:r>
      <w:proofErr w:type="spellStart"/>
      <w:r w:rsidRPr="000C7C76">
        <w:rPr>
          <w:rFonts w:ascii="Times New Roman" w:hAnsi="Times New Roman" w:cs="Arial"/>
          <w:lang w:val="de-DE"/>
        </w:rPr>
        <w:t>ar</w:t>
      </w:r>
      <w:proofErr w:type="spellEnd"/>
      <w:r w:rsidRPr="000C7C76">
        <w:rPr>
          <w:rFonts w:ascii="Times New Roman" w:hAnsi="Times New Roman" w:cs="Arial"/>
          <w:lang w:val="de-DE"/>
        </w:rPr>
        <w:t xml:space="preserve"> </w:t>
      </w:r>
      <w:proofErr w:type="spellStart"/>
      <w:r w:rsidRPr="000C7C76">
        <w:rPr>
          <w:rFonts w:ascii="Times New Roman" w:hAnsi="Times New Roman" w:cs="Arial"/>
          <w:lang w:val="de-DE"/>
        </w:rPr>
        <w:t>valstīm</w:t>
      </w:r>
      <w:proofErr w:type="spellEnd"/>
      <w:r w:rsidRPr="000C7C76">
        <w:rPr>
          <w:rFonts w:ascii="Times New Roman" w:hAnsi="Times New Roman" w:cs="Arial"/>
          <w:lang w:val="de-DE"/>
        </w:rPr>
        <w:t xml:space="preserve">, </w:t>
      </w:r>
      <w:proofErr w:type="spellStart"/>
      <w:r w:rsidRPr="000C7C76">
        <w:rPr>
          <w:rFonts w:ascii="Times New Roman" w:hAnsi="Times New Roman" w:cs="Arial"/>
          <w:lang w:val="de-DE"/>
        </w:rPr>
        <w:t>ar</w:t>
      </w:r>
      <w:proofErr w:type="spellEnd"/>
      <w:r w:rsidRPr="000C7C76">
        <w:rPr>
          <w:rFonts w:ascii="Times New Roman" w:hAnsi="Times New Roman" w:cs="Arial"/>
          <w:lang w:val="de-DE"/>
        </w:rPr>
        <w:t xml:space="preserve"> </w:t>
      </w:r>
      <w:proofErr w:type="spellStart"/>
      <w:r w:rsidRPr="000C7C76">
        <w:rPr>
          <w:rFonts w:ascii="Times New Roman" w:hAnsi="Times New Roman" w:cs="Arial"/>
          <w:lang w:val="de-DE"/>
        </w:rPr>
        <w:t>kurām</w:t>
      </w:r>
      <w:proofErr w:type="spellEnd"/>
      <w:r w:rsidRPr="000C7C76">
        <w:rPr>
          <w:rFonts w:ascii="Times New Roman" w:hAnsi="Times New Roman" w:cs="Arial"/>
          <w:lang w:val="de-DE"/>
        </w:rPr>
        <w:t xml:space="preserve"> </w:t>
      </w:r>
      <w:proofErr w:type="spellStart"/>
      <w:r w:rsidRPr="000C7C76">
        <w:rPr>
          <w:rFonts w:ascii="Times New Roman" w:hAnsi="Times New Roman" w:cs="Arial"/>
          <w:lang w:val="de-DE"/>
        </w:rPr>
        <w:t>ir</w:t>
      </w:r>
      <w:proofErr w:type="spellEnd"/>
      <w:r w:rsidRPr="000C7C76">
        <w:rPr>
          <w:rFonts w:ascii="Times New Roman" w:hAnsi="Times New Roman" w:cs="Arial"/>
          <w:lang w:val="de-DE"/>
        </w:rPr>
        <w:t xml:space="preserve"> </w:t>
      </w:r>
      <w:proofErr w:type="spellStart"/>
      <w:r w:rsidRPr="000C7C76">
        <w:rPr>
          <w:rFonts w:ascii="Times New Roman" w:hAnsi="Times New Roman" w:cs="Arial"/>
          <w:lang w:val="de-DE"/>
        </w:rPr>
        <w:t>noslēgti</w:t>
      </w:r>
      <w:proofErr w:type="spellEnd"/>
      <w:r w:rsidRPr="000C7C76">
        <w:rPr>
          <w:rFonts w:ascii="Times New Roman" w:hAnsi="Times New Roman" w:cs="Arial"/>
          <w:lang w:val="de-DE"/>
        </w:rPr>
        <w:t xml:space="preserve"> </w:t>
      </w:r>
      <w:proofErr w:type="spellStart"/>
      <w:r w:rsidRPr="000C7C76">
        <w:rPr>
          <w:rFonts w:ascii="Times New Roman" w:hAnsi="Times New Roman" w:cs="Arial"/>
          <w:b/>
          <w:lang w:val="de-DE"/>
        </w:rPr>
        <w:t>tiesiskās</w:t>
      </w:r>
      <w:proofErr w:type="spellEnd"/>
      <w:r w:rsidRPr="000C7C76">
        <w:rPr>
          <w:rFonts w:ascii="Times New Roman" w:hAnsi="Times New Roman" w:cs="Arial"/>
          <w:b/>
          <w:lang w:val="de-DE"/>
        </w:rPr>
        <w:t xml:space="preserve"> </w:t>
      </w:r>
      <w:proofErr w:type="spellStart"/>
      <w:r w:rsidRPr="000C7C76">
        <w:rPr>
          <w:rFonts w:ascii="Times New Roman" w:hAnsi="Times New Roman" w:cs="Arial"/>
          <w:b/>
          <w:lang w:val="de-DE"/>
        </w:rPr>
        <w:t>palīdzības</w:t>
      </w:r>
      <w:proofErr w:type="spellEnd"/>
      <w:r w:rsidRPr="000C7C76">
        <w:rPr>
          <w:rFonts w:ascii="Times New Roman" w:hAnsi="Times New Roman" w:cs="Arial"/>
          <w:b/>
          <w:lang w:val="de-DE"/>
        </w:rPr>
        <w:t xml:space="preserve"> </w:t>
      </w:r>
      <w:proofErr w:type="spellStart"/>
      <w:r w:rsidRPr="000C7C76">
        <w:rPr>
          <w:rFonts w:ascii="Times New Roman" w:hAnsi="Times New Roman" w:cs="Arial"/>
          <w:b/>
          <w:lang w:val="de-DE"/>
        </w:rPr>
        <w:t>līgumi</w:t>
      </w:r>
      <w:proofErr w:type="spellEnd"/>
      <w:r w:rsidRPr="000C7C76">
        <w:rPr>
          <w:rFonts w:ascii="Times New Roman" w:hAnsi="Times New Roman" w:cs="Arial"/>
          <w:lang w:val="de-DE"/>
        </w:rPr>
        <w:t xml:space="preserve">, </w:t>
      </w:r>
      <w:proofErr w:type="spellStart"/>
      <w:r w:rsidRPr="000C7C76">
        <w:rPr>
          <w:rFonts w:ascii="Times New Roman" w:hAnsi="Times New Roman" w:cs="Arial"/>
          <w:lang w:val="de-DE"/>
        </w:rPr>
        <w:t>pilnvaras</w:t>
      </w:r>
      <w:proofErr w:type="spellEnd"/>
      <w:r w:rsidRPr="000C7C76">
        <w:rPr>
          <w:rFonts w:ascii="Times New Roman" w:hAnsi="Times New Roman" w:cs="Arial"/>
          <w:lang w:val="de-DE"/>
        </w:rPr>
        <w:t xml:space="preserve"> </w:t>
      </w:r>
      <w:proofErr w:type="spellStart"/>
      <w:r w:rsidRPr="000C7C76">
        <w:rPr>
          <w:rFonts w:ascii="Times New Roman" w:hAnsi="Times New Roman" w:cs="Arial"/>
          <w:lang w:val="de-DE"/>
        </w:rPr>
        <w:t>formai</w:t>
      </w:r>
      <w:proofErr w:type="spellEnd"/>
      <w:r w:rsidRPr="000C7C76">
        <w:rPr>
          <w:rFonts w:ascii="Times New Roman" w:hAnsi="Times New Roman" w:cs="Arial"/>
          <w:lang w:val="de-DE"/>
        </w:rPr>
        <w:t xml:space="preserve"> </w:t>
      </w:r>
      <w:proofErr w:type="spellStart"/>
      <w:r w:rsidRPr="000C7C76">
        <w:rPr>
          <w:rFonts w:ascii="Times New Roman" w:hAnsi="Times New Roman" w:cs="Arial"/>
          <w:lang w:val="de-DE"/>
        </w:rPr>
        <w:t>būs</w:t>
      </w:r>
      <w:proofErr w:type="spellEnd"/>
      <w:r w:rsidRPr="000C7C76">
        <w:rPr>
          <w:rFonts w:ascii="Times New Roman" w:hAnsi="Times New Roman" w:cs="Arial"/>
          <w:lang w:val="de-DE"/>
        </w:rPr>
        <w:t xml:space="preserve"> </w:t>
      </w:r>
      <w:proofErr w:type="spellStart"/>
      <w:r w:rsidRPr="000C7C76">
        <w:rPr>
          <w:rFonts w:ascii="Times New Roman" w:hAnsi="Times New Roman" w:cs="Arial"/>
          <w:lang w:val="de-DE"/>
        </w:rPr>
        <w:t>piemērojams</w:t>
      </w:r>
      <w:proofErr w:type="spellEnd"/>
      <w:r w:rsidRPr="000C7C76">
        <w:rPr>
          <w:rFonts w:ascii="Times New Roman" w:hAnsi="Times New Roman" w:cs="Arial"/>
          <w:lang w:val="de-DE"/>
        </w:rPr>
        <w:t xml:space="preserve"> </w:t>
      </w:r>
      <w:proofErr w:type="spellStart"/>
      <w:r w:rsidRPr="000C7C76">
        <w:rPr>
          <w:rFonts w:ascii="Times New Roman" w:hAnsi="Times New Roman" w:cs="Arial"/>
          <w:lang w:val="de-DE"/>
        </w:rPr>
        <w:t>nevis</w:t>
      </w:r>
      <w:proofErr w:type="spellEnd"/>
      <w:r w:rsidRPr="000C7C76">
        <w:rPr>
          <w:rFonts w:ascii="Times New Roman" w:hAnsi="Times New Roman" w:cs="Arial"/>
          <w:lang w:val="de-DE"/>
        </w:rPr>
        <w:t xml:space="preserve"> CL </w:t>
      </w:r>
      <w:proofErr w:type="spellStart"/>
      <w:r w:rsidR="00B72FCB" w:rsidRPr="000C7C76">
        <w:rPr>
          <w:rFonts w:ascii="Times New Roman" w:hAnsi="Times New Roman" w:cs="Arial"/>
          <w:lang w:val="de-DE"/>
        </w:rPr>
        <w:t>Ievada</w:t>
      </w:r>
      <w:proofErr w:type="spellEnd"/>
      <w:r w:rsidR="00B72FCB" w:rsidRPr="000C7C76">
        <w:rPr>
          <w:rFonts w:ascii="Times New Roman" w:hAnsi="Times New Roman" w:cs="Arial"/>
          <w:lang w:val="de-DE"/>
        </w:rPr>
        <w:t xml:space="preserve"> </w:t>
      </w:r>
      <w:r w:rsidRPr="000C7C76">
        <w:rPr>
          <w:rFonts w:ascii="Times New Roman" w:hAnsi="Times New Roman" w:cs="Arial"/>
          <w:lang w:val="de-DE"/>
        </w:rPr>
        <w:t xml:space="preserve">21.pants, </w:t>
      </w:r>
      <w:proofErr w:type="spellStart"/>
      <w:r w:rsidRPr="000C7C76">
        <w:rPr>
          <w:rFonts w:ascii="Times New Roman" w:hAnsi="Times New Roman" w:cs="Arial"/>
          <w:lang w:val="de-DE"/>
        </w:rPr>
        <w:t>bet</w:t>
      </w:r>
      <w:proofErr w:type="spellEnd"/>
      <w:r w:rsidRPr="000C7C76">
        <w:rPr>
          <w:rFonts w:ascii="Times New Roman" w:hAnsi="Times New Roman" w:cs="Arial"/>
          <w:lang w:val="de-DE"/>
        </w:rPr>
        <w:t xml:space="preserve"> </w:t>
      </w:r>
      <w:proofErr w:type="spellStart"/>
      <w:r w:rsidRPr="000C7C76">
        <w:rPr>
          <w:rFonts w:ascii="Times New Roman" w:hAnsi="Times New Roman" w:cs="Arial"/>
          <w:lang w:val="de-DE"/>
        </w:rPr>
        <w:t>gan</w:t>
      </w:r>
      <w:proofErr w:type="spellEnd"/>
      <w:r w:rsidRPr="000C7C76">
        <w:rPr>
          <w:rFonts w:ascii="Times New Roman" w:hAnsi="Times New Roman" w:cs="Arial"/>
          <w:lang w:val="de-DE"/>
        </w:rPr>
        <w:t xml:space="preserve"> </w:t>
      </w:r>
      <w:proofErr w:type="spellStart"/>
      <w:r w:rsidRPr="000C7C76">
        <w:rPr>
          <w:rFonts w:ascii="Times New Roman" w:hAnsi="Times New Roman" w:cs="Arial"/>
          <w:lang w:val="de-DE"/>
        </w:rPr>
        <w:t>attiecīgā</w:t>
      </w:r>
      <w:proofErr w:type="spellEnd"/>
      <w:r w:rsidRPr="000C7C76">
        <w:rPr>
          <w:rFonts w:ascii="Times New Roman" w:hAnsi="Times New Roman" w:cs="Arial"/>
          <w:lang w:val="de-DE"/>
        </w:rPr>
        <w:t xml:space="preserve"> </w:t>
      </w:r>
      <w:proofErr w:type="spellStart"/>
      <w:r w:rsidRPr="000C7C76">
        <w:rPr>
          <w:rFonts w:ascii="Times New Roman" w:hAnsi="Times New Roman" w:cs="Arial"/>
          <w:lang w:val="de-DE"/>
        </w:rPr>
        <w:t>starptautiskā</w:t>
      </w:r>
      <w:proofErr w:type="spellEnd"/>
      <w:r w:rsidRPr="000C7C76">
        <w:rPr>
          <w:rFonts w:ascii="Times New Roman" w:hAnsi="Times New Roman" w:cs="Arial"/>
          <w:lang w:val="de-DE"/>
        </w:rPr>
        <w:t xml:space="preserve"> </w:t>
      </w:r>
      <w:proofErr w:type="spellStart"/>
      <w:r w:rsidRPr="000C7C76">
        <w:rPr>
          <w:rFonts w:ascii="Times New Roman" w:hAnsi="Times New Roman" w:cs="Arial"/>
          <w:lang w:val="de-DE"/>
        </w:rPr>
        <w:t>līguma</w:t>
      </w:r>
      <w:proofErr w:type="spellEnd"/>
      <w:r w:rsidRPr="000C7C76">
        <w:rPr>
          <w:rFonts w:ascii="Times New Roman" w:hAnsi="Times New Roman" w:cs="Arial"/>
          <w:lang w:val="de-DE"/>
        </w:rPr>
        <w:t xml:space="preserve"> </w:t>
      </w:r>
      <w:proofErr w:type="spellStart"/>
      <w:r w:rsidRPr="000C7C76">
        <w:rPr>
          <w:rFonts w:ascii="Times New Roman" w:hAnsi="Times New Roman" w:cs="Arial"/>
          <w:lang w:val="de-DE"/>
        </w:rPr>
        <w:t>norma</w:t>
      </w:r>
      <w:proofErr w:type="spellEnd"/>
      <w:r w:rsidRPr="000C7C76">
        <w:rPr>
          <w:rFonts w:ascii="Times New Roman" w:hAnsi="Times New Roman" w:cs="Arial"/>
          <w:lang w:val="de-DE"/>
        </w:rPr>
        <w:t>:</w:t>
      </w:r>
    </w:p>
    <w:p w14:paraId="352601A7" w14:textId="77777777" w:rsidR="00114953" w:rsidRPr="000C7C76" w:rsidRDefault="00114953" w:rsidP="00114953">
      <w:pPr>
        <w:jc w:val="both"/>
        <w:rPr>
          <w:rFonts w:ascii="Times New Roman" w:hAnsi="Times New Roman" w:cs="Arial"/>
          <w:lang w:val="de-DE"/>
        </w:rPr>
      </w:pPr>
    </w:p>
    <w:p w14:paraId="0E1A34AB" w14:textId="77777777" w:rsidR="00114953" w:rsidRPr="000C7C76" w:rsidRDefault="00114953" w:rsidP="00114953">
      <w:pPr>
        <w:ind w:firstLine="708"/>
        <w:jc w:val="both"/>
        <w:rPr>
          <w:rFonts w:ascii="Times New Roman" w:hAnsi="Times New Roman" w:cs="Arial"/>
          <w:color w:val="323233"/>
          <w:lang w:val="de-DE"/>
        </w:rPr>
      </w:pPr>
    </w:p>
    <w:p w14:paraId="1E634529" w14:textId="77777777" w:rsidR="00114953" w:rsidRPr="000C7C76" w:rsidRDefault="00114953" w:rsidP="00114953">
      <w:pPr>
        <w:ind w:firstLine="708"/>
        <w:jc w:val="center"/>
        <w:rPr>
          <w:rFonts w:ascii="Times New Roman" w:hAnsi="Times New Roman" w:cs="Arial"/>
          <w:b/>
          <w:color w:val="323233"/>
          <w:lang w:val="de-DE"/>
        </w:rPr>
      </w:pPr>
      <w:proofErr w:type="spellStart"/>
      <w:r w:rsidRPr="000C7C76">
        <w:rPr>
          <w:rFonts w:ascii="Times New Roman" w:hAnsi="Times New Roman" w:cs="Arial"/>
          <w:b/>
          <w:color w:val="323233"/>
          <w:lang w:val="de-DE"/>
        </w:rPr>
        <w:t>Darījuma</w:t>
      </w:r>
      <w:proofErr w:type="spellEnd"/>
      <w:r w:rsidRPr="000C7C76">
        <w:rPr>
          <w:rFonts w:ascii="Times New Roman" w:hAnsi="Times New Roman" w:cs="Arial"/>
          <w:b/>
          <w:color w:val="323233"/>
          <w:lang w:val="de-DE"/>
        </w:rPr>
        <w:t xml:space="preserve"> forma Latvijas </w:t>
      </w:r>
      <w:proofErr w:type="spellStart"/>
      <w:r w:rsidRPr="000C7C76">
        <w:rPr>
          <w:rFonts w:ascii="Times New Roman" w:hAnsi="Times New Roman" w:cs="Arial"/>
          <w:b/>
          <w:color w:val="323233"/>
          <w:lang w:val="de-DE"/>
        </w:rPr>
        <w:t>tiesiskās</w:t>
      </w:r>
      <w:proofErr w:type="spellEnd"/>
      <w:r w:rsidRPr="000C7C76">
        <w:rPr>
          <w:rFonts w:ascii="Times New Roman" w:hAnsi="Times New Roman" w:cs="Arial"/>
          <w:b/>
          <w:color w:val="323233"/>
          <w:lang w:val="de-DE"/>
        </w:rPr>
        <w:t xml:space="preserve"> </w:t>
      </w:r>
      <w:proofErr w:type="spellStart"/>
      <w:r w:rsidRPr="000C7C76">
        <w:rPr>
          <w:rFonts w:ascii="Times New Roman" w:hAnsi="Times New Roman" w:cs="Arial"/>
          <w:b/>
          <w:color w:val="323233"/>
          <w:lang w:val="de-DE"/>
        </w:rPr>
        <w:t>palīdzības</w:t>
      </w:r>
      <w:proofErr w:type="spellEnd"/>
      <w:r w:rsidRPr="000C7C76">
        <w:rPr>
          <w:rFonts w:ascii="Times New Roman" w:hAnsi="Times New Roman" w:cs="Arial"/>
          <w:b/>
          <w:color w:val="323233"/>
          <w:lang w:val="de-DE"/>
        </w:rPr>
        <w:t xml:space="preserve"> </w:t>
      </w:r>
      <w:proofErr w:type="spellStart"/>
      <w:r w:rsidRPr="000C7C76">
        <w:rPr>
          <w:rFonts w:ascii="Times New Roman" w:hAnsi="Times New Roman" w:cs="Arial"/>
          <w:b/>
          <w:color w:val="323233"/>
          <w:lang w:val="de-DE"/>
        </w:rPr>
        <w:t>līgumos</w:t>
      </w:r>
      <w:proofErr w:type="spellEnd"/>
    </w:p>
    <w:p w14:paraId="616102D8" w14:textId="77777777" w:rsidR="00114953" w:rsidRPr="000C7C76" w:rsidRDefault="00114953" w:rsidP="00114953">
      <w:pPr>
        <w:ind w:firstLine="708"/>
        <w:jc w:val="both"/>
        <w:rPr>
          <w:rFonts w:ascii="Times New Roman" w:hAnsi="Times New Roman" w:cs="Arial"/>
          <w:color w:val="323233"/>
          <w:lang w:val="de-DE"/>
        </w:rPr>
      </w:pPr>
    </w:p>
    <w:p w14:paraId="61B70736" w14:textId="77777777" w:rsidR="00114953" w:rsidRPr="00F234F1" w:rsidRDefault="00114953" w:rsidP="00114953">
      <w:pPr>
        <w:jc w:val="both"/>
        <w:rPr>
          <w:rFonts w:ascii="Times New Roman" w:hAnsi="Times New Roman" w:cs="Arial"/>
          <w:i/>
          <w:color w:val="323233"/>
        </w:rPr>
      </w:pPr>
      <w:r>
        <w:rPr>
          <w:rFonts w:ascii="Times New Roman" w:hAnsi="Times New Roman" w:cs="Arial"/>
          <w:i/>
          <w:color w:val="323233"/>
        </w:rPr>
        <w:t>Tabula Nr.3</w:t>
      </w:r>
    </w:p>
    <w:tbl>
      <w:tblPr>
        <w:tblStyle w:val="TableGrid"/>
        <w:tblW w:w="0" w:type="auto"/>
        <w:tblLook w:val="04A0" w:firstRow="1" w:lastRow="0" w:firstColumn="1" w:lastColumn="0" w:noHBand="0" w:noVBand="1"/>
      </w:tblPr>
      <w:tblGrid>
        <w:gridCol w:w="822"/>
        <w:gridCol w:w="3872"/>
        <w:gridCol w:w="2270"/>
        <w:gridCol w:w="2281"/>
        <w:gridCol w:w="37"/>
      </w:tblGrid>
      <w:tr w:rsidR="00114953" w14:paraId="55D1370A" w14:textId="77777777" w:rsidTr="00BF3A72">
        <w:trPr>
          <w:gridAfter w:val="1"/>
          <w:wAfter w:w="38" w:type="dxa"/>
        </w:trPr>
        <w:tc>
          <w:tcPr>
            <w:tcW w:w="675" w:type="dxa"/>
            <w:shd w:val="clear" w:color="auto" w:fill="C4BC96" w:themeFill="background2" w:themeFillShade="BF"/>
          </w:tcPr>
          <w:p w14:paraId="459C8E4A" w14:textId="77777777" w:rsidR="00114953" w:rsidRPr="009027B6" w:rsidRDefault="00114953" w:rsidP="00BF3A72">
            <w:pPr>
              <w:jc w:val="center"/>
              <w:rPr>
                <w:rFonts w:cs="Arial"/>
                <w:b/>
                <w:color w:val="323233"/>
                <w:sz w:val="20"/>
                <w:szCs w:val="20"/>
              </w:rPr>
            </w:pPr>
            <w:proofErr w:type="spellStart"/>
            <w:r w:rsidRPr="009027B6">
              <w:rPr>
                <w:rFonts w:cs="Arial"/>
                <w:b/>
                <w:color w:val="323233"/>
                <w:sz w:val="20"/>
                <w:szCs w:val="20"/>
              </w:rPr>
              <w:t>Nr.p.k</w:t>
            </w:r>
            <w:proofErr w:type="spellEnd"/>
            <w:r w:rsidRPr="009027B6">
              <w:rPr>
                <w:rFonts w:cs="Arial"/>
                <w:b/>
                <w:color w:val="323233"/>
                <w:sz w:val="20"/>
                <w:szCs w:val="20"/>
              </w:rPr>
              <w:t>.</w:t>
            </w:r>
          </w:p>
        </w:tc>
        <w:tc>
          <w:tcPr>
            <w:tcW w:w="3932" w:type="dxa"/>
            <w:shd w:val="clear" w:color="auto" w:fill="C4BC96" w:themeFill="background2" w:themeFillShade="BF"/>
          </w:tcPr>
          <w:p w14:paraId="220B8766" w14:textId="77777777" w:rsidR="00114953" w:rsidRPr="009027B6" w:rsidRDefault="00114953" w:rsidP="00BF3A72">
            <w:pPr>
              <w:jc w:val="center"/>
              <w:rPr>
                <w:rFonts w:cs="Arial"/>
                <w:b/>
                <w:color w:val="323233"/>
                <w:sz w:val="20"/>
                <w:szCs w:val="20"/>
              </w:rPr>
            </w:pPr>
            <w:proofErr w:type="spellStart"/>
            <w:r>
              <w:rPr>
                <w:rFonts w:cs="Arial"/>
                <w:b/>
                <w:color w:val="323233"/>
                <w:sz w:val="20"/>
                <w:szCs w:val="20"/>
              </w:rPr>
              <w:t>Līguma</w:t>
            </w:r>
            <w:proofErr w:type="spellEnd"/>
            <w:r>
              <w:rPr>
                <w:rFonts w:cs="Arial"/>
                <w:b/>
                <w:color w:val="323233"/>
                <w:sz w:val="20"/>
                <w:szCs w:val="20"/>
              </w:rPr>
              <w:t xml:space="preserve"> </w:t>
            </w:r>
            <w:proofErr w:type="spellStart"/>
            <w:r>
              <w:rPr>
                <w:rFonts w:cs="Arial"/>
                <w:b/>
                <w:color w:val="323233"/>
                <w:sz w:val="20"/>
                <w:szCs w:val="20"/>
              </w:rPr>
              <w:t>nosaukums</w:t>
            </w:r>
            <w:proofErr w:type="spellEnd"/>
          </w:p>
        </w:tc>
        <w:tc>
          <w:tcPr>
            <w:tcW w:w="2302" w:type="dxa"/>
            <w:shd w:val="clear" w:color="auto" w:fill="C4BC96" w:themeFill="background2" w:themeFillShade="BF"/>
          </w:tcPr>
          <w:p w14:paraId="2F5617B7" w14:textId="77777777" w:rsidR="00114953" w:rsidRPr="009027B6" w:rsidRDefault="00114953" w:rsidP="00BF3A72">
            <w:pPr>
              <w:jc w:val="center"/>
              <w:rPr>
                <w:rFonts w:cs="Arial"/>
                <w:b/>
                <w:color w:val="323233"/>
                <w:sz w:val="20"/>
                <w:szCs w:val="20"/>
              </w:rPr>
            </w:pPr>
            <w:r>
              <w:rPr>
                <w:rFonts w:cs="Arial"/>
                <w:b/>
                <w:color w:val="323233"/>
                <w:sz w:val="20"/>
                <w:szCs w:val="20"/>
              </w:rPr>
              <w:t>Pants</w:t>
            </w:r>
          </w:p>
        </w:tc>
        <w:tc>
          <w:tcPr>
            <w:tcW w:w="2302" w:type="dxa"/>
            <w:shd w:val="clear" w:color="auto" w:fill="C4BC96" w:themeFill="background2" w:themeFillShade="BF"/>
          </w:tcPr>
          <w:p w14:paraId="14D8A226" w14:textId="77777777" w:rsidR="00114953" w:rsidRPr="009027B6" w:rsidRDefault="00114953" w:rsidP="00BF3A72">
            <w:pPr>
              <w:jc w:val="center"/>
              <w:rPr>
                <w:rFonts w:cs="Arial"/>
                <w:b/>
                <w:color w:val="323233"/>
                <w:sz w:val="20"/>
                <w:szCs w:val="20"/>
              </w:rPr>
            </w:pPr>
            <w:r>
              <w:rPr>
                <w:rFonts w:cs="Arial"/>
                <w:b/>
                <w:color w:val="323233"/>
                <w:sz w:val="20"/>
                <w:szCs w:val="20"/>
              </w:rPr>
              <w:t xml:space="preserve">Panta </w:t>
            </w:r>
            <w:proofErr w:type="spellStart"/>
            <w:r>
              <w:rPr>
                <w:rFonts w:cs="Arial"/>
                <w:b/>
                <w:color w:val="323233"/>
                <w:sz w:val="20"/>
                <w:szCs w:val="20"/>
              </w:rPr>
              <w:t>citāts</w:t>
            </w:r>
            <w:proofErr w:type="spellEnd"/>
          </w:p>
        </w:tc>
      </w:tr>
      <w:tr w:rsidR="00114953" w:rsidRPr="000C7C76" w14:paraId="29916AB2" w14:textId="77777777" w:rsidTr="00BF3A72">
        <w:trPr>
          <w:gridAfter w:val="1"/>
          <w:wAfter w:w="38" w:type="dxa"/>
        </w:trPr>
        <w:tc>
          <w:tcPr>
            <w:tcW w:w="675" w:type="dxa"/>
          </w:tcPr>
          <w:p w14:paraId="56394D0E" w14:textId="77777777" w:rsidR="00114953" w:rsidRPr="009027B6" w:rsidRDefault="00114953" w:rsidP="00BF3A72">
            <w:pPr>
              <w:jc w:val="center"/>
              <w:rPr>
                <w:rFonts w:cs="Arial"/>
                <w:color w:val="323233"/>
                <w:sz w:val="18"/>
                <w:szCs w:val="18"/>
              </w:rPr>
            </w:pPr>
            <w:r>
              <w:rPr>
                <w:rFonts w:cs="Arial"/>
                <w:color w:val="323233"/>
                <w:sz w:val="18"/>
                <w:szCs w:val="18"/>
              </w:rPr>
              <w:t>1.</w:t>
            </w:r>
          </w:p>
        </w:tc>
        <w:tc>
          <w:tcPr>
            <w:tcW w:w="3932" w:type="dxa"/>
          </w:tcPr>
          <w:p w14:paraId="6F4DE46E" w14:textId="77777777" w:rsidR="00114953" w:rsidRPr="009027B6" w:rsidRDefault="00114953" w:rsidP="00BF3A72">
            <w:pPr>
              <w:jc w:val="both"/>
              <w:rPr>
                <w:rFonts w:cs="Arial"/>
                <w:color w:val="323233"/>
                <w:sz w:val="18"/>
                <w:szCs w:val="18"/>
              </w:rPr>
            </w:pPr>
            <w:proofErr w:type="spellStart"/>
            <w:r>
              <w:rPr>
                <w:rFonts w:cs="Arial"/>
                <w:color w:val="323233"/>
                <w:sz w:val="18"/>
                <w:szCs w:val="18"/>
              </w:rPr>
              <w:t>Līgums</w:t>
            </w:r>
            <w:proofErr w:type="spellEnd"/>
            <w:r>
              <w:rPr>
                <w:rFonts w:cs="Arial"/>
                <w:color w:val="323233"/>
                <w:sz w:val="18"/>
                <w:szCs w:val="18"/>
              </w:rPr>
              <w:t xml:space="preserve"> </w:t>
            </w:r>
            <w:proofErr w:type="spellStart"/>
            <w:r>
              <w:rPr>
                <w:rFonts w:cs="Arial"/>
                <w:color w:val="323233"/>
                <w:sz w:val="18"/>
                <w:szCs w:val="18"/>
              </w:rPr>
              <w:t>starp</w:t>
            </w:r>
            <w:proofErr w:type="spellEnd"/>
            <w:r>
              <w:rPr>
                <w:rFonts w:cs="Arial"/>
                <w:color w:val="323233"/>
                <w:sz w:val="18"/>
                <w:szCs w:val="18"/>
              </w:rPr>
              <w:t xml:space="preserve"> </w:t>
            </w:r>
            <w:proofErr w:type="spellStart"/>
            <w:r>
              <w:rPr>
                <w:rFonts w:cs="Arial"/>
                <w:color w:val="323233"/>
                <w:sz w:val="18"/>
                <w:szCs w:val="18"/>
              </w:rPr>
              <w:t>Latviju</w:t>
            </w:r>
            <w:proofErr w:type="spellEnd"/>
            <w:r>
              <w:rPr>
                <w:rFonts w:cs="Arial"/>
                <w:color w:val="323233"/>
                <w:sz w:val="18"/>
                <w:szCs w:val="18"/>
              </w:rPr>
              <w:t xml:space="preserve">, </w:t>
            </w:r>
            <w:proofErr w:type="spellStart"/>
            <w:r>
              <w:rPr>
                <w:rFonts w:cs="Arial"/>
                <w:color w:val="323233"/>
                <w:sz w:val="18"/>
                <w:szCs w:val="18"/>
              </w:rPr>
              <w:t>Igauniju</w:t>
            </w:r>
            <w:proofErr w:type="spellEnd"/>
            <w:r>
              <w:rPr>
                <w:rFonts w:cs="Arial"/>
                <w:color w:val="323233"/>
                <w:sz w:val="18"/>
                <w:szCs w:val="18"/>
              </w:rPr>
              <w:t xml:space="preserve"> </w:t>
            </w:r>
            <w:proofErr w:type="spellStart"/>
            <w:r>
              <w:rPr>
                <w:rFonts w:cs="Arial"/>
                <w:color w:val="323233"/>
                <w:sz w:val="18"/>
                <w:szCs w:val="18"/>
              </w:rPr>
              <w:t>un</w:t>
            </w:r>
            <w:proofErr w:type="spellEnd"/>
            <w:r>
              <w:rPr>
                <w:rFonts w:cs="Arial"/>
                <w:color w:val="323233"/>
                <w:sz w:val="18"/>
                <w:szCs w:val="18"/>
              </w:rPr>
              <w:t xml:space="preserve"> </w:t>
            </w:r>
            <w:proofErr w:type="spellStart"/>
            <w:r>
              <w:rPr>
                <w:rFonts w:cs="Arial"/>
                <w:color w:val="323233"/>
                <w:sz w:val="18"/>
                <w:szCs w:val="18"/>
              </w:rPr>
              <w:t>Lietuvu</w:t>
            </w:r>
            <w:proofErr w:type="spellEnd"/>
          </w:p>
        </w:tc>
        <w:tc>
          <w:tcPr>
            <w:tcW w:w="2302" w:type="dxa"/>
          </w:tcPr>
          <w:p w14:paraId="1A4141B4" w14:textId="77777777" w:rsidR="00114953" w:rsidRPr="009027B6" w:rsidRDefault="00114953" w:rsidP="00BF3A72">
            <w:pPr>
              <w:jc w:val="center"/>
              <w:rPr>
                <w:rFonts w:cs="Arial"/>
                <w:color w:val="323233"/>
                <w:sz w:val="18"/>
                <w:szCs w:val="18"/>
              </w:rPr>
            </w:pPr>
            <w:r>
              <w:rPr>
                <w:rFonts w:cs="Arial"/>
                <w:color w:val="323233"/>
                <w:sz w:val="18"/>
                <w:szCs w:val="18"/>
              </w:rPr>
              <w:t>38.pants</w:t>
            </w:r>
          </w:p>
        </w:tc>
        <w:tc>
          <w:tcPr>
            <w:tcW w:w="2302" w:type="dxa"/>
          </w:tcPr>
          <w:p w14:paraId="5482660A" w14:textId="77777777" w:rsidR="00114953" w:rsidRPr="009027B6" w:rsidRDefault="00114953" w:rsidP="00BF3A72">
            <w:pPr>
              <w:rPr>
                <w:rFonts w:cs="Arial"/>
                <w:color w:val="323233"/>
                <w:sz w:val="18"/>
                <w:szCs w:val="18"/>
              </w:rPr>
            </w:pPr>
            <w:r>
              <w:rPr>
                <w:rFonts w:cs="Arial"/>
                <w:color w:val="323233"/>
                <w:sz w:val="18"/>
                <w:szCs w:val="18"/>
              </w:rPr>
              <w:t xml:space="preserve">„(1) </w:t>
            </w:r>
            <w:proofErr w:type="spellStart"/>
            <w:r>
              <w:rPr>
                <w:rFonts w:cs="Arial"/>
                <w:color w:val="323233"/>
                <w:sz w:val="18"/>
                <w:szCs w:val="18"/>
              </w:rPr>
              <w:t>Darījuma</w:t>
            </w:r>
            <w:proofErr w:type="spellEnd"/>
            <w:r>
              <w:rPr>
                <w:rFonts w:cs="Arial"/>
                <w:color w:val="323233"/>
                <w:sz w:val="18"/>
                <w:szCs w:val="18"/>
              </w:rPr>
              <w:t xml:space="preserve"> </w:t>
            </w:r>
            <w:proofErr w:type="spellStart"/>
            <w:r>
              <w:rPr>
                <w:rFonts w:cs="Arial"/>
                <w:color w:val="323233"/>
                <w:sz w:val="18"/>
                <w:szCs w:val="18"/>
              </w:rPr>
              <w:t>formu</w:t>
            </w:r>
            <w:proofErr w:type="spellEnd"/>
            <w:r>
              <w:rPr>
                <w:rFonts w:cs="Arial"/>
                <w:color w:val="323233"/>
                <w:sz w:val="18"/>
                <w:szCs w:val="18"/>
              </w:rPr>
              <w:t xml:space="preserve"> </w:t>
            </w:r>
            <w:proofErr w:type="spellStart"/>
            <w:r>
              <w:rPr>
                <w:rFonts w:cs="Arial"/>
                <w:color w:val="323233"/>
                <w:sz w:val="18"/>
                <w:szCs w:val="18"/>
              </w:rPr>
              <w:t>nosaka</w:t>
            </w:r>
            <w:proofErr w:type="spellEnd"/>
            <w:r>
              <w:rPr>
                <w:rFonts w:cs="Arial"/>
                <w:color w:val="323233"/>
                <w:sz w:val="18"/>
                <w:szCs w:val="18"/>
              </w:rPr>
              <w:t xml:space="preserve"> </w:t>
            </w:r>
            <w:proofErr w:type="spellStart"/>
            <w:r>
              <w:rPr>
                <w:rFonts w:cs="Arial"/>
                <w:color w:val="323233"/>
                <w:sz w:val="18"/>
                <w:szCs w:val="18"/>
              </w:rPr>
              <w:t>tā</w:t>
            </w:r>
            <w:proofErr w:type="spellEnd"/>
            <w:r>
              <w:rPr>
                <w:rFonts w:cs="Arial"/>
                <w:color w:val="323233"/>
                <w:sz w:val="18"/>
                <w:szCs w:val="18"/>
              </w:rPr>
              <w:t xml:space="preserve"> </w:t>
            </w:r>
            <w:proofErr w:type="spellStart"/>
            <w:r>
              <w:rPr>
                <w:rFonts w:cs="Arial"/>
                <w:color w:val="323233"/>
                <w:sz w:val="18"/>
                <w:szCs w:val="18"/>
              </w:rPr>
              <w:t>slēgšanas</w:t>
            </w:r>
            <w:proofErr w:type="spellEnd"/>
            <w:r>
              <w:rPr>
                <w:rFonts w:cs="Arial"/>
                <w:color w:val="323233"/>
                <w:sz w:val="18"/>
                <w:szCs w:val="18"/>
              </w:rPr>
              <w:t xml:space="preserve"> </w:t>
            </w:r>
            <w:proofErr w:type="spellStart"/>
            <w:r>
              <w:rPr>
                <w:rFonts w:cs="Arial"/>
                <w:color w:val="323233"/>
                <w:sz w:val="18"/>
                <w:szCs w:val="18"/>
              </w:rPr>
              <w:t>vietas</w:t>
            </w:r>
            <w:proofErr w:type="spellEnd"/>
            <w:r>
              <w:rPr>
                <w:rFonts w:cs="Arial"/>
                <w:color w:val="323233"/>
                <w:sz w:val="18"/>
                <w:szCs w:val="18"/>
              </w:rPr>
              <w:t xml:space="preserve"> </w:t>
            </w:r>
            <w:proofErr w:type="spellStart"/>
            <w:r>
              <w:rPr>
                <w:rFonts w:cs="Arial"/>
                <w:color w:val="323233"/>
                <w:sz w:val="18"/>
                <w:szCs w:val="18"/>
              </w:rPr>
              <w:t>likumdošana</w:t>
            </w:r>
            <w:proofErr w:type="spellEnd"/>
            <w:r>
              <w:rPr>
                <w:rFonts w:cs="Arial"/>
                <w:color w:val="323233"/>
                <w:sz w:val="18"/>
                <w:szCs w:val="18"/>
              </w:rPr>
              <w:t xml:space="preserve">. (2) </w:t>
            </w:r>
            <w:proofErr w:type="spellStart"/>
            <w:r>
              <w:rPr>
                <w:rFonts w:cs="Arial"/>
                <w:color w:val="323233"/>
                <w:sz w:val="18"/>
                <w:szCs w:val="18"/>
              </w:rPr>
              <w:t>Darījuma</w:t>
            </w:r>
            <w:proofErr w:type="spellEnd"/>
            <w:r>
              <w:rPr>
                <w:rFonts w:cs="Arial"/>
                <w:color w:val="323233"/>
                <w:sz w:val="18"/>
                <w:szCs w:val="18"/>
              </w:rPr>
              <w:t xml:space="preserve">, </w:t>
            </w:r>
            <w:proofErr w:type="spellStart"/>
            <w:r>
              <w:rPr>
                <w:rFonts w:cs="Arial"/>
                <w:color w:val="323233"/>
                <w:sz w:val="18"/>
                <w:szCs w:val="18"/>
              </w:rPr>
              <w:t>kas</w:t>
            </w:r>
            <w:proofErr w:type="spellEnd"/>
            <w:r>
              <w:rPr>
                <w:rFonts w:cs="Arial"/>
                <w:color w:val="323233"/>
                <w:sz w:val="18"/>
                <w:szCs w:val="18"/>
              </w:rPr>
              <w:t xml:space="preserve"> </w:t>
            </w:r>
            <w:proofErr w:type="spellStart"/>
            <w:r>
              <w:rPr>
                <w:rFonts w:cs="Arial"/>
                <w:color w:val="323233"/>
                <w:sz w:val="18"/>
                <w:szCs w:val="18"/>
              </w:rPr>
              <w:t>saistīts</w:t>
            </w:r>
            <w:proofErr w:type="spellEnd"/>
            <w:r>
              <w:rPr>
                <w:rFonts w:cs="Arial"/>
                <w:color w:val="323233"/>
                <w:sz w:val="18"/>
                <w:szCs w:val="18"/>
              </w:rPr>
              <w:t xml:space="preserve"> </w:t>
            </w:r>
            <w:proofErr w:type="spellStart"/>
            <w:r>
              <w:rPr>
                <w:rFonts w:cs="Arial"/>
                <w:color w:val="323233"/>
                <w:sz w:val="18"/>
                <w:szCs w:val="18"/>
              </w:rPr>
              <w:t>ar</w:t>
            </w:r>
            <w:proofErr w:type="spellEnd"/>
            <w:r>
              <w:rPr>
                <w:rFonts w:cs="Arial"/>
                <w:color w:val="323233"/>
                <w:sz w:val="18"/>
                <w:szCs w:val="18"/>
              </w:rPr>
              <w:t xml:space="preserve"> </w:t>
            </w:r>
            <w:proofErr w:type="spellStart"/>
            <w:r>
              <w:rPr>
                <w:rFonts w:cs="Arial"/>
                <w:color w:val="323233"/>
                <w:sz w:val="18"/>
                <w:szCs w:val="18"/>
              </w:rPr>
              <w:t>nekustamo</w:t>
            </w:r>
            <w:proofErr w:type="spellEnd"/>
            <w:r>
              <w:rPr>
                <w:rFonts w:cs="Arial"/>
                <w:color w:val="323233"/>
                <w:sz w:val="18"/>
                <w:szCs w:val="18"/>
              </w:rPr>
              <w:t xml:space="preserve"> </w:t>
            </w:r>
            <w:proofErr w:type="spellStart"/>
            <w:r>
              <w:rPr>
                <w:rFonts w:cs="Arial"/>
                <w:color w:val="323233"/>
                <w:sz w:val="18"/>
                <w:szCs w:val="18"/>
              </w:rPr>
              <w:t>īpašumu</w:t>
            </w:r>
            <w:proofErr w:type="spellEnd"/>
            <w:r>
              <w:rPr>
                <w:rFonts w:cs="Arial"/>
                <w:color w:val="323233"/>
                <w:sz w:val="18"/>
                <w:szCs w:val="18"/>
              </w:rPr>
              <w:t xml:space="preserve"> </w:t>
            </w:r>
            <w:proofErr w:type="spellStart"/>
            <w:r>
              <w:rPr>
                <w:rFonts w:cs="Arial"/>
                <w:color w:val="323233"/>
                <w:sz w:val="18"/>
                <w:szCs w:val="18"/>
              </w:rPr>
              <w:t>un</w:t>
            </w:r>
            <w:proofErr w:type="spellEnd"/>
            <w:r>
              <w:rPr>
                <w:rFonts w:cs="Arial"/>
                <w:color w:val="323233"/>
                <w:sz w:val="18"/>
                <w:szCs w:val="18"/>
              </w:rPr>
              <w:t xml:space="preserve"> </w:t>
            </w:r>
            <w:proofErr w:type="spellStart"/>
            <w:r>
              <w:rPr>
                <w:rFonts w:cs="Arial"/>
                <w:color w:val="323233"/>
                <w:sz w:val="18"/>
                <w:szCs w:val="18"/>
              </w:rPr>
              <w:t>tiesībām</w:t>
            </w:r>
            <w:proofErr w:type="spellEnd"/>
            <w:r>
              <w:rPr>
                <w:rFonts w:cs="Arial"/>
                <w:color w:val="323233"/>
                <w:sz w:val="18"/>
                <w:szCs w:val="18"/>
              </w:rPr>
              <w:t xml:space="preserve"> </w:t>
            </w:r>
            <w:proofErr w:type="spellStart"/>
            <w:r>
              <w:rPr>
                <w:rFonts w:cs="Arial"/>
                <w:color w:val="323233"/>
                <w:sz w:val="18"/>
                <w:szCs w:val="18"/>
              </w:rPr>
              <w:t>uz</w:t>
            </w:r>
            <w:proofErr w:type="spellEnd"/>
            <w:r>
              <w:rPr>
                <w:rFonts w:cs="Arial"/>
                <w:color w:val="323233"/>
                <w:sz w:val="18"/>
                <w:szCs w:val="18"/>
              </w:rPr>
              <w:t xml:space="preserve"> </w:t>
            </w:r>
            <w:proofErr w:type="spellStart"/>
            <w:r>
              <w:rPr>
                <w:rFonts w:cs="Arial"/>
                <w:color w:val="323233"/>
                <w:sz w:val="18"/>
                <w:szCs w:val="18"/>
              </w:rPr>
              <w:t>to</w:t>
            </w:r>
            <w:proofErr w:type="spellEnd"/>
            <w:r>
              <w:rPr>
                <w:rFonts w:cs="Arial"/>
                <w:color w:val="323233"/>
                <w:sz w:val="18"/>
                <w:szCs w:val="18"/>
              </w:rPr>
              <w:t xml:space="preserve">, </w:t>
            </w:r>
            <w:proofErr w:type="spellStart"/>
            <w:r>
              <w:rPr>
                <w:rFonts w:cs="Arial"/>
                <w:color w:val="323233"/>
                <w:sz w:val="18"/>
                <w:szCs w:val="18"/>
              </w:rPr>
              <w:t>formu</w:t>
            </w:r>
            <w:proofErr w:type="spellEnd"/>
            <w:r>
              <w:rPr>
                <w:rFonts w:cs="Arial"/>
                <w:color w:val="323233"/>
                <w:sz w:val="18"/>
                <w:szCs w:val="18"/>
              </w:rPr>
              <w:t xml:space="preserve"> </w:t>
            </w:r>
            <w:proofErr w:type="spellStart"/>
            <w:r>
              <w:rPr>
                <w:rFonts w:cs="Arial"/>
                <w:color w:val="323233"/>
                <w:sz w:val="18"/>
                <w:szCs w:val="18"/>
              </w:rPr>
              <w:t>nosaka</w:t>
            </w:r>
            <w:proofErr w:type="spellEnd"/>
            <w:r>
              <w:rPr>
                <w:rFonts w:cs="Arial"/>
                <w:color w:val="323233"/>
                <w:sz w:val="18"/>
                <w:szCs w:val="18"/>
              </w:rPr>
              <w:t xml:space="preserve"> </w:t>
            </w:r>
            <w:proofErr w:type="spellStart"/>
            <w:r>
              <w:rPr>
                <w:rFonts w:cs="Arial"/>
                <w:color w:val="323233"/>
                <w:sz w:val="18"/>
                <w:szCs w:val="18"/>
              </w:rPr>
              <w:t>tās</w:t>
            </w:r>
            <w:proofErr w:type="spellEnd"/>
            <w:r>
              <w:rPr>
                <w:rFonts w:cs="Arial"/>
                <w:color w:val="323233"/>
                <w:sz w:val="18"/>
                <w:szCs w:val="18"/>
              </w:rPr>
              <w:t xml:space="preserve"> </w:t>
            </w:r>
            <w:proofErr w:type="spellStart"/>
            <w:r>
              <w:rPr>
                <w:rFonts w:cs="Arial"/>
                <w:color w:val="323233"/>
                <w:sz w:val="18"/>
                <w:szCs w:val="18"/>
              </w:rPr>
              <w:t>Līgumslēdzējas</w:t>
            </w:r>
            <w:proofErr w:type="spellEnd"/>
            <w:r>
              <w:rPr>
                <w:rFonts w:cs="Arial"/>
                <w:color w:val="323233"/>
                <w:sz w:val="18"/>
                <w:szCs w:val="18"/>
              </w:rPr>
              <w:t xml:space="preserve"> </w:t>
            </w:r>
            <w:proofErr w:type="spellStart"/>
            <w:r>
              <w:rPr>
                <w:rFonts w:cs="Arial"/>
                <w:color w:val="323233"/>
                <w:sz w:val="18"/>
                <w:szCs w:val="18"/>
              </w:rPr>
              <w:t>Puses</w:t>
            </w:r>
            <w:proofErr w:type="spellEnd"/>
            <w:r>
              <w:rPr>
                <w:rFonts w:cs="Arial"/>
                <w:color w:val="323233"/>
                <w:sz w:val="18"/>
                <w:szCs w:val="18"/>
              </w:rPr>
              <w:t xml:space="preserve"> </w:t>
            </w:r>
            <w:proofErr w:type="spellStart"/>
            <w:r>
              <w:rPr>
                <w:rFonts w:cs="Arial"/>
                <w:color w:val="323233"/>
                <w:sz w:val="18"/>
                <w:szCs w:val="18"/>
              </w:rPr>
              <w:t>likumdošana</w:t>
            </w:r>
            <w:proofErr w:type="spellEnd"/>
            <w:r>
              <w:rPr>
                <w:rFonts w:cs="Arial"/>
                <w:color w:val="323233"/>
                <w:sz w:val="18"/>
                <w:szCs w:val="18"/>
              </w:rPr>
              <w:t xml:space="preserve">, </w:t>
            </w:r>
            <w:proofErr w:type="spellStart"/>
            <w:r>
              <w:rPr>
                <w:rFonts w:cs="Arial"/>
                <w:color w:val="323233"/>
                <w:sz w:val="18"/>
                <w:szCs w:val="18"/>
              </w:rPr>
              <w:t>kuras</w:t>
            </w:r>
            <w:proofErr w:type="spellEnd"/>
            <w:r>
              <w:rPr>
                <w:rFonts w:cs="Arial"/>
                <w:color w:val="323233"/>
                <w:sz w:val="18"/>
                <w:szCs w:val="18"/>
              </w:rPr>
              <w:t xml:space="preserve"> </w:t>
            </w:r>
            <w:proofErr w:type="spellStart"/>
            <w:r>
              <w:rPr>
                <w:rFonts w:cs="Arial"/>
                <w:color w:val="323233"/>
                <w:sz w:val="18"/>
                <w:szCs w:val="18"/>
              </w:rPr>
              <w:t>teritorijā</w:t>
            </w:r>
            <w:proofErr w:type="spellEnd"/>
            <w:r>
              <w:rPr>
                <w:rFonts w:cs="Arial"/>
                <w:color w:val="323233"/>
                <w:sz w:val="18"/>
                <w:szCs w:val="18"/>
              </w:rPr>
              <w:t xml:space="preserve"> </w:t>
            </w:r>
            <w:proofErr w:type="spellStart"/>
            <w:r>
              <w:rPr>
                <w:rFonts w:cs="Arial"/>
                <w:color w:val="323233"/>
                <w:sz w:val="18"/>
                <w:szCs w:val="18"/>
              </w:rPr>
              <w:t>šāds</w:t>
            </w:r>
            <w:proofErr w:type="spellEnd"/>
            <w:r>
              <w:rPr>
                <w:rFonts w:cs="Arial"/>
                <w:color w:val="323233"/>
                <w:sz w:val="18"/>
                <w:szCs w:val="18"/>
              </w:rPr>
              <w:t xml:space="preserve"> </w:t>
            </w:r>
            <w:proofErr w:type="spellStart"/>
            <w:r>
              <w:rPr>
                <w:rFonts w:cs="Arial"/>
                <w:color w:val="323233"/>
                <w:sz w:val="18"/>
                <w:szCs w:val="18"/>
              </w:rPr>
              <w:t>īpašums</w:t>
            </w:r>
            <w:proofErr w:type="spellEnd"/>
            <w:r>
              <w:rPr>
                <w:rFonts w:cs="Arial"/>
                <w:color w:val="323233"/>
                <w:sz w:val="18"/>
                <w:szCs w:val="18"/>
              </w:rPr>
              <w:t xml:space="preserve"> </w:t>
            </w:r>
            <w:proofErr w:type="spellStart"/>
            <w:r>
              <w:rPr>
                <w:rFonts w:cs="Arial"/>
                <w:color w:val="323233"/>
                <w:sz w:val="18"/>
                <w:szCs w:val="18"/>
              </w:rPr>
              <w:t>atrodas</w:t>
            </w:r>
            <w:proofErr w:type="spellEnd"/>
            <w:r>
              <w:rPr>
                <w:rFonts w:cs="Arial"/>
                <w:color w:val="323233"/>
                <w:sz w:val="18"/>
                <w:szCs w:val="18"/>
              </w:rPr>
              <w:t>“.</w:t>
            </w:r>
          </w:p>
        </w:tc>
      </w:tr>
      <w:tr w:rsidR="00114953" w:rsidRPr="000C7C76" w14:paraId="5760D900" w14:textId="77777777" w:rsidTr="00BF3A72">
        <w:trPr>
          <w:gridAfter w:val="1"/>
          <w:wAfter w:w="38" w:type="dxa"/>
        </w:trPr>
        <w:tc>
          <w:tcPr>
            <w:tcW w:w="675" w:type="dxa"/>
          </w:tcPr>
          <w:p w14:paraId="4AB6F911" w14:textId="77777777" w:rsidR="00114953" w:rsidRPr="009027B6" w:rsidRDefault="00114953" w:rsidP="00BF3A72">
            <w:pPr>
              <w:jc w:val="center"/>
              <w:rPr>
                <w:rFonts w:cs="Arial"/>
                <w:color w:val="323233"/>
                <w:sz w:val="18"/>
                <w:szCs w:val="18"/>
              </w:rPr>
            </w:pPr>
            <w:r>
              <w:rPr>
                <w:rFonts w:cs="Arial"/>
                <w:color w:val="323233"/>
                <w:sz w:val="18"/>
                <w:szCs w:val="18"/>
              </w:rPr>
              <w:t>2.</w:t>
            </w:r>
          </w:p>
        </w:tc>
        <w:tc>
          <w:tcPr>
            <w:tcW w:w="3932" w:type="dxa"/>
          </w:tcPr>
          <w:p w14:paraId="687DE92D" w14:textId="77777777" w:rsidR="00114953" w:rsidRPr="009027B6" w:rsidRDefault="00114953" w:rsidP="00BF3A72">
            <w:pPr>
              <w:jc w:val="both"/>
              <w:rPr>
                <w:rFonts w:cs="Arial"/>
                <w:color w:val="323233"/>
                <w:sz w:val="18"/>
                <w:szCs w:val="18"/>
              </w:rPr>
            </w:pPr>
            <w:proofErr w:type="spellStart"/>
            <w:r>
              <w:rPr>
                <w:rFonts w:cs="Arial"/>
                <w:color w:val="323233"/>
                <w:sz w:val="18"/>
                <w:szCs w:val="18"/>
              </w:rPr>
              <w:t>Līgums</w:t>
            </w:r>
            <w:proofErr w:type="spellEnd"/>
            <w:r>
              <w:rPr>
                <w:rFonts w:cs="Arial"/>
                <w:color w:val="323233"/>
                <w:sz w:val="18"/>
                <w:szCs w:val="18"/>
              </w:rPr>
              <w:t xml:space="preserve"> </w:t>
            </w:r>
            <w:proofErr w:type="spellStart"/>
            <w:r>
              <w:rPr>
                <w:rFonts w:cs="Arial"/>
                <w:color w:val="323233"/>
                <w:sz w:val="18"/>
                <w:szCs w:val="18"/>
              </w:rPr>
              <w:t>starp</w:t>
            </w:r>
            <w:proofErr w:type="spellEnd"/>
            <w:r>
              <w:rPr>
                <w:rFonts w:cs="Arial"/>
                <w:color w:val="323233"/>
                <w:sz w:val="18"/>
                <w:szCs w:val="18"/>
              </w:rPr>
              <w:t xml:space="preserve"> </w:t>
            </w:r>
            <w:proofErr w:type="spellStart"/>
            <w:r>
              <w:rPr>
                <w:rFonts w:cs="Arial"/>
                <w:color w:val="323233"/>
                <w:sz w:val="18"/>
                <w:szCs w:val="18"/>
              </w:rPr>
              <w:t>Latviju</w:t>
            </w:r>
            <w:proofErr w:type="spellEnd"/>
            <w:r>
              <w:rPr>
                <w:rFonts w:cs="Arial"/>
                <w:color w:val="323233"/>
                <w:sz w:val="18"/>
                <w:szCs w:val="18"/>
              </w:rPr>
              <w:t xml:space="preserve"> </w:t>
            </w:r>
            <w:proofErr w:type="spellStart"/>
            <w:r>
              <w:rPr>
                <w:rFonts w:cs="Arial"/>
                <w:color w:val="323233"/>
                <w:sz w:val="18"/>
                <w:szCs w:val="18"/>
              </w:rPr>
              <w:t>un</w:t>
            </w:r>
            <w:proofErr w:type="spellEnd"/>
            <w:r>
              <w:rPr>
                <w:rFonts w:cs="Arial"/>
                <w:color w:val="323233"/>
                <w:sz w:val="18"/>
                <w:szCs w:val="18"/>
              </w:rPr>
              <w:t xml:space="preserve"> </w:t>
            </w:r>
            <w:proofErr w:type="spellStart"/>
            <w:r>
              <w:rPr>
                <w:rFonts w:cs="Arial"/>
                <w:color w:val="323233"/>
                <w:sz w:val="18"/>
                <w:szCs w:val="18"/>
              </w:rPr>
              <w:t>Moldovu</w:t>
            </w:r>
            <w:proofErr w:type="spellEnd"/>
          </w:p>
        </w:tc>
        <w:tc>
          <w:tcPr>
            <w:tcW w:w="2302" w:type="dxa"/>
          </w:tcPr>
          <w:p w14:paraId="416741AF" w14:textId="77777777" w:rsidR="00114953" w:rsidRPr="009027B6" w:rsidRDefault="00114953" w:rsidP="00BF3A72">
            <w:pPr>
              <w:jc w:val="center"/>
              <w:rPr>
                <w:rFonts w:cs="Arial"/>
                <w:color w:val="323233"/>
                <w:sz w:val="18"/>
                <w:szCs w:val="18"/>
              </w:rPr>
            </w:pPr>
            <w:r>
              <w:rPr>
                <w:rFonts w:cs="Arial"/>
                <w:color w:val="323233"/>
                <w:sz w:val="18"/>
                <w:szCs w:val="18"/>
              </w:rPr>
              <w:t>38.pants</w:t>
            </w:r>
          </w:p>
        </w:tc>
        <w:tc>
          <w:tcPr>
            <w:tcW w:w="2302" w:type="dxa"/>
          </w:tcPr>
          <w:p w14:paraId="314FA45A" w14:textId="77777777" w:rsidR="00114953" w:rsidRPr="009027B6" w:rsidRDefault="00114953" w:rsidP="00BF3A72">
            <w:pPr>
              <w:rPr>
                <w:rFonts w:cs="Arial"/>
                <w:color w:val="323233"/>
                <w:sz w:val="18"/>
                <w:szCs w:val="18"/>
              </w:rPr>
            </w:pPr>
            <w:r>
              <w:rPr>
                <w:rFonts w:cs="Arial"/>
                <w:color w:val="323233"/>
                <w:sz w:val="18"/>
                <w:szCs w:val="18"/>
              </w:rPr>
              <w:t xml:space="preserve">„(1) </w:t>
            </w:r>
            <w:proofErr w:type="spellStart"/>
            <w:r>
              <w:rPr>
                <w:rFonts w:cs="Arial"/>
                <w:color w:val="323233"/>
                <w:sz w:val="18"/>
                <w:szCs w:val="18"/>
              </w:rPr>
              <w:t>Darījuma</w:t>
            </w:r>
            <w:proofErr w:type="spellEnd"/>
            <w:r>
              <w:rPr>
                <w:rFonts w:cs="Arial"/>
                <w:color w:val="323233"/>
                <w:sz w:val="18"/>
                <w:szCs w:val="18"/>
              </w:rPr>
              <w:t xml:space="preserve"> </w:t>
            </w:r>
            <w:proofErr w:type="spellStart"/>
            <w:r>
              <w:rPr>
                <w:rFonts w:cs="Arial"/>
                <w:color w:val="323233"/>
                <w:sz w:val="18"/>
                <w:szCs w:val="18"/>
              </w:rPr>
              <w:t>formu</w:t>
            </w:r>
            <w:proofErr w:type="spellEnd"/>
            <w:r>
              <w:rPr>
                <w:rFonts w:cs="Arial"/>
                <w:color w:val="323233"/>
                <w:sz w:val="18"/>
                <w:szCs w:val="18"/>
              </w:rPr>
              <w:t xml:space="preserve"> </w:t>
            </w:r>
            <w:proofErr w:type="spellStart"/>
            <w:r>
              <w:rPr>
                <w:rFonts w:cs="Arial"/>
                <w:color w:val="323233"/>
                <w:sz w:val="18"/>
                <w:szCs w:val="18"/>
              </w:rPr>
              <w:t>nosaka</w:t>
            </w:r>
            <w:proofErr w:type="spellEnd"/>
            <w:r>
              <w:rPr>
                <w:rFonts w:cs="Arial"/>
                <w:color w:val="323233"/>
                <w:sz w:val="18"/>
                <w:szCs w:val="18"/>
              </w:rPr>
              <w:t xml:space="preserve"> </w:t>
            </w:r>
            <w:proofErr w:type="spellStart"/>
            <w:r>
              <w:rPr>
                <w:rFonts w:cs="Arial"/>
                <w:color w:val="323233"/>
                <w:sz w:val="18"/>
                <w:szCs w:val="18"/>
              </w:rPr>
              <w:t>tā</w:t>
            </w:r>
            <w:proofErr w:type="spellEnd"/>
            <w:r>
              <w:rPr>
                <w:rFonts w:cs="Arial"/>
                <w:color w:val="323233"/>
                <w:sz w:val="18"/>
                <w:szCs w:val="18"/>
              </w:rPr>
              <w:t xml:space="preserve"> </w:t>
            </w:r>
            <w:proofErr w:type="spellStart"/>
            <w:r>
              <w:rPr>
                <w:rFonts w:cs="Arial"/>
                <w:color w:val="323233"/>
                <w:sz w:val="18"/>
                <w:szCs w:val="18"/>
              </w:rPr>
              <w:t>slēgšanas</w:t>
            </w:r>
            <w:proofErr w:type="spellEnd"/>
            <w:r>
              <w:rPr>
                <w:rFonts w:cs="Arial"/>
                <w:color w:val="323233"/>
                <w:sz w:val="18"/>
                <w:szCs w:val="18"/>
              </w:rPr>
              <w:t xml:space="preserve"> </w:t>
            </w:r>
            <w:proofErr w:type="spellStart"/>
            <w:r>
              <w:rPr>
                <w:rFonts w:cs="Arial"/>
                <w:color w:val="323233"/>
                <w:sz w:val="18"/>
                <w:szCs w:val="18"/>
              </w:rPr>
              <w:t>vietas</w:t>
            </w:r>
            <w:proofErr w:type="spellEnd"/>
            <w:r>
              <w:rPr>
                <w:rFonts w:cs="Arial"/>
                <w:color w:val="323233"/>
                <w:sz w:val="18"/>
                <w:szCs w:val="18"/>
              </w:rPr>
              <w:t xml:space="preserve"> </w:t>
            </w:r>
            <w:proofErr w:type="spellStart"/>
            <w:r>
              <w:rPr>
                <w:rFonts w:cs="Arial"/>
                <w:color w:val="323233"/>
                <w:sz w:val="18"/>
                <w:szCs w:val="18"/>
              </w:rPr>
              <w:t>likumdošana</w:t>
            </w:r>
            <w:proofErr w:type="spellEnd"/>
            <w:r>
              <w:rPr>
                <w:rFonts w:cs="Arial"/>
                <w:color w:val="323233"/>
                <w:sz w:val="18"/>
                <w:szCs w:val="18"/>
              </w:rPr>
              <w:t xml:space="preserve">. (2) </w:t>
            </w:r>
            <w:proofErr w:type="spellStart"/>
            <w:r>
              <w:rPr>
                <w:rFonts w:cs="Arial"/>
                <w:color w:val="323233"/>
                <w:sz w:val="18"/>
                <w:szCs w:val="18"/>
              </w:rPr>
              <w:t>Darījuma</w:t>
            </w:r>
            <w:proofErr w:type="spellEnd"/>
            <w:r>
              <w:rPr>
                <w:rFonts w:cs="Arial"/>
                <w:color w:val="323233"/>
                <w:sz w:val="18"/>
                <w:szCs w:val="18"/>
              </w:rPr>
              <w:t xml:space="preserve">, </w:t>
            </w:r>
            <w:proofErr w:type="spellStart"/>
            <w:r>
              <w:rPr>
                <w:rFonts w:cs="Arial"/>
                <w:color w:val="323233"/>
                <w:sz w:val="18"/>
                <w:szCs w:val="18"/>
              </w:rPr>
              <w:t>kas</w:t>
            </w:r>
            <w:proofErr w:type="spellEnd"/>
            <w:r>
              <w:rPr>
                <w:rFonts w:cs="Arial"/>
                <w:color w:val="323233"/>
                <w:sz w:val="18"/>
                <w:szCs w:val="18"/>
              </w:rPr>
              <w:t xml:space="preserve"> </w:t>
            </w:r>
            <w:proofErr w:type="spellStart"/>
            <w:r>
              <w:rPr>
                <w:rFonts w:cs="Arial"/>
                <w:color w:val="323233"/>
                <w:sz w:val="18"/>
                <w:szCs w:val="18"/>
              </w:rPr>
              <w:t>saistīts</w:t>
            </w:r>
            <w:proofErr w:type="spellEnd"/>
            <w:r>
              <w:rPr>
                <w:rFonts w:cs="Arial"/>
                <w:color w:val="323233"/>
                <w:sz w:val="18"/>
                <w:szCs w:val="18"/>
              </w:rPr>
              <w:t xml:space="preserve"> </w:t>
            </w:r>
            <w:proofErr w:type="spellStart"/>
            <w:r>
              <w:rPr>
                <w:rFonts w:cs="Arial"/>
                <w:color w:val="323233"/>
                <w:sz w:val="18"/>
                <w:szCs w:val="18"/>
              </w:rPr>
              <w:t>ar</w:t>
            </w:r>
            <w:proofErr w:type="spellEnd"/>
            <w:r>
              <w:rPr>
                <w:rFonts w:cs="Arial"/>
                <w:color w:val="323233"/>
                <w:sz w:val="18"/>
                <w:szCs w:val="18"/>
              </w:rPr>
              <w:t xml:space="preserve"> </w:t>
            </w:r>
            <w:proofErr w:type="spellStart"/>
            <w:r>
              <w:rPr>
                <w:rFonts w:cs="Arial"/>
                <w:color w:val="323233"/>
                <w:sz w:val="18"/>
                <w:szCs w:val="18"/>
              </w:rPr>
              <w:t>nekustamo</w:t>
            </w:r>
            <w:proofErr w:type="spellEnd"/>
            <w:r>
              <w:rPr>
                <w:rFonts w:cs="Arial"/>
                <w:color w:val="323233"/>
                <w:sz w:val="18"/>
                <w:szCs w:val="18"/>
              </w:rPr>
              <w:t xml:space="preserve"> </w:t>
            </w:r>
            <w:proofErr w:type="spellStart"/>
            <w:r>
              <w:rPr>
                <w:rFonts w:cs="Arial"/>
                <w:color w:val="323233"/>
                <w:sz w:val="18"/>
                <w:szCs w:val="18"/>
              </w:rPr>
              <w:t>īpašumu</w:t>
            </w:r>
            <w:proofErr w:type="spellEnd"/>
            <w:r>
              <w:rPr>
                <w:rFonts w:cs="Arial"/>
                <w:color w:val="323233"/>
                <w:sz w:val="18"/>
                <w:szCs w:val="18"/>
              </w:rPr>
              <w:t xml:space="preserve"> </w:t>
            </w:r>
            <w:proofErr w:type="spellStart"/>
            <w:r>
              <w:rPr>
                <w:rFonts w:cs="Arial"/>
                <w:color w:val="323233"/>
                <w:sz w:val="18"/>
                <w:szCs w:val="18"/>
              </w:rPr>
              <w:t>un</w:t>
            </w:r>
            <w:proofErr w:type="spellEnd"/>
            <w:r>
              <w:rPr>
                <w:rFonts w:cs="Arial"/>
                <w:color w:val="323233"/>
                <w:sz w:val="18"/>
                <w:szCs w:val="18"/>
              </w:rPr>
              <w:t xml:space="preserve"> </w:t>
            </w:r>
            <w:proofErr w:type="spellStart"/>
            <w:r>
              <w:rPr>
                <w:rFonts w:cs="Arial"/>
                <w:color w:val="323233"/>
                <w:sz w:val="18"/>
                <w:szCs w:val="18"/>
              </w:rPr>
              <w:t>tiesībām</w:t>
            </w:r>
            <w:proofErr w:type="spellEnd"/>
            <w:r>
              <w:rPr>
                <w:rFonts w:cs="Arial"/>
                <w:color w:val="323233"/>
                <w:sz w:val="18"/>
                <w:szCs w:val="18"/>
              </w:rPr>
              <w:t xml:space="preserve"> </w:t>
            </w:r>
            <w:proofErr w:type="spellStart"/>
            <w:r>
              <w:rPr>
                <w:rFonts w:cs="Arial"/>
                <w:color w:val="323233"/>
                <w:sz w:val="18"/>
                <w:szCs w:val="18"/>
              </w:rPr>
              <w:t>uz</w:t>
            </w:r>
            <w:proofErr w:type="spellEnd"/>
            <w:r>
              <w:rPr>
                <w:rFonts w:cs="Arial"/>
                <w:color w:val="323233"/>
                <w:sz w:val="18"/>
                <w:szCs w:val="18"/>
              </w:rPr>
              <w:t xml:space="preserve"> </w:t>
            </w:r>
            <w:proofErr w:type="spellStart"/>
            <w:r>
              <w:rPr>
                <w:rFonts w:cs="Arial"/>
                <w:color w:val="323233"/>
                <w:sz w:val="18"/>
                <w:szCs w:val="18"/>
              </w:rPr>
              <w:t>to</w:t>
            </w:r>
            <w:proofErr w:type="spellEnd"/>
            <w:r>
              <w:rPr>
                <w:rFonts w:cs="Arial"/>
                <w:color w:val="323233"/>
                <w:sz w:val="18"/>
                <w:szCs w:val="18"/>
              </w:rPr>
              <w:t xml:space="preserve">, </w:t>
            </w:r>
            <w:proofErr w:type="spellStart"/>
            <w:r>
              <w:rPr>
                <w:rFonts w:cs="Arial"/>
                <w:color w:val="323233"/>
                <w:sz w:val="18"/>
                <w:szCs w:val="18"/>
              </w:rPr>
              <w:t>formu</w:t>
            </w:r>
            <w:proofErr w:type="spellEnd"/>
            <w:r>
              <w:rPr>
                <w:rFonts w:cs="Arial"/>
                <w:color w:val="323233"/>
                <w:sz w:val="18"/>
                <w:szCs w:val="18"/>
              </w:rPr>
              <w:t xml:space="preserve"> </w:t>
            </w:r>
            <w:proofErr w:type="spellStart"/>
            <w:r>
              <w:rPr>
                <w:rFonts w:cs="Arial"/>
                <w:color w:val="323233"/>
                <w:sz w:val="18"/>
                <w:szCs w:val="18"/>
              </w:rPr>
              <w:t>nosaka</w:t>
            </w:r>
            <w:proofErr w:type="spellEnd"/>
            <w:r>
              <w:rPr>
                <w:rFonts w:cs="Arial"/>
                <w:color w:val="323233"/>
                <w:sz w:val="18"/>
                <w:szCs w:val="18"/>
              </w:rPr>
              <w:t xml:space="preserve"> </w:t>
            </w:r>
            <w:proofErr w:type="spellStart"/>
            <w:r>
              <w:rPr>
                <w:rFonts w:cs="Arial"/>
                <w:color w:val="323233"/>
                <w:sz w:val="18"/>
                <w:szCs w:val="18"/>
              </w:rPr>
              <w:t>tās</w:t>
            </w:r>
            <w:proofErr w:type="spellEnd"/>
            <w:r>
              <w:rPr>
                <w:rFonts w:cs="Arial"/>
                <w:color w:val="323233"/>
                <w:sz w:val="18"/>
                <w:szCs w:val="18"/>
              </w:rPr>
              <w:t xml:space="preserve"> </w:t>
            </w:r>
            <w:proofErr w:type="spellStart"/>
            <w:r>
              <w:rPr>
                <w:rFonts w:cs="Arial"/>
                <w:color w:val="323233"/>
                <w:sz w:val="18"/>
                <w:szCs w:val="18"/>
              </w:rPr>
              <w:t>Līgumslēdzējas</w:t>
            </w:r>
            <w:proofErr w:type="spellEnd"/>
            <w:r>
              <w:rPr>
                <w:rFonts w:cs="Arial"/>
                <w:color w:val="323233"/>
                <w:sz w:val="18"/>
                <w:szCs w:val="18"/>
              </w:rPr>
              <w:t xml:space="preserve"> </w:t>
            </w:r>
            <w:proofErr w:type="spellStart"/>
            <w:r>
              <w:rPr>
                <w:rFonts w:cs="Arial"/>
                <w:color w:val="323233"/>
                <w:sz w:val="18"/>
                <w:szCs w:val="18"/>
              </w:rPr>
              <w:t>Puses</w:t>
            </w:r>
            <w:proofErr w:type="spellEnd"/>
            <w:r>
              <w:rPr>
                <w:rFonts w:cs="Arial"/>
                <w:color w:val="323233"/>
                <w:sz w:val="18"/>
                <w:szCs w:val="18"/>
              </w:rPr>
              <w:t xml:space="preserve"> </w:t>
            </w:r>
            <w:proofErr w:type="spellStart"/>
            <w:r>
              <w:rPr>
                <w:rFonts w:cs="Arial"/>
                <w:color w:val="323233"/>
                <w:sz w:val="18"/>
                <w:szCs w:val="18"/>
              </w:rPr>
              <w:t>likumdošana</w:t>
            </w:r>
            <w:proofErr w:type="spellEnd"/>
            <w:r>
              <w:rPr>
                <w:rFonts w:cs="Arial"/>
                <w:color w:val="323233"/>
                <w:sz w:val="18"/>
                <w:szCs w:val="18"/>
              </w:rPr>
              <w:t xml:space="preserve">, </w:t>
            </w:r>
            <w:proofErr w:type="spellStart"/>
            <w:r>
              <w:rPr>
                <w:rFonts w:cs="Arial"/>
                <w:color w:val="323233"/>
                <w:sz w:val="18"/>
                <w:szCs w:val="18"/>
              </w:rPr>
              <w:t>kuras</w:t>
            </w:r>
            <w:proofErr w:type="spellEnd"/>
            <w:r>
              <w:rPr>
                <w:rFonts w:cs="Arial"/>
                <w:color w:val="323233"/>
                <w:sz w:val="18"/>
                <w:szCs w:val="18"/>
              </w:rPr>
              <w:t xml:space="preserve"> </w:t>
            </w:r>
            <w:proofErr w:type="spellStart"/>
            <w:r>
              <w:rPr>
                <w:rFonts w:cs="Arial"/>
                <w:color w:val="323233"/>
                <w:sz w:val="18"/>
                <w:szCs w:val="18"/>
              </w:rPr>
              <w:t>teritorijā</w:t>
            </w:r>
            <w:proofErr w:type="spellEnd"/>
            <w:r>
              <w:rPr>
                <w:rFonts w:cs="Arial"/>
                <w:color w:val="323233"/>
                <w:sz w:val="18"/>
                <w:szCs w:val="18"/>
              </w:rPr>
              <w:t xml:space="preserve"> </w:t>
            </w:r>
            <w:proofErr w:type="spellStart"/>
            <w:r>
              <w:rPr>
                <w:rFonts w:cs="Arial"/>
                <w:color w:val="323233"/>
                <w:sz w:val="18"/>
                <w:szCs w:val="18"/>
              </w:rPr>
              <w:t>šāds</w:t>
            </w:r>
            <w:proofErr w:type="spellEnd"/>
            <w:r>
              <w:rPr>
                <w:rFonts w:cs="Arial"/>
                <w:color w:val="323233"/>
                <w:sz w:val="18"/>
                <w:szCs w:val="18"/>
              </w:rPr>
              <w:t xml:space="preserve"> </w:t>
            </w:r>
            <w:proofErr w:type="spellStart"/>
            <w:r>
              <w:rPr>
                <w:rFonts w:cs="Arial"/>
                <w:color w:val="323233"/>
                <w:sz w:val="18"/>
                <w:szCs w:val="18"/>
              </w:rPr>
              <w:t>īpašums</w:t>
            </w:r>
            <w:proofErr w:type="spellEnd"/>
            <w:r>
              <w:rPr>
                <w:rFonts w:cs="Arial"/>
                <w:color w:val="323233"/>
                <w:sz w:val="18"/>
                <w:szCs w:val="18"/>
              </w:rPr>
              <w:t xml:space="preserve"> </w:t>
            </w:r>
            <w:proofErr w:type="spellStart"/>
            <w:r>
              <w:rPr>
                <w:rFonts w:cs="Arial"/>
                <w:color w:val="323233"/>
                <w:sz w:val="18"/>
                <w:szCs w:val="18"/>
              </w:rPr>
              <w:t>atrodas</w:t>
            </w:r>
            <w:proofErr w:type="spellEnd"/>
            <w:r>
              <w:rPr>
                <w:rFonts w:cs="Arial"/>
                <w:color w:val="323233"/>
                <w:sz w:val="18"/>
                <w:szCs w:val="18"/>
              </w:rPr>
              <w:t>“.</w:t>
            </w:r>
          </w:p>
        </w:tc>
      </w:tr>
      <w:tr w:rsidR="00114953" w:rsidRPr="000C7C76" w14:paraId="72F689CD" w14:textId="77777777" w:rsidTr="00BF3A72">
        <w:trPr>
          <w:gridAfter w:val="1"/>
          <w:wAfter w:w="38" w:type="dxa"/>
        </w:trPr>
        <w:tc>
          <w:tcPr>
            <w:tcW w:w="675" w:type="dxa"/>
          </w:tcPr>
          <w:p w14:paraId="3971B9B4" w14:textId="77777777" w:rsidR="00114953" w:rsidRPr="009027B6" w:rsidRDefault="00114953" w:rsidP="00BF3A72">
            <w:pPr>
              <w:jc w:val="center"/>
              <w:rPr>
                <w:rFonts w:cs="Arial"/>
                <w:color w:val="323233"/>
                <w:sz w:val="18"/>
                <w:szCs w:val="18"/>
              </w:rPr>
            </w:pPr>
            <w:r>
              <w:rPr>
                <w:rFonts w:cs="Arial"/>
                <w:color w:val="323233"/>
                <w:sz w:val="18"/>
                <w:szCs w:val="18"/>
              </w:rPr>
              <w:t>3.</w:t>
            </w:r>
          </w:p>
        </w:tc>
        <w:tc>
          <w:tcPr>
            <w:tcW w:w="3932" w:type="dxa"/>
          </w:tcPr>
          <w:p w14:paraId="5AEE0D06" w14:textId="77777777" w:rsidR="00114953" w:rsidRPr="009027B6" w:rsidRDefault="00114953" w:rsidP="00BF3A72">
            <w:pPr>
              <w:jc w:val="both"/>
              <w:rPr>
                <w:rFonts w:cs="Arial"/>
                <w:color w:val="323233"/>
                <w:sz w:val="18"/>
                <w:szCs w:val="18"/>
              </w:rPr>
            </w:pPr>
            <w:proofErr w:type="spellStart"/>
            <w:r>
              <w:rPr>
                <w:rFonts w:cs="Arial"/>
                <w:color w:val="323233"/>
                <w:sz w:val="18"/>
                <w:szCs w:val="18"/>
              </w:rPr>
              <w:t>Līgums</w:t>
            </w:r>
            <w:proofErr w:type="spellEnd"/>
            <w:r>
              <w:rPr>
                <w:rFonts w:cs="Arial"/>
                <w:color w:val="323233"/>
                <w:sz w:val="18"/>
                <w:szCs w:val="18"/>
              </w:rPr>
              <w:t xml:space="preserve"> </w:t>
            </w:r>
            <w:proofErr w:type="spellStart"/>
            <w:r>
              <w:rPr>
                <w:rFonts w:cs="Arial"/>
                <w:color w:val="323233"/>
                <w:sz w:val="18"/>
                <w:szCs w:val="18"/>
              </w:rPr>
              <w:t>starp</w:t>
            </w:r>
            <w:proofErr w:type="spellEnd"/>
            <w:r>
              <w:rPr>
                <w:rFonts w:cs="Arial"/>
                <w:color w:val="323233"/>
                <w:sz w:val="18"/>
                <w:szCs w:val="18"/>
              </w:rPr>
              <w:t xml:space="preserve"> </w:t>
            </w:r>
            <w:proofErr w:type="spellStart"/>
            <w:r>
              <w:rPr>
                <w:rFonts w:cs="Arial"/>
                <w:color w:val="323233"/>
                <w:sz w:val="18"/>
                <w:szCs w:val="18"/>
              </w:rPr>
              <w:t>Latviju</w:t>
            </w:r>
            <w:proofErr w:type="spellEnd"/>
            <w:r>
              <w:rPr>
                <w:rFonts w:cs="Arial"/>
                <w:color w:val="323233"/>
                <w:sz w:val="18"/>
                <w:szCs w:val="18"/>
              </w:rPr>
              <w:t xml:space="preserve"> </w:t>
            </w:r>
            <w:proofErr w:type="spellStart"/>
            <w:r>
              <w:rPr>
                <w:rFonts w:cs="Arial"/>
                <w:color w:val="323233"/>
                <w:sz w:val="18"/>
                <w:szCs w:val="18"/>
              </w:rPr>
              <w:t>un</w:t>
            </w:r>
            <w:proofErr w:type="spellEnd"/>
            <w:r>
              <w:rPr>
                <w:rFonts w:cs="Arial"/>
                <w:color w:val="323233"/>
                <w:sz w:val="18"/>
                <w:szCs w:val="18"/>
              </w:rPr>
              <w:t xml:space="preserve"> </w:t>
            </w:r>
            <w:proofErr w:type="spellStart"/>
            <w:r>
              <w:rPr>
                <w:rFonts w:cs="Arial"/>
                <w:color w:val="323233"/>
                <w:sz w:val="18"/>
                <w:szCs w:val="18"/>
              </w:rPr>
              <w:t>Baltkrieviju</w:t>
            </w:r>
            <w:proofErr w:type="spellEnd"/>
          </w:p>
        </w:tc>
        <w:tc>
          <w:tcPr>
            <w:tcW w:w="2302" w:type="dxa"/>
          </w:tcPr>
          <w:p w14:paraId="797688D3" w14:textId="77777777" w:rsidR="00114953" w:rsidRPr="009027B6" w:rsidRDefault="00114953" w:rsidP="00BF3A72">
            <w:pPr>
              <w:jc w:val="center"/>
              <w:rPr>
                <w:rFonts w:cs="Arial"/>
                <w:color w:val="323233"/>
                <w:sz w:val="18"/>
                <w:szCs w:val="18"/>
              </w:rPr>
            </w:pPr>
            <w:r>
              <w:rPr>
                <w:rFonts w:cs="Arial"/>
                <w:color w:val="323233"/>
                <w:sz w:val="18"/>
                <w:szCs w:val="18"/>
              </w:rPr>
              <w:t>38.pants</w:t>
            </w:r>
          </w:p>
        </w:tc>
        <w:tc>
          <w:tcPr>
            <w:tcW w:w="2302" w:type="dxa"/>
          </w:tcPr>
          <w:p w14:paraId="536C0B33" w14:textId="77777777" w:rsidR="00114953" w:rsidRPr="006A6BA0" w:rsidRDefault="00114953" w:rsidP="00BF3A72">
            <w:pPr>
              <w:jc w:val="both"/>
              <w:rPr>
                <w:rFonts w:cs="Arial"/>
                <w:color w:val="323233"/>
                <w:sz w:val="18"/>
                <w:szCs w:val="18"/>
              </w:rPr>
            </w:pPr>
            <w:r w:rsidRPr="006A6BA0">
              <w:rPr>
                <w:rFonts w:cs="Arial"/>
                <w:color w:val="323233"/>
                <w:sz w:val="18"/>
                <w:szCs w:val="18"/>
              </w:rPr>
              <w:t>„</w:t>
            </w:r>
            <w:r>
              <w:rPr>
                <w:rFonts w:cs="Arial"/>
                <w:color w:val="323233"/>
                <w:sz w:val="18"/>
                <w:szCs w:val="18"/>
              </w:rPr>
              <w:t>(1)</w:t>
            </w:r>
            <w:r w:rsidRPr="006A6BA0">
              <w:rPr>
                <w:rFonts w:cs="Arial"/>
                <w:color w:val="323233"/>
                <w:sz w:val="18"/>
                <w:szCs w:val="18"/>
              </w:rPr>
              <w:t xml:space="preserve"> </w:t>
            </w:r>
            <w:proofErr w:type="spellStart"/>
            <w:r w:rsidRPr="006A6BA0">
              <w:rPr>
                <w:rFonts w:cs="Arial"/>
                <w:color w:val="323233"/>
                <w:sz w:val="18"/>
                <w:szCs w:val="18"/>
              </w:rPr>
              <w:t>Darījuma</w:t>
            </w:r>
            <w:proofErr w:type="spellEnd"/>
            <w:r w:rsidRPr="006A6BA0">
              <w:rPr>
                <w:rFonts w:cs="Arial"/>
                <w:color w:val="323233"/>
                <w:sz w:val="18"/>
                <w:szCs w:val="18"/>
              </w:rPr>
              <w:t xml:space="preserve"> </w:t>
            </w:r>
            <w:proofErr w:type="spellStart"/>
            <w:r w:rsidRPr="006A6BA0">
              <w:rPr>
                <w:rFonts w:cs="Arial"/>
                <w:color w:val="323233"/>
                <w:sz w:val="18"/>
                <w:szCs w:val="18"/>
              </w:rPr>
              <w:t>formu</w:t>
            </w:r>
            <w:proofErr w:type="spellEnd"/>
            <w:r w:rsidRPr="006A6BA0">
              <w:rPr>
                <w:rFonts w:cs="Arial"/>
                <w:color w:val="323233"/>
                <w:sz w:val="18"/>
                <w:szCs w:val="18"/>
              </w:rPr>
              <w:t xml:space="preserve"> </w:t>
            </w:r>
            <w:proofErr w:type="spellStart"/>
            <w:r w:rsidRPr="006A6BA0">
              <w:rPr>
                <w:rFonts w:cs="Arial"/>
                <w:color w:val="323233"/>
                <w:sz w:val="18"/>
                <w:szCs w:val="18"/>
              </w:rPr>
              <w:t>un</w:t>
            </w:r>
            <w:proofErr w:type="spellEnd"/>
            <w:r w:rsidRPr="006A6BA0">
              <w:rPr>
                <w:rFonts w:cs="Arial"/>
                <w:color w:val="323233"/>
                <w:sz w:val="18"/>
                <w:szCs w:val="18"/>
              </w:rPr>
              <w:t xml:space="preserve"> </w:t>
            </w:r>
            <w:proofErr w:type="spellStart"/>
            <w:r w:rsidRPr="003B0626">
              <w:rPr>
                <w:rFonts w:cs="Arial"/>
                <w:color w:val="323233"/>
                <w:sz w:val="18"/>
                <w:szCs w:val="18"/>
              </w:rPr>
              <w:t>darījuma</w:t>
            </w:r>
            <w:proofErr w:type="spellEnd"/>
            <w:r w:rsidRPr="003B0626">
              <w:rPr>
                <w:rFonts w:cs="Arial"/>
                <w:color w:val="323233"/>
                <w:sz w:val="18"/>
                <w:szCs w:val="18"/>
              </w:rPr>
              <w:t xml:space="preserve"> </w:t>
            </w:r>
            <w:proofErr w:type="spellStart"/>
            <w:r w:rsidRPr="003B0626">
              <w:rPr>
                <w:rFonts w:cs="Arial"/>
                <w:color w:val="323233"/>
                <w:sz w:val="18"/>
                <w:szCs w:val="18"/>
              </w:rPr>
              <w:t>pušu</w:t>
            </w:r>
            <w:proofErr w:type="spellEnd"/>
            <w:r w:rsidRPr="003B0626">
              <w:rPr>
                <w:rFonts w:cs="Arial"/>
                <w:color w:val="323233"/>
                <w:sz w:val="18"/>
                <w:szCs w:val="18"/>
              </w:rPr>
              <w:t xml:space="preserve"> </w:t>
            </w:r>
            <w:proofErr w:type="spellStart"/>
            <w:r w:rsidRPr="003B0626">
              <w:rPr>
                <w:rFonts w:cs="Arial"/>
                <w:color w:val="323233"/>
                <w:sz w:val="18"/>
                <w:szCs w:val="18"/>
              </w:rPr>
              <w:t>pienākumus</w:t>
            </w:r>
            <w:proofErr w:type="spellEnd"/>
            <w:r w:rsidRPr="006A6BA0">
              <w:rPr>
                <w:rFonts w:cs="Arial"/>
                <w:color w:val="323233"/>
                <w:sz w:val="18"/>
                <w:szCs w:val="18"/>
              </w:rPr>
              <w:t xml:space="preserve"> </w:t>
            </w:r>
            <w:proofErr w:type="spellStart"/>
            <w:r w:rsidRPr="006A6BA0">
              <w:rPr>
                <w:rFonts w:cs="Arial"/>
                <w:color w:val="323233"/>
                <w:sz w:val="18"/>
                <w:szCs w:val="18"/>
              </w:rPr>
              <w:t>nosaka</w:t>
            </w:r>
            <w:proofErr w:type="spellEnd"/>
            <w:r w:rsidRPr="006A6BA0">
              <w:rPr>
                <w:rFonts w:cs="Arial"/>
                <w:color w:val="323233"/>
                <w:sz w:val="18"/>
                <w:szCs w:val="18"/>
              </w:rPr>
              <w:t xml:space="preserve"> </w:t>
            </w:r>
            <w:proofErr w:type="spellStart"/>
            <w:r w:rsidRPr="006A6BA0">
              <w:rPr>
                <w:rFonts w:cs="Arial"/>
                <w:color w:val="323233"/>
                <w:sz w:val="18"/>
                <w:szCs w:val="18"/>
              </w:rPr>
              <w:t>tā</w:t>
            </w:r>
            <w:proofErr w:type="spellEnd"/>
            <w:r w:rsidRPr="006A6BA0">
              <w:rPr>
                <w:rFonts w:cs="Arial"/>
                <w:color w:val="323233"/>
                <w:sz w:val="18"/>
                <w:szCs w:val="18"/>
              </w:rPr>
              <w:t xml:space="preserve"> </w:t>
            </w:r>
            <w:proofErr w:type="spellStart"/>
            <w:r w:rsidRPr="006A6BA0">
              <w:rPr>
                <w:rFonts w:cs="Arial"/>
                <w:color w:val="323233"/>
                <w:sz w:val="18"/>
                <w:szCs w:val="18"/>
              </w:rPr>
              <w:t>noslēgšanas</w:t>
            </w:r>
            <w:proofErr w:type="spellEnd"/>
            <w:r w:rsidRPr="006A6BA0">
              <w:rPr>
                <w:rFonts w:cs="Arial"/>
                <w:color w:val="323233"/>
                <w:sz w:val="18"/>
                <w:szCs w:val="18"/>
              </w:rPr>
              <w:t xml:space="preserve"> </w:t>
            </w:r>
            <w:proofErr w:type="spellStart"/>
            <w:r w:rsidRPr="006A6BA0">
              <w:rPr>
                <w:rFonts w:cs="Arial"/>
                <w:color w:val="323233"/>
                <w:sz w:val="18"/>
                <w:szCs w:val="18"/>
              </w:rPr>
              <w:t>vietas</w:t>
            </w:r>
            <w:proofErr w:type="spellEnd"/>
            <w:r w:rsidRPr="006A6BA0">
              <w:rPr>
                <w:rFonts w:cs="Arial"/>
                <w:color w:val="323233"/>
                <w:sz w:val="18"/>
                <w:szCs w:val="18"/>
              </w:rPr>
              <w:t xml:space="preserve"> </w:t>
            </w:r>
            <w:proofErr w:type="spellStart"/>
            <w:r w:rsidRPr="006A6BA0">
              <w:rPr>
                <w:rFonts w:cs="Arial"/>
                <w:color w:val="323233"/>
                <w:sz w:val="18"/>
                <w:szCs w:val="18"/>
              </w:rPr>
              <w:t>likumdošana</w:t>
            </w:r>
            <w:proofErr w:type="spellEnd"/>
            <w:r w:rsidRPr="006A6BA0">
              <w:rPr>
                <w:rFonts w:cs="Arial"/>
                <w:color w:val="323233"/>
                <w:sz w:val="18"/>
                <w:szCs w:val="18"/>
              </w:rPr>
              <w:t xml:space="preserve">, ja </w:t>
            </w:r>
            <w:proofErr w:type="spellStart"/>
            <w:r w:rsidRPr="006A6BA0">
              <w:rPr>
                <w:rFonts w:cs="Arial"/>
                <w:color w:val="323233"/>
                <w:sz w:val="18"/>
                <w:szCs w:val="18"/>
              </w:rPr>
              <w:t>pušu</w:t>
            </w:r>
            <w:proofErr w:type="spellEnd"/>
            <w:r w:rsidRPr="006A6BA0">
              <w:rPr>
                <w:rFonts w:cs="Arial"/>
                <w:color w:val="323233"/>
                <w:sz w:val="18"/>
                <w:szCs w:val="18"/>
              </w:rPr>
              <w:t xml:space="preserve"> </w:t>
            </w:r>
            <w:proofErr w:type="spellStart"/>
            <w:r w:rsidRPr="006A6BA0">
              <w:rPr>
                <w:rFonts w:cs="Arial"/>
                <w:color w:val="323233"/>
                <w:sz w:val="18"/>
                <w:szCs w:val="18"/>
              </w:rPr>
              <w:t>vienošanās</w:t>
            </w:r>
            <w:proofErr w:type="spellEnd"/>
            <w:r w:rsidRPr="006A6BA0">
              <w:rPr>
                <w:rFonts w:cs="Arial"/>
                <w:color w:val="323233"/>
                <w:sz w:val="18"/>
                <w:szCs w:val="18"/>
              </w:rPr>
              <w:t xml:space="preserve"> </w:t>
            </w:r>
            <w:proofErr w:type="spellStart"/>
            <w:r w:rsidRPr="006A6BA0">
              <w:rPr>
                <w:rFonts w:cs="Arial"/>
                <w:color w:val="323233"/>
                <w:sz w:val="18"/>
                <w:szCs w:val="18"/>
              </w:rPr>
              <w:t>neparedz</w:t>
            </w:r>
            <w:proofErr w:type="spellEnd"/>
            <w:r w:rsidRPr="006A6BA0">
              <w:rPr>
                <w:rFonts w:cs="Arial"/>
                <w:color w:val="323233"/>
                <w:sz w:val="18"/>
                <w:szCs w:val="18"/>
              </w:rPr>
              <w:t xml:space="preserve"> </w:t>
            </w:r>
            <w:proofErr w:type="spellStart"/>
            <w:r w:rsidRPr="006A6BA0">
              <w:rPr>
                <w:rFonts w:cs="Arial"/>
                <w:color w:val="323233"/>
                <w:sz w:val="18"/>
                <w:szCs w:val="18"/>
              </w:rPr>
              <w:t>citu</w:t>
            </w:r>
            <w:proofErr w:type="spellEnd"/>
            <w:r w:rsidRPr="006A6BA0">
              <w:rPr>
                <w:rFonts w:cs="Arial"/>
                <w:color w:val="323233"/>
                <w:sz w:val="18"/>
                <w:szCs w:val="18"/>
              </w:rPr>
              <w:t xml:space="preserve"> </w:t>
            </w:r>
            <w:proofErr w:type="spellStart"/>
            <w:r w:rsidRPr="006A6BA0">
              <w:rPr>
                <w:rFonts w:cs="Arial"/>
                <w:color w:val="323233"/>
                <w:sz w:val="18"/>
                <w:szCs w:val="18"/>
              </w:rPr>
              <w:t>kārtību</w:t>
            </w:r>
            <w:proofErr w:type="spellEnd"/>
            <w:r>
              <w:rPr>
                <w:rFonts w:cs="Arial"/>
                <w:color w:val="323233"/>
                <w:sz w:val="18"/>
                <w:szCs w:val="18"/>
              </w:rPr>
              <w:t>. (2)</w:t>
            </w:r>
            <w:r w:rsidRPr="003B0626">
              <w:rPr>
                <w:rFonts w:cs="Arial"/>
                <w:color w:val="323233"/>
                <w:sz w:val="18"/>
                <w:szCs w:val="18"/>
              </w:rPr>
              <w:t xml:space="preserve"> </w:t>
            </w:r>
            <w:proofErr w:type="spellStart"/>
            <w:r w:rsidRPr="003B0626">
              <w:rPr>
                <w:rFonts w:cs="Arial"/>
                <w:color w:val="323233"/>
                <w:sz w:val="18"/>
                <w:szCs w:val="18"/>
              </w:rPr>
              <w:t>Darījuma</w:t>
            </w:r>
            <w:proofErr w:type="spellEnd"/>
            <w:r w:rsidRPr="003B0626">
              <w:rPr>
                <w:rFonts w:cs="Arial"/>
                <w:color w:val="323233"/>
                <w:sz w:val="18"/>
                <w:szCs w:val="18"/>
              </w:rPr>
              <w:t xml:space="preserve">, </w:t>
            </w:r>
            <w:proofErr w:type="spellStart"/>
            <w:r w:rsidRPr="003B0626">
              <w:rPr>
                <w:rFonts w:cs="Arial"/>
                <w:color w:val="323233"/>
                <w:sz w:val="18"/>
                <w:szCs w:val="18"/>
              </w:rPr>
              <w:t>kas</w:t>
            </w:r>
            <w:proofErr w:type="spellEnd"/>
            <w:r w:rsidRPr="003B0626">
              <w:rPr>
                <w:rFonts w:cs="Arial"/>
                <w:color w:val="323233"/>
                <w:sz w:val="18"/>
                <w:szCs w:val="18"/>
              </w:rPr>
              <w:t xml:space="preserve"> </w:t>
            </w:r>
            <w:proofErr w:type="spellStart"/>
            <w:r w:rsidRPr="003B0626">
              <w:rPr>
                <w:rFonts w:cs="Arial"/>
                <w:color w:val="323233"/>
                <w:sz w:val="18"/>
                <w:szCs w:val="18"/>
              </w:rPr>
              <w:t>saistīts</w:t>
            </w:r>
            <w:proofErr w:type="spellEnd"/>
            <w:r w:rsidRPr="003B0626">
              <w:rPr>
                <w:rFonts w:cs="Arial"/>
                <w:color w:val="323233"/>
                <w:sz w:val="18"/>
                <w:szCs w:val="18"/>
              </w:rPr>
              <w:t xml:space="preserve"> </w:t>
            </w:r>
            <w:proofErr w:type="spellStart"/>
            <w:r w:rsidRPr="003B0626">
              <w:rPr>
                <w:rFonts w:cs="Arial"/>
                <w:color w:val="323233"/>
                <w:sz w:val="18"/>
                <w:szCs w:val="18"/>
              </w:rPr>
              <w:t>ar</w:t>
            </w:r>
            <w:proofErr w:type="spellEnd"/>
            <w:r w:rsidRPr="003B0626">
              <w:rPr>
                <w:rFonts w:cs="Arial"/>
                <w:color w:val="323233"/>
                <w:sz w:val="18"/>
                <w:szCs w:val="18"/>
              </w:rPr>
              <w:t xml:space="preserve"> </w:t>
            </w:r>
            <w:proofErr w:type="spellStart"/>
            <w:r w:rsidRPr="003B0626">
              <w:rPr>
                <w:rFonts w:cs="Arial"/>
                <w:color w:val="323233"/>
                <w:sz w:val="18"/>
                <w:szCs w:val="18"/>
              </w:rPr>
              <w:t>ēkām</w:t>
            </w:r>
            <w:proofErr w:type="spellEnd"/>
            <w:r w:rsidRPr="003B0626">
              <w:rPr>
                <w:rFonts w:cs="Arial"/>
                <w:color w:val="323233"/>
                <w:sz w:val="18"/>
                <w:szCs w:val="18"/>
              </w:rPr>
              <w:t xml:space="preserve"> </w:t>
            </w:r>
            <w:proofErr w:type="spellStart"/>
            <w:r w:rsidRPr="003B0626">
              <w:rPr>
                <w:rFonts w:cs="Arial"/>
                <w:color w:val="323233"/>
                <w:sz w:val="18"/>
                <w:szCs w:val="18"/>
              </w:rPr>
              <w:t>vai</w:t>
            </w:r>
            <w:proofErr w:type="spellEnd"/>
            <w:r w:rsidRPr="003B0626">
              <w:rPr>
                <w:rFonts w:cs="Arial"/>
                <w:color w:val="323233"/>
                <w:sz w:val="18"/>
                <w:szCs w:val="18"/>
              </w:rPr>
              <w:t xml:space="preserve"> </w:t>
            </w:r>
            <w:proofErr w:type="spellStart"/>
            <w:r w:rsidRPr="003B0626">
              <w:rPr>
                <w:rFonts w:cs="Arial"/>
                <w:color w:val="323233"/>
                <w:sz w:val="18"/>
                <w:szCs w:val="18"/>
              </w:rPr>
              <w:t>citu</w:t>
            </w:r>
            <w:proofErr w:type="spellEnd"/>
            <w:r w:rsidRPr="003B0626">
              <w:rPr>
                <w:rFonts w:cs="Arial"/>
                <w:color w:val="323233"/>
                <w:sz w:val="18"/>
                <w:szCs w:val="18"/>
              </w:rPr>
              <w:t xml:space="preserve"> </w:t>
            </w:r>
            <w:proofErr w:type="spellStart"/>
            <w:r w:rsidRPr="003B0626">
              <w:rPr>
                <w:rFonts w:cs="Arial"/>
                <w:color w:val="323233"/>
                <w:sz w:val="18"/>
                <w:szCs w:val="18"/>
              </w:rPr>
              <w:t>nekustamo</w:t>
            </w:r>
            <w:proofErr w:type="spellEnd"/>
            <w:r w:rsidRPr="003B0626">
              <w:rPr>
                <w:rFonts w:cs="Arial"/>
                <w:color w:val="323233"/>
                <w:sz w:val="18"/>
                <w:szCs w:val="18"/>
              </w:rPr>
              <w:t xml:space="preserve"> </w:t>
            </w:r>
            <w:proofErr w:type="spellStart"/>
            <w:r w:rsidRPr="003B0626">
              <w:rPr>
                <w:rFonts w:cs="Arial"/>
                <w:color w:val="323233"/>
                <w:sz w:val="18"/>
                <w:szCs w:val="18"/>
              </w:rPr>
              <w:t>īpašumu</w:t>
            </w:r>
            <w:proofErr w:type="spellEnd"/>
            <w:r w:rsidRPr="003B0626">
              <w:rPr>
                <w:rFonts w:cs="Arial"/>
                <w:color w:val="323233"/>
                <w:sz w:val="18"/>
                <w:szCs w:val="18"/>
              </w:rPr>
              <w:t xml:space="preserve"> </w:t>
            </w:r>
            <w:proofErr w:type="spellStart"/>
            <w:r w:rsidRPr="003B0626">
              <w:rPr>
                <w:rFonts w:cs="Arial"/>
                <w:color w:val="323233"/>
                <w:sz w:val="18"/>
                <w:szCs w:val="18"/>
              </w:rPr>
              <w:t>un</w:t>
            </w:r>
            <w:proofErr w:type="spellEnd"/>
            <w:r w:rsidRPr="003B0626">
              <w:rPr>
                <w:rFonts w:cs="Arial"/>
                <w:color w:val="323233"/>
                <w:sz w:val="18"/>
                <w:szCs w:val="18"/>
              </w:rPr>
              <w:t xml:space="preserve"> </w:t>
            </w:r>
            <w:proofErr w:type="spellStart"/>
            <w:r w:rsidRPr="003B0626">
              <w:rPr>
                <w:rFonts w:cs="Arial"/>
                <w:color w:val="323233"/>
                <w:sz w:val="18"/>
                <w:szCs w:val="18"/>
              </w:rPr>
              <w:t>tiesībām</w:t>
            </w:r>
            <w:proofErr w:type="spellEnd"/>
            <w:r w:rsidRPr="003B0626">
              <w:rPr>
                <w:rFonts w:cs="Arial"/>
                <w:color w:val="323233"/>
                <w:sz w:val="18"/>
                <w:szCs w:val="18"/>
              </w:rPr>
              <w:t xml:space="preserve"> </w:t>
            </w:r>
            <w:proofErr w:type="spellStart"/>
            <w:r w:rsidRPr="003B0626">
              <w:rPr>
                <w:rFonts w:cs="Arial"/>
                <w:color w:val="323233"/>
                <w:sz w:val="18"/>
                <w:szCs w:val="18"/>
              </w:rPr>
              <w:t>uz</w:t>
            </w:r>
            <w:proofErr w:type="spellEnd"/>
            <w:r w:rsidRPr="003B0626">
              <w:rPr>
                <w:rFonts w:cs="Arial"/>
                <w:color w:val="323233"/>
                <w:sz w:val="18"/>
                <w:szCs w:val="18"/>
              </w:rPr>
              <w:t xml:space="preserve"> </w:t>
            </w:r>
            <w:proofErr w:type="spellStart"/>
            <w:r w:rsidRPr="003B0626">
              <w:rPr>
                <w:rFonts w:cs="Arial"/>
                <w:color w:val="323233"/>
                <w:sz w:val="18"/>
                <w:szCs w:val="18"/>
              </w:rPr>
              <w:t>to</w:t>
            </w:r>
            <w:proofErr w:type="spellEnd"/>
            <w:r w:rsidRPr="003B0626">
              <w:rPr>
                <w:rFonts w:cs="Arial"/>
                <w:color w:val="323233"/>
                <w:sz w:val="18"/>
                <w:szCs w:val="18"/>
              </w:rPr>
              <w:t xml:space="preserve">, </w:t>
            </w:r>
            <w:proofErr w:type="spellStart"/>
            <w:r w:rsidRPr="003B0626">
              <w:rPr>
                <w:rFonts w:cs="Arial"/>
                <w:color w:val="323233"/>
                <w:sz w:val="18"/>
                <w:szCs w:val="18"/>
              </w:rPr>
              <w:t>formu</w:t>
            </w:r>
            <w:proofErr w:type="spellEnd"/>
            <w:r w:rsidRPr="003B0626">
              <w:rPr>
                <w:rFonts w:cs="Arial"/>
                <w:color w:val="323233"/>
                <w:sz w:val="18"/>
                <w:szCs w:val="18"/>
              </w:rPr>
              <w:t xml:space="preserve"> </w:t>
            </w:r>
            <w:proofErr w:type="spellStart"/>
            <w:r w:rsidRPr="003B0626">
              <w:rPr>
                <w:rFonts w:cs="Arial"/>
                <w:color w:val="323233"/>
                <w:sz w:val="18"/>
                <w:szCs w:val="18"/>
              </w:rPr>
              <w:t>nosaka</w:t>
            </w:r>
            <w:proofErr w:type="spellEnd"/>
            <w:r w:rsidRPr="003B0626">
              <w:rPr>
                <w:rFonts w:cs="Arial"/>
                <w:color w:val="323233"/>
                <w:sz w:val="18"/>
                <w:szCs w:val="18"/>
              </w:rPr>
              <w:t xml:space="preserve"> </w:t>
            </w:r>
            <w:proofErr w:type="spellStart"/>
            <w:r w:rsidRPr="003B0626">
              <w:rPr>
                <w:rFonts w:cs="Arial"/>
                <w:color w:val="323233"/>
                <w:sz w:val="18"/>
                <w:szCs w:val="18"/>
              </w:rPr>
              <w:t>tās</w:t>
            </w:r>
            <w:proofErr w:type="spellEnd"/>
            <w:r w:rsidRPr="003B0626">
              <w:rPr>
                <w:rFonts w:cs="Arial"/>
                <w:color w:val="323233"/>
                <w:sz w:val="18"/>
                <w:szCs w:val="18"/>
              </w:rPr>
              <w:t xml:space="preserve"> </w:t>
            </w:r>
            <w:proofErr w:type="spellStart"/>
            <w:r w:rsidRPr="003B0626">
              <w:rPr>
                <w:rFonts w:cs="Arial"/>
                <w:color w:val="323233"/>
                <w:sz w:val="18"/>
                <w:szCs w:val="18"/>
              </w:rPr>
              <w:t>Līgumslēdzējas</w:t>
            </w:r>
            <w:proofErr w:type="spellEnd"/>
            <w:r w:rsidRPr="003B0626">
              <w:rPr>
                <w:rFonts w:cs="Arial"/>
                <w:color w:val="323233"/>
                <w:sz w:val="18"/>
                <w:szCs w:val="18"/>
              </w:rPr>
              <w:t xml:space="preserve"> </w:t>
            </w:r>
            <w:proofErr w:type="spellStart"/>
            <w:r w:rsidRPr="003B0626">
              <w:rPr>
                <w:rFonts w:cs="Arial"/>
                <w:color w:val="323233"/>
                <w:sz w:val="18"/>
                <w:szCs w:val="18"/>
              </w:rPr>
              <w:t>Puses</w:t>
            </w:r>
            <w:proofErr w:type="spellEnd"/>
            <w:r w:rsidRPr="003B0626">
              <w:rPr>
                <w:rFonts w:cs="Arial"/>
                <w:color w:val="323233"/>
                <w:sz w:val="18"/>
                <w:szCs w:val="18"/>
              </w:rPr>
              <w:t xml:space="preserve"> </w:t>
            </w:r>
            <w:proofErr w:type="spellStart"/>
            <w:r w:rsidRPr="003B0626">
              <w:rPr>
                <w:rFonts w:cs="Arial"/>
                <w:color w:val="323233"/>
                <w:sz w:val="18"/>
                <w:szCs w:val="18"/>
              </w:rPr>
              <w:t>likumdošana</w:t>
            </w:r>
            <w:proofErr w:type="spellEnd"/>
            <w:r w:rsidRPr="003B0626">
              <w:rPr>
                <w:rFonts w:cs="Arial"/>
                <w:color w:val="323233"/>
                <w:sz w:val="18"/>
                <w:szCs w:val="18"/>
              </w:rPr>
              <w:t xml:space="preserve">, </w:t>
            </w:r>
            <w:proofErr w:type="spellStart"/>
            <w:r w:rsidRPr="003B0626">
              <w:rPr>
                <w:rFonts w:cs="Arial"/>
                <w:color w:val="323233"/>
                <w:sz w:val="18"/>
                <w:szCs w:val="18"/>
              </w:rPr>
              <w:t>kuras</w:t>
            </w:r>
            <w:proofErr w:type="spellEnd"/>
            <w:r w:rsidRPr="003B0626">
              <w:rPr>
                <w:rFonts w:cs="Arial"/>
                <w:color w:val="323233"/>
                <w:sz w:val="18"/>
                <w:szCs w:val="18"/>
              </w:rPr>
              <w:t xml:space="preserve"> </w:t>
            </w:r>
            <w:proofErr w:type="spellStart"/>
            <w:r>
              <w:rPr>
                <w:rFonts w:cs="Arial"/>
                <w:color w:val="323233"/>
                <w:sz w:val="18"/>
                <w:szCs w:val="18"/>
              </w:rPr>
              <w:t>teritorijā</w:t>
            </w:r>
            <w:proofErr w:type="spellEnd"/>
            <w:r>
              <w:rPr>
                <w:rFonts w:cs="Arial"/>
                <w:color w:val="323233"/>
                <w:sz w:val="18"/>
                <w:szCs w:val="18"/>
              </w:rPr>
              <w:t xml:space="preserve"> </w:t>
            </w:r>
            <w:proofErr w:type="spellStart"/>
            <w:r>
              <w:rPr>
                <w:rFonts w:cs="Arial"/>
                <w:color w:val="323233"/>
                <w:sz w:val="18"/>
                <w:szCs w:val="18"/>
              </w:rPr>
              <w:t>šāds</w:t>
            </w:r>
            <w:proofErr w:type="spellEnd"/>
            <w:r>
              <w:rPr>
                <w:rFonts w:cs="Arial"/>
                <w:color w:val="323233"/>
                <w:sz w:val="18"/>
                <w:szCs w:val="18"/>
              </w:rPr>
              <w:t xml:space="preserve"> </w:t>
            </w:r>
            <w:proofErr w:type="spellStart"/>
            <w:r>
              <w:rPr>
                <w:rFonts w:cs="Arial"/>
                <w:color w:val="323233"/>
                <w:sz w:val="18"/>
                <w:szCs w:val="18"/>
              </w:rPr>
              <w:t>īpašums</w:t>
            </w:r>
            <w:proofErr w:type="spellEnd"/>
            <w:r>
              <w:rPr>
                <w:rFonts w:cs="Arial"/>
                <w:color w:val="323233"/>
                <w:sz w:val="18"/>
                <w:szCs w:val="18"/>
              </w:rPr>
              <w:t xml:space="preserve"> </w:t>
            </w:r>
            <w:proofErr w:type="spellStart"/>
            <w:r>
              <w:rPr>
                <w:rFonts w:cs="Arial"/>
                <w:color w:val="323233"/>
                <w:sz w:val="18"/>
                <w:szCs w:val="18"/>
              </w:rPr>
              <w:t>atrodas</w:t>
            </w:r>
            <w:proofErr w:type="spellEnd"/>
            <w:r w:rsidRPr="003B0626">
              <w:rPr>
                <w:rFonts w:cs="Arial"/>
                <w:color w:val="323233"/>
                <w:sz w:val="18"/>
                <w:szCs w:val="18"/>
              </w:rPr>
              <w:t>“.</w:t>
            </w:r>
          </w:p>
        </w:tc>
      </w:tr>
      <w:tr w:rsidR="00114953" w:rsidRPr="000C7C76" w14:paraId="441BB942" w14:textId="77777777" w:rsidTr="00BF3A72">
        <w:trPr>
          <w:gridAfter w:val="1"/>
          <w:wAfter w:w="38" w:type="dxa"/>
        </w:trPr>
        <w:tc>
          <w:tcPr>
            <w:tcW w:w="675" w:type="dxa"/>
          </w:tcPr>
          <w:p w14:paraId="77117B59" w14:textId="77777777" w:rsidR="00114953" w:rsidRPr="009027B6" w:rsidRDefault="00114953" w:rsidP="00BF3A72">
            <w:pPr>
              <w:jc w:val="center"/>
              <w:rPr>
                <w:rFonts w:cs="Arial"/>
                <w:color w:val="323233"/>
                <w:sz w:val="18"/>
                <w:szCs w:val="18"/>
              </w:rPr>
            </w:pPr>
            <w:r>
              <w:rPr>
                <w:rFonts w:cs="Arial"/>
                <w:color w:val="323233"/>
                <w:sz w:val="18"/>
                <w:szCs w:val="18"/>
              </w:rPr>
              <w:t>4.</w:t>
            </w:r>
          </w:p>
        </w:tc>
        <w:tc>
          <w:tcPr>
            <w:tcW w:w="3932" w:type="dxa"/>
          </w:tcPr>
          <w:p w14:paraId="74B60B87" w14:textId="77777777" w:rsidR="00114953" w:rsidRPr="009027B6" w:rsidRDefault="00114953" w:rsidP="00BF3A72">
            <w:pPr>
              <w:jc w:val="both"/>
              <w:rPr>
                <w:rFonts w:cs="Arial"/>
                <w:color w:val="323233"/>
                <w:sz w:val="18"/>
                <w:szCs w:val="18"/>
              </w:rPr>
            </w:pPr>
            <w:proofErr w:type="spellStart"/>
            <w:r>
              <w:rPr>
                <w:rFonts w:cs="Arial"/>
                <w:color w:val="323233"/>
                <w:sz w:val="18"/>
                <w:szCs w:val="18"/>
              </w:rPr>
              <w:t>Līgums</w:t>
            </w:r>
            <w:proofErr w:type="spellEnd"/>
            <w:r>
              <w:rPr>
                <w:rFonts w:cs="Arial"/>
                <w:color w:val="323233"/>
                <w:sz w:val="18"/>
                <w:szCs w:val="18"/>
              </w:rPr>
              <w:t xml:space="preserve"> </w:t>
            </w:r>
            <w:proofErr w:type="spellStart"/>
            <w:r>
              <w:rPr>
                <w:rFonts w:cs="Arial"/>
                <w:color w:val="323233"/>
                <w:sz w:val="18"/>
                <w:szCs w:val="18"/>
              </w:rPr>
              <w:t>starp</w:t>
            </w:r>
            <w:proofErr w:type="spellEnd"/>
            <w:r>
              <w:rPr>
                <w:rFonts w:cs="Arial"/>
                <w:color w:val="323233"/>
                <w:sz w:val="18"/>
                <w:szCs w:val="18"/>
              </w:rPr>
              <w:t xml:space="preserve"> </w:t>
            </w:r>
            <w:proofErr w:type="spellStart"/>
            <w:r>
              <w:rPr>
                <w:rFonts w:cs="Arial"/>
                <w:color w:val="323233"/>
                <w:sz w:val="18"/>
                <w:szCs w:val="18"/>
              </w:rPr>
              <w:t>Latviju</w:t>
            </w:r>
            <w:proofErr w:type="spellEnd"/>
            <w:r>
              <w:rPr>
                <w:rFonts w:cs="Arial"/>
                <w:color w:val="323233"/>
                <w:sz w:val="18"/>
                <w:szCs w:val="18"/>
              </w:rPr>
              <w:t xml:space="preserve"> </w:t>
            </w:r>
            <w:proofErr w:type="spellStart"/>
            <w:r>
              <w:rPr>
                <w:rFonts w:cs="Arial"/>
                <w:color w:val="323233"/>
                <w:sz w:val="18"/>
                <w:szCs w:val="18"/>
              </w:rPr>
              <w:t>un</w:t>
            </w:r>
            <w:proofErr w:type="spellEnd"/>
            <w:r>
              <w:rPr>
                <w:rFonts w:cs="Arial"/>
                <w:color w:val="323233"/>
                <w:sz w:val="18"/>
                <w:szCs w:val="18"/>
              </w:rPr>
              <w:t xml:space="preserve"> </w:t>
            </w:r>
            <w:proofErr w:type="spellStart"/>
            <w:r>
              <w:rPr>
                <w:rFonts w:cs="Arial"/>
                <w:color w:val="323233"/>
                <w:sz w:val="18"/>
                <w:szCs w:val="18"/>
              </w:rPr>
              <w:t>Poliju</w:t>
            </w:r>
            <w:proofErr w:type="spellEnd"/>
          </w:p>
        </w:tc>
        <w:tc>
          <w:tcPr>
            <w:tcW w:w="2302" w:type="dxa"/>
          </w:tcPr>
          <w:p w14:paraId="06E5202D" w14:textId="77777777" w:rsidR="00114953" w:rsidRPr="009027B6" w:rsidRDefault="00114953" w:rsidP="00BF3A72">
            <w:pPr>
              <w:jc w:val="center"/>
              <w:rPr>
                <w:rFonts w:cs="Arial"/>
                <w:color w:val="323233"/>
                <w:sz w:val="18"/>
                <w:szCs w:val="18"/>
              </w:rPr>
            </w:pPr>
            <w:r>
              <w:rPr>
                <w:rFonts w:cs="Arial"/>
                <w:color w:val="323233"/>
                <w:sz w:val="18"/>
                <w:szCs w:val="18"/>
              </w:rPr>
              <w:t>37.pants</w:t>
            </w:r>
          </w:p>
        </w:tc>
        <w:tc>
          <w:tcPr>
            <w:tcW w:w="2302" w:type="dxa"/>
          </w:tcPr>
          <w:p w14:paraId="1F1001A4" w14:textId="77777777" w:rsidR="00114953" w:rsidRPr="009027B6" w:rsidRDefault="00114953" w:rsidP="00BF3A72">
            <w:pPr>
              <w:jc w:val="both"/>
              <w:rPr>
                <w:rFonts w:cs="Arial"/>
                <w:color w:val="323233"/>
                <w:sz w:val="18"/>
                <w:szCs w:val="18"/>
              </w:rPr>
            </w:pPr>
            <w:r>
              <w:rPr>
                <w:rFonts w:cs="Arial"/>
                <w:color w:val="323233"/>
                <w:sz w:val="18"/>
                <w:szCs w:val="18"/>
              </w:rPr>
              <w:t xml:space="preserve">„(1) </w:t>
            </w:r>
            <w:proofErr w:type="spellStart"/>
            <w:r>
              <w:rPr>
                <w:rFonts w:cs="Arial"/>
                <w:color w:val="323233"/>
                <w:sz w:val="18"/>
                <w:szCs w:val="18"/>
              </w:rPr>
              <w:t>Tiesisko</w:t>
            </w:r>
            <w:proofErr w:type="spellEnd"/>
            <w:r>
              <w:rPr>
                <w:rFonts w:cs="Arial"/>
                <w:color w:val="323233"/>
                <w:sz w:val="18"/>
                <w:szCs w:val="18"/>
              </w:rPr>
              <w:t xml:space="preserve"> </w:t>
            </w:r>
            <w:proofErr w:type="spellStart"/>
            <w:r>
              <w:rPr>
                <w:rFonts w:cs="Arial"/>
                <w:color w:val="323233"/>
                <w:sz w:val="18"/>
                <w:szCs w:val="18"/>
              </w:rPr>
              <w:t>darbību</w:t>
            </w:r>
            <w:proofErr w:type="spellEnd"/>
            <w:r>
              <w:rPr>
                <w:rFonts w:cs="Arial"/>
                <w:color w:val="323233"/>
                <w:sz w:val="18"/>
                <w:szCs w:val="18"/>
              </w:rPr>
              <w:t xml:space="preserve"> </w:t>
            </w:r>
            <w:proofErr w:type="spellStart"/>
            <w:r>
              <w:rPr>
                <w:rFonts w:cs="Arial"/>
                <w:color w:val="323233"/>
                <w:sz w:val="18"/>
                <w:szCs w:val="18"/>
              </w:rPr>
              <w:t>formu</w:t>
            </w:r>
            <w:proofErr w:type="spellEnd"/>
            <w:r>
              <w:rPr>
                <w:rFonts w:cs="Arial"/>
                <w:color w:val="323233"/>
                <w:sz w:val="18"/>
                <w:szCs w:val="18"/>
              </w:rPr>
              <w:t xml:space="preserve"> </w:t>
            </w:r>
            <w:proofErr w:type="spellStart"/>
            <w:r>
              <w:rPr>
                <w:rFonts w:cs="Arial"/>
                <w:color w:val="323233"/>
                <w:sz w:val="18"/>
                <w:szCs w:val="18"/>
              </w:rPr>
              <w:t>nosaka</w:t>
            </w:r>
            <w:proofErr w:type="spellEnd"/>
            <w:r>
              <w:rPr>
                <w:rFonts w:cs="Arial"/>
                <w:color w:val="323233"/>
                <w:sz w:val="18"/>
                <w:szCs w:val="18"/>
              </w:rPr>
              <w:t xml:space="preserve"> </w:t>
            </w:r>
            <w:proofErr w:type="spellStart"/>
            <w:r>
              <w:rPr>
                <w:rFonts w:cs="Arial"/>
                <w:color w:val="323233"/>
                <w:sz w:val="18"/>
                <w:szCs w:val="18"/>
              </w:rPr>
              <w:t>tās</w:t>
            </w:r>
            <w:proofErr w:type="spellEnd"/>
            <w:r>
              <w:rPr>
                <w:rFonts w:cs="Arial"/>
                <w:color w:val="323233"/>
                <w:sz w:val="18"/>
                <w:szCs w:val="18"/>
              </w:rPr>
              <w:t xml:space="preserve"> </w:t>
            </w:r>
            <w:proofErr w:type="spellStart"/>
            <w:r>
              <w:rPr>
                <w:rFonts w:cs="Arial"/>
                <w:color w:val="323233"/>
                <w:sz w:val="18"/>
                <w:szCs w:val="18"/>
              </w:rPr>
              <w:t>Līgumslēdzējas</w:t>
            </w:r>
            <w:proofErr w:type="spellEnd"/>
            <w:r>
              <w:rPr>
                <w:rFonts w:cs="Arial"/>
                <w:color w:val="323233"/>
                <w:sz w:val="18"/>
                <w:szCs w:val="18"/>
              </w:rPr>
              <w:t xml:space="preserve"> </w:t>
            </w:r>
            <w:proofErr w:type="spellStart"/>
            <w:r>
              <w:rPr>
                <w:rFonts w:cs="Arial"/>
                <w:color w:val="323233"/>
                <w:sz w:val="18"/>
                <w:szCs w:val="18"/>
              </w:rPr>
              <w:t>Puses</w:t>
            </w:r>
            <w:proofErr w:type="spellEnd"/>
            <w:r>
              <w:rPr>
                <w:rFonts w:cs="Arial"/>
                <w:color w:val="323233"/>
                <w:sz w:val="18"/>
                <w:szCs w:val="18"/>
              </w:rPr>
              <w:t xml:space="preserve"> </w:t>
            </w:r>
            <w:proofErr w:type="spellStart"/>
            <w:r>
              <w:rPr>
                <w:rFonts w:cs="Arial"/>
                <w:color w:val="323233"/>
                <w:sz w:val="18"/>
                <w:szCs w:val="18"/>
              </w:rPr>
              <w:t>likumdošana</w:t>
            </w:r>
            <w:proofErr w:type="spellEnd"/>
            <w:r>
              <w:rPr>
                <w:rFonts w:cs="Arial"/>
                <w:color w:val="323233"/>
                <w:sz w:val="18"/>
                <w:szCs w:val="18"/>
              </w:rPr>
              <w:t xml:space="preserve">, </w:t>
            </w:r>
            <w:proofErr w:type="spellStart"/>
            <w:r>
              <w:rPr>
                <w:rFonts w:cs="Arial"/>
                <w:color w:val="323233"/>
                <w:sz w:val="18"/>
                <w:szCs w:val="18"/>
              </w:rPr>
              <w:t>kura</w:t>
            </w:r>
            <w:proofErr w:type="spellEnd"/>
            <w:r>
              <w:rPr>
                <w:rFonts w:cs="Arial"/>
                <w:color w:val="323233"/>
                <w:sz w:val="18"/>
                <w:szCs w:val="18"/>
              </w:rPr>
              <w:t xml:space="preserve"> </w:t>
            </w:r>
            <w:proofErr w:type="spellStart"/>
            <w:r>
              <w:rPr>
                <w:rFonts w:cs="Arial"/>
                <w:color w:val="323233"/>
                <w:sz w:val="18"/>
                <w:szCs w:val="18"/>
              </w:rPr>
              <w:t>ir</w:t>
            </w:r>
            <w:proofErr w:type="spellEnd"/>
            <w:r>
              <w:rPr>
                <w:rFonts w:cs="Arial"/>
                <w:color w:val="323233"/>
                <w:sz w:val="18"/>
                <w:szCs w:val="18"/>
              </w:rPr>
              <w:t xml:space="preserve"> </w:t>
            </w:r>
            <w:proofErr w:type="spellStart"/>
            <w:r>
              <w:rPr>
                <w:rFonts w:cs="Arial"/>
                <w:color w:val="323233"/>
                <w:sz w:val="18"/>
                <w:szCs w:val="18"/>
              </w:rPr>
              <w:t>kompetenta</w:t>
            </w:r>
            <w:proofErr w:type="spellEnd"/>
            <w:r>
              <w:rPr>
                <w:rFonts w:cs="Arial"/>
                <w:color w:val="323233"/>
                <w:sz w:val="18"/>
                <w:szCs w:val="18"/>
              </w:rPr>
              <w:t xml:space="preserve"> </w:t>
            </w:r>
            <w:proofErr w:type="spellStart"/>
            <w:r>
              <w:rPr>
                <w:rFonts w:cs="Arial"/>
                <w:color w:val="323233"/>
                <w:sz w:val="18"/>
                <w:szCs w:val="18"/>
              </w:rPr>
              <w:t>veikt</w:t>
            </w:r>
            <w:proofErr w:type="spellEnd"/>
            <w:r>
              <w:rPr>
                <w:rFonts w:cs="Arial"/>
                <w:color w:val="323233"/>
                <w:sz w:val="18"/>
                <w:szCs w:val="18"/>
              </w:rPr>
              <w:t xml:space="preserve"> </w:t>
            </w:r>
            <w:proofErr w:type="spellStart"/>
            <w:r>
              <w:rPr>
                <w:rFonts w:cs="Arial"/>
                <w:color w:val="323233"/>
                <w:sz w:val="18"/>
                <w:szCs w:val="18"/>
              </w:rPr>
              <w:t>tiesisko</w:t>
            </w:r>
            <w:proofErr w:type="spellEnd"/>
            <w:r>
              <w:rPr>
                <w:rFonts w:cs="Arial"/>
                <w:color w:val="323233"/>
                <w:sz w:val="18"/>
                <w:szCs w:val="18"/>
              </w:rPr>
              <w:t xml:space="preserve"> </w:t>
            </w:r>
            <w:proofErr w:type="spellStart"/>
            <w:r>
              <w:rPr>
                <w:rFonts w:cs="Arial"/>
                <w:color w:val="323233"/>
                <w:sz w:val="18"/>
                <w:szCs w:val="18"/>
              </w:rPr>
              <w:t>darbību</w:t>
            </w:r>
            <w:proofErr w:type="spellEnd"/>
            <w:r>
              <w:rPr>
                <w:rFonts w:cs="Arial"/>
                <w:color w:val="323233"/>
                <w:sz w:val="18"/>
                <w:szCs w:val="18"/>
              </w:rPr>
              <w:t xml:space="preserve">. </w:t>
            </w:r>
            <w:proofErr w:type="spellStart"/>
            <w:r>
              <w:rPr>
                <w:rFonts w:cs="Arial"/>
                <w:color w:val="323233"/>
                <w:sz w:val="18"/>
                <w:szCs w:val="18"/>
              </w:rPr>
              <w:t>Tomēr</w:t>
            </w:r>
            <w:proofErr w:type="spellEnd"/>
            <w:r>
              <w:rPr>
                <w:rFonts w:cs="Arial"/>
                <w:color w:val="323233"/>
                <w:sz w:val="18"/>
                <w:szCs w:val="18"/>
              </w:rPr>
              <w:t xml:space="preserve"> </w:t>
            </w:r>
            <w:proofErr w:type="spellStart"/>
            <w:r>
              <w:rPr>
                <w:rFonts w:cs="Arial"/>
                <w:color w:val="323233"/>
                <w:sz w:val="18"/>
                <w:szCs w:val="18"/>
              </w:rPr>
              <w:t>pietiek</w:t>
            </w:r>
            <w:proofErr w:type="spellEnd"/>
            <w:r>
              <w:rPr>
                <w:rFonts w:cs="Arial"/>
                <w:color w:val="323233"/>
                <w:sz w:val="18"/>
                <w:szCs w:val="18"/>
              </w:rPr>
              <w:t xml:space="preserve"> </w:t>
            </w:r>
            <w:proofErr w:type="spellStart"/>
            <w:r>
              <w:rPr>
                <w:rFonts w:cs="Arial"/>
                <w:color w:val="323233"/>
                <w:sz w:val="18"/>
                <w:szCs w:val="18"/>
              </w:rPr>
              <w:t>saglabāt</w:t>
            </w:r>
            <w:proofErr w:type="spellEnd"/>
            <w:r>
              <w:rPr>
                <w:rFonts w:cs="Arial"/>
                <w:color w:val="323233"/>
                <w:sz w:val="18"/>
                <w:szCs w:val="18"/>
              </w:rPr>
              <w:t xml:space="preserve"> </w:t>
            </w:r>
            <w:proofErr w:type="spellStart"/>
            <w:r>
              <w:rPr>
                <w:rFonts w:cs="Arial"/>
                <w:color w:val="323233"/>
                <w:sz w:val="18"/>
                <w:szCs w:val="18"/>
              </w:rPr>
              <w:t>tādu</w:t>
            </w:r>
            <w:proofErr w:type="spellEnd"/>
            <w:r>
              <w:rPr>
                <w:rFonts w:cs="Arial"/>
                <w:color w:val="323233"/>
                <w:sz w:val="18"/>
                <w:szCs w:val="18"/>
              </w:rPr>
              <w:t xml:space="preserve"> </w:t>
            </w:r>
            <w:proofErr w:type="spellStart"/>
            <w:r>
              <w:rPr>
                <w:rFonts w:cs="Arial"/>
                <w:color w:val="323233"/>
                <w:sz w:val="18"/>
                <w:szCs w:val="18"/>
              </w:rPr>
              <w:t>formu</w:t>
            </w:r>
            <w:proofErr w:type="spellEnd"/>
            <w:r>
              <w:rPr>
                <w:rFonts w:cs="Arial"/>
                <w:color w:val="323233"/>
                <w:sz w:val="18"/>
                <w:szCs w:val="18"/>
              </w:rPr>
              <w:t xml:space="preserve">, </w:t>
            </w:r>
            <w:proofErr w:type="spellStart"/>
            <w:r>
              <w:rPr>
                <w:rFonts w:cs="Arial"/>
                <w:color w:val="323233"/>
                <w:sz w:val="18"/>
                <w:szCs w:val="18"/>
              </w:rPr>
              <w:t>kuru</w:t>
            </w:r>
            <w:proofErr w:type="spellEnd"/>
            <w:r>
              <w:rPr>
                <w:rFonts w:cs="Arial"/>
                <w:color w:val="323233"/>
                <w:sz w:val="18"/>
                <w:szCs w:val="18"/>
              </w:rPr>
              <w:t xml:space="preserve"> </w:t>
            </w:r>
            <w:proofErr w:type="spellStart"/>
            <w:r>
              <w:rPr>
                <w:rFonts w:cs="Arial"/>
                <w:color w:val="323233"/>
                <w:sz w:val="18"/>
                <w:szCs w:val="18"/>
              </w:rPr>
              <w:t>paredz</w:t>
            </w:r>
            <w:proofErr w:type="spellEnd"/>
            <w:r>
              <w:rPr>
                <w:rFonts w:cs="Arial"/>
                <w:color w:val="323233"/>
                <w:sz w:val="18"/>
                <w:szCs w:val="18"/>
              </w:rPr>
              <w:t xml:space="preserve"> </w:t>
            </w:r>
            <w:proofErr w:type="spellStart"/>
            <w:r>
              <w:rPr>
                <w:rFonts w:cs="Arial"/>
                <w:color w:val="323233"/>
                <w:sz w:val="18"/>
                <w:szCs w:val="18"/>
              </w:rPr>
              <w:t>tās</w:t>
            </w:r>
            <w:proofErr w:type="spellEnd"/>
            <w:r>
              <w:rPr>
                <w:rFonts w:cs="Arial"/>
                <w:color w:val="323233"/>
                <w:sz w:val="18"/>
                <w:szCs w:val="18"/>
              </w:rPr>
              <w:t xml:space="preserve"> </w:t>
            </w:r>
            <w:proofErr w:type="spellStart"/>
            <w:r>
              <w:rPr>
                <w:rFonts w:cs="Arial"/>
                <w:color w:val="323233"/>
                <w:sz w:val="18"/>
                <w:szCs w:val="18"/>
              </w:rPr>
              <w:t>Līgumslēdzējas</w:t>
            </w:r>
            <w:proofErr w:type="spellEnd"/>
            <w:r>
              <w:rPr>
                <w:rFonts w:cs="Arial"/>
                <w:color w:val="323233"/>
                <w:sz w:val="18"/>
                <w:szCs w:val="18"/>
              </w:rPr>
              <w:t xml:space="preserve"> </w:t>
            </w:r>
            <w:proofErr w:type="spellStart"/>
            <w:r>
              <w:rPr>
                <w:rFonts w:cs="Arial"/>
                <w:color w:val="323233"/>
                <w:sz w:val="18"/>
                <w:szCs w:val="18"/>
              </w:rPr>
              <w:t>Puses</w:t>
            </w:r>
            <w:proofErr w:type="spellEnd"/>
            <w:r>
              <w:rPr>
                <w:rFonts w:cs="Arial"/>
                <w:color w:val="323233"/>
                <w:sz w:val="18"/>
                <w:szCs w:val="18"/>
              </w:rPr>
              <w:t xml:space="preserve"> </w:t>
            </w:r>
            <w:proofErr w:type="spellStart"/>
            <w:r>
              <w:rPr>
                <w:rFonts w:cs="Arial"/>
                <w:color w:val="323233"/>
                <w:sz w:val="18"/>
                <w:szCs w:val="18"/>
              </w:rPr>
              <w:t>likumdošana</w:t>
            </w:r>
            <w:proofErr w:type="spellEnd"/>
            <w:r>
              <w:rPr>
                <w:rFonts w:cs="Arial"/>
                <w:color w:val="323233"/>
                <w:sz w:val="18"/>
                <w:szCs w:val="18"/>
              </w:rPr>
              <w:t xml:space="preserve">, </w:t>
            </w:r>
            <w:proofErr w:type="spellStart"/>
            <w:r>
              <w:rPr>
                <w:rFonts w:cs="Arial"/>
                <w:color w:val="323233"/>
                <w:sz w:val="18"/>
                <w:szCs w:val="18"/>
              </w:rPr>
              <w:t>kuras</w:t>
            </w:r>
            <w:proofErr w:type="spellEnd"/>
            <w:r>
              <w:rPr>
                <w:rFonts w:cs="Arial"/>
                <w:color w:val="323233"/>
                <w:sz w:val="18"/>
                <w:szCs w:val="18"/>
              </w:rPr>
              <w:t xml:space="preserve"> </w:t>
            </w:r>
            <w:proofErr w:type="spellStart"/>
            <w:r>
              <w:rPr>
                <w:rFonts w:cs="Arial"/>
                <w:color w:val="323233"/>
                <w:sz w:val="18"/>
                <w:szCs w:val="18"/>
              </w:rPr>
              <w:t>teritorijā</w:t>
            </w:r>
            <w:proofErr w:type="spellEnd"/>
            <w:r>
              <w:rPr>
                <w:rFonts w:cs="Arial"/>
                <w:color w:val="323233"/>
                <w:sz w:val="18"/>
                <w:szCs w:val="18"/>
              </w:rPr>
              <w:t xml:space="preserve"> </w:t>
            </w:r>
            <w:proofErr w:type="spellStart"/>
            <w:r>
              <w:rPr>
                <w:rFonts w:cs="Arial"/>
                <w:color w:val="323233"/>
                <w:sz w:val="18"/>
                <w:szCs w:val="18"/>
              </w:rPr>
              <w:t>darbība</w:t>
            </w:r>
            <w:proofErr w:type="spellEnd"/>
            <w:r>
              <w:rPr>
                <w:rFonts w:cs="Arial"/>
                <w:color w:val="323233"/>
                <w:sz w:val="18"/>
                <w:szCs w:val="18"/>
              </w:rPr>
              <w:t xml:space="preserve"> </w:t>
            </w:r>
            <w:proofErr w:type="spellStart"/>
            <w:r>
              <w:rPr>
                <w:rFonts w:cs="Arial"/>
                <w:color w:val="323233"/>
                <w:sz w:val="18"/>
                <w:szCs w:val="18"/>
              </w:rPr>
              <w:t>tiek</w:t>
            </w:r>
            <w:proofErr w:type="spellEnd"/>
            <w:r>
              <w:rPr>
                <w:rFonts w:cs="Arial"/>
                <w:color w:val="323233"/>
                <w:sz w:val="18"/>
                <w:szCs w:val="18"/>
              </w:rPr>
              <w:t xml:space="preserve"> </w:t>
            </w:r>
            <w:proofErr w:type="spellStart"/>
            <w:r>
              <w:rPr>
                <w:rFonts w:cs="Arial"/>
                <w:color w:val="323233"/>
                <w:sz w:val="18"/>
                <w:szCs w:val="18"/>
              </w:rPr>
              <w:t>veikta</w:t>
            </w:r>
            <w:proofErr w:type="spellEnd"/>
            <w:r>
              <w:rPr>
                <w:rFonts w:cs="Arial"/>
                <w:color w:val="323233"/>
                <w:sz w:val="18"/>
                <w:szCs w:val="18"/>
              </w:rPr>
              <w:t xml:space="preserve">. (2) </w:t>
            </w:r>
            <w:proofErr w:type="spellStart"/>
            <w:r>
              <w:rPr>
                <w:rFonts w:cs="Arial"/>
                <w:color w:val="323233"/>
                <w:sz w:val="18"/>
                <w:szCs w:val="18"/>
              </w:rPr>
              <w:t>Tiesiskās</w:t>
            </w:r>
            <w:proofErr w:type="spellEnd"/>
            <w:r>
              <w:rPr>
                <w:rFonts w:cs="Arial"/>
                <w:color w:val="323233"/>
                <w:sz w:val="18"/>
                <w:szCs w:val="18"/>
              </w:rPr>
              <w:t xml:space="preserve"> </w:t>
            </w:r>
            <w:proofErr w:type="spellStart"/>
            <w:r>
              <w:rPr>
                <w:rFonts w:cs="Arial"/>
                <w:color w:val="323233"/>
                <w:sz w:val="18"/>
                <w:szCs w:val="18"/>
              </w:rPr>
              <w:t>darbības</w:t>
            </w:r>
            <w:proofErr w:type="spellEnd"/>
            <w:r>
              <w:rPr>
                <w:rFonts w:cs="Arial"/>
                <w:color w:val="323233"/>
                <w:sz w:val="18"/>
                <w:szCs w:val="18"/>
              </w:rPr>
              <w:t xml:space="preserve"> </w:t>
            </w:r>
            <w:proofErr w:type="spellStart"/>
            <w:r>
              <w:rPr>
                <w:rFonts w:cs="Arial"/>
                <w:color w:val="323233"/>
                <w:sz w:val="18"/>
                <w:szCs w:val="18"/>
              </w:rPr>
              <w:t>formu</w:t>
            </w:r>
            <w:proofErr w:type="spellEnd"/>
            <w:r>
              <w:rPr>
                <w:rFonts w:cs="Arial"/>
                <w:color w:val="323233"/>
                <w:sz w:val="18"/>
                <w:szCs w:val="18"/>
              </w:rPr>
              <w:t xml:space="preserve">, </w:t>
            </w:r>
            <w:proofErr w:type="spellStart"/>
            <w:r>
              <w:rPr>
                <w:rFonts w:cs="Arial"/>
                <w:color w:val="323233"/>
                <w:sz w:val="18"/>
                <w:szCs w:val="18"/>
              </w:rPr>
              <w:t>kura</w:t>
            </w:r>
            <w:proofErr w:type="spellEnd"/>
            <w:r>
              <w:rPr>
                <w:rFonts w:cs="Arial"/>
                <w:color w:val="323233"/>
                <w:sz w:val="18"/>
                <w:szCs w:val="18"/>
              </w:rPr>
              <w:t xml:space="preserve"> </w:t>
            </w:r>
            <w:proofErr w:type="spellStart"/>
            <w:r>
              <w:rPr>
                <w:rFonts w:cs="Arial"/>
                <w:color w:val="323233"/>
                <w:sz w:val="18"/>
                <w:szCs w:val="18"/>
              </w:rPr>
              <w:t>attiecas</w:t>
            </w:r>
            <w:proofErr w:type="spellEnd"/>
            <w:r>
              <w:rPr>
                <w:rFonts w:cs="Arial"/>
                <w:color w:val="323233"/>
                <w:sz w:val="18"/>
                <w:szCs w:val="18"/>
              </w:rPr>
              <w:t xml:space="preserve"> </w:t>
            </w:r>
            <w:proofErr w:type="spellStart"/>
            <w:r>
              <w:rPr>
                <w:rFonts w:cs="Arial"/>
                <w:color w:val="323233"/>
                <w:sz w:val="18"/>
                <w:szCs w:val="18"/>
              </w:rPr>
              <w:t>uz</w:t>
            </w:r>
            <w:proofErr w:type="spellEnd"/>
            <w:r>
              <w:rPr>
                <w:rFonts w:cs="Arial"/>
                <w:color w:val="323233"/>
                <w:sz w:val="18"/>
                <w:szCs w:val="18"/>
              </w:rPr>
              <w:t xml:space="preserve"> </w:t>
            </w:r>
            <w:proofErr w:type="spellStart"/>
            <w:r>
              <w:rPr>
                <w:rFonts w:cs="Arial"/>
                <w:color w:val="323233"/>
                <w:sz w:val="18"/>
                <w:szCs w:val="18"/>
              </w:rPr>
              <w:t>nekustamo</w:t>
            </w:r>
            <w:proofErr w:type="spellEnd"/>
            <w:r>
              <w:rPr>
                <w:rFonts w:cs="Arial"/>
                <w:color w:val="323233"/>
                <w:sz w:val="18"/>
                <w:szCs w:val="18"/>
              </w:rPr>
              <w:t xml:space="preserve"> </w:t>
            </w:r>
            <w:proofErr w:type="spellStart"/>
            <w:r>
              <w:rPr>
                <w:rFonts w:cs="Arial"/>
                <w:color w:val="323233"/>
                <w:sz w:val="18"/>
                <w:szCs w:val="18"/>
              </w:rPr>
              <w:t>īpašumu</w:t>
            </w:r>
            <w:proofErr w:type="spellEnd"/>
            <w:r>
              <w:rPr>
                <w:rFonts w:cs="Arial"/>
                <w:color w:val="323233"/>
                <w:sz w:val="18"/>
                <w:szCs w:val="18"/>
              </w:rPr>
              <w:t xml:space="preserve">, </w:t>
            </w:r>
            <w:proofErr w:type="spellStart"/>
            <w:r>
              <w:rPr>
                <w:rFonts w:cs="Arial"/>
                <w:color w:val="323233"/>
                <w:sz w:val="18"/>
                <w:szCs w:val="18"/>
              </w:rPr>
              <w:t>nosaka</w:t>
            </w:r>
            <w:proofErr w:type="spellEnd"/>
            <w:r>
              <w:rPr>
                <w:rFonts w:cs="Arial"/>
                <w:color w:val="323233"/>
                <w:sz w:val="18"/>
                <w:szCs w:val="18"/>
              </w:rPr>
              <w:t xml:space="preserve"> </w:t>
            </w:r>
            <w:proofErr w:type="spellStart"/>
            <w:r>
              <w:rPr>
                <w:rFonts w:cs="Arial"/>
                <w:color w:val="323233"/>
                <w:sz w:val="18"/>
                <w:szCs w:val="18"/>
              </w:rPr>
              <w:t>tās</w:t>
            </w:r>
            <w:proofErr w:type="spellEnd"/>
            <w:r>
              <w:rPr>
                <w:rFonts w:cs="Arial"/>
                <w:color w:val="323233"/>
                <w:sz w:val="18"/>
                <w:szCs w:val="18"/>
              </w:rPr>
              <w:t xml:space="preserve"> </w:t>
            </w:r>
            <w:proofErr w:type="spellStart"/>
            <w:r>
              <w:rPr>
                <w:rFonts w:cs="Arial"/>
                <w:color w:val="323233"/>
                <w:sz w:val="18"/>
                <w:szCs w:val="18"/>
              </w:rPr>
              <w:t>Līgumslēdzējas</w:t>
            </w:r>
            <w:proofErr w:type="spellEnd"/>
            <w:r>
              <w:rPr>
                <w:rFonts w:cs="Arial"/>
                <w:color w:val="323233"/>
                <w:sz w:val="18"/>
                <w:szCs w:val="18"/>
              </w:rPr>
              <w:t xml:space="preserve"> </w:t>
            </w:r>
            <w:proofErr w:type="spellStart"/>
            <w:r>
              <w:rPr>
                <w:rFonts w:cs="Arial"/>
                <w:color w:val="323233"/>
                <w:sz w:val="18"/>
                <w:szCs w:val="18"/>
              </w:rPr>
              <w:t>Puses</w:t>
            </w:r>
            <w:proofErr w:type="spellEnd"/>
            <w:r>
              <w:rPr>
                <w:rFonts w:cs="Arial"/>
                <w:color w:val="323233"/>
                <w:sz w:val="18"/>
                <w:szCs w:val="18"/>
              </w:rPr>
              <w:t xml:space="preserve"> </w:t>
            </w:r>
            <w:proofErr w:type="spellStart"/>
            <w:r>
              <w:rPr>
                <w:rFonts w:cs="Arial"/>
                <w:color w:val="323233"/>
                <w:sz w:val="18"/>
                <w:szCs w:val="18"/>
              </w:rPr>
              <w:t>likumdošana</w:t>
            </w:r>
            <w:proofErr w:type="spellEnd"/>
            <w:r>
              <w:rPr>
                <w:rFonts w:cs="Arial"/>
                <w:color w:val="323233"/>
                <w:sz w:val="18"/>
                <w:szCs w:val="18"/>
              </w:rPr>
              <w:t xml:space="preserve">, </w:t>
            </w:r>
            <w:proofErr w:type="spellStart"/>
            <w:r>
              <w:rPr>
                <w:rFonts w:cs="Arial"/>
                <w:color w:val="323233"/>
                <w:sz w:val="18"/>
                <w:szCs w:val="18"/>
              </w:rPr>
              <w:t>kuras</w:t>
            </w:r>
            <w:proofErr w:type="spellEnd"/>
            <w:r>
              <w:rPr>
                <w:rFonts w:cs="Arial"/>
                <w:color w:val="323233"/>
                <w:sz w:val="18"/>
                <w:szCs w:val="18"/>
              </w:rPr>
              <w:t xml:space="preserve"> </w:t>
            </w:r>
            <w:proofErr w:type="spellStart"/>
            <w:r>
              <w:rPr>
                <w:rFonts w:cs="Arial"/>
                <w:color w:val="323233"/>
                <w:sz w:val="18"/>
                <w:szCs w:val="18"/>
              </w:rPr>
              <w:t>teritorijā</w:t>
            </w:r>
            <w:proofErr w:type="spellEnd"/>
            <w:r>
              <w:rPr>
                <w:rFonts w:cs="Arial"/>
                <w:color w:val="323233"/>
                <w:sz w:val="18"/>
                <w:szCs w:val="18"/>
              </w:rPr>
              <w:t xml:space="preserve"> </w:t>
            </w:r>
            <w:proofErr w:type="spellStart"/>
            <w:r>
              <w:rPr>
                <w:rFonts w:cs="Arial"/>
                <w:color w:val="323233"/>
                <w:sz w:val="18"/>
                <w:szCs w:val="18"/>
              </w:rPr>
              <w:t>atrodas</w:t>
            </w:r>
            <w:proofErr w:type="spellEnd"/>
            <w:r>
              <w:rPr>
                <w:rFonts w:cs="Arial"/>
                <w:color w:val="323233"/>
                <w:sz w:val="18"/>
                <w:szCs w:val="18"/>
              </w:rPr>
              <w:t xml:space="preserve"> </w:t>
            </w:r>
            <w:proofErr w:type="spellStart"/>
            <w:r>
              <w:rPr>
                <w:rFonts w:cs="Arial"/>
                <w:color w:val="323233"/>
                <w:sz w:val="18"/>
                <w:szCs w:val="18"/>
              </w:rPr>
              <w:t>šis</w:t>
            </w:r>
            <w:proofErr w:type="spellEnd"/>
            <w:r>
              <w:rPr>
                <w:rFonts w:cs="Arial"/>
                <w:color w:val="323233"/>
                <w:sz w:val="18"/>
                <w:szCs w:val="18"/>
              </w:rPr>
              <w:t xml:space="preserve"> </w:t>
            </w:r>
            <w:proofErr w:type="spellStart"/>
            <w:r>
              <w:rPr>
                <w:rFonts w:cs="Arial"/>
                <w:color w:val="323233"/>
                <w:sz w:val="18"/>
                <w:szCs w:val="18"/>
              </w:rPr>
              <w:t>nekustamais</w:t>
            </w:r>
            <w:proofErr w:type="spellEnd"/>
            <w:r>
              <w:rPr>
                <w:rFonts w:cs="Arial"/>
                <w:color w:val="323233"/>
                <w:sz w:val="18"/>
                <w:szCs w:val="18"/>
              </w:rPr>
              <w:t xml:space="preserve"> </w:t>
            </w:r>
            <w:proofErr w:type="spellStart"/>
            <w:r>
              <w:rPr>
                <w:rFonts w:cs="Arial"/>
                <w:color w:val="323233"/>
                <w:sz w:val="18"/>
                <w:szCs w:val="18"/>
              </w:rPr>
              <w:t>īpašums</w:t>
            </w:r>
            <w:proofErr w:type="spellEnd"/>
            <w:r>
              <w:rPr>
                <w:rFonts w:cs="Arial"/>
                <w:color w:val="323233"/>
                <w:sz w:val="18"/>
                <w:szCs w:val="18"/>
              </w:rPr>
              <w:t>“.</w:t>
            </w:r>
          </w:p>
        </w:tc>
      </w:tr>
      <w:tr w:rsidR="00114953" w:rsidRPr="000C7C76" w14:paraId="4FFD147D" w14:textId="77777777" w:rsidTr="00BF3A72">
        <w:trPr>
          <w:gridAfter w:val="1"/>
          <w:wAfter w:w="38" w:type="dxa"/>
        </w:trPr>
        <w:tc>
          <w:tcPr>
            <w:tcW w:w="675" w:type="dxa"/>
          </w:tcPr>
          <w:p w14:paraId="769EFA28" w14:textId="77777777" w:rsidR="00114953" w:rsidRPr="009027B6" w:rsidRDefault="00114953" w:rsidP="00BF3A72">
            <w:pPr>
              <w:jc w:val="center"/>
              <w:rPr>
                <w:rFonts w:cs="Arial"/>
                <w:color w:val="323233"/>
                <w:sz w:val="18"/>
                <w:szCs w:val="18"/>
              </w:rPr>
            </w:pPr>
            <w:r>
              <w:rPr>
                <w:rFonts w:cs="Arial"/>
                <w:color w:val="323233"/>
                <w:sz w:val="18"/>
                <w:szCs w:val="18"/>
              </w:rPr>
              <w:t>5.</w:t>
            </w:r>
          </w:p>
        </w:tc>
        <w:tc>
          <w:tcPr>
            <w:tcW w:w="3932" w:type="dxa"/>
          </w:tcPr>
          <w:p w14:paraId="4BEFC0EC" w14:textId="77777777" w:rsidR="00114953" w:rsidRPr="009027B6" w:rsidRDefault="00114953" w:rsidP="00BF3A72">
            <w:pPr>
              <w:jc w:val="both"/>
              <w:rPr>
                <w:rFonts w:cs="Arial"/>
                <w:color w:val="323233"/>
                <w:sz w:val="18"/>
                <w:szCs w:val="18"/>
              </w:rPr>
            </w:pPr>
            <w:proofErr w:type="spellStart"/>
            <w:r>
              <w:rPr>
                <w:rFonts w:cs="Arial"/>
                <w:color w:val="323233"/>
                <w:sz w:val="18"/>
                <w:szCs w:val="18"/>
              </w:rPr>
              <w:t>Līgums</w:t>
            </w:r>
            <w:proofErr w:type="spellEnd"/>
            <w:r>
              <w:rPr>
                <w:rFonts w:cs="Arial"/>
                <w:color w:val="323233"/>
                <w:sz w:val="18"/>
                <w:szCs w:val="18"/>
              </w:rPr>
              <w:t xml:space="preserve"> </w:t>
            </w:r>
            <w:proofErr w:type="spellStart"/>
            <w:r>
              <w:rPr>
                <w:rFonts w:cs="Arial"/>
                <w:color w:val="323233"/>
                <w:sz w:val="18"/>
                <w:szCs w:val="18"/>
              </w:rPr>
              <w:t>starp</w:t>
            </w:r>
            <w:proofErr w:type="spellEnd"/>
            <w:r>
              <w:rPr>
                <w:rFonts w:cs="Arial"/>
                <w:color w:val="323233"/>
                <w:sz w:val="18"/>
                <w:szCs w:val="18"/>
              </w:rPr>
              <w:t xml:space="preserve"> </w:t>
            </w:r>
            <w:proofErr w:type="spellStart"/>
            <w:r>
              <w:rPr>
                <w:rFonts w:cs="Arial"/>
                <w:color w:val="323233"/>
                <w:sz w:val="18"/>
                <w:szCs w:val="18"/>
              </w:rPr>
              <w:t>Latviju</w:t>
            </w:r>
            <w:proofErr w:type="spellEnd"/>
            <w:r>
              <w:rPr>
                <w:rFonts w:cs="Arial"/>
                <w:color w:val="323233"/>
                <w:sz w:val="18"/>
                <w:szCs w:val="18"/>
              </w:rPr>
              <w:t xml:space="preserve"> </w:t>
            </w:r>
            <w:proofErr w:type="spellStart"/>
            <w:r>
              <w:rPr>
                <w:rFonts w:cs="Arial"/>
                <w:color w:val="323233"/>
                <w:sz w:val="18"/>
                <w:szCs w:val="18"/>
              </w:rPr>
              <w:t>un</w:t>
            </w:r>
            <w:proofErr w:type="spellEnd"/>
            <w:r>
              <w:rPr>
                <w:rFonts w:cs="Arial"/>
                <w:color w:val="323233"/>
                <w:sz w:val="18"/>
                <w:szCs w:val="18"/>
              </w:rPr>
              <w:t xml:space="preserve"> </w:t>
            </w:r>
            <w:proofErr w:type="spellStart"/>
            <w:r>
              <w:rPr>
                <w:rFonts w:cs="Arial"/>
                <w:color w:val="323233"/>
                <w:sz w:val="18"/>
                <w:szCs w:val="18"/>
              </w:rPr>
              <w:t>Ukrainu</w:t>
            </w:r>
            <w:proofErr w:type="spellEnd"/>
          </w:p>
        </w:tc>
        <w:tc>
          <w:tcPr>
            <w:tcW w:w="2302" w:type="dxa"/>
          </w:tcPr>
          <w:p w14:paraId="47C90942" w14:textId="77777777" w:rsidR="00114953" w:rsidRPr="009027B6" w:rsidRDefault="00114953" w:rsidP="00BF3A72">
            <w:pPr>
              <w:jc w:val="center"/>
              <w:rPr>
                <w:rFonts w:cs="Arial"/>
                <w:color w:val="323233"/>
                <w:sz w:val="18"/>
                <w:szCs w:val="18"/>
              </w:rPr>
            </w:pPr>
            <w:r>
              <w:rPr>
                <w:rFonts w:cs="Arial"/>
                <w:color w:val="323233"/>
                <w:sz w:val="18"/>
                <w:szCs w:val="18"/>
              </w:rPr>
              <w:t>33.pants</w:t>
            </w:r>
          </w:p>
        </w:tc>
        <w:tc>
          <w:tcPr>
            <w:tcW w:w="2302" w:type="dxa"/>
          </w:tcPr>
          <w:p w14:paraId="0674F58F" w14:textId="77777777" w:rsidR="00114953" w:rsidRPr="009027B6" w:rsidRDefault="00114953" w:rsidP="00BF3A72">
            <w:pPr>
              <w:jc w:val="both"/>
              <w:rPr>
                <w:rFonts w:cs="Arial"/>
                <w:color w:val="323233"/>
                <w:sz w:val="18"/>
                <w:szCs w:val="18"/>
              </w:rPr>
            </w:pPr>
            <w:r>
              <w:rPr>
                <w:rFonts w:cs="Arial"/>
                <w:color w:val="323233"/>
                <w:sz w:val="18"/>
                <w:szCs w:val="18"/>
              </w:rPr>
              <w:t xml:space="preserve">„(1) </w:t>
            </w:r>
            <w:proofErr w:type="spellStart"/>
            <w:r>
              <w:rPr>
                <w:rFonts w:cs="Arial"/>
                <w:color w:val="323233"/>
                <w:sz w:val="18"/>
                <w:szCs w:val="18"/>
              </w:rPr>
              <w:t>Līgumiskās</w:t>
            </w:r>
            <w:proofErr w:type="spellEnd"/>
            <w:r>
              <w:rPr>
                <w:rFonts w:cs="Arial"/>
                <w:color w:val="323233"/>
                <w:sz w:val="18"/>
                <w:szCs w:val="18"/>
              </w:rPr>
              <w:t xml:space="preserve"> </w:t>
            </w:r>
            <w:proofErr w:type="spellStart"/>
            <w:r>
              <w:rPr>
                <w:rFonts w:cs="Arial"/>
                <w:color w:val="323233"/>
                <w:sz w:val="18"/>
                <w:szCs w:val="18"/>
              </w:rPr>
              <w:t>attiecības</w:t>
            </w:r>
            <w:proofErr w:type="spellEnd"/>
            <w:r>
              <w:rPr>
                <w:rFonts w:cs="Arial"/>
                <w:color w:val="323233"/>
                <w:sz w:val="18"/>
                <w:szCs w:val="18"/>
              </w:rPr>
              <w:t xml:space="preserve"> </w:t>
            </w:r>
            <w:proofErr w:type="spellStart"/>
            <w:r>
              <w:rPr>
                <w:rFonts w:cs="Arial"/>
                <w:color w:val="323233"/>
                <w:sz w:val="18"/>
                <w:szCs w:val="18"/>
              </w:rPr>
              <w:t>nosaka</w:t>
            </w:r>
            <w:proofErr w:type="spellEnd"/>
            <w:r>
              <w:rPr>
                <w:rFonts w:cs="Arial"/>
                <w:color w:val="323233"/>
                <w:sz w:val="18"/>
                <w:szCs w:val="18"/>
              </w:rPr>
              <w:t xml:space="preserve"> </w:t>
            </w:r>
            <w:proofErr w:type="spellStart"/>
            <w:r>
              <w:rPr>
                <w:rFonts w:cs="Arial"/>
                <w:color w:val="323233"/>
                <w:sz w:val="18"/>
                <w:szCs w:val="18"/>
              </w:rPr>
              <w:t>tās</w:t>
            </w:r>
            <w:proofErr w:type="spellEnd"/>
            <w:r>
              <w:rPr>
                <w:rFonts w:cs="Arial"/>
                <w:color w:val="323233"/>
                <w:sz w:val="18"/>
                <w:szCs w:val="18"/>
              </w:rPr>
              <w:t xml:space="preserve"> </w:t>
            </w:r>
            <w:proofErr w:type="spellStart"/>
            <w:r>
              <w:rPr>
                <w:rFonts w:cs="Arial"/>
                <w:color w:val="323233"/>
                <w:sz w:val="18"/>
                <w:szCs w:val="18"/>
              </w:rPr>
              <w:t>Līgumslēdzējas</w:t>
            </w:r>
            <w:proofErr w:type="spellEnd"/>
            <w:r>
              <w:rPr>
                <w:rFonts w:cs="Arial"/>
                <w:color w:val="323233"/>
                <w:sz w:val="18"/>
                <w:szCs w:val="18"/>
              </w:rPr>
              <w:t xml:space="preserve"> </w:t>
            </w:r>
            <w:proofErr w:type="spellStart"/>
            <w:r>
              <w:rPr>
                <w:rFonts w:cs="Arial"/>
                <w:color w:val="323233"/>
                <w:sz w:val="18"/>
                <w:szCs w:val="18"/>
              </w:rPr>
              <w:t>Puses</w:t>
            </w:r>
            <w:proofErr w:type="spellEnd"/>
            <w:r>
              <w:rPr>
                <w:rFonts w:cs="Arial"/>
                <w:color w:val="323233"/>
                <w:sz w:val="18"/>
                <w:szCs w:val="18"/>
              </w:rPr>
              <w:t xml:space="preserve"> </w:t>
            </w:r>
            <w:proofErr w:type="spellStart"/>
            <w:r>
              <w:rPr>
                <w:rFonts w:cs="Arial"/>
                <w:color w:val="323233"/>
                <w:sz w:val="18"/>
                <w:szCs w:val="18"/>
              </w:rPr>
              <w:t>likumdošana</w:t>
            </w:r>
            <w:proofErr w:type="spellEnd"/>
            <w:r>
              <w:rPr>
                <w:rFonts w:cs="Arial"/>
                <w:color w:val="323233"/>
                <w:sz w:val="18"/>
                <w:szCs w:val="18"/>
              </w:rPr>
              <w:t xml:space="preserve">, </w:t>
            </w:r>
            <w:proofErr w:type="spellStart"/>
            <w:r>
              <w:rPr>
                <w:rFonts w:cs="Arial"/>
                <w:color w:val="323233"/>
                <w:sz w:val="18"/>
                <w:szCs w:val="18"/>
              </w:rPr>
              <w:t>kuras</w:t>
            </w:r>
            <w:proofErr w:type="spellEnd"/>
            <w:r>
              <w:rPr>
                <w:rFonts w:cs="Arial"/>
                <w:color w:val="323233"/>
                <w:sz w:val="18"/>
                <w:szCs w:val="18"/>
              </w:rPr>
              <w:t xml:space="preserve"> </w:t>
            </w:r>
            <w:proofErr w:type="spellStart"/>
            <w:r>
              <w:rPr>
                <w:rFonts w:cs="Arial"/>
                <w:color w:val="323233"/>
                <w:sz w:val="18"/>
                <w:szCs w:val="18"/>
              </w:rPr>
              <w:t>teritorijā</w:t>
            </w:r>
            <w:proofErr w:type="spellEnd"/>
            <w:r>
              <w:rPr>
                <w:rFonts w:cs="Arial"/>
                <w:color w:val="323233"/>
                <w:sz w:val="18"/>
                <w:szCs w:val="18"/>
              </w:rPr>
              <w:t xml:space="preserve"> </w:t>
            </w:r>
            <w:proofErr w:type="spellStart"/>
            <w:r>
              <w:rPr>
                <w:rFonts w:cs="Arial"/>
                <w:color w:val="323233"/>
                <w:sz w:val="18"/>
                <w:szCs w:val="18"/>
              </w:rPr>
              <w:t>līgums</w:t>
            </w:r>
            <w:proofErr w:type="spellEnd"/>
            <w:r>
              <w:rPr>
                <w:rFonts w:cs="Arial"/>
                <w:color w:val="323233"/>
                <w:sz w:val="18"/>
                <w:szCs w:val="18"/>
              </w:rPr>
              <w:t xml:space="preserve"> </w:t>
            </w:r>
            <w:proofErr w:type="spellStart"/>
            <w:r>
              <w:rPr>
                <w:rFonts w:cs="Arial"/>
                <w:color w:val="323233"/>
                <w:sz w:val="18"/>
                <w:szCs w:val="18"/>
              </w:rPr>
              <w:t>tika</w:t>
            </w:r>
            <w:proofErr w:type="spellEnd"/>
            <w:r>
              <w:rPr>
                <w:rFonts w:cs="Arial"/>
                <w:color w:val="323233"/>
                <w:sz w:val="18"/>
                <w:szCs w:val="18"/>
              </w:rPr>
              <w:t xml:space="preserve"> </w:t>
            </w:r>
            <w:proofErr w:type="spellStart"/>
            <w:r>
              <w:rPr>
                <w:rFonts w:cs="Arial"/>
                <w:color w:val="323233"/>
                <w:sz w:val="18"/>
                <w:szCs w:val="18"/>
              </w:rPr>
              <w:t>noslēgts</w:t>
            </w:r>
            <w:proofErr w:type="spellEnd"/>
            <w:r>
              <w:rPr>
                <w:rFonts w:cs="Arial"/>
                <w:color w:val="323233"/>
                <w:sz w:val="18"/>
                <w:szCs w:val="18"/>
              </w:rPr>
              <w:t xml:space="preserve">, ja </w:t>
            </w:r>
            <w:proofErr w:type="spellStart"/>
            <w:r>
              <w:rPr>
                <w:rFonts w:cs="Arial"/>
                <w:color w:val="323233"/>
                <w:sz w:val="18"/>
                <w:szCs w:val="18"/>
              </w:rPr>
              <w:t>saistību</w:t>
            </w:r>
            <w:proofErr w:type="spellEnd"/>
            <w:r>
              <w:rPr>
                <w:rFonts w:cs="Arial"/>
                <w:color w:val="323233"/>
                <w:sz w:val="18"/>
                <w:szCs w:val="18"/>
              </w:rPr>
              <w:t xml:space="preserve"> </w:t>
            </w:r>
            <w:proofErr w:type="spellStart"/>
            <w:r>
              <w:rPr>
                <w:rFonts w:cs="Arial"/>
                <w:color w:val="323233"/>
                <w:sz w:val="18"/>
                <w:szCs w:val="18"/>
              </w:rPr>
              <w:t>dalībnieki</w:t>
            </w:r>
            <w:proofErr w:type="spellEnd"/>
            <w:r>
              <w:rPr>
                <w:rFonts w:cs="Arial"/>
                <w:color w:val="323233"/>
                <w:sz w:val="18"/>
                <w:szCs w:val="18"/>
              </w:rPr>
              <w:t xml:space="preserve"> </w:t>
            </w:r>
            <w:proofErr w:type="spellStart"/>
            <w:r>
              <w:rPr>
                <w:rFonts w:cs="Arial"/>
                <w:color w:val="323233"/>
                <w:sz w:val="18"/>
                <w:szCs w:val="18"/>
              </w:rPr>
              <w:t>nepakļaujas</w:t>
            </w:r>
            <w:proofErr w:type="spellEnd"/>
            <w:r>
              <w:rPr>
                <w:rFonts w:cs="Arial"/>
                <w:color w:val="323233"/>
                <w:sz w:val="18"/>
                <w:szCs w:val="18"/>
              </w:rPr>
              <w:t xml:space="preserve"> </w:t>
            </w:r>
            <w:proofErr w:type="spellStart"/>
            <w:r>
              <w:rPr>
                <w:rFonts w:cs="Arial"/>
                <w:color w:val="323233"/>
                <w:sz w:val="18"/>
                <w:szCs w:val="18"/>
              </w:rPr>
              <w:t>likumdošanai</w:t>
            </w:r>
            <w:proofErr w:type="spellEnd"/>
            <w:r>
              <w:rPr>
                <w:rFonts w:cs="Arial"/>
                <w:color w:val="323233"/>
                <w:sz w:val="18"/>
                <w:szCs w:val="18"/>
              </w:rPr>
              <w:t xml:space="preserve">, </w:t>
            </w:r>
            <w:proofErr w:type="spellStart"/>
            <w:r>
              <w:rPr>
                <w:rFonts w:cs="Arial"/>
                <w:color w:val="323233"/>
                <w:sz w:val="18"/>
                <w:szCs w:val="18"/>
              </w:rPr>
              <w:t>kuru</w:t>
            </w:r>
            <w:proofErr w:type="spellEnd"/>
            <w:r>
              <w:rPr>
                <w:rFonts w:cs="Arial"/>
                <w:color w:val="323233"/>
                <w:sz w:val="18"/>
                <w:szCs w:val="18"/>
              </w:rPr>
              <w:t xml:space="preserve"> </w:t>
            </w:r>
            <w:proofErr w:type="spellStart"/>
            <w:r>
              <w:rPr>
                <w:rFonts w:cs="Arial"/>
                <w:color w:val="323233"/>
                <w:sz w:val="18"/>
                <w:szCs w:val="18"/>
              </w:rPr>
              <w:lastRenderedPageBreak/>
              <w:t>izvēlējušies</w:t>
            </w:r>
            <w:proofErr w:type="spellEnd"/>
            <w:r>
              <w:rPr>
                <w:rFonts w:cs="Arial"/>
                <w:color w:val="323233"/>
                <w:sz w:val="18"/>
                <w:szCs w:val="18"/>
              </w:rPr>
              <w:t xml:space="preserve"> </w:t>
            </w:r>
            <w:proofErr w:type="spellStart"/>
            <w:r>
              <w:rPr>
                <w:rFonts w:cs="Arial"/>
                <w:color w:val="323233"/>
                <w:sz w:val="18"/>
                <w:szCs w:val="18"/>
              </w:rPr>
              <w:t>paši</w:t>
            </w:r>
            <w:proofErr w:type="spellEnd"/>
            <w:r>
              <w:rPr>
                <w:rFonts w:cs="Arial"/>
                <w:color w:val="323233"/>
                <w:sz w:val="18"/>
                <w:szCs w:val="18"/>
              </w:rPr>
              <w:t>“.</w:t>
            </w:r>
          </w:p>
        </w:tc>
      </w:tr>
      <w:tr w:rsidR="00114953" w:rsidRPr="000C7C76" w14:paraId="48C64351" w14:textId="77777777" w:rsidTr="00BF3A72">
        <w:trPr>
          <w:gridAfter w:val="1"/>
          <w:wAfter w:w="38" w:type="dxa"/>
        </w:trPr>
        <w:tc>
          <w:tcPr>
            <w:tcW w:w="675" w:type="dxa"/>
          </w:tcPr>
          <w:p w14:paraId="3B07D953" w14:textId="77777777" w:rsidR="00114953" w:rsidRPr="009027B6" w:rsidRDefault="00114953" w:rsidP="00BF3A72">
            <w:pPr>
              <w:jc w:val="center"/>
              <w:rPr>
                <w:rFonts w:cs="Arial"/>
                <w:color w:val="323233"/>
                <w:sz w:val="18"/>
                <w:szCs w:val="18"/>
              </w:rPr>
            </w:pPr>
            <w:r>
              <w:rPr>
                <w:rFonts w:cs="Arial"/>
                <w:color w:val="323233"/>
                <w:sz w:val="18"/>
                <w:szCs w:val="18"/>
              </w:rPr>
              <w:lastRenderedPageBreak/>
              <w:t>6.</w:t>
            </w:r>
          </w:p>
        </w:tc>
        <w:tc>
          <w:tcPr>
            <w:tcW w:w="3932" w:type="dxa"/>
          </w:tcPr>
          <w:p w14:paraId="37291DCB" w14:textId="77777777" w:rsidR="00114953" w:rsidRPr="009027B6" w:rsidRDefault="00114953" w:rsidP="00BF3A72">
            <w:pPr>
              <w:jc w:val="both"/>
              <w:rPr>
                <w:rFonts w:cs="Arial"/>
                <w:color w:val="323233"/>
                <w:sz w:val="18"/>
                <w:szCs w:val="18"/>
              </w:rPr>
            </w:pPr>
            <w:proofErr w:type="spellStart"/>
            <w:r>
              <w:rPr>
                <w:rFonts w:cs="Arial"/>
                <w:color w:val="323233"/>
                <w:sz w:val="18"/>
                <w:szCs w:val="18"/>
              </w:rPr>
              <w:t>Līgums</w:t>
            </w:r>
            <w:proofErr w:type="spellEnd"/>
            <w:r>
              <w:rPr>
                <w:rFonts w:cs="Arial"/>
                <w:color w:val="323233"/>
                <w:sz w:val="18"/>
                <w:szCs w:val="18"/>
              </w:rPr>
              <w:t xml:space="preserve"> </w:t>
            </w:r>
            <w:proofErr w:type="spellStart"/>
            <w:r>
              <w:rPr>
                <w:rFonts w:cs="Arial"/>
                <w:color w:val="323233"/>
                <w:sz w:val="18"/>
                <w:szCs w:val="18"/>
              </w:rPr>
              <w:t>starp</w:t>
            </w:r>
            <w:proofErr w:type="spellEnd"/>
            <w:r>
              <w:rPr>
                <w:rFonts w:cs="Arial"/>
                <w:color w:val="323233"/>
                <w:sz w:val="18"/>
                <w:szCs w:val="18"/>
              </w:rPr>
              <w:t xml:space="preserve"> </w:t>
            </w:r>
            <w:proofErr w:type="spellStart"/>
            <w:r>
              <w:rPr>
                <w:rFonts w:cs="Arial"/>
                <w:color w:val="323233"/>
                <w:sz w:val="18"/>
                <w:szCs w:val="18"/>
              </w:rPr>
              <w:t>Latviju</w:t>
            </w:r>
            <w:proofErr w:type="spellEnd"/>
            <w:r>
              <w:rPr>
                <w:rFonts w:cs="Arial"/>
                <w:color w:val="323233"/>
                <w:sz w:val="18"/>
                <w:szCs w:val="18"/>
              </w:rPr>
              <w:t xml:space="preserve"> </w:t>
            </w:r>
            <w:proofErr w:type="spellStart"/>
            <w:r>
              <w:rPr>
                <w:rFonts w:cs="Arial"/>
                <w:color w:val="323233"/>
                <w:sz w:val="18"/>
                <w:szCs w:val="18"/>
              </w:rPr>
              <w:t>un</w:t>
            </w:r>
            <w:proofErr w:type="spellEnd"/>
            <w:r>
              <w:rPr>
                <w:rFonts w:cs="Arial"/>
                <w:color w:val="323233"/>
                <w:sz w:val="18"/>
                <w:szCs w:val="18"/>
              </w:rPr>
              <w:t xml:space="preserve"> </w:t>
            </w:r>
            <w:proofErr w:type="spellStart"/>
            <w:r>
              <w:rPr>
                <w:rFonts w:cs="Arial"/>
                <w:color w:val="323233"/>
                <w:sz w:val="18"/>
                <w:szCs w:val="18"/>
              </w:rPr>
              <w:t>Uzbekistānu</w:t>
            </w:r>
            <w:proofErr w:type="spellEnd"/>
          </w:p>
        </w:tc>
        <w:tc>
          <w:tcPr>
            <w:tcW w:w="2302" w:type="dxa"/>
          </w:tcPr>
          <w:p w14:paraId="3F68CA04" w14:textId="77777777" w:rsidR="00114953" w:rsidRPr="009027B6" w:rsidRDefault="00114953" w:rsidP="00BF3A72">
            <w:pPr>
              <w:jc w:val="center"/>
              <w:rPr>
                <w:rFonts w:cs="Arial"/>
                <w:color w:val="323233"/>
                <w:sz w:val="18"/>
                <w:szCs w:val="18"/>
              </w:rPr>
            </w:pPr>
            <w:r>
              <w:rPr>
                <w:rFonts w:cs="Arial"/>
                <w:color w:val="323233"/>
                <w:sz w:val="18"/>
                <w:szCs w:val="18"/>
              </w:rPr>
              <w:t>34.pants</w:t>
            </w:r>
          </w:p>
        </w:tc>
        <w:tc>
          <w:tcPr>
            <w:tcW w:w="2302" w:type="dxa"/>
          </w:tcPr>
          <w:p w14:paraId="321ACA0E" w14:textId="77777777" w:rsidR="00114953" w:rsidRPr="009027B6" w:rsidRDefault="00114953" w:rsidP="00BF3A72">
            <w:pPr>
              <w:jc w:val="both"/>
              <w:rPr>
                <w:rFonts w:cs="Arial"/>
                <w:color w:val="323233"/>
                <w:sz w:val="18"/>
                <w:szCs w:val="18"/>
              </w:rPr>
            </w:pPr>
            <w:r>
              <w:rPr>
                <w:rFonts w:cs="Arial"/>
                <w:color w:val="323233"/>
                <w:sz w:val="18"/>
                <w:szCs w:val="18"/>
              </w:rPr>
              <w:t xml:space="preserve">„(1) </w:t>
            </w:r>
            <w:proofErr w:type="spellStart"/>
            <w:r>
              <w:rPr>
                <w:rFonts w:cs="Arial"/>
                <w:color w:val="323233"/>
                <w:sz w:val="18"/>
                <w:szCs w:val="18"/>
              </w:rPr>
              <w:t>Darījuma</w:t>
            </w:r>
            <w:proofErr w:type="spellEnd"/>
            <w:r>
              <w:rPr>
                <w:rFonts w:cs="Arial"/>
                <w:color w:val="323233"/>
                <w:sz w:val="18"/>
                <w:szCs w:val="18"/>
              </w:rPr>
              <w:t xml:space="preserve"> </w:t>
            </w:r>
            <w:proofErr w:type="spellStart"/>
            <w:r>
              <w:rPr>
                <w:rFonts w:cs="Arial"/>
                <w:color w:val="323233"/>
                <w:sz w:val="18"/>
                <w:szCs w:val="18"/>
              </w:rPr>
              <w:t>formu</w:t>
            </w:r>
            <w:proofErr w:type="spellEnd"/>
            <w:r>
              <w:rPr>
                <w:rFonts w:cs="Arial"/>
                <w:color w:val="323233"/>
                <w:sz w:val="18"/>
                <w:szCs w:val="18"/>
              </w:rPr>
              <w:t xml:space="preserve"> </w:t>
            </w:r>
            <w:proofErr w:type="spellStart"/>
            <w:r>
              <w:rPr>
                <w:rFonts w:cs="Arial"/>
                <w:color w:val="323233"/>
                <w:sz w:val="18"/>
                <w:szCs w:val="18"/>
              </w:rPr>
              <w:t>nosaka</w:t>
            </w:r>
            <w:proofErr w:type="spellEnd"/>
            <w:r>
              <w:rPr>
                <w:rFonts w:cs="Arial"/>
                <w:color w:val="323233"/>
                <w:sz w:val="18"/>
                <w:szCs w:val="18"/>
              </w:rPr>
              <w:t xml:space="preserve"> </w:t>
            </w:r>
            <w:proofErr w:type="spellStart"/>
            <w:r>
              <w:rPr>
                <w:rFonts w:cs="Arial"/>
                <w:color w:val="323233"/>
                <w:sz w:val="18"/>
                <w:szCs w:val="18"/>
              </w:rPr>
              <w:t>tā</w:t>
            </w:r>
            <w:proofErr w:type="spellEnd"/>
            <w:r>
              <w:rPr>
                <w:rFonts w:cs="Arial"/>
                <w:color w:val="323233"/>
                <w:sz w:val="18"/>
                <w:szCs w:val="18"/>
              </w:rPr>
              <w:t xml:space="preserve"> </w:t>
            </w:r>
            <w:proofErr w:type="spellStart"/>
            <w:r>
              <w:rPr>
                <w:rFonts w:cs="Arial"/>
                <w:color w:val="323233"/>
                <w:sz w:val="18"/>
                <w:szCs w:val="18"/>
              </w:rPr>
              <w:t>slēgšanas</w:t>
            </w:r>
            <w:proofErr w:type="spellEnd"/>
            <w:r>
              <w:rPr>
                <w:rFonts w:cs="Arial"/>
                <w:color w:val="323233"/>
                <w:sz w:val="18"/>
                <w:szCs w:val="18"/>
              </w:rPr>
              <w:t xml:space="preserve"> </w:t>
            </w:r>
            <w:proofErr w:type="spellStart"/>
            <w:r>
              <w:rPr>
                <w:rFonts w:cs="Arial"/>
                <w:color w:val="323233"/>
                <w:sz w:val="18"/>
                <w:szCs w:val="18"/>
              </w:rPr>
              <w:t>vietas</w:t>
            </w:r>
            <w:proofErr w:type="spellEnd"/>
            <w:r>
              <w:rPr>
                <w:rFonts w:cs="Arial"/>
                <w:color w:val="323233"/>
                <w:sz w:val="18"/>
                <w:szCs w:val="18"/>
              </w:rPr>
              <w:t xml:space="preserve"> </w:t>
            </w:r>
            <w:proofErr w:type="spellStart"/>
            <w:r>
              <w:rPr>
                <w:rFonts w:cs="Arial"/>
                <w:color w:val="323233"/>
                <w:sz w:val="18"/>
                <w:szCs w:val="18"/>
              </w:rPr>
              <w:t>likumdošana</w:t>
            </w:r>
            <w:proofErr w:type="spellEnd"/>
            <w:r>
              <w:rPr>
                <w:rFonts w:cs="Arial"/>
                <w:color w:val="323233"/>
                <w:sz w:val="18"/>
                <w:szCs w:val="18"/>
              </w:rPr>
              <w:t xml:space="preserve">. (2) </w:t>
            </w:r>
            <w:proofErr w:type="spellStart"/>
            <w:r>
              <w:rPr>
                <w:rFonts w:cs="Arial"/>
                <w:color w:val="323233"/>
                <w:sz w:val="18"/>
                <w:szCs w:val="18"/>
              </w:rPr>
              <w:t>Darījuma</w:t>
            </w:r>
            <w:proofErr w:type="spellEnd"/>
            <w:r>
              <w:rPr>
                <w:rFonts w:cs="Arial"/>
                <w:color w:val="323233"/>
                <w:sz w:val="18"/>
                <w:szCs w:val="18"/>
              </w:rPr>
              <w:t xml:space="preserve">, </w:t>
            </w:r>
            <w:proofErr w:type="spellStart"/>
            <w:r>
              <w:rPr>
                <w:rFonts w:cs="Arial"/>
                <w:color w:val="323233"/>
                <w:sz w:val="18"/>
                <w:szCs w:val="18"/>
              </w:rPr>
              <w:t>kas</w:t>
            </w:r>
            <w:proofErr w:type="spellEnd"/>
            <w:r>
              <w:rPr>
                <w:rFonts w:cs="Arial"/>
                <w:color w:val="323233"/>
                <w:sz w:val="18"/>
                <w:szCs w:val="18"/>
              </w:rPr>
              <w:t xml:space="preserve"> </w:t>
            </w:r>
            <w:proofErr w:type="spellStart"/>
            <w:r>
              <w:rPr>
                <w:rFonts w:cs="Arial"/>
                <w:color w:val="323233"/>
                <w:sz w:val="18"/>
                <w:szCs w:val="18"/>
              </w:rPr>
              <w:t>saistīts</w:t>
            </w:r>
            <w:proofErr w:type="spellEnd"/>
            <w:r>
              <w:rPr>
                <w:rFonts w:cs="Arial"/>
                <w:color w:val="323233"/>
                <w:sz w:val="18"/>
                <w:szCs w:val="18"/>
              </w:rPr>
              <w:t xml:space="preserve"> </w:t>
            </w:r>
            <w:proofErr w:type="spellStart"/>
            <w:r>
              <w:rPr>
                <w:rFonts w:cs="Arial"/>
                <w:color w:val="323233"/>
                <w:sz w:val="18"/>
                <w:szCs w:val="18"/>
              </w:rPr>
              <w:t>ar</w:t>
            </w:r>
            <w:proofErr w:type="spellEnd"/>
            <w:r>
              <w:rPr>
                <w:rFonts w:cs="Arial"/>
                <w:color w:val="323233"/>
                <w:sz w:val="18"/>
                <w:szCs w:val="18"/>
              </w:rPr>
              <w:t xml:space="preserve"> </w:t>
            </w:r>
            <w:proofErr w:type="spellStart"/>
            <w:r>
              <w:rPr>
                <w:rFonts w:cs="Arial"/>
                <w:color w:val="323233"/>
                <w:sz w:val="18"/>
                <w:szCs w:val="18"/>
              </w:rPr>
              <w:t>nekustamo</w:t>
            </w:r>
            <w:proofErr w:type="spellEnd"/>
            <w:r>
              <w:rPr>
                <w:rFonts w:cs="Arial"/>
                <w:color w:val="323233"/>
                <w:sz w:val="18"/>
                <w:szCs w:val="18"/>
              </w:rPr>
              <w:t xml:space="preserve"> </w:t>
            </w:r>
            <w:proofErr w:type="spellStart"/>
            <w:r>
              <w:rPr>
                <w:rFonts w:cs="Arial"/>
                <w:color w:val="323233"/>
                <w:sz w:val="18"/>
                <w:szCs w:val="18"/>
              </w:rPr>
              <w:t>īpašumu</w:t>
            </w:r>
            <w:proofErr w:type="spellEnd"/>
            <w:r>
              <w:rPr>
                <w:rFonts w:cs="Arial"/>
                <w:color w:val="323233"/>
                <w:sz w:val="18"/>
                <w:szCs w:val="18"/>
              </w:rPr>
              <w:t xml:space="preserve"> </w:t>
            </w:r>
            <w:proofErr w:type="spellStart"/>
            <w:r>
              <w:rPr>
                <w:rFonts w:cs="Arial"/>
                <w:color w:val="323233"/>
                <w:sz w:val="18"/>
                <w:szCs w:val="18"/>
              </w:rPr>
              <w:t>un</w:t>
            </w:r>
            <w:proofErr w:type="spellEnd"/>
            <w:r>
              <w:rPr>
                <w:rFonts w:cs="Arial"/>
                <w:color w:val="323233"/>
                <w:sz w:val="18"/>
                <w:szCs w:val="18"/>
              </w:rPr>
              <w:t xml:space="preserve"> </w:t>
            </w:r>
            <w:proofErr w:type="spellStart"/>
            <w:r>
              <w:rPr>
                <w:rFonts w:cs="Arial"/>
                <w:color w:val="323233"/>
                <w:sz w:val="18"/>
                <w:szCs w:val="18"/>
              </w:rPr>
              <w:t>tiesībām</w:t>
            </w:r>
            <w:proofErr w:type="spellEnd"/>
            <w:r>
              <w:rPr>
                <w:rFonts w:cs="Arial"/>
                <w:color w:val="323233"/>
                <w:sz w:val="18"/>
                <w:szCs w:val="18"/>
              </w:rPr>
              <w:t xml:space="preserve"> </w:t>
            </w:r>
            <w:proofErr w:type="spellStart"/>
            <w:r>
              <w:rPr>
                <w:rFonts w:cs="Arial"/>
                <w:color w:val="323233"/>
                <w:sz w:val="18"/>
                <w:szCs w:val="18"/>
              </w:rPr>
              <w:t>uz</w:t>
            </w:r>
            <w:proofErr w:type="spellEnd"/>
            <w:r>
              <w:rPr>
                <w:rFonts w:cs="Arial"/>
                <w:color w:val="323233"/>
                <w:sz w:val="18"/>
                <w:szCs w:val="18"/>
              </w:rPr>
              <w:t xml:space="preserve"> </w:t>
            </w:r>
            <w:proofErr w:type="spellStart"/>
            <w:r>
              <w:rPr>
                <w:rFonts w:cs="Arial"/>
                <w:color w:val="323233"/>
                <w:sz w:val="18"/>
                <w:szCs w:val="18"/>
              </w:rPr>
              <w:t>to</w:t>
            </w:r>
            <w:proofErr w:type="spellEnd"/>
            <w:r>
              <w:rPr>
                <w:rFonts w:cs="Arial"/>
                <w:color w:val="323233"/>
                <w:sz w:val="18"/>
                <w:szCs w:val="18"/>
              </w:rPr>
              <w:t xml:space="preserve">, </w:t>
            </w:r>
            <w:proofErr w:type="spellStart"/>
            <w:r>
              <w:rPr>
                <w:rFonts w:cs="Arial"/>
                <w:color w:val="323233"/>
                <w:sz w:val="18"/>
                <w:szCs w:val="18"/>
              </w:rPr>
              <w:t>formu</w:t>
            </w:r>
            <w:proofErr w:type="spellEnd"/>
            <w:r>
              <w:rPr>
                <w:rFonts w:cs="Arial"/>
                <w:color w:val="323233"/>
                <w:sz w:val="18"/>
                <w:szCs w:val="18"/>
              </w:rPr>
              <w:t xml:space="preserve"> </w:t>
            </w:r>
            <w:proofErr w:type="spellStart"/>
            <w:r>
              <w:rPr>
                <w:rFonts w:cs="Arial"/>
                <w:color w:val="323233"/>
                <w:sz w:val="18"/>
                <w:szCs w:val="18"/>
              </w:rPr>
              <w:t>nosaka</w:t>
            </w:r>
            <w:proofErr w:type="spellEnd"/>
            <w:r>
              <w:rPr>
                <w:rFonts w:cs="Arial"/>
                <w:color w:val="323233"/>
                <w:sz w:val="18"/>
                <w:szCs w:val="18"/>
              </w:rPr>
              <w:t xml:space="preserve"> </w:t>
            </w:r>
            <w:proofErr w:type="spellStart"/>
            <w:r>
              <w:rPr>
                <w:rFonts w:cs="Arial"/>
                <w:color w:val="323233"/>
                <w:sz w:val="18"/>
                <w:szCs w:val="18"/>
              </w:rPr>
              <w:t>tās</w:t>
            </w:r>
            <w:proofErr w:type="spellEnd"/>
            <w:r>
              <w:rPr>
                <w:rFonts w:cs="Arial"/>
                <w:color w:val="323233"/>
                <w:sz w:val="18"/>
                <w:szCs w:val="18"/>
              </w:rPr>
              <w:t xml:space="preserve"> </w:t>
            </w:r>
            <w:proofErr w:type="spellStart"/>
            <w:r>
              <w:rPr>
                <w:rFonts w:cs="Arial"/>
                <w:color w:val="323233"/>
                <w:sz w:val="18"/>
                <w:szCs w:val="18"/>
              </w:rPr>
              <w:t>Līgumslēdzējas</w:t>
            </w:r>
            <w:proofErr w:type="spellEnd"/>
            <w:r>
              <w:rPr>
                <w:rFonts w:cs="Arial"/>
                <w:color w:val="323233"/>
                <w:sz w:val="18"/>
                <w:szCs w:val="18"/>
              </w:rPr>
              <w:t xml:space="preserve"> </w:t>
            </w:r>
            <w:proofErr w:type="spellStart"/>
            <w:r>
              <w:rPr>
                <w:rFonts w:cs="Arial"/>
                <w:color w:val="323233"/>
                <w:sz w:val="18"/>
                <w:szCs w:val="18"/>
              </w:rPr>
              <w:t>Puses</w:t>
            </w:r>
            <w:proofErr w:type="spellEnd"/>
            <w:r>
              <w:rPr>
                <w:rFonts w:cs="Arial"/>
                <w:color w:val="323233"/>
                <w:sz w:val="18"/>
                <w:szCs w:val="18"/>
              </w:rPr>
              <w:t xml:space="preserve"> </w:t>
            </w:r>
            <w:proofErr w:type="spellStart"/>
            <w:r>
              <w:rPr>
                <w:rFonts w:cs="Arial"/>
                <w:color w:val="323233"/>
                <w:sz w:val="18"/>
                <w:szCs w:val="18"/>
              </w:rPr>
              <w:t>likumdošana</w:t>
            </w:r>
            <w:proofErr w:type="spellEnd"/>
            <w:r>
              <w:rPr>
                <w:rFonts w:cs="Arial"/>
                <w:color w:val="323233"/>
                <w:sz w:val="18"/>
                <w:szCs w:val="18"/>
              </w:rPr>
              <w:t xml:space="preserve">, </w:t>
            </w:r>
            <w:proofErr w:type="spellStart"/>
            <w:r>
              <w:rPr>
                <w:rFonts w:cs="Arial"/>
                <w:color w:val="323233"/>
                <w:sz w:val="18"/>
                <w:szCs w:val="18"/>
              </w:rPr>
              <w:t>kuras</w:t>
            </w:r>
            <w:proofErr w:type="spellEnd"/>
            <w:r>
              <w:rPr>
                <w:rFonts w:cs="Arial"/>
                <w:color w:val="323233"/>
                <w:sz w:val="18"/>
                <w:szCs w:val="18"/>
              </w:rPr>
              <w:t xml:space="preserve"> </w:t>
            </w:r>
            <w:proofErr w:type="spellStart"/>
            <w:r>
              <w:rPr>
                <w:rFonts w:cs="Arial"/>
                <w:color w:val="323233"/>
                <w:sz w:val="18"/>
                <w:szCs w:val="18"/>
              </w:rPr>
              <w:t>teritorijā</w:t>
            </w:r>
            <w:proofErr w:type="spellEnd"/>
            <w:r>
              <w:rPr>
                <w:rFonts w:cs="Arial"/>
                <w:color w:val="323233"/>
                <w:sz w:val="18"/>
                <w:szCs w:val="18"/>
              </w:rPr>
              <w:t xml:space="preserve"> </w:t>
            </w:r>
            <w:proofErr w:type="spellStart"/>
            <w:r>
              <w:rPr>
                <w:rFonts w:cs="Arial"/>
                <w:color w:val="323233"/>
                <w:sz w:val="18"/>
                <w:szCs w:val="18"/>
              </w:rPr>
              <w:t>šāds</w:t>
            </w:r>
            <w:proofErr w:type="spellEnd"/>
            <w:r>
              <w:rPr>
                <w:rFonts w:cs="Arial"/>
                <w:color w:val="323233"/>
                <w:sz w:val="18"/>
                <w:szCs w:val="18"/>
              </w:rPr>
              <w:t xml:space="preserve"> </w:t>
            </w:r>
            <w:proofErr w:type="spellStart"/>
            <w:r>
              <w:rPr>
                <w:rFonts w:cs="Arial"/>
                <w:color w:val="323233"/>
                <w:sz w:val="18"/>
                <w:szCs w:val="18"/>
              </w:rPr>
              <w:t>īpašums</w:t>
            </w:r>
            <w:proofErr w:type="spellEnd"/>
            <w:r>
              <w:rPr>
                <w:rFonts w:cs="Arial"/>
                <w:color w:val="323233"/>
                <w:sz w:val="18"/>
                <w:szCs w:val="18"/>
              </w:rPr>
              <w:t xml:space="preserve"> </w:t>
            </w:r>
            <w:proofErr w:type="spellStart"/>
            <w:r>
              <w:rPr>
                <w:rFonts w:cs="Arial"/>
                <w:color w:val="323233"/>
                <w:sz w:val="18"/>
                <w:szCs w:val="18"/>
              </w:rPr>
              <w:t>atrodas</w:t>
            </w:r>
            <w:proofErr w:type="spellEnd"/>
            <w:r>
              <w:rPr>
                <w:rFonts w:cs="Arial"/>
                <w:color w:val="323233"/>
                <w:sz w:val="18"/>
                <w:szCs w:val="18"/>
              </w:rPr>
              <w:t>“.</w:t>
            </w:r>
          </w:p>
        </w:tc>
      </w:tr>
      <w:tr w:rsidR="00114953" w:rsidRPr="000C7C76" w14:paraId="301A092F" w14:textId="77777777" w:rsidTr="00BF3A72">
        <w:trPr>
          <w:gridAfter w:val="1"/>
          <w:wAfter w:w="38" w:type="dxa"/>
        </w:trPr>
        <w:tc>
          <w:tcPr>
            <w:tcW w:w="675" w:type="dxa"/>
          </w:tcPr>
          <w:p w14:paraId="79115828" w14:textId="77777777" w:rsidR="00114953" w:rsidRPr="009027B6" w:rsidRDefault="00114953" w:rsidP="00BF3A72">
            <w:pPr>
              <w:jc w:val="center"/>
              <w:rPr>
                <w:rFonts w:cs="Arial"/>
                <w:color w:val="323233"/>
                <w:sz w:val="18"/>
                <w:szCs w:val="18"/>
              </w:rPr>
            </w:pPr>
            <w:r>
              <w:rPr>
                <w:rFonts w:cs="Arial"/>
                <w:color w:val="323233"/>
                <w:sz w:val="18"/>
                <w:szCs w:val="18"/>
              </w:rPr>
              <w:t>7.</w:t>
            </w:r>
          </w:p>
        </w:tc>
        <w:tc>
          <w:tcPr>
            <w:tcW w:w="3932" w:type="dxa"/>
          </w:tcPr>
          <w:p w14:paraId="296FFFA7" w14:textId="77777777" w:rsidR="00114953" w:rsidRPr="009027B6" w:rsidRDefault="00114953" w:rsidP="00BF3A72">
            <w:pPr>
              <w:jc w:val="both"/>
              <w:rPr>
                <w:rFonts w:cs="Arial"/>
                <w:color w:val="323233"/>
                <w:sz w:val="18"/>
                <w:szCs w:val="18"/>
              </w:rPr>
            </w:pPr>
            <w:proofErr w:type="spellStart"/>
            <w:r>
              <w:rPr>
                <w:rFonts w:cs="Arial"/>
                <w:color w:val="323233"/>
                <w:sz w:val="18"/>
                <w:szCs w:val="18"/>
              </w:rPr>
              <w:t>Līgums</w:t>
            </w:r>
            <w:proofErr w:type="spellEnd"/>
            <w:r>
              <w:rPr>
                <w:rFonts w:cs="Arial"/>
                <w:color w:val="323233"/>
                <w:sz w:val="18"/>
                <w:szCs w:val="18"/>
              </w:rPr>
              <w:t xml:space="preserve"> </w:t>
            </w:r>
            <w:proofErr w:type="spellStart"/>
            <w:r>
              <w:rPr>
                <w:rFonts w:cs="Arial"/>
                <w:color w:val="323233"/>
                <w:sz w:val="18"/>
                <w:szCs w:val="18"/>
              </w:rPr>
              <w:t>starp</w:t>
            </w:r>
            <w:proofErr w:type="spellEnd"/>
            <w:r>
              <w:rPr>
                <w:rFonts w:cs="Arial"/>
                <w:color w:val="323233"/>
                <w:sz w:val="18"/>
                <w:szCs w:val="18"/>
              </w:rPr>
              <w:t xml:space="preserve"> </w:t>
            </w:r>
            <w:proofErr w:type="spellStart"/>
            <w:r>
              <w:rPr>
                <w:rFonts w:cs="Arial"/>
                <w:color w:val="323233"/>
                <w:sz w:val="18"/>
                <w:szCs w:val="18"/>
              </w:rPr>
              <w:t>Latviju</w:t>
            </w:r>
            <w:proofErr w:type="spellEnd"/>
            <w:r>
              <w:rPr>
                <w:rFonts w:cs="Arial"/>
                <w:color w:val="323233"/>
                <w:sz w:val="18"/>
                <w:szCs w:val="18"/>
              </w:rPr>
              <w:t xml:space="preserve"> </w:t>
            </w:r>
            <w:proofErr w:type="spellStart"/>
            <w:r>
              <w:rPr>
                <w:rFonts w:cs="Arial"/>
                <w:color w:val="323233"/>
                <w:sz w:val="18"/>
                <w:szCs w:val="18"/>
              </w:rPr>
              <w:t>un</w:t>
            </w:r>
            <w:proofErr w:type="spellEnd"/>
            <w:r>
              <w:rPr>
                <w:rFonts w:cs="Arial"/>
                <w:color w:val="323233"/>
                <w:sz w:val="18"/>
                <w:szCs w:val="18"/>
              </w:rPr>
              <w:t xml:space="preserve"> </w:t>
            </w:r>
            <w:proofErr w:type="spellStart"/>
            <w:r>
              <w:rPr>
                <w:rFonts w:cs="Arial"/>
                <w:color w:val="323233"/>
                <w:sz w:val="18"/>
                <w:szCs w:val="18"/>
              </w:rPr>
              <w:t>Kirgizstānu</w:t>
            </w:r>
            <w:proofErr w:type="spellEnd"/>
          </w:p>
        </w:tc>
        <w:tc>
          <w:tcPr>
            <w:tcW w:w="2302" w:type="dxa"/>
          </w:tcPr>
          <w:p w14:paraId="48AF6CBB" w14:textId="77777777" w:rsidR="00114953" w:rsidRPr="009027B6" w:rsidRDefault="00114953" w:rsidP="00BF3A72">
            <w:pPr>
              <w:jc w:val="center"/>
              <w:rPr>
                <w:rFonts w:cs="Arial"/>
                <w:color w:val="323233"/>
                <w:sz w:val="18"/>
                <w:szCs w:val="18"/>
              </w:rPr>
            </w:pPr>
            <w:r>
              <w:rPr>
                <w:rFonts w:cs="Arial"/>
                <w:color w:val="323233"/>
                <w:sz w:val="18"/>
                <w:szCs w:val="18"/>
              </w:rPr>
              <w:t>39.pants</w:t>
            </w:r>
          </w:p>
        </w:tc>
        <w:tc>
          <w:tcPr>
            <w:tcW w:w="2302" w:type="dxa"/>
          </w:tcPr>
          <w:p w14:paraId="0CEB0B38" w14:textId="77777777" w:rsidR="00114953" w:rsidRPr="009027B6" w:rsidRDefault="00114953" w:rsidP="00BF3A72">
            <w:pPr>
              <w:rPr>
                <w:rFonts w:cs="Arial"/>
                <w:color w:val="323233"/>
                <w:sz w:val="18"/>
                <w:szCs w:val="18"/>
              </w:rPr>
            </w:pPr>
            <w:r>
              <w:rPr>
                <w:rFonts w:cs="Arial"/>
                <w:color w:val="323233"/>
                <w:sz w:val="18"/>
                <w:szCs w:val="18"/>
              </w:rPr>
              <w:t xml:space="preserve">„(1) </w:t>
            </w:r>
            <w:proofErr w:type="spellStart"/>
            <w:r>
              <w:rPr>
                <w:rFonts w:cs="Arial"/>
                <w:color w:val="323233"/>
                <w:sz w:val="18"/>
                <w:szCs w:val="18"/>
              </w:rPr>
              <w:t>Darījuma</w:t>
            </w:r>
            <w:proofErr w:type="spellEnd"/>
            <w:r>
              <w:rPr>
                <w:rFonts w:cs="Arial"/>
                <w:color w:val="323233"/>
                <w:sz w:val="18"/>
                <w:szCs w:val="18"/>
              </w:rPr>
              <w:t xml:space="preserve"> </w:t>
            </w:r>
            <w:proofErr w:type="spellStart"/>
            <w:r>
              <w:rPr>
                <w:rFonts w:cs="Arial"/>
                <w:color w:val="323233"/>
                <w:sz w:val="18"/>
                <w:szCs w:val="18"/>
              </w:rPr>
              <w:t>formu</w:t>
            </w:r>
            <w:proofErr w:type="spellEnd"/>
            <w:r>
              <w:rPr>
                <w:rFonts w:cs="Arial"/>
                <w:color w:val="323233"/>
                <w:sz w:val="18"/>
                <w:szCs w:val="18"/>
              </w:rPr>
              <w:t xml:space="preserve"> </w:t>
            </w:r>
            <w:proofErr w:type="spellStart"/>
            <w:r>
              <w:rPr>
                <w:rFonts w:cs="Arial"/>
                <w:color w:val="323233"/>
                <w:sz w:val="18"/>
                <w:szCs w:val="18"/>
              </w:rPr>
              <w:t>nosaka</w:t>
            </w:r>
            <w:proofErr w:type="spellEnd"/>
            <w:r>
              <w:rPr>
                <w:rFonts w:cs="Arial"/>
                <w:color w:val="323233"/>
                <w:sz w:val="18"/>
                <w:szCs w:val="18"/>
              </w:rPr>
              <w:t xml:space="preserve"> </w:t>
            </w:r>
            <w:proofErr w:type="spellStart"/>
            <w:r>
              <w:rPr>
                <w:rFonts w:cs="Arial"/>
                <w:color w:val="323233"/>
                <w:sz w:val="18"/>
                <w:szCs w:val="18"/>
              </w:rPr>
              <w:t>tā</w:t>
            </w:r>
            <w:proofErr w:type="spellEnd"/>
            <w:r>
              <w:rPr>
                <w:rFonts w:cs="Arial"/>
                <w:color w:val="323233"/>
                <w:sz w:val="18"/>
                <w:szCs w:val="18"/>
              </w:rPr>
              <w:t xml:space="preserve"> </w:t>
            </w:r>
            <w:proofErr w:type="spellStart"/>
            <w:r>
              <w:rPr>
                <w:rFonts w:cs="Arial"/>
                <w:color w:val="323233"/>
                <w:sz w:val="18"/>
                <w:szCs w:val="18"/>
              </w:rPr>
              <w:t>slēgšanas</w:t>
            </w:r>
            <w:proofErr w:type="spellEnd"/>
            <w:r>
              <w:rPr>
                <w:rFonts w:cs="Arial"/>
                <w:color w:val="323233"/>
                <w:sz w:val="18"/>
                <w:szCs w:val="18"/>
              </w:rPr>
              <w:t xml:space="preserve"> </w:t>
            </w:r>
            <w:proofErr w:type="spellStart"/>
            <w:r>
              <w:rPr>
                <w:rFonts w:cs="Arial"/>
                <w:color w:val="323233"/>
                <w:sz w:val="18"/>
                <w:szCs w:val="18"/>
              </w:rPr>
              <w:t>vietas</w:t>
            </w:r>
            <w:proofErr w:type="spellEnd"/>
            <w:r>
              <w:rPr>
                <w:rFonts w:cs="Arial"/>
                <w:color w:val="323233"/>
                <w:sz w:val="18"/>
                <w:szCs w:val="18"/>
              </w:rPr>
              <w:t xml:space="preserve"> </w:t>
            </w:r>
            <w:proofErr w:type="spellStart"/>
            <w:r>
              <w:rPr>
                <w:rFonts w:cs="Arial"/>
                <w:color w:val="323233"/>
                <w:sz w:val="18"/>
                <w:szCs w:val="18"/>
              </w:rPr>
              <w:t>likumdošana</w:t>
            </w:r>
            <w:proofErr w:type="spellEnd"/>
            <w:r>
              <w:rPr>
                <w:rFonts w:cs="Arial"/>
                <w:color w:val="323233"/>
                <w:sz w:val="18"/>
                <w:szCs w:val="18"/>
              </w:rPr>
              <w:t xml:space="preserve">. (2) </w:t>
            </w:r>
            <w:proofErr w:type="spellStart"/>
            <w:r>
              <w:rPr>
                <w:rFonts w:cs="Arial"/>
                <w:color w:val="323233"/>
                <w:sz w:val="18"/>
                <w:szCs w:val="18"/>
              </w:rPr>
              <w:t>Darījuma</w:t>
            </w:r>
            <w:proofErr w:type="spellEnd"/>
            <w:r>
              <w:rPr>
                <w:rFonts w:cs="Arial"/>
                <w:color w:val="323233"/>
                <w:sz w:val="18"/>
                <w:szCs w:val="18"/>
              </w:rPr>
              <w:t xml:space="preserve">, </w:t>
            </w:r>
            <w:proofErr w:type="spellStart"/>
            <w:r>
              <w:rPr>
                <w:rFonts w:cs="Arial"/>
                <w:color w:val="323233"/>
                <w:sz w:val="18"/>
                <w:szCs w:val="18"/>
              </w:rPr>
              <w:t>kas</w:t>
            </w:r>
            <w:proofErr w:type="spellEnd"/>
            <w:r>
              <w:rPr>
                <w:rFonts w:cs="Arial"/>
                <w:color w:val="323233"/>
                <w:sz w:val="18"/>
                <w:szCs w:val="18"/>
              </w:rPr>
              <w:t xml:space="preserve"> </w:t>
            </w:r>
            <w:proofErr w:type="spellStart"/>
            <w:r>
              <w:rPr>
                <w:rFonts w:cs="Arial"/>
                <w:color w:val="323233"/>
                <w:sz w:val="18"/>
                <w:szCs w:val="18"/>
              </w:rPr>
              <w:t>saistīts</w:t>
            </w:r>
            <w:proofErr w:type="spellEnd"/>
            <w:r>
              <w:rPr>
                <w:rFonts w:cs="Arial"/>
                <w:color w:val="323233"/>
                <w:sz w:val="18"/>
                <w:szCs w:val="18"/>
              </w:rPr>
              <w:t xml:space="preserve"> </w:t>
            </w:r>
            <w:proofErr w:type="spellStart"/>
            <w:r>
              <w:rPr>
                <w:rFonts w:cs="Arial"/>
                <w:color w:val="323233"/>
                <w:sz w:val="18"/>
                <w:szCs w:val="18"/>
              </w:rPr>
              <w:t>ar</w:t>
            </w:r>
            <w:proofErr w:type="spellEnd"/>
            <w:r>
              <w:rPr>
                <w:rFonts w:cs="Arial"/>
                <w:color w:val="323233"/>
                <w:sz w:val="18"/>
                <w:szCs w:val="18"/>
              </w:rPr>
              <w:t xml:space="preserve"> </w:t>
            </w:r>
            <w:proofErr w:type="spellStart"/>
            <w:r>
              <w:rPr>
                <w:rFonts w:cs="Arial"/>
                <w:color w:val="323233"/>
                <w:sz w:val="18"/>
                <w:szCs w:val="18"/>
              </w:rPr>
              <w:t>nekustamo</w:t>
            </w:r>
            <w:proofErr w:type="spellEnd"/>
            <w:r>
              <w:rPr>
                <w:rFonts w:cs="Arial"/>
                <w:color w:val="323233"/>
                <w:sz w:val="18"/>
                <w:szCs w:val="18"/>
              </w:rPr>
              <w:t xml:space="preserve"> </w:t>
            </w:r>
            <w:proofErr w:type="spellStart"/>
            <w:r>
              <w:rPr>
                <w:rFonts w:cs="Arial"/>
                <w:color w:val="323233"/>
                <w:sz w:val="18"/>
                <w:szCs w:val="18"/>
              </w:rPr>
              <w:t>īpašumu</w:t>
            </w:r>
            <w:proofErr w:type="spellEnd"/>
            <w:r>
              <w:rPr>
                <w:rFonts w:cs="Arial"/>
                <w:color w:val="323233"/>
                <w:sz w:val="18"/>
                <w:szCs w:val="18"/>
              </w:rPr>
              <w:t xml:space="preserve"> </w:t>
            </w:r>
            <w:proofErr w:type="spellStart"/>
            <w:r>
              <w:rPr>
                <w:rFonts w:cs="Arial"/>
                <w:color w:val="323233"/>
                <w:sz w:val="18"/>
                <w:szCs w:val="18"/>
              </w:rPr>
              <w:t>un</w:t>
            </w:r>
            <w:proofErr w:type="spellEnd"/>
            <w:r>
              <w:rPr>
                <w:rFonts w:cs="Arial"/>
                <w:color w:val="323233"/>
                <w:sz w:val="18"/>
                <w:szCs w:val="18"/>
              </w:rPr>
              <w:t xml:space="preserve"> </w:t>
            </w:r>
            <w:proofErr w:type="spellStart"/>
            <w:r>
              <w:rPr>
                <w:rFonts w:cs="Arial"/>
                <w:color w:val="323233"/>
                <w:sz w:val="18"/>
                <w:szCs w:val="18"/>
              </w:rPr>
              <w:t>tiesībām</w:t>
            </w:r>
            <w:proofErr w:type="spellEnd"/>
            <w:r>
              <w:rPr>
                <w:rFonts w:cs="Arial"/>
                <w:color w:val="323233"/>
                <w:sz w:val="18"/>
                <w:szCs w:val="18"/>
              </w:rPr>
              <w:t xml:space="preserve"> </w:t>
            </w:r>
            <w:proofErr w:type="spellStart"/>
            <w:r>
              <w:rPr>
                <w:rFonts w:cs="Arial"/>
                <w:color w:val="323233"/>
                <w:sz w:val="18"/>
                <w:szCs w:val="18"/>
              </w:rPr>
              <w:t>uz</w:t>
            </w:r>
            <w:proofErr w:type="spellEnd"/>
            <w:r>
              <w:rPr>
                <w:rFonts w:cs="Arial"/>
                <w:color w:val="323233"/>
                <w:sz w:val="18"/>
                <w:szCs w:val="18"/>
              </w:rPr>
              <w:t xml:space="preserve"> </w:t>
            </w:r>
            <w:proofErr w:type="spellStart"/>
            <w:r>
              <w:rPr>
                <w:rFonts w:cs="Arial"/>
                <w:color w:val="323233"/>
                <w:sz w:val="18"/>
                <w:szCs w:val="18"/>
              </w:rPr>
              <w:t>to</w:t>
            </w:r>
            <w:proofErr w:type="spellEnd"/>
            <w:r>
              <w:rPr>
                <w:rFonts w:cs="Arial"/>
                <w:color w:val="323233"/>
                <w:sz w:val="18"/>
                <w:szCs w:val="18"/>
              </w:rPr>
              <w:t xml:space="preserve">, </w:t>
            </w:r>
            <w:proofErr w:type="spellStart"/>
            <w:r>
              <w:rPr>
                <w:rFonts w:cs="Arial"/>
                <w:color w:val="323233"/>
                <w:sz w:val="18"/>
                <w:szCs w:val="18"/>
              </w:rPr>
              <w:t>formu</w:t>
            </w:r>
            <w:proofErr w:type="spellEnd"/>
            <w:r>
              <w:rPr>
                <w:rFonts w:cs="Arial"/>
                <w:color w:val="323233"/>
                <w:sz w:val="18"/>
                <w:szCs w:val="18"/>
              </w:rPr>
              <w:t xml:space="preserve"> </w:t>
            </w:r>
            <w:proofErr w:type="spellStart"/>
            <w:r>
              <w:rPr>
                <w:rFonts w:cs="Arial"/>
                <w:color w:val="323233"/>
                <w:sz w:val="18"/>
                <w:szCs w:val="18"/>
              </w:rPr>
              <w:t>nosaka</w:t>
            </w:r>
            <w:proofErr w:type="spellEnd"/>
            <w:r>
              <w:rPr>
                <w:rFonts w:cs="Arial"/>
                <w:color w:val="323233"/>
                <w:sz w:val="18"/>
                <w:szCs w:val="18"/>
              </w:rPr>
              <w:t xml:space="preserve"> </w:t>
            </w:r>
            <w:proofErr w:type="spellStart"/>
            <w:r>
              <w:rPr>
                <w:rFonts w:cs="Arial"/>
                <w:color w:val="323233"/>
                <w:sz w:val="18"/>
                <w:szCs w:val="18"/>
              </w:rPr>
              <w:t>tās</w:t>
            </w:r>
            <w:proofErr w:type="spellEnd"/>
            <w:r>
              <w:rPr>
                <w:rFonts w:cs="Arial"/>
                <w:color w:val="323233"/>
                <w:sz w:val="18"/>
                <w:szCs w:val="18"/>
              </w:rPr>
              <w:t xml:space="preserve"> </w:t>
            </w:r>
            <w:proofErr w:type="spellStart"/>
            <w:r>
              <w:rPr>
                <w:rFonts w:cs="Arial"/>
                <w:color w:val="323233"/>
                <w:sz w:val="18"/>
                <w:szCs w:val="18"/>
              </w:rPr>
              <w:t>Līgumslēdzējas</w:t>
            </w:r>
            <w:proofErr w:type="spellEnd"/>
            <w:r>
              <w:rPr>
                <w:rFonts w:cs="Arial"/>
                <w:color w:val="323233"/>
                <w:sz w:val="18"/>
                <w:szCs w:val="18"/>
              </w:rPr>
              <w:t xml:space="preserve"> </w:t>
            </w:r>
            <w:proofErr w:type="spellStart"/>
            <w:r>
              <w:rPr>
                <w:rFonts w:cs="Arial"/>
                <w:color w:val="323233"/>
                <w:sz w:val="18"/>
                <w:szCs w:val="18"/>
              </w:rPr>
              <w:t>Puses</w:t>
            </w:r>
            <w:proofErr w:type="spellEnd"/>
            <w:r>
              <w:rPr>
                <w:rFonts w:cs="Arial"/>
                <w:color w:val="323233"/>
                <w:sz w:val="18"/>
                <w:szCs w:val="18"/>
              </w:rPr>
              <w:t xml:space="preserve"> </w:t>
            </w:r>
            <w:proofErr w:type="spellStart"/>
            <w:r>
              <w:rPr>
                <w:rFonts w:cs="Arial"/>
                <w:color w:val="323233"/>
                <w:sz w:val="18"/>
                <w:szCs w:val="18"/>
              </w:rPr>
              <w:t>likumdošana</w:t>
            </w:r>
            <w:proofErr w:type="spellEnd"/>
            <w:r>
              <w:rPr>
                <w:rFonts w:cs="Arial"/>
                <w:color w:val="323233"/>
                <w:sz w:val="18"/>
                <w:szCs w:val="18"/>
              </w:rPr>
              <w:t xml:space="preserve">, </w:t>
            </w:r>
            <w:proofErr w:type="spellStart"/>
            <w:r>
              <w:rPr>
                <w:rFonts w:cs="Arial"/>
                <w:color w:val="323233"/>
                <w:sz w:val="18"/>
                <w:szCs w:val="18"/>
              </w:rPr>
              <w:t>kuras</w:t>
            </w:r>
            <w:proofErr w:type="spellEnd"/>
            <w:r>
              <w:rPr>
                <w:rFonts w:cs="Arial"/>
                <w:color w:val="323233"/>
                <w:sz w:val="18"/>
                <w:szCs w:val="18"/>
              </w:rPr>
              <w:t xml:space="preserve"> </w:t>
            </w:r>
            <w:proofErr w:type="spellStart"/>
            <w:r>
              <w:rPr>
                <w:rFonts w:cs="Arial"/>
                <w:color w:val="323233"/>
                <w:sz w:val="18"/>
                <w:szCs w:val="18"/>
              </w:rPr>
              <w:t>teritorijā</w:t>
            </w:r>
            <w:proofErr w:type="spellEnd"/>
            <w:r>
              <w:rPr>
                <w:rFonts w:cs="Arial"/>
                <w:color w:val="323233"/>
                <w:sz w:val="18"/>
                <w:szCs w:val="18"/>
              </w:rPr>
              <w:t xml:space="preserve"> </w:t>
            </w:r>
            <w:proofErr w:type="spellStart"/>
            <w:r>
              <w:rPr>
                <w:rFonts w:cs="Arial"/>
                <w:color w:val="323233"/>
                <w:sz w:val="18"/>
                <w:szCs w:val="18"/>
              </w:rPr>
              <w:t>šāds</w:t>
            </w:r>
            <w:proofErr w:type="spellEnd"/>
            <w:r>
              <w:rPr>
                <w:rFonts w:cs="Arial"/>
                <w:color w:val="323233"/>
                <w:sz w:val="18"/>
                <w:szCs w:val="18"/>
              </w:rPr>
              <w:t xml:space="preserve"> </w:t>
            </w:r>
            <w:proofErr w:type="spellStart"/>
            <w:r>
              <w:rPr>
                <w:rFonts w:cs="Arial"/>
                <w:color w:val="323233"/>
                <w:sz w:val="18"/>
                <w:szCs w:val="18"/>
              </w:rPr>
              <w:t>īpašums</w:t>
            </w:r>
            <w:proofErr w:type="spellEnd"/>
            <w:r>
              <w:rPr>
                <w:rFonts w:cs="Arial"/>
                <w:color w:val="323233"/>
                <w:sz w:val="18"/>
                <w:szCs w:val="18"/>
              </w:rPr>
              <w:t xml:space="preserve"> </w:t>
            </w:r>
            <w:proofErr w:type="spellStart"/>
            <w:r>
              <w:rPr>
                <w:rFonts w:cs="Arial"/>
                <w:color w:val="323233"/>
                <w:sz w:val="18"/>
                <w:szCs w:val="18"/>
              </w:rPr>
              <w:t>atrodas</w:t>
            </w:r>
            <w:proofErr w:type="spellEnd"/>
            <w:r>
              <w:rPr>
                <w:rFonts w:cs="Arial"/>
                <w:color w:val="323233"/>
                <w:sz w:val="18"/>
                <w:szCs w:val="18"/>
              </w:rPr>
              <w:t>“.</w:t>
            </w:r>
          </w:p>
        </w:tc>
      </w:tr>
      <w:tr w:rsidR="00114953" w:rsidRPr="000C7C76" w14:paraId="5894267C" w14:textId="77777777" w:rsidTr="00BF3A72">
        <w:tc>
          <w:tcPr>
            <w:tcW w:w="675" w:type="dxa"/>
          </w:tcPr>
          <w:p w14:paraId="71DF1F7F" w14:textId="77777777" w:rsidR="00114953" w:rsidRPr="009027B6" w:rsidRDefault="00114953" w:rsidP="00BF3A72">
            <w:pPr>
              <w:jc w:val="center"/>
              <w:rPr>
                <w:rFonts w:cs="Arial"/>
                <w:color w:val="323233"/>
                <w:sz w:val="18"/>
                <w:szCs w:val="18"/>
              </w:rPr>
            </w:pPr>
            <w:r>
              <w:rPr>
                <w:rFonts w:cs="Arial"/>
                <w:color w:val="323233"/>
                <w:sz w:val="18"/>
                <w:szCs w:val="18"/>
              </w:rPr>
              <w:t>8.</w:t>
            </w:r>
          </w:p>
        </w:tc>
        <w:tc>
          <w:tcPr>
            <w:tcW w:w="3932" w:type="dxa"/>
          </w:tcPr>
          <w:p w14:paraId="17C839A9" w14:textId="77777777" w:rsidR="00114953" w:rsidRPr="009027B6" w:rsidRDefault="00114953" w:rsidP="00BF3A72">
            <w:pPr>
              <w:jc w:val="both"/>
              <w:rPr>
                <w:rFonts w:cs="Arial"/>
                <w:color w:val="323233"/>
                <w:sz w:val="18"/>
                <w:szCs w:val="18"/>
              </w:rPr>
            </w:pPr>
            <w:proofErr w:type="spellStart"/>
            <w:r>
              <w:rPr>
                <w:rFonts w:cs="Arial"/>
                <w:color w:val="323233"/>
                <w:sz w:val="18"/>
                <w:szCs w:val="18"/>
              </w:rPr>
              <w:t>Līgums</w:t>
            </w:r>
            <w:proofErr w:type="spellEnd"/>
            <w:r>
              <w:rPr>
                <w:rFonts w:cs="Arial"/>
                <w:color w:val="323233"/>
                <w:sz w:val="18"/>
                <w:szCs w:val="18"/>
              </w:rPr>
              <w:t xml:space="preserve"> </w:t>
            </w:r>
            <w:proofErr w:type="spellStart"/>
            <w:r>
              <w:rPr>
                <w:rFonts w:cs="Arial"/>
                <w:color w:val="323233"/>
                <w:sz w:val="18"/>
                <w:szCs w:val="18"/>
              </w:rPr>
              <w:t>starp</w:t>
            </w:r>
            <w:proofErr w:type="spellEnd"/>
            <w:r>
              <w:rPr>
                <w:rFonts w:cs="Arial"/>
                <w:color w:val="323233"/>
                <w:sz w:val="18"/>
                <w:szCs w:val="18"/>
              </w:rPr>
              <w:t xml:space="preserve"> </w:t>
            </w:r>
            <w:proofErr w:type="spellStart"/>
            <w:r>
              <w:rPr>
                <w:rFonts w:cs="Arial"/>
                <w:color w:val="323233"/>
                <w:sz w:val="18"/>
                <w:szCs w:val="18"/>
              </w:rPr>
              <w:t>Latviju</w:t>
            </w:r>
            <w:proofErr w:type="spellEnd"/>
            <w:r>
              <w:rPr>
                <w:rFonts w:cs="Arial"/>
                <w:color w:val="323233"/>
                <w:sz w:val="18"/>
                <w:szCs w:val="18"/>
              </w:rPr>
              <w:t xml:space="preserve"> </w:t>
            </w:r>
            <w:proofErr w:type="spellStart"/>
            <w:r>
              <w:rPr>
                <w:rFonts w:cs="Arial"/>
                <w:color w:val="323233"/>
                <w:sz w:val="18"/>
                <w:szCs w:val="18"/>
              </w:rPr>
              <w:t>un</w:t>
            </w:r>
            <w:proofErr w:type="spellEnd"/>
            <w:r>
              <w:rPr>
                <w:rFonts w:cs="Arial"/>
                <w:color w:val="323233"/>
                <w:sz w:val="18"/>
                <w:szCs w:val="18"/>
              </w:rPr>
              <w:t xml:space="preserve"> </w:t>
            </w:r>
            <w:proofErr w:type="spellStart"/>
            <w:r>
              <w:rPr>
                <w:rFonts w:cs="Arial"/>
                <w:color w:val="323233"/>
                <w:sz w:val="18"/>
                <w:szCs w:val="18"/>
              </w:rPr>
              <w:t>Krievijas</w:t>
            </w:r>
            <w:proofErr w:type="spellEnd"/>
            <w:r>
              <w:rPr>
                <w:rFonts w:cs="Arial"/>
                <w:color w:val="323233"/>
                <w:sz w:val="18"/>
                <w:szCs w:val="18"/>
              </w:rPr>
              <w:t xml:space="preserve"> </w:t>
            </w:r>
            <w:proofErr w:type="spellStart"/>
            <w:r>
              <w:rPr>
                <w:rFonts w:cs="Arial"/>
                <w:color w:val="323233"/>
                <w:sz w:val="18"/>
                <w:szCs w:val="18"/>
              </w:rPr>
              <w:t>Federāciju</w:t>
            </w:r>
            <w:proofErr w:type="spellEnd"/>
          </w:p>
        </w:tc>
        <w:tc>
          <w:tcPr>
            <w:tcW w:w="2302" w:type="dxa"/>
          </w:tcPr>
          <w:p w14:paraId="7758B8DF" w14:textId="77777777" w:rsidR="00114953" w:rsidRPr="009027B6" w:rsidRDefault="00114953" w:rsidP="00BF3A72">
            <w:pPr>
              <w:jc w:val="center"/>
              <w:rPr>
                <w:rFonts w:cs="Arial"/>
                <w:color w:val="323233"/>
                <w:sz w:val="18"/>
                <w:szCs w:val="18"/>
              </w:rPr>
            </w:pPr>
            <w:r>
              <w:rPr>
                <w:rFonts w:cs="Arial"/>
                <w:color w:val="323233"/>
                <w:sz w:val="18"/>
                <w:szCs w:val="18"/>
              </w:rPr>
              <w:t>39.pants</w:t>
            </w:r>
          </w:p>
        </w:tc>
        <w:tc>
          <w:tcPr>
            <w:tcW w:w="2340" w:type="dxa"/>
            <w:gridSpan w:val="2"/>
          </w:tcPr>
          <w:p w14:paraId="21B930DC" w14:textId="77777777" w:rsidR="00114953" w:rsidRPr="009027B6" w:rsidRDefault="00114953" w:rsidP="00BF3A72">
            <w:pPr>
              <w:rPr>
                <w:rFonts w:cs="Arial"/>
                <w:color w:val="323233"/>
                <w:sz w:val="18"/>
                <w:szCs w:val="18"/>
              </w:rPr>
            </w:pPr>
            <w:r>
              <w:rPr>
                <w:rFonts w:cs="Arial"/>
                <w:color w:val="323233"/>
                <w:sz w:val="18"/>
                <w:szCs w:val="18"/>
              </w:rPr>
              <w:t xml:space="preserve">„(1) </w:t>
            </w:r>
            <w:proofErr w:type="spellStart"/>
            <w:r>
              <w:rPr>
                <w:rFonts w:cs="Arial"/>
                <w:color w:val="323233"/>
                <w:sz w:val="18"/>
                <w:szCs w:val="18"/>
              </w:rPr>
              <w:t>Darījuma</w:t>
            </w:r>
            <w:proofErr w:type="spellEnd"/>
            <w:r>
              <w:rPr>
                <w:rFonts w:cs="Arial"/>
                <w:color w:val="323233"/>
                <w:sz w:val="18"/>
                <w:szCs w:val="18"/>
              </w:rPr>
              <w:t xml:space="preserve"> </w:t>
            </w:r>
            <w:proofErr w:type="spellStart"/>
            <w:r>
              <w:rPr>
                <w:rFonts w:cs="Arial"/>
                <w:color w:val="323233"/>
                <w:sz w:val="18"/>
                <w:szCs w:val="18"/>
              </w:rPr>
              <w:t>formu</w:t>
            </w:r>
            <w:proofErr w:type="spellEnd"/>
            <w:r>
              <w:rPr>
                <w:rFonts w:cs="Arial"/>
                <w:color w:val="323233"/>
                <w:sz w:val="18"/>
                <w:szCs w:val="18"/>
              </w:rPr>
              <w:t xml:space="preserve"> </w:t>
            </w:r>
            <w:proofErr w:type="spellStart"/>
            <w:r>
              <w:rPr>
                <w:rFonts w:cs="Arial"/>
                <w:color w:val="323233"/>
                <w:sz w:val="18"/>
                <w:szCs w:val="18"/>
              </w:rPr>
              <w:t>nosaka</w:t>
            </w:r>
            <w:proofErr w:type="spellEnd"/>
            <w:r>
              <w:rPr>
                <w:rFonts w:cs="Arial"/>
                <w:color w:val="323233"/>
                <w:sz w:val="18"/>
                <w:szCs w:val="18"/>
              </w:rPr>
              <w:t xml:space="preserve"> </w:t>
            </w:r>
            <w:proofErr w:type="spellStart"/>
            <w:r>
              <w:rPr>
                <w:rFonts w:cs="Arial"/>
                <w:color w:val="323233"/>
                <w:sz w:val="18"/>
                <w:szCs w:val="18"/>
              </w:rPr>
              <w:t>tā</w:t>
            </w:r>
            <w:proofErr w:type="spellEnd"/>
            <w:r>
              <w:rPr>
                <w:rFonts w:cs="Arial"/>
                <w:color w:val="323233"/>
                <w:sz w:val="18"/>
                <w:szCs w:val="18"/>
              </w:rPr>
              <w:t xml:space="preserve"> </w:t>
            </w:r>
            <w:proofErr w:type="spellStart"/>
            <w:r>
              <w:rPr>
                <w:rFonts w:cs="Arial"/>
                <w:color w:val="323233"/>
                <w:sz w:val="18"/>
                <w:szCs w:val="18"/>
              </w:rPr>
              <w:t>slēgšanas</w:t>
            </w:r>
            <w:proofErr w:type="spellEnd"/>
            <w:r>
              <w:rPr>
                <w:rFonts w:cs="Arial"/>
                <w:color w:val="323233"/>
                <w:sz w:val="18"/>
                <w:szCs w:val="18"/>
              </w:rPr>
              <w:t xml:space="preserve"> </w:t>
            </w:r>
            <w:proofErr w:type="spellStart"/>
            <w:r>
              <w:rPr>
                <w:rFonts w:cs="Arial"/>
                <w:color w:val="323233"/>
                <w:sz w:val="18"/>
                <w:szCs w:val="18"/>
              </w:rPr>
              <w:t>vietas</w:t>
            </w:r>
            <w:proofErr w:type="spellEnd"/>
            <w:r>
              <w:rPr>
                <w:rFonts w:cs="Arial"/>
                <w:color w:val="323233"/>
                <w:sz w:val="18"/>
                <w:szCs w:val="18"/>
              </w:rPr>
              <w:t xml:space="preserve"> </w:t>
            </w:r>
            <w:proofErr w:type="spellStart"/>
            <w:r>
              <w:rPr>
                <w:rFonts w:cs="Arial"/>
                <w:color w:val="323233"/>
                <w:sz w:val="18"/>
                <w:szCs w:val="18"/>
              </w:rPr>
              <w:t>likumdošana</w:t>
            </w:r>
            <w:proofErr w:type="spellEnd"/>
            <w:r>
              <w:rPr>
                <w:rFonts w:cs="Arial"/>
                <w:color w:val="323233"/>
                <w:sz w:val="18"/>
                <w:szCs w:val="18"/>
              </w:rPr>
              <w:t xml:space="preserve">. (2) </w:t>
            </w:r>
            <w:proofErr w:type="spellStart"/>
            <w:r>
              <w:rPr>
                <w:rFonts w:cs="Arial"/>
                <w:color w:val="323233"/>
                <w:sz w:val="18"/>
                <w:szCs w:val="18"/>
              </w:rPr>
              <w:t>Darījuma</w:t>
            </w:r>
            <w:proofErr w:type="spellEnd"/>
            <w:r>
              <w:rPr>
                <w:rFonts w:cs="Arial"/>
                <w:color w:val="323233"/>
                <w:sz w:val="18"/>
                <w:szCs w:val="18"/>
              </w:rPr>
              <w:t xml:space="preserve">, </w:t>
            </w:r>
            <w:proofErr w:type="spellStart"/>
            <w:r>
              <w:rPr>
                <w:rFonts w:cs="Arial"/>
                <w:color w:val="323233"/>
                <w:sz w:val="18"/>
                <w:szCs w:val="18"/>
              </w:rPr>
              <w:t>kas</w:t>
            </w:r>
            <w:proofErr w:type="spellEnd"/>
            <w:r>
              <w:rPr>
                <w:rFonts w:cs="Arial"/>
                <w:color w:val="323233"/>
                <w:sz w:val="18"/>
                <w:szCs w:val="18"/>
              </w:rPr>
              <w:t xml:space="preserve"> </w:t>
            </w:r>
            <w:proofErr w:type="spellStart"/>
            <w:r>
              <w:rPr>
                <w:rFonts w:cs="Arial"/>
                <w:color w:val="323233"/>
                <w:sz w:val="18"/>
                <w:szCs w:val="18"/>
              </w:rPr>
              <w:t>saistīts</w:t>
            </w:r>
            <w:proofErr w:type="spellEnd"/>
            <w:r>
              <w:rPr>
                <w:rFonts w:cs="Arial"/>
                <w:color w:val="323233"/>
                <w:sz w:val="18"/>
                <w:szCs w:val="18"/>
              </w:rPr>
              <w:t xml:space="preserve"> </w:t>
            </w:r>
            <w:proofErr w:type="spellStart"/>
            <w:r>
              <w:rPr>
                <w:rFonts w:cs="Arial"/>
                <w:color w:val="323233"/>
                <w:sz w:val="18"/>
                <w:szCs w:val="18"/>
              </w:rPr>
              <w:t>ar</w:t>
            </w:r>
            <w:proofErr w:type="spellEnd"/>
            <w:r>
              <w:rPr>
                <w:rFonts w:cs="Arial"/>
                <w:color w:val="323233"/>
                <w:sz w:val="18"/>
                <w:szCs w:val="18"/>
              </w:rPr>
              <w:t xml:space="preserve"> </w:t>
            </w:r>
            <w:proofErr w:type="spellStart"/>
            <w:r>
              <w:rPr>
                <w:rFonts w:cs="Arial"/>
                <w:color w:val="323233"/>
                <w:sz w:val="18"/>
                <w:szCs w:val="18"/>
              </w:rPr>
              <w:t>nekustamo</w:t>
            </w:r>
            <w:proofErr w:type="spellEnd"/>
            <w:r>
              <w:rPr>
                <w:rFonts w:cs="Arial"/>
                <w:color w:val="323233"/>
                <w:sz w:val="18"/>
                <w:szCs w:val="18"/>
              </w:rPr>
              <w:t xml:space="preserve"> </w:t>
            </w:r>
            <w:proofErr w:type="spellStart"/>
            <w:r>
              <w:rPr>
                <w:rFonts w:cs="Arial"/>
                <w:color w:val="323233"/>
                <w:sz w:val="18"/>
                <w:szCs w:val="18"/>
              </w:rPr>
              <w:t>īpašumu</w:t>
            </w:r>
            <w:proofErr w:type="spellEnd"/>
            <w:r>
              <w:rPr>
                <w:rFonts w:cs="Arial"/>
                <w:color w:val="323233"/>
                <w:sz w:val="18"/>
                <w:szCs w:val="18"/>
              </w:rPr>
              <w:t xml:space="preserve"> </w:t>
            </w:r>
            <w:proofErr w:type="spellStart"/>
            <w:r>
              <w:rPr>
                <w:rFonts w:cs="Arial"/>
                <w:color w:val="323233"/>
                <w:sz w:val="18"/>
                <w:szCs w:val="18"/>
              </w:rPr>
              <w:t>un</w:t>
            </w:r>
            <w:proofErr w:type="spellEnd"/>
            <w:r>
              <w:rPr>
                <w:rFonts w:cs="Arial"/>
                <w:color w:val="323233"/>
                <w:sz w:val="18"/>
                <w:szCs w:val="18"/>
              </w:rPr>
              <w:t xml:space="preserve"> </w:t>
            </w:r>
            <w:proofErr w:type="spellStart"/>
            <w:r>
              <w:rPr>
                <w:rFonts w:cs="Arial"/>
                <w:color w:val="323233"/>
                <w:sz w:val="18"/>
                <w:szCs w:val="18"/>
              </w:rPr>
              <w:t>tiesībām</w:t>
            </w:r>
            <w:proofErr w:type="spellEnd"/>
            <w:r>
              <w:rPr>
                <w:rFonts w:cs="Arial"/>
                <w:color w:val="323233"/>
                <w:sz w:val="18"/>
                <w:szCs w:val="18"/>
              </w:rPr>
              <w:t xml:space="preserve"> </w:t>
            </w:r>
            <w:proofErr w:type="spellStart"/>
            <w:r>
              <w:rPr>
                <w:rFonts w:cs="Arial"/>
                <w:color w:val="323233"/>
                <w:sz w:val="18"/>
                <w:szCs w:val="18"/>
              </w:rPr>
              <w:t>uz</w:t>
            </w:r>
            <w:proofErr w:type="spellEnd"/>
            <w:r>
              <w:rPr>
                <w:rFonts w:cs="Arial"/>
                <w:color w:val="323233"/>
                <w:sz w:val="18"/>
                <w:szCs w:val="18"/>
              </w:rPr>
              <w:t xml:space="preserve"> </w:t>
            </w:r>
            <w:proofErr w:type="spellStart"/>
            <w:r>
              <w:rPr>
                <w:rFonts w:cs="Arial"/>
                <w:color w:val="323233"/>
                <w:sz w:val="18"/>
                <w:szCs w:val="18"/>
              </w:rPr>
              <w:t>to</w:t>
            </w:r>
            <w:proofErr w:type="spellEnd"/>
            <w:r>
              <w:rPr>
                <w:rFonts w:cs="Arial"/>
                <w:color w:val="323233"/>
                <w:sz w:val="18"/>
                <w:szCs w:val="18"/>
              </w:rPr>
              <w:t xml:space="preserve">, </w:t>
            </w:r>
            <w:proofErr w:type="spellStart"/>
            <w:r>
              <w:rPr>
                <w:rFonts w:cs="Arial"/>
                <w:color w:val="323233"/>
                <w:sz w:val="18"/>
                <w:szCs w:val="18"/>
              </w:rPr>
              <w:t>formu</w:t>
            </w:r>
            <w:proofErr w:type="spellEnd"/>
            <w:r>
              <w:rPr>
                <w:rFonts w:cs="Arial"/>
                <w:color w:val="323233"/>
                <w:sz w:val="18"/>
                <w:szCs w:val="18"/>
              </w:rPr>
              <w:t xml:space="preserve"> </w:t>
            </w:r>
            <w:proofErr w:type="spellStart"/>
            <w:r>
              <w:rPr>
                <w:rFonts w:cs="Arial"/>
                <w:color w:val="323233"/>
                <w:sz w:val="18"/>
                <w:szCs w:val="18"/>
              </w:rPr>
              <w:t>nosaka</w:t>
            </w:r>
            <w:proofErr w:type="spellEnd"/>
            <w:r>
              <w:rPr>
                <w:rFonts w:cs="Arial"/>
                <w:color w:val="323233"/>
                <w:sz w:val="18"/>
                <w:szCs w:val="18"/>
              </w:rPr>
              <w:t xml:space="preserve"> </w:t>
            </w:r>
            <w:proofErr w:type="spellStart"/>
            <w:r>
              <w:rPr>
                <w:rFonts w:cs="Arial"/>
                <w:color w:val="323233"/>
                <w:sz w:val="18"/>
                <w:szCs w:val="18"/>
              </w:rPr>
              <w:t>tās</w:t>
            </w:r>
            <w:proofErr w:type="spellEnd"/>
            <w:r>
              <w:rPr>
                <w:rFonts w:cs="Arial"/>
                <w:color w:val="323233"/>
                <w:sz w:val="18"/>
                <w:szCs w:val="18"/>
              </w:rPr>
              <w:t xml:space="preserve"> </w:t>
            </w:r>
            <w:proofErr w:type="spellStart"/>
            <w:r>
              <w:rPr>
                <w:rFonts w:cs="Arial"/>
                <w:color w:val="323233"/>
                <w:sz w:val="18"/>
                <w:szCs w:val="18"/>
              </w:rPr>
              <w:t>Līgumslēdzējas</w:t>
            </w:r>
            <w:proofErr w:type="spellEnd"/>
            <w:r>
              <w:rPr>
                <w:rFonts w:cs="Arial"/>
                <w:color w:val="323233"/>
                <w:sz w:val="18"/>
                <w:szCs w:val="18"/>
              </w:rPr>
              <w:t xml:space="preserve"> </w:t>
            </w:r>
            <w:proofErr w:type="spellStart"/>
            <w:r>
              <w:rPr>
                <w:rFonts w:cs="Arial"/>
                <w:color w:val="323233"/>
                <w:sz w:val="18"/>
                <w:szCs w:val="18"/>
              </w:rPr>
              <w:t>Puses</w:t>
            </w:r>
            <w:proofErr w:type="spellEnd"/>
            <w:r>
              <w:rPr>
                <w:rFonts w:cs="Arial"/>
                <w:color w:val="323233"/>
                <w:sz w:val="18"/>
                <w:szCs w:val="18"/>
              </w:rPr>
              <w:t xml:space="preserve"> </w:t>
            </w:r>
            <w:proofErr w:type="spellStart"/>
            <w:r>
              <w:rPr>
                <w:rFonts w:cs="Arial"/>
                <w:color w:val="323233"/>
                <w:sz w:val="18"/>
                <w:szCs w:val="18"/>
              </w:rPr>
              <w:t>likumdošana</w:t>
            </w:r>
            <w:proofErr w:type="spellEnd"/>
            <w:r>
              <w:rPr>
                <w:rFonts w:cs="Arial"/>
                <w:color w:val="323233"/>
                <w:sz w:val="18"/>
                <w:szCs w:val="18"/>
              </w:rPr>
              <w:t xml:space="preserve">, </w:t>
            </w:r>
            <w:proofErr w:type="spellStart"/>
            <w:r>
              <w:rPr>
                <w:rFonts w:cs="Arial"/>
                <w:color w:val="323233"/>
                <w:sz w:val="18"/>
                <w:szCs w:val="18"/>
              </w:rPr>
              <w:t>kuras</w:t>
            </w:r>
            <w:proofErr w:type="spellEnd"/>
            <w:r>
              <w:rPr>
                <w:rFonts w:cs="Arial"/>
                <w:color w:val="323233"/>
                <w:sz w:val="18"/>
                <w:szCs w:val="18"/>
              </w:rPr>
              <w:t xml:space="preserve"> </w:t>
            </w:r>
            <w:proofErr w:type="spellStart"/>
            <w:r>
              <w:rPr>
                <w:rFonts w:cs="Arial"/>
                <w:color w:val="323233"/>
                <w:sz w:val="18"/>
                <w:szCs w:val="18"/>
              </w:rPr>
              <w:t>teritorijā</w:t>
            </w:r>
            <w:proofErr w:type="spellEnd"/>
            <w:r>
              <w:rPr>
                <w:rFonts w:cs="Arial"/>
                <w:color w:val="323233"/>
                <w:sz w:val="18"/>
                <w:szCs w:val="18"/>
              </w:rPr>
              <w:t xml:space="preserve"> </w:t>
            </w:r>
            <w:proofErr w:type="spellStart"/>
            <w:r>
              <w:rPr>
                <w:rFonts w:cs="Arial"/>
                <w:color w:val="323233"/>
                <w:sz w:val="18"/>
                <w:szCs w:val="18"/>
              </w:rPr>
              <w:t>šāds</w:t>
            </w:r>
            <w:proofErr w:type="spellEnd"/>
            <w:r>
              <w:rPr>
                <w:rFonts w:cs="Arial"/>
                <w:color w:val="323233"/>
                <w:sz w:val="18"/>
                <w:szCs w:val="18"/>
              </w:rPr>
              <w:t xml:space="preserve"> </w:t>
            </w:r>
            <w:proofErr w:type="spellStart"/>
            <w:r>
              <w:rPr>
                <w:rFonts w:cs="Arial"/>
                <w:color w:val="323233"/>
                <w:sz w:val="18"/>
                <w:szCs w:val="18"/>
              </w:rPr>
              <w:t>īpašums</w:t>
            </w:r>
            <w:proofErr w:type="spellEnd"/>
            <w:r>
              <w:rPr>
                <w:rFonts w:cs="Arial"/>
                <w:color w:val="323233"/>
                <w:sz w:val="18"/>
                <w:szCs w:val="18"/>
              </w:rPr>
              <w:t xml:space="preserve"> </w:t>
            </w:r>
            <w:proofErr w:type="spellStart"/>
            <w:r>
              <w:rPr>
                <w:rFonts w:cs="Arial"/>
                <w:color w:val="323233"/>
                <w:sz w:val="18"/>
                <w:szCs w:val="18"/>
              </w:rPr>
              <w:t>atrodas</w:t>
            </w:r>
            <w:proofErr w:type="spellEnd"/>
            <w:r>
              <w:rPr>
                <w:rFonts w:cs="Arial"/>
                <w:color w:val="323233"/>
                <w:sz w:val="18"/>
                <w:szCs w:val="18"/>
              </w:rPr>
              <w:t>“.</w:t>
            </w:r>
          </w:p>
        </w:tc>
      </w:tr>
    </w:tbl>
    <w:p w14:paraId="46955696" w14:textId="77777777" w:rsidR="00114953" w:rsidRPr="000C7C76" w:rsidRDefault="00114953" w:rsidP="00114953">
      <w:pPr>
        <w:jc w:val="both"/>
        <w:rPr>
          <w:rFonts w:ascii="Times New Roman" w:hAnsi="Times New Roman" w:cs="Arial"/>
          <w:color w:val="323233"/>
          <w:lang w:val="de-DE"/>
        </w:rPr>
      </w:pPr>
    </w:p>
    <w:p w14:paraId="6A2795C7" w14:textId="312285F4" w:rsidR="00114953" w:rsidRPr="00565D81" w:rsidRDefault="00114953" w:rsidP="00114953">
      <w:pPr>
        <w:pStyle w:val="tv213"/>
        <w:ind w:firstLine="708"/>
        <w:jc w:val="both"/>
      </w:pPr>
      <w:proofErr w:type="spellStart"/>
      <w:r w:rsidRPr="00565D81">
        <w:t>Kā</w:t>
      </w:r>
      <w:proofErr w:type="spellEnd"/>
      <w:r w:rsidRPr="00565D81">
        <w:t xml:space="preserve"> </w:t>
      </w:r>
      <w:proofErr w:type="spellStart"/>
      <w:r w:rsidRPr="00565D81">
        <w:t>redzams</w:t>
      </w:r>
      <w:proofErr w:type="spellEnd"/>
      <w:r w:rsidRPr="00565D81">
        <w:t xml:space="preserve">, Latvijas </w:t>
      </w:r>
      <w:proofErr w:type="spellStart"/>
      <w:r w:rsidRPr="00565D81">
        <w:t>noslēgtie</w:t>
      </w:r>
      <w:proofErr w:type="spellEnd"/>
      <w:r w:rsidRPr="00565D81">
        <w:t xml:space="preserve"> </w:t>
      </w:r>
      <w:proofErr w:type="spellStart"/>
      <w:r w:rsidRPr="00565D81">
        <w:t>tiesiskās</w:t>
      </w:r>
      <w:proofErr w:type="spellEnd"/>
      <w:r w:rsidRPr="00565D81">
        <w:t xml:space="preserve"> </w:t>
      </w:r>
      <w:proofErr w:type="spellStart"/>
      <w:r w:rsidRPr="00565D81">
        <w:t>palīdzības</w:t>
      </w:r>
      <w:proofErr w:type="spellEnd"/>
      <w:r w:rsidRPr="00565D81">
        <w:t xml:space="preserve"> </w:t>
      </w:r>
      <w:proofErr w:type="spellStart"/>
      <w:r w:rsidRPr="00565D81">
        <w:t>līgumi</w:t>
      </w:r>
      <w:proofErr w:type="spellEnd"/>
      <w:r w:rsidRPr="00565D81">
        <w:t xml:space="preserve"> </w:t>
      </w:r>
      <w:proofErr w:type="spellStart"/>
      <w:r w:rsidRPr="00565D81">
        <w:t>neparedz</w:t>
      </w:r>
      <w:proofErr w:type="spellEnd"/>
      <w:r w:rsidRPr="00565D81">
        <w:t xml:space="preserve"> </w:t>
      </w:r>
      <w:proofErr w:type="spellStart"/>
      <w:r w:rsidRPr="00565D81">
        <w:t>atsevišķas</w:t>
      </w:r>
      <w:proofErr w:type="spellEnd"/>
      <w:r w:rsidRPr="00565D81">
        <w:t xml:space="preserve"> </w:t>
      </w:r>
      <w:proofErr w:type="spellStart"/>
      <w:r w:rsidR="00B72FCB">
        <w:t>speciālās</w:t>
      </w:r>
      <w:proofErr w:type="spellEnd"/>
      <w:r w:rsidR="00B72FCB">
        <w:t xml:space="preserve"> </w:t>
      </w:r>
      <w:proofErr w:type="spellStart"/>
      <w:r w:rsidRPr="00565D81">
        <w:t>kolīziju</w:t>
      </w:r>
      <w:proofErr w:type="spellEnd"/>
      <w:r w:rsidRPr="00565D81">
        <w:t xml:space="preserve"> </w:t>
      </w:r>
      <w:proofErr w:type="spellStart"/>
      <w:r w:rsidRPr="00565D81">
        <w:t>normas</w:t>
      </w:r>
      <w:proofErr w:type="spellEnd"/>
      <w:r w:rsidRPr="00565D81">
        <w:t xml:space="preserve"> </w:t>
      </w:r>
      <w:proofErr w:type="spellStart"/>
      <w:r w:rsidRPr="00565D81">
        <w:t>pilnvarojuma</w:t>
      </w:r>
      <w:proofErr w:type="spellEnd"/>
      <w:r w:rsidRPr="00565D81">
        <w:t xml:space="preserve"> </w:t>
      </w:r>
      <w:proofErr w:type="spellStart"/>
      <w:r w:rsidRPr="00565D81">
        <w:t>līgumu</w:t>
      </w:r>
      <w:proofErr w:type="spellEnd"/>
      <w:r w:rsidRPr="00565D81">
        <w:t xml:space="preserve"> </w:t>
      </w:r>
      <w:proofErr w:type="spellStart"/>
      <w:r w:rsidRPr="00565D81">
        <w:t>formai</w:t>
      </w:r>
      <w:proofErr w:type="spellEnd"/>
      <w:r w:rsidRPr="00565D81">
        <w:t xml:space="preserve"> </w:t>
      </w:r>
      <w:proofErr w:type="spellStart"/>
      <w:r w:rsidRPr="00565D81">
        <w:t>un</w:t>
      </w:r>
      <w:proofErr w:type="spellEnd"/>
      <w:r w:rsidRPr="00565D81">
        <w:t xml:space="preserve"> </w:t>
      </w:r>
      <w:proofErr w:type="spellStart"/>
      <w:r w:rsidRPr="00565D81">
        <w:t>pilnvaras</w:t>
      </w:r>
      <w:proofErr w:type="spellEnd"/>
      <w:r w:rsidRPr="00565D81">
        <w:t xml:space="preserve"> </w:t>
      </w:r>
      <w:proofErr w:type="spellStart"/>
      <w:r w:rsidRPr="00565D81">
        <w:t>formai</w:t>
      </w:r>
      <w:proofErr w:type="spellEnd"/>
      <w:r w:rsidRPr="00565D81">
        <w:t xml:space="preserve">. </w:t>
      </w:r>
      <w:proofErr w:type="spellStart"/>
      <w:r w:rsidR="00B72FCB">
        <w:t>Tādēļ</w:t>
      </w:r>
      <w:proofErr w:type="spellEnd"/>
      <w:r w:rsidR="00B72FCB">
        <w:t xml:space="preserve"> </w:t>
      </w:r>
      <w:proofErr w:type="spellStart"/>
      <w:r w:rsidR="00B72FCB">
        <w:t>jēdzieni</w:t>
      </w:r>
      <w:proofErr w:type="spellEnd"/>
      <w:r w:rsidR="00B72FCB">
        <w:t xml:space="preserve"> „</w:t>
      </w:r>
      <w:proofErr w:type="spellStart"/>
      <w:r w:rsidR="00B72FCB">
        <w:t>pilnvarojuma</w:t>
      </w:r>
      <w:proofErr w:type="spellEnd"/>
      <w:r w:rsidR="00B72FCB">
        <w:t xml:space="preserve"> </w:t>
      </w:r>
      <w:proofErr w:type="spellStart"/>
      <w:r w:rsidR="00B72FCB">
        <w:t>līgums</w:t>
      </w:r>
      <w:proofErr w:type="spellEnd"/>
      <w:r w:rsidR="00B72FCB">
        <w:t xml:space="preserve">“ </w:t>
      </w:r>
      <w:proofErr w:type="spellStart"/>
      <w:r w:rsidR="00B72FCB">
        <w:t>un</w:t>
      </w:r>
      <w:proofErr w:type="spellEnd"/>
      <w:r w:rsidR="00B72FCB">
        <w:t xml:space="preserve"> „</w:t>
      </w:r>
      <w:proofErr w:type="spellStart"/>
      <w:r w:rsidR="00B72FCB">
        <w:t>pilnvara</w:t>
      </w:r>
      <w:proofErr w:type="spellEnd"/>
      <w:r w:rsidR="00B72FCB">
        <w:t xml:space="preserve">“ </w:t>
      </w:r>
      <w:proofErr w:type="spellStart"/>
      <w:r w:rsidR="00B72FCB">
        <w:t>tiek</w:t>
      </w:r>
      <w:proofErr w:type="spellEnd"/>
      <w:r w:rsidR="00B72FCB">
        <w:t xml:space="preserve"> </w:t>
      </w:r>
      <w:proofErr w:type="spellStart"/>
      <w:r w:rsidR="00B72FCB">
        <w:t>subsumēti</w:t>
      </w:r>
      <w:proofErr w:type="spellEnd"/>
      <w:r w:rsidR="00B72FCB">
        <w:t xml:space="preserve"> </w:t>
      </w:r>
      <w:proofErr w:type="spellStart"/>
      <w:r w:rsidR="00B72FCB">
        <w:t>kolīziju</w:t>
      </w:r>
      <w:proofErr w:type="spellEnd"/>
      <w:r w:rsidR="00B72FCB">
        <w:t xml:space="preserve"> </w:t>
      </w:r>
      <w:proofErr w:type="spellStart"/>
      <w:r w:rsidR="00B72FCB">
        <w:t>normā</w:t>
      </w:r>
      <w:proofErr w:type="spellEnd"/>
      <w:r w:rsidR="00B72FCB">
        <w:t xml:space="preserve"> </w:t>
      </w:r>
      <w:proofErr w:type="spellStart"/>
      <w:r w:rsidR="00B72FCB">
        <w:t>lietotajam</w:t>
      </w:r>
      <w:proofErr w:type="spellEnd"/>
      <w:r w:rsidR="00B72FCB">
        <w:t xml:space="preserve"> </w:t>
      </w:r>
      <w:proofErr w:type="spellStart"/>
      <w:r w:rsidR="00B72FCB">
        <w:t>sistēmjēdzienam</w:t>
      </w:r>
      <w:proofErr w:type="spellEnd"/>
      <w:r w:rsidR="00B72FCB">
        <w:t xml:space="preserve"> „</w:t>
      </w:r>
      <w:proofErr w:type="spellStart"/>
      <w:r w:rsidR="00B72FCB">
        <w:t>darījumi</w:t>
      </w:r>
      <w:proofErr w:type="spellEnd"/>
      <w:r w:rsidR="00B72FCB">
        <w:t>“.</w:t>
      </w:r>
    </w:p>
    <w:p w14:paraId="0BA9D29B" w14:textId="77777777" w:rsidR="00114953" w:rsidRPr="000C7C76" w:rsidRDefault="00114953" w:rsidP="00114953">
      <w:pPr>
        <w:ind w:firstLine="708"/>
        <w:jc w:val="both"/>
        <w:rPr>
          <w:rFonts w:ascii="Times New Roman" w:hAnsi="Times New Roman" w:cs="Times New Roman"/>
          <w:lang w:val="de-DE"/>
        </w:rPr>
      </w:pPr>
    </w:p>
    <w:p w14:paraId="0D013996" w14:textId="77777777" w:rsidR="00114953" w:rsidRPr="000C7C76" w:rsidRDefault="00114953" w:rsidP="00114953">
      <w:pPr>
        <w:jc w:val="center"/>
        <w:rPr>
          <w:rFonts w:ascii="Times New Roman" w:hAnsi="Times New Roman" w:cs="Times New Roman"/>
          <w:b/>
          <w:bCs/>
          <w:sz w:val="28"/>
          <w:szCs w:val="28"/>
          <w:lang w:val="de-DE"/>
        </w:rPr>
      </w:pPr>
    </w:p>
    <w:p w14:paraId="56A68E54" w14:textId="77777777" w:rsidR="00565D81" w:rsidRPr="000C7C76" w:rsidRDefault="00565D81" w:rsidP="00114953">
      <w:pPr>
        <w:jc w:val="center"/>
        <w:rPr>
          <w:rFonts w:ascii="Times New Roman" w:hAnsi="Times New Roman" w:cs="Times New Roman"/>
          <w:b/>
          <w:bCs/>
          <w:sz w:val="28"/>
          <w:szCs w:val="28"/>
          <w:lang w:val="de-DE"/>
        </w:rPr>
      </w:pPr>
    </w:p>
    <w:p w14:paraId="030AE897" w14:textId="77777777" w:rsidR="00114953" w:rsidRDefault="00114953" w:rsidP="00114953">
      <w:pPr>
        <w:jc w:val="center"/>
        <w:rPr>
          <w:rFonts w:ascii="Times New Roman" w:hAnsi="Times New Roman" w:cs="Times New Roman"/>
          <w:b/>
          <w:bCs/>
          <w:sz w:val="28"/>
          <w:szCs w:val="28"/>
        </w:rPr>
      </w:pPr>
      <w:proofErr w:type="spellStart"/>
      <w:r w:rsidRPr="00573847">
        <w:rPr>
          <w:rFonts w:ascii="Times New Roman" w:hAnsi="Times New Roman" w:cs="Times New Roman"/>
          <w:b/>
          <w:bCs/>
          <w:sz w:val="28"/>
          <w:szCs w:val="28"/>
        </w:rPr>
        <w:t>Juridiskas</w:t>
      </w:r>
      <w:proofErr w:type="spellEnd"/>
      <w:r w:rsidRPr="00573847">
        <w:rPr>
          <w:rFonts w:ascii="Times New Roman" w:hAnsi="Times New Roman" w:cs="Times New Roman"/>
          <w:b/>
          <w:bCs/>
          <w:sz w:val="28"/>
          <w:szCs w:val="28"/>
        </w:rPr>
        <w:t xml:space="preserve"> </w:t>
      </w:r>
      <w:proofErr w:type="spellStart"/>
      <w:r w:rsidRPr="00573847">
        <w:rPr>
          <w:rFonts w:ascii="Times New Roman" w:hAnsi="Times New Roman" w:cs="Times New Roman"/>
          <w:b/>
          <w:bCs/>
          <w:sz w:val="28"/>
          <w:szCs w:val="28"/>
        </w:rPr>
        <w:t>personas</w:t>
      </w:r>
      <w:proofErr w:type="spellEnd"/>
      <w:r w:rsidRPr="00573847">
        <w:rPr>
          <w:rFonts w:ascii="Times New Roman" w:hAnsi="Times New Roman" w:cs="Times New Roman"/>
          <w:b/>
          <w:bCs/>
          <w:sz w:val="28"/>
          <w:szCs w:val="28"/>
        </w:rPr>
        <w:t xml:space="preserve"> </w:t>
      </w:r>
      <w:proofErr w:type="spellStart"/>
      <w:r w:rsidRPr="00573847">
        <w:rPr>
          <w:rFonts w:ascii="Times New Roman" w:hAnsi="Times New Roman" w:cs="Times New Roman"/>
          <w:b/>
          <w:bCs/>
          <w:sz w:val="28"/>
          <w:szCs w:val="28"/>
        </w:rPr>
        <w:t>tiesībspēja</w:t>
      </w:r>
      <w:proofErr w:type="spellEnd"/>
      <w:r w:rsidRPr="00573847">
        <w:rPr>
          <w:rFonts w:ascii="Times New Roman" w:hAnsi="Times New Roman" w:cs="Times New Roman"/>
          <w:b/>
          <w:bCs/>
          <w:sz w:val="28"/>
          <w:szCs w:val="28"/>
        </w:rPr>
        <w:t xml:space="preserve"> un </w:t>
      </w:r>
      <w:proofErr w:type="spellStart"/>
      <w:r w:rsidRPr="00573847">
        <w:rPr>
          <w:rFonts w:ascii="Times New Roman" w:hAnsi="Times New Roman" w:cs="Times New Roman"/>
          <w:b/>
          <w:bCs/>
          <w:sz w:val="28"/>
          <w:szCs w:val="28"/>
        </w:rPr>
        <w:t>pārstāvju</w:t>
      </w:r>
      <w:proofErr w:type="spellEnd"/>
      <w:r w:rsidRPr="00573847">
        <w:rPr>
          <w:rFonts w:ascii="Times New Roman" w:hAnsi="Times New Roman" w:cs="Times New Roman"/>
          <w:b/>
          <w:bCs/>
          <w:sz w:val="28"/>
          <w:szCs w:val="28"/>
        </w:rPr>
        <w:t xml:space="preserve"> </w:t>
      </w:r>
      <w:proofErr w:type="spellStart"/>
      <w:r w:rsidRPr="00573847">
        <w:rPr>
          <w:rFonts w:ascii="Times New Roman" w:hAnsi="Times New Roman" w:cs="Times New Roman"/>
          <w:b/>
          <w:bCs/>
          <w:sz w:val="28"/>
          <w:szCs w:val="28"/>
        </w:rPr>
        <w:t>pilnvaras</w:t>
      </w:r>
      <w:proofErr w:type="spellEnd"/>
    </w:p>
    <w:p w14:paraId="5489AC11" w14:textId="77777777" w:rsidR="00114953" w:rsidRPr="00734E20" w:rsidRDefault="00114953" w:rsidP="00114953">
      <w:pPr>
        <w:jc w:val="center"/>
        <w:rPr>
          <w:rFonts w:ascii="Times New Roman" w:hAnsi="Times New Roman" w:cs="Times New Roman"/>
          <w:b/>
          <w:bCs/>
          <w:sz w:val="28"/>
          <w:szCs w:val="28"/>
        </w:rPr>
      </w:pPr>
    </w:p>
    <w:p w14:paraId="107900A8" w14:textId="77777777" w:rsidR="00114953" w:rsidRDefault="00114953" w:rsidP="00114953">
      <w:pPr>
        <w:jc w:val="both"/>
        <w:rPr>
          <w:rFonts w:ascii="Times New Roman" w:hAnsi="Times New Roman" w:cs="Times New Roman"/>
        </w:rPr>
      </w:pPr>
    </w:p>
    <w:p w14:paraId="0D1AF424" w14:textId="77777777" w:rsidR="00114953" w:rsidRPr="00016BEF" w:rsidRDefault="00114953" w:rsidP="00114953">
      <w:pPr>
        <w:jc w:val="both"/>
        <w:rPr>
          <w:rFonts w:ascii="Times New Roman" w:hAnsi="Times New Roman" w:cs="Times New Roman"/>
          <w:b/>
        </w:rPr>
      </w:pPr>
      <w:proofErr w:type="spellStart"/>
      <w:r w:rsidRPr="00016BEF">
        <w:rPr>
          <w:rFonts w:ascii="Times New Roman" w:hAnsi="Times New Roman" w:cs="Times New Roman"/>
          <w:b/>
        </w:rPr>
        <w:t>Normatīvais</w:t>
      </w:r>
      <w:proofErr w:type="spellEnd"/>
      <w:r w:rsidRPr="00016BEF">
        <w:rPr>
          <w:rFonts w:ascii="Times New Roman" w:hAnsi="Times New Roman" w:cs="Times New Roman"/>
          <w:b/>
        </w:rPr>
        <w:t xml:space="preserve"> </w:t>
      </w:r>
      <w:proofErr w:type="spellStart"/>
      <w:proofErr w:type="gramStart"/>
      <w:r w:rsidRPr="00016BEF">
        <w:rPr>
          <w:rFonts w:ascii="Times New Roman" w:hAnsi="Times New Roman" w:cs="Times New Roman"/>
          <w:b/>
        </w:rPr>
        <w:t>regulējums</w:t>
      </w:r>
      <w:proofErr w:type="spellEnd"/>
      <w:r w:rsidRPr="00016BEF">
        <w:rPr>
          <w:rFonts w:ascii="Times New Roman" w:hAnsi="Times New Roman" w:cs="Times New Roman"/>
          <w:b/>
        </w:rPr>
        <w:t>:</w:t>
      </w:r>
      <w:proofErr w:type="gramEnd"/>
    </w:p>
    <w:p w14:paraId="5E14CB03" w14:textId="77777777" w:rsidR="00114953" w:rsidRDefault="00114953" w:rsidP="00114953">
      <w:pPr>
        <w:jc w:val="both"/>
        <w:rPr>
          <w:rFonts w:ascii="Times New Roman" w:hAnsi="Times New Roman" w:cs="Times New Roman"/>
        </w:rPr>
      </w:pPr>
    </w:p>
    <w:p w14:paraId="5EBD2C4C" w14:textId="77777777" w:rsidR="00114953" w:rsidRDefault="00114953" w:rsidP="00114953">
      <w:pPr>
        <w:jc w:val="both"/>
        <w:rPr>
          <w:rFonts w:ascii="Times New Roman" w:hAnsi="Times New Roman" w:cs="Times New Roman"/>
        </w:rPr>
      </w:pPr>
    </w:p>
    <w:p w14:paraId="1A594344" w14:textId="77777777" w:rsidR="00114953" w:rsidRDefault="00114953" w:rsidP="00114953">
      <w:pPr>
        <w:ind w:firstLine="708"/>
        <w:jc w:val="both"/>
        <w:rPr>
          <w:rFonts w:ascii="Times New Roman" w:hAnsi="Times New Roman" w:cs="Arial"/>
          <w:color w:val="323233"/>
        </w:rPr>
      </w:pPr>
      <w:proofErr w:type="spellStart"/>
      <w:r>
        <w:rPr>
          <w:rFonts w:ascii="Times New Roman" w:hAnsi="Times New Roman" w:cs="Times New Roman"/>
        </w:rPr>
        <w:t>Saskaņā</w:t>
      </w:r>
      <w:proofErr w:type="spellEnd"/>
      <w:r>
        <w:rPr>
          <w:rFonts w:ascii="Times New Roman" w:hAnsi="Times New Roman" w:cs="Times New Roman"/>
        </w:rPr>
        <w:t xml:space="preserve"> </w:t>
      </w:r>
      <w:proofErr w:type="spellStart"/>
      <w:r>
        <w:rPr>
          <w:rFonts w:ascii="Times New Roman" w:hAnsi="Times New Roman" w:cs="Times New Roman"/>
        </w:rPr>
        <w:t>ar</w:t>
      </w:r>
      <w:proofErr w:type="spellEnd"/>
      <w:r>
        <w:rPr>
          <w:rFonts w:ascii="Times New Roman" w:hAnsi="Times New Roman" w:cs="Times New Roman"/>
        </w:rPr>
        <w:t xml:space="preserve"> </w:t>
      </w:r>
      <w:proofErr w:type="spellStart"/>
      <w:r>
        <w:rPr>
          <w:rFonts w:ascii="Times New Roman" w:hAnsi="Times New Roman" w:cs="Times New Roman"/>
        </w:rPr>
        <w:t>Notariāta</w:t>
      </w:r>
      <w:proofErr w:type="spellEnd"/>
      <w:r>
        <w:rPr>
          <w:rFonts w:ascii="Times New Roman" w:hAnsi="Times New Roman" w:cs="Times New Roman"/>
        </w:rPr>
        <w:t xml:space="preserve"> </w:t>
      </w:r>
      <w:proofErr w:type="spellStart"/>
      <w:r>
        <w:rPr>
          <w:rFonts w:ascii="Times New Roman" w:hAnsi="Times New Roman" w:cs="Times New Roman"/>
        </w:rPr>
        <w:t>likuma</w:t>
      </w:r>
      <w:proofErr w:type="spellEnd"/>
      <w:r>
        <w:rPr>
          <w:rFonts w:ascii="Times New Roman" w:hAnsi="Times New Roman" w:cs="Times New Roman"/>
        </w:rPr>
        <w:t xml:space="preserve"> </w:t>
      </w:r>
      <w:proofErr w:type="gramStart"/>
      <w:r>
        <w:rPr>
          <w:rFonts w:ascii="Times New Roman" w:hAnsi="Times New Roman" w:cs="Times New Roman"/>
        </w:rPr>
        <w:t>77.pantu</w:t>
      </w:r>
      <w:proofErr w:type="gramEnd"/>
      <w:r>
        <w:rPr>
          <w:rFonts w:ascii="Times New Roman" w:hAnsi="Times New Roman" w:cs="Times New Roman"/>
        </w:rPr>
        <w:t> </w:t>
      </w:r>
      <w:proofErr w:type="spellStart"/>
      <w:r w:rsidRPr="00DA65AC">
        <w:rPr>
          <w:rFonts w:ascii="Times New Roman" w:hAnsi="Times New Roman" w:cs="Times New Roman"/>
        </w:rPr>
        <w:t>t</w:t>
      </w:r>
      <w:r w:rsidRPr="00DA65AC">
        <w:rPr>
          <w:rFonts w:ascii="Times New Roman" w:hAnsi="Times New Roman" w:cs="Arial"/>
          <w:color w:val="323233"/>
        </w:rPr>
        <w:t>aisot</w:t>
      </w:r>
      <w:proofErr w:type="spellEnd"/>
      <w:r w:rsidRPr="00DA65AC">
        <w:rPr>
          <w:rFonts w:ascii="Times New Roman" w:hAnsi="Times New Roman" w:cs="Arial"/>
          <w:color w:val="323233"/>
        </w:rPr>
        <w:t xml:space="preserve"> </w:t>
      </w:r>
      <w:proofErr w:type="spellStart"/>
      <w:r w:rsidRPr="00DA65AC">
        <w:rPr>
          <w:rFonts w:ascii="Times New Roman" w:hAnsi="Times New Roman" w:cs="Arial"/>
          <w:color w:val="323233"/>
        </w:rPr>
        <w:t>aktus</w:t>
      </w:r>
      <w:proofErr w:type="spellEnd"/>
      <w:r w:rsidRPr="00DA65AC">
        <w:rPr>
          <w:rFonts w:ascii="Times New Roman" w:hAnsi="Times New Roman" w:cs="Arial"/>
          <w:color w:val="323233"/>
        </w:rPr>
        <w:t xml:space="preserve"> un </w:t>
      </w:r>
      <w:proofErr w:type="spellStart"/>
      <w:r w:rsidRPr="00DA65AC">
        <w:rPr>
          <w:rFonts w:ascii="Times New Roman" w:hAnsi="Times New Roman" w:cs="Arial"/>
          <w:color w:val="323233"/>
        </w:rPr>
        <w:t>apliecinājumus</w:t>
      </w:r>
      <w:proofErr w:type="spellEnd"/>
      <w:r w:rsidRPr="00DA65AC">
        <w:rPr>
          <w:rFonts w:ascii="Times New Roman" w:hAnsi="Times New Roman" w:cs="Arial"/>
          <w:color w:val="323233"/>
        </w:rPr>
        <w:t xml:space="preserve"> </w:t>
      </w:r>
      <w:proofErr w:type="spellStart"/>
      <w:r w:rsidRPr="00734E20">
        <w:rPr>
          <w:rFonts w:ascii="Times New Roman" w:hAnsi="Times New Roman" w:cs="Arial"/>
          <w:b/>
          <w:bCs/>
          <w:color w:val="323233"/>
        </w:rPr>
        <w:t>juridiskajām</w:t>
      </w:r>
      <w:proofErr w:type="spellEnd"/>
      <w:r w:rsidRPr="00734E20">
        <w:rPr>
          <w:rFonts w:ascii="Times New Roman" w:hAnsi="Times New Roman" w:cs="Arial"/>
          <w:b/>
          <w:bCs/>
          <w:color w:val="323233"/>
        </w:rPr>
        <w:t xml:space="preserve"> </w:t>
      </w:r>
      <w:proofErr w:type="spellStart"/>
      <w:r w:rsidRPr="00734E20">
        <w:rPr>
          <w:rFonts w:ascii="Times New Roman" w:hAnsi="Times New Roman" w:cs="Arial"/>
          <w:b/>
          <w:bCs/>
          <w:color w:val="323233"/>
        </w:rPr>
        <w:t>personām</w:t>
      </w:r>
      <w:proofErr w:type="spellEnd"/>
      <w:r w:rsidRPr="00DA65AC">
        <w:rPr>
          <w:rFonts w:ascii="Times New Roman" w:hAnsi="Times New Roman" w:cs="Arial"/>
          <w:color w:val="323233"/>
        </w:rPr>
        <w:t xml:space="preserve">, </w:t>
      </w:r>
      <w:proofErr w:type="spellStart"/>
      <w:r w:rsidRPr="00DA65AC">
        <w:rPr>
          <w:rFonts w:ascii="Times New Roman" w:hAnsi="Times New Roman" w:cs="Arial"/>
          <w:color w:val="323233"/>
        </w:rPr>
        <w:t>jāpārbauda</w:t>
      </w:r>
      <w:proofErr w:type="spellEnd"/>
      <w:r w:rsidRPr="00DA65AC">
        <w:rPr>
          <w:rFonts w:ascii="Times New Roman" w:hAnsi="Times New Roman" w:cs="Arial"/>
          <w:color w:val="323233"/>
        </w:rPr>
        <w:t xml:space="preserve"> to </w:t>
      </w:r>
      <w:proofErr w:type="spellStart"/>
      <w:r w:rsidRPr="00734E20">
        <w:rPr>
          <w:rFonts w:ascii="Times New Roman" w:hAnsi="Times New Roman" w:cs="Arial"/>
          <w:color w:val="323233"/>
          <w:u w:val="single"/>
        </w:rPr>
        <w:t>tiesībspēja</w:t>
      </w:r>
      <w:proofErr w:type="spellEnd"/>
      <w:r w:rsidRPr="00DA65AC">
        <w:rPr>
          <w:rFonts w:ascii="Times New Roman" w:hAnsi="Times New Roman" w:cs="Arial"/>
          <w:color w:val="323233"/>
        </w:rPr>
        <w:t xml:space="preserve">, </w:t>
      </w:r>
      <w:proofErr w:type="spellStart"/>
      <w:r w:rsidRPr="00734E20">
        <w:rPr>
          <w:rFonts w:ascii="Times New Roman" w:hAnsi="Times New Roman" w:cs="Arial"/>
          <w:color w:val="323233"/>
          <w:u w:val="single"/>
        </w:rPr>
        <w:t>darbības</w:t>
      </w:r>
      <w:proofErr w:type="spellEnd"/>
      <w:r w:rsidRPr="00734E20">
        <w:rPr>
          <w:rFonts w:ascii="Times New Roman" w:hAnsi="Times New Roman" w:cs="Arial"/>
          <w:color w:val="323233"/>
          <w:u w:val="single"/>
        </w:rPr>
        <w:t xml:space="preserve"> </w:t>
      </w:r>
      <w:proofErr w:type="spellStart"/>
      <w:r w:rsidRPr="00734E20">
        <w:rPr>
          <w:rFonts w:ascii="Times New Roman" w:hAnsi="Times New Roman" w:cs="Arial"/>
          <w:color w:val="323233"/>
          <w:u w:val="single"/>
        </w:rPr>
        <w:t>apjoms</w:t>
      </w:r>
      <w:proofErr w:type="spellEnd"/>
      <w:r w:rsidRPr="00DA65AC">
        <w:rPr>
          <w:rFonts w:ascii="Times New Roman" w:hAnsi="Times New Roman" w:cs="Arial"/>
          <w:color w:val="323233"/>
        </w:rPr>
        <w:t xml:space="preserve"> un </w:t>
      </w:r>
      <w:proofErr w:type="spellStart"/>
      <w:r w:rsidRPr="00734E20">
        <w:rPr>
          <w:rFonts w:ascii="Times New Roman" w:hAnsi="Times New Roman" w:cs="Arial"/>
          <w:color w:val="323233"/>
          <w:u w:val="single"/>
        </w:rPr>
        <w:t>pārstāvju</w:t>
      </w:r>
      <w:proofErr w:type="spellEnd"/>
      <w:r w:rsidRPr="00734E20">
        <w:rPr>
          <w:rFonts w:ascii="Times New Roman" w:hAnsi="Times New Roman" w:cs="Arial"/>
          <w:color w:val="323233"/>
          <w:u w:val="single"/>
        </w:rPr>
        <w:t xml:space="preserve"> </w:t>
      </w:r>
      <w:proofErr w:type="spellStart"/>
      <w:r w:rsidRPr="00734E20">
        <w:rPr>
          <w:rFonts w:ascii="Times New Roman" w:hAnsi="Times New Roman" w:cs="Arial"/>
          <w:color w:val="323233"/>
          <w:u w:val="single"/>
        </w:rPr>
        <w:t>pilnvaras</w:t>
      </w:r>
      <w:proofErr w:type="spellEnd"/>
      <w:r w:rsidRPr="00DA65AC">
        <w:rPr>
          <w:rFonts w:ascii="Times New Roman" w:hAnsi="Times New Roman" w:cs="Arial"/>
          <w:color w:val="323233"/>
        </w:rPr>
        <w:t>.</w:t>
      </w:r>
    </w:p>
    <w:p w14:paraId="6D765181" w14:textId="77777777" w:rsidR="00114953" w:rsidRDefault="00114953" w:rsidP="00114953">
      <w:pPr>
        <w:jc w:val="both"/>
        <w:rPr>
          <w:rFonts w:ascii="Times New Roman" w:hAnsi="Times New Roman" w:cs="Arial"/>
          <w:color w:val="323233"/>
        </w:rPr>
      </w:pPr>
    </w:p>
    <w:p w14:paraId="6F21BED7" w14:textId="77777777" w:rsidR="00114953" w:rsidRDefault="00114953" w:rsidP="00114953">
      <w:pPr>
        <w:ind w:firstLine="708"/>
        <w:jc w:val="both"/>
        <w:rPr>
          <w:rFonts w:ascii="Times New Roman" w:hAnsi="Times New Roman" w:cs="Arial"/>
          <w:color w:val="323233"/>
        </w:rPr>
      </w:pPr>
      <w:proofErr w:type="spellStart"/>
      <w:r>
        <w:rPr>
          <w:rFonts w:ascii="Times New Roman" w:hAnsi="Times New Roman" w:cs="Arial"/>
          <w:color w:val="323233"/>
        </w:rPr>
        <w:t>Saskaņā</w:t>
      </w:r>
      <w:proofErr w:type="spellEnd"/>
      <w:r>
        <w:rPr>
          <w:rFonts w:ascii="Times New Roman" w:hAnsi="Times New Roman" w:cs="Arial"/>
          <w:color w:val="323233"/>
        </w:rPr>
        <w:t xml:space="preserve"> </w:t>
      </w:r>
      <w:proofErr w:type="spellStart"/>
      <w:r>
        <w:rPr>
          <w:rFonts w:ascii="Times New Roman" w:hAnsi="Times New Roman" w:cs="Arial"/>
          <w:color w:val="323233"/>
        </w:rPr>
        <w:t>ar</w:t>
      </w:r>
      <w:proofErr w:type="spellEnd"/>
      <w:r>
        <w:rPr>
          <w:rFonts w:ascii="Times New Roman" w:hAnsi="Times New Roman" w:cs="Arial"/>
          <w:color w:val="323233"/>
        </w:rPr>
        <w:t xml:space="preserve"> </w:t>
      </w:r>
      <w:proofErr w:type="spellStart"/>
      <w:r>
        <w:rPr>
          <w:rFonts w:ascii="Times New Roman" w:hAnsi="Times New Roman" w:cs="Arial"/>
          <w:color w:val="323233"/>
        </w:rPr>
        <w:t>Komerclikuma</w:t>
      </w:r>
      <w:proofErr w:type="spellEnd"/>
      <w:r>
        <w:rPr>
          <w:rFonts w:ascii="Times New Roman" w:hAnsi="Times New Roman" w:cs="Arial"/>
          <w:color w:val="323233"/>
        </w:rPr>
        <w:t xml:space="preserve"> (</w:t>
      </w:r>
      <w:proofErr w:type="spellStart"/>
      <w:r>
        <w:rPr>
          <w:rFonts w:ascii="Times New Roman" w:hAnsi="Times New Roman" w:cs="Arial"/>
          <w:color w:val="323233"/>
        </w:rPr>
        <w:t>turpmāk</w:t>
      </w:r>
      <w:proofErr w:type="spellEnd"/>
      <w:r>
        <w:rPr>
          <w:rFonts w:ascii="Times New Roman" w:hAnsi="Times New Roman" w:cs="Arial"/>
          <w:color w:val="323233"/>
        </w:rPr>
        <w:t xml:space="preserve"> – </w:t>
      </w:r>
      <w:proofErr w:type="spellStart"/>
      <w:r>
        <w:rPr>
          <w:rFonts w:ascii="Times New Roman" w:hAnsi="Times New Roman" w:cs="Arial"/>
          <w:color w:val="323233"/>
        </w:rPr>
        <w:t>KoL</w:t>
      </w:r>
      <w:proofErr w:type="spellEnd"/>
      <w:r>
        <w:rPr>
          <w:rFonts w:ascii="Times New Roman" w:hAnsi="Times New Roman" w:cs="Arial"/>
          <w:color w:val="323233"/>
        </w:rPr>
        <w:t xml:space="preserve">) </w:t>
      </w:r>
      <w:proofErr w:type="gramStart"/>
      <w:r>
        <w:rPr>
          <w:rFonts w:ascii="Times New Roman" w:hAnsi="Times New Roman" w:cs="Arial"/>
          <w:color w:val="323233"/>
        </w:rPr>
        <w:t>8.panta</w:t>
      </w:r>
      <w:proofErr w:type="gramEnd"/>
      <w:r>
        <w:rPr>
          <w:rFonts w:ascii="Times New Roman" w:hAnsi="Times New Roman" w:cs="Arial"/>
          <w:color w:val="323233"/>
        </w:rPr>
        <w:t xml:space="preserve"> </w:t>
      </w:r>
      <w:proofErr w:type="spellStart"/>
      <w:r>
        <w:rPr>
          <w:rFonts w:ascii="Times New Roman" w:hAnsi="Times New Roman" w:cs="Arial"/>
          <w:color w:val="323233"/>
        </w:rPr>
        <w:t>piektās</w:t>
      </w:r>
      <w:proofErr w:type="spellEnd"/>
      <w:r>
        <w:rPr>
          <w:rFonts w:ascii="Times New Roman" w:hAnsi="Times New Roman" w:cs="Arial"/>
          <w:color w:val="323233"/>
        </w:rPr>
        <w:t xml:space="preserve"> </w:t>
      </w:r>
      <w:proofErr w:type="spellStart"/>
      <w:r>
        <w:rPr>
          <w:rFonts w:ascii="Times New Roman" w:hAnsi="Times New Roman" w:cs="Arial"/>
          <w:color w:val="323233"/>
        </w:rPr>
        <w:t>daļas</w:t>
      </w:r>
      <w:proofErr w:type="spellEnd"/>
      <w:r>
        <w:rPr>
          <w:rFonts w:ascii="Times New Roman" w:hAnsi="Times New Roman" w:cs="Arial"/>
          <w:color w:val="323233"/>
        </w:rPr>
        <w:t xml:space="preserve"> 2.punktu </w:t>
      </w:r>
      <w:proofErr w:type="spellStart"/>
      <w:r>
        <w:rPr>
          <w:rFonts w:ascii="Times New Roman" w:hAnsi="Times New Roman" w:cs="Arial"/>
          <w:color w:val="323233"/>
        </w:rPr>
        <w:t>Komercreģistrā</w:t>
      </w:r>
      <w:proofErr w:type="spellEnd"/>
      <w:r>
        <w:rPr>
          <w:rFonts w:ascii="Times New Roman" w:hAnsi="Times New Roman" w:cs="Arial"/>
          <w:color w:val="323233"/>
        </w:rPr>
        <w:t xml:space="preserve"> cita </w:t>
      </w:r>
      <w:proofErr w:type="spellStart"/>
      <w:r>
        <w:rPr>
          <w:rFonts w:ascii="Times New Roman" w:hAnsi="Times New Roman" w:cs="Arial"/>
          <w:color w:val="323233"/>
        </w:rPr>
        <w:t>starpā</w:t>
      </w:r>
      <w:proofErr w:type="spellEnd"/>
      <w:r>
        <w:rPr>
          <w:rFonts w:ascii="Times New Roman" w:hAnsi="Times New Roman" w:cs="Arial"/>
          <w:color w:val="323233"/>
        </w:rPr>
        <w:t xml:space="preserve"> </w:t>
      </w:r>
      <w:proofErr w:type="spellStart"/>
      <w:r>
        <w:rPr>
          <w:rFonts w:ascii="Times New Roman" w:hAnsi="Times New Roman" w:cs="Arial"/>
          <w:color w:val="323233"/>
        </w:rPr>
        <w:t>ir</w:t>
      </w:r>
      <w:proofErr w:type="spellEnd"/>
      <w:r>
        <w:rPr>
          <w:rFonts w:ascii="Times New Roman" w:hAnsi="Times New Roman" w:cs="Arial"/>
          <w:color w:val="323233"/>
        </w:rPr>
        <w:t xml:space="preserve"> </w:t>
      </w:r>
      <w:proofErr w:type="spellStart"/>
      <w:r>
        <w:rPr>
          <w:rFonts w:ascii="Times New Roman" w:hAnsi="Times New Roman" w:cs="Arial"/>
          <w:color w:val="323233"/>
        </w:rPr>
        <w:t>ierakstāmas</w:t>
      </w:r>
      <w:proofErr w:type="spellEnd"/>
      <w:r>
        <w:rPr>
          <w:rFonts w:ascii="Times New Roman" w:hAnsi="Times New Roman" w:cs="Arial"/>
          <w:color w:val="323233"/>
        </w:rPr>
        <w:t xml:space="preserve"> </w:t>
      </w:r>
      <w:proofErr w:type="spellStart"/>
      <w:r>
        <w:rPr>
          <w:rFonts w:ascii="Times New Roman" w:hAnsi="Times New Roman" w:cs="Arial"/>
          <w:color w:val="323233"/>
        </w:rPr>
        <w:t>arī</w:t>
      </w:r>
      <w:proofErr w:type="spellEnd"/>
      <w:r>
        <w:rPr>
          <w:rFonts w:ascii="Times New Roman" w:hAnsi="Times New Roman" w:cs="Arial"/>
          <w:color w:val="323233"/>
        </w:rPr>
        <w:t xml:space="preserve"> </w:t>
      </w:r>
      <w:proofErr w:type="spellStart"/>
      <w:r>
        <w:rPr>
          <w:rFonts w:ascii="Times New Roman" w:hAnsi="Times New Roman" w:cs="Arial"/>
          <w:color w:val="323233"/>
        </w:rPr>
        <w:t>šādas</w:t>
      </w:r>
      <w:proofErr w:type="spellEnd"/>
      <w:r>
        <w:rPr>
          <w:rFonts w:ascii="Times New Roman" w:hAnsi="Times New Roman" w:cs="Arial"/>
          <w:color w:val="323233"/>
        </w:rPr>
        <w:t xml:space="preserve"> </w:t>
      </w:r>
      <w:proofErr w:type="spellStart"/>
      <w:r>
        <w:rPr>
          <w:rFonts w:ascii="Times New Roman" w:hAnsi="Times New Roman" w:cs="Arial"/>
          <w:color w:val="323233"/>
        </w:rPr>
        <w:t>ziņas</w:t>
      </w:r>
      <w:proofErr w:type="spellEnd"/>
      <w:r>
        <w:rPr>
          <w:rFonts w:ascii="Times New Roman" w:hAnsi="Times New Roman" w:cs="Arial"/>
          <w:color w:val="323233"/>
        </w:rPr>
        <w:t xml:space="preserve">: </w:t>
      </w:r>
      <w:r w:rsidRPr="00D360F3">
        <w:rPr>
          <w:rFonts w:ascii="Times New Roman" w:hAnsi="Times New Roman" w:cs="Arial"/>
          <w:color w:val="323233"/>
        </w:rPr>
        <w:t xml:space="preserve">to </w:t>
      </w:r>
      <w:proofErr w:type="spellStart"/>
      <w:r w:rsidRPr="00D360F3">
        <w:rPr>
          <w:rFonts w:ascii="Times New Roman" w:hAnsi="Times New Roman" w:cs="Arial"/>
          <w:color w:val="323233"/>
        </w:rPr>
        <w:t>personu</w:t>
      </w:r>
      <w:proofErr w:type="spellEnd"/>
      <w:r w:rsidRPr="00D360F3">
        <w:rPr>
          <w:rFonts w:ascii="Times New Roman" w:hAnsi="Times New Roman" w:cs="Arial"/>
          <w:color w:val="323233"/>
        </w:rPr>
        <w:t xml:space="preserve"> </w:t>
      </w:r>
      <w:proofErr w:type="spellStart"/>
      <w:r w:rsidRPr="00D360F3">
        <w:rPr>
          <w:rFonts w:ascii="Times New Roman" w:hAnsi="Times New Roman" w:cs="Arial"/>
          <w:color w:val="323233"/>
        </w:rPr>
        <w:t>vārds</w:t>
      </w:r>
      <w:proofErr w:type="spellEnd"/>
      <w:r w:rsidRPr="00D360F3">
        <w:rPr>
          <w:rFonts w:ascii="Times New Roman" w:hAnsi="Times New Roman" w:cs="Arial"/>
          <w:color w:val="323233"/>
        </w:rPr>
        <w:t xml:space="preserve">, </w:t>
      </w:r>
      <w:proofErr w:type="spellStart"/>
      <w:r w:rsidRPr="00D360F3">
        <w:rPr>
          <w:rFonts w:ascii="Times New Roman" w:hAnsi="Times New Roman" w:cs="Arial"/>
          <w:color w:val="323233"/>
        </w:rPr>
        <w:t>uzvārds</w:t>
      </w:r>
      <w:proofErr w:type="spellEnd"/>
      <w:r w:rsidRPr="00D360F3">
        <w:rPr>
          <w:rFonts w:ascii="Times New Roman" w:hAnsi="Times New Roman" w:cs="Arial"/>
          <w:color w:val="323233"/>
        </w:rPr>
        <w:t xml:space="preserve">, </w:t>
      </w:r>
      <w:proofErr w:type="spellStart"/>
      <w:r w:rsidRPr="00D360F3">
        <w:rPr>
          <w:rFonts w:ascii="Times New Roman" w:hAnsi="Times New Roman" w:cs="Arial"/>
          <w:color w:val="323233"/>
        </w:rPr>
        <w:t>personas</w:t>
      </w:r>
      <w:proofErr w:type="spellEnd"/>
      <w:r w:rsidRPr="00D360F3">
        <w:rPr>
          <w:rFonts w:ascii="Times New Roman" w:hAnsi="Times New Roman" w:cs="Arial"/>
          <w:color w:val="323233"/>
        </w:rPr>
        <w:t xml:space="preserve"> </w:t>
      </w:r>
      <w:proofErr w:type="spellStart"/>
      <w:r w:rsidRPr="00D360F3">
        <w:rPr>
          <w:rFonts w:ascii="Times New Roman" w:hAnsi="Times New Roman" w:cs="Arial"/>
          <w:color w:val="323233"/>
        </w:rPr>
        <w:t>kods</w:t>
      </w:r>
      <w:proofErr w:type="spellEnd"/>
      <w:r w:rsidRPr="00D360F3">
        <w:rPr>
          <w:rFonts w:ascii="Times New Roman" w:hAnsi="Times New Roman" w:cs="Arial"/>
          <w:color w:val="323233"/>
        </w:rPr>
        <w:t xml:space="preserve"> (</w:t>
      </w:r>
      <w:proofErr w:type="spellStart"/>
      <w:r w:rsidRPr="00D360F3">
        <w:rPr>
          <w:rFonts w:ascii="Times New Roman" w:hAnsi="Times New Roman" w:cs="Arial"/>
          <w:color w:val="323233"/>
        </w:rPr>
        <w:t>ja</w:t>
      </w:r>
      <w:proofErr w:type="spellEnd"/>
      <w:r w:rsidRPr="00D360F3">
        <w:rPr>
          <w:rFonts w:ascii="Times New Roman" w:hAnsi="Times New Roman" w:cs="Arial"/>
          <w:color w:val="323233"/>
        </w:rPr>
        <w:t xml:space="preserve"> </w:t>
      </w:r>
      <w:proofErr w:type="spellStart"/>
      <w:r w:rsidRPr="00D360F3">
        <w:rPr>
          <w:rFonts w:ascii="Times New Roman" w:hAnsi="Times New Roman" w:cs="Arial"/>
          <w:color w:val="323233"/>
        </w:rPr>
        <w:t>personai</w:t>
      </w:r>
      <w:proofErr w:type="spellEnd"/>
      <w:r w:rsidRPr="00D360F3">
        <w:rPr>
          <w:rFonts w:ascii="Times New Roman" w:hAnsi="Times New Roman" w:cs="Arial"/>
          <w:color w:val="323233"/>
        </w:rPr>
        <w:t xml:space="preserve"> </w:t>
      </w:r>
      <w:proofErr w:type="spellStart"/>
      <w:r w:rsidRPr="00D360F3">
        <w:rPr>
          <w:rFonts w:ascii="Times New Roman" w:hAnsi="Times New Roman" w:cs="Arial"/>
          <w:color w:val="323233"/>
        </w:rPr>
        <w:t>nav</w:t>
      </w:r>
      <w:proofErr w:type="spellEnd"/>
      <w:r w:rsidRPr="00D360F3">
        <w:rPr>
          <w:rFonts w:ascii="Times New Roman" w:hAnsi="Times New Roman" w:cs="Arial"/>
          <w:color w:val="323233"/>
        </w:rPr>
        <w:t xml:space="preserve"> </w:t>
      </w:r>
      <w:proofErr w:type="spellStart"/>
      <w:r w:rsidRPr="00D360F3">
        <w:rPr>
          <w:rFonts w:ascii="Times New Roman" w:hAnsi="Times New Roman" w:cs="Arial"/>
          <w:color w:val="323233"/>
        </w:rPr>
        <w:t>personas</w:t>
      </w:r>
      <w:proofErr w:type="spellEnd"/>
      <w:r w:rsidRPr="00D360F3">
        <w:rPr>
          <w:rFonts w:ascii="Times New Roman" w:hAnsi="Times New Roman" w:cs="Arial"/>
          <w:color w:val="323233"/>
        </w:rPr>
        <w:t xml:space="preserve"> </w:t>
      </w:r>
      <w:proofErr w:type="spellStart"/>
      <w:r w:rsidRPr="00D360F3">
        <w:rPr>
          <w:rFonts w:ascii="Times New Roman" w:hAnsi="Times New Roman" w:cs="Arial"/>
          <w:color w:val="323233"/>
        </w:rPr>
        <w:t>koda</w:t>
      </w:r>
      <w:proofErr w:type="spellEnd"/>
      <w:r w:rsidRPr="00D360F3">
        <w:rPr>
          <w:rFonts w:ascii="Times New Roman" w:hAnsi="Times New Roman" w:cs="Arial"/>
          <w:color w:val="323233"/>
        </w:rPr>
        <w:t xml:space="preserve">, — </w:t>
      </w:r>
      <w:proofErr w:type="spellStart"/>
      <w:r w:rsidRPr="00D360F3">
        <w:rPr>
          <w:rFonts w:ascii="Times New Roman" w:hAnsi="Times New Roman" w:cs="Arial"/>
          <w:color w:val="323233"/>
        </w:rPr>
        <w:t>dzimšanas</w:t>
      </w:r>
      <w:proofErr w:type="spellEnd"/>
      <w:r w:rsidRPr="00D360F3">
        <w:rPr>
          <w:rFonts w:ascii="Times New Roman" w:hAnsi="Times New Roman" w:cs="Arial"/>
          <w:color w:val="323233"/>
        </w:rPr>
        <w:t xml:space="preserve"> </w:t>
      </w:r>
      <w:proofErr w:type="spellStart"/>
      <w:r w:rsidRPr="00D360F3">
        <w:rPr>
          <w:rFonts w:ascii="Times New Roman" w:hAnsi="Times New Roman" w:cs="Arial"/>
          <w:color w:val="323233"/>
        </w:rPr>
        <w:t>datums</w:t>
      </w:r>
      <w:proofErr w:type="spellEnd"/>
      <w:r w:rsidRPr="00D360F3">
        <w:rPr>
          <w:rFonts w:ascii="Times New Roman" w:hAnsi="Times New Roman" w:cs="Arial"/>
          <w:color w:val="323233"/>
        </w:rPr>
        <w:t xml:space="preserve">, </w:t>
      </w:r>
      <w:proofErr w:type="spellStart"/>
      <w:r w:rsidRPr="00D360F3">
        <w:rPr>
          <w:rFonts w:ascii="Times New Roman" w:hAnsi="Times New Roman" w:cs="Arial"/>
          <w:color w:val="323233"/>
        </w:rPr>
        <w:t>personu</w:t>
      </w:r>
      <w:proofErr w:type="spellEnd"/>
      <w:r w:rsidRPr="00D360F3">
        <w:rPr>
          <w:rFonts w:ascii="Times New Roman" w:hAnsi="Times New Roman" w:cs="Arial"/>
          <w:color w:val="323233"/>
        </w:rPr>
        <w:t xml:space="preserve"> </w:t>
      </w:r>
      <w:proofErr w:type="spellStart"/>
      <w:r w:rsidRPr="00D360F3">
        <w:rPr>
          <w:rFonts w:ascii="Times New Roman" w:hAnsi="Times New Roman" w:cs="Arial"/>
          <w:color w:val="323233"/>
        </w:rPr>
        <w:t>apliecinoša</w:t>
      </w:r>
      <w:proofErr w:type="spellEnd"/>
      <w:r w:rsidRPr="00D360F3">
        <w:rPr>
          <w:rFonts w:ascii="Times New Roman" w:hAnsi="Times New Roman" w:cs="Arial"/>
          <w:color w:val="323233"/>
        </w:rPr>
        <w:t xml:space="preserve"> </w:t>
      </w:r>
      <w:proofErr w:type="spellStart"/>
      <w:r w:rsidRPr="00D360F3">
        <w:rPr>
          <w:rFonts w:ascii="Times New Roman" w:hAnsi="Times New Roman" w:cs="Arial"/>
          <w:color w:val="323233"/>
        </w:rPr>
        <w:t>dokumenta</w:t>
      </w:r>
      <w:proofErr w:type="spellEnd"/>
      <w:r w:rsidRPr="00D360F3">
        <w:rPr>
          <w:rFonts w:ascii="Times New Roman" w:hAnsi="Times New Roman" w:cs="Arial"/>
          <w:color w:val="323233"/>
        </w:rPr>
        <w:t xml:space="preserve"> </w:t>
      </w:r>
      <w:proofErr w:type="spellStart"/>
      <w:r w:rsidRPr="00D360F3">
        <w:rPr>
          <w:rFonts w:ascii="Times New Roman" w:hAnsi="Times New Roman" w:cs="Arial"/>
          <w:color w:val="323233"/>
        </w:rPr>
        <w:t>numurs</w:t>
      </w:r>
      <w:proofErr w:type="spellEnd"/>
      <w:r w:rsidRPr="00D360F3">
        <w:rPr>
          <w:rFonts w:ascii="Times New Roman" w:hAnsi="Times New Roman" w:cs="Arial"/>
          <w:color w:val="323233"/>
        </w:rPr>
        <w:t xml:space="preserve"> un </w:t>
      </w:r>
      <w:proofErr w:type="spellStart"/>
      <w:r w:rsidRPr="00D360F3">
        <w:rPr>
          <w:rFonts w:ascii="Times New Roman" w:hAnsi="Times New Roman" w:cs="Arial"/>
          <w:color w:val="323233"/>
        </w:rPr>
        <w:t>izdošanas</w:t>
      </w:r>
      <w:proofErr w:type="spellEnd"/>
      <w:r w:rsidRPr="00D360F3">
        <w:rPr>
          <w:rFonts w:ascii="Times New Roman" w:hAnsi="Times New Roman" w:cs="Arial"/>
          <w:color w:val="323233"/>
        </w:rPr>
        <w:t xml:space="preserve"> </w:t>
      </w:r>
      <w:proofErr w:type="spellStart"/>
      <w:r w:rsidRPr="00D360F3">
        <w:rPr>
          <w:rFonts w:ascii="Times New Roman" w:hAnsi="Times New Roman" w:cs="Arial"/>
          <w:color w:val="323233"/>
        </w:rPr>
        <w:t>datums</w:t>
      </w:r>
      <w:proofErr w:type="spellEnd"/>
      <w:r w:rsidRPr="00D360F3">
        <w:rPr>
          <w:rFonts w:ascii="Times New Roman" w:hAnsi="Times New Roman" w:cs="Arial"/>
          <w:color w:val="323233"/>
        </w:rPr>
        <w:t xml:space="preserve">, </w:t>
      </w:r>
      <w:proofErr w:type="spellStart"/>
      <w:r w:rsidRPr="00D360F3">
        <w:rPr>
          <w:rFonts w:ascii="Times New Roman" w:hAnsi="Times New Roman" w:cs="Arial"/>
          <w:color w:val="323233"/>
        </w:rPr>
        <w:t>valsts</w:t>
      </w:r>
      <w:proofErr w:type="spellEnd"/>
      <w:r w:rsidRPr="00D360F3">
        <w:rPr>
          <w:rFonts w:ascii="Times New Roman" w:hAnsi="Times New Roman" w:cs="Arial"/>
          <w:color w:val="323233"/>
        </w:rPr>
        <w:t xml:space="preserve"> un </w:t>
      </w:r>
      <w:proofErr w:type="spellStart"/>
      <w:r w:rsidRPr="00D360F3">
        <w:rPr>
          <w:rFonts w:ascii="Times New Roman" w:hAnsi="Times New Roman" w:cs="Arial"/>
          <w:color w:val="323233"/>
        </w:rPr>
        <w:t>institūcija</w:t>
      </w:r>
      <w:proofErr w:type="spellEnd"/>
      <w:r w:rsidRPr="00D360F3">
        <w:rPr>
          <w:rFonts w:ascii="Times New Roman" w:hAnsi="Times New Roman" w:cs="Arial"/>
          <w:color w:val="323233"/>
        </w:rPr>
        <w:t xml:space="preserve">, kas </w:t>
      </w:r>
      <w:proofErr w:type="spellStart"/>
      <w:r w:rsidRPr="00D360F3">
        <w:rPr>
          <w:rFonts w:ascii="Times New Roman" w:hAnsi="Times New Roman" w:cs="Arial"/>
          <w:color w:val="323233"/>
        </w:rPr>
        <w:t>dokumentu</w:t>
      </w:r>
      <w:proofErr w:type="spellEnd"/>
      <w:r w:rsidRPr="00D360F3">
        <w:rPr>
          <w:rFonts w:ascii="Times New Roman" w:hAnsi="Times New Roman" w:cs="Arial"/>
          <w:color w:val="323233"/>
        </w:rPr>
        <w:t xml:space="preserve"> </w:t>
      </w:r>
      <w:proofErr w:type="spellStart"/>
      <w:r w:rsidRPr="00D360F3">
        <w:rPr>
          <w:rFonts w:ascii="Times New Roman" w:hAnsi="Times New Roman" w:cs="Arial"/>
          <w:color w:val="323233"/>
        </w:rPr>
        <w:t>izdevusi</w:t>
      </w:r>
      <w:proofErr w:type="spellEnd"/>
      <w:r w:rsidRPr="00D360F3">
        <w:rPr>
          <w:rFonts w:ascii="Times New Roman" w:hAnsi="Times New Roman" w:cs="Arial"/>
          <w:color w:val="323233"/>
        </w:rPr>
        <w:t xml:space="preserve">) </w:t>
      </w:r>
      <w:r w:rsidRPr="00D360F3">
        <w:rPr>
          <w:rFonts w:ascii="Times New Roman" w:hAnsi="Times New Roman" w:cs="Arial"/>
          <w:i/>
          <w:color w:val="323233"/>
        </w:rPr>
        <w:t xml:space="preserve">un </w:t>
      </w:r>
      <w:proofErr w:type="spellStart"/>
      <w:r w:rsidRPr="00D360F3">
        <w:rPr>
          <w:rFonts w:ascii="Times New Roman" w:hAnsi="Times New Roman" w:cs="Arial"/>
          <w:i/>
          <w:color w:val="323233"/>
        </w:rPr>
        <w:t>pilnvarojuma</w:t>
      </w:r>
      <w:proofErr w:type="spellEnd"/>
      <w:r w:rsidRPr="00D360F3">
        <w:rPr>
          <w:rFonts w:ascii="Times New Roman" w:hAnsi="Times New Roman" w:cs="Arial"/>
          <w:i/>
          <w:color w:val="323233"/>
        </w:rPr>
        <w:t xml:space="preserve"> </w:t>
      </w:r>
      <w:proofErr w:type="spellStart"/>
      <w:r w:rsidRPr="00D360F3">
        <w:rPr>
          <w:rFonts w:ascii="Times New Roman" w:hAnsi="Times New Roman" w:cs="Arial"/>
          <w:i/>
          <w:color w:val="323233"/>
        </w:rPr>
        <w:t>apjoms</w:t>
      </w:r>
      <w:proofErr w:type="spellEnd"/>
      <w:r w:rsidRPr="00D360F3">
        <w:rPr>
          <w:rFonts w:ascii="Times New Roman" w:hAnsi="Times New Roman" w:cs="Arial"/>
          <w:color w:val="323233"/>
        </w:rPr>
        <w:t xml:space="preserve">, </w:t>
      </w:r>
      <w:proofErr w:type="spellStart"/>
      <w:r w:rsidRPr="00D360F3">
        <w:rPr>
          <w:rFonts w:ascii="Times New Roman" w:hAnsi="Times New Roman" w:cs="Arial"/>
          <w:color w:val="323233"/>
        </w:rPr>
        <w:t>kuras</w:t>
      </w:r>
      <w:proofErr w:type="spellEnd"/>
      <w:r w:rsidRPr="00D360F3">
        <w:rPr>
          <w:rFonts w:ascii="Times New Roman" w:hAnsi="Times New Roman" w:cs="Arial"/>
          <w:color w:val="323233"/>
        </w:rPr>
        <w:t xml:space="preserve"> </w:t>
      </w:r>
      <w:proofErr w:type="spellStart"/>
      <w:r w:rsidRPr="00D360F3">
        <w:rPr>
          <w:rFonts w:ascii="Times New Roman" w:hAnsi="Times New Roman" w:cs="Arial"/>
          <w:color w:val="323233"/>
        </w:rPr>
        <w:t>pilnvarotas</w:t>
      </w:r>
      <w:proofErr w:type="spellEnd"/>
      <w:r w:rsidRPr="00D360F3">
        <w:rPr>
          <w:rFonts w:ascii="Times New Roman" w:hAnsi="Times New Roman" w:cs="Arial"/>
          <w:color w:val="323233"/>
        </w:rPr>
        <w:t xml:space="preserve"> </w:t>
      </w:r>
      <w:proofErr w:type="spellStart"/>
      <w:r w:rsidRPr="00D360F3">
        <w:rPr>
          <w:rFonts w:ascii="Times New Roman" w:hAnsi="Times New Roman" w:cs="Arial"/>
          <w:color w:val="323233"/>
        </w:rPr>
        <w:t>pārstāvēt</w:t>
      </w:r>
      <w:proofErr w:type="spellEnd"/>
      <w:r w:rsidRPr="00D360F3">
        <w:rPr>
          <w:rFonts w:ascii="Times New Roman" w:hAnsi="Times New Roman" w:cs="Arial"/>
          <w:color w:val="323233"/>
        </w:rPr>
        <w:t xml:space="preserve"> </w:t>
      </w:r>
      <w:proofErr w:type="spellStart"/>
      <w:r w:rsidRPr="00D360F3">
        <w:rPr>
          <w:rFonts w:ascii="Times New Roman" w:hAnsi="Times New Roman" w:cs="Arial"/>
          <w:color w:val="323233"/>
        </w:rPr>
        <w:t>komersantu</w:t>
      </w:r>
      <w:proofErr w:type="spellEnd"/>
      <w:r w:rsidRPr="00D360F3">
        <w:rPr>
          <w:rFonts w:ascii="Times New Roman" w:hAnsi="Times New Roman" w:cs="Arial"/>
          <w:color w:val="323233"/>
        </w:rPr>
        <w:t xml:space="preserve"> (</w:t>
      </w:r>
      <w:proofErr w:type="spellStart"/>
      <w:r w:rsidRPr="00D360F3">
        <w:rPr>
          <w:rFonts w:ascii="Times New Roman" w:hAnsi="Times New Roman" w:cs="Arial"/>
          <w:color w:val="323233"/>
          <w:u w:val="single"/>
        </w:rPr>
        <w:t>ārvalsts</w:t>
      </w:r>
      <w:proofErr w:type="spellEnd"/>
      <w:r w:rsidRPr="00D360F3">
        <w:rPr>
          <w:rFonts w:ascii="Times New Roman" w:hAnsi="Times New Roman" w:cs="Arial"/>
          <w:color w:val="323233"/>
          <w:u w:val="single"/>
        </w:rPr>
        <w:t xml:space="preserve"> </w:t>
      </w:r>
      <w:proofErr w:type="spellStart"/>
      <w:r w:rsidRPr="00D360F3">
        <w:rPr>
          <w:rFonts w:ascii="Times New Roman" w:hAnsi="Times New Roman" w:cs="Arial"/>
          <w:color w:val="323233"/>
          <w:u w:val="single"/>
        </w:rPr>
        <w:t>komersantu</w:t>
      </w:r>
      <w:proofErr w:type="spellEnd"/>
      <w:r w:rsidRPr="00D360F3">
        <w:rPr>
          <w:rFonts w:ascii="Times New Roman" w:hAnsi="Times New Roman" w:cs="Arial"/>
          <w:color w:val="323233"/>
        </w:rPr>
        <w:t xml:space="preserve">) </w:t>
      </w:r>
      <w:proofErr w:type="spellStart"/>
      <w:r w:rsidRPr="00D360F3">
        <w:rPr>
          <w:rFonts w:ascii="Times New Roman" w:hAnsi="Times New Roman" w:cs="Arial"/>
          <w:color w:val="323233"/>
        </w:rPr>
        <w:t>dar</w:t>
      </w:r>
      <w:r>
        <w:rPr>
          <w:rFonts w:ascii="Times New Roman" w:hAnsi="Times New Roman" w:cs="Arial"/>
          <w:color w:val="323233"/>
        </w:rPr>
        <w:t>bībās</w:t>
      </w:r>
      <w:proofErr w:type="spellEnd"/>
      <w:r>
        <w:rPr>
          <w:rFonts w:ascii="Times New Roman" w:hAnsi="Times New Roman" w:cs="Arial"/>
          <w:color w:val="323233"/>
        </w:rPr>
        <w:t xml:space="preserve">, kas </w:t>
      </w:r>
      <w:proofErr w:type="spellStart"/>
      <w:r>
        <w:rPr>
          <w:rFonts w:ascii="Times New Roman" w:hAnsi="Times New Roman" w:cs="Arial"/>
          <w:color w:val="323233"/>
        </w:rPr>
        <w:t>saistītas</w:t>
      </w:r>
      <w:proofErr w:type="spellEnd"/>
      <w:r>
        <w:rPr>
          <w:rFonts w:ascii="Times New Roman" w:hAnsi="Times New Roman" w:cs="Arial"/>
          <w:color w:val="323233"/>
        </w:rPr>
        <w:t xml:space="preserve"> </w:t>
      </w:r>
      <w:proofErr w:type="spellStart"/>
      <w:r>
        <w:rPr>
          <w:rFonts w:ascii="Times New Roman" w:hAnsi="Times New Roman" w:cs="Arial"/>
          <w:color w:val="323233"/>
        </w:rPr>
        <w:t>ar</w:t>
      </w:r>
      <w:proofErr w:type="spellEnd"/>
      <w:r>
        <w:rPr>
          <w:rFonts w:ascii="Times New Roman" w:hAnsi="Times New Roman" w:cs="Arial"/>
          <w:color w:val="323233"/>
        </w:rPr>
        <w:t xml:space="preserve"> </w:t>
      </w:r>
      <w:proofErr w:type="spellStart"/>
      <w:r>
        <w:rPr>
          <w:rFonts w:ascii="Times New Roman" w:hAnsi="Times New Roman" w:cs="Arial"/>
          <w:color w:val="323233"/>
        </w:rPr>
        <w:t>filiāli</w:t>
      </w:r>
      <w:proofErr w:type="spellEnd"/>
      <w:r>
        <w:rPr>
          <w:rFonts w:ascii="Times New Roman" w:hAnsi="Times New Roman" w:cs="Arial"/>
          <w:color w:val="323233"/>
        </w:rPr>
        <w:t>.</w:t>
      </w:r>
    </w:p>
    <w:p w14:paraId="7CA33D68" w14:textId="77777777" w:rsidR="00114953" w:rsidRDefault="00114953" w:rsidP="00114953">
      <w:pPr>
        <w:ind w:firstLine="708"/>
        <w:jc w:val="both"/>
        <w:rPr>
          <w:rFonts w:ascii="Times New Roman" w:hAnsi="Times New Roman" w:cs="Arial"/>
          <w:color w:val="323233"/>
        </w:rPr>
      </w:pPr>
    </w:p>
    <w:p w14:paraId="1D77B000" w14:textId="77777777" w:rsidR="00114953" w:rsidRDefault="00114953" w:rsidP="00114953">
      <w:pPr>
        <w:ind w:firstLine="708"/>
        <w:jc w:val="both"/>
        <w:rPr>
          <w:rFonts w:ascii="Times New Roman" w:hAnsi="Times New Roman" w:cs="Arial"/>
          <w:color w:val="323233"/>
        </w:rPr>
      </w:pPr>
      <w:proofErr w:type="spellStart"/>
      <w:r>
        <w:rPr>
          <w:rFonts w:ascii="Times New Roman" w:hAnsi="Times New Roman" w:cs="Arial"/>
          <w:color w:val="323233"/>
        </w:rPr>
        <w:lastRenderedPageBreak/>
        <w:t>Saskaņā</w:t>
      </w:r>
      <w:proofErr w:type="spellEnd"/>
      <w:r>
        <w:rPr>
          <w:rFonts w:ascii="Times New Roman" w:hAnsi="Times New Roman" w:cs="Arial"/>
          <w:color w:val="323233"/>
        </w:rPr>
        <w:t xml:space="preserve"> </w:t>
      </w:r>
      <w:proofErr w:type="spellStart"/>
      <w:r>
        <w:rPr>
          <w:rFonts w:ascii="Times New Roman" w:hAnsi="Times New Roman" w:cs="Arial"/>
          <w:color w:val="323233"/>
        </w:rPr>
        <w:t>ar</w:t>
      </w:r>
      <w:proofErr w:type="spellEnd"/>
      <w:r>
        <w:rPr>
          <w:rFonts w:ascii="Times New Roman" w:hAnsi="Times New Roman" w:cs="Arial"/>
          <w:color w:val="323233"/>
        </w:rPr>
        <w:t xml:space="preserve"> </w:t>
      </w:r>
      <w:proofErr w:type="spellStart"/>
      <w:r>
        <w:rPr>
          <w:rFonts w:ascii="Times New Roman" w:hAnsi="Times New Roman" w:cs="Arial"/>
          <w:color w:val="323233"/>
        </w:rPr>
        <w:t>KoL</w:t>
      </w:r>
      <w:proofErr w:type="spellEnd"/>
      <w:r>
        <w:rPr>
          <w:rFonts w:ascii="Times New Roman" w:hAnsi="Times New Roman" w:cs="Arial"/>
          <w:color w:val="323233"/>
        </w:rPr>
        <w:t xml:space="preserve"> </w:t>
      </w:r>
      <w:proofErr w:type="gramStart"/>
      <w:r>
        <w:rPr>
          <w:rFonts w:ascii="Times New Roman" w:hAnsi="Times New Roman" w:cs="Arial"/>
          <w:color w:val="323233"/>
        </w:rPr>
        <w:t>25.panta</w:t>
      </w:r>
      <w:proofErr w:type="gramEnd"/>
      <w:r>
        <w:rPr>
          <w:rFonts w:ascii="Times New Roman" w:hAnsi="Times New Roman" w:cs="Arial"/>
          <w:color w:val="323233"/>
        </w:rPr>
        <w:t xml:space="preserve"> </w:t>
      </w:r>
      <w:proofErr w:type="spellStart"/>
      <w:r>
        <w:rPr>
          <w:rFonts w:ascii="Times New Roman" w:hAnsi="Times New Roman" w:cs="Arial"/>
          <w:color w:val="323233"/>
        </w:rPr>
        <w:t>astoto</w:t>
      </w:r>
      <w:proofErr w:type="spellEnd"/>
      <w:r>
        <w:rPr>
          <w:rFonts w:ascii="Times New Roman" w:hAnsi="Times New Roman" w:cs="Arial"/>
          <w:color w:val="323233"/>
        </w:rPr>
        <w:t xml:space="preserve"> </w:t>
      </w:r>
      <w:proofErr w:type="spellStart"/>
      <w:r>
        <w:rPr>
          <w:rFonts w:ascii="Times New Roman" w:hAnsi="Times New Roman" w:cs="Arial"/>
          <w:color w:val="323233"/>
        </w:rPr>
        <w:t>daļu</w:t>
      </w:r>
      <w:proofErr w:type="spellEnd"/>
      <w:r>
        <w:rPr>
          <w:rFonts w:ascii="Times New Roman" w:hAnsi="Times New Roman" w:cs="Arial"/>
          <w:color w:val="323233"/>
        </w:rPr>
        <w:t xml:space="preserve"> </w:t>
      </w:r>
      <w:proofErr w:type="spellStart"/>
      <w:r w:rsidRPr="00C77BB8">
        <w:rPr>
          <w:rFonts w:ascii="Times New Roman" w:hAnsi="Times New Roman" w:cs="Arial"/>
          <w:color w:val="323233"/>
        </w:rPr>
        <w:t>ārvalsts</w:t>
      </w:r>
      <w:proofErr w:type="spellEnd"/>
      <w:r w:rsidRPr="00C77BB8">
        <w:rPr>
          <w:rFonts w:ascii="Times New Roman" w:hAnsi="Times New Roman" w:cs="Arial"/>
          <w:color w:val="323233"/>
        </w:rPr>
        <w:t xml:space="preserve"> </w:t>
      </w:r>
      <w:proofErr w:type="spellStart"/>
      <w:r w:rsidRPr="00C77BB8">
        <w:rPr>
          <w:rFonts w:ascii="Times New Roman" w:hAnsi="Times New Roman" w:cs="Arial"/>
          <w:color w:val="323233"/>
        </w:rPr>
        <w:t>komersantam</w:t>
      </w:r>
      <w:proofErr w:type="spellEnd"/>
      <w:r w:rsidRPr="00C77BB8">
        <w:rPr>
          <w:rFonts w:ascii="Times New Roman" w:hAnsi="Times New Roman" w:cs="Arial"/>
          <w:color w:val="323233"/>
        </w:rPr>
        <w:t xml:space="preserve"> </w:t>
      </w:r>
      <w:proofErr w:type="spellStart"/>
      <w:r w:rsidRPr="00C77BB8">
        <w:rPr>
          <w:rFonts w:ascii="Times New Roman" w:hAnsi="Times New Roman" w:cs="Arial"/>
          <w:color w:val="323233"/>
        </w:rPr>
        <w:t>ir</w:t>
      </w:r>
      <w:proofErr w:type="spellEnd"/>
      <w:r w:rsidRPr="00C77BB8">
        <w:rPr>
          <w:rFonts w:ascii="Times New Roman" w:hAnsi="Times New Roman" w:cs="Arial"/>
          <w:color w:val="323233"/>
        </w:rPr>
        <w:t xml:space="preserve"> </w:t>
      </w:r>
      <w:proofErr w:type="spellStart"/>
      <w:r w:rsidRPr="00C77BB8">
        <w:rPr>
          <w:rFonts w:ascii="Times New Roman" w:hAnsi="Times New Roman" w:cs="Arial"/>
          <w:color w:val="323233"/>
        </w:rPr>
        <w:t>tiesības</w:t>
      </w:r>
      <w:proofErr w:type="spellEnd"/>
      <w:r w:rsidRPr="00C77BB8">
        <w:rPr>
          <w:rFonts w:ascii="Times New Roman" w:hAnsi="Times New Roman" w:cs="Arial"/>
          <w:color w:val="323233"/>
        </w:rPr>
        <w:t xml:space="preserve"> </w:t>
      </w:r>
      <w:proofErr w:type="spellStart"/>
      <w:r w:rsidRPr="00C77BB8">
        <w:rPr>
          <w:rFonts w:ascii="Times New Roman" w:hAnsi="Times New Roman" w:cs="Arial"/>
          <w:color w:val="323233"/>
        </w:rPr>
        <w:t>atvērt</w:t>
      </w:r>
      <w:proofErr w:type="spellEnd"/>
      <w:r w:rsidRPr="00C77BB8">
        <w:rPr>
          <w:rFonts w:ascii="Times New Roman" w:hAnsi="Times New Roman" w:cs="Arial"/>
          <w:color w:val="323233"/>
        </w:rPr>
        <w:t xml:space="preserve"> </w:t>
      </w:r>
      <w:proofErr w:type="spellStart"/>
      <w:r w:rsidRPr="00C77BB8">
        <w:rPr>
          <w:rFonts w:ascii="Times New Roman" w:hAnsi="Times New Roman" w:cs="Arial"/>
          <w:color w:val="323233"/>
        </w:rPr>
        <w:t>Latvijā</w:t>
      </w:r>
      <w:proofErr w:type="spellEnd"/>
      <w:r w:rsidRPr="00C77BB8">
        <w:rPr>
          <w:rFonts w:ascii="Times New Roman" w:hAnsi="Times New Roman" w:cs="Arial"/>
          <w:color w:val="323233"/>
        </w:rPr>
        <w:t xml:space="preserve"> </w:t>
      </w:r>
      <w:proofErr w:type="spellStart"/>
      <w:r w:rsidRPr="00C77BB8">
        <w:rPr>
          <w:rFonts w:ascii="Times New Roman" w:hAnsi="Times New Roman" w:cs="Arial"/>
          <w:color w:val="323233"/>
        </w:rPr>
        <w:t>savas</w:t>
      </w:r>
      <w:proofErr w:type="spellEnd"/>
      <w:r w:rsidRPr="00C77BB8">
        <w:rPr>
          <w:rFonts w:ascii="Times New Roman" w:hAnsi="Times New Roman" w:cs="Arial"/>
          <w:color w:val="323233"/>
        </w:rPr>
        <w:t xml:space="preserve"> </w:t>
      </w:r>
      <w:proofErr w:type="spellStart"/>
      <w:r w:rsidRPr="00C77BB8">
        <w:rPr>
          <w:rFonts w:ascii="Times New Roman" w:hAnsi="Times New Roman" w:cs="Arial"/>
          <w:color w:val="323233"/>
        </w:rPr>
        <w:t>pārstāvniecības</w:t>
      </w:r>
      <w:proofErr w:type="spellEnd"/>
      <w:r w:rsidRPr="00C77BB8">
        <w:rPr>
          <w:rFonts w:ascii="Times New Roman" w:hAnsi="Times New Roman" w:cs="Arial"/>
          <w:color w:val="323233"/>
        </w:rPr>
        <w:t xml:space="preserve">, </w:t>
      </w:r>
      <w:proofErr w:type="spellStart"/>
      <w:r w:rsidRPr="00C77BB8">
        <w:rPr>
          <w:rFonts w:ascii="Times New Roman" w:hAnsi="Times New Roman" w:cs="Arial"/>
          <w:color w:val="323233"/>
        </w:rPr>
        <w:t>taču</w:t>
      </w:r>
      <w:proofErr w:type="spellEnd"/>
      <w:r w:rsidRPr="00C77BB8">
        <w:rPr>
          <w:rFonts w:ascii="Times New Roman" w:hAnsi="Times New Roman" w:cs="Arial"/>
          <w:color w:val="323233"/>
        </w:rPr>
        <w:t xml:space="preserve"> </w:t>
      </w:r>
      <w:proofErr w:type="spellStart"/>
      <w:r w:rsidRPr="006123C8">
        <w:rPr>
          <w:rFonts w:ascii="Times New Roman" w:hAnsi="Times New Roman" w:cs="Arial"/>
          <w:color w:val="323233"/>
          <w:u w:val="single"/>
        </w:rPr>
        <w:t>pārstāvniecība</w:t>
      </w:r>
      <w:proofErr w:type="spellEnd"/>
      <w:r w:rsidRPr="006123C8">
        <w:rPr>
          <w:rFonts w:ascii="Times New Roman" w:hAnsi="Times New Roman" w:cs="Arial"/>
          <w:color w:val="323233"/>
          <w:u w:val="single"/>
        </w:rPr>
        <w:t xml:space="preserve"> </w:t>
      </w:r>
      <w:proofErr w:type="spellStart"/>
      <w:r w:rsidRPr="006123C8">
        <w:rPr>
          <w:rFonts w:ascii="Times New Roman" w:hAnsi="Times New Roman" w:cs="Arial"/>
          <w:color w:val="323233"/>
          <w:u w:val="single"/>
        </w:rPr>
        <w:t>nav</w:t>
      </w:r>
      <w:proofErr w:type="spellEnd"/>
      <w:r w:rsidRPr="006123C8">
        <w:rPr>
          <w:rFonts w:ascii="Times New Roman" w:hAnsi="Times New Roman" w:cs="Arial"/>
          <w:color w:val="323233"/>
          <w:u w:val="single"/>
        </w:rPr>
        <w:t xml:space="preserve"> </w:t>
      </w:r>
      <w:proofErr w:type="spellStart"/>
      <w:r w:rsidRPr="006123C8">
        <w:rPr>
          <w:rFonts w:ascii="Times New Roman" w:hAnsi="Times New Roman" w:cs="Arial"/>
          <w:color w:val="323233"/>
          <w:u w:val="single"/>
        </w:rPr>
        <w:t>juridiskā</w:t>
      </w:r>
      <w:proofErr w:type="spellEnd"/>
      <w:r w:rsidRPr="006123C8">
        <w:rPr>
          <w:rFonts w:ascii="Times New Roman" w:hAnsi="Times New Roman" w:cs="Arial"/>
          <w:color w:val="323233"/>
          <w:u w:val="single"/>
        </w:rPr>
        <w:t xml:space="preserve"> persona</w:t>
      </w:r>
      <w:r w:rsidRPr="00C77BB8">
        <w:rPr>
          <w:rFonts w:ascii="Times New Roman" w:hAnsi="Times New Roman" w:cs="Arial"/>
          <w:color w:val="323233"/>
        </w:rPr>
        <w:t xml:space="preserve">, un tai </w:t>
      </w:r>
      <w:proofErr w:type="spellStart"/>
      <w:r w:rsidRPr="00C77BB8">
        <w:rPr>
          <w:rFonts w:ascii="Times New Roman" w:hAnsi="Times New Roman" w:cs="Arial"/>
          <w:color w:val="323233"/>
        </w:rPr>
        <w:t>nav</w:t>
      </w:r>
      <w:proofErr w:type="spellEnd"/>
      <w:r w:rsidRPr="00C77BB8">
        <w:rPr>
          <w:rFonts w:ascii="Times New Roman" w:hAnsi="Times New Roman" w:cs="Arial"/>
          <w:color w:val="323233"/>
        </w:rPr>
        <w:t xml:space="preserve"> </w:t>
      </w:r>
      <w:proofErr w:type="spellStart"/>
      <w:r w:rsidRPr="00C77BB8">
        <w:rPr>
          <w:rFonts w:ascii="Times New Roman" w:hAnsi="Times New Roman" w:cs="Arial"/>
          <w:color w:val="323233"/>
        </w:rPr>
        <w:t>tiesību</w:t>
      </w:r>
      <w:proofErr w:type="spellEnd"/>
      <w:r w:rsidRPr="00C77BB8">
        <w:rPr>
          <w:rFonts w:ascii="Times New Roman" w:hAnsi="Times New Roman" w:cs="Arial"/>
          <w:color w:val="323233"/>
        </w:rPr>
        <w:t xml:space="preserve"> </w:t>
      </w:r>
      <w:proofErr w:type="spellStart"/>
      <w:r w:rsidRPr="00C77BB8">
        <w:rPr>
          <w:rFonts w:ascii="Times New Roman" w:hAnsi="Times New Roman" w:cs="Arial"/>
          <w:color w:val="323233"/>
        </w:rPr>
        <w:t>veikt</w:t>
      </w:r>
      <w:proofErr w:type="spellEnd"/>
      <w:r w:rsidRPr="00C77BB8">
        <w:rPr>
          <w:rFonts w:ascii="Times New Roman" w:hAnsi="Times New Roman" w:cs="Arial"/>
          <w:color w:val="323233"/>
        </w:rPr>
        <w:t xml:space="preserve"> </w:t>
      </w:r>
      <w:proofErr w:type="spellStart"/>
      <w:r w:rsidRPr="00C77BB8">
        <w:rPr>
          <w:rFonts w:ascii="Times New Roman" w:hAnsi="Times New Roman" w:cs="Arial"/>
          <w:color w:val="323233"/>
        </w:rPr>
        <w:t>komercdarbību</w:t>
      </w:r>
      <w:proofErr w:type="spellEnd"/>
      <w:r w:rsidRPr="00C77BB8">
        <w:rPr>
          <w:rFonts w:ascii="Times New Roman" w:hAnsi="Times New Roman" w:cs="Arial"/>
          <w:color w:val="323233"/>
        </w:rPr>
        <w:t xml:space="preserve"> </w:t>
      </w:r>
      <w:proofErr w:type="spellStart"/>
      <w:r w:rsidRPr="00C77BB8">
        <w:rPr>
          <w:rFonts w:ascii="Times New Roman" w:hAnsi="Times New Roman" w:cs="Arial"/>
          <w:color w:val="323233"/>
        </w:rPr>
        <w:t>Latvijā</w:t>
      </w:r>
      <w:proofErr w:type="spellEnd"/>
      <w:r w:rsidRPr="00C77BB8">
        <w:rPr>
          <w:rFonts w:ascii="Times New Roman" w:hAnsi="Times New Roman" w:cs="Arial"/>
          <w:color w:val="323233"/>
        </w:rPr>
        <w:t>.</w:t>
      </w:r>
      <w:r>
        <w:rPr>
          <w:rFonts w:ascii="Times New Roman" w:hAnsi="Times New Roman" w:cs="Arial"/>
          <w:color w:val="323233"/>
        </w:rPr>
        <w:t xml:space="preserve"> </w:t>
      </w:r>
    </w:p>
    <w:p w14:paraId="13A7B529" w14:textId="77777777" w:rsidR="00114953" w:rsidRDefault="00114953" w:rsidP="00114953">
      <w:pPr>
        <w:ind w:firstLine="708"/>
        <w:jc w:val="both"/>
        <w:rPr>
          <w:rFonts w:ascii="Times New Roman" w:hAnsi="Times New Roman" w:cs="Arial"/>
          <w:color w:val="323233"/>
        </w:rPr>
      </w:pPr>
      <w:proofErr w:type="spellStart"/>
      <w:r>
        <w:rPr>
          <w:rFonts w:ascii="Times New Roman" w:hAnsi="Times New Roman" w:cs="Arial"/>
          <w:color w:val="323233"/>
        </w:rPr>
        <w:t>KoL</w:t>
      </w:r>
      <w:proofErr w:type="spellEnd"/>
      <w:r>
        <w:rPr>
          <w:rFonts w:ascii="Times New Roman" w:hAnsi="Times New Roman" w:cs="Arial"/>
          <w:color w:val="323233"/>
        </w:rPr>
        <w:t xml:space="preserve"> </w:t>
      </w:r>
      <w:proofErr w:type="gramStart"/>
      <w:r>
        <w:rPr>
          <w:rFonts w:ascii="Times New Roman" w:hAnsi="Times New Roman" w:cs="Arial"/>
          <w:color w:val="323233"/>
        </w:rPr>
        <w:t>25.panta</w:t>
      </w:r>
      <w:proofErr w:type="gramEnd"/>
      <w:r>
        <w:rPr>
          <w:rFonts w:ascii="Times New Roman" w:hAnsi="Times New Roman" w:cs="Arial"/>
          <w:color w:val="323233"/>
        </w:rPr>
        <w:t xml:space="preserve"> </w:t>
      </w:r>
      <w:proofErr w:type="spellStart"/>
      <w:r>
        <w:rPr>
          <w:rFonts w:ascii="Times New Roman" w:hAnsi="Times New Roman" w:cs="Arial"/>
          <w:color w:val="323233"/>
        </w:rPr>
        <w:t>pirmā</w:t>
      </w:r>
      <w:proofErr w:type="spellEnd"/>
      <w:r>
        <w:rPr>
          <w:rFonts w:ascii="Times New Roman" w:hAnsi="Times New Roman" w:cs="Arial"/>
          <w:color w:val="323233"/>
        </w:rPr>
        <w:t xml:space="preserve"> </w:t>
      </w:r>
      <w:proofErr w:type="spellStart"/>
      <w:r>
        <w:rPr>
          <w:rFonts w:ascii="Times New Roman" w:hAnsi="Times New Roman" w:cs="Arial"/>
          <w:color w:val="323233"/>
        </w:rPr>
        <w:t>daļa</w:t>
      </w:r>
      <w:proofErr w:type="spellEnd"/>
      <w:r>
        <w:rPr>
          <w:rFonts w:ascii="Times New Roman" w:hAnsi="Times New Roman" w:cs="Arial"/>
          <w:color w:val="323233"/>
        </w:rPr>
        <w:t xml:space="preserve"> </w:t>
      </w:r>
      <w:proofErr w:type="spellStart"/>
      <w:r>
        <w:rPr>
          <w:rFonts w:ascii="Times New Roman" w:hAnsi="Times New Roman" w:cs="Arial"/>
          <w:color w:val="323233"/>
        </w:rPr>
        <w:t>nosaka</w:t>
      </w:r>
      <w:proofErr w:type="spellEnd"/>
      <w:r>
        <w:rPr>
          <w:rFonts w:ascii="Times New Roman" w:hAnsi="Times New Roman" w:cs="Arial"/>
          <w:color w:val="323233"/>
        </w:rPr>
        <w:t xml:space="preserve"> : </w:t>
      </w:r>
      <w:r>
        <w:rPr>
          <w:rFonts w:ascii="Times New Roman" w:hAnsi="Times New Roman" w:cs="Arial"/>
          <w:color w:val="323233"/>
          <w:lang w:val="de-DE"/>
        </w:rPr>
        <w:t>„</w:t>
      </w:r>
      <w:proofErr w:type="spellStart"/>
      <w:r>
        <w:rPr>
          <w:rFonts w:ascii="Times New Roman" w:hAnsi="Times New Roman" w:cs="Arial"/>
          <w:color w:val="323233"/>
        </w:rPr>
        <w:t>A</w:t>
      </w:r>
      <w:r w:rsidRPr="009E5432">
        <w:rPr>
          <w:rFonts w:ascii="Times New Roman" w:hAnsi="Times New Roman" w:cs="Arial"/>
          <w:color w:val="323233"/>
        </w:rPr>
        <w:t>ttiecībā</w:t>
      </w:r>
      <w:proofErr w:type="spellEnd"/>
      <w:r w:rsidRPr="009E5432">
        <w:rPr>
          <w:rFonts w:ascii="Times New Roman" w:hAnsi="Times New Roman" w:cs="Arial"/>
          <w:color w:val="323233"/>
        </w:rPr>
        <w:t xml:space="preserve"> </w:t>
      </w:r>
      <w:proofErr w:type="spellStart"/>
      <w:r w:rsidRPr="009E5432">
        <w:rPr>
          <w:rFonts w:ascii="Times New Roman" w:hAnsi="Times New Roman" w:cs="Arial"/>
          <w:color w:val="323233"/>
        </w:rPr>
        <w:t>uz</w:t>
      </w:r>
      <w:proofErr w:type="spellEnd"/>
      <w:r w:rsidRPr="009E5432">
        <w:rPr>
          <w:rFonts w:ascii="Times New Roman" w:hAnsi="Times New Roman" w:cs="Arial"/>
          <w:color w:val="323233"/>
        </w:rPr>
        <w:t xml:space="preserve"> </w:t>
      </w:r>
      <w:proofErr w:type="spellStart"/>
      <w:r w:rsidRPr="009E5432">
        <w:rPr>
          <w:rFonts w:ascii="Times New Roman" w:hAnsi="Times New Roman" w:cs="Arial"/>
          <w:color w:val="323233"/>
        </w:rPr>
        <w:t>ārvalsts</w:t>
      </w:r>
      <w:proofErr w:type="spellEnd"/>
      <w:r w:rsidRPr="009E5432">
        <w:rPr>
          <w:rFonts w:ascii="Times New Roman" w:hAnsi="Times New Roman" w:cs="Arial"/>
          <w:color w:val="323233"/>
        </w:rPr>
        <w:t xml:space="preserve"> </w:t>
      </w:r>
      <w:proofErr w:type="spellStart"/>
      <w:r w:rsidRPr="009E5432">
        <w:rPr>
          <w:rFonts w:ascii="Times New Roman" w:hAnsi="Times New Roman" w:cs="Arial"/>
          <w:color w:val="323233"/>
        </w:rPr>
        <w:t>komersanta</w:t>
      </w:r>
      <w:proofErr w:type="spellEnd"/>
      <w:r w:rsidRPr="009E5432">
        <w:rPr>
          <w:rFonts w:ascii="Times New Roman" w:hAnsi="Times New Roman" w:cs="Arial"/>
          <w:color w:val="323233"/>
        </w:rPr>
        <w:t xml:space="preserve"> </w:t>
      </w:r>
      <w:proofErr w:type="spellStart"/>
      <w:r w:rsidRPr="009E5432">
        <w:rPr>
          <w:rFonts w:ascii="Times New Roman" w:hAnsi="Times New Roman" w:cs="Arial"/>
          <w:color w:val="323233"/>
        </w:rPr>
        <w:t>filiāli</w:t>
      </w:r>
      <w:proofErr w:type="spellEnd"/>
      <w:r w:rsidRPr="009E5432">
        <w:rPr>
          <w:rFonts w:ascii="Times New Roman" w:hAnsi="Times New Roman" w:cs="Arial"/>
          <w:color w:val="323233"/>
        </w:rPr>
        <w:t xml:space="preserve"> </w:t>
      </w:r>
      <w:proofErr w:type="spellStart"/>
      <w:r w:rsidRPr="009E5432">
        <w:rPr>
          <w:rFonts w:ascii="Times New Roman" w:hAnsi="Times New Roman" w:cs="Arial"/>
          <w:color w:val="323233"/>
        </w:rPr>
        <w:t>piemērojami</w:t>
      </w:r>
      <w:proofErr w:type="spellEnd"/>
      <w:r w:rsidRPr="009E5432">
        <w:rPr>
          <w:rFonts w:ascii="Times New Roman" w:hAnsi="Times New Roman" w:cs="Arial"/>
          <w:color w:val="323233"/>
        </w:rPr>
        <w:t xml:space="preserve"> </w:t>
      </w:r>
      <w:proofErr w:type="spellStart"/>
      <w:r w:rsidRPr="009E5432">
        <w:rPr>
          <w:rFonts w:ascii="Times New Roman" w:hAnsi="Times New Roman" w:cs="Arial"/>
          <w:color w:val="323233"/>
        </w:rPr>
        <w:t>šā</w:t>
      </w:r>
      <w:proofErr w:type="spellEnd"/>
      <w:r w:rsidRPr="009E5432">
        <w:rPr>
          <w:rFonts w:ascii="Times New Roman" w:hAnsi="Times New Roman" w:cs="Arial"/>
          <w:color w:val="323233"/>
        </w:rPr>
        <w:t xml:space="preserve"> </w:t>
      </w:r>
      <w:proofErr w:type="spellStart"/>
      <w:r w:rsidRPr="009E5432">
        <w:rPr>
          <w:rFonts w:ascii="Times New Roman" w:hAnsi="Times New Roman" w:cs="Arial"/>
          <w:color w:val="323233"/>
        </w:rPr>
        <w:t>likuma</w:t>
      </w:r>
      <w:proofErr w:type="spellEnd"/>
      <w:r>
        <w:rPr>
          <w:rFonts w:ascii="Times New Roman" w:hAnsi="Times New Roman" w:cs="Arial"/>
          <w:color w:val="323233"/>
        </w:rPr>
        <w:t xml:space="preserve"> (</w:t>
      </w:r>
      <w:proofErr w:type="spellStart"/>
      <w:r>
        <w:rPr>
          <w:rFonts w:ascii="Times New Roman" w:hAnsi="Times New Roman" w:cs="Arial"/>
          <w:color w:val="323233"/>
        </w:rPr>
        <w:t>t.i</w:t>
      </w:r>
      <w:proofErr w:type="spellEnd"/>
      <w:r>
        <w:rPr>
          <w:rFonts w:ascii="Times New Roman" w:hAnsi="Times New Roman" w:cs="Arial"/>
          <w:color w:val="323233"/>
        </w:rPr>
        <w:t xml:space="preserve">. – </w:t>
      </w:r>
      <w:proofErr w:type="spellStart"/>
      <w:r>
        <w:rPr>
          <w:rFonts w:ascii="Times New Roman" w:hAnsi="Times New Roman" w:cs="Arial"/>
          <w:color w:val="323233"/>
        </w:rPr>
        <w:t>KoL</w:t>
      </w:r>
      <w:proofErr w:type="spellEnd"/>
      <w:r>
        <w:rPr>
          <w:rFonts w:ascii="Times New Roman" w:hAnsi="Times New Roman" w:cs="Arial"/>
          <w:color w:val="323233"/>
        </w:rPr>
        <w:t>)</w:t>
      </w:r>
      <w:r w:rsidRPr="009E5432">
        <w:rPr>
          <w:rFonts w:ascii="Times New Roman" w:hAnsi="Times New Roman" w:cs="Arial"/>
          <w:color w:val="323233"/>
        </w:rPr>
        <w:t xml:space="preserve"> </w:t>
      </w:r>
      <w:proofErr w:type="spellStart"/>
      <w:r w:rsidRPr="009E5432">
        <w:rPr>
          <w:rFonts w:ascii="Times New Roman" w:hAnsi="Times New Roman" w:cs="Arial"/>
          <w:color w:val="323233"/>
        </w:rPr>
        <w:t>noteikumi</w:t>
      </w:r>
      <w:proofErr w:type="spellEnd"/>
      <w:r w:rsidRPr="009E5432">
        <w:rPr>
          <w:rFonts w:ascii="Times New Roman" w:hAnsi="Times New Roman" w:cs="Arial"/>
          <w:color w:val="323233"/>
        </w:rPr>
        <w:t xml:space="preserve">, </w:t>
      </w:r>
      <w:proofErr w:type="spellStart"/>
      <w:r w:rsidRPr="009E5432">
        <w:rPr>
          <w:rFonts w:ascii="Times New Roman" w:hAnsi="Times New Roman" w:cs="Arial"/>
          <w:color w:val="323233"/>
        </w:rPr>
        <w:t>ciktāl</w:t>
      </w:r>
      <w:proofErr w:type="spellEnd"/>
      <w:r w:rsidRPr="009E5432">
        <w:rPr>
          <w:rFonts w:ascii="Times New Roman" w:hAnsi="Times New Roman" w:cs="Arial"/>
          <w:color w:val="323233"/>
        </w:rPr>
        <w:t xml:space="preserve"> </w:t>
      </w:r>
      <w:proofErr w:type="spellStart"/>
      <w:r>
        <w:rPr>
          <w:rFonts w:ascii="Times New Roman" w:hAnsi="Times New Roman" w:cs="Arial"/>
          <w:color w:val="323233"/>
        </w:rPr>
        <w:t>šajā</w:t>
      </w:r>
      <w:proofErr w:type="spellEnd"/>
      <w:r>
        <w:rPr>
          <w:rFonts w:ascii="Times New Roman" w:hAnsi="Times New Roman" w:cs="Arial"/>
          <w:color w:val="323233"/>
        </w:rPr>
        <w:t xml:space="preserve"> </w:t>
      </w:r>
      <w:proofErr w:type="spellStart"/>
      <w:r>
        <w:rPr>
          <w:rFonts w:ascii="Times New Roman" w:hAnsi="Times New Roman" w:cs="Arial"/>
          <w:color w:val="323233"/>
        </w:rPr>
        <w:t>pantā</w:t>
      </w:r>
      <w:proofErr w:type="spellEnd"/>
      <w:r>
        <w:rPr>
          <w:rFonts w:ascii="Times New Roman" w:hAnsi="Times New Roman" w:cs="Arial"/>
          <w:color w:val="323233"/>
        </w:rPr>
        <w:t xml:space="preserve"> </w:t>
      </w:r>
      <w:proofErr w:type="spellStart"/>
      <w:r>
        <w:rPr>
          <w:rFonts w:ascii="Times New Roman" w:hAnsi="Times New Roman" w:cs="Arial"/>
          <w:color w:val="323233"/>
        </w:rPr>
        <w:t>nav</w:t>
      </w:r>
      <w:proofErr w:type="spellEnd"/>
      <w:r>
        <w:rPr>
          <w:rFonts w:ascii="Times New Roman" w:hAnsi="Times New Roman" w:cs="Arial"/>
          <w:color w:val="323233"/>
        </w:rPr>
        <w:t xml:space="preserve"> </w:t>
      </w:r>
      <w:proofErr w:type="spellStart"/>
      <w:r>
        <w:rPr>
          <w:rFonts w:ascii="Times New Roman" w:hAnsi="Times New Roman" w:cs="Arial"/>
          <w:color w:val="323233"/>
        </w:rPr>
        <w:t>noteikts</w:t>
      </w:r>
      <w:proofErr w:type="spellEnd"/>
      <w:r>
        <w:rPr>
          <w:rFonts w:ascii="Times New Roman" w:hAnsi="Times New Roman" w:cs="Arial"/>
          <w:color w:val="323233"/>
        </w:rPr>
        <w:t xml:space="preserve"> </w:t>
      </w:r>
      <w:proofErr w:type="spellStart"/>
      <w:r>
        <w:rPr>
          <w:rFonts w:ascii="Times New Roman" w:hAnsi="Times New Roman" w:cs="Arial"/>
          <w:color w:val="323233"/>
        </w:rPr>
        <w:t>citādi</w:t>
      </w:r>
      <w:proofErr w:type="spellEnd"/>
      <w:r>
        <w:rPr>
          <w:rFonts w:ascii="Times New Roman" w:hAnsi="Times New Roman" w:cs="Arial"/>
          <w:color w:val="323233"/>
          <w:lang w:val="de-DE"/>
        </w:rPr>
        <w:t>“</w:t>
      </w:r>
      <w:r w:rsidRPr="009E5432">
        <w:rPr>
          <w:rFonts w:ascii="Times New Roman" w:hAnsi="Times New Roman" w:cs="Arial"/>
          <w:color w:val="323233"/>
        </w:rPr>
        <w:t>.</w:t>
      </w:r>
    </w:p>
    <w:p w14:paraId="23DDB279" w14:textId="77777777" w:rsidR="00114953" w:rsidRPr="009C274C" w:rsidRDefault="00114953" w:rsidP="00114953">
      <w:pPr>
        <w:ind w:firstLine="708"/>
        <w:jc w:val="both"/>
        <w:rPr>
          <w:rFonts w:ascii="Times New Roman" w:hAnsi="Times New Roman" w:cs="Arial"/>
          <w:color w:val="323233"/>
        </w:rPr>
      </w:pPr>
      <w:proofErr w:type="spellStart"/>
      <w:r>
        <w:rPr>
          <w:rFonts w:ascii="Times New Roman" w:hAnsi="Times New Roman" w:cs="Arial"/>
          <w:color w:val="323233"/>
        </w:rPr>
        <w:t>Saskaņā</w:t>
      </w:r>
      <w:proofErr w:type="spellEnd"/>
      <w:r>
        <w:rPr>
          <w:rFonts w:ascii="Times New Roman" w:hAnsi="Times New Roman" w:cs="Arial"/>
          <w:color w:val="323233"/>
        </w:rPr>
        <w:t xml:space="preserve"> </w:t>
      </w:r>
      <w:proofErr w:type="spellStart"/>
      <w:r>
        <w:rPr>
          <w:rFonts w:ascii="Times New Roman" w:hAnsi="Times New Roman" w:cs="Arial"/>
          <w:color w:val="323233"/>
        </w:rPr>
        <w:t>ar</w:t>
      </w:r>
      <w:proofErr w:type="spellEnd"/>
      <w:r>
        <w:rPr>
          <w:rFonts w:ascii="Times New Roman" w:hAnsi="Times New Roman" w:cs="Arial"/>
          <w:color w:val="323233"/>
        </w:rPr>
        <w:t xml:space="preserve"> </w:t>
      </w:r>
      <w:proofErr w:type="spellStart"/>
      <w:r>
        <w:rPr>
          <w:rFonts w:ascii="Times New Roman" w:hAnsi="Times New Roman" w:cs="Arial"/>
          <w:color w:val="323233"/>
        </w:rPr>
        <w:t>KoL</w:t>
      </w:r>
      <w:proofErr w:type="spellEnd"/>
      <w:r>
        <w:rPr>
          <w:rFonts w:ascii="Times New Roman" w:hAnsi="Times New Roman" w:cs="Arial"/>
          <w:color w:val="323233"/>
        </w:rPr>
        <w:t xml:space="preserve"> </w:t>
      </w:r>
      <w:proofErr w:type="gramStart"/>
      <w:r>
        <w:rPr>
          <w:rFonts w:ascii="Times New Roman" w:hAnsi="Times New Roman" w:cs="Arial"/>
          <w:color w:val="323233"/>
        </w:rPr>
        <w:t>45.pantu</w:t>
      </w:r>
      <w:proofErr w:type="gramEnd"/>
      <w:r>
        <w:rPr>
          <w:rFonts w:ascii="Times New Roman" w:hAnsi="Times New Roman" w:cs="Arial"/>
          <w:color w:val="323233"/>
        </w:rPr>
        <w:t xml:space="preserve"> </w:t>
      </w:r>
      <w:proofErr w:type="spellStart"/>
      <w:r w:rsidRPr="009C274C">
        <w:rPr>
          <w:rFonts w:ascii="Times New Roman" w:hAnsi="Times New Roman" w:cs="Arial"/>
          <w:b/>
          <w:color w:val="323233"/>
        </w:rPr>
        <w:t>komercaģents</w:t>
      </w:r>
      <w:proofErr w:type="spellEnd"/>
      <w:r w:rsidRPr="009C274C">
        <w:rPr>
          <w:rFonts w:ascii="Times New Roman" w:hAnsi="Times New Roman" w:cs="Arial"/>
          <w:b/>
          <w:color w:val="323233"/>
        </w:rPr>
        <w:t xml:space="preserve"> </w:t>
      </w:r>
      <w:proofErr w:type="spellStart"/>
      <w:r w:rsidRPr="009C274C">
        <w:rPr>
          <w:rFonts w:ascii="Times New Roman" w:hAnsi="Times New Roman" w:cs="Arial"/>
          <w:color w:val="323233"/>
        </w:rPr>
        <w:t>ir</w:t>
      </w:r>
      <w:proofErr w:type="spellEnd"/>
      <w:r w:rsidRPr="009C274C">
        <w:rPr>
          <w:rFonts w:ascii="Times New Roman" w:hAnsi="Times New Roman" w:cs="Arial"/>
          <w:color w:val="323233"/>
        </w:rPr>
        <w:t xml:space="preserve"> </w:t>
      </w:r>
      <w:proofErr w:type="spellStart"/>
      <w:r w:rsidRPr="009C274C">
        <w:rPr>
          <w:rFonts w:ascii="Times New Roman" w:hAnsi="Times New Roman" w:cs="Arial"/>
          <w:color w:val="323233"/>
        </w:rPr>
        <w:t>komersants</w:t>
      </w:r>
      <w:proofErr w:type="spellEnd"/>
      <w:r w:rsidRPr="009C274C">
        <w:rPr>
          <w:rFonts w:ascii="Times New Roman" w:hAnsi="Times New Roman" w:cs="Arial"/>
          <w:color w:val="323233"/>
        </w:rPr>
        <w:t xml:space="preserve">, kas </w:t>
      </w:r>
      <w:proofErr w:type="spellStart"/>
      <w:r w:rsidRPr="009C274C">
        <w:rPr>
          <w:rFonts w:ascii="Times New Roman" w:hAnsi="Times New Roman" w:cs="Arial"/>
          <w:color w:val="323233"/>
        </w:rPr>
        <w:t>pilnvarots</w:t>
      </w:r>
      <w:proofErr w:type="spellEnd"/>
      <w:r w:rsidRPr="009C274C">
        <w:rPr>
          <w:rFonts w:ascii="Times New Roman" w:hAnsi="Times New Roman" w:cs="Arial"/>
          <w:color w:val="323233"/>
        </w:rPr>
        <w:t xml:space="preserve"> citas </w:t>
      </w:r>
      <w:proofErr w:type="spellStart"/>
      <w:r w:rsidRPr="009C274C">
        <w:rPr>
          <w:rFonts w:ascii="Times New Roman" w:hAnsi="Times New Roman" w:cs="Arial"/>
          <w:color w:val="323233"/>
        </w:rPr>
        <w:t>personas</w:t>
      </w:r>
      <w:proofErr w:type="spellEnd"/>
      <w:r w:rsidRPr="009C274C">
        <w:rPr>
          <w:rFonts w:ascii="Times New Roman" w:hAnsi="Times New Roman" w:cs="Arial"/>
          <w:color w:val="323233"/>
        </w:rPr>
        <w:t xml:space="preserve"> (</w:t>
      </w:r>
      <w:proofErr w:type="spellStart"/>
      <w:r w:rsidRPr="009C274C">
        <w:rPr>
          <w:rFonts w:ascii="Times New Roman" w:hAnsi="Times New Roman" w:cs="Arial"/>
          <w:color w:val="323233"/>
        </w:rPr>
        <w:t>principāla</w:t>
      </w:r>
      <w:proofErr w:type="spellEnd"/>
      <w:r w:rsidRPr="009C274C">
        <w:rPr>
          <w:rFonts w:ascii="Times New Roman" w:hAnsi="Times New Roman" w:cs="Arial"/>
          <w:color w:val="323233"/>
        </w:rPr>
        <w:t xml:space="preserve">) </w:t>
      </w:r>
      <w:proofErr w:type="spellStart"/>
      <w:r w:rsidRPr="009C274C">
        <w:rPr>
          <w:rFonts w:ascii="Times New Roman" w:hAnsi="Times New Roman" w:cs="Arial"/>
          <w:color w:val="323233"/>
        </w:rPr>
        <w:t>vārdā</w:t>
      </w:r>
      <w:proofErr w:type="spellEnd"/>
      <w:r w:rsidRPr="009C274C">
        <w:rPr>
          <w:rFonts w:ascii="Times New Roman" w:hAnsi="Times New Roman" w:cs="Arial"/>
          <w:color w:val="323233"/>
        </w:rPr>
        <w:t xml:space="preserve"> un </w:t>
      </w:r>
      <w:proofErr w:type="spellStart"/>
      <w:r w:rsidRPr="009C274C">
        <w:rPr>
          <w:rFonts w:ascii="Times New Roman" w:hAnsi="Times New Roman" w:cs="Arial"/>
          <w:color w:val="323233"/>
        </w:rPr>
        <w:t>labā</w:t>
      </w:r>
      <w:proofErr w:type="spellEnd"/>
      <w:r w:rsidRPr="009C274C">
        <w:rPr>
          <w:rFonts w:ascii="Times New Roman" w:hAnsi="Times New Roman" w:cs="Arial"/>
          <w:color w:val="323233"/>
        </w:rPr>
        <w:t xml:space="preserve"> </w:t>
      </w:r>
      <w:proofErr w:type="spellStart"/>
      <w:r w:rsidRPr="009C274C">
        <w:rPr>
          <w:rFonts w:ascii="Times New Roman" w:hAnsi="Times New Roman" w:cs="Arial"/>
          <w:color w:val="323233"/>
        </w:rPr>
        <w:t>pastāvīgi</w:t>
      </w:r>
      <w:proofErr w:type="spellEnd"/>
      <w:r w:rsidRPr="009C274C">
        <w:rPr>
          <w:rFonts w:ascii="Times New Roman" w:hAnsi="Times New Roman" w:cs="Arial"/>
          <w:color w:val="323233"/>
        </w:rPr>
        <w:t xml:space="preserve"> </w:t>
      </w:r>
      <w:proofErr w:type="spellStart"/>
      <w:r w:rsidRPr="009C274C">
        <w:rPr>
          <w:rFonts w:ascii="Times New Roman" w:hAnsi="Times New Roman" w:cs="Arial"/>
          <w:color w:val="323233"/>
        </w:rPr>
        <w:t>slēgt</w:t>
      </w:r>
      <w:proofErr w:type="spellEnd"/>
      <w:r w:rsidRPr="009C274C">
        <w:rPr>
          <w:rFonts w:ascii="Times New Roman" w:hAnsi="Times New Roman" w:cs="Arial"/>
          <w:color w:val="323233"/>
        </w:rPr>
        <w:t xml:space="preserve"> </w:t>
      </w:r>
      <w:proofErr w:type="spellStart"/>
      <w:r w:rsidRPr="009C274C">
        <w:rPr>
          <w:rFonts w:ascii="Times New Roman" w:hAnsi="Times New Roman" w:cs="Arial"/>
          <w:color w:val="323233"/>
        </w:rPr>
        <w:t>darījumus</w:t>
      </w:r>
      <w:proofErr w:type="spellEnd"/>
      <w:r w:rsidRPr="009C274C">
        <w:rPr>
          <w:rFonts w:ascii="Times New Roman" w:hAnsi="Times New Roman" w:cs="Arial"/>
          <w:color w:val="323233"/>
        </w:rPr>
        <w:t xml:space="preserve"> </w:t>
      </w:r>
      <w:proofErr w:type="spellStart"/>
      <w:r w:rsidRPr="009C274C">
        <w:rPr>
          <w:rFonts w:ascii="Times New Roman" w:hAnsi="Times New Roman" w:cs="Arial"/>
          <w:color w:val="323233"/>
        </w:rPr>
        <w:t>ar</w:t>
      </w:r>
      <w:proofErr w:type="spellEnd"/>
      <w:r w:rsidRPr="009C274C">
        <w:rPr>
          <w:rFonts w:ascii="Times New Roman" w:hAnsi="Times New Roman" w:cs="Arial"/>
          <w:color w:val="323233"/>
        </w:rPr>
        <w:t xml:space="preserve"> </w:t>
      </w:r>
      <w:proofErr w:type="spellStart"/>
      <w:r w:rsidRPr="009C274C">
        <w:rPr>
          <w:rFonts w:ascii="Times New Roman" w:hAnsi="Times New Roman" w:cs="Arial"/>
          <w:color w:val="323233"/>
        </w:rPr>
        <w:t>trešajām</w:t>
      </w:r>
      <w:proofErr w:type="spellEnd"/>
      <w:r w:rsidRPr="009C274C">
        <w:rPr>
          <w:rFonts w:ascii="Times New Roman" w:hAnsi="Times New Roman" w:cs="Arial"/>
          <w:color w:val="323233"/>
        </w:rPr>
        <w:t xml:space="preserve"> </w:t>
      </w:r>
      <w:proofErr w:type="spellStart"/>
      <w:r w:rsidRPr="009C274C">
        <w:rPr>
          <w:rFonts w:ascii="Times New Roman" w:hAnsi="Times New Roman" w:cs="Arial"/>
          <w:color w:val="323233"/>
        </w:rPr>
        <w:t>personām</w:t>
      </w:r>
      <w:proofErr w:type="spellEnd"/>
      <w:r w:rsidRPr="009C274C">
        <w:rPr>
          <w:rFonts w:ascii="Times New Roman" w:hAnsi="Times New Roman" w:cs="Arial"/>
          <w:color w:val="323233"/>
        </w:rPr>
        <w:t xml:space="preserve"> </w:t>
      </w:r>
      <w:proofErr w:type="spellStart"/>
      <w:r w:rsidRPr="009C274C">
        <w:rPr>
          <w:rFonts w:ascii="Times New Roman" w:hAnsi="Times New Roman" w:cs="Arial"/>
          <w:color w:val="323233"/>
        </w:rPr>
        <w:t>vai</w:t>
      </w:r>
      <w:proofErr w:type="spellEnd"/>
      <w:r w:rsidRPr="009C274C">
        <w:rPr>
          <w:rFonts w:ascii="Times New Roman" w:hAnsi="Times New Roman" w:cs="Arial"/>
          <w:color w:val="323233"/>
        </w:rPr>
        <w:t xml:space="preserve"> </w:t>
      </w:r>
      <w:proofErr w:type="spellStart"/>
      <w:r w:rsidRPr="009C274C">
        <w:rPr>
          <w:rFonts w:ascii="Times New Roman" w:hAnsi="Times New Roman" w:cs="Arial"/>
          <w:color w:val="323233"/>
        </w:rPr>
        <w:t>arī</w:t>
      </w:r>
      <w:proofErr w:type="spellEnd"/>
      <w:r w:rsidRPr="009C274C">
        <w:rPr>
          <w:rFonts w:ascii="Times New Roman" w:hAnsi="Times New Roman" w:cs="Arial"/>
          <w:color w:val="323233"/>
        </w:rPr>
        <w:t xml:space="preserve"> </w:t>
      </w:r>
      <w:proofErr w:type="spellStart"/>
      <w:r w:rsidRPr="009C274C">
        <w:rPr>
          <w:rFonts w:ascii="Times New Roman" w:hAnsi="Times New Roman" w:cs="Arial"/>
          <w:color w:val="323233"/>
        </w:rPr>
        <w:t>sagatavot</w:t>
      </w:r>
      <w:proofErr w:type="spellEnd"/>
      <w:r w:rsidRPr="009C274C">
        <w:rPr>
          <w:rFonts w:ascii="Times New Roman" w:hAnsi="Times New Roman" w:cs="Arial"/>
          <w:color w:val="323233"/>
        </w:rPr>
        <w:t xml:space="preserve"> to </w:t>
      </w:r>
      <w:proofErr w:type="spellStart"/>
      <w:r w:rsidRPr="009C274C">
        <w:rPr>
          <w:rFonts w:ascii="Times New Roman" w:hAnsi="Times New Roman" w:cs="Arial"/>
          <w:color w:val="323233"/>
        </w:rPr>
        <w:t>noslēgšanu</w:t>
      </w:r>
      <w:proofErr w:type="spellEnd"/>
      <w:r w:rsidRPr="009C274C">
        <w:rPr>
          <w:rFonts w:ascii="Times New Roman" w:hAnsi="Times New Roman" w:cs="Arial"/>
          <w:color w:val="323233"/>
        </w:rPr>
        <w:t>.</w:t>
      </w:r>
    </w:p>
    <w:p w14:paraId="0B1497DD" w14:textId="77777777" w:rsidR="00114953" w:rsidRPr="00C77BB8" w:rsidRDefault="00114953" w:rsidP="00114953">
      <w:pPr>
        <w:jc w:val="both"/>
        <w:rPr>
          <w:rFonts w:ascii="Times New Roman" w:hAnsi="Times New Roman" w:cs="Arial"/>
          <w:color w:val="323233"/>
        </w:rPr>
      </w:pPr>
    </w:p>
    <w:p w14:paraId="3012ACD6" w14:textId="77777777" w:rsidR="00114953" w:rsidRDefault="00114953" w:rsidP="00114953">
      <w:pPr>
        <w:jc w:val="both"/>
        <w:rPr>
          <w:rFonts w:ascii="Times New Roman" w:hAnsi="Times New Roman" w:cs="Arial"/>
          <w:b/>
          <w:bCs/>
          <w:color w:val="323233"/>
        </w:rPr>
      </w:pPr>
    </w:p>
    <w:p w14:paraId="577D6662" w14:textId="77777777" w:rsidR="00114953" w:rsidRDefault="00114953" w:rsidP="00114953">
      <w:pPr>
        <w:jc w:val="both"/>
        <w:rPr>
          <w:rFonts w:ascii="Times New Roman" w:hAnsi="Times New Roman" w:cs="Arial"/>
          <w:b/>
          <w:bCs/>
          <w:color w:val="323233"/>
        </w:rPr>
      </w:pPr>
    </w:p>
    <w:p w14:paraId="00CD92E0" w14:textId="77777777" w:rsidR="00114953" w:rsidRDefault="00114953" w:rsidP="00114953">
      <w:pPr>
        <w:jc w:val="both"/>
        <w:rPr>
          <w:rFonts w:ascii="Times New Roman" w:hAnsi="Times New Roman" w:cs="Arial"/>
          <w:b/>
          <w:bCs/>
          <w:color w:val="323233"/>
        </w:rPr>
      </w:pPr>
      <w:r>
        <w:rPr>
          <w:rFonts w:ascii="Times New Roman" w:hAnsi="Times New Roman" w:cs="Arial"/>
          <w:b/>
          <w:bCs/>
          <w:color w:val="323233"/>
        </w:rPr>
        <w:t xml:space="preserve">1. </w:t>
      </w:r>
      <w:proofErr w:type="spellStart"/>
      <w:r>
        <w:rPr>
          <w:rFonts w:ascii="Times New Roman" w:hAnsi="Times New Roman" w:cs="Arial"/>
          <w:b/>
          <w:bCs/>
          <w:color w:val="323233"/>
        </w:rPr>
        <w:t>Juridiskas</w:t>
      </w:r>
      <w:proofErr w:type="spellEnd"/>
      <w:r>
        <w:rPr>
          <w:rFonts w:ascii="Times New Roman" w:hAnsi="Times New Roman" w:cs="Arial"/>
          <w:b/>
          <w:bCs/>
          <w:color w:val="323233"/>
        </w:rPr>
        <w:t xml:space="preserve"> </w:t>
      </w:r>
      <w:proofErr w:type="spellStart"/>
      <w:r>
        <w:rPr>
          <w:rFonts w:ascii="Times New Roman" w:hAnsi="Times New Roman" w:cs="Arial"/>
          <w:b/>
          <w:bCs/>
          <w:color w:val="323233"/>
        </w:rPr>
        <w:t>personas</w:t>
      </w:r>
      <w:proofErr w:type="spellEnd"/>
      <w:r>
        <w:rPr>
          <w:rFonts w:ascii="Times New Roman" w:hAnsi="Times New Roman" w:cs="Arial"/>
          <w:b/>
          <w:bCs/>
          <w:color w:val="323233"/>
        </w:rPr>
        <w:t xml:space="preserve"> </w:t>
      </w:r>
      <w:proofErr w:type="spellStart"/>
      <w:proofErr w:type="gramStart"/>
      <w:r>
        <w:rPr>
          <w:rFonts w:ascii="Times New Roman" w:hAnsi="Times New Roman" w:cs="Arial"/>
          <w:b/>
          <w:bCs/>
          <w:color w:val="323233"/>
        </w:rPr>
        <w:t>t</w:t>
      </w:r>
      <w:r w:rsidRPr="00734E20">
        <w:rPr>
          <w:rFonts w:ascii="Times New Roman" w:hAnsi="Times New Roman" w:cs="Arial"/>
          <w:b/>
          <w:bCs/>
          <w:color w:val="323233"/>
        </w:rPr>
        <w:t>iesībspēja</w:t>
      </w:r>
      <w:proofErr w:type="spellEnd"/>
      <w:r w:rsidRPr="00734E20">
        <w:rPr>
          <w:rFonts w:ascii="Times New Roman" w:hAnsi="Times New Roman" w:cs="Arial"/>
          <w:b/>
          <w:bCs/>
          <w:color w:val="323233"/>
        </w:rPr>
        <w:t>:</w:t>
      </w:r>
      <w:proofErr w:type="gramEnd"/>
      <w:r>
        <w:rPr>
          <w:rFonts w:ascii="Times New Roman" w:hAnsi="Times New Roman" w:cs="Arial"/>
          <w:b/>
          <w:bCs/>
          <w:color w:val="323233"/>
        </w:rPr>
        <w:t xml:space="preserve"> </w:t>
      </w:r>
    </w:p>
    <w:p w14:paraId="6988439C" w14:textId="77777777" w:rsidR="00114953" w:rsidRDefault="00114953" w:rsidP="00114953">
      <w:pPr>
        <w:jc w:val="both"/>
        <w:rPr>
          <w:rFonts w:ascii="Times New Roman" w:hAnsi="Times New Roman" w:cs="Arial"/>
          <w:b/>
          <w:bCs/>
          <w:color w:val="323233"/>
        </w:rPr>
      </w:pPr>
    </w:p>
    <w:p w14:paraId="2B96A645" w14:textId="77777777" w:rsidR="00114953" w:rsidRPr="000C7C76" w:rsidRDefault="00114953" w:rsidP="00114953">
      <w:pPr>
        <w:pStyle w:val="tv213"/>
        <w:ind w:firstLine="708"/>
        <w:jc w:val="both"/>
      </w:pPr>
      <w:proofErr w:type="spellStart"/>
      <w:r w:rsidRPr="00B124B0">
        <w:t>No</w:t>
      </w:r>
      <w:proofErr w:type="spellEnd"/>
      <w:r w:rsidRPr="00B124B0">
        <w:t xml:space="preserve"> SPT</w:t>
      </w:r>
      <w:r>
        <w:t xml:space="preserve"> </w:t>
      </w:r>
      <w:proofErr w:type="spellStart"/>
      <w:r>
        <w:t>teorijas</w:t>
      </w:r>
      <w:proofErr w:type="spellEnd"/>
      <w:r>
        <w:t xml:space="preserve"> </w:t>
      </w:r>
      <w:proofErr w:type="spellStart"/>
      <w:r>
        <w:t>viedokļa</w:t>
      </w:r>
      <w:proofErr w:type="spellEnd"/>
      <w:r>
        <w:t xml:space="preserve"> </w:t>
      </w:r>
      <w:proofErr w:type="spellStart"/>
      <w:r>
        <w:t>pilnvarai</w:t>
      </w:r>
      <w:proofErr w:type="spellEnd"/>
      <w:r w:rsidRPr="00B124B0">
        <w:t xml:space="preserve"> </w:t>
      </w:r>
      <w:proofErr w:type="spellStart"/>
      <w:r w:rsidRPr="00B124B0">
        <w:t>piemērojamais</w:t>
      </w:r>
      <w:proofErr w:type="spellEnd"/>
      <w:r w:rsidRPr="00B124B0">
        <w:t xml:space="preserve"> </w:t>
      </w:r>
      <w:proofErr w:type="spellStart"/>
      <w:r w:rsidRPr="00B124B0">
        <w:t>likums</w:t>
      </w:r>
      <w:proofErr w:type="spellEnd"/>
      <w:r w:rsidRPr="00B124B0">
        <w:t xml:space="preserve"> (</w:t>
      </w:r>
      <w:proofErr w:type="spellStart"/>
      <w:r w:rsidRPr="00B124B0">
        <w:t>pilnvaras</w:t>
      </w:r>
      <w:proofErr w:type="spellEnd"/>
      <w:r w:rsidRPr="00B124B0">
        <w:t xml:space="preserve"> </w:t>
      </w:r>
      <w:proofErr w:type="spellStart"/>
      <w:r w:rsidRPr="00B124B0">
        <w:t>statūts</w:t>
      </w:r>
      <w:proofErr w:type="spellEnd"/>
      <w:r w:rsidRPr="00B124B0">
        <w:t xml:space="preserve">) </w:t>
      </w:r>
      <w:proofErr w:type="spellStart"/>
      <w:r w:rsidRPr="00B124B0">
        <w:t>neietver</w:t>
      </w:r>
      <w:proofErr w:type="spellEnd"/>
      <w:r w:rsidRPr="00B124B0">
        <w:t xml:space="preserve"> </w:t>
      </w:r>
      <w:proofErr w:type="spellStart"/>
      <w:r w:rsidRPr="00B124B0">
        <w:t>sevī</w:t>
      </w:r>
      <w:proofErr w:type="spellEnd"/>
      <w:r w:rsidRPr="00B124B0">
        <w:t xml:space="preserve"> </w:t>
      </w:r>
      <w:proofErr w:type="spellStart"/>
      <w:r w:rsidRPr="00B124B0">
        <w:t>arī</w:t>
      </w:r>
      <w:proofErr w:type="spellEnd"/>
      <w:r w:rsidRPr="00B124B0">
        <w:t xml:space="preserve"> </w:t>
      </w:r>
      <w:proofErr w:type="spellStart"/>
      <w:r w:rsidRPr="00B124B0">
        <w:t>juridiskas</w:t>
      </w:r>
      <w:proofErr w:type="spellEnd"/>
      <w:r w:rsidRPr="00B124B0">
        <w:t xml:space="preserve"> personas (</w:t>
      </w:r>
      <w:proofErr w:type="spellStart"/>
      <w:r w:rsidRPr="00B124B0">
        <w:t>pilnvarnieka</w:t>
      </w:r>
      <w:proofErr w:type="spellEnd"/>
      <w:r w:rsidRPr="00B124B0">
        <w:t xml:space="preserve"> </w:t>
      </w:r>
      <w:proofErr w:type="spellStart"/>
      <w:r w:rsidRPr="00B124B0">
        <w:t>jeb</w:t>
      </w:r>
      <w:proofErr w:type="spellEnd"/>
      <w:r w:rsidRPr="00B124B0">
        <w:t xml:space="preserve"> </w:t>
      </w:r>
      <w:proofErr w:type="spellStart"/>
      <w:r w:rsidRPr="00B124B0">
        <w:t>uzdevuma</w:t>
      </w:r>
      <w:proofErr w:type="spellEnd"/>
      <w:r w:rsidRPr="00B124B0">
        <w:t xml:space="preserve"> </w:t>
      </w:r>
      <w:proofErr w:type="spellStart"/>
      <w:r w:rsidRPr="00B124B0">
        <w:t>ņēmēja</w:t>
      </w:r>
      <w:proofErr w:type="spellEnd"/>
      <w:r w:rsidRPr="00B124B0">
        <w:t xml:space="preserve">) </w:t>
      </w:r>
      <w:proofErr w:type="spellStart"/>
      <w:r w:rsidRPr="00B124B0">
        <w:t>tiesībspējai</w:t>
      </w:r>
      <w:proofErr w:type="spellEnd"/>
      <w:r w:rsidRPr="00B124B0">
        <w:t xml:space="preserve"> </w:t>
      </w:r>
      <w:proofErr w:type="spellStart"/>
      <w:r w:rsidRPr="00B124B0">
        <w:t>piemērojamo</w:t>
      </w:r>
      <w:proofErr w:type="spellEnd"/>
      <w:r w:rsidRPr="00B124B0">
        <w:t xml:space="preserve"> </w:t>
      </w:r>
      <w:proofErr w:type="spellStart"/>
      <w:r w:rsidRPr="00B124B0">
        <w:t>likumu</w:t>
      </w:r>
      <w:proofErr w:type="spellEnd"/>
      <w:r w:rsidRPr="00B124B0">
        <w:t xml:space="preserve">. </w:t>
      </w:r>
      <w:proofErr w:type="spellStart"/>
      <w:r w:rsidRPr="00B124B0">
        <w:t>Šos</w:t>
      </w:r>
      <w:proofErr w:type="spellEnd"/>
      <w:r w:rsidRPr="00B124B0">
        <w:t xml:space="preserve"> </w:t>
      </w:r>
      <w:proofErr w:type="spellStart"/>
      <w:r w:rsidRPr="00B124B0">
        <w:t>divus</w:t>
      </w:r>
      <w:proofErr w:type="spellEnd"/>
      <w:r w:rsidRPr="00B124B0">
        <w:t xml:space="preserve"> </w:t>
      </w:r>
      <w:proofErr w:type="spellStart"/>
      <w:r w:rsidRPr="00B124B0">
        <w:t>jautājumus</w:t>
      </w:r>
      <w:proofErr w:type="spellEnd"/>
      <w:r>
        <w:t xml:space="preserve"> – </w:t>
      </w:r>
      <w:proofErr w:type="spellStart"/>
      <w:r>
        <w:t>pilnvarai</w:t>
      </w:r>
      <w:proofErr w:type="spellEnd"/>
      <w:r w:rsidRPr="00016BEF">
        <w:t xml:space="preserve"> </w:t>
      </w:r>
      <w:proofErr w:type="spellStart"/>
      <w:r w:rsidRPr="00016BEF">
        <w:t>piemērojamo</w:t>
      </w:r>
      <w:proofErr w:type="spellEnd"/>
      <w:r w:rsidRPr="00016BEF">
        <w:t xml:space="preserve"> </w:t>
      </w:r>
      <w:proofErr w:type="spellStart"/>
      <w:r w:rsidRPr="00016BEF">
        <w:t>likumu</w:t>
      </w:r>
      <w:proofErr w:type="spellEnd"/>
      <w:r w:rsidRPr="00016BEF">
        <w:t xml:space="preserve"> </w:t>
      </w:r>
      <w:proofErr w:type="spellStart"/>
      <w:r w:rsidRPr="00016BEF">
        <w:t>un</w:t>
      </w:r>
      <w:proofErr w:type="spellEnd"/>
      <w:r w:rsidRPr="00016BEF">
        <w:t xml:space="preserve"> </w:t>
      </w:r>
      <w:proofErr w:type="spellStart"/>
      <w:r w:rsidRPr="00016BEF">
        <w:t>juridiskas</w:t>
      </w:r>
      <w:proofErr w:type="spellEnd"/>
      <w:r w:rsidRPr="00016BEF">
        <w:t xml:space="preserve"> personas </w:t>
      </w:r>
      <w:proofErr w:type="spellStart"/>
      <w:r w:rsidRPr="00016BEF">
        <w:t>tiesībspējai</w:t>
      </w:r>
      <w:proofErr w:type="spellEnd"/>
      <w:r w:rsidRPr="00016BEF">
        <w:t xml:space="preserve"> </w:t>
      </w:r>
      <w:proofErr w:type="spellStart"/>
      <w:r w:rsidRPr="00016BEF">
        <w:t>un</w:t>
      </w:r>
      <w:proofErr w:type="spellEnd"/>
      <w:r w:rsidRPr="00016BEF">
        <w:t xml:space="preserve"> </w:t>
      </w:r>
      <w:proofErr w:type="spellStart"/>
      <w:r w:rsidRPr="00016BEF">
        <w:t>rīcībspējai</w:t>
      </w:r>
      <w:proofErr w:type="spellEnd"/>
      <w:r w:rsidRPr="00016BEF">
        <w:t xml:space="preserve"> </w:t>
      </w:r>
      <w:proofErr w:type="spellStart"/>
      <w:r w:rsidRPr="00016BEF">
        <w:t>piemerojamo</w:t>
      </w:r>
      <w:proofErr w:type="spellEnd"/>
      <w:r w:rsidRPr="00016BEF">
        <w:t xml:space="preserve"> </w:t>
      </w:r>
      <w:proofErr w:type="spellStart"/>
      <w:r w:rsidRPr="00016BEF">
        <w:t>likumu</w:t>
      </w:r>
      <w:proofErr w:type="spellEnd"/>
      <w:r w:rsidRPr="00016BEF">
        <w:t xml:space="preserve"> – </w:t>
      </w:r>
      <w:proofErr w:type="spellStart"/>
      <w:r w:rsidRPr="00016BEF">
        <w:t>nosaka</w:t>
      </w:r>
      <w:proofErr w:type="spellEnd"/>
      <w:r w:rsidRPr="00016BEF">
        <w:t xml:space="preserve"> </w:t>
      </w:r>
      <w:proofErr w:type="spellStart"/>
      <w:r w:rsidRPr="00016BEF">
        <w:t>divas</w:t>
      </w:r>
      <w:proofErr w:type="spellEnd"/>
      <w:r w:rsidRPr="00016BEF">
        <w:t xml:space="preserve"> </w:t>
      </w:r>
      <w:proofErr w:type="spellStart"/>
      <w:r w:rsidRPr="00016BEF">
        <w:t>atšķirīgas</w:t>
      </w:r>
      <w:proofErr w:type="spellEnd"/>
      <w:r w:rsidRPr="00016BEF">
        <w:t xml:space="preserve"> </w:t>
      </w:r>
      <w:proofErr w:type="spellStart"/>
      <w:r w:rsidRPr="00016BEF">
        <w:t>kolīziju</w:t>
      </w:r>
      <w:proofErr w:type="spellEnd"/>
      <w:r w:rsidRPr="00016BEF">
        <w:t xml:space="preserve"> </w:t>
      </w:r>
      <w:proofErr w:type="spellStart"/>
      <w:r w:rsidRPr="00016BEF">
        <w:t>normas</w:t>
      </w:r>
      <w:proofErr w:type="spellEnd"/>
      <w:r w:rsidRPr="00016BEF">
        <w:t xml:space="preserve"> (</w:t>
      </w:r>
      <w:proofErr w:type="spellStart"/>
      <w:r w:rsidRPr="00016BEF">
        <w:t>tāpat</w:t>
      </w:r>
      <w:proofErr w:type="spellEnd"/>
      <w:r w:rsidRPr="00016BEF">
        <w:t xml:space="preserve"> </w:t>
      </w:r>
      <w:proofErr w:type="spellStart"/>
      <w:r w:rsidRPr="00016BEF">
        <w:t>kā</w:t>
      </w:r>
      <w:proofErr w:type="spellEnd"/>
      <w:r w:rsidRPr="00016BEF">
        <w:t xml:space="preserve"> </w:t>
      </w:r>
      <w:proofErr w:type="spellStart"/>
      <w:r w:rsidRPr="00016BEF">
        <w:t>fizisko</w:t>
      </w:r>
      <w:proofErr w:type="spellEnd"/>
      <w:r w:rsidRPr="00016BEF">
        <w:t xml:space="preserve"> </w:t>
      </w:r>
      <w:proofErr w:type="spellStart"/>
      <w:r w:rsidRPr="00016BEF">
        <w:t>personu</w:t>
      </w:r>
      <w:proofErr w:type="spellEnd"/>
      <w:r w:rsidRPr="00016BEF">
        <w:t xml:space="preserve"> </w:t>
      </w:r>
      <w:proofErr w:type="spellStart"/>
      <w:r w:rsidRPr="00016BEF">
        <w:t>situācijā</w:t>
      </w:r>
      <w:proofErr w:type="spellEnd"/>
      <w:r w:rsidRPr="00016BEF">
        <w:t xml:space="preserve">). SPT </w:t>
      </w:r>
      <w:proofErr w:type="spellStart"/>
      <w:r w:rsidRPr="00016BEF">
        <w:t>to</w:t>
      </w:r>
      <w:proofErr w:type="spellEnd"/>
      <w:r w:rsidRPr="00016BEF">
        <w:t xml:space="preserve"> </w:t>
      </w:r>
      <w:proofErr w:type="spellStart"/>
      <w:r w:rsidRPr="00016BEF">
        <w:t>dēvē</w:t>
      </w:r>
      <w:proofErr w:type="spellEnd"/>
      <w:r w:rsidRPr="00016BEF">
        <w:t xml:space="preserve"> par </w:t>
      </w:r>
      <w:proofErr w:type="spellStart"/>
      <w:r w:rsidRPr="00016BEF">
        <w:t>daļējo</w:t>
      </w:r>
      <w:proofErr w:type="spellEnd"/>
      <w:r w:rsidRPr="00016BEF">
        <w:t xml:space="preserve"> </w:t>
      </w:r>
      <w:proofErr w:type="spellStart"/>
      <w:r w:rsidRPr="00016BEF">
        <w:t>jautājumu</w:t>
      </w:r>
      <w:proofErr w:type="spellEnd"/>
      <w:r w:rsidRPr="00016BEF">
        <w:t xml:space="preserve"> (</w:t>
      </w:r>
      <w:proofErr w:type="spellStart"/>
      <w:r w:rsidRPr="00016BEF">
        <w:t>vācu</w:t>
      </w:r>
      <w:proofErr w:type="spellEnd"/>
      <w:r w:rsidRPr="00016BEF">
        <w:t xml:space="preserve"> </w:t>
      </w:r>
      <w:proofErr w:type="spellStart"/>
      <w:r w:rsidRPr="00016BEF">
        <w:t>val</w:t>
      </w:r>
      <w:proofErr w:type="spellEnd"/>
      <w:r w:rsidRPr="00016BEF">
        <w:t xml:space="preserve">. </w:t>
      </w:r>
      <w:r w:rsidRPr="00016BEF">
        <w:rPr>
          <w:i/>
        </w:rPr>
        <w:t>Teilfrage</w:t>
      </w:r>
      <w:r w:rsidRPr="00016BEF">
        <w:t xml:space="preserve">) </w:t>
      </w:r>
      <w:proofErr w:type="spellStart"/>
      <w:r w:rsidRPr="00016BEF">
        <w:t>jeb</w:t>
      </w:r>
      <w:proofErr w:type="spellEnd"/>
      <w:r w:rsidRPr="00016BEF">
        <w:t xml:space="preserve"> </w:t>
      </w:r>
      <w:proofErr w:type="spellStart"/>
      <w:r w:rsidRPr="00016BEF">
        <w:rPr>
          <w:i/>
        </w:rPr>
        <w:t>d</w:t>
      </w:r>
      <w:r w:rsidRPr="000C7C76">
        <w:rPr>
          <w:i/>
        </w:rPr>
        <w:t>epeçage</w:t>
      </w:r>
      <w:proofErr w:type="spellEnd"/>
      <w:r w:rsidRPr="000C7C76">
        <w:rPr>
          <w:i/>
        </w:rPr>
        <w:t xml:space="preserve"> </w:t>
      </w:r>
      <w:r w:rsidRPr="000C7C76">
        <w:t>(</w:t>
      </w:r>
      <w:proofErr w:type="spellStart"/>
      <w:r w:rsidRPr="000C7C76">
        <w:t>no</w:t>
      </w:r>
      <w:proofErr w:type="spellEnd"/>
      <w:r w:rsidRPr="000C7C76">
        <w:t xml:space="preserve"> </w:t>
      </w:r>
      <w:proofErr w:type="spellStart"/>
      <w:r w:rsidRPr="000C7C76">
        <w:t>franču</w:t>
      </w:r>
      <w:proofErr w:type="spellEnd"/>
      <w:r w:rsidRPr="000C7C76">
        <w:t xml:space="preserve"> </w:t>
      </w:r>
      <w:proofErr w:type="spellStart"/>
      <w:r w:rsidRPr="000C7C76">
        <w:t>val</w:t>
      </w:r>
      <w:proofErr w:type="spellEnd"/>
      <w:r w:rsidRPr="000C7C76">
        <w:t>.).</w:t>
      </w:r>
      <w:r w:rsidRPr="00016BEF">
        <w:rPr>
          <w:rStyle w:val="FootnoteReference"/>
          <w:lang w:val="fr-FR"/>
        </w:rPr>
        <w:footnoteReference w:id="63"/>
      </w:r>
      <w:r w:rsidRPr="000C7C76">
        <w:t xml:space="preserve">  </w:t>
      </w:r>
    </w:p>
    <w:p w14:paraId="4D7567E7" w14:textId="77777777" w:rsidR="00114953" w:rsidRPr="000C7C76" w:rsidRDefault="00114953" w:rsidP="00114953">
      <w:pPr>
        <w:pStyle w:val="tv213"/>
        <w:ind w:firstLine="708"/>
        <w:jc w:val="both"/>
      </w:pPr>
      <w:proofErr w:type="spellStart"/>
      <w:r w:rsidRPr="000C7C76">
        <w:t>Izņēmums</w:t>
      </w:r>
      <w:proofErr w:type="spellEnd"/>
      <w:r w:rsidRPr="000C7C76">
        <w:t xml:space="preserve"> </w:t>
      </w:r>
      <w:proofErr w:type="spellStart"/>
      <w:r w:rsidRPr="000C7C76">
        <w:t>ir</w:t>
      </w:r>
      <w:proofErr w:type="spellEnd"/>
      <w:r w:rsidRPr="000C7C76">
        <w:t xml:space="preserve"> anglo-</w:t>
      </w:r>
      <w:proofErr w:type="spellStart"/>
      <w:r w:rsidRPr="000C7C76">
        <w:t>sakšu</w:t>
      </w:r>
      <w:proofErr w:type="spellEnd"/>
      <w:r w:rsidRPr="000C7C76">
        <w:t xml:space="preserve"> </w:t>
      </w:r>
      <w:proofErr w:type="spellStart"/>
      <w:r w:rsidRPr="000C7C76">
        <w:t>jeb</w:t>
      </w:r>
      <w:proofErr w:type="spellEnd"/>
      <w:r w:rsidRPr="000C7C76">
        <w:t xml:space="preserve"> </w:t>
      </w:r>
      <w:r w:rsidRPr="000C7C76">
        <w:rPr>
          <w:i/>
        </w:rPr>
        <w:t>Common Law</w:t>
      </w:r>
      <w:r w:rsidRPr="000C7C76">
        <w:t xml:space="preserve"> </w:t>
      </w:r>
      <w:proofErr w:type="spellStart"/>
      <w:r w:rsidRPr="000C7C76">
        <w:t>tiesību</w:t>
      </w:r>
      <w:proofErr w:type="spellEnd"/>
      <w:r w:rsidRPr="000C7C76">
        <w:t xml:space="preserve"> </w:t>
      </w:r>
      <w:proofErr w:type="spellStart"/>
      <w:r w:rsidRPr="000C7C76">
        <w:t>sistēma</w:t>
      </w:r>
      <w:proofErr w:type="spellEnd"/>
      <w:r w:rsidRPr="000C7C76">
        <w:t xml:space="preserve">, </w:t>
      </w:r>
      <w:proofErr w:type="spellStart"/>
      <w:r w:rsidRPr="000C7C76">
        <w:t>kurā</w:t>
      </w:r>
      <w:proofErr w:type="spellEnd"/>
      <w:r w:rsidRPr="000C7C76">
        <w:t xml:space="preserve"> </w:t>
      </w:r>
      <w:proofErr w:type="spellStart"/>
      <w:r w:rsidRPr="000C7C76">
        <w:t>juridiskas</w:t>
      </w:r>
      <w:proofErr w:type="spellEnd"/>
      <w:r w:rsidRPr="000C7C76">
        <w:t xml:space="preserve"> personas </w:t>
      </w:r>
      <w:proofErr w:type="spellStart"/>
      <w:r w:rsidRPr="000C7C76">
        <w:t>tiesībspējas</w:t>
      </w:r>
      <w:proofErr w:type="spellEnd"/>
      <w:r w:rsidRPr="000C7C76">
        <w:t xml:space="preserve"> </w:t>
      </w:r>
      <w:proofErr w:type="spellStart"/>
      <w:r w:rsidRPr="000C7C76">
        <w:t>un</w:t>
      </w:r>
      <w:proofErr w:type="spellEnd"/>
      <w:r w:rsidRPr="000C7C76">
        <w:t xml:space="preserve"> </w:t>
      </w:r>
      <w:proofErr w:type="spellStart"/>
      <w:r w:rsidRPr="000C7C76">
        <w:t>rīcībspējas</w:t>
      </w:r>
      <w:proofErr w:type="spellEnd"/>
      <w:r w:rsidRPr="000C7C76">
        <w:t xml:space="preserve"> </w:t>
      </w:r>
      <w:proofErr w:type="spellStart"/>
      <w:r w:rsidRPr="000C7C76">
        <w:t>jautājumi</w:t>
      </w:r>
      <w:proofErr w:type="spellEnd"/>
      <w:r w:rsidRPr="000C7C76">
        <w:t xml:space="preserve"> </w:t>
      </w:r>
      <w:proofErr w:type="spellStart"/>
      <w:r w:rsidRPr="000C7C76">
        <w:t>ietilpst</w:t>
      </w:r>
      <w:proofErr w:type="spellEnd"/>
      <w:r w:rsidRPr="000C7C76">
        <w:t xml:space="preserve"> </w:t>
      </w:r>
      <w:proofErr w:type="spellStart"/>
      <w:r w:rsidRPr="000C7C76">
        <w:t>līgumtiesību</w:t>
      </w:r>
      <w:proofErr w:type="spellEnd"/>
      <w:r w:rsidRPr="000C7C76">
        <w:t xml:space="preserve"> </w:t>
      </w:r>
      <w:proofErr w:type="spellStart"/>
      <w:r w:rsidRPr="000C7C76">
        <w:t>jomā</w:t>
      </w:r>
      <w:proofErr w:type="spellEnd"/>
      <w:r w:rsidRPr="00016BEF">
        <w:rPr>
          <w:rStyle w:val="FootnoteReference"/>
          <w:lang w:val="fr-FR"/>
        </w:rPr>
        <w:footnoteReference w:id="64"/>
      </w:r>
      <w:r w:rsidRPr="000C7C76">
        <w:t xml:space="preserve"> </w:t>
      </w:r>
      <w:proofErr w:type="spellStart"/>
      <w:r w:rsidRPr="000C7C76">
        <w:t>un</w:t>
      </w:r>
      <w:proofErr w:type="spellEnd"/>
      <w:r w:rsidRPr="000C7C76">
        <w:t xml:space="preserve"> </w:t>
      </w:r>
      <w:proofErr w:type="spellStart"/>
      <w:r w:rsidRPr="000C7C76">
        <w:t>līdz</w:t>
      </w:r>
      <w:proofErr w:type="spellEnd"/>
      <w:r w:rsidRPr="000C7C76">
        <w:t xml:space="preserve"> </w:t>
      </w:r>
      <w:proofErr w:type="spellStart"/>
      <w:r w:rsidRPr="000C7C76">
        <w:t>ar</w:t>
      </w:r>
      <w:proofErr w:type="spellEnd"/>
      <w:r w:rsidRPr="000C7C76">
        <w:t xml:space="preserve"> </w:t>
      </w:r>
      <w:proofErr w:type="spellStart"/>
      <w:r w:rsidRPr="000C7C76">
        <w:t>to</w:t>
      </w:r>
      <w:proofErr w:type="spellEnd"/>
      <w:r w:rsidRPr="000C7C76">
        <w:t xml:space="preserve"> </w:t>
      </w:r>
      <w:proofErr w:type="spellStart"/>
      <w:r w:rsidRPr="000C7C76">
        <w:t>tiem</w:t>
      </w:r>
      <w:proofErr w:type="spellEnd"/>
      <w:r w:rsidRPr="000C7C76">
        <w:t xml:space="preserve"> </w:t>
      </w:r>
      <w:proofErr w:type="spellStart"/>
      <w:r w:rsidRPr="000C7C76">
        <w:t>parasti</w:t>
      </w:r>
      <w:proofErr w:type="spellEnd"/>
      <w:r w:rsidRPr="000C7C76">
        <w:t xml:space="preserve"> </w:t>
      </w:r>
      <w:proofErr w:type="spellStart"/>
      <w:r w:rsidRPr="000C7C76">
        <w:t>piemēro</w:t>
      </w:r>
      <w:proofErr w:type="spellEnd"/>
      <w:r w:rsidRPr="000C7C76">
        <w:t xml:space="preserve"> </w:t>
      </w:r>
      <w:proofErr w:type="spellStart"/>
      <w:r w:rsidRPr="000C7C76">
        <w:t>to</w:t>
      </w:r>
      <w:proofErr w:type="spellEnd"/>
      <w:r w:rsidRPr="000C7C76">
        <w:t xml:space="preserve"> </w:t>
      </w:r>
      <w:proofErr w:type="spellStart"/>
      <w:r w:rsidRPr="000C7C76">
        <w:t>pašu</w:t>
      </w:r>
      <w:proofErr w:type="spellEnd"/>
      <w:r w:rsidRPr="000C7C76">
        <w:t xml:space="preserve"> </w:t>
      </w:r>
      <w:proofErr w:type="spellStart"/>
      <w:r w:rsidRPr="000C7C76">
        <w:t>statūtu</w:t>
      </w:r>
      <w:proofErr w:type="spellEnd"/>
      <w:r w:rsidRPr="000C7C76">
        <w:t xml:space="preserve">, </w:t>
      </w:r>
      <w:proofErr w:type="spellStart"/>
      <w:r w:rsidRPr="000C7C76">
        <w:t>ko</w:t>
      </w:r>
      <w:proofErr w:type="spellEnd"/>
      <w:r w:rsidRPr="000C7C76">
        <w:t xml:space="preserve"> </w:t>
      </w:r>
      <w:proofErr w:type="spellStart"/>
      <w:r w:rsidRPr="000C7C76">
        <w:t>piemēro</w:t>
      </w:r>
      <w:proofErr w:type="spellEnd"/>
      <w:r w:rsidRPr="000C7C76">
        <w:t xml:space="preserve"> </w:t>
      </w:r>
      <w:proofErr w:type="spellStart"/>
      <w:r w:rsidRPr="000C7C76">
        <w:t>galvenajam</w:t>
      </w:r>
      <w:proofErr w:type="spellEnd"/>
      <w:r w:rsidRPr="000C7C76">
        <w:t xml:space="preserve"> </w:t>
      </w:r>
      <w:proofErr w:type="spellStart"/>
      <w:r w:rsidRPr="000C7C76">
        <w:t>līgumam</w:t>
      </w:r>
      <w:proofErr w:type="spellEnd"/>
      <w:r w:rsidRPr="000C7C76">
        <w:t xml:space="preserve">, </w:t>
      </w:r>
      <w:proofErr w:type="spellStart"/>
      <w:r w:rsidRPr="000C7C76">
        <w:t>kā</w:t>
      </w:r>
      <w:proofErr w:type="spellEnd"/>
      <w:r w:rsidRPr="000C7C76">
        <w:t xml:space="preserve"> </w:t>
      </w:r>
      <w:proofErr w:type="spellStart"/>
      <w:r w:rsidRPr="000C7C76">
        <w:t>arī</w:t>
      </w:r>
      <w:proofErr w:type="spellEnd"/>
      <w:r w:rsidRPr="000C7C76">
        <w:t xml:space="preserve"> </w:t>
      </w:r>
      <w:proofErr w:type="spellStart"/>
      <w:r w:rsidRPr="000C7C76">
        <w:t>mēdz</w:t>
      </w:r>
      <w:proofErr w:type="spellEnd"/>
      <w:r w:rsidRPr="000C7C76">
        <w:t xml:space="preserve"> </w:t>
      </w:r>
      <w:proofErr w:type="spellStart"/>
      <w:r w:rsidRPr="000C7C76">
        <w:t>piemērot</w:t>
      </w:r>
      <w:proofErr w:type="spellEnd"/>
      <w:r w:rsidRPr="000C7C76">
        <w:t xml:space="preserve"> </w:t>
      </w:r>
      <w:proofErr w:type="spellStart"/>
      <w:r w:rsidRPr="000C7C76">
        <w:t>juridiskas</w:t>
      </w:r>
      <w:proofErr w:type="spellEnd"/>
      <w:r w:rsidRPr="000C7C76">
        <w:t xml:space="preserve"> personas </w:t>
      </w:r>
      <w:proofErr w:type="spellStart"/>
      <w:r w:rsidRPr="000C7C76">
        <w:t>inkorporācijas</w:t>
      </w:r>
      <w:proofErr w:type="spellEnd"/>
      <w:r w:rsidRPr="000C7C76">
        <w:t xml:space="preserve"> (</w:t>
      </w:r>
      <w:proofErr w:type="spellStart"/>
      <w:r w:rsidRPr="000C7C76">
        <w:t>reģistrācijas</w:t>
      </w:r>
      <w:proofErr w:type="spellEnd"/>
      <w:r w:rsidRPr="000C7C76">
        <w:t xml:space="preserve">) </w:t>
      </w:r>
      <w:proofErr w:type="spellStart"/>
      <w:r w:rsidRPr="000C7C76">
        <w:t>vietas</w:t>
      </w:r>
      <w:proofErr w:type="spellEnd"/>
      <w:r w:rsidRPr="000C7C76">
        <w:t xml:space="preserve"> </w:t>
      </w:r>
      <w:proofErr w:type="spellStart"/>
      <w:r w:rsidRPr="000C7C76">
        <w:t>valsts</w:t>
      </w:r>
      <w:proofErr w:type="spellEnd"/>
      <w:r w:rsidRPr="000C7C76">
        <w:t xml:space="preserve"> </w:t>
      </w:r>
      <w:proofErr w:type="spellStart"/>
      <w:r w:rsidRPr="000C7C76">
        <w:t>likumu</w:t>
      </w:r>
      <w:proofErr w:type="spellEnd"/>
      <w:r w:rsidRPr="000C7C76">
        <w:t xml:space="preserve">. </w:t>
      </w:r>
      <w:proofErr w:type="spellStart"/>
      <w:r w:rsidRPr="000C7C76">
        <w:t>Angļu</w:t>
      </w:r>
      <w:proofErr w:type="spellEnd"/>
      <w:r w:rsidRPr="000C7C76">
        <w:t xml:space="preserve"> SPT </w:t>
      </w:r>
      <w:proofErr w:type="spellStart"/>
      <w:r w:rsidRPr="000C7C76">
        <w:t>zinātnē</w:t>
      </w:r>
      <w:proofErr w:type="spellEnd"/>
      <w:r w:rsidRPr="000C7C76">
        <w:t xml:space="preserve"> </w:t>
      </w:r>
      <w:proofErr w:type="spellStart"/>
      <w:r w:rsidRPr="000C7C76">
        <w:t>un</w:t>
      </w:r>
      <w:proofErr w:type="spellEnd"/>
      <w:r w:rsidRPr="000C7C76">
        <w:t xml:space="preserve"> </w:t>
      </w:r>
      <w:proofErr w:type="spellStart"/>
      <w:r w:rsidRPr="000C7C76">
        <w:t>tiesu</w:t>
      </w:r>
      <w:proofErr w:type="spellEnd"/>
      <w:r w:rsidRPr="000C7C76">
        <w:t xml:space="preserve"> </w:t>
      </w:r>
      <w:proofErr w:type="spellStart"/>
      <w:r w:rsidRPr="000C7C76">
        <w:t>praksē</w:t>
      </w:r>
      <w:proofErr w:type="spellEnd"/>
      <w:r w:rsidRPr="000C7C76">
        <w:t xml:space="preserve"> </w:t>
      </w:r>
      <w:proofErr w:type="spellStart"/>
      <w:r w:rsidRPr="000C7C76">
        <w:t>tiek</w:t>
      </w:r>
      <w:proofErr w:type="spellEnd"/>
      <w:r w:rsidRPr="000C7C76">
        <w:t xml:space="preserve"> </w:t>
      </w:r>
      <w:proofErr w:type="spellStart"/>
      <w:r w:rsidRPr="000C7C76">
        <w:t>norādīts</w:t>
      </w:r>
      <w:proofErr w:type="spellEnd"/>
      <w:r w:rsidRPr="000C7C76">
        <w:t xml:space="preserve"> </w:t>
      </w:r>
      <w:proofErr w:type="spellStart"/>
      <w:r w:rsidRPr="000C7C76">
        <w:t>uz</w:t>
      </w:r>
      <w:proofErr w:type="spellEnd"/>
      <w:r w:rsidRPr="000C7C76">
        <w:t xml:space="preserve"> </w:t>
      </w:r>
      <w:proofErr w:type="spellStart"/>
      <w:r w:rsidRPr="000C7C76">
        <w:t>to</w:t>
      </w:r>
      <w:proofErr w:type="spellEnd"/>
      <w:r w:rsidRPr="000C7C76">
        <w:t xml:space="preserve">, </w:t>
      </w:r>
      <w:proofErr w:type="spellStart"/>
      <w:r w:rsidRPr="000C7C76">
        <w:t>ka</w:t>
      </w:r>
      <w:proofErr w:type="spellEnd"/>
      <w:r w:rsidRPr="000C7C76">
        <w:t xml:space="preserve"> </w:t>
      </w:r>
      <w:proofErr w:type="spellStart"/>
      <w:r w:rsidRPr="000C7C76">
        <w:t>juridiskai</w:t>
      </w:r>
      <w:proofErr w:type="spellEnd"/>
      <w:r w:rsidRPr="000C7C76">
        <w:t xml:space="preserve"> </w:t>
      </w:r>
      <w:proofErr w:type="spellStart"/>
      <w:r w:rsidRPr="000C7C76">
        <w:t>personai</w:t>
      </w:r>
      <w:proofErr w:type="spellEnd"/>
      <w:r w:rsidRPr="000C7C76">
        <w:t xml:space="preserve"> </w:t>
      </w:r>
      <w:proofErr w:type="spellStart"/>
      <w:r w:rsidRPr="000C7C76">
        <w:t>ir</w:t>
      </w:r>
      <w:proofErr w:type="spellEnd"/>
      <w:r w:rsidRPr="000C7C76">
        <w:t xml:space="preserve"> </w:t>
      </w:r>
      <w:proofErr w:type="spellStart"/>
      <w:r w:rsidRPr="000C7C76">
        <w:t>jābūt</w:t>
      </w:r>
      <w:proofErr w:type="spellEnd"/>
      <w:r w:rsidRPr="000C7C76">
        <w:t xml:space="preserve"> </w:t>
      </w:r>
      <w:proofErr w:type="spellStart"/>
      <w:r w:rsidRPr="000C7C76">
        <w:t>tiesībspējai</w:t>
      </w:r>
      <w:proofErr w:type="spellEnd"/>
      <w:r w:rsidRPr="000C7C76">
        <w:t xml:space="preserve"> </w:t>
      </w:r>
      <w:proofErr w:type="spellStart"/>
      <w:r w:rsidRPr="000C7C76">
        <w:t>un</w:t>
      </w:r>
      <w:proofErr w:type="spellEnd"/>
      <w:r w:rsidRPr="000C7C76">
        <w:t xml:space="preserve"> </w:t>
      </w:r>
      <w:proofErr w:type="spellStart"/>
      <w:r w:rsidRPr="000C7C76">
        <w:t>rīcībspējai</w:t>
      </w:r>
      <w:proofErr w:type="spellEnd"/>
      <w:r w:rsidRPr="000C7C76">
        <w:t xml:space="preserve"> </w:t>
      </w:r>
      <w:proofErr w:type="spellStart"/>
      <w:r w:rsidRPr="000C7C76">
        <w:t>gan</w:t>
      </w:r>
      <w:proofErr w:type="spellEnd"/>
      <w:r w:rsidRPr="000C7C76">
        <w:t xml:space="preserve"> </w:t>
      </w:r>
      <w:proofErr w:type="spellStart"/>
      <w:r w:rsidRPr="000C7C76">
        <w:t>saskaņā</w:t>
      </w:r>
      <w:proofErr w:type="spellEnd"/>
      <w:r w:rsidRPr="000C7C76">
        <w:t xml:space="preserve"> </w:t>
      </w:r>
      <w:proofErr w:type="spellStart"/>
      <w:r w:rsidRPr="000C7C76">
        <w:t>ar</w:t>
      </w:r>
      <w:proofErr w:type="spellEnd"/>
      <w:r w:rsidRPr="000C7C76">
        <w:t xml:space="preserve"> </w:t>
      </w:r>
      <w:proofErr w:type="spellStart"/>
      <w:r w:rsidRPr="000C7C76">
        <w:t>tās</w:t>
      </w:r>
      <w:proofErr w:type="spellEnd"/>
      <w:r w:rsidRPr="000C7C76">
        <w:t xml:space="preserve"> </w:t>
      </w:r>
      <w:proofErr w:type="spellStart"/>
      <w:r w:rsidRPr="000C7C76">
        <w:t>valsts</w:t>
      </w:r>
      <w:proofErr w:type="spellEnd"/>
      <w:r w:rsidRPr="000C7C76">
        <w:t xml:space="preserve"> </w:t>
      </w:r>
      <w:proofErr w:type="spellStart"/>
      <w:r w:rsidRPr="000C7C76">
        <w:t>likumu</w:t>
      </w:r>
      <w:proofErr w:type="spellEnd"/>
      <w:r w:rsidRPr="000C7C76">
        <w:t xml:space="preserve">, </w:t>
      </w:r>
      <w:proofErr w:type="spellStart"/>
      <w:r w:rsidRPr="000C7C76">
        <w:t>kas</w:t>
      </w:r>
      <w:proofErr w:type="spellEnd"/>
      <w:r w:rsidRPr="000C7C76">
        <w:t xml:space="preserve"> </w:t>
      </w:r>
      <w:proofErr w:type="spellStart"/>
      <w:r w:rsidRPr="000C7C76">
        <w:t>piemērojams</w:t>
      </w:r>
      <w:proofErr w:type="spellEnd"/>
      <w:r w:rsidRPr="000C7C76">
        <w:t xml:space="preserve"> </w:t>
      </w:r>
      <w:proofErr w:type="spellStart"/>
      <w:r w:rsidRPr="000C7C76">
        <w:t>galvenajam</w:t>
      </w:r>
      <w:proofErr w:type="spellEnd"/>
      <w:r w:rsidRPr="000C7C76">
        <w:t xml:space="preserve"> </w:t>
      </w:r>
      <w:proofErr w:type="spellStart"/>
      <w:r w:rsidRPr="000C7C76">
        <w:t>līgumam</w:t>
      </w:r>
      <w:proofErr w:type="spellEnd"/>
      <w:r w:rsidRPr="000C7C76">
        <w:t xml:space="preserve">, </w:t>
      </w:r>
      <w:proofErr w:type="spellStart"/>
      <w:r w:rsidRPr="000C7C76">
        <w:t>gan</w:t>
      </w:r>
      <w:proofErr w:type="spellEnd"/>
      <w:r w:rsidRPr="000C7C76">
        <w:t xml:space="preserve"> </w:t>
      </w:r>
      <w:proofErr w:type="spellStart"/>
      <w:r w:rsidRPr="000C7C76">
        <w:t>arī</w:t>
      </w:r>
      <w:proofErr w:type="spellEnd"/>
      <w:r w:rsidRPr="000C7C76">
        <w:t xml:space="preserve"> </w:t>
      </w:r>
      <w:proofErr w:type="spellStart"/>
      <w:r w:rsidRPr="000C7C76">
        <w:t>saskaņā</w:t>
      </w:r>
      <w:proofErr w:type="spellEnd"/>
      <w:r w:rsidRPr="000C7C76">
        <w:t xml:space="preserve"> </w:t>
      </w:r>
      <w:proofErr w:type="spellStart"/>
      <w:r w:rsidRPr="000C7C76">
        <w:t>ar</w:t>
      </w:r>
      <w:proofErr w:type="spellEnd"/>
      <w:r w:rsidRPr="000C7C76">
        <w:t xml:space="preserve"> </w:t>
      </w:r>
      <w:proofErr w:type="spellStart"/>
      <w:r w:rsidRPr="000C7C76">
        <w:t>juridiskas</w:t>
      </w:r>
      <w:proofErr w:type="spellEnd"/>
      <w:r w:rsidRPr="000C7C76">
        <w:t xml:space="preserve"> personas </w:t>
      </w:r>
      <w:proofErr w:type="spellStart"/>
      <w:r w:rsidRPr="000C7C76">
        <w:t>inkorporācijas</w:t>
      </w:r>
      <w:proofErr w:type="spellEnd"/>
      <w:r w:rsidRPr="000C7C76">
        <w:t xml:space="preserve"> (</w:t>
      </w:r>
      <w:proofErr w:type="spellStart"/>
      <w:r w:rsidRPr="000C7C76">
        <w:t>reģistrācijas</w:t>
      </w:r>
      <w:proofErr w:type="spellEnd"/>
      <w:r w:rsidRPr="000C7C76">
        <w:t xml:space="preserve">) </w:t>
      </w:r>
      <w:proofErr w:type="spellStart"/>
      <w:r w:rsidRPr="000C7C76">
        <w:t>vietas</w:t>
      </w:r>
      <w:proofErr w:type="spellEnd"/>
      <w:r w:rsidRPr="000C7C76">
        <w:t xml:space="preserve"> </w:t>
      </w:r>
      <w:proofErr w:type="spellStart"/>
      <w:r w:rsidRPr="000C7C76">
        <w:t>valsts</w:t>
      </w:r>
      <w:proofErr w:type="spellEnd"/>
      <w:r w:rsidRPr="000C7C76">
        <w:t xml:space="preserve"> </w:t>
      </w:r>
      <w:proofErr w:type="spellStart"/>
      <w:r w:rsidRPr="000C7C76">
        <w:t>likumu</w:t>
      </w:r>
      <w:proofErr w:type="spellEnd"/>
      <w:r w:rsidRPr="000C7C76">
        <w:t>.</w:t>
      </w:r>
      <w:r>
        <w:rPr>
          <w:rStyle w:val="FootnoteReference"/>
          <w:lang w:val="fr-FR"/>
        </w:rPr>
        <w:footnoteReference w:id="65"/>
      </w:r>
      <w:r w:rsidRPr="000C7C76">
        <w:t xml:space="preserve"> </w:t>
      </w:r>
    </w:p>
    <w:p w14:paraId="2C1FE3A8" w14:textId="77777777" w:rsidR="00114953" w:rsidRDefault="00114953" w:rsidP="00114953">
      <w:pPr>
        <w:pStyle w:val="tv213"/>
        <w:ind w:firstLine="708"/>
        <w:jc w:val="both"/>
        <w:rPr>
          <w:lang w:val="lv-LV"/>
        </w:rPr>
      </w:pPr>
      <w:r w:rsidRPr="00246F85">
        <w:rPr>
          <w:lang w:val="lv-LV"/>
        </w:rPr>
        <w:t xml:space="preserve">No Roma I Regulas darbības jomas ir izslēgti jautājumiem, ko reglamentē tiesību akti par uzņēmējsabiedrībām un citām korporatīvām vai nekorporatīvām struktūrām, piemēram, to izveide, reģistrējot vai kā citādi, </w:t>
      </w:r>
      <w:r w:rsidRPr="00246F85">
        <w:rPr>
          <w:u w:val="single"/>
          <w:lang w:val="lv-LV"/>
        </w:rPr>
        <w:t>tiesībspēja un rīcībspēja</w:t>
      </w:r>
      <w:r w:rsidRPr="00246F85">
        <w:rPr>
          <w:lang w:val="lv-LV"/>
        </w:rPr>
        <w:t>, iekšējā organizācija vai likvidācija un institūciju vai amatpersonu un dalībnieku personiskā atbildība par uzņēmējsabiedrības vai struktūras saistībām (skat. Regulas 1.p. 2.d. “f” punktu).</w:t>
      </w:r>
      <w:r>
        <w:rPr>
          <w:lang w:val="lv-LV"/>
        </w:rPr>
        <w:t xml:space="preserve"> Ar juridiskas personas tiesībspēju un rīcībspēju Roma I Regulas 1.panta otrās daļas “f” punktā ir domāta juridiskas personas spēja uzņemties tiesības un pienākumus, kā arī spēja rīkoties.</w:t>
      </w:r>
      <w:r>
        <w:rPr>
          <w:rStyle w:val="FootnoteReference"/>
          <w:lang w:val="lv-LV"/>
        </w:rPr>
        <w:footnoteReference w:id="66"/>
      </w:r>
      <w:r>
        <w:rPr>
          <w:lang w:val="lv-LV"/>
        </w:rPr>
        <w:t xml:space="preserve"> Savukārt jautājumi par to, vai institūcija vai amatpersona var radīt saistības uzņēmējsabiedrībai vai citai korporatīvai vai nekorporatīvai struktūrai, arī ir izslēgti no Regulas darbības jomas (skat. Regulas 1.p. 2.d. “g” punktu). No iepriekš minētā izriet, ka juridiskas personas tiesībspējas un rīcībspējas (angļu val. – </w:t>
      </w:r>
      <w:proofErr w:type="spellStart"/>
      <w:r w:rsidRPr="00246F85">
        <w:rPr>
          <w:i/>
          <w:lang w:val="lv-LV"/>
        </w:rPr>
        <w:t>legal</w:t>
      </w:r>
      <w:proofErr w:type="spellEnd"/>
      <w:r w:rsidRPr="00246F85">
        <w:rPr>
          <w:i/>
          <w:lang w:val="lv-LV"/>
        </w:rPr>
        <w:t xml:space="preserve"> </w:t>
      </w:r>
      <w:proofErr w:type="spellStart"/>
      <w:r w:rsidRPr="00246F85">
        <w:rPr>
          <w:i/>
          <w:lang w:val="lv-LV"/>
        </w:rPr>
        <w:t>capacity</w:t>
      </w:r>
      <w:proofErr w:type="spellEnd"/>
      <w:r>
        <w:rPr>
          <w:lang w:val="lv-LV"/>
        </w:rPr>
        <w:t xml:space="preserve">) jautājumi tiek atstāti dalībvalstu nacionālo kolīziju normu regulējumam. </w:t>
      </w:r>
    </w:p>
    <w:p w14:paraId="5E6D7C98" w14:textId="77777777" w:rsidR="00114953" w:rsidRDefault="00114953" w:rsidP="00114953">
      <w:pPr>
        <w:pStyle w:val="tv213"/>
        <w:ind w:firstLine="708"/>
        <w:jc w:val="both"/>
        <w:rPr>
          <w:lang w:val="lv-LV"/>
        </w:rPr>
      </w:pPr>
      <w:r>
        <w:rPr>
          <w:lang w:val="lv-LV"/>
        </w:rPr>
        <w:t>Eiropas valstu SPT dominē divas galvenās juridiskas personas piederības (</w:t>
      </w:r>
      <w:proofErr w:type="spellStart"/>
      <w:r w:rsidRPr="005F4839">
        <w:rPr>
          <w:i/>
          <w:lang w:val="lv-LV"/>
        </w:rPr>
        <w:t>lex</w:t>
      </w:r>
      <w:proofErr w:type="spellEnd"/>
      <w:r w:rsidRPr="005F4839">
        <w:rPr>
          <w:i/>
          <w:lang w:val="lv-LV"/>
        </w:rPr>
        <w:t xml:space="preserve"> </w:t>
      </w:r>
      <w:proofErr w:type="spellStart"/>
      <w:r w:rsidRPr="005F4839">
        <w:rPr>
          <w:i/>
          <w:lang w:val="lv-LV"/>
        </w:rPr>
        <w:t>societatis</w:t>
      </w:r>
      <w:proofErr w:type="spellEnd"/>
      <w:r>
        <w:rPr>
          <w:lang w:val="lv-LV"/>
        </w:rPr>
        <w:t>) pieejas jeb teorijas:</w:t>
      </w:r>
    </w:p>
    <w:p w14:paraId="2951C7E2" w14:textId="77777777" w:rsidR="00114953" w:rsidRDefault="00114953" w:rsidP="00114953">
      <w:pPr>
        <w:pStyle w:val="tv213"/>
        <w:jc w:val="both"/>
        <w:rPr>
          <w:lang w:val="lv-LV"/>
        </w:rPr>
      </w:pPr>
      <w:r>
        <w:rPr>
          <w:lang w:val="lv-LV"/>
        </w:rPr>
        <w:lastRenderedPageBreak/>
        <w:t xml:space="preserve">1) </w:t>
      </w:r>
      <w:r w:rsidRPr="005F4839">
        <w:rPr>
          <w:b/>
          <w:lang w:val="lv-LV"/>
        </w:rPr>
        <w:t>valdes atrašanās vietas teorija</w:t>
      </w:r>
      <w:r>
        <w:rPr>
          <w:lang w:val="lv-LV"/>
        </w:rPr>
        <w:t xml:space="preserve"> (kontinentālajā tiesību sistēmā, t.sk. Latvijā, Vācijā, Francijā). Tā nozīmē tās valsts likuma piemērošanu juridiskai personai, kuras teritorijā atrodas tās valde;</w:t>
      </w:r>
    </w:p>
    <w:p w14:paraId="416DFBD3" w14:textId="77777777" w:rsidR="00114953" w:rsidRPr="00246F85" w:rsidRDefault="00114953" w:rsidP="00114953">
      <w:pPr>
        <w:pStyle w:val="tv213"/>
        <w:jc w:val="both"/>
        <w:rPr>
          <w:lang w:val="lv-LV"/>
        </w:rPr>
      </w:pPr>
      <w:r>
        <w:rPr>
          <w:lang w:val="lv-LV"/>
        </w:rPr>
        <w:t xml:space="preserve">2) </w:t>
      </w:r>
      <w:r w:rsidRPr="005F4839">
        <w:rPr>
          <w:b/>
          <w:lang w:val="lv-LV"/>
        </w:rPr>
        <w:t>inkorporācijas teorija</w:t>
      </w:r>
      <w:r>
        <w:rPr>
          <w:lang w:val="lv-LV"/>
        </w:rPr>
        <w:t xml:space="preserve"> (</w:t>
      </w:r>
      <w:proofErr w:type="spellStart"/>
      <w:r w:rsidRPr="005F4839">
        <w:rPr>
          <w:i/>
          <w:lang w:val="lv-LV"/>
        </w:rPr>
        <w:t>Common</w:t>
      </w:r>
      <w:proofErr w:type="spellEnd"/>
      <w:r w:rsidRPr="005F4839">
        <w:rPr>
          <w:i/>
          <w:lang w:val="lv-LV"/>
        </w:rPr>
        <w:t xml:space="preserve"> </w:t>
      </w:r>
      <w:proofErr w:type="spellStart"/>
      <w:r w:rsidRPr="005F4839">
        <w:rPr>
          <w:i/>
          <w:lang w:val="lv-LV"/>
        </w:rPr>
        <w:t>Law</w:t>
      </w:r>
      <w:proofErr w:type="spellEnd"/>
      <w:r>
        <w:rPr>
          <w:lang w:val="lv-LV"/>
        </w:rPr>
        <w:t xml:space="preserve"> tiesību sistēmā). Tā nozīmē tās valsts likuma piemērošanu juridiskajai personai, kuras teritorijā tā ir reģistrēta.</w:t>
      </w:r>
    </w:p>
    <w:p w14:paraId="33629582" w14:textId="25994772" w:rsidR="00114953" w:rsidRPr="000C7C76" w:rsidRDefault="00114953" w:rsidP="00114953">
      <w:pPr>
        <w:ind w:firstLine="708"/>
        <w:jc w:val="both"/>
        <w:rPr>
          <w:rFonts w:ascii="Times New Roman" w:hAnsi="Times New Roman" w:cs="Times New Roman"/>
          <w:color w:val="323233"/>
          <w:lang w:val="lv-LV"/>
        </w:rPr>
      </w:pPr>
      <w:r w:rsidRPr="000C7C76">
        <w:rPr>
          <w:rFonts w:ascii="Times New Roman" w:hAnsi="Times New Roman" w:cs="Times New Roman"/>
          <w:lang w:val="lv-LV"/>
        </w:rPr>
        <w:t xml:space="preserve">Latvijas nacionālā kolīziju norma, kas nosaka juridiskas personas tiesībspējai un rīcībspējai piemērojamo likumu, ir CL Ievada  8.panta trešā daļa saskaņā a kuru  </w:t>
      </w:r>
      <w:r w:rsidR="00573847">
        <w:rPr>
          <w:rFonts w:ascii="Times New Roman" w:hAnsi="Times New Roman" w:cs="Times New Roman"/>
          <w:lang w:val="de-DE"/>
        </w:rPr>
        <w:t>„</w:t>
      </w:r>
      <w:proofErr w:type="spellStart"/>
      <w:r w:rsidRPr="00573847">
        <w:rPr>
          <w:rFonts w:ascii="Times New Roman" w:hAnsi="Times New Roman" w:cs="Times New Roman"/>
          <w:i/>
          <w:lang w:val="de-DE"/>
        </w:rPr>
        <w:t>Juridiskas</w:t>
      </w:r>
      <w:proofErr w:type="spellEnd"/>
      <w:r w:rsidRPr="00573847">
        <w:rPr>
          <w:rFonts w:ascii="Times New Roman" w:hAnsi="Times New Roman" w:cs="Times New Roman"/>
          <w:i/>
          <w:lang w:val="de-DE"/>
        </w:rPr>
        <w:t xml:space="preserve"> personas </w:t>
      </w:r>
      <w:proofErr w:type="spellStart"/>
      <w:r w:rsidRPr="00573847">
        <w:rPr>
          <w:rFonts w:ascii="Times New Roman" w:hAnsi="Times New Roman" w:cs="Times New Roman"/>
          <w:i/>
          <w:lang w:val="de-DE"/>
        </w:rPr>
        <w:t>tiesību</w:t>
      </w:r>
      <w:proofErr w:type="spellEnd"/>
      <w:r w:rsidRPr="00573847">
        <w:rPr>
          <w:rFonts w:ascii="Times New Roman" w:hAnsi="Times New Roman" w:cs="Times New Roman"/>
          <w:i/>
          <w:lang w:val="de-DE"/>
        </w:rPr>
        <w:t xml:space="preserve"> </w:t>
      </w:r>
      <w:proofErr w:type="spellStart"/>
      <w:r w:rsidRPr="00573847">
        <w:rPr>
          <w:rFonts w:ascii="Times New Roman" w:hAnsi="Times New Roman" w:cs="Times New Roman"/>
          <w:i/>
          <w:lang w:val="de-DE"/>
        </w:rPr>
        <w:t>un</w:t>
      </w:r>
      <w:proofErr w:type="spellEnd"/>
      <w:r w:rsidRPr="00573847">
        <w:rPr>
          <w:rFonts w:ascii="Times New Roman" w:hAnsi="Times New Roman" w:cs="Times New Roman"/>
          <w:i/>
          <w:lang w:val="de-DE"/>
        </w:rPr>
        <w:t xml:space="preserve"> </w:t>
      </w:r>
      <w:proofErr w:type="spellStart"/>
      <w:r w:rsidRPr="00573847">
        <w:rPr>
          <w:rFonts w:ascii="Times New Roman" w:hAnsi="Times New Roman" w:cs="Times New Roman"/>
          <w:i/>
          <w:lang w:val="de-DE"/>
        </w:rPr>
        <w:t>rīcības</w:t>
      </w:r>
      <w:proofErr w:type="spellEnd"/>
      <w:r w:rsidRPr="00573847">
        <w:rPr>
          <w:rFonts w:ascii="Times New Roman" w:hAnsi="Times New Roman" w:cs="Times New Roman"/>
          <w:i/>
          <w:lang w:val="de-DE"/>
        </w:rPr>
        <w:t xml:space="preserve"> </w:t>
      </w:r>
      <w:proofErr w:type="spellStart"/>
      <w:r w:rsidRPr="00573847">
        <w:rPr>
          <w:rFonts w:ascii="Times New Roman" w:hAnsi="Times New Roman" w:cs="Times New Roman"/>
          <w:i/>
          <w:lang w:val="de-DE"/>
        </w:rPr>
        <w:t>spēja</w:t>
      </w:r>
      <w:proofErr w:type="spellEnd"/>
      <w:r w:rsidRPr="00573847">
        <w:rPr>
          <w:rFonts w:ascii="Times New Roman" w:hAnsi="Times New Roman" w:cs="Times New Roman"/>
          <w:i/>
          <w:lang w:val="de-DE"/>
        </w:rPr>
        <w:t xml:space="preserve"> </w:t>
      </w:r>
      <w:proofErr w:type="spellStart"/>
      <w:r w:rsidRPr="00573847">
        <w:rPr>
          <w:rFonts w:ascii="Times New Roman" w:hAnsi="Times New Roman" w:cs="Times New Roman"/>
          <w:i/>
          <w:lang w:val="de-DE"/>
        </w:rPr>
        <w:t>nosakāma</w:t>
      </w:r>
      <w:proofErr w:type="spellEnd"/>
      <w:r w:rsidRPr="00573847">
        <w:rPr>
          <w:rFonts w:ascii="Times New Roman" w:hAnsi="Times New Roman" w:cs="Times New Roman"/>
          <w:i/>
          <w:lang w:val="de-DE"/>
        </w:rPr>
        <w:t xml:space="preserve"> </w:t>
      </w:r>
      <w:proofErr w:type="spellStart"/>
      <w:r w:rsidRPr="00573847">
        <w:rPr>
          <w:rFonts w:ascii="Times New Roman" w:hAnsi="Times New Roman" w:cs="Times New Roman"/>
          <w:i/>
          <w:lang w:val="de-DE"/>
        </w:rPr>
        <w:t>pēc</w:t>
      </w:r>
      <w:proofErr w:type="spellEnd"/>
      <w:r w:rsidRPr="00573847">
        <w:rPr>
          <w:rFonts w:ascii="Times New Roman" w:hAnsi="Times New Roman" w:cs="Times New Roman"/>
          <w:i/>
          <w:lang w:val="de-DE"/>
        </w:rPr>
        <w:t xml:space="preserve"> </w:t>
      </w:r>
      <w:proofErr w:type="spellStart"/>
      <w:r w:rsidRPr="00573847">
        <w:rPr>
          <w:rFonts w:ascii="Times New Roman" w:hAnsi="Times New Roman" w:cs="Times New Roman"/>
          <w:i/>
          <w:lang w:val="de-DE"/>
        </w:rPr>
        <w:t>viņas</w:t>
      </w:r>
      <w:proofErr w:type="spellEnd"/>
      <w:r w:rsidRPr="00573847">
        <w:rPr>
          <w:rFonts w:ascii="Times New Roman" w:hAnsi="Times New Roman" w:cs="Times New Roman"/>
          <w:i/>
          <w:lang w:val="de-DE"/>
        </w:rPr>
        <w:t xml:space="preserve"> </w:t>
      </w:r>
      <w:proofErr w:type="spellStart"/>
      <w:r w:rsidRPr="00573847">
        <w:rPr>
          <w:rFonts w:ascii="Times New Roman" w:hAnsi="Times New Roman" w:cs="Times New Roman"/>
          <w:i/>
          <w:lang w:val="de-DE"/>
        </w:rPr>
        <w:t>valdes</w:t>
      </w:r>
      <w:proofErr w:type="spellEnd"/>
      <w:r w:rsidRPr="00573847">
        <w:rPr>
          <w:rFonts w:ascii="Times New Roman" w:hAnsi="Times New Roman" w:cs="Times New Roman"/>
          <w:i/>
          <w:lang w:val="de-DE"/>
        </w:rPr>
        <w:t xml:space="preserve"> </w:t>
      </w:r>
      <w:proofErr w:type="spellStart"/>
      <w:r w:rsidRPr="00573847">
        <w:rPr>
          <w:rFonts w:ascii="Times New Roman" w:hAnsi="Times New Roman" w:cs="Times New Roman"/>
          <w:i/>
          <w:lang w:val="de-DE"/>
        </w:rPr>
        <w:t>atrašanās</w:t>
      </w:r>
      <w:proofErr w:type="spellEnd"/>
      <w:r w:rsidRPr="00573847">
        <w:rPr>
          <w:rFonts w:ascii="Times New Roman" w:hAnsi="Times New Roman" w:cs="Times New Roman"/>
          <w:i/>
          <w:lang w:val="de-DE"/>
        </w:rPr>
        <w:t xml:space="preserve"> </w:t>
      </w:r>
      <w:proofErr w:type="spellStart"/>
      <w:r w:rsidRPr="00573847">
        <w:rPr>
          <w:rFonts w:ascii="Times New Roman" w:hAnsi="Times New Roman" w:cs="Times New Roman"/>
          <w:i/>
          <w:lang w:val="de-DE"/>
        </w:rPr>
        <w:t>vietas</w:t>
      </w:r>
      <w:proofErr w:type="spellEnd"/>
      <w:r w:rsidRPr="00573847">
        <w:rPr>
          <w:rFonts w:ascii="Times New Roman" w:hAnsi="Times New Roman" w:cs="Times New Roman"/>
          <w:i/>
          <w:lang w:val="de-DE"/>
        </w:rPr>
        <w:t xml:space="preserve"> </w:t>
      </w:r>
      <w:proofErr w:type="spellStart"/>
      <w:r w:rsidRPr="00573847">
        <w:rPr>
          <w:rFonts w:ascii="Times New Roman" w:hAnsi="Times New Roman" w:cs="Times New Roman"/>
          <w:i/>
          <w:lang w:val="de-DE"/>
        </w:rPr>
        <w:t>likuma</w:t>
      </w:r>
      <w:proofErr w:type="spellEnd"/>
      <w:r w:rsidR="00573847">
        <w:rPr>
          <w:rFonts w:ascii="Times New Roman" w:hAnsi="Times New Roman" w:cs="Times New Roman"/>
          <w:i/>
          <w:lang w:val="de-DE"/>
        </w:rPr>
        <w:t>“</w:t>
      </w:r>
      <w:r w:rsidRPr="00573847">
        <w:rPr>
          <w:rFonts w:ascii="Times New Roman" w:hAnsi="Times New Roman" w:cs="Times New Roman"/>
          <w:lang w:val="de-DE"/>
        </w:rPr>
        <w:t>.</w:t>
      </w:r>
      <w:r w:rsidRPr="000C7C76">
        <w:rPr>
          <w:rFonts w:ascii="Times New Roman" w:hAnsi="Times New Roman" w:cs="Times New Roman"/>
          <w:color w:val="323233"/>
          <w:lang w:val="lv-LV"/>
        </w:rPr>
        <w:t xml:space="preserve"> Turklāt, neskarti paliek Latvijas likumu noteikumi, kas ierobežo ārzemnieku tiesību vai rīcības spēju Latvijā (CL Ievada 8.p. 4.d.). Tātad, pretstatā </w:t>
      </w:r>
      <w:proofErr w:type="spellStart"/>
      <w:r w:rsidRPr="000C7C76">
        <w:rPr>
          <w:rFonts w:ascii="Times New Roman" w:hAnsi="Times New Roman" w:cs="Times New Roman"/>
          <w:i/>
          <w:color w:val="323233"/>
          <w:lang w:val="lv-LV"/>
        </w:rPr>
        <w:t>Common</w:t>
      </w:r>
      <w:proofErr w:type="spellEnd"/>
      <w:r w:rsidRPr="000C7C76">
        <w:rPr>
          <w:rFonts w:ascii="Times New Roman" w:hAnsi="Times New Roman" w:cs="Times New Roman"/>
          <w:i/>
          <w:color w:val="323233"/>
          <w:lang w:val="lv-LV"/>
        </w:rPr>
        <w:t xml:space="preserve"> </w:t>
      </w:r>
      <w:proofErr w:type="spellStart"/>
      <w:r w:rsidRPr="000C7C76">
        <w:rPr>
          <w:rFonts w:ascii="Times New Roman" w:hAnsi="Times New Roman" w:cs="Times New Roman"/>
          <w:i/>
          <w:color w:val="323233"/>
          <w:lang w:val="lv-LV"/>
        </w:rPr>
        <w:t>Law</w:t>
      </w:r>
      <w:proofErr w:type="spellEnd"/>
      <w:r w:rsidRPr="000C7C76">
        <w:rPr>
          <w:rFonts w:ascii="Times New Roman" w:hAnsi="Times New Roman" w:cs="Times New Roman"/>
          <w:color w:val="323233"/>
          <w:lang w:val="lv-LV"/>
        </w:rPr>
        <w:t xml:space="preserve"> tiesību sistēmai, Latvijā (tāpat kā Vācijā un Francijā) dominē juridiskas personas valdes atrašanās vietas valsts likums (un nevis juridiskas personas reģistrācijas vietas valsts likums). Jāatzīmē, ka statūtos norādītā valdes atrašanās vieta (franču val. – </w:t>
      </w:r>
      <w:proofErr w:type="spellStart"/>
      <w:r w:rsidRPr="000C7C76">
        <w:rPr>
          <w:rFonts w:ascii="Times New Roman" w:hAnsi="Times New Roman" w:cs="Times New Roman"/>
          <w:i/>
          <w:color w:val="323233"/>
          <w:lang w:val="lv-LV"/>
        </w:rPr>
        <w:t>siège</w:t>
      </w:r>
      <w:proofErr w:type="spellEnd"/>
      <w:r w:rsidRPr="000C7C76">
        <w:rPr>
          <w:rFonts w:ascii="Times New Roman" w:hAnsi="Times New Roman" w:cs="Times New Roman"/>
          <w:i/>
          <w:color w:val="323233"/>
          <w:lang w:val="lv-LV"/>
        </w:rPr>
        <w:t xml:space="preserve"> </w:t>
      </w:r>
      <w:proofErr w:type="spellStart"/>
      <w:r w:rsidRPr="000C7C76">
        <w:rPr>
          <w:rFonts w:ascii="Times New Roman" w:hAnsi="Times New Roman" w:cs="Times New Roman"/>
          <w:i/>
          <w:color w:val="323233"/>
          <w:lang w:val="lv-LV"/>
        </w:rPr>
        <w:t>statutaire</w:t>
      </w:r>
      <w:proofErr w:type="spellEnd"/>
      <w:r w:rsidRPr="000C7C76">
        <w:rPr>
          <w:rFonts w:ascii="Times New Roman" w:hAnsi="Times New Roman" w:cs="Times New Roman"/>
          <w:color w:val="323233"/>
          <w:lang w:val="lv-LV"/>
        </w:rPr>
        <w:t>) bieži mēdz sakrist ar juridiskas personas reģistrācijas vietu.</w:t>
      </w:r>
      <w:r>
        <w:rPr>
          <w:rStyle w:val="FootnoteReference"/>
          <w:rFonts w:ascii="Times New Roman" w:hAnsi="Times New Roman" w:cs="Times New Roman"/>
          <w:color w:val="323233"/>
        </w:rPr>
        <w:footnoteReference w:id="67"/>
      </w:r>
      <w:r w:rsidRPr="000C7C76">
        <w:rPr>
          <w:rFonts w:ascii="Times New Roman" w:hAnsi="Times New Roman" w:cs="Times New Roman"/>
          <w:color w:val="323233"/>
          <w:lang w:val="lv-LV"/>
        </w:rPr>
        <w:t xml:space="preserve"> Taču CL Ievadā akcents ir likts uz valdes reālo atrašanās vietu (franču val. – </w:t>
      </w:r>
      <w:proofErr w:type="spellStart"/>
      <w:r w:rsidRPr="000C7C76">
        <w:rPr>
          <w:rFonts w:ascii="Times New Roman" w:hAnsi="Times New Roman" w:cs="Times New Roman"/>
          <w:i/>
          <w:color w:val="323233"/>
          <w:lang w:val="lv-LV"/>
        </w:rPr>
        <w:t>siège</w:t>
      </w:r>
      <w:proofErr w:type="spellEnd"/>
      <w:r w:rsidRPr="000C7C76">
        <w:rPr>
          <w:rFonts w:ascii="Times New Roman" w:hAnsi="Times New Roman" w:cs="Times New Roman"/>
          <w:i/>
          <w:color w:val="323233"/>
          <w:lang w:val="lv-LV"/>
        </w:rPr>
        <w:t xml:space="preserve"> </w:t>
      </w:r>
      <w:proofErr w:type="spellStart"/>
      <w:r w:rsidRPr="000C7C76">
        <w:rPr>
          <w:rFonts w:ascii="Times New Roman" w:hAnsi="Times New Roman" w:cs="Times New Roman"/>
          <w:i/>
          <w:color w:val="323233"/>
          <w:lang w:val="lv-LV"/>
        </w:rPr>
        <w:t>réel</w:t>
      </w:r>
      <w:proofErr w:type="spellEnd"/>
      <w:r w:rsidRPr="000C7C76">
        <w:rPr>
          <w:rFonts w:ascii="Times New Roman" w:hAnsi="Times New Roman" w:cs="Times New Roman"/>
          <w:color w:val="323233"/>
          <w:lang w:val="lv-LV"/>
        </w:rPr>
        <w:t>).</w:t>
      </w:r>
    </w:p>
    <w:p w14:paraId="680E7D7B" w14:textId="77777777" w:rsidR="00114953" w:rsidRPr="000C7C76" w:rsidRDefault="00114953" w:rsidP="00114953">
      <w:pPr>
        <w:jc w:val="both"/>
        <w:rPr>
          <w:rFonts w:ascii="Times New Roman" w:hAnsi="Times New Roman" w:cs="Times New Roman"/>
          <w:lang w:val="lv-LV"/>
        </w:rPr>
      </w:pPr>
    </w:p>
    <w:p w14:paraId="0EF0CF0C" w14:textId="103205E8" w:rsidR="00114953" w:rsidRPr="00033AA5" w:rsidRDefault="00114953" w:rsidP="00114953">
      <w:pPr>
        <w:ind w:firstLine="708"/>
        <w:jc w:val="both"/>
        <w:rPr>
          <w:rFonts w:ascii="Times New Roman" w:hAnsi="Times New Roman" w:cs="Arial"/>
          <w:color w:val="323233"/>
          <w:lang w:val="de-DE"/>
        </w:rPr>
      </w:pPr>
      <w:proofErr w:type="spellStart"/>
      <w:r>
        <w:rPr>
          <w:rFonts w:asciiTheme="majorBidi" w:hAnsiTheme="majorBidi" w:cstheme="majorBidi"/>
          <w:lang w:val="de-DE"/>
        </w:rPr>
        <w:t>Saskaņā</w:t>
      </w:r>
      <w:proofErr w:type="spellEnd"/>
      <w:r>
        <w:rPr>
          <w:rFonts w:asciiTheme="majorBidi" w:hAnsiTheme="majorBidi" w:cstheme="majorBidi"/>
          <w:lang w:val="de-DE"/>
        </w:rPr>
        <w:t xml:space="preserve"> </w:t>
      </w:r>
      <w:proofErr w:type="spellStart"/>
      <w:r>
        <w:rPr>
          <w:rFonts w:asciiTheme="majorBidi" w:hAnsiTheme="majorBidi" w:cstheme="majorBidi"/>
          <w:lang w:val="de-DE"/>
        </w:rPr>
        <w:t>ar</w:t>
      </w:r>
      <w:proofErr w:type="spellEnd"/>
      <w:r>
        <w:rPr>
          <w:rFonts w:asciiTheme="majorBidi" w:hAnsiTheme="majorBidi" w:cstheme="majorBidi"/>
          <w:lang w:val="de-DE"/>
        </w:rPr>
        <w:t xml:space="preserve"> </w:t>
      </w:r>
      <w:proofErr w:type="spellStart"/>
      <w:r>
        <w:rPr>
          <w:rFonts w:asciiTheme="majorBidi" w:hAnsiTheme="majorBidi" w:cstheme="majorBidi"/>
          <w:lang w:val="de-DE"/>
        </w:rPr>
        <w:t>likuma</w:t>
      </w:r>
      <w:proofErr w:type="spellEnd"/>
      <w:r>
        <w:rPr>
          <w:rFonts w:asciiTheme="majorBidi" w:hAnsiTheme="majorBidi" w:cstheme="majorBidi"/>
          <w:lang w:val="de-DE"/>
        </w:rPr>
        <w:t xml:space="preserve"> „</w:t>
      </w:r>
      <w:r w:rsidRPr="00033AA5">
        <w:rPr>
          <w:rFonts w:asciiTheme="majorBidi" w:hAnsiTheme="majorBidi" w:cstheme="majorBidi"/>
          <w:lang w:val="de-DE"/>
        </w:rPr>
        <w:t xml:space="preserve">Par Latvijas </w:t>
      </w:r>
      <w:proofErr w:type="spellStart"/>
      <w:r w:rsidRPr="00033AA5">
        <w:rPr>
          <w:rFonts w:asciiTheme="majorBidi" w:hAnsiTheme="majorBidi" w:cstheme="majorBidi"/>
          <w:lang w:val="de-DE"/>
        </w:rPr>
        <w:t>Republikas</w:t>
      </w:r>
      <w:proofErr w:type="spellEnd"/>
      <w:r w:rsidRPr="00033AA5">
        <w:rPr>
          <w:rFonts w:asciiTheme="majorBidi" w:hAnsiTheme="majorBidi" w:cstheme="majorBidi"/>
          <w:lang w:val="de-DE"/>
        </w:rPr>
        <w:t xml:space="preserve"> </w:t>
      </w:r>
      <w:proofErr w:type="spellStart"/>
      <w:r w:rsidRPr="00033AA5">
        <w:rPr>
          <w:rFonts w:asciiTheme="majorBidi" w:hAnsiTheme="majorBidi" w:cstheme="majorBidi"/>
          <w:lang w:val="de-DE"/>
        </w:rPr>
        <w:t>starptautiskajiem</w:t>
      </w:r>
      <w:proofErr w:type="spellEnd"/>
      <w:r w:rsidRPr="00033AA5">
        <w:rPr>
          <w:rFonts w:asciiTheme="majorBidi" w:hAnsiTheme="majorBidi" w:cstheme="majorBidi"/>
          <w:lang w:val="de-DE"/>
        </w:rPr>
        <w:t xml:space="preserve"> </w:t>
      </w:r>
      <w:proofErr w:type="spellStart"/>
      <w:r w:rsidRPr="00033AA5">
        <w:rPr>
          <w:rFonts w:asciiTheme="majorBidi" w:hAnsiTheme="majorBidi" w:cstheme="majorBidi"/>
          <w:lang w:val="de-DE"/>
        </w:rPr>
        <w:t>lī</w:t>
      </w:r>
      <w:r>
        <w:rPr>
          <w:rFonts w:asciiTheme="majorBidi" w:hAnsiTheme="majorBidi" w:cstheme="majorBidi"/>
          <w:lang w:val="de-DE"/>
        </w:rPr>
        <w:t>gumiem</w:t>
      </w:r>
      <w:proofErr w:type="spellEnd"/>
      <w:r>
        <w:rPr>
          <w:rFonts w:asciiTheme="majorBidi" w:hAnsiTheme="majorBidi" w:cstheme="majorBidi"/>
          <w:lang w:val="de-DE"/>
        </w:rPr>
        <w:t>“</w:t>
      </w:r>
      <w:r w:rsidRPr="00033AA5">
        <w:rPr>
          <w:rFonts w:asciiTheme="majorBidi" w:hAnsiTheme="majorBidi" w:cstheme="majorBidi"/>
          <w:lang w:val="de-DE"/>
        </w:rPr>
        <w:t xml:space="preserve"> 13.pantu: </w:t>
      </w:r>
      <w:r>
        <w:rPr>
          <w:rFonts w:asciiTheme="majorBidi" w:hAnsiTheme="majorBidi" w:cstheme="majorBidi"/>
          <w:lang w:val="de-DE"/>
        </w:rPr>
        <w:t>„</w:t>
      </w:r>
      <w:r w:rsidRPr="00033AA5">
        <w:rPr>
          <w:rFonts w:ascii="Times New Roman" w:hAnsi="Times New Roman" w:cs="Arial"/>
          <w:i/>
          <w:color w:val="323233"/>
          <w:lang w:val="de-DE"/>
        </w:rPr>
        <w:t xml:space="preserve">Ja </w:t>
      </w:r>
      <w:proofErr w:type="spellStart"/>
      <w:r w:rsidRPr="00033AA5">
        <w:rPr>
          <w:rFonts w:ascii="Times New Roman" w:hAnsi="Times New Roman" w:cs="Arial"/>
          <w:i/>
          <w:color w:val="323233"/>
          <w:lang w:val="de-DE"/>
        </w:rPr>
        <w:t>starptautiskajā</w:t>
      </w:r>
      <w:proofErr w:type="spellEnd"/>
      <w:r w:rsidRPr="00033AA5">
        <w:rPr>
          <w:rFonts w:ascii="Times New Roman" w:hAnsi="Times New Roman" w:cs="Arial"/>
          <w:i/>
          <w:color w:val="323233"/>
          <w:lang w:val="de-DE"/>
        </w:rPr>
        <w:t xml:space="preserve"> </w:t>
      </w:r>
      <w:proofErr w:type="spellStart"/>
      <w:r w:rsidRPr="00033AA5">
        <w:rPr>
          <w:rFonts w:ascii="Times New Roman" w:hAnsi="Times New Roman" w:cs="Arial"/>
          <w:i/>
          <w:color w:val="323233"/>
          <w:lang w:val="de-DE"/>
        </w:rPr>
        <w:t>līgumā</w:t>
      </w:r>
      <w:proofErr w:type="spellEnd"/>
      <w:r w:rsidRPr="00033AA5">
        <w:rPr>
          <w:rFonts w:ascii="Times New Roman" w:hAnsi="Times New Roman" w:cs="Arial"/>
          <w:i/>
          <w:color w:val="323233"/>
          <w:lang w:val="de-DE"/>
        </w:rPr>
        <w:t xml:space="preserve">, </w:t>
      </w:r>
      <w:proofErr w:type="spellStart"/>
      <w:r w:rsidRPr="00033AA5">
        <w:rPr>
          <w:rFonts w:ascii="Times New Roman" w:hAnsi="Times New Roman" w:cs="Arial"/>
          <w:i/>
          <w:color w:val="323233"/>
          <w:lang w:val="de-DE"/>
        </w:rPr>
        <w:t>kuru</w:t>
      </w:r>
      <w:proofErr w:type="spellEnd"/>
      <w:r w:rsidRPr="00033AA5">
        <w:rPr>
          <w:rFonts w:ascii="Times New Roman" w:hAnsi="Times New Roman" w:cs="Arial"/>
          <w:i/>
          <w:color w:val="323233"/>
          <w:lang w:val="de-DE"/>
        </w:rPr>
        <w:t xml:space="preserve"> Saeima </w:t>
      </w:r>
      <w:proofErr w:type="spellStart"/>
      <w:r w:rsidRPr="00033AA5">
        <w:rPr>
          <w:rFonts w:ascii="Times New Roman" w:hAnsi="Times New Roman" w:cs="Arial"/>
          <w:i/>
          <w:color w:val="323233"/>
          <w:lang w:val="de-DE"/>
        </w:rPr>
        <w:t>ir</w:t>
      </w:r>
      <w:proofErr w:type="spellEnd"/>
      <w:r w:rsidRPr="00033AA5">
        <w:rPr>
          <w:rFonts w:ascii="Times New Roman" w:hAnsi="Times New Roman" w:cs="Arial"/>
          <w:i/>
          <w:color w:val="323233"/>
          <w:lang w:val="de-DE"/>
        </w:rPr>
        <w:t xml:space="preserve"> </w:t>
      </w:r>
      <w:proofErr w:type="spellStart"/>
      <w:r w:rsidRPr="00033AA5">
        <w:rPr>
          <w:rFonts w:ascii="Times New Roman" w:hAnsi="Times New Roman" w:cs="Arial"/>
          <w:i/>
          <w:color w:val="323233"/>
          <w:lang w:val="de-DE"/>
        </w:rPr>
        <w:t>apstiprinājusi</w:t>
      </w:r>
      <w:proofErr w:type="spellEnd"/>
      <w:r w:rsidRPr="00033AA5">
        <w:rPr>
          <w:rFonts w:ascii="Times New Roman" w:hAnsi="Times New Roman" w:cs="Arial"/>
          <w:i/>
          <w:color w:val="323233"/>
          <w:lang w:val="de-DE"/>
        </w:rPr>
        <w:t xml:space="preserve">, </w:t>
      </w:r>
      <w:proofErr w:type="spellStart"/>
      <w:r w:rsidRPr="00033AA5">
        <w:rPr>
          <w:rFonts w:ascii="Times New Roman" w:hAnsi="Times New Roman" w:cs="Arial"/>
          <w:i/>
          <w:color w:val="323233"/>
          <w:lang w:val="de-DE"/>
        </w:rPr>
        <w:t>paredzēti</w:t>
      </w:r>
      <w:proofErr w:type="spellEnd"/>
      <w:r w:rsidRPr="00033AA5">
        <w:rPr>
          <w:rFonts w:ascii="Times New Roman" w:hAnsi="Times New Roman" w:cs="Arial"/>
          <w:i/>
          <w:color w:val="323233"/>
          <w:lang w:val="de-DE"/>
        </w:rPr>
        <w:t xml:space="preserve"> </w:t>
      </w:r>
      <w:proofErr w:type="spellStart"/>
      <w:r w:rsidRPr="00033AA5">
        <w:rPr>
          <w:rFonts w:ascii="Times New Roman" w:hAnsi="Times New Roman" w:cs="Arial"/>
          <w:i/>
          <w:color w:val="323233"/>
          <w:lang w:val="de-DE"/>
        </w:rPr>
        <w:t>citādi</w:t>
      </w:r>
      <w:proofErr w:type="spellEnd"/>
      <w:r w:rsidRPr="00033AA5">
        <w:rPr>
          <w:rFonts w:ascii="Times New Roman" w:hAnsi="Times New Roman" w:cs="Arial"/>
          <w:i/>
          <w:color w:val="323233"/>
          <w:lang w:val="de-DE"/>
        </w:rPr>
        <w:t xml:space="preserve"> </w:t>
      </w:r>
      <w:proofErr w:type="spellStart"/>
      <w:r w:rsidRPr="00033AA5">
        <w:rPr>
          <w:rFonts w:ascii="Times New Roman" w:hAnsi="Times New Roman" w:cs="Arial"/>
          <w:i/>
          <w:color w:val="323233"/>
          <w:lang w:val="de-DE"/>
        </w:rPr>
        <w:t>noteikumi</w:t>
      </w:r>
      <w:proofErr w:type="spellEnd"/>
      <w:r w:rsidRPr="00033AA5">
        <w:rPr>
          <w:rFonts w:ascii="Times New Roman" w:hAnsi="Times New Roman" w:cs="Arial"/>
          <w:i/>
          <w:color w:val="323233"/>
          <w:lang w:val="de-DE"/>
        </w:rPr>
        <w:t xml:space="preserve"> </w:t>
      </w:r>
      <w:proofErr w:type="spellStart"/>
      <w:r w:rsidRPr="00033AA5">
        <w:rPr>
          <w:rFonts w:ascii="Times New Roman" w:hAnsi="Times New Roman" w:cs="Arial"/>
          <w:i/>
          <w:color w:val="323233"/>
          <w:lang w:val="de-DE"/>
        </w:rPr>
        <w:t>nekā</w:t>
      </w:r>
      <w:proofErr w:type="spellEnd"/>
      <w:r w:rsidRPr="00033AA5">
        <w:rPr>
          <w:rFonts w:ascii="Times New Roman" w:hAnsi="Times New Roman" w:cs="Arial"/>
          <w:i/>
          <w:color w:val="323233"/>
          <w:lang w:val="de-DE"/>
        </w:rPr>
        <w:t xml:space="preserve"> Latvijas </w:t>
      </w:r>
      <w:proofErr w:type="spellStart"/>
      <w:r w:rsidRPr="00033AA5">
        <w:rPr>
          <w:rFonts w:ascii="Times New Roman" w:hAnsi="Times New Roman" w:cs="Arial"/>
          <w:i/>
          <w:color w:val="323233"/>
          <w:lang w:val="de-DE"/>
        </w:rPr>
        <w:t>Republikas</w:t>
      </w:r>
      <w:proofErr w:type="spellEnd"/>
      <w:r w:rsidRPr="00033AA5">
        <w:rPr>
          <w:rFonts w:ascii="Times New Roman" w:hAnsi="Times New Roman" w:cs="Arial"/>
          <w:i/>
          <w:color w:val="323233"/>
          <w:lang w:val="de-DE"/>
        </w:rPr>
        <w:t xml:space="preserve"> </w:t>
      </w:r>
      <w:proofErr w:type="spellStart"/>
      <w:r w:rsidRPr="00033AA5">
        <w:rPr>
          <w:rFonts w:ascii="Times New Roman" w:hAnsi="Times New Roman" w:cs="Arial"/>
          <w:i/>
          <w:color w:val="323233"/>
          <w:lang w:val="de-DE"/>
        </w:rPr>
        <w:t>likumdošanas</w:t>
      </w:r>
      <w:proofErr w:type="spellEnd"/>
      <w:r w:rsidRPr="00033AA5">
        <w:rPr>
          <w:rFonts w:ascii="Times New Roman" w:hAnsi="Times New Roman" w:cs="Arial"/>
          <w:i/>
          <w:color w:val="323233"/>
          <w:lang w:val="de-DE"/>
        </w:rPr>
        <w:t xml:space="preserve"> </w:t>
      </w:r>
      <w:proofErr w:type="spellStart"/>
      <w:r w:rsidRPr="00033AA5">
        <w:rPr>
          <w:rFonts w:ascii="Times New Roman" w:hAnsi="Times New Roman" w:cs="Arial"/>
          <w:i/>
          <w:color w:val="323233"/>
          <w:lang w:val="de-DE"/>
        </w:rPr>
        <w:t>aktos</w:t>
      </w:r>
      <w:proofErr w:type="spellEnd"/>
      <w:r w:rsidRPr="00033AA5">
        <w:rPr>
          <w:rFonts w:ascii="Times New Roman" w:hAnsi="Times New Roman" w:cs="Arial"/>
          <w:i/>
          <w:color w:val="323233"/>
          <w:lang w:val="de-DE"/>
        </w:rPr>
        <w:t xml:space="preserve">, </w:t>
      </w:r>
      <w:proofErr w:type="spellStart"/>
      <w:r w:rsidRPr="00033AA5">
        <w:rPr>
          <w:rFonts w:ascii="Times New Roman" w:hAnsi="Times New Roman" w:cs="Arial"/>
          <w:i/>
          <w:color w:val="323233"/>
          <w:lang w:val="de-DE"/>
        </w:rPr>
        <w:t>tiek</w:t>
      </w:r>
      <w:proofErr w:type="spellEnd"/>
      <w:r w:rsidRPr="00033AA5">
        <w:rPr>
          <w:rFonts w:ascii="Times New Roman" w:hAnsi="Times New Roman" w:cs="Arial"/>
          <w:i/>
          <w:color w:val="323233"/>
          <w:lang w:val="de-DE"/>
        </w:rPr>
        <w:t xml:space="preserve"> </w:t>
      </w:r>
      <w:proofErr w:type="spellStart"/>
      <w:r w:rsidRPr="00033AA5">
        <w:rPr>
          <w:rFonts w:ascii="Times New Roman" w:hAnsi="Times New Roman" w:cs="Arial"/>
          <w:i/>
          <w:color w:val="323233"/>
          <w:lang w:val="de-DE"/>
        </w:rPr>
        <w:t>piemēroti</w:t>
      </w:r>
      <w:proofErr w:type="spellEnd"/>
      <w:r w:rsidRPr="00033AA5">
        <w:rPr>
          <w:rFonts w:ascii="Times New Roman" w:hAnsi="Times New Roman" w:cs="Arial"/>
          <w:i/>
          <w:color w:val="323233"/>
          <w:lang w:val="de-DE"/>
        </w:rPr>
        <w:t xml:space="preserve"> </w:t>
      </w:r>
      <w:proofErr w:type="spellStart"/>
      <w:r w:rsidRPr="00033AA5">
        <w:rPr>
          <w:rFonts w:ascii="Times New Roman" w:hAnsi="Times New Roman" w:cs="Arial"/>
          <w:i/>
          <w:color w:val="323233"/>
          <w:lang w:val="de-DE"/>
        </w:rPr>
        <w:t>starptautiskā</w:t>
      </w:r>
      <w:proofErr w:type="spellEnd"/>
      <w:r w:rsidRPr="00033AA5">
        <w:rPr>
          <w:rFonts w:ascii="Times New Roman" w:hAnsi="Times New Roman" w:cs="Arial"/>
          <w:i/>
          <w:color w:val="323233"/>
          <w:lang w:val="de-DE"/>
        </w:rPr>
        <w:t xml:space="preserve"> </w:t>
      </w:r>
      <w:proofErr w:type="spellStart"/>
      <w:r w:rsidRPr="00033AA5">
        <w:rPr>
          <w:rFonts w:ascii="Times New Roman" w:hAnsi="Times New Roman" w:cs="Arial"/>
          <w:i/>
          <w:color w:val="323233"/>
          <w:lang w:val="de-DE"/>
        </w:rPr>
        <w:t>līguma</w:t>
      </w:r>
      <w:proofErr w:type="spellEnd"/>
      <w:r w:rsidRPr="00033AA5">
        <w:rPr>
          <w:rFonts w:ascii="Times New Roman" w:hAnsi="Times New Roman" w:cs="Arial"/>
          <w:i/>
          <w:color w:val="323233"/>
          <w:lang w:val="de-DE"/>
        </w:rPr>
        <w:t xml:space="preserve"> </w:t>
      </w:r>
      <w:proofErr w:type="spellStart"/>
      <w:r w:rsidRPr="00033AA5">
        <w:rPr>
          <w:rFonts w:ascii="Times New Roman" w:hAnsi="Times New Roman" w:cs="Arial"/>
          <w:i/>
          <w:color w:val="323233"/>
          <w:lang w:val="de-DE"/>
        </w:rPr>
        <w:t>noteikumi</w:t>
      </w:r>
      <w:proofErr w:type="spellEnd"/>
      <w:r>
        <w:rPr>
          <w:rFonts w:ascii="Times New Roman" w:hAnsi="Times New Roman" w:cs="Arial"/>
          <w:i/>
          <w:color w:val="323233"/>
          <w:lang w:val="de-DE"/>
        </w:rPr>
        <w:t>“</w:t>
      </w:r>
      <w:r w:rsidRPr="00033AA5">
        <w:rPr>
          <w:rFonts w:ascii="Times New Roman" w:hAnsi="Times New Roman" w:cs="Arial"/>
          <w:color w:val="323233"/>
          <w:lang w:val="de-DE"/>
        </w:rPr>
        <w:t xml:space="preserve">. </w:t>
      </w:r>
      <w:proofErr w:type="spellStart"/>
      <w:r w:rsidRPr="00033AA5">
        <w:rPr>
          <w:rFonts w:ascii="Times New Roman" w:hAnsi="Times New Roman" w:cs="Arial"/>
          <w:color w:val="323233"/>
          <w:lang w:val="de-DE"/>
        </w:rPr>
        <w:t>Kā</w:t>
      </w:r>
      <w:proofErr w:type="spellEnd"/>
      <w:r w:rsidRPr="00033AA5">
        <w:rPr>
          <w:rFonts w:ascii="Times New Roman" w:hAnsi="Times New Roman" w:cs="Arial"/>
          <w:color w:val="323233"/>
          <w:lang w:val="de-DE"/>
        </w:rPr>
        <w:t xml:space="preserve"> </w:t>
      </w:r>
      <w:proofErr w:type="spellStart"/>
      <w:r w:rsidRPr="00033AA5">
        <w:rPr>
          <w:rFonts w:ascii="Times New Roman" w:hAnsi="Times New Roman" w:cs="Arial"/>
          <w:color w:val="323233"/>
          <w:lang w:val="de-DE"/>
        </w:rPr>
        <w:t>jau</w:t>
      </w:r>
      <w:proofErr w:type="spellEnd"/>
      <w:r w:rsidRPr="00033AA5">
        <w:rPr>
          <w:rFonts w:ascii="Times New Roman" w:hAnsi="Times New Roman" w:cs="Arial"/>
          <w:color w:val="323233"/>
          <w:lang w:val="de-DE"/>
        </w:rPr>
        <w:t xml:space="preserve"> </w:t>
      </w:r>
      <w:proofErr w:type="spellStart"/>
      <w:r w:rsidRPr="00033AA5">
        <w:rPr>
          <w:rFonts w:ascii="Times New Roman" w:hAnsi="Times New Roman" w:cs="Arial"/>
          <w:color w:val="323233"/>
          <w:lang w:val="de-DE"/>
        </w:rPr>
        <w:t>iepriekš</w:t>
      </w:r>
      <w:proofErr w:type="spellEnd"/>
      <w:r w:rsidRPr="00033AA5">
        <w:rPr>
          <w:rFonts w:ascii="Times New Roman" w:hAnsi="Times New Roman" w:cs="Arial"/>
          <w:color w:val="323233"/>
          <w:lang w:val="de-DE"/>
        </w:rPr>
        <w:t xml:space="preserve"> </w:t>
      </w:r>
      <w:proofErr w:type="spellStart"/>
      <w:r w:rsidRPr="00033AA5">
        <w:rPr>
          <w:rFonts w:ascii="Times New Roman" w:hAnsi="Times New Roman" w:cs="Arial"/>
          <w:color w:val="323233"/>
          <w:lang w:val="de-DE"/>
        </w:rPr>
        <w:t>tika</w:t>
      </w:r>
      <w:proofErr w:type="spellEnd"/>
      <w:r w:rsidRPr="00033AA5">
        <w:rPr>
          <w:rFonts w:ascii="Times New Roman" w:hAnsi="Times New Roman" w:cs="Arial"/>
          <w:color w:val="323233"/>
          <w:lang w:val="de-DE"/>
        </w:rPr>
        <w:t xml:space="preserve"> </w:t>
      </w:r>
      <w:proofErr w:type="spellStart"/>
      <w:r w:rsidRPr="00033AA5">
        <w:rPr>
          <w:rFonts w:ascii="Times New Roman" w:hAnsi="Times New Roman" w:cs="Arial"/>
          <w:color w:val="323233"/>
          <w:lang w:val="de-DE"/>
        </w:rPr>
        <w:t>minēts</w:t>
      </w:r>
      <w:proofErr w:type="spellEnd"/>
      <w:r w:rsidRPr="00033AA5">
        <w:rPr>
          <w:rFonts w:ascii="Times New Roman" w:hAnsi="Times New Roman" w:cs="Arial"/>
          <w:color w:val="323233"/>
          <w:lang w:val="de-DE"/>
        </w:rPr>
        <w:t xml:space="preserve">, Roma I Regula </w:t>
      </w:r>
      <w:proofErr w:type="spellStart"/>
      <w:r w:rsidRPr="00033AA5">
        <w:rPr>
          <w:rFonts w:ascii="Times New Roman" w:hAnsi="Times New Roman" w:cs="Arial"/>
          <w:color w:val="323233"/>
          <w:lang w:val="de-DE"/>
        </w:rPr>
        <w:t>nav</w:t>
      </w:r>
      <w:proofErr w:type="spellEnd"/>
      <w:r w:rsidRPr="00033AA5">
        <w:rPr>
          <w:rFonts w:ascii="Times New Roman" w:hAnsi="Times New Roman" w:cs="Arial"/>
          <w:color w:val="323233"/>
          <w:lang w:val="de-DE"/>
        </w:rPr>
        <w:t xml:space="preserve"> </w:t>
      </w:r>
      <w:proofErr w:type="spellStart"/>
      <w:r w:rsidRPr="00033AA5">
        <w:rPr>
          <w:rFonts w:ascii="Times New Roman" w:hAnsi="Times New Roman" w:cs="Arial"/>
          <w:color w:val="323233"/>
          <w:lang w:val="de-DE"/>
        </w:rPr>
        <w:t>piemēroja</w:t>
      </w:r>
      <w:r>
        <w:rPr>
          <w:rFonts w:ascii="Times New Roman" w:hAnsi="Times New Roman" w:cs="Arial"/>
          <w:color w:val="323233"/>
          <w:lang w:val="de-DE"/>
        </w:rPr>
        <w:t>ma</w:t>
      </w:r>
      <w:proofErr w:type="spellEnd"/>
      <w:r>
        <w:rPr>
          <w:rFonts w:ascii="Times New Roman" w:hAnsi="Times New Roman" w:cs="Arial"/>
          <w:color w:val="323233"/>
          <w:lang w:val="de-DE"/>
        </w:rPr>
        <w:t xml:space="preserve"> ne </w:t>
      </w:r>
      <w:proofErr w:type="spellStart"/>
      <w:r>
        <w:rPr>
          <w:rFonts w:ascii="Times New Roman" w:hAnsi="Times New Roman" w:cs="Arial"/>
          <w:color w:val="323233"/>
          <w:lang w:val="de-DE"/>
        </w:rPr>
        <w:t>pilnvaras</w:t>
      </w:r>
      <w:proofErr w:type="spellEnd"/>
      <w:r w:rsidRPr="00033AA5">
        <w:rPr>
          <w:rFonts w:ascii="Times New Roman" w:hAnsi="Times New Roman" w:cs="Arial"/>
          <w:color w:val="323233"/>
          <w:lang w:val="de-DE"/>
        </w:rPr>
        <w:t xml:space="preserve"> </w:t>
      </w:r>
      <w:proofErr w:type="spellStart"/>
      <w:r w:rsidRPr="00033AA5">
        <w:rPr>
          <w:rFonts w:ascii="Times New Roman" w:hAnsi="Times New Roman" w:cs="Arial"/>
          <w:color w:val="323233"/>
          <w:lang w:val="de-DE"/>
        </w:rPr>
        <w:t>statūtam</w:t>
      </w:r>
      <w:proofErr w:type="spellEnd"/>
      <w:r w:rsidRPr="00033AA5">
        <w:rPr>
          <w:rFonts w:ascii="Times New Roman" w:hAnsi="Times New Roman" w:cs="Arial"/>
          <w:color w:val="323233"/>
          <w:lang w:val="de-DE"/>
        </w:rPr>
        <w:t xml:space="preserve">, </w:t>
      </w:r>
      <w:proofErr w:type="spellStart"/>
      <w:r w:rsidRPr="00033AA5">
        <w:rPr>
          <w:rFonts w:ascii="Times New Roman" w:hAnsi="Times New Roman" w:cs="Arial"/>
          <w:color w:val="323233"/>
          <w:lang w:val="de-DE"/>
        </w:rPr>
        <w:t>nedz</w:t>
      </w:r>
      <w:proofErr w:type="spellEnd"/>
      <w:r w:rsidRPr="00033AA5">
        <w:rPr>
          <w:rFonts w:ascii="Times New Roman" w:hAnsi="Times New Roman" w:cs="Arial"/>
          <w:color w:val="323233"/>
          <w:lang w:val="de-DE"/>
        </w:rPr>
        <w:t xml:space="preserve"> </w:t>
      </w:r>
      <w:proofErr w:type="spellStart"/>
      <w:r w:rsidRPr="00033AA5">
        <w:rPr>
          <w:rFonts w:ascii="Times New Roman" w:hAnsi="Times New Roman" w:cs="Arial"/>
          <w:color w:val="323233"/>
          <w:lang w:val="de-DE"/>
        </w:rPr>
        <w:t>arī</w:t>
      </w:r>
      <w:proofErr w:type="spellEnd"/>
      <w:r w:rsidRPr="00033AA5">
        <w:rPr>
          <w:rFonts w:ascii="Times New Roman" w:hAnsi="Times New Roman" w:cs="Arial"/>
          <w:color w:val="323233"/>
          <w:lang w:val="de-DE"/>
        </w:rPr>
        <w:t xml:space="preserve"> </w:t>
      </w:r>
      <w:proofErr w:type="spellStart"/>
      <w:r w:rsidRPr="00033AA5">
        <w:rPr>
          <w:rFonts w:ascii="Times New Roman" w:hAnsi="Times New Roman" w:cs="Arial"/>
          <w:color w:val="323233"/>
          <w:lang w:val="de-DE"/>
        </w:rPr>
        <w:t>juridiskas</w:t>
      </w:r>
      <w:proofErr w:type="spellEnd"/>
      <w:r w:rsidRPr="00033AA5">
        <w:rPr>
          <w:rFonts w:ascii="Times New Roman" w:hAnsi="Times New Roman" w:cs="Arial"/>
          <w:color w:val="323233"/>
          <w:lang w:val="de-DE"/>
        </w:rPr>
        <w:t xml:space="preserve"> personas </w:t>
      </w:r>
      <w:proofErr w:type="spellStart"/>
      <w:r w:rsidRPr="00033AA5">
        <w:rPr>
          <w:rFonts w:ascii="Times New Roman" w:hAnsi="Times New Roman" w:cs="Arial"/>
          <w:color w:val="323233"/>
          <w:lang w:val="de-DE"/>
        </w:rPr>
        <w:t>tiesībspējai</w:t>
      </w:r>
      <w:proofErr w:type="spellEnd"/>
      <w:r w:rsidRPr="00033AA5">
        <w:rPr>
          <w:rFonts w:ascii="Times New Roman" w:hAnsi="Times New Roman" w:cs="Arial"/>
          <w:color w:val="323233"/>
          <w:lang w:val="de-DE"/>
        </w:rPr>
        <w:t xml:space="preserve"> </w:t>
      </w:r>
      <w:proofErr w:type="spellStart"/>
      <w:r w:rsidRPr="00033AA5">
        <w:rPr>
          <w:rFonts w:ascii="Times New Roman" w:hAnsi="Times New Roman" w:cs="Arial"/>
          <w:color w:val="323233"/>
          <w:lang w:val="de-DE"/>
        </w:rPr>
        <w:t>un</w:t>
      </w:r>
      <w:proofErr w:type="spellEnd"/>
      <w:r w:rsidRPr="00033AA5">
        <w:rPr>
          <w:rFonts w:ascii="Times New Roman" w:hAnsi="Times New Roman" w:cs="Arial"/>
          <w:color w:val="323233"/>
          <w:lang w:val="de-DE"/>
        </w:rPr>
        <w:t xml:space="preserve"> </w:t>
      </w:r>
      <w:proofErr w:type="spellStart"/>
      <w:r w:rsidRPr="00033AA5">
        <w:rPr>
          <w:rFonts w:ascii="Times New Roman" w:hAnsi="Times New Roman" w:cs="Arial"/>
          <w:color w:val="323233"/>
          <w:lang w:val="de-DE"/>
        </w:rPr>
        <w:t>rīcībsp</w:t>
      </w:r>
      <w:r w:rsidR="00CD4311">
        <w:rPr>
          <w:rFonts w:ascii="Times New Roman" w:hAnsi="Times New Roman" w:cs="Arial"/>
          <w:color w:val="323233"/>
          <w:lang w:val="de-DE"/>
        </w:rPr>
        <w:t>ējai</w:t>
      </w:r>
      <w:proofErr w:type="spellEnd"/>
      <w:r w:rsidR="00CD4311">
        <w:rPr>
          <w:rFonts w:ascii="Times New Roman" w:hAnsi="Times New Roman" w:cs="Arial"/>
          <w:color w:val="323233"/>
          <w:lang w:val="de-DE"/>
        </w:rPr>
        <w:t xml:space="preserve"> (</w:t>
      </w:r>
      <w:proofErr w:type="spellStart"/>
      <w:r w:rsidR="00CD4311">
        <w:rPr>
          <w:rFonts w:ascii="Times New Roman" w:hAnsi="Times New Roman" w:cs="Arial"/>
          <w:color w:val="323233"/>
          <w:lang w:val="de-DE"/>
        </w:rPr>
        <w:t>skat</w:t>
      </w:r>
      <w:proofErr w:type="spellEnd"/>
      <w:r w:rsidR="00CD4311">
        <w:rPr>
          <w:rFonts w:ascii="Times New Roman" w:hAnsi="Times New Roman" w:cs="Arial"/>
          <w:color w:val="323233"/>
          <w:lang w:val="de-DE"/>
        </w:rPr>
        <w:t>. Regulas 1.p. 2.d. „f“</w:t>
      </w:r>
      <w:r w:rsidRPr="00033AA5">
        <w:rPr>
          <w:rFonts w:ascii="Times New Roman" w:hAnsi="Times New Roman" w:cs="Arial"/>
          <w:color w:val="323233"/>
          <w:lang w:val="de-DE"/>
        </w:rPr>
        <w:t xml:space="preserve"> </w:t>
      </w:r>
      <w:proofErr w:type="spellStart"/>
      <w:r w:rsidRPr="00033AA5">
        <w:rPr>
          <w:rFonts w:ascii="Times New Roman" w:hAnsi="Times New Roman" w:cs="Arial"/>
          <w:color w:val="323233"/>
          <w:lang w:val="de-DE"/>
        </w:rPr>
        <w:t>punktu</w:t>
      </w:r>
      <w:proofErr w:type="spellEnd"/>
      <w:r w:rsidRPr="00033AA5">
        <w:rPr>
          <w:rFonts w:ascii="Times New Roman" w:hAnsi="Times New Roman" w:cs="Arial"/>
          <w:color w:val="323233"/>
          <w:lang w:val="de-DE"/>
        </w:rPr>
        <w:t xml:space="preserve">), </w:t>
      </w:r>
      <w:proofErr w:type="spellStart"/>
      <w:r w:rsidRPr="00033AA5">
        <w:rPr>
          <w:rFonts w:ascii="Times New Roman" w:hAnsi="Times New Roman" w:cs="Arial"/>
          <w:color w:val="323233"/>
          <w:lang w:val="de-DE"/>
        </w:rPr>
        <w:t>tādēļ</w:t>
      </w:r>
      <w:proofErr w:type="spellEnd"/>
      <w:r w:rsidRPr="00033AA5">
        <w:rPr>
          <w:rFonts w:ascii="Times New Roman" w:hAnsi="Times New Roman" w:cs="Arial"/>
          <w:color w:val="323233"/>
          <w:lang w:val="de-DE"/>
        </w:rPr>
        <w:t xml:space="preserve"> Latvijas </w:t>
      </w:r>
      <w:proofErr w:type="spellStart"/>
      <w:r w:rsidRPr="00033AA5">
        <w:rPr>
          <w:rFonts w:ascii="Times New Roman" w:hAnsi="Times New Roman" w:cs="Arial"/>
          <w:color w:val="323233"/>
          <w:lang w:val="de-DE"/>
        </w:rPr>
        <w:t>attiecībās</w:t>
      </w:r>
      <w:proofErr w:type="spellEnd"/>
      <w:r w:rsidRPr="00033AA5">
        <w:rPr>
          <w:rFonts w:ascii="Times New Roman" w:hAnsi="Times New Roman" w:cs="Arial"/>
          <w:color w:val="323233"/>
          <w:lang w:val="de-DE"/>
        </w:rPr>
        <w:t xml:space="preserve"> </w:t>
      </w:r>
      <w:proofErr w:type="spellStart"/>
      <w:r w:rsidRPr="00033AA5">
        <w:rPr>
          <w:rFonts w:ascii="Times New Roman" w:hAnsi="Times New Roman" w:cs="Arial"/>
          <w:color w:val="323233"/>
          <w:lang w:val="de-DE"/>
        </w:rPr>
        <w:t>ar</w:t>
      </w:r>
      <w:proofErr w:type="spellEnd"/>
      <w:r w:rsidRPr="00033AA5">
        <w:rPr>
          <w:rFonts w:ascii="Times New Roman" w:hAnsi="Times New Roman" w:cs="Arial"/>
          <w:color w:val="323233"/>
          <w:lang w:val="de-DE"/>
        </w:rPr>
        <w:t xml:space="preserve"> </w:t>
      </w:r>
      <w:proofErr w:type="spellStart"/>
      <w:r w:rsidRPr="00033AA5">
        <w:rPr>
          <w:rFonts w:ascii="Times New Roman" w:hAnsi="Times New Roman" w:cs="Arial"/>
          <w:color w:val="323233"/>
          <w:lang w:val="de-DE"/>
        </w:rPr>
        <w:t>valstīm</w:t>
      </w:r>
      <w:proofErr w:type="spellEnd"/>
      <w:r w:rsidRPr="00033AA5">
        <w:rPr>
          <w:rFonts w:ascii="Times New Roman" w:hAnsi="Times New Roman" w:cs="Arial"/>
          <w:color w:val="323233"/>
          <w:lang w:val="de-DE"/>
        </w:rPr>
        <w:t xml:space="preserve">, </w:t>
      </w:r>
      <w:proofErr w:type="spellStart"/>
      <w:r w:rsidRPr="00033AA5">
        <w:rPr>
          <w:rFonts w:ascii="Times New Roman" w:hAnsi="Times New Roman" w:cs="Arial"/>
          <w:color w:val="323233"/>
          <w:lang w:val="de-DE"/>
        </w:rPr>
        <w:t>ar</w:t>
      </w:r>
      <w:proofErr w:type="spellEnd"/>
      <w:r w:rsidRPr="00033AA5">
        <w:rPr>
          <w:rFonts w:ascii="Times New Roman" w:hAnsi="Times New Roman" w:cs="Arial"/>
          <w:color w:val="323233"/>
          <w:lang w:val="de-DE"/>
        </w:rPr>
        <w:t xml:space="preserve"> </w:t>
      </w:r>
      <w:proofErr w:type="spellStart"/>
      <w:r w:rsidRPr="00033AA5">
        <w:rPr>
          <w:rFonts w:ascii="Times New Roman" w:hAnsi="Times New Roman" w:cs="Arial"/>
          <w:color w:val="323233"/>
          <w:lang w:val="de-DE"/>
        </w:rPr>
        <w:t>kurām</w:t>
      </w:r>
      <w:proofErr w:type="spellEnd"/>
      <w:r w:rsidRPr="00033AA5">
        <w:rPr>
          <w:rFonts w:ascii="Times New Roman" w:hAnsi="Times New Roman" w:cs="Arial"/>
          <w:color w:val="323233"/>
          <w:lang w:val="de-DE"/>
        </w:rPr>
        <w:t xml:space="preserve"> </w:t>
      </w:r>
      <w:proofErr w:type="spellStart"/>
      <w:r w:rsidRPr="00033AA5">
        <w:rPr>
          <w:rFonts w:ascii="Times New Roman" w:hAnsi="Times New Roman" w:cs="Arial"/>
          <w:color w:val="323233"/>
          <w:lang w:val="de-DE"/>
        </w:rPr>
        <w:t>ir</w:t>
      </w:r>
      <w:proofErr w:type="spellEnd"/>
      <w:r w:rsidRPr="00033AA5">
        <w:rPr>
          <w:rFonts w:ascii="Times New Roman" w:hAnsi="Times New Roman" w:cs="Arial"/>
          <w:color w:val="323233"/>
          <w:lang w:val="de-DE"/>
        </w:rPr>
        <w:t xml:space="preserve"> </w:t>
      </w:r>
      <w:proofErr w:type="spellStart"/>
      <w:r w:rsidRPr="00033AA5">
        <w:rPr>
          <w:rFonts w:ascii="Times New Roman" w:hAnsi="Times New Roman" w:cs="Arial"/>
          <w:color w:val="323233"/>
          <w:lang w:val="de-DE"/>
        </w:rPr>
        <w:t>noslēgti</w:t>
      </w:r>
      <w:proofErr w:type="spellEnd"/>
      <w:r w:rsidRPr="00033AA5">
        <w:rPr>
          <w:rFonts w:ascii="Times New Roman" w:hAnsi="Times New Roman" w:cs="Arial"/>
          <w:color w:val="323233"/>
          <w:lang w:val="de-DE"/>
        </w:rPr>
        <w:t xml:space="preserve"> </w:t>
      </w:r>
      <w:proofErr w:type="spellStart"/>
      <w:r w:rsidRPr="00033AA5">
        <w:rPr>
          <w:rFonts w:ascii="Times New Roman" w:hAnsi="Times New Roman" w:cs="Arial"/>
          <w:color w:val="323233"/>
          <w:lang w:val="de-DE"/>
        </w:rPr>
        <w:t>tiesiskās</w:t>
      </w:r>
      <w:proofErr w:type="spellEnd"/>
      <w:r w:rsidRPr="00033AA5">
        <w:rPr>
          <w:rFonts w:ascii="Times New Roman" w:hAnsi="Times New Roman" w:cs="Arial"/>
          <w:color w:val="323233"/>
          <w:lang w:val="de-DE"/>
        </w:rPr>
        <w:t xml:space="preserve"> </w:t>
      </w:r>
      <w:proofErr w:type="spellStart"/>
      <w:r w:rsidRPr="00033AA5">
        <w:rPr>
          <w:rFonts w:ascii="Times New Roman" w:hAnsi="Times New Roman" w:cs="Arial"/>
          <w:color w:val="323233"/>
          <w:lang w:val="de-DE"/>
        </w:rPr>
        <w:t>palīdzības</w:t>
      </w:r>
      <w:proofErr w:type="spellEnd"/>
      <w:r w:rsidRPr="00033AA5">
        <w:rPr>
          <w:rFonts w:ascii="Times New Roman" w:hAnsi="Times New Roman" w:cs="Arial"/>
          <w:color w:val="323233"/>
          <w:lang w:val="de-DE"/>
        </w:rPr>
        <w:t xml:space="preserve"> </w:t>
      </w:r>
      <w:proofErr w:type="spellStart"/>
      <w:r w:rsidRPr="00033AA5">
        <w:rPr>
          <w:rFonts w:ascii="Times New Roman" w:hAnsi="Times New Roman" w:cs="Arial"/>
          <w:color w:val="323233"/>
          <w:lang w:val="de-DE"/>
        </w:rPr>
        <w:t>līgumi</w:t>
      </w:r>
      <w:proofErr w:type="spellEnd"/>
      <w:r w:rsidRPr="00033AA5">
        <w:rPr>
          <w:rFonts w:ascii="Times New Roman" w:hAnsi="Times New Roman" w:cs="Arial"/>
          <w:color w:val="323233"/>
          <w:lang w:val="de-DE"/>
        </w:rPr>
        <w:t xml:space="preserve">, </w:t>
      </w:r>
      <w:proofErr w:type="spellStart"/>
      <w:r w:rsidRPr="00033AA5">
        <w:rPr>
          <w:rFonts w:ascii="Times New Roman" w:hAnsi="Times New Roman" w:cs="Arial"/>
          <w:color w:val="323233"/>
          <w:lang w:val="de-DE"/>
        </w:rPr>
        <w:t>juridiskas</w:t>
      </w:r>
      <w:proofErr w:type="spellEnd"/>
      <w:r w:rsidRPr="00033AA5">
        <w:rPr>
          <w:rFonts w:ascii="Times New Roman" w:hAnsi="Times New Roman" w:cs="Arial"/>
          <w:color w:val="323233"/>
          <w:lang w:val="de-DE"/>
        </w:rPr>
        <w:t xml:space="preserve"> personas </w:t>
      </w:r>
      <w:proofErr w:type="spellStart"/>
      <w:r w:rsidRPr="00033AA5">
        <w:rPr>
          <w:rFonts w:ascii="Times New Roman" w:hAnsi="Times New Roman" w:cs="Arial"/>
          <w:color w:val="323233"/>
          <w:lang w:val="de-DE"/>
        </w:rPr>
        <w:t>tiesībspējas</w:t>
      </w:r>
      <w:proofErr w:type="spellEnd"/>
      <w:r w:rsidRPr="00033AA5">
        <w:rPr>
          <w:rFonts w:ascii="Times New Roman" w:hAnsi="Times New Roman" w:cs="Arial"/>
          <w:color w:val="323233"/>
          <w:lang w:val="de-DE"/>
        </w:rPr>
        <w:t xml:space="preserve"> </w:t>
      </w:r>
      <w:proofErr w:type="spellStart"/>
      <w:r w:rsidRPr="00033AA5">
        <w:rPr>
          <w:rFonts w:ascii="Times New Roman" w:hAnsi="Times New Roman" w:cs="Arial"/>
          <w:color w:val="323233"/>
          <w:lang w:val="de-DE"/>
        </w:rPr>
        <w:t>un</w:t>
      </w:r>
      <w:proofErr w:type="spellEnd"/>
      <w:r w:rsidRPr="00033AA5">
        <w:rPr>
          <w:rFonts w:ascii="Times New Roman" w:hAnsi="Times New Roman" w:cs="Arial"/>
          <w:color w:val="323233"/>
          <w:lang w:val="de-DE"/>
        </w:rPr>
        <w:t xml:space="preserve"> </w:t>
      </w:r>
      <w:proofErr w:type="spellStart"/>
      <w:r w:rsidRPr="00033AA5">
        <w:rPr>
          <w:rFonts w:ascii="Times New Roman" w:hAnsi="Times New Roman" w:cs="Arial"/>
          <w:color w:val="323233"/>
          <w:lang w:val="de-DE"/>
        </w:rPr>
        <w:t>rīcībspējas</w:t>
      </w:r>
      <w:proofErr w:type="spellEnd"/>
      <w:r w:rsidRPr="00033AA5">
        <w:rPr>
          <w:rFonts w:ascii="Times New Roman" w:hAnsi="Times New Roman" w:cs="Arial"/>
          <w:color w:val="323233"/>
          <w:lang w:val="de-DE"/>
        </w:rPr>
        <w:t xml:space="preserve"> </w:t>
      </w:r>
      <w:proofErr w:type="spellStart"/>
      <w:r w:rsidRPr="00033AA5">
        <w:rPr>
          <w:rFonts w:ascii="Times New Roman" w:hAnsi="Times New Roman" w:cs="Arial"/>
          <w:color w:val="323233"/>
          <w:lang w:val="de-DE"/>
        </w:rPr>
        <w:t>noteikšanai</w:t>
      </w:r>
      <w:proofErr w:type="spellEnd"/>
      <w:r w:rsidRPr="00033AA5">
        <w:rPr>
          <w:rFonts w:ascii="Times New Roman" w:hAnsi="Times New Roman" w:cs="Arial"/>
          <w:color w:val="323233"/>
          <w:lang w:val="de-DE"/>
        </w:rPr>
        <w:t xml:space="preserve"> </w:t>
      </w:r>
      <w:proofErr w:type="spellStart"/>
      <w:r w:rsidRPr="00033AA5">
        <w:rPr>
          <w:rFonts w:ascii="Times New Roman" w:hAnsi="Times New Roman" w:cs="Arial"/>
          <w:color w:val="323233"/>
          <w:lang w:val="de-DE"/>
        </w:rPr>
        <w:t>būs</w:t>
      </w:r>
      <w:proofErr w:type="spellEnd"/>
      <w:r w:rsidRPr="00033AA5">
        <w:rPr>
          <w:rFonts w:ascii="Times New Roman" w:hAnsi="Times New Roman" w:cs="Arial"/>
          <w:color w:val="323233"/>
          <w:lang w:val="de-DE"/>
        </w:rPr>
        <w:t xml:space="preserve"> </w:t>
      </w:r>
      <w:proofErr w:type="spellStart"/>
      <w:r w:rsidRPr="00033AA5">
        <w:rPr>
          <w:rFonts w:ascii="Times New Roman" w:hAnsi="Times New Roman" w:cs="Arial"/>
          <w:color w:val="323233"/>
          <w:lang w:val="de-DE"/>
        </w:rPr>
        <w:t>piemērojama</w:t>
      </w:r>
      <w:proofErr w:type="spellEnd"/>
      <w:r w:rsidRPr="00033AA5">
        <w:rPr>
          <w:rFonts w:ascii="Times New Roman" w:hAnsi="Times New Roman" w:cs="Arial"/>
          <w:color w:val="323233"/>
          <w:lang w:val="de-DE"/>
        </w:rPr>
        <w:t xml:space="preserve"> </w:t>
      </w:r>
      <w:proofErr w:type="spellStart"/>
      <w:r w:rsidRPr="00033AA5">
        <w:rPr>
          <w:rFonts w:ascii="Times New Roman" w:hAnsi="Times New Roman" w:cs="Arial"/>
          <w:color w:val="323233"/>
          <w:lang w:val="de-DE"/>
        </w:rPr>
        <w:t>nevis</w:t>
      </w:r>
      <w:proofErr w:type="spellEnd"/>
      <w:r w:rsidRPr="00033AA5">
        <w:rPr>
          <w:rFonts w:ascii="Times New Roman" w:hAnsi="Times New Roman" w:cs="Arial"/>
          <w:color w:val="323233"/>
          <w:lang w:val="de-DE"/>
        </w:rPr>
        <w:t xml:space="preserve"> CL </w:t>
      </w:r>
      <w:proofErr w:type="spellStart"/>
      <w:r>
        <w:rPr>
          <w:rFonts w:ascii="Times New Roman" w:hAnsi="Times New Roman" w:cs="Arial"/>
          <w:color w:val="323233"/>
          <w:lang w:val="de-DE"/>
        </w:rPr>
        <w:t>Ievada</w:t>
      </w:r>
      <w:proofErr w:type="spellEnd"/>
      <w:r>
        <w:rPr>
          <w:rFonts w:ascii="Times New Roman" w:hAnsi="Times New Roman" w:cs="Arial"/>
          <w:color w:val="323233"/>
          <w:lang w:val="de-DE"/>
        </w:rPr>
        <w:t xml:space="preserve"> </w:t>
      </w:r>
      <w:r w:rsidRPr="00033AA5">
        <w:rPr>
          <w:rFonts w:ascii="Times New Roman" w:hAnsi="Times New Roman" w:cs="Arial"/>
          <w:color w:val="323233"/>
          <w:lang w:val="de-DE"/>
        </w:rPr>
        <w:t xml:space="preserve">8.panta </w:t>
      </w:r>
      <w:proofErr w:type="spellStart"/>
      <w:r w:rsidRPr="00033AA5">
        <w:rPr>
          <w:rFonts w:ascii="Times New Roman" w:hAnsi="Times New Roman" w:cs="Arial"/>
          <w:color w:val="323233"/>
          <w:lang w:val="de-DE"/>
        </w:rPr>
        <w:t>trešā</w:t>
      </w:r>
      <w:proofErr w:type="spellEnd"/>
      <w:r w:rsidRPr="00033AA5">
        <w:rPr>
          <w:rFonts w:ascii="Times New Roman" w:hAnsi="Times New Roman" w:cs="Arial"/>
          <w:color w:val="323233"/>
          <w:lang w:val="de-DE"/>
        </w:rPr>
        <w:t xml:space="preserve"> </w:t>
      </w:r>
      <w:proofErr w:type="spellStart"/>
      <w:r w:rsidRPr="00033AA5">
        <w:rPr>
          <w:rFonts w:ascii="Times New Roman" w:hAnsi="Times New Roman" w:cs="Arial"/>
          <w:color w:val="323233"/>
          <w:lang w:val="de-DE"/>
        </w:rPr>
        <w:t>daļa</w:t>
      </w:r>
      <w:proofErr w:type="spellEnd"/>
      <w:r w:rsidRPr="00033AA5">
        <w:rPr>
          <w:rFonts w:ascii="Times New Roman" w:hAnsi="Times New Roman" w:cs="Arial"/>
          <w:color w:val="323233"/>
          <w:lang w:val="de-DE"/>
        </w:rPr>
        <w:t xml:space="preserve">, </w:t>
      </w:r>
      <w:proofErr w:type="spellStart"/>
      <w:r w:rsidRPr="00033AA5">
        <w:rPr>
          <w:rFonts w:ascii="Times New Roman" w:hAnsi="Times New Roman" w:cs="Arial"/>
          <w:color w:val="323233"/>
          <w:lang w:val="de-DE"/>
        </w:rPr>
        <w:t>bet</w:t>
      </w:r>
      <w:proofErr w:type="spellEnd"/>
      <w:r w:rsidRPr="00033AA5">
        <w:rPr>
          <w:rFonts w:ascii="Times New Roman" w:hAnsi="Times New Roman" w:cs="Arial"/>
          <w:color w:val="323233"/>
          <w:lang w:val="de-DE"/>
        </w:rPr>
        <w:t xml:space="preserve"> </w:t>
      </w:r>
      <w:proofErr w:type="spellStart"/>
      <w:r w:rsidRPr="00033AA5">
        <w:rPr>
          <w:rFonts w:ascii="Times New Roman" w:hAnsi="Times New Roman" w:cs="Arial"/>
          <w:color w:val="323233"/>
          <w:lang w:val="de-DE"/>
        </w:rPr>
        <w:t>gan</w:t>
      </w:r>
      <w:proofErr w:type="spellEnd"/>
      <w:r w:rsidRPr="00033AA5">
        <w:rPr>
          <w:rFonts w:ascii="Times New Roman" w:hAnsi="Times New Roman" w:cs="Arial"/>
          <w:color w:val="323233"/>
          <w:lang w:val="de-DE"/>
        </w:rPr>
        <w:t xml:space="preserve"> </w:t>
      </w:r>
      <w:proofErr w:type="spellStart"/>
      <w:r w:rsidRPr="00033AA5">
        <w:rPr>
          <w:rFonts w:ascii="Times New Roman" w:hAnsi="Times New Roman" w:cs="Arial"/>
          <w:color w:val="323233"/>
          <w:lang w:val="de-DE"/>
        </w:rPr>
        <w:t>attiecīgā</w:t>
      </w:r>
      <w:proofErr w:type="spellEnd"/>
      <w:r w:rsidRPr="00033AA5">
        <w:rPr>
          <w:rFonts w:ascii="Times New Roman" w:hAnsi="Times New Roman" w:cs="Arial"/>
          <w:color w:val="323233"/>
          <w:lang w:val="de-DE"/>
        </w:rPr>
        <w:t xml:space="preserve"> </w:t>
      </w:r>
      <w:proofErr w:type="spellStart"/>
      <w:r w:rsidRPr="00033AA5">
        <w:rPr>
          <w:rFonts w:ascii="Times New Roman" w:hAnsi="Times New Roman" w:cs="Arial"/>
          <w:color w:val="323233"/>
          <w:lang w:val="de-DE"/>
        </w:rPr>
        <w:t>starptautiskā</w:t>
      </w:r>
      <w:proofErr w:type="spellEnd"/>
      <w:r w:rsidRPr="00033AA5">
        <w:rPr>
          <w:rFonts w:ascii="Times New Roman" w:hAnsi="Times New Roman" w:cs="Arial"/>
          <w:color w:val="323233"/>
          <w:lang w:val="de-DE"/>
        </w:rPr>
        <w:t xml:space="preserve"> </w:t>
      </w:r>
      <w:proofErr w:type="spellStart"/>
      <w:r w:rsidRPr="00033AA5">
        <w:rPr>
          <w:rFonts w:ascii="Times New Roman" w:hAnsi="Times New Roman" w:cs="Arial"/>
          <w:color w:val="323233"/>
          <w:lang w:val="de-DE"/>
        </w:rPr>
        <w:t>līguma</w:t>
      </w:r>
      <w:proofErr w:type="spellEnd"/>
      <w:r w:rsidRPr="00033AA5">
        <w:rPr>
          <w:rFonts w:ascii="Times New Roman" w:hAnsi="Times New Roman" w:cs="Arial"/>
          <w:color w:val="323233"/>
          <w:lang w:val="de-DE"/>
        </w:rPr>
        <w:t xml:space="preserve"> </w:t>
      </w:r>
      <w:proofErr w:type="spellStart"/>
      <w:r w:rsidRPr="00033AA5">
        <w:rPr>
          <w:rFonts w:ascii="Times New Roman" w:hAnsi="Times New Roman" w:cs="Arial"/>
          <w:color w:val="323233"/>
          <w:lang w:val="de-DE"/>
        </w:rPr>
        <w:t>norma</w:t>
      </w:r>
      <w:proofErr w:type="spellEnd"/>
      <w:r w:rsidRPr="00033AA5">
        <w:rPr>
          <w:rFonts w:ascii="Times New Roman" w:hAnsi="Times New Roman" w:cs="Arial"/>
          <w:color w:val="323233"/>
          <w:lang w:val="de-DE"/>
        </w:rPr>
        <w:t>:</w:t>
      </w:r>
    </w:p>
    <w:p w14:paraId="4743C066" w14:textId="77777777" w:rsidR="00114953" w:rsidRPr="000C7C76" w:rsidRDefault="00114953" w:rsidP="00114953">
      <w:pPr>
        <w:jc w:val="both"/>
        <w:rPr>
          <w:rFonts w:ascii="Times New Roman" w:hAnsi="Times New Roman" w:cs="Times New Roman"/>
          <w:lang w:val="de-DE"/>
        </w:rPr>
      </w:pPr>
    </w:p>
    <w:p w14:paraId="0D38D602" w14:textId="77777777" w:rsidR="00114953" w:rsidRPr="000C7C76" w:rsidRDefault="00114953" w:rsidP="00114953">
      <w:pPr>
        <w:jc w:val="both"/>
        <w:rPr>
          <w:rFonts w:ascii="Times New Roman" w:hAnsi="Times New Roman" w:cs="Times New Roman"/>
          <w:lang w:val="de-DE"/>
        </w:rPr>
      </w:pPr>
    </w:p>
    <w:p w14:paraId="5876D31B" w14:textId="77777777" w:rsidR="00114953" w:rsidRPr="000C7C76" w:rsidRDefault="00114953" w:rsidP="00114953">
      <w:pPr>
        <w:jc w:val="center"/>
        <w:rPr>
          <w:rFonts w:ascii="Times New Roman" w:hAnsi="Times New Roman" w:cs="Times New Roman"/>
          <w:b/>
          <w:lang w:val="de-DE"/>
        </w:rPr>
      </w:pPr>
      <w:proofErr w:type="spellStart"/>
      <w:r w:rsidRPr="000C7C76">
        <w:rPr>
          <w:rFonts w:ascii="Times New Roman" w:hAnsi="Times New Roman" w:cs="Times New Roman"/>
          <w:b/>
          <w:lang w:val="de-DE"/>
        </w:rPr>
        <w:t>Juridiskas</w:t>
      </w:r>
      <w:proofErr w:type="spellEnd"/>
      <w:r w:rsidRPr="000C7C76">
        <w:rPr>
          <w:rFonts w:ascii="Times New Roman" w:hAnsi="Times New Roman" w:cs="Times New Roman"/>
          <w:b/>
          <w:lang w:val="de-DE"/>
        </w:rPr>
        <w:t xml:space="preserve"> personas </w:t>
      </w:r>
      <w:proofErr w:type="spellStart"/>
      <w:r w:rsidRPr="000C7C76">
        <w:rPr>
          <w:rFonts w:ascii="Times New Roman" w:hAnsi="Times New Roman" w:cs="Times New Roman"/>
          <w:b/>
          <w:lang w:val="de-DE"/>
        </w:rPr>
        <w:t>tiesībspēja</w:t>
      </w:r>
      <w:proofErr w:type="spellEnd"/>
      <w:r w:rsidRPr="000C7C76">
        <w:rPr>
          <w:rFonts w:ascii="Times New Roman" w:hAnsi="Times New Roman" w:cs="Times New Roman"/>
          <w:b/>
          <w:lang w:val="de-DE"/>
        </w:rPr>
        <w:t xml:space="preserve"> </w:t>
      </w:r>
      <w:proofErr w:type="spellStart"/>
      <w:r w:rsidRPr="000C7C76">
        <w:rPr>
          <w:rFonts w:ascii="Times New Roman" w:hAnsi="Times New Roman" w:cs="Times New Roman"/>
          <w:b/>
          <w:lang w:val="de-DE"/>
        </w:rPr>
        <w:t>un</w:t>
      </w:r>
      <w:proofErr w:type="spellEnd"/>
      <w:r w:rsidRPr="000C7C76">
        <w:rPr>
          <w:rFonts w:ascii="Times New Roman" w:hAnsi="Times New Roman" w:cs="Times New Roman"/>
          <w:b/>
          <w:lang w:val="de-DE"/>
        </w:rPr>
        <w:t xml:space="preserve"> </w:t>
      </w:r>
      <w:proofErr w:type="spellStart"/>
      <w:r w:rsidRPr="000C7C76">
        <w:rPr>
          <w:rFonts w:ascii="Times New Roman" w:hAnsi="Times New Roman" w:cs="Times New Roman"/>
          <w:b/>
          <w:lang w:val="de-DE"/>
        </w:rPr>
        <w:t>rīcībspēja</w:t>
      </w:r>
      <w:proofErr w:type="spellEnd"/>
      <w:r w:rsidRPr="000C7C76">
        <w:rPr>
          <w:rFonts w:ascii="Times New Roman" w:hAnsi="Times New Roman" w:cs="Times New Roman"/>
          <w:b/>
          <w:lang w:val="de-DE"/>
        </w:rPr>
        <w:t xml:space="preserve"> Latvijas </w:t>
      </w:r>
      <w:proofErr w:type="spellStart"/>
      <w:r w:rsidRPr="000C7C76">
        <w:rPr>
          <w:rFonts w:ascii="Times New Roman" w:hAnsi="Times New Roman" w:cs="Times New Roman"/>
          <w:b/>
          <w:lang w:val="de-DE"/>
        </w:rPr>
        <w:t>divpusējos</w:t>
      </w:r>
      <w:proofErr w:type="spellEnd"/>
      <w:r w:rsidRPr="000C7C76">
        <w:rPr>
          <w:rFonts w:ascii="Times New Roman" w:hAnsi="Times New Roman" w:cs="Times New Roman"/>
          <w:b/>
          <w:lang w:val="de-DE"/>
        </w:rPr>
        <w:t xml:space="preserve"> </w:t>
      </w:r>
      <w:proofErr w:type="spellStart"/>
      <w:r w:rsidRPr="000C7C76">
        <w:rPr>
          <w:rFonts w:ascii="Times New Roman" w:hAnsi="Times New Roman" w:cs="Times New Roman"/>
          <w:b/>
          <w:lang w:val="de-DE"/>
        </w:rPr>
        <w:t>tiesiskās</w:t>
      </w:r>
      <w:proofErr w:type="spellEnd"/>
      <w:r w:rsidRPr="000C7C76">
        <w:rPr>
          <w:rFonts w:ascii="Times New Roman" w:hAnsi="Times New Roman" w:cs="Times New Roman"/>
          <w:b/>
          <w:lang w:val="de-DE"/>
        </w:rPr>
        <w:t xml:space="preserve"> </w:t>
      </w:r>
      <w:proofErr w:type="spellStart"/>
      <w:r w:rsidRPr="000C7C76">
        <w:rPr>
          <w:rFonts w:ascii="Times New Roman" w:hAnsi="Times New Roman" w:cs="Times New Roman"/>
          <w:b/>
          <w:lang w:val="de-DE"/>
        </w:rPr>
        <w:t>palīdzības</w:t>
      </w:r>
      <w:proofErr w:type="spellEnd"/>
      <w:r w:rsidRPr="000C7C76">
        <w:rPr>
          <w:rFonts w:ascii="Times New Roman" w:hAnsi="Times New Roman" w:cs="Times New Roman"/>
          <w:b/>
          <w:lang w:val="de-DE"/>
        </w:rPr>
        <w:t xml:space="preserve"> </w:t>
      </w:r>
      <w:proofErr w:type="spellStart"/>
      <w:r w:rsidRPr="000C7C76">
        <w:rPr>
          <w:rFonts w:ascii="Times New Roman" w:hAnsi="Times New Roman" w:cs="Times New Roman"/>
          <w:b/>
          <w:lang w:val="de-DE"/>
        </w:rPr>
        <w:t>līgumos</w:t>
      </w:r>
      <w:proofErr w:type="spellEnd"/>
    </w:p>
    <w:p w14:paraId="618D9E7B" w14:textId="77777777" w:rsidR="00114953" w:rsidRPr="000C7C76" w:rsidRDefault="00114953" w:rsidP="00114953">
      <w:pPr>
        <w:jc w:val="both"/>
        <w:rPr>
          <w:rFonts w:ascii="Times New Roman" w:hAnsi="Times New Roman" w:cs="Times New Roman"/>
          <w:lang w:val="de-DE"/>
        </w:rPr>
      </w:pPr>
    </w:p>
    <w:p w14:paraId="1105AF33" w14:textId="77777777" w:rsidR="00114953" w:rsidRPr="00F234F1" w:rsidRDefault="00114953" w:rsidP="00114953">
      <w:pPr>
        <w:jc w:val="both"/>
        <w:rPr>
          <w:rFonts w:ascii="Times New Roman" w:hAnsi="Times New Roman" w:cs="Arial"/>
          <w:i/>
          <w:color w:val="323233"/>
        </w:rPr>
      </w:pPr>
      <w:r>
        <w:rPr>
          <w:rFonts w:ascii="Times New Roman" w:hAnsi="Times New Roman" w:cs="Arial"/>
          <w:i/>
          <w:color w:val="323233"/>
        </w:rPr>
        <w:t>Tabula Nr. 4</w:t>
      </w:r>
    </w:p>
    <w:tbl>
      <w:tblPr>
        <w:tblStyle w:val="TableGrid"/>
        <w:tblW w:w="0" w:type="auto"/>
        <w:tblLook w:val="04A0" w:firstRow="1" w:lastRow="0" w:firstColumn="1" w:lastColumn="0" w:noHBand="0" w:noVBand="1"/>
      </w:tblPr>
      <w:tblGrid>
        <w:gridCol w:w="822"/>
        <w:gridCol w:w="3872"/>
        <w:gridCol w:w="2270"/>
        <w:gridCol w:w="2281"/>
        <w:gridCol w:w="37"/>
      </w:tblGrid>
      <w:tr w:rsidR="00114953" w14:paraId="7C754937" w14:textId="77777777" w:rsidTr="00BF3A72">
        <w:trPr>
          <w:gridAfter w:val="1"/>
          <w:wAfter w:w="38" w:type="dxa"/>
        </w:trPr>
        <w:tc>
          <w:tcPr>
            <w:tcW w:w="675" w:type="dxa"/>
            <w:shd w:val="clear" w:color="auto" w:fill="C4BC96" w:themeFill="background2" w:themeFillShade="BF"/>
          </w:tcPr>
          <w:p w14:paraId="221EFB31" w14:textId="77777777" w:rsidR="00114953" w:rsidRPr="009027B6" w:rsidRDefault="00114953" w:rsidP="00BF3A72">
            <w:pPr>
              <w:jc w:val="center"/>
              <w:rPr>
                <w:rFonts w:cs="Arial"/>
                <w:b/>
                <w:color w:val="323233"/>
                <w:sz w:val="20"/>
                <w:szCs w:val="20"/>
              </w:rPr>
            </w:pPr>
            <w:proofErr w:type="spellStart"/>
            <w:r w:rsidRPr="009027B6">
              <w:rPr>
                <w:rFonts w:cs="Arial"/>
                <w:b/>
                <w:color w:val="323233"/>
                <w:sz w:val="20"/>
                <w:szCs w:val="20"/>
              </w:rPr>
              <w:t>Nr.p.k</w:t>
            </w:r>
            <w:proofErr w:type="spellEnd"/>
            <w:r w:rsidRPr="009027B6">
              <w:rPr>
                <w:rFonts w:cs="Arial"/>
                <w:b/>
                <w:color w:val="323233"/>
                <w:sz w:val="20"/>
                <w:szCs w:val="20"/>
              </w:rPr>
              <w:t>.</w:t>
            </w:r>
          </w:p>
        </w:tc>
        <w:tc>
          <w:tcPr>
            <w:tcW w:w="3932" w:type="dxa"/>
            <w:shd w:val="clear" w:color="auto" w:fill="C4BC96" w:themeFill="background2" w:themeFillShade="BF"/>
          </w:tcPr>
          <w:p w14:paraId="19973B1A" w14:textId="77777777" w:rsidR="00114953" w:rsidRPr="009027B6" w:rsidRDefault="00114953" w:rsidP="00BF3A72">
            <w:pPr>
              <w:jc w:val="center"/>
              <w:rPr>
                <w:rFonts w:cs="Arial"/>
                <w:b/>
                <w:color w:val="323233"/>
                <w:sz w:val="20"/>
                <w:szCs w:val="20"/>
              </w:rPr>
            </w:pPr>
            <w:proofErr w:type="spellStart"/>
            <w:r>
              <w:rPr>
                <w:rFonts w:cs="Arial"/>
                <w:b/>
                <w:color w:val="323233"/>
                <w:sz w:val="20"/>
                <w:szCs w:val="20"/>
              </w:rPr>
              <w:t>Līguma</w:t>
            </w:r>
            <w:proofErr w:type="spellEnd"/>
            <w:r>
              <w:rPr>
                <w:rFonts w:cs="Arial"/>
                <w:b/>
                <w:color w:val="323233"/>
                <w:sz w:val="20"/>
                <w:szCs w:val="20"/>
              </w:rPr>
              <w:t xml:space="preserve"> </w:t>
            </w:r>
            <w:proofErr w:type="spellStart"/>
            <w:r>
              <w:rPr>
                <w:rFonts w:cs="Arial"/>
                <w:b/>
                <w:color w:val="323233"/>
                <w:sz w:val="20"/>
                <w:szCs w:val="20"/>
              </w:rPr>
              <w:t>nosaukums</w:t>
            </w:r>
            <w:proofErr w:type="spellEnd"/>
          </w:p>
        </w:tc>
        <w:tc>
          <w:tcPr>
            <w:tcW w:w="2302" w:type="dxa"/>
            <w:shd w:val="clear" w:color="auto" w:fill="C4BC96" w:themeFill="background2" w:themeFillShade="BF"/>
          </w:tcPr>
          <w:p w14:paraId="59C3260A" w14:textId="77777777" w:rsidR="00114953" w:rsidRPr="009027B6" w:rsidRDefault="00114953" w:rsidP="00BF3A72">
            <w:pPr>
              <w:jc w:val="center"/>
              <w:rPr>
                <w:rFonts w:cs="Arial"/>
                <w:b/>
                <w:color w:val="323233"/>
                <w:sz w:val="20"/>
                <w:szCs w:val="20"/>
              </w:rPr>
            </w:pPr>
            <w:r>
              <w:rPr>
                <w:rFonts w:cs="Arial"/>
                <w:b/>
                <w:color w:val="323233"/>
                <w:sz w:val="20"/>
                <w:szCs w:val="20"/>
              </w:rPr>
              <w:t>Pants</w:t>
            </w:r>
          </w:p>
        </w:tc>
        <w:tc>
          <w:tcPr>
            <w:tcW w:w="2302" w:type="dxa"/>
            <w:shd w:val="clear" w:color="auto" w:fill="C4BC96" w:themeFill="background2" w:themeFillShade="BF"/>
          </w:tcPr>
          <w:p w14:paraId="2E97466B" w14:textId="77777777" w:rsidR="00114953" w:rsidRPr="009027B6" w:rsidRDefault="00114953" w:rsidP="00BF3A72">
            <w:pPr>
              <w:jc w:val="center"/>
              <w:rPr>
                <w:rFonts w:cs="Arial"/>
                <w:b/>
                <w:color w:val="323233"/>
                <w:sz w:val="20"/>
                <w:szCs w:val="20"/>
              </w:rPr>
            </w:pPr>
            <w:r>
              <w:rPr>
                <w:rFonts w:cs="Arial"/>
                <w:b/>
                <w:color w:val="323233"/>
                <w:sz w:val="20"/>
                <w:szCs w:val="20"/>
              </w:rPr>
              <w:t xml:space="preserve">Panta </w:t>
            </w:r>
            <w:proofErr w:type="spellStart"/>
            <w:r>
              <w:rPr>
                <w:rFonts w:cs="Arial"/>
                <w:b/>
                <w:color w:val="323233"/>
                <w:sz w:val="20"/>
                <w:szCs w:val="20"/>
              </w:rPr>
              <w:t>citāts</w:t>
            </w:r>
            <w:proofErr w:type="spellEnd"/>
          </w:p>
        </w:tc>
      </w:tr>
      <w:tr w:rsidR="00114953" w:rsidRPr="000C7C76" w14:paraId="0D97D343" w14:textId="77777777" w:rsidTr="00BF3A72">
        <w:trPr>
          <w:gridAfter w:val="1"/>
          <w:wAfter w:w="38" w:type="dxa"/>
        </w:trPr>
        <w:tc>
          <w:tcPr>
            <w:tcW w:w="675" w:type="dxa"/>
          </w:tcPr>
          <w:p w14:paraId="3A86B4B9" w14:textId="77777777" w:rsidR="00114953" w:rsidRPr="009027B6" w:rsidRDefault="00114953" w:rsidP="00BF3A72">
            <w:pPr>
              <w:jc w:val="center"/>
              <w:rPr>
                <w:rFonts w:cs="Arial"/>
                <w:color w:val="323233"/>
                <w:sz w:val="18"/>
                <w:szCs w:val="18"/>
              </w:rPr>
            </w:pPr>
            <w:r>
              <w:rPr>
                <w:rFonts w:cs="Arial"/>
                <w:color w:val="323233"/>
                <w:sz w:val="18"/>
                <w:szCs w:val="18"/>
              </w:rPr>
              <w:t>1.</w:t>
            </w:r>
          </w:p>
        </w:tc>
        <w:tc>
          <w:tcPr>
            <w:tcW w:w="3932" w:type="dxa"/>
          </w:tcPr>
          <w:p w14:paraId="5CCFECDB" w14:textId="77777777" w:rsidR="00114953" w:rsidRPr="009027B6" w:rsidRDefault="00114953" w:rsidP="00BF3A72">
            <w:pPr>
              <w:jc w:val="both"/>
              <w:rPr>
                <w:rFonts w:cs="Arial"/>
                <w:color w:val="323233"/>
                <w:sz w:val="18"/>
                <w:szCs w:val="18"/>
              </w:rPr>
            </w:pPr>
            <w:proofErr w:type="spellStart"/>
            <w:r>
              <w:rPr>
                <w:rFonts w:cs="Arial"/>
                <w:color w:val="323233"/>
                <w:sz w:val="18"/>
                <w:szCs w:val="18"/>
              </w:rPr>
              <w:t>Līgums</w:t>
            </w:r>
            <w:proofErr w:type="spellEnd"/>
            <w:r>
              <w:rPr>
                <w:rFonts w:cs="Arial"/>
                <w:color w:val="323233"/>
                <w:sz w:val="18"/>
                <w:szCs w:val="18"/>
              </w:rPr>
              <w:t xml:space="preserve"> </w:t>
            </w:r>
            <w:proofErr w:type="spellStart"/>
            <w:r>
              <w:rPr>
                <w:rFonts w:cs="Arial"/>
                <w:color w:val="323233"/>
                <w:sz w:val="18"/>
                <w:szCs w:val="18"/>
              </w:rPr>
              <w:t>starp</w:t>
            </w:r>
            <w:proofErr w:type="spellEnd"/>
            <w:r>
              <w:rPr>
                <w:rFonts w:cs="Arial"/>
                <w:color w:val="323233"/>
                <w:sz w:val="18"/>
                <w:szCs w:val="18"/>
              </w:rPr>
              <w:t xml:space="preserve"> </w:t>
            </w:r>
            <w:proofErr w:type="spellStart"/>
            <w:r>
              <w:rPr>
                <w:rFonts w:cs="Arial"/>
                <w:color w:val="323233"/>
                <w:sz w:val="18"/>
                <w:szCs w:val="18"/>
              </w:rPr>
              <w:t>Latviju</w:t>
            </w:r>
            <w:proofErr w:type="spellEnd"/>
            <w:r>
              <w:rPr>
                <w:rFonts w:cs="Arial"/>
                <w:color w:val="323233"/>
                <w:sz w:val="18"/>
                <w:szCs w:val="18"/>
              </w:rPr>
              <w:t xml:space="preserve">, </w:t>
            </w:r>
            <w:proofErr w:type="spellStart"/>
            <w:r>
              <w:rPr>
                <w:rFonts w:cs="Arial"/>
                <w:color w:val="323233"/>
                <w:sz w:val="18"/>
                <w:szCs w:val="18"/>
              </w:rPr>
              <w:t>Igauniju</w:t>
            </w:r>
            <w:proofErr w:type="spellEnd"/>
            <w:r>
              <w:rPr>
                <w:rFonts w:cs="Arial"/>
                <w:color w:val="323233"/>
                <w:sz w:val="18"/>
                <w:szCs w:val="18"/>
              </w:rPr>
              <w:t xml:space="preserve"> </w:t>
            </w:r>
            <w:proofErr w:type="spellStart"/>
            <w:r>
              <w:rPr>
                <w:rFonts w:cs="Arial"/>
                <w:color w:val="323233"/>
                <w:sz w:val="18"/>
                <w:szCs w:val="18"/>
              </w:rPr>
              <w:t>un</w:t>
            </w:r>
            <w:proofErr w:type="spellEnd"/>
            <w:r>
              <w:rPr>
                <w:rFonts w:cs="Arial"/>
                <w:color w:val="323233"/>
                <w:sz w:val="18"/>
                <w:szCs w:val="18"/>
              </w:rPr>
              <w:t xml:space="preserve"> </w:t>
            </w:r>
            <w:proofErr w:type="spellStart"/>
            <w:r>
              <w:rPr>
                <w:rFonts w:cs="Arial"/>
                <w:color w:val="323233"/>
                <w:sz w:val="18"/>
                <w:szCs w:val="18"/>
              </w:rPr>
              <w:t>Lietuvu</w:t>
            </w:r>
            <w:proofErr w:type="spellEnd"/>
          </w:p>
        </w:tc>
        <w:tc>
          <w:tcPr>
            <w:tcW w:w="2302" w:type="dxa"/>
          </w:tcPr>
          <w:p w14:paraId="2FBE6A9F" w14:textId="77777777" w:rsidR="00114953" w:rsidRPr="009027B6" w:rsidRDefault="00114953" w:rsidP="00BF3A72">
            <w:pPr>
              <w:jc w:val="center"/>
              <w:rPr>
                <w:rFonts w:cs="Arial"/>
                <w:color w:val="323233"/>
                <w:sz w:val="18"/>
                <w:szCs w:val="18"/>
              </w:rPr>
            </w:pPr>
            <w:r>
              <w:rPr>
                <w:rFonts w:cs="Arial"/>
                <w:color w:val="323233"/>
                <w:sz w:val="18"/>
                <w:szCs w:val="18"/>
              </w:rPr>
              <w:t xml:space="preserve">21.panta </w:t>
            </w:r>
            <w:proofErr w:type="spellStart"/>
            <w:r>
              <w:rPr>
                <w:rFonts w:cs="Arial"/>
                <w:color w:val="323233"/>
                <w:sz w:val="18"/>
                <w:szCs w:val="18"/>
              </w:rPr>
              <w:t>otrā</w:t>
            </w:r>
            <w:proofErr w:type="spellEnd"/>
            <w:r>
              <w:rPr>
                <w:rFonts w:cs="Arial"/>
                <w:color w:val="323233"/>
                <w:sz w:val="18"/>
                <w:szCs w:val="18"/>
              </w:rPr>
              <w:t xml:space="preserve"> </w:t>
            </w:r>
            <w:proofErr w:type="spellStart"/>
            <w:r>
              <w:rPr>
                <w:rFonts w:cs="Arial"/>
                <w:color w:val="323233"/>
                <w:sz w:val="18"/>
                <w:szCs w:val="18"/>
              </w:rPr>
              <w:t>daļa</w:t>
            </w:r>
            <w:proofErr w:type="spellEnd"/>
          </w:p>
        </w:tc>
        <w:tc>
          <w:tcPr>
            <w:tcW w:w="2302" w:type="dxa"/>
          </w:tcPr>
          <w:p w14:paraId="370D202B" w14:textId="77777777" w:rsidR="00114953" w:rsidRPr="009027B6" w:rsidRDefault="00114953" w:rsidP="00BF3A72">
            <w:pPr>
              <w:rPr>
                <w:rFonts w:cs="Arial"/>
                <w:color w:val="323233"/>
                <w:sz w:val="18"/>
                <w:szCs w:val="18"/>
              </w:rPr>
            </w:pPr>
            <w:r>
              <w:rPr>
                <w:rFonts w:cs="Arial"/>
                <w:color w:val="323233"/>
                <w:sz w:val="18"/>
                <w:szCs w:val="18"/>
              </w:rPr>
              <w:t xml:space="preserve">„(2) </w:t>
            </w:r>
            <w:proofErr w:type="spellStart"/>
            <w:r>
              <w:rPr>
                <w:rFonts w:cs="Arial"/>
                <w:color w:val="323233"/>
                <w:sz w:val="18"/>
                <w:szCs w:val="18"/>
              </w:rPr>
              <w:t>Juridiskās</w:t>
            </w:r>
            <w:proofErr w:type="spellEnd"/>
            <w:r>
              <w:rPr>
                <w:rFonts w:cs="Arial"/>
                <w:color w:val="323233"/>
                <w:sz w:val="18"/>
                <w:szCs w:val="18"/>
              </w:rPr>
              <w:t xml:space="preserve"> personas </w:t>
            </w:r>
            <w:proofErr w:type="spellStart"/>
            <w:r>
              <w:rPr>
                <w:rFonts w:cs="Arial"/>
                <w:color w:val="323233"/>
                <w:sz w:val="18"/>
                <w:szCs w:val="18"/>
              </w:rPr>
              <w:t>tiesībspēju</w:t>
            </w:r>
            <w:proofErr w:type="spellEnd"/>
            <w:r>
              <w:rPr>
                <w:rFonts w:cs="Arial"/>
                <w:color w:val="323233"/>
                <w:sz w:val="18"/>
                <w:szCs w:val="18"/>
              </w:rPr>
              <w:t xml:space="preserve"> </w:t>
            </w:r>
            <w:proofErr w:type="spellStart"/>
            <w:r>
              <w:rPr>
                <w:rFonts w:cs="Arial"/>
                <w:color w:val="323233"/>
                <w:sz w:val="18"/>
                <w:szCs w:val="18"/>
              </w:rPr>
              <w:t>nosaka</w:t>
            </w:r>
            <w:proofErr w:type="spellEnd"/>
            <w:r>
              <w:rPr>
                <w:rFonts w:cs="Arial"/>
                <w:color w:val="323233"/>
                <w:sz w:val="18"/>
                <w:szCs w:val="18"/>
              </w:rPr>
              <w:t xml:space="preserve"> </w:t>
            </w:r>
            <w:proofErr w:type="spellStart"/>
            <w:r>
              <w:rPr>
                <w:rFonts w:cs="Arial"/>
                <w:color w:val="323233"/>
                <w:sz w:val="18"/>
                <w:szCs w:val="18"/>
              </w:rPr>
              <w:t>pēc</w:t>
            </w:r>
            <w:proofErr w:type="spellEnd"/>
            <w:r>
              <w:rPr>
                <w:rFonts w:cs="Arial"/>
                <w:color w:val="323233"/>
                <w:sz w:val="18"/>
                <w:szCs w:val="18"/>
              </w:rPr>
              <w:t xml:space="preserve"> </w:t>
            </w:r>
            <w:proofErr w:type="spellStart"/>
            <w:r>
              <w:rPr>
                <w:rFonts w:cs="Arial"/>
                <w:color w:val="323233"/>
                <w:sz w:val="18"/>
                <w:szCs w:val="18"/>
              </w:rPr>
              <w:t>tās</w:t>
            </w:r>
            <w:proofErr w:type="spellEnd"/>
            <w:r>
              <w:rPr>
                <w:rFonts w:cs="Arial"/>
                <w:color w:val="323233"/>
                <w:sz w:val="18"/>
                <w:szCs w:val="18"/>
              </w:rPr>
              <w:t xml:space="preserve"> </w:t>
            </w:r>
            <w:proofErr w:type="spellStart"/>
            <w:r>
              <w:rPr>
                <w:rFonts w:cs="Arial"/>
                <w:color w:val="323233"/>
                <w:sz w:val="18"/>
                <w:szCs w:val="18"/>
              </w:rPr>
              <w:t>Līgumslēdzējas</w:t>
            </w:r>
            <w:proofErr w:type="spellEnd"/>
            <w:r>
              <w:rPr>
                <w:rFonts w:cs="Arial"/>
                <w:color w:val="323233"/>
                <w:sz w:val="18"/>
                <w:szCs w:val="18"/>
              </w:rPr>
              <w:t xml:space="preserve"> </w:t>
            </w:r>
            <w:proofErr w:type="spellStart"/>
            <w:r>
              <w:rPr>
                <w:rFonts w:cs="Arial"/>
                <w:color w:val="323233"/>
                <w:sz w:val="18"/>
                <w:szCs w:val="18"/>
              </w:rPr>
              <w:t>Puses</w:t>
            </w:r>
            <w:proofErr w:type="spellEnd"/>
            <w:r>
              <w:rPr>
                <w:rFonts w:cs="Arial"/>
                <w:color w:val="323233"/>
                <w:sz w:val="18"/>
                <w:szCs w:val="18"/>
              </w:rPr>
              <w:t xml:space="preserve"> </w:t>
            </w:r>
            <w:proofErr w:type="spellStart"/>
            <w:r>
              <w:rPr>
                <w:rFonts w:cs="Arial"/>
                <w:color w:val="323233"/>
                <w:sz w:val="18"/>
                <w:szCs w:val="18"/>
              </w:rPr>
              <w:t>likuma</w:t>
            </w:r>
            <w:proofErr w:type="spellEnd"/>
            <w:r>
              <w:rPr>
                <w:rFonts w:cs="Arial"/>
                <w:color w:val="323233"/>
                <w:sz w:val="18"/>
                <w:szCs w:val="18"/>
              </w:rPr>
              <w:t xml:space="preserve">, </w:t>
            </w:r>
            <w:proofErr w:type="spellStart"/>
            <w:r>
              <w:rPr>
                <w:rFonts w:cs="Arial"/>
                <w:color w:val="323233"/>
                <w:sz w:val="18"/>
                <w:szCs w:val="18"/>
              </w:rPr>
              <w:t>kuras</w:t>
            </w:r>
            <w:proofErr w:type="spellEnd"/>
            <w:r>
              <w:rPr>
                <w:rFonts w:cs="Arial"/>
                <w:color w:val="323233"/>
                <w:sz w:val="18"/>
                <w:szCs w:val="18"/>
              </w:rPr>
              <w:t xml:space="preserve"> </w:t>
            </w:r>
            <w:proofErr w:type="spellStart"/>
            <w:r>
              <w:rPr>
                <w:rFonts w:cs="Arial"/>
                <w:color w:val="323233"/>
                <w:sz w:val="18"/>
                <w:szCs w:val="18"/>
              </w:rPr>
              <w:t>teritorijā</w:t>
            </w:r>
            <w:proofErr w:type="spellEnd"/>
            <w:r>
              <w:rPr>
                <w:rFonts w:cs="Arial"/>
                <w:color w:val="323233"/>
                <w:sz w:val="18"/>
                <w:szCs w:val="18"/>
              </w:rPr>
              <w:t xml:space="preserve"> </w:t>
            </w:r>
            <w:proofErr w:type="spellStart"/>
            <w:r>
              <w:rPr>
                <w:rFonts w:cs="Arial"/>
                <w:color w:val="323233"/>
                <w:sz w:val="18"/>
                <w:szCs w:val="18"/>
              </w:rPr>
              <w:t>tā</w:t>
            </w:r>
            <w:proofErr w:type="spellEnd"/>
            <w:r>
              <w:rPr>
                <w:rFonts w:cs="Arial"/>
                <w:color w:val="323233"/>
                <w:sz w:val="18"/>
                <w:szCs w:val="18"/>
              </w:rPr>
              <w:t xml:space="preserve"> </w:t>
            </w:r>
            <w:proofErr w:type="spellStart"/>
            <w:r>
              <w:rPr>
                <w:rFonts w:cs="Arial"/>
                <w:color w:val="323233"/>
                <w:sz w:val="18"/>
                <w:szCs w:val="18"/>
              </w:rPr>
              <w:t>nodibināta</w:t>
            </w:r>
            <w:proofErr w:type="spellEnd"/>
            <w:r>
              <w:rPr>
                <w:rFonts w:cs="Arial"/>
                <w:color w:val="323233"/>
                <w:sz w:val="18"/>
                <w:szCs w:val="18"/>
              </w:rPr>
              <w:t>“.</w:t>
            </w:r>
          </w:p>
        </w:tc>
      </w:tr>
      <w:tr w:rsidR="00114953" w:rsidRPr="000C7C76" w14:paraId="2B194579" w14:textId="77777777" w:rsidTr="00BF3A72">
        <w:trPr>
          <w:gridAfter w:val="1"/>
          <w:wAfter w:w="38" w:type="dxa"/>
        </w:trPr>
        <w:tc>
          <w:tcPr>
            <w:tcW w:w="675" w:type="dxa"/>
          </w:tcPr>
          <w:p w14:paraId="14906950" w14:textId="77777777" w:rsidR="00114953" w:rsidRPr="00BA1DDF" w:rsidRDefault="00114953" w:rsidP="00BF3A72">
            <w:pPr>
              <w:jc w:val="center"/>
              <w:rPr>
                <w:rFonts w:cs="Arial"/>
                <w:color w:val="323233"/>
                <w:sz w:val="18"/>
                <w:szCs w:val="18"/>
              </w:rPr>
            </w:pPr>
            <w:r w:rsidRPr="00BA1DDF">
              <w:rPr>
                <w:rFonts w:cs="Arial"/>
                <w:color w:val="323233"/>
                <w:sz w:val="18"/>
                <w:szCs w:val="18"/>
              </w:rPr>
              <w:t>2.</w:t>
            </w:r>
          </w:p>
        </w:tc>
        <w:tc>
          <w:tcPr>
            <w:tcW w:w="3932" w:type="dxa"/>
          </w:tcPr>
          <w:p w14:paraId="0324EFD8" w14:textId="77777777" w:rsidR="00114953" w:rsidRPr="00BA1DDF" w:rsidRDefault="00114953" w:rsidP="00BF3A72">
            <w:pPr>
              <w:jc w:val="both"/>
              <w:rPr>
                <w:rFonts w:cs="Arial"/>
                <w:color w:val="323233"/>
                <w:sz w:val="18"/>
                <w:szCs w:val="18"/>
              </w:rPr>
            </w:pPr>
            <w:proofErr w:type="spellStart"/>
            <w:r w:rsidRPr="00BA1DDF">
              <w:rPr>
                <w:rFonts w:cs="Arial"/>
                <w:color w:val="323233"/>
                <w:sz w:val="18"/>
                <w:szCs w:val="18"/>
              </w:rPr>
              <w:t>Līgums</w:t>
            </w:r>
            <w:proofErr w:type="spellEnd"/>
            <w:r w:rsidRPr="00BA1DDF">
              <w:rPr>
                <w:rFonts w:cs="Arial"/>
                <w:color w:val="323233"/>
                <w:sz w:val="18"/>
                <w:szCs w:val="18"/>
              </w:rPr>
              <w:t xml:space="preserve"> </w:t>
            </w:r>
            <w:proofErr w:type="spellStart"/>
            <w:r w:rsidRPr="00BA1DDF">
              <w:rPr>
                <w:rFonts w:cs="Arial"/>
                <w:color w:val="323233"/>
                <w:sz w:val="18"/>
                <w:szCs w:val="18"/>
              </w:rPr>
              <w:t>starp</w:t>
            </w:r>
            <w:proofErr w:type="spellEnd"/>
            <w:r w:rsidRPr="00BA1DDF">
              <w:rPr>
                <w:rFonts w:cs="Arial"/>
                <w:color w:val="323233"/>
                <w:sz w:val="18"/>
                <w:szCs w:val="18"/>
              </w:rPr>
              <w:t xml:space="preserve"> </w:t>
            </w:r>
            <w:proofErr w:type="spellStart"/>
            <w:r w:rsidRPr="00BA1DDF">
              <w:rPr>
                <w:rFonts w:cs="Arial"/>
                <w:color w:val="323233"/>
                <w:sz w:val="18"/>
                <w:szCs w:val="18"/>
              </w:rPr>
              <w:t>Latviju</w:t>
            </w:r>
            <w:proofErr w:type="spellEnd"/>
            <w:r w:rsidRPr="00BA1DDF">
              <w:rPr>
                <w:rFonts w:cs="Arial"/>
                <w:color w:val="323233"/>
                <w:sz w:val="18"/>
                <w:szCs w:val="18"/>
              </w:rPr>
              <w:t xml:space="preserve"> </w:t>
            </w:r>
            <w:proofErr w:type="spellStart"/>
            <w:r w:rsidRPr="00BA1DDF">
              <w:rPr>
                <w:rFonts w:cs="Arial"/>
                <w:color w:val="323233"/>
                <w:sz w:val="18"/>
                <w:szCs w:val="18"/>
              </w:rPr>
              <w:t>un</w:t>
            </w:r>
            <w:proofErr w:type="spellEnd"/>
            <w:r w:rsidRPr="00BA1DDF">
              <w:rPr>
                <w:rFonts w:cs="Arial"/>
                <w:color w:val="323233"/>
                <w:sz w:val="18"/>
                <w:szCs w:val="18"/>
              </w:rPr>
              <w:t xml:space="preserve"> </w:t>
            </w:r>
            <w:proofErr w:type="spellStart"/>
            <w:r w:rsidRPr="00BA1DDF">
              <w:rPr>
                <w:rFonts w:cs="Arial"/>
                <w:color w:val="323233"/>
                <w:sz w:val="18"/>
                <w:szCs w:val="18"/>
              </w:rPr>
              <w:t>Moldovu</w:t>
            </w:r>
            <w:proofErr w:type="spellEnd"/>
          </w:p>
        </w:tc>
        <w:tc>
          <w:tcPr>
            <w:tcW w:w="2302" w:type="dxa"/>
          </w:tcPr>
          <w:p w14:paraId="3B11D369" w14:textId="77777777" w:rsidR="00114953" w:rsidRPr="00BA1DDF" w:rsidRDefault="00114953" w:rsidP="00BF3A72">
            <w:pPr>
              <w:jc w:val="center"/>
              <w:rPr>
                <w:rFonts w:cs="Arial"/>
                <w:color w:val="323233"/>
                <w:sz w:val="18"/>
                <w:szCs w:val="18"/>
                <w:highlight w:val="yellow"/>
              </w:rPr>
            </w:pPr>
            <w:r w:rsidRPr="0016645D">
              <w:rPr>
                <w:rFonts w:cs="Arial"/>
                <w:color w:val="323233"/>
                <w:sz w:val="18"/>
                <w:szCs w:val="18"/>
              </w:rPr>
              <w:t xml:space="preserve">21.panta </w:t>
            </w:r>
            <w:proofErr w:type="spellStart"/>
            <w:r w:rsidRPr="0016645D">
              <w:rPr>
                <w:rFonts w:cs="Arial"/>
                <w:color w:val="323233"/>
                <w:sz w:val="18"/>
                <w:szCs w:val="18"/>
              </w:rPr>
              <w:t>otrā</w:t>
            </w:r>
            <w:proofErr w:type="spellEnd"/>
            <w:r w:rsidRPr="0016645D">
              <w:rPr>
                <w:rFonts w:cs="Arial"/>
                <w:color w:val="323233"/>
                <w:sz w:val="18"/>
                <w:szCs w:val="18"/>
              </w:rPr>
              <w:t xml:space="preserve"> </w:t>
            </w:r>
            <w:proofErr w:type="spellStart"/>
            <w:r w:rsidRPr="0016645D">
              <w:rPr>
                <w:rFonts w:cs="Arial"/>
                <w:color w:val="323233"/>
                <w:sz w:val="18"/>
                <w:szCs w:val="18"/>
              </w:rPr>
              <w:t>daļa</w:t>
            </w:r>
            <w:proofErr w:type="spellEnd"/>
          </w:p>
        </w:tc>
        <w:tc>
          <w:tcPr>
            <w:tcW w:w="2302" w:type="dxa"/>
          </w:tcPr>
          <w:p w14:paraId="35E847DA" w14:textId="77777777" w:rsidR="00114953" w:rsidRPr="00BA1DDF" w:rsidRDefault="00114953" w:rsidP="00BF3A72">
            <w:pPr>
              <w:rPr>
                <w:rFonts w:cs="Arial"/>
                <w:color w:val="323233"/>
                <w:sz w:val="18"/>
                <w:szCs w:val="18"/>
                <w:highlight w:val="yellow"/>
              </w:rPr>
            </w:pPr>
            <w:r>
              <w:rPr>
                <w:rFonts w:cs="Arial"/>
                <w:color w:val="323233"/>
                <w:sz w:val="18"/>
                <w:szCs w:val="18"/>
              </w:rPr>
              <w:t xml:space="preserve">„(2) </w:t>
            </w:r>
            <w:proofErr w:type="spellStart"/>
            <w:r>
              <w:rPr>
                <w:rFonts w:cs="Arial"/>
                <w:color w:val="323233"/>
                <w:sz w:val="18"/>
                <w:szCs w:val="18"/>
              </w:rPr>
              <w:t>Juridiskās</w:t>
            </w:r>
            <w:proofErr w:type="spellEnd"/>
            <w:r>
              <w:rPr>
                <w:rFonts w:cs="Arial"/>
                <w:color w:val="323233"/>
                <w:sz w:val="18"/>
                <w:szCs w:val="18"/>
              </w:rPr>
              <w:t xml:space="preserve"> personas </w:t>
            </w:r>
            <w:proofErr w:type="spellStart"/>
            <w:r>
              <w:rPr>
                <w:rFonts w:cs="Arial"/>
                <w:color w:val="323233"/>
                <w:sz w:val="18"/>
                <w:szCs w:val="18"/>
              </w:rPr>
              <w:t>tiesībspēju</w:t>
            </w:r>
            <w:proofErr w:type="spellEnd"/>
            <w:r>
              <w:rPr>
                <w:rFonts w:cs="Arial"/>
                <w:color w:val="323233"/>
                <w:sz w:val="18"/>
                <w:szCs w:val="18"/>
              </w:rPr>
              <w:t xml:space="preserve"> </w:t>
            </w:r>
            <w:proofErr w:type="spellStart"/>
            <w:r>
              <w:rPr>
                <w:rFonts w:cs="Arial"/>
                <w:color w:val="323233"/>
                <w:sz w:val="18"/>
                <w:szCs w:val="18"/>
              </w:rPr>
              <w:t>nosaka</w:t>
            </w:r>
            <w:proofErr w:type="spellEnd"/>
            <w:r>
              <w:rPr>
                <w:rFonts w:cs="Arial"/>
                <w:color w:val="323233"/>
                <w:sz w:val="18"/>
                <w:szCs w:val="18"/>
              </w:rPr>
              <w:t xml:space="preserve"> </w:t>
            </w:r>
            <w:proofErr w:type="spellStart"/>
            <w:r>
              <w:rPr>
                <w:rFonts w:cs="Arial"/>
                <w:color w:val="323233"/>
                <w:sz w:val="18"/>
                <w:szCs w:val="18"/>
              </w:rPr>
              <w:t>pēc</w:t>
            </w:r>
            <w:proofErr w:type="spellEnd"/>
            <w:r>
              <w:rPr>
                <w:rFonts w:cs="Arial"/>
                <w:color w:val="323233"/>
                <w:sz w:val="18"/>
                <w:szCs w:val="18"/>
              </w:rPr>
              <w:t xml:space="preserve"> </w:t>
            </w:r>
            <w:proofErr w:type="spellStart"/>
            <w:r>
              <w:rPr>
                <w:rFonts w:cs="Arial"/>
                <w:color w:val="323233"/>
                <w:sz w:val="18"/>
                <w:szCs w:val="18"/>
              </w:rPr>
              <w:t>tās</w:t>
            </w:r>
            <w:proofErr w:type="spellEnd"/>
            <w:r>
              <w:rPr>
                <w:rFonts w:cs="Arial"/>
                <w:color w:val="323233"/>
                <w:sz w:val="18"/>
                <w:szCs w:val="18"/>
              </w:rPr>
              <w:t xml:space="preserve"> </w:t>
            </w:r>
            <w:proofErr w:type="spellStart"/>
            <w:r>
              <w:rPr>
                <w:rFonts w:cs="Arial"/>
                <w:color w:val="323233"/>
                <w:sz w:val="18"/>
                <w:szCs w:val="18"/>
              </w:rPr>
              <w:t>Līgumslēdzējas</w:t>
            </w:r>
            <w:proofErr w:type="spellEnd"/>
            <w:r>
              <w:rPr>
                <w:rFonts w:cs="Arial"/>
                <w:color w:val="323233"/>
                <w:sz w:val="18"/>
                <w:szCs w:val="18"/>
              </w:rPr>
              <w:t xml:space="preserve"> </w:t>
            </w:r>
            <w:proofErr w:type="spellStart"/>
            <w:r>
              <w:rPr>
                <w:rFonts w:cs="Arial"/>
                <w:color w:val="323233"/>
                <w:sz w:val="18"/>
                <w:szCs w:val="18"/>
              </w:rPr>
              <w:t>Puses</w:t>
            </w:r>
            <w:proofErr w:type="spellEnd"/>
            <w:r>
              <w:rPr>
                <w:rFonts w:cs="Arial"/>
                <w:color w:val="323233"/>
                <w:sz w:val="18"/>
                <w:szCs w:val="18"/>
              </w:rPr>
              <w:t xml:space="preserve"> </w:t>
            </w:r>
            <w:proofErr w:type="spellStart"/>
            <w:r>
              <w:rPr>
                <w:rFonts w:cs="Arial"/>
                <w:color w:val="323233"/>
                <w:sz w:val="18"/>
                <w:szCs w:val="18"/>
              </w:rPr>
              <w:t>likuma</w:t>
            </w:r>
            <w:proofErr w:type="spellEnd"/>
            <w:r>
              <w:rPr>
                <w:rFonts w:cs="Arial"/>
                <w:color w:val="323233"/>
                <w:sz w:val="18"/>
                <w:szCs w:val="18"/>
              </w:rPr>
              <w:t xml:space="preserve">, </w:t>
            </w:r>
            <w:proofErr w:type="spellStart"/>
            <w:r>
              <w:rPr>
                <w:rFonts w:cs="Arial"/>
                <w:color w:val="323233"/>
                <w:sz w:val="18"/>
                <w:szCs w:val="18"/>
              </w:rPr>
              <w:t>kuras</w:t>
            </w:r>
            <w:proofErr w:type="spellEnd"/>
            <w:r>
              <w:rPr>
                <w:rFonts w:cs="Arial"/>
                <w:color w:val="323233"/>
                <w:sz w:val="18"/>
                <w:szCs w:val="18"/>
              </w:rPr>
              <w:t xml:space="preserve"> </w:t>
            </w:r>
            <w:proofErr w:type="spellStart"/>
            <w:r>
              <w:rPr>
                <w:rFonts w:cs="Arial"/>
                <w:color w:val="323233"/>
                <w:sz w:val="18"/>
                <w:szCs w:val="18"/>
              </w:rPr>
              <w:t>teritorijā</w:t>
            </w:r>
            <w:proofErr w:type="spellEnd"/>
            <w:r>
              <w:rPr>
                <w:rFonts w:cs="Arial"/>
                <w:color w:val="323233"/>
                <w:sz w:val="18"/>
                <w:szCs w:val="18"/>
              </w:rPr>
              <w:t xml:space="preserve"> </w:t>
            </w:r>
            <w:proofErr w:type="spellStart"/>
            <w:r>
              <w:rPr>
                <w:rFonts w:cs="Arial"/>
                <w:color w:val="323233"/>
                <w:sz w:val="18"/>
                <w:szCs w:val="18"/>
              </w:rPr>
              <w:t>tā</w:t>
            </w:r>
            <w:proofErr w:type="spellEnd"/>
            <w:r>
              <w:rPr>
                <w:rFonts w:cs="Arial"/>
                <w:color w:val="323233"/>
                <w:sz w:val="18"/>
                <w:szCs w:val="18"/>
              </w:rPr>
              <w:t xml:space="preserve"> </w:t>
            </w:r>
            <w:proofErr w:type="spellStart"/>
            <w:r>
              <w:rPr>
                <w:rFonts w:cs="Arial"/>
                <w:color w:val="323233"/>
                <w:sz w:val="18"/>
                <w:szCs w:val="18"/>
              </w:rPr>
              <w:t>nodibināta</w:t>
            </w:r>
            <w:proofErr w:type="spellEnd"/>
            <w:r>
              <w:rPr>
                <w:rFonts w:cs="Arial"/>
                <w:color w:val="323233"/>
                <w:sz w:val="18"/>
                <w:szCs w:val="18"/>
              </w:rPr>
              <w:t>“.</w:t>
            </w:r>
          </w:p>
        </w:tc>
      </w:tr>
      <w:tr w:rsidR="00114953" w:rsidRPr="000C7C76" w14:paraId="295CCF88" w14:textId="77777777" w:rsidTr="00BF3A72">
        <w:trPr>
          <w:gridAfter w:val="1"/>
          <w:wAfter w:w="38" w:type="dxa"/>
        </w:trPr>
        <w:tc>
          <w:tcPr>
            <w:tcW w:w="675" w:type="dxa"/>
          </w:tcPr>
          <w:p w14:paraId="038AED2E" w14:textId="77777777" w:rsidR="00114953" w:rsidRPr="00BA1DDF" w:rsidRDefault="00114953" w:rsidP="00BF3A72">
            <w:pPr>
              <w:jc w:val="center"/>
              <w:rPr>
                <w:rFonts w:cs="Arial"/>
                <w:color w:val="323233"/>
                <w:sz w:val="18"/>
                <w:szCs w:val="18"/>
              </w:rPr>
            </w:pPr>
            <w:r w:rsidRPr="00BA1DDF">
              <w:rPr>
                <w:rFonts w:cs="Arial"/>
                <w:color w:val="323233"/>
                <w:sz w:val="18"/>
                <w:szCs w:val="18"/>
              </w:rPr>
              <w:t>3.</w:t>
            </w:r>
          </w:p>
        </w:tc>
        <w:tc>
          <w:tcPr>
            <w:tcW w:w="3932" w:type="dxa"/>
          </w:tcPr>
          <w:p w14:paraId="03B9B65C" w14:textId="77777777" w:rsidR="00114953" w:rsidRPr="00BA1DDF" w:rsidRDefault="00114953" w:rsidP="00BF3A72">
            <w:pPr>
              <w:jc w:val="both"/>
              <w:rPr>
                <w:rFonts w:cs="Arial"/>
                <w:color w:val="323233"/>
                <w:sz w:val="18"/>
                <w:szCs w:val="18"/>
              </w:rPr>
            </w:pPr>
            <w:proofErr w:type="spellStart"/>
            <w:r w:rsidRPr="00BA1DDF">
              <w:rPr>
                <w:rFonts w:cs="Arial"/>
                <w:color w:val="323233"/>
                <w:sz w:val="18"/>
                <w:szCs w:val="18"/>
              </w:rPr>
              <w:t>Līgums</w:t>
            </w:r>
            <w:proofErr w:type="spellEnd"/>
            <w:r w:rsidRPr="00BA1DDF">
              <w:rPr>
                <w:rFonts w:cs="Arial"/>
                <w:color w:val="323233"/>
                <w:sz w:val="18"/>
                <w:szCs w:val="18"/>
              </w:rPr>
              <w:t xml:space="preserve"> </w:t>
            </w:r>
            <w:proofErr w:type="spellStart"/>
            <w:r w:rsidRPr="00BA1DDF">
              <w:rPr>
                <w:rFonts w:cs="Arial"/>
                <w:color w:val="323233"/>
                <w:sz w:val="18"/>
                <w:szCs w:val="18"/>
              </w:rPr>
              <w:t>starp</w:t>
            </w:r>
            <w:proofErr w:type="spellEnd"/>
            <w:r w:rsidRPr="00BA1DDF">
              <w:rPr>
                <w:rFonts w:cs="Arial"/>
                <w:color w:val="323233"/>
                <w:sz w:val="18"/>
                <w:szCs w:val="18"/>
              </w:rPr>
              <w:t xml:space="preserve"> </w:t>
            </w:r>
            <w:proofErr w:type="spellStart"/>
            <w:r w:rsidRPr="00BA1DDF">
              <w:rPr>
                <w:rFonts w:cs="Arial"/>
                <w:color w:val="323233"/>
                <w:sz w:val="18"/>
                <w:szCs w:val="18"/>
              </w:rPr>
              <w:t>Latviju</w:t>
            </w:r>
            <w:proofErr w:type="spellEnd"/>
            <w:r w:rsidRPr="00BA1DDF">
              <w:rPr>
                <w:rFonts w:cs="Arial"/>
                <w:color w:val="323233"/>
                <w:sz w:val="18"/>
                <w:szCs w:val="18"/>
              </w:rPr>
              <w:t xml:space="preserve"> </w:t>
            </w:r>
            <w:proofErr w:type="spellStart"/>
            <w:r w:rsidRPr="00BA1DDF">
              <w:rPr>
                <w:rFonts w:cs="Arial"/>
                <w:color w:val="323233"/>
                <w:sz w:val="18"/>
                <w:szCs w:val="18"/>
              </w:rPr>
              <w:t>un</w:t>
            </w:r>
            <w:proofErr w:type="spellEnd"/>
            <w:r w:rsidRPr="00BA1DDF">
              <w:rPr>
                <w:rFonts w:cs="Arial"/>
                <w:color w:val="323233"/>
                <w:sz w:val="18"/>
                <w:szCs w:val="18"/>
              </w:rPr>
              <w:t xml:space="preserve"> </w:t>
            </w:r>
            <w:proofErr w:type="spellStart"/>
            <w:r w:rsidRPr="00BA1DDF">
              <w:rPr>
                <w:rFonts w:cs="Arial"/>
                <w:color w:val="323233"/>
                <w:sz w:val="18"/>
                <w:szCs w:val="18"/>
              </w:rPr>
              <w:t>Baltkrieviju</w:t>
            </w:r>
            <w:proofErr w:type="spellEnd"/>
          </w:p>
        </w:tc>
        <w:tc>
          <w:tcPr>
            <w:tcW w:w="2302" w:type="dxa"/>
          </w:tcPr>
          <w:p w14:paraId="0695A731" w14:textId="77777777" w:rsidR="00114953" w:rsidRPr="00DC159A" w:rsidRDefault="00114953" w:rsidP="00BF3A72">
            <w:pPr>
              <w:jc w:val="center"/>
              <w:rPr>
                <w:rFonts w:cs="Arial"/>
                <w:color w:val="323233"/>
                <w:sz w:val="18"/>
                <w:szCs w:val="18"/>
              </w:rPr>
            </w:pPr>
            <w:r w:rsidRPr="00DC159A">
              <w:rPr>
                <w:rFonts w:cs="Arial"/>
                <w:color w:val="323233"/>
                <w:sz w:val="18"/>
                <w:szCs w:val="18"/>
              </w:rPr>
              <w:t xml:space="preserve">21.panta </w:t>
            </w:r>
            <w:proofErr w:type="spellStart"/>
            <w:r w:rsidRPr="00DC159A">
              <w:rPr>
                <w:rFonts w:cs="Arial"/>
                <w:color w:val="323233"/>
                <w:sz w:val="18"/>
                <w:szCs w:val="18"/>
              </w:rPr>
              <w:t>otrā</w:t>
            </w:r>
            <w:proofErr w:type="spellEnd"/>
            <w:r w:rsidRPr="00DC159A">
              <w:rPr>
                <w:rFonts w:cs="Arial"/>
                <w:color w:val="323233"/>
                <w:sz w:val="18"/>
                <w:szCs w:val="18"/>
              </w:rPr>
              <w:t xml:space="preserve"> </w:t>
            </w:r>
            <w:proofErr w:type="spellStart"/>
            <w:r w:rsidRPr="00DC159A">
              <w:rPr>
                <w:rFonts w:cs="Arial"/>
                <w:color w:val="323233"/>
                <w:sz w:val="18"/>
                <w:szCs w:val="18"/>
              </w:rPr>
              <w:t>daļa</w:t>
            </w:r>
            <w:proofErr w:type="spellEnd"/>
          </w:p>
        </w:tc>
        <w:tc>
          <w:tcPr>
            <w:tcW w:w="2302" w:type="dxa"/>
          </w:tcPr>
          <w:p w14:paraId="363BA605" w14:textId="77777777" w:rsidR="00114953" w:rsidRPr="00DC159A" w:rsidRDefault="00114953" w:rsidP="00BF3A72">
            <w:pPr>
              <w:jc w:val="both"/>
              <w:rPr>
                <w:rFonts w:cs="Arial"/>
                <w:color w:val="323233"/>
                <w:sz w:val="18"/>
                <w:szCs w:val="18"/>
              </w:rPr>
            </w:pPr>
            <w:r w:rsidRPr="00DC159A">
              <w:rPr>
                <w:rFonts w:cs="Arial"/>
                <w:color w:val="323233"/>
                <w:sz w:val="18"/>
                <w:szCs w:val="18"/>
              </w:rPr>
              <w:t xml:space="preserve">„(2) </w:t>
            </w:r>
            <w:proofErr w:type="spellStart"/>
            <w:r w:rsidRPr="00DC159A">
              <w:rPr>
                <w:rFonts w:cs="Arial"/>
                <w:color w:val="323233"/>
                <w:sz w:val="18"/>
                <w:szCs w:val="18"/>
              </w:rPr>
              <w:t>Juridiskās</w:t>
            </w:r>
            <w:proofErr w:type="spellEnd"/>
            <w:r w:rsidRPr="00DC159A">
              <w:rPr>
                <w:rFonts w:cs="Arial"/>
                <w:color w:val="323233"/>
                <w:sz w:val="18"/>
                <w:szCs w:val="18"/>
              </w:rPr>
              <w:t xml:space="preserve"> personas </w:t>
            </w:r>
            <w:proofErr w:type="spellStart"/>
            <w:r w:rsidRPr="00DC159A">
              <w:rPr>
                <w:rFonts w:cs="Arial"/>
                <w:color w:val="323233"/>
                <w:sz w:val="18"/>
                <w:szCs w:val="18"/>
              </w:rPr>
              <w:t>tiesībspēju</w:t>
            </w:r>
            <w:proofErr w:type="spellEnd"/>
            <w:r w:rsidRPr="00DC159A">
              <w:rPr>
                <w:rFonts w:cs="Arial"/>
                <w:color w:val="323233"/>
                <w:sz w:val="18"/>
                <w:szCs w:val="18"/>
              </w:rPr>
              <w:t xml:space="preserve"> </w:t>
            </w:r>
            <w:proofErr w:type="spellStart"/>
            <w:r w:rsidRPr="00DC159A">
              <w:rPr>
                <w:rFonts w:cs="Arial"/>
                <w:color w:val="323233"/>
                <w:sz w:val="18"/>
                <w:szCs w:val="18"/>
              </w:rPr>
              <w:t>nosaka</w:t>
            </w:r>
            <w:proofErr w:type="spellEnd"/>
            <w:r w:rsidRPr="00DC159A">
              <w:rPr>
                <w:rFonts w:cs="Arial"/>
                <w:color w:val="323233"/>
                <w:sz w:val="18"/>
                <w:szCs w:val="18"/>
              </w:rPr>
              <w:t xml:space="preserve"> </w:t>
            </w:r>
            <w:proofErr w:type="spellStart"/>
            <w:r w:rsidRPr="00DC159A">
              <w:rPr>
                <w:rFonts w:cs="Arial"/>
                <w:color w:val="323233"/>
                <w:sz w:val="18"/>
                <w:szCs w:val="18"/>
              </w:rPr>
              <w:t>pēc</w:t>
            </w:r>
            <w:proofErr w:type="spellEnd"/>
            <w:r w:rsidRPr="00DC159A">
              <w:rPr>
                <w:rFonts w:cs="Arial"/>
                <w:color w:val="323233"/>
                <w:sz w:val="18"/>
                <w:szCs w:val="18"/>
              </w:rPr>
              <w:t xml:space="preserve"> </w:t>
            </w:r>
            <w:proofErr w:type="spellStart"/>
            <w:r w:rsidRPr="00DC159A">
              <w:rPr>
                <w:rFonts w:cs="Arial"/>
                <w:color w:val="323233"/>
                <w:sz w:val="18"/>
                <w:szCs w:val="18"/>
              </w:rPr>
              <w:t>tās</w:t>
            </w:r>
            <w:proofErr w:type="spellEnd"/>
            <w:r w:rsidRPr="00DC159A">
              <w:rPr>
                <w:rFonts w:cs="Arial"/>
                <w:color w:val="323233"/>
                <w:sz w:val="18"/>
                <w:szCs w:val="18"/>
              </w:rPr>
              <w:t xml:space="preserve"> </w:t>
            </w:r>
            <w:proofErr w:type="spellStart"/>
            <w:r w:rsidRPr="00DC159A">
              <w:rPr>
                <w:rFonts w:cs="Arial"/>
                <w:color w:val="323233"/>
                <w:sz w:val="18"/>
                <w:szCs w:val="18"/>
              </w:rPr>
              <w:t>Līgumslēdzējas</w:t>
            </w:r>
            <w:proofErr w:type="spellEnd"/>
            <w:r w:rsidRPr="00DC159A">
              <w:rPr>
                <w:rFonts w:cs="Arial"/>
                <w:color w:val="323233"/>
                <w:sz w:val="18"/>
                <w:szCs w:val="18"/>
              </w:rPr>
              <w:t xml:space="preserve"> </w:t>
            </w:r>
            <w:proofErr w:type="spellStart"/>
            <w:r w:rsidRPr="00DC159A">
              <w:rPr>
                <w:rFonts w:cs="Arial"/>
                <w:color w:val="323233"/>
                <w:sz w:val="18"/>
                <w:szCs w:val="18"/>
              </w:rPr>
              <w:t>Puses</w:t>
            </w:r>
            <w:proofErr w:type="spellEnd"/>
            <w:r w:rsidRPr="00DC159A">
              <w:rPr>
                <w:rFonts w:cs="Arial"/>
                <w:color w:val="323233"/>
                <w:sz w:val="18"/>
                <w:szCs w:val="18"/>
              </w:rPr>
              <w:t xml:space="preserve"> </w:t>
            </w:r>
            <w:proofErr w:type="spellStart"/>
            <w:r w:rsidRPr="00DC159A">
              <w:rPr>
                <w:rFonts w:cs="Arial"/>
                <w:color w:val="323233"/>
                <w:sz w:val="18"/>
                <w:szCs w:val="18"/>
              </w:rPr>
              <w:t>likuma</w:t>
            </w:r>
            <w:proofErr w:type="spellEnd"/>
            <w:r w:rsidRPr="00DC159A">
              <w:rPr>
                <w:rFonts w:cs="Arial"/>
                <w:color w:val="323233"/>
                <w:sz w:val="18"/>
                <w:szCs w:val="18"/>
              </w:rPr>
              <w:t xml:space="preserve">, </w:t>
            </w:r>
            <w:proofErr w:type="spellStart"/>
            <w:r w:rsidRPr="00DC159A">
              <w:rPr>
                <w:rFonts w:cs="Arial"/>
                <w:color w:val="323233"/>
                <w:sz w:val="18"/>
                <w:szCs w:val="18"/>
              </w:rPr>
              <w:t>kuras</w:t>
            </w:r>
            <w:proofErr w:type="spellEnd"/>
            <w:r w:rsidRPr="00DC159A">
              <w:rPr>
                <w:rFonts w:cs="Arial"/>
                <w:color w:val="323233"/>
                <w:sz w:val="18"/>
                <w:szCs w:val="18"/>
              </w:rPr>
              <w:t xml:space="preserve"> </w:t>
            </w:r>
            <w:proofErr w:type="spellStart"/>
            <w:r w:rsidRPr="00DC159A">
              <w:rPr>
                <w:rFonts w:cs="Arial"/>
                <w:color w:val="323233"/>
                <w:sz w:val="18"/>
                <w:szCs w:val="18"/>
              </w:rPr>
              <w:t>teritorijā</w:t>
            </w:r>
            <w:proofErr w:type="spellEnd"/>
            <w:r w:rsidRPr="00DC159A">
              <w:rPr>
                <w:rFonts w:cs="Arial"/>
                <w:color w:val="323233"/>
                <w:sz w:val="18"/>
                <w:szCs w:val="18"/>
              </w:rPr>
              <w:t xml:space="preserve"> </w:t>
            </w:r>
            <w:proofErr w:type="spellStart"/>
            <w:r w:rsidRPr="00DC159A">
              <w:rPr>
                <w:rFonts w:cs="Arial"/>
                <w:color w:val="323233"/>
                <w:sz w:val="18"/>
                <w:szCs w:val="18"/>
              </w:rPr>
              <w:t>tā</w:t>
            </w:r>
            <w:proofErr w:type="spellEnd"/>
            <w:r w:rsidRPr="00DC159A">
              <w:rPr>
                <w:rFonts w:cs="Arial"/>
                <w:color w:val="323233"/>
                <w:sz w:val="18"/>
                <w:szCs w:val="18"/>
              </w:rPr>
              <w:t xml:space="preserve"> </w:t>
            </w:r>
            <w:proofErr w:type="spellStart"/>
            <w:r w:rsidRPr="00DC159A">
              <w:rPr>
                <w:rFonts w:cs="Arial"/>
                <w:color w:val="323233"/>
                <w:sz w:val="18"/>
                <w:szCs w:val="18"/>
              </w:rPr>
              <w:t>nodibināta</w:t>
            </w:r>
            <w:proofErr w:type="spellEnd"/>
            <w:r w:rsidRPr="00DC159A">
              <w:rPr>
                <w:rFonts w:cs="Arial"/>
                <w:color w:val="323233"/>
                <w:sz w:val="18"/>
                <w:szCs w:val="18"/>
              </w:rPr>
              <w:t>“.</w:t>
            </w:r>
          </w:p>
        </w:tc>
      </w:tr>
      <w:tr w:rsidR="00114953" w:rsidRPr="000C7C76" w14:paraId="6E0DA3A9" w14:textId="77777777" w:rsidTr="00BF3A72">
        <w:trPr>
          <w:gridAfter w:val="1"/>
          <w:wAfter w:w="38" w:type="dxa"/>
        </w:trPr>
        <w:tc>
          <w:tcPr>
            <w:tcW w:w="675" w:type="dxa"/>
          </w:tcPr>
          <w:p w14:paraId="68925358" w14:textId="77777777" w:rsidR="00114953" w:rsidRPr="00BA1DDF" w:rsidRDefault="00114953" w:rsidP="00BF3A72">
            <w:pPr>
              <w:jc w:val="center"/>
              <w:rPr>
                <w:rFonts w:cs="Arial"/>
                <w:color w:val="323233"/>
                <w:sz w:val="18"/>
                <w:szCs w:val="18"/>
              </w:rPr>
            </w:pPr>
            <w:r w:rsidRPr="00BA1DDF">
              <w:rPr>
                <w:rFonts w:cs="Arial"/>
                <w:color w:val="323233"/>
                <w:sz w:val="18"/>
                <w:szCs w:val="18"/>
              </w:rPr>
              <w:t>4.</w:t>
            </w:r>
          </w:p>
        </w:tc>
        <w:tc>
          <w:tcPr>
            <w:tcW w:w="3932" w:type="dxa"/>
          </w:tcPr>
          <w:p w14:paraId="509446FC" w14:textId="77777777" w:rsidR="00114953" w:rsidRPr="00BA1DDF" w:rsidRDefault="00114953" w:rsidP="00BF3A72">
            <w:pPr>
              <w:jc w:val="both"/>
              <w:rPr>
                <w:rFonts w:cs="Arial"/>
                <w:color w:val="323233"/>
                <w:sz w:val="18"/>
                <w:szCs w:val="18"/>
              </w:rPr>
            </w:pPr>
            <w:proofErr w:type="spellStart"/>
            <w:r w:rsidRPr="00BA1DDF">
              <w:rPr>
                <w:rFonts w:cs="Arial"/>
                <w:color w:val="323233"/>
                <w:sz w:val="18"/>
                <w:szCs w:val="18"/>
              </w:rPr>
              <w:t>Līgums</w:t>
            </w:r>
            <w:proofErr w:type="spellEnd"/>
            <w:r w:rsidRPr="00BA1DDF">
              <w:rPr>
                <w:rFonts w:cs="Arial"/>
                <w:color w:val="323233"/>
                <w:sz w:val="18"/>
                <w:szCs w:val="18"/>
              </w:rPr>
              <w:t xml:space="preserve"> </w:t>
            </w:r>
            <w:proofErr w:type="spellStart"/>
            <w:r w:rsidRPr="00BA1DDF">
              <w:rPr>
                <w:rFonts w:cs="Arial"/>
                <w:color w:val="323233"/>
                <w:sz w:val="18"/>
                <w:szCs w:val="18"/>
              </w:rPr>
              <w:t>starp</w:t>
            </w:r>
            <w:proofErr w:type="spellEnd"/>
            <w:r w:rsidRPr="00BA1DDF">
              <w:rPr>
                <w:rFonts w:cs="Arial"/>
                <w:color w:val="323233"/>
                <w:sz w:val="18"/>
                <w:szCs w:val="18"/>
              </w:rPr>
              <w:t xml:space="preserve"> </w:t>
            </w:r>
            <w:proofErr w:type="spellStart"/>
            <w:r w:rsidRPr="00BA1DDF">
              <w:rPr>
                <w:rFonts w:cs="Arial"/>
                <w:color w:val="323233"/>
                <w:sz w:val="18"/>
                <w:szCs w:val="18"/>
              </w:rPr>
              <w:t>Latviju</w:t>
            </w:r>
            <w:proofErr w:type="spellEnd"/>
            <w:r w:rsidRPr="00BA1DDF">
              <w:rPr>
                <w:rFonts w:cs="Arial"/>
                <w:color w:val="323233"/>
                <w:sz w:val="18"/>
                <w:szCs w:val="18"/>
              </w:rPr>
              <w:t xml:space="preserve"> </w:t>
            </w:r>
            <w:proofErr w:type="spellStart"/>
            <w:r w:rsidRPr="00BA1DDF">
              <w:rPr>
                <w:rFonts w:cs="Arial"/>
                <w:color w:val="323233"/>
                <w:sz w:val="18"/>
                <w:szCs w:val="18"/>
              </w:rPr>
              <w:t>un</w:t>
            </w:r>
            <w:proofErr w:type="spellEnd"/>
            <w:r w:rsidRPr="00BA1DDF">
              <w:rPr>
                <w:rFonts w:cs="Arial"/>
                <w:color w:val="323233"/>
                <w:sz w:val="18"/>
                <w:szCs w:val="18"/>
              </w:rPr>
              <w:t xml:space="preserve"> </w:t>
            </w:r>
            <w:proofErr w:type="spellStart"/>
            <w:r w:rsidRPr="00BA1DDF">
              <w:rPr>
                <w:rFonts w:cs="Arial"/>
                <w:color w:val="323233"/>
                <w:sz w:val="18"/>
                <w:szCs w:val="18"/>
              </w:rPr>
              <w:t>Poliju</w:t>
            </w:r>
            <w:proofErr w:type="spellEnd"/>
          </w:p>
        </w:tc>
        <w:tc>
          <w:tcPr>
            <w:tcW w:w="2302" w:type="dxa"/>
          </w:tcPr>
          <w:p w14:paraId="63742097" w14:textId="77777777" w:rsidR="00114953" w:rsidRPr="00BA1DDF" w:rsidRDefault="00114953" w:rsidP="00BF3A72">
            <w:pPr>
              <w:jc w:val="center"/>
              <w:rPr>
                <w:rFonts w:cs="Arial"/>
                <w:color w:val="323233"/>
                <w:sz w:val="18"/>
                <w:szCs w:val="18"/>
                <w:highlight w:val="yellow"/>
              </w:rPr>
            </w:pPr>
            <w:r w:rsidRPr="002B0BEC">
              <w:rPr>
                <w:rFonts w:cs="Arial"/>
                <w:color w:val="323233"/>
                <w:sz w:val="18"/>
                <w:szCs w:val="18"/>
              </w:rPr>
              <w:t xml:space="preserve">22.panta </w:t>
            </w:r>
            <w:proofErr w:type="spellStart"/>
            <w:r w:rsidRPr="002B0BEC">
              <w:rPr>
                <w:rFonts w:cs="Arial"/>
                <w:color w:val="323233"/>
                <w:sz w:val="18"/>
                <w:szCs w:val="18"/>
              </w:rPr>
              <w:t>otrā</w:t>
            </w:r>
            <w:proofErr w:type="spellEnd"/>
            <w:r w:rsidRPr="002B0BEC">
              <w:rPr>
                <w:rFonts w:cs="Arial"/>
                <w:color w:val="323233"/>
                <w:sz w:val="18"/>
                <w:szCs w:val="18"/>
              </w:rPr>
              <w:t xml:space="preserve"> </w:t>
            </w:r>
            <w:proofErr w:type="spellStart"/>
            <w:r w:rsidRPr="002B0BEC">
              <w:rPr>
                <w:rFonts w:cs="Arial"/>
                <w:color w:val="323233"/>
                <w:sz w:val="18"/>
                <w:szCs w:val="18"/>
              </w:rPr>
              <w:t>daļa</w:t>
            </w:r>
            <w:proofErr w:type="spellEnd"/>
          </w:p>
        </w:tc>
        <w:tc>
          <w:tcPr>
            <w:tcW w:w="2302" w:type="dxa"/>
          </w:tcPr>
          <w:p w14:paraId="79132209" w14:textId="77777777" w:rsidR="00114953" w:rsidRPr="00BA1DDF" w:rsidRDefault="00114953" w:rsidP="00BF3A72">
            <w:pPr>
              <w:jc w:val="both"/>
              <w:rPr>
                <w:rFonts w:cs="Arial"/>
                <w:color w:val="323233"/>
                <w:sz w:val="18"/>
                <w:szCs w:val="18"/>
                <w:highlight w:val="yellow"/>
              </w:rPr>
            </w:pPr>
            <w:r>
              <w:rPr>
                <w:rFonts w:cs="Arial"/>
                <w:color w:val="323233"/>
                <w:sz w:val="18"/>
                <w:szCs w:val="18"/>
              </w:rPr>
              <w:t xml:space="preserve">„(2) </w:t>
            </w:r>
            <w:proofErr w:type="spellStart"/>
            <w:r>
              <w:rPr>
                <w:rFonts w:cs="Arial"/>
                <w:color w:val="323233"/>
                <w:sz w:val="18"/>
                <w:szCs w:val="18"/>
              </w:rPr>
              <w:t>Juridiskās</w:t>
            </w:r>
            <w:proofErr w:type="spellEnd"/>
            <w:r>
              <w:rPr>
                <w:rFonts w:cs="Arial"/>
                <w:color w:val="323233"/>
                <w:sz w:val="18"/>
                <w:szCs w:val="18"/>
              </w:rPr>
              <w:t xml:space="preserve"> personas </w:t>
            </w:r>
            <w:proofErr w:type="spellStart"/>
            <w:r>
              <w:rPr>
                <w:rFonts w:cs="Arial"/>
                <w:color w:val="323233"/>
                <w:sz w:val="18"/>
                <w:szCs w:val="18"/>
              </w:rPr>
              <w:t>tiesībspēju</w:t>
            </w:r>
            <w:proofErr w:type="spellEnd"/>
            <w:r>
              <w:rPr>
                <w:rFonts w:cs="Arial"/>
                <w:color w:val="323233"/>
                <w:sz w:val="18"/>
                <w:szCs w:val="18"/>
              </w:rPr>
              <w:t xml:space="preserve"> </w:t>
            </w:r>
            <w:proofErr w:type="spellStart"/>
            <w:r>
              <w:rPr>
                <w:rFonts w:cs="Arial"/>
                <w:color w:val="323233"/>
                <w:sz w:val="18"/>
                <w:szCs w:val="18"/>
              </w:rPr>
              <w:t>un</w:t>
            </w:r>
            <w:proofErr w:type="spellEnd"/>
            <w:r>
              <w:rPr>
                <w:rFonts w:cs="Arial"/>
                <w:color w:val="323233"/>
                <w:sz w:val="18"/>
                <w:szCs w:val="18"/>
              </w:rPr>
              <w:t xml:space="preserve"> </w:t>
            </w:r>
            <w:proofErr w:type="spellStart"/>
            <w:r>
              <w:rPr>
                <w:rFonts w:cs="Arial"/>
                <w:color w:val="323233"/>
                <w:sz w:val="18"/>
                <w:szCs w:val="18"/>
              </w:rPr>
              <w:t>rīcībspēju</w:t>
            </w:r>
            <w:proofErr w:type="spellEnd"/>
            <w:r>
              <w:rPr>
                <w:rFonts w:cs="Arial"/>
                <w:color w:val="323233"/>
                <w:sz w:val="18"/>
                <w:szCs w:val="18"/>
              </w:rPr>
              <w:t xml:space="preserve"> </w:t>
            </w:r>
            <w:proofErr w:type="spellStart"/>
            <w:r>
              <w:rPr>
                <w:rFonts w:cs="Arial"/>
                <w:color w:val="323233"/>
                <w:sz w:val="18"/>
                <w:szCs w:val="18"/>
              </w:rPr>
              <w:t>nosaka</w:t>
            </w:r>
            <w:proofErr w:type="spellEnd"/>
            <w:r>
              <w:rPr>
                <w:rFonts w:cs="Arial"/>
                <w:color w:val="323233"/>
                <w:sz w:val="18"/>
                <w:szCs w:val="18"/>
              </w:rPr>
              <w:t xml:space="preserve"> </w:t>
            </w:r>
            <w:proofErr w:type="spellStart"/>
            <w:r>
              <w:rPr>
                <w:rFonts w:cs="Arial"/>
                <w:color w:val="323233"/>
                <w:sz w:val="18"/>
                <w:szCs w:val="18"/>
              </w:rPr>
              <w:t>pēc</w:t>
            </w:r>
            <w:proofErr w:type="spellEnd"/>
            <w:r>
              <w:rPr>
                <w:rFonts w:cs="Arial"/>
                <w:color w:val="323233"/>
                <w:sz w:val="18"/>
                <w:szCs w:val="18"/>
              </w:rPr>
              <w:t xml:space="preserve"> </w:t>
            </w:r>
            <w:proofErr w:type="spellStart"/>
            <w:r>
              <w:rPr>
                <w:rFonts w:cs="Arial"/>
                <w:color w:val="323233"/>
                <w:sz w:val="18"/>
                <w:szCs w:val="18"/>
              </w:rPr>
              <w:t>tās</w:t>
            </w:r>
            <w:proofErr w:type="spellEnd"/>
            <w:r>
              <w:rPr>
                <w:rFonts w:cs="Arial"/>
                <w:color w:val="323233"/>
                <w:sz w:val="18"/>
                <w:szCs w:val="18"/>
              </w:rPr>
              <w:t xml:space="preserve"> </w:t>
            </w:r>
            <w:proofErr w:type="spellStart"/>
            <w:r>
              <w:rPr>
                <w:rFonts w:cs="Arial"/>
                <w:color w:val="323233"/>
                <w:sz w:val="18"/>
                <w:szCs w:val="18"/>
              </w:rPr>
              <w:t>Līgumslēdzējas</w:t>
            </w:r>
            <w:proofErr w:type="spellEnd"/>
            <w:r>
              <w:rPr>
                <w:rFonts w:cs="Arial"/>
                <w:color w:val="323233"/>
                <w:sz w:val="18"/>
                <w:szCs w:val="18"/>
              </w:rPr>
              <w:t xml:space="preserve"> </w:t>
            </w:r>
            <w:proofErr w:type="spellStart"/>
            <w:r>
              <w:rPr>
                <w:rFonts w:cs="Arial"/>
                <w:color w:val="323233"/>
                <w:sz w:val="18"/>
                <w:szCs w:val="18"/>
              </w:rPr>
              <w:t>Puses</w:t>
            </w:r>
            <w:proofErr w:type="spellEnd"/>
            <w:r>
              <w:rPr>
                <w:rFonts w:cs="Arial"/>
                <w:color w:val="323233"/>
                <w:sz w:val="18"/>
                <w:szCs w:val="18"/>
              </w:rPr>
              <w:t xml:space="preserve"> </w:t>
            </w:r>
            <w:proofErr w:type="spellStart"/>
            <w:r>
              <w:rPr>
                <w:rFonts w:cs="Arial"/>
                <w:color w:val="323233"/>
                <w:sz w:val="18"/>
                <w:szCs w:val="18"/>
              </w:rPr>
              <w:t>likuma</w:t>
            </w:r>
            <w:proofErr w:type="spellEnd"/>
            <w:r>
              <w:rPr>
                <w:rFonts w:cs="Arial"/>
                <w:color w:val="323233"/>
                <w:sz w:val="18"/>
                <w:szCs w:val="18"/>
              </w:rPr>
              <w:t xml:space="preserve">, </w:t>
            </w:r>
            <w:proofErr w:type="spellStart"/>
            <w:r>
              <w:rPr>
                <w:rFonts w:cs="Arial"/>
                <w:color w:val="323233"/>
                <w:sz w:val="18"/>
                <w:szCs w:val="18"/>
              </w:rPr>
              <w:t>kuras</w:t>
            </w:r>
            <w:proofErr w:type="spellEnd"/>
            <w:r>
              <w:rPr>
                <w:rFonts w:cs="Arial"/>
                <w:color w:val="323233"/>
                <w:sz w:val="18"/>
                <w:szCs w:val="18"/>
              </w:rPr>
              <w:t xml:space="preserve"> </w:t>
            </w:r>
            <w:proofErr w:type="spellStart"/>
            <w:r>
              <w:rPr>
                <w:rFonts w:cs="Arial"/>
                <w:color w:val="323233"/>
                <w:sz w:val="18"/>
                <w:szCs w:val="18"/>
              </w:rPr>
              <w:t>teritorijā</w:t>
            </w:r>
            <w:proofErr w:type="spellEnd"/>
            <w:r>
              <w:rPr>
                <w:rFonts w:cs="Arial"/>
                <w:color w:val="323233"/>
                <w:sz w:val="18"/>
                <w:szCs w:val="18"/>
              </w:rPr>
              <w:t xml:space="preserve"> </w:t>
            </w:r>
            <w:proofErr w:type="spellStart"/>
            <w:r>
              <w:rPr>
                <w:rFonts w:cs="Arial"/>
                <w:color w:val="323233"/>
                <w:sz w:val="18"/>
                <w:szCs w:val="18"/>
              </w:rPr>
              <w:t>tā</w:t>
            </w:r>
            <w:proofErr w:type="spellEnd"/>
            <w:r>
              <w:rPr>
                <w:rFonts w:cs="Arial"/>
                <w:color w:val="323233"/>
                <w:sz w:val="18"/>
                <w:szCs w:val="18"/>
              </w:rPr>
              <w:t xml:space="preserve"> </w:t>
            </w:r>
            <w:proofErr w:type="spellStart"/>
            <w:r>
              <w:rPr>
                <w:rFonts w:cs="Arial"/>
                <w:color w:val="323233"/>
                <w:sz w:val="18"/>
                <w:szCs w:val="18"/>
              </w:rPr>
              <w:t>nodibināta</w:t>
            </w:r>
            <w:proofErr w:type="spellEnd"/>
            <w:r>
              <w:rPr>
                <w:rFonts w:cs="Arial"/>
                <w:color w:val="323233"/>
                <w:sz w:val="18"/>
                <w:szCs w:val="18"/>
              </w:rPr>
              <w:t>“.</w:t>
            </w:r>
          </w:p>
        </w:tc>
      </w:tr>
      <w:tr w:rsidR="00114953" w:rsidRPr="000C7C76" w14:paraId="5C1922F7" w14:textId="77777777" w:rsidTr="00BF3A72">
        <w:trPr>
          <w:gridAfter w:val="1"/>
          <w:wAfter w:w="38" w:type="dxa"/>
        </w:trPr>
        <w:tc>
          <w:tcPr>
            <w:tcW w:w="675" w:type="dxa"/>
          </w:tcPr>
          <w:p w14:paraId="1C4C75EB" w14:textId="77777777" w:rsidR="00114953" w:rsidRPr="00BA1DDF" w:rsidRDefault="00114953" w:rsidP="00BF3A72">
            <w:pPr>
              <w:jc w:val="center"/>
              <w:rPr>
                <w:rFonts w:cs="Arial"/>
                <w:color w:val="323233"/>
                <w:sz w:val="18"/>
                <w:szCs w:val="18"/>
              </w:rPr>
            </w:pPr>
            <w:r w:rsidRPr="00BA1DDF">
              <w:rPr>
                <w:rFonts w:cs="Arial"/>
                <w:color w:val="323233"/>
                <w:sz w:val="18"/>
                <w:szCs w:val="18"/>
              </w:rPr>
              <w:lastRenderedPageBreak/>
              <w:t>5.</w:t>
            </w:r>
          </w:p>
        </w:tc>
        <w:tc>
          <w:tcPr>
            <w:tcW w:w="3932" w:type="dxa"/>
          </w:tcPr>
          <w:p w14:paraId="3C548506" w14:textId="77777777" w:rsidR="00114953" w:rsidRPr="00BA1DDF" w:rsidRDefault="00114953" w:rsidP="00BF3A72">
            <w:pPr>
              <w:jc w:val="both"/>
              <w:rPr>
                <w:rFonts w:cs="Arial"/>
                <w:color w:val="323233"/>
                <w:sz w:val="18"/>
                <w:szCs w:val="18"/>
              </w:rPr>
            </w:pPr>
            <w:proofErr w:type="spellStart"/>
            <w:r w:rsidRPr="00BA1DDF">
              <w:rPr>
                <w:rFonts w:cs="Arial"/>
                <w:color w:val="323233"/>
                <w:sz w:val="18"/>
                <w:szCs w:val="18"/>
              </w:rPr>
              <w:t>Līgums</w:t>
            </w:r>
            <w:proofErr w:type="spellEnd"/>
            <w:r w:rsidRPr="00BA1DDF">
              <w:rPr>
                <w:rFonts w:cs="Arial"/>
                <w:color w:val="323233"/>
                <w:sz w:val="18"/>
                <w:szCs w:val="18"/>
              </w:rPr>
              <w:t xml:space="preserve"> </w:t>
            </w:r>
            <w:proofErr w:type="spellStart"/>
            <w:r w:rsidRPr="00BA1DDF">
              <w:rPr>
                <w:rFonts w:cs="Arial"/>
                <w:color w:val="323233"/>
                <w:sz w:val="18"/>
                <w:szCs w:val="18"/>
              </w:rPr>
              <w:t>starp</w:t>
            </w:r>
            <w:proofErr w:type="spellEnd"/>
            <w:r w:rsidRPr="00BA1DDF">
              <w:rPr>
                <w:rFonts w:cs="Arial"/>
                <w:color w:val="323233"/>
                <w:sz w:val="18"/>
                <w:szCs w:val="18"/>
              </w:rPr>
              <w:t xml:space="preserve"> </w:t>
            </w:r>
            <w:proofErr w:type="spellStart"/>
            <w:r w:rsidRPr="00BA1DDF">
              <w:rPr>
                <w:rFonts w:cs="Arial"/>
                <w:color w:val="323233"/>
                <w:sz w:val="18"/>
                <w:szCs w:val="18"/>
              </w:rPr>
              <w:t>Latviju</w:t>
            </w:r>
            <w:proofErr w:type="spellEnd"/>
            <w:r w:rsidRPr="00BA1DDF">
              <w:rPr>
                <w:rFonts w:cs="Arial"/>
                <w:color w:val="323233"/>
                <w:sz w:val="18"/>
                <w:szCs w:val="18"/>
              </w:rPr>
              <w:t xml:space="preserve"> </w:t>
            </w:r>
            <w:proofErr w:type="spellStart"/>
            <w:r w:rsidRPr="00BA1DDF">
              <w:rPr>
                <w:rFonts w:cs="Arial"/>
                <w:color w:val="323233"/>
                <w:sz w:val="18"/>
                <w:szCs w:val="18"/>
              </w:rPr>
              <w:t>un</w:t>
            </w:r>
            <w:proofErr w:type="spellEnd"/>
            <w:r w:rsidRPr="00BA1DDF">
              <w:rPr>
                <w:rFonts w:cs="Arial"/>
                <w:color w:val="323233"/>
                <w:sz w:val="18"/>
                <w:szCs w:val="18"/>
              </w:rPr>
              <w:t xml:space="preserve"> </w:t>
            </w:r>
            <w:proofErr w:type="spellStart"/>
            <w:r w:rsidRPr="00BA1DDF">
              <w:rPr>
                <w:rFonts w:cs="Arial"/>
                <w:color w:val="323233"/>
                <w:sz w:val="18"/>
                <w:szCs w:val="18"/>
              </w:rPr>
              <w:t>Ukrainu</w:t>
            </w:r>
            <w:proofErr w:type="spellEnd"/>
          </w:p>
        </w:tc>
        <w:tc>
          <w:tcPr>
            <w:tcW w:w="2302" w:type="dxa"/>
          </w:tcPr>
          <w:p w14:paraId="11800A0E" w14:textId="77777777" w:rsidR="00114953" w:rsidRPr="00BA1DDF" w:rsidRDefault="00114953" w:rsidP="00BF3A72">
            <w:pPr>
              <w:jc w:val="center"/>
              <w:rPr>
                <w:rFonts w:cs="Arial"/>
                <w:color w:val="323233"/>
                <w:sz w:val="18"/>
                <w:szCs w:val="18"/>
                <w:highlight w:val="yellow"/>
              </w:rPr>
            </w:pPr>
            <w:r w:rsidRPr="005E6E7F">
              <w:rPr>
                <w:rFonts w:cs="Arial"/>
                <w:color w:val="323233"/>
                <w:sz w:val="18"/>
                <w:szCs w:val="18"/>
              </w:rPr>
              <w:t xml:space="preserve">21.panta </w:t>
            </w:r>
            <w:proofErr w:type="spellStart"/>
            <w:r w:rsidRPr="005E6E7F">
              <w:rPr>
                <w:rFonts w:cs="Arial"/>
                <w:color w:val="323233"/>
                <w:sz w:val="18"/>
                <w:szCs w:val="18"/>
              </w:rPr>
              <w:t>otrā</w:t>
            </w:r>
            <w:proofErr w:type="spellEnd"/>
            <w:r w:rsidRPr="005E6E7F">
              <w:rPr>
                <w:rFonts w:cs="Arial"/>
                <w:color w:val="323233"/>
                <w:sz w:val="18"/>
                <w:szCs w:val="18"/>
              </w:rPr>
              <w:t xml:space="preserve"> </w:t>
            </w:r>
            <w:proofErr w:type="spellStart"/>
            <w:r w:rsidRPr="005E6E7F">
              <w:rPr>
                <w:rFonts w:cs="Arial"/>
                <w:color w:val="323233"/>
                <w:sz w:val="18"/>
                <w:szCs w:val="18"/>
              </w:rPr>
              <w:t>daļa</w:t>
            </w:r>
            <w:proofErr w:type="spellEnd"/>
          </w:p>
        </w:tc>
        <w:tc>
          <w:tcPr>
            <w:tcW w:w="2302" w:type="dxa"/>
          </w:tcPr>
          <w:p w14:paraId="780E6A83" w14:textId="77777777" w:rsidR="00114953" w:rsidRPr="00BA1DDF" w:rsidRDefault="00114953" w:rsidP="00BF3A72">
            <w:pPr>
              <w:jc w:val="both"/>
              <w:rPr>
                <w:rFonts w:cs="Arial"/>
                <w:color w:val="323233"/>
                <w:sz w:val="18"/>
                <w:szCs w:val="18"/>
                <w:highlight w:val="yellow"/>
              </w:rPr>
            </w:pPr>
            <w:r>
              <w:rPr>
                <w:rFonts w:cs="Arial"/>
                <w:color w:val="323233"/>
                <w:sz w:val="18"/>
                <w:szCs w:val="18"/>
              </w:rPr>
              <w:t xml:space="preserve">„(2) </w:t>
            </w:r>
            <w:proofErr w:type="spellStart"/>
            <w:r>
              <w:rPr>
                <w:rFonts w:cs="Arial"/>
                <w:color w:val="323233"/>
                <w:sz w:val="18"/>
                <w:szCs w:val="18"/>
              </w:rPr>
              <w:t>Juridiskās</w:t>
            </w:r>
            <w:proofErr w:type="spellEnd"/>
            <w:r>
              <w:rPr>
                <w:rFonts w:cs="Arial"/>
                <w:color w:val="323233"/>
                <w:sz w:val="18"/>
                <w:szCs w:val="18"/>
              </w:rPr>
              <w:t xml:space="preserve"> personas </w:t>
            </w:r>
            <w:proofErr w:type="spellStart"/>
            <w:r>
              <w:rPr>
                <w:rFonts w:cs="Arial"/>
                <w:color w:val="323233"/>
                <w:sz w:val="18"/>
                <w:szCs w:val="18"/>
              </w:rPr>
              <w:t>tiesībspēju</w:t>
            </w:r>
            <w:proofErr w:type="spellEnd"/>
            <w:r>
              <w:rPr>
                <w:rFonts w:cs="Arial"/>
                <w:color w:val="323233"/>
                <w:sz w:val="18"/>
                <w:szCs w:val="18"/>
              </w:rPr>
              <w:t xml:space="preserve"> </w:t>
            </w:r>
            <w:proofErr w:type="spellStart"/>
            <w:r>
              <w:rPr>
                <w:rFonts w:cs="Arial"/>
                <w:color w:val="323233"/>
                <w:sz w:val="18"/>
                <w:szCs w:val="18"/>
              </w:rPr>
              <w:t>nosaka</w:t>
            </w:r>
            <w:proofErr w:type="spellEnd"/>
            <w:r>
              <w:rPr>
                <w:rFonts w:cs="Arial"/>
                <w:color w:val="323233"/>
                <w:sz w:val="18"/>
                <w:szCs w:val="18"/>
              </w:rPr>
              <w:t xml:space="preserve"> </w:t>
            </w:r>
            <w:proofErr w:type="spellStart"/>
            <w:r>
              <w:rPr>
                <w:rFonts w:cs="Arial"/>
                <w:color w:val="323233"/>
                <w:sz w:val="18"/>
                <w:szCs w:val="18"/>
              </w:rPr>
              <w:t>pēc</w:t>
            </w:r>
            <w:proofErr w:type="spellEnd"/>
            <w:r>
              <w:rPr>
                <w:rFonts w:cs="Arial"/>
                <w:color w:val="323233"/>
                <w:sz w:val="18"/>
                <w:szCs w:val="18"/>
              </w:rPr>
              <w:t xml:space="preserve"> </w:t>
            </w:r>
            <w:proofErr w:type="spellStart"/>
            <w:r>
              <w:rPr>
                <w:rFonts w:cs="Arial"/>
                <w:color w:val="323233"/>
                <w:sz w:val="18"/>
                <w:szCs w:val="18"/>
              </w:rPr>
              <w:t>tās</w:t>
            </w:r>
            <w:proofErr w:type="spellEnd"/>
            <w:r>
              <w:rPr>
                <w:rFonts w:cs="Arial"/>
                <w:color w:val="323233"/>
                <w:sz w:val="18"/>
                <w:szCs w:val="18"/>
              </w:rPr>
              <w:t xml:space="preserve"> </w:t>
            </w:r>
            <w:proofErr w:type="spellStart"/>
            <w:r>
              <w:rPr>
                <w:rFonts w:cs="Arial"/>
                <w:color w:val="323233"/>
                <w:sz w:val="18"/>
                <w:szCs w:val="18"/>
              </w:rPr>
              <w:t>Līgumslēdzējas</w:t>
            </w:r>
            <w:proofErr w:type="spellEnd"/>
            <w:r>
              <w:rPr>
                <w:rFonts w:cs="Arial"/>
                <w:color w:val="323233"/>
                <w:sz w:val="18"/>
                <w:szCs w:val="18"/>
              </w:rPr>
              <w:t xml:space="preserve"> </w:t>
            </w:r>
            <w:proofErr w:type="spellStart"/>
            <w:r>
              <w:rPr>
                <w:rFonts w:cs="Arial"/>
                <w:color w:val="323233"/>
                <w:sz w:val="18"/>
                <w:szCs w:val="18"/>
              </w:rPr>
              <w:t>Puses</w:t>
            </w:r>
            <w:proofErr w:type="spellEnd"/>
            <w:r>
              <w:rPr>
                <w:rFonts w:cs="Arial"/>
                <w:color w:val="323233"/>
                <w:sz w:val="18"/>
                <w:szCs w:val="18"/>
              </w:rPr>
              <w:t xml:space="preserve"> </w:t>
            </w:r>
            <w:proofErr w:type="spellStart"/>
            <w:r>
              <w:rPr>
                <w:rFonts w:cs="Arial"/>
                <w:color w:val="323233"/>
                <w:sz w:val="18"/>
                <w:szCs w:val="18"/>
              </w:rPr>
              <w:t>likuma</w:t>
            </w:r>
            <w:proofErr w:type="spellEnd"/>
            <w:r>
              <w:rPr>
                <w:rFonts w:cs="Arial"/>
                <w:color w:val="323233"/>
                <w:sz w:val="18"/>
                <w:szCs w:val="18"/>
              </w:rPr>
              <w:t xml:space="preserve">, </w:t>
            </w:r>
            <w:proofErr w:type="spellStart"/>
            <w:r>
              <w:rPr>
                <w:rFonts w:cs="Arial"/>
                <w:color w:val="323233"/>
                <w:sz w:val="18"/>
                <w:szCs w:val="18"/>
              </w:rPr>
              <w:t>kuras</w:t>
            </w:r>
            <w:proofErr w:type="spellEnd"/>
            <w:r>
              <w:rPr>
                <w:rFonts w:cs="Arial"/>
                <w:color w:val="323233"/>
                <w:sz w:val="18"/>
                <w:szCs w:val="18"/>
              </w:rPr>
              <w:t xml:space="preserve"> </w:t>
            </w:r>
            <w:proofErr w:type="spellStart"/>
            <w:r>
              <w:rPr>
                <w:rFonts w:cs="Arial"/>
                <w:color w:val="323233"/>
                <w:sz w:val="18"/>
                <w:szCs w:val="18"/>
              </w:rPr>
              <w:t>teritorijā</w:t>
            </w:r>
            <w:proofErr w:type="spellEnd"/>
            <w:r>
              <w:rPr>
                <w:rFonts w:cs="Arial"/>
                <w:color w:val="323233"/>
                <w:sz w:val="18"/>
                <w:szCs w:val="18"/>
              </w:rPr>
              <w:t xml:space="preserve"> </w:t>
            </w:r>
            <w:proofErr w:type="spellStart"/>
            <w:r>
              <w:rPr>
                <w:rFonts w:cs="Arial"/>
                <w:color w:val="323233"/>
                <w:sz w:val="18"/>
                <w:szCs w:val="18"/>
              </w:rPr>
              <w:t>tā</w:t>
            </w:r>
            <w:proofErr w:type="spellEnd"/>
            <w:r>
              <w:rPr>
                <w:rFonts w:cs="Arial"/>
                <w:color w:val="323233"/>
                <w:sz w:val="18"/>
                <w:szCs w:val="18"/>
              </w:rPr>
              <w:t xml:space="preserve"> </w:t>
            </w:r>
            <w:proofErr w:type="spellStart"/>
            <w:r>
              <w:rPr>
                <w:rFonts w:cs="Arial"/>
                <w:color w:val="323233"/>
                <w:sz w:val="18"/>
                <w:szCs w:val="18"/>
              </w:rPr>
              <w:t>nodibināta</w:t>
            </w:r>
            <w:proofErr w:type="spellEnd"/>
            <w:r>
              <w:rPr>
                <w:rFonts w:cs="Arial"/>
                <w:color w:val="323233"/>
                <w:sz w:val="18"/>
                <w:szCs w:val="18"/>
              </w:rPr>
              <w:t>“.</w:t>
            </w:r>
          </w:p>
        </w:tc>
      </w:tr>
      <w:tr w:rsidR="00114953" w:rsidRPr="000C7C76" w14:paraId="59804BF7" w14:textId="77777777" w:rsidTr="00BF3A72">
        <w:trPr>
          <w:gridAfter w:val="1"/>
          <w:wAfter w:w="38" w:type="dxa"/>
        </w:trPr>
        <w:tc>
          <w:tcPr>
            <w:tcW w:w="675" w:type="dxa"/>
          </w:tcPr>
          <w:p w14:paraId="4B5F55D7" w14:textId="77777777" w:rsidR="00114953" w:rsidRPr="00BA1DDF" w:rsidRDefault="00114953" w:rsidP="00BF3A72">
            <w:pPr>
              <w:jc w:val="center"/>
              <w:rPr>
                <w:rFonts w:cs="Arial"/>
                <w:color w:val="323233"/>
                <w:sz w:val="18"/>
                <w:szCs w:val="18"/>
              </w:rPr>
            </w:pPr>
            <w:r w:rsidRPr="00BA1DDF">
              <w:rPr>
                <w:rFonts w:cs="Arial"/>
                <w:color w:val="323233"/>
                <w:sz w:val="18"/>
                <w:szCs w:val="18"/>
              </w:rPr>
              <w:t>6.</w:t>
            </w:r>
          </w:p>
        </w:tc>
        <w:tc>
          <w:tcPr>
            <w:tcW w:w="3932" w:type="dxa"/>
          </w:tcPr>
          <w:p w14:paraId="236CF977" w14:textId="77777777" w:rsidR="00114953" w:rsidRPr="00BA1DDF" w:rsidRDefault="00114953" w:rsidP="00BF3A72">
            <w:pPr>
              <w:jc w:val="both"/>
              <w:rPr>
                <w:rFonts w:cs="Arial"/>
                <w:color w:val="323233"/>
                <w:sz w:val="18"/>
                <w:szCs w:val="18"/>
              </w:rPr>
            </w:pPr>
            <w:proofErr w:type="spellStart"/>
            <w:r w:rsidRPr="00BA1DDF">
              <w:rPr>
                <w:rFonts w:cs="Arial"/>
                <w:color w:val="323233"/>
                <w:sz w:val="18"/>
                <w:szCs w:val="18"/>
              </w:rPr>
              <w:t>Līgums</w:t>
            </w:r>
            <w:proofErr w:type="spellEnd"/>
            <w:r w:rsidRPr="00BA1DDF">
              <w:rPr>
                <w:rFonts w:cs="Arial"/>
                <w:color w:val="323233"/>
                <w:sz w:val="18"/>
                <w:szCs w:val="18"/>
              </w:rPr>
              <w:t xml:space="preserve"> </w:t>
            </w:r>
            <w:proofErr w:type="spellStart"/>
            <w:r w:rsidRPr="00BA1DDF">
              <w:rPr>
                <w:rFonts w:cs="Arial"/>
                <w:color w:val="323233"/>
                <w:sz w:val="18"/>
                <w:szCs w:val="18"/>
              </w:rPr>
              <w:t>starp</w:t>
            </w:r>
            <w:proofErr w:type="spellEnd"/>
            <w:r w:rsidRPr="00BA1DDF">
              <w:rPr>
                <w:rFonts w:cs="Arial"/>
                <w:color w:val="323233"/>
                <w:sz w:val="18"/>
                <w:szCs w:val="18"/>
              </w:rPr>
              <w:t xml:space="preserve"> </w:t>
            </w:r>
            <w:proofErr w:type="spellStart"/>
            <w:r w:rsidRPr="00BA1DDF">
              <w:rPr>
                <w:rFonts w:cs="Arial"/>
                <w:color w:val="323233"/>
                <w:sz w:val="18"/>
                <w:szCs w:val="18"/>
              </w:rPr>
              <w:t>Latviju</w:t>
            </w:r>
            <w:proofErr w:type="spellEnd"/>
            <w:r w:rsidRPr="00BA1DDF">
              <w:rPr>
                <w:rFonts w:cs="Arial"/>
                <w:color w:val="323233"/>
                <w:sz w:val="18"/>
                <w:szCs w:val="18"/>
              </w:rPr>
              <w:t xml:space="preserve"> </w:t>
            </w:r>
            <w:proofErr w:type="spellStart"/>
            <w:r w:rsidRPr="00BA1DDF">
              <w:rPr>
                <w:rFonts w:cs="Arial"/>
                <w:color w:val="323233"/>
                <w:sz w:val="18"/>
                <w:szCs w:val="18"/>
              </w:rPr>
              <w:t>un</w:t>
            </w:r>
            <w:proofErr w:type="spellEnd"/>
            <w:r w:rsidRPr="00BA1DDF">
              <w:rPr>
                <w:rFonts w:cs="Arial"/>
                <w:color w:val="323233"/>
                <w:sz w:val="18"/>
                <w:szCs w:val="18"/>
              </w:rPr>
              <w:t xml:space="preserve"> </w:t>
            </w:r>
            <w:proofErr w:type="spellStart"/>
            <w:r w:rsidRPr="00BA1DDF">
              <w:rPr>
                <w:rFonts w:cs="Arial"/>
                <w:color w:val="323233"/>
                <w:sz w:val="18"/>
                <w:szCs w:val="18"/>
              </w:rPr>
              <w:t>Uzbekistānu</w:t>
            </w:r>
            <w:proofErr w:type="spellEnd"/>
          </w:p>
        </w:tc>
        <w:tc>
          <w:tcPr>
            <w:tcW w:w="2302" w:type="dxa"/>
          </w:tcPr>
          <w:p w14:paraId="26AB1456" w14:textId="77777777" w:rsidR="00114953" w:rsidRPr="00BA1DDF" w:rsidRDefault="00114953" w:rsidP="00BF3A72">
            <w:pPr>
              <w:jc w:val="center"/>
              <w:rPr>
                <w:rFonts w:cs="Arial"/>
                <w:color w:val="323233"/>
                <w:sz w:val="18"/>
                <w:szCs w:val="18"/>
                <w:highlight w:val="yellow"/>
              </w:rPr>
            </w:pPr>
            <w:r w:rsidRPr="00B500B7">
              <w:rPr>
                <w:rFonts w:cs="Arial"/>
                <w:color w:val="323233"/>
                <w:sz w:val="18"/>
                <w:szCs w:val="18"/>
              </w:rPr>
              <w:t xml:space="preserve">22.panta </w:t>
            </w:r>
            <w:proofErr w:type="spellStart"/>
            <w:r w:rsidRPr="00B500B7">
              <w:rPr>
                <w:rFonts w:cs="Arial"/>
                <w:color w:val="323233"/>
                <w:sz w:val="18"/>
                <w:szCs w:val="18"/>
              </w:rPr>
              <w:t>otrā</w:t>
            </w:r>
            <w:proofErr w:type="spellEnd"/>
            <w:r w:rsidRPr="00B500B7">
              <w:rPr>
                <w:rFonts w:cs="Arial"/>
                <w:color w:val="323233"/>
                <w:sz w:val="18"/>
                <w:szCs w:val="18"/>
              </w:rPr>
              <w:t xml:space="preserve"> </w:t>
            </w:r>
            <w:proofErr w:type="spellStart"/>
            <w:r w:rsidRPr="00B500B7">
              <w:rPr>
                <w:rFonts w:cs="Arial"/>
                <w:color w:val="323233"/>
                <w:sz w:val="18"/>
                <w:szCs w:val="18"/>
              </w:rPr>
              <w:t>daļa</w:t>
            </w:r>
            <w:proofErr w:type="spellEnd"/>
          </w:p>
        </w:tc>
        <w:tc>
          <w:tcPr>
            <w:tcW w:w="2302" w:type="dxa"/>
          </w:tcPr>
          <w:p w14:paraId="0C37F35F" w14:textId="77777777" w:rsidR="00114953" w:rsidRPr="00BA1DDF" w:rsidRDefault="00114953" w:rsidP="00BF3A72">
            <w:pPr>
              <w:jc w:val="both"/>
              <w:rPr>
                <w:rFonts w:cs="Arial"/>
                <w:color w:val="323233"/>
                <w:sz w:val="18"/>
                <w:szCs w:val="18"/>
                <w:highlight w:val="yellow"/>
              </w:rPr>
            </w:pPr>
            <w:r>
              <w:rPr>
                <w:rFonts w:cs="Arial"/>
                <w:color w:val="323233"/>
                <w:sz w:val="18"/>
                <w:szCs w:val="18"/>
              </w:rPr>
              <w:t xml:space="preserve">„(2) </w:t>
            </w:r>
            <w:proofErr w:type="spellStart"/>
            <w:r>
              <w:rPr>
                <w:rFonts w:cs="Arial"/>
                <w:color w:val="323233"/>
                <w:sz w:val="18"/>
                <w:szCs w:val="18"/>
              </w:rPr>
              <w:t>Juridiskās</w:t>
            </w:r>
            <w:proofErr w:type="spellEnd"/>
            <w:r>
              <w:rPr>
                <w:rFonts w:cs="Arial"/>
                <w:color w:val="323233"/>
                <w:sz w:val="18"/>
                <w:szCs w:val="18"/>
              </w:rPr>
              <w:t xml:space="preserve"> personas </w:t>
            </w:r>
            <w:proofErr w:type="spellStart"/>
            <w:r>
              <w:rPr>
                <w:rFonts w:cs="Arial"/>
                <w:color w:val="323233"/>
                <w:sz w:val="18"/>
                <w:szCs w:val="18"/>
              </w:rPr>
              <w:t>tiesībspēju</w:t>
            </w:r>
            <w:proofErr w:type="spellEnd"/>
            <w:r>
              <w:rPr>
                <w:rFonts w:cs="Arial"/>
                <w:color w:val="323233"/>
                <w:sz w:val="18"/>
                <w:szCs w:val="18"/>
              </w:rPr>
              <w:t xml:space="preserve"> </w:t>
            </w:r>
            <w:proofErr w:type="spellStart"/>
            <w:r>
              <w:rPr>
                <w:rFonts w:cs="Arial"/>
                <w:color w:val="323233"/>
                <w:sz w:val="18"/>
                <w:szCs w:val="18"/>
              </w:rPr>
              <w:t>un</w:t>
            </w:r>
            <w:proofErr w:type="spellEnd"/>
            <w:r>
              <w:rPr>
                <w:rFonts w:cs="Arial"/>
                <w:color w:val="323233"/>
                <w:sz w:val="18"/>
                <w:szCs w:val="18"/>
              </w:rPr>
              <w:t xml:space="preserve"> </w:t>
            </w:r>
            <w:proofErr w:type="spellStart"/>
            <w:r>
              <w:rPr>
                <w:rFonts w:cs="Arial"/>
                <w:color w:val="323233"/>
                <w:sz w:val="18"/>
                <w:szCs w:val="18"/>
              </w:rPr>
              <w:t>rīcībspēju</w:t>
            </w:r>
            <w:proofErr w:type="spellEnd"/>
            <w:r>
              <w:rPr>
                <w:rFonts w:cs="Arial"/>
                <w:color w:val="323233"/>
                <w:sz w:val="18"/>
                <w:szCs w:val="18"/>
              </w:rPr>
              <w:t xml:space="preserve"> </w:t>
            </w:r>
            <w:proofErr w:type="spellStart"/>
            <w:r>
              <w:rPr>
                <w:rFonts w:cs="Arial"/>
                <w:color w:val="323233"/>
                <w:sz w:val="18"/>
                <w:szCs w:val="18"/>
              </w:rPr>
              <w:t>nosaka</w:t>
            </w:r>
            <w:proofErr w:type="spellEnd"/>
            <w:r>
              <w:rPr>
                <w:rFonts w:cs="Arial"/>
                <w:color w:val="323233"/>
                <w:sz w:val="18"/>
                <w:szCs w:val="18"/>
              </w:rPr>
              <w:t xml:space="preserve"> </w:t>
            </w:r>
            <w:proofErr w:type="spellStart"/>
            <w:r>
              <w:rPr>
                <w:rFonts w:cs="Arial"/>
                <w:color w:val="323233"/>
                <w:sz w:val="18"/>
                <w:szCs w:val="18"/>
              </w:rPr>
              <w:t>pēc</w:t>
            </w:r>
            <w:proofErr w:type="spellEnd"/>
            <w:r>
              <w:rPr>
                <w:rFonts w:cs="Arial"/>
                <w:color w:val="323233"/>
                <w:sz w:val="18"/>
                <w:szCs w:val="18"/>
              </w:rPr>
              <w:t xml:space="preserve"> </w:t>
            </w:r>
            <w:proofErr w:type="spellStart"/>
            <w:r>
              <w:rPr>
                <w:rFonts w:cs="Arial"/>
                <w:color w:val="323233"/>
                <w:sz w:val="18"/>
                <w:szCs w:val="18"/>
              </w:rPr>
              <w:t>tās</w:t>
            </w:r>
            <w:proofErr w:type="spellEnd"/>
            <w:r>
              <w:rPr>
                <w:rFonts w:cs="Arial"/>
                <w:color w:val="323233"/>
                <w:sz w:val="18"/>
                <w:szCs w:val="18"/>
              </w:rPr>
              <w:t xml:space="preserve"> </w:t>
            </w:r>
            <w:proofErr w:type="spellStart"/>
            <w:r>
              <w:rPr>
                <w:rFonts w:cs="Arial"/>
                <w:color w:val="323233"/>
                <w:sz w:val="18"/>
                <w:szCs w:val="18"/>
              </w:rPr>
              <w:t>Līgumslēdzējas</w:t>
            </w:r>
            <w:proofErr w:type="spellEnd"/>
            <w:r>
              <w:rPr>
                <w:rFonts w:cs="Arial"/>
                <w:color w:val="323233"/>
                <w:sz w:val="18"/>
                <w:szCs w:val="18"/>
              </w:rPr>
              <w:t xml:space="preserve"> </w:t>
            </w:r>
            <w:proofErr w:type="spellStart"/>
            <w:r>
              <w:rPr>
                <w:rFonts w:cs="Arial"/>
                <w:color w:val="323233"/>
                <w:sz w:val="18"/>
                <w:szCs w:val="18"/>
              </w:rPr>
              <w:t>Puses</w:t>
            </w:r>
            <w:proofErr w:type="spellEnd"/>
            <w:r>
              <w:rPr>
                <w:rFonts w:cs="Arial"/>
                <w:color w:val="323233"/>
                <w:sz w:val="18"/>
                <w:szCs w:val="18"/>
              </w:rPr>
              <w:t xml:space="preserve"> </w:t>
            </w:r>
            <w:proofErr w:type="spellStart"/>
            <w:r>
              <w:rPr>
                <w:rFonts w:cs="Arial"/>
                <w:color w:val="323233"/>
                <w:sz w:val="18"/>
                <w:szCs w:val="18"/>
              </w:rPr>
              <w:t>likuma</w:t>
            </w:r>
            <w:proofErr w:type="spellEnd"/>
            <w:r>
              <w:rPr>
                <w:rFonts w:cs="Arial"/>
                <w:color w:val="323233"/>
                <w:sz w:val="18"/>
                <w:szCs w:val="18"/>
              </w:rPr>
              <w:t xml:space="preserve">, </w:t>
            </w:r>
            <w:proofErr w:type="spellStart"/>
            <w:r>
              <w:rPr>
                <w:rFonts w:cs="Arial"/>
                <w:color w:val="323233"/>
                <w:sz w:val="18"/>
                <w:szCs w:val="18"/>
              </w:rPr>
              <w:t>kuras</w:t>
            </w:r>
            <w:proofErr w:type="spellEnd"/>
            <w:r>
              <w:rPr>
                <w:rFonts w:cs="Arial"/>
                <w:color w:val="323233"/>
                <w:sz w:val="18"/>
                <w:szCs w:val="18"/>
              </w:rPr>
              <w:t xml:space="preserve"> </w:t>
            </w:r>
            <w:proofErr w:type="spellStart"/>
            <w:r>
              <w:rPr>
                <w:rFonts w:cs="Arial"/>
                <w:color w:val="323233"/>
                <w:sz w:val="18"/>
                <w:szCs w:val="18"/>
              </w:rPr>
              <w:t>teritorijā</w:t>
            </w:r>
            <w:proofErr w:type="spellEnd"/>
            <w:r>
              <w:rPr>
                <w:rFonts w:cs="Arial"/>
                <w:color w:val="323233"/>
                <w:sz w:val="18"/>
                <w:szCs w:val="18"/>
              </w:rPr>
              <w:t xml:space="preserve"> </w:t>
            </w:r>
            <w:proofErr w:type="spellStart"/>
            <w:r>
              <w:rPr>
                <w:rFonts w:cs="Arial"/>
                <w:color w:val="323233"/>
                <w:sz w:val="18"/>
                <w:szCs w:val="18"/>
              </w:rPr>
              <w:t>tā</w:t>
            </w:r>
            <w:proofErr w:type="spellEnd"/>
            <w:r>
              <w:rPr>
                <w:rFonts w:cs="Arial"/>
                <w:color w:val="323233"/>
                <w:sz w:val="18"/>
                <w:szCs w:val="18"/>
              </w:rPr>
              <w:t xml:space="preserve"> </w:t>
            </w:r>
            <w:proofErr w:type="spellStart"/>
            <w:r>
              <w:rPr>
                <w:rFonts w:cs="Arial"/>
                <w:color w:val="323233"/>
                <w:sz w:val="18"/>
                <w:szCs w:val="18"/>
              </w:rPr>
              <w:t>nodibināta</w:t>
            </w:r>
            <w:proofErr w:type="spellEnd"/>
            <w:r>
              <w:rPr>
                <w:rFonts w:cs="Arial"/>
                <w:color w:val="323233"/>
                <w:sz w:val="18"/>
                <w:szCs w:val="18"/>
              </w:rPr>
              <w:t>“.</w:t>
            </w:r>
          </w:p>
        </w:tc>
      </w:tr>
      <w:tr w:rsidR="00114953" w:rsidRPr="000C7C76" w14:paraId="2E3FD708" w14:textId="77777777" w:rsidTr="00BF3A72">
        <w:trPr>
          <w:gridAfter w:val="1"/>
          <w:wAfter w:w="38" w:type="dxa"/>
        </w:trPr>
        <w:tc>
          <w:tcPr>
            <w:tcW w:w="675" w:type="dxa"/>
          </w:tcPr>
          <w:p w14:paraId="29EF355F" w14:textId="77777777" w:rsidR="00114953" w:rsidRPr="00BA1DDF" w:rsidRDefault="00114953" w:rsidP="00BF3A72">
            <w:pPr>
              <w:jc w:val="center"/>
              <w:rPr>
                <w:rFonts w:cs="Arial"/>
                <w:color w:val="323233"/>
                <w:sz w:val="18"/>
                <w:szCs w:val="18"/>
              </w:rPr>
            </w:pPr>
            <w:r w:rsidRPr="00BA1DDF">
              <w:rPr>
                <w:rFonts w:cs="Arial"/>
                <w:color w:val="323233"/>
                <w:sz w:val="18"/>
                <w:szCs w:val="18"/>
              </w:rPr>
              <w:t>7.</w:t>
            </w:r>
          </w:p>
        </w:tc>
        <w:tc>
          <w:tcPr>
            <w:tcW w:w="3932" w:type="dxa"/>
          </w:tcPr>
          <w:p w14:paraId="58DF53E7" w14:textId="77777777" w:rsidR="00114953" w:rsidRPr="00BA1DDF" w:rsidRDefault="00114953" w:rsidP="00BF3A72">
            <w:pPr>
              <w:jc w:val="both"/>
              <w:rPr>
                <w:rFonts w:cs="Arial"/>
                <w:color w:val="323233"/>
                <w:sz w:val="18"/>
                <w:szCs w:val="18"/>
              </w:rPr>
            </w:pPr>
            <w:proofErr w:type="spellStart"/>
            <w:r w:rsidRPr="00BA1DDF">
              <w:rPr>
                <w:rFonts w:cs="Arial"/>
                <w:color w:val="323233"/>
                <w:sz w:val="18"/>
                <w:szCs w:val="18"/>
              </w:rPr>
              <w:t>Līgums</w:t>
            </w:r>
            <w:proofErr w:type="spellEnd"/>
            <w:r w:rsidRPr="00BA1DDF">
              <w:rPr>
                <w:rFonts w:cs="Arial"/>
                <w:color w:val="323233"/>
                <w:sz w:val="18"/>
                <w:szCs w:val="18"/>
              </w:rPr>
              <w:t xml:space="preserve"> </w:t>
            </w:r>
            <w:proofErr w:type="spellStart"/>
            <w:r w:rsidRPr="00BA1DDF">
              <w:rPr>
                <w:rFonts w:cs="Arial"/>
                <w:color w:val="323233"/>
                <w:sz w:val="18"/>
                <w:szCs w:val="18"/>
              </w:rPr>
              <w:t>starp</w:t>
            </w:r>
            <w:proofErr w:type="spellEnd"/>
            <w:r w:rsidRPr="00BA1DDF">
              <w:rPr>
                <w:rFonts w:cs="Arial"/>
                <w:color w:val="323233"/>
                <w:sz w:val="18"/>
                <w:szCs w:val="18"/>
              </w:rPr>
              <w:t xml:space="preserve"> </w:t>
            </w:r>
            <w:proofErr w:type="spellStart"/>
            <w:r w:rsidRPr="00BA1DDF">
              <w:rPr>
                <w:rFonts w:cs="Arial"/>
                <w:color w:val="323233"/>
                <w:sz w:val="18"/>
                <w:szCs w:val="18"/>
              </w:rPr>
              <w:t>Latviju</w:t>
            </w:r>
            <w:proofErr w:type="spellEnd"/>
            <w:r w:rsidRPr="00BA1DDF">
              <w:rPr>
                <w:rFonts w:cs="Arial"/>
                <w:color w:val="323233"/>
                <w:sz w:val="18"/>
                <w:szCs w:val="18"/>
              </w:rPr>
              <w:t xml:space="preserve"> </w:t>
            </w:r>
            <w:proofErr w:type="spellStart"/>
            <w:r w:rsidRPr="00BA1DDF">
              <w:rPr>
                <w:rFonts w:cs="Arial"/>
                <w:color w:val="323233"/>
                <w:sz w:val="18"/>
                <w:szCs w:val="18"/>
              </w:rPr>
              <w:t>un</w:t>
            </w:r>
            <w:proofErr w:type="spellEnd"/>
            <w:r w:rsidRPr="00BA1DDF">
              <w:rPr>
                <w:rFonts w:cs="Arial"/>
                <w:color w:val="323233"/>
                <w:sz w:val="18"/>
                <w:szCs w:val="18"/>
              </w:rPr>
              <w:t xml:space="preserve"> </w:t>
            </w:r>
            <w:proofErr w:type="spellStart"/>
            <w:r w:rsidRPr="00BA1DDF">
              <w:rPr>
                <w:rFonts w:cs="Arial"/>
                <w:color w:val="323233"/>
                <w:sz w:val="18"/>
                <w:szCs w:val="18"/>
              </w:rPr>
              <w:t>Kirgizstānu</w:t>
            </w:r>
            <w:proofErr w:type="spellEnd"/>
          </w:p>
        </w:tc>
        <w:tc>
          <w:tcPr>
            <w:tcW w:w="2302" w:type="dxa"/>
          </w:tcPr>
          <w:p w14:paraId="0AA2AF52" w14:textId="77777777" w:rsidR="00114953" w:rsidRPr="00BA1DDF" w:rsidRDefault="00114953" w:rsidP="00BF3A72">
            <w:pPr>
              <w:jc w:val="center"/>
              <w:rPr>
                <w:rFonts w:cs="Arial"/>
                <w:color w:val="323233"/>
                <w:sz w:val="18"/>
                <w:szCs w:val="18"/>
                <w:highlight w:val="yellow"/>
              </w:rPr>
            </w:pPr>
            <w:r w:rsidRPr="00B500B7">
              <w:rPr>
                <w:rFonts w:cs="Arial"/>
                <w:color w:val="323233"/>
                <w:sz w:val="18"/>
                <w:szCs w:val="18"/>
              </w:rPr>
              <w:t xml:space="preserve">22.panta </w:t>
            </w:r>
            <w:proofErr w:type="spellStart"/>
            <w:r w:rsidRPr="00B500B7">
              <w:rPr>
                <w:rFonts w:cs="Arial"/>
                <w:color w:val="323233"/>
                <w:sz w:val="18"/>
                <w:szCs w:val="18"/>
              </w:rPr>
              <w:t>otrā</w:t>
            </w:r>
            <w:proofErr w:type="spellEnd"/>
            <w:r w:rsidRPr="00B500B7">
              <w:rPr>
                <w:rFonts w:cs="Arial"/>
                <w:color w:val="323233"/>
                <w:sz w:val="18"/>
                <w:szCs w:val="18"/>
              </w:rPr>
              <w:t xml:space="preserve"> </w:t>
            </w:r>
            <w:proofErr w:type="spellStart"/>
            <w:r w:rsidRPr="00B500B7">
              <w:rPr>
                <w:rFonts w:cs="Arial"/>
                <w:color w:val="323233"/>
                <w:sz w:val="18"/>
                <w:szCs w:val="18"/>
              </w:rPr>
              <w:t>daļa</w:t>
            </w:r>
            <w:proofErr w:type="spellEnd"/>
          </w:p>
        </w:tc>
        <w:tc>
          <w:tcPr>
            <w:tcW w:w="2302" w:type="dxa"/>
          </w:tcPr>
          <w:p w14:paraId="1E2C8D92" w14:textId="77777777" w:rsidR="00114953" w:rsidRPr="00BA1DDF" w:rsidRDefault="00114953" w:rsidP="00BF3A72">
            <w:pPr>
              <w:rPr>
                <w:rFonts w:cs="Arial"/>
                <w:color w:val="323233"/>
                <w:sz w:val="18"/>
                <w:szCs w:val="18"/>
                <w:highlight w:val="yellow"/>
              </w:rPr>
            </w:pPr>
            <w:r>
              <w:rPr>
                <w:rFonts w:cs="Arial"/>
                <w:color w:val="323233"/>
                <w:sz w:val="18"/>
                <w:szCs w:val="18"/>
              </w:rPr>
              <w:t xml:space="preserve">„(2) </w:t>
            </w:r>
            <w:proofErr w:type="spellStart"/>
            <w:r>
              <w:rPr>
                <w:rFonts w:cs="Arial"/>
                <w:color w:val="323233"/>
                <w:sz w:val="18"/>
                <w:szCs w:val="18"/>
              </w:rPr>
              <w:t>Juridiskās</w:t>
            </w:r>
            <w:proofErr w:type="spellEnd"/>
            <w:r>
              <w:rPr>
                <w:rFonts w:cs="Arial"/>
                <w:color w:val="323233"/>
                <w:sz w:val="18"/>
                <w:szCs w:val="18"/>
              </w:rPr>
              <w:t xml:space="preserve"> personas </w:t>
            </w:r>
            <w:proofErr w:type="spellStart"/>
            <w:r>
              <w:rPr>
                <w:rFonts w:cs="Arial"/>
                <w:color w:val="323233"/>
                <w:sz w:val="18"/>
                <w:szCs w:val="18"/>
              </w:rPr>
              <w:t>tiesībspēju</w:t>
            </w:r>
            <w:proofErr w:type="spellEnd"/>
            <w:r>
              <w:rPr>
                <w:rFonts w:cs="Arial"/>
                <w:color w:val="323233"/>
                <w:sz w:val="18"/>
                <w:szCs w:val="18"/>
              </w:rPr>
              <w:t xml:space="preserve"> </w:t>
            </w:r>
            <w:proofErr w:type="spellStart"/>
            <w:r>
              <w:rPr>
                <w:rFonts w:cs="Arial"/>
                <w:color w:val="323233"/>
                <w:sz w:val="18"/>
                <w:szCs w:val="18"/>
              </w:rPr>
              <w:t>nosaka</w:t>
            </w:r>
            <w:proofErr w:type="spellEnd"/>
            <w:r>
              <w:rPr>
                <w:rFonts w:cs="Arial"/>
                <w:color w:val="323233"/>
                <w:sz w:val="18"/>
                <w:szCs w:val="18"/>
              </w:rPr>
              <w:t xml:space="preserve"> </w:t>
            </w:r>
            <w:proofErr w:type="spellStart"/>
            <w:r>
              <w:rPr>
                <w:rFonts w:cs="Arial"/>
                <w:color w:val="323233"/>
                <w:sz w:val="18"/>
                <w:szCs w:val="18"/>
              </w:rPr>
              <w:t>pēc</w:t>
            </w:r>
            <w:proofErr w:type="spellEnd"/>
            <w:r>
              <w:rPr>
                <w:rFonts w:cs="Arial"/>
                <w:color w:val="323233"/>
                <w:sz w:val="18"/>
                <w:szCs w:val="18"/>
              </w:rPr>
              <w:t xml:space="preserve"> </w:t>
            </w:r>
            <w:proofErr w:type="spellStart"/>
            <w:r>
              <w:rPr>
                <w:rFonts w:cs="Arial"/>
                <w:color w:val="323233"/>
                <w:sz w:val="18"/>
                <w:szCs w:val="18"/>
              </w:rPr>
              <w:t>tās</w:t>
            </w:r>
            <w:proofErr w:type="spellEnd"/>
            <w:r>
              <w:rPr>
                <w:rFonts w:cs="Arial"/>
                <w:color w:val="323233"/>
                <w:sz w:val="18"/>
                <w:szCs w:val="18"/>
              </w:rPr>
              <w:t xml:space="preserve"> </w:t>
            </w:r>
            <w:proofErr w:type="spellStart"/>
            <w:r>
              <w:rPr>
                <w:rFonts w:cs="Arial"/>
                <w:color w:val="323233"/>
                <w:sz w:val="18"/>
                <w:szCs w:val="18"/>
              </w:rPr>
              <w:t>Līgumslēdzējas</w:t>
            </w:r>
            <w:proofErr w:type="spellEnd"/>
            <w:r>
              <w:rPr>
                <w:rFonts w:cs="Arial"/>
                <w:color w:val="323233"/>
                <w:sz w:val="18"/>
                <w:szCs w:val="18"/>
              </w:rPr>
              <w:t xml:space="preserve"> </w:t>
            </w:r>
            <w:proofErr w:type="spellStart"/>
            <w:r>
              <w:rPr>
                <w:rFonts w:cs="Arial"/>
                <w:color w:val="323233"/>
                <w:sz w:val="18"/>
                <w:szCs w:val="18"/>
              </w:rPr>
              <w:t>Puses</w:t>
            </w:r>
            <w:proofErr w:type="spellEnd"/>
            <w:r>
              <w:rPr>
                <w:rFonts w:cs="Arial"/>
                <w:color w:val="323233"/>
                <w:sz w:val="18"/>
                <w:szCs w:val="18"/>
              </w:rPr>
              <w:t xml:space="preserve"> </w:t>
            </w:r>
            <w:proofErr w:type="spellStart"/>
            <w:r>
              <w:rPr>
                <w:rFonts w:cs="Arial"/>
                <w:color w:val="323233"/>
                <w:sz w:val="18"/>
                <w:szCs w:val="18"/>
              </w:rPr>
              <w:t>likuma</w:t>
            </w:r>
            <w:proofErr w:type="spellEnd"/>
            <w:r>
              <w:rPr>
                <w:rFonts w:cs="Arial"/>
                <w:color w:val="323233"/>
                <w:sz w:val="18"/>
                <w:szCs w:val="18"/>
              </w:rPr>
              <w:t xml:space="preserve">, </w:t>
            </w:r>
            <w:proofErr w:type="spellStart"/>
            <w:r>
              <w:rPr>
                <w:rFonts w:cs="Arial"/>
                <w:color w:val="323233"/>
                <w:sz w:val="18"/>
                <w:szCs w:val="18"/>
              </w:rPr>
              <w:t>kuras</w:t>
            </w:r>
            <w:proofErr w:type="spellEnd"/>
            <w:r>
              <w:rPr>
                <w:rFonts w:cs="Arial"/>
                <w:color w:val="323233"/>
                <w:sz w:val="18"/>
                <w:szCs w:val="18"/>
              </w:rPr>
              <w:t xml:space="preserve"> </w:t>
            </w:r>
            <w:proofErr w:type="spellStart"/>
            <w:r>
              <w:rPr>
                <w:rFonts w:cs="Arial"/>
                <w:color w:val="323233"/>
                <w:sz w:val="18"/>
                <w:szCs w:val="18"/>
              </w:rPr>
              <w:t>teritorijā</w:t>
            </w:r>
            <w:proofErr w:type="spellEnd"/>
            <w:r>
              <w:rPr>
                <w:rFonts w:cs="Arial"/>
                <w:color w:val="323233"/>
                <w:sz w:val="18"/>
                <w:szCs w:val="18"/>
              </w:rPr>
              <w:t xml:space="preserve"> </w:t>
            </w:r>
            <w:proofErr w:type="spellStart"/>
            <w:r>
              <w:rPr>
                <w:rFonts w:cs="Arial"/>
                <w:color w:val="323233"/>
                <w:sz w:val="18"/>
                <w:szCs w:val="18"/>
              </w:rPr>
              <w:t>tā</w:t>
            </w:r>
            <w:proofErr w:type="spellEnd"/>
            <w:r>
              <w:rPr>
                <w:rFonts w:cs="Arial"/>
                <w:color w:val="323233"/>
                <w:sz w:val="18"/>
                <w:szCs w:val="18"/>
              </w:rPr>
              <w:t xml:space="preserve"> </w:t>
            </w:r>
            <w:proofErr w:type="spellStart"/>
            <w:r>
              <w:rPr>
                <w:rFonts w:cs="Arial"/>
                <w:color w:val="323233"/>
                <w:sz w:val="18"/>
                <w:szCs w:val="18"/>
              </w:rPr>
              <w:t>nodibināta</w:t>
            </w:r>
            <w:proofErr w:type="spellEnd"/>
            <w:r>
              <w:rPr>
                <w:rFonts w:cs="Arial"/>
                <w:color w:val="323233"/>
                <w:sz w:val="18"/>
                <w:szCs w:val="18"/>
              </w:rPr>
              <w:t>“.</w:t>
            </w:r>
          </w:p>
        </w:tc>
      </w:tr>
      <w:tr w:rsidR="00114953" w:rsidRPr="000C7C76" w14:paraId="27CD5954" w14:textId="77777777" w:rsidTr="00BF3A72">
        <w:tc>
          <w:tcPr>
            <w:tcW w:w="675" w:type="dxa"/>
          </w:tcPr>
          <w:p w14:paraId="62292233" w14:textId="77777777" w:rsidR="00114953" w:rsidRPr="00BA1DDF" w:rsidRDefault="00114953" w:rsidP="00BF3A72">
            <w:pPr>
              <w:jc w:val="center"/>
              <w:rPr>
                <w:rFonts w:cs="Arial"/>
                <w:color w:val="323233"/>
                <w:sz w:val="18"/>
                <w:szCs w:val="18"/>
              </w:rPr>
            </w:pPr>
            <w:r w:rsidRPr="00BA1DDF">
              <w:rPr>
                <w:rFonts w:cs="Arial"/>
                <w:color w:val="323233"/>
                <w:sz w:val="18"/>
                <w:szCs w:val="18"/>
              </w:rPr>
              <w:t>8.</w:t>
            </w:r>
          </w:p>
        </w:tc>
        <w:tc>
          <w:tcPr>
            <w:tcW w:w="3932" w:type="dxa"/>
          </w:tcPr>
          <w:p w14:paraId="5F11E5A1" w14:textId="77777777" w:rsidR="00114953" w:rsidRPr="00BA1DDF" w:rsidRDefault="00114953" w:rsidP="00BF3A72">
            <w:pPr>
              <w:jc w:val="both"/>
              <w:rPr>
                <w:rFonts w:cs="Arial"/>
                <w:color w:val="323233"/>
                <w:sz w:val="18"/>
                <w:szCs w:val="18"/>
              </w:rPr>
            </w:pPr>
            <w:proofErr w:type="spellStart"/>
            <w:r w:rsidRPr="00BA1DDF">
              <w:rPr>
                <w:rFonts w:cs="Arial"/>
                <w:color w:val="323233"/>
                <w:sz w:val="18"/>
                <w:szCs w:val="18"/>
              </w:rPr>
              <w:t>Līgums</w:t>
            </w:r>
            <w:proofErr w:type="spellEnd"/>
            <w:r w:rsidRPr="00BA1DDF">
              <w:rPr>
                <w:rFonts w:cs="Arial"/>
                <w:color w:val="323233"/>
                <w:sz w:val="18"/>
                <w:szCs w:val="18"/>
              </w:rPr>
              <w:t xml:space="preserve"> </w:t>
            </w:r>
            <w:proofErr w:type="spellStart"/>
            <w:r w:rsidRPr="00BA1DDF">
              <w:rPr>
                <w:rFonts w:cs="Arial"/>
                <w:color w:val="323233"/>
                <w:sz w:val="18"/>
                <w:szCs w:val="18"/>
              </w:rPr>
              <w:t>starp</w:t>
            </w:r>
            <w:proofErr w:type="spellEnd"/>
            <w:r w:rsidRPr="00BA1DDF">
              <w:rPr>
                <w:rFonts w:cs="Arial"/>
                <w:color w:val="323233"/>
                <w:sz w:val="18"/>
                <w:szCs w:val="18"/>
              </w:rPr>
              <w:t xml:space="preserve"> </w:t>
            </w:r>
            <w:proofErr w:type="spellStart"/>
            <w:r w:rsidRPr="00BA1DDF">
              <w:rPr>
                <w:rFonts w:cs="Arial"/>
                <w:color w:val="323233"/>
                <w:sz w:val="18"/>
                <w:szCs w:val="18"/>
              </w:rPr>
              <w:t>Latviju</w:t>
            </w:r>
            <w:proofErr w:type="spellEnd"/>
            <w:r w:rsidRPr="00BA1DDF">
              <w:rPr>
                <w:rFonts w:cs="Arial"/>
                <w:color w:val="323233"/>
                <w:sz w:val="18"/>
                <w:szCs w:val="18"/>
              </w:rPr>
              <w:t xml:space="preserve"> </w:t>
            </w:r>
            <w:proofErr w:type="spellStart"/>
            <w:r w:rsidRPr="00BA1DDF">
              <w:rPr>
                <w:rFonts w:cs="Arial"/>
                <w:color w:val="323233"/>
                <w:sz w:val="18"/>
                <w:szCs w:val="18"/>
              </w:rPr>
              <w:t>un</w:t>
            </w:r>
            <w:proofErr w:type="spellEnd"/>
            <w:r w:rsidRPr="00BA1DDF">
              <w:rPr>
                <w:rFonts w:cs="Arial"/>
                <w:color w:val="323233"/>
                <w:sz w:val="18"/>
                <w:szCs w:val="18"/>
              </w:rPr>
              <w:t xml:space="preserve"> </w:t>
            </w:r>
            <w:proofErr w:type="spellStart"/>
            <w:r w:rsidRPr="00BA1DDF">
              <w:rPr>
                <w:rFonts w:cs="Arial"/>
                <w:color w:val="323233"/>
                <w:sz w:val="18"/>
                <w:szCs w:val="18"/>
              </w:rPr>
              <w:t>Krievijas</w:t>
            </w:r>
            <w:proofErr w:type="spellEnd"/>
            <w:r w:rsidRPr="00BA1DDF">
              <w:rPr>
                <w:rFonts w:cs="Arial"/>
                <w:color w:val="323233"/>
                <w:sz w:val="18"/>
                <w:szCs w:val="18"/>
              </w:rPr>
              <w:t xml:space="preserve"> </w:t>
            </w:r>
            <w:proofErr w:type="spellStart"/>
            <w:r w:rsidRPr="00BA1DDF">
              <w:rPr>
                <w:rFonts w:cs="Arial"/>
                <w:color w:val="323233"/>
                <w:sz w:val="18"/>
                <w:szCs w:val="18"/>
              </w:rPr>
              <w:t>Federāciju</w:t>
            </w:r>
            <w:proofErr w:type="spellEnd"/>
          </w:p>
        </w:tc>
        <w:tc>
          <w:tcPr>
            <w:tcW w:w="2302" w:type="dxa"/>
          </w:tcPr>
          <w:p w14:paraId="4CA328EE" w14:textId="77777777" w:rsidR="00114953" w:rsidRPr="00BA1DDF" w:rsidRDefault="00114953" w:rsidP="00BF3A72">
            <w:pPr>
              <w:jc w:val="center"/>
              <w:rPr>
                <w:rFonts w:cs="Arial"/>
                <w:color w:val="323233"/>
                <w:sz w:val="18"/>
                <w:szCs w:val="18"/>
                <w:highlight w:val="yellow"/>
              </w:rPr>
            </w:pPr>
            <w:r w:rsidRPr="00DC159A">
              <w:rPr>
                <w:rFonts w:cs="Arial"/>
                <w:color w:val="323233"/>
                <w:sz w:val="18"/>
                <w:szCs w:val="18"/>
              </w:rPr>
              <w:t xml:space="preserve">22.panta </w:t>
            </w:r>
            <w:proofErr w:type="spellStart"/>
            <w:r w:rsidRPr="00DC159A">
              <w:rPr>
                <w:rFonts w:cs="Arial"/>
                <w:color w:val="323233"/>
                <w:sz w:val="18"/>
                <w:szCs w:val="18"/>
              </w:rPr>
              <w:t>otrā</w:t>
            </w:r>
            <w:proofErr w:type="spellEnd"/>
            <w:r w:rsidRPr="00DC159A">
              <w:rPr>
                <w:rFonts w:cs="Arial"/>
                <w:color w:val="323233"/>
                <w:sz w:val="18"/>
                <w:szCs w:val="18"/>
              </w:rPr>
              <w:t xml:space="preserve"> </w:t>
            </w:r>
            <w:proofErr w:type="spellStart"/>
            <w:r w:rsidRPr="00DC159A">
              <w:rPr>
                <w:rFonts w:cs="Arial"/>
                <w:color w:val="323233"/>
                <w:sz w:val="18"/>
                <w:szCs w:val="18"/>
              </w:rPr>
              <w:t>daļa</w:t>
            </w:r>
            <w:proofErr w:type="spellEnd"/>
          </w:p>
        </w:tc>
        <w:tc>
          <w:tcPr>
            <w:tcW w:w="2340" w:type="dxa"/>
            <w:gridSpan w:val="2"/>
          </w:tcPr>
          <w:p w14:paraId="2A660B54" w14:textId="77777777" w:rsidR="00114953" w:rsidRPr="00BA1DDF" w:rsidRDefault="00114953" w:rsidP="00BF3A72">
            <w:pPr>
              <w:rPr>
                <w:rFonts w:cs="Arial"/>
                <w:color w:val="323233"/>
                <w:sz w:val="18"/>
                <w:szCs w:val="18"/>
                <w:highlight w:val="yellow"/>
              </w:rPr>
            </w:pPr>
            <w:r>
              <w:rPr>
                <w:rFonts w:cs="Arial"/>
                <w:color w:val="323233"/>
                <w:sz w:val="18"/>
                <w:szCs w:val="18"/>
              </w:rPr>
              <w:t xml:space="preserve">„(2) </w:t>
            </w:r>
            <w:proofErr w:type="spellStart"/>
            <w:r>
              <w:rPr>
                <w:rFonts w:cs="Arial"/>
                <w:color w:val="323233"/>
                <w:sz w:val="18"/>
                <w:szCs w:val="18"/>
              </w:rPr>
              <w:t>Juridiskās</w:t>
            </w:r>
            <w:proofErr w:type="spellEnd"/>
            <w:r>
              <w:rPr>
                <w:rFonts w:cs="Arial"/>
                <w:color w:val="323233"/>
                <w:sz w:val="18"/>
                <w:szCs w:val="18"/>
              </w:rPr>
              <w:t xml:space="preserve"> personas </w:t>
            </w:r>
            <w:proofErr w:type="spellStart"/>
            <w:r>
              <w:rPr>
                <w:rFonts w:cs="Arial"/>
                <w:color w:val="323233"/>
                <w:sz w:val="18"/>
                <w:szCs w:val="18"/>
              </w:rPr>
              <w:t>tiesībspēju</w:t>
            </w:r>
            <w:proofErr w:type="spellEnd"/>
            <w:r>
              <w:rPr>
                <w:rFonts w:cs="Arial"/>
                <w:color w:val="323233"/>
                <w:sz w:val="18"/>
                <w:szCs w:val="18"/>
              </w:rPr>
              <w:t xml:space="preserve"> </w:t>
            </w:r>
            <w:proofErr w:type="spellStart"/>
            <w:r>
              <w:rPr>
                <w:rFonts w:cs="Arial"/>
                <w:color w:val="323233"/>
                <w:sz w:val="18"/>
                <w:szCs w:val="18"/>
              </w:rPr>
              <w:t>nosaka</w:t>
            </w:r>
            <w:proofErr w:type="spellEnd"/>
            <w:r>
              <w:rPr>
                <w:rFonts w:cs="Arial"/>
                <w:color w:val="323233"/>
                <w:sz w:val="18"/>
                <w:szCs w:val="18"/>
              </w:rPr>
              <w:t xml:space="preserve"> </w:t>
            </w:r>
            <w:proofErr w:type="spellStart"/>
            <w:r>
              <w:rPr>
                <w:rFonts w:cs="Arial"/>
                <w:color w:val="323233"/>
                <w:sz w:val="18"/>
                <w:szCs w:val="18"/>
              </w:rPr>
              <w:t>pēc</w:t>
            </w:r>
            <w:proofErr w:type="spellEnd"/>
            <w:r>
              <w:rPr>
                <w:rFonts w:cs="Arial"/>
                <w:color w:val="323233"/>
                <w:sz w:val="18"/>
                <w:szCs w:val="18"/>
              </w:rPr>
              <w:t xml:space="preserve"> </w:t>
            </w:r>
            <w:proofErr w:type="spellStart"/>
            <w:r>
              <w:rPr>
                <w:rFonts w:cs="Arial"/>
                <w:color w:val="323233"/>
                <w:sz w:val="18"/>
                <w:szCs w:val="18"/>
              </w:rPr>
              <w:t>tās</w:t>
            </w:r>
            <w:proofErr w:type="spellEnd"/>
            <w:r>
              <w:rPr>
                <w:rFonts w:cs="Arial"/>
                <w:color w:val="323233"/>
                <w:sz w:val="18"/>
                <w:szCs w:val="18"/>
              </w:rPr>
              <w:t xml:space="preserve"> </w:t>
            </w:r>
            <w:proofErr w:type="spellStart"/>
            <w:r>
              <w:rPr>
                <w:rFonts w:cs="Arial"/>
                <w:color w:val="323233"/>
                <w:sz w:val="18"/>
                <w:szCs w:val="18"/>
              </w:rPr>
              <w:t>Līgumslēdzējas</w:t>
            </w:r>
            <w:proofErr w:type="spellEnd"/>
            <w:r>
              <w:rPr>
                <w:rFonts w:cs="Arial"/>
                <w:color w:val="323233"/>
                <w:sz w:val="18"/>
                <w:szCs w:val="18"/>
              </w:rPr>
              <w:t xml:space="preserve"> </w:t>
            </w:r>
            <w:proofErr w:type="spellStart"/>
            <w:r>
              <w:rPr>
                <w:rFonts w:cs="Arial"/>
                <w:color w:val="323233"/>
                <w:sz w:val="18"/>
                <w:szCs w:val="18"/>
              </w:rPr>
              <w:t>Puses</w:t>
            </w:r>
            <w:proofErr w:type="spellEnd"/>
            <w:r>
              <w:rPr>
                <w:rFonts w:cs="Arial"/>
                <w:color w:val="323233"/>
                <w:sz w:val="18"/>
                <w:szCs w:val="18"/>
              </w:rPr>
              <w:t xml:space="preserve"> </w:t>
            </w:r>
            <w:proofErr w:type="spellStart"/>
            <w:r>
              <w:rPr>
                <w:rFonts w:cs="Arial"/>
                <w:color w:val="323233"/>
                <w:sz w:val="18"/>
                <w:szCs w:val="18"/>
              </w:rPr>
              <w:t>likuma</w:t>
            </w:r>
            <w:proofErr w:type="spellEnd"/>
            <w:r>
              <w:rPr>
                <w:rFonts w:cs="Arial"/>
                <w:color w:val="323233"/>
                <w:sz w:val="18"/>
                <w:szCs w:val="18"/>
              </w:rPr>
              <w:t xml:space="preserve">, </w:t>
            </w:r>
            <w:proofErr w:type="spellStart"/>
            <w:r>
              <w:rPr>
                <w:rFonts w:cs="Arial"/>
                <w:color w:val="323233"/>
                <w:sz w:val="18"/>
                <w:szCs w:val="18"/>
              </w:rPr>
              <w:t>kuras</w:t>
            </w:r>
            <w:proofErr w:type="spellEnd"/>
            <w:r>
              <w:rPr>
                <w:rFonts w:cs="Arial"/>
                <w:color w:val="323233"/>
                <w:sz w:val="18"/>
                <w:szCs w:val="18"/>
              </w:rPr>
              <w:t xml:space="preserve"> </w:t>
            </w:r>
            <w:proofErr w:type="spellStart"/>
            <w:r>
              <w:rPr>
                <w:rFonts w:cs="Arial"/>
                <w:color w:val="323233"/>
                <w:sz w:val="18"/>
                <w:szCs w:val="18"/>
              </w:rPr>
              <w:t>teritorijā</w:t>
            </w:r>
            <w:proofErr w:type="spellEnd"/>
            <w:r>
              <w:rPr>
                <w:rFonts w:cs="Arial"/>
                <w:color w:val="323233"/>
                <w:sz w:val="18"/>
                <w:szCs w:val="18"/>
              </w:rPr>
              <w:t xml:space="preserve"> </w:t>
            </w:r>
            <w:proofErr w:type="spellStart"/>
            <w:r>
              <w:rPr>
                <w:rFonts w:cs="Arial"/>
                <w:color w:val="323233"/>
                <w:sz w:val="18"/>
                <w:szCs w:val="18"/>
              </w:rPr>
              <w:t>tā</w:t>
            </w:r>
            <w:proofErr w:type="spellEnd"/>
            <w:r>
              <w:rPr>
                <w:rFonts w:cs="Arial"/>
                <w:color w:val="323233"/>
                <w:sz w:val="18"/>
                <w:szCs w:val="18"/>
              </w:rPr>
              <w:t xml:space="preserve"> </w:t>
            </w:r>
            <w:proofErr w:type="spellStart"/>
            <w:r>
              <w:rPr>
                <w:rFonts w:cs="Arial"/>
                <w:color w:val="323233"/>
                <w:sz w:val="18"/>
                <w:szCs w:val="18"/>
              </w:rPr>
              <w:t>nodibināta</w:t>
            </w:r>
            <w:proofErr w:type="spellEnd"/>
            <w:r>
              <w:rPr>
                <w:rFonts w:cs="Arial"/>
                <w:color w:val="323233"/>
                <w:sz w:val="18"/>
                <w:szCs w:val="18"/>
              </w:rPr>
              <w:t>“.</w:t>
            </w:r>
          </w:p>
        </w:tc>
      </w:tr>
    </w:tbl>
    <w:p w14:paraId="0BE8ADC1" w14:textId="77777777" w:rsidR="00114953" w:rsidRDefault="00114953" w:rsidP="00114953">
      <w:pPr>
        <w:pStyle w:val="tv213"/>
        <w:ind w:firstLine="708"/>
        <w:jc w:val="both"/>
      </w:pPr>
      <w:proofErr w:type="spellStart"/>
      <w:r w:rsidRPr="00186A0E">
        <w:t>Kā</w:t>
      </w:r>
      <w:proofErr w:type="spellEnd"/>
      <w:r w:rsidRPr="00186A0E">
        <w:t xml:space="preserve"> </w:t>
      </w:r>
      <w:proofErr w:type="spellStart"/>
      <w:r w:rsidRPr="00186A0E">
        <w:t>redzams</w:t>
      </w:r>
      <w:proofErr w:type="spellEnd"/>
      <w:r w:rsidRPr="00186A0E">
        <w:t xml:space="preserve">, </w:t>
      </w:r>
      <w:proofErr w:type="spellStart"/>
      <w:r w:rsidRPr="00186A0E">
        <w:t>atšķirībā</w:t>
      </w:r>
      <w:proofErr w:type="spellEnd"/>
      <w:r w:rsidRPr="00186A0E">
        <w:t xml:space="preserve"> </w:t>
      </w:r>
      <w:proofErr w:type="spellStart"/>
      <w:r w:rsidRPr="00186A0E">
        <w:t>no</w:t>
      </w:r>
      <w:proofErr w:type="spellEnd"/>
      <w:r w:rsidRPr="00186A0E">
        <w:t xml:space="preserve"> CL </w:t>
      </w:r>
      <w:proofErr w:type="spellStart"/>
      <w:r>
        <w:t>Ievada</w:t>
      </w:r>
      <w:proofErr w:type="spellEnd"/>
      <w:r>
        <w:t xml:space="preserve"> </w:t>
      </w:r>
      <w:r w:rsidRPr="00186A0E">
        <w:t xml:space="preserve">8.panta </w:t>
      </w:r>
      <w:proofErr w:type="spellStart"/>
      <w:r w:rsidRPr="00186A0E">
        <w:t>trešās</w:t>
      </w:r>
      <w:proofErr w:type="spellEnd"/>
      <w:r w:rsidRPr="00186A0E">
        <w:t xml:space="preserve"> </w:t>
      </w:r>
      <w:proofErr w:type="spellStart"/>
      <w:r w:rsidRPr="00186A0E">
        <w:t>daļas</w:t>
      </w:r>
      <w:proofErr w:type="spellEnd"/>
      <w:r w:rsidRPr="00186A0E">
        <w:t xml:space="preserve">, </w:t>
      </w:r>
      <w:proofErr w:type="spellStart"/>
      <w:r w:rsidRPr="00186A0E">
        <w:t>kurā</w:t>
      </w:r>
      <w:proofErr w:type="spellEnd"/>
      <w:r w:rsidRPr="00186A0E">
        <w:t xml:space="preserve"> </w:t>
      </w:r>
      <w:proofErr w:type="spellStart"/>
      <w:r w:rsidRPr="00186A0E">
        <w:t>juridiskas</w:t>
      </w:r>
      <w:proofErr w:type="spellEnd"/>
      <w:r w:rsidRPr="00186A0E">
        <w:t xml:space="preserve"> personas </w:t>
      </w:r>
      <w:proofErr w:type="spellStart"/>
      <w:r w:rsidRPr="00186A0E">
        <w:t>rīcībspējas</w:t>
      </w:r>
      <w:proofErr w:type="spellEnd"/>
      <w:r w:rsidRPr="00186A0E">
        <w:t xml:space="preserve"> </w:t>
      </w:r>
      <w:proofErr w:type="spellStart"/>
      <w:r w:rsidRPr="00186A0E">
        <w:t>un</w:t>
      </w:r>
      <w:proofErr w:type="spellEnd"/>
      <w:r w:rsidRPr="00186A0E">
        <w:t xml:space="preserve"> </w:t>
      </w:r>
      <w:proofErr w:type="spellStart"/>
      <w:r w:rsidRPr="00186A0E">
        <w:t>tiesībspējas</w:t>
      </w:r>
      <w:proofErr w:type="spellEnd"/>
      <w:r w:rsidRPr="00186A0E">
        <w:t xml:space="preserve"> </w:t>
      </w:r>
      <w:proofErr w:type="spellStart"/>
      <w:r w:rsidRPr="00186A0E">
        <w:t>noteikšanai</w:t>
      </w:r>
      <w:proofErr w:type="spellEnd"/>
      <w:r w:rsidRPr="00186A0E">
        <w:t xml:space="preserve"> </w:t>
      </w:r>
      <w:proofErr w:type="spellStart"/>
      <w:r w:rsidRPr="00186A0E">
        <w:t>piemērojams</w:t>
      </w:r>
      <w:proofErr w:type="spellEnd"/>
      <w:r w:rsidRPr="00186A0E">
        <w:t xml:space="preserve"> </w:t>
      </w:r>
      <w:proofErr w:type="spellStart"/>
      <w:r w:rsidRPr="00186A0E">
        <w:t>valdes</w:t>
      </w:r>
      <w:proofErr w:type="spellEnd"/>
      <w:r w:rsidRPr="00186A0E">
        <w:t xml:space="preserve"> </w:t>
      </w:r>
      <w:proofErr w:type="spellStart"/>
      <w:r w:rsidRPr="00186A0E">
        <w:t>atrašanās</w:t>
      </w:r>
      <w:proofErr w:type="spellEnd"/>
      <w:r w:rsidRPr="00186A0E">
        <w:t xml:space="preserve"> </w:t>
      </w:r>
      <w:proofErr w:type="spellStart"/>
      <w:r w:rsidRPr="00186A0E">
        <w:t>vietas</w:t>
      </w:r>
      <w:proofErr w:type="spellEnd"/>
      <w:r w:rsidRPr="00186A0E">
        <w:t xml:space="preserve"> </w:t>
      </w:r>
      <w:proofErr w:type="spellStart"/>
      <w:r w:rsidRPr="00186A0E">
        <w:t>likums</w:t>
      </w:r>
      <w:proofErr w:type="spellEnd"/>
      <w:r w:rsidRPr="00186A0E">
        <w:t xml:space="preserve">, </w:t>
      </w:r>
      <w:proofErr w:type="spellStart"/>
      <w:r w:rsidRPr="00186A0E">
        <w:t>starptautiskie</w:t>
      </w:r>
      <w:proofErr w:type="spellEnd"/>
      <w:r w:rsidRPr="00186A0E">
        <w:t xml:space="preserve"> </w:t>
      </w:r>
      <w:proofErr w:type="spellStart"/>
      <w:r w:rsidRPr="00186A0E">
        <w:t>tiesiskās</w:t>
      </w:r>
      <w:proofErr w:type="spellEnd"/>
      <w:r w:rsidRPr="00186A0E">
        <w:t xml:space="preserve"> </w:t>
      </w:r>
      <w:proofErr w:type="spellStart"/>
      <w:r w:rsidRPr="00186A0E">
        <w:t>palīdzības</w:t>
      </w:r>
      <w:proofErr w:type="spellEnd"/>
      <w:r w:rsidRPr="00186A0E">
        <w:t xml:space="preserve"> </w:t>
      </w:r>
      <w:proofErr w:type="spellStart"/>
      <w:r w:rsidRPr="00186A0E">
        <w:t>līgumi</w:t>
      </w:r>
      <w:proofErr w:type="spellEnd"/>
      <w:r w:rsidRPr="00186A0E">
        <w:t xml:space="preserve"> </w:t>
      </w:r>
      <w:proofErr w:type="spellStart"/>
      <w:r w:rsidRPr="00186A0E">
        <w:t>paredz</w:t>
      </w:r>
      <w:proofErr w:type="spellEnd"/>
      <w:r w:rsidRPr="00186A0E">
        <w:t xml:space="preserve"> </w:t>
      </w:r>
      <w:proofErr w:type="spellStart"/>
      <w:r w:rsidRPr="00186A0E">
        <w:t>piemērot</w:t>
      </w:r>
      <w:proofErr w:type="spellEnd"/>
      <w:r w:rsidRPr="00186A0E">
        <w:t xml:space="preserve"> </w:t>
      </w:r>
      <w:proofErr w:type="spellStart"/>
      <w:r w:rsidRPr="00186A0E">
        <w:t>tās</w:t>
      </w:r>
      <w:proofErr w:type="spellEnd"/>
      <w:r w:rsidRPr="00186A0E">
        <w:t xml:space="preserve"> </w:t>
      </w:r>
      <w:proofErr w:type="spellStart"/>
      <w:r w:rsidRPr="00186A0E">
        <w:t>valsts</w:t>
      </w:r>
      <w:proofErr w:type="spellEnd"/>
      <w:r w:rsidRPr="00186A0E">
        <w:t xml:space="preserve"> </w:t>
      </w:r>
      <w:proofErr w:type="spellStart"/>
      <w:r w:rsidRPr="00186A0E">
        <w:t>likumu</w:t>
      </w:r>
      <w:proofErr w:type="spellEnd"/>
      <w:r w:rsidRPr="00186A0E">
        <w:t xml:space="preserve">, </w:t>
      </w:r>
      <w:proofErr w:type="spellStart"/>
      <w:r w:rsidRPr="00186A0E">
        <w:t>kuras</w:t>
      </w:r>
      <w:proofErr w:type="spellEnd"/>
      <w:r w:rsidRPr="00186A0E">
        <w:t xml:space="preserve"> </w:t>
      </w:r>
      <w:proofErr w:type="spellStart"/>
      <w:r w:rsidRPr="00186A0E">
        <w:t>teritorijā</w:t>
      </w:r>
      <w:proofErr w:type="spellEnd"/>
      <w:r w:rsidRPr="00186A0E">
        <w:t xml:space="preserve"> </w:t>
      </w:r>
      <w:proofErr w:type="spellStart"/>
      <w:r w:rsidRPr="00186A0E">
        <w:t>juridiska</w:t>
      </w:r>
      <w:proofErr w:type="spellEnd"/>
      <w:r w:rsidRPr="00186A0E">
        <w:t xml:space="preserve"> </w:t>
      </w:r>
      <w:proofErr w:type="spellStart"/>
      <w:r w:rsidRPr="00186A0E">
        <w:t>persona</w:t>
      </w:r>
      <w:proofErr w:type="spellEnd"/>
      <w:r w:rsidRPr="00186A0E">
        <w:t xml:space="preserve"> </w:t>
      </w:r>
      <w:proofErr w:type="spellStart"/>
      <w:r w:rsidRPr="00186A0E">
        <w:t>ir</w:t>
      </w:r>
      <w:proofErr w:type="spellEnd"/>
      <w:r w:rsidRPr="00186A0E">
        <w:t xml:space="preserve"> </w:t>
      </w:r>
      <w:proofErr w:type="spellStart"/>
      <w:r w:rsidRPr="00186A0E">
        <w:t>nodibināta</w:t>
      </w:r>
      <w:proofErr w:type="spellEnd"/>
      <w:r w:rsidRPr="00186A0E">
        <w:t xml:space="preserve"> (</w:t>
      </w:r>
      <w:proofErr w:type="spellStart"/>
      <w:r w:rsidRPr="00186A0E">
        <w:t>reģistrēta</w:t>
      </w:r>
      <w:proofErr w:type="spellEnd"/>
      <w:r w:rsidRPr="00186A0E">
        <w:t xml:space="preserve"> </w:t>
      </w:r>
      <w:proofErr w:type="spellStart"/>
      <w:r w:rsidRPr="00186A0E">
        <w:t>jeb</w:t>
      </w:r>
      <w:proofErr w:type="spellEnd"/>
      <w:r w:rsidRPr="00186A0E">
        <w:t xml:space="preserve"> </w:t>
      </w:r>
      <w:proofErr w:type="spellStart"/>
      <w:r w:rsidRPr="00186A0E">
        <w:t>inkorporēta</w:t>
      </w:r>
      <w:proofErr w:type="spellEnd"/>
      <w:r>
        <w:t xml:space="preserve">). </w:t>
      </w:r>
      <w:proofErr w:type="spellStart"/>
      <w:r>
        <w:t>Šajā</w:t>
      </w:r>
      <w:proofErr w:type="spellEnd"/>
      <w:r>
        <w:t xml:space="preserve"> </w:t>
      </w:r>
      <w:proofErr w:type="spellStart"/>
      <w:r>
        <w:t>aspektā</w:t>
      </w:r>
      <w:proofErr w:type="spellEnd"/>
      <w:r>
        <w:t xml:space="preserve"> </w:t>
      </w:r>
      <w:proofErr w:type="spellStart"/>
      <w:r>
        <w:t>divpusējie</w:t>
      </w:r>
      <w:proofErr w:type="spellEnd"/>
      <w:r>
        <w:t xml:space="preserve"> </w:t>
      </w:r>
      <w:proofErr w:type="spellStart"/>
      <w:r>
        <w:t>tiesiskās</w:t>
      </w:r>
      <w:proofErr w:type="spellEnd"/>
      <w:r>
        <w:t xml:space="preserve"> </w:t>
      </w:r>
      <w:proofErr w:type="spellStart"/>
      <w:r>
        <w:t>palīdzības</w:t>
      </w:r>
      <w:proofErr w:type="spellEnd"/>
      <w:r>
        <w:t xml:space="preserve"> </w:t>
      </w:r>
      <w:proofErr w:type="spellStart"/>
      <w:r>
        <w:t>līgumi</w:t>
      </w:r>
      <w:proofErr w:type="spellEnd"/>
      <w:r>
        <w:t xml:space="preserve"> </w:t>
      </w:r>
      <w:proofErr w:type="spellStart"/>
      <w:r>
        <w:t>atšķiras</w:t>
      </w:r>
      <w:proofErr w:type="spellEnd"/>
      <w:r>
        <w:t xml:space="preserve"> </w:t>
      </w:r>
      <w:proofErr w:type="spellStart"/>
      <w:r>
        <w:t>no</w:t>
      </w:r>
      <w:proofErr w:type="spellEnd"/>
      <w:r>
        <w:t xml:space="preserve"> CL </w:t>
      </w:r>
      <w:proofErr w:type="spellStart"/>
      <w:r>
        <w:t>Ievada</w:t>
      </w:r>
      <w:proofErr w:type="spellEnd"/>
      <w:r>
        <w:t xml:space="preserve"> 8.panta </w:t>
      </w:r>
      <w:proofErr w:type="spellStart"/>
      <w:r>
        <w:t>trešās</w:t>
      </w:r>
      <w:proofErr w:type="spellEnd"/>
      <w:r>
        <w:t xml:space="preserve"> </w:t>
      </w:r>
      <w:proofErr w:type="spellStart"/>
      <w:r>
        <w:t>daļas</w:t>
      </w:r>
      <w:proofErr w:type="spellEnd"/>
      <w:r>
        <w:t>.</w:t>
      </w:r>
    </w:p>
    <w:p w14:paraId="785E8E77" w14:textId="77777777" w:rsidR="00114953" w:rsidRDefault="00114953" w:rsidP="00114953">
      <w:pPr>
        <w:pStyle w:val="tv213"/>
        <w:ind w:firstLine="708"/>
        <w:jc w:val="both"/>
      </w:pPr>
      <w:proofErr w:type="spellStart"/>
      <w:r>
        <w:t>No</w:t>
      </w:r>
      <w:proofErr w:type="spellEnd"/>
      <w:r>
        <w:t xml:space="preserve"> </w:t>
      </w:r>
      <w:proofErr w:type="spellStart"/>
      <w:r>
        <w:t>divpusējo</w:t>
      </w:r>
      <w:proofErr w:type="spellEnd"/>
      <w:r>
        <w:t xml:space="preserve"> </w:t>
      </w:r>
      <w:proofErr w:type="spellStart"/>
      <w:r>
        <w:t>tiesiskās</w:t>
      </w:r>
      <w:proofErr w:type="spellEnd"/>
      <w:r>
        <w:t xml:space="preserve"> </w:t>
      </w:r>
      <w:proofErr w:type="spellStart"/>
      <w:r>
        <w:t>palīdzības</w:t>
      </w:r>
      <w:proofErr w:type="spellEnd"/>
      <w:r>
        <w:t xml:space="preserve"> </w:t>
      </w:r>
      <w:proofErr w:type="spellStart"/>
      <w:r>
        <w:t>līgumu</w:t>
      </w:r>
      <w:proofErr w:type="spellEnd"/>
      <w:r>
        <w:t xml:space="preserve"> </w:t>
      </w:r>
      <w:proofErr w:type="spellStart"/>
      <w:r>
        <w:t>apskata</w:t>
      </w:r>
      <w:proofErr w:type="spellEnd"/>
      <w:r>
        <w:t xml:space="preserve"> </w:t>
      </w:r>
      <w:proofErr w:type="spellStart"/>
      <w:r>
        <w:t>var</w:t>
      </w:r>
      <w:proofErr w:type="spellEnd"/>
      <w:r>
        <w:t xml:space="preserve"> </w:t>
      </w:r>
      <w:proofErr w:type="spellStart"/>
      <w:r>
        <w:t>pamanīt</w:t>
      </w:r>
      <w:proofErr w:type="spellEnd"/>
      <w:r>
        <w:t xml:space="preserve">, </w:t>
      </w:r>
      <w:proofErr w:type="spellStart"/>
      <w:r>
        <w:t>ka</w:t>
      </w:r>
      <w:proofErr w:type="spellEnd"/>
      <w:r>
        <w:t xml:space="preserve"> </w:t>
      </w:r>
      <w:proofErr w:type="spellStart"/>
      <w:r>
        <w:t>dažos</w:t>
      </w:r>
      <w:proofErr w:type="spellEnd"/>
      <w:r>
        <w:t xml:space="preserve"> </w:t>
      </w:r>
      <w:proofErr w:type="spellStart"/>
      <w:r>
        <w:t>no</w:t>
      </w:r>
      <w:proofErr w:type="spellEnd"/>
      <w:r>
        <w:t xml:space="preserve"> </w:t>
      </w:r>
      <w:proofErr w:type="spellStart"/>
      <w:r>
        <w:t>tiem</w:t>
      </w:r>
      <w:proofErr w:type="spellEnd"/>
      <w:r>
        <w:t xml:space="preserve"> </w:t>
      </w:r>
      <w:proofErr w:type="spellStart"/>
      <w:r>
        <w:t>ir</w:t>
      </w:r>
      <w:proofErr w:type="spellEnd"/>
      <w:r>
        <w:t xml:space="preserve"> </w:t>
      </w:r>
      <w:proofErr w:type="spellStart"/>
      <w:r>
        <w:t>minēta</w:t>
      </w:r>
      <w:proofErr w:type="spellEnd"/>
      <w:r>
        <w:t xml:space="preserve"> </w:t>
      </w:r>
      <w:proofErr w:type="spellStart"/>
      <w:r>
        <w:t>nevis</w:t>
      </w:r>
      <w:proofErr w:type="spellEnd"/>
      <w:r>
        <w:t xml:space="preserve"> </w:t>
      </w:r>
      <w:proofErr w:type="spellStart"/>
      <w:r>
        <w:t>juridiskas</w:t>
      </w:r>
      <w:proofErr w:type="spellEnd"/>
      <w:r>
        <w:t xml:space="preserve"> personas „</w:t>
      </w:r>
      <w:proofErr w:type="spellStart"/>
      <w:r>
        <w:t>tiesībspēja</w:t>
      </w:r>
      <w:proofErr w:type="spellEnd"/>
      <w:r>
        <w:t xml:space="preserve"> </w:t>
      </w:r>
      <w:proofErr w:type="spellStart"/>
      <w:r>
        <w:t>un</w:t>
      </w:r>
      <w:proofErr w:type="spellEnd"/>
      <w:r>
        <w:t xml:space="preserve"> </w:t>
      </w:r>
      <w:proofErr w:type="spellStart"/>
      <w:r>
        <w:t>rīcībspēja</w:t>
      </w:r>
      <w:proofErr w:type="spellEnd"/>
      <w:r>
        <w:t xml:space="preserve">“, </w:t>
      </w:r>
      <w:proofErr w:type="spellStart"/>
      <w:r>
        <w:t>bet</w:t>
      </w:r>
      <w:proofErr w:type="spellEnd"/>
      <w:r>
        <w:t xml:space="preserve"> </w:t>
      </w:r>
      <w:proofErr w:type="spellStart"/>
      <w:r>
        <w:t>gan</w:t>
      </w:r>
      <w:proofErr w:type="spellEnd"/>
      <w:r>
        <w:t xml:space="preserve"> </w:t>
      </w:r>
      <w:proofErr w:type="spellStart"/>
      <w:r>
        <w:t>tikai</w:t>
      </w:r>
      <w:proofErr w:type="spellEnd"/>
      <w:r>
        <w:t xml:space="preserve"> „</w:t>
      </w:r>
      <w:proofErr w:type="spellStart"/>
      <w:r>
        <w:t>tiesībspēja</w:t>
      </w:r>
      <w:proofErr w:type="spellEnd"/>
      <w:r>
        <w:t xml:space="preserve">“. </w:t>
      </w:r>
      <w:proofErr w:type="spellStart"/>
      <w:r>
        <w:t>Šādā</w:t>
      </w:r>
      <w:proofErr w:type="spellEnd"/>
      <w:r>
        <w:t xml:space="preserve"> </w:t>
      </w:r>
      <w:proofErr w:type="spellStart"/>
      <w:r>
        <w:t>gadījumā</w:t>
      </w:r>
      <w:proofErr w:type="spellEnd"/>
      <w:r>
        <w:t xml:space="preserve"> </w:t>
      </w:r>
      <w:proofErr w:type="spellStart"/>
      <w:r>
        <w:t>divpusējā</w:t>
      </w:r>
      <w:proofErr w:type="spellEnd"/>
      <w:r>
        <w:t xml:space="preserve"> </w:t>
      </w:r>
      <w:proofErr w:type="spellStart"/>
      <w:r>
        <w:t>tiesiskās</w:t>
      </w:r>
      <w:proofErr w:type="spellEnd"/>
      <w:r>
        <w:t xml:space="preserve"> </w:t>
      </w:r>
      <w:proofErr w:type="spellStart"/>
      <w:r>
        <w:t>palīdzības</w:t>
      </w:r>
      <w:proofErr w:type="spellEnd"/>
      <w:r>
        <w:t xml:space="preserve"> </w:t>
      </w:r>
      <w:proofErr w:type="spellStart"/>
      <w:r>
        <w:t>līguma</w:t>
      </w:r>
      <w:proofErr w:type="spellEnd"/>
      <w:r>
        <w:t xml:space="preserve"> </w:t>
      </w:r>
      <w:proofErr w:type="spellStart"/>
      <w:r>
        <w:t>kolīziju</w:t>
      </w:r>
      <w:proofErr w:type="spellEnd"/>
      <w:r>
        <w:t xml:space="preserve"> </w:t>
      </w:r>
      <w:proofErr w:type="spellStart"/>
      <w:r>
        <w:t>norma</w:t>
      </w:r>
      <w:proofErr w:type="spellEnd"/>
      <w:r>
        <w:t xml:space="preserve"> par </w:t>
      </w:r>
      <w:proofErr w:type="spellStart"/>
      <w:r>
        <w:t>tiesībspēju</w:t>
      </w:r>
      <w:proofErr w:type="spellEnd"/>
      <w:r>
        <w:t xml:space="preserve"> </w:t>
      </w:r>
      <w:proofErr w:type="spellStart"/>
      <w:r>
        <w:t>būs</w:t>
      </w:r>
      <w:proofErr w:type="spellEnd"/>
      <w:r>
        <w:t xml:space="preserve"> </w:t>
      </w:r>
      <w:proofErr w:type="spellStart"/>
      <w:r>
        <w:t>pēc</w:t>
      </w:r>
      <w:proofErr w:type="spellEnd"/>
      <w:r>
        <w:t xml:space="preserve"> </w:t>
      </w:r>
      <w:proofErr w:type="spellStart"/>
      <w:r>
        <w:t>analoģijas</w:t>
      </w:r>
      <w:proofErr w:type="spellEnd"/>
      <w:r>
        <w:t xml:space="preserve"> </w:t>
      </w:r>
      <w:proofErr w:type="spellStart"/>
      <w:r>
        <w:t>piemērojama</w:t>
      </w:r>
      <w:proofErr w:type="spellEnd"/>
      <w:r>
        <w:t xml:space="preserve"> </w:t>
      </w:r>
      <w:proofErr w:type="spellStart"/>
      <w:r>
        <w:t>arī</w:t>
      </w:r>
      <w:proofErr w:type="spellEnd"/>
      <w:r>
        <w:t xml:space="preserve"> </w:t>
      </w:r>
      <w:proofErr w:type="spellStart"/>
      <w:r>
        <w:t>rīcībspējas</w:t>
      </w:r>
      <w:proofErr w:type="spellEnd"/>
      <w:r>
        <w:t xml:space="preserve"> </w:t>
      </w:r>
      <w:proofErr w:type="spellStart"/>
      <w:r>
        <w:t>noteikšanai</w:t>
      </w:r>
      <w:proofErr w:type="spellEnd"/>
      <w:r>
        <w:t xml:space="preserve">. </w:t>
      </w:r>
      <w:proofErr w:type="spellStart"/>
      <w:r>
        <w:t>Šāds</w:t>
      </w:r>
      <w:proofErr w:type="spellEnd"/>
      <w:r>
        <w:t xml:space="preserve"> </w:t>
      </w:r>
      <w:proofErr w:type="spellStart"/>
      <w:r>
        <w:t>secinājums</w:t>
      </w:r>
      <w:proofErr w:type="spellEnd"/>
      <w:r>
        <w:t xml:space="preserve"> </w:t>
      </w:r>
      <w:proofErr w:type="spellStart"/>
      <w:r>
        <w:t>izriet</w:t>
      </w:r>
      <w:proofErr w:type="spellEnd"/>
      <w:r>
        <w:t xml:space="preserve"> </w:t>
      </w:r>
      <w:proofErr w:type="spellStart"/>
      <w:r>
        <w:t>arī</w:t>
      </w:r>
      <w:proofErr w:type="spellEnd"/>
      <w:r>
        <w:t xml:space="preserve"> </w:t>
      </w:r>
      <w:proofErr w:type="spellStart"/>
      <w:r>
        <w:t>no</w:t>
      </w:r>
      <w:proofErr w:type="spellEnd"/>
      <w:r>
        <w:t xml:space="preserve"> </w:t>
      </w:r>
      <w:proofErr w:type="spellStart"/>
      <w:r>
        <w:t>tiesiskās</w:t>
      </w:r>
      <w:proofErr w:type="spellEnd"/>
      <w:r>
        <w:t xml:space="preserve"> </w:t>
      </w:r>
      <w:proofErr w:type="spellStart"/>
      <w:r>
        <w:t>palīdzības</w:t>
      </w:r>
      <w:proofErr w:type="spellEnd"/>
      <w:r>
        <w:t xml:space="preserve"> </w:t>
      </w:r>
      <w:proofErr w:type="spellStart"/>
      <w:r>
        <w:t>līgumu</w:t>
      </w:r>
      <w:proofErr w:type="spellEnd"/>
      <w:r>
        <w:t xml:space="preserve"> </w:t>
      </w:r>
      <w:proofErr w:type="spellStart"/>
      <w:r>
        <w:t>savstarpējās</w:t>
      </w:r>
      <w:proofErr w:type="spellEnd"/>
      <w:r>
        <w:t xml:space="preserve"> </w:t>
      </w:r>
      <w:proofErr w:type="spellStart"/>
      <w:r>
        <w:t>sistēmiskās</w:t>
      </w:r>
      <w:proofErr w:type="spellEnd"/>
      <w:r>
        <w:t xml:space="preserve"> </w:t>
      </w:r>
      <w:proofErr w:type="spellStart"/>
      <w:r>
        <w:t>interpretācijas</w:t>
      </w:r>
      <w:proofErr w:type="spellEnd"/>
      <w:r>
        <w:t>.</w:t>
      </w:r>
    </w:p>
    <w:p w14:paraId="5E8C64C3" w14:textId="77777777" w:rsidR="00114953" w:rsidRPr="000C7C76" w:rsidRDefault="00114953" w:rsidP="00114953">
      <w:pPr>
        <w:widowControl w:val="0"/>
        <w:autoSpaceDE w:val="0"/>
        <w:autoSpaceDN w:val="0"/>
        <w:adjustRightInd w:val="0"/>
        <w:ind w:firstLine="708"/>
        <w:jc w:val="both"/>
        <w:rPr>
          <w:rFonts w:ascii="Times New Roman" w:hAnsi="Times New Roman" w:cs="Times New Roman"/>
          <w:i/>
          <w:lang w:val="de-DE"/>
        </w:rPr>
      </w:pPr>
      <w:r w:rsidRPr="00E721CE">
        <w:rPr>
          <w:rFonts w:ascii="Times New Roman" w:hAnsi="Times New Roman"/>
          <w:lang w:val="lv-LV"/>
        </w:rPr>
        <w:t xml:space="preserve">Taču, attiecībā uz </w:t>
      </w:r>
      <w:r w:rsidRPr="00E721CE">
        <w:rPr>
          <w:rFonts w:ascii="Times New Roman" w:hAnsi="Times New Roman"/>
          <w:b/>
          <w:lang w:val="lv-LV"/>
        </w:rPr>
        <w:t>ES dalībvalstīm</w:t>
      </w:r>
      <w:r w:rsidRPr="00E721CE">
        <w:rPr>
          <w:rFonts w:ascii="Times New Roman" w:hAnsi="Times New Roman"/>
          <w:lang w:val="lv-LV"/>
        </w:rPr>
        <w:t xml:space="preserve"> ir jāņem vērā Līguma par Eiropas Savienības darbību</w:t>
      </w:r>
      <w:r w:rsidRPr="00E721CE">
        <w:rPr>
          <w:rStyle w:val="FootnoteReference"/>
          <w:rFonts w:ascii="Times New Roman" w:hAnsi="Times New Roman"/>
          <w:lang w:val="lv-LV"/>
        </w:rPr>
        <w:footnoteReference w:id="68"/>
      </w:r>
      <w:r w:rsidRPr="00E721CE">
        <w:rPr>
          <w:rFonts w:ascii="Times New Roman" w:hAnsi="Times New Roman"/>
          <w:lang w:val="lv-LV"/>
        </w:rPr>
        <w:t xml:space="preserve"> (turpmāk – LESD) 54.pants saskaņā ar kuru “</w:t>
      </w:r>
      <w:proofErr w:type="spellStart"/>
      <w:r w:rsidRPr="000C7C76">
        <w:rPr>
          <w:rFonts w:ascii="Times New Roman" w:hAnsi="Times New Roman" w:cs="Times New Roman"/>
          <w:i/>
          <w:lang w:val="de-DE"/>
        </w:rPr>
        <w:t>Tiesiskais</w:t>
      </w:r>
      <w:proofErr w:type="spellEnd"/>
      <w:r w:rsidRPr="000C7C76">
        <w:rPr>
          <w:rFonts w:ascii="Times New Roman" w:hAnsi="Times New Roman" w:cs="Times New Roman"/>
          <w:i/>
          <w:lang w:val="de-DE"/>
        </w:rPr>
        <w:t xml:space="preserve"> </w:t>
      </w:r>
      <w:proofErr w:type="spellStart"/>
      <w:r w:rsidRPr="000C7C76">
        <w:rPr>
          <w:rFonts w:ascii="Times New Roman" w:hAnsi="Times New Roman" w:cs="Times New Roman"/>
          <w:i/>
          <w:lang w:val="de-DE"/>
        </w:rPr>
        <w:t>statuss</w:t>
      </w:r>
      <w:proofErr w:type="spellEnd"/>
      <w:r w:rsidRPr="000C7C76">
        <w:rPr>
          <w:rFonts w:ascii="Times New Roman" w:hAnsi="Times New Roman" w:cs="Times New Roman"/>
          <w:i/>
          <w:lang w:val="de-DE"/>
        </w:rPr>
        <w:t xml:space="preserve"> </w:t>
      </w:r>
      <w:proofErr w:type="spellStart"/>
      <w:r w:rsidRPr="000C7C76">
        <w:rPr>
          <w:rFonts w:ascii="Times New Roman" w:hAnsi="Times New Roman" w:cs="Times New Roman"/>
          <w:i/>
          <w:lang w:val="de-DE"/>
        </w:rPr>
        <w:t>tām</w:t>
      </w:r>
      <w:proofErr w:type="spellEnd"/>
      <w:r w:rsidRPr="000C7C76">
        <w:rPr>
          <w:rFonts w:ascii="Times New Roman" w:hAnsi="Times New Roman" w:cs="Times New Roman"/>
          <w:i/>
          <w:lang w:val="de-DE"/>
        </w:rPr>
        <w:t xml:space="preserve"> </w:t>
      </w:r>
      <w:proofErr w:type="spellStart"/>
      <w:r w:rsidRPr="000C7C76">
        <w:rPr>
          <w:rFonts w:ascii="Times New Roman" w:hAnsi="Times New Roman" w:cs="Times New Roman"/>
          <w:i/>
          <w:lang w:val="de-DE"/>
        </w:rPr>
        <w:t>sabiedrībām</w:t>
      </w:r>
      <w:proofErr w:type="spellEnd"/>
      <w:r w:rsidRPr="000C7C76">
        <w:rPr>
          <w:rFonts w:ascii="Times New Roman" w:hAnsi="Times New Roman" w:cs="Times New Roman"/>
          <w:i/>
          <w:lang w:val="de-DE"/>
        </w:rPr>
        <w:t xml:space="preserve">, </w:t>
      </w:r>
      <w:proofErr w:type="spellStart"/>
      <w:r w:rsidRPr="000C7C76">
        <w:rPr>
          <w:rFonts w:ascii="Times New Roman" w:hAnsi="Times New Roman" w:cs="Times New Roman"/>
          <w:i/>
          <w:u w:val="single"/>
          <w:lang w:val="de-DE"/>
        </w:rPr>
        <w:t>kuras</w:t>
      </w:r>
      <w:proofErr w:type="spellEnd"/>
      <w:r w:rsidRPr="000C7C76">
        <w:rPr>
          <w:rFonts w:ascii="Times New Roman" w:hAnsi="Times New Roman" w:cs="Times New Roman"/>
          <w:i/>
          <w:u w:val="single"/>
          <w:lang w:val="de-DE"/>
        </w:rPr>
        <w:t xml:space="preserve"> </w:t>
      </w:r>
      <w:proofErr w:type="spellStart"/>
      <w:r w:rsidRPr="000C7C76">
        <w:rPr>
          <w:rFonts w:ascii="Times New Roman" w:hAnsi="Times New Roman" w:cs="Times New Roman"/>
          <w:i/>
          <w:u w:val="single"/>
          <w:lang w:val="de-DE"/>
        </w:rPr>
        <w:t>izveidotas</w:t>
      </w:r>
      <w:proofErr w:type="spellEnd"/>
      <w:r w:rsidRPr="000C7C76">
        <w:rPr>
          <w:rFonts w:ascii="Times New Roman" w:hAnsi="Times New Roman" w:cs="Times New Roman"/>
          <w:i/>
          <w:u w:val="single"/>
          <w:lang w:val="de-DE"/>
        </w:rPr>
        <w:t xml:space="preserve"> </w:t>
      </w:r>
      <w:proofErr w:type="spellStart"/>
      <w:r w:rsidRPr="000C7C76">
        <w:rPr>
          <w:rFonts w:ascii="Times New Roman" w:hAnsi="Times New Roman" w:cs="Times New Roman"/>
          <w:i/>
          <w:u w:val="single"/>
          <w:lang w:val="de-DE"/>
        </w:rPr>
        <w:t>saskaņā</w:t>
      </w:r>
      <w:proofErr w:type="spellEnd"/>
      <w:r w:rsidRPr="000C7C76">
        <w:rPr>
          <w:rFonts w:ascii="Times New Roman" w:hAnsi="Times New Roman" w:cs="Times New Roman"/>
          <w:i/>
          <w:u w:val="single"/>
          <w:lang w:val="de-DE"/>
        </w:rPr>
        <w:t xml:space="preserve"> </w:t>
      </w:r>
      <w:proofErr w:type="spellStart"/>
      <w:r w:rsidRPr="000C7C76">
        <w:rPr>
          <w:rFonts w:ascii="Times New Roman" w:hAnsi="Times New Roman" w:cs="Times New Roman"/>
          <w:i/>
          <w:u w:val="single"/>
          <w:lang w:val="de-DE"/>
        </w:rPr>
        <w:t>ar</w:t>
      </w:r>
      <w:proofErr w:type="spellEnd"/>
      <w:r w:rsidRPr="000C7C76">
        <w:rPr>
          <w:rFonts w:ascii="Times New Roman" w:hAnsi="Times New Roman" w:cs="Times New Roman"/>
          <w:i/>
          <w:u w:val="single"/>
          <w:lang w:val="de-DE"/>
        </w:rPr>
        <w:t xml:space="preserve"> </w:t>
      </w:r>
      <w:proofErr w:type="spellStart"/>
      <w:r w:rsidRPr="000C7C76">
        <w:rPr>
          <w:rFonts w:ascii="Times New Roman" w:hAnsi="Times New Roman" w:cs="Times New Roman"/>
          <w:i/>
          <w:u w:val="single"/>
          <w:lang w:val="de-DE"/>
        </w:rPr>
        <w:t>kādas</w:t>
      </w:r>
      <w:proofErr w:type="spellEnd"/>
      <w:r w:rsidRPr="000C7C76">
        <w:rPr>
          <w:rFonts w:ascii="Times New Roman" w:hAnsi="Times New Roman" w:cs="Times New Roman"/>
          <w:i/>
          <w:u w:val="single"/>
          <w:lang w:val="de-DE"/>
        </w:rPr>
        <w:t xml:space="preserve"> </w:t>
      </w:r>
      <w:proofErr w:type="spellStart"/>
      <w:r w:rsidRPr="000C7C76">
        <w:rPr>
          <w:rFonts w:ascii="Times New Roman" w:hAnsi="Times New Roman" w:cs="Times New Roman"/>
          <w:i/>
          <w:u w:val="single"/>
          <w:lang w:val="de-DE"/>
        </w:rPr>
        <w:t>dalībvalsts</w:t>
      </w:r>
      <w:proofErr w:type="spellEnd"/>
      <w:r w:rsidRPr="000C7C76">
        <w:rPr>
          <w:rFonts w:ascii="Times New Roman" w:hAnsi="Times New Roman" w:cs="Times New Roman"/>
          <w:i/>
          <w:u w:val="single"/>
          <w:lang w:val="de-DE"/>
        </w:rPr>
        <w:t xml:space="preserve"> </w:t>
      </w:r>
      <w:proofErr w:type="spellStart"/>
      <w:r w:rsidRPr="000C7C76">
        <w:rPr>
          <w:rFonts w:ascii="Times New Roman" w:hAnsi="Times New Roman" w:cs="Times New Roman"/>
          <w:i/>
          <w:u w:val="single"/>
          <w:lang w:val="de-DE"/>
        </w:rPr>
        <w:t>tiesību</w:t>
      </w:r>
      <w:proofErr w:type="spellEnd"/>
      <w:r w:rsidRPr="000C7C76">
        <w:rPr>
          <w:rFonts w:ascii="Times New Roman" w:hAnsi="Times New Roman" w:cs="Times New Roman"/>
          <w:i/>
          <w:u w:val="single"/>
          <w:lang w:val="de-DE"/>
        </w:rPr>
        <w:t xml:space="preserve"> </w:t>
      </w:r>
      <w:proofErr w:type="spellStart"/>
      <w:r w:rsidRPr="000C7C76">
        <w:rPr>
          <w:rFonts w:ascii="Times New Roman" w:hAnsi="Times New Roman" w:cs="Times New Roman"/>
          <w:i/>
          <w:u w:val="single"/>
          <w:lang w:val="de-DE"/>
        </w:rPr>
        <w:t>aktiem</w:t>
      </w:r>
      <w:proofErr w:type="spellEnd"/>
      <w:r w:rsidRPr="000C7C76">
        <w:rPr>
          <w:rFonts w:ascii="Times New Roman" w:hAnsi="Times New Roman" w:cs="Times New Roman"/>
          <w:i/>
          <w:lang w:val="de-DE"/>
        </w:rPr>
        <w:t xml:space="preserve"> </w:t>
      </w:r>
      <w:proofErr w:type="spellStart"/>
      <w:r w:rsidRPr="000C7C76">
        <w:rPr>
          <w:rFonts w:ascii="Times New Roman" w:hAnsi="Times New Roman" w:cs="Times New Roman"/>
          <w:b/>
          <w:i/>
          <w:lang w:val="de-DE"/>
        </w:rPr>
        <w:t>un</w:t>
      </w:r>
      <w:proofErr w:type="spellEnd"/>
      <w:r w:rsidRPr="000C7C76">
        <w:rPr>
          <w:rFonts w:ascii="Times New Roman" w:hAnsi="Times New Roman" w:cs="Times New Roman"/>
          <w:i/>
          <w:lang w:val="de-DE"/>
        </w:rPr>
        <w:t xml:space="preserve"> </w:t>
      </w:r>
      <w:proofErr w:type="spellStart"/>
      <w:r w:rsidRPr="000C7C76">
        <w:rPr>
          <w:rFonts w:ascii="Times New Roman" w:hAnsi="Times New Roman" w:cs="Times New Roman"/>
          <w:i/>
          <w:u w:val="single"/>
          <w:lang w:val="de-DE"/>
        </w:rPr>
        <w:t>kuru</w:t>
      </w:r>
      <w:proofErr w:type="spellEnd"/>
      <w:r w:rsidRPr="000C7C76">
        <w:rPr>
          <w:rFonts w:ascii="Times New Roman" w:hAnsi="Times New Roman" w:cs="Times New Roman"/>
          <w:i/>
          <w:u w:val="single"/>
          <w:lang w:val="de-DE"/>
        </w:rPr>
        <w:t xml:space="preserve"> </w:t>
      </w:r>
      <w:proofErr w:type="spellStart"/>
      <w:r w:rsidRPr="000C7C76">
        <w:rPr>
          <w:rFonts w:ascii="Times New Roman" w:hAnsi="Times New Roman" w:cs="Times New Roman"/>
          <w:i/>
          <w:u w:val="single"/>
          <w:lang w:val="de-DE"/>
        </w:rPr>
        <w:t>juridiskā</w:t>
      </w:r>
      <w:proofErr w:type="spellEnd"/>
      <w:r w:rsidRPr="000C7C76">
        <w:rPr>
          <w:rFonts w:ascii="Times New Roman" w:hAnsi="Times New Roman" w:cs="Times New Roman"/>
          <w:i/>
          <w:u w:val="single"/>
          <w:lang w:val="de-DE"/>
        </w:rPr>
        <w:t xml:space="preserve"> </w:t>
      </w:r>
      <w:proofErr w:type="spellStart"/>
      <w:r w:rsidRPr="000C7C76">
        <w:rPr>
          <w:rFonts w:ascii="Times New Roman" w:hAnsi="Times New Roman" w:cs="Times New Roman"/>
          <w:i/>
          <w:u w:val="single"/>
          <w:lang w:val="de-DE"/>
        </w:rPr>
        <w:t>adrese</w:t>
      </w:r>
      <w:proofErr w:type="spellEnd"/>
      <w:r w:rsidRPr="000C7C76">
        <w:rPr>
          <w:rFonts w:ascii="Times New Roman" w:hAnsi="Times New Roman" w:cs="Times New Roman"/>
          <w:i/>
          <w:u w:val="single"/>
          <w:lang w:val="de-DE"/>
        </w:rPr>
        <w:t xml:space="preserve">, </w:t>
      </w:r>
      <w:proofErr w:type="spellStart"/>
      <w:r w:rsidRPr="000C7C76">
        <w:rPr>
          <w:rFonts w:ascii="Times New Roman" w:hAnsi="Times New Roman" w:cs="Times New Roman"/>
          <w:i/>
          <w:u w:val="single"/>
          <w:lang w:val="de-DE"/>
        </w:rPr>
        <w:t>galvenā</w:t>
      </w:r>
      <w:proofErr w:type="spellEnd"/>
      <w:r w:rsidRPr="000C7C76">
        <w:rPr>
          <w:rFonts w:ascii="Times New Roman" w:hAnsi="Times New Roman" w:cs="Times New Roman"/>
          <w:i/>
          <w:u w:val="single"/>
          <w:lang w:val="de-DE"/>
        </w:rPr>
        <w:t xml:space="preserve"> </w:t>
      </w:r>
      <w:proofErr w:type="spellStart"/>
      <w:r w:rsidRPr="000C7C76">
        <w:rPr>
          <w:rFonts w:ascii="Times New Roman" w:hAnsi="Times New Roman" w:cs="Times New Roman"/>
          <w:i/>
          <w:u w:val="single"/>
          <w:lang w:val="de-DE"/>
        </w:rPr>
        <w:t>vadība</w:t>
      </w:r>
      <w:proofErr w:type="spellEnd"/>
      <w:r w:rsidRPr="000C7C76">
        <w:rPr>
          <w:rFonts w:ascii="Times New Roman" w:hAnsi="Times New Roman" w:cs="Times New Roman"/>
          <w:i/>
          <w:u w:val="single"/>
          <w:lang w:val="de-DE"/>
        </w:rPr>
        <w:t xml:space="preserve"> </w:t>
      </w:r>
      <w:proofErr w:type="spellStart"/>
      <w:r w:rsidRPr="000C7C76">
        <w:rPr>
          <w:rFonts w:ascii="Times New Roman" w:hAnsi="Times New Roman" w:cs="Times New Roman"/>
          <w:i/>
          <w:u w:val="single"/>
          <w:lang w:val="de-DE"/>
        </w:rPr>
        <w:t>vai</w:t>
      </w:r>
      <w:proofErr w:type="spellEnd"/>
      <w:r w:rsidRPr="000C7C76">
        <w:rPr>
          <w:rFonts w:ascii="Times New Roman" w:hAnsi="Times New Roman" w:cs="Times New Roman"/>
          <w:i/>
          <w:u w:val="single"/>
          <w:lang w:val="de-DE"/>
        </w:rPr>
        <w:t xml:space="preserve"> </w:t>
      </w:r>
      <w:proofErr w:type="spellStart"/>
      <w:r w:rsidRPr="000C7C76">
        <w:rPr>
          <w:rFonts w:ascii="Times New Roman" w:hAnsi="Times New Roman" w:cs="Times New Roman"/>
          <w:i/>
          <w:u w:val="single"/>
          <w:lang w:val="de-DE"/>
        </w:rPr>
        <w:t>galvenā</w:t>
      </w:r>
      <w:proofErr w:type="spellEnd"/>
      <w:r w:rsidRPr="000C7C76">
        <w:rPr>
          <w:rFonts w:ascii="Times New Roman" w:hAnsi="Times New Roman" w:cs="Times New Roman"/>
          <w:i/>
          <w:u w:val="single"/>
          <w:lang w:val="de-DE"/>
        </w:rPr>
        <w:t xml:space="preserve"> </w:t>
      </w:r>
      <w:proofErr w:type="spellStart"/>
      <w:r w:rsidRPr="000C7C76">
        <w:rPr>
          <w:rFonts w:ascii="Times New Roman" w:hAnsi="Times New Roman" w:cs="Times New Roman"/>
          <w:i/>
          <w:u w:val="single"/>
          <w:lang w:val="de-DE"/>
        </w:rPr>
        <w:t>uzņēmējdarbības</w:t>
      </w:r>
      <w:proofErr w:type="spellEnd"/>
      <w:r w:rsidRPr="000C7C76">
        <w:rPr>
          <w:rFonts w:ascii="Times New Roman" w:hAnsi="Times New Roman" w:cs="Times New Roman"/>
          <w:i/>
          <w:u w:val="single"/>
          <w:lang w:val="de-DE"/>
        </w:rPr>
        <w:t xml:space="preserve"> </w:t>
      </w:r>
      <w:proofErr w:type="spellStart"/>
      <w:r w:rsidRPr="000C7C76">
        <w:rPr>
          <w:rFonts w:ascii="Times New Roman" w:hAnsi="Times New Roman" w:cs="Times New Roman"/>
          <w:i/>
          <w:u w:val="single"/>
          <w:lang w:val="de-DE"/>
        </w:rPr>
        <w:t>vieta</w:t>
      </w:r>
      <w:proofErr w:type="spellEnd"/>
      <w:r w:rsidRPr="000C7C76">
        <w:rPr>
          <w:rFonts w:ascii="Times New Roman" w:hAnsi="Times New Roman" w:cs="Times New Roman"/>
          <w:i/>
          <w:u w:val="single"/>
          <w:lang w:val="de-DE"/>
        </w:rPr>
        <w:t xml:space="preserve"> </w:t>
      </w:r>
      <w:proofErr w:type="spellStart"/>
      <w:r w:rsidRPr="000C7C76">
        <w:rPr>
          <w:rFonts w:ascii="Times New Roman" w:hAnsi="Times New Roman" w:cs="Times New Roman"/>
          <w:i/>
          <w:u w:val="single"/>
          <w:lang w:val="de-DE"/>
        </w:rPr>
        <w:t>ir</w:t>
      </w:r>
      <w:proofErr w:type="spellEnd"/>
      <w:r w:rsidRPr="000C7C76">
        <w:rPr>
          <w:rFonts w:ascii="Times New Roman" w:hAnsi="Times New Roman" w:cs="Times New Roman"/>
          <w:i/>
          <w:u w:val="single"/>
          <w:lang w:val="de-DE"/>
        </w:rPr>
        <w:t xml:space="preserve"> </w:t>
      </w:r>
      <w:proofErr w:type="spellStart"/>
      <w:r w:rsidRPr="000C7C76">
        <w:rPr>
          <w:rFonts w:ascii="Times New Roman" w:hAnsi="Times New Roman" w:cs="Times New Roman"/>
          <w:i/>
          <w:u w:val="single"/>
          <w:lang w:val="de-DE"/>
        </w:rPr>
        <w:t>Savienībā</w:t>
      </w:r>
      <w:proofErr w:type="spellEnd"/>
      <w:r w:rsidRPr="000C7C76">
        <w:rPr>
          <w:rFonts w:ascii="Times New Roman" w:hAnsi="Times New Roman" w:cs="Times New Roman"/>
          <w:i/>
          <w:lang w:val="de-DE"/>
        </w:rPr>
        <w:t xml:space="preserve">, </w:t>
      </w:r>
      <w:proofErr w:type="spellStart"/>
      <w:r w:rsidRPr="000C7C76">
        <w:rPr>
          <w:rFonts w:ascii="Times New Roman" w:hAnsi="Times New Roman" w:cs="Times New Roman"/>
          <w:i/>
          <w:lang w:val="de-DE"/>
        </w:rPr>
        <w:t>šajā</w:t>
      </w:r>
      <w:proofErr w:type="spellEnd"/>
      <w:r w:rsidRPr="000C7C76">
        <w:rPr>
          <w:rFonts w:ascii="Times New Roman" w:hAnsi="Times New Roman" w:cs="Times New Roman"/>
          <w:i/>
          <w:lang w:val="de-DE"/>
        </w:rPr>
        <w:t xml:space="preserve"> </w:t>
      </w:r>
      <w:proofErr w:type="spellStart"/>
      <w:r w:rsidRPr="000C7C76">
        <w:rPr>
          <w:rFonts w:ascii="Times New Roman" w:hAnsi="Times New Roman" w:cs="Times New Roman"/>
          <w:i/>
          <w:lang w:val="de-DE"/>
        </w:rPr>
        <w:t>nodaļā</w:t>
      </w:r>
      <w:proofErr w:type="spellEnd"/>
      <w:r w:rsidRPr="000C7C76">
        <w:rPr>
          <w:rFonts w:ascii="Times New Roman" w:hAnsi="Times New Roman" w:cs="Times New Roman"/>
          <w:i/>
          <w:lang w:val="de-DE"/>
        </w:rPr>
        <w:t xml:space="preserve"> </w:t>
      </w:r>
      <w:proofErr w:type="spellStart"/>
      <w:r w:rsidRPr="000C7C76">
        <w:rPr>
          <w:rFonts w:ascii="Times New Roman" w:hAnsi="Times New Roman" w:cs="Times New Roman"/>
          <w:i/>
          <w:lang w:val="de-DE"/>
        </w:rPr>
        <w:t>ir</w:t>
      </w:r>
      <w:proofErr w:type="spellEnd"/>
      <w:r w:rsidRPr="000C7C76">
        <w:rPr>
          <w:rFonts w:ascii="Times New Roman" w:hAnsi="Times New Roman" w:cs="Times New Roman"/>
          <w:i/>
          <w:lang w:val="de-DE"/>
        </w:rPr>
        <w:t xml:space="preserve"> </w:t>
      </w:r>
      <w:proofErr w:type="spellStart"/>
      <w:r w:rsidRPr="000C7C76">
        <w:rPr>
          <w:rFonts w:ascii="Times New Roman" w:hAnsi="Times New Roman" w:cs="Times New Roman"/>
          <w:i/>
          <w:lang w:val="de-DE"/>
        </w:rPr>
        <w:t>pielīdzināts</w:t>
      </w:r>
      <w:proofErr w:type="spellEnd"/>
      <w:r w:rsidRPr="000C7C76">
        <w:rPr>
          <w:rFonts w:ascii="Times New Roman" w:hAnsi="Times New Roman" w:cs="Times New Roman"/>
          <w:i/>
          <w:lang w:val="de-DE"/>
        </w:rPr>
        <w:t xml:space="preserve"> </w:t>
      </w:r>
      <w:proofErr w:type="spellStart"/>
      <w:r w:rsidRPr="000C7C76">
        <w:rPr>
          <w:rFonts w:ascii="Times New Roman" w:hAnsi="Times New Roman" w:cs="Times New Roman"/>
          <w:i/>
          <w:lang w:val="de-DE"/>
        </w:rPr>
        <w:t>to</w:t>
      </w:r>
      <w:proofErr w:type="spellEnd"/>
      <w:r w:rsidRPr="000C7C76">
        <w:rPr>
          <w:rFonts w:ascii="Times New Roman" w:hAnsi="Times New Roman" w:cs="Times New Roman"/>
          <w:i/>
          <w:lang w:val="de-DE"/>
        </w:rPr>
        <w:t xml:space="preserve"> </w:t>
      </w:r>
      <w:proofErr w:type="spellStart"/>
      <w:r w:rsidRPr="000C7C76">
        <w:rPr>
          <w:rFonts w:ascii="Times New Roman" w:hAnsi="Times New Roman" w:cs="Times New Roman"/>
          <w:i/>
          <w:lang w:val="de-DE"/>
        </w:rPr>
        <w:t>fizisko</w:t>
      </w:r>
      <w:proofErr w:type="spellEnd"/>
      <w:r w:rsidRPr="000C7C76">
        <w:rPr>
          <w:rFonts w:ascii="Times New Roman" w:hAnsi="Times New Roman" w:cs="Times New Roman"/>
          <w:i/>
          <w:lang w:val="de-DE"/>
        </w:rPr>
        <w:t xml:space="preserve"> </w:t>
      </w:r>
      <w:proofErr w:type="spellStart"/>
      <w:r w:rsidRPr="000C7C76">
        <w:rPr>
          <w:rFonts w:ascii="Times New Roman" w:hAnsi="Times New Roman" w:cs="Times New Roman"/>
          <w:i/>
          <w:lang w:val="de-DE"/>
        </w:rPr>
        <w:t>personu</w:t>
      </w:r>
      <w:proofErr w:type="spellEnd"/>
      <w:r w:rsidRPr="000C7C76">
        <w:rPr>
          <w:rFonts w:ascii="Times New Roman" w:hAnsi="Times New Roman" w:cs="Times New Roman"/>
          <w:i/>
          <w:lang w:val="de-DE"/>
        </w:rPr>
        <w:t xml:space="preserve"> </w:t>
      </w:r>
      <w:proofErr w:type="spellStart"/>
      <w:r w:rsidRPr="000C7C76">
        <w:rPr>
          <w:rFonts w:ascii="Times New Roman" w:hAnsi="Times New Roman" w:cs="Times New Roman"/>
          <w:i/>
          <w:lang w:val="de-DE"/>
        </w:rPr>
        <w:t>tiesiskajam</w:t>
      </w:r>
      <w:proofErr w:type="spellEnd"/>
      <w:r w:rsidRPr="000C7C76">
        <w:rPr>
          <w:rFonts w:ascii="Times New Roman" w:hAnsi="Times New Roman" w:cs="Times New Roman"/>
          <w:i/>
          <w:lang w:val="de-DE"/>
        </w:rPr>
        <w:t xml:space="preserve"> </w:t>
      </w:r>
      <w:proofErr w:type="spellStart"/>
      <w:r w:rsidRPr="000C7C76">
        <w:rPr>
          <w:rFonts w:ascii="Times New Roman" w:hAnsi="Times New Roman" w:cs="Times New Roman"/>
          <w:i/>
          <w:lang w:val="de-DE"/>
        </w:rPr>
        <w:t>statusam</w:t>
      </w:r>
      <w:proofErr w:type="spellEnd"/>
      <w:r w:rsidRPr="000C7C76">
        <w:rPr>
          <w:rFonts w:ascii="Times New Roman" w:hAnsi="Times New Roman" w:cs="Times New Roman"/>
          <w:i/>
          <w:lang w:val="de-DE"/>
        </w:rPr>
        <w:t xml:space="preserve">, </w:t>
      </w:r>
      <w:proofErr w:type="spellStart"/>
      <w:r w:rsidRPr="000C7C76">
        <w:rPr>
          <w:rFonts w:ascii="Times New Roman" w:hAnsi="Times New Roman" w:cs="Times New Roman"/>
          <w:i/>
          <w:lang w:val="de-DE"/>
        </w:rPr>
        <w:t>kuras</w:t>
      </w:r>
      <w:proofErr w:type="spellEnd"/>
      <w:r w:rsidRPr="000C7C76">
        <w:rPr>
          <w:rFonts w:ascii="Times New Roman" w:hAnsi="Times New Roman" w:cs="Times New Roman"/>
          <w:i/>
          <w:lang w:val="de-DE"/>
        </w:rPr>
        <w:t xml:space="preserve"> </w:t>
      </w:r>
      <w:proofErr w:type="spellStart"/>
      <w:r w:rsidRPr="000C7C76">
        <w:rPr>
          <w:rFonts w:ascii="Times New Roman" w:hAnsi="Times New Roman" w:cs="Times New Roman"/>
          <w:i/>
          <w:lang w:val="de-DE"/>
        </w:rPr>
        <w:t>ir</w:t>
      </w:r>
      <w:proofErr w:type="spellEnd"/>
      <w:r w:rsidRPr="000C7C76">
        <w:rPr>
          <w:rFonts w:ascii="Times New Roman" w:hAnsi="Times New Roman" w:cs="Times New Roman"/>
          <w:i/>
          <w:lang w:val="de-DE"/>
        </w:rPr>
        <w:t xml:space="preserve"> </w:t>
      </w:r>
      <w:proofErr w:type="spellStart"/>
      <w:r w:rsidRPr="000C7C76">
        <w:rPr>
          <w:rFonts w:ascii="Times New Roman" w:hAnsi="Times New Roman" w:cs="Times New Roman"/>
          <w:i/>
          <w:lang w:val="de-DE"/>
        </w:rPr>
        <w:t>dalībvalstu</w:t>
      </w:r>
      <w:proofErr w:type="spellEnd"/>
      <w:r w:rsidRPr="000C7C76">
        <w:rPr>
          <w:rFonts w:ascii="Times New Roman" w:hAnsi="Times New Roman" w:cs="Times New Roman"/>
          <w:i/>
          <w:lang w:val="de-DE"/>
        </w:rPr>
        <w:t xml:space="preserve"> </w:t>
      </w:r>
      <w:proofErr w:type="spellStart"/>
      <w:r w:rsidRPr="000C7C76">
        <w:rPr>
          <w:rFonts w:ascii="Times New Roman" w:hAnsi="Times New Roman" w:cs="Times New Roman"/>
          <w:i/>
          <w:lang w:val="de-DE"/>
        </w:rPr>
        <w:t>pilsoņi</w:t>
      </w:r>
      <w:proofErr w:type="spellEnd"/>
      <w:r w:rsidRPr="000C7C76">
        <w:rPr>
          <w:rFonts w:ascii="Times New Roman" w:hAnsi="Times New Roman" w:cs="Times New Roman"/>
          <w:i/>
          <w:lang w:val="de-DE"/>
        </w:rPr>
        <w:t>.</w:t>
      </w:r>
    </w:p>
    <w:p w14:paraId="4B027EA8" w14:textId="77777777" w:rsidR="00114953" w:rsidRDefault="00114953" w:rsidP="00114953">
      <w:pPr>
        <w:pStyle w:val="tv213"/>
        <w:ind w:firstLine="708"/>
        <w:jc w:val="both"/>
      </w:pPr>
      <w:r w:rsidRPr="00E721CE">
        <w:rPr>
          <w:i/>
        </w:rPr>
        <w:t>“</w:t>
      </w:r>
      <w:proofErr w:type="spellStart"/>
      <w:r w:rsidRPr="00E721CE">
        <w:rPr>
          <w:i/>
        </w:rPr>
        <w:t>Sabiedrības</w:t>
      </w:r>
      <w:proofErr w:type="spellEnd"/>
      <w:r w:rsidRPr="00E721CE">
        <w:rPr>
          <w:i/>
        </w:rPr>
        <w:t xml:space="preserve">” </w:t>
      </w:r>
      <w:proofErr w:type="spellStart"/>
      <w:r w:rsidRPr="00E721CE">
        <w:rPr>
          <w:i/>
        </w:rPr>
        <w:t>ir</w:t>
      </w:r>
      <w:proofErr w:type="spellEnd"/>
      <w:r w:rsidRPr="00E721CE">
        <w:rPr>
          <w:i/>
        </w:rPr>
        <w:t xml:space="preserve"> </w:t>
      </w:r>
      <w:proofErr w:type="spellStart"/>
      <w:r w:rsidRPr="00E721CE">
        <w:rPr>
          <w:i/>
        </w:rPr>
        <w:t>tādas</w:t>
      </w:r>
      <w:proofErr w:type="spellEnd"/>
      <w:r w:rsidRPr="00E721CE">
        <w:rPr>
          <w:i/>
        </w:rPr>
        <w:t xml:space="preserve"> </w:t>
      </w:r>
      <w:proofErr w:type="spellStart"/>
      <w:r w:rsidRPr="00E721CE">
        <w:rPr>
          <w:i/>
        </w:rPr>
        <w:t>sabiedrības</w:t>
      </w:r>
      <w:proofErr w:type="spellEnd"/>
      <w:r w:rsidRPr="00E721CE">
        <w:rPr>
          <w:i/>
        </w:rPr>
        <w:t xml:space="preserve">, </w:t>
      </w:r>
      <w:proofErr w:type="spellStart"/>
      <w:r w:rsidRPr="00E721CE">
        <w:rPr>
          <w:i/>
        </w:rPr>
        <w:t>kas</w:t>
      </w:r>
      <w:proofErr w:type="spellEnd"/>
      <w:r w:rsidRPr="00E721CE">
        <w:rPr>
          <w:i/>
        </w:rPr>
        <w:t xml:space="preserve"> </w:t>
      </w:r>
      <w:proofErr w:type="spellStart"/>
      <w:r w:rsidRPr="00E721CE">
        <w:rPr>
          <w:i/>
        </w:rPr>
        <w:t>izveidotas</w:t>
      </w:r>
      <w:proofErr w:type="spellEnd"/>
      <w:r w:rsidRPr="00E721CE">
        <w:rPr>
          <w:i/>
        </w:rPr>
        <w:t xml:space="preserve"> </w:t>
      </w:r>
      <w:proofErr w:type="spellStart"/>
      <w:r w:rsidRPr="00E721CE">
        <w:rPr>
          <w:i/>
        </w:rPr>
        <w:t>saskaņā</w:t>
      </w:r>
      <w:proofErr w:type="spellEnd"/>
      <w:r w:rsidRPr="00E721CE">
        <w:rPr>
          <w:i/>
        </w:rPr>
        <w:t xml:space="preserve"> </w:t>
      </w:r>
      <w:proofErr w:type="spellStart"/>
      <w:r w:rsidRPr="00E721CE">
        <w:rPr>
          <w:i/>
        </w:rPr>
        <w:t>ar</w:t>
      </w:r>
      <w:proofErr w:type="spellEnd"/>
      <w:r w:rsidRPr="00E721CE">
        <w:rPr>
          <w:i/>
        </w:rPr>
        <w:t xml:space="preserve"> </w:t>
      </w:r>
      <w:proofErr w:type="spellStart"/>
      <w:r w:rsidRPr="00E721CE">
        <w:rPr>
          <w:i/>
        </w:rPr>
        <w:t>civiltiesībām</w:t>
      </w:r>
      <w:proofErr w:type="spellEnd"/>
      <w:r w:rsidRPr="00E721CE">
        <w:rPr>
          <w:i/>
        </w:rPr>
        <w:t xml:space="preserve"> </w:t>
      </w:r>
      <w:proofErr w:type="spellStart"/>
      <w:r w:rsidRPr="00E721CE">
        <w:rPr>
          <w:i/>
        </w:rPr>
        <w:t>vai</w:t>
      </w:r>
      <w:proofErr w:type="spellEnd"/>
      <w:r w:rsidRPr="00E721CE">
        <w:rPr>
          <w:i/>
        </w:rPr>
        <w:t xml:space="preserve"> </w:t>
      </w:r>
      <w:proofErr w:type="spellStart"/>
      <w:r w:rsidRPr="00E721CE">
        <w:rPr>
          <w:i/>
        </w:rPr>
        <w:t>komerctiesībām</w:t>
      </w:r>
      <w:proofErr w:type="spellEnd"/>
      <w:r w:rsidRPr="00E721CE">
        <w:rPr>
          <w:i/>
        </w:rPr>
        <w:t xml:space="preserve">, </w:t>
      </w:r>
      <w:proofErr w:type="spellStart"/>
      <w:r w:rsidRPr="00E721CE">
        <w:rPr>
          <w:i/>
        </w:rPr>
        <w:t>kā</w:t>
      </w:r>
      <w:proofErr w:type="spellEnd"/>
      <w:r w:rsidRPr="00E721CE">
        <w:rPr>
          <w:i/>
        </w:rPr>
        <w:t xml:space="preserve"> </w:t>
      </w:r>
      <w:proofErr w:type="spellStart"/>
      <w:r w:rsidRPr="00E721CE">
        <w:rPr>
          <w:i/>
        </w:rPr>
        <w:t>arī</w:t>
      </w:r>
      <w:proofErr w:type="spellEnd"/>
      <w:r w:rsidRPr="00E721CE">
        <w:rPr>
          <w:i/>
        </w:rPr>
        <w:t xml:space="preserve"> </w:t>
      </w:r>
      <w:proofErr w:type="spellStart"/>
      <w:r w:rsidRPr="00E721CE">
        <w:rPr>
          <w:i/>
        </w:rPr>
        <w:t>kooperatīvi</w:t>
      </w:r>
      <w:proofErr w:type="spellEnd"/>
      <w:r w:rsidRPr="00E721CE">
        <w:rPr>
          <w:i/>
        </w:rPr>
        <w:t xml:space="preserve"> </w:t>
      </w:r>
      <w:proofErr w:type="spellStart"/>
      <w:r w:rsidRPr="00E721CE">
        <w:rPr>
          <w:i/>
        </w:rPr>
        <w:t>un</w:t>
      </w:r>
      <w:proofErr w:type="spellEnd"/>
      <w:r w:rsidRPr="00E721CE">
        <w:rPr>
          <w:i/>
        </w:rPr>
        <w:t xml:space="preserve"> </w:t>
      </w:r>
      <w:proofErr w:type="spellStart"/>
      <w:r w:rsidRPr="00E721CE">
        <w:rPr>
          <w:i/>
        </w:rPr>
        <w:t>citas</w:t>
      </w:r>
      <w:proofErr w:type="spellEnd"/>
      <w:r w:rsidRPr="00E721CE">
        <w:rPr>
          <w:i/>
        </w:rPr>
        <w:t xml:space="preserve"> </w:t>
      </w:r>
      <w:proofErr w:type="spellStart"/>
      <w:r w:rsidRPr="00E721CE">
        <w:rPr>
          <w:i/>
        </w:rPr>
        <w:t>juridiskas</w:t>
      </w:r>
      <w:proofErr w:type="spellEnd"/>
      <w:r w:rsidRPr="00E721CE">
        <w:rPr>
          <w:i/>
        </w:rPr>
        <w:t xml:space="preserve"> personas, </w:t>
      </w:r>
      <w:proofErr w:type="spellStart"/>
      <w:r w:rsidRPr="00E721CE">
        <w:rPr>
          <w:i/>
        </w:rPr>
        <w:t>kas</w:t>
      </w:r>
      <w:proofErr w:type="spellEnd"/>
      <w:r w:rsidRPr="00E721CE">
        <w:rPr>
          <w:i/>
        </w:rPr>
        <w:t xml:space="preserve"> </w:t>
      </w:r>
      <w:proofErr w:type="spellStart"/>
      <w:r w:rsidRPr="00E721CE">
        <w:rPr>
          <w:i/>
        </w:rPr>
        <w:t>ir</w:t>
      </w:r>
      <w:proofErr w:type="spellEnd"/>
      <w:r w:rsidRPr="00E721CE">
        <w:rPr>
          <w:i/>
        </w:rPr>
        <w:t xml:space="preserve"> </w:t>
      </w:r>
      <w:proofErr w:type="spellStart"/>
      <w:r w:rsidRPr="00E721CE">
        <w:rPr>
          <w:i/>
        </w:rPr>
        <w:t>publisko</w:t>
      </w:r>
      <w:proofErr w:type="spellEnd"/>
      <w:r w:rsidRPr="00E721CE">
        <w:rPr>
          <w:i/>
        </w:rPr>
        <w:t xml:space="preserve"> </w:t>
      </w:r>
      <w:proofErr w:type="spellStart"/>
      <w:r w:rsidRPr="00E721CE">
        <w:rPr>
          <w:i/>
        </w:rPr>
        <w:t>tiesību</w:t>
      </w:r>
      <w:proofErr w:type="spellEnd"/>
      <w:r w:rsidRPr="00E721CE">
        <w:rPr>
          <w:i/>
        </w:rPr>
        <w:t xml:space="preserve"> </w:t>
      </w:r>
      <w:proofErr w:type="spellStart"/>
      <w:r w:rsidRPr="00E721CE">
        <w:rPr>
          <w:i/>
        </w:rPr>
        <w:t>vai</w:t>
      </w:r>
      <w:proofErr w:type="spellEnd"/>
      <w:r w:rsidRPr="00E721CE">
        <w:rPr>
          <w:i/>
        </w:rPr>
        <w:t xml:space="preserve"> </w:t>
      </w:r>
      <w:proofErr w:type="spellStart"/>
      <w:r w:rsidRPr="00E721CE">
        <w:rPr>
          <w:i/>
        </w:rPr>
        <w:t>privāttiesību</w:t>
      </w:r>
      <w:proofErr w:type="spellEnd"/>
      <w:r w:rsidRPr="00E721CE">
        <w:rPr>
          <w:i/>
        </w:rPr>
        <w:t xml:space="preserve"> </w:t>
      </w:r>
      <w:proofErr w:type="spellStart"/>
      <w:r w:rsidRPr="00E721CE">
        <w:rPr>
          <w:i/>
        </w:rPr>
        <w:t>subjekti</w:t>
      </w:r>
      <w:proofErr w:type="spellEnd"/>
      <w:r w:rsidRPr="00E721CE">
        <w:rPr>
          <w:i/>
        </w:rPr>
        <w:t xml:space="preserve">, </w:t>
      </w:r>
      <w:proofErr w:type="spellStart"/>
      <w:r w:rsidRPr="00E721CE">
        <w:rPr>
          <w:i/>
        </w:rPr>
        <w:t>izņemot</w:t>
      </w:r>
      <w:proofErr w:type="spellEnd"/>
      <w:r w:rsidRPr="00E721CE">
        <w:rPr>
          <w:i/>
        </w:rPr>
        <w:t xml:space="preserve"> </w:t>
      </w:r>
      <w:proofErr w:type="spellStart"/>
      <w:r w:rsidRPr="00E721CE">
        <w:rPr>
          <w:i/>
        </w:rPr>
        <w:t>bezpeļņas</w:t>
      </w:r>
      <w:proofErr w:type="spellEnd"/>
      <w:r w:rsidRPr="00E721CE">
        <w:rPr>
          <w:i/>
        </w:rPr>
        <w:t xml:space="preserve"> </w:t>
      </w:r>
      <w:proofErr w:type="spellStart"/>
      <w:r w:rsidRPr="00E721CE">
        <w:rPr>
          <w:i/>
        </w:rPr>
        <w:t>sabiedrības</w:t>
      </w:r>
      <w:proofErr w:type="spellEnd"/>
      <w:r w:rsidRPr="00E721CE">
        <w:t>“.</w:t>
      </w:r>
    </w:p>
    <w:p w14:paraId="39C1C980" w14:textId="77777777" w:rsidR="00114953" w:rsidRPr="000C7C76" w:rsidRDefault="00114953" w:rsidP="00114953">
      <w:pPr>
        <w:jc w:val="both"/>
        <w:rPr>
          <w:rFonts w:ascii="Times New Roman" w:hAnsi="Times New Roman" w:cs="Times New Roman"/>
          <w:lang w:val="de-DE"/>
        </w:rPr>
      </w:pPr>
    </w:p>
    <w:p w14:paraId="5A5BFE80" w14:textId="77777777" w:rsidR="00114953" w:rsidRPr="000C7C76" w:rsidRDefault="00114953" w:rsidP="00114953">
      <w:pPr>
        <w:jc w:val="both"/>
        <w:rPr>
          <w:rFonts w:ascii="Times New Roman" w:hAnsi="Times New Roman" w:cs="Times New Roman"/>
          <w:lang w:val="de-DE"/>
        </w:rPr>
      </w:pPr>
    </w:p>
    <w:p w14:paraId="163F6DE3" w14:textId="77777777" w:rsidR="00114953" w:rsidRPr="000C7C76" w:rsidRDefault="00114953" w:rsidP="00114953">
      <w:pPr>
        <w:jc w:val="both"/>
        <w:rPr>
          <w:rFonts w:ascii="Times New Roman" w:hAnsi="Times New Roman" w:cs="Times New Roman"/>
          <w:b/>
          <w:bCs/>
          <w:lang w:val="de-DE"/>
        </w:rPr>
      </w:pPr>
    </w:p>
    <w:p w14:paraId="1A675AD5" w14:textId="77777777" w:rsidR="00114953" w:rsidRPr="000C7C76" w:rsidRDefault="00114953" w:rsidP="00114953">
      <w:pPr>
        <w:jc w:val="both"/>
        <w:rPr>
          <w:rFonts w:ascii="Times New Roman" w:hAnsi="Times New Roman" w:cs="Times New Roman"/>
          <w:lang w:val="de-DE"/>
        </w:rPr>
      </w:pPr>
      <w:r w:rsidRPr="000C7C76">
        <w:rPr>
          <w:rFonts w:ascii="Times New Roman" w:hAnsi="Times New Roman" w:cs="Times New Roman"/>
          <w:b/>
          <w:bCs/>
          <w:lang w:val="de-DE"/>
        </w:rPr>
        <w:t xml:space="preserve">2. </w:t>
      </w:r>
      <w:proofErr w:type="spellStart"/>
      <w:r w:rsidRPr="000C7C76">
        <w:rPr>
          <w:rFonts w:ascii="Times New Roman" w:hAnsi="Times New Roman" w:cs="Times New Roman"/>
          <w:b/>
          <w:bCs/>
          <w:lang w:val="de-DE"/>
        </w:rPr>
        <w:t>Juridiskas</w:t>
      </w:r>
      <w:proofErr w:type="spellEnd"/>
      <w:r w:rsidRPr="000C7C76">
        <w:rPr>
          <w:rFonts w:ascii="Times New Roman" w:hAnsi="Times New Roman" w:cs="Times New Roman"/>
          <w:b/>
          <w:bCs/>
          <w:lang w:val="de-DE"/>
        </w:rPr>
        <w:t xml:space="preserve"> personas </w:t>
      </w:r>
      <w:proofErr w:type="spellStart"/>
      <w:r w:rsidRPr="000C7C76">
        <w:rPr>
          <w:rFonts w:ascii="Times New Roman" w:hAnsi="Times New Roman" w:cs="Times New Roman"/>
          <w:b/>
          <w:bCs/>
          <w:lang w:val="de-DE"/>
        </w:rPr>
        <w:t>pārstāvju</w:t>
      </w:r>
      <w:proofErr w:type="spellEnd"/>
      <w:r w:rsidRPr="000C7C76">
        <w:rPr>
          <w:rFonts w:ascii="Times New Roman" w:hAnsi="Times New Roman" w:cs="Times New Roman"/>
          <w:b/>
          <w:bCs/>
          <w:lang w:val="de-DE"/>
        </w:rPr>
        <w:t xml:space="preserve"> </w:t>
      </w:r>
      <w:proofErr w:type="spellStart"/>
      <w:r w:rsidRPr="000C7C76">
        <w:rPr>
          <w:rFonts w:ascii="Times New Roman" w:hAnsi="Times New Roman" w:cs="Times New Roman"/>
          <w:b/>
          <w:bCs/>
          <w:lang w:val="de-DE"/>
        </w:rPr>
        <w:t>pilnvaras</w:t>
      </w:r>
      <w:proofErr w:type="spellEnd"/>
      <w:r w:rsidRPr="000C7C76">
        <w:rPr>
          <w:rFonts w:ascii="Times New Roman" w:hAnsi="Times New Roman" w:cs="Times New Roman"/>
          <w:b/>
          <w:bCs/>
          <w:lang w:val="de-DE"/>
        </w:rPr>
        <w:t>:</w:t>
      </w:r>
      <w:r w:rsidRPr="000C7C76">
        <w:rPr>
          <w:rFonts w:ascii="Times New Roman" w:hAnsi="Times New Roman" w:cs="Times New Roman"/>
          <w:lang w:val="de-DE"/>
        </w:rPr>
        <w:t xml:space="preserve"> </w:t>
      </w:r>
    </w:p>
    <w:p w14:paraId="0A146E28" w14:textId="77777777" w:rsidR="00114953" w:rsidRDefault="00114953" w:rsidP="00114953">
      <w:pPr>
        <w:jc w:val="both"/>
        <w:rPr>
          <w:rFonts w:ascii="Times New Roman" w:hAnsi="Times New Roman" w:cs="Times New Roman"/>
          <w:lang w:val="de-DE"/>
        </w:rPr>
      </w:pPr>
    </w:p>
    <w:p w14:paraId="4CD2A0AA" w14:textId="77777777" w:rsidR="00114953" w:rsidRDefault="00114953" w:rsidP="00114953">
      <w:pPr>
        <w:ind w:firstLine="708"/>
        <w:jc w:val="both"/>
        <w:rPr>
          <w:rFonts w:ascii="Times New Roman" w:hAnsi="Times New Roman" w:cs="Times New Roman"/>
          <w:lang w:val="de-DE"/>
        </w:rPr>
      </w:pPr>
    </w:p>
    <w:p w14:paraId="476A7312" w14:textId="77777777" w:rsidR="00114953" w:rsidRDefault="00114953" w:rsidP="00114953">
      <w:pPr>
        <w:ind w:firstLine="708"/>
        <w:jc w:val="both"/>
        <w:rPr>
          <w:rFonts w:ascii="Times New Roman" w:hAnsi="Times New Roman" w:cs="Times New Roman"/>
          <w:lang w:val="de-DE"/>
        </w:rPr>
      </w:pPr>
      <w:proofErr w:type="spellStart"/>
      <w:r>
        <w:rPr>
          <w:rFonts w:ascii="Times New Roman" w:hAnsi="Times New Roman" w:cs="Times New Roman"/>
          <w:lang w:val="de-DE"/>
        </w:rPr>
        <w:t>Saskaņā</w:t>
      </w:r>
      <w:proofErr w:type="spellEnd"/>
      <w:r>
        <w:rPr>
          <w:rFonts w:ascii="Times New Roman" w:hAnsi="Times New Roman" w:cs="Times New Roman"/>
          <w:lang w:val="de-DE"/>
        </w:rPr>
        <w:t xml:space="preserve"> </w:t>
      </w:r>
      <w:proofErr w:type="spellStart"/>
      <w:r>
        <w:rPr>
          <w:rFonts w:ascii="Times New Roman" w:hAnsi="Times New Roman" w:cs="Times New Roman"/>
          <w:lang w:val="de-DE"/>
        </w:rPr>
        <w:t>ar</w:t>
      </w:r>
      <w:proofErr w:type="spellEnd"/>
      <w:r>
        <w:rPr>
          <w:rFonts w:ascii="Times New Roman" w:hAnsi="Times New Roman" w:cs="Times New Roman"/>
          <w:lang w:val="de-DE"/>
        </w:rPr>
        <w:t xml:space="preserve"> CL 1410.panta </w:t>
      </w:r>
      <w:proofErr w:type="spellStart"/>
      <w:r>
        <w:rPr>
          <w:rFonts w:ascii="Times New Roman" w:hAnsi="Times New Roman" w:cs="Times New Roman"/>
          <w:lang w:val="de-DE"/>
        </w:rPr>
        <w:t>otro</w:t>
      </w:r>
      <w:proofErr w:type="spellEnd"/>
      <w:r>
        <w:rPr>
          <w:rFonts w:ascii="Times New Roman" w:hAnsi="Times New Roman" w:cs="Times New Roman"/>
          <w:lang w:val="de-DE"/>
        </w:rPr>
        <w:t xml:space="preserve"> </w:t>
      </w:r>
      <w:proofErr w:type="spellStart"/>
      <w:r>
        <w:rPr>
          <w:rFonts w:ascii="Times New Roman" w:hAnsi="Times New Roman" w:cs="Times New Roman"/>
          <w:lang w:val="de-DE"/>
        </w:rPr>
        <w:t>daļu</w:t>
      </w:r>
      <w:proofErr w:type="spellEnd"/>
      <w:r>
        <w:rPr>
          <w:rFonts w:ascii="Times New Roman" w:hAnsi="Times New Roman" w:cs="Times New Roman"/>
          <w:lang w:val="de-DE"/>
        </w:rPr>
        <w:t xml:space="preserve"> </w:t>
      </w:r>
      <w:proofErr w:type="spellStart"/>
      <w:r>
        <w:rPr>
          <w:rFonts w:ascii="Times New Roman" w:hAnsi="Times New Roman" w:cs="Times New Roman"/>
          <w:lang w:val="de-DE"/>
        </w:rPr>
        <w:t>juridiskas</w:t>
      </w:r>
      <w:proofErr w:type="spellEnd"/>
      <w:r>
        <w:rPr>
          <w:rFonts w:ascii="Times New Roman" w:hAnsi="Times New Roman" w:cs="Times New Roman"/>
          <w:lang w:val="de-DE"/>
        </w:rPr>
        <w:t xml:space="preserve"> personas </w:t>
      </w:r>
      <w:proofErr w:type="spellStart"/>
      <w:r>
        <w:rPr>
          <w:rFonts w:ascii="Times New Roman" w:hAnsi="Times New Roman" w:cs="Times New Roman"/>
          <w:lang w:val="de-DE"/>
        </w:rPr>
        <w:t>taisa</w:t>
      </w:r>
      <w:proofErr w:type="spellEnd"/>
      <w:r>
        <w:rPr>
          <w:rFonts w:ascii="Times New Roman" w:hAnsi="Times New Roman" w:cs="Times New Roman"/>
          <w:lang w:val="de-DE"/>
        </w:rPr>
        <w:t xml:space="preserve"> </w:t>
      </w:r>
      <w:proofErr w:type="spellStart"/>
      <w:r>
        <w:rPr>
          <w:rFonts w:ascii="Times New Roman" w:hAnsi="Times New Roman" w:cs="Times New Roman"/>
          <w:lang w:val="de-DE"/>
        </w:rPr>
        <w:t>tiesiskos</w:t>
      </w:r>
      <w:proofErr w:type="spellEnd"/>
      <w:r>
        <w:rPr>
          <w:rFonts w:ascii="Times New Roman" w:hAnsi="Times New Roman" w:cs="Times New Roman"/>
          <w:lang w:val="de-DE"/>
        </w:rPr>
        <w:t xml:space="preserve"> </w:t>
      </w:r>
      <w:proofErr w:type="spellStart"/>
      <w:r>
        <w:rPr>
          <w:rFonts w:ascii="Times New Roman" w:hAnsi="Times New Roman" w:cs="Times New Roman"/>
          <w:lang w:val="de-DE"/>
        </w:rPr>
        <w:t>darījumus</w:t>
      </w:r>
      <w:proofErr w:type="spellEnd"/>
      <w:r>
        <w:rPr>
          <w:rFonts w:ascii="Times New Roman" w:hAnsi="Times New Roman" w:cs="Times New Roman"/>
          <w:lang w:val="de-DE"/>
        </w:rPr>
        <w:t xml:space="preserve"> </w:t>
      </w:r>
      <w:proofErr w:type="spellStart"/>
      <w:r>
        <w:rPr>
          <w:rFonts w:ascii="Times New Roman" w:hAnsi="Times New Roman" w:cs="Times New Roman"/>
          <w:lang w:val="de-DE"/>
        </w:rPr>
        <w:t>caur</w:t>
      </w:r>
      <w:proofErr w:type="spellEnd"/>
      <w:r>
        <w:rPr>
          <w:rFonts w:ascii="Times New Roman" w:hAnsi="Times New Roman" w:cs="Times New Roman"/>
          <w:lang w:val="de-DE"/>
        </w:rPr>
        <w:t xml:space="preserve"> </w:t>
      </w:r>
      <w:proofErr w:type="spellStart"/>
      <w:r>
        <w:rPr>
          <w:rFonts w:ascii="Times New Roman" w:hAnsi="Times New Roman" w:cs="Times New Roman"/>
          <w:lang w:val="de-DE"/>
        </w:rPr>
        <w:t>saviem</w:t>
      </w:r>
      <w:proofErr w:type="spellEnd"/>
      <w:r>
        <w:rPr>
          <w:rFonts w:ascii="Times New Roman" w:hAnsi="Times New Roman" w:cs="Times New Roman"/>
          <w:lang w:val="de-DE"/>
        </w:rPr>
        <w:t xml:space="preserve"> </w:t>
      </w:r>
      <w:proofErr w:type="spellStart"/>
      <w:r>
        <w:rPr>
          <w:rFonts w:ascii="Times New Roman" w:hAnsi="Times New Roman" w:cs="Times New Roman"/>
          <w:lang w:val="de-DE"/>
        </w:rPr>
        <w:t>likumīgiem</w:t>
      </w:r>
      <w:proofErr w:type="spellEnd"/>
      <w:r>
        <w:rPr>
          <w:rFonts w:ascii="Times New Roman" w:hAnsi="Times New Roman" w:cs="Times New Roman"/>
          <w:lang w:val="de-DE"/>
        </w:rPr>
        <w:t xml:space="preserve"> </w:t>
      </w:r>
      <w:proofErr w:type="spellStart"/>
      <w:r>
        <w:rPr>
          <w:rFonts w:ascii="Times New Roman" w:hAnsi="Times New Roman" w:cs="Times New Roman"/>
          <w:lang w:val="de-DE"/>
        </w:rPr>
        <w:t>pārstāvjiem</w:t>
      </w:r>
      <w:proofErr w:type="spellEnd"/>
      <w:r>
        <w:rPr>
          <w:rFonts w:ascii="Times New Roman" w:hAnsi="Times New Roman" w:cs="Times New Roman"/>
          <w:lang w:val="de-DE"/>
        </w:rPr>
        <w:t>. Ar „</w:t>
      </w:r>
      <w:proofErr w:type="spellStart"/>
      <w:r>
        <w:rPr>
          <w:rFonts w:ascii="Times New Roman" w:hAnsi="Times New Roman" w:cs="Times New Roman"/>
          <w:lang w:val="de-DE"/>
        </w:rPr>
        <w:t>likumīgiem</w:t>
      </w:r>
      <w:proofErr w:type="spellEnd"/>
      <w:r>
        <w:rPr>
          <w:rFonts w:ascii="Times New Roman" w:hAnsi="Times New Roman" w:cs="Times New Roman"/>
          <w:lang w:val="de-DE"/>
        </w:rPr>
        <w:t xml:space="preserve"> </w:t>
      </w:r>
      <w:proofErr w:type="spellStart"/>
      <w:r>
        <w:rPr>
          <w:rFonts w:ascii="Times New Roman" w:hAnsi="Times New Roman" w:cs="Times New Roman"/>
          <w:lang w:val="de-DE"/>
        </w:rPr>
        <w:t>pārstāvjiem</w:t>
      </w:r>
      <w:proofErr w:type="spellEnd"/>
      <w:r>
        <w:rPr>
          <w:rFonts w:ascii="Times New Roman" w:hAnsi="Times New Roman" w:cs="Times New Roman"/>
          <w:lang w:val="de-DE"/>
        </w:rPr>
        <w:t xml:space="preserve">“ </w:t>
      </w:r>
      <w:proofErr w:type="spellStart"/>
      <w:r>
        <w:rPr>
          <w:rFonts w:ascii="Times New Roman" w:hAnsi="Times New Roman" w:cs="Times New Roman"/>
          <w:lang w:val="de-DE"/>
        </w:rPr>
        <w:t>domātas</w:t>
      </w:r>
      <w:proofErr w:type="spellEnd"/>
      <w:r>
        <w:rPr>
          <w:rFonts w:ascii="Times New Roman" w:hAnsi="Times New Roman" w:cs="Times New Roman"/>
          <w:lang w:val="de-DE"/>
        </w:rPr>
        <w:t xml:space="preserve"> </w:t>
      </w:r>
      <w:proofErr w:type="spellStart"/>
      <w:r>
        <w:rPr>
          <w:rFonts w:ascii="Times New Roman" w:hAnsi="Times New Roman" w:cs="Times New Roman"/>
          <w:lang w:val="de-DE"/>
        </w:rPr>
        <w:t>juridiskās</w:t>
      </w:r>
      <w:proofErr w:type="spellEnd"/>
      <w:r>
        <w:rPr>
          <w:rFonts w:ascii="Times New Roman" w:hAnsi="Times New Roman" w:cs="Times New Roman"/>
          <w:lang w:val="de-DE"/>
        </w:rPr>
        <w:t xml:space="preserve"> personas </w:t>
      </w:r>
      <w:proofErr w:type="spellStart"/>
      <w:r>
        <w:rPr>
          <w:rFonts w:ascii="Times New Roman" w:hAnsi="Times New Roman" w:cs="Times New Roman"/>
          <w:lang w:val="de-DE"/>
        </w:rPr>
        <w:t>institūcijas</w:t>
      </w:r>
      <w:proofErr w:type="spellEnd"/>
      <w:r>
        <w:rPr>
          <w:rFonts w:ascii="Times New Roman" w:hAnsi="Times New Roman" w:cs="Times New Roman"/>
          <w:lang w:val="de-DE"/>
        </w:rPr>
        <w:t xml:space="preserve"> (</w:t>
      </w:r>
      <w:proofErr w:type="spellStart"/>
      <w:r>
        <w:rPr>
          <w:rFonts w:ascii="Times New Roman" w:hAnsi="Times New Roman" w:cs="Times New Roman"/>
          <w:lang w:val="de-DE"/>
        </w:rPr>
        <w:t>orgāni</w:t>
      </w:r>
      <w:proofErr w:type="spellEnd"/>
      <w:r>
        <w:rPr>
          <w:rFonts w:ascii="Times New Roman" w:hAnsi="Times New Roman" w:cs="Times New Roman"/>
          <w:lang w:val="de-DE"/>
        </w:rPr>
        <w:t xml:space="preserve">), </w:t>
      </w:r>
      <w:proofErr w:type="spellStart"/>
      <w:r>
        <w:rPr>
          <w:rFonts w:ascii="Times New Roman" w:hAnsi="Times New Roman" w:cs="Times New Roman"/>
          <w:lang w:val="de-DE"/>
        </w:rPr>
        <w:t>kas</w:t>
      </w:r>
      <w:proofErr w:type="spellEnd"/>
      <w:r>
        <w:rPr>
          <w:rFonts w:ascii="Times New Roman" w:hAnsi="Times New Roman" w:cs="Times New Roman"/>
          <w:lang w:val="de-DE"/>
        </w:rPr>
        <w:t xml:space="preserve"> </w:t>
      </w:r>
      <w:proofErr w:type="spellStart"/>
      <w:r>
        <w:rPr>
          <w:rFonts w:ascii="Times New Roman" w:hAnsi="Times New Roman" w:cs="Times New Roman"/>
          <w:lang w:val="de-DE"/>
        </w:rPr>
        <w:t>saskaņā</w:t>
      </w:r>
      <w:proofErr w:type="spellEnd"/>
      <w:r>
        <w:rPr>
          <w:rFonts w:ascii="Times New Roman" w:hAnsi="Times New Roman" w:cs="Times New Roman"/>
          <w:lang w:val="de-DE"/>
        </w:rPr>
        <w:t xml:space="preserve"> </w:t>
      </w:r>
      <w:proofErr w:type="spellStart"/>
      <w:r>
        <w:rPr>
          <w:rFonts w:ascii="Times New Roman" w:hAnsi="Times New Roman" w:cs="Times New Roman"/>
          <w:lang w:val="de-DE"/>
        </w:rPr>
        <w:t>ar</w:t>
      </w:r>
      <w:proofErr w:type="spellEnd"/>
      <w:r>
        <w:rPr>
          <w:rFonts w:ascii="Times New Roman" w:hAnsi="Times New Roman" w:cs="Times New Roman"/>
          <w:lang w:val="de-DE"/>
        </w:rPr>
        <w:t xml:space="preserve"> </w:t>
      </w:r>
      <w:proofErr w:type="spellStart"/>
      <w:r>
        <w:rPr>
          <w:rFonts w:ascii="Times New Roman" w:hAnsi="Times New Roman" w:cs="Times New Roman"/>
          <w:lang w:val="de-DE"/>
        </w:rPr>
        <w:t>likumu</w:t>
      </w:r>
      <w:proofErr w:type="spellEnd"/>
      <w:r>
        <w:rPr>
          <w:rFonts w:ascii="Times New Roman" w:hAnsi="Times New Roman" w:cs="Times New Roman"/>
          <w:lang w:val="de-DE"/>
        </w:rPr>
        <w:t xml:space="preserve"> </w:t>
      </w:r>
      <w:proofErr w:type="spellStart"/>
      <w:r>
        <w:rPr>
          <w:rFonts w:ascii="Times New Roman" w:hAnsi="Times New Roman" w:cs="Times New Roman"/>
          <w:lang w:val="de-DE"/>
        </w:rPr>
        <w:t>ir</w:t>
      </w:r>
      <w:proofErr w:type="spellEnd"/>
      <w:r>
        <w:rPr>
          <w:rFonts w:ascii="Times New Roman" w:hAnsi="Times New Roman" w:cs="Times New Roman"/>
          <w:lang w:val="de-DE"/>
        </w:rPr>
        <w:t xml:space="preserve"> </w:t>
      </w:r>
      <w:proofErr w:type="spellStart"/>
      <w:r>
        <w:rPr>
          <w:rFonts w:ascii="Times New Roman" w:hAnsi="Times New Roman" w:cs="Times New Roman"/>
          <w:lang w:val="de-DE"/>
        </w:rPr>
        <w:t>tiesīgi</w:t>
      </w:r>
      <w:proofErr w:type="spellEnd"/>
      <w:r>
        <w:rPr>
          <w:rFonts w:ascii="Times New Roman" w:hAnsi="Times New Roman" w:cs="Times New Roman"/>
          <w:lang w:val="de-DE"/>
        </w:rPr>
        <w:t xml:space="preserve"> </w:t>
      </w:r>
      <w:proofErr w:type="spellStart"/>
      <w:r>
        <w:rPr>
          <w:rFonts w:ascii="Times New Roman" w:hAnsi="Times New Roman" w:cs="Times New Roman"/>
          <w:lang w:val="de-DE"/>
        </w:rPr>
        <w:t>juridiskās</w:t>
      </w:r>
      <w:proofErr w:type="spellEnd"/>
      <w:r>
        <w:rPr>
          <w:rFonts w:ascii="Times New Roman" w:hAnsi="Times New Roman" w:cs="Times New Roman"/>
          <w:lang w:val="de-DE"/>
        </w:rPr>
        <w:t xml:space="preserve"> personas </w:t>
      </w:r>
      <w:proofErr w:type="spellStart"/>
      <w:r>
        <w:rPr>
          <w:rFonts w:ascii="Times New Roman" w:hAnsi="Times New Roman" w:cs="Times New Roman"/>
          <w:lang w:val="de-DE"/>
        </w:rPr>
        <w:t>vārdā</w:t>
      </w:r>
      <w:proofErr w:type="spellEnd"/>
      <w:r>
        <w:rPr>
          <w:rFonts w:ascii="Times New Roman" w:hAnsi="Times New Roman" w:cs="Times New Roman"/>
          <w:lang w:val="de-DE"/>
        </w:rPr>
        <w:t xml:space="preserve"> </w:t>
      </w:r>
      <w:proofErr w:type="spellStart"/>
      <w:r>
        <w:rPr>
          <w:rFonts w:ascii="Times New Roman" w:hAnsi="Times New Roman" w:cs="Times New Roman"/>
          <w:lang w:val="de-DE"/>
        </w:rPr>
        <w:t>taisīt</w:t>
      </w:r>
      <w:proofErr w:type="spellEnd"/>
      <w:r>
        <w:rPr>
          <w:rFonts w:ascii="Times New Roman" w:hAnsi="Times New Roman" w:cs="Times New Roman"/>
          <w:lang w:val="de-DE"/>
        </w:rPr>
        <w:t xml:space="preserve"> </w:t>
      </w:r>
      <w:proofErr w:type="spellStart"/>
      <w:r>
        <w:rPr>
          <w:rFonts w:ascii="Times New Roman" w:hAnsi="Times New Roman" w:cs="Times New Roman"/>
          <w:lang w:val="de-DE"/>
        </w:rPr>
        <w:t>darījumus</w:t>
      </w:r>
      <w:proofErr w:type="spellEnd"/>
      <w:r>
        <w:rPr>
          <w:rFonts w:ascii="Times New Roman" w:hAnsi="Times New Roman" w:cs="Times New Roman"/>
          <w:lang w:val="de-DE"/>
        </w:rPr>
        <w:t xml:space="preserve">, </w:t>
      </w:r>
      <w:proofErr w:type="spellStart"/>
      <w:r>
        <w:rPr>
          <w:rFonts w:ascii="Times New Roman" w:hAnsi="Times New Roman" w:cs="Times New Roman"/>
          <w:lang w:val="de-DE"/>
        </w:rPr>
        <w:lastRenderedPageBreak/>
        <w:t>parakstīt</w:t>
      </w:r>
      <w:proofErr w:type="spellEnd"/>
      <w:r>
        <w:rPr>
          <w:rFonts w:ascii="Times New Roman" w:hAnsi="Times New Roman" w:cs="Times New Roman"/>
          <w:lang w:val="de-DE"/>
        </w:rPr>
        <w:t xml:space="preserve"> </w:t>
      </w:r>
      <w:proofErr w:type="spellStart"/>
      <w:r>
        <w:rPr>
          <w:rFonts w:ascii="Times New Roman" w:hAnsi="Times New Roman" w:cs="Times New Roman"/>
          <w:lang w:val="de-DE"/>
        </w:rPr>
        <w:t>dokumentus</w:t>
      </w:r>
      <w:proofErr w:type="spellEnd"/>
      <w:r>
        <w:rPr>
          <w:rFonts w:ascii="Times New Roman" w:hAnsi="Times New Roman" w:cs="Times New Roman"/>
          <w:lang w:val="de-DE"/>
        </w:rPr>
        <w:t xml:space="preserve">, </w:t>
      </w:r>
      <w:proofErr w:type="spellStart"/>
      <w:r>
        <w:rPr>
          <w:rFonts w:ascii="Times New Roman" w:hAnsi="Times New Roman" w:cs="Times New Roman"/>
          <w:lang w:val="de-DE"/>
        </w:rPr>
        <w:t>piedalīties</w:t>
      </w:r>
      <w:proofErr w:type="spellEnd"/>
      <w:r>
        <w:rPr>
          <w:rFonts w:ascii="Times New Roman" w:hAnsi="Times New Roman" w:cs="Times New Roman"/>
          <w:lang w:val="de-DE"/>
        </w:rPr>
        <w:t xml:space="preserve"> </w:t>
      </w:r>
      <w:proofErr w:type="spellStart"/>
      <w:r>
        <w:rPr>
          <w:rFonts w:ascii="Times New Roman" w:hAnsi="Times New Roman" w:cs="Times New Roman"/>
          <w:lang w:val="de-DE"/>
        </w:rPr>
        <w:t>tiesas</w:t>
      </w:r>
      <w:proofErr w:type="spellEnd"/>
      <w:r>
        <w:rPr>
          <w:rFonts w:ascii="Times New Roman" w:hAnsi="Times New Roman" w:cs="Times New Roman"/>
          <w:lang w:val="de-DE"/>
        </w:rPr>
        <w:t xml:space="preserve"> </w:t>
      </w:r>
      <w:proofErr w:type="spellStart"/>
      <w:r>
        <w:rPr>
          <w:rFonts w:ascii="Times New Roman" w:hAnsi="Times New Roman" w:cs="Times New Roman"/>
          <w:lang w:val="de-DE"/>
        </w:rPr>
        <w:t>procesos</w:t>
      </w:r>
      <w:proofErr w:type="spellEnd"/>
      <w:r>
        <w:rPr>
          <w:rFonts w:ascii="Times New Roman" w:hAnsi="Times New Roman" w:cs="Times New Roman"/>
          <w:lang w:val="de-DE"/>
        </w:rPr>
        <w:t xml:space="preserve">. </w:t>
      </w:r>
      <w:proofErr w:type="spellStart"/>
      <w:r>
        <w:rPr>
          <w:rFonts w:ascii="Times New Roman" w:hAnsi="Times New Roman" w:cs="Times New Roman"/>
          <w:lang w:val="de-DE"/>
        </w:rPr>
        <w:t>Turklāt</w:t>
      </w:r>
      <w:proofErr w:type="spellEnd"/>
      <w:r>
        <w:rPr>
          <w:rFonts w:ascii="Times New Roman" w:hAnsi="Times New Roman" w:cs="Times New Roman"/>
          <w:lang w:val="de-DE"/>
        </w:rPr>
        <w:t xml:space="preserve">, </w:t>
      </w:r>
      <w:proofErr w:type="spellStart"/>
      <w:r>
        <w:rPr>
          <w:rFonts w:ascii="Times New Roman" w:hAnsi="Times New Roman" w:cs="Times New Roman"/>
          <w:lang w:val="de-DE"/>
        </w:rPr>
        <w:t>norāde</w:t>
      </w:r>
      <w:proofErr w:type="spellEnd"/>
      <w:r>
        <w:rPr>
          <w:rFonts w:ascii="Times New Roman" w:hAnsi="Times New Roman" w:cs="Times New Roman"/>
          <w:lang w:val="de-DE"/>
        </w:rPr>
        <w:t xml:space="preserve"> </w:t>
      </w:r>
      <w:proofErr w:type="spellStart"/>
      <w:r>
        <w:rPr>
          <w:rFonts w:ascii="Times New Roman" w:hAnsi="Times New Roman" w:cs="Times New Roman"/>
          <w:lang w:val="de-DE"/>
        </w:rPr>
        <w:t>uz</w:t>
      </w:r>
      <w:proofErr w:type="spellEnd"/>
      <w:r>
        <w:rPr>
          <w:rFonts w:ascii="Times New Roman" w:hAnsi="Times New Roman" w:cs="Times New Roman"/>
          <w:lang w:val="de-DE"/>
        </w:rPr>
        <w:t xml:space="preserve"> </w:t>
      </w:r>
      <w:proofErr w:type="spellStart"/>
      <w:r>
        <w:rPr>
          <w:rFonts w:ascii="Times New Roman" w:hAnsi="Times New Roman" w:cs="Times New Roman"/>
          <w:lang w:val="de-DE"/>
        </w:rPr>
        <w:t>likumiskiem</w:t>
      </w:r>
      <w:proofErr w:type="spellEnd"/>
      <w:r>
        <w:rPr>
          <w:rFonts w:ascii="Times New Roman" w:hAnsi="Times New Roman" w:cs="Times New Roman"/>
          <w:lang w:val="de-DE"/>
        </w:rPr>
        <w:t xml:space="preserve"> </w:t>
      </w:r>
      <w:proofErr w:type="spellStart"/>
      <w:r>
        <w:rPr>
          <w:rFonts w:ascii="Times New Roman" w:hAnsi="Times New Roman" w:cs="Times New Roman"/>
          <w:lang w:val="de-DE"/>
        </w:rPr>
        <w:t>pārstāvjiem</w:t>
      </w:r>
      <w:proofErr w:type="spellEnd"/>
      <w:r>
        <w:rPr>
          <w:rFonts w:ascii="Times New Roman" w:hAnsi="Times New Roman" w:cs="Times New Roman"/>
          <w:lang w:val="de-DE"/>
        </w:rPr>
        <w:t xml:space="preserve"> </w:t>
      </w:r>
      <w:proofErr w:type="spellStart"/>
      <w:r>
        <w:rPr>
          <w:rFonts w:ascii="Times New Roman" w:hAnsi="Times New Roman" w:cs="Times New Roman"/>
          <w:lang w:val="de-DE"/>
        </w:rPr>
        <w:t>neizslēdz</w:t>
      </w:r>
      <w:proofErr w:type="spellEnd"/>
      <w:r>
        <w:rPr>
          <w:rFonts w:ascii="Times New Roman" w:hAnsi="Times New Roman" w:cs="Times New Roman"/>
          <w:lang w:val="de-DE"/>
        </w:rPr>
        <w:t xml:space="preserve"> </w:t>
      </w:r>
      <w:proofErr w:type="spellStart"/>
      <w:r>
        <w:rPr>
          <w:rFonts w:ascii="Times New Roman" w:hAnsi="Times New Roman" w:cs="Times New Roman"/>
          <w:lang w:val="de-DE"/>
        </w:rPr>
        <w:t>līgumiskos</w:t>
      </w:r>
      <w:proofErr w:type="spellEnd"/>
      <w:r>
        <w:rPr>
          <w:rFonts w:ascii="Times New Roman" w:hAnsi="Times New Roman" w:cs="Times New Roman"/>
          <w:lang w:val="de-DE"/>
        </w:rPr>
        <w:t xml:space="preserve"> </w:t>
      </w:r>
      <w:proofErr w:type="spellStart"/>
      <w:r>
        <w:rPr>
          <w:rFonts w:ascii="Times New Roman" w:hAnsi="Times New Roman" w:cs="Times New Roman"/>
          <w:lang w:val="de-DE"/>
        </w:rPr>
        <w:t>pārstāvjus</w:t>
      </w:r>
      <w:proofErr w:type="spellEnd"/>
      <w:r>
        <w:rPr>
          <w:rFonts w:ascii="Times New Roman" w:hAnsi="Times New Roman" w:cs="Times New Roman"/>
          <w:lang w:val="de-DE"/>
        </w:rPr>
        <w:t xml:space="preserve">, </w:t>
      </w:r>
      <w:proofErr w:type="spellStart"/>
      <w:r>
        <w:rPr>
          <w:rFonts w:ascii="Times New Roman" w:hAnsi="Times New Roman" w:cs="Times New Roman"/>
          <w:lang w:val="de-DE"/>
        </w:rPr>
        <w:t>jo</w:t>
      </w:r>
      <w:proofErr w:type="spellEnd"/>
      <w:r>
        <w:rPr>
          <w:rFonts w:ascii="Times New Roman" w:hAnsi="Times New Roman" w:cs="Times New Roman"/>
          <w:lang w:val="de-DE"/>
        </w:rPr>
        <w:t xml:space="preserve">, </w:t>
      </w:r>
      <w:proofErr w:type="spellStart"/>
      <w:r>
        <w:rPr>
          <w:rFonts w:ascii="Times New Roman" w:hAnsi="Times New Roman" w:cs="Times New Roman"/>
          <w:lang w:val="de-DE"/>
        </w:rPr>
        <w:t>piemēram</w:t>
      </w:r>
      <w:proofErr w:type="spellEnd"/>
      <w:r>
        <w:rPr>
          <w:rFonts w:ascii="Times New Roman" w:hAnsi="Times New Roman" w:cs="Times New Roman"/>
          <w:lang w:val="de-DE"/>
        </w:rPr>
        <w:t xml:space="preserve">, </w:t>
      </w:r>
      <w:proofErr w:type="spellStart"/>
      <w:r>
        <w:rPr>
          <w:rFonts w:ascii="Times New Roman" w:hAnsi="Times New Roman" w:cs="Times New Roman"/>
          <w:lang w:val="de-DE"/>
        </w:rPr>
        <w:t>juridiskas</w:t>
      </w:r>
      <w:proofErr w:type="spellEnd"/>
      <w:r>
        <w:rPr>
          <w:rFonts w:ascii="Times New Roman" w:hAnsi="Times New Roman" w:cs="Times New Roman"/>
          <w:lang w:val="de-DE"/>
        </w:rPr>
        <w:t xml:space="preserve"> personas </w:t>
      </w:r>
      <w:proofErr w:type="spellStart"/>
      <w:r>
        <w:rPr>
          <w:rFonts w:ascii="Times New Roman" w:hAnsi="Times New Roman" w:cs="Times New Roman"/>
          <w:lang w:val="de-DE"/>
        </w:rPr>
        <w:t>vadītājam</w:t>
      </w:r>
      <w:proofErr w:type="spellEnd"/>
      <w:r>
        <w:rPr>
          <w:rFonts w:ascii="Times New Roman" w:hAnsi="Times New Roman" w:cs="Times New Roman"/>
          <w:lang w:val="de-DE"/>
        </w:rPr>
        <w:t xml:space="preserve"> </w:t>
      </w:r>
      <w:proofErr w:type="spellStart"/>
      <w:r>
        <w:rPr>
          <w:rFonts w:ascii="Times New Roman" w:hAnsi="Times New Roman" w:cs="Times New Roman"/>
          <w:lang w:val="de-DE"/>
        </w:rPr>
        <w:t>ir</w:t>
      </w:r>
      <w:proofErr w:type="spellEnd"/>
      <w:r>
        <w:rPr>
          <w:rFonts w:ascii="Times New Roman" w:hAnsi="Times New Roman" w:cs="Times New Roman"/>
          <w:lang w:val="de-DE"/>
        </w:rPr>
        <w:t xml:space="preserve"> </w:t>
      </w:r>
      <w:proofErr w:type="spellStart"/>
      <w:r>
        <w:rPr>
          <w:rFonts w:ascii="Times New Roman" w:hAnsi="Times New Roman" w:cs="Times New Roman"/>
          <w:lang w:val="de-DE"/>
        </w:rPr>
        <w:t>tiesības</w:t>
      </w:r>
      <w:proofErr w:type="spellEnd"/>
      <w:r>
        <w:rPr>
          <w:rFonts w:ascii="Times New Roman" w:hAnsi="Times New Roman" w:cs="Times New Roman"/>
          <w:lang w:val="de-DE"/>
        </w:rPr>
        <w:t xml:space="preserve"> </w:t>
      </w:r>
      <w:proofErr w:type="spellStart"/>
      <w:r>
        <w:rPr>
          <w:rFonts w:ascii="Times New Roman" w:hAnsi="Times New Roman" w:cs="Times New Roman"/>
          <w:lang w:val="de-DE"/>
        </w:rPr>
        <w:t>taisīt</w:t>
      </w:r>
      <w:proofErr w:type="spellEnd"/>
      <w:r>
        <w:rPr>
          <w:rFonts w:ascii="Times New Roman" w:hAnsi="Times New Roman" w:cs="Times New Roman"/>
          <w:lang w:val="de-DE"/>
        </w:rPr>
        <w:t xml:space="preserve"> </w:t>
      </w:r>
      <w:proofErr w:type="spellStart"/>
      <w:r>
        <w:rPr>
          <w:rFonts w:ascii="Times New Roman" w:hAnsi="Times New Roman" w:cs="Times New Roman"/>
          <w:lang w:val="de-DE"/>
        </w:rPr>
        <w:t>darījumus</w:t>
      </w:r>
      <w:proofErr w:type="spellEnd"/>
      <w:r>
        <w:rPr>
          <w:rFonts w:ascii="Times New Roman" w:hAnsi="Times New Roman" w:cs="Times New Roman"/>
          <w:lang w:val="de-DE"/>
        </w:rPr>
        <w:t xml:space="preserve">, </w:t>
      </w:r>
      <w:proofErr w:type="spellStart"/>
      <w:r>
        <w:rPr>
          <w:rFonts w:ascii="Times New Roman" w:hAnsi="Times New Roman" w:cs="Times New Roman"/>
          <w:lang w:val="de-DE"/>
        </w:rPr>
        <w:t>kas</w:t>
      </w:r>
      <w:proofErr w:type="spellEnd"/>
      <w:r>
        <w:rPr>
          <w:rFonts w:ascii="Times New Roman" w:hAnsi="Times New Roman" w:cs="Times New Roman"/>
          <w:lang w:val="de-DE"/>
        </w:rPr>
        <w:t xml:space="preserve"> </w:t>
      </w:r>
      <w:proofErr w:type="spellStart"/>
      <w:r>
        <w:rPr>
          <w:rFonts w:ascii="Times New Roman" w:hAnsi="Times New Roman" w:cs="Times New Roman"/>
          <w:lang w:val="de-DE"/>
        </w:rPr>
        <w:t>ietver</w:t>
      </w:r>
      <w:proofErr w:type="spellEnd"/>
      <w:r>
        <w:rPr>
          <w:rFonts w:ascii="Times New Roman" w:hAnsi="Times New Roman" w:cs="Times New Roman"/>
          <w:lang w:val="de-DE"/>
        </w:rPr>
        <w:t xml:space="preserve"> </w:t>
      </w:r>
      <w:proofErr w:type="spellStart"/>
      <w:r>
        <w:rPr>
          <w:rFonts w:ascii="Times New Roman" w:hAnsi="Times New Roman" w:cs="Times New Roman"/>
          <w:lang w:val="de-DE"/>
        </w:rPr>
        <w:t>sevī</w:t>
      </w:r>
      <w:proofErr w:type="spellEnd"/>
      <w:r>
        <w:rPr>
          <w:rFonts w:ascii="Times New Roman" w:hAnsi="Times New Roman" w:cs="Times New Roman"/>
          <w:lang w:val="de-DE"/>
        </w:rPr>
        <w:t xml:space="preserve"> </w:t>
      </w:r>
      <w:proofErr w:type="spellStart"/>
      <w:r>
        <w:rPr>
          <w:rFonts w:ascii="Times New Roman" w:hAnsi="Times New Roman" w:cs="Times New Roman"/>
          <w:lang w:val="de-DE"/>
        </w:rPr>
        <w:t>arī</w:t>
      </w:r>
      <w:proofErr w:type="spellEnd"/>
      <w:r>
        <w:rPr>
          <w:rFonts w:ascii="Times New Roman" w:hAnsi="Times New Roman" w:cs="Times New Roman"/>
          <w:lang w:val="de-DE"/>
        </w:rPr>
        <w:t xml:space="preserve"> </w:t>
      </w:r>
      <w:proofErr w:type="spellStart"/>
      <w:r>
        <w:rPr>
          <w:rFonts w:ascii="Times New Roman" w:hAnsi="Times New Roman" w:cs="Times New Roman"/>
          <w:lang w:val="de-DE"/>
        </w:rPr>
        <w:t>tiesības</w:t>
      </w:r>
      <w:proofErr w:type="spellEnd"/>
      <w:r>
        <w:rPr>
          <w:rFonts w:ascii="Times New Roman" w:hAnsi="Times New Roman" w:cs="Times New Roman"/>
          <w:lang w:val="de-DE"/>
        </w:rPr>
        <w:t xml:space="preserve"> </w:t>
      </w:r>
      <w:proofErr w:type="spellStart"/>
      <w:r>
        <w:rPr>
          <w:rFonts w:ascii="Times New Roman" w:hAnsi="Times New Roman" w:cs="Times New Roman"/>
          <w:lang w:val="de-DE"/>
        </w:rPr>
        <w:t>izdot</w:t>
      </w:r>
      <w:proofErr w:type="spellEnd"/>
      <w:r>
        <w:rPr>
          <w:rFonts w:ascii="Times New Roman" w:hAnsi="Times New Roman" w:cs="Times New Roman"/>
          <w:lang w:val="de-DE"/>
        </w:rPr>
        <w:t xml:space="preserve"> </w:t>
      </w:r>
      <w:proofErr w:type="spellStart"/>
      <w:r>
        <w:rPr>
          <w:rFonts w:ascii="Times New Roman" w:hAnsi="Times New Roman" w:cs="Times New Roman"/>
          <w:lang w:val="de-DE"/>
        </w:rPr>
        <w:t>pilnvaras</w:t>
      </w:r>
      <w:proofErr w:type="spellEnd"/>
      <w:r>
        <w:rPr>
          <w:rFonts w:ascii="Times New Roman" w:hAnsi="Times New Roman" w:cs="Times New Roman"/>
          <w:lang w:val="de-DE"/>
        </w:rPr>
        <w:t xml:space="preserve"> </w:t>
      </w:r>
      <w:proofErr w:type="spellStart"/>
      <w:r>
        <w:rPr>
          <w:rFonts w:ascii="Times New Roman" w:hAnsi="Times New Roman" w:cs="Times New Roman"/>
          <w:lang w:val="de-DE"/>
        </w:rPr>
        <w:t>gan</w:t>
      </w:r>
      <w:proofErr w:type="spellEnd"/>
      <w:r>
        <w:rPr>
          <w:rFonts w:ascii="Times New Roman" w:hAnsi="Times New Roman" w:cs="Times New Roman"/>
          <w:lang w:val="de-DE"/>
        </w:rPr>
        <w:t xml:space="preserve"> </w:t>
      </w:r>
      <w:proofErr w:type="spellStart"/>
      <w:r>
        <w:rPr>
          <w:rFonts w:ascii="Times New Roman" w:hAnsi="Times New Roman" w:cs="Times New Roman"/>
          <w:lang w:val="de-DE"/>
        </w:rPr>
        <w:t>fiziskām</w:t>
      </w:r>
      <w:proofErr w:type="spellEnd"/>
      <w:r>
        <w:rPr>
          <w:rFonts w:ascii="Times New Roman" w:hAnsi="Times New Roman" w:cs="Times New Roman"/>
          <w:lang w:val="de-DE"/>
        </w:rPr>
        <w:t xml:space="preserve">, </w:t>
      </w:r>
      <w:proofErr w:type="spellStart"/>
      <w:r>
        <w:rPr>
          <w:rFonts w:ascii="Times New Roman" w:hAnsi="Times New Roman" w:cs="Times New Roman"/>
          <w:lang w:val="de-DE"/>
        </w:rPr>
        <w:t>gan</w:t>
      </w:r>
      <w:proofErr w:type="spellEnd"/>
      <w:r>
        <w:rPr>
          <w:rFonts w:ascii="Times New Roman" w:hAnsi="Times New Roman" w:cs="Times New Roman"/>
          <w:lang w:val="de-DE"/>
        </w:rPr>
        <w:t xml:space="preserve"> </w:t>
      </w:r>
      <w:proofErr w:type="spellStart"/>
      <w:r>
        <w:rPr>
          <w:rFonts w:ascii="Times New Roman" w:hAnsi="Times New Roman" w:cs="Times New Roman"/>
          <w:lang w:val="de-DE"/>
        </w:rPr>
        <w:t>citām</w:t>
      </w:r>
      <w:proofErr w:type="spellEnd"/>
      <w:r>
        <w:rPr>
          <w:rFonts w:ascii="Times New Roman" w:hAnsi="Times New Roman" w:cs="Times New Roman"/>
          <w:lang w:val="de-DE"/>
        </w:rPr>
        <w:t xml:space="preserve"> </w:t>
      </w:r>
      <w:proofErr w:type="spellStart"/>
      <w:r>
        <w:rPr>
          <w:rFonts w:ascii="Times New Roman" w:hAnsi="Times New Roman" w:cs="Times New Roman"/>
          <w:lang w:val="de-DE"/>
        </w:rPr>
        <w:t>juridiskām</w:t>
      </w:r>
      <w:proofErr w:type="spellEnd"/>
      <w:r>
        <w:rPr>
          <w:rFonts w:ascii="Times New Roman" w:hAnsi="Times New Roman" w:cs="Times New Roman"/>
          <w:lang w:val="de-DE"/>
        </w:rPr>
        <w:t xml:space="preserve"> </w:t>
      </w:r>
      <w:proofErr w:type="spellStart"/>
      <w:r>
        <w:rPr>
          <w:rFonts w:ascii="Times New Roman" w:hAnsi="Times New Roman" w:cs="Times New Roman"/>
          <w:lang w:val="de-DE"/>
        </w:rPr>
        <w:t>personām</w:t>
      </w:r>
      <w:proofErr w:type="spellEnd"/>
      <w:r>
        <w:rPr>
          <w:rFonts w:ascii="Times New Roman" w:hAnsi="Times New Roman" w:cs="Times New Roman"/>
          <w:lang w:val="de-DE"/>
        </w:rPr>
        <w:t>.</w:t>
      </w:r>
      <w:r>
        <w:rPr>
          <w:rStyle w:val="FootnoteReference"/>
          <w:rFonts w:ascii="Times New Roman" w:hAnsi="Times New Roman" w:cs="Times New Roman"/>
          <w:lang w:val="de-DE"/>
        </w:rPr>
        <w:footnoteReference w:id="69"/>
      </w:r>
    </w:p>
    <w:p w14:paraId="59CD6728" w14:textId="77B22279" w:rsidR="00114953" w:rsidRPr="003200B6" w:rsidRDefault="00114953" w:rsidP="00114953">
      <w:pPr>
        <w:ind w:firstLine="708"/>
        <w:jc w:val="both"/>
        <w:rPr>
          <w:rFonts w:ascii="Times New Roman" w:hAnsi="Times New Roman" w:cs="Times New Roman"/>
          <w:lang w:val="de-DE"/>
        </w:rPr>
      </w:pPr>
      <w:proofErr w:type="spellStart"/>
      <w:r>
        <w:rPr>
          <w:rFonts w:ascii="Times New Roman" w:hAnsi="Times New Roman" w:cs="Times New Roman"/>
          <w:lang w:val="de-DE"/>
        </w:rPr>
        <w:t>Juridisku</w:t>
      </w:r>
      <w:proofErr w:type="spellEnd"/>
      <w:r>
        <w:rPr>
          <w:rFonts w:ascii="Times New Roman" w:hAnsi="Times New Roman" w:cs="Times New Roman"/>
          <w:lang w:val="de-DE"/>
        </w:rPr>
        <w:t xml:space="preserve"> </w:t>
      </w:r>
      <w:proofErr w:type="spellStart"/>
      <w:r>
        <w:rPr>
          <w:rFonts w:ascii="Times New Roman" w:hAnsi="Times New Roman" w:cs="Times New Roman"/>
          <w:lang w:val="de-DE"/>
        </w:rPr>
        <w:t>personu</w:t>
      </w:r>
      <w:proofErr w:type="spellEnd"/>
      <w:r>
        <w:rPr>
          <w:rFonts w:ascii="Times New Roman" w:hAnsi="Times New Roman" w:cs="Times New Roman"/>
          <w:lang w:val="de-DE"/>
        </w:rPr>
        <w:t xml:space="preserve"> </w:t>
      </w:r>
      <w:proofErr w:type="spellStart"/>
      <w:r>
        <w:rPr>
          <w:rFonts w:ascii="Times New Roman" w:hAnsi="Times New Roman" w:cs="Times New Roman"/>
          <w:lang w:val="de-DE"/>
        </w:rPr>
        <w:t>situācijā</w:t>
      </w:r>
      <w:proofErr w:type="spellEnd"/>
      <w:r>
        <w:rPr>
          <w:rFonts w:ascii="Times New Roman" w:hAnsi="Times New Roman" w:cs="Times New Roman"/>
          <w:lang w:val="de-DE"/>
        </w:rPr>
        <w:t xml:space="preserve"> </w:t>
      </w:r>
      <w:proofErr w:type="spellStart"/>
      <w:r>
        <w:rPr>
          <w:rFonts w:ascii="Times New Roman" w:hAnsi="Times New Roman" w:cs="Times New Roman"/>
          <w:lang w:val="de-DE"/>
        </w:rPr>
        <w:t>pilnvarojums</w:t>
      </w:r>
      <w:proofErr w:type="spellEnd"/>
      <w:r>
        <w:rPr>
          <w:rFonts w:ascii="Times New Roman" w:hAnsi="Times New Roman" w:cs="Times New Roman"/>
          <w:lang w:val="de-DE"/>
        </w:rPr>
        <w:t xml:space="preserve"> (</w:t>
      </w:r>
      <w:proofErr w:type="spellStart"/>
      <w:r>
        <w:rPr>
          <w:rFonts w:ascii="Times New Roman" w:hAnsi="Times New Roman" w:cs="Times New Roman"/>
          <w:lang w:val="de-DE"/>
        </w:rPr>
        <w:t>pārstāvības</w:t>
      </w:r>
      <w:proofErr w:type="spellEnd"/>
      <w:r>
        <w:rPr>
          <w:rFonts w:ascii="Times New Roman" w:hAnsi="Times New Roman" w:cs="Times New Roman"/>
          <w:lang w:val="de-DE"/>
        </w:rPr>
        <w:t xml:space="preserve"> </w:t>
      </w:r>
      <w:proofErr w:type="spellStart"/>
      <w:r>
        <w:rPr>
          <w:rFonts w:ascii="Times New Roman" w:hAnsi="Times New Roman" w:cs="Times New Roman"/>
          <w:lang w:val="de-DE"/>
        </w:rPr>
        <w:t>tiesība</w:t>
      </w:r>
      <w:proofErr w:type="spellEnd"/>
      <w:r>
        <w:rPr>
          <w:rFonts w:ascii="Times New Roman" w:hAnsi="Times New Roman" w:cs="Times New Roman"/>
          <w:lang w:val="de-DE"/>
        </w:rPr>
        <w:t xml:space="preserve">) </w:t>
      </w:r>
      <w:proofErr w:type="spellStart"/>
      <w:r>
        <w:rPr>
          <w:rFonts w:ascii="Times New Roman" w:hAnsi="Times New Roman" w:cs="Times New Roman"/>
          <w:lang w:val="de-DE"/>
        </w:rPr>
        <w:t>var</w:t>
      </w:r>
      <w:proofErr w:type="spellEnd"/>
      <w:r>
        <w:rPr>
          <w:rFonts w:ascii="Times New Roman" w:hAnsi="Times New Roman" w:cs="Times New Roman"/>
          <w:lang w:val="de-DE"/>
        </w:rPr>
        <w:t xml:space="preserve"> </w:t>
      </w:r>
      <w:proofErr w:type="spellStart"/>
      <w:r>
        <w:rPr>
          <w:rFonts w:ascii="Times New Roman" w:hAnsi="Times New Roman" w:cs="Times New Roman"/>
          <w:lang w:val="de-DE"/>
        </w:rPr>
        <w:t>rasties</w:t>
      </w:r>
      <w:proofErr w:type="spellEnd"/>
      <w:r>
        <w:rPr>
          <w:rFonts w:ascii="Times New Roman" w:hAnsi="Times New Roman" w:cs="Times New Roman"/>
          <w:lang w:val="de-DE"/>
        </w:rPr>
        <w:t xml:space="preserve"> </w:t>
      </w:r>
      <w:proofErr w:type="spellStart"/>
      <w:r>
        <w:rPr>
          <w:rFonts w:ascii="Times New Roman" w:hAnsi="Times New Roman" w:cs="Times New Roman"/>
          <w:lang w:val="de-DE"/>
        </w:rPr>
        <w:t>gan</w:t>
      </w:r>
      <w:proofErr w:type="spellEnd"/>
      <w:r>
        <w:rPr>
          <w:rFonts w:ascii="Times New Roman" w:hAnsi="Times New Roman" w:cs="Times New Roman"/>
          <w:lang w:val="de-DE"/>
        </w:rPr>
        <w:t xml:space="preserve"> </w:t>
      </w:r>
      <w:proofErr w:type="spellStart"/>
      <w:r>
        <w:rPr>
          <w:rFonts w:ascii="Times New Roman" w:hAnsi="Times New Roman" w:cs="Times New Roman"/>
          <w:lang w:val="de-DE"/>
        </w:rPr>
        <w:t>uz</w:t>
      </w:r>
      <w:proofErr w:type="spellEnd"/>
      <w:r>
        <w:rPr>
          <w:rFonts w:ascii="Times New Roman" w:hAnsi="Times New Roman" w:cs="Times New Roman"/>
          <w:lang w:val="de-DE"/>
        </w:rPr>
        <w:t xml:space="preserve"> </w:t>
      </w:r>
      <w:proofErr w:type="spellStart"/>
      <w:r>
        <w:rPr>
          <w:rFonts w:ascii="Times New Roman" w:hAnsi="Times New Roman" w:cs="Times New Roman"/>
          <w:lang w:val="de-DE"/>
        </w:rPr>
        <w:t>likuma</w:t>
      </w:r>
      <w:proofErr w:type="spellEnd"/>
      <w:r>
        <w:rPr>
          <w:rFonts w:ascii="Times New Roman" w:hAnsi="Times New Roman" w:cs="Times New Roman"/>
          <w:lang w:val="de-DE"/>
        </w:rPr>
        <w:t xml:space="preserve"> </w:t>
      </w:r>
      <w:proofErr w:type="spellStart"/>
      <w:r>
        <w:rPr>
          <w:rFonts w:ascii="Times New Roman" w:hAnsi="Times New Roman" w:cs="Times New Roman"/>
          <w:lang w:val="de-DE"/>
        </w:rPr>
        <w:t>pamata</w:t>
      </w:r>
      <w:proofErr w:type="spellEnd"/>
      <w:r>
        <w:rPr>
          <w:rFonts w:ascii="Times New Roman" w:hAnsi="Times New Roman" w:cs="Times New Roman"/>
          <w:lang w:val="de-DE"/>
        </w:rPr>
        <w:t xml:space="preserve">, </w:t>
      </w:r>
      <w:proofErr w:type="spellStart"/>
      <w:r>
        <w:rPr>
          <w:rFonts w:ascii="Times New Roman" w:hAnsi="Times New Roman" w:cs="Times New Roman"/>
          <w:lang w:val="de-DE"/>
        </w:rPr>
        <w:t>gan</w:t>
      </w:r>
      <w:proofErr w:type="spellEnd"/>
      <w:r>
        <w:rPr>
          <w:rFonts w:ascii="Times New Roman" w:hAnsi="Times New Roman" w:cs="Times New Roman"/>
          <w:lang w:val="de-DE"/>
        </w:rPr>
        <w:t xml:space="preserve"> </w:t>
      </w:r>
      <w:proofErr w:type="spellStart"/>
      <w:r>
        <w:rPr>
          <w:rFonts w:ascii="Times New Roman" w:hAnsi="Times New Roman" w:cs="Times New Roman"/>
          <w:lang w:val="de-DE"/>
        </w:rPr>
        <w:t>pilnvarojuma</w:t>
      </w:r>
      <w:proofErr w:type="spellEnd"/>
      <w:r>
        <w:rPr>
          <w:rFonts w:ascii="Times New Roman" w:hAnsi="Times New Roman" w:cs="Times New Roman"/>
          <w:lang w:val="de-DE"/>
        </w:rPr>
        <w:t xml:space="preserve"> </w:t>
      </w:r>
      <w:proofErr w:type="spellStart"/>
      <w:r>
        <w:rPr>
          <w:rFonts w:ascii="Times New Roman" w:hAnsi="Times New Roman" w:cs="Times New Roman"/>
          <w:lang w:val="de-DE"/>
        </w:rPr>
        <w:t>līguma</w:t>
      </w:r>
      <w:proofErr w:type="spellEnd"/>
      <w:r>
        <w:rPr>
          <w:rFonts w:ascii="Times New Roman" w:hAnsi="Times New Roman" w:cs="Times New Roman"/>
          <w:lang w:val="de-DE"/>
        </w:rPr>
        <w:t xml:space="preserve">, </w:t>
      </w:r>
      <w:proofErr w:type="spellStart"/>
      <w:r>
        <w:rPr>
          <w:rFonts w:ascii="Times New Roman" w:hAnsi="Times New Roman" w:cs="Times New Roman"/>
          <w:lang w:val="de-DE"/>
        </w:rPr>
        <w:t>gan</w:t>
      </w:r>
      <w:proofErr w:type="spellEnd"/>
      <w:r>
        <w:rPr>
          <w:rFonts w:ascii="Times New Roman" w:hAnsi="Times New Roman" w:cs="Times New Roman"/>
          <w:lang w:val="de-DE"/>
        </w:rPr>
        <w:t xml:space="preserve"> </w:t>
      </w:r>
      <w:proofErr w:type="spellStart"/>
      <w:r>
        <w:rPr>
          <w:rFonts w:ascii="Times New Roman" w:hAnsi="Times New Roman" w:cs="Times New Roman"/>
          <w:lang w:val="de-DE"/>
        </w:rPr>
        <w:t>darba</w:t>
      </w:r>
      <w:proofErr w:type="spellEnd"/>
      <w:r>
        <w:rPr>
          <w:rFonts w:ascii="Times New Roman" w:hAnsi="Times New Roman" w:cs="Times New Roman"/>
          <w:lang w:val="de-DE"/>
        </w:rPr>
        <w:t xml:space="preserve"> </w:t>
      </w:r>
      <w:proofErr w:type="spellStart"/>
      <w:r>
        <w:rPr>
          <w:rFonts w:ascii="Times New Roman" w:hAnsi="Times New Roman" w:cs="Times New Roman"/>
          <w:lang w:val="de-DE"/>
        </w:rPr>
        <w:t>līguma</w:t>
      </w:r>
      <w:proofErr w:type="spellEnd"/>
      <w:r>
        <w:rPr>
          <w:rFonts w:ascii="Times New Roman" w:hAnsi="Times New Roman" w:cs="Times New Roman"/>
          <w:lang w:val="de-DE"/>
        </w:rPr>
        <w:t xml:space="preserve"> </w:t>
      </w:r>
      <w:proofErr w:type="spellStart"/>
      <w:r>
        <w:rPr>
          <w:rFonts w:ascii="Times New Roman" w:hAnsi="Times New Roman" w:cs="Times New Roman"/>
          <w:lang w:val="de-DE"/>
        </w:rPr>
        <w:t>pamata</w:t>
      </w:r>
      <w:proofErr w:type="spellEnd"/>
      <w:r>
        <w:rPr>
          <w:rFonts w:ascii="Times New Roman" w:hAnsi="Times New Roman" w:cs="Times New Roman"/>
          <w:lang w:val="de-DE"/>
        </w:rPr>
        <w:t>.</w:t>
      </w:r>
      <w:r>
        <w:rPr>
          <w:rStyle w:val="FootnoteReference"/>
          <w:rFonts w:ascii="Times New Roman" w:hAnsi="Times New Roman" w:cs="Times New Roman"/>
          <w:lang w:val="de-DE"/>
        </w:rPr>
        <w:footnoteReference w:id="70"/>
      </w:r>
      <w:r>
        <w:rPr>
          <w:rFonts w:ascii="Times New Roman" w:hAnsi="Times New Roman" w:cs="Times New Roman"/>
          <w:lang w:val="de-DE"/>
        </w:rPr>
        <w:t xml:space="preserve"> </w:t>
      </w:r>
      <w:proofErr w:type="spellStart"/>
      <w:r>
        <w:rPr>
          <w:rFonts w:ascii="Times New Roman" w:hAnsi="Times New Roman" w:cs="Times New Roman"/>
          <w:lang w:val="de-DE"/>
        </w:rPr>
        <w:t>Piemēram</w:t>
      </w:r>
      <w:proofErr w:type="spellEnd"/>
      <w:r>
        <w:rPr>
          <w:rFonts w:ascii="Times New Roman" w:hAnsi="Times New Roman" w:cs="Times New Roman"/>
          <w:lang w:val="de-DE"/>
        </w:rPr>
        <w:t xml:space="preserve">, </w:t>
      </w:r>
      <w:proofErr w:type="spellStart"/>
      <w:r>
        <w:rPr>
          <w:rFonts w:ascii="Times New Roman" w:hAnsi="Times New Roman" w:cs="Times New Roman"/>
          <w:lang w:val="de-DE"/>
        </w:rPr>
        <w:t>Komerclikumā</w:t>
      </w:r>
      <w:proofErr w:type="spellEnd"/>
      <w:r>
        <w:rPr>
          <w:rFonts w:ascii="Times New Roman" w:hAnsi="Times New Roman" w:cs="Times New Roman"/>
          <w:lang w:val="de-DE"/>
        </w:rPr>
        <w:t xml:space="preserve"> (</w:t>
      </w:r>
      <w:proofErr w:type="spellStart"/>
      <w:r>
        <w:rPr>
          <w:rFonts w:ascii="Times New Roman" w:hAnsi="Times New Roman" w:cs="Times New Roman"/>
          <w:lang w:val="de-DE"/>
        </w:rPr>
        <w:t>turpmāk</w:t>
      </w:r>
      <w:proofErr w:type="spellEnd"/>
      <w:r>
        <w:rPr>
          <w:rFonts w:ascii="Times New Roman" w:hAnsi="Times New Roman" w:cs="Times New Roman"/>
          <w:lang w:val="de-DE"/>
        </w:rPr>
        <w:t xml:space="preserve"> – </w:t>
      </w:r>
      <w:proofErr w:type="spellStart"/>
      <w:r>
        <w:rPr>
          <w:rFonts w:ascii="Times New Roman" w:hAnsi="Times New Roman" w:cs="Times New Roman"/>
          <w:lang w:val="de-DE"/>
        </w:rPr>
        <w:t>KoL</w:t>
      </w:r>
      <w:proofErr w:type="spellEnd"/>
      <w:r>
        <w:rPr>
          <w:rFonts w:ascii="Times New Roman" w:hAnsi="Times New Roman" w:cs="Times New Roman"/>
          <w:lang w:val="de-DE"/>
        </w:rPr>
        <w:t xml:space="preserve">) </w:t>
      </w:r>
      <w:proofErr w:type="spellStart"/>
      <w:r>
        <w:rPr>
          <w:rFonts w:ascii="Times New Roman" w:hAnsi="Times New Roman" w:cs="Times New Roman"/>
          <w:lang w:val="de-DE"/>
        </w:rPr>
        <w:t>ir</w:t>
      </w:r>
      <w:proofErr w:type="spellEnd"/>
      <w:r>
        <w:rPr>
          <w:rFonts w:ascii="Times New Roman" w:hAnsi="Times New Roman" w:cs="Times New Roman"/>
          <w:lang w:val="de-DE"/>
        </w:rPr>
        <w:t xml:space="preserve"> </w:t>
      </w:r>
      <w:proofErr w:type="spellStart"/>
      <w:r>
        <w:rPr>
          <w:rFonts w:ascii="Times New Roman" w:hAnsi="Times New Roman" w:cs="Times New Roman"/>
          <w:lang w:val="de-DE"/>
        </w:rPr>
        <w:t>noteikti</w:t>
      </w:r>
      <w:proofErr w:type="spellEnd"/>
      <w:r>
        <w:rPr>
          <w:rFonts w:ascii="Times New Roman" w:hAnsi="Times New Roman" w:cs="Times New Roman"/>
          <w:lang w:val="de-DE"/>
        </w:rPr>
        <w:t xml:space="preserve"> </w:t>
      </w:r>
      <w:proofErr w:type="spellStart"/>
      <w:r>
        <w:rPr>
          <w:rFonts w:ascii="Times New Roman" w:hAnsi="Times New Roman" w:cs="Times New Roman"/>
          <w:lang w:val="de-DE"/>
        </w:rPr>
        <w:t>īpaši</w:t>
      </w:r>
      <w:proofErr w:type="spellEnd"/>
      <w:r>
        <w:rPr>
          <w:rFonts w:ascii="Times New Roman" w:hAnsi="Times New Roman" w:cs="Times New Roman"/>
          <w:lang w:val="de-DE"/>
        </w:rPr>
        <w:t xml:space="preserve"> </w:t>
      </w:r>
      <w:proofErr w:type="spellStart"/>
      <w:r>
        <w:rPr>
          <w:rFonts w:ascii="Times New Roman" w:hAnsi="Times New Roman" w:cs="Times New Roman"/>
          <w:lang w:val="de-DE"/>
        </w:rPr>
        <w:t>pilnvaru</w:t>
      </w:r>
      <w:proofErr w:type="spellEnd"/>
      <w:r>
        <w:rPr>
          <w:rFonts w:ascii="Times New Roman" w:hAnsi="Times New Roman" w:cs="Times New Roman"/>
          <w:lang w:val="de-DE"/>
        </w:rPr>
        <w:t xml:space="preserve"> </w:t>
      </w:r>
      <w:proofErr w:type="spellStart"/>
      <w:r>
        <w:rPr>
          <w:rFonts w:ascii="Times New Roman" w:hAnsi="Times New Roman" w:cs="Times New Roman"/>
          <w:lang w:val="de-DE"/>
        </w:rPr>
        <w:t>veidi</w:t>
      </w:r>
      <w:proofErr w:type="spellEnd"/>
      <w:r>
        <w:rPr>
          <w:rFonts w:ascii="Times New Roman" w:hAnsi="Times New Roman" w:cs="Times New Roman"/>
          <w:lang w:val="de-DE"/>
        </w:rPr>
        <w:t xml:space="preserve"> – </w:t>
      </w:r>
      <w:proofErr w:type="spellStart"/>
      <w:r w:rsidRPr="0057737C">
        <w:rPr>
          <w:rFonts w:ascii="Times New Roman" w:hAnsi="Times New Roman" w:cs="Times New Roman"/>
          <w:u w:val="single"/>
          <w:lang w:val="de-DE"/>
        </w:rPr>
        <w:t>prokūra</w:t>
      </w:r>
      <w:proofErr w:type="spellEnd"/>
      <w:r>
        <w:rPr>
          <w:rStyle w:val="FootnoteReference"/>
          <w:rFonts w:ascii="Times New Roman" w:hAnsi="Times New Roman" w:cs="Times New Roman"/>
          <w:u w:val="single"/>
          <w:lang w:val="de-DE"/>
        </w:rPr>
        <w:footnoteReference w:id="71"/>
      </w:r>
      <w:r>
        <w:rPr>
          <w:rFonts w:ascii="Times New Roman" w:hAnsi="Times New Roman" w:cs="Times New Roman"/>
          <w:lang w:val="de-DE"/>
        </w:rPr>
        <w:t xml:space="preserve"> (</w:t>
      </w:r>
      <w:proofErr w:type="spellStart"/>
      <w:r w:rsidRPr="00AF7ABD">
        <w:rPr>
          <w:rFonts w:ascii="Times New Roman" w:hAnsi="Times New Roman" w:cs="Times New Roman"/>
          <w:lang w:val="de-DE"/>
        </w:rPr>
        <w:t>KoL</w:t>
      </w:r>
      <w:proofErr w:type="spellEnd"/>
      <w:r w:rsidRPr="00AF7ABD">
        <w:rPr>
          <w:rFonts w:ascii="Times New Roman" w:hAnsi="Times New Roman" w:cs="Times New Roman"/>
          <w:lang w:val="de-DE"/>
        </w:rPr>
        <w:t xml:space="preserve"> 34.-39.p.) </w:t>
      </w:r>
      <w:proofErr w:type="spellStart"/>
      <w:r w:rsidRPr="00AF7ABD">
        <w:rPr>
          <w:rFonts w:ascii="Times New Roman" w:hAnsi="Times New Roman" w:cs="Times New Roman"/>
          <w:lang w:val="de-DE"/>
        </w:rPr>
        <w:t>un</w:t>
      </w:r>
      <w:proofErr w:type="spellEnd"/>
      <w:r w:rsidRPr="00AF7ABD">
        <w:rPr>
          <w:rFonts w:ascii="Times New Roman" w:hAnsi="Times New Roman" w:cs="Times New Roman"/>
          <w:lang w:val="de-DE"/>
        </w:rPr>
        <w:t xml:space="preserve"> </w:t>
      </w:r>
      <w:proofErr w:type="spellStart"/>
      <w:r w:rsidRPr="00AF7ABD">
        <w:rPr>
          <w:rFonts w:ascii="Times New Roman" w:hAnsi="Times New Roman" w:cs="Times New Roman"/>
          <w:u w:val="single"/>
          <w:lang w:val="de-DE"/>
        </w:rPr>
        <w:t>parastā</w:t>
      </w:r>
      <w:proofErr w:type="spellEnd"/>
      <w:r w:rsidRPr="00AF7ABD">
        <w:rPr>
          <w:rFonts w:ascii="Times New Roman" w:hAnsi="Times New Roman" w:cs="Times New Roman"/>
          <w:u w:val="single"/>
          <w:lang w:val="de-DE"/>
        </w:rPr>
        <w:t xml:space="preserve"> </w:t>
      </w:r>
      <w:proofErr w:type="spellStart"/>
      <w:r w:rsidRPr="00AF7ABD">
        <w:rPr>
          <w:rFonts w:ascii="Times New Roman" w:hAnsi="Times New Roman" w:cs="Times New Roman"/>
          <w:u w:val="single"/>
          <w:lang w:val="de-DE"/>
        </w:rPr>
        <w:t>komercpilnvara</w:t>
      </w:r>
      <w:proofErr w:type="spellEnd"/>
      <w:r>
        <w:rPr>
          <w:rStyle w:val="FootnoteReference"/>
          <w:rFonts w:ascii="Times New Roman" w:hAnsi="Times New Roman" w:cs="Times New Roman"/>
          <w:u w:val="single"/>
          <w:lang w:val="de-DE"/>
        </w:rPr>
        <w:footnoteReference w:id="72"/>
      </w:r>
      <w:r w:rsidRPr="00AF7ABD">
        <w:rPr>
          <w:rFonts w:ascii="Times New Roman" w:hAnsi="Times New Roman" w:cs="Times New Roman"/>
          <w:lang w:val="de-DE"/>
        </w:rPr>
        <w:t xml:space="preserve"> (</w:t>
      </w:r>
      <w:proofErr w:type="spellStart"/>
      <w:r w:rsidRPr="00AF7ABD">
        <w:rPr>
          <w:rFonts w:ascii="Times New Roman" w:hAnsi="Times New Roman" w:cs="Times New Roman"/>
          <w:lang w:val="de-DE"/>
        </w:rPr>
        <w:t>KoL</w:t>
      </w:r>
      <w:proofErr w:type="spellEnd"/>
      <w:r w:rsidRPr="00AF7ABD">
        <w:rPr>
          <w:rFonts w:ascii="Times New Roman" w:hAnsi="Times New Roman" w:cs="Times New Roman"/>
          <w:lang w:val="de-DE"/>
        </w:rPr>
        <w:t xml:space="preserve"> 40.p</w:t>
      </w:r>
      <w:r w:rsidRPr="00C91762">
        <w:rPr>
          <w:rFonts w:ascii="Times New Roman" w:hAnsi="Times New Roman" w:cs="Times New Roman"/>
          <w:lang w:val="de-DE"/>
        </w:rPr>
        <w:t xml:space="preserve">.). </w:t>
      </w:r>
      <w:proofErr w:type="spellStart"/>
      <w:r w:rsidR="003200B6" w:rsidRPr="00C91762">
        <w:rPr>
          <w:rFonts w:ascii="Times New Roman" w:hAnsi="Times New Roman" w:cs="Times New Roman"/>
          <w:lang w:val="de-DE"/>
        </w:rPr>
        <w:t>Starptautiskajās</w:t>
      </w:r>
      <w:proofErr w:type="spellEnd"/>
      <w:r w:rsidR="003200B6" w:rsidRPr="00C91762">
        <w:rPr>
          <w:rFonts w:ascii="Times New Roman" w:hAnsi="Times New Roman" w:cs="Times New Roman"/>
          <w:lang w:val="de-DE"/>
        </w:rPr>
        <w:t xml:space="preserve"> </w:t>
      </w:r>
      <w:proofErr w:type="spellStart"/>
      <w:r w:rsidR="003200B6" w:rsidRPr="00C91762">
        <w:rPr>
          <w:rFonts w:ascii="Times New Roman" w:hAnsi="Times New Roman" w:cs="Times New Roman"/>
          <w:lang w:val="de-DE"/>
        </w:rPr>
        <w:t>privāttiesībās</w:t>
      </w:r>
      <w:proofErr w:type="spellEnd"/>
      <w:r w:rsidR="003200B6" w:rsidRPr="00C91762">
        <w:rPr>
          <w:rFonts w:ascii="Times New Roman" w:hAnsi="Times New Roman" w:cs="Times New Roman"/>
          <w:lang w:val="de-DE"/>
        </w:rPr>
        <w:t xml:space="preserve"> </w:t>
      </w:r>
      <w:proofErr w:type="spellStart"/>
      <w:r w:rsidR="003200B6" w:rsidRPr="00C91762">
        <w:rPr>
          <w:rFonts w:ascii="Times New Roman" w:hAnsi="Times New Roman" w:cs="Times New Roman"/>
          <w:lang w:val="de-DE"/>
        </w:rPr>
        <w:t>šajā</w:t>
      </w:r>
      <w:proofErr w:type="spellEnd"/>
      <w:r w:rsidR="003200B6" w:rsidRPr="00C91762">
        <w:rPr>
          <w:rFonts w:ascii="Times New Roman" w:hAnsi="Times New Roman" w:cs="Times New Roman"/>
          <w:lang w:val="de-DE"/>
        </w:rPr>
        <w:t xml:space="preserve"> </w:t>
      </w:r>
      <w:proofErr w:type="spellStart"/>
      <w:r w:rsidR="003200B6" w:rsidRPr="00C91762">
        <w:rPr>
          <w:rFonts w:ascii="Times New Roman" w:hAnsi="Times New Roman" w:cs="Times New Roman"/>
          <w:lang w:val="de-DE"/>
        </w:rPr>
        <w:t>sakarā</w:t>
      </w:r>
      <w:proofErr w:type="spellEnd"/>
      <w:r w:rsidR="003200B6" w:rsidRPr="00C91762">
        <w:rPr>
          <w:rFonts w:ascii="Times New Roman" w:hAnsi="Times New Roman" w:cs="Times New Roman"/>
          <w:lang w:val="de-DE"/>
        </w:rPr>
        <w:t xml:space="preserve"> </w:t>
      </w:r>
      <w:proofErr w:type="spellStart"/>
      <w:r w:rsidR="003200B6" w:rsidRPr="00C91762">
        <w:rPr>
          <w:rFonts w:ascii="Times New Roman" w:hAnsi="Times New Roman" w:cs="Times New Roman"/>
          <w:lang w:val="de-DE"/>
        </w:rPr>
        <w:t>tiek</w:t>
      </w:r>
      <w:proofErr w:type="spellEnd"/>
      <w:r w:rsidR="003200B6" w:rsidRPr="00C91762">
        <w:rPr>
          <w:rFonts w:ascii="Times New Roman" w:hAnsi="Times New Roman" w:cs="Times New Roman"/>
          <w:lang w:val="de-DE"/>
        </w:rPr>
        <w:t xml:space="preserve"> </w:t>
      </w:r>
      <w:proofErr w:type="spellStart"/>
      <w:r w:rsidR="003200B6" w:rsidRPr="00C91762">
        <w:rPr>
          <w:rFonts w:ascii="Times New Roman" w:hAnsi="Times New Roman" w:cs="Times New Roman"/>
          <w:lang w:val="de-DE"/>
        </w:rPr>
        <w:t>nodalītas</w:t>
      </w:r>
      <w:proofErr w:type="spellEnd"/>
      <w:r w:rsidR="003200B6" w:rsidRPr="00C91762">
        <w:rPr>
          <w:rFonts w:ascii="Times New Roman" w:hAnsi="Times New Roman" w:cs="Times New Roman"/>
          <w:lang w:val="de-DE"/>
        </w:rPr>
        <w:t xml:space="preserve"> </w:t>
      </w:r>
      <w:proofErr w:type="spellStart"/>
      <w:r w:rsidR="003200B6" w:rsidRPr="00C91762">
        <w:rPr>
          <w:rFonts w:ascii="Times New Roman" w:hAnsi="Times New Roman" w:cs="Times New Roman"/>
          <w:lang w:val="de-DE"/>
        </w:rPr>
        <w:t>divas</w:t>
      </w:r>
      <w:proofErr w:type="spellEnd"/>
      <w:r w:rsidR="003200B6" w:rsidRPr="00C91762">
        <w:rPr>
          <w:rFonts w:ascii="Times New Roman" w:hAnsi="Times New Roman" w:cs="Times New Roman"/>
          <w:lang w:val="de-DE"/>
        </w:rPr>
        <w:t xml:space="preserve"> </w:t>
      </w:r>
      <w:proofErr w:type="spellStart"/>
      <w:r w:rsidR="003200B6" w:rsidRPr="00C91762">
        <w:rPr>
          <w:rFonts w:ascii="Times New Roman" w:hAnsi="Times New Roman" w:cs="Times New Roman"/>
          <w:lang w:val="de-DE"/>
        </w:rPr>
        <w:t>atsevišķas</w:t>
      </w:r>
      <w:proofErr w:type="spellEnd"/>
      <w:r w:rsidR="003200B6" w:rsidRPr="00C91762">
        <w:rPr>
          <w:rFonts w:ascii="Times New Roman" w:hAnsi="Times New Roman" w:cs="Times New Roman"/>
          <w:lang w:val="de-DE"/>
        </w:rPr>
        <w:t xml:space="preserve"> </w:t>
      </w:r>
      <w:proofErr w:type="spellStart"/>
      <w:r w:rsidR="003200B6" w:rsidRPr="00C91762">
        <w:rPr>
          <w:rFonts w:ascii="Times New Roman" w:hAnsi="Times New Roman" w:cs="Times New Roman"/>
          <w:lang w:val="de-DE"/>
        </w:rPr>
        <w:t>situācijas</w:t>
      </w:r>
      <w:proofErr w:type="spellEnd"/>
      <w:r w:rsidR="003200B6" w:rsidRPr="00C91762">
        <w:rPr>
          <w:rFonts w:ascii="Times New Roman" w:hAnsi="Times New Roman" w:cs="Times New Roman"/>
          <w:lang w:val="de-DE"/>
        </w:rPr>
        <w:t xml:space="preserve">: 1) </w:t>
      </w:r>
      <w:proofErr w:type="spellStart"/>
      <w:r w:rsidR="003200B6" w:rsidRPr="00C91762">
        <w:rPr>
          <w:rFonts w:ascii="Times New Roman" w:hAnsi="Times New Roman" w:cs="Times New Roman"/>
          <w:lang w:val="de-DE"/>
        </w:rPr>
        <w:t>juridiskas</w:t>
      </w:r>
      <w:proofErr w:type="spellEnd"/>
      <w:r w:rsidR="003200B6" w:rsidRPr="00C91762">
        <w:rPr>
          <w:rFonts w:ascii="Times New Roman" w:hAnsi="Times New Roman" w:cs="Times New Roman"/>
          <w:lang w:val="de-DE"/>
        </w:rPr>
        <w:t xml:space="preserve"> </w:t>
      </w:r>
      <w:proofErr w:type="spellStart"/>
      <w:r w:rsidR="003200B6" w:rsidRPr="00C91762">
        <w:rPr>
          <w:rFonts w:ascii="Times New Roman" w:hAnsi="Times New Roman" w:cs="Times New Roman"/>
          <w:lang w:val="de-DE"/>
        </w:rPr>
        <w:t>pilnvarojums</w:t>
      </w:r>
      <w:proofErr w:type="spellEnd"/>
      <w:r w:rsidR="003200B6" w:rsidRPr="00C91762">
        <w:rPr>
          <w:rFonts w:ascii="Times New Roman" w:hAnsi="Times New Roman" w:cs="Times New Roman"/>
          <w:lang w:val="de-DE"/>
        </w:rPr>
        <w:t xml:space="preserve"> (</w:t>
      </w:r>
      <w:proofErr w:type="spellStart"/>
      <w:r w:rsidR="003200B6" w:rsidRPr="00C91762">
        <w:rPr>
          <w:rFonts w:ascii="Times New Roman" w:hAnsi="Times New Roman" w:cs="Times New Roman"/>
          <w:lang w:val="de-DE"/>
        </w:rPr>
        <w:t>pārstāvības</w:t>
      </w:r>
      <w:proofErr w:type="spellEnd"/>
      <w:r w:rsidR="003200B6" w:rsidRPr="00C91762">
        <w:rPr>
          <w:rFonts w:ascii="Times New Roman" w:hAnsi="Times New Roman" w:cs="Times New Roman"/>
          <w:lang w:val="de-DE"/>
        </w:rPr>
        <w:t xml:space="preserve"> </w:t>
      </w:r>
      <w:proofErr w:type="spellStart"/>
      <w:r w:rsidR="003200B6" w:rsidRPr="00C91762">
        <w:rPr>
          <w:rFonts w:ascii="Times New Roman" w:hAnsi="Times New Roman" w:cs="Times New Roman"/>
          <w:lang w:val="de-DE"/>
        </w:rPr>
        <w:t>tiesība</w:t>
      </w:r>
      <w:proofErr w:type="spellEnd"/>
      <w:r w:rsidR="003200B6" w:rsidRPr="00C91762">
        <w:rPr>
          <w:rFonts w:ascii="Times New Roman" w:hAnsi="Times New Roman" w:cs="Times New Roman"/>
          <w:lang w:val="de-DE"/>
        </w:rPr>
        <w:t xml:space="preserve">), </w:t>
      </w:r>
      <w:proofErr w:type="spellStart"/>
      <w:r w:rsidR="003200B6" w:rsidRPr="00C91762">
        <w:rPr>
          <w:rFonts w:ascii="Times New Roman" w:hAnsi="Times New Roman" w:cs="Times New Roman"/>
          <w:lang w:val="de-DE"/>
        </w:rPr>
        <w:t>kas</w:t>
      </w:r>
      <w:proofErr w:type="spellEnd"/>
      <w:r w:rsidR="003200B6" w:rsidRPr="00C91762">
        <w:rPr>
          <w:rFonts w:ascii="Times New Roman" w:hAnsi="Times New Roman" w:cs="Times New Roman"/>
          <w:lang w:val="de-DE"/>
        </w:rPr>
        <w:t xml:space="preserve"> </w:t>
      </w:r>
      <w:proofErr w:type="spellStart"/>
      <w:r w:rsidR="003200B6" w:rsidRPr="00C91762">
        <w:rPr>
          <w:rFonts w:ascii="Times New Roman" w:hAnsi="Times New Roman" w:cs="Times New Roman"/>
          <w:lang w:val="de-DE"/>
        </w:rPr>
        <w:t>izriet</w:t>
      </w:r>
      <w:proofErr w:type="spellEnd"/>
      <w:r w:rsidR="003200B6" w:rsidRPr="00C91762">
        <w:rPr>
          <w:rFonts w:ascii="Times New Roman" w:hAnsi="Times New Roman" w:cs="Times New Roman"/>
          <w:lang w:val="de-DE"/>
        </w:rPr>
        <w:t xml:space="preserve"> </w:t>
      </w:r>
      <w:proofErr w:type="spellStart"/>
      <w:r w:rsidR="003200B6" w:rsidRPr="00C91762">
        <w:rPr>
          <w:rFonts w:ascii="Times New Roman" w:hAnsi="Times New Roman" w:cs="Times New Roman"/>
          <w:lang w:val="de-DE"/>
        </w:rPr>
        <w:t>no</w:t>
      </w:r>
      <w:proofErr w:type="spellEnd"/>
      <w:r w:rsidR="003200B6" w:rsidRPr="00C91762">
        <w:rPr>
          <w:rFonts w:ascii="Times New Roman" w:hAnsi="Times New Roman" w:cs="Times New Roman"/>
          <w:lang w:val="de-DE"/>
        </w:rPr>
        <w:t xml:space="preserve"> </w:t>
      </w:r>
      <w:proofErr w:type="spellStart"/>
      <w:r w:rsidR="003200B6" w:rsidRPr="00C91762">
        <w:rPr>
          <w:rFonts w:ascii="Times New Roman" w:hAnsi="Times New Roman" w:cs="Times New Roman"/>
          <w:lang w:val="de-DE"/>
        </w:rPr>
        <w:t>statūtiem</w:t>
      </w:r>
      <w:proofErr w:type="spellEnd"/>
      <w:r w:rsidR="003200B6" w:rsidRPr="00C91762">
        <w:rPr>
          <w:rFonts w:ascii="Times New Roman" w:hAnsi="Times New Roman" w:cs="Times New Roman"/>
          <w:lang w:val="de-DE"/>
        </w:rPr>
        <w:t xml:space="preserve">, </w:t>
      </w:r>
      <w:proofErr w:type="spellStart"/>
      <w:r w:rsidR="003200B6" w:rsidRPr="00C91762">
        <w:rPr>
          <w:rFonts w:ascii="Times New Roman" w:hAnsi="Times New Roman" w:cs="Times New Roman"/>
          <w:lang w:val="de-DE"/>
        </w:rPr>
        <w:t>ir</w:t>
      </w:r>
      <w:proofErr w:type="spellEnd"/>
      <w:r w:rsidR="003200B6" w:rsidRPr="00C91762">
        <w:rPr>
          <w:rFonts w:ascii="Times New Roman" w:hAnsi="Times New Roman" w:cs="Times New Roman"/>
          <w:lang w:val="de-DE"/>
        </w:rPr>
        <w:t xml:space="preserve"> </w:t>
      </w:r>
      <w:proofErr w:type="spellStart"/>
      <w:r w:rsidR="003200B6" w:rsidRPr="00C91762">
        <w:rPr>
          <w:rFonts w:ascii="Times New Roman" w:hAnsi="Times New Roman" w:cs="Times New Roman"/>
          <w:lang w:val="de-DE"/>
        </w:rPr>
        <w:t>apspriežama</w:t>
      </w:r>
      <w:proofErr w:type="spellEnd"/>
      <w:r w:rsidR="003200B6" w:rsidRPr="00C91762">
        <w:rPr>
          <w:rFonts w:ascii="Times New Roman" w:hAnsi="Times New Roman" w:cs="Times New Roman"/>
          <w:lang w:val="de-DE"/>
        </w:rPr>
        <w:t xml:space="preserve"> </w:t>
      </w:r>
      <w:proofErr w:type="spellStart"/>
      <w:r w:rsidR="003200B6" w:rsidRPr="00C91762">
        <w:rPr>
          <w:rFonts w:ascii="Times New Roman" w:hAnsi="Times New Roman" w:cs="Times New Roman"/>
          <w:lang w:val="de-DE"/>
        </w:rPr>
        <w:t>pēc</w:t>
      </w:r>
      <w:proofErr w:type="spellEnd"/>
      <w:r w:rsidR="003200B6" w:rsidRPr="00C91762">
        <w:rPr>
          <w:rFonts w:ascii="Times New Roman" w:hAnsi="Times New Roman" w:cs="Times New Roman"/>
          <w:lang w:val="de-DE"/>
        </w:rPr>
        <w:t xml:space="preserve"> </w:t>
      </w:r>
      <w:proofErr w:type="spellStart"/>
      <w:r w:rsidR="003200B6" w:rsidRPr="00C91762">
        <w:rPr>
          <w:rFonts w:ascii="Times New Roman" w:hAnsi="Times New Roman" w:cs="Times New Roman"/>
          <w:lang w:val="de-DE"/>
        </w:rPr>
        <w:t>juridiskās</w:t>
      </w:r>
      <w:proofErr w:type="spellEnd"/>
      <w:r w:rsidR="003200B6" w:rsidRPr="00C91762">
        <w:rPr>
          <w:rFonts w:ascii="Times New Roman" w:hAnsi="Times New Roman" w:cs="Times New Roman"/>
          <w:lang w:val="de-DE"/>
        </w:rPr>
        <w:t xml:space="preserve"> personas </w:t>
      </w:r>
      <w:proofErr w:type="spellStart"/>
      <w:r w:rsidR="003200B6" w:rsidRPr="00C91762">
        <w:rPr>
          <w:rFonts w:ascii="Times New Roman" w:hAnsi="Times New Roman" w:cs="Times New Roman"/>
          <w:lang w:val="de-DE"/>
        </w:rPr>
        <w:t>piederības</w:t>
      </w:r>
      <w:proofErr w:type="spellEnd"/>
      <w:r w:rsidR="003200B6" w:rsidRPr="00C91762">
        <w:rPr>
          <w:rFonts w:ascii="Times New Roman" w:hAnsi="Times New Roman" w:cs="Times New Roman"/>
          <w:lang w:val="de-DE"/>
        </w:rPr>
        <w:t xml:space="preserve"> </w:t>
      </w:r>
      <w:proofErr w:type="spellStart"/>
      <w:r w:rsidR="003200B6" w:rsidRPr="00C91762">
        <w:rPr>
          <w:rFonts w:ascii="Times New Roman" w:hAnsi="Times New Roman" w:cs="Times New Roman"/>
          <w:lang w:val="de-DE"/>
        </w:rPr>
        <w:t>valsts</w:t>
      </w:r>
      <w:proofErr w:type="spellEnd"/>
      <w:r w:rsidR="003200B6" w:rsidRPr="00C91762">
        <w:rPr>
          <w:rFonts w:ascii="Times New Roman" w:hAnsi="Times New Roman" w:cs="Times New Roman"/>
          <w:lang w:val="de-DE"/>
        </w:rPr>
        <w:t xml:space="preserve"> </w:t>
      </w:r>
      <w:proofErr w:type="spellStart"/>
      <w:r w:rsidR="003200B6" w:rsidRPr="00C91762">
        <w:rPr>
          <w:rFonts w:ascii="Times New Roman" w:hAnsi="Times New Roman" w:cs="Times New Roman"/>
          <w:lang w:val="de-DE"/>
        </w:rPr>
        <w:t>likuma</w:t>
      </w:r>
      <w:proofErr w:type="spellEnd"/>
      <w:r w:rsidR="003200B6" w:rsidRPr="00C91762">
        <w:rPr>
          <w:rFonts w:ascii="Times New Roman" w:hAnsi="Times New Roman" w:cs="Times New Roman"/>
          <w:lang w:val="de-DE"/>
        </w:rPr>
        <w:t xml:space="preserve"> (</w:t>
      </w:r>
      <w:proofErr w:type="spellStart"/>
      <w:r w:rsidR="003200B6" w:rsidRPr="00C91762">
        <w:rPr>
          <w:rFonts w:ascii="Times New Roman" w:hAnsi="Times New Roman" w:cs="Times New Roman"/>
          <w:i/>
          <w:lang w:val="de-DE"/>
        </w:rPr>
        <w:t>lex</w:t>
      </w:r>
      <w:proofErr w:type="spellEnd"/>
      <w:r w:rsidR="003200B6" w:rsidRPr="00C91762">
        <w:rPr>
          <w:rFonts w:ascii="Times New Roman" w:hAnsi="Times New Roman" w:cs="Times New Roman"/>
          <w:lang w:val="de-DE"/>
        </w:rPr>
        <w:t xml:space="preserve"> </w:t>
      </w:r>
      <w:proofErr w:type="spellStart"/>
      <w:r w:rsidR="003200B6" w:rsidRPr="00C91762">
        <w:rPr>
          <w:rFonts w:ascii="Times New Roman" w:hAnsi="Times New Roman" w:cs="Times New Roman"/>
          <w:i/>
          <w:lang w:val="lv-LV"/>
        </w:rPr>
        <w:t>societatis</w:t>
      </w:r>
      <w:proofErr w:type="spellEnd"/>
      <w:r w:rsidR="003200B6" w:rsidRPr="00C91762">
        <w:rPr>
          <w:rFonts w:ascii="Times New Roman" w:hAnsi="Times New Roman" w:cs="Times New Roman"/>
          <w:lang w:val="lv-LV"/>
        </w:rPr>
        <w:t xml:space="preserve">) (skat. augstāk); 2) </w:t>
      </w:r>
      <w:proofErr w:type="spellStart"/>
      <w:r w:rsidR="003200B6" w:rsidRPr="00C91762">
        <w:rPr>
          <w:rFonts w:ascii="Times New Roman" w:hAnsi="Times New Roman" w:cs="Times New Roman"/>
          <w:lang w:val="de-DE"/>
        </w:rPr>
        <w:t>juridiskas</w:t>
      </w:r>
      <w:proofErr w:type="spellEnd"/>
      <w:r w:rsidR="003200B6" w:rsidRPr="00C91762">
        <w:rPr>
          <w:rFonts w:ascii="Times New Roman" w:hAnsi="Times New Roman" w:cs="Times New Roman"/>
          <w:lang w:val="de-DE"/>
        </w:rPr>
        <w:t xml:space="preserve"> </w:t>
      </w:r>
      <w:proofErr w:type="spellStart"/>
      <w:r w:rsidR="003200B6" w:rsidRPr="00C91762">
        <w:rPr>
          <w:rFonts w:ascii="Times New Roman" w:hAnsi="Times New Roman" w:cs="Times New Roman"/>
          <w:lang w:val="de-DE"/>
        </w:rPr>
        <w:t>pilnvarojums</w:t>
      </w:r>
      <w:proofErr w:type="spellEnd"/>
      <w:r w:rsidR="003200B6" w:rsidRPr="00C91762">
        <w:rPr>
          <w:rFonts w:ascii="Times New Roman" w:hAnsi="Times New Roman" w:cs="Times New Roman"/>
          <w:lang w:val="de-DE"/>
        </w:rPr>
        <w:t xml:space="preserve"> (</w:t>
      </w:r>
      <w:proofErr w:type="spellStart"/>
      <w:r w:rsidR="003200B6" w:rsidRPr="00C91762">
        <w:rPr>
          <w:rFonts w:ascii="Times New Roman" w:hAnsi="Times New Roman" w:cs="Times New Roman"/>
          <w:lang w:val="de-DE"/>
        </w:rPr>
        <w:t>pārstāvības</w:t>
      </w:r>
      <w:proofErr w:type="spellEnd"/>
      <w:r w:rsidR="003200B6" w:rsidRPr="00C91762">
        <w:rPr>
          <w:rFonts w:ascii="Times New Roman" w:hAnsi="Times New Roman" w:cs="Times New Roman"/>
          <w:lang w:val="de-DE"/>
        </w:rPr>
        <w:t xml:space="preserve"> </w:t>
      </w:r>
      <w:proofErr w:type="spellStart"/>
      <w:r w:rsidR="003200B6" w:rsidRPr="00C91762">
        <w:rPr>
          <w:rFonts w:ascii="Times New Roman" w:hAnsi="Times New Roman" w:cs="Times New Roman"/>
          <w:lang w:val="de-DE"/>
        </w:rPr>
        <w:t>tiesība</w:t>
      </w:r>
      <w:proofErr w:type="spellEnd"/>
      <w:r w:rsidR="003200B6" w:rsidRPr="00C91762">
        <w:rPr>
          <w:rFonts w:ascii="Times New Roman" w:hAnsi="Times New Roman" w:cs="Times New Roman"/>
          <w:lang w:val="de-DE"/>
        </w:rPr>
        <w:t xml:space="preserve">), </w:t>
      </w:r>
      <w:proofErr w:type="spellStart"/>
      <w:r w:rsidR="003200B6" w:rsidRPr="00C91762">
        <w:rPr>
          <w:rFonts w:ascii="Times New Roman" w:hAnsi="Times New Roman" w:cs="Times New Roman"/>
          <w:lang w:val="de-DE"/>
        </w:rPr>
        <w:t>kas</w:t>
      </w:r>
      <w:proofErr w:type="spellEnd"/>
      <w:r w:rsidR="003200B6" w:rsidRPr="00C91762">
        <w:rPr>
          <w:rFonts w:ascii="Times New Roman" w:hAnsi="Times New Roman" w:cs="Times New Roman"/>
          <w:lang w:val="de-DE"/>
        </w:rPr>
        <w:t xml:space="preserve"> </w:t>
      </w:r>
      <w:proofErr w:type="spellStart"/>
      <w:r w:rsidR="003200B6" w:rsidRPr="00C91762">
        <w:rPr>
          <w:rFonts w:ascii="Times New Roman" w:hAnsi="Times New Roman" w:cs="Times New Roman"/>
          <w:lang w:val="de-DE"/>
        </w:rPr>
        <w:t>izriet</w:t>
      </w:r>
      <w:proofErr w:type="spellEnd"/>
      <w:r w:rsidR="003200B6" w:rsidRPr="00C91762">
        <w:rPr>
          <w:rFonts w:ascii="Times New Roman" w:hAnsi="Times New Roman" w:cs="Times New Roman"/>
          <w:lang w:val="de-DE"/>
        </w:rPr>
        <w:t xml:space="preserve"> </w:t>
      </w:r>
      <w:proofErr w:type="spellStart"/>
      <w:r w:rsidR="003200B6" w:rsidRPr="00C91762">
        <w:rPr>
          <w:rFonts w:ascii="Times New Roman" w:hAnsi="Times New Roman" w:cs="Times New Roman"/>
          <w:lang w:val="de-DE"/>
        </w:rPr>
        <w:t>no</w:t>
      </w:r>
      <w:proofErr w:type="spellEnd"/>
      <w:r w:rsidR="003200B6" w:rsidRPr="00C91762">
        <w:rPr>
          <w:rFonts w:ascii="Times New Roman" w:hAnsi="Times New Roman" w:cs="Times New Roman"/>
          <w:lang w:val="de-DE"/>
        </w:rPr>
        <w:t xml:space="preserve"> </w:t>
      </w:r>
      <w:proofErr w:type="spellStart"/>
      <w:r w:rsidR="003200B6" w:rsidRPr="00C91762">
        <w:rPr>
          <w:rFonts w:ascii="Times New Roman" w:hAnsi="Times New Roman" w:cs="Times New Roman"/>
          <w:lang w:val="de-DE"/>
        </w:rPr>
        <w:t>uz</w:t>
      </w:r>
      <w:proofErr w:type="spellEnd"/>
      <w:r w:rsidR="003200B6" w:rsidRPr="00C91762">
        <w:rPr>
          <w:rFonts w:ascii="Times New Roman" w:hAnsi="Times New Roman" w:cs="Times New Roman"/>
          <w:lang w:val="de-DE"/>
        </w:rPr>
        <w:t xml:space="preserve"> </w:t>
      </w:r>
      <w:proofErr w:type="spellStart"/>
      <w:r w:rsidR="003200B6" w:rsidRPr="00C91762">
        <w:rPr>
          <w:rFonts w:ascii="Times New Roman" w:hAnsi="Times New Roman" w:cs="Times New Roman"/>
          <w:lang w:val="de-DE"/>
        </w:rPr>
        <w:t>pilnvarojuma</w:t>
      </w:r>
      <w:proofErr w:type="spellEnd"/>
      <w:r w:rsidR="003200B6" w:rsidRPr="00C91762">
        <w:rPr>
          <w:rFonts w:ascii="Times New Roman" w:hAnsi="Times New Roman" w:cs="Times New Roman"/>
          <w:lang w:val="de-DE"/>
        </w:rPr>
        <w:t xml:space="preserve"> </w:t>
      </w:r>
      <w:proofErr w:type="spellStart"/>
      <w:r w:rsidR="003200B6" w:rsidRPr="00C91762">
        <w:rPr>
          <w:rFonts w:ascii="Times New Roman" w:hAnsi="Times New Roman" w:cs="Times New Roman"/>
          <w:lang w:val="de-DE"/>
        </w:rPr>
        <w:t>līguma</w:t>
      </w:r>
      <w:proofErr w:type="spellEnd"/>
      <w:r w:rsidR="003200B6" w:rsidRPr="00C91762">
        <w:rPr>
          <w:rFonts w:ascii="Times New Roman" w:hAnsi="Times New Roman" w:cs="Times New Roman"/>
          <w:lang w:val="de-DE"/>
        </w:rPr>
        <w:t xml:space="preserve"> </w:t>
      </w:r>
      <w:proofErr w:type="spellStart"/>
      <w:r w:rsidR="003200B6" w:rsidRPr="00C91762">
        <w:rPr>
          <w:rFonts w:ascii="Times New Roman" w:hAnsi="Times New Roman" w:cs="Times New Roman"/>
          <w:lang w:val="de-DE"/>
        </w:rPr>
        <w:t>pamata</w:t>
      </w:r>
      <w:proofErr w:type="spellEnd"/>
      <w:r w:rsidR="003200B6" w:rsidRPr="00C91762">
        <w:rPr>
          <w:rFonts w:ascii="Times New Roman" w:hAnsi="Times New Roman" w:cs="Times New Roman"/>
          <w:lang w:val="de-DE"/>
        </w:rPr>
        <w:t xml:space="preserve"> </w:t>
      </w:r>
      <w:proofErr w:type="spellStart"/>
      <w:r w:rsidR="003200B6" w:rsidRPr="00C91762">
        <w:rPr>
          <w:rFonts w:ascii="Times New Roman" w:hAnsi="Times New Roman" w:cs="Times New Roman"/>
          <w:lang w:val="de-DE"/>
        </w:rPr>
        <w:t>izsniegtas</w:t>
      </w:r>
      <w:proofErr w:type="spellEnd"/>
      <w:r w:rsidR="003200B6" w:rsidRPr="00C91762">
        <w:rPr>
          <w:rFonts w:ascii="Times New Roman" w:hAnsi="Times New Roman" w:cs="Times New Roman"/>
          <w:lang w:val="de-DE"/>
        </w:rPr>
        <w:t xml:space="preserve"> </w:t>
      </w:r>
      <w:proofErr w:type="spellStart"/>
      <w:r w:rsidR="003200B6" w:rsidRPr="00C91762">
        <w:rPr>
          <w:rFonts w:ascii="Times New Roman" w:hAnsi="Times New Roman" w:cs="Times New Roman"/>
          <w:lang w:val="de-DE"/>
        </w:rPr>
        <w:t>pilnvaras</w:t>
      </w:r>
      <w:proofErr w:type="spellEnd"/>
      <w:r w:rsidR="003200B6" w:rsidRPr="00C91762">
        <w:rPr>
          <w:rFonts w:ascii="Times New Roman" w:hAnsi="Times New Roman" w:cs="Times New Roman"/>
          <w:lang w:val="de-DE"/>
        </w:rPr>
        <w:t xml:space="preserve"> </w:t>
      </w:r>
      <w:proofErr w:type="spellStart"/>
      <w:r w:rsidR="003200B6" w:rsidRPr="00C91762">
        <w:rPr>
          <w:rFonts w:ascii="Times New Roman" w:hAnsi="Times New Roman" w:cs="Times New Roman"/>
          <w:lang w:val="de-DE"/>
        </w:rPr>
        <w:t>ir</w:t>
      </w:r>
      <w:proofErr w:type="spellEnd"/>
      <w:r w:rsidR="003200B6" w:rsidRPr="00C91762">
        <w:rPr>
          <w:rFonts w:ascii="Times New Roman" w:hAnsi="Times New Roman" w:cs="Times New Roman"/>
          <w:lang w:val="de-DE"/>
        </w:rPr>
        <w:t xml:space="preserve"> </w:t>
      </w:r>
      <w:proofErr w:type="spellStart"/>
      <w:r w:rsidR="003200B6" w:rsidRPr="00C91762">
        <w:rPr>
          <w:rFonts w:ascii="Times New Roman" w:hAnsi="Times New Roman" w:cs="Times New Roman"/>
          <w:lang w:val="de-DE"/>
        </w:rPr>
        <w:t>apspriežama</w:t>
      </w:r>
      <w:proofErr w:type="spellEnd"/>
      <w:r w:rsidR="003200B6" w:rsidRPr="00C91762">
        <w:rPr>
          <w:rFonts w:ascii="Times New Roman" w:hAnsi="Times New Roman" w:cs="Times New Roman"/>
          <w:lang w:val="de-DE"/>
        </w:rPr>
        <w:t xml:space="preserve"> </w:t>
      </w:r>
      <w:proofErr w:type="spellStart"/>
      <w:r w:rsidR="003200B6" w:rsidRPr="00C91762">
        <w:rPr>
          <w:rFonts w:ascii="Times New Roman" w:hAnsi="Times New Roman" w:cs="Times New Roman"/>
          <w:lang w:val="de-DE"/>
        </w:rPr>
        <w:t>pēc</w:t>
      </w:r>
      <w:proofErr w:type="spellEnd"/>
      <w:r w:rsidR="003200B6" w:rsidRPr="00C91762">
        <w:rPr>
          <w:rFonts w:ascii="Times New Roman" w:hAnsi="Times New Roman" w:cs="Times New Roman"/>
          <w:lang w:val="de-DE"/>
        </w:rPr>
        <w:t xml:space="preserve"> </w:t>
      </w:r>
      <w:proofErr w:type="spellStart"/>
      <w:r w:rsidR="003200B6" w:rsidRPr="00C91762">
        <w:rPr>
          <w:rFonts w:ascii="Times New Roman" w:hAnsi="Times New Roman" w:cs="Times New Roman"/>
          <w:lang w:val="de-DE"/>
        </w:rPr>
        <w:t>pilnvarai</w:t>
      </w:r>
      <w:proofErr w:type="spellEnd"/>
      <w:r w:rsidR="003200B6" w:rsidRPr="00C91762">
        <w:rPr>
          <w:rFonts w:ascii="Times New Roman" w:hAnsi="Times New Roman" w:cs="Times New Roman"/>
          <w:lang w:val="de-DE"/>
        </w:rPr>
        <w:t xml:space="preserve"> </w:t>
      </w:r>
      <w:proofErr w:type="spellStart"/>
      <w:r w:rsidR="003200B6" w:rsidRPr="00C91762">
        <w:rPr>
          <w:rFonts w:ascii="Times New Roman" w:hAnsi="Times New Roman" w:cs="Times New Roman"/>
          <w:lang w:val="de-DE"/>
        </w:rPr>
        <w:t>piemērojamā</w:t>
      </w:r>
      <w:proofErr w:type="spellEnd"/>
      <w:r w:rsidR="003200B6" w:rsidRPr="00C91762">
        <w:rPr>
          <w:rFonts w:ascii="Times New Roman" w:hAnsi="Times New Roman" w:cs="Times New Roman"/>
          <w:lang w:val="de-DE"/>
        </w:rPr>
        <w:t xml:space="preserve"> </w:t>
      </w:r>
      <w:proofErr w:type="spellStart"/>
      <w:r w:rsidR="003200B6" w:rsidRPr="00C91762">
        <w:rPr>
          <w:rFonts w:ascii="Times New Roman" w:hAnsi="Times New Roman" w:cs="Times New Roman"/>
          <w:lang w:val="de-DE"/>
        </w:rPr>
        <w:t>likuma</w:t>
      </w:r>
      <w:proofErr w:type="spellEnd"/>
      <w:r w:rsidR="003200B6" w:rsidRPr="00C91762">
        <w:rPr>
          <w:rFonts w:ascii="Times New Roman" w:hAnsi="Times New Roman" w:cs="Times New Roman"/>
          <w:lang w:val="de-DE"/>
        </w:rPr>
        <w:t xml:space="preserve"> (</w:t>
      </w:r>
      <w:proofErr w:type="spellStart"/>
      <w:r w:rsidR="003200B6" w:rsidRPr="00C91762">
        <w:rPr>
          <w:rFonts w:ascii="Times New Roman" w:hAnsi="Times New Roman" w:cs="Times New Roman"/>
          <w:lang w:val="de-DE"/>
        </w:rPr>
        <w:t>pilnvaras</w:t>
      </w:r>
      <w:proofErr w:type="spellEnd"/>
      <w:r w:rsidR="003200B6" w:rsidRPr="00C91762">
        <w:rPr>
          <w:rFonts w:ascii="Times New Roman" w:hAnsi="Times New Roman" w:cs="Times New Roman"/>
          <w:lang w:val="de-DE"/>
        </w:rPr>
        <w:t xml:space="preserve"> </w:t>
      </w:r>
      <w:proofErr w:type="spellStart"/>
      <w:r w:rsidR="003200B6" w:rsidRPr="00C91762">
        <w:rPr>
          <w:rFonts w:ascii="Times New Roman" w:hAnsi="Times New Roman" w:cs="Times New Roman"/>
          <w:lang w:val="de-DE"/>
        </w:rPr>
        <w:t>statūta</w:t>
      </w:r>
      <w:proofErr w:type="spellEnd"/>
      <w:r w:rsidR="003200B6" w:rsidRPr="00C91762">
        <w:rPr>
          <w:rFonts w:ascii="Times New Roman" w:hAnsi="Times New Roman" w:cs="Times New Roman"/>
          <w:lang w:val="de-DE"/>
        </w:rPr>
        <w:t>).</w:t>
      </w:r>
      <w:r w:rsidR="003200B6" w:rsidRPr="00C91762">
        <w:rPr>
          <w:rStyle w:val="FootnoteReference"/>
          <w:rFonts w:ascii="Times New Roman" w:hAnsi="Times New Roman" w:cs="Times New Roman"/>
          <w:lang w:val="de-DE"/>
        </w:rPr>
        <w:footnoteReference w:id="73"/>
      </w:r>
      <w:r w:rsidR="003200B6" w:rsidRPr="00C91762">
        <w:rPr>
          <w:rFonts w:ascii="Times New Roman" w:hAnsi="Times New Roman" w:cs="Times New Roman"/>
          <w:lang w:val="de-DE"/>
        </w:rPr>
        <w:t xml:space="preserve"> </w:t>
      </w:r>
      <w:proofErr w:type="spellStart"/>
      <w:r w:rsidR="003200B6" w:rsidRPr="00C91762">
        <w:rPr>
          <w:rFonts w:ascii="Times New Roman" w:hAnsi="Times New Roman" w:cs="Times New Roman"/>
          <w:lang w:val="de-DE"/>
        </w:rPr>
        <w:t>Šajā</w:t>
      </w:r>
      <w:proofErr w:type="spellEnd"/>
      <w:r w:rsidR="003200B6" w:rsidRPr="00C91762">
        <w:rPr>
          <w:rFonts w:ascii="Times New Roman" w:hAnsi="Times New Roman" w:cs="Times New Roman"/>
          <w:lang w:val="de-DE"/>
        </w:rPr>
        <w:t xml:space="preserve"> </w:t>
      </w:r>
      <w:proofErr w:type="spellStart"/>
      <w:r w:rsidR="003200B6" w:rsidRPr="00C91762">
        <w:rPr>
          <w:rFonts w:ascii="Times New Roman" w:hAnsi="Times New Roman" w:cs="Times New Roman"/>
          <w:lang w:val="de-DE"/>
        </w:rPr>
        <w:t>pētījumā</w:t>
      </w:r>
      <w:proofErr w:type="spellEnd"/>
      <w:r w:rsidR="003200B6" w:rsidRPr="00C91762">
        <w:rPr>
          <w:rFonts w:ascii="Times New Roman" w:hAnsi="Times New Roman" w:cs="Times New Roman"/>
          <w:lang w:val="de-DE"/>
        </w:rPr>
        <w:t xml:space="preserve"> </w:t>
      </w:r>
      <w:proofErr w:type="spellStart"/>
      <w:r w:rsidR="003200B6" w:rsidRPr="00C91762">
        <w:rPr>
          <w:rFonts w:ascii="Times New Roman" w:hAnsi="Times New Roman" w:cs="Times New Roman"/>
          <w:lang w:val="de-DE"/>
        </w:rPr>
        <w:t>tiek</w:t>
      </w:r>
      <w:proofErr w:type="spellEnd"/>
      <w:r w:rsidR="003200B6" w:rsidRPr="00C91762">
        <w:rPr>
          <w:rFonts w:ascii="Times New Roman" w:hAnsi="Times New Roman" w:cs="Times New Roman"/>
          <w:lang w:val="de-DE"/>
        </w:rPr>
        <w:t xml:space="preserve"> </w:t>
      </w:r>
      <w:proofErr w:type="spellStart"/>
      <w:r w:rsidR="003200B6" w:rsidRPr="00C91762">
        <w:rPr>
          <w:rFonts w:ascii="Times New Roman" w:hAnsi="Times New Roman" w:cs="Times New Roman"/>
          <w:lang w:val="de-DE"/>
        </w:rPr>
        <w:t>apskatīts</w:t>
      </w:r>
      <w:proofErr w:type="spellEnd"/>
      <w:r w:rsidR="003200B6" w:rsidRPr="00C91762">
        <w:rPr>
          <w:rFonts w:ascii="Times New Roman" w:hAnsi="Times New Roman" w:cs="Times New Roman"/>
          <w:lang w:val="de-DE"/>
        </w:rPr>
        <w:t xml:space="preserve"> </w:t>
      </w:r>
      <w:proofErr w:type="spellStart"/>
      <w:r w:rsidR="003200B6" w:rsidRPr="00C91762">
        <w:rPr>
          <w:rFonts w:ascii="Times New Roman" w:hAnsi="Times New Roman" w:cs="Times New Roman"/>
          <w:lang w:val="de-DE"/>
        </w:rPr>
        <w:t>tieši</w:t>
      </w:r>
      <w:proofErr w:type="spellEnd"/>
      <w:r w:rsidR="003200B6" w:rsidRPr="00C91762">
        <w:rPr>
          <w:rFonts w:ascii="Times New Roman" w:hAnsi="Times New Roman" w:cs="Times New Roman"/>
          <w:lang w:val="de-DE"/>
        </w:rPr>
        <w:t xml:space="preserve"> </w:t>
      </w:r>
      <w:proofErr w:type="spellStart"/>
      <w:r w:rsidR="003200B6" w:rsidRPr="00C91762">
        <w:rPr>
          <w:rFonts w:ascii="Times New Roman" w:hAnsi="Times New Roman" w:cs="Times New Roman"/>
          <w:lang w:val="de-DE"/>
        </w:rPr>
        <w:t>pēdējais</w:t>
      </w:r>
      <w:proofErr w:type="spellEnd"/>
      <w:r w:rsidR="003200B6" w:rsidRPr="00C91762">
        <w:rPr>
          <w:rFonts w:ascii="Times New Roman" w:hAnsi="Times New Roman" w:cs="Times New Roman"/>
          <w:lang w:val="de-DE"/>
        </w:rPr>
        <w:t xml:space="preserve"> </w:t>
      </w:r>
      <w:proofErr w:type="spellStart"/>
      <w:r w:rsidR="003200B6" w:rsidRPr="00C91762">
        <w:rPr>
          <w:rFonts w:ascii="Times New Roman" w:hAnsi="Times New Roman" w:cs="Times New Roman"/>
          <w:lang w:val="de-DE"/>
        </w:rPr>
        <w:t>pārstāvības</w:t>
      </w:r>
      <w:proofErr w:type="spellEnd"/>
      <w:r w:rsidR="003200B6" w:rsidRPr="00C91762">
        <w:rPr>
          <w:rFonts w:ascii="Times New Roman" w:hAnsi="Times New Roman" w:cs="Times New Roman"/>
          <w:lang w:val="de-DE"/>
        </w:rPr>
        <w:t xml:space="preserve"> </w:t>
      </w:r>
      <w:proofErr w:type="spellStart"/>
      <w:r w:rsidR="003200B6" w:rsidRPr="00C91762">
        <w:rPr>
          <w:rFonts w:ascii="Times New Roman" w:hAnsi="Times New Roman" w:cs="Times New Roman"/>
          <w:lang w:val="de-DE"/>
        </w:rPr>
        <w:t>variants</w:t>
      </w:r>
      <w:proofErr w:type="spellEnd"/>
      <w:r w:rsidR="003200B6" w:rsidRPr="00C91762">
        <w:rPr>
          <w:rFonts w:ascii="Times New Roman" w:hAnsi="Times New Roman" w:cs="Times New Roman"/>
          <w:lang w:val="de-DE"/>
        </w:rPr>
        <w:t>.</w:t>
      </w:r>
    </w:p>
    <w:p w14:paraId="37FB5FC5" w14:textId="77777777" w:rsidR="00114953" w:rsidRPr="000C7C76" w:rsidRDefault="00114953" w:rsidP="00114953">
      <w:pPr>
        <w:jc w:val="both"/>
        <w:rPr>
          <w:rFonts w:ascii="Times New Roman" w:hAnsi="Times New Roman" w:cs="Times New Roman"/>
          <w:lang w:val="de-DE"/>
        </w:rPr>
      </w:pPr>
      <w:r w:rsidRPr="000C7C76">
        <w:rPr>
          <w:rFonts w:ascii="Times New Roman" w:hAnsi="Times New Roman" w:cs="Times New Roman"/>
          <w:lang w:val="de-DE"/>
        </w:rPr>
        <w:tab/>
      </w:r>
    </w:p>
    <w:p w14:paraId="4195D42B" w14:textId="77777777" w:rsidR="00114953" w:rsidRPr="000C7C76" w:rsidRDefault="00114953" w:rsidP="00114953">
      <w:pPr>
        <w:ind w:firstLine="708"/>
        <w:jc w:val="both"/>
        <w:rPr>
          <w:rFonts w:ascii="Times New Roman" w:hAnsi="Times New Roman" w:cs="Times New Roman"/>
          <w:lang w:val="de-DE"/>
        </w:rPr>
      </w:pPr>
    </w:p>
    <w:p w14:paraId="2BF95A07" w14:textId="504E78E7" w:rsidR="00114953" w:rsidRPr="000C7C76" w:rsidRDefault="00114953" w:rsidP="00114953">
      <w:pPr>
        <w:ind w:firstLine="708"/>
        <w:jc w:val="both"/>
        <w:rPr>
          <w:rFonts w:ascii="Times New Roman" w:hAnsi="Times New Roman" w:cs="Times New Roman"/>
          <w:lang w:val="de-DE"/>
        </w:rPr>
      </w:pPr>
      <w:r w:rsidRPr="000C7C76">
        <w:rPr>
          <w:rFonts w:ascii="Times New Roman" w:hAnsi="Times New Roman" w:cs="Times New Roman"/>
          <w:lang w:val="de-DE"/>
        </w:rPr>
        <w:t xml:space="preserve">Ne Latvijas, ne </w:t>
      </w:r>
      <w:proofErr w:type="spellStart"/>
      <w:r w:rsidRPr="000C7C76">
        <w:rPr>
          <w:rFonts w:ascii="Times New Roman" w:hAnsi="Times New Roman" w:cs="Times New Roman"/>
          <w:b/>
          <w:lang w:val="de-DE"/>
        </w:rPr>
        <w:t>Vācijas</w:t>
      </w:r>
      <w:proofErr w:type="spellEnd"/>
      <w:r w:rsidRPr="000C7C76">
        <w:rPr>
          <w:rFonts w:ascii="Times New Roman" w:hAnsi="Times New Roman" w:cs="Times New Roman"/>
          <w:lang w:val="de-DE"/>
        </w:rPr>
        <w:t xml:space="preserve"> SPT </w:t>
      </w:r>
      <w:proofErr w:type="spellStart"/>
      <w:r w:rsidRPr="000C7C76">
        <w:rPr>
          <w:rFonts w:ascii="Times New Roman" w:hAnsi="Times New Roman" w:cs="Times New Roman"/>
          <w:lang w:val="de-DE"/>
        </w:rPr>
        <w:t>šobrīd</w:t>
      </w:r>
      <w:proofErr w:type="spellEnd"/>
      <w:r w:rsidRPr="000C7C76">
        <w:rPr>
          <w:rFonts w:ascii="Times New Roman" w:hAnsi="Times New Roman" w:cs="Times New Roman"/>
          <w:lang w:val="de-DE"/>
        </w:rPr>
        <w:t xml:space="preserve"> </w:t>
      </w:r>
      <w:proofErr w:type="spellStart"/>
      <w:r w:rsidRPr="000C7C76">
        <w:rPr>
          <w:rFonts w:ascii="Times New Roman" w:hAnsi="Times New Roman" w:cs="Times New Roman"/>
          <w:lang w:val="de-DE"/>
        </w:rPr>
        <w:t>nav</w:t>
      </w:r>
      <w:proofErr w:type="spellEnd"/>
      <w:r w:rsidRPr="000C7C76">
        <w:rPr>
          <w:rFonts w:ascii="Times New Roman" w:hAnsi="Times New Roman" w:cs="Times New Roman"/>
          <w:lang w:val="de-DE"/>
        </w:rPr>
        <w:t xml:space="preserve"> </w:t>
      </w:r>
      <w:proofErr w:type="spellStart"/>
      <w:r w:rsidRPr="000C7C76">
        <w:rPr>
          <w:rFonts w:ascii="Times New Roman" w:hAnsi="Times New Roman" w:cs="Times New Roman"/>
          <w:lang w:val="de-DE"/>
        </w:rPr>
        <w:t>skaidras</w:t>
      </w:r>
      <w:proofErr w:type="spellEnd"/>
      <w:r w:rsidRPr="000C7C76">
        <w:rPr>
          <w:rFonts w:ascii="Times New Roman" w:hAnsi="Times New Roman" w:cs="Times New Roman"/>
          <w:lang w:val="de-DE"/>
        </w:rPr>
        <w:t xml:space="preserve"> </w:t>
      </w:r>
      <w:proofErr w:type="spellStart"/>
      <w:r w:rsidR="003200B6" w:rsidRPr="000C7C76">
        <w:rPr>
          <w:rFonts w:ascii="Times New Roman" w:hAnsi="Times New Roman" w:cs="Times New Roman"/>
          <w:lang w:val="de-DE"/>
        </w:rPr>
        <w:t>kol</w:t>
      </w:r>
      <w:r w:rsidR="003200B6">
        <w:rPr>
          <w:rFonts w:ascii="Times New Roman" w:hAnsi="Times New Roman" w:cs="Times New Roman"/>
          <w:lang w:val="lv-LV"/>
        </w:rPr>
        <w:t>īziju</w:t>
      </w:r>
      <w:proofErr w:type="spellEnd"/>
      <w:r w:rsidR="003200B6">
        <w:rPr>
          <w:rFonts w:ascii="Times New Roman" w:hAnsi="Times New Roman" w:cs="Times New Roman"/>
          <w:lang w:val="lv-LV"/>
        </w:rPr>
        <w:t xml:space="preserve"> </w:t>
      </w:r>
      <w:proofErr w:type="spellStart"/>
      <w:r w:rsidRPr="000C7C76">
        <w:rPr>
          <w:rFonts w:ascii="Times New Roman" w:hAnsi="Times New Roman" w:cs="Times New Roman"/>
          <w:lang w:val="de-DE"/>
        </w:rPr>
        <w:t>normas</w:t>
      </w:r>
      <w:proofErr w:type="spellEnd"/>
      <w:r w:rsidRPr="000C7C76">
        <w:rPr>
          <w:rFonts w:ascii="Times New Roman" w:hAnsi="Times New Roman" w:cs="Times New Roman"/>
          <w:lang w:val="de-DE"/>
        </w:rPr>
        <w:t xml:space="preserve"> par </w:t>
      </w:r>
      <w:proofErr w:type="spellStart"/>
      <w:r w:rsidRPr="000C7C76">
        <w:rPr>
          <w:rFonts w:ascii="Times New Roman" w:hAnsi="Times New Roman" w:cs="Times New Roman"/>
          <w:lang w:val="de-DE"/>
        </w:rPr>
        <w:t>to</w:t>
      </w:r>
      <w:proofErr w:type="spellEnd"/>
      <w:r w:rsidRPr="000C7C76">
        <w:rPr>
          <w:rFonts w:ascii="Times New Roman" w:hAnsi="Times New Roman" w:cs="Times New Roman"/>
          <w:lang w:val="de-DE"/>
        </w:rPr>
        <w:t xml:space="preserve">, </w:t>
      </w:r>
      <w:proofErr w:type="spellStart"/>
      <w:r w:rsidRPr="000C7C76">
        <w:rPr>
          <w:rFonts w:ascii="Times New Roman" w:hAnsi="Times New Roman" w:cs="Times New Roman"/>
          <w:lang w:val="de-DE"/>
        </w:rPr>
        <w:t>kādas</w:t>
      </w:r>
      <w:proofErr w:type="spellEnd"/>
      <w:r w:rsidRPr="000C7C76">
        <w:rPr>
          <w:rFonts w:ascii="Times New Roman" w:hAnsi="Times New Roman" w:cs="Times New Roman"/>
          <w:lang w:val="de-DE"/>
        </w:rPr>
        <w:t xml:space="preserve"> </w:t>
      </w:r>
      <w:proofErr w:type="spellStart"/>
      <w:r w:rsidRPr="000C7C76">
        <w:rPr>
          <w:rFonts w:ascii="Times New Roman" w:hAnsi="Times New Roman" w:cs="Times New Roman"/>
          <w:lang w:val="de-DE"/>
        </w:rPr>
        <w:t>valsts</w:t>
      </w:r>
      <w:proofErr w:type="spellEnd"/>
      <w:r w:rsidRPr="000C7C76">
        <w:rPr>
          <w:rFonts w:ascii="Times New Roman" w:hAnsi="Times New Roman" w:cs="Times New Roman"/>
          <w:lang w:val="de-DE"/>
        </w:rPr>
        <w:t xml:space="preserve"> </w:t>
      </w:r>
      <w:proofErr w:type="spellStart"/>
      <w:r w:rsidRPr="000C7C76">
        <w:rPr>
          <w:rFonts w:ascii="Times New Roman" w:hAnsi="Times New Roman" w:cs="Times New Roman"/>
          <w:lang w:val="de-DE"/>
        </w:rPr>
        <w:t>likums</w:t>
      </w:r>
      <w:proofErr w:type="spellEnd"/>
      <w:r w:rsidRPr="000C7C76">
        <w:rPr>
          <w:rFonts w:ascii="Times New Roman" w:hAnsi="Times New Roman" w:cs="Times New Roman"/>
          <w:lang w:val="de-DE"/>
        </w:rPr>
        <w:t xml:space="preserve"> </w:t>
      </w:r>
      <w:proofErr w:type="spellStart"/>
      <w:r w:rsidRPr="000C7C76">
        <w:rPr>
          <w:rFonts w:ascii="Times New Roman" w:hAnsi="Times New Roman" w:cs="Times New Roman"/>
          <w:lang w:val="de-DE"/>
        </w:rPr>
        <w:t>būtu</w:t>
      </w:r>
      <w:proofErr w:type="spellEnd"/>
      <w:r w:rsidRPr="000C7C76">
        <w:rPr>
          <w:rFonts w:ascii="Times New Roman" w:hAnsi="Times New Roman" w:cs="Times New Roman"/>
          <w:lang w:val="de-DE"/>
        </w:rPr>
        <w:t xml:space="preserve"> </w:t>
      </w:r>
      <w:proofErr w:type="spellStart"/>
      <w:r w:rsidRPr="000C7C76">
        <w:rPr>
          <w:rFonts w:ascii="Times New Roman" w:hAnsi="Times New Roman" w:cs="Times New Roman"/>
          <w:lang w:val="de-DE"/>
        </w:rPr>
        <w:t>piemērojams</w:t>
      </w:r>
      <w:proofErr w:type="spellEnd"/>
      <w:r w:rsidRPr="000C7C76">
        <w:rPr>
          <w:rFonts w:ascii="Times New Roman" w:hAnsi="Times New Roman" w:cs="Times New Roman"/>
          <w:lang w:val="de-DE"/>
        </w:rPr>
        <w:t xml:space="preserve"> </w:t>
      </w:r>
      <w:proofErr w:type="spellStart"/>
      <w:r w:rsidRPr="000C7C76">
        <w:rPr>
          <w:rFonts w:ascii="Times New Roman" w:hAnsi="Times New Roman" w:cs="Times New Roman"/>
          <w:lang w:val="de-DE"/>
        </w:rPr>
        <w:t>juridiskas</w:t>
      </w:r>
      <w:proofErr w:type="spellEnd"/>
      <w:r w:rsidRPr="000C7C76">
        <w:rPr>
          <w:rFonts w:ascii="Times New Roman" w:hAnsi="Times New Roman" w:cs="Times New Roman"/>
          <w:lang w:val="de-DE"/>
        </w:rPr>
        <w:t xml:space="preserve"> personas </w:t>
      </w:r>
      <w:proofErr w:type="spellStart"/>
      <w:r w:rsidRPr="000C7C76">
        <w:rPr>
          <w:rFonts w:ascii="Times New Roman" w:hAnsi="Times New Roman" w:cs="Times New Roman"/>
          <w:lang w:val="de-DE"/>
        </w:rPr>
        <w:t>pilnvarojumam</w:t>
      </w:r>
      <w:proofErr w:type="spellEnd"/>
      <w:r w:rsidRPr="000C7C76">
        <w:rPr>
          <w:rFonts w:ascii="Times New Roman" w:hAnsi="Times New Roman" w:cs="Times New Roman"/>
          <w:lang w:val="de-DE"/>
        </w:rPr>
        <w:t xml:space="preserve"> (</w:t>
      </w:r>
      <w:proofErr w:type="spellStart"/>
      <w:r w:rsidRPr="000C7C76">
        <w:rPr>
          <w:rFonts w:ascii="Times New Roman" w:hAnsi="Times New Roman" w:cs="Times New Roman"/>
          <w:lang w:val="de-DE"/>
        </w:rPr>
        <w:t>pārstāvības</w:t>
      </w:r>
      <w:proofErr w:type="spellEnd"/>
      <w:r w:rsidRPr="000C7C76">
        <w:rPr>
          <w:rFonts w:ascii="Times New Roman" w:hAnsi="Times New Roman" w:cs="Times New Roman"/>
          <w:lang w:val="de-DE"/>
        </w:rPr>
        <w:t xml:space="preserve"> </w:t>
      </w:r>
      <w:proofErr w:type="spellStart"/>
      <w:r w:rsidRPr="000C7C76">
        <w:rPr>
          <w:rFonts w:ascii="Times New Roman" w:hAnsi="Times New Roman" w:cs="Times New Roman"/>
          <w:lang w:val="de-DE"/>
        </w:rPr>
        <w:t>tiesībai</w:t>
      </w:r>
      <w:proofErr w:type="spellEnd"/>
      <w:r w:rsidRPr="000C7C76">
        <w:rPr>
          <w:rFonts w:ascii="Times New Roman" w:hAnsi="Times New Roman" w:cs="Times New Roman"/>
          <w:lang w:val="de-DE"/>
        </w:rPr>
        <w:t xml:space="preserve">). </w:t>
      </w:r>
      <w:proofErr w:type="spellStart"/>
      <w:r w:rsidRPr="000C7C76">
        <w:rPr>
          <w:rFonts w:ascii="Times New Roman" w:hAnsi="Times New Roman" w:cs="Times New Roman"/>
          <w:lang w:val="de-DE"/>
        </w:rPr>
        <w:t>Taču</w:t>
      </w:r>
      <w:proofErr w:type="spellEnd"/>
      <w:r w:rsidRPr="000C7C76">
        <w:rPr>
          <w:rFonts w:ascii="Times New Roman" w:hAnsi="Times New Roman" w:cs="Times New Roman"/>
          <w:lang w:val="de-DE"/>
        </w:rPr>
        <w:t xml:space="preserve">, </w:t>
      </w:r>
      <w:proofErr w:type="spellStart"/>
      <w:r w:rsidRPr="000C7C76">
        <w:rPr>
          <w:rFonts w:ascii="Times New Roman" w:hAnsi="Times New Roman" w:cs="Times New Roman"/>
          <w:lang w:val="de-DE"/>
        </w:rPr>
        <w:t>piemēram</w:t>
      </w:r>
      <w:proofErr w:type="spellEnd"/>
      <w:r w:rsidRPr="000C7C76">
        <w:rPr>
          <w:rFonts w:ascii="Times New Roman" w:hAnsi="Times New Roman" w:cs="Times New Roman"/>
          <w:lang w:val="de-DE"/>
        </w:rPr>
        <w:t xml:space="preserve">, </w:t>
      </w:r>
      <w:proofErr w:type="spellStart"/>
      <w:r w:rsidRPr="000C7C76">
        <w:rPr>
          <w:rFonts w:ascii="Times New Roman" w:hAnsi="Times New Roman" w:cs="Times New Roman"/>
          <w:lang w:val="de-DE"/>
        </w:rPr>
        <w:t>Vācijas</w:t>
      </w:r>
      <w:proofErr w:type="spellEnd"/>
      <w:r w:rsidRPr="000C7C76">
        <w:rPr>
          <w:rFonts w:ascii="Times New Roman" w:hAnsi="Times New Roman" w:cs="Times New Roman"/>
          <w:lang w:val="de-DE"/>
        </w:rPr>
        <w:t xml:space="preserve"> SPT </w:t>
      </w:r>
      <w:proofErr w:type="spellStart"/>
      <w:r w:rsidRPr="000C7C76">
        <w:rPr>
          <w:rFonts w:ascii="Times New Roman" w:hAnsi="Times New Roman" w:cs="Times New Roman"/>
          <w:lang w:val="de-DE"/>
        </w:rPr>
        <w:t>zinātnē</w:t>
      </w:r>
      <w:proofErr w:type="spellEnd"/>
      <w:r w:rsidRPr="000C7C76">
        <w:rPr>
          <w:rFonts w:ascii="Times New Roman" w:hAnsi="Times New Roman" w:cs="Times New Roman"/>
          <w:lang w:val="de-DE"/>
        </w:rPr>
        <w:t xml:space="preserve"> </w:t>
      </w:r>
      <w:proofErr w:type="spellStart"/>
      <w:r w:rsidRPr="000C7C76">
        <w:rPr>
          <w:rFonts w:ascii="Times New Roman" w:hAnsi="Times New Roman" w:cs="Times New Roman"/>
          <w:lang w:val="de-DE"/>
        </w:rPr>
        <w:t>un</w:t>
      </w:r>
      <w:proofErr w:type="spellEnd"/>
      <w:r w:rsidRPr="000C7C76">
        <w:rPr>
          <w:rFonts w:ascii="Times New Roman" w:hAnsi="Times New Roman" w:cs="Times New Roman"/>
          <w:lang w:val="de-DE"/>
        </w:rPr>
        <w:t xml:space="preserve"> </w:t>
      </w:r>
      <w:proofErr w:type="spellStart"/>
      <w:r w:rsidRPr="000C7C76">
        <w:rPr>
          <w:rFonts w:ascii="Times New Roman" w:hAnsi="Times New Roman" w:cs="Times New Roman"/>
          <w:lang w:val="de-DE"/>
        </w:rPr>
        <w:t>arī</w:t>
      </w:r>
      <w:proofErr w:type="spellEnd"/>
      <w:r w:rsidRPr="000C7C76">
        <w:rPr>
          <w:rFonts w:ascii="Times New Roman" w:hAnsi="Times New Roman" w:cs="Times New Roman"/>
          <w:lang w:val="de-DE"/>
        </w:rPr>
        <w:t xml:space="preserve"> </w:t>
      </w:r>
      <w:proofErr w:type="spellStart"/>
      <w:r w:rsidRPr="000C7C76">
        <w:rPr>
          <w:rFonts w:ascii="Times New Roman" w:hAnsi="Times New Roman" w:cs="Times New Roman"/>
          <w:lang w:val="de-DE"/>
        </w:rPr>
        <w:t>tiesu</w:t>
      </w:r>
      <w:proofErr w:type="spellEnd"/>
      <w:r w:rsidRPr="000C7C76">
        <w:rPr>
          <w:rFonts w:ascii="Times New Roman" w:hAnsi="Times New Roman" w:cs="Times New Roman"/>
          <w:lang w:val="de-DE"/>
        </w:rPr>
        <w:t xml:space="preserve"> </w:t>
      </w:r>
      <w:proofErr w:type="spellStart"/>
      <w:r w:rsidRPr="000C7C76">
        <w:rPr>
          <w:rFonts w:ascii="Times New Roman" w:hAnsi="Times New Roman" w:cs="Times New Roman"/>
          <w:lang w:val="de-DE"/>
        </w:rPr>
        <w:t>praksē</w:t>
      </w:r>
      <w:proofErr w:type="spellEnd"/>
      <w:r w:rsidRPr="000C7C76">
        <w:rPr>
          <w:rFonts w:ascii="Times New Roman" w:hAnsi="Times New Roman" w:cs="Times New Roman"/>
          <w:lang w:val="de-DE"/>
        </w:rPr>
        <w:t xml:space="preserve"> </w:t>
      </w:r>
      <w:proofErr w:type="spellStart"/>
      <w:r w:rsidRPr="000C7C76">
        <w:rPr>
          <w:rFonts w:ascii="Times New Roman" w:hAnsi="Times New Roman" w:cs="Times New Roman"/>
          <w:lang w:val="de-DE"/>
        </w:rPr>
        <w:t>pielieto</w:t>
      </w:r>
      <w:proofErr w:type="spellEnd"/>
      <w:r w:rsidRPr="000C7C76">
        <w:rPr>
          <w:rFonts w:ascii="Times New Roman" w:hAnsi="Times New Roman" w:cs="Times New Roman"/>
          <w:lang w:val="de-DE"/>
        </w:rPr>
        <w:t xml:space="preserve"> </w:t>
      </w:r>
      <w:proofErr w:type="spellStart"/>
      <w:r w:rsidRPr="000C7C76">
        <w:rPr>
          <w:rFonts w:ascii="Times New Roman" w:hAnsi="Times New Roman" w:cs="Times New Roman"/>
          <w:lang w:val="de-DE"/>
        </w:rPr>
        <w:t>šādas</w:t>
      </w:r>
      <w:proofErr w:type="spellEnd"/>
      <w:r w:rsidRPr="000C7C76">
        <w:rPr>
          <w:rFonts w:ascii="Times New Roman" w:hAnsi="Times New Roman" w:cs="Times New Roman"/>
          <w:lang w:val="de-DE"/>
        </w:rPr>
        <w:t xml:space="preserve"> </w:t>
      </w:r>
      <w:proofErr w:type="spellStart"/>
      <w:r w:rsidRPr="000C7C76">
        <w:rPr>
          <w:rFonts w:ascii="Times New Roman" w:hAnsi="Times New Roman" w:cs="Times New Roman"/>
          <w:lang w:val="de-DE"/>
        </w:rPr>
        <w:t>nostādnes</w:t>
      </w:r>
      <w:proofErr w:type="spellEnd"/>
      <w:r w:rsidRPr="000C7C76">
        <w:rPr>
          <w:rFonts w:ascii="Times New Roman" w:hAnsi="Times New Roman" w:cs="Times New Roman"/>
          <w:lang w:val="de-DE"/>
        </w:rPr>
        <w:t xml:space="preserve"> </w:t>
      </w:r>
      <w:proofErr w:type="spellStart"/>
      <w:r w:rsidRPr="000C7C76">
        <w:rPr>
          <w:rFonts w:ascii="Times New Roman" w:hAnsi="Times New Roman" w:cs="Times New Roman"/>
          <w:lang w:val="de-DE"/>
        </w:rPr>
        <w:t>attiecībā</w:t>
      </w:r>
      <w:proofErr w:type="spellEnd"/>
      <w:r w:rsidRPr="000C7C76">
        <w:rPr>
          <w:rFonts w:ascii="Times New Roman" w:hAnsi="Times New Roman" w:cs="Times New Roman"/>
          <w:lang w:val="de-DE"/>
        </w:rPr>
        <w:t xml:space="preserve"> </w:t>
      </w:r>
      <w:proofErr w:type="spellStart"/>
      <w:r w:rsidRPr="000C7C76">
        <w:rPr>
          <w:rFonts w:ascii="Times New Roman" w:hAnsi="Times New Roman" w:cs="Times New Roman"/>
          <w:lang w:val="de-DE"/>
        </w:rPr>
        <w:t>uz</w:t>
      </w:r>
      <w:proofErr w:type="spellEnd"/>
      <w:r w:rsidRPr="000C7C76">
        <w:rPr>
          <w:rFonts w:ascii="Times New Roman" w:hAnsi="Times New Roman" w:cs="Times New Roman"/>
          <w:lang w:val="de-DE"/>
        </w:rPr>
        <w:t xml:space="preserve"> </w:t>
      </w:r>
      <w:proofErr w:type="spellStart"/>
      <w:r w:rsidRPr="000C7C76">
        <w:rPr>
          <w:rFonts w:ascii="Times New Roman" w:hAnsi="Times New Roman" w:cs="Times New Roman"/>
          <w:lang w:val="de-DE"/>
        </w:rPr>
        <w:t>pilnvarojuma</w:t>
      </w:r>
      <w:proofErr w:type="spellEnd"/>
      <w:r w:rsidRPr="000C7C76">
        <w:rPr>
          <w:rFonts w:ascii="Times New Roman" w:hAnsi="Times New Roman" w:cs="Times New Roman"/>
          <w:lang w:val="de-DE"/>
        </w:rPr>
        <w:t xml:space="preserve"> (</w:t>
      </w:r>
      <w:proofErr w:type="spellStart"/>
      <w:r w:rsidRPr="000C7C76">
        <w:rPr>
          <w:rFonts w:ascii="Times New Roman" w:hAnsi="Times New Roman" w:cs="Times New Roman"/>
          <w:lang w:val="de-DE"/>
        </w:rPr>
        <w:t>pārstāvības</w:t>
      </w:r>
      <w:proofErr w:type="spellEnd"/>
      <w:r w:rsidRPr="000C7C76">
        <w:rPr>
          <w:rFonts w:ascii="Times New Roman" w:hAnsi="Times New Roman" w:cs="Times New Roman"/>
          <w:lang w:val="de-DE"/>
        </w:rPr>
        <w:t xml:space="preserve"> </w:t>
      </w:r>
      <w:proofErr w:type="spellStart"/>
      <w:r w:rsidRPr="000C7C76">
        <w:rPr>
          <w:rFonts w:ascii="Times New Roman" w:hAnsi="Times New Roman" w:cs="Times New Roman"/>
          <w:lang w:val="de-DE"/>
        </w:rPr>
        <w:t>tiesības</w:t>
      </w:r>
      <w:proofErr w:type="spellEnd"/>
      <w:r w:rsidRPr="000C7C76">
        <w:rPr>
          <w:rFonts w:ascii="Times New Roman" w:hAnsi="Times New Roman" w:cs="Times New Roman"/>
          <w:lang w:val="de-DE"/>
        </w:rPr>
        <w:t xml:space="preserve">) </w:t>
      </w:r>
      <w:proofErr w:type="spellStart"/>
      <w:r w:rsidRPr="000C7C76">
        <w:rPr>
          <w:rFonts w:ascii="Times New Roman" w:hAnsi="Times New Roman" w:cs="Times New Roman"/>
          <w:lang w:val="de-DE"/>
        </w:rPr>
        <w:t>saturam</w:t>
      </w:r>
      <w:proofErr w:type="spellEnd"/>
      <w:r w:rsidRPr="000C7C76">
        <w:rPr>
          <w:rFonts w:ascii="Times New Roman" w:hAnsi="Times New Roman" w:cs="Times New Roman"/>
          <w:lang w:val="de-DE"/>
        </w:rPr>
        <w:t xml:space="preserve"> (</w:t>
      </w:r>
      <w:proofErr w:type="spellStart"/>
      <w:r w:rsidRPr="000C7C76">
        <w:rPr>
          <w:rFonts w:ascii="Times New Roman" w:hAnsi="Times New Roman" w:cs="Times New Roman"/>
          <w:lang w:val="de-DE"/>
        </w:rPr>
        <w:t>bet</w:t>
      </w:r>
      <w:proofErr w:type="spellEnd"/>
      <w:r w:rsidRPr="000C7C76">
        <w:rPr>
          <w:rFonts w:ascii="Times New Roman" w:hAnsi="Times New Roman" w:cs="Times New Roman"/>
          <w:lang w:val="de-DE"/>
        </w:rPr>
        <w:t xml:space="preserve"> ne </w:t>
      </w:r>
      <w:proofErr w:type="spellStart"/>
      <w:r w:rsidRPr="000C7C76">
        <w:rPr>
          <w:rFonts w:ascii="Times New Roman" w:hAnsi="Times New Roman" w:cs="Times New Roman"/>
          <w:lang w:val="de-DE"/>
        </w:rPr>
        <w:t>formai</w:t>
      </w:r>
      <w:proofErr w:type="spellEnd"/>
      <w:r w:rsidRPr="000C7C76">
        <w:rPr>
          <w:rFonts w:ascii="Times New Roman" w:hAnsi="Times New Roman" w:cs="Times New Roman"/>
          <w:lang w:val="de-DE"/>
        </w:rPr>
        <w:t xml:space="preserve">) </w:t>
      </w:r>
      <w:proofErr w:type="spellStart"/>
      <w:r w:rsidRPr="000C7C76">
        <w:rPr>
          <w:rFonts w:ascii="Times New Roman" w:hAnsi="Times New Roman" w:cs="Times New Roman"/>
          <w:lang w:val="de-DE"/>
        </w:rPr>
        <w:t>piemērojamo</w:t>
      </w:r>
      <w:proofErr w:type="spellEnd"/>
      <w:r w:rsidRPr="000C7C76">
        <w:rPr>
          <w:rFonts w:ascii="Times New Roman" w:hAnsi="Times New Roman" w:cs="Times New Roman"/>
          <w:lang w:val="de-DE"/>
        </w:rPr>
        <w:t xml:space="preserve"> </w:t>
      </w:r>
      <w:proofErr w:type="spellStart"/>
      <w:r w:rsidRPr="000C7C76">
        <w:rPr>
          <w:rFonts w:ascii="Times New Roman" w:hAnsi="Times New Roman" w:cs="Times New Roman"/>
          <w:lang w:val="de-DE"/>
        </w:rPr>
        <w:t>likumu</w:t>
      </w:r>
      <w:proofErr w:type="spellEnd"/>
      <w:r w:rsidRPr="00565D81">
        <w:rPr>
          <w:rStyle w:val="FootnoteReference"/>
          <w:rFonts w:ascii="Times New Roman" w:hAnsi="Times New Roman" w:cs="Times New Roman"/>
        </w:rPr>
        <w:footnoteReference w:id="74"/>
      </w:r>
      <w:r w:rsidRPr="000C7C76">
        <w:rPr>
          <w:rFonts w:ascii="Times New Roman" w:hAnsi="Times New Roman" w:cs="Times New Roman"/>
          <w:lang w:val="de-DE"/>
        </w:rPr>
        <w:t>:</w:t>
      </w:r>
    </w:p>
    <w:p w14:paraId="17FF814F" w14:textId="77777777" w:rsidR="00114953" w:rsidRPr="000C7C76" w:rsidRDefault="00114953" w:rsidP="00114953">
      <w:pPr>
        <w:jc w:val="both"/>
        <w:rPr>
          <w:rFonts w:ascii="Times New Roman" w:hAnsi="Times New Roman" w:cs="Times New Roman"/>
          <w:lang w:val="de-DE"/>
        </w:rPr>
      </w:pPr>
      <w:r w:rsidRPr="000C7C76">
        <w:rPr>
          <w:rFonts w:ascii="Times New Roman" w:hAnsi="Times New Roman" w:cs="Times New Roman"/>
          <w:lang w:val="de-DE"/>
        </w:rPr>
        <w:t xml:space="preserve">1) ja </w:t>
      </w:r>
      <w:proofErr w:type="spellStart"/>
      <w:r w:rsidRPr="000C7C76">
        <w:rPr>
          <w:rFonts w:ascii="Times New Roman" w:hAnsi="Times New Roman" w:cs="Times New Roman"/>
          <w:lang w:val="de-DE"/>
        </w:rPr>
        <w:t>pilnvarniekam</w:t>
      </w:r>
      <w:proofErr w:type="spellEnd"/>
      <w:r w:rsidRPr="000C7C76">
        <w:rPr>
          <w:rFonts w:ascii="Times New Roman" w:hAnsi="Times New Roman" w:cs="Times New Roman"/>
          <w:lang w:val="de-DE"/>
        </w:rPr>
        <w:t xml:space="preserve"> </w:t>
      </w:r>
      <w:proofErr w:type="spellStart"/>
      <w:r w:rsidRPr="000C7C76">
        <w:rPr>
          <w:rFonts w:ascii="Times New Roman" w:hAnsi="Times New Roman" w:cs="Times New Roman"/>
          <w:lang w:val="de-DE"/>
        </w:rPr>
        <w:t>ir</w:t>
      </w:r>
      <w:proofErr w:type="spellEnd"/>
      <w:r w:rsidRPr="000C7C76">
        <w:rPr>
          <w:rFonts w:ascii="Times New Roman" w:hAnsi="Times New Roman" w:cs="Times New Roman"/>
          <w:lang w:val="de-DE"/>
        </w:rPr>
        <w:t xml:space="preserve"> </w:t>
      </w:r>
      <w:proofErr w:type="spellStart"/>
      <w:r w:rsidRPr="000C7C76">
        <w:rPr>
          <w:rFonts w:ascii="Times New Roman" w:hAnsi="Times New Roman" w:cs="Times New Roman"/>
          <w:lang w:val="de-DE"/>
        </w:rPr>
        <w:t>skaidri</w:t>
      </w:r>
      <w:proofErr w:type="spellEnd"/>
      <w:r w:rsidRPr="000C7C76">
        <w:rPr>
          <w:rFonts w:ascii="Times New Roman" w:hAnsi="Times New Roman" w:cs="Times New Roman"/>
          <w:lang w:val="de-DE"/>
        </w:rPr>
        <w:t xml:space="preserve"> </w:t>
      </w:r>
      <w:proofErr w:type="spellStart"/>
      <w:r w:rsidRPr="000C7C76">
        <w:rPr>
          <w:rFonts w:ascii="Times New Roman" w:hAnsi="Times New Roman" w:cs="Times New Roman"/>
          <w:lang w:val="de-DE"/>
        </w:rPr>
        <w:t>noteikta</w:t>
      </w:r>
      <w:proofErr w:type="spellEnd"/>
      <w:r w:rsidRPr="000C7C76">
        <w:rPr>
          <w:rFonts w:ascii="Times New Roman" w:hAnsi="Times New Roman" w:cs="Times New Roman"/>
          <w:lang w:val="de-DE"/>
        </w:rPr>
        <w:t xml:space="preserve"> </w:t>
      </w:r>
      <w:proofErr w:type="spellStart"/>
      <w:r w:rsidRPr="000C7C76">
        <w:rPr>
          <w:rFonts w:ascii="Times New Roman" w:hAnsi="Times New Roman" w:cs="Times New Roman"/>
          <w:lang w:val="de-DE"/>
        </w:rPr>
        <w:t>uzņēmējdarbības</w:t>
      </w:r>
      <w:proofErr w:type="spellEnd"/>
      <w:r w:rsidRPr="000C7C76">
        <w:rPr>
          <w:rFonts w:ascii="Times New Roman" w:hAnsi="Times New Roman" w:cs="Times New Roman"/>
          <w:lang w:val="de-DE"/>
        </w:rPr>
        <w:t xml:space="preserve"> </w:t>
      </w:r>
      <w:proofErr w:type="spellStart"/>
      <w:r w:rsidRPr="000C7C76">
        <w:rPr>
          <w:rFonts w:ascii="Times New Roman" w:hAnsi="Times New Roman" w:cs="Times New Roman"/>
          <w:lang w:val="de-DE"/>
        </w:rPr>
        <w:t>atrašanās</w:t>
      </w:r>
      <w:proofErr w:type="spellEnd"/>
      <w:r w:rsidRPr="000C7C76">
        <w:rPr>
          <w:rFonts w:ascii="Times New Roman" w:hAnsi="Times New Roman" w:cs="Times New Roman"/>
          <w:lang w:val="de-DE"/>
        </w:rPr>
        <w:t xml:space="preserve"> </w:t>
      </w:r>
      <w:proofErr w:type="spellStart"/>
      <w:r w:rsidRPr="000C7C76">
        <w:rPr>
          <w:rFonts w:ascii="Times New Roman" w:hAnsi="Times New Roman" w:cs="Times New Roman"/>
          <w:lang w:val="de-DE"/>
        </w:rPr>
        <w:t>vieta</w:t>
      </w:r>
      <w:proofErr w:type="spellEnd"/>
      <w:r w:rsidRPr="000C7C76">
        <w:rPr>
          <w:rFonts w:ascii="Times New Roman" w:hAnsi="Times New Roman" w:cs="Times New Roman"/>
          <w:lang w:val="de-DE"/>
        </w:rPr>
        <w:t xml:space="preserve">, </w:t>
      </w:r>
      <w:proofErr w:type="spellStart"/>
      <w:r w:rsidRPr="000C7C76">
        <w:rPr>
          <w:rFonts w:ascii="Times New Roman" w:hAnsi="Times New Roman" w:cs="Times New Roman"/>
          <w:lang w:val="de-DE"/>
        </w:rPr>
        <w:t>tad</w:t>
      </w:r>
      <w:proofErr w:type="spellEnd"/>
      <w:r w:rsidRPr="000C7C76">
        <w:rPr>
          <w:rFonts w:ascii="Times New Roman" w:hAnsi="Times New Roman" w:cs="Times New Roman"/>
          <w:lang w:val="de-DE"/>
        </w:rPr>
        <w:t xml:space="preserve"> </w:t>
      </w:r>
      <w:proofErr w:type="spellStart"/>
      <w:r w:rsidRPr="000C7C76">
        <w:rPr>
          <w:rFonts w:ascii="Times New Roman" w:hAnsi="Times New Roman" w:cs="Times New Roman"/>
          <w:lang w:val="de-DE"/>
        </w:rPr>
        <w:t>pilnvarojumam</w:t>
      </w:r>
      <w:proofErr w:type="spellEnd"/>
      <w:r w:rsidRPr="000C7C76">
        <w:rPr>
          <w:rFonts w:ascii="Times New Roman" w:hAnsi="Times New Roman" w:cs="Times New Roman"/>
          <w:lang w:val="de-DE"/>
        </w:rPr>
        <w:t xml:space="preserve"> (</w:t>
      </w:r>
      <w:proofErr w:type="spellStart"/>
      <w:r w:rsidRPr="000C7C76">
        <w:rPr>
          <w:rFonts w:ascii="Times New Roman" w:hAnsi="Times New Roman" w:cs="Times New Roman"/>
          <w:lang w:val="de-DE"/>
        </w:rPr>
        <w:t>pārstāvības</w:t>
      </w:r>
      <w:proofErr w:type="spellEnd"/>
      <w:r w:rsidRPr="000C7C76">
        <w:rPr>
          <w:rFonts w:ascii="Times New Roman" w:hAnsi="Times New Roman" w:cs="Times New Roman"/>
          <w:lang w:val="de-DE"/>
        </w:rPr>
        <w:t xml:space="preserve"> </w:t>
      </w:r>
      <w:proofErr w:type="spellStart"/>
      <w:r w:rsidRPr="000C7C76">
        <w:rPr>
          <w:rFonts w:ascii="Times New Roman" w:hAnsi="Times New Roman" w:cs="Times New Roman"/>
          <w:lang w:val="de-DE"/>
        </w:rPr>
        <w:t>tiesībai</w:t>
      </w:r>
      <w:proofErr w:type="spellEnd"/>
      <w:r w:rsidRPr="000C7C76">
        <w:rPr>
          <w:rFonts w:ascii="Times New Roman" w:hAnsi="Times New Roman" w:cs="Times New Roman"/>
          <w:lang w:val="de-DE"/>
        </w:rPr>
        <w:t xml:space="preserve">) </w:t>
      </w:r>
      <w:proofErr w:type="spellStart"/>
      <w:r w:rsidRPr="000C7C76">
        <w:rPr>
          <w:rFonts w:ascii="Times New Roman" w:hAnsi="Times New Roman" w:cs="Times New Roman"/>
          <w:lang w:val="de-DE"/>
        </w:rPr>
        <w:t>piemēro</w:t>
      </w:r>
      <w:proofErr w:type="spellEnd"/>
      <w:r w:rsidRPr="000C7C76">
        <w:rPr>
          <w:rFonts w:ascii="Times New Roman" w:hAnsi="Times New Roman" w:cs="Times New Roman"/>
          <w:lang w:val="de-DE"/>
        </w:rPr>
        <w:t xml:space="preserve"> </w:t>
      </w:r>
      <w:proofErr w:type="spellStart"/>
      <w:r w:rsidRPr="000C7C76">
        <w:rPr>
          <w:rFonts w:ascii="Times New Roman" w:hAnsi="Times New Roman" w:cs="Times New Roman"/>
          <w:lang w:val="de-DE"/>
        </w:rPr>
        <w:t>šīs</w:t>
      </w:r>
      <w:proofErr w:type="spellEnd"/>
      <w:r w:rsidRPr="000C7C76">
        <w:rPr>
          <w:rFonts w:ascii="Times New Roman" w:hAnsi="Times New Roman" w:cs="Times New Roman"/>
          <w:lang w:val="de-DE"/>
        </w:rPr>
        <w:t xml:space="preserve"> </w:t>
      </w:r>
      <w:proofErr w:type="spellStart"/>
      <w:r w:rsidRPr="000C7C76">
        <w:rPr>
          <w:rFonts w:ascii="Times New Roman" w:hAnsi="Times New Roman" w:cs="Times New Roman"/>
          <w:lang w:val="de-DE"/>
        </w:rPr>
        <w:t>vietas</w:t>
      </w:r>
      <w:proofErr w:type="spellEnd"/>
      <w:r w:rsidRPr="000C7C76">
        <w:rPr>
          <w:rFonts w:ascii="Times New Roman" w:hAnsi="Times New Roman" w:cs="Times New Roman"/>
          <w:lang w:val="de-DE"/>
        </w:rPr>
        <w:t xml:space="preserve"> </w:t>
      </w:r>
      <w:proofErr w:type="spellStart"/>
      <w:r w:rsidRPr="000C7C76">
        <w:rPr>
          <w:rFonts w:ascii="Times New Roman" w:hAnsi="Times New Roman" w:cs="Times New Roman"/>
          <w:lang w:val="de-DE"/>
        </w:rPr>
        <w:t>valsts</w:t>
      </w:r>
      <w:proofErr w:type="spellEnd"/>
      <w:r w:rsidRPr="000C7C76">
        <w:rPr>
          <w:rFonts w:ascii="Times New Roman" w:hAnsi="Times New Roman" w:cs="Times New Roman"/>
          <w:lang w:val="de-DE"/>
        </w:rPr>
        <w:t xml:space="preserve"> </w:t>
      </w:r>
      <w:proofErr w:type="spellStart"/>
      <w:r w:rsidRPr="000C7C76">
        <w:rPr>
          <w:rFonts w:ascii="Times New Roman" w:hAnsi="Times New Roman" w:cs="Times New Roman"/>
          <w:lang w:val="de-DE"/>
        </w:rPr>
        <w:t>likumu</w:t>
      </w:r>
      <w:proofErr w:type="spellEnd"/>
      <w:r w:rsidRPr="000C7C76">
        <w:rPr>
          <w:rFonts w:ascii="Times New Roman" w:hAnsi="Times New Roman" w:cs="Times New Roman"/>
          <w:lang w:val="de-DE"/>
        </w:rPr>
        <w:t xml:space="preserve"> </w:t>
      </w:r>
      <w:proofErr w:type="spellStart"/>
      <w:r w:rsidRPr="000C7C76">
        <w:rPr>
          <w:rFonts w:ascii="Times New Roman" w:hAnsi="Times New Roman" w:cs="Times New Roman"/>
          <w:lang w:val="de-DE"/>
        </w:rPr>
        <w:t>ar</w:t>
      </w:r>
      <w:proofErr w:type="spellEnd"/>
      <w:r w:rsidRPr="000C7C76">
        <w:rPr>
          <w:rFonts w:ascii="Times New Roman" w:hAnsi="Times New Roman" w:cs="Times New Roman"/>
          <w:lang w:val="de-DE"/>
        </w:rPr>
        <w:t xml:space="preserve"> </w:t>
      </w:r>
      <w:proofErr w:type="spellStart"/>
      <w:r w:rsidRPr="000C7C76">
        <w:rPr>
          <w:rFonts w:ascii="Times New Roman" w:hAnsi="Times New Roman" w:cs="Times New Roman"/>
          <w:lang w:val="de-DE"/>
        </w:rPr>
        <w:t>nosacījumu</w:t>
      </w:r>
      <w:proofErr w:type="spellEnd"/>
      <w:r w:rsidRPr="000C7C76">
        <w:rPr>
          <w:rFonts w:ascii="Times New Roman" w:hAnsi="Times New Roman" w:cs="Times New Roman"/>
          <w:lang w:val="de-DE"/>
        </w:rPr>
        <w:t xml:space="preserve">, </w:t>
      </w:r>
      <w:proofErr w:type="spellStart"/>
      <w:r w:rsidRPr="000C7C76">
        <w:rPr>
          <w:rFonts w:ascii="Times New Roman" w:hAnsi="Times New Roman" w:cs="Times New Roman"/>
          <w:lang w:val="de-DE"/>
        </w:rPr>
        <w:t>ka</w:t>
      </w:r>
      <w:proofErr w:type="spellEnd"/>
      <w:r w:rsidRPr="000C7C76">
        <w:rPr>
          <w:rFonts w:ascii="Times New Roman" w:hAnsi="Times New Roman" w:cs="Times New Roman"/>
          <w:lang w:val="de-DE"/>
        </w:rPr>
        <w:t xml:space="preserve"> </w:t>
      </w:r>
      <w:proofErr w:type="spellStart"/>
      <w:r w:rsidRPr="000C7C76">
        <w:rPr>
          <w:rFonts w:ascii="Times New Roman" w:hAnsi="Times New Roman" w:cs="Times New Roman"/>
          <w:lang w:val="de-DE"/>
        </w:rPr>
        <w:t>pilnvarnieks</w:t>
      </w:r>
      <w:proofErr w:type="spellEnd"/>
      <w:r w:rsidRPr="000C7C76">
        <w:rPr>
          <w:rFonts w:ascii="Times New Roman" w:hAnsi="Times New Roman" w:cs="Times New Roman"/>
          <w:lang w:val="de-DE"/>
        </w:rPr>
        <w:t xml:space="preserve"> </w:t>
      </w:r>
      <w:proofErr w:type="spellStart"/>
      <w:r w:rsidRPr="000C7C76">
        <w:rPr>
          <w:rFonts w:ascii="Times New Roman" w:hAnsi="Times New Roman" w:cs="Times New Roman"/>
          <w:lang w:val="de-DE"/>
        </w:rPr>
        <w:t>darbojas</w:t>
      </w:r>
      <w:proofErr w:type="spellEnd"/>
      <w:r w:rsidRPr="000C7C76">
        <w:rPr>
          <w:rFonts w:ascii="Times New Roman" w:hAnsi="Times New Roman" w:cs="Times New Roman"/>
          <w:lang w:val="de-DE"/>
        </w:rPr>
        <w:t xml:space="preserve"> </w:t>
      </w:r>
      <w:proofErr w:type="spellStart"/>
      <w:r w:rsidRPr="000C7C76">
        <w:rPr>
          <w:rFonts w:ascii="Times New Roman" w:hAnsi="Times New Roman" w:cs="Times New Roman"/>
          <w:lang w:val="de-DE"/>
        </w:rPr>
        <w:t>šajā</w:t>
      </w:r>
      <w:proofErr w:type="spellEnd"/>
      <w:r w:rsidRPr="000C7C76">
        <w:rPr>
          <w:rFonts w:ascii="Times New Roman" w:hAnsi="Times New Roman" w:cs="Times New Roman"/>
          <w:lang w:val="de-DE"/>
        </w:rPr>
        <w:t xml:space="preserve"> </w:t>
      </w:r>
      <w:proofErr w:type="spellStart"/>
      <w:r w:rsidRPr="000C7C76">
        <w:rPr>
          <w:rFonts w:ascii="Times New Roman" w:hAnsi="Times New Roman" w:cs="Times New Roman"/>
          <w:lang w:val="de-DE"/>
        </w:rPr>
        <w:t>valstī</w:t>
      </w:r>
      <w:proofErr w:type="spellEnd"/>
      <w:r w:rsidRPr="000C7C76">
        <w:rPr>
          <w:rFonts w:ascii="Times New Roman" w:hAnsi="Times New Roman" w:cs="Times New Roman"/>
          <w:lang w:val="de-DE"/>
        </w:rPr>
        <w:t xml:space="preserve">. </w:t>
      </w:r>
      <w:proofErr w:type="spellStart"/>
      <w:r w:rsidRPr="000C7C76">
        <w:rPr>
          <w:rFonts w:ascii="Times New Roman" w:hAnsi="Times New Roman" w:cs="Times New Roman"/>
          <w:lang w:val="de-DE"/>
        </w:rPr>
        <w:t>Piemēram</w:t>
      </w:r>
      <w:proofErr w:type="spellEnd"/>
      <w:r w:rsidRPr="000C7C76">
        <w:rPr>
          <w:rFonts w:ascii="Times New Roman" w:hAnsi="Times New Roman" w:cs="Times New Roman"/>
          <w:lang w:val="de-DE"/>
        </w:rPr>
        <w:t xml:space="preserve">, ja </w:t>
      </w:r>
      <w:proofErr w:type="spellStart"/>
      <w:r w:rsidRPr="000C7C76">
        <w:rPr>
          <w:rFonts w:ascii="Times New Roman" w:hAnsi="Times New Roman" w:cs="Times New Roman"/>
          <w:lang w:val="de-DE"/>
        </w:rPr>
        <w:t>komercaģenta</w:t>
      </w:r>
      <w:proofErr w:type="spellEnd"/>
      <w:r w:rsidRPr="000C7C76">
        <w:rPr>
          <w:rFonts w:ascii="Times New Roman" w:hAnsi="Times New Roman" w:cs="Times New Roman"/>
          <w:lang w:val="de-DE"/>
        </w:rPr>
        <w:t xml:space="preserve"> </w:t>
      </w:r>
      <w:proofErr w:type="spellStart"/>
      <w:r w:rsidRPr="000C7C76">
        <w:rPr>
          <w:rFonts w:ascii="Times New Roman" w:hAnsi="Times New Roman" w:cs="Times New Roman"/>
          <w:lang w:val="de-DE"/>
        </w:rPr>
        <w:t>uzņēmējdarbības</w:t>
      </w:r>
      <w:proofErr w:type="spellEnd"/>
      <w:r w:rsidRPr="000C7C76">
        <w:rPr>
          <w:rFonts w:ascii="Times New Roman" w:hAnsi="Times New Roman" w:cs="Times New Roman"/>
          <w:lang w:val="de-DE"/>
        </w:rPr>
        <w:t xml:space="preserve"> </w:t>
      </w:r>
      <w:proofErr w:type="spellStart"/>
      <w:r w:rsidRPr="000C7C76">
        <w:rPr>
          <w:rFonts w:ascii="Times New Roman" w:hAnsi="Times New Roman" w:cs="Times New Roman"/>
          <w:lang w:val="de-DE"/>
        </w:rPr>
        <w:t>atrašanās</w:t>
      </w:r>
      <w:proofErr w:type="spellEnd"/>
      <w:r w:rsidRPr="000C7C76">
        <w:rPr>
          <w:rFonts w:ascii="Times New Roman" w:hAnsi="Times New Roman" w:cs="Times New Roman"/>
          <w:lang w:val="de-DE"/>
        </w:rPr>
        <w:t xml:space="preserve"> </w:t>
      </w:r>
      <w:proofErr w:type="spellStart"/>
      <w:r w:rsidRPr="000C7C76">
        <w:rPr>
          <w:rFonts w:ascii="Times New Roman" w:hAnsi="Times New Roman" w:cs="Times New Roman"/>
          <w:lang w:val="de-DE"/>
        </w:rPr>
        <w:t>vieta</w:t>
      </w:r>
      <w:proofErr w:type="spellEnd"/>
      <w:r w:rsidRPr="000C7C76">
        <w:rPr>
          <w:rFonts w:ascii="Times New Roman" w:hAnsi="Times New Roman" w:cs="Times New Roman"/>
          <w:lang w:val="de-DE"/>
        </w:rPr>
        <w:t xml:space="preserve"> </w:t>
      </w:r>
      <w:proofErr w:type="spellStart"/>
      <w:r w:rsidRPr="000C7C76">
        <w:rPr>
          <w:rFonts w:ascii="Times New Roman" w:hAnsi="Times New Roman" w:cs="Times New Roman"/>
          <w:lang w:val="de-DE"/>
        </w:rPr>
        <w:t>ir</w:t>
      </w:r>
      <w:proofErr w:type="spellEnd"/>
      <w:r w:rsidRPr="000C7C76">
        <w:rPr>
          <w:rFonts w:ascii="Times New Roman" w:hAnsi="Times New Roman" w:cs="Times New Roman"/>
          <w:lang w:val="de-DE"/>
        </w:rPr>
        <w:t xml:space="preserve"> </w:t>
      </w:r>
      <w:proofErr w:type="spellStart"/>
      <w:r w:rsidRPr="000C7C76">
        <w:rPr>
          <w:rFonts w:ascii="Times New Roman" w:hAnsi="Times New Roman" w:cs="Times New Roman"/>
          <w:lang w:val="de-DE"/>
        </w:rPr>
        <w:t>Latvijā</w:t>
      </w:r>
      <w:proofErr w:type="spellEnd"/>
      <w:r w:rsidRPr="000C7C76">
        <w:rPr>
          <w:rFonts w:ascii="Times New Roman" w:hAnsi="Times New Roman" w:cs="Times New Roman"/>
          <w:lang w:val="de-DE"/>
        </w:rPr>
        <w:t xml:space="preserve">, </w:t>
      </w:r>
      <w:proofErr w:type="spellStart"/>
      <w:r w:rsidRPr="000C7C76">
        <w:rPr>
          <w:rFonts w:ascii="Times New Roman" w:hAnsi="Times New Roman" w:cs="Times New Roman"/>
          <w:lang w:val="de-DE"/>
        </w:rPr>
        <w:t>tad</w:t>
      </w:r>
      <w:proofErr w:type="spellEnd"/>
      <w:r w:rsidRPr="000C7C76">
        <w:rPr>
          <w:rFonts w:ascii="Times New Roman" w:hAnsi="Times New Roman" w:cs="Times New Roman"/>
          <w:lang w:val="de-DE"/>
        </w:rPr>
        <w:t xml:space="preserve"> </w:t>
      </w:r>
      <w:proofErr w:type="spellStart"/>
      <w:r w:rsidRPr="000C7C76">
        <w:rPr>
          <w:rFonts w:ascii="Times New Roman" w:hAnsi="Times New Roman" w:cs="Times New Roman"/>
          <w:lang w:val="de-DE"/>
        </w:rPr>
        <w:t>pilnvara</w:t>
      </w:r>
      <w:proofErr w:type="spellEnd"/>
      <w:r w:rsidRPr="000C7C76">
        <w:rPr>
          <w:rFonts w:ascii="Times New Roman" w:hAnsi="Times New Roman" w:cs="Times New Roman"/>
          <w:lang w:val="de-DE"/>
        </w:rPr>
        <w:t xml:space="preserve">, </w:t>
      </w:r>
      <w:proofErr w:type="spellStart"/>
      <w:r w:rsidRPr="000C7C76">
        <w:rPr>
          <w:rFonts w:ascii="Times New Roman" w:hAnsi="Times New Roman" w:cs="Times New Roman"/>
          <w:lang w:val="de-DE"/>
        </w:rPr>
        <w:t>kas</w:t>
      </w:r>
      <w:proofErr w:type="spellEnd"/>
      <w:r w:rsidRPr="000C7C76">
        <w:rPr>
          <w:rFonts w:ascii="Times New Roman" w:hAnsi="Times New Roman" w:cs="Times New Roman"/>
          <w:lang w:val="de-DE"/>
        </w:rPr>
        <w:t xml:space="preserve"> </w:t>
      </w:r>
      <w:proofErr w:type="spellStart"/>
      <w:r w:rsidRPr="000C7C76">
        <w:rPr>
          <w:rFonts w:ascii="Times New Roman" w:hAnsi="Times New Roman" w:cs="Times New Roman"/>
          <w:lang w:val="de-DE"/>
        </w:rPr>
        <w:t>izdota</w:t>
      </w:r>
      <w:proofErr w:type="spellEnd"/>
      <w:r w:rsidRPr="000C7C76">
        <w:rPr>
          <w:rFonts w:ascii="Times New Roman" w:hAnsi="Times New Roman" w:cs="Times New Roman"/>
          <w:lang w:val="de-DE"/>
        </w:rPr>
        <w:t xml:space="preserve"> </w:t>
      </w:r>
      <w:proofErr w:type="spellStart"/>
      <w:r w:rsidRPr="000C7C76">
        <w:rPr>
          <w:rFonts w:ascii="Times New Roman" w:hAnsi="Times New Roman" w:cs="Times New Roman"/>
          <w:lang w:val="de-DE"/>
        </w:rPr>
        <w:t>Vācijā</w:t>
      </w:r>
      <w:proofErr w:type="spellEnd"/>
      <w:r w:rsidRPr="000C7C76">
        <w:rPr>
          <w:rFonts w:ascii="Times New Roman" w:hAnsi="Times New Roman" w:cs="Times New Roman"/>
          <w:lang w:val="de-DE"/>
        </w:rPr>
        <w:t xml:space="preserve"> </w:t>
      </w:r>
      <w:proofErr w:type="spellStart"/>
      <w:r w:rsidRPr="000C7C76">
        <w:rPr>
          <w:rFonts w:ascii="Times New Roman" w:hAnsi="Times New Roman" w:cs="Times New Roman"/>
          <w:lang w:val="de-DE"/>
        </w:rPr>
        <w:t>un</w:t>
      </w:r>
      <w:proofErr w:type="spellEnd"/>
      <w:r w:rsidRPr="000C7C76">
        <w:rPr>
          <w:rFonts w:ascii="Times New Roman" w:hAnsi="Times New Roman" w:cs="Times New Roman"/>
          <w:lang w:val="de-DE"/>
        </w:rPr>
        <w:t xml:space="preserve"> </w:t>
      </w:r>
      <w:proofErr w:type="spellStart"/>
      <w:r w:rsidRPr="000C7C76">
        <w:rPr>
          <w:rFonts w:ascii="Times New Roman" w:hAnsi="Times New Roman" w:cs="Times New Roman"/>
          <w:lang w:val="de-DE"/>
        </w:rPr>
        <w:t>kurā</w:t>
      </w:r>
      <w:proofErr w:type="spellEnd"/>
      <w:r w:rsidRPr="000C7C76">
        <w:rPr>
          <w:rFonts w:ascii="Times New Roman" w:hAnsi="Times New Roman" w:cs="Times New Roman"/>
          <w:lang w:val="de-DE"/>
        </w:rPr>
        <w:t xml:space="preserve"> </w:t>
      </w:r>
      <w:proofErr w:type="spellStart"/>
      <w:r w:rsidRPr="000C7C76">
        <w:rPr>
          <w:rFonts w:ascii="Times New Roman" w:hAnsi="Times New Roman" w:cs="Times New Roman"/>
          <w:lang w:val="de-DE"/>
        </w:rPr>
        <w:t>kā</w:t>
      </w:r>
      <w:proofErr w:type="spellEnd"/>
      <w:r w:rsidRPr="000C7C76">
        <w:rPr>
          <w:rFonts w:ascii="Times New Roman" w:hAnsi="Times New Roman" w:cs="Times New Roman"/>
          <w:lang w:val="de-DE"/>
        </w:rPr>
        <w:t xml:space="preserve"> </w:t>
      </w:r>
      <w:proofErr w:type="spellStart"/>
      <w:r w:rsidRPr="000C7C76">
        <w:rPr>
          <w:rFonts w:ascii="Times New Roman" w:hAnsi="Times New Roman" w:cs="Times New Roman"/>
          <w:lang w:val="de-DE"/>
        </w:rPr>
        <w:t>komercaģenta</w:t>
      </w:r>
      <w:proofErr w:type="spellEnd"/>
      <w:r w:rsidRPr="000C7C76">
        <w:rPr>
          <w:rFonts w:ascii="Times New Roman" w:hAnsi="Times New Roman" w:cs="Times New Roman"/>
          <w:lang w:val="de-DE"/>
        </w:rPr>
        <w:t xml:space="preserve"> </w:t>
      </w:r>
      <w:proofErr w:type="spellStart"/>
      <w:r w:rsidRPr="000C7C76">
        <w:rPr>
          <w:rFonts w:ascii="Times New Roman" w:hAnsi="Times New Roman" w:cs="Times New Roman"/>
          <w:lang w:val="de-DE"/>
        </w:rPr>
        <w:t>darbošanās</w:t>
      </w:r>
      <w:proofErr w:type="spellEnd"/>
      <w:r w:rsidRPr="000C7C76">
        <w:rPr>
          <w:rFonts w:ascii="Times New Roman" w:hAnsi="Times New Roman" w:cs="Times New Roman"/>
          <w:lang w:val="de-DE"/>
        </w:rPr>
        <w:t xml:space="preserve"> </w:t>
      </w:r>
      <w:proofErr w:type="spellStart"/>
      <w:r w:rsidRPr="000C7C76">
        <w:rPr>
          <w:rFonts w:ascii="Times New Roman" w:hAnsi="Times New Roman" w:cs="Times New Roman"/>
          <w:lang w:val="de-DE"/>
        </w:rPr>
        <w:t>vieta</w:t>
      </w:r>
      <w:proofErr w:type="spellEnd"/>
      <w:r w:rsidRPr="000C7C76">
        <w:rPr>
          <w:rFonts w:ascii="Times New Roman" w:hAnsi="Times New Roman" w:cs="Times New Roman"/>
          <w:lang w:val="de-DE"/>
        </w:rPr>
        <w:t xml:space="preserve"> </w:t>
      </w:r>
      <w:proofErr w:type="spellStart"/>
      <w:r w:rsidRPr="000C7C76">
        <w:rPr>
          <w:rFonts w:ascii="Times New Roman" w:hAnsi="Times New Roman" w:cs="Times New Roman"/>
          <w:lang w:val="de-DE"/>
        </w:rPr>
        <w:t>paredzēta</w:t>
      </w:r>
      <w:proofErr w:type="spellEnd"/>
      <w:r w:rsidRPr="000C7C76">
        <w:rPr>
          <w:rFonts w:ascii="Times New Roman" w:hAnsi="Times New Roman" w:cs="Times New Roman"/>
          <w:lang w:val="de-DE"/>
        </w:rPr>
        <w:t xml:space="preserve"> </w:t>
      </w:r>
      <w:proofErr w:type="spellStart"/>
      <w:r w:rsidRPr="000C7C76">
        <w:rPr>
          <w:rFonts w:ascii="Times New Roman" w:hAnsi="Times New Roman" w:cs="Times New Roman"/>
          <w:lang w:val="de-DE"/>
        </w:rPr>
        <w:t>Latvija</w:t>
      </w:r>
      <w:proofErr w:type="spellEnd"/>
      <w:r w:rsidRPr="000C7C76">
        <w:rPr>
          <w:rFonts w:ascii="Times New Roman" w:hAnsi="Times New Roman" w:cs="Times New Roman"/>
          <w:lang w:val="de-DE"/>
        </w:rPr>
        <w:t xml:space="preserve">, </w:t>
      </w:r>
      <w:proofErr w:type="spellStart"/>
      <w:r w:rsidRPr="000C7C76">
        <w:rPr>
          <w:rFonts w:ascii="Times New Roman" w:hAnsi="Times New Roman" w:cs="Times New Roman"/>
          <w:lang w:val="de-DE"/>
        </w:rPr>
        <w:t>būs</w:t>
      </w:r>
      <w:proofErr w:type="spellEnd"/>
      <w:r w:rsidRPr="000C7C76">
        <w:rPr>
          <w:rFonts w:ascii="Times New Roman" w:hAnsi="Times New Roman" w:cs="Times New Roman"/>
          <w:lang w:val="de-DE"/>
        </w:rPr>
        <w:t xml:space="preserve"> </w:t>
      </w:r>
      <w:proofErr w:type="spellStart"/>
      <w:r w:rsidRPr="000C7C76">
        <w:rPr>
          <w:rFonts w:ascii="Times New Roman" w:hAnsi="Times New Roman" w:cs="Times New Roman"/>
          <w:lang w:val="de-DE"/>
        </w:rPr>
        <w:t>apspriežama</w:t>
      </w:r>
      <w:proofErr w:type="spellEnd"/>
      <w:r w:rsidRPr="000C7C76">
        <w:rPr>
          <w:rFonts w:ascii="Times New Roman" w:hAnsi="Times New Roman" w:cs="Times New Roman"/>
          <w:lang w:val="de-DE"/>
        </w:rPr>
        <w:t xml:space="preserve"> </w:t>
      </w:r>
      <w:proofErr w:type="spellStart"/>
      <w:r w:rsidRPr="000C7C76">
        <w:rPr>
          <w:rFonts w:ascii="Times New Roman" w:hAnsi="Times New Roman" w:cs="Times New Roman"/>
          <w:lang w:val="de-DE"/>
        </w:rPr>
        <w:t>pēc</w:t>
      </w:r>
      <w:proofErr w:type="spellEnd"/>
      <w:r w:rsidRPr="000C7C76">
        <w:rPr>
          <w:rFonts w:ascii="Times New Roman" w:hAnsi="Times New Roman" w:cs="Times New Roman"/>
          <w:lang w:val="de-DE"/>
        </w:rPr>
        <w:t xml:space="preserve"> Latvijas </w:t>
      </w:r>
      <w:proofErr w:type="spellStart"/>
      <w:r w:rsidRPr="000C7C76">
        <w:rPr>
          <w:rFonts w:ascii="Times New Roman" w:hAnsi="Times New Roman" w:cs="Times New Roman"/>
          <w:lang w:val="de-DE"/>
        </w:rPr>
        <w:t>likuma</w:t>
      </w:r>
      <w:proofErr w:type="spellEnd"/>
      <w:r w:rsidRPr="000C7C76">
        <w:rPr>
          <w:rFonts w:ascii="Times New Roman" w:hAnsi="Times New Roman" w:cs="Times New Roman"/>
          <w:lang w:val="de-DE"/>
        </w:rPr>
        <w:t>;</w:t>
      </w:r>
    </w:p>
    <w:p w14:paraId="4010611B" w14:textId="77777777" w:rsidR="00114953" w:rsidRPr="000C7C76" w:rsidRDefault="00114953" w:rsidP="00114953">
      <w:pPr>
        <w:jc w:val="both"/>
        <w:rPr>
          <w:rFonts w:ascii="Times New Roman" w:hAnsi="Times New Roman" w:cs="Times New Roman"/>
          <w:lang w:val="de-DE"/>
        </w:rPr>
      </w:pPr>
      <w:r w:rsidRPr="000C7C76">
        <w:rPr>
          <w:rFonts w:ascii="Times New Roman" w:hAnsi="Times New Roman" w:cs="Times New Roman"/>
          <w:lang w:val="de-DE"/>
        </w:rPr>
        <w:t xml:space="preserve">2) </w:t>
      </w:r>
      <w:proofErr w:type="spellStart"/>
      <w:r w:rsidRPr="000C7C76">
        <w:rPr>
          <w:rFonts w:ascii="Times New Roman" w:hAnsi="Times New Roman" w:cs="Times New Roman"/>
          <w:lang w:val="de-DE"/>
        </w:rPr>
        <w:t>šāda</w:t>
      </w:r>
      <w:proofErr w:type="spellEnd"/>
      <w:r w:rsidRPr="000C7C76">
        <w:rPr>
          <w:rFonts w:ascii="Times New Roman" w:hAnsi="Times New Roman" w:cs="Times New Roman"/>
          <w:lang w:val="de-DE"/>
        </w:rPr>
        <w:t xml:space="preserve"> </w:t>
      </w:r>
      <w:proofErr w:type="spellStart"/>
      <w:r w:rsidRPr="000C7C76">
        <w:rPr>
          <w:rFonts w:ascii="Times New Roman" w:hAnsi="Times New Roman" w:cs="Times New Roman"/>
          <w:lang w:val="de-DE"/>
        </w:rPr>
        <w:t>pati</w:t>
      </w:r>
      <w:proofErr w:type="spellEnd"/>
      <w:r w:rsidRPr="000C7C76">
        <w:rPr>
          <w:rFonts w:ascii="Times New Roman" w:hAnsi="Times New Roman" w:cs="Times New Roman"/>
          <w:lang w:val="de-DE"/>
        </w:rPr>
        <w:t xml:space="preserve"> </w:t>
      </w:r>
      <w:proofErr w:type="spellStart"/>
      <w:r w:rsidRPr="000C7C76">
        <w:rPr>
          <w:rFonts w:ascii="Times New Roman" w:hAnsi="Times New Roman" w:cs="Times New Roman"/>
          <w:lang w:val="de-DE"/>
        </w:rPr>
        <w:t>pieeja</w:t>
      </w:r>
      <w:proofErr w:type="spellEnd"/>
      <w:r w:rsidRPr="000C7C76">
        <w:rPr>
          <w:rFonts w:ascii="Times New Roman" w:hAnsi="Times New Roman" w:cs="Times New Roman"/>
          <w:lang w:val="de-DE"/>
        </w:rPr>
        <w:t xml:space="preserve"> </w:t>
      </w:r>
      <w:proofErr w:type="spellStart"/>
      <w:r w:rsidRPr="000C7C76">
        <w:rPr>
          <w:rFonts w:ascii="Times New Roman" w:hAnsi="Times New Roman" w:cs="Times New Roman"/>
          <w:lang w:val="de-DE"/>
        </w:rPr>
        <w:t>piemērojama</w:t>
      </w:r>
      <w:proofErr w:type="spellEnd"/>
      <w:r w:rsidRPr="000C7C76">
        <w:rPr>
          <w:rFonts w:ascii="Times New Roman" w:hAnsi="Times New Roman" w:cs="Times New Roman"/>
          <w:lang w:val="de-DE"/>
        </w:rPr>
        <w:t xml:space="preserve"> </w:t>
      </w:r>
      <w:proofErr w:type="spellStart"/>
      <w:r w:rsidRPr="000C7C76">
        <w:rPr>
          <w:rFonts w:ascii="Times New Roman" w:hAnsi="Times New Roman" w:cs="Times New Roman"/>
          <w:lang w:val="de-DE"/>
        </w:rPr>
        <w:t>pilnvaras</w:t>
      </w:r>
      <w:proofErr w:type="spellEnd"/>
      <w:r w:rsidRPr="000C7C76">
        <w:rPr>
          <w:rFonts w:ascii="Times New Roman" w:hAnsi="Times New Roman" w:cs="Times New Roman"/>
          <w:lang w:val="de-DE"/>
        </w:rPr>
        <w:t xml:space="preserve"> </w:t>
      </w:r>
      <w:proofErr w:type="spellStart"/>
      <w:r w:rsidRPr="000C7C76">
        <w:rPr>
          <w:rFonts w:ascii="Times New Roman" w:hAnsi="Times New Roman" w:cs="Times New Roman"/>
          <w:lang w:val="de-DE"/>
        </w:rPr>
        <w:t>devēja</w:t>
      </w:r>
      <w:proofErr w:type="spellEnd"/>
      <w:r w:rsidRPr="000C7C76">
        <w:rPr>
          <w:rFonts w:ascii="Times New Roman" w:hAnsi="Times New Roman" w:cs="Times New Roman"/>
          <w:lang w:val="de-DE"/>
        </w:rPr>
        <w:t xml:space="preserve"> </w:t>
      </w:r>
      <w:proofErr w:type="spellStart"/>
      <w:r w:rsidRPr="000C7C76">
        <w:rPr>
          <w:rFonts w:ascii="Times New Roman" w:hAnsi="Times New Roman" w:cs="Times New Roman"/>
          <w:lang w:val="de-DE"/>
        </w:rPr>
        <w:t>darbiniekiem</w:t>
      </w:r>
      <w:proofErr w:type="spellEnd"/>
      <w:r w:rsidRPr="000C7C76">
        <w:rPr>
          <w:rFonts w:ascii="Times New Roman" w:hAnsi="Times New Roman" w:cs="Times New Roman"/>
          <w:lang w:val="de-DE"/>
        </w:rPr>
        <w:t xml:space="preserve">, </w:t>
      </w:r>
      <w:proofErr w:type="spellStart"/>
      <w:r w:rsidRPr="000C7C76">
        <w:rPr>
          <w:rFonts w:ascii="Times New Roman" w:hAnsi="Times New Roman" w:cs="Times New Roman"/>
          <w:lang w:val="de-DE"/>
        </w:rPr>
        <w:t>kuri</w:t>
      </w:r>
      <w:proofErr w:type="spellEnd"/>
      <w:r w:rsidRPr="000C7C76">
        <w:rPr>
          <w:rFonts w:ascii="Times New Roman" w:hAnsi="Times New Roman" w:cs="Times New Roman"/>
          <w:lang w:val="de-DE"/>
        </w:rPr>
        <w:t xml:space="preserve"> </w:t>
      </w:r>
      <w:proofErr w:type="spellStart"/>
      <w:r w:rsidRPr="000C7C76">
        <w:rPr>
          <w:rFonts w:ascii="Times New Roman" w:hAnsi="Times New Roman" w:cs="Times New Roman"/>
          <w:lang w:val="de-DE"/>
        </w:rPr>
        <w:t>vada</w:t>
      </w:r>
      <w:proofErr w:type="spellEnd"/>
      <w:r w:rsidRPr="000C7C76">
        <w:rPr>
          <w:rFonts w:ascii="Times New Roman" w:hAnsi="Times New Roman" w:cs="Times New Roman"/>
          <w:lang w:val="de-DE"/>
        </w:rPr>
        <w:t xml:space="preserve"> </w:t>
      </w:r>
      <w:proofErr w:type="spellStart"/>
      <w:r w:rsidRPr="000C7C76">
        <w:rPr>
          <w:rFonts w:ascii="Times New Roman" w:hAnsi="Times New Roman" w:cs="Times New Roman"/>
          <w:lang w:val="de-DE"/>
        </w:rPr>
        <w:t>uzņēmuma</w:t>
      </w:r>
      <w:proofErr w:type="spellEnd"/>
      <w:r w:rsidRPr="000C7C76">
        <w:rPr>
          <w:rFonts w:ascii="Times New Roman" w:hAnsi="Times New Roman" w:cs="Times New Roman"/>
          <w:lang w:val="de-DE"/>
        </w:rPr>
        <w:t xml:space="preserve"> </w:t>
      </w:r>
      <w:proofErr w:type="spellStart"/>
      <w:r w:rsidRPr="000C7C76">
        <w:rPr>
          <w:rFonts w:ascii="Times New Roman" w:hAnsi="Times New Roman" w:cs="Times New Roman"/>
          <w:lang w:val="de-DE"/>
        </w:rPr>
        <w:t>filiāli</w:t>
      </w:r>
      <w:proofErr w:type="spellEnd"/>
      <w:r w:rsidRPr="000C7C76">
        <w:rPr>
          <w:rFonts w:ascii="Times New Roman" w:hAnsi="Times New Roman" w:cs="Times New Roman"/>
          <w:lang w:val="de-DE"/>
        </w:rPr>
        <w:t xml:space="preserve"> </w:t>
      </w:r>
      <w:proofErr w:type="spellStart"/>
      <w:r w:rsidRPr="000C7C76">
        <w:rPr>
          <w:rFonts w:ascii="Times New Roman" w:hAnsi="Times New Roman" w:cs="Times New Roman"/>
          <w:lang w:val="de-DE"/>
        </w:rPr>
        <w:t>citā</w:t>
      </w:r>
      <w:proofErr w:type="spellEnd"/>
      <w:r w:rsidRPr="000C7C76">
        <w:rPr>
          <w:rFonts w:ascii="Times New Roman" w:hAnsi="Times New Roman" w:cs="Times New Roman"/>
          <w:lang w:val="de-DE"/>
        </w:rPr>
        <w:t xml:space="preserve"> </w:t>
      </w:r>
      <w:proofErr w:type="spellStart"/>
      <w:r w:rsidRPr="000C7C76">
        <w:rPr>
          <w:rFonts w:ascii="Times New Roman" w:hAnsi="Times New Roman" w:cs="Times New Roman"/>
          <w:lang w:val="de-DE"/>
        </w:rPr>
        <w:t>valstī</w:t>
      </w:r>
      <w:proofErr w:type="spellEnd"/>
      <w:r w:rsidRPr="000C7C76">
        <w:rPr>
          <w:rFonts w:ascii="Times New Roman" w:hAnsi="Times New Roman" w:cs="Times New Roman"/>
          <w:lang w:val="de-DE"/>
        </w:rPr>
        <w:t xml:space="preserve">, </w:t>
      </w:r>
      <w:proofErr w:type="spellStart"/>
      <w:r w:rsidRPr="000C7C76">
        <w:rPr>
          <w:rFonts w:ascii="Times New Roman" w:hAnsi="Times New Roman" w:cs="Times New Roman"/>
          <w:lang w:val="de-DE"/>
        </w:rPr>
        <w:t>kā</w:t>
      </w:r>
      <w:proofErr w:type="spellEnd"/>
      <w:r w:rsidRPr="000C7C76">
        <w:rPr>
          <w:rFonts w:ascii="Times New Roman" w:hAnsi="Times New Roman" w:cs="Times New Roman"/>
          <w:lang w:val="de-DE"/>
        </w:rPr>
        <w:t xml:space="preserve"> </w:t>
      </w:r>
      <w:proofErr w:type="spellStart"/>
      <w:r w:rsidRPr="000C7C76">
        <w:rPr>
          <w:rFonts w:ascii="Times New Roman" w:hAnsi="Times New Roman" w:cs="Times New Roman"/>
          <w:lang w:val="de-DE"/>
        </w:rPr>
        <w:t>arī</w:t>
      </w:r>
      <w:proofErr w:type="spellEnd"/>
      <w:r w:rsidRPr="000C7C76">
        <w:rPr>
          <w:rFonts w:ascii="Times New Roman" w:hAnsi="Times New Roman" w:cs="Times New Roman"/>
          <w:lang w:val="de-DE"/>
        </w:rPr>
        <w:t xml:space="preserve"> </w:t>
      </w:r>
      <w:proofErr w:type="spellStart"/>
      <w:r w:rsidRPr="000C7C76">
        <w:rPr>
          <w:rFonts w:ascii="Times New Roman" w:hAnsi="Times New Roman" w:cs="Times New Roman"/>
          <w:lang w:val="de-DE"/>
        </w:rPr>
        <w:t>patstāvīgiem</w:t>
      </w:r>
      <w:proofErr w:type="spellEnd"/>
      <w:r w:rsidRPr="000C7C76">
        <w:rPr>
          <w:rFonts w:ascii="Times New Roman" w:hAnsi="Times New Roman" w:cs="Times New Roman"/>
          <w:lang w:val="de-DE"/>
        </w:rPr>
        <w:t xml:space="preserve"> </w:t>
      </w:r>
      <w:proofErr w:type="spellStart"/>
      <w:r w:rsidRPr="000C7C76">
        <w:rPr>
          <w:rFonts w:ascii="Times New Roman" w:hAnsi="Times New Roman" w:cs="Times New Roman"/>
          <w:lang w:val="de-DE"/>
        </w:rPr>
        <w:t>komercpilnvarniekiem</w:t>
      </w:r>
      <w:proofErr w:type="spellEnd"/>
      <w:r w:rsidRPr="000C7C76">
        <w:rPr>
          <w:rFonts w:ascii="Times New Roman" w:hAnsi="Times New Roman" w:cs="Times New Roman"/>
          <w:lang w:val="de-DE"/>
        </w:rPr>
        <w:t xml:space="preserve">, </w:t>
      </w:r>
      <w:proofErr w:type="spellStart"/>
      <w:r w:rsidRPr="000C7C76">
        <w:rPr>
          <w:rFonts w:ascii="Times New Roman" w:hAnsi="Times New Roman" w:cs="Times New Roman"/>
          <w:lang w:val="de-DE"/>
        </w:rPr>
        <w:t>kuru</w:t>
      </w:r>
      <w:proofErr w:type="spellEnd"/>
      <w:r w:rsidRPr="000C7C76">
        <w:rPr>
          <w:rFonts w:ascii="Times New Roman" w:hAnsi="Times New Roman" w:cs="Times New Roman"/>
          <w:lang w:val="de-DE"/>
        </w:rPr>
        <w:t xml:space="preserve"> </w:t>
      </w:r>
      <w:proofErr w:type="spellStart"/>
      <w:r w:rsidRPr="000C7C76">
        <w:rPr>
          <w:rFonts w:ascii="Times New Roman" w:hAnsi="Times New Roman" w:cs="Times New Roman"/>
          <w:lang w:val="de-DE"/>
        </w:rPr>
        <w:t>patstāvīgā</w:t>
      </w:r>
      <w:proofErr w:type="spellEnd"/>
      <w:r w:rsidRPr="000C7C76">
        <w:rPr>
          <w:rFonts w:ascii="Times New Roman" w:hAnsi="Times New Roman" w:cs="Times New Roman"/>
          <w:lang w:val="de-DE"/>
        </w:rPr>
        <w:t xml:space="preserve"> </w:t>
      </w:r>
      <w:proofErr w:type="spellStart"/>
      <w:r w:rsidRPr="000C7C76">
        <w:rPr>
          <w:rFonts w:ascii="Times New Roman" w:hAnsi="Times New Roman" w:cs="Times New Roman"/>
          <w:lang w:val="de-DE"/>
        </w:rPr>
        <w:t>atrašanās</w:t>
      </w:r>
      <w:proofErr w:type="spellEnd"/>
      <w:r w:rsidRPr="000C7C76">
        <w:rPr>
          <w:rFonts w:ascii="Times New Roman" w:hAnsi="Times New Roman" w:cs="Times New Roman"/>
          <w:lang w:val="de-DE"/>
        </w:rPr>
        <w:t xml:space="preserve"> </w:t>
      </w:r>
      <w:proofErr w:type="spellStart"/>
      <w:r w:rsidRPr="000C7C76">
        <w:rPr>
          <w:rFonts w:ascii="Times New Roman" w:hAnsi="Times New Roman" w:cs="Times New Roman"/>
          <w:lang w:val="de-DE"/>
        </w:rPr>
        <w:t>vieta</w:t>
      </w:r>
      <w:proofErr w:type="spellEnd"/>
      <w:r w:rsidRPr="000C7C76">
        <w:rPr>
          <w:rFonts w:ascii="Times New Roman" w:hAnsi="Times New Roman" w:cs="Times New Roman"/>
          <w:lang w:val="de-DE"/>
        </w:rPr>
        <w:t xml:space="preserve"> </w:t>
      </w:r>
      <w:proofErr w:type="spellStart"/>
      <w:r w:rsidRPr="000C7C76">
        <w:rPr>
          <w:rFonts w:ascii="Times New Roman" w:hAnsi="Times New Roman" w:cs="Times New Roman"/>
          <w:lang w:val="de-DE"/>
        </w:rPr>
        <w:t>ir</w:t>
      </w:r>
      <w:proofErr w:type="spellEnd"/>
      <w:r w:rsidRPr="000C7C76">
        <w:rPr>
          <w:rFonts w:ascii="Times New Roman" w:hAnsi="Times New Roman" w:cs="Times New Roman"/>
          <w:lang w:val="de-DE"/>
        </w:rPr>
        <w:t xml:space="preserve"> </w:t>
      </w:r>
      <w:proofErr w:type="spellStart"/>
      <w:r w:rsidRPr="000C7C76">
        <w:rPr>
          <w:rFonts w:ascii="Times New Roman" w:hAnsi="Times New Roman" w:cs="Times New Roman"/>
          <w:lang w:val="de-DE"/>
        </w:rPr>
        <w:t>ārvalstīs</w:t>
      </w:r>
      <w:proofErr w:type="spellEnd"/>
      <w:r w:rsidRPr="000C7C76">
        <w:rPr>
          <w:rFonts w:ascii="Times New Roman" w:hAnsi="Times New Roman" w:cs="Times New Roman"/>
          <w:lang w:val="de-DE"/>
        </w:rPr>
        <w:t>;</w:t>
      </w:r>
    </w:p>
    <w:p w14:paraId="4F6A257F" w14:textId="77777777" w:rsidR="00114953" w:rsidRPr="000C7C76" w:rsidRDefault="00114953" w:rsidP="00114953">
      <w:pPr>
        <w:jc w:val="both"/>
        <w:rPr>
          <w:rFonts w:ascii="Times New Roman" w:hAnsi="Times New Roman" w:cs="Times New Roman"/>
          <w:lang w:val="de-DE"/>
        </w:rPr>
      </w:pPr>
      <w:r w:rsidRPr="000C7C76">
        <w:rPr>
          <w:rFonts w:ascii="Times New Roman" w:hAnsi="Times New Roman" w:cs="Times New Roman"/>
          <w:lang w:val="de-DE"/>
        </w:rPr>
        <w:t xml:space="preserve">3) </w:t>
      </w:r>
      <w:proofErr w:type="spellStart"/>
      <w:r w:rsidRPr="000C7C76">
        <w:rPr>
          <w:rFonts w:ascii="Times New Roman" w:hAnsi="Times New Roman" w:cs="Times New Roman"/>
          <w:lang w:val="de-DE"/>
        </w:rPr>
        <w:t>tomēr</w:t>
      </w:r>
      <w:proofErr w:type="spellEnd"/>
      <w:r w:rsidRPr="000C7C76">
        <w:rPr>
          <w:rFonts w:ascii="Times New Roman" w:hAnsi="Times New Roman" w:cs="Times New Roman"/>
          <w:lang w:val="de-DE"/>
        </w:rPr>
        <w:t xml:space="preserve">, ja </w:t>
      </w:r>
      <w:proofErr w:type="spellStart"/>
      <w:r w:rsidRPr="000C7C76">
        <w:rPr>
          <w:rFonts w:ascii="Times New Roman" w:hAnsi="Times New Roman" w:cs="Times New Roman"/>
          <w:lang w:val="de-DE"/>
        </w:rPr>
        <w:t>trešā</w:t>
      </w:r>
      <w:proofErr w:type="spellEnd"/>
      <w:r w:rsidRPr="000C7C76">
        <w:rPr>
          <w:rFonts w:ascii="Times New Roman" w:hAnsi="Times New Roman" w:cs="Times New Roman"/>
          <w:lang w:val="de-DE"/>
        </w:rPr>
        <w:t xml:space="preserve"> </w:t>
      </w:r>
      <w:proofErr w:type="spellStart"/>
      <w:r w:rsidRPr="000C7C76">
        <w:rPr>
          <w:rFonts w:ascii="Times New Roman" w:hAnsi="Times New Roman" w:cs="Times New Roman"/>
          <w:lang w:val="de-DE"/>
        </w:rPr>
        <w:t>persona</w:t>
      </w:r>
      <w:proofErr w:type="spellEnd"/>
      <w:r w:rsidRPr="000C7C76">
        <w:rPr>
          <w:rFonts w:ascii="Times New Roman" w:hAnsi="Times New Roman" w:cs="Times New Roman"/>
          <w:lang w:val="de-DE"/>
        </w:rPr>
        <w:t xml:space="preserve"> </w:t>
      </w:r>
      <w:proofErr w:type="spellStart"/>
      <w:r w:rsidRPr="000C7C76">
        <w:rPr>
          <w:rFonts w:ascii="Times New Roman" w:hAnsi="Times New Roman" w:cs="Times New Roman"/>
          <w:lang w:val="de-DE"/>
        </w:rPr>
        <w:t>nezin</w:t>
      </w:r>
      <w:proofErr w:type="spellEnd"/>
      <w:r w:rsidRPr="000C7C76">
        <w:rPr>
          <w:rFonts w:ascii="Times New Roman" w:hAnsi="Times New Roman" w:cs="Times New Roman"/>
          <w:lang w:val="de-DE"/>
        </w:rPr>
        <w:t xml:space="preserve"> </w:t>
      </w:r>
      <w:proofErr w:type="spellStart"/>
      <w:r w:rsidRPr="000C7C76">
        <w:rPr>
          <w:rFonts w:ascii="Times New Roman" w:hAnsi="Times New Roman" w:cs="Times New Roman"/>
          <w:lang w:val="de-DE"/>
        </w:rPr>
        <w:t>vai</w:t>
      </w:r>
      <w:proofErr w:type="spellEnd"/>
      <w:r w:rsidRPr="000C7C76">
        <w:rPr>
          <w:rFonts w:ascii="Times New Roman" w:hAnsi="Times New Roman" w:cs="Times New Roman"/>
          <w:lang w:val="de-DE"/>
        </w:rPr>
        <w:t xml:space="preserve"> </w:t>
      </w:r>
      <w:proofErr w:type="spellStart"/>
      <w:r w:rsidRPr="000C7C76">
        <w:rPr>
          <w:rFonts w:ascii="Times New Roman" w:hAnsi="Times New Roman" w:cs="Times New Roman"/>
          <w:lang w:val="de-DE"/>
        </w:rPr>
        <w:t>nevar</w:t>
      </w:r>
      <w:proofErr w:type="spellEnd"/>
      <w:r w:rsidRPr="000C7C76">
        <w:rPr>
          <w:rFonts w:ascii="Times New Roman" w:hAnsi="Times New Roman" w:cs="Times New Roman"/>
          <w:lang w:val="de-DE"/>
        </w:rPr>
        <w:t xml:space="preserve"> </w:t>
      </w:r>
      <w:proofErr w:type="spellStart"/>
      <w:r w:rsidRPr="000C7C76">
        <w:rPr>
          <w:rFonts w:ascii="Times New Roman" w:hAnsi="Times New Roman" w:cs="Times New Roman"/>
          <w:lang w:val="de-DE"/>
        </w:rPr>
        <w:t>zināt</w:t>
      </w:r>
      <w:proofErr w:type="spellEnd"/>
      <w:r w:rsidRPr="000C7C76">
        <w:rPr>
          <w:rFonts w:ascii="Times New Roman" w:hAnsi="Times New Roman" w:cs="Times New Roman"/>
          <w:lang w:val="de-DE"/>
        </w:rPr>
        <w:t xml:space="preserve"> </w:t>
      </w:r>
      <w:proofErr w:type="spellStart"/>
      <w:r w:rsidRPr="000C7C76">
        <w:rPr>
          <w:rFonts w:ascii="Times New Roman" w:hAnsi="Times New Roman" w:cs="Times New Roman"/>
          <w:lang w:val="de-DE"/>
        </w:rPr>
        <w:t>pilnvarnieka</w:t>
      </w:r>
      <w:proofErr w:type="spellEnd"/>
      <w:r w:rsidRPr="000C7C76">
        <w:rPr>
          <w:rFonts w:ascii="Times New Roman" w:hAnsi="Times New Roman" w:cs="Times New Roman"/>
          <w:lang w:val="de-DE"/>
        </w:rPr>
        <w:t xml:space="preserve"> </w:t>
      </w:r>
      <w:proofErr w:type="spellStart"/>
      <w:r w:rsidRPr="000C7C76">
        <w:rPr>
          <w:rFonts w:ascii="Times New Roman" w:hAnsi="Times New Roman" w:cs="Times New Roman"/>
          <w:lang w:val="de-DE"/>
        </w:rPr>
        <w:t>uzņēmējdarbības</w:t>
      </w:r>
      <w:proofErr w:type="spellEnd"/>
      <w:r w:rsidRPr="000C7C76">
        <w:rPr>
          <w:rFonts w:ascii="Times New Roman" w:hAnsi="Times New Roman" w:cs="Times New Roman"/>
          <w:lang w:val="de-DE"/>
        </w:rPr>
        <w:t xml:space="preserve"> </w:t>
      </w:r>
      <w:proofErr w:type="spellStart"/>
      <w:r w:rsidRPr="000C7C76">
        <w:rPr>
          <w:rFonts w:ascii="Times New Roman" w:hAnsi="Times New Roman" w:cs="Times New Roman"/>
          <w:lang w:val="de-DE"/>
        </w:rPr>
        <w:t>atrašanās</w:t>
      </w:r>
      <w:proofErr w:type="spellEnd"/>
      <w:r w:rsidRPr="000C7C76">
        <w:rPr>
          <w:rFonts w:ascii="Times New Roman" w:hAnsi="Times New Roman" w:cs="Times New Roman"/>
          <w:lang w:val="de-DE"/>
        </w:rPr>
        <w:t xml:space="preserve"> </w:t>
      </w:r>
      <w:proofErr w:type="spellStart"/>
      <w:r w:rsidRPr="000C7C76">
        <w:rPr>
          <w:rFonts w:ascii="Times New Roman" w:hAnsi="Times New Roman" w:cs="Times New Roman"/>
          <w:lang w:val="de-DE"/>
        </w:rPr>
        <w:t>vietu</w:t>
      </w:r>
      <w:proofErr w:type="spellEnd"/>
      <w:r w:rsidRPr="000C7C76">
        <w:rPr>
          <w:rFonts w:ascii="Times New Roman" w:hAnsi="Times New Roman" w:cs="Times New Roman"/>
          <w:lang w:val="de-DE"/>
        </w:rPr>
        <w:t xml:space="preserve">, </w:t>
      </w:r>
      <w:proofErr w:type="spellStart"/>
      <w:r w:rsidRPr="000C7C76">
        <w:rPr>
          <w:rFonts w:ascii="Times New Roman" w:hAnsi="Times New Roman" w:cs="Times New Roman"/>
          <w:lang w:val="de-DE"/>
        </w:rPr>
        <w:t>tad</w:t>
      </w:r>
      <w:proofErr w:type="spellEnd"/>
      <w:r w:rsidRPr="000C7C76">
        <w:rPr>
          <w:rFonts w:ascii="Times New Roman" w:hAnsi="Times New Roman" w:cs="Times New Roman"/>
          <w:lang w:val="de-DE"/>
        </w:rPr>
        <w:t xml:space="preserve"> </w:t>
      </w:r>
      <w:proofErr w:type="spellStart"/>
      <w:r w:rsidRPr="000C7C76">
        <w:rPr>
          <w:rFonts w:ascii="Times New Roman" w:hAnsi="Times New Roman" w:cs="Times New Roman"/>
          <w:lang w:val="de-DE"/>
        </w:rPr>
        <w:t>pilnvarojumam</w:t>
      </w:r>
      <w:proofErr w:type="spellEnd"/>
      <w:r w:rsidRPr="000C7C76">
        <w:rPr>
          <w:rFonts w:ascii="Times New Roman" w:hAnsi="Times New Roman" w:cs="Times New Roman"/>
          <w:lang w:val="de-DE"/>
        </w:rPr>
        <w:t xml:space="preserve"> (</w:t>
      </w:r>
      <w:proofErr w:type="spellStart"/>
      <w:r w:rsidRPr="000C7C76">
        <w:rPr>
          <w:rFonts w:ascii="Times New Roman" w:hAnsi="Times New Roman" w:cs="Times New Roman"/>
          <w:lang w:val="de-DE"/>
        </w:rPr>
        <w:t>pārstāvības</w:t>
      </w:r>
      <w:proofErr w:type="spellEnd"/>
      <w:r w:rsidRPr="000C7C76">
        <w:rPr>
          <w:rFonts w:ascii="Times New Roman" w:hAnsi="Times New Roman" w:cs="Times New Roman"/>
          <w:lang w:val="de-DE"/>
        </w:rPr>
        <w:t xml:space="preserve"> </w:t>
      </w:r>
      <w:proofErr w:type="spellStart"/>
      <w:r w:rsidRPr="000C7C76">
        <w:rPr>
          <w:rFonts w:ascii="Times New Roman" w:hAnsi="Times New Roman" w:cs="Times New Roman"/>
          <w:lang w:val="de-DE"/>
        </w:rPr>
        <w:t>tiesībai</w:t>
      </w:r>
      <w:proofErr w:type="spellEnd"/>
      <w:r w:rsidRPr="000C7C76">
        <w:rPr>
          <w:rFonts w:ascii="Times New Roman" w:hAnsi="Times New Roman" w:cs="Times New Roman"/>
          <w:lang w:val="de-DE"/>
        </w:rPr>
        <w:t xml:space="preserve">) </w:t>
      </w:r>
      <w:proofErr w:type="spellStart"/>
      <w:r w:rsidRPr="000C7C76">
        <w:rPr>
          <w:rFonts w:ascii="Times New Roman" w:hAnsi="Times New Roman" w:cs="Times New Roman"/>
          <w:lang w:val="de-DE"/>
        </w:rPr>
        <w:t>piemēro</w:t>
      </w:r>
      <w:proofErr w:type="spellEnd"/>
      <w:r w:rsidRPr="000C7C76">
        <w:rPr>
          <w:rFonts w:ascii="Times New Roman" w:hAnsi="Times New Roman" w:cs="Times New Roman"/>
          <w:lang w:val="de-DE"/>
        </w:rPr>
        <w:t xml:space="preserve"> </w:t>
      </w:r>
      <w:proofErr w:type="spellStart"/>
      <w:r w:rsidRPr="000C7C76">
        <w:rPr>
          <w:rFonts w:ascii="Times New Roman" w:hAnsi="Times New Roman" w:cs="Times New Roman"/>
          <w:lang w:val="de-DE"/>
        </w:rPr>
        <w:t>pilnvaras</w:t>
      </w:r>
      <w:proofErr w:type="spellEnd"/>
      <w:r w:rsidRPr="000C7C76">
        <w:rPr>
          <w:rFonts w:ascii="Times New Roman" w:hAnsi="Times New Roman" w:cs="Times New Roman"/>
          <w:lang w:val="de-DE"/>
        </w:rPr>
        <w:t xml:space="preserve"> </w:t>
      </w:r>
      <w:proofErr w:type="spellStart"/>
      <w:r w:rsidRPr="000C7C76">
        <w:rPr>
          <w:rFonts w:ascii="Times New Roman" w:hAnsi="Times New Roman" w:cs="Times New Roman"/>
          <w:lang w:val="de-DE"/>
        </w:rPr>
        <w:t>izmantošanas</w:t>
      </w:r>
      <w:proofErr w:type="spellEnd"/>
      <w:r w:rsidRPr="000C7C76">
        <w:rPr>
          <w:rFonts w:ascii="Times New Roman" w:hAnsi="Times New Roman" w:cs="Times New Roman"/>
          <w:lang w:val="de-DE"/>
        </w:rPr>
        <w:t xml:space="preserve"> </w:t>
      </w:r>
      <w:proofErr w:type="spellStart"/>
      <w:r w:rsidRPr="000C7C76">
        <w:rPr>
          <w:rFonts w:ascii="Times New Roman" w:hAnsi="Times New Roman" w:cs="Times New Roman"/>
          <w:lang w:val="de-DE"/>
        </w:rPr>
        <w:t>vietas</w:t>
      </w:r>
      <w:proofErr w:type="spellEnd"/>
      <w:r w:rsidRPr="000C7C76">
        <w:rPr>
          <w:rFonts w:ascii="Times New Roman" w:hAnsi="Times New Roman" w:cs="Times New Roman"/>
          <w:lang w:val="de-DE"/>
        </w:rPr>
        <w:t xml:space="preserve"> </w:t>
      </w:r>
      <w:proofErr w:type="spellStart"/>
      <w:r w:rsidRPr="000C7C76">
        <w:rPr>
          <w:rFonts w:ascii="Times New Roman" w:hAnsi="Times New Roman" w:cs="Times New Roman"/>
          <w:lang w:val="de-DE"/>
        </w:rPr>
        <w:t>valsts</w:t>
      </w:r>
      <w:proofErr w:type="spellEnd"/>
      <w:r w:rsidRPr="000C7C76">
        <w:rPr>
          <w:rFonts w:ascii="Times New Roman" w:hAnsi="Times New Roman" w:cs="Times New Roman"/>
          <w:lang w:val="de-DE"/>
        </w:rPr>
        <w:t xml:space="preserve"> </w:t>
      </w:r>
      <w:proofErr w:type="spellStart"/>
      <w:r w:rsidRPr="000C7C76">
        <w:rPr>
          <w:rFonts w:ascii="Times New Roman" w:hAnsi="Times New Roman" w:cs="Times New Roman"/>
          <w:lang w:val="de-DE"/>
        </w:rPr>
        <w:t>likumu</w:t>
      </w:r>
      <w:proofErr w:type="spellEnd"/>
      <w:r w:rsidRPr="000C7C76">
        <w:rPr>
          <w:rFonts w:ascii="Times New Roman" w:hAnsi="Times New Roman" w:cs="Times New Roman"/>
          <w:lang w:val="de-DE"/>
        </w:rPr>
        <w:t xml:space="preserve">. Tas </w:t>
      </w:r>
      <w:proofErr w:type="spellStart"/>
      <w:r w:rsidRPr="000C7C76">
        <w:rPr>
          <w:rFonts w:ascii="Times New Roman" w:hAnsi="Times New Roman" w:cs="Times New Roman"/>
          <w:lang w:val="de-DE"/>
        </w:rPr>
        <w:t>pats</w:t>
      </w:r>
      <w:proofErr w:type="spellEnd"/>
      <w:r w:rsidRPr="000C7C76">
        <w:rPr>
          <w:rFonts w:ascii="Times New Roman" w:hAnsi="Times New Roman" w:cs="Times New Roman"/>
          <w:lang w:val="de-DE"/>
        </w:rPr>
        <w:t xml:space="preserve"> </w:t>
      </w:r>
      <w:proofErr w:type="spellStart"/>
      <w:r w:rsidRPr="000C7C76">
        <w:rPr>
          <w:rFonts w:ascii="Times New Roman" w:hAnsi="Times New Roman" w:cs="Times New Roman"/>
          <w:lang w:val="de-DE"/>
        </w:rPr>
        <w:t>attiecas</w:t>
      </w:r>
      <w:proofErr w:type="spellEnd"/>
      <w:r w:rsidRPr="000C7C76">
        <w:rPr>
          <w:rFonts w:ascii="Times New Roman" w:hAnsi="Times New Roman" w:cs="Times New Roman"/>
          <w:lang w:val="de-DE"/>
        </w:rPr>
        <w:t xml:space="preserve"> </w:t>
      </w:r>
      <w:proofErr w:type="spellStart"/>
      <w:r w:rsidRPr="000C7C76">
        <w:rPr>
          <w:rFonts w:ascii="Times New Roman" w:hAnsi="Times New Roman" w:cs="Times New Roman"/>
          <w:lang w:val="de-DE"/>
        </w:rPr>
        <w:t>arī</w:t>
      </w:r>
      <w:proofErr w:type="spellEnd"/>
      <w:r w:rsidRPr="000C7C76">
        <w:rPr>
          <w:rFonts w:ascii="Times New Roman" w:hAnsi="Times New Roman" w:cs="Times New Roman"/>
          <w:lang w:val="de-DE"/>
        </w:rPr>
        <w:t xml:space="preserve"> </w:t>
      </w:r>
      <w:proofErr w:type="spellStart"/>
      <w:r w:rsidRPr="000C7C76">
        <w:rPr>
          <w:rFonts w:ascii="Times New Roman" w:hAnsi="Times New Roman" w:cs="Times New Roman"/>
          <w:lang w:val="de-DE"/>
        </w:rPr>
        <w:t>uz</w:t>
      </w:r>
      <w:proofErr w:type="spellEnd"/>
      <w:r w:rsidRPr="000C7C76">
        <w:rPr>
          <w:rFonts w:ascii="Times New Roman" w:hAnsi="Times New Roman" w:cs="Times New Roman"/>
          <w:lang w:val="de-DE"/>
        </w:rPr>
        <w:t xml:space="preserve"> </w:t>
      </w:r>
      <w:proofErr w:type="spellStart"/>
      <w:r w:rsidRPr="000C7C76">
        <w:rPr>
          <w:rFonts w:ascii="Times New Roman" w:hAnsi="Times New Roman" w:cs="Times New Roman"/>
          <w:lang w:val="de-DE"/>
        </w:rPr>
        <w:t>gadījumiem</w:t>
      </w:r>
      <w:proofErr w:type="spellEnd"/>
      <w:r w:rsidRPr="000C7C76">
        <w:rPr>
          <w:rFonts w:ascii="Times New Roman" w:hAnsi="Times New Roman" w:cs="Times New Roman"/>
          <w:lang w:val="de-DE"/>
        </w:rPr>
        <w:t xml:space="preserve">, </w:t>
      </w:r>
      <w:proofErr w:type="spellStart"/>
      <w:r w:rsidRPr="000C7C76">
        <w:rPr>
          <w:rFonts w:ascii="Times New Roman" w:hAnsi="Times New Roman" w:cs="Times New Roman"/>
          <w:lang w:val="de-DE"/>
        </w:rPr>
        <w:t>kad</w:t>
      </w:r>
      <w:proofErr w:type="spellEnd"/>
      <w:r w:rsidRPr="000C7C76">
        <w:rPr>
          <w:rFonts w:ascii="Times New Roman" w:hAnsi="Times New Roman" w:cs="Times New Roman"/>
          <w:lang w:val="de-DE"/>
        </w:rPr>
        <w:t xml:space="preserve"> </w:t>
      </w:r>
      <w:proofErr w:type="spellStart"/>
      <w:r w:rsidRPr="000C7C76">
        <w:rPr>
          <w:rFonts w:ascii="Times New Roman" w:hAnsi="Times New Roman" w:cs="Times New Roman"/>
          <w:lang w:val="de-DE"/>
        </w:rPr>
        <w:t>pilnvarnieks</w:t>
      </w:r>
      <w:proofErr w:type="spellEnd"/>
      <w:r w:rsidRPr="000C7C76">
        <w:rPr>
          <w:rFonts w:ascii="Times New Roman" w:hAnsi="Times New Roman" w:cs="Times New Roman"/>
          <w:lang w:val="de-DE"/>
        </w:rPr>
        <w:t xml:space="preserve"> </w:t>
      </w:r>
      <w:proofErr w:type="spellStart"/>
      <w:r w:rsidRPr="000C7C76">
        <w:rPr>
          <w:rFonts w:ascii="Times New Roman" w:hAnsi="Times New Roman" w:cs="Times New Roman"/>
          <w:lang w:val="de-DE"/>
        </w:rPr>
        <w:t>darbojas</w:t>
      </w:r>
      <w:proofErr w:type="spellEnd"/>
      <w:r w:rsidRPr="000C7C76">
        <w:rPr>
          <w:rFonts w:ascii="Times New Roman" w:hAnsi="Times New Roman" w:cs="Times New Roman"/>
          <w:lang w:val="de-DE"/>
        </w:rPr>
        <w:t xml:space="preserve"> </w:t>
      </w:r>
      <w:proofErr w:type="spellStart"/>
      <w:r w:rsidRPr="000C7C76">
        <w:rPr>
          <w:rFonts w:ascii="Times New Roman" w:hAnsi="Times New Roman" w:cs="Times New Roman"/>
          <w:lang w:val="de-DE"/>
        </w:rPr>
        <w:t>ārpus</w:t>
      </w:r>
      <w:proofErr w:type="spellEnd"/>
      <w:r w:rsidRPr="000C7C76">
        <w:rPr>
          <w:rFonts w:ascii="Times New Roman" w:hAnsi="Times New Roman" w:cs="Times New Roman"/>
          <w:lang w:val="de-DE"/>
        </w:rPr>
        <w:t xml:space="preserve"> </w:t>
      </w:r>
      <w:proofErr w:type="spellStart"/>
      <w:r w:rsidRPr="000C7C76">
        <w:rPr>
          <w:rFonts w:ascii="Times New Roman" w:hAnsi="Times New Roman" w:cs="Times New Roman"/>
          <w:lang w:val="de-DE"/>
        </w:rPr>
        <w:t>tās</w:t>
      </w:r>
      <w:proofErr w:type="spellEnd"/>
      <w:r w:rsidRPr="000C7C76">
        <w:rPr>
          <w:rFonts w:ascii="Times New Roman" w:hAnsi="Times New Roman" w:cs="Times New Roman"/>
          <w:lang w:val="de-DE"/>
        </w:rPr>
        <w:t xml:space="preserve"> </w:t>
      </w:r>
      <w:proofErr w:type="spellStart"/>
      <w:r w:rsidRPr="000C7C76">
        <w:rPr>
          <w:rFonts w:ascii="Times New Roman" w:hAnsi="Times New Roman" w:cs="Times New Roman"/>
          <w:lang w:val="de-DE"/>
        </w:rPr>
        <w:t>valsts</w:t>
      </w:r>
      <w:proofErr w:type="spellEnd"/>
      <w:r w:rsidRPr="000C7C76">
        <w:rPr>
          <w:rFonts w:ascii="Times New Roman" w:hAnsi="Times New Roman" w:cs="Times New Roman"/>
          <w:lang w:val="de-DE"/>
        </w:rPr>
        <w:t xml:space="preserve">, </w:t>
      </w:r>
      <w:proofErr w:type="spellStart"/>
      <w:r w:rsidRPr="000C7C76">
        <w:rPr>
          <w:rFonts w:ascii="Times New Roman" w:hAnsi="Times New Roman" w:cs="Times New Roman"/>
          <w:lang w:val="de-DE"/>
        </w:rPr>
        <w:t>kurā</w:t>
      </w:r>
      <w:proofErr w:type="spellEnd"/>
      <w:r w:rsidRPr="000C7C76">
        <w:rPr>
          <w:rFonts w:ascii="Times New Roman" w:hAnsi="Times New Roman" w:cs="Times New Roman"/>
          <w:lang w:val="de-DE"/>
        </w:rPr>
        <w:t xml:space="preserve"> </w:t>
      </w:r>
      <w:proofErr w:type="spellStart"/>
      <w:r w:rsidRPr="000C7C76">
        <w:rPr>
          <w:rFonts w:ascii="Times New Roman" w:hAnsi="Times New Roman" w:cs="Times New Roman"/>
          <w:lang w:val="de-DE"/>
        </w:rPr>
        <w:t>ir</w:t>
      </w:r>
      <w:proofErr w:type="spellEnd"/>
      <w:r w:rsidRPr="000C7C76">
        <w:rPr>
          <w:rFonts w:ascii="Times New Roman" w:hAnsi="Times New Roman" w:cs="Times New Roman"/>
          <w:lang w:val="de-DE"/>
        </w:rPr>
        <w:t xml:space="preserve"> </w:t>
      </w:r>
      <w:proofErr w:type="spellStart"/>
      <w:r w:rsidRPr="000C7C76">
        <w:rPr>
          <w:rFonts w:ascii="Times New Roman" w:hAnsi="Times New Roman" w:cs="Times New Roman"/>
          <w:lang w:val="de-DE"/>
        </w:rPr>
        <w:t>viņa</w:t>
      </w:r>
      <w:proofErr w:type="spellEnd"/>
      <w:r w:rsidRPr="000C7C76">
        <w:rPr>
          <w:rFonts w:ascii="Times New Roman" w:hAnsi="Times New Roman" w:cs="Times New Roman"/>
          <w:lang w:val="de-DE"/>
        </w:rPr>
        <w:t xml:space="preserve"> </w:t>
      </w:r>
      <w:proofErr w:type="spellStart"/>
      <w:r w:rsidRPr="000C7C76">
        <w:rPr>
          <w:rFonts w:ascii="Times New Roman" w:hAnsi="Times New Roman" w:cs="Times New Roman"/>
          <w:lang w:val="de-DE"/>
        </w:rPr>
        <w:t>uzņēmējdarbības</w:t>
      </w:r>
      <w:proofErr w:type="spellEnd"/>
      <w:r w:rsidRPr="000C7C76">
        <w:rPr>
          <w:rFonts w:ascii="Times New Roman" w:hAnsi="Times New Roman" w:cs="Times New Roman"/>
          <w:lang w:val="de-DE"/>
        </w:rPr>
        <w:t xml:space="preserve"> </w:t>
      </w:r>
      <w:proofErr w:type="spellStart"/>
      <w:r w:rsidRPr="000C7C76">
        <w:rPr>
          <w:rFonts w:ascii="Times New Roman" w:hAnsi="Times New Roman" w:cs="Times New Roman"/>
          <w:lang w:val="de-DE"/>
        </w:rPr>
        <w:t>atrašanās</w:t>
      </w:r>
      <w:proofErr w:type="spellEnd"/>
      <w:r w:rsidRPr="000C7C76">
        <w:rPr>
          <w:rFonts w:ascii="Times New Roman" w:hAnsi="Times New Roman" w:cs="Times New Roman"/>
          <w:lang w:val="de-DE"/>
        </w:rPr>
        <w:t xml:space="preserve"> </w:t>
      </w:r>
      <w:proofErr w:type="spellStart"/>
      <w:r w:rsidRPr="000C7C76">
        <w:rPr>
          <w:rFonts w:ascii="Times New Roman" w:hAnsi="Times New Roman" w:cs="Times New Roman"/>
          <w:lang w:val="de-DE"/>
        </w:rPr>
        <w:t>vieta</w:t>
      </w:r>
      <w:proofErr w:type="spellEnd"/>
      <w:r w:rsidRPr="000C7C76">
        <w:rPr>
          <w:rFonts w:ascii="Times New Roman" w:hAnsi="Times New Roman" w:cs="Times New Roman"/>
          <w:lang w:val="de-DE"/>
        </w:rPr>
        <w:t>;</w:t>
      </w:r>
    </w:p>
    <w:p w14:paraId="362D4710" w14:textId="77777777" w:rsidR="00114953" w:rsidRPr="000C7C76" w:rsidRDefault="00114953" w:rsidP="00114953">
      <w:pPr>
        <w:jc w:val="both"/>
        <w:rPr>
          <w:rFonts w:ascii="Times New Roman" w:hAnsi="Times New Roman" w:cs="Times New Roman"/>
          <w:lang w:val="de-DE"/>
        </w:rPr>
      </w:pPr>
      <w:r w:rsidRPr="000C7C76">
        <w:rPr>
          <w:rFonts w:ascii="Times New Roman" w:hAnsi="Times New Roman" w:cs="Times New Roman"/>
          <w:lang w:val="de-DE"/>
        </w:rPr>
        <w:t xml:space="preserve">4) </w:t>
      </w:r>
      <w:proofErr w:type="spellStart"/>
      <w:r w:rsidRPr="000C7C76">
        <w:rPr>
          <w:rFonts w:ascii="Times New Roman" w:hAnsi="Times New Roman" w:cs="Times New Roman"/>
          <w:lang w:val="de-DE"/>
        </w:rPr>
        <w:t>juridiskas</w:t>
      </w:r>
      <w:proofErr w:type="spellEnd"/>
      <w:r w:rsidRPr="000C7C76">
        <w:rPr>
          <w:rFonts w:ascii="Times New Roman" w:hAnsi="Times New Roman" w:cs="Times New Roman"/>
          <w:lang w:val="de-DE"/>
        </w:rPr>
        <w:t xml:space="preserve"> personas </w:t>
      </w:r>
      <w:proofErr w:type="spellStart"/>
      <w:r w:rsidRPr="000C7C76">
        <w:rPr>
          <w:rFonts w:ascii="Times New Roman" w:hAnsi="Times New Roman" w:cs="Times New Roman"/>
          <w:lang w:val="de-DE"/>
        </w:rPr>
        <w:t>darbinieku</w:t>
      </w:r>
      <w:proofErr w:type="spellEnd"/>
      <w:r w:rsidRPr="000C7C76">
        <w:rPr>
          <w:rFonts w:ascii="Times New Roman" w:hAnsi="Times New Roman" w:cs="Times New Roman"/>
          <w:lang w:val="de-DE"/>
        </w:rPr>
        <w:t xml:space="preserve"> </w:t>
      </w:r>
      <w:proofErr w:type="spellStart"/>
      <w:r w:rsidRPr="000C7C76">
        <w:rPr>
          <w:rFonts w:ascii="Times New Roman" w:hAnsi="Times New Roman" w:cs="Times New Roman"/>
          <w:lang w:val="de-DE"/>
        </w:rPr>
        <w:t>pilnvarojumam</w:t>
      </w:r>
      <w:proofErr w:type="spellEnd"/>
      <w:r w:rsidRPr="000C7C76">
        <w:rPr>
          <w:rFonts w:ascii="Times New Roman" w:hAnsi="Times New Roman" w:cs="Times New Roman"/>
          <w:lang w:val="de-DE"/>
        </w:rPr>
        <w:t xml:space="preserve"> (</w:t>
      </w:r>
      <w:proofErr w:type="spellStart"/>
      <w:r w:rsidRPr="000C7C76">
        <w:rPr>
          <w:rFonts w:ascii="Times New Roman" w:hAnsi="Times New Roman" w:cs="Times New Roman"/>
          <w:lang w:val="de-DE"/>
        </w:rPr>
        <w:t>pārstāvības</w:t>
      </w:r>
      <w:proofErr w:type="spellEnd"/>
      <w:r w:rsidRPr="000C7C76">
        <w:rPr>
          <w:rFonts w:ascii="Times New Roman" w:hAnsi="Times New Roman" w:cs="Times New Roman"/>
          <w:lang w:val="de-DE"/>
        </w:rPr>
        <w:t xml:space="preserve"> </w:t>
      </w:r>
      <w:proofErr w:type="spellStart"/>
      <w:r w:rsidRPr="000C7C76">
        <w:rPr>
          <w:rFonts w:ascii="Times New Roman" w:hAnsi="Times New Roman" w:cs="Times New Roman"/>
          <w:lang w:val="de-DE"/>
        </w:rPr>
        <w:t>tiesībai</w:t>
      </w:r>
      <w:proofErr w:type="spellEnd"/>
      <w:r w:rsidRPr="000C7C76">
        <w:rPr>
          <w:rFonts w:ascii="Times New Roman" w:hAnsi="Times New Roman" w:cs="Times New Roman"/>
          <w:lang w:val="de-DE"/>
        </w:rPr>
        <w:t xml:space="preserve">) </w:t>
      </w:r>
      <w:proofErr w:type="spellStart"/>
      <w:r w:rsidRPr="000C7C76">
        <w:rPr>
          <w:rFonts w:ascii="Times New Roman" w:hAnsi="Times New Roman" w:cs="Times New Roman"/>
          <w:lang w:val="de-DE"/>
        </w:rPr>
        <w:t>piemēro</w:t>
      </w:r>
      <w:proofErr w:type="spellEnd"/>
      <w:r w:rsidRPr="000C7C76">
        <w:rPr>
          <w:rFonts w:ascii="Times New Roman" w:hAnsi="Times New Roman" w:cs="Times New Roman"/>
          <w:lang w:val="de-DE"/>
        </w:rPr>
        <w:t xml:space="preserve"> </w:t>
      </w:r>
      <w:proofErr w:type="spellStart"/>
      <w:r w:rsidRPr="000C7C76">
        <w:rPr>
          <w:rFonts w:ascii="Times New Roman" w:hAnsi="Times New Roman" w:cs="Times New Roman"/>
          <w:lang w:val="de-DE"/>
        </w:rPr>
        <w:t>tās</w:t>
      </w:r>
      <w:proofErr w:type="spellEnd"/>
      <w:r w:rsidRPr="000C7C76">
        <w:rPr>
          <w:rFonts w:ascii="Times New Roman" w:hAnsi="Times New Roman" w:cs="Times New Roman"/>
          <w:lang w:val="de-DE"/>
        </w:rPr>
        <w:t xml:space="preserve"> </w:t>
      </w:r>
      <w:proofErr w:type="spellStart"/>
      <w:r w:rsidRPr="000C7C76">
        <w:rPr>
          <w:rFonts w:ascii="Times New Roman" w:hAnsi="Times New Roman" w:cs="Times New Roman"/>
          <w:lang w:val="de-DE"/>
        </w:rPr>
        <w:t>valsts</w:t>
      </w:r>
      <w:proofErr w:type="spellEnd"/>
      <w:r w:rsidRPr="000C7C76">
        <w:rPr>
          <w:rFonts w:ascii="Times New Roman" w:hAnsi="Times New Roman" w:cs="Times New Roman"/>
          <w:lang w:val="de-DE"/>
        </w:rPr>
        <w:t xml:space="preserve"> </w:t>
      </w:r>
      <w:proofErr w:type="spellStart"/>
      <w:r w:rsidRPr="000C7C76">
        <w:rPr>
          <w:rFonts w:ascii="Times New Roman" w:hAnsi="Times New Roman" w:cs="Times New Roman"/>
          <w:lang w:val="de-DE"/>
        </w:rPr>
        <w:t>likumu</w:t>
      </w:r>
      <w:proofErr w:type="spellEnd"/>
      <w:r w:rsidRPr="000C7C76">
        <w:rPr>
          <w:rFonts w:ascii="Times New Roman" w:hAnsi="Times New Roman" w:cs="Times New Roman"/>
          <w:lang w:val="de-DE"/>
        </w:rPr>
        <w:t xml:space="preserve">, </w:t>
      </w:r>
      <w:proofErr w:type="spellStart"/>
      <w:r w:rsidRPr="000C7C76">
        <w:rPr>
          <w:rFonts w:ascii="Times New Roman" w:hAnsi="Times New Roman" w:cs="Times New Roman"/>
          <w:lang w:val="de-DE"/>
        </w:rPr>
        <w:t>kurā</w:t>
      </w:r>
      <w:proofErr w:type="spellEnd"/>
      <w:r w:rsidRPr="000C7C76">
        <w:rPr>
          <w:rFonts w:ascii="Times New Roman" w:hAnsi="Times New Roman" w:cs="Times New Roman"/>
          <w:lang w:val="de-DE"/>
        </w:rPr>
        <w:t xml:space="preserve"> </w:t>
      </w:r>
      <w:proofErr w:type="spellStart"/>
      <w:r w:rsidRPr="000C7C76">
        <w:rPr>
          <w:rFonts w:ascii="Times New Roman" w:hAnsi="Times New Roman" w:cs="Times New Roman"/>
          <w:lang w:val="de-DE"/>
        </w:rPr>
        <w:t>ir</w:t>
      </w:r>
      <w:proofErr w:type="spellEnd"/>
      <w:r w:rsidRPr="000C7C76">
        <w:rPr>
          <w:rFonts w:ascii="Times New Roman" w:hAnsi="Times New Roman" w:cs="Times New Roman"/>
          <w:lang w:val="de-DE"/>
        </w:rPr>
        <w:t xml:space="preserve"> </w:t>
      </w:r>
      <w:proofErr w:type="spellStart"/>
      <w:r w:rsidRPr="000C7C76">
        <w:rPr>
          <w:rFonts w:ascii="Times New Roman" w:hAnsi="Times New Roman" w:cs="Times New Roman"/>
          <w:lang w:val="de-DE"/>
        </w:rPr>
        <w:t>darba</w:t>
      </w:r>
      <w:proofErr w:type="spellEnd"/>
      <w:r w:rsidRPr="000C7C76">
        <w:rPr>
          <w:rFonts w:ascii="Times New Roman" w:hAnsi="Times New Roman" w:cs="Times New Roman"/>
          <w:lang w:val="de-DE"/>
        </w:rPr>
        <w:t xml:space="preserve"> </w:t>
      </w:r>
      <w:proofErr w:type="spellStart"/>
      <w:r w:rsidRPr="000C7C76">
        <w:rPr>
          <w:rFonts w:ascii="Times New Roman" w:hAnsi="Times New Roman" w:cs="Times New Roman"/>
          <w:lang w:val="de-DE"/>
        </w:rPr>
        <w:t>devēja</w:t>
      </w:r>
      <w:proofErr w:type="spellEnd"/>
      <w:r w:rsidRPr="000C7C76">
        <w:rPr>
          <w:rFonts w:ascii="Times New Roman" w:hAnsi="Times New Roman" w:cs="Times New Roman"/>
          <w:lang w:val="de-DE"/>
        </w:rPr>
        <w:t xml:space="preserve"> </w:t>
      </w:r>
      <w:proofErr w:type="spellStart"/>
      <w:r w:rsidRPr="000C7C76">
        <w:rPr>
          <w:rFonts w:ascii="Times New Roman" w:hAnsi="Times New Roman" w:cs="Times New Roman"/>
          <w:lang w:val="de-DE"/>
        </w:rPr>
        <w:t>uzņēmējdarbības</w:t>
      </w:r>
      <w:proofErr w:type="spellEnd"/>
      <w:r w:rsidRPr="000C7C76">
        <w:rPr>
          <w:rFonts w:ascii="Times New Roman" w:hAnsi="Times New Roman" w:cs="Times New Roman"/>
          <w:lang w:val="de-DE"/>
        </w:rPr>
        <w:t xml:space="preserve"> </w:t>
      </w:r>
      <w:proofErr w:type="spellStart"/>
      <w:r w:rsidRPr="000C7C76">
        <w:rPr>
          <w:rFonts w:ascii="Times New Roman" w:hAnsi="Times New Roman" w:cs="Times New Roman"/>
          <w:lang w:val="de-DE"/>
        </w:rPr>
        <w:t>atrašanās</w:t>
      </w:r>
      <w:proofErr w:type="spellEnd"/>
      <w:r w:rsidRPr="000C7C76">
        <w:rPr>
          <w:rFonts w:ascii="Times New Roman" w:hAnsi="Times New Roman" w:cs="Times New Roman"/>
          <w:lang w:val="de-DE"/>
        </w:rPr>
        <w:t xml:space="preserve"> </w:t>
      </w:r>
      <w:proofErr w:type="spellStart"/>
      <w:r w:rsidRPr="000C7C76">
        <w:rPr>
          <w:rFonts w:ascii="Times New Roman" w:hAnsi="Times New Roman" w:cs="Times New Roman"/>
          <w:lang w:val="de-DE"/>
        </w:rPr>
        <w:t>vieta</w:t>
      </w:r>
      <w:proofErr w:type="spellEnd"/>
      <w:r w:rsidRPr="000C7C76">
        <w:rPr>
          <w:rFonts w:ascii="Times New Roman" w:hAnsi="Times New Roman" w:cs="Times New Roman"/>
          <w:lang w:val="de-DE"/>
        </w:rPr>
        <w:t>.</w:t>
      </w:r>
    </w:p>
    <w:p w14:paraId="020C070F" w14:textId="77777777" w:rsidR="00114953" w:rsidRPr="000C7C76" w:rsidRDefault="00114953" w:rsidP="00114953">
      <w:pPr>
        <w:jc w:val="both"/>
        <w:rPr>
          <w:rFonts w:ascii="Times New Roman" w:hAnsi="Times New Roman" w:cs="Times New Roman"/>
          <w:lang w:val="de-DE"/>
        </w:rPr>
      </w:pPr>
      <w:r w:rsidRPr="000C7C76">
        <w:rPr>
          <w:rFonts w:ascii="Times New Roman" w:hAnsi="Times New Roman" w:cs="Times New Roman"/>
          <w:lang w:val="de-DE"/>
        </w:rPr>
        <w:tab/>
      </w:r>
      <w:proofErr w:type="spellStart"/>
      <w:r w:rsidRPr="000C7C76">
        <w:rPr>
          <w:rFonts w:ascii="Times New Roman" w:hAnsi="Times New Roman" w:cs="Times New Roman"/>
          <w:lang w:val="de-DE"/>
        </w:rPr>
        <w:t>Kā</w:t>
      </w:r>
      <w:proofErr w:type="spellEnd"/>
      <w:r w:rsidRPr="000C7C76">
        <w:rPr>
          <w:rFonts w:ascii="Times New Roman" w:hAnsi="Times New Roman" w:cs="Times New Roman"/>
          <w:lang w:val="de-DE"/>
        </w:rPr>
        <w:t xml:space="preserve"> </w:t>
      </w:r>
      <w:proofErr w:type="spellStart"/>
      <w:r w:rsidRPr="000C7C76">
        <w:rPr>
          <w:rFonts w:ascii="Times New Roman" w:hAnsi="Times New Roman" w:cs="Times New Roman"/>
          <w:lang w:val="de-DE"/>
        </w:rPr>
        <w:t>redzams</w:t>
      </w:r>
      <w:proofErr w:type="spellEnd"/>
      <w:r w:rsidRPr="000C7C76">
        <w:rPr>
          <w:rFonts w:ascii="Times New Roman" w:hAnsi="Times New Roman" w:cs="Times New Roman"/>
          <w:lang w:val="de-DE"/>
        </w:rPr>
        <w:t xml:space="preserve"> </w:t>
      </w:r>
      <w:proofErr w:type="spellStart"/>
      <w:r w:rsidRPr="000C7C76">
        <w:rPr>
          <w:rFonts w:ascii="Times New Roman" w:hAnsi="Times New Roman" w:cs="Times New Roman"/>
          <w:lang w:val="de-DE"/>
        </w:rPr>
        <w:t>no</w:t>
      </w:r>
      <w:proofErr w:type="spellEnd"/>
      <w:r w:rsidRPr="000C7C76">
        <w:rPr>
          <w:rFonts w:ascii="Times New Roman" w:hAnsi="Times New Roman" w:cs="Times New Roman"/>
          <w:lang w:val="de-DE"/>
        </w:rPr>
        <w:t xml:space="preserve"> </w:t>
      </w:r>
      <w:proofErr w:type="spellStart"/>
      <w:r w:rsidRPr="000C7C76">
        <w:rPr>
          <w:rFonts w:ascii="Times New Roman" w:hAnsi="Times New Roman" w:cs="Times New Roman"/>
          <w:lang w:val="de-DE"/>
        </w:rPr>
        <w:t>iepriekš</w:t>
      </w:r>
      <w:proofErr w:type="spellEnd"/>
      <w:r w:rsidRPr="000C7C76">
        <w:rPr>
          <w:rFonts w:ascii="Times New Roman" w:hAnsi="Times New Roman" w:cs="Times New Roman"/>
          <w:lang w:val="de-DE"/>
        </w:rPr>
        <w:t xml:space="preserve"> </w:t>
      </w:r>
      <w:proofErr w:type="spellStart"/>
      <w:r w:rsidRPr="000C7C76">
        <w:rPr>
          <w:rFonts w:ascii="Times New Roman" w:hAnsi="Times New Roman" w:cs="Times New Roman"/>
          <w:lang w:val="de-DE"/>
        </w:rPr>
        <w:t>minētā</w:t>
      </w:r>
      <w:proofErr w:type="spellEnd"/>
      <w:r w:rsidRPr="000C7C76">
        <w:rPr>
          <w:rFonts w:ascii="Times New Roman" w:hAnsi="Times New Roman" w:cs="Times New Roman"/>
          <w:lang w:val="de-DE"/>
        </w:rPr>
        <w:t xml:space="preserve">, </w:t>
      </w:r>
      <w:proofErr w:type="spellStart"/>
      <w:r w:rsidRPr="000C7C76">
        <w:rPr>
          <w:rFonts w:ascii="Times New Roman" w:hAnsi="Times New Roman" w:cs="Times New Roman"/>
          <w:lang w:val="de-DE"/>
        </w:rPr>
        <w:t>lielākoties</w:t>
      </w:r>
      <w:proofErr w:type="spellEnd"/>
      <w:r w:rsidRPr="000C7C76">
        <w:rPr>
          <w:rFonts w:ascii="Times New Roman" w:hAnsi="Times New Roman" w:cs="Times New Roman"/>
          <w:lang w:val="de-DE"/>
        </w:rPr>
        <w:t xml:space="preserve"> </w:t>
      </w:r>
      <w:proofErr w:type="spellStart"/>
      <w:r w:rsidRPr="000C7C76">
        <w:rPr>
          <w:rFonts w:ascii="Times New Roman" w:hAnsi="Times New Roman" w:cs="Times New Roman"/>
          <w:lang w:val="de-DE"/>
        </w:rPr>
        <w:t>pilnvarojumam</w:t>
      </w:r>
      <w:proofErr w:type="spellEnd"/>
      <w:r w:rsidRPr="000C7C76">
        <w:rPr>
          <w:rFonts w:ascii="Times New Roman" w:hAnsi="Times New Roman" w:cs="Times New Roman"/>
          <w:lang w:val="de-DE"/>
        </w:rPr>
        <w:t xml:space="preserve"> (</w:t>
      </w:r>
      <w:proofErr w:type="spellStart"/>
      <w:r w:rsidRPr="000C7C76">
        <w:rPr>
          <w:rFonts w:ascii="Times New Roman" w:hAnsi="Times New Roman" w:cs="Times New Roman"/>
          <w:lang w:val="de-DE"/>
        </w:rPr>
        <w:t>pārstāvības</w:t>
      </w:r>
      <w:proofErr w:type="spellEnd"/>
      <w:r w:rsidRPr="000C7C76">
        <w:rPr>
          <w:rFonts w:ascii="Times New Roman" w:hAnsi="Times New Roman" w:cs="Times New Roman"/>
          <w:lang w:val="de-DE"/>
        </w:rPr>
        <w:t xml:space="preserve"> </w:t>
      </w:r>
      <w:proofErr w:type="spellStart"/>
      <w:proofErr w:type="gramStart"/>
      <w:r w:rsidRPr="000C7C76">
        <w:rPr>
          <w:rFonts w:ascii="Times New Roman" w:hAnsi="Times New Roman" w:cs="Times New Roman"/>
          <w:lang w:val="de-DE"/>
        </w:rPr>
        <w:t>tiesībai</w:t>
      </w:r>
      <w:proofErr w:type="spellEnd"/>
      <w:r w:rsidRPr="000C7C76">
        <w:rPr>
          <w:rFonts w:ascii="Times New Roman" w:hAnsi="Times New Roman" w:cs="Times New Roman"/>
          <w:lang w:val="de-DE"/>
        </w:rPr>
        <w:t xml:space="preserve">)  </w:t>
      </w:r>
      <w:proofErr w:type="spellStart"/>
      <w:r w:rsidRPr="000C7C76">
        <w:rPr>
          <w:rFonts w:ascii="Times New Roman" w:hAnsi="Times New Roman" w:cs="Times New Roman"/>
          <w:lang w:val="de-DE"/>
        </w:rPr>
        <w:t>piemērojamais</w:t>
      </w:r>
      <w:proofErr w:type="spellEnd"/>
      <w:proofErr w:type="gramEnd"/>
      <w:r w:rsidRPr="000C7C76">
        <w:rPr>
          <w:rFonts w:ascii="Times New Roman" w:hAnsi="Times New Roman" w:cs="Times New Roman"/>
          <w:lang w:val="de-DE"/>
        </w:rPr>
        <w:t xml:space="preserve"> </w:t>
      </w:r>
      <w:proofErr w:type="spellStart"/>
      <w:r w:rsidRPr="000C7C76">
        <w:rPr>
          <w:rFonts w:ascii="Times New Roman" w:hAnsi="Times New Roman" w:cs="Times New Roman"/>
          <w:lang w:val="de-DE"/>
        </w:rPr>
        <w:t>likums</w:t>
      </w:r>
      <w:proofErr w:type="spellEnd"/>
      <w:r w:rsidRPr="000C7C76">
        <w:rPr>
          <w:rFonts w:ascii="Times New Roman" w:hAnsi="Times New Roman" w:cs="Times New Roman"/>
          <w:lang w:val="de-DE"/>
        </w:rPr>
        <w:t xml:space="preserve"> </w:t>
      </w:r>
      <w:proofErr w:type="spellStart"/>
      <w:r w:rsidRPr="000C7C76">
        <w:rPr>
          <w:rFonts w:ascii="Times New Roman" w:hAnsi="Times New Roman" w:cs="Times New Roman"/>
          <w:lang w:val="de-DE"/>
        </w:rPr>
        <w:t>būs</w:t>
      </w:r>
      <w:proofErr w:type="spellEnd"/>
      <w:r w:rsidRPr="000C7C76">
        <w:rPr>
          <w:rFonts w:ascii="Times New Roman" w:hAnsi="Times New Roman" w:cs="Times New Roman"/>
          <w:lang w:val="de-DE"/>
        </w:rPr>
        <w:t xml:space="preserve"> </w:t>
      </w:r>
      <w:proofErr w:type="spellStart"/>
      <w:r w:rsidRPr="000C7C76">
        <w:rPr>
          <w:rFonts w:ascii="Times New Roman" w:hAnsi="Times New Roman" w:cs="Times New Roman"/>
          <w:lang w:val="de-DE"/>
        </w:rPr>
        <w:t>tās</w:t>
      </w:r>
      <w:proofErr w:type="spellEnd"/>
      <w:r w:rsidRPr="000C7C76">
        <w:rPr>
          <w:rFonts w:ascii="Times New Roman" w:hAnsi="Times New Roman" w:cs="Times New Roman"/>
          <w:lang w:val="de-DE"/>
        </w:rPr>
        <w:t xml:space="preserve"> </w:t>
      </w:r>
      <w:proofErr w:type="spellStart"/>
      <w:r w:rsidRPr="000C7C76">
        <w:rPr>
          <w:rFonts w:ascii="Times New Roman" w:hAnsi="Times New Roman" w:cs="Times New Roman"/>
          <w:lang w:val="de-DE"/>
        </w:rPr>
        <w:t>valsts</w:t>
      </w:r>
      <w:proofErr w:type="spellEnd"/>
      <w:r w:rsidRPr="000C7C76">
        <w:rPr>
          <w:rFonts w:ascii="Times New Roman" w:hAnsi="Times New Roman" w:cs="Times New Roman"/>
          <w:lang w:val="de-DE"/>
        </w:rPr>
        <w:t xml:space="preserve"> </w:t>
      </w:r>
      <w:proofErr w:type="spellStart"/>
      <w:r w:rsidRPr="000C7C76">
        <w:rPr>
          <w:rFonts w:ascii="Times New Roman" w:hAnsi="Times New Roman" w:cs="Times New Roman"/>
          <w:lang w:val="de-DE"/>
        </w:rPr>
        <w:t>likums</w:t>
      </w:r>
      <w:proofErr w:type="spellEnd"/>
      <w:r w:rsidRPr="000C7C76">
        <w:rPr>
          <w:rFonts w:ascii="Times New Roman" w:hAnsi="Times New Roman" w:cs="Times New Roman"/>
          <w:lang w:val="de-DE"/>
        </w:rPr>
        <w:t xml:space="preserve">, </w:t>
      </w:r>
      <w:proofErr w:type="spellStart"/>
      <w:r w:rsidRPr="000C7C76">
        <w:rPr>
          <w:rFonts w:ascii="Times New Roman" w:hAnsi="Times New Roman" w:cs="Times New Roman"/>
          <w:lang w:val="de-DE"/>
        </w:rPr>
        <w:t>kurā</w:t>
      </w:r>
      <w:proofErr w:type="spellEnd"/>
      <w:r w:rsidRPr="000C7C76">
        <w:rPr>
          <w:rFonts w:ascii="Times New Roman" w:hAnsi="Times New Roman" w:cs="Times New Roman"/>
          <w:lang w:val="de-DE"/>
        </w:rPr>
        <w:t xml:space="preserve"> </w:t>
      </w:r>
      <w:proofErr w:type="spellStart"/>
      <w:r w:rsidRPr="000C7C76">
        <w:rPr>
          <w:rFonts w:ascii="Times New Roman" w:hAnsi="Times New Roman" w:cs="Times New Roman"/>
          <w:lang w:val="de-DE"/>
        </w:rPr>
        <w:t>pilnvara</w:t>
      </w:r>
      <w:proofErr w:type="spellEnd"/>
      <w:r w:rsidRPr="000C7C76">
        <w:rPr>
          <w:rFonts w:ascii="Times New Roman" w:hAnsi="Times New Roman" w:cs="Times New Roman"/>
          <w:lang w:val="de-DE"/>
        </w:rPr>
        <w:t xml:space="preserve"> </w:t>
      </w:r>
      <w:proofErr w:type="spellStart"/>
      <w:r w:rsidRPr="000C7C76">
        <w:rPr>
          <w:rFonts w:ascii="Times New Roman" w:hAnsi="Times New Roman" w:cs="Times New Roman"/>
          <w:lang w:val="de-DE"/>
        </w:rPr>
        <w:t>tiek</w:t>
      </w:r>
      <w:proofErr w:type="spellEnd"/>
      <w:r w:rsidRPr="000C7C76">
        <w:rPr>
          <w:rFonts w:ascii="Times New Roman" w:hAnsi="Times New Roman" w:cs="Times New Roman"/>
          <w:lang w:val="de-DE"/>
        </w:rPr>
        <w:t xml:space="preserve"> </w:t>
      </w:r>
      <w:proofErr w:type="spellStart"/>
      <w:r w:rsidRPr="000C7C76">
        <w:rPr>
          <w:rFonts w:ascii="Times New Roman" w:hAnsi="Times New Roman" w:cs="Times New Roman"/>
          <w:lang w:val="de-DE"/>
        </w:rPr>
        <w:t>izmantota</w:t>
      </w:r>
      <w:proofErr w:type="spellEnd"/>
      <w:r w:rsidRPr="000C7C76">
        <w:rPr>
          <w:rFonts w:ascii="Times New Roman" w:hAnsi="Times New Roman" w:cs="Times New Roman"/>
          <w:lang w:val="de-DE"/>
        </w:rPr>
        <w:t xml:space="preserve">. </w:t>
      </w:r>
      <w:proofErr w:type="spellStart"/>
      <w:r w:rsidRPr="000C7C76">
        <w:rPr>
          <w:rFonts w:ascii="Times New Roman" w:hAnsi="Times New Roman" w:cs="Times New Roman"/>
          <w:lang w:val="de-DE"/>
        </w:rPr>
        <w:t>Taču</w:t>
      </w:r>
      <w:proofErr w:type="spellEnd"/>
      <w:r w:rsidRPr="000C7C76">
        <w:rPr>
          <w:rFonts w:ascii="Times New Roman" w:hAnsi="Times New Roman" w:cs="Times New Roman"/>
          <w:lang w:val="de-DE"/>
        </w:rPr>
        <w:t xml:space="preserve"> </w:t>
      </w:r>
      <w:proofErr w:type="spellStart"/>
      <w:r w:rsidRPr="000C7C76">
        <w:rPr>
          <w:rFonts w:ascii="Times New Roman" w:hAnsi="Times New Roman" w:cs="Times New Roman"/>
          <w:lang w:val="de-DE"/>
        </w:rPr>
        <w:t>jāņem</w:t>
      </w:r>
      <w:proofErr w:type="spellEnd"/>
      <w:r w:rsidRPr="000C7C76">
        <w:rPr>
          <w:rFonts w:ascii="Times New Roman" w:hAnsi="Times New Roman" w:cs="Times New Roman"/>
          <w:lang w:val="de-DE"/>
        </w:rPr>
        <w:t xml:space="preserve"> </w:t>
      </w:r>
      <w:proofErr w:type="spellStart"/>
      <w:r w:rsidRPr="000C7C76">
        <w:rPr>
          <w:rFonts w:ascii="Times New Roman" w:hAnsi="Times New Roman" w:cs="Times New Roman"/>
          <w:lang w:val="de-DE"/>
        </w:rPr>
        <w:t>vērā</w:t>
      </w:r>
      <w:proofErr w:type="spellEnd"/>
      <w:r w:rsidRPr="000C7C76">
        <w:rPr>
          <w:rFonts w:ascii="Times New Roman" w:hAnsi="Times New Roman" w:cs="Times New Roman"/>
          <w:lang w:val="de-DE"/>
        </w:rPr>
        <w:t xml:space="preserve"> </w:t>
      </w:r>
      <w:proofErr w:type="spellStart"/>
      <w:r w:rsidRPr="000C7C76">
        <w:rPr>
          <w:rFonts w:ascii="Times New Roman" w:hAnsi="Times New Roman" w:cs="Times New Roman"/>
          <w:lang w:val="de-DE"/>
        </w:rPr>
        <w:t>izņēmums</w:t>
      </w:r>
      <w:proofErr w:type="spellEnd"/>
      <w:r w:rsidRPr="000C7C76">
        <w:rPr>
          <w:rFonts w:ascii="Times New Roman" w:hAnsi="Times New Roman" w:cs="Times New Roman"/>
          <w:lang w:val="de-DE"/>
        </w:rPr>
        <w:t xml:space="preserve"> </w:t>
      </w:r>
      <w:proofErr w:type="spellStart"/>
      <w:r w:rsidRPr="000C7C76">
        <w:rPr>
          <w:rFonts w:ascii="Times New Roman" w:hAnsi="Times New Roman" w:cs="Times New Roman"/>
          <w:lang w:val="de-DE"/>
        </w:rPr>
        <w:t>attiecībā</w:t>
      </w:r>
      <w:proofErr w:type="spellEnd"/>
      <w:r w:rsidRPr="000C7C76">
        <w:rPr>
          <w:rFonts w:ascii="Times New Roman" w:hAnsi="Times New Roman" w:cs="Times New Roman"/>
          <w:lang w:val="de-DE"/>
        </w:rPr>
        <w:t xml:space="preserve"> </w:t>
      </w:r>
      <w:proofErr w:type="spellStart"/>
      <w:r w:rsidRPr="000C7C76">
        <w:rPr>
          <w:rFonts w:ascii="Times New Roman" w:hAnsi="Times New Roman" w:cs="Times New Roman"/>
          <w:lang w:val="de-DE"/>
        </w:rPr>
        <w:t>uz</w:t>
      </w:r>
      <w:proofErr w:type="spellEnd"/>
      <w:r w:rsidRPr="000C7C76">
        <w:rPr>
          <w:rFonts w:ascii="Times New Roman" w:hAnsi="Times New Roman" w:cs="Times New Roman"/>
          <w:lang w:val="de-DE"/>
        </w:rPr>
        <w:t xml:space="preserve"> </w:t>
      </w:r>
      <w:proofErr w:type="spellStart"/>
      <w:r w:rsidRPr="000C7C76">
        <w:rPr>
          <w:rFonts w:ascii="Times New Roman" w:hAnsi="Times New Roman" w:cs="Times New Roman"/>
          <w:lang w:val="de-DE"/>
        </w:rPr>
        <w:t>darbībām</w:t>
      </w:r>
      <w:proofErr w:type="spellEnd"/>
      <w:r w:rsidRPr="000C7C76">
        <w:rPr>
          <w:rFonts w:ascii="Times New Roman" w:hAnsi="Times New Roman" w:cs="Times New Roman"/>
          <w:lang w:val="de-DE"/>
        </w:rPr>
        <w:t xml:space="preserve"> </w:t>
      </w:r>
      <w:proofErr w:type="spellStart"/>
      <w:r w:rsidRPr="000C7C76">
        <w:rPr>
          <w:rFonts w:ascii="Times New Roman" w:hAnsi="Times New Roman" w:cs="Times New Roman"/>
          <w:lang w:val="de-DE"/>
        </w:rPr>
        <w:t>ar</w:t>
      </w:r>
      <w:proofErr w:type="spellEnd"/>
      <w:r w:rsidRPr="000C7C76">
        <w:rPr>
          <w:rFonts w:ascii="Times New Roman" w:hAnsi="Times New Roman" w:cs="Times New Roman"/>
          <w:lang w:val="de-DE"/>
        </w:rPr>
        <w:t xml:space="preserve"> </w:t>
      </w:r>
      <w:proofErr w:type="spellStart"/>
      <w:r w:rsidRPr="000C7C76">
        <w:rPr>
          <w:rFonts w:ascii="Times New Roman" w:hAnsi="Times New Roman" w:cs="Times New Roman"/>
          <w:lang w:val="de-DE"/>
        </w:rPr>
        <w:t>nekustamajiem</w:t>
      </w:r>
      <w:proofErr w:type="spellEnd"/>
      <w:r w:rsidRPr="000C7C76">
        <w:rPr>
          <w:rFonts w:ascii="Times New Roman" w:hAnsi="Times New Roman" w:cs="Times New Roman"/>
          <w:lang w:val="de-DE"/>
        </w:rPr>
        <w:t xml:space="preserve"> </w:t>
      </w:r>
      <w:proofErr w:type="spellStart"/>
      <w:r w:rsidRPr="000C7C76">
        <w:rPr>
          <w:rFonts w:ascii="Times New Roman" w:hAnsi="Times New Roman" w:cs="Times New Roman"/>
          <w:lang w:val="de-DE"/>
        </w:rPr>
        <w:t>īpašumiem</w:t>
      </w:r>
      <w:proofErr w:type="spellEnd"/>
      <w:r w:rsidRPr="000C7C76">
        <w:rPr>
          <w:rFonts w:ascii="Times New Roman" w:hAnsi="Times New Roman" w:cs="Times New Roman"/>
          <w:lang w:val="de-DE"/>
        </w:rPr>
        <w:t xml:space="preserve"> – </w:t>
      </w:r>
      <w:proofErr w:type="spellStart"/>
      <w:r w:rsidRPr="000C7C76">
        <w:rPr>
          <w:rFonts w:ascii="Times New Roman" w:hAnsi="Times New Roman" w:cs="Times New Roman"/>
          <w:lang w:val="de-DE"/>
        </w:rPr>
        <w:t>tur</w:t>
      </w:r>
      <w:proofErr w:type="spellEnd"/>
      <w:r w:rsidRPr="000C7C76">
        <w:rPr>
          <w:rFonts w:ascii="Times New Roman" w:hAnsi="Times New Roman" w:cs="Times New Roman"/>
          <w:lang w:val="de-DE"/>
        </w:rPr>
        <w:t xml:space="preserve"> </w:t>
      </w:r>
      <w:proofErr w:type="spellStart"/>
      <w:r w:rsidRPr="000C7C76">
        <w:rPr>
          <w:rFonts w:ascii="Times New Roman" w:hAnsi="Times New Roman" w:cs="Times New Roman"/>
          <w:lang w:val="de-DE"/>
        </w:rPr>
        <w:t>vienmēr</w:t>
      </w:r>
      <w:proofErr w:type="spellEnd"/>
      <w:r w:rsidRPr="000C7C76">
        <w:rPr>
          <w:rFonts w:ascii="Times New Roman" w:hAnsi="Times New Roman" w:cs="Times New Roman"/>
          <w:lang w:val="de-DE"/>
        </w:rPr>
        <w:t xml:space="preserve"> </w:t>
      </w:r>
      <w:proofErr w:type="spellStart"/>
      <w:r w:rsidRPr="000C7C76">
        <w:rPr>
          <w:rFonts w:ascii="Times New Roman" w:hAnsi="Times New Roman" w:cs="Times New Roman"/>
          <w:lang w:val="de-DE"/>
        </w:rPr>
        <w:t>būs</w:t>
      </w:r>
      <w:proofErr w:type="spellEnd"/>
      <w:r w:rsidRPr="000C7C76">
        <w:rPr>
          <w:rFonts w:ascii="Times New Roman" w:hAnsi="Times New Roman" w:cs="Times New Roman"/>
          <w:lang w:val="de-DE"/>
        </w:rPr>
        <w:t xml:space="preserve"> </w:t>
      </w:r>
      <w:proofErr w:type="spellStart"/>
      <w:r w:rsidRPr="000C7C76">
        <w:rPr>
          <w:rFonts w:ascii="Times New Roman" w:hAnsi="Times New Roman" w:cs="Times New Roman"/>
          <w:lang w:val="de-DE"/>
        </w:rPr>
        <w:t>piemērojams</w:t>
      </w:r>
      <w:proofErr w:type="spellEnd"/>
      <w:r w:rsidRPr="000C7C76">
        <w:rPr>
          <w:rFonts w:ascii="Times New Roman" w:hAnsi="Times New Roman" w:cs="Times New Roman"/>
          <w:lang w:val="de-DE"/>
        </w:rPr>
        <w:t xml:space="preserve"> </w:t>
      </w:r>
      <w:proofErr w:type="spellStart"/>
      <w:r w:rsidRPr="000C7C76">
        <w:rPr>
          <w:rFonts w:ascii="Times New Roman" w:hAnsi="Times New Roman" w:cs="Times New Roman"/>
          <w:i/>
          <w:lang w:val="de-DE"/>
        </w:rPr>
        <w:t>lex</w:t>
      </w:r>
      <w:proofErr w:type="spellEnd"/>
      <w:r w:rsidRPr="000C7C76">
        <w:rPr>
          <w:rFonts w:ascii="Times New Roman" w:hAnsi="Times New Roman" w:cs="Times New Roman"/>
          <w:i/>
          <w:lang w:val="de-DE"/>
        </w:rPr>
        <w:t xml:space="preserve"> </w:t>
      </w:r>
      <w:proofErr w:type="spellStart"/>
      <w:r w:rsidRPr="000C7C76">
        <w:rPr>
          <w:rFonts w:ascii="Times New Roman" w:hAnsi="Times New Roman" w:cs="Times New Roman"/>
          <w:i/>
          <w:lang w:val="de-DE"/>
        </w:rPr>
        <w:t>rei</w:t>
      </w:r>
      <w:proofErr w:type="spellEnd"/>
      <w:r w:rsidRPr="000C7C76">
        <w:rPr>
          <w:rFonts w:ascii="Times New Roman" w:hAnsi="Times New Roman" w:cs="Times New Roman"/>
          <w:i/>
          <w:lang w:val="de-DE"/>
        </w:rPr>
        <w:t xml:space="preserve"> </w:t>
      </w:r>
      <w:proofErr w:type="spellStart"/>
      <w:r w:rsidRPr="000C7C76">
        <w:rPr>
          <w:rFonts w:ascii="Times New Roman" w:hAnsi="Times New Roman" w:cs="Times New Roman"/>
          <w:i/>
          <w:lang w:val="de-DE"/>
        </w:rPr>
        <w:t>sitae</w:t>
      </w:r>
      <w:proofErr w:type="spellEnd"/>
      <w:r w:rsidRPr="000C7C76">
        <w:rPr>
          <w:rFonts w:ascii="Times New Roman" w:hAnsi="Times New Roman" w:cs="Times New Roman"/>
          <w:lang w:val="de-DE"/>
        </w:rPr>
        <w:t xml:space="preserve"> (</w:t>
      </w:r>
      <w:proofErr w:type="spellStart"/>
      <w:r w:rsidRPr="000C7C76">
        <w:rPr>
          <w:rFonts w:ascii="Times New Roman" w:hAnsi="Times New Roman" w:cs="Times New Roman"/>
          <w:lang w:val="de-DE"/>
        </w:rPr>
        <w:t>turklāt</w:t>
      </w:r>
      <w:proofErr w:type="spellEnd"/>
      <w:r w:rsidRPr="000C7C76">
        <w:rPr>
          <w:rFonts w:ascii="Times New Roman" w:hAnsi="Times New Roman" w:cs="Times New Roman"/>
          <w:lang w:val="de-DE"/>
        </w:rPr>
        <w:t xml:space="preserve"> – </w:t>
      </w:r>
      <w:proofErr w:type="spellStart"/>
      <w:r w:rsidRPr="000C7C76">
        <w:rPr>
          <w:rFonts w:ascii="Times New Roman" w:hAnsi="Times New Roman" w:cs="Times New Roman"/>
          <w:lang w:val="de-DE"/>
        </w:rPr>
        <w:t>gan</w:t>
      </w:r>
      <w:proofErr w:type="spellEnd"/>
      <w:r w:rsidRPr="000C7C76">
        <w:rPr>
          <w:rFonts w:ascii="Times New Roman" w:hAnsi="Times New Roman" w:cs="Times New Roman"/>
          <w:lang w:val="de-DE"/>
        </w:rPr>
        <w:t xml:space="preserve"> </w:t>
      </w:r>
      <w:proofErr w:type="spellStart"/>
      <w:r w:rsidRPr="000C7C76">
        <w:rPr>
          <w:rFonts w:ascii="Times New Roman" w:hAnsi="Times New Roman" w:cs="Times New Roman"/>
          <w:lang w:val="de-DE"/>
        </w:rPr>
        <w:t>pilnvarojuma</w:t>
      </w:r>
      <w:proofErr w:type="spellEnd"/>
      <w:r w:rsidRPr="000C7C76">
        <w:rPr>
          <w:rFonts w:ascii="Times New Roman" w:hAnsi="Times New Roman" w:cs="Times New Roman"/>
          <w:lang w:val="de-DE"/>
        </w:rPr>
        <w:t>/</w:t>
      </w:r>
      <w:proofErr w:type="spellStart"/>
      <w:r w:rsidRPr="000C7C76">
        <w:rPr>
          <w:rFonts w:ascii="Times New Roman" w:hAnsi="Times New Roman" w:cs="Times New Roman"/>
          <w:lang w:val="de-DE"/>
        </w:rPr>
        <w:t>pilnvaras</w:t>
      </w:r>
      <w:proofErr w:type="spellEnd"/>
      <w:r w:rsidRPr="000C7C76">
        <w:rPr>
          <w:rFonts w:ascii="Times New Roman" w:hAnsi="Times New Roman" w:cs="Times New Roman"/>
          <w:lang w:val="de-DE"/>
        </w:rPr>
        <w:t xml:space="preserve"> </w:t>
      </w:r>
      <w:proofErr w:type="spellStart"/>
      <w:r w:rsidRPr="000C7C76">
        <w:rPr>
          <w:rFonts w:ascii="Times New Roman" w:hAnsi="Times New Roman" w:cs="Times New Roman"/>
          <w:lang w:val="de-DE"/>
        </w:rPr>
        <w:t>saturam</w:t>
      </w:r>
      <w:proofErr w:type="spellEnd"/>
      <w:r w:rsidRPr="000C7C76">
        <w:rPr>
          <w:rFonts w:ascii="Times New Roman" w:hAnsi="Times New Roman" w:cs="Times New Roman"/>
          <w:lang w:val="de-DE"/>
        </w:rPr>
        <w:t xml:space="preserve">, </w:t>
      </w:r>
      <w:proofErr w:type="spellStart"/>
      <w:r w:rsidRPr="000C7C76">
        <w:rPr>
          <w:rFonts w:ascii="Times New Roman" w:hAnsi="Times New Roman" w:cs="Times New Roman"/>
          <w:lang w:val="de-DE"/>
        </w:rPr>
        <w:t>gan</w:t>
      </w:r>
      <w:proofErr w:type="spellEnd"/>
      <w:r w:rsidRPr="000C7C76">
        <w:rPr>
          <w:rFonts w:ascii="Times New Roman" w:hAnsi="Times New Roman" w:cs="Times New Roman"/>
          <w:lang w:val="de-DE"/>
        </w:rPr>
        <w:t xml:space="preserve"> </w:t>
      </w:r>
      <w:proofErr w:type="spellStart"/>
      <w:r w:rsidRPr="000C7C76">
        <w:rPr>
          <w:rFonts w:ascii="Times New Roman" w:hAnsi="Times New Roman" w:cs="Times New Roman"/>
          <w:lang w:val="de-DE"/>
        </w:rPr>
        <w:t>formai</w:t>
      </w:r>
      <w:proofErr w:type="spellEnd"/>
      <w:r w:rsidRPr="000C7C76">
        <w:rPr>
          <w:rFonts w:ascii="Times New Roman" w:hAnsi="Times New Roman" w:cs="Times New Roman"/>
          <w:lang w:val="de-DE"/>
        </w:rPr>
        <w:t>).</w:t>
      </w:r>
    </w:p>
    <w:p w14:paraId="2277808D" w14:textId="77777777" w:rsidR="00114953" w:rsidRDefault="00114953" w:rsidP="00114953">
      <w:pPr>
        <w:jc w:val="both"/>
        <w:rPr>
          <w:rFonts w:ascii="Times New Roman" w:hAnsi="Times New Roman" w:cs="Times New Roman"/>
        </w:rPr>
      </w:pPr>
      <w:r w:rsidRPr="000C7C76">
        <w:rPr>
          <w:rFonts w:ascii="Times New Roman" w:hAnsi="Times New Roman" w:cs="Times New Roman"/>
          <w:lang w:val="de-DE"/>
        </w:rPr>
        <w:lastRenderedPageBreak/>
        <w:tab/>
      </w:r>
      <w:proofErr w:type="spellStart"/>
      <w:r w:rsidRPr="000C7C76">
        <w:rPr>
          <w:rFonts w:ascii="Times New Roman" w:hAnsi="Times New Roman" w:cs="Times New Roman"/>
          <w:lang w:val="de-DE"/>
        </w:rPr>
        <w:t>Latvijā</w:t>
      </w:r>
      <w:proofErr w:type="spellEnd"/>
      <w:r w:rsidRPr="000C7C76">
        <w:rPr>
          <w:rFonts w:ascii="Times New Roman" w:hAnsi="Times New Roman" w:cs="Times New Roman"/>
          <w:lang w:val="de-DE"/>
        </w:rPr>
        <w:t xml:space="preserve"> </w:t>
      </w:r>
      <w:proofErr w:type="spellStart"/>
      <w:r w:rsidRPr="000C7C76">
        <w:rPr>
          <w:rFonts w:ascii="Times New Roman" w:hAnsi="Times New Roman" w:cs="Times New Roman"/>
          <w:lang w:val="de-DE"/>
        </w:rPr>
        <w:t>pilnvarojuma</w:t>
      </w:r>
      <w:proofErr w:type="spellEnd"/>
      <w:r w:rsidRPr="000C7C76">
        <w:rPr>
          <w:rFonts w:ascii="Times New Roman" w:hAnsi="Times New Roman" w:cs="Times New Roman"/>
          <w:lang w:val="de-DE"/>
        </w:rPr>
        <w:t>/</w:t>
      </w:r>
      <w:proofErr w:type="spellStart"/>
      <w:r w:rsidRPr="000C7C76">
        <w:rPr>
          <w:rFonts w:ascii="Times New Roman" w:hAnsi="Times New Roman" w:cs="Times New Roman"/>
          <w:lang w:val="de-DE"/>
        </w:rPr>
        <w:t>pilnvaras</w:t>
      </w:r>
      <w:proofErr w:type="spellEnd"/>
      <w:r w:rsidRPr="000C7C76">
        <w:rPr>
          <w:rFonts w:ascii="Times New Roman" w:hAnsi="Times New Roman" w:cs="Times New Roman"/>
          <w:lang w:val="de-DE"/>
        </w:rPr>
        <w:t xml:space="preserve"> </w:t>
      </w:r>
      <w:proofErr w:type="spellStart"/>
      <w:r w:rsidRPr="000C7C76">
        <w:rPr>
          <w:rFonts w:ascii="Times New Roman" w:hAnsi="Times New Roman" w:cs="Times New Roman"/>
          <w:lang w:val="de-DE"/>
        </w:rPr>
        <w:t>formas</w:t>
      </w:r>
      <w:proofErr w:type="spellEnd"/>
      <w:r w:rsidRPr="000C7C76">
        <w:rPr>
          <w:rFonts w:ascii="Times New Roman" w:hAnsi="Times New Roman" w:cs="Times New Roman"/>
          <w:lang w:val="de-DE"/>
        </w:rPr>
        <w:t xml:space="preserve"> </w:t>
      </w:r>
      <w:proofErr w:type="spellStart"/>
      <w:r w:rsidRPr="000C7C76">
        <w:rPr>
          <w:rFonts w:ascii="Times New Roman" w:hAnsi="Times New Roman" w:cs="Times New Roman"/>
          <w:lang w:val="de-DE"/>
        </w:rPr>
        <w:t>prasības</w:t>
      </w:r>
      <w:proofErr w:type="spellEnd"/>
      <w:r w:rsidRPr="000C7C76">
        <w:rPr>
          <w:rFonts w:ascii="Times New Roman" w:hAnsi="Times New Roman" w:cs="Times New Roman"/>
          <w:lang w:val="de-DE"/>
        </w:rPr>
        <w:t xml:space="preserve"> </w:t>
      </w:r>
      <w:proofErr w:type="spellStart"/>
      <w:r w:rsidRPr="000C7C76">
        <w:rPr>
          <w:rFonts w:ascii="Times New Roman" w:hAnsi="Times New Roman" w:cs="Times New Roman"/>
          <w:lang w:val="de-DE"/>
        </w:rPr>
        <w:t>būs</w:t>
      </w:r>
      <w:proofErr w:type="spellEnd"/>
      <w:r w:rsidRPr="000C7C76">
        <w:rPr>
          <w:rFonts w:ascii="Times New Roman" w:hAnsi="Times New Roman" w:cs="Times New Roman"/>
          <w:lang w:val="de-DE"/>
        </w:rPr>
        <w:t xml:space="preserve"> </w:t>
      </w:r>
      <w:proofErr w:type="spellStart"/>
      <w:r w:rsidRPr="000C7C76">
        <w:rPr>
          <w:rFonts w:ascii="Times New Roman" w:hAnsi="Times New Roman" w:cs="Times New Roman"/>
          <w:lang w:val="de-DE"/>
        </w:rPr>
        <w:t>nosakāmas</w:t>
      </w:r>
      <w:proofErr w:type="spellEnd"/>
      <w:r w:rsidRPr="000C7C76">
        <w:rPr>
          <w:rFonts w:ascii="Times New Roman" w:hAnsi="Times New Roman" w:cs="Times New Roman"/>
          <w:lang w:val="de-DE"/>
        </w:rPr>
        <w:t xml:space="preserve"> </w:t>
      </w:r>
      <w:proofErr w:type="spellStart"/>
      <w:r w:rsidRPr="000C7C76">
        <w:rPr>
          <w:rFonts w:ascii="Times New Roman" w:hAnsi="Times New Roman" w:cs="Times New Roman"/>
          <w:lang w:val="de-DE"/>
        </w:rPr>
        <w:t>saskaņā</w:t>
      </w:r>
      <w:proofErr w:type="spellEnd"/>
      <w:r w:rsidRPr="000C7C76">
        <w:rPr>
          <w:rFonts w:ascii="Times New Roman" w:hAnsi="Times New Roman" w:cs="Times New Roman"/>
          <w:lang w:val="de-DE"/>
        </w:rPr>
        <w:t xml:space="preserve"> </w:t>
      </w:r>
      <w:proofErr w:type="spellStart"/>
      <w:r w:rsidRPr="000C7C76">
        <w:rPr>
          <w:rFonts w:ascii="Times New Roman" w:hAnsi="Times New Roman" w:cs="Times New Roman"/>
          <w:lang w:val="de-DE"/>
        </w:rPr>
        <w:t>ar</w:t>
      </w:r>
      <w:proofErr w:type="spellEnd"/>
      <w:r w:rsidRPr="000C7C76">
        <w:rPr>
          <w:rFonts w:ascii="Times New Roman" w:hAnsi="Times New Roman" w:cs="Times New Roman"/>
          <w:lang w:val="de-DE"/>
        </w:rPr>
        <w:t xml:space="preserve"> CL </w:t>
      </w:r>
      <w:proofErr w:type="spellStart"/>
      <w:r w:rsidRPr="000C7C76">
        <w:rPr>
          <w:rFonts w:ascii="Times New Roman" w:hAnsi="Times New Roman" w:cs="Times New Roman"/>
          <w:lang w:val="de-DE"/>
        </w:rPr>
        <w:t>Ievada</w:t>
      </w:r>
      <w:proofErr w:type="spellEnd"/>
      <w:r w:rsidRPr="000C7C76">
        <w:rPr>
          <w:rFonts w:ascii="Times New Roman" w:hAnsi="Times New Roman" w:cs="Times New Roman"/>
          <w:lang w:val="de-DE"/>
        </w:rPr>
        <w:t xml:space="preserve"> 21.pantu – </w:t>
      </w:r>
      <w:proofErr w:type="spellStart"/>
      <w:r w:rsidRPr="000C7C76">
        <w:rPr>
          <w:rFonts w:ascii="Times New Roman" w:hAnsi="Times New Roman" w:cs="Times New Roman"/>
          <w:lang w:val="de-DE"/>
        </w:rPr>
        <w:t>piemērojot</w:t>
      </w:r>
      <w:proofErr w:type="spellEnd"/>
      <w:r w:rsidRPr="000C7C76">
        <w:rPr>
          <w:rFonts w:ascii="Times New Roman" w:hAnsi="Times New Roman" w:cs="Times New Roman"/>
          <w:lang w:val="de-DE"/>
        </w:rPr>
        <w:t xml:space="preserve"> </w:t>
      </w:r>
      <w:proofErr w:type="spellStart"/>
      <w:r w:rsidRPr="000C7C76">
        <w:rPr>
          <w:rFonts w:ascii="Times New Roman" w:hAnsi="Times New Roman" w:cs="Times New Roman"/>
          <w:lang w:val="de-DE"/>
        </w:rPr>
        <w:t>pilnvaras</w:t>
      </w:r>
      <w:proofErr w:type="spellEnd"/>
      <w:r w:rsidRPr="000C7C76">
        <w:rPr>
          <w:rFonts w:ascii="Times New Roman" w:hAnsi="Times New Roman" w:cs="Times New Roman"/>
          <w:lang w:val="de-DE"/>
        </w:rPr>
        <w:t xml:space="preserve"> </w:t>
      </w:r>
      <w:proofErr w:type="spellStart"/>
      <w:r w:rsidRPr="000C7C76">
        <w:rPr>
          <w:rFonts w:ascii="Times New Roman" w:hAnsi="Times New Roman" w:cs="Times New Roman"/>
          <w:lang w:val="de-DE"/>
        </w:rPr>
        <w:t>izdošanas</w:t>
      </w:r>
      <w:proofErr w:type="spellEnd"/>
      <w:r w:rsidRPr="000C7C76">
        <w:rPr>
          <w:rFonts w:ascii="Times New Roman" w:hAnsi="Times New Roman" w:cs="Times New Roman"/>
          <w:lang w:val="de-DE"/>
        </w:rPr>
        <w:t xml:space="preserve"> </w:t>
      </w:r>
      <w:proofErr w:type="spellStart"/>
      <w:r w:rsidRPr="000C7C76">
        <w:rPr>
          <w:rFonts w:ascii="Times New Roman" w:hAnsi="Times New Roman" w:cs="Times New Roman"/>
          <w:lang w:val="de-DE"/>
        </w:rPr>
        <w:t>vietas</w:t>
      </w:r>
      <w:proofErr w:type="spellEnd"/>
      <w:r w:rsidRPr="000C7C76">
        <w:rPr>
          <w:rFonts w:ascii="Times New Roman" w:hAnsi="Times New Roman" w:cs="Times New Roman"/>
          <w:lang w:val="de-DE"/>
        </w:rPr>
        <w:t xml:space="preserve"> </w:t>
      </w:r>
      <w:proofErr w:type="spellStart"/>
      <w:r w:rsidRPr="000C7C76">
        <w:rPr>
          <w:rFonts w:ascii="Times New Roman" w:hAnsi="Times New Roman" w:cs="Times New Roman"/>
          <w:lang w:val="de-DE"/>
        </w:rPr>
        <w:t>valsts</w:t>
      </w:r>
      <w:proofErr w:type="spellEnd"/>
      <w:r w:rsidRPr="000C7C76">
        <w:rPr>
          <w:rFonts w:ascii="Times New Roman" w:hAnsi="Times New Roman" w:cs="Times New Roman"/>
          <w:lang w:val="de-DE"/>
        </w:rPr>
        <w:t xml:space="preserve"> </w:t>
      </w:r>
      <w:proofErr w:type="spellStart"/>
      <w:r w:rsidRPr="000C7C76">
        <w:rPr>
          <w:rFonts w:ascii="Times New Roman" w:hAnsi="Times New Roman" w:cs="Times New Roman"/>
          <w:lang w:val="de-DE"/>
        </w:rPr>
        <w:t>likumu</w:t>
      </w:r>
      <w:proofErr w:type="spellEnd"/>
      <w:r w:rsidRPr="000C7C76">
        <w:rPr>
          <w:rFonts w:ascii="Times New Roman" w:hAnsi="Times New Roman" w:cs="Times New Roman"/>
          <w:lang w:val="de-DE"/>
        </w:rPr>
        <w:t xml:space="preserve"> </w:t>
      </w:r>
      <w:proofErr w:type="spellStart"/>
      <w:r w:rsidRPr="000C7C76">
        <w:rPr>
          <w:rFonts w:ascii="Times New Roman" w:hAnsi="Times New Roman" w:cs="Times New Roman"/>
          <w:lang w:val="de-DE"/>
        </w:rPr>
        <w:t>vai</w:t>
      </w:r>
      <w:proofErr w:type="spellEnd"/>
      <w:r w:rsidRPr="000C7C76">
        <w:rPr>
          <w:rFonts w:ascii="Times New Roman" w:hAnsi="Times New Roman" w:cs="Times New Roman"/>
          <w:lang w:val="de-DE"/>
        </w:rPr>
        <w:t xml:space="preserve"> </w:t>
      </w:r>
      <w:proofErr w:type="spellStart"/>
      <w:r w:rsidRPr="000C7C76">
        <w:rPr>
          <w:rFonts w:ascii="Times New Roman" w:hAnsi="Times New Roman" w:cs="Times New Roman"/>
          <w:lang w:val="de-DE"/>
        </w:rPr>
        <w:t>pilnvaras</w:t>
      </w:r>
      <w:proofErr w:type="spellEnd"/>
      <w:r w:rsidRPr="000C7C76">
        <w:rPr>
          <w:rFonts w:ascii="Times New Roman" w:hAnsi="Times New Roman" w:cs="Times New Roman"/>
          <w:lang w:val="de-DE"/>
        </w:rPr>
        <w:t xml:space="preserve"> </w:t>
      </w:r>
      <w:proofErr w:type="spellStart"/>
      <w:r w:rsidRPr="000C7C76">
        <w:rPr>
          <w:rFonts w:ascii="Times New Roman" w:hAnsi="Times New Roman" w:cs="Times New Roman"/>
          <w:lang w:val="de-DE"/>
        </w:rPr>
        <w:t>izmantošanas</w:t>
      </w:r>
      <w:proofErr w:type="spellEnd"/>
      <w:r w:rsidRPr="000C7C76">
        <w:rPr>
          <w:rFonts w:ascii="Times New Roman" w:hAnsi="Times New Roman" w:cs="Times New Roman"/>
          <w:lang w:val="de-DE"/>
        </w:rPr>
        <w:t xml:space="preserve"> </w:t>
      </w:r>
      <w:proofErr w:type="spellStart"/>
      <w:r w:rsidRPr="000C7C76">
        <w:rPr>
          <w:rFonts w:ascii="Times New Roman" w:hAnsi="Times New Roman" w:cs="Times New Roman"/>
          <w:lang w:val="de-DE"/>
        </w:rPr>
        <w:t>vietas</w:t>
      </w:r>
      <w:proofErr w:type="spellEnd"/>
      <w:r w:rsidRPr="000C7C76">
        <w:rPr>
          <w:rFonts w:ascii="Times New Roman" w:hAnsi="Times New Roman" w:cs="Times New Roman"/>
          <w:lang w:val="de-DE"/>
        </w:rPr>
        <w:t xml:space="preserve"> </w:t>
      </w:r>
      <w:proofErr w:type="spellStart"/>
      <w:r w:rsidRPr="000C7C76">
        <w:rPr>
          <w:rFonts w:ascii="Times New Roman" w:hAnsi="Times New Roman" w:cs="Times New Roman"/>
          <w:lang w:val="de-DE"/>
        </w:rPr>
        <w:t>valsts</w:t>
      </w:r>
      <w:proofErr w:type="spellEnd"/>
      <w:r w:rsidRPr="000C7C76">
        <w:rPr>
          <w:rFonts w:ascii="Times New Roman" w:hAnsi="Times New Roman" w:cs="Times New Roman"/>
          <w:lang w:val="de-DE"/>
        </w:rPr>
        <w:t xml:space="preserve"> </w:t>
      </w:r>
      <w:proofErr w:type="spellStart"/>
      <w:r w:rsidRPr="000C7C76">
        <w:rPr>
          <w:rFonts w:ascii="Times New Roman" w:hAnsi="Times New Roman" w:cs="Times New Roman"/>
          <w:lang w:val="de-DE"/>
        </w:rPr>
        <w:t>likumu</w:t>
      </w:r>
      <w:proofErr w:type="spellEnd"/>
      <w:r w:rsidRPr="000C7C76">
        <w:rPr>
          <w:rFonts w:ascii="Times New Roman" w:hAnsi="Times New Roman" w:cs="Times New Roman"/>
          <w:lang w:val="de-DE"/>
        </w:rPr>
        <w:t xml:space="preserve">. Ja </w:t>
      </w:r>
      <w:proofErr w:type="spellStart"/>
      <w:r w:rsidRPr="000C7C76">
        <w:rPr>
          <w:rFonts w:ascii="Times New Roman" w:hAnsi="Times New Roman" w:cs="Times New Roman"/>
          <w:lang w:val="de-DE"/>
        </w:rPr>
        <w:t>pilnvarojums</w:t>
      </w:r>
      <w:proofErr w:type="spellEnd"/>
      <w:r w:rsidRPr="000C7C76">
        <w:rPr>
          <w:rFonts w:ascii="Times New Roman" w:hAnsi="Times New Roman" w:cs="Times New Roman"/>
          <w:lang w:val="de-DE"/>
        </w:rPr>
        <w:t xml:space="preserve"> </w:t>
      </w:r>
      <w:proofErr w:type="spellStart"/>
      <w:r w:rsidRPr="000C7C76">
        <w:rPr>
          <w:rFonts w:ascii="Times New Roman" w:hAnsi="Times New Roman" w:cs="Times New Roman"/>
          <w:lang w:val="de-DE"/>
        </w:rPr>
        <w:t>ietver</w:t>
      </w:r>
      <w:proofErr w:type="spellEnd"/>
      <w:r w:rsidRPr="000C7C76">
        <w:rPr>
          <w:rFonts w:ascii="Times New Roman" w:hAnsi="Times New Roman" w:cs="Times New Roman"/>
          <w:lang w:val="de-DE"/>
        </w:rPr>
        <w:t xml:space="preserve"> </w:t>
      </w:r>
      <w:proofErr w:type="spellStart"/>
      <w:r w:rsidRPr="000C7C76">
        <w:rPr>
          <w:rFonts w:ascii="Times New Roman" w:hAnsi="Times New Roman" w:cs="Times New Roman"/>
          <w:lang w:val="de-DE"/>
        </w:rPr>
        <w:t>darbības</w:t>
      </w:r>
      <w:proofErr w:type="spellEnd"/>
      <w:r w:rsidRPr="000C7C76">
        <w:rPr>
          <w:rFonts w:ascii="Times New Roman" w:hAnsi="Times New Roman" w:cs="Times New Roman"/>
          <w:lang w:val="de-DE"/>
        </w:rPr>
        <w:t xml:space="preserve"> </w:t>
      </w:r>
      <w:proofErr w:type="spellStart"/>
      <w:r w:rsidRPr="000C7C76">
        <w:rPr>
          <w:rFonts w:ascii="Times New Roman" w:hAnsi="Times New Roman" w:cs="Times New Roman"/>
          <w:lang w:val="de-DE"/>
        </w:rPr>
        <w:t>ar</w:t>
      </w:r>
      <w:proofErr w:type="spellEnd"/>
      <w:r w:rsidRPr="000C7C76">
        <w:rPr>
          <w:rFonts w:ascii="Times New Roman" w:hAnsi="Times New Roman" w:cs="Times New Roman"/>
          <w:lang w:val="de-DE"/>
        </w:rPr>
        <w:t xml:space="preserve"> </w:t>
      </w:r>
      <w:proofErr w:type="spellStart"/>
      <w:r w:rsidRPr="000C7C76">
        <w:rPr>
          <w:rFonts w:ascii="Times New Roman" w:hAnsi="Times New Roman" w:cs="Times New Roman"/>
          <w:lang w:val="de-DE"/>
        </w:rPr>
        <w:t>nekustamo</w:t>
      </w:r>
      <w:proofErr w:type="spellEnd"/>
      <w:r w:rsidRPr="000C7C76">
        <w:rPr>
          <w:rFonts w:ascii="Times New Roman" w:hAnsi="Times New Roman" w:cs="Times New Roman"/>
          <w:lang w:val="de-DE"/>
        </w:rPr>
        <w:t xml:space="preserve"> </w:t>
      </w:r>
      <w:proofErr w:type="spellStart"/>
      <w:r w:rsidRPr="000C7C76">
        <w:rPr>
          <w:rFonts w:ascii="Times New Roman" w:hAnsi="Times New Roman" w:cs="Times New Roman"/>
          <w:lang w:val="de-DE"/>
        </w:rPr>
        <w:t>īpašumu</w:t>
      </w:r>
      <w:proofErr w:type="spellEnd"/>
      <w:r w:rsidRPr="000C7C76">
        <w:rPr>
          <w:rFonts w:ascii="Times New Roman" w:hAnsi="Times New Roman" w:cs="Times New Roman"/>
          <w:lang w:val="de-DE"/>
        </w:rPr>
        <w:t xml:space="preserve">, </w:t>
      </w:r>
      <w:proofErr w:type="spellStart"/>
      <w:r w:rsidRPr="000C7C76">
        <w:rPr>
          <w:rFonts w:ascii="Times New Roman" w:hAnsi="Times New Roman" w:cs="Times New Roman"/>
          <w:lang w:val="de-DE"/>
        </w:rPr>
        <w:t>tad</w:t>
      </w:r>
      <w:proofErr w:type="spellEnd"/>
      <w:r w:rsidRPr="000C7C76">
        <w:rPr>
          <w:rFonts w:ascii="Times New Roman" w:hAnsi="Times New Roman" w:cs="Times New Roman"/>
          <w:lang w:val="de-DE"/>
        </w:rPr>
        <w:t xml:space="preserve"> </w:t>
      </w:r>
      <w:proofErr w:type="spellStart"/>
      <w:r w:rsidRPr="000C7C76">
        <w:rPr>
          <w:rFonts w:ascii="Times New Roman" w:hAnsi="Times New Roman" w:cs="Times New Roman"/>
          <w:lang w:val="de-DE"/>
        </w:rPr>
        <w:t>formas</w:t>
      </w:r>
      <w:proofErr w:type="spellEnd"/>
      <w:r w:rsidRPr="000C7C76">
        <w:rPr>
          <w:rFonts w:ascii="Times New Roman" w:hAnsi="Times New Roman" w:cs="Times New Roman"/>
          <w:lang w:val="de-DE"/>
        </w:rPr>
        <w:t xml:space="preserve"> </w:t>
      </w:r>
      <w:proofErr w:type="spellStart"/>
      <w:r w:rsidRPr="000C7C76">
        <w:rPr>
          <w:rFonts w:ascii="Times New Roman" w:hAnsi="Times New Roman" w:cs="Times New Roman"/>
          <w:lang w:val="de-DE"/>
        </w:rPr>
        <w:t>prasības</w:t>
      </w:r>
      <w:proofErr w:type="spellEnd"/>
      <w:r w:rsidRPr="000C7C76">
        <w:rPr>
          <w:rFonts w:ascii="Times New Roman" w:hAnsi="Times New Roman" w:cs="Times New Roman"/>
          <w:lang w:val="de-DE"/>
        </w:rPr>
        <w:t xml:space="preserve"> </w:t>
      </w:r>
      <w:proofErr w:type="spellStart"/>
      <w:r w:rsidRPr="000C7C76">
        <w:rPr>
          <w:rFonts w:ascii="Times New Roman" w:hAnsi="Times New Roman" w:cs="Times New Roman"/>
          <w:lang w:val="de-DE"/>
        </w:rPr>
        <w:t>nosakāmas</w:t>
      </w:r>
      <w:proofErr w:type="spellEnd"/>
      <w:r w:rsidRPr="000C7C76">
        <w:rPr>
          <w:rFonts w:ascii="Times New Roman" w:hAnsi="Times New Roman" w:cs="Times New Roman"/>
          <w:lang w:val="de-DE"/>
        </w:rPr>
        <w:t xml:space="preserve"> </w:t>
      </w:r>
      <w:proofErr w:type="spellStart"/>
      <w:r w:rsidRPr="000C7C76">
        <w:rPr>
          <w:rFonts w:ascii="Times New Roman" w:hAnsi="Times New Roman" w:cs="Times New Roman"/>
          <w:lang w:val="de-DE"/>
        </w:rPr>
        <w:t>saskaņā</w:t>
      </w:r>
      <w:proofErr w:type="spellEnd"/>
      <w:r w:rsidRPr="000C7C76">
        <w:rPr>
          <w:rFonts w:ascii="Times New Roman" w:hAnsi="Times New Roman" w:cs="Times New Roman"/>
          <w:lang w:val="de-DE"/>
        </w:rPr>
        <w:t xml:space="preserve"> </w:t>
      </w:r>
      <w:proofErr w:type="spellStart"/>
      <w:r w:rsidRPr="000C7C76">
        <w:rPr>
          <w:rFonts w:ascii="Times New Roman" w:hAnsi="Times New Roman" w:cs="Times New Roman"/>
          <w:lang w:val="de-DE"/>
        </w:rPr>
        <w:t>ar</w:t>
      </w:r>
      <w:proofErr w:type="spellEnd"/>
      <w:r w:rsidRPr="000C7C76">
        <w:rPr>
          <w:rFonts w:ascii="Times New Roman" w:hAnsi="Times New Roman" w:cs="Times New Roman"/>
          <w:lang w:val="de-DE"/>
        </w:rPr>
        <w:t xml:space="preserve"> </w:t>
      </w:r>
      <w:proofErr w:type="spellStart"/>
      <w:r w:rsidRPr="000C7C76">
        <w:rPr>
          <w:rFonts w:ascii="Times New Roman" w:hAnsi="Times New Roman" w:cs="Times New Roman"/>
          <w:i/>
          <w:lang w:val="de-DE"/>
        </w:rPr>
        <w:t>lex</w:t>
      </w:r>
      <w:proofErr w:type="spellEnd"/>
      <w:r w:rsidRPr="000C7C76">
        <w:rPr>
          <w:rFonts w:ascii="Times New Roman" w:hAnsi="Times New Roman" w:cs="Times New Roman"/>
          <w:i/>
          <w:lang w:val="de-DE"/>
        </w:rPr>
        <w:t xml:space="preserve"> </w:t>
      </w:r>
      <w:proofErr w:type="spellStart"/>
      <w:r w:rsidRPr="000C7C76">
        <w:rPr>
          <w:rFonts w:ascii="Times New Roman" w:hAnsi="Times New Roman" w:cs="Times New Roman"/>
          <w:i/>
          <w:lang w:val="de-DE"/>
        </w:rPr>
        <w:t>rei</w:t>
      </w:r>
      <w:proofErr w:type="spellEnd"/>
      <w:r w:rsidRPr="000C7C76">
        <w:rPr>
          <w:rFonts w:ascii="Times New Roman" w:hAnsi="Times New Roman" w:cs="Times New Roman"/>
          <w:i/>
          <w:lang w:val="de-DE"/>
        </w:rPr>
        <w:t xml:space="preserve"> </w:t>
      </w:r>
      <w:proofErr w:type="spellStart"/>
      <w:r w:rsidRPr="000C7C76">
        <w:rPr>
          <w:rFonts w:ascii="Times New Roman" w:hAnsi="Times New Roman" w:cs="Times New Roman"/>
          <w:i/>
          <w:lang w:val="de-DE"/>
        </w:rPr>
        <w:t>sitae</w:t>
      </w:r>
      <w:proofErr w:type="spellEnd"/>
      <w:r w:rsidRPr="000C7C76">
        <w:rPr>
          <w:rFonts w:ascii="Times New Roman" w:hAnsi="Times New Roman" w:cs="Times New Roman"/>
          <w:lang w:val="de-DE"/>
        </w:rPr>
        <w:t xml:space="preserve"> (</w:t>
      </w:r>
      <w:proofErr w:type="spellStart"/>
      <w:r w:rsidRPr="000C7C76">
        <w:rPr>
          <w:rFonts w:ascii="Times New Roman" w:hAnsi="Times New Roman" w:cs="Times New Roman"/>
          <w:lang w:val="de-DE"/>
        </w:rPr>
        <w:t>skat</w:t>
      </w:r>
      <w:proofErr w:type="spellEnd"/>
      <w:r w:rsidRPr="000C7C76">
        <w:rPr>
          <w:rFonts w:ascii="Times New Roman" w:hAnsi="Times New Roman" w:cs="Times New Roman"/>
          <w:lang w:val="de-DE"/>
        </w:rPr>
        <w:t xml:space="preserve">. </w:t>
      </w:r>
      <w:r w:rsidRPr="004B3528">
        <w:rPr>
          <w:rFonts w:ascii="Times New Roman" w:hAnsi="Times New Roman" w:cs="Times New Roman"/>
        </w:rPr>
        <w:t xml:space="preserve">CL </w:t>
      </w:r>
      <w:proofErr w:type="spellStart"/>
      <w:r w:rsidRPr="004B3528">
        <w:rPr>
          <w:rFonts w:ascii="Times New Roman" w:hAnsi="Times New Roman" w:cs="Times New Roman"/>
        </w:rPr>
        <w:t>Ievada</w:t>
      </w:r>
      <w:proofErr w:type="spellEnd"/>
      <w:r w:rsidRPr="004B3528">
        <w:rPr>
          <w:rFonts w:ascii="Times New Roman" w:hAnsi="Times New Roman" w:cs="Times New Roman"/>
        </w:rPr>
        <w:t xml:space="preserve"> 18.p. </w:t>
      </w:r>
      <w:proofErr w:type="gramStart"/>
      <w:r w:rsidRPr="004B3528">
        <w:rPr>
          <w:rFonts w:ascii="Times New Roman" w:hAnsi="Times New Roman" w:cs="Times New Roman"/>
        </w:rPr>
        <w:t>4.d.</w:t>
      </w:r>
      <w:proofErr w:type="gramEnd"/>
      <w:r w:rsidRPr="004B3528">
        <w:rPr>
          <w:rFonts w:ascii="Times New Roman" w:hAnsi="Times New Roman" w:cs="Times New Roman"/>
        </w:rPr>
        <w:t>).</w:t>
      </w:r>
      <w:r>
        <w:rPr>
          <w:rFonts w:ascii="Times New Roman" w:hAnsi="Times New Roman" w:cs="Times New Roman"/>
        </w:rPr>
        <w:t xml:space="preserve"> </w:t>
      </w:r>
    </w:p>
    <w:p w14:paraId="5D8B5A3E" w14:textId="77777777" w:rsidR="00114953" w:rsidRDefault="00114953" w:rsidP="00114953">
      <w:pPr>
        <w:ind w:firstLine="708"/>
        <w:jc w:val="both"/>
        <w:rPr>
          <w:rFonts w:ascii="Times New Roman" w:hAnsi="Times New Roman" w:cs="Times New Roman"/>
        </w:rPr>
      </w:pPr>
    </w:p>
    <w:p w14:paraId="4611F622" w14:textId="77777777" w:rsidR="00114953" w:rsidRDefault="00114953" w:rsidP="00114953">
      <w:pPr>
        <w:jc w:val="both"/>
        <w:rPr>
          <w:rFonts w:ascii="Times New Roman" w:hAnsi="Times New Roman" w:cs="Times New Roman"/>
        </w:rPr>
      </w:pPr>
    </w:p>
    <w:p w14:paraId="3A1C48A0" w14:textId="77777777" w:rsidR="00114953" w:rsidRDefault="00114953" w:rsidP="00114953">
      <w:pPr>
        <w:jc w:val="both"/>
        <w:rPr>
          <w:rFonts w:ascii="Times New Roman" w:hAnsi="Times New Roman" w:cs="Times New Roman"/>
        </w:rPr>
      </w:pPr>
    </w:p>
    <w:p w14:paraId="6A1AE688" w14:textId="77777777" w:rsidR="00114953" w:rsidRDefault="00114953" w:rsidP="00114953">
      <w:pPr>
        <w:jc w:val="both"/>
        <w:rPr>
          <w:rFonts w:ascii="Times New Roman" w:hAnsi="Times New Roman" w:cs="Times New Roman"/>
          <w:b/>
        </w:rPr>
      </w:pPr>
    </w:p>
    <w:tbl>
      <w:tblPr>
        <w:tblStyle w:val="TableGrid"/>
        <w:tblW w:w="0" w:type="auto"/>
        <w:tblLook w:val="04A0" w:firstRow="1" w:lastRow="0" w:firstColumn="1" w:lastColumn="0" w:noHBand="0" w:noVBand="1"/>
      </w:tblPr>
      <w:tblGrid>
        <w:gridCol w:w="9206"/>
      </w:tblGrid>
      <w:tr w:rsidR="00114953" w14:paraId="0EE08570" w14:textId="77777777" w:rsidTr="00BF3A72">
        <w:tc>
          <w:tcPr>
            <w:tcW w:w="9206" w:type="dxa"/>
            <w:shd w:val="clear" w:color="auto" w:fill="D9D9D9" w:themeFill="background1" w:themeFillShade="D9"/>
          </w:tcPr>
          <w:p w14:paraId="250AE964" w14:textId="77777777" w:rsidR="00114953" w:rsidRPr="006C311A" w:rsidRDefault="00114953" w:rsidP="00BF3A72">
            <w:pPr>
              <w:jc w:val="both"/>
              <w:rPr>
                <w:b/>
              </w:rPr>
            </w:pPr>
            <w:r w:rsidRPr="006C311A">
              <w:rPr>
                <w:b/>
              </w:rPr>
              <w:t xml:space="preserve">2. </w:t>
            </w:r>
            <w:proofErr w:type="spellStart"/>
            <w:r w:rsidRPr="006C311A">
              <w:rPr>
                <w:b/>
              </w:rPr>
              <w:t>Kādi</w:t>
            </w:r>
            <w:proofErr w:type="spellEnd"/>
            <w:r w:rsidRPr="006C311A">
              <w:rPr>
                <w:b/>
              </w:rPr>
              <w:t xml:space="preserve"> </w:t>
            </w:r>
            <w:proofErr w:type="spellStart"/>
            <w:r w:rsidRPr="006C311A">
              <w:rPr>
                <w:b/>
              </w:rPr>
              <w:t>ir</w:t>
            </w:r>
            <w:proofErr w:type="spellEnd"/>
            <w:r w:rsidRPr="006C311A">
              <w:rPr>
                <w:b/>
              </w:rPr>
              <w:t xml:space="preserve"> </w:t>
            </w:r>
            <w:proofErr w:type="spellStart"/>
            <w:r w:rsidRPr="006C311A">
              <w:rPr>
                <w:b/>
              </w:rPr>
              <w:t>Latvijā</w:t>
            </w:r>
            <w:proofErr w:type="spellEnd"/>
            <w:r w:rsidRPr="006C311A">
              <w:rPr>
                <w:b/>
              </w:rPr>
              <w:t xml:space="preserve"> </w:t>
            </w:r>
            <w:proofErr w:type="spellStart"/>
            <w:r w:rsidRPr="006C311A">
              <w:rPr>
                <w:b/>
              </w:rPr>
              <w:t>izmantojamo</w:t>
            </w:r>
            <w:proofErr w:type="spellEnd"/>
            <w:r w:rsidRPr="006C311A">
              <w:rPr>
                <w:b/>
              </w:rPr>
              <w:t xml:space="preserve"> </w:t>
            </w:r>
            <w:proofErr w:type="spellStart"/>
            <w:r w:rsidRPr="006C311A">
              <w:rPr>
                <w:b/>
              </w:rPr>
              <w:t>ārvalstu</w:t>
            </w:r>
            <w:proofErr w:type="spellEnd"/>
            <w:r w:rsidRPr="006C311A">
              <w:rPr>
                <w:b/>
              </w:rPr>
              <w:t xml:space="preserve"> </w:t>
            </w:r>
            <w:proofErr w:type="spellStart"/>
            <w:r w:rsidRPr="006C311A">
              <w:rPr>
                <w:b/>
              </w:rPr>
              <w:t>dokumentu</w:t>
            </w:r>
            <w:proofErr w:type="spellEnd"/>
            <w:r w:rsidRPr="006C311A">
              <w:rPr>
                <w:b/>
              </w:rPr>
              <w:t xml:space="preserve"> </w:t>
            </w:r>
            <w:proofErr w:type="spellStart"/>
            <w:r w:rsidRPr="001A3712">
              <w:rPr>
                <w:b/>
                <w:u w:val="single"/>
              </w:rPr>
              <w:t>formas</w:t>
            </w:r>
            <w:proofErr w:type="spellEnd"/>
            <w:r w:rsidRPr="006C311A">
              <w:rPr>
                <w:b/>
              </w:rPr>
              <w:t xml:space="preserve"> </w:t>
            </w:r>
            <w:proofErr w:type="spellStart"/>
            <w:r w:rsidRPr="006C311A">
              <w:rPr>
                <w:b/>
              </w:rPr>
              <w:t>vērtēšanas</w:t>
            </w:r>
            <w:proofErr w:type="spellEnd"/>
            <w:r w:rsidRPr="006C311A">
              <w:rPr>
                <w:b/>
              </w:rPr>
              <w:t xml:space="preserve"> </w:t>
            </w:r>
            <w:proofErr w:type="spellStart"/>
            <w:r w:rsidRPr="006C311A">
              <w:rPr>
                <w:b/>
              </w:rPr>
              <w:t>kritēriji</w:t>
            </w:r>
            <w:proofErr w:type="spellEnd"/>
            <w:r w:rsidRPr="006C311A">
              <w:rPr>
                <w:b/>
              </w:rPr>
              <w:t xml:space="preserve"> </w:t>
            </w:r>
            <w:proofErr w:type="spellStart"/>
            <w:r w:rsidRPr="006C311A">
              <w:rPr>
                <w:b/>
              </w:rPr>
              <w:t>un</w:t>
            </w:r>
            <w:proofErr w:type="spellEnd"/>
            <w:r w:rsidRPr="006C311A">
              <w:rPr>
                <w:b/>
              </w:rPr>
              <w:t xml:space="preserve"> </w:t>
            </w:r>
            <w:proofErr w:type="spellStart"/>
            <w:proofErr w:type="gramStart"/>
            <w:r w:rsidRPr="006C311A">
              <w:rPr>
                <w:b/>
              </w:rPr>
              <w:t>noteikumi</w:t>
            </w:r>
            <w:proofErr w:type="spellEnd"/>
            <w:r w:rsidRPr="006C311A">
              <w:rPr>
                <w:b/>
              </w:rPr>
              <w:t> ?</w:t>
            </w:r>
            <w:proofErr w:type="gramEnd"/>
          </w:p>
          <w:p w14:paraId="2EA87014" w14:textId="77777777" w:rsidR="00114953" w:rsidRDefault="00114953" w:rsidP="00BF3A72">
            <w:pPr>
              <w:jc w:val="both"/>
              <w:rPr>
                <w:bCs/>
              </w:rPr>
            </w:pPr>
          </w:p>
        </w:tc>
      </w:tr>
    </w:tbl>
    <w:p w14:paraId="566BC8D1" w14:textId="77777777" w:rsidR="00114953" w:rsidRPr="00970B26" w:rsidRDefault="00114953" w:rsidP="00114953">
      <w:pPr>
        <w:jc w:val="both"/>
        <w:rPr>
          <w:rFonts w:ascii="Times New Roman" w:hAnsi="Times New Roman" w:cs="Times New Roman"/>
          <w:bCs/>
        </w:rPr>
      </w:pPr>
    </w:p>
    <w:p w14:paraId="0003DD6F" w14:textId="77777777" w:rsidR="00114953" w:rsidRPr="00953100" w:rsidRDefault="00114953" w:rsidP="00114953">
      <w:pPr>
        <w:ind w:firstLine="708"/>
        <w:jc w:val="both"/>
        <w:rPr>
          <w:rFonts w:ascii="Times New Roman" w:hAnsi="Times New Roman" w:cs="Times New Roman"/>
          <w:lang w:val="de-DE"/>
        </w:rPr>
      </w:pPr>
      <w:proofErr w:type="spellStart"/>
      <w:r w:rsidRPr="00BF106F">
        <w:rPr>
          <w:rFonts w:ascii="Times New Roman" w:hAnsi="Times New Roman" w:cs="Times New Roman"/>
        </w:rPr>
        <w:t>Tā</w:t>
      </w:r>
      <w:proofErr w:type="spellEnd"/>
      <w:r w:rsidRPr="00BF106F">
        <w:rPr>
          <w:rFonts w:ascii="Times New Roman" w:hAnsi="Times New Roman" w:cs="Times New Roman"/>
        </w:rPr>
        <w:t xml:space="preserve"> </w:t>
      </w:r>
      <w:proofErr w:type="spellStart"/>
      <w:r w:rsidRPr="00BF106F">
        <w:rPr>
          <w:rFonts w:ascii="Times New Roman" w:hAnsi="Times New Roman" w:cs="Times New Roman"/>
        </w:rPr>
        <w:t>kā</w:t>
      </w:r>
      <w:proofErr w:type="spellEnd"/>
      <w:r>
        <w:rPr>
          <w:rFonts w:ascii="Times New Roman" w:hAnsi="Times New Roman" w:cs="Times New Roman"/>
        </w:rPr>
        <w:t xml:space="preserve"> SPT</w:t>
      </w:r>
      <w:r w:rsidRPr="00BF106F">
        <w:rPr>
          <w:rFonts w:ascii="Times New Roman" w:hAnsi="Times New Roman" w:cs="Times New Roman"/>
        </w:rPr>
        <w:t xml:space="preserve"> </w:t>
      </w:r>
      <w:proofErr w:type="spellStart"/>
      <w:r w:rsidRPr="00BF106F">
        <w:rPr>
          <w:rFonts w:ascii="Times New Roman" w:hAnsi="Times New Roman" w:cs="Times New Roman"/>
        </w:rPr>
        <w:t>jēdziens</w:t>
      </w:r>
      <w:proofErr w:type="spellEnd"/>
      <w:r w:rsidRPr="00BF106F">
        <w:rPr>
          <w:rFonts w:ascii="Times New Roman" w:hAnsi="Times New Roman" w:cs="Times New Roman"/>
        </w:rPr>
        <w:t xml:space="preserve"> </w:t>
      </w:r>
      <w:r>
        <w:rPr>
          <w:rFonts w:ascii="Times New Roman" w:hAnsi="Times New Roman" w:cs="Times New Roman"/>
          <w:lang w:val="de-DE"/>
        </w:rPr>
        <w:t>„</w:t>
      </w:r>
      <w:proofErr w:type="spellStart"/>
      <w:r>
        <w:rPr>
          <w:rFonts w:ascii="Times New Roman" w:hAnsi="Times New Roman" w:cs="Times New Roman"/>
          <w:lang w:val="de-DE"/>
        </w:rPr>
        <w:t>ārvalsts</w:t>
      </w:r>
      <w:proofErr w:type="spellEnd"/>
      <w:r>
        <w:rPr>
          <w:rFonts w:ascii="Times New Roman" w:hAnsi="Times New Roman" w:cs="Times New Roman"/>
          <w:lang w:val="de-DE"/>
        </w:rPr>
        <w:t xml:space="preserve"> </w:t>
      </w:r>
      <w:proofErr w:type="spellStart"/>
      <w:r>
        <w:rPr>
          <w:rFonts w:ascii="Times New Roman" w:hAnsi="Times New Roman" w:cs="Times New Roman"/>
          <w:lang w:val="de-DE"/>
        </w:rPr>
        <w:t>dokuments</w:t>
      </w:r>
      <w:proofErr w:type="spellEnd"/>
      <w:r>
        <w:rPr>
          <w:rFonts w:ascii="Times New Roman" w:hAnsi="Times New Roman" w:cs="Times New Roman"/>
          <w:lang w:val="de-DE"/>
        </w:rPr>
        <w:t>“</w:t>
      </w:r>
      <w:r w:rsidRPr="00953100">
        <w:rPr>
          <w:rFonts w:ascii="Times New Roman" w:hAnsi="Times New Roman" w:cs="Times New Roman"/>
          <w:lang w:val="de-DE"/>
        </w:rPr>
        <w:t xml:space="preserve"> </w:t>
      </w:r>
      <w:proofErr w:type="spellStart"/>
      <w:r w:rsidRPr="00953100">
        <w:rPr>
          <w:rFonts w:ascii="Times New Roman" w:hAnsi="Times New Roman" w:cs="Times New Roman"/>
          <w:lang w:val="de-DE"/>
        </w:rPr>
        <w:t>ir</w:t>
      </w:r>
      <w:proofErr w:type="spellEnd"/>
      <w:r w:rsidRPr="00953100">
        <w:rPr>
          <w:rFonts w:ascii="Times New Roman" w:hAnsi="Times New Roman" w:cs="Times New Roman"/>
          <w:lang w:val="de-DE"/>
        </w:rPr>
        <w:t xml:space="preserve"> </w:t>
      </w:r>
      <w:proofErr w:type="spellStart"/>
      <w:r w:rsidRPr="00953100">
        <w:rPr>
          <w:rFonts w:ascii="Times New Roman" w:hAnsi="Times New Roman" w:cs="Times New Roman"/>
          <w:lang w:val="de-DE"/>
        </w:rPr>
        <w:t>ļoti</w:t>
      </w:r>
      <w:proofErr w:type="spellEnd"/>
      <w:r w:rsidRPr="00953100">
        <w:rPr>
          <w:rFonts w:ascii="Times New Roman" w:hAnsi="Times New Roman" w:cs="Times New Roman"/>
          <w:lang w:val="de-DE"/>
        </w:rPr>
        <w:t xml:space="preserve"> </w:t>
      </w:r>
      <w:proofErr w:type="spellStart"/>
      <w:r w:rsidRPr="00953100">
        <w:rPr>
          <w:rFonts w:ascii="Times New Roman" w:hAnsi="Times New Roman" w:cs="Times New Roman"/>
          <w:lang w:val="de-DE"/>
        </w:rPr>
        <w:t>plašs</w:t>
      </w:r>
      <w:proofErr w:type="spellEnd"/>
      <w:r w:rsidRPr="00953100">
        <w:rPr>
          <w:rFonts w:ascii="Times New Roman" w:hAnsi="Times New Roman" w:cs="Times New Roman"/>
          <w:lang w:val="de-DE"/>
        </w:rPr>
        <w:t xml:space="preserve">, </w:t>
      </w:r>
      <w:proofErr w:type="spellStart"/>
      <w:r w:rsidRPr="00953100">
        <w:rPr>
          <w:rFonts w:ascii="Times New Roman" w:hAnsi="Times New Roman" w:cs="Times New Roman"/>
          <w:lang w:val="de-DE"/>
        </w:rPr>
        <w:t>tad</w:t>
      </w:r>
      <w:proofErr w:type="spellEnd"/>
      <w:r w:rsidRPr="00953100">
        <w:rPr>
          <w:rFonts w:ascii="Times New Roman" w:hAnsi="Times New Roman" w:cs="Times New Roman"/>
          <w:lang w:val="de-DE"/>
        </w:rPr>
        <w:t xml:space="preserve"> </w:t>
      </w:r>
      <w:proofErr w:type="spellStart"/>
      <w:r w:rsidRPr="00953100">
        <w:rPr>
          <w:rFonts w:ascii="Times New Roman" w:hAnsi="Times New Roman" w:cs="Times New Roman"/>
          <w:lang w:val="de-DE"/>
        </w:rPr>
        <w:t>Notariāta</w:t>
      </w:r>
      <w:proofErr w:type="spellEnd"/>
      <w:r w:rsidRPr="00953100">
        <w:rPr>
          <w:rFonts w:ascii="Times New Roman" w:hAnsi="Times New Roman" w:cs="Times New Roman"/>
          <w:lang w:val="de-DE"/>
        </w:rPr>
        <w:t xml:space="preserve"> </w:t>
      </w:r>
      <w:proofErr w:type="spellStart"/>
      <w:r w:rsidRPr="00953100">
        <w:rPr>
          <w:rFonts w:ascii="Times New Roman" w:hAnsi="Times New Roman" w:cs="Times New Roman"/>
          <w:lang w:val="de-DE"/>
        </w:rPr>
        <w:t>likuma</w:t>
      </w:r>
      <w:proofErr w:type="spellEnd"/>
      <w:r w:rsidRPr="00953100">
        <w:rPr>
          <w:rFonts w:ascii="Times New Roman" w:hAnsi="Times New Roman" w:cs="Times New Roman"/>
          <w:lang w:val="de-DE"/>
        </w:rPr>
        <w:t xml:space="preserve"> </w:t>
      </w:r>
      <w:proofErr w:type="spellStart"/>
      <w:r w:rsidRPr="00953100">
        <w:rPr>
          <w:rFonts w:ascii="Times New Roman" w:hAnsi="Times New Roman" w:cs="Times New Roman"/>
          <w:lang w:val="de-DE"/>
        </w:rPr>
        <w:t>ietvaros</w:t>
      </w:r>
      <w:proofErr w:type="spellEnd"/>
      <w:r w:rsidRPr="00953100">
        <w:rPr>
          <w:rFonts w:ascii="Times New Roman" w:hAnsi="Times New Roman" w:cs="Times New Roman"/>
          <w:lang w:val="de-DE"/>
        </w:rPr>
        <w:t xml:space="preserve"> </w:t>
      </w:r>
      <w:proofErr w:type="spellStart"/>
      <w:r w:rsidRPr="00953100">
        <w:rPr>
          <w:rFonts w:ascii="Times New Roman" w:hAnsi="Times New Roman" w:cs="Times New Roman"/>
          <w:lang w:val="de-DE"/>
        </w:rPr>
        <w:t>šo</w:t>
      </w:r>
      <w:proofErr w:type="spellEnd"/>
      <w:r w:rsidRPr="00953100">
        <w:rPr>
          <w:rFonts w:ascii="Times New Roman" w:hAnsi="Times New Roman" w:cs="Times New Roman"/>
          <w:lang w:val="de-DE"/>
        </w:rPr>
        <w:t xml:space="preserve"> </w:t>
      </w:r>
      <w:proofErr w:type="spellStart"/>
      <w:r w:rsidRPr="00953100">
        <w:rPr>
          <w:rFonts w:ascii="Times New Roman" w:hAnsi="Times New Roman" w:cs="Times New Roman"/>
          <w:lang w:val="de-DE"/>
        </w:rPr>
        <w:t>jēd</w:t>
      </w:r>
      <w:r>
        <w:rPr>
          <w:rFonts w:ascii="Times New Roman" w:hAnsi="Times New Roman" w:cs="Times New Roman"/>
          <w:lang w:val="de-DE"/>
        </w:rPr>
        <w:t>zienu</w:t>
      </w:r>
      <w:proofErr w:type="spellEnd"/>
      <w:r>
        <w:rPr>
          <w:rFonts w:ascii="Times New Roman" w:hAnsi="Times New Roman" w:cs="Times New Roman"/>
          <w:lang w:val="de-DE"/>
        </w:rPr>
        <w:t xml:space="preserve"> </w:t>
      </w:r>
      <w:proofErr w:type="spellStart"/>
      <w:r>
        <w:rPr>
          <w:rFonts w:ascii="Times New Roman" w:hAnsi="Times New Roman" w:cs="Times New Roman"/>
          <w:lang w:val="de-DE"/>
        </w:rPr>
        <w:t>vajadzētu</w:t>
      </w:r>
      <w:proofErr w:type="spellEnd"/>
      <w:r>
        <w:rPr>
          <w:rFonts w:ascii="Times New Roman" w:hAnsi="Times New Roman" w:cs="Times New Roman"/>
          <w:lang w:val="de-DE"/>
        </w:rPr>
        <w:t xml:space="preserve"> </w:t>
      </w:r>
      <w:proofErr w:type="spellStart"/>
      <w:r>
        <w:rPr>
          <w:rFonts w:ascii="Times New Roman" w:hAnsi="Times New Roman" w:cs="Times New Roman"/>
          <w:lang w:val="de-DE"/>
        </w:rPr>
        <w:t>sašaurināt</w:t>
      </w:r>
      <w:proofErr w:type="spellEnd"/>
      <w:r>
        <w:rPr>
          <w:rFonts w:ascii="Times New Roman" w:hAnsi="Times New Roman" w:cs="Times New Roman"/>
          <w:lang w:val="de-DE"/>
        </w:rPr>
        <w:t xml:space="preserve"> </w:t>
      </w:r>
      <w:proofErr w:type="spellStart"/>
      <w:r>
        <w:rPr>
          <w:rFonts w:ascii="Times New Roman" w:hAnsi="Times New Roman" w:cs="Times New Roman"/>
          <w:lang w:val="de-DE"/>
        </w:rPr>
        <w:t>uz</w:t>
      </w:r>
      <w:proofErr w:type="spellEnd"/>
      <w:r>
        <w:rPr>
          <w:rFonts w:ascii="Times New Roman" w:hAnsi="Times New Roman" w:cs="Times New Roman"/>
          <w:lang w:val="de-DE"/>
        </w:rPr>
        <w:t xml:space="preserve"> „</w:t>
      </w:r>
      <w:proofErr w:type="spellStart"/>
      <w:r>
        <w:rPr>
          <w:rFonts w:ascii="Times New Roman" w:hAnsi="Times New Roman" w:cs="Times New Roman"/>
          <w:lang w:val="de-DE"/>
        </w:rPr>
        <w:t>ārvalstu</w:t>
      </w:r>
      <w:proofErr w:type="spellEnd"/>
      <w:r>
        <w:rPr>
          <w:rFonts w:ascii="Times New Roman" w:hAnsi="Times New Roman" w:cs="Times New Roman"/>
          <w:lang w:val="de-DE"/>
        </w:rPr>
        <w:t xml:space="preserve"> </w:t>
      </w:r>
      <w:proofErr w:type="spellStart"/>
      <w:r>
        <w:rPr>
          <w:rFonts w:ascii="Times New Roman" w:hAnsi="Times New Roman" w:cs="Times New Roman"/>
          <w:lang w:val="de-DE"/>
        </w:rPr>
        <w:t>publisko</w:t>
      </w:r>
      <w:proofErr w:type="spellEnd"/>
      <w:r>
        <w:rPr>
          <w:rFonts w:ascii="Times New Roman" w:hAnsi="Times New Roman" w:cs="Times New Roman"/>
          <w:lang w:val="de-DE"/>
        </w:rPr>
        <w:t xml:space="preserve"> </w:t>
      </w:r>
      <w:proofErr w:type="spellStart"/>
      <w:r>
        <w:rPr>
          <w:rFonts w:ascii="Times New Roman" w:hAnsi="Times New Roman" w:cs="Times New Roman"/>
          <w:lang w:val="de-DE"/>
        </w:rPr>
        <w:t>dokumentu</w:t>
      </w:r>
      <w:proofErr w:type="spellEnd"/>
      <w:r>
        <w:rPr>
          <w:rFonts w:ascii="Times New Roman" w:hAnsi="Times New Roman" w:cs="Times New Roman"/>
          <w:lang w:val="de-DE"/>
        </w:rPr>
        <w:t>“</w:t>
      </w:r>
      <w:r w:rsidRPr="00953100">
        <w:rPr>
          <w:rFonts w:ascii="Times New Roman" w:hAnsi="Times New Roman" w:cs="Times New Roman"/>
          <w:lang w:val="de-DE"/>
        </w:rPr>
        <w:t xml:space="preserve"> (</w:t>
      </w:r>
      <w:proofErr w:type="spellStart"/>
      <w:r w:rsidRPr="00953100">
        <w:rPr>
          <w:rFonts w:ascii="Times New Roman" w:hAnsi="Times New Roman" w:cs="Times New Roman"/>
          <w:lang w:val="de-DE"/>
        </w:rPr>
        <w:t>skat</w:t>
      </w:r>
      <w:proofErr w:type="spellEnd"/>
      <w:r w:rsidRPr="00953100">
        <w:rPr>
          <w:rFonts w:ascii="Times New Roman" w:hAnsi="Times New Roman" w:cs="Times New Roman"/>
          <w:lang w:val="de-DE"/>
        </w:rPr>
        <w:t xml:space="preserve">. 83.p.) </w:t>
      </w:r>
      <w:proofErr w:type="spellStart"/>
      <w:r w:rsidRPr="00953100">
        <w:rPr>
          <w:rFonts w:ascii="Times New Roman" w:hAnsi="Times New Roman" w:cs="Times New Roman"/>
          <w:lang w:val="de-DE"/>
        </w:rPr>
        <w:t>izpratnes</w:t>
      </w:r>
      <w:proofErr w:type="spellEnd"/>
      <w:r w:rsidRPr="00953100">
        <w:rPr>
          <w:rFonts w:ascii="Times New Roman" w:hAnsi="Times New Roman" w:cs="Times New Roman"/>
          <w:lang w:val="de-DE"/>
        </w:rPr>
        <w:t xml:space="preserve"> </w:t>
      </w:r>
      <w:proofErr w:type="spellStart"/>
      <w:r w:rsidRPr="00953100">
        <w:rPr>
          <w:rFonts w:ascii="Times New Roman" w:hAnsi="Times New Roman" w:cs="Times New Roman"/>
          <w:lang w:val="de-DE"/>
        </w:rPr>
        <w:t>robežām</w:t>
      </w:r>
      <w:proofErr w:type="spellEnd"/>
      <w:r w:rsidRPr="00953100">
        <w:rPr>
          <w:rFonts w:ascii="Times New Roman" w:hAnsi="Times New Roman" w:cs="Times New Roman"/>
          <w:lang w:val="de-DE"/>
        </w:rPr>
        <w:t>.</w:t>
      </w:r>
    </w:p>
    <w:p w14:paraId="2F52A731" w14:textId="77777777" w:rsidR="00114953" w:rsidRDefault="00114953" w:rsidP="00114953">
      <w:pPr>
        <w:jc w:val="both"/>
        <w:rPr>
          <w:rFonts w:ascii="Times New Roman" w:hAnsi="Times New Roman" w:cs="Times New Roman"/>
          <w:i/>
          <w:lang w:val="lv-LV"/>
        </w:rPr>
      </w:pPr>
    </w:p>
    <w:p w14:paraId="10E4E1AA" w14:textId="77777777" w:rsidR="00114953" w:rsidRDefault="00114953" w:rsidP="00114953">
      <w:pPr>
        <w:jc w:val="both"/>
        <w:rPr>
          <w:rFonts w:ascii="Times New Roman" w:hAnsi="Times New Roman" w:cs="Times New Roman"/>
          <w:i/>
          <w:lang w:val="lv-LV"/>
        </w:rPr>
      </w:pPr>
    </w:p>
    <w:p w14:paraId="37B1F669" w14:textId="77777777" w:rsidR="00114953" w:rsidRPr="00BF106F" w:rsidRDefault="00114953" w:rsidP="00114953">
      <w:pPr>
        <w:jc w:val="both"/>
        <w:rPr>
          <w:rFonts w:ascii="Times New Roman" w:hAnsi="Times New Roman" w:cs="Times New Roman"/>
          <w:i/>
          <w:lang w:val="lv-LV"/>
        </w:rPr>
      </w:pPr>
      <w:r>
        <w:rPr>
          <w:rFonts w:ascii="Times New Roman" w:hAnsi="Times New Roman" w:cs="Times New Roman"/>
          <w:i/>
          <w:lang w:val="lv-LV"/>
        </w:rPr>
        <w:t>Skat. atbildi uz 4.jautājumu</w:t>
      </w:r>
      <w:r w:rsidRPr="00BF106F">
        <w:rPr>
          <w:rFonts w:ascii="Times New Roman" w:hAnsi="Times New Roman" w:cs="Times New Roman"/>
          <w:i/>
          <w:lang w:val="lv-LV"/>
        </w:rPr>
        <w:t>.</w:t>
      </w:r>
    </w:p>
    <w:p w14:paraId="4146EC74" w14:textId="77777777" w:rsidR="00114953" w:rsidRDefault="00114953" w:rsidP="00114953">
      <w:pPr>
        <w:jc w:val="both"/>
        <w:rPr>
          <w:rFonts w:ascii="Times New Roman" w:hAnsi="Times New Roman" w:cs="Times New Roman"/>
        </w:rPr>
      </w:pPr>
    </w:p>
    <w:p w14:paraId="58E9F941" w14:textId="77777777" w:rsidR="00114953" w:rsidRDefault="00114953" w:rsidP="00114953">
      <w:pPr>
        <w:jc w:val="both"/>
        <w:rPr>
          <w:rFonts w:ascii="Times New Roman" w:hAnsi="Times New Roman" w:cs="Times New Roman"/>
        </w:rPr>
      </w:pPr>
    </w:p>
    <w:p w14:paraId="230C07A9" w14:textId="77777777" w:rsidR="00114953" w:rsidRDefault="00114953" w:rsidP="00114953">
      <w:pPr>
        <w:jc w:val="both"/>
        <w:rPr>
          <w:rFonts w:ascii="Times New Roman" w:hAnsi="Times New Roman" w:cs="Times New Roman"/>
          <w:b/>
        </w:rPr>
      </w:pPr>
    </w:p>
    <w:tbl>
      <w:tblPr>
        <w:tblStyle w:val="TableGrid"/>
        <w:tblW w:w="0" w:type="auto"/>
        <w:tblLook w:val="04A0" w:firstRow="1" w:lastRow="0" w:firstColumn="1" w:lastColumn="0" w:noHBand="0" w:noVBand="1"/>
      </w:tblPr>
      <w:tblGrid>
        <w:gridCol w:w="9206"/>
      </w:tblGrid>
      <w:tr w:rsidR="00114953" w14:paraId="4FAC0CE3" w14:textId="77777777" w:rsidTr="00BF3A72">
        <w:tc>
          <w:tcPr>
            <w:tcW w:w="9206" w:type="dxa"/>
            <w:shd w:val="clear" w:color="auto" w:fill="D9D9D9" w:themeFill="background1" w:themeFillShade="D9"/>
          </w:tcPr>
          <w:p w14:paraId="1F8E9817" w14:textId="77777777" w:rsidR="00114953" w:rsidRPr="006C311A" w:rsidRDefault="00114953" w:rsidP="00BF3A72">
            <w:pPr>
              <w:jc w:val="both"/>
              <w:rPr>
                <w:b/>
              </w:rPr>
            </w:pPr>
            <w:r w:rsidRPr="006C311A">
              <w:rPr>
                <w:b/>
              </w:rPr>
              <w:t xml:space="preserve">3. </w:t>
            </w:r>
            <w:proofErr w:type="spellStart"/>
            <w:r w:rsidRPr="006C311A">
              <w:rPr>
                <w:b/>
              </w:rPr>
              <w:t>Kādi</w:t>
            </w:r>
            <w:proofErr w:type="spellEnd"/>
            <w:r w:rsidRPr="006C311A">
              <w:rPr>
                <w:b/>
              </w:rPr>
              <w:t xml:space="preserve"> </w:t>
            </w:r>
            <w:proofErr w:type="spellStart"/>
            <w:r w:rsidRPr="006C311A">
              <w:rPr>
                <w:b/>
              </w:rPr>
              <w:t>ir</w:t>
            </w:r>
            <w:proofErr w:type="spellEnd"/>
            <w:r w:rsidRPr="006C311A">
              <w:rPr>
                <w:b/>
              </w:rPr>
              <w:t xml:space="preserve"> </w:t>
            </w:r>
            <w:proofErr w:type="spellStart"/>
            <w:r w:rsidRPr="006C311A">
              <w:rPr>
                <w:b/>
              </w:rPr>
              <w:t>Latvijā</w:t>
            </w:r>
            <w:proofErr w:type="spellEnd"/>
            <w:r w:rsidRPr="006C311A">
              <w:rPr>
                <w:b/>
              </w:rPr>
              <w:t xml:space="preserve"> </w:t>
            </w:r>
            <w:proofErr w:type="spellStart"/>
            <w:r w:rsidRPr="006C311A">
              <w:rPr>
                <w:b/>
              </w:rPr>
              <w:t>izmantojamo</w:t>
            </w:r>
            <w:proofErr w:type="spellEnd"/>
            <w:r w:rsidRPr="006C311A">
              <w:rPr>
                <w:b/>
              </w:rPr>
              <w:t xml:space="preserve"> </w:t>
            </w:r>
            <w:proofErr w:type="spellStart"/>
            <w:r w:rsidRPr="006C311A">
              <w:rPr>
                <w:b/>
              </w:rPr>
              <w:t>ārvalstu</w:t>
            </w:r>
            <w:proofErr w:type="spellEnd"/>
            <w:r w:rsidRPr="006C311A">
              <w:rPr>
                <w:b/>
              </w:rPr>
              <w:t xml:space="preserve"> </w:t>
            </w:r>
            <w:proofErr w:type="spellStart"/>
            <w:r w:rsidRPr="006C311A">
              <w:rPr>
                <w:b/>
              </w:rPr>
              <w:t>dokumentu</w:t>
            </w:r>
            <w:proofErr w:type="spellEnd"/>
            <w:r w:rsidRPr="006C311A">
              <w:rPr>
                <w:b/>
              </w:rPr>
              <w:t xml:space="preserve"> </w:t>
            </w:r>
            <w:proofErr w:type="spellStart"/>
            <w:r w:rsidRPr="001A3712">
              <w:rPr>
                <w:b/>
                <w:u w:val="single"/>
              </w:rPr>
              <w:t>satura</w:t>
            </w:r>
            <w:proofErr w:type="spellEnd"/>
            <w:r w:rsidRPr="006C311A">
              <w:rPr>
                <w:b/>
              </w:rPr>
              <w:t xml:space="preserve"> </w:t>
            </w:r>
            <w:proofErr w:type="spellStart"/>
            <w:r w:rsidRPr="006C311A">
              <w:rPr>
                <w:b/>
              </w:rPr>
              <w:t>vērtēšanas</w:t>
            </w:r>
            <w:proofErr w:type="spellEnd"/>
            <w:r w:rsidRPr="006C311A">
              <w:rPr>
                <w:b/>
              </w:rPr>
              <w:t xml:space="preserve"> </w:t>
            </w:r>
            <w:proofErr w:type="spellStart"/>
            <w:r w:rsidRPr="006C311A">
              <w:rPr>
                <w:b/>
              </w:rPr>
              <w:t>kritēriji</w:t>
            </w:r>
            <w:proofErr w:type="spellEnd"/>
            <w:r w:rsidRPr="006C311A">
              <w:rPr>
                <w:b/>
              </w:rPr>
              <w:t xml:space="preserve"> </w:t>
            </w:r>
            <w:proofErr w:type="spellStart"/>
            <w:r w:rsidRPr="006C311A">
              <w:rPr>
                <w:b/>
              </w:rPr>
              <w:t>un</w:t>
            </w:r>
            <w:proofErr w:type="spellEnd"/>
            <w:r w:rsidRPr="006C311A">
              <w:rPr>
                <w:b/>
              </w:rPr>
              <w:t xml:space="preserve"> </w:t>
            </w:r>
            <w:proofErr w:type="spellStart"/>
            <w:proofErr w:type="gramStart"/>
            <w:r w:rsidRPr="006C311A">
              <w:rPr>
                <w:b/>
              </w:rPr>
              <w:t>noteikumi</w:t>
            </w:r>
            <w:proofErr w:type="spellEnd"/>
            <w:r w:rsidRPr="006C311A">
              <w:rPr>
                <w:b/>
              </w:rPr>
              <w:t> ?</w:t>
            </w:r>
            <w:proofErr w:type="gramEnd"/>
          </w:p>
          <w:p w14:paraId="3C6D7EF3" w14:textId="77777777" w:rsidR="00114953" w:rsidRDefault="00114953" w:rsidP="00BF3A72">
            <w:pPr>
              <w:jc w:val="both"/>
              <w:rPr>
                <w:b/>
              </w:rPr>
            </w:pPr>
          </w:p>
        </w:tc>
      </w:tr>
    </w:tbl>
    <w:p w14:paraId="16774DCA" w14:textId="77777777" w:rsidR="00114953" w:rsidRDefault="00114953" w:rsidP="00114953">
      <w:pPr>
        <w:jc w:val="both"/>
        <w:rPr>
          <w:rFonts w:ascii="Times New Roman" w:hAnsi="Times New Roman" w:cs="Times New Roman"/>
          <w:b/>
        </w:rPr>
      </w:pPr>
    </w:p>
    <w:p w14:paraId="79EFF261" w14:textId="77777777" w:rsidR="00114953" w:rsidRDefault="00114953" w:rsidP="00114953">
      <w:pPr>
        <w:jc w:val="both"/>
        <w:rPr>
          <w:rFonts w:ascii="Times New Roman" w:hAnsi="Times New Roman" w:cs="Times New Roman"/>
          <w:b/>
        </w:rPr>
      </w:pPr>
    </w:p>
    <w:p w14:paraId="053275B1" w14:textId="77777777" w:rsidR="00114953" w:rsidRPr="00953100" w:rsidRDefault="00114953" w:rsidP="00114953">
      <w:pPr>
        <w:ind w:firstLine="708"/>
        <w:jc w:val="both"/>
        <w:rPr>
          <w:rFonts w:ascii="Times New Roman" w:hAnsi="Times New Roman" w:cs="Times New Roman"/>
          <w:lang w:val="de-DE"/>
        </w:rPr>
      </w:pPr>
      <w:proofErr w:type="spellStart"/>
      <w:r w:rsidRPr="00953100">
        <w:rPr>
          <w:rFonts w:ascii="Times New Roman" w:hAnsi="Times New Roman" w:cs="Times New Roman"/>
          <w:lang w:val="de-DE"/>
        </w:rPr>
        <w:t>Tā</w:t>
      </w:r>
      <w:proofErr w:type="spellEnd"/>
      <w:r w:rsidRPr="00953100">
        <w:rPr>
          <w:rFonts w:ascii="Times New Roman" w:hAnsi="Times New Roman" w:cs="Times New Roman"/>
          <w:lang w:val="de-DE"/>
        </w:rPr>
        <w:t xml:space="preserve"> </w:t>
      </w:r>
      <w:proofErr w:type="spellStart"/>
      <w:r w:rsidRPr="00953100">
        <w:rPr>
          <w:rFonts w:ascii="Times New Roman" w:hAnsi="Times New Roman" w:cs="Times New Roman"/>
          <w:lang w:val="de-DE"/>
        </w:rPr>
        <w:t>kā</w:t>
      </w:r>
      <w:proofErr w:type="spellEnd"/>
      <w:r w:rsidRPr="00953100">
        <w:rPr>
          <w:rFonts w:ascii="Times New Roman" w:hAnsi="Times New Roman" w:cs="Times New Roman"/>
          <w:lang w:val="de-DE"/>
        </w:rPr>
        <w:t xml:space="preserve"> SPT </w:t>
      </w:r>
      <w:proofErr w:type="spellStart"/>
      <w:r>
        <w:rPr>
          <w:rFonts w:ascii="Times New Roman" w:hAnsi="Times New Roman" w:cs="Times New Roman"/>
          <w:lang w:val="de-DE"/>
        </w:rPr>
        <w:t>jēdziens</w:t>
      </w:r>
      <w:proofErr w:type="spellEnd"/>
      <w:r>
        <w:rPr>
          <w:rFonts w:ascii="Times New Roman" w:hAnsi="Times New Roman" w:cs="Times New Roman"/>
          <w:lang w:val="de-DE"/>
        </w:rPr>
        <w:t xml:space="preserve"> „</w:t>
      </w:r>
      <w:proofErr w:type="spellStart"/>
      <w:r>
        <w:rPr>
          <w:rFonts w:ascii="Times New Roman" w:hAnsi="Times New Roman" w:cs="Times New Roman"/>
          <w:lang w:val="de-DE"/>
        </w:rPr>
        <w:t>ārvalsts</w:t>
      </w:r>
      <w:proofErr w:type="spellEnd"/>
      <w:r>
        <w:rPr>
          <w:rFonts w:ascii="Times New Roman" w:hAnsi="Times New Roman" w:cs="Times New Roman"/>
          <w:lang w:val="de-DE"/>
        </w:rPr>
        <w:t xml:space="preserve"> </w:t>
      </w:r>
      <w:proofErr w:type="spellStart"/>
      <w:r>
        <w:rPr>
          <w:rFonts w:ascii="Times New Roman" w:hAnsi="Times New Roman" w:cs="Times New Roman"/>
          <w:lang w:val="de-DE"/>
        </w:rPr>
        <w:t>dokuments</w:t>
      </w:r>
      <w:proofErr w:type="spellEnd"/>
      <w:r>
        <w:rPr>
          <w:rFonts w:ascii="Times New Roman" w:hAnsi="Times New Roman" w:cs="Times New Roman"/>
          <w:lang w:val="de-DE"/>
        </w:rPr>
        <w:t>“</w:t>
      </w:r>
      <w:r w:rsidRPr="00953100">
        <w:rPr>
          <w:rFonts w:ascii="Times New Roman" w:hAnsi="Times New Roman" w:cs="Times New Roman"/>
          <w:lang w:val="de-DE"/>
        </w:rPr>
        <w:t xml:space="preserve"> </w:t>
      </w:r>
      <w:proofErr w:type="spellStart"/>
      <w:r w:rsidRPr="00953100">
        <w:rPr>
          <w:rFonts w:ascii="Times New Roman" w:hAnsi="Times New Roman" w:cs="Times New Roman"/>
          <w:lang w:val="de-DE"/>
        </w:rPr>
        <w:t>ir</w:t>
      </w:r>
      <w:proofErr w:type="spellEnd"/>
      <w:r w:rsidRPr="00953100">
        <w:rPr>
          <w:rFonts w:ascii="Times New Roman" w:hAnsi="Times New Roman" w:cs="Times New Roman"/>
          <w:lang w:val="de-DE"/>
        </w:rPr>
        <w:t xml:space="preserve"> </w:t>
      </w:r>
      <w:proofErr w:type="spellStart"/>
      <w:r w:rsidRPr="00953100">
        <w:rPr>
          <w:rFonts w:ascii="Times New Roman" w:hAnsi="Times New Roman" w:cs="Times New Roman"/>
          <w:lang w:val="de-DE"/>
        </w:rPr>
        <w:t>ļoti</w:t>
      </w:r>
      <w:proofErr w:type="spellEnd"/>
      <w:r w:rsidRPr="00953100">
        <w:rPr>
          <w:rFonts w:ascii="Times New Roman" w:hAnsi="Times New Roman" w:cs="Times New Roman"/>
          <w:lang w:val="de-DE"/>
        </w:rPr>
        <w:t xml:space="preserve"> </w:t>
      </w:r>
      <w:proofErr w:type="spellStart"/>
      <w:r w:rsidRPr="00953100">
        <w:rPr>
          <w:rFonts w:ascii="Times New Roman" w:hAnsi="Times New Roman" w:cs="Times New Roman"/>
          <w:lang w:val="de-DE"/>
        </w:rPr>
        <w:t>plašs</w:t>
      </w:r>
      <w:proofErr w:type="spellEnd"/>
      <w:r w:rsidRPr="00953100">
        <w:rPr>
          <w:rFonts w:ascii="Times New Roman" w:hAnsi="Times New Roman" w:cs="Times New Roman"/>
          <w:lang w:val="de-DE"/>
        </w:rPr>
        <w:t xml:space="preserve">, </w:t>
      </w:r>
      <w:proofErr w:type="spellStart"/>
      <w:r w:rsidRPr="00953100">
        <w:rPr>
          <w:rFonts w:ascii="Times New Roman" w:hAnsi="Times New Roman" w:cs="Times New Roman"/>
          <w:lang w:val="de-DE"/>
        </w:rPr>
        <w:t>tad</w:t>
      </w:r>
      <w:proofErr w:type="spellEnd"/>
      <w:r w:rsidRPr="00953100">
        <w:rPr>
          <w:rFonts w:ascii="Times New Roman" w:hAnsi="Times New Roman" w:cs="Times New Roman"/>
          <w:lang w:val="de-DE"/>
        </w:rPr>
        <w:t xml:space="preserve"> </w:t>
      </w:r>
      <w:proofErr w:type="spellStart"/>
      <w:r w:rsidRPr="00953100">
        <w:rPr>
          <w:rFonts w:ascii="Times New Roman" w:hAnsi="Times New Roman" w:cs="Times New Roman"/>
          <w:lang w:val="de-DE"/>
        </w:rPr>
        <w:t>Notariāta</w:t>
      </w:r>
      <w:proofErr w:type="spellEnd"/>
      <w:r w:rsidRPr="00953100">
        <w:rPr>
          <w:rFonts w:ascii="Times New Roman" w:hAnsi="Times New Roman" w:cs="Times New Roman"/>
          <w:lang w:val="de-DE"/>
        </w:rPr>
        <w:t xml:space="preserve"> </w:t>
      </w:r>
      <w:proofErr w:type="spellStart"/>
      <w:r w:rsidRPr="00953100">
        <w:rPr>
          <w:rFonts w:ascii="Times New Roman" w:hAnsi="Times New Roman" w:cs="Times New Roman"/>
          <w:lang w:val="de-DE"/>
        </w:rPr>
        <w:t>likuma</w:t>
      </w:r>
      <w:proofErr w:type="spellEnd"/>
      <w:r w:rsidRPr="00953100">
        <w:rPr>
          <w:rFonts w:ascii="Times New Roman" w:hAnsi="Times New Roman" w:cs="Times New Roman"/>
          <w:lang w:val="de-DE"/>
        </w:rPr>
        <w:t xml:space="preserve"> </w:t>
      </w:r>
      <w:proofErr w:type="spellStart"/>
      <w:r w:rsidRPr="00953100">
        <w:rPr>
          <w:rFonts w:ascii="Times New Roman" w:hAnsi="Times New Roman" w:cs="Times New Roman"/>
          <w:lang w:val="de-DE"/>
        </w:rPr>
        <w:t>ietvaros</w:t>
      </w:r>
      <w:proofErr w:type="spellEnd"/>
      <w:r w:rsidRPr="00953100">
        <w:rPr>
          <w:rFonts w:ascii="Times New Roman" w:hAnsi="Times New Roman" w:cs="Times New Roman"/>
          <w:lang w:val="de-DE"/>
        </w:rPr>
        <w:t xml:space="preserve"> </w:t>
      </w:r>
      <w:proofErr w:type="spellStart"/>
      <w:r w:rsidRPr="00953100">
        <w:rPr>
          <w:rFonts w:ascii="Times New Roman" w:hAnsi="Times New Roman" w:cs="Times New Roman"/>
          <w:lang w:val="de-DE"/>
        </w:rPr>
        <w:t>šo</w:t>
      </w:r>
      <w:proofErr w:type="spellEnd"/>
      <w:r w:rsidRPr="00953100">
        <w:rPr>
          <w:rFonts w:ascii="Times New Roman" w:hAnsi="Times New Roman" w:cs="Times New Roman"/>
          <w:lang w:val="de-DE"/>
        </w:rPr>
        <w:t xml:space="preserve"> </w:t>
      </w:r>
      <w:proofErr w:type="spellStart"/>
      <w:r w:rsidRPr="00953100">
        <w:rPr>
          <w:rFonts w:ascii="Times New Roman" w:hAnsi="Times New Roman" w:cs="Times New Roman"/>
          <w:lang w:val="de-DE"/>
        </w:rPr>
        <w:t>jēd</w:t>
      </w:r>
      <w:r>
        <w:rPr>
          <w:rFonts w:ascii="Times New Roman" w:hAnsi="Times New Roman" w:cs="Times New Roman"/>
          <w:lang w:val="de-DE"/>
        </w:rPr>
        <w:t>zienu</w:t>
      </w:r>
      <w:proofErr w:type="spellEnd"/>
      <w:r>
        <w:rPr>
          <w:rFonts w:ascii="Times New Roman" w:hAnsi="Times New Roman" w:cs="Times New Roman"/>
          <w:lang w:val="de-DE"/>
        </w:rPr>
        <w:t xml:space="preserve"> </w:t>
      </w:r>
      <w:proofErr w:type="spellStart"/>
      <w:r>
        <w:rPr>
          <w:rFonts w:ascii="Times New Roman" w:hAnsi="Times New Roman" w:cs="Times New Roman"/>
          <w:lang w:val="de-DE"/>
        </w:rPr>
        <w:t>vajadzētu</w:t>
      </w:r>
      <w:proofErr w:type="spellEnd"/>
      <w:r>
        <w:rPr>
          <w:rFonts w:ascii="Times New Roman" w:hAnsi="Times New Roman" w:cs="Times New Roman"/>
          <w:lang w:val="de-DE"/>
        </w:rPr>
        <w:t xml:space="preserve"> </w:t>
      </w:r>
      <w:proofErr w:type="spellStart"/>
      <w:r>
        <w:rPr>
          <w:rFonts w:ascii="Times New Roman" w:hAnsi="Times New Roman" w:cs="Times New Roman"/>
          <w:lang w:val="de-DE"/>
        </w:rPr>
        <w:t>sašaurināt</w:t>
      </w:r>
      <w:proofErr w:type="spellEnd"/>
      <w:r>
        <w:rPr>
          <w:rFonts w:ascii="Times New Roman" w:hAnsi="Times New Roman" w:cs="Times New Roman"/>
          <w:lang w:val="de-DE"/>
        </w:rPr>
        <w:t xml:space="preserve"> </w:t>
      </w:r>
      <w:proofErr w:type="spellStart"/>
      <w:r>
        <w:rPr>
          <w:rFonts w:ascii="Times New Roman" w:hAnsi="Times New Roman" w:cs="Times New Roman"/>
          <w:lang w:val="de-DE"/>
        </w:rPr>
        <w:t>uz</w:t>
      </w:r>
      <w:proofErr w:type="spellEnd"/>
      <w:r>
        <w:rPr>
          <w:rFonts w:ascii="Times New Roman" w:hAnsi="Times New Roman" w:cs="Times New Roman"/>
          <w:lang w:val="de-DE"/>
        </w:rPr>
        <w:t xml:space="preserve"> „</w:t>
      </w:r>
      <w:proofErr w:type="spellStart"/>
      <w:r>
        <w:rPr>
          <w:rFonts w:ascii="Times New Roman" w:hAnsi="Times New Roman" w:cs="Times New Roman"/>
          <w:lang w:val="de-DE"/>
        </w:rPr>
        <w:t>ārvalstu</w:t>
      </w:r>
      <w:proofErr w:type="spellEnd"/>
      <w:r>
        <w:rPr>
          <w:rFonts w:ascii="Times New Roman" w:hAnsi="Times New Roman" w:cs="Times New Roman"/>
          <w:lang w:val="de-DE"/>
        </w:rPr>
        <w:t xml:space="preserve"> </w:t>
      </w:r>
      <w:proofErr w:type="spellStart"/>
      <w:r>
        <w:rPr>
          <w:rFonts w:ascii="Times New Roman" w:hAnsi="Times New Roman" w:cs="Times New Roman"/>
          <w:lang w:val="de-DE"/>
        </w:rPr>
        <w:t>publisko</w:t>
      </w:r>
      <w:proofErr w:type="spellEnd"/>
      <w:r>
        <w:rPr>
          <w:rFonts w:ascii="Times New Roman" w:hAnsi="Times New Roman" w:cs="Times New Roman"/>
          <w:lang w:val="de-DE"/>
        </w:rPr>
        <w:t xml:space="preserve"> </w:t>
      </w:r>
      <w:proofErr w:type="spellStart"/>
      <w:r>
        <w:rPr>
          <w:rFonts w:ascii="Times New Roman" w:hAnsi="Times New Roman" w:cs="Times New Roman"/>
          <w:lang w:val="de-DE"/>
        </w:rPr>
        <w:t>dokumentu</w:t>
      </w:r>
      <w:proofErr w:type="spellEnd"/>
      <w:r>
        <w:rPr>
          <w:rFonts w:ascii="Times New Roman" w:hAnsi="Times New Roman" w:cs="Times New Roman"/>
          <w:lang w:val="de-DE"/>
        </w:rPr>
        <w:t>“</w:t>
      </w:r>
      <w:r w:rsidRPr="00953100">
        <w:rPr>
          <w:rFonts w:ascii="Times New Roman" w:hAnsi="Times New Roman" w:cs="Times New Roman"/>
          <w:lang w:val="de-DE"/>
        </w:rPr>
        <w:t xml:space="preserve"> (</w:t>
      </w:r>
      <w:proofErr w:type="spellStart"/>
      <w:r w:rsidRPr="00953100">
        <w:rPr>
          <w:rFonts w:ascii="Times New Roman" w:hAnsi="Times New Roman" w:cs="Times New Roman"/>
          <w:lang w:val="de-DE"/>
        </w:rPr>
        <w:t>skat</w:t>
      </w:r>
      <w:proofErr w:type="spellEnd"/>
      <w:r w:rsidRPr="00953100">
        <w:rPr>
          <w:rFonts w:ascii="Times New Roman" w:hAnsi="Times New Roman" w:cs="Times New Roman"/>
          <w:lang w:val="de-DE"/>
        </w:rPr>
        <w:t xml:space="preserve">. 83.p.) </w:t>
      </w:r>
      <w:proofErr w:type="spellStart"/>
      <w:r w:rsidRPr="00953100">
        <w:rPr>
          <w:rFonts w:ascii="Times New Roman" w:hAnsi="Times New Roman" w:cs="Times New Roman"/>
          <w:lang w:val="de-DE"/>
        </w:rPr>
        <w:t>izpratnes</w:t>
      </w:r>
      <w:proofErr w:type="spellEnd"/>
      <w:r w:rsidRPr="00953100">
        <w:rPr>
          <w:rFonts w:ascii="Times New Roman" w:hAnsi="Times New Roman" w:cs="Times New Roman"/>
          <w:lang w:val="de-DE"/>
        </w:rPr>
        <w:t xml:space="preserve"> </w:t>
      </w:r>
      <w:proofErr w:type="spellStart"/>
      <w:r w:rsidRPr="00953100">
        <w:rPr>
          <w:rFonts w:ascii="Times New Roman" w:hAnsi="Times New Roman" w:cs="Times New Roman"/>
          <w:lang w:val="de-DE"/>
        </w:rPr>
        <w:t>robežām</w:t>
      </w:r>
      <w:proofErr w:type="spellEnd"/>
      <w:r w:rsidRPr="00953100">
        <w:rPr>
          <w:rFonts w:ascii="Times New Roman" w:hAnsi="Times New Roman" w:cs="Times New Roman"/>
          <w:lang w:val="de-DE"/>
        </w:rPr>
        <w:t>.</w:t>
      </w:r>
    </w:p>
    <w:p w14:paraId="7BD9C3EA" w14:textId="77777777" w:rsidR="00114953" w:rsidRPr="00953100" w:rsidRDefault="00114953" w:rsidP="00114953">
      <w:pPr>
        <w:jc w:val="both"/>
        <w:rPr>
          <w:rFonts w:ascii="Times New Roman" w:hAnsi="Times New Roman" w:cs="Times New Roman"/>
          <w:b/>
          <w:lang w:val="de-DE"/>
        </w:rPr>
      </w:pPr>
    </w:p>
    <w:p w14:paraId="6C3DE62F" w14:textId="77777777" w:rsidR="00114953" w:rsidRPr="00BF106F" w:rsidRDefault="00114953" w:rsidP="00114953">
      <w:pPr>
        <w:jc w:val="both"/>
        <w:rPr>
          <w:rFonts w:ascii="Times New Roman" w:hAnsi="Times New Roman" w:cs="Times New Roman"/>
          <w:i/>
          <w:lang w:val="lv-LV"/>
        </w:rPr>
      </w:pPr>
      <w:r>
        <w:rPr>
          <w:rFonts w:ascii="Times New Roman" w:hAnsi="Times New Roman" w:cs="Times New Roman"/>
          <w:i/>
          <w:lang w:val="lv-LV"/>
        </w:rPr>
        <w:t>Skat. atbildi uz 4.jautājumu</w:t>
      </w:r>
      <w:r w:rsidRPr="00BF106F">
        <w:rPr>
          <w:rFonts w:ascii="Times New Roman" w:hAnsi="Times New Roman" w:cs="Times New Roman"/>
          <w:i/>
          <w:lang w:val="lv-LV"/>
        </w:rPr>
        <w:t>.</w:t>
      </w:r>
    </w:p>
    <w:p w14:paraId="1DB494C9" w14:textId="77777777" w:rsidR="00114953" w:rsidRDefault="00114953" w:rsidP="00114953">
      <w:pPr>
        <w:jc w:val="both"/>
        <w:rPr>
          <w:rFonts w:ascii="Times New Roman" w:hAnsi="Times New Roman" w:cs="Times New Roman"/>
        </w:rPr>
      </w:pPr>
    </w:p>
    <w:p w14:paraId="33BC924D" w14:textId="77777777" w:rsidR="00114953" w:rsidRDefault="00114953" w:rsidP="00114953">
      <w:pPr>
        <w:jc w:val="both"/>
        <w:rPr>
          <w:rFonts w:ascii="Times New Roman" w:hAnsi="Times New Roman" w:cs="Times New Roman"/>
        </w:rPr>
      </w:pPr>
    </w:p>
    <w:p w14:paraId="64455F0D" w14:textId="77777777" w:rsidR="00114953" w:rsidRDefault="00114953" w:rsidP="00114953">
      <w:pPr>
        <w:jc w:val="both"/>
        <w:rPr>
          <w:rFonts w:ascii="Times New Roman" w:hAnsi="Times New Roman" w:cs="Times New Roman"/>
        </w:rPr>
      </w:pPr>
    </w:p>
    <w:tbl>
      <w:tblPr>
        <w:tblStyle w:val="TableGrid"/>
        <w:tblW w:w="0" w:type="auto"/>
        <w:tblLook w:val="04A0" w:firstRow="1" w:lastRow="0" w:firstColumn="1" w:lastColumn="0" w:noHBand="0" w:noVBand="1"/>
      </w:tblPr>
      <w:tblGrid>
        <w:gridCol w:w="9206"/>
      </w:tblGrid>
      <w:tr w:rsidR="00114953" w14:paraId="420928B8" w14:textId="77777777" w:rsidTr="00BF3A72">
        <w:tc>
          <w:tcPr>
            <w:tcW w:w="9206" w:type="dxa"/>
            <w:shd w:val="clear" w:color="auto" w:fill="D9D9D9" w:themeFill="background1" w:themeFillShade="D9"/>
          </w:tcPr>
          <w:p w14:paraId="545C4FB6" w14:textId="77777777" w:rsidR="00114953" w:rsidRPr="006C311A" w:rsidRDefault="00114953" w:rsidP="00BF3A72">
            <w:pPr>
              <w:jc w:val="both"/>
              <w:rPr>
                <w:b/>
              </w:rPr>
            </w:pPr>
            <w:r w:rsidRPr="006C311A">
              <w:rPr>
                <w:b/>
              </w:rPr>
              <w:t xml:space="preserve">4. </w:t>
            </w:r>
            <w:proofErr w:type="spellStart"/>
            <w:r w:rsidRPr="006C311A">
              <w:rPr>
                <w:b/>
              </w:rPr>
              <w:t>Kādām</w:t>
            </w:r>
            <w:proofErr w:type="spellEnd"/>
            <w:r w:rsidRPr="006C311A">
              <w:rPr>
                <w:b/>
              </w:rPr>
              <w:t xml:space="preserve"> </w:t>
            </w:r>
            <w:proofErr w:type="spellStart"/>
            <w:r w:rsidRPr="006C311A">
              <w:rPr>
                <w:b/>
              </w:rPr>
              <w:t>prasībām</w:t>
            </w:r>
            <w:proofErr w:type="spellEnd"/>
            <w:r w:rsidRPr="006C311A">
              <w:rPr>
                <w:b/>
              </w:rPr>
              <w:t xml:space="preserve"> </w:t>
            </w:r>
            <w:proofErr w:type="spellStart"/>
            <w:r w:rsidRPr="006C311A">
              <w:rPr>
                <w:b/>
              </w:rPr>
              <w:t>jāatbilst</w:t>
            </w:r>
            <w:proofErr w:type="spellEnd"/>
            <w:r w:rsidRPr="006C311A">
              <w:rPr>
                <w:b/>
              </w:rPr>
              <w:t xml:space="preserve"> </w:t>
            </w:r>
            <w:proofErr w:type="spellStart"/>
            <w:r w:rsidRPr="006C311A">
              <w:rPr>
                <w:b/>
              </w:rPr>
              <w:t>ārvalstu</w:t>
            </w:r>
            <w:proofErr w:type="spellEnd"/>
            <w:r w:rsidRPr="006C311A">
              <w:rPr>
                <w:b/>
              </w:rPr>
              <w:t xml:space="preserve"> </w:t>
            </w:r>
            <w:proofErr w:type="spellStart"/>
            <w:r w:rsidRPr="006C311A">
              <w:rPr>
                <w:b/>
              </w:rPr>
              <w:t>dokumentu</w:t>
            </w:r>
            <w:proofErr w:type="spellEnd"/>
            <w:r w:rsidRPr="006C311A">
              <w:rPr>
                <w:b/>
              </w:rPr>
              <w:t xml:space="preserve"> </w:t>
            </w:r>
            <w:proofErr w:type="spellStart"/>
            <w:r w:rsidRPr="001A3712">
              <w:rPr>
                <w:b/>
                <w:u w:val="single"/>
              </w:rPr>
              <w:t>formai</w:t>
            </w:r>
            <w:proofErr w:type="spellEnd"/>
            <w:r w:rsidRPr="001A3712">
              <w:rPr>
                <w:b/>
                <w:u w:val="single"/>
              </w:rPr>
              <w:t xml:space="preserve"> </w:t>
            </w:r>
            <w:proofErr w:type="spellStart"/>
            <w:r w:rsidRPr="001A3712">
              <w:rPr>
                <w:b/>
                <w:u w:val="single"/>
              </w:rPr>
              <w:t>un</w:t>
            </w:r>
            <w:proofErr w:type="spellEnd"/>
            <w:r w:rsidRPr="001A3712">
              <w:rPr>
                <w:b/>
                <w:u w:val="single"/>
              </w:rPr>
              <w:t xml:space="preserve"> </w:t>
            </w:r>
            <w:proofErr w:type="spellStart"/>
            <w:r w:rsidRPr="001A3712">
              <w:rPr>
                <w:b/>
                <w:u w:val="single"/>
              </w:rPr>
              <w:t>saturam</w:t>
            </w:r>
            <w:proofErr w:type="spellEnd"/>
            <w:r w:rsidRPr="006C311A">
              <w:rPr>
                <w:b/>
              </w:rPr>
              <w:t xml:space="preserve">, </w:t>
            </w:r>
            <w:proofErr w:type="spellStart"/>
            <w:r w:rsidRPr="006C311A">
              <w:rPr>
                <w:b/>
              </w:rPr>
              <w:t>lai</w:t>
            </w:r>
            <w:proofErr w:type="spellEnd"/>
            <w:r w:rsidRPr="006C311A">
              <w:rPr>
                <w:b/>
              </w:rPr>
              <w:t xml:space="preserve"> Latvijas </w:t>
            </w:r>
            <w:proofErr w:type="spellStart"/>
            <w:r w:rsidRPr="006C311A">
              <w:rPr>
                <w:b/>
              </w:rPr>
              <w:t>zvērināts</w:t>
            </w:r>
            <w:proofErr w:type="spellEnd"/>
            <w:r w:rsidRPr="006C311A">
              <w:rPr>
                <w:b/>
              </w:rPr>
              <w:t xml:space="preserve"> </w:t>
            </w:r>
            <w:proofErr w:type="spellStart"/>
            <w:r w:rsidRPr="006C311A">
              <w:rPr>
                <w:b/>
              </w:rPr>
              <w:t>notārs</w:t>
            </w:r>
            <w:proofErr w:type="spellEnd"/>
            <w:r w:rsidRPr="006C311A">
              <w:rPr>
                <w:b/>
              </w:rPr>
              <w:t xml:space="preserve"> </w:t>
            </w:r>
            <w:proofErr w:type="spellStart"/>
            <w:r w:rsidRPr="006C311A">
              <w:rPr>
                <w:b/>
              </w:rPr>
              <w:t>drīkstētu</w:t>
            </w:r>
            <w:proofErr w:type="spellEnd"/>
            <w:r w:rsidRPr="006C311A">
              <w:rPr>
                <w:b/>
              </w:rPr>
              <w:t xml:space="preserve"> </w:t>
            </w:r>
            <w:proofErr w:type="spellStart"/>
            <w:r>
              <w:rPr>
                <w:b/>
              </w:rPr>
              <w:t>to</w:t>
            </w:r>
            <w:proofErr w:type="spellEnd"/>
            <w:r>
              <w:rPr>
                <w:b/>
              </w:rPr>
              <w:t xml:space="preserve"> </w:t>
            </w:r>
            <w:proofErr w:type="spellStart"/>
            <w:r w:rsidRPr="006C311A">
              <w:rPr>
                <w:b/>
              </w:rPr>
              <w:t>izmantot</w:t>
            </w:r>
            <w:proofErr w:type="spellEnd"/>
            <w:r w:rsidRPr="006C311A">
              <w:rPr>
                <w:b/>
              </w:rPr>
              <w:t xml:space="preserve">, </w:t>
            </w:r>
            <w:proofErr w:type="spellStart"/>
            <w:r w:rsidRPr="006C311A">
              <w:rPr>
                <w:b/>
              </w:rPr>
              <w:t>taisot</w:t>
            </w:r>
            <w:proofErr w:type="spellEnd"/>
            <w:r w:rsidRPr="006C311A">
              <w:rPr>
                <w:b/>
              </w:rPr>
              <w:t xml:space="preserve"> </w:t>
            </w:r>
            <w:proofErr w:type="spellStart"/>
            <w:r w:rsidRPr="006C311A">
              <w:rPr>
                <w:b/>
              </w:rPr>
              <w:t>notariālos</w:t>
            </w:r>
            <w:proofErr w:type="spellEnd"/>
            <w:r w:rsidRPr="006C311A">
              <w:rPr>
                <w:b/>
              </w:rPr>
              <w:t xml:space="preserve"> </w:t>
            </w:r>
            <w:proofErr w:type="spellStart"/>
            <w:r w:rsidRPr="006C311A">
              <w:rPr>
                <w:b/>
              </w:rPr>
              <w:t>aktus</w:t>
            </w:r>
            <w:proofErr w:type="spellEnd"/>
            <w:r w:rsidRPr="006C311A">
              <w:rPr>
                <w:b/>
              </w:rPr>
              <w:t xml:space="preserve"> </w:t>
            </w:r>
            <w:proofErr w:type="spellStart"/>
            <w:r w:rsidRPr="006C311A">
              <w:rPr>
                <w:b/>
              </w:rPr>
              <w:t>un</w:t>
            </w:r>
            <w:proofErr w:type="spellEnd"/>
            <w:r w:rsidRPr="006C311A">
              <w:rPr>
                <w:b/>
              </w:rPr>
              <w:t xml:space="preserve"> </w:t>
            </w:r>
            <w:proofErr w:type="spellStart"/>
            <w:proofErr w:type="gramStart"/>
            <w:r w:rsidRPr="006C311A">
              <w:rPr>
                <w:b/>
              </w:rPr>
              <w:t>apliecinājumus</w:t>
            </w:r>
            <w:proofErr w:type="spellEnd"/>
            <w:r w:rsidRPr="006C311A">
              <w:rPr>
                <w:b/>
              </w:rPr>
              <w:t> ?</w:t>
            </w:r>
            <w:proofErr w:type="gramEnd"/>
          </w:p>
          <w:p w14:paraId="746AD8B9" w14:textId="77777777" w:rsidR="00114953" w:rsidRDefault="00114953" w:rsidP="00BF3A72">
            <w:pPr>
              <w:jc w:val="both"/>
              <w:rPr>
                <w:b/>
              </w:rPr>
            </w:pPr>
          </w:p>
        </w:tc>
      </w:tr>
    </w:tbl>
    <w:p w14:paraId="746BE9E4" w14:textId="77777777" w:rsidR="00114953" w:rsidRDefault="00114953" w:rsidP="00114953">
      <w:pPr>
        <w:jc w:val="both"/>
        <w:rPr>
          <w:rFonts w:ascii="Times New Roman" w:hAnsi="Times New Roman" w:cs="Times New Roman"/>
        </w:rPr>
      </w:pPr>
    </w:p>
    <w:p w14:paraId="6AF8C1DE" w14:textId="77777777" w:rsidR="00114953" w:rsidRDefault="00114953" w:rsidP="00114953">
      <w:pPr>
        <w:jc w:val="both"/>
        <w:rPr>
          <w:rFonts w:ascii="Times New Roman" w:hAnsi="Times New Roman" w:cs="Times New Roman"/>
        </w:rPr>
      </w:pPr>
    </w:p>
    <w:p w14:paraId="64324D2B" w14:textId="77777777" w:rsidR="00114953" w:rsidRDefault="00114953" w:rsidP="00114953">
      <w:pPr>
        <w:jc w:val="both"/>
        <w:rPr>
          <w:rFonts w:asciiTheme="majorBidi" w:hAnsiTheme="majorBidi" w:cstheme="majorBidi"/>
        </w:rPr>
      </w:pPr>
    </w:p>
    <w:p w14:paraId="78C75DA2" w14:textId="77777777" w:rsidR="00114953" w:rsidRDefault="00114953" w:rsidP="00114953">
      <w:pPr>
        <w:widowControl w:val="0"/>
        <w:autoSpaceDE w:val="0"/>
        <w:autoSpaceDN w:val="0"/>
        <w:adjustRightInd w:val="0"/>
        <w:ind w:firstLine="708"/>
        <w:jc w:val="both"/>
        <w:rPr>
          <w:rFonts w:ascii="Times New Roman" w:hAnsi="Times New Roman" w:cs="Arial"/>
          <w:color w:val="323233"/>
        </w:rPr>
      </w:pPr>
      <w:r>
        <w:rPr>
          <w:rFonts w:ascii="Times New Roman" w:hAnsi="Times New Roman" w:cs="Times New Roman"/>
        </w:rPr>
        <w:t xml:space="preserve">No </w:t>
      </w:r>
      <w:proofErr w:type="spellStart"/>
      <w:r>
        <w:rPr>
          <w:rFonts w:ascii="Times New Roman" w:hAnsi="Times New Roman" w:cs="Times New Roman"/>
        </w:rPr>
        <w:t>Notariāta</w:t>
      </w:r>
      <w:proofErr w:type="spellEnd"/>
      <w:r>
        <w:rPr>
          <w:rFonts w:ascii="Times New Roman" w:hAnsi="Times New Roman" w:cs="Times New Roman"/>
        </w:rPr>
        <w:t xml:space="preserve"> </w:t>
      </w:r>
      <w:proofErr w:type="spellStart"/>
      <w:r>
        <w:rPr>
          <w:rFonts w:ascii="Times New Roman" w:hAnsi="Times New Roman" w:cs="Times New Roman"/>
        </w:rPr>
        <w:t>likuma</w:t>
      </w:r>
      <w:proofErr w:type="spellEnd"/>
      <w:r>
        <w:rPr>
          <w:rFonts w:ascii="Times New Roman" w:hAnsi="Times New Roman" w:cs="Times New Roman"/>
        </w:rPr>
        <w:t xml:space="preserve"> </w:t>
      </w:r>
      <w:proofErr w:type="gramStart"/>
      <w:r>
        <w:rPr>
          <w:rFonts w:ascii="Times New Roman" w:hAnsi="Times New Roman" w:cs="Times New Roman"/>
        </w:rPr>
        <w:t>83.panta</w:t>
      </w:r>
      <w:proofErr w:type="gramEnd"/>
      <w:r>
        <w:rPr>
          <w:rFonts w:ascii="Times New Roman" w:hAnsi="Times New Roman" w:cs="Times New Roman"/>
        </w:rPr>
        <w:t xml:space="preserve"> </w:t>
      </w:r>
      <w:proofErr w:type="spellStart"/>
      <w:r>
        <w:rPr>
          <w:rFonts w:ascii="Times New Roman" w:hAnsi="Times New Roman" w:cs="Times New Roman"/>
        </w:rPr>
        <w:t>otrās</w:t>
      </w:r>
      <w:proofErr w:type="spellEnd"/>
      <w:r>
        <w:rPr>
          <w:rFonts w:ascii="Times New Roman" w:hAnsi="Times New Roman" w:cs="Times New Roman"/>
        </w:rPr>
        <w:t xml:space="preserve"> </w:t>
      </w:r>
      <w:proofErr w:type="spellStart"/>
      <w:r>
        <w:rPr>
          <w:rFonts w:ascii="Times New Roman" w:hAnsi="Times New Roman" w:cs="Times New Roman"/>
        </w:rPr>
        <w:t>daļas</w:t>
      </w:r>
      <w:proofErr w:type="spellEnd"/>
      <w:r>
        <w:rPr>
          <w:rFonts w:ascii="Times New Roman" w:hAnsi="Times New Roman" w:cs="Times New Roman"/>
        </w:rPr>
        <w:t xml:space="preserve"> </w:t>
      </w:r>
      <w:proofErr w:type="spellStart"/>
      <w:r>
        <w:rPr>
          <w:rFonts w:ascii="Times New Roman" w:hAnsi="Times New Roman" w:cs="Times New Roman"/>
        </w:rPr>
        <w:t>izriet</w:t>
      </w:r>
      <w:proofErr w:type="spellEnd"/>
      <w:r>
        <w:rPr>
          <w:rFonts w:ascii="Times New Roman" w:hAnsi="Times New Roman" w:cs="Times New Roman"/>
        </w:rPr>
        <w:t xml:space="preserve">, ka, </w:t>
      </w:r>
      <w:proofErr w:type="spellStart"/>
      <w:r w:rsidRPr="008C1300">
        <w:rPr>
          <w:rFonts w:ascii="Times New Roman" w:hAnsi="Times New Roman" w:cs="Times New Roman"/>
          <w:b/>
          <w:bCs/>
        </w:rPr>
        <w:t>taisot</w:t>
      </w:r>
      <w:proofErr w:type="spellEnd"/>
      <w:r w:rsidRPr="008C1300">
        <w:rPr>
          <w:rFonts w:ascii="Times New Roman" w:hAnsi="Times New Roman" w:cs="Times New Roman"/>
          <w:b/>
          <w:bCs/>
        </w:rPr>
        <w:t xml:space="preserve"> </w:t>
      </w:r>
      <w:proofErr w:type="spellStart"/>
      <w:r w:rsidRPr="008C1300">
        <w:rPr>
          <w:rFonts w:ascii="Times New Roman" w:hAnsi="Times New Roman" w:cs="Times New Roman"/>
          <w:b/>
          <w:bCs/>
        </w:rPr>
        <w:t>notariālos</w:t>
      </w:r>
      <w:proofErr w:type="spellEnd"/>
      <w:r w:rsidRPr="008C1300">
        <w:rPr>
          <w:rFonts w:ascii="Times New Roman" w:hAnsi="Times New Roman" w:cs="Times New Roman"/>
          <w:b/>
          <w:bCs/>
        </w:rPr>
        <w:t xml:space="preserve"> </w:t>
      </w:r>
      <w:proofErr w:type="spellStart"/>
      <w:r w:rsidRPr="008C1300">
        <w:rPr>
          <w:rFonts w:ascii="Times New Roman" w:hAnsi="Times New Roman" w:cs="Times New Roman"/>
          <w:b/>
          <w:bCs/>
        </w:rPr>
        <w:t>aktus</w:t>
      </w:r>
      <w:proofErr w:type="spellEnd"/>
      <w:r>
        <w:rPr>
          <w:rFonts w:ascii="Times New Roman" w:hAnsi="Times New Roman" w:cs="Times New Roman"/>
        </w:rPr>
        <w:t xml:space="preserve">, </w:t>
      </w:r>
      <w:proofErr w:type="spellStart"/>
      <w:r w:rsidRPr="00861A5A">
        <w:rPr>
          <w:rFonts w:ascii="Times New Roman" w:hAnsi="Times New Roman" w:cs="Arial"/>
          <w:color w:val="323233"/>
          <w:u w:val="single"/>
        </w:rPr>
        <w:t>pārstāvības</w:t>
      </w:r>
      <w:proofErr w:type="spellEnd"/>
      <w:r w:rsidRPr="00861A5A">
        <w:rPr>
          <w:rFonts w:ascii="Times New Roman" w:hAnsi="Times New Roman" w:cs="Arial"/>
          <w:color w:val="323233"/>
          <w:u w:val="single"/>
        </w:rPr>
        <w:t xml:space="preserve"> </w:t>
      </w:r>
      <w:proofErr w:type="spellStart"/>
      <w:r w:rsidRPr="00861A5A">
        <w:rPr>
          <w:rFonts w:ascii="Times New Roman" w:hAnsi="Times New Roman" w:cs="Arial"/>
          <w:color w:val="323233"/>
          <w:u w:val="single"/>
        </w:rPr>
        <w:t>tiesības</w:t>
      </w:r>
      <w:proofErr w:type="spellEnd"/>
      <w:r w:rsidRPr="00861A5A">
        <w:rPr>
          <w:rFonts w:ascii="Times New Roman" w:hAnsi="Times New Roman" w:cs="Arial"/>
          <w:color w:val="323233"/>
          <w:u w:val="single"/>
        </w:rPr>
        <w:t xml:space="preserve"> </w:t>
      </w:r>
      <w:proofErr w:type="spellStart"/>
      <w:r w:rsidRPr="00861A5A">
        <w:rPr>
          <w:rFonts w:ascii="Times New Roman" w:hAnsi="Times New Roman" w:cs="Arial"/>
          <w:color w:val="323233"/>
          <w:u w:val="single"/>
        </w:rPr>
        <w:t>zvērināts</w:t>
      </w:r>
      <w:proofErr w:type="spellEnd"/>
      <w:r w:rsidRPr="00861A5A">
        <w:rPr>
          <w:rFonts w:ascii="Times New Roman" w:hAnsi="Times New Roman" w:cs="Arial"/>
          <w:color w:val="323233"/>
          <w:u w:val="single"/>
        </w:rPr>
        <w:t xml:space="preserve"> </w:t>
      </w:r>
      <w:proofErr w:type="spellStart"/>
      <w:r w:rsidRPr="00861A5A">
        <w:rPr>
          <w:rFonts w:ascii="Times New Roman" w:hAnsi="Times New Roman" w:cs="Arial"/>
          <w:color w:val="323233"/>
          <w:u w:val="single"/>
        </w:rPr>
        <w:t>notārs</w:t>
      </w:r>
      <w:proofErr w:type="spellEnd"/>
      <w:r w:rsidRPr="00861A5A">
        <w:rPr>
          <w:rFonts w:ascii="Times New Roman" w:hAnsi="Times New Roman" w:cs="Arial"/>
          <w:color w:val="323233"/>
          <w:u w:val="single"/>
        </w:rPr>
        <w:t xml:space="preserve"> </w:t>
      </w:r>
      <w:proofErr w:type="spellStart"/>
      <w:r w:rsidRPr="00861A5A">
        <w:rPr>
          <w:rFonts w:ascii="Times New Roman" w:hAnsi="Times New Roman" w:cs="Arial"/>
          <w:color w:val="323233"/>
          <w:u w:val="single"/>
        </w:rPr>
        <w:t>pārbauda</w:t>
      </w:r>
      <w:proofErr w:type="spellEnd"/>
      <w:r w:rsidRPr="00D44604">
        <w:rPr>
          <w:rFonts w:ascii="Times New Roman" w:hAnsi="Times New Roman" w:cs="Arial"/>
          <w:color w:val="323233"/>
        </w:rPr>
        <w:t xml:space="preserve"> </w:t>
      </w:r>
      <w:proofErr w:type="spellStart"/>
      <w:r w:rsidRPr="00D44604">
        <w:rPr>
          <w:rFonts w:ascii="Times New Roman" w:hAnsi="Times New Roman" w:cs="Arial"/>
          <w:color w:val="323233"/>
        </w:rPr>
        <w:t>pēc</w:t>
      </w:r>
      <w:proofErr w:type="spellEnd"/>
      <w:r w:rsidRPr="00D44604">
        <w:rPr>
          <w:rFonts w:ascii="Times New Roman" w:hAnsi="Times New Roman" w:cs="Arial"/>
          <w:color w:val="323233"/>
        </w:rPr>
        <w:t xml:space="preserve"> </w:t>
      </w:r>
      <w:proofErr w:type="spellStart"/>
      <w:r w:rsidRPr="00D44604">
        <w:rPr>
          <w:rFonts w:ascii="Times New Roman" w:hAnsi="Times New Roman" w:cs="Arial"/>
          <w:color w:val="323233"/>
        </w:rPr>
        <w:t>viņam</w:t>
      </w:r>
      <w:proofErr w:type="spellEnd"/>
      <w:r w:rsidRPr="00D44604">
        <w:rPr>
          <w:rFonts w:ascii="Times New Roman" w:hAnsi="Times New Roman" w:cs="Arial"/>
          <w:color w:val="323233"/>
        </w:rPr>
        <w:t xml:space="preserve"> </w:t>
      </w:r>
      <w:proofErr w:type="spellStart"/>
      <w:r w:rsidRPr="00D44604">
        <w:rPr>
          <w:rFonts w:ascii="Times New Roman" w:hAnsi="Times New Roman" w:cs="Arial"/>
          <w:color w:val="323233"/>
        </w:rPr>
        <w:t>iesniegtajiem</w:t>
      </w:r>
      <w:proofErr w:type="spellEnd"/>
      <w:r w:rsidRPr="00D44604">
        <w:rPr>
          <w:rFonts w:ascii="Times New Roman" w:hAnsi="Times New Roman" w:cs="Arial"/>
          <w:color w:val="323233"/>
        </w:rPr>
        <w:t xml:space="preserve"> </w:t>
      </w:r>
      <w:proofErr w:type="spellStart"/>
      <w:r w:rsidRPr="00BD43B2">
        <w:rPr>
          <w:rFonts w:ascii="Times New Roman" w:hAnsi="Times New Roman" w:cs="Arial"/>
          <w:color w:val="323233"/>
          <w:u w:val="single"/>
        </w:rPr>
        <w:t>publiskiem</w:t>
      </w:r>
      <w:proofErr w:type="spellEnd"/>
      <w:r w:rsidRPr="00BD43B2">
        <w:rPr>
          <w:rFonts w:ascii="Times New Roman" w:hAnsi="Times New Roman" w:cs="Arial"/>
          <w:color w:val="323233"/>
          <w:u w:val="single"/>
        </w:rPr>
        <w:t xml:space="preserve"> </w:t>
      </w:r>
      <w:proofErr w:type="spellStart"/>
      <w:r w:rsidRPr="00BD43B2">
        <w:rPr>
          <w:rFonts w:ascii="Times New Roman" w:hAnsi="Times New Roman" w:cs="Arial"/>
          <w:color w:val="323233"/>
          <w:u w:val="single"/>
        </w:rPr>
        <w:t>dokumentiem</w:t>
      </w:r>
      <w:proofErr w:type="spellEnd"/>
      <w:r w:rsidRPr="00D44604">
        <w:rPr>
          <w:rFonts w:ascii="Times New Roman" w:hAnsi="Times New Roman" w:cs="Arial"/>
          <w:color w:val="323233"/>
        </w:rPr>
        <w:t xml:space="preserve"> </w:t>
      </w:r>
      <w:proofErr w:type="spellStart"/>
      <w:r w:rsidRPr="00D44604">
        <w:rPr>
          <w:rFonts w:ascii="Times New Roman" w:hAnsi="Times New Roman" w:cs="Arial"/>
          <w:color w:val="323233"/>
        </w:rPr>
        <w:t>vai</w:t>
      </w:r>
      <w:proofErr w:type="spellEnd"/>
      <w:r w:rsidRPr="00D44604">
        <w:rPr>
          <w:rFonts w:ascii="Times New Roman" w:hAnsi="Times New Roman" w:cs="Arial"/>
          <w:color w:val="323233"/>
        </w:rPr>
        <w:t xml:space="preserve"> </w:t>
      </w:r>
      <w:proofErr w:type="spellStart"/>
      <w:r w:rsidRPr="00D44604">
        <w:rPr>
          <w:rFonts w:ascii="Times New Roman" w:hAnsi="Times New Roman" w:cs="Arial"/>
          <w:color w:val="323233"/>
        </w:rPr>
        <w:t>ierakstiem</w:t>
      </w:r>
      <w:proofErr w:type="spellEnd"/>
      <w:r w:rsidRPr="00D44604">
        <w:rPr>
          <w:rFonts w:ascii="Times New Roman" w:hAnsi="Times New Roman" w:cs="Arial"/>
          <w:color w:val="323233"/>
        </w:rPr>
        <w:t xml:space="preserve"> </w:t>
      </w:r>
      <w:proofErr w:type="spellStart"/>
      <w:r w:rsidRPr="00D44604">
        <w:rPr>
          <w:rFonts w:ascii="Times New Roman" w:hAnsi="Times New Roman" w:cs="Arial"/>
          <w:color w:val="323233"/>
        </w:rPr>
        <w:t>Komercreģistrā</w:t>
      </w:r>
      <w:proofErr w:type="spellEnd"/>
      <w:r w:rsidRPr="00D44604">
        <w:rPr>
          <w:rFonts w:ascii="Times New Roman" w:hAnsi="Times New Roman" w:cs="Arial"/>
          <w:color w:val="323233"/>
        </w:rPr>
        <w:t xml:space="preserve"> </w:t>
      </w:r>
      <w:proofErr w:type="spellStart"/>
      <w:r w:rsidRPr="00D44604">
        <w:rPr>
          <w:rFonts w:ascii="Times New Roman" w:hAnsi="Times New Roman" w:cs="Arial"/>
          <w:color w:val="323233"/>
        </w:rPr>
        <w:t>vai</w:t>
      </w:r>
      <w:proofErr w:type="spellEnd"/>
      <w:r w:rsidRPr="00D44604">
        <w:rPr>
          <w:rFonts w:ascii="Times New Roman" w:hAnsi="Times New Roman" w:cs="Arial"/>
          <w:color w:val="323233"/>
        </w:rPr>
        <w:t xml:space="preserve"> </w:t>
      </w:r>
      <w:proofErr w:type="spellStart"/>
      <w:r w:rsidRPr="00D44604">
        <w:rPr>
          <w:rFonts w:ascii="Times New Roman" w:hAnsi="Times New Roman" w:cs="Arial"/>
          <w:color w:val="323233"/>
        </w:rPr>
        <w:t>citos</w:t>
      </w:r>
      <w:proofErr w:type="spellEnd"/>
      <w:r w:rsidRPr="00D44604">
        <w:rPr>
          <w:rFonts w:ascii="Times New Roman" w:hAnsi="Times New Roman" w:cs="Arial"/>
          <w:color w:val="323233"/>
        </w:rPr>
        <w:t xml:space="preserve"> </w:t>
      </w:r>
      <w:proofErr w:type="spellStart"/>
      <w:r w:rsidRPr="00D44604">
        <w:rPr>
          <w:rFonts w:ascii="Times New Roman" w:hAnsi="Times New Roman" w:cs="Arial"/>
          <w:color w:val="323233"/>
        </w:rPr>
        <w:t>publiskos</w:t>
      </w:r>
      <w:proofErr w:type="spellEnd"/>
      <w:r w:rsidRPr="00D44604">
        <w:rPr>
          <w:rFonts w:ascii="Times New Roman" w:hAnsi="Times New Roman" w:cs="Arial"/>
          <w:color w:val="323233"/>
        </w:rPr>
        <w:t xml:space="preserve"> </w:t>
      </w:r>
      <w:proofErr w:type="spellStart"/>
      <w:r w:rsidRPr="00D44604">
        <w:rPr>
          <w:rFonts w:ascii="Times New Roman" w:hAnsi="Times New Roman" w:cs="Arial"/>
          <w:color w:val="323233"/>
        </w:rPr>
        <w:t>reģistros</w:t>
      </w:r>
      <w:proofErr w:type="spellEnd"/>
      <w:r w:rsidRPr="00D44604">
        <w:rPr>
          <w:rFonts w:ascii="Times New Roman" w:hAnsi="Times New Roman" w:cs="Arial"/>
          <w:color w:val="323233"/>
        </w:rPr>
        <w:t>.</w:t>
      </w:r>
      <w:r>
        <w:rPr>
          <w:rFonts w:ascii="Times New Roman" w:hAnsi="Times New Roman" w:cs="Arial"/>
          <w:color w:val="323233"/>
        </w:rPr>
        <w:t xml:space="preserve"> Tas </w:t>
      </w:r>
      <w:proofErr w:type="spellStart"/>
      <w:r>
        <w:rPr>
          <w:rFonts w:ascii="Times New Roman" w:hAnsi="Times New Roman" w:cs="Arial"/>
          <w:color w:val="323233"/>
        </w:rPr>
        <w:t>nozīmē</w:t>
      </w:r>
      <w:proofErr w:type="spellEnd"/>
      <w:r>
        <w:rPr>
          <w:rFonts w:ascii="Times New Roman" w:hAnsi="Times New Roman" w:cs="Arial"/>
          <w:color w:val="323233"/>
        </w:rPr>
        <w:t xml:space="preserve">, ka </w:t>
      </w:r>
      <w:proofErr w:type="spellStart"/>
      <w:r>
        <w:rPr>
          <w:rFonts w:ascii="Times New Roman" w:hAnsi="Times New Roman" w:cs="Arial"/>
          <w:color w:val="323233"/>
        </w:rPr>
        <w:t>pārstāvības</w:t>
      </w:r>
      <w:proofErr w:type="spellEnd"/>
      <w:r>
        <w:rPr>
          <w:rFonts w:ascii="Times New Roman" w:hAnsi="Times New Roman" w:cs="Arial"/>
          <w:color w:val="323233"/>
        </w:rPr>
        <w:t xml:space="preserve"> </w:t>
      </w:r>
      <w:proofErr w:type="spellStart"/>
      <w:r>
        <w:rPr>
          <w:rFonts w:ascii="Times New Roman" w:hAnsi="Times New Roman" w:cs="Arial"/>
          <w:color w:val="323233"/>
        </w:rPr>
        <w:t>tiesības</w:t>
      </w:r>
      <w:proofErr w:type="spellEnd"/>
      <w:r>
        <w:rPr>
          <w:rFonts w:ascii="Times New Roman" w:hAnsi="Times New Roman" w:cs="Arial"/>
          <w:color w:val="323233"/>
        </w:rPr>
        <w:t xml:space="preserve"> </w:t>
      </w:r>
      <w:proofErr w:type="spellStart"/>
      <w:r>
        <w:rPr>
          <w:rFonts w:ascii="Times New Roman" w:hAnsi="Times New Roman" w:cs="Arial"/>
          <w:color w:val="323233"/>
        </w:rPr>
        <w:t>nedrīkst</w:t>
      </w:r>
      <w:proofErr w:type="spellEnd"/>
      <w:r>
        <w:rPr>
          <w:rFonts w:ascii="Times New Roman" w:hAnsi="Times New Roman" w:cs="Arial"/>
          <w:color w:val="323233"/>
        </w:rPr>
        <w:t xml:space="preserve"> </w:t>
      </w:r>
      <w:proofErr w:type="spellStart"/>
      <w:r>
        <w:rPr>
          <w:rFonts w:ascii="Times New Roman" w:hAnsi="Times New Roman" w:cs="Arial"/>
          <w:color w:val="323233"/>
        </w:rPr>
        <w:t>pierādīt</w:t>
      </w:r>
      <w:proofErr w:type="spellEnd"/>
      <w:r>
        <w:rPr>
          <w:rFonts w:ascii="Times New Roman" w:hAnsi="Times New Roman" w:cs="Arial"/>
          <w:color w:val="323233"/>
        </w:rPr>
        <w:t xml:space="preserve"> </w:t>
      </w:r>
      <w:proofErr w:type="spellStart"/>
      <w:r>
        <w:rPr>
          <w:rFonts w:ascii="Times New Roman" w:hAnsi="Times New Roman" w:cs="Arial"/>
          <w:color w:val="323233"/>
        </w:rPr>
        <w:t>ar</w:t>
      </w:r>
      <w:proofErr w:type="spellEnd"/>
      <w:r>
        <w:rPr>
          <w:rFonts w:ascii="Times New Roman" w:hAnsi="Times New Roman" w:cs="Arial"/>
          <w:color w:val="323233"/>
        </w:rPr>
        <w:t xml:space="preserve"> </w:t>
      </w:r>
      <w:proofErr w:type="spellStart"/>
      <w:r>
        <w:rPr>
          <w:rFonts w:ascii="Times New Roman" w:hAnsi="Times New Roman" w:cs="Arial"/>
          <w:color w:val="323233"/>
        </w:rPr>
        <w:t>privātā</w:t>
      </w:r>
      <w:proofErr w:type="spellEnd"/>
      <w:r>
        <w:rPr>
          <w:rFonts w:ascii="Times New Roman" w:hAnsi="Times New Roman" w:cs="Arial"/>
          <w:color w:val="323233"/>
        </w:rPr>
        <w:t xml:space="preserve"> </w:t>
      </w:r>
      <w:proofErr w:type="spellStart"/>
      <w:r>
        <w:rPr>
          <w:rFonts w:ascii="Times New Roman" w:hAnsi="Times New Roman" w:cs="Arial"/>
          <w:color w:val="323233"/>
        </w:rPr>
        <w:t>kārtībā</w:t>
      </w:r>
      <w:proofErr w:type="spellEnd"/>
      <w:r>
        <w:rPr>
          <w:rFonts w:ascii="Times New Roman" w:hAnsi="Times New Roman" w:cs="Arial"/>
          <w:color w:val="323233"/>
        </w:rPr>
        <w:t xml:space="preserve"> </w:t>
      </w:r>
      <w:proofErr w:type="spellStart"/>
      <w:r>
        <w:rPr>
          <w:rFonts w:ascii="Times New Roman" w:hAnsi="Times New Roman" w:cs="Arial"/>
          <w:color w:val="323233"/>
        </w:rPr>
        <w:t>sastādītiem</w:t>
      </w:r>
      <w:proofErr w:type="spellEnd"/>
      <w:r>
        <w:rPr>
          <w:rFonts w:ascii="Times New Roman" w:hAnsi="Times New Roman" w:cs="Arial"/>
          <w:color w:val="323233"/>
        </w:rPr>
        <w:t xml:space="preserve"> </w:t>
      </w:r>
      <w:proofErr w:type="spellStart"/>
      <w:r>
        <w:rPr>
          <w:rFonts w:ascii="Times New Roman" w:hAnsi="Times New Roman" w:cs="Arial"/>
          <w:color w:val="323233"/>
        </w:rPr>
        <w:t>dokumentiem</w:t>
      </w:r>
      <w:proofErr w:type="spellEnd"/>
      <w:r>
        <w:rPr>
          <w:rFonts w:ascii="Times New Roman" w:hAnsi="Times New Roman" w:cs="Arial"/>
          <w:color w:val="323233"/>
        </w:rPr>
        <w:t>.</w:t>
      </w:r>
    </w:p>
    <w:p w14:paraId="13600917" w14:textId="77777777" w:rsidR="00114953" w:rsidRDefault="00114953" w:rsidP="00114953">
      <w:pPr>
        <w:widowControl w:val="0"/>
        <w:autoSpaceDE w:val="0"/>
        <w:autoSpaceDN w:val="0"/>
        <w:adjustRightInd w:val="0"/>
        <w:jc w:val="both"/>
        <w:rPr>
          <w:rFonts w:ascii="Times New Roman" w:hAnsi="Times New Roman" w:cs="Arial"/>
          <w:color w:val="323233"/>
        </w:rPr>
      </w:pPr>
    </w:p>
    <w:p w14:paraId="664966EF" w14:textId="77777777" w:rsidR="00114953" w:rsidRDefault="00114953" w:rsidP="00114953">
      <w:pPr>
        <w:ind w:firstLine="708"/>
        <w:jc w:val="both"/>
        <w:rPr>
          <w:rFonts w:asciiTheme="majorBidi" w:hAnsiTheme="majorBidi" w:cstheme="majorBidi"/>
        </w:rPr>
      </w:pPr>
      <w:proofErr w:type="spellStart"/>
      <w:r w:rsidRPr="00A47077">
        <w:rPr>
          <w:rFonts w:asciiTheme="majorBidi" w:hAnsiTheme="majorBidi" w:cstheme="majorBidi"/>
        </w:rPr>
        <w:t>Saskaņā</w:t>
      </w:r>
      <w:proofErr w:type="spellEnd"/>
      <w:r w:rsidRPr="00A47077">
        <w:rPr>
          <w:rFonts w:asciiTheme="majorBidi" w:hAnsiTheme="majorBidi" w:cstheme="majorBidi"/>
        </w:rPr>
        <w:t xml:space="preserve"> </w:t>
      </w:r>
      <w:proofErr w:type="spellStart"/>
      <w:r w:rsidRPr="00A47077">
        <w:rPr>
          <w:rFonts w:asciiTheme="majorBidi" w:hAnsiTheme="majorBidi" w:cstheme="majorBidi"/>
        </w:rPr>
        <w:t>ar</w:t>
      </w:r>
      <w:proofErr w:type="spellEnd"/>
      <w:r w:rsidRPr="00A47077">
        <w:rPr>
          <w:rFonts w:asciiTheme="majorBidi" w:hAnsiTheme="majorBidi" w:cstheme="majorBidi"/>
        </w:rPr>
        <w:t xml:space="preserve"> </w:t>
      </w:r>
      <w:proofErr w:type="spellStart"/>
      <w:r w:rsidRPr="00A47077">
        <w:rPr>
          <w:rFonts w:asciiTheme="majorBidi" w:hAnsiTheme="majorBidi" w:cstheme="majorBidi"/>
        </w:rPr>
        <w:t>Notariāta</w:t>
      </w:r>
      <w:proofErr w:type="spellEnd"/>
      <w:r w:rsidRPr="00A47077">
        <w:rPr>
          <w:rFonts w:asciiTheme="majorBidi" w:hAnsiTheme="majorBidi" w:cstheme="majorBidi"/>
        </w:rPr>
        <w:t xml:space="preserve"> </w:t>
      </w:r>
      <w:proofErr w:type="spellStart"/>
      <w:r w:rsidRPr="00A47077">
        <w:rPr>
          <w:rFonts w:asciiTheme="majorBidi" w:hAnsiTheme="majorBidi" w:cstheme="majorBidi"/>
        </w:rPr>
        <w:t>likuma</w:t>
      </w:r>
      <w:proofErr w:type="spellEnd"/>
      <w:r w:rsidRPr="00A47077">
        <w:rPr>
          <w:rFonts w:asciiTheme="majorBidi" w:hAnsiTheme="majorBidi" w:cstheme="majorBidi"/>
        </w:rPr>
        <w:t xml:space="preserve"> </w:t>
      </w:r>
      <w:proofErr w:type="gramStart"/>
      <w:r w:rsidRPr="00A47077">
        <w:rPr>
          <w:rFonts w:asciiTheme="majorBidi" w:hAnsiTheme="majorBidi" w:cstheme="majorBidi"/>
        </w:rPr>
        <w:t>81.pantu</w:t>
      </w:r>
      <w:proofErr w:type="gramEnd"/>
      <w:r w:rsidRPr="00A47077">
        <w:rPr>
          <w:rFonts w:asciiTheme="majorBidi" w:hAnsiTheme="majorBidi" w:cstheme="majorBidi"/>
          <w:b/>
          <w:bCs/>
        </w:rPr>
        <w:t xml:space="preserve"> </w:t>
      </w:r>
      <w:proofErr w:type="spellStart"/>
      <w:r>
        <w:rPr>
          <w:rFonts w:asciiTheme="majorBidi" w:hAnsiTheme="majorBidi" w:cstheme="majorBidi"/>
        </w:rPr>
        <w:t>n</w:t>
      </w:r>
      <w:r w:rsidRPr="00A47077">
        <w:rPr>
          <w:rFonts w:asciiTheme="majorBidi" w:hAnsiTheme="majorBidi" w:cstheme="majorBidi"/>
        </w:rPr>
        <w:t>otariālie</w:t>
      </w:r>
      <w:proofErr w:type="spellEnd"/>
      <w:r w:rsidRPr="00A47077">
        <w:rPr>
          <w:rFonts w:asciiTheme="majorBidi" w:hAnsiTheme="majorBidi" w:cstheme="majorBidi"/>
        </w:rPr>
        <w:t xml:space="preserve"> </w:t>
      </w:r>
      <w:proofErr w:type="spellStart"/>
      <w:r w:rsidRPr="00A47077">
        <w:rPr>
          <w:rFonts w:asciiTheme="majorBidi" w:hAnsiTheme="majorBidi" w:cstheme="majorBidi"/>
        </w:rPr>
        <w:t>akti</w:t>
      </w:r>
      <w:proofErr w:type="spellEnd"/>
      <w:r w:rsidRPr="00A47077">
        <w:rPr>
          <w:rFonts w:asciiTheme="majorBidi" w:hAnsiTheme="majorBidi" w:cstheme="majorBidi"/>
        </w:rPr>
        <w:t xml:space="preserve"> (</w:t>
      </w:r>
      <w:r>
        <w:rPr>
          <w:rFonts w:asciiTheme="majorBidi" w:hAnsiTheme="majorBidi" w:cstheme="majorBidi"/>
        </w:rPr>
        <w:t>82.pants</w:t>
      </w:r>
      <w:r w:rsidRPr="00A47077">
        <w:rPr>
          <w:rFonts w:asciiTheme="majorBidi" w:hAnsiTheme="majorBidi" w:cstheme="majorBidi"/>
        </w:rPr>
        <w:t xml:space="preserve">) un </w:t>
      </w:r>
      <w:proofErr w:type="spellStart"/>
      <w:r w:rsidRPr="00A47077">
        <w:rPr>
          <w:rFonts w:asciiTheme="majorBidi" w:hAnsiTheme="majorBidi" w:cstheme="majorBidi"/>
        </w:rPr>
        <w:t>apliecinājumi</w:t>
      </w:r>
      <w:proofErr w:type="spellEnd"/>
      <w:r w:rsidRPr="00A47077">
        <w:rPr>
          <w:rFonts w:asciiTheme="majorBidi" w:hAnsiTheme="majorBidi" w:cstheme="majorBidi"/>
        </w:rPr>
        <w:t xml:space="preserve"> (</w:t>
      </w:r>
      <w:r>
        <w:rPr>
          <w:rFonts w:asciiTheme="majorBidi" w:hAnsiTheme="majorBidi" w:cstheme="majorBidi"/>
        </w:rPr>
        <w:t>108.pants</w:t>
      </w:r>
      <w:r w:rsidRPr="00A47077">
        <w:rPr>
          <w:rFonts w:asciiTheme="majorBidi" w:hAnsiTheme="majorBidi" w:cstheme="majorBidi"/>
        </w:rPr>
        <w:t xml:space="preserve">), </w:t>
      </w:r>
      <w:proofErr w:type="spellStart"/>
      <w:r w:rsidRPr="00A47077">
        <w:rPr>
          <w:rFonts w:asciiTheme="majorBidi" w:hAnsiTheme="majorBidi" w:cstheme="majorBidi"/>
        </w:rPr>
        <w:t>kurus</w:t>
      </w:r>
      <w:proofErr w:type="spellEnd"/>
      <w:r w:rsidRPr="00A47077">
        <w:rPr>
          <w:rFonts w:asciiTheme="majorBidi" w:hAnsiTheme="majorBidi" w:cstheme="majorBidi"/>
        </w:rPr>
        <w:t xml:space="preserve"> </w:t>
      </w:r>
      <w:proofErr w:type="spellStart"/>
      <w:r w:rsidRPr="00A47077">
        <w:rPr>
          <w:rFonts w:asciiTheme="majorBidi" w:hAnsiTheme="majorBidi" w:cstheme="majorBidi"/>
        </w:rPr>
        <w:t>taisa</w:t>
      </w:r>
      <w:proofErr w:type="spellEnd"/>
      <w:r w:rsidRPr="00A47077">
        <w:rPr>
          <w:rFonts w:asciiTheme="majorBidi" w:hAnsiTheme="majorBidi" w:cstheme="majorBidi"/>
        </w:rPr>
        <w:t xml:space="preserve"> </w:t>
      </w:r>
      <w:proofErr w:type="spellStart"/>
      <w:r w:rsidRPr="00A47077">
        <w:rPr>
          <w:rFonts w:asciiTheme="majorBidi" w:hAnsiTheme="majorBidi" w:cstheme="majorBidi"/>
        </w:rPr>
        <w:t>zvērināts</w:t>
      </w:r>
      <w:proofErr w:type="spellEnd"/>
      <w:r w:rsidRPr="00A47077">
        <w:rPr>
          <w:rFonts w:asciiTheme="majorBidi" w:hAnsiTheme="majorBidi" w:cstheme="majorBidi"/>
        </w:rPr>
        <w:t xml:space="preserve"> </w:t>
      </w:r>
      <w:proofErr w:type="spellStart"/>
      <w:r w:rsidRPr="00A47077">
        <w:rPr>
          <w:rFonts w:asciiTheme="majorBidi" w:hAnsiTheme="majorBidi" w:cstheme="majorBidi"/>
        </w:rPr>
        <w:t>notārs</w:t>
      </w:r>
      <w:proofErr w:type="spellEnd"/>
      <w:r w:rsidRPr="00A47077">
        <w:rPr>
          <w:rFonts w:asciiTheme="majorBidi" w:hAnsiTheme="majorBidi" w:cstheme="majorBidi"/>
        </w:rPr>
        <w:t xml:space="preserve">, </w:t>
      </w:r>
      <w:proofErr w:type="spellStart"/>
      <w:r w:rsidRPr="00A47077">
        <w:rPr>
          <w:rFonts w:asciiTheme="majorBidi" w:hAnsiTheme="majorBidi" w:cstheme="majorBidi"/>
        </w:rPr>
        <w:t>izņemot</w:t>
      </w:r>
      <w:proofErr w:type="spellEnd"/>
      <w:r w:rsidRPr="00A47077">
        <w:rPr>
          <w:rFonts w:asciiTheme="majorBidi" w:hAnsiTheme="majorBidi" w:cstheme="majorBidi"/>
        </w:rPr>
        <w:t xml:space="preserve"> </w:t>
      </w:r>
      <w:proofErr w:type="spellStart"/>
      <w:r w:rsidRPr="00A47077">
        <w:rPr>
          <w:rFonts w:asciiTheme="majorBidi" w:hAnsiTheme="majorBidi" w:cstheme="majorBidi"/>
        </w:rPr>
        <w:t>šā</w:t>
      </w:r>
      <w:proofErr w:type="spellEnd"/>
      <w:r w:rsidRPr="00A47077">
        <w:rPr>
          <w:rFonts w:asciiTheme="majorBidi" w:hAnsiTheme="majorBidi" w:cstheme="majorBidi"/>
        </w:rPr>
        <w:t xml:space="preserve"> </w:t>
      </w:r>
      <w:proofErr w:type="spellStart"/>
      <w:r w:rsidRPr="00A47077">
        <w:rPr>
          <w:rFonts w:asciiTheme="majorBidi" w:hAnsiTheme="majorBidi" w:cstheme="majorBidi"/>
        </w:rPr>
        <w:t>likuma</w:t>
      </w:r>
      <w:proofErr w:type="spellEnd"/>
      <w:r w:rsidRPr="00A47077">
        <w:rPr>
          <w:rFonts w:asciiTheme="majorBidi" w:hAnsiTheme="majorBidi" w:cstheme="majorBidi"/>
        </w:rPr>
        <w:t xml:space="preserve"> </w:t>
      </w:r>
      <w:r>
        <w:rPr>
          <w:rFonts w:asciiTheme="majorBidi" w:hAnsiTheme="majorBidi" w:cstheme="majorBidi"/>
        </w:rPr>
        <w:t>116.pantā</w:t>
      </w:r>
      <w:r w:rsidRPr="00A47077">
        <w:rPr>
          <w:rFonts w:asciiTheme="majorBidi" w:hAnsiTheme="majorBidi" w:cstheme="majorBidi"/>
        </w:rPr>
        <w:t xml:space="preserve"> </w:t>
      </w:r>
      <w:proofErr w:type="spellStart"/>
      <w:r w:rsidRPr="00A47077">
        <w:rPr>
          <w:rFonts w:asciiTheme="majorBidi" w:hAnsiTheme="majorBidi" w:cstheme="majorBidi"/>
        </w:rPr>
        <w:t>minētos</w:t>
      </w:r>
      <w:proofErr w:type="spellEnd"/>
      <w:r w:rsidRPr="00A47077">
        <w:rPr>
          <w:rFonts w:asciiTheme="majorBidi" w:hAnsiTheme="majorBidi" w:cstheme="majorBidi"/>
        </w:rPr>
        <w:t xml:space="preserve"> </w:t>
      </w:r>
      <w:proofErr w:type="spellStart"/>
      <w:r w:rsidRPr="00A47077">
        <w:rPr>
          <w:rFonts w:asciiTheme="majorBidi" w:hAnsiTheme="majorBidi" w:cstheme="majorBidi"/>
        </w:rPr>
        <w:t>dokumentus</w:t>
      </w:r>
      <w:proofErr w:type="spellEnd"/>
      <w:r w:rsidRPr="00A47077">
        <w:rPr>
          <w:rFonts w:asciiTheme="majorBidi" w:hAnsiTheme="majorBidi" w:cstheme="majorBidi"/>
        </w:rPr>
        <w:t xml:space="preserve">, </w:t>
      </w:r>
      <w:proofErr w:type="spellStart"/>
      <w:r w:rsidRPr="00A47077">
        <w:rPr>
          <w:rFonts w:asciiTheme="majorBidi" w:hAnsiTheme="majorBidi" w:cstheme="majorBidi"/>
        </w:rPr>
        <w:t>ir</w:t>
      </w:r>
      <w:proofErr w:type="spellEnd"/>
      <w:r w:rsidRPr="00A47077">
        <w:rPr>
          <w:rFonts w:asciiTheme="majorBidi" w:hAnsiTheme="majorBidi" w:cstheme="majorBidi"/>
        </w:rPr>
        <w:t xml:space="preserve"> </w:t>
      </w:r>
      <w:proofErr w:type="spellStart"/>
      <w:r w:rsidRPr="005F0F97">
        <w:rPr>
          <w:rFonts w:asciiTheme="majorBidi" w:hAnsiTheme="majorBidi" w:cstheme="majorBidi"/>
          <w:b/>
          <w:bCs/>
        </w:rPr>
        <w:t>publiski</w:t>
      </w:r>
      <w:proofErr w:type="spellEnd"/>
      <w:r w:rsidRPr="005F0F97">
        <w:rPr>
          <w:rFonts w:asciiTheme="majorBidi" w:hAnsiTheme="majorBidi" w:cstheme="majorBidi"/>
          <w:b/>
          <w:bCs/>
        </w:rPr>
        <w:t xml:space="preserve"> </w:t>
      </w:r>
      <w:proofErr w:type="spellStart"/>
      <w:r w:rsidRPr="005F0F97">
        <w:rPr>
          <w:rFonts w:asciiTheme="majorBidi" w:hAnsiTheme="majorBidi" w:cstheme="majorBidi"/>
          <w:b/>
          <w:bCs/>
        </w:rPr>
        <w:t>dokumenti</w:t>
      </w:r>
      <w:proofErr w:type="spellEnd"/>
      <w:r w:rsidRPr="00A47077">
        <w:rPr>
          <w:rFonts w:asciiTheme="majorBidi" w:hAnsiTheme="majorBidi" w:cstheme="majorBidi"/>
        </w:rPr>
        <w:t>.</w:t>
      </w:r>
    </w:p>
    <w:p w14:paraId="28FEC5C7" w14:textId="77777777" w:rsidR="00114953" w:rsidRDefault="00114953" w:rsidP="00114953">
      <w:pPr>
        <w:widowControl w:val="0"/>
        <w:autoSpaceDE w:val="0"/>
        <w:autoSpaceDN w:val="0"/>
        <w:adjustRightInd w:val="0"/>
        <w:jc w:val="both"/>
        <w:rPr>
          <w:rFonts w:ascii="Times New Roman" w:hAnsi="Times New Roman" w:cs="Arial"/>
          <w:color w:val="323233"/>
        </w:rPr>
      </w:pPr>
    </w:p>
    <w:p w14:paraId="50F62CCC" w14:textId="5D841D0B" w:rsidR="00114953" w:rsidRDefault="00114953" w:rsidP="00114953">
      <w:pPr>
        <w:ind w:firstLine="708"/>
        <w:jc w:val="both"/>
        <w:rPr>
          <w:rFonts w:ascii="Times New Roman" w:hAnsi="Times New Roman" w:cs="Arial"/>
          <w:color w:val="323233"/>
        </w:rPr>
      </w:pPr>
      <w:proofErr w:type="spellStart"/>
      <w:r>
        <w:rPr>
          <w:rFonts w:ascii="Times New Roman" w:hAnsi="Times New Roman" w:cs="Arial"/>
          <w:color w:val="323233"/>
        </w:rPr>
        <w:lastRenderedPageBreak/>
        <w:t>Piemēram</w:t>
      </w:r>
      <w:proofErr w:type="spellEnd"/>
      <w:r>
        <w:rPr>
          <w:rFonts w:ascii="Times New Roman" w:hAnsi="Times New Roman" w:cs="Arial"/>
          <w:color w:val="323233"/>
        </w:rPr>
        <w:t xml:space="preserve">, </w:t>
      </w:r>
      <w:proofErr w:type="spellStart"/>
      <w:r w:rsidRPr="00EF04EC">
        <w:rPr>
          <w:rFonts w:ascii="Times New Roman" w:hAnsi="Times New Roman" w:cs="Arial"/>
          <w:b/>
          <w:color w:val="323233"/>
        </w:rPr>
        <w:t>Vācijas</w:t>
      </w:r>
      <w:proofErr w:type="spellEnd"/>
      <w:r>
        <w:rPr>
          <w:rFonts w:ascii="Times New Roman" w:hAnsi="Times New Roman" w:cs="Arial"/>
          <w:color w:val="323233"/>
        </w:rPr>
        <w:t xml:space="preserve"> </w:t>
      </w:r>
      <w:proofErr w:type="spellStart"/>
      <w:r>
        <w:rPr>
          <w:rFonts w:ascii="Times New Roman" w:hAnsi="Times New Roman" w:cs="Arial"/>
          <w:color w:val="323233"/>
        </w:rPr>
        <w:t>civilprocesa</w:t>
      </w:r>
      <w:proofErr w:type="spellEnd"/>
      <w:r>
        <w:rPr>
          <w:rFonts w:ascii="Times New Roman" w:hAnsi="Times New Roman" w:cs="Arial"/>
          <w:color w:val="323233"/>
        </w:rPr>
        <w:t xml:space="preserve"> </w:t>
      </w:r>
      <w:proofErr w:type="spellStart"/>
      <w:r>
        <w:rPr>
          <w:rFonts w:ascii="Times New Roman" w:hAnsi="Times New Roman" w:cs="Arial"/>
          <w:color w:val="323233"/>
        </w:rPr>
        <w:t>tiesībās</w:t>
      </w:r>
      <w:proofErr w:type="spellEnd"/>
      <w:r>
        <w:rPr>
          <w:rFonts w:ascii="Times New Roman" w:hAnsi="Times New Roman" w:cs="Arial"/>
          <w:color w:val="323233"/>
        </w:rPr>
        <w:t xml:space="preserve"> </w:t>
      </w:r>
      <w:proofErr w:type="spellStart"/>
      <w:r>
        <w:rPr>
          <w:rFonts w:ascii="Times New Roman" w:hAnsi="Times New Roman" w:cs="Arial"/>
          <w:color w:val="323233"/>
        </w:rPr>
        <w:t>nošķir</w:t>
      </w:r>
      <w:proofErr w:type="spellEnd"/>
      <w:r>
        <w:rPr>
          <w:rFonts w:ascii="Times New Roman" w:hAnsi="Times New Roman" w:cs="Arial"/>
          <w:color w:val="323233"/>
        </w:rPr>
        <w:t xml:space="preserve"> </w:t>
      </w:r>
      <w:proofErr w:type="spellStart"/>
      <w:r>
        <w:rPr>
          <w:rFonts w:ascii="Times New Roman" w:hAnsi="Times New Roman" w:cs="Arial"/>
          <w:color w:val="323233"/>
        </w:rPr>
        <w:t>privātos</w:t>
      </w:r>
      <w:proofErr w:type="spellEnd"/>
      <w:r>
        <w:rPr>
          <w:rFonts w:ascii="Times New Roman" w:hAnsi="Times New Roman" w:cs="Arial"/>
          <w:color w:val="323233"/>
        </w:rPr>
        <w:t xml:space="preserve"> </w:t>
      </w:r>
      <w:proofErr w:type="spellStart"/>
      <w:r>
        <w:rPr>
          <w:rFonts w:ascii="Times New Roman" w:hAnsi="Times New Roman" w:cs="Arial"/>
          <w:color w:val="323233"/>
        </w:rPr>
        <w:t>dokumentus</w:t>
      </w:r>
      <w:proofErr w:type="spellEnd"/>
      <w:r>
        <w:rPr>
          <w:rFonts w:ascii="Times New Roman" w:hAnsi="Times New Roman" w:cs="Arial"/>
          <w:color w:val="323233"/>
        </w:rPr>
        <w:t xml:space="preserve"> un </w:t>
      </w:r>
      <w:proofErr w:type="spellStart"/>
      <w:r>
        <w:rPr>
          <w:rFonts w:ascii="Times New Roman" w:hAnsi="Times New Roman" w:cs="Arial"/>
          <w:color w:val="323233"/>
        </w:rPr>
        <w:t>publiskos</w:t>
      </w:r>
      <w:proofErr w:type="spellEnd"/>
      <w:r>
        <w:rPr>
          <w:rFonts w:ascii="Times New Roman" w:hAnsi="Times New Roman" w:cs="Arial"/>
          <w:color w:val="323233"/>
        </w:rPr>
        <w:t xml:space="preserve"> </w:t>
      </w:r>
      <w:proofErr w:type="spellStart"/>
      <w:r>
        <w:rPr>
          <w:rFonts w:ascii="Times New Roman" w:hAnsi="Times New Roman" w:cs="Arial"/>
          <w:color w:val="323233"/>
        </w:rPr>
        <w:t>dokumentus</w:t>
      </w:r>
      <w:proofErr w:type="spellEnd"/>
      <w:r>
        <w:rPr>
          <w:rFonts w:ascii="Times New Roman" w:hAnsi="Times New Roman" w:cs="Arial"/>
          <w:color w:val="323233"/>
        </w:rPr>
        <w:t xml:space="preserve">. </w:t>
      </w:r>
      <w:proofErr w:type="spellStart"/>
      <w:r w:rsidRPr="002D46FD">
        <w:rPr>
          <w:rFonts w:ascii="Times New Roman" w:hAnsi="Times New Roman" w:cs="Arial"/>
          <w:b/>
          <w:bCs/>
          <w:color w:val="323233"/>
        </w:rPr>
        <w:t>Publiskiem</w:t>
      </w:r>
      <w:proofErr w:type="spellEnd"/>
      <w:r w:rsidRPr="002D46FD">
        <w:rPr>
          <w:rFonts w:ascii="Times New Roman" w:hAnsi="Times New Roman" w:cs="Arial"/>
          <w:b/>
          <w:bCs/>
          <w:color w:val="323233"/>
        </w:rPr>
        <w:t xml:space="preserve"> </w:t>
      </w:r>
      <w:proofErr w:type="spellStart"/>
      <w:r w:rsidRPr="002D46FD">
        <w:rPr>
          <w:rFonts w:ascii="Times New Roman" w:hAnsi="Times New Roman" w:cs="Arial"/>
          <w:b/>
          <w:bCs/>
          <w:color w:val="323233"/>
        </w:rPr>
        <w:t>dokumentiem</w:t>
      </w:r>
      <w:proofErr w:type="spellEnd"/>
      <w:r>
        <w:rPr>
          <w:rFonts w:ascii="Times New Roman" w:hAnsi="Times New Roman" w:cs="Arial"/>
          <w:color w:val="323233"/>
        </w:rPr>
        <w:t xml:space="preserve"> </w:t>
      </w:r>
      <w:proofErr w:type="spellStart"/>
      <w:r>
        <w:rPr>
          <w:rFonts w:ascii="Times New Roman" w:hAnsi="Times New Roman" w:cs="Arial"/>
          <w:color w:val="323233"/>
        </w:rPr>
        <w:t>Vācijas</w:t>
      </w:r>
      <w:proofErr w:type="spellEnd"/>
      <w:r>
        <w:rPr>
          <w:rFonts w:ascii="Times New Roman" w:hAnsi="Times New Roman" w:cs="Arial"/>
          <w:color w:val="323233"/>
        </w:rPr>
        <w:t xml:space="preserve"> </w:t>
      </w:r>
      <w:proofErr w:type="spellStart"/>
      <w:r>
        <w:rPr>
          <w:rFonts w:ascii="Times New Roman" w:hAnsi="Times New Roman" w:cs="Arial"/>
          <w:color w:val="323233"/>
        </w:rPr>
        <w:t>normatīvajos</w:t>
      </w:r>
      <w:proofErr w:type="spellEnd"/>
      <w:r>
        <w:rPr>
          <w:rFonts w:ascii="Times New Roman" w:hAnsi="Times New Roman" w:cs="Arial"/>
          <w:color w:val="323233"/>
        </w:rPr>
        <w:t xml:space="preserve"> </w:t>
      </w:r>
      <w:proofErr w:type="spellStart"/>
      <w:r>
        <w:rPr>
          <w:rFonts w:ascii="Times New Roman" w:hAnsi="Times New Roman" w:cs="Arial"/>
          <w:color w:val="323233"/>
        </w:rPr>
        <w:t>tiesību</w:t>
      </w:r>
      <w:proofErr w:type="spellEnd"/>
      <w:r>
        <w:rPr>
          <w:rFonts w:ascii="Times New Roman" w:hAnsi="Times New Roman" w:cs="Arial"/>
          <w:color w:val="323233"/>
        </w:rPr>
        <w:t xml:space="preserve"> </w:t>
      </w:r>
      <w:proofErr w:type="spellStart"/>
      <w:r>
        <w:rPr>
          <w:rFonts w:ascii="Times New Roman" w:hAnsi="Times New Roman" w:cs="Arial"/>
          <w:color w:val="323233"/>
        </w:rPr>
        <w:t>aktos</w:t>
      </w:r>
      <w:proofErr w:type="spellEnd"/>
      <w:r>
        <w:rPr>
          <w:rFonts w:ascii="Times New Roman" w:hAnsi="Times New Roman" w:cs="Arial"/>
          <w:color w:val="323233"/>
        </w:rPr>
        <w:t xml:space="preserve"> [</w:t>
      </w:r>
      <w:proofErr w:type="spellStart"/>
      <w:r>
        <w:rPr>
          <w:rFonts w:ascii="Times New Roman" w:hAnsi="Times New Roman" w:cs="Arial"/>
          <w:color w:val="323233"/>
        </w:rPr>
        <w:t>piemēram</w:t>
      </w:r>
      <w:proofErr w:type="spellEnd"/>
      <w:r>
        <w:rPr>
          <w:rFonts w:ascii="Times New Roman" w:hAnsi="Times New Roman" w:cs="Arial"/>
          <w:color w:val="323233"/>
        </w:rPr>
        <w:t xml:space="preserve">, </w:t>
      </w:r>
      <w:proofErr w:type="spellStart"/>
      <w:r>
        <w:rPr>
          <w:rFonts w:ascii="Times New Roman" w:hAnsi="Times New Roman" w:cs="Arial"/>
          <w:color w:val="323233"/>
        </w:rPr>
        <w:t>Civilprocesa</w:t>
      </w:r>
      <w:proofErr w:type="spellEnd"/>
      <w:r>
        <w:rPr>
          <w:rFonts w:ascii="Times New Roman" w:hAnsi="Times New Roman" w:cs="Arial"/>
          <w:color w:val="323233"/>
        </w:rPr>
        <w:t xml:space="preserve"> </w:t>
      </w:r>
      <w:proofErr w:type="spellStart"/>
      <w:r>
        <w:rPr>
          <w:rFonts w:ascii="Times New Roman" w:hAnsi="Times New Roman" w:cs="Arial"/>
          <w:color w:val="323233"/>
        </w:rPr>
        <w:t>likumā</w:t>
      </w:r>
      <w:proofErr w:type="spellEnd"/>
      <w:r>
        <w:rPr>
          <w:rFonts w:ascii="Times New Roman" w:hAnsi="Times New Roman" w:cs="Arial"/>
          <w:color w:val="323233"/>
        </w:rPr>
        <w:t xml:space="preserve"> (</w:t>
      </w:r>
      <w:proofErr w:type="spellStart"/>
      <w:r w:rsidRPr="00D44604">
        <w:rPr>
          <w:rFonts w:ascii="Times New Roman" w:hAnsi="Times New Roman" w:cs="Arial"/>
          <w:i/>
          <w:iCs/>
          <w:color w:val="323233"/>
        </w:rPr>
        <w:t>Zivilprozessordnung</w:t>
      </w:r>
      <w:proofErr w:type="spellEnd"/>
      <w:r>
        <w:rPr>
          <w:rFonts w:ascii="Times New Roman" w:hAnsi="Times New Roman" w:cs="Arial"/>
          <w:color w:val="323233"/>
        </w:rPr>
        <w:t xml:space="preserve">)] </w:t>
      </w:r>
      <w:proofErr w:type="spellStart"/>
      <w:r>
        <w:rPr>
          <w:rFonts w:ascii="Times New Roman" w:hAnsi="Times New Roman" w:cs="Arial"/>
          <w:color w:val="323233"/>
        </w:rPr>
        <w:t>tiek</w:t>
      </w:r>
      <w:proofErr w:type="spellEnd"/>
      <w:r>
        <w:rPr>
          <w:rFonts w:ascii="Times New Roman" w:hAnsi="Times New Roman" w:cs="Arial"/>
          <w:color w:val="323233"/>
        </w:rPr>
        <w:t xml:space="preserve"> </w:t>
      </w:r>
      <w:proofErr w:type="spellStart"/>
      <w:r>
        <w:rPr>
          <w:rFonts w:ascii="Times New Roman" w:hAnsi="Times New Roman" w:cs="Arial"/>
          <w:color w:val="323233"/>
        </w:rPr>
        <w:t>paredzēta</w:t>
      </w:r>
      <w:proofErr w:type="spellEnd"/>
      <w:r>
        <w:rPr>
          <w:rFonts w:ascii="Times New Roman" w:hAnsi="Times New Roman" w:cs="Arial"/>
          <w:color w:val="323233"/>
        </w:rPr>
        <w:t xml:space="preserve"> </w:t>
      </w:r>
      <w:proofErr w:type="spellStart"/>
      <w:r>
        <w:rPr>
          <w:rFonts w:ascii="Times New Roman" w:hAnsi="Times New Roman" w:cs="Arial"/>
          <w:color w:val="323233"/>
        </w:rPr>
        <w:t>virkne</w:t>
      </w:r>
      <w:proofErr w:type="spellEnd"/>
      <w:r>
        <w:rPr>
          <w:rFonts w:ascii="Times New Roman" w:hAnsi="Times New Roman" w:cs="Arial"/>
          <w:color w:val="323233"/>
        </w:rPr>
        <w:t xml:space="preserve"> </w:t>
      </w:r>
      <w:proofErr w:type="spellStart"/>
      <w:r>
        <w:rPr>
          <w:rFonts w:ascii="Times New Roman" w:hAnsi="Times New Roman" w:cs="Arial"/>
          <w:color w:val="323233"/>
        </w:rPr>
        <w:t>pierādījumu</w:t>
      </w:r>
      <w:proofErr w:type="spellEnd"/>
      <w:r>
        <w:rPr>
          <w:rFonts w:ascii="Times New Roman" w:hAnsi="Times New Roman" w:cs="Arial"/>
          <w:color w:val="323233"/>
        </w:rPr>
        <w:t xml:space="preserve"> </w:t>
      </w:r>
      <w:proofErr w:type="spellStart"/>
      <w:r>
        <w:rPr>
          <w:rFonts w:ascii="Times New Roman" w:hAnsi="Times New Roman" w:cs="Arial"/>
          <w:color w:val="323233"/>
        </w:rPr>
        <w:t>noteikumu</w:t>
      </w:r>
      <w:proofErr w:type="spellEnd"/>
      <w:r>
        <w:rPr>
          <w:rFonts w:ascii="Times New Roman" w:hAnsi="Times New Roman" w:cs="Arial"/>
          <w:color w:val="323233"/>
        </w:rPr>
        <w:t xml:space="preserve">. </w:t>
      </w:r>
      <w:proofErr w:type="spellStart"/>
      <w:r>
        <w:rPr>
          <w:rFonts w:ascii="Times New Roman" w:hAnsi="Times New Roman" w:cs="Arial"/>
          <w:color w:val="323233"/>
        </w:rPr>
        <w:t>Turklāt</w:t>
      </w:r>
      <w:proofErr w:type="spellEnd"/>
      <w:r>
        <w:rPr>
          <w:rFonts w:ascii="Times New Roman" w:hAnsi="Times New Roman" w:cs="Arial"/>
          <w:color w:val="323233"/>
        </w:rPr>
        <w:t xml:space="preserve">, </w:t>
      </w:r>
      <w:proofErr w:type="spellStart"/>
      <w:r>
        <w:rPr>
          <w:rFonts w:ascii="Times New Roman" w:hAnsi="Times New Roman" w:cs="Arial"/>
          <w:color w:val="323233"/>
        </w:rPr>
        <w:t>šie</w:t>
      </w:r>
      <w:proofErr w:type="spellEnd"/>
      <w:r>
        <w:rPr>
          <w:rFonts w:ascii="Times New Roman" w:hAnsi="Times New Roman" w:cs="Arial"/>
          <w:color w:val="323233"/>
        </w:rPr>
        <w:t xml:space="preserve"> </w:t>
      </w:r>
      <w:proofErr w:type="spellStart"/>
      <w:r>
        <w:rPr>
          <w:rFonts w:ascii="Times New Roman" w:hAnsi="Times New Roman" w:cs="Arial"/>
          <w:color w:val="323233"/>
        </w:rPr>
        <w:t>noteikumi</w:t>
      </w:r>
      <w:proofErr w:type="spellEnd"/>
      <w:r>
        <w:rPr>
          <w:rFonts w:ascii="Times New Roman" w:hAnsi="Times New Roman" w:cs="Arial"/>
          <w:color w:val="323233"/>
        </w:rPr>
        <w:t xml:space="preserve"> par </w:t>
      </w:r>
      <w:proofErr w:type="spellStart"/>
      <w:r>
        <w:rPr>
          <w:rFonts w:ascii="Times New Roman" w:hAnsi="Times New Roman" w:cs="Arial"/>
          <w:color w:val="323233"/>
        </w:rPr>
        <w:t>pierādījumiem</w:t>
      </w:r>
      <w:proofErr w:type="spellEnd"/>
      <w:r>
        <w:rPr>
          <w:rFonts w:ascii="Times New Roman" w:hAnsi="Times New Roman" w:cs="Arial"/>
          <w:color w:val="323233"/>
        </w:rPr>
        <w:t xml:space="preserve"> </w:t>
      </w:r>
      <w:proofErr w:type="spellStart"/>
      <w:r>
        <w:rPr>
          <w:rFonts w:ascii="Times New Roman" w:hAnsi="Times New Roman" w:cs="Arial"/>
          <w:color w:val="323233"/>
        </w:rPr>
        <w:t>ir</w:t>
      </w:r>
      <w:proofErr w:type="spellEnd"/>
      <w:r>
        <w:rPr>
          <w:rFonts w:ascii="Times New Roman" w:hAnsi="Times New Roman" w:cs="Arial"/>
          <w:color w:val="323233"/>
        </w:rPr>
        <w:t xml:space="preserve"> </w:t>
      </w:r>
      <w:proofErr w:type="spellStart"/>
      <w:r>
        <w:rPr>
          <w:rFonts w:ascii="Times New Roman" w:hAnsi="Times New Roman" w:cs="Arial"/>
          <w:color w:val="323233"/>
        </w:rPr>
        <w:t>jānošķir</w:t>
      </w:r>
      <w:proofErr w:type="spellEnd"/>
      <w:r>
        <w:rPr>
          <w:rFonts w:ascii="Times New Roman" w:hAnsi="Times New Roman" w:cs="Arial"/>
          <w:color w:val="323233"/>
        </w:rPr>
        <w:t xml:space="preserve"> no </w:t>
      </w:r>
      <w:proofErr w:type="spellStart"/>
      <w:r>
        <w:rPr>
          <w:rFonts w:ascii="Times New Roman" w:hAnsi="Times New Roman" w:cs="Arial"/>
          <w:color w:val="323233"/>
        </w:rPr>
        <w:t>materiālo</w:t>
      </w:r>
      <w:proofErr w:type="spellEnd"/>
      <w:r>
        <w:rPr>
          <w:rFonts w:ascii="Times New Roman" w:hAnsi="Times New Roman" w:cs="Arial"/>
          <w:color w:val="323233"/>
        </w:rPr>
        <w:t xml:space="preserve"> </w:t>
      </w:r>
      <w:proofErr w:type="spellStart"/>
      <w:r>
        <w:rPr>
          <w:rFonts w:ascii="Times New Roman" w:hAnsi="Times New Roman" w:cs="Arial"/>
          <w:color w:val="323233"/>
        </w:rPr>
        <w:t>tiesību</w:t>
      </w:r>
      <w:proofErr w:type="spellEnd"/>
      <w:r>
        <w:rPr>
          <w:rFonts w:ascii="Times New Roman" w:hAnsi="Times New Roman" w:cs="Arial"/>
          <w:color w:val="323233"/>
        </w:rPr>
        <w:t xml:space="preserve"> </w:t>
      </w:r>
      <w:proofErr w:type="spellStart"/>
      <w:r>
        <w:rPr>
          <w:rFonts w:ascii="Times New Roman" w:hAnsi="Times New Roman" w:cs="Arial"/>
          <w:color w:val="323233"/>
        </w:rPr>
        <w:t>normu</w:t>
      </w:r>
      <w:proofErr w:type="spellEnd"/>
      <w:r>
        <w:rPr>
          <w:rFonts w:ascii="Times New Roman" w:hAnsi="Times New Roman" w:cs="Arial"/>
          <w:color w:val="323233"/>
        </w:rPr>
        <w:t xml:space="preserve"> </w:t>
      </w:r>
      <w:proofErr w:type="spellStart"/>
      <w:r>
        <w:rPr>
          <w:rFonts w:ascii="Times New Roman" w:hAnsi="Times New Roman" w:cs="Arial"/>
          <w:color w:val="323233"/>
        </w:rPr>
        <w:t>noteikumiem</w:t>
      </w:r>
      <w:proofErr w:type="spellEnd"/>
      <w:r>
        <w:rPr>
          <w:rFonts w:ascii="Times New Roman" w:hAnsi="Times New Roman" w:cs="Arial"/>
          <w:color w:val="323233"/>
        </w:rPr>
        <w:t xml:space="preserve"> (</w:t>
      </w:r>
      <w:proofErr w:type="spellStart"/>
      <w:r>
        <w:rPr>
          <w:rFonts w:ascii="Times New Roman" w:hAnsi="Times New Roman" w:cs="Arial"/>
          <w:color w:val="323233"/>
        </w:rPr>
        <w:t>jo</w:t>
      </w:r>
      <w:proofErr w:type="spellEnd"/>
      <w:r>
        <w:rPr>
          <w:rFonts w:ascii="Times New Roman" w:hAnsi="Times New Roman" w:cs="Arial"/>
          <w:color w:val="323233"/>
        </w:rPr>
        <w:t xml:space="preserve"> </w:t>
      </w:r>
      <w:proofErr w:type="spellStart"/>
      <w:r>
        <w:rPr>
          <w:rFonts w:ascii="Times New Roman" w:hAnsi="Times New Roman" w:cs="Arial"/>
          <w:color w:val="323233"/>
        </w:rPr>
        <w:t>sevišķi</w:t>
      </w:r>
      <w:proofErr w:type="spellEnd"/>
      <w:r>
        <w:rPr>
          <w:rFonts w:ascii="Times New Roman" w:hAnsi="Times New Roman" w:cs="Arial"/>
          <w:color w:val="323233"/>
        </w:rPr>
        <w:t xml:space="preserve"> </w:t>
      </w:r>
      <w:proofErr w:type="spellStart"/>
      <w:r>
        <w:rPr>
          <w:rFonts w:ascii="Times New Roman" w:hAnsi="Times New Roman" w:cs="Arial"/>
          <w:color w:val="323233"/>
        </w:rPr>
        <w:t>noteikumiem</w:t>
      </w:r>
      <w:proofErr w:type="spellEnd"/>
      <w:r>
        <w:rPr>
          <w:rFonts w:ascii="Times New Roman" w:hAnsi="Times New Roman" w:cs="Arial"/>
          <w:color w:val="323233"/>
        </w:rPr>
        <w:t xml:space="preserve"> par </w:t>
      </w:r>
      <w:proofErr w:type="spellStart"/>
      <w:r>
        <w:rPr>
          <w:rFonts w:ascii="Times New Roman" w:hAnsi="Times New Roman" w:cs="Arial"/>
          <w:color w:val="323233"/>
        </w:rPr>
        <w:t>dokumentu</w:t>
      </w:r>
      <w:proofErr w:type="spellEnd"/>
      <w:r>
        <w:rPr>
          <w:rFonts w:ascii="Times New Roman" w:hAnsi="Times New Roman" w:cs="Arial"/>
          <w:color w:val="323233"/>
        </w:rPr>
        <w:t xml:space="preserve"> </w:t>
      </w:r>
      <w:proofErr w:type="spellStart"/>
      <w:r>
        <w:rPr>
          <w:rFonts w:ascii="Times New Roman" w:hAnsi="Times New Roman" w:cs="Arial"/>
          <w:color w:val="323233"/>
        </w:rPr>
        <w:t>formu</w:t>
      </w:r>
      <w:proofErr w:type="spellEnd"/>
      <w:r>
        <w:rPr>
          <w:rFonts w:ascii="Times New Roman" w:hAnsi="Times New Roman" w:cs="Arial"/>
          <w:color w:val="323233"/>
        </w:rPr>
        <w:t>).</w:t>
      </w:r>
      <w:r>
        <w:rPr>
          <w:rStyle w:val="FootnoteReference"/>
          <w:rFonts w:ascii="Times New Roman" w:hAnsi="Times New Roman" w:cs="Arial"/>
          <w:color w:val="323233"/>
        </w:rPr>
        <w:footnoteReference w:id="75"/>
      </w:r>
      <w:r>
        <w:rPr>
          <w:rFonts w:ascii="Times New Roman" w:hAnsi="Times New Roman" w:cs="Arial"/>
          <w:color w:val="323233"/>
        </w:rPr>
        <w:t xml:space="preserve"> </w:t>
      </w:r>
      <w:proofErr w:type="spellStart"/>
      <w:r>
        <w:rPr>
          <w:rFonts w:ascii="Times New Roman" w:hAnsi="Times New Roman" w:cs="Arial"/>
          <w:color w:val="323233"/>
        </w:rPr>
        <w:t>Piemēram</w:t>
      </w:r>
      <w:proofErr w:type="spellEnd"/>
      <w:r>
        <w:rPr>
          <w:rFonts w:ascii="Times New Roman" w:hAnsi="Times New Roman" w:cs="Arial"/>
          <w:color w:val="323233"/>
        </w:rPr>
        <w:t xml:space="preserve">, </w:t>
      </w:r>
      <w:proofErr w:type="spellStart"/>
      <w:r>
        <w:rPr>
          <w:rFonts w:ascii="Times New Roman" w:hAnsi="Times New Roman" w:cs="Arial"/>
          <w:color w:val="323233"/>
        </w:rPr>
        <w:t>saskaņā</w:t>
      </w:r>
      <w:proofErr w:type="spellEnd"/>
      <w:r>
        <w:rPr>
          <w:rFonts w:ascii="Times New Roman" w:hAnsi="Times New Roman" w:cs="Arial"/>
          <w:color w:val="323233"/>
        </w:rPr>
        <w:t xml:space="preserve"> </w:t>
      </w:r>
      <w:proofErr w:type="spellStart"/>
      <w:r>
        <w:rPr>
          <w:rFonts w:ascii="Times New Roman" w:hAnsi="Times New Roman" w:cs="Arial"/>
          <w:color w:val="323233"/>
        </w:rPr>
        <w:t>ar</w:t>
      </w:r>
      <w:proofErr w:type="spellEnd"/>
      <w:r>
        <w:rPr>
          <w:rFonts w:ascii="Times New Roman" w:hAnsi="Times New Roman" w:cs="Arial"/>
          <w:color w:val="323233"/>
        </w:rPr>
        <w:t xml:space="preserve"> </w:t>
      </w:r>
      <w:proofErr w:type="spellStart"/>
      <w:r>
        <w:rPr>
          <w:rFonts w:ascii="Times New Roman" w:hAnsi="Times New Roman" w:cs="Arial"/>
          <w:color w:val="323233"/>
        </w:rPr>
        <w:t>Vācijas</w:t>
      </w:r>
      <w:proofErr w:type="spellEnd"/>
      <w:r>
        <w:rPr>
          <w:rFonts w:ascii="Times New Roman" w:hAnsi="Times New Roman" w:cs="Arial"/>
          <w:color w:val="323233"/>
        </w:rPr>
        <w:t xml:space="preserve"> </w:t>
      </w:r>
      <w:proofErr w:type="spellStart"/>
      <w:r>
        <w:rPr>
          <w:rFonts w:ascii="Times New Roman" w:hAnsi="Times New Roman" w:cs="Arial"/>
          <w:color w:val="323233"/>
        </w:rPr>
        <w:t>Civilprocesa</w:t>
      </w:r>
      <w:proofErr w:type="spellEnd"/>
      <w:r>
        <w:rPr>
          <w:rFonts w:ascii="Times New Roman" w:hAnsi="Times New Roman" w:cs="Arial"/>
          <w:color w:val="323233"/>
        </w:rPr>
        <w:t xml:space="preserve"> </w:t>
      </w:r>
      <w:proofErr w:type="spellStart"/>
      <w:r>
        <w:rPr>
          <w:rFonts w:ascii="Times New Roman" w:hAnsi="Times New Roman" w:cs="Arial"/>
          <w:color w:val="323233"/>
        </w:rPr>
        <w:t>likuma</w:t>
      </w:r>
      <w:proofErr w:type="spellEnd"/>
      <w:r>
        <w:rPr>
          <w:rFonts w:ascii="Times New Roman" w:hAnsi="Times New Roman" w:cs="Arial"/>
          <w:color w:val="323233"/>
        </w:rPr>
        <w:t xml:space="preserve"> (</w:t>
      </w:r>
      <w:proofErr w:type="spellStart"/>
      <w:proofErr w:type="gramStart"/>
      <w:r w:rsidRPr="00394183">
        <w:rPr>
          <w:rFonts w:ascii="Times New Roman" w:hAnsi="Times New Roman" w:cs="Arial"/>
          <w:i/>
          <w:iCs/>
          <w:color w:val="323233"/>
        </w:rPr>
        <w:t>Zivilprozessordnung</w:t>
      </w:r>
      <w:proofErr w:type="spellEnd"/>
      <w:r>
        <w:rPr>
          <w:rFonts w:ascii="Times New Roman" w:hAnsi="Times New Roman" w:cs="Arial"/>
          <w:i/>
          <w:iCs/>
          <w:color w:val="323233"/>
        </w:rPr>
        <w:t>;</w:t>
      </w:r>
      <w:proofErr w:type="gramEnd"/>
      <w:r>
        <w:rPr>
          <w:rFonts w:ascii="Times New Roman" w:hAnsi="Times New Roman" w:cs="Arial"/>
          <w:i/>
          <w:iCs/>
          <w:color w:val="323233"/>
        </w:rPr>
        <w:t xml:space="preserve"> ZPO</w:t>
      </w:r>
      <w:r>
        <w:rPr>
          <w:rFonts w:ascii="Times New Roman" w:hAnsi="Times New Roman" w:cs="Arial"/>
          <w:color w:val="323233"/>
        </w:rPr>
        <w:t xml:space="preserve">) 415.panta </w:t>
      </w:r>
      <w:proofErr w:type="spellStart"/>
      <w:r>
        <w:rPr>
          <w:rFonts w:ascii="Times New Roman" w:hAnsi="Times New Roman" w:cs="Arial"/>
          <w:color w:val="323233"/>
        </w:rPr>
        <w:t>pirmo</w:t>
      </w:r>
      <w:proofErr w:type="spellEnd"/>
      <w:r>
        <w:rPr>
          <w:rFonts w:ascii="Times New Roman" w:hAnsi="Times New Roman" w:cs="Arial"/>
          <w:color w:val="323233"/>
        </w:rPr>
        <w:t xml:space="preserve"> </w:t>
      </w:r>
      <w:proofErr w:type="spellStart"/>
      <w:r>
        <w:rPr>
          <w:rFonts w:ascii="Times New Roman" w:hAnsi="Times New Roman" w:cs="Arial"/>
          <w:color w:val="323233"/>
        </w:rPr>
        <w:t>daļu</w:t>
      </w:r>
      <w:proofErr w:type="spellEnd"/>
      <w:r>
        <w:rPr>
          <w:rFonts w:ascii="Times New Roman" w:hAnsi="Times New Roman" w:cs="Arial"/>
          <w:color w:val="323233"/>
        </w:rPr>
        <w:t xml:space="preserve"> </w:t>
      </w:r>
      <w:proofErr w:type="spellStart"/>
      <w:r w:rsidRPr="00970514">
        <w:rPr>
          <w:rFonts w:ascii="Times New Roman" w:hAnsi="Times New Roman" w:cs="Arial"/>
          <w:color w:val="323233"/>
          <w:u w:val="single"/>
        </w:rPr>
        <w:t>publiski</w:t>
      </w:r>
      <w:proofErr w:type="spellEnd"/>
      <w:r w:rsidRPr="00970514">
        <w:rPr>
          <w:rFonts w:ascii="Times New Roman" w:hAnsi="Times New Roman" w:cs="Arial"/>
          <w:color w:val="323233"/>
          <w:u w:val="single"/>
        </w:rPr>
        <w:t xml:space="preserve"> </w:t>
      </w:r>
      <w:proofErr w:type="spellStart"/>
      <w:r w:rsidRPr="00970514">
        <w:rPr>
          <w:rFonts w:ascii="Times New Roman" w:hAnsi="Times New Roman" w:cs="Arial"/>
          <w:color w:val="323233"/>
          <w:u w:val="single"/>
        </w:rPr>
        <w:t>dokumenti</w:t>
      </w:r>
      <w:proofErr w:type="spellEnd"/>
      <w:r>
        <w:rPr>
          <w:rFonts w:ascii="Times New Roman" w:hAnsi="Times New Roman" w:cs="Arial"/>
          <w:color w:val="323233"/>
        </w:rPr>
        <w:t xml:space="preserve"> (</w:t>
      </w:r>
      <w:proofErr w:type="spellStart"/>
      <w:r>
        <w:rPr>
          <w:rFonts w:ascii="Times New Roman" w:hAnsi="Times New Roman" w:cs="Arial"/>
          <w:color w:val="323233"/>
        </w:rPr>
        <w:t>vācu</w:t>
      </w:r>
      <w:proofErr w:type="spellEnd"/>
      <w:r>
        <w:rPr>
          <w:rFonts w:ascii="Times New Roman" w:hAnsi="Times New Roman" w:cs="Arial"/>
          <w:color w:val="323233"/>
        </w:rPr>
        <w:t xml:space="preserve"> val. – </w:t>
      </w:r>
      <w:proofErr w:type="spellStart"/>
      <w:r w:rsidRPr="00EB3340">
        <w:rPr>
          <w:rFonts w:ascii="Times New Roman" w:hAnsi="Times New Roman" w:cs="Times New Roman"/>
          <w:i/>
          <w:iCs/>
          <w:color w:val="323233"/>
        </w:rPr>
        <w:t>ö</w:t>
      </w:r>
      <w:r w:rsidRPr="00EB3340">
        <w:rPr>
          <w:rFonts w:ascii="Times New Roman" w:hAnsi="Times New Roman" w:cs="Arial"/>
          <w:i/>
          <w:iCs/>
          <w:color w:val="323233"/>
        </w:rPr>
        <w:t>ffentliche</w:t>
      </w:r>
      <w:proofErr w:type="spellEnd"/>
      <w:r w:rsidRPr="00EB3340">
        <w:rPr>
          <w:rFonts w:ascii="Times New Roman" w:hAnsi="Times New Roman" w:cs="Arial"/>
          <w:i/>
          <w:iCs/>
          <w:color w:val="323233"/>
        </w:rPr>
        <w:t xml:space="preserve"> </w:t>
      </w:r>
      <w:proofErr w:type="spellStart"/>
      <w:r w:rsidRPr="00EB3340">
        <w:rPr>
          <w:rFonts w:ascii="Times New Roman" w:hAnsi="Times New Roman" w:cs="Arial"/>
          <w:i/>
          <w:iCs/>
          <w:color w:val="323233"/>
        </w:rPr>
        <w:t>Urkunden</w:t>
      </w:r>
      <w:proofErr w:type="spellEnd"/>
      <w:r>
        <w:rPr>
          <w:rFonts w:ascii="Times New Roman" w:hAnsi="Times New Roman" w:cs="Arial"/>
          <w:color w:val="323233"/>
        </w:rPr>
        <w:t xml:space="preserve">) </w:t>
      </w:r>
      <w:proofErr w:type="spellStart"/>
      <w:r>
        <w:rPr>
          <w:rFonts w:ascii="Times New Roman" w:hAnsi="Times New Roman" w:cs="Arial"/>
          <w:color w:val="323233"/>
        </w:rPr>
        <w:t>ir</w:t>
      </w:r>
      <w:proofErr w:type="spellEnd"/>
      <w:r>
        <w:rPr>
          <w:rFonts w:ascii="Times New Roman" w:hAnsi="Times New Roman" w:cs="Arial"/>
          <w:color w:val="323233"/>
        </w:rPr>
        <w:t xml:space="preserve"> </w:t>
      </w:r>
      <w:proofErr w:type="spellStart"/>
      <w:r>
        <w:rPr>
          <w:rFonts w:ascii="Times New Roman" w:hAnsi="Times New Roman" w:cs="Arial"/>
          <w:color w:val="323233"/>
        </w:rPr>
        <w:t>dokumenti</w:t>
      </w:r>
      <w:proofErr w:type="spellEnd"/>
      <w:r>
        <w:rPr>
          <w:rFonts w:ascii="Times New Roman" w:hAnsi="Times New Roman" w:cs="Arial"/>
          <w:color w:val="323233"/>
        </w:rPr>
        <w:t xml:space="preserve">, </w:t>
      </w:r>
      <w:proofErr w:type="spellStart"/>
      <w:r>
        <w:rPr>
          <w:rFonts w:ascii="Times New Roman" w:hAnsi="Times New Roman" w:cs="Arial"/>
          <w:color w:val="323233"/>
        </w:rPr>
        <w:t>kurus</w:t>
      </w:r>
      <w:proofErr w:type="spellEnd"/>
      <w:r>
        <w:rPr>
          <w:rFonts w:ascii="Times New Roman" w:hAnsi="Times New Roman" w:cs="Arial"/>
          <w:color w:val="323233"/>
        </w:rPr>
        <w:t xml:space="preserve"> </w:t>
      </w:r>
      <w:proofErr w:type="spellStart"/>
      <w:r>
        <w:rPr>
          <w:rFonts w:ascii="Times New Roman" w:hAnsi="Times New Roman" w:cs="Arial"/>
          <w:color w:val="323233"/>
        </w:rPr>
        <w:t>likumā</w:t>
      </w:r>
      <w:proofErr w:type="spellEnd"/>
      <w:r>
        <w:rPr>
          <w:rFonts w:ascii="Times New Roman" w:hAnsi="Times New Roman" w:cs="Arial"/>
          <w:color w:val="323233"/>
        </w:rPr>
        <w:t xml:space="preserve"> </w:t>
      </w:r>
      <w:proofErr w:type="spellStart"/>
      <w:r>
        <w:rPr>
          <w:rFonts w:ascii="Times New Roman" w:hAnsi="Times New Roman" w:cs="Arial"/>
          <w:color w:val="323233"/>
        </w:rPr>
        <w:t>noteiktajā</w:t>
      </w:r>
      <w:proofErr w:type="spellEnd"/>
      <w:r>
        <w:rPr>
          <w:rFonts w:ascii="Times New Roman" w:hAnsi="Times New Roman" w:cs="Arial"/>
          <w:color w:val="323233"/>
        </w:rPr>
        <w:t xml:space="preserve"> </w:t>
      </w:r>
      <w:proofErr w:type="spellStart"/>
      <w:r>
        <w:rPr>
          <w:rFonts w:ascii="Times New Roman" w:hAnsi="Times New Roman" w:cs="Arial"/>
          <w:color w:val="323233"/>
        </w:rPr>
        <w:t>formā</w:t>
      </w:r>
      <w:proofErr w:type="spellEnd"/>
      <w:r>
        <w:rPr>
          <w:rFonts w:ascii="Times New Roman" w:hAnsi="Times New Roman" w:cs="Arial"/>
          <w:color w:val="323233"/>
        </w:rPr>
        <w:t xml:space="preserve"> </w:t>
      </w:r>
      <w:proofErr w:type="spellStart"/>
      <w:r>
        <w:rPr>
          <w:rFonts w:ascii="Times New Roman" w:hAnsi="Times New Roman" w:cs="Arial"/>
          <w:color w:val="323233"/>
        </w:rPr>
        <w:t>izdevušas</w:t>
      </w:r>
      <w:proofErr w:type="spellEnd"/>
      <w:r>
        <w:rPr>
          <w:rFonts w:ascii="Times New Roman" w:hAnsi="Times New Roman" w:cs="Arial"/>
          <w:color w:val="323233"/>
        </w:rPr>
        <w:t xml:space="preserve"> </w:t>
      </w:r>
      <w:proofErr w:type="spellStart"/>
      <w:r>
        <w:rPr>
          <w:rFonts w:ascii="Times New Roman" w:hAnsi="Times New Roman" w:cs="Arial"/>
          <w:color w:val="323233"/>
        </w:rPr>
        <w:t>publiskās</w:t>
      </w:r>
      <w:proofErr w:type="spellEnd"/>
      <w:r>
        <w:rPr>
          <w:rFonts w:ascii="Times New Roman" w:hAnsi="Times New Roman" w:cs="Arial"/>
          <w:color w:val="323233"/>
        </w:rPr>
        <w:t xml:space="preserve"> </w:t>
      </w:r>
      <w:proofErr w:type="spellStart"/>
      <w:r>
        <w:rPr>
          <w:rFonts w:ascii="Times New Roman" w:hAnsi="Times New Roman" w:cs="Arial"/>
          <w:color w:val="323233"/>
        </w:rPr>
        <w:t>varas</w:t>
      </w:r>
      <w:proofErr w:type="spellEnd"/>
      <w:r>
        <w:rPr>
          <w:rFonts w:ascii="Times New Roman" w:hAnsi="Times New Roman" w:cs="Arial"/>
          <w:color w:val="323233"/>
        </w:rPr>
        <w:t xml:space="preserve"> </w:t>
      </w:r>
      <w:proofErr w:type="spellStart"/>
      <w:r>
        <w:rPr>
          <w:rFonts w:ascii="Times New Roman" w:hAnsi="Times New Roman" w:cs="Arial"/>
          <w:color w:val="323233"/>
        </w:rPr>
        <w:t>iestādes</w:t>
      </w:r>
      <w:proofErr w:type="spellEnd"/>
      <w:r>
        <w:rPr>
          <w:rFonts w:ascii="Times New Roman" w:hAnsi="Times New Roman" w:cs="Arial"/>
          <w:color w:val="323233"/>
        </w:rPr>
        <w:t xml:space="preserve"> </w:t>
      </w:r>
      <w:proofErr w:type="spellStart"/>
      <w:r>
        <w:rPr>
          <w:rFonts w:ascii="Times New Roman" w:hAnsi="Times New Roman" w:cs="Arial"/>
          <w:color w:val="323233"/>
        </w:rPr>
        <w:t>savu</w:t>
      </w:r>
      <w:proofErr w:type="spellEnd"/>
      <w:r>
        <w:rPr>
          <w:rFonts w:ascii="Times New Roman" w:hAnsi="Times New Roman" w:cs="Arial"/>
          <w:color w:val="323233"/>
        </w:rPr>
        <w:t xml:space="preserve"> </w:t>
      </w:r>
      <w:proofErr w:type="spellStart"/>
      <w:r>
        <w:rPr>
          <w:rFonts w:ascii="Times New Roman" w:hAnsi="Times New Roman" w:cs="Arial"/>
          <w:color w:val="323233"/>
        </w:rPr>
        <w:t>amata</w:t>
      </w:r>
      <w:proofErr w:type="spellEnd"/>
      <w:r>
        <w:rPr>
          <w:rFonts w:ascii="Times New Roman" w:hAnsi="Times New Roman" w:cs="Arial"/>
          <w:color w:val="323233"/>
        </w:rPr>
        <w:t xml:space="preserve"> </w:t>
      </w:r>
      <w:proofErr w:type="spellStart"/>
      <w:r>
        <w:rPr>
          <w:rFonts w:ascii="Times New Roman" w:hAnsi="Times New Roman" w:cs="Arial"/>
          <w:color w:val="323233"/>
        </w:rPr>
        <w:t>pilnvaru</w:t>
      </w:r>
      <w:proofErr w:type="spellEnd"/>
      <w:r>
        <w:rPr>
          <w:rFonts w:ascii="Times New Roman" w:hAnsi="Times New Roman" w:cs="Arial"/>
          <w:color w:val="323233"/>
        </w:rPr>
        <w:t xml:space="preserve"> </w:t>
      </w:r>
      <w:proofErr w:type="spellStart"/>
      <w:r>
        <w:rPr>
          <w:rFonts w:ascii="Times New Roman" w:hAnsi="Times New Roman" w:cs="Arial"/>
          <w:color w:val="323233"/>
        </w:rPr>
        <w:t>robežās</w:t>
      </w:r>
      <w:proofErr w:type="spellEnd"/>
      <w:r>
        <w:rPr>
          <w:rFonts w:ascii="Times New Roman" w:hAnsi="Times New Roman" w:cs="Arial"/>
          <w:color w:val="323233"/>
        </w:rPr>
        <w:t xml:space="preserve"> </w:t>
      </w:r>
      <w:proofErr w:type="spellStart"/>
      <w:r>
        <w:rPr>
          <w:rFonts w:ascii="Times New Roman" w:hAnsi="Times New Roman" w:cs="Arial"/>
          <w:color w:val="323233"/>
        </w:rPr>
        <w:t>vai</w:t>
      </w:r>
      <w:proofErr w:type="spellEnd"/>
      <w:r>
        <w:rPr>
          <w:rFonts w:ascii="Times New Roman" w:hAnsi="Times New Roman" w:cs="Arial"/>
          <w:color w:val="323233"/>
        </w:rPr>
        <w:t xml:space="preserve"> </w:t>
      </w:r>
      <w:proofErr w:type="spellStart"/>
      <w:r>
        <w:rPr>
          <w:rFonts w:ascii="Times New Roman" w:hAnsi="Times New Roman" w:cs="Arial"/>
          <w:color w:val="323233"/>
        </w:rPr>
        <w:t>kurus</w:t>
      </w:r>
      <w:proofErr w:type="spellEnd"/>
      <w:r>
        <w:rPr>
          <w:rFonts w:ascii="Times New Roman" w:hAnsi="Times New Roman" w:cs="Arial"/>
          <w:color w:val="323233"/>
        </w:rPr>
        <w:t xml:space="preserve"> </w:t>
      </w:r>
      <w:proofErr w:type="spellStart"/>
      <w:r>
        <w:rPr>
          <w:rFonts w:ascii="Times New Roman" w:hAnsi="Times New Roman" w:cs="Arial"/>
          <w:color w:val="323233"/>
        </w:rPr>
        <w:t>izdevušas</w:t>
      </w:r>
      <w:proofErr w:type="spellEnd"/>
      <w:r>
        <w:rPr>
          <w:rFonts w:ascii="Times New Roman" w:hAnsi="Times New Roman" w:cs="Arial"/>
          <w:color w:val="323233"/>
        </w:rPr>
        <w:t xml:space="preserve"> </w:t>
      </w:r>
      <w:proofErr w:type="spellStart"/>
      <w:r>
        <w:rPr>
          <w:rFonts w:ascii="Times New Roman" w:hAnsi="Times New Roman" w:cs="Arial"/>
          <w:color w:val="323233"/>
        </w:rPr>
        <w:t>ar</w:t>
      </w:r>
      <w:proofErr w:type="spellEnd"/>
      <w:r>
        <w:rPr>
          <w:rFonts w:ascii="Times New Roman" w:hAnsi="Times New Roman" w:cs="Arial"/>
          <w:color w:val="323233"/>
        </w:rPr>
        <w:t xml:space="preserve"> </w:t>
      </w:r>
      <w:proofErr w:type="spellStart"/>
      <w:r>
        <w:rPr>
          <w:rFonts w:ascii="Times New Roman" w:hAnsi="Times New Roman" w:cs="Arial"/>
          <w:color w:val="323233"/>
        </w:rPr>
        <w:t>publisku</w:t>
      </w:r>
      <w:proofErr w:type="spellEnd"/>
      <w:r>
        <w:rPr>
          <w:rFonts w:ascii="Times New Roman" w:hAnsi="Times New Roman" w:cs="Arial"/>
          <w:color w:val="323233"/>
        </w:rPr>
        <w:t xml:space="preserve"> </w:t>
      </w:r>
      <w:proofErr w:type="spellStart"/>
      <w:r>
        <w:rPr>
          <w:rFonts w:ascii="Times New Roman" w:hAnsi="Times New Roman" w:cs="Arial"/>
          <w:color w:val="323233"/>
        </w:rPr>
        <w:t>ticamību</w:t>
      </w:r>
      <w:proofErr w:type="spellEnd"/>
      <w:r>
        <w:rPr>
          <w:rFonts w:ascii="Times New Roman" w:hAnsi="Times New Roman" w:cs="Arial"/>
          <w:color w:val="323233"/>
        </w:rPr>
        <w:t xml:space="preserve"> </w:t>
      </w:r>
      <w:proofErr w:type="spellStart"/>
      <w:r>
        <w:rPr>
          <w:rFonts w:ascii="Times New Roman" w:hAnsi="Times New Roman" w:cs="Arial"/>
          <w:color w:val="323233"/>
        </w:rPr>
        <w:t>apveltītas</w:t>
      </w:r>
      <w:proofErr w:type="spellEnd"/>
      <w:r>
        <w:rPr>
          <w:rFonts w:ascii="Times New Roman" w:hAnsi="Times New Roman" w:cs="Arial"/>
          <w:color w:val="323233"/>
        </w:rPr>
        <w:t xml:space="preserve"> </w:t>
      </w:r>
      <w:proofErr w:type="spellStart"/>
      <w:r>
        <w:rPr>
          <w:rFonts w:ascii="Times New Roman" w:hAnsi="Times New Roman" w:cs="Arial"/>
          <w:color w:val="323233"/>
        </w:rPr>
        <w:t>personas</w:t>
      </w:r>
      <w:proofErr w:type="spellEnd"/>
      <w:r>
        <w:rPr>
          <w:rFonts w:ascii="Times New Roman" w:hAnsi="Times New Roman" w:cs="Arial"/>
          <w:color w:val="323233"/>
        </w:rPr>
        <w:t xml:space="preserve"> </w:t>
      </w:r>
      <w:proofErr w:type="spellStart"/>
      <w:r>
        <w:rPr>
          <w:rFonts w:ascii="Times New Roman" w:hAnsi="Times New Roman" w:cs="Arial"/>
          <w:color w:val="323233"/>
        </w:rPr>
        <w:t>viņām</w:t>
      </w:r>
      <w:proofErr w:type="spellEnd"/>
      <w:r>
        <w:rPr>
          <w:rFonts w:ascii="Times New Roman" w:hAnsi="Times New Roman" w:cs="Arial"/>
          <w:color w:val="323233"/>
        </w:rPr>
        <w:t xml:space="preserve"> </w:t>
      </w:r>
      <w:proofErr w:type="spellStart"/>
      <w:r>
        <w:rPr>
          <w:rFonts w:ascii="Times New Roman" w:hAnsi="Times New Roman" w:cs="Arial"/>
          <w:color w:val="323233"/>
        </w:rPr>
        <w:t>piešķirto</w:t>
      </w:r>
      <w:proofErr w:type="spellEnd"/>
      <w:r>
        <w:rPr>
          <w:rFonts w:ascii="Times New Roman" w:hAnsi="Times New Roman" w:cs="Arial"/>
          <w:color w:val="323233"/>
        </w:rPr>
        <w:t xml:space="preserve"> </w:t>
      </w:r>
      <w:proofErr w:type="spellStart"/>
      <w:r>
        <w:rPr>
          <w:rFonts w:ascii="Times New Roman" w:hAnsi="Times New Roman" w:cs="Arial"/>
          <w:color w:val="323233"/>
        </w:rPr>
        <w:t>rīcības</w:t>
      </w:r>
      <w:proofErr w:type="spellEnd"/>
      <w:r>
        <w:rPr>
          <w:rFonts w:ascii="Times New Roman" w:hAnsi="Times New Roman" w:cs="Arial"/>
          <w:color w:val="323233"/>
        </w:rPr>
        <w:t xml:space="preserve"> </w:t>
      </w:r>
      <w:proofErr w:type="spellStart"/>
      <w:r>
        <w:rPr>
          <w:rFonts w:ascii="Times New Roman" w:hAnsi="Times New Roman" w:cs="Arial"/>
          <w:color w:val="323233"/>
        </w:rPr>
        <w:t>pilnvaru</w:t>
      </w:r>
      <w:proofErr w:type="spellEnd"/>
      <w:r>
        <w:rPr>
          <w:rFonts w:ascii="Times New Roman" w:hAnsi="Times New Roman" w:cs="Arial"/>
          <w:color w:val="323233"/>
        </w:rPr>
        <w:t> </w:t>
      </w:r>
      <w:proofErr w:type="spellStart"/>
      <w:r>
        <w:rPr>
          <w:rFonts w:ascii="Times New Roman" w:hAnsi="Times New Roman" w:cs="Arial"/>
          <w:color w:val="323233"/>
        </w:rPr>
        <w:t>robežās</w:t>
      </w:r>
      <w:proofErr w:type="spellEnd"/>
      <w:r>
        <w:rPr>
          <w:rFonts w:ascii="Times New Roman" w:hAnsi="Times New Roman" w:cs="Arial"/>
          <w:color w:val="323233"/>
        </w:rPr>
        <w:t xml:space="preserve">. </w:t>
      </w:r>
      <w:proofErr w:type="spellStart"/>
      <w:r>
        <w:rPr>
          <w:rFonts w:ascii="Times New Roman" w:hAnsi="Times New Roman" w:cs="Times New Roman"/>
          <w:color w:val="323233"/>
        </w:rPr>
        <w:t>Š</w:t>
      </w:r>
      <w:r>
        <w:rPr>
          <w:rFonts w:ascii="Times New Roman" w:hAnsi="Times New Roman" w:cs="Arial"/>
          <w:color w:val="323233"/>
        </w:rPr>
        <w:t>āds</w:t>
      </w:r>
      <w:proofErr w:type="spellEnd"/>
      <w:r>
        <w:rPr>
          <w:rFonts w:ascii="Times New Roman" w:hAnsi="Times New Roman" w:cs="Arial"/>
          <w:color w:val="323233"/>
        </w:rPr>
        <w:t xml:space="preserve"> </w:t>
      </w:r>
      <w:proofErr w:type="spellStart"/>
      <w:r>
        <w:rPr>
          <w:rFonts w:ascii="Times New Roman" w:hAnsi="Times New Roman" w:cs="Arial"/>
          <w:color w:val="323233"/>
        </w:rPr>
        <w:t>publisks</w:t>
      </w:r>
      <w:proofErr w:type="spellEnd"/>
      <w:r>
        <w:rPr>
          <w:rFonts w:ascii="Times New Roman" w:hAnsi="Times New Roman" w:cs="Arial"/>
          <w:color w:val="323233"/>
        </w:rPr>
        <w:t xml:space="preserve"> </w:t>
      </w:r>
      <w:proofErr w:type="spellStart"/>
      <w:r>
        <w:rPr>
          <w:rFonts w:ascii="Times New Roman" w:hAnsi="Times New Roman" w:cs="Arial"/>
          <w:color w:val="323233"/>
        </w:rPr>
        <w:t>dokuments</w:t>
      </w:r>
      <w:proofErr w:type="spellEnd"/>
      <w:r>
        <w:rPr>
          <w:rFonts w:ascii="Times New Roman" w:hAnsi="Times New Roman" w:cs="Arial"/>
          <w:color w:val="323233"/>
        </w:rPr>
        <w:t xml:space="preserve"> </w:t>
      </w:r>
      <w:proofErr w:type="spellStart"/>
      <w:r>
        <w:rPr>
          <w:rFonts w:ascii="Times New Roman" w:hAnsi="Times New Roman" w:cs="Arial"/>
          <w:color w:val="323233"/>
        </w:rPr>
        <w:t>jo</w:t>
      </w:r>
      <w:proofErr w:type="spellEnd"/>
      <w:r>
        <w:rPr>
          <w:rFonts w:ascii="Times New Roman" w:hAnsi="Times New Roman" w:cs="Arial"/>
          <w:color w:val="323233"/>
        </w:rPr>
        <w:t xml:space="preserve"> </w:t>
      </w:r>
      <w:proofErr w:type="spellStart"/>
      <w:r>
        <w:rPr>
          <w:rFonts w:ascii="Times New Roman" w:hAnsi="Times New Roman" w:cs="Arial"/>
          <w:color w:val="323233"/>
        </w:rPr>
        <w:t>īpaši</w:t>
      </w:r>
      <w:proofErr w:type="spellEnd"/>
      <w:r>
        <w:rPr>
          <w:rFonts w:ascii="Times New Roman" w:hAnsi="Times New Roman" w:cs="Arial"/>
          <w:color w:val="323233"/>
        </w:rPr>
        <w:t xml:space="preserve"> </w:t>
      </w:r>
      <w:proofErr w:type="spellStart"/>
      <w:r>
        <w:rPr>
          <w:rFonts w:ascii="Times New Roman" w:hAnsi="Times New Roman" w:cs="Arial"/>
          <w:color w:val="323233"/>
        </w:rPr>
        <w:t>ir</w:t>
      </w:r>
      <w:proofErr w:type="spellEnd"/>
      <w:r>
        <w:rPr>
          <w:rFonts w:ascii="Times New Roman" w:hAnsi="Times New Roman" w:cs="Arial"/>
          <w:color w:val="323233"/>
        </w:rPr>
        <w:t xml:space="preserve"> </w:t>
      </w:r>
      <w:proofErr w:type="spellStart"/>
      <w:r>
        <w:rPr>
          <w:rFonts w:ascii="Times New Roman" w:hAnsi="Times New Roman" w:cs="Arial"/>
          <w:color w:val="323233"/>
        </w:rPr>
        <w:t>notariālais</w:t>
      </w:r>
      <w:proofErr w:type="spellEnd"/>
      <w:r>
        <w:rPr>
          <w:rFonts w:ascii="Times New Roman" w:hAnsi="Times New Roman" w:cs="Arial"/>
          <w:color w:val="323233"/>
        </w:rPr>
        <w:t xml:space="preserve"> </w:t>
      </w:r>
      <w:proofErr w:type="spellStart"/>
      <w:r>
        <w:rPr>
          <w:rFonts w:ascii="Times New Roman" w:hAnsi="Times New Roman" w:cs="Arial"/>
          <w:color w:val="323233"/>
        </w:rPr>
        <w:t>akts</w:t>
      </w:r>
      <w:proofErr w:type="spellEnd"/>
      <w:r>
        <w:rPr>
          <w:rFonts w:ascii="Times New Roman" w:hAnsi="Times New Roman" w:cs="Arial"/>
          <w:color w:val="323233"/>
        </w:rPr>
        <w:t xml:space="preserve"> (</w:t>
      </w:r>
      <w:proofErr w:type="spellStart"/>
      <w:r>
        <w:rPr>
          <w:rFonts w:ascii="Times New Roman" w:hAnsi="Times New Roman" w:cs="Arial"/>
          <w:color w:val="323233"/>
        </w:rPr>
        <w:t>vācu</w:t>
      </w:r>
      <w:proofErr w:type="spellEnd"/>
      <w:r>
        <w:rPr>
          <w:rFonts w:ascii="Times New Roman" w:hAnsi="Times New Roman" w:cs="Arial"/>
          <w:color w:val="323233"/>
        </w:rPr>
        <w:t xml:space="preserve"> val. – </w:t>
      </w:r>
      <w:proofErr w:type="spellStart"/>
      <w:r w:rsidRPr="00EB3340">
        <w:rPr>
          <w:rFonts w:ascii="Times New Roman" w:hAnsi="Times New Roman" w:cs="Arial"/>
          <w:i/>
          <w:iCs/>
          <w:color w:val="323233"/>
        </w:rPr>
        <w:t>notarielle</w:t>
      </w:r>
      <w:proofErr w:type="spellEnd"/>
      <w:r w:rsidRPr="00EB3340">
        <w:rPr>
          <w:rFonts w:ascii="Times New Roman" w:hAnsi="Times New Roman" w:cs="Arial"/>
          <w:i/>
          <w:iCs/>
          <w:color w:val="323233"/>
        </w:rPr>
        <w:t xml:space="preserve"> </w:t>
      </w:r>
      <w:proofErr w:type="spellStart"/>
      <w:r w:rsidRPr="00EB3340">
        <w:rPr>
          <w:rFonts w:ascii="Times New Roman" w:hAnsi="Times New Roman" w:cs="Arial"/>
          <w:i/>
          <w:iCs/>
          <w:color w:val="323233"/>
        </w:rPr>
        <w:t>Urkunde</w:t>
      </w:r>
      <w:proofErr w:type="spellEnd"/>
      <w:r>
        <w:rPr>
          <w:rFonts w:ascii="Times New Roman" w:hAnsi="Times New Roman" w:cs="Arial"/>
          <w:color w:val="323233"/>
        </w:rPr>
        <w:t xml:space="preserve">). </w:t>
      </w:r>
      <w:proofErr w:type="spellStart"/>
      <w:r>
        <w:rPr>
          <w:rFonts w:ascii="Times New Roman" w:hAnsi="Times New Roman" w:cs="Arial"/>
          <w:color w:val="323233"/>
        </w:rPr>
        <w:t>Publiskajiem</w:t>
      </w:r>
      <w:proofErr w:type="spellEnd"/>
      <w:r>
        <w:rPr>
          <w:rFonts w:ascii="Times New Roman" w:hAnsi="Times New Roman" w:cs="Arial"/>
          <w:color w:val="323233"/>
        </w:rPr>
        <w:t xml:space="preserve"> </w:t>
      </w:r>
      <w:proofErr w:type="spellStart"/>
      <w:r>
        <w:rPr>
          <w:rFonts w:ascii="Times New Roman" w:hAnsi="Times New Roman" w:cs="Arial"/>
          <w:color w:val="323233"/>
        </w:rPr>
        <w:t>dokumentiem</w:t>
      </w:r>
      <w:proofErr w:type="spellEnd"/>
      <w:r>
        <w:rPr>
          <w:rFonts w:ascii="Times New Roman" w:hAnsi="Times New Roman" w:cs="Arial"/>
          <w:color w:val="323233"/>
        </w:rPr>
        <w:t xml:space="preserve"> </w:t>
      </w:r>
      <w:proofErr w:type="spellStart"/>
      <w:r>
        <w:rPr>
          <w:rFonts w:ascii="Times New Roman" w:hAnsi="Times New Roman" w:cs="Arial"/>
          <w:color w:val="323233"/>
        </w:rPr>
        <w:t>ir</w:t>
      </w:r>
      <w:proofErr w:type="spellEnd"/>
      <w:r>
        <w:rPr>
          <w:rFonts w:ascii="Times New Roman" w:hAnsi="Times New Roman" w:cs="Arial"/>
          <w:color w:val="323233"/>
        </w:rPr>
        <w:t xml:space="preserve"> </w:t>
      </w:r>
      <w:proofErr w:type="spellStart"/>
      <w:r>
        <w:rPr>
          <w:rFonts w:ascii="Times New Roman" w:hAnsi="Times New Roman" w:cs="Arial"/>
          <w:color w:val="323233"/>
        </w:rPr>
        <w:t>īpaši</w:t>
      </w:r>
      <w:proofErr w:type="spellEnd"/>
      <w:r>
        <w:rPr>
          <w:rFonts w:ascii="Times New Roman" w:hAnsi="Times New Roman" w:cs="Arial"/>
          <w:color w:val="323233"/>
        </w:rPr>
        <w:t xml:space="preserve"> </w:t>
      </w:r>
      <w:proofErr w:type="spellStart"/>
      <w:r>
        <w:rPr>
          <w:rFonts w:ascii="Times New Roman" w:hAnsi="Times New Roman" w:cs="Arial"/>
          <w:color w:val="323233"/>
        </w:rPr>
        <w:t>liels</w:t>
      </w:r>
      <w:proofErr w:type="spellEnd"/>
      <w:r>
        <w:rPr>
          <w:rFonts w:ascii="Times New Roman" w:hAnsi="Times New Roman" w:cs="Arial"/>
          <w:color w:val="323233"/>
        </w:rPr>
        <w:t xml:space="preserve"> </w:t>
      </w:r>
      <w:proofErr w:type="spellStart"/>
      <w:r>
        <w:rPr>
          <w:rFonts w:ascii="Times New Roman" w:hAnsi="Times New Roman" w:cs="Arial"/>
          <w:color w:val="323233"/>
        </w:rPr>
        <w:t>pierādījuma</w:t>
      </w:r>
      <w:proofErr w:type="spellEnd"/>
      <w:r>
        <w:rPr>
          <w:rFonts w:ascii="Times New Roman" w:hAnsi="Times New Roman" w:cs="Arial"/>
          <w:color w:val="323233"/>
        </w:rPr>
        <w:t xml:space="preserve"> </w:t>
      </w:r>
      <w:proofErr w:type="spellStart"/>
      <w:r>
        <w:rPr>
          <w:rFonts w:ascii="Times New Roman" w:hAnsi="Times New Roman" w:cs="Arial"/>
          <w:color w:val="323233"/>
        </w:rPr>
        <w:t>spēks</w:t>
      </w:r>
      <w:proofErr w:type="spellEnd"/>
      <w:r>
        <w:rPr>
          <w:rFonts w:ascii="Times New Roman" w:hAnsi="Times New Roman" w:cs="Arial"/>
          <w:color w:val="323233"/>
        </w:rPr>
        <w:t xml:space="preserve"> </w:t>
      </w:r>
      <w:proofErr w:type="spellStart"/>
      <w:r>
        <w:rPr>
          <w:rFonts w:ascii="Times New Roman" w:hAnsi="Times New Roman" w:cs="Arial"/>
          <w:color w:val="323233"/>
        </w:rPr>
        <w:t>attiecībā</w:t>
      </w:r>
      <w:proofErr w:type="spellEnd"/>
      <w:r>
        <w:rPr>
          <w:rFonts w:ascii="Times New Roman" w:hAnsi="Times New Roman" w:cs="Arial"/>
          <w:color w:val="323233"/>
        </w:rPr>
        <w:t xml:space="preserve"> </w:t>
      </w:r>
      <w:proofErr w:type="spellStart"/>
      <w:r>
        <w:rPr>
          <w:rFonts w:ascii="Times New Roman" w:hAnsi="Times New Roman" w:cs="Arial"/>
          <w:color w:val="323233"/>
        </w:rPr>
        <w:t>uz</w:t>
      </w:r>
      <w:proofErr w:type="spellEnd"/>
      <w:r>
        <w:rPr>
          <w:rFonts w:ascii="Times New Roman" w:hAnsi="Times New Roman" w:cs="Arial"/>
          <w:color w:val="323233"/>
        </w:rPr>
        <w:t xml:space="preserve"> to </w:t>
      </w:r>
      <w:proofErr w:type="spellStart"/>
      <w:r>
        <w:rPr>
          <w:rFonts w:ascii="Times New Roman" w:hAnsi="Times New Roman" w:cs="Arial"/>
          <w:color w:val="323233"/>
        </w:rPr>
        <w:t>saturu</w:t>
      </w:r>
      <w:proofErr w:type="spellEnd"/>
      <w:r>
        <w:rPr>
          <w:rFonts w:ascii="Times New Roman" w:hAnsi="Times New Roman" w:cs="Arial"/>
          <w:color w:val="323233"/>
        </w:rPr>
        <w:t xml:space="preserve"> un </w:t>
      </w:r>
      <w:proofErr w:type="spellStart"/>
      <w:r>
        <w:rPr>
          <w:rFonts w:ascii="Times New Roman" w:hAnsi="Times New Roman" w:cs="Arial"/>
          <w:color w:val="323233"/>
        </w:rPr>
        <w:t>dokumentā</w:t>
      </w:r>
      <w:proofErr w:type="spellEnd"/>
      <w:r>
        <w:rPr>
          <w:rFonts w:ascii="Times New Roman" w:hAnsi="Times New Roman" w:cs="Arial"/>
          <w:color w:val="323233"/>
        </w:rPr>
        <w:t xml:space="preserve"> </w:t>
      </w:r>
      <w:proofErr w:type="spellStart"/>
      <w:r>
        <w:rPr>
          <w:rFonts w:ascii="Times New Roman" w:hAnsi="Times New Roman" w:cs="Arial"/>
          <w:color w:val="323233"/>
        </w:rPr>
        <w:t>apliecinātajiem</w:t>
      </w:r>
      <w:proofErr w:type="spellEnd"/>
      <w:r>
        <w:rPr>
          <w:rFonts w:ascii="Times New Roman" w:hAnsi="Times New Roman" w:cs="Arial"/>
          <w:color w:val="323233"/>
        </w:rPr>
        <w:t xml:space="preserve"> </w:t>
      </w:r>
      <w:proofErr w:type="spellStart"/>
      <w:r>
        <w:rPr>
          <w:rFonts w:ascii="Times New Roman" w:hAnsi="Times New Roman" w:cs="Arial"/>
          <w:color w:val="323233"/>
        </w:rPr>
        <w:t>faktiem</w:t>
      </w:r>
      <w:proofErr w:type="spellEnd"/>
      <w:r>
        <w:rPr>
          <w:rFonts w:ascii="Times New Roman" w:hAnsi="Times New Roman" w:cs="Arial"/>
          <w:color w:val="323233"/>
        </w:rPr>
        <w:t xml:space="preserve"> un </w:t>
      </w:r>
      <w:proofErr w:type="spellStart"/>
      <w:r>
        <w:rPr>
          <w:rFonts w:ascii="Times New Roman" w:hAnsi="Times New Roman" w:cs="Arial"/>
          <w:color w:val="323233"/>
        </w:rPr>
        <w:t>notikumiem</w:t>
      </w:r>
      <w:proofErr w:type="spellEnd"/>
      <w:r>
        <w:rPr>
          <w:rFonts w:ascii="Times New Roman" w:hAnsi="Times New Roman" w:cs="Arial"/>
          <w:color w:val="323233"/>
        </w:rPr>
        <w:t xml:space="preserve"> [</w:t>
      </w:r>
      <w:proofErr w:type="spellStart"/>
      <w:r>
        <w:rPr>
          <w:rFonts w:ascii="Times New Roman" w:hAnsi="Times New Roman" w:cs="Arial"/>
          <w:color w:val="323233"/>
        </w:rPr>
        <w:t>Vācijas</w:t>
      </w:r>
      <w:proofErr w:type="spellEnd"/>
      <w:r>
        <w:rPr>
          <w:rFonts w:ascii="Times New Roman" w:hAnsi="Times New Roman" w:cs="Arial"/>
          <w:color w:val="323233"/>
        </w:rPr>
        <w:t xml:space="preserve"> </w:t>
      </w:r>
      <w:proofErr w:type="spellStart"/>
      <w:r>
        <w:rPr>
          <w:rFonts w:ascii="Times New Roman" w:hAnsi="Times New Roman" w:cs="Arial"/>
          <w:color w:val="323233"/>
        </w:rPr>
        <w:t>Civilprocesa</w:t>
      </w:r>
      <w:proofErr w:type="spellEnd"/>
      <w:r>
        <w:rPr>
          <w:rFonts w:ascii="Times New Roman" w:hAnsi="Times New Roman" w:cs="Arial"/>
          <w:color w:val="323233"/>
        </w:rPr>
        <w:t xml:space="preserve"> </w:t>
      </w:r>
      <w:proofErr w:type="spellStart"/>
      <w:r>
        <w:rPr>
          <w:rFonts w:ascii="Times New Roman" w:hAnsi="Times New Roman" w:cs="Arial"/>
          <w:color w:val="323233"/>
        </w:rPr>
        <w:t>likuma</w:t>
      </w:r>
      <w:proofErr w:type="spellEnd"/>
      <w:r>
        <w:rPr>
          <w:rFonts w:ascii="Times New Roman" w:hAnsi="Times New Roman" w:cs="Arial"/>
          <w:color w:val="323233"/>
        </w:rPr>
        <w:t xml:space="preserve"> (</w:t>
      </w:r>
      <w:r w:rsidRPr="003D0B39">
        <w:rPr>
          <w:rFonts w:ascii="Times New Roman" w:hAnsi="Times New Roman" w:cs="Arial"/>
          <w:i/>
          <w:iCs/>
          <w:color w:val="323233"/>
        </w:rPr>
        <w:t>ZPO</w:t>
      </w:r>
      <w:r w:rsidR="00573847">
        <w:rPr>
          <w:rFonts w:ascii="Times New Roman" w:hAnsi="Times New Roman" w:cs="Arial"/>
          <w:color w:val="323233"/>
        </w:rPr>
        <w:t xml:space="preserve">) 415., 417. </w:t>
      </w:r>
      <w:proofErr w:type="gramStart"/>
      <w:r w:rsidR="00573847">
        <w:rPr>
          <w:rFonts w:ascii="Times New Roman" w:hAnsi="Times New Roman" w:cs="Arial"/>
          <w:color w:val="323233"/>
        </w:rPr>
        <w:t>un</w:t>
      </w:r>
      <w:proofErr w:type="gramEnd"/>
      <w:r w:rsidR="00573847">
        <w:rPr>
          <w:rFonts w:ascii="Times New Roman" w:hAnsi="Times New Roman" w:cs="Arial"/>
          <w:color w:val="323233"/>
        </w:rPr>
        <w:t xml:space="preserve"> 418.p.</w:t>
      </w:r>
      <w:r>
        <w:rPr>
          <w:rFonts w:ascii="Times New Roman" w:hAnsi="Times New Roman" w:cs="Arial"/>
          <w:color w:val="323233"/>
        </w:rPr>
        <w:t>].</w:t>
      </w:r>
    </w:p>
    <w:p w14:paraId="77226742" w14:textId="77777777" w:rsidR="009123C5" w:rsidRDefault="009123C5" w:rsidP="00114953">
      <w:pPr>
        <w:ind w:firstLine="708"/>
        <w:jc w:val="both"/>
        <w:rPr>
          <w:rFonts w:ascii="Times New Roman" w:hAnsi="Times New Roman" w:cs="Arial"/>
          <w:color w:val="323233"/>
          <w:highlight w:val="green"/>
        </w:rPr>
      </w:pPr>
    </w:p>
    <w:p w14:paraId="2B618859" w14:textId="7F10E158" w:rsidR="00DB4336" w:rsidRPr="00C91762" w:rsidRDefault="00DB4336" w:rsidP="00114953">
      <w:pPr>
        <w:ind w:firstLine="708"/>
        <w:jc w:val="both"/>
        <w:rPr>
          <w:rFonts w:ascii="Times New Roman" w:hAnsi="Times New Roman" w:cs="Arial"/>
          <w:color w:val="323233"/>
        </w:rPr>
      </w:pPr>
      <w:proofErr w:type="spellStart"/>
      <w:r w:rsidRPr="00C91762">
        <w:rPr>
          <w:rFonts w:ascii="Times New Roman" w:hAnsi="Times New Roman" w:cs="Arial"/>
          <w:color w:val="323233"/>
        </w:rPr>
        <w:t>Turpretī</w:t>
      </w:r>
      <w:proofErr w:type="spellEnd"/>
      <w:r w:rsidRPr="00C91762">
        <w:rPr>
          <w:rFonts w:ascii="Times New Roman" w:hAnsi="Times New Roman" w:cs="Arial"/>
          <w:color w:val="323233"/>
        </w:rPr>
        <w:t xml:space="preserve">, </w:t>
      </w:r>
      <w:proofErr w:type="spellStart"/>
      <w:r w:rsidRPr="00C91762">
        <w:rPr>
          <w:rFonts w:ascii="Times New Roman" w:hAnsi="Times New Roman" w:cs="Arial"/>
          <w:color w:val="323233"/>
        </w:rPr>
        <w:t>saskaņā</w:t>
      </w:r>
      <w:proofErr w:type="spellEnd"/>
      <w:r w:rsidRPr="00C91762">
        <w:rPr>
          <w:rFonts w:ascii="Times New Roman" w:hAnsi="Times New Roman" w:cs="Arial"/>
          <w:color w:val="323233"/>
        </w:rPr>
        <w:t xml:space="preserve"> </w:t>
      </w:r>
      <w:proofErr w:type="spellStart"/>
      <w:r w:rsidRPr="00C91762">
        <w:rPr>
          <w:rFonts w:ascii="Times New Roman" w:hAnsi="Times New Roman" w:cs="Arial"/>
          <w:color w:val="323233"/>
        </w:rPr>
        <w:t>ar</w:t>
      </w:r>
      <w:proofErr w:type="spellEnd"/>
      <w:r w:rsidRPr="00C91762">
        <w:rPr>
          <w:rFonts w:ascii="Times New Roman" w:hAnsi="Times New Roman" w:cs="Arial"/>
          <w:color w:val="323233"/>
        </w:rPr>
        <w:t xml:space="preserve"> </w:t>
      </w:r>
      <w:proofErr w:type="spellStart"/>
      <w:r w:rsidRPr="00C91762">
        <w:rPr>
          <w:rFonts w:ascii="Times New Roman" w:hAnsi="Times New Roman" w:cs="Arial"/>
          <w:color w:val="323233"/>
        </w:rPr>
        <w:t>Vācijas</w:t>
      </w:r>
      <w:proofErr w:type="spellEnd"/>
      <w:r w:rsidRPr="00C91762">
        <w:rPr>
          <w:rFonts w:ascii="Times New Roman" w:hAnsi="Times New Roman" w:cs="Arial"/>
          <w:color w:val="323233"/>
        </w:rPr>
        <w:t xml:space="preserve"> </w:t>
      </w:r>
      <w:proofErr w:type="spellStart"/>
      <w:r w:rsidRPr="00C91762">
        <w:rPr>
          <w:rFonts w:ascii="Times New Roman" w:hAnsi="Times New Roman" w:cs="Arial"/>
          <w:color w:val="323233"/>
        </w:rPr>
        <w:t>Civilprocesa</w:t>
      </w:r>
      <w:proofErr w:type="spellEnd"/>
      <w:r w:rsidRPr="00C91762">
        <w:rPr>
          <w:rFonts w:ascii="Times New Roman" w:hAnsi="Times New Roman" w:cs="Arial"/>
          <w:color w:val="323233"/>
        </w:rPr>
        <w:t xml:space="preserve"> </w:t>
      </w:r>
      <w:proofErr w:type="spellStart"/>
      <w:r w:rsidRPr="00C91762">
        <w:rPr>
          <w:rFonts w:ascii="Times New Roman" w:hAnsi="Times New Roman" w:cs="Arial"/>
          <w:color w:val="323233"/>
        </w:rPr>
        <w:t>likuma</w:t>
      </w:r>
      <w:proofErr w:type="spellEnd"/>
      <w:r w:rsidRPr="00C91762">
        <w:rPr>
          <w:rFonts w:ascii="Times New Roman" w:hAnsi="Times New Roman" w:cs="Arial"/>
          <w:color w:val="323233"/>
        </w:rPr>
        <w:t xml:space="preserve"> (</w:t>
      </w:r>
      <w:r w:rsidRPr="00C91762">
        <w:rPr>
          <w:rFonts w:ascii="Times New Roman" w:hAnsi="Times New Roman" w:cs="Arial"/>
          <w:i/>
          <w:iCs/>
          <w:color w:val="323233"/>
        </w:rPr>
        <w:t>ZPO</w:t>
      </w:r>
      <w:r w:rsidRPr="00C91762">
        <w:rPr>
          <w:rFonts w:ascii="Times New Roman" w:hAnsi="Times New Roman" w:cs="Arial"/>
          <w:color w:val="323233"/>
        </w:rPr>
        <w:t xml:space="preserve">) 416.pantu </w:t>
      </w:r>
      <w:proofErr w:type="spellStart"/>
      <w:r w:rsidRPr="00C91762">
        <w:rPr>
          <w:rFonts w:ascii="Times New Roman" w:hAnsi="Times New Roman" w:cs="Arial"/>
          <w:b/>
          <w:color w:val="323233"/>
        </w:rPr>
        <w:t>privātie</w:t>
      </w:r>
      <w:proofErr w:type="spellEnd"/>
      <w:r w:rsidRPr="00C91762">
        <w:rPr>
          <w:rFonts w:ascii="Times New Roman" w:hAnsi="Times New Roman" w:cs="Arial"/>
          <w:b/>
          <w:color w:val="323233"/>
        </w:rPr>
        <w:t xml:space="preserve"> </w:t>
      </w:r>
      <w:proofErr w:type="spellStart"/>
      <w:r w:rsidRPr="00C91762">
        <w:rPr>
          <w:rFonts w:ascii="Times New Roman" w:hAnsi="Times New Roman" w:cs="Arial"/>
          <w:b/>
          <w:color w:val="323233"/>
        </w:rPr>
        <w:t>dokumenti</w:t>
      </w:r>
      <w:proofErr w:type="spellEnd"/>
      <w:r w:rsidRPr="00C91762">
        <w:rPr>
          <w:rFonts w:ascii="Times New Roman" w:hAnsi="Times New Roman" w:cs="Arial"/>
          <w:color w:val="323233"/>
        </w:rPr>
        <w:t xml:space="preserve"> </w:t>
      </w:r>
      <w:proofErr w:type="spellStart"/>
      <w:r w:rsidRPr="00C91762">
        <w:rPr>
          <w:rFonts w:ascii="Times New Roman" w:hAnsi="Times New Roman" w:cs="Arial"/>
          <w:color w:val="323233"/>
        </w:rPr>
        <w:t>nodibina</w:t>
      </w:r>
      <w:proofErr w:type="spellEnd"/>
      <w:r w:rsidRPr="00C91762">
        <w:rPr>
          <w:rFonts w:ascii="Times New Roman" w:hAnsi="Times New Roman" w:cs="Arial"/>
          <w:color w:val="323233"/>
        </w:rPr>
        <w:t xml:space="preserve">, </w:t>
      </w:r>
      <w:proofErr w:type="spellStart"/>
      <w:r w:rsidRPr="00C91762">
        <w:rPr>
          <w:rFonts w:ascii="Times New Roman" w:hAnsi="Times New Roman" w:cs="Arial"/>
          <w:color w:val="323233"/>
        </w:rPr>
        <w:t>ciktāl</w:t>
      </w:r>
      <w:proofErr w:type="spellEnd"/>
      <w:r w:rsidRPr="00C91762">
        <w:rPr>
          <w:rFonts w:ascii="Times New Roman" w:hAnsi="Times New Roman" w:cs="Arial"/>
          <w:color w:val="323233"/>
        </w:rPr>
        <w:t xml:space="preserve"> tos </w:t>
      </w:r>
      <w:proofErr w:type="spellStart"/>
      <w:r w:rsidRPr="00C91762">
        <w:rPr>
          <w:rFonts w:ascii="Times New Roman" w:hAnsi="Times New Roman" w:cs="Arial"/>
          <w:color w:val="323233"/>
        </w:rPr>
        <w:t>parakstījuši</w:t>
      </w:r>
      <w:proofErr w:type="spellEnd"/>
      <w:r w:rsidRPr="00C91762">
        <w:rPr>
          <w:rFonts w:ascii="Times New Roman" w:hAnsi="Times New Roman" w:cs="Arial"/>
          <w:color w:val="323233"/>
        </w:rPr>
        <w:t xml:space="preserve"> to </w:t>
      </w:r>
      <w:proofErr w:type="spellStart"/>
      <w:r w:rsidRPr="00C91762">
        <w:rPr>
          <w:rFonts w:ascii="Times New Roman" w:hAnsi="Times New Roman" w:cs="Arial"/>
          <w:color w:val="323233"/>
        </w:rPr>
        <w:t>sastādītāji</w:t>
      </w:r>
      <w:proofErr w:type="spellEnd"/>
      <w:r w:rsidRPr="00C91762">
        <w:rPr>
          <w:rFonts w:ascii="Times New Roman" w:hAnsi="Times New Roman" w:cs="Arial"/>
          <w:color w:val="323233"/>
        </w:rPr>
        <w:t xml:space="preserve"> </w:t>
      </w:r>
      <w:proofErr w:type="spellStart"/>
      <w:r w:rsidRPr="00C91762">
        <w:rPr>
          <w:rFonts w:ascii="Times New Roman" w:hAnsi="Times New Roman" w:cs="Arial"/>
          <w:color w:val="323233"/>
        </w:rPr>
        <w:t>vai</w:t>
      </w:r>
      <w:proofErr w:type="spellEnd"/>
      <w:r w:rsidRPr="00C91762">
        <w:rPr>
          <w:rFonts w:ascii="Times New Roman" w:hAnsi="Times New Roman" w:cs="Arial"/>
          <w:color w:val="323233"/>
        </w:rPr>
        <w:t xml:space="preserve"> tie tos </w:t>
      </w:r>
      <w:proofErr w:type="spellStart"/>
      <w:r w:rsidRPr="00C91762">
        <w:rPr>
          <w:rFonts w:ascii="Times New Roman" w:hAnsi="Times New Roman" w:cs="Arial"/>
          <w:color w:val="323233"/>
        </w:rPr>
        <w:t>parakstījuši</w:t>
      </w:r>
      <w:proofErr w:type="spellEnd"/>
      <w:r w:rsidRPr="00C91762">
        <w:rPr>
          <w:rFonts w:ascii="Times New Roman" w:hAnsi="Times New Roman" w:cs="Arial"/>
          <w:color w:val="323233"/>
        </w:rPr>
        <w:t xml:space="preserve"> </w:t>
      </w:r>
      <w:proofErr w:type="spellStart"/>
      <w:r w:rsidRPr="00C91762">
        <w:rPr>
          <w:rFonts w:ascii="Times New Roman" w:hAnsi="Times New Roman" w:cs="Arial"/>
          <w:color w:val="323233"/>
        </w:rPr>
        <w:t>ar</w:t>
      </w:r>
      <w:proofErr w:type="spellEnd"/>
      <w:r w:rsidRPr="00C91762">
        <w:rPr>
          <w:rFonts w:ascii="Times New Roman" w:hAnsi="Times New Roman" w:cs="Arial"/>
          <w:color w:val="323233"/>
        </w:rPr>
        <w:t xml:space="preserve"> </w:t>
      </w:r>
      <w:proofErr w:type="spellStart"/>
      <w:r w:rsidRPr="00C91762">
        <w:rPr>
          <w:rFonts w:ascii="Times New Roman" w:hAnsi="Times New Roman" w:cs="Arial"/>
          <w:color w:val="323233"/>
        </w:rPr>
        <w:t>notariāli</w:t>
      </w:r>
      <w:proofErr w:type="spellEnd"/>
      <w:r w:rsidRPr="00C91762">
        <w:rPr>
          <w:rFonts w:ascii="Times New Roman" w:hAnsi="Times New Roman" w:cs="Arial"/>
          <w:color w:val="323233"/>
        </w:rPr>
        <w:t xml:space="preserve"> </w:t>
      </w:r>
      <w:proofErr w:type="spellStart"/>
      <w:r w:rsidRPr="00C91762">
        <w:rPr>
          <w:rFonts w:ascii="Times New Roman" w:hAnsi="Times New Roman" w:cs="Arial"/>
          <w:color w:val="323233"/>
        </w:rPr>
        <w:t>apliecinātu</w:t>
      </w:r>
      <w:proofErr w:type="spellEnd"/>
      <w:r w:rsidRPr="00C91762">
        <w:rPr>
          <w:rFonts w:ascii="Times New Roman" w:hAnsi="Times New Roman" w:cs="Arial"/>
          <w:color w:val="323233"/>
        </w:rPr>
        <w:t xml:space="preserve"> </w:t>
      </w:r>
      <w:proofErr w:type="spellStart"/>
      <w:r w:rsidRPr="00C91762">
        <w:rPr>
          <w:rFonts w:ascii="Times New Roman" w:hAnsi="Times New Roman" w:cs="Arial"/>
          <w:color w:val="323233"/>
        </w:rPr>
        <w:t>parakstu</w:t>
      </w:r>
      <w:proofErr w:type="spellEnd"/>
      <w:r w:rsidRPr="00C91762">
        <w:rPr>
          <w:rFonts w:ascii="Times New Roman" w:hAnsi="Times New Roman" w:cs="Arial"/>
          <w:color w:val="323233"/>
        </w:rPr>
        <w:t xml:space="preserve">, </w:t>
      </w:r>
      <w:proofErr w:type="spellStart"/>
      <w:r w:rsidRPr="00C91762">
        <w:rPr>
          <w:rFonts w:ascii="Times New Roman" w:hAnsi="Times New Roman" w:cs="Arial"/>
          <w:color w:val="323233"/>
        </w:rPr>
        <w:t>pilnu</w:t>
      </w:r>
      <w:proofErr w:type="spellEnd"/>
      <w:r w:rsidRPr="00C91762">
        <w:rPr>
          <w:rFonts w:ascii="Times New Roman" w:hAnsi="Times New Roman" w:cs="Arial"/>
          <w:color w:val="323233"/>
        </w:rPr>
        <w:t xml:space="preserve"> </w:t>
      </w:r>
      <w:proofErr w:type="spellStart"/>
      <w:r w:rsidRPr="00C91762">
        <w:rPr>
          <w:rFonts w:ascii="Times New Roman" w:hAnsi="Times New Roman" w:cs="Arial"/>
          <w:color w:val="323233"/>
        </w:rPr>
        <w:t>pierādījumu</w:t>
      </w:r>
      <w:proofErr w:type="spellEnd"/>
      <w:r w:rsidRPr="00C91762">
        <w:rPr>
          <w:rFonts w:ascii="Times New Roman" w:hAnsi="Times New Roman" w:cs="Arial"/>
          <w:color w:val="323233"/>
        </w:rPr>
        <w:t xml:space="preserve"> </w:t>
      </w:r>
      <w:proofErr w:type="spellStart"/>
      <w:r w:rsidRPr="00C91762">
        <w:rPr>
          <w:rFonts w:ascii="Times New Roman" w:hAnsi="Times New Roman" w:cs="Arial"/>
          <w:color w:val="323233"/>
        </w:rPr>
        <w:t>tam</w:t>
      </w:r>
      <w:proofErr w:type="spellEnd"/>
      <w:r w:rsidRPr="00C91762">
        <w:rPr>
          <w:rFonts w:ascii="Times New Roman" w:hAnsi="Times New Roman" w:cs="Arial"/>
          <w:color w:val="323233"/>
        </w:rPr>
        <w:t xml:space="preserve">, ka </w:t>
      </w:r>
      <w:proofErr w:type="spellStart"/>
      <w:r w:rsidRPr="00C91762">
        <w:rPr>
          <w:rFonts w:ascii="Times New Roman" w:hAnsi="Times New Roman" w:cs="Arial"/>
          <w:color w:val="323233"/>
        </w:rPr>
        <w:t>tajā</w:t>
      </w:r>
      <w:proofErr w:type="spellEnd"/>
      <w:r w:rsidRPr="00C91762">
        <w:rPr>
          <w:rFonts w:ascii="Times New Roman" w:hAnsi="Times New Roman" w:cs="Arial"/>
          <w:color w:val="323233"/>
        </w:rPr>
        <w:t xml:space="preserve"> </w:t>
      </w:r>
      <w:proofErr w:type="spellStart"/>
      <w:r w:rsidRPr="00C91762">
        <w:rPr>
          <w:rFonts w:ascii="Times New Roman" w:hAnsi="Times New Roman" w:cs="Arial"/>
          <w:color w:val="323233"/>
        </w:rPr>
        <w:t>ietvertos</w:t>
      </w:r>
      <w:proofErr w:type="spellEnd"/>
      <w:r w:rsidRPr="00C91762">
        <w:rPr>
          <w:rFonts w:ascii="Times New Roman" w:hAnsi="Times New Roman" w:cs="Arial"/>
          <w:color w:val="323233"/>
        </w:rPr>
        <w:t xml:space="preserve"> </w:t>
      </w:r>
      <w:proofErr w:type="spellStart"/>
      <w:r w:rsidRPr="00C91762">
        <w:rPr>
          <w:rFonts w:ascii="Times New Roman" w:hAnsi="Times New Roman" w:cs="Arial"/>
          <w:color w:val="323233"/>
        </w:rPr>
        <w:t>skaidrojumus</w:t>
      </w:r>
      <w:proofErr w:type="spellEnd"/>
      <w:r w:rsidRPr="00C91762">
        <w:rPr>
          <w:rFonts w:ascii="Times New Roman" w:hAnsi="Times New Roman" w:cs="Arial"/>
          <w:color w:val="323233"/>
        </w:rPr>
        <w:t xml:space="preserve"> un </w:t>
      </w:r>
      <w:proofErr w:type="spellStart"/>
      <w:r w:rsidRPr="00C91762">
        <w:rPr>
          <w:rFonts w:ascii="Times New Roman" w:hAnsi="Times New Roman" w:cs="Arial"/>
          <w:color w:val="323233"/>
        </w:rPr>
        <w:t>paziņojumus</w:t>
      </w:r>
      <w:proofErr w:type="spellEnd"/>
      <w:r w:rsidRPr="00C91762">
        <w:rPr>
          <w:rFonts w:ascii="Times New Roman" w:hAnsi="Times New Roman" w:cs="Arial"/>
          <w:color w:val="323233"/>
        </w:rPr>
        <w:t xml:space="preserve"> </w:t>
      </w:r>
      <w:proofErr w:type="spellStart"/>
      <w:r w:rsidRPr="00C91762">
        <w:rPr>
          <w:rFonts w:ascii="Times New Roman" w:hAnsi="Times New Roman" w:cs="Arial"/>
          <w:color w:val="323233"/>
        </w:rPr>
        <w:t>izteikušas</w:t>
      </w:r>
      <w:proofErr w:type="spellEnd"/>
      <w:r w:rsidRPr="00C91762">
        <w:rPr>
          <w:rFonts w:ascii="Times New Roman" w:hAnsi="Times New Roman" w:cs="Arial"/>
          <w:color w:val="323233"/>
        </w:rPr>
        <w:t xml:space="preserve"> </w:t>
      </w:r>
      <w:proofErr w:type="spellStart"/>
      <w:r w:rsidRPr="00C91762">
        <w:rPr>
          <w:rFonts w:ascii="Times New Roman" w:hAnsi="Times New Roman" w:cs="Arial"/>
          <w:color w:val="323233"/>
        </w:rPr>
        <w:t>šo</w:t>
      </w:r>
      <w:proofErr w:type="spellEnd"/>
      <w:r w:rsidRPr="00C91762">
        <w:rPr>
          <w:rFonts w:ascii="Times New Roman" w:hAnsi="Times New Roman" w:cs="Arial"/>
          <w:color w:val="323233"/>
        </w:rPr>
        <w:t xml:space="preserve"> </w:t>
      </w:r>
      <w:proofErr w:type="spellStart"/>
      <w:r w:rsidRPr="00C91762">
        <w:rPr>
          <w:rFonts w:ascii="Times New Roman" w:hAnsi="Times New Roman" w:cs="Arial"/>
          <w:color w:val="323233"/>
        </w:rPr>
        <w:t>dokumentu</w:t>
      </w:r>
      <w:proofErr w:type="spellEnd"/>
      <w:r w:rsidRPr="00C91762">
        <w:rPr>
          <w:rFonts w:ascii="Times New Roman" w:hAnsi="Times New Roman" w:cs="Arial"/>
          <w:color w:val="323233"/>
        </w:rPr>
        <w:t xml:space="preserve"> </w:t>
      </w:r>
      <w:proofErr w:type="spellStart"/>
      <w:r w:rsidRPr="00C91762">
        <w:rPr>
          <w:rFonts w:ascii="Times New Roman" w:hAnsi="Times New Roman" w:cs="Arial"/>
          <w:color w:val="323233"/>
        </w:rPr>
        <w:t>sastādījušās</w:t>
      </w:r>
      <w:proofErr w:type="spellEnd"/>
      <w:r w:rsidRPr="00C91762">
        <w:rPr>
          <w:rFonts w:ascii="Times New Roman" w:hAnsi="Times New Roman" w:cs="Arial"/>
          <w:color w:val="323233"/>
        </w:rPr>
        <w:t xml:space="preserve"> (</w:t>
      </w:r>
      <w:proofErr w:type="spellStart"/>
      <w:r w:rsidRPr="00C91762">
        <w:rPr>
          <w:rFonts w:ascii="Times New Roman" w:hAnsi="Times New Roman" w:cs="Arial"/>
          <w:color w:val="323233"/>
        </w:rPr>
        <w:t>parakstījušās</w:t>
      </w:r>
      <w:proofErr w:type="spellEnd"/>
      <w:r w:rsidRPr="00C91762">
        <w:rPr>
          <w:rFonts w:ascii="Times New Roman" w:hAnsi="Times New Roman" w:cs="Arial"/>
          <w:color w:val="323233"/>
        </w:rPr>
        <w:t xml:space="preserve">) </w:t>
      </w:r>
      <w:proofErr w:type="spellStart"/>
      <w:r w:rsidRPr="00C91762">
        <w:rPr>
          <w:rFonts w:ascii="Times New Roman" w:hAnsi="Times New Roman" w:cs="Arial"/>
          <w:color w:val="323233"/>
        </w:rPr>
        <w:t>personas</w:t>
      </w:r>
      <w:proofErr w:type="spellEnd"/>
      <w:r w:rsidRPr="00C91762">
        <w:rPr>
          <w:rFonts w:ascii="Times New Roman" w:hAnsi="Times New Roman" w:cs="Arial"/>
          <w:color w:val="323233"/>
        </w:rPr>
        <w:t>.</w:t>
      </w:r>
    </w:p>
    <w:p w14:paraId="305B053D" w14:textId="77777777" w:rsidR="005A792F" w:rsidRPr="00C91762" w:rsidRDefault="005A792F" w:rsidP="00114953">
      <w:pPr>
        <w:ind w:firstLine="708"/>
        <w:jc w:val="both"/>
        <w:rPr>
          <w:rFonts w:ascii="Times New Roman" w:hAnsi="Times New Roman" w:cs="Arial"/>
          <w:color w:val="323233"/>
          <w:lang w:val="lv-LV"/>
        </w:rPr>
      </w:pPr>
    </w:p>
    <w:p w14:paraId="5C2EF821" w14:textId="5DF7C625" w:rsidR="005A792F" w:rsidRPr="00C91762" w:rsidRDefault="005A792F" w:rsidP="00114953">
      <w:pPr>
        <w:ind w:firstLine="708"/>
        <w:jc w:val="both"/>
        <w:rPr>
          <w:rFonts w:ascii="Times New Roman" w:hAnsi="Times New Roman" w:cs="Arial"/>
          <w:color w:val="323233"/>
          <w:lang w:val="lv-LV"/>
        </w:rPr>
      </w:pPr>
      <w:proofErr w:type="spellStart"/>
      <w:r w:rsidRPr="00C91762">
        <w:rPr>
          <w:rFonts w:ascii="Times New Roman" w:hAnsi="Times New Roman" w:cs="Arial"/>
          <w:color w:val="323233"/>
          <w:lang w:val="de-DE"/>
        </w:rPr>
        <w:t>Līdzīgi</w:t>
      </w:r>
      <w:proofErr w:type="spellEnd"/>
      <w:r w:rsidRPr="00C91762">
        <w:rPr>
          <w:rFonts w:ascii="Times New Roman" w:hAnsi="Times New Roman" w:cs="Arial"/>
          <w:color w:val="323233"/>
          <w:lang w:val="de-DE"/>
        </w:rPr>
        <w:t xml:space="preserve"> </w:t>
      </w:r>
      <w:proofErr w:type="spellStart"/>
      <w:r w:rsidRPr="00C91762">
        <w:rPr>
          <w:rFonts w:ascii="Times New Roman" w:hAnsi="Times New Roman" w:cs="Arial"/>
          <w:color w:val="323233"/>
          <w:lang w:val="de-DE"/>
        </w:rPr>
        <w:t>kā</w:t>
      </w:r>
      <w:proofErr w:type="spellEnd"/>
      <w:r w:rsidRPr="00C91762">
        <w:rPr>
          <w:rFonts w:ascii="Times New Roman" w:hAnsi="Times New Roman" w:cs="Arial"/>
          <w:color w:val="323233"/>
          <w:lang w:val="de-DE"/>
        </w:rPr>
        <w:t xml:space="preserve"> Latvijas </w:t>
      </w:r>
      <w:proofErr w:type="spellStart"/>
      <w:r w:rsidRPr="00C91762">
        <w:rPr>
          <w:rFonts w:ascii="Times New Roman" w:hAnsi="Times New Roman" w:cs="Arial"/>
          <w:color w:val="323233"/>
          <w:lang w:val="de-DE"/>
        </w:rPr>
        <w:t>Notariāta</w:t>
      </w:r>
      <w:proofErr w:type="spellEnd"/>
      <w:r w:rsidRPr="00C91762">
        <w:rPr>
          <w:rFonts w:ascii="Times New Roman" w:hAnsi="Times New Roman" w:cs="Arial"/>
          <w:color w:val="323233"/>
          <w:lang w:val="de-DE"/>
        </w:rPr>
        <w:t xml:space="preserve"> </w:t>
      </w:r>
      <w:proofErr w:type="spellStart"/>
      <w:r w:rsidRPr="00C91762">
        <w:rPr>
          <w:rFonts w:ascii="Times New Roman" w:hAnsi="Times New Roman" w:cs="Arial"/>
          <w:color w:val="323233"/>
          <w:lang w:val="de-DE"/>
        </w:rPr>
        <w:t>likuma</w:t>
      </w:r>
      <w:proofErr w:type="spellEnd"/>
      <w:r w:rsidRPr="00C91762">
        <w:rPr>
          <w:rFonts w:ascii="Times New Roman" w:hAnsi="Times New Roman" w:cs="Arial"/>
          <w:color w:val="323233"/>
          <w:lang w:val="de-DE"/>
        </w:rPr>
        <w:t xml:space="preserve"> 83.panta </w:t>
      </w:r>
      <w:proofErr w:type="spellStart"/>
      <w:r w:rsidRPr="00C91762">
        <w:rPr>
          <w:rFonts w:ascii="Times New Roman" w:hAnsi="Times New Roman" w:cs="Arial"/>
          <w:color w:val="323233"/>
          <w:lang w:val="de-DE"/>
        </w:rPr>
        <w:t>otrā</w:t>
      </w:r>
      <w:proofErr w:type="spellEnd"/>
      <w:r w:rsidRPr="00C91762">
        <w:rPr>
          <w:rFonts w:ascii="Times New Roman" w:hAnsi="Times New Roman" w:cs="Arial"/>
          <w:color w:val="323233"/>
          <w:lang w:val="de-DE"/>
        </w:rPr>
        <w:t xml:space="preserve"> </w:t>
      </w:r>
      <w:proofErr w:type="spellStart"/>
      <w:r w:rsidRPr="00C91762">
        <w:rPr>
          <w:rFonts w:ascii="Times New Roman" w:hAnsi="Times New Roman" w:cs="Arial"/>
          <w:color w:val="323233"/>
          <w:lang w:val="de-DE"/>
        </w:rPr>
        <w:t>daļa</w:t>
      </w:r>
      <w:proofErr w:type="spellEnd"/>
      <w:r w:rsidRPr="00C91762">
        <w:rPr>
          <w:rFonts w:ascii="Times New Roman" w:hAnsi="Times New Roman" w:cs="Arial"/>
          <w:color w:val="323233"/>
          <w:lang w:val="de-DE"/>
        </w:rPr>
        <w:t xml:space="preserve">, </w:t>
      </w:r>
      <w:proofErr w:type="spellStart"/>
      <w:r w:rsidRPr="00C91762">
        <w:rPr>
          <w:rFonts w:ascii="Times New Roman" w:hAnsi="Times New Roman" w:cs="Arial"/>
          <w:color w:val="323233"/>
          <w:lang w:val="de-DE"/>
        </w:rPr>
        <w:t>arī</w:t>
      </w:r>
      <w:proofErr w:type="spellEnd"/>
      <w:r w:rsidRPr="00C91762">
        <w:rPr>
          <w:rFonts w:ascii="Times New Roman" w:hAnsi="Times New Roman" w:cs="Arial"/>
          <w:color w:val="323233"/>
          <w:lang w:val="de-DE"/>
        </w:rPr>
        <w:t xml:space="preserve"> </w:t>
      </w:r>
      <w:proofErr w:type="spellStart"/>
      <w:r w:rsidRPr="00C91762">
        <w:rPr>
          <w:rFonts w:ascii="Times New Roman" w:hAnsi="Times New Roman" w:cs="Arial"/>
          <w:b/>
          <w:color w:val="323233"/>
          <w:lang w:val="de-DE"/>
        </w:rPr>
        <w:t>Vācijas</w:t>
      </w:r>
      <w:proofErr w:type="spellEnd"/>
      <w:r w:rsidRPr="00C91762">
        <w:rPr>
          <w:rFonts w:ascii="Times New Roman" w:hAnsi="Times New Roman" w:cs="Arial"/>
          <w:b/>
          <w:color w:val="323233"/>
          <w:lang w:val="de-DE"/>
        </w:rPr>
        <w:t xml:space="preserve"> </w:t>
      </w:r>
      <w:proofErr w:type="spellStart"/>
      <w:r w:rsidRPr="00C91762">
        <w:rPr>
          <w:rFonts w:ascii="Times New Roman" w:hAnsi="Times New Roman" w:cs="Arial"/>
          <w:b/>
          <w:color w:val="323233"/>
          <w:lang w:val="de-DE"/>
        </w:rPr>
        <w:t>Federālā</w:t>
      </w:r>
      <w:proofErr w:type="spellEnd"/>
      <w:r w:rsidRPr="00C91762">
        <w:rPr>
          <w:rFonts w:ascii="Times New Roman" w:hAnsi="Times New Roman" w:cs="Arial"/>
          <w:b/>
          <w:color w:val="323233"/>
          <w:lang w:val="de-DE"/>
        </w:rPr>
        <w:t xml:space="preserve"> </w:t>
      </w:r>
      <w:proofErr w:type="spellStart"/>
      <w:r w:rsidRPr="00C91762">
        <w:rPr>
          <w:rFonts w:ascii="Times New Roman" w:hAnsi="Times New Roman" w:cs="Arial"/>
          <w:b/>
          <w:color w:val="323233"/>
          <w:lang w:val="de-DE"/>
        </w:rPr>
        <w:t>Notāru</w:t>
      </w:r>
      <w:proofErr w:type="spellEnd"/>
      <w:r w:rsidRPr="00C91762">
        <w:rPr>
          <w:rFonts w:ascii="Times New Roman" w:hAnsi="Times New Roman" w:cs="Arial"/>
          <w:b/>
          <w:color w:val="323233"/>
          <w:lang w:val="de-DE"/>
        </w:rPr>
        <w:t xml:space="preserve"> </w:t>
      </w:r>
      <w:proofErr w:type="spellStart"/>
      <w:r w:rsidRPr="00C91762">
        <w:rPr>
          <w:rFonts w:ascii="Times New Roman" w:hAnsi="Times New Roman" w:cs="Arial"/>
          <w:b/>
          <w:color w:val="323233"/>
          <w:lang w:val="de-DE"/>
        </w:rPr>
        <w:t>likuma</w:t>
      </w:r>
      <w:proofErr w:type="spellEnd"/>
      <w:r w:rsidRPr="00C91762">
        <w:rPr>
          <w:rFonts w:ascii="Times New Roman" w:hAnsi="Times New Roman" w:cs="Arial"/>
          <w:color w:val="323233"/>
          <w:lang w:val="de-DE"/>
        </w:rPr>
        <w:t xml:space="preserve"> (</w:t>
      </w:r>
      <w:r w:rsidR="00070724" w:rsidRPr="00C91762">
        <w:rPr>
          <w:rFonts w:ascii="Times New Roman" w:hAnsi="Times New Roman" w:cs="Arial"/>
          <w:i/>
          <w:color w:val="323233"/>
          <w:lang w:val="de-DE"/>
        </w:rPr>
        <w:t>Bundesnotarordnung</w:t>
      </w:r>
      <w:r w:rsidRPr="00C91762">
        <w:rPr>
          <w:rFonts w:ascii="Times New Roman" w:hAnsi="Times New Roman" w:cs="Arial"/>
          <w:i/>
          <w:color w:val="323233"/>
          <w:lang w:val="de-DE"/>
        </w:rPr>
        <w:t>; BNotO</w:t>
      </w:r>
      <w:r w:rsidRPr="00C91762">
        <w:rPr>
          <w:rFonts w:ascii="Times New Roman" w:hAnsi="Times New Roman" w:cs="Arial"/>
          <w:color w:val="323233"/>
          <w:lang w:val="de-DE"/>
        </w:rPr>
        <w:t>)</w:t>
      </w:r>
      <w:r w:rsidR="00070724" w:rsidRPr="00C91762">
        <w:rPr>
          <w:rStyle w:val="FootnoteReference"/>
          <w:rFonts w:ascii="Times New Roman" w:hAnsi="Times New Roman" w:cs="Arial"/>
          <w:color w:val="323233"/>
          <w:lang w:val="de-DE"/>
        </w:rPr>
        <w:footnoteReference w:id="76"/>
      </w:r>
      <w:r w:rsidRPr="00C91762">
        <w:rPr>
          <w:rFonts w:ascii="Times New Roman" w:hAnsi="Times New Roman" w:cs="Arial"/>
          <w:color w:val="323233"/>
          <w:lang w:val="de-DE"/>
        </w:rPr>
        <w:t xml:space="preserve"> 21.panta </w:t>
      </w:r>
      <w:proofErr w:type="spellStart"/>
      <w:r w:rsidRPr="00C91762">
        <w:rPr>
          <w:rFonts w:ascii="Times New Roman" w:hAnsi="Times New Roman" w:cs="Arial"/>
          <w:color w:val="323233"/>
          <w:lang w:val="de-DE"/>
        </w:rPr>
        <w:t>trešā</w:t>
      </w:r>
      <w:r w:rsidR="00A53106" w:rsidRPr="00C91762">
        <w:rPr>
          <w:rFonts w:ascii="Times New Roman" w:hAnsi="Times New Roman" w:cs="Arial"/>
          <w:color w:val="323233"/>
          <w:lang w:val="de-DE"/>
        </w:rPr>
        <w:t>s</w:t>
      </w:r>
      <w:proofErr w:type="spellEnd"/>
      <w:r w:rsidRPr="00C91762">
        <w:rPr>
          <w:rFonts w:ascii="Times New Roman" w:hAnsi="Times New Roman" w:cs="Arial"/>
          <w:color w:val="323233"/>
          <w:lang w:val="de-DE"/>
        </w:rPr>
        <w:t xml:space="preserve"> </w:t>
      </w:r>
      <w:proofErr w:type="spellStart"/>
      <w:r w:rsidRPr="00C91762">
        <w:rPr>
          <w:rFonts w:ascii="Times New Roman" w:hAnsi="Times New Roman" w:cs="Arial"/>
          <w:color w:val="323233"/>
          <w:lang w:val="de-DE"/>
        </w:rPr>
        <w:t>daļa</w:t>
      </w:r>
      <w:r w:rsidR="00A53106" w:rsidRPr="00C91762">
        <w:rPr>
          <w:rFonts w:ascii="Times New Roman" w:hAnsi="Times New Roman" w:cs="Arial"/>
          <w:color w:val="323233"/>
          <w:lang w:val="de-DE"/>
        </w:rPr>
        <w:t>s</w:t>
      </w:r>
      <w:proofErr w:type="spellEnd"/>
      <w:r w:rsidR="00A53106" w:rsidRPr="00C91762">
        <w:rPr>
          <w:rFonts w:ascii="Times New Roman" w:hAnsi="Times New Roman" w:cs="Arial"/>
          <w:color w:val="323233"/>
          <w:lang w:val="de-DE"/>
        </w:rPr>
        <w:t xml:space="preserve"> 2.</w:t>
      </w:r>
      <w:r w:rsidR="00BA2D75" w:rsidRPr="00C91762">
        <w:rPr>
          <w:rFonts w:ascii="Times New Roman" w:hAnsi="Times New Roman" w:cs="Arial"/>
          <w:color w:val="323233"/>
          <w:lang w:val="de-DE"/>
        </w:rPr>
        <w:t xml:space="preserve"> </w:t>
      </w:r>
      <w:proofErr w:type="spellStart"/>
      <w:r w:rsidR="000C7C76" w:rsidRPr="00C91762">
        <w:rPr>
          <w:rFonts w:ascii="Times New Roman" w:hAnsi="Times New Roman" w:cs="Arial"/>
          <w:color w:val="323233"/>
          <w:lang w:val="de-DE"/>
        </w:rPr>
        <w:t>teikums</w:t>
      </w:r>
      <w:proofErr w:type="spellEnd"/>
      <w:r w:rsidR="000C7C76" w:rsidRPr="00C91762">
        <w:rPr>
          <w:rFonts w:ascii="Times New Roman" w:hAnsi="Times New Roman" w:cs="Arial"/>
          <w:color w:val="323233"/>
          <w:lang w:val="de-DE"/>
        </w:rPr>
        <w:t xml:space="preserve"> </w:t>
      </w:r>
      <w:proofErr w:type="spellStart"/>
      <w:r w:rsidR="000C7C76" w:rsidRPr="00C91762">
        <w:rPr>
          <w:rFonts w:ascii="Times New Roman" w:hAnsi="Times New Roman" w:cs="Arial"/>
          <w:color w:val="323233"/>
          <w:lang w:val="de-DE"/>
        </w:rPr>
        <w:t>paredz</w:t>
      </w:r>
      <w:proofErr w:type="spellEnd"/>
      <w:r w:rsidR="00A53106" w:rsidRPr="00C91762">
        <w:rPr>
          <w:rFonts w:ascii="Times New Roman" w:hAnsi="Times New Roman" w:cs="Arial"/>
          <w:color w:val="323233"/>
          <w:lang w:val="de-DE"/>
        </w:rPr>
        <w:t>:</w:t>
      </w:r>
      <w:r w:rsidR="000C7C76" w:rsidRPr="00C91762">
        <w:rPr>
          <w:rFonts w:ascii="Times New Roman" w:hAnsi="Times New Roman" w:cs="Arial"/>
          <w:color w:val="323233"/>
          <w:lang w:val="de-DE"/>
        </w:rPr>
        <w:t xml:space="preserve"> </w:t>
      </w:r>
      <w:r w:rsidRPr="00C91762">
        <w:rPr>
          <w:rFonts w:ascii="Times New Roman" w:hAnsi="Times New Roman" w:cs="Arial"/>
          <w:color w:val="323233"/>
          <w:lang w:val="de-DE"/>
        </w:rPr>
        <w:t xml:space="preserve">„[..] </w:t>
      </w:r>
      <w:proofErr w:type="spellStart"/>
      <w:r w:rsidRPr="00C91762">
        <w:rPr>
          <w:rFonts w:ascii="Times New Roman" w:hAnsi="Times New Roman" w:cs="Arial"/>
          <w:color w:val="323233"/>
          <w:lang w:val="de-DE"/>
        </w:rPr>
        <w:t>Notārs</w:t>
      </w:r>
      <w:proofErr w:type="spellEnd"/>
      <w:r w:rsidRPr="00C91762">
        <w:rPr>
          <w:rFonts w:ascii="Times New Roman" w:hAnsi="Times New Roman" w:cs="Arial"/>
          <w:color w:val="323233"/>
          <w:lang w:val="de-DE"/>
        </w:rPr>
        <w:t xml:space="preserve"> </w:t>
      </w:r>
      <w:proofErr w:type="spellStart"/>
      <w:r w:rsidRPr="00C91762">
        <w:rPr>
          <w:rFonts w:ascii="Times New Roman" w:hAnsi="Times New Roman" w:cs="Arial"/>
          <w:color w:val="323233"/>
          <w:lang w:val="de-DE"/>
        </w:rPr>
        <w:t>drīkst</w:t>
      </w:r>
      <w:proofErr w:type="spellEnd"/>
      <w:r w:rsidRPr="00C91762">
        <w:rPr>
          <w:rFonts w:ascii="Times New Roman" w:hAnsi="Times New Roman" w:cs="Arial"/>
          <w:color w:val="323233"/>
          <w:lang w:val="de-DE"/>
        </w:rPr>
        <w:t xml:space="preserve"> </w:t>
      </w:r>
      <w:proofErr w:type="spellStart"/>
      <w:r w:rsidRPr="00C91762">
        <w:rPr>
          <w:rFonts w:ascii="Times New Roman" w:hAnsi="Times New Roman" w:cs="Arial"/>
          <w:color w:val="323233"/>
          <w:lang w:val="de-DE"/>
        </w:rPr>
        <w:t>izsniegt</w:t>
      </w:r>
      <w:proofErr w:type="spellEnd"/>
      <w:r w:rsidRPr="00C91762">
        <w:rPr>
          <w:rFonts w:ascii="Times New Roman" w:hAnsi="Times New Roman" w:cs="Arial"/>
          <w:color w:val="323233"/>
          <w:lang w:val="de-DE"/>
        </w:rPr>
        <w:t xml:space="preserve"> </w:t>
      </w:r>
      <w:proofErr w:type="spellStart"/>
      <w:r w:rsidRPr="00C91762">
        <w:rPr>
          <w:rFonts w:ascii="Times New Roman" w:hAnsi="Times New Roman" w:cs="Arial"/>
          <w:color w:val="323233"/>
          <w:lang w:val="de-DE"/>
        </w:rPr>
        <w:t>apliecinājumu</w:t>
      </w:r>
      <w:proofErr w:type="spellEnd"/>
      <w:r w:rsidRPr="00C91762">
        <w:rPr>
          <w:rFonts w:ascii="Times New Roman" w:hAnsi="Times New Roman" w:cs="Arial"/>
          <w:color w:val="323233"/>
          <w:lang w:val="de-DE"/>
        </w:rPr>
        <w:t xml:space="preserve"> </w:t>
      </w:r>
      <w:proofErr w:type="spellStart"/>
      <w:r w:rsidRPr="00C91762">
        <w:rPr>
          <w:rFonts w:ascii="Times New Roman" w:hAnsi="Times New Roman" w:cs="Arial"/>
          <w:color w:val="323233"/>
          <w:lang w:val="de-DE"/>
        </w:rPr>
        <w:t>tikai</w:t>
      </w:r>
      <w:proofErr w:type="spellEnd"/>
      <w:r w:rsidRPr="00C91762">
        <w:rPr>
          <w:rFonts w:ascii="Times New Roman" w:hAnsi="Times New Roman" w:cs="Arial"/>
          <w:color w:val="323233"/>
          <w:lang w:val="de-DE"/>
        </w:rPr>
        <w:t xml:space="preserve"> </w:t>
      </w:r>
      <w:proofErr w:type="spellStart"/>
      <w:r w:rsidRPr="00C91762">
        <w:rPr>
          <w:rFonts w:ascii="Times New Roman" w:hAnsi="Times New Roman" w:cs="Arial"/>
          <w:color w:val="323233"/>
          <w:lang w:val="de-DE"/>
        </w:rPr>
        <w:t>tad</w:t>
      </w:r>
      <w:proofErr w:type="spellEnd"/>
      <w:r w:rsidRPr="00C91762">
        <w:rPr>
          <w:rFonts w:ascii="Times New Roman" w:hAnsi="Times New Roman" w:cs="Arial"/>
          <w:color w:val="323233"/>
          <w:lang w:val="de-DE"/>
        </w:rPr>
        <w:t xml:space="preserve">, ja </w:t>
      </w:r>
      <w:proofErr w:type="spellStart"/>
      <w:r w:rsidRPr="00C91762">
        <w:rPr>
          <w:rFonts w:ascii="Times New Roman" w:hAnsi="Times New Roman" w:cs="Arial"/>
          <w:color w:val="323233"/>
          <w:lang w:val="de-DE"/>
        </w:rPr>
        <w:t>viņš</w:t>
      </w:r>
      <w:proofErr w:type="spellEnd"/>
      <w:r w:rsidRPr="00C91762">
        <w:rPr>
          <w:rFonts w:ascii="Times New Roman" w:hAnsi="Times New Roman" w:cs="Arial"/>
          <w:color w:val="323233"/>
          <w:lang w:val="de-DE"/>
        </w:rPr>
        <w:t xml:space="preserve"> </w:t>
      </w:r>
      <w:proofErr w:type="spellStart"/>
      <w:r w:rsidRPr="00C91762">
        <w:rPr>
          <w:rFonts w:ascii="Times New Roman" w:hAnsi="Times New Roman" w:cs="Arial"/>
          <w:color w:val="323233"/>
          <w:lang w:val="de-DE"/>
        </w:rPr>
        <w:t>pirms</w:t>
      </w:r>
      <w:proofErr w:type="spellEnd"/>
      <w:r w:rsidRPr="00C91762">
        <w:rPr>
          <w:rFonts w:ascii="Times New Roman" w:hAnsi="Times New Roman" w:cs="Arial"/>
          <w:color w:val="323233"/>
          <w:lang w:val="de-DE"/>
        </w:rPr>
        <w:t xml:space="preserve"> </w:t>
      </w:r>
      <w:proofErr w:type="spellStart"/>
      <w:r w:rsidRPr="00C91762">
        <w:rPr>
          <w:rFonts w:ascii="Times New Roman" w:hAnsi="Times New Roman" w:cs="Arial"/>
          <w:color w:val="323233"/>
          <w:lang w:val="de-DE"/>
        </w:rPr>
        <w:t>tam</w:t>
      </w:r>
      <w:proofErr w:type="spellEnd"/>
      <w:r w:rsidRPr="00C91762">
        <w:rPr>
          <w:rFonts w:ascii="Times New Roman" w:hAnsi="Times New Roman" w:cs="Arial"/>
          <w:color w:val="323233"/>
          <w:lang w:val="de-DE"/>
        </w:rPr>
        <w:t xml:space="preserve"> </w:t>
      </w:r>
      <w:proofErr w:type="spellStart"/>
      <w:r w:rsidRPr="00C91762">
        <w:rPr>
          <w:rFonts w:ascii="Times New Roman" w:hAnsi="Times New Roman" w:cs="Arial"/>
          <w:color w:val="323233"/>
          <w:lang w:val="de-DE"/>
        </w:rPr>
        <w:t>ir</w:t>
      </w:r>
      <w:proofErr w:type="spellEnd"/>
      <w:r w:rsidRPr="00C91762">
        <w:rPr>
          <w:rFonts w:ascii="Times New Roman" w:hAnsi="Times New Roman" w:cs="Arial"/>
          <w:color w:val="323233"/>
          <w:lang w:val="de-DE"/>
        </w:rPr>
        <w:t xml:space="preserve"> </w:t>
      </w:r>
      <w:proofErr w:type="spellStart"/>
      <w:r w:rsidRPr="00C91762">
        <w:rPr>
          <w:rFonts w:ascii="Times New Roman" w:hAnsi="Times New Roman" w:cs="Arial"/>
          <w:color w:val="323233"/>
          <w:lang w:val="de-DE"/>
        </w:rPr>
        <w:t>pārliecinājies</w:t>
      </w:r>
      <w:proofErr w:type="spellEnd"/>
      <w:r w:rsidRPr="00C91762">
        <w:rPr>
          <w:rFonts w:ascii="Times New Roman" w:hAnsi="Times New Roman" w:cs="Arial"/>
          <w:color w:val="323233"/>
          <w:lang w:val="de-DE"/>
        </w:rPr>
        <w:t xml:space="preserve"> par </w:t>
      </w:r>
      <w:proofErr w:type="spellStart"/>
      <w:r w:rsidRPr="00C91762">
        <w:rPr>
          <w:rFonts w:ascii="Times New Roman" w:hAnsi="Times New Roman" w:cs="Arial"/>
          <w:color w:val="323233"/>
          <w:lang w:val="de-DE"/>
        </w:rPr>
        <w:t>pilnvarojumu</w:t>
      </w:r>
      <w:proofErr w:type="spellEnd"/>
      <w:r w:rsidRPr="00C91762">
        <w:rPr>
          <w:rFonts w:ascii="Times New Roman" w:hAnsi="Times New Roman" w:cs="Arial"/>
          <w:color w:val="323233"/>
          <w:lang w:val="de-DE"/>
        </w:rPr>
        <w:t xml:space="preserve">, </w:t>
      </w:r>
      <w:proofErr w:type="spellStart"/>
      <w:r w:rsidRPr="00C91762">
        <w:rPr>
          <w:rFonts w:ascii="Times New Roman" w:hAnsi="Times New Roman" w:cs="Arial"/>
          <w:color w:val="323233"/>
          <w:lang w:val="de-DE"/>
        </w:rPr>
        <w:t>ieskatoties</w:t>
      </w:r>
      <w:proofErr w:type="spellEnd"/>
      <w:r w:rsidRPr="00C91762">
        <w:rPr>
          <w:rFonts w:ascii="Times New Roman" w:hAnsi="Times New Roman" w:cs="Arial"/>
          <w:color w:val="323233"/>
          <w:lang w:val="de-DE"/>
        </w:rPr>
        <w:t xml:space="preserve"> </w:t>
      </w:r>
      <w:proofErr w:type="spellStart"/>
      <w:r w:rsidRPr="00C91762">
        <w:rPr>
          <w:rFonts w:ascii="Times New Roman" w:hAnsi="Times New Roman" w:cs="Arial"/>
          <w:color w:val="323233"/>
          <w:u w:val="single"/>
          <w:lang w:val="de-DE"/>
        </w:rPr>
        <w:t>publiskā</w:t>
      </w:r>
      <w:proofErr w:type="spellEnd"/>
      <w:r w:rsidRPr="00C91762">
        <w:rPr>
          <w:rFonts w:ascii="Times New Roman" w:hAnsi="Times New Roman" w:cs="Arial"/>
          <w:color w:val="323233"/>
          <w:lang w:val="de-DE"/>
        </w:rPr>
        <w:t xml:space="preserve"> (</w:t>
      </w:r>
      <w:r w:rsidR="00070724" w:rsidRPr="00C91762">
        <w:rPr>
          <w:rFonts w:ascii="Times New Roman" w:hAnsi="Times New Roman" w:cs="Arial"/>
          <w:i/>
          <w:color w:val="323233"/>
          <w:lang w:val="de-DE"/>
        </w:rPr>
        <w:t>öffentliche</w:t>
      </w:r>
      <w:r w:rsidR="00070724" w:rsidRPr="00C91762">
        <w:rPr>
          <w:rFonts w:ascii="Times New Roman" w:hAnsi="Times New Roman" w:cs="Arial"/>
          <w:color w:val="323233"/>
          <w:lang w:val="de-DE"/>
        </w:rPr>
        <w:t xml:space="preserve">) </w:t>
      </w:r>
      <w:proofErr w:type="spellStart"/>
      <w:r w:rsidR="00070724" w:rsidRPr="00C91762">
        <w:rPr>
          <w:rFonts w:ascii="Times New Roman" w:hAnsi="Times New Roman" w:cs="Arial"/>
          <w:color w:val="323233"/>
          <w:lang w:val="de-DE"/>
        </w:rPr>
        <w:t>vai</w:t>
      </w:r>
      <w:proofErr w:type="spellEnd"/>
      <w:r w:rsidR="00070724" w:rsidRPr="00C91762">
        <w:rPr>
          <w:rFonts w:ascii="Times New Roman" w:hAnsi="Times New Roman" w:cs="Arial"/>
          <w:color w:val="323233"/>
          <w:lang w:val="de-DE"/>
        </w:rPr>
        <w:t xml:space="preserve"> </w:t>
      </w:r>
      <w:proofErr w:type="spellStart"/>
      <w:r w:rsidR="00070724" w:rsidRPr="00C91762">
        <w:rPr>
          <w:rFonts w:ascii="Times New Roman" w:hAnsi="Times New Roman" w:cs="Arial"/>
          <w:color w:val="323233"/>
          <w:u w:val="single"/>
          <w:lang w:val="de-DE"/>
        </w:rPr>
        <w:t>publiski</w:t>
      </w:r>
      <w:proofErr w:type="spellEnd"/>
      <w:r w:rsidR="00070724" w:rsidRPr="00C91762">
        <w:rPr>
          <w:rFonts w:ascii="Times New Roman" w:hAnsi="Times New Roman" w:cs="Arial"/>
          <w:color w:val="323233"/>
          <w:u w:val="single"/>
          <w:lang w:val="de-DE"/>
        </w:rPr>
        <w:t xml:space="preserve"> </w:t>
      </w:r>
      <w:proofErr w:type="spellStart"/>
      <w:r w:rsidR="00070724" w:rsidRPr="00C91762">
        <w:rPr>
          <w:rFonts w:ascii="Times New Roman" w:hAnsi="Times New Roman" w:cs="Arial"/>
          <w:color w:val="323233"/>
          <w:u w:val="single"/>
          <w:lang w:val="de-DE"/>
        </w:rPr>
        <w:t>apliecinātā</w:t>
      </w:r>
      <w:proofErr w:type="spellEnd"/>
      <w:r w:rsidR="00070724" w:rsidRPr="00C91762">
        <w:rPr>
          <w:rFonts w:ascii="Times New Roman" w:hAnsi="Times New Roman" w:cs="Arial"/>
          <w:color w:val="323233"/>
          <w:lang w:val="de-DE"/>
        </w:rPr>
        <w:t xml:space="preserve"> (</w:t>
      </w:r>
      <w:r w:rsidR="00070724" w:rsidRPr="00C91762">
        <w:rPr>
          <w:rFonts w:ascii="Times New Roman" w:hAnsi="Times New Roman" w:cs="Arial"/>
          <w:i/>
          <w:color w:val="323233"/>
          <w:lang w:val="de-DE"/>
        </w:rPr>
        <w:t xml:space="preserve">öffentlich </w:t>
      </w:r>
      <w:proofErr w:type="spellStart"/>
      <w:r w:rsidR="00070724" w:rsidRPr="00C91762">
        <w:rPr>
          <w:rFonts w:ascii="Times New Roman" w:hAnsi="Times New Roman" w:cs="Arial"/>
          <w:i/>
          <w:color w:val="323233"/>
          <w:lang w:val="de-DE"/>
        </w:rPr>
        <w:t>beglaubte</w:t>
      </w:r>
      <w:proofErr w:type="spellEnd"/>
      <w:r w:rsidR="00070724" w:rsidRPr="00C91762">
        <w:rPr>
          <w:rFonts w:ascii="Times New Roman" w:hAnsi="Times New Roman" w:cs="Arial"/>
          <w:color w:val="323233"/>
          <w:lang w:val="de-DE"/>
        </w:rPr>
        <w:t xml:space="preserve">) </w:t>
      </w:r>
      <w:proofErr w:type="spellStart"/>
      <w:r w:rsidR="00070724" w:rsidRPr="00C91762">
        <w:rPr>
          <w:rFonts w:ascii="Times New Roman" w:hAnsi="Times New Roman" w:cs="Arial"/>
          <w:color w:val="323233"/>
          <w:lang w:val="de-DE"/>
        </w:rPr>
        <w:t>pilnvarojuma</w:t>
      </w:r>
      <w:proofErr w:type="spellEnd"/>
      <w:r w:rsidR="00070724" w:rsidRPr="00C91762">
        <w:rPr>
          <w:rFonts w:ascii="Times New Roman" w:hAnsi="Times New Roman" w:cs="Arial"/>
          <w:color w:val="323233"/>
          <w:lang w:val="de-DE"/>
        </w:rPr>
        <w:t xml:space="preserve"> </w:t>
      </w:r>
      <w:proofErr w:type="spellStart"/>
      <w:r w:rsidR="00070724" w:rsidRPr="00C91762">
        <w:rPr>
          <w:rFonts w:ascii="Times New Roman" w:hAnsi="Times New Roman" w:cs="Arial"/>
          <w:color w:val="323233"/>
          <w:lang w:val="de-DE"/>
        </w:rPr>
        <w:t>aktā</w:t>
      </w:r>
      <w:proofErr w:type="spellEnd"/>
      <w:r w:rsidR="00070724" w:rsidRPr="00C91762">
        <w:rPr>
          <w:rFonts w:ascii="Times New Roman" w:hAnsi="Times New Roman" w:cs="Arial"/>
          <w:color w:val="323233"/>
          <w:lang w:val="de-DE"/>
        </w:rPr>
        <w:t>/</w:t>
      </w:r>
      <w:proofErr w:type="spellStart"/>
      <w:r w:rsidR="00070724" w:rsidRPr="00C91762">
        <w:rPr>
          <w:rFonts w:ascii="Times New Roman" w:hAnsi="Times New Roman" w:cs="Arial"/>
          <w:color w:val="323233"/>
          <w:lang w:val="de-DE"/>
        </w:rPr>
        <w:t>dokumentā</w:t>
      </w:r>
      <w:proofErr w:type="spellEnd"/>
      <w:r w:rsidR="00070724" w:rsidRPr="00C91762">
        <w:rPr>
          <w:rFonts w:ascii="Times New Roman" w:hAnsi="Times New Roman" w:cs="Arial"/>
          <w:color w:val="323233"/>
          <w:lang w:val="de-DE"/>
        </w:rPr>
        <w:t xml:space="preserve"> (</w:t>
      </w:r>
      <w:r w:rsidR="00070724" w:rsidRPr="00C91762">
        <w:rPr>
          <w:rFonts w:ascii="Times New Roman" w:hAnsi="Times New Roman" w:cs="Arial"/>
          <w:i/>
          <w:color w:val="323233"/>
          <w:lang w:val="de-DE"/>
        </w:rPr>
        <w:t>Vollmachtsurkunde</w:t>
      </w:r>
      <w:r w:rsidR="00BA2D75" w:rsidRPr="00C91762">
        <w:rPr>
          <w:rFonts w:ascii="Times New Roman" w:hAnsi="Times New Roman" w:cs="Arial"/>
          <w:color w:val="323233"/>
          <w:lang w:val="de-DE"/>
        </w:rPr>
        <w:t>). [..]</w:t>
      </w:r>
      <w:r w:rsidR="00070724" w:rsidRPr="00C91762">
        <w:rPr>
          <w:rFonts w:ascii="Times New Roman" w:hAnsi="Times New Roman" w:cs="Arial"/>
          <w:color w:val="323233"/>
          <w:lang w:val="de-DE"/>
        </w:rPr>
        <w:t xml:space="preserve">“. </w:t>
      </w:r>
      <w:proofErr w:type="spellStart"/>
      <w:r w:rsidR="00A53106" w:rsidRPr="00C91762">
        <w:rPr>
          <w:rFonts w:ascii="Times New Roman" w:hAnsi="Times New Roman" w:cs="Arial"/>
          <w:color w:val="323233"/>
          <w:lang w:val="de-DE"/>
        </w:rPr>
        <w:t>No</w:t>
      </w:r>
      <w:proofErr w:type="spellEnd"/>
      <w:r w:rsidR="00A53106" w:rsidRPr="00C91762">
        <w:rPr>
          <w:rFonts w:ascii="Times New Roman" w:hAnsi="Times New Roman" w:cs="Arial"/>
          <w:color w:val="323233"/>
          <w:lang w:val="de-DE"/>
        </w:rPr>
        <w:t xml:space="preserve"> </w:t>
      </w:r>
      <w:proofErr w:type="spellStart"/>
      <w:r w:rsidR="00A53106" w:rsidRPr="00C91762">
        <w:rPr>
          <w:rFonts w:ascii="Times New Roman" w:hAnsi="Times New Roman" w:cs="Arial"/>
          <w:color w:val="323233"/>
          <w:lang w:val="de-DE"/>
        </w:rPr>
        <w:t>minētā</w:t>
      </w:r>
      <w:proofErr w:type="spellEnd"/>
      <w:r w:rsidR="00A53106" w:rsidRPr="00C91762">
        <w:rPr>
          <w:rFonts w:ascii="Times New Roman" w:hAnsi="Times New Roman" w:cs="Arial"/>
          <w:color w:val="323233"/>
          <w:lang w:val="de-DE"/>
        </w:rPr>
        <w:t xml:space="preserve"> </w:t>
      </w:r>
      <w:proofErr w:type="spellStart"/>
      <w:r w:rsidR="00A53106" w:rsidRPr="00C91762">
        <w:rPr>
          <w:rFonts w:ascii="Times New Roman" w:hAnsi="Times New Roman" w:cs="Arial"/>
          <w:color w:val="323233"/>
          <w:lang w:val="de-DE"/>
        </w:rPr>
        <w:t>izriet</w:t>
      </w:r>
      <w:proofErr w:type="spellEnd"/>
      <w:r w:rsidR="00A53106" w:rsidRPr="00C91762">
        <w:rPr>
          <w:rFonts w:ascii="Times New Roman" w:hAnsi="Times New Roman" w:cs="Arial"/>
          <w:color w:val="323233"/>
          <w:lang w:val="de-DE"/>
        </w:rPr>
        <w:t xml:space="preserve">, </w:t>
      </w:r>
      <w:proofErr w:type="spellStart"/>
      <w:r w:rsidR="00A53106" w:rsidRPr="00C91762">
        <w:rPr>
          <w:rFonts w:ascii="Times New Roman" w:hAnsi="Times New Roman" w:cs="Arial"/>
          <w:color w:val="323233"/>
          <w:lang w:val="de-DE"/>
        </w:rPr>
        <w:t>ka</w:t>
      </w:r>
      <w:proofErr w:type="spellEnd"/>
      <w:r w:rsidR="00CE601D" w:rsidRPr="00C91762">
        <w:rPr>
          <w:rFonts w:ascii="Times New Roman" w:hAnsi="Times New Roman" w:cs="Arial"/>
          <w:color w:val="323233"/>
          <w:lang w:val="de-DE"/>
        </w:rPr>
        <w:t xml:space="preserve"> </w:t>
      </w:r>
      <w:proofErr w:type="spellStart"/>
      <w:r w:rsidR="00070724" w:rsidRPr="00C91762">
        <w:rPr>
          <w:rFonts w:ascii="Times New Roman" w:hAnsi="Times New Roman" w:cs="Arial"/>
          <w:color w:val="323233"/>
          <w:lang w:val="de-DE"/>
        </w:rPr>
        <w:t>Vācijā</w:t>
      </w:r>
      <w:proofErr w:type="spellEnd"/>
      <w:r w:rsidR="00070724" w:rsidRPr="00C91762">
        <w:rPr>
          <w:rFonts w:ascii="Times New Roman" w:hAnsi="Times New Roman" w:cs="Arial"/>
          <w:color w:val="323233"/>
          <w:lang w:val="de-DE"/>
        </w:rPr>
        <w:t xml:space="preserve"> </w:t>
      </w:r>
      <w:proofErr w:type="spellStart"/>
      <w:r w:rsidR="00070724" w:rsidRPr="00C91762">
        <w:rPr>
          <w:rFonts w:ascii="Times New Roman" w:hAnsi="Times New Roman" w:cs="Arial"/>
          <w:color w:val="323233"/>
          <w:lang w:val="de-DE"/>
        </w:rPr>
        <w:t>vērojamas</w:t>
      </w:r>
      <w:proofErr w:type="spellEnd"/>
      <w:r w:rsidR="00070724" w:rsidRPr="00C91762">
        <w:rPr>
          <w:rFonts w:ascii="Times New Roman" w:hAnsi="Times New Roman" w:cs="Arial"/>
          <w:color w:val="323233"/>
          <w:lang w:val="de-DE"/>
        </w:rPr>
        <w:t xml:space="preserve"> </w:t>
      </w:r>
      <w:proofErr w:type="spellStart"/>
      <w:r w:rsidR="00070724" w:rsidRPr="00C91762">
        <w:rPr>
          <w:rFonts w:ascii="Times New Roman" w:hAnsi="Times New Roman" w:cs="Arial"/>
          <w:color w:val="323233"/>
          <w:lang w:val="de-DE"/>
        </w:rPr>
        <w:t>mazāk</w:t>
      </w:r>
      <w:proofErr w:type="spellEnd"/>
      <w:r w:rsidR="00070724" w:rsidRPr="00C91762">
        <w:rPr>
          <w:rFonts w:ascii="Times New Roman" w:hAnsi="Times New Roman" w:cs="Arial"/>
          <w:color w:val="323233"/>
          <w:lang w:val="de-DE"/>
        </w:rPr>
        <w:t xml:space="preserve"> </w:t>
      </w:r>
      <w:proofErr w:type="spellStart"/>
      <w:r w:rsidR="00070724" w:rsidRPr="00C91762">
        <w:rPr>
          <w:rFonts w:ascii="Times New Roman" w:hAnsi="Times New Roman" w:cs="Arial"/>
          <w:color w:val="323233"/>
          <w:lang w:val="de-DE"/>
        </w:rPr>
        <w:t>stingras</w:t>
      </w:r>
      <w:proofErr w:type="spellEnd"/>
      <w:r w:rsidR="00070724" w:rsidRPr="00C91762">
        <w:rPr>
          <w:rFonts w:ascii="Times New Roman" w:hAnsi="Times New Roman" w:cs="Arial"/>
          <w:color w:val="323233"/>
          <w:lang w:val="de-DE"/>
        </w:rPr>
        <w:t xml:space="preserve"> </w:t>
      </w:r>
      <w:proofErr w:type="spellStart"/>
      <w:r w:rsidR="00070724" w:rsidRPr="00C91762">
        <w:rPr>
          <w:rFonts w:ascii="Times New Roman" w:hAnsi="Times New Roman" w:cs="Arial"/>
          <w:color w:val="323233"/>
          <w:lang w:val="de-DE"/>
        </w:rPr>
        <w:t>prasības</w:t>
      </w:r>
      <w:proofErr w:type="spellEnd"/>
      <w:r w:rsidR="003554BE" w:rsidRPr="00C91762">
        <w:rPr>
          <w:rFonts w:ascii="Times New Roman" w:hAnsi="Times New Roman" w:cs="Arial"/>
          <w:color w:val="323233"/>
          <w:lang w:val="de-DE"/>
        </w:rPr>
        <w:t xml:space="preserve"> (</w:t>
      </w:r>
      <w:proofErr w:type="spellStart"/>
      <w:r w:rsidR="003554BE" w:rsidRPr="00C91762">
        <w:rPr>
          <w:rFonts w:ascii="Times New Roman" w:hAnsi="Times New Roman" w:cs="Arial"/>
          <w:color w:val="323233"/>
          <w:lang w:val="de-DE"/>
        </w:rPr>
        <w:t>nekā</w:t>
      </w:r>
      <w:proofErr w:type="spellEnd"/>
      <w:r w:rsidR="003554BE" w:rsidRPr="00C91762">
        <w:rPr>
          <w:rFonts w:ascii="Times New Roman" w:hAnsi="Times New Roman" w:cs="Arial"/>
          <w:color w:val="323233"/>
          <w:lang w:val="de-DE"/>
        </w:rPr>
        <w:t xml:space="preserve"> </w:t>
      </w:r>
      <w:proofErr w:type="spellStart"/>
      <w:r w:rsidR="003554BE" w:rsidRPr="00C91762">
        <w:rPr>
          <w:rFonts w:ascii="Times New Roman" w:hAnsi="Times New Roman" w:cs="Arial"/>
          <w:color w:val="323233"/>
          <w:lang w:val="de-DE"/>
        </w:rPr>
        <w:t>Latvijā</w:t>
      </w:r>
      <w:proofErr w:type="spellEnd"/>
      <w:r w:rsidR="003554BE" w:rsidRPr="00C91762">
        <w:rPr>
          <w:rFonts w:ascii="Times New Roman" w:hAnsi="Times New Roman" w:cs="Arial"/>
          <w:color w:val="323233"/>
          <w:lang w:val="de-DE"/>
        </w:rPr>
        <w:t>)</w:t>
      </w:r>
      <w:r w:rsidR="00070724" w:rsidRPr="00C91762">
        <w:rPr>
          <w:rFonts w:ascii="Times New Roman" w:hAnsi="Times New Roman" w:cs="Arial"/>
          <w:color w:val="323233"/>
          <w:lang w:val="de-DE"/>
        </w:rPr>
        <w:t xml:space="preserve">, </w:t>
      </w:r>
      <w:proofErr w:type="spellStart"/>
      <w:r w:rsidR="00070724" w:rsidRPr="00C91762">
        <w:rPr>
          <w:rFonts w:ascii="Times New Roman" w:hAnsi="Times New Roman" w:cs="Arial"/>
          <w:color w:val="323233"/>
          <w:lang w:val="de-DE"/>
        </w:rPr>
        <w:t>jo</w:t>
      </w:r>
      <w:proofErr w:type="spellEnd"/>
      <w:r w:rsidR="00070724" w:rsidRPr="00C91762">
        <w:rPr>
          <w:rFonts w:ascii="Times New Roman" w:hAnsi="Times New Roman" w:cs="Arial"/>
          <w:color w:val="323233"/>
          <w:lang w:val="de-DE"/>
        </w:rPr>
        <w:t xml:space="preserve"> </w:t>
      </w:r>
      <w:proofErr w:type="spellStart"/>
      <w:r w:rsidR="00070724" w:rsidRPr="00C91762">
        <w:rPr>
          <w:rFonts w:ascii="Times New Roman" w:hAnsi="Times New Roman" w:cs="Arial"/>
          <w:color w:val="323233"/>
          <w:lang w:val="de-DE"/>
        </w:rPr>
        <w:t>līdzās</w:t>
      </w:r>
      <w:proofErr w:type="spellEnd"/>
      <w:r w:rsidR="00070724" w:rsidRPr="00C91762">
        <w:rPr>
          <w:rFonts w:ascii="Times New Roman" w:hAnsi="Times New Roman" w:cs="Arial"/>
          <w:color w:val="323233"/>
          <w:lang w:val="de-DE"/>
        </w:rPr>
        <w:t xml:space="preserve"> </w:t>
      </w:r>
      <w:r w:rsidR="00A53106" w:rsidRPr="00C91762">
        <w:rPr>
          <w:rFonts w:ascii="Times New Roman" w:hAnsi="Times New Roman" w:cs="Arial"/>
          <w:color w:val="323233"/>
          <w:lang w:val="de-DE"/>
        </w:rPr>
        <w:t>„</w:t>
      </w:r>
      <w:proofErr w:type="spellStart"/>
      <w:r w:rsidR="00070724" w:rsidRPr="00C91762">
        <w:rPr>
          <w:rFonts w:ascii="Times New Roman" w:hAnsi="Times New Roman" w:cs="Arial"/>
          <w:color w:val="323233"/>
          <w:lang w:val="de-DE"/>
        </w:rPr>
        <w:t>publiskam</w:t>
      </w:r>
      <w:proofErr w:type="spellEnd"/>
      <w:r w:rsidR="00070724" w:rsidRPr="00C91762">
        <w:rPr>
          <w:rFonts w:ascii="Times New Roman" w:hAnsi="Times New Roman" w:cs="Arial"/>
          <w:color w:val="323233"/>
          <w:lang w:val="de-DE"/>
        </w:rPr>
        <w:t xml:space="preserve"> </w:t>
      </w:r>
      <w:proofErr w:type="spellStart"/>
      <w:r w:rsidR="00070724" w:rsidRPr="00C91762">
        <w:rPr>
          <w:rFonts w:ascii="Times New Roman" w:hAnsi="Times New Roman" w:cs="Arial"/>
          <w:color w:val="323233"/>
          <w:lang w:val="de-DE"/>
        </w:rPr>
        <w:t>dokumentam</w:t>
      </w:r>
      <w:proofErr w:type="spellEnd"/>
      <w:r w:rsidR="00A53106" w:rsidRPr="00C91762">
        <w:rPr>
          <w:rFonts w:ascii="Times New Roman" w:hAnsi="Times New Roman" w:cs="Arial"/>
          <w:color w:val="323233"/>
          <w:lang w:val="de-DE"/>
        </w:rPr>
        <w:t>“</w:t>
      </w:r>
      <w:r w:rsidR="00070724" w:rsidRPr="00C91762">
        <w:rPr>
          <w:rFonts w:ascii="Times New Roman" w:hAnsi="Times New Roman" w:cs="Arial"/>
          <w:color w:val="323233"/>
          <w:lang w:val="de-DE"/>
        </w:rPr>
        <w:t xml:space="preserve"> </w:t>
      </w:r>
      <w:proofErr w:type="spellStart"/>
      <w:r w:rsidR="00070724" w:rsidRPr="00C91762">
        <w:rPr>
          <w:rFonts w:ascii="Times New Roman" w:hAnsi="Times New Roman" w:cs="Arial"/>
          <w:color w:val="323233"/>
          <w:lang w:val="de-DE"/>
        </w:rPr>
        <w:t>pilnvarojumu</w:t>
      </w:r>
      <w:proofErr w:type="spellEnd"/>
      <w:r w:rsidR="00070724" w:rsidRPr="00C91762">
        <w:rPr>
          <w:rFonts w:ascii="Times New Roman" w:hAnsi="Times New Roman" w:cs="Arial"/>
          <w:color w:val="323233"/>
          <w:lang w:val="de-DE"/>
        </w:rPr>
        <w:t xml:space="preserve"> </w:t>
      </w:r>
      <w:proofErr w:type="spellStart"/>
      <w:r w:rsidR="00070724" w:rsidRPr="00C91762">
        <w:rPr>
          <w:rFonts w:ascii="Times New Roman" w:hAnsi="Times New Roman" w:cs="Arial"/>
          <w:color w:val="323233"/>
          <w:lang w:val="de-DE"/>
        </w:rPr>
        <w:t>var</w:t>
      </w:r>
      <w:proofErr w:type="spellEnd"/>
      <w:r w:rsidR="00070724" w:rsidRPr="00C91762">
        <w:rPr>
          <w:rFonts w:ascii="Times New Roman" w:hAnsi="Times New Roman" w:cs="Arial"/>
          <w:color w:val="323233"/>
          <w:lang w:val="de-DE"/>
        </w:rPr>
        <w:t xml:space="preserve"> </w:t>
      </w:r>
      <w:proofErr w:type="spellStart"/>
      <w:r w:rsidR="00070724" w:rsidRPr="00C91762">
        <w:rPr>
          <w:rFonts w:ascii="Times New Roman" w:hAnsi="Times New Roman" w:cs="Arial"/>
          <w:color w:val="323233"/>
          <w:lang w:val="de-DE"/>
        </w:rPr>
        <w:t>pierādīt</w:t>
      </w:r>
      <w:proofErr w:type="spellEnd"/>
      <w:r w:rsidR="00070724" w:rsidRPr="00C91762">
        <w:rPr>
          <w:rFonts w:ascii="Times New Roman" w:hAnsi="Times New Roman" w:cs="Arial"/>
          <w:color w:val="323233"/>
          <w:lang w:val="de-DE"/>
        </w:rPr>
        <w:t xml:space="preserve"> </w:t>
      </w:r>
      <w:proofErr w:type="spellStart"/>
      <w:r w:rsidR="00070724" w:rsidRPr="00C91762">
        <w:rPr>
          <w:rFonts w:ascii="Times New Roman" w:hAnsi="Times New Roman" w:cs="Arial"/>
          <w:color w:val="323233"/>
          <w:lang w:val="de-DE"/>
        </w:rPr>
        <w:t>arī</w:t>
      </w:r>
      <w:proofErr w:type="spellEnd"/>
      <w:r w:rsidR="00070724" w:rsidRPr="00C91762">
        <w:rPr>
          <w:rFonts w:ascii="Times New Roman" w:hAnsi="Times New Roman" w:cs="Arial"/>
          <w:color w:val="323233"/>
          <w:lang w:val="de-DE"/>
        </w:rPr>
        <w:t xml:space="preserve"> </w:t>
      </w:r>
      <w:proofErr w:type="spellStart"/>
      <w:r w:rsidR="00070724" w:rsidRPr="00C91762">
        <w:rPr>
          <w:rFonts w:ascii="Times New Roman" w:hAnsi="Times New Roman" w:cs="Arial"/>
          <w:color w:val="323233"/>
          <w:lang w:val="de-DE"/>
        </w:rPr>
        <w:t>ar</w:t>
      </w:r>
      <w:proofErr w:type="spellEnd"/>
      <w:r w:rsidR="00070724" w:rsidRPr="00C91762">
        <w:rPr>
          <w:rFonts w:ascii="Times New Roman" w:hAnsi="Times New Roman" w:cs="Arial"/>
          <w:color w:val="323233"/>
          <w:lang w:val="de-DE"/>
        </w:rPr>
        <w:t xml:space="preserve"> </w:t>
      </w:r>
      <w:r w:rsidR="00A53106" w:rsidRPr="00C91762">
        <w:rPr>
          <w:rFonts w:ascii="Times New Roman" w:hAnsi="Times New Roman" w:cs="Arial"/>
          <w:color w:val="323233"/>
          <w:lang w:val="de-DE"/>
        </w:rPr>
        <w:t>„</w:t>
      </w:r>
      <w:proofErr w:type="spellStart"/>
      <w:r w:rsidR="00070724" w:rsidRPr="00C91762">
        <w:rPr>
          <w:rFonts w:ascii="Times New Roman" w:hAnsi="Times New Roman" w:cs="Arial"/>
          <w:color w:val="323233"/>
          <w:u w:val="single"/>
          <w:lang w:val="de-DE"/>
        </w:rPr>
        <w:t>publiski</w:t>
      </w:r>
      <w:proofErr w:type="spellEnd"/>
      <w:r w:rsidR="00070724" w:rsidRPr="00C91762">
        <w:rPr>
          <w:rFonts w:ascii="Times New Roman" w:hAnsi="Times New Roman" w:cs="Arial"/>
          <w:color w:val="323233"/>
          <w:u w:val="single"/>
          <w:lang w:val="de-DE"/>
        </w:rPr>
        <w:t xml:space="preserve"> </w:t>
      </w:r>
      <w:proofErr w:type="spellStart"/>
      <w:r w:rsidR="00070724" w:rsidRPr="00C91762">
        <w:rPr>
          <w:rFonts w:ascii="Times New Roman" w:hAnsi="Times New Roman" w:cs="Arial"/>
          <w:color w:val="323233"/>
          <w:u w:val="single"/>
          <w:lang w:val="de-DE"/>
        </w:rPr>
        <w:t>apliecinātu</w:t>
      </w:r>
      <w:proofErr w:type="spellEnd"/>
      <w:r w:rsidR="00070724" w:rsidRPr="00C91762">
        <w:rPr>
          <w:rFonts w:ascii="Times New Roman" w:hAnsi="Times New Roman" w:cs="Arial"/>
          <w:color w:val="323233"/>
          <w:u w:val="single"/>
          <w:lang w:val="de-DE"/>
        </w:rPr>
        <w:t xml:space="preserve"> </w:t>
      </w:r>
      <w:proofErr w:type="spellStart"/>
      <w:r w:rsidR="00070724" w:rsidRPr="00C91762">
        <w:rPr>
          <w:rFonts w:ascii="Times New Roman" w:hAnsi="Times New Roman" w:cs="Arial"/>
          <w:color w:val="323233"/>
          <w:u w:val="single"/>
          <w:lang w:val="de-DE"/>
        </w:rPr>
        <w:t>dokumentu</w:t>
      </w:r>
      <w:proofErr w:type="spellEnd"/>
      <w:r w:rsidR="00A53106" w:rsidRPr="00C91762">
        <w:rPr>
          <w:rFonts w:ascii="Times New Roman" w:hAnsi="Times New Roman" w:cs="Arial"/>
          <w:color w:val="323233"/>
          <w:u w:val="single"/>
          <w:lang w:val="de-DE"/>
        </w:rPr>
        <w:t>“</w:t>
      </w:r>
      <w:r w:rsidR="00070724" w:rsidRPr="00C91762">
        <w:rPr>
          <w:rFonts w:ascii="Times New Roman" w:hAnsi="Times New Roman" w:cs="Arial"/>
          <w:color w:val="323233"/>
          <w:lang w:val="de-DE"/>
        </w:rPr>
        <w:t>.</w:t>
      </w:r>
      <w:r w:rsidR="00CD70F0" w:rsidRPr="00C91762">
        <w:rPr>
          <w:rFonts w:ascii="Times New Roman" w:hAnsi="Times New Roman" w:cs="Arial"/>
          <w:color w:val="323233"/>
          <w:lang w:val="de-DE"/>
        </w:rPr>
        <w:t xml:space="preserve"> </w:t>
      </w:r>
      <w:r w:rsidR="00CD70F0" w:rsidRPr="00C91762">
        <w:rPr>
          <w:rFonts w:ascii="Times New Roman" w:hAnsi="Times New Roman" w:cs="Arial"/>
          <w:color w:val="323233"/>
          <w:lang w:val="lv-LV"/>
        </w:rPr>
        <w:t>Par publiski apliecinātu dokumentu tiek uzskatīts, piemēram, Hāgas Dokumentu legalizācijas atcelšanas konvencijas 5.panta 2.punktā</w:t>
      </w:r>
      <w:r w:rsidR="00076D9D" w:rsidRPr="00C91762">
        <w:rPr>
          <w:rFonts w:ascii="Times New Roman" w:hAnsi="Times New Roman" w:cs="Arial"/>
          <w:color w:val="323233"/>
          <w:lang w:val="lv-LV"/>
        </w:rPr>
        <w:t xml:space="preserve"> minētais apstāklis, kad pareizi aizpildīts, </w:t>
      </w:r>
      <w:proofErr w:type="spellStart"/>
      <w:r w:rsidR="00076D9D" w:rsidRPr="00C91762">
        <w:rPr>
          <w:rFonts w:ascii="Times New Roman" w:hAnsi="Times New Roman" w:cs="Arial"/>
          <w:i/>
          <w:color w:val="323233"/>
          <w:lang w:val="lv-LV"/>
        </w:rPr>
        <w:t>apostille</w:t>
      </w:r>
      <w:proofErr w:type="spellEnd"/>
      <w:r w:rsidR="00076D9D" w:rsidRPr="00C91762">
        <w:rPr>
          <w:rFonts w:ascii="Times New Roman" w:hAnsi="Times New Roman" w:cs="Arial"/>
          <w:color w:val="323233"/>
          <w:lang w:val="lv-LV"/>
        </w:rPr>
        <w:t xml:space="preserve"> apliecina paraksta autentiskumu, statusu, kādā darbojusies persona, kas parakstījusi dokumentu, un, kur tas nepieciešams, zīmoga vai spiedoga identitāti, kas ir uz dokumenta. Tātad, par īstu tiek uzskatīts tikai publiskās amatpersonas paraksts, statuss, kādā tā darbojusies un, kur tas nepieciešams, zīmoga vai spiedoga identitāte, kas ir uz dokumenta. Īstums neattiecas uz šāda dokumenta saturu.</w:t>
      </w:r>
      <w:r w:rsidR="003C2166" w:rsidRPr="00C91762">
        <w:rPr>
          <w:rStyle w:val="FootnoteReference"/>
          <w:rFonts w:ascii="Times New Roman" w:hAnsi="Times New Roman" w:cs="Arial"/>
          <w:color w:val="323233"/>
          <w:lang w:val="lv-LV"/>
        </w:rPr>
        <w:footnoteReference w:id="77"/>
      </w:r>
    </w:p>
    <w:p w14:paraId="0F216F38" w14:textId="77777777" w:rsidR="00114953" w:rsidRPr="00C91762" w:rsidRDefault="00114953" w:rsidP="00114953">
      <w:pPr>
        <w:jc w:val="both"/>
        <w:rPr>
          <w:rFonts w:ascii="Times New Roman" w:hAnsi="Times New Roman" w:cs="Arial"/>
          <w:color w:val="323233"/>
          <w:u w:val="single"/>
          <w:lang w:val="lv-LV"/>
        </w:rPr>
      </w:pPr>
    </w:p>
    <w:p w14:paraId="10B47A68" w14:textId="77777777" w:rsidR="00114953" w:rsidRPr="00C91762" w:rsidRDefault="00114953" w:rsidP="00114953">
      <w:pPr>
        <w:ind w:firstLine="708"/>
        <w:jc w:val="both"/>
        <w:rPr>
          <w:rFonts w:ascii="Times New Roman" w:hAnsi="Times New Roman" w:cs="Arial"/>
          <w:color w:val="323233"/>
          <w:lang w:val="lv-LV"/>
        </w:rPr>
      </w:pPr>
      <w:r w:rsidRPr="00C91762">
        <w:rPr>
          <w:rFonts w:ascii="Times New Roman" w:hAnsi="Times New Roman" w:cs="Arial"/>
          <w:color w:val="323233"/>
          <w:lang w:val="lv-LV"/>
        </w:rPr>
        <w:t xml:space="preserve">Savukārt </w:t>
      </w:r>
      <w:r w:rsidRPr="00C91762">
        <w:rPr>
          <w:rFonts w:ascii="Times New Roman" w:hAnsi="Times New Roman" w:cs="Arial"/>
          <w:b/>
          <w:color w:val="323233"/>
          <w:lang w:val="lv-LV"/>
        </w:rPr>
        <w:t>Francijas</w:t>
      </w:r>
      <w:r w:rsidRPr="00C91762">
        <w:rPr>
          <w:rFonts w:ascii="Times New Roman" w:hAnsi="Times New Roman" w:cs="Arial"/>
          <w:color w:val="323233"/>
          <w:lang w:val="lv-LV"/>
        </w:rPr>
        <w:t xml:space="preserve"> tiesību zinātnē par publisku dokumentu (franču val. – </w:t>
      </w:r>
      <w:proofErr w:type="spellStart"/>
      <w:r w:rsidRPr="00C91762">
        <w:rPr>
          <w:rFonts w:ascii="Times New Roman" w:hAnsi="Times New Roman" w:cs="Arial"/>
          <w:i/>
          <w:iCs/>
          <w:color w:val="323233"/>
          <w:lang w:val="lv-LV"/>
        </w:rPr>
        <w:t>acte</w:t>
      </w:r>
      <w:proofErr w:type="spellEnd"/>
      <w:r w:rsidRPr="00C91762">
        <w:rPr>
          <w:rFonts w:ascii="Times New Roman" w:hAnsi="Times New Roman" w:cs="Arial"/>
          <w:i/>
          <w:iCs/>
          <w:color w:val="323233"/>
          <w:lang w:val="lv-LV"/>
        </w:rPr>
        <w:t xml:space="preserve"> </w:t>
      </w:r>
      <w:proofErr w:type="spellStart"/>
      <w:r w:rsidRPr="00C91762">
        <w:rPr>
          <w:rFonts w:ascii="Times New Roman" w:hAnsi="Times New Roman" w:cs="Arial"/>
          <w:i/>
          <w:iCs/>
          <w:color w:val="323233"/>
          <w:lang w:val="lv-LV"/>
        </w:rPr>
        <w:t>public</w:t>
      </w:r>
      <w:proofErr w:type="spellEnd"/>
      <w:r w:rsidRPr="00C91762">
        <w:rPr>
          <w:rFonts w:ascii="Times New Roman" w:hAnsi="Times New Roman" w:cs="Arial"/>
          <w:color w:val="323233"/>
          <w:lang w:val="lv-LV"/>
        </w:rPr>
        <w:t>) privāttiesībās uzskata dokumentu, kura sastādīšanā piedalījusies ar publiskās varas autoritāti apveltīta persona, un kam ir individuāls raksturs</w:t>
      </w:r>
      <w:r w:rsidRPr="00C91762">
        <w:rPr>
          <w:rStyle w:val="FootnoteReference"/>
          <w:rFonts w:ascii="Times New Roman" w:hAnsi="Times New Roman" w:cs="Arial"/>
          <w:color w:val="323233"/>
        </w:rPr>
        <w:footnoteReference w:id="78"/>
      </w:r>
      <w:r w:rsidRPr="00C91762">
        <w:rPr>
          <w:rFonts w:ascii="Times New Roman" w:hAnsi="Times New Roman" w:cs="Arial"/>
          <w:color w:val="323233"/>
          <w:lang w:val="lv-LV"/>
        </w:rPr>
        <w:t xml:space="preserve"> privāttiesību jomā.</w:t>
      </w:r>
      <w:r w:rsidRPr="00C91762">
        <w:rPr>
          <w:rStyle w:val="FootnoteReference"/>
          <w:rFonts w:ascii="Times New Roman" w:hAnsi="Times New Roman" w:cs="Arial"/>
          <w:color w:val="323233"/>
        </w:rPr>
        <w:footnoteReference w:id="79"/>
      </w:r>
      <w:r w:rsidRPr="00C91762">
        <w:rPr>
          <w:rFonts w:ascii="Times New Roman" w:hAnsi="Times New Roman" w:cs="Arial"/>
          <w:color w:val="323233"/>
          <w:lang w:val="lv-LV"/>
        </w:rPr>
        <w:t xml:space="preserve"> </w:t>
      </w:r>
    </w:p>
    <w:p w14:paraId="0CDB538C" w14:textId="77777777" w:rsidR="006F7E38" w:rsidRPr="00C91762" w:rsidRDefault="006F7E38" w:rsidP="00114953">
      <w:pPr>
        <w:ind w:firstLine="708"/>
        <w:jc w:val="both"/>
        <w:rPr>
          <w:rFonts w:ascii="Times New Roman" w:hAnsi="Times New Roman" w:cs="Arial"/>
          <w:color w:val="323233"/>
          <w:lang w:val="lv-LV"/>
        </w:rPr>
      </w:pPr>
    </w:p>
    <w:p w14:paraId="306D0A91" w14:textId="68018E6D" w:rsidR="006F7E38" w:rsidRPr="00BF783F" w:rsidRDefault="006F7E38" w:rsidP="00114953">
      <w:pPr>
        <w:ind w:firstLine="708"/>
        <w:jc w:val="both"/>
        <w:rPr>
          <w:rFonts w:ascii="Times New Roman" w:hAnsi="Times New Roman" w:cs="Arial"/>
          <w:color w:val="323233"/>
          <w:lang w:val="lv-LV"/>
        </w:rPr>
      </w:pPr>
      <w:proofErr w:type="spellStart"/>
      <w:r w:rsidRPr="00C91762">
        <w:rPr>
          <w:rFonts w:ascii="Times New Roman" w:hAnsi="Times New Roman" w:cs="Arial"/>
          <w:color w:val="323233"/>
          <w:lang w:val="de-DE"/>
        </w:rPr>
        <w:t>Vienlaicīgi</w:t>
      </w:r>
      <w:proofErr w:type="spellEnd"/>
      <w:r w:rsidRPr="00C91762">
        <w:rPr>
          <w:rFonts w:ascii="Times New Roman" w:hAnsi="Times New Roman" w:cs="Arial"/>
          <w:color w:val="323233"/>
          <w:lang w:val="de-DE"/>
        </w:rPr>
        <w:t xml:space="preserve"> </w:t>
      </w:r>
      <w:proofErr w:type="spellStart"/>
      <w:r w:rsidRPr="00C91762">
        <w:rPr>
          <w:rFonts w:ascii="Times New Roman" w:hAnsi="Times New Roman" w:cs="Arial"/>
          <w:color w:val="323233"/>
          <w:lang w:val="de-DE"/>
        </w:rPr>
        <w:t>jāatzīmē</w:t>
      </w:r>
      <w:proofErr w:type="spellEnd"/>
      <w:r w:rsidRPr="00C91762">
        <w:rPr>
          <w:rFonts w:ascii="Times New Roman" w:hAnsi="Times New Roman" w:cs="Arial"/>
          <w:color w:val="323233"/>
          <w:lang w:val="de-DE"/>
        </w:rPr>
        <w:t xml:space="preserve">, </w:t>
      </w:r>
      <w:proofErr w:type="spellStart"/>
      <w:r w:rsidRPr="00C91762">
        <w:rPr>
          <w:rFonts w:ascii="Times New Roman" w:hAnsi="Times New Roman" w:cs="Arial"/>
          <w:color w:val="323233"/>
          <w:lang w:val="de-DE"/>
        </w:rPr>
        <w:t>ka</w:t>
      </w:r>
      <w:proofErr w:type="spellEnd"/>
      <w:r w:rsidRPr="00C91762">
        <w:rPr>
          <w:rFonts w:ascii="Times New Roman" w:hAnsi="Times New Roman" w:cs="Arial"/>
          <w:color w:val="323233"/>
          <w:lang w:val="de-DE"/>
        </w:rPr>
        <w:t xml:space="preserve"> </w:t>
      </w:r>
      <w:proofErr w:type="spellStart"/>
      <w:r w:rsidRPr="00C91762">
        <w:rPr>
          <w:rFonts w:ascii="Times New Roman" w:hAnsi="Times New Roman" w:cs="Arial"/>
          <w:color w:val="323233"/>
          <w:lang w:val="de-DE"/>
        </w:rPr>
        <w:t>Anglijā</w:t>
      </w:r>
      <w:proofErr w:type="spellEnd"/>
      <w:r w:rsidRPr="00C91762">
        <w:rPr>
          <w:rFonts w:ascii="Times New Roman" w:hAnsi="Times New Roman" w:cs="Arial"/>
          <w:color w:val="323233"/>
          <w:lang w:val="de-DE"/>
        </w:rPr>
        <w:t xml:space="preserve">, </w:t>
      </w:r>
      <w:proofErr w:type="spellStart"/>
      <w:r w:rsidRPr="00C91762">
        <w:rPr>
          <w:rFonts w:ascii="Times New Roman" w:hAnsi="Times New Roman" w:cs="Arial"/>
          <w:color w:val="323233"/>
          <w:lang w:val="de-DE"/>
        </w:rPr>
        <w:t>tāpat</w:t>
      </w:r>
      <w:proofErr w:type="spellEnd"/>
      <w:r w:rsidRPr="00C91762">
        <w:rPr>
          <w:rFonts w:ascii="Times New Roman" w:hAnsi="Times New Roman" w:cs="Arial"/>
          <w:color w:val="323233"/>
          <w:lang w:val="de-DE"/>
        </w:rPr>
        <w:t xml:space="preserve"> </w:t>
      </w:r>
      <w:proofErr w:type="spellStart"/>
      <w:r w:rsidRPr="00C91762">
        <w:rPr>
          <w:rFonts w:ascii="Times New Roman" w:hAnsi="Times New Roman" w:cs="Arial"/>
          <w:color w:val="323233"/>
          <w:lang w:val="de-DE"/>
        </w:rPr>
        <w:t>kā</w:t>
      </w:r>
      <w:proofErr w:type="spellEnd"/>
      <w:r w:rsidRPr="00C91762">
        <w:rPr>
          <w:rFonts w:ascii="Times New Roman" w:hAnsi="Times New Roman" w:cs="Arial"/>
          <w:color w:val="323233"/>
          <w:lang w:val="de-DE"/>
        </w:rPr>
        <w:t xml:space="preserve"> </w:t>
      </w:r>
      <w:proofErr w:type="spellStart"/>
      <w:r w:rsidRPr="00C91762">
        <w:rPr>
          <w:rFonts w:ascii="Times New Roman" w:hAnsi="Times New Roman" w:cs="Arial"/>
          <w:color w:val="323233"/>
          <w:lang w:val="de-DE"/>
        </w:rPr>
        <w:t>visās</w:t>
      </w:r>
      <w:proofErr w:type="spellEnd"/>
      <w:r w:rsidRPr="00C91762">
        <w:rPr>
          <w:rFonts w:ascii="Times New Roman" w:hAnsi="Times New Roman" w:cs="Arial"/>
          <w:color w:val="323233"/>
          <w:lang w:val="de-DE"/>
        </w:rPr>
        <w:t xml:space="preserve"> </w:t>
      </w:r>
      <w:proofErr w:type="spellStart"/>
      <w:r w:rsidRPr="00C91762">
        <w:rPr>
          <w:rFonts w:ascii="Times New Roman" w:hAnsi="Times New Roman" w:cs="Arial"/>
          <w:color w:val="323233"/>
          <w:lang w:val="de-DE"/>
        </w:rPr>
        <w:t>pārējās</w:t>
      </w:r>
      <w:proofErr w:type="spellEnd"/>
      <w:r w:rsidRPr="00C91762">
        <w:rPr>
          <w:rFonts w:ascii="Times New Roman" w:hAnsi="Times New Roman" w:cs="Arial"/>
          <w:color w:val="323233"/>
          <w:lang w:val="de-DE"/>
        </w:rPr>
        <w:t xml:space="preserve"> </w:t>
      </w:r>
      <w:r w:rsidRPr="00C91762">
        <w:rPr>
          <w:rFonts w:ascii="Times New Roman" w:hAnsi="Times New Roman" w:cs="Arial"/>
          <w:i/>
          <w:color w:val="323233"/>
          <w:lang w:val="de-DE"/>
        </w:rPr>
        <w:t>Common Law</w:t>
      </w:r>
      <w:r w:rsidRPr="00C91762">
        <w:rPr>
          <w:rFonts w:ascii="Times New Roman" w:hAnsi="Times New Roman" w:cs="Arial"/>
          <w:color w:val="323233"/>
          <w:lang w:val="de-DE"/>
        </w:rPr>
        <w:t xml:space="preserve"> </w:t>
      </w:r>
      <w:proofErr w:type="spellStart"/>
      <w:r w:rsidRPr="00C91762">
        <w:rPr>
          <w:rFonts w:ascii="Times New Roman" w:hAnsi="Times New Roman" w:cs="Arial"/>
          <w:color w:val="323233"/>
          <w:lang w:val="de-DE"/>
        </w:rPr>
        <w:t>tiesību</w:t>
      </w:r>
      <w:proofErr w:type="spellEnd"/>
      <w:r w:rsidRPr="00C91762">
        <w:rPr>
          <w:rFonts w:ascii="Times New Roman" w:hAnsi="Times New Roman" w:cs="Arial"/>
          <w:color w:val="323233"/>
          <w:lang w:val="de-DE"/>
        </w:rPr>
        <w:t xml:space="preserve"> </w:t>
      </w:r>
      <w:proofErr w:type="spellStart"/>
      <w:r w:rsidRPr="00C91762">
        <w:rPr>
          <w:rFonts w:ascii="Times New Roman" w:hAnsi="Times New Roman" w:cs="Arial"/>
          <w:color w:val="323233"/>
          <w:lang w:val="de-DE"/>
        </w:rPr>
        <w:t>sistēmas</w:t>
      </w:r>
      <w:proofErr w:type="spellEnd"/>
      <w:r w:rsidRPr="00C91762">
        <w:rPr>
          <w:rFonts w:ascii="Times New Roman" w:hAnsi="Times New Roman" w:cs="Arial"/>
          <w:color w:val="323233"/>
          <w:lang w:val="de-DE"/>
        </w:rPr>
        <w:t xml:space="preserve"> </w:t>
      </w:r>
      <w:proofErr w:type="spellStart"/>
      <w:r w:rsidRPr="00C91762">
        <w:rPr>
          <w:rFonts w:ascii="Times New Roman" w:hAnsi="Times New Roman" w:cs="Arial"/>
          <w:color w:val="323233"/>
          <w:lang w:val="de-DE"/>
        </w:rPr>
        <w:t>valstīs</w:t>
      </w:r>
      <w:proofErr w:type="spellEnd"/>
      <w:r w:rsidRPr="00C91762">
        <w:rPr>
          <w:rFonts w:ascii="Times New Roman" w:hAnsi="Times New Roman" w:cs="Arial"/>
          <w:color w:val="323233"/>
          <w:lang w:val="de-DE"/>
        </w:rPr>
        <w:t>, „</w:t>
      </w:r>
      <w:proofErr w:type="spellStart"/>
      <w:r w:rsidRPr="00C91762">
        <w:rPr>
          <w:rFonts w:ascii="Times New Roman" w:hAnsi="Times New Roman" w:cs="Arial"/>
          <w:color w:val="323233"/>
          <w:lang w:val="de-DE"/>
        </w:rPr>
        <w:t>publiskā</w:t>
      </w:r>
      <w:proofErr w:type="spellEnd"/>
      <w:r w:rsidRPr="00C91762">
        <w:rPr>
          <w:rFonts w:ascii="Times New Roman" w:hAnsi="Times New Roman" w:cs="Arial"/>
          <w:color w:val="323233"/>
          <w:lang w:val="de-DE"/>
        </w:rPr>
        <w:t xml:space="preserve"> </w:t>
      </w:r>
      <w:proofErr w:type="spellStart"/>
      <w:r w:rsidRPr="00C91762">
        <w:rPr>
          <w:rFonts w:ascii="Times New Roman" w:hAnsi="Times New Roman" w:cs="Arial"/>
          <w:color w:val="323233"/>
          <w:lang w:val="de-DE"/>
        </w:rPr>
        <w:t>dokumenta</w:t>
      </w:r>
      <w:proofErr w:type="spellEnd"/>
      <w:r w:rsidRPr="00C91762">
        <w:rPr>
          <w:rFonts w:ascii="Times New Roman" w:hAnsi="Times New Roman" w:cs="Arial"/>
          <w:color w:val="323233"/>
          <w:lang w:val="de-DE"/>
        </w:rPr>
        <w:t xml:space="preserve">“ </w:t>
      </w:r>
      <w:proofErr w:type="spellStart"/>
      <w:r w:rsidRPr="00C91762">
        <w:rPr>
          <w:rFonts w:ascii="Times New Roman" w:hAnsi="Times New Roman" w:cs="Arial"/>
          <w:color w:val="323233"/>
          <w:lang w:val="de-DE"/>
        </w:rPr>
        <w:t>jēdziens</w:t>
      </w:r>
      <w:proofErr w:type="spellEnd"/>
      <w:r w:rsidRPr="00C91762">
        <w:rPr>
          <w:rFonts w:ascii="Times New Roman" w:hAnsi="Times New Roman" w:cs="Arial"/>
          <w:color w:val="323233"/>
          <w:lang w:val="de-DE"/>
        </w:rPr>
        <w:t xml:space="preserve"> </w:t>
      </w:r>
      <w:proofErr w:type="spellStart"/>
      <w:r w:rsidRPr="00C91762">
        <w:rPr>
          <w:rFonts w:ascii="Times New Roman" w:hAnsi="Times New Roman" w:cs="Arial"/>
          <w:color w:val="323233"/>
          <w:lang w:val="de-DE"/>
        </w:rPr>
        <w:t>nav</w:t>
      </w:r>
      <w:proofErr w:type="spellEnd"/>
      <w:r w:rsidRPr="00C91762">
        <w:rPr>
          <w:rFonts w:ascii="Times New Roman" w:hAnsi="Times New Roman" w:cs="Arial"/>
          <w:color w:val="323233"/>
          <w:lang w:val="de-DE"/>
        </w:rPr>
        <w:t xml:space="preserve"> </w:t>
      </w:r>
      <w:proofErr w:type="spellStart"/>
      <w:r w:rsidRPr="00C91762">
        <w:rPr>
          <w:rFonts w:ascii="Times New Roman" w:hAnsi="Times New Roman" w:cs="Arial"/>
          <w:color w:val="323233"/>
          <w:lang w:val="de-DE"/>
        </w:rPr>
        <w:t>pazīstams</w:t>
      </w:r>
      <w:proofErr w:type="spellEnd"/>
      <w:r w:rsidRPr="00C91762">
        <w:rPr>
          <w:rFonts w:ascii="Times New Roman" w:hAnsi="Times New Roman" w:cs="Arial"/>
          <w:color w:val="323233"/>
          <w:lang w:val="de-DE"/>
        </w:rPr>
        <w:t>.</w:t>
      </w:r>
      <w:r w:rsidRPr="00C91762">
        <w:rPr>
          <w:rStyle w:val="FootnoteReference"/>
          <w:rFonts w:ascii="Times New Roman" w:hAnsi="Times New Roman" w:cs="Arial"/>
          <w:color w:val="323233"/>
          <w:lang w:val="de-DE"/>
        </w:rPr>
        <w:footnoteReference w:id="80"/>
      </w:r>
      <w:r w:rsidR="00BF783F" w:rsidRPr="00C91762">
        <w:rPr>
          <w:rFonts w:ascii="Times New Roman" w:hAnsi="Times New Roman" w:cs="Arial"/>
          <w:color w:val="323233"/>
          <w:lang w:val="de-DE"/>
        </w:rPr>
        <w:t xml:space="preserve"> </w:t>
      </w:r>
      <w:r w:rsidR="00BF783F" w:rsidRPr="00C91762">
        <w:rPr>
          <w:rFonts w:ascii="Times New Roman" w:hAnsi="Times New Roman" w:cs="Arial"/>
          <w:color w:val="323233"/>
          <w:lang w:val="lv-LV"/>
        </w:rPr>
        <w:t xml:space="preserve">Tas ir izskaidrojams ar notariāta dažādo vēsturisko attīstību Eiropā, tādējādi novedot pie tā, ka Anglijā notāri sastādīja vien mazsvarīgus dokumentus. Arī Anglijas tiesas nekad nav praksē akceptējušas Anglijas notāru </w:t>
      </w:r>
      <w:r w:rsidR="00BF783F" w:rsidRPr="00C91762">
        <w:rPr>
          <w:rFonts w:ascii="Times New Roman" w:hAnsi="Times New Roman" w:cs="Arial"/>
          <w:color w:val="323233"/>
          <w:lang w:val="lv-LV"/>
        </w:rPr>
        <w:lastRenderedPageBreak/>
        <w:t>sastādīto dokumentu autentiskumu, tādējādi nepiešķirot tiem svarīgu lomu tiesiskajās attiecībās.</w:t>
      </w:r>
      <w:r w:rsidR="00BF783F" w:rsidRPr="00C91762">
        <w:rPr>
          <w:rStyle w:val="FootnoteReference"/>
          <w:rFonts w:ascii="Times New Roman" w:hAnsi="Times New Roman" w:cs="Arial"/>
          <w:color w:val="323233"/>
          <w:lang w:val="lv-LV"/>
        </w:rPr>
        <w:footnoteReference w:id="81"/>
      </w:r>
    </w:p>
    <w:p w14:paraId="76C8B10F" w14:textId="77777777" w:rsidR="00114953" w:rsidRPr="000C7C76" w:rsidRDefault="00114953" w:rsidP="00114953">
      <w:pPr>
        <w:jc w:val="both"/>
        <w:rPr>
          <w:rFonts w:ascii="Times New Roman" w:hAnsi="Times New Roman" w:cs="Arial"/>
          <w:color w:val="323233"/>
          <w:lang w:val="lv-LV"/>
        </w:rPr>
      </w:pPr>
    </w:p>
    <w:p w14:paraId="0C3D7F05" w14:textId="27BA5010" w:rsidR="00114953" w:rsidRPr="000C7C76" w:rsidRDefault="00114953" w:rsidP="00114953">
      <w:pPr>
        <w:ind w:firstLine="708"/>
        <w:jc w:val="both"/>
        <w:rPr>
          <w:rFonts w:asciiTheme="majorBidi" w:hAnsiTheme="majorBidi" w:cstheme="majorBidi"/>
          <w:lang w:val="lv-LV"/>
        </w:rPr>
      </w:pPr>
      <w:r w:rsidRPr="000C7C76">
        <w:rPr>
          <w:rFonts w:ascii="Times New Roman" w:hAnsi="Times New Roman" w:cs="Arial"/>
          <w:color w:val="323233"/>
          <w:lang w:val="lv-LV"/>
        </w:rPr>
        <w:t xml:space="preserve">Interesanti, ka </w:t>
      </w:r>
      <w:r w:rsidRPr="000C7C76">
        <w:rPr>
          <w:rFonts w:ascii="Times New Roman" w:hAnsi="Times New Roman" w:cs="Arial"/>
          <w:b/>
          <w:color w:val="323233"/>
          <w:lang w:val="lv-LV"/>
        </w:rPr>
        <w:t xml:space="preserve">Vācijas </w:t>
      </w:r>
      <w:r w:rsidRPr="000C7C76">
        <w:rPr>
          <w:rFonts w:ascii="Times New Roman" w:hAnsi="Times New Roman" w:cs="Arial"/>
          <w:color w:val="323233"/>
          <w:lang w:val="lv-LV"/>
        </w:rPr>
        <w:t>Civilprocesa likuma (</w:t>
      </w:r>
      <w:r w:rsidRPr="000C7C76">
        <w:rPr>
          <w:rFonts w:ascii="Times New Roman" w:hAnsi="Times New Roman" w:cs="Arial"/>
          <w:i/>
          <w:iCs/>
          <w:color w:val="323233"/>
          <w:lang w:val="lv-LV"/>
        </w:rPr>
        <w:t>ZPO</w:t>
      </w:r>
      <w:r w:rsidRPr="000C7C76">
        <w:rPr>
          <w:rFonts w:ascii="Times New Roman" w:hAnsi="Times New Roman" w:cs="Arial"/>
          <w:color w:val="323233"/>
          <w:lang w:val="lv-LV"/>
        </w:rPr>
        <w:t xml:space="preserve">) 416. un 440.pants pie privātiem dokumentiem (nevis publiskiem dokumentiem) pieskaita privātā kārtībā sastādītus dokumentus, uz kuriem parakstu īstumu apliecinājis notārs. Līdz ar to uz dokumenta esošā paraksta īstums tiek </w:t>
      </w:r>
      <w:proofErr w:type="spellStart"/>
      <w:r w:rsidRPr="000C7C76">
        <w:rPr>
          <w:rFonts w:ascii="Times New Roman" w:hAnsi="Times New Roman" w:cs="Arial"/>
          <w:color w:val="323233"/>
          <w:lang w:val="lv-LV"/>
        </w:rPr>
        <w:t>prezumēts</w:t>
      </w:r>
      <w:proofErr w:type="spellEnd"/>
      <w:r w:rsidRPr="000C7C76">
        <w:rPr>
          <w:rFonts w:ascii="Times New Roman" w:hAnsi="Times New Roman" w:cs="Arial"/>
          <w:color w:val="323233"/>
          <w:lang w:val="lv-LV"/>
        </w:rPr>
        <w:t xml:space="preserve">. Tas pats vērojams arī Latvijas Notariāta likuma </w:t>
      </w:r>
      <w:r w:rsidRPr="000C7C76">
        <w:rPr>
          <w:rFonts w:asciiTheme="majorBidi" w:hAnsiTheme="majorBidi" w:cstheme="majorBidi"/>
          <w:lang w:val="lv-LV"/>
        </w:rPr>
        <w:t xml:space="preserve">116.pantā, kas nosaka, ka dokumenti, uz kuriem apliecināts tikai parakstu īstums, atzīstami par </w:t>
      </w:r>
      <w:r w:rsidRPr="000C7C76">
        <w:rPr>
          <w:rFonts w:asciiTheme="majorBidi" w:hAnsiTheme="majorBidi" w:cstheme="majorBidi"/>
          <w:b/>
          <w:bCs/>
          <w:lang w:val="lv-LV"/>
        </w:rPr>
        <w:t>privātiem dokumentiem</w:t>
      </w:r>
      <w:r w:rsidRPr="000C7C76">
        <w:rPr>
          <w:rFonts w:asciiTheme="majorBidi" w:hAnsiTheme="majorBidi" w:cstheme="majorBidi"/>
          <w:lang w:val="lv-LV"/>
        </w:rPr>
        <w:t>, un tas atzīmējams apliecinājumā. Tātad, Latvijā notāru izdarītos apliecinājumus principā uzskata par publiskiem dokumentiem (sk</w:t>
      </w:r>
      <w:r w:rsidR="00573847" w:rsidRPr="000C7C76">
        <w:rPr>
          <w:rFonts w:asciiTheme="majorBidi" w:hAnsiTheme="majorBidi" w:cstheme="majorBidi"/>
          <w:lang w:val="lv-LV"/>
        </w:rPr>
        <w:t>at. Notariāta likuma 108.p.</w:t>
      </w:r>
      <w:r w:rsidRPr="000C7C76">
        <w:rPr>
          <w:rFonts w:asciiTheme="majorBidi" w:hAnsiTheme="majorBidi" w:cstheme="majorBidi"/>
          <w:lang w:val="lv-LV"/>
        </w:rPr>
        <w:t xml:space="preserve"> esošo uzskaitījumu). Izņēmums ir dokumenti, uz kuriem apliecināts tikai parakstu īstums; šie dokumenti Latvijā uzskatāmi par privātiem dokumentiem (</w:t>
      </w:r>
      <w:r w:rsidR="00573847" w:rsidRPr="000C7C76">
        <w:rPr>
          <w:rFonts w:asciiTheme="majorBidi" w:hAnsiTheme="majorBidi" w:cstheme="majorBidi"/>
          <w:lang w:val="lv-LV"/>
        </w:rPr>
        <w:t>skat. Notariāta likuma 116.p.</w:t>
      </w:r>
      <w:r w:rsidRPr="000C7C76">
        <w:rPr>
          <w:rFonts w:asciiTheme="majorBidi" w:hAnsiTheme="majorBidi" w:cstheme="majorBidi"/>
          <w:lang w:val="lv-LV"/>
        </w:rPr>
        <w:t xml:space="preserve">). </w:t>
      </w:r>
    </w:p>
    <w:p w14:paraId="308BDEC4" w14:textId="77777777" w:rsidR="00114953" w:rsidRPr="000C7C76" w:rsidRDefault="00114953" w:rsidP="00114953">
      <w:pPr>
        <w:widowControl w:val="0"/>
        <w:autoSpaceDE w:val="0"/>
        <w:autoSpaceDN w:val="0"/>
        <w:adjustRightInd w:val="0"/>
        <w:jc w:val="both"/>
        <w:rPr>
          <w:rFonts w:ascii="Times New Roman" w:hAnsi="Times New Roman" w:cs="Arial"/>
          <w:color w:val="323233"/>
          <w:lang w:val="lv-LV"/>
        </w:rPr>
      </w:pPr>
    </w:p>
    <w:p w14:paraId="00EDD7DA" w14:textId="77777777" w:rsidR="00114953" w:rsidRPr="000C7C76" w:rsidRDefault="00114953" w:rsidP="00114953">
      <w:pPr>
        <w:ind w:firstLine="708"/>
        <w:jc w:val="both"/>
        <w:rPr>
          <w:rFonts w:asciiTheme="majorBidi" w:hAnsiTheme="majorBidi" w:cstheme="majorBidi"/>
          <w:lang w:val="lv-LV"/>
        </w:rPr>
      </w:pPr>
      <w:r w:rsidRPr="000C7C76">
        <w:rPr>
          <w:rFonts w:asciiTheme="majorBidi" w:hAnsiTheme="majorBidi" w:cstheme="majorBidi"/>
          <w:b/>
          <w:bCs/>
          <w:lang w:val="lv-LV"/>
        </w:rPr>
        <w:t>Notariālais akts</w:t>
      </w:r>
      <w:r w:rsidRPr="000C7C76">
        <w:rPr>
          <w:rFonts w:asciiTheme="majorBidi" w:hAnsiTheme="majorBidi" w:cstheme="majorBidi"/>
          <w:lang w:val="lv-LV"/>
        </w:rPr>
        <w:t xml:space="preserve"> saskaņā ar Notariāta likuma 82.pantu ir akts, kuru taisa zvērināts notārs, ierakstot to aktu grāmatā. </w:t>
      </w:r>
      <w:r w:rsidRPr="000C7C76">
        <w:rPr>
          <w:rFonts w:ascii="Times New Roman" w:hAnsi="Times New Roman" w:cs="Arial"/>
          <w:color w:val="323233"/>
          <w:lang w:val="lv-LV"/>
        </w:rPr>
        <w:t xml:space="preserve">Tāpat kā </w:t>
      </w:r>
      <w:r w:rsidRPr="000C7C76">
        <w:rPr>
          <w:rFonts w:ascii="Times New Roman" w:hAnsi="Times New Roman" w:cs="Arial"/>
          <w:b/>
          <w:color w:val="323233"/>
          <w:lang w:val="lv-LV"/>
        </w:rPr>
        <w:t>Vācijā</w:t>
      </w:r>
      <w:r w:rsidRPr="000C7C76">
        <w:rPr>
          <w:rFonts w:ascii="Times New Roman" w:hAnsi="Times New Roman" w:cs="Arial"/>
          <w:color w:val="323233"/>
          <w:lang w:val="lv-LV"/>
        </w:rPr>
        <w:t xml:space="preserve">, arī </w:t>
      </w:r>
      <w:r w:rsidRPr="000C7C76">
        <w:rPr>
          <w:rFonts w:ascii="Times New Roman" w:hAnsi="Times New Roman" w:cs="Arial"/>
          <w:b/>
          <w:color w:val="323233"/>
          <w:lang w:val="lv-LV"/>
        </w:rPr>
        <w:t>Latvijas</w:t>
      </w:r>
      <w:r w:rsidRPr="000C7C76">
        <w:rPr>
          <w:rFonts w:ascii="Times New Roman" w:hAnsi="Times New Roman" w:cs="Arial"/>
          <w:color w:val="323233"/>
          <w:lang w:val="lv-LV"/>
        </w:rPr>
        <w:t xml:space="preserve"> civilprocesa tiesībās notariālais akts viennozīmīgi tiek uzskatīts par publisku dokumentu, kuram ir </w:t>
      </w:r>
      <w:r w:rsidRPr="000C7C76">
        <w:rPr>
          <w:rFonts w:ascii="Times New Roman" w:hAnsi="Times New Roman" w:cs="Arial"/>
          <w:i/>
          <w:iCs/>
          <w:color w:val="323233"/>
          <w:lang w:val="lv-LV"/>
        </w:rPr>
        <w:t xml:space="preserve">a </w:t>
      </w:r>
      <w:proofErr w:type="spellStart"/>
      <w:r w:rsidRPr="000C7C76">
        <w:rPr>
          <w:rFonts w:ascii="Times New Roman" w:hAnsi="Times New Roman" w:cs="Arial"/>
          <w:i/>
          <w:iCs/>
          <w:color w:val="323233"/>
          <w:lang w:val="lv-LV"/>
        </w:rPr>
        <w:t>priori</w:t>
      </w:r>
      <w:proofErr w:type="spellEnd"/>
      <w:r w:rsidRPr="000C7C76">
        <w:rPr>
          <w:rFonts w:ascii="Times New Roman" w:hAnsi="Times New Roman" w:cs="Arial"/>
          <w:color w:val="323233"/>
          <w:lang w:val="lv-LV"/>
        </w:rPr>
        <w:t xml:space="preserve">  pierādījuma spēks (</w:t>
      </w:r>
      <w:proofErr w:type="spellStart"/>
      <w:r w:rsidRPr="000C7C76">
        <w:rPr>
          <w:rFonts w:ascii="Times New Roman" w:hAnsi="Times New Roman" w:cs="Arial"/>
          <w:color w:val="323233"/>
          <w:lang w:val="lv-LV"/>
        </w:rPr>
        <w:t>latīn</w:t>
      </w:r>
      <w:proofErr w:type="spellEnd"/>
      <w:r w:rsidRPr="000C7C76">
        <w:rPr>
          <w:rFonts w:ascii="Times New Roman" w:hAnsi="Times New Roman" w:cs="Arial"/>
          <w:color w:val="323233"/>
          <w:lang w:val="lv-LV"/>
        </w:rPr>
        <w:t xml:space="preserve">. – </w:t>
      </w:r>
      <w:proofErr w:type="spellStart"/>
      <w:r w:rsidRPr="000C7C76">
        <w:rPr>
          <w:rFonts w:ascii="Times New Roman" w:hAnsi="Times New Roman" w:cs="Arial"/>
          <w:i/>
          <w:iCs/>
          <w:color w:val="323233"/>
          <w:lang w:val="lv-LV"/>
        </w:rPr>
        <w:t>scripta</w:t>
      </w:r>
      <w:proofErr w:type="spellEnd"/>
      <w:r w:rsidRPr="000C7C76">
        <w:rPr>
          <w:rFonts w:ascii="Times New Roman" w:hAnsi="Times New Roman" w:cs="Arial"/>
          <w:i/>
          <w:iCs/>
          <w:color w:val="323233"/>
          <w:lang w:val="lv-LV"/>
        </w:rPr>
        <w:t xml:space="preserve"> </w:t>
      </w:r>
      <w:proofErr w:type="spellStart"/>
      <w:r w:rsidRPr="000C7C76">
        <w:rPr>
          <w:rFonts w:ascii="Times New Roman" w:hAnsi="Times New Roman" w:cs="Arial"/>
          <w:i/>
          <w:iCs/>
          <w:color w:val="323233"/>
          <w:lang w:val="lv-LV"/>
        </w:rPr>
        <w:t>publica</w:t>
      </w:r>
      <w:proofErr w:type="spellEnd"/>
      <w:r w:rsidRPr="000C7C76">
        <w:rPr>
          <w:rFonts w:ascii="Times New Roman" w:hAnsi="Times New Roman" w:cs="Arial"/>
          <w:i/>
          <w:iCs/>
          <w:color w:val="323233"/>
          <w:lang w:val="lv-LV"/>
        </w:rPr>
        <w:t xml:space="preserve"> </w:t>
      </w:r>
      <w:proofErr w:type="spellStart"/>
      <w:r w:rsidRPr="000C7C76">
        <w:rPr>
          <w:rFonts w:ascii="Times New Roman" w:hAnsi="Times New Roman" w:cs="Arial"/>
          <w:i/>
          <w:iCs/>
          <w:color w:val="323233"/>
          <w:lang w:val="lv-LV"/>
        </w:rPr>
        <w:t>probant</w:t>
      </w:r>
      <w:proofErr w:type="spellEnd"/>
      <w:r w:rsidRPr="000C7C76">
        <w:rPr>
          <w:rFonts w:ascii="Times New Roman" w:hAnsi="Times New Roman" w:cs="Arial"/>
          <w:i/>
          <w:iCs/>
          <w:color w:val="323233"/>
          <w:lang w:val="lv-LV"/>
        </w:rPr>
        <w:t xml:space="preserve"> se </w:t>
      </w:r>
      <w:proofErr w:type="spellStart"/>
      <w:r w:rsidRPr="000C7C76">
        <w:rPr>
          <w:rFonts w:ascii="Times New Roman" w:hAnsi="Times New Roman" w:cs="Arial"/>
          <w:i/>
          <w:iCs/>
          <w:color w:val="323233"/>
          <w:lang w:val="lv-LV"/>
        </w:rPr>
        <w:t>ipsa</w:t>
      </w:r>
      <w:proofErr w:type="spellEnd"/>
      <w:r w:rsidRPr="000C7C76">
        <w:rPr>
          <w:rFonts w:ascii="Times New Roman" w:hAnsi="Times New Roman" w:cs="Arial"/>
          <w:color w:val="323233"/>
          <w:lang w:val="lv-LV"/>
        </w:rPr>
        <w:t>). Par to liecina arī CPL 539.panta otrās daļas 5.punkts saskaņā ar kuru spriedumu izpildes kārtībā ir izpildāmi Notariāta likuma D</w:t>
      </w:r>
      <w:r w:rsidRPr="000C7C76">
        <w:rPr>
          <w:rFonts w:ascii="Times New Roman" w:hAnsi="Times New Roman" w:cs="Arial"/>
          <w:color w:val="323233"/>
          <w:vertAlign w:val="superscript"/>
          <w:lang w:val="lv-LV"/>
        </w:rPr>
        <w:t>1</w:t>
      </w:r>
      <w:r w:rsidRPr="000C7C76">
        <w:rPr>
          <w:rFonts w:ascii="Times New Roman" w:hAnsi="Times New Roman" w:cs="Arial"/>
          <w:color w:val="323233"/>
          <w:lang w:val="lv-LV"/>
        </w:rPr>
        <w:t xml:space="preserve"> sadaļā noteiktajā kārtībā taisīti notariālie akti. Savukārt CPL 540.panta 16.punkts pie izpildu dokumentiem pieskaita Notariāta likuma D</w:t>
      </w:r>
      <w:r w:rsidRPr="000C7C76">
        <w:rPr>
          <w:rFonts w:ascii="Times New Roman" w:hAnsi="Times New Roman" w:cs="Arial"/>
          <w:color w:val="323233"/>
          <w:vertAlign w:val="superscript"/>
          <w:lang w:val="lv-LV"/>
        </w:rPr>
        <w:t>1</w:t>
      </w:r>
      <w:r w:rsidRPr="000C7C76">
        <w:rPr>
          <w:rFonts w:ascii="Times New Roman" w:hAnsi="Times New Roman" w:cs="Arial"/>
          <w:color w:val="323233"/>
          <w:lang w:val="lv-LV"/>
        </w:rPr>
        <w:t xml:space="preserve"> sadaļā noteiktajā kārtībā izsniegtus notariālos izpildu rakstus.</w:t>
      </w:r>
    </w:p>
    <w:p w14:paraId="3F7E8715" w14:textId="77777777" w:rsidR="00114953" w:rsidRPr="000C7C76" w:rsidRDefault="00114953" w:rsidP="00114953">
      <w:pPr>
        <w:widowControl w:val="0"/>
        <w:autoSpaceDE w:val="0"/>
        <w:autoSpaceDN w:val="0"/>
        <w:adjustRightInd w:val="0"/>
        <w:jc w:val="both"/>
        <w:rPr>
          <w:rFonts w:ascii="Times New Roman" w:hAnsi="Times New Roman" w:cs="Arial"/>
          <w:color w:val="323233"/>
          <w:lang w:val="lv-LV"/>
        </w:rPr>
      </w:pPr>
    </w:p>
    <w:p w14:paraId="74111601" w14:textId="0B1BBF0B" w:rsidR="00114953" w:rsidRPr="000C7C76" w:rsidRDefault="00114953" w:rsidP="00114953">
      <w:pPr>
        <w:widowControl w:val="0"/>
        <w:autoSpaceDE w:val="0"/>
        <w:autoSpaceDN w:val="0"/>
        <w:adjustRightInd w:val="0"/>
        <w:ind w:firstLine="708"/>
        <w:jc w:val="both"/>
        <w:rPr>
          <w:rFonts w:ascii="Times New Roman" w:hAnsi="Times New Roman" w:cs="Arial"/>
          <w:color w:val="323233"/>
          <w:lang w:val="lv-LV"/>
        </w:rPr>
      </w:pPr>
      <w:r w:rsidRPr="000C7C76">
        <w:rPr>
          <w:rFonts w:ascii="Times New Roman" w:hAnsi="Times New Roman" w:cs="Arial"/>
          <w:b/>
          <w:color w:val="323233"/>
          <w:lang w:val="lv-LV"/>
        </w:rPr>
        <w:t>Vācijas</w:t>
      </w:r>
      <w:r w:rsidRPr="000C7C76">
        <w:rPr>
          <w:rFonts w:ascii="Times New Roman" w:hAnsi="Times New Roman" w:cs="Arial"/>
          <w:color w:val="323233"/>
          <w:lang w:val="lv-LV"/>
        </w:rPr>
        <w:t xml:space="preserve"> Civilprocesa likumā (</w:t>
      </w:r>
      <w:r w:rsidRPr="000C7C76">
        <w:rPr>
          <w:rFonts w:ascii="Times New Roman" w:hAnsi="Times New Roman" w:cs="Arial"/>
          <w:i/>
          <w:iCs/>
          <w:color w:val="323233"/>
          <w:lang w:val="lv-LV"/>
        </w:rPr>
        <w:t>ZPO</w:t>
      </w:r>
      <w:r w:rsidRPr="000C7C76">
        <w:rPr>
          <w:rFonts w:ascii="Times New Roman" w:hAnsi="Times New Roman" w:cs="Arial"/>
          <w:color w:val="323233"/>
          <w:lang w:val="lv-LV"/>
        </w:rPr>
        <w:t xml:space="preserve">) ir atsevišķi noteikts nacionālo publisko dokumentu un ārvalstu publisko dokumentu </w:t>
      </w:r>
      <w:r w:rsidRPr="000C7C76">
        <w:rPr>
          <w:rFonts w:ascii="Times New Roman" w:hAnsi="Times New Roman" w:cs="Arial"/>
          <w:color w:val="323233"/>
          <w:u w:val="single"/>
          <w:lang w:val="lv-LV"/>
        </w:rPr>
        <w:t>īstums</w:t>
      </w:r>
      <w:r w:rsidRPr="000C7C76">
        <w:rPr>
          <w:rFonts w:ascii="Times New Roman" w:hAnsi="Times New Roman" w:cs="Arial"/>
          <w:color w:val="323233"/>
          <w:lang w:val="lv-LV"/>
        </w:rPr>
        <w:t>. No Vācijas Civilprocesa likuma (</w:t>
      </w:r>
      <w:r w:rsidRPr="000C7C76">
        <w:rPr>
          <w:rFonts w:ascii="Times New Roman" w:hAnsi="Times New Roman" w:cs="Arial"/>
          <w:i/>
          <w:iCs/>
          <w:color w:val="323233"/>
          <w:lang w:val="lv-LV"/>
        </w:rPr>
        <w:t>ZPO</w:t>
      </w:r>
      <w:r w:rsidRPr="000C7C76">
        <w:rPr>
          <w:rFonts w:ascii="Times New Roman" w:hAnsi="Times New Roman" w:cs="Arial"/>
          <w:color w:val="323233"/>
          <w:lang w:val="lv-LV"/>
        </w:rPr>
        <w:t xml:space="preserve">) 437.panta izriet, ka nacionālajiem dokumentiem, kuru formu un saturu sastādījusi publiskās varas iestāde vai ar publisku ticamību apveltīta persona, ir patiesības (īstuma) prezumpcija. Taču, ja </w:t>
      </w:r>
      <w:r w:rsidRPr="000C7C76">
        <w:rPr>
          <w:rFonts w:ascii="Times New Roman" w:hAnsi="Times New Roman" w:cs="Arial"/>
          <w:color w:val="323233"/>
          <w:u w:val="single"/>
          <w:lang w:val="lv-LV"/>
        </w:rPr>
        <w:t>tiesa</w:t>
      </w:r>
      <w:r w:rsidRPr="000C7C76">
        <w:rPr>
          <w:rFonts w:ascii="Times New Roman" w:hAnsi="Times New Roman" w:cs="Arial"/>
          <w:color w:val="323233"/>
          <w:lang w:val="lv-LV"/>
        </w:rPr>
        <w:t xml:space="preserve"> šī dokumenta īstumu apšauba, tā var arī pēc savas iniciatīvas (</w:t>
      </w:r>
      <w:proofErr w:type="spellStart"/>
      <w:r w:rsidRPr="000C7C76">
        <w:rPr>
          <w:rFonts w:ascii="Times New Roman" w:hAnsi="Times New Roman" w:cs="Arial"/>
          <w:i/>
          <w:iCs/>
          <w:color w:val="323233"/>
          <w:lang w:val="lv-LV"/>
        </w:rPr>
        <w:t>ex</w:t>
      </w:r>
      <w:proofErr w:type="spellEnd"/>
      <w:r w:rsidRPr="000C7C76">
        <w:rPr>
          <w:rFonts w:ascii="Times New Roman" w:hAnsi="Times New Roman" w:cs="Arial"/>
          <w:i/>
          <w:iCs/>
          <w:color w:val="323233"/>
          <w:lang w:val="lv-LV"/>
        </w:rPr>
        <w:t xml:space="preserve"> </w:t>
      </w:r>
      <w:proofErr w:type="spellStart"/>
      <w:r w:rsidRPr="000C7C76">
        <w:rPr>
          <w:rFonts w:ascii="Times New Roman" w:hAnsi="Times New Roman" w:cs="Arial"/>
          <w:i/>
          <w:iCs/>
          <w:color w:val="323233"/>
          <w:lang w:val="lv-LV"/>
        </w:rPr>
        <w:t>officio</w:t>
      </w:r>
      <w:proofErr w:type="spellEnd"/>
      <w:r w:rsidRPr="000C7C76">
        <w:rPr>
          <w:rFonts w:ascii="Times New Roman" w:hAnsi="Times New Roman" w:cs="Arial"/>
          <w:color w:val="323233"/>
          <w:lang w:val="lv-LV"/>
        </w:rPr>
        <w:t>) pieprasīt attiecīgajai iestādei vai personai skaidrojumu par dokumenta īstumu. Attiecībā uz ārvalstu publisko dokumentu satura īstumu Vācijas Civilprocesa likuma (</w:t>
      </w:r>
      <w:r w:rsidRPr="000C7C76">
        <w:rPr>
          <w:rFonts w:ascii="Times New Roman" w:hAnsi="Times New Roman" w:cs="Arial"/>
          <w:i/>
          <w:iCs/>
          <w:color w:val="323233"/>
          <w:lang w:val="lv-LV"/>
        </w:rPr>
        <w:t>ZPO</w:t>
      </w:r>
      <w:r w:rsidRPr="000C7C76">
        <w:rPr>
          <w:rFonts w:ascii="Times New Roman" w:hAnsi="Times New Roman" w:cs="Arial"/>
          <w:color w:val="323233"/>
          <w:lang w:val="lv-LV"/>
        </w:rPr>
        <w:t xml:space="preserve">) 438.pants paredz, ka par to īstumu tiesa lemj pati katrā konkrētā lietā. Vienlaicīgi par šāda publiska dokumenta </w:t>
      </w:r>
      <w:r w:rsidRPr="000C7C76">
        <w:rPr>
          <w:rFonts w:ascii="Times New Roman" w:hAnsi="Times New Roman" w:cs="Arial"/>
          <w:color w:val="323233"/>
          <w:u w:val="single"/>
          <w:lang w:val="lv-LV"/>
        </w:rPr>
        <w:t>īstuma</w:t>
      </w:r>
      <w:r w:rsidRPr="000C7C76">
        <w:rPr>
          <w:rFonts w:ascii="Times New Roman" w:hAnsi="Times New Roman" w:cs="Arial"/>
          <w:color w:val="323233"/>
          <w:lang w:val="lv-LV"/>
        </w:rPr>
        <w:t xml:space="preserve"> </w:t>
      </w:r>
      <w:r w:rsidR="00297BED">
        <w:rPr>
          <w:rFonts w:ascii="Times New Roman" w:hAnsi="Times New Roman" w:cs="Arial"/>
          <w:color w:val="323233"/>
          <w:lang w:val="lv-LV"/>
        </w:rPr>
        <w:t xml:space="preserve">(bet ne satura pareizības) </w:t>
      </w:r>
      <w:proofErr w:type="spellStart"/>
      <w:r w:rsidRPr="000C7C76">
        <w:rPr>
          <w:rFonts w:ascii="Times New Roman" w:hAnsi="Times New Roman" w:cs="Arial"/>
          <w:i/>
          <w:iCs/>
          <w:color w:val="323233"/>
          <w:lang w:val="lv-LV"/>
        </w:rPr>
        <w:t>prima</w:t>
      </w:r>
      <w:proofErr w:type="spellEnd"/>
      <w:r w:rsidRPr="000C7C76">
        <w:rPr>
          <w:rFonts w:ascii="Times New Roman" w:hAnsi="Times New Roman" w:cs="Arial"/>
          <w:i/>
          <w:iCs/>
          <w:color w:val="323233"/>
          <w:lang w:val="lv-LV"/>
        </w:rPr>
        <w:t xml:space="preserve"> </w:t>
      </w:r>
      <w:proofErr w:type="spellStart"/>
      <w:r w:rsidRPr="000C7C76">
        <w:rPr>
          <w:rFonts w:ascii="Times New Roman" w:hAnsi="Times New Roman" w:cs="Arial"/>
          <w:i/>
          <w:iCs/>
          <w:color w:val="323233"/>
          <w:lang w:val="lv-LV"/>
        </w:rPr>
        <w:t>facie</w:t>
      </w:r>
      <w:proofErr w:type="spellEnd"/>
      <w:r w:rsidRPr="000C7C76">
        <w:rPr>
          <w:rFonts w:ascii="Times New Roman" w:hAnsi="Times New Roman" w:cs="Arial"/>
          <w:color w:val="323233"/>
          <w:lang w:val="lv-LV"/>
        </w:rPr>
        <w:t xml:space="preserve">-pierādījumu tiek uzskatīta dokumenta legalizācija, ko veicis konsuls (t.sk.  </w:t>
      </w:r>
      <w:proofErr w:type="spellStart"/>
      <w:r w:rsidRPr="000C7C76">
        <w:rPr>
          <w:rFonts w:ascii="Times New Roman" w:hAnsi="Times New Roman" w:cs="Arial"/>
          <w:i/>
          <w:iCs/>
          <w:color w:val="323233"/>
          <w:lang w:val="lv-LV"/>
        </w:rPr>
        <w:t>apostille</w:t>
      </w:r>
      <w:proofErr w:type="spellEnd"/>
      <w:r w:rsidRPr="000C7C76">
        <w:rPr>
          <w:rFonts w:ascii="Times New Roman" w:hAnsi="Times New Roman" w:cs="Arial"/>
          <w:color w:val="323233"/>
          <w:lang w:val="lv-LV"/>
        </w:rPr>
        <w:t xml:space="preserve">). </w:t>
      </w:r>
    </w:p>
    <w:p w14:paraId="4E8626D0" w14:textId="77777777" w:rsidR="00114953" w:rsidRPr="000C7C76" w:rsidRDefault="00114953" w:rsidP="00114953">
      <w:pPr>
        <w:widowControl w:val="0"/>
        <w:autoSpaceDE w:val="0"/>
        <w:autoSpaceDN w:val="0"/>
        <w:adjustRightInd w:val="0"/>
        <w:ind w:firstLine="708"/>
        <w:jc w:val="both"/>
        <w:rPr>
          <w:rFonts w:ascii="Times New Roman" w:hAnsi="Times New Roman" w:cs="Arial"/>
          <w:color w:val="323233"/>
          <w:lang w:val="lv-LV"/>
        </w:rPr>
      </w:pPr>
    </w:p>
    <w:p w14:paraId="0B8BDC8C" w14:textId="6F8693B1" w:rsidR="00114953" w:rsidRPr="000C7C76" w:rsidRDefault="00114953" w:rsidP="00114953">
      <w:pPr>
        <w:widowControl w:val="0"/>
        <w:autoSpaceDE w:val="0"/>
        <w:autoSpaceDN w:val="0"/>
        <w:adjustRightInd w:val="0"/>
        <w:ind w:firstLine="708"/>
        <w:jc w:val="both"/>
        <w:rPr>
          <w:rFonts w:asciiTheme="majorBidi" w:hAnsiTheme="majorBidi" w:cstheme="majorBidi"/>
          <w:bCs/>
          <w:color w:val="323233"/>
          <w:lang w:val="lv-LV"/>
        </w:rPr>
      </w:pPr>
      <w:r w:rsidRPr="000C7C76">
        <w:rPr>
          <w:rFonts w:asciiTheme="majorBidi" w:hAnsiTheme="majorBidi" w:cstheme="majorBidi"/>
          <w:bCs/>
          <w:color w:val="323233"/>
          <w:lang w:val="lv-LV"/>
        </w:rPr>
        <w:t xml:space="preserve">Kā jau tika minēts, saskaņā ar </w:t>
      </w:r>
      <w:r w:rsidR="00297BED" w:rsidRPr="000C7C76">
        <w:rPr>
          <w:rFonts w:asciiTheme="majorBidi" w:hAnsiTheme="majorBidi" w:cstheme="majorBidi"/>
          <w:bCs/>
          <w:color w:val="323233"/>
          <w:lang w:val="lv-LV"/>
        </w:rPr>
        <w:t xml:space="preserve">Latvijas </w:t>
      </w:r>
      <w:r w:rsidRPr="000C7C76">
        <w:rPr>
          <w:rFonts w:asciiTheme="majorBidi" w:hAnsiTheme="majorBidi" w:cstheme="majorBidi"/>
          <w:bCs/>
          <w:color w:val="323233"/>
          <w:lang w:val="lv-LV"/>
        </w:rPr>
        <w:t xml:space="preserve">Notariāta likuma 83.panta otro daļu zvērināts notārs, taisot notariālo aktu, drīkst pieņemt </w:t>
      </w:r>
      <w:r w:rsidRPr="000C7C76">
        <w:rPr>
          <w:rFonts w:asciiTheme="majorBidi" w:hAnsiTheme="majorBidi" w:cstheme="majorBidi"/>
          <w:bCs/>
          <w:color w:val="323233"/>
          <w:u w:val="single"/>
          <w:lang w:val="lv-LV"/>
        </w:rPr>
        <w:t>tikai</w:t>
      </w:r>
      <w:r w:rsidRPr="000C7C76">
        <w:rPr>
          <w:rFonts w:asciiTheme="majorBidi" w:hAnsiTheme="majorBidi" w:cstheme="majorBidi"/>
          <w:bCs/>
          <w:color w:val="323233"/>
          <w:lang w:val="lv-LV"/>
        </w:rPr>
        <w:t xml:space="preserve"> publiskus dokumentus (t.sk. arī ārvalstīs izdotus publiskos dokumentus). Savukārt saskaņā ar Dokumentu legalizācijas likuma 10.panta otro daļu īstenojot valsts publisko pārvaldi, valsts pārvaldes, tiesu un likumdevēja iestādes, citas iestādes un personas drīkst pieņemt tikai </w:t>
      </w:r>
      <w:r w:rsidRPr="000C7C76">
        <w:rPr>
          <w:rFonts w:asciiTheme="majorBidi" w:hAnsiTheme="majorBidi" w:cstheme="majorBidi"/>
          <w:bCs/>
          <w:color w:val="323233"/>
          <w:u w:val="single"/>
          <w:lang w:val="lv-LV"/>
        </w:rPr>
        <w:t>legalizētu</w:t>
      </w:r>
      <w:r w:rsidRPr="000C7C76">
        <w:rPr>
          <w:rFonts w:asciiTheme="majorBidi" w:hAnsiTheme="majorBidi" w:cstheme="majorBidi"/>
          <w:bCs/>
          <w:color w:val="323233"/>
          <w:lang w:val="lv-LV"/>
        </w:rPr>
        <w:t xml:space="preserve"> ārvalstī izsniegtu </w:t>
      </w:r>
      <w:r w:rsidRPr="000C7C76">
        <w:rPr>
          <w:rFonts w:asciiTheme="majorBidi" w:hAnsiTheme="majorBidi" w:cstheme="majorBidi"/>
          <w:bCs/>
          <w:color w:val="323233"/>
          <w:u w:val="single"/>
          <w:lang w:val="lv-LV"/>
        </w:rPr>
        <w:t>publisku dokumentu</w:t>
      </w:r>
      <w:r w:rsidR="00297BED" w:rsidRPr="000C7C76">
        <w:rPr>
          <w:rFonts w:asciiTheme="majorBidi" w:hAnsiTheme="majorBidi" w:cstheme="majorBidi"/>
          <w:bCs/>
          <w:color w:val="323233"/>
          <w:lang w:val="lv-LV"/>
        </w:rPr>
        <w:t xml:space="preserve"> (ja vien likums vai starptautiskais līgums nav atcēlis legalizācijas prasību ar attiecīgo valsti).</w:t>
      </w:r>
    </w:p>
    <w:p w14:paraId="0F989851" w14:textId="77777777" w:rsidR="00114953" w:rsidRPr="000C7C76" w:rsidRDefault="00114953" w:rsidP="00114953">
      <w:pPr>
        <w:widowControl w:val="0"/>
        <w:autoSpaceDE w:val="0"/>
        <w:autoSpaceDN w:val="0"/>
        <w:adjustRightInd w:val="0"/>
        <w:jc w:val="both"/>
        <w:rPr>
          <w:rFonts w:asciiTheme="majorBidi" w:hAnsiTheme="majorBidi" w:cstheme="majorBidi"/>
          <w:bCs/>
          <w:color w:val="323233"/>
          <w:lang w:val="lv-LV"/>
        </w:rPr>
      </w:pPr>
    </w:p>
    <w:p w14:paraId="6C180A67" w14:textId="77777777" w:rsidR="00114953" w:rsidRPr="000C7C76" w:rsidRDefault="00114953" w:rsidP="00114953">
      <w:pPr>
        <w:widowControl w:val="0"/>
        <w:autoSpaceDE w:val="0"/>
        <w:autoSpaceDN w:val="0"/>
        <w:adjustRightInd w:val="0"/>
        <w:ind w:firstLine="708"/>
        <w:jc w:val="both"/>
        <w:rPr>
          <w:rFonts w:asciiTheme="majorBidi" w:hAnsiTheme="majorBidi" w:cstheme="majorBidi"/>
          <w:b/>
          <w:color w:val="323233"/>
          <w:lang w:val="lv-LV"/>
        </w:rPr>
      </w:pPr>
    </w:p>
    <w:p w14:paraId="71540D59" w14:textId="77777777" w:rsidR="00114953" w:rsidRPr="000C7C76" w:rsidRDefault="00114953" w:rsidP="00114953">
      <w:pPr>
        <w:widowControl w:val="0"/>
        <w:autoSpaceDE w:val="0"/>
        <w:autoSpaceDN w:val="0"/>
        <w:adjustRightInd w:val="0"/>
        <w:ind w:firstLine="708"/>
        <w:jc w:val="center"/>
        <w:rPr>
          <w:rFonts w:asciiTheme="majorBidi" w:hAnsiTheme="majorBidi" w:cstheme="majorBidi"/>
          <w:b/>
          <w:color w:val="008000"/>
          <w:lang w:val="lv-LV"/>
        </w:rPr>
      </w:pPr>
    </w:p>
    <w:p w14:paraId="4090F9F5" w14:textId="77777777" w:rsidR="00114953" w:rsidRPr="000C7C76" w:rsidRDefault="00114953" w:rsidP="00114953">
      <w:pPr>
        <w:widowControl w:val="0"/>
        <w:autoSpaceDE w:val="0"/>
        <w:autoSpaceDN w:val="0"/>
        <w:adjustRightInd w:val="0"/>
        <w:ind w:firstLine="708"/>
        <w:jc w:val="center"/>
        <w:rPr>
          <w:rFonts w:asciiTheme="majorBidi" w:hAnsiTheme="majorBidi" w:cstheme="majorBidi"/>
          <w:b/>
          <w:lang w:val="lv-LV"/>
        </w:rPr>
      </w:pPr>
      <w:r w:rsidRPr="000C7C76">
        <w:rPr>
          <w:rFonts w:asciiTheme="majorBidi" w:hAnsiTheme="majorBidi" w:cstheme="majorBidi"/>
          <w:b/>
          <w:lang w:val="lv-LV"/>
        </w:rPr>
        <w:t>Dokumentu legalizācijas jēdziens</w:t>
      </w:r>
    </w:p>
    <w:p w14:paraId="14D1F1C4" w14:textId="77777777" w:rsidR="00114953" w:rsidRPr="000C7C76" w:rsidRDefault="00114953" w:rsidP="00114953">
      <w:pPr>
        <w:widowControl w:val="0"/>
        <w:autoSpaceDE w:val="0"/>
        <w:autoSpaceDN w:val="0"/>
        <w:adjustRightInd w:val="0"/>
        <w:ind w:firstLine="708"/>
        <w:jc w:val="both"/>
        <w:rPr>
          <w:rFonts w:asciiTheme="majorBidi" w:hAnsiTheme="majorBidi" w:cstheme="majorBidi"/>
          <w:b/>
          <w:lang w:val="lv-LV"/>
        </w:rPr>
      </w:pPr>
    </w:p>
    <w:p w14:paraId="5534A3CD" w14:textId="77777777" w:rsidR="00114953" w:rsidRPr="000C7C76" w:rsidRDefault="00114953" w:rsidP="00114953">
      <w:pPr>
        <w:widowControl w:val="0"/>
        <w:autoSpaceDE w:val="0"/>
        <w:autoSpaceDN w:val="0"/>
        <w:adjustRightInd w:val="0"/>
        <w:ind w:firstLine="708"/>
        <w:jc w:val="both"/>
        <w:rPr>
          <w:rFonts w:asciiTheme="majorBidi" w:hAnsiTheme="majorBidi" w:cstheme="majorBidi"/>
          <w:b/>
          <w:lang w:val="lv-LV"/>
        </w:rPr>
      </w:pPr>
    </w:p>
    <w:p w14:paraId="5F7CC0C5" w14:textId="4AF6E8A2" w:rsidR="00114953" w:rsidRPr="000C7C76" w:rsidRDefault="00114953" w:rsidP="00114953">
      <w:pPr>
        <w:widowControl w:val="0"/>
        <w:autoSpaceDE w:val="0"/>
        <w:autoSpaceDN w:val="0"/>
        <w:adjustRightInd w:val="0"/>
        <w:ind w:firstLine="708"/>
        <w:jc w:val="both"/>
        <w:rPr>
          <w:rFonts w:asciiTheme="majorBidi" w:hAnsiTheme="majorBidi" w:cstheme="majorBidi"/>
          <w:bCs/>
          <w:color w:val="323233"/>
          <w:lang w:val="lv-LV"/>
        </w:rPr>
      </w:pPr>
      <w:r w:rsidRPr="000C7C76">
        <w:rPr>
          <w:rFonts w:asciiTheme="majorBidi" w:hAnsiTheme="majorBidi" w:cstheme="majorBidi"/>
          <w:b/>
          <w:lang w:val="lv-LV"/>
        </w:rPr>
        <w:t>Legalizācija</w:t>
      </w:r>
      <w:r w:rsidRPr="000C7C76">
        <w:rPr>
          <w:rFonts w:asciiTheme="majorBidi" w:hAnsiTheme="majorBidi" w:cstheme="majorBidi"/>
          <w:bCs/>
          <w:lang w:val="lv-LV"/>
        </w:rPr>
        <w:t xml:space="preserve"> ir publisko dokumentu autentiskuma nodrošināšanas process (sk</w:t>
      </w:r>
      <w:r w:rsidR="00565D81" w:rsidRPr="000C7C76">
        <w:rPr>
          <w:rFonts w:asciiTheme="majorBidi" w:hAnsiTheme="majorBidi" w:cstheme="majorBidi"/>
          <w:bCs/>
          <w:lang w:val="lv-LV"/>
        </w:rPr>
        <w:t>at</w:t>
      </w:r>
      <w:r w:rsidRPr="000C7C76">
        <w:rPr>
          <w:rFonts w:asciiTheme="majorBidi" w:hAnsiTheme="majorBidi" w:cstheme="majorBidi"/>
          <w:bCs/>
          <w:lang w:val="lv-LV"/>
        </w:rPr>
        <w:t>. Dokume</w:t>
      </w:r>
      <w:r w:rsidR="002B5D4D" w:rsidRPr="000C7C76">
        <w:rPr>
          <w:rFonts w:asciiTheme="majorBidi" w:hAnsiTheme="majorBidi" w:cstheme="majorBidi"/>
          <w:bCs/>
          <w:lang w:val="lv-LV"/>
        </w:rPr>
        <w:t>ntu legalizācijas likuma 2.p.</w:t>
      </w:r>
      <w:r w:rsidRPr="000C7C76">
        <w:rPr>
          <w:rFonts w:asciiTheme="majorBidi" w:hAnsiTheme="majorBidi" w:cstheme="majorBidi"/>
          <w:bCs/>
          <w:lang w:val="lv-LV"/>
        </w:rPr>
        <w:t xml:space="preserve"> 3.punktu). Līdz ar to legalizācija tās parastajā izpratnē </w:t>
      </w:r>
      <w:r w:rsidRPr="000C7C76">
        <w:rPr>
          <w:rFonts w:asciiTheme="majorBidi" w:hAnsiTheme="majorBidi" w:cstheme="majorBidi"/>
          <w:bCs/>
          <w:lang w:val="lv-LV"/>
        </w:rPr>
        <w:lastRenderedPageBreak/>
        <w:t>nozīmē amatpersonas paraksta un zīmoga īstuma apliecināšanu, lai vienā valstī sastādīts publisks</w:t>
      </w:r>
      <w:r w:rsidRPr="000C7C76">
        <w:rPr>
          <w:rFonts w:asciiTheme="majorBidi" w:hAnsiTheme="majorBidi" w:cstheme="majorBidi"/>
          <w:bCs/>
          <w:color w:val="323233"/>
          <w:lang w:val="lv-LV"/>
        </w:rPr>
        <w:t xml:space="preserve"> dokuments iegūtu juridisku spēku citā valstī.</w:t>
      </w:r>
      <w:r>
        <w:rPr>
          <w:rStyle w:val="FootnoteReference"/>
          <w:rFonts w:asciiTheme="majorBidi" w:hAnsiTheme="majorBidi" w:cstheme="majorBidi"/>
          <w:bCs/>
          <w:color w:val="323233"/>
        </w:rPr>
        <w:footnoteReference w:id="82"/>
      </w:r>
      <w:r w:rsidRPr="000C7C76">
        <w:rPr>
          <w:rFonts w:asciiTheme="majorBidi" w:hAnsiTheme="majorBidi" w:cstheme="majorBidi"/>
          <w:bCs/>
          <w:color w:val="323233"/>
          <w:lang w:val="lv-LV"/>
        </w:rPr>
        <w:t xml:space="preserve"> Tātad, legalizācija apliecina tikai to, ka attiecīgajā ārvalstī tiešām ir šāda publiskās varas iestāde, paraksts pieder ar publisko varu apveltītai personai un tas ir šīs personas vai iestādes zīmogs.</w:t>
      </w:r>
    </w:p>
    <w:p w14:paraId="16C38527" w14:textId="5A2E86D7" w:rsidR="00114953" w:rsidRPr="000C7C76" w:rsidRDefault="00114953" w:rsidP="00565D81">
      <w:pPr>
        <w:widowControl w:val="0"/>
        <w:autoSpaceDE w:val="0"/>
        <w:autoSpaceDN w:val="0"/>
        <w:adjustRightInd w:val="0"/>
        <w:ind w:firstLine="708"/>
        <w:jc w:val="both"/>
        <w:rPr>
          <w:rFonts w:asciiTheme="majorBidi" w:hAnsiTheme="majorBidi" w:cstheme="majorBidi"/>
          <w:bCs/>
          <w:color w:val="323233"/>
          <w:lang w:val="lv-LV"/>
        </w:rPr>
      </w:pPr>
      <w:r w:rsidRPr="000C7C76">
        <w:rPr>
          <w:rFonts w:asciiTheme="majorBidi" w:hAnsiTheme="majorBidi" w:cstheme="majorBidi"/>
          <w:bCs/>
          <w:color w:val="323233"/>
          <w:lang w:val="lv-LV"/>
        </w:rPr>
        <w:t xml:space="preserve"> </w:t>
      </w:r>
    </w:p>
    <w:p w14:paraId="65D7F30C" w14:textId="77777777" w:rsidR="00114953" w:rsidRPr="000C7C76" w:rsidRDefault="00114953" w:rsidP="00114953">
      <w:pPr>
        <w:widowControl w:val="0"/>
        <w:autoSpaceDE w:val="0"/>
        <w:autoSpaceDN w:val="0"/>
        <w:adjustRightInd w:val="0"/>
        <w:ind w:firstLine="708"/>
        <w:jc w:val="both"/>
        <w:rPr>
          <w:rFonts w:asciiTheme="majorBidi" w:hAnsiTheme="majorBidi" w:cstheme="majorBidi"/>
          <w:bCs/>
          <w:lang w:val="en-US"/>
        </w:rPr>
      </w:pPr>
      <w:r w:rsidRPr="000C7C76">
        <w:rPr>
          <w:rFonts w:asciiTheme="majorBidi" w:hAnsiTheme="majorBidi" w:cstheme="majorBidi"/>
          <w:bCs/>
          <w:color w:val="323233"/>
          <w:lang w:val="lv-LV"/>
        </w:rPr>
        <w:t xml:space="preserve">Svarīgi atzīmēt, ka legalizācija nenozīmē dokumenta </w:t>
      </w:r>
      <w:r w:rsidRPr="000C7C76">
        <w:rPr>
          <w:rFonts w:asciiTheme="majorBidi" w:hAnsiTheme="majorBidi" w:cstheme="majorBidi"/>
          <w:bCs/>
          <w:color w:val="323233"/>
          <w:u w:val="single"/>
          <w:lang w:val="lv-LV"/>
        </w:rPr>
        <w:t>satura pareizības</w:t>
      </w:r>
      <w:r w:rsidRPr="000C7C76">
        <w:rPr>
          <w:rFonts w:asciiTheme="majorBidi" w:hAnsiTheme="majorBidi" w:cstheme="majorBidi"/>
          <w:bCs/>
          <w:color w:val="323233"/>
          <w:lang w:val="lv-LV"/>
        </w:rPr>
        <w:t xml:space="preserve"> apliecināšanu.</w:t>
      </w:r>
      <w:r>
        <w:rPr>
          <w:rStyle w:val="FootnoteReference"/>
          <w:rFonts w:asciiTheme="majorBidi" w:hAnsiTheme="majorBidi" w:cstheme="majorBidi"/>
          <w:bCs/>
          <w:color w:val="323233"/>
        </w:rPr>
        <w:footnoteReference w:id="83"/>
      </w:r>
      <w:r w:rsidRPr="000C7C76">
        <w:rPr>
          <w:rFonts w:asciiTheme="majorBidi" w:hAnsiTheme="majorBidi" w:cstheme="majorBidi"/>
          <w:bCs/>
          <w:color w:val="323233"/>
          <w:lang w:val="lv-LV"/>
        </w:rPr>
        <w:t xml:space="preserve"> </w:t>
      </w:r>
      <w:proofErr w:type="spellStart"/>
      <w:r w:rsidRPr="000C7C76">
        <w:rPr>
          <w:rFonts w:asciiTheme="majorBidi" w:hAnsiTheme="majorBidi" w:cstheme="majorBidi"/>
          <w:bCs/>
          <w:color w:val="323233"/>
          <w:lang w:val="en-US"/>
        </w:rPr>
        <w:t>Legalizācija</w:t>
      </w:r>
      <w:proofErr w:type="spellEnd"/>
      <w:r w:rsidRPr="000C7C76">
        <w:rPr>
          <w:rFonts w:asciiTheme="majorBidi" w:hAnsiTheme="majorBidi" w:cstheme="majorBidi"/>
          <w:bCs/>
          <w:color w:val="323233"/>
          <w:lang w:val="en-US"/>
        </w:rPr>
        <w:t xml:space="preserve"> </w:t>
      </w:r>
      <w:proofErr w:type="spellStart"/>
      <w:r w:rsidRPr="000C7C76">
        <w:rPr>
          <w:rFonts w:asciiTheme="majorBidi" w:hAnsiTheme="majorBidi" w:cstheme="majorBidi"/>
          <w:bCs/>
          <w:color w:val="323233"/>
          <w:lang w:val="en-US"/>
        </w:rPr>
        <w:t>apliecina</w:t>
      </w:r>
      <w:proofErr w:type="spellEnd"/>
      <w:r w:rsidRPr="000C7C76">
        <w:rPr>
          <w:rFonts w:asciiTheme="majorBidi" w:hAnsiTheme="majorBidi" w:cstheme="majorBidi"/>
          <w:bCs/>
          <w:color w:val="323233"/>
          <w:lang w:val="en-US"/>
        </w:rPr>
        <w:t xml:space="preserve"> </w:t>
      </w:r>
      <w:proofErr w:type="spellStart"/>
      <w:r w:rsidRPr="000C7C76">
        <w:rPr>
          <w:rFonts w:asciiTheme="majorBidi" w:hAnsiTheme="majorBidi" w:cstheme="majorBidi"/>
          <w:bCs/>
          <w:color w:val="323233"/>
          <w:lang w:val="en-US"/>
        </w:rPr>
        <w:t>tikai</w:t>
      </w:r>
      <w:proofErr w:type="spellEnd"/>
      <w:r w:rsidRPr="000C7C76">
        <w:rPr>
          <w:rFonts w:asciiTheme="majorBidi" w:hAnsiTheme="majorBidi" w:cstheme="majorBidi"/>
          <w:bCs/>
          <w:color w:val="323233"/>
          <w:lang w:val="en-US"/>
        </w:rPr>
        <w:t xml:space="preserve"> to, ka </w:t>
      </w:r>
      <w:proofErr w:type="spellStart"/>
      <w:r w:rsidRPr="000C7C76">
        <w:rPr>
          <w:rFonts w:asciiTheme="majorBidi" w:hAnsiTheme="majorBidi" w:cstheme="majorBidi"/>
          <w:bCs/>
          <w:color w:val="323233"/>
          <w:lang w:val="en-US"/>
        </w:rPr>
        <w:t>ārvalsts</w:t>
      </w:r>
      <w:proofErr w:type="spellEnd"/>
      <w:r w:rsidRPr="000C7C76">
        <w:rPr>
          <w:rFonts w:asciiTheme="majorBidi" w:hAnsiTheme="majorBidi" w:cstheme="majorBidi"/>
          <w:bCs/>
          <w:color w:val="323233"/>
          <w:lang w:val="en-US"/>
        </w:rPr>
        <w:t xml:space="preserve"> </w:t>
      </w:r>
      <w:proofErr w:type="spellStart"/>
      <w:r w:rsidRPr="000C7C76">
        <w:rPr>
          <w:rFonts w:asciiTheme="majorBidi" w:hAnsiTheme="majorBidi" w:cstheme="majorBidi"/>
          <w:bCs/>
          <w:color w:val="323233"/>
          <w:lang w:val="en-US"/>
        </w:rPr>
        <w:t>publiskais</w:t>
      </w:r>
      <w:proofErr w:type="spellEnd"/>
      <w:r w:rsidRPr="000C7C76">
        <w:rPr>
          <w:rFonts w:asciiTheme="majorBidi" w:hAnsiTheme="majorBidi" w:cstheme="majorBidi"/>
          <w:bCs/>
          <w:color w:val="323233"/>
          <w:lang w:val="en-US"/>
        </w:rPr>
        <w:t xml:space="preserve"> </w:t>
      </w:r>
      <w:proofErr w:type="spellStart"/>
      <w:r w:rsidRPr="000C7C76">
        <w:rPr>
          <w:rFonts w:asciiTheme="majorBidi" w:hAnsiTheme="majorBidi" w:cstheme="majorBidi"/>
          <w:bCs/>
          <w:color w:val="323233"/>
          <w:lang w:val="en-US"/>
        </w:rPr>
        <w:t>dokuments</w:t>
      </w:r>
      <w:proofErr w:type="spellEnd"/>
      <w:r w:rsidRPr="000C7C76">
        <w:rPr>
          <w:rFonts w:asciiTheme="majorBidi" w:hAnsiTheme="majorBidi" w:cstheme="majorBidi"/>
          <w:bCs/>
          <w:color w:val="323233"/>
          <w:lang w:val="en-US"/>
        </w:rPr>
        <w:t xml:space="preserve"> </w:t>
      </w:r>
      <w:proofErr w:type="spellStart"/>
      <w:r w:rsidRPr="000C7C76">
        <w:rPr>
          <w:rFonts w:asciiTheme="majorBidi" w:hAnsiTheme="majorBidi" w:cstheme="majorBidi"/>
          <w:bCs/>
          <w:color w:val="323233"/>
          <w:lang w:val="en-US"/>
        </w:rPr>
        <w:t>ir</w:t>
      </w:r>
      <w:proofErr w:type="spellEnd"/>
      <w:r w:rsidRPr="000C7C76">
        <w:rPr>
          <w:rFonts w:asciiTheme="majorBidi" w:hAnsiTheme="majorBidi" w:cstheme="majorBidi"/>
          <w:bCs/>
          <w:color w:val="323233"/>
          <w:lang w:val="en-US"/>
        </w:rPr>
        <w:t xml:space="preserve"> </w:t>
      </w:r>
      <w:proofErr w:type="spellStart"/>
      <w:r w:rsidRPr="000C7C76">
        <w:rPr>
          <w:rFonts w:asciiTheme="majorBidi" w:hAnsiTheme="majorBidi" w:cstheme="majorBidi"/>
          <w:bCs/>
          <w:color w:val="323233"/>
          <w:u w:val="single"/>
          <w:lang w:val="en-US"/>
        </w:rPr>
        <w:t>īsts</w:t>
      </w:r>
      <w:proofErr w:type="spellEnd"/>
      <w:r w:rsidRPr="000C7C76">
        <w:rPr>
          <w:rFonts w:asciiTheme="majorBidi" w:hAnsiTheme="majorBidi" w:cstheme="majorBidi"/>
          <w:bCs/>
          <w:color w:val="323233"/>
          <w:u w:val="single"/>
          <w:lang w:val="en-US"/>
        </w:rPr>
        <w:t xml:space="preserve"> </w:t>
      </w:r>
      <w:proofErr w:type="spellStart"/>
      <w:r w:rsidRPr="000C7C76">
        <w:rPr>
          <w:rFonts w:asciiTheme="majorBidi" w:hAnsiTheme="majorBidi" w:cstheme="majorBidi"/>
          <w:bCs/>
          <w:color w:val="323233"/>
          <w:lang w:val="en-US"/>
        </w:rPr>
        <w:t>jeb</w:t>
      </w:r>
      <w:proofErr w:type="spellEnd"/>
      <w:r w:rsidRPr="000C7C76">
        <w:rPr>
          <w:rFonts w:asciiTheme="majorBidi" w:hAnsiTheme="majorBidi" w:cstheme="majorBidi"/>
          <w:bCs/>
          <w:color w:val="323233"/>
          <w:u w:val="single"/>
          <w:lang w:val="en-US"/>
        </w:rPr>
        <w:t xml:space="preserve"> </w:t>
      </w:r>
      <w:proofErr w:type="spellStart"/>
      <w:r w:rsidRPr="000C7C76">
        <w:rPr>
          <w:rFonts w:asciiTheme="majorBidi" w:hAnsiTheme="majorBidi" w:cstheme="majorBidi"/>
          <w:bCs/>
          <w:color w:val="323233"/>
          <w:u w:val="single"/>
          <w:lang w:val="en-US"/>
        </w:rPr>
        <w:t>autentisks</w:t>
      </w:r>
      <w:proofErr w:type="spellEnd"/>
      <w:r w:rsidRPr="000C7C76">
        <w:rPr>
          <w:rFonts w:asciiTheme="majorBidi" w:hAnsiTheme="majorBidi" w:cstheme="majorBidi"/>
          <w:bCs/>
          <w:color w:val="323233"/>
          <w:lang w:val="en-US"/>
        </w:rPr>
        <w:t xml:space="preserve">. </w:t>
      </w:r>
      <w:proofErr w:type="spellStart"/>
      <w:r w:rsidRPr="000C7C76">
        <w:rPr>
          <w:rFonts w:asciiTheme="majorBidi" w:hAnsiTheme="majorBidi" w:cstheme="majorBidi"/>
          <w:bCs/>
          <w:color w:val="323233"/>
          <w:lang w:val="en-US"/>
        </w:rPr>
        <w:t>Līdz</w:t>
      </w:r>
      <w:proofErr w:type="spellEnd"/>
      <w:r w:rsidRPr="000C7C76">
        <w:rPr>
          <w:rFonts w:asciiTheme="majorBidi" w:hAnsiTheme="majorBidi" w:cstheme="majorBidi"/>
          <w:bCs/>
          <w:color w:val="323233"/>
          <w:lang w:val="en-US"/>
        </w:rPr>
        <w:t xml:space="preserve"> </w:t>
      </w:r>
      <w:proofErr w:type="spellStart"/>
      <w:r w:rsidRPr="000C7C76">
        <w:rPr>
          <w:rFonts w:asciiTheme="majorBidi" w:hAnsiTheme="majorBidi" w:cstheme="majorBidi"/>
          <w:bCs/>
          <w:color w:val="323233"/>
          <w:lang w:val="en-US"/>
        </w:rPr>
        <w:t>ar</w:t>
      </w:r>
      <w:proofErr w:type="spellEnd"/>
      <w:r w:rsidRPr="000C7C76">
        <w:rPr>
          <w:rFonts w:asciiTheme="majorBidi" w:hAnsiTheme="majorBidi" w:cstheme="majorBidi"/>
          <w:bCs/>
          <w:color w:val="323233"/>
          <w:lang w:val="en-US"/>
        </w:rPr>
        <w:t xml:space="preserve"> to </w:t>
      </w:r>
      <w:proofErr w:type="spellStart"/>
      <w:r w:rsidRPr="000C7C76">
        <w:rPr>
          <w:rFonts w:asciiTheme="majorBidi" w:hAnsiTheme="majorBidi" w:cstheme="majorBidi"/>
          <w:bCs/>
          <w:color w:val="323233"/>
          <w:lang w:val="en-US"/>
        </w:rPr>
        <w:t>jebkurš</w:t>
      </w:r>
      <w:proofErr w:type="spellEnd"/>
      <w:r w:rsidRPr="000C7C76">
        <w:rPr>
          <w:rFonts w:asciiTheme="majorBidi" w:hAnsiTheme="majorBidi" w:cstheme="majorBidi"/>
          <w:bCs/>
          <w:color w:val="323233"/>
          <w:lang w:val="en-US"/>
        </w:rPr>
        <w:t xml:space="preserve"> </w:t>
      </w:r>
      <w:proofErr w:type="spellStart"/>
      <w:r w:rsidRPr="000C7C76">
        <w:rPr>
          <w:rFonts w:asciiTheme="majorBidi" w:hAnsiTheme="majorBidi" w:cstheme="majorBidi"/>
          <w:bCs/>
          <w:color w:val="323233"/>
          <w:lang w:val="en-US"/>
        </w:rPr>
        <w:t>ārvalstī</w:t>
      </w:r>
      <w:proofErr w:type="spellEnd"/>
      <w:r w:rsidRPr="000C7C76">
        <w:rPr>
          <w:rFonts w:asciiTheme="majorBidi" w:hAnsiTheme="majorBidi" w:cstheme="majorBidi"/>
          <w:bCs/>
          <w:color w:val="323233"/>
          <w:lang w:val="en-US"/>
        </w:rPr>
        <w:t xml:space="preserve"> </w:t>
      </w:r>
      <w:proofErr w:type="spellStart"/>
      <w:r w:rsidRPr="000C7C76">
        <w:rPr>
          <w:rFonts w:asciiTheme="majorBidi" w:hAnsiTheme="majorBidi" w:cstheme="majorBidi"/>
          <w:bCs/>
          <w:color w:val="323233"/>
          <w:lang w:val="en-US"/>
        </w:rPr>
        <w:t>sastādīts</w:t>
      </w:r>
      <w:proofErr w:type="spellEnd"/>
      <w:r w:rsidRPr="000C7C76">
        <w:rPr>
          <w:rFonts w:asciiTheme="majorBidi" w:hAnsiTheme="majorBidi" w:cstheme="majorBidi"/>
          <w:bCs/>
          <w:color w:val="323233"/>
          <w:lang w:val="en-US"/>
        </w:rPr>
        <w:t xml:space="preserve"> </w:t>
      </w:r>
      <w:proofErr w:type="spellStart"/>
      <w:r w:rsidRPr="000C7C76">
        <w:rPr>
          <w:rFonts w:asciiTheme="majorBidi" w:hAnsiTheme="majorBidi" w:cstheme="majorBidi"/>
          <w:bCs/>
          <w:color w:val="323233"/>
          <w:lang w:val="en-US"/>
        </w:rPr>
        <w:t>publisks</w:t>
      </w:r>
      <w:proofErr w:type="spellEnd"/>
      <w:r w:rsidRPr="000C7C76">
        <w:rPr>
          <w:rFonts w:asciiTheme="majorBidi" w:hAnsiTheme="majorBidi" w:cstheme="majorBidi"/>
          <w:bCs/>
          <w:color w:val="323233"/>
          <w:lang w:val="en-US"/>
        </w:rPr>
        <w:t xml:space="preserve"> </w:t>
      </w:r>
      <w:proofErr w:type="spellStart"/>
      <w:r w:rsidRPr="000C7C76">
        <w:rPr>
          <w:rFonts w:asciiTheme="majorBidi" w:hAnsiTheme="majorBidi" w:cstheme="majorBidi"/>
          <w:bCs/>
          <w:color w:val="323233"/>
          <w:lang w:val="en-US"/>
        </w:rPr>
        <w:t>dokuments</w:t>
      </w:r>
      <w:proofErr w:type="spellEnd"/>
      <w:r w:rsidRPr="000C7C76">
        <w:rPr>
          <w:rFonts w:asciiTheme="majorBidi" w:hAnsiTheme="majorBidi" w:cstheme="majorBidi"/>
          <w:bCs/>
          <w:color w:val="323233"/>
          <w:lang w:val="en-US"/>
        </w:rPr>
        <w:t xml:space="preserve">, kas </w:t>
      </w:r>
      <w:proofErr w:type="spellStart"/>
      <w:r w:rsidRPr="000C7C76">
        <w:rPr>
          <w:rFonts w:asciiTheme="majorBidi" w:hAnsiTheme="majorBidi" w:cstheme="majorBidi"/>
          <w:bCs/>
          <w:color w:val="323233"/>
          <w:lang w:val="en-US"/>
        </w:rPr>
        <w:t>ir</w:t>
      </w:r>
      <w:proofErr w:type="spellEnd"/>
      <w:r w:rsidRPr="000C7C76">
        <w:rPr>
          <w:rFonts w:asciiTheme="majorBidi" w:hAnsiTheme="majorBidi" w:cstheme="majorBidi"/>
          <w:bCs/>
          <w:color w:val="323233"/>
          <w:lang w:val="en-US"/>
        </w:rPr>
        <w:t xml:space="preserve"> </w:t>
      </w:r>
      <w:proofErr w:type="spellStart"/>
      <w:r w:rsidRPr="000C7C76">
        <w:rPr>
          <w:rFonts w:asciiTheme="majorBidi" w:hAnsiTheme="majorBidi" w:cstheme="majorBidi"/>
          <w:bCs/>
          <w:color w:val="323233"/>
          <w:lang w:val="en-US"/>
        </w:rPr>
        <w:t>legalizēts</w:t>
      </w:r>
      <w:proofErr w:type="spellEnd"/>
      <w:r w:rsidRPr="000C7C76">
        <w:rPr>
          <w:rFonts w:asciiTheme="majorBidi" w:hAnsiTheme="majorBidi" w:cstheme="majorBidi"/>
          <w:bCs/>
          <w:color w:val="323233"/>
          <w:lang w:val="en-US"/>
        </w:rPr>
        <w:t xml:space="preserve">, </w:t>
      </w:r>
      <w:proofErr w:type="spellStart"/>
      <w:r w:rsidRPr="000C7C76">
        <w:rPr>
          <w:rFonts w:asciiTheme="majorBidi" w:hAnsiTheme="majorBidi" w:cstheme="majorBidi"/>
          <w:bCs/>
          <w:color w:val="323233"/>
          <w:lang w:val="en-US"/>
        </w:rPr>
        <w:t>Latvijā</w:t>
      </w:r>
      <w:proofErr w:type="spellEnd"/>
      <w:r w:rsidRPr="000C7C76">
        <w:rPr>
          <w:rFonts w:asciiTheme="majorBidi" w:hAnsiTheme="majorBidi" w:cstheme="majorBidi"/>
          <w:bCs/>
          <w:color w:val="323233"/>
          <w:lang w:val="en-US"/>
        </w:rPr>
        <w:t xml:space="preserve"> </w:t>
      </w:r>
      <w:proofErr w:type="spellStart"/>
      <w:r w:rsidRPr="000C7C76">
        <w:rPr>
          <w:rFonts w:asciiTheme="majorBidi" w:hAnsiTheme="majorBidi" w:cstheme="majorBidi"/>
          <w:bCs/>
          <w:color w:val="323233"/>
          <w:lang w:val="en-US"/>
        </w:rPr>
        <w:t>tiek</w:t>
      </w:r>
      <w:proofErr w:type="spellEnd"/>
      <w:r w:rsidRPr="000C7C76">
        <w:rPr>
          <w:rFonts w:asciiTheme="majorBidi" w:hAnsiTheme="majorBidi" w:cstheme="majorBidi"/>
          <w:bCs/>
          <w:color w:val="323233"/>
          <w:lang w:val="en-US"/>
        </w:rPr>
        <w:t xml:space="preserve"> </w:t>
      </w:r>
      <w:r w:rsidRPr="000C7C76">
        <w:rPr>
          <w:rFonts w:asciiTheme="majorBidi" w:hAnsiTheme="majorBidi" w:cstheme="majorBidi"/>
          <w:bCs/>
          <w:i/>
          <w:iCs/>
          <w:color w:val="323233"/>
          <w:lang w:val="en-US"/>
        </w:rPr>
        <w:t>a priori</w:t>
      </w:r>
      <w:r w:rsidRPr="000C7C76">
        <w:rPr>
          <w:rFonts w:asciiTheme="majorBidi" w:hAnsiTheme="majorBidi" w:cstheme="majorBidi"/>
          <w:bCs/>
          <w:color w:val="323233"/>
          <w:lang w:val="en-US"/>
        </w:rPr>
        <w:t xml:space="preserve"> </w:t>
      </w:r>
      <w:proofErr w:type="spellStart"/>
      <w:r w:rsidRPr="000C7C76">
        <w:rPr>
          <w:rFonts w:asciiTheme="majorBidi" w:hAnsiTheme="majorBidi" w:cstheme="majorBidi"/>
          <w:bCs/>
          <w:color w:val="323233"/>
          <w:lang w:val="en-US"/>
        </w:rPr>
        <w:t>prezumēts</w:t>
      </w:r>
      <w:proofErr w:type="spellEnd"/>
      <w:r w:rsidRPr="000C7C76">
        <w:rPr>
          <w:rFonts w:asciiTheme="majorBidi" w:hAnsiTheme="majorBidi" w:cstheme="majorBidi"/>
          <w:bCs/>
          <w:color w:val="323233"/>
          <w:lang w:val="en-US"/>
        </w:rPr>
        <w:t xml:space="preserve"> </w:t>
      </w:r>
      <w:proofErr w:type="spellStart"/>
      <w:r w:rsidRPr="000C7C76">
        <w:rPr>
          <w:rFonts w:asciiTheme="majorBidi" w:hAnsiTheme="majorBidi" w:cstheme="majorBidi"/>
          <w:bCs/>
          <w:color w:val="323233"/>
          <w:lang w:val="en-US"/>
        </w:rPr>
        <w:t>kā</w:t>
      </w:r>
      <w:proofErr w:type="spellEnd"/>
      <w:r w:rsidRPr="000C7C76">
        <w:rPr>
          <w:rFonts w:asciiTheme="majorBidi" w:hAnsiTheme="majorBidi" w:cstheme="majorBidi"/>
          <w:bCs/>
          <w:color w:val="323233"/>
          <w:lang w:val="en-US"/>
        </w:rPr>
        <w:t xml:space="preserve"> </w:t>
      </w:r>
      <w:proofErr w:type="spellStart"/>
      <w:r w:rsidRPr="000C7C76">
        <w:rPr>
          <w:rFonts w:asciiTheme="majorBidi" w:hAnsiTheme="majorBidi" w:cstheme="majorBidi"/>
          <w:bCs/>
          <w:color w:val="323233"/>
          <w:lang w:val="en-US"/>
        </w:rPr>
        <w:t>īsts</w:t>
      </w:r>
      <w:proofErr w:type="spellEnd"/>
      <w:r w:rsidRPr="000C7C76">
        <w:rPr>
          <w:rFonts w:asciiTheme="majorBidi" w:hAnsiTheme="majorBidi" w:cstheme="majorBidi"/>
          <w:bCs/>
          <w:color w:val="323233"/>
          <w:lang w:val="en-US"/>
        </w:rPr>
        <w:t xml:space="preserve">. Tas pats </w:t>
      </w:r>
      <w:proofErr w:type="spellStart"/>
      <w:r w:rsidRPr="000C7C76">
        <w:rPr>
          <w:rFonts w:asciiTheme="majorBidi" w:hAnsiTheme="majorBidi" w:cstheme="majorBidi"/>
          <w:bCs/>
          <w:color w:val="323233"/>
          <w:lang w:val="en-US"/>
        </w:rPr>
        <w:t>attiecas</w:t>
      </w:r>
      <w:proofErr w:type="spellEnd"/>
      <w:r w:rsidRPr="000C7C76">
        <w:rPr>
          <w:rFonts w:asciiTheme="majorBidi" w:hAnsiTheme="majorBidi" w:cstheme="majorBidi"/>
          <w:bCs/>
          <w:color w:val="323233"/>
          <w:lang w:val="en-US"/>
        </w:rPr>
        <w:t xml:space="preserve"> </w:t>
      </w:r>
      <w:proofErr w:type="spellStart"/>
      <w:r w:rsidRPr="000C7C76">
        <w:rPr>
          <w:rFonts w:asciiTheme="majorBidi" w:hAnsiTheme="majorBidi" w:cstheme="majorBidi"/>
          <w:bCs/>
          <w:color w:val="323233"/>
          <w:lang w:val="en-US"/>
        </w:rPr>
        <w:t>arī</w:t>
      </w:r>
      <w:proofErr w:type="spellEnd"/>
      <w:r w:rsidRPr="000C7C76">
        <w:rPr>
          <w:rFonts w:asciiTheme="majorBidi" w:hAnsiTheme="majorBidi" w:cstheme="majorBidi"/>
          <w:bCs/>
          <w:color w:val="323233"/>
          <w:lang w:val="en-US"/>
        </w:rPr>
        <w:t xml:space="preserve"> </w:t>
      </w:r>
      <w:proofErr w:type="spellStart"/>
      <w:r w:rsidRPr="000C7C76">
        <w:rPr>
          <w:rFonts w:asciiTheme="majorBidi" w:hAnsiTheme="majorBidi" w:cstheme="majorBidi"/>
          <w:bCs/>
          <w:color w:val="323233"/>
          <w:lang w:val="en-US"/>
        </w:rPr>
        <w:t>uz</w:t>
      </w:r>
      <w:proofErr w:type="spellEnd"/>
      <w:r w:rsidRPr="000C7C76">
        <w:rPr>
          <w:rFonts w:asciiTheme="majorBidi" w:hAnsiTheme="majorBidi" w:cstheme="majorBidi"/>
          <w:bCs/>
          <w:color w:val="323233"/>
          <w:lang w:val="en-US"/>
        </w:rPr>
        <w:t xml:space="preserve"> </w:t>
      </w:r>
      <w:proofErr w:type="spellStart"/>
      <w:r w:rsidRPr="000C7C76">
        <w:rPr>
          <w:rFonts w:asciiTheme="majorBidi" w:hAnsiTheme="majorBidi" w:cstheme="majorBidi"/>
          <w:bCs/>
          <w:color w:val="323233"/>
          <w:lang w:val="en-US"/>
        </w:rPr>
        <w:t>tiem</w:t>
      </w:r>
      <w:proofErr w:type="spellEnd"/>
      <w:r w:rsidRPr="000C7C76">
        <w:rPr>
          <w:rFonts w:asciiTheme="majorBidi" w:hAnsiTheme="majorBidi" w:cstheme="majorBidi"/>
          <w:bCs/>
          <w:color w:val="323233"/>
          <w:lang w:val="en-US"/>
        </w:rPr>
        <w:t xml:space="preserve"> </w:t>
      </w:r>
      <w:proofErr w:type="spellStart"/>
      <w:r w:rsidRPr="000C7C76">
        <w:rPr>
          <w:rFonts w:asciiTheme="majorBidi" w:hAnsiTheme="majorBidi" w:cstheme="majorBidi"/>
          <w:bCs/>
          <w:color w:val="323233"/>
          <w:lang w:val="en-US"/>
        </w:rPr>
        <w:t>ārvalsts</w:t>
      </w:r>
      <w:proofErr w:type="spellEnd"/>
      <w:r w:rsidRPr="000C7C76">
        <w:rPr>
          <w:rFonts w:asciiTheme="majorBidi" w:hAnsiTheme="majorBidi" w:cstheme="majorBidi"/>
          <w:bCs/>
          <w:color w:val="323233"/>
          <w:lang w:val="en-US"/>
        </w:rPr>
        <w:t xml:space="preserve"> </w:t>
      </w:r>
      <w:proofErr w:type="spellStart"/>
      <w:r w:rsidRPr="000C7C76">
        <w:rPr>
          <w:rFonts w:asciiTheme="majorBidi" w:hAnsiTheme="majorBidi" w:cstheme="majorBidi"/>
          <w:bCs/>
          <w:color w:val="323233"/>
          <w:lang w:val="en-US"/>
        </w:rPr>
        <w:t>publiskiem</w:t>
      </w:r>
      <w:proofErr w:type="spellEnd"/>
      <w:r w:rsidRPr="000C7C76">
        <w:rPr>
          <w:rFonts w:asciiTheme="majorBidi" w:hAnsiTheme="majorBidi" w:cstheme="majorBidi"/>
          <w:bCs/>
          <w:color w:val="323233"/>
          <w:lang w:val="en-US"/>
        </w:rPr>
        <w:t xml:space="preserve"> </w:t>
      </w:r>
      <w:proofErr w:type="spellStart"/>
      <w:r w:rsidRPr="000C7C76">
        <w:rPr>
          <w:rFonts w:asciiTheme="majorBidi" w:hAnsiTheme="majorBidi" w:cstheme="majorBidi"/>
          <w:bCs/>
          <w:color w:val="323233"/>
          <w:lang w:val="en-US"/>
        </w:rPr>
        <w:t>dokumentiem</w:t>
      </w:r>
      <w:proofErr w:type="spellEnd"/>
      <w:r w:rsidRPr="000C7C76">
        <w:rPr>
          <w:rFonts w:asciiTheme="majorBidi" w:hAnsiTheme="majorBidi" w:cstheme="majorBidi"/>
          <w:bCs/>
          <w:color w:val="323233"/>
          <w:lang w:val="en-US"/>
        </w:rPr>
        <w:t xml:space="preserve">, </w:t>
      </w:r>
      <w:proofErr w:type="spellStart"/>
      <w:r w:rsidRPr="000C7C76">
        <w:rPr>
          <w:rFonts w:asciiTheme="majorBidi" w:hAnsiTheme="majorBidi" w:cstheme="majorBidi"/>
          <w:bCs/>
          <w:color w:val="323233"/>
          <w:lang w:val="en-US"/>
        </w:rPr>
        <w:t>kuriem</w:t>
      </w:r>
      <w:proofErr w:type="spellEnd"/>
      <w:r w:rsidRPr="000C7C76">
        <w:rPr>
          <w:rFonts w:asciiTheme="majorBidi" w:hAnsiTheme="majorBidi" w:cstheme="majorBidi"/>
          <w:bCs/>
          <w:color w:val="323233"/>
          <w:lang w:val="en-US"/>
        </w:rPr>
        <w:t xml:space="preserve"> </w:t>
      </w:r>
      <w:proofErr w:type="spellStart"/>
      <w:r w:rsidRPr="000C7C76">
        <w:rPr>
          <w:rFonts w:asciiTheme="majorBidi" w:hAnsiTheme="majorBidi" w:cstheme="majorBidi"/>
          <w:bCs/>
          <w:color w:val="323233"/>
          <w:lang w:val="en-US"/>
        </w:rPr>
        <w:t>saskaņā</w:t>
      </w:r>
      <w:proofErr w:type="spellEnd"/>
      <w:r w:rsidRPr="000C7C76">
        <w:rPr>
          <w:rFonts w:asciiTheme="majorBidi" w:hAnsiTheme="majorBidi" w:cstheme="majorBidi"/>
          <w:bCs/>
          <w:color w:val="323233"/>
          <w:lang w:val="en-US"/>
        </w:rPr>
        <w:t xml:space="preserve"> </w:t>
      </w:r>
      <w:proofErr w:type="spellStart"/>
      <w:r w:rsidRPr="000C7C76">
        <w:rPr>
          <w:rFonts w:asciiTheme="majorBidi" w:hAnsiTheme="majorBidi" w:cstheme="majorBidi"/>
          <w:bCs/>
          <w:color w:val="323233"/>
          <w:lang w:val="en-US"/>
        </w:rPr>
        <w:t>ar</w:t>
      </w:r>
      <w:proofErr w:type="spellEnd"/>
      <w:r w:rsidRPr="000C7C76">
        <w:rPr>
          <w:rFonts w:asciiTheme="majorBidi" w:hAnsiTheme="majorBidi" w:cstheme="majorBidi"/>
          <w:bCs/>
          <w:color w:val="323233"/>
          <w:lang w:val="en-US"/>
        </w:rPr>
        <w:t xml:space="preserve"> Latvijas </w:t>
      </w:r>
      <w:proofErr w:type="spellStart"/>
      <w:r w:rsidRPr="000C7C76">
        <w:rPr>
          <w:rFonts w:asciiTheme="majorBidi" w:hAnsiTheme="majorBidi" w:cstheme="majorBidi"/>
          <w:bCs/>
          <w:color w:val="323233"/>
          <w:lang w:val="en-US"/>
        </w:rPr>
        <w:t>likumu</w:t>
      </w:r>
      <w:proofErr w:type="spellEnd"/>
      <w:r w:rsidRPr="000C7C76">
        <w:rPr>
          <w:rFonts w:asciiTheme="majorBidi" w:hAnsiTheme="majorBidi" w:cstheme="majorBidi"/>
          <w:bCs/>
          <w:color w:val="323233"/>
          <w:lang w:val="en-US"/>
        </w:rPr>
        <w:t xml:space="preserve"> </w:t>
      </w:r>
      <w:proofErr w:type="spellStart"/>
      <w:r w:rsidRPr="000C7C76">
        <w:rPr>
          <w:rFonts w:asciiTheme="majorBidi" w:hAnsiTheme="majorBidi" w:cstheme="majorBidi"/>
          <w:bCs/>
          <w:color w:val="323233"/>
          <w:lang w:val="en-US"/>
        </w:rPr>
        <w:t>vai</w:t>
      </w:r>
      <w:proofErr w:type="spellEnd"/>
      <w:r w:rsidRPr="000C7C76">
        <w:rPr>
          <w:rFonts w:asciiTheme="majorBidi" w:hAnsiTheme="majorBidi" w:cstheme="majorBidi"/>
          <w:bCs/>
          <w:color w:val="323233"/>
          <w:lang w:val="en-US"/>
        </w:rPr>
        <w:t xml:space="preserve"> </w:t>
      </w:r>
      <w:proofErr w:type="spellStart"/>
      <w:r w:rsidRPr="000C7C76">
        <w:rPr>
          <w:rFonts w:asciiTheme="majorBidi" w:hAnsiTheme="majorBidi" w:cstheme="majorBidi"/>
          <w:bCs/>
          <w:color w:val="323233"/>
          <w:lang w:val="en-US"/>
        </w:rPr>
        <w:t>starptautisko</w:t>
      </w:r>
      <w:proofErr w:type="spellEnd"/>
      <w:r w:rsidRPr="000C7C76">
        <w:rPr>
          <w:rFonts w:asciiTheme="majorBidi" w:hAnsiTheme="majorBidi" w:cstheme="majorBidi"/>
          <w:bCs/>
          <w:color w:val="323233"/>
          <w:lang w:val="en-US"/>
        </w:rPr>
        <w:t xml:space="preserve"> </w:t>
      </w:r>
      <w:proofErr w:type="spellStart"/>
      <w:r w:rsidRPr="000C7C76">
        <w:rPr>
          <w:rFonts w:asciiTheme="majorBidi" w:hAnsiTheme="majorBidi" w:cstheme="majorBidi"/>
          <w:bCs/>
          <w:color w:val="323233"/>
          <w:lang w:val="en-US"/>
        </w:rPr>
        <w:t>līgumu</w:t>
      </w:r>
      <w:proofErr w:type="spellEnd"/>
      <w:r w:rsidRPr="000C7C76">
        <w:rPr>
          <w:rFonts w:asciiTheme="majorBidi" w:hAnsiTheme="majorBidi" w:cstheme="majorBidi"/>
          <w:bCs/>
          <w:color w:val="323233"/>
          <w:lang w:val="en-US"/>
        </w:rPr>
        <w:t xml:space="preserve"> nav </w:t>
      </w:r>
      <w:proofErr w:type="spellStart"/>
      <w:r w:rsidRPr="000C7C76">
        <w:rPr>
          <w:rFonts w:asciiTheme="majorBidi" w:hAnsiTheme="majorBidi" w:cstheme="majorBidi"/>
          <w:bCs/>
          <w:color w:val="323233"/>
          <w:lang w:val="en-US"/>
        </w:rPr>
        <w:t>nepieciešama</w:t>
      </w:r>
      <w:proofErr w:type="spellEnd"/>
      <w:r w:rsidRPr="000C7C76">
        <w:rPr>
          <w:rFonts w:asciiTheme="majorBidi" w:hAnsiTheme="majorBidi" w:cstheme="majorBidi"/>
          <w:bCs/>
          <w:color w:val="323233"/>
          <w:lang w:val="en-US"/>
        </w:rPr>
        <w:t xml:space="preserve"> </w:t>
      </w:r>
      <w:proofErr w:type="spellStart"/>
      <w:r w:rsidRPr="000C7C76">
        <w:rPr>
          <w:rFonts w:asciiTheme="majorBidi" w:hAnsiTheme="majorBidi" w:cstheme="majorBidi"/>
          <w:bCs/>
          <w:color w:val="323233"/>
          <w:lang w:val="en-US"/>
        </w:rPr>
        <w:t>legalizācija</w:t>
      </w:r>
      <w:proofErr w:type="spellEnd"/>
      <w:r w:rsidRPr="000C7C76">
        <w:rPr>
          <w:rFonts w:asciiTheme="majorBidi" w:hAnsiTheme="majorBidi" w:cstheme="majorBidi"/>
          <w:bCs/>
          <w:color w:val="323233"/>
          <w:lang w:val="en-US"/>
        </w:rPr>
        <w:t xml:space="preserve">. </w:t>
      </w:r>
      <w:proofErr w:type="spellStart"/>
      <w:r w:rsidRPr="000C7C76">
        <w:rPr>
          <w:rFonts w:asciiTheme="majorBidi" w:hAnsiTheme="majorBidi" w:cstheme="majorBidi"/>
          <w:bCs/>
          <w:color w:val="323233"/>
          <w:lang w:val="en-US"/>
        </w:rPr>
        <w:t>Vienlaicīgi</w:t>
      </w:r>
      <w:proofErr w:type="spellEnd"/>
      <w:r w:rsidRPr="000C7C76">
        <w:rPr>
          <w:rFonts w:asciiTheme="majorBidi" w:hAnsiTheme="majorBidi" w:cstheme="majorBidi"/>
          <w:bCs/>
          <w:color w:val="323233"/>
          <w:lang w:val="en-US"/>
        </w:rPr>
        <w:t xml:space="preserve"> </w:t>
      </w:r>
      <w:proofErr w:type="spellStart"/>
      <w:r w:rsidRPr="000C7C76">
        <w:rPr>
          <w:rFonts w:asciiTheme="majorBidi" w:hAnsiTheme="majorBidi" w:cstheme="majorBidi"/>
          <w:bCs/>
          <w:color w:val="323233"/>
          <w:lang w:val="en-US"/>
        </w:rPr>
        <w:t>jānorāda</w:t>
      </w:r>
      <w:proofErr w:type="spellEnd"/>
      <w:r w:rsidRPr="000C7C76">
        <w:rPr>
          <w:rFonts w:asciiTheme="majorBidi" w:hAnsiTheme="majorBidi" w:cstheme="majorBidi"/>
          <w:bCs/>
          <w:color w:val="323233"/>
          <w:lang w:val="en-US"/>
        </w:rPr>
        <w:t xml:space="preserve">, ka </w:t>
      </w:r>
      <w:proofErr w:type="spellStart"/>
      <w:r w:rsidRPr="000C7C76">
        <w:rPr>
          <w:rFonts w:asciiTheme="majorBidi" w:hAnsiTheme="majorBidi" w:cstheme="majorBidi"/>
          <w:bCs/>
          <w:color w:val="323233"/>
          <w:lang w:val="en-US"/>
        </w:rPr>
        <w:t>valsts</w:t>
      </w:r>
      <w:proofErr w:type="spellEnd"/>
      <w:r w:rsidRPr="000C7C76">
        <w:rPr>
          <w:rFonts w:asciiTheme="majorBidi" w:hAnsiTheme="majorBidi" w:cstheme="majorBidi"/>
          <w:bCs/>
          <w:color w:val="323233"/>
          <w:lang w:val="en-US"/>
        </w:rPr>
        <w:t xml:space="preserve">, </w:t>
      </w:r>
      <w:proofErr w:type="spellStart"/>
      <w:r w:rsidRPr="000C7C76">
        <w:rPr>
          <w:rFonts w:asciiTheme="majorBidi" w:hAnsiTheme="majorBidi" w:cstheme="majorBidi"/>
          <w:bCs/>
          <w:color w:val="323233"/>
          <w:lang w:val="en-US"/>
        </w:rPr>
        <w:t>kurā</w:t>
      </w:r>
      <w:proofErr w:type="spellEnd"/>
      <w:r w:rsidRPr="000C7C76">
        <w:rPr>
          <w:rFonts w:asciiTheme="majorBidi" w:hAnsiTheme="majorBidi" w:cstheme="majorBidi"/>
          <w:bCs/>
          <w:color w:val="323233"/>
          <w:lang w:val="en-US"/>
        </w:rPr>
        <w:t xml:space="preserve"> </w:t>
      </w:r>
      <w:proofErr w:type="spellStart"/>
      <w:r w:rsidRPr="000C7C76">
        <w:rPr>
          <w:rFonts w:asciiTheme="majorBidi" w:hAnsiTheme="majorBidi" w:cstheme="majorBidi"/>
          <w:bCs/>
          <w:color w:val="323233"/>
          <w:lang w:val="en-US"/>
        </w:rPr>
        <w:t>legalizētais</w:t>
      </w:r>
      <w:proofErr w:type="spellEnd"/>
      <w:r w:rsidRPr="000C7C76">
        <w:rPr>
          <w:rFonts w:asciiTheme="majorBidi" w:hAnsiTheme="majorBidi" w:cstheme="majorBidi"/>
          <w:bCs/>
          <w:color w:val="323233"/>
          <w:lang w:val="en-US"/>
        </w:rPr>
        <w:t xml:space="preserve"> </w:t>
      </w:r>
      <w:proofErr w:type="spellStart"/>
      <w:r w:rsidRPr="000C7C76">
        <w:rPr>
          <w:rFonts w:asciiTheme="majorBidi" w:hAnsiTheme="majorBidi" w:cstheme="majorBidi"/>
          <w:bCs/>
          <w:color w:val="323233"/>
          <w:lang w:val="en-US"/>
        </w:rPr>
        <w:t>ārvalsts</w:t>
      </w:r>
      <w:proofErr w:type="spellEnd"/>
      <w:r w:rsidRPr="000C7C76">
        <w:rPr>
          <w:rFonts w:asciiTheme="majorBidi" w:hAnsiTheme="majorBidi" w:cstheme="majorBidi"/>
          <w:bCs/>
          <w:color w:val="323233"/>
          <w:lang w:val="en-US"/>
        </w:rPr>
        <w:t xml:space="preserve"> </w:t>
      </w:r>
      <w:proofErr w:type="spellStart"/>
      <w:r w:rsidRPr="000C7C76">
        <w:rPr>
          <w:rFonts w:asciiTheme="majorBidi" w:hAnsiTheme="majorBidi" w:cstheme="majorBidi"/>
          <w:bCs/>
          <w:color w:val="323233"/>
          <w:lang w:val="en-US"/>
        </w:rPr>
        <w:t>publiskais</w:t>
      </w:r>
      <w:proofErr w:type="spellEnd"/>
      <w:r w:rsidRPr="000C7C76">
        <w:rPr>
          <w:rFonts w:asciiTheme="majorBidi" w:hAnsiTheme="majorBidi" w:cstheme="majorBidi"/>
          <w:bCs/>
          <w:color w:val="323233"/>
          <w:lang w:val="en-US"/>
        </w:rPr>
        <w:t xml:space="preserve"> </w:t>
      </w:r>
      <w:proofErr w:type="spellStart"/>
      <w:r w:rsidRPr="000C7C76">
        <w:rPr>
          <w:rFonts w:asciiTheme="majorBidi" w:hAnsiTheme="majorBidi" w:cstheme="majorBidi"/>
          <w:bCs/>
          <w:color w:val="323233"/>
          <w:lang w:val="en-US"/>
        </w:rPr>
        <w:t>dokuments</w:t>
      </w:r>
      <w:proofErr w:type="spellEnd"/>
      <w:r w:rsidRPr="000C7C76">
        <w:rPr>
          <w:rFonts w:asciiTheme="majorBidi" w:hAnsiTheme="majorBidi" w:cstheme="majorBidi"/>
          <w:bCs/>
          <w:color w:val="323233"/>
          <w:lang w:val="en-US"/>
        </w:rPr>
        <w:t xml:space="preserve"> </w:t>
      </w:r>
      <w:proofErr w:type="spellStart"/>
      <w:r w:rsidRPr="000C7C76">
        <w:rPr>
          <w:rFonts w:asciiTheme="majorBidi" w:hAnsiTheme="majorBidi" w:cstheme="majorBidi"/>
          <w:bCs/>
          <w:color w:val="323233"/>
          <w:lang w:val="en-US"/>
        </w:rPr>
        <w:t>tiek</w:t>
      </w:r>
      <w:proofErr w:type="spellEnd"/>
      <w:r w:rsidRPr="000C7C76">
        <w:rPr>
          <w:rFonts w:asciiTheme="majorBidi" w:hAnsiTheme="majorBidi" w:cstheme="majorBidi"/>
          <w:bCs/>
          <w:color w:val="323233"/>
          <w:lang w:val="en-US"/>
        </w:rPr>
        <w:t xml:space="preserve"> </w:t>
      </w:r>
      <w:proofErr w:type="spellStart"/>
      <w:r w:rsidRPr="000C7C76">
        <w:rPr>
          <w:rFonts w:asciiTheme="majorBidi" w:hAnsiTheme="majorBidi" w:cstheme="majorBidi"/>
          <w:bCs/>
          <w:color w:val="323233"/>
          <w:lang w:val="en-US"/>
        </w:rPr>
        <w:t>iesniegts</w:t>
      </w:r>
      <w:proofErr w:type="spellEnd"/>
      <w:r w:rsidRPr="000C7C76">
        <w:rPr>
          <w:rFonts w:asciiTheme="majorBidi" w:hAnsiTheme="majorBidi" w:cstheme="majorBidi"/>
          <w:bCs/>
          <w:color w:val="323233"/>
          <w:lang w:val="en-US"/>
        </w:rPr>
        <w:t xml:space="preserve">, </w:t>
      </w:r>
      <w:proofErr w:type="spellStart"/>
      <w:r w:rsidRPr="000C7C76">
        <w:rPr>
          <w:rFonts w:asciiTheme="majorBidi" w:hAnsiTheme="majorBidi" w:cstheme="majorBidi"/>
          <w:bCs/>
          <w:color w:val="323233"/>
          <w:lang w:val="en-US"/>
        </w:rPr>
        <w:t>pati</w:t>
      </w:r>
      <w:proofErr w:type="spellEnd"/>
      <w:r w:rsidRPr="000C7C76">
        <w:rPr>
          <w:rFonts w:asciiTheme="majorBidi" w:hAnsiTheme="majorBidi" w:cstheme="majorBidi"/>
          <w:bCs/>
          <w:color w:val="323233"/>
          <w:lang w:val="en-US"/>
        </w:rPr>
        <w:t xml:space="preserve"> </w:t>
      </w:r>
      <w:proofErr w:type="spellStart"/>
      <w:r w:rsidRPr="000C7C76">
        <w:rPr>
          <w:rFonts w:asciiTheme="majorBidi" w:hAnsiTheme="majorBidi" w:cstheme="majorBidi"/>
          <w:bCs/>
          <w:color w:val="323233"/>
          <w:lang w:val="en-US"/>
        </w:rPr>
        <w:t>lemj</w:t>
      </w:r>
      <w:proofErr w:type="spellEnd"/>
      <w:r w:rsidRPr="000C7C76">
        <w:rPr>
          <w:rFonts w:asciiTheme="majorBidi" w:hAnsiTheme="majorBidi" w:cstheme="majorBidi"/>
          <w:bCs/>
          <w:color w:val="323233"/>
          <w:lang w:val="en-US"/>
        </w:rPr>
        <w:t xml:space="preserve">, </w:t>
      </w:r>
      <w:proofErr w:type="spellStart"/>
      <w:r w:rsidRPr="000C7C76">
        <w:rPr>
          <w:rFonts w:asciiTheme="majorBidi" w:hAnsiTheme="majorBidi" w:cstheme="majorBidi"/>
          <w:bCs/>
          <w:color w:val="323233"/>
          <w:lang w:val="en-US"/>
        </w:rPr>
        <w:t>cik</w:t>
      </w:r>
      <w:proofErr w:type="spellEnd"/>
      <w:r w:rsidRPr="000C7C76">
        <w:rPr>
          <w:rFonts w:asciiTheme="majorBidi" w:hAnsiTheme="majorBidi" w:cstheme="majorBidi"/>
          <w:bCs/>
          <w:color w:val="323233"/>
          <w:lang w:val="en-US"/>
        </w:rPr>
        <w:t xml:space="preserve"> </w:t>
      </w:r>
      <w:proofErr w:type="spellStart"/>
      <w:r w:rsidRPr="000C7C76">
        <w:rPr>
          <w:rFonts w:asciiTheme="majorBidi" w:hAnsiTheme="majorBidi" w:cstheme="majorBidi"/>
          <w:bCs/>
          <w:color w:val="323233"/>
          <w:lang w:val="en-US"/>
        </w:rPr>
        <w:t>lielu</w:t>
      </w:r>
      <w:proofErr w:type="spellEnd"/>
      <w:r w:rsidRPr="000C7C76">
        <w:rPr>
          <w:rFonts w:asciiTheme="majorBidi" w:hAnsiTheme="majorBidi" w:cstheme="majorBidi"/>
          <w:bCs/>
          <w:color w:val="323233"/>
          <w:lang w:val="en-US"/>
        </w:rPr>
        <w:t xml:space="preserve"> </w:t>
      </w:r>
      <w:proofErr w:type="spellStart"/>
      <w:r w:rsidRPr="000C7C76">
        <w:rPr>
          <w:rFonts w:asciiTheme="majorBidi" w:hAnsiTheme="majorBidi" w:cstheme="majorBidi"/>
          <w:bCs/>
          <w:color w:val="323233"/>
          <w:lang w:val="en-US"/>
        </w:rPr>
        <w:t>uzticību</w:t>
      </w:r>
      <w:proofErr w:type="spellEnd"/>
      <w:r w:rsidRPr="000C7C76">
        <w:rPr>
          <w:rFonts w:asciiTheme="majorBidi" w:hAnsiTheme="majorBidi" w:cstheme="majorBidi"/>
          <w:bCs/>
          <w:color w:val="323233"/>
          <w:lang w:val="en-US"/>
        </w:rPr>
        <w:t xml:space="preserve"> </w:t>
      </w:r>
      <w:proofErr w:type="spellStart"/>
      <w:r w:rsidRPr="000C7C76">
        <w:rPr>
          <w:rFonts w:asciiTheme="majorBidi" w:hAnsiTheme="majorBidi" w:cstheme="majorBidi"/>
          <w:bCs/>
          <w:color w:val="323233"/>
          <w:lang w:val="en-US"/>
        </w:rPr>
        <w:t>tas</w:t>
      </w:r>
      <w:proofErr w:type="spellEnd"/>
      <w:r w:rsidRPr="000C7C76">
        <w:rPr>
          <w:rFonts w:asciiTheme="majorBidi" w:hAnsiTheme="majorBidi" w:cstheme="majorBidi"/>
          <w:bCs/>
          <w:color w:val="323233"/>
          <w:lang w:val="en-US"/>
        </w:rPr>
        <w:t xml:space="preserve"> </w:t>
      </w:r>
      <w:proofErr w:type="spellStart"/>
      <w:r w:rsidRPr="000C7C76">
        <w:rPr>
          <w:rFonts w:asciiTheme="majorBidi" w:hAnsiTheme="majorBidi" w:cstheme="majorBidi"/>
          <w:bCs/>
          <w:color w:val="323233"/>
          <w:lang w:val="en-US"/>
        </w:rPr>
        <w:t>šajā</w:t>
      </w:r>
      <w:proofErr w:type="spellEnd"/>
      <w:r w:rsidRPr="000C7C76">
        <w:rPr>
          <w:rFonts w:asciiTheme="majorBidi" w:hAnsiTheme="majorBidi" w:cstheme="majorBidi"/>
          <w:bCs/>
          <w:color w:val="323233"/>
          <w:lang w:val="en-US"/>
        </w:rPr>
        <w:t xml:space="preserve"> </w:t>
      </w:r>
      <w:proofErr w:type="spellStart"/>
      <w:r w:rsidRPr="000C7C76">
        <w:rPr>
          <w:rFonts w:asciiTheme="majorBidi" w:hAnsiTheme="majorBidi" w:cstheme="majorBidi"/>
          <w:bCs/>
          <w:color w:val="323233"/>
          <w:lang w:val="en-US"/>
        </w:rPr>
        <w:t>valstī</w:t>
      </w:r>
      <w:proofErr w:type="spellEnd"/>
      <w:r w:rsidRPr="000C7C76">
        <w:rPr>
          <w:rFonts w:asciiTheme="majorBidi" w:hAnsiTheme="majorBidi" w:cstheme="majorBidi"/>
          <w:bCs/>
          <w:color w:val="323233"/>
          <w:lang w:val="en-US"/>
        </w:rPr>
        <w:t xml:space="preserve"> </w:t>
      </w:r>
      <w:proofErr w:type="spellStart"/>
      <w:r w:rsidRPr="000C7C76">
        <w:rPr>
          <w:rFonts w:asciiTheme="majorBidi" w:hAnsiTheme="majorBidi" w:cstheme="majorBidi"/>
          <w:bCs/>
          <w:color w:val="323233"/>
          <w:lang w:val="en-US"/>
        </w:rPr>
        <w:t>iegūst</w:t>
      </w:r>
      <w:proofErr w:type="spellEnd"/>
      <w:r w:rsidRPr="000C7C76">
        <w:rPr>
          <w:rFonts w:asciiTheme="majorBidi" w:hAnsiTheme="majorBidi" w:cstheme="majorBidi"/>
          <w:bCs/>
          <w:color w:val="323233"/>
          <w:lang w:val="en-US"/>
        </w:rPr>
        <w:t>.</w:t>
      </w:r>
      <w:r>
        <w:rPr>
          <w:rStyle w:val="FootnoteReference"/>
          <w:rFonts w:asciiTheme="majorBidi" w:hAnsiTheme="majorBidi" w:cstheme="majorBidi"/>
          <w:bCs/>
          <w:color w:val="323233"/>
        </w:rPr>
        <w:footnoteReference w:id="84"/>
      </w:r>
      <w:r w:rsidRPr="000C7C76">
        <w:rPr>
          <w:rFonts w:asciiTheme="majorBidi" w:hAnsiTheme="majorBidi" w:cstheme="majorBidi"/>
          <w:bCs/>
          <w:color w:val="323233"/>
          <w:lang w:val="en-US"/>
        </w:rPr>
        <w:t xml:space="preserve"> </w:t>
      </w:r>
      <w:proofErr w:type="spellStart"/>
      <w:r w:rsidRPr="000C7C76">
        <w:rPr>
          <w:rFonts w:asciiTheme="majorBidi" w:hAnsiTheme="majorBidi" w:cstheme="majorBidi"/>
          <w:bCs/>
          <w:lang w:val="en-US"/>
        </w:rPr>
        <w:t>Citiem</w:t>
      </w:r>
      <w:proofErr w:type="spellEnd"/>
      <w:r w:rsidRPr="000C7C76">
        <w:rPr>
          <w:rFonts w:asciiTheme="majorBidi" w:hAnsiTheme="majorBidi" w:cstheme="majorBidi"/>
          <w:bCs/>
          <w:lang w:val="en-US"/>
        </w:rPr>
        <w:t xml:space="preserve"> </w:t>
      </w:r>
      <w:proofErr w:type="spellStart"/>
      <w:r w:rsidRPr="000C7C76">
        <w:rPr>
          <w:rFonts w:asciiTheme="majorBidi" w:hAnsiTheme="majorBidi" w:cstheme="majorBidi"/>
          <w:bCs/>
          <w:lang w:val="en-US"/>
        </w:rPr>
        <w:t>vārdiem</w:t>
      </w:r>
      <w:proofErr w:type="spellEnd"/>
      <w:r w:rsidRPr="000C7C76">
        <w:rPr>
          <w:rFonts w:asciiTheme="majorBidi" w:hAnsiTheme="majorBidi" w:cstheme="majorBidi"/>
          <w:bCs/>
          <w:lang w:val="en-US"/>
        </w:rPr>
        <w:t xml:space="preserve"> </w:t>
      </w:r>
      <w:proofErr w:type="spellStart"/>
      <w:r w:rsidRPr="000C7C76">
        <w:rPr>
          <w:rFonts w:asciiTheme="majorBidi" w:hAnsiTheme="majorBidi" w:cstheme="majorBidi"/>
          <w:bCs/>
          <w:lang w:val="en-US"/>
        </w:rPr>
        <w:t>sakot</w:t>
      </w:r>
      <w:proofErr w:type="spellEnd"/>
      <w:r w:rsidRPr="000C7C76">
        <w:rPr>
          <w:rFonts w:asciiTheme="majorBidi" w:hAnsiTheme="majorBidi" w:cstheme="majorBidi"/>
          <w:bCs/>
          <w:lang w:val="en-US"/>
        </w:rPr>
        <w:t xml:space="preserve">, </w:t>
      </w:r>
      <w:proofErr w:type="spellStart"/>
      <w:r w:rsidRPr="000C7C76">
        <w:rPr>
          <w:rFonts w:asciiTheme="majorBidi" w:hAnsiTheme="majorBidi" w:cstheme="majorBidi"/>
          <w:bCs/>
          <w:lang w:val="en-US"/>
        </w:rPr>
        <w:t>dokumenta</w:t>
      </w:r>
      <w:proofErr w:type="spellEnd"/>
      <w:r w:rsidRPr="000C7C76">
        <w:rPr>
          <w:rFonts w:asciiTheme="majorBidi" w:hAnsiTheme="majorBidi" w:cstheme="majorBidi"/>
          <w:bCs/>
          <w:lang w:val="en-US"/>
        </w:rPr>
        <w:t xml:space="preserve"> </w:t>
      </w:r>
      <w:proofErr w:type="spellStart"/>
      <w:r w:rsidRPr="000C7C76">
        <w:rPr>
          <w:rFonts w:asciiTheme="majorBidi" w:hAnsiTheme="majorBidi" w:cstheme="majorBidi"/>
          <w:bCs/>
          <w:lang w:val="en-US"/>
        </w:rPr>
        <w:t>izmantošanas</w:t>
      </w:r>
      <w:proofErr w:type="spellEnd"/>
      <w:r w:rsidRPr="000C7C76">
        <w:rPr>
          <w:rFonts w:asciiTheme="majorBidi" w:hAnsiTheme="majorBidi" w:cstheme="majorBidi"/>
          <w:bCs/>
          <w:lang w:val="en-US"/>
        </w:rPr>
        <w:t xml:space="preserve"> </w:t>
      </w:r>
      <w:proofErr w:type="spellStart"/>
      <w:r w:rsidRPr="000C7C76">
        <w:rPr>
          <w:rFonts w:asciiTheme="majorBidi" w:hAnsiTheme="majorBidi" w:cstheme="majorBidi"/>
          <w:bCs/>
          <w:lang w:val="en-US"/>
        </w:rPr>
        <w:t>valsts</w:t>
      </w:r>
      <w:proofErr w:type="spellEnd"/>
      <w:r w:rsidRPr="000C7C76">
        <w:rPr>
          <w:rFonts w:asciiTheme="majorBidi" w:hAnsiTheme="majorBidi" w:cstheme="majorBidi"/>
          <w:bCs/>
          <w:lang w:val="en-US"/>
        </w:rPr>
        <w:t xml:space="preserve"> </w:t>
      </w:r>
      <w:proofErr w:type="spellStart"/>
      <w:r w:rsidRPr="000C7C76">
        <w:rPr>
          <w:rFonts w:asciiTheme="majorBidi" w:hAnsiTheme="majorBidi" w:cstheme="majorBidi"/>
          <w:bCs/>
          <w:lang w:val="en-US"/>
        </w:rPr>
        <w:t>ir</w:t>
      </w:r>
      <w:proofErr w:type="spellEnd"/>
      <w:r w:rsidRPr="000C7C76">
        <w:rPr>
          <w:rFonts w:asciiTheme="majorBidi" w:hAnsiTheme="majorBidi" w:cstheme="majorBidi"/>
          <w:bCs/>
          <w:lang w:val="en-US"/>
        </w:rPr>
        <w:t xml:space="preserve"> </w:t>
      </w:r>
      <w:proofErr w:type="spellStart"/>
      <w:r w:rsidRPr="000C7C76">
        <w:rPr>
          <w:rFonts w:asciiTheme="majorBidi" w:hAnsiTheme="majorBidi" w:cstheme="majorBidi"/>
          <w:bCs/>
          <w:lang w:val="en-US"/>
        </w:rPr>
        <w:t>tiesīga</w:t>
      </w:r>
      <w:proofErr w:type="spellEnd"/>
      <w:r w:rsidRPr="000C7C76">
        <w:rPr>
          <w:rFonts w:asciiTheme="majorBidi" w:hAnsiTheme="majorBidi" w:cstheme="majorBidi"/>
          <w:bCs/>
          <w:lang w:val="en-US"/>
        </w:rPr>
        <w:t xml:space="preserve"> </w:t>
      </w:r>
      <w:proofErr w:type="spellStart"/>
      <w:r w:rsidRPr="000C7C76">
        <w:rPr>
          <w:rFonts w:asciiTheme="majorBidi" w:hAnsiTheme="majorBidi" w:cstheme="majorBidi"/>
          <w:bCs/>
          <w:lang w:val="en-US"/>
        </w:rPr>
        <w:t>noteikt</w:t>
      </w:r>
      <w:proofErr w:type="spellEnd"/>
      <w:r w:rsidRPr="000C7C76">
        <w:rPr>
          <w:rFonts w:asciiTheme="majorBidi" w:hAnsiTheme="majorBidi" w:cstheme="majorBidi"/>
          <w:bCs/>
          <w:lang w:val="en-US"/>
        </w:rPr>
        <w:t xml:space="preserve">, </w:t>
      </w:r>
      <w:proofErr w:type="spellStart"/>
      <w:r w:rsidRPr="000C7C76">
        <w:rPr>
          <w:rFonts w:asciiTheme="majorBidi" w:hAnsiTheme="majorBidi" w:cstheme="majorBidi"/>
          <w:bCs/>
          <w:lang w:val="en-US"/>
        </w:rPr>
        <w:t>vai</w:t>
      </w:r>
      <w:proofErr w:type="spellEnd"/>
      <w:r w:rsidRPr="000C7C76">
        <w:rPr>
          <w:rFonts w:asciiTheme="majorBidi" w:hAnsiTheme="majorBidi" w:cstheme="majorBidi"/>
          <w:bCs/>
          <w:lang w:val="en-US"/>
        </w:rPr>
        <w:t xml:space="preserve"> </w:t>
      </w:r>
      <w:proofErr w:type="spellStart"/>
      <w:r w:rsidRPr="000C7C76">
        <w:rPr>
          <w:rFonts w:asciiTheme="majorBidi" w:hAnsiTheme="majorBidi" w:cstheme="majorBidi"/>
          <w:bCs/>
          <w:lang w:val="en-US"/>
        </w:rPr>
        <w:t>šāds</w:t>
      </w:r>
      <w:proofErr w:type="spellEnd"/>
      <w:r w:rsidRPr="000C7C76">
        <w:rPr>
          <w:rFonts w:asciiTheme="majorBidi" w:hAnsiTheme="majorBidi" w:cstheme="majorBidi"/>
          <w:bCs/>
          <w:lang w:val="en-US"/>
        </w:rPr>
        <w:t xml:space="preserve"> </w:t>
      </w:r>
      <w:proofErr w:type="spellStart"/>
      <w:r w:rsidRPr="000C7C76">
        <w:rPr>
          <w:rFonts w:asciiTheme="majorBidi" w:hAnsiTheme="majorBidi" w:cstheme="majorBidi"/>
          <w:bCs/>
          <w:lang w:val="en-US"/>
        </w:rPr>
        <w:t>ārvalsts</w:t>
      </w:r>
      <w:proofErr w:type="spellEnd"/>
      <w:r w:rsidRPr="000C7C76">
        <w:rPr>
          <w:rFonts w:asciiTheme="majorBidi" w:hAnsiTheme="majorBidi" w:cstheme="majorBidi"/>
          <w:bCs/>
          <w:lang w:val="en-US"/>
        </w:rPr>
        <w:t xml:space="preserve"> </w:t>
      </w:r>
      <w:proofErr w:type="spellStart"/>
      <w:r w:rsidRPr="000C7C76">
        <w:rPr>
          <w:rFonts w:asciiTheme="majorBidi" w:hAnsiTheme="majorBidi" w:cstheme="majorBidi"/>
          <w:bCs/>
          <w:lang w:val="en-US"/>
        </w:rPr>
        <w:t>dokuments</w:t>
      </w:r>
      <w:proofErr w:type="spellEnd"/>
      <w:r w:rsidRPr="000C7C76">
        <w:rPr>
          <w:rFonts w:asciiTheme="majorBidi" w:hAnsiTheme="majorBidi" w:cstheme="majorBidi"/>
          <w:bCs/>
          <w:lang w:val="en-US"/>
        </w:rPr>
        <w:t xml:space="preserve"> </w:t>
      </w:r>
      <w:proofErr w:type="spellStart"/>
      <w:r w:rsidRPr="000C7C76">
        <w:rPr>
          <w:rFonts w:asciiTheme="majorBidi" w:hAnsiTheme="majorBidi" w:cstheme="majorBidi"/>
          <w:bCs/>
          <w:lang w:val="en-US"/>
        </w:rPr>
        <w:t>ir</w:t>
      </w:r>
      <w:proofErr w:type="spellEnd"/>
      <w:r w:rsidRPr="000C7C76">
        <w:rPr>
          <w:rFonts w:asciiTheme="majorBidi" w:hAnsiTheme="majorBidi" w:cstheme="majorBidi"/>
          <w:bCs/>
          <w:lang w:val="en-US"/>
        </w:rPr>
        <w:t xml:space="preserve"> </w:t>
      </w:r>
      <w:proofErr w:type="spellStart"/>
      <w:r w:rsidRPr="000C7C76">
        <w:rPr>
          <w:rFonts w:asciiTheme="majorBidi" w:hAnsiTheme="majorBidi" w:cstheme="majorBidi"/>
          <w:bCs/>
          <w:lang w:val="en-US"/>
        </w:rPr>
        <w:t>pieļaujams</w:t>
      </w:r>
      <w:proofErr w:type="spellEnd"/>
      <w:r w:rsidRPr="000C7C76">
        <w:rPr>
          <w:rFonts w:asciiTheme="majorBidi" w:hAnsiTheme="majorBidi" w:cstheme="majorBidi"/>
          <w:bCs/>
          <w:lang w:val="en-US"/>
        </w:rPr>
        <w:t xml:space="preserve"> </w:t>
      </w:r>
      <w:proofErr w:type="spellStart"/>
      <w:r w:rsidRPr="000C7C76">
        <w:rPr>
          <w:rFonts w:asciiTheme="majorBidi" w:hAnsiTheme="majorBidi" w:cstheme="majorBidi"/>
          <w:bCs/>
          <w:lang w:val="en-US"/>
        </w:rPr>
        <w:t>iesniegšanai</w:t>
      </w:r>
      <w:proofErr w:type="spellEnd"/>
      <w:r w:rsidRPr="000C7C76">
        <w:rPr>
          <w:rFonts w:asciiTheme="majorBidi" w:hAnsiTheme="majorBidi" w:cstheme="majorBidi"/>
          <w:bCs/>
          <w:lang w:val="en-US"/>
        </w:rPr>
        <w:t xml:space="preserve"> un </w:t>
      </w:r>
      <w:proofErr w:type="spellStart"/>
      <w:r w:rsidRPr="000C7C76">
        <w:rPr>
          <w:rFonts w:asciiTheme="majorBidi" w:hAnsiTheme="majorBidi" w:cstheme="majorBidi"/>
          <w:bCs/>
          <w:lang w:val="en-US"/>
        </w:rPr>
        <w:t>kāds</w:t>
      </w:r>
      <w:proofErr w:type="spellEnd"/>
      <w:r w:rsidRPr="000C7C76">
        <w:rPr>
          <w:rFonts w:asciiTheme="majorBidi" w:hAnsiTheme="majorBidi" w:cstheme="majorBidi"/>
          <w:bCs/>
          <w:lang w:val="en-US"/>
        </w:rPr>
        <w:t xml:space="preserve"> </w:t>
      </w:r>
      <w:proofErr w:type="spellStart"/>
      <w:r w:rsidRPr="000C7C76">
        <w:rPr>
          <w:rFonts w:asciiTheme="majorBidi" w:hAnsiTheme="majorBidi" w:cstheme="majorBidi"/>
          <w:bCs/>
          <w:lang w:val="en-US"/>
        </w:rPr>
        <w:t>ir</w:t>
      </w:r>
      <w:proofErr w:type="spellEnd"/>
      <w:r w:rsidRPr="000C7C76">
        <w:rPr>
          <w:rFonts w:asciiTheme="majorBidi" w:hAnsiTheme="majorBidi" w:cstheme="majorBidi"/>
          <w:bCs/>
          <w:lang w:val="en-US"/>
        </w:rPr>
        <w:t xml:space="preserve"> </w:t>
      </w:r>
      <w:proofErr w:type="spellStart"/>
      <w:r w:rsidRPr="000C7C76">
        <w:rPr>
          <w:rFonts w:asciiTheme="majorBidi" w:hAnsiTheme="majorBidi" w:cstheme="majorBidi"/>
          <w:bCs/>
          <w:lang w:val="en-US"/>
        </w:rPr>
        <w:t>tā</w:t>
      </w:r>
      <w:proofErr w:type="spellEnd"/>
      <w:r w:rsidRPr="000C7C76">
        <w:rPr>
          <w:rFonts w:asciiTheme="majorBidi" w:hAnsiTheme="majorBidi" w:cstheme="majorBidi"/>
          <w:bCs/>
          <w:lang w:val="en-US"/>
        </w:rPr>
        <w:t xml:space="preserve"> </w:t>
      </w:r>
      <w:proofErr w:type="spellStart"/>
      <w:r w:rsidRPr="000C7C76">
        <w:rPr>
          <w:rFonts w:asciiTheme="majorBidi" w:hAnsiTheme="majorBidi" w:cstheme="majorBidi"/>
          <w:bCs/>
          <w:lang w:val="en-US"/>
        </w:rPr>
        <w:t>juridiskais</w:t>
      </w:r>
      <w:proofErr w:type="spellEnd"/>
      <w:r w:rsidRPr="000C7C76">
        <w:rPr>
          <w:rFonts w:asciiTheme="majorBidi" w:hAnsiTheme="majorBidi" w:cstheme="majorBidi"/>
          <w:bCs/>
          <w:lang w:val="en-US"/>
        </w:rPr>
        <w:t xml:space="preserve"> </w:t>
      </w:r>
      <w:proofErr w:type="spellStart"/>
      <w:r w:rsidRPr="000C7C76">
        <w:rPr>
          <w:rFonts w:asciiTheme="majorBidi" w:hAnsiTheme="majorBidi" w:cstheme="majorBidi"/>
          <w:bCs/>
          <w:lang w:val="en-US"/>
        </w:rPr>
        <w:t>statuss</w:t>
      </w:r>
      <w:proofErr w:type="spellEnd"/>
      <w:r w:rsidRPr="000C7C76">
        <w:rPr>
          <w:rFonts w:asciiTheme="majorBidi" w:hAnsiTheme="majorBidi" w:cstheme="majorBidi"/>
          <w:bCs/>
          <w:lang w:val="en-US"/>
        </w:rPr>
        <w:t>.</w:t>
      </w:r>
      <w:r w:rsidRPr="00565D81">
        <w:rPr>
          <w:rStyle w:val="FootnoteReference"/>
          <w:rFonts w:asciiTheme="majorBidi" w:hAnsiTheme="majorBidi" w:cstheme="majorBidi"/>
          <w:bCs/>
        </w:rPr>
        <w:footnoteReference w:id="85"/>
      </w:r>
    </w:p>
    <w:p w14:paraId="2893F0F2" w14:textId="77777777" w:rsidR="00114953" w:rsidRPr="00565D81" w:rsidRDefault="00114953" w:rsidP="00114953">
      <w:pPr>
        <w:widowControl w:val="0"/>
        <w:autoSpaceDE w:val="0"/>
        <w:autoSpaceDN w:val="0"/>
        <w:adjustRightInd w:val="0"/>
        <w:ind w:firstLine="708"/>
        <w:jc w:val="both"/>
        <w:rPr>
          <w:rFonts w:asciiTheme="majorBidi" w:hAnsiTheme="majorBidi" w:cstheme="majorBidi"/>
          <w:lang w:val="de-DE"/>
        </w:rPr>
      </w:pPr>
      <w:r w:rsidRPr="00565D81">
        <w:rPr>
          <w:rFonts w:ascii="Times New Roman" w:hAnsi="Times New Roman" w:cs="Arial"/>
          <w:lang w:val="de-DE"/>
        </w:rPr>
        <w:t xml:space="preserve">1961.gada 5.oktobra </w:t>
      </w:r>
      <w:proofErr w:type="spellStart"/>
      <w:r w:rsidRPr="00565D81">
        <w:rPr>
          <w:rFonts w:ascii="Times New Roman" w:hAnsi="Times New Roman" w:cs="Arial"/>
          <w:b/>
          <w:lang w:val="de-DE"/>
        </w:rPr>
        <w:t>Hāgas</w:t>
      </w:r>
      <w:proofErr w:type="spellEnd"/>
      <w:r w:rsidRPr="00565D81">
        <w:rPr>
          <w:rFonts w:ascii="Times New Roman" w:hAnsi="Times New Roman" w:cs="Arial"/>
          <w:b/>
          <w:lang w:val="de-DE"/>
        </w:rPr>
        <w:t xml:space="preserve"> </w:t>
      </w:r>
      <w:proofErr w:type="spellStart"/>
      <w:r w:rsidRPr="00565D81">
        <w:rPr>
          <w:rFonts w:ascii="Times New Roman" w:hAnsi="Times New Roman" w:cs="Arial"/>
          <w:b/>
          <w:lang w:val="de-DE"/>
        </w:rPr>
        <w:t>konvencija</w:t>
      </w:r>
      <w:proofErr w:type="spellEnd"/>
      <w:r w:rsidRPr="00565D81">
        <w:rPr>
          <w:rFonts w:ascii="Times New Roman" w:hAnsi="Times New Roman" w:cs="Arial"/>
          <w:b/>
          <w:lang w:val="de-DE"/>
        </w:rPr>
        <w:t xml:space="preserve"> </w:t>
      </w:r>
      <w:r w:rsidRPr="000C7C76">
        <w:rPr>
          <w:rFonts w:asciiTheme="majorBidi" w:hAnsiTheme="majorBidi" w:cstheme="majorBidi"/>
          <w:b/>
          <w:bCs/>
          <w:lang w:val="en-US"/>
        </w:rPr>
        <w:t xml:space="preserve">par </w:t>
      </w:r>
      <w:proofErr w:type="spellStart"/>
      <w:r w:rsidRPr="000C7C76">
        <w:rPr>
          <w:rFonts w:asciiTheme="majorBidi" w:hAnsiTheme="majorBidi" w:cstheme="majorBidi"/>
          <w:b/>
          <w:bCs/>
          <w:lang w:val="en-US"/>
        </w:rPr>
        <w:t>ārvalstu</w:t>
      </w:r>
      <w:proofErr w:type="spellEnd"/>
      <w:r w:rsidRPr="000C7C76">
        <w:rPr>
          <w:rFonts w:asciiTheme="majorBidi" w:hAnsiTheme="majorBidi" w:cstheme="majorBidi"/>
          <w:b/>
          <w:bCs/>
          <w:lang w:val="en-US"/>
        </w:rPr>
        <w:t xml:space="preserve"> </w:t>
      </w:r>
      <w:proofErr w:type="spellStart"/>
      <w:r w:rsidRPr="000C7C76">
        <w:rPr>
          <w:rFonts w:asciiTheme="majorBidi" w:hAnsiTheme="majorBidi" w:cstheme="majorBidi"/>
          <w:b/>
          <w:bCs/>
          <w:lang w:val="en-US"/>
        </w:rPr>
        <w:t>publisko</w:t>
      </w:r>
      <w:proofErr w:type="spellEnd"/>
      <w:r w:rsidRPr="000C7C76">
        <w:rPr>
          <w:rFonts w:asciiTheme="majorBidi" w:hAnsiTheme="majorBidi" w:cstheme="majorBidi"/>
          <w:b/>
          <w:bCs/>
          <w:lang w:val="en-US"/>
        </w:rPr>
        <w:t xml:space="preserve"> </w:t>
      </w:r>
      <w:proofErr w:type="spellStart"/>
      <w:r w:rsidRPr="000C7C76">
        <w:rPr>
          <w:rFonts w:asciiTheme="majorBidi" w:hAnsiTheme="majorBidi" w:cstheme="majorBidi"/>
          <w:b/>
          <w:bCs/>
          <w:lang w:val="en-US"/>
        </w:rPr>
        <w:t>dokumentu</w:t>
      </w:r>
      <w:proofErr w:type="spellEnd"/>
      <w:r w:rsidRPr="000C7C76">
        <w:rPr>
          <w:rFonts w:asciiTheme="majorBidi" w:hAnsiTheme="majorBidi" w:cstheme="majorBidi"/>
          <w:b/>
          <w:bCs/>
          <w:lang w:val="en-US"/>
        </w:rPr>
        <w:t xml:space="preserve"> </w:t>
      </w:r>
      <w:proofErr w:type="spellStart"/>
      <w:r w:rsidRPr="000C7C76">
        <w:rPr>
          <w:rFonts w:asciiTheme="majorBidi" w:hAnsiTheme="majorBidi" w:cstheme="majorBidi"/>
          <w:b/>
          <w:bCs/>
          <w:lang w:val="en-US"/>
        </w:rPr>
        <w:t>legalizācijas</w:t>
      </w:r>
      <w:proofErr w:type="spellEnd"/>
      <w:r w:rsidRPr="000C7C76">
        <w:rPr>
          <w:rFonts w:asciiTheme="majorBidi" w:hAnsiTheme="majorBidi" w:cstheme="majorBidi"/>
          <w:b/>
          <w:bCs/>
          <w:lang w:val="en-US"/>
        </w:rPr>
        <w:t xml:space="preserve"> </w:t>
      </w:r>
      <w:proofErr w:type="spellStart"/>
      <w:r w:rsidRPr="000C7C76">
        <w:rPr>
          <w:rFonts w:asciiTheme="majorBidi" w:hAnsiTheme="majorBidi" w:cstheme="majorBidi"/>
          <w:b/>
          <w:bCs/>
          <w:lang w:val="en-US"/>
        </w:rPr>
        <w:t>prasības</w:t>
      </w:r>
      <w:proofErr w:type="spellEnd"/>
      <w:r w:rsidRPr="000C7C76">
        <w:rPr>
          <w:rFonts w:asciiTheme="majorBidi" w:hAnsiTheme="majorBidi" w:cstheme="majorBidi"/>
          <w:b/>
          <w:bCs/>
          <w:lang w:val="en-US"/>
        </w:rPr>
        <w:t xml:space="preserve"> </w:t>
      </w:r>
      <w:proofErr w:type="spellStart"/>
      <w:r w:rsidRPr="000C7C76">
        <w:rPr>
          <w:rFonts w:asciiTheme="majorBidi" w:hAnsiTheme="majorBidi" w:cstheme="majorBidi"/>
          <w:b/>
          <w:bCs/>
          <w:lang w:val="en-US"/>
        </w:rPr>
        <w:t>atcelšanu</w:t>
      </w:r>
      <w:proofErr w:type="spellEnd"/>
      <w:r w:rsidRPr="00565D81">
        <w:rPr>
          <w:rStyle w:val="FootnoteReference"/>
          <w:rFonts w:asciiTheme="majorBidi" w:hAnsiTheme="majorBidi" w:cstheme="majorBidi"/>
          <w:bCs/>
        </w:rPr>
        <w:footnoteReference w:id="86"/>
      </w:r>
      <w:r w:rsidRPr="000C7C76">
        <w:rPr>
          <w:rFonts w:asciiTheme="majorBidi" w:hAnsiTheme="majorBidi" w:cstheme="majorBidi"/>
          <w:bCs/>
          <w:lang w:val="en-US"/>
        </w:rPr>
        <w:t xml:space="preserve"> (</w:t>
      </w:r>
      <w:proofErr w:type="spellStart"/>
      <w:r w:rsidRPr="000C7C76">
        <w:rPr>
          <w:rFonts w:asciiTheme="majorBidi" w:hAnsiTheme="majorBidi" w:cstheme="majorBidi"/>
          <w:bCs/>
          <w:lang w:val="en-US"/>
        </w:rPr>
        <w:t>turpmāk</w:t>
      </w:r>
      <w:proofErr w:type="spellEnd"/>
      <w:r w:rsidRPr="000C7C76">
        <w:rPr>
          <w:rFonts w:asciiTheme="majorBidi" w:hAnsiTheme="majorBidi" w:cstheme="majorBidi"/>
          <w:bCs/>
          <w:lang w:val="en-US"/>
        </w:rPr>
        <w:t xml:space="preserve"> – </w:t>
      </w:r>
      <w:proofErr w:type="spellStart"/>
      <w:r w:rsidRPr="000C7C76">
        <w:rPr>
          <w:rFonts w:asciiTheme="majorBidi" w:hAnsiTheme="majorBidi" w:cstheme="majorBidi"/>
          <w:bCs/>
          <w:lang w:val="en-US"/>
        </w:rPr>
        <w:t>Hāgas</w:t>
      </w:r>
      <w:proofErr w:type="spellEnd"/>
      <w:r w:rsidRPr="000C7C76">
        <w:rPr>
          <w:rFonts w:asciiTheme="majorBidi" w:hAnsiTheme="majorBidi" w:cstheme="majorBidi"/>
          <w:bCs/>
          <w:lang w:val="en-US"/>
        </w:rPr>
        <w:t xml:space="preserve"> </w:t>
      </w:r>
      <w:proofErr w:type="spellStart"/>
      <w:r w:rsidRPr="000C7C76">
        <w:rPr>
          <w:rFonts w:asciiTheme="majorBidi" w:hAnsiTheme="majorBidi" w:cstheme="majorBidi"/>
          <w:bCs/>
          <w:lang w:val="en-US"/>
        </w:rPr>
        <w:t>Dokumentu</w:t>
      </w:r>
      <w:proofErr w:type="spellEnd"/>
      <w:r w:rsidRPr="000C7C76">
        <w:rPr>
          <w:rFonts w:asciiTheme="majorBidi" w:hAnsiTheme="majorBidi" w:cstheme="majorBidi"/>
          <w:bCs/>
          <w:lang w:val="en-US"/>
        </w:rPr>
        <w:t xml:space="preserve"> </w:t>
      </w:r>
      <w:proofErr w:type="spellStart"/>
      <w:r w:rsidRPr="000C7C76">
        <w:rPr>
          <w:rFonts w:asciiTheme="majorBidi" w:hAnsiTheme="majorBidi" w:cstheme="majorBidi"/>
          <w:bCs/>
          <w:lang w:val="en-US"/>
        </w:rPr>
        <w:t>legalizācijas</w:t>
      </w:r>
      <w:proofErr w:type="spellEnd"/>
      <w:r w:rsidRPr="000C7C76">
        <w:rPr>
          <w:rFonts w:asciiTheme="majorBidi" w:hAnsiTheme="majorBidi" w:cstheme="majorBidi"/>
          <w:bCs/>
          <w:lang w:val="en-US"/>
        </w:rPr>
        <w:t xml:space="preserve"> </w:t>
      </w:r>
      <w:proofErr w:type="spellStart"/>
      <w:r w:rsidRPr="000C7C76">
        <w:rPr>
          <w:rFonts w:asciiTheme="majorBidi" w:hAnsiTheme="majorBidi" w:cstheme="majorBidi"/>
          <w:bCs/>
          <w:lang w:val="en-US"/>
        </w:rPr>
        <w:t>atcelšanas</w:t>
      </w:r>
      <w:proofErr w:type="spellEnd"/>
      <w:r w:rsidRPr="000C7C76">
        <w:rPr>
          <w:rFonts w:asciiTheme="majorBidi" w:hAnsiTheme="majorBidi" w:cstheme="majorBidi"/>
          <w:bCs/>
          <w:lang w:val="en-US"/>
        </w:rPr>
        <w:t xml:space="preserve"> </w:t>
      </w:r>
      <w:proofErr w:type="spellStart"/>
      <w:r w:rsidRPr="000C7C76">
        <w:rPr>
          <w:rFonts w:asciiTheme="majorBidi" w:hAnsiTheme="majorBidi" w:cstheme="majorBidi"/>
          <w:bCs/>
          <w:lang w:val="en-US"/>
        </w:rPr>
        <w:t>konvencija</w:t>
      </w:r>
      <w:proofErr w:type="spellEnd"/>
      <w:r w:rsidRPr="000C7C76">
        <w:rPr>
          <w:rFonts w:asciiTheme="majorBidi" w:hAnsiTheme="majorBidi" w:cstheme="majorBidi"/>
          <w:bCs/>
          <w:lang w:val="en-US"/>
        </w:rPr>
        <w:t>)</w:t>
      </w:r>
      <w:r w:rsidRPr="000C7C76">
        <w:rPr>
          <w:rFonts w:asciiTheme="majorBidi" w:hAnsiTheme="majorBidi" w:cstheme="majorBidi"/>
          <w:lang w:val="en-US"/>
        </w:rPr>
        <w:t xml:space="preserve"> it </w:t>
      </w:r>
      <w:proofErr w:type="spellStart"/>
      <w:r w:rsidRPr="000C7C76">
        <w:rPr>
          <w:rFonts w:asciiTheme="majorBidi" w:hAnsiTheme="majorBidi" w:cstheme="majorBidi"/>
          <w:lang w:val="en-US"/>
        </w:rPr>
        <w:t>kā</w:t>
      </w:r>
      <w:proofErr w:type="spellEnd"/>
      <w:r w:rsidRPr="000C7C76">
        <w:rPr>
          <w:rFonts w:asciiTheme="majorBidi" w:hAnsiTheme="majorBidi" w:cstheme="majorBidi"/>
          <w:lang w:val="en-US"/>
        </w:rPr>
        <w:t xml:space="preserve"> </w:t>
      </w:r>
      <w:proofErr w:type="spellStart"/>
      <w:r w:rsidRPr="000C7C76">
        <w:rPr>
          <w:rFonts w:asciiTheme="majorBidi" w:hAnsiTheme="majorBidi" w:cstheme="majorBidi"/>
          <w:lang w:val="en-US"/>
        </w:rPr>
        <w:t>formāli</w:t>
      </w:r>
      <w:proofErr w:type="spellEnd"/>
      <w:r w:rsidRPr="000C7C76">
        <w:rPr>
          <w:rFonts w:asciiTheme="majorBidi" w:hAnsiTheme="majorBidi" w:cstheme="majorBidi"/>
          <w:lang w:val="en-US"/>
        </w:rPr>
        <w:t xml:space="preserve"> </w:t>
      </w:r>
      <w:proofErr w:type="spellStart"/>
      <w:r w:rsidRPr="000C7C76">
        <w:rPr>
          <w:rFonts w:asciiTheme="majorBidi" w:hAnsiTheme="majorBidi" w:cstheme="majorBidi"/>
          <w:lang w:val="en-US"/>
        </w:rPr>
        <w:t>atceļ</w:t>
      </w:r>
      <w:proofErr w:type="spellEnd"/>
      <w:r w:rsidRPr="000C7C76">
        <w:rPr>
          <w:rFonts w:asciiTheme="majorBidi" w:hAnsiTheme="majorBidi" w:cstheme="majorBidi"/>
          <w:lang w:val="en-US"/>
        </w:rPr>
        <w:t xml:space="preserve"> </w:t>
      </w:r>
      <w:proofErr w:type="spellStart"/>
      <w:r w:rsidRPr="000C7C76">
        <w:rPr>
          <w:rFonts w:asciiTheme="majorBidi" w:hAnsiTheme="majorBidi" w:cstheme="majorBidi"/>
          <w:lang w:val="en-US"/>
        </w:rPr>
        <w:t>dokumentu</w:t>
      </w:r>
      <w:proofErr w:type="spellEnd"/>
      <w:r w:rsidRPr="000C7C76">
        <w:rPr>
          <w:rFonts w:asciiTheme="majorBidi" w:hAnsiTheme="majorBidi" w:cstheme="majorBidi"/>
          <w:lang w:val="en-US"/>
        </w:rPr>
        <w:t xml:space="preserve"> </w:t>
      </w:r>
      <w:proofErr w:type="spellStart"/>
      <w:r w:rsidRPr="000C7C76">
        <w:rPr>
          <w:rFonts w:asciiTheme="majorBidi" w:hAnsiTheme="majorBidi" w:cstheme="majorBidi"/>
          <w:lang w:val="en-US"/>
        </w:rPr>
        <w:t>legalizāciju</w:t>
      </w:r>
      <w:proofErr w:type="spellEnd"/>
      <w:r w:rsidRPr="000C7C76">
        <w:rPr>
          <w:rFonts w:asciiTheme="majorBidi" w:hAnsiTheme="majorBidi" w:cstheme="majorBidi"/>
          <w:lang w:val="en-US"/>
        </w:rPr>
        <w:t xml:space="preserve"> </w:t>
      </w:r>
      <w:proofErr w:type="spellStart"/>
      <w:r w:rsidRPr="000C7C76">
        <w:rPr>
          <w:rFonts w:asciiTheme="majorBidi" w:hAnsiTheme="majorBidi" w:cstheme="majorBidi"/>
          <w:lang w:val="en-US"/>
        </w:rPr>
        <w:t>dalībvalstī</w:t>
      </w:r>
      <w:proofErr w:type="spellEnd"/>
      <w:r w:rsidRPr="000C7C76">
        <w:rPr>
          <w:rFonts w:asciiTheme="majorBidi" w:hAnsiTheme="majorBidi" w:cstheme="majorBidi"/>
          <w:lang w:val="en-US"/>
        </w:rPr>
        <w:t xml:space="preserve">, </w:t>
      </w:r>
      <w:proofErr w:type="spellStart"/>
      <w:r w:rsidRPr="000C7C76">
        <w:rPr>
          <w:rFonts w:asciiTheme="majorBidi" w:hAnsiTheme="majorBidi" w:cstheme="majorBidi"/>
          <w:lang w:val="en-US"/>
        </w:rPr>
        <w:t>kuras</w:t>
      </w:r>
      <w:proofErr w:type="spellEnd"/>
      <w:r w:rsidRPr="000C7C76">
        <w:rPr>
          <w:rFonts w:asciiTheme="majorBidi" w:hAnsiTheme="majorBidi" w:cstheme="majorBidi"/>
          <w:lang w:val="en-US"/>
        </w:rPr>
        <w:t xml:space="preserve"> </w:t>
      </w:r>
      <w:proofErr w:type="spellStart"/>
      <w:r w:rsidRPr="000C7C76">
        <w:rPr>
          <w:rFonts w:asciiTheme="majorBidi" w:hAnsiTheme="majorBidi" w:cstheme="majorBidi"/>
          <w:lang w:val="en-US"/>
        </w:rPr>
        <w:t>teritorijā</w:t>
      </w:r>
      <w:proofErr w:type="spellEnd"/>
      <w:r w:rsidRPr="000C7C76">
        <w:rPr>
          <w:rFonts w:asciiTheme="majorBidi" w:hAnsiTheme="majorBidi" w:cstheme="majorBidi"/>
          <w:lang w:val="en-US"/>
        </w:rPr>
        <w:t xml:space="preserve"> </w:t>
      </w:r>
      <w:proofErr w:type="spellStart"/>
      <w:r w:rsidRPr="000C7C76">
        <w:rPr>
          <w:rFonts w:asciiTheme="majorBidi" w:hAnsiTheme="majorBidi" w:cstheme="majorBidi"/>
          <w:lang w:val="en-US"/>
        </w:rPr>
        <w:t>dokuments</w:t>
      </w:r>
      <w:proofErr w:type="spellEnd"/>
      <w:r w:rsidRPr="000C7C76">
        <w:rPr>
          <w:rFonts w:asciiTheme="majorBidi" w:hAnsiTheme="majorBidi" w:cstheme="majorBidi"/>
          <w:lang w:val="en-US"/>
        </w:rPr>
        <w:t xml:space="preserve"> </w:t>
      </w:r>
      <w:proofErr w:type="spellStart"/>
      <w:r w:rsidRPr="000C7C76">
        <w:rPr>
          <w:rFonts w:asciiTheme="majorBidi" w:hAnsiTheme="majorBidi" w:cstheme="majorBidi"/>
          <w:lang w:val="en-US"/>
        </w:rPr>
        <w:t>jāuzrāda</w:t>
      </w:r>
      <w:proofErr w:type="spellEnd"/>
      <w:r w:rsidRPr="000C7C76">
        <w:rPr>
          <w:rFonts w:asciiTheme="majorBidi" w:hAnsiTheme="majorBidi" w:cstheme="majorBidi"/>
          <w:lang w:val="en-US"/>
        </w:rPr>
        <w:t xml:space="preserve"> (skat. </w:t>
      </w:r>
      <w:proofErr w:type="spellStart"/>
      <w:r w:rsidRPr="000C7C76">
        <w:rPr>
          <w:rFonts w:asciiTheme="majorBidi" w:hAnsiTheme="majorBidi" w:cstheme="majorBidi"/>
          <w:lang w:val="en-US"/>
        </w:rPr>
        <w:t>Konvencijas</w:t>
      </w:r>
      <w:proofErr w:type="spellEnd"/>
      <w:r w:rsidRPr="000C7C76">
        <w:rPr>
          <w:rFonts w:asciiTheme="majorBidi" w:hAnsiTheme="majorBidi" w:cstheme="majorBidi"/>
          <w:lang w:val="en-US"/>
        </w:rPr>
        <w:t xml:space="preserve"> </w:t>
      </w:r>
      <w:proofErr w:type="gramStart"/>
      <w:r w:rsidRPr="000C7C76">
        <w:rPr>
          <w:rFonts w:asciiTheme="majorBidi" w:hAnsiTheme="majorBidi" w:cstheme="majorBidi"/>
          <w:lang w:val="en-US"/>
        </w:rPr>
        <w:t>2.p.</w:t>
      </w:r>
      <w:proofErr w:type="gramEnd"/>
      <w:r w:rsidRPr="000C7C76">
        <w:rPr>
          <w:rFonts w:asciiTheme="majorBidi" w:hAnsiTheme="majorBidi" w:cstheme="majorBidi"/>
          <w:lang w:val="en-US"/>
        </w:rPr>
        <w:t xml:space="preserve"> 1.teikumu</w:t>
      </w:r>
      <w:r w:rsidRPr="00565D81">
        <w:rPr>
          <w:rStyle w:val="FootnoteReference"/>
          <w:rFonts w:asciiTheme="majorBidi" w:hAnsiTheme="majorBidi" w:cstheme="majorBidi"/>
        </w:rPr>
        <w:footnoteReference w:id="87"/>
      </w:r>
      <w:r w:rsidRPr="000C7C76">
        <w:rPr>
          <w:rFonts w:asciiTheme="majorBidi" w:hAnsiTheme="majorBidi" w:cstheme="majorBidi"/>
          <w:lang w:val="en-US"/>
        </w:rPr>
        <w:t xml:space="preserve">). </w:t>
      </w:r>
      <w:proofErr w:type="spellStart"/>
      <w:r w:rsidRPr="00565D81">
        <w:rPr>
          <w:rFonts w:asciiTheme="majorBidi" w:hAnsiTheme="majorBidi" w:cstheme="majorBidi"/>
          <w:lang w:val="de-DE"/>
        </w:rPr>
        <w:t>Taču</w:t>
      </w:r>
      <w:proofErr w:type="spellEnd"/>
      <w:r w:rsidRPr="00565D81">
        <w:rPr>
          <w:rFonts w:asciiTheme="majorBidi" w:hAnsiTheme="majorBidi" w:cstheme="majorBidi"/>
          <w:lang w:val="de-DE"/>
        </w:rPr>
        <w:t xml:space="preserve"> </w:t>
      </w:r>
      <w:proofErr w:type="spellStart"/>
      <w:r w:rsidRPr="00565D81">
        <w:rPr>
          <w:rFonts w:asciiTheme="majorBidi" w:hAnsiTheme="majorBidi" w:cstheme="majorBidi"/>
          <w:lang w:val="de-DE"/>
        </w:rPr>
        <w:t>Konvencijas</w:t>
      </w:r>
      <w:proofErr w:type="spellEnd"/>
      <w:r w:rsidRPr="00565D81">
        <w:rPr>
          <w:rFonts w:asciiTheme="majorBidi" w:hAnsiTheme="majorBidi" w:cstheme="majorBidi"/>
          <w:lang w:val="de-DE"/>
        </w:rPr>
        <w:t xml:space="preserve"> 2.panta 2.teikums </w:t>
      </w:r>
      <w:proofErr w:type="spellStart"/>
      <w:r w:rsidRPr="00565D81">
        <w:rPr>
          <w:rFonts w:asciiTheme="majorBidi" w:hAnsiTheme="majorBidi" w:cstheme="majorBidi"/>
          <w:lang w:val="de-DE"/>
        </w:rPr>
        <w:t>tālāk</w:t>
      </w:r>
      <w:proofErr w:type="spellEnd"/>
      <w:r w:rsidRPr="00565D81">
        <w:rPr>
          <w:rFonts w:asciiTheme="majorBidi" w:hAnsiTheme="majorBidi" w:cstheme="majorBidi"/>
          <w:lang w:val="de-DE"/>
        </w:rPr>
        <w:t xml:space="preserve"> </w:t>
      </w:r>
      <w:proofErr w:type="spellStart"/>
      <w:r w:rsidRPr="00565D81">
        <w:rPr>
          <w:rFonts w:asciiTheme="majorBidi" w:hAnsiTheme="majorBidi" w:cstheme="majorBidi"/>
          <w:lang w:val="de-DE"/>
        </w:rPr>
        <w:t>uzreiz</w:t>
      </w:r>
      <w:proofErr w:type="spellEnd"/>
      <w:r w:rsidRPr="00565D81">
        <w:rPr>
          <w:rFonts w:asciiTheme="majorBidi" w:hAnsiTheme="majorBidi" w:cstheme="majorBidi"/>
          <w:lang w:val="de-DE"/>
        </w:rPr>
        <w:t xml:space="preserve"> </w:t>
      </w:r>
      <w:proofErr w:type="spellStart"/>
      <w:r w:rsidRPr="00565D81">
        <w:rPr>
          <w:rFonts w:asciiTheme="majorBidi" w:hAnsiTheme="majorBidi" w:cstheme="majorBidi"/>
          <w:lang w:val="de-DE"/>
        </w:rPr>
        <w:t>definē</w:t>
      </w:r>
      <w:proofErr w:type="spellEnd"/>
      <w:r w:rsidRPr="00565D81">
        <w:rPr>
          <w:rFonts w:asciiTheme="majorBidi" w:hAnsiTheme="majorBidi" w:cstheme="majorBidi"/>
          <w:lang w:val="de-DE"/>
        </w:rPr>
        <w:t xml:space="preserve"> </w:t>
      </w:r>
      <w:proofErr w:type="spellStart"/>
      <w:r w:rsidRPr="00565D81">
        <w:rPr>
          <w:rFonts w:asciiTheme="majorBidi" w:hAnsiTheme="majorBidi" w:cstheme="majorBidi"/>
          <w:lang w:val="de-DE"/>
        </w:rPr>
        <w:t>jēdzienu</w:t>
      </w:r>
      <w:proofErr w:type="spellEnd"/>
      <w:r w:rsidRPr="00565D81">
        <w:rPr>
          <w:rFonts w:asciiTheme="majorBidi" w:hAnsiTheme="majorBidi" w:cstheme="majorBidi"/>
          <w:lang w:val="de-DE"/>
        </w:rPr>
        <w:t xml:space="preserve"> „</w:t>
      </w:r>
      <w:proofErr w:type="spellStart"/>
      <w:r w:rsidRPr="00565D81">
        <w:rPr>
          <w:rFonts w:asciiTheme="majorBidi" w:hAnsiTheme="majorBidi" w:cstheme="majorBidi"/>
          <w:lang w:val="de-DE"/>
        </w:rPr>
        <w:t>legalizācija</w:t>
      </w:r>
      <w:proofErr w:type="spellEnd"/>
      <w:r w:rsidRPr="00565D81">
        <w:rPr>
          <w:rFonts w:asciiTheme="majorBidi" w:hAnsiTheme="majorBidi" w:cstheme="majorBidi"/>
          <w:lang w:val="de-DE"/>
        </w:rPr>
        <w:t xml:space="preserve">“ </w:t>
      </w:r>
      <w:proofErr w:type="spellStart"/>
      <w:r w:rsidRPr="00565D81">
        <w:rPr>
          <w:rFonts w:asciiTheme="majorBidi" w:hAnsiTheme="majorBidi" w:cstheme="majorBidi"/>
          <w:lang w:val="de-DE"/>
        </w:rPr>
        <w:t>šīs</w:t>
      </w:r>
      <w:proofErr w:type="spellEnd"/>
      <w:r w:rsidRPr="00565D81">
        <w:rPr>
          <w:rFonts w:asciiTheme="majorBidi" w:hAnsiTheme="majorBidi" w:cstheme="majorBidi"/>
          <w:lang w:val="de-DE"/>
        </w:rPr>
        <w:t xml:space="preserve"> </w:t>
      </w:r>
      <w:proofErr w:type="spellStart"/>
      <w:r w:rsidRPr="00565D81">
        <w:rPr>
          <w:rFonts w:asciiTheme="majorBidi" w:hAnsiTheme="majorBidi" w:cstheme="majorBidi"/>
          <w:lang w:val="de-DE"/>
        </w:rPr>
        <w:t>Konvencijas</w:t>
      </w:r>
      <w:proofErr w:type="spellEnd"/>
      <w:r w:rsidRPr="00565D81">
        <w:rPr>
          <w:rFonts w:asciiTheme="majorBidi" w:hAnsiTheme="majorBidi" w:cstheme="majorBidi"/>
          <w:lang w:val="de-DE"/>
        </w:rPr>
        <w:t xml:space="preserve"> </w:t>
      </w:r>
      <w:proofErr w:type="spellStart"/>
      <w:r w:rsidRPr="00565D81">
        <w:rPr>
          <w:rFonts w:asciiTheme="majorBidi" w:hAnsiTheme="majorBidi" w:cstheme="majorBidi"/>
          <w:lang w:val="de-DE"/>
        </w:rPr>
        <w:t>vajadzībām</w:t>
      </w:r>
      <w:proofErr w:type="spellEnd"/>
      <w:r w:rsidRPr="00565D81">
        <w:rPr>
          <w:rFonts w:asciiTheme="majorBidi" w:hAnsiTheme="majorBidi" w:cstheme="majorBidi"/>
          <w:lang w:val="de-DE"/>
        </w:rPr>
        <w:t>: „</w:t>
      </w:r>
      <w:proofErr w:type="spellStart"/>
      <w:r w:rsidRPr="00565D81">
        <w:rPr>
          <w:rFonts w:asciiTheme="majorBidi" w:hAnsiTheme="majorBidi" w:cstheme="majorBidi"/>
          <w:lang w:val="de-DE"/>
        </w:rPr>
        <w:t>Šīs</w:t>
      </w:r>
      <w:proofErr w:type="spellEnd"/>
      <w:r w:rsidRPr="00565D81">
        <w:rPr>
          <w:rFonts w:asciiTheme="majorBidi" w:hAnsiTheme="majorBidi" w:cstheme="majorBidi"/>
          <w:lang w:val="de-DE"/>
        </w:rPr>
        <w:t xml:space="preserve"> </w:t>
      </w:r>
      <w:proofErr w:type="spellStart"/>
      <w:r w:rsidRPr="00565D81">
        <w:rPr>
          <w:rFonts w:asciiTheme="majorBidi" w:hAnsiTheme="majorBidi" w:cstheme="majorBidi"/>
          <w:lang w:val="de-DE"/>
        </w:rPr>
        <w:t>Konvencijas</w:t>
      </w:r>
      <w:proofErr w:type="spellEnd"/>
      <w:r w:rsidRPr="00565D81">
        <w:rPr>
          <w:rFonts w:asciiTheme="majorBidi" w:hAnsiTheme="majorBidi" w:cstheme="majorBidi"/>
          <w:lang w:val="de-DE"/>
        </w:rPr>
        <w:t xml:space="preserve"> </w:t>
      </w:r>
      <w:proofErr w:type="spellStart"/>
      <w:r w:rsidRPr="00565D81">
        <w:rPr>
          <w:rFonts w:asciiTheme="majorBidi" w:hAnsiTheme="majorBidi" w:cstheme="majorBidi"/>
          <w:lang w:val="de-DE"/>
        </w:rPr>
        <w:t>nolūkiem</w:t>
      </w:r>
      <w:proofErr w:type="spellEnd"/>
      <w:r w:rsidRPr="00565D81">
        <w:rPr>
          <w:rFonts w:asciiTheme="majorBidi" w:hAnsiTheme="majorBidi" w:cstheme="majorBidi"/>
          <w:lang w:val="de-DE"/>
        </w:rPr>
        <w:t xml:space="preserve"> </w:t>
      </w:r>
      <w:proofErr w:type="spellStart"/>
      <w:r w:rsidRPr="00565D81">
        <w:rPr>
          <w:rFonts w:asciiTheme="majorBidi" w:hAnsiTheme="majorBidi" w:cstheme="majorBidi"/>
          <w:b/>
          <w:lang w:val="de-DE"/>
        </w:rPr>
        <w:t>legalizācija</w:t>
      </w:r>
      <w:proofErr w:type="spellEnd"/>
      <w:r w:rsidRPr="00565D81">
        <w:rPr>
          <w:rFonts w:asciiTheme="majorBidi" w:hAnsiTheme="majorBidi" w:cstheme="majorBidi"/>
          <w:lang w:val="de-DE"/>
        </w:rPr>
        <w:t xml:space="preserve"> </w:t>
      </w:r>
      <w:proofErr w:type="spellStart"/>
      <w:r w:rsidRPr="00565D81">
        <w:rPr>
          <w:rFonts w:asciiTheme="majorBidi" w:hAnsiTheme="majorBidi" w:cstheme="majorBidi"/>
          <w:lang w:val="de-DE"/>
        </w:rPr>
        <w:t>nozīmē</w:t>
      </w:r>
      <w:proofErr w:type="spellEnd"/>
      <w:r w:rsidRPr="00565D81">
        <w:rPr>
          <w:rFonts w:asciiTheme="majorBidi" w:hAnsiTheme="majorBidi" w:cstheme="majorBidi"/>
          <w:lang w:val="de-DE"/>
        </w:rPr>
        <w:t xml:space="preserve"> </w:t>
      </w:r>
      <w:proofErr w:type="spellStart"/>
      <w:r w:rsidRPr="00565D81">
        <w:rPr>
          <w:rFonts w:asciiTheme="majorBidi" w:hAnsiTheme="majorBidi" w:cstheme="majorBidi"/>
          <w:u w:val="single"/>
          <w:lang w:val="de-DE"/>
        </w:rPr>
        <w:t>tikai</w:t>
      </w:r>
      <w:proofErr w:type="spellEnd"/>
      <w:r w:rsidRPr="00565D81">
        <w:rPr>
          <w:rFonts w:asciiTheme="majorBidi" w:hAnsiTheme="majorBidi" w:cstheme="majorBidi"/>
          <w:u w:val="single"/>
          <w:lang w:val="de-DE"/>
        </w:rPr>
        <w:t xml:space="preserve"> </w:t>
      </w:r>
      <w:proofErr w:type="spellStart"/>
      <w:r w:rsidRPr="00565D81">
        <w:rPr>
          <w:rFonts w:asciiTheme="majorBidi" w:hAnsiTheme="majorBidi" w:cstheme="majorBidi"/>
          <w:u w:val="single"/>
          <w:lang w:val="de-DE"/>
        </w:rPr>
        <w:t>formalitāti</w:t>
      </w:r>
      <w:proofErr w:type="spellEnd"/>
      <w:r w:rsidRPr="00565D81">
        <w:rPr>
          <w:rFonts w:asciiTheme="majorBidi" w:hAnsiTheme="majorBidi" w:cstheme="majorBidi"/>
          <w:lang w:val="de-DE"/>
        </w:rPr>
        <w:t xml:space="preserve">, </w:t>
      </w:r>
      <w:proofErr w:type="spellStart"/>
      <w:r w:rsidRPr="00565D81">
        <w:rPr>
          <w:rFonts w:asciiTheme="majorBidi" w:hAnsiTheme="majorBidi" w:cstheme="majorBidi"/>
          <w:lang w:val="de-DE"/>
        </w:rPr>
        <w:t>ar</w:t>
      </w:r>
      <w:proofErr w:type="spellEnd"/>
      <w:r w:rsidRPr="00565D81">
        <w:rPr>
          <w:rFonts w:asciiTheme="majorBidi" w:hAnsiTheme="majorBidi" w:cstheme="majorBidi"/>
          <w:lang w:val="de-DE"/>
        </w:rPr>
        <w:t xml:space="preserve"> </w:t>
      </w:r>
      <w:proofErr w:type="spellStart"/>
      <w:r w:rsidRPr="00565D81">
        <w:rPr>
          <w:rFonts w:asciiTheme="majorBidi" w:hAnsiTheme="majorBidi" w:cstheme="majorBidi"/>
          <w:lang w:val="de-DE"/>
        </w:rPr>
        <w:t>kuru</w:t>
      </w:r>
      <w:proofErr w:type="spellEnd"/>
      <w:r w:rsidRPr="00565D81">
        <w:rPr>
          <w:rFonts w:asciiTheme="majorBidi" w:hAnsiTheme="majorBidi" w:cstheme="majorBidi"/>
          <w:lang w:val="de-DE"/>
        </w:rPr>
        <w:t xml:space="preserve"> </w:t>
      </w:r>
      <w:proofErr w:type="spellStart"/>
      <w:r w:rsidRPr="00565D81">
        <w:rPr>
          <w:rFonts w:asciiTheme="majorBidi" w:hAnsiTheme="majorBidi" w:cstheme="majorBidi"/>
          <w:lang w:val="de-DE"/>
        </w:rPr>
        <w:t>valsts</w:t>
      </w:r>
      <w:proofErr w:type="spellEnd"/>
      <w:r w:rsidRPr="00565D81">
        <w:rPr>
          <w:rFonts w:asciiTheme="majorBidi" w:hAnsiTheme="majorBidi" w:cstheme="majorBidi"/>
          <w:lang w:val="de-DE"/>
        </w:rPr>
        <w:t xml:space="preserve">, </w:t>
      </w:r>
      <w:proofErr w:type="spellStart"/>
      <w:r w:rsidRPr="00565D81">
        <w:rPr>
          <w:rFonts w:asciiTheme="majorBidi" w:hAnsiTheme="majorBidi" w:cstheme="majorBidi"/>
          <w:lang w:val="de-DE"/>
        </w:rPr>
        <w:t>kuras</w:t>
      </w:r>
      <w:proofErr w:type="spellEnd"/>
      <w:r w:rsidRPr="00565D81">
        <w:rPr>
          <w:rFonts w:asciiTheme="majorBidi" w:hAnsiTheme="majorBidi" w:cstheme="majorBidi"/>
          <w:lang w:val="de-DE"/>
        </w:rPr>
        <w:t xml:space="preserve"> </w:t>
      </w:r>
      <w:proofErr w:type="spellStart"/>
      <w:r w:rsidRPr="00565D81">
        <w:rPr>
          <w:rFonts w:asciiTheme="majorBidi" w:hAnsiTheme="majorBidi" w:cstheme="majorBidi"/>
          <w:lang w:val="de-DE"/>
        </w:rPr>
        <w:t>teritorijā</w:t>
      </w:r>
      <w:proofErr w:type="spellEnd"/>
      <w:r w:rsidRPr="00565D81">
        <w:rPr>
          <w:rFonts w:asciiTheme="majorBidi" w:hAnsiTheme="majorBidi" w:cstheme="majorBidi"/>
          <w:lang w:val="de-DE"/>
        </w:rPr>
        <w:t xml:space="preserve"> </w:t>
      </w:r>
      <w:proofErr w:type="spellStart"/>
      <w:r w:rsidRPr="00565D81">
        <w:rPr>
          <w:rFonts w:asciiTheme="majorBidi" w:hAnsiTheme="majorBidi" w:cstheme="majorBidi"/>
          <w:lang w:val="de-DE"/>
        </w:rPr>
        <w:t>dokuments</w:t>
      </w:r>
      <w:proofErr w:type="spellEnd"/>
      <w:r w:rsidRPr="00565D81">
        <w:rPr>
          <w:rFonts w:asciiTheme="majorBidi" w:hAnsiTheme="majorBidi" w:cstheme="majorBidi"/>
          <w:lang w:val="de-DE"/>
        </w:rPr>
        <w:t xml:space="preserve"> </w:t>
      </w:r>
      <w:proofErr w:type="spellStart"/>
      <w:r w:rsidRPr="00565D81">
        <w:rPr>
          <w:rFonts w:asciiTheme="majorBidi" w:hAnsiTheme="majorBidi" w:cstheme="majorBidi"/>
          <w:lang w:val="de-DE"/>
        </w:rPr>
        <w:t>ir</w:t>
      </w:r>
      <w:proofErr w:type="spellEnd"/>
      <w:r w:rsidRPr="00565D81">
        <w:rPr>
          <w:rFonts w:asciiTheme="majorBidi" w:hAnsiTheme="majorBidi" w:cstheme="majorBidi"/>
          <w:lang w:val="de-DE"/>
        </w:rPr>
        <w:t xml:space="preserve"> </w:t>
      </w:r>
      <w:proofErr w:type="spellStart"/>
      <w:r w:rsidRPr="00565D81">
        <w:rPr>
          <w:rFonts w:asciiTheme="majorBidi" w:hAnsiTheme="majorBidi" w:cstheme="majorBidi"/>
          <w:lang w:val="de-DE"/>
        </w:rPr>
        <w:t>jāuzrāda</w:t>
      </w:r>
      <w:proofErr w:type="spellEnd"/>
      <w:r w:rsidRPr="00565D81">
        <w:rPr>
          <w:rFonts w:asciiTheme="majorBidi" w:hAnsiTheme="majorBidi" w:cstheme="majorBidi"/>
          <w:lang w:val="de-DE"/>
        </w:rPr>
        <w:t xml:space="preserve">, </w:t>
      </w:r>
      <w:proofErr w:type="spellStart"/>
      <w:r w:rsidRPr="00565D81">
        <w:rPr>
          <w:rFonts w:asciiTheme="majorBidi" w:hAnsiTheme="majorBidi" w:cstheme="majorBidi"/>
          <w:lang w:val="de-DE"/>
        </w:rPr>
        <w:t>diplomātiskie</w:t>
      </w:r>
      <w:proofErr w:type="spellEnd"/>
      <w:r w:rsidRPr="00565D81">
        <w:rPr>
          <w:rFonts w:asciiTheme="majorBidi" w:hAnsiTheme="majorBidi" w:cstheme="majorBidi"/>
          <w:lang w:val="de-DE"/>
        </w:rPr>
        <w:t xml:space="preserve"> </w:t>
      </w:r>
      <w:proofErr w:type="spellStart"/>
      <w:r w:rsidRPr="00565D81">
        <w:rPr>
          <w:rFonts w:asciiTheme="majorBidi" w:hAnsiTheme="majorBidi" w:cstheme="majorBidi"/>
          <w:lang w:val="de-DE"/>
        </w:rPr>
        <w:t>vai</w:t>
      </w:r>
      <w:proofErr w:type="spellEnd"/>
      <w:r w:rsidRPr="00565D81">
        <w:rPr>
          <w:rFonts w:asciiTheme="majorBidi" w:hAnsiTheme="majorBidi" w:cstheme="majorBidi"/>
          <w:lang w:val="de-DE"/>
        </w:rPr>
        <w:t xml:space="preserve"> </w:t>
      </w:r>
      <w:proofErr w:type="spellStart"/>
      <w:r w:rsidRPr="00565D81">
        <w:rPr>
          <w:rFonts w:asciiTheme="majorBidi" w:hAnsiTheme="majorBidi" w:cstheme="majorBidi"/>
          <w:lang w:val="de-DE"/>
        </w:rPr>
        <w:t>konsulārie</w:t>
      </w:r>
      <w:proofErr w:type="spellEnd"/>
      <w:r w:rsidRPr="00565D81">
        <w:rPr>
          <w:rFonts w:asciiTheme="majorBidi" w:hAnsiTheme="majorBidi" w:cstheme="majorBidi"/>
          <w:lang w:val="de-DE"/>
        </w:rPr>
        <w:t xml:space="preserve"> </w:t>
      </w:r>
      <w:proofErr w:type="spellStart"/>
      <w:r w:rsidRPr="00565D81">
        <w:rPr>
          <w:rFonts w:asciiTheme="majorBidi" w:hAnsiTheme="majorBidi" w:cstheme="majorBidi"/>
          <w:lang w:val="de-DE"/>
        </w:rPr>
        <w:t>darbinieki</w:t>
      </w:r>
      <w:proofErr w:type="spellEnd"/>
      <w:r w:rsidRPr="00565D81">
        <w:rPr>
          <w:rFonts w:asciiTheme="majorBidi" w:hAnsiTheme="majorBidi" w:cstheme="majorBidi"/>
          <w:lang w:val="de-DE"/>
        </w:rPr>
        <w:t xml:space="preserve"> </w:t>
      </w:r>
      <w:proofErr w:type="spellStart"/>
      <w:r w:rsidRPr="00565D81">
        <w:rPr>
          <w:rFonts w:asciiTheme="majorBidi" w:hAnsiTheme="majorBidi" w:cstheme="majorBidi"/>
          <w:u w:val="single"/>
          <w:lang w:val="de-DE"/>
        </w:rPr>
        <w:t>apliecina</w:t>
      </w:r>
      <w:proofErr w:type="spellEnd"/>
      <w:r w:rsidRPr="00565D81">
        <w:rPr>
          <w:rFonts w:asciiTheme="majorBidi" w:hAnsiTheme="majorBidi" w:cstheme="majorBidi"/>
          <w:u w:val="single"/>
          <w:lang w:val="de-DE"/>
        </w:rPr>
        <w:t xml:space="preserve"> </w:t>
      </w:r>
      <w:proofErr w:type="spellStart"/>
      <w:r w:rsidRPr="00565D81">
        <w:rPr>
          <w:rFonts w:asciiTheme="majorBidi" w:hAnsiTheme="majorBidi" w:cstheme="majorBidi"/>
          <w:u w:val="single"/>
          <w:lang w:val="de-DE"/>
        </w:rPr>
        <w:t>paraksta</w:t>
      </w:r>
      <w:proofErr w:type="spellEnd"/>
      <w:r w:rsidRPr="00565D81">
        <w:rPr>
          <w:rFonts w:asciiTheme="majorBidi" w:hAnsiTheme="majorBidi" w:cstheme="majorBidi"/>
          <w:u w:val="single"/>
          <w:lang w:val="de-DE"/>
        </w:rPr>
        <w:t xml:space="preserve"> </w:t>
      </w:r>
      <w:proofErr w:type="spellStart"/>
      <w:r w:rsidRPr="00565D81">
        <w:rPr>
          <w:rFonts w:asciiTheme="majorBidi" w:hAnsiTheme="majorBidi" w:cstheme="majorBidi"/>
          <w:u w:val="single"/>
          <w:lang w:val="de-DE"/>
        </w:rPr>
        <w:t>autentiskumu</w:t>
      </w:r>
      <w:proofErr w:type="spellEnd"/>
      <w:r w:rsidRPr="00565D81">
        <w:rPr>
          <w:rFonts w:asciiTheme="majorBidi" w:hAnsiTheme="majorBidi" w:cstheme="majorBidi"/>
          <w:u w:val="single"/>
          <w:lang w:val="de-DE"/>
        </w:rPr>
        <w:t xml:space="preserve">, </w:t>
      </w:r>
      <w:proofErr w:type="spellStart"/>
      <w:r w:rsidRPr="00565D81">
        <w:rPr>
          <w:rFonts w:asciiTheme="majorBidi" w:hAnsiTheme="majorBidi" w:cstheme="majorBidi"/>
          <w:u w:val="single"/>
          <w:lang w:val="de-DE"/>
        </w:rPr>
        <w:t>statusu</w:t>
      </w:r>
      <w:proofErr w:type="spellEnd"/>
      <w:r w:rsidRPr="00565D81">
        <w:rPr>
          <w:rFonts w:asciiTheme="majorBidi" w:hAnsiTheme="majorBidi" w:cstheme="majorBidi"/>
          <w:u w:val="single"/>
          <w:lang w:val="de-DE"/>
        </w:rPr>
        <w:t xml:space="preserve">, </w:t>
      </w:r>
      <w:proofErr w:type="spellStart"/>
      <w:r w:rsidRPr="00565D81">
        <w:rPr>
          <w:rFonts w:asciiTheme="majorBidi" w:hAnsiTheme="majorBidi" w:cstheme="majorBidi"/>
          <w:u w:val="single"/>
          <w:lang w:val="de-DE"/>
        </w:rPr>
        <w:t>kādā</w:t>
      </w:r>
      <w:proofErr w:type="spellEnd"/>
      <w:r w:rsidRPr="00565D81">
        <w:rPr>
          <w:rFonts w:asciiTheme="majorBidi" w:hAnsiTheme="majorBidi" w:cstheme="majorBidi"/>
          <w:u w:val="single"/>
          <w:lang w:val="de-DE"/>
        </w:rPr>
        <w:t xml:space="preserve"> </w:t>
      </w:r>
      <w:proofErr w:type="spellStart"/>
      <w:r w:rsidRPr="00565D81">
        <w:rPr>
          <w:rFonts w:asciiTheme="majorBidi" w:hAnsiTheme="majorBidi" w:cstheme="majorBidi"/>
          <w:u w:val="single"/>
          <w:lang w:val="de-DE"/>
        </w:rPr>
        <w:t>rīkojusies</w:t>
      </w:r>
      <w:proofErr w:type="spellEnd"/>
      <w:r w:rsidRPr="00565D81">
        <w:rPr>
          <w:rFonts w:asciiTheme="majorBidi" w:hAnsiTheme="majorBidi" w:cstheme="majorBidi"/>
          <w:u w:val="single"/>
          <w:lang w:val="de-DE"/>
        </w:rPr>
        <w:t xml:space="preserve"> </w:t>
      </w:r>
      <w:proofErr w:type="spellStart"/>
      <w:r w:rsidRPr="00565D81">
        <w:rPr>
          <w:rFonts w:asciiTheme="majorBidi" w:hAnsiTheme="majorBidi" w:cstheme="majorBidi"/>
          <w:u w:val="single"/>
          <w:lang w:val="de-DE"/>
        </w:rPr>
        <w:t>persona</w:t>
      </w:r>
      <w:proofErr w:type="spellEnd"/>
      <w:r w:rsidRPr="00565D81">
        <w:rPr>
          <w:rFonts w:asciiTheme="majorBidi" w:hAnsiTheme="majorBidi" w:cstheme="majorBidi"/>
          <w:u w:val="single"/>
          <w:lang w:val="de-DE"/>
        </w:rPr>
        <w:t xml:space="preserve">, </w:t>
      </w:r>
      <w:proofErr w:type="spellStart"/>
      <w:r w:rsidRPr="00565D81">
        <w:rPr>
          <w:rFonts w:asciiTheme="majorBidi" w:hAnsiTheme="majorBidi" w:cstheme="majorBidi"/>
          <w:u w:val="single"/>
          <w:lang w:val="de-DE"/>
        </w:rPr>
        <w:t>kura</w:t>
      </w:r>
      <w:proofErr w:type="spellEnd"/>
      <w:r w:rsidRPr="00565D81">
        <w:rPr>
          <w:rFonts w:asciiTheme="majorBidi" w:hAnsiTheme="majorBidi" w:cstheme="majorBidi"/>
          <w:u w:val="single"/>
          <w:lang w:val="de-DE"/>
        </w:rPr>
        <w:t xml:space="preserve"> </w:t>
      </w:r>
      <w:proofErr w:type="spellStart"/>
      <w:r w:rsidRPr="00565D81">
        <w:rPr>
          <w:rFonts w:asciiTheme="majorBidi" w:hAnsiTheme="majorBidi" w:cstheme="majorBidi"/>
          <w:u w:val="single"/>
          <w:lang w:val="de-DE"/>
        </w:rPr>
        <w:t>parakstījusi</w:t>
      </w:r>
      <w:proofErr w:type="spellEnd"/>
      <w:r w:rsidRPr="00565D81">
        <w:rPr>
          <w:rFonts w:asciiTheme="majorBidi" w:hAnsiTheme="majorBidi" w:cstheme="majorBidi"/>
          <w:u w:val="single"/>
          <w:lang w:val="de-DE"/>
        </w:rPr>
        <w:t xml:space="preserve"> </w:t>
      </w:r>
      <w:proofErr w:type="spellStart"/>
      <w:r w:rsidRPr="00565D81">
        <w:rPr>
          <w:rFonts w:asciiTheme="majorBidi" w:hAnsiTheme="majorBidi" w:cstheme="majorBidi"/>
          <w:u w:val="single"/>
          <w:lang w:val="de-DE"/>
        </w:rPr>
        <w:t>dokumentu</w:t>
      </w:r>
      <w:proofErr w:type="spellEnd"/>
      <w:r w:rsidRPr="00565D81">
        <w:rPr>
          <w:rFonts w:asciiTheme="majorBidi" w:hAnsiTheme="majorBidi" w:cstheme="majorBidi"/>
          <w:u w:val="single"/>
          <w:lang w:val="de-DE"/>
        </w:rPr>
        <w:t xml:space="preserve">, </w:t>
      </w:r>
      <w:proofErr w:type="spellStart"/>
      <w:r w:rsidRPr="00565D81">
        <w:rPr>
          <w:rFonts w:asciiTheme="majorBidi" w:hAnsiTheme="majorBidi" w:cstheme="majorBidi"/>
          <w:u w:val="single"/>
          <w:lang w:val="de-DE"/>
        </w:rPr>
        <w:t>un</w:t>
      </w:r>
      <w:proofErr w:type="spellEnd"/>
      <w:r w:rsidRPr="00565D81">
        <w:rPr>
          <w:rFonts w:asciiTheme="majorBidi" w:hAnsiTheme="majorBidi" w:cstheme="majorBidi"/>
          <w:u w:val="single"/>
          <w:lang w:val="de-DE"/>
        </w:rPr>
        <w:t xml:space="preserve">, kur </w:t>
      </w:r>
      <w:proofErr w:type="spellStart"/>
      <w:r w:rsidRPr="00565D81">
        <w:rPr>
          <w:rFonts w:asciiTheme="majorBidi" w:hAnsiTheme="majorBidi" w:cstheme="majorBidi"/>
          <w:u w:val="single"/>
          <w:lang w:val="de-DE"/>
        </w:rPr>
        <w:t>tas</w:t>
      </w:r>
      <w:proofErr w:type="spellEnd"/>
      <w:r w:rsidRPr="00565D81">
        <w:rPr>
          <w:rFonts w:asciiTheme="majorBidi" w:hAnsiTheme="majorBidi" w:cstheme="majorBidi"/>
          <w:u w:val="single"/>
          <w:lang w:val="de-DE"/>
        </w:rPr>
        <w:t xml:space="preserve"> </w:t>
      </w:r>
      <w:proofErr w:type="spellStart"/>
      <w:r w:rsidRPr="00565D81">
        <w:rPr>
          <w:rFonts w:asciiTheme="majorBidi" w:hAnsiTheme="majorBidi" w:cstheme="majorBidi"/>
          <w:u w:val="single"/>
          <w:lang w:val="de-DE"/>
        </w:rPr>
        <w:t>nepieciešams</w:t>
      </w:r>
      <w:proofErr w:type="spellEnd"/>
      <w:r w:rsidRPr="00565D81">
        <w:rPr>
          <w:rFonts w:asciiTheme="majorBidi" w:hAnsiTheme="majorBidi" w:cstheme="majorBidi"/>
          <w:u w:val="single"/>
          <w:lang w:val="de-DE"/>
        </w:rPr>
        <w:t xml:space="preserve">, </w:t>
      </w:r>
      <w:proofErr w:type="spellStart"/>
      <w:r w:rsidRPr="00565D81">
        <w:rPr>
          <w:rFonts w:asciiTheme="majorBidi" w:hAnsiTheme="majorBidi" w:cstheme="majorBidi"/>
          <w:u w:val="single"/>
          <w:lang w:val="de-DE"/>
        </w:rPr>
        <w:t>zīmoga</w:t>
      </w:r>
      <w:proofErr w:type="spellEnd"/>
      <w:r w:rsidRPr="00565D81">
        <w:rPr>
          <w:rFonts w:asciiTheme="majorBidi" w:hAnsiTheme="majorBidi" w:cstheme="majorBidi"/>
          <w:u w:val="single"/>
          <w:lang w:val="de-DE"/>
        </w:rPr>
        <w:t xml:space="preserve"> </w:t>
      </w:r>
      <w:proofErr w:type="spellStart"/>
      <w:r w:rsidRPr="00565D81">
        <w:rPr>
          <w:rFonts w:asciiTheme="majorBidi" w:hAnsiTheme="majorBidi" w:cstheme="majorBidi"/>
          <w:u w:val="single"/>
          <w:lang w:val="de-DE"/>
        </w:rPr>
        <w:t>vai</w:t>
      </w:r>
      <w:proofErr w:type="spellEnd"/>
      <w:r w:rsidRPr="00565D81">
        <w:rPr>
          <w:rFonts w:asciiTheme="majorBidi" w:hAnsiTheme="majorBidi" w:cstheme="majorBidi"/>
          <w:u w:val="single"/>
          <w:lang w:val="de-DE"/>
        </w:rPr>
        <w:t xml:space="preserve"> </w:t>
      </w:r>
      <w:proofErr w:type="spellStart"/>
      <w:r w:rsidRPr="00565D81">
        <w:rPr>
          <w:rFonts w:asciiTheme="majorBidi" w:hAnsiTheme="majorBidi" w:cstheme="majorBidi"/>
          <w:u w:val="single"/>
          <w:lang w:val="de-DE"/>
        </w:rPr>
        <w:t>spiedoga</w:t>
      </w:r>
      <w:proofErr w:type="spellEnd"/>
      <w:r w:rsidRPr="00565D81">
        <w:rPr>
          <w:rFonts w:asciiTheme="majorBidi" w:hAnsiTheme="majorBidi" w:cstheme="majorBidi"/>
          <w:u w:val="single"/>
          <w:lang w:val="de-DE"/>
        </w:rPr>
        <w:t xml:space="preserve"> </w:t>
      </w:r>
      <w:proofErr w:type="spellStart"/>
      <w:r w:rsidRPr="00565D81">
        <w:rPr>
          <w:rFonts w:asciiTheme="majorBidi" w:hAnsiTheme="majorBidi" w:cstheme="majorBidi"/>
          <w:u w:val="single"/>
          <w:lang w:val="de-DE"/>
        </w:rPr>
        <w:t>identitāti</w:t>
      </w:r>
      <w:proofErr w:type="spellEnd"/>
      <w:r w:rsidRPr="00565D81">
        <w:rPr>
          <w:rFonts w:asciiTheme="majorBidi" w:hAnsiTheme="majorBidi" w:cstheme="majorBidi"/>
          <w:u w:val="single"/>
          <w:lang w:val="de-DE"/>
        </w:rPr>
        <w:t xml:space="preserve">, </w:t>
      </w:r>
      <w:proofErr w:type="spellStart"/>
      <w:r w:rsidRPr="00565D81">
        <w:rPr>
          <w:rFonts w:asciiTheme="majorBidi" w:hAnsiTheme="majorBidi" w:cstheme="majorBidi"/>
          <w:u w:val="single"/>
          <w:lang w:val="de-DE"/>
        </w:rPr>
        <w:t>kurš</w:t>
      </w:r>
      <w:proofErr w:type="spellEnd"/>
      <w:r w:rsidRPr="00565D81">
        <w:rPr>
          <w:rFonts w:asciiTheme="majorBidi" w:hAnsiTheme="majorBidi" w:cstheme="majorBidi"/>
          <w:u w:val="single"/>
          <w:lang w:val="de-DE"/>
        </w:rPr>
        <w:t xml:space="preserve"> </w:t>
      </w:r>
      <w:proofErr w:type="spellStart"/>
      <w:r w:rsidRPr="00565D81">
        <w:rPr>
          <w:rFonts w:asciiTheme="majorBidi" w:hAnsiTheme="majorBidi" w:cstheme="majorBidi"/>
          <w:u w:val="single"/>
          <w:lang w:val="de-DE"/>
        </w:rPr>
        <w:t>ir</w:t>
      </w:r>
      <w:proofErr w:type="spellEnd"/>
      <w:r w:rsidRPr="00565D81">
        <w:rPr>
          <w:rFonts w:asciiTheme="majorBidi" w:hAnsiTheme="majorBidi" w:cstheme="majorBidi"/>
          <w:u w:val="single"/>
          <w:lang w:val="de-DE"/>
        </w:rPr>
        <w:t xml:space="preserve"> </w:t>
      </w:r>
      <w:proofErr w:type="spellStart"/>
      <w:r w:rsidRPr="00565D81">
        <w:rPr>
          <w:rFonts w:asciiTheme="majorBidi" w:hAnsiTheme="majorBidi" w:cstheme="majorBidi"/>
          <w:u w:val="single"/>
          <w:lang w:val="de-DE"/>
        </w:rPr>
        <w:t>uz</w:t>
      </w:r>
      <w:proofErr w:type="spellEnd"/>
      <w:r w:rsidRPr="00565D81">
        <w:rPr>
          <w:rFonts w:asciiTheme="majorBidi" w:hAnsiTheme="majorBidi" w:cstheme="majorBidi"/>
          <w:u w:val="single"/>
          <w:lang w:val="de-DE"/>
        </w:rPr>
        <w:t xml:space="preserve"> </w:t>
      </w:r>
      <w:proofErr w:type="spellStart"/>
      <w:r w:rsidRPr="00565D81">
        <w:rPr>
          <w:rFonts w:asciiTheme="majorBidi" w:hAnsiTheme="majorBidi" w:cstheme="majorBidi"/>
          <w:u w:val="single"/>
          <w:lang w:val="de-DE"/>
        </w:rPr>
        <w:t>dokumenta</w:t>
      </w:r>
      <w:proofErr w:type="spellEnd"/>
      <w:r w:rsidRPr="00565D81">
        <w:rPr>
          <w:rFonts w:asciiTheme="majorBidi" w:hAnsiTheme="majorBidi" w:cstheme="majorBidi"/>
          <w:u w:val="single"/>
          <w:lang w:val="de-DE"/>
        </w:rPr>
        <w:t>“</w:t>
      </w:r>
      <w:r w:rsidRPr="00565D81">
        <w:rPr>
          <w:rFonts w:asciiTheme="majorBidi" w:hAnsiTheme="majorBidi" w:cstheme="majorBidi"/>
          <w:lang w:val="de-DE"/>
        </w:rPr>
        <w:t xml:space="preserve">. </w:t>
      </w:r>
      <w:proofErr w:type="spellStart"/>
      <w:r w:rsidRPr="00565D81">
        <w:rPr>
          <w:rFonts w:asciiTheme="majorBidi" w:hAnsiTheme="majorBidi" w:cstheme="majorBidi"/>
          <w:lang w:val="de-DE"/>
        </w:rPr>
        <w:t>Minētā</w:t>
      </w:r>
      <w:proofErr w:type="spellEnd"/>
      <w:r w:rsidRPr="00565D81">
        <w:rPr>
          <w:rFonts w:asciiTheme="majorBidi" w:hAnsiTheme="majorBidi" w:cstheme="majorBidi"/>
          <w:lang w:val="de-DE"/>
        </w:rPr>
        <w:t xml:space="preserve"> </w:t>
      </w:r>
      <w:proofErr w:type="spellStart"/>
      <w:r w:rsidRPr="00565D81">
        <w:rPr>
          <w:rFonts w:asciiTheme="majorBidi" w:hAnsiTheme="majorBidi" w:cstheme="majorBidi"/>
          <w:lang w:val="de-DE"/>
        </w:rPr>
        <w:t>formalitāte</w:t>
      </w:r>
      <w:proofErr w:type="spellEnd"/>
      <w:r w:rsidRPr="00565D81">
        <w:rPr>
          <w:rFonts w:asciiTheme="majorBidi" w:hAnsiTheme="majorBidi" w:cstheme="majorBidi"/>
          <w:lang w:val="de-DE"/>
        </w:rPr>
        <w:t xml:space="preserve"> </w:t>
      </w:r>
      <w:proofErr w:type="spellStart"/>
      <w:r w:rsidRPr="00565D81">
        <w:rPr>
          <w:rFonts w:asciiTheme="majorBidi" w:hAnsiTheme="majorBidi" w:cstheme="majorBidi"/>
          <w:lang w:val="de-DE"/>
        </w:rPr>
        <w:t>izpaužas</w:t>
      </w:r>
      <w:proofErr w:type="spellEnd"/>
      <w:r w:rsidRPr="00565D81">
        <w:rPr>
          <w:rFonts w:asciiTheme="majorBidi" w:hAnsiTheme="majorBidi" w:cstheme="majorBidi"/>
          <w:lang w:val="de-DE"/>
        </w:rPr>
        <w:t xml:space="preserve"> </w:t>
      </w:r>
      <w:proofErr w:type="spellStart"/>
      <w:r w:rsidRPr="00565D81">
        <w:rPr>
          <w:rFonts w:asciiTheme="majorBidi" w:hAnsiTheme="majorBidi" w:cstheme="majorBidi"/>
          <w:lang w:val="de-DE"/>
        </w:rPr>
        <w:t>kā</w:t>
      </w:r>
      <w:proofErr w:type="spellEnd"/>
      <w:r w:rsidRPr="00565D81">
        <w:rPr>
          <w:rFonts w:asciiTheme="majorBidi" w:hAnsiTheme="majorBidi" w:cstheme="majorBidi"/>
          <w:lang w:val="de-DE"/>
        </w:rPr>
        <w:t xml:space="preserve"> </w:t>
      </w:r>
      <w:proofErr w:type="spellStart"/>
      <w:r w:rsidRPr="00565D81">
        <w:rPr>
          <w:rFonts w:asciiTheme="majorBidi" w:hAnsiTheme="majorBidi" w:cstheme="majorBidi"/>
          <w:i/>
          <w:lang w:val="de-DE"/>
        </w:rPr>
        <w:t>apostille</w:t>
      </w:r>
      <w:proofErr w:type="spellEnd"/>
      <w:r w:rsidRPr="00565D81">
        <w:rPr>
          <w:rFonts w:asciiTheme="majorBidi" w:hAnsiTheme="majorBidi" w:cstheme="majorBidi"/>
          <w:lang w:val="de-DE"/>
        </w:rPr>
        <w:t xml:space="preserve"> </w:t>
      </w:r>
      <w:proofErr w:type="spellStart"/>
      <w:r w:rsidRPr="00565D81">
        <w:rPr>
          <w:rFonts w:asciiTheme="majorBidi" w:hAnsiTheme="majorBidi" w:cstheme="majorBidi"/>
          <w:lang w:val="de-DE"/>
        </w:rPr>
        <w:t>apliecinājuma</w:t>
      </w:r>
      <w:proofErr w:type="spellEnd"/>
      <w:r w:rsidRPr="00565D81">
        <w:rPr>
          <w:rFonts w:asciiTheme="majorBidi" w:hAnsiTheme="majorBidi" w:cstheme="majorBidi"/>
          <w:lang w:val="de-DE"/>
        </w:rPr>
        <w:t xml:space="preserve"> </w:t>
      </w:r>
      <w:proofErr w:type="spellStart"/>
      <w:r w:rsidRPr="00565D81">
        <w:rPr>
          <w:rFonts w:asciiTheme="majorBidi" w:hAnsiTheme="majorBidi" w:cstheme="majorBidi"/>
          <w:lang w:val="de-DE"/>
        </w:rPr>
        <w:t>pievienošana</w:t>
      </w:r>
      <w:proofErr w:type="spellEnd"/>
      <w:r w:rsidRPr="00565D81">
        <w:rPr>
          <w:rFonts w:asciiTheme="majorBidi" w:hAnsiTheme="majorBidi" w:cstheme="majorBidi"/>
          <w:lang w:val="de-DE"/>
        </w:rPr>
        <w:t xml:space="preserve"> </w:t>
      </w:r>
      <w:proofErr w:type="spellStart"/>
      <w:r w:rsidRPr="00565D81">
        <w:rPr>
          <w:rFonts w:asciiTheme="majorBidi" w:hAnsiTheme="majorBidi" w:cstheme="majorBidi"/>
          <w:lang w:val="de-DE"/>
        </w:rPr>
        <w:t>dokumentam</w:t>
      </w:r>
      <w:proofErr w:type="spellEnd"/>
      <w:r w:rsidRPr="00565D81">
        <w:rPr>
          <w:rFonts w:asciiTheme="majorBidi" w:hAnsiTheme="majorBidi" w:cstheme="majorBidi"/>
          <w:lang w:val="de-DE"/>
        </w:rPr>
        <w:t xml:space="preserve"> (</w:t>
      </w:r>
      <w:proofErr w:type="spellStart"/>
      <w:r w:rsidRPr="00565D81">
        <w:rPr>
          <w:rFonts w:asciiTheme="majorBidi" w:hAnsiTheme="majorBidi" w:cstheme="majorBidi"/>
          <w:lang w:val="de-DE"/>
        </w:rPr>
        <w:t>skat</w:t>
      </w:r>
      <w:proofErr w:type="spellEnd"/>
      <w:r w:rsidRPr="00565D81">
        <w:rPr>
          <w:rFonts w:asciiTheme="majorBidi" w:hAnsiTheme="majorBidi" w:cstheme="majorBidi"/>
          <w:lang w:val="de-DE"/>
        </w:rPr>
        <w:t xml:space="preserve">. </w:t>
      </w:r>
      <w:proofErr w:type="spellStart"/>
      <w:r w:rsidRPr="00565D81">
        <w:rPr>
          <w:rFonts w:asciiTheme="majorBidi" w:hAnsiTheme="majorBidi" w:cstheme="majorBidi"/>
          <w:lang w:val="de-DE"/>
        </w:rPr>
        <w:t>Konvencijas</w:t>
      </w:r>
      <w:proofErr w:type="spellEnd"/>
      <w:r w:rsidRPr="00565D81">
        <w:rPr>
          <w:rFonts w:asciiTheme="majorBidi" w:hAnsiTheme="majorBidi" w:cstheme="majorBidi"/>
          <w:lang w:val="de-DE"/>
        </w:rPr>
        <w:t xml:space="preserve"> 3. </w:t>
      </w:r>
      <w:proofErr w:type="spellStart"/>
      <w:r w:rsidRPr="00565D81">
        <w:rPr>
          <w:rFonts w:asciiTheme="majorBidi" w:hAnsiTheme="majorBidi" w:cstheme="majorBidi"/>
          <w:lang w:val="de-DE"/>
        </w:rPr>
        <w:t>un</w:t>
      </w:r>
      <w:proofErr w:type="spellEnd"/>
      <w:r w:rsidRPr="00565D81">
        <w:rPr>
          <w:rFonts w:asciiTheme="majorBidi" w:hAnsiTheme="majorBidi" w:cstheme="majorBidi"/>
          <w:lang w:val="de-DE"/>
        </w:rPr>
        <w:t xml:space="preserve"> 4.p.). </w:t>
      </w:r>
      <w:proofErr w:type="spellStart"/>
      <w:r w:rsidRPr="00565D81">
        <w:rPr>
          <w:rFonts w:asciiTheme="majorBidi" w:hAnsiTheme="majorBidi" w:cstheme="majorBidi"/>
          <w:lang w:val="de-DE"/>
        </w:rPr>
        <w:t>Kā</w:t>
      </w:r>
      <w:proofErr w:type="spellEnd"/>
      <w:r w:rsidRPr="00565D81">
        <w:rPr>
          <w:rFonts w:asciiTheme="majorBidi" w:hAnsiTheme="majorBidi" w:cstheme="majorBidi"/>
          <w:lang w:val="de-DE"/>
        </w:rPr>
        <w:t xml:space="preserve"> </w:t>
      </w:r>
      <w:proofErr w:type="spellStart"/>
      <w:r w:rsidRPr="00565D81">
        <w:rPr>
          <w:rFonts w:asciiTheme="majorBidi" w:hAnsiTheme="majorBidi" w:cstheme="majorBidi"/>
          <w:lang w:val="de-DE"/>
        </w:rPr>
        <w:t>izriet</w:t>
      </w:r>
      <w:proofErr w:type="spellEnd"/>
      <w:r w:rsidRPr="00565D81">
        <w:rPr>
          <w:rFonts w:asciiTheme="majorBidi" w:hAnsiTheme="majorBidi" w:cstheme="majorBidi"/>
          <w:lang w:val="de-DE"/>
        </w:rPr>
        <w:t xml:space="preserve"> </w:t>
      </w:r>
      <w:proofErr w:type="spellStart"/>
      <w:r w:rsidRPr="00565D81">
        <w:rPr>
          <w:rFonts w:asciiTheme="majorBidi" w:hAnsiTheme="majorBidi" w:cstheme="majorBidi"/>
          <w:lang w:val="de-DE"/>
        </w:rPr>
        <w:t>no</w:t>
      </w:r>
      <w:proofErr w:type="spellEnd"/>
      <w:r w:rsidRPr="00565D81">
        <w:rPr>
          <w:rFonts w:asciiTheme="majorBidi" w:hAnsiTheme="majorBidi" w:cstheme="majorBidi"/>
          <w:lang w:val="de-DE"/>
        </w:rPr>
        <w:t xml:space="preserve"> </w:t>
      </w:r>
      <w:proofErr w:type="spellStart"/>
      <w:r w:rsidRPr="00565D81">
        <w:rPr>
          <w:rFonts w:asciiTheme="majorBidi" w:hAnsiTheme="majorBidi" w:cstheme="majorBidi"/>
          <w:lang w:val="de-DE"/>
        </w:rPr>
        <w:t>Konvencijas</w:t>
      </w:r>
      <w:proofErr w:type="spellEnd"/>
      <w:r w:rsidRPr="00565D81">
        <w:rPr>
          <w:rFonts w:asciiTheme="majorBidi" w:hAnsiTheme="majorBidi" w:cstheme="majorBidi"/>
          <w:lang w:val="de-DE"/>
        </w:rPr>
        <w:t xml:space="preserve"> </w:t>
      </w:r>
      <w:proofErr w:type="spellStart"/>
      <w:r w:rsidRPr="00565D81">
        <w:rPr>
          <w:rFonts w:asciiTheme="majorBidi" w:hAnsiTheme="majorBidi" w:cstheme="majorBidi"/>
          <w:lang w:val="de-DE"/>
        </w:rPr>
        <w:t>nosaukuma</w:t>
      </w:r>
      <w:proofErr w:type="spellEnd"/>
      <w:r w:rsidRPr="00565D81">
        <w:rPr>
          <w:rFonts w:asciiTheme="majorBidi" w:hAnsiTheme="majorBidi" w:cstheme="majorBidi"/>
          <w:lang w:val="de-DE"/>
        </w:rPr>
        <w:t xml:space="preserve">, </w:t>
      </w:r>
      <w:proofErr w:type="spellStart"/>
      <w:r w:rsidRPr="00565D81">
        <w:rPr>
          <w:rFonts w:asciiTheme="majorBidi" w:hAnsiTheme="majorBidi" w:cstheme="majorBidi"/>
          <w:lang w:val="de-DE"/>
        </w:rPr>
        <w:t>ārvalstu</w:t>
      </w:r>
      <w:proofErr w:type="spellEnd"/>
      <w:r w:rsidRPr="00565D81">
        <w:rPr>
          <w:rFonts w:asciiTheme="majorBidi" w:hAnsiTheme="majorBidi" w:cstheme="majorBidi"/>
          <w:lang w:val="de-DE"/>
        </w:rPr>
        <w:t xml:space="preserve"> </w:t>
      </w:r>
      <w:proofErr w:type="spellStart"/>
      <w:r w:rsidRPr="00565D81">
        <w:rPr>
          <w:rFonts w:asciiTheme="majorBidi" w:hAnsiTheme="majorBidi" w:cstheme="majorBidi"/>
          <w:lang w:val="de-DE"/>
        </w:rPr>
        <w:t>publiskiem</w:t>
      </w:r>
      <w:proofErr w:type="spellEnd"/>
      <w:r w:rsidRPr="00565D81">
        <w:rPr>
          <w:rFonts w:asciiTheme="majorBidi" w:hAnsiTheme="majorBidi" w:cstheme="majorBidi"/>
          <w:lang w:val="de-DE"/>
        </w:rPr>
        <w:t xml:space="preserve"> </w:t>
      </w:r>
      <w:proofErr w:type="spellStart"/>
      <w:r w:rsidRPr="00565D81">
        <w:rPr>
          <w:rFonts w:asciiTheme="majorBidi" w:hAnsiTheme="majorBidi" w:cstheme="majorBidi"/>
          <w:lang w:val="de-DE"/>
        </w:rPr>
        <w:t>dokumentiem</w:t>
      </w:r>
      <w:proofErr w:type="spellEnd"/>
      <w:r w:rsidRPr="00565D81">
        <w:rPr>
          <w:rFonts w:asciiTheme="majorBidi" w:hAnsiTheme="majorBidi" w:cstheme="majorBidi"/>
          <w:lang w:val="de-DE"/>
        </w:rPr>
        <w:t xml:space="preserve"> </w:t>
      </w:r>
      <w:proofErr w:type="spellStart"/>
      <w:r w:rsidRPr="00565D81">
        <w:rPr>
          <w:rFonts w:asciiTheme="majorBidi" w:hAnsiTheme="majorBidi" w:cstheme="majorBidi"/>
          <w:lang w:val="de-DE"/>
        </w:rPr>
        <w:t>legalizācija</w:t>
      </w:r>
      <w:proofErr w:type="spellEnd"/>
      <w:r w:rsidRPr="00565D81">
        <w:rPr>
          <w:rFonts w:asciiTheme="majorBidi" w:hAnsiTheme="majorBidi" w:cstheme="majorBidi"/>
          <w:lang w:val="de-DE"/>
        </w:rPr>
        <w:t xml:space="preserve"> </w:t>
      </w:r>
      <w:proofErr w:type="spellStart"/>
      <w:r w:rsidRPr="00565D81">
        <w:rPr>
          <w:rFonts w:asciiTheme="majorBidi" w:hAnsiTheme="majorBidi" w:cstheme="majorBidi"/>
          <w:lang w:val="de-DE"/>
        </w:rPr>
        <w:t>tās</w:t>
      </w:r>
      <w:proofErr w:type="spellEnd"/>
      <w:r w:rsidRPr="00565D81">
        <w:rPr>
          <w:rFonts w:asciiTheme="majorBidi" w:hAnsiTheme="majorBidi" w:cstheme="majorBidi"/>
          <w:lang w:val="de-DE"/>
        </w:rPr>
        <w:t xml:space="preserve"> </w:t>
      </w:r>
      <w:proofErr w:type="spellStart"/>
      <w:r w:rsidRPr="00565D81">
        <w:rPr>
          <w:rFonts w:asciiTheme="majorBidi" w:hAnsiTheme="majorBidi" w:cstheme="majorBidi"/>
          <w:lang w:val="de-DE"/>
        </w:rPr>
        <w:t>klasiskajā</w:t>
      </w:r>
      <w:proofErr w:type="spellEnd"/>
      <w:r w:rsidRPr="00565D81">
        <w:rPr>
          <w:rFonts w:asciiTheme="majorBidi" w:hAnsiTheme="majorBidi" w:cstheme="majorBidi"/>
          <w:lang w:val="de-DE"/>
        </w:rPr>
        <w:t xml:space="preserve"> </w:t>
      </w:r>
      <w:proofErr w:type="spellStart"/>
      <w:r w:rsidRPr="00565D81">
        <w:rPr>
          <w:rFonts w:asciiTheme="majorBidi" w:hAnsiTheme="majorBidi" w:cstheme="majorBidi"/>
          <w:lang w:val="de-DE"/>
        </w:rPr>
        <w:t>nozīmē</w:t>
      </w:r>
      <w:proofErr w:type="spellEnd"/>
      <w:r w:rsidRPr="00565D81">
        <w:rPr>
          <w:rFonts w:asciiTheme="majorBidi" w:hAnsiTheme="majorBidi" w:cstheme="majorBidi"/>
          <w:lang w:val="de-DE"/>
        </w:rPr>
        <w:t xml:space="preserve"> </w:t>
      </w:r>
      <w:proofErr w:type="spellStart"/>
      <w:r w:rsidRPr="00565D81">
        <w:rPr>
          <w:rFonts w:asciiTheme="majorBidi" w:hAnsiTheme="majorBidi" w:cstheme="majorBidi"/>
          <w:lang w:val="de-DE"/>
        </w:rPr>
        <w:t>tiek</w:t>
      </w:r>
      <w:proofErr w:type="spellEnd"/>
      <w:r w:rsidRPr="00565D81">
        <w:rPr>
          <w:rFonts w:asciiTheme="majorBidi" w:hAnsiTheme="majorBidi" w:cstheme="majorBidi"/>
          <w:lang w:val="de-DE"/>
        </w:rPr>
        <w:t xml:space="preserve"> </w:t>
      </w:r>
      <w:proofErr w:type="spellStart"/>
      <w:r w:rsidRPr="00565D81">
        <w:rPr>
          <w:rFonts w:asciiTheme="majorBidi" w:hAnsiTheme="majorBidi" w:cstheme="majorBidi"/>
          <w:lang w:val="de-DE"/>
        </w:rPr>
        <w:t>atcelta</w:t>
      </w:r>
      <w:proofErr w:type="spellEnd"/>
      <w:r w:rsidRPr="00565D81">
        <w:rPr>
          <w:rFonts w:asciiTheme="majorBidi" w:hAnsiTheme="majorBidi" w:cstheme="majorBidi"/>
          <w:lang w:val="de-DE"/>
        </w:rPr>
        <w:t xml:space="preserve"> (</w:t>
      </w:r>
      <w:proofErr w:type="spellStart"/>
      <w:r w:rsidRPr="00565D81">
        <w:rPr>
          <w:rFonts w:asciiTheme="majorBidi" w:hAnsiTheme="majorBidi" w:cstheme="majorBidi"/>
          <w:lang w:val="de-DE"/>
        </w:rPr>
        <w:t>un</w:t>
      </w:r>
      <w:proofErr w:type="spellEnd"/>
      <w:r w:rsidRPr="00565D81">
        <w:rPr>
          <w:rFonts w:asciiTheme="majorBidi" w:hAnsiTheme="majorBidi" w:cstheme="majorBidi"/>
          <w:lang w:val="de-DE"/>
        </w:rPr>
        <w:t xml:space="preserve"> </w:t>
      </w:r>
      <w:proofErr w:type="spellStart"/>
      <w:r w:rsidRPr="00565D81">
        <w:rPr>
          <w:rFonts w:asciiTheme="majorBidi" w:hAnsiTheme="majorBidi" w:cstheme="majorBidi"/>
          <w:lang w:val="de-DE"/>
        </w:rPr>
        <w:t>nevis</w:t>
      </w:r>
      <w:proofErr w:type="spellEnd"/>
      <w:r w:rsidRPr="00565D81">
        <w:rPr>
          <w:rFonts w:asciiTheme="majorBidi" w:hAnsiTheme="majorBidi" w:cstheme="majorBidi"/>
          <w:lang w:val="de-DE"/>
        </w:rPr>
        <w:t xml:space="preserve"> </w:t>
      </w:r>
      <w:proofErr w:type="spellStart"/>
      <w:r w:rsidRPr="00565D81">
        <w:rPr>
          <w:rFonts w:asciiTheme="majorBidi" w:hAnsiTheme="majorBidi" w:cstheme="majorBidi"/>
          <w:lang w:val="de-DE"/>
        </w:rPr>
        <w:t>vienkāršota</w:t>
      </w:r>
      <w:proofErr w:type="spellEnd"/>
      <w:r w:rsidRPr="00565D81">
        <w:rPr>
          <w:rFonts w:asciiTheme="majorBidi" w:hAnsiTheme="majorBidi" w:cstheme="majorBidi"/>
          <w:lang w:val="de-DE"/>
        </w:rPr>
        <w:t xml:space="preserve">); </w:t>
      </w:r>
      <w:proofErr w:type="spellStart"/>
      <w:r w:rsidRPr="00565D81">
        <w:rPr>
          <w:rFonts w:asciiTheme="majorBidi" w:hAnsiTheme="majorBidi" w:cstheme="majorBidi"/>
          <w:i/>
          <w:lang w:val="de-DE"/>
        </w:rPr>
        <w:t>apostille</w:t>
      </w:r>
      <w:proofErr w:type="spellEnd"/>
      <w:r w:rsidRPr="00565D81">
        <w:rPr>
          <w:rFonts w:asciiTheme="majorBidi" w:hAnsiTheme="majorBidi" w:cstheme="majorBidi"/>
          <w:lang w:val="de-DE"/>
        </w:rPr>
        <w:t xml:space="preserve"> </w:t>
      </w:r>
      <w:proofErr w:type="spellStart"/>
      <w:r w:rsidRPr="00565D81">
        <w:rPr>
          <w:rFonts w:asciiTheme="majorBidi" w:hAnsiTheme="majorBidi" w:cstheme="majorBidi"/>
          <w:lang w:val="de-DE"/>
        </w:rPr>
        <w:t>apliecinājums</w:t>
      </w:r>
      <w:proofErr w:type="spellEnd"/>
      <w:r w:rsidRPr="00565D81">
        <w:rPr>
          <w:rFonts w:asciiTheme="majorBidi" w:hAnsiTheme="majorBidi" w:cstheme="majorBidi"/>
          <w:lang w:val="de-DE"/>
        </w:rPr>
        <w:t xml:space="preserve"> </w:t>
      </w:r>
      <w:proofErr w:type="spellStart"/>
      <w:r w:rsidRPr="00565D81">
        <w:rPr>
          <w:rFonts w:asciiTheme="majorBidi" w:hAnsiTheme="majorBidi" w:cstheme="majorBidi"/>
          <w:lang w:val="de-DE"/>
        </w:rPr>
        <w:t>vienīgi</w:t>
      </w:r>
      <w:proofErr w:type="spellEnd"/>
      <w:r w:rsidRPr="00565D81">
        <w:rPr>
          <w:rFonts w:asciiTheme="majorBidi" w:hAnsiTheme="majorBidi" w:cstheme="majorBidi"/>
          <w:lang w:val="de-DE"/>
        </w:rPr>
        <w:t xml:space="preserve"> </w:t>
      </w:r>
      <w:proofErr w:type="spellStart"/>
      <w:r w:rsidRPr="00565D81">
        <w:rPr>
          <w:rFonts w:asciiTheme="majorBidi" w:hAnsiTheme="majorBidi" w:cstheme="majorBidi"/>
          <w:lang w:val="de-DE"/>
        </w:rPr>
        <w:t>nozīmē</w:t>
      </w:r>
      <w:proofErr w:type="spellEnd"/>
      <w:r w:rsidRPr="00565D81">
        <w:rPr>
          <w:rFonts w:asciiTheme="majorBidi" w:hAnsiTheme="majorBidi" w:cstheme="majorBidi"/>
          <w:lang w:val="de-DE"/>
        </w:rPr>
        <w:t xml:space="preserve"> </w:t>
      </w:r>
      <w:proofErr w:type="spellStart"/>
      <w:r w:rsidRPr="00565D81">
        <w:rPr>
          <w:rFonts w:asciiTheme="majorBidi" w:hAnsiTheme="majorBidi" w:cstheme="majorBidi"/>
          <w:lang w:val="de-DE"/>
        </w:rPr>
        <w:t>autonomu</w:t>
      </w:r>
      <w:proofErr w:type="spellEnd"/>
      <w:r w:rsidRPr="00565D81">
        <w:rPr>
          <w:rFonts w:asciiTheme="majorBidi" w:hAnsiTheme="majorBidi" w:cstheme="majorBidi"/>
          <w:lang w:val="de-DE"/>
        </w:rPr>
        <w:t xml:space="preserve"> </w:t>
      </w:r>
      <w:proofErr w:type="spellStart"/>
      <w:r w:rsidRPr="00565D81">
        <w:rPr>
          <w:rFonts w:asciiTheme="majorBidi" w:hAnsiTheme="majorBidi" w:cstheme="majorBidi"/>
          <w:lang w:val="de-DE"/>
        </w:rPr>
        <w:t>formalitāti</w:t>
      </w:r>
      <w:proofErr w:type="spellEnd"/>
      <w:r w:rsidRPr="00565D81">
        <w:rPr>
          <w:rFonts w:asciiTheme="majorBidi" w:hAnsiTheme="majorBidi" w:cstheme="majorBidi"/>
          <w:lang w:val="de-DE"/>
        </w:rPr>
        <w:t xml:space="preserve">, </w:t>
      </w:r>
      <w:proofErr w:type="spellStart"/>
      <w:r w:rsidRPr="00565D81">
        <w:rPr>
          <w:rFonts w:asciiTheme="majorBidi" w:hAnsiTheme="majorBidi" w:cstheme="majorBidi"/>
          <w:lang w:val="de-DE"/>
        </w:rPr>
        <w:t>kuru</w:t>
      </w:r>
      <w:proofErr w:type="spellEnd"/>
      <w:r w:rsidRPr="00565D81">
        <w:rPr>
          <w:rFonts w:asciiTheme="majorBidi" w:hAnsiTheme="majorBidi" w:cstheme="majorBidi"/>
          <w:lang w:val="de-DE"/>
        </w:rPr>
        <w:t xml:space="preserve"> </w:t>
      </w:r>
      <w:proofErr w:type="spellStart"/>
      <w:r w:rsidRPr="00565D81">
        <w:rPr>
          <w:rFonts w:asciiTheme="majorBidi" w:hAnsiTheme="majorBidi" w:cstheme="majorBidi"/>
          <w:lang w:val="de-DE"/>
        </w:rPr>
        <w:t>veic</w:t>
      </w:r>
      <w:proofErr w:type="spellEnd"/>
      <w:r w:rsidRPr="00565D81">
        <w:rPr>
          <w:rFonts w:asciiTheme="majorBidi" w:hAnsiTheme="majorBidi" w:cstheme="majorBidi"/>
          <w:lang w:val="de-DE"/>
        </w:rPr>
        <w:t xml:space="preserve"> </w:t>
      </w:r>
      <w:proofErr w:type="spellStart"/>
      <w:r w:rsidRPr="00565D81">
        <w:rPr>
          <w:rFonts w:asciiTheme="majorBidi" w:hAnsiTheme="majorBidi" w:cstheme="majorBidi"/>
          <w:lang w:val="de-DE"/>
        </w:rPr>
        <w:t>dokumenta</w:t>
      </w:r>
      <w:proofErr w:type="spellEnd"/>
      <w:r w:rsidRPr="00565D81">
        <w:rPr>
          <w:rFonts w:asciiTheme="majorBidi" w:hAnsiTheme="majorBidi" w:cstheme="majorBidi"/>
          <w:lang w:val="de-DE"/>
        </w:rPr>
        <w:t xml:space="preserve"> </w:t>
      </w:r>
      <w:proofErr w:type="spellStart"/>
      <w:r w:rsidRPr="00565D81">
        <w:rPr>
          <w:rFonts w:asciiTheme="majorBidi" w:hAnsiTheme="majorBidi" w:cstheme="majorBidi"/>
          <w:lang w:val="de-DE"/>
        </w:rPr>
        <w:t>izcelsmes</w:t>
      </w:r>
      <w:proofErr w:type="spellEnd"/>
      <w:r w:rsidRPr="00565D81">
        <w:rPr>
          <w:rFonts w:asciiTheme="majorBidi" w:hAnsiTheme="majorBidi" w:cstheme="majorBidi"/>
          <w:lang w:val="de-DE"/>
        </w:rPr>
        <w:t xml:space="preserve"> </w:t>
      </w:r>
      <w:proofErr w:type="spellStart"/>
      <w:r w:rsidRPr="00565D81">
        <w:rPr>
          <w:rFonts w:asciiTheme="majorBidi" w:hAnsiTheme="majorBidi" w:cstheme="majorBidi"/>
          <w:lang w:val="de-DE"/>
        </w:rPr>
        <w:t>valstī</w:t>
      </w:r>
      <w:proofErr w:type="spellEnd"/>
      <w:r w:rsidRPr="00565D81">
        <w:rPr>
          <w:rFonts w:asciiTheme="majorBidi" w:hAnsiTheme="majorBidi" w:cstheme="majorBidi"/>
          <w:lang w:val="de-DE"/>
        </w:rPr>
        <w:t>.</w:t>
      </w:r>
      <w:r w:rsidRPr="00565D81">
        <w:rPr>
          <w:rStyle w:val="FootnoteReference"/>
          <w:rFonts w:asciiTheme="majorBidi" w:hAnsiTheme="majorBidi" w:cstheme="majorBidi"/>
          <w:lang w:val="de-DE"/>
        </w:rPr>
        <w:footnoteReference w:id="88"/>
      </w:r>
      <w:r w:rsidRPr="00565D81">
        <w:rPr>
          <w:rFonts w:asciiTheme="majorBidi" w:hAnsiTheme="majorBidi" w:cstheme="majorBidi"/>
          <w:lang w:val="de-DE"/>
        </w:rPr>
        <w:t xml:space="preserve"> </w:t>
      </w:r>
    </w:p>
    <w:p w14:paraId="4E8F48BB" w14:textId="10AECBA8" w:rsidR="00114953" w:rsidRPr="00565D81" w:rsidRDefault="00114953" w:rsidP="00114953">
      <w:pPr>
        <w:widowControl w:val="0"/>
        <w:autoSpaceDE w:val="0"/>
        <w:autoSpaceDN w:val="0"/>
        <w:adjustRightInd w:val="0"/>
        <w:ind w:firstLine="708"/>
        <w:jc w:val="both"/>
        <w:rPr>
          <w:rFonts w:asciiTheme="majorBidi" w:hAnsiTheme="majorBidi" w:cstheme="majorBidi"/>
          <w:bCs/>
          <w:lang w:val="de-DE"/>
        </w:rPr>
      </w:pPr>
      <w:proofErr w:type="spellStart"/>
      <w:r w:rsidRPr="00565D81">
        <w:rPr>
          <w:rFonts w:asciiTheme="majorBidi" w:hAnsiTheme="majorBidi" w:cstheme="majorBidi"/>
          <w:lang w:val="de-DE"/>
        </w:rPr>
        <w:t>Konvencijas</w:t>
      </w:r>
      <w:proofErr w:type="spellEnd"/>
      <w:r w:rsidRPr="00565D81">
        <w:rPr>
          <w:rFonts w:asciiTheme="majorBidi" w:hAnsiTheme="majorBidi" w:cstheme="majorBidi"/>
          <w:lang w:val="de-DE"/>
        </w:rPr>
        <w:t xml:space="preserve"> 2.panta 2.teikums </w:t>
      </w:r>
      <w:proofErr w:type="spellStart"/>
      <w:r w:rsidRPr="00565D81">
        <w:rPr>
          <w:rFonts w:asciiTheme="majorBidi" w:hAnsiTheme="majorBidi" w:cstheme="majorBidi"/>
          <w:lang w:val="de-DE"/>
        </w:rPr>
        <w:t>satur</w:t>
      </w:r>
      <w:proofErr w:type="spellEnd"/>
      <w:r w:rsidRPr="00565D81">
        <w:rPr>
          <w:rFonts w:asciiTheme="majorBidi" w:hAnsiTheme="majorBidi" w:cstheme="majorBidi"/>
          <w:lang w:val="de-DE"/>
        </w:rPr>
        <w:t xml:space="preserve"> </w:t>
      </w:r>
      <w:proofErr w:type="spellStart"/>
      <w:r w:rsidRPr="00565D81">
        <w:rPr>
          <w:rFonts w:asciiTheme="majorBidi" w:hAnsiTheme="majorBidi" w:cstheme="majorBidi"/>
          <w:lang w:val="de-DE"/>
        </w:rPr>
        <w:t>arī</w:t>
      </w:r>
      <w:proofErr w:type="spellEnd"/>
      <w:r w:rsidRPr="00565D81">
        <w:rPr>
          <w:rFonts w:asciiTheme="majorBidi" w:hAnsiTheme="majorBidi" w:cstheme="majorBidi"/>
          <w:lang w:val="de-DE"/>
        </w:rPr>
        <w:t xml:space="preserve"> </w:t>
      </w:r>
      <w:proofErr w:type="spellStart"/>
      <w:r w:rsidRPr="00565D81">
        <w:rPr>
          <w:rFonts w:asciiTheme="majorBidi" w:hAnsiTheme="majorBidi" w:cstheme="majorBidi"/>
          <w:lang w:val="de-DE"/>
        </w:rPr>
        <w:t>konkrētu</w:t>
      </w:r>
      <w:proofErr w:type="spellEnd"/>
      <w:r w:rsidRPr="00565D81">
        <w:rPr>
          <w:rFonts w:asciiTheme="majorBidi" w:hAnsiTheme="majorBidi" w:cstheme="majorBidi"/>
          <w:lang w:val="de-DE"/>
        </w:rPr>
        <w:t xml:space="preserve"> </w:t>
      </w:r>
      <w:proofErr w:type="spellStart"/>
      <w:r w:rsidRPr="00565D81">
        <w:rPr>
          <w:rFonts w:asciiTheme="majorBidi" w:hAnsiTheme="majorBidi" w:cstheme="majorBidi"/>
          <w:lang w:val="de-DE"/>
        </w:rPr>
        <w:t>apliecināmo</w:t>
      </w:r>
      <w:proofErr w:type="spellEnd"/>
      <w:r w:rsidRPr="00565D81">
        <w:rPr>
          <w:rFonts w:asciiTheme="majorBidi" w:hAnsiTheme="majorBidi" w:cstheme="majorBidi"/>
          <w:lang w:val="de-DE"/>
        </w:rPr>
        <w:t xml:space="preserve"> </w:t>
      </w:r>
      <w:proofErr w:type="spellStart"/>
      <w:r w:rsidRPr="00565D81">
        <w:rPr>
          <w:rFonts w:asciiTheme="majorBidi" w:hAnsiTheme="majorBidi" w:cstheme="majorBidi"/>
          <w:lang w:val="de-DE"/>
        </w:rPr>
        <w:t>darbību</w:t>
      </w:r>
      <w:proofErr w:type="spellEnd"/>
      <w:r w:rsidRPr="00565D81">
        <w:rPr>
          <w:rFonts w:asciiTheme="majorBidi" w:hAnsiTheme="majorBidi" w:cstheme="majorBidi"/>
          <w:lang w:val="de-DE"/>
        </w:rPr>
        <w:t xml:space="preserve"> </w:t>
      </w:r>
      <w:proofErr w:type="spellStart"/>
      <w:r w:rsidRPr="00565D81">
        <w:rPr>
          <w:rFonts w:asciiTheme="majorBidi" w:hAnsiTheme="majorBidi" w:cstheme="majorBidi"/>
          <w:lang w:val="de-DE"/>
        </w:rPr>
        <w:t>sarakstu</w:t>
      </w:r>
      <w:proofErr w:type="spellEnd"/>
      <w:r w:rsidRPr="00565D81">
        <w:rPr>
          <w:rFonts w:asciiTheme="majorBidi" w:hAnsiTheme="majorBidi" w:cstheme="majorBidi"/>
          <w:lang w:val="de-DE"/>
        </w:rPr>
        <w:t xml:space="preserve">, </w:t>
      </w:r>
      <w:proofErr w:type="spellStart"/>
      <w:r w:rsidRPr="00565D81">
        <w:rPr>
          <w:rFonts w:asciiTheme="majorBidi" w:hAnsiTheme="majorBidi" w:cstheme="majorBidi"/>
          <w:lang w:val="de-DE"/>
        </w:rPr>
        <w:t>proti</w:t>
      </w:r>
      <w:proofErr w:type="spellEnd"/>
      <w:r w:rsidRPr="00565D81">
        <w:rPr>
          <w:rFonts w:asciiTheme="majorBidi" w:hAnsiTheme="majorBidi" w:cstheme="majorBidi"/>
          <w:lang w:val="de-DE"/>
        </w:rPr>
        <w:t xml:space="preserve">, „[..] </w:t>
      </w:r>
      <w:proofErr w:type="spellStart"/>
      <w:r w:rsidRPr="00565D81">
        <w:rPr>
          <w:rFonts w:asciiTheme="majorBidi" w:hAnsiTheme="majorBidi" w:cstheme="majorBidi"/>
          <w:lang w:val="de-DE"/>
        </w:rPr>
        <w:t>diplomātiskie</w:t>
      </w:r>
      <w:proofErr w:type="spellEnd"/>
      <w:r w:rsidRPr="00565D81">
        <w:rPr>
          <w:rFonts w:asciiTheme="majorBidi" w:hAnsiTheme="majorBidi" w:cstheme="majorBidi"/>
          <w:lang w:val="de-DE"/>
        </w:rPr>
        <w:t xml:space="preserve"> </w:t>
      </w:r>
      <w:proofErr w:type="spellStart"/>
      <w:r w:rsidRPr="00565D81">
        <w:rPr>
          <w:rFonts w:asciiTheme="majorBidi" w:hAnsiTheme="majorBidi" w:cstheme="majorBidi"/>
          <w:lang w:val="de-DE"/>
        </w:rPr>
        <w:t>vai</w:t>
      </w:r>
      <w:proofErr w:type="spellEnd"/>
      <w:r w:rsidRPr="00565D81">
        <w:rPr>
          <w:rFonts w:asciiTheme="majorBidi" w:hAnsiTheme="majorBidi" w:cstheme="majorBidi"/>
          <w:lang w:val="de-DE"/>
        </w:rPr>
        <w:t xml:space="preserve"> </w:t>
      </w:r>
      <w:proofErr w:type="spellStart"/>
      <w:r w:rsidRPr="00565D81">
        <w:rPr>
          <w:rFonts w:asciiTheme="majorBidi" w:hAnsiTheme="majorBidi" w:cstheme="majorBidi"/>
          <w:lang w:val="de-DE"/>
        </w:rPr>
        <w:t>konsulārie</w:t>
      </w:r>
      <w:proofErr w:type="spellEnd"/>
      <w:r w:rsidRPr="00565D81">
        <w:rPr>
          <w:rFonts w:asciiTheme="majorBidi" w:hAnsiTheme="majorBidi" w:cstheme="majorBidi"/>
          <w:lang w:val="de-DE"/>
        </w:rPr>
        <w:t xml:space="preserve"> </w:t>
      </w:r>
      <w:proofErr w:type="spellStart"/>
      <w:r w:rsidRPr="00565D81">
        <w:rPr>
          <w:rFonts w:asciiTheme="majorBidi" w:hAnsiTheme="majorBidi" w:cstheme="majorBidi"/>
          <w:lang w:val="de-DE"/>
        </w:rPr>
        <w:t>darbinieki</w:t>
      </w:r>
      <w:proofErr w:type="spellEnd"/>
      <w:r w:rsidRPr="00565D81">
        <w:rPr>
          <w:rFonts w:asciiTheme="majorBidi" w:hAnsiTheme="majorBidi" w:cstheme="majorBidi"/>
          <w:lang w:val="de-DE"/>
        </w:rPr>
        <w:t xml:space="preserve"> </w:t>
      </w:r>
      <w:proofErr w:type="spellStart"/>
      <w:r w:rsidRPr="00565D81">
        <w:rPr>
          <w:rFonts w:asciiTheme="majorBidi" w:hAnsiTheme="majorBidi" w:cstheme="majorBidi"/>
          <w:u w:val="single"/>
          <w:lang w:val="de-DE"/>
        </w:rPr>
        <w:t>apliecina</w:t>
      </w:r>
      <w:proofErr w:type="spellEnd"/>
      <w:r w:rsidRPr="00565D81">
        <w:rPr>
          <w:rFonts w:asciiTheme="majorBidi" w:hAnsiTheme="majorBidi" w:cstheme="majorBidi"/>
          <w:u w:val="single"/>
          <w:lang w:val="de-DE"/>
        </w:rPr>
        <w:t xml:space="preserve"> </w:t>
      </w:r>
      <w:proofErr w:type="spellStart"/>
      <w:r w:rsidRPr="00565D81">
        <w:rPr>
          <w:rFonts w:asciiTheme="majorBidi" w:hAnsiTheme="majorBidi" w:cstheme="majorBidi"/>
          <w:u w:val="single"/>
          <w:lang w:val="de-DE"/>
        </w:rPr>
        <w:t>paraksta</w:t>
      </w:r>
      <w:proofErr w:type="spellEnd"/>
      <w:r w:rsidRPr="00565D81">
        <w:rPr>
          <w:rFonts w:asciiTheme="majorBidi" w:hAnsiTheme="majorBidi" w:cstheme="majorBidi"/>
          <w:u w:val="single"/>
          <w:lang w:val="de-DE"/>
        </w:rPr>
        <w:t xml:space="preserve"> </w:t>
      </w:r>
      <w:proofErr w:type="spellStart"/>
      <w:r w:rsidRPr="00565D81">
        <w:rPr>
          <w:rFonts w:asciiTheme="majorBidi" w:hAnsiTheme="majorBidi" w:cstheme="majorBidi"/>
          <w:u w:val="single"/>
          <w:lang w:val="de-DE"/>
        </w:rPr>
        <w:t>autentiskumu</w:t>
      </w:r>
      <w:proofErr w:type="spellEnd"/>
      <w:r w:rsidRPr="00565D81">
        <w:rPr>
          <w:rFonts w:asciiTheme="majorBidi" w:hAnsiTheme="majorBidi" w:cstheme="majorBidi"/>
          <w:u w:val="single"/>
          <w:lang w:val="de-DE"/>
        </w:rPr>
        <w:t xml:space="preserve">, </w:t>
      </w:r>
      <w:proofErr w:type="spellStart"/>
      <w:r w:rsidRPr="00565D81">
        <w:rPr>
          <w:rFonts w:asciiTheme="majorBidi" w:hAnsiTheme="majorBidi" w:cstheme="majorBidi"/>
          <w:u w:val="single"/>
          <w:lang w:val="de-DE"/>
        </w:rPr>
        <w:t>statusu</w:t>
      </w:r>
      <w:proofErr w:type="spellEnd"/>
      <w:r w:rsidRPr="00565D81">
        <w:rPr>
          <w:rFonts w:asciiTheme="majorBidi" w:hAnsiTheme="majorBidi" w:cstheme="majorBidi"/>
          <w:u w:val="single"/>
          <w:lang w:val="de-DE"/>
        </w:rPr>
        <w:t xml:space="preserve">, </w:t>
      </w:r>
      <w:proofErr w:type="spellStart"/>
      <w:r w:rsidRPr="00565D81">
        <w:rPr>
          <w:rFonts w:asciiTheme="majorBidi" w:hAnsiTheme="majorBidi" w:cstheme="majorBidi"/>
          <w:u w:val="single"/>
          <w:lang w:val="de-DE"/>
        </w:rPr>
        <w:t>kādā</w:t>
      </w:r>
      <w:proofErr w:type="spellEnd"/>
      <w:r w:rsidRPr="00565D81">
        <w:rPr>
          <w:rFonts w:asciiTheme="majorBidi" w:hAnsiTheme="majorBidi" w:cstheme="majorBidi"/>
          <w:u w:val="single"/>
          <w:lang w:val="de-DE"/>
        </w:rPr>
        <w:t xml:space="preserve"> </w:t>
      </w:r>
      <w:proofErr w:type="spellStart"/>
      <w:r w:rsidRPr="00565D81">
        <w:rPr>
          <w:rFonts w:asciiTheme="majorBidi" w:hAnsiTheme="majorBidi" w:cstheme="majorBidi"/>
          <w:u w:val="single"/>
          <w:lang w:val="de-DE"/>
        </w:rPr>
        <w:t>rīkojusies</w:t>
      </w:r>
      <w:proofErr w:type="spellEnd"/>
      <w:r w:rsidRPr="00565D81">
        <w:rPr>
          <w:rFonts w:asciiTheme="majorBidi" w:hAnsiTheme="majorBidi" w:cstheme="majorBidi"/>
          <w:u w:val="single"/>
          <w:lang w:val="de-DE"/>
        </w:rPr>
        <w:t xml:space="preserve"> </w:t>
      </w:r>
      <w:proofErr w:type="spellStart"/>
      <w:r w:rsidRPr="00565D81">
        <w:rPr>
          <w:rFonts w:asciiTheme="majorBidi" w:hAnsiTheme="majorBidi" w:cstheme="majorBidi"/>
          <w:u w:val="single"/>
          <w:lang w:val="de-DE"/>
        </w:rPr>
        <w:t>persona</w:t>
      </w:r>
      <w:proofErr w:type="spellEnd"/>
      <w:r w:rsidRPr="00565D81">
        <w:rPr>
          <w:rFonts w:asciiTheme="majorBidi" w:hAnsiTheme="majorBidi" w:cstheme="majorBidi"/>
          <w:u w:val="single"/>
          <w:lang w:val="de-DE"/>
        </w:rPr>
        <w:t xml:space="preserve">, </w:t>
      </w:r>
      <w:proofErr w:type="spellStart"/>
      <w:r w:rsidRPr="00565D81">
        <w:rPr>
          <w:rFonts w:asciiTheme="majorBidi" w:hAnsiTheme="majorBidi" w:cstheme="majorBidi"/>
          <w:u w:val="single"/>
          <w:lang w:val="de-DE"/>
        </w:rPr>
        <w:t>kura</w:t>
      </w:r>
      <w:proofErr w:type="spellEnd"/>
      <w:r w:rsidRPr="00565D81">
        <w:rPr>
          <w:rFonts w:asciiTheme="majorBidi" w:hAnsiTheme="majorBidi" w:cstheme="majorBidi"/>
          <w:u w:val="single"/>
          <w:lang w:val="de-DE"/>
        </w:rPr>
        <w:t xml:space="preserve"> </w:t>
      </w:r>
      <w:proofErr w:type="spellStart"/>
      <w:r w:rsidRPr="00565D81">
        <w:rPr>
          <w:rFonts w:asciiTheme="majorBidi" w:hAnsiTheme="majorBidi" w:cstheme="majorBidi"/>
          <w:u w:val="single"/>
          <w:lang w:val="de-DE"/>
        </w:rPr>
        <w:t>parakstījusi</w:t>
      </w:r>
      <w:proofErr w:type="spellEnd"/>
      <w:r w:rsidRPr="00565D81">
        <w:rPr>
          <w:rFonts w:asciiTheme="majorBidi" w:hAnsiTheme="majorBidi" w:cstheme="majorBidi"/>
          <w:u w:val="single"/>
          <w:lang w:val="de-DE"/>
        </w:rPr>
        <w:t xml:space="preserve"> </w:t>
      </w:r>
      <w:proofErr w:type="spellStart"/>
      <w:r w:rsidRPr="00565D81">
        <w:rPr>
          <w:rFonts w:asciiTheme="majorBidi" w:hAnsiTheme="majorBidi" w:cstheme="majorBidi"/>
          <w:u w:val="single"/>
          <w:lang w:val="de-DE"/>
        </w:rPr>
        <w:t>dokumentu</w:t>
      </w:r>
      <w:proofErr w:type="spellEnd"/>
      <w:r w:rsidRPr="00565D81">
        <w:rPr>
          <w:rFonts w:asciiTheme="majorBidi" w:hAnsiTheme="majorBidi" w:cstheme="majorBidi"/>
          <w:u w:val="single"/>
          <w:lang w:val="de-DE"/>
        </w:rPr>
        <w:t xml:space="preserve">, </w:t>
      </w:r>
      <w:proofErr w:type="spellStart"/>
      <w:r w:rsidRPr="00565D81">
        <w:rPr>
          <w:rFonts w:asciiTheme="majorBidi" w:hAnsiTheme="majorBidi" w:cstheme="majorBidi"/>
          <w:u w:val="single"/>
          <w:lang w:val="de-DE"/>
        </w:rPr>
        <w:t>un</w:t>
      </w:r>
      <w:proofErr w:type="spellEnd"/>
      <w:r w:rsidRPr="00565D81">
        <w:rPr>
          <w:rFonts w:asciiTheme="majorBidi" w:hAnsiTheme="majorBidi" w:cstheme="majorBidi"/>
          <w:u w:val="single"/>
          <w:lang w:val="de-DE"/>
        </w:rPr>
        <w:t xml:space="preserve">, kur </w:t>
      </w:r>
      <w:proofErr w:type="spellStart"/>
      <w:r w:rsidRPr="00565D81">
        <w:rPr>
          <w:rFonts w:asciiTheme="majorBidi" w:hAnsiTheme="majorBidi" w:cstheme="majorBidi"/>
          <w:u w:val="single"/>
          <w:lang w:val="de-DE"/>
        </w:rPr>
        <w:t>tas</w:t>
      </w:r>
      <w:proofErr w:type="spellEnd"/>
      <w:r w:rsidRPr="00565D81">
        <w:rPr>
          <w:rFonts w:asciiTheme="majorBidi" w:hAnsiTheme="majorBidi" w:cstheme="majorBidi"/>
          <w:u w:val="single"/>
          <w:lang w:val="de-DE"/>
        </w:rPr>
        <w:t xml:space="preserve"> </w:t>
      </w:r>
      <w:proofErr w:type="spellStart"/>
      <w:r w:rsidRPr="00565D81">
        <w:rPr>
          <w:rFonts w:asciiTheme="majorBidi" w:hAnsiTheme="majorBidi" w:cstheme="majorBidi"/>
          <w:u w:val="single"/>
          <w:lang w:val="de-DE"/>
        </w:rPr>
        <w:t>nepieciešams</w:t>
      </w:r>
      <w:proofErr w:type="spellEnd"/>
      <w:r w:rsidRPr="00565D81">
        <w:rPr>
          <w:rFonts w:asciiTheme="majorBidi" w:hAnsiTheme="majorBidi" w:cstheme="majorBidi"/>
          <w:u w:val="single"/>
          <w:lang w:val="de-DE"/>
        </w:rPr>
        <w:t xml:space="preserve">, </w:t>
      </w:r>
      <w:proofErr w:type="spellStart"/>
      <w:r w:rsidRPr="00565D81">
        <w:rPr>
          <w:rFonts w:asciiTheme="majorBidi" w:hAnsiTheme="majorBidi" w:cstheme="majorBidi"/>
          <w:u w:val="single"/>
          <w:lang w:val="de-DE"/>
        </w:rPr>
        <w:t>zīmoga</w:t>
      </w:r>
      <w:proofErr w:type="spellEnd"/>
      <w:r w:rsidRPr="00565D81">
        <w:rPr>
          <w:rFonts w:asciiTheme="majorBidi" w:hAnsiTheme="majorBidi" w:cstheme="majorBidi"/>
          <w:u w:val="single"/>
          <w:lang w:val="de-DE"/>
        </w:rPr>
        <w:t xml:space="preserve"> </w:t>
      </w:r>
      <w:proofErr w:type="spellStart"/>
      <w:r w:rsidRPr="00565D81">
        <w:rPr>
          <w:rFonts w:asciiTheme="majorBidi" w:hAnsiTheme="majorBidi" w:cstheme="majorBidi"/>
          <w:u w:val="single"/>
          <w:lang w:val="de-DE"/>
        </w:rPr>
        <w:t>vai</w:t>
      </w:r>
      <w:proofErr w:type="spellEnd"/>
      <w:r w:rsidRPr="00565D81">
        <w:rPr>
          <w:rFonts w:asciiTheme="majorBidi" w:hAnsiTheme="majorBidi" w:cstheme="majorBidi"/>
          <w:u w:val="single"/>
          <w:lang w:val="de-DE"/>
        </w:rPr>
        <w:t xml:space="preserve"> </w:t>
      </w:r>
      <w:proofErr w:type="spellStart"/>
      <w:r w:rsidRPr="00565D81">
        <w:rPr>
          <w:rFonts w:asciiTheme="majorBidi" w:hAnsiTheme="majorBidi" w:cstheme="majorBidi"/>
          <w:u w:val="single"/>
          <w:lang w:val="de-DE"/>
        </w:rPr>
        <w:t>spiedoga</w:t>
      </w:r>
      <w:proofErr w:type="spellEnd"/>
      <w:r w:rsidRPr="00565D81">
        <w:rPr>
          <w:rFonts w:asciiTheme="majorBidi" w:hAnsiTheme="majorBidi" w:cstheme="majorBidi"/>
          <w:u w:val="single"/>
          <w:lang w:val="de-DE"/>
        </w:rPr>
        <w:t xml:space="preserve"> </w:t>
      </w:r>
      <w:proofErr w:type="spellStart"/>
      <w:r w:rsidRPr="00565D81">
        <w:rPr>
          <w:rFonts w:asciiTheme="majorBidi" w:hAnsiTheme="majorBidi" w:cstheme="majorBidi"/>
          <w:u w:val="single"/>
          <w:lang w:val="de-DE"/>
        </w:rPr>
        <w:t>identitāti</w:t>
      </w:r>
      <w:proofErr w:type="spellEnd"/>
      <w:r w:rsidRPr="00565D81">
        <w:rPr>
          <w:rFonts w:asciiTheme="majorBidi" w:hAnsiTheme="majorBidi" w:cstheme="majorBidi"/>
          <w:u w:val="single"/>
          <w:lang w:val="de-DE"/>
        </w:rPr>
        <w:t xml:space="preserve">, </w:t>
      </w:r>
      <w:proofErr w:type="spellStart"/>
      <w:r w:rsidRPr="00565D81">
        <w:rPr>
          <w:rFonts w:asciiTheme="majorBidi" w:hAnsiTheme="majorBidi" w:cstheme="majorBidi"/>
          <w:u w:val="single"/>
          <w:lang w:val="de-DE"/>
        </w:rPr>
        <w:t>kurš</w:t>
      </w:r>
      <w:proofErr w:type="spellEnd"/>
      <w:r w:rsidRPr="00565D81">
        <w:rPr>
          <w:rFonts w:asciiTheme="majorBidi" w:hAnsiTheme="majorBidi" w:cstheme="majorBidi"/>
          <w:u w:val="single"/>
          <w:lang w:val="de-DE"/>
        </w:rPr>
        <w:t xml:space="preserve"> </w:t>
      </w:r>
      <w:proofErr w:type="spellStart"/>
      <w:r w:rsidRPr="00565D81">
        <w:rPr>
          <w:rFonts w:asciiTheme="majorBidi" w:hAnsiTheme="majorBidi" w:cstheme="majorBidi"/>
          <w:u w:val="single"/>
          <w:lang w:val="de-DE"/>
        </w:rPr>
        <w:t>ir</w:t>
      </w:r>
      <w:proofErr w:type="spellEnd"/>
      <w:r w:rsidRPr="00565D81">
        <w:rPr>
          <w:rFonts w:asciiTheme="majorBidi" w:hAnsiTheme="majorBidi" w:cstheme="majorBidi"/>
          <w:u w:val="single"/>
          <w:lang w:val="de-DE"/>
        </w:rPr>
        <w:t xml:space="preserve"> </w:t>
      </w:r>
      <w:proofErr w:type="spellStart"/>
      <w:r w:rsidRPr="00565D81">
        <w:rPr>
          <w:rFonts w:asciiTheme="majorBidi" w:hAnsiTheme="majorBidi" w:cstheme="majorBidi"/>
          <w:u w:val="single"/>
          <w:lang w:val="de-DE"/>
        </w:rPr>
        <w:t>uz</w:t>
      </w:r>
      <w:proofErr w:type="spellEnd"/>
      <w:r w:rsidRPr="00565D81">
        <w:rPr>
          <w:rFonts w:asciiTheme="majorBidi" w:hAnsiTheme="majorBidi" w:cstheme="majorBidi"/>
          <w:u w:val="single"/>
          <w:lang w:val="de-DE"/>
        </w:rPr>
        <w:t xml:space="preserve"> </w:t>
      </w:r>
      <w:proofErr w:type="spellStart"/>
      <w:r w:rsidRPr="00565D81">
        <w:rPr>
          <w:rFonts w:asciiTheme="majorBidi" w:hAnsiTheme="majorBidi" w:cstheme="majorBidi"/>
          <w:u w:val="single"/>
          <w:lang w:val="de-DE"/>
        </w:rPr>
        <w:t>dokumenta</w:t>
      </w:r>
      <w:proofErr w:type="spellEnd"/>
      <w:r w:rsidRPr="00565D81">
        <w:rPr>
          <w:rFonts w:asciiTheme="majorBidi" w:hAnsiTheme="majorBidi" w:cstheme="majorBidi"/>
          <w:u w:val="single"/>
          <w:lang w:val="de-DE"/>
        </w:rPr>
        <w:t>“.</w:t>
      </w:r>
      <w:r w:rsidRPr="00565D81">
        <w:rPr>
          <w:rFonts w:asciiTheme="majorBidi" w:hAnsiTheme="majorBidi" w:cstheme="majorBidi"/>
          <w:lang w:val="de-DE"/>
        </w:rPr>
        <w:t xml:space="preserve"> </w:t>
      </w:r>
      <w:proofErr w:type="spellStart"/>
      <w:r w:rsidRPr="00565D81">
        <w:rPr>
          <w:rFonts w:asciiTheme="majorBidi" w:hAnsiTheme="majorBidi" w:cstheme="majorBidi"/>
          <w:lang w:val="de-DE"/>
        </w:rPr>
        <w:t>Šāda</w:t>
      </w:r>
      <w:proofErr w:type="spellEnd"/>
      <w:r w:rsidRPr="00565D81">
        <w:rPr>
          <w:rFonts w:asciiTheme="majorBidi" w:hAnsiTheme="majorBidi" w:cstheme="majorBidi"/>
          <w:lang w:val="de-DE"/>
        </w:rPr>
        <w:t xml:space="preserve"> </w:t>
      </w:r>
      <w:proofErr w:type="spellStart"/>
      <w:r w:rsidRPr="00565D81">
        <w:rPr>
          <w:rFonts w:asciiTheme="majorBidi" w:hAnsiTheme="majorBidi" w:cstheme="majorBidi"/>
          <w:lang w:val="de-DE"/>
        </w:rPr>
        <w:t>norāde</w:t>
      </w:r>
      <w:proofErr w:type="spellEnd"/>
      <w:r w:rsidRPr="00565D81">
        <w:rPr>
          <w:rFonts w:asciiTheme="majorBidi" w:hAnsiTheme="majorBidi" w:cstheme="majorBidi"/>
          <w:lang w:val="de-DE"/>
        </w:rPr>
        <w:t xml:space="preserve"> </w:t>
      </w:r>
      <w:proofErr w:type="spellStart"/>
      <w:r w:rsidRPr="00565D81">
        <w:rPr>
          <w:rFonts w:asciiTheme="majorBidi" w:hAnsiTheme="majorBidi" w:cstheme="majorBidi"/>
          <w:lang w:val="de-DE"/>
        </w:rPr>
        <w:t>Konvencijā</w:t>
      </w:r>
      <w:proofErr w:type="spellEnd"/>
      <w:r w:rsidRPr="00565D81">
        <w:rPr>
          <w:rFonts w:asciiTheme="majorBidi" w:hAnsiTheme="majorBidi" w:cstheme="majorBidi"/>
          <w:lang w:val="de-DE"/>
        </w:rPr>
        <w:t xml:space="preserve"> </w:t>
      </w:r>
      <w:proofErr w:type="spellStart"/>
      <w:r w:rsidRPr="00565D81">
        <w:rPr>
          <w:rFonts w:asciiTheme="majorBidi" w:hAnsiTheme="majorBidi" w:cstheme="majorBidi"/>
          <w:lang w:val="de-DE"/>
        </w:rPr>
        <w:t>bija</w:t>
      </w:r>
      <w:proofErr w:type="spellEnd"/>
      <w:r w:rsidRPr="00565D81">
        <w:rPr>
          <w:rFonts w:asciiTheme="majorBidi" w:hAnsiTheme="majorBidi" w:cstheme="majorBidi"/>
          <w:lang w:val="de-DE"/>
        </w:rPr>
        <w:t xml:space="preserve"> </w:t>
      </w:r>
      <w:proofErr w:type="spellStart"/>
      <w:r w:rsidRPr="00565D81">
        <w:rPr>
          <w:rFonts w:asciiTheme="majorBidi" w:hAnsiTheme="majorBidi" w:cstheme="majorBidi"/>
          <w:lang w:val="de-DE"/>
        </w:rPr>
        <w:t>nepieciešama</w:t>
      </w:r>
      <w:proofErr w:type="spellEnd"/>
      <w:r w:rsidRPr="00565D81">
        <w:rPr>
          <w:rFonts w:asciiTheme="majorBidi" w:hAnsiTheme="majorBidi" w:cstheme="majorBidi"/>
          <w:lang w:val="de-DE"/>
        </w:rPr>
        <w:t xml:space="preserve">, </w:t>
      </w:r>
      <w:proofErr w:type="spellStart"/>
      <w:r w:rsidRPr="00565D81">
        <w:rPr>
          <w:rFonts w:asciiTheme="majorBidi" w:hAnsiTheme="majorBidi" w:cstheme="majorBidi"/>
          <w:lang w:val="de-DE"/>
        </w:rPr>
        <w:t>jo</w:t>
      </w:r>
      <w:proofErr w:type="spellEnd"/>
      <w:r w:rsidRPr="00565D81">
        <w:rPr>
          <w:rFonts w:asciiTheme="majorBidi" w:hAnsiTheme="majorBidi" w:cstheme="majorBidi"/>
          <w:lang w:val="de-DE"/>
        </w:rPr>
        <w:t xml:space="preserve"> </w:t>
      </w:r>
      <w:proofErr w:type="spellStart"/>
      <w:r w:rsidRPr="00565D81">
        <w:rPr>
          <w:rFonts w:asciiTheme="majorBidi" w:hAnsiTheme="majorBidi" w:cstheme="majorBidi"/>
          <w:lang w:val="de-DE"/>
        </w:rPr>
        <w:t>dažādās</w:t>
      </w:r>
      <w:proofErr w:type="spellEnd"/>
      <w:r w:rsidRPr="00565D81">
        <w:rPr>
          <w:rFonts w:asciiTheme="majorBidi" w:hAnsiTheme="majorBidi" w:cstheme="majorBidi"/>
          <w:lang w:val="de-DE"/>
        </w:rPr>
        <w:t xml:space="preserve"> </w:t>
      </w:r>
      <w:proofErr w:type="spellStart"/>
      <w:r w:rsidRPr="00565D81">
        <w:rPr>
          <w:rFonts w:asciiTheme="majorBidi" w:hAnsiTheme="majorBidi" w:cstheme="majorBidi"/>
          <w:lang w:val="de-DE"/>
        </w:rPr>
        <w:t>Konvencijas</w:t>
      </w:r>
      <w:proofErr w:type="spellEnd"/>
      <w:r w:rsidRPr="00565D81">
        <w:rPr>
          <w:rFonts w:asciiTheme="majorBidi" w:hAnsiTheme="majorBidi" w:cstheme="majorBidi"/>
          <w:lang w:val="de-DE"/>
        </w:rPr>
        <w:t xml:space="preserve"> </w:t>
      </w:r>
      <w:proofErr w:type="spellStart"/>
      <w:r w:rsidRPr="00565D81">
        <w:rPr>
          <w:rFonts w:asciiTheme="majorBidi" w:hAnsiTheme="majorBidi" w:cstheme="majorBidi"/>
          <w:lang w:val="de-DE"/>
        </w:rPr>
        <w:t>līgumslēdzējās</w:t>
      </w:r>
      <w:proofErr w:type="spellEnd"/>
      <w:r w:rsidRPr="00565D81">
        <w:rPr>
          <w:rFonts w:asciiTheme="majorBidi" w:hAnsiTheme="majorBidi" w:cstheme="majorBidi"/>
          <w:lang w:val="de-DE"/>
        </w:rPr>
        <w:t xml:space="preserve"> </w:t>
      </w:r>
      <w:proofErr w:type="spellStart"/>
      <w:r w:rsidRPr="00565D81">
        <w:rPr>
          <w:rFonts w:asciiTheme="majorBidi" w:hAnsiTheme="majorBidi" w:cstheme="majorBidi"/>
          <w:lang w:val="de-DE"/>
        </w:rPr>
        <w:t>v</w:t>
      </w:r>
      <w:r w:rsidR="002B5D4D">
        <w:rPr>
          <w:rFonts w:asciiTheme="majorBidi" w:hAnsiTheme="majorBidi" w:cstheme="majorBidi"/>
          <w:lang w:val="de-DE"/>
        </w:rPr>
        <w:t>alstīs</w:t>
      </w:r>
      <w:proofErr w:type="spellEnd"/>
      <w:r w:rsidR="002B5D4D">
        <w:rPr>
          <w:rFonts w:asciiTheme="majorBidi" w:hAnsiTheme="majorBidi" w:cstheme="majorBidi"/>
          <w:lang w:val="de-DE"/>
        </w:rPr>
        <w:t xml:space="preserve"> </w:t>
      </w:r>
      <w:proofErr w:type="spellStart"/>
      <w:r w:rsidR="002B5D4D">
        <w:rPr>
          <w:rFonts w:asciiTheme="majorBidi" w:hAnsiTheme="majorBidi" w:cstheme="majorBidi"/>
          <w:lang w:val="de-DE"/>
        </w:rPr>
        <w:t>legalizācija</w:t>
      </w:r>
      <w:proofErr w:type="spellEnd"/>
      <w:r w:rsidR="002B5D4D">
        <w:rPr>
          <w:rFonts w:asciiTheme="majorBidi" w:hAnsiTheme="majorBidi" w:cstheme="majorBidi"/>
          <w:lang w:val="de-DE"/>
        </w:rPr>
        <w:t xml:space="preserve"> </w:t>
      </w:r>
      <w:proofErr w:type="spellStart"/>
      <w:r w:rsidR="002B5D4D">
        <w:rPr>
          <w:rFonts w:asciiTheme="majorBidi" w:hAnsiTheme="majorBidi" w:cstheme="majorBidi"/>
          <w:lang w:val="de-DE"/>
        </w:rPr>
        <w:t>rada</w:t>
      </w:r>
      <w:proofErr w:type="spellEnd"/>
      <w:r w:rsidR="002B5D4D">
        <w:rPr>
          <w:rFonts w:asciiTheme="majorBidi" w:hAnsiTheme="majorBidi" w:cstheme="majorBidi"/>
          <w:lang w:val="de-DE"/>
        </w:rPr>
        <w:t xml:space="preserve"> </w:t>
      </w:r>
      <w:proofErr w:type="spellStart"/>
      <w:r w:rsidR="002B5D4D">
        <w:rPr>
          <w:rFonts w:asciiTheme="majorBidi" w:hAnsiTheme="majorBidi" w:cstheme="majorBidi"/>
          <w:lang w:val="de-DE"/>
        </w:rPr>
        <w:t>dažāda</w:t>
      </w:r>
      <w:proofErr w:type="spellEnd"/>
      <w:r w:rsidR="002B5D4D">
        <w:rPr>
          <w:rFonts w:asciiTheme="majorBidi" w:hAnsiTheme="majorBidi" w:cstheme="majorBidi"/>
          <w:lang w:val="de-DE"/>
        </w:rPr>
        <w:t xml:space="preserve"> </w:t>
      </w:r>
      <w:proofErr w:type="spellStart"/>
      <w:r w:rsidR="002B5D4D">
        <w:rPr>
          <w:rFonts w:asciiTheme="majorBidi" w:hAnsiTheme="majorBidi" w:cstheme="majorBidi"/>
          <w:lang w:val="de-DE"/>
        </w:rPr>
        <w:t>apjoma</w:t>
      </w:r>
      <w:proofErr w:type="spellEnd"/>
      <w:r w:rsidRPr="00565D81">
        <w:rPr>
          <w:rFonts w:asciiTheme="majorBidi" w:hAnsiTheme="majorBidi" w:cstheme="majorBidi"/>
          <w:lang w:val="de-DE"/>
        </w:rPr>
        <w:t xml:space="preserve"> </w:t>
      </w:r>
      <w:proofErr w:type="spellStart"/>
      <w:r w:rsidR="002B5D4D">
        <w:rPr>
          <w:rFonts w:asciiTheme="majorBidi" w:hAnsiTheme="majorBidi" w:cstheme="majorBidi"/>
          <w:lang w:val="de-DE"/>
        </w:rPr>
        <w:t>tiesiskās</w:t>
      </w:r>
      <w:proofErr w:type="spellEnd"/>
      <w:r w:rsidR="002B5D4D">
        <w:rPr>
          <w:rFonts w:asciiTheme="majorBidi" w:hAnsiTheme="majorBidi" w:cstheme="majorBidi"/>
          <w:lang w:val="de-DE"/>
        </w:rPr>
        <w:t xml:space="preserve"> </w:t>
      </w:r>
      <w:proofErr w:type="spellStart"/>
      <w:r w:rsidRPr="00565D81">
        <w:rPr>
          <w:rFonts w:asciiTheme="majorBidi" w:hAnsiTheme="majorBidi" w:cstheme="majorBidi"/>
          <w:lang w:val="de-DE"/>
        </w:rPr>
        <w:t>sekas</w:t>
      </w:r>
      <w:proofErr w:type="spellEnd"/>
      <w:r w:rsidRPr="00565D81">
        <w:rPr>
          <w:rFonts w:asciiTheme="majorBidi" w:hAnsiTheme="majorBidi" w:cstheme="majorBidi"/>
          <w:lang w:val="de-DE"/>
        </w:rPr>
        <w:t xml:space="preserve">, </w:t>
      </w:r>
      <w:proofErr w:type="spellStart"/>
      <w:r w:rsidRPr="00565D81">
        <w:rPr>
          <w:rFonts w:asciiTheme="majorBidi" w:hAnsiTheme="majorBidi" w:cstheme="majorBidi"/>
          <w:lang w:val="de-DE"/>
        </w:rPr>
        <w:t>taču</w:t>
      </w:r>
      <w:proofErr w:type="spellEnd"/>
      <w:r w:rsidRPr="00565D81">
        <w:rPr>
          <w:rFonts w:asciiTheme="majorBidi" w:hAnsiTheme="majorBidi" w:cstheme="majorBidi"/>
          <w:lang w:val="de-DE"/>
        </w:rPr>
        <w:t xml:space="preserve"> </w:t>
      </w:r>
      <w:proofErr w:type="spellStart"/>
      <w:r w:rsidRPr="00565D81">
        <w:rPr>
          <w:rFonts w:asciiTheme="majorBidi" w:hAnsiTheme="majorBidi" w:cstheme="majorBidi"/>
          <w:lang w:val="de-DE"/>
        </w:rPr>
        <w:t>šo</w:t>
      </w:r>
      <w:proofErr w:type="spellEnd"/>
      <w:r w:rsidRPr="00565D81">
        <w:rPr>
          <w:rFonts w:asciiTheme="majorBidi" w:hAnsiTheme="majorBidi" w:cstheme="majorBidi"/>
          <w:lang w:val="de-DE"/>
        </w:rPr>
        <w:t xml:space="preserve"> </w:t>
      </w:r>
      <w:proofErr w:type="spellStart"/>
      <w:r w:rsidRPr="00565D81">
        <w:rPr>
          <w:rFonts w:asciiTheme="majorBidi" w:hAnsiTheme="majorBidi" w:cstheme="majorBidi"/>
          <w:lang w:val="de-DE"/>
        </w:rPr>
        <w:t>legalizācijas</w:t>
      </w:r>
      <w:proofErr w:type="spellEnd"/>
      <w:r w:rsidRPr="00565D81">
        <w:rPr>
          <w:rFonts w:asciiTheme="majorBidi" w:hAnsiTheme="majorBidi" w:cstheme="majorBidi"/>
          <w:lang w:val="de-DE"/>
        </w:rPr>
        <w:t xml:space="preserve"> </w:t>
      </w:r>
      <w:proofErr w:type="spellStart"/>
      <w:r w:rsidRPr="00565D81">
        <w:rPr>
          <w:rFonts w:asciiTheme="majorBidi" w:hAnsiTheme="majorBidi" w:cstheme="majorBidi"/>
          <w:lang w:val="de-DE"/>
        </w:rPr>
        <w:t>seku</w:t>
      </w:r>
      <w:proofErr w:type="spellEnd"/>
      <w:r w:rsidRPr="00565D81">
        <w:rPr>
          <w:rFonts w:asciiTheme="majorBidi" w:hAnsiTheme="majorBidi" w:cstheme="majorBidi"/>
          <w:lang w:val="de-DE"/>
        </w:rPr>
        <w:t xml:space="preserve"> </w:t>
      </w:r>
      <w:proofErr w:type="spellStart"/>
      <w:r w:rsidRPr="00565D81">
        <w:rPr>
          <w:rFonts w:asciiTheme="majorBidi" w:hAnsiTheme="majorBidi" w:cstheme="majorBidi"/>
          <w:lang w:val="de-DE"/>
        </w:rPr>
        <w:t>minimālais</w:t>
      </w:r>
      <w:proofErr w:type="spellEnd"/>
      <w:r w:rsidRPr="00565D81">
        <w:rPr>
          <w:rFonts w:asciiTheme="majorBidi" w:hAnsiTheme="majorBidi" w:cstheme="majorBidi"/>
          <w:lang w:val="de-DE"/>
        </w:rPr>
        <w:t xml:space="preserve"> </w:t>
      </w:r>
      <w:proofErr w:type="spellStart"/>
      <w:r w:rsidRPr="00565D81">
        <w:rPr>
          <w:rFonts w:asciiTheme="majorBidi" w:hAnsiTheme="majorBidi" w:cstheme="majorBidi"/>
          <w:lang w:val="de-DE"/>
        </w:rPr>
        <w:t>katalogs</w:t>
      </w:r>
      <w:proofErr w:type="spellEnd"/>
      <w:r w:rsidRPr="00565D81">
        <w:rPr>
          <w:rFonts w:asciiTheme="majorBidi" w:hAnsiTheme="majorBidi" w:cstheme="majorBidi"/>
          <w:lang w:val="de-DE"/>
        </w:rPr>
        <w:t xml:space="preserve"> </w:t>
      </w:r>
      <w:proofErr w:type="spellStart"/>
      <w:r w:rsidRPr="00565D81">
        <w:rPr>
          <w:rFonts w:asciiTheme="majorBidi" w:hAnsiTheme="majorBidi" w:cstheme="majorBidi"/>
          <w:lang w:val="de-DE"/>
        </w:rPr>
        <w:t>visās</w:t>
      </w:r>
      <w:proofErr w:type="spellEnd"/>
      <w:r w:rsidRPr="00565D81">
        <w:rPr>
          <w:rFonts w:asciiTheme="majorBidi" w:hAnsiTheme="majorBidi" w:cstheme="majorBidi"/>
          <w:lang w:val="de-DE"/>
        </w:rPr>
        <w:t xml:space="preserve"> </w:t>
      </w:r>
      <w:proofErr w:type="spellStart"/>
      <w:r w:rsidRPr="00565D81">
        <w:rPr>
          <w:rFonts w:asciiTheme="majorBidi" w:hAnsiTheme="majorBidi" w:cstheme="majorBidi"/>
          <w:lang w:val="de-DE"/>
        </w:rPr>
        <w:t>šajās</w:t>
      </w:r>
      <w:proofErr w:type="spellEnd"/>
      <w:r w:rsidRPr="00565D81">
        <w:rPr>
          <w:rFonts w:asciiTheme="majorBidi" w:hAnsiTheme="majorBidi" w:cstheme="majorBidi"/>
          <w:lang w:val="de-DE"/>
        </w:rPr>
        <w:t xml:space="preserve"> </w:t>
      </w:r>
      <w:proofErr w:type="spellStart"/>
      <w:r w:rsidRPr="00565D81">
        <w:rPr>
          <w:rFonts w:asciiTheme="majorBidi" w:hAnsiTheme="majorBidi" w:cstheme="majorBidi"/>
          <w:lang w:val="de-DE"/>
        </w:rPr>
        <w:t>valstīs</w:t>
      </w:r>
      <w:proofErr w:type="spellEnd"/>
      <w:r w:rsidRPr="00565D81">
        <w:rPr>
          <w:rFonts w:asciiTheme="majorBidi" w:hAnsiTheme="majorBidi" w:cstheme="majorBidi"/>
          <w:lang w:val="de-DE"/>
        </w:rPr>
        <w:t xml:space="preserve"> </w:t>
      </w:r>
      <w:proofErr w:type="spellStart"/>
      <w:r w:rsidRPr="00565D81">
        <w:rPr>
          <w:rFonts w:asciiTheme="majorBidi" w:hAnsiTheme="majorBidi" w:cstheme="majorBidi"/>
          <w:lang w:val="de-DE"/>
        </w:rPr>
        <w:t>ir</w:t>
      </w:r>
      <w:proofErr w:type="spellEnd"/>
      <w:r w:rsidRPr="00565D81">
        <w:rPr>
          <w:rFonts w:asciiTheme="majorBidi" w:hAnsiTheme="majorBidi" w:cstheme="majorBidi"/>
          <w:lang w:val="de-DE"/>
        </w:rPr>
        <w:t xml:space="preserve"> </w:t>
      </w:r>
      <w:proofErr w:type="spellStart"/>
      <w:r w:rsidRPr="00565D81">
        <w:rPr>
          <w:rFonts w:asciiTheme="majorBidi" w:hAnsiTheme="majorBidi" w:cstheme="majorBidi"/>
          <w:lang w:val="de-DE"/>
        </w:rPr>
        <w:t>vienāds</w:t>
      </w:r>
      <w:proofErr w:type="spellEnd"/>
      <w:r w:rsidRPr="00565D81">
        <w:rPr>
          <w:rFonts w:asciiTheme="majorBidi" w:hAnsiTheme="majorBidi" w:cstheme="majorBidi"/>
          <w:lang w:val="de-DE"/>
        </w:rPr>
        <w:t xml:space="preserve"> – </w:t>
      </w:r>
      <w:proofErr w:type="spellStart"/>
      <w:r w:rsidRPr="00565D81">
        <w:rPr>
          <w:rFonts w:asciiTheme="majorBidi" w:hAnsiTheme="majorBidi" w:cstheme="majorBidi"/>
          <w:lang w:val="de-DE"/>
        </w:rPr>
        <w:t>apliecināt</w:t>
      </w:r>
      <w:proofErr w:type="spellEnd"/>
      <w:r w:rsidRPr="00565D81">
        <w:rPr>
          <w:rFonts w:asciiTheme="majorBidi" w:hAnsiTheme="majorBidi" w:cstheme="majorBidi"/>
          <w:lang w:val="de-DE"/>
        </w:rPr>
        <w:t xml:space="preserve"> </w:t>
      </w:r>
      <w:proofErr w:type="spellStart"/>
      <w:r w:rsidRPr="00565D81">
        <w:rPr>
          <w:rFonts w:asciiTheme="majorBidi" w:hAnsiTheme="majorBidi" w:cstheme="majorBidi"/>
          <w:lang w:val="de-DE"/>
        </w:rPr>
        <w:t>paraksta</w:t>
      </w:r>
      <w:proofErr w:type="spellEnd"/>
      <w:r w:rsidRPr="00565D81">
        <w:rPr>
          <w:rFonts w:asciiTheme="majorBidi" w:hAnsiTheme="majorBidi" w:cstheme="majorBidi"/>
          <w:lang w:val="de-DE"/>
        </w:rPr>
        <w:t xml:space="preserve"> </w:t>
      </w:r>
      <w:proofErr w:type="spellStart"/>
      <w:r w:rsidRPr="00565D81">
        <w:rPr>
          <w:rFonts w:asciiTheme="majorBidi" w:hAnsiTheme="majorBidi" w:cstheme="majorBidi"/>
          <w:lang w:val="de-DE"/>
        </w:rPr>
        <w:t>autentiskumu</w:t>
      </w:r>
      <w:proofErr w:type="spellEnd"/>
      <w:r w:rsidRPr="00565D81">
        <w:rPr>
          <w:rFonts w:asciiTheme="majorBidi" w:hAnsiTheme="majorBidi" w:cstheme="majorBidi"/>
          <w:lang w:val="de-DE"/>
        </w:rPr>
        <w:t xml:space="preserve">; </w:t>
      </w:r>
      <w:proofErr w:type="spellStart"/>
      <w:r w:rsidRPr="00565D81">
        <w:rPr>
          <w:rFonts w:asciiTheme="majorBidi" w:hAnsiTheme="majorBidi" w:cstheme="majorBidi"/>
          <w:lang w:val="de-DE"/>
        </w:rPr>
        <w:t>statusu</w:t>
      </w:r>
      <w:proofErr w:type="spellEnd"/>
      <w:r w:rsidRPr="00565D81">
        <w:rPr>
          <w:rFonts w:asciiTheme="majorBidi" w:hAnsiTheme="majorBidi" w:cstheme="majorBidi"/>
          <w:lang w:val="de-DE"/>
        </w:rPr>
        <w:t xml:space="preserve">, </w:t>
      </w:r>
      <w:proofErr w:type="spellStart"/>
      <w:r w:rsidRPr="00565D81">
        <w:rPr>
          <w:rFonts w:asciiTheme="majorBidi" w:hAnsiTheme="majorBidi" w:cstheme="majorBidi"/>
          <w:lang w:val="de-DE"/>
        </w:rPr>
        <w:t>kādā</w:t>
      </w:r>
      <w:proofErr w:type="spellEnd"/>
      <w:r w:rsidRPr="00565D81">
        <w:rPr>
          <w:rFonts w:asciiTheme="majorBidi" w:hAnsiTheme="majorBidi" w:cstheme="majorBidi"/>
          <w:lang w:val="de-DE"/>
        </w:rPr>
        <w:t xml:space="preserve"> </w:t>
      </w:r>
      <w:proofErr w:type="spellStart"/>
      <w:r w:rsidRPr="00565D81">
        <w:rPr>
          <w:rFonts w:asciiTheme="majorBidi" w:hAnsiTheme="majorBidi" w:cstheme="majorBidi"/>
          <w:lang w:val="de-DE"/>
        </w:rPr>
        <w:t>rīkojusies</w:t>
      </w:r>
      <w:proofErr w:type="spellEnd"/>
      <w:r w:rsidRPr="00565D81">
        <w:rPr>
          <w:rFonts w:asciiTheme="majorBidi" w:hAnsiTheme="majorBidi" w:cstheme="majorBidi"/>
          <w:lang w:val="de-DE"/>
        </w:rPr>
        <w:t xml:space="preserve"> </w:t>
      </w:r>
      <w:proofErr w:type="spellStart"/>
      <w:r w:rsidRPr="00565D81">
        <w:rPr>
          <w:rFonts w:asciiTheme="majorBidi" w:hAnsiTheme="majorBidi" w:cstheme="majorBidi"/>
          <w:lang w:val="de-DE"/>
        </w:rPr>
        <w:t>persona</w:t>
      </w:r>
      <w:proofErr w:type="spellEnd"/>
      <w:r w:rsidRPr="00565D81">
        <w:rPr>
          <w:rFonts w:asciiTheme="majorBidi" w:hAnsiTheme="majorBidi" w:cstheme="majorBidi"/>
          <w:lang w:val="de-DE"/>
        </w:rPr>
        <w:t xml:space="preserve">, </w:t>
      </w:r>
      <w:proofErr w:type="spellStart"/>
      <w:r w:rsidRPr="00565D81">
        <w:rPr>
          <w:rFonts w:asciiTheme="majorBidi" w:hAnsiTheme="majorBidi" w:cstheme="majorBidi"/>
          <w:lang w:val="de-DE"/>
        </w:rPr>
        <w:t>kura</w:t>
      </w:r>
      <w:proofErr w:type="spellEnd"/>
      <w:r w:rsidRPr="00565D81">
        <w:rPr>
          <w:rFonts w:asciiTheme="majorBidi" w:hAnsiTheme="majorBidi" w:cstheme="majorBidi"/>
          <w:lang w:val="de-DE"/>
        </w:rPr>
        <w:t xml:space="preserve"> </w:t>
      </w:r>
      <w:proofErr w:type="spellStart"/>
      <w:r w:rsidRPr="00565D81">
        <w:rPr>
          <w:rFonts w:asciiTheme="majorBidi" w:hAnsiTheme="majorBidi" w:cstheme="majorBidi"/>
          <w:lang w:val="de-DE"/>
        </w:rPr>
        <w:t>parakstījusi</w:t>
      </w:r>
      <w:proofErr w:type="spellEnd"/>
      <w:r w:rsidRPr="00565D81">
        <w:rPr>
          <w:rFonts w:asciiTheme="majorBidi" w:hAnsiTheme="majorBidi" w:cstheme="majorBidi"/>
          <w:lang w:val="de-DE"/>
        </w:rPr>
        <w:t xml:space="preserve"> </w:t>
      </w:r>
      <w:proofErr w:type="spellStart"/>
      <w:r w:rsidRPr="00565D81">
        <w:rPr>
          <w:rFonts w:asciiTheme="majorBidi" w:hAnsiTheme="majorBidi" w:cstheme="majorBidi"/>
          <w:lang w:val="de-DE"/>
        </w:rPr>
        <w:t>dokumentu</w:t>
      </w:r>
      <w:proofErr w:type="spellEnd"/>
      <w:r w:rsidRPr="00565D81">
        <w:rPr>
          <w:rFonts w:asciiTheme="majorBidi" w:hAnsiTheme="majorBidi" w:cstheme="majorBidi"/>
          <w:lang w:val="de-DE"/>
        </w:rPr>
        <w:t xml:space="preserve">; </w:t>
      </w:r>
      <w:proofErr w:type="spellStart"/>
      <w:r w:rsidRPr="00565D81">
        <w:rPr>
          <w:rFonts w:asciiTheme="majorBidi" w:hAnsiTheme="majorBidi" w:cstheme="majorBidi"/>
          <w:lang w:val="de-DE"/>
        </w:rPr>
        <w:t>un</w:t>
      </w:r>
      <w:proofErr w:type="spellEnd"/>
      <w:r w:rsidRPr="00565D81">
        <w:rPr>
          <w:rFonts w:asciiTheme="majorBidi" w:hAnsiTheme="majorBidi" w:cstheme="majorBidi"/>
          <w:lang w:val="de-DE"/>
        </w:rPr>
        <w:t xml:space="preserve">, kur </w:t>
      </w:r>
      <w:proofErr w:type="spellStart"/>
      <w:r w:rsidRPr="00565D81">
        <w:rPr>
          <w:rFonts w:asciiTheme="majorBidi" w:hAnsiTheme="majorBidi" w:cstheme="majorBidi"/>
          <w:lang w:val="de-DE"/>
        </w:rPr>
        <w:t>tas</w:t>
      </w:r>
      <w:proofErr w:type="spellEnd"/>
      <w:r w:rsidRPr="00565D81">
        <w:rPr>
          <w:rFonts w:asciiTheme="majorBidi" w:hAnsiTheme="majorBidi" w:cstheme="majorBidi"/>
          <w:lang w:val="de-DE"/>
        </w:rPr>
        <w:t xml:space="preserve"> </w:t>
      </w:r>
      <w:proofErr w:type="spellStart"/>
      <w:r w:rsidRPr="00565D81">
        <w:rPr>
          <w:rFonts w:asciiTheme="majorBidi" w:hAnsiTheme="majorBidi" w:cstheme="majorBidi"/>
          <w:lang w:val="de-DE"/>
        </w:rPr>
        <w:t>nepieciešams</w:t>
      </w:r>
      <w:proofErr w:type="spellEnd"/>
      <w:r w:rsidRPr="00565D81">
        <w:rPr>
          <w:rFonts w:asciiTheme="majorBidi" w:hAnsiTheme="majorBidi" w:cstheme="majorBidi"/>
          <w:lang w:val="de-DE"/>
        </w:rPr>
        <w:t xml:space="preserve">, </w:t>
      </w:r>
      <w:proofErr w:type="spellStart"/>
      <w:r w:rsidRPr="00565D81">
        <w:rPr>
          <w:rFonts w:asciiTheme="majorBidi" w:hAnsiTheme="majorBidi" w:cstheme="majorBidi"/>
          <w:lang w:val="de-DE"/>
        </w:rPr>
        <w:t>zīmoga</w:t>
      </w:r>
      <w:proofErr w:type="spellEnd"/>
      <w:r w:rsidRPr="00565D81">
        <w:rPr>
          <w:rFonts w:asciiTheme="majorBidi" w:hAnsiTheme="majorBidi" w:cstheme="majorBidi"/>
          <w:lang w:val="de-DE"/>
        </w:rPr>
        <w:t xml:space="preserve"> </w:t>
      </w:r>
      <w:proofErr w:type="spellStart"/>
      <w:r w:rsidRPr="00565D81">
        <w:rPr>
          <w:rFonts w:asciiTheme="majorBidi" w:hAnsiTheme="majorBidi" w:cstheme="majorBidi"/>
          <w:lang w:val="de-DE"/>
        </w:rPr>
        <w:t>vai</w:t>
      </w:r>
      <w:proofErr w:type="spellEnd"/>
      <w:r w:rsidRPr="00565D81">
        <w:rPr>
          <w:rFonts w:asciiTheme="majorBidi" w:hAnsiTheme="majorBidi" w:cstheme="majorBidi"/>
          <w:lang w:val="de-DE"/>
        </w:rPr>
        <w:t xml:space="preserve"> </w:t>
      </w:r>
      <w:proofErr w:type="spellStart"/>
      <w:r w:rsidRPr="00565D81">
        <w:rPr>
          <w:rFonts w:asciiTheme="majorBidi" w:hAnsiTheme="majorBidi" w:cstheme="majorBidi"/>
          <w:lang w:val="de-DE"/>
        </w:rPr>
        <w:t>spiedoga</w:t>
      </w:r>
      <w:proofErr w:type="spellEnd"/>
      <w:r w:rsidRPr="00565D81">
        <w:rPr>
          <w:rFonts w:asciiTheme="majorBidi" w:hAnsiTheme="majorBidi" w:cstheme="majorBidi"/>
          <w:lang w:val="de-DE"/>
        </w:rPr>
        <w:t xml:space="preserve"> </w:t>
      </w:r>
      <w:proofErr w:type="spellStart"/>
      <w:r w:rsidRPr="00565D81">
        <w:rPr>
          <w:rFonts w:asciiTheme="majorBidi" w:hAnsiTheme="majorBidi" w:cstheme="majorBidi"/>
          <w:lang w:val="de-DE"/>
        </w:rPr>
        <w:t>identitāti</w:t>
      </w:r>
      <w:proofErr w:type="spellEnd"/>
      <w:r w:rsidRPr="00565D81">
        <w:rPr>
          <w:rFonts w:asciiTheme="majorBidi" w:hAnsiTheme="majorBidi" w:cstheme="majorBidi"/>
          <w:lang w:val="de-DE"/>
        </w:rPr>
        <w:t xml:space="preserve">, </w:t>
      </w:r>
      <w:proofErr w:type="spellStart"/>
      <w:r w:rsidRPr="00565D81">
        <w:rPr>
          <w:rFonts w:asciiTheme="majorBidi" w:hAnsiTheme="majorBidi" w:cstheme="majorBidi"/>
          <w:lang w:val="de-DE"/>
        </w:rPr>
        <w:t>kurš</w:t>
      </w:r>
      <w:proofErr w:type="spellEnd"/>
      <w:r w:rsidRPr="00565D81">
        <w:rPr>
          <w:rFonts w:asciiTheme="majorBidi" w:hAnsiTheme="majorBidi" w:cstheme="majorBidi"/>
          <w:lang w:val="de-DE"/>
        </w:rPr>
        <w:t xml:space="preserve"> </w:t>
      </w:r>
      <w:proofErr w:type="spellStart"/>
      <w:r w:rsidRPr="00565D81">
        <w:rPr>
          <w:rFonts w:asciiTheme="majorBidi" w:hAnsiTheme="majorBidi" w:cstheme="majorBidi"/>
          <w:lang w:val="de-DE"/>
        </w:rPr>
        <w:t>ir</w:t>
      </w:r>
      <w:proofErr w:type="spellEnd"/>
      <w:r w:rsidRPr="00565D81">
        <w:rPr>
          <w:rFonts w:asciiTheme="majorBidi" w:hAnsiTheme="majorBidi" w:cstheme="majorBidi"/>
          <w:lang w:val="de-DE"/>
        </w:rPr>
        <w:t xml:space="preserve"> </w:t>
      </w:r>
      <w:proofErr w:type="spellStart"/>
      <w:r w:rsidRPr="00565D81">
        <w:rPr>
          <w:rFonts w:asciiTheme="majorBidi" w:hAnsiTheme="majorBidi" w:cstheme="majorBidi"/>
          <w:lang w:val="de-DE"/>
        </w:rPr>
        <w:t>uz</w:t>
      </w:r>
      <w:proofErr w:type="spellEnd"/>
      <w:r w:rsidRPr="00565D81">
        <w:rPr>
          <w:rFonts w:asciiTheme="majorBidi" w:hAnsiTheme="majorBidi" w:cstheme="majorBidi"/>
          <w:lang w:val="de-DE"/>
        </w:rPr>
        <w:t xml:space="preserve"> </w:t>
      </w:r>
      <w:proofErr w:type="spellStart"/>
      <w:r w:rsidRPr="00565D81">
        <w:rPr>
          <w:rFonts w:asciiTheme="majorBidi" w:hAnsiTheme="majorBidi" w:cstheme="majorBidi"/>
          <w:lang w:val="de-DE"/>
        </w:rPr>
        <w:t>dokumenta</w:t>
      </w:r>
      <w:proofErr w:type="spellEnd"/>
      <w:r w:rsidRPr="00565D81">
        <w:rPr>
          <w:rFonts w:asciiTheme="majorBidi" w:hAnsiTheme="majorBidi" w:cstheme="majorBidi"/>
          <w:lang w:val="de-DE"/>
        </w:rPr>
        <w:t xml:space="preserve">. </w:t>
      </w:r>
      <w:proofErr w:type="spellStart"/>
      <w:r w:rsidRPr="00565D81">
        <w:rPr>
          <w:rFonts w:asciiTheme="majorBidi" w:hAnsiTheme="majorBidi" w:cstheme="majorBidi"/>
          <w:lang w:val="de-DE"/>
        </w:rPr>
        <w:t>Un</w:t>
      </w:r>
      <w:proofErr w:type="spellEnd"/>
      <w:r w:rsidRPr="00565D81">
        <w:rPr>
          <w:rFonts w:asciiTheme="majorBidi" w:hAnsiTheme="majorBidi" w:cstheme="majorBidi"/>
          <w:lang w:val="de-DE"/>
        </w:rPr>
        <w:t xml:space="preserve"> </w:t>
      </w:r>
      <w:proofErr w:type="spellStart"/>
      <w:r w:rsidRPr="00565D81">
        <w:rPr>
          <w:rFonts w:asciiTheme="majorBidi" w:hAnsiTheme="majorBidi" w:cstheme="majorBidi"/>
          <w:lang w:val="de-DE"/>
        </w:rPr>
        <w:t>tieši</w:t>
      </w:r>
      <w:proofErr w:type="spellEnd"/>
      <w:r w:rsidRPr="00565D81">
        <w:rPr>
          <w:rFonts w:asciiTheme="majorBidi" w:hAnsiTheme="majorBidi" w:cstheme="majorBidi"/>
          <w:lang w:val="de-DE"/>
        </w:rPr>
        <w:t xml:space="preserve"> </w:t>
      </w:r>
      <w:proofErr w:type="spellStart"/>
      <w:r w:rsidRPr="00565D81">
        <w:rPr>
          <w:rFonts w:asciiTheme="majorBidi" w:hAnsiTheme="majorBidi" w:cstheme="majorBidi"/>
          <w:lang w:val="de-DE"/>
        </w:rPr>
        <w:t>šis</w:t>
      </w:r>
      <w:proofErr w:type="spellEnd"/>
      <w:r w:rsidRPr="00565D81">
        <w:rPr>
          <w:rFonts w:asciiTheme="majorBidi" w:hAnsiTheme="majorBidi" w:cstheme="majorBidi"/>
          <w:lang w:val="de-DE"/>
        </w:rPr>
        <w:t xml:space="preserve"> </w:t>
      </w:r>
      <w:proofErr w:type="spellStart"/>
      <w:r w:rsidRPr="00565D81">
        <w:rPr>
          <w:rFonts w:asciiTheme="majorBidi" w:hAnsiTheme="majorBidi" w:cstheme="majorBidi"/>
          <w:lang w:val="de-DE"/>
        </w:rPr>
        <w:t>seku</w:t>
      </w:r>
      <w:proofErr w:type="spellEnd"/>
      <w:r w:rsidRPr="00565D81">
        <w:rPr>
          <w:rFonts w:asciiTheme="majorBidi" w:hAnsiTheme="majorBidi" w:cstheme="majorBidi"/>
          <w:lang w:val="de-DE"/>
        </w:rPr>
        <w:t xml:space="preserve"> </w:t>
      </w:r>
      <w:proofErr w:type="spellStart"/>
      <w:r w:rsidRPr="00565D81">
        <w:rPr>
          <w:rFonts w:asciiTheme="majorBidi" w:hAnsiTheme="majorBidi" w:cstheme="majorBidi"/>
          <w:lang w:val="de-DE"/>
        </w:rPr>
        <w:t>minimālais</w:t>
      </w:r>
      <w:proofErr w:type="spellEnd"/>
      <w:r w:rsidRPr="00565D81">
        <w:rPr>
          <w:rFonts w:asciiTheme="majorBidi" w:hAnsiTheme="majorBidi" w:cstheme="majorBidi"/>
          <w:lang w:val="de-DE"/>
        </w:rPr>
        <w:t xml:space="preserve"> </w:t>
      </w:r>
      <w:proofErr w:type="spellStart"/>
      <w:r w:rsidRPr="00565D81">
        <w:rPr>
          <w:rFonts w:asciiTheme="majorBidi" w:hAnsiTheme="majorBidi" w:cstheme="majorBidi"/>
          <w:lang w:val="de-DE"/>
        </w:rPr>
        <w:t>katalogs</w:t>
      </w:r>
      <w:proofErr w:type="spellEnd"/>
      <w:r w:rsidRPr="00565D81">
        <w:rPr>
          <w:rFonts w:asciiTheme="majorBidi" w:hAnsiTheme="majorBidi" w:cstheme="majorBidi"/>
          <w:lang w:val="de-DE"/>
        </w:rPr>
        <w:t xml:space="preserve"> </w:t>
      </w:r>
      <w:proofErr w:type="spellStart"/>
      <w:r w:rsidRPr="00565D81">
        <w:rPr>
          <w:rFonts w:asciiTheme="majorBidi" w:hAnsiTheme="majorBidi" w:cstheme="majorBidi"/>
          <w:lang w:val="de-DE"/>
        </w:rPr>
        <w:t>arī</w:t>
      </w:r>
      <w:proofErr w:type="spellEnd"/>
      <w:r w:rsidRPr="00565D81">
        <w:rPr>
          <w:rFonts w:asciiTheme="majorBidi" w:hAnsiTheme="majorBidi" w:cstheme="majorBidi"/>
          <w:lang w:val="de-DE"/>
        </w:rPr>
        <w:t xml:space="preserve"> </w:t>
      </w:r>
      <w:proofErr w:type="spellStart"/>
      <w:r w:rsidRPr="00565D81">
        <w:rPr>
          <w:rFonts w:asciiTheme="majorBidi" w:hAnsiTheme="majorBidi" w:cstheme="majorBidi"/>
          <w:lang w:val="de-DE"/>
        </w:rPr>
        <w:t>ir</w:t>
      </w:r>
      <w:proofErr w:type="spellEnd"/>
      <w:r w:rsidRPr="00565D81">
        <w:rPr>
          <w:rFonts w:asciiTheme="majorBidi" w:hAnsiTheme="majorBidi" w:cstheme="majorBidi"/>
          <w:lang w:val="de-DE"/>
        </w:rPr>
        <w:t xml:space="preserve"> </w:t>
      </w:r>
      <w:proofErr w:type="spellStart"/>
      <w:r w:rsidRPr="00565D81">
        <w:rPr>
          <w:rFonts w:asciiTheme="majorBidi" w:hAnsiTheme="majorBidi" w:cstheme="majorBidi"/>
          <w:lang w:val="de-DE"/>
        </w:rPr>
        <w:t>norādīts</w:t>
      </w:r>
      <w:proofErr w:type="spellEnd"/>
      <w:r w:rsidRPr="00565D81">
        <w:rPr>
          <w:rFonts w:asciiTheme="majorBidi" w:hAnsiTheme="majorBidi" w:cstheme="majorBidi"/>
          <w:lang w:val="de-DE"/>
        </w:rPr>
        <w:t xml:space="preserve"> </w:t>
      </w:r>
      <w:proofErr w:type="spellStart"/>
      <w:r w:rsidRPr="00565D81">
        <w:rPr>
          <w:rFonts w:asciiTheme="majorBidi" w:hAnsiTheme="majorBidi" w:cstheme="majorBidi"/>
          <w:lang w:val="de-DE"/>
        </w:rPr>
        <w:t>Konvencijas</w:t>
      </w:r>
      <w:proofErr w:type="spellEnd"/>
      <w:r w:rsidRPr="00565D81">
        <w:rPr>
          <w:rFonts w:asciiTheme="majorBidi" w:hAnsiTheme="majorBidi" w:cstheme="majorBidi"/>
          <w:lang w:val="de-DE"/>
        </w:rPr>
        <w:t xml:space="preserve"> 2.panta 2.teikumā.</w:t>
      </w:r>
      <w:r w:rsidRPr="00565D81">
        <w:rPr>
          <w:rStyle w:val="FootnoteReference"/>
          <w:rFonts w:asciiTheme="majorBidi" w:hAnsiTheme="majorBidi" w:cstheme="majorBidi"/>
          <w:lang w:val="de-DE"/>
        </w:rPr>
        <w:footnoteReference w:id="89"/>
      </w:r>
      <w:r w:rsidRPr="00565D81">
        <w:rPr>
          <w:rFonts w:asciiTheme="majorBidi" w:hAnsiTheme="majorBidi" w:cstheme="majorBidi"/>
          <w:lang w:val="de-DE"/>
        </w:rPr>
        <w:t xml:space="preserve"> </w:t>
      </w:r>
      <w:proofErr w:type="spellStart"/>
      <w:r w:rsidRPr="00565D81">
        <w:rPr>
          <w:rFonts w:asciiTheme="majorBidi" w:hAnsiTheme="majorBidi" w:cstheme="majorBidi"/>
          <w:lang w:val="de-DE"/>
        </w:rPr>
        <w:t>Turklāt</w:t>
      </w:r>
      <w:proofErr w:type="spellEnd"/>
      <w:r w:rsidRPr="00565D81">
        <w:rPr>
          <w:rFonts w:asciiTheme="majorBidi" w:hAnsiTheme="majorBidi" w:cstheme="majorBidi"/>
          <w:lang w:val="de-DE"/>
        </w:rPr>
        <w:t xml:space="preserve"> </w:t>
      </w:r>
      <w:proofErr w:type="spellStart"/>
      <w:r w:rsidRPr="00565D81">
        <w:rPr>
          <w:rFonts w:asciiTheme="majorBidi" w:hAnsiTheme="majorBidi" w:cstheme="majorBidi"/>
          <w:lang w:val="de-DE"/>
        </w:rPr>
        <w:t>jāatzīmē</w:t>
      </w:r>
      <w:proofErr w:type="spellEnd"/>
      <w:r w:rsidRPr="00565D81">
        <w:rPr>
          <w:rFonts w:asciiTheme="majorBidi" w:hAnsiTheme="majorBidi" w:cstheme="majorBidi"/>
          <w:lang w:val="de-DE"/>
        </w:rPr>
        <w:t xml:space="preserve">, </w:t>
      </w:r>
      <w:proofErr w:type="spellStart"/>
      <w:r w:rsidRPr="00565D81">
        <w:rPr>
          <w:rFonts w:asciiTheme="majorBidi" w:hAnsiTheme="majorBidi" w:cstheme="majorBidi"/>
          <w:lang w:val="de-DE"/>
        </w:rPr>
        <w:t>ka</w:t>
      </w:r>
      <w:proofErr w:type="spellEnd"/>
      <w:r w:rsidRPr="00565D81">
        <w:rPr>
          <w:rFonts w:asciiTheme="majorBidi" w:hAnsiTheme="majorBidi" w:cstheme="majorBidi"/>
          <w:lang w:val="de-DE"/>
        </w:rPr>
        <w:t xml:space="preserve"> </w:t>
      </w:r>
      <w:proofErr w:type="spellStart"/>
      <w:r w:rsidRPr="00565D81">
        <w:rPr>
          <w:rFonts w:asciiTheme="majorBidi" w:hAnsiTheme="majorBidi" w:cstheme="majorBidi"/>
          <w:lang w:val="de-DE"/>
        </w:rPr>
        <w:t>Konvencijā</w:t>
      </w:r>
      <w:proofErr w:type="spellEnd"/>
      <w:r w:rsidRPr="00565D81">
        <w:rPr>
          <w:rFonts w:asciiTheme="majorBidi" w:hAnsiTheme="majorBidi" w:cstheme="majorBidi"/>
          <w:lang w:val="de-DE"/>
        </w:rPr>
        <w:t xml:space="preserve"> </w:t>
      </w:r>
      <w:proofErr w:type="spellStart"/>
      <w:r w:rsidRPr="00565D81">
        <w:rPr>
          <w:rFonts w:asciiTheme="majorBidi" w:hAnsiTheme="majorBidi" w:cstheme="majorBidi"/>
          <w:lang w:val="de-DE"/>
        </w:rPr>
        <w:t>ar</w:t>
      </w:r>
      <w:proofErr w:type="spellEnd"/>
      <w:r w:rsidRPr="00565D81">
        <w:rPr>
          <w:rFonts w:asciiTheme="majorBidi" w:hAnsiTheme="majorBidi" w:cstheme="majorBidi"/>
          <w:lang w:val="de-DE"/>
        </w:rPr>
        <w:t xml:space="preserve"> </w:t>
      </w:r>
      <w:proofErr w:type="spellStart"/>
      <w:r w:rsidRPr="00565D81">
        <w:rPr>
          <w:rFonts w:asciiTheme="majorBidi" w:hAnsiTheme="majorBidi" w:cstheme="majorBidi"/>
          <w:lang w:val="de-DE"/>
        </w:rPr>
        <w:t>nolūku</w:t>
      </w:r>
      <w:proofErr w:type="spellEnd"/>
      <w:r w:rsidRPr="00565D81">
        <w:rPr>
          <w:rFonts w:asciiTheme="majorBidi" w:hAnsiTheme="majorBidi" w:cstheme="majorBidi"/>
          <w:lang w:val="de-DE"/>
        </w:rPr>
        <w:t xml:space="preserve"> </w:t>
      </w:r>
      <w:proofErr w:type="spellStart"/>
      <w:r w:rsidRPr="00565D81">
        <w:rPr>
          <w:rFonts w:asciiTheme="majorBidi" w:hAnsiTheme="majorBidi" w:cstheme="majorBidi"/>
          <w:lang w:val="de-DE"/>
        </w:rPr>
        <w:t>ir</w:t>
      </w:r>
      <w:proofErr w:type="spellEnd"/>
      <w:r w:rsidRPr="00565D81">
        <w:rPr>
          <w:rFonts w:asciiTheme="majorBidi" w:hAnsiTheme="majorBidi" w:cstheme="majorBidi"/>
          <w:lang w:val="de-DE"/>
        </w:rPr>
        <w:t xml:space="preserve"> </w:t>
      </w:r>
      <w:proofErr w:type="spellStart"/>
      <w:r w:rsidRPr="00565D81">
        <w:rPr>
          <w:rFonts w:asciiTheme="majorBidi" w:hAnsiTheme="majorBidi" w:cstheme="majorBidi"/>
          <w:lang w:val="de-DE"/>
        </w:rPr>
        <w:t>ierakstīta</w:t>
      </w:r>
      <w:proofErr w:type="spellEnd"/>
      <w:r w:rsidRPr="00565D81">
        <w:rPr>
          <w:rFonts w:asciiTheme="majorBidi" w:hAnsiTheme="majorBidi" w:cstheme="majorBidi"/>
          <w:lang w:val="de-DE"/>
        </w:rPr>
        <w:t xml:space="preserve"> </w:t>
      </w:r>
      <w:proofErr w:type="spellStart"/>
      <w:r w:rsidRPr="00565D81">
        <w:rPr>
          <w:rFonts w:asciiTheme="majorBidi" w:hAnsiTheme="majorBidi" w:cstheme="majorBidi"/>
          <w:lang w:val="de-DE"/>
        </w:rPr>
        <w:t>prasība</w:t>
      </w:r>
      <w:proofErr w:type="spellEnd"/>
      <w:r w:rsidRPr="00565D81">
        <w:rPr>
          <w:rFonts w:asciiTheme="majorBidi" w:hAnsiTheme="majorBidi" w:cstheme="majorBidi"/>
          <w:lang w:val="de-DE"/>
        </w:rPr>
        <w:t xml:space="preserve"> </w:t>
      </w:r>
      <w:proofErr w:type="spellStart"/>
      <w:r w:rsidRPr="00565D81">
        <w:rPr>
          <w:rFonts w:asciiTheme="majorBidi" w:hAnsiTheme="majorBidi" w:cstheme="majorBidi"/>
          <w:lang w:val="de-DE"/>
        </w:rPr>
        <w:t>apliecināt</w:t>
      </w:r>
      <w:proofErr w:type="spellEnd"/>
      <w:r w:rsidRPr="00565D81">
        <w:rPr>
          <w:rFonts w:asciiTheme="majorBidi" w:hAnsiTheme="majorBidi" w:cstheme="majorBidi"/>
          <w:lang w:val="de-DE"/>
        </w:rPr>
        <w:t xml:space="preserve"> </w:t>
      </w:r>
      <w:proofErr w:type="spellStart"/>
      <w:r w:rsidRPr="00565D81">
        <w:rPr>
          <w:rFonts w:asciiTheme="majorBidi" w:hAnsiTheme="majorBidi" w:cstheme="majorBidi"/>
          <w:lang w:val="de-DE"/>
        </w:rPr>
        <w:t>tikai</w:t>
      </w:r>
      <w:proofErr w:type="spellEnd"/>
      <w:r w:rsidRPr="00565D81">
        <w:rPr>
          <w:rFonts w:asciiTheme="majorBidi" w:hAnsiTheme="majorBidi" w:cstheme="majorBidi"/>
          <w:lang w:val="de-DE"/>
        </w:rPr>
        <w:t xml:space="preserve"> „</w:t>
      </w:r>
      <w:proofErr w:type="spellStart"/>
      <w:r w:rsidRPr="00565D81">
        <w:rPr>
          <w:rFonts w:asciiTheme="majorBidi" w:hAnsiTheme="majorBidi" w:cstheme="majorBidi"/>
          <w:i/>
          <w:lang w:val="de-DE"/>
        </w:rPr>
        <w:t>statusu</w:t>
      </w:r>
      <w:proofErr w:type="spellEnd"/>
      <w:r w:rsidRPr="00565D81">
        <w:rPr>
          <w:rFonts w:asciiTheme="majorBidi" w:hAnsiTheme="majorBidi" w:cstheme="majorBidi"/>
          <w:i/>
          <w:lang w:val="de-DE"/>
        </w:rPr>
        <w:t>“</w:t>
      </w:r>
      <w:r w:rsidRPr="00565D81">
        <w:rPr>
          <w:rFonts w:asciiTheme="majorBidi" w:hAnsiTheme="majorBidi" w:cstheme="majorBidi"/>
          <w:lang w:val="de-DE"/>
        </w:rPr>
        <w:t xml:space="preserve">, </w:t>
      </w:r>
      <w:proofErr w:type="spellStart"/>
      <w:r w:rsidRPr="00565D81">
        <w:rPr>
          <w:rFonts w:asciiTheme="majorBidi" w:hAnsiTheme="majorBidi" w:cstheme="majorBidi"/>
          <w:lang w:val="de-DE"/>
        </w:rPr>
        <w:t>kādā</w:t>
      </w:r>
      <w:proofErr w:type="spellEnd"/>
      <w:r w:rsidRPr="00565D81">
        <w:rPr>
          <w:rFonts w:asciiTheme="majorBidi" w:hAnsiTheme="majorBidi" w:cstheme="majorBidi"/>
          <w:lang w:val="de-DE"/>
        </w:rPr>
        <w:t xml:space="preserve"> </w:t>
      </w:r>
      <w:proofErr w:type="spellStart"/>
      <w:r w:rsidRPr="00565D81">
        <w:rPr>
          <w:rFonts w:asciiTheme="majorBidi" w:hAnsiTheme="majorBidi" w:cstheme="majorBidi"/>
          <w:lang w:val="de-DE"/>
        </w:rPr>
        <w:t>rīkojusies</w:t>
      </w:r>
      <w:proofErr w:type="spellEnd"/>
      <w:r w:rsidRPr="00565D81">
        <w:rPr>
          <w:rFonts w:asciiTheme="majorBidi" w:hAnsiTheme="majorBidi" w:cstheme="majorBidi"/>
          <w:lang w:val="de-DE"/>
        </w:rPr>
        <w:t xml:space="preserve"> </w:t>
      </w:r>
      <w:proofErr w:type="spellStart"/>
      <w:r w:rsidRPr="00565D81">
        <w:rPr>
          <w:rFonts w:asciiTheme="majorBidi" w:hAnsiTheme="majorBidi" w:cstheme="majorBidi"/>
          <w:lang w:val="de-DE"/>
        </w:rPr>
        <w:t>persona</w:t>
      </w:r>
      <w:proofErr w:type="spellEnd"/>
      <w:r w:rsidRPr="00565D81">
        <w:rPr>
          <w:rFonts w:asciiTheme="majorBidi" w:hAnsiTheme="majorBidi" w:cstheme="majorBidi"/>
          <w:lang w:val="de-DE"/>
        </w:rPr>
        <w:t xml:space="preserve">, </w:t>
      </w:r>
      <w:proofErr w:type="spellStart"/>
      <w:r w:rsidRPr="00565D81">
        <w:rPr>
          <w:rFonts w:asciiTheme="majorBidi" w:hAnsiTheme="majorBidi" w:cstheme="majorBidi"/>
          <w:lang w:val="de-DE"/>
        </w:rPr>
        <w:lastRenderedPageBreak/>
        <w:t>un</w:t>
      </w:r>
      <w:proofErr w:type="spellEnd"/>
      <w:r w:rsidRPr="00565D81">
        <w:rPr>
          <w:rFonts w:asciiTheme="majorBidi" w:hAnsiTheme="majorBidi" w:cstheme="majorBidi"/>
          <w:lang w:val="de-DE"/>
        </w:rPr>
        <w:t xml:space="preserve"> </w:t>
      </w:r>
      <w:proofErr w:type="spellStart"/>
      <w:r w:rsidRPr="00565D81">
        <w:rPr>
          <w:rFonts w:asciiTheme="majorBidi" w:hAnsiTheme="majorBidi" w:cstheme="majorBidi"/>
          <w:lang w:val="de-DE"/>
        </w:rPr>
        <w:t>nevis</w:t>
      </w:r>
      <w:proofErr w:type="spellEnd"/>
      <w:r w:rsidRPr="00565D81">
        <w:rPr>
          <w:rFonts w:asciiTheme="majorBidi" w:hAnsiTheme="majorBidi" w:cstheme="majorBidi"/>
          <w:lang w:val="de-DE"/>
        </w:rPr>
        <w:t xml:space="preserve"> </w:t>
      </w:r>
      <w:proofErr w:type="spellStart"/>
      <w:r w:rsidRPr="00565D81">
        <w:rPr>
          <w:rFonts w:asciiTheme="majorBidi" w:hAnsiTheme="majorBidi" w:cstheme="majorBidi"/>
          <w:lang w:val="de-DE"/>
        </w:rPr>
        <w:t>tās</w:t>
      </w:r>
      <w:proofErr w:type="spellEnd"/>
      <w:r w:rsidRPr="00565D81">
        <w:rPr>
          <w:rFonts w:asciiTheme="majorBidi" w:hAnsiTheme="majorBidi" w:cstheme="majorBidi"/>
          <w:lang w:val="de-DE"/>
        </w:rPr>
        <w:t xml:space="preserve"> „</w:t>
      </w:r>
      <w:proofErr w:type="spellStart"/>
      <w:r w:rsidRPr="00565D81">
        <w:rPr>
          <w:rFonts w:asciiTheme="majorBidi" w:hAnsiTheme="majorBidi" w:cstheme="majorBidi"/>
          <w:i/>
          <w:lang w:val="de-DE"/>
        </w:rPr>
        <w:t>kompetenci</w:t>
      </w:r>
      <w:proofErr w:type="spellEnd"/>
      <w:r w:rsidRPr="00565D81">
        <w:rPr>
          <w:rFonts w:asciiTheme="majorBidi" w:hAnsiTheme="majorBidi" w:cstheme="majorBidi"/>
          <w:lang w:val="de-DE"/>
        </w:rPr>
        <w:t>“.</w:t>
      </w:r>
      <w:r w:rsidRPr="00565D81">
        <w:rPr>
          <w:rStyle w:val="FootnoteReference"/>
          <w:rFonts w:asciiTheme="majorBidi" w:hAnsiTheme="majorBidi" w:cstheme="majorBidi"/>
          <w:lang w:val="de-DE"/>
        </w:rPr>
        <w:footnoteReference w:id="90"/>
      </w:r>
    </w:p>
    <w:p w14:paraId="69E61F73" w14:textId="77777777" w:rsidR="00114953" w:rsidRPr="00A81B01" w:rsidRDefault="00114953" w:rsidP="00114953">
      <w:pPr>
        <w:widowControl w:val="0"/>
        <w:autoSpaceDE w:val="0"/>
        <w:autoSpaceDN w:val="0"/>
        <w:adjustRightInd w:val="0"/>
        <w:jc w:val="both"/>
        <w:rPr>
          <w:rFonts w:asciiTheme="majorBidi" w:hAnsiTheme="majorBidi" w:cstheme="majorBidi"/>
          <w:bCs/>
          <w:color w:val="008000"/>
          <w:lang w:val="de-DE"/>
        </w:rPr>
      </w:pPr>
    </w:p>
    <w:p w14:paraId="3C515FBC" w14:textId="77777777" w:rsidR="00114953" w:rsidRPr="000C7C76" w:rsidRDefault="00114953" w:rsidP="00114953">
      <w:pPr>
        <w:widowControl w:val="0"/>
        <w:autoSpaceDE w:val="0"/>
        <w:autoSpaceDN w:val="0"/>
        <w:adjustRightInd w:val="0"/>
        <w:ind w:firstLine="708"/>
        <w:jc w:val="both"/>
        <w:rPr>
          <w:rFonts w:ascii="Times New Roman" w:hAnsi="Times New Roman" w:cs="Arial"/>
          <w:color w:val="323233"/>
          <w:lang w:val="de-DE"/>
        </w:rPr>
      </w:pPr>
      <w:proofErr w:type="spellStart"/>
      <w:r w:rsidRPr="00A81B01">
        <w:rPr>
          <w:rFonts w:asciiTheme="majorBidi" w:hAnsiTheme="majorBidi" w:cstheme="majorBidi"/>
          <w:bCs/>
          <w:color w:val="323233"/>
          <w:lang w:val="de-DE"/>
        </w:rPr>
        <w:t>Jautājums</w:t>
      </w:r>
      <w:proofErr w:type="spellEnd"/>
      <w:r w:rsidRPr="00A81B01">
        <w:rPr>
          <w:rFonts w:asciiTheme="majorBidi" w:hAnsiTheme="majorBidi" w:cstheme="majorBidi"/>
          <w:bCs/>
          <w:color w:val="323233"/>
          <w:lang w:val="de-DE"/>
        </w:rPr>
        <w:t xml:space="preserve"> par </w:t>
      </w:r>
      <w:proofErr w:type="spellStart"/>
      <w:r w:rsidRPr="00A81B01">
        <w:rPr>
          <w:rFonts w:asciiTheme="majorBidi" w:hAnsiTheme="majorBidi" w:cstheme="majorBidi"/>
          <w:bCs/>
          <w:color w:val="323233"/>
          <w:lang w:val="de-DE"/>
        </w:rPr>
        <w:t>iesniegto</w:t>
      </w:r>
      <w:proofErr w:type="spellEnd"/>
      <w:r w:rsidRPr="00A81B01">
        <w:rPr>
          <w:rFonts w:asciiTheme="majorBidi" w:hAnsiTheme="majorBidi" w:cstheme="majorBidi"/>
          <w:bCs/>
          <w:color w:val="323233"/>
          <w:lang w:val="de-DE"/>
        </w:rPr>
        <w:t xml:space="preserve"> </w:t>
      </w:r>
      <w:proofErr w:type="spellStart"/>
      <w:r w:rsidRPr="00A81B01">
        <w:rPr>
          <w:rFonts w:asciiTheme="majorBidi" w:hAnsiTheme="majorBidi" w:cstheme="majorBidi"/>
          <w:bCs/>
          <w:color w:val="323233"/>
          <w:lang w:val="de-DE"/>
        </w:rPr>
        <w:t>ārvalsts</w:t>
      </w:r>
      <w:proofErr w:type="spellEnd"/>
      <w:r w:rsidRPr="00A81B01">
        <w:rPr>
          <w:rFonts w:asciiTheme="majorBidi" w:hAnsiTheme="majorBidi" w:cstheme="majorBidi"/>
          <w:bCs/>
          <w:color w:val="323233"/>
          <w:lang w:val="de-DE"/>
        </w:rPr>
        <w:t xml:space="preserve"> </w:t>
      </w:r>
      <w:proofErr w:type="spellStart"/>
      <w:r w:rsidRPr="00A81B01">
        <w:rPr>
          <w:rFonts w:asciiTheme="majorBidi" w:hAnsiTheme="majorBidi" w:cstheme="majorBidi"/>
          <w:bCs/>
          <w:color w:val="323233"/>
          <w:lang w:val="de-DE"/>
        </w:rPr>
        <w:t>publisko</w:t>
      </w:r>
      <w:proofErr w:type="spellEnd"/>
      <w:r w:rsidRPr="00A81B01">
        <w:rPr>
          <w:rFonts w:asciiTheme="majorBidi" w:hAnsiTheme="majorBidi" w:cstheme="majorBidi"/>
          <w:bCs/>
          <w:color w:val="323233"/>
          <w:lang w:val="de-DE"/>
        </w:rPr>
        <w:t xml:space="preserve"> </w:t>
      </w:r>
      <w:proofErr w:type="spellStart"/>
      <w:r w:rsidRPr="00A81B01">
        <w:rPr>
          <w:rFonts w:asciiTheme="majorBidi" w:hAnsiTheme="majorBidi" w:cstheme="majorBidi"/>
          <w:bCs/>
          <w:color w:val="323233"/>
          <w:lang w:val="de-DE"/>
        </w:rPr>
        <w:t>dokumentu</w:t>
      </w:r>
      <w:proofErr w:type="spellEnd"/>
      <w:r w:rsidRPr="00A81B01">
        <w:rPr>
          <w:rFonts w:asciiTheme="majorBidi" w:hAnsiTheme="majorBidi" w:cstheme="majorBidi"/>
          <w:bCs/>
          <w:color w:val="323233"/>
          <w:lang w:val="de-DE"/>
        </w:rPr>
        <w:t xml:space="preserve"> </w:t>
      </w:r>
      <w:proofErr w:type="spellStart"/>
      <w:r w:rsidRPr="00A81B01">
        <w:rPr>
          <w:rFonts w:asciiTheme="majorBidi" w:hAnsiTheme="majorBidi" w:cstheme="majorBidi"/>
          <w:bCs/>
          <w:color w:val="323233"/>
          <w:lang w:val="de-DE"/>
        </w:rPr>
        <w:t>kā</w:t>
      </w:r>
      <w:proofErr w:type="spellEnd"/>
      <w:r w:rsidRPr="00A81B01">
        <w:rPr>
          <w:rFonts w:asciiTheme="majorBidi" w:hAnsiTheme="majorBidi" w:cstheme="majorBidi"/>
          <w:bCs/>
          <w:color w:val="323233"/>
          <w:lang w:val="de-DE"/>
        </w:rPr>
        <w:t xml:space="preserve"> </w:t>
      </w:r>
      <w:proofErr w:type="spellStart"/>
      <w:r w:rsidRPr="00A81B01">
        <w:rPr>
          <w:rFonts w:asciiTheme="majorBidi" w:hAnsiTheme="majorBidi" w:cstheme="majorBidi"/>
          <w:bCs/>
          <w:color w:val="323233"/>
          <w:lang w:val="de-DE"/>
        </w:rPr>
        <w:t>pierādījumu</w:t>
      </w:r>
      <w:proofErr w:type="spellEnd"/>
      <w:r w:rsidRPr="00A81B01">
        <w:rPr>
          <w:rFonts w:asciiTheme="majorBidi" w:hAnsiTheme="majorBidi" w:cstheme="majorBidi"/>
          <w:bCs/>
          <w:color w:val="323233"/>
          <w:lang w:val="de-DE"/>
        </w:rPr>
        <w:t xml:space="preserve"> </w:t>
      </w:r>
      <w:proofErr w:type="spellStart"/>
      <w:r w:rsidRPr="00A81B01">
        <w:rPr>
          <w:rFonts w:asciiTheme="majorBidi" w:hAnsiTheme="majorBidi" w:cstheme="majorBidi"/>
          <w:bCs/>
          <w:color w:val="323233"/>
          <w:lang w:val="de-DE"/>
        </w:rPr>
        <w:t>ir</w:t>
      </w:r>
      <w:proofErr w:type="spellEnd"/>
      <w:r w:rsidRPr="00A81B01">
        <w:rPr>
          <w:rFonts w:asciiTheme="majorBidi" w:hAnsiTheme="majorBidi" w:cstheme="majorBidi"/>
          <w:bCs/>
          <w:color w:val="323233"/>
          <w:lang w:val="de-DE"/>
        </w:rPr>
        <w:t xml:space="preserve"> </w:t>
      </w:r>
      <w:proofErr w:type="spellStart"/>
      <w:r w:rsidRPr="00A81B01">
        <w:rPr>
          <w:rFonts w:asciiTheme="majorBidi" w:hAnsiTheme="majorBidi" w:cstheme="majorBidi"/>
          <w:bCs/>
          <w:color w:val="323233"/>
          <w:lang w:val="de-DE"/>
        </w:rPr>
        <w:t>lemjams</w:t>
      </w:r>
      <w:proofErr w:type="spellEnd"/>
      <w:r w:rsidRPr="00A81B01">
        <w:rPr>
          <w:rFonts w:asciiTheme="majorBidi" w:hAnsiTheme="majorBidi" w:cstheme="majorBidi"/>
          <w:bCs/>
          <w:color w:val="323233"/>
          <w:lang w:val="de-DE"/>
        </w:rPr>
        <w:t xml:space="preserve"> </w:t>
      </w:r>
      <w:proofErr w:type="spellStart"/>
      <w:r w:rsidRPr="00A81B01">
        <w:rPr>
          <w:rFonts w:asciiTheme="majorBidi" w:hAnsiTheme="majorBidi" w:cstheme="majorBidi"/>
          <w:bCs/>
          <w:color w:val="323233"/>
          <w:lang w:val="de-DE"/>
        </w:rPr>
        <w:t>saskaņā</w:t>
      </w:r>
      <w:proofErr w:type="spellEnd"/>
      <w:r w:rsidRPr="00A81B01">
        <w:rPr>
          <w:rFonts w:asciiTheme="majorBidi" w:hAnsiTheme="majorBidi" w:cstheme="majorBidi"/>
          <w:bCs/>
          <w:color w:val="323233"/>
          <w:lang w:val="de-DE"/>
        </w:rPr>
        <w:t xml:space="preserve"> </w:t>
      </w:r>
      <w:proofErr w:type="spellStart"/>
      <w:r w:rsidRPr="00A81B01">
        <w:rPr>
          <w:rFonts w:asciiTheme="majorBidi" w:hAnsiTheme="majorBidi" w:cstheme="majorBidi"/>
          <w:bCs/>
          <w:color w:val="323233"/>
          <w:lang w:val="de-DE"/>
        </w:rPr>
        <w:t>ar</w:t>
      </w:r>
      <w:proofErr w:type="spellEnd"/>
      <w:r w:rsidRPr="00A81B01">
        <w:rPr>
          <w:rFonts w:asciiTheme="majorBidi" w:hAnsiTheme="majorBidi" w:cstheme="majorBidi"/>
          <w:bCs/>
          <w:color w:val="323233"/>
          <w:lang w:val="de-DE"/>
        </w:rPr>
        <w:t xml:space="preserve"> </w:t>
      </w:r>
      <w:proofErr w:type="spellStart"/>
      <w:r w:rsidRPr="00A81B01">
        <w:rPr>
          <w:rFonts w:asciiTheme="majorBidi" w:hAnsiTheme="majorBidi" w:cstheme="majorBidi"/>
          <w:bCs/>
          <w:color w:val="323233"/>
          <w:lang w:val="de-DE"/>
        </w:rPr>
        <w:t>tās</w:t>
      </w:r>
      <w:proofErr w:type="spellEnd"/>
      <w:r w:rsidRPr="00A81B01">
        <w:rPr>
          <w:rFonts w:asciiTheme="majorBidi" w:hAnsiTheme="majorBidi" w:cstheme="majorBidi"/>
          <w:bCs/>
          <w:color w:val="323233"/>
          <w:lang w:val="de-DE"/>
        </w:rPr>
        <w:t xml:space="preserve"> </w:t>
      </w:r>
      <w:proofErr w:type="spellStart"/>
      <w:r w:rsidRPr="00A81B01">
        <w:rPr>
          <w:rFonts w:asciiTheme="majorBidi" w:hAnsiTheme="majorBidi" w:cstheme="majorBidi"/>
          <w:bCs/>
          <w:color w:val="323233"/>
          <w:lang w:val="de-DE"/>
        </w:rPr>
        <w:t>valsts</w:t>
      </w:r>
      <w:proofErr w:type="spellEnd"/>
      <w:r w:rsidRPr="00A81B01">
        <w:rPr>
          <w:rFonts w:asciiTheme="majorBidi" w:hAnsiTheme="majorBidi" w:cstheme="majorBidi"/>
          <w:bCs/>
          <w:color w:val="323233"/>
          <w:lang w:val="de-DE"/>
        </w:rPr>
        <w:t xml:space="preserve"> </w:t>
      </w:r>
      <w:proofErr w:type="spellStart"/>
      <w:r w:rsidRPr="00A81B01">
        <w:rPr>
          <w:rFonts w:asciiTheme="majorBidi" w:hAnsiTheme="majorBidi" w:cstheme="majorBidi"/>
          <w:bCs/>
          <w:color w:val="323233"/>
          <w:lang w:val="de-DE"/>
        </w:rPr>
        <w:t>tiesībām</w:t>
      </w:r>
      <w:proofErr w:type="spellEnd"/>
      <w:r w:rsidRPr="00A81B01">
        <w:rPr>
          <w:rFonts w:asciiTheme="majorBidi" w:hAnsiTheme="majorBidi" w:cstheme="majorBidi"/>
          <w:bCs/>
          <w:color w:val="323233"/>
          <w:lang w:val="de-DE"/>
        </w:rPr>
        <w:t xml:space="preserve">, </w:t>
      </w:r>
      <w:proofErr w:type="spellStart"/>
      <w:r w:rsidRPr="00A81B01">
        <w:rPr>
          <w:rFonts w:asciiTheme="majorBidi" w:hAnsiTheme="majorBidi" w:cstheme="majorBidi"/>
          <w:bCs/>
          <w:color w:val="323233"/>
          <w:lang w:val="de-DE"/>
        </w:rPr>
        <w:t>kur</w:t>
      </w:r>
      <w:proofErr w:type="spellEnd"/>
      <w:r w:rsidRPr="00A81B01">
        <w:rPr>
          <w:rFonts w:asciiTheme="majorBidi" w:hAnsiTheme="majorBidi" w:cstheme="majorBidi"/>
          <w:bCs/>
          <w:color w:val="323233"/>
          <w:lang w:val="de-DE"/>
        </w:rPr>
        <w:t xml:space="preserve"> </w:t>
      </w:r>
      <w:proofErr w:type="spellStart"/>
      <w:r w:rsidRPr="00A81B01">
        <w:rPr>
          <w:rFonts w:asciiTheme="majorBidi" w:hAnsiTheme="majorBidi" w:cstheme="majorBidi"/>
          <w:bCs/>
          <w:color w:val="323233"/>
          <w:lang w:val="de-DE"/>
        </w:rPr>
        <w:t>šo</w:t>
      </w:r>
      <w:proofErr w:type="spellEnd"/>
      <w:r w:rsidRPr="00A81B01">
        <w:rPr>
          <w:rFonts w:asciiTheme="majorBidi" w:hAnsiTheme="majorBidi" w:cstheme="majorBidi"/>
          <w:bCs/>
          <w:color w:val="323233"/>
          <w:lang w:val="de-DE"/>
        </w:rPr>
        <w:t xml:space="preserve"> </w:t>
      </w:r>
      <w:proofErr w:type="spellStart"/>
      <w:r w:rsidRPr="00A81B01">
        <w:rPr>
          <w:rFonts w:asciiTheme="majorBidi" w:hAnsiTheme="majorBidi" w:cstheme="majorBidi"/>
          <w:bCs/>
          <w:color w:val="323233"/>
          <w:lang w:val="de-DE"/>
        </w:rPr>
        <w:t>dokumentu</w:t>
      </w:r>
      <w:proofErr w:type="spellEnd"/>
      <w:r w:rsidRPr="00A81B01">
        <w:rPr>
          <w:rFonts w:asciiTheme="majorBidi" w:hAnsiTheme="majorBidi" w:cstheme="majorBidi"/>
          <w:bCs/>
          <w:color w:val="323233"/>
          <w:lang w:val="de-DE"/>
        </w:rPr>
        <w:t xml:space="preserve"> </w:t>
      </w:r>
      <w:proofErr w:type="spellStart"/>
      <w:r w:rsidRPr="00A81B01">
        <w:rPr>
          <w:rFonts w:asciiTheme="majorBidi" w:hAnsiTheme="majorBidi" w:cstheme="majorBidi"/>
          <w:bCs/>
          <w:color w:val="323233"/>
          <w:lang w:val="de-DE"/>
        </w:rPr>
        <w:t>paredzēts</w:t>
      </w:r>
      <w:proofErr w:type="spellEnd"/>
      <w:r w:rsidRPr="00A81B01">
        <w:rPr>
          <w:rFonts w:asciiTheme="majorBidi" w:hAnsiTheme="majorBidi" w:cstheme="majorBidi"/>
          <w:bCs/>
          <w:color w:val="323233"/>
          <w:lang w:val="de-DE"/>
        </w:rPr>
        <w:t xml:space="preserve"> </w:t>
      </w:r>
      <w:proofErr w:type="spellStart"/>
      <w:r w:rsidRPr="00A81B01">
        <w:rPr>
          <w:rFonts w:asciiTheme="majorBidi" w:hAnsiTheme="majorBidi" w:cstheme="majorBidi"/>
          <w:bCs/>
          <w:color w:val="323233"/>
          <w:lang w:val="de-DE"/>
        </w:rPr>
        <w:t>izmantot</w:t>
      </w:r>
      <w:proofErr w:type="spellEnd"/>
      <w:r w:rsidRPr="00A81B01">
        <w:rPr>
          <w:rFonts w:asciiTheme="majorBidi" w:hAnsiTheme="majorBidi" w:cstheme="majorBidi"/>
          <w:bCs/>
          <w:color w:val="323233"/>
          <w:lang w:val="de-DE"/>
        </w:rPr>
        <w:t xml:space="preserve"> (</w:t>
      </w:r>
      <w:proofErr w:type="spellStart"/>
      <w:r w:rsidRPr="00A81B01">
        <w:rPr>
          <w:rFonts w:asciiTheme="majorBidi" w:hAnsiTheme="majorBidi" w:cstheme="majorBidi"/>
          <w:bCs/>
          <w:color w:val="323233"/>
          <w:lang w:val="de-DE"/>
        </w:rPr>
        <w:t>t.i</w:t>
      </w:r>
      <w:proofErr w:type="spellEnd"/>
      <w:r w:rsidRPr="00A81B01">
        <w:rPr>
          <w:rFonts w:asciiTheme="majorBidi" w:hAnsiTheme="majorBidi" w:cstheme="majorBidi"/>
          <w:bCs/>
          <w:color w:val="323233"/>
          <w:lang w:val="de-DE"/>
        </w:rPr>
        <w:t xml:space="preserve">., </w:t>
      </w:r>
      <w:proofErr w:type="spellStart"/>
      <w:r w:rsidRPr="00A81B01">
        <w:rPr>
          <w:rFonts w:asciiTheme="majorBidi" w:hAnsiTheme="majorBidi" w:cstheme="majorBidi"/>
          <w:bCs/>
          <w:color w:val="323233"/>
          <w:lang w:val="de-DE"/>
        </w:rPr>
        <w:t>saskaņā</w:t>
      </w:r>
      <w:proofErr w:type="spellEnd"/>
      <w:r w:rsidRPr="00A81B01">
        <w:rPr>
          <w:rFonts w:asciiTheme="majorBidi" w:hAnsiTheme="majorBidi" w:cstheme="majorBidi"/>
          <w:bCs/>
          <w:color w:val="323233"/>
          <w:lang w:val="de-DE"/>
        </w:rPr>
        <w:t xml:space="preserve"> </w:t>
      </w:r>
      <w:proofErr w:type="spellStart"/>
      <w:r w:rsidRPr="00A81B01">
        <w:rPr>
          <w:rFonts w:asciiTheme="majorBidi" w:hAnsiTheme="majorBidi" w:cstheme="majorBidi"/>
          <w:bCs/>
          <w:color w:val="323233"/>
          <w:lang w:val="de-DE"/>
        </w:rPr>
        <w:t>ar</w:t>
      </w:r>
      <w:proofErr w:type="spellEnd"/>
      <w:r w:rsidRPr="00A81B01">
        <w:rPr>
          <w:rFonts w:asciiTheme="majorBidi" w:hAnsiTheme="majorBidi" w:cstheme="majorBidi"/>
          <w:bCs/>
          <w:color w:val="323233"/>
          <w:lang w:val="de-DE"/>
        </w:rPr>
        <w:t xml:space="preserve"> </w:t>
      </w:r>
      <w:proofErr w:type="spellStart"/>
      <w:r w:rsidRPr="00A81B01">
        <w:rPr>
          <w:rFonts w:asciiTheme="majorBidi" w:hAnsiTheme="majorBidi" w:cstheme="majorBidi"/>
          <w:bCs/>
          <w:i/>
          <w:iCs/>
          <w:color w:val="323233"/>
          <w:lang w:val="de-DE"/>
        </w:rPr>
        <w:t>lex</w:t>
      </w:r>
      <w:proofErr w:type="spellEnd"/>
      <w:r w:rsidRPr="00A81B01">
        <w:rPr>
          <w:rFonts w:asciiTheme="majorBidi" w:hAnsiTheme="majorBidi" w:cstheme="majorBidi"/>
          <w:bCs/>
          <w:i/>
          <w:iCs/>
          <w:color w:val="323233"/>
          <w:lang w:val="de-DE"/>
        </w:rPr>
        <w:t xml:space="preserve"> </w:t>
      </w:r>
      <w:proofErr w:type="spellStart"/>
      <w:r w:rsidRPr="00A81B01">
        <w:rPr>
          <w:rFonts w:asciiTheme="majorBidi" w:hAnsiTheme="majorBidi" w:cstheme="majorBidi"/>
          <w:bCs/>
          <w:i/>
          <w:iCs/>
          <w:color w:val="323233"/>
          <w:lang w:val="de-DE"/>
        </w:rPr>
        <w:t>fori</w:t>
      </w:r>
      <w:proofErr w:type="spellEnd"/>
      <w:r w:rsidRPr="00A81B01">
        <w:rPr>
          <w:rFonts w:asciiTheme="majorBidi" w:hAnsiTheme="majorBidi" w:cstheme="majorBidi"/>
          <w:bCs/>
          <w:color w:val="323233"/>
          <w:lang w:val="de-DE"/>
        </w:rPr>
        <w:t xml:space="preserve">). Tas </w:t>
      </w:r>
      <w:proofErr w:type="spellStart"/>
      <w:r w:rsidRPr="00A81B01">
        <w:rPr>
          <w:rFonts w:asciiTheme="majorBidi" w:hAnsiTheme="majorBidi" w:cstheme="majorBidi"/>
          <w:bCs/>
          <w:color w:val="323233"/>
          <w:lang w:val="de-DE"/>
        </w:rPr>
        <w:t>tādēļ</w:t>
      </w:r>
      <w:proofErr w:type="spellEnd"/>
      <w:r w:rsidRPr="00A81B01">
        <w:rPr>
          <w:rFonts w:asciiTheme="majorBidi" w:hAnsiTheme="majorBidi" w:cstheme="majorBidi"/>
          <w:bCs/>
          <w:color w:val="323233"/>
          <w:lang w:val="de-DE"/>
        </w:rPr>
        <w:t xml:space="preserve">, </w:t>
      </w:r>
      <w:proofErr w:type="spellStart"/>
      <w:r w:rsidRPr="00A81B01">
        <w:rPr>
          <w:rFonts w:asciiTheme="majorBidi" w:hAnsiTheme="majorBidi" w:cstheme="majorBidi"/>
          <w:bCs/>
          <w:color w:val="323233"/>
          <w:lang w:val="de-DE"/>
        </w:rPr>
        <w:t>ka</w:t>
      </w:r>
      <w:proofErr w:type="spellEnd"/>
      <w:r w:rsidRPr="00A81B01">
        <w:rPr>
          <w:rFonts w:asciiTheme="majorBidi" w:hAnsiTheme="majorBidi" w:cstheme="majorBidi"/>
          <w:bCs/>
          <w:color w:val="323233"/>
          <w:lang w:val="de-DE"/>
        </w:rPr>
        <w:t xml:space="preserve"> </w:t>
      </w:r>
      <w:proofErr w:type="spellStart"/>
      <w:r w:rsidRPr="00A81B01">
        <w:rPr>
          <w:rFonts w:asciiTheme="majorBidi" w:hAnsiTheme="majorBidi" w:cstheme="majorBidi"/>
          <w:bCs/>
          <w:color w:val="323233"/>
          <w:lang w:val="de-DE"/>
        </w:rPr>
        <w:t>jautājums</w:t>
      </w:r>
      <w:proofErr w:type="spellEnd"/>
      <w:r w:rsidRPr="00A81B01">
        <w:rPr>
          <w:rFonts w:asciiTheme="majorBidi" w:hAnsiTheme="majorBidi" w:cstheme="majorBidi"/>
          <w:bCs/>
          <w:color w:val="323233"/>
          <w:lang w:val="de-DE"/>
        </w:rPr>
        <w:t xml:space="preserve"> par </w:t>
      </w:r>
      <w:proofErr w:type="spellStart"/>
      <w:r w:rsidRPr="00A81B01">
        <w:rPr>
          <w:rFonts w:asciiTheme="majorBidi" w:hAnsiTheme="majorBidi" w:cstheme="majorBidi"/>
          <w:bCs/>
          <w:color w:val="323233"/>
          <w:lang w:val="de-DE"/>
        </w:rPr>
        <w:t>pierādījumiem</w:t>
      </w:r>
      <w:proofErr w:type="spellEnd"/>
      <w:r w:rsidRPr="000C7C76">
        <w:rPr>
          <w:rFonts w:asciiTheme="majorBidi" w:hAnsiTheme="majorBidi" w:cstheme="majorBidi"/>
          <w:bCs/>
          <w:color w:val="323233"/>
          <w:lang w:val="de-DE"/>
        </w:rPr>
        <w:t xml:space="preserve"> (t.sk. </w:t>
      </w:r>
      <w:proofErr w:type="spellStart"/>
      <w:r w:rsidRPr="000C7C76">
        <w:rPr>
          <w:rFonts w:asciiTheme="majorBidi" w:hAnsiTheme="majorBidi" w:cstheme="majorBidi"/>
          <w:bCs/>
          <w:color w:val="323233"/>
          <w:lang w:val="de-DE"/>
        </w:rPr>
        <w:t>to</w:t>
      </w:r>
      <w:proofErr w:type="spellEnd"/>
      <w:r w:rsidRPr="000C7C76">
        <w:rPr>
          <w:rFonts w:asciiTheme="majorBidi" w:hAnsiTheme="majorBidi" w:cstheme="majorBidi"/>
          <w:bCs/>
          <w:color w:val="323233"/>
          <w:lang w:val="de-DE"/>
        </w:rPr>
        <w:t xml:space="preserve"> attiecināmību </w:t>
      </w:r>
      <w:proofErr w:type="spellStart"/>
      <w:r w:rsidRPr="000C7C76">
        <w:rPr>
          <w:rFonts w:asciiTheme="majorBidi" w:hAnsiTheme="majorBidi" w:cstheme="majorBidi"/>
          <w:bCs/>
          <w:color w:val="323233"/>
          <w:lang w:val="de-DE"/>
        </w:rPr>
        <w:t>un</w:t>
      </w:r>
      <w:proofErr w:type="spellEnd"/>
      <w:r w:rsidRPr="000C7C76">
        <w:rPr>
          <w:rFonts w:asciiTheme="majorBidi" w:hAnsiTheme="majorBidi" w:cstheme="majorBidi"/>
          <w:bCs/>
          <w:color w:val="323233"/>
          <w:lang w:val="de-DE"/>
        </w:rPr>
        <w:t xml:space="preserve"> </w:t>
      </w:r>
      <w:proofErr w:type="spellStart"/>
      <w:r w:rsidRPr="000C7C76">
        <w:rPr>
          <w:rFonts w:asciiTheme="majorBidi" w:hAnsiTheme="majorBidi" w:cstheme="majorBidi"/>
          <w:bCs/>
          <w:color w:val="323233"/>
          <w:lang w:val="de-DE"/>
        </w:rPr>
        <w:t>pieļaujamību</w:t>
      </w:r>
      <w:proofErr w:type="spellEnd"/>
      <w:r w:rsidRPr="000C7C76">
        <w:rPr>
          <w:rFonts w:asciiTheme="majorBidi" w:hAnsiTheme="majorBidi" w:cstheme="majorBidi"/>
          <w:bCs/>
          <w:color w:val="323233"/>
          <w:lang w:val="de-DE"/>
        </w:rPr>
        <w:t xml:space="preserve">, </w:t>
      </w:r>
      <w:proofErr w:type="spellStart"/>
      <w:r w:rsidRPr="000C7C76">
        <w:rPr>
          <w:rFonts w:asciiTheme="majorBidi" w:hAnsiTheme="majorBidi" w:cstheme="majorBidi"/>
          <w:bCs/>
          <w:color w:val="323233"/>
          <w:lang w:val="de-DE"/>
        </w:rPr>
        <w:t>atbrīvošanu</w:t>
      </w:r>
      <w:proofErr w:type="spellEnd"/>
      <w:r w:rsidRPr="000C7C76">
        <w:rPr>
          <w:rFonts w:asciiTheme="majorBidi" w:hAnsiTheme="majorBidi" w:cstheme="majorBidi"/>
          <w:bCs/>
          <w:color w:val="323233"/>
          <w:lang w:val="de-DE"/>
        </w:rPr>
        <w:t xml:space="preserve"> </w:t>
      </w:r>
      <w:proofErr w:type="spellStart"/>
      <w:r w:rsidRPr="000C7C76">
        <w:rPr>
          <w:rFonts w:asciiTheme="majorBidi" w:hAnsiTheme="majorBidi" w:cstheme="majorBidi"/>
          <w:bCs/>
          <w:color w:val="323233"/>
          <w:lang w:val="de-DE"/>
        </w:rPr>
        <w:t>no</w:t>
      </w:r>
      <w:proofErr w:type="spellEnd"/>
      <w:r w:rsidRPr="000C7C76">
        <w:rPr>
          <w:rFonts w:asciiTheme="majorBidi" w:hAnsiTheme="majorBidi" w:cstheme="majorBidi"/>
          <w:bCs/>
          <w:color w:val="323233"/>
          <w:lang w:val="de-DE"/>
        </w:rPr>
        <w:t xml:space="preserve"> </w:t>
      </w:r>
      <w:proofErr w:type="spellStart"/>
      <w:r w:rsidRPr="000C7C76">
        <w:rPr>
          <w:rFonts w:asciiTheme="majorBidi" w:hAnsiTheme="majorBidi" w:cstheme="majorBidi"/>
          <w:bCs/>
          <w:color w:val="323233"/>
          <w:lang w:val="de-DE"/>
        </w:rPr>
        <w:t>pierādīšanas</w:t>
      </w:r>
      <w:proofErr w:type="spellEnd"/>
      <w:r w:rsidRPr="000C7C76">
        <w:rPr>
          <w:rFonts w:asciiTheme="majorBidi" w:hAnsiTheme="majorBidi" w:cstheme="majorBidi"/>
          <w:bCs/>
          <w:color w:val="323233"/>
          <w:lang w:val="de-DE"/>
        </w:rPr>
        <w:t xml:space="preserve">) </w:t>
      </w:r>
      <w:proofErr w:type="spellStart"/>
      <w:r w:rsidRPr="000C7C76">
        <w:rPr>
          <w:rFonts w:asciiTheme="majorBidi" w:hAnsiTheme="majorBidi" w:cstheme="majorBidi"/>
          <w:bCs/>
          <w:color w:val="323233"/>
          <w:lang w:val="de-DE"/>
        </w:rPr>
        <w:t>ir</w:t>
      </w:r>
      <w:proofErr w:type="spellEnd"/>
      <w:r w:rsidRPr="000C7C76">
        <w:rPr>
          <w:rFonts w:asciiTheme="majorBidi" w:hAnsiTheme="majorBidi" w:cstheme="majorBidi"/>
          <w:bCs/>
          <w:color w:val="323233"/>
          <w:lang w:val="de-DE"/>
        </w:rPr>
        <w:t xml:space="preserve"> </w:t>
      </w:r>
      <w:proofErr w:type="spellStart"/>
      <w:r w:rsidRPr="000C7C76">
        <w:rPr>
          <w:rFonts w:asciiTheme="majorBidi" w:hAnsiTheme="majorBidi" w:cstheme="majorBidi"/>
          <w:bCs/>
          <w:color w:val="323233"/>
          <w:lang w:val="de-DE"/>
        </w:rPr>
        <w:t>procesuālo</w:t>
      </w:r>
      <w:proofErr w:type="spellEnd"/>
      <w:r w:rsidRPr="000C7C76">
        <w:rPr>
          <w:rFonts w:asciiTheme="majorBidi" w:hAnsiTheme="majorBidi" w:cstheme="majorBidi"/>
          <w:bCs/>
          <w:color w:val="323233"/>
          <w:lang w:val="de-DE"/>
        </w:rPr>
        <w:t xml:space="preserve"> </w:t>
      </w:r>
      <w:proofErr w:type="spellStart"/>
      <w:r w:rsidRPr="000C7C76">
        <w:rPr>
          <w:rFonts w:asciiTheme="majorBidi" w:hAnsiTheme="majorBidi" w:cstheme="majorBidi"/>
          <w:bCs/>
          <w:color w:val="323233"/>
          <w:lang w:val="de-DE"/>
        </w:rPr>
        <w:t>tiesību</w:t>
      </w:r>
      <w:proofErr w:type="spellEnd"/>
      <w:r w:rsidRPr="000C7C76">
        <w:rPr>
          <w:rFonts w:asciiTheme="majorBidi" w:hAnsiTheme="majorBidi" w:cstheme="majorBidi"/>
          <w:bCs/>
          <w:color w:val="323233"/>
          <w:lang w:val="de-DE"/>
        </w:rPr>
        <w:t xml:space="preserve"> </w:t>
      </w:r>
      <w:proofErr w:type="spellStart"/>
      <w:r w:rsidRPr="000C7C76">
        <w:rPr>
          <w:rFonts w:asciiTheme="majorBidi" w:hAnsiTheme="majorBidi" w:cstheme="majorBidi"/>
          <w:bCs/>
          <w:color w:val="323233"/>
          <w:lang w:val="de-DE"/>
        </w:rPr>
        <w:t>jautājums</w:t>
      </w:r>
      <w:proofErr w:type="spellEnd"/>
      <w:r w:rsidRPr="000C7C76">
        <w:rPr>
          <w:rFonts w:asciiTheme="majorBidi" w:hAnsiTheme="majorBidi" w:cstheme="majorBidi"/>
          <w:bCs/>
          <w:color w:val="323233"/>
          <w:lang w:val="de-DE"/>
        </w:rPr>
        <w:t xml:space="preserve"> </w:t>
      </w:r>
      <w:proofErr w:type="spellStart"/>
      <w:r w:rsidRPr="000C7C76">
        <w:rPr>
          <w:rFonts w:asciiTheme="majorBidi" w:hAnsiTheme="majorBidi" w:cstheme="majorBidi"/>
          <w:bCs/>
          <w:color w:val="323233"/>
          <w:lang w:val="de-DE"/>
        </w:rPr>
        <w:t>un</w:t>
      </w:r>
      <w:proofErr w:type="spellEnd"/>
      <w:r w:rsidRPr="000C7C76">
        <w:rPr>
          <w:rFonts w:asciiTheme="majorBidi" w:hAnsiTheme="majorBidi" w:cstheme="majorBidi"/>
          <w:bCs/>
          <w:color w:val="323233"/>
          <w:lang w:val="de-DE"/>
        </w:rPr>
        <w:t xml:space="preserve"> </w:t>
      </w:r>
      <w:proofErr w:type="spellStart"/>
      <w:r w:rsidRPr="000C7C76">
        <w:rPr>
          <w:rFonts w:asciiTheme="majorBidi" w:hAnsiTheme="majorBidi" w:cstheme="majorBidi"/>
          <w:bCs/>
          <w:color w:val="323233"/>
          <w:lang w:val="de-DE"/>
        </w:rPr>
        <w:t>kā</w:t>
      </w:r>
      <w:proofErr w:type="spellEnd"/>
      <w:r w:rsidRPr="000C7C76">
        <w:rPr>
          <w:rFonts w:asciiTheme="majorBidi" w:hAnsiTheme="majorBidi" w:cstheme="majorBidi"/>
          <w:bCs/>
          <w:color w:val="323233"/>
          <w:lang w:val="de-DE"/>
        </w:rPr>
        <w:t xml:space="preserve"> </w:t>
      </w:r>
      <w:proofErr w:type="spellStart"/>
      <w:r w:rsidRPr="000C7C76">
        <w:rPr>
          <w:rFonts w:asciiTheme="majorBidi" w:hAnsiTheme="majorBidi" w:cstheme="majorBidi"/>
          <w:bCs/>
          <w:color w:val="323233"/>
          <w:lang w:val="de-DE"/>
        </w:rPr>
        <w:t>tāds</w:t>
      </w:r>
      <w:proofErr w:type="spellEnd"/>
      <w:r w:rsidRPr="000C7C76">
        <w:rPr>
          <w:rFonts w:asciiTheme="majorBidi" w:hAnsiTheme="majorBidi" w:cstheme="majorBidi"/>
          <w:bCs/>
          <w:color w:val="323233"/>
          <w:lang w:val="de-DE"/>
        </w:rPr>
        <w:t xml:space="preserve"> </w:t>
      </w:r>
      <w:proofErr w:type="spellStart"/>
      <w:r w:rsidRPr="000C7C76">
        <w:rPr>
          <w:rFonts w:asciiTheme="majorBidi" w:hAnsiTheme="majorBidi" w:cstheme="majorBidi"/>
          <w:bCs/>
          <w:color w:val="323233"/>
          <w:lang w:val="de-DE"/>
        </w:rPr>
        <w:t>gandrīz</w:t>
      </w:r>
      <w:proofErr w:type="spellEnd"/>
      <w:r w:rsidRPr="000C7C76">
        <w:rPr>
          <w:rFonts w:asciiTheme="majorBidi" w:hAnsiTheme="majorBidi" w:cstheme="majorBidi"/>
          <w:bCs/>
          <w:color w:val="323233"/>
          <w:lang w:val="de-DE"/>
        </w:rPr>
        <w:t xml:space="preserve"> </w:t>
      </w:r>
      <w:proofErr w:type="spellStart"/>
      <w:r w:rsidRPr="000C7C76">
        <w:rPr>
          <w:rFonts w:asciiTheme="majorBidi" w:hAnsiTheme="majorBidi" w:cstheme="majorBidi"/>
          <w:bCs/>
          <w:color w:val="323233"/>
          <w:lang w:val="de-DE"/>
        </w:rPr>
        <w:t>vienmēr</w:t>
      </w:r>
      <w:proofErr w:type="spellEnd"/>
      <w:r w:rsidRPr="000C7C76">
        <w:rPr>
          <w:rFonts w:asciiTheme="majorBidi" w:hAnsiTheme="majorBidi" w:cstheme="majorBidi"/>
          <w:bCs/>
          <w:color w:val="323233"/>
          <w:lang w:val="de-DE"/>
        </w:rPr>
        <w:t xml:space="preserve"> </w:t>
      </w:r>
      <w:proofErr w:type="spellStart"/>
      <w:r w:rsidRPr="000C7C76">
        <w:rPr>
          <w:rFonts w:asciiTheme="majorBidi" w:hAnsiTheme="majorBidi" w:cstheme="majorBidi"/>
          <w:bCs/>
          <w:color w:val="323233"/>
          <w:lang w:val="de-DE"/>
        </w:rPr>
        <w:t>apspriežams</w:t>
      </w:r>
      <w:proofErr w:type="spellEnd"/>
      <w:r w:rsidRPr="000C7C76">
        <w:rPr>
          <w:rFonts w:asciiTheme="majorBidi" w:hAnsiTheme="majorBidi" w:cstheme="majorBidi"/>
          <w:bCs/>
          <w:color w:val="323233"/>
          <w:lang w:val="de-DE"/>
        </w:rPr>
        <w:t xml:space="preserve"> </w:t>
      </w:r>
      <w:proofErr w:type="spellStart"/>
      <w:r w:rsidRPr="000C7C76">
        <w:rPr>
          <w:rFonts w:asciiTheme="majorBidi" w:hAnsiTheme="majorBidi" w:cstheme="majorBidi"/>
          <w:bCs/>
          <w:color w:val="323233"/>
          <w:lang w:val="de-DE"/>
        </w:rPr>
        <w:t>pēc</w:t>
      </w:r>
      <w:proofErr w:type="spellEnd"/>
      <w:r w:rsidRPr="000C7C76">
        <w:rPr>
          <w:rFonts w:asciiTheme="majorBidi" w:hAnsiTheme="majorBidi" w:cstheme="majorBidi"/>
          <w:bCs/>
          <w:color w:val="323233"/>
          <w:lang w:val="de-DE"/>
        </w:rPr>
        <w:t xml:space="preserve"> </w:t>
      </w:r>
      <w:proofErr w:type="spellStart"/>
      <w:r w:rsidRPr="000C7C76">
        <w:rPr>
          <w:rFonts w:asciiTheme="majorBidi" w:hAnsiTheme="majorBidi" w:cstheme="majorBidi"/>
          <w:bCs/>
          <w:i/>
          <w:iCs/>
          <w:color w:val="323233"/>
          <w:lang w:val="de-DE"/>
        </w:rPr>
        <w:t>lex</w:t>
      </w:r>
      <w:proofErr w:type="spellEnd"/>
      <w:r w:rsidRPr="000C7C76">
        <w:rPr>
          <w:rFonts w:asciiTheme="majorBidi" w:hAnsiTheme="majorBidi" w:cstheme="majorBidi"/>
          <w:bCs/>
          <w:i/>
          <w:iCs/>
          <w:color w:val="323233"/>
          <w:lang w:val="de-DE"/>
        </w:rPr>
        <w:t xml:space="preserve"> </w:t>
      </w:r>
      <w:proofErr w:type="spellStart"/>
      <w:r w:rsidRPr="000C7C76">
        <w:rPr>
          <w:rFonts w:asciiTheme="majorBidi" w:hAnsiTheme="majorBidi" w:cstheme="majorBidi"/>
          <w:bCs/>
          <w:i/>
          <w:iCs/>
          <w:color w:val="323233"/>
          <w:lang w:val="de-DE"/>
        </w:rPr>
        <w:t>fori</w:t>
      </w:r>
      <w:proofErr w:type="spellEnd"/>
      <w:r w:rsidRPr="000C7C76">
        <w:rPr>
          <w:rFonts w:asciiTheme="majorBidi" w:hAnsiTheme="majorBidi" w:cstheme="majorBidi"/>
          <w:bCs/>
          <w:color w:val="323233"/>
          <w:lang w:val="de-DE"/>
        </w:rPr>
        <w:t>.</w:t>
      </w:r>
      <w:r>
        <w:rPr>
          <w:rStyle w:val="FootnoteReference"/>
          <w:rFonts w:asciiTheme="majorBidi" w:hAnsiTheme="majorBidi" w:cstheme="majorBidi"/>
          <w:bCs/>
          <w:color w:val="323233"/>
        </w:rPr>
        <w:footnoteReference w:id="91"/>
      </w:r>
      <w:r w:rsidRPr="000C7C76">
        <w:rPr>
          <w:rFonts w:asciiTheme="majorBidi" w:hAnsiTheme="majorBidi" w:cstheme="majorBidi"/>
          <w:bCs/>
          <w:color w:val="323233"/>
          <w:lang w:val="de-DE"/>
        </w:rPr>
        <w:t xml:space="preserve">  </w:t>
      </w:r>
    </w:p>
    <w:p w14:paraId="18D28AC9" w14:textId="77777777" w:rsidR="00114953" w:rsidRPr="000C7C76" w:rsidRDefault="00114953" w:rsidP="00114953">
      <w:pPr>
        <w:jc w:val="both"/>
        <w:rPr>
          <w:rFonts w:ascii="Times New Roman" w:hAnsi="Times New Roman" w:cs="Times New Roman"/>
          <w:lang w:val="de-DE"/>
        </w:rPr>
      </w:pPr>
    </w:p>
    <w:p w14:paraId="6023128A" w14:textId="77777777" w:rsidR="00114953" w:rsidRPr="000C7C76" w:rsidRDefault="00114953" w:rsidP="00114953">
      <w:pPr>
        <w:ind w:firstLine="708"/>
        <w:jc w:val="both"/>
        <w:rPr>
          <w:rFonts w:asciiTheme="majorBidi" w:hAnsiTheme="majorBidi" w:cstheme="majorBidi"/>
          <w:bCs/>
          <w:lang w:val="de-DE"/>
        </w:rPr>
      </w:pPr>
      <w:proofErr w:type="spellStart"/>
      <w:r w:rsidRPr="000C7C76">
        <w:rPr>
          <w:rFonts w:ascii="Times New Roman" w:hAnsi="Times New Roman" w:cs="Times New Roman"/>
          <w:lang w:val="de-DE"/>
        </w:rPr>
        <w:t>No</w:t>
      </w:r>
      <w:proofErr w:type="spellEnd"/>
      <w:r w:rsidRPr="000C7C76">
        <w:rPr>
          <w:rFonts w:ascii="Times New Roman" w:hAnsi="Times New Roman" w:cs="Times New Roman"/>
          <w:lang w:val="de-DE"/>
        </w:rPr>
        <w:t xml:space="preserve"> </w:t>
      </w:r>
      <w:proofErr w:type="spellStart"/>
      <w:r w:rsidRPr="000C7C76">
        <w:rPr>
          <w:rFonts w:ascii="Times New Roman" w:hAnsi="Times New Roman" w:cs="Times New Roman"/>
          <w:lang w:val="de-DE"/>
        </w:rPr>
        <w:t>iepriekš</w:t>
      </w:r>
      <w:proofErr w:type="spellEnd"/>
      <w:r w:rsidRPr="000C7C76">
        <w:rPr>
          <w:rFonts w:ascii="Times New Roman" w:hAnsi="Times New Roman" w:cs="Times New Roman"/>
          <w:lang w:val="de-DE"/>
        </w:rPr>
        <w:t xml:space="preserve"> </w:t>
      </w:r>
      <w:proofErr w:type="spellStart"/>
      <w:r w:rsidRPr="000C7C76">
        <w:rPr>
          <w:rFonts w:ascii="Times New Roman" w:hAnsi="Times New Roman" w:cs="Times New Roman"/>
          <w:lang w:val="de-DE"/>
        </w:rPr>
        <w:t>minētā</w:t>
      </w:r>
      <w:proofErr w:type="spellEnd"/>
      <w:r w:rsidRPr="000C7C76">
        <w:rPr>
          <w:rFonts w:ascii="Times New Roman" w:hAnsi="Times New Roman" w:cs="Times New Roman"/>
          <w:lang w:val="de-DE"/>
        </w:rPr>
        <w:t xml:space="preserve"> </w:t>
      </w:r>
      <w:proofErr w:type="spellStart"/>
      <w:r w:rsidRPr="000C7C76">
        <w:rPr>
          <w:rFonts w:ascii="Times New Roman" w:hAnsi="Times New Roman" w:cs="Times New Roman"/>
          <w:lang w:val="de-DE"/>
        </w:rPr>
        <w:t>var</w:t>
      </w:r>
      <w:proofErr w:type="spellEnd"/>
      <w:r w:rsidRPr="000C7C76">
        <w:rPr>
          <w:rFonts w:ascii="Times New Roman" w:hAnsi="Times New Roman" w:cs="Times New Roman"/>
          <w:lang w:val="de-DE"/>
        </w:rPr>
        <w:t xml:space="preserve"> </w:t>
      </w:r>
      <w:proofErr w:type="spellStart"/>
      <w:r w:rsidRPr="000C7C76">
        <w:rPr>
          <w:rFonts w:ascii="Times New Roman" w:hAnsi="Times New Roman" w:cs="Times New Roman"/>
          <w:lang w:val="de-DE"/>
        </w:rPr>
        <w:t>secināt</w:t>
      </w:r>
      <w:proofErr w:type="spellEnd"/>
      <w:r w:rsidRPr="000C7C76">
        <w:rPr>
          <w:rFonts w:ascii="Times New Roman" w:hAnsi="Times New Roman" w:cs="Times New Roman"/>
          <w:lang w:val="de-DE"/>
        </w:rPr>
        <w:t xml:space="preserve">, </w:t>
      </w:r>
      <w:proofErr w:type="spellStart"/>
      <w:r w:rsidRPr="000C7C76">
        <w:rPr>
          <w:rFonts w:ascii="Times New Roman" w:hAnsi="Times New Roman" w:cs="Times New Roman"/>
          <w:lang w:val="de-DE"/>
        </w:rPr>
        <w:t>ka</w:t>
      </w:r>
      <w:proofErr w:type="spellEnd"/>
      <w:r w:rsidRPr="000C7C76">
        <w:rPr>
          <w:rFonts w:ascii="Times New Roman" w:hAnsi="Times New Roman" w:cs="Times New Roman"/>
          <w:lang w:val="de-DE"/>
        </w:rPr>
        <w:t xml:space="preserve"> </w:t>
      </w:r>
      <w:proofErr w:type="spellStart"/>
      <w:r w:rsidRPr="000C7C76">
        <w:rPr>
          <w:rFonts w:asciiTheme="majorBidi" w:hAnsiTheme="majorBidi" w:cstheme="majorBidi"/>
          <w:bCs/>
          <w:lang w:val="de-DE"/>
        </w:rPr>
        <w:t>ārvalsts</w:t>
      </w:r>
      <w:proofErr w:type="spellEnd"/>
      <w:r w:rsidRPr="000C7C76">
        <w:rPr>
          <w:rFonts w:asciiTheme="majorBidi" w:hAnsiTheme="majorBidi" w:cstheme="majorBidi"/>
          <w:bCs/>
          <w:lang w:val="de-DE"/>
        </w:rPr>
        <w:t xml:space="preserve"> </w:t>
      </w:r>
      <w:proofErr w:type="spellStart"/>
      <w:r w:rsidRPr="000C7C76">
        <w:rPr>
          <w:rFonts w:asciiTheme="majorBidi" w:hAnsiTheme="majorBidi" w:cstheme="majorBidi"/>
          <w:bCs/>
          <w:lang w:val="de-DE"/>
        </w:rPr>
        <w:t>dokumentam</w:t>
      </w:r>
      <w:proofErr w:type="spellEnd"/>
      <w:r w:rsidRPr="000C7C76">
        <w:rPr>
          <w:rFonts w:asciiTheme="majorBidi" w:hAnsiTheme="majorBidi" w:cstheme="majorBidi"/>
          <w:bCs/>
          <w:lang w:val="de-DE"/>
        </w:rPr>
        <w:t xml:space="preserve">, </w:t>
      </w:r>
      <w:proofErr w:type="spellStart"/>
      <w:r w:rsidRPr="000C7C76">
        <w:rPr>
          <w:rFonts w:asciiTheme="majorBidi" w:hAnsiTheme="majorBidi" w:cstheme="majorBidi"/>
          <w:bCs/>
          <w:lang w:val="de-DE"/>
        </w:rPr>
        <w:t>lai</w:t>
      </w:r>
      <w:proofErr w:type="spellEnd"/>
      <w:r w:rsidRPr="000C7C76">
        <w:rPr>
          <w:rFonts w:asciiTheme="majorBidi" w:hAnsiTheme="majorBidi" w:cstheme="majorBidi"/>
          <w:bCs/>
          <w:lang w:val="de-DE"/>
        </w:rPr>
        <w:t xml:space="preserve"> Latvijas </w:t>
      </w:r>
      <w:proofErr w:type="spellStart"/>
      <w:r w:rsidRPr="000C7C76">
        <w:rPr>
          <w:rFonts w:asciiTheme="majorBidi" w:hAnsiTheme="majorBidi" w:cstheme="majorBidi"/>
          <w:bCs/>
          <w:lang w:val="de-DE"/>
        </w:rPr>
        <w:t>zvērināts</w:t>
      </w:r>
      <w:proofErr w:type="spellEnd"/>
      <w:r w:rsidRPr="000C7C76">
        <w:rPr>
          <w:rFonts w:asciiTheme="majorBidi" w:hAnsiTheme="majorBidi" w:cstheme="majorBidi"/>
          <w:bCs/>
          <w:lang w:val="de-DE"/>
        </w:rPr>
        <w:t xml:space="preserve"> </w:t>
      </w:r>
      <w:proofErr w:type="spellStart"/>
      <w:r w:rsidRPr="000C7C76">
        <w:rPr>
          <w:rFonts w:asciiTheme="majorBidi" w:hAnsiTheme="majorBidi" w:cstheme="majorBidi"/>
          <w:bCs/>
          <w:lang w:val="de-DE"/>
        </w:rPr>
        <w:t>notārs</w:t>
      </w:r>
      <w:proofErr w:type="spellEnd"/>
      <w:r w:rsidRPr="000C7C76">
        <w:rPr>
          <w:rFonts w:asciiTheme="majorBidi" w:hAnsiTheme="majorBidi" w:cstheme="majorBidi"/>
          <w:bCs/>
          <w:lang w:val="de-DE"/>
        </w:rPr>
        <w:t xml:space="preserve"> </w:t>
      </w:r>
      <w:proofErr w:type="spellStart"/>
      <w:r w:rsidRPr="000C7C76">
        <w:rPr>
          <w:rFonts w:asciiTheme="majorBidi" w:hAnsiTheme="majorBidi" w:cstheme="majorBidi"/>
          <w:bCs/>
          <w:lang w:val="de-DE"/>
        </w:rPr>
        <w:t>drīkstētu</w:t>
      </w:r>
      <w:proofErr w:type="spellEnd"/>
      <w:r w:rsidRPr="000C7C76">
        <w:rPr>
          <w:rFonts w:asciiTheme="majorBidi" w:hAnsiTheme="majorBidi" w:cstheme="majorBidi"/>
          <w:bCs/>
          <w:lang w:val="de-DE"/>
        </w:rPr>
        <w:t xml:space="preserve"> </w:t>
      </w:r>
      <w:proofErr w:type="spellStart"/>
      <w:r w:rsidRPr="000C7C76">
        <w:rPr>
          <w:rFonts w:asciiTheme="majorBidi" w:hAnsiTheme="majorBidi" w:cstheme="majorBidi"/>
          <w:bCs/>
          <w:lang w:val="de-DE"/>
        </w:rPr>
        <w:t>to</w:t>
      </w:r>
      <w:proofErr w:type="spellEnd"/>
      <w:r w:rsidRPr="000C7C76">
        <w:rPr>
          <w:rFonts w:asciiTheme="majorBidi" w:hAnsiTheme="majorBidi" w:cstheme="majorBidi"/>
          <w:bCs/>
          <w:lang w:val="de-DE"/>
        </w:rPr>
        <w:t xml:space="preserve"> </w:t>
      </w:r>
      <w:proofErr w:type="spellStart"/>
      <w:r w:rsidRPr="000C7C76">
        <w:rPr>
          <w:rFonts w:asciiTheme="majorBidi" w:hAnsiTheme="majorBidi" w:cstheme="majorBidi"/>
          <w:bCs/>
          <w:lang w:val="de-DE"/>
        </w:rPr>
        <w:t>vispār</w:t>
      </w:r>
      <w:proofErr w:type="spellEnd"/>
      <w:r w:rsidRPr="000C7C76">
        <w:rPr>
          <w:rFonts w:asciiTheme="majorBidi" w:hAnsiTheme="majorBidi" w:cstheme="majorBidi"/>
          <w:bCs/>
          <w:lang w:val="de-DE"/>
        </w:rPr>
        <w:t xml:space="preserve"> </w:t>
      </w:r>
      <w:proofErr w:type="spellStart"/>
      <w:r w:rsidRPr="000C7C76">
        <w:rPr>
          <w:rFonts w:asciiTheme="majorBidi" w:hAnsiTheme="majorBidi" w:cstheme="majorBidi"/>
          <w:bCs/>
          <w:lang w:val="de-DE"/>
        </w:rPr>
        <w:t>izmantot</w:t>
      </w:r>
      <w:proofErr w:type="spellEnd"/>
      <w:r w:rsidRPr="000C7C76">
        <w:rPr>
          <w:rFonts w:asciiTheme="majorBidi" w:hAnsiTheme="majorBidi" w:cstheme="majorBidi"/>
          <w:bCs/>
          <w:lang w:val="de-DE"/>
        </w:rPr>
        <w:t xml:space="preserve">, </w:t>
      </w:r>
      <w:proofErr w:type="spellStart"/>
      <w:r w:rsidRPr="000C7C76">
        <w:rPr>
          <w:rFonts w:asciiTheme="majorBidi" w:hAnsiTheme="majorBidi" w:cstheme="majorBidi"/>
          <w:bCs/>
          <w:lang w:val="de-DE"/>
        </w:rPr>
        <w:t>taisot</w:t>
      </w:r>
      <w:proofErr w:type="spellEnd"/>
      <w:r w:rsidRPr="000C7C76">
        <w:rPr>
          <w:rFonts w:asciiTheme="majorBidi" w:hAnsiTheme="majorBidi" w:cstheme="majorBidi"/>
          <w:bCs/>
          <w:lang w:val="de-DE"/>
        </w:rPr>
        <w:t xml:space="preserve"> </w:t>
      </w:r>
      <w:proofErr w:type="spellStart"/>
      <w:r w:rsidRPr="000C7C76">
        <w:rPr>
          <w:rFonts w:asciiTheme="majorBidi" w:hAnsiTheme="majorBidi" w:cstheme="majorBidi"/>
          <w:bCs/>
          <w:lang w:val="de-DE"/>
        </w:rPr>
        <w:t>notariālos</w:t>
      </w:r>
      <w:proofErr w:type="spellEnd"/>
      <w:r w:rsidRPr="000C7C76">
        <w:rPr>
          <w:rFonts w:asciiTheme="majorBidi" w:hAnsiTheme="majorBidi" w:cstheme="majorBidi"/>
          <w:bCs/>
          <w:lang w:val="de-DE"/>
        </w:rPr>
        <w:t xml:space="preserve"> </w:t>
      </w:r>
      <w:proofErr w:type="spellStart"/>
      <w:r w:rsidRPr="000C7C76">
        <w:rPr>
          <w:rFonts w:asciiTheme="majorBidi" w:hAnsiTheme="majorBidi" w:cstheme="majorBidi"/>
          <w:bCs/>
          <w:lang w:val="de-DE"/>
        </w:rPr>
        <w:t>aktus</w:t>
      </w:r>
      <w:proofErr w:type="spellEnd"/>
      <w:r w:rsidRPr="000C7C76">
        <w:rPr>
          <w:rFonts w:asciiTheme="majorBidi" w:hAnsiTheme="majorBidi" w:cstheme="majorBidi"/>
          <w:bCs/>
          <w:lang w:val="de-DE"/>
        </w:rPr>
        <w:t xml:space="preserve"> </w:t>
      </w:r>
      <w:proofErr w:type="spellStart"/>
      <w:r w:rsidRPr="000C7C76">
        <w:rPr>
          <w:rFonts w:asciiTheme="majorBidi" w:hAnsiTheme="majorBidi" w:cstheme="majorBidi"/>
          <w:bCs/>
          <w:lang w:val="de-DE"/>
        </w:rPr>
        <w:t>un</w:t>
      </w:r>
      <w:proofErr w:type="spellEnd"/>
      <w:r w:rsidRPr="000C7C76">
        <w:rPr>
          <w:rFonts w:asciiTheme="majorBidi" w:hAnsiTheme="majorBidi" w:cstheme="majorBidi"/>
          <w:bCs/>
          <w:lang w:val="de-DE"/>
        </w:rPr>
        <w:t xml:space="preserve"> </w:t>
      </w:r>
      <w:proofErr w:type="spellStart"/>
      <w:r w:rsidRPr="000C7C76">
        <w:rPr>
          <w:rFonts w:asciiTheme="majorBidi" w:hAnsiTheme="majorBidi" w:cstheme="majorBidi"/>
          <w:bCs/>
          <w:lang w:val="de-DE"/>
        </w:rPr>
        <w:t>apliecinājumus</w:t>
      </w:r>
      <w:proofErr w:type="spellEnd"/>
      <w:r w:rsidRPr="000C7C76">
        <w:rPr>
          <w:rFonts w:asciiTheme="majorBidi" w:hAnsiTheme="majorBidi" w:cstheme="majorBidi"/>
          <w:bCs/>
          <w:lang w:val="de-DE"/>
        </w:rPr>
        <w:t xml:space="preserve">, </w:t>
      </w:r>
      <w:proofErr w:type="spellStart"/>
      <w:r w:rsidRPr="000C7C76">
        <w:rPr>
          <w:rFonts w:asciiTheme="majorBidi" w:hAnsiTheme="majorBidi" w:cstheme="majorBidi"/>
          <w:bCs/>
          <w:lang w:val="de-DE"/>
        </w:rPr>
        <w:t>ir</w:t>
      </w:r>
      <w:proofErr w:type="spellEnd"/>
      <w:r w:rsidRPr="000C7C76">
        <w:rPr>
          <w:rFonts w:asciiTheme="majorBidi" w:hAnsiTheme="majorBidi" w:cstheme="majorBidi"/>
          <w:bCs/>
          <w:lang w:val="de-DE"/>
        </w:rPr>
        <w:t xml:space="preserve"> </w:t>
      </w:r>
      <w:proofErr w:type="spellStart"/>
      <w:r w:rsidRPr="000C7C76">
        <w:rPr>
          <w:rFonts w:asciiTheme="majorBidi" w:hAnsiTheme="majorBidi" w:cstheme="majorBidi"/>
          <w:bCs/>
          <w:lang w:val="de-DE"/>
        </w:rPr>
        <w:t>jāatbilst</w:t>
      </w:r>
      <w:proofErr w:type="spellEnd"/>
      <w:r w:rsidRPr="000C7C76">
        <w:rPr>
          <w:rFonts w:asciiTheme="majorBidi" w:hAnsiTheme="majorBidi" w:cstheme="majorBidi"/>
          <w:bCs/>
          <w:lang w:val="de-DE"/>
        </w:rPr>
        <w:t xml:space="preserve"> </w:t>
      </w:r>
      <w:proofErr w:type="spellStart"/>
      <w:r w:rsidRPr="000C7C76">
        <w:rPr>
          <w:rFonts w:asciiTheme="majorBidi" w:hAnsiTheme="majorBidi" w:cstheme="majorBidi"/>
          <w:bCs/>
          <w:lang w:val="de-DE"/>
        </w:rPr>
        <w:t>šādām</w:t>
      </w:r>
      <w:proofErr w:type="spellEnd"/>
      <w:r w:rsidRPr="000C7C76">
        <w:rPr>
          <w:rFonts w:asciiTheme="majorBidi" w:hAnsiTheme="majorBidi" w:cstheme="majorBidi"/>
          <w:bCs/>
          <w:lang w:val="de-DE"/>
        </w:rPr>
        <w:t xml:space="preserve"> </w:t>
      </w:r>
      <w:proofErr w:type="spellStart"/>
      <w:r w:rsidRPr="000C7C76">
        <w:rPr>
          <w:rFonts w:asciiTheme="majorBidi" w:hAnsiTheme="majorBidi" w:cstheme="majorBidi"/>
          <w:b/>
          <w:lang w:val="de-DE"/>
        </w:rPr>
        <w:t>pamatprasībām</w:t>
      </w:r>
      <w:proofErr w:type="spellEnd"/>
      <w:r w:rsidRPr="000C7C76">
        <w:rPr>
          <w:rFonts w:asciiTheme="majorBidi" w:hAnsiTheme="majorBidi" w:cstheme="majorBidi"/>
          <w:bCs/>
          <w:lang w:val="de-DE"/>
        </w:rPr>
        <w:t>:</w:t>
      </w:r>
    </w:p>
    <w:p w14:paraId="3C8B29F3" w14:textId="678D3FD2" w:rsidR="00114953" w:rsidRPr="00C91762" w:rsidRDefault="00114953" w:rsidP="00114953">
      <w:pPr>
        <w:jc w:val="both"/>
        <w:rPr>
          <w:rFonts w:asciiTheme="majorBidi" w:hAnsiTheme="majorBidi" w:cstheme="majorBidi"/>
          <w:bCs/>
          <w:lang w:val="de-DE"/>
        </w:rPr>
      </w:pPr>
      <w:r w:rsidRPr="000C7C76">
        <w:rPr>
          <w:rFonts w:asciiTheme="majorBidi" w:hAnsiTheme="majorBidi" w:cstheme="majorBidi"/>
          <w:bCs/>
          <w:lang w:val="de-DE"/>
        </w:rPr>
        <w:t xml:space="preserve">1) </w:t>
      </w:r>
      <w:proofErr w:type="spellStart"/>
      <w:r w:rsidRPr="000C7C76">
        <w:rPr>
          <w:rFonts w:asciiTheme="majorBidi" w:hAnsiTheme="majorBidi" w:cstheme="majorBidi"/>
          <w:bCs/>
          <w:lang w:val="de-DE"/>
        </w:rPr>
        <w:t>Ārvalsts</w:t>
      </w:r>
      <w:proofErr w:type="spellEnd"/>
      <w:r w:rsidRPr="000C7C76">
        <w:rPr>
          <w:rFonts w:asciiTheme="majorBidi" w:hAnsiTheme="majorBidi" w:cstheme="majorBidi"/>
          <w:bCs/>
          <w:lang w:val="de-DE"/>
        </w:rPr>
        <w:t xml:space="preserve"> </w:t>
      </w:r>
      <w:proofErr w:type="spellStart"/>
      <w:r w:rsidRPr="000C7C76">
        <w:rPr>
          <w:rFonts w:asciiTheme="majorBidi" w:hAnsiTheme="majorBidi" w:cstheme="majorBidi"/>
          <w:bCs/>
          <w:lang w:val="de-DE"/>
        </w:rPr>
        <w:t>dokumentam</w:t>
      </w:r>
      <w:proofErr w:type="spellEnd"/>
      <w:r w:rsidRPr="000C7C76">
        <w:rPr>
          <w:rFonts w:asciiTheme="majorBidi" w:hAnsiTheme="majorBidi" w:cstheme="majorBidi"/>
          <w:bCs/>
          <w:lang w:val="de-DE"/>
        </w:rPr>
        <w:t xml:space="preserve"> </w:t>
      </w:r>
      <w:proofErr w:type="spellStart"/>
      <w:r w:rsidRPr="000C7C76">
        <w:rPr>
          <w:rFonts w:asciiTheme="majorBidi" w:hAnsiTheme="majorBidi" w:cstheme="majorBidi"/>
          <w:bCs/>
          <w:lang w:val="de-DE"/>
        </w:rPr>
        <w:t>ir</w:t>
      </w:r>
      <w:proofErr w:type="spellEnd"/>
      <w:r w:rsidRPr="000C7C76">
        <w:rPr>
          <w:rFonts w:asciiTheme="majorBidi" w:hAnsiTheme="majorBidi" w:cstheme="majorBidi"/>
          <w:bCs/>
          <w:lang w:val="de-DE"/>
        </w:rPr>
        <w:t xml:space="preserve"> </w:t>
      </w:r>
      <w:proofErr w:type="spellStart"/>
      <w:r w:rsidRPr="000C7C76">
        <w:rPr>
          <w:rFonts w:asciiTheme="majorBidi" w:hAnsiTheme="majorBidi" w:cstheme="majorBidi"/>
          <w:bCs/>
          <w:lang w:val="de-DE"/>
        </w:rPr>
        <w:t>jābūt</w:t>
      </w:r>
      <w:proofErr w:type="spellEnd"/>
      <w:r w:rsidRPr="000C7C76">
        <w:rPr>
          <w:rFonts w:asciiTheme="majorBidi" w:hAnsiTheme="majorBidi" w:cstheme="majorBidi"/>
          <w:bCs/>
          <w:lang w:val="de-DE"/>
        </w:rPr>
        <w:t xml:space="preserve"> </w:t>
      </w:r>
      <w:proofErr w:type="spellStart"/>
      <w:r w:rsidRPr="000C7C76">
        <w:rPr>
          <w:rFonts w:asciiTheme="majorBidi" w:hAnsiTheme="majorBidi" w:cstheme="majorBidi"/>
          <w:bCs/>
          <w:u w:val="single"/>
          <w:lang w:val="de-DE"/>
        </w:rPr>
        <w:t>publiskam</w:t>
      </w:r>
      <w:proofErr w:type="spellEnd"/>
      <w:r w:rsidRPr="000C7C76">
        <w:rPr>
          <w:rFonts w:asciiTheme="majorBidi" w:hAnsiTheme="majorBidi" w:cstheme="majorBidi"/>
          <w:bCs/>
          <w:u w:val="single"/>
          <w:lang w:val="de-DE"/>
        </w:rPr>
        <w:t xml:space="preserve"> </w:t>
      </w:r>
      <w:proofErr w:type="spellStart"/>
      <w:r w:rsidRPr="000C7C76">
        <w:rPr>
          <w:rFonts w:asciiTheme="majorBidi" w:hAnsiTheme="majorBidi" w:cstheme="majorBidi"/>
          <w:bCs/>
          <w:u w:val="single"/>
          <w:lang w:val="de-DE"/>
        </w:rPr>
        <w:t>dokumentam</w:t>
      </w:r>
      <w:proofErr w:type="spellEnd"/>
      <w:r w:rsidRPr="000C7C76">
        <w:rPr>
          <w:rFonts w:asciiTheme="majorBidi" w:hAnsiTheme="majorBidi" w:cstheme="majorBidi"/>
          <w:bCs/>
          <w:lang w:val="de-DE"/>
        </w:rPr>
        <w:t xml:space="preserve"> </w:t>
      </w:r>
      <w:proofErr w:type="spellStart"/>
      <w:r w:rsidRPr="000C7C76">
        <w:rPr>
          <w:rFonts w:asciiTheme="majorBidi" w:hAnsiTheme="majorBidi" w:cstheme="majorBidi"/>
          <w:bCs/>
          <w:lang w:val="de-DE"/>
        </w:rPr>
        <w:t>saskaņā</w:t>
      </w:r>
      <w:proofErr w:type="spellEnd"/>
      <w:r w:rsidRPr="000C7C76">
        <w:rPr>
          <w:rFonts w:asciiTheme="majorBidi" w:hAnsiTheme="majorBidi" w:cstheme="majorBidi"/>
          <w:bCs/>
          <w:lang w:val="de-DE"/>
        </w:rPr>
        <w:t xml:space="preserve"> </w:t>
      </w:r>
      <w:proofErr w:type="spellStart"/>
      <w:r w:rsidRPr="000C7C76">
        <w:rPr>
          <w:rFonts w:asciiTheme="majorBidi" w:hAnsiTheme="majorBidi" w:cstheme="majorBidi"/>
          <w:bCs/>
          <w:lang w:val="de-DE"/>
        </w:rPr>
        <w:t>ar</w:t>
      </w:r>
      <w:proofErr w:type="spellEnd"/>
      <w:r w:rsidRPr="000C7C76">
        <w:rPr>
          <w:rFonts w:asciiTheme="majorBidi" w:hAnsiTheme="majorBidi" w:cstheme="majorBidi"/>
          <w:bCs/>
          <w:lang w:val="de-DE"/>
        </w:rPr>
        <w:t xml:space="preserve"> Latvijas </w:t>
      </w:r>
      <w:proofErr w:type="spellStart"/>
      <w:r w:rsidRPr="000C7C76">
        <w:rPr>
          <w:rFonts w:asciiTheme="majorBidi" w:hAnsiTheme="majorBidi" w:cstheme="majorBidi"/>
          <w:bCs/>
          <w:lang w:val="de-DE"/>
        </w:rPr>
        <w:t>tiesību</w:t>
      </w:r>
      <w:proofErr w:type="spellEnd"/>
      <w:r w:rsidRPr="000C7C76">
        <w:rPr>
          <w:rFonts w:asciiTheme="majorBidi" w:hAnsiTheme="majorBidi" w:cstheme="majorBidi"/>
          <w:bCs/>
          <w:lang w:val="de-DE"/>
        </w:rPr>
        <w:t xml:space="preserve"> </w:t>
      </w:r>
      <w:proofErr w:type="spellStart"/>
      <w:r w:rsidRPr="000C7C76">
        <w:rPr>
          <w:rFonts w:asciiTheme="majorBidi" w:hAnsiTheme="majorBidi" w:cstheme="majorBidi"/>
          <w:bCs/>
          <w:lang w:val="de-DE"/>
        </w:rPr>
        <w:t>normām</w:t>
      </w:r>
      <w:proofErr w:type="spellEnd"/>
      <w:r w:rsidR="002B5D4D" w:rsidRPr="000C7C76">
        <w:rPr>
          <w:rFonts w:asciiTheme="majorBidi" w:hAnsiTheme="majorBidi" w:cstheme="majorBidi"/>
          <w:bCs/>
          <w:lang w:val="de-DE"/>
        </w:rPr>
        <w:t>.</w:t>
      </w:r>
      <w:r w:rsidRPr="000C7C76">
        <w:rPr>
          <w:rFonts w:asciiTheme="majorBidi" w:hAnsiTheme="majorBidi" w:cstheme="majorBidi"/>
          <w:bCs/>
          <w:lang w:val="de-DE"/>
        </w:rPr>
        <w:t xml:space="preserve"> Lai </w:t>
      </w:r>
      <w:proofErr w:type="spellStart"/>
      <w:r w:rsidRPr="000C7C76">
        <w:rPr>
          <w:rFonts w:asciiTheme="majorBidi" w:hAnsiTheme="majorBidi" w:cstheme="majorBidi"/>
          <w:bCs/>
          <w:lang w:val="de-DE"/>
        </w:rPr>
        <w:t>gan</w:t>
      </w:r>
      <w:proofErr w:type="spellEnd"/>
      <w:r w:rsidRPr="000C7C76">
        <w:rPr>
          <w:rFonts w:asciiTheme="majorBidi" w:hAnsiTheme="majorBidi" w:cstheme="majorBidi"/>
          <w:bCs/>
          <w:lang w:val="de-DE"/>
        </w:rPr>
        <w:t xml:space="preserve"> Latvijas </w:t>
      </w:r>
      <w:proofErr w:type="spellStart"/>
      <w:r w:rsidRPr="000C7C76">
        <w:rPr>
          <w:rFonts w:asciiTheme="majorBidi" w:hAnsiTheme="majorBidi" w:cstheme="majorBidi"/>
          <w:bCs/>
          <w:lang w:val="de-DE"/>
        </w:rPr>
        <w:t>tiesībās</w:t>
      </w:r>
      <w:proofErr w:type="spellEnd"/>
      <w:r w:rsidRPr="000C7C76">
        <w:rPr>
          <w:rFonts w:asciiTheme="majorBidi" w:hAnsiTheme="majorBidi" w:cstheme="majorBidi"/>
          <w:bCs/>
          <w:lang w:val="de-DE"/>
        </w:rPr>
        <w:t xml:space="preserve"> </w:t>
      </w:r>
      <w:proofErr w:type="spellStart"/>
      <w:r w:rsidRPr="000C7C76">
        <w:rPr>
          <w:rFonts w:asciiTheme="majorBidi" w:hAnsiTheme="majorBidi" w:cstheme="majorBidi"/>
          <w:bCs/>
          <w:lang w:val="de-DE"/>
        </w:rPr>
        <w:t>nav</w:t>
      </w:r>
      <w:proofErr w:type="spellEnd"/>
      <w:r w:rsidRPr="000C7C76">
        <w:rPr>
          <w:rFonts w:asciiTheme="majorBidi" w:hAnsiTheme="majorBidi" w:cstheme="majorBidi"/>
          <w:bCs/>
          <w:lang w:val="de-DE"/>
        </w:rPr>
        <w:t xml:space="preserve"> </w:t>
      </w:r>
      <w:proofErr w:type="spellStart"/>
      <w:r w:rsidRPr="000C7C76">
        <w:rPr>
          <w:rFonts w:asciiTheme="majorBidi" w:hAnsiTheme="majorBidi" w:cstheme="majorBidi"/>
          <w:bCs/>
          <w:lang w:val="de-DE"/>
        </w:rPr>
        <w:t>atrodama</w:t>
      </w:r>
      <w:proofErr w:type="spellEnd"/>
      <w:r w:rsidRPr="000C7C76">
        <w:rPr>
          <w:rFonts w:asciiTheme="majorBidi" w:hAnsiTheme="majorBidi" w:cstheme="majorBidi"/>
          <w:bCs/>
          <w:lang w:val="de-DE"/>
        </w:rPr>
        <w:t xml:space="preserve"> </w:t>
      </w:r>
      <w:proofErr w:type="spellStart"/>
      <w:r w:rsidRPr="000C7C76">
        <w:rPr>
          <w:rFonts w:asciiTheme="majorBidi" w:hAnsiTheme="majorBidi" w:cstheme="majorBidi"/>
          <w:bCs/>
          <w:lang w:val="de-DE"/>
        </w:rPr>
        <w:t>jēdziena</w:t>
      </w:r>
      <w:proofErr w:type="spellEnd"/>
      <w:r w:rsidRPr="000C7C76">
        <w:rPr>
          <w:rFonts w:asciiTheme="majorBidi" w:hAnsiTheme="majorBidi" w:cstheme="majorBidi"/>
          <w:bCs/>
          <w:lang w:val="de-DE"/>
        </w:rPr>
        <w:t xml:space="preserve"> </w:t>
      </w:r>
      <w:r w:rsidRPr="00565D81">
        <w:rPr>
          <w:rFonts w:asciiTheme="majorBidi" w:hAnsiTheme="majorBidi" w:cstheme="majorBidi"/>
          <w:bCs/>
          <w:lang w:val="de-DE"/>
        </w:rPr>
        <w:t>„</w:t>
      </w:r>
      <w:proofErr w:type="spellStart"/>
      <w:r w:rsidRPr="00565D81">
        <w:rPr>
          <w:rFonts w:asciiTheme="majorBidi" w:hAnsiTheme="majorBidi" w:cstheme="majorBidi"/>
          <w:bCs/>
          <w:lang w:val="de-DE"/>
        </w:rPr>
        <w:t>publisks</w:t>
      </w:r>
      <w:proofErr w:type="spellEnd"/>
      <w:r w:rsidRPr="00565D81">
        <w:rPr>
          <w:rFonts w:asciiTheme="majorBidi" w:hAnsiTheme="majorBidi" w:cstheme="majorBidi"/>
          <w:bCs/>
          <w:lang w:val="de-DE"/>
        </w:rPr>
        <w:t xml:space="preserve"> </w:t>
      </w:r>
      <w:proofErr w:type="spellStart"/>
      <w:r w:rsidRPr="00565D81">
        <w:rPr>
          <w:rFonts w:asciiTheme="majorBidi" w:hAnsiTheme="majorBidi" w:cstheme="majorBidi"/>
          <w:bCs/>
          <w:lang w:val="de-DE"/>
        </w:rPr>
        <w:t>dokuments</w:t>
      </w:r>
      <w:proofErr w:type="spellEnd"/>
      <w:r w:rsidRPr="00565D81">
        <w:rPr>
          <w:rFonts w:asciiTheme="majorBidi" w:hAnsiTheme="majorBidi" w:cstheme="majorBidi"/>
          <w:bCs/>
          <w:lang w:val="de-DE"/>
        </w:rPr>
        <w:t xml:space="preserve">“ </w:t>
      </w:r>
      <w:proofErr w:type="spellStart"/>
      <w:r w:rsidRPr="00565D81">
        <w:rPr>
          <w:rFonts w:asciiTheme="majorBidi" w:hAnsiTheme="majorBidi" w:cstheme="majorBidi"/>
          <w:bCs/>
          <w:lang w:val="de-DE"/>
        </w:rPr>
        <w:t>legāldefinīcija</w:t>
      </w:r>
      <w:proofErr w:type="spellEnd"/>
      <w:r w:rsidRPr="00565D81">
        <w:rPr>
          <w:rFonts w:asciiTheme="majorBidi" w:hAnsiTheme="majorBidi" w:cstheme="majorBidi"/>
          <w:bCs/>
          <w:lang w:val="de-DE"/>
        </w:rPr>
        <w:t xml:space="preserve">, </w:t>
      </w:r>
      <w:proofErr w:type="spellStart"/>
      <w:r w:rsidRPr="00565D81">
        <w:rPr>
          <w:rFonts w:asciiTheme="majorBidi" w:hAnsiTheme="majorBidi" w:cstheme="majorBidi"/>
          <w:bCs/>
          <w:lang w:val="de-DE"/>
        </w:rPr>
        <w:t>tomēr</w:t>
      </w:r>
      <w:proofErr w:type="spellEnd"/>
      <w:r w:rsidRPr="00565D81">
        <w:rPr>
          <w:rFonts w:asciiTheme="majorBidi" w:hAnsiTheme="majorBidi" w:cstheme="majorBidi"/>
          <w:bCs/>
          <w:lang w:val="de-DE"/>
        </w:rPr>
        <w:t xml:space="preserve"> </w:t>
      </w:r>
      <w:proofErr w:type="spellStart"/>
      <w:r w:rsidRPr="00565D81">
        <w:rPr>
          <w:rFonts w:asciiTheme="majorBidi" w:hAnsiTheme="majorBidi" w:cstheme="majorBidi"/>
          <w:bCs/>
          <w:lang w:val="de-DE"/>
        </w:rPr>
        <w:t>no</w:t>
      </w:r>
      <w:proofErr w:type="spellEnd"/>
      <w:r w:rsidRPr="00565D81">
        <w:rPr>
          <w:rFonts w:asciiTheme="majorBidi" w:hAnsiTheme="majorBidi" w:cstheme="majorBidi"/>
          <w:bCs/>
          <w:lang w:val="de-DE"/>
        </w:rPr>
        <w:t xml:space="preserve"> </w:t>
      </w:r>
      <w:proofErr w:type="spellStart"/>
      <w:r w:rsidRPr="00565D81">
        <w:rPr>
          <w:rFonts w:asciiTheme="majorBidi" w:hAnsiTheme="majorBidi" w:cstheme="majorBidi"/>
          <w:bCs/>
          <w:lang w:val="de-DE"/>
        </w:rPr>
        <w:t>Notariāta</w:t>
      </w:r>
      <w:proofErr w:type="spellEnd"/>
      <w:r w:rsidRPr="00565D81">
        <w:rPr>
          <w:rFonts w:asciiTheme="majorBidi" w:hAnsiTheme="majorBidi" w:cstheme="majorBidi"/>
          <w:bCs/>
          <w:lang w:val="de-DE"/>
        </w:rPr>
        <w:t xml:space="preserve"> </w:t>
      </w:r>
      <w:proofErr w:type="spellStart"/>
      <w:r w:rsidRPr="00565D81">
        <w:rPr>
          <w:rFonts w:asciiTheme="majorBidi" w:hAnsiTheme="majorBidi" w:cstheme="majorBidi"/>
          <w:bCs/>
          <w:lang w:val="de-DE"/>
        </w:rPr>
        <w:t>likuma</w:t>
      </w:r>
      <w:proofErr w:type="spellEnd"/>
      <w:r w:rsidRPr="00565D81">
        <w:rPr>
          <w:rFonts w:asciiTheme="majorBidi" w:hAnsiTheme="majorBidi" w:cstheme="majorBidi"/>
          <w:bCs/>
          <w:lang w:val="de-DE"/>
        </w:rPr>
        <w:t xml:space="preserve"> 81.panta </w:t>
      </w:r>
      <w:proofErr w:type="spellStart"/>
      <w:r w:rsidRPr="00565D81">
        <w:rPr>
          <w:rFonts w:asciiTheme="majorBidi" w:hAnsiTheme="majorBidi" w:cstheme="majorBidi"/>
          <w:bCs/>
          <w:lang w:val="de-DE"/>
        </w:rPr>
        <w:t>var</w:t>
      </w:r>
      <w:proofErr w:type="spellEnd"/>
      <w:r w:rsidRPr="00565D81">
        <w:rPr>
          <w:rFonts w:asciiTheme="majorBidi" w:hAnsiTheme="majorBidi" w:cstheme="majorBidi"/>
          <w:bCs/>
          <w:lang w:val="de-DE"/>
        </w:rPr>
        <w:t xml:space="preserve"> </w:t>
      </w:r>
      <w:proofErr w:type="spellStart"/>
      <w:r w:rsidRPr="00565D81">
        <w:rPr>
          <w:rFonts w:asciiTheme="majorBidi" w:hAnsiTheme="majorBidi" w:cstheme="majorBidi"/>
          <w:bCs/>
          <w:lang w:val="de-DE"/>
        </w:rPr>
        <w:t>secināt</w:t>
      </w:r>
      <w:proofErr w:type="spellEnd"/>
      <w:r w:rsidRPr="00565D81">
        <w:rPr>
          <w:rFonts w:asciiTheme="majorBidi" w:hAnsiTheme="majorBidi" w:cstheme="majorBidi"/>
          <w:bCs/>
          <w:lang w:val="de-DE"/>
        </w:rPr>
        <w:t xml:space="preserve">, </w:t>
      </w:r>
      <w:proofErr w:type="spellStart"/>
      <w:r w:rsidRPr="00565D81">
        <w:rPr>
          <w:rFonts w:asciiTheme="majorBidi" w:hAnsiTheme="majorBidi" w:cstheme="majorBidi"/>
          <w:bCs/>
          <w:lang w:val="de-DE"/>
        </w:rPr>
        <w:t>kurus</w:t>
      </w:r>
      <w:proofErr w:type="spellEnd"/>
      <w:r w:rsidRPr="00565D81">
        <w:rPr>
          <w:rFonts w:asciiTheme="majorBidi" w:hAnsiTheme="majorBidi" w:cstheme="majorBidi"/>
          <w:bCs/>
          <w:lang w:val="de-DE"/>
        </w:rPr>
        <w:t xml:space="preserve"> </w:t>
      </w:r>
      <w:proofErr w:type="spellStart"/>
      <w:r w:rsidRPr="00565D81">
        <w:rPr>
          <w:rFonts w:asciiTheme="majorBidi" w:hAnsiTheme="majorBidi" w:cstheme="majorBidi"/>
          <w:bCs/>
          <w:lang w:val="de-DE"/>
        </w:rPr>
        <w:t>notāru</w:t>
      </w:r>
      <w:proofErr w:type="spellEnd"/>
      <w:r w:rsidRPr="00565D81">
        <w:rPr>
          <w:rFonts w:asciiTheme="majorBidi" w:hAnsiTheme="majorBidi" w:cstheme="majorBidi"/>
          <w:bCs/>
          <w:lang w:val="de-DE"/>
        </w:rPr>
        <w:t xml:space="preserve"> </w:t>
      </w:r>
      <w:proofErr w:type="spellStart"/>
      <w:r w:rsidRPr="00565D81">
        <w:rPr>
          <w:rFonts w:asciiTheme="majorBidi" w:hAnsiTheme="majorBidi" w:cstheme="majorBidi"/>
          <w:bCs/>
          <w:lang w:val="de-DE"/>
        </w:rPr>
        <w:t>sastādītos</w:t>
      </w:r>
      <w:proofErr w:type="spellEnd"/>
      <w:r w:rsidRPr="00565D81">
        <w:rPr>
          <w:rFonts w:asciiTheme="majorBidi" w:hAnsiTheme="majorBidi" w:cstheme="majorBidi"/>
          <w:bCs/>
          <w:lang w:val="de-DE"/>
        </w:rPr>
        <w:t xml:space="preserve"> </w:t>
      </w:r>
      <w:proofErr w:type="spellStart"/>
      <w:r w:rsidRPr="00565D81">
        <w:rPr>
          <w:rFonts w:asciiTheme="majorBidi" w:hAnsiTheme="majorBidi" w:cstheme="majorBidi"/>
          <w:bCs/>
          <w:lang w:val="de-DE"/>
        </w:rPr>
        <w:t>vai</w:t>
      </w:r>
      <w:proofErr w:type="spellEnd"/>
      <w:r w:rsidRPr="00565D81">
        <w:rPr>
          <w:rFonts w:asciiTheme="majorBidi" w:hAnsiTheme="majorBidi" w:cstheme="majorBidi"/>
          <w:bCs/>
          <w:lang w:val="de-DE"/>
        </w:rPr>
        <w:t xml:space="preserve"> </w:t>
      </w:r>
      <w:proofErr w:type="spellStart"/>
      <w:r w:rsidRPr="00565D81">
        <w:rPr>
          <w:rFonts w:asciiTheme="majorBidi" w:hAnsiTheme="majorBidi" w:cstheme="majorBidi"/>
          <w:bCs/>
          <w:lang w:val="de-DE"/>
        </w:rPr>
        <w:t>apliecinātos</w:t>
      </w:r>
      <w:proofErr w:type="spellEnd"/>
      <w:r w:rsidRPr="00565D81">
        <w:rPr>
          <w:rFonts w:asciiTheme="majorBidi" w:hAnsiTheme="majorBidi" w:cstheme="majorBidi"/>
          <w:bCs/>
          <w:lang w:val="de-DE"/>
        </w:rPr>
        <w:t xml:space="preserve"> </w:t>
      </w:r>
      <w:proofErr w:type="spellStart"/>
      <w:r w:rsidRPr="00565D81">
        <w:rPr>
          <w:rFonts w:asciiTheme="majorBidi" w:hAnsiTheme="majorBidi" w:cstheme="majorBidi"/>
          <w:bCs/>
          <w:lang w:val="de-DE"/>
        </w:rPr>
        <w:t>dokumentus</w:t>
      </w:r>
      <w:proofErr w:type="spellEnd"/>
      <w:r w:rsidRPr="00565D81">
        <w:rPr>
          <w:rFonts w:asciiTheme="majorBidi" w:hAnsiTheme="majorBidi" w:cstheme="majorBidi"/>
          <w:bCs/>
          <w:lang w:val="de-DE"/>
        </w:rPr>
        <w:t xml:space="preserve"> </w:t>
      </w:r>
      <w:proofErr w:type="spellStart"/>
      <w:r w:rsidRPr="00565D81">
        <w:rPr>
          <w:rFonts w:asciiTheme="majorBidi" w:hAnsiTheme="majorBidi" w:cstheme="majorBidi"/>
          <w:bCs/>
          <w:lang w:val="de-DE"/>
        </w:rPr>
        <w:t>var</w:t>
      </w:r>
      <w:proofErr w:type="spellEnd"/>
      <w:r w:rsidRPr="00565D81">
        <w:rPr>
          <w:rFonts w:asciiTheme="majorBidi" w:hAnsiTheme="majorBidi" w:cstheme="majorBidi"/>
          <w:bCs/>
          <w:lang w:val="de-DE"/>
        </w:rPr>
        <w:t xml:space="preserve"> </w:t>
      </w:r>
      <w:proofErr w:type="spellStart"/>
      <w:r w:rsidRPr="00565D81">
        <w:rPr>
          <w:rFonts w:asciiTheme="majorBidi" w:hAnsiTheme="majorBidi" w:cstheme="majorBidi"/>
          <w:bCs/>
          <w:lang w:val="de-DE"/>
        </w:rPr>
        <w:t>uzskatīt</w:t>
      </w:r>
      <w:proofErr w:type="spellEnd"/>
      <w:r w:rsidRPr="00565D81">
        <w:rPr>
          <w:rFonts w:asciiTheme="majorBidi" w:hAnsiTheme="majorBidi" w:cstheme="majorBidi"/>
          <w:bCs/>
          <w:lang w:val="de-DE"/>
        </w:rPr>
        <w:t xml:space="preserve"> par „</w:t>
      </w:r>
      <w:proofErr w:type="spellStart"/>
      <w:r w:rsidRPr="00565D81">
        <w:rPr>
          <w:rFonts w:asciiTheme="majorBidi" w:hAnsiTheme="majorBidi" w:cstheme="majorBidi"/>
          <w:bCs/>
          <w:lang w:val="de-DE"/>
        </w:rPr>
        <w:t>p</w:t>
      </w:r>
      <w:r w:rsidR="002B5D4D">
        <w:rPr>
          <w:rFonts w:asciiTheme="majorBidi" w:hAnsiTheme="majorBidi" w:cstheme="majorBidi"/>
          <w:bCs/>
          <w:lang w:val="de-DE"/>
        </w:rPr>
        <w:t>ubliskiem</w:t>
      </w:r>
      <w:proofErr w:type="spellEnd"/>
      <w:r w:rsidR="002B5D4D">
        <w:rPr>
          <w:rFonts w:asciiTheme="majorBidi" w:hAnsiTheme="majorBidi" w:cstheme="majorBidi"/>
          <w:bCs/>
          <w:lang w:val="de-DE"/>
        </w:rPr>
        <w:t xml:space="preserve"> </w:t>
      </w:r>
      <w:proofErr w:type="spellStart"/>
      <w:r w:rsidR="002B5D4D">
        <w:rPr>
          <w:rFonts w:asciiTheme="majorBidi" w:hAnsiTheme="majorBidi" w:cstheme="majorBidi"/>
          <w:bCs/>
          <w:lang w:val="de-DE"/>
        </w:rPr>
        <w:t>dokumentiem</w:t>
      </w:r>
      <w:proofErr w:type="spellEnd"/>
      <w:r w:rsidR="002B5D4D">
        <w:rPr>
          <w:rFonts w:asciiTheme="majorBidi" w:hAnsiTheme="majorBidi" w:cstheme="majorBidi"/>
          <w:bCs/>
          <w:lang w:val="de-DE"/>
        </w:rPr>
        <w:t>“ (</w:t>
      </w:r>
      <w:proofErr w:type="spellStart"/>
      <w:r w:rsidR="002B5D4D">
        <w:rPr>
          <w:rFonts w:asciiTheme="majorBidi" w:hAnsiTheme="majorBidi" w:cstheme="majorBidi"/>
          <w:bCs/>
          <w:lang w:val="de-DE"/>
        </w:rPr>
        <w:t>skat</w:t>
      </w:r>
      <w:proofErr w:type="spellEnd"/>
      <w:r w:rsidR="002B5D4D">
        <w:rPr>
          <w:rFonts w:asciiTheme="majorBidi" w:hAnsiTheme="majorBidi" w:cstheme="majorBidi"/>
          <w:bCs/>
          <w:lang w:val="de-DE"/>
        </w:rPr>
        <w:t xml:space="preserve">. </w:t>
      </w:r>
      <w:proofErr w:type="spellStart"/>
      <w:r w:rsidR="002B5D4D">
        <w:rPr>
          <w:rFonts w:asciiTheme="majorBidi" w:hAnsiTheme="majorBidi" w:cstheme="majorBidi"/>
          <w:bCs/>
          <w:lang w:val="de-DE"/>
        </w:rPr>
        <w:t>Notariāta</w:t>
      </w:r>
      <w:proofErr w:type="spellEnd"/>
      <w:r w:rsidR="002B5D4D">
        <w:rPr>
          <w:rFonts w:asciiTheme="majorBidi" w:hAnsiTheme="majorBidi" w:cstheme="majorBidi"/>
          <w:bCs/>
          <w:lang w:val="de-DE"/>
        </w:rPr>
        <w:t xml:space="preserve"> </w:t>
      </w:r>
      <w:proofErr w:type="spellStart"/>
      <w:r w:rsidR="002B5D4D">
        <w:rPr>
          <w:rFonts w:asciiTheme="majorBidi" w:hAnsiTheme="majorBidi" w:cstheme="majorBidi"/>
          <w:bCs/>
          <w:lang w:val="de-DE"/>
        </w:rPr>
        <w:t>likuma</w:t>
      </w:r>
      <w:proofErr w:type="spellEnd"/>
      <w:r w:rsidRPr="00565D81">
        <w:rPr>
          <w:rFonts w:asciiTheme="majorBidi" w:hAnsiTheme="majorBidi" w:cstheme="majorBidi"/>
          <w:bCs/>
          <w:lang w:val="de-DE"/>
        </w:rPr>
        <w:t xml:space="preserve"> 82.p. </w:t>
      </w:r>
      <w:proofErr w:type="spellStart"/>
      <w:r w:rsidRPr="00565D81">
        <w:rPr>
          <w:rFonts w:asciiTheme="majorBidi" w:hAnsiTheme="majorBidi" w:cstheme="majorBidi"/>
          <w:bCs/>
          <w:lang w:val="de-DE"/>
        </w:rPr>
        <w:t>un</w:t>
      </w:r>
      <w:proofErr w:type="spellEnd"/>
      <w:r w:rsidRPr="00565D81">
        <w:rPr>
          <w:rFonts w:asciiTheme="majorBidi" w:hAnsiTheme="majorBidi" w:cstheme="majorBidi"/>
          <w:bCs/>
          <w:lang w:val="de-DE"/>
        </w:rPr>
        <w:t xml:space="preserve"> </w:t>
      </w:r>
      <w:r w:rsidRPr="00C91762">
        <w:rPr>
          <w:rFonts w:asciiTheme="majorBidi" w:hAnsiTheme="majorBidi" w:cstheme="majorBidi"/>
          <w:bCs/>
          <w:lang w:val="de-DE"/>
        </w:rPr>
        <w:t xml:space="preserve">108.p.), </w:t>
      </w:r>
      <w:proofErr w:type="spellStart"/>
      <w:r w:rsidRPr="00C91762">
        <w:rPr>
          <w:rFonts w:asciiTheme="majorBidi" w:hAnsiTheme="majorBidi" w:cstheme="majorBidi"/>
          <w:bCs/>
          <w:lang w:val="de-DE"/>
        </w:rPr>
        <w:t>un</w:t>
      </w:r>
      <w:proofErr w:type="spellEnd"/>
      <w:r w:rsidRPr="00C91762">
        <w:rPr>
          <w:rFonts w:asciiTheme="majorBidi" w:hAnsiTheme="majorBidi" w:cstheme="majorBidi"/>
          <w:bCs/>
          <w:lang w:val="de-DE"/>
        </w:rPr>
        <w:t xml:space="preserve"> </w:t>
      </w:r>
      <w:proofErr w:type="spellStart"/>
      <w:r w:rsidRPr="00C91762">
        <w:rPr>
          <w:rFonts w:asciiTheme="majorBidi" w:hAnsiTheme="majorBidi" w:cstheme="majorBidi"/>
          <w:bCs/>
          <w:lang w:val="de-DE"/>
        </w:rPr>
        <w:t>kurus</w:t>
      </w:r>
      <w:proofErr w:type="spellEnd"/>
      <w:r w:rsidRPr="00C91762">
        <w:rPr>
          <w:rFonts w:asciiTheme="majorBidi" w:hAnsiTheme="majorBidi" w:cstheme="majorBidi"/>
          <w:bCs/>
          <w:lang w:val="de-DE"/>
        </w:rPr>
        <w:t xml:space="preserve"> </w:t>
      </w:r>
      <w:proofErr w:type="spellStart"/>
      <w:r w:rsidRPr="00C91762">
        <w:rPr>
          <w:rFonts w:asciiTheme="majorBidi" w:hAnsiTheme="majorBidi" w:cstheme="majorBidi"/>
          <w:bCs/>
          <w:lang w:val="de-DE"/>
        </w:rPr>
        <w:t>var</w:t>
      </w:r>
      <w:proofErr w:type="spellEnd"/>
      <w:r w:rsidRPr="00C91762">
        <w:rPr>
          <w:rFonts w:asciiTheme="majorBidi" w:hAnsiTheme="majorBidi" w:cstheme="majorBidi"/>
          <w:bCs/>
          <w:lang w:val="de-DE"/>
        </w:rPr>
        <w:t xml:space="preserve"> </w:t>
      </w:r>
      <w:proofErr w:type="spellStart"/>
      <w:r w:rsidRPr="00C91762">
        <w:rPr>
          <w:rFonts w:asciiTheme="majorBidi" w:hAnsiTheme="majorBidi" w:cstheme="majorBidi"/>
          <w:bCs/>
          <w:lang w:val="de-DE"/>
        </w:rPr>
        <w:t>uzskatīt</w:t>
      </w:r>
      <w:proofErr w:type="spellEnd"/>
      <w:r w:rsidRPr="00C91762">
        <w:rPr>
          <w:rFonts w:asciiTheme="majorBidi" w:hAnsiTheme="majorBidi" w:cstheme="majorBidi"/>
          <w:bCs/>
          <w:lang w:val="de-DE"/>
        </w:rPr>
        <w:t xml:space="preserve"> par </w:t>
      </w:r>
      <w:proofErr w:type="spellStart"/>
      <w:r w:rsidRPr="00C91762">
        <w:rPr>
          <w:rFonts w:asciiTheme="majorBidi" w:hAnsiTheme="majorBidi" w:cstheme="majorBidi"/>
          <w:bCs/>
          <w:lang w:val="de-DE"/>
        </w:rPr>
        <w:t>privāt</w:t>
      </w:r>
      <w:r w:rsidR="002B5D4D" w:rsidRPr="00C91762">
        <w:rPr>
          <w:rFonts w:asciiTheme="majorBidi" w:hAnsiTheme="majorBidi" w:cstheme="majorBidi"/>
          <w:bCs/>
          <w:lang w:val="de-DE"/>
        </w:rPr>
        <w:t>iem</w:t>
      </w:r>
      <w:proofErr w:type="spellEnd"/>
      <w:r w:rsidR="002B5D4D" w:rsidRPr="00C91762">
        <w:rPr>
          <w:rFonts w:asciiTheme="majorBidi" w:hAnsiTheme="majorBidi" w:cstheme="majorBidi"/>
          <w:bCs/>
          <w:lang w:val="de-DE"/>
        </w:rPr>
        <w:t xml:space="preserve"> </w:t>
      </w:r>
      <w:proofErr w:type="spellStart"/>
      <w:r w:rsidR="002B5D4D" w:rsidRPr="00C91762">
        <w:rPr>
          <w:rFonts w:asciiTheme="majorBidi" w:hAnsiTheme="majorBidi" w:cstheme="majorBidi"/>
          <w:bCs/>
          <w:lang w:val="de-DE"/>
        </w:rPr>
        <w:t>dokumentiem</w:t>
      </w:r>
      <w:proofErr w:type="spellEnd"/>
      <w:r w:rsidR="002B5D4D" w:rsidRPr="00C91762">
        <w:rPr>
          <w:rFonts w:asciiTheme="majorBidi" w:hAnsiTheme="majorBidi" w:cstheme="majorBidi"/>
          <w:bCs/>
          <w:lang w:val="de-DE"/>
        </w:rPr>
        <w:t xml:space="preserve"> (</w:t>
      </w:r>
      <w:proofErr w:type="spellStart"/>
      <w:r w:rsidR="002B5D4D" w:rsidRPr="00C91762">
        <w:rPr>
          <w:rFonts w:asciiTheme="majorBidi" w:hAnsiTheme="majorBidi" w:cstheme="majorBidi"/>
          <w:bCs/>
          <w:lang w:val="de-DE"/>
        </w:rPr>
        <w:t>skat</w:t>
      </w:r>
      <w:proofErr w:type="spellEnd"/>
      <w:r w:rsidR="002B5D4D" w:rsidRPr="00C91762">
        <w:rPr>
          <w:rFonts w:asciiTheme="majorBidi" w:hAnsiTheme="majorBidi" w:cstheme="majorBidi"/>
          <w:bCs/>
          <w:lang w:val="de-DE"/>
        </w:rPr>
        <w:t xml:space="preserve">. </w:t>
      </w:r>
      <w:proofErr w:type="spellStart"/>
      <w:r w:rsidR="002B5D4D" w:rsidRPr="00C91762">
        <w:rPr>
          <w:rFonts w:asciiTheme="majorBidi" w:hAnsiTheme="majorBidi" w:cstheme="majorBidi"/>
          <w:bCs/>
          <w:lang w:val="de-DE"/>
        </w:rPr>
        <w:t>Notariāta</w:t>
      </w:r>
      <w:proofErr w:type="spellEnd"/>
      <w:r w:rsidR="002B5D4D" w:rsidRPr="00C91762">
        <w:rPr>
          <w:rFonts w:asciiTheme="majorBidi" w:hAnsiTheme="majorBidi" w:cstheme="majorBidi"/>
          <w:bCs/>
          <w:lang w:val="de-DE"/>
        </w:rPr>
        <w:t xml:space="preserve"> </w:t>
      </w:r>
      <w:proofErr w:type="spellStart"/>
      <w:r w:rsidR="002B5D4D" w:rsidRPr="00C91762">
        <w:rPr>
          <w:rFonts w:asciiTheme="majorBidi" w:hAnsiTheme="majorBidi" w:cstheme="majorBidi"/>
          <w:bCs/>
          <w:lang w:val="de-DE"/>
        </w:rPr>
        <w:t>likuma</w:t>
      </w:r>
      <w:proofErr w:type="spellEnd"/>
      <w:r w:rsidRPr="00C91762">
        <w:rPr>
          <w:rFonts w:asciiTheme="majorBidi" w:hAnsiTheme="majorBidi" w:cstheme="majorBidi"/>
          <w:bCs/>
          <w:lang w:val="de-DE"/>
        </w:rPr>
        <w:t xml:space="preserve"> 116.p. 1.d.)</w:t>
      </w:r>
      <w:r w:rsidR="00044C64" w:rsidRPr="00C91762">
        <w:rPr>
          <w:rFonts w:asciiTheme="majorBidi" w:hAnsiTheme="majorBidi" w:cstheme="majorBidi"/>
          <w:bCs/>
          <w:lang w:val="de-DE"/>
        </w:rPr>
        <w:t xml:space="preserve">. </w:t>
      </w:r>
      <w:proofErr w:type="spellStart"/>
      <w:r w:rsidR="00044C64" w:rsidRPr="00C91762">
        <w:rPr>
          <w:rFonts w:asciiTheme="majorBidi" w:hAnsiTheme="majorBidi" w:cstheme="majorBidi"/>
          <w:bCs/>
          <w:lang w:val="de-DE"/>
        </w:rPr>
        <w:t>Vienlaicīgi</w:t>
      </w:r>
      <w:proofErr w:type="spellEnd"/>
      <w:r w:rsidR="00044C64" w:rsidRPr="00C91762">
        <w:rPr>
          <w:rFonts w:asciiTheme="majorBidi" w:hAnsiTheme="majorBidi" w:cstheme="majorBidi"/>
          <w:bCs/>
          <w:lang w:val="de-DE"/>
        </w:rPr>
        <w:t xml:space="preserve"> </w:t>
      </w:r>
      <w:proofErr w:type="spellStart"/>
      <w:r w:rsidR="00044C64" w:rsidRPr="00C91762">
        <w:rPr>
          <w:rFonts w:asciiTheme="majorBidi" w:hAnsiTheme="majorBidi" w:cstheme="majorBidi"/>
          <w:bCs/>
          <w:lang w:val="de-DE"/>
        </w:rPr>
        <w:t>jāatzīmē</w:t>
      </w:r>
      <w:proofErr w:type="spellEnd"/>
      <w:r w:rsidR="00044C64" w:rsidRPr="00C91762">
        <w:rPr>
          <w:rFonts w:asciiTheme="majorBidi" w:hAnsiTheme="majorBidi" w:cstheme="majorBidi"/>
          <w:bCs/>
          <w:lang w:val="de-DE"/>
        </w:rPr>
        <w:t xml:space="preserve">, </w:t>
      </w:r>
      <w:proofErr w:type="spellStart"/>
      <w:r w:rsidR="00044C64" w:rsidRPr="00C91762">
        <w:rPr>
          <w:rFonts w:asciiTheme="majorBidi" w:hAnsiTheme="majorBidi" w:cstheme="majorBidi"/>
          <w:bCs/>
          <w:lang w:val="de-DE"/>
        </w:rPr>
        <w:t>ka</w:t>
      </w:r>
      <w:proofErr w:type="spellEnd"/>
      <w:r w:rsidR="00044C64" w:rsidRPr="00C91762">
        <w:rPr>
          <w:rFonts w:asciiTheme="majorBidi" w:hAnsiTheme="majorBidi" w:cstheme="majorBidi"/>
          <w:bCs/>
          <w:lang w:val="de-DE"/>
        </w:rPr>
        <w:t xml:space="preserve"> </w:t>
      </w:r>
      <w:proofErr w:type="spellStart"/>
      <w:r w:rsidR="00044C64" w:rsidRPr="00C91762">
        <w:rPr>
          <w:rFonts w:asciiTheme="majorBidi" w:hAnsiTheme="majorBidi" w:cstheme="majorBidi"/>
          <w:bCs/>
          <w:lang w:val="de-DE"/>
        </w:rPr>
        <w:t>pilnvarojuma</w:t>
      </w:r>
      <w:proofErr w:type="spellEnd"/>
      <w:r w:rsidR="00044C64" w:rsidRPr="00C91762">
        <w:rPr>
          <w:rFonts w:asciiTheme="majorBidi" w:hAnsiTheme="majorBidi" w:cstheme="majorBidi"/>
          <w:bCs/>
          <w:lang w:val="de-DE"/>
        </w:rPr>
        <w:t xml:space="preserve"> </w:t>
      </w:r>
      <w:proofErr w:type="spellStart"/>
      <w:r w:rsidR="00044C64" w:rsidRPr="00C91762">
        <w:rPr>
          <w:rFonts w:asciiTheme="majorBidi" w:hAnsiTheme="majorBidi" w:cstheme="majorBidi"/>
          <w:bCs/>
          <w:lang w:val="de-DE"/>
        </w:rPr>
        <w:t>tiesības</w:t>
      </w:r>
      <w:proofErr w:type="spellEnd"/>
      <w:r w:rsidR="00044C64" w:rsidRPr="00C91762">
        <w:rPr>
          <w:rFonts w:asciiTheme="majorBidi" w:hAnsiTheme="majorBidi" w:cstheme="majorBidi"/>
          <w:bCs/>
          <w:lang w:val="de-DE"/>
        </w:rPr>
        <w:t xml:space="preserve"> </w:t>
      </w:r>
      <w:proofErr w:type="spellStart"/>
      <w:r w:rsidR="00044C64" w:rsidRPr="00C91762">
        <w:rPr>
          <w:rFonts w:asciiTheme="majorBidi" w:hAnsiTheme="majorBidi" w:cstheme="majorBidi"/>
          <w:bCs/>
          <w:lang w:val="de-DE"/>
        </w:rPr>
        <w:t>esamības</w:t>
      </w:r>
      <w:proofErr w:type="spellEnd"/>
      <w:r w:rsidR="00044C64" w:rsidRPr="00C91762">
        <w:rPr>
          <w:rFonts w:asciiTheme="majorBidi" w:hAnsiTheme="majorBidi" w:cstheme="majorBidi"/>
          <w:bCs/>
          <w:lang w:val="de-DE"/>
        </w:rPr>
        <w:t xml:space="preserve"> </w:t>
      </w:r>
      <w:proofErr w:type="spellStart"/>
      <w:r w:rsidR="00044C64" w:rsidRPr="00C91762">
        <w:rPr>
          <w:rFonts w:asciiTheme="majorBidi" w:hAnsiTheme="majorBidi" w:cstheme="majorBidi"/>
          <w:bCs/>
          <w:lang w:val="de-DE"/>
        </w:rPr>
        <w:t>un</w:t>
      </w:r>
      <w:proofErr w:type="spellEnd"/>
      <w:r w:rsidR="00044C64" w:rsidRPr="00C91762">
        <w:rPr>
          <w:rFonts w:asciiTheme="majorBidi" w:hAnsiTheme="majorBidi" w:cstheme="majorBidi"/>
          <w:bCs/>
          <w:lang w:val="de-DE"/>
        </w:rPr>
        <w:t xml:space="preserve"> </w:t>
      </w:r>
      <w:proofErr w:type="spellStart"/>
      <w:r w:rsidR="00044C64" w:rsidRPr="00C91762">
        <w:rPr>
          <w:rFonts w:asciiTheme="majorBidi" w:hAnsiTheme="majorBidi" w:cstheme="majorBidi"/>
          <w:bCs/>
          <w:lang w:val="de-DE"/>
        </w:rPr>
        <w:t>tās</w:t>
      </w:r>
      <w:proofErr w:type="spellEnd"/>
      <w:r w:rsidR="00044C64" w:rsidRPr="00C91762">
        <w:rPr>
          <w:rFonts w:asciiTheme="majorBidi" w:hAnsiTheme="majorBidi" w:cstheme="majorBidi"/>
          <w:bCs/>
          <w:lang w:val="de-DE"/>
        </w:rPr>
        <w:t xml:space="preserve"> </w:t>
      </w:r>
      <w:proofErr w:type="spellStart"/>
      <w:r w:rsidR="00044C64" w:rsidRPr="00C91762">
        <w:rPr>
          <w:rFonts w:asciiTheme="majorBidi" w:hAnsiTheme="majorBidi" w:cstheme="majorBidi"/>
          <w:bCs/>
          <w:lang w:val="de-DE"/>
        </w:rPr>
        <w:t>apjoma</w:t>
      </w:r>
      <w:proofErr w:type="spellEnd"/>
      <w:r w:rsidR="00044C64" w:rsidRPr="00C91762">
        <w:rPr>
          <w:rFonts w:asciiTheme="majorBidi" w:hAnsiTheme="majorBidi" w:cstheme="majorBidi"/>
          <w:bCs/>
          <w:lang w:val="de-DE"/>
        </w:rPr>
        <w:t xml:space="preserve"> </w:t>
      </w:r>
      <w:proofErr w:type="spellStart"/>
      <w:r w:rsidR="00044C64" w:rsidRPr="00C91762">
        <w:rPr>
          <w:rFonts w:asciiTheme="majorBidi" w:hAnsiTheme="majorBidi" w:cstheme="majorBidi"/>
          <w:bCs/>
          <w:u w:val="single"/>
          <w:lang w:val="de-DE"/>
        </w:rPr>
        <w:t>pierādīšanas</w:t>
      </w:r>
      <w:proofErr w:type="spellEnd"/>
      <w:r w:rsidR="00044C64" w:rsidRPr="00C91762">
        <w:rPr>
          <w:rFonts w:asciiTheme="majorBidi" w:hAnsiTheme="majorBidi" w:cstheme="majorBidi"/>
          <w:bCs/>
          <w:u w:val="single"/>
          <w:lang w:val="de-DE"/>
        </w:rPr>
        <w:t xml:space="preserve"> </w:t>
      </w:r>
      <w:proofErr w:type="spellStart"/>
      <w:r w:rsidR="00044C64" w:rsidRPr="00C91762">
        <w:rPr>
          <w:rFonts w:asciiTheme="majorBidi" w:hAnsiTheme="majorBidi" w:cstheme="majorBidi"/>
          <w:bCs/>
          <w:u w:val="single"/>
          <w:lang w:val="de-DE"/>
        </w:rPr>
        <w:t>process</w:t>
      </w:r>
      <w:proofErr w:type="spellEnd"/>
      <w:r w:rsidR="00044C64" w:rsidRPr="00C91762">
        <w:rPr>
          <w:rFonts w:asciiTheme="majorBidi" w:hAnsiTheme="majorBidi" w:cstheme="majorBidi"/>
          <w:bCs/>
          <w:lang w:val="de-DE"/>
        </w:rPr>
        <w:t xml:space="preserve"> (t.sk. </w:t>
      </w:r>
      <w:proofErr w:type="spellStart"/>
      <w:r w:rsidR="00044C64" w:rsidRPr="00C91762">
        <w:rPr>
          <w:rFonts w:asciiTheme="majorBidi" w:hAnsiTheme="majorBidi" w:cstheme="majorBidi"/>
          <w:bCs/>
          <w:lang w:val="de-DE"/>
        </w:rPr>
        <w:t>notāru</w:t>
      </w:r>
      <w:proofErr w:type="spellEnd"/>
      <w:r w:rsidR="00044C64" w:rsidRPr="00C91762">
        <w:rPr>
          <w:rFonts w:asciiTheme="majorBidi" w:hAnsiTheme="majorBidi" w:cstheme="majorBidi"/>
          <w:bCs/>
          <w:lang w:val="de-DE"/>
        </w:rPr>
        <w:t xml:space="preserve"> </w:t>
      </w:r>
      <w:proofErr w:type="spellStart"/>
      <w:r w:rsidR="00044C64" w:rsidRPr="00C91762">
        <w:rPr>
          <w:rFonts w:asciiTheme="majorBidi" w:hAnsiTheme="majorBidi" w:cstheme="majorBidi"/>
          <w:bCs/>
          <w:lang w:val="de-DE"/>
        </w:rPr>
        <w:t>procesos</w:t>
      </w:r>
      <w:proofErr w:type="spellEnd"/>
      <w:r w:rsidR="00044C64" w:rsidRPr="00C91762">
        <w:rPr>
          <w:rFonts w:asciiTheme="majorBidi" w:hAnsiTheme="majorBidi" w:cstheme="majorBidi"/>
          <w:bCs/>
          <w:lang w:val="de-DE"/>
        </w:rPr>
        <w:t xml:space="preserve">) </w:t>
      </w:r>
      <w:proofErr w:type="spellStart"/>
      <w:r w:rsidR="00044C64" w:rsidRPr="00C91762">
        <w:rPr>
          <w:rFonts w:asciiTheme="majorBidi" w:hAnsiTheme="majorBidi" w:cstheme="majorBidi"/>
          <w:bCs/>
          <w:lang w:val="de-DE"/>
        </w:rPr>
        <w:t>notiek</w:t>
      </w:r>
      <w:proofErr w:type="spellEnd"/>
      <w:r w:rsidR="00044C64" w:rsidRPr="00C91762">
        <w:rPr>
          <w:rFonts w:asciiTheme="majorBidi" w:hAnsiTheme="majorBidi" w:cstheme="majorBidi"/>
          <w:bCs/>
          <w:lang w:val="de-DE"/>
        </w:rPr>
        <w:t xml:space="preserve"> </w:t>
      </w:r>
      <w:proofErr w:type="spellStart"/>
      <w:r w:rsidR="00044C64" w:rsidRPr="00C91762">
        <w:rPr>
          <w:rFonts w:asciiTheme="majorBidi" w:hAnsiTheme="majorBidi" w:cstheme="majorBidi"/>
          <w:bCs/>
          <w:lang w:val="de-DE"/>
        </w:rPr>
        <w:t>saskaņā</w:t>
      </w:r>
      <w:proofErr w:type="spellEnd"/>
      <w:r w:rsidR="00044C64" w:rsidRPr="00C91762">
        <w:rPr>
          <w:rFonts w:asciiTheme="majorBidi" w:hAnsiTheme="majorBidi" w:cstheme="majorBidi"/>
          <w:bCs/>
          <w:lang w:val="de-DE"/>
        </w:rPr>
        <w:t xml:space="preserve"> </w:t>
      </w:r>
      <w:proofErr w:type="spellStart"/>
      <w:r w:rsidR="00044C64" w:rsidRPr="00C91762">
        <w:rPr>
          <w:rFonts w:asciiTheme="majorBidi" w:hAnsiTheme="majorBidi" w:cstheme="majorBidi"/>
          <w:bCs/>
          <w:lang w:val="de-DE"/>
        </w:rPr>
        <w:t>ar</w:t>
      </w:r>
      <w:proofErr w:type="spellEnd"/>
      <w:r w:rsidR="00044C64" w:rsidRPr="00C91762">
        <w:rPr>
          <w:rFonts w:asciiTheme="majorBidi" w:hAnsiTheme="majorBidi" w:cstheme="majorBidi"/>
          <w:bCs/>
          <w:lang w:val="de-DE"/>
        </w:rPr>
        <w:t xml:space="preserve"> </w:t>
      </w:r>
      <w:proofErr w:type="spellStart"/>
      <w:r w:rsidR="00044C64" w:rsidRPr="00C91762">
        <w:rPr>
          <w:rFonts w:asciiTheme="majorBidi" w:hAnsiTheme="majorBidi" w:cstheme="majorBidi"/>
          <w:bCs/>
          <w:lang w:val="de-DE"/>
        </w:rPr>
        <w:t>tās</w:t>
      </w:r>
      <w:proofErr w:type="spellEnd"/>
      <w:r w:rsidR="00044C64" w:rsidRPr="00C91762">
        <w:rPr>
          <w:rFonts w:asciiTheme="majorBidi" w:hAnsiTheme="majorBidi" w:cstheme="majorBidi"/>
          <w:bCs/>
          <w:lang w:val="de-DE"/>
        </w:rPr>
        <w:t xml:space="preserve"> </w:t>
      </w:r>
      <w:proofErr w:type="spellStart"/>
      <w:r w:rsidR="00044C64" w:rsidRPr="00C91762">
        <w:rPr>
          <w:rFonts w:asciiTheme="majorBidi" w:hAnsiTheme="majorBidi" w:cstheme="majorBidi"/>
          <w:bCs/>
          <w:lang w:val="de-DE"/>
        </w:rPr>
        <w:t>valsts</w:t>
      </w:r>
      <w:proofErr w:type="spellEnd"/>
      <w:r w:rsidR="00044C64" w:rsidRPr="00C91762">
        <w:rPr>
          <w:rFonts w:asciiTheme="majorBidi" w:hAnsiTheme="majorBidi" w:cstheme="majorBidi"/>
          <w:bCs/>
          <w:lang w:val="de-DE"/>
        </w:rPr>
        <w:t xml:space="preserve"> </w:t>
      </w:r>
      <w:proofErr w:type="spellStart"/>
      <w:r w:rsidR="00044C64" w:rsidRPr="00C91762">
        <w:rPr>
          <w:rFonts w:asciiTheme="majorBidi" w:hAnsiTheme="majorBidi" w:cstheme="majorBidi"/>
          <w:bCs/>
          <w:lang w:val="de-DE"/>
        </w:rPr>
        <w:t>tiesībām</w:t>
      </w:r>
      <w:proofErr w:type="spellEnd"/>
      <w:r w:rsidR="00044C64" w:rsidRPr="00C91762">
        <w:rPr>
          <w:rFonts w:asciiTheme="majorBidi" w:hAnsiTheme="majorBidi" w:cstheme="majorBidi"/>
          <w:bCs/>
          <w:lang w:val="de-DE"/>
        </w:rPr>
        <w:t xml:space="preserve">, </w:t>
      </w:r>
      <w:proofErr w:type="spellStart"/>
      <w:r w:rsidR="00044C64" w:rsidRPr="00C91762">
        <w:rPr>
          <w:rFonts w:asciiTheme="majorBidi" w:hAnsiTheme="majorBidi" w:cstheme="majorBidi"/>
          <w:bCs/>
          <w:lang w:val="de-DE"/>
        </w:rPr>
        <w:t>kurā</w:t>
      </w:r>
      <w:proofErr w:type="spellEnd"/>
      <w:r w:rsidR="00044C64" w:rsidRPr="00C91762">
        <w:rPr>
          <w:rFonts w:asciiTheme="majorBidi" w:hAnsiTheme="majorBidi" w:cstheme="majorBidi"/>
          <w:bCs/>
          <w:lang w:val="de-DE"/>
        </w:rPr>
        <w:t xml:space="preserve"> </w:t>
      </w:r>
      <w:proofErr w:type="spellStart"/>
      <w:r w:rsidR="00044C64" w:rsidRPr="00C91762">
        <w:rPr>
          <w:rFonts w:asciiTheme="majorBidi" w:hAnsiTheme="majorBidi" w:cstheme="majorBidi"/>
          <w:bCs/>
          <w:lang w:val="de-DE"/>
        </w:rPr>
        <w:t>notiek</w:t>
      </w:r>
      <w:proofErr w:type="spellEnd"/>
      <w:r w:rsidR="00044C64" w:rsidRPr="00C91762">
        <w:rPr>
          <w:rFonts w:asciiTheme="majorBidi" w:hAnsiTheme="majorBidi" w:cstheme="majorBidi"/>
          <w:bCs/>
          <w:lang w:val="de-DE"/>
        </w:rPr>
        <w:t xml:space="preserve"> (</w:t>
      </w:r>
      <w:proofErr w:type="spellStart"/>
      <w:r w:rsidR="00044C64" w:rsidRPr="00C91762">
        <w:rPr>
          <w:rFonts w:asciiTheme="majorBidi" w:hAnsiTheme="majorBidi" w:cstheme="majorBidi"/>
          <w:bCs/>
          <w:lang w:val="de-DE"/>
        </w:rPr>
        <w:t>notāru</w:t>
      </w:r>
      <w:proofErr w:type="spellEnd"/>
      <w:r w:rsidR="00044C64" w:rsidRPr="00C91762">
        <w:rPr>
          <w:rFonts w:asciiTheme="majorBidi" w:hAnsiTheme="majorBidi" w:cstheme="majorBidi"/>
          <w:bCs/>
          <w:lang w:val="de-DE"/>
        </w:rPr>
        <w:t xml:space="preserve">) </w:t>
      </w:r>
      <w:proofErr w:type="spellStart"/>
      <w:r w:rsidR="00044C64" w:rsidRPr="00C91762">
        <w:rPr>
          <w:rFonts w:asciiTheme="majorBidi" w:hAnsiTheme="majorBidi" w:cstheme="majorBidi"/>
          <w:bCs/>
          <w:lang w:val="de-DE"/>
        </w:rPr>
        <w:t>process</w:t>
      </w:r>
      <w:proofErr w:type="spellEnd"/>
      <w:r w:rsidR="00044C64" w:rsidRPr="00C91762">
        <w:rPr>
          <w:rFonts w:asciiTheme="majorBidi" w:hAnsiTheme="majorBidi" w:cstheme="majorBidi"/>
          <w:bCs/>
          <w:lang w:val="de-DE"/>
        </w:rPr>
        <w:t xml:space="preserve"> (</w:t>
      </w:r>
      <w:proofErr w:type="spellStart"/>
      <w:r w:rsidR="00044C64" w:rsidRPr="00C91762">
        <w:rPr>
          <w:rFonts w:asciiTheme="majorBidi" w:hAnsiTheme="majorBidi" w:cstheme="majorBidi"/>
          <w:bCs/>
          <w:i/>
          <w:lang w:val="de-DE"/>
        </w:rPr>
        <w:t>lex</w:t>
      </w:r>
      <w:proofErr w:type="spellEnd"/>
      <w:r w:rsidR="00044C64" w:rsidRPr="00C91762">
        <w:rPr>
          <w:rFonts w:asciiTheme="majorBidi" w:hAnsiTheme="majorBidi" w:cstheme="majorBidi"/>
          <w:bCs/>
          <w:i/>
          <w:lang w:val="de-DE"/>
        </w:rPr>
        <w:t xml:space="preserve"> </w:t>
      </w:r>
      <w:proofErr w:type="spellStart"/>
      <w:r w:rsidR="00044C64" w:rsidRPr="00C91762">
        <w:rPr>
          <w:rFonts w:asciiTheme="majorBidi" w:hAnsiTheme="majorBidi" w:cstheme="majorBidi"/>
          <w:bCs/>
          <w:i/>
          <w:lang w:val="de-DE"/>
        </w:rPr>
        <w:t>fori</w:t>
      </w:r>
      <w:proofErr w:type="spellEnd"/>
      <w:r w:rsidR="00044C64" w:rsidRPr="00C91762">
        <w:rPr>
          <w:rFonts w:asciiTheme="majorBidi" w:hAnsiTheme="majorBidi" w:cstheme="majorBidi"/>
          <w:bCs/>
          <w:lang w:val="de-DE"/>
        </w:rPr>
        <w:t>)</w:t>
      </w:r>
      <w:r w:rsidR="00044C64" w:rsidRPr="00C91762">
        <w:rPr>
          <w:rStyle w:val="FootnoteReference"/>
          <w:rFonts w:asciiTheme="majorBidi" w:hAnsiTheme="majorBidi" w:cstheme="majorBidi"/>
          <w:bCs/>
          <w:lang w:val="de-DE"/>
        </w:rPr>
        <w:footnoteReference w:id="92"/>
      </w:r>
      <w:r w:rsidRPr="00C91762">
        <w:rPr>
          <w:rFonts w:asciiTheme="majorBidi" w:hAnsiTheme="majorBidi" w:cstheme="majorBidi"/>
          <w:bCs/>
          <w:lang w:val="de-DE"/>
        </w:rPr>
        <w:t xml:space="preserve">; </w:t>
      </w:r>
      <w:proofErr w:type="spellStart"/>
      <w:r w:rsidRPr="00C91762">
        <w:rPr>
          <w:rFonts w:asciiTheme="majorBidi" w:hAnsiTheme="majorBidi" w:cstheme="majorBidi"/>
          <w:b/>
          <w:bCs/>
          <w:lang w:val="de-DE"/>
        </w:rPr>
        <w:t>un</w:t>
      </w:r>
      <w:proofErr w:type="spellEnd"/>
    </w:p>
    <w:p w14:paraId="41D525BF" w14:textId="659EE8C6" w:rsidR="00114953" w:rsidRPr="00C91762" w:rsidRDefault="00114953" w:rsidP="00114953">
      <w:pPr>
        <w:jc w:val="both"/>
        <w:rPr>
          <w:rFonts w:asciiTheme="majorBidi" w:hAnsiTheme="majorBidi" w:cstheme="majorBidi"/>
          <w:bCs/>
          <w:lang w:val="de-DE"/>
        </w:rPr>
      </w:pPr>
      <w:r w:rsidRPr="00C91762">
        <w:rPr>
          <w:rFonts w:asciiTheme="majorBidi" w:hAnsiTheme="majorBidi" w:cstheme="majorBidi"/>
          <w:bCs/>
          <w:lang w:val="de-DE"/>
        </w:rPr>
        <w:t xml:space="preserve">2) </w:t>
      </w:r>
      <w:proofErr w:type="spellStart"/>
      <w:r w:rsidRPr="00C91762">
        <w:rPr>
          <w:rFonts w:asciiTheme="majorBidi" w:hAnsiTheme="majorBidi" w:cstheme="majorBidi"/>
          <w:bCs/>
          <w:lang w:val="de-DE"/>
        </w:rPr>
        <w:t>Šim</w:t>
      </w:r>
      <w:proofErr w:type="spellEnd"/>
      <w:r w:rsidRPr="00C91762">
        <w:rPr>
          <w:rFonts w:asciiTheme="majorBidi" w:hAnsiTheme="majorBidi" w:cstheme="majorBidi"/>
          <w:bCs/>
          <w:lang w:val="de-DE"/>
        </w:rPr>
        <w:t xml:space="preserve"> </w:t>
      </w:r>
      <w:proofErr w:type="spellStart"/>
      <w:r w:rsidRPr="00C91762">
        <w:rPr>
          <w:rFonts w:asciiTheme="majorBidi" w:hAnsiTheme="majorBidi" w:cstheme="majorBidi"/>
          <w:bCs/>
          <w:lang w:val="de-DE"/>
        </w:rPr>
        <w:t>ārvalsts</w:t>
      </w:r>
      <w:proofErr w:type="spellEnd"/>
      <w:r w:rsidRPr="00C91762">
        <w:rPr>
          <w:rFonts w:asciiTheme="majorBidi" w:hAnsiTheme="majorBidi" w:cstheme="majorBidi"/>
          <w:bCs/>
          <w:lang w:val="de-DE"/>
        </w:rPr>
        <w:t xml:space="preserve"> </w:t>
      </w:r>
      <w:proofErr w:type="spellStart"/>
      <w:r w:rsidRPr="00C91762">
        <w:rPr>
          <w:rFonts w:asciiTheme="majorBidi" w:hAnsiTheme="majorBidi" w:cstheme="majorBidi"/>
          <w:bCs/>
          <w:lang w:val="de-DE"/>
        </w:rPr>
        <w:t>publiskam</w:t>
      </w:r>
      <w:proofErr w:type="spellEnd"/>
      <w:r w:rsidRPr="00C91762">
        <w:rPr>
          <w:rFonts w:asciiTheme="majorBidi" w:hAnsiTheme="majorBidi" w:cstheme="majorBidi"/>
          <w:bCs/>
          <w:lang w:val="de-DE"/>
        </w:rPr>
        <w:t xml:space="preserve"> </w:t>
      </w:r>
      <w:proofErr w:type="spellStart"/>
      <w:r w:rsidRPr="00C91762">
        <w:rPr>
          <w:rFonts w:asciiTheme="majorBidi" w:hAnsiTheme="majorBidi" w:cstheme="majorBidi"/>
          <w:bCs/>
          <w:lang w:val="de-DE"/>
        </w:rPr>
        <w:t>dokumentam</w:t>
      </w:r>
      <w:proofErr w:type="spellEnd"/>
      <w:r w:rsidRPr="00C91762">
        <w:rPr>
          <w:rFonts w:asciiTheme="majorBidi" w:hAnsiTheme="majorBidi" w:cstheme="majorBidi"/>
          <w:bCs/>
          <w:lang w:val="de-DE"/>
        </w:rPr>
        <w:t xml:space="preserve"> </w:t>
      </w:r>
      <w:proofErr w:type="spellStart"/>
      <w:r w:rsidRPr="00C91762">
        <w:rPr>
          <w:rFonts w:asciiTheme="majorBidi" w:hAnsiTheme="majorBidi" w:cstheme="majorBidi"/>
          <w:bCs/>
          <w:lang w:val="de-DE"/>
        </w:rPr>
        <w:t>ir</w:t>
      </w:r>
      <w:proofErr w:type="spellEnd"/>
      <w:r w:rsidRPr="00C91762">
        <w:rPr>
          <w:rFonts w:asciiTheme="majorBidi" w:hAnsiTheme="majorBidi" w:cstheme="majorBidi"/>
          <w:bCs/>
          <w:lang w:val="de-DE"/>
        </w:rPr>
        <w:t xml:space="preserve"> </w:t>
      </w:r>
      <w:proofErr w:type="spellStart"/>
      <w:r w:rsidRPr="00C91762">
        <w:rPr>
          <w:rFonts w:asciiTheme="majorBidi" w:hAnsiTheme="majorBidi" w:cstheme="majorBidi"/>
          <w:bCs/>
          <w:lang w:val="de-DE"/>
        </w:rPr>
        <w:t>jābūt</w:t>
      </w:r>
      <w:proofErr w:type="spellEnd"/>
      <w:r w:rsidRPr="00C91762">
        <w:rPr>
          <w:rFonts w:asciiTheme="majorBidi" w:hAnsiTheme="majorBidi" w:cstheme="majorBidi"/>
          <w:bCs/>
          <w:lang w:val="de-DE"/>
        </w:rPr>
        <w:t xml:space="preserve"> </w:t>
      </w:r>
      <w:proofErr w:type="spellStart"/>
      <w:r w:rsidRPr="00C91762">
        <w:rPr>
          <w:rFonts w:asciiTheme="majorBidi" w:hAnsiTheme="majorBidi" w:cstheme="majorBidi"/>
          <w:bCs/>
          <w:lang w:val="de-DE"/>
        </w:rPr>
        <w:t>noteiktā</w:t>
      </w:r>
      <w:proofErr w:type="spellEnd"/>
      <w:r w:rsidRPr="00C91762">
        <w:rPr>
          <w:rFonts w:asciiTheme="majorBidi" w:hAnsiTheme="majorBidi" w:cstheme="majorBidi"/>
          <w:bCs/>
          <w:lang w:val="de-DE"/>
        </w:rPr>
        <w:t xml:space="preserve"> </w:t>
      </w:r>
      <w:proofErr w:type="spellStart"/>
      <w:r w:rsidRPr="00C91762">
        <w:rPr>
          <w:rFonts w:asciiTheme="majorBidi" w:hAnsiTheme="majorBidi" w:cstheme="majorBidi"/>
          <w:bCs/>
          <w:lang w:val="de-DE"/>
        </w:rPr>
        <w:t>kārtībā</w:t>
      </w:r>
      <w:proofErr w:type="spellEnd"/>
      <w:r w:rsidRPr="00C91762">
        <w:rPr>
          <w:rFonts w:asciiTheme="majorBidi" w:hAnsiTheme="majorBidi" w:cstheme="majorBidi"/>
          <w:bCs/>
          <w:lang w:val="de-DE"/>
        </w:rPr>
        <w:t xml:space="preserve"> </w:t>
      </w:r>
      <w:proofErr w:type="spellStart"/>
      <w:r w:rsidRPr="00C91762">
        <w:rPr>
          <w:rFonts w:asciiTheme="majorBidi" w:hAnsiTheme="majorBidi" w:cstheme="majorBidi"/>
          <w:bCs/>
          <w:u w:val="single"/>
          <w:lang w:val="de-DE"/>
        </w:rPr>
        <w:t>legalizētam</w:t>
      </w:r>
      <w:proofErr w:type="spellEnd"/>
      <w:r w:rsidRPr="00C91762">
        <w:rPr>
          <w:rFonts w:asciiTheme="majorBidi" w:hAnsiTheme="majorBidi" w:cstheme="majorBidi"/>
          <w:bCs/>
          <w:lang w:val="de-DE"/>
        </w:rPr>
        <w:t xml:space="preserve"> (ja </w:t>
      </w:r>
      <w:proofErr w:type="spellStart"/>
      <w:r w:rsidRPr="00C91762">
        <w:rPr>
          <w:rFonts w:asciiTheme="majorBidi" w:hAnsiTheme="majorBidi" w:cstheme="majorBidi"/>
          <w:bCs/>
          <w:lang w:val="de-DE"/>
        </w:rPr>
        <w:t>vien</w:t>
      </w:r>
      <w:proofErr w:type="spellEnd"/>
      <w:r w:rsidRPr="00C91762">
        <w:rPr>
          <w:rFonts w:asciiTheme="majorBidi" w:hAnsiTheme="majorBidi" w:cstheme="majorBidi"/>
          <w:bCs/>
          <w:lang w:val="de-DE"/>
        </w:rPr>
        <w:t xml:space="preserve"> </w:t>
      </w:r>
      <w:proofErr w:type="spellStart"/>
      <w:r w:rsidRPr="00C91762">
        <w:rPr>
          <w:rFonts w:asciiTheme="majorBidi" w:hAnsiTheme="majorBidi" w:cstheme="majorBidi"/>
          <w:bCs/>
          <w:lang w:val="de-DE"/>
        </w:rPr>
        <w:t>ar</w:t>
      </w:r>
      <w:proofErr w:type="spellEnd"/>
      <w:r w:rsidRPr="00C91762">
        <w:rPr>
          <w:rFonts w:asciiTheme="majorBidi" w:hAnsiTheme="majorBidi" w:cstheme="majorBidi"/>
          <w:bCs/>
          <w:lang w:val="de-DE"/>
        </w:rPr>
        <w:t xml:space="preserve"> </w:t>
      </w:r>
      <w:proofErr w:type="spellStart"/>
      <w:r w:rsidRPr="00C91762">
        <w:rPr>
          <w:rFonts w:asciiTheme="majorBidi" w:hAnsiTheme="majorBidi" w:cstheme="majorBidi"/>
          <w:bCs/>
          <w:lang w:val="de-DE"/>
        </w:rPr>
        <w:t>attiecīgo</w:t>
      </w:r>
      <w:proofErr w:type="spellEnd"/>
      <w:r w:rsidRPr="00C91762">
        <w:rPr>
          <w:rFonts w:asciiTheme="majorBidi" w:hAnsiTheme="majorBidi" w:cstheme="majorBidi"/>
          <w:bCs/>
          <w:lang w:val="de-DE"/>
        </w:rPr>
        <w:t xml:space="preserve"> </w:t>
      </w:r>
      <w:proofErr w:type="spellStart"/>
      <w:r w:rsidRPr="00C91762">
        <w:rPr>
          <w:rFonts w:asciiTheme="majorBidi" w:hAnsiTheme="majorBidi" w:cstheme="majorBidi"/>
          <w:bCs/>
          <w:lang w:val="de-DE"/>
        </w:rPr>
        <w:t>ārvalsti</w:t>
      </w:r>
      <w:proofErr w:type="spellEnd"/>
      <w:r w:rsidRPr="00C91762">
        <w:rPr>
          <w:rFonts w:asciiTheme="majorBidi" w:hAnsiTheme="majorBidi" w:cstheme="majorBidi"/>
          <w:bCs/>
          <w:lang w:val="de-DE"/>
        </w:rPr>
        <w:t xml:space="preserve"> </w:t>
      </w:r>
      <w:proofErr w:type="spellStart"/>
      <w:r w:rsidRPr="00C91762">
        <w:rPr>
          <w:rFonts w:asciiTheme="majorBidi" w:hAnsiTheme="majorBidi" w:cstheme="majorBidi"/>
          <w:bCs/>
          <w:lang w:val="de-DE"/>
        </w:rPr>
        <w:t>nav</w:t>
      </w:r>
      <w:proofErr w:type="spellEnd"/>
      <w:r w:rsidRPr="00C91762">
        <w:rPr>
          <w:rFonts w:asciiTheme="majorBidi" w:hAnsiTheme="majorBidi" w:cstheme="majorBidi"/>
          <w:bCs/>
          <w:lang w:val="de-DE"/>
        </w:rPr>
        <w:t xml:space="preserve"> </w:t>
      </w:r>
      <w:proofErr w:type="spellStart"/>
      <w:r w:rsidRPr="00C91762">
        <w:rPr>
          <w:rFonts w:asciiTheme="majorBidi" w:hAnsiTheme="majorBidi" w:cstheme="majorBidi"/>
          <w:bCs/>
          <w:lang w:val="de-DE"/>
        </w:rPr>
        <w:t>ieviesta</w:t>
      </w:r>
      <w:proofErr w:type="spellEnd"/>
      <w:r w:rsidRPr="00C91762">
        <w:rPr>
          <w:rFonts w:asciiTheme="majorBidi" w:hAnsiTheme="majorBidi" w:cstheme="majorBidi"/>
          <w:bCs/>
          <w:lang w:val="de-DE"/>
        </w:rPr>
        <w:t xml:space="preserve"> </w:t>
      </w:r>
      <w:proofErr w:type="spellStart"/>
      <w:r w:rsidRPr="00C91762">
        <w:rPr>
          <w:rFonts w:asciiTheme="majorBidi" w:hAnsiTheme="majorBidi" w:cstheme="majorBidi"/>
          <w:bCs/>
          <w:lang w:val="de-DE"/>
        </w:rPr>
        <w:t>atceltā</w:t>
      </w:r>
      <w:proofErr w:type="spellEnd"/>
      <w:r w:rsidRPr="00C91762">
        <w:rPr>
          <w:rFonts w:asciiTheme="majorBidi" w:hAnsiTheme="majorBidi" w:cstheme="majorBidi"/>
          <w:bCs/>
          <w:lang w:val="de-DE"/>
        </w:rPr>
        <w:t xml:space="preserve"> </w:t>
      </w:r>
      <w:proofErr w:type="spellStart"/>
      <w:r w:rsidRPr="00C91762">
        <w:rPr>
          <w:rFonts w:asciiTheme="majorBidi" w:hAnsiTheme="majorBidi" w:cstheme="majorBidi"/>
          <w:bCs/>
          <w:lang w:val="de-DE"/>
        </w:rPr>
        <w:t>legalizācija</w:t>
      </w:r>
      <w:proofErr w:type="spellEnd"/>
      <w:r w:rsidRPr="00C91762">
        <w:rPr>
          <w:rFonts w:asciiTheme="majorBidi" w:hAnsiTheme="majorBidi" w:cstheme="majorBidi"/>
          <w:bCs/>
          <w:lang w:val="de-DE"/>
        </w:rPr>
        <w:t xml:space="preserve"> </w:t>
      </w:r>
      <w:proofErr w:type="spellStart"/>
      <w:r w:rsidRPr="00C91762">
        <w:rPr>
          <w:rFonts w:asciiTheme="majorBidi" w:hAnsiTheme="majorBidi" w:cstheme="majorBidi"/>
          <w:bCs/>
          <w:lang w:val="de-DE"/>
        </w:rPr>
        <w:t>vai</w:t>
      </w:r>
      <w:proofErr w:type="spellEnd"/>
      <w:r w:rsidRPr="00C91762">
        <w:rPr>
          <w:rFonts w:asciiTheme="majorBidi" w:hAnsiTheme="majorBidi" w:cstheme="majorBidi"/>
          <w:bCs/>
          <w:lang w:val="de-DE"/>
        </w:rPr>
        <w:t xml:space="preserve"> </w:t>
      </w:r>
      <w:proofErr w:type="spellStart"/>
      <w:r w:rsidRPr="00C91762">
        <w:rPr>
          <w:rFonts w:asciiTheme="majorBidi" w:hAnsiTheme="majorBidi" w:cstheme="majorBidi"/>
          <w:bCs/>
          <w:lang w:val="de-DE"/>
        </w:rPr>
        <w:t>apliecinājums</w:t>
      </w:r>
      <w:proofErr w:type="spellEnd"/>
      <w:r w:rsidRPr="00C91762">
        <w:rPr>
          <w:rFonts w:asciiTheme="majorBidi" w:hAnsiTheme="majorBidi" w:cstheme="majorBidi"/>
          <w:bCs/>
          <w:lang w:val="de-DE"/>
        </w:rPr>
        <w:t xml:space="preserve"> </w:t>
      </w:r>
      <w:proofErr w:type="spellStart"/>
      <w:r w:rsidRPr="00C91762">
        <w:rPr>
          <w:rFonts w:asciiTheme="majorBidi" w:hAnsiTheme="majorBidi" w:cstheme="majorBidi"/>
          <w:bCs/>
          <w:lang w:val="de-DE"/>
        </w:rPr>
        <w:t>ar</w:t>
      </w:r>
      <w:proofErr w:type="spellEnd"/>
      <w:r w:rsidRPr="00C91762">
        <w:rPr>
          <w:rFonts w:asciiTheme="majorBidi" w:hAnsiTheme="majorBidi" w:cstheme="majorBidi"/>
          <w:bCs/>
          <w:lang w:val="de-DE"/>
        </w:rPr>
        <w:t xml:space="preserve"> </w:t>
      </w:r>
      <w:proofErr w:type="spellStart"/>
      <w:r w:rsidRPr="00C91762">
        <w:rPr>
          <w:rFonts w:asciiTheme="majorBidi" w:hAnsiTheme="majorBidi" w:cstheme="majorBidi"/>
          <w:bCs/>
          <w:i/>
          <w:lang w:val="de-DE"/>
        </w:rPr>
        <w:t>apostille</w:t>
      </w:r>
      <w:proofErr w:type="spellEnd"/>
      <w:r w:rsidRPr="00C91762">
        <w:rPr>
          <w:rFonts w:asciiTheme="majorBidi" w:hAnsiTheme="majorBidi" w:cstheme="majorBidi"/>
          <w:bCs/>
          <w:lang w:val="de-DE"/>
        </w:rPr>
        <w:t>).</w:t>
      </w:r>
      <w:r w:rsidR="00044C64" w:rsidRPr="00C91762">
        <w:rPr>
          <w:rStyle w:val="FootnoteReference"/>
          <w:rFonts w:asciiTheme="majorBidi" w:hAnsiTheme="majorBidi" w:cstheme="majorBidi"/>
          <w:bCs/>
        </w:rPr>
        <w:footnoteReference w:id="93"/>
      </w:r>
      <w:r w:rsidRPr="00C91762">
        <w:rPr>
          <w:rFonts w:asciiTheme="majorBidi" w:hAnsiTheme="majorBidi" w:cstheme="majorBidi"/>
          <w:bCs/>
          <w:lang w:val="de-DE"/>
        </w:rPr>
        <w:t> </w:t>
      </w:r>
      <w:proofErr w:type="spellStart"/>
      <w:r w:rsidRPr="00C91762">
        <w:rPr>
          <w:rFonts w:asciiTheme="majorBidi" w:hAnsiTheme="majorBidi" w:cstheme="majorBidi"/>
          <w:bCs/>
          <w:lang w:val="de-DE"/>
        </w:rPr>
        <w:t>Tātad</w:t>
      </w:r>
      <w:proofErr w:type="spellEnd"/>
      <w:r w:rsidRPr="00C91762">
        <w:rPr>
          <w:rFonts w:asciiTheme="majorBidi" w:hAnsiTheme="majorBidi" w:cstheme="majorBidi"/>
          <w:bCs/>
          <w:lang w:val="de-DE"/>
        </w:rPr>
        <w:t xml:space="preserve">, </w:t>
      </w:r>
      <w:proofErr w:type="spellStart"/>
      <w:r w:rsidRPr="00C91762">
        <w:rPr>
          <w:rFonts w:asciiTheme="majorBidi" w:hAnsiTheme="majorBidi" w:cstheme="majorBidi"/>
          <w:bCs/>
          <w:lang w:val="de-DE"/>
        </w:rPr>
        <w:t>šim</w:t>
      </w:r>
      <w:proofErr w:type="spellEnd"/>
      <w:r w:rsidRPr="00C91762">
        <w:rPr>
          <w:rFonts w:asciiTheme="majorBidi" w:hAnsiTheme="majorBidi" w:cstheme="majorBidi"/>
          <w:bCs/>
          <w:lang w:val="de-DE"/>
        </w:rPr>
        <w:t xml:space="preserve"> </w:t>
      </w:r>
      <w:proofErr w:type="spellStart"/>
      <w:r w:rsidRPr="00C91762">
        <w:rPr>
          <w:rFonts w:asciiTheme="majorBidi" w:hAnsiTheme="majorBidi" w:cstheme="majorBidi"/>
          <w:bCs/>
          <w:lang w:val="de-DE"/>
        </w:rPr>
        <w:t>dokumentam</w:t>
      </w:r>
      <w:proofErr w:type="spellEnd"/>
      <w:r w:rsidRPr="00C91762">
        <w:rPr>
          <w:rFonts w:asciiTheme="majorBidi" w:hAnsiTheme="majorBidi" w:cstheme="majorBidi"/>
          <w:bCs/>
          <w:lang w:val="de-DE"/>
        </w:rPr>
        <w:t xml:space="preserve"> </w:t>
      </w:r>
      <w:proofErr w:type="spellStart"/>
      <w:r w:rsidRPr="00C91762">
        <w:rPr>
          <w:rFonts w:asciiTheme="majorBidi" w:hAnsiTheme="majorBidi" w:cstheme="majorBidi"/>
          <w:bCs/>
          <w:lang w:val="de-DE"/>
        </w:rPr>
        <w:t>ir</w:t>
      </w:r>
      <w:proofErr w:type="spellEnd"/>
      <w:r w:rsidRPr="00C91762">
        <w:rPr>
          <w:rFonts w:asciiTheme="majorBidi" w:hAnsiTheme="majorBidi" w:cstheme="majorBidi"/>
          <w:bCs/>
          <w:lang w:val="de-DE"/>
        </w:rPr>
        <w:t xml:space="preserve"> </w:t>
      </w:r>
      <w:proofErr w:type="spellStart"/>
      <w:r w:rsidRPr="00C91762">
        <w:rPr>
          <w:rFonts w:asciiTheme="majorBidi" w:hAnsiTheme="majorBidi" w:cstheme="majorBidi"/>
          <w:bCs/>
          <w:lang w:val="de-DE"/>
        </w:rPr>
        <w:t>jābūt</w:t>
      </w:r>
      <w:proofErr w:type="spellEnd"/>
      <w:r w:rsidRPr="00C91762">
        <w:rPr>
          <w:rFonts w:asciiTheme="majorBidi" w:hAnsiTheme="majorBidi" w:cstheme="majorBidi"/>
          <w:bCs/>
          <w:lang w:val="de-DE"/>
        </w:rPr>
        <w:t xml:space="preserve"> </w:t>
      </w:r>
      <w:proofErr w:type="spellStart"/>
      <w:r w:rsidRPr="00C91762">
        <w:rPr>
          <w:rFonts w:asciiTheme="majorBidi" w:hAnsiTheme="majorBidi" w:cstheme="majorBidi"/>
          <w:bCs/>
          <w:lang w:val="de-DE"/>
        </w:rPr>
        <w:t>autentiskam</w:t>
      </w:r>
      <w:proofErr w:type="spellEnd"/>
      <w:r w:rsidRPr="00C91762">
        <w:rPr>
          <w:rFonts w:asciiTheme="majorBidi" w:hAnsiTheme="majorBidi" w:cstheme="majorBidi"/>
          <w:bCs/>
          <w:lang w:val="de-DE"/>
        </w:rPr>
        <w:t xml:space="preserve"> </w:t>
      </w:r>
      <w:proofErr w:type="spellStart"/>
      <w:r w:rsidRPr="00C91762">
        <w:rPr>
          <w:rFonts w:asciiTheme="majorBidi" w:hAnsiTheme="majorBidi" w:cstheme="majorBidi"/>
          <w:bCs/>
          <w:lang w:val="de-DE"/>
        </w:rPr>
        <w:t>jeb</w:t>
      </w:r>
      <w:proofErr w:type="spellEnd"/>
      <w:r w:rsidRPr="00C91762">
        <w:rPr>
          <w:rFonts w:asciiTheme="majorBidi" w:hAnsiTheme="majorBidi" w:cstheme="majorBidi"/>
          <w:bCs/>
          <w:lang w:val="de-DE"/>
        </w:rPr>
        <w:t xml:space="preserve"> </w:t>
      </w:r>
      <w:proofErr w:type="spellStart"/>
      <w:r w:rsidRPr="00C91762">
        <w:rPr>
          <w:rFonts w:asciiTheme="majorBidi" w:hAnsiTheme="majorBidi" w:cstheme="majorBidi"/>
          <w:bCs/>
          <w:lang w:val="de-DE"/>
        </w:rPr>
        <w:t>īstam</w:t>
      </w:r>
      <w:proofErr w:type="spellEnd"/>
      <w:r w:rsidRPr="00C91762">
        <w:rPr>
          <w:rFonts w:asciiTheme="majorBidi" w:hAnsiTheme="majorBidi" w:cstheme="majorBidi"/>
          <w:bCs/>
          <w:lang w:val="de-DE"/>
        </w:rPr>
        <w:t>.</w:t>
      </w:r>
    </w:p>
    <w:p w14:paraId="468E5E59" w14:textId="77777777" w:rsidR="00114953" w:rsidRPr="00C91762" w:rsidRDefault="00114953" w:rsidP="00114953">
      <w:pPr>
        <w:jc w:val="both"/>
        <w:rPr>
          <w:rFonts w:ascii="Times New Roman" w:hAnsi="Times New Roman" w:cs="Times New Roman"/>
          <w:lang w:val="de-DE"/>
        </w:rPr>
      </w:pPr>
    </w:p>
    <w:p w14:paraId="5EC6600F" w14:textId="77777777" w:rsidR="00114953" w:rsidRPr="00C91762" w:rsidRDefault="00114953" w:rsidP="00114953">
      <w:pPr>
        <w:ind w:firstLine="708"/>
        <w:jc w:val="both"/>
        <w:rPr>
          <w:rFonts w:ascii="Times New Roman" w:hAnsi="Times New Roman" w:cs="Times New Roman"/>
          <w:lang w:val="de-DE"/>
        </w:rPr>
      </w:pPr>
      <w:proofErr w:type="spellStart"/>
      <w:r w:rsidRPr="00C91762">
        <w:rPr>
          <w:rFonts w:ascii="Times New Roman" w:hAnsi="Times New Roman" w:cs="Times New Roman"/>
          <w:lang w:val="de-DE"/>
        </w:rPr>
        <w:t>Tikai</w:t>
      </w:r>
      <w:proofErr w:type="spellEnd"/>
      <w:r w:rsidRPr="00C91762">
        <w:rPr>
          <w:rFonts w:ascii="Times New Roman" w:hAnsi="Times New Roman" w:cs="Times New Roman"/>
          <w:lang w:val="de-DE"/>
        </w:rPr>
        <w:t xml:space="preserve"> </w:t>
      </w:r>
      <w:proofErr w:type="spellStart"/>
      <w:r w:rsidRPr="00C91762">
        <w:rPr>
          <w:rFonts w:ascii="Times New Roman" w:hAnsi="Times New Roman" w:cs="Times New Roman"/>
          <w:lang w:val="de-DE"/>
        </w:rPr>
        <w:t>tad</w:t>
      </w:r>
      <w:proofErr w:type="spellEnd"/>
      <w:r w:rsidRPr="00C91762">
        <w:rPr>
          <w:rFonts w:ascii="Times New Roman" w:hAnsi="Times New Roman" w:cs="Times New Roman"/>
          <w:lang w:val="de-DE"/>
        </w:rPr>
        <w:t xml:space="preserve">, ja </w:t>
      </w:r>
      <w:proofErr w:type="spellStart"/>
      <w:r w:rsidRPr="00C91762">
        <w:rPr>
          <w:rFonts w:ascii="Times New Roman" w:hAnsi="Times New Roman" w:cs="Times New Roman"/>
          <w:lang w:val="de-DE"/>
        </w:rPr>
        <w:t>ārvalsts</w:t>
      </w:r>
      <w:proofErr w:type="spellEnd"/>
      <w:r w:rsidRPr="00C91762">
        <w:rPr>
          <w:rFonts w:ascii="Times New Roman" w:hAnsi="Times New Roman" w:cs="Times New Roman"/>
          <w:lang w:val="de-DE"/>
        </w:rPr>
        <w:t xml:space="preserve"> </w:t>
      </w:r>
      <w:proofErr w:type="spellStart"/>
      <w:r w:rsidRPr="00C91762">
        <w:rPr>
          <w:rFonts w:ascii="Times New Roman" w:hAnsi="Times New Roman" w:cs="Times New Roman"/>
          <w:lang w:val="de-DE"/>
        </w:rPr>
        <w:t>dokuments</w:t>
      </w:r>
      <w:proofErr w:type="spellEnd"/>
      <w:r w:rsidRPr="00C91762">
        <w:rPr>
          <w:rFonts w:ascii="Times New Roman" w:hAnsi="Times New Roman" w:cs="Times New Roman"/>
          <w:lang w:val="de-DE"/>
        </w:rPr>
        <w:t xml:space="preserve"> </w:t>
      </w:r>
      <w:proofErr w:type="spellStart"/>
      <w:r w:rsidRPr="00C91762">
        <w:rPr>
          <w:rFonts w:ascii="Times New Roman" w:hAnsi="Times New Roman" w:cs="Times New Roman"/>
          <w:lang w:val="de-DE"/>
        </w:rPr>
        <w:t>atbilst</w:t>
      </w:r>
      <w:proofErr w:type="spellEnd"/>
      <w:r w:rsidRPr="00C91762">
        <w:rPr>
          <w:rFonts w:ascii="Times New Roman" w:hAnsi="Times New Roman" w:cs="Times New Roman"/>
          <w:lang w:val="de-DE"/>
        </w:rPr>
        <w:t xml:space="preserve"> </w:t>
      </w:r>
      <w:proofErr w:type="spellStart"/>
      <w:r w:rsidRPr="00C91762">
        <w:rPr>
          <w:rFonts w:ascii="Times New Roman" w:hAnsi="Times New Roman" w:cs="Times New Roman"/>
          <w:lang w:val="de-DE"/>
        </w:rPr>
        <w:t>šīm</w:t>
      </w:r>
      <w:proofErr w:type="spellEnd"/>
      <w:r w:rsidRPr="00C91762">
        <w:rPr>
          <w:rFonts w:ascii="Times New Roman" w:hAnsi="Times New Roman" w:cs="Times New Roman"/>
          <w:lang w:val="de-DE"/>
        </w:rPr>
        <w:t xml:space="preserve"> </w:t>
      </w:r>
      <w:proofErr w:type="spellStart"/>
      <w:r w:rsidRPr="00C91762">
        <w:rPr>
          <w:rFonts w:ascii="Times New Roman" w:hAnsi="Times New Roman" w:cs="Times New Roman"/>
          <w:lang w:val="de-DE"/>
        </w:rPr>
        <w:t>prasībām</w:t>
      </w:r>
      <w:proofErr w:type="spellEnd"/>
      <w:r w:rsidRPr="00C91762">
        <w:rPr>
          <w:rFonts w:ascii="Times New Roman" w:hAnsi="Times New Roman" w:cs="Times New Roman"/>
          <w:lang w:val="de-DE"/>
        </w:rPr>
        <w:t xml:space="preserve">, </w:t>
      </w:r>
      <w:proofErr w:type="spellStart"/>
      <w:r w:rsidRPr="00C91762">
        <w:rPr>
          <w:rFonts w:ascii="Times New Roman" w:hAnsi="Times New Roman" w:cs="Times New Roman"/>
          <w:lang w:val="de-DE"/>
        </w:rPr>
        <w:t>var</w:t>
      </w:r>
      <w:proofErr w:type="spellEnd"/>
      <w:r w:rsidRPr="00C91762">
        <w:rPr>
          <w:rFonts w:ascii="Times New Roman" w:hAnsi="Times New Roman" w:cs="Times New Roman"/>
          <w:lang w:val="de-DE"/>
        </w:rPr>
        <w:t xml:space="preserve"> </w:t>
      </w:r>
      <w:proofErr w:type="spellStart"/>
      <w:r w:rsidRPr="00C91762">
        <w:rPr>
          <w:rFonts w:ascii="Times New Roman" w:hAnsi="Times New Roman" w:cs="Times New Roman"/>
          <w:lang w:val="de-DE"/>
        </w:rPr>
        <w:t>tālāk</w:t>
      </w:r>
      <w:proofErr w:type="spellEnd"/>
      <w:r w:rsidRPr="00C91762">
        <w:rPr>
          <w:rFonts w:ascii="Times New Roman" w:hAnsi="Times New Roman" w:cs="Times New Roman"/>
          <w:lang w:val="de-DE"/>
        </w:rPr>
        <w:t xml:space="preserve"> </w:t>
      </w:r>
      <w:proofErr w:type="spellStart"/>
      <w:r w:rsidRPr="00C91762">
        <w:rPr>
          <w:rFonts w:ascii="Times New Roman" w:hAnsi="Times New Roman" w:cs="Times New Roman"/>
          <w:lang w:val="de-DE"/>
        </w:rPr>
        <w:t>noskaidrot</w:t>
      </w:r>
      <w:proofErr w:type="spellEnd"/>
      <w:r w:rsidRPr="00C91762">
        <w:rPr>
          <w:rFonts w:ascii="Times New Roman" w:hAnsi="Times New Roman" w:cs="Times New Roman"/>
          <w:lang w:val="de-DE"/>
        </w:rPr>
        <w:t xml:space="preserve"> </w:t>
      </w:r>
      <w:proofErr w:type="spellStart"/>
      <w:r w:rsidRPr="00C91762">
        <w:rPr>
          <w:rFonts w:ascii="Times New Roman" w:hAnsi="Times New Roman" w:cs="Times New Roman"/>
          <w:lang w:val="de-DE"/>
        </w:rPr>
        <w:t>ārvalsts</w:t>
      </w:r>
      <w:proofErr w:type="spellEnd"/>
      <w:r w:rsidRPr="00C91762">
        <w:rPr>
          <w:rFonts w:ascii="Times New Roman" w:hAnsi="Times New Roman" w:cs="Times New Roman"/>
          <w:lang w:val="de-DE"/>
        </w:rPr>
        <w:t xml:space="preserve"> </w:t>
      </w:r>
      <w:proofErr w:type="spellStart"/>
      <w:r w:rsidRPr="00C91762">
        <w:rPr>
          <w:rFonts w:ascii="Times New Roman" w:hAnsi="Times New Roman" w:cs="Times New Roman"/>
          <w:lang w:val="de-DE"/>
        </w:rPr>
        <w:t>publiskā</w:t>
      </w:r>
      <w:proofErr w:type="spellEnd"/>
      <w:r w:rsidRPr="00C91762">
        <w:rPr>
          <w:rFonts w:ascii="Times New Roman" w:hAnsi="Times New Roman" w:cs="Times New Roman"/>
          <w:lang w:val="de-DE"/>
        </w:rPr>
        <w:t xml:space="preserve"> </w:t>
      </w:r>
      <w:proofErr w:type="spellStart"/>
      <w:r w:rsidRPr="00C91762">
        <w:rPr>
          <w:rFonts w:ascii="Times New Roman" w:hAnsi="Times New Roman" w:cs="Times New Roman"/>
          <w:lang w:val="de-DE"/>
        </w:rPr>
        <w:t>dokumenta</w:t>
      </w:r>
      <w:proofErr w:type="spellEnd"/>
      <w:r w:rsidRPr="00C91762">
        <w:rPr>
          <w:rFonts w:ascii="Times New Roman" w:hAnsi="Times New Roman" w:cs="Times New Roman"/>
          <w:lang w:val="de-DE"/>
        </w:rPr>
        <w:t xml:space="preserve"> </w:t>
      </w:r>
      <w:proofErr w:type="spellStart"/>
      <w:r w:rsidRPr="00C91762">
        <w:rPr>
          <w:rFonts w:ascii="Times New Roman" w:hAnsi="Times New Roman" w:cs="Times New Roman"/>
          <w:lang w:val="de-DE"/>
        </w:rPr>
        <w:t>tālākās</w:t>
      </w:r>
      <w:proofErr w:type="spellEnd"/>
      <w:r w:rsidRPr="00C91762">
        <w:rPr>
          <w:rFonts w:ascii="Times New Roman" w:hAnsi="Times New Roman" w:cs="Times New Roman"/>
          <w:lang w:val="de-DE"/>
        </w:rPr>
        <w:t xml:space="preserve"> </w:t>
      </w:r>
      <w:proofErr w:type="spellStart"/>
      <w:r w:rsidRPr="00C91762">
        <w:rPr>
          <w:rFonts w:ascii="Times New Roman" w:hAnsi="Times New Roman" w:cs="Times New Roman"/>
          <w:b/>
          <w:bCs/>
          <w:lang w:val="de-DE"/>
        </w:rPr>
        <w:t>formas</w:t>
      </w:r>
      <w:proofErr w:type="spellEnd"/>
      <w:r w:rsidRPr="00C91762">
        <w:rPr>
          <w:rFonts w:ascii="Times New Roman" w:hAnsi="Times New Roman" w:cs="Times New Roman"/>
          <w:b/>
          <w:bCs/>
          <w:lang w:val="de-DE"/>
        </w:rPr>
        <w:t xml:space="preserve"> </w:t>
      </w:r>
      <w:proofErr w:type="spellStart"/>
      <w:r w:rsidRPr="00C91762">
        <w:rPr>
          <w:rFonts w:ascii="Times New Roman" w:hAnsi="Times New Roman" w:cs="Times New Roman"/>
          <w:b/>
          <w:bCs/>
          <w:lang w:val="de-DE"/>
        </w:rPr>
        <w:t>un</w:t>
      </w:r>
      <w:proofErr w:type="spellEnd"/>
      <w:r w:rsidRPr="00C91762">
        <w:rPr>
          <w:rFonts w:ascii="Times New Roman" w:hAnsi="Times New Roman" w:cs="Times New Roman"/>
          <w:b/>
          <w:bCs/>
          <w:lang w:val="de-DE"/>
        </w:rPr>
        <w:t xml:space="preserve"> </w:t>
      </w:r>
      <w:proofErr w:type="spellStart"/>
      <w:r w:rsidRPr="00C91762">
        <w:rPr>
          <w:rFonts w:ascii="Times New Roman" w:hAnsi="Times New Roman" w:cs="Times New Roman"/>
          <w:b/>
          <w:bCs/>
          <w:lang w:val="de-DE"/>
        </w:rPr>
        <w:t>satura</w:t>
      </w:r>
      <w:proofErr w:type="spellEnd"/>
      <w:r w:rsidRPr="00C91762">
        <w:rPr>
          <w:rFonts w:ascii="Times New Roman" w:hAnsi="Times New Roman" w:cs="Times New Roman"/>
          <w:b/>
          <w:bCs/>
          <w:lang w:val="de-DE"/>
        </w:rPr>
        <w:t xml:space="preserve"> </w:t>
      </w:r>
      <w:proofErr w:type="spellStart"/>
      <w:r w:rsidRPr="00C91762">
        <w:rPr>
          <w:rFonts w:ascii="Times New Roman" w:hAnsi="Times New Roman" w:cs="Times New Roman"/>
          <w:b/>
          <w:bCs/>
          <w:lang w:val="de-DE"/>
        </w:rPr>
        <w:t>prasības</w:t>
      </w:r>
      <w:proofErr w:type="spellEnd"/>
      <w:r w:rsidRPr="00C91762">
        <w:rPr>
          <w:rFonts w:ascii="Times New Roman" w:hAnsi="Times New Roman" w:cs="Times New Roman"/>
          <w:lang w:val="de-DE"/>
        </w:rPr>
        <w:t>.</w:t>
      </w:r>
    </w:p>
    <w:p w14:paraId="7DE03626" w14:textId="77777777" w:rsidR="009123C5" w:rsidRPr="00C91762" w:rsidRDefault="009123C5" w:rsidP="00114953">
      <w:pPr>
        <w:ind w:firstLine="708"/>
        <w:jc w:val="both"/>
        <w:rPr>
          <w:rFonts w:ascii="Times New Roman" w:hAnsi="Times New Roman" w:cs="Times New Roman"/>
          <w:lang w:val="de-DE"/>
        </w:rPr>
      </w:pPr>
    </w:p>
    <w:p w14:paraId="240A694B" w14:textId="77777777" w:rsidR="003D75B3" w:rsidRPr="00C91762" w:rsidRDefault="009123C5" w:rsidP="00114953">
      <w:pPr>
        <w:ind w:firstLine="708"/>
        <w:jc w:val="both"/>
        <w:rPr>
          <w:rFonts w:ascii="Times New Roman" w:hAnsi="Times New Roman" w:cs="Times New Roman"/>
          <w:lang w:val="de-DE"/>
        </w:rPr>
      </w:pPr>
      <w:proofErr w:type="spellStart"/>
      <w:r w:rsidRPr="00C91762">
        <w:rPr>
          <w:rFonts w:ascii="Times New Roman" w:hAnsi="Times New Roman" w:cs="Times New Roman"/>
          <w:lang w:val="de-DE"/>
        </w:rPr>
        <w:t>Starptautiskajās</w:t>
      </w:r>
      <w:proofErr w:type="spellEnd"/>
      <w:r w:rsidRPr="00C91762">
        <w:rPr>
          <w:rFonts w:ascii="Times New Roman" w:hAnsi="Times New Roman" w:cs="Times New Roman"/>
          <w:lang w:val="de-DE"/>
        </w:rPr>
        <w:t xml:space="preserve"> </w:t>
      </w:r>
      <w:proofErr w:type="spellStart"/>
      <w:r w:rsidRPr="00C91762">
        <w:rPr>
          <w:rFonts w:ascii="Times New Roman" w:hAnsi="Times New Roman" w:cs="Times New Roman"/>
          <w:lang w:val="de-DE"/>
        </w:rPr>
        <w:t>privāttiesībās</w:t>
      </w:r>
      <w:proofErr w:type="spellEnd"/>
      <w:r w:rsidRPr="00C91762">
        <w:rPr>
          <w:rFonts w:ascii="Times New Roman" w:hAnsi="Times New Roman" w:cs="Times New Roman"/>
          <w:lang w:val="de-DE"/>
        </w:rPr>
        <w:t xml:space="preserve"> </w:t>
      </w:r>
      <w:proofErr w:type="spellStart"/>
      <w:r w:rsidRPr="00C91762">
        <w:rPr>
          <w:rFonts w:ascii="Times New Roman" w:hAnsi="Times New Roman" w:cs="Times New Roman"/>
          <w:u w:val="single"/>
          <w:lang w:val="de-DE"/>
        </w:rPr>
        <w:t>publiskajam</w:t>
      </w:r>
      <w:proofErr w:type="spellEnd"/>
      <w:r w:rsidRPr="00C91762">
        <w:rPr>
          <w:rFonts w:ascii="Times New Roman" w:hAnsi="Times New Roman" w:cs="Times New Roman"/>
          <w:u w:val="single"/>
          <w:lang w:val="de-DE"/>
        </w:rPr>
        <w:t xml:space="preserve"> </w:t>
      </w:r>
      <w:proofErr w:type="spellStart"/>
      <w:r w:rsidR="003D75B3" w:rsidRPr="00C91762">
        <w:rPr>
          <w:rFonts w:ascii="Times New Roman" w:hAnsi="Times New Roman" w:cs="Times New Roman"/>
          <w:u w:val="single"/>
          <w:lang w:val="de-DE"/>
        </w:rPr>
        <w:t>dokumentam</w:t>
      </w:r>
      <w:proofErr w:type="spellEnd"/>
      <w:r w:rsidR="003D75B3" w:rsidRPr="00C91762">
        <w:rPr>
          <w:rFonts w:ascii="Times New Roman" w:hAnsi="Times New Roman" w:cs="Times New Roman"/>
          <w:u w:val="single"/>
          <w:lang w:val="de-DE"/>
        </w:rPr>
        <w:t xml:space="preserve"> </w:t>
      </w:r>
      <w:proofErr w:type="spellStart"/>
      <w:r w:rsidR="003D75B3" w:rsidRPr="00C91762">
        <w:rPr>
          <w:rFonts w:ascii="Times New Roman" w:hAnsi="Times New Roman" w:cs="Times New Roman"/>
          <w:u w:val="single"/>
          <w:lang w:val="de-DE"/>
        </w:rPr>
        <w:t>izšķir</w:t>
      </w:r>
      <w:proofErr w:type="spellEnd"/>
      <w:r w:rsidR="003D75B3" w:rsidRPr="00C91762">
        <w:rPr>
          <w:rFonts w:ascii="Times New Roman" w:hAnsi="Times New Roman" w:cs="Times New Roman"/>
          <w:u w:val="single"/>
          <w:lang w:val="de-DE"/>
        </w:rPr>
        <w:t xml:space="preserve"> </w:t>
      </w:r>
      <w:proofErr w:type="spellStart"/>
      <w:r w:rsidR="003D75B3" w:rsidRPr="00C91762">
        <w:rPr>
          <w:rFonts w:ascii="Times New Roman" w:hAnsi="Times New Roman" w:cs="Times New Roman"/>
          <w:u w:val="single"/>
          <w:lang w:val="de-DE"/>
        </w:rPr>
        <w:t>divas</w:t>
      </w:r>
      <w:proofErr w:type="spellEnd"/>
      <w:r w:rsidR="003D75B3" w:rsidRPr="00C91762">
        <w:rPr>
          <w:rFonts w:ascii="Times New Roman" w:hAnsi="Times New Roman" w:cs="Times New Roman"/>
          <w:u w:val="single"/>
          <w:lang w:val="de-DE"/>
        </w:rPr>
        <w:t xml:space="preserve"> </w:t>
      </w:r>
      <w:proofErr w:type="spellStart"/>
      <w:r w:rsidR="003D75B3" w:rsidRPr="00C91762">
        <w:rPr>
          <w:rFonts w:ascii="Times New Roman" w:hAnsi="Times New Roman" w:cs="Times New Roman"/>
          <w:u w:val="single"/>
          <w:lang w:val="de-DE"/>
        </w:rPr>
        <w:t>dabas</w:t>
      </w:r>
      <w:proofErr w:type="spellEnd"/>
      <w:r w:rsidRPr="00C91762">
        <w:rPr>
          <w:rFonts w:ascii="Times New Roman" w:hAnsi="Times New Roman" w:cs="Times New Roman"/>
          <w:lang w:val="de-DE"/>
        </w:rPr>
        <w:t xml:space="preserve">: </w:t>
      </w:r>
    </w:p>
    <w:p w14:paraId="4E08CE45" w14:textId="790A32B6" w:rsidR="003D75B3" w:rsidRPr="00C91762" w:rsidRDefault="009123C5" w:rsidP="003D75B3">
      <w:pPr>
        <w:jc w:val="both"/>
        <w:rPr>
          <w:rFonts w:ascii="Times New Roman" w:hAnsi="Times New Roman" w:cs="Times New Roman"/>
          <w:lang w:val="de-DE"/>
        </w:rPr>
      </w:pPr>
      <w:r w:rsidRPr="00C91762">
        <w:rPr>
          <w:rFonts w:ascii="Times New Roman" w:hAnsi="Times New Roman" w:cs="Times New Roman"/>
          <w:lang w:val="de-DE"/>
        </w:rPr>
        <w:t>1)</w:t>
      </w:r>
      <w:r w:rsidR="00CB1F8C" w:rsidRPr="00C91762">
        <w:rPr>
          <w:rFonts w:ascii="Times New Roman" w:hAnsi="Times New Roman" w:cs="Times New Roman"/>
          <w:lang w:val="de-DE"/>
        </w:rPr>
        <w:t xml:space="preserve"> </w:t>
      </w:r>
      <w:proofErr w:type="spellStart"/>
      <w:r w:rsidR="003D75B3" w:rsidRPr="00C91762">
        <w:rPr>
          <w:rFonts w:ascii="Times New Roman" w:hAnsi="Times New Roman" w:cs="Times New Roman"/>
          <w:lang w:val="de-DE"/>
        </w:rPr>
        <w:t>dokumentā</w:t>
      </w:r>
      <w:proofErr w:type="spellEnd"/>
      <w:r w:rsidR="003D75B3" w:rsidRPr="00C91762">
        <w:rPr>
          <w:rFonts w:ascii="Times New Roman" w:hAnsi="Times New Roman" w:cs="Times New Roman"/>
          <w:lang w:val="de-DE"/>
        </w:rPr>
        <w:t xml:space="preserve"> </w:t>
      </w:r>
      <w:proofErr w:type="spellStart"/>
      <w:r w:rsidR="003D75B3" w:rsidRPr="00C91762">
        <w:rPr>
          <w:rFonts w:ascii="Times New Roman" w:hAnsi="Times New Roman" w:cs="Times New Roman"/>
          <w:lang w:val="de-DE"/>
        </w:rPr>
        <w:t>ietvertās</w:t>
      </w:r>
      <w:proofErr w:type="spellEnd"/>
      <w:r w:rsidR="003D75B3" w:rsidRPr="00C91762">
        <w:rPr>
          <w:rFonts w:ascii="Times New Roman" w:hAnsi="Times New Roman" w:cs="Times New Roman"/>
          <w:lang w:val="de-DE"/>
        </w:rPr>
        <w:t xml:space="preserve"> </w:t>
      </w:r>
      <w:proofErr w:type="spellStart"/>
      <w:r w:rsidR="003D75B3" w:rsidRPr="00C91762">
        <w:rPr>
          <w:rFonts w:ascii="Times New Roman" w:hAnsi="Times New Roman" w:cs="Times New Roman"/>
          <w:lang w:val="de-DE"/>
        </w:rPr>
        <w:t>tiesiskās</w:t>
      </w:r>
      <w:proofErr w:type="spellEnd"/>
      <w:r w:rsidR="003D75B3" w:rsidRPr="00C91762">
        <w:rPr>
          <w:rFonts w:ascii="Times New Roman" w:hAnsi="Times New Roman" w:cs="Times New Roman"/>
          <w:lang w:val="de-DE"/>
        </w:rPr>
        <w:t xml:space="preserve"> </w:t>
      </w:r>
      <w:proofErr w:type="spellStart"/>
      <w:r w:rsidR="003D75B3" w:rsidRPr="00C91762">
        <w:rPr>
          <w:rFonts w:ascii="Times New Roman" w:hAnsi="Times New Roman" w:cs="Times New Roman"/>
          <w:lang w:val="de-DE"/>
        </w:rPr>
        <w:t>attiecības</w:t>
      </w:r>
      <w:proofErr w:type="spellEnd"/>
      <w:r w:rsidR="003D75B3" w:rsidRPr="00C91762">
        <w:rPr>
          <w:rFonts w:ascii="Times New Roman" w:hAnsi="Times New Roman" w:cs="Times New Roman"/>
          <w:lang w:val="de-DE"/>
        </w:rPr>
        <w:t xml:space="preserve"> </w:t>
      </w:r>
      <w:proofErr w:type="spellStart"/>
      <w:r w:rsidR="003D75B3" w:rsidRPr="00C91762">
        <w:rPr>
          <w:rFonts w:ascii="Times New Roman" w:hAnsi="Times New Roman" w:cs="Times New Roman"/>
          <w:lang w:val="de-DE"/>
        </w:rPr>
        <w:t>jeb</w:t>
      </w:r>
      <w:proofErr w:type="spellEnd"/>
      <w:r w:rsidR="003D75B3" w:rsidRPr="00C91762">
        <w:rPr>
          <w:rFonts w:ascii="Times New Roman" w:hAnsi="Times New Roman" w:cs="Times New Roman"/>
          <w:lang w:val="de-DE"/>
        </w:rPr>
        <w:t xml:space="preserve"> </w:t>
      </w:r>
      <w:proofErr w:type="spellStart"/>
      <w:r w:rsidR="003D75B3" w:rsidRPr="00C91762">
        <w:rPr>
          <w:rFonts w:ascii="Times New Roman" w:hAnsi="Times New Roman" w:cs="Times New Roman"/>
          <w:lang w:val="de-DE"/>
        </w:rPr>
        <w:t>saturu</w:t>
      </w:r>
      <w:proofErr w:type="spellEnd"/>
      <w:r w:rsidR="003D75B3" w:rsidRPr="00C91762">
        <w:rPr>
          <w:rFonts w:ascii="Times New Roman" w:hAnsi="Times New Roman" w:cs="Times New Roman"/>
          <w:lang w:val="de-DE"/>
        </w:rPr>
        <w:t xml:space="preserve"> (</w:t>
      </w:r>
      <w:proofErr w:type="spellStart"/>
      <w:r w:rsidR="003D75B3" w:rsidRPr="00C91762">
        <w:rPr>
          <w:rFonts w:ascii="Times New Roman" w:hAnsi="Times New Roman" w:cs="Times New Roman"/>
          <w:i/>
          <w:lang w:val="de-DE"/>
        </w:rPr>
        <w:t>negotium</w:t>
      </w:r>
      <w:proofErr w:type="spellEnd"/>
      <w:r w:rsidR="003D75B3" w:rsidRPr="00C91762">
        <w:rPr>
          <w:rFonts w:ascii="Times New Roman" w:hAnsi="Times New Roman" w:cs="Times New Roman"/>
          <w:lang w:val="de-DE"/>
        </w:rPr>
        <w:t xml:space="preserve">), </w:t>
      </w:r>
      <w:proofErr w:type="spellStart"/>
      <w:r w:rsidR="003D75B3" w:rsidRPr="00C91762">
        <w:rPr>
          <w:rFonts w:ascii="Times New Roman" w:hAnsi="Times New Roman" w:cs="Times New Roman"/>
          <w:lang w:val="de-DE"/>
        </w:rPr>
        <w:t>un</w:t>
      </w:r>
      <w:proofErr w:type="spellEnd"/>
      <w:r w:rsidR="003D75B3" w:rsidRPr="00C91762">
        <w:rPr>
          <w:rFonts w:ascii="Times New Roman" w:hAnsi="Times New Roman" w:cs="Times New Roman"/>
          <w:lang w:val="de-DE"/>
        </w:rPr>
        <w:t xml:space="preserve"> </w:t>
      </w:r>
    </w:p>
    <w:p w14:paraId="1D8A54A8" w14:textId="174875A4" w:rsidR="009123C5" w:rsidRPr="00C91762" w:rsidRDefault="003D75B3" w:rsidP="003D75B3">
      <w:pPr>
        <w:jc w:val="both"/>
        <w:rPr>
          <w:rFonts w:ascii="Times New Roman" w:hAnsi="Times New Roman" w:cs="Times New Roman"/>
          <w:lang w:val="de-DE"/>
        </w:rPr>
      </w:pPr>
      <w:r w:rsidRPr="00C91762">
        <w:rPr>
          <w:rFonts w:ascii="Times New Roman" w:hAnsi="Times New Roman" w:cs="Times New Roman"/>
          <w:lang w:val="de-DE"/>
        </w:rPr>
        <w:t>2)</w:t>
      </w:r>
      <w:r w:rsidR="00CB1F8C" w:rsidRPr="00C91762">
        <w:rPr>
          <w:rFonts w:ascii="Times New Roman" w:hAnsi="Times New Roman" w:cs="Times New Roman"/>
          <w:lang w:val="de-DE"/>
        </w:rPr>
        <w:t xml:space="preserve"> </w:t>
      </w:r>
      <w:proofErr w:type="spellStart"/>
      <w:r w:rsidRPr="00C91762">
        <w:rPr>
          <w:rFonts w:ascii="Times New Roman" w:hAnsi="Times New Roman" w:cs="Times New Roman"/>
          <w:lang w:val="de-DE"/>
        </w:rPr>
        <w:t>dokumenta</w:t>
      </w:r>
      <w:proofErr w:type="spellEnd"/>
      <w:r w:rsidRPr="00C91762">
        <w:rPr>
          <w:rFonts w:ascii="Times New Roman" w:hAnsi="Times New Roman" w:cs="Times New Roman"/>
          <w:lang w:val="de-DE"/>
        </w:rPr>
        <w:t xml:space="preserve"> </w:t>
      </w:r>
      <w:proofErr w:type="spellStart"/>
      <w:r w:rsidRPr="00C91762">
        <w:rPr>
          <w:rFonts w:ascii="Times New Roman" w:hAnsi="Times New Roman" w:cs="Times New Roman"/>
          <w:lang w:val="de-DE"/>
        </w:rPr>
        <w:t>ārējo</w:t>
      </w:r>
      <w:proofErr w:type="spellEnd"/>
      <w:r w:rsidRPr="00C91762">
        <w:rPr>
          <w:rFonts w:ascii="Times New Roman" w:hAnsi="Times New Roman" w:cs="Times New Roman"/>
          <w:lang w:val="de-DE"/>
        </w:rPr>
        <w:t xml:space="preserve"> </w:t>
      </w:r>
      <w:proofErr w:type="spellStart"/>
      <w:r w:rsidRPr="00C91762">
        <w:rPr>
          <w:rFonts w:ascii="Times New Roman" w:hAnsi="Times New Roman" w:cs="Times New Roman"/>
          <w:lang w:val="de-DE"/>
        </w:rPr>
        <w:t>ietvaru</w:t>
      </w:r>
      <w:proofErr w:type="spellEnd"/>
      <w:r w:rsidRPr="00C91762">
        <w:rPr>
          <w:rFonts w:ascii="Times New Roman" w:hAnsi="Times New Roman" w:cs="Times New Roman"/>
          <w:lang w:val="de-DE"/>
        </w:rPr>
        <w:t xml:space="preserve"> </w:t>
      </w:r>
      <w:proofErr w:type="spellStart"/>
      <w:r w:rsidRPr="00C91762">
        <w:rPr>
          <w:rFonts w:ascii="Times New Roman" w:hAnsi="Times New Roman" w:cs="Times New Roman"/>
          <w:lang w:val="de-DE"/>
        </w:rPr>
        <w:t>jeb</w:t>
      </w:r>
      <w:proofErr w:type="spellEnd"/>
      <w:r w:rsidRPr="00C91762">
        <w:rPr>
          <w:rFonts w:ascii="Times New Roman" w:hAnsi="Times New Roman" w:cs="Times New Roman"/>
          <w:lang w:val="de-DE"/>
        </w:rPr>
        <w:t xml:space="preserve"> </w:t>
      </w:r>
      <w:proofErr w:type="spellStart"/>
      <w:r w:rsidRPr="00C91762">
        <w:rPr>
          <w:rFonts w:ascii="Times New Roman" w:hAnsi="Times New Roman" w:cs="Times New Roman"/>
          <w:lang w:val="de-DE"/>
        </w:rPr>
        <w:t>formu</w:t>
      </w:r>
      <w:proofErr w:type="spellEnd"/>
      <w:r w:rsidRPr="00C91762">
        <w:rPr>
          <w:rFonts w:ascii="Times New Roman" w:hAnsi="Times New Roman" w:cs="Times New Roman"/>
          <w:lang w:val="de-DE"/>
        </w:rPr>
        <w:t xml:space="preserve"> (</w:t>
      </w:r>
      <w:proofErr w:type="spellStart"/>
      <w:r w:rsidRPr="00C91762">
        <w:rPr>
          <w:rFonts w:ascii="Times New Roman" w:hAnsi="Times New Roman" w:cs="Times New Roman"/>
          <w:i/>
          <w:lang w:val="de-DE"/>
        </w:rPr>
        <w:t>instrumentum</w:t>
      </w:r>
      <w:proofErr w:type="spellEnd"/>
      <w:r w:rsidRPr="00C91762">
        <w:rPr>
          <w:rFonts w:ascii="Times New Roman" w:hAnsi="Times New Roman" w:cs="Times New Roman"/>
          <w:lang w:val="de-DE"/>
        </w:rPr>
        <w:t xml:space="preserve">), </w:t>
      </w:r>
      <w:proofErr w:type="spellStart"/>
      <w:r w:rsidRPr="00C91762">
        <w:rPr>
          <w:rFonts w:ascii="Times New Roman" w:hAnsi="Times New Roman" w:cs="Times New Roman"/>
          <w:lang w:val="de-DE"/>
        </w:rPr>
        <w:t>kas</w:t>
      </w:r>
      <w:proofErr w:type="spellEnd"/>
      <w:r w:rsidRPr="00C91762">
        <w:rPr>
          <w:rFonts w:ascii="Times New Roman" w:hAnsi="Times New Roman" w:cs="Times New Roman"/>
          <w:lang w:val="de-DE"/>
        </w:rPr>
        <w:t xml:space="preserve"> </w:t>
      </w:r>
      <w:proofErr w:type="spellStart"/>
      <w:r w:rsidRPr="00C91762">
        <w:rPr>
          <w:rFonts w:ascii="Times New Roman" w:hAnsi="Times New Roman" w:cs="Times New Roman"/>
          <w:lang w:val="de-DE"/>
        </w:rPr>
        <w:t>sevī</w:t>
      </w:r>
      <w:proofErr w:type="spellEnd"/>
      <w:r w:rsidRPr="00C91762">
        <w:rPr>
          <w:rFonts w:ascii="Times New Roman" w:hAnsi="Times New Roman" w:cs="Times New Roman"/>
          <w:lang w:val="de-DE"/>
        </w:rPr>
        <w:t xml:space="preserve"> </w:t>
      </w:r>
      <w:proofErr w:type="spellStart"/>
      <w:r w:rsidRPr="00C91762">
        <w:rPr>
          <w:rFonts w:ascii="Times New Roman" w:hAnsi="Times New Roman" w:cs="Times New Roman"/>
          <w:lang w:val="de-DE"/>
        </w:rPr>
        <w:t>ietver</w:t>
      </w:r>
      <w:proofErr w:type="spellEnd"/>
      <w:r w:rsidRPr="00C91762">
        <w:rPr>
          <w:rFonts w:ascii="Times New Roman" w:hAnsi="Times New Roman" w:cs="Times New Roman"/>
          <w:lang w:val="de-DE"/>
        </w:rPr>
        <w:t xml:space="preserve"> </w:t>
      </w:r>
      <w:proofErr w:type="spellStart"/>
      <w:r w:rsidRPr="00C91762">
        <w:rPr>
          <w:rFonts w:ascii="Times New Roman" w:hAnsi="Times New Roman" w:cs="Times New Roman"/>
          <w:lang w:val="de-DE"/>
        </w:rPr>
        <w:t>šī</w:t>
      </w:r>
      <w:proofErr w:type="spellEnd"/>
      <w:r w:rsidRPr="00C91762">
        <w:rPr>
          <w:rFonts w:ascii="Times New Roman" w:hAnsi="Times New Roman" w:cs="Times New Roman"/>
          <w:lang w:val="de-DE"/>
        </w:rPr>
        <w:t xml:space="preserve"> </w:t>
      </w:r>
      <w:proofErr w:type="spellStart"/>
      <w:r w:rsidRPr="00C91762">
        <w:rPr>
          <w:rFonts w:ascii="Times New Roman" w:hAnsi="Times New Roman" w:cs="Times New Roman"/>
          <w:lang w:val="de-DE"/>
        </w:rPr>
        <w:t>dokumenta</w:t>
      </w:r>
      <w:proofErr w:type="spellEnd"/>
      <w:r w:rsidRPr="00C91762">
        <w:rPr>
          <w:rFonts w:ascii="Times New Roman" w:hAnsi="Times New Roman" w:cs="Times New Roman"/>
          <w:lang w:val="de-DE"/>
        </w:rPr>
        <w:t xml:space="preserve"> </w:t>
      </w:r>
      <w:proofErr w:type="spellStart"/>
      <w:r w:rsidRPr="00C91762">
        <w:rPr>
          <w:rFonts w:ascii="Times New Roman" w:hAnsi="Times New Roman" w:cs="Times New Roman"/>
          <w:lang w:val="de-DE"/>
        </w:rPr>
        <w:t>izmantošanu</w:t>
      </w:r>
      <w:proofErr w:type="spellEnd"/>
      <w:r w:rsidRPr="00C91762">
        <w:rPr>
          <w:rFonts w:ascii="Times New Roman" w:hAnsi="Times New Roman" w:cs="Times New Roman"/>
          <w:lang w:val="de-DE"/>
        </w:rPr>
        <w:t xml:space="preserve"> </w:t>
      </w:r>
      <w:proofErr w:type="spellStart"/>
      <w:r w:rsidRPr="00C91762">
        <w:rPr>
          <w:rFonts w:ascii="Times New Roman" w:hAnsi="Times New Roman" w:cs="Times New Roman"/>
          <w:lang w:val="de-DE"/>
        </w:rPr>
        <w:t>kā</w:t>
      </w:r>
      <w:proofErr w:type="spellEnd"/>
      <w:r w:rsidRPr="00C91762">
        <w:rPr>
          <w:rFonts w:ascii="Times New Roman" w:hAnsi="Times New Roman" w:cs="Times New Roman"/>
          <w:lang w:val="de-DE"/>
        </w:rPr>
        <w:t xml:space="preserve"> </w:t>
      </w:r>
      <w:proofErr w:type="spellStart"/>
      <w:r w:rsidRPr="00C91762">
        <w:rPr>
          <w:rFonts w:ascii="Times New Roman" w:hAnsi="Times New Roman" w:cs="Times New Roman"/>
          <w:lang w:val="de-DE"/>
        </w:rPr>
        <w:t>pierādījumu</w:t>
      </w:r>
      <w:proofErr w:type="spellEnd"/>
      <w:r w:rsidRPr="00C91762">
        <w:rPr>
          <w:rFonts w:ascii="Times New Roman" w:hAnsi="Times New Roman" w:cs="Times New Roman"/>
          <w:lang w:val="de-DE"/>
        </w:rPr>
        <w:t>.</w:t>
      </w:r>
      <w:r w:rsidRPr="00C91762">
        <w:rPr>
          <w:rStyle w:val="FootnoteReference"/>
          <w:rFonts w:ascii="Times New Roman" w:hAnsi="Times New Roman" w:cs="Times New Roman"/>
        </w:rPr>
        <w:footnoteReference w:id="94"/>
      </w:r>
    </w:p>
    <w:p w14:paraId="7B601695" w14:textId="77777777" w:rsidR="00114953" w:rsidRPr="00C91762" w:rsidRDefault="00114953" w:rsidP="00114953">
      <w:pPr>
        <w:jc w:val="both"/>
        <w:rPr>
          <w:rFonts w:ascii="Times New Roman" w:hAnsi="Times New Roman" w:cs="Times New Roman"/>
          <w:lang w:val="de-DE"/>
        </w:rPr>
      </w:pPr>
    </w:p>
    <w:p w14:paraId="171EDF95" w14:textId="35566EE7" w:rsidR="003D75B3" w:rsidRPr="000C7C76" w:rsidRDefault="003D75B3" w:rsidP="00114953">
      <w:pPr>
        <w:jc w:val="both"/>
        <w:rPr>
          <w:rFonts w:ascii="Times New Roman" w:hAnsi="Times New Roman" w:cs="Times New Roman"/>
          <w:b/>
          <w:lang w:val="de-DE"/>
        </w:rPr>
      </w:pPr>
      <w:proofErr w:type="spellStart"/>
      <w:r w:rsidRPr="00C91762">
        <w:rPr>
          <w:rFonts w:ascii="Times New Roman" w:hAnsi="Times New Roman" w:cs="Times New Roman"/>
          <w:b/>
          <w:lang w:val="de-DE"/>
        </w:rPr>
        <w:t>Satura</w:t>
      </w:r>
      <w:proofErr w:type="spellEnd"/>
      <w:r w:rsidRPr="00C91762">
        <w:rPr>
          <w:rFonts w:ascii="Times New Roman" w:hAnsi="Times New Roman" w:cs="Times New Roman"/>
          <w:b/>
          <w:lang w:val="de-DE"/>
        </w:rPr>
        <w:t xml:space="preserve"> </w:t>
      </w:r>
      <w:proofErr w:type="spellStart"/>
      <w:r w:rsidRPr="00C91762">
        <w:rPr>
          <w:rFonts w:ascii="Times New Roman" w:hAnsi="Times New Roman" w:cs="Times New Roman"/>
          <w:b/>
          <w:lang w:val="de-DE"/>
        </w:rPr>
        <w:t>prasības</w:t>
      </w:r>
      <w:proofErr w:type="spellEnd"/>
      <w:r w:rsidR="00E77EAD" w:rsidRPr="00C91762">
        <w:rPr>
          <w:rFonts w:ascii="Times New Roman" w:hAnsi="Times New Roman" w:cs="Times New Roman"/>
          <w:b/>
          <w:lang w:val="de-DE"/>
        </w:rPr>
        <w:t>:</w:t>
      </w:r>
      <w:r w:rsidR="00E77EAD" w:rsidRPr="000C7C76">
        <w:rPr>
          <w:rFonts w:ascii="Times New Roman" w:hAnsi="Times New Roman" w:cs="Times New Roman"/>
          <w:b/>
          <w:lang w:val="de-DE"/>
        </w:rPr>
        <w:t xml:space="preserve"> </w:t>
      </w:r>
    </w:p>
    <w:p w14:paraId="7D2FFEFF" w14:textId="77777777" w:rsidR="00E77EAD" w:rsidRPr="000C7C76" w:rsidRDefault="00E77EAD" w:rsidP="00114953">
      <w:pPr>
        <w:jc w:val="both"/>
        <w:rPr>
          <w:rFonts w:ascii="Times New Roman" w:hAnsi="Times New Roman" w:cs="Times New Roman"/>
          <w:lang w:val="de-DE"/>
        </w:rPr>
      </w:pPr>
    </w:p>
    <w:p w14:paraId="304F4AFD" w14:textId="4B11C81C" w:rsidR="00114953" w:rsidRPr="00C91762" w:rsidRDefault="00114953" w:rsidP="00114953">
      <w:pPr>
        <w:ind w:firstLine="708"/>
        <w:jc w:val="both"/>
        <w:rPr>
          <w:rFonts w:ascii="Times New Roman" w:hAnsi="Times New Roman" w:cs="Arial"/>
          <w:color w:val="323233"/>
          <w:lang w:val="de-DE"/>
        </w:rPr>
      </w:pPr>
      <w:proofErr w:type="spellStart"/>
      <w:r w:rsidRPr="000C7C76">
        <w:rPr>
          <w:rFonts w:ascii="Times New Roman" w:hAnsi="Times New Roman" w:cs="Times New Roman"/>
          <w:lang w:val="de-DE"/>
        </w:rPr>
        <w:t>Attiecībā</w:t>
      </w:r>
      <w:proofErr w:type="spellEnd"/>
      <w:r w:rsidRPr="000C7C76">
        <w:rPr>
          <w:rFonts w:ascii="Times New Roman" w:hAnsi="Times New Roman" w:cs="Times New Roman"/>
          <w:lang w:val="de-DE"/>
        </w:rPr>
        <w:t xml:space="preserve"> </w:t>
      </w:r>
      <w:proofErr w:type="spellStart"/>
      <w:r w:rsidRPr="000C7C76">
        <w:rPr>
          <w:rFonts w:ascii="Times New Roman" w:hAnsi="Times New Roman" w:cs="Times New Roman"/>
          <w:lang w:val="de-DE"/>
        </w:rPr>
        <w:t>uz</w:t>
      </w:r>
      <w:proofErr w:type="spellEnd"/>
      <w:r w:rsidRPr="000C7C76">
        <w:rPr>
          <w:rFonts w:ascii="Times New Roman" w:hAnsi="Times New Roman" w:cs="Times New Roman"/>
          <w:lang w:val="de-DE"/>
        </w:rPr>
        <w:t xml:space="preserve"> </w:t>
      </w:r>
      <w:proofErr w:type="spellStart"/>
      <w:r w:rsidRPr="000C7C76">
        <w:rPr>
          <w:rFonts w:ascii="Times New Roman" w:hAnsi="Times New Roman" w:cs="Times New Roman"/>
          <w:lang w:val="de-DE"/>
        </w:rPr>
        <w:t>ārvalsts</w:t>
      </w:r>
      <w:proofErr w:type="spellEnd"/>
      <w:r w:rsidRPr="000C7C76">
        <w:rPr>
          <w:rFonts w:ascii="Times New Roman" w:hAnsi="Times New Roman" w:cs="Times New Roman"/>
          <w:lang w:val="de-DE"/>
        </w:rPr>
        <w:t xml:space="preserve"> </w:t>
      </w:r>
      <w:proofErr w:type="spellStart"/>
      <w:r w:rsidRPr="000C7C76">
        <w:rPr>
          <w:rFonts w:ascii="Times New Roman" w:hAnsi="Times New Roman" w:cs="Times New Roman"/>
          <w:lang w:val="de-DE"/>
        </w:rPr>
        <w:t>publiskā</w:t>
      </w:r>
      <w:proofErr w:type="spellEnd"/>
      <w:r w:rsidRPr="000C7C76">
        <w:rPr>
          <w:rFonts w:ascii="Times New Roman" w:hAnsi="Times New Roman" w:cs="Times New Roman"/>
          <w:lang w:val="de-DE"/>
        </w:rPr>
        <w:t xml:space="preserve"> </w:t>
      </w:r>
      <w:proofErr w:type="spellStart"/>
      <w:r w:rsidRPr="000C7C76">
        <w:rPr>
          <w:rFonts w:ascii="Times New Roman" w:hAnsi="Times New Roman" w:cs="Times New Roman"/>
          <w:lang w:val="de-DE"/>
        </w:rPr>
        <w:t>dokumenta</w:t>
      </w:r>
      <w:proofErr w:type="spellEnd"/>
      <w:r w:rsidRPr="000C7C76">
        <w:rPr>
          <w:rFonts w:ascii="Times New Roman" w:hAnsi="Times New Roman" w:cs="Times New Roman"/>
          <w:lang w:val="de-DE"/>
        </w:rPr>
        <w:t xml:space="preserve"> </w:t>
      </w:r>
      <w:proofErr w:type="spellStart"/>
      <w:r w:rsidRPr="000C7C76">
        <w:rPr>
          <w:rFonts w:ascii="Times New Roman" w:hAnsi="Times New Roman" w:cs="Times New Roman"/>
          <w:u w:val="single"/>
          <w:lang w:val="de-DE"/>
        </w:rPr>
        <w:t>satura</w:t>
      </w:r>
      <w:proofErr w:type="spellEnd"/>
      <w:r w:rsidRPr="000C7C76">
        <w:rPr>
          <w:rFonts w:ascii="Times New Roman" w:hAnsi="Times New Roman" w:cs="Times New Roman"/>
          <w:u w:val="single"/>
          <w:lang w:val="de-DE"/>
        </w:rPr>
        <w:t xml:space="preserve"> </w:t>
      </w:r>
      <w:proofErr w:type="spellStart"/>
      <w:r w:rsidRPr="000C7C76">
        <w:rPr>
          <w:rFonts w:ascii="Times New Roman" w:hAnsi="Times New Roman" w:cs="Times New Roman"/>
          <w:u w:val="single"/>
          <w:lang w:val="de-DE"/>
        </w:rPr>
        <w:t>pareizību</w:t>
      </w:r>
      <w:proofErr w:type="spellEnd"/>
      <w:r w:rsidRPr="000C7C76">
        <w:rPr>
          <w:rFonts w:ascii="Times New Roman" w:hAnsi="Times New Roman" w:cs="Times New Roman"/>
          <w:lang w:val="de-DE"/>
        </w:rPr>
        <w:t xml:space="preserve"> Latvijas </w:t>
      </w:r>
      <w:proofErr w:type="spellStart"/>
      <w:r w:rsidRPr="000C7C76">
        <w:rPr>
          <w:rFonts w:ascii="Times New Roman" w:hAnsi="Times New Roman" w:cs="Times New Roman"/>
          <w:lang w:val="de-DE"/>
        </w:rPr>
        <w:t>normatīvajos</w:t>
      </w:r>
      <w:proofErr w:type="spellEnd"/>
      <w:r w:rsidR="007463DB" w:rsidRPr="000C7C76">
        <w:rPr>
          <w:rFonts w:ascii="Times New Roman" w:hAnsi="Times New Roman" w:cs="Times New Roman"/>
          <w:lang w:val="de-DE"/>
        </w:rPr>
        <w:t xml:space="preserve"> </w:t>
      </w:r>
      <w:proofErr w:type="spellStart"/>
      <w:r w:rsidR="007463DB" w:rsidRPr="000C7C76">
        <w:rPr>
          <w:rFonts w:ascii="Times New Roman" w:hAnsi="Times New Roman" w:cs="Times New Roman"/>
          <w:lang w:val="de-DE"/>
        </w:rPr>
        <w:t>tiesību</w:t>
      </w:r>
      <w:proofErr w:type="spellEnd"/>
      <w:r w:rsidR="007463DB" w:rsidRPr="000C7C76">
        <w:rPr>
          <w:rFonts w:ascii="Times New Roman" w:hAnsi="Times New Roman" w:cs="Times New Roman"/>
          <w:lang w:val="de-DE"/>
        </w:rPr>
        <w:t xml:space="preserve"> </w:t>
      </w:r>
      <w:proofErr w:type="spellStart"/>
      <w:r w:rsidR="007463DB" w:rsidRPr="000C7C76">
        <w:rPr>
          <w:rFonts w:ascii="Times New Roman" w:hAnsi="Times New Roman" w:cs="Times New Roman"/>
          <w:lang w:val="de-DE"/>
        </w:rPr>
        <w:t>aktos</w:t>
      </w:r>
      <w:proofErr w:type="spellEnd"/>
      <w:r w:rsidR="007463DB" w:rsidRPr="000C7C76">
        <w:rPr>
          <w:rFonts w:ascii="Times New Roman" w:hAnsi="Times New Roman" w:cs="Times New Roman"/>
          <w:lang w:val="de-DE"/>
        </w:rPr>
        <w:t xml:space="preserve"> </w:t>
      </w:r>
      <w:proofErr w:type="spellStart"/>
      <w:r w:rsidR="007463DB" w:rsidRPr="000C7C76">
        <w:rPr>
          <w:rFonts w:ascii="Times New Roman" w:hAnsi="Times New Roman" w:cs="Times New Roman"/>
          <w:lang w:val="de-DE"/>
        </w:rPr>
        <w:t>nekas</w:t>
      </w:r>
      <w:proofErr w:type="spellEnd"/>
      <w:r w:rsidR="007463DB" w:rsidRPr="000C7C76">
        <w:rPr>
          <w:rFonts w:ascii="Times New Roman" w:hAnsi="Times New Roman" w:cs="Times New Roman"/>
          <w:lang w:val="de-DE"/>
        </w:rPr>
        <w:t xml:space="preserve"> </w:t>
      </w:r>
      <w:proofErr w:type="spellStart"/>
      <w:r w:rsidR="007463DB" w:rsidRPr="000C7C76">
        <w:rPr>
          <w:rFonts w:ascii="Times New Roman" w:hAnsi="Times New Roman" w:cs="Times New Roman"/>
          <w:lang w:val="de-DE"/>
        </w:rPr>
        <w:t>nav</w:t>
      </w:r>
      <w:proofErr w:type="spellEnd"/>
      <w:r w:rsidRPr="000C7C76">
        <w:rPr>
          <w:rFonts w:ascii="Times New Roman" w:hAnsi="Times New Roman" w:cs="Times New Roman"/>
          <w:lang w:val="de-DE"/>
        </w:rPr>
        <w:t xml:space="preserve"> </w:t>
      </w:r>
      <w:proofErr w:type="spellStart"/>
      <w:r w:rsidRPr="000C7C76">
        <w:rPr>
          <w:rFonts w:ascii="Times New Roman" w:hAnsi="Times New Roman" w:cs="Times New Roman"/>
          <w:lang w:val="de-DE"/>
        </w:rPr>
        <w:t>teikts</w:t>
      </w:r>
      <w:proofErr w:type="spellEnd"/>
      <w:r w:rsidRPr="000C7C76">
        <w:rPr>
          <w:rFonts w:ascii="Times New Roman" w:hAnsi="Times New Roman" w:cs="Times New Roman"/>
          <w:lang w:val="de-DE"/>
        </w:rPr>
        <w:t xml:space="preserve">. </w:t>
      </w:r>
      <w:proofErr w:type="spellStart"/>
      <w:r w:rsidRPr="000C7C76">
        <w:rPr>
          <w:rFonts w:ascii="Times New Roman" w:hAnsi="Times New Roman" w:cs="Times New Roman"/>
          <w:lang w:val="de-DE"/>
        </w:rPr>
        <w:t>Arī</w:t>
      </w:r>
      <w:proofErr w:type="spellEnd"/>
      <w:r w:rsidRPr="000C7C76">
        <w:rPr>
          <w:rFonts w:ascii="Times New Roman" w:hAnsi="Times New Roman" w:cs="Times New Roman"/>
          <w:lang w:val="de-DE"/>
        </w:rPr>
        <w:t xml:space="preserve"> Latvijas </w:t>
      </w:r>
      <w:proofErr w:type="spellStart"/>
      <w:r w:rsidRPr="000C7C76">
        <w:rPr>
          <w:rFonts w:ascii="Times New Roman" w:hAnsi="Times New Roman" w:cs="Times New Roman"/>
          <w:lang w:val="de-DE"/>
        </w:rPr>
        <w:t>tiesību</w:t>
      </w:r>
      <w:proofErr w:type="spellEnd"/>
      <w:r w:rsidRPr="000C7C76">
        <w:rPr>
          <w:rFonts w:ascii="Times New Roman" w:hAnsi="Times New Roman" w:cs="Times New Roman"/>
          <w:lang w:val="de-DE"/>
        </w:rPr>
        <w:t xml:space="preserve"> </w:t>
      </w:r>
      <w:proofErr w:type="spellStart"/>
      <w:r w:rsidRPr="000C7C76">
        <w:rPr>
          <w:rFonts w:ascii="Times New Roman" w:hAnsi="Times New Roman" w:cs="Times New Roman"/>
          <w:lang w:val="de-DE"/>
        </w:rPr>
        <w:t>zinātnē</w:t>
      </w:r>
      <w:proofErr w:type="spellEnd"/>
      <w:r w:rsidRPr="000C7C76">
        <w:rPr>
          <w:rFonts w:ascii="Times New Roman" w:hAnsi="Times New Roman" w:cs="Times New Roman"/>
          <w:lang w:val="de-DE"/>
        </w:rPr>
        <w:t xml:space="preserve"> </w:t>
      </w:r>
      <w:proofErr w:type="spellStart"/>
      <w:r w:rsidRPr="000C7C76">
        <w:rPr>
          <w:rFonts w:ascii="Times New Roman" w:hAnsi="Times New Roman" w:cs="Times New Roman"/>
          <w:lang w:val="de-DE"/>
        </w:rPr>
        <w:t>līdz</w:t>
      </w:r>
      <w:proofErr w:type="spellEnd"/>
      <w:r w:rsidRPr="000C7C76">
        <w:rPr>
          <w:rFonts w:ascii="Times New Roman" w:hAnsi="Times New Roman" w:cs="Times New Roman"/>
          <w:lang w:val="de-DE"/>
        </w:rPr>
        <w:t xml:space="preserve"> </w:t>
      </w:r>
      <w:proofErr w:type="spellStart"/>
      <w:r w:rsidRPr="000C7C76">
        <w:rPr>
          <w:rFonts w:ascii="Times New Roman" w:hAnsi="Times New Roman" w:cs="Times New Roman"/>
          <w:lang w:val="de-DE"/>
        </w:rPr>
        <w:t>šim</w:t>
      </w:r>
      <w:proofErr w:type="spellEnd"/>
      <w:r w:rsidRPr="000C7C76">
        <w:rPr>
          <w:rFonts w:ascii="Times New Roman" w:hAnsi="Times New Roman" w:cs="Times New Roman"/>
          <w:lang w:val="de-DE"/>
        </w:rPr>
        <w:t xml:space="preserve"> </w:t>
      </w:r>
      <w:proofErr w:type="spellStart"/>
      <w:r w:rsidRPr="000C7C76">
        <w:rPr>
          <w:rFonts w:ascii="Times New Roman" w:hAnsi="Times New Roman" w:cs="Times New Roman"/>
          <w:lang w:val="de-DE"/>
        </w:rPr>
        <w:t>šis</w:t>
      </w:r>
      <w:proofErr w:type="spellEnd"/>
      <w:r w:rsidRPr="000C7C76">
        <w:rPr>
          <w:rFonts w:ascii="Times New Roman" w:hAnsi="Times New Roman" w:cs="Times New Roman"/>
          <w:lang w:val="de-DE"/>
        </w:rPr>
        <w:t xml:space="preserve"> </w:t>
      </w:r>
      <w:proofErr w:type="spellStart"/>
      <w:r w:rsidRPr="000C7C76">
        <w:rPr>
          <w:rFonts w:ascii="Times New Roman" w:hAnsi="Times New Roman" w:cs="Times New Roman"/>
          <w:lang w:val="de-DE"/>
        </w:rPr>
        <w:t>jautājums</w:t>
      </w:r>
      <w:proofErr w:type="spellEnd"/>
      <w:r w:rsidRPr="000C7C76">
        <w:rPr>
          <w:rFonts w:ascii="Times New Roman" w:hAnsi="Times New Roman" w:cs="Times New Roman"/>
          <w:lang w:val="de-DE"/>
        </w:rPr>
        <w:t xml:space="preserve"> </w:t>
      </w:r>
      <w:proofErr w:type="spellStart"/>
      <w:r w:rsidRPr="000C7C76">
        <w:rPr>
          <w:rFonts w:ascii="Times New Roman" w:hAnsi="Times New Roman" w:cs="Times New Roman"/>
          <w:lang w:val="de-DE"/>
        </w:rPr>
        <w:t>nav</w:t>
      </w:r>
      <w:proofErr w:type="spellEnd"/>
      <w:r w:rsidRPr="000C7C76">
        <w:rPr>
          <w:rFonts w:ascii="Times New Roman" w:hAnsi="Times New Roman" w:cs="Times New Roman"/>
          <w:lang w:val="de-DE"/>
        </w:rPr>
        <w:t xml:space="preserve"> </w:t>
      </w:r>
      <w:proofErr w:type="spellStart"/>
      <w:r w:rsidRPr="000C7C76">
        <w:rPr>
          <w:rFonts w:ascii="Times New Roman" w:hAnsi="Times New Roman" w:cs="Times New Roman"/>
          <w:lang w:val="de-DE"/>
        </w:rPr>
        <w:t>ticis</w:t>
      </w:r>
      <w:proofErr w:type="spellEnd"/>
      <w:r w:rsidRPr="000C7C76">
        <w:rPr>
          <w:rFonts w:ascii="Times New Roman" w:hAnsi="Times New Roman" w:cs="Times New Roman"/>
          <w:lang w:val="de-DE"/>
        </w:rPr>
        <w:t xml:space="preserve"> </w:t>
      </w:r>
      <w:proofErr w:type="spellStart"/>
      <w:r w:rsidRPr="000C7C76">
        <w:rPr>
          <w:rFonts w:ascii="Times New Roman" w:hAnsi="Times New Roman" w:cs="Times New Roman"/>
          <w:lang w:val="de-DE"/>
        </w:rPr>
        <w:t>apskatīts</w:t>
      </w:r>
      <w:proofErr w:type="spellEnd"/>
      <w:r w:rsidRPr="000C7C76">
        <w:rPr>
          <w:rFonts w:ascii="Times New Roman" w:hAnsi="Times New Roman" w:cs="Times New Roman"/>
          <w:lang w:val="de-DE"/>
        </w:rPr>
        <w:t xml:space="preserve">. </w:t>
      </w:r>
      <w:proofErr w:type="spellStart"/>
      <w:r w:rsidRPr="000C7C76">
        <w:rPr>
          <w:rFonts w:ascii="Times New Roman" w:hAnsi="Times New Roman" w:cs="Times New Roman"/>
          <w:lang w:val="de-DE"/>
        </w:rPr>
        <w:t>Taču</w:t>
      </w:r>
      <w:proofErr w:type="spellEnd"/>
      <w:r w:rsidRPr="000C7C76">
        <w:rPr>
          <w:rFonts w:ascii="Times New Roman" w:hAnsi="Times New Roman" w:cs="Times New Roman"/>
          <w:lang w:val="de-DE"/>
        </w:rPr>
        <w:t xml:space="preserve"> </w:t>
      </w:r>
      <w:proofErr w:type="spellStart"/>
      <w:r w:rsidRPr="000C7C76">
        <w:rPr>
          <w:rFonts w:ascii="Times New Roman" w:hAnsi="Times New Roman" w:cs="Times New Roman"/>
          <w:b/>
          <w:lang w:val="de-DE"/>
        </w:rPr>
        <w:t>vācu</w:t>
      </w:r>
      <w:proofErr w:type="spellEnd"/>
      <w:r w:rsidRPr="000C7C76">
        <w:rPr>
          <w:rFonts w:ascii="Times New Roman" w:hAnsi="Times New Roman" w:cs="Times New Roman"/>
          <w:b/>
          <w:lang w:val="de-DE"/>
        </w:rPr>
        <w:t xml:space="preserve"> </w:t>
      </w:r>
      <w:proofErr w:type="spellStart"/>
      <w:r w:rsidRPr="000C7C76">
        <w:rPr>
          <w:rFonts w:ascii="Times New Roman" w:hAnsi="Times New Roman" w:cs="Times New Roman"/>
          <w:lang w:val="de-DE"/>
        </w:rPr>
        <w:t>tiesību</w:t>
      </w:r>
      <w:proofErr w:type="spellEnd"/>
      <w:r w:rsidRPr="000C7C76">
        <w:rPr>
          <w:rFonts w:ascii="Times New Roman" w:hAnsi="Times New Roman" w:cs="Times New Roman"/>
          <w:lang w:val="de-DE"/>
        </w:rPr>
        <w:t xml:space="preserve"> </w:t>
      </w:r>
      <w:proofErr w:type="spellStart"/>
      <w:r w:rsidRPr="000C7C76">
        <w:rPr>
          <w:rFonts w:ascii="Times New Roman" w:hAnsi="Times New Roman" w:cs="Times New Roman"/>
          <w:lang w:val="de-DE"/>
        </w:rPr>
        <w:t>zinātnieki</w:t>
      </w:r>
      <w:proofErr w:type="spellEnd"/>
      <w:r w:rsidRPr="000C7C76">
        <w:rPr>
          <w:rFonts w:ascii="Times New Roman" w:hAnsi="Times New Roman" w:cs="Times New Roman"/>
          <w:lang w:val="de-DE"/>
        </w:rPr>
        <w:t xml:space="preserve"> </w:t>
      </w:r>
      <w:proofErr w:type="spellStart"/>
      <w:r w:rsidRPr="000C7C76">
        <w:rPr>
          <w:rFonts w:ascii="Times New Roman" w:hAnsi="Times New Roman" w:cs="Times New Roman"/>
          <w:lang w:val="de-DE"/>
        </w:rPr>
        <w:t>šo</w:t>
      </w:r>
      <w:proofErr w:type="spellEnd"/>
      <w:r w:rsidRPr="000C7C76">
        <w:rPr>
          <w:rFonts w:ascii="Times New Roman" w:hAnsi="Times New Roman" w:cs="Times New Roman"/>
          <w:lang w:val="de-DE"/>
        </w:rPr>
        <w:t xml:space="preserve"> </w:t>
      </w:r>
      <w:proofErr w:type="spellStart"/>
      <w:r w:rsidRPr="000C7C76">
        <w:rPr>
          <w:rFonts w:ascii="Times New Roman" w:hAnsi="Times New Roman" w:cs="Times New Roman"/>
          <w:lang w:val="de-DE"/>
        </w:rPr>
        <w:t>problēmu</w:t>
      </w:r>
      <w:proofErr w:type="spellEnd"/>
      <w:r w:rsidRPr="000C7C76">
        <w:rPr>
          <w:rFonts w:ascii="Times New Roman" w:hAnsi="Times New Roman" w:cs="Times New Roman"/>
          <w:lang w:val="de-DE"/>
        </w:rPr>
        <w:t xml:space="preserve"> </w:t>
      </w:r>
      <w:proofErr w:type="spellStart"/>
      <w:r w:rsidRPr="000C7C76">
        <w:rPr>
          <w:rFonts w:ascii="Times New Roman" w:hAnsi="Times New Roman" w:cs="Times New Roman"/>
          <w:lang w:val="de-DE"/>
        </w:rPr>
        <w:t>piedāvā</w:t>
      </w:r>
      <w:proofErr w:type="spellEnd"/>
      <w:r w:rsidRPr="000C7C76">
        <w:rPr>
          <w:rFonts w:ascii="Times New Roman" w:hAnsi="Times New Roman" w:cs="Times New Roman"/>
          <w:lang w:val="de-DE"/>
        </w:rPr>
        <w:t xml:space="preserve"> </w:t>
      </w:r>
      <w:proofErr w:type="spellStart"/>
      <w:r w:rsidRPr="000C7C76">
        <w:rPr>
          <w:rFonts w:ascii="Times New Roman" w:hAnsi="Times New Roman" w:cs="Times New Roman"/>
          <w:lang w:val="de-DE"/>
        </w:rPr>
        <w:t>risināt</w:t>
      </w:r>
      <w:proofErr w:type="spellEnd"/>
      <w:r w:rsidRPr="000C7C76">
        <w:rPr>
          <w:rFonts w:ascii="Times New Roman" w:hAnsi="Times New Roman" w:cs="Times New Roman"/>
          <w:lang w:val="de-DE"/>
        </w:rPr>
        <w:t xml:space="preserve"> </w:t>
      </w:r>
      <w:proofErr w:type="spellStart"/>
      <w:r w:rsidRPr="000C7C76">
        <w:rPr>
          <w:rFonts w:ascii="Times New Roman" w:hAnsi="Times New Roman" w:cs="Times New Roman"/>
          <w:lang w:val="de-DE"/>
        </w:rPr>
        <w:t>sekojoši</w:t>
      </w:r>
      <w:proofErr w:type="spellEnd"/>
      <w:r w:rsidRPr="000C7C76">
        <w:rPr>
          <w:rFonts w:ascii="Times New Roman" w:hAnsi="Times New Roman" w:cs="Times New Roman"/>
          <w:lang w:val="de-DE"/>
        </w:rPr>
        <w:t xml:space="preserve">: </w:t>
      </w:r>
      <w:proofErr w:type="spellStart"/>
      <w:r w:rsidRPr="000C7C76">
        <w:rPr>
          <w:rFonts w:ascii="Times New Roman" w:hAnsi="Times New Roman" w:cs="Times New Roman"/>
          <w:lang w:val="de-DE"/>
        </w:rPr>
        <w:t>kā</w:t>
      </w:r>
      <w:proofErr w:type="spellEnd"/>
      <w:r w:rsidRPr="000C7C76">
        <w:rPr>
          <w:rFonts w:ascii="Times New Roman" w:hAnsi="Times New Roman" w:cs="Times New Roman"/>
          <w:lang w:val="de-DE"/>
        </w:rPr>
        <w:t xml:space="preserve"> </w:t>
      </w:r>
      <w:proofErr w:type="spellStart"/>
      <w:r w:rsidRPr="000C7C76">
        <w:rPr>
          <w:rFonts w:ascii="Times New Roman" w:hAnsi="Times New Roman" w:cs="Times New Roman"/>
          <w:lang w:val="de-DE"/>
        </w:rPr>
        <w:t>jau</w:t>
      </w:r>
      <w:proofErr w:type="spellEnd"/>
      <w:r w:rsidRPr="000C7C76">
        <w:rPr>
          <w:rFonts w:ascii="Times New Roman" w:hAnsi="Times New Roman" w:cs="Times New Roman"/>
          <w:lang w:val="de-DE"/>
        </w:rPr>
        <w:t xml:space="preserve"> </w:t>
      </w:r>
      <w:proofErr w:type="spellStart"/>
      <w:r w:rsidRPr="000C7C76">
        <w:rPr>
          <w:rFonts w:ascii="Times New Roman" w:hAnsi="Times New Roman" w:cs="Times New Roman"/>
          <w:lang w:val="de-DE"/>
        </w:rPr>
        <w:t>iepriekš</w:t>
      </w:r>
      <w:proofErr w:type="spellEnd"/>
      <w:r w:rsidRPr="000C7C76">
        <w:rPr>
          <w:rFonts w:ascii="Times New Roman" w:hAnsi="Times New Roman" w:cs="Times New Roman"/>
          <w:lang w:val="de-DE"/>
        </w:rPr>
        <w:t xml:space="preserve"> </w:t>
      </w:r>
      <w:proofErr w:type="spellStart"/>
      <w:r w:rsidRPr="000C7C76">
        <w:rPr>
          <w:rFonts w:ascii="Times New Roman" w:hAnsi="Times New Roman" w:cs="Times New Roman"/>
          <w:lang w:val="de-DE"/>
        </w:rPr>
        <w:t>tika</w:t>
      </w:r>
      <w:proofErr w:type="spellEnd"/>
      <w:r w:rsidRPr="000C7C76">
        <w:rPr>
          <w:rFonts w:ascii="Times New Roman" w:hAnsi="Times New Roman" w:cs="Times New Roman"/>
          <w:lang w:val="de-DE"/>
        </w:rPr>
        <w:t xml:space="preserve"> </w:t>
      </w:r>
      <w:proofErr w:type="spellStart"/>
      <w:r w:rsidRPr="000C7C76">
        <w:rPr>
          <w:rFonts w:ascii="Times New Roman" w:hAnsi="Times New Roman" w:cs="Times New Roman"/>
          <w:lang w:val="de-DE"/>
        </w:rPr>
        <w:t>norādīts</w:t>
      </w:r>
      <w:proofErr w:type="spellEnd"/>
      <w:r w:rsidRPr="000C7C76">
        <w:rPr>
          <w:rFonts w:ascii="Times New Roman" w:hAnsi="Times New Roman" w:cs="Times New Roman"/>
          <w:lang w:val="de-DE"/>
        </w:rPr>
        <w:t xml:space="preserve">, </w:t>
      </w:r>
      <w:proofErr w:type="spellStart"/>
      <w:r w:rsidRPr="000C7C76">
        <w:rPr>
          <w:rFonts w:ascii="Times New Roman" w:hAnsi="Times New Roman" w:cs="Times New Roman"/>
          <w:lang w:val="de-DE"/>
        </w:rPr>
        <w:t>Vācijas</w:t>
      </w:r>
      <w:proofErr w:type="spellEnd"/>
      <w:r w:rsidRPr="000C7C76">
        <w:rPr>
          <w:rFonts w:ascii="Times New Roman" w:hAnsi="Times New Roman" w:cs="Times New Roman"/>
          <w:lang w:val="de-DE"/>
        </w:rPr>
        <w:t xml:space="preserve"> </w:t>
      </w:r>
      <w:proofErr w:type="spellStart"/>
      <w:r w:rsidRPr="000C7C76">
        <w:rPr>
          <w:rFonts w:ascii="Times New Roman" w:hAnsi="Times New Roman" w:cs="Times New Roman"/>
          <w:lang w:val="de-DE"/>
        </w:rPr>
        <w:t>Civilprocesa</w:t>
      </w:r>
      <w:proofErr w:type="spellEnd"/>
      <w:r w:rsidRPr="000C7C76">
        <w:rPr>
          <w:rFonts w:ascii="Times New Roman" w:hAnsi="Times New Roman" w:cs="Times New Roman"/>
          <w:lang w:val="de-DE"/>
        </w:rPr>
        <w:t xml:space="preserve"> </w:t>
      </w:r>
      <w:proofErr w:type="spellStart"/>
      <w:r w:rsidRPr="000C7C76">
        <w:rPr>
          <w:rFonts w:ascii="Times New Roman" w:hAnsi="Times New Roman" w:cs="Times New Roman"/>
          <w:lang w:val="de-DE"/>
        </w:rPr>
        <w:t>likuma</w:t>
      </w:r>
      <w:proofErr w:type="spellEnd"/>
      <w:r w:rsidRPr="000C7C76">
        <w:rPr>
          <w:rFonts w:ascii="Times New Roman" w:hAnsi="Times New Roman" w:cs="Times New Roman"/>
          <w:lang w:val="de-DE"/>
        </w:rPr>
        <w:t xml:space="preserve"> (</w:t>
      </w:r>
      <w:r w:rsidRPr="000C7C76">
        <w:rPr>
          <w:rFonts w:ascii="Times New Roman" w:hAnsi="Times New Roman" w:cs="Times New Roman"/>
          <w:i/>
          <w:iCs/>
          <w:lang w:val="de-DE"/>
        </w:rPr>
        <w:t>ZPO</w:t>
      </w:r>
      <w:r w:rsidRPr="000C7C76">
        <w:rPr>
          <w:rFonts w:ascii="Times New Roman" w:hAnsi="Times New Roman" w:cs="Times New Roman"/>
          <w:lang w:val="de-DE"/>
        </w:rPr>
        <w:t xml:space="preserve">) 415.pants </w:t>
      </w:r>
      <w:proofErr w:type="spellStart"/>
      <w:r w:rsidRPr="000C7C76">
        <w:rPr>
          <w:rFonts w:ascii="Times New Roman" w:hAnsi="Times New Roman" w:cs="Times New Roman"/>
          <w:lang w:val="de-DE"/>
        </w:rPr>
        <w:t>nosaka</w:t>
      </w:r>
      <w:proofErr w:type="spellEnd"/>
      <w:r w:rsidRPr="000C7C76">
        <w:rPr>
          <w:rFonts w:ascii="Times New Roman" w:hAnsi="Times New Roman" w:cs="Times New Roman"/>
          <w:lang w:val="de-DE"/>
        </w:rPr>
        <w:t xml:space="preserve"> </w:t>
      </w:r>
      <w:proofErr w:type="spellStart"/>
      <w:r w:rsidRPr="000C7C76">
        <w:rPr>
          <w:rFonts w:ascii="Times New Roman" w:hAnsi="Times New Roman" w:cs="Times New Roman"/>
          <w:lang w:val="de-DE"/>
        </w:rPr>
        <w:t>vispārējo</w:t>
      </w:r>
      <w:proofErr w:type="spellEnd"/>
      <w:r w:rsidRPr="000C7C76">
        <w:rPr>
          <w:rFonts w:ascii="Times New Roman" w:hAnsi="Times New Roman" w:cs="Times New Roman"/>
          <w:lang w:val="de-DE"/>
        </w:rPr>
        <w:t xml:space="preserve"> </w:t>
      </w:r>
      <w:proofErr w:type="spellStart"/>
      <w:r w:rsidRPr="000C7C76">
        <w:rPr>
          <w:rFonts w:ascii="Times New Roman" w:hAnsi="Times New Roman" w:cs="Times New Roman"/>
          <w:lang w:val="de-DE"/>
        </w:rPr>
        <w:t>publiska</w:t>
      </w:r>
      <w:proofErr w:type="spellEnd"/>
      <w:r w:rsidRPr="000C7C76">
        <w:rPr>
          <w:rFonts w:ascii="Times New Roman" w:hAnsi="Times New Roman" w:cs="Times New Roman"/>
          <w:lang w:val="de-DE"/>
        </w:rPr>
        <w:t xml:space="preserve"> </w:t>
      </w:r>
      <w:proofErr w:type="spellStart"/>
      <w:r w:rsidRPr="000C7C76">
        <w:rPr>
          <w:rFonts w:ascii="Times New Roman" w:hAnsi="Times New Roman" w:cs="Times New Roman"/>
          <w:lang w:val="de-DE"/>
        </w:rPr>
        <w:t>dokumenta</w:t>
      </w:r>
      <w:proofErr w:type="spellEnd"/>
      <w:r w:rsidRPr="000C7C76">
        <w:rPr>
          <w:rFonts w:ascii="Times New Roman" w:hAnsi="Times New Roman" w:cs="Times New Roman"/>
          <w:lang w:val="de-DE"/>
        </w:rPr>
        <w:t xml:space="preserve"> </w:t>
      </w:r>
      <w:proofErr w:type="spellStart"/>
      <w:r w:rsidRPr="000C7C76">
        <w:rPr>
          <w:rFonts w:ascii="Times New Roman" w:hAnsi="Times New Roman" w:cs="Times New Roman"/>
          <w:lang w:val="de-DE"/>
        </w:rPr>
        <w:t>definīciju</w:t>
      </w:r>
      <w:proofErr w:type="spellEnd"/>
      <w:r w:rsidRPr="000C7C76">
        <w:rPr>
          <w:rFonts w:ascii="Times New Roman" w:hAnsi="Times New Roman" w:cs="Times New Roman"/>
          <w:lang w:val="de-DE"/>
        </w:rPr>
        <w:t xml:space="preserve">, </w:t>
      </w:r>
      <w:proofErr w:type="spellStart"/>
      <w:r w:rsidRPr="000C7C76">
        <w:rPr>
          <w:rFonts w:ascii="Times New Roman" w:hAnsi="Times New Roman" w:cs="Times New Roman"/>
          <w:lang w:val="de-DE"/>
        </w:rPr>
        <w:t>proti</w:t>
      </w:r>
      <w:proofErr w:type="spellEnd"/>
      <w:r w:rsidRPr="000C7C76">
        <w:rPr>
          <w:rFonts w:ascii="Times New Roman" w:hAnsi="Times New Roman" w:cs="Times New Roman"/>
          <w:lang w:val="de-DE"/>
        </w:rPr>
        <w:t xml:space="preserve">, </w:t>
      </w:r>
      <w:proofErr w:type="spellStart"/>
      <w:r w:rsidRPr="000C7C76">
        <w:rPr>
          <w:rFonts w:ascii="Times New Roman" w:hAnsi="Times New Roman" w:cs="Times New Roman"/>
          <w:lang w:val="de-DE"/>
        </w:rPr>
        <w:t>tie</w:t>
      </w:r>
      <w:proofErr w:type="spellEnd"/>
      <w:r w:rsidRPr="000C7C76">
        <w:rPr>
          <w:rFonts w:ascii="Times New Roman" w:hAnsi="Times New Roman" w:cs="Times New Roman"/>
          <w:lang w:val="de-DE"/>
        </w:rPr>
        <w:t xml:space="preserve"> </w:t>
      </w:r>
      <w:proofErr w:type="spellStart"/>
      <w:r w:rsidRPr="000C7C76">
        <w:rPr>
          <w:rFonts w:ascii="Times New Roman" w:hAnsi="Times New Roman" w:cs="Arial"/>
          <w:color w:val="323233"/>
          <w:lang w:val="de-DE"/>
        </w:rPr>
        <w:t>ir</w:t>
      </w:r>
      <w:proofErr w:type="spellEnd"/>
      <w:r w:rsidRPr="000C7C76">
        <w:rPr>
          <w:rFonts w:ascii="Times New Roman" w:hAnsi="Times New Roman" w:cs="Arial"/>
          <w:color w:val="323233"/>
          <w:lang w:val="de-DE"/>
        </w:rPr>
        <w:t xml:space="preserve"> </w:t>
      </w:r>
      <w:proofErr w:type="spellStart"/>
      <w:r w:rsidRPr="000C7C76">
        <w:rPr>
          <w:rFonts w:ascii="Times New Roman" w:hAnsi="Times New Roman" w:cs="Arial"/>
          <w:color w:val="323233"/>
          <w:lang w:val="de-DE"/>
        </w:rPr>
        <w:t>dokumenti</w:t>
      </w:r>
      <w:proofErr w:type="spellEnd"/>
      <w:r w:rsidRPr="000C7C76">
        <w:rPr>
          <w:rFonts w:ascii="Times New Roman" w:hAnsi="Times New Roman" w:cs="Arial"/>
          <w:color w:val="323233"/>
          <w:lang w:val="de-DE"/>
        </w:rPr>
        <w:t xml:space="preserve">, </w:t>
      </w:r>
      <w:proofErr w:type="spellStart"/>
      <w:r w:rsidRPr="000C7C76">
        <w:rPr>
          <w:rFonts w:ascii="Times New Roman" w:hAnsi="Times New Roman" w:cs="Arial"/>
          <w:color w:val="323233"/>
          <w:lang w:val="de-DE"/>
        </w:rPr>
        <w:t>kurus</w:t>
      </w:r>
      <w:proofErr w:type="spellEnd"/>
      <w:r w:rsidRPr="000C7C76">
        <w:rPr>
          <w:rFonts w:ascii="Times New Roman" w:hAnsi="Times New Roman" w:cs="Arial"/>
          <w:color w:val="323233"/>
          <w:lang w:val="de-DE"/>
        </w:rPr>
        <w:t xml:space="preserve"> </w:t>
      </w:r>
      <w:proofErr w:type="spellStart"/>
      <w:r w:rsidRPr="000C7C76">
        <w:rPr>
          <w:rFonts w:ascii="Times New Roman" w:hAnsi="Times New Roman" w:cs="Arial"/>
          <w:color w:val="323233"/>
          <w:lang w:val="de-DE"/>
        </w:rPr>
        <w:t>likumā</w:t>
      </w:r>
      <w:proofErr w:type="spellEnd"/>
      <w:r w:rsidRPr="000C7C76">
        <w:rPr>
          <w:rFonts w:ascii="Times New Roman" w:hAnsi="Times New Roman" w:cs="Arial"/>
          <w:color w:val="323233"/>
          <w:lang w:val="de-DE"/>
        </w:rPr>
        <w:t xml:space="preserve"> </w:t>
      </w:r>
      <w:proofErr w:type="spellStart"/>
      <w:r w:rsidRPr="000C7C76">
        <w:rPr>
          <w:rFonts w:ascii="Times New Roman" w:hAnsi="Times New Roman" w:cs="Arial"/>
          <w:color w:val="323233"/>
          <w:lang w:val="de-DE"/>
        </w:rPr>
        <w:t>noteiktajā</w:t>
      </w:r>
      <w:proofErr w:type="spellEnd"/>
      <w:r w:rsidRPr="000C7C76">
        <w:rPr>
          <w:rFonts w:ascii="Times New Roman" w:hAnsi="Times New Roman" w:cs="Arial"/>
          <w:color w:val="323233"/>
          <w:lang w:val="de-DE"/>
        </w:rPr>
        <w:t xml:space="preserve"> </w:t>
      </w:r>
      <w:proofErr w:type="spellStart"/>
      <w:r w:rsidRPr="000C7C76">
        <w:rPr>
          <w:rFonts w:ascii="Times New Roman" w:hAnsi="Times New Roman" w:cs="Arial"/>
          <w:color w:val="323233"/>
          <w:lang w:val="de-DE"/>
        </w:rPr>
        <w:t>formā</w:t>
      </w:r>
      <w:proofErr w:type="spellEnd"/>
      <w:r w:rsidRPr="000C7C76">
        <w:rPr>
          <w:rFonts w:ascii="Times New Roman" w:hAnsi="Times New Roman" w:cs="Arial"/>
          <w:color w:val="323233"/>
          <w:lang w:val="de-DE"/>
        </w:rPr>
        <w:t xml:space="preserve"> </w:t>
      </w:r>
      <w:proofErr w:type="spellStart"/>
      <w:r w:rsidRPr="000C7C76">
        <w:rPr>
          <w:rFonts w:ascii="Times New Roman" w:hAnsi="Times New Roman" w:cs="Arial"/>
          <w:color w:val="323233"/>
          <w:lang w:val="de-DE"/>
        </w:rPr>
        <w:t>izdevušas</w:t>
      </w:r>
      <w:proofErr w:type="spellEnd"/>
      <w:r w:rsidRPr="000C7C76">
        <w:rPr>
          <w:rFonts w:ascii="Times New Roman" w:hAnsi="Times New Roman" w:cs="Arial"/>
          <w:color w:val="323233"/>
          <w:lang w:val="de-DE"/>
        </w:rPr>
        <w:t xml:space="preserve"> </w:t>
      </w:r>
      <w:proofErr w:type="spellStart"/>
      <w:r w:rsidRPr="000C7C76">
        <w:rPr>
          <w:rFonts w:ascii="Times New Roman" w:hAnsi="Times New Roman" w:cs="Arial"/>
          <w:color w:val="323233"/>
          <w:lang w:val="de-DE"/>
        </w:rPr>
        <w:t>publiskās</w:t>
      </w:r>
      <w:proofErr w:type="spellEnd"/>
      <w:r w:rsidRPr="000C7C76">
        <w:rPr>
          <w:rFonts w:ascii="Times New Roman" w:hAnsi="Times New Roman" w:cs="Arial"/>
          <w:color w:val="323233"/>
          <w:lang w:val="de-DE"/>
        </w:rPr>
        <w:t xml:space="preserve"> </w:t>
      </w:r>
      <w:proofErr w:type="spellStart"/>
      <w:r w:rsidRPr="000C7C76">
        <w:rPr>
          <w:rFonts w:ascii="Times New Roman" w:hAnsi="Times New Roman" w:cs="Arial"/>
          <w:color w:val="323233"/>
          <w:lang w:val="de-DE"/>
        </w:rPr>
        <w:t>varas</w:t>
      </w:r>
      <w:proofErr w:type="spellEnd"/>
      <w:r w:rsidRPr="000C7C76">
        <w:rPr>
          <w:rFonts w:ascii="Times New Roman" w:hAnsi="Times New Roman" w:cs="Arial"/>
          <w:color w:val="323233"/>
          <w:lang w:val="de-DE"/>
        </w:rPr>
        <w:t xml:space="preserve"> </w:t>
      </w:r>
      <w:proofErr w:type="spellStart"/>
      <w:r w:rsidRPr="000C7C76">
        <w:rPr>
          <w:rFonts w:ascii="Times New Roman" w:hAnsi="Times New Roman" w:cs="Arial"/>
          <w:color w:val="323233"/>
          <w:lang w:val="de-DE"/>
        </w:rPr>
        <w:t>iestādes</w:t>
      </w:r>
      <w:proofErr w:type="spellEnd"/>
      <w:r w:rsidRPr="000C7C76">
        <w:rPr>
          <w:rFonts w:ascii="Times New Roman" w:hAnsi="Times New Roman" w:cs="Arial"/>
          <w:color w:val="323233"/>
          <w:lang w:val="de-DE"/>
        </w:rPr>
        <w:t xml:space="preserve"> </w:t>
      </w:r>
      <w:proofErr w:type="spellStart"/>
      <w:r w:rsidRPr="000C7C76">
        <w:rPr>
          <w:rFonts w:ascii="Times New Roman" w:hAnsi="Times New Roman" w:cs="Arial"/>
          <w:color w:val="323233"/>
          <w:lang w:val="de-DE"/>
        </w:rPr>
        <w:t>savu</w:t>
      </w:r>
      <w:proofErr w:type="spellEnd"/>
      <w:r w:rsidRPr="000C7C76">
        <w:rPr>
          <w:rFonts w:ascii="Times New Roman" w:hAnsi="Times New Roman" w:cs="Arial"/>
          <w:color w:val="323233"/>
          <w:lang w:val="de-DE"/>
        </w:rPr>
        <w:t xml:space="preserve"> </w:t>
      </w:r>
      <w:proofErr w:type="spellStart"/>
      <w:r w:rsidRPr="000C7C76">
        <w:rPr>
          <w:rFonts w:ascii="Times New Roman" w:hAnsi="Times New Roman" w:cs="Arial"/>
          <w:color w:val="323233"/>
          <w:lang w:val="de-DE"/>
        </w:rPr>
        <w:t>amata</w:t>
      </w:r>
      <w:proofErr w:type="spellEnd"/>
      <w:r w:rsidRPr="000C7C76">
        <w:rPr>
          <w:rFonts w:ascii="Times New Roman" w:hAnsi="Times New Roman" w:cs="Arial"/>
          <w:color w:val="323233"/>
          <w:lang w:val="de-DE"/>
        </w:rPr>
        <w:t xml:space="preserve"> </w:t>
      </w:r>
      <w:proofErr w:type="spellStart"/>
      <w:r w:rsidRPr="000C7C76">
        <w:rPr>
          <w:rFonts w:ascii="Times New Roman" w:hAnsi="Times New Roman" w:cs="Arial"/>
          <w:color w:val="323233"/>
          <w:lang w:val="de-DE"/>
        </w:rPr>
        <w:t>pilnvaru</w:t>
      </w:r>
      <w:proofErr w:type="spellEnd"/>
      <w:r w:rsidRPr="000C7C76">
        <w:rPr>
          <w:rFonts w:ascii="Times New Roman" w:hAnsi="Times New Roman" w:cs="Arial"/>
          <w:color w:val="323233"/>
          <w:lang w:val="de-DE"/>
        </w:rPr>
        <w:t xml:space="preserve"> </w:t>
      </w:r>
      <w:proofErr w:type="spellStart"/>
      <w:r w:rsidRPr="000C7C76">
        <w:rPr>
          <w:rFonts w:ascii="Times New Roman" w:hAnsi="Times New Roman" w:cs="Arial"/>
          <w:color w:val="323233"/>
          <w:lang w:val="de-DE"/>
        </w:rPr>
        <w:t>robežās</w:t>
      </w:r>
      <w:proofErr w:type="spellEnd"/>
      <w:r w:rsidRPr="000C7C76">
        <w:rPr>
          <w:rFonts w:ascii="Times New Roman" w:hAnsi="Times New Roman" w:cs="Arial"/>
          <w:color w:val="323233"/>
          <w:lang w:val="de-DE"/>
        </w:rPr>
        <w:t xml:space="preserve"> </w:t>
      </w:r>
      <w:proofErr w:type="spellStart"/>
      <w:r w:rsidRPr="000C7C76">
        <w:rPr>
          <w:rFonts w:ascii="Times New Roman" w:hAnsi="Times New Roman" w:cs="Arial"/>
          <w:color w:val="323233"/>
          <w:lang w:val="de-DE"/>
        </w:rPr>
        <w:t>vai</w:t>
      </w:r>
      <w:proofErr w:type="spellEnd"/>
      <w:r w:rsidRPr="000C7C76">
        <w:rPr>
          <w:rFonts w:ascii="Times New Roman" w:hAnsi="Times New Roman" w:cs="Arial"/>
          <w:color w:val="323233"/>
          <w:lang w:val="de-DE"/>
        </w:rPr>
        <w:t xml:space="preserve"> </w:t>
      </w:r>
      <w:proofErr w:type="spellStart"/>
      <w:r w:rsidRPr="000C7C76">
        <w:rPr>
          <w:rFonts w:ascii="Times New Roman" w:hAnsi="Times New Roman" w:cs="Arial"/>
          <w:color w:val="323233"/>
          <w:lang w:val="de-DE"/>
        </w:rPr>
        <w:t>kurus</w:t>
      </w:r>
      <w:proofErr w:type="spellEnd"/>
      <w:r w:rsidRPr="000C7C76">
        <w:rPr>
          <w:rFonts w:ascii="Times New Roman" w:hAnsi="Times New Roman" w:cs="Arial"/>
          <w:color w:val="323233"/>
          <w:lang w:val="de-DE"/>
        </w:rPr>
        <w:t xml:space="preserve"> </w:t>
      </w:r>
      <w:proofErr w:type="spellStart"/>
      <w:r w:rsidRPr="000C7C76">
        <w:rPr>
          <w:rFonts w:ascii="Times New Roman" w:hAnsi="Times New Roman" w:cs="Arial"/>
          <w:color w:val="323233"/>
          <w:lang w:val="de-DE"/>
        </w:rPr>
        <w:t>izdevušas</w:t>
      </w:r>
      <w:proofErr w:type="spellEnd"/>
      <w:r w:rsidRPr="000C7C76">
        <w:rPr>
          <w:rFonts w:ascii="Times New Roman" w:hAnsi="Times New Roman" w:cs="Arial"/>
          <w:color w:val="323233"/>
          <w:lang w:val="de-DE"/>
        </w:rPr>
        <w:t xml:space="preserve"> </w:t>
      </w:r>
      <w:proofErr w:type="spellStart"/>
      <w:r w:rsidRPr="000C7C76">
        <w:rPr>
          <w:rFonts w:ascii="Times New Roman" w:hAnsi="Times New Roman" w:cs="Arial"/>
          <w:color w:val="323233"/>
          <w:lang w:val="de-DE"/>
        </w:rPr>
        <w:t>ar</w:t>
      </w:r>
      <w:proofErr w:type="spellEnd"/>
      <w:r w:rsidRPr="000C7C76">
        <w:rPr>
          <w:rFonts w:ascii="Times New Roman" w:hAnsi="Times New Roman" w:cs="Arial"/>
          <w:color w:val="323233"/>
          <w:lang w:val="de-DE"/>
        </w:rPr>
        <w:t xml:space="preserve"> </w:t>
      </w:r>
      <w:proofErr w:type="spellStart"/>
      <w:r w:rsidRPr="000C7C76">
        <w:rPr>
          <w:rFonts w:ascii="Times New Roman" w:hAnsi="Times New Roman" w:cs="Arial"/>
          <w:color w:val="323233"/>
          <w:lang w:val="de-DE"/>
        </w:rPr>
        <w:t>publisku</w:t>
      </w:r>
      <w:proofErr w:type="spellEnd"/>
      <w:r w:rsidRPr="000C7C76">
        <w:rPr>
          <w:rFonts w:ascii="Times New Roman" w:hAnsi="Times New Roman" w:cs="Arial"/>
          <w:color w:val="323233"/>
          <w:lang w:val="de-DE"/>
        </w:rPr>
        <w:t xml:space="preserve"> </w:t>
      </w:r>
      <w:proofErr w:type="spellStart"/>
      <w:r w:rsidRPr="000C7C76">
        <w:rPr>
          <w:rFonts w:ascii="Times New Roman" w:hAnsi="Times New Roman" w:cs="Arial"/>
          <w:color w:val="323233"/>
          <w:lang w:val="de-DE"/>
        </w:rPr>
        <w:t>ticamību</w:t>
      </w:r>
      <w:proofErr w:type="spellEnd"/>
      <w:r w:rsidRPr="000C7C76">
        <w:rPr>
          <w:rFonts w:ascii="Times New Roman" w:hAnsi="Times New Roman" w:cs="Arial"/>
          <w:color w:val="323233"/>
          <w:lang w:val="de-DE"/>
        </w:rPr>
        <w:t xml:space="preserve"> </w:t>
      </w:r>
      <w:proofErr w:type="spellStart"/>
      <w:r w:rsidRPr="000C7C76">
        <w:rPr>
          <w:rFonts w:ascii="Times New Roman" w:hAnsi="Times New Roman" w:cs="Arial"/>
          <w:color w:val="323233"/>
          <w:lang w:val="de-DE"/>
        </w:rPr>
        <w:t>apveltītas</w:t>
      </w:r>
      <w:proofErr w:type="spellEnd"/>
      <w:r w:rsidRPr="000C7C76">
        <w:rPr>
          <w:rFonts w:ascii="Times New Roman" w:hAnsi="Times New Roman" w:cs="Arial"/>
          <w:color w:val="323233"/>
          <w:lang w:val="de-DE"/>
        </w:rPr>
        <w:t xml:space="preserve"> personas </w:t>
      </w:r>
      <w:proofErr w:type="spellStart"/>
      <w:r w:rsidRPr="000C7C76">
        <w:rPr>
          <w:rFonts w:ascii="Times New Roman" w:hAnsi="Times New Roman" w:cs="Arial"/>
          <w:color w:val="323233"/>
          <w:lang w:val="de-DE"/>
        </w:rPr>
        <w:t>viņām</w:t>
      </w:r>
      <w:proofErr w:type="spellEnd"/>
      <w:r w:rsidRPr="000C7C76">
        <w:rPr>
          <w:rFonts w:ascii="Times New Roman" w:hAnsi="Times New Roman" w:cs="Arial"/>
          <w:color w:val="323233"/>
          <w:lang w:val="de-DE"/>
        </w:rPr>
        <w:t xml:space="preserve"> </w:t>
      </w:r>
      <w:proofErr w:type="spellStart"/>
      <w:r w:rsidRPr="000C7C76">
        <w:rPr>
          <w:rFonts w:ascii="Times New Roman" w:hAnsi="Times New Roman" w:cs="Arial"/>
          <w:color w:val="323233"/>
          <w:lang w:val="de-DE"/>
        </w:rPr>
        <w:t>piešķirto</w:t>
      </w:r>
      <w:proofErr w:type="spellEnd"/>
      <w:r w:rsidRPr="000C7C76">
        <w:rPr>
          <w:rFonts w:ascii="Times New Roman" w:hAnsi="Times New Roman" w:cs="Arial"/>
          <w:color w:val="323233"/>
          <w:lang w:val="de-DE"/>
        </w:rPr>
        <w:t xml:space="preserve"> </w:t>
      </w:r>
      <w:proofErr w:type="spellStart"/>
      <w:r w:rsidRPr="000C7C76">
        <w:rPr>
          <w:rFonts w:ascii="Times New Roman" w:hAnsi="Times New Roman" w:cs="Arial"/>
          <w:color w:val="323233"/>
          <w:lang w:val="de-DE"/>
        </w:rPr>
        <w:t>rīcības</w:t>
      </w:r>
      <w:proofErr w:type="spellEnd"/>
      <w:r w:rsidRPr="000C7C76">
        <w:rPr>
          <w:rFonts w:ascii="Times New Roman" w:hAnsi="Times New Roman" w:cs="Arial"/>
          <w:color w:val="323233"/>
          <w:lang w:val="de-DE"/>
        </w:rPr>
        <w:t xml:space="preserve"> </w:t>
      </w:r>
      <w:proofErr w:type="spellStart"/>
      <w:r w:rsidRPr="000C7C76">
        <w:rPr>
          <w:rFonts w:ascii="Times New Roman" w:hAnsi="Times New Roman" w:cs="Arial"/>
          <w:color w:val="323233"/>
          <w:lang w:val="de-DE"/>
        </w:rPr>
        <w:t>pilnvaru</w:t>
      </w:r>
      <w:proofErr w:type="spellEnd"/>
      <w:r w:rsidRPr="000C7C76">
        <w:rPr>
          <w:rFonts w:ascii="Times New Roman" w:hAnsi="Times New Roman" w:cs="Arial"/>
          <w:color w:val="323233"/>
          <w:lang w:val="de-DE"/>
        </w:rPr>
        <w:t> </w:t>
      </w:r>
      <w:proofErr w:type="spellStart"/>
      <w:r w:rsidRPr="000C7C76">
        <w:rPr>
          <w:rFonts w:ascii="Times New Roman" w:hAnsi="Times New Roman" w:cs="Arial"/>
          <w:color w:val="323233"/>
          <w:lang w:val="de-DE"/>
        </w:rPr>
        <w:t>robežās</w:t>
      </w:r>
      <w:proofErr w:type="spellEnd"/>
      <w:r w:rsidRPr="000C7C76">
        <w:rPr>
          <w:rFonts w:ascii="Times New Roman" w:hAnsi="Times New Roman" w:cs="Arial"/>
          <w:color w:val="323233"/>
          <w:lang w:val="de-DE"/>
        </w:rPr>
        <w:t xml:space="preserve">. </w:t>
      </w:r>
      <w:proofErr w:type="spellStart"/>
      <w:r w:rsidRPr="000C7C76">
        <w:rPr>
          <w:rFonts w:ascii="Times New Roman" w:hAnsi="Times New Roman" w:cs="Arial"/>
          <w:color w:val="323233"/>
          <w:lang w:val="de-DE"/>
        </w:rPr>
        <w:t>Līdz</w:t>
      </w:r>
      <w:proofErr w:type="spellEnd"/>
      <w:r w:rsidRPr="000C7C76">
        <w:rPr>
          <w:rFonts w:ascii="Times New Roman" w:hAnsi="Times New Roman" w:cs="Arial"/>
          <w:color w:val="323233"/>
          <w:lang w:val="de-DE"/>
        </w:rPr>
        <w:t xml:space="preserve"> </w:t>
      </w:r>
      <w:proofErr w:type="spellStart"/>
      <w:r w:rsidRPr="000C7C76">
        <w:rPr>
          <w:rFonts w:ascii="Times New Roman" w:hAnsi="Times New Roman" w:cs="Arial"/>
          <w:color w:val="323233"/>
          <w:lang w:val="de-DE"/>
        </w:rPr>
        <w:t>ar</w:t>
      </w:r>
      <w:proofErr w:type="spellEnd"/>
      <w:r w:rsidRPr="000C7C76">
        <w:rPr>
          <w:rFonts w:ascii="Times New Roman" w:hAnsi="Times New Roman" w:cs="Arial"/>
          <w:color w:val="323233"/>
          <w:lang w:val="de-DE"/>
        </w:rPr>
        <w:t xml:space="preserve"> </w:t>
      </w:r>
      <w:proofErr w:type="spellStart"/>
      <w:r w:rsidRPr="000C7C76">
        <w:rPr>
          <w:rFonts w:ascii="Times New Roman" w:hAnsi="Times New Roman" w:cs="Arial"/>
          <w:color w:val="323233"/>
          <w:lang w:val="de-DE"/>
        </w:rPr>
        <w:t>to</w:t>
      </w:r>
      <w:proofErr w:type="spellEnd"/>
      <w:r w:rsidRPr="000C7C76">
        <w:rPr>
          <w:rFonts w:ascii="Times New Roman" w:hAnsi="Times New Roman" w:cs="Arial"/>
          <w:color w:val="323233"/>
          <w:lang w:val="de-DE"/>
        </w:rPr>
        <w:t xml:space="preserve"> </w:t>
      </w:r>
      <w:proofErr w:type="spellStart"/>
      <w:r w:rsidRPr="000C7C76">
        <w:rPr>
          <w:rFonts w:ascii="Times New Roman" w:hAnsi="Times New Roman" w:cs="Arial"/>
          <w:color w:val="323233"/>
          <w:lang w:val="de-DE"/>
        </w:rPr>
        <w:t>vispirms</w:t>
      </w:r>
      <w:proofErr w:type="spellEnd"/>
      <w:r w:rsidRPr="000C7C76">
        <w:rPr>
          <w:rFonts w:ascii="Times New Roman" w:hAnsi="Times New Roman" w:cs="Arial"/>
          <w:color w:val="323233"/>
          <w:lang w:val="de-DE"/>
        </w:rPr>
        <w:t xml:space="preserve"> </w:t>
      </w:r>
      <w:proofErr w:type="spellStart"/>
      <w:r w:rsidRPr="000C7C76">
        <w:rPr>
          <w:rFonts w:ascii="Times New Roman" w:hAnsi="Times New Roman" w:cs="Arial"/>
          <w:color w:val="323233"/>
          <w:lang w:val="de-DE"/>
        </w:rPr>
        <w:t>tiek</w:t>
      </w:r>
      <w:proofErr w:type="spellEnd"/>
      <w:r w:rsidRPr="000C7C76">
        <w:rPr>
          <w:rFonts w:ascii="Times New Roman" w:hAnsi="Times New Roman" w:cs="Arial"/>
          <w:color w:val="323233"/>
          <w:lang w:val="de-DE"/>
        </w:rPr>
        <w:t xml:space="preserve"> </w:t>
      </w:r>
      <w:proofErr w:type="spellStart"/>
      <w:r w:rsidRPr="000C7C76">
        <w:rPr>
          <w:rFonts w:ascii="Times New Roman" w:hAnsi="Times New Roman" w:cs="Arial"/>
          <w:color w:val="323233"/>
          <w:lang w:val="de-DE"/>
        </w:rPr>
        <w:t>noskaidrots</w:t>
      </w:r>
      <w:proofErr w:type="spellEnd"/>
      <w:r w:rsidRPr="000C7C76">
        <w:rPr>
          <w:rFonts w:ascii="Times New Roman" w:hAnsi="Times New Roman" w:cs="Arial"/>
          <w:color w:val="323233"/>
          <w:lang w:val="de-DE"/>
        </w:rPr>
        <w:t xml:space="preserve">, </w:t>
      </w:r>
      <w:proofErr w:type="spellStart"/>
      <w:r w:rsidRPr="000C7C76">
        <w:rPr>
          <w:rFonts w:ascii="Times New Roman" w:hAnsi="Times New Roman" w:cs="Arial"/>
          <w:color w:val="323233"/>
          <w:lang w:val="de-DE"/>
        </w:rPr>
        <w:t>vai</w:t>
      </w:r>
      <w:proofErr w:type="spellEnd"/>
      <w:r w:rsidRPr="000C7C76">
        <w:rPr>
          <w:rFonts w:ascii="Times New Roman" w:hAnsi="Times New Roman" w:cs="Arial"/>
          <w:color w:val="323233"/>
          <w:lang w:val="de-DE"/>
        </w:rPr>
        <w:t xml:space="preserve"> </w:t>
      </w:r>
      <w:proofErr w:type="spellStart"/>
      <w:r w:rsidRPr="000C7C76">
        <w:rPr>
          <w:rFonts w:ascii="Times New Roman" w:hAnsi="Times New Roman" w:cs="Arial"/>
          <w:color w:val="323233"/>
          <w:lang w:val="de-DE"/>
        </w:rPr>
        <w:t>konkrētais</w:t>
      </w:r>
      <w:proofErr w:type="spellEnd"/>
      <w:r w:rsidRPr="000C7C76">
        <w:rPr>
          <w:rFonts w:ascii="Times New Roman" w:hAnsi="Times New Roman" w:cs="Arial"/>
          <w:color w:val="323233"/>
          <w:lang w:val="de-DE"/>
        </w:rPr>
        <w:t xml:space="preserve"> </w:t>
      </w:r>
      <w:proofErr w:type="spellStart"/>
      <w:r w:rsidRPr="000C7C76">
        <w:rPr>
          <w:rFonts w:ascii="Times New Roman" w:hAnsi="Times New Roman" w:cs="Arial"/>
          <w:color w:val="323233"/>
          <w:lang w:val="de-DE"/>
        </w:rPr>
        <w:t>ārvalsts</w:t>
      </w:r>
      <w:proofErr w:type="spellEnd"/>
      <w:r w:rsidRPr="000C7C76">
        <w:rPr>
          <w:rFonts w:ascii="Times New Roman" w:hAnsi="Times New Roman" w:cs="Arial"/>
          <w:color w:val="323233"/>
          <w:lang w:val="de-DE"/>
        </w:rPr>
        <w:t xml:space="preserve"> </w:t>
      </w:r>
      <w:proofErr w:type="spellStart"/>
      <w:r w:rsidRPr="000C7C76">
        <w:rPr>
          <w:rFonts w:ascii="Times New Roman" w:hAnsi="Times New Roman" w:cs="Arial"/>
          <w:color w:val="323233"/>
          <w:lang w:val="de-DE"/>
        </w:rPr>
        <w:t>publiskais</w:t>
      </w:r>
      <w:proofErr w:type="spellEnd"/>
      <w:r w:rsidRPr="000C7C76">
        <w:rPr>
          <w:rFonts w:ascii="Times New Roman" w:hAnsi="Times New Roman" w:cs="Arial"/>
          <w:color w:val="323233"/>
          <w:lang w:val="de-DE"/>
        </w:rPr>
        <w:t xml:space="preserve"> </w:t>
      </w:r>
      <w:proofErr w:type="spellStart"/>
      <w:r w:rsidRPr="000C7C76">
        <w:rPr>
          <w:rFonts w:ascii="Times New Roman" w:hAnsi="Times New Roman" w:cs="Arial"/>
          <w:color w:val="323233"/>
          <w:lang w:val="de-DE"/>
        </w:rPr>
        <w:t>dokuments</w:t>
      </w:r>
      <w:proofErr w:type="spellEnd"/>
      <w:r w:rsidRPr="000C7C76">
        <w:rPr>
          <w:rFonts w:ascii="Times New Roman" w:hAnsi="Times New Roman" w:cs="Arial"/>
          <w:color w:val="323233"/>
          <w:lang w:val="de-DE"/>
        </w:rPr>
        <w:t xml:space="preserve"> </w:t>
      </w:r>
      <w:proofErr w:type="spellStart"/>
      <w:r w:rsidRPr="000C7C76">
        <w:rPr>
          <w:rFonts w:ascii="Times New Roman" w:hAnsi="Times New Roman" w:cs="Arial"/>
          <w:color w:val="323233"/>
          <w:lang w:val="de-DE"/>
        </w:rPr>
        <w:t>var</w:t>
      </w:r>
      <w:proofErr w:type="spellEnd"/>
      <w:r w:rsidRPr="000C7C76">
        <w:rPr>
          <w:rFonts w:ascii="Times New Roman" w:hAnsi="Times New Roman" w:cs="Arial"/>
          <w:color w:val="323233"/>
          <w:lang w:val="de-DE"/>
        </w:rPr>
        <w:t xml:space="preserve"> </w:t>
      </w:r>
      <w:proofErr w:type="spellStart"/>
      <w:r w:rsidRPr="000C7C76">
        <w:rPr>
          <w:rFonts w:ascii="Times New Roman" w:hAnsi="Times New Roman" w:cs="Arial"/>
          <w:color w:val="323233"/>
          <w:lang w:val="de-DE"/>
        </w:rPr>
        <w:t>tikt</w:t>
      </w:r>
      <w:proofErr w:type="spellEnd"/>
      <w:r w:rsidRPr="000C7C76">
        <w:rPr>
          <w:rFonts w:ascii="Times New Roman" w:hAnsi="Times New Roman" w:cs="Arial"/>
          <w:color w:val="323233"/>
          <w:lang w:val="de-DE"/>
        </w:rPr>
        <w:t xml:space="preserve"> </w:t>
      </w:r>
      <w:proofErr w:type="spellStart"/>
      <w:r w:rsidRPr="000C7C76">
        <w:rPr>
          <w:rFonts w:ascii="Times New Roman" w:hAnsi="Times New Roman" w:cs="Arial"/>
          <w:color w:val="323233"/>
          <w:lang w:val="de-DE"/>
        </w:rPr>
        <w:t>subsumēts</w:t>
      </w:r>
      <w:proofErr w:type="spellEnd"/>
      <w:r w:rsidRPr="000C7C76">
        <w:rPr>
          <w:rFonts w:ascii="Times New Roman" w:hAnsi="Times New Roman" w:cs="Arial"/>
          <w:color w:val="323233"/>
          <w:lang w:val="de-DE"/>
        </w:rPr>
        <w:t xml:space="preserve"> </w:t>
      </w:r>
      <w:proofErr w:type="spellStart"/>
      <w:r w:rsidRPr="000C7C76">
        <w:rPr>
          <w:rFonts w:ascii="Times New Roman" w:hAnsi="Times New Roman" w:cs="Arial"/>
          <w:color w:val="323233"/>
          <w:lang w:val="de-DE"/>
        </w:rPr>
        <w:t>minētajai</w:t>
      </w:r>
      <w:proofErr w:type="spellEnd"/>
      <w:r w:rsidRPr="000C7C76">
        <w:rPr>
          <w:rFonts w:ascii="Times New Roman" w:hAnsi="Times New Roman" w:cs="Arial"/>
          <w:color w:val="323233"/>
          <w:lang w:val="de-DE"/>
        </w:rPr>
        <w:t xml:space="preserve"> </w:t>
      </w:r>
      <w:proofErr w:type="spellStart"/>
      <w:r w:rsidRPr="000C7C76">
        <w:rPr>
          <w:rFonts w:ascii="Times New Roman" w:hAnsi="Times New Roman" w:cs="Arial"/>
          <w:color w:val="323233"/>
          <w:lang w:val="de-DE"/>
        </w:rPr>
        <w:t>tiesību</w:t>
      </w:r>
      <w:proofErr w:type="spellEnd"/>
      <w:r w:rsidRPr="000C7C76">
        <w:rPr>
          <w:rFonts w:ascii="Times New Roman" w:hAnsi="Times New Roman" w:cs="Arial"/>
          <w:color w:val="323233"/>
          <w:lang w:val="de-DE"/>
        </w:rPr>
        <w:t xml:space="preserve"> </w:t>
      </w:r>
      <w:proofErr w:type="spellStart"/>
      <w:r w:rsidRPr="000C7C76">
        <w:rPr>
          <w:rFonts w:ascii="Times New Roman" w:hAnsi="Times New Roman" w:cs="Arial"/>
          <w:color w:val="323233"/>
          <w:lang w:val="de-DE"/>
        </w:rPr>
        <w:t>normai</w:t>
      </w:r>
      <w:proofErr w:type="spellEnd"/>
      <w:r w:rsidRPr="000C7C76">
        <w:rPr>
          <w:rFonts w:ascii="Times New Roman" w:hAnsi="Times New Roman" w:cs="Arial"/>
          <w:color w:val="323233"/>
          <w:lang w:val="de-DE"/>
        </w:rPr>
        <w:t>.</w:t>
      </w:r>
      <w:r w:rsidR="00C40495">
        <w:rPr>
          <w:rStyle w:val="FootnoteReference"/>
          <w:rFonts w:ascii="Times New Roman" w:hAnsi="Times New Roman" w:cs="Arial"/>
          <w:color w:val="323233"/>
        </w:rPr>
        <w:footnoteReference w:id="95"/>
      </w:r>
      <w:r w:rsidRPr="000C7C76">
        <w:rPr>
          <w:rFonts w:ascii="Times New Roman" w:hAnsi="Times New Roman" w:cs="Arial"/>
          <w:color w:val="323233"/>
          <w:lang w:val="de-DE"/>
        </w:rPr>
        <w:t xml:space="preserve"> Ja </w:t>
      </w:r>
      <w:proofErr w:type="spellStart"/>
      <w:r w:rsidRPr="000C7C76">
        <w:rPr>
          <w:rFonts w:ascii="Times New Roman" w:hAnsi="Times New Roman" w:cs="Arial"/>
          <w:color w:val="323233"/>
          <w:lang w:val="de-DE"/>
        </w:rPr>
        <w:t>var</w:t>
      </w:r>
      <w:proofErr w:type="spellEnd"/>
      <w:r w:rsidRPr="000C7C76">
        <w:rPr>
          <w:rFonts w:ascii="Times New Roman" w:hAnsi="Times New Roman" w:cs="Arial"/>
          <w:color w:val="323233"/>
          <w:lang w:val="de-DE"/>
        </w:rPr>
        <w:t xml:space="preserve"> </w:t>
      </w:r>
      <w:proofErr w:type="spellStart"/>
      <w:r w:rsidRPr="000C7C76">
        <w:rPr>
          <w:rFonts w:ascii="Times New Roman" w:hAnsi="Times New Roman" w:cs="Arial"/>
          <w:color w:val="323233"/>
          <w:lang w:val="de-DE"/>
        </w:rPr>
        <w:t>tikt</w:t>
      </w:r>
      <w:proofErr w:type="spellEnd"/>
      <w:r w:rsidRPr="000C7C76">
        <w:rPr>
          <w:rFonts w:ascii="Times New Roman" w:hAnsi="Times New Roman" w:cs="Arial"/>
          <w:color w:val="323233"/>
          <w:lang w:val="de-DE"/>
        </w:rPr>
        <w:t xml:space="preserve"> </w:t>
      </w:r>
      <w:proofErr w:type="spellStart"/>
      <w:r w:rsidRPr="000C7C76">
        <w:rPr>
          <w:rFonts w:ascii="Times New Roman" w:hAnsi="Times New Roman" w:cs="Arial"/>
          <w:color w:val="323233"/>
          <w:lang w:val="de-DE"/>
        </w:rPr>
        <w:t>subsumēts</w:t>
      </w:r>
      <w:proofErr w:type="spellEnd"/>
      <w:r w:rsidRPr="000C7C76">
        <w:rPr>
          <w:rFonts w:ascii="Times New Roman" w:hAnsi="Times New Roman" w:cs="Arial"/>
          <w:color w:val="323233"/>
          <w:lang w:val="de-DE"/>
        </w:rPr>
        <w:t xml:space="preserve">, </w:t>
      </w:r>
      <w:proofErr w:type="spellStart"/>
      <w:r w:rsidRPr="000C7C76">
        <w:rPr>
          <w:rFonts w:ascii="Times New Roman" w:hAnsi="Times New Roman" w:cs="Arial"/>
          <w:color w:val="323233"/>
          <w:lang w:val="de-DE"/>
        </w:rPr>
        <w:t>tad</w:t>
      </w:r>
      <w:proofErr w:type="spellEnd"/>
      <w:r w:rsidRPr="000C7C76">
        <w:rPr>
          <w:rFonts w:ascii="Times New Roman" w:hAnsi="Times New Roman" w:cs="Arial"/>
          <w:color w:val="323233"/>
          <w:lang w:val="de-DE"/>
        </w:rPr>
        <w:t xml:space="preserve"> 415.pantā </w:t>
      </w:r>
      <w:proofErr w:type="spellStart"/>
      <w:r w:rsidRPr="000C7C76">
        <w:rPr>
          <w:rFonts w:ascii="Times New Roman" w:hAnsi="Times New Roman" w:cs="Arial"/>
          <w:color w:val="323233"/>
          <w:lang w:val="de-DE"/>
        </w:rPr>
        <w:t>noteiktā</w:t>
      </w:r>
      <w:proofErr w:type="spellEnd"/>
      <w:r w:rsidRPr="000C7C76">
        <w:rPr>
          <w:rFonts w:ascii="Times New Roman" w:hAnsi="Times New Roman" w:cs="Arial"/>
          <w:color w:val="323233"/>
          <w:lang w:val="de-DE"/>
        </w:rPr>
        <w:t xml:space="preserve"> </w:t>
      </w:r>
      <w:proofErr w:type="spellStart"/>
      <w:r w:rsidRPr="000C7C76">
        <w:rPr>
          <w:rFonts w:ascii="Times New Roman" w:hAnsi="Times New Roman" w:cs="Arial"/>
          <w:color w:val="323233"/>
          <w:lang w:val="de-DE"/>
        </w:rPr>
        <w:t>publiskā</w:t>
      </w:r>
      <w:proofErr w:type="spellEnd"/>
      <w:r w:rsidRPr="000C7C76">
        <w:rPr>
          <w:rFonts w:ascii="Times New Roman" w:hAnsi="Times New Roman" w:cs="Arial"/>
          <w:color w:val="323233"/>
          <w:lang w:val="de-DE"/>
        </w:rPr>
        <w:t xml:space="preserve"> </w:t>
      </w:r>
      <w:proofErr w:type="spellStart"/>
      <w:r w:rsidRPr="000C7C76">
        <w:rPr>
          <w:rFonts w:ascii="Times New Roman" w:hAnsi="Times New Roman" w:cs="Arial"/>
          <w:color w:val="323233"/>
          <w:lang w:val="de-DE"/>
        </w:rPr>
        <w:t>dokumenta</w:t>
      </w:r>
      <w:proofErr w:type="spellEnd"/>
      <w:r w:rsidRPr="000C7C76">
        <w:rPr>
          <w:rFonts w:ascii="Times New Roman" w:hAnsi="Times New Roman" w:cs="Arial"/>
          <w:color w:val="323233"/>
          <w:lang w:val="de-DE"/>
        </w:rPr>
        <w:t xml:space="preserve"> </w:t>
      </w:r>
      <w:proofErr w:type="spellStart"/>
      <w:r w:rsidRPr="000C7C76">
        <w:rPr>
          <w:rFonts w:ascii="Times New Roman" w:hAnsi="Times New Roman" w:cs="Arial"/>
          <w:color w:val="323233"/>
          <w:lang w:val="de-DE"/>
        </w:rPr>
        <w:t>pierādījuma</w:t>
      </w:r>
      <w:proofErr w:type="spellEnd"/>
      <w:r w:rsidRPr="000C7C76">
        <w:rPr>
          <w:rFonts w:ascii="Times New Roman" w:hAnsi="Times New Roman" w:cs="Arial"/>
          <w:color w:val="323233"/>
          <w:lang w:val="de-DE"/>
        </w:rPr>
        <w:t xml:space="preserve"> </w:t>
      </w:r>
      <w:proofErr w:type="spellStart"/>
      <w:r w:rsidRPr="000C7C76">
        <w:rPr>
          <w:rFonts w:ascii="Times New Roman" w:hAnsi="Times New Roman" w:cs="Arial"/>
          <w:color w:val="323233"/>
          <w:lang w:val="de-DE"/>
        </w:rPr>
        <w:lastRenderedPageBreak/>
        <w:t>prezumpcija</w:t>
      </w:r>
      <w:proofErr w:type="spellEnd"/>
      <w:r w:rsidRPr="000C7C76">
        <w:rPr>
          <w:rFonts w:ascii="Times New Roman" w:hAnsi="Times New Roman" w:cs="Arial"/>
          <w:color w:val="323233"/>
          <w:lang w:val="de-DE"/>
        </w:rPr>
        <w:t xml:space="preserve"> </w:t>
      </w:r>
      <w:proofErr w:type="spellStart"/>
      <w:r w:rsidRPr="000C7C76">
        <w:rPr>
          <w:rFonts w:ascii="Times New Roman" w:hAnsi="Times New Roman" w:cs="Arial"/>
          <w:color w:val="323233"/>
          <w:lang w:val="de-DE"/>
        </w:rPr>
        <w:t>attiecas</w:t>
      </w:r>
      <w:proofErr w:type="spellEnd"/>
      <w:r w:rsidRPr="000C7C76">
        <w:rPr>
          <w:rFonts w:ascii="Times New Roman" w:hAnsi="Times New Roman" w:cs="Arial"/>
          <w:color w:val="323233"/>
          <w:lang w:val="de-DE"/>
        </w:rPr>
        <w:t xml:space="preserve"> </w:t>
      </w:r>
      <w:proofErr w:type="spellStart"/>
      <w:r w:rsidRPr="000C7C76">
        <w:rPr>
          <w:rFonts w:ascii="Times New Roman" w:hAnsi="Times New Roman" w:cs="Arial"/>
          <w:color w:val="323233"/>
          <w:lang w:val="de-DE"/>
        </w:rPr>
        <w:t>arī</w:t>
      </w:r>
      <w:proofErr w:type="spellEnd"/>
      <w:r w:rsidRPr="000C7C76">
        <w:rPr>
          <w:rFonts w:ascii="Times New Roman" w:hAnsi="Times New Roman" w:cs="Arial"/>
          <w:color w:val="323233"/>
          <w:lang w:val="de-DE"/>
        </w:rPr>
        <w:t xml:space="preserve"> </w:t>
      </w:r>
      <w:proofErr w:type="spellStart"/>
      <w:r w:rsidRPr="000C7C76">
        <w:rPr>
          <w:rFonts w:ascii="Times New Roman" w:hAnsi="Times New Roman" w:cs="Arial"/>
          <w:color w:val="323233"/>
          <w:lang w:val="de-DE"/>
        </w:rPr>
        <w:t>uz</w:t>
      </w:r>
      <w:proofErr w:type="spellEnd"/>
      <w:r w:rsidRPr="000C7C76">
        <w:rPr>
          <w:rFonts w:ascii="Times New Roman" w:hAnsi="Times New Roman" w:cs="Arial"/>
          <w:color w:val="323233"/>
          <w:lang w:val="de-DE"/>
        </w:rPr>
        <w:t xml:space="preserve"> </w:t>
      </w:r>
      <w:proofErr w:type="spellStart"/>
      <w:r w:rsidRPr="000C7C76">
        <w:rPr>
          <w:rFonts w:ascii="Times New Roman" w:hAnsi="Times New Roman" w:cs="Arial"/>
          <w:color w:val="323233"/>
          <w:lang w:val="de-DE"/>
        </w:rPr>
        <w:t>ārvalsts</w:t>
      </w:r>
      <w:proofErr w:type="spellEnd"/>
      <w:r w:rsidRPr="000C7C76">
        <w:rPr>
          <w:rFonts w:ascii="Times New Roman" w:hAnsi="Times New Roman" w:cs="Arial"/>
          <w:color w:val="323233"/>
          <w:lang w:val="de-DE"/>
        </w:rPr>
        <w:t xml:space="preserve"> </w:t>
      </w:r>
      <w:proofErr w:type="spellStart"/>
      <w:r w:rsidRPr="000C7C76">
        <w:rPr>
          <w:rFonts w:ascii="Times New Roman" w:hAnsi="Times New Roman" w:cs="Arial"/>
          <w:color w:val="323233"/>
          <w:lang w:val="de-DE"/>
        </w:rPr>
        <w:t>publisko</w:t>
      </w:r>
      <w:proofErr w:type="spellEnd"/>
      <w:r w:rsidRPr="000C7C76">
        <w:rPr>
          <w:rFonts w:ascii="Times New Roman" w:hAnsi="Times New Roman" w:cs="Arial"/>
          <w:color w:val="323233"/>
          <w:lang w:val="de-DE"/>
        </w:rPr>
        <w:t xml:space="preserve"> </w:t>
      </w:r>
      <w:proofErr w:type="spellStart"/>
      <w:r w:rsidRPr="000C7C76">
        <w:rPr>
          <w:rFonts w:ascii="Times New Roman" w:hAnsi="Times New Roman" w:cs="Arial"/>
          <w:color w:val="323233"/>
          <w:lang w:val="de-DE"/>
        </w:rPr>
        <w:t>dokumentu</w:t>
      </w:r>
      <w:proofErr w:type="spellEnd"/>
      <w:r w:rsidR="00861A5A" w:rsidRPr="000C7C76">
        <w:rPr>
          <w:rFonts w:ascii="Times New Roman" w:hAnsi="Times New Roman" w:cs="Arial"/>
          <w:color w:val="323233"/>
          <w:lang w:val="de-DE"/>
        </w:rPr>
        <w:t xml:space="preserve"> (</w:t>
      </w:r>
      <w:proofErr w:type="spellStart"/>
      <w:r w:rsidR="00861A5A" w:rsidRPr="000C7C76">
        <w:rPr>
          <w:rFonts w:ascii="Times New Roman" w:hAnsi="Times New Roman" w:cs="Arial"/>
          <w:color w:val="323233"/>
          <w:lang w:val="de-DE"/>
        </w:rPr>
        <w:t>skat</w:t>
      </w:r>
      <w:proofErr w:type="spellEnd"/>
      <w:r w:rsidR="00861A5A" w:rsidRPr="000C7C76">
        <w:rPr>
          <w:rFonts w:ascii="Times New Roman" w:hAnsi="Times New Roman" w:cs="Arial"/>
          <w:color w:val="323233"/>
          <w:lang w:val="de-DE"/>
        </w:rPr>
        <w:t xml:space="preserve">. </w:t>
      </w:r>
      <w:proofErr w:type="spellStart"/>
      <w:r w:rsidR="00861A5A" w:rsidRPr="000C7C76">
        <w:rPr>
          <w:rFonts w:ascii="Times New Roman" w:hAnsi="Times New Roman" w:cs="Arial"/>
          <w:color w:val="323233"/>
          <w:lang w:val="de-DE"/>
        </w:rPr>
        <w:t>arī</w:t>
      </w:r>
      <w:proofErr w:type="spellEnd"/>
      <w:r w:rsidR="00861A5A" w:rsidRPr="000C7C76">
        <w:rPr>
          <w:rFonts w:ascii="Times New Roman" w:hAnsi="Times New Roman" w:cs="Arial"/>
          <w:color w:val="323233"/>
          <w:lang w:val="de-DE"/>
        </w:rPr>
        <w:t xml:space="preserve"> </w:t>
      </w:r>
      <w:proofErr w:type="spellStart"/>
      <w:r w:rsidR="00861A5A" w:rsidRPr="000C7C76">
        <w:rPr>
          <w:rFonts w:ascii="Times New Roman" w:hAnsi="Times New Roman" w:cs="Arial"/>
          <w:color w:val="323233"/>
          <w:lang w:val="de-DE"/>
        </w:rPr>
        <w:t>Vācijas</w:t>
      </w:r>
      <w:proofErr w:type="spellEnd"/>
      <w:r w:rsidR="00861A5A" w:rsidRPr="000C7C76">
        <w:rPr>
          <w:rFonts w:ascii="Times New Roman" w:hAnsi="Times New Roman" w:cs="Arial"/>
          <w:color w:val="323233"/>
          <w:lang w:val="de-DE"/>
        </w:rPr>
        <w:t xml:space="preserve"> </w:t>
      </w:r>
      <w:proofErr w:type="spellStart"/>
      <w:r w:rsidR="00861A5A" w:rsidRPr="000C7C76">
        <w:rPr>
          <w:rFonts w:ascii="Times New Roman" w:hAnsi="Times New Roman" w:cs="Times New Roman"/>
          <w:lang w:val="de-DE"/>
        </w:rPr>
        <w:t>Civilprocesa</w:t>
      </w:r>
      <w:proofErr w:type="spellEnd"/>
      <w:r w:rsidR="00861A5A" w:rsidRPr="000C7C76">
        <w:rPr>
          <w:rFonts w:ascii="Times New Roman" w:hAnsi="Times New Roman" w:cs="Times New Roman"/>
          <w:lang w:val="de-DE"/>
        </w:rPr>
        <w:t xml:space="preserve"> </w:t>
      </w:r>
      <w:proofErr w:type="spellStart"/>
      <w:r w:rsidR="00861A5A" w:rsidRPr="000C7C76">
        <w:rPr>
          <w:rFonts w:ascii="Times New Roman" w:hAnsi="Times New Roman" w:cs="Times New Roman"/>
          <w:lang w:val="de-DE"/>
        </w:rPr>
        <w:t>likuma</w:t>
      </w:r>
      <w:proofErr w:type="spellEnd"/>
      <w:r w:rsidR="00861A5A" w:rsidRPr="000C7C76">
        <w:rPr>
          <w:rFonts w:ascii="Times New Roman" w:hAnsi="Times New Roman" w:cs="Times New Roman"/>
          <w:lang w:val="de-DE"/>
        </w:rPr>
        <w:t xml:space="preserve"> (</w:t>
      </w:r>
      <w:r w:rsidR="00861A5A" w:rsidRPr="000C7C76">
        <w:rPr>
          <w:rFonts w:ascii="Times New Roman" w:hAnsi="Times New Roman" w:cs="Times New Roman"/>
          <w:i/>
          <w:iCs/>
          <w:lang w:val="de-DE"/>
        </w:rPr>
        <w:t>ZPO</w:t>
      </w:r>
      <w:r w:rsidR="00861A5A" w:rsidRPr="000C7C76">
        <w:rPr>
          <w:rFonts w:ascii="Times New Roman" w:hAnsi="Times New Roman" w:cs="Times New Roman"/>
          <w:lang w:val="de-DE"/>
        </w:rPr>
        <w:t>) 418.p.)</w:t>
      </w:r>
      <w:r w:rsidRPr="000C7C76">
        <w:rPr>
          <w:rFonts w:ascii="Times New Roman" w:hAnsi="Times New Roman" w:cs="Arial"/>
          <w:color w:val="323233"/>
          <w:lang w:val="de-DE"/>
        </w:rPr>
        <w:t xml:space="preserve">. </w:t>
      </w:r>
      <w:proofErr w:type="spellStart"/>
      <w:r w:rsidRPr="000C7C76">
        <w:rPr>
          <w:rFonts w:ascii="Times New Roman" w:hAnsi="Times New Roman" w:cs="Arial"/>
          <w:color w:val="323233"/>
          <w:lang w:val="de-DE"/>
        </w:rPr>
        <w:t>Tādējādi</w:t>
      </w:r>
      <w:proofErr w:type="spellEnd"/>
      <w:r w:rsidRPr="000C7C76">
        <w:rPr>
          <w:rFonts w:ascii="Times New Roman" w:hAnsi="Times New Roman" w:cs="Arial"/>
          <w:color w:val="323233"/>
          <w:lang w:val="de-DE"/>
        </w:rPr>
        <w:t xml:space="preserve"> </w:t>
      </w:r>
      <w:proofErr w:type="spellStart"/>
      <w:r w:rsidRPr="000C7C76">
        <w:rPr>
          <w:rFonts w:ascii="Times New Roman" w:hAnsi="Times New Roman" w:cs="Arial"/>
          <w:color w:val="323233"/>
          <w:lang w:val="de-DE"/>
        </w:rPr>
        <w:t>ārvalsts</w:t>
      </w:r>
      <w:proofErr w:type="spellEnd"/>
      <w:r w:rsidRPr="000C7C76">
        <w:rPr>
          <w:rFonts w:ascii="Times New Roman" w:hAnsi="Times New Roman" w:cs="Arial"/>
          <w:color w:val="323233"/>
          <w:lang w:val="de-DE"/>
        </w:rPr>
        <w:t xml:space="preserve"> </w:t>
      </w:r>
      <w:proofErr w:type="spellStart"/>
      <w:r w:rsidRPr="000C7C76">
        <w:rPr>
          <w:rFonts w:ascii="Times New Roman" w:hAnsi="Times New Roman" w:cs="Arial"/>
          <w:color w:val="323233"/>
          <w:lang w:val="de-DE"/>
        </w:rPr>
        <w:t>publisks</w:t>
      </w:r>
      <w:proofErr w:type="spellEnd"/>
      <w:r w:rsidRPr="000C7C76">
        <w:rPr>
          <w:rFonts w:ascii="Times New Roman" w:hAnsi="Times New Roman" w:cs="Arial"/>
          <w:color w:val="323233"/>
          <w:lang w:val="de-DE"/>
        </w:rPr>
        <w:t xml:space="preserve"> </w:t>
      </w:r>
      <w:proofErr w:type="spellStart"/>
      <w:r w:rsidRPr="000C7C76">
        <w:rPr>
          <w:rFonts w:ascii="Times New Roman" w:hAnsi="Times New Roman" w:cs="Arial"/>
          <w:color w:val="323233"/>
          <w:lang w:val="de-DE"/>
        </w:rPr>
        <w:t>dokuments</w:t>
      </w:r>
      <w:proofErr w:type="spellEnd"/>
      <w:r w:rsidRPr="000C7C76">
        <w:rPr>
          <w:rFonts w:ascii="Times New Roman" w:hAnsi="Times New Roman" w:cs="Arial"/>
          <w:color w:val="323233"/>
          <w:lang w:val="de-DE"/>
        </w:rPr>
        <w:t xml:space="preserve"> </w:t>
      </w:r>
      <w:proofErr w:type="spellStart"/>
      <w:r w:rsidRPr="000C7C76">
        <w:rPr>
          <w:rFonts w:ascii="Times New Roman" w:hAnsi="Times New Roman" w:cs="Arial"/>
          <w:color w:val="323233"/>
          <w:lang w:val="de-DE"/>
        </w:rPr>
        <w:t>faktiski</w:t>
      </w:r>
      <w:proofErr w:type="spellEnd"/>
      <w:r w:rsidRPr="000C7C76">
        <w:rPr>
          <w:rFonts w:ascii="Times New Roman" w:hAnsi="Times New Roman" w:cs="Arial"/>
          <w:color w:val="323233"/>
          <w:lang w:val="de-DE"/>
        </w:rPr>
        <w:t xml:space="preserve"> </w:t>
      </w:r>
      <w:proofErr w:type="spellStart"/>
      <w:r w:rsidRPr="000C7C76">
        <w:rPr>
          <w:rFonts w:ascii="Times New Roman" w:hAnsi="Times New Roman" w:cs="Arial"/>
          <w:color w:val="323233"/>
          <w:lang w:val="de-DE"/>
        </w:rPr>
        <w:t>tiek</w:t>
      </w:r>
      <w:proofErr w:type="spellEnd"/>
      <w:r w:rsidRPr="000C7C76">
        <w:rPr>
          <w:rFonts w:ascii="Times New Roman" w:hAnsi="Times New Roman" w:cs="Arial"/>
          <w:color w:val="323233"/>
          <w:lang w:val="de-DE"/>
        </w:rPr>
        <w:t xml:space="preserve"> </w:t>
      </w:r>
      <w:proofErr w:type="spellStart"/>
      <w:r w:rsidRPr="000C7C76">
        <w:rPr>
          <w:rFonts w:ascii="Times New Roman" w:hAnsi="Times New Roman" w:cs="Arial"/>
          <w:color w:val="323233"/>
          <w:u w:val="single"/>
          <w:lang w:val="de-DE"/>
        </w:rPr>
        <w:t>atzīts</w:t>
      </w:r>
      <w:proofErr w:type="spellEnd"/>
      <w:r w:rsidRPr="000C7C76">
        <w:rPr>
          <w:rFonts w:ascii="Times New Roman" w:hAnsi="Times New Roman" w:cs="Arial"/>
          <w:color w:val="323233"/>
          <w:u w:val="single"/>
          <w:lang w:val="de-DE"/>
        </w:rPr>
        <w:t xml:space="preserve"> </w:t>
      </w:r>
      <w:proofErr w:type="spellStart"/>
      <w:r w:rsidRPr="000C7C76">
        <w:rPr>
          <w:rFonts w:ascii="Times New Roman" w:hAnsi="Times New Roman" w:cs="Arial"/>
          <w:color w:val="323233"/>
          <w:lang w:val="de-DE"/>
        </w:rPr>
        <w:t>Vācijā</w:t>
      </w:r>
      <w:proofErr w:type="spellEnd"/>
      <w:r w:rsidRPr="000C7C76">
        <w:rPr>
          <w:rFonts w:ascii="Times New Roman" w:hAnsi="Times New Roman" w:cs="Arial"/>
          <w:color w:val="323233"/>
          <w:lang w:val="de-DE"/>
        </w:rPr>
        <w:t xml:space="preserve"> </w:t>
      </w:r>
      <w:proofErr w:type="spellStart"/>
      <w:r w:rsidRPr="000C7C76">
        <w:rPr>
          <w:rFonts w:ascii="Times New Roman" w:hAnsi="Times New Roman" w:cs="Arial"/>
          <w:color w:val="323233"/>
          <w:lang w:val="de-DE"/>
        </w:rPr>
        <w:t>un</w:t>
      </w:r>
      <w:proofErr w:type="spellEnd"/>
      <w:r w:rsidRPr="000C7C76">
        <w:rPr>
          <w:rFonts w:ascii="Times New Roman" w:hAnsi="Times New Roman" w:cs="Arial"/>
          <w:color w:val="323233"/>
          <w:lang w:val="de-DE"/>
        </w:rPr>
        <w:t xml:space="preserve"> </w:t>
      </w:r>
      <w:proofErr w:type="spellStart"/>
      <w:r w:rsidRPr="000C7C76">
        <w:rPr>
          <w:rFonts w:ascii="Times New Roman" w:hAnsi="Times New Roman" w:cs="Arial"/>
          <w:color w:val="323233"/>
          <w:lang w:val="de-DE"/>
        </w:rPr>
        <w:t>šī</w:t>
      </w:r>
      <w:proofErr w:type="spellEnd"/>
      <w:r w:rsidRPr="000C7C76">
        <w:rPr>
          <w:rFonts w:ascii="Times New Roman" w:hAnsi="Times New Roman" w:cs="Arial"/>
          <w:color w:val="323233"/>
          <w:lang w:val="de-DE"/>
        </w:rPr>
        <w:t xml:space="preserve"> </w:t>
      </w:r>
      <w:proofErr w:type="spellStart"/>
      <w:r w:rsidRPr="000C7C76">
        <w:rPr>
          <w:rFonts w:ascii="Times New Roman" w:hAnsi="Times New Roman" w:cs="Arial"/>
          <w:color w:val="323233"/>
          <w:lang w:val="de-DE"/>
        </w:rPr>
        <w:t>atzīšana</w:t>
      </w:r>
      <w:proofErr w:type="spellEnd"/>
      <w:r w:rsidRPr="000C7C76">
        <w:rPr>
          <w:rFonts w:ascii="Times New Roman" w:hAnsi="Times New Roman" w:cs="Arial"/>
          <w:color w:val="323233"/>
          <w:lang w:val="de-DE"/>
        </w:rPr>
        <w:t xml:space="preserve"> </w:t>
      </w:r>
      <w:proofErr w:type="spellStart"/>
      <w:r w:rsidRPr="000C7C76">
        <w:rPr>
          <w:rFonts w:ascii="Times New Roman" w:hAnsi="Times New Roman" w:cs="Arial"/>
          <w:color w:val="323233"/>
          <w:lang w:val="de-DE"/>
        </w:rPr>
        <w:t>nozīmē</w:t>
      </w:r>
      <w:proofErr w:type="spellEnd"/>
      <w:r w:rsidRPr="000C7C76">
        <w:rPr>
          <w:rFonts w:ascii="Times New Roman" w:hAnsi="Times New Roman" w:cs="Arial"/>
          <w:color w:val="323233"/>
          <w:lang w:val="de-DE"/>
        </w:rPr>
        <w:t xml:space="preserve"> </w:t>
      </w:r>
      <w:proofErr w:type="spellStart"/>
      <w:r w:rsidRPr="000C7C76">
        <w:rPr>
          <w:rFonts w:ascii="Times New Roman" w:hAnsi="Times New Roman" w:cs="Arial"/>
          <w:color w:val="323233"/>
          <w:lang w:val="de-DE"/>
        </w:rPr>
        <w:t>ārvalsts</w:t>
      </w:r>
      <w:proofErr w:type="spellEnd"/>
      <w:r w:rsidRPr="000C7C76">
        <w:rPr>
          <w:rFonts w:ascii="Times New Roman" w:hAnsi="Times New Roman" w:cs="Arial"/>
          <w:color w:val="323233"/>
          <w:lang w:val="de-DE"/>
        </w:rPr>
        <w:t xml:space="preserve"> </w:t>
      </w:r>
      <w:proofErr w:type="spellStart"/>
      <w:r w:rsidRPr="000C7C76">
        <w:rPr>
          <w:rFonts w:ascii="Times New Roman" w:hAnsi="Times New Roman" w:cs="Arial"/>
          <w:color w:val="323233"/>
          <w:lang w:val="de-DE"/>
        </w:rPr>
        <w:t>publiskajā</w:t>
      </w:r>
      <w:proofErr w:type="spellEnd"/>
      <w:r w:rsidRPr="000C7C76">
        <w:rPr>
          <w:rFonts w:ascii="Times New Roman" w:hAnsi="Times New Roman" w:cs="Arial"/>
          <w:color w:val="323233"/>
          <w:lang w:val="de-DE"/>
        </w:rPr>
        <w:t xml:space="preserve"> </w:t>
      </w:r>
      <w:proofErr w:type="spellStart"/>
      <w:r w:rsidRPr="000C7C76">
        <w:rPr>
          <w:rFonts w:ascii="Times New Roman" w:hAnsi="Times New Roman" w:cs="Arial"/>
          <w:color w:val="323233"/>
          <w:lang w:val="de-DE"/>
        </w:rPr>
        <w:t>dokumentā</w:t>
      </w:r>
      <w:proofErr w:type="spellEnd"/>
      <w:r w:rsidRPr="000C7C76">
        <w:rPr>
          <w:rFonts w:ascii="Times New Roman" w:hAnsi="Times New Roman" w:cs="Arial"/>
          <w:color w:val="323233"/>
          <w:lang w:val="de-DE"/>
        </w:rPr>
        <w:t xml:space="preserve"> </w:t>
      </w:r>
      <w:proofErr w:type="spellStart"/>
      <w:r w:rsidRPr="000C7C76">
        <w:rPr>
          <w:rFonts w:ascii="Times New Roman" w:hAnsi="Times New Roman" w:cs="Arial"/>
          <w:color w:val="323233"/>
          <w:lang w:val="de-DE"/>
        </w:rPr>
        <w:t>esošā</w:t>
      </w:r>
      <w:proofErr w:type="spellEnd"/>
      <w:r w:rsidRPr="000C7C76">
        <w:rPr>
          <w:rFonts w:ascii="Times New Roman" w:hAnsi="Times New Roman" w:cs="Arial"/>
          <w:color w:val="323233"/>
          <w:lang w:val="de-DE"/>
        </w:rPr>
        <w:t xml:space="preserve"> </w:t>
      </w:r>
      <w:proofErr w:type="spellStart"/>
      <w:r w:rsidRPr="000C7C76">
        <w:rPr>
          <w:rFonts w:ascii="Times New Roman" w:hAnsi="Times New Roman" w:cs="Arial"/>
          <w:color w:val="323233"/>
          <w:lang w:val="de-DE"/>
        </w:rPr>
        <w:t>satura</w:t>
      </w:r>
      <w:proofErr w:type="spellEnd"/>
      <w:r w:rsidRPr="000C7C76">
        <w:rPr>
          <w:rFonts w:ascii="Times New Roman" w:hAnsi="Times New Roman" w:cs="Arial"/>
          <w:color w:val="323233"/>
          <w:lang w:val="de-DE"/>
        </w:rPr>
        <w:t xml:space="preserve"> (</w:t>
      </w:r>
      <w:proofErr w:type="spellStart"/>
      <w:r w:rsidRPr="000C7C76">
        <w:rPr>
          <w:rFonts w:ascii="Times New Roman" w:hAnsi="Times New Roman" w:cs="Arial"/>
          <w:color w:val="323233"/>
          <w:lang w:val="de-DE"/>
        </w:rPr>
        <w:t>u</w:t>
      </w:r>
      <w:r w:rsidR="00861A5A" w:rsidRPr="000C7C76">
        <w:rPr>
          <w:rFonts w:ascii="Times New Roman" w:hAnsi="Times New Roman" w:cs="Arial"/>
          <w:color w:val="323233"/>
          <w:lang w:val="de-DE"/>
        </w:rPr>
        <w:t>n</w:t>
      </w:r>
      <w:proofErr w:type="spellEnd"/>
      <w:r w:rsidR="00861A5A" w:rsidRPr="000C7C76">
        <w:rPr>
          <w:rFonts w:ascii="Times New Roman" w:hAnsi="Times New Roman" w:cs="Arial"/>
          <w:color w:val="323233"/>
          <w:lang w:val="de-DE"/>
        </w:rPr>
        <w:t xml:space="preserve"> </w:t>
      </w:r>
      <w:proofErr w:type="spellStart"/>
      <w:r w:rsidR="00861A5A" w:rsidRPr="000C7C76">
        <w:rPr>
          <w:rFonts w:ascii="Times New Roman" w:hAnsi="Times New Roman" w:cs="Arial"/>
          <w:color w:val="323233"/>
          <w:lang w:val="de-DE"/>
        </w:rPr>
        <w:t>līdz</w:t>
      </w:r>
      <w:proofErr w:type="spellEnd"/>
      <w:r w:rsidR="00861A5A" w:rsidRPr="000C7C76">
        <w:rPr>
          <w:rFonts w:ascii="Times New Roman" w:hAnsi="Times New Roman" w:cs="Arial"/>
          <w:color w:val="323233"/>
          <w:lang w:val="de-DE"/>
        </w:rPr>
        <w:t xml:space="preserve"> </w:t>
      </w:r>
      <w:proofErr w:type="spellStart"/>
      <w:r w:rsidR="00861A5A" w:rsidRPr="000C7C76">
        <w:rPr>
          <w:rFonts w:ascii="Times New Roman" w:hAnsi="Times New Roman" w:cs="Arial"/>
          <w:color w:val="323233"/>
          <w:lang w:val="de-DE"/>
        </w:rPr>
        <w:t>ar</w:t>
      </w:r>
      <w:proofErr w:type="spellEnd"/>
      <w:r w:rsidR="00861A5A" w:rsidRPr="000C7C76">
        <w:rPr>
          <w:rFonts w:ascii="Times New Roman" w:hAnsi="Times New Roman" w:cs="Arial"/>
          <w:color w:val="323233"/>
          <w:lang w:val="de-DE"/>
        </w:rPr>
        <w:t xml:space="preserve"> </w:t>
      </w:r>
      <w:proofErr w:type="spellStart"/>
      <w:r w:rsidR="00861A5A" w:rsidRPr="000C7C76">
        <w:rPr>
          <w:rFonts w:ascii="Times New Roman" w:hAnsi="Times New Roman" w:cs="Arial"/>
          <w:color w:val="323233"/>
          <w:lang w:val="de-DE"/>
        </w:rPr>
        <w:t>to</w:t>
      </w:r>
      <w:proofErr w:type="spellEnd"/>
      <w:r w:rsidR="00861A5A" w:rsidRPr="000C7C76">
        <w:rPr>
          <w:rFonts w:ascii="Times New Roman" w:hAnsi="Times New Roman" w:cs="Arial"/>
          <w:color w:val="323233"/>
          <w:lang w:val="de-DE"/>
        </w:rPr>
        <w:t xml:space="preserve"> </w:t>
      </w:r>
      <w:proofErr w:type="spellStart"/>
      <w:r w:rsidR="00861A5A" w:rsidRPr="000C7C76">
        <w:rPr>
          <w:rFonts w:ascii="Times New Roman" w:hAnsi="Times New Roman" w:cs="Arial"/>
          <w:color w:val="323233"/>
          <w:lang w:val="de-DE"/>
        </w:rPr>
        <w:t>arī</w:t>
      </w:r>
      <w:proofErr w:type="spellEnd"/>
      <w:r w:rsidR="00861A5A" w:rsidRPr="000C7C76">
        <w:rPr>
          <w:rFonts w:ascii="Times New Roman" w:hAnsi="Times New Roman" w:cs="Arial"/>
          <w:color w:val="323233"/>
          <w:lang w:val="de-DE"/>
        </w:rPr>
        <w:t xml:space="preserve"> </w:t>
      </w:r>
      <w:proofErr w:type="spellStart"/>
      <w:r w:rsidR="00861A5A" w:rsidRPr="000C7C76">
        <w:rPr>
          <w:rFonts w:ascii="Times New Roman" w:hAnsi="Times New Roman" w:cs="Arial"/>
          <w:color w:val="323233"/>
          <w:lang w:val="de-DE"/>
        </w:rPr>
        <w:t>publiskā</w:t>
      </w:r>
      <w:proofErr w:type="spellEnd"/>
      <w:r w:rsidR="00861A5A" w:rsidRPr="000C7C76">
        <w:rPr>
          <w:rFonts w:ascii="Times New Roman" w:hAnsi="Times New Roman" w:cs="Arial"/>
          <w:color w:val="323233"/>
          <w:lang w:val="de-DE"/>
        </w:rPr>
        <w:t xml:space="preserve"> </w:t>
      </w:r>
      <w:proofErr w:type="spellStart"/>
      <w:r w:rsidR="00861A5A" w:rsidRPr="000C7C76">
        <w:rPr>
          <w:rFonts w:ascii="Times New Roman" w:hAnsi="Times New Roman" w:cs="Arial"/>
          <w:color w:val="323233"/>
          <w:lang w:val="de-DE"/>
        </w:rPr>
        <w:t>dokume</w:t>
      </w:r>
      <w:r w:rsidRPr="000C7C76">
        <w:rPr>
          <w:rFonts w:ascii="Times New Roman" w:hAnsi="Times New Roman" w:cs="Arial"/>
          <w:color w:val="323233"/>
          <w:lang w:val="de-DE"/>
        </w:rPr>
        <w:t>nta</w:t>
      </w:r>
      <w:proofErr w:type="spellEnd"/>
      <w:r w:rsidRPr="000C7C76">
        <w:rPr>
          <w:rFonts w:ascii="Times New Roman" w:hAnsi="Times New Roman" w:cs="Arial"/>
          <w:color w:val="323233"/>
          <w:lang w:val="de-DE"/>
        </w:rPr>
        <w:t xml:space="preserve"> </w:t>
      </w:r>
      <w:proofErr w:type="spellStart"/>
      <w:r w:rsidRPr="000C7C76">
        <w:rPr>
          <w:rFonts w:ascii="Times New Roman" w:hAnsi="Times New Roman" w:cs="Arial"/>
          <w:color w:val="323233"/>
          <w:lang w:val="de-DE"/>
        </w:rPr>
        <w:t>kā</w:t>
      </w:r>
      <w:proofErr w:type="spellEnd"/>
      <w:r w:rsidRPr="000C7C76">
        <w:rPr>
          <w:rFonts w:ascii="Times New Roman" w:hAnsi="Times New Roman" w:cs="Arial"/>
          <w:color w:val="323233"/>
          <w:lang w:val="de-DE"/>
        </w:rPr>
        <w:t xml:space="preserve"> </w:t>
      </w:r>
      <w:proofErr w:type="spellStart"/>
      <w:r w:rsidRPr="000C7C76">
        <w:rPr>
          <w:rFonts w:ascii="Times New Roman" w:hAnsi="Times New Roman" w:cs="Arial"/>
          <w:color w:val="323233"/>
          <w:lang w:val="de-DE"/>
        </w:rPr>
        <w:t>pierādījuma</w:t>
      </w:r>
      <w:proofErr w:type="spellEnd"/>
      <w:r w:rsidRPr="000C7C76">
        <w:rPr>
          <w:rFonts w:ascii="Times New Roman" w:hAnsi="Times New Roman" w:cs="Arial"/>
          <w:color w:val="323233"/>
          <w:lang w:val="de-DE"/>
        </w:rPr>
        <w:t xml:space="preserve">) </w:t>
      </w:r>
      <w:proofErr w:type="spellStart"/>
      <w:r w:rsidRPr="000C7C76">
        <w:rPr>
          <w:rFonts w:ascii="Times New Roman" w:hAnsi="Times New Roman" w:cs="Arial"/>
          <w:color w:val="323233"/>
          <w:lang w:val="de-DE"/>
        </w:rPr>
        <w:t>izplatīšanu</w:t>
      </w:r>
      <w:proofErr w:type="spellEnd"/>
      <w:r w:rsidRPr="000C7C76">
        <w:rPr>
          <w:rFonts w:ascii="Times New Roman" w:hAnsi="Times New Roman" w:cs="Arial"/>
          <w:color w:val="323233"/>
          <w:lang w:val="de-DE"/>
        </w:rPr>
        <w:t xml:space="preserve"> </w:t>
      </w:r>
      <w:proofErr w:type="spellStart"/>
      <w:r w:rsidRPr="000C7C76">
        <w:rPr>
          <w:rFonts w:ascii="Times New Roman" w:hAnsi="Times New Roman" w:cs="Arial"/>
          <w:color w:val="323233"/>
          <w:lang w:val="de-DE"/>
        </w:rPr>
        <w:t>Vācijas</w:t>
      </w:r>
      <w:proofErr w:type="spellEnd"/>
      <w:r w:rsidRPr="000C7C76">
        <w:rPr>
          <w:rFonts w:ascii="Times New Roman" w:hAnsi="Times New Roman" w:cs="Arial"/>
          <w:color w:val="323233"/>
          <w:lang w:val="de-DE"/>
        </w:rPr>
        <w:t xml:space="preserve"> </w:t>
      </w:r>
      <w:proofErr w:type="spellStart"/>
      <w:r w:rsidRPr="000C7C76">
        <w:rPr>
          <w:rFonts w:ascii="Times New Roman" w:hAnsi="Times New Roman" w:cs="Arial"/>
          <w:color w:val="323233"/>
          <w:lang w:val="de-DE"/>
        </w:rPr>
        <w:t>teritorijā</w:t>
      </w:r>
      <w:proofErr w:type="spellEnd"/>
      <w:r w:rsidRPr="000C7C76">
        <w:rPr>
          <w:rFonts w:ascii="Times New Roman" w:hAnsi="Times New Roman" w:cs="Arial"/>
          <w:color w:val="323233"/>
          <w:lang w:val="de-DE"/>
        </w:rPr>
        <w:t xml:space="preserve">. </w:t>
      </w:r>
      <w:proofErr w:type="spellStart"/>
      <w:r w:rsidRPr="000C7C76">
        <w:rPr>
          <w:rFonts w:ascii="Times New Roman" w:hAnsi="Times New Roman" w:cs="Arial"/>
          <w:color w:val="323233"/>
          <w:lang w:val="de-DE"/>
        </w:rPr>
        <w:t>Tātad</w:t>
      </w:r>
      <w:proofErr w:type="spellEnd"/>
      <w:r w:rsidRPr="000C7C76">
        <w:rPr>
          <w:rFonts w:ascii="Times New Roman" w:hAnsi="Times New Roman" w:cs="Arial"/>
          <w:color w:val="323233"/>
          <w:lang w:val="de-DE"/>
        </w:rPr>
        <w:t xml:space="preserve">, </w:t>
      </w:r>
      <w:proofErr w:type="spellStart"/>
      <w:r w:rsidRPr="000C7C76">
        <w:rPr>
          <w:rFonts w:ascii="Times New Roman" w:hAnsi="Times New Roman" w:cs="Arial"/>
          <w:color w:val="323233"/>
          <w:lang w:val="de-DE"/>
        </w:rPr>
        <w:t>attiecībā</w:t>
      </w:r>
      <w:proofErr w:type="spellEnd"/>
      <w:r w:rsidRPr="000C7C76">
        <w:rPr>
          <w:rFonts w:ascii="Times New Roman" w:hAnsi="Times New Roman" w:cs="Arial"/>
          <w:color w:val="323233"/>
          <w:lang w:val="de-DE"/>
        </w:rPr>
        <w:t xml:space="preserve"> </w:t>
      </w:r>
      <w:proofErr w:type="spellStart"/>
      <w:r w:rsidRPr="000C7C76">
        <w:rPr>
          <w:rFonts w:ascii="Times New Roman" w:hAnsi="Times New Roman" w:cs="Arial"/>
          <w:color w:val="323233"/>
          <w:lang w:val="de-DE"/>
        </w:rPr>
        <w:t>uz</w:t>
      </w:r>
      <w:proofErr w:type="spellEnd"/>
      <w:r w:rsidRPr="000C7C76">
        <w:rPr>
          <w:rFonts w:ascii="Times New Roman" w:hAnsi="Times New Roman" w:cs="Arial"/>
          <w:color w:val="323233"/>
          <w:lang w:val="de-DE"/>
        </w:rPr>
        <w:t xml:space="preserve"> </w:t>
      </w:r>
      <w:proofErr w:type="spellStart"/>
      <w:r w:rsidRPr="000C7C76">
        <w:rPr>
          <w:rFonts w:ascii="Times New Roman" w:hAnsi="Times New Roman" w:cs="Arial"/>
          <w:color w:val="323233"/>
          <w:lang w:val="de-DE"/>
        </w:rPr>
        <w:t>ārvalsts</w:t>
      </w:r>
      <w:proofErr w:type="spellEnd"/>
      <w:r w:rsidRPr="000C7C76">
        <w:rPr>
          <w:rFonts w:ascii="Times New Roman" w:hAnsi="Times New Roman" w:cs="Arial"/>
          <w:color w:val="323233"/>
          <w:lang w:val="de-DE"/>
        </w:rPr>
        <w:t xml:space="preserve"> </w:t>
      </w:r>
      <w:proofErr w:type="spellStart"/>
      <w:r w:rsidRPr="000C7C76">
        <w:rPr>
          <w:rFonts w:ascii="Times New Roman" w:hAnsi="Times New Roman" w:cs="Arial"/>
          <w:color w:val="323233"/>
          <w:lang w:val="de-DE"/>
        </w:rPr>
        <w:t>publiskā</w:t>
      </w:r>
      <w:proofErr w:type="spellEnd"/>
      <w:r w:rsidRPr="000C7C76">
        <w:rPr>
          <w:rFonts w:ascii="Times New Roman" w:hAnsi="Times New Roman" w:cs="Arial"/>
          <w:color w:val="323233"/>
          <w:lang w:val="de-DE"/>
        </w:rPr>
        <w:t xml:space="preserve"> </w:t>
      </w:r>
      <w:proofErr w:type="spellStart"/>
      <w:r w:rsidRPr="000C7C76">
        <w:rPr>
          <w:rFonts w:ascii="Times New Roman" w:hAnsi="Times New Roman" w:cs="Arial"/>
          <w:color w:val="323233"/>
          <w:lang w:val="de-DE"/>
        </w:rPr>
        <w:t>dokumenta</w:t>
      </w:r>
      <w:proofErr w:type="spellEnd"/>
      <w:r w:rsidRPr="000C7C76">
        <w:rPr>
          <w:rFonts w:ascii="Times New Roman" w:hAnsi="Times New Roman" w:cs="Arial"/>
          <w:color w:val="323233"/>
          <w:lang w:val="de-DE"/>
        </w:rPr>
        <w:t xml:space="preserve"> </w:t>
      </w:r>
      <w:proofErr w:type="spellStart"/>
      <w:r w:rsidRPr="000C7C76">
        <w:rPr>
          <w:rFonts w:ascii="Times New Roman" w:hAnsi="Times New Roman" w:cs="Arial"/>
          <w:color w:val="323233"/>
          <w:u w:val="single"/>
          <w:lang w:val="de-DE"/>
        </w:rPr>
        <w:t>saturu</w:t>
      </w:r>
      <w:proofErr w:type="spellEnd"/>
      <w:r w:rsidRPr="000C7C76">
        <w:rPr>
          <w:rFonts w:ascii="Times New Roman" w:hAnsi="Times New Roman" w:cs="Arial"/>
          <w:color w:val="323233"/>
          <w:lang w:val="de-DE"/>
        </w:rPr>
        <w:t xml:space="preserve"> </w:t>
      </w:r>
      <w:proofErr w:type="spellStart"/>
      <w:r w:rsidRPr="000C7C76">
        <w:rPr>
          <w:rFonts w:ascii="Times New Roman" w:hAnsi="Times New Roman" w:cs="Arial"/>
          <w:color w:val="323233"/>
          <w:lang w:val="de-DE"/>
        </w:rPr>
        <w:t>Vācijā</w:t>
      </w:r>
      <w:proofErr w:type="spellEnd"/>
      <w:r w:rsidRPr="000C7C76">
        <w:rPr>
          <w:rFonts w:ascii="Times New Roman" w:hAnsi="Times New Roman" w:cs="Arial"/>
          <w:color w:val="323233"/>
          <w:lang w:val="de-DE"/>
        </w:rPr>
        <w:t xml:space="preserve"> </w:t>
      </w:r>
      <w:proofErr w:type="spellStart"/>
      <w:r w:rsidRPr="000C7C76">
        <w:rPr>
          <w:rFonts w:ascii="Times New Roman" w:hAnsi="Times New Roman" w:cs="Arial"/>
          <w:color w:val="323233"/>
          <w:lang w:val="de-DE"/>
        </w:rPr>
        <w:t>tiek</w:t>
      </w:r>
      <w:proofErr w:type="spellEnd"/>
      <w:r w:rsidRPr="000C7C76">
        <w:rPr>
          <w:rFonts w:ascii="Times New Roman" w:hAnsi="Times New Roman" w:cs="Arial"/>
          <w:color w:val="323233"/>
          <w:lang w:val="de-DE"/>
        </w:rPr>
        <w:t xml:space="preserve"> </w:t>
      </w:r>
      <w:proofErr w:type="spellStart"/>
      <w:r w:rsidRPr="00C91762">
        <w:rPr>
          <w:rFonts w:ascii="Times New Roman" w:hAnsi="Times New Roman" w:cs="Arial"/>
          <w:color w:val="323233"/>
          <w:lang w:val="de-DE"/>
        </w:rPr>
        <w:t>pielietota</w:t>
      </w:r>
      <w:proofErr w:type="spellEnd"/>
      <w:r w:rsidRPr="00C91762">
        <w:rPr>
          <w:rFonts w:ascii="Times New Roman" w:hAnsi="Times New Roman" w:cs="Arial"/>
          <w:color w:val="323233"/>
          <w:lang w:val="de-DE"/>
        </w:rPr>
        <w:t xml:space="preserve"> </w:t>
      </w:r>
      <w:proofErr w:type="spellStart"/>
      <w:r w:rsidRPr="00C91762">
        <w:rPr>
          <w:rFonts w:ascii="Times New Roman" w:hAnsi="Times New Roman" w:cs="Arial"/>
          <w:b/>
          <w:bCs/>
          <w:color w:val="323233"/>
          <w:lang w:val="de-DE"/>
        </w:rPr>
        <w:t>atzīšanas</w:t>
      </w:r>
      <w:proofErr w:type="spellEnd"/>
      <w:r w:rsidR="007463DB" w:rsidRPr="00C91762">
        <w:rPr>
          <w:rFonts w:ascii="Times New Roman" w:hAnsi="Times New Roman" w:cs="Arial"/>
          <w:b/>
          <w:bCs/>
          <w:color w:val="323233"/>
          <w:lang w:val="de-DE"/>
        </w:rPr>
        <w:t xml:space="preserve"> (</w:t>
      </w:r>
      <w:proofErr w:type="spellStart"/>
      <w:r w:rsidR="007463DB" w:rsidRPr="00C91762">
        <w:rPr>
          <w:rFonts w:ascii="Times New Roman" w:hAnsi="Times New Roman" w:cs="Arial"/>
          <w:b/>
          <w:bCs/>
          <w:color w:val="323233"/>
          <w:lang w:val="de-DE"/>
        </w:rPr>
        <w:t>akceptēšanas</w:t>
      </w:r>
      <w:proofErr w:type="spellEnd"/>
      <w:r w:rsidR="007463DB" w:rsidRPr="00C91762">
        <w:rPr>
          <w:rFonts w:ascii="Times New Roman" w:hAnsi="Times New Roman" w:cs="Arial"/>
          <w:b/>
          <w:bCs/>
          <w:color w:val="323233"/>
          <w:lang w:val="de-DE"/>
        </w:rPr>
        <w:t>)</w:t>
      </w:r>
      <w:r w:rsidR="00791AB8" w:rsidRPr="00C91762">
        <w:rPr>
          <w:rStyle w:val="FootnoteReference"/>
          <w:rFonts w:ascii="Times New Roman" w:hAnsi="Times New Roman" w:cs="Arial"/>
          <w:b/>
          <w:bCs/>
          <w:color w:val="323233"/>
          <w:lang w:val="de-DE"/>
        </w:rPr>
        <w:footnoteReference w:id="96"/>
      </w:r>
      <w:r w:rsidRPr="00C91762">
        <w:rPr>
          <w:rFonts w:ascii="Times New Roman" w:hAnsi="Times New Roman" w:cs="Arial"/>
          <w:b/>
          <w:bCs/>
          <w:color w:val="323233"/>
          <w:lang w:val="de-DE"/>
        </w:rPr>
        <w:t xml:space="preserve"> </w:t>
      </w:r>
      <w:proofErr w:type="spellStart"/>
      <w:r w:rsidRPr="00C91762">
        <w:rPr>
          <w:rFonts w:ascii="Times New Roman" w:hAnsi="Times New Roman" w:cs="Arial"/>
          <w:b/>
          <w:bCs/>
          <w:color w:val="323233"/>
          <w:lang w:val="de-DE"/>
        </w:rPr>
        <w:t>metode</w:t>
      </w:r>
      <w:proofErr w:type="spellEnd"/>
      <w:r w:rsidRPr="00C91762">
        <w:rPr>
          <w:rFonts w:ascii="Times New Roman" w:hAnsi="Times New Roman" w:cs="Arial"/>
          <w:color w:val="323233"/>
          <w:lang w:val="de-DE"/>
        </w:rPr>
        <w:t>.</w:t>
      </w:r>
      <w:r w:rsidRPr="00C91762">
        <w:rPr>
          <w:rStyle w:val="FootnoteReference"/>
          <w:rFonts w:ascii="Times New Roman" w:hAnsi="Times New Roman" w:cs="Arial"/>
          <w:color w:val="323233"/>
        </w:rPr>
        <w:footnoteReference w:id="97"/>
      </w:r>
      <w:r w:rsidRPr="00C91762">
        <w:rPr>
          <w:rFonts w:ascii="Times New Roman" w:hAnsi="Times New Roman" w:cs="Arial"/>
          <w:color w:val="323233"/>
          <w:lang w:val="de-DE"/>
        </w:rPr>
        <w:t xml:space="preserve"> </w:t>
      </w:r>
      <w:proofErr w:type="spellStart"/>
      <w:r w:rsidR="007463DB" w:rsidRPr="00C91762">
        <w:rPr>
          <w:rFonts w:ascii="Times New Roman" w:hAnsi="Times New Roman" w:cs="Arial"/>
          <w:color w:val="323233"/>
          <w:lang w:val="de-DE"/>
        </w:rPr>
        <w:t>Tā</w:t>
      </w:r>
      <w:proofErr w:type="spellEnd"/>
      <w:r w:rsidR="007463DB" w:rsidRPr="00C91762">
        <w:rPr>
          <w:rFonts w:ascii="Times New Roman" w:hAnsi="Times New Roman" w:cs="Arial"/>
          <w:color w:val="323233"/>
          <w:lang w:val="de-DE"/>
        </w:rPr>
        <w:t xml:space="preserve"> </w:t>
      </w:r>
      <w:proofErr w:type="spellStart"/>
      <w:r w:rsidR="007463DB" w:rsidRPr="00C91762">
        <w:rPr>
          <w:rFonts w:ascii="Times New Roman" w:hAnsi="Times New Roman" w:cs="Arial"/>
          <w:color w:val="323233"/>
          <w:lang w:val="de-DE"/>
        </w:rPr>
        <w:t>gan</w:t>
      </w:r>
      <w:proofErr w:type="spellEnd"/>
      <w:r w:rsidR="007463DB" w:rsidRPr="00C91762">
        <w:rPr>
          <w:rFonts w:ascii="Times New Roman" w:hAnsi="Times New Roman" w:cs="Arial"/>
          <w:color w:val="323233"/>
          <w:lang w:val="de-DE"/>
        </w:rPr>
        <w:t xml:space="preserve"> </w:t>
      </w:r>
      <w:proofErr w:type="spellStart"/>
      <w:r w:rsidR="007463DB" w:rsidRPr="00C91762">
        <w:rPr>
          <w:rFonts w:ascii="Times New Roman" w:hAnsi="Times New Roman" w:cs="Arial"/>
          <w:color w:val="323233"/>
          <w:lang w:val="de-DE"/>
        </w:rPr>
        <w:t>nav</w:t>
      </w:r>
      <w:proofErr w:type="spellEnd"/>
      <w:r w:rsidR="007463DB" w:rsidRPr="00C91762">
        <w:rPr>
          <w:rFonts w:ascii="Times New Roman" w:hAnsi="Times New Roman" w:cs="Arial"/>
          <w:color w:val="323233"/>
          <w:lang w:val="de-DE"/>
        </w:rPr>
        <w:t xml:space="preserve"> </w:t>
      </w:r>
      <w:proofErr w:type="spellStart"/>
      <w:r w:rsidR="007463DB" w:rsidRPr="00C91762">
        <w:rPr>
          <w:rFonts w:ascii="Times New Roman" w:hAnsi="Times New Roman" w:cs="Arial"/>
          <w:color w:val="323233"/>
          <w:lang w:val="de-DE"/>
        </w:rPr>
        <w:t>ietverta</w:t>
      </w:r>
      <w:proofErr w:type="spellEnd"/>
      <w:r w:rsidR="007463DB" w:rsidRPr="00C91762">
        <w:rPr>
          <w:rFonts w:ascii="Times New Roman" w:hAnsi="Times New Roman" w:cs="Arial"/>
          <w:color w:val="323233"/>
          <w:lang w:val="de-DE"/>
        </w:rPr>
        <w:t xml:space="preserve"> </w:t>
      </w:r>
      <w:proofErr w:type="spellStart"/>
      <w:r w:rsidR="007463DB" w:rsidRPr="00C91762">
        <w:rPr>
          <w:rFonts w:ascii="Times New Roman" w:hAnsi="Times New Roman" w:cs="Arial"/>
          <w:color w:val="323233"/>
          <w:lang w:val="de-DE"/>
        </w:rPr>
        <w:t>nevienā</w:t>
      </w:r>
      <w:proofErr w:type="spellEnd"/>
      <w:r w:rsidR="007463DB" w:rsidRPr="00C91762">
        <w:rPr>
          <w:rFonts w:ascii="Times New Roman" w:hAnsi="Times New Roman" w:cs="Arial"/>
          <w:color w:val="323233"/>
          <w:lang w:val="de-DE"/>
        </w:rPr>
        <w:t xml:space="preserve"> </w:t>
      </w:r>
      <w:proofErr w:type="spellStart"/>
      <w:r w:rsidR="007463DB" w:rsidRPr="00C91762">
        <w:rPr>
          <w:rFonts w:ascii="Times New Roman" w:hAnsi="Times New Roman" w:cs="Arial"/>
          <w:color w:val="323233"/>
          <w:lang w:val="de-DE"/>
        </w:rPr>
        <w:t>Vācijas</w:t>
      </w:r>
      <w:proofErr w:type="spellEnd"/>
      <w:r w:rsidR="007463DB" w:rsidRPr="00C91762">
        <w:rPr>
          <w:rFonts w:ascii="Times New Roman" w:hAnsi="Times New Roman" w:cs="Arial"/>
          <w:color w:val="323233"/>
          <w:lang w:val="de-DE"/>
        </w:rPr>
        <w:t xml:space="preserve"> </w:t>
      </w:r>
      <w:proofErr w:type="spellStart"/>
      <w:r w:rsidR="007463DB" w:rsidRPr="00C91762">
        <w:rPr>
          <w:rFonts w:ascii="Times New Roman" w:hAnsi="Times New Roman" w:cs="Arial"/>
          <w:color w:val="323233"/>
          <w:lang w:val="de-DE"/>
        </w:rPr>
        <w:t>normatīvajā</w:t>
      </w:r>
      <w:proofErr w:type="spellEnd"/>
      <w:r w:rsidR="007463DB" w:rsidRPr="00C91762">
        <w:rPr>
          <w:rFonts w:ascii="Times New Roman" w:hAnsi="Times New Roman" w:cs="Arial"/>
          <w:color w:val="323233"/>
          <w:lang w:val="de-DE"/>
        </w:rPr>
        <w:t xml:space="preserve"> </w:t>
      </w:r>
      <w:proofErr w:type="spellStart"/>
      <w:r w:rsidR="007463DB" w:rsidRPr="00C91762">
        <w:rPr>
          <w:rFonts w:ascii="Times New Roman" w:hAnsi="Times New Roman" w:cs="Arial"/>
          <w:color w:val="323233"/>
          <w:lang w:val="de-DE"/>
        </w:rPr>
        <w:t>tiesību</w:t>
      </w:r>
      <w:proofErr w:type="spellEnd"/>
      <w:r w:rsidR="007463DB" w:rsidRPr="00C91762">
        <w:rPr>
          <w:rFonts w:ascii="Times New Roman" w:hAnsi="Times New Roman" w:cs="Arial"/>
          <w:color w:val="323233"/>
          <w:lang w:val="de-DE"/>
        </w:rPr>
        <w:t xml:space="preserve"> </w:t>
      </w:r>
      <w:proofErr w:type="spellStart"/>
      <w:r w:rsidR="007463DB" w:rsidRPr="00C91762">
        <w:rPr>
          <w:rFonts w:ascii="Times New Roman" w:hAnsi="Times New Roman" w:cs="Arial"/>
          <w:color w:val="323233"/>
          <w:lang w:val="de-DE"/>
        </w:rPr>
        <w:t>aktā</w:t>
      </w:r>
      <w:proofErr w:type="spellEnd"/>
      <w:r w:rsidR="007463DB" w:rsidRPr="00C91762">
        <w:rPr>
          <w:rFonts w:ascii="Times New Roman" w:hAnsi="Times New Roman" w:cs="Arial"/>
          <w:color w:val="323233"/>
          <w:lang w:val="de-DE"/>
        </w:rPr>
        <w:t xml:space="preserve">, </w:t>
      </w:r>
      <w:proofErr w:type="spellStart"/>
      <w:r w:rsidR="007463DB" w:rsidRPr="00C91762">
        <w:rPr>
          <w:rFonts w:ascii="Times New Roman" w:hAnsi="Times New Roman" w:cs="Arial"/>
          <w:color w:val="323233"/>
          <w:lang w:val="de-DE"/>
        </w:rPr>
        <w:t>bet</w:t>
      </w:r>
      <w:proofErr w:type="spellEnd"/>
      <w:r w:rsidR="007463DB" w:rsidRPr="00C91762">
        <w:rPr>
          <w:rFonts w:ascii="Times New Roman" w:hAnsi="Times New Roman" w:cs="Arial"/>
          <w:color w:val="323233"/>
          <w:lang w:val="de-DE"/>
        </w:rPr>
        <w:t xml:space="preserve"> </w:t>
      </w:r>
      <w:proofErr w:type="spellStart"/>
      <w:r w:rsidR="007463DB" w:rsidRPr="00C91762">
        <w:rPr>
          <w:rFonts w:ascii="Times New Roman" w:hAnsi="Times New Roman" w:cs="Arial"/>
          <w:color w:val="323233"/>
          <w:lang w:val="de-DE"/>
        </w:rPr>
        <w:t>izriet</w:t>
      </w:r>
      <w:proofErr w:type="spellEnd"/>
      <w:r w:rsidR="007463DB" w:rsidRPr="00C91762">
        <w:rPr>
          <w:rFonts w:ascii="Times New Roman" w:hAnsi="Times New Roman" w:cs="Arial"/>
          <w:color w:val="323233"/>
          <w:lang w:val="de-DE"/>
        </w:rPr>
        <w:t xml:space="preserve"> </w:t>
      </w:r>
      <w:proofErr w:type="spellStart"/>
      <w:r w:rsidR="007463DB" w:rsidRPr="00C91762">
        <w:rPr>
          <w:rFonts w:ascii="Times New Roman" w:hAnsi="Times New Roman" w:cs="Arial"/>
          <w:color w:val="323233"/>
          <w:lang w:val="de-DE"/>
        </w:rPr>
        <w:t>no</w:t>
      </w:r>
      <w:proofErr w:type="spellEnd"/>
      <w:r w:rsidR="007463DB" w:rsidRPr="00C91762">
        <w:rPr>
          <w:rFonts w:ascii="Times New Roman" w:hAnsi="Times New Roman" w:cs="Arial"/>
          <w:color w:val="323233"/>
          <w:lang w:val="de-DE"/>
        </w:rPr>
        <w:t xml:space="preserve"> </w:t>
      </w:r>
      <w:proofErr w:type="spellStart"/>
      <w:r w:rsidR="007463DB" w:rsidRPr="00C91762">
        <w:rPr>
          <w:rFonts w:ascii="Times New Roman" w:hAnsi="Times New Roman" w:cs="Arial"/>
          <w:color w:val="323233"/>
          <w:lang w:val="de-DE"/>
        </w:rPr>
        <w:t>tiesu</w:t>
      </w:r>
      <w:proofErr w:type="spellEnd"/>
      <w:r w:rsidR="007463DB" w:rsidRPr="00C91762">
        <w:rPr>
          <w:rFonts w:ascii="Times New Roman" w:hAnsi="Times New Roman" w:cs="Arial"/>
          <w:color w:val="323233"/>
          <w:lang w:val="de-DE"/>
        </w:rPr>
        <w:t xml:space="preserve"> </w:t>
      </w:r>
      <w:proofErr w:type="spellStart"/>
      <w:r w:rsidR="007463DB" w:rsidRPr="00C91762">
        <w:rPr>
          <w:rFonts w:ascii="Times New Roman" w:hAnsi="Times New Roman" w:cs="Arial"/>
          <w:color w:val="323233"/>
          <w:lang w:val="de-DE"/>
        </w:rPr>
        <w:t>prakses</w:t>
      </w:r>
      <w:proofErr w:type="spellEnd"/>
      <w:r w:rsidR="007463DB" w:rsidRPr="00C91762">
        <w:rPr>
          <w:rFonts w:ascii="Times New Roman" w:hAnsi="Times New Roman" w:cs="Arial"/>
          <w:color w:val="323233"/>
          <w:lang w:val="de-DE"/>
        </w:rPr>
        <w:t xml:space="preserve"> </w:t>
      </w:r>
      <w:proofErr w:type="spellStart"/>
      <w:r w:rsidR="007463DB" w:rsidRPr="00C91762">
        <w:rPr>
          <w:rFonts w:ascii="Times New Roman" w:hAnsi="Times New Roman" w:cs="Arial"/>
          <w:color w:val="323233"/>
          <w:lang w:val="de-DE"/>
        </w:rPr>
        <w:t>un</w:t>
      </w:r>
      <w:proofErr w:type="spellEnd"/>
      <w:r w:rsidR="007463DB" w:rsidRPr="00C91762">
        <w:rPr>
          <w:rFonts w:ascii="Times New Roman" w:hAnsi="Times New Roman" w:cs="Arial"/>
          <w:color w:val="323233"/>
          <w:lang w:val="de-DE"/>
        </w:rPr>
        <w:t xml:space="preserve"> </w:t>
      </w:r>
      <w:proofErr w:type="spellStart"/>
      <w:r w:rsidR="007463DB" w:rsidRPr="00C91762">
        <w:rPr>
          <w:rFonts w:ascii="Times New Roman" w:hAnsi="Times New Roman" w:cs="Arial"/>
          <w:color w:val="323233"/>
          <w:lang w:val="de-DE"/>
        </w:rPr>
        <w:t>tiesību</w:t>
      </w:r>
      <w:proofErr w:type="spellEnd"/>
      <w:r w:rsidR="007463DB" w:rsidRPr="00C91762">
        <w:rPr>
          <w:rFonts w:ascii="Times New Roman" w:hAnsi="Times New Roman" w:cs="Arial"/>
          <w:color w:val="323233"/>
          <w:lang w:val="de-DE"/>
        </w:rPr>
        <w:t xml:space="preserve"> </w:t>
      </w:r>
      <w:proofErr w:type="spellStart"/>
      <w:r w:rsidR="007463DB" w:rsidRPr="00C91762">
        <w:rPr>
          <w:rFonts w:ascii="Times New Roman" w:hAnsi="Times New Roman" w:cs="Arial"/>
          <w:color w:val="323233"/>
          <w:lang w:val="de-DE"/>
        </w:rPr>
        <w:t>doktrīnas</w:t>
      </w:r>
      <w:proofErr w:type="spellEnd"/>
      <w:r w:rsidR="007463DB" w:rsidRPr="00C91762">
        <w:rPr>
          <w:rFonts w:ascii="Times New Roman" w:hAnsi="Times New Roman" w:cs="Arial"/>
          <w:color w:val="323233"/>
          <w:lang w:val="de-DE"/>
        </w:rPr>
        <w:t>.</w:t>
      </w:r>
      <w:r w:rsidR="007463DB" w:rsidRPr="00C91762">
        <w:rPr>
          <w:rStyle w:val="FootnoteReference"/>
          <w:rFonts w:ascii="Times New Roman" w:hAnsi="Times New Roman" w:cs="Arial"/>
          <w:color w:val="323233"/>
        </w:rPr>
        <w:footnoteReference w:id="98"/>
      </w:r>
    </w:p>
    <w:p w14:paraId="6CFCA54C" w14:textId="77777777" w:rsidR="00114953" w:rsidRPr="00C91762" w:rsidRDefault="00114953" w:rsidP="00114953">
      <w:pPr>
        <w:jc w:val="both"/>
        <w:rPr>
          <w:rFonts w:ascii="Times New Roman" w:hAnsi="Times New Roman" w:cs="Arial"/>
          <w:color w:val="323233"/>
          <w:lang w:val="de-DE"/>
        </w:rPr>
      </w:pPr>
    </w:p>
    <w:p w14:paraId="335E4933" w14:textId="1CB51466" w:rsidR="00114953" w:rsidRPr="000C7C76" w:rsidRDefault="00114953" w:rsidP="00114953">
      <w:pPr>
        <w:ind w:firstLine="708"/>
        <w:jc w:val="both"/>
        <w:rPr>
          <w:rFonts w:asciiTheme="majorBidi" w:hAnsiTheme="majorBidi" w:cstheme="majorBidi"/>
          <w:lang w:val="de-DE"/>
        </w:rPr>
      </w:pPr>
      <w:r w:rsidRPr="00C91762">
        <w:rPr>
          <w:rFonts w:ascii="Times New Roman" w:hAnsi="Times New Roman" w:cs="Arial"/>
          <w:color w:val="323233"/>
          <w:lang w:val="de-DE"/>
        </w:rPr>
        <w:t xml:space="preserve">Rodas </w:t>
      </w:r>
      <w:proofErr w:type="spellStart"/>
      <w:r w:rsidRPr="00C91762">
        <w:rPr>
          <w:rFonts w:ascii="Times New Roman" w:hAnsi="Times New Roman" w:cs="Arial"/>
          <w:color w:val="323233"/>
          <w:lang w:val="de-DE"/>
        </w:rPr>
        <w:t>jautājums</w:t>
      </w:r>
      <w:proofErr w:type="spellEnd"/>
      <w:r w:rsidRPr="00C91762">
        <w:rPr>
          <w:rFonts w:ascii="Times New Roman" w:hAnsi="Times New Roman" w:cs="Arial"/>
          <w:color w:val="323233"/>
          <w:lang w:val="de-DE"/>
        </w:rPr>
        <w:t xml:space="preserve">, </w:t>
      </w:r>
      <w:proofErr w:type="spellStart"/>
      <w:r w:rsidRPr="00C91762">
        <w:rPr>
          <w:rFonts w:ascii="Times New Roman" w:hAnsi="Times New Roman" w:cs="Arial"/>
          <w:color w:val="323233"/>
          <w:lang w:val="de-DE"/>
        </w:rPr>
        <w:t>vai</w:t>
      </w:r>
      <w:proofErr w:type="spellEnd"/>
      <w:r w:rsidRPr="00C91762">
        <w:rPr>
          <w:rFonts w:ascii="Times New Roman" w:hAnsi="Times New Roman" w:cs="Arial"/>
          <w:color w:val="323233"/>
          <w:lang w:val="de-DE"/>
        </w:rPr>
        <w:t xml:space="preserve"> </w:t>
      </w:r>
      <w:proofErr w:type="spellStart"/>
      <w:proofErr w:type="gramStart"/>
      <w:r w:rsidRPr="00C91762">
        <w:rPr>
          <w:rFonts w:ascii="Times New Roman" w:hAnsi="Times New Roman" w:cs="Arial"/>
          <w:color w:val="323233"/>
          <w:lang w:val="de-DE"/>
        </w:rPr>
        <w:t>arī</w:t>
      </w:r>
      <w:proofErr w:type="spellEnd"/>
      <w:r w:rsidRPr="00C91762">
        <w:rPr>
          <w:rFonts w:ascii="Times New Roman" w:hAnsi="Times New Roman" w:cs="Arial"/>
          <w:color w:val="323233"/>
          <w:lang w:val="de-DE"/>
        </w:rPr>
        <w:t xml:space="preserve">  </w:t>
      </w:r>
      <w:proofErr w:type="spellStart"/>
      <w:r w:rsidRPr="00C91762">
        <w:rPr>
          <w:rFonts w:ascii="Times New Roman" w:hAnsi="Times New Roman" w:cs="Arial"/>
          <w:color w:val="323233"/>
          <w:lang w:val="de-DE"/>
        </w:rPr>
        <w:t>Latvijā</w:t>
      </w:r>
      <w:proofErr w:type="spellEnd"/>
      <w:proofErr w:type="gramEnd"/>
      <w:r w:rsidRPr="00C91762">
        <w:rPr>
          <w:rFonts w:ascii="Times New Roman" w:hAnsi="Times New Roman" w:cs="Arial"/>
          <w:color w:val="323233"/>
          <w:lang w:val="de-DE"/>
        </w:rPr>
        <w:t xml:space="preserve"> </w:t>
      </w:r>
      <w:proofErr w:type="spellStart"/>
      <w:r w:rsidRPr="00C91762">
        <w:rPr>
          <w:rFonts w:ascii="Times New Roman" w:hAnsi="Times New Roman" w:cs="Arial"/>
          <w:color w:val="323233"/>
          <w:lang w:val="de-DE"/>
        </w:rPr>
        <w:t>var</w:t>
      </w:r>
      <w:proofErr w:type="spellEnd"/>
      <w:r w:rsidRPr="00C91762">
        <w:rPr>
          <w:rFonts w:ascii="Times New Roman" w:hAnsi="Times New Roman" w:cs="Arial"/>
          <w:color w:val="323233"/>
          <w:lang w:val="de-DE"/>
        </w:rPr>
        <w:t xml:space="preserve"> </w:t>
      </w:r>
      <w:proofErr w:type="spellStart"/>
      <w:r w:rsidRPr="00C91762">
        <w:rPr>
          <w:rFonts w:ascii="Times New Roman" w:hAnsi="Times New Roman" w:cs="Arial"/>
          <w:color w:val="323233"/>
          <w:lang w:val="de-DE"/>
        </w:rPr>
        <w:t>tikt</w:t>
      </w:r>
      <w:proofErr w:type="spellEnd"/>
      <w:r w:rsidRPr="00C91762">
        <w:rPr>
          <w:rFonts w:ascii="Times New Roman" w:hAnsi="Times New Roman" w:cs="Arial"/>
          <w:color w:val="323233"/>
          <w:lang w:val="de-DE"/>
        </w:rPr>
        <w:t xml:space="preserve"> </w:t>
      </w:r>
      <w:proofErr w:type="spellStart"/>
      <w:r w:rsidRPr="00C91762">
        <w:rPr>
          <w:rFonts w:ascii="Times New Roman" w:hAnsi="Times New Roman" w:cs="Arial"/>
          <w:color w:val="323233"/>
          <w:lang w:val="de-DE"/>
        </w:rPr>
        <w:t>pielietota</w:t>
      </w:r>
      <w:proofErr w:type="spellEnd"/>
      <w:r w:rsidRPr="00C91762">
        <w:rPr>
          <w:rFonts w:ascii="Times New Roman" w:hAnsi="Times New Roman" w:cs="Arial"/>
          <w:color w:val="323233"/>
          <w:lang w:val="de-DE"/>
        </w:rPr>
        <w:t xml:space="preserve"> </w:t>
      </w:r>
      <w:proofErr w:type="spellStart"/>
      <w:r w:rsidR="00861A5A" w:rsidRPr="00C91762">
        <w:rPr>
          <w:rFonts w:ascii="Times New Roman" w:hAnsi="Times New Roman" w:cs="Arial"/>
          <w:color w:val="323233"/>
          <w:lang w:val="de-DE"/>
        </w:rPr>
        <w:t>ārvalsts</w:t>
      </w:r>
      <w:proofErr w:type="spellEnd"/>
      <w:r w:rsidR="00861A5A" w:rsidRPr="00C91762">
        <w:rPr>
          <w:rFonts w:ascii="Times New Roman" w:hAnsi="Times New Roman" w:cs="Arial"/>
          <w:color w:val="323233"/>
          <w:lang w:val="de-DE"/>
        </w:rPr>
        <w:t xml:space="preserve"> </w:t>
      </w:r>
      <w:proofErr w:type="spellStart"/>
      <w:r w:rsidRPr="00C91762">
        <w:rPr>
          <w:rFonts w:ascii="Times New Roman" w:hAnsi="Times New Roman" w:cs="Arial"/>
          <w:color w:val="323233"/>
          <w:lang w:val="de-DE"/>
        </w:rPr>
        <w:t>publisko</w:t>
      </w:r>
      <w:proofErr w:type="spellEnd"/>
      <w:r w:rsidRPr="00C91762">
        <w:rPr>
          <w:rFonts w:ascii="Times New Roman" w:hAnsi="Times New Roman" w:cs="Arial"/>
          <w:color w:val="323233"/>
          <w:lang w:val="de-DE"/>
        </w:rPr>
        <w:t xml:space="preserve"> </w:t>
      </w:r>
      <w:proofErr w:type="spellStart"/>
      <w:r w:rsidRPr="00C91762">
        <w:rPr>
          <w:rFonts w:ascii="Times New Roman" w:hAnsi="Times New Roman" w:cs="Arial"/>
          <w:color w:val="323233"/>
          <w:lang w:val="de-DE"/>
        </w:rPr>
        <w:t>dokumentu</w:t>
      </w:r>
      <w:proofErr w:type="spellEnd"/>
      <w:r w:rsidRPr="00C91762">
        <w:rPr>
          <w:rFonts w:ascii="Times New Roman" w:hAnsi="Times New Roman" w:cs="Arial"/>
          <w:color w:val="323233"/>
          <w:lang w:val="de-DE"/>
        </w:rPr>
        <w:t xml:space="preserve"> </w:t>
      </w:r>
      <w:proofErr w:type="spellStart"/>
      <w:r w:rsidRPr="00C91762">
        <w:rPr>
          <w:rFonts w:ascii="Times New Roman" w:hAnsi="Times New Roman" w:cs="Arial"/>
          <w:color w:val="323233"/>
          <w:lang w:val="de-DE"/>
        </w:rPr>
        <w:t>atzīšanas</w:t>
      </w:r>
      <w:proofErr w:type="spellEnd"/>
      <w:r w:rsidRPr="00C91762">
        <w:rPr>
          <w:rFonts w:ascii="Times New Roman" w:hAnsi="Times New Roman" w:cs="Arial"/>
          <w:color w:val="323233"/>
          <w:lang w:val="de-DE"/>
        </w:rPr>
        <w:t xml:space="preserve"> </w:t>
      </w:r>
      <w:proofErr w:type="spellStart"/>
      <w:r w:rsidRPr="00C91762">
        <w:rPr>
          <w:rFonts w:ascii="Times New Roman" w:hAnsi="Times New Roman" w:cs="Arial"/>
          <w:color w:val="323233"/>
          <w:lang w:val="de-DE"/>
        </w:rPr>
        <w:t>metode</w:t>
      </w:r>
      <w:proofErr w:type="spellEnd"/>
      <w:r w:rsidRPr="00C91762">
        <w:rPr>
          <w:rFonts w:ascii="Times New Roman" w:hAnsi="Times New Roman" w:cs="Arial"/>
          <w:color w:val="323233"/>
          <w:lang w:val="de-DE"/>
        </w:rPr>
        <w:t xml:space="preserve"> ? </w:t>
      </w:r>
      <w:proofErr w:type="spellStart"/>
      <w:r w:rsidRPr="00C91762">
        <w:rPr>
          <w:rFonts w:ascii="Times New Roman" w:hAnsi="Times New Roman" w:cs="Arial"/>
          <w:color w:val="323233"/>
          <w:lang w:val="de-DE"/>
        </w:rPr>
        <w:t>Saskaņā</w:t>
      </w:r>
      <w:proofErr w:type="spellEnd"/>
      <w:r w:rsidRPr="00C91762">
        <w:rPr>
          <w:rFonts w:ascii="Times New Roman" w:hAnsi="Times New Roman" w:cs="Arial"/>
          <w:color w:val="323233"/>
          <w:lang w:val="de-DE"/>
        </w:rPr>
        <w:t xml:space="preserve"> </w:t>
      </w:r>
      <w:proofErr w:type="spellStart"/>
      <w:r w:rsidRPr="00C91762">
        <w:rPr>
          <w:rFonts w:ascii="Times New Roman" w:hAnsi="Times New Roman" w:cs="Arial"/>
          <w:color w:val="323233"/>
          <w:lang w:val="de-DE"/>
        </w:rPr>
        <w:t>ar</w:t>
      </w:r>
      <w:proofErr w:type="spellEnd"/>
      <w:r w:rsidRPr="00C91762">
        <w:rPr>
          <w:rFonts w:ascii="Times New Roman" w:hAnsi="Times New Roman" w:cs="Arial"/>
          <w:color w:val="323233"/>
          <w:lang w:val="de-DE"/>
        </w:rPr>
        <w:t xml:space="preserve"> </w:t>
      </w:r>
      <w:proofErr w:type="spellStart"/>
      <w:r w:rsidRPr="00C91762">
        <w:rPr>
          <w:rFonts w:asciiTheme="majorBidi" w:hAnsiTheme="majorBidi" w:cstheme="majorBidi"/>
          <w:lang w:val="de-DE"/>
        </w:rPr>
        <w:t>Notariāta</w:t>
      </w:r>
      <w:proofErr w:type="spellEnd"/>
      <w:r w:rsidRPr="00C91762">
        <w:rPr>
          <w:rFonts w:asciiTheme="majorBidi" w:hAnsiTheme="majorBidi" w:cstheme="majorBidi"/>
          <w:lang w:val="de-DE"/>
        </w:rPr>
        <w:t xml:space="preserve"> </w:t>
      </w:r>
      <w:proofErr w:type="spellStart"/>
      <w:r w:rsidRPr="00C91762">
        <w:rPr>
          <w:rFonts w:asciiTheme="majorBidi" w:hAnsiTheme="majorBidi" w:cstheme="majorBidi"/>
          <w:lang w:val="de-DE"/>
        </w:rPr>
        <w:t>likuma</w:t>
      </w:r>
      <w:proofErr w:type="spellEnd"/>
      <w:r w:rsidRPr="00C91762">
        <w:rPr>
          <w:rFonts w:asciiTheme="majorBidi" w:hAnsiTheme="majorBidi" w:cstheme="majorBidi"/>
          <w:lang w:val="de-DE"/>
        </w:rPr>
        <w:t xml:space="preserve"> 81.pantu</w:t>
      </w:r>
      <w:r w:rsidRPr="00C91762">
        <w:rPr>
          <w:rFonts w:asciiTheme="majorBidi" w:hAnsiTheme="majorBidi" w:cstheme="majorBidi"/>
          <w:b/>
          <w:bCs/>
          <w:lang w:val="de-DE"/>
        </w:rPr>
        <w:t xml:space="preserve"> </w:t>
      </w:r>
      <w:proofErr w:type="spellStart"/>
      <w:r w:rsidRPr="00C91762">
        <w:rPr>
          <w:rFonts w:asciiTheme="majorBidi" w:hAnsiTheme="majorBidi" w:cstheme="majorBidi"/>
          <w:lang w:val="de-DE"/>
        </w:rPr>
        <w:t>notariālie</w:t>
      </w:r>
      <w:proofErr w:type="spellEnd"/>
      <w:r w:rsidRPr="00C91762">
        <w:rPr>
          <w:rFonts w:asciiTheme="majorBidi" w:hAnsiTheme="majorBidi" w:cstheme="majorBidi"/>
          <w:lang w:val="de-DE"/>
        </w:rPr>
        <w:t xml:space="preserve"> </w:t>
      </w:r>
      <w:proofErr w:type="spellStart"/>
      <w:r w:rsidRPr="00C91762">
        <w:rPr>
          <w:rFonts w:asciiTheme="majorBidi" w:hAnsiTheme="majorBidi" w:cstheme="majorBidi"/>
          <w:lang w:val="de-DE"/>
        </w:rPr>
        <w:t>akti</w:t>
      </w:r>
      <w:proofErr w:type="spellEnd"/>
      <w:r w:rsidRPr="00C91762">
        <w:rPr>
          <w:rFonts w:asciiTheme="majorBidi" w:hAnsiTheme="majorBidi" w:cstheme="majorBidi"/>
          <w:lang w:val="de-DE"/>
        </w:rPr>
        <w:t xml:space="preserve"> (82.pants) </w:t>
      </w:r>
      <w:proofErr w:type="spellStart"/>
      <w:r w:rsidRPr="00C91762">
        <w:rPr>
          <w:rFonts w:asciiTheme="majorBidi" w:hAnsiTheme="majorBidi" w:cstheme="majorBidi"/>
          <w:lang w:val="de-DE"/>
        </w:rPr>
        <w:t>un</w:t>
      </w:r>
      <w:proofErr w:type="spellEnd"/>
      <w:r w:rsidRPr="00C91762">
        <w:rPr>
          <w:rFonts w:asciiTheme="majorBidi" w:hAnsiTheme="majorBidi" w:cstheme="majorBidi"/>
          <w:lang w:val="de-DE"/>
        </w:rPr>
        <w:t xml:space="preserve"> </w:t>
      </w:r>
      <w:proofErr w:type="spellStart"/>
      <w:r w:rsidRPr="00C91762">
        <w:rPr>
          <w:rFonts w:asciiTheme="majorBidi" w:hAnsiTheme="majorBidi" w:cstheme="majorBidi"/>
          <w:lang w:val="de-DE"/>
        </w:rPr>
        <w:t>apliecinājumi</w:t>
      </w:r>
      <w:proofErr w:type="spellEnd"/>
      <w:r w:rsidRPr="00C91762">
        <w:rPr>
          <w:rFonts w:asciiTheme="majorBidi" w:hAnsiTheme="majorBidi" w:cstheme="majorBidi"/>
          <w:lang w:val="de-DE"/>
        </w:rPr>
        <w:t xml:space="preserve"> (108.pants)</w:t>
      </w:r>
      <w:r w:rsidRPr="00C91762">
        <w:rPr>
          <w:rStyle w:val="FootnoteReference"/>
          <w:rFonts w:asciiTheme="majorBidi" w:hAnsiTheme="majorBidi" w:cstheme="majorBidi"/>
        </w:rPr>
        <w:footnoteReference w:id="99"/>
      </w:r>
      <w:r w:rsidRPr="00C91762">
        <w:rPr>
          <w:rFonts w:asciiTheme="majorBidi" w:hAnsiTheme="majorBidi" w:cstheme="majorBidi"/>
          <w:lang w:val="de-DE"/>
        </w:rPr>
        <w:t xml:space="preserve">, </w:t>
      </w:r>
      <w:proofErr w:type="spellStart"/>
      <w:r w:rsidRPr="00C91762">
        <w:rPr>
          <w:rFonts w:asciiTheme="majorBidi" w:hAnsiTheme="majorBidi" w:cstheme="majorBidi"/>
          <w:lang w:val="de-DE"/>
        </w:rPr>
        <w:t>kurus</w:t>
      </w:r>
      <w:proofErr w:type="spellEnd"/>
      <w:r w:rsidRPr="00C91762">
        <w:rPr>
          <w:rFonts w:asciiTheme="majorBidi" w:hAnsiTheme="majorBidi" w:cstheme="majorBidi"/>
          <w:lang w:val="de-DE"/>
        </w:rPr>
        <w:t xml:space="preserve"> </w:t>
      </w:r>
      <w:proofErr w:type="spellStart"/>
      <w:r w:rsidRPr="00C91762">
        <w:rPr>
          <w:rFonts w:asciiTheme="majorBidi" w:hAnsiTheme="majorBidi" w:cstheme="majorBidi"/>
          <w:lang w:val="de-DE"/>
        </w:rPr>
        <w:t>taisa</w:t>
      </w:r>
      <w:proofErr w:type="spellEnd"/>
      <w:r w:rsidRPr="00C91762">
        <w:rPr>
          <w:rFonts w:asciiTheme="majorBidi" w:hAnsiTheme="majorBidi" w:cstheme="majorBidi"/>
          <w:lang w:val="de-DE"/>
        </w:rPr>
        <w:t xml:space="preserve"> </w:t>
      </w:r>
      <w:proofErr w:type="spellStart"/>
      <w:r w:rsidRPr="00C91762">
        <w:rPr>
          <w:rFonts w:asciiTheme="majorBidi" w:hAnsiTheme="majorBidi" w:cstheme="majorBidi"/>
          <w:lang w:val="de-DE"/>
        </w:rPr>
        <w:t>zvērināts</w:t>
      </w:r>
      <w:proofErr w:type="spellEnd"/>
      <w:r w:rsidRPr="00C91762">
        <w:rPr>
          <w:rFonts w:asciiTheme="majorBidi" w:hAnsiTheme="majorBidi" w:cstheme="majorBidi"/>
          <w:lang w:val="de-DE"/>
        </w:rPr>
        <w:t xml:space="preserve"> </w:t>
      </w:r>
      <w:proofErr w:type="spellStart"/>
      <w:r w:rsidRPr="00C91762">
        <w:rPr>
          <w:rFonts w:asciiTheme="majorBidi" w:hAnsiTheme="majorBidi" w:cstheme="majorBidi"/>
          <w:lang w:val="de-DE"/>
        </w:rPr>
        <w:t>notārs</w:t>
      </w:r>
      <w:proofErr w:type="spellEnd"/>
      <w:r w:rsidRPr="00C91762">
        <w:rPr>
          <w:rFonts w:asciiTheme="majorBidi" w:hAnsiTheme="majorBidi" w:cstheme="majorBidi"/>
          <w:lang w:val="de-DE"/>
        </w:rPr>
        <w:t xml:space="preserve">, </w:t>
      </w:r>
      <w:proofErr w:type="spellStart"/>
      <w:r w:rsidRPr="00C91762">
        <w:rPr>
          <w:rFonts w:asciiTheme="majorBidi" w:hAnsiTheme="majorBidi" w:cstheme="majorBidi"/>
          <w:lang w:val="de-DE"/>
        </w:rPr>
        <w:t>izņemot</w:t>
      </w:r>
      <w:proofErr w:type="spellEnd"/>
      <w:r w:rsidRPr="00C91762">
        <w:rPr>
          <w:rFonts w:asciiTheme="majorBidi" w:hAnsiTheme="majorBidi" w:cstheme="majorBidi"/>
          <w:lang w:val="de-DE"/>
        </w:rPr>
        <w:t xml:space="preserve"> </w:t>
      </w:r>
      <w:proofErr w:type="spellStart"/>
      <w:r w:rsidRPr="00C91762">
        <w:rPr>
          <w:rFonts w:asciiTheme="majorBidi" w:hAnsiTheme="majorBidi" w:cstheme="majorBidi"/>
          <w:lang w:val="de-DE"/>
        </w:rPr>
        <w:t>šā</w:t>
      </w:r>
      <w:proofErr w:type="spellEnd"/>
      <w:r w:rsidRPr="00C91762">
        <w:rPr>
          <w:rFonts w:asciiTheme="majorBidi" w:hAnsiTheme="majorBidi" w:cstheme="majorBidi"/>
          <w:lang w:val="de-DE"/>
        </w:rPr>
        <w:t xml:space="preserve"> </w:t>
      </w:r>
      <w:proofErr w:type="spellStart"/>
      <w:r w:rsidRPr="00C91762">
        <w:rPr>
          <w:rFonts w:asciiTheme="majorBidi" w:hAnsiTheme="majorBidi" w:cstheme="majorBidi"/>
          <w:lang w:val="de-DE"/>
        </w:rPr>
        <w:t>likuma</w:t>
      </w:r>
      <w:proofErr w:type="spellEnd"/>
      <w:r w:rsidRPr="00C91762">
        <w:rPr>
          <w:rFonts w:asciiTheme="majorBidi" w:hAnsiTheme="majorBidi" w:cstheme="majorBidi"/>
          <w:lang w:val="de-DE"/>
        </w:rPr>
        <w:t xml:space="preserve"> 116.pantā </w:t>
      </w:r>
      <w:proofErr w:type="spellStart"/>
      <w:r w:rsidRPr="00C91762">
        <w:rPr>
          <w:rFonts w:asciiTheme="majorBidi" w:hAnsiTheme="majorBidi" w:cstheme="majorBidi"/>
          <w:lang w:val="de-DE"/>
        </w:rPr>
        <w:t>minētos</w:t>
      </w:r>
      <w:proofErr w:type="spellEnd"/>
      <w:r w:rsidRPr="00C91762">
        <w:rPr>
          <w:rFonts w:asciiTheme="majorBidi" w:hAnsiTheme="majorBidi" w:cstheme="majorBidi"/>
          <w:lang w:val="de-DE"/>
        </w:rPr>
        <w:t xml:space="preserve"> </w:t>
      </w:r>
      <w:proofErr w:type="spellStart"/>
      <w:r w:rsidRPr="00C91762">
        <w:rPr>
          <w:rFonts w:asciiTheme="majorBidi" w:hAnsiTheme="majorBidi" w:cstheme="majorBidi"/>
          <w:lang w:val="de-DE"/>
        </w:rPr>
        <w:t>dokumentus</w:t>
      </w:r>
      <w:proofErr w:type="spellEnd"/>
      <w:r w:rsidRPr="00C91762">
        <w:rPr>
          <w:rFonts w:asciiTheme="majorBidi" w:hAnsiTheme="majorBidi" w:cstheme="majorBidi"/>
          <w:lang w:val="de-DE"/>
        </w:rPr>
        <w:t xml:space="preserve">, </w:t>
      </w:r>
      <w:proofErr w:type="spellStart"/>
      <w:r w:rsidRPr="00C91762">
        <w:rPr>
          <w:rFonts w:asciiTheme="majorBidi" w:hAnsiTheme="majorBidi" w:cstheme="majorBidi"/>
          <w:lang w:val="de-DE"/>
        </w:rPr>
        <w:t>ir</w:t>
      </w:r>
      <w:proofErr w:type="spellEnd"/>
      <w:r w:rsidRPr="00C91762">
        <w:rPr>
          <w:rFonts w:asciiTheme="majorBidi" w:hAnsiTheme="majorBidi" w:cstheme="majorBidi"/>
          <w:lang w:val="de-DE"/>
        </w:rPr>
        <w:t xml:space="preserve"> </w:t>
      </w:r>
      <w:proofErr w:type="spellStart"/>
      <w:r w:rsidRPr="00C91762">
        <w:rPr>
          <w:rFonts w:asciiTheme="majorBidi" w:hAnsiTheme="majorBidi" w:cstheme="majorBidi"/>
          <w:b/>
          <w:bCs/>
          <w:lang w:val="de-DE"/>
        </w:rPr>
        <w:t>publiski</w:t>
      </w:r>
      <w:proofErr w:type="spellEnd"/>
      <w:r w:rsidRPr="00C91762">
        <w:rPr>
          <w:rFonts w:asciiTheme="majorBidi" w:hAnsiTheme="majorBidi" w:cstheme="majorBidi"/>
          <w:b/>
          <w:bCs/>
          <w:lang w:val="de-DE"/>
        </w:rPr>
        <w:t xml:space="preserve"> </w:t>
      </w:r>
      <w:proofErr w:type="spellStart"/>
      <w:r w:rsidRPr="00C91762">
        <w:rPr>
          <w:rFonts w:asciiTheme="majorBidi" w:hAnsiTheme="majorBidi" w:cstheme="majorBidi"/>
          <w:b/>
          <w:bCs/>
          <w:lang w:val="de-DE"/>
        </w:rPr>
        <w:t>dokumenti</w:t>
      </w:r>
      <w:proofErr w:type="spellEnd"/>
      <w:r w:rsidRPr="00C91762">
        <w:rPr>
          <w:rFonts w:asciiTheme="majorBidi" w:hAnsiTheme="majorBidi" w:cstheme="majorBidi"/>
          <w:lang w:val="de-DE"/>
        </w:rPr>
        <w:t xml:space="preserve">. </w:t>
      </w:r>
      <w:proofErr w:type="spellStart"/>
      <w:r w:rsidRPr="00C91762">
        <w:rPr>
          <w:rFonts w:asciiTheme="majorBidi" w:hAnsiTheme="majorBidi" w:cstheme="majorBidi"/>
          <w:lang w:val="de-DE"/>
        </w:rPr>
        <w:t>Tātad</w:t>
      </w:r>
      <w:proofErr w:type="spellEnd"/>
      <w:r w:rsidRPr="00C91762">
        <w:rPr>
          <w:rFonts w:asciiTheme="majorBidi" w:hAnsiTheme="majorBidi" w:cstheme="majorBidi"/>
          <w:lang w:val="de-DE"/>
        </w:rPr>
        <w:t xml:space="preserve">, </w:t>
      </w:r>
      <w:proofErr w:type="spellStart"/>
      <w:r w:rsidRPr="00C91762">
        <w:rPr>
          <w:rFonts w:asciiTheme="majorBidi" w:hAnsiTheme="majorBidi" w:cstheme="majorBidi"/>
          <w:lang w:val="de-DE"/>
        </w:rPr>
        <w:t>ārvalsts</w:t>
      </w:r>
      <w:proofErr w:type="spellEnd"/>
      <w:r w:rsidRPr="00C91762">
        <w:rPr>
          <w:rFonts w:asciiTheme="majorBidi" w:hAnsiTheme="majorBidi" w:cstheme="majorBidi"/>
          <w:lang w:val="de-DE"/>
        </w:rPr>
        <w:t xml:space="preserve"> </w:t>
      </w:r>
      <w:proofErr w:type="spellStart"/>
      <w:r w:rsidRPr="00C91762">
        <w:rPr>
          <w:rFonts w:asciiTheme="majorBidi" w:hAnsiTheme="majorBidi" w:cstheme="majorBidi"/>
          <w:lang w:val="de-DE"/>
        </w:rPr>
        <w:t>publisks</w:t>
      </w:r>
      <w:proofErr w:type="spellEnd"/>
      <w:r w:rsidRPr="00C91762">
        <w:rPr>
          <w:rFonts w:asciiTheme="majorBidi" w:hAnsiTheme="majorBidi" w:cstheme="majorBidi"/>
          <w:lang w:val="de-DE"/>
        </w:rPr>
        <w:t xml:space="preserve"> </w:t>
      </w:r>
      <w:proofErr w:type="spellStart"/>
      <w:r w:rsidRPr="00C91762">
        <w:rPr>
          <w:rFonts w:asciiTheme="majorBidi" w:hAnsiTheme="majorBidi" w:cstheme="majorBidi"/>
          <w:lang w:val="de-DE"/>
        </w:rPr>
        <w:t>dokuments</w:t>
      </w:r>
      <w:proofErr w:type="spellEnd"/>
      <w:r w:rsidRPr="00C91762">
        <w:rPr>
          <w:rFonts w:asciiTheme="majorBidi" w:hAnsiTheme="majorBidi" w:cstheme="majorBidi"/>
          <w:lang w:val="de-DE"/>
        </w:rPr>
        <w:t xml:space="preserve"> </w:t>
      </w:r>
      <w:proofErr w:type="spellStart"/>
      <w:r w:rsidRPr="00C91762">
        <w:rPr>
          <w:rFonts w:asciiTheme="majorBidi" w:hAnsiTheme="majorBidi" w:cstheme="majorBidi"/>
          <w:lang w:val="de-DE"/>
        </w:rPr>
        <w:t>var</w:t>
      </w:r>
      <w:proofErr w:type="spellEnd"/>
      <w:r w:rsidRPr="00C91762">
        <w:rPr>
          <w:rFonts w:asciiTheme="majorBidi" w:hAnsiTheme="majorBidi" w:cstheme="majorBidi"/>
          <w:lang w:val="de-DE"/>
        </w:rPr>
        <w:t xml:space="preserve"> </w:t>
      </w:r>
      <w:proofErr w:type="spellStart"/>
      <w:r w:rsidRPr="00C91762">
        <w:rPr>
          <w:rFonts w:asciiTheme="majorBidi" w:hAnsiTheme="majorBidi" w:cstheme="majorBidi"/>
          <w:lang w:val="de-DE"/>
        </w:rPr>
        <w:t>tikt</w:t>
      </w:r>
      <w:proofErr w:type="spellEnd"/>
      <w:r w:rsidRPr="00C91762">
        <w:rPr>
          <w:rFonts w:asciiTheme="majorBidi" w:hAnsiTheme="majorBidi" w:cstheme="majorBidi"/>
          <w:lang w:val="de-DE"/>
        </w:rPr>
        <w:t xml:space="preserve"> </w:t>
      </w:r>
      <w:proofErr w:type="spellStart"/>
      <w:r w:rsidRPr="00C91762">
        <w:rPr>
          <w:rFonts w:asciiTheme="majorBidi" w:hAnsiTheme="majorBidi" w:cstheme="majorBidi"/>
          <w:lang w:val="de-DE"/>
        </w:rPr>
        <w:t>subsumēts</w:t>
      </w:r>
      <w:proofErr w:type="spellEnd"/>
      <w:r w:rsidRPr="00C91762">
        <w:rPr>
          <w:rFonts w:asciiTheme="majorBidi" w:hAnsiTheme="majorBidi" w:cstheme="majorBidi"/>
          <w:lang w:val="de-DE"/>
        </w:rPr>
        <w:t xml:space="preserve"> </w:t>
      </w:r>
      <w:proofErr w:type="spellStart"/>
      <w:r w:rsidRPr="00C91762">
        <w:rPr>
          <w:rFonts w:asciiTheme="majorBidi" w:hAnsiTheme="majorBidi" w:cstheme="majorBidi"/>
          <w:lang w:val="de-DE"/>
        </w:rPr>
        <w:t>šai</w:t>
      </w:r>
      <w:proofErr w:type="spellEnd"/>
      <w:r w:rsidRPr="00C91762">
        <w:rPr>
          <w:rFonts w:asciiTheme="majorBidi" w:hAnsiTheme="majorBidi" w:cstheme="majorBidi"/>
          <w:lang w:val="de-DE"/>
        </w:rPr>
        <w:t xml:space="preserve"> </w:t>
      </w:r>
      <w:proofErr w:type="spellStart"/>
      <w:r w:rsidRPr="00C91762">
        <w:rPr>
          <w:rFonts w:asciiTheme="majorBidi" w:hAnsiTheme="majorBidi" w:cstheme="majorBidi"/>
          <w:lang w:val="de-DE"/>
        </w:rPr>
        <w:t>tiesību</w:t>
      </w:r>
      <w:proofErr w:type="spellEnd"/>
      <w:r w:rsidRPr="00C91762">
        <w:rPr>
          <w:rFonts w:asciiTheme="majorBidi" w:hAnsiTheme="majorBidi" w:cstheme="majorBidi"/>
          <w:lang w:val="de-DE"/>
        </w:rPr>
        <w:t xml:space="preserve"> </w:t>
      </w:r>
      <w:proofErr w:type="spellStart"/>
      <w:r w:rsidRPr="00C91762">
        <w:rPr>
          <w:rFonts w:asciiTheme="majorBidi" w:hAnsiTheme="majorBidi" w:cstheme="majorBidi"/>
          <w:lang w:val="de-DE"/>
        </w:rPr>
        <w:t>normai</w:t>
      </w:r>
      <w:proofErr w:type="spellEnd"/>
      <w:r w:rsidRPr="00C91762">
        <w:rPr>
          <w:rFonts w:asciiTheme="majorBidi" w:hAnsiTheme="majorBidi" w:cstheme="majorBidi"/>
          <w:lang w:val="de-DE"/>
        </w:rPr>
        <w:t xml:space="preserve">, </w:t>
      </w:r>
      <w:proofErr w:type="spellStart"/>
      <w:r w:rsidRPr="00C91762">
        <w:rPr>
          <w:rFonts w:asciiTheme="majorBidi" w:hAnsiTheme="majorBidi" w:cstheme="majorBidi"/>
          <w:lang w:val="de-DE"/>
        </w:rPr>
        <w:t>noskaidrojot</w:t>
      </w:r>
      <w:proofErr w:type="spellEnd"/>
      <w:r w:rsidRPr="00C91762">
        <w:rPr>
          <w:rFonts w:asciiTheme="majorBidi" w:hAnsiTheme="majorBidi" w:cstheme="majorBidi"/>
          <w:lang w:val="de-DE"/>
        </w:rPr>
        <w:t xml:space="preserve">, </w:t>
      </w:r>
      <w:proofErr w:type="spellStart"/>
      <w:r w:rsidRPr="00C91762">
        <w:rPr>
          <w:rFonts w:asciiTheme="majorBidi" w:hAnsiTheme="majorBidi" w:cstheme="majorBidi"/>
          <w:lang w:val="de-DE"/>
        </w:rPr>
        <w:t>vai</w:t>
      </w:r>
      <w:proofErr w:type="spellEnd"/>
      <w:r w:rsidRPr="00C91762">
        <w:rPr>
          <w:rFonts w:asciiTheme="majorBidi" w:hAnsiTheme="majorBidi" w:cstheme="majorBidi"/>
          <w:lang w:val="de-DE"/>
        </w:rPr>
        <w:t xml:space="preserve"> </w:t>
      </w:r>
      <w:proofErr w:type="spellStart"/>
      <w:r w:rsidRPr="00C91762">
        <w:rPr>
          <w:rFonts w:asciiTheme="majorBidi" w:hAnsiTheme="majorBidi" w:cstheme="majorBidi"/>
          <w:lang w:val="de-DE"/>
        </w:rPr>
        <w:t>attiecīgais</w:t>
      </w:r>
      <w:proofErr w:type="spellEnd"/>
      <w:r w:rsidRPr="00C91762">
        <w:rPr>
          <w:rFonts w:asciiTheme="majorBidi" w:hAnsiTheme="majorBidi" w:cstheme="majorBidi"/>
          <w:lang w:val="de-DE"/>
        </w:rPr>
        <w:t xml:space="preserve"> </w:t>
      </w:r>
      <w:proofErr w:type="spellStart"/>
      <w:r w:rsidRPr="00C91762">
        <w:rPr>
          <w:rFonts w:asciiTheme="majorBidi" w:hAnsiTheme="majorBidi" w:cstheme="majorBidi"/>
          <w:lang w:val="de-DE"/>
        </w:rPr>
        <w:t>ārvalsts</w:t>
      </w:r>
      <w:proofErr w:type="spellEnd"/>
      <w:r w:rsidRPr="00C91762">
        <w:rPr>
          <w:rFonts w:asciiTheme="majorBidi" w:hAnsiTheme="majorBidi" w:cstheme="majorBidi"/>
          <w:lang w:val="de-DE"/>
        </w:rPr>
        <w:t xml:space="preserve"> </w:t>
      </w:r>
      <w:proofErr w:type="spellStart"/>
      <w:r w:rsidRPr="00C91762">
        <w:rPr>
          <w:rFonts w:asciiTheme="majorBidi" w:hAnsiTheme="majorBidi" w:cstheme="majorBidi"/>
          <w:lang w:val="de-DE"/>
        </w:rPr>
        <w:t>publiskais</w:t>
      </w:r>
      <w:proofErr w:type="spellEnd"/>
      <w:r w:rsidRPr="00C91762">
        <w:rPr>
          <w:rFonts w:asciiTheme="majorBidi" w:hAnsiTheme="majorBidi" w:cstheme="majorBidi"/>
          <w:lang w:val="de-DE"/>
        </w:rPr>
        <w:t xml:space="preserve"> </w:t>
      </w:r>
      <w:proofErr w:type="spellStart"/>
      <w:r w:rsidRPr="00C91762">
        <w:rPr>
          <w:rFonts w:asciiTheme="majorBidi" w:hAnsiTheme="majorBidi" w:cstheme="majorBidi"/>
          <w:lang w:val="de-DE"/>
        </w:rPr>
        <w:t>dokuments</w:t>
      </w:r>
      <w:proofErr w:type="spellEnd"/>
      <w:r w:rsidRPr="00C91762">
        <w:rPr>
          <w:rFonts w:asciiTheme="majorBidi" w:hAnsiTheme="majorBidi" w:cstheme="majorBidi"/>
          <w:lang w:val="de-DE"/>
        </w:rPr>
        <w:t xml:space="preserve"> </w:t>
      </w:r>
      <w:proofErr w:type="spellStart"/>
      <w:r w:rsidRPr="00C91762">
        <w:rPr>
          <w:rFonts w:asciiTheme="majorBidi" w:hAnsiTheme="majorBidi" w:cstheme="majorBidi"/>
          <w:lang w:val="de-DE"/>
        </w:rPr>
        <w:t>ir</w:t>
      </w:r>
      <w:proofErr w:type="spellEnd"/>
      <w:r w:rsidRPr="00C91762">
        <w:rPr>
          <w:rFonts w:asciiTheme="majorBidi" w:hAnsiTheme="majorBidi" w:cstheme="majorBidi"/>
          <w:lang w:val="de-DE"/>
        </w:rPr>
        <w:t xml:space="preserve"> </w:t>
      </w:r>
      <w:proofErr w:type="spellStart"/>
      <w:r w:rsidRPr="00C91762">
        <w:rPr>
          <w:rFonts w:asciiTheme="majorBidi" w:hAnsiTheme="majorBidi" w:cstheme="majorBidi"/>
          <w:lang w:val="de-DE"/>
        </w:rPr>
        <w:t>notariāls</w:t>
      </w:r>
      <w:proofErr w:type="spellEnd"/>
      <w:r w:rsidRPr="00C91762">
        <w:rPr>
          <w:rFonts w:asciiTheme="majorBidi" w:hAnsiTheme="majorBidi" w:cstheme="majorBidi"/>
          <w:lang w:val="de-DE"/>
        </w:rPr>
        <w:t xml:space="preserve"> </w:t>
      </w:r>
      <w:proofErr w:type="spellStart"/>
      <w:r w:rsidRPr="00C91762">
        <w:rPr>
          <w:rFonts w:asciiTheme="majorBidi" w:hAnsiTheme="majorBidi" w:cstheme="majorBidi"/>
          <w:lang w:val="de-DE"/>
        </w:rPr>
        <w:t>akts</w:t>
      </w:r>
      <w:proofErr w:type="spellEnd"/>
      <w:r w:rsidRPr="00C91762">
        <w:rPr>
          <w:rFonts w:asciiTheme="majorBidi" w:hAnsiTheme="majorBidi" w:cstheme="majorBidi"/>
          <w:lang w:val="de-DE"/>
        </w:rPr>
        <w:t xml:space="preserve"> </w:t>
      </w:r>
      <w:proofErr w:type="spellStart"/>
      <w:r w:rsidRPr="00C91762">
        <w:rPr>
          <w:rFonts w:asciiTheme="majorBidi" w:hAnsiTheme="majorBidi" w:cstheme="majorBidi"/>
          <w:lang w:val="de-DE"/>
        </w:rPr>
        <w:t>vai</w:t>
      </w:r>
      <w:proofErr w:type="spellEnd"/>
      <w:r w:rsidRPr="00C91762">
        <w:rPr>
          <w:rFonts w:asciiTheme="majorBidi" w:hAnsiTheme="majorBidi" w:cstheme="majorBidi"/>
          <w:lang w:val="de-DE"/>
        </w:rPr>
        <w:t xml:space="preserve"> </w:t>
      </w:r>
      <w:proofErr w:type="spellStart"/>
      <w:r w:rsidRPr="00C91762">
        <w:rPr>
          <w:rFonts w:asciiTheme="majorBidi" w:hAnsiTheme="majorBidi" w:cstheme="majorBidi"/>
          <w:lang w:val="de-DE"/>
        </w:rPr>
        <w:t>notariāls</w:t>
      </w:r>
      <w:proofErr w:type="spellEnd"/>
      <w:r w:rsidRPr="00C91762">
        <w:rPr>
          <w:rFonts w:asciiTheme="majorBidi" w:hAnsiTheme="majorBidi" w:cstheme="majorBidi"/>
          <w:lang w:val="de-DE"/>
        </w:rPr>
        <w:t xml:space="preserve"> </w:t>
      </w:r>
      <w:proofErr w:type="spellStart"/>
      <w:r w:rsidRPr="00C91762">
        <w:rPr>
          <w:rFonts w:asciiTheme="majorBidi" w:hAnsiTheme="majorBidi" w:cstheme="majorBidi"/>
          <w:lang w:val="de-DE"/>
        </w:rPr>
        <w:t>apliecinājums</w:t>
      </w:r>
      <w:proofErr w:type="spellEnd"/>
      <w:r w:rsidRPr="00C91762">
        <w:rPr>
          <w:rFonts w:asciiTheme="majorBidi" w:hAnsiTheme="majorBidi" w:cstheme="majorBidi"/>
          <w:lang w:val="de-DE"/>
        </w:rPr>
        <w:t xml:space="preserve"> Latvijas </w:t>
      </w:r>
      <w:proofErr w:type="spellStart"/>
      <w:r w:rsidRPr="00C91762">
        <w:rPr>
          <w:rFonts w:asciiTheme="majorBidi" w:hAnsiTheme="majorBidi" w:cstheme="majorBidi"/>
          <w:lang w:val="de-DE"/>
        </w:rPr>
        <w:t>normatīvo</w:t>
      </w:r>
      <w:proofErr w:type="spellEnd"/>
      <w:r w:rsidRPr="00C91762">
        <w:rPr>
          <w:rFonts w:asciiTheme="majorBidi" w:hAnsiTheme="majorBidi" w:cstheme="majorBidi"/>
          <w:lang w:val="de-DE"/>
        </w:rPr>
        <w:t xml:space="preserve"> </w:t>
      </w:r>
      <w:proofErr w:type="spellStart"/>
      <w:r w:rsidRPr="00C91762">
        <w:rPr>
          <w:rFonts w:asciiTheme="majorBidi" w:hAnsiTheme="majorBidi" w:cstheme="majorBidi"/>
          <w:lang w:val="de-DE"/>
        </w:rPr>
        <w:t>tiesību</w:t>
      </w:r>
      <w:proofErr w:type="spellEnd"/>
      <w:r w:rsidRPr="00C91762">
        <w:rPr>
          <w:rFonts w:asciiTheme="majorBidi" w:hAnsiTheme="majorBidi" w:cstheme="majorBidi"/>
          <w:lang w:val="de-DE"/>
        </w:rPr>
        <w:t xml:space="preserve"> </w:t>
      </w:r>
      <w:proofErr w:type="spellStart"/>
      <w:r w:rsidRPr="00C91762">
        <w:rPr>
          <w:rFonts w:asciiTheme="majorBidi" w:hAnsiTheme="majorBidi" w:cstheme="majorBidi"/>
          <w:lang w:val="de-DE"/>
        </w:rPr>
        <w:t>aktu</w:t>
      </w:r>
      <w:proofErr w:type="spellEnd"/>
      <w:r w:rsidRPr="00C91762">
        <w:rPr>
          <w:rFonts w:asciiTheme="majorBidi" w:hAnsiTheme="majorBidi" w:cstheme="majorBidi"/>
          <w:lang w:val="de-DE"/>
        </w:rPr>
        <w:t xml:space="preserve"> </w:t>
      </w:r>
      <w:proofErr w:type="spellStart"/>
      <w:r w:rsidRPr="00C91762">
        <w:rPr>
          <w:rFonts w:asciiTheme="majorBidi" w:hAnsiTheme="majorBidi" w:cstheme="majorBidi"/>
          <w:lang w:val="de-DE"/>
        </w:rPr>
        <w:t>izpratnē</w:t>
      </w:r>
      <w:proofErr w:type="spellEnd"/>
      <w:r w:rsidRPr="00C91762">
        <w:rPr>
          <w:rFonts w:asciiTheme="majorBidi" w:hAnsiTheme="majorBidi" w:cstheme="majorBidi"/>
          <w:lang w:val="de-DE"/>
        </w:rPr>
        <w:t xml:space="preserve">, </w:t>
      </w:r>
      <w:proofErr w:type="spellStart"/>
      <w:r w:rsidRPr="00C91762">
        <w:rPr>
          <w:rFonts w:asciiTheme="majorBidi" w:hAnsiTheme="majorBidi" w:cstheme="majorBidi"/>
          <w:lang w:val="de-DE"/>
        </w:rPr>
        <w:t>kuru</w:t>
      </w:r>
      <w:proofErr w:type="spellEnd"/>
      <w:r w:rsidRPr="00C91762">
        <w:rPr>
          <w:rFonts w:asciiTheme="majorBidi" w:hAnsiTheme="majorBidi" w:cstheme="majorBidi"/>
          <w:lang w:val="de-DE"/>
        </w:rPr>
        <w:t xml:space="preserve"> </w:t>
      </w:r>
      <w:proofErr w:type="spellStart"/>
      <w:r w:rsidRPr="00C91762">
        <w:rPr>
          <w:rFonts w:asciiTheme="majorBidi" w:hAnsiTheme="majorBidi" w:cstheme="majorBidi"/>
          <w:lang w:val="de-DE"/>
        </w:rPr>
        <w:t>taisījis</w:t>
      </w:r>
      <w:proofErr w:type="spellEnd"/>
      <w:r w:rsidRPr="00C91762">
        <w:rPr>
          <w:rFonts w:asciiTheme="majorBidi" w:hAnsiTheme="majorBidi" w:cstheme="majorBidi"/>
          <w:lang w:val="de-DE"/>
        </w:rPr>
        <w:t xml:space="preserve"> Latvijas </w:t>
      </w:r>
      <w:proofErr w:type="spellStart"/>
      <w:r w:rsidRPr="00C91762">
        <w:rPr>
          <w:rFonts w:asciiTheme="majorBidi" w:hAnsiTheme="majorBidi" w:cstheme="majorBidi"/>
          <w:lang w:val="de-DE"/>
        </w:rPr>
        <w:t>zvērinātiem</w:t>
      </w:r>
      <w:proofErr w:type="spellEnd"/>
      <w:r w:rsidRPr="00C91762">
        <w:rPr>
          <w:rFonts w:asciiTheme="majorBidi" w:hAnsiTheme="majorBidi" w:cstheme="majorBidi"/>
          <w:lang w:val="de-DE"/>
        </w:rPr>
        <w:t xml:space="preserve"> </w:t>
      </w:r>
      <w:proofErr w:type="spellStart"/>
      <w:r w:rsidRPr="00C91762">
        <w:rPr>
          <w:rFonts w:asciiTheme="majorBidi" w:hAnsiTheme="majorBidi" w:cstheme="majorBidi"/>
          <w:lang w:val="de-DE"/>
        </w:rPr>
        <w:t>notāriem</w:t>
      </w:r>
      <w:proofErr w:type="spellEnd"/>
      <w:r w:rsidRPr="00C91762">
        <w:rPr>
          <w:rFonts w:asciiTheme="majorBidi" w:hAnsiTheme="majorBidi" w:cstheme="majorBidi"/>
          <w:lang w:val="de-DE"/>
        </w:rPr>
        <w:t xml:space="preserve"> </w:t>
      </w:r>
      <w:proofErr w:type="spellStart"/>
      <w:r w:rsidRPr="00C91762">
        <w:rPr>
          <w:rFonts w:asciiTheme="majorBidi" w:hAnsiTheme="majorBidi" w:cstheme="majorBidi"/>
          <w:b/>
          <w:bCs/>
          <w:lang w:val="de-DE"/>
        </w:rPr>
        <w:t>amatā</w:t>
      </w:r>
      <w:proofErr w:type="spellEnd"/>
      <w:r w:rsidRPr="00C91762">
        <w:rPr>
          <w:rFonts w:asciiTheme="majorBidi" w:hAnsiTheme="majorBidi" w:cstheme="majorBidi"/>
          <w:b/>
          <w:bCs/>
          <w:lang w:val="de-DE"/>
        </w:rPr>
        <w:t xml:space="preserve"> </w:t>
      </w:r>
      <w:proofErr w:type="spellStart"/>
      <w:r w:rsidRPr="00C91762">
        <w:rPr>
          <w:rFonts w:asciiTheme="majorBidi" w:hAnsiTheme="majorBidi" w:cstheme="majorBidi"/>
          <w:b/>
          <w:bCs/>
          <w:lang w:val="de-DE"/>
        </w:rPr>
        <w:t>pielīdzināms</w:t>
      </w:r>
      <w:proofErr w:type="spellEnd"/>
      <w:r w:rsidRPr="00C91762">
        <w:rPr>
          <w:rFonts w:asciiTheme="majorBidi" w:hAnsiTheme="majorBidi" w:cstheme="majorBidi"/>
          <w:b/>
          <w:bCs/>
          <w:lang w:val="de-DE"/>
        </w:rPr>
        <w:t xml:space="preserve"> </w:t>
      </w:r>
      <w:proofErr w:type="spellStart"/>
      <w:r w:rsidRPr="00C91762">
        <w:rPr>
          <w:rFonts w:asciiTheme="majorBidi" w:hAnsiTheme="majorBidi" w:cstheme="majorBidi"/>
          <w:lang w:val="de-DE"/>
        </w:rPr>
        <w:t>ārvalsts</w:t>
      </w:r>
      <w:proofErr w:type="spellEnd"/>
      <w:r w:rsidRPr="00C91762">
        <w:rPr>
          <w:rFonts w:asciiTheme="majorBidi" w:hAnsiTheme="majorBidi" w:cstheme="majorBidi"/>
          <w:lang w:val="de-DE"/>
        </w:rPr>
        <w:t xml:space="preserve"> </w:t>
      </w:r>
      <w:proofErr w:type="spellStart"/>
      <w:r w:rsidRPr="00C91762">
        <w:rPr>
          <w:rFonts w:asciiTheme="majorBidi" w:hAnsiTheme="majorBidi" w:cstheme="majorBidi"/>
          <w:lang w:val="de-DE"/>
        </w:rPr>
        <w:t>notārs</w:t>
      </w:r>
      <w:proofErr w:type="spellEnd"/>
      <w:r w:rsidRPr="00C91762">
        <w:rPr>
          <w:rFonts w:asciiTheme="majorBidi" w:hAnsiTheme="majorBidi" w:cstheme="majorBidi"/>
          <w:lang w:val="de-DE"/>
        </w:rPr>
        <w:t xml:space="preserve"> </w:t>
      </w:r>
      <w:proofErr w:type="spellStart"/>
      <w:r w:rsidRPr="00C91762">
        <w:rPr>
          <w:rFonts w:asciiTheme="majorBidi" w:hAnsiTheme="majorBidi" w:cstheme="majorBidi"/>
          <w:lang w:val="de-DE"/>
        </w:rPr>
        <w:t>vai</w:t>
      </w:r>
      <w:proofErr w:type="spellEnd"/>
      <w:r w:rsidRPr="00C91762">
        <w:rPr>
          <w:rFonts w:asciiTheme="majorBidi" w:hAnsiTheme="majorBidi" w:cstheme="majorBidi"/>
          <w:lang w:val="de-DE"/>
        </w:rPr>
        <w:t xml:space="preserve"> </w:t>
      </w:r>
      <w:proofErr w:type="spellStart"/>
      <w:r w:rsidRPr="00C91762">
        <w:rPr>
          <w:rFonts w:asciiTheme="majorBidi" w:hAnsiTheme="majorBidi" w:cstheme="majorBidi"/>
          <w:lang w:val="de-DE"/>
        </w:rPr>
        <w:t>cita</w:t>
      </w:r>
      <w:proofErr w:type="spellEnd"/>
      <w:r w:rsidRPr="00C91762">
        <w:rPr>
          <w:rFonts w:asciiTheme="majorBidi" w:hAnsiTheme="majorBidi" w:cstheme="majorBidi"/>
          <w:lang w:val="de-DE"/>
        </w:rPr>
        <w:t xml:space="preserve"> </w:t>
      </w:r>
      <w:proofErr w:type="spellStart"/>
      <w:r w:rsidRPr="00C91762">
        <w:rPr>
          <w:rFonts w:asciiTheme="majorBidi" w:hAnsiTheme="majorBidi" w:cstheme="majorBidi"/>
          <w:lang w:val="de-DE"/>
        </w:rPr>
        <w:t>ar</w:t>
      </w:r>
      <w:proofErr w:type="spellEnd"/>
      <w:r w:rsidRPr="00C91762">
        <w:rPr>
          <w:rFonts w:asciiTheme="majorBidi" w:hAnsiTheme="majorBidi" w:cstheme="majorBidi"/>
          <w:lang w:val="de-DE"/>
        </w:rPr>
        <w:t xml:space="preserve"> </w:t>
      </w:r>
      <w:proofErr w:type="spellStart"/>
      <w:r w:rsidRPr="00C91762">
        <w:rPr>
          <w:rFonts w:asciiTheme="majorBidi" w:hAnsiTheme="majorBidi" w:cstheme="majorBidi"/>
          <w:lang w:val="de-DE"/>
        </w:rPr>
        <w:t>publisku</w:t>
      </w:r>
      <w:proofErr w:type="spellEnd"/>
      <w:r w:rsidRPr="00297B46">
        <w:rPr>
          <w:rFonts w:asciiTheme="majorBidi" w:hAnsiTheme="majorBidi" w:cstheme="majorBidi"/>
          <w:lang w:val="de-DE"/>
        </w:rPr>
        <w:t xml:space="preserve"> </w:t>
      </w:r>
      <w:proofErr w:type="spellStart"/>
      <w:r w:rsidRPr="00297B46">
        <w:rPr>
          <w:rFonts w:asciiTheme="majorBidi" w:hAnsiTheme="majorBidi" w:cstheme="majorBidi"/>
          <w:lang w:val="de-DE"/>
        </w:rPr>
        <w:t>varu</w:t>
      </w:r>
      <w:proofErr w:type="spellEnd"/>
      <w:r w:rsidRPr="00297B46">
        <w:rPr>
          <w:rFonts w:asciiTheme="majorBidi" w:hAnsiTheme="majorBidi" w:cstheme="majorBidi"/>
          <w:lang w:val="de-DE"/>
        </w:rPr>
        <w:t xml:space="preserve"> </w:t>
      </w:r>
      <w:proofErr w:type="spellStart"/>
      <w:r w:rsidRPr="00297B46">
        <w:rPr>
          <w:rFonts w:asciiTheme="majorBidi" w:hAnsiTheme="majorBidi" w:cstheme="majorBidi"/>
          <w:lang w:val="de-DE"/>
        </w:rPr>
        <w:t>apveltīta</w:t>
      </w:r>
      <w:proofErr w:type="spellEnd"/>
      <w:r w:rsidRPr="00297B46">
        <w:rPr>
          <w:rFonts w:asciiTheme="majorBidi" w:hAnsiTheme="majorBidi" w:cstheme="majorBidi"/>
          <w:lang w:val="de-DE"/>
        </w:rPr>
        <w:t xml:space="preserve"> </w:t>
      </w:r>
      <w:proofErr w:type="spellStart"/>
      <w:r w:rsidRPr="00297B46">
        <w:rPr>
          <w:rFonts w:asciiTheme="majorBidi" w:hAnsiTheme="majorBidi" w:cstheme="majorBidi"/>
          <w:lang w:val="de-DE"/>
        </w:rPr>
        <w:t>persona</w:t>
      </w:r>
      <w:proofErr w:type="spellEnd"/>
      <w:r w:rsidRPr="00297B46">
        <w:rPr>
          <w:rFonts w:asciiTheme="majorBidi" w:hAnsiTheme="majorBidi" w:cstheme="majorBidi"/>
          <w:lang w:val="de-DE"/>
        </w:rPr>
        <w:t>.</w:t>
      </w:r>
      <w:r w:rsidRPr="000C7C76">
        <w:rPr>
          <w:rFonts w:asciiTheme="majorBidi" w:hAnsiTheme="majorBidi" w:cstheme="majorBidi"/>
          <w:lang w:val="de-DE"/>
        </w:rPr>
        <w:t xml:space="preserve"> </w:t>
      </w:r>
    </w:p>
    <w:p w14:paraId="08E1F5C5" w14:textId="77777777" w:rsidR="00E77EAD" w:rsidRPr="000C7C76" w:rsidRDefault="00E77EAD" w:rsidP="00E77EAD">
      <w:pPr>
        <w:jc w:val="both"/>
        <w:rPr>
          <w:rFonts w:asciiTheme="majorBidi" w:hAnsiTheme="majorBidi" w:cstheme="majorBidi"/>
          <w:lang w:val="de-DE"/>
        </w:rPr>
      </w:pPr>
    </w:p>
    <w:p w14:paraId="5F9E3B2A" w14:textId="17A0418A" w:rsidR="00E77EAD" w:rsidRPr="00C91762" w:rsidRDefault="00E77EAD" w:rsidP="00E77EAD">
      <w:pPr>
        <w:jc w:val="both"/>
        <w:rPr>
          <w:rFonts w:asciiTheme="majorBidi" w:hAnsiTheme="majorBidi" w:cstheme="majorBidi"/>
          <w:lang w:val="de-DE"/>
        </w:rPr>
      </w:pPr>
      <w:proofErr w:type="spellStart"/>
      <w:r w:rsidRPr="00C91762">
        <w:rPr>
          <w:rFonts w:asciiTheme="majorBidi" w:hAnsiTheme="majorBidi" w:cstheme="majorBidi"/>
          <w:b/>
          <w:lang w:val="de-DE"/>
        </w:rPr>
        <w:t>Secinājums</w:t>
      </w:r>
      <w:proofErr w:type="spellEnd"/>
      <w:r w:rsidRPr="00C91762">
        <w:rPr>
          <w:rFonts w:asciiTheme="majorBidi" w:hAnsiTheme="majorBidi" w:cstheme="majorBidi"/>
          <w:b/>
          <w:lang w:val="de-DE"/>
        </w:rPr>
        <w:t>:</w:t>
      </w:r>
      <w:r w:rsidRPr="00C91762">
        <w:rPr>
          <w:rFonts w:asciiTheme="majorBidi" w:hAnsiTheme="majorBidi" w:cstheme="majorBidi"/>
          <w:lang w:val="de-DE"/>
        </w:rPr>
        <w:t xml:space="preserve"> </w:t>
      </w:r>
      <w:proofErr w:type="spellStart"/>
      <w:r w:rsidRPr="00C91762">
        <w:rPr>
          <w:rFonts w:asciiTheme="majorBidi" w:hAnsiTheme="majorBidi" w:cstheme="majorBidi"/>
          <w:lang w:val="de-DE"/>
        </w:rPr>
        <w:t>Ārvalsts</w:t>
      </w:r>
      <w:proofErr w:type="spellEnd"/>
      <w:r w:rsidRPr="00C91762">
        <w:rPr>
          <w:rFonts w:asciiTheme="majorBidi" w:hAnsiTheme="majorBidi" w:cstheme="majorBidi"/>
          <w:lang w:val="de-DE"/>
        </w:rPr>
        <w:t xml:space="preserve"> </w:t>
      </w:r>
      <w:proofErr w:type="spellStart"/>
      <w:r w:rsidRPr="00C91762">
        <w:rPr>
          <w:rFonts w:asciiTheme="majorBidi" w:hAnsiTheme="majorBidi" w:cstheme="majorBidi"/>
          <w:lang w:val="de-DE"/>
        </w:rPr>
        <w:t>publiskā</w:t>
      </w:r>
      <w:proofErr w:type="spellEnd"/>
      <w:r w:rsidRPr="00C91762">
        <w:rPr>
          <w:rFonts w:asciiTheme="majorBidi" w:hAnsiTheme="majorBidi" w:cstheme="majorBidi"/>
          <w:lang w:val="de-DE"/>
        </w:rPr>
        <w:t xml:space="preserve"> </w:t>
      </w:r>
      <w:proofErr w:type="spellStart"/>
      <w:r w:rsidRPr="00C91762">
        <w:rPr>
          <w:rFonts w:asciiTheme="majorBidi" w:hAnsiTheme="majorBidi" w:cstheme="majorBidi"/>
          <w:lang w:val="de-DE"/>
        </w:rPr>
        <w:t>dokumenta</w:t>
      </w:r>
      <w:proofErr w:type="spellEnd"/>
      <w:r w:rsidRPr="00C91762">
        <w:rPr>
          <w:rFonts w:asciiTheme="majorBidi" w:hAnsiTheme="majorBidi" w:cstheme="majorBidi"/>
          <w:lang w:val="de-DE"/>
        </w:rPr>
        <w:t xml:space="preserve"> </w:t>
      </w:r>
      <w:proofErr w:type="spellStart"/>
      <w:r w:rsidRPr="00C91762">
        <w:rPr>
          <w:rFonts w:asciiTheme="majorBidi" w:hAnsiTheme="majorBidi" w:cstheme="majorBidi"/>
          <w:lang w:val="de-DE"/>
        </w:rPr>
        <w:t>saturam</w:t>
      </w:r>
      <w:proofErr w:type="spellEnd"/>
      <w:r w:rsidRPr="00C91762">
        <w:rPr>
          <w:rFonts w:asciiTheme="majorBidi" w:hAnsiTheme="majorBidi" w:cstheme="majorBidi"/>
          <w:lang w:val="de-DE"/>
        </w:rPr>
        <w:t xml:space="preserve"> </w:t>
      </w:r>
      <w:proofErr w:type="spellStart"/>
      <w:r w:rsidRPr="00C91762">
        <w:rPr>
          <w:rFonts w:asciiTheme="majorBidi" w:hAnsiTheme="majorBidi" w:cstheme="majorBidi"/>
          <w:lang w:val="de-DE"/>
        </w:rPr>
        <w:t>Latvijā</w:t>
      </w:r>
      <w:proofErr w:type="spellEnd"/>
      <w:r w:rsidRPr="00C91762">
        <w:rPr>
          <w:rFonts w:asciiTheme="majorBidi" w:hAnsiTheme="majorBidi" w:cstheme="majorBidi"/>
          <w:lang w:val="de-DE"/>
        </w:rPr>
        <w:t xml:space="preserve"> </w:t>
      </w:r>
      <w:proofErr w:type="spellStart"/>
      <w:r w:rsidRPr="00C91762">
        <w:rPr>
          <w:rFonts w:asciiTheme="majorBidi" w:hAnsiTheme="majorBidi" w:cstheme="majorBidi"/>
          <w:lang w:val="de-DE"/>
        </w:rPr>
        <w:t>varētu</w:t>
      </w:r>
      <w:proofErr w:type="spellEnd"/>
      <w:r w:rsidRPr="00C91762">
        <w:rPr>
          <w:rFonts w:asciiTheme="majorBidi" w:hAnsiTheme="majorBidi" w:cstheme="majorBidi"/>
          <w:lang w:val="de-DE"/>
        </w:rPr>
        <w:t xml:space="preserve"> </w:t>
      </w:r>
      <w:proofErr w:type="spellStart"/>
      <w:r w:rsidRPr="00C91762">
        <w:rPr>
          <w:rFonts w:asciiTheme="majorBidi" w:hAnsiTheme="majorBidi" w:cstheme="majorBidi"/>
          <w:lang w:val="de-DE"/>
        </w:rPr>
        <w:t>tikt</w:t>
      </w:r>
      <w:proofErr w:type="spellEnd"/>
      <w:r w:rsidRPr="00C91762">
        <w:rPr>
          <w:rFonts w:asciiTheme="majorBidi" w:hAnsiTheme="majorBidi" w:cstheme="majorBidi"/>
          <w:lang w:val="de-DE"/>
        </w:rPr>
        <w:t xml:space="preserve"> </w:t>
      </w:r>
      <w:proofErr w:type="spellStart"/>
      <w:r w:rsidRPr="00C91762">
        <w:rPr>
          <w:rFonts w:asciiTheme="majorBidi" w:hAnsiTheme="majorBidi" w:cstheme="majorBidi"/>
          <w:lang w:val="de-DE"/>
        </w:rPr>
        <w:t>piemērota</w:t>
      </w:r>
      <w:proofErr w:type="spellEnd"/>
      <w:r w:rsidRPr="00C91762">
        <w:rPr>
          <w:rFonts w:asciiTheme="majorBidi" w:hAnsiTheme="majorBidi" w:cstheme="majorBidi"/>
          <w:lang w:val="de-DE"/>
        </w:rPr>
        <w:t xml:space="preserve"> </w:t>
      </w:r>
      <w:proofErr w:type="spellStart"/>
      <w:r w:rsidRPr="00C91762">
        <w:rPr>
          <w:rFonts w:asciiTheme="majorBidi" w:hAnsiTheme="majorBidi" w:cstheme="majorBidi"/>
          <w:lang w:val="de-DE"/>
        </w:rPr>
        <w:t>atzīšanas</w:t>
      </w:r>
      <w:proofErr w:type="spellEnd"/>
      <w:r w:rsidRPr="00C91762">
        <w:rPr>
          <w:rFonts w:asciiTheme="majorBidi" w:hAnsiTheme="majorBidi" w:cstheme="majorBidi"/>
          <w:lang w:val="de-DE"/>
        </w:rPr>
        <w:t xml:space="preserve"> </w:t>
      </w:r>
      <w:proofErr w:type="spellStart"/>
      <w:r w:rsidRPr="00C91762">
        <w:rPr>
          <w:rFonts w:asciiTheme="majorBidi" w:hAnsiTheme="majorBidi" w:cstheme="majorBidi"/>
          <w:lang w:val="de-DE"/>
        </w:rPr>
        <w:t>metode</w:t>
      </w:r>
      <w:proofErr w:type="spellEnd"/>
      <w:r w:rsidRPr="00C91762">
        <w:rPr>
          <w:rFonts w:asciiTheme="majorBidi" w:hAnsiTheme="majorBidi" w:cstheme="majorBidi"/>
          <w:lang w:val="de-DE"/>
        </w:rPr>
        <w:t xml:space="preserve"> (</w:t>
      </w:r>
      <w:proofErr w:type="spellStart"/>
      <w:r w:rsidRPr="00C91762">
        <w:rPr>
          <w:rFonts w:asciiTheme="majorBidi" w:hAnsiTheme="majorBidi" w:cstheme="majorBidi"/>
          <w:lang w:val="de-DE"/>
        </w:rPr>
        <w:t>tāpat</w:t>
      </w:r>
      <w:proofErr w:type="spellEnd"/>
      <w:r w:rsidRPr="00C91762">
        <w:rPr>
          <w:rFonts w:asciiTheme="majorBidi" w:hAnsiTheme="majorBidi" w:cstheme="majorBidi"/>
          <w:lang w:val="de-DE"/>
        </w:rPr>
        <w:t xml:space="preserve"> </w:t>
      </w:r>
      <w:proofErr w:type="spellStart"/>
      <w:r w:rsidRPr="00C91762">
        <w:rPr>
          <w:rFonts w:asciiTheme="majorBidi" w:hAnsiTheme="majorBidi" w:cstheme="majorBidi"/>
          <w:lang w:val="de-DE"/>
        </w:rPr>
        <w:t>kā</w:t>
      </w:r>
      <w:proofErr w:type="spellEnd"/>
      <w:r w:rsidRPr="00C91762">
        <w:rPr>
          <w:rFonts w:asciiTheme="majorBidi" w:hAnsiTheme="majorBidi" w:cstheme="majorBidi"/>
          <w:lang w:val="de-DE"/>
        </w:rPr>
        <w:t xml:space="preserve"> </w:t>
      </w:r>
      <w:proofErr w:type="spellStart"/>
      <w:r w:rsidRPr="00C91762">
        <w:rPr>
          <w:rFonts w:asciiTheme="majorBidi" w:hAnsiTheme="majorBidi" w:cstheme="majorBidi"/>
          <w:lang w:val="de-DE"/>
        </w:rPr>
        <w:t>Vācijā</w:t>
      </w:r>
      <w:proofErr w:type="spellEnd"/>
      <w:r w:rsidRPr="00C91762">
        <w:rPr>
          <w:rFonts w:asciiTheme="majorBidi" w:hAnsiTheme="majorBidi" w:cstheme="majorBidi"/>
          <w:lang w:val="de-DE"/>
        </w:rPr>
        <w:t xml:space="preserve">), </w:t>
      </w:r>
      <w:proofErr w:type="spellStart"/>
      <w:r w:rsidRPr="00C91762">
        <w:rPr>
          <w:rFonts w:asciiTheme="majorBidi" w:hAnsiTheme="majorBidi" w:cstheme="majorBidi"/>
          <w:lang w:val="de-DE"/>
        </w:rPr>
        <w:t>ar</w:t>
      </w:r>
      <w:proofErr w:type="spellEnd"/>
      <w:r w:rsidRPr="00C91762">
        <w:rPr>
          <w:rFonts w:asciiTheme="majorBidi" w:hAnsiTheme="majorBidi" w:cstheme="majorBidi"/>
          <w:lang w:val="de-DE"/>
        </w:rPr>
        <w:t xml:space="preserve"> </w:t>
      </w:r>
      <w:proofErr w:type="spellStart"/>
      <w:r w:rsidRPr="00C91762">
        <w:rPr>
          <w:rFonts w:asciiTheme="majorBidi" w:hAnsiTheme="majorBidi" w:cstheme="majorBidi"/>
          <w:lang w:val="de-DE"/>
        </w:rPr>
        <w:t>nosacījumu</w:t>
      </w:r>
      <w:proofErr w:type="spellEnd"/>
      <w:r w:rsidRPr="00C91762">
        <w:rPr>
          <w:rFonts w:asciiTheme="majorBidi" w:hAnsiTheme="majorBidi" w:cstheme="majorBidi"/>
          <w:lang w:val="de-DE"/>
        </w:rPr>
        <w:t xml:space="preserve">, </w:t>
      </w:r>
      <w:proofErr w:type="spellStart"/>
      <w:r w:rsidRPr="00C91762">
        <w:rPr>
          <w:rFonts w:asciiTheme="majorBidi" w:hAnsiTheme="majorBidi" w:cstheme="majorBidi"/>
          <w:lang w:val="de-DE"/>
        </w:rPr>
        <w:t>ka</w:t>
      </w:r>
      <w:proofErr w:type="spellEnd"/>
      <w:r w:rsidRPr="00C91762">
        <w:rPr>
          <w:rFonts w:asciiTheme="majorBidi" w:hAnsiTheme="majorBidi" w:cstheme="majorBidi"/>
          <w:lang w:val="de-DE"/>
        </w:rPr>
        <w:t>:</w:t>
      </w:r>
    </w:p>
    <w:p w14:paraId="727B275E" w14:textId="4E347092" w:rsidR="00E77EAD" w:rsidRPr="00C91762" w:rsidRDefault="00E77EAD" w:rsidP="00E77EAD">
      <w:pPr>
        <w:jc w:val="both"/>
        <w:rPr>
          <w:rFonts w:asciiTheme="majorBidi" w:hAnsiTheme="majorBidi" w:cstheme="majorBidi"/>
          <w:b/>
          <w:lang w:val="de-DE"/>
        </w:rPr>
      </w:pPr>
      <w:r w:rsidRPr="00C91762">
        <w:rPr>
          <w:rFonts w:asciiTheme="majorBidi" w:hAnsiTheme="majorBidi" w:cstheme="majorBidi"/>
          <w:lang w:val="de-DE"/>
        </w:rPr>
        <w:t xml:space="preserve">- </w:t>
      </w:r>
      <w:proofErr w:type="spellStart"/>
      <w:r w:rsidRPr="00C91762">
        <w:rPr>
          <w:rFonts w:asciiTheme="majorBidi" w:hAnsiTheme="majorBidi" w:cstheme="majorBidi"/>
          <w:lang w:val="de-DE"/>
        </w:rPr>
        <w:t>publisko</w:t>
      </w:r>
      <w:proofErr w:type="spellEnd"/>
      <w:r w:rsidRPr="00C91762">
        <w:rPr>
          <w:rFonts w:asciiTheme="majorBidi" w:hAnsiTheme="majorBidi" w:cstheme="majorBidi"/>
          <w:lang w:val="de-DE"/>
        </w:rPr>
        <w:t xml:space="preserve"> </w:t>
      </w:r>
      <w:proofErr w:type="spellStart"/>
      <w:r w:rsidRPr="00C91762">
        <w:rPr>
          <w:rFonts w:asciiTheme="majorBidi" w:hAnsiTheme="majorBidi" w:cstheme="majorBidi"/>
          <w:lang w:val="de-DE"/>
        </w:rPr>
        <w:t>dokumentu</w:t>
      </w:r>
      <w:proofErr w:type="spellEnd"/>
      <w:r w:rsidRPr="00C91762">
        <w:rPr>
          <w:rFonts w:asciiTheme="majorBidi" w:hAnsiTheme="majorBidi" w:cstheme="majorBidi"/>
          <w:lang w:val="de-DE"/>
        </w:rPr>
        <w:t xml:space="preserve"> </w:t>
      </w:r>
      <w:proofErr w:type="spellStart"/>
      <w:r w:rsidRPr="00C91762">
        <w:rPr>
          <w:rFonts w:asciiTheme="majorBidi" w:hAnsiTheme="majorBidi" w:cstheme="majorBidi"/>
          <w:lang w:val="de-DE"/>
        </w:rPr>
        <w:t>ārvalstīs</w:t>
      </w:r>
      <w:proofErr w:type="spellEnd"/>
      <w:r w:rsidRPr="00C91762">
        <w:rPr>
          <w:rFonts w:asciiTheme="majorBidi" w:hAnsiTheme="majorBidi" w:cstheme="majorBidi"/>
          <w:lang w:val="de-DE"/>
        </w:rPr>
        <w:t xml:space="preserve"> </w:t>
      </w:r>
      <w:proofErr w:type="spellStart"/>
      <w:r w:rsidRPr="00C91762">
        <w:rPr>
          <w:rFonts w:asciiTheme="majorBidi" w:hAnsiTheme="majorBidi" w:cstheme="majorBidi"/>
          <w:lang w:val="de-DE"/>
        </w:rPr>
        <w:t>taisījis</w:t>
      </w:r>
      <w:proofErr w:type="spellEnd"/>
      <w:r w:rsidRPr="00C91762">
        <w:rPr>
          <w:rFonts w:asciiTheme="majorBidi" w:hAnsiTheme="majorBidi" w:cstheme="majorBidi"/>
          <w:lang w:val="de-DE"/>
        </w:rPr>
        <w:t xml:space="preserve"> </w:t>
      </w:r>
      <w:proofErr w:type="spellStart"/>
      <w:r w:rsidRPr="00C91762">
        <w:rPr>
          <w:rFonts w:asciiTheme="majorBidi" w:hAnsiTheme="majorBidi" w:cstheme="majorBidi"/>
          <w:lang w:val="de-DE"/>
        </w:rPr>
        <w:t>Lavijas</w:t>
      </w:r>
      <w:proofErr w:type="spellEnd"/>
      <w:r w:rsidRPr="00C91762">
        <w:rPr>
          <w:rFonts w:asciiTheme="majorBidi" w:hAnsiTheme="majorBidi" w:cstheme="majorBidi"/>
          <w:lang w:val="de-DE"/>
        </w:rPr>
        <w:t xml:space="preserve"> </w:t>
      </w:r>
      <w:proofErr w:type="spellStart"/>
      <w:r w:rsidRPr="00C91762">
        <w:rPr>
          <w:rFonts w:asciiTheme="majorBidi" w:hAnsiTheme="majorBidi" w:cstheme="majorBidi"/>
          <w:lang w:val="de-DE"/>
        </w:rPr>
        <w:t>zvērinātam</w:t>
      </w:r>
      <w:proofErr w:type="spellEnd"/>
      <w:r w:rsidRPr="00C91762">
        <w:rPr>
          <w:rFonts w:asciiTheme="majorBidi" w:hAnsiTheme="majorBidi" w:cstheme="majorBidi"/>
          <w:lang w:val="de-DE"/>
        </w:rPr>
        <w:t xml:space="preserve"> </w:t>
      </w:r>
      <w:proofErr w:type="spellStart"/>
      <w:r w:rsidRPr="00C91762">
        <w:rPr>
          <w:rFonts w:asciiTheme="majorBidi" w:hAnsiTheme="majorBidi" w:cstheme="majorBidi"/>
          <w:lang w:val="de-DE"/>
        </w:rPr>
        <w:t>notāram</w:t>
      </w:r>
      <w:proofErr w:type="spellEnd"/>
      <w:r w:rsidRPr="00C91762">
        <w:rPr>
          <w:rFonts w:asciiTheme="majorBidi" w:hAnsiTheme="majorBidi" w:cstheme="majorBidi"/>
          <w:lang w:val="de-DE"/>
        </w:rPr>
        <w:t xml:space="preserve"> </w:t>
      </w:r>
      <w:proofErr w:type="spellStart"/>
      <w:r w:rsidRPr="00C91762">
        <w:rPr>
          <w:rFonts w:asciiTheme="majorBidi" w:hAnsiTheme="majorBidi" w:cstheme="majorBidi"/>
          <w:lang w:val="de-DE"/>
        </w:rPr>
        <w:t>amatā</w:t>
      </w:r>
      <w:proofErr w:type="spellEnd"/>
      <w:r w:rsidRPr="00C91762">
        <w:rPr>
          <w:rFonts w:asciiTheme="majorBidi" w:hAnsiTheme="majorBidi" w:cstheme="majorBidi"/>
          <w:lang w:val="de-DE"/>
        </w:rPr>
        <w:t xml:space="preserve"> </w:t>
      </w:r>
      <w:proofErr w:type="spellStart"/>
      <w:r w:rsidRPr="00C91762">
        <w:rPr>
          <w:rFonts w:asciiTheme="majorBidi" w:hAnsiTheme="majorBidi" w:cstheme="majorBidi"/>
          <w:lang w:val="de-DE"/>
        </w:rPr>
        <w:t>pielīdzināms</w:t>
      </w:r>
      <w:proofErr w:type="spellEnd"/>
      <w:r w:rsidRPr="00C91762">
        <w:rPr>
          <w:rFonts w:asciiTheme="majorBidi" w:hAnsiTheme="majorBidi" w:cstheme="majorBidi"/>
          <w:lang w:val="de-DE"/>
        </w:rPr>
        <w:t xml:space="preserve"> </w:t>
      </w:r>
      <w:proofErr w:type="spellStart"/>
      <w:r w:rsidRPr="00C91762">
        <w:rPr>
          <w:rFonts w:asciiTheme="majorBidi" w:hAnsiTheme="majorBidi" w:cstheme="majorBidi"/>
          <w:lang w:val="de-DE"/>
        </w:rPr>
        <w:t>ārvalsts</w:t>
      </w:r>
      <w:proofErr w:type="spellEnd"/>
      <w:r w:rsidRPr="00C91762">
        <w:rPr>
          <w:rFonts w:asciiTheme="majorBidi" w:hAnsiTheme="majorBidi" w:cstheme="majorBidi"/>
          <w:lang w:val="de-DE"/>
        </w:rPr>
        <w:t xml:space="preserve"> </w:t>
      </w:r>
      <w:proofErr w:type="spellStart"/>
      <w:r w:rsidRPr="00C91762">
        <w:rPr>
          <w:rFonts w:asciiTheme="majorBidi" w:hAnsiTheme="majorBidi" w:cstheme="majorBidi"/>
          <w:lang w:val="de-DE"/>
        </w:rPr>
        <w:t>notārs</w:t>
      </w:r>
      <w:proofErr w:type="spellEnd"/>
      <w:r w:rsidRPr="00C91762">
        <w:rPr>
          <w:rFonts w:asciiTheme="majorBidi" w:hAnsiTheme="majorBidi" w:cstheme="majorBidi"/>
          <w:lang w:val="de-DE"/>
        </w:rPr>
        <w:t xml:space="preserve"> (</w:t>
      </w:r>
      <w:proofErr w:type="spellStart"/>
      <w:r w:rsidRPr="00C91762">
        <w:rPr>
          <w:rFonts w:asciiTheme="majorBidi" w:hAnsiTheme="majorBidi" w:cstheme="majorBidi"/>
          <w:lang w:val="de-DE"/>
        </w:rPr>
        <w:t>tādi</w:t>
      </w:r>
      <w:proofErr w:type="spellEnd"/>
      <w:r w:rsidRPr="00C91762">
        <w:rPr>
          <w:rFonts w:asciiTheme="majorBidi" w:hAnsiTheme="majorBidi" w:cstheme="majorBidi"/>
          <w:lang w:val="de-DE"/>
        </w:rPr>
        <w:t xml:space="preserve"> </w:t>
      </w:r>
      <w:proofErr w:type="spellStart"/>
      <w:r w:rsidRPr="00C91762">
        <w:rPr>
          <w:rFonts w:asciiTheme="majorBidi" w:hAnsiTheme="majorBidi" w:cstheme="majorBidi"/>
          <w:lang w:val="de-DE"/>
        </w:rPr>
        <w:t>ir</w:t>
      </w:r>
      <w:proofErr w:type="spellEnd"/>
      <w:r w:rsidRPr="00C91762">
        <w:rPr>
          <w:rFonts w:asciiTheme="majorBidi" w:hAnsiTheme="majorBidi" w:cstheme="majorBidi"/>
          <w:lang w:val="de-DE"/>
        </w:rPr>
        <w:t xml:space="preserve"> </w:t>
      </w:r>
      <w:proofErr w:type="spellStart"/>
      <w:r w:rsidRPr="00C91762">
        <w:rPr>
          <w:rFonts w:asciiTheme="majorBidi" w:hAnsiTheme="majorBidi" w:cstheme="majorBidi"/>
          <w:lang w:val="de-DE"/>
        </w:rPr>
        <w:t>Latīņu</w:t>
      </w:r>
      <w:proofErr w:type="spellEnd"/>
      <w:r w:rsidRPr="00C91762">
        <w:rPr>
          <w:rFonts w:asciiTheme="majorBidi" w:hAnsiTheme="majorBidi" w:cstheme="majorBidi"/>
          <w:lang w:val="de-DE"/>
        </w:rPr>
        <w:t xml:space="preserve"> </w:t>
      </w:r>
      <w:proofErr w:type="spellStart"/>
      <w:r w:rsidRPr="00C91762">
        <w:rPr>
          <w:rFonts w:asciiTheme="majorBidi" w:hAnsiTheme="majorBidi" w:cstheme="majorBidi"/>
          <w:lang w:val="de-DE"/>
        </w:rPr>
        <w:t>tipa</w:t>
      </w:r>
      <w:proofErr w:type="spellEnd"/>
      <w:r w:rsidRPr="00C91762">
        <w:rPr>
          <w:rFonts w:asciiTheme="majorBidi" w:hAnsiTheme="majorBidi" w:cstheme="majorBidi"/>
          <w:lang w:val="de-DE"/>
        </w:rPr>
        <w:t xml:space="preserve"> </w:t>
      </w:r>
      <w:proofErr w:type="spellStart"/>
      <w:r w:rsidRPr="00C91762">
        <w:rPr>
          <w:rFonts w:asciiTheme="majorBidi" w:hAnsiTheme="majorBidi" w:cstheme="majorBidi"/>
          <w:lang w:val="de-DE"/>
        </w:rPr>
        <w:t>notariāta</w:t>
      </w:r>
      <w:proofErr w:type="spellEnd"/>
      <w:r w:rsidRPr="00C91762">
        <w:rPr>
          <w:rFonts w:asciiTheme="majorBidi" w:hAnsiTheme="majorBidi" w:cstheme="majorBidi"/>
          <w:lang w:val="de-DE"/>
        </w:rPr>
        <w:t xml:space="preserve"> </w:t>
      </w:r>
      <w:proofErr w:type="spellStart"/>
      <w:r w:rsidRPr="00C91762">
        <w:rPr>
          <w:rFonts w:asciiTheme="majorBidi" w:hAnsiTheme="majorBidi" w:cstheme="majorBidi"/>
          <w:lang w:val="de-DE"/>
        </w:rPr>
        <w:t>notāri</w:t>
      </w:r>
      <w:proofErr w:type="spellEnd"/>
      <w:r w:rsidRPr="00C91762">
        <w:rPr>
          <w:rFonts w:asciiTheme="majorBidi" w:hAnsiTheme="majorBidi" w:cstheme="majorBidi"/>
          <w:lang w:val="de-DE"/>
        </w:rPr>
        <w:t xml:space="preserve">) </w:t>
      </w:r>
      <w:proofErr w:type="spellStart"/>
      <w:r w:rsidRPr="00C91762">
        <w:rPr>
          <w:rFonts w:asciiTheme="majorBidi" w:hAnsiTheme="majorBidi" w:cstheme="majorBidi"/>
          <w:lang w:val="de-DE"/>
        </w:rPr>
        <w:t>vai</w:t>
      </w:r>
      <w:proofErr w:type="spellEnd"/>
      <w:r w:rsidRPr="00C91762">
        <w:rPr>
          <w:rFonts w:asciiTheme="majorBidi" w:hAnsiTheme="majorBidi" w:cstheme="majorBidi"/>
          <w:lang w:val="de-DE"/>
        </w:rPr>
        <w:t xml:space="preserve"> </w:t>
      </w:r>
      <w:proofErr w:type="spellStart"/>
      <w:r w:rsidRPr="00C91762">
        <w:rPr>
          <w:rFonts w:asciiTheme="majorBidi" w:hAnsiTheme="majorBidi" w:cstheme="majorBidi"/>
          <w:lang w:val="de-DE"/>
        </w:rPr>
        <w:t>cita</w:t>
      </w:r>
      <w:proofErr w:type="spellEnd"/>
      <w:r w:rsidRPr="00C91762">
        <w:rPr>
          <w:rFonts w:asciiTheme="majorBidi" w:hAnsiTheme="majorBidi" w:cstheme="majorBidi"/>
          <w:lang w:val="de-DE"/>
        </w:rPr>
        <w:t xml:space="preserve"> </w:t>
      </w:r>
      <w:proofErr w:type="spellStart"/>
      <w:r w:rsidRPr="00C91762">
        <w:rPr>
          <w:rFonts w:asciiTheme="majorBidi" w:hAnsiTheme="majorBidi" w:cstheme="majorBidi"/>
          <w:lang w:val="de-DE"/>
        </w:rPr>
        <w:t>ar</w:t>
      </w:r>
      <w:proofErr w:type="spellEnd"/>
      <w:r w:rsidRPr="00C91762">
        <w:rPr>
          <w:rFonts w:asciiTheme="majorBidi" w:hAnsiTheme="majorBidi" w:cstheme="majorBidi"/>
          <w:lang w:val="de-DE"/>
        </w:rPr>
        <w:t xml:space="preserve"> </w:t>
      </w:r>
      <w:proofErr w:type="spellStart"/>
      <w:r w:rsidRPr="00C91762">
        <w:rPr>
          <w:rFonts w:asciiTheme="majorBidi" w:hAnsiTheme="majorBidi" w:cstheme="majorBidi"/>
          <w:lang w:val="de-DE"/>
        </w:rPr>
        <w:t>publisku</w:t>
      </w:r>
      <w:proofErr w:type="spellEnd"/>
      <w:r w:rsidRPr="00C91762">
        <w:rPr>
          <w:rFonts w:asciiTheme="majorBidi" w:hAnsiTheme="majorBidi" w:cstheme="majorBidi"/>
          <w:lang w:val="de-DE"/>
        </w:rPr>
        <w:t xml:space="preserve"> </w:t>
      </w:r>
      <w:proofErr w:type="spellStart"/>
      <w:r w:rsidRPr="00C91762">
        <w:rPr>
          <w:rFonts w:asciiTheme="majorBidi" w:hAnsiTheme="majorBidi" w:cstheme="majorBidi"/>
          <w:lang w:val="de-DE"/>
        </w:rPr>
        <w:t>varu</w:t>
      </w:r>
      <w:proofErr w:type="spellEnd"/>
      <w:r w:rsidRPr="00C91762">
        <w:rPr>
          <w:rFonts w:asciiTheme="majorBidi" w:hAnsiTheme="majorBidi" w:cstheme="majorBidi"/>
          <w:lang w:val="de-DE"/>
        </w:rPr>
        <w:t xml:space="preserve"> </w:t>
      </w:r>
      <w:proofErr w:type="spellStart"/>
      <w:r w:rsidRPr="00C91762">
        <w:rPr>
          <w:rFonts w:asciiTheme="majorBidi" w:hAnsiTheme="majorBidi" w:cstheme="majorBidi"/>
          <w:lang w:val="de-DE"/>
        </w:rPr>
        <w:t>apveltīta</w:t>
      </w:r>
      <w:proofErr w:type="spellEnd"/>
      <w:r w:rsidRPr="00C91762">
        <w:rPr>
          <w:rFonts w:asciiTheme="majorBidi" w:hAnsiTheme="majorBidi" w:cstheme="majorBidi"/>
          <w:lang w:val="de-DE"/>
        </w:rPr>
        <w:t xml:space="preserve"> </w:t>
      </w:r>
      <w:proofErr w:type="spellStart"/>
      <w:r w:rsidRPr="00C91762">
        <w:rPr>
          <w:rFonts w:asciiTheme="majorBidi" w:hAnsiTheme="majorBidi" w:cstheme="majorBidi"/>
          <w:lang w:val="de-DE"/>
        </w:rPr>
        <w:t>ārvalsts</w:t>
      </w:r>
      <w:proofErr w:type="spellEnd"/>
      <w:r w:rsidRPr="00C91762">
        <w:rPr>
          <w:rFonts w:asciiTheme="majorBidi" w:hAnsiTheme="majorBidi" w:cstheme="majorBidi"/>
          <w:lang w:val="de-DE"/>
        </w:rPr>
        <w:t xml:space="preserve"> </w:t>
      </w:r>
      <w:proofErr w:type="spellStart"/>
      <w:r w:rsidRPr="00C91762">
        <w:rPr>
          <w:rFonts w:asciiTheme="majorBidi" w:hAnsiTheme="majorBidi" w:cstheme="majorBidi"/>
          <w:lang w:val="de-DE"/>
        </w:rPr>
        <w:t>persona</w:t>
      </w:r>
      <w:proofErr w:type="spellEnd"/>
      <w:r w:rsidRPr="00C91762">
        <w:rPr>
          <w:rFonts w:asciiTheme="majorBidi" w:hAnsiTheme="majorBidi" w:cstheme="majorBidi"/>
          <w:lang w:val="de-DE"/>
        </w:rPr>
        <w:t xml:space="preserve">, </w:t>
      </w:r>
      <w:proofErr w:type="spellStart"/>
      <w:r w:rsidRPr="00C91762">
        <w:rPr>
          <w:rFonts w:asciiTheme="majorBidi" w:hAnsiTheme="majorBidi" w:cstheme="majorBidi"/>
          <w:lang w:val="de-DE"/>
        </w:rPr>
        <w:t>kura</w:t>
      </w:r>
      <w:proofErr w:type="spellEnd"/>
      <w:r w:rsidRPr="00C91762">
        <w:rPr>
          <w:rFonts w:asciiTheme="majorBidi" w:hAnsiTheme="majorBidi" w:cstheme="majorBidi"/>
          <w:lang w:val="de-DE"/>
        </w:rPr>
        <w:t xml:space="preserve"> </w:t>
      </w:r>
      <w:proofErr w:type="spellStart"/>
      <w:r w:rsidRPr="00C91762">
        <w:rPr>
          <w:rFonts w:asciiTheme="majorBidi" w:hAnsiTheme="majorBidi" w:cstheme="majorBidi"/>
          <w:lang w:val="de-DE"/>
        </w:rPr>
        <w:t>savās</w:t>
      </w:r>
      <w:proofErr w:type="spellEnd"/>
      <w:r w:rsidRPr="00C91762">
        <w:rPr>
          <w:rFonts w:asciiTheme="majorBidi" w:hAnsiTheme="majorBidi" w:cstheme="majorBidi"/>
          <w:lang w:val="de-DE"/>
        </w:rPr>
        <w:t xml:space="preserve"> </w:t>
      </w:r>
      <w:proofErr w:type="spellStart"/>
      <w:r w:rsidRPr="00C91762">
        <w:rPr>
          <w:rFonts w:asciiTheme="majorBidi" w:hAnsiTheme="majorBidi" w:cstheme="majorBidi"/>
          <w:lang w:val="de-DE"/>
        </w:rPr>
        <w:t>funkcijās</w:t>
      </w:r>
      <w:proofErr w:type="spellEnd"/>
      <w:r w:rsidRPr="00C91762">
        <w:rPr>
          <w:rFonts w:asciiTheme="majorBidi" w:hAnsiTheme="majorBidi" w:cstheme="majorBidi"/>
          <w:lang w:val="de-DE"/>
        </w:rPr>
        <w:t xml:space="preserve"> </w:t>
      </w:r>
      <w:proofErr w:type="spellStart"/>
      <w:r w:rsidRPr="00C91762">
        <w:rPr>
          <w:rFonts w:asciiTheme="majorBidi" w:hAnsiTheme="majorBidi" w:cstheme="majorBidi"/>
          <w:lang w:val="de-DE"/>
        </w:rPr>
        <w:t>var</w:t>
      </w:r>
      <w:proofErr w:type="spellEnd"/>
      <w:r w:rsidRPr="00C91762">
        <w:rPr>
          <w:rFonts w:asciiTheme="majorBidi" w:hAnsiTheme="majorBidi" w:cstheme="majorBidi"/>
          <w:lang w:val="de-DE"/>
        </w:rPr>
        <w:t xml:space="preserve"> </w:t>
      </w:r>
      <w:proofErr w:type="spellStart"/>
      <w:r w:rsidRPr="00C91762">
        <w:rPr>
          <w:rFonts w:asciiTheme="majorBidi" w:hAnsiTheme="majorBidi" w:cstheme="majorBidi"/>
          <w:lang w:val="de-DE"/>
        </w:rPr>
        <w:t>tikt</w:t>
      </w:r>
      <w:proofErr w:type="spellEnd"/>
      <w:r w:rsidRPr="00C91762">
        <w:rPr>
          <w:rFonts w:asciiTheme="majorBidi" w:hAnsiTheme="majorBidi" w:cstheme="majorBidi"/>
          <w:lang w:val="de-DE"/>
        </w:rPr>
        <w:t xml:space="preserve"> </w:t>
      </w:r>
      <w:proofErr w:type="spellStart"/>
      <w:r w:rsidRPr="00C91762">
        <w:rPr>
          <w:rFonts w:asciiTheme="majorBidi" w:hAnsiTheme="majorBidi" w:cstheme="majorBidi"/>
          <w:lang w:val="de-DE"/>
        </w:rPr>
        <w:t>pielīdzināta</w:t>
      </w:r>
      <w:proofErr w:type="spellEnd"/>
      <w:r w:rsidRPr="00C91762">
        <w:rPr>
          <w:rFonts w:asciiTheme="majorBidi" w:hAnsiTheme="majorBidi" w:cstheme="majorBidi"/>
          <w:lang w:val="de-DE"/>
        </w:rPr>
        <w:t xml:space="preserve"> Latvijas </w:t>
      </w:r>
      <w:proofErr w:type="spellStart"/>
      <w:r w:rsidRPr="00C91762">
        <w:rPr>
          <w:rFonts w:asciiTheme="majorBidi" w:hAnsiTheme="majorBidi" w:cstheme="majorBidi"/>
          <w:lang w:val="de-DE"/>
        </w:rPr>
        <w:t>zvērinātam</w:t>
      </w:r>
      <w:proofErr w:type="spellEnd"/>
      <w:r w:rsidRPr="00C91762">
        <w:rPr>
          <w:rFonts w:asciiTheme="majorBidi" w:hAnsiTheme="majorBidi" w:cstheme="majorBidi"/>
          <w:lang w:val="de-DE"/>
        </w:rPr>
        <w:t xml:space="preserve"> </w:t>
      </w:r>
      <w:proofErr w:type="spellStart"/>
      <w:r w:rsidRPr="00C91762">
        <w:rPr>
          <w:rFonts w:asciiTheme="majorBidi" w:hAnsiTheme="majorBidi" w:cstheme="majorBidi"/>
          <w:lang w:val="de-DE"/>
        </w:rPr>
        <w:t>notāram</w:t>
      </w:r>
      <w:proofErr w:type="spellEnd"/>
      <w:r w:rsidRPr="00C91762">
        <w:rPr>
          <w:rFonts w:asciiTheme="majorBidi" w:hAnsiTheme="majorBidi" w:cstheme="majorBidi"/>
          <w:lang w:val="de-DE"/>
        </w:rPr>
        <w:t xml:space="preserve"> </w:t>
      </w:r>
      <w:proofErr w:type="spellStart"/>
      <w:r w:rsidRPr="00C91762">
        <w:rPr>
          <w:rFonts w:asciiTheme="majorBidi" w:hAnsiTheme="majorBidi" w:cstheme="majorBidi"/>
          <w:lang w:val="de-DE"/>
        </w:rPr>
        <w:t>publiska</w:t>
      </w:r>
      <w:proofErr w:type="spellEnd"/>
      <w:r w:rsidRPr="00C91762">
        <w:rPr>
          <w:rFonts w:asciiTheme="majorBidi" w:hAnsiTheme="majorBidi" w:cstheme="majorBidi"/>
          <w:lang w:val="de-DE"/>
        </w:rPr>
        <w:t xml:space="preserve"> </w:t>
      </w:r>
      <w:proofErr w:type="spellStart"/>
      <w:r w:rsidRPr="00C91762">
        <w:rPr>
          <w:rFonts w:asciiTheme="majorBidi" w:hAnsiTheme="majorBidi" w:cstheme="majorBidi"/>
          <w:lang w:val="de-DE"/>
        </w:rPr>
        <w:t>dokumenta</w:t>
      </w:r>
      <w:proofErr w:type="spellEnd"/>
      <w:r w:rsidRPr="00C91762">
        <w:rPr>
          <w:rFonts w:asciiTheme="majorBidi" w:hAnsiTheme="majorBidi" w:cstheme="majorBidi"/>
          <w:lang w:val="de-DE"/>
        </w:rPr>
        <w:t xml:space="preserve"> </w:t>
      </w:r>
      <w:proofErr w:type="spellStart"/>
      <w:r w:rsidRPr="00C91762">
        <w:rPr>
          <w:rFonts w:asciiTheme="majorBidi" w:hAnsiTheme="majorBidi" w:cstheme="majorBidi"/>
          <w:lang w:val="de-DE"/>
        </w:rPr>
        <w:t>izdošanas</w:t>
      </w:r>
      <w:proofErr w:type="spellEnd"/>
      <w:r w:rsidRPr="00C91762">
        <w:rPr>
          <w:rFonts w:asciiTheme="majorBidi" w:hAnsiTheme="majorBidi" w:cstheme="majorBidi"/>
          <w:lang w:val="de-DE"/>
        </w:rPr>
        <w:t xml:space="preserve"> </w:t>
      </w:r>
      <w:proofErr w:type="spellStart"/>
      <w:r w:rsidRPr="00C91762">
        <w:rPr>
          <w:rFonts w:asciiTheme="majorBidi" w:hAnsiTheme="majorBidi" w:cstheme="majorBidi"/>
          <w:lang w:val="de-DE"/>
        </w:rPr>
        <w:t>kontekstā</w:t>
      </w:r>
      <w:proofErr w:type="spellEnd"/>
      <w:r w:rsidRPr="00C91762">
        <w:rPr>
          <w:rFonts w:asciiTheme="majorBidi" w:hAnsiTheme="majorBidi" w:cstheme="majorBidi"/>
          <w:lang w:val="de-DE"/>
        </w:rPr>
        <w:t xml:space="preserve">; </w:t>
      </w:r>
      <w:proofErr w:type="spellStart"/>
      <w:r w:rsidRPr="00C91762">
        <w:rPr>
          <w:rFonts w:asciiTheme="majorBidi" w:hAnsiTheme="majorBidi" w:cstheme="majorBidi"/>
          <w:b/>
          <w:lang w:val="de-DE"/>
        </w:rPr>
        <w:t>un</w:t>
      </w:r>
      <w:proofErr w:type="spellEnd"/>
    </w:p>
    <w:p w14:paraId="022CB187" w14:textId="688124E8" w:rsidR="00E77EAD" w:rsidRPr="000C7C76" w:rsidRDefault="00E77EAD" w:rsidP="00E77EAD">
      <w:pPr>
        <w:jc w:val="both"/>
        <w:rPr>
          <w:rFonts w:asciiTheme="majorBidi" w:hAnsiTheme="majorBidi" w:cstheme="majorBidi"/>
          <w:lang w:val="de-DE"/>
        </w:rPr>
      </w:pPr>
      <w:r w:rsidRPr="00C91762">
        <w:rPr>
          <w:rFonts w:asciiTheme="majorBidi" w:hAnsiTheme="majorBidi" w:cstheme="majorBidi"/>
          <w:lang w:val="de-DE"/>
        </w:rPr>
        <w:t xml:space="preserve">- </w:t>
      </w:r>
      <w:proofErr w:type="spellStart"/>
      <w:r w:rsidRPr="00C91762">
        <w:rPr>
          <w:rFonts w:asciiTheme="majorBidi" w:hAnsiTheme="majorBidi" w:cstheme="majorBidi"/>
          <w:lang w:val="de-DE"/>
        </w:rPr>
        <w:t>ārvalsts</w:t>
      </w:r>
      <w:proofErr w:type="spellEnd"/>
      <w:r w:rsidRPr="00C91762">
        <w:rPr>
          <w:rFonts w:asciiTheme="majorBidi" w:hAnsiTheme="majorBidi" w:cstheme="majorBidi"/>
          <w:lang w:val="de-DE"/>
        </w:rPr>
        <w:t xml:space="preserve"> </w:t>
      </w:r>
      <w:proofErr w:type="spellStart"/>
      <w:r w:rsidRPr="00C91762">
        <w:rPr>
          <w:rFonts w:asciiTheme="majorBidi" w:hAnsiTheme="majorBidi" w:cstheme="majorBidi"/>
          <w:lang w:val="de-DE"/>
        </w:rPr>
        <w:t>publiskais</w:t>
      </w:r>
      <w:proofErr w:type="spellEnd"/>
      <w:r w:rsidRPr="00C91762">
        <w:rPr>
          <w:rFonts w:asciiTheme="majorBidi" w:hAnsiTheme="majorBidi" w:cstheme="majorBidi"/>
          <w:lang w:val="de-DE"/>
        </w:rPr>
        <w:t xml:space="preserve"> </w:t>
      </w:r>
      <w:proofErr w:type="spellStart"/>
      <w:r w:rsidRPr="00C91762">
        <w:rPr>
          <w:rFonts w:asciiTheme="majorBidi" w:hAnsiTheme="majorBidi" w:cstheme="majorBidi"/>
          <w:lang w:val="de-DE"/>
        </w:rPr>
        <w:t>dokuments</w:t>
      </w:r>
      <w:proofErr w:type="spellEnd"/>
      <w:r w:rsidRPr="00C91762">
        <w:rPr>
          <w:rFonts w:asciiTheme="majorBidi" w:hAnsiTheme="majorBidi" w:cstheme="majorBidi"/>
          <w:lang w:val="de-DE"/>
        </w:rPr>
        <w:t xml:space="preserve"> </w:t>
      </w:r>
      <w:proofErr w:type="spellStart"/>
      <w:r w:rsidRPr="00C91762">
        <w:rPr>
          <w:rFonts w:asciiTheme="majorBidi" w:hAnsiTheme="majorBidi" w:cstheme="majorBidi"/>
          <w:lang w:val="de-DE"/>
        </w:rPr>
        <w:t>ir</w:t>
      </w:r>
      <w:proofErr w:type="spellEnd"/>
      <w:r w:rsidRPr="00C91762">
        <w:rPr>
          <w:rFonts w:asciiTheme="majorBidi" w:hAnsiTheme="majorBidi" w:cstheme="majorBidi"/>
          <w:lang w:val="de-DE"/>
        </w:rPr>
        <w:t xml:space="preserve"> </w:t>
      </w:r>
      <w:proofErr w:type="spellStart"/>
      <w:r w:rsidRPr="00C91762">
        <w:rPr>
          <w:rFonts w:asciiTheme="majorBidi" w:hAnsiTheme="majorBidi" w:cstheme="majorBidi"/>
          <w:lang w:val="de-DE"/>
        </w:rPr>
        <w:t>subsumējams</w:t>
      </w:r>
      <w:proofErr w:type="spellEnd"/>
      <w:r w:rsidRPr="00C91762">
        <w:rPr>
          <w:rFonts w:asciiTheme="majorBidi" w:hAnsiTheme="majorBidi" w:cstheme="majorBidi"/>
          <w:lang w:val="de-DE"/>
        </w:rPr>
        <w:t xml:space="preserve"> </w:t>
      </w:r>
      <w:proofErr w:type="spellStart"/>
      <w:r w:rsidRPr="00C91762">
        <w:rPr>
          <w:rFonts w:asciiTheme="majorBidi" w:hAnsiTheme="majorBidi" w:cstheme="majorBidi"/>
          <w:lang w:val="de-DE"/>
        </w:rPr>
        <w:t>Notariāta</w:t>
      </w:r>
      <w:proofErr w:type="spellEnd"/>
      <w:r w:rsidRPr="00C91762">
        <w:rPr>
          <w:rFonts w:asciiTheme="majorBidi" w:hAnsiTheme="majorBidi" w:cstheme="majorBidi"/>
          <w:lang w:val="de-DE"/>
        </w:rPr>
        <w:t xml:space="preserve"> </w:t>
      </w:r>
      <w:proofErr w:type="spellStart"/>
      <w:r w:rsidRPr="00C91762">
        <w:rPr>
          <w:rFonts w:asciiTheme="majorBidi" w:hAnsiTheme="majorBidi" w:cstheme="majorBidi"/>
          <w:lang w:val="de-DE"/>
        </w:rPr>
        <w:t>likuma</w:t>
      </w:r>
      <w:proofErr w:type="spellEnd"/>
      <w:r w:rsidRPr="00C91762">
        <w:rPr>
          <w:rFonts w:asciiTheme="majorBidi" w:hAnsiTheme="majorBidi" w:cstheme="majorBidi"/>
          <w:lang w:val="de-DE"/>
        </w:rPr>
        <w:t xml:space="preserve"> 81.pantā </w:t>
      </w:r>
      <w:proofErr w:type="spellStart"/>
      <w:r w:rsidRPr="00C91762">
        <w:rPr>
          <w:rFonts w:asciiTheme="majorBidi" w:hAnsiTheme="majorBidi" w:cstheme="majorBidi"/>
          <w:lang w:val="de-DE"/>
        </w:rPr>
        <w:t>minētajai</w:t>
      </w:r>
      <w:proofErr w:type="spellEnd"/>
      <w:r w:rsidRPr="00C91762">
        <w:rPr>
          <w:rFonts w:asciiTheme="majorBidi" w:hAnsiTheme="majorBidi" w:cstheme="majorBidi"/>
          <w:lang w:val="de-DE"/>
        </w:rPr>
        <w:t xml:space="preserve"> </w:t>
      </w:r>
      <w:proofErr w:type="spellStart"/>
      <w:r w:rsidRPr="00C91762">
        <w:rPr>
          <w:rFonts w:asciiTheme="majorBidi" w:hAnsiTheme="majorBidi" w:cstheme="majorBidi"/>
          <w:lang w:val="de-DE"/>
        </w:rPr>
        <w:t>tiesību</w:t>
      </w:r>
      <w:proofErr w:type="spellEnd"/>
      <w:r w:rsidRPr="00C91762">
        <w:rPr>
          <w:rFonts w:asciiTheme="majorBidi" w:hAnsiTheme="majorBidi" w:cstheme="majorBidi"/>
          <w:lang w:val="de-DE"/>
        </w:rPr>
        <w:t xml:space="preserve"> </w:t>
      </w:r>
      <w:proofErr w:type="spellStart"/>
      <w:r w:rsidRPr="00C91762">
        <w:rPr>
          <w:rFonts w:asciiTheme="majorBidi" w:hAnsiTheme="majorBidi" w:cstheme="majorBidi"/>
          <w:lang w:val="de-DE"/>
        </w:rPr>
        <w:t>normai</w:t>
      </w:r>
      <w:proofErr w:type="spellEnd"/>
      <w:r w:rsidRPr="00C91762">
        <w:rPr>
          <w:rFonts w:asciiTheme="majorBidi" w:hAnsiTheme="majorBidi" w:cstheme="majorBidi"/>
          <w:lang w:val="de-DE"/>
        </w:rPr>
        <w:t xml:space="preserve"> par </w:t>
      </w:r>
      <w:proofErr w:type="spellStart"/>
      <w:r w:rsidRPr="00C91762">
        <w:rPr>
          <w:rFonts w:asciiTheme="majorBidi" w:hAnsiTheme="majorBidi" w:cstheme="majorBidi"/>
          <w:lang w:val="de-DE"/>
        </w:rPr>
        <w:t>publiska</w:t>
      </w:r>
      <w:proofErr w:type="spellEnd"/>
      <w:r w:rsidRPr="00C91762">
        <w:rPr>
          <w:rFonts w:asciiTheme="majorBidi" w:hAnsiTheme="majorBidi" w:cstheme="majorBidi"/>
          <w:lang w:val="de-DE"/>
        </w:rPr>
        <w:t xml:space="preserve"> </w:t>
      </w:r>
      <w:proofErr w:type="spellStart"/>
      <w:r w:rsidRPr="00C91762">
        <w:rPr>
          <w:rFonts w:asciiTheme="majorBidi" w:hAnsiTheme="majorBidi" w:cstheme="majorBidi"/>
          <w:lang w:val="de-DE"/>
        </w:rPr>
        <w:t>dokumenta</w:t>
      </w:r>
      <w:proofErr w:type="spellEnd"/>
      <w:r w:rsidRPr="00C91762">
        <w:rPr>
          <w:rFonts w:asciiTheme="majorBidi" w:hAnsiTheme="majorBidi" w:cstheme="majorBidi"/>
          <w:lang w:val="de-DE"/>
        </w:rPr>
        <w:t xml:space="preserve"> </w:t>
      </w:r>
      <w:proofErr w:type="spellStart"/>
      <w:r w:rsidRPr="00C91762">
        <w:rPr>
          <w:rFonts w:asciiTheme="majorBidi" w:hAnsiTheme="majorBidi" w:cstheme="majorBidi"/>
          <w:lang w:val="de-DE"/>
        </w:rPr>
        <w:t>pazīmēm</w:t>
      </w:r>
      <w:proofErr w:type="spellEnd"/>
      <w:r w:rsidRPr="00C91762">
        <w:rPr>
          <w:rFonts w:asciiTheme="majorBidi" w:hAnsiTheme="majorBidi" w:cstheme="majorBidi"/>
          <w:lang w:val="de-DE"/>
        </w:rPr>
        <w:t>.</w:t>
      </w:r>
    </w:p>
    <w:p w14:paraId="79FF1469" w14:textId="4C667C0D" w:rsidR="00E77EAD" w:rsidRPr="000C7C76" w:rsidRDefault="00E77EAD" w:rsidP="00E77EAD">
      <w:pPr>
        <w:jc w:val="both"/>
        <w:rPr>
          <w:rFonts w:asciiTheme="majorBidi" w:hAnsiTheme="majorBidi" w:cstheme="majorBidi"/>
          <w:lang w:val="de-DE"/>
        </w:rPr>
      </w:pPr>
    </w:p>
    <w:p w14:paraId="1F89CE79" w14:textId="77777777" w:rsidR="00605CB6" w:rsidRPr="000C7C76" w:rsidRDefault="00605CB6" w:rsidP="00E77EAD">
      <w:pPr>
        <w:jc w:val="both"/>
        <w:rPr>
          <w:rFonts w:asciiTheme="majorBidi" w:hAnsiTheme="majorBidi" w:cstheme="majorBidi"/>
          <w:b/>
          <w:lang w:val="de-DE"/>
        </w:rPr>
      </w:pPr>
    </w:p>
    <w:p w14:paraId="2F78076E" w14:textId="77777777" w:rsidR="007463DB" w:rsidRPr="000C7C76" w:rsidRDefault="007463DB" w:rsidP="00E77EAD">
      <w:pPr>
        <w:jc w:val="both"/>
        <w:rPr>
          <w:rFonts w:asciiTheme="majorBidi" w:hAnsiTheme="majorBidi" w:cstheme="majorBidi"/>
          <w:b/>
          <w:lang w:val="de-DE"/>
        </w:rPr>
      </w:pPr>
    </w:p>
    <w:p w14:paraId="2AC1C66D" w14:textId="77777777" w:rsidR="007463DB" w:rsidRPr="000C7C76" w:rsidRDefault="007463DB" w:rsidP="00E77EAD">
      <w:pPr>
        <w:jc w:val="both"/>
        <w:rPr>
          <w:rFonts w:asciiTheme="majorBidi" w:hAnsiTheme="majorBidi" w:cstheme="majorBidi"/>
          <w:b/>
          <w:lang w:val="de-DE"/>
        </w:rPr>
      </w:pPr>
    </w:p>
    <w:p w14:paraId="50A5F1CF" w14:textId="093A77BB" w:rsidR="007463DB" w:rsidRPr="000C7C76" w:rsidRDefault="00E77EAD" w:rsidP="00E77EAD">
      <w:pPr>
        <w:jc w:val="both"/>
        <w:rPr>
          <w:rFonts w:asciiTheme="majorBidi" w:hAnsiTheme="majorBidi" w:cstheme="majorBidi"/>
          <w:b/>
          <w:lang w:val="de-DE"/>
        </w:rPr>
      </w:pPr>
      <w:proofErr w:type="spellStart"/>
      <w:r w:rsidRPr="000C7C76">
        <w:rPr>
          <w:rFonts w:asciiTheme="majorBidi" w:hAnsiTheme="majorBidi" w:cstheme="majorBidi"/>
          <w:b/>
          <w:lang w:val="de-DE"/>
        </w:rPr>
        <w:t>Formas</w:t>
      </w:r>
      <w:proofErr w:type="spellEnd"/>
      <w:r w:rsidRPr="000C7C76">
        <w:rPr>
          <w:rFonts w:asciiTheme="majorBidi" w:hAnsiTheme="majorBidi" w:cstheme="majorBidi"/>
          <w:b/>
          <w:lang w:val="de-DE"/>
        </w:rPr>
        <w:t xml:space="preserve"> </w:t>
      </w:r>
      <w:proofErr w:type="spellStart"/>
      <w:r w:rsidRPr="000C7C76">
        <w:rPr>
          <w:rFonts w:asciiTheme="majorBidi" w:hAnsiTheme="majorBidi" w:cstheme="majorBidi"/>
          <w:b/>
          <w:lang w:val="de-DE"/>
        </w:rPr>
        <w:t>prasības</w:t>
      </w:r>
      <w:proofErr w:type="spellEnd"/>
      <w:r w:rsidRPr="000C7C76">
        <w:rPr>
          <w:rFonts w:asciiTheme="majorBidi" w:hAnsiTheme="majorBidi" w:cstheme="majorBidi"/>
          <w:b/>
          <w:lang w:val="de-DE"/>
        </w:rPr>
        <w:t>:</w:t>
      </w:r>
    </w:p>
    <w:p w14:paraId="432AF548" w14:textId="77777777" w:rsidR="00114953" w:rsidRPr="000C7C76" w:rsidRDefault="00114953" w:rsidP="00114953">
      <w:pPr>
        <w:jc w:val="both"/>
        <w:rPr>
          <w:rFonts w:ascii="Times New Roman" w:hAnsi="Times New Roman" w:cs="Arial"/>
          <w:color w:val="323233"/>
          <w:lang w:val="de-DE"/>
        </w:rPr>
      </w:pPr>
    </w:p>
    <w:p w14:paraId="62109722" w14:textId="64247D18" w:rsidR="00114953" w:rsidRPr="000C7C76" w:rsidRDefault="00114953" w:rsidP="00114953">
      <w:pPr>
        <w:ind w:firstLine="708"/>
        <w:jc w:val="both"/>
        <w:rPr>
          <w:rFonts w:ascii="Times New Roman" w:hAnsi="Times New Roman" w:cs="Times New Roman"/>
          <w:lang w:val="de-DE"/>
        </w:rPr>
      </w:pPr>
      <w:r w:rsidRPr="000C7C76">
        <w:rPr>
          <w:rFonts w:ascii="Times New Roman" w:hAnsi="Times New Roman" w:cs="Times New Roman"/>
          <w:lang w:val="de-DE"/>
        </w:rPr>
        <w:t xml:space="preserve"> </w:t>
      </w:r>
      <w:proofErr w:type="spellStart"/>
      <w:r w:rsidRPr="000C7C76">
        <w:rPr>
          <w:rFonts w:ascii="Times New Roman" w:hAnsi="Times New Roman" w:cs="Times New Roman"/>
          <w:lang w:val="de-DE"/>
        </w:rPr>
        <w:t>Attiecībā</w:t>
      </w:r>
      <w:proofErr w:type="spellEnd"/>
      <w:r w:rsidRPr="000C7C76">
        <w:rPr>
          <w:rFonts w:ascii="Times New Roman" w:hAnsi="Times New Roman" w:cs="Times New Roman"/>
          <w:lang w:val="de-DE"/>
        </w:rPr>
        <w:t xml:space="preserve"> </w:t>
      </w:r>
      <w:proofErr w:type="spellStart"/>
      <w:r w:rsidRPr="000C7C76">
        <w:rPr>
          <w:rFonts w:ascii="Times New Roman" w:hAnsi="Times New Roman" w:cs="Times New Roman"/>
          <w:lang w:val="de-DE"/>
        </w:rPr>
        <w:t>uz</w:t>
      </w:r>
      <w:proofErr w:type="spellEnd"/>
      <w:r w:rsidRPr="000C7C76">
        <w:rPr>
          <w:rFonts w:ascii="Times New Roman" w:hAnsi="Times New Roman" w:cs="Times New Roman"/>
          <w:lang w:val="de-DE"/>
        </w:rPr>
        <w:t xml:space="preserve"> </w:t>
      </w:r>
      <w:proofErr w:type="spellStart"/>
      <w:r w:rsidRPr="000C7C76">
        <w:rPr>
          <w:rFonts w:ascii="Times New Roman" w:hAnsi="Times New Roman" w:cs="Times New Roman"/>
          <w:lang w:val="de-DE"/>
        </w:rPr>
        <w:t>ārvalsts</w:t>
      </w:r>
      <w:proofErr w:type="spellEnd"/>
      <w:r w:rsidRPr="000C7C76">
        <w:rPr>
          <w:rFonts w:ascii="Times New Roman" w:hAnsi="Times New Roman" w:cs="Times New Roman"/>
          <w:lang w:val="de-DE"/>
        </w:rPr>
        <w:t xml:space="preserve"> </w:t>
      </w:r>
      <w:proofErr w:type="spellStart"/>
      <w:r w:rsidRPr="000C7C76">
        <w:rPr>
          <w:rFonts w:ascii="Times New Roman" w:hAnsi="Times New Roman" w:cs="Times New Roman"/>
          <w:lang w:val="de-DE"/>
        </w:rPr>
        <w:t>publiskā</w:t>
      </w:r>
      <w:proofErr w:type="spellEnd"/>
      <w:r w:rsidRPr="000C7C76">
        <w:rPr>
          <w:rFonts w:ascii="Times New Roman" w:hAnsi="Times New Roman" w:cs="Times New Roman"/>
          <w:lang w:val="de-DE"/>
        </w:rPr>
        <w:t xml:space="preserve"> </w:t>
      </w:r>
      <w:proofErr w:type="spellStart"/>
      <w:r w:rsidRPr="000C7C76">
        <w:rPr>
          <w:rFonts w:ascii="Times New Roman" w:hAnsi="Times New Roman" w:cs="Times New Roman"/>
          <w:lang w:val="de-DE"/>
        </w:rPr>
        <w:t>dokumenta</w:t>
      </w:r>
      <w:proofErr w:type="spellEnd"/>
      <w:r w:rsidRPr="000C7C76">
        <w:rPr>
          <w:rFonts w:ascii="Times New Roman" w:hAnsi="Times New Roman" w:cs="Times New Roman"/>
          <w:lang w:val="de-DE"/>
        </w:rPr>
        <w:t xml:space="preserve"> </w:t>
      </w:r>
      <w:proofErr w:type="spellStart"/>
      <w:r w:rsidRPr="000C7C76">
        <w:rPr>
          <w:rFonts w:ascii="Times New Roman" w:hAnsi="Times New Roman" w:cs="Times New Roman"/>
          <w:u w:val="single"/>
          <w:lang w:val="de-DE"/>
        </w:rPr>
        <w:t>formu</w:t>
      </w:r>
      <w:proofErr w:type="spellEnd"/>
      <w:r w:rsidRPr="000C7C76">
        <w:rPr>
          <w:rFonts w:ascii="Times New Roman" w:hAnsi="Times New Roman" w:cs="Times New Roman"/>
          <w:lang w:val="de-DE"/>
        </w:rPr>
        <w:t xml:space="preserve"> </w:t>
      </w:r>
      <w:proofErr w:type="spellStart"/>
      <w:r w:rsidRPr="000C7C76">
        <w:rPr>
          <w:rFonts w:ascii="Times New Roman" w:hAnsi="Times New Roman" w:cs="Times New Roman"/>
          <w:lang w:val="de-DE"/>
        </w:rPr>
        <w:t>Vācijas</w:t>
      </w:r>
      <w:proofErr w:type="spellEnd"/>
      <w:r w:rsidRPr="000C7C76">
        <w:rPr>
          <w:rFonts w:ascii="Times New Roman" w:hAnsi="Times New Roman" w:cs="Times New Roman"/>
          <w:lang w:val="de-DE"/>
        </w:rPr>
        <w:t xml:space="preserve"> </w:t>
      </w:r>
      <w:proofErr w:type="spellStart"/>
      <w:r w:rsidRPr="000C7C76">
        <w:rPr>
          <w:rFonts w:ascii="Times New Roman" w:hAnsi="Times New Roman" w:cs="Times New Roman"/>
          <w:lang w:val="de-DE"/>
        </w:rPr>
        <w:t>tiesību</w:t>
      </w:r>
      <w:proofErr w:type="spellEnd"/>
      <w:r w:rsidRPr="000C7C76">
        <w:rPr>
          <w:rFonts w:ascii="Times New Roman" w:hAnsi="Times New Roman" w:cs="Times New Roman"/>
          <w:lang w:val="de-DE"/>
        </w:rPr>
        <w:t xml:space="preserve"> </w:t>
      </w:r>
      <w:proofErr w:type="spellStart"/>
      <w:r w:rsidRPr="000C7C76">
        <w:rPr>
          <w:rFonts w:ascii="Times New Roman" w:hAnsi="Times New Roman" w:cs="Times New Roman"/>
          <w:lang w:val="de-DE"/>
        </w:rPr>
        <w:t>zinātnē</w:t>
      </w:r>
      <w:proofErr w:type="spellEnd"/>
      <w:r w:rsidRPr="000C7C76">
        <w:rPr>
          <w:rFonts w:ascii="Times New Roman" w:hAnsi="Times New Roman" w:cs="Times New Roman"/>
          <w:lang w:val="de-DE"/>
        </w:rPr>
        <w:t xml:space="preserve"> </w:t>
      </w:r>
      <w:proofErr w:type="spellStart"/>
      <w:r w:rsidRPr="000C7C76">
        <w:rPr>
          <w:rFonts w:ascii="Times New Roman" w:hAnsi="Times New Roman" w:cs="Times New Roman"/>
          <w:lang w:val="de-DE"/>
        </w:rPr>
        <w:t>un</w:t>
      </w:r>
      <w:proofErr w:type="spellEnd"/>
      <w:r w:rsidRPr="000C7C76">
        <w:rPr>
          <w:rFonts w:ascii="Times New Roman" w:hAnsi="Times New Roman" w:cs="Times New Roman"/>
          <w:lang w:val="de-DE"/>
        </w:rPr>
        <w:t xml:space="preserve"> </w:t>
      </w:r>
      <w:proofErr w:type="spellStart"/>
      <w:r w:rsidRPr="000C7C76">
        <w:rPr>
          <w:rFonts w:ascii="Times New Roman" w:hAnsi="Times New Roman" w:cs="Times New Roman"/>
          <w:lang w:val="de-DE"/>
        </w:rPr>
        <w:t>tiesu</w:t>
      </w:r>
      <w:proofErr w:type="spellEnd"/>
      <w:r w:rsidRPr="000C7C76">
        <w:rPr>
          <w:rFonts w:ascii="Times New Roman" w:hAnsi="Times New Roman" w:cs="Times New Roman"/>
          <w:lang w:val="de-DE"/>
        </w:rPr>
        <w:t xml:space="preserve"> </w:t>
      </w:r>
      <w:proofErr w:type="spellStart"/>
      <w:r w:rsidRPr="000C7C76">
        <w:rPr>
          <w:rFonts w:ascii="Times New Roman" w:hAnsi="Times New Roman" w:cs="Times New Roman"/>
          <w:lang w:val="de-DE"/>
        </w:rPr>
        <w:t>praksē</w:t>
      </w:r>
      <w:proofErr w:type="spellEnd"/>
      <w:r w:rsidRPr="000C7C76">
        <w:rPr>
          <w:rFonts w:ascii="Times New Roman" w:hAnsi="Times New Roman" w:cs="Times New Roman"/>
          <w:lang w:val="de-DE"/>
        </w:rPr>
        <w:t xml:space="preserve"> </w:t>
      </w:r>
      <w:proofErr w:type="spellStart"/>
      <w:r w:rsidRPr="000C7C76">
        <w:rPr>
          <w:rFonts w:ascii="Times New Roman" w:hAnsi="Times New Roman" w:cs="Times New Roman"/>
          <w:lang w:val="de-DE"/>
        </w:rPr>
        <w:t>runā</w:t>
      </w:r>
      <w:proofErr w:type="spellEnd"/>
      <w:r w:rsidRPr="000C7C76">
        <w:rPr>
          <w:rFonts w:ascii="Times New Roman" w:hAnsi="Times New Roman" w:cs="Times New Roman"/>
          <w:lang w:val="de-DE"/>
        </w:rPr>
        <w:t xml:space="preserve"> par </w:t>
      </w:r>
      <w:proofErr w:type="spellStart"/>
      <w:r w:rsidRPr="000C7C76">
        <w:rPr>
          <w:rFonts w:ascii="Times New Roman" w:hAnsi="Times New Roman" w:cs="Times New Roman"/>
          <w:lang w:val="de-DE"/>
        </w:rPr>
        <w:t>t.s</w:t>
      </w:r>
      <w:proofErr w:type="spellEnd"/>
      <w:r w:rsidRPr="000C7C76">
        <w:rPr>
          <w:rFonts w:ascii="Times New Roman" w:hAnsi="Times New Roman" w:cs="Times New Roman"/>
          <w:lang w:val="de-DE"/>
        </w:rPr>
        <w:t xml:space="preserve">. </w:t>
      </w:r>
      <w:proofErr w:type="spellStart"/>
      <w:r w:rsidRPr="000C7C76">
        <w:rPr>
          <w:rFonts w:ascii="Times New Roman" w:hAnsi="Times New Roman" w:cs="Times New Roman"/>
          <w:b/>
          <w:bCs/>
          <w:lang w:val="de-DE"/>
        </w:rPr>
        <w:t>substitūcijas</w:t>
      </w:r>
      <w:proofErr w:type="spellEnd"/>
      <w:r w:rsidRPr="000C7C76">
        <w:rPr>
          <w:rFonts w:ascii="Times New Roman" w:hAnsi="Times New Roman" w:cs="Times New Roman"/>
          <w:b/>
          <w:bCs/>
          <w:lang w:val="de-DE"/>
        </w:rPr>
        <w:t xml:space="preserve"> </w:t>
      </w:r>
      <w:proofErr w:type="spellStart"/>
      <w:r w:rsidRPr="000C7C76">
        <w:rPr>
          <w:rFonts w:ascii="Times New Roman" w:hAnsi="Times New Roman" w:cs="Times New Roman"/>
          <w:b/>
          <w:bCs/>
          <w:lang w:val="de-DE"/>
        </w:rPr>
        <w:t>tehniku</w:t>
      </w:r>
      <w:proofErr w:type="spellEnd"/>
      <w:r w:rsidR="00480738" w:rsidRPr="000C7C76">
        <w:rPr>
          <w:rFonts w:ascii="Times New Roman" w:hAnsi="Times New Roman" w:cs="Times New Roman"/>
          <w:b/>
          <w:bCs/>
          <w:lang w:val="de-DE"/>
        </w:rPr>
        <w:t xml:space="preserve"> </w:t>
      </w:r>
      <w:proofErr w:type="spellStart"/>
      <w:r w:rsidR="00480738" w:rsidRPr="000C7C76">
        <w:rPr>
          <w:rFonts w:ascii="Times New Roman" w:hAnsi="Times New Roman" w:cs="Times New Roman"/>
          <w:b/>
          <w:bCs/>
          <w:lang w:val="de-DE"/>
        </w:rPr>
        <w:t>jeb</w:t>
      </w:r>
      <w:proofErr w:type="spellEnd"/>
      <w:r w:rsidR="00480738" w:rsidRPr="000C7C76">
        <w:rPr>
          <w:rFonts w:ascii="Times New Roman" w:hAnsi="Times New Roman" w:cs="Times New Roman"/>
          <w:b/>
          <w:bCs/>
          <w:lang w:val="de-DE"/>
        </w:rPr>
        <w:t xml:space="preserve"> </w:t>
      </w:r>
      <w:proofErr w:type="spellStart"/>
      <w:r w:rsidR="00480738" w:rsidRPr="000C7C76">
        <w:rPr>
          <w:rFonts w:ascii="Times New Roman" w:hAnsi="Times New Roman" w:cs="Times New Roman"/>
          <w:b/>
          <w:bCs/>
          <w:lang w:val="de-DE"/>
        </w:rPr>
        <w:t>metodi</w:t>
      </w:r>
      <w:proofErr w:type="spellEnd"/>
      <w:r w:rsidR="00CB1F8C" w:rsidRPr="00C91762">
        <w:rPr>
          <w:rStyle w:val="FootnoteReference"/>
          <w:rFonts w:ascii="Times New Roman" w:hAnsi="Times New Roman" w:cs="Times New Roman"/>
          <w:bCs/>
        </w:rPr>
        <w:footnoteReference w:id="100"/>
      </w:r>
      <w:r w:rsidR="00CB1F8C" w:rsidRPr="00C91762">
        <w:rPr>
          <w:rFonts w:ascii="Times New Roman" w:hAnsi="Times New Roman" w:cs="Times New Roman"/>
          <w:b/>
          <w:bCs/>
          <w:lang w:val="de-DE"/>
        </w:rPr>
        <w:t xml:space="preserve"> </w:t>
      </w:r>
      <w:r w:rsidR="00CB1F8C" w:rsidRPr="00C91762">
        <w:rPr>
          <w:rFonts w:ascii="Times New Roman" w:hAnsi="Times New Roman" w:cs="Times New Roman"/>
          <w:bCs/>
          <w:lang w:val="lv-LV"/>
        </w:rPr>
        <w:t xml:space="preserve">(savukārt </w:t>
      </w:r>
      <w:r w:rsidR="00CB1F8C" w:rsidRPr="00C91762">
        <w:rPr>
          <w:rFonts w:ascii="Times New Roman" w:hAnsi="Times New Roman" w:cs="Times New Roman"/>
          <w:b/>
          <w:bCs/>
          <w:lang w:val="lv-LV"/>
        </w:rPr>
        <w:t xml:space="preserve">Francijā </w:t>
      </w:r>
      <w:r w:rsidR="00297B46" w:rsidRPr="00C91762">
        <w:rPr>
          <w:rFonts w:ascii="Times New Roman" w:hAnsi="Times New Roman" w:cs="Times New Roman"/>
          <w:bCs/>
          <w:lang w:val="lv-LV"/>
        </w:rPr>
        <w:t>t</w:t>
      </w:r>
      <w:r w:rsidR="00CB1F8C" w:rsidRPr="00C91762">
        <w:rPr>
          <w:rFonts w:ascii="Times New Roman" w:hAnsi="Times New Roman" w:cs="Times New Roman"/>
          <w:bCs/>
          <w:lang w:val="lv-LV"/>
        </w:rPr>
        <w:t xml:space="preserve">o dēvē par </w:t>
      </w:r>
      <w:r w:rsidR="00CB1F8C" w:rsidRPr="00C91762">
        <w:rPr>
          <w:rFonts w:ascii="Times New Roman" w:hAnsi="Times New Roman" w:cs="Times New Roman"/>
          <w:b/>
          <w:bCs/>
          <w:lang w:val="lv-LV"/>
        </w:rPr>
        <w:t>ekvivalences teoriju</w:t>
      </w:r>
      <w:r w:rsidR="00CB1F8C" w:rsidRPr="00C91762">
        <w:rPr>
          <w:rFonts w:ascii="Times New Roman" w:hAnsi="Times New Roman" w:cs="Times New Roman"/>
          <w:bCs/>
          <w:lang w:val="lv-LV"/>
        </w:rPr>
        <w:t>)</w:t>
      </w:r>
      <w:r w:rsidR="00CB1F8C" w:rsidRPr="00C91762">
        <w:rPr>
          <w:rStyle w:val="FootnoteReference"/>
          <w:rFonts w:ascii="Times New Roman" w:hAnsi="Times New Roman" w:cs="Times New Roman"/>
          <w:bCs/>
          <w:lang w:val="lv-LV"/>
        </w:rPr>
        <w:footnoteReference w:id="101"/>
      </w:r>
      <w:r w:rsidRPr="00C91762">
        <w:rPr>
          <w:rFonts w:ascii="Times New Roman" w:hAnsi="Times New Roman" w:cs="Times New Roman"/>
          <w:lang w:val="de-DE"/>
        </w:rPr>
        <w:t xml:space="preserve">. </w:t>
      </w:r>
      <w:proofErr w:type="spellStart"/>
      <w:r w:rsidRPr="00C91762">
        <w:rPr>
          <w:rFonts w:ascii="Times New Roman" w:hAnsi="Times New Roman" w:cs="Times New Roman"/>
          <w:lang w:val="de-DE"/>
        </w:rPr>
        <w:t>Praksē</w:t>
      </w:r>
      <w:proofErr w:type="spellEnd"/>
      <w:r w:rsidRPr="00C91762">
        <w:rPr>
          <w:rFonts w:ascii="Times New Roman" w:hAnsi="Times New Roman" w:cs="Times New Roman"/>
          <w:lang w:val="de-DE"/>
        </w:rPr>
        <w:t xml:space="preserve"> </w:t>
      </w:r>
      <w:proofErr w:type="spellStart"/>
      <w:r w:rsidRPr="00C91762">
        <w:rPr>
          <w:rFonts w:ascii="Times New Roman" w:hAnsi="Times New Roman" w:cs="Times New Roman"/>
          <w:lang w:val="de-DE"/>
        </w:rPr>
        <w:t>tas</w:t>
      </w:r>
      <w:proofErr w:type="spellEnd"/>
      <w:r w:rsidRPr="00C91762">
        <w:rPr>
          <w:rFonts w:ascii="Times New Roman" w:hAnsi="Times New Roman" w:cs="Times New Roman"/>
          <w:lang w:val="de-DE"/>
        </w:rPr>
        <w:t xml:space="preserve"> </w:t>
      </w:r>
      <w:proofErr w:type="spellStart"/>
      <w:r w:rsidRPr="00C91762">
        <w:rPr>
          <w:rFonts w:ascii="Times New Roman" w:hAnsi="Times New Roman" w:cs="Times New Roman"/>
          <w:lang w:val="de-DE"/>
        </w:rPr>
        <w:t>nozīmē</w:t>
      </w:r>
      <w:proofErr w:type="spellEnd"/>
      <w:r w:rsidRPr="00C91762">
        <w:rPr>
          <w:rFonts w:ascii="Times New Roman" w:hAnsi="Times New Roman" w:cs="Times New Roman"/>
          <w:lang w:val="de-DE"/>
        </w:rPr>
        <w:t xml:space="preserve"> </w:t>
      </w:r>
      <w:proofErr w:type="spellStart"/>
      <w:r w:rsidRPr="00C91762">
        <w:rPr>
          <w:rFonts w:ascii="Times New Roman" w:hAnsi="Times New Roman" w:cs="Times New Roman"/>
          <w:lang w:val="de-DE"/>
        </w:rPr>
        <w:t>to</w:t>
      </w:r>
      <w:proofErr w:type="spellEnd"/>
      <w:r w:rsidRPr="00C91762">
        <w:rPr>
          <w:rFonts w:ascii="Times New Roman" w:hAnsi="Times New Roman" w:cs="Times New Roman"/>
          <w:lang w:val="de-DE"/>
        </w:rPr>
        <w:t xml:space="preserve">, </w:t>
      </w:r>
      <w:proofErr w:type="spellStart"/>
      <w:r w:rsidRPr="00C91762">
        <w:rPr>
          <w:rFonts w:ascii="Times New Roman" w:hAnsi="Times New Roman" w:cs="Times New Roman"/>
          <w:lang w:val="de-DE"/>
        </w:rPr>
        <w:t>ka</w:t>
      </w:r>
      <w:proofErr w:type="spellEnd"/>
      <w:r w:rsidRPr="00C91762">
        <w:rPr>
          <w:rFonts w:ascii="Times New Roman" w:hAnsi="Times New Roman" w:cs="Times New Roman"/>
          <w:lang w:val="de-DE"/>
        </w:rPr>
        <w:t xml:space="preserve"> </w:t>
      </w:r>
      <w:proofErr w:type="spellStart"/>
      <w:r w:rsidRPr="00C91762">
        <w:rPr>
          <w:rFonts w:ascii="Times New Roman" w:hAnsi="Times New Roman" w:cs="Times New Roman"/>
          <w:lang w:val="de-DE"/>
        </w:rPr>
        <w:t>ir</w:t>
      </w:r>
      <w:proofErr w:type="spellEnd"/>
      <w:r w:rsidRPr="00C91762">
        <w:rPr>
          <w:rFonts w:ascii="Times New Roman" w:hAnsi="Times New Roman" w:cs="Times New Roman"/>
          <w:lang w:val="de-DE"/>
        </w:rPr>
        <w:t xml:space="preserve"> </w:t>
      </w:r>
      <w:proofErr w:type="spellStart"/>
      <w:r w:rsidRPr="00C91762">
        <w:rPr>
          <w:rFonts w:ascii="Times New Roman" w:hAnsi="Times New Roman" w:cs="Times New Roman"/>
          <w:lang w:val="de-DE"/>
        </w:rPr>
        <w:t>jāievēro</w:t>
      </w:r>
      <w:proofErr w:type="spellEnd"/>
      <w:r w:rsidRPr="00C91762">
        <w:rPr>
          <w:rFonts w:ascii="Times New Roman" w:hAnsi="Times New Roman" w:cs="Times New Roman"/>
          <w:lang w:val="de-DE"/>
        </w:rPr>
        <w:t xml:space="preserve"> </w:t>
      </w:r>
      <w:proofErr w:type="spellStart"/>
      <w:r w:rsidRPr="00C91762">
        <w:rPr>
          <w:rFonts w:ascii="Times New Roman" w:hAnsi="Times New Roman" w:cs="Times New Roman"/>
          <w:lang w:val="de-DE"/>
        </w:rPr>
        <w:t>materiālo</w:t>
      </w:r>
      <w:proofErr w:type="spellEnd"/>
      <w:r w:rsidRPr="00C91762">
        <w:rPr>
          <w:rFonts w:ascii="Times New Roman" w:hAnsi="Times New Roman" w:cs="Times New Roman"/>
          <w:lang w:val="de-DE"/>
        </w:rPr>
        <w:t xml:space="preserve"> </w:t>
      </w:r>
      <w:proofErr w:type="spellStart"/>
      <w:r w:rsidRPr="00C91762">
        <w:rPr>
          <w:rFonts w:ascii="Times New Roman" w:hAnsi="Times New Roman" w:cs="Times New Roman"/>
          <w:lang w:val="de-DE"/>
        </w:rPr>
        <w:t>tiesību</w:t>
      </w:r>
      <w:proofErr w:type="spellEnd"/>
      <w:r w:rsidRPr="00C91762">
        <w:rPr>
          <w:rFonts w:ascii="Times New Roman" w:hAnsi="Times New Roman" w:cs="Times New Roman"/>
          <w:lang w:val="de-DE"/>
        </w:rPr>
        <w:t xml:space="preserve"> </w:t>
      </w:r>
      <w:proofErr w:type="spellStart"/>
      <w:r w:rsidRPr="00C91762">
        <w:rPr>
          <w:rFonts w:ascii="Times New Roman" w:hAnsi="Times New Roman" w:cs="Times New Roman"/>
          <w:lang w:val="de-DE"/>
        </w:rPr>
        <w:t>normās</w:t>
      </w:r>
      <w:proofErr w:type="spellEnd"/>
      <w:r w:rsidRPr="00C91762">
        <w:rPr>
          <w:rFonts w:ascii="Times New Roman" w:hAnsi="Times New Roman" w:cs="Times New Roman"/>
          <w:lang w:val="de-DE"/>
        </w:rPr>
        <w:t xml:space="preserve"> </w:t>
      </w:r>
      <w:proofErr w:type="spellStart"/>
      <w:r w:rsidRPr="00C91762">
        <w:rPr>
          <w:rFonts w:ascii="Times New Roman" w:hAnsi="Times New Roman" w:cs="Times New Roman"/>
          <w:lang w:val="de-DE"/>
        </w:rPr>
        <w:t>noteiktie</w:t>
      </w:r>
      <w:proofErr w:type="spellEnd"/>
      <w:r w:rsidRPr="00C91762">
        <w:rPr>
          <w:rFonts w:ascii="Times New Roman" w:hAnsi="Times New Roman" w:cs="Times New Roman"/>
          <w:lang w:val="de-DE"/>
        </w:rPr>
        <w:t xml:space="preserve"> </w:t>
      </w:r>
      <w:proofErr w:type="spellStart"/>
      <w:r w:rsidRPr="00C91762">
        <w:rPr>
          <w:rFonts w:ascii="Times New Roman" w:hAnsi="Times New Roman" w:cs="Times New Roman"/>
          <w:lang w:val="de-DE"/>
        </w:rPr>
        <w:t>publiska</w:t>
      </w:r>
      <w:proofErr w:type="spellEnd"/>
      <w:r w:rsidRPr="00C91762">
        <w:rPr>
          <w:rFonts w:ascii="Times New Roman" w:hAnsi="Times New Roman" w:cs="Times New Roman"/>
          <w:lang w:val="de-DE"/>
        </w:rPr>
        <w:t xml:space="preserve"> </w:t>
      </w:r>
      <w:proofErr w:type="spellStart"/>
      <w:r w:rsidRPr="00C91762">
        <w:rPr>
          <w:rFonts w:ascii="Times New Roman" w:hAnsi="Times New Roman" w:cs="Times New Roman"/>
          <w:lang w:val="de-DE"/>
        </w:rPr>
        <w:t>dokumenta</w:t>
      </w:r>
      <w:proofErr w:type="spellEnd"/>
      <w:r w:rsidRPr="00C91762">
        <w:rPr>
          <w:rFonts w:ascii="Times New Roman" w:hAnsi="Times New Roman" w:cs="Times New Roman"/>
          <w:lang w:val="de-DE"/>
        </w:rPr>
        <w:t xml:space="preserve"> </w:t>
      </w:r>
      <w:proofErr w:type="spellStart"/>
      <w:r w:rsidRPr="00C91762">
        <w:rPr>
          <w:rFonts w:ascii="Times New Roman" w:hAnsi="Times New Roman" w:cs="Times New Roman"/>
          <w:lang w:val="de-DE"/>
        </w:rPr>
        <w:t>formas</w:t>
      </w:r>
      <w:proofErr w:type="spellEnd"/>
      <w:r w:rsidRPr="00C91762">
        <w:rPr>
          <w:rFonts w:ascii="Times New Roman" w:hAnsi="Times New Roman" w:cs="Times New Roman"/>
          <w:lang w:val="de-DE"/>
        </w:rPr>
        <w:t xml:space="preserve"> </w:t>
      </w:r>
      <w:proofErr w:type="spellStart"/>
      <w:r w:rsidRPr="00C91762">
        <w:rPr>
          <w:rFonts w:ascii="Times New Roman" w:hAnsi="Times New Roman" w:cs="Times New Roman"/>
          <w:lang w:val="de-DE"/>
        </w:rPr>
        <w:t>noteikumi</w:t>
      </w:r>
      <w:proofErr w:type="spellEnd"/>
      <w:r w:rsidRPr="00C91762">
        <w:rPr>
          <w:rFonts w:ascii="Times New Roman" w:hAnsi="Times New Roman" w:cs="Times New Roman"/>
          <w:lang w:val="de-DE"/>
        </w:rPr>
        <w:t xml:space="preserve">. </w:t>
      </w:r>
      <w:proofErr w:type="spellStart"/>
      <w:r w:rsidRPr="00C91762">
        <w:rPr>
          <w:rFonts w:ascii="Times New Roman" w:hAnsi="Times New Roman" w:cs="Times New Roman"/>
          <w:lang w:val="de-DE"/>
        </w:rPr>
        <w:t>Piemēram</w:t>
      </w:r>
      <w:proofErr w:type="spellEnd"/>
      <w:r w:rsidRPr="000C7C76">
        <w:rPr>
          <w:rFonts w:ascii="Times New Roman" w:hAnsi="Times New Roman" w:cs="Times New Roman"/>
          <w:lang w:val="de-DE"/>
        </w:rPr>
        <w:t xml:space="preserve">, ja </w:t>
      </w:r>
      <w:proofErr w:type="spellStart"/>
      <w:r w:rsidRPr="000C7C76">
        <w:rPr>
          <w:rFonts w:ascii="Times New Roman" w:hAnsi="Times New Roman" w:cs="Times New Roman"/>
          <w:lang w:val="de-DE"/>
        </w:rPr>
        <w:t>materiālās</w:t>
      </w:r>
      <w:proofErr w:type="spellEnd"/>
      <w:r w:rsidRPr="000C7C76">
        <w:rPr>
          <w:rFonts w:ascii="Times New Roman" w:hAnsi="Times New Roman" w:cs="Times New Roman"/>
          <w:lang w:val="de-DE"/>
        </w:rPr>
        <w:t xml:space="preserve"> </w:t>
      </w:r>
      <w:proofErr w:type="spellStart"/>
      <w:r w:rsidRPr="000C7C76">
        <w:rPr>
          <w:rFonts w:ascii="Times New Roman" w:hAnsi="Times New Roman" w:cs="Times New Roman"/>
          <w:lang w:val="de-DE"/>
        </w:rPr>
        <w:t>tiesību</w:t>
      </w:r>
      <w:proofErr w:type="spellEnd"/>
      <w:r w:rsidRPr="000C7C76">
        <w:rPr>
          <w:rFonts w:ascii="Times New Roman" w:hAnsi="Times New Roman" w:cs="Times New Roman"/>
          <w:lang w:val="de-DE"/>
        </w:rPr>
        <w:t xml:space="preserve"> </w:t>
      </w:r>
      <w:proofErr w:type="spellStart"/>
      <w:r w:rsidRPr="000C7C76">
        <w:rPr>
          <w:rFonts w:ascii="Times New Roman" w:hAnsi="Times New Roman" w:cs="Times New Roman"/>
          <w:lang w:val="de-DE"/>
        </w:rPr>
        <w:t>normas</w:t>
      </w:r>
      <w:proofErr w:type="spellEnd"/>
      <w:r w:rsidRPr="000C7C76">
        <w:rPr>
          <w:rFonts w:ascii="Times New Roman" w:hAnsi="Times New Roman" w:cs="Times New Roman"/>
          <w:lang w:val="de-DE"/>
        </w:rPr>
        <w:t xml:space="preserve"> </w:t>
      </w:r>
      <w:proofErr w:type="spellStart"/>
      <w:r w:rsidRPr="000C7C76">
        <w:rPr>
          <w:rFonts w:ascii="Times New Roman" w:hAnsi="Times New Roman" w:cs="Times New Roman"/>
          <w:lang w:val="de-DE"/>
        </w:rPr>
        <w:t>paredz</w:t>
      </w:r>
      <w:proofErr w:type="spellEnd"/>
      <w:r w:rsidRPr="000C7C76">
        <w:rPr>
          <w:rFonts w:ascii="Times New Roman" w:hAnsi="Times New Roman" w:cs="Times New Roman"/>
          <w:lang w:val="de-DE"/>
        </w:rPr>
        <w:t xml:space="preserve">, </w:t>
      </w:r>
      <w:proofErr w:type="spellStart"/>
      <w:r w:rsidRPr="000C7C76">
        <w:rPr>
          <w:rFonts w:ascii="Times New Roman" w:hAnsi="Times New Roman" w:cs="Times New Roman"/>
          <w:lang w:val="de-DE"/>
        </w:rPr>
        <w:t>ka</w:t>
      </w:r>
      <w:proofErr w:type="spellEnd"/>
      <w:r w:rsidRPr="000C7C76">
        <w:rPr>
          <w:rFonts w:ascii="Times New Roman" w:hAnsi="Times New Roman" w:cs="Times New Roman"/>
          <w:lang w:val="de-DE"/>
        </w:rPr>
        <w:t xml:space="preserve"> </w:t>
      </w:r>
      <w:proofErr w:type="spellStart"/>
      <w:r w:rsidRPr="000C7C76">
        <w:rPr>
          <w:rFonts w:ascii="Times New Roman" w:hAnsi="Times New Roman" w:cs="Times New Roman"/>
          <w:lang w:val="de-DE"/>
        </w:rPr>
        <w:t>dokumentam</w:t>
      </w:r>
      <w:proofErr w:type="spellEnd"/>
      <w:r w:rsidRPr="000C7C76">
        <w:rPr>
          <w:rFonts w:ascii="Times New Roman" w:hAnsi="Times New Roman" w:cs="Times New Roman"/>
          <w:lang w:val="de-DE"/>
        </w:rPr>
        <w:t xml:space="preserve"> </w:t>
      </w:r>
      <w:proofErr w:type="spellStart"/>
      <w:r w:rsidRPr="000C7C76">
        <w:rPr>
          <w:rFonts w:ascii="Times New Roman" w:hAnsi="Times New Roman" w:cs="Times New Roman"/>
          <w:lang w:val="de-DE"/>
        </w:rPr>
        <w:t>jābūt</w:t>
      </w:r>
      <w:proofErr w:type="spellEnd"/>
      <w:r w:rsidRPr="000C7C76">
        <w:rPr>
          <w:rFonts w:ascii="Times New Roman" w:hAnsi="Times New Roman" w:cs="Times New Roman"/>
          <w:lang w:val="de-DE"/>
        </w:rPr>
        <w:t xml:space="preserve"> </w:t>
      </w:r>
      <w:proofErr w:type="spellStart"/>
      <w:r w:rsidRPr="000C7C76">
        <w:rPr>
          <w:rFonts w:ascii="Times New Roman" w:hAnsi="Times New Roman" w:cs="Times New Roman"/>
          <w:lang w:val="de-DE"/>
        </w:rPr>
        <w:t>sastādītam</w:t>
      </w:r>
      <w:proofErr w:type="spellEnd"/>
      <w:r w:rsidRPr="000C7C76">
        <w:rPr>
          <w:rFonts w:ascii="Times New Roman" w:hAnsi="Times New Roman" w:cs="Times New Roman"/>
          <w:lang w:val="de-DE"/>
        </w:rPr>
        <w:t xml:space="preserve"> </w:t>
      </w:r>
      <w:proofErr w:type="spellStart"/>
      <w:r w:rsidRPr="000C7C76">
        <w:rPr>
          <w:rFonts w:ascii="Times New Roman" w:hAnsi="Times New Roman" w:cs="Times New Roman"/>
          <w:lang w:val="de-DE"/>
        </w:rPr>
        <w:t>notariālā</w:t>
      </w:r>
      <w:proofErr w:type="spellEnd"/>
      <w:r w:rsidRPr="000C7C76">
        <w:rPr>
          <w:rFonts w:ascii="Times New Roman" w:hAnsi="Times New Roman" w:cs="Times New Roman"/>
          <w:lang w:val="de-DE"/>
        </w:rPr>
        <w:t xml:space="preserve"> </w:t>
      </w:r>
      <w:proofErr w:type="spellStart"/>
      <w:r w:rsidRPr="000C7C76">
        <w:rPr>
          <w:rFonts w:ascii="Times New Roman" w:hAnsi="Times New Roman" w:cs="Times New Roman"/>
          <w:lang w:val="de-DE"/>
        </w:rPr>
        <w:t>akta</w:t>
      </w:r>
      <w:proofErr w:type="spellEnd"/>
      <w:r w:rsidRPr="000C7C76">
        <w:rPr>
          <w:rFonts w:ascii="Times New Roman" w:hAnsi="Times New Roman" w:cs="Times New Roman"/>
          <w:lang w:val="de-DE"/>
        </w:rPr>
        <w:t xml:space="preserve"> </w:t>
      </w:r>
      <w:proofErr w:type="spellStart"/>
      <w:r w:rsidRPr="000C7C76">
        <w:rPr>
          <w:rFonts w:ascii="Times New Roman" w:hAnsi="Times New Roman" w:cs="Times New Roman"/>
          <w:lang w:val="de-DE"/>
        </w:rPr>
        <w:t>formā</w:t>
      </w:r>
      <w:proofErr w:type="spellEnd"/>
      <w:r w:rsidRPr="000C7C76">
        <w:rPr>
          <w:rFonts w:ascii="Times New Roman" w:hAnsi="Times New Roman" w:cs="Times New Roman"/>
          <w:lang w:val="de-DE"/>
        </w:rPr>
        <w:t xml:space="preserve"> </w:t>
      </w:r>
      <w:proofErr w:type="spellStart"/>
      <w:r w:rsidRPr="000C7C76">
        <w:rPr>
          <w:rFonts w:ascii="Times New Roman" w:hAnsi="Times New Roman" w:cs="Times New Roman"/>
          <w:lang w:val="de-DE"/>
        </w:rPr>
        <w:t>vai</w:t>
      </w:r>
      <w:proofErr w:type="spellEnd"/>
      <w:r w:rsidRPr="000C7C76">
        <w:rPr>
          <w:rFonts w:ascii="Times New Roman" w:hAnsi="Times New Roman" w:cs="Times New Roman"/>
          <w:lang w:val="de-DE"/>
        </w:rPr>
        <w:t xml:space="preserve"> </w:t>
      </w:r>
      <w:proofErr w:type="spellStart"/>
      <w:r w:rsidRPr="000C7C76">
        <w:rPr>
          <w:rFonts w:ascii="Times New Roman" w:hAnsi="Times New Roman" w:cs="Times New Roman"/>
          <w:lang w:val="de-DE"/>
        </w:rPr>
        <w:t>notariāli</w:t>
      </w:r>
      <w:proofErr w:type="spellEnd"/>
      <w:r w:rsidRPr="000C7C76">
        <w:rPr>
          <w:rFonts w:ascii="Times New Roman" w:hAnsi="Times New Roman" w:cs="Times New Roman"/>
          <w:lang w:val="de-DE"/>
        </w:rPr>
        <w:t xml:space="preserve"> </w:t>
      </w:r>
      <w:proofErr w:type="spellStart"/>
      <w:r w:rsidRPr="000C7C76">
        <w:rPr>
          <w:rFonts w:ascii="Times New Roman" w:hAnsi="Times New Roman" w:cs="Times New Roman"/>
          <w:lang w:val="de-DE"/>
        </w:rPr>
        <w:t>apliecinātam</w:t>
      </w:r>
      <w:proofErr w:type="spellEnd"/>
      <w:r w:rsidRPr="000C7C76">
        <w:rPr>
          <w:rFonts w:ascii="Times New Roman" w:hAnsi="Times New Roman" w:cs="Times New Roman"/>
          <w:lang w:val="de-DE"/>
        </w:rPr>
        <w:t xml:space="preserve">, </w:t>
      </w:r>
      <w:proofErr w:type="spellStart"/>
      <w:r w:rsidRPr="000C7C76">
        <w:rPr>
          <w:rFonts w:ascii="Times New Roman" w:hAnsi="Times New Roman" w:cs="Times New Roman"/>
          <w:lang w:val="de-DE"/>
        </w:rPr>
        <w:t>tad</w:t>
      </w:r>
      <w:proofErr w:type="spellEnd"/>
      <w:r w:rsidRPr="000C7C76">
        <w:rPr>
          <w:rFonts w:ascii="Times New Roman" w:hAnsi="Times New Roman" w:cs="Times New Roman"/>
          <w:lang w:val="de-DE"/>
        </w:rPr>
        <w:t xml:space="preserve"> </w:t>
      </w:r>
      <w:proofErr w:type="spellStart"/>
      <w:r w:rsidRPr="000C7C76">
        <w:rPr>
          <w:rFonts w:ascii="Times New Roman" w:hAnsi="Times New Roman" w:cs="Times New Roman"/>
          <w:lang w:val="de-DE"/>
        </w:rPr>
        <w:lastRenderedPageBreak/>
        <w:t>rodas</w:t>
      </w:r>
      <w:proofErr w:type="spellEnd"/>
      <w:r w:rsidRPr="000C7C76">
        <w:rPr>
          <w:rFonts w:ascii="Times New Roman" w:hAnsi="Times New Roman" w:cs="Times New Roman"/>
          <w:lang w:val="de-DE"/>
        </w:rPr>
        <w:t xml:space="preserve"> </w:t>
      </w:r>
      <w:proofErr w:type="spellStart"/>
      <w:r w:rsidRPr="000C7C76">
        <w:rPr>
          <w:rFonts w:ascii="Times New Roman" w:hAnsi="Times New Roman" w:cs="Times New Roman"/>
          <w:lang w:val="de-DE"/>
        </w:rPr>
        <w:t>jautājums</w:t>
      </w:r>
      <w:proofErr w:type="spellEnd"/>
      <w:r w:rsidRPr="000C7C76">
        <w:rPr>
          <w:rFonts w:ascii="Times New Roman" w:hAnsi="Times New Roman" w:cs="Times New Roman"/>
          <w:lang w:val="de-DE"/>
        </w:rPr>
        <w:t xml:space="preserve">, </w:t>
      </w:r>
      <w:proofErr w:type="spellStart"/>
      <w:r w:rsidRPr="000C7C76">
        <w:rPr>
          <w:rFonts w:ascii="Times New Roman" w:hAnsi="Times New Roman" w:cs="Times New Roman"/>
          <w:lang w:val="de-DE"/>
        </w:rPr>
        <w:t>vai</w:t>
      </w:r>
      <w:proofErr w:type="spellEnd"/>
      <w:r w:rsidRPr="000C7C76">
        <w:rPr>
          <w:rFonts w:ascii="Times New Roman" w:hAnsi="Times New Roman" w:cs="Times New Roman"/>
          <w:lang w:val="de-DE"/>
        </w:rPr>
        <w:t xml:space="preserve"> </w:t>
      </w:r>
      <w:proofErr w:type="spellStart"/>
      <w:r w:rsidRPr="000C7C76">
        <w:rPr>
          <w:rFonts w:ascii="Times New Roman" w:hAnsi="Times New Roman" w:cs="Times New Roman"/>
          <w:lang w:val="de-DE"/>
        </w:rPr>
        <w:t>tas</w:t>
      </w:r>
      <w:proofErr w:type="spellEnd"/>
      <w:r w:rsidRPr="000C7C76">
        <w:rPr>
          <w:rFonts w:ascii="Times New Roman" w:hAnsi="Times New Roman" w:cs="Times New Roman"/>
          <w:lang w:val="de-DE"/>
        </w:rPr>
        <w:t xml:space="preserve"> </w:t>
      </w:r>
      <w:proofErr w:type="spellStart"/>
      <w:r w:rsidRPr="000C7C76">
        <w:rPr>
          <w:rFonts w:ascii="Times New Roman" w:hAnsi="Times New Roman" w:cs="Times New Roman"/>
          <w:lang w:val="de-DE"/>
        </w:rPr>
        <w:t>var</w:t>
      </w:r>
      <w:proofErr w:type="spellEnd"/>
      <w:r w:rsidRPr="000C7C76">
        <w:rPr>
          <w:rFonts w:ascii="Times New Roman" w:hAnsi="Times New Roman" w:cs="Times New Roman"/>
          <w:lang w:val="de-DE"/>
        </w:rPr>
        <w:t xml:space="preserve"> </w:t>
      </w:r>
      <w:proofErr w:type="spellStart"/>
      <w:r w:rsidRPr="000C7C76">
        <w:rPr>
          <w:rFonts w:ascii="Times New Roman" w:hAnsi="Times New Roman" w:cs="Times New Roman"/>
          <w:lang w:val="de-DE"/>
        </w:rPr>
        <w:t>būt</w:t>
      </w:r>
      <w:proofErr w:type="spellEnd"/>
      <w:r w:rsidRPr="000C7C76">
        <w:rPr>
          <w:rFonts w:ascii="Times New Roman" w:hAnsi="Times New Roman" w:cs="Times New Roman"/>
          <w:lang w:val="de-DE"/>
        </w:rPr>
        <w:t xml:space="preserve"> </w:t>
      </w:r>
      <w:proofErr w:type="spellStart"/>
      <w:r w:rsidRPr="000C7C76">
        <w:rPr>
          <w:rFonts w:ascii="Times New Roman" w:hAnsi="Times New Roman" w:cs="Times New Roman"/>
          <w:lang w:val="de-DE"/>
        </w:rPr>
        <w:t>arī</w:t>
      </w:r>
      <w:proofErr w:type="spellEnd"/>
      <w:r w:rsidRPr="000C7C76">
        <w:rPr>
          <w:rFonts w:ascii="Times New Roman" w:hAnsi="Times New Roman" w:cs="Times New Roman"/>
          <w:lang w:val="de-DE"/>
        </w:rPr>
        <w:t xml:space="preserve"> </w:t>
      </w:r>
      <w:proofErr w:type="spellStart"/>
      <w:r w:rsidRPr="000C7C76">
        <w:rPr>
          <w:rFonts w:ascii="Times New Roman" w:hAnsi="Times New Roman" w:cs="Times New Roman"/>
          <w:lang w:val="de-DE"/>
        </w:rPr>
        <w:t>ārvalsts</w:t>
      </w:r>
      <w:proofErr w:type="spellEnd"/>
      <w:r w:rsidRPr="000C7C76">
        <w:rPr>
          <w:rFonts w:ascii="Times New Roman" w:hAnsi="Times New Roman" w:cs="Times New Roman"/>
          <w:lang w:val="de-DE"/>
        </w:rPr>
        <w:t xml:space="preserve"> </w:t>
      </w:r>
      <w:proofErr w:type="spellStart"/>
      <w:r w:rsidRPr="000C7C76">
        <w:rPr>
          <w:rFonts w:ascii="Times New Roman" w:hAnsi="Times New Roman" w:cs="Times New Roman"/>
          <w:lang w:val="de-DE"/>
        </w:rPr>
        <w:t>notāra</w:t>
      </w:r>
      <w:proofErr w:type="spellEnd"/>
      <w:r w:rsidRPr="000C7C76">
        <w:rPr>
          <w:rFonts w:ascii="Times New Roman" w:hAnsi="Times New Roman" w:cs="Times New Roman"/>
          <w:lang w:val="de-DE"/>
        </w:rPr>
        <w:t xml:space="preserve"> </w:t>
      </w:r>
      <w:proofErr w:type="spellStart"/>
      <w:r w:rsidRPr="000C7C76">
        <w:rPr>
          <w:rFonts w:ascii="Times New Roman" w:hAnsi="Times New Roman" w:cs="Times New Roman"/>
          <w:lang w:val="de-DE"/>
        </w:rPr>
        <w:t>sastādīts</w:t>
      </w:r>
      <w:proofErr w:type="spellEnd"/>
      <w:r w:rsidRPr="000C7C76">
        <w:rPr>
          <w:rFonts w:ascii="Times New Roman" w:hAnsi="Times New Roman" w:cs="Times New Roman"/>
          <w:lang w:val="de-DE"/>
        </w:rPr>
        <w:t xml:space="preserve"> </w:t>
      </w:r>
      <w:proofErr w:type="spellStart"/>
      <w:r w:rsidRPr="000C7C76">
        <w:rPr>
          <w:rFonts w:ascii="Times New Roman" w:hAnsi="Times New Roman" w:cs="Times New Roman"/>
          <w:lang w:val="de-DE"/>
        </w:rPr>
        <w:t>notariālais</w:t>
      </w:r>
      <w:proofErr w:type="spellEnd"/>
      <w:r w:rsidRPr="000C7C76">
        <w:rPr>
          <w:rFonts w:ascii="Times New Roman" w:hAnsi="Times New Roman" w:cs="Times New Roman"/>
          <w:lang w:val="de-DE"/>
        </w:rPr>
        <w:t xml:space="preserve"> </w:t>
      </w:r>
      <w:proofErr w:type="spellStart"/>
      <w:r w:rsidRPr="000C7C76">
        <w:rPr>
          <w:rFonts w:ascii="Times New Roman" w:hAnsi="Times New Roman" w:cs="Times New Roman"/>
          <w:lang w:val="de-DE"/>
        </w:rPr>
        <w:t>akts</w:t>
      </w:r>
      <w:proofErr w:type="spellEnd"/>
      <w:r w:rsidRPr="000C7C76">
        <w:rPr>
          <w:rFonts w:ascii="Times New Roman" w:hAnsi="Times New Roman" w:cs="Times New Roman"/>
          <w:lang w:val="de-DE"/>
        </w:rPr>
        <w:t xml:space="preserve"> </w:t>
      </w:r>
      <w:proofErr w:type="spellStart"/>
      <w:r w:rsidRPr="000C7C76">
        <w:rPr>
          <w:rFonts w:ascii="Times New Roman" w:hAnsi="Times New Roman" w:cs="Times New Roman"/>
          <w:lang w:val="de-DE"/>
        </w:rPr>
        <w:t>vai</w:t>
      </w:r>
      <w:proofErr w:type="spellEnd"/>
      <w:r w:rsidRPr="000C7C76">
        <w:rPr>
          <w:rFonts w:ascii="Times New Roman" w:hAnsi="Times New Roman" w:cs="Times New Roman"/>
          <w:lang w:val="de-DE"/>
        </w:rPr>
        <w:t xml:space="preserve"> </w:t>
      </w:r>
      <w:proofErr w:type="spellStart"/>
      <w:r w:rsidRPr="000C7C76">
        <w:rPr>
          <w:rFonts w:ascii="Times New Roman" w:hAnsi="Times New Roman" w:cs="Times New Roman"/>
          <w:lang w:val="de-DE"/>
        </w:rPr>
        <w:t>apliecinājums</w:t>
      </w:r>
      <w:proofErr w:type="spellEnd"/>
      <w:r w:rsidRPr="000C7C76">
        <w:rPr>
          <w:rFonts w:ascii="Times New Roman" w:hAnsi="Times New Roman" w:cs="Times New Roman"/>
          <w:lang w:val="de-DE"/>
        </w:rPr>
        <w:t xml:space="preserve">. </w:t>
      </w:r>
      <w:proofErr w:type="spellStart"/>
      <w:r w:rsidRPr="000C7C76">
        <w:rPr>
          <w:rFonts w:ascii="Times New Roman" w:hAnsi="Times New Roman" w:cs="Times New Roman"/>
          <w:lang w:val="de-DE"/>
        </w:rPr>
        <w:t>Citiem</w:t>
      </w:r>
      <w:proofErr w:type="spellEnd"/>
      <w:r w:rsidRPr="000C7C76">
        <w:rPr>
          <w:rFonts w:ascii="Times New Roman" w:hAnsi="Times New Roman" w:cs="Times New Roman"/>
          <w:lang w:val="de-DE"/>
        </w:rPr>
        <w:t xml:space="preserve"> </w:t>
      </w:r>
      <w:proofErr w:type="spellStart"/>
      <w:r w:rsidRPr="000C7C76">
        <w:rPr>
          <w:rFonts w:ascii="Times New Roman" w:hAnsi="Times New Roman" w:cs="Times New Roman"/>
          <w:lang w:val="de-DE"/>
        </w:rPr>
        <w:t>vārdiem</w:t>
      </w:r>
      <w:proofErr w:type="spellEnd"/>
      <w:r w:rsidRPr="000C7C76">
        <w:rPr>
          <w:rFonts w:ascii="Times New Roman" w:hAnsi="Times New Roman" w:cs="Times New Roman"/>
          <w:lang w:val="de-DE"/>
        </w:rPr>
        <w:t xml:space="preserve"> </w:t>
      </w:r>
      <w:proofErr w:type="spellStart"/>
      <w:r w:rsidRPr="000C7C76">
        <w:rPr>
          <w:rFonts w:ascii="Times New Roman" w:hAnsi="Times New Roman" w:cs="Times New Roman"/>
          <w:lang w:val="de-DE"/>
        </w:rPr>
        <w:t>sakot</w:t>
      </w:r>
      <w:proofErr w:type="spellEnd"/>
      <w:r w:rsidRPr="000C7C76">
        <w:rPr>
          <w:rFonts w:ascii="Times New Roman" w:hAnsi="Times New Roman" w:cs="Times New Roman"/>
          <w:lang w:val="de-DE"/>
        </w:rPr>
        <w:t xml:space="preserve">, </w:t>
      </w:r>
      <w:proofErr w:type="spellStart"/>
      <w:r w:rsidRPr="000C7C76">
        <w:rPr>
          <w:rFonts w:ascii="Times New Roman" w:hAnsi="Times New Roman" w:cs="Times New Roman"/>
          <w:lang w:val="de-DE"/>
        </w:rPr>
        <w:t>runa</w:t>
      </w:r>
      <w:proofErr w:type="spellEnd"/>
      <w:r w:rsidRPr="000C7C76">
        <w:rPr>
          <w:rFonts w:ascii="Times New Roman" w:hAnsi="Times New Roman" w:cs="Times New Roman"/>
          <w:lang w:val="de-DE"/>
        </w:rPr>
        <w:t xml:space="preserve"> </w:t>
      </w:r>
      <w:proofErr w:type="spellStart"/>
      <w:r w:rsidRPr="000C7C76">
        <w:rPr>
          <w:rFonts w:ascii="Times New Roman" w:hAnsi="Times New Roman" w:cs="Times New Roman"/>
          <w:lang w:val="de-DE"/>
        </w:rPr>
        <w:t>ir</w:t>
      </w:r>
      <w:proofErr w:type="spellEnd"/>
      <w:r w:rsidRPr="000C7C76">
        <w:rPr>
          <w:rFonts w:ascii="Times New Roman" w:hAnsi="Times New Roman" w:cs="Times New Roman"/>
          <w:lang w:val="de-DE"/>
        </w:rPr>
        <w:t xml:space="preserve"> par </w:t>
      </w:r>
      <w:proofErr w:type="spellStart"/>
      <w:r w:rsidRPr="000C7C76">
        <w:rPr>
          <w:rFonts w:ascii="Times New Roman" w:hAnsi="Times New Roman" w:cs="Times New Roman"/>
          <w:lang w:val="de-DE"/>
        </w:rPr>
        <w:t>piemērojamo</w:t>
      </w:r>
      <w:proofErr w:type="spellEnd"/>
      <w:r w:rsidRPr="000C7C76">
        <w:rPr>
          <w:rFonts w:ascii="Times New Roman" w:hAnsi="Times New Roman" w:cs="Times New Roman"/>
          <w:lang w:val="de-DE"/>
        </w:rPr>
        <w:t xml:space="preserve"> </w:t>
      </w:r>
      <w:proofErr w:type="spellStart"/>
      <w:r w:rsidRPr="000C7C76">
        <w:rPr>
          <w:rFonts w:ascii="Times New Roman" w:hAnsi="Times New Roman" w:cs="Times New Roman"/>
          <w:lang w:val="de-DE"/>
        </w:rPr>
        <w:t>materiālo</w:t>
      </w:r>
      <w:proofErr w:type="spellEnd"/>
      <w:r w:rsidRPr="000C7C76">
        <w:rPr>
          <w:rFonts w:ascii="Times New Roman" w:hAnsi="Times New Roman" w:cs="Times New Roman"/>
          <w:lang w:val="de-DE"/>
        </w:rPr>
        <w:t xml:space="preserve"> </w:t>
      </w:r>
      <w:proofErr w:type="spellStart"/>
      <w:r w:rsidRPr="000C7C76">
        <w:rPr>
          <w:rFonts w:ascii="Times New Roman" w:hAnsi="Times New Roman" w:cs="Times New Roman"/>
          <w:lang w:val="de-DE"/>
        </w:rPr>
        <w:t>tiesību</w:t>
      </w:r>
      <w:proofErr w:type="spellEnd"/>
      <w:r w:rsidRPr="000C7C76">
        <w:rPr>
          <w:rFonts w:ascii="Times New Roman" w:hAnsi="Times New Roman" w:cs="Times New Roman"/>
          <w:lang w:val="de-DE"/>
        </w:rPr>
        <w:t xml:space="preserve"> (</w:t>
      </w:r>
      <w:proofErr w:type="spellStart"/>
      <w:r w:rsidRPr="000C7C76">
        <w:rPr>
          <w:rFonts w:ascii="Times New Roman" w:hAnsi="Times New Roman" w:cs="Times New Roman"/>
          <w:lang w:val="de-DE"/>
        </w:rPr>
        <w:t>uz</w:t>
      </w:r>
      <w:proofErr w:type="spellEnd"/>
      <w:r w:rsidRPr="000C7C76">
        <w:rPr>
          <w:rFonts w:ascii="Times New Roman" w:hAnsi="Times New Roman" w:cs="Times New Roman"/>
          <w:lang w:val="de-DE"/>
        </w:rPr>
        <w:t xml:space="preserve"> </w:t>
      </w:r>
      <w:proofErr w:type="spellStart"/>
      <w:r w:rsidRPr="000C7C76">
        <w:rPr>
          <w:rFonts w:ascii="Times New Roman" w:hAnsi="Times New Roman" w:cs="Times New Roman"/>
          <w:lang w:val="de-DE"/>
        </w:rPr>
        <w:t>kurām</w:t>
      </w:r>
      <w:proofErr w:type="spellEnd"/>
      <w:r w:rsidRPr="000C7C76">
        <w:rPr>
          <w:rFonts w:ascii="Times New Roman" w:hAnsi="Times New Roman" w:cs="Times New Roman"/>
          <w:lang w:val="de-DE"/>
        </w:rPr>
        <w:t xml:space="preserve"> </w:t>
      </w:r>
      <w:proofErr w:type="spellStart"/>
      <w:r w:rsidRPr="000C7C76">
        <w:rPr>
          <w:rFonts w:ascii="Times New Roman" w:hAnsi="Times New Roman" w:cs="Times New Roman"/>
          <w:lang w:val="de-DE"/>
        </w:rPr>
        <w:t>norāda</w:t>
      </w:r>
      <w:proofErr w:type="spellEnd"/>
      <w:r w:rsidRPr="000C7C76">
        <w:rPr>
          <w:rFonts w:ascii="Times New Roman" w:hAnsi="Times New Roman" w:cs="Times New Roman"/>
          <w:lang w:val="de-DE"/>
        </w:rPr>
        <w:t xml:space="preserve"> </w:t>
      </w:r>
      <w:proofErr w:type="spellStart"/>
      <w:r w:rsidRPr="000C7C76">
        <w:rPr>
          <w:rFonts w:ascii="Times New Roman" w:hAnsi="Times New Roman" w:cs="Times New Roman"/>
          <w:lang w:val="de-DE"/>
        </w:rPr>
        <w:t>kolīziju</w:t>
      </w:r>
      <w:proofErr w:type="spellEnd"/>
      <w:r w:rsidRPr="000C7C76">
        <w:rPr>
          <w:rFonts w:ascii="Times New Roman" w:hAnsi="Times New Roman" w:cs="Times New Roman"/>
          <w:lang w:val="de-DE"/>
        </w:rPr>
        <w:t xml:space="preserve"> </w:t>
      </w:r>
      <w:proofErr w:type="spellStart"/>
      <w:r w:rsidRPr="000C7C76">
        <w:rPr>
          <w:rFonts w:ascii="Times New Roman" w:hAnsi="Times New Roman" w:cs="Times New Roman"/>
          <w:lang w:val="de-DE"/>
        </w:rPr>
        <w:t>norma</w:t>
      </w:r>
      <w:proofErr w:type="spellEnd"/>
      <w:r w:rsidRPr="000C7C76">
        <w:rPr>
          <w:rFonts w:ascii="Times New Roman" w:hAnsi="Times New Roman" w:cs="Times New Roman"/>
          <w:lang w:val="de-DE"/>
        </w:rPr>
        <w:t xml:space="preserve">) </w:t>
      </w:r>
      <w:proofErr w:type="spellStart"/>
      <w:r w:rsidRPr="000C7C76">
        <w:rPr>
          <w:rFonts w:ascii="Times New Roman" w:hAnsi="Times New Roman" w:cs="Times New Roman"/>
          <w:lang w:val="de-DE"/>
        </w:rPr>
        <w:t>normās</w:t>
      </w:r>
      <w:proofErr w:type="spellEnd"/>
      <w:r w:rsidRPr="000C7C76">
        <w:rPr>
          <w:rFonts w:ascii="Times New Roman" w:hAnsi="Times New Roman" w:cs="Times New Roman"/>
          <w:lang w:val="de-DE"/>
        </w:rPr>
        <w:t xml:space="preserve"> </w:t>
      </w:r>
      <w:proofErr w:type="spellStart"/>
      <w:r w:rsidRPr="000C7C76">
        <w:rPr>
          <w:rFonts w:ascii="Times New Roman" w:hAnsi="Times New Roman" w:cs="Times New Roman"/>
          <w:lang w:val="de-DE"/>
        </w:rPr>
        <w:t>noteikto</w:t>
      </w:r>
      <w:proofErr w:type="spellEnd"/>
      <w:r w:rsidRPr="000C7C76">
        <w:rPr>
          <w:rFonts w:ascii="Times New Roman" w:hAnsi="Times New Roman" w:cs="Times New Roman"/>
          <w:lang w:val="de-DE"/>
        </w:rPr>
        <w:t xml:space="preserve"> </w:t>
      </w:r>
      <w:proofErr w:type="spellStart"/>
      <w:r w:rsidRPr="000C7C76">
        <w:rPr>
          <w:rFonts w:ascii="Times New Roman" w:hAnsi="Times New Roman" w:cs="Times New Roman"/>
          <w:lang w:val="de-DE"/>
        </w:rPr>
        <w:t>formas</w:t>
      </w:r>
      <w:proofErr w:type="spellEnd"/>
      <w:r w:rsidRPr="000C7C76">
        <w:rPr>
          <w:rFonts w:ascii="Times New Roman" w:hAnsi="Times New Roman" w:cs="Times New Roman"/>
          <w:lang w:val="de-DE"/>
        </w:rPr>
        <w:t xml:space="preserve"> </w:t>
      </w:r>
      <w:proofErr w:type="spellStart"/>
      <w:r w:rsidRPr="000C7C76">
        <w:rPr>
          <w:rFonts w:ascii="Times New Roman" w:hAnsi="Times New Roman" w:cs="Times New Roman"/>
          <w:lang w:val="de-DE"/>
        </w:rPr>
        <w:t>prasību</w:t>
      </w:r>
      <w:proofErr w:type="spellEnd"/>
      <w:r w:rsidRPr="000C7C76">
        <w:rPr>
          <w:rFonts w:ascii="Times New Roman" w:hAnsi="Times New Roman" w:cs="Times New Roman"/>
          <w:lang w:val="de-DE"/>
        </w:rPr>
        <w:t xml:space="preserve"> </w:t>
      </w:r>
      <w:proofErr w:type="spellStart"/>
      <w:r w:rsidRPr="000C7C76">
        <w:rPr>
          <w:rFonts w:ascii="Times New Roman" w:hAnsi="Times New Roman" w:cs="Times New Roman"/>
          <w:lang w:val="de-DE"/>
        </w:rPr>
        <w:t>atzīšanu</w:t>
      </w:r>
      <w:proofErr w:type="spellEnd"/>
      <w:r w:rsidRPr="000C7C76">
        <w:rPr>
          <w:rFonts w:ascii="Times New Roman" w:hAnsi="Times New Roman" w:cs="Times New Roman"/>
          <w:lang w:val="de-DE"/>
        </w:rPr>
        <w:t xml:space="preserve">, </w:t>
      </w:r>
      <w:proofErr w:type="spellStart"/>
      <w:r w:rsidRPr="000C7C76">
        <w:rPr>
          <w:rFonts w:ascii="Times New Roman" w:hAnsi="Times New Roman" w:cs="Times New Roman"/>
          <w:lang w:val="de-DE"/>
        </w:rPr>
        <w:t>jo</w:t>
      </w:r>
      <w:proofErr w:type="spellEnd"/>
      <w:r w:rsidRPr="000C7C76">
        <w:rPr>
          <w:rFonts w:ascii="Times New Roman" w:hAnsi="Times New Roman" w:cs="Times New Roman"/>
          <w:lang w:val="de-DE"/>
        </w:rPr>
        <w:t xml:space="preserve"> </w:t>
      </w:r>
      <w:proofErr w:type="spellStart"/>
      <w:r w:rsidRPr="000C7C76">
        <w:rPr>
          <w:rFonts w:ascii="Times New Roman" w:hAnsi="Times New Roman" w:cs="Times New Roman"/>
          <w:lang w:val="de-DE"/>
        </w:rPr>
        <w:t>īpaši</w:t>
      </w:r>
      <w:proofErr w:type="spellEnd"/>
      <w:r w:rsidRPr="000C7C76">
        <w:rPr>
          <w:rFonts w:ascii="Times New Roman" w:hAnsi="Times New Roman" w:cs="Times New Roman"/>
          <w:lang w:val="de-DE"/>
        </w:rPr>
        <w:t xml:space="preserve"> </w:t>
      </w:r>
      <w:proofErr w:type="spellStart"/>
      <w:r w:rsidRPr="000C7C76">
        <w:rPr>
          <w:rFonts w:ascii="Times New Roman" w:hAnsi="Times New Roman" w:cs="Times New Roman"/>
          <w:lang w:val="de-DE"/>
        </w:rPr>
        <w:t>tādu</w:t>
      </w:r>
      <w:proofErr w:type="spellEnd"/>
      <w:r w:rsidRPr="000C7C76">
        <w:rPr>
          <w:rFonts w:ascii="Times New Roman" w:hAnsi="Times New Roman" w:cs="Times New Roman"/>
          <w:lang w:val="de-DE"/>
        </w:rPr>
        <w:t xml:space="preserve"> </w:t>
      </w:r>
      <w:proofErr w:type="spellStart"/>
      <w:r w:rsidRPr="000C7C76">
        <w:rPr>
          <w:rFonts w:ascii="Times New Roman" w:hAnsi="Times New Roman" w:cs="Times New Roman"/>
          <w:lang w:val="de-DE"/>
        </w:rPr>
        <w:t>prasību</w:t>
      </w:r>
      <w:proofErr w:type="spellEnd"/>
      <w:r w:rsidRPr="000C7C76">
        <w:rPr>
          <w:rFonts w:ascii="Times New Roman" w:hAnsi="Times New Roman" w:cs="Times New Roman"/>
          <w:lang w:val="de-DE"/>
        </w:rPr>
        <w:t xml:space="preserve"> </w:t>
      </w:r>
      <w:proofErr w:type="spellStart"/>
      <w:r w:rsidRPr="000C7C76">
        <w:rPr>
          <w:rFonts w:ascii="Times New Roman" w:hAnsi="Times New Roman" w:cs="Times New Roman"/>
          <w:lang w:val="de-DE"/>
        </w:rPr>
        <w:t>atzīšanu</w:t>
      </w:r>
      <w:proofErr w:type="spellEnd"/>
      <w:r w:rsidRPr="000C7C76">
        <w:rPr>
          <w:rFonts w:ascii="Times New Roman" w:hAnsi="Times New Roman" w:cs="Times New Roman"/>
          <w:lang w:val="de-DE"/>
        </w:rPr>
        <w:t xml:space="preserve">, </w:t>
      </w:r>
      <w:proofErr w:type="spellStart"/>
      <w:r w:rsidRPr="000C7C76">
        <w:rPr>
          <w:rFonts w:ascii="Times New Roman" w:hAnsi="Times New Roman" w:cs="Times New Roman"/>
          <w:lang w:val="de-DE"/>
        </w:rPr>
        <w:t>kas</w:t>
      </w:r>
      <w:proofErr w:type="spellEnd"/>
      <w:r w:rsidRPr="000C7C76">
        <w:rPr>
          <w:rFonts w:ascii="Times New Roman" w:hAnsi="Times New Roman" w:cs="Times New Roman"/>
          <w:lang w:val="de-DE"/>
        </w:rPr>
        <w:t xml:space="preserve"> </w:t>
      </w:r>
      <w:proofErr w:type="spellStart"/>
      <w:r w:rsidRPr="000C7C76">
        <w:rPr>
          <w:rFonts w:ascii="Times New Roman" w:hAnsi="Times New Roman" w:cs="Times New Roman"/>
          <w:lang w:val="de-DE"/>
        </w:rPr>
        <w:t>paredz</w:t>
      </w:r>
      <w:proofErr w:type="spellEnd"/>
      <w:r w:rsidRPr="000C7C76">
        <w:rPr>
          <w:rFonts w:ascii="Times New Roman" w:hAnsi="Times New Roman" w:cs="Times New Roman"/>
          <w:lang w:val="de-DE"/>
        </w:rPr>
        <w:t xml:space="preserve"> </w:t>
      </w:r>
      <w:proofErr w:type="spellStart"/>
      <w:r w:rsidRPr="000C7C76">
        <w:rPr>
          <w:rFonts w:ascii="Times New Roman" w:hAnsi="Times New Roman" w:cs="Times New Roman"/>
          <w:lang w:val="de-DE"/>
        </w:rPr>
        <w:t>notāra</w:t>
      </w:r>
      <w:proofErr w:type="spellEnd"/>
      <w:r w:rsidRPr="000C7C76">
        <w:rPr>
          <w:rFonts w:ascii="Times New Roman" w:hAnsi="Times New Roman" w:cs="Times New Roman"/>
          <w:lang w:val="de-DE"/>
        </w:rPr>
        <w:t xml:space="preserve"> </w:t>
      </w:r>
      <w:proofErr w:type="spellStart"/>
      <w:r w:rsidRPr="000C7C76">
        <w:rPr>
          <w:rFonts w:ascii="Times New Roman" w:hAnsi="Times New Roman" w:cs="Times New Roman"/>
          <w:lang w:val="de-DE"/>
        </w:rPr>
        <w:t>iesaisti</w:t>
      </w:r>
      <w:proofErr w:type="spellEnd"/>
      <w:r w:rsidRPr="000C7C76">
        <w:rPr>
          <w:rFonts w:ascii="Times New Roman" w:hAnsi="Times New Roman" w:cs="Times New Roman"/>
          <w:lang w:val="de-DE"/>
        </w:rPr>
        <w:t xml:space="preserve"> </w:t>
      </w:r>
      <w:proofErr w:type="spellStart"/>
      <w:r w:rsidRPr="000C7C76">
        <w:rPr>
          <w:rFonts w:ascii="Times New Roman" w:hAnsi="Times New Roman" w:cs="Times New Roman"/>
          <w:lang w:val="de-DE"/>
        </w:rPr>
        <w:t>publiskā</w:t>
      </w:r>
      <w:proofErr w:type="spellEnd"/>
      <w:r w:rsidRPr="000C7C76">
        <w:rPr>
          <w:rFonts w:ascii="Times New Roman" w:hAnsi="Times New Roman" w:cs="Times New Roman"/>
          <w:lang w:val="de-DE"/>
        </w:rPr>
        <w:t xml:space="preserve"> </w:t>
      </w:r>
      <w:proofErr w:type="spellStart"/>
      <w:r w:rsidRPr="000C7C76">
        <w:rPr>
          <w:rFonts w:ascii="Times New Roman" w:hAnsi="Times New Roman" w:cs="Times New Roman"/>
          <w:lang w:val="de-DE"/>
        </w:rPr>
        <w:t>dokumenta</w:t>
      </w:r>
      <w:proofErr w:type="spellEnd"/>
      <w:r w:rsidRPr="000C7C76">
        <w:rPr>
          <w:rFonts w:ascii="Times New Roman" w:hAnsi="Times New Roman" w:cs="Times New Roman"/>
          <w:lang w:val="de-DE"/>
        </w:rPr>
        <w:t xml:space="preserve"> </w:t>
      </w:r>
      <w:proofErr w:type="spellStart"/>
      <w:r w:rsidRPr="000C7C76">
        <w:rPr>
          <w:rFonts w:ascii="Times New Roman" w:hAnsi="Times New Roman" w:cs="Times New Roman"/>
          <w:lang w:val="de-DE"/>
        </w:rPr>
        <w:t>sastādīšanā</w:t>
      </w:r>
      <w:proofErr w:type="spellEnd"/>
      <w:r w:rsidRPr="000C7C76">
        <w:rPr>
          <w:rFonts w:ascii="Times New Roman" w:hAnsi="Times New Roman" w:cs="Times New Roman"/>
          <w:lang w:val="de-DE"/>
        </w:rPr>
        <w:t xml:space="preserve"> </w:t>
      </w:r>
      <w:proofErr w:type="spellStart"/>
      <w:r w:rsidRPr="000C7C76">
        <w:rPr>
          <w:rFonts w:ascii="Times New Roman" w:hAnsi="Times New Roman" w:cs="Times New Roman"/>
          <w:lang w:val="de-DE"/>
        </w:rPr>
        <w:t>vai</w:t>
      </w:r>
      <w:proofErr w:type="spellEnd"/>
      <w:r w:rsidRPr="000C7C76">
        <w:rPr>
          <w:rFonts w:ascii="Times New Roman" w:hAnsi="Times New Roman" w:cs="Times New Roman"/>
          <w:lang w:val="de-DE"/>
        </w:rPr>
        <w:t xml:space="preserve"> </w:t>
      </w:r>
      <w:proofErr w:type="spellStart"/>
      <w:proofErr w:type="gramStart"/>
      <w:r w:rsidRPr="000C7C76">
        <w:rPr>
          <w:rFonts w:ascii="Times New Roman" w:hAnsi="Times New Roman" w:cs="Times New Roman"/>
          <w:lang w:val="de-DE"/>
        </w:rPr>
        <w:t>apliecināšanā</w:t>
      </w:r>
      <w:proofErr w:type="spellEnd"/>
      <w:r w:rsidRPr="000C7C76">
        <w:rPr>
          <w:rFonts w:ascii="Times New Roman" w:hAnsi="Times New Roman" w:cs="Times New Roman"/>
          <w:lang w:val="de-DE"/>
        </w:rPr>
        <w:t> ;</w:t>
      </w:r>
      <w:proofErr w:type="gramEnd"/>
      <w:r w:rsidRPr="000C7C76">
        <w:rPr>
          <w:rFonts w:ascii="Times New Roman" w:hAnsi="Times New Roman" w:cs="Times New Roman"/>
          <w:lang w:val="de-DE"/>
        </w:rPr>
        <w:t xml:space="preserve"> </w:t>
      </w:r>
      <w:proofErr w:type="spellStart"/>
      <w:r w:rsidRPr="000C7C76">
        <w:rPr>
          <w:rFonts w:ascii="Times New Roman" w:hAnsi="Times New Roman" w:cs="Times New Roman"/>
          <w:lang w:val="de-DE"/>
        </w:rPr>
        <w:t>vai</w:t>
      </w:r>
      <w:proofErr w:type="spellEnd"/>
      <w:r w:rsidRPr="000C7C76">
        <w:rPr>
          <w:rFonts w:ascii="Times New Roman" w:hAnsi="Times New Roman" w:cs="Times New Roman"/>
          <w:lang w:val="de-DE"/>
        </w:rPr>
        <w:t xml:space="preserve"> </w:t>
      </w:r>
      <w:proofErr w:type="spellStart"/>
      <w:r w:rsidRPr="000C7C76">
        <w:rPr>
          <w:rFonts w:ascii="Times New Roman" w:hAnsi="Times New Roman" w:cs="Times New Roman"/>
          <w:lang w:val="de-DE"/>
        </w:rPr>
        <w:t>ir</w:t>
      </w:r>
      <w:proofErr w:type="spellEnd"/>
      <w:r w:rsidRPr="000C7C76">
        <w:rPr>
          <w:rFonts w:ascii="Times New Roman" w:hAnsi="Times New Roman" w:cs="Times New Roman"/>
          <w:lang w:val="de-DE"/>
        </w:rPr>
        <w:t xml:space="preserve"> </w:t>
      </w:r>
      <w:proofErr w:type="spellStart"/>
      <w:r w:rsidRPr="000C7C76">
        <w:rPr>
          <w:rFonts w:ascii="Times New Roman" w:hAnsi="Times New Roman" w:cs="Times New Roman"/>
          <w:lang w:val="de-DE"/>
        </w:rPr>
        <w:t>pietiekami</w:t>
      </w:r>
      <w:proofErr w:type="spellEnd"/>
      <w:r w:rsidRPr="000C7C76">
        <w:rPr>
          <w:rFonts w:ascii="Times New Roman" w:hAnsi="Times New Roman" w:cs="Times New Roman"/>
          <w:lang w:val="de-DE"/>
        </w:rPr>
        <w:t xml:space="preserve">, ja </w:t>
      </w:r>
      <w:proofErr w:type="spellStart"/>
      <w:r w:rsidRPr="000C7C76">
        <w:rPr>
          <w:rFonts w:ascii="Times New Roman" w:hAnsi="Times New Roman" w:cs="Times New Roman"/>
          <w:lang w:val="de-DE"/>
        </w:rPr>
        <w:t>šis</w:t>
      </w:r>
      <w:proofErr w:type="spellEnd"/>
      <w:r w:rsidRPr="000C7C76">
        <w:rPr>
          <w:rFonts w:ascii="Times New Roman" w:hAnsi="Times New Roman" w:cs="Times New Roman"/>
          <w:lang w:val="de-DE"/>
        </w:rPr>
        <w:t xml:space="preserve"> </w:t>
      </w:r>
      <w:proofErr w:type="spellStart"/>
      <w:r w:rsidRPr="000C7C76">
        <w:rPr>
          <w:rFonts w:ascii="Times New Roman" w:hAnsi="Times New Roman" w:cs="Times New Roman"/>
          <w:lang w:val="de-DE"/>
        </w:rPr>
        <w:t>notārs</w:t>
      </w:r>
      <w:proofErr w:type="spellEnd"/>
      <w:r w:rsidRPr="000C7C76">
        <w:rPr>
          <w:rFonts w:ascii="Times New Roman" w:hAnsi="Times New Roman" w:cs="Times New Roman"/>
          <w:lang w:val="de-DE"/>
        </w:rPr>
        <w:t xml:space="preserve"> </w:t>
      </w:r>
      <w:proofErr w:type="spellStart"/>
      <w:r w:rsidRPr="000C7C76">
        <w:rPr>
          <w:rFonts w:ascii="Times New Roman" w:hAnsi="Times New Roman" w:cs="Times New Roman"/>
          <w:lang w:val="de-DE"/>
        </w:rPr>
        <w:t>ir</w:t>
      </w:r>
      <w:proofErr w:type="spellEnd"/>
      <w:r w:rsidRPr="000C7C76">
        <w:rPr>
          <w:rFonts w:ascii="Times New Roman" w:hAnsi="Times New Roman" w:cs="Times New Roman"/>
          <w:lang w:val="de-DE"/>
        </w:rPr>
        <w:t xml:space="preserve"> </w:t>
      </w:r>
      <w:proofErr w:type="spellStart"/>
      <w:r w:rsidRPr="000C7C76">
        <w:rPr>
          <w:rFonts w:ascii="Times New Roman" w:hAnsi="Times New Roman" w:cs="Times New Roman"/>
          <w:lang w:val="de-DE"/>
        </w:rPr>
        <w:t>ārvalsts</w:t>
      </w:r>
      <w:proofErr w:type="spellEnd"/>
      <w:r w:rsidRPr="000C7C76">
        <w:rPr>
          <w:rFonts w:ascii="Times New Roman" w:hAnsi="Times New Roman" w:cs="Times New Roman"/>
          <w:lang w:val="de-DE"/>
        </w:rPr>
        <w:t xml:space="preserve"> </w:t>
      </w:r>
      <w:proofErr w:type="spellStart"/>
      <w:r w:rsidRPr="000C7C76">
        <w:rPr>
          <w:rFonts w:ascii="Times New Roman" w:hAnsi="Times New Roman" w:cs="Times New Roman"/>
          <w:lang w:val="de-DE"/>
        </w:rPr>
        <w:t>notārs</w:t>
      </w:r>
      <w:proofErr w:type="spellEnd"/>
      <w:r w:rsidRPr="000C7C76">
        <w:rPr>
          <w:rFonts w:ascii="Times New Roman" w:hAnsi="Times New Roman" w:cs="Times New Roman"/>
          <w:lang w:val="de-DE"/>
        </w:rPr>
        <w:t> ?</w:t>
      </w:r>
      <w:r>
        <w:rPr>
          <w:rStyle w:val="FootnoteReference"/>
          <w:rFonts w:ascii="Times New Roman" w:hAnsi="Times New Roman" w:cs="Times New Roman"/>
        </w:rPr>
        <w:footnoteReference w:id="102"/>
      </w:r>
      <w:r w:rsidRPr="000C7C76">
        <w:rPr>
          <w:rFonts w:ascii="Times New Roman" w:hAnsi="Times New Roman" w:cs="Times New Roman"/>
          <w:lang w:val="de-DE"/>
        </w:rPr>
        <w:t xml:space="preserve"> Lai </w:t>
      </w:r>
      <w:proofErr w:type="spellStart"/>
      <w:r w:rsidRPr="000C7C76">
        <w:rPr>
          <w:rFonts w:ascii="Times New Roman" w:hAnsi="Times New Roman" w:cs="Times New Roman"/>
          <w:lang w:val="de-DE"/>
        </w:rPr>
        <w:t>atbildētu</w:t>
      </w:r>
      <w:proofErr w:type="spellEnd"/>
      <w:r w:rsidRPr="000C7C76">
        <w:rPr>
          <w:rFonts w:ascii="Times New Roman" w:hAnsi="Times New Roman" w:cs="Times New Roman"/>
          <w:lang w:val="de-DE"/>
        </w:rPr>
        <w:t xml:space="preserve"> </w:t>
      </w:r>
      <w:proofErr w:type="spellStart"/>
      <w:r w:rsidRPr="000C7C76">
        <w:rPr>
          <w:rFonts w:ascii="Times New Roman" w:hAnsi="Times New Roman" w:cs="Times New Roman"/>
          <w:lang w:val="de-DE"/>
        </w:rPr>
        <w:t>uz</w:t>
      </w:r>
      <w:proofErr w:type="spellEnd"/>
      <w:r w:rsidRPr="000C7C76">
        <w:rPr>
          <w:rFonts w:ascii="Times New Roman" w:hAnsi="Times New Roman" w:cs="Times New Roman"/>
          <w:lang w:val="de-DE"/>
        </w:rPr>
        <w:t xml:space="preserve"> </w:t>
      </w:r>
      <w:proofErr w:type="spellStart"/>
      <w:r w:rsidRPr="000C7C76">
        <w:rPr>
          <w:rFonts w:ascii="Times New Roman" w:hAnsi="Times New Roman" w:cs="Times New Roman"/>
          <w:lang w:val="de-DE"/>
        </w:rPr>
        <w:t>šo</w:t>
      </w:r>
      <w:proofErr w:type="spellEnd"/>
      <w:r w:rsidRPr="000C7C76">
        <w:rPr>
          <w:rFonts w:ascii="Times New Roman" w:hAnsi="Times New Roman" w:cs="Times New Roman"/>
          <w:lang w:val="de-DE"/>
        </w:rPr>
        <w:t xml:space="preserve"> </w:t>
      </w:r>
      <w:proofErr w:type="spellStart"/>
      <w:r w:rsidRPr="000C7C76">
        <w:rPr>
          <w:rFonts w:ascii="Times New Roman" w:hAnsi="Times New Roman" w:cs="Times New Roman"/>
          <w:lang w:val="de-DE"/>
        </w:rPr>
        <w:t>jautājumu</w:t>
      </w:r>
      <w:proofErr w:type="spellEnd"/>
      <w:r w:rsidRPr="000C7C76">
        <w:rPr>
          <w:rFonts w:ascii="Times New Roman" w:hAnsi="Times New Roman" w:cs="Times New Roman"/>
          <w:lang w:val="de-DE"/>
        </w:rPr>
        <w:t xml:space="preserve">, </w:t>
      </w:r>
      <w:proofErr w:type="spellStart"/>
      <w:r w:rsidRPr="000C7C76">
        <w:rPr>
          <w:rFonts w:ascii="Times New Roman" w:hAnsi="Times New Roman" w:cs="Times New Roman"/>
          <w:lang w:val="de-DE"/>
        </w:rPr>
        <w:t>tiks</w:t>
      </w:r>
      <w:proofErr w:type="spellEnd"/>
      <w:r w:rsidRPr="000C7C76">
        <w:rPr>
          <w:rFonts w:ascii="Times New Roman" w:hAnsi="Times New Roman" w:cs="Times New Roman"/>
          <w:lang w:val="de-DE"/>
        </w:rPr>
        <w:t xml:space="preserve"> </w:t>
      </w:r>
      <w:proofErr w:type="spellStart"/>
      <w:r w:rsidRPr="000C7C76">
        <w:rPr>
          <w:rFonts w:ascii="Times New Roman" w:hAnsi="Times New Roman" w:cs="Times New Roman"/>
          <w:lang w:val="de-DE"/>
        </w:rPr>
        <w:t>aplūkoti</w:t>
      </w:r>
      <w:proofErr w:type="spellEnd"/>
      <w:r w:rsidRPr="000C7C76">
        <w:rPr>
          <w:rFonts w:ascii="Times New Roman" w:hAnsi="Times New Roman" w:cs="Times New Roman"/>
          <w:lang w:val="de-DE"/>
        </w:rPr>
        <w:t xml:space="preserve"> </w:t>
      </w:r>
      <w:proofErr w:type="spellStart"/>
      <w:r w:rsidRPr="000C7C76">
        <w:rPr>
          <w:rFonts w:ascii="Times New Roman" w:hAnsi="Times New Roman" w:cs="Times New Roman"/>
          <w:lang w:val="de-DE"/>
        </w:rPr>
        <w:t>daži</w:t>
      </w:r>
      <w:proofErr w:type="spellEnd"/>
      <w:r w:rsidRPr="000C7C76">
        <w:rPr>
          <w:rFonts w:ascii="Times New Roman" w:hAnsi="Times New Roman" w:cs="Times New Roman"/>
          <w:lang w:val="de-DE"/>
        </w:rPr>
        <w:t xml:space="preserve"> </w:t>
      </w:r>
      <w:proofErr w:type="spellStart"/>
      <w:r w:rsidRPr="000C7C76">
        <w:rPr>
          <w:rFonts w:ascii="Times New Roman" w:hAnsi="Times New Roman" w:cs="Times New Roman"/>
          <w:lang w:val="de-DE"/>
        </w:rPr>
        <w:t>ārvalstu</w:t>
      </w:r>
      <w:proofErr w:type="spellEnd"/>
      <w:r w:rsidRPr="000C7C76">
        <w:rPr>
          <w:rFonts w:ascii="Times New Roman" w:hAnsi="Times New Roman" w:cs="Times New Roman"/>
          <w:lang w:val="de-DE"/>
        </w:rPr>
        <w:t xml:space="preserve"> </w:t>
      </w:r>
      <w:proofErr w:type="spellStart"/>
      <w:r w:rsidRPr="000C7C76">
        <w:rPr>
          <w:rFonts w:ascii="Times New Roman" w:hAnsi="Times New Roman" w:cs="Times New Roman"/>
          <w:lang w:val="de-DE"/>
        </w:rPr>
        <w:t>tiesu</w:t>
      </w:r>
      <w:proofErr w:type="spellEnd"/>
      <w:r w:rsidRPr="000C7C76">
        <w:rPr>
          <w:rFonts w:ascii="Times New Roman" w:hAnsi="Times New Roman" w:cs="Times New Roman"/>
          <w:lang w:val="de-DE"/>
        </w:rPr>
        <w:t xml:space="preserve"> </w:t>
      </w:r>
      <w:proofErr w:type="spellStart"/>
      <w:r w:rsidRPr="000C7C76">
        <w:rPr>
          <w:rFonts w:ascii="Times New Roman" w:hAnsi="Times New Roman" w:cs="Times New Roman"/>
          <w:lang w:val="de-DE"/>
        </w:rPr>
        <w:t>prakses</w:t>
      </w:r>
      <w:proofErr w:type="spellEnd"/>
      <w:r w:rsidRPr="000C7C76">
        <w:rPr>
          <w:rFonts w:ascii="Times New Roman" w:hAnsi="Times New Roman" w:cs="Times New Roman"/>
          <w:lang w:val="de-DE"/>
        </w:rPr>
        <w:t xml:space="preserve"> </w:t>
      </w:r>
      <w:proofErr w:type="spellStart"/>
      <w:r w:rsidRPr="000C7C76">
        <w:rPr>
          <w:rFonts w:ascii="Times New Roman" w:hAnsi="Times New Roman" w:cs="Times New Roman"/>
          <w:lang w:val="de-DE"/>
        </w:rPr>
        <w:t>piemēri</w:t>
      </w:r>
      <w:proofErr w:type="spellEnd"/>
      <w:r w:rsidRPr="000C7C76">
        <w:rPr>
          <w:rFonts w:ascii="Times New Roman" w:hAnsi="Times New Roman" w:cs="Times New Roman"/>
          <w:lang w:val="de-DE"/>
        </w:rPr>
        <w:t>:</w:t>
      </w:r>
    </w:p>
    <w:p w14:paraId="3182D43C" w14:textId="77777777" w:rsidR="00114953" w:rsidRPr="000C7C76" w:rsidRDefault="00114953" w:rsidP="00114953">
      <w:pPr>
        <w:jc w:val="both"/>
        <w:rPr>
          <w:rFonts w:ascii="Times New Roman" w:hAnsi="Times New Roman" w:cs="Times New Roman"/>
          <w:lang w:val="de-DE"/>
        </w:rPr>
      </w:pPr>
    </w:p>
    <w:p w14:paraId="0314D652" w14:textId="77777777" w:rsidR="00114953" w:rsidRPr="000C7C76" w:rsidRDefault="00114953" w:rsidP="00114953">
      <w:pPr>
        <w:ind w:firstLine="708"/>
        <w:jc w:val="both"/>
        <w:rPr>
          <w:rFonts w:ascii="Times New Roman" w:hAnsi="Times New Roman" w:cs="Times New Roman"/>
          <w:lang w:val="de-DE"/>
        </w:rPr>
      </w:pPr>
      <w:r w:rsidRPr="000C7C76">
        <w:rPr>
          <w:rFonts w:ascii="Times New Roman" w:hAnsi="Times New Roman" w:cs="Times New Roman"/>
          <w:lang w:val="de-DE"/>
        </w:rPr>
        <w:t>1. </w:t>
      </w:r>
      <w:proofErr w:type="spellStart"/>
      <w:r w:rsidRPr="000C7C76">
        <w:rPr>
          <w:rFonts w:ascii="Times New Roman" w:hAnsi="Times New Roman" w:cs="Times New Roman"/>
          <w:b/>
          <w:lang w:val="de-DE"/>
        </w:rPr>
        <w:t>Formas</w:t>
      </w:r>
      <w:proofErr w:type="spellEnd"/>
      <w:r w:rsidRPr="000C7C76">
        <w:rPr>
          <w:rFonts w:ascii="Times New Roman" w:hAnsi="Times New Roman" w:cs="Times New Roman"/>
          <w:lang w:val="de-DE"/>
        </w:rPr>
        <w:t xml:space="preserve"> </w:t>
      </w:r>
      <w:proofErr w:type="spellStart"/>
      <w:r w:rsidRPr="000C7C76">
        <w:rPr>
          <w:rFonts w:ascii="Times New Roman" w:hAnsi="Times New Roman" w:cs="Times New Roman"/>
          <w:lang w:val="de-DE"/>
        </w:rPr>
        <w:t>prasību</w:t>
      </w:r>
      <w:proofErr w:type="spellEnd"/>
      <w:r w:rsidRPr="000C7C76">
        <w:rPr>
          <w:rFonts w:ascii="Times New Roman" w:hAnsi="Times New Roman" w:cs="Times New Roman"/>
          <w:lang w:val="de-DE"/>
        </w:rPr>
        <w:t xml:space="preserve"> </w:t>
      </w:r>
      <w:proofErr w:type="spellStart"/>
      <w:r w:rsidRPr="000C7C76">
        <w:rPr>
          <w:rFonts w:ascii="Times New Roman" w:hAnsi="Times New Roman" w:cs="Times New Roman"/>
          <w:lang w:val="de-DE"/>
        </w:rPr>
        <w:t>sakarā</w:t>
      </w:r>
      <w:proofErr w:type="spellEnd"/>
      <w:r w:rsidRPr="000C7C76">
        <w:rPr>
          <w:rFonts w:ascii="Times New Roman" w:hAnsi="Times New Roman" w:cs="Times New Roman"/>
          <w:lang w:val="de-DE"/>
        </w:rPr>
        <w:t xml:space="preserve"> </w:t>
      </w:r>
      <w:proofErr w:type="spellStart"/>
      <w:r w:rsidRPr="000C7C76">
        <w:rPr>
          <w:rFonts w:ascii="Times New Roman" w:hAnsi="Times New Roman" w:cs="Times New Roman"/>
          <w:lang w:val="de-DE"/>
        </w:rPr>
        <w:t>interesanta</w:t>
      </w:r>
      <w:proofErr w:type="spellEnd"/>
      <w:r w:rsidRPr="000C7C76">
        <w:rPr>
          <w:rFonts w:ascii="Times New Roman" w:hAnsi="Times New Roman" w:cs="Times New Roman"/>
          <w:lang w:val="de-DE"/>
        </w:rPr>
        <w:t xml:space="preserve"> </w:t>
      </w:r>
      <w:proofErr w:type="spellStart"/>
      <w:r w:rsidRPr="000C7C76">
        <w:rPr>
          <w:rFonts w:ascii="Times New Roman" w:hAnsi="Times New Roman" w:cs="Times New Roman"/>
          <w:lang w:val="de-DE"/>
        </w:rPr>
        <w:t>ir</w:t>
      </w:r>
      <w:proofErr w:type="spellEnd"/>
      <w:r w:rsidRPr="000C7C76">
        <w:rPr>
          <w:rFonts w:ascii="Times New Roman" w:hAnsi="Times New Roman" w:cs="Times New Roman"/>
          <w:lang w:val="de-DE"/>
        </w:rPr>
        <w:t xml:space="preserve"> </w:t>
      </w:r>
      <w:proofErr w:type="spellStart"/>
      <w:r w:rsidRPr="000C7C76">
        <w:rPr>
          <w:rFonts w:ascii="Times New Roman" w:hAnsi="Times New Roman" w:cs="Times New Roman"/>
          <w:b/>
          <w:bCs/>
          <w:lang w:val="de-DE"/>
        </w:rPr>
        <w:t>Vācijas</w:t>
      </w:r>
      <w:proofErr w:type="spellEnd"/>
      <w:r w:rsidRPr="000C7C76">
        <w:rPr>
          <w:rFonts w:ascii="Times New Roman" w:hAnsi="Times New Roman" w:cs="Times New Roman"/>
          <w:b/>
          <w:bCs/>
          <w:lang w:val="de-DE"/>
        </w:rPr>
        <w:t xml:space="preserve"> </w:t>
      </w:r>
      <w:proofErr w:type="spellStart"/>
      <w:r w:rsidRPr="000C7C76">
        <w:rPr>
          <w:rFonts w:ascii="Times New Roman" w:hAnsi="Times New Roman" w:cs="Times New Roman"/>
          <w:b/>
          <w:bCs/>
          <w:lang w:val="de-DE"/>
        </w:rPr>
        <w:t>tiesu</w:t>
      </w:r>
      <w:proofErr w:type="spellEnd"/>
      <w:r w:rsidRPr="000C7C76">
        <w:rPr>
          <w:rFonts w:ascii="Times New Roman" w:hAnsi="Times New Roman" w:cs="Times New Roman"/>
          <w:b/>
          <w:bCs/>
          <w:lang w:val="de-DE"/>
        </w:rPr>
        <w:t xml:space="preserve"> </w:t>
      </w:r>
      <w:proofErr w:type="spellStart"/>
      <w:r w:rsidRPr="000C7C76">
        <w:rPr>
          <w:rFonts w:ascii="Times New Roman" w:hAnsi="Times New Roman" w:cs="Times New Roman"/>
          <w:b/>
          <w:bCs/>
          <w:lang w:val="de-DE"/>
        </w:rPr>
        <w:t>praksē</w:t>
      </w:r>
      <w:proofErr w:type="spellEnd"/>
      <w:r w:rsidRPr="000C7C76">
        <w:rPr>
          <w:rFonts w:ascii="Times New Roman" w:hAnsi="Times New Roman" w:cs="Times New Roman"/>
          <w:lang w:val="de-DE"/>
        </w:rPr>
        <w:t xml:space="preserve"> 2013.gadā </w:t>
      </w:r>
      <w:proofErr w:type="spellStart"/>
      <w:r w:rsidRPr="000C7C76">
        <w:rPr>
          <w:rFonts w:ascii="Times New Roman" w:hAnsi="Times New Roman" w:cs="Times New Roman"/>
          <w:lang w:val="de-DE"/>
        </w:rPr>
        <w:t>skatīta</w:t>
      </w:r>
      <w:proofErr w:type="spellEnd"/>
      <w:r w:rsidRPr="000C7C76">
        <w:rPr>
          <w:rFonts w:ascii="Times New Roman" w:hAnsi="Times New Roman" w:cs="Times New Roman"/>
          <w:lang w:val="de-DE"/>
        </w:rPr>
        <w:t xml:space="preserve"> </w:t>
      </w:r>
      <w:proofErr w:type="spellStart"/>
      <w:r w:rsidRPr="000C7C76">
        <w:rPr>
          <w:rFonts w:ascii="Times New Roman" w:hAnsi="Times New Roman" w:cs="Times New Roman"/>
          <w:lang w:val="de-DE"/>
        </w:rPr>
        <w:t>lieta</w:t>
      </w:r>
      <w:proofErr w:type="spellEnd"/>
      <w:r w:rsidRPr="000C7C76">
        <w:rPr>
          <w:rFonts w:ascii="Times New Roman" w:hAnsi="Times New Roman" w:cs="Times New Roman"/>
          <w:lang w:val="de-DE"/>
        </w:rPr>
        <w:t xml:space="preserve"> par </w:t>
      </w:r>
      <w:proofErr w:type="spellStart"/>
      <w:r w:rsidRPr="000C7C76">
        <w:rPr>
          <w:rFonts w:ascii="Times New Roman" w:hAnsi="Times New Roman" w:cs="Times New Roman"/>
          <w:lang w:val="de-DE"/>
        </w:rPr>
        <w:t>to</w:t>
      </w:r>
      <w:proofErr w:type="spellEnd"/>
      <w:r w:rsidRPr="000C7C76">
        <w:rPr>
          <w:rFonts w:ascii="Times New Roman" w:hAnsi="Times New Roman" w:cs="Times New Roman"/>
          <w:lang w:val="de-DE"/>
        </w:rPr>
        <w:t xml:space="preserve">, </w:t>
      </w:r>
      <w:proofErr w:type="spellStart"/>
      <w:r w:rsidRPr="000C7C76">
        <w:rPr>
          <w:rFonts w:ascii="Times New Roman" w:hAnsi="Times New Roman" w:cs="Times New Roman"/>
          <w:lang w:val="de-DE"/>
        </w:rPr>
        <w:t>vai</w:t>
      </w:r>
      <w:proofErr w:type="spellEnd"/>
      <w:r w:rsidRPr="000C7C76">
        <w:rPr>
          <w:rFonts w:ascii="Times New Roman" w:hAnsi="Times New Roman" w:cs="Times New Roman"/>
          <w:lang w:val="de-DE"/>
        </w:rPr>
        <w:t xml:space="preserve"> </w:t>
      </w:r>
      <w:proofErr w:type="spellStart"/>
      <w:r w:rsidRPr="000C7C76">
        <w:rPr>
          <w:rFonts w:ascii="Times New Roman" w:hAnsi="Times New Roman" w:cs="Times New Roman"/>
          <w:lang w:val="de-DE"/>
        </w:rPr>
        <w:t>pie</w:t>
      </w:r>
      <w:proofErr w:type="spellEnd"/>
      <w:r w:rsidRPr="000C7C76">
        <w:rPr>
          <w:rFonts w:ascii="Times New Roman" w:hAnsi="Times New Roman" w:cs="Times New Roman"/>
          <w:lang w:val="de-DE"/>
        </w:rPr>
        <w:t xml:space="preserve"> </w:t>
      </w:r>
      <w:proofErr w:type="spellStart"/>
      <w:r w:rsidRPr="000C7C76">
        <w:rPr>
          <w:rFonts w:ascii="Times New Roman" w:hAnsi="Times New Roman" w:cs="Times New Roman"/>
          <w:u w:val="single"/>
          <w:lang w:val="de-DE"/>
        </w:rPr>
        <w:t>Šveices</w:t>
      </w:r>
      <w:proofErr w:type="spellEnd"/>
      <w:r w:rsidRPr="000C7C76">
        <w:rPr>
          <w:rFonts w:ascii="Times New Roman" w:hAnsi="Times New Roman" w:cs="Times New Roman"/>
          <w:u w:val="single"/>
          <w:lang w:val="de-DE"/>
        </w:rPr>
        <w:t xml:space="preserve"> </w:t>
      </w:r>
      <w:proofErr w:type="spellStart"/>
      <w:r w:rsidRPr="000C7C76">
        <w:rPr>
          <w:rFonts w:ascii="Times New Roman" w:hAnsi="Times New Roman" w:cs="Times New Roman"/>
          <w:u w:val="single"/>
          <w:lang w:val="de-DE"/>
        </w:rPr>
        <w:t>notāra</w:t>
      </w:r>
      <w:proofErr w:type="spellEnd"/>
      <w:r w:rsidRPr="000C7C76">
        <w:rPr>
          <w:rFonts w:ascii="Times New Roman" w:hAnsi="Times New Roman" w:cs="Times New Roman"/>
          <w:lang w:val="de-DE"/>
        </w:rPr>
        <w:t xml:space="preserve"> </w:t>
      </w:r>
      <w:proofErr w:type="spellStart"/>
      <w:r w:rsidRPr="000C7C76">
        <w:rPr>
          <w:rFonts w:ascii="Times New Roman" w:hAnsi="Times New Roman" w:cs="Times New Roman"/>
          <w:lang w:val="de-DE"/>
        </w:rPr>
        <w:t>apliecināts</w:t>
      </w:r>
      <w:proofErr w:type="spellEnd"/>
      <w:r w:rsidRPr="000C7C76">
        <w:rPr>
          <w:rFonts w:ascii="Times New Roman" w:hAnsi="Times New Roman" w:cs="Times New Roman"/>
          <w:lang w:val="de-DE"/>
        </w:rPr>
        <w:t xml:space="preserve"> </w:t>
      </w:r>
      <w:proofErr w:type="spellStart"/>
      <w:r w:rsidRPr="000C7C76">
        <w:rPr>
          <w:rFonts w:ascii="Times New Roman" w:hAnsi="Times New Roman" w:cs="Times New Roman"/>
          <w:lang w:val="de-DE"/>
        </w:rPr>
        <w:t>lēmums</w:t>
      </w:r>
      <w:proofErr w:type="spellEnd"/>
      <w:r w:rsidRPr="000C7C76">
        <w:rPr>
          <w:rFonts w:ascii="Times New Roman" w:hAnsi="Times New Roman" w:cs="Times New Roman"/>
          <w:lang w:val="de-DE"/>
        </w:rPr>
        <w:t xml:space="preserve"> par </w:t>
      </w:r>
      <w:proofErr w:type="spellStart"/>
      <w:r w:rsidRPr="000C7C76">
        <w:rPr>
          <w:rFonts w:ascii="Times New Roman" w:hAnsi="Times New Roman" w:cs="Times New Roman"/>
          <w:lang w:val="de-DE"/>
        </w:rPr>
        <w:t>vācu</w:t>
      </w:r>
      <w:proofErr w:type="spellEnd"/>
      <w:r w:rsidRPr="000C7C76">
        <w:rPr>
          <w:rFonts w:ascii="Times New Roman" w:hAnsi="Times New Roman" w:cs="Times New Roman"/>
          <w:lang w:val="de-DE"/>
        </w:rPr>
        <w:t xml:space="preserve"> </w:t>
      </w:r>
      <w:proofErr w:type="spellStart"/>
      <w:r w:rsidRPr="000C7C76">
        <w:rPr>
          <w:rFonts w:ascii="Times New Roman" w:hAnsi="Times New Roman" w:cs="Times New Roman"/>
          <w:lang w:val="de-DE"/>
        </w:rPr>
        <w:t>uzņēmuma</w:t>
      </w:r>
      <w:proofErr w:type="spellEnd"/>
      <w:r w:rsidRPr="000C7C76">
        <w:rPr>
          <w:rFonts w:ascii="Times New Roman" w:hAnsi="Times New Roman" w:cs="Times New Roman"/>
          <w:lang w:val="de-DE"/>
        </w:rPr>
        <w:t xml:space="preserve"> (SIA) </w:t>
      </w:r>
      <w:proofErr w:type="spellStart"/>
      <w:r w:rsidRPr="000C7C76">
        <w:rPr>
          <w:rFonts w:ascii="Times New Roman" w:hAnsi="Times New Roman" w:cs="Times New Roman"/>
          <w:lang w:val="de-DE"/>
        </w:rPr>
        <w:t>statūtu</w:t>
      </w:r>
      <w:proofErr w:type="spellEnd"/>
      <w:r w:rsidRPr="000C7C76">
        <w:rPr>
          <w:rFonts w:ascii="Times New Roman" w:hAnsi="Times New Roman" w:cs="Times New Roman"/>
          <w:lang w:val="de-DE"/>
        </w:rPr>
        <w:t xml:space="preserve"> </w:t>
      </w:r>
      <w:proofErr w:type="spellStart"/>
      <w:r w:rsidRPr="000C7C76">
        <w:rPr>
          <w:rFonts w:ascii="Times New Roman" w:hAnsi="Times New Roman" w:cs="Times New Roman"/>
          <w:lang w:val="de-DE"/>
        </w:rPr>
        <w:t>izmaiņām</w:t>
      </w:r>
      <w:proofErr w:type="spellEnd"/>
      <w:r w:rsidRPr="000C7C76">
        <w:rPr>
          <w:rFonts w:ascii="Times New Roman" w:hAnsi="Times New Roman" w:cs="Times New Roman"/>
          <w:lang w:val="de-DE"/>
        </w:rPr>
        <w:t xml:space="preserve"> </w:t>
      </w:r>
      <w:proofErr w:type="spellStart"/>
      <w:r w:rsidRPr="000C7C76">
        <w:rPr>
          <w:rFonts w:ascii="Times New Roman" w:hAnsi="Times New Roman" w:cs="Times New Roman"/>
          <w:lang w:val="de-DE"/>
        </w:rPr>
        <w:t>ir</w:t>
      </w:r>
      <w:proofErr w:type="spellEnd"/>
      <w:r w:rsidRPr="000C7C76">
        <w:rPr>
          <w:rFonts w:ascii="Times New Roman" w:hAnsi="Times New Roman" w:cs="Times New Roman"/>
          <w:lang w:val="de-DE"/>
        </w:rPr>
        <w:t xml:space="preserve"> </w:t>
      </w:r>
      <w:proofErr w:type="spellStart"/>
      <w:r w:rsidRPr="000C7C76">
        <w:rPr>
          <w:rFonts w:ascii="Times New Roman" w:hAnsi="Times New Roman" w:cs="Times New Roman"/>
          <w:lang w:val="de-DE"/>
        </w:rPr>
        <w:t>derīgs</w:t>
      </w:r>
      <w:proofErr w:type="spellEnd"/>
      <w:r w:rsidRPr="000C7C76">
        <w:rPr>
          <w:rFonts w:ascii="Times New Roman" w:hAnsi="Times New Roman" w:cs="Times New Roman"/>
          <w:lang w:val="de-DE"/>
        </w:rPr>
        <w:t xml:space="preserve"> </w:t>
      </w:r>
      <w:proofErr w:type="spellStart"/>
      <w:r w:rsidRPr="000C7C76">
        <w:rPr>
          <w:rFonts w:ascii="Times New Roman" w:hAnsi="Times New Roman" w:cs="Times New Roman"/>
          <w:lang w:val="de-DE"/>
        </w:rPr>
        <w:t>Vācijā</w:t>
      </w:r>
      <w:proofErr w:type="spellEnd"/>
      <w:r w:rsidRPr="000C7C76">
        <w:rPr>
          <w:rFonts w:ascii="Times New Roman" w:hAnsi="Times New Roman" w:cs="Times New Roman"/>
          <w:lang w:val="de-DE"/>
        </w:rPr>
        <w:t xml:space="preserve">.  </w:t>
      </w:r>
    </w:p>
    <w:p w14:paraId="516EB711" w14:textId="1FE7B282" w:rsidR="00114953" w:rsidRDefault="00114953" w:rsidP="00114953">
      <w:pPr>
        <w:ind w:firstLine="708"/>
        <w:jc w:val="both"/>
        <w:rPr>
          <w:rFonts w:ascii="Times New Roman" w:hAnsi="Times New Roman" w:cs="Times New Roman"/>
        </w:rPr>
      </w:pPr>
      <w:r w:rsidRPr="000C7C76">
        <w:rPr>
          <w:rFonts w:ascii="Times New Roman" w:hAnsi="Times New Roman" w:cs="Times New Roman"/>
          <w:lang w:val="de-DE"/>
        </w:rPr>
        <w:t xml:space="preserve">2012.gada 5.novembrī </w:t>
      </w:r>
      <w:proofErr w:type="spellStart"/>
      <w:r w:rsidRPr="000C7C76">
        <w:rPr>
          <w:rFonts w:ascii="Times New Roman" w:hAnsi="Times New Roman" w:cs="Times New Roman"/>
          <w:lang w:val="de-DE"/>
        </w:rPr>
        <w:t>Šveicē</w:t>
      </w:r>
      <w:proofErr w:type="spellEnd"/>
      <w:r w:rsidRPr="000C7C76">
        <w:rPr>
          <w:rFonts w:ascii="Times New Roman" w:hAnsi="Times New Roman" w:cs="Times New Roman"/>
          <w:lang w:val="de-DE"/>
        </w:rPr>
        <w:t xml:space="preserve"> (</w:t>
      </w:r>
      <w:proofErr w:type="spellStart"/>
      <w:r w:rsidRPr="000C7C76">
        <w:rPr>
          <w:rFonts w:ascii="Times New Roman" w:hAnsi="Times New Roman" w:cs="Times New Roman"/>
          <w:lang w:val="de-DE"/>
        </w:rPr>
        <w:t>Bāzelē</w:t>
      </w:r>
      <w:proofErr w:type="spellEnd"/>
      <w:r w:rsidRPr="000C7C76">
        <w:rPr>
          <w:rFonts w:ascii="Times New Roman" w:hAnsi="Times New Roman" w:cs="Times New Roman"/>
          <w:lang w:val="de-DE"/>
        </w:rPr>
        <w:t xml:space="preserve">) </w:t>
      </w:r>
      <w:proofErr w:type="spellStart"/>
      <w:r w:rsidRPr="000C7C76">
        <w:rPr>
          <w:rFonts w:ascii="Times New Roman" w:hAnsi="Times New Roman" w:cs="Times New Roman"/>
          <w:lang w:val="de-DE"/>
        </w:rPr>
        <w:t>praktizējošs</w:t>
      </w:r>
      <w:proofErr w:type="spellEnd"/>
      <w:r w:rsidRPr="000C7C76">
        <w:rPr>
          <w:rFonts w:ascii="Times New Roman" w:hAnsi="Times New Roman" w:cs="Times New Roman"/>
          <w:lang w:val="de-DE"/>
        </w:rPr>
        <w:t xml:space="preserve"> </w:t>
      </w:r>
      <w:proofErr w:type="spellStart"/>
      <w:r w:rsidRPr="000C7C76">
        <w:rPr>
          <w:rFonts w:ascii="Times New Roman" w:hAnsi="Times New Roman" w:cs="Times New Roman"/>
          <w:lang w:val="de-DE"/>
        </w:rPr>
        <w:t>notārs</w:t>
      </w:r>
      <w:proofErr w:type="spellEnd"/>
      <w:r w:rsidRPr="000C7C76">
        <w:rPr>
          <w:rFonts w:ascii="Times New Roman" w:hAnsi="Times New Roman" w:cs="Times New Roman"/>
          <w:lang w:val="de-DE"/>
        </w:rPr>
        <w:t xml:space="preserve"> </w:t>
      </w:r>
      <w:proofErr w:type="spellStart"/>
      <w:r w:rsidRPr="000C7C76">
        <w:rPr>
          <w:rFonts w:ascii="Times New Roman" w:hAnsi="Times New Roman" w:cs="Times New Roman"/>
          <w:lang w:val="de-DE"/>
        </w:rPr>
        <w:t>veica</w:t>
      </w:r>
      <w:proofErr w:type="spellEnd"/>
      <w:r w:rsidRPr="000C7C76">
        <w:rPr>
          <w:rFonts w:ascii="Times New Roman" w:hAnsi="Times New Roman" w:cs="Times New Roman"/>
          <w:lang w:val="de-DE"/>
        </w:rPr>
        <w:t xml:space="preserve"> </w:t>
      </w:r>
      <w:proofErr w:type="spellStart"/>
      <w:r w:rsidRPr="000C7C76">
        <w:rPr>
          <w:rFonts w:ascii="Times New Roman" w:hAnsi="Times New Roman" w:cs="Times New Roman"/>
          <w:lang w:val="de-DE"/>
        </w:rPr>
        <w:t>izmaiņas</w:t>
      </w:r>
      <w:proofErr w:type="spellEnd"/>
      <w:r w:rsidRPr="000C7C76">
        <w:rPr>
          <w:rFonts w:ascii="Times New Roman" w:hAnsi="Times New Roman" w:cs="Times New Roman"/>
          <w:lang w:val="de-DE"/>
        </w:rPr>
        <w:t xml:space="preserve"> </w:t>
      </w:r>
      <w:proofErr w:type="spellStart"/>
      <w:r w:rsidRPr="000C7C76">
        <w:rPr>
          <w:rFonts w:ascii="Times New Roman" w:hAnsi="Times New Roman" w:cs="Times New Roman"/>
          <w:lang w:val="de-DE"/>
        </w:rPr>
        <w:t>vācu</w:t>
      </w:r>
      <w:proofErr w:type="spellEnd"/>
      <w:r w:rsidRPr="000C7C76">
        <w:rPr>
          <w:rFonts w:ascii="Times New Roman" w:hAnsi="Times New Roman" w:cs="Times New Roman"/>
          <w:lang w:val="de-DE"/>
        </w:rPr>
        <w:t xml:space="preserve"> </w:t>
      </w:r>
      <w:proofErr w:type="spellStart"/>
      <w:r w:rsidRPr="000C7C76">
        <w:rPr>
          <w:rFonts w:ascii="Times New Roman" w:hAnsi="Times New Roman" w:cs="Times New Roman"/>
          <w:lang w:val="de-DE"/>
        </w:rPr>
        <w:t>uzņēmuma</w:t>
      </w:r>
      <w:proofErr w:type="spellEnd"/>
      <w:r w:rsidRPr="000C7C76">
        <w:rPr>
          <w:rFonts w:ascii="Times New Roman" w:hAnsi="Times New Roman" w:cs="Times New Roman"/>
          <w:lang w:val="de-DE"/>
        </w:rPr>
        <w:t xml:space="preserve"> (SIA) </w:t>
      </w:r>
      <w:proofErr w:type="spellStart"/>
      <w:r w:rsidRPr="000C7C76">
        <w:rPr>
          <w:rFonts w:ascii="Times New Roman" w:hAnsi="Times New Roman" w:cs="Times New Roman"/>
          <w:lang w:val="de-DE"/>
        </w:rPr>
        <w:t>statūtos</w:t>
      </w:r>
      <w:proofErr w:type="spellEnd"/>
      <w:r w:rsidRPr="000C7C76">
        <w:rPr>
          <w:rFonts w:ascii="Times New Roman" w:hAnsi="Times New Roman" w:cs="Times New Roman"/>
          <w:lang w:val="de-DE"/>
        </w:rPr>
        <w:t xml:space="preserve">, </w:t>
      </w:r>
      <w:proofErr w:type="spellStart"/>
      <w:r w:rsidRPr="000C7C76">
        <w:rPr>
          <w:rFonts w:ascii="Times New Roman" w:hAnsi="Times New Roman" w:cs="Times New Roman"/>
          <w:lang w:val="de-DE"/>
        </w:rPr>
        <w:t>kā</w:t>
      </w:r>
      <w:proofErr w:type="spellEnd"/>
      <w:r w:rsidRPr="000C7C76">
        <w:rPr>
          <w:rFonts w:ascii="Times New Roman" w:hAnsi="Times New Roman" w:cs="Times New Roman"/>
          <w:lang w:val="de-DE"/>
        </w:rPr>
        <w:t xml:space="preserve"> </w:t>
      </w:r>
      <w:proofErr w:type="spellStart"/>
      <w:r w:rsidRPr="000C7C76">
        <w:rPr>
          <w:rFonts w:ascii="Times New Roman" w:hAnsi="Times New Roman" w:cs="Times New Roman"/>
          <w:lang w:val="de-DE"/>
        </w:rPr>
        <w:t>uzņēmuma</w:t>
      </w:r>
      <w:proofErr w:type="spellEnd"/>
      <w:r w:rsidRPr="000C7C76">
        <w:rPr>
          <w:rFonts w:ascii="Times New Roman" w:hAnsi="Times New Roman" w:cs="Times New Roman"/>
          <w:lang w:val="de-DE"/>
        </w:rPr>
        <w:t xml:space="preserve"> </w:t>
      </w:r>
      <w:proofErr w:type="spellStart"/>
      <w:r w:rsidRPr="000C7C76">
        <w:rPr>
          <w:rFonts w:ascii="Times New Roman" w:hAnsi="Times New Roman" w:cs="Times New Roman"/>
          <w:lang w:val="de-DE"/>
        </w:rPr>
        <w:t>daļu</w:t>
      </w:r>
      <w:proofErr w:type="spellEnd"/>
      <w:r w:rsidRPr="000C7C76">
        <w:rPr>
          <w:rFonts w:ascii="Times New Roman" w:hAnsi="Times New Roman" w:cs="Times New Roman"/>
          <w:lang w:val="de-DE"/>
        </w:rPr>
        <w:t xml:space="preserve"> </w:t>
      </w:r>
      <w:proofErr w:type="spellStart"/>
      <w:r w:rsidRPr="000C7C76">
        <w:rPr>
          <w:rFonts w:ascii="Times New Roman" w:hAnsi="Times New Roman" w:cs="Times New Roman"/>
          <w:lang w:val="de-DE"/>
        </w:rPr>
        <w:t>vienīgo</w:t>
      </w:r>
      <w:proofErr w:type="spellEnd"/>
      <w:r w:rsidRPr="000C7C76">
        <w:rPr>
          <w:rFonts w:ascii="Times New Roman" w:hAnsi="Times New Roman" w:cs="Times New Roman"/>
          <w:lang w:val="de-DE"/>
        </w:rPr>
        <w:t xml:space="preserve"> </w:t>
      </w:r>
      <w:proofErr w:type="spellStart"/>
      <w:r w:rsidRPr="000C7C76">
        <w:rPr>
          <w:rFonts w:ascii="Times New Roman" w:hAnsi="Times New Roman" w:cs="Times New Roman"/>
          <w:lang w:val="de-DE"/>
        </w:rPr>
        <w:t>īpašnieci</w:t>
      </w:r>
      <w:proofErr w:type="spellEnd"/>
      <w:r w:rsidRPr="000C7C76">
        <w:rPr>
          <w:rFonts w:ascii="Times New Roman" w:hAnsi="Times New Roman" w:cs="Times New Roman"/>
          <w:lang w:val="de-DE"/>
        </w:rPr>
        <w:t xml:space="preserve"> </w:t>
      </w:r>
      <w:proofErr w:type="spellStart"/>
      <w:r w:rsidRPr="000C7C76">
        <w:rPr>
          <w:rFonts w:ascii="Times New Roman" w:hAnsi="Times New Roman" w:cs="Times New Roman"/>
          <w:lang w:val="de-DE"/>
        </w:rPr>
        <w:t>norādot</w:t>
      </w:r>
      <w:proofErr w:type="spellEnd"/>
      <w:r w:rsidRPr="000C7C76">
        <w:rPr>
          <w:rFonts w:ascii="Times New Roman" w:hAnsi="Times New Roman" w:cs="Times New Roman"/>
          <w:lang w:val="de-DE"/>
        </w:rPr>
        <w:t xml:space="preserve"> </w:t>
      </w:r>
      <w:proofErr w:type="spellStart"/>
      <w:r w:rsidRPr="000C7C76">
        <w:rPr>
          <w:rFonts w:ascii="Times New Roman" w:hAnsi="Times New Roman" w:cs="Times New Roman"/>
          <w:lang w:val="de-DE"/>
        </w:rPr>
        <w:t>personu</w:t>
      </w:r>
      <w:proofErr w:type="spellEnd"/>
      <w:r w:rsidRPr="000C7C76">
        <w:rPr>
          <w:rFonts w:ascii="Times New Roman" w:hAnsi="Times New Roman" w:cs="Times New Roman"/>
          <w:lang w:val="de-DE"/>
        </w:rPr>
        <w:t xml:space="preserve"> X. </w:t>
      </w:r>
      <w:proofErr w:type="spellStart"/>
      <w:r w:rsidRPr="000C7C76">
        <w:rPr>
          <w:rFonts w:ascii="Times New Roman" w:hAnsi="Times New Roman" w:cs="Times New Roman"/>
          <w:lang w:val="de-DE"/>
        </w:rPr>
        <w:t>Vācijas</w:t>
      </w:r>
      <w:proofErr w:type="spellEnd"/>
      <w:r w:rsidRPr="000C7C76">
        <w:rPr>
          <w:rFonts w:ascii="Times New Roman" w:hAnsi="Times New Roman" w:cs="Times New Roman"/>
          <w:lang w:val="de-DE"/>
        </w:rPr>
        <w:t xml:space="preserve"> </w:t>
      </w:r>
      <w:proofErr w:type="spellStart"/>
      <w:r w:rsidRPr="000C7C76">
        <w:rPr>
          <w:rFonts w:ascii="Times New Roman" w:hAnsi="Times New Roman" w:cs="Times New Roman"/>
          <w:lang w:val="de-DE"/>
        </w:rPr>
        <w:t>Reģistru</w:t>
      </w:r>
      <w:proofErr w:type="spellEnd"/>
      <w:r w:rsidRPr="000C7C76">
        <w:rPr>
          <w:rFonts w:ascii="Times New Roman" w:hAnsi="Times New Roman" w:cs="Times New Roman"/>
          <w:lang w:val="de-DE"/>
        </w:rPr>
        <w:t xml:space="preserve"> </w:t>
      </w:r>
      <w:proofErr w:type="spellStart"/>
      <w:r w:rsidRPr="000C7C76">
        <w:rPr>
          <w:rFonts w:ascii="Times New Roman" w:hAnsi="Times New Roman" w:cs="Times New Roman"/>
          <w:lang w:val="de-DE"/>
        </w:rPr>
        <w:t>tiesa</w:t>
      </w:r>
      <w:proofErr w:type="spellEnd"/>
      <w:r w:rsidRPr="000C7C76">
        <w:rPr>
          <w:rFonts w:ascii="Times New Roman" w:hAnsi="Times New Roman" w:cs="Times New Roman"/>
          <w:lang w:val="de-DE"/>
        </w:rPr>
        <w:t xml:space="preserve"> (</w:t>
      </w:r>
      <w:r w:rsidRPr="000C7C76">
        <w:rPr>
          <w:rFonts w:ascii="Times New Roman" w:hAnsi="Times New Roman" w:cs="Times New Roman"/>
          <w:i/>
          <w:lang w:val="de-DE"/>
        </w:rPr>
        <w:t>Registergericht</w:t>
      </w:r>
      <w:r w:rsidRPr="000C7C76">
        <w:rPr>
          <w:rFonts w:ascii="Times New Roman" w:hAnsi="Times New Roman" w:cs="Times New Roman"/>
          <w:lang w:val="de-DE"/>
        </w:rPr>
        <w:t xml:space="preserve">) </w:t>
      </w:r>
      <w:proofErr w:type="spellStart"/>
      <w:r w:rsidRPr="000C7C76">
        <w:rPr>
          <w:rFonts w:ascii="Times New Roman" w:hAnsi="Times New Roman" w:cs="Times New Roman"/>
          <w:lang w:val="de-DE"/>
        </w:rPr>
        <w:t>ar</w:t>
      </w:r>
      <w:proofErr w:type="spellEnd"/>
      <w:r w:rsidRPr="000C7C76">
        <w:rPr>
          <w:rFonts w:ascii="Times New Roman" w:hAnsi="Times New Roman" w:cs="Times New Roman"/>
          <w:lang w:val="de-DE"/>
        </w:rPr>
        <w:t xml:space="preserve"> </w:t>
      </w:r>
      <w:proofErr w:type="spellStart"/>
      <w:r w:rsidRPr="000C7C76">
        <w:rPr>
          <w:rFonts w:ascii="Times New Roman" w:hAnsi="Times New Roman" w:cs="Times New Roman"/>
          <w:lang w:val="de-DE"/>
        </w:rPr>
        <w:t>savu</w:t>
      </w:r>
      <w:proofErr w:type="spellEnd"/>
      <w:r w:rsidRPr="000C7C76">
        <w:rPr>
          <w:rFonts w:ascii="Times New Roman" w:hAnsi="Times New Roman" w:cs="Times New Roman"/>
          <w:lang w:val="de-DE"/>
        </w:rPr>
        <w:t xml:space="preserve"> 2012.gada 6.novembra </w:t>
      </w:r>
      <w:proofErr w:type="spellStart"/>
      <w:r w:rsidRPr="000C7C76">
        <w:rPr>
          <w:rFonts w:ascii="Times New Roman" w:hAnsi="Times New Roman" w:cs="Times New Roman"/>
          <w:lang w:val="de-DE"/>
        </w:rPr>
        <w:t>lēmumu</w:t>
      </w:r>
      <w:proofErr w:type="spellEnd"/>
      <w:r w:rsidRPr="000C7C76">
        <w:rPr>
          <w:rFonts w:ascii="Times New Roman" w:hAnsi="Times New Roman" w:cs="Times New Roman"/>
          <w:lang w:val="de-DE"/>
        </w:rPr>
        <w:t xml:space="preserve"> </w:t>
      </w:r>
      <w:proofErr w:type="spellStart"/>
      <w:r w:rsidRPr="000C7C76">
        <w:rPr>
          <w:rFonts w:ascii="Times New Roman" w:hAnsi="Times New Roman" w:cs="Times New Roman"/>
          <w:lang w:val="de-DE"/>
        </w:rPr>
        <w:t>noraidīja</w:t>
      </w:r>
      <w:proofErr w:type="spellEnd"/>
      <w:r w:rsidRPr="000C7C76">
        <w:rPr>
          <w:rFonts w:ascii="Times New Roman" w:hAnsi="Times New Roman" w:cs="Times New Roman"/>
          <w:lang w:val="de-DE"/>
        </w:rPr>
        <w:t xml:space="preserve"> </w:t>
      </w:r>
      <w:proofErr w:type="spellStart"/>
      <w:r w:rsidRPr="000C7C76">
        <w:rPr>
          <w:rFonts w:ascii="Times New Roman" w:hAnsi="Times New Roman" w:cs="Times New Roman"/>
          <w:lang w:val="de-DE"/>
        </w:rPr>
        <w:t>iespēju</w:t>
      </w:r>
      <w:proofErr w:type="spellEnd"/>
      <w:r w:rsidRPr="000C7C76">
        <w:rPr>
          <w:rFonts w:ascii="Times New Roman" w:hAnsi="Times New Roman" w:cs="Times New Roman"/>
          <w:lang w:val="de-DE"/>
        </w:rPr>
        <w:t xml:space="preserve"> </w:t>
      </w:r>
      <w:proofErr w:type="spellStart"/>
      <w:r w:rsidRPr="000C7C76">
        <w:rPr>
          <w:rFonts w:ascii="Times New Roman" w:hAnsi="Times New Roman" w:cs="Times New Roman"/>
          <w:lang w:val="de-DE"/>
        </w:rPr>
        <w:t>veikt</w:t>
      </w:r>
      <w:proofErr w:type="spellEnd"/>
      <w:r w:rsidRPr="000C7C76">
        <w:rPr>
          <w:rFonts w:ascii="Times New Roman" w:hAnsi="Times New Roman" w:cs="Times New Roman"/>
          <w:lang w:val="de-DE"/>
        </w:rPr>
        <w:t xml:space="preserve"> </w:t>
      </w:r>
      <w:proofErr w:type="spellStart"/>
      <w:r w:rsidRPr="000C7C76">
        <w:rPr>
          <w:rFonts w:ascii="Times New Roman" w:hAnsi="Times New Roman" w:cs="Times New Roman"/>
          <w:lang w:val="de-DE"/>
        </w:rPr>
        <w:t>izmaiņas</w:t>
      </w:r>
      <w:proofErr w:type="spellEnd"/>
      <w:r w:rsidRPr="000C7C76">
        <w:rPr>
          <w:rFonts w:ascii="Times New Roman" w:hAnsi="Times New Roman" w:cs="Times New Roman"/>
          <w:lang w:val="de-DE"/>
        </w:rPr>
        <w:t xml:space="preserve"> </w:t>
      </w:r>
      <w:proofErr w:type="spellStart"/>
      <w:r w:rsidRPr="000C7C76">
        <w:rPr>
          <w:rFonts w:ascii="Times New Roman" w:hAnsi="Times New Roman" w:cs="Times New Roman"/>
          <w:lang w:val="de-DE"/>
        </w:rPr>
        <w:t>Vācijas</w:t>
      </w:r>
      <w:proofErr w:type="spellEnd"/>
      <w:r w:rsidRPr="000C7C76">
        <w:rPr>
          <w:rFonts w:ascii="Times New Roman" w:hAnsi="Times New Roman" w:cs="Times New Roman"/>
          <w:lang w:val="de-DE"/>
        </w:rPr>
        <w:t xml:space="preserve"> </w:t>
      </w:r>
      <w:proofErr w:type="spellStart"/>
      <w:r w:rsidRPr="000C7C76">
        <w:rPr>
          <w:rFonts w:ascii="Times New Roman" w:hAnsi="Times New Roman" w:cs="Times New Roman"/>
          <w:lang w:val="de-DE"/>
        </w:rPr>
        <w:t>Komercreģistrā</w:t>
      </w:r>
      <w:proofErr w:type="spellEnd"/>
      <w:r w:rsidRPr="000C7C76">
        <w:rPr>
          <w:rFonts w:ascii="Times New Roman" w:hAnsi="Times New Roman" w:cs="Times New Roman"/>
          <w:lang w:val="de-DE"/>
        </w:rPr>
        <w:t xml:space="preserve"> (</w:t>
      </w:r>
      <w:r w:rsidRPr="000C7C76">
        <w:rPr>
          <w:rFonts w:ascii="Times New Roman" w:hAnsi="Times New Roman" w:cs="Times New Roman"/>
          <w:i/>
          <w:lang w:val="de-DE"/>
        </w:rPr>
        <w:t>Handelsregister</w:t>
      </w:r>
      <w:r w:rsidRPr="000C7C76">
        <w:rPr>
          <w:rFonts w:ascii="Times New Roman" w:hAnsi="Times New Roman" w:cs="Times New Roman"/>
          <w:lang w:val="de-DE"/>
        </w:rPr>
        <w:t xml:space="preserve">), </w:t>
      </w:r>
      <w:proofErr w:type="spellStart"/>
      <w:r w:rsidRPr="000C7C76">
        <w:rPr>
          <w:rFonts w:ascii="Times New Roman" w:hAnsi="Times New Roman" w:cs="Times New Roman"/>
          <w:lang w:val="de-DE"/>
        </w:rPr>
        <w:t>balstoties</w:t>
      </w:r>
      <w:proofErr w:type="spellEnd"/>
      <w:r w:rsidRPr="000C7C76">
        <w:rPr>
          <w:rFonts w:ascii="Times New Roman" w:hAnsi="Times New Roman" w:cs="Times New Roman"/>
          <w:lang w:val="de-DE"/>
        </w:rPr>
        <w:t xml:space="preserve"> </w:t>
      </w:r>
      <w:proofErr w:type="spellStart"/>
      <w:r w:rsidRPr="000C7C76">
        <w:rPr>
          <w:rFonts w:ascii="Times New Roman" w:hAnsi="Times New Roman" w:cs="Times New Roman"/>
          <w:lang w:val="de-DE"/>
        </w:rPr>
        <w:t>uz</w:t>
      </w:r>
      <w:proofErr w:type="spellEnd"/>
      <w:r w:rsidRPr="000C7C76">
        <w:rPr>
          <w:rFonts w:ascii="Times New Roman" w:hAnsi="Times New Roman" w:cs="Times New Roman"/>
          <w:lang w:val="de-DE"/>
        </w:rPr>
        <w:t xml:space="preserve"> </w:t>
      </w:r>
      <w:proofErr w:type="spellStart"/>
      <w:r w:rsidRPr="000C7C76">
        <w:rPr>
          <w:rFonts w:ascii="Times New Roman" w:hAnsi="Times New Roman" w:cs="Times New Roman"/>
          <w:lang w:val="de-DE"/>
        </w:rPr>
        <w:t>šo</w:t>
      </w:r>
      <w:proofErr w:type="spellEnd"/>
      <w:r w:rsidRPr="000C7C76">
        <w:rPr>
          <w:rFonts w:ascii="Times New Roman" w:hAnsi="Times New Roman" w:cs="Times New Roman"/>
          <w:lang w:val="de-DE"/>
        </w:rPr>
        <w:t xml:space="preserve"> </w:t>
      </w:r>
      <w:proofErr w:type="spellStart"/>
      <w:r w:rsidRPr="000C7C76">
        <w:rPr>
          <w:rFonts w:ascii="Times New Roman" w:hAnsi="Times New Roman" w:cs="Times New Roman"/>
          <w:lang w:val="de-DE"/>
        </w:rPr>
        <w:t>Šveices</w:t>
      </w:r>
      <w:proofErr w:type="spellEnd"/>
      <w:r w:rsidRPr="000C7C76">
        <w:rPr>
          <w:rFonts w:ascii="Times New Roman" w:hAnsi="Times New Roman" w:cs="Times New Roman"/>
          <w:lang w:val="de-DE"/>
        </w:rPr>
        <w:t xml:space="preserve"> </w:t>
      </w:r>
      <w:proofErr w:type="spellStart"/>
      <w:r w:rsidRPr="000C7C76">
        <w:rPr>
          <w:rFonts w:ascii="Times New Roman" w:hAnsi="Times New Roman" w:cs="Times New Roman"/>
          <w:lang w:val="de-DE"/>
        </w:rPr>
        <w:t>notāra</w:t>
      </w:r>
      <w:proofErr w:type="spellEnd"/>
      <w:r w:rsidRPr="000C7C76">
        <w:rPr>
          <w:rFonts w:ascii="Times New Roman" w:hAnsi="Times New Roman" w:cs="Times New Roman"/>
          <w:lang w:val="de-DE"/>
        </w:rPr>
        <w:t xml:space="preserve"> </w:t>
      </w:r>
      <w:proofErr w:type="spellStart"/>
      <w:r w:rsidRPr="000C7C76">
        <w:rPr>
          <w:rFonts w:ascii="Times New Roman" w:hAnsi="Times New Roman" w:cs="Times New Roman"/>
          <w:lang w:val="de-DE"/>
        </w:rPr>
        <w:t>sastādīto</w:t>
      </w:r>
      <w:proofErr w:type="spellEnd"/>
      <w:r w:rsidRPr="000C7C76">
        <w:rPr>
          <w:rFonts w:ascii="Times New Roman" w:hAnsi="Times New Roman" w:cs="Times New Roman"/>
          <w:lang w:val="de-DE"/>
        </w:rPr>
        <w:t xml:space="preserve"> </w:t>
      </w:r>
      <w:proofErr w:type="spellStart"/>
      <w:r w:rsidRPr="000C7C76">
        <w:rPr>
          <w:rFonts w:ascii="Times New Roman" w:hAnsi="Times New Roman" w:cs="Times New Roman"/>
          <w:lang w:val="de-DE"/>
        </w:rPr>
        <w:t>dokumentu</w:t>
      </w:r>
      <w:proofErr w:type="spellEnd"/>
      <w:r w:rsidRPr="000C7C76">
        <w:rPr>
          <w:rFonts w:ascii="Times New Roman" w:hAnsi="Times New Roman" w:cs="Times New Roman"/>
          <w:lang w:val="de-DE"/>
        </w:rPr>
        <w:t xml:space="preserve">, </w:t>
      </w:r>
      <w:proofErr w:type="spellStart"/>
      <w:r w:rsidRPr="000C7C76">
        <w:rPr>
          <w:rFonts w:ascii="Times New Roman" w:hAnsi="Times New Roman" w:cs="Times New Roman"/>
          <w:lang w:val="de-DE"/>
        </w:rPr>
        <w:t>proti</w:t>
      </w:r>
      <w:proofErr w:type="spellEnd"/>
      <w:r w:rsidRPr="000C7C76">
        <w:rPr>
          <w:rFonts w:ascii="Times New Roman" w:hAnsi="Times New Roman" w:cs="Times New Roman"/>
          <w:lang w:val="de-DE"/>
        </w:rPr>
        <w:t xml:space="preserve">, </w:t>
      </w:r>
      <w:proofErr w:type="spellStart"/>
      <w:r w:rsidRPr="000C7C76">
        <w:rPr>
          <w:rFonts w:ascii="Times New Roman" w:hAnsi="Times New Roman" w:cs="Times New Roman"/>
          <w:lang w:val="de-DE"/>
        </w:rPr>
        <w:t>Šveices</w:t>
      </w:r>
      <w:proofErr w:type="spellEnd"/>
      <w:r w:rsidRPr="000C7C76">
        <w:rPr>
          <w:rFonts w:ascii="Times New Roman" w:hAnsi="Times New Roman" w:cs="Times New Roman"/>
          <w:lang w:val="de-DE"/>
        </w:rPr>
        <w:t xml:space="preserve"> </w:t>
      </w:r>
      <w:proofErr w:type="spellStart"/>
      <w:r w:rsidRPr="000C7C76">
        <w:rPr>
          <w:rFonts w:ascii="Times New Roman" w:hAnsi="Times New Roman" w:cs="Times New Roman"/>
          <w:lang w:val="de-DE"/>
        </w:rPr>
        <w:t>notāra</w:t>
      </w:r>
      <w:proofErr w:type="spellEnd"/>
      <w:r w:rsidRPr="000C7C76">
        <w:rPr>
          <w:rFonts w:ascii="Times New Roman" w:hAnsi="Times New Roman" w:cs="Times New Roman"/>
          <w:lang w:val="de-DE"/>
        </w:rPr>
        <w:t xml:space="preserve"> </w:t>
      </w:r>
      <w:proofErr w:type="spellStart"/>
      <w:r w:rsidRPr="000C7C76">
        <w:rPr>
          <w:rFonts w:ascii="Times New Roman" w:hAnsi="Times New Roman" w:cs="Times New Roman"/>
          <w:lang w:val="de-DE"/>
        </w:rPr>
        <w:t>paraksts</w:t>
      </w:r>
      <w:proofErr w:type="spellEnd"/>
      <w:r w:rsidRPr="000C7C76">
        <w:rPr>
          <w:rFonts w:ascii="Times New Roman" w:hAnsi="Times New Roman" w:cs="Times New Roman"/>
          <w:lang w:val="de-DE"/>
        </w:rPr>
        <w:t xml:space="preserve"> </w:t>
      </w:r>
      <w:proofErr w:type="spellStart"/>
      <w:r w:rsidRPr="000C7C76">
        <w:rPr>
          <w:rFonts w:ascii="Times New Roman" w:hAnsi="Times New Roman" w:cs="Times New Roman"/>
          <w:lang w:val="de-DE"/>
        </w:rPr>
        <w:t>uz</w:t>
      </w:r>
      <w:proofErr w:type="spellEnd"/>
      <w:r w:rsidRPr="000C7C76">
        <w:rPr>
          <w:rFonts w:ascii="Times New Roman" w:hAnsi="Times New Roman" w:cs="Times New Roman"/>
          <w:lang w:val="de-DE"/>
        </w:rPr>
        <w:t xml:space="preserve"> </w:t>
      </w:r>
      <w:proofErr w:type="spellStart"/>
      <w:r w:rsidRPr="000C7C76">
        <w:rPr>
          <w:rFonts w:ascii="Times New Roman" w:hAnsi="Times New Roman" w:cs="Times New Roman"/>
          <w:lang w:val="de-DE"/>
        </w:rPr>
        <w:t>dokumenta</w:t>
      </w:r>
      <w:proofErr w:type="spellEnd"/>
      <w:r w:rsidRPr="000C7C76">
        <w:rPr>
          <w:rFonts w:ascii="Times New Roman" w:hAnsi="Times New Roman" w:cs="Times New Roman"/>
          <w:lang w:val="de-DE"/>
        </w:rPr>
        <w:t xml:space="preserve"> </w:t>
      </w:r>
      <w:proofErr w:type="spellStart"/>
      <w:r w:rsidRPr="000C7C76">
        <w:rPr>
          <w:rFonts w:ascii="Times New Roman" w:hAnsi="Times New Roman" w:cs="Times New Roman"/>
          <w:lang w:val="de-DE"/>
        </w:rPr>
        <w:t>neesot</w:t>
      </w:r>
      <w:proofErr w:type="spellEnd"/>
      <w:r w:rsidRPr="000C7C76">
        <w:rPr>
          <w:rFonts w:ascii="Times New Roman" w:hAnsi="Times New Roman" w:cs="Times New Roman"/>
          <w:lang w:val="de-DE"/>
        </w:rPr>
        <w:t xml:space="preserve"> </w:t>
      </w:r>
      <w:proofErr w:type="spellStart"/>
      <w:r w:rsidRPr="000C7C76">
        <w:rPr>
          <w:rFonts w:ascii="Times New Roman" w:hAnsi="Times New Roman" w:cs="Times New Roman"/>
          <w:lang w:val="de-DE"/>
        </w:rPr>
        <w:t>pietiekams</w:t>
      </w:r>
      <w:proofErr w:type="spellEnd"/>
      <w:r w:rsidRPr="000C7C76">
        <w:rPr>
          <w:rFonts w:ascii="Times New Roman" w:hAnsi="Times New Roman" w:cs="Times New Roman"/>
          <w:lang w:val="de-DE"/>
        </w:rPr>
        <w:t xml:space="preserve"> – </w:t>
      </w:r>
      <w:proofErr w:type="spellStart"/>
      <w:r w:rsidRPr="000C7C76">
        <w:rPr>
          <w:rFonts w:ascii="Times New Roman" w:hAnsi="Times New Roman" w:cs="Times New Roman"/>
          <w:lang w:val="de-DE"/>
        </w:rPr>
        <w:t>dokuments</w:t>
      </w:r>
      <w:proofErr w:type="spellEnd"/>
      <w:r w:rsidRPr="000C7C76">
        <w:rPr>
          <w:rFonts w:ascii="Times New Roman" w:hAnsi="Times New Roman" w:cs="Times New Roman"/>
          <w:lang w:val="de-DE"/>
        </w:rPr>
        <w:t xml:space="preserve"> </w:t>
      </w:r>
      <w:proofErr w:type="spellStart"/>
      <w:r w:rsidRPr="000C7C76">
        <w:rPr>
          <w:rFonts w:ascii="Times New Roman" w:hAnsi="Times New Roman" w:cs="Times New Roman"/>
          <w:lang w:val="de-DE"/>
        </w:rPr>
        <w:t>esot</w:t>
      </w:r>
      <w:proofErr w:type="spellEnd"/>
      <w:r w:rsidRPr="000C7C76">
        <w:rPr>
          <w:rFonts w:ascii="Times New Roman" w:hAnsi="Times New Roman" w:cs="Times New Roman"/>
          <w:lang w:val="de-DE"/>
        </w:rPr>
        <w:t xml:space="preserve"> </w:t>
      </w:r>
      <w:proofErr w:type="spellStart"/>
      <w:r w:rsidRPr="000C7C76">
        <w:rPr>
          <w:rFonts w:ascii="Times New Roman" w:hAnsi="Times New Roman" w:cs="Times New Roman"/>
          <w:lang w:val="de-DE"/>
        </w:rPr>
        <w:t>bijis</w:t>
      </w:r>
      <w:proofErr w:type="spellEnd"/>
      <w:r w:rsidRPr="000C7C76">
        <w:rPr>
          <w:rFonts w:ascii="Times New Roman" w:hAnsi="Times New Roman" w:cs="Times New Roman"/>
          <w:lang w:val="de-DE"/>
        </w:rPr>
        <w:t xml:space="preserve"> </w:t>
      </w:r>
      <w:proofErr w:type="spellStart"/>
      <w:r w:rsidRPr="000C7C76">
        <w:rPr>
          <w:rFonts w:ascii="Times New Roman" w:hAnsi="Times New Roman" w:cs="Times New Roman"/>
          <w:lang w:val="de-DE"/>
        </w:rPr>
        <w:t>jāparaksta</w:t>
      </w:r>
      <w:proofErr w:type="spellEnd"/>
      <w:r w:rsidRPr="000C7C76">
        <w:rPr>
          <w:rFonts w:ascii="Times New Roman" w:hAnsi="Times New Roman" w:cs="Times New Roman"/>
          <w:lang w:val="de-DE"/>
        </w:rPr>
        <w:t xml:space="preserve"> </w:t>
      </w:r>
      <w:proofErr w:type="spellStart"/>
      <w:r w:rsidRPr="000C7C76">
        <w:rPr>
          <w:rFonts w:ascii="Times New Roman" w:hAnsi="Times New Roman" w:cs="Times New Roman"/>
          <w:lang w:val="de-DE"/>
        </w:rPr>
        <w:t>arī</w:t>
      </w:r>
      <w:proofErr w:type="spellEnd"/>
      <w:r w:rsidRPr="000C7C76">
        <w:rPr>
          <w:rFonts w:ascii="Times New Roman" w:hAnsi="Times New Roman" w:cs="Times New Roman"/>
          <w:lang w:val="de-DE"/>
        </w:rPr>
        <w:t xml:space="preserve"> </w:t>
      </w:r>
      <w:proofErr w:type="spellStart"/>
      <w:r w:rsidRPr="000C7C76">
        <w:rPr>
          <w:rFonts w:ascii="Times New Roman" w:hAnsi="Times New Roman" w:cs="Times New Roman"/>
          <w:lang w:val="de-DE"/>
        </w:rPr>
        <w:t>uzņēmuma</w:t>
      </w:r>
      <w:proofErr w:type="spellEnd"/>
      <w:r w:rsidRPr="000C7C76">
        <w:rPr>
          <w:rFonts w:ascii="Times New Roman" w:hAnsi="Times New Roman" w:cs="Times New Roman"/>
          <w:lang w:val="de-DE"/>
        </w:rPr>
        <w:t xml:space="preserve"> </w:t>
      </w:r>
      <w:proofErr w:type="spellStart"/>
      <w:r w:rsidRPr="000C7C76">
        <w:rPr>
          <w:rFonts w:ascii="Times New Roman" w:hAnsi="Times New Roman" w:cs="Times New Roman"/>
          <w:lang w:val="de-DE"/>
        </w:rPr>
        <w:t>vadītājam</w:t>
      </w:r>
      <w:proofErr w:type="spellEnd"/>
      <w:r w:rsidRPr="000C7C76">
        <w:rPr>
          <w:rFonts w:ascii="Times New Roman" w:hAnsi="Times New Roman" w:cs="Times New Roman"/>
          <w:lang w:val="de-DE"/>
        </w:rPr>
        <w:t xml:space="preserve">. </w:t>
      </w:r>
      <w:proofErr w:type="spellStart"/>
      <w:r w:rsidRPr="000C7C76">
        <w:rPr>
          <w:rFonts w:ascii="Times New Roman" w:hAnsi="Times New Roman" w:cs="Times New Roman"/>
          <w:lang w:val="de-DE"/>
        </w:rPr>
        <w:t>Minhenes</w:t>
      </w:r>
      <w:proofErr w:type="spellEnd"/>
      <w:r w:rsidRPr="000C7C76">
        <w:rPr>
          <w:rFonts w:ascii="Times New Roman" w:hAnsi="Times New Roman" w:cs="Times New Roman"/>
          <w:lang w:val="de-DE"/>
        </w:rPr>
        <w:t xml:space="preserve"> </w:t>
      </w:r>
      <w:proofErr w:type="spellStart"/>
      <w:r w:rsidRPr="000C7C76">
        <w:rPr>
          <w:rFonts w:ascii="Times New Roman" w:hAnsi="Times New Roman" w:cs="Times New Roman"/>
          <w:lang w:val="de-DE"/>
        </w:rPr>
        <w:t>Augstākā</w:t>
      </w:r>
      <w:proofErr w:type="spellEnd"/>
      <w:r w:rsidRPr="000C7C76">
        <w:rPr>
          <w:rFonts w:ascii="Times New Roman" w:hAnsi="Times New Roman" w:cs="Times New Roman"/>
          <w:lang w:val="de-DE"/>
        </w:rPr>
        <w:t xml:space="preserve"> </w:t>
      </w:r>
      <w:proofErr w:type="spellStart"/>
      <w:r w:rsidRPr="000C7C76">
        <w:rPr>
          <w:rFonts w:ascii="Times New Roman" w:hAnsi="Times New Roman" w:cs="Times New Roman"/>
          <w:lang w:val="de-DE"/>
        </w:rPr>
        <w:t>Zemes</w:t>
      </w:r>
      <w:proofErr w:type="spellEnd"/>
      <w:r w:rsidRPr="000C7C76">
        <w:rPr>
          <w:rFonts w:ascii="Times New Roman" w:hAnsi="Times New Roman" w:cs="Times New Roman"/>
          <w:lang w:val="de-DE"/>
        </w:rPr>
        <w:t xml:space="preserve"> </w:t>
      </w:r>
      <w:proofErr w:type="spellStart"/>
      <w:r w:rsidRPr="000C7C76">
        <w:rPr>
          <w:rFonts w:ascii="Times New Roman" w:hAnsi="Times New Roman" w:cs="Times New Roman"/>
          <w:lang w:val="de-DE"/>
        </w:rPr>
        <w:t>tiesa</w:t>
      </w:r>
      <w:proofErr w:type="spellEnd"/>
      <w:r w:rsidRPr="000C7C76">
        <w:rPr>
          <w:rFonts w:ascii="Times New Roman" w:hAnsi="Times New Roman" w:cs="Times New Roman"/>
          <w:lang w:val="de-DE"/>
        </w:rPr>
        <w:t xml:space="preserve"> (</w:t>
      </w:r>
      <w:r w:rsidRPr="000C7C76">
        <w:rPr>
          <w:rFonts w:ascii="Times New Roman" w:hAnsi="Times New Roman" w:cs="Times New Roman"/>
          <w:i/>
          <w:lang w:val="de-DE"/>
        </w:rPr>
        <w:t>Oberlandgericht</w:t>
      </w:r>
      <w:r w:rsidRPr="000C7C76">
        <w:rPr>
          <w:rFonts w:ascii="Times New Roman" w:hAnsi="Times New Roman" w:cs="Times New Roman"/>
          <w:lang w:val="de-DE"/>
        </w:rPr>
        <w:t xml:space="preserve">) </w:t>
      </w:r>
      <w:proofErr w:type="spellStart"/>
      <w:r w:rsidRPr="000C7C76">
        <w:rPr>
          <w:rFonts w:ascii="Times New Roman" w:hAnsi="Times New Roman" w:cs="Times New Roman"/>
          <w:lang w:val="de-DE"/>
        </w:rPr>
        <w:t>noraidīja</w:t>
      </w:r>
      <w:proofErr w:type="spellEnd"/>
      <w:r w:rsidRPr="000C7C76">
        <w:rPr>
          <w:rFonts w:ascii="Times New Roman" w:hAnsi="Times New Roman" w:cs="Times New Roman"/>
          <w:lang w:val="de-DE"/>
        </w:rPr>
        <w:t xml:space="preserve"> personas X </w:t>
      </w:r>
      <w:proofErr w:type="spellStart"/>
      <w:r w:rsidRPr="000C7C76">
        <w:rPr>
          <w:rFonts w:ascii="Times New Roman" w:hAnsi="Times New Roman" w:cs="Times New Roman"/>
          <w:lang w:val="de-DE"/>
        </w:rPr>
        <w:t>sūdzību</w:t>
      </w:r>
      <w:proofErr w:type="spellEnd"/>
      <w:r w:rsidRPr="000C7C76">
        <w:rPr>
          <w:rFonts w:ascii="Times New Roman" w:hAnsi="Times New Roman" w:cs="Times New Roman"/>
          <w:lang w:val="de-DE"/>
        </w:rPr>
        <w:t xml:space="preserve">. Persona X par </w:t>
      </w:r>
      <w:proofErr w:type="spellStart"/>
      <w:r w:rsidRPr="000C7C76">
        <w:rPr>
          <w:rFonts w:ascii="Times New Roman" w:hAnsi="Times New Roman" w:cs="Times New Roman"/>
          <w:lang w:val="de-DE"/>
        </w:rPr>
        <w:t>šo</w:t>
      </w:r>
      <w:proofErr w:type="spellEnd"/>
      <w:r w:rsidRPr="000C7C76">
        <w:rPr>
          <w:rFonts w:ascii="Times New Roman" w:hAnsi="Times New Roman" w:cs="Times New Roman"/>
          <w:lang w:val="de-DE"/>
        </w:rPr>
        <w:t xml:space="preserve"> </w:t>
      </w:r>
      <w:proofErr w:type="spellStart"/>
      <w:r w:rsidRPr="000C7C76">
        <w:rPr>
          <w:rFonts w:ascii="Times New Roman" w:hAnsi="Times New Roman" w:cs="Times New Roman"/>
          <w:lang w:val="de-DE"/>
        </w:rPr>
        <w:t>Minhenes</w:t>
      </w:r>
      <w:proofErr w:type="spellEnd"/>
      <w:r w:rsidRPr="000C7C76">
        <w:rPr>
          <w:rFonts w:ascii="Times New Roman" w:hAnsi="Times New Roman" w:cs="Times New Roman"/>
          <w:lang w:val="de-DE"/>
        </w:rPr>
        <w:t xml:space="preserve"> </w:t>
      </w:r>
      <w:proofErr w:type="spellStart"/>
      <w:r w:rsidRPr="000C7C76">
        <w:rPr>
          <w:rFonts w:ascii="Times New Roman" w:hAnsi="Times New Roman" w:cs="Times New Roman"/>
          <w:lang w:val="de-DE"/>
        </w:rPr>
        <w:t>tiesas</w:t>
      </w:r>
      <w:proofErr w:type="spellEnd"/>
      <w:r w:rsidRPr="000C7C76">
        <w:rPr>
          <w:rFonts w:ascii="Times New Roman" w:hAnsi="Times New Roman" w:cs="Times New Roman"/>
          <w:lang w:val="de-DE"/>
        </w:rPr>
        <w:t xml:space="preserve"> </w:t>
      </w:r>
      <w:proofErr w:type="spellStart"/>
      <w:r w:rsidRPr="000C7C76">
        <w:rPr>
          <w:rFonts w:ascii="Times New Roman" w:hAnsi="Times New Roman" w:cs="Times New Roman"/>
          <w:lang w:val="de-DE"/>
        </w:rPr>
        <w:t>spriedumu</w:t>
      </w:r>
      <w:proofErr w:type="spellEnd"/>
      <w:r w:rsidRPr="000C7C76">
        <w:rPr>
          <w:rFonts w:ascii="Times New Roman" w:hAnsi="Times New Roman" w:cs="Times New Roman"/>
          <w:lang w:val="de-DE"/>
        </w:rPr>
        <w:t xml:space="preserve"> </w:t>
      </w:r>
      <w:proofErr w:type="spellStart"/>
      <w:r w:rsidRPr="000C7C76">
        <w:rPr>
          <w:rFonts w:ascii="Times New Roman" w:hAnsi="Times New Roman" w:cs="Times New Roman"/>
          <w:lang w:val="de-DE"/>
        </w:rPr>
        <w:t>iesniedza</w:t>
      </w:r>
      <w:proofErr w:type="spellEnd"/>
      <w:r w:rsidRPr="000C7C76">
        <w:rPr>
          <w:rFonts w:ascii="Times New Roman" w:hAnsi="Times New Roman" w:cs="Times New Roman"/>
          <w:lang w:val="de-DE"/>
        </w:rPr>
        <w:t xml:space="preserve"> </w:t>
      </w:r>
      <w:proofErr w:type="spellStart"/>
      <w:r w:rsidRPr="000C7C76">
        <w:rPr>
          <w:rFonts w:ascii="Times New Roman" w:hAnsi="Times New Roman" w:cs="Times New Roman"/>
          <w:lang w:val="de-DE"/>
        </w:rPr>
        <w:t>sūdzību</w:t>
      </w:r>
      <w:proofErr w:type="spellEnd"/>
      <w:r w:rsidRPr="000C7C76">
        <w:rPr>
          <w:rFonts w:ascii="Times New Roman" w:hAnsi="Times New Roman" w:cs="Times New Roman"/>
          <w:lang w:val="de-DE"/>
        </w:rPr>
        <w:t xml:space="preserve"> </w:t>
      </w:r>
      <w:proofErr w:type="spellStart"/>
      <w:r w:rsidRPr="000C7C76">
        <w:rPr>
          <w:rFonts w:ascii="Times New Roman" w:hAnsi="Times New Roman" w:cs="Times New Roman"/>
          <w:lang w:val="de-DE"/>
        </w:rPr>
        <w:t>Vācijas</w:t>
      </w:r>
      <w:proofErr w:type="spellEnd"/>
      <w:r w:rsidRPr="000C7C76">
        <w:rPr>
          <w:rFonts w:ascii="Times New Roman" w:hAnsi="Times New Roman" w:cs="Times New Roman"/>
          <w:lang w:val="de-DE"/>
        </w:rPr>
        <w:t xml:space="preserve"> </w:t>
      </w:r>
      <w:proofErr w:type="spellStart"/>
      <w:r w:rsidRPr="000C7C76">
        <w:rPr>
          <w:rFonts w:ascii="Times New Roman" w:hAnsi="Times New Roman" w:cs="Times New Roman"/>
          <w:lang w:val="de-DE"/>
        </w:rPr>
        <w:t>Federālajā</w:t>
      </w:r>
      <w:proofErr w:type="spellEnd"/>
      <w:r w:rsidRPr="000C7C76">
        <w:rPr>
          <w:rFonts w:ascii="Times New Roman" w:hAnsi="Times New Roman" w:cs="Times New Roman"/>
          <w:lang w:val="de-DE"/>
        </w:rPr>
        <w:t xml:space="preserve"> </w:t>
      </w:r>
      <w:proofErr w:type="spellStart"/>
      <w:r w:rsidRPr="000C7C76">
        <w:rPr>
          <w:rFonts w:ascii="Times New Roman" w:hAnsi="Times New Roman" w:cs="Times New Roman"/>
          <w:lang w:val="de-DE"/>
        </w:rPr>
        <w:t>Augstākajā</w:t>
      </w:r>
      <w:proofErr w:type="spellEnd"/>
      <w:r w:rsidRPr="000C7C76">
        <w:rPr>
          <w:rFonts w:ascii="Times New Roman" w:hAnsi="Times New Roman" w:cs="Times New Roman"/>
          <w:lang w:val="de-DE"/>
        </w:rPr>
        <w:t xml:space="preserve"> </w:t>
      </w:r>
      <w:proofErr w:type="spellStart"/>
      <w:r w:rsidRPr="000C7C76">
        <w:rPr>
          <w:rFonts w:ascii="Times New Roman" w:hAnsi="Times New Roman" w:cs="Times New Roman"/>
          <w:lang w:val="de-DE"/>
        </w:rPr>
        <w:t>tiesā</w:t>
      </w:r>
      <w:proofErr w:type="spellEnd"/>
      <w:r w:rsidRPr="000C7C76">
        <w:rPr>
          <w:rFonts w:ascii="Times New Roman" w:hAnsi="Times New Roman" w:cs="Times New Roman"/>
          <w:lang w:val="de-DE"/>
        </w:rPr>
        <w:t xml:space="preserve"> (</w:t>
      </w:r>
      <w:r w:rsidRPr="000C7C76">
        <w:rPr>
          <w:rFonts w:ascii="Times New Roman" w:hAnsi="Times New Roman" w:cs="Times New Roman"/>
          <w:i/>
          <w:lang w:val="de-DE"/>
        </w:rPr>
        <w:t>Bundesgerichtshof</w:t>
      </w:r>
      <w:r w:rsidRPr="000C7C76">
        <w:rPr>
          <w:rFonts w:ascii="Times New Roman" w:hAnsi="Times New Roman" w:cs="Times New Roman"/>
          <w:lang w:val="de-DE"/>
        </w:rPr>
        <w:t xml:space="preserve">), </w:t>
      </w:r>
      <w:proofErr w:type="spellStart"/>
      <w:r w:rsidRPr="000C7C76">
        <w:rPr>
          <w:rFonts w:ascii="Times New Roman" w:hAnsi="Times New Roman" w:cs="Times New Roman"/>
          <w:lang w:val="de-DE"/>
        </w:rPr>
        <w:t>kura</w:t>
      </w:r>
      <w:proofErr w:type="spellEnd"/>
      <w:r w:rsidRPr="000C7C76">
        <w:rPr>
          <w:rFonts w:ascii="Times New Roman" w:hAnsi="Times New Roman" w:cs="Times New Roman"/>
          <w:lang w:val="de-DE"/>
        </w:rPr>
        <w:t xml:space="preserve"> </w:t>
      </w:r>
      <w:proofErr w:type="spellStart"/>
      <w:r w:rsidRPr="000C7C76">
        <w:rPr>
          <w:rFonts w:ascii="Times New Roman" w:hAnsi="Times New Roman" w:cs="Times New Roman"/>
          <w:lang w:val="de-DE"/>
        </w:rPr>
        <w:t>ar</w:t>
      </w:r>
      <w:proofErr w:type="spellEnd"/>
      <w:r w:rsidRPr="000C7C76">
        <w:rPr>
          <w:rFonts w:ascii="Times New Roman" w:hAnsi="Times New Roman" w:cs="Times New Roman"/>
          <w:lang w:val="de-DE"/>
        </w:rPr>
        <w:t xml:space="preserve"> </w:t>
      </w:r>
      <w:proofErr w:type="spellStart"/>
      <w:r w:rsidRPr="000C7C76">
        <w:rPr>
          <w:rFonts w:ascii="Times New Roman" w:hAnsi="Times New Roman" w:cs="Times New Roman"/>
          <w:lang w:val="de-DE"/>
        </w:rPr>
        <w:t>savu</w:t>
      </w:r>
      <w:proofErr w:type="spellEnd"/>
      <w:r w:rsidRPr="000C7C76">
        <w:rPr>
          <w:rFonts w:ascii="Times New Roman" w:hAnsi="Times New Roman" w:cs="Times New Roman"/>
          <w:lang w:val="de-DE"/>
        </w:rPr>
        <w:t xml:space="preserve"> 2013.gada 17.decembra </w:t>
      </w:r>
      <w:proofErr w:type="spellStart"/>
      <w:r w:rsidRPr="000C7C76">
        <w:rPr>
          <w:rFonts w:ascii="Times New Roman" w:hAnsi="Times New Roman" w:cs="Times New Roman"/>
          <w:lang w:val="de-DE"/>
        </w:rPr>
        <w:t>lēmumu</w:t>
      </w:r>
      <w:proofErr w:type="spellEnd"/>
      <w:r w:rsidRPr="000C7C76">
        <w:rPr>
          <w:rFonts w:ascii="Times New Roman" w:hAnsi="Times New Roman" w:cs="Times New Roman"/>
          <w:lang w:val="de-DE"/>
        </w:rPr>
        <w:t xml:space="preserve"> </w:t>
      </w:r>
      <w:proofErr w:type="spellStart"/>
      <w:r w:rsidRPr="000C7C76">
        <w:rPr>
          <w:rFonts w:ascii="Times New Roman" w:hAnsi="Times New Roman" w:cs="Times New Roman"/>
          <w:lang w:val="de-DE"/>
        </w:rPr>
        <w:t>apmierināja</w:t>
      </w:r>
      <w:proofErr w:type="spellEnd"/>
      <w:r w:rsidRPr="000C7C76">
        <w:rPr>
          <w:rFonts w:ascii="Times New Roman" w:hAnsi="Times New Roman" w:cs="Times New Roman"/>
          <w:lang w:val="de-DE"/>
        </w:rPr>
        <w:t xml:space="preserve"> personas X </w:t>
      </w:r>
      <w:proofErr w:type="spellStart"/>
      <w:r w:rsidRPr="000C7C76">
        <w:rPr>
          <w:rFonts w:ascii="Times New Roman" w:hAnsi="Times New Roman" w:cs="Times New Roman"/>
          <w:lang w:val="de-DE"/>
        </w:rPr>
        <w:t>sūdzību</w:t>
      </w:r>
      <w:proofErr w:type="spellEnd"/>
      <w:r w:rsidRPr="000C7C76">
        <w:rPr>
          <w:rFonts w:ascii="Times New Roman" w:hAnsi="Times New Roman" w:cs="Times New Roman"/>
          <w:lang w:val="de-DE"/>
        </w:rPr>
        <w:t xml:space="preserve">. </w:t>
      </w:r>
      <w:proofErr w:type="spellStart"/>
      <w:r w:rsidRPr="000C7C76">
        <w:rPr>
          <w:rFonts w:ascii="Times New Roman" w:hAnsi="Times New Roman" w:cs="Times New Roman"/>
          <w:lang w:val="de-DE"/>
        </w:rPr>
        <w:t>Reģistru</w:t>
      </w:r>
      <w:proofErr w:type="spellEnd"/>
      <w:r w:rsidRPr="000C7C76">
        <w:rPr>
          <w:rFonts w:ascii="Times New Roman" w:hAnsi="Times New Roman" w:cs="Times New Roman"/>
          <w:lang w:val="de-DE"/>
        </w:rPr>
        <w:t xml:space="preserve"> </w:t>
      </w:r>
      <w:proofErr w:type="spellStart"/>
      <w:r w:rsidRPr="000C7C76">
        <w:rPr>
          <w:rFonts w:ascii="Times New Roman" w:hAnsi="Times New Roman" w:cs="Times New Roman"/>
          <w:lang w:val="de-DE"/>
        </w:rPr>
        <w:t>tiesa</w:t>
      </w:r>
      <w:proofErr w:type="spellEnd"/>
      <w:r w:rsidRPr="000C7C76">
        <w:rPr>
          <w:rFonts w:ascii="Times New Roman" w:hAnsi="Times New Roman" w:cs="Times New Roman"/>
          <w:lang w:val="de-DE"/>
        </w:rPr>
        <w:t xml:space="preserve"> </w:t>
      </w:r>
      <w:proofErr w:type="spellStart"/>
      <w:r w:rsidRPr="000C7C76">
        <w:rPr>
          <w:rFonts w:ascii="Times New Roman" w:hAnsi="Times New Roman" w:cs="Times New Roman"/>
          <w:lang w:val="de-DE"/>
        </w:rPr>
        <w:t>neesot</w:t>
      </w:r>
      <w:proofErr w:type="spellEnd"/>
      <w:r w:rsidRPr="000C7C76">
        <w:rPr>
          <w:rFonts w:ascii="Times New Roman" w:hAnsi="Times New Roman" w:cs="Times New Roman"/>
          <w:lang w:val="de-DE"/>
        </w:rPr>
        <w:t xml:space="preserve"> </w:t>
      </w:r>
      <w:proofErr w:type="spellStart"/>
      <w:r w:rsidRPr="000C7C76">
        <w:rPr>
          <w:rFonts w:ascii="Times New Roman" w:hAnsi="Times New Roman" w:cs="Times New Roman"/>
          <w:lang w:val="de-DE"/>
        </w:rPr>
        <w:t>bijusi</w:t>
      </w:r>
      <w:proofErr w:type="spellEnd"/>
      <w:r w:rsidRPr="000C7C76">
        <w:rPr>
          <w:rFonts w:ascii="Times New Roman" w:hAnsi="Times New Roman" w:cs="Times New Roman"/>
          <w:lang w:val="de-DE"/>
        </w:rPr>
        <w:t xml:space="preserve"> </w:t>
      </w:r>
      <w:proofErr w:type="spellStart"/>
      <w:r w:rsidRPr="000C7C76">
        <w:rPr>
          <w:rFonts w:ascii="Times New Roman" w:hAnsi="Times New Roman" w:cs="Times New Roman"/>
          <w:lang w:val="de-DE"/>
        </w:rPr>
        <w:t>tiesīga</w:t>
      </w:r>
      <w:proofErr w:type="spellEnd"/>
      <w:r w:rsidRPr="000C7C76">
        <w:rPr>
          <w:rFonts w:ascii="Times New Roman" w:hAnsi="Times New Roman" w:cs="Times New Roman"/>
          <w:lang w:val="de-DE"/>
        </w:rPr>
        <w:t xml:space="preserve"> </w:t>
      </w:r>
      <w:proofErr w:type="spellStart"/>
      <w:r w:rsidRPr="000C7C76">
        <w:rPr>
          <w:rFonts w:ascii="Times New Roman" w:hAnsi="Times New Roman" w:cs="Times New Roman"/>
          <w:lang w:val="de-DE"/>
        </w:rPr>
        <w:t>pārbaudīt</w:t>
      </w:r>
      <w:proofErr w:type="spellEnd"/>
      <w:r w:rsidRPr="000C7C76">
        <w:rPr>
          <w:rFonts w:ascii="Times New Roman" w:hAnsi="Times New Roman" w:cs="Times New Roman"/>
          <w:lang w:val="de-DE"/>
        </w:rPr>
        <w:t xml:space="preserve"> </w:t>
      </w:r>
      <w:proofErr w:type="spellStart"/>
      <w:r w:rsidRPr="000C7C76">
        <w:rPr>
          <w:rFonts w:ascii="Times New Roman" w:hAnsi="Times New Roman" w:cs="Times New Roman"/>
          <w:lang w:val="de-DE"/>
        </w:rPr>
        <w:t>dokumenta</w:t>
      </w:r>
      <w:proofErr w:type="spellEnd"/>
      <w:r w:rsidRPr="000C7C76">
        <w:rPr>
          <w:rFonts w:ascii="Times New Roman" w:hAnsi="Times New Roman" w:cs="Times New Roman"/>
          <w:lang w:val="de-DE"/>
        </w:rPr>
        <w:t xml:space="preserve"> </w:t>
      </w:r>
      <w:proofErr w:type="spellStart"/>
      <w:r w:rsidRPr="000C7C76">
        <w:rPr>
          <w:rFonts w:ascii="Times New Roman" w:hAnsi="Times New Roman" w:cs="Times New Roman"/>
          <w:lang w:val="de-DE"/>
        </w:rPr>
        <w:t>saturu</w:t>
      </w:r>
      <w:proofErr w:type="spellEnd"/>
      <w:r w:rsidRPr="000C7C76">
        <w:rPr>
          <w:rFonts w:ascii="Times New Roman" w:hAnsi="Times New Roman" w:cs="Times New Roman"/>
          <w:lang w:val="de-DE"/>
        </w:rPr>
        <w:t xml:space="preserve"> – </w:t>
      </w:r>
      <w:proofErr w:type="spellStart"/>
      <w:r w:rsidRPr="000C7C76">
        <w:rPr>
          <w:rFonts w:ascii="Times New Roman" w:hAnsi="Times New Roman" w:cs="Times New Roman"/>
          <w:lang w:val="de-DE"/>
        </w:rPr>
        <w:t>tās</w:t>
      </w:r>
      <w:proofErr w:type="spellEnd"/>
      <w:r w:rsidRPr="000C7C76">
        <w:rPr>
          <w:rFonts w:ascii="Times New Roman" w:hAnsi="Times New Roman" w:cs="Times New Roman"/>
          <w:lang w:val="de-DE"/>
        </w:rPr>
        <w:t xml:space="preserve"> </w:t>
      </w:r>
      <w:proofErr w:type="spellStart"/>
      <w:r w:rsidRPr="000C7C76">
        <w:rPr>
          <w:rFonts w:ascii="Times New Roman" w:hAnsi="Times New Roman" w:cs="Times New Roman"/>
          <w:lang w:val="de-DE"/>
        </w:rPr>
        <w:t>uzdevums</w:t>
      </w:r>
      <w:proofErr w:type="spellEnd"/>
      <w:r w:rsidRPr="000C7C76">
        <w:rPr>
          <w:rFonts w:ascii="Times New Roman" w:hAnsi="Times New Roman" w:cs="Times New Roman"/>
          <w:lang w:val="de-DE"/>
        </w:rPr>
        <w:t xml:space="preserve"> </w:t>
      </w:r>
      <w:proofErr w:type="spellStart"/>
      <w:r w:rsidRPr="000C7C76">
        <w:rPr>
          <w:rFonts w:ascii="Times New Roman" w:hAnsi="Times New Roman" w:cs="Times New Roman"/>
          <w:lang w:val="de-DE"/>
        </w:rPr>
        <w:t>ir</w:t>
      </w:r>
      <w:proofErr w:type="spellEnd"/>
      <w:r w:rsidRPr="000C7C76">
        <w:rPr>
          <w:rFonts w:ascii="Times New Roman" w:hAnsi="Times New Roman" w:cs="Times New Roman"/>
          <w:lang w:val="de-DE"/>
        </w:rPr>
        <w:t xml:space="preserve"> </w:t>
      </w:r>
      <w:proofErr w:type="spellStart"/>
      <w:r w:rsidRPr="000C7C76">
        <w:rPr>
          <w:rFonts w:ascii="Times New Roman" w:hAnsi="Times New Roman" w:cs="Times New Roman"/>
          <w:lang w:val="de-DE"/>
        </w:rPr>
        <w:t>pārbaudīt</w:t>
      </w:r>
      <w:proofErr w:type="spellEnd"/>
      <w:r w:rsidRPr="000C7C76">
        <w:rPr>
          <w:rFonts w:ascii="Times New Roman" w:hAnsi="Times New Roman" w:cs="Times New Roman"/>
          <w:lang w:val="de-DE"/>
        </w:rPr>
        <w:t xml:space="preserve"> </w:t>
      </w:r>
      <w:proofErr w:type="spellStart"/>
      <w:r w:rsidRPr="000C7C76">
        <w:rPr>
          <w:rFonts w:ascii="Times New Roman" w:hAnsi="Times New Roman" w:cs="Times New Roman"/>
          <w:lang w:val="de-DE"/>
        </w:rPr>
        <w:t>tikai</w:t>
      </w:r>
      <w:proofErr w:type="spellEnd"/>
      <w:r w:rsidRPr="000C7C76">
        <w:rPr>
          <w:rFonts w:ascii="Times New Roman" w:hAnsi="Times New Roman" w:cs="Times New Roman"/>
          <w:lang w:val="de-DE"/>
        </w:rPr>
        <w:t xml:space="preserve"> </w:t>
      </w:r>
      <w:proofErr w:type="spellStart"/>
      <w:r w:rsidRPr="000C7C76">
        <w:rPr>
          <w:rFonts w:ascii="Times New Roman" w:hAnsi="Times New Roman" w:cs="Times New Roman"/>
          <w:lang w:val="de-DE"/>
        </w:rPr>
        <w:t>formālos</w:t>
      </w:r>
      <w:proofErr w:type="spellEnd"/>
      <w:r w:rsidRPr="000C7C76">
        <w:rPr>
          <w:rFonts w:ascii="Times New Roman" w:hAnsi="Times New Roman" w:cs="Times New Roman"/>
          <w:lang w:val="de-DE"/>
        </w:rPr>
        <w:t xml:space="preserve"> </w:t>
      </w:r>
      <w:proofErr w:type="spellStart"/>
      <w:r w:rsidRPr="000C7C76">
        <w:rPr>
          <w:rFonts w:ascii="Times New Roman" w:hAnsi="Times New Roman" w:cs="Times New Roman"/>
          <w:lang w:val="de-DE"/>
        </w:rPr>
        <w:t>dokumentu</w:t>
      </w:r>
      <w:proofErr w:type="spellEnd"/>
      <w:r w:rsidRPr="000C7C76">
        <w:rPr>
          <w:rFonts w:ascii="Times New Roman" w:hAnsi="Times New Roman" w:cs="Times New Roman"/>
          <w:lang w:val="de-DE"/>
        </w:rPr>
        <w:t xml:space="preserve"> </w:t>
      </w:r>
      <w:proofErr w:type="spellStart"/>
      <w:r w:rsidRPr="000C7C76">
        <w:rPr>
          <w:rFonts w:ascii="Times New Roman" w:hAnsi="Times New Roman" w:cs="Times New Roman"/>
          <w:lang w:val="de-DE"/>
        </w:rPr>
        <w:t>kritērijus</w:t>
      </w:r>
      <w:proofErr w:type="spellEnd"/>
      <w:r w:rsidRPr="000C7C76">
        <w:rPr>
          <w:rFonts w:ascii="Times New Roman" w:hAnsi="Times New Roman" w:cs="Times New Roman"/>
          <w:lang w:val="de-DE"/>
        </w:rPr>
        <w:t xml:space="preserve">, </w:t>
      </w:r>
      <w:proofErr w:type="spellStart"/>
      <w:r w:rsidRPr="000C7C76">
        <w:rPr>
          <w:rFonts w:ascii="Times New Roman" w:hAnsi="Times New Roman" w:cs="Times New Roman"/>
          <w:lang w:val="de-DE"/>
        </w:rPr>
        <w:t>proti</w:t>
      </w:r>
      <w:proofErr w:type="spellEnd"/>
      <w:r w:rsidRPr="000C7C76">
        <w:rPr>
          <w:rFonts w:ascii="Times New Roman" w:hAnsi="Times New Roman" w:cs="Times New Roman"/>
          <w:lang w:val="de-DE"/>
        </w:rPr>
        <w:t xml:space="preserve">, </w:t>
      </w:r>
      <w:proofErr w:type="spellStart"/>
      <w:r w:rsidRPr="000C7C76">
        <w:rPr>
          <w:rFonts w:ascii="Times New Roman" w:hAnsi="Times New Roman" w:cs="Times New Roman"/>
          <w:lang w:val="de-DE"/>
        </w:rPr>
        <w:t>vai</w:t>
      </w:r>
      <w:proofErr w:type="spellEnd"/>
      <w:r w:rsidRPr="000C7C76">
        <w:rPr>
          <w:rFonts w:ascii="Times New Roman" w:hAnsi="Times New Roman" w:cs="Times New Roman"/>
          <w:lang w:val="de-DE"/>
        </w:rPr>
        <w:t xml:space="preserve"> </w:t>
      </w:r>
      <w:proofErr w:type="spellStart"/>
      <w:r w:rsidRPr="000C7C76">
        <w:rPr>
          <w:rFonts w:ascii="Times New Roman" w:hAnsi="Times New Roman" w:cs="Times New Roman"/>
          <w:lang w:val="de-DE"/>
        </w:rPr>
        <w:t>izmaiņu</w:t>
      </w:r>
      <w:proofErr w:type="spellEnd"/>
      <w:r w:rsidRPr="000C7C76">
        <w:rPr>
          <w:rFonts w:ascii="Times New Roman" w:hAnsi="Times New Roman" w:cs="Times New Roman"/>
          <w:lang w:val="de-DE"/>
        </w:rPr>
        <w:t xml:space="preserve"> </w:t>
      </w:r>
      <w:proofErr w:type="spellStart"/>
      <w:r w:rsidRPr="000C7C76">
        <w:rPr>
          <w:rFonts w:ascii="Times New Roman" w:hAnsi="Times New Roman" w:cs="Times New Roman"/>
          <w:lang w:val="de-DE"/>
        </w:rPr>
        <w:t>sarakstu</w:t>
      </w:r>
      <w:proofErr w:type="spellEnd"/>
      <w:r w:rsidRPr="000C7C76">
        <w:rPr>
          <w:rFonts w:ascii="Times New Roman" w:hAnsi="Times New Roman" w:cs="Times New Roman"/>
          <w:lang w:val="de-DE"/>
        </w:rPr>
        <w:t xml:space="preserve"> </w:t>
      </w:r>
      <w:proofErr w:type="spellStart"/>
      <w:r w:rsidRPr="000C7C76">
        <w:rPr>
          <w:rFonts w:ascii="Times New Roman" w:hAnsi="Times New Roman" w:cs="Times New Roman"/>
          <w:lang w:val="de-DE"/>
        </w:rPr>
        <w:t>iesniedzis</w:t>
      </w:r>
      <w:proofErr w:type="spellEnd"/>
      <w:r w:rsidRPr="000C7C76">
        <w:rPr>
          <w:rFonts w:ascii="Times New Roman" w:hAnsi="Times New Roman" w:cs="Times New Roman"/>
          <w:lang w:val="de-DE"/>
        </w:rPr>
        <w:t xml:space="preserve"> </w:t>
      </w:r>
      <w:proofErr w:type="spellStart"/>
      <w:r w:rsidRPr="000C7C76">
        <w:rPr>
          <w:rFonts w:ascii="Times New Roman" w:hAnsi="Times New Roman" w:cs="Times New Roman"/>
          <w:lang w:val="de-DE"/>
        </w:rPr>
        <w:t>uzņēmuma</w:t>
      </w:r>
      <w:proofErr w:type="spellEnd"/>
      <w:r w:rsidRPr="000C7C76">
        <w:rPr>
          <w:rFonts w:ascii="Times New Roman" w:hAnsi="Times New Roman" w:cs="Times New Roman"/>
          <w:lang w:val="de-DE"/>
        </w:rPr>
        <w:t xml:space="preserve"> </w:t>
      </w:r>
      <w:proofErr w:type="spellStart"/>
      <w:r w:rsidRPr="000C7C76">
        <w:rPr>
          <w:rFonts w:ascii="Times New Roman" w:hAnsi="Times New Roman" w:cs="Times New Roman"/>
          <w:lang w:val="de-DE"/>
        </w:rPr>
        <w:t>vadītājs</w:t>
      </w:r>
      <w:proofErr w:type="spellEnd"/>
      <w:r w:rsidRPr="000C7C76">
        <w:rPr>
          <w:rFonts w:ascii="Times New Roman" w:hAnsi="Times New Roman" w:cs="Times New Roman"/>
          <w:lang w:val="de-DE"/>
        </w:rPr>
        <w:t xml:space="preserve"> </w:t>
      </w:r>
      <w:proofErr w:type="spellStart"/>
      <w:r w:rsidRPr="000C7C76">
        <w:rPr>
          <w:rFonts w:ascii="Times New Roman" w:hAnsi="Times New Roman" w:cs="Times New Roman"/>
          <w:lang w:val="de-DE"/>
        </w:rPr>
        <w:t>vai</w:t>
      </w:r>
      <w:proofErr w:type="spellEnd"/>
      <w:r w:rsidRPr="000C7C76">
        <w:rPr>
          <w:rFonts w:ascii="Times New Roman" w:hAnsi="Times New Roman" w:cs="Times New Roman"/>
          <w:lang w:val="de-DE"/>
        </w:rPr>
        <w:t xml:space="preserve"> </w:t>
      </w:r>
      <w:proofErr w:type="spellStart"/>
      <w:r w:rsidRPr="000C7C76">
        <w:rPr>
          <w:rFonts w:ascii="Times New Roman" w:hAnsi="Times New Roman" w:cs="Times New Roman"/>
          <w:lang w:val="de-DE"/>
        </w:rPr>
        <w:t>notārs</w:t>
      </w:r>
      <w:proofErr w:type="spellEnd"/>
      <w:r w:rsidRPr="000C7C76">
        <w:rPr>
          <w:rFonts w:ascii="Times New Roman" w:hAnsi="Times New Roman" w:cs="Times New Roman"/>
          <w:lang w:val="de-DE"/>
        </w:rPr>
        <w:t xml:space="preserve"> (</w:t>
      </w:r>
      <w:proofErr w:type="spellStart"/>
      <w:r w:rsidRPr="000C7C76">
        <w:rPr>
          <w:rFonts w:ascii="Times New Roman" w:hAnsi="Times New Roman" w:cs="Times New Roman"/>
          <w:lang w:val="de-DE"/>
        </w:rPr>
        <w:t>kā</w:t>
      </w:r>
      <w:proofErr w:type="spellEnd"/>
      <w:r w:rsidRPr="000C7C76">
        <w:rPr>
          <w:rFonts w:ascii="Times New Roman" w:hAnsi="Times New Roman" w:cs="Times New Roman"/>
          <w:lang w:val="de-DE"/>
        </w:rPr>
        <w:t xml:space="preserve"> </w:t>
      </w:r>
      <w:proofErr w:type="spellStart"/>
      <w:r w:rsidRPr="000C7C76">
        <w:rPr>
          <w:rFonts w:ascii="Times New Roman" w:hAnsi="Times New Roman" w:cs="Times New Roman"/>
          <w:lang w:val="de-DE"/>
        </w:rPr>
        <w:t>to</w:t>
      </w:r>
      <w:proofErr w:type="spellEnd"/>
      <w:r w:rsidRPr="000C7C76">
        <w:rPr>
          <w:rFonts w:ascii="Times New Roman" w:hAnsi="Times New Roman" w:cs="Times New Roman"/>
          <w:lang w:val="de-DE"/>
        </w:rPr>
        <w:t xml:space="preserve"> </w:t>
      </w:r>
      <w:proofErr w:type="spellStart"/>
      <w:r w:rsidRPr="000C7C76">
        <w:rPr>
          <w:rFonts w:ascii="Times New Roman" w:hAnsi="Times New Roman" w:cs="Times New Roman"/>
          <w:lang w:val="de-DE"/>
        </w:rPr>
        <w:t>prasa</w:t>
      </w:r>
      <w:proofErr w:type="spellEnd"/>
      <w:r w:rsidRPr="000C7C76">
        <w:rPr>
          <w:rFonts w:ascii="Times New Roman" w:hAnsi="Times New Roman" w:cs="Times New Roman"/>
          <w:lang w:val="de-DE"/>
        </w:rPr>
        <w:t xml:space="preserve"> </w:t>
      </w:r>
      <w:proofErr w:type="spellStart"/>
      <w:r w:rsidRPr="000C7C76">
        <w:rPr>
          <w:rFonts w:ascii="Times New Roman" w:hAnsi="Times New Roman" w:cs="Times New Roman"/>
          <w:lang w:val="de-DE"/>
        </w:rPr>
        <w:t>Vācijas</w:t>
      </w:r>
      <w:proofErr w:type="spellEnd"/>
      <w:r w:rsidRPr="000C7C76">
        <w:rPr>
          <w:rFonts w:ascii="Times New Roman" w:hAnsi="Times New Roman" w:cs="Times New Roman"/>
          <w:lang w:val="de-DE"/>
        </w:rPr>
        <w:t xml:space="preserve"> </w:t>
      </w:r>
      <w:proofErr w:type="spellStart"/>
      <w:r w:rsidRPr="000C7C76">
        <w:rPr>
          <w:rFonts w:ascii="Times New Roman" w:hAnsi="Times New Roman" w:cs="Times New Roman"/>
          <w:lang w:val="de-DE"/>
        </w:rPr>
        <w:t>likums</w:t>
      </w:r>
      <w:proofErr w:type="spellEnd"/>
      <w:r w:rsidRPr="000C7C76">
        <w:rPr>
          <w:rFonts w:ascii="Times New Roman" w:hAnsi="Times New Roman" w:cs="Times New Roman"/>
          <w:lang w:val="de-DE"/>
        </w:rPr>
        <w:t xml:space="preserve">). </w:t>
      </w:r>
      <w:proofErr w:type="spellStart"/>
      <w:r w:rsidRPr="000C7C76">
        <w:rPr>
          <w:rFonts w:ascii="Times New Roman" w:hAnsi="Times New Roman" w:cs="Times New Roman"/>
          <w:lang w:val="de-DE"/>
        </w:rPr>
        <w:t>Šajā</w:t>
      </w:r>
      <w:proofErr w:type="spellEnd"/>
      <w:r w:rsidRPr="000C7C76">
        <w:rPr>
          <w:rFonts w:ascii="Times New Roman" w:hAnsi="Times New Roman" w:cs="Times New Roman"/>
          <w:lang w:val="de-DE"/>
        </w:rPr>
        <w:t xml:space="preserve"> </w:t>
      </w:r>
      <w:proofErr w:type="spellStart"/>
      <w:r w:rsidRPr="000C7C76">
        <w:rPr>
          <w:rFonts w:ascii="Times New Roman" w:hAnsi="Times New Roman" w:cs="Times New Roman"/>
          <w:lang w:val="de-DE"/>
        </w:rPr>
        <w:t>gadījumā</w:t>
      </w:r>
      <w:proofErr w:type="spellEnd"/>
      <w:r w:rsidRPr="000C7C76">
        <w:rPr>
          <w:rFonts w:ascii="Times New Roman" w:hAnsi="Times New Roman" w:cs="Times New Roman"/>
          <w:lang w:val="de-DE"/>
        </w:rPr>
        <w:t xml:space="preserve"> </w:t>
      </w:r>
      <w:proofErr w:type="spellStart"/>
      <w:r w:rsidRPr="000C7C76">
        <w:rPr>
          <w:rFonts w:ascii="Times New Roman" w:hAnsi="Times New Roman" w:cs="Times New Roman"/>
          <w:lang w:val="de-DE"/>
        </w:rPr>
        <w:t>Augstākā</w:t>
      </w:r>
      <w:proofErr w:type="spellEnd"/>
      <w:r w:rsidRPr="000C7C76">
        <w:rPr>
          <w:rFonts w:ascii="Times New Roman" w:hAnsi="Times New Roman" w:cs="Times New Roman"/>
          <w:lang w:val="de-DE"/>
        </w:rPr>
        <w:t xml:space="preserve"> </w:t>
      </w:r>
      <w:proofErr w:type="spellStart"/>
      <w:r w:rsidRPr="000C7C76">
        <w:rPr>
          <w:rFonts w:ascii="Times New Roman" w:hAnsi="Times New Roman" w:cs="Times New Roman"/>
          <w:lang w:val="de-DE"/>
        </w:rPr>
        <w:t>tiesa</w:t>
      </w:r>
      <w:proofErr w:type="spellEnd"/>
      <w:r w:rsidRPr="000C7C76">
        <w:rPr>
          <w:rFonts w:ascii="Times New Roman" w:hAnsi="Times New Roman" w:cs="Times New Roman"/>
          <w:lang w:val="de-DE"/>
        </w:rPr>
        <w:t xml:space="preserve"> </w:t>
      </w:r>
      <w:proofErr w:type="spellStart"/>
      <w:r w:rsidRPr="000C7C76">
        <w:rPr>
          <w:rFonts w:ascii="Times New Roman" w:hAnsi="Times New Roman" w:cs="Times New Roman"/>
          <w:lang w:val="de-DE"/>
        </w:rPr>
        <w:t>nosprieda</w:t>
      </w:r>
      <w:proofErr w:type="spellEnd"/>
      <w:r w:rsidRPr="000C7C76">
        <w:rPr>
          <w:rFonts w:ascii="Times New Roman" w:hAnsi="Times New Roman" w:cs="Times New Roman"/>
          <w:lang w:val="de-DE"/>
        </w:rPr>
        <w:t xml:space="preserve">, </w:t>
      </w:r>
      <w:proofErr w:type="spellStart"/>
      <w:r w:rsidRPr="000C7C76">
        <w:rPr>
          <w:rFonts w:ascii="Times New Roman" w:hAnsi="Times New Roman" w:cs="Times New Roman"/>
          <w:lang w:val="de-DE"/>
        </w:rPr>
        <w:t>ka</w:t>
      </w:r>
      <w:proofErr w:type="spellEnd"/>
      <w:r w:rsidRPr="000C7C76">
        <w:rPr>
          <w:rFonts w:ascii="Times New Roman" w:hAnsi="Times New Roman" w:cs="Times New Roman"/>
          <w:lang w:val="de-DE"/>
        </w:rPr>
        <w:t xml:space="preserve"> </w:t>
      </w:r>
      <w:proofErr w:type="spellStart"/>
      <w:r w:rsidRPr="000C7C76">
        <w:rPr>
          <w:rFonts w:ascii="Times New Roman" w:hAnsi="Times New Roman" w:cs="Times New Roman"/>
          <w:lang w:val="de-DE"/>
        </w:rPr>
        <w:t>Šveices</w:t>
      </w:r>
      <w:proofErr w:type="spellEnd"/>
      <w:r w:rsidRPr="000C7C76">
        <w:rPr>
          <w:rFonts w:ascii="Times New Roman" w:hAnsi="Times New Roman" w:cs="Times New Roman"/>
          <w:lang w:val="de-DE"/>
        </w:rPr>
        <w:t xml:space="preserve"> </w:t>
      </w:r>
      <w:proofErr w:type="spellStart"/>
      <w:r w:rsidRPr="000C7C76">
        <w:rPr>
          <w:rFonts w:ascii="Times New Roman" w:hAnsi="Times New Roman" w:cs="Times New Roman"/>
          <w:lang w:val="de-DE"/>
        </w:rPr>
        <w:t>notāra</w:t>
      </w:r>
      <w:proofErr w:type="spellEnd"/>
      <w:r w:rsidRPr="000C7C76">
        <w:rPr>
          <w:rFonts w:ascii="Times New Roman" w:hAnsi="Times New Roman" w:cs="Times New Roman"/>
          <w:lang w:val="de-DE"/>
        </w:rPr>
        <w:t xml:space="preserve"> </w:t>
      </w:r>
      <w:proofErr w:type="spellStart"/>
      <w:r w:rsidRPr="000C7C76">
        <w:rPr>
          <w:rFonts w:ascii="Times New Roman" w:hAnsi="Times New Roman" w:cs="Times New Roman"/>
          <w:lang w:val="de-DE"/>
        </w:rPr>
        <w:t>apliecināts</w:t>
      </w:r>
      <w:proofErr w:type="spellEnd"/>
      <w:r w:rsidRPr="000C7C76">
        <w:rPr>
          <w:rFonts w:ascii="Times New Roman" w:hAnsi="Times New Roman" w:cs="Times New Roman"/>
          <w:lang w:val="de-DE"/>
        </w:rPr>
        <w:t xml:space="preserve"> </w:t>
      </w:r>
      <w:proofErr w:type="spellStart"/>
      <w:r w:rsidRPr="000C7C76">
        <w:rPr>
          <w:rFonts w:ascii="Times New Roman" w:hAnsi="Times New Roman" w:cs="Times New Roman"/>
          <w:lang w:val="de-DE"/>
        </w:rPr>
        <w:t>dokuments</w:t>
      </w:r>
      <w:proofErr w:type="spellEnd"/>
      <w:r w:rsidRPr="000C7C76">
        <w:rPr>
          <w:rFonts w:ascii="Times New Roman" w:hAnsi="Times New Roman" w:cs="Times New Roman"/>
          <w:lang w:val="de-DE"/>
        </w:rPr>
        <w:t xml:space="preserve"> </w:t>
      </w:r>
      <w:proofErr w:type="spellStart"/>
      <w:r w:rsidRPr="000C7C76">
        <w:rPr>
          <w:rFonts w:ascii="Times New Roman" w:hAnsi="Times New Roman" w:cs="Times New Roman"/>
          <w:lang w:val="de-DE"/>
        </w:rPr>
        <w:t>var</w:t>
      </w:r>
      <w:proofErr w:type="spellEnd"/>
      <w:r w:rsidRPr="000C7C76">
        <w:rPr>
          <w:rFonts w:ascii="Times New Roman" w:hAnsi="Times New Roman" w:cs="Times New Roman"/>
          <w:lang w:val="de-DE"/>
        </w:rPr>
        <w:t xml:space="preserve"> </w:t>
      </w:r>
      <w:proofErr w:type="spellStart"/>
      <w:r w:rsidRPr="000C7C76">
        <w:rPr>
          <w:rFonts w:ascii="Times New Roman" w:hAnsi="Times New Roman" w:cs="Times New Roman"/>
          <w:lang w:val="de-DE"/>
        </w:rPr>
        <w:t>tikt</w:t>
      </w:r>
      <w:proofErr w:type="spellEnd"/>
      <w:r w:rsidRPr="000C7C76">
        <w:rPr>
          <w:rFonts w:ascii="Times New Roman" w:hAnsi="Times New Roman" w:cs="Times New Roman"/>
          <w:lang w:val="de-DE"/>
        </w:rPr>
        <w:t xml:space="preserve"> </w:t>
      </w:r>
      <w:proofErr w:type="spellStart"/>
      <w:r w:rsidRPr="000C7C76">
        <w:rPr>
          <w:rFonts w:ascii="Times New Roman" w:hAnsi="Times New Roman" w:cs="Times New Roman"/>
          <w:lang w:val="de-DE"/>
        </w:rPr>
        <w:t>pieņemts</w:t>
      </w:r>
      <w:proofErr w:type="spellEnd"/>
      <w:r w:rsidRPr="000C7C76">
        <w:rPr>
          <w:rFonts w:ascii="Times New Roman" w:hAnsi="Times New Roman" w:cs="Times New Roman"/>
          <w:lang w:val="de-DE"/>
        </w:rPr>
        <w:t xml:space="preserve"> </w:t>
      </w:r>
      <w:proofErr w:type="spellStart"/>
      <w:r w:rsidRPr="000C7C76">
        <w:rPr>
          <w:rFonts w:ascii="Times New Roman" w:hAnsi="Times New Roman" w:cs="Times New Roman"/>
          <w:lang w:val="de-DE"/>
        </w:rPr>
        <w:t>Vācijā</w:t>
      </w:r>
      <w:proofErr w:type="spellEnd"/>
      <w:r w:rsidRPr="000C7C76">
        <w:rPr>
          <w:rFonts w:ascii="Times New Roman" w:hAnsi="Times New Roman" w:cs="Times New Roman"/>
          <w:lang w:val="de-DE"/>
        </w:rPr>
        <w:t xml:space="preserve">, ja </w:t>
      </w:r>
      <w:proofErr w:type="spellStart"/>
      <w:r w:rsidRPr="000C7C76">
        <w:rPr>
          <w:rFonts w:ascii="Times New Roman" w:hAnsi="Times New Roman" w:cs="Times New Roman"/>
          <w:lang w:val="de-DE"/>
        </w:rPr>
        <w:t>Šveices</w:t>
      </w:r>
      <w:proofErr w:type="spellEnd"/>
      <w:r w:rsidRPr="000C7C76">
        <w:rPr>
          <w:rFonts w:ascii="Times New Roman" w:hAnsi="Times New Roman" w:cs="Times New Roman"/>
          <w:lang w:val="de-DE"/>
        </w:rPr>
        <w:t xml:space="preserve"> </w:t>
      </w:r>
      <w:proofErr w:type="spellStart"/>
      <w:r w:rsidRPr="000C7C76">
        <w:rPr>
          <w:rFonts w:ascii="Times New Roman" w:hAnsi="Times New Roman" w:cs="Times New Roman"/>
          <w:lang w:val="de-DE"/>
        </w:rPr>
        <w:t>notāra</w:t>
      </w:r>
      <w:proofErr w:type="spellEnd"/>
      <w:r w:rsidRPr="000C7C76">
        <w:rPr>
          <w:rFonts w:ascii="Times New Roman" w:hAnsi="Times New Roman" w:cs="Times New Roman"/>
          <w:lang w:val="de-DE"/>
        </w:rPr>
        <w:t xml:space="preserve"> </w:t>
      </w:r>
      <w:proofErr w:type="spellStart"/>
      <w:r w:rsidRPr="000C7C76">
        <w:rPr>
          <w:rFonts w:ascii="Times New Roman" w:hAnsi="Times New Roman" w:cs="Times New Roman"/>
          <w:lang w:val="de-DE"/>
        </w:rPr>
        <w:t>dokuments</w:t>
      </w:r>
      <w:proofErr w:type="spellEnd"/>
      <w:r w:rsidRPr="000C7C76">
        <w:rPr>
          <w:rFonts w:ascii="Times New Roman" w:hAnsi="Times New Roman" w:cs="Times New Roman"/>
          <w:lang w:val="de-DE"/>
        </w:rPr>
        <w:t xml:space="preserve"> </w:t>
      </w:r>
      <w:proofErr w:type="spellStart"/>
      <w:r w:rsidRPr="000C7C76">
        <w:rPr>
          <w:rFonts w:ascii="Times New Roman" w:hAnsi="Times New Roman" w:cs="Times New Roman"/>
          <w:lang w:val="de-DE"/>
        </w:rPr>
        <w:t>var</w:t>
      </w:r>
      <w:proofErr w:type="spellEnd"/>
      <w:r w:rsidRPr="000C7C76">
        <w:rPr>
          <w:rFonts w:ascii="Times New Roman" w:hAnsi="Times New Roman" w:cs="Times New Roman"/>
          <w:lang w:val="de-DE"/>
        </w:rPr>
        <w:t xml:space="preserve"> </w:t>
      </w:r>
      <w:proofErr w:type="spellStart"/>
      <w:r w:rsidRPr="000C7C76">
        <w:rPr>
          <w:rFonts w:ascii="Times New Roman" w:hAnsi="Times New Roman" w:cs="Times New Roman"/>
          <w:lang w:val="de-DE"/>
        </w:rPr>
        <w:t>tikt</w:t>
      </w:r>
      <w:proofErr w:type="spellEnd"/>
      <w:r w:rsidRPr="000C7C76">
        <w:rPr>
          <w:rFonts w:ascii="Times New Roman" w:hAnsi="Times New Roman" w:cs="Times New Roman"/>
          <w:lang w:val="de-DE"/>
        </w:rPr>
        <w:t xml:space="preserve"> </w:t>
      </w:r>
      <w:proofErr w:type="spellStart"/>
      <w:r w:rsidRPr="000C7C76">
        <w:rPr>
          <w:rFonts w:ascii="Times New Roman" w:hAnsi="Times New Roman" w:cs="Times New Roman"/>
          <w:lang w:val="de-DE"/>
        </w:rPr>
        <w:t>pielīdzināts</w:t>
      </w:r>
      <w:proofErr w:type="spellEnd"/>
      <w:r w:rsidRPr="000C7C76">
        <w:rPr>
          <w:rFonts w:ascii="Times New Roman" w:hAnsi="Times New Roman" w:cs="Times New Roman"/>
          <w:lang w:val="de-DE"/>
        </w:rPr>
        <w:t xml:space="preserve"> </w:t>
      </w:r>
      <w:proofErr w:type="spellStart"/>
      <w:r w:rsidRPr="000C7C76">
        <w:rPr>
          <w:rFonts w:ascii="Times New Roman" w:hAnsi="Times New Roman" w:cs="Times New Roman"/>
          <w:lang w:val="de-DE"/>
        </w:rPr>
        <w:t>tādam</w:t>
      </w:r>
      <w:proofErr w:type="spellEnd"/>
      <w:r w:rsidRPr="000C7C76">
        <w:rPr>
          <w:rFonts w:ascii="Times New Roman" w:hAnsi="Times New Roman" w:cs="Times New Roman"/>
          <w:lang w:val="de-DE"/>
        </w:rPr>
        <w:t xml:space="preserve"> </w:t>
      </w:r>
      <w:proofErr w:type="spellStart"/>
      <w:r w:rsidRPr="000C7C76">
        <w:rPr>
          <w:rFonts w:ascii="Times New Roman" w:hAnsi="Times New Roman" w:cs="Times New Roman"/>
          <w:lang w:val="de-DE"/>
        </w:rPr>
        <w:t>pašam</w:t>
      </w:r>
      <w:proofErr w:type="spellEnd"/>
      <w:r w:rsidRPr="000C7C76">
        <w:rPr>
          <w:rFonts w:ascii="Times New Roman" w:hAnsi="Times New Roman" w:cs="Times New Roman"/>
          <w:lang w:val="de-DE"/>
        </w:rPr>
        <w:t xml:space="preserve"> </w:t>
      </w:r>
      <w:proofErr w:type="spellStart"/>
      <w:r w:rsidRPr="000C7C76">
        <w:rPr>
          <w:rFonts w:ascii="Times New Roman" w:hAnsi="Times New Roman" w:cs="Times New Roman"/>
          <w:lang w:val="de-DE"/>
        </w:rPr>
        <w:t>Vācijas</w:t>
      </w:r>
      <w:proofErr w:type="spellEnd"/>
      <w:r w:rsidRPr="000C7C76">
        <w:rPr>
          <w:rFonts w:ascii="Times New Roman" w:hAnsi="Times New Roman" w:cs="Times New Roman"/>
          <w:lang w:val="de-DE"/>
        </w:rPr>
        <w:t xml:space="preserve"> </w:t>
      </w:r>
      <w:proofErr w:type="spellStart"/>
      <w:r w:rsidRPr="000C7C76">
        <w:rPr>
          <w:rFonts w:ascii="Times New Roman" w:hAnsi="Times New Roman" w:cs="Times New Roman"/>
          <w:lang w:val="de-DE"/>
        </w:rPr>
        <w:t>notāra</w:t>
      </w:r>
      <w:proofErr w:type="spellEnd"/>
      <w:r w:rsidRPr="000C7C76">
        <w:rPr>
          <w:rFonts w:ascii="Times New Roman" w:hAnsi="Times New Roman" w:cs="Times New Roman"/>
          <w:lang w:val="de-DE"/>
        </w:rPr>
        <w:t xml:space="preserve"> </w:t>
      </w:r>
      <w:proofErr w:type="spellStart"/>
      <w:r w:rsidRPr="000C7C76">
        <w:rPr>
          <w:rFonts w:ascii="Times New Roman" w:hAnsi="Times New Roman" w:cs="Times New Roman"/>
          <w:lang w:val="de-DE"/>
        </w:rPr>
        <w:t>apliecinātam</w:t>
      </w:r>
      <w:proofErr w:type="spellEnd"/>
      <w:r w:rsidRPr="000C7C76">
        <w:rPr>
          <w:rFonts w:ascii="Times New Roman" w:hAnsi="Times New Roman" w:cs="Times New Roman"/>
          <w:lang w:val="de-DE"/>
        </w:rPr>
        <w:t xml:space="preserve"> </w:t>
      </w:r>
      <w:proofErr w:type="spellStart"/>
      <w:r w:rsidRPr="000C7C76">
        <w:rPr>
          <w:rFonts w:ascii="Times New Roman" w:hAnsi="Times New Roman" w:cs="Times New Roman"/>
          <w:lang w:val="de-DE"/>
        </w:rPr>
        <w:t>dokumentam</w:t>
      </w:r>
      <w:proofErr w:type="spellEnd"/>
      <w:r w:rsidRPr="000C7C76">
        <w:rPr>
          <w:rFonts w:ascii="Times New Roman" w:hAnsi="Times New Roman" w:cs="Times New Roman"/>
          <w:lang w:val="de-DE"/>
        </w:rPr>
        <w:t xml:space="preserve">. </w:t>
      </w:r>
      <w:proofErr w:type="spellStart"/>
      <w:r w:rsidRPr="000C7C76">
        <w:rPr>
          <w:rFonts w:ascii="Times New Roman" w:hAnsi="Times New Roman" w:cs="Times New Roman"/>
          <w:lang w:val="de-DE"/>
        </w:rPr>
        <w:t>Savukārt</w:t>
      </w:r>
      <w:proofErr w:type="spellEnd"/>
      <w:r w:rsidRPr="000C7C76">
        <w:rPr>
          <w:rFonts w:ascii="Times New Roman" w:hAnsi="Times New Roman" w:cs="Times New Roman"/>
          <w:lang w:val="de-DE"/>
        </w:rPr>
        <w:t xml:space="preserve"> </w:t>
      </w:r>
      <w:proofErr w:type="spellStart"/>
      <w:r w:rsidRPr="000C7C76">
        <w:rPr>
          <w:rFonts w:ascii="Times New Roman" w:hAnsi="Times New Roman" w:cs="Times New Roman"/>
          <w:lang w:val="de-DE"/>
        </w:rPr>
        <w:t>tas</w:t>
      </w:r>
      <w:proofErr w:type="spellEnd"/>
      <w:r w:rsidRPr="000C7C76">
        <w:rPr>
          <w:rFonts w:ascii="Times New Roman" w:hAnsi="Times New Roman" w:cs="Times New Roman"/>
          <w:lang w:val="de-DE"/>
        </w:rPr>
        <w:t xml:space="preserve"> fakts, </w:t>
      </w:r>
      <w:proofErr w:type="spellStart"/>
      <w:r w:rsidRPr="000C7C76">
        <w:rPr>
          <w:rFonts w:ascii="Times New Roman" w:hAnsi="Times New Roman" w:cs="Times New Roman"/>
          <w:lang w:val="de-DE"/>
        </w:rPr>
        <w:t>ka</w:t>
      </w:r>
      <w:proofErr w:type="spellEnd"/>
      <w:r w:rsidRPr="000C7C76">
        <w:rPr>
          <w:rFonts w:ascii="Times New Roman" w:hAnsi="Times New Roman" w:cs="Times New Roman"/>
          <w:lang w:val="de-DE"/>
        </w:rPr>
        <w:t xml:space="preserve"> </w:t>
      </w:r>
      <w:proofErr w:type="spellStart"/>
      <w:r w:rsidRPr="000C7C76">
        <w:rPr>
          <w:rFonts w:ascii="Times New Roman" w:hAnsi="Times New Roman" w:cs="Times New Roman"/>
          <w:lang w:val="de-DE"/>
        </w:rPr>
        <w:t>dokumentu</w:t>
      </w:r>
      <w:proofErr w:type="spellEnd"/>
      <w:r w:rsidRPr="000C7C76">
        <w:rPr>
          <w:rFonts w:ascii="Times New Roman" w:hAnsi="Times New Roman" w:cs="Times New Roman"/>
          <w:lang w:val="de-DE"/>
        </w:rPr>
        <w:t xml:space="preserve"> </w:t>
      </w:r>
      <w:proofErr w:type="spellStart"/>
      <w:r w:rsidRPr="000C7C76">
        <w:rPr>
          <w:rFonts w:ascii="Times New Roman" w:hAnsi="Times New Roman" w:cs="Times New Roman"/>
          <w:lang w:val="de-DE"/>
        </w:rPr>
        <w:t>Vācijas</w:t>
      </w:r>
      <w:proofErr w:type="spellEnd"/>
      <w:r w:rsidRPr="000C7C76">
        <w:rPr>
          <w:rFonts w:ascii="Times New Roman" w:hAnsi="Times New Roman" w:cs="Times New Roman"/>
          <w:lang w:val="de-DE"/>
        </w:rPr>
        <w:t xml:space="preserve"> </w:t>
      </w:r>
      <w:proofErr w:type="spellStart"/>
      <w:r w:rsidRPr="000C7C76">
        <w:rPr>
          <w:rFonts w:ascii="Times New Roman" w:hAnsi="Times New Roman" w:cs="Times New Roman"/>
          <w:lang w:val="de-DE"/>
        </w:rPr>
        <w:t>Komercreģistram</w:t>
      </w:r>
      <w:proofErr w:type="spellEnd"/>
      <w:r w:rsidRPr="000C7C76">
        <w:rPr>
          <w:rFonts w:ascii="Times New Roman" w:hAnsi="Times New Roman" w:cs="Times New Roman"/>
          <w:lang w:val="de-DE"/>
        </w:rPr>
        <w:t xml:space="preserve"> </w:t>
      </w:r>
      <w:proofErr w:type="spellStart"/>
      <w:r w:rsidRPr="000C7C76">
        <w:rPr>
          <w:rFonts w:ascii="Times New Roman" w:hAnsi="Times New Roman" w:cs="Times New Roman"/>
          <w:lang w:val="de-DE"/>
        </w:rPr>
        <w:t>iesniedzis</w:t>
      </w:r>
      <w:proofErr w:type="spellEnd"/>
      <w:r w:rsidRPr="000C7C76">
        <w:rPr>
          <w:rFonts w:ascii="Times New Roman" w:hAnsi="Times New Roman" w:cs="Times New Roman"/>
          <w:lang w:val="de-DE"/>
        </w:rPr>
        <w:t xml:space="preserve"> </w:t>
      </w:r>
      <w:proofErr w:type="spellStart"/>
      <w:r w:rsidRPr="000C7C76">
        <w:rPr>
          <w:rFonts w:ascii="Times New Roman" w:hAnsi="Times New Roman" w:cs="Times New Roman"/>
          <w:lang w:val="de-DE"/>
        </w:rPr>
        <w:t>Šveices</w:t>
      </w:r>
      <w:proofErr w:type="spellEnd"/>
      <w:r w:rsidRPr="000C7C76">
        <w:rPr>
          <w:rFonts w:ascii="Times New Roman" w:hAnsi="Times New Roman" w:cs="Times New Roman"/>
          <w:lang w:val="de-DE"/>
        </w:rPr>
        <w:t xml:space="preserve"> </w:t>
      </w:r>
      <w:proofErr w:type="spellStart"/>
      <w:r w:rsidRPr="000C7C76">
        <w:rPr>
          <w:rFonts w:ascii="Times New Roman" w:hAnsi="Times New Roman" w:cs="Times New Roman"/>
          <w:lang w:val="de-DE"/>
        </w:rPr>
        <w:t>notārs</w:t>
      </w:r>
      <w:proofErr w:type="spellEnd"/>
      <w:r w:rsidRPr="000C7C76">
        <w:rPr>
          <w:rFonts w:ascii="Times New Roman" w:hAnsi="Times New Roman" w:cs="Times New Roman"/>
          <w:lang w:val="de-DE"/>
        </w:rPr>
        <w:t xml:space="preserve">, </w:t>
      </w:r>
      <w:proofErr w:type="spellStart"/>
      <w:r w:rsidRPr="000C7C76">
        <w:rPr>
          <w:rFonts w:ascii="Times New Roman" w:hAnsi="Times New Roman" w:cs="Times New Roman"/>
          <w:lang w:val="de-DE"/>
        </w:rPr>
        <w:t>ir</w:t>
      </w:r>
      <w:proofErr w:type="spellEnd"/>
      <w:r w:rsidRPr="000C7C76">
        <w:rPr>
          <w:rFonts w:ascii="Times New Roman" w:hAnsi="Times New Roman" w:cs="Times New Roman"/>
          <w:lang w:val="de-DE"/>
        </w:rPr>
        <w:t xml:space="preserve"> </w:t>
      </w:r>
      <w:proofErr w:type="spellStart"/>
      <w:r w:rsidRPr="000C7C76">
        <w:rPr>
          <w:rFonts w:ascii="Times New Roman" w:hAnsi="Times New Roman" w:cs="Times New Roman"/>
          <w:lang w:val="de-DE"/>
        </w:rPr>
        <w:t>uzskatāms</w:t>
      </w:r>
      <w:proofErr w:type="spellEnd"/>
      <w:r w:rsidRPr="000C7C76">
        <w:rPr>
          <w:rFonts w:ascii="Times New Roman" w:hAnsi="Times New Roman" w:cs="Times New Roman"/>
          <w:lang w:val="de-DE"/>
        </w:rPr>
        <w:t xml:space="preserve"> </w:t>
      </w:r>
      <w:proofErr w:type="spellStart"/>
      <w:r w:rsidRPr="000C7C76">
        <w:rPr>
          <w:rFonts w:ascii="Times New Roman" w:hAnsi="Times New Roman" w:cs="Times New Roman"/>
          <w:lang w:val="de-DE"/>
        </w:rPr>
        <w:t>kā</w:t>
      </w:r>
      <w:proofErr w:type="spellEnd"/>
      <w:r w:rsidRPr="000C7C76">
        <w:rPr>
          <w:rFonts w:ascii="Times New Roman" w:hAnsi="Times New Roman" w:cs="Times New Roman"/>
          <w:lang w:val="de-DE"/>
        </w:rPr>
        <w:t xml:space="preserve"> </w:t>
      </w:r>
      <w:proofErr w:type="spellStart"/>
      <w:r w:rsidRPr="000C7C76">
        <w:rPr>
          <w:rFonts w:ascii="Times New Roman" w:hAnsi="Times New Roman" w:cs="Times New Roman"/>
          <w:lang w:val="de-DE"/>
        </w:rPr>
        <w:t>izrietošs</w:t>
      </w:r>
      <w:proofErr w:type="spellEnd"/>
      <w:r w:rsidRPr="000C7C76">
        <w:rPr>
          <w:rFonts w:ascii="Times New Roman" w:hAnsi="Times New Roman" w:cs="Times New Roman"/>
          <w:lang w:val="de-DE"/>
        </w:rPr>
        <w:t xml:space="preserve"> </w:t>
      </w:r>
      <w:proofErr w:type="spellStart"/>
      <w:r w:rsidRPr="000C7C76">
        <w:rPr>
          <w:rFonts w:ascii="Times New Roman" w:hAnsi="Times New Roman" w:cs="Times New Roman"/>
          <w:lang w:val="de-DE"/>
        </w:rPr>
        <w:t>blakus</w:t>
      </w:r>
      <w:proofErr w:type="spellEnd"/>
      <w:r w:rsidRPr="000C7C76">
        <w:rPr>
          <w:rFonts w:ascii="Times New Roman" w:hAnsi="Times New Roman" w:cs="Times New Roman"/>
          <w:lang w:val="de-DE"/>
        </w:rPr>
        <w:t xml:space="preserve"> </w:t>
      </w:r>
      <w:proofErr w:type="spellStart"/>
      <w:r w:rsidRPr="000C7C76">
        <w:rPr>
          <w:rFonts w:ascii="Times New Roman" w:hAnsi="Times New Roman" w:cs="Times New Roman"/>
          <w:lang w:val="de-DE"/>
        </w:rPr>
        <w:t>elements</w:t>
      </w:r>
      <w:proofErr w:type="spellEnd"/>
      <w:r w:rsidRPr="000C7C76">
        <w:rPr>
          <w:rFonts w:ascii="Times New Roman" w:hAnsi="Times New Roman" w:cs="Times New Roman"/>
          <w:lang w:val="de-DE"/>
        </w:rPr>
        <w:t xml:space="preserve"> </w:t>
      </w:r>
      <w:proofErr w:type="spellStart"/>
      <w:r w:rsidRPr="000C7C76">
        <w:rPr>
          <w:rFonts w:ascii="Times New Roman" w:hAnsi="Times New Roman" w:cs="Times New Roman"/>
          <w:lang w:val="de-DE"/>
        </w:rPr>
        <w:t>no</w:t>
      </w:r>
      <w:proofErr w:type="spellEnd"/>
      <w:r w:rsidRPr="000C7C76">
        <w:rPr>
          <w:rFonts w:ascii="Times New Roman" w:hAnsi="Times New Roman" w:cs="Times New Roman"/>
          <w:lang w:val="de-DE"/>
        </w:rPr>
        <w:t xml:space="preserve"> </w:t>
      </w:r>
      <w:proofErr w:type="spellStart"/>
      <w:r w:rsidRPr="000C7C76">
        <w:rPr>
          <w:rFonts w:ascii="Times New Roman" w:hAnsi="Times New Roman" w:cs="Times New Roman"/>
          <w:lang w:val="de-DE"/>
        </w:rPr>
        <w:t>Šveices</w:t>
      </w:r>
      <w:proofErr w:type="spellEnd"/>
      <w:r w:rsidRPr="000C7C76">
        <w:rPr>
          <w:rFonts w:ascii="Times New Roman" w:hAnsi="Times New Roman" w:cs="Times New Roman"/>
          <w:lang w:val="de-DE"/>
        </w:rPr>
        <w:t xml:space="preserve"> </w:t>
      </w:r>
      <w:proofErr w:type="spellStart"/>
      <w:r w:rsidRPr="000C7C76">
        <w:rPr>
          <w:rFonts w:ascii="Times New Roman" w:hAnsi="Times New Roman" w:cs="Times New Roman"/>
          <w:lang w:val="de-DE"/>
        </w:rPr>
        <w:t>notāra</w:t>
      </w:r>
      <w:proofErr w:type="spellEnd"/>
      <w:r w:rsidRPr="000C7C76">
        <w:rPr>
          <w:rFonts w:ascii="Times New Roman" w:hAnsi="Times New Roman" w:cs="Times New Roman"/>
          <w:lang w:val="de-DE"/>
        </w:rPr>
        <w:t xml:space="preserve"> </w:t>
      </w:r>
      <w:proofErr w:type="spellStart"/>
      <w:r w:rsidRPr="000C7C76">
        <w:rPr>
          <w:rFonts w:ascii="Times New Roman" w:hAnsi="Times New Roman" w:cs="Times New Roman"/>
          <w:lang w:val="de-DE"/>
        </w:rPr>
        <w:t>tiesībām</w:t>
      </w:r>
      <w:proofErr w:type="spellEnd"/>
      <w:r w:rsidRPr="000C7C76">
        <w:rPr>
          <w:rFonts w:ascii="Times New Roman" w:hAnsi="Times New Roman" w:cs="Times New Roman"/>
          <w:lang w:val="de-DE"/>
        </w:rPr>
        <w:t xml:space="preserve"> </w:t>
      </w:r>
      <w:proofErr w:type="spellStart"/>
      <w:r w:rsidRPr="000C7C76">
        <w:rPr>
          <w:rFonts w:ascii="Times New Roman" w:hAnsi="Times New Roman" w:cs="Times New Roman"/>
          <w:lang w:val="de-DE"/>
        </w:rPr>
        <w:t>apliecināt</w:t>
      </w:r>
      <w:proofErr w:type="spellEnd"/>
      <w:r w:rsidRPr="000C7C76">
        <w:rPr>
          <w:rFonts w:ascii="Times New Roman" w:hAnsi="Times New Roman" w:cs="Times New Roman"/>
          <w:lang w:val="de-DE"/>
        </w:rPr>
        <w:t xml:space="preserve"> </w:t>
      </w:r>
      <w:proofErr w:type="spellStart"/>
      <w:r w:rsidRPr="000C7C76">
        <w:rPr>
          <w:rFonts w:ascii="Times New Roman" w:hAnsi="Times New Roman" w:cs="Times New Roman"/>
          <w:lang w:val="de-DE"/>
        </w:rPr>
        <w:t>šo</w:t>
      </w:r>
      <w:proofErr w:type="spellEnd"/>
      <w:r w:rsidRPr="000C7C76">
        <w:rPr>
          <w:rFonts w:ascii="Times New Roman" w:hAnsi="Times New Roman" w:cs="Times New Roman"/>
          <w:lang w:val="de-DE"/>
        </w:rPr>
        <w:t xml:space="preserve"> </w:t>
      </w:r>
      <w:proofErr w:type="spellStart"/>
      <w:r w:rsidRPr="000C7C76">
        <w:rPr>
          <w:rFonts w:ascii="Times New Roman" w:hAnsi="Times New Roman" w:cs="Times New Roman"/>
          <w:lang w:val="de-DE"/>
        </w:rPr>
        <w:t>dokumentu</w:t>
      </w:r>
      <w:proofErr w:type="spellEnd"/>
      <w:r w:rsidRPr="000C7C76">
        <w:rPr>
          <w:rFonts w:ascii="Times New Roman" w:hAnsi="Times New Roman" w:cs="Times New Roman"/>
          <w:lang w:val="de-DE"/>
        </w:rPr>
        <w:t xml:space="preserve">. </w:t>
      </w:r>
      <w:proofErr w:type="spellStart"/>
      <w:r w:rsidRPr="000C7C76">
        <w:rPr>
          <w:rFonts w:ascii="Times New Roman" w:hAnsi="Times New Roman" w:cs="Times New Roman"/>
          <w:lang w:val="de-DE"/>
        </w:rPr>
        <w:t>Tātad</w:t>
      </w:r>
      <w:proofErr w:type="spellEnd"/>
      <w:r w:rsidRPr="000C7C76">
        <w:rPr>
          <w:rFonts w:ascii="Times New Roman" w:hAnsi="Times New Roman" w:cs="Times New Roman"/>
          <w:lang w:val="de-DE"/>
        </w:rPr>
        <w:t xml:space="preserve">, </w:t>
      </w:r>
      <w:proofErr w:type="spellStart"/>
      <w:r w:rsidRPr="000C7C76">
        <w:rPr>
          <w:rFonts w:ascii="Times New Roman" w:hAnsi="Times New Roman" w:cs="Times New Roman"/>
          <w:lang w:val="de-DE"/>
        </w:rPr>
        <w:t>pietiek</w:t>
      </w:r>
      <w:proofErr w:type="spellEnd"/>
      <w:r w:rsidRPr="000C7C76">
        <w:rPr>
          <w:rFonts w:ascii="Times New Roman" w:hAnsi="Times New Roman" w:cs="Times New Roman"/>
          <w:lang w:val="de-DE"/>
        </w:rPr>
        <w:t xml:space="preserve"> </w:t>
      </w:r>
      <w:proofErr w:type="spellStart"/>
      <w:r w:rsidRPr="000C7C76">
        <w:rPr>
          <w:rFonts w:ascii="Times New Roman" w:hAnsi="Times New Roman" w:cs="Times New Roman"/>
          <w:lang w:val="de-DE"/>
        </w:rPr>
        <w:t>ar</w:t>
      </w:r>
      <w:proofErr w:type="spellEnd"/>
      <w:r w:rsidRPr="000C7C76">
        <w:rPr>
          <w:rFonts w:ascii="Times New Roman" w:hAnsi="Times New Roman" w:cs="Times New Roman"/>
          <w:lang w:val="de-DE"/>
        </w:rPr>
        <w:t xml:space="preserve"> </w:t>
      </w:r>
      <w:proofErr w:type="spellStart"/>
      <w:r w:rsidRPr="000C7C76">
        <w:rPr>
          <w:rFonts w:ascii="Times New Roman" w:hAnsi="Times New Roman" w:cs="Times New Roman"/>
          <w:lang w:val="de-DE"/>
        </w:rPr>
        <w:t>to</w:t>
      </w:r>
      <w:proofErr w:type="spellEnd"/>
      <w:r w:rsidRPr="000C7C76">
        <w:rPr>
          <w:rFonts w:ascii="Times New Roman" w:hAnsi="Times New Roman" w:cs="Times New Roman"/>
          <w:lang w:val="de-DE"/>
        </w:rPr>
        <w:t xml:space="preserve">, </w:t>
      </w:r>
      <w:proofErr w:type="spellStart"/>
      <w:r w:rsidRPr="000C7C76">
        <w:rPr>
          <w:rFonts w:ascii="Times New Roman" w:hAnsi="Times New Roman" w:cs="Times New Roman"/>
          <w:lang w:val="de-DE"/>
        </w:rPr>
        <w:t>ka</w:t>
      </w:r>
      <w:proofErr w:type="spellEnd"/>
      <w:r w:rsidRPr="000C7C76">
        <w:rPr>
          <w:rFonts w:ascii="Times New Roman" w:hAnsi="Times New Roman" w:cs="Times New Roman"/>
          <w:lang w:val="de-DE"/>
        </w:rPr>
        <w:t xml:space="preserve"> </w:t>
      </w:r>
      <w:proofErr w:type="spellStart"/>
      <w:r w:rsidRPr="000C7C76">
        <w:rPr>
          <w:rFonts w:ascii="Times New Roman" w:hAnsi="Times New Roman" w:cs="Times New Roman"/>
          <w:lang w:val="de-DE"/>
        </w:rPr>
        <w:t>Šveices</w:t>
      </w:r>
      <w:proofErr w:type="spellEnd"/>
      <w:r w:rsidRPr="000C7C76">
        <w:rPr>
          <w:rFonts w:ascii="Times New Roman" w:hAnsi="Times New Roman" w:cs="Times New Roman"/>
          <w:lang w:val="de-DE"/>
        </w:rPr>
        <w:t xml:space="preserve"> </w:t>
      </w:r>
      <w:proofErr w:type="spellStart"/>
      <w:r w:rsidRPr="000C7C76">
        <w:rPr>
          <w:rFonts w:ascii="Times New Roman" w:hAnsi="Times New Roman" w:cs="Times New Roman"/>
          <w:lang w:val="de-DE"/>
        </w:rPr>
        <w:t>notārs</w:t>
      </w:r>
      <w:proofErr w:type="spellEnd"/>
      <w:r w:rsidRPr="000C7C76">
        <w:rPr>
          <w:rFonts w:ascii="Times New Roman" w:hAnsi="Times New Roman" w:cs="Times New Roman"/>
          <w:lang w:val="de-DE"/>
        </w:rPr>
        <w:t xml:space="preserve"> </w:t>
      </w:r>
      <w:proofErr w:type="spellStart"/>
      <w:r w:rsidRPr="000C7C76">
        <w:rPr>
          <w:rFonts w:ascii="Times New Roman" w:hAnsi="Times New Roman" w:cs="Times New Roman"/>
          <w:lang w:val="de-DE"/>
        </w:rPr>
        <w:t>savā</w:t>
      </w:r>
      <w:proofErr w:type="spellEnd"/>
      <w:r w:rsidRPr="000C7C76">
        <w:rPr>
          <w:rFonts w:ascii="Times New Roman" w:hAnsi="Times New Roman" w:cs="Times New Roman"/>
          <w:lang w:val="de-DE"/>
        </w:rPr>
        <w:t xml:space="preserve"> </w:t>
      </w:r>
      <w:proofErr w:type="spellStart"/>
      <w:r w:rsidRPr="000C7C76">
        <w:rPr>
          <w:rFonts w:ascii="Times New Roman" w:hAnsi="Times New Roman" w:cs="Times New Roman"/>
          <w:lang w:val="de-DE"/>
        </w:rPr>
        <w:t>darbībā</w:t>
      </w:r>
      <w:proofErr w:type="spellEnd"/>
      <w:r w:rsidRPr="000C7C76">
        <w:rPr>
          <w:rFonts w:ascii="Times New Roman" w:hAnsi="Times New Roman" w:cs="Times New Roman"/>
          <w:lang w:val="de-DE"/>
        </w:rPr>
        <w:t xml:space="preserve"> </w:t>
      </w:r>
      <w:proofErr w:type="spellStart"/>
      <w:r w:rsidRPr="000C7C76">
        <w:rPr>
          <w:rFonts w:ascii="Times New Roman" w:hAnsi="Times New Roman" w:cs="Times New Roman"/>
          <w:lang w:val="de-DE"/>
        </w:rPr>
        <w:t>un</w:t>
      </w:r>
      <w:proofErr w:type="spellEnd"/>
      <w:r w:rsidRPr="000C7C76">
        <w:rPr>
          <w:rFonts w:ascii="Times New Roman" w:hAnsi="Times New Roman" w:cs="Times New Roman"/>
          <w:lang w:val="de-DE"/>
        </w:rPr>
        <w:t xml:space="preserve"> </w:t>
      </w:r>
      <w:proofErr w:type="spellStart"/>
      <w:r w:rsidRPr="000C7C76">
        <w:rPr>
          <w:rFonts w:ascii="Times New Roman" w:hAnsi="Times New Roman" w:cs="Times New Roman"/>
          <w:lang w:val="de-DE"/>
        </w:rPr>
        <w:t>funkcijās</w:t>
      </w:r>
      <w:proofErr w:type="spellEnd"/>
      <w:r w:rsidRPr="000C7C76">
        <w:rPr>
          <w:rFonts w:ascii="Times New Roman" w:hAnsi="Times New Roman" w:cs="Times New Roman"/>
          <w:lang w:val="de-DE"/>
        </w:rPr>
        <w:t xml:space="preserve"> </w:t>
      </w:r>
      <w:proofErr w:type="spellStart"/>
      <w:r w:rsidRPr="000C7C76">
        <w:rPr>
          <w:rFonts w:ascii="Times New Roman" w:hAnsi="Times New Roman" w:cs="Times New Roman"/>
          <w:lang w:val="de-DE"/>
        </w:rPr>
        <w:t>ir</w:t>
      </w:r>
      <w:proofErr w:type="spellEnd"/>
      <w:r w:rsidRPr="000C7C76">
        <w:rPr>
          <w:rFonts w:ascii="Times New Roman" w:hAnsi="Times New Roman" w:cs="Times New Roman"/>
          <w:lang w:val="de-DE"/>
        </w:rPr>
        <w:t xml:space="preserve"> </w:t>
      </w:r>
      <w:proofErr w:type="spellStart"/>
      <w:r w:rsidRPr="000C7C76">
        <w:rPr>
          <w:rFonts w:ascii="Times New Roman" w:hAnsi="Times New Roman" w:cs="Times New Roman"/>
          <w:lang w:val="de-DE"/>
        </w:rPr>
        <w:t>pielīdzināms</w:t>
      </w:r>
      <w:proofErr w:type="spellEnd"/>
      <w:r w:rsidRPr="000C7C76">
        <w:rPr>
          <w:rFonts w:ascii="Times New Roman" w:hAnsi="Times New Roman" w:cs="Times New Roman"/>
          <w:lang w:val="de-DE"/>
        </w:rPr>
        <w:t xml:space="preserve"> </w:t>
      </w:r>
      <w:proofErr w:type="spellStart"/>
      <w:r w:rsidRPr="000C7C76">
        <w:rPr>
          <w:rFonts w:ascii="Times New Roman" w:hAnsi="Times New Roman" w:cs="Times New Roman"/>
          <w:lang w:val="de-DE"/>
        </w:rPr>
        <w:t>Vācijas</w:t>
      </w:r>
      <w:proofErr w:type="spellEnd"/>
      <w:r w:rsidRPr="000C7C76">
        <w:rPr>
          <w:rFonts w:ascii="Times New Roman" w:hAnsi="Times New Roman" w:cs="Times New Roman"/>
          <w:lang w:val="de-DE"/>
        </w:rPr>
        <w:t xml:space="preserve"> </w:t>
      </w:r>
      <w:proofErr w:type="spellStart"/>
      <w:r w:rsidRPr="000C7C76">
        <w:rPr>
          <w:rFonts w:ascii="Times New Roman" w:hAnsi="Times New Roman" w:cs="Times New Roman"/>
          <w:lang w:val="de-DE"/>
        </w:rPr>
        <w:t>notāriem</w:t>
      </w:r>
      <w:proofErr w:type="spellEnd"/>
      <w:r w:rsidRPr="000C7C76">
        <w:rPr>
          <w:rFonts w:ascii="Times New Roman" w:hAnsi="Times New Roman" w:cs="Times New Roman"/>
          <w:lang w:val="de-DE"/>
        </w:rPr>
        <w:t xml:space="preserve">. Ko </w:t>
      </w:r>
      <w:proofErr w:type="spellStart"/>
      <w:r w:rsidRPr="000C7C76">
        <w:rPr>
          <w:rFonts w:ascii="Times New Roman" w:hAnsi="Times New Roman" w:cs="Times New Roman"/>
          <w:lang w:val="de-DE"/>
        </w:rPr>
        <w:t>nozīmē</w:t>
      </w:r>
      <w:proofErr w:type="spellEnd"/>
      <w:r w:rsidRPr="000C7C76">
        <w:rPr>
          <w:rFonts w:ascii="Times New Roman" w:hAnsi="Times New Roman" w:cs="Times New Roman"/>
          <w:lang w:val="de-DE"/>
        </w:rPr>
        <w:t xml:space="preserve"> </w:t>
      </w:r>
      <w:r>
        <w:rPr>
          <w:rFonts w:ascii="Times New Roman" w:hAnsi="Times New Roman" w:cs="Times New Roman"/>
          <w:lang w:val="de-DE"/>
        </w:rPr>
        <w:t>„</w:t>
      </w:r>
      <w:proofErr w:type="spellStart"/>
      <w:r>
        <w:rPr>
          <w:rFonts w:ascii="Times New Roman" w:hAnsi="Times New Roman" w:cs="Times New Roman"/>
          <w:lang w:val="de-DE"/>
        </w:rPr>
        <w:t>pielīdzināms</w:t>
      </w:r>
      <w:proofErr w:type="spellEnd"/>
      <w:r>
        <w:rPr>
          <w:rFonts w:ascii="Times New Roman" w:hAnsi="Times New Roman" w:cs="Times New Roman"/>
          <w:lang w:val="de-DE"/>
        </w:rPr>
        <w:t xml:space="preserve">“ </w:t>
      </w:r>
      <w:proofErr w:type="spellStart"/>
      <w:r>
        <w:rPr>
          <w:rFonts w:ascii="Times New Roman" w:hAnsi="Times New Roman" w:cs="Times New Roman"/>
          <w:lang w:val="de-DE"/>
        </w:rPr>
        <w:t>jeb</w:t>
      </w:r>
      <w:proofErr w:type="spellEnd"/>
      <w:r>
        <w:rPr>
          <w:rFonts w:ascii="Times New Roman" w:hAnsi="Times New Roman" w:cs="Times New Roman"/>
          <w:lang w:val="de-DE"/>
        </w:rPr>
        <w:t xml:space="preserve"> „</w:t>
      </w:r>
      <w:proofErr w:type="spellStart"/>
      <w:proofErr w:type="gramStart"/>
      <w:r>
        <w:rPr>
          <w:rFonts w:ascii="Times New Roman" w:hAnsi="Times New Roman" w:cs="Times New Roman"/>
          <w:lang w:val="de-DE"/>
        </w:rPr>
        <w:t>līdzvērtīgs</w:t>
      </w:r>
      <w:proofErr w:type="spellEnd"/>
      <w:r>
        <w:rPr>
          <w:rFonts w:ascii="Times New Roman" w:hAnsi="Times New Roman" w:cs="Times New Roman"/>
          <w:lang w:val="de-DE"/>
        </w:rPr>
        <w:t>„</w:t>
      </w:r>
      <w:proofErr w:type="gramEnd"/>
      <w:r w:rsidRPr="000C7C76">
        <w:rPr>
          <w:rFonts w:ascii="Times New Roman" w:hAnsi="Times New Roman" w:cs="Times New Roman"/>
          <w:lang w:val="de-DE"/>
        </w:rPr>
        <w:t xml:space="preserve">? Tas </w:t>
      </w:r>
      <w:proofErr w:type="spellStart"/>
      <w:r w:rsidRPr="000C7C76">
        <w:rPr>
          <w:rFonts w:ascii="Times New Roman" w:hAnsi="Times New Roman" w:cs="Times New Roman"/>
          <w:lang w:val="de-DE"/>
        </w:rPr>
        <w:t>nozīmē</w:t>
      </w:r>
      <w:proofErr w:type="spellEnd"/>
      <w:r w:rsidRPr="000C7C76">
        <w:rPr>
          <w:rFonts w:ascii="Times New Roman" w:hAnsi="Times New Roman" w:cs="Times New Roman"/>
          <w:lang w:val="de-DE"/>
        </w:rPr>
        <w:t xml:space="preserve"> </w:t>
      </w:r>
      <w:proofErr w:type="spellStart"/>
      <w:r w:rsidRPr="000C7C76">
        <w:rPr>
          <w:rFonts w:ascii="Times New Roman" w:hAnsi="Times New Roman" w:cs="Times New Roman"/>
          <w:lang w:val="de-DE"/>
        </w:rPr>
        <w:t>to</w:t>
      </w:r>
      <w:proofErr w:type="spellEnd"/>
      <w:r w:rsidRPr="000C7C76">
        <w:rPr>
          <w:rFonts w:ascii="Times New Roman" w:hAnsi="Times New Roman" w:cs="Times New Roman"/>
          <w:lang w:val="de-DE"/>
        </w:rPr>
        <w:t xml:space="preserve">, </w:t>
      </w:r>
      <w:proofErr w:type="spellStart"/>
      <w:r w:rsidRPr="000C7C76">
        <w:rPr>
          <w:rFonts w:ascii="Times New Roman" w:hAnsi="Times New Roman" w:cs="Times New Roman"/>
          <w:lang w:val="de-DE"/>
        </w:rPr>
        <w:t>ka</w:t>
      </w:r>
      <w:proofErr w:type="spellEnd"/>
      <w:r w:rsidRPr="000C7C76">
        <w:rPr>
          <w:rFonts w:ascii="Times New Roman" w:hAnsi="Times New Roman" w:cs="Times New Roman"/>
          <w:lang w:val="de-DE"/>
        </w:rPr>
        <w:t xml:space="preserve"> </w:t>
      </w:r>
      <w:proofErr w:type="spellStart"/>
      <w:r w:rsidRPr="000C7C76">
        <w:rPr>
          <w:rFonts w:ascii="Times New Roman" w:hAnsi="Times New Roman" w:cs="Times New Roman"/>
          <w:lang w:val="de-DE"/>
        </w:rPr>
        <w:t>ārvalsts</w:t>
      </w:r>
      <w:proofErr w:type="spellEnd"/>
      <w:r w:rsidRPr="000C7C76">
        <w:rPr>
          <w:rFonts w:ascii="Times New Roman" w:hAnsi="Times New Roman" w:cs="Times New Roman"/>
          <w:lang w:val="de-DE"/>
        </w:rPr>
        <w:t xml:space="preserve"> </w:t>
      </w:r>
      <w:proofErr w:type="spellStart"/>
      <w:r w:rsidRPr="000C7C76">
        <w:rPr>
          <w:rFonts w:ascii="Times New Roman" w:hAnsi="Times New Roman" w:cs="Times New Roman"/>
          <w:lang w:val="de-DE"/>
        </w:rPr>
        <w:t>notārs</w:t>
      </w:r>
      <w:proofErr w:type="spellEnd"/>
      <w:r w:rsidRPr="000C7C76">
        <w:rPr>
          <w:rFonts w:ascii="Times New Roman" w:hAnsi="Times New Roman" w:cs="Times New Roman"/>
          <w:lang w:val="de-DE"/>
        </w:rPr>
        <w:t xml:space="preserve"> </w:t>
      </w:r>
      <w:proofErr w:type="spellStart"/>
      <w:r w:rsidRPr="000C7C76">
        <w:rPr>
          <w:rFonts w:ascii="Times New Roman" w:hAnsi="Times New Roman" w:cs="Times New Roman"/>
          <w:lang w:val="de-DE"/>
        </w:rPr>
        <w:t>pēc</w:t>
      </w:r>
      <w:proofErr w:type="spellEnd"/>
      <w:r w:rsidRPr="000C7C76">
        <w:rPr>
          <w:rFonts w:ascii="Times New Roman" w:hAnsi="Times New Roman" w:cs="Times New Roman"/>
          <w:lang w:val="de-DE"/>
        </w:rPr>
        <w:t xml:space="preserve"> </w:t>
      </w:r>
      <w:proofErr w:type="spellStart"/>
      <w:r w:rsidRPr="000C7C76">
        <w:rPr>
          <w:rFonts w:ascii="Times New Roman" w:hAnsi="Times New Roman" w:cs="Times New Roman"/>
          <w:lang w:val="de-DE"/>
        </w:rPr>
        <w:t>savas</w:t>
      </w:r>
      <w:proofErr w:type="spellEnd"/>
      <w:r w:rsidRPr="000C7C76">
        <w:rPr>
          <w:rFonts w:ascii="Times New Roman" w:hAnsi="Times New Roman" w:cs="Times New Roman"/>
          <w:lang w:val="de-DE"/>
        </w:rPr>
        <w:t xml:space="preserve"> </w:t>
      </w:r>
      <w:proofErr w:type="spellStart"/>
      <w:r w:rsidRPr="000C7C76">
        <w:rPr>
          <w:rFonts w:ascii="Times New Roman" w:hAnsi="Times New Roman" w:cs="Times New Roman"/>
          <w:lang w:val="de-DE"/>
        </w:rPr>
        <w:t>izglītības</w:t>
      </w:r>
      <w:proofErr w:type="spellEnd"/>
      <w:r w:rsidRPr="000C7C76">
        <w:rPr>
          <w:rFonts w:ascii="Times New Roman" w:hAnsi="Times New Roman" w:cs="Times New Roman"/>
          <w:lang w:val="de-DE"/>
        </w:rPr>
        <w:t xml:space="preserve"> </w:t>
      </w:r>
      <w:proofErr w:type="spellStart"/>
      <w:r w:rsidRPr="000C7C76">
        <w:rPr>
          <w:rFonts w:ascii="Times New Roman" w:hAnsi="Times New Roman" w:cs="Times New Roman"/>
          <w:lang w:val="de-DE"/>
        </w:rPr>
        <w:t>un</w:t>
      </w:r>
      <w:proofErr w:type="spellEnd"/>
      <w:r w:rsidRPr="000C7C76">
        <w:rPr>
          <w:rFonts w:ascii="Times New Roman" w:hAnsi="Times New Roman" w:cs="Times New Roman"/>
          <w:lang w:val="de-DE"/>
        </w:rPr>
        <w:t xml:space="preserve"> </w:t>
      </w:r>
      <w:proofErr w:type="spellStart"/>
      <w:r w:rsidRPr="000C7C76">
        <w:rPr>
          <w:rFonts w:ascii="Times New Roman" w:hAnsi="Times New Roman" w:cs="Times New Roman"/>
          <w:lang w:val="de-DE"/>
        </w:rPr>
        <w:t>ieņemamā</w:t>
      </w:r>
      <w:proofErr w:type="spellEnd"/>
      <w:r w:rsidRPr="000C7C76">
        <w:rPr>
          <w:rFonts w:ascii="Times New Roman" w:hAnsi="Times New Roman" w:cs="Times New Roman"/>
          <w:lang w:val="de-DE"/>
        </w:rPr>
        <w:t xml:space="preserve"> </w:t>
      </w:r>
      <w:proofErr w:type="spellStart"/>
      <w:r w:rsidRPr="000C7C76">
        <w:rPr>
          <w:rFonts w:ascii="Times New Roman" w:hAnsi="Times New Roman" w:cs="Times New Roman"/>
          <w:lang w:val="de-DE"/>
        </w:rPr>
        <w:t>amata</w:t>
      </w:r>
      <w:proofErr w:type="spellEnd"/>
      <w:r w:rsidRPr="000C7C76">
        <w:rPr>
          <w:rFonts w:ascii="Times New Roman" w:hAnsi="Times New Roman" w:cs="Times New Roman"/>
          <w:lang w:val="de-DE"/>
        </w:rPr>
        <w:t xml:space="preserve"> </w:t>
      </w:r>
      <w:proofErr w:type="spellStart"/>
      <w:r w:rsidRPr="000C7C76">
        <w:rPr>
          <w:rFonts w:ascii="Times New Roman" w:hAnsi="Times New Roman" w:cs="Times New Roman"/>
          <w:lang w:val="de-DE"/>
        </w:rPr>
        <w:t>tiesību</w:t>
      </w:r>
      <w:proofErr w:type="spellEnd"/>
      <w:r w:rsidRPr="000C7C76">
        <w:rPr>
          <w:rFonts w:ascii="Times New Roman" w:hAnsi="Times New Roman" w:cs="Times New Roman"/>
          <w:lang w:val="de-DE"/>
        </w:rPr>
        <w:t xml:space="preserve"> </w:t>
      </w:r>
      <w:proofErr w:type="spellStart"/>
      <w:r w:rsidRPr="000C7C76">
        <w:rPr>
          <w:rFonts w:ascii="Times New Roman" w:hAnsi="Times New Roman" w:cs="Times New Roman"/>
          <w:lang w:val="de-DE"/>
        </w:rPr>
        <w:t>sistēmā</w:t>
      </w:r>
      <w:proofErr w:type="spellEnd"/>
      <w:r w:rsidRPr="000C7C76">
        <w:rPr>
          <w:rFonts w:ascii="Times New Roman" w:hAnsi="Times New Roman" w:cs="Times New Roman"/>
          <w:lang w:val="de-DE"/>
        </w:rPr>
        <w:t xml:space="preserve"> </w:t>
      </w:r>
      <w:proofErr w:type="spellStart"/>
      <w:r w:rsidRPr="000C7C76">
        <w:rPr>
          <w:rFonts w:ascii="Times New Roman" w:hAnsi="Times New Roman" w:cs="Times New Roman"/>
          <w:lang w:val="de-DE"/>
        </w:rPr>
        <w:t>veic</w:t>
      </w:r>
      <w:proofErr w:type="spellEnd"/>
      <w:r w:rsidRPr="000C7C76">
        <w:rPr>
          <w:rFonts w:ascii="Times New Roman" w:hAnsi="Times New Roman" w:cs="Times New Roman"/>
          <w:lang w:val="de-DE"/>
        </w:rPr>
        <w:t xml:space="preserve"> </w:t>
      </w:r>
      <w:proofErr w:type="spellStart"/>
      <w:r w:rsidRPr="000C7C76">
        <w:rPr>
          <w:rFonts w:ascii="Times New Roman" w:hAnsi="Times New Roman" w:cs="Times New Roman"/>
          <w:lang w:val="de-DE"/>
        </w:rPr>
        <w:t>tādu</w:t>
      </w:r>
      <w:proofErr w:type="spellEnd"/>
      <w:r w:rsidRPr="000C7C76">
        <w:rPr>
          <w:rFonts w:ascii="Times New Roman" w:hAnsi="Times New Roman" w:cs="Times New Roman"/>
          <w:lang w:val="de-DE"/>
        </w:rPr>
        <w:t xml:space="preserve"> </w:t>
      </w:r>
      <w:proofErr w:type="spellStart"/>
      <w:r w:rsidRPr="000C7C76">
        <w:rPr>
          <w:rFonts w:ascii="Times New Roman" w:hAnsi="Times New Roman" w:cs="Times New Roman"/>
          <w:lang w:val="de-DE"/>
        </w:rPr>
        <w:t>darbību</w:t>
      </w:r>
      <w:proofErr w:type="spellEnd"/>
      <w:r w:rsidRPr="000C7C76">
        <w:rPr>
          <w:rFonts w:ascii="Times New Roman" w:hAnsi="Times New Roman" w:cs="Times New Roman"/>
          <w:lang w:val="de-DE"/>
        </w:rPr>
        <w:t xml:space="preserve"> (</w:t>
      </w:r>
      <w:proofErr w:type="spellStart"/>
      <w:r w:rsidRPr="000C7C76">
        <w:rPr>
          <w:rFonts w:ascii="Times New Roman" w:hAnsi="Times New Roman" w:cs="Times New Roman"/>
          <w:lang w:val="de-DE"/>
        </w:rPr>
        <w:t>funkcijas</w:t>
      </w:r>
      <w:proofErr w:type="spellEnd"/>
      <w:r w:rsidRPr="000C7C76">
        <w:rPr>
          <w:rFonts w:ascii="Times New Roman" w:hAnsi="Times New Roman" w:cs="Times New Roman"/>
          <w:lang w:val="de-DE"/>
        </w:rPr>
        <w:t xml:space="preserve">), </w:t>
      </w:r>
      <w:proofErr w:type="spellStart"/>
      <w:r w:rsidRPr="000C7C76">
        <w:rPr>
          <w:rFonts w:ascii="Times New Roman" w:hAnsi="Times New Roman" w:cs="Times New Roman"/>
          <w:lang w:val="de-DE"/>
        </w:rPr>
        <w:t>kas</w:t>
      </w:r>
      <w:proofErr w:type="spellEnd"/>
      <w:r w:rsidRPr="000C7C76">
        <w:rPr>
          <w:rFonts w:ascii="Times New Roman" w:hAnsi="Times New Roman" w:cs="Times New Roman"/>
          <w:lang w:val="de-DE"/>
        </w:rPr>
        <w:t xml:space="preserve"> </w:t>
      </w:r>
      <w:proofErr w:type="spellStart"/>
      <w:r w:rsidRPr="000C7C76">
        <w:rPr>
          <w:rFonts w:ascii="Times New Roman" w:hAnsi="Times New Roman" w:cs="Times New Roman"/>
          <w:lang w:val="de-DE"/>
        </w:rPr>
        <w:t>atbilst</w:t>
      </w:r>
      <w:proofErr w:type="spellEnd"/>
      <w:r w:rsidRPr="000C7C76">
        <w:rPr>
          <w:rFonts w:ascii="Times New Roman" w:hAnsi="Times New Roman" w:cs="Times New Roman"/>
          <w:lang w:val="de-DE"/>
        </w:rPr>
        <w:t xml:space="preserve"> </w:t>
      </w:r>
      <w:proofErr w:type="spellStart"/>
      <w:r w:rsidRPr="000C7C76">
        <w:rPr>
          <w:rFonts w:ascii="Times New Roman" w:hAnsi="Times New Roman" w:cs="Times New Roman"/>
          <w:lang w:val="de-DE"/>
        </w:rPr>
        <w:t>Vācijas</w:t>
      </w:r>
      <w:proofErr w:type="spellEnd"/>
      <w:r w:rsidRPr="000C7C76">
        <w:rPr>
          <w:rFonts w:ascii="Times New Roman" w:hAnsi="Times New Roman" w:cs="Times New Roman"/>
          <w:lang w:val="de-DE"/>
        </w:rPr>
        <w:t xml:space="preserve"> </w:t>
      </w:r>
      <w:proofErr w:type="spellStart"/>
      <w:r w:rsidRPr="000C7C76">
        <w:rPr>
          <w:rFonts w:ascii="Times New Roman" w:hAnsi="Times New Roman" w:cs="Times New Roman"/>
          <w:lang w:val="de-DE"/>
        </w:rPr>
        <w:t>notāru</w:t>
      </w:r>
      <w:proofErr w:type="spellEnd"/>
      <w:r w:rsidRPr="000C7C76">
        <w:rPr>
          <w:rFonts w:ascii="Times New Roman" w:hAnsi="Times New Roman" w:cs="Times New Roman"/>
          <w:lang w:val="de-DE"/>
        </w:rPr>
        <w:t xml:space="preserve"> </w:t>
      </w:r>
      <w:proofErr w:type="spellStart"/>
      <w:r w:rsidRPr="000C7C76">
        <w:rPr>
          <w:rFonts w:ascii="Times New Roman" w:hAnsi="Times New Roman" w:cs="Times New Roman"/>
          <w:lang w:val="de-DE"/>
        </w:rPr>
        <w:t>darbībai</w:t>
      </w:r>
      <w:proofErr w:type="spellEnd"/>
      <w:r w:rsidRPr="000C7C76">
        <w:rPr>
          <w:rFonts w:ascii="Times New Roman" w:hAnsi="Times New Roman" w:cs="Times New Roman"/>
          <w:lang w:val="de-DE"/>
        </w:rPr>
        <w:t xml:space="preserve"> </w:t>
      </w:r>
      <w:proofErr w:type="spellStart"/>
      <w:r w:rsidRPr="000C7C76">
        <w:rPr>
          <w:rFonts w:ascii="Times New Roman" w:hAnsi="Times New Roman" w:cs="Times New Roman"/>
          <w:lang w:val="de-DE"/>
        </w:rPr>
        <w:t>un</w:t>
      </w:r>
      <w:proofErr w:type="spellEnd"/>
      <w:r w:rsidRPr="000C7C76">
        <w:rPr>
          <w:rFonts w:ascii="Times New Roman" w:hAnsi="Times New Roman" w:cs="Times New Roman"/>
          <w:lang w:val="de-DE"/>
        </w:rPr>
        <w:t xml:space="preserve"> </w:t>
      </w:r>
      <w:proofErr w:type="spellStart"/>
      <w:r w:rsidRPr="000C7C76">
        <w:rPr>
          <w:rFonts w:ascii="Times New Roman" w:hAnsi="Times New Roman" w:cs="Times New Roman"/>
          <w:lang w:val="de-DE"/>
        </w:rPr>
        <w:t>funkcijām</w:t>
      </w:r>
      <w:proofErr w:type="spellEnd"/>
      <w:r w:rsidRPr="000C7C76">
        <w:rPr>
          <w:rFonts w:ascii="Times New Roman" w:hAnsi="Times New Roman" w:cs="Times New Roman"/>
          <w:lang w:val="de-DE"/>
        </w:rPr>
        <w:t xml:space="preserve">, </w:t>
      </w:r>
      <w:proofErr w:type="spellStart"/>
      <w:r w:rsidRPr="000C7C76">
        <w:rPr>
          <w:rFonts w:ascii="Times New Roman" w:hAnsi="Times New Roman" w:cs="Times New Roman"/>
          <w:lang w:val="de-DE"/>
        </w:rPr>
        <w:t>un</w:t>
      </w:r>
      <w:proofErr w:type="spellEnd"/>
      <w:r w:rsidRPr="000C7C76">
        <w:rPr>
          <w:rFonts w:ascii="Times New Roman" w:hAnsi="Times New Roman" w:cs="Times New Roman"/>
          <w:lang w:val="de-DE"/>
        </w:rPr>
        <w:t xml:space="preserve"> </w:t>
      </w:r>
      <w:proofErr w:type="spellStart"/>
      <w:r w:rsidRPr="000C7C76">
        <w:rPr>
          <w:rFonts w:ascii="Times New Roman" w:hAnsi="Times New Roman" w:cs="Times New Roman"/>
          <w:lang w:val="de-DE"/>
        </w:rPr>
        <w:t>dokumenta</w:t>
      </w:r>
      <w:proofErr w:type="spellEnd"/>
      <w:r w:rsidRPr="000C7C76">
        <w:rPr>
          <w:rFonts w:ascii="Times New Roman" w:hAnsi="Times New Roman" w:cs="Times New Roman"/>
          <w:lang w:val="de-DE"/>
        </w:rPr>
        <w:t xml:space="preserve"> </w:t>
      </w:r>
      <w:proofErr w:type="spellStart"/>
      <w:r w:rsidRPr="000C7C76">
        <w:rPr>
          <w:rFonts w:ascii="Times New Roman" w:hAnsi="Times New Roman" w:cs="Times New Roman"/>
          <w:lang w:val="de-DE"/>
        </w:rPr>
        <w:t>izdošanā</w:t>
      </w:r>
      <w:proofErr w:type="spellEnd"/>
      <w:r w:rsidRPr="000C7C76">
        <w:rPr>
          <w:rFonts w:ascii="Times New Roman" w:hAnsi="Times New Roman" w:cs="Times New Roman"/>
          <w:lang w:val="de-DE"/>
        </w:rPr>
        <w:t xml:space="preserve"> </w:t>
      </w:r>
      <w:proofErr w:type="spellStart"/>
      <w:r w:rsidRPr="000C7C76">
        <w:rPr>
          <w:rFonts w:ascii="Times New Roman" w:hAnsi="Times New Roman" w:cs="Times New Roman"/>
          <w:lang w:val="de-DE"/>
        </w:rPr>
        <w:t>tiek</w:t>
      </w:r>
      <w:proofErr w:type="spellEnd"/>
      <w:r w:rsidRPr="000C7C76">
        <w:rPr>
          <w:rFonts w:ascii="Times New Roman" w:hAnsi="Times New Roman" w:cs="Times New Roman"/>
          <w:lang w:val="de-DE"/>
        </w:rPr>
        <w:t xml:space="preserve"> </w:t>
      </w:r>
      <w:proofErr w:type="spellStart"/>
      <w:r w:rsidRPr="000C7C76">
        <w:rPr>
          <w:rFonts w:ascii="Times New Roman" w:hAnsi="Times New Roman" w:cs="Times New Roman"/>
          <w:lang w:val="de-DE"/>
        </w:rPr>
        <w:t>ievērots</w:t>
      </w:r>
      <w:proofErr w:type="spellEnd"/>
      <w:r w:rsidRPr="000C7C76">
        <w:rPr>
          <w:rFonts w:ascii="Times New Roman" w:hAnsi="Times New Roman" w:cs="Times New Roman"/>
          <w:lang w:val="de-DE"/>
        </w:rPr>
        <w:t xml:space="preserve"> </w:t>
      </w:r>
      <w:proofErr w:type="spellStart"/>
      <w:r w:rsidRPr="000C7C76">
        <w:rPr>
          <w:rFonts w:ascii="Times New Roman" w:hAnsi="Times New Roman" w:cs="Times New Roman"/>
          <w:lang w:val="de-DE"/>
        </w:rPr>
        <w:t>tāds</w:t>
      </w:r>
      <w:proofErr w:type="spellEnd"/>
      <w:r w:rsidRPr="000C7C76">
        <w:rPr>
          <w:rFonts w:ascii="Times New Roman" w:hAnsi="Times New Roman" w:cs="Times New Roman"/>
          <w:lang w:val="de-DE"/>
        </w:rPr>
        <w:t xml:space="preserve"> </w:t>
      </w:r>
      <w:proofErr w:type="spellStart"/>
      <w:r w:rsidRPr="000C7C76">
        <w:rPr>
          <w:rFonts w:ascii="Times New Roman" w:hAnsi="Times New Roman" w:cs="Times New Roman"/>
          <w:lang w:val="de-DE"/>
        </w:rPr>
        <w:t>process</w:t>
      </w:r>
      <w:proofErr w:type="spellEnd"/>
      <w:r w:rsidRPr="000C7C76">
        <w:rPr>
          <w:rFonts w:ascii="Times New Roman" w:hAnsi="Times New Roman" w:cs="Times New Roman"/>
          <w:lang w:val="de-DE"/>
        </w:rPr>
        <w:t xml:space="preserve">, </w:t>
      </w:r>
      <w:proofErr w:type="spellStart"/>
      <w:r w:rsidRPr="000C7C76">
        <w:rPr>
          <w:rFonts w:ascii="Times New Roman" w:hAnsi="Times New Roman" w:cs="Times New Roman"/>
          <w:lang w:val="de-DE"/>
        </w:rPr>
        <w:t>kas</w:t>
      </w:r>
      <w:proofErr w:type="spellEnd"/>
      <w:r w:rsidRPr="000C7C76">
        <w:rPr>
          <w:rFonts w:ascii="Times New Roman" w:hAnsi="Times New Roman" w:cs="Times New Roman"/>
          <w:lang w:val="de-DE"/>
        </w:rPr>
        <w:t xml:space="preserve"> </w:t>
      </w:r>
      <w:proofErr w:type="spellStart"/>
      <w:r w:rsidRPr="000C7C76">
        <w:rPr>
          <w:rFonts w:ascii="Times New Roman" w:hAnsi="Times New Roman" w:cs="Times New Roman"/>
          <w:lang w:val="de-DE"/>
        </w:rPr>
        <w:t>atbilst</w:t>
      </w:r>
      <w:proofErr w:type="spellEnd"/>
      <w:r w:rsidRPr="000C7C76">
        <w:rPr>
          <w:rFonts w:ascii="Times New Roman" w:hAnsi="Times New Roman" w:cs="Times New Roman"/>
          <w:lang w:val="de-DE"/>
        </w:rPr>
        <w:t xml:space="preserve"> </w:t>
      </w:r>
      <w:proofErr w:type="spellStart"/>
      <w:r w:rsidRPr="000C7C76">
        <w:rPr>
          <w:rFonts w:ascii="Times New Roman" w:hAnsi="Times New Roman" w:cs="Times New Roman"/>
          <w:lang w:val="de-DE"/>
        </w:rPr>
        <w:t>Vācijā</w:t>
      </w:r>
      <w:proofErr w:type="spellEnd"/>
      <w:r w:rsidRPr="000C7C76">
        <w:rPr>
          <w:rFonts w:ascii="Times New Roman" w:hAnsi="Times New Roman" w:cs="Times New Roman"/>
          <w:lang w:val="de-DE"/>
        </w:rPr>
        <w:t xml:space="preserve"> </w:t>
      </w:r>
      <w:proofErr w:type="spellStart"/>
      <w:r w:rsidRPr="000C7C76">
        <w:rPr>
          <w:rFonts w:ascii="Times New Roman" w:hAnsi="Times New Roman" w:cs="Times New Roman"/>
          <w:lang w:val="de-DE"/>
        </w:rPr>
        <w:t>noteiktā</w:t>
      </w:r>
      <w:proofErr w:type="spellEnd"/>
      <w:r w:rsidRPr="000C7C76">
        <w:rPr>
          <w:rFonts w:ascii="Times New Roman" w:hAnsi="Times New Roman" w:cs="Times New Roman"/>
          <w:lang w:val="de-DE"/>
        </w:rPr>
        <w:t xml:space="preserve"> </w:t>
      </w:r>
      <w:proofErr w:type="spellStart"/>
      <w:r w:rsidRPr="000C7C76">
        <w:rPr>
          <w:rFonts w:ascii="Times New Roman" w:hAnsi="Times New Roman" w:cs="Times New Roman"/>
          <w:lang w:val="de-DE"/>
        </w:rPr>
        <w:t>notariālā</w:t>
      </w:r>
      <w:proofErr w:type="spellEnd"/>
      <w:r w:rsidRPr="000C7C76">
        <w:rPr>
          <w:rFonts w:ascii="Times New Roman" w:hAnsi="Times New Roman" w:cs="Times New Roman"/>
          <w:lang w:val="de-DE"/>
        </w:rPr>
        <w:t xml:space="preserve"> </w:t>
      </w:r>
      <w:proofErr w:type="spellStart"/>
      <w:r w:rsidRPr="000C7C76">
        <w:rPr>
          <w:rFonts w:ascii="Times New Roman" w:hAnsi="Times New Roman" w:cs="Times New Roman"/>
          <w:lang w:val="de-DE"/>
        </w:rPr>
        <w:t>procesa</w:t>
      </w:r>
      <w:proofErr w:type="spellEnd"/>
      <w:r w:rsidRPr="000C7C76">
        <w:rPr>
          <w:rFonts w:ascii="Times New Roman" w:hAnsi="Times New Roman" w:cs="Times New Roman"/>
          <w:lang w:val="de-DE"/>
        </w:rPr>
        <w:t xml:space="preserve"> </w:t>
      </w:r>
      <w:proofErr w:type="spellStart"/>
      <w:r w:rsidRPr="000C7C76">
        <w:rPr>
          <w:rFonts w:ascii="Times New Roman" w:hAnsi="Times New Roman" w:cs="Times New Roman"/>
          <w:lang w:val="de-DE"/>
        </w:rPr>
        <w:t>pamatprincipiem</w:t>
      </w:r>
      <w:proofErr w:type="spellEnd"/>
      <w:r w:rsidRPr="000C7C76">
        <w:rPr>
          <w:rFonts w:ascii="Times New Roman" w:hAnsi="Times New Roman" w:cs="Times New Roman"/>
          <w:lang w:val="de-DE"/>
        </w:rPr>
        <w:t>.</w:t>
      </w:r>
      <w:r>
        <w:rPr>
          <w:rStyle w:val="FootnoteReference"/>
          <w:rFonts w:ascii="Times New Roman" w:hAnsi="Times New Roman" w:cs="Times New Roman"/>
        </w:rPr>
        <w:footnoteReference w:id="103"/>
      </w:r>
      <w:r w:rsidRPr="000C7C76">
        <w:rPr>
          <w:rFonts w:ascii="Times New Roman" w:hAnsi="Times New Roman" w:cs="Times New Roman"/>
          <w:lang w:val="de-DE"/>
        </w:rPr>
        <w:t xml:space="preserve"> </w:t>
      </w:r>
      <w:r>
        <w:rPr>
          <w:rFonts w:ascii="Times New Roman" w:hAnsi="Times New Roman" w:cs="Times New Roman"/>
          <w:lang w:val="lv-LV"/>
        </w:rPr>
        <w:t>Būtiski atzīmēt, ka šeit netiek prasīts, lai Šveices notāri dokumenta izdošanas procesā ievērotu Vācijas likuma prasības – svarīgi ir, lai Šveices likums paredzētu lielos vilcienos tādas pašas procesuālās prasības, kādas ir Vācijā.</w:t>
      </w:r>
      <w:r>
        <w:rPr>
          <w:rStyle w:val="FootnoteReference"/>
          <w:rFonts w:ascii="Times New Roman" w:hAnsi="Times New Roman" w:cs="Times New Roman"/>
          <w:lang w:val="lv-LV"/>
        </w:rPr>
        <w:footnoteReference w:id="104"/>
      </w:r>
      <w:r>
        <w:rPr>
          <w:rFonts w:ascii="Times New Roman" w:hAnsi="Times New Roman" w:cs="Times New Roman"/>
          <w:lang w:val="lv-LV"/>
        </w:rPr>
        <w:t xml:space="preserve"> </w:t>
      </w:r>
      <w:r w:rsidRPr="000C7C76">
        <w:rPr>
          <w:rFonts w:ascii="Times New Roman" w:hAnsi="Times New Roman" w:cs="Times New Roman"/>
          <w:lang w:val="lv-LV"/>
        </w:rPr>
        <w:t xml:space="preserve">Citiem vārdiem sakot, Vācijas Augstākā tiesa atļāva dokumentu </w:t>
      </w:r>
      <w:r w:rsidRPr="000C7C76">
        <w:rPr>
          <w:rFonts w:ascii="Times New Roman" w:hAnsi="Times New Roman" w:cs="Times New Roman"/>
          <w:b/>
          <w:lang w:val="lv-LV"/>
        </w:rPr>
        <w:t>formas substitūciju</w:t>
      </w:r>
      <w:r w:rsidR="00F63FC2" w:rsidRPr="000C7C76">
        <w:rPr>
          <w:rFonts w:ascii="Times New Roman" w:hAnsi="Times New Roman" w:cs="Times New Roman"/>
          <w:b/>
          <w:lang w:val="lv-LV"/>
        </w:rPr>
        <w:t xml:space="preserve"> (ekvivalenci)</w:t>
      </w:r>
      <w:r w:rsidRPr="000C7C76">
        <w:rPr>
          <w:rFonts w:ascii="Times New Roman" w:hAnsi="Times New Roman" w:cs="Times New Roman"/>
          <w:lang w:val="lv-LV"/>
        </w:rPr>
        <w:t xml:space="preserve">. </w:t>
      </w:r>
      <w:proofErr w:type="spellStart"/>
      <w:r>
        <w:rPr>
          <w:rFonts w:ascii="Times New Roman" w:hAnsi="Times New Roman" w:cs="Times New Roman"/>
        </w:rPr>
        <w:t>Taču</w:t>
      </w:r>
      <w:proofErr w:type="spellEnd"/>
      <w:r>
        <w:rPr>
          <w:rFonts w:ascii="Times New Roman" w:hAnsi="Times New Roman" w:cs="Times New Roman"/>
        </w:rPr>
        <w:t xml:space="preserve"> </w:t>
      </w:r>
      <w:proofErr w:type="spellStart"/>
      <w:r>
        <w:rPr>
          <w:rFonts w:ascii="Times New Roman" w:hAnsi="Times New Roman" w:cs="Times New Roman"/>
        </w:rPr>
        <w:t>jautājums</w:t>
      </w:r>
      <w:proofErr w:type="spellEnd"/>
      <w:r>
        <w:rPr>
          <w:rFonts w:ascii="Times New Roman" w:hAnsi="Times New Roman" w:cs="Times New Roman"/>
        </w:rPr>
        <w:t xml:space="preserve"> par </w:t>
      </w:r>
      <w:proofErr w:type="spellStart"/>
      <w:r>
        <w:rPr>
          <w:rFonts w:ascii="Times New Roman" w:hAnsi="Times New Roman" w:cs="Times New Roman"/>
        </w:rPr>
        <w:t>dokumenta</w:t>
      </w:r>
      <w:proofErr w:type="spellEnd"/>
      <w:r>
        <w:rPr>
          <w:rFonts w:ascii="Times New Roman" w:hAnsi="Times New Roman" w:cs="Times New Roman"/>
        </w:rPr>
        <w:t xml:space="preserve"> satura </w:t>
      </w:r>
      <w:proofErr w:type="spellStart"/>
      <w:r>
        <w:rPr>
          <w:rFonts w:ascii="Times New Roman" w:hAnsi="Times New Roman" w:cs="Times New Roman"/>
        </w:rPr>
        <w:t>substitūciju</w:t>
      </w:r>
      <w:proofErr w:type="spellEnd"/>
      <w:r w:rsidR="00F63FC2">
        <w:rPr>
          <w:rFonts w:ascii="Times New Roman" w:hAnsi="Times New Roman" w:cs="Times New Roman"/>
        </w:rPr>
        <w:t xml:space="preserve"> (</w:t>
      </w:r>
      <w:proofErr w:type="spellStart"/>
      <w:r w:rsidR="00F63FC2">
        <w:rPr>
          <w:rFonts w:ascii="Times New Roman" w:hAnsi="Times New Roman" w:cs="Times New Roman"/>
        </w:rPr>
        <w:t>ekvivalenci</w:t>
      </w:r>
      <w:proofErr w:type="spellEnd"/>
      <w:r w:rsidR="00F63FC2">
        <w:rPr>
          <w:rFonts w:ascii="Times New Roman" w:hAnsi="Times New Roman" w:cs="Times New Roman"/>
        </w:rPr>
        <w:t>)</w:t>
      </w:r>
      <w:r>
        <w:rPr>
          <w:rFonts w:ascii="Times New Roman" w:hAnsi="Times New Roman" w:cs="Times New Roman"/>
        </w:rPr>
        <w:t xml:space="preserve"> </w:t>
      </w:r>
      <w:proofErr w:type="spellStart"/>
      <w:r>
        <w:rPr>
          <w:rFonts w:ascii="Times New Roman" w:hAnsi="Times New Roman" w:cs="Times New Roman"/>
        </w:rPr>
        <w:t>skatīts</w:t>
      </w:r>
      <w:proofErr w:type="spellEnd"/>
      <w:r>
        <w:rPr>
          <w:rFonts w:ascii="Times New Roman" w:hAnsi="Times New Roman" w:cs="Times New Roman"/>
        </w:rPr>
        <w:t xml:space="preserve"> </w:t>
      </w:r>
      <w:proofErr w:type="spellStart"/>
      <w:r>
        <w:rPr>
          <w:rFonts w:ascii="Times New Roman" w:hAnsi="Times New Roman" w:cs="Times New Roman"/>
        </w:rPr>
        <w:t>netika</w:t>
      </w:r>
      <w:proofErr w:type="spellEnd"/>
      <w:r>
        <w:rPr>
          <w:rFonts w:ascii="Times New Roman" w:hAnsi="Times New Roman" w:cs="Times New Roman"/>
        </w:rPr>
        <w:t xml:space="preserve"> – tas </w:t>
      </w:r>
      <w:proofErr w:type="spellStart"/>
      <w:r>
        <w:rPr>
          <w:rFonts w:ascii="Times New Roman" w:hAnsi="Times New Roman" w:cs="Times New Roman"/>
        </w:rPr>
        <w:t>palika</w:t>
      </w:r>
      <w:proofErr w:type="spellEnd"/>
      <w:r>
        <w:rPr>
          <w:rFonts w:ascii="Times New Roman" w:hAnsi="Times New Roman" w:cs="Times New Roman"/>
        </w:rPr>
        <w:t xml:space="preserve"> </w:t>
      </w:r>
      <w:proofErr w:type="spellStart"/>
      <w:r>
        <w:rPr>
          <w:rFonts w:ascii="Times New Roman" w:hAnsi="Times New Roman" w:cs="Times New Roman"/>
        </w:rPr>
        <w:t>atklāts</w:t>
      </w:r>
      <w:proofErr w:type="spellEnd"/>
      <w:r>
        <w:rPr>
          <w:rFonts w:ascii="Times New Roman" w:hAnsi="Times New Roman" w:cs="Times New Roman"/>
        </w:rPr>
        <w:t>.</w:t>
      </w:r>
      <w:r>
        <w:rPr>
          <w:rStyle w:val="FootnoteReference"/>
          <w:rFonts w:ascii="Times New Roman" w:hAnsi="Times New Roman" w:cs="Times New Roman"/>
        </w:rPr>
        <w:footnoteReference w:id="105"/>
      </w:r>
    </w:p>
    <w:p w14:paraId="1F71F89F" w14:textId="77777777" w:rsidR="00114953" w:rsidRDefault="00114953" w:rsidP="00114953">
      <w:pPr>
        <w:jc w:val="both"/>
        <w:rPr>
          <w:rFonts w:ascii="Times New Roman" w:hAnsi="Times New Roman" w:cs="Times New Roman"/>
          <w:highlight w:val="yellow"/>
        </w:rPr>
      </w:pPr>
    </w:p>
    <w:p w14:paraId="725BB663" w14:textId="77777777" w:rsidR="00114953" w:rsidRDefault="00114953" w:rsidP="00114953">
      <w:pPr>
        <w:jc w:val="both"/>
        <w:rPr>
          <w:rFonts w:ascii="Times New Roman" w:hAnsi="Times New Roman" w:cs="Times New Roman"/>
          <w:highlight w:val="yellow"/>
        </w:rPr>
      </w:pPr>
    </w:p>
    <w:p w14:paraId="4370F0DF" w14:textId="77777777" w:rsidR="00114953" w:rsidRPr="008C6C07" w:rsidRDefault="00114953" w:rsidP="00114953">
      <w:pPr>
        <w:ind w:firstLine="708"/>
        <w:jc w:val="both"/>
        <w:rPr>
          <w:rFonts w:ascii="Times New Roman" w:hAnsi="Times New Roman" w:cs="Times New Roman"/>
        </w:rPr>
      </w:pPr>
      <w:r w:rsidRPr="008C6C07">
        <w:rPr>
          <w:rFonts w:ascii="Times New Roman" w:hAnsi="Times New Roman" w:cs="Times New Roman"/>
        </w:rPr>
        <w:t>2. </w:t>
      </w:r>
      <w:proofErr w:type="spellStart"/>
      <w:r w:rsidRPr="008C6C07">
        <w:rPr>
          <w:rFonts w:ascii="Times New Roman" w:hAnsi="Times New Roman" w:cs="Times New Roman"/>
        </w:rPr>
        <w:t>Arī</w:t>
      </w:r>
      <w:proofErr w:type="spellEnd"/>
      <w:r w:rsidRPr="008C6C07">
        <w:rPr>
          <w:rFonts w:ascii="Times New Roman" w:hAnsi="Times New Roman" w:cs="Times New Roman"/>
        </w:rPr>
        <w:t xml:space="preserve"> </w:t>
      </w:r>
      <w:proofErr w:type="spellStart"/>
      <w:r w:rsidRPr="008C6C07">
        <w:rPr>
          <w:rFonts w:ascii="Times New Roman" w:hAnsi="Times New Roman" w:cs="Times New Roman"/>
          <w:b/>
          <w:bCs/>
        </w:rPr>
        <w:t>Spānijas</w:t>
      </w:r>
      <w:proofErr w:type="spellEnd"/>
      <w:r w:rsidRPr="008C6C07">
        <w:rPr>
          <w:rFonts w:ascii="Times New Roman" w:hAnsi="Times New Roman" w:cs="Times New Roman"/>
          <w:b/>
          <w:bCs/>
        </w:rPr>
        <w:t xml:space="preserve"> </w:t>
      </w:r>
      <w:proofErr w:type="spellStart"/>
      <w:r w:rsidRPr="008C6C07">
        <w:rPr>
          <w:rFonts w:ascii="Times New Roman" w:hAnsi="Times New Roman" w:cs="Times New Roman"/>
          <w:b/>
          <w:bCs/>
        </w:rPr>
        <w:t>tiesu</w:t>
      </w:r>
      <w:proofErr w:type="spellEnd"/>
      <w:r w:rsidRPr="008C6C07">
        <w:rPr>
          <w:rFonts w:ascii="Times New Roman" w:hAnsi="Times New Roman" w:cs="Times New Roman"/>
          <w:b/>
          <w:bCs/>
        </w:rPr>
        <w:t xml:space="preserve"> </w:t>
      </w:r>
      <w:proofErr w:type="spellStart"/>
      <w:r w:rsidRPr="008C6C07">
        <w:rPr>
          <w:rFonts w:ascii="Times New Roman" w:hAnsi="Times New Roman" w:cs="Times New Roman"/>
          <w:b/>
          <w:bCs/>
        </w:rPr>
        <w:t>praksē</w:t>
      </w:r>
      <w:proofErr w:type="spellEnd"/>
      <w:r w:rsidRPr="008C6C07">
        <w:rPr>
          <w:rFonts w:ascii="Times New Roman" w:hAnsi="Times New Roman" w:cs="Times New Roman"/>
        </w:rPr>
        <w:t xml:space="preserve"> </w:t>
      </w:r>
      <w:proofErr w:type="spellStart"/>
      <w:r w:rsidRPr="008C6C07">
        <w:rPr>
          <w:rFonts w:ascii="Times New Roman" w:hAnsi="Times New Roman" w:cs="Times New Roman"/>
        </w:rPr>
        <w:t>ir</w:t>
      </w:r>
      <w:proofErr w:type="spellEnd"/>
      <w:r w:rsidRPr="008C6C07">
        <w:rPr>
          <w:rFonts w:ascii="Times New Roman" w:hAnsi="Times New Roman" w:cs="Times New Roman"/>
        </w:rPr>
        <w:t xml:space="preserve"> </w:t>
      </w:r>
      <w:proofErr w:type="spellStart"/>
      <w:r w:rsidRPr="008C6C07">
        <w:rPr>
          <w:rFonts w:ascii="Times New Roman" w:hAnsi="Times New Roman" w:cs="Times New Roman"/>
        </w:rPr>
        <w:t>skatīta</w:t>
      </w:r>
      <w:proofErr w:type="spellEnd"/>
      <w:r w:rsidRPr="008C6C07">
        <w:rPr>
          <w:rFonts w:ascii="Times New Roman" w:hAnsi="Times New Roman" w:cs="Times New Roman"/>
        </w:rPr>
        <w:t xml:space="preserve"> </w:t>
      </w:r>
      <w:proofErr w:type="spellStart"/>
      <w:r w:rsidRPr="008C6C07">
        <w:rPr>
          <w:rFonts w:ascii="Times New Roman" w:hAnsi="Times New Roman" w:cs="Times New Roman"/>
        </w:rPr>
        <w:t>lieta</w:t>
      </w:r>
      <w:proofErr w:type="spellEnd"/>
      <w:r w:rsidRPr="008C6C07">
        <w:rPr>
          <w:rFonts w:ascii="Times New Roman" w:hAnsi="Times New Roman" w:cs="Times New Roman"/>
        </w:rPr>
        <w:t xml:space="preserve"> par </w:t>
      </w:r>
      <w:proofErr w:type="spellStart"/>
      <w:r w:rsidRPr="008C6C07">
        <w:rPr>
          <w:rFonts w:ascii="Times New Roman" w:hAnsi="Times New Roman" w:cs="Times New Roman"/>
          <w:u w:val="single"/>
        </w:rPr>
        <w:t>Vācijas</w:t>
      </w:r>
      <w:proofErr w:type="spellEnd"/>
      <w:r w:rsidRPr="008C6C07">
        <w:rPr>
          <w:rFonts w:ascii="Times New Roman" w:hAnsi="Times New Roman" w:cs="Times New Roman"/>
          <w:u w:val="single"/>
        </w:rPr>
        <w:t xml:space="preserve"> </w:t>
      </w:r>
      <w:proofErr w:type="spellStart"/>
      <w:r w:rsidRPr="008C6C07">
        <w:rPr>
          <w:rFonts w:ascii="Times New Roman" w:hAnsi="Times New Roman" w:cs="Times New Roman"/>
          <w:u w:val="single"/>
        </w:rPr>
        <w:t>notāra</w:t>
      </w:r>
      <w:proofErr w:type="spellEnd"/>
      <w:r w:rsidRPr="008C6C07">
        <w:rPr>
          <w:rFonts w:ascii="Times New Roman" w:hAnsi="Times New Roman" w:cs="Times New Roman"/>
        </w:rPr>
        <w:t xml:space="preserve"> </w:t>
      </w:r>
      <w:proofErr w:type="spellStart"/>
      <w:r w:rsidRPr="008C6C07">
        <w:rPr>
          <w:rFonts w:ascii="Times New Roman" w:hAnsi="Times New Roman" w:cs="Times New Roman"/>
        </w:rPr>
        <w:t>izdota</w:t>
      </w:r>
      <w:proofErr w:type="spellEnd"/>
      <w:r w:rsidRPr="008C6C07">
        <w:rPr>
          <w:rFonts w:ascii="Times New Roman" w:hAnsi="Times New Roman" w:cs="Times New Roman"/>
        </w:rPr>
        <w:t xml:space="preserve"> </w:t>
      </w:r>
      <w:proofErr w:type="spellStart"/>
      <w:r w:rsidRPr="008C6C07">
        <w:rPr>
          <w:rFonts w:ascii="Times New Roman" w:hAnsi="Times New Roman" w:cs="Times New Roman"/>
        </w:rPr>
        <w:t>notariālā</w:t>
      </w:r>
      <w:proofErr w:type="spellEnd"/>
      <w:r w:rsidRPr="008C6C07">
        <w:rPr>
          <w:rFonts w:ascii="Times New Roman" w:hAnsi="Times New Roman" w:cs="Times New Roman"/>
        </w:rPr>
        <w:t xml:space="preserve"> </w:t>
      </w:r>
      <w:proofErr w:type="spellStart"/>
      <w:r w:rsidRPr="008C6C07">
        <w:rPr>
          <w:rFonts w:ascii="Times New Roman" w:hAnsi="Times New Roman" w:cs="Times New Roman"/>
        </w:rPr>
        <w:t>akta</w:t>
      </w:r>
      <w:proofErr w:type="spellEnd"/>
      <w:r w:rsidRPr="008C6C07">
        <w:rPr>
          <w:rFonts w:ascii="Times New Roman" w:hAnsi="Times New Roman" w:cs="Times New Roman"/>
        </w:rPr>
        <w:t xml:space="preserve"> </w:t>
      </w:r>
      <w:proofErr w:type="spellStart"/>
      <w:r w:rsidRPr="008C6C07">
        <w:rPr>
          <w:rFonts w:ascii="Times New Roman" w:hAnsi="Times New Roman" w:cs="Times New Roman"/>
        </w:rPr>
        <w:t>ierakstīšanu</w:t>
      </w:r>
      <w:proofErr w:type="spellEnd"/>
      <w:r w:rsidRPr="008C6C07">
        <w:rPr>
          <w:rFonts w:ascii="Times New Roman" w:hAnsi="Times New Roman" w:cs="Times New Roman"/>
        </w:rPr>
        <w:t xml:space="preserve"> </w:t>
      </w:r>
      <w:proofErr w:type="spellStart"/>
      <w:r w:rsidRPr="008C6C07">
        <w:rPr>
          <w:rFonts w:ascii="Times New Roman" w:hAnsi="Times New Roman" w:cs="Times New Roman"/>
        </w:rPr>
        <w:t>Spānijas</w:t>
      </w:r>
      <w:proofErr w:type="spellEnd"/>
      <w:r w:rsidRPr="008C6C07">
        <w:rPr>
          <w:rFonts w:ascii="Times New Roman" w:hAnsi="Times New Roman" w:cs="Times New Roman"/>
        </w:rPr>
        <w:t xml:space="preserve"> </w:t>
      </w:r>
      <w:proofErr w:type="spellStart"/>
      <w:r w:rsidRPr="008C6C07">
        <w:rPr>
          <w:rFonts w:ascii="Times New Roman" w:hAnsi="Times New Roman" w:cs="Times New Roman"/>
        </w:rPr>
        <w:t>Nekustamo</w:t>
      </w:r>
      <w:proofErr w:type="spellEnd"/>
      <w:r w:rsidRPr="008C6C07">
        <w:rPr>
          <w:rFonts w:ascii="Times New Roman" w:hAnsi="Times New Roman" w:cs="Times New Roman"/>
        </w:rPr>
        <w:t xml:space="preserve"> </w:t>
      </w:r>
      <w:proofErr w:type="spellStart"/>
      <w:r w:rsidRPr="008C6C07">
        <w:rPr>
          <w:rFonts w:ascii="Times New Roman" w:hAnsi="Times New Roman" w:cs="Times New Roman"/>
        </w:rPr>
        <w:t>īpašumu</w:t>
      </w:r>
      <w:proofErr w:type="spellEnd"/>
      <w:r w:rsidRPr="008C6C07">
        <w:rPr>
          <w:rFonts w:ascii="Times New Roman" w:hAnsi="Times New Roman" w:cs="Times New Roman"/>
        </w:rPr>
        <w:t xml:space="preserve"> </w:t>
      </w:r>
      <w:proofErr w:type="spellStart"/>
      <w:r w:rsidRPr="008C6C07">
        <w:rPr>
          <w:rFonts w:ascii="Times New Roman" w:hAnsi="Times New Roman" w:cs="Times New Roman"/>
        </w:rPr>
        <w:t>reģistrā</w:t>
      </w:r>
      <w:proofErr w:type="spellEnd"/>
      <w:r w:rsidRPr="008C6C07">
        <w:rPr>
          <w:rFonts w:ascii="Times New Roman" w:hAnsi="Times New Roman" w:cs="Times New Roman"/>
        </w:rPr>
        <w:t>.</w:t>
      </w:r>
    </w:p>
    <w:p w14:paraId="5ED56D0F" w14:textId="281ACAE1" w:rsidR="00114953" w:rsidRPr="008C6C07" w:rsidRDefault="00114953" w:rsidP="00114953">
      <w:pPr>
        <w:jc w:val="both"/>
        <w:rPr>
          <w:rFonts w:ascii="Times New Roman" w:hAnsi="Times New Roman" w:cs="Times New Roman"/>
        </w:rPr>
      </w:pPr>
      <w:r w:rsidRPr="008C6C07">
        <w:rPr>
          <w:rFonts w:ascii="Times New Roman" w:hAnsi="Times New Roman" w:cs="Times New Roman"/>
        </w:rPr>
        <w:tab/>
      </w:r>
      <w:proofErr w:type="spellStart"/>
      <w:r w:rsidRPr="008C6C07">
        <w:rPr>
          <w:rFonts w:ascii="Times New Roman" w:hAnsi="Times New Roman" w:cs="Times New Roman"/>
          <w:u w:val="single"/>
        </w:rPr>
        <w:t>Lietas</w:t>
      </w:r>
      <w:proofErr w:type="spellEnd"/>
      <w:r w:rsidRPr="008C6C07">
        <w:rPr>
          <w:rFonts w:ascii="Times New Roman" w:hAnsi="Times New Roman" w:cs="Times New Roman"/>
          <w:u w:val="single"/>
        </w:rPr>
        <w:t xml:space="preserve"> </w:t>
      </w:r>
      <w:proofErr w:type="spellStart"/>
      <w:r w:rsidRPr="008C6C07">
        <w:rPr>
          <w:rFonts w:ascii="Times New Roman" w:hAnsi="Times New Roman" w:cs="Times New Roman"/>
          <w:u w:val="single"/>
        </w:rPr>
        <w:t>apstākļu</w:t>
      </w:r>
      <w:proofErr w:type="spellEnd"/>
      <w:r w:rsidRPr="008C6C07">
        <w:rPr>
          <w:rFonts w:ascii="Times New Roman" w:hAnsi="Times New Roman" w:cs="Times New Roman"/>
          <w:u w:val="single"/>
        </w:rPr>
        <w:t xml:space="preserve"> </w:t>
      </w:r>
      <w:proofErr w:type="spellStart"/>
      <w:r w:rsidRPr="008C6C07">
        <w:rPr>
          <w:rFonts w:ascii="Times New Roman" w:hAnsi="Times New Roman" w:cs="Times New Roman"/>
          <w:u w:val="single"/>
        </w:rPr>
        <w:t>īss</w:t>
      </w:r>
      <w:proofErr w:type="spellEnd"/>
      <w:r w:rsidRPr="008C6C07">
        <w:rPr>
          <w:rFonts w:ascii="Times New Roman" w:hAnsi="Times New Roman" w:cs="Times New Roman"/>
          <w:u w:val="single"/>
        </w:rPr>
        <w:t xml:space="preserve"> </w:t>
      </w:r>
      <w:proofErr w:type="spellStart"/>
      <w:proofErr w:type="gramStart"/>
      <w:r w:rsidRPr="008C6C07">
        <w:rPr>
          <w:rFonts w:ascii="Times New Roman" w:hAnsi="Times New Roman" w:cs="Times New Roman"/>
          <w:u w:val="single"/>
        </w:rPr>
        <w:t>apraksts</w:t>
      </w:r>
      <w:proofErr w:type="spellEnd"/>
      <w:r w:rsidRPr="008C6C07">
        <w:rPr>
          <w:rFonts w:ascii="Times New Roman" w:hAnsi="Times New Roman" w:cs="Times New Roman"/>
        </w:rPr>
        <w:t>:</w:t>
      </w:r>
      <w:proofErr w:type="gramEnd"/>
      <w:r w:rsidRPr="008C6C07">
        <w:rPr>
          <w:rFonts w:ascii="Times New Roman" w:hAnsi="Times New Roman" w:cs="Times New Roman"/>
        </w:rPr>
        <w:t xml:space="preserve"> 1984.gada </w:t>
      </w:r>
      <w:proofErr w:type="spellStart"/>
      <w:r w:rsidRPr="008C6C07">
        <w:rPr>
          <w:rFonts w:ascii="Times New Roman" w:hAnsi="Times New Roman" w:cs="Times New Roman"/>
        </w:rPr>
        <w:t>oktobrī</w:t>
      </w:r>
      <w:proofErr w:type="spellEnd"/>
      <w:r w:rsidRPr="008C6C07">
        <w:rPr>
          <w:rFonts w:ascii="Times New Roman" w:hAnsi="Times New Roman" w:cs="Times New Roman"/>
        </w:rPr>
        <w:t xml:space="preserve"> </w:t>
      </w:r>
      <w:proofErr w:type="spellStart"/>
      <w:r w:rsidRPr="008C6C07">
        <w:rPr>
          <w:rFonts w:ascii="Times New Roman" w:hAnsi="Times New Roman" w:cs="Times New Roman"/>
        </w:rPr>
        <w:t>Vācijas</w:t>
      </w:r>
      <w:proofErr w:type="spellEnd"/>
      <w:r w:rsidRPr="008C6C07">
        <w:rPr>
          <w:rFonts w:ascii="Times New Roman" w:hAnsi="Times New Roman" w:cs="Times New Roman"/>
        </w:rPr>
        <w:t xml:space="preserve"> </w:t>
      </w:r>
      <w:proofErr w:type="spellStart"/>
      <w:r w:rsidRPr="008C6C07">
        <w:rPr>
          <w:rFonts w:ascii="Times New Roman" w:hAnsi="Times New Roman" w:cs="Times New Roman"/>
        </w:rPr>
        <w:t>notārs</w:t>
      </w:r>
      <w:proofErr w:type="spellEnd"/>
      <w:r w:rsidRPr="008C6C07">
        <w:rPr>
          <w:rFonts w:ascii="Times New Roman" w:hAnsi="Times New Roman" w:cs="Times New Roman"/>
        </w:rPr>
        <w:t xml:space="preserve"> </w:t>
      </w:r>
      <w:proofErr w:type="spellStart"/>
      <w:r w:rsidRPr="008C6C07">
        <w:rPr>
          <w:rFonts w:ascii="Times New Roman" w:hAnsi="Times New Roman" w:cs="Times New Roman"/>
        </w:rPr>
        <w:t>izdeva</w:t>
      </w:r>
      <w:proofErr w:type="spellEnd"/>
      <w:r w:rsidRPr="008C6C07">
        <w:rPr>
          <w:rFonts w:ascii="Times New Roman" w:hAnsi="Times New Roman" w:cs="Times New Roman"/>
        </w:rPr>
        <w:t xml:space="preserve"> </w:t>
      </w:r>
      <w:proofErr w:type="spellStart"/>
      <w:r w:rsidRPr="008C6C07">
        <w:rPr>
          <w:rFonts w:ascii="Times New Roman" w:hAnsi="Times New Roman" w:cs="Times New Roman"/>
        </w:rPr>
        <w:t>notariālo</w:t>
      </w:r>
      <w:proofErr w:type="spellEnd"/>
      <w:r w:rsidRPr="008C6C07">
        <w:rPr>
          <w:rFonts w:ascii="Times New Roman" w:hAnsi="Times New Roman" w:cs="Times New Roman"/>
        </w:rPr>
        <w:t xml:space="preserve"> </w:t>
      </w:r>
      <w:proofErr w:type="spellStart"/>
      <w:r w:rsidRPr="008C6C07">
        <w:rPr>
          <w:rFonts w:ascii="Times New Roman" w:hAnsi="Times New Roman" w:cs="Times New Roman"/>
        </w:rPr>
        <w:t>aktu</w:t>
      </w:r>
      <w:proofErr w:type="spellEnd"/>
      <w:r w:rsidRPr="008C6C07">
        <w:rPr>
          <w:rFonts w:ascii="Times New Roman" w:hAnsi="Times New Roman" w:cs="Times New Roman"/>
        </w:rPr>
        <w:t xml:space="preserve">, </w:t>
      </w:r>
      <w:proofErr w:type="spellStart"/>
      <w:r w:rsidRPr="008C6C07">
        <w:rPr>
          <w:rFonts w:ascii="Times New Roman" w:hAnsi="Times New Roman" w:cs="Times New Roman"/>
        </w:rPr>
        <w:t>kurā</w:t>
      </w:r>
      <w:proofErr w:type="spellEnd"/>
      <w:r w:rsidRPr="008C6C07">
        <w:rPr>
          <w:rFonts w:ascii="Times New Roman" w:hAnsi="Times New Roman" w:cs="Times New Roman"/>
        </w:rPr>
        <w:t xml:space="preserve"> </w:t>
      </w:r>
      <w:proofErr w:type="spellStart"/>
      <w:r w:rsidRPr="008C6C07">
        <w:rPr>
          <w:rFonts w:ascii="Times New Roman" w:hAnsi="Times New Roman" w:cs="Times New Roman"/>
        </w:rPr>
        <w:t>Vācijā</w:t>
      </w:r>
      <w:proofErr w:type="spellEnd"/>
      <w:r w:rsidRPr="008C6C07">
        <w:rPr>
          <w:rFonts w:ascii="Times New Roman" w:hAnsi="Times New Roman" w:cs="Times New Roman"/>
        </w:rPr>
        <w:t xml:space="preserve"> </w:t>
      </w:r>
      <w:proofErr w:type="spellStart"/>
      <w:r w:rsidRPr="008C6C07">
        <w:rPr>
          <w:rFonts w:ascii="Times New Roman" w:hAnsi="Times New Roman" w:cs="Times New Roman"/>
        </w:rPr>
        <w:t>dzīvo</w:t>
      </w:r>
      <w:r w:rsidR="00F63FC2">
        <w:rPr>
          <w:rFonts w:ascii="Times New Roman" w:hAnsi="Times New Roman" w:cs="Times New Roman"/>
        </w:rPr>
        <w:t>jošs</w:t>
      </w:r>
      <w:proofErr w:type="spellEnd"/>
      <w:r w:rsidR="00F63FC2">
        <w:rPr>
          <w:rFonts w:ascii="Times New Roman" w:hAnsi="Times New Roman" w:cs="Times New Roman"/>
        </w:rPr>
        <w:t xml:space="preserve"> </w:t>
      </w:r>
      <w:proofErr w:type="spellStart"/>
      <w:r w:rsidR="00F63FC2">
        <w:rPr>
          <w:rFonts w:ascii="Times New Roman" w:hAnsi="Times New Roman" w:cs="Times New Roman"/>
        </w:rPr>
        <w:t>Spānijas</w:t>
      </w:r>
      <w:proofErr w:type="spellEnd"/>
      <w:r w:rsidR="00F63FC2">
        <w:rPr>
          <w:rFonts w:ascii="Times New Roman" w:hAnsi="Times New Roman" w:cs="Times New Roman"/>
        </w:rPr>
        <w:t xml:space="preserve"> </w:t>
      </w:r>
      <w:proofErr w:type="spellStart"/>
      <w:r w:rsidR="00F63FC2">
        <w:rPr>
          <w:rFonts w:ascii="Times New Roman" w:hAnsi="Times New Roman" w:cs="Times New Roman"/>
        </w:rPr>
        <w:t>pilsonis</w:t>
      </w:r>
      <w:proofErr w:type="spellEnd"/>
      <w:r w:rsidR="00F63FC2">
        <w:rPr>
          <w:rFonts w:ascii="Times New Roman" w:hAnsi="Times New Roman" w:cs="Times New Roman"/>
        </w:rPr>
        <w:t xml:space="preserve"> </w:t>
      </w:r>
      <w:proofErr w:type="spellStart"/>
      <w:r w:rsidR="00F63FC2">
        <w:rPr>
          <w:rFonts w:ascii="Times New Roman" w:hAnsi="Times New Roman" w:cs="Times New Roman"/>
        </w:rPr>
        <w:t>pārdeva</w:t>
      </w:r>
      <w:proofErr w:type="spellEnd"/>
      <w:r w:rsidR="00F63FC2">
        <w:rPr>
          <w:rFonts w:ascii="Times New Roman" w:hAnsi="Times New Roman" w:cs="Times New Roman"/>
        </w:rPr>
        <w:t xml:space="preserve"> </w:t>
      </w:r>
      <w:r w:rsidRPr="008C6C07">
        <w:rPr>
          <w:rFonts w:ascii="Times New Roman" w:hAnsi="Times New Roman" w:cs="Times New Roman"/>
        </w:rPr>
        <w:t xml:space="preserve">½ no </w:t>
      </w:r>
      <w:proofErr w:type="spellStart"/>
      <w:r w:rsidRPr="008C6C07">
        <w:rPr>
          <w:rFonts w:ascii="Times New Roman" w:hAnsi="Times New Roman" w:cs="Times New Roman"/>
        </w:rPr>
        <w:t>sev</w:t>
      </w:r>
      <w:proofErr w:type="spellEnd"/>
      <w:r w:rsidRPr="008C6C07">
        <w:rPr>
          <w:rFonts w:ascii="Times New Roman" w:hAnsi="Times New Roman" w:cs="Times New Roman"/>
        </w:rPr>
        <w:t xml:space="preserve"> </w:t>
      </w:r>
      <w:proofErr w:type="spellStart"/>
      <w:r w:rsidRPr="008C6C07">
        <w:rPr>
          <w:rFonts w:ascii="Times New Roman" w:hAnsi="Times New Roman" w:cs="Times New Roman"/>
        </w:rPr>
        <w:t>īpašumā</w:t>
      </w:r>
      <w:proofErr w:type="spellEnd"/>
      <w:r w:rsidRPr="008C6C07">
        <w:rPr>
          <w:rFonts w:ascii="Times New Roman" w:hAnsi="Times New Roman" w:cs="Times New Roman"/>
        </w:rPr>
        <w:t xml:space="preserve"> </w:t>
      </w:r>
      <w:proofErr w:type="spellStart"/>
      <w:r w:rsidRPr="008C6C07">
        <w:rPr>
          <w:rFonts w:ascii="Times New Roman" w:hAnsi="Times New Roman" w:cs="Times New Roman"/>
        </w:rPr>
        <w:t>esošā</w:t>
      </w:r>
      <w:proofErr w:type="spellEnd"/>
      <w:r w:rsidRPr="008C6C07">
        <w:rPr>
          <w:rFonts w:ascii="Times New Roman" w:hAnsi="Times New Roman" w:cs="Times New Roman"/>
        </w:rPr>
        <w:t xml:space="preserve"> </w:t>
      </w:r>
      <w:proofErr w:type="spellStart"/>
      <w:r w:rsidRPr="008C6C07">
        <w:rPr>
          <w:rFonts w:ascii="Times New Roman" w:hAnsi="Times New Roman" w:cs="Times New Roman"/>
        </w:rPr>
        <w:t>dzīvokļa</w:t>
      </w:r>
      <w:proofErr w:type="spellEnd"/>
      <w:r w:rsidRPr="008C6C07">
        <w:rPr>
          <w:rFonts w:ascii="Times New Roman" w:hAnsi="Times New Roman" w:cs="Times New Roman"/>
        </w:rPr>
        <w:t xml:space="preserve"> </w:t>
      </w:r>
      <w:proofErr w:type="spellStart"/>
      <w:r w:rsidRPr="008C6C07">
        <w:rPr>
          <w:rFonts w:ascii="Times New Roman" w:hAnsi="Times New Roman" w:cs="Times New Roman"/>
        </w:rPr>
        <w:t>Spānijā</w:t>
      </w:r>
      <w:proofErr w:type="spellEnd"/>
      <w:r w:rsidRPr="008C6C07">
        <w:rPr>
          <w:rFonts w:ascii="Times New Roman" w:hAnsi="Times New Roman" w:cs="Times New Roman"/>
        </w:rPr>
        <w:t xml:space="preserve"> (</w:t>
      </w:r>
      <w:proofErr w:type="spellStart"/>
      <w:r w:rsidRPr="008C6C07">
        <w:rPr>
          <w:rFonts w:ascii="Times New Roman" w:hAnsi="Times New Roman" w:cs="Times New Roman"/>
        </w:rPr>
        <w:t>Tenerifē</w:t>
      </w:r>
      <w:proofErr w:type="spellEnd"/>
      <w:r w:rsidRPr="008C6C07">
        <w:rPr>
          <w:rFonts w:ascii="Times New Roman" w:hAnsi="Times New Roman" w:cs="Times New Roman"/>
        </w:rPr>
        <w:t xml:space="preserve">). </w:t>
      </w:r>
      <w:proofErr w:type="spellStart"/>
      <w:r w:rsidRPr="008C6C07">
        <w:rPr>
          <w:rFonts w:ascii="Times New Roman" w:hAnsi="Times New Roman" w:cs="Times New Roman"/>
        </w:rPr>
        <w:t>Saskaņā</w:t>
      </w:r>
      <w:proofErr w:type="spellEnd"/>
      <w:r w:rsidRPr="008C6C07">
        <w:rPr>
          <w:rFonts w:ascii="Times New Roman" w:hAnsi="Times New Roman" w:cs="Times New Roman"/>
        </w:rPr>
        <w:t xml:space="preserve"> </w:t>
      </w:r>
      <w:proofErr w:type="spellStart"/>
      <w:r w:rsidRPr="008C6C07">
        <w:rPr>
          <w:rFonts w:ascii="Times New Roman" w:hAnsi="Times New Roman" w:cs="Times New Roman"/>
        </w:rPr>
        <w:t>ar</w:t>
      </w:r>
      <w:proofErr w:type="spellEnd"/>
      <w:r w:rsidRPr="008C6C07">
        <w:rPr>
          <w:rFonts w:ascii="Times New Roman" w:hAnsi="Times New Roman" w:cs="Times New Roman"/>
        </w:rPr>
        <w:t xml:space="preserve"> </w:t>
      </w:r>
      <w:proofErr w:type="spellStart"/>
      <w:r w:rsidRPr="008C6C07">
        <w:rPr>
          <w:rFonts w:ascii="Times New Roman" w:hAnsi="Times New Roman" w:cs="Times New Roman"/>
        </w:rPr>
        <w:t>Spānijas</w:t>
      </w:r>
      <w:proofErr w:type="spellEnd"/>
      <w:r w:rsidRPr="008C6C07">
        <w:rPr>
          <w:rFonts w:ascii="Times New Roman" w:hAnsi="Times New Roman" w:cs="Times New Roman"/>
        </w:rPr>
        <w:t xml:space="preserve"> </w:t>
      </w:r>
      <w:proofErr w:type="spellStart"/>
      <w:r w:rsidRPr="008C6C07">
        <w:rPr>
          <w:rFonts w:ascii="Times New Roman" w:hAnsi="Times New Roman" w:cs="Times New Roman"/>
        </w:rPr>
        <w:t>kolīziju</w:t>
      </w:r>
      <w:proofErr w:type="spellEnd"/>
      <w:r w:rsidRPr="008C6C07">
        <w:rPr>
          <w:rFonts w:ascii="Times New Roman" w:hAnsi="Times New Roman" w:cs="Times New Roman"/>
        </w:rPr>
        <w:t xml:space="preserve"> </w:t>
      </w:r>
      <w:proofErr w:type="spellStart"/>
      <w:r w:rsidRPr="008C6C07">
        <w:rPr>
          <w:rFonts w:ascii="Times New Roman" w:hAnsi="Times New Roman" w:cs="Times New Roman"/>
        </w:rPr>
        <w:t>normām</w:t>
      </w:r>
      <w:proofErr w:type="spellEnd"/>
      <w:r w:rsidRPr="008C6C07">
        <w:rPr>
          <w:rFonts w:ascii="Times New Roman" w:hAnsi="Times New Roman" w:cs="Times New Roman"/>
        </w:rPr>
        <w:t xml:space="preserve"> </w:t>
      </w:r>
      <w:proofErr w:type="spellStart"/>
      <w:r w:rsidRPr="008C6C07">
        <w:rPr>
          <w:rFonts w:ascii="Times New Roman" w:hAnsi="Times New Roman" w:cs="Times New Roman"/>
        </w:rPr>
        <w:t>īpašumtiesību</w:t>
      </w:r>
      <w:proofErr w:type="spellEnd"/>
      <w:r w:rsidRPr="008C6C07">
        <w:rPr>
          <w:rFonts w:ascii="Times New Roman" w:hAnsi="Times New Roman" w:cs="Times New Roman"/>
        </w:rPr>
        <w:t xml:space="preserve"> </w:t>
      </w:r>
      <w:proofErr w:type="spellStart"/>
      <w:r w:rsidRPr="008C6C07">
        <w:rPr>
          <w:rFonts w:ascii="Times New Roman" w:hAnsi="Times New Roman" w:cs="Times New Roman"/>
        </w:rPr>
        <w:t>pāreja</w:t>
      </w:r>
      <w:proofErr w:type="spellEnd"/>
      <w:r w:rsidRPr="008C6C07">
        <w:rPr>
          <w:rFonts w:ascii="Times New Roman" w:hAnsi="Times New Roman" w:cs="Times New Roman"/>
        </w:rPr>
        <w:t xml:space="preserve"> </w:t>
      </w:r>
      <w:proofErr w:type="spellStart"/>
      <w:r w:rsidRPr="008C6C07">
        <w:rPr>
          <w:rFonts w:ascii="Times New Roman" w:hAnsi="Times New Roman" w:cs="Times New Roman"/>
        </w:rPr>
        <w:t>nosakāma</w:t>
      </w:r>
      <w:proofErr w:type="spellEnd"/>
      <w:r w:rsidRPr="008C6C07">
        <w:rPr>
          <w:rFonts w:ascii="Times New Roman" w:hAnsi="Times New Roman" w:cs="Times New Roman"/>
        </w:rPr>
        <w:t xml:space="preserve"> </w:t>
      </w:r>
      <w:proofErr w:type="spellStart"/>
      <w:r w:rsidRPr="008C6C07">
        <w:rPr>
          <w:rFonts w:ascii="Times New Roman" w:hAnsi="Times New Roman" w:cs="Times New Roman"/>
        </w:rPr>
        <w:t>saskaņā</w:t>
      </w:r>
      <w:proofErr w:type="spellEnd"/>
      <w:r w:rsidRPr="008C6C07">
        <w:rPr>
          <w:rFonts w:ascii="Times New Roman" w:hAnsi="Times New Roman" w:cs="Times New Roman"/>
        </w:rPr>
        <w:t xml:space="preserve"> </w:t>
      </w:r>
      <w:proofErr w:type="spellStart"/>
      <w:r w:rsidRPr="008C6C07">
        <w:rPr>
          <w:rFonts w:ascii="Times New Roman" w:hAnsi="Times New Roman" w:cs="Times New Roman"/>
        </w:rPr>
        <w:t>ar</w:t>
      </w:r>
      <w:proofErr w:type="spellEnd"/>
      <w:r w:rsidRPr="008C6C07">
        <w:rPr>
          <w:rFonts w:ascii="Times New Roman" w:hAnsi="Times New Roman" w:cs="Times New Roman"/>
        </w:rPr>
        <w:t xml:space="preserve"> </w:t>
      </w:r>
      <w:proofErr w:type="spellStart"/>
      <w:r w:rsidRPr="008C6C07">
        <w:rPr>
          <w:rFonts w:ascii="Times New Roman" w:hAnsi="Times New Roman" w:cs="Times New Roman"/>
          <w:i/>
        </w:rPr>
        <w:t>lex</w:t>
      </w:r>
      <w:proofErr w:type="spellEnd"/>
      <w:r w:rsidRPr="008C6C07">
        <w:rPr>
          <w:rFonts w:ascii="Times New Roman" w:hAnsi="Times New Roman" w:cs="Times New Roman"/>
          <w:i/>
        </w:rPr>
        <w:t xml:space="preserve"> rei </w:t>
      </w:r>
      <w:proofErr w:type="spellStart"/>
      <w:r w:rsidRPr="008C6C07">
        <w:rPr>
          <w:rFonts w:ascii="Times New Roman" w:hAnsi="Times New Roman" w:cs="Times New Roman"/>
          <w:i/>
        </w:rPr>
        <w:t>sitae</w:t>
      </w:r>
      <w:proofErr w:type="spellEnd"/>
      <w:r w:rsidRPr="008C6C07">
        <w:rPr>
          <w:rFonts w:ascii="Times New Roman" w:hAnsi="Times New Roman" w:cs="Times New Roman"/>
        </w:rPr>
        <w:t xml:space="preserve">. </w:t>
      </w:r>
    </w:p>
    <w:p w14:paraId="3CC5AE51" w14:textId="77777777" w:rsidR="00114953" w:rsidRPr="008C6C07" w:rsidRDefault="00114953" w:rsidP="00114953">
      <w:pPr>
        <w:jc w:val="both"/>
        <w:rPr>
          <w:rFonts w:ascii="Times New Roman" w:hAnsi="Times New Roman" w:cs="Times New Roman"/>
        </w:rPr>
      </w:pPr>
      <w:r w:rsidRPr="008C6C07">
        <w:rPr>
          <w:rFonts w:ascii="Times New Roman" w:hAnsi="Times New Roman" w:cs="Times New Roman"/>
        </w:rPr>
        <w:lastRenderedPageBreak/>
        <w:tab/>
      </w:r>
      <w:proofErr w:type="spellStart"/>
      <w:r w:rsidRPr="008C6C07">
        <w:rPr>
          <w:rFonts w:ascii="Times New Roman" w:hAnsi="Times New Roman" w:cs="Times New Roman"/>
        </w:rPr>
        <w:t>Tikai</w:t>
      </w:r>
      <w:proofErr w:type="spellEnd"/>
      <w:r w:rsidRPr="008C6C07">
        <w:rPr>
          <w:rFonts w:ascii="Times New Roman" w:hAnsi="Times New Roman" w:cs="Times New Roman"/>
        </w:rPr>
        <w:t xml:space="preserve"> 2002.gadā </w:t>
      </w:r>
      <w:proofErr w:type="spellStart"/>
      <w:r w:rsidRPr="008C6C07">
        <w:rPr>
          <w:rFonts w:ascii="Times New Roman" w:hAnsi="Times New Roman" w:cs="Times New Roman"/>
        </w:rPr>
        <w:t>jaunā</w:t>
      </w:r>
      <w:proofErr w:type="spellEnd"/>
      <w:r w:rsidRPr="008C6C07">
        <w:rPr>
          <w:rFonts w:ascii="Times New Roman" w:hAnsi="Times New Roman" w:cs="Times New Roman"/>
        </w:rPr>
        <w:t xml:space="preserve"> </w:t>
      </w:r>
      <w:proofErr w:type="spellStart"/>
      <w:r w:rsidRPr="008C6C07">
        <w:rPr>
          <w:rFonts w:ascii="Times New Roman" w:hAnsi="Times New Roman" w:cs="Times New Roman"/>
        </w:rPr>
        <w:t>īpašniece</w:t>
      </w:r>
      <w:proofErr w:type="spellEnd"/>
      <w:r w:rsidRPr="008C6C07">
        <w:rPr>
          <w:rFonts w:ascii="Times New Roman" w:hAnsi="Times New Roman" w:cs="Times New Roman"/>
        </w:rPr>
        <w:t xml:space="preserve"> </w:t>
      </w:r>
      <w:proofErr w:type="spellStart"/>
      <w:r w:rsidRPr="008C6C07">
        <w:rPr>
          <w:rFonts w:ascii="Times New Roman" w:hAnsi="Times New Roman" w:cs="Times New Roman"/>
        </w:rPr>
        <w:t>sāka</w:t>
      </w:r>
      <w:proofErr w:type="spellEnd"/>
      <w:r w:rsidRPr="008C6C07">
        <w:rPr>
          <w:rFonts w:ascii="Times New Roman" w:hAnsi="Times New Roman" w:cs="Times New Roman"/>
        </w:rPr>
        <w:t xml:space="preserve"> </w:t>
      </w:r>
      <w:proofErr w:type="spellStart"/>
      <w:r w:rsidRPr="008C6C07">
        <w:rPr>
          <w:rFonts w:ascii="Times New Roman" w:hAnsi="Times New Roman" w:cs="Times New Roman"/>
        </w:rPr>
        <w:t>kārtot</w:t>
      </w:r>
      <w:proofErr w:type="spellEnd"/>
      <w:r w:rsidRPr="008C6C07">
        <w:rPr>
          <w:rFonts w:ascii="Times New Roman" w:hAnsi="Times New Roman" w:cs="Times New Roman"/>
        </w:rPr>
        <w:t xml:space="preserve"> </w:t>
      </w:r>
      <w:proofErr w:type="spellStart"/>
      <w:r w:rsidRPr="008C6C07">
        <w:rPr>
          <w:rFonts w:ascii="Times New Roman" w:hAnsi="Times New Roman" w:cs="Times New Roman"/>
        </w:rPr>
        <w:t>dokumentus</w:t>
      </w:r>
      <w:proofErr w:type="spellEnd"/>
      <w:r w:rsidRPr="008C6C07">
        <w:rPr>
          <w:rFonts w:ascii="Times New Roman" w:hAnsi="Times New Roman" w:cs="Times New Roman"/>
        </w:rPr>
        <w:t xml:space="preserve">, lai </w:t>
      </w:r>
      <w:proofErr w:type="spellStart"/>
      <w:r w:rsidRPr="008C6C07">
        <w:rPr>
          <w:rFonts w:ascii="Times New Roman" w:hAnsi="Times New Roman" w:cs="Times New Roman"/>
        </w:rPr>
        <w:t>īpašumtiesību</w:t>
      </w:r>
      <w:proofErr w:type="spellEnd"/>
      <w:r w:rsidRPr="008C6C07">
        <w:rPr>
          <w:rFonts w:ascii="Times New Roman" w:hAnsi="Times New Roman" w:cs="Times New Roman"/>
        </w:rPr>
        <w:t xml:space="preserve"> </w:t>
      </w:r>
      <w:proofErr w:type="spellStart"/>
      <w:r w:rsidRPr="008C6C07">
        <w:rPr>
          <w:rFonts w:ascii="Times New Roman" w:hAnsi="Times New Roman" w:cs="Times New Roman"/>
        </w:rPr>
        <w:t>pāreju</w:t>
      </w:r>
      <w:proofErr w:type="spellEnd"/>
      <w:r w:rsidRPr="008C6C07">
        <w:rPr>
          <w:rFonts w:ascii="Times New Roman" w:hAnsi="Times New Roman" w:cs="Times New Roman"/>
        </w:rPr>
        <w:t xml:space="preserve"> </w:t>
      </w:r>
      <w:proofErr w:type="spellStart"/>
      <w:r w:rsidRPr="008C6C07">
        <w:rPr>
          <w:rFonts w:ascii="Times New Roman" w:hAnsi="Times New Roman" w:cs="Times New Roman"/>
        </w:rPr>
        <w:t>ierakstītu</w:t>
      </w:r>
      <w:proofErr w:type="spellEnd"/>
      <w:r w:rsidRPr="008C6C07">
        <w:rPr>
          <w:rFonts w:ascii="Times New Roman" w:hAnsi="Times New Roman" w:cs="Times New Roman"/>
        </w:rPr>
        <w:t xml:space="preserve"> </w:t>
      </w:r>
      <w:proofErr w:type="spellStart"/>
      <w:r w:rsidRPr="008C6C07">
        <w:rPr>
          <w:rFonts w:ascii="Times New Roman" w:hAnsi="Times New Roman" w:cs="Times New Roman"/>
        </w:rPr>
        <w:t>Spānijas</w:t>
      </w:r>
      <w:proofErr w:type="spellEnd"/>
      <w:r w:rsidRPr="008C6C07">
        <w:rPr>
          <w:rFonts w:ascii="Times New Roman" w:hAnsi="Times New Roman" w:cs="Times New Roman"/>
        </w:rPr>
        <w:t xml:space="preserve"> </w:t>
      </w:r>
      <w:proofErr w:type="spellStart"/>
      <w:r w:rsidRPr="008C6C07">
        <w:rPr>
          <w:rFonts w:ascii="Times New Roman" w:hAnsi="Times New Roman" w:cs="Times New Roman"/>
        </w:rPr>
        <w:t>Nekustamo</w:t>
      </w:r>
      <w:proofErr w:type="spellEnd"/>
      <w:r w:rsidRPr="008C6C07">
        <w:rPr>
          <w:rFonts w:ascii="Times New Roman" w:hAnsi="Times New Roman" w:cs="Times New Roman"/>
        </w:rPr>
        <w:t xml:space="preserve"> </w:t>
      </w:r>
      <w:proofErr w:type="spellStart"/>
      <w:r w:rsidRPr="008C6C07">
        <w:rPr>
          <w:rFonts w:ascii="Times New Roman" w:hAnsi="Times New Roman" w:cs="Times New Roman"/>
        </w:rPr>
        <w:t>īpašumu</w:t>
      </w:r>
      <w:proofErr w:type="spellEnd"/>
      <w:r w:rsidRPr="008C6C07">
        <w:rPr>
          <w:rFonts w:ascii="Times New Roman" w:hAnsi="Times New Roman" w:cs="Times New Roman"/>
        </w:rPr>
        <w:t xml:space="preserve"> </w:t>
      </w:r>
      <w:proofErr w:type="spellStart"/>
      <w:r w:rsidRPr="008C6C07">
        <w:rPr>
          <w:rFonts w:ascii="Times New Roman" w:hAnsi="Times New Roman" w:cs="Times New Roman"/>
        </w:rPr>
        <w:t>reģistrā</w:t>
      </w:r>
      <w:proofErr w:type="spellEnd"/>
      <w:r w:rsidRPr="008C6C07">
        <w:rPr>
          <w:rFonts w:ascii="Times New Roman" w:hAnsi="Times New Roman" w:cs="Times New Roman"/>
        </w:rPr>
        <w:t xml:space="preserve"> (</w:t>
      </w:r>
      <w:proofErr w:type="spellStart"/>
      <w:r w:rsidRPr="008C6C07">
        <w:rPr>
          <w:rFonts w:ascii="Times New Roman" w:hAnsi="Times New Roman" w:cs="Times New Roman"/>
          <w:i/>
        </w:rPr>
        <w:t>Registro</w:t>
      </w:r>
      <w:proofErr w:type="spellEnd"/>
      <w:r w:rsidRPr="008C6C07">
        <w:rPr>
          <w:rFonts w:ascii="Times New Roman" w:hAnsi="Times New Roman" w:cs="Times New Roman"/>
          <w:i/>
        </w:rPr>
        <w:t xml:space="preserve"> de la </w:t>
      </w:r>
      <w:proofErr w:type="spellStart"/>
      <w:r w:rsidRPr="008C6C07">
        <w:rPr>
          <w:rFonts w:ascii="Times New Roman" w:hAnsi="Times New Roman" w:cs="Times New Roman"/>
          <w:i/>
        </w:rPr>
        <w:t>Propiedad</w:t>
      </w:r>
      <w:proofErr w:type="spellEnd"/>
      <w:r w:rsidRPr="008C6C07">
        <w:rPr>
          <w:rFonts w:ascii="Times New Roman" w:hAnsi="Times New Roman" w:cs="Times New Roman"/>
          <w:i/>
        </w:rPr>
        <w:t xml:space="preserve"> de </w:t>
      </w:r>
      <w:proofErr w:type="spellStart"/>
      <w:r w:rsidRPr="008C6C07">
        <w:rPr>
          <w:rFonts w:ascii="Times New Roman" w:hAnsi="Times New Roman" w:cs="Times New Roman"/>
          <w:i/>
        </w:rPr>
        <w:t>Inmuebles</w:t>
      </w:r>
      <w:proofErr w:type="spellEnd"/>
      <w:r w:rsidRPr="008C6C07">
        <w:rPr>
          <w:rFonts w:ascii="Times New Roman" w:hAnsi="Times New Roman" w:cs="Times New Roman"/>
        </w:rPr>
        <w:t xml:space="preserve">). </w:t>
      </w:r>
      <w:proofErr w:type="spellStart"/>
      <w:r w:rsidRPr="008C6C07">
        <w:rPr>
          <w:rFonts w:ascii="Times New Roman" w:hAnsi="Times New Roman" w:cs="Times New Roman"/>
        </w:rPr>
        <w:t>Savam</w:t>
      </w:r>
      <w:proofErr w:type="spellEnd"/>
      <w:r w:rsidRPr="008C6C07">
        <w:rPr>
          <w:rFonts w:ascii="Times New Roman" w:hAnsi="Times New Roman" w:cs="Times New Roman"/>
        </w:rPr>
        <w:t xml:space="preserve"> </w:t>
      </w:r>
      <w:proofErr w:type="spellStart"/>
      <w:r w:rsidRPr="008C6C07">
        <w:rPr>
          <w:rFonts w:ascii="Times New Roman" w:hAnsi="Times New Roman" w:cs="Times New Roman"/>
        </w:rPr>
        <w:t>iesniegumam</w:t>
      </w:r>
      <w:proofErr w:type="spellEnd"/>
      <w:r w:rsidRPr="008C6C07">
        <w:rPr>
          <w:rFonts w:ascii="Times New Roman" w:hAnsi="Times New Roman" w:cs="Times New Roman"/>
        </w:rPr>
        <w:t xml:space="preserve"> </w:t>
      </w:r>
      <w:proofErr w:type="spellStart"/>
      <w:r w:rsidRPr="008C6C07">
        <w:rPr>
          <w:rFonts w:ascii="Times New Roman" w:hAnsi="Times New Roman" w:cs="Times New Roman"/>
        </w:rPr>
        <w:t>viņa</w:t>
      </w:r>
      <w:proofErr w:type="spellEnd"/>
      <w:r w:rsidRPr="008C6C07">
        <w:rPr>
          <w:rFonts w:ascii="Times New Roman" w:hAnsi="Times New Roman" w:cs="Times New Roman"/>
        </w:rPr>
        <w:t xml:space="preserve"> </w:t>
      </w:r>
      <w:proofErr w:type="spellStart"/>
      <w:r w:rsidRPr="008C6C07">
        <w:rPr>
          <w:rFonts w:ascii="Times New Roman" w:hAnsi="Times New Roman" w:cs="Times New Roman"/>
        </w:rPr>
        <w:t>pievienoja</w:t>
      </w:r>
      <w:proofErr w:type="spellEnd"/>
      <w:r w:rsidRPr="008C6C07">
        <w:rPr>
          <w:rFonts w:ascii="Times New Roman" w:hAnsi="Times New Roman" w:cs="Times New Roman"/>
        </w:rPr>
        <w:t xml:space="preserve"> </w:t>
      </w:r>
      <w:proofErr w:type="spellStart"/>
      <w:r w:rsidRPr="008C6C07">
        <w:rPr>
          <w:rFonts w:ascii="Times New Roman" w:hAnsi="Times New Roman" w:cs="Times New Roman"/>
        </w:rPr>
        <w:t>ar</w:t>
      </w:r>
      <w:proofErr w:type="spellEnd"/>
      <w:r w:rsidRPr="008C6C07">
        <w:rPr>
          <w:rFonts w:ascii="Times New Roman" w:hAnsi="Times New Roman" w:cs="Times New Roman"/>
        </w:rPr>
        <w:t xml:space="preserve"> </w:t>
      </w:r>
      <w:r w:rsidRPr="008C6C07">
        <w:rPr>
          <w:rFonts w:ascii="Times New Roman" w:hAnsi="Times New Roman" w:cs="Times New Roman"/>
          <w:i/>
        </w:rPr>
        <w:t>apostille</w:t>
      </w:r>
      <w:r w:rsidRPr="008C6C07">
        <w:rPr>
          <w:rFonts w:ascii="Times New Roman" w:hAnsi="Times New Roman" w:cs="Times New Roman"/>
        </w:rPr>
        <w:t xml:space="preserve"> </w:t>
      </w:r>
      <w:proofErr w:type="spellStart"/>
      <w:r w:rsidRPr="008C6C07">
        <w:rPr>
          <w:rFonts w:ascii="Times New Roman" w:hAnsi="Times New Roman" w:cs="Times New Roman"/>
        </w:rPr>
        <w:t>legalizētu</w:t>
      </w:r>
      <w:proofErr w:type="spellEnd"/>
      <w:r w:rsidRPr="008C6C07">
        <w:rPr>
          <w:rFonts w:ascii="Times New Roman" w:hAnsi="Times New Roman" w:cs="Times New Roman"/>
        </w:rPr>
        <w:t xml:space="preserve"> </w:t>
      </w:r>
      <w:proofErr w:type="spellStart"/>
      <w:r w:rsidRPr="008C6C07">
        <w:rPr>
          <w:rFonts w:ascii="Times New Roman" w:hAnsi="Times New Roman" w:cs="Times New Roman"/>
        </w:rPr>
        <w:t>Vācijas</w:t>
      </w:r>
      <w:proofErr w:type="spellEnd"/>
      <w:r w:rsidRPr="008C6C07">
        <w:rPr>
          <w:rFonts w:ascii="Times New Roman" w:hAnsi="Times New Roman" w:cs="Times New Roman"/>
        </w:rPr>
        <w:t xml:space="preserve"> </w:t>
      </w:r>
      <w:proofErr w:type="spellStart"/>
      <w:r w:rsidRPr="008C6C07">
        <w:rPr>
          <w:rFonts w:ascii="Times New Roman" w:hAnsi="Times New Roman" w:cs="Times New Roman"/>
        </w:rPr>
        <w:t>notāra</w:t>
      </w:r>
      <w:proofErr w:type="spellEnd"/>
      <w:r w:rsidRPr="008C6C07">
        <w:rPr>
          <w:rFonts w:ascii="Times New Roman" w:hAnsi="Times New Roman" w:cs="Times New Roman"/>
        </w:rPr>
        <w:t xml:space="preserve"> </w:t>
      </w:r>
      <w:proofErr w:type="spellStart"/>
      <w:r w:rsidRPr="008C6C07">
        <w:rPr>
          <w:rFonts w:ascii="Times New Roman" w:hAnsi="Times New Roman" w:cs="Times New Roman"/>
        </w:rPr>
        <w:t>sastādītu</w:t>
      </w:r>
      <w:proofErr w:type="spellEnd"/>
      <w:r w:rsidRPr="008C6C07">
        <w:rPr>
          <w:rFonts w:ascii="Times New Roman" w:hAnsi="Times New Roman" w:cs="Times New Roman"/>
        </w:rPr>
        <w:t xml:space="preserve"> </w:t>
      </w:r>
      <w:proofErr w:type="spellStart"/>
      <w:r w:rsidRPr="008C6C07">
        <w:rPr>
          <w:rFonts w:ascii="Times New Roman" w:hAnsi="Times New Roman" w:cs="Times New Roman"/>
        </w:rPr>
        <w:t>pirkuma</w:t>
      </w:r>
      <w:proofErr w:type="spellEnd"/>
      <w:r w:rsidRPr="008C6C07">
        <w:rPr>
          <w:rFonts w:ascii="Times New Roman" w:hAnsi="Times New Roman" w:cs="Times New Roman"/>
        </w:rPr>
        <w:t xml:space="preserve"> </w:t>
      </w:r>
      <w:proofErr w:type="spellStart"/>
      <w:r w:rsidRPr="008C6C07">
        <w:rPr>
          <w:rFonts w:ascii="Times New Roman" w:hAnsi="Times New Roman" w:cs="Times New Roman"/>
        </w:rPr>
        <w:t>līgumu</w:t>
      </w:r>
      <w:proofErr w:type="spellEnd"/>
      <w:r w:rsidRPr="008C6C07">
        <w:rPr>
          <w:rFonts w:ascii="Times New Roman" w:hAnsi="Times New Roman" w:cs="Times New Roman"/>
        </w:rPr>
        <w:t xml:space="preserve">, </w:t>
      </w:r>
      <w:proofErr w:type="spellStart"/>
      <w:r w:rsidRPr="008C6C07">
        <w:rPr>
          <w:rFonts w:ascii="Times New Roman" w:hAnsi="Times New Roman" w:cs="Times New Roman"/>
        </w:rPr>
        <w:t>pievienojot</w:t>
      </w:r>
      <w:proofErr w:type="spellEnd"/>
      <w:r w:rsidRPr="008C6C07">
        <w:rPr>
          <w:rFonts w:ascii="Times New Roman" w:hAnsi="Times New Roman" w:cs="Times New Roman"/>
        </w:rPr>
        <w:t xml:space="preserve"> </w:t>
      </w:r>
      <w:proofErr w:type="spellStart"/>
      <w:r w:rsidRPr="008C6C07">
        <w:rPr>
          <w:rFonts w:ascii="Times New Roman" w:hAnsi="Times New Roman" w:cs="Times New Roman"/>
        </w:rPr>
        <w:t>tulkojumu</w:t>
      </w:r>
      <w:proofErr w:type="spellEnd"/>
      <w:r w:rsidRPr="008C6C07">
        <w:rPr>
          <w:rFonts w:ascii="Times New Roman" w:hAnsi="Times New Roman" w:cs="Times New Roman"/>
        </w:rPr>
        <w:t xml:space="preserve"> </w:t>
      </w:r>
      <w:proofErr w:type="spellStart"/>
      <w:r w:rsidRPr="008C6C07">
        <w:rPr>
          <w:rFonts w:ascii="Times New Roman" w:hAnsi="Times New Roman" w:cs="Times New Roman"/>
        </w:rPr>
        <w:t>spāņu</w:t>
      </w:r>
      <w:proofErr w:type="spellEnd"/>
      <w:r w:rsidRPr="008C6C07">
        <w:rPr>
          <w:rFonts w:ascii="Times New Roman" w:hAnsi="Times New Roman" w:cs="Times New Roman"/>
        </w:rPr>
        <w:t xml:space="preserve"> </w:t>
      </w:r>
      <w:proofErr w:type="spellStart"/>
      <w:r w:rsidRPr="008C6C07">
        <w:rPr>
          <w:rFonts w:ascii="Times New Roman" w:hAnsi="Times New Roman" w:cs="Times New Roman"/>
        </w:rPr>
        <w:t>valodā</w:t>
      </w:r>
      <w:proofErr w:type="spellEnd"/>
      <w:r w:rsidRPr="008C6C07">
        <w:rPr>
          <w:rFonts w:ascii="Times New Roman" w:hAnsi="Times New Roman" w:cs="Times New Roman"/>
        </w:rPr>
        <w:t xml:space="preserve">. </w:t>
      </w:r>
      <w:proofErr w:type="spellStart"/>
      <w:r w:rsidRPr="008C6C07">
        <w:rPr>
          <w:rFonts w:ascii="Times New Roman" w:hAnsi="Times New Roman" w:cs="Times New Roman"/>
        </w:rPr>
        <w:t>Tika</w:t>
      </w:r>
      <w:proofErr w:type="spellEnd"/>
      <w:r w:rsidRPr="008C6C07">
        <w:rPr>
          <w:rFonts w:ascii="Times New Roman" w:hAnsi="Times New Roman" w:cs="Times New Roman"/>
        </w:rPr>
        <w:t xml:space="preserve"> </w:t>
      </w:r>
      <w:proofErr w:type="spellStart"/>
      <w:r w:rsidRPr="008C6C07">
        <w:rPr>
          <w:rFonts w:ascii="Times New Roman" w:hAnsi="Times New Roman" w:cs="Times New Roman"/>
        </w:rPr>
        <w:t>iesniegts</w:t>
      </w:r>
      <w:proofErr w:type="spellEnd"/>
      <w:r w:rsidRPr="008C6C07">
        <w:rPr>
          <w:rFonts w:ascii="Times New Roman" w:hAnsi="Times New Roman" w:cs="Times New Roman"/>
        </w:rPr>
        <w:t xml:space="preserve"> </w:t>
      </w:r>
      <w:proofErr w:type="spellStart"/>
      <w:r w:rsidRPr="008C6C07">
        <w:rPr>
          <w:rFonts w:ascii="Times New Roman" w:hAnsi="Times New Roman" w:cs="Times New Roman"/>
        </w:rPr>
        <w:t>arī</w:t>
      </w:r>
      <w:proofErr w:type="spellEnd"/>
      <w:r w:rsidRPr="008C6C07">
        <w:rPr>
          <w:rFonts w:ascii="Times New Roman" w:hAnsi="Times New Roman" w:cs="Times New Roman"/>
        </w:rPr>
        <w:t xml:space="preserve"> </w:t>
      </w:r>
      <w:proofErr w:type="spellStart"/>
      <w:r w:rsidRPr="008C6C07">
        <w:rPr>
          <w:rFonts w:ascii="Times New Roman" w:hAnsi="Times New Roman" w:cs="Times New Roman"/>
        </w:rPr>
        <w:t>Vācijas</w:t>
      </w:r>
      <w:proofErr w:type="spellEnd"/>
      <w:r w:rsidRPr="008C6C07">
        <w:rPr>
          <w:rFonts w:ascii="Times New Roman" w:hAnsi="Times New Roman" w:cs="Times New Roman"/>
        </w:rPr>
        <w:t xml:space="preserve"> </w:t>
      </w:r>
      <w:proofErr w:type="spellStart"/>
      <w:r w:rsidRPr="008C6C07">
        <w:rPr>
          <w:rFonts w:ascii="Times New Roman" w:hAnsi="Times New Roman" w:cs="Times New Roman"/>
        </w:rPr>
        <w:t>notāra</w:t>
      </w:r>
      <w:proofErr w:type="spellEnd"/>
      <w:r w:rsidRPr="008C6C07">
        <w:rPr>
          <w:rFonts w:ascii="Times New Roman" w:hAnsi="Times New Roman" w:cs="Times New Roman"/>
        </w:rPr>
        <w:t xml:space="preserve"> 2003.gadā </w:t>
      </w:r>
      <w:proofErr w:type="spellStart"/>
      <w:r w:rsidRPr="008C6C07">
        <w:rPr>
          <w:rFonts w:ascii="Times New Roman" w:hAnsi="Times New Roman" w:cs="Times New Roman"/>
        </w:rPr>
        <w:t>izdots</w:t>
      </w:r>
      <w:proofErr w:type="spellEnd"/>
      <w:r w:rsidRPr="008C6C07">
        <w:rPr>
          <w:rFonts w:ascii="Times New Roman" w:hAnsi="Times New Roman" w:cs="Times New Roman"/>
        </w:rPr>
        <w:t xml:space="preserve"> </w:t>
      </w:r>
      <w:proofErr w:type="spellStart"/>
      <w:r w:rsidRPr="008C6C07">
        <w:rPr>
          <w:rFonts w:ascii="Times New Roman" w:hAnsi="Times New Roman" w:cs="Times New Roman"/>
        </w:rPr>
        <w:t>dokuments</w:t>
      </w:r>
      <w:proofErr w:type="spellEnd"/>
      <w:r w:rsidRPr="008C6C07">
        <w:rPr>
          <w:rFonts w:ascii="Times New Roman" w:hAnsi="Times New Roman" w:cs="Times New Roman"/>
        </w:rPr>
        <w:t xml:space="preserve">, kas </w:t>
      </w:r>
      <w:proofErr w:type="spellStart"/>
      <w:r w:rsidRPr="008C6C07">
        <w:rPr>
          <w:rFonts w:ascii="Times New Roman" w:hAnsi="Times New Roman" w:cs="Times New Roman"/>
        </w:rPr>
        <w:t>apliecināja</w:t>
      </w:r>
      <w:proofErr w:type="spellEnd"/>
      <w:r w:rsidRPr="008C6C07">
        <w:rPr>
          <w:rFonts w:ascii="Times New Roman" w:hAnsi="Times New Roman" w:cs="Times New Roman"/>
        </w:rPr>
        <w:t xml:space="preserve"> </w:t>
      </w:r>
      <w:proofErr w:type="spellStart"/>
      <w:r w:rsidRPr="008C6C07">
        <w:rPr>
          <w:rFonts w:ascii="Times New Roman" w:hAnsi="Times New Roman" w:cs="Times New Roman"/>
        </w:rPr>
        <w:t>pirkuma</w:t>
      </w:r>
      <w:proofErr w:type="spellEnd"/>
      <w:r w:rsidRPr="008C6C07">
        <w:rPr>
          <w:rFonts w:ascii="Times New Roman" w:hAnsi="Times New Roman" w:cs="Times New Roman"/>
        </w:rPr>
        <w:t xml:space="preserve"> </w:t>
      </w:r>
      <w:proofErr w:type="spellStart"/>
      <w:r w:rsidRPr="008C6C07">
        <w:rPr>
          <w:rFonts w:ascii="Times New Roman" w:hAnsi="Times New Roman" w:cs="Times New Roman"/>
        </w:rPr>
        <w:t>līguma</w:t>
      </w:r>
      <w:proofErr w:type="spellEnd"/>
      <w:r w:rsidRPr="008C6C07">
        <w:rPr>
          <w:rFonts w:ascii="Times New Roman" w:hAnsi="Times New Roman" w:cs="Times New Roman"/>
        </w:rPr>
        <w:t xml:space="preserve"> </w:t>
      </w:r>
      <w:proofErr w:type="spellStart"/>
      <w:r w:rsidRPr="008C6C07">
        <w:rPr>
          <w:rFonts w:ascii="Times New Roman" w:hAnsi="Times New Roman" w:cs="Times New Roman"/>
        </w:rPr>
        <w:t>pareizību</w:t>
      </w:r>
      <w:proofErr w:type="spellEnd"/>
      <w:r w:rsidRPr="008C6C07">
        <w:rPr>
          <w:rFonts w:ascii="Times New Roman" w:hAnsi="Times New Roman" w:cs="Times New Roman"/>
        </w:rPr>
        <w:t xml:space="preserve"> un </w:t>
      </w:r>
      <w:proofErr w:type="spellStart"/>
      <w:r w:rsidRPr="008C6C07">
        <w:rPr>
          <w:rFonts w:ascii="Times New Roman" w:hAnsi="Times New Roman" w:cs="Times New Roman"/>
        </w:rPr>
        <w:t>pušu</w:t>
      </w:r>
      <w:proofErr w:type="spellEnd"/>
      <w:r w:rsidRPr="008C6C07">
        <w:rPr>
          <w:rFonts w:ascii="Times New Roman" w:hAnsi="Times New Roman" w:cs="Times New Roman"/>
        </w:rPr>
        <w:t xml:space="preserve"> </w:t>
      </w:r>
      <w:proofErr w:type="spellStart"/>
      <w:r w:rsidRPr="008C6C07">
        <w:rPr>
          <w:rFonts w:ascii="Times New Roman" w:hAnsi="Times New Roman" w:cs="Times New Roman"/>
        </w:rPr>
        <w:t>rīcībspēju</w:t>
      </w:r>
      <w:proofErr w:type="spellEnd"/>
      <w:r w:rsidRPr="008C6C07">
        <w:rPr>
          <w:rFonts w:ascii="Times New Roman" w:hAnsi="Times New Roman" w:cs="Times New Roman"/>
        </w:rPr>
        <w:t xml:space="preserve">. </w:t>
      </w:r>
      <w:proofErr w:type="spellStart"/>
      <w:r w:rsidRPr="008C6C07">
        <w:rPr>
          <w:rFonts w:ascii="Times New Roman" w:hAnsi="Times New Roman" w:cs="Times New Roman"/>
        </w:rPr>
        <w:t>Reģistrs</w:t>
      </w:r>
      <w:proofErr w:type="spellEnd"/>
      <w:r w:rsidRPr="008C6C07">
        <w:rPr>
          <w:rFonts w:ascii="Times New Roman" w:hAnsi="Times New Roman" w:cs="Times New Roman"/>
        </w:rPr>
        <w:t xml:space="preserve"> </w:t>
      </w:r>
      <w:proofErr w:type="spellStart"/>
      <w:r w:rsidRPr="008C6C07">
        <w:rPr>
          <w:rFonts w:ascii="Times New Roman" w:hAnsi="Times New Roman" w:cs="Times New Roman"/>
        </w:rPr>
        <w:t>noraidīja</w:t>
      </w:r>
      <w:proofErr w:type="spellEnd"/>
      <w:r w:rsidRPr="008C6C07">
        <w:rPr>
          <w:rFonts w:ascii="Times New Roman" w:hAnsi="Times New Roman" w:cs="Times New Roman"/>
        </w:rPr>
        <w:t xml:space="preserve"> </w:t>
      </w:r>
      <w:proofErr w:type="spellStart"/>
      <w:r w:rsidRPr="008C6C07">
        <w:rPr>
          <w:rFonts w:ascii="Times New Roman" w:hAnsi="Times New Roman" w:cs="Times New Roman"/>
        </w:rPr>
        <w:t>šīs</w:t>
      </w:r>
      <w:proofErr w:type="spellEnd"/>
      <w:r w:rsidRPr="008C6C07">
        <w:rPr>
          <w:rFonts w:ascii="Times New Roman" w:hAnsi="Times New Roman" w:cs="Times New Roman"/>
        </w:rPr>
        <w:t xml:space="preserve"> </w:t>
      </w:r>
      <w:proofErr w:type="spellStart"/>
      <w:r w:rsidRPr="008C6C07">
        <w:rPr>
          <w:rFonts w:ascii="Times New Roman" w:hAnsi="Times New Roman" w:cs="Times New Roman"/>
        </w:rPr>
        <w:t>personas</w:t>
      </w:r>
      <w:proofErr w:type="spellEnd"/>
      <w:r w:rsidRPr="008C6C07">
        <w:rPr>
          <w:rFonts w:ascii="Times New Roman" w:hAnsi="Times New Roman" w:cs="Times New Roman"/>
        </w:rPr>
        <w:t xml:space="preserve"> </w:t>
      </w:r>
      <w:proofErr w:type="spellStart"/>
      <w:r w:rsidRPr="008C6C07">
        <w:rPr>
          <w:rFonts w:ascii="Times New Roman" w:hAnsi="Times New Roman" w:cs="Times New Roman"/>
        </w:rPr>
        <w:t>iesniegumu</w:t>
      </w:r>
      <w:proofErr w:type="spellEnd"/>
      <w:r w:rsidRPr="008C6C07">
        <w:rPr>
          <w:rFonts w:ascii="Times New Roman" w:hAnsi="Times New Roman" w:cs="Times New Roman"/>
        </w:rPr>
        <w:t xml:space="preserve">, </w:t>
      </w:r>
      <w:proofErr w:type="spellStart"/>
      <w:r w:rsidRPr="008C6C07">
        <w:rPr>
          <w:rFonts w:ascii="Times New Roman" w:hAnsi="Times New Roman" w:cs="Times New Roman"/>
        </w:rPr>
        <w:t>kā</w:t>
      </w:r>
      <w:proofErr w:type="spellEnd"/>
      <w:r w:rsidRPr="008C6C07">
        <w:rPr>
          <w:rFonts w:ascii="Times New Roman" w:hAnsi="Times New Roman" w:cs="Times New Roman"/>
        </w:rPr>
        <w:t xml:space="preserve"> </w:t>
      </w:r>
      <w:proofErr w:type="spellStart"/>
      <w:r w:rsidRPr="008C6C07">
        <w:rPr>
          <w:rFonts w:ascii="Times New Roman" w:hAnsi="Times New Roman" w:cs="Times New Roman"/>
        </w:rPr>
        <w:t>iemeslu</w:t>
      </w:r>
      <w:proofErr w:type="spellEnd"/>
      <w:r w:rsidRPr="008C6C07">
        <w:rPr>
          <w:rFonts w:ascii="Times New Roman" w:hAnsi="Times New Roman" w:cs="Times New Roman"/>
        </w:rPr>
        <w:t xml:space="preserve"> </w:t>
      </w:r>
      <w:proofErr w:type="spellStart"/>
      <w:r w:rsidRPr="008C6C07">
        <w:rPr>
          <w:rFonts w:ascii="Times New Roman" w:hAnsi="Times New Roman" w:cs="Times New Roman"/>
        </w:rPr>
        <w:t>norādot</w:t>
      </w:r>
      <w:proofErr w:type="spellEnd"/>
      <w:r w:rsidRPr="008C6C07">
        <w:rPr>
          <w:rFonts w:ascii="Times New Roman" w:hAnsi="Times New Roman" w:cs="Times New Roman"/>
        </w:rPr>
        <w:t xml:space="preserve"> </w:t>
      </w:r>
      <w:proofErr w:type="spellStart"/>
      <w:r w:rsidRPr="008C6C07">
        <w:rPr>
          <w:rFonts w:ascii="Times New Roman" w:hAnsi="Times New Roman" w:cs="Times New Roman"/>
        </w:rPr>
        <w:t>notariālā</w:t>
      </w:r>
      <w:proofErr w:type="spellEnd"/>
      <w:r w:rsidRPr="008C6C07">
        <w:rPr>
          <w:rFonts w:ascii="Times New Roman" w:hAnsi="Times New Roman" w:cs="Times New Roman"/>
        </w:rPr>
        <w:t xml:space="preserve"> </w:t>
      </w:r>
      <w:proofErr w:type="spellStart"/>
      <w:r w:rsidRPr="008C6C07">
        <w:rPr>
          <w:rFonts w:ascii="Times New Roman" w:hAnsi="Times New Roman" w:cs="Times New Roman"/>
        </w:rPr>
        <w:t>akta</w:t>
      </w:r>
      <w:proofErr w:type="spellEnd"/>
      <w:r w:rsidRPr="008C6C07">
        <w:rPr>
          <w:rFonts w:ascii="Times New Roman" w:hAnsi="Times New Roman" w:cs="Times New Roman"/>
        </w:rPr>
        <w:t xml:space="preserve"> </w:t>
      </w:r>
      <w:proofErr w:type="spellStart"/>
      <w:r w:rsidRPr="008C6C07">
        <w:rPr>
          <w:rFonts w:ascii="Times New Roman" w:hAnsi="Times New Roman" w:cs="Times New Roman"/>
        </w:rPr>
        <w:t>pilnas</w:t>
      </w:r>
      <w:proofErr w:type="spellEnd"/>
      <w:r w:rsidRPr="008C6C07">
        <w:rPr>
          <w:rFonts w:ascii="Times New Roman" w:hAnsi="Times New Roman" w:cs="Times New Roman"/>
        </w:rPr>
        <w:t xml:space="preserve"> </w:t>
      </w:r>
      <w:proofErr w:type="spellStart"/>
      <w:r w:rsidRPr="008C6C07">
        <w:rPr>
          <w:rFonts w:ascii="Times New Roman" w:hAnsi="Times New Roman" w:cs="Times New Roman"/>
        </w:rPr>
        <w:t>darbības</w:t>
      </w:r>
      <w:proofErr w:type="spellEnd"/>
      <w:r w:rsidRPr="008C6C07">
        <w:rPr>
          <w:rFonts w:ascii="Times New Roman" w:hAnsi="Times New Roman" w:cs="Times New Roman"/>
        </w:rPr>
        <w:t xml:space="preserve"> </w:t>
      </w:r>
      <w:proofErr w:type="spellStart"/>
      <w:r w:rsidRPr="008C6C07">
        <w:rPr>
          <w:rFonts w:ascii="Times New Roman" w:hAnsi="Times New Roman" w:cs="Times New Roman"/>
        </w:rPr>
        <w:t>trūkumu</w:t>
      </w:r>
      <w:proofErr w:type="spellEnd"/>
      <w:r w:rsidRPr="008C6C07">
        <w:rPr>
          <w:rFonts w:ascii="Times New Roman" w:hAnsi="Times New Roman" w:cs="Times New Roman"/>
        </w:rPr>
        <w:t xml:space="preserve"> </w:t>
      </w:r>
      <w:proofErr w:type="spellStart"/>
      <w:r w:rsidRPr="008C6C07">
        <w:rPr>
          <w:rFonts w:ascii="Times New Roman" w:hAnsi="Times New Roman" w:cs="Times New Roman"/>
        </w:rPr>
        <w:t>Spānijas</w:t>
      </w:r>
      <w:proofErr w:type="spellEnd"/>
      <w:r w:rsidRPr="008C6C07">
        <w:rPr>
          <w:rFonts w:ascii="Times New Roman" w:hAnsi="Times New Roman" w:cs="Times New Roman"/>
        </w:rPr>
        <w:t xml:space="preserve"> </w:t>
      </w:r>
      <w:proofErr w:type="spellStart"/>
      <w:r w:rsidRPr="008C6C07">
        <w:rPr>
          <w:rFonts w:ascii="Times New Roman" w:hAnsi="Times New Roman" w:cs="Times New Roman"/>
        </w:rPr>
        <w:t>teritorijā</w:t>
      </w:r>
      <w:proofErr w:type="spellEnd"/>
      <w:r w:rsidRPr="008C6C07">
        <w:rPr>
          <w:rFonts w:ascii="Times New Roman" w:hAnsi="Times New Roman" w:cs="Times New Roman"/>
        </w:rPr>
        <w:t xml:space="preserve">, </w:t>
      </w:r>
      <w:proofErr w:type="spellStart"/>
      <w:r w:rsidRPr="008C6C07">
        <w:rPr>
          <w:rFonts w:ascii="Times New Roman" w:hAnsi="Times New Roman" w:cs="Times New Roman"/>
        </w:rPr>
        <w:t>kā</w:t>
      </w:r>
      <w:proofErr w:type="spellEnd"/>
      <w:r w:rsidRPr="008C6C07">
        <w:rPr>
          <w:rFonts w:ascii="Times New Roman" w:hAnsi="Times New Roman" w:cs="Times New Roman"/>
        </w:rPr>
        <w:t xml:space="preserve"> </w:t>
      </w:r>
      <w:proofErr w:type="spellStart"/>
      <w:r w:rsidRPr="008C6C07">
        <w:rPr>
          <w:rFonts w:ascii="Times New Roman" w:hAnsi="Times New Roman" w:cs="Times New Roman"/>
        </w:rPr>
        <w:t>arī</w:t>
      </w:r>
      <w:proofErr w:type="spellEnd"/>
      <w:r w:rsidRPr="008C6C07">
        <w:rPr>
          <w:rFonts w:ascii="Times New Roman" w:hAnsi="Times New Roman" w:cs="Times New Roman"/>
        </w:rPr>
        <w:t xml:space="preserve"> </w:t>
      </w:r>
      <w:proofErr w:type="spellStart"/>
      <w:r w:rsidRPr="008C6C07">
        <w:rPr>
          <w:rFonts w:ascii="Times New Roman" w:hAnsi="Times New Roman" w:cs="Times New Roman"/>
        </w:rPr>
        <w:t>lielās</w:t>
      </w:r>
      <w:proofErr w:type="spellEnd"/>
      <w:r w:rsidRPr="008C6C07">
        <w:rPr>
          <w:rFonts w:ascii="Times New Roman" w:hAnsi="Times New Roman" w:cs="Times New Roman"/>
        </w:rPr>
        <w:t xml:space="preserve"> </w:t>
      </w:r>
      <w:proofErr w:type="spellStart"/>
      <w:r w:rsidRPr="008C6C07">
        <w:rPr>
          <w:rFonts w:ascii="Times New Roman" w:hAnsi="Times New Roman" w:cs="Times New Roman"/>
        </w:rPr>
        <w:t>atšķirības</w:t>
      </w:r>
      <w:proofErr w:type="spellEnd"/>
      <w:r w:rsidRPr="008C6C07">
        <w:rPr>
          <w:rFonts w:ascii="Times New Roman" w:hAnsi="Times New Roman" w:cs="Times New Roman"/>
        </w:rPr>
        <w:t xml:space="preserve"> </w:t>
      </w:r>
      <w:proofErr w:type="spellStart"/>
      <w:r w:rsidRPr="008C6C07">
        <w:rPr>
          <w:rFonts w:ascii="Times New Roman" w:hAnsi="Times New Roman" w:cs="Times New Roman"/>
        </w:rPr>
        <w:t>starp</w:t>
      </w:r>
      <w:proofErr w:type="spellEnd"/>
      <w:r w:rsidRPr="008C6C07">
        <w:rPr>
          <w:rFonts w:ascii="Times New Roman" w:hAnsi="Times New Roman" w:cs="Times New Roman"/>
        </w:rPr>
        <w:t xml:space="preserve"> </w:t>
      </w:r>
      <w:proofErr w:type="spellStart"/>
      <w:r w:rsidRPr="008C6C07">
        <w:rPr>
          <w:rFonts w:ascii="Times New Roman" w:hAnsi="Times New Roman" w:cs="Times New Roman"/>
        </w:rPr>
        <w:t>Vācijas</w:t>
      </w:r>
      <w:proofErr w:type="spellEnd"/>
      <w:r w:rsidRPr="008C6C07">
        <w:rPr>
          <w:rFonts w:ascii="Times New Roman" w:hAnsi="Times New Roman" w:cs="Times New Roman"/>
        </w:rPr>
        <w:t xml:space="preserve"> un </w:t>
      </w:r>
      <w:proofErr w:type="spellStart"/>
      <w:r w:rsidRPr="008C6C07">
        <w:rPr>
          <w:rFonts w:ascii="Times New Roman" w:hAnsi="Times New Roman" w:cs="Times New Roman"/>
        </w:rPr>
        <w:t>Spānijas</w:t>
      </w:r>
      <w:proofErr w:type="spellEnd"/>
      <w:r w:rsidRPr="008C6C07">
        <w:rPr>
          <w:rFonts w:ascii="Times New Roman" w:hAnsi="Times New Roman" w:cs="Times New Roman"/>
        </w:rPr>
        <w:t xml:space="preserve"> </w:t>
      </w:r>
      <w:proofErr w:type="spellStart"/>
      <w:r w:rsidRPr="008C6C07">
        <w:rPr>
          <w:rFonts w:ascii="Times New Roman" w:hAnsi="Times New Roman" w:cs="Times New Roman"/>
        </w:rPr>
        <w:t>tiesību</w:t>
      </w:r>
      <w:proofErr w:type="spellEnd"/>
      <w:r w:rsidRPr="008C6C07">
        <w:rPr>
          <w:rFonts w:ascii="Times New Roman" w:hAnsi="Times New Roman" w:cs="Times New Roman"/>
        </w:rPr>
        <w:t xml:space="preserve"> </w:t>
      </w:r>
      <w:proofErr w:type="spellStart"/>
      <w:r w:rsidRPr="008C6C07">
        <w:rPr>
          <w:rFonts w:ascii="Times New Roman" w:hAnsi="Times New Roman" w:cs="Times New Roman"/>
        </w:rPr>
        <w:t>normām</w:t>
      </w:r>
      <w:proofErr w:type="spellEnd"/>
      <w:r w:rsidRPr="008C6C07">
        <w:rPr>
          <w:rFonts w:ascii="Times New Roman" w:hAnsi="Times New Roman" w:cs="Times New Roman"/>
        </w:rPr>
        <w:t xml:space="preserve">, kas </w:t>
      </w:r>
      <w:proofErr w:type="spellStart"/>
      <w:r w:rsidRPr="008C6C07">
        <w:rPr>
          <w:rFonts w:ascii="Times New Roman" w:hAnsi="Times New Roman" w:cs="Times New Roman"/>
        </w:rPr>
        <w:t>nosaka</w:t>
      </w:r>
      <w:proofErr w:type="spellEnd"/>
      <w:r w:rsidRPr="008C6C07">
        <w:rPr>
          <w:rFonts w:ascii="Times New Roman" w:hAnsi="Times New Roman" w:cs="Times New Roman"/>
        </w:rPr>
        <w:t xml:space="preserve"> </w:t>
      </w:r>
      <w:proofErr w:type="spellStart"/>
      <w:r w:rsidRPr="008C6C07">
        <w:rPr>
          <w:rFonts w:ascii="Times New Roman" w:hAnsi="Times New Roman" w:cs="Times New Roman"/>
        </w:rPr>
        <w:t>īpašumtiesību</w:t>
      </w:r>
      <w:proofErr w:type="spellEnd"/>
      <w:r w:rsidRPr="008C6C07">
        <w:rPr>
          <w:rFonts w:ascii="Times New Roman" w:hAnsi="Times New Roman" w:cs="Times New Roman"/>
        </w:rPr>
        <w:t xml:space="preserve"> </w:t>
      </w:r>
      <w:proofErr w:type="spellStart"/>
      <w:r w:rsidRPr="008C6C07">
        <w:rPr>
          <w:rFonts w:ascii="Times New Roman" w:hAnsi="Times New Roman" w:cs="Times New Roman"/>
        </w:rPr>
        <w:t>pāreju</w:t>
      </w:r>
      <w:proofErr w:type="spellEnd"/>
      <w:r w:rsidRPr="008C6C07">
        <w:rPr>
          <w:rFonts w:ascii="Times New Roman" w:hAnsi="Times New Roman" w:cs="Times New Roman"/>
        </w:rPr>
        <w:t xml:space="preserve">. </w:t>
      </w:r>
      <w:proofErr w:type="spellStart"/>
      <w:r w:rsidRPr="008C6C07">
        <w:rPr>
          <w:rFonts w:ascii="Times New Roman" w:hAnsi="Times New Roman" w:cs="Times New Roman"/>
        </w:rPr>
        <w:t>Santakrusas</w:t>
      </w:r>
      <w:proofErr w:type="spellEnd"/>
      <w:r w:rsidRPr="008C6C07">
        <w:rPr>
          <w:rFonts w:ascii="Times New Roman" w:hAnsi="Times New Roman" w:cs="Times New Roman"/>
        </w:rPr>
        <w:t xml:space="preserve"> (</w:t>
      </w:r>
      <w:r w:rsidRPr="008C6C07">
        <w:rPr>
          <w:rFonts w:ascii="Times New Roman" w:hAnsi="Times New Roman" w:cs="Times New Roman"/>
          <w:i/>
        </w:rPr>
        <w:t>Santa Cruz</w:t>
      </w:r>
      <w:r w:rsidRPr="008C6C07">
        <w:rPr>
          <w:rFonts w:ascii="Times New Roman" w:hAnsi="Times New Roman" w:cs="Times New Roman"/>
        </w:rPr>
        <w:t xml:space="preserve">) </w:t>
      </w:r>
      <w:proofErr w:type="spellStart"/>
      <w:r w:rsidRPr="008C6C07">
        <w:rPr>
          <w:rFonts w:ascii="Times New Roman" w:hAnsi="Times New Roman" w:cs="Times New Roman"/>
        </w:rPr>
        <w:t>apgabaltiesā</w:t>
      </w:r>
      <w:proofErr w:type="spellEnd"/>
      <w:r w:rsidRPr="008C6C07">
        <w:rPr>
          <w:rFonts w:ascii="Times New Roman" w:hAnsi="Times New Roman" w:cs="Times New Roman"/>
        </w:rPr>
        <w:t xml:space="preserve"> </w:t>
      </w:r>
      <w:proofErr w:type="spellStart"/>
      <w:r w:rsidRPr="008C6C07">
        <w:rPr>
          <w:rFonts w:ascii="Times New Roman" w:hAnsi="Times New Roman" w:cs="Times New Roman"/>
        </w:rPr>
        <w:t>jaunā</w:t>
      </w:r>
      <w:proofErr w:type="spellEnd"/>
      <w:r w:rsidRPr="008C6C07">
        <w:rPr>
          <w:rFonts w:ascii="Times New Roman" w:hAnsi="Times New Roman" w:cs="Times New Roman"/>
        </w:rPr>
        <w:t xml:space="preserve"> </w:t>
      </w:r>
      <w:proofErr w:type="spellStart"/>
      <w:r w:rsidRPr="008C6C07">
        <w:rPr>
          <w:rFonts w:ascii="Times New Roman" w:hAnsi="Times New Roman" w:cs="Times New Roman"/>
        </w:rPr>
        <w:t>īpašniece</w:t>
      </w:r>
      <w:proofErr w:type="spellEnd"/>
      <w:r w:rsidRPr="008C6C07">
        <w:rPr>
          <w:rFonts w:ascii="Times New Roman" w:hAnsi="Times New Roman" w:cs="Times New Roman"/>
        </w:rPr>
        <w:t xml:space="preserve"> </w:t>
      </w:r>
      <w:proofErr w:type="spellStart"/>
      <w:r w:rsidRPr="008C6C07">
        <w:rPr>
          <w:rFonts w:ascii="Times New Roman" w:hAnsi="Times New Roman" w:cs="Times New Roman"/>
        </w:rPr>
        <w:t>panāca</w:t>
      </w:r>
      <w:proofErr w:type="spellEnd"/>
      <w:r w:rsidRPr="008C6C07">
        <w:rPr>
          <w:rFonts w:ascii="Times New Roman" w:hAnsi="Times New Roman" w:cs="Times New Roman"/>
        </w:rPr>
        <w:t xml:space="preserve"> </w:t>
      </w:r>
      <w:proofErr w:type="spellStart"/>
      <w:r w:rsidRPr="008C6C07">
        <w:rPr>
          <w:rFonts w:ascii="Times New Roman" w:hAnsi="Times New Roman" w:cs="Times New Roman"/>
        </w:rPr>
        <w:t>savu</w:t>
      </w:r>
      <w:proofErr w:type="spellEnd"/>
      <w:r w:rsidRPr="008C6C07">
        <w:rPr>
          <w:rFonts w:ascii="Times New Roman" w:hAnsi="Times New Roman" w:cs="Times New Roman"/>
        </w:rPr>
        <w:t xml:space="preserve"> </w:t>
      </w:r>
      <w:proofErr w:type="spellStart"/>
      <w:r w:rsidRPr="008C6C07">
        <w:rPr>
          <w:rFonts w:ascii="Times New Roman" w:hAnsi="Times New Roman" w:cs="Times New Roman"/>
        </w:rPr>
        <w:t>taisnību</w:t>
      </w:r>
      <w:proofErr w:type="spellEnd"/>
      <w:r w:rsidRPr="008C6C07">
        <w:rPr>
          <w:rFonts w:ascii="Times New Roman" w:hAnsi="Times New Roman" w:cs="Times New Roman"/>
        </w:rPr>
        <w:t xml:space="preserve">. </w:t>
      </w:r>
      <w:proofErr w:type="spellStart"/>
      <w:r w:rsidRPr="008C6C07">
        <w:rPr>
          <w:rFonts w:ascii="Times New Roman" w:hAnsi="Times New Roman" w:cs="Times New Roman"/>
        </w:rPr>
        <w:t>Arī</w:t>
      </w:r>
      <w:proofErr w:type="spellEnd"/>
      <w:r w:rsidRPr="008C6C07">
        <w:rPr>
          <w:rFonts w:ascii="Times New Roman" w:hAnsi="Times New Roman" w:cs="Times New Roman"/>
        </w:rPr>
        <w:t xml:space="preserve"> </w:t>
      </w:r>
      <w:proofErr w:type="spellStart"/>
      <w:r w:rsidRPr="008C6C07">
        <w:rPr>
          <w:rFonts w:ascii="Times New Roman" w:hAnsi="Times New Roman" w:cs="Times New Roman"/>
        </w:rPr>
        <w:t>Spānijas</w:t>
      </w:r>
      <w:proofErr w:type="spellEnd"/>
      <w:r w:rsidRPr="008C6C07">
        <w:rPr>
          <w:rFonts w:ascii="Times New Roman" w:hAnsi="Times New Roman" w:cs="Times New Roman"/>
        </w:rPr>
        <w:t xml:space="preserve"> </w:t>
      </w:r>
      <w:proofErr w:type="spellStart"/>
      <w:r w:rsidRPr="008C6C07">
        <w:rPr>
          <w:rFonts w:ascii="Times New Roman" w:hAnsi="Times New Roman" w:cs="Times New Roman"/>
        </w:rPr>
        <w:t>Augstākā</w:t>
      </w:r>
      <w:proofErr w:type="spellEnd"/>
      <w:r w:rsidRPr="008C6C07">
        <w:rPr>
          <w:rFonts w:ascii="Times New Roman" w:hAnsi="Times New Roman" w:cs="Times New Roman"/>
        </w:rPr>
        <w:t xml:space="preserve"> </w:t>
      </w:r>
      <w:proofErr w:type="spellStart"/>
      <w:r w:rsidRPr="008C6C07">
        <w:rPr>
          <w:rFonts w:ascii="Times New Roman" w:hAnsi="Times New Roman" w:cs="Times New Roman"/>
        </w:rPr>
        <w:t>tiesa</w:t>
      </w:r>
      <w:proofErr w:type="spellEnd"/>
      <w:r w:rsidRPr="008C6C07">
        <w:rPr>
          <w:rFonts w:ascii="Times New Roman" w:hAnsi="Times New Roman" w:cs="Times New Roman"/>
        </w:rPr>
        <w:t xml:space="preserve"> (</w:t>
      </w:r>
      <w:r w:rsidRPr="008C6C07">
        <w:rPr>
          <w:rFonts w:ascii="Times New Roman" w:hAnsi="Times New Roman" w:cs="Times New Roman"/>
          <w:i/>
        </w:rPr>
        <w:t xml:space="preserve">Tribunal </w:t>
      </w:r>
      <w:proofErr w:type="spellStart"/>
      <w:r w:rsidRPr="008C6C07">
        <w:rPr>
          <w:rFonts w:ascii="Times New Roman" w:hAnsi="Times New Roman" w:cs="Times New Roman"/>
          <w:i/>
        </w:rPr>
        <w:t>Supremo</w:t>
      </w:r>
      <w:proofErr w:type="spellEnd"/>
      <w:r w:rsidRPr="008C6C07">
        <w:rPr>
          <w:rFonts w:ascii="Times New Roman" w:hAnsi="Times New Roman" w:cs="Times New Roman"/>
        </w:rPr>
        <w:t xml:space="preserve">) </w:t>
      </w:r>
      <w:proofErr w:type="spellStart"/>
      <w:r w:rsidRPr="008C6C07">
        <w:rPr>
          <w:rFonts w:ascii="Times New Roman" w:hAnsi="Times New Roman" w:cs="Times New Roman"/>
        </w:rPr>
        <w:t>atstāja</w:t>
      </w:r>
      <w:proofErr w:type="spellEnd"/>
      <w:r w:rsidRPr="008C6C07">
        <w:rPr>
          <w:rFonts w:ascii="Times New Roman" w:hAnsi="Times New Roman" w:cs="Times New Roman"/>
        </w:rPr>
        <w:t xml:space="preserve"> </w:t>
      </w:r>
      <w:proofErr w:type="spellStart"/>
      <w:r w:rsidRPr="008C6C07">
        <w:rPr>
          <w:rFonts w:ascii="Times New Roman" w:hAnsi="Times New Roman" w:cs="Times New Roman"/>
        </w:rPr>
        <w:t>spēkā</w:t>
      </w:r>
      <w:proofErr w:type="spellEnd"/>
      <w:r w:rsidRPr="008C6C07">
        <w:rPr>
          <w:rFonts w:ascii="Times New Roman" w:hAnsi="Times New Roman" w:cs="Times New Roman"/>
        </w:rPr>
        <w:t xml:space="preserve"> </w:t>
      </w:r>
      <w:proofErr w:type="spellStart"/>
      <w:r w:rsidRPr="008C6C07">
        <w:rPr>
          <w:rFonts w:ascii="Times New Roman" w:hAnsi="Times New Roman" w:cs="Times New Roman"/>
        </w:rPr>
        <w:t>šo</w:t>
      </w:r>
      <w:proofErr w:type="spellEnd"/>
      <w:r w:rsidRPr="008C6C07">
        <w:rPr>
          <w:rFonts w:ascii="Times New Roman" w:hAnsi="Times New Roman" w:cs="Times New Roman"/>
        </w:rPr>
        <w:t xml:space="preserve"> </w:t>
      </w:r>
      <w:proofErr w:type="spellStart"/>
      <w:r w:rsidRPr="008C6C07">
        <w:rPr>
          <w:rFonts w:ascii="Times New Roman" w:hAnsi="Times New Roman" w:cs="Times New Roman"/>
        </w:rPr>
        <w:t>apgabaltiesas</w:t>
      </w:r>
      <w:proofErr w:type="spellEnd"/>
      <w:r w:rsidRPr="008C6C07">
        <w:rPr>
          <w:rFonts w:ascii="Times New Roman" w:hAnsi="Times New Roman" w:cs="Times New Roman"/>
        </w:rPr>
        <w:t xml:space="preserve"> </w:t>
      </w:r>
      <w:proofErr w:type="spellStart"/>
      <w:r w:rsidRPr="008C6C07">
        <w:rPr>
          <w:rFonts w:ascii="Times New Roman" w:hAnsi="Times New Roman" w:cs="Times New Roman"/>
        </w:rPr>
        <w:t>spriedumu</w:t>
      </w:r>
      <w:proofErr w:type="spellEnd"/>
      <w:r>
        <w:rPr>
          <w:rFonts w:ascii="Times New Roman" w:hAnsi="Times New Roman" w:cs="Times New Roman"/>
        </w:rPr>
        <w:t xml:space="preserve">, </w:t>
      </w:r>
      <w:proofErr w:type="spellStart"/>
      <w:r>
        <w:rPr>
          <w:rFonts w:ascii="Times New Roman" w:hAnsi="Times New Roman" w:cs="Times New Roman"/>
        </w:rPr>
        <w:t>apstiprinot</w:t>
      </w:r>
      <w:proofErr w:type="spellEnd"/>
      <w:r>
        <w:rPr>
          <w:rFonts w:ascii="Times New Roman" w:hAnsi="Times New Roman" w:cs="Times New Roman"/>
        </w:rPr>
        <w:t xml:space="preserve"> </w:t>
      </w:r>
      <w:proofErr w:type="spellStart"/>
      <w:r>
        <w:rPr>
          <w:rFonts w:ascii="Times New Roman" w:hAnsi="Times New Roman" w:cs="Times New Roman"/>
        </w:rPr>
        <w:t>Vācijas</w:t>
      </w:r>
      <w:proofErr w:type="spellEnd"/>
      <w:r>
        <w:rPr>
          <w:rFonts w:ascii="Times New Roman" w:hAnsi="Times New Roman" w:cs="Times New Roman"/>
        </w:rPr>
        <w:t xml:space="preserve"> </w:t>
      </w:r>
      <w:proofErr w:type="spellStart"/>
      <w:r>
        <w:rPr>
          <w:rFonts w:ascii="Times New Roman" w:hAnsi="Times New Roman" w:cs="Times New Roman"/>
        </w:rPr>
        <w:t>notāra</w:t>
      </w:r>
      <w:proofErr w:type="spellEnd"/>
      <w:r>
        <w:rPr>
          <w:rFonts w:ascii="Times New Roman" w:hAnsi="Times New Roman" w:cs="Times New Roman"/>
        </w:rPr>
        <w:t xml:space="preserve"> </w:t>
      </w:r>
      <w:proofErr w:type="spellStart"/>
      <w:r>
        <w:rPr>
          <w:rFonts w:ascii="Times New Roman" w:hAnsi="Times New Roman" w:cs="Times New Roman"/>
        </w:rPr>
        <w:t>notariālā</w:t>
      </w:r>
      <w:proofErr w:type="spellEnd"/>
      <w:r>
        <w:rPr>
          <w:rFonts w:ascii="Times New Roman" w:hAnsi="Times New Roman" w:cs="Times New Roman"/>
        </w:rPr>
        <w:t xml:space="preserve"> </w:t>
      </w:r>
      <w:proofErr w:type="spellStart"/>
      <w:r>
        <w:rPr>
          <w:rFonts w:ascii="Times New Roman" w:hAnsi="Times New Roman" w:cs="Times New Roman"/>
        </w:rPr>
        <w:t>akta</w:t>
      </w:r>
      <w:proofErr w:type="spellEnd"/>
      <w:r>
        <w:rPr>
          <w:rFonts w:ascii="Times New Roman" w:hAnsi="Times New Roman" w:cs="Times New Roman"/>
        </w:rPr>
        <w:t xml:space="preserve"> </w:t>
      </w:r>
      <w:proofErr w:type="spellStart"/>
      <w:r>
        <w:rPr>
          <w:rFonts w:ascii="Times New Roman" w:hAnsi="Times New Roman" w:cs="Times New Roman"/>
        </w:rPr>
        <w:t>ierakstīša</w:t>
      </w:r>
      <w:r w:rsidRPr="008C6C07">
        <w:rPr>
          <w:rFonts w:ascii="Times New Roman" w:hAnsi="Times New Roman" w:cs="Times New Roman"/>
        </w:rPr>
        <w:t>nas</w:t>
      </w:r>
      <w:proofErr w:type="spellEnd"/>
      <w:r w:rsidRPr="008C6C07">
        <w:rPr>
          <w:rFonts w:ascii="Times New Roman" w:hAnsi="Times New Roman" w:cs="Times New Roman"/>
        </w:rPr>
        <w:t xml:space="preserve"> </w:t>
      </w:r>
      <w:proofErr w:type="spellStart"/>
      <w:r w:rsidRPr="008C6C07">
        <w:rPr>
          <w:rFonts w:ascii="Times New Roman" w:hAnsi="Times New Roman" w:cs="Times New Roman"/>
        </w:rPr>
        <w:t>iespēju</w:t>
      </w:r>
      <w:proofErr w:type="spellEnd"/>
      <w:r w:rsidRPr="008C6C07">
        <w:rPr>
          <w:rFonts w:ascii="Times New Roman" w:hAnsi="Times New Roman" w:cs="Times New Roman"/>
        </w:rPr>
        <w:t xml:space="preserve"> </w:t>
      </w:r>
      <w:proofErr w:type="spellStart"/>
      <w:r w:rsidRPr="008C6C07">
        <w:rPr>
          <w:rFonts w:ascii="Times New Roman" w:hAnsi="Times New Roman" w:cs="Times New Roman"/>
        </w:rPr>
        <w:t>Spānijas</w:t>
      </w:r>
      <w:proofErr w:type="spellEnd"/>
      <w:r w:rsidRPr="008C6C07">
        <w:rPr>
          <w:rFonts w:ascii="Times New Roman" w:hAnsi="Times New Roman" w:cs="Times New Roman"/>
        </w:rPr>
        <w:t xml:space="preserve"> </w:t>
      </w:r>
      <w:proofErr w:type="spellStart"/>
      <w:r w:rsidRPr="008C6C07">
        <w:rPr>
          <w:rFonts w:ascii="Times New Roman" w:hAnsi="Times New Roman" w:cs="Times New Roman"/>
        </w:rPr>
        <w:t>Nekustamo</w:t>
      </w:r>
      <w:proofErr w:type="spellEnd"/>
      <w:r w:rsidRPr="008C6C07">
        <w:rPr>
          <w:rFonts w:ascii="Times New Roman" w:hAnsi="Times New Roman" w:cs="Times New Roman"/>
        </w:rPr>
        <w:t xml:space="preserve"> </w:t>
      </w:r>
      <w:proofErr w:type="spellStart"/>
      <w:r w:rsidRPr="008C6C07">
        <w:rPr>
          <w:rFonts w:ascii="Times New Roman" w:hAnsi="Times New Roman" w:cs="Times New Roman"/>
        </w:rPr>
        <w:t>īpašumu</w:t>
      </w:r>
      <w:proofErr w:type="spellEnd"/>
      <w:r w:rsidRPr="008C6C07">
        <w:rPr>
          <w:rFonts w:ascii="Times New Roman" w:hAnsi="Times New Roman" w:cs="Times New Roman"/>
        </w:rPr>
        <w:t xml:space="preserve"> </w:t>
      </w:r>
      <w:proofErr w:type="spellStart"/>
      <w:r w:rsidRPr="008C6C07">
        <w:rPr>
          <w:rFonts w:ascii="Times New Roman" w:hAnsi="Times New Roman" w:cs="Times New Roman"/>
        </w:rPr>
        <w:t>reģistrā</w:t>
      </w:r>
      <w:proofErr w:type="spellEnd"/>
      <w:r w:rsidRPr="008C6C07">
        <w:rPr>
          <w:rFonts w:ascii="Times New Roman" w:hAnsi="Times New Roman" w:cs="Times New Roman"/>
        </w:rPr>
        <w:t>.</w:t>
      </w:r>
      <w:r>
        <w:rPr>
          <w:rStyle w:val="FootnoteReference"/>
          <w:rFonts w:ascii="Times New Roman" w:hAnsi="Times New Roman" w:cs="Times New Roman"/>
        </w:rPr>
        <w:footnoteReference w:id="106"/>
      </w:r>
    </w:p>
    <w:p w14:paraId="06BD396A" w14:textId="78FB7174" w:rsidR="00114953" w:rsidRPr="007D388B" w:rsidRDefault="00114953" w:rsidP="00114953">
      <w:pPr>
        <w:jc w:val="both"/>
        <w:rPr>
          <w:rFonts w:ascii="Times New Roman" w:hAnsi="Times New Roman" w:cs="Times New Roman"/>
          <w:lang w:val="lv-LV"/>
        </w:rPr>
      </w:pPr>
      <w:r w:rsidRPr="007D388B">
        <w:rPr>
          <w:rFonts w:ascii="Times New Roman" w:hAnsi="Times New Roman" w:cs="Times New Roman"/>
        </w:rPr>
        <w:tab/>
      </w:r>
      <w:proofErr w:type="spellStart"/>
      <w:r w:rsidRPr="007D388B">
        <w:rPr>
          <w:rFonts w:ascii="Times New Roman" w:hAnsi="Times New Roman" w:cs="Times New Roman"/>
          <w:u w:val="single"/>
        </w:rPr>
        <w:t>Spānijas</w:t>
      </w:r>
      <w:proofErr w:type="spellEnd"/>
      <w:r w:rsidRPr="007D388B">
        <w:rPr>
          <w:rFonts w:ascii="Times New Roman" w:hAnsi="Times New Roman" w:cs="Times New Roman"/>
          <w:u w:val="single"/>
        </w:rPr>
        <w:t xml:space="preserve"> </w:t>
      </w:r>
      <w:proofErr w:type="spellStart"/>
      <w:r w:rsidRPr="007D388B">
        <w:rPr>
          <w:rFonts w:ascii="Times New Roman" w:hAnsi="Times New Roman" w:cs="Times New Roman"/>
          <w:u w:val="single"/>
        </w:rPr>
        <w:t>Augstākās</w:t>
      </w:r>
      <w:proofErr w:type="spellEnd"/>
      <w:r w:rsidRPr="007D388B">
        <w:rPr>
          <w:rFonts w:ascii="Times New Roman" w:hAnsi="Times New Roman" w:cs="Times New Roman"/>
          <w:u w:val="single"/>
        </w:rPr>
        <w:t xml:space="preserve"> </w:t>
      </w:r>
      <w:proofErr w:type="spellStart"/>
      <w:r w:rsidRPr="007D388B">
        <w:rPr>
          <w:rFonts w:ascii="Times New Roman" w:hAnsi="Times New Roman" w:cs="Times New Roman"/>
          <w:u w:val="single"/>
        </w:rPr>
        <w:t>tiesas</w:t>
      </w:r>
      <w:proofErr w:type="spellEnd"/>
      <w:r w:rsidRPr="007D388B">
        <w:rPr>
          <w:rFonts w:ascii="Times New Roman" w:hAnsi="Times New Roman" w:cs="Times New Roman"/>
          <w:u w:val="single"/>
        </w:rPr>
        <w:t xml:space="preserve"> </w:t>
      </w:r>
      <w:proofErr w:type="spellStart"/>
      <w:r w:rsidRPr="007D388B">
        <w:rPr>
          <w:rFonts w:ascii="Times New Roman" w:hAnsi="Times New Roman" w:cs="Times New Roman"/>
          <w:u w:val="single"/>
        </w:rPr>
        <w:t>sprieduma</w:t>
      </w:r>
      <w:proofErr w:type="spellEnd"/>
      <w:r w:rsidRPr="007D388B">
        <w:rPr>
          <w:rFonts w:ascii="Times New Roman" w:hAnsi="Times New Roman" w:cs="Times New Roman"/>
          <w:u w:val="single"/>
        </w:rPr>
        <w:t xml:space="preserve"> </w:t>
      </w:r>
      <w:proofErr w:type="spellStart"/>
      <w:proofErr w:type="gramStart"/>
      <w:r w:rsidRPr="007D388B">
        <w:rPr>
          <w:rFonts w:ascii="Times New Roman" w:hAnsi="Times New Roman" w:cs="Times New Roman"/>
          <w:u w:val="single"/>
        </w:rPr>
        <w:t>motīvi</w:t>
      </w:r>
      <w:proofErr w:type="spellEnd"/>
      <w:r w:rsidRPr="007D388B">
        <w:rPr>
          <w:rFonts w:ascii="Times New Roman" w:hAnsi="Times New Roman" w:cs="Times New Roman"/>
        </w:rPr>
        <w:t>:</w:t>
      </w:r>
      <w:proofErr w:type="gramEnd"/>
      <w:r w:rsidRPr="007D388B">
        <w:rPr>
          <w:rFonts w:ascii="Times New Roman" w:hAnsi="Times New Roman" w:cs="Times New Roman"/>
        </w:rPr>
        <w:t xml:space="preserve"> </w:t>
      </w:r>
      <w:proofErr w:type="spellStart"/>
      <w:r w:rsidRPr="007D388B">
        <w:rPr>
          <w:rFonts w:ascii="Times New Roman" w:hAnsi="Times New Roman" w:cs="Times New Roman"/>
        </w:rPr>
        <w:t>saskaņā</w:t>
      </w:r>
      <w:proofErr w:type="spellEnd"/>
      <w:r w:rsidRPr="007D388B">
        <w:rPr>
          <w:rFonts w:ascii="Times New Roman" w:hAnsi="Times New Roman" w:cs="Times New Roman"/>
        </w:rPr>
        <w:t xml:space="preserve"> </w:t>
      </w:r>
      <w:proofErr w:type="spellStart"/>
      <w:r w:rsidRPr="007D388B">
        <w:rPr>
          <w:rFonts w:ascii="Times New Roman" w:hAnsi="Times New Roman" w:cs="Times New Roman"/>
        </w:rPr>
        <w:t>ar</w:t>
      </w:r>
      <w:proofErr w:type="spellEnd"/>
      <w:r w:rsidRPr="007D388B">
        <w:rPr>
          <w:rFonts w:ascii="Times New Roman" w:hAnsi="Times New Roman" w:cs="Times New Roman"/>
        </w:rPr>
        <w:t xml:space="preserve"> </w:t>
      </w:r>
      <w:proofErr w:type="spellStart"/>
      <w:r w:rsidRPr="007D388B">
        <w:rPr>
          <w:rFonts w:ascii="Times New Roman" w:hAnsi="Times New Roman" w:cs="Times New Roman"/>
        </w:rPr>
        <w:t>Spānijas</w:t>
      </w:r>
      <w:proofErr w:type="spellEnd"/>
      <w:r w:rsidRPr="007D388B">
        <w:rPr>
          <w:rFonts w:ascii="Times New Roman" w:hAnsi="Times New Roman" w:cs="Times New Roman"/>
        </w:rPr>
        <w:t xml:space="preserve"> </w:t>
      </w:r>
      <w:proofErr w:type="spellStart"/>
      <w:r>
        <w:rPr>
          <w:rFonts w:ascii="Times New Roman" w:hAnsi="Times New Roman" w:cs="Times New Roman"/>
        </w:rPr>
        <w:t>normatīvajiem</w:t>
      </w:r>
      <w:proofErr w:type="spellEnd"/>
      <w:r>
        <w:rPr>
          <w:rFonts w:ascii="Times New Roman" w:hAnsi="Times New Roman" w:cs="Times New Roman"/>
        </w:rPr>
        <w:t xml:space="preserve"> </w:t>
      </w:r>
      <w:proofErr w:type="spellStart"/>
      <w:r w:rsidRPr="007D388B">
        <w:rPr>
          <w:rFonts w:ascii="Times New Roman" w:hAnsi="Times New Roman" w:cs="Times New Roman"/>
        </w:rPr>
        <w:t>tiesību</w:t>
      </w:r>
      <w:proofErr w:type="spellEnd"/>
      <w:r w:rsidRPr="007D388B">
        <w:rPr>
          <w:rFonts w:ascii="Times New Roman" w:hAnsi="Times New Roman" w:cs="Times New Roman"/>
        </w:rPr>
        <w:t xml:space="preserve"> </w:t>
      </w:r>
      <w:proofErr w:type="spellStart"/>
      <w:r w:rsidRPr="007D388B">
        <w:rPr>
          <w:rFonts w:ascii="Times New Roman" w:hAnsi="Times New Roman" w:cs="Times New Roman"/>
        </w:rPr>
        <w:t>aktiem</w:t>
      </w:r>
      <w:proofErr w:type="spellEnd"/>
      <w:r w:rsidRPr="007D388B">
        <w:rPr>
          <w:rFonts w:ascii="Times New Roman" w:hAnsi="Times New Roman" w:cs="Times New Roman"/>
        </w:rPr>
        <w:t xml:space="preserve"> </w:t>
      </w:r>
      <w:proofErr w:type="spellStart"/>
      <w:r w:rsidRPr="007D388B">
        <w:rPr>
          <w:rFonts w:ascii="Times New Roman" w:hAnsi="Times New Roman" w:cs="Times New Roman"/>
        </w:rPr>
        <w:t>Nekustamā</w:t>
      </w:r>
      <w:proofErr w:type="spellEnd"/>
      <w:r w:rsidRPr="007D388B">
        <w:rPr>
          <w:rFonts w:ascii="Times New Roman" w:hAnsi="Times New Roman" w:cs="Times New Roman"/>
        </w:rPr>
        <w:t xml:space="preserve"> </w:t>
      </w:r>
      <w:proofErr w:type="spellStart"/>
      <w:r w:rsidRPr="007D388B">
        <w:rPr>
          <w:rFonts w:ascii="Times New Roman" w:hAnsi="Times New Roman" w:cs="Times New Roman"/>
        </w:rPr>
        <w:t>īpašuma</w:t>
      </w:r>
      <w:proofErr w:type="spellEnd"/>
      <w:r w:rsidRPr="007D388B">
        <w:rPr>
          <w:rFonts w:ascii="Times New Roman" w:hAnsi="Times New Roman" w:cs="Times New Roman"/>
        </w:rPr>
        <w:t xml:space="preserve"> </w:t>
      </w:r>
      <w:proofErr w:type="spellStart"/>
      <w:r w:rsidRPr="007D388B">
        <w:rPr>
          <w:rFonts w:ascii="Times New Roman" w:hAnsi="Times New Roman" w:cs="Times New Roman"/>
        </w:rPr>
        <w:t>reģistrā</w:t>
      </w:r>
      <w:proofErr w:type="spellEnd"/>
      <w:r w:rsidRPr="007D388B">
        <w:rPr>
          <w:rFonts w:ascii="Times New Roman" w:hAnsi="Times New Roman" w:cs="Times New Roman"/>
        </w:rPr>
        <w:t xml:space="preserve"> var </w:t>
      </w:r>
      <w:proofErr w:type="spellStart"/>
      <w:r w:rsidRPr="007D388B">
        <w:rPr>
          <w:rFonts w:ascii="Times New Roman" w:hAnsi="Times New Roman" w:cs="Times New Roman"/>
        </w:rPr>
        <w:t>ierakstīt</w:t>
      </w:r>
      <w:proofErr w:type="spellEnd"/>
      <w:r w:rsidRPr="007D388B">
        <w:rPr>
          <w:rFonts w:ascii="Times New Roman" w:hAnsi="Times New Roman" w:cs="Times New Roman"/>
        </w:rPr>
        <w:t xml:space="preserve"> </w:t>
      </w:r>
      <w:proofErr w:type="spellStart"/>
      <w:r w:rsidRPr="007D388B">
        <w:rPr>
          <w:rFonts w:ascii="Times New Roman" w:hAnsi="Times New Roman" w:cs="Times New Roman"/>
        </w:rPr>
        <w:t>arī</w:t>
      </w:r>
      <w:proofErr w:type="spellEnd"/>
      <w:r w:rsidRPr="007D388B">
        <w:rPr>
          <w:rFonts w:ascii="Times New Roman" w:hAnsi="Times New Roman" w:cs="Times New Roman"/>
        </w:rPr>
        <w:t xml:space="preserve"> </w:t>
      </w:r>
      <w:proofErr w:type="spellStart"/>
      <w:r w:rsidRPr="007D388B">
        <w:rPr>
          <w:rFonts w:ascii="Times New Roman" w:hAnsi="Times New Roman" w:cs="Times New Roman"/>
        </w:rPr>
        <w:t>ārvalstīs</w:t>
      </w:r>
      <w:proofErr w:type="spellEnd"/>
      <w:r w:rsidRPr="007D388B">
        <w:rPr>
          <w:rFonts w:ascii="Times New Roman" w:hAnsi="Times New Roman" w:cs="Times New Roman"/>
        </w:rPr>
        <w:t xml:space="preserve"> </w:t>
      </w:r>
      <w:proofErr w:type="spellStart"/>
      <w:r w:rsidRPr="007D388B">
        <w:rPr>
          <w:rFonts w:ascii="Times New Roman" w:hAnsi="Times New Roman" w:cs="Times New Roman"/>
        </w:rPr>
        <w:t>izdotus</w:t>
      </w:r>
      <w:proofErr w:type="spellEnd"/>
      <w:r w:rsidRPr="007D388B">
        <w:rPr>
          <w:rFonts w:ascii="Times New Roman" w:hAnsi="Times New Roman" w:cs="Times New Roman"/>
        </w:rPr>
        <w:t xml:space="preserve"> </w:t>
      </w:r>
      <w:proofErr w:type="spellStart"/>
      <w:r w:rsidRPr="007D388B">
        <w:rPr>
          <w:rFonts w:ascii="Times New Roman" w:hAnsi="Times New Roman" w:cs="Times New Roman"/>
        </w:rPr>
        <w:t>publiskos</w:t>
      </w:r>
      <w:proofErr w:type="spellEnd"/>
      <w:r w:rsidRPr="007D388B">
        <w:rPr>
          <w:rFonts w:ascii="Times New Roman" w:hAnsi="Times New Roman" w:cs="Times New Roman"/>
        </w:rPr>
        <w:t xml:space="preserve"> </w:t>
      </w:r>
      <w:proofErr w:type="spellStart"/>
      <w:r w:rsidRPr="007D388B">
        <w:rPr>
          <w:rFonts w:ascii="Times New Roman" w:hAnsi="Times New Roman" w:cs="Times New Roman"/>
        </w:rPr>
        <w:t>aktus</w:t>
      </w:r>
      <w:proofErr w:type="spellEnd"/>
      <w:r w:rsidRPr="007D388B">
        <w:rPr>
          <w:rFonts w:ascii="Times New Roman" w:hAnsi="Times New Roman" w:cs="Times New Roman"/>
        </w:rPr>
        <w:t xml:space="preserve">, </w:t>
      </w:r>
      <w:proofErr w:type="spellStart"/>
      <w:r w:rsidRPr="007D388B">
        <w:rPr>
          <w:rFonts w:ascii="Times New Roman" w:hAnsi="Times New Roman" w:cs="Times New Roman"/>
        </w:rPr>
        <w:t>ja</w:t>
      </w:r>
      <w:proofErr w:type="spellEnd"/>
      <w:r w:rsidRPr="007D388B">
        <w:rPr>
          <w:rFonts w:ascii="Times New Roman" w:hAnsi="Times New Roman" w:cs="Times New Roman"/>
        </w:rPr>
        <w:t xml:space="preserve"> tie </w:t>
      </w:r>
      <w:proofErr w:type="spellStart"/>
      <w:r w:rsidRPr="007D388B">
        <w:rPr>
          <w:rFonts w:ascii="Times New Roman" w:hAnsi="Times New Roman" w:cs="Times New Roman"/>
        </w:rPr>
        <w:t>saskaņā</w:t>
      </w:r>
      <w:proofErr w:type="spellEnd"/>
      <w:r w:rsidRPr="007D388B">
        <w:rPr>
          <w:rFonts w:ascii="Times New Roman" w:hAnsi="Times New Roman" w:cs="Times New Roman"/>
        </w:rPr>
        <w:t xml:space="preserve"> </w:t>
      </w:r>
      <w:proofErr w:type="spellStart"/>
      <w:r w:rsidRPr="007D388B">
        <w:rPr>
          <w:rFonts w:ascii="Times New Roman" w:hAnsi="Times New Roman" w:cs="Times New Roman"/>
        </w:rPr>
        <w:t>ar</w:t>
      </w:r>
      <w:proofErr w:type="spellEnd"/>
      <w:r w:rsidRPr="007D388B">
        <w:rPr>
          <w:rFonts w:ascii="Times New Roman" w:hAnsi="Times New Roman" w:cs="Times New Roman"/>
        </w:rPr>
        <w:t xml:space="preserve"> </w:t>
      </w:r>
      <w:proofErr w:type="spellStart"/>
      <w:r w:rsidRPr="007D388B">
        <w:rPr>
          <w:rFonts w:ascii="Times New Roman" w:hAnsi="Times New Roman" w:cs="Times New Roman"/>
        </w:rPr>
        <w:t>Spānijas</w:t>
      </w:r>
      <w:proofErr w:type="spellEnd"/>
      <w:r w:rsidRPr="007D388B">
        <w:rPr>
          <w:rFonts w:ascii="Times New Roman" w:hAnsi="Times New Roman" w:cs="Times New Roman"/>
        </w:rPr>
        <w:t xml:space="preserve"> </w:t>
      </w:r>
      <w:proofErr w:type="spellStart"/>
      <w:r w:rsidRPr="007D388B">
        <w:rPr>
          <w:rFonts w:ascii="Times New Roman" w:hAnsi="Times New Roman" w:cs="Times New Roman"/>
        </w:rPr>
        <w:t>kolīziju</w:t>
      </w:r>
      <w:proofErr w:type="spellEnd"/>
      <w:r w:rsidRPr="007D388B">
        <w:rPr>
          <w:rFonts w:ascii="Times New Roman" w:hAnsi="Times New Roman" w:cs="Times New Roman"/>
        </w:rPr>
        <w:t xml:space="preserve"> </w:t>
      </w:r>
      <w:proofErr w:type="spellStart"/>
      <w:r w:rsidRPr="007D388B">
        <w:rPr>
          <w:rFonts w:ascii="Times New Roman" w:hAnsi="Times New Roman" w:cs="Times New Roman"/>
        </w:rPr>
        <w:t>tiesībām</w:t>
      </w:r>
      <w:proofErr w:type="spellEnd"/>
      <w:r w:rsidRPr="007D388B">
        <w:rPr>
          <w:rFonts w:ascii="Times New Roman" w:hAnsi="Times New Roman" w:cs="Times New Roman"/>
        </w:rPr>
        <w:t xml:space="preserve"> </w:t>
      </w:r>
      <w:proofErr w:type="spellStart"/>
      <w:r w:rsidRPr="007D388B">
        <w:rPr>
          <w:rFonts w:ascii="Times New Roman" w:hAnsi="Times New Roman" w:cs="Times New Roman"/>
        </w:rPr>
        <w:t>ir</w:t>
      </w:r>
      <w:proofErr w:type="spellEnd"/>
      <w:r w:rsidRPr="007D388B">
        <w:rPr>
          <w:rFonts w:ascii="Times New Roman" w:hAnsi="Times New Roman" w:cs="Times New Roman"/>
        </w:rPr>
        <w:t xml:space="preserve"> </w:t>
      </w:r>
      <w:proofErr w:type="spellStart"/>
      <w:r w:rsidRPr="007D388B">
        <w:rPr>
          <w:rFonts w:ascii="Times New Roman" w:hAnsi="Times New Roman" w:cs="Times New Roman"/>
        </w:rPr>
        <w:t>spēkā</w:t>
      </w:r>
      <w:proofErr w:type="spellEnd"/>
      <w:r w:rsidRPr="007D388B">
        <w:rPr>
          <w:rFonts w:ascii="Times New Roman" w:hAnsi="Times New Roman" w:cs="Times New Roman"/>
        </w:rPr>
        <w:t xml:space="preserve"> </w:t>
      </w:r>
      <w:proofErr w:type="spellStart"/>
      <w:r w:rsidRPr="007D388B">
        <w:rPr>
          <w:rFonts w:ascii="Times New Roman" w:hAnsi="Times New Roman" w:cs="Times New Roman"/>
        </w:rPr>
        <w:t>esoši</w:t>
      </w:r>
      <w:proofErr w:type="spellEnd"/>
      <w:r w:rsidRPr="007D388B">
        <w:rPr>
          <w:rFonts w:ascii="Times New Roman" w:hAnsi="Times New Roman" w:cs="Times New Roman"/>
        </w:rPr>
        <w:t xml:space="preserve"> un </w:t>
      </w:r>
      <w:proofErr w:type="spellStart"/>
      <w:r w:rsidRPr="007D388B">
        <w:rPr>
          <w:rFonts w:ascii="Times New Roman" w:hAnsi="Times New Roman" w:cs="Times New Roman"/>
        </w:rPr>
        <w:t>atbilst</w:t>
      </w:r>
      <w:proofErr w:type="spellEnd"/>
      <w:r w:rsidRPr="007D388B">
        <w:rPr>
          <w:rFonts w:ascii="Times New Roman" w:hAnsi="Times New Roman" w:cs="Times New Roman"/>
        </w:rPr>
        <w:t xml:space="preserve"> </w:t>
      </w:r>
      <w:proofErr w:type="spellStart"/>
      <w:r w:rsidRPr="007D388B">
        <w:rPr>
          <w:rFonts w:ascii="Times New Roman" w:hAnsi="Times New Roman" w:cs="Times New Roman"/>
        </w:rPr>
        <w:t>pārējām</w:t>
      </w:r>
      <w:proofErr w:type="spellEnd"/>
      <w:r w:rsidRPr="007D388B">
        <w:rPr>
          <w:rFonts w:ascii="Times New Roman" w:hAnsi="Times New Roman" w:cs="Times New Roman"/>
        </w:rPr>
        <w:t xml:space="preserve"> </w:t>
      </w:r>
      <w:proofErr w:type="spellStart"/>
      <w:r w:rsidRPr="007D388B">
        <w:rPr>
          <w:rFonts w:ascii="Times New Roman" w:hAnsi="Times New Roman" w:cs="Times New Roman"/>
        </w:rPr>
        <w:t>prasībām</w:t>
      </w:r>
      <w:proofErr w:type="spellEnd"/>
      <w:r w:rsidRPr="007D388B">
        <w:rPr>
          <w:rFonts w:ascii="Times New Roman" w:hAnsi="Times New Roman" w:cs="Times New Roman"/>
        </w:rPr>
        <w:t xml:space="preserve">, </w:t>
      </w:r>
      <w:proofErr w:type="spellStart"/>
      <w:r w:rsidRPr="007D388B">
        <w:rPr>
          <w:rFonts w:ascii="Times New Roman" w:hAnsi="Times New Roman" w:cs="Times New Roman"/>
        </w:rPr>
        <w:t>kuras</w:t>
      </w:r>
      <w:proofErr w:type="spellEnd"/>
      <w:r w:rsidRPr="007D388B">
        <w:rPr>
          <w:rFonts w:ascii="Times New Roman" w:hAnsi="Times New Roman" w:cs="Times New Roman"/>
        </w:rPr>
        <w:t xml:space="preserve"> </w:t>
      </w:r>
      <w:proofErr w:type="spellStart"/>
      <w:r w:rsidRPr="007D388B">
        <w:rPr>
          <w:rFonts w:ascii="Times New Roman" w:hAnsi="Times New Roman" w:cs="Times New Roman"/>
        </w:rPr>
        <w:t>ir</w:t>
      </w:r>
      <w:proofErr w:type="spellEnd"/>
      <w:r w:rsidRPr="007D388B">
        <w:rPr>
          <w:rFonts w:ascii="Times New Roman" w:hAnsi="Times New Roman" w:cs="Times New Roman"/>
        </w:rPr>
        <w:t xml:space="preserve"> </w:t>
      </w:r>
      <w:proofErr w:type="spellStart"/>
      <w:r w:rsidRPr="007D388B">
        <w:rPr>
          <w:rFonts w:ascii="Times New Roman" w:hAnsi="Times New Roman" w:cs="Times New Roman"/>
        </w:rPr>
        <w:t>izvirzītas</w:t>
      </w:r>
      <w:proofErr w:type="spellEnd"/>
      <w:r w:rsidRPr="007D388B">
        <w:rPr>
          <w:rFonts w:ascii="Times New Roman" w:hAnsi="Times New Roman" w:cs="Times New Roman"/>
        </w:rPr>
        <w:t xml:space="preserve"> </w:t>
      </w:r>
      <w:proofErr w:type="spellStart"/>
      <w:r w:rsidRPr="007D388B">
        <w:rPr>
          <w:rFonts w:ascii="Times New Roman" w:hAnsi="Times New Roman" w:cs="Times New Roman"/>
        </w:rPr>
        <w:t>publiskiem</w:t>
      </w:r>
      <w:proofErr w:type="spellEnd"/>
      <w:r w:rsidRPr="007D388B">
        <w:rPr>
          <w:rFonts w:ascii="Times New Roman" w:hAnsi="Times New Roman" w:cs="Times New Roman"/>
        </w:rPr>
        <w:t xml:space="preserve"> </w:t>
      </w:r>
      <w:proofErr w:type="spellStart"/>
      <w:r w:rsidRPr="007D388B">
        <w:rPr>
          <w:rFonts w:ascii="Times New Roman" w:hAnsi="Times New Roman" w:cs="Times New Roman"/>
        </w:rPr>
        <w:t>dokumentiem</w:t>
      </w:r>
      <w:proofErr w:type="spellEnd"/>
      <w:r w:rsidRPr="007D388B">
        <w:rPr>
          <w:rFonts w:ascii="Times New Roman" w:hAnsi="Times New Roman" w:cs="Times New Roman"/>
        </w:rPr>
        <w:t xml:space="preserve">. </w:t>
      </w:r>
      <w:proofErr w:type="spellStart"/>
      <w:r w:rsidRPr="007D388B">
        <w:rPr>
          <w:rFonts w:ascii="Times New Roman" w:hAnsi="Times New Roman" w:cs="Times New Roman"/>
        </w:rPr>
        <w:t>Piemēram</w:t>
      </w:r>
      <w:proofErr w:type="spellEnd"/>
      <w:r w:rsidRPr="007D388B">
        <w:rPr>
          <w:rFonts w:ascii="Times New Roman" w:hAnsi="Times New Roman" w:cs="Times New Roman"/>
        </w:rPr>
        <w:t xml:space="preserve">, </w:t>
      </w:r>
      <w:proofErr w:type="spellStart"/>
      <w:r w:rsidRPr="007D388B">
        <w:rPr>
          <w:rFonts w:ascii="Times New Roman" w:hAnsi="Times New Roman" w:cs="Times New Roman"/>
        </w:rPr>
        <w:t>darījums</w:t>
      </w:r>
      <w:proofErr w:type="spellEnd"/>
      <w:r w:rsidRPr="007D388B">
        <w:rPr>
          <w:rFonts w:ascii="Times New Roman" w:hAnsi="Times New Roman" w:cs="Times New Roman"/>
        </w:rPr>
        <w:t xml:space="preserve"> </w:t>
      </w:r>
      <w:proofErr w:type="spellStart"/>
      <w:r w:rsidRPr="007D388B">
        <w:rPr>
          <w:rFonts w:ascii="Times New Roman" w:hAnsi="Times New Roman" w:cs="Times New Roman"/>
        </w:rPr>
        <w:t>ir</w:t>
      </w:r>
      <w:proofErr w:type="spellEnd"/>
      <w:r w:rsidRPr="007D388B">
        <w:rPr>
          <w:rFonts w:ascii="Times New Roman" w:hAnsi="Times New Roman" w:cs="Times New Roman"/>
        </w:rPr>
        <w:t xml:space="preserve"> </w:t>
      </w:r>
      <w:proofErr w:type="spellStart"/>
      <w:r w:rsidRPr="007D388B">
        <w:rPr>
          <w:rFonts w:ascii="Times New Roman" w:hAnsi="Times New Roman" w:cs="Times New Roman"/>
        </w:rPr>
        <w:t>spēkā</w:t>
      </w:r>
      <w:proofErr w:type="spellEnd"/>
      <w:r w:rsidRPr="007D388B">
        <w:rPr>
          <w:rFonts w:ascii="Times New Roman" w:hAnsi="Times New Roman" w:cs="Times New Roman"/>
        </w:rPr>
        <w:t xml:space="preserve">, </w:t>
      </w:r>
      <w:proofErr w:type="spellStart"/>
      <w:r w:rsidRPr="007D388B">
        <w:rPr>
          <w:rFonts w:ascii="Times New Roman" w:hAnsi="Times New Roman" w:cs="Times New Roman"/>
        </w:rPr>
        <w:t>ja</w:t>
      </w:r>
      <w:proofErr w:type="spellEnd"/>
      <w:r w:rsidRPr="007D388B">
        <w:rPr>
          <w:rFonts w:ascii="Times New Roman" w:hAnsi="Times New Roman" w:cs="Times New Roman"/>
        </w:rPr>
        <w:t xml:space="preserve"> tas </w:t>
      </w:r>
      <w:proofErr w:type="spellStart"/>
      <w:r w:rsidRPr="007D388B">
        <w:rPr>
          <w:rFonts w:ascii="Times New Roman" w:hAnsi="Times New Roman" w:cs="Times New Roman"/>
        </w:rPr>
        <w:t>atbilst</w:t>
      </w:r>
      <w:proofErr w:type="spellEnd"/>
      <w:r w:rsidRPr="007D388B">
        <w:rPr>
          <w:rFonts w:ascii="Times New Roman" w:hAnsi="Times New Roman" w:cs="Times New Roman"/>
        </w:rPr>
        <w:t xml:space="preserve"> </w:t>
      </w:r>
      <w:proofErr w:type="spellStart"/>
      <w:r w:rsidRPr="007D388B">
        <w:rPr>
          <w:rFonts w:ascii="Times New Roman" w:hAnsi="Times New Roman" w:cs="Times New Roman"/>
        </w:rPr>
        <w:t>tām</w:t>
      </w:r>
      <w:proofErr w:type="spellEnd"/>
      <w:r w:rsidRPr="007D388B">
        <w:rPr>
          <w:rFonts w:ascii="Times New Roman" w:hAnsi="Times New Roman" w:cs="Times New Roman"/>
        </w:rPr>
        <w:t xml:space="preserve"> formas </w:t>
      </w:r>
      <w:proofErr w:type="spellStart"/>
      <w:r w:rsidRPr="007D388B">
        <w:rPr>
          <w:rFonts w:ascii="Times New Roman" w:hAnsi="Times New Roman" w:cs="Times New Roman"/>
        </w:rPr>
        <w:t>prasībām</w:t>
      </w:r>
      <w:proofErr w:type="spellEnd"/>
      <w:r w:rsidRPr="007D388B">
        <w:rPr>
          <w:rFonts w:ascii="Times New Roman" w:hAnsi="Times New Roman" w:cs="Times New Roman"/>
        </w:rPr>
        <w:t xml:space="preserve">, </w:t>
      </w:r>
      <w:proofErr w:type="spellStart"/>
      <w:r w:rsidRPr="007D388B">
        <w:rPr>
          <w:rFonts w:ascii="Times New Roman" w:hAnsi="Times New Roman" w:cs="Times New Roman"/>
        </w:rPr>
        <w:t>kuras</w:t>
      </w:r>
      <w:proofErr w:type="spellEnd"/>
      <w:r w:rsidRPr="007D388B">
        <w:rPr>
          <w:rFonts w:ascii="Times New Roman" w:hAnsi="Times New Roman" w:cs="Times New Roman"/>
        </w:rPr>
        <w:t xml:space="preserve"> </w:t>
      </w:r>
      <w:proofErr w:type="spellStart"/>
      <w:r w:rsidRPr="007D388B">
        <w:rPr>
          <w:rFonts w:ascii="Times New Roman" w:hAnsi="Times New Roman" w:cs="Times New Roman"/>
        </w:rPr>
        <w:t>nosaka</w:t>
      </w:r>
      <w:proofErr w:type="spellEnd"/>
      <w:r w:rsidRPr="007D388B">
        <w:rPr>
          <w:rFonts w:ascii="Times New Roman" w:hAnsi="Times New Roman" w:cs="Times New Roman"/>
        </w:rPr>
        <w:t xml:space="preserve"> </w:t>
      </w:r>
      <w:proofErr w:type="spellStart"/>
      <w:r w:rsidRPr="007D388B">
        <w:rPr>
          <w:rFonts w:ascii="Times New Roman" w:hAnsi="Times New Roman" w:cs="Times New Roman"/>
        </w:rPr>
        <w:t>tā</w:t>
      </w:r>
      <w:proofErr w:type="spellEnd"/>
      <w:r w:rsidRPr="007D388B">
        <w:rPr>
          <w:rFonts w:ascii="Times New Roman" w:hAnsi="Times New Roman" w:cs="Times New Roman"/>
        </w:rPr>
        <w:t xml:space="preserve"> </w:t>
      </w:r>
      <w:proofErr w:type="spellStart"/>
      <w:r w:rsidRPr="007D388B">
        <w:rPr>
          <w:rFonts w:ascii="Times New Roman" w:hAnsi="Times New Roman" w:cs="Times New Roman"/>
        </w:rPr>
        <w:t>sastādīšanas</w:t>
      </w:r>
      <w:proofErr w:type="spellEnd"/>
      <w:r w:rsidRPr="007D388B">
        <w:rPr>
          <w:rFonts w:ascii="Times New Roman" w:hAnsi="Times New Roman" w:cs="Times New Roman"/>
        </w:rPr>
        <w:t xml:space="preserve"> </w:t>
      </w:r>
      <w:proofErr w:type="spellStart"/>
      <w:r w:rsidRPr="007D388B">
        <w:rPr>
          <w:rFonts w:ascii="Times New Roman" w:hAnsi="Times New Roman" w:cs="Times New Roman"/>
        </w:rPr>
        <w:t>vietas</w:t>
      </w:r>
      <w:proofErr w:type="spellEnd"/>
      <w:r w:rsidRPr="007D388B">
        <w:rPr>
          <w:rFonts w:ascii="Times New Roman" w:hAnsi="Times New Roman" w:cs="Times New Roman"/>
        </w:rPr>
        <w:t xml:space="preserve"> </w:t>
      </w:r>
      <w:proofErr w:type="spellStart"/>
      <w:r w:rsidRPr="007D388B">
        <w:rPr>
          <w:rFonts w:ascii="Times New Roman" w:hAnsi="Times New Roman" w:cs="Times New Roman"/>
        </w:rPr>
        <w:t>valsts</w:t>
      </w:r>
      <w:proofErr w:type="spellEnd"/>
      <w:r w:rsidRPr="007D388B">
        <w:rPr>
          <w:rFonts w:ascii="Times New Roman" w:hAnsi="Times New Roman" w:cs="Times New Roman"/>
        </w:rPr>
        <w:t xml:space="preserve"> </w:t>
      </w:r>
      <w:proofErr w:type="spellStart"/>
      <w:r w:rsidRPr="007D388B">
        <w:rPr>
          <w:rFonts w:ascii="Times New Roman" w:hAnsi="Times New Roman" w:cs="Times New Roman"/>
        </w:rPr>
        <w:t>likums</w:t>
      </w:r>
      <w:proofErr w:type="spellEnd"/>
      <w:r w:rsidRPr="007D388B">
        <w:rPr>
          <w:rFonts w:ascii="Times New Roman" w:hAnsi="Times New Roman" w:cs="Times New Roman"/>
        </w:rPr>
        <w:t xml:space="preserve">. </w:t>
      </w:r>
      <w:proofErr w:type="spellStart"/>
      <w:r w:rsidRPr="007D388B">
        <w:rPr>
          <w:rFonts w:ascii="Times New Roman" w:hAnsi="Times New Roman" w:cs="Times New Roman"/>
        </w:rPr>
        <w:t>Līgumiem</w:t>
      </w:r>
      <w:proofErr w:type="spellEnd"/>
      <w:r w:rsidRPr="007D388B">
        <w:rPr>
          <w:rFonts w:ascii="Times New Roman" w:hAnsi="Times New Roman" w:cs="Times New Roman"/>
        </w:rPr>
        <w:t xml:space="preserve"> </w:t>
      </w:r>
      <w:proofErr w:type="spellStart"/>
      <w:r w:rsidRPr="007D388B">
        <w:rPr>
          <w:rFonts w:ascii="Times New Roman" w:hAnsi="Times New Roman" w:cs="Times New Roman"/>
        </w:rPr>
        <w:t>ir</w:t>
      </w:r>
      <w:proofErr w:type="spellEnd"/>
      <w:r w:rsidRPr="007D388B">
        <w:rPr>
          <w:rFonts w:ascii="Times New Roman" w:hAnsi="Times New Roman" w:cs="Times New Roman"/>
        </w:rPr>
        <w:t xml:space="preserve"> </w:t>
      </w:r>
      <w:proofErr w:type="spellStart"/>
      <w:r w:rsidRPr="007D388B">
        <w:rPr>
          <w:rFonts w:ascii="Times New Roman" w:hAnsi="Times New Roman" w:cs="Times New Roman"/>
        </w:rPr>
        <w:t>piemērojama</w:t>
      </w:r>
      <w:proofErr w:type="spellEnd"/>
      <w:r w:rsidRPr="007D388B">
        <w:rPr>
          <w:rFonts w:ascii="Times New Roman" w:hAnsi="Times New Roman" w:cs="Times New Roman"/>
        </w:rPr>
        <w:t xml:space="preserve"> Roma I </w:t>
      </w:r>
      <w:proofErr w:type="spellStart"/>
      <w:r w:rsidRPr="007D388B">
        <w:rPr>
          <w:rFonts w:ascii="Times New Roman" w:hAnsi="Times New Roman" w:cs="Times New Roman"/>
        </w:rPr>
        <w:t>Regula</w:t>
      </w:r>
      <w:proofErr w:type="spellEnd"/>
      <w:r w:rsidRPr="007D388B">
        <w:rPr>
          <w:rFonts w:ascii="Times New Roman" w:hAnsi="Times New Roman" w:cs="Times New Roman"/>
        </w:rPr>
        <w:t xml:space="preserve"> (skat. </w:t>
      </w:r>
      <w:proofErr w:type="spellStart"/>
      <w:proofErr w:type="gramStart"/>
      <w:r w:rsidRPr="007D388B">
        <w:rPr>
          <w:rFonts w:ascii="Times New Roman" w:hAnsi="Times New Roman" w:cs="Times New Roman"/>
        </w:rPr>
        <w:t>tās</w:t>
      </w:r>
      <w:proofErr w:type="spellEnd"/>
      <w:proofErr w:type="gramEnd"/>
      <w:r w:rsidRPr="007D388B">
        <w:rPr>
          <w:rFonts w:ascii="Times New Roman" w:hAnsi="Times New Roman" w:cs="Times New Roman"/>
        </w:rPr>
        <w:t xml:space="preserve"> 11.p. 1. </w:t>
      </w:r>
      <w:proofErr w:type="gramStart"/>
      <w:r w:rsidRPr="007D388B">
        <w:rPr>
          <w:rFonts w:ascii="Times New Roman" w:hAnsi="Times New Roman" w:cs="Times New Roman"/>
        </w:rPr>
        <w:t>un</w:t>
      </w:r>
      <w:proofErr w:type="gramEnd"/>
      <w:r w:rsidRPr="007D388B">
        <w:rPr>
          <w:rFonts w:ascii="Times New Roman" w:hAnsi="Times New Roman" w:cs="Times New Roman"/>
        </w:rPr>
        <w:t xml:space="preserve"> 2.d.). </w:t>
      </w:r>
      <w:proofErr w:type="spellStart"/>
      <w:r w:rsidRPr="007D388B">
        <w:rPr>
          <w:rFonts w:ascii="Times New Roman" w:hAnsi="Times New Roman" w:cs="Times New Roman"/>
        </w:rPr>
        <w:t>Savādāk</w:t>
      </w:r>
      <w:proofErr w:type="spellEnd"/>
      <w:r w:rsidRPr="007D388B">
        <w:rPr>
          <w:rFonts w:ascii="Times New Roman" w:hAnsi="Times New Roman" w:cs="Times New Roman"/>
        </w:rPr>
        <w:t xml:space="preserve"> </w:t>
      </w:r>
      <w:proofErr w:type="spellStart"/>
      <w:r w:rsidRPr="007D388B">
        <w:rPr>
          <w:rFonts w:ascii="Times New Roman" w:hAnsi="Times New Roman" w:cs="Times New Roman"/>
        </w:rPr>
        <w:t>būtu</w:t>
      </w:r>
      <w:proofErr w:type="spellEnd"/>
      <w:r w:rsidRPr="007D388B">
        <w:rPr>
          <w:rFonts w:ascii="Times New Roman" w:hAnsi="Times New Roman" w:cs="Times New Roman"/>
        </w:rPr>
        <w:t xml:space="preserve">, </w:t>
      </w:r>
      <w:proofErr w:type="spellStart"/>
      <w:r w:rsidRPr="007D388B">
        <w:rPr>
          <w:rFonts w:ascii="Times New Roman" w:hAnsi="Times New Roman" w:cs="Times New Roman"/>
        </w:rPr>
        <w:t>ja</w:t>
      </w:r>
      <w:proofErr w:type="spellEnd"/>
      <w:r w:rsidRPr="007D388B">
        <w:rPr>
          <w:rFonts w:ascii="Times New Roman" w:hAnsi="Times New Roman" w:cs="Times New Roman"/>
        </w:rPr>
        <w:t xml:space="preserve"> </w:t>
      </w:r>
      <w:proofErr w:type="spellStart"/>
      <w:r w:rsidRPr="007D388B">
        <w:rPr>
          <w:rFonts w:ascii="Times New Roman" w:hAnsi="Times New Roman" w:cs="Times New Roman"/>
        </w:rPr>
        <w:t>tās</w:t>
      </w:r>
      <w:proofErr w:type="spellEnd"/>
      <w:r w:rsidRPr="007D388B">
        <w:rPr>
          <w:rFonts w:ascii="Times New Roman" w:hAnsi="Times New Roman" w:cs="Times New Roman"/>
        </w:rPr>
        <w:t xml:space="preserve"> </w:t>
      </w:r>
      <w:proofErr w:type="spellStart"/>
      <w:r w:rsidRPr="007D388B">
        <w:rPr>
          <w:rFonts w:ascii="Times New Roman" w:hAnsi="Times New Roman" w:cs="Times New Roman"/>
        </w:rPr>
        <w:t>valsts</w:t>
      </w:r>
      <w:proofErr w:type="spellEnd"/>
      <w:r w:rsidRPr="007D388B">
        <w:rPr>
          <w:rFonts w:ascii="Times New Roman" w:hAnsi="Times New Roman" w:cs="Times New Roman"/>
        </w:rPr>
        <w:t xml:space="preserve"> </w:t>
      </w:r>
      <w:proofErr w:type="spellStart"/>
      <w:r w:rsidRPr="007D388B">
        <w:rPr>
          <w:rFonts w:ascii="Times New Roman" w:hAnsi="Times New Roman" w:cs="Times New Roman"/>
        </w:rPr>
        <w:t>likums</w:t>
      </w:r>
      <w:proofErr w:type="spellEnd"/>
      <w:r w:rsidRPr="007D388B">
        <w:rPr>
          <w:rFonts w:ascii="Times New Roman" w:hAnsi="Times New Roman" w:cs="Times New Roman"/>
        </w:rPr>
        <w:t xml:space="preserve">, </w:t>
      </w:r>
      <w:proofErr w:type="spellStart"/>
      <w:r w:rsidRPr="007D388B">
        <w:rPr>
          <w:rFonts w:ascii="Times New Roman" w:hAnsi="Times New Roman" w:cs="Times New Roman"/>
        </w:rPr>
        <w:t>kuras</w:t>
      </w:r>
      <w:proofErr w:type="spellEnd"/>
      <w:r w:rsidRPr="007D388B">
        <w:rPr>
          <w:rFonts w:ascii="Times New Roman" w:hAnsi="Times New Roman" w:cs="Times New Roman"/>
        </w:rPr>
        <w:t xml:space="preserve"> </w:t>
      </w:r>
      <w:proofErr w:type="spellStart"/>
      <w:r w:rsidRPr="007D388B">
        <w:rPr>
          <w:rFonts w:ascii="Times New Roman" w:hAnsi="Times New Roman" w:cs="Times New Roman"/>
        </w:rPr>
        <w:t>teritorijā</w:t>
      </w:r>
      <w:proofErr w:type="spellEnd"/>
      <w:r w:rsidRPr="007D388B">
        <w:rPr>
          <w:rFonts w:ascii="Times New Roman" w:hAnsi="Times New Roman" w:cs="Times New Roman"/>
        </w:rPr>
        <w:t xml:space="preserve"> </w:t>
      </w:r>
      <w:proofErr w:type="spellStart"/>
      <w:r w:rsidRPr="007D388B">
        <w:rPr>
          <w:rFonts w:ascii="Times New Roman" w:hAnsi="Times New Roman" w:cs="Times New Roman"/>
        </w:rPr>
        <w:t>atrodas</w:t>
      </w:r>
      <w:proofErr w:type="spellEnd"/>
      <w:r w:rsidRPr="007D388B">
        <w:rPr>
          <w:rFonts w:ascii="Times New Roman" w:hAnsi="Times New Roman" w:cs="Times New Roman"/>
        </w:rPr>
        <w:t xml:space="preserve"> </w:t>
      </w:r>
      <w:proofErr w:type="spellStart"/>
      <w:r w:rsidRPr="007D388B">
        <w:rPr>
          <w:rFonts w:ascii="Times New Roman" w:hAnsi="Times New Roman" w:cs="Times New Roman"/>
        </w:rPr>
        <w:t>nekustamais</w:t>
      </w:r>
      <w:proofErr w:type="spellEnd"/>
      <w:r w:rsidRPr="007D388B">
        <w:rPr>
          <w:rFonts w:ascii="Times New Roman" w:hAnsi="Times New Roman" w:cs="Times New Roman"/>
        </w:rPr>
        <w:t xml:space="preserve"> </w:t>
      </w:r>
      <w:proofErr w:type="spellStart"/>
      <w:r w:rsidRPr="007D388B">
        <w:rPr>
          <w:rFonts w:ascii="Times New Roman" w:hAnsi="Times New Roman" w:cs="Times New Roman"/>
        </w:rPr>
        <w:t>īpašums</w:t>
      </w:r>
      <w:proofErr w:type="spellEnd"/>
      <w:r w:rsidRPr="007D388B">
        <w:rPr>
          <w:rFonts w:ascii="Times New Roman" w:hAnsi="Times New Roman" w:cs="Times New Roman"/>
        </w:rPr>
        <w:t xml:space="preserve">, </w:t>
      </w:r>
      <w:proofErr w:type="spellStart"/>
      <w:r w:rsidRPr="007D388B">
        <w:rPr>
          <w:rFonts w:ascii="Times New Roman" w:hAnsi="Times New Roman" w:cs="Times New Roman"/>
        </w:rPr>
        <w:t>pieprasītu</w:t>
      </w:r>
      <w:proofErr w:type="spellEnd"/>
      <w:r w:rsidRPr="007D388B">
        <w:rPr>
          <w:rFonts w:ascii="Times New Roman" w:hAnsi="Times New Roman" w:cs="Times New Roman"/>
        </w:rPr>
        <w:t xml:space="preserve"> </w:t>
      </w:r>
      <w:proofErr w:type="spellStart"/>
      <w:r w:rsidRPr="007D388B">
        <w:rPr>
          <w:rFonts w:ascii="Times New Roman" w:hAnsi="Times New Roman" w:cs="Times New Roman"/>
        </w:rPr>
        <w:t>darījuma</w:t>
      </w:r>
      <w:proofErr w:type="spellEnd"/>
      <w:r w:rsidRPr="007D388B">
        <w:rPr>
          <w:rFonts w:ascii="Times New Roman" w:hAnsi="Times New Roman" w:cs="Times New Roman"/>
        </w:rPr>
        <w:t xml:space="preserve"> formai </w:t>
      </w:r>
      <w:proofErr w:type="spellStart"/>
      <w:r w:rsidRPr="007D388B">
        <w:rPr>
          <w:rFonts w:ascii="Times New Roman" w:hAnsi="Times New Roman" w:cs="Times New Roman"/>
        </w:rPr>
        <w:t>piemērot</w:t>
      </w:r>
      <w:proofErr w:type="spellEnd"/>
      <w:r w:rsidRPr="007D388B">
        <w:rPr>
          <w:rFonts w:ascii="Times New Roman" w:hAnsi="Times New Roman" w:cs="Times New Roman"/>
        </w:rPr>
        <w:t xml:space="preserve"> </w:t>
      </w:r>
      <w:proofErr w:type="spellStart"/>
      <w:r w:rsidRPr="007D388B">
        <w:rPr>
          <w:rFonts w:ascii="Times New Roman" w:hAnsi="Times New Roman" w:cs="Times New Roman"/>
        </w:rPr>
        <w:t>tikai</w:t>
      </w:r>
      <w:proofErr w:type="spellEnd"/>
      <w:r w:rsidRPr="007D388B">
        <w:rPr>
          <w:rFonts w:ascii="Times New Roman" w:hAnsi="Times New Roman" w:cs="Times New Roman"/>
        </w:rPr>
        <w:t xml:space="preserve"> </w:t>
      </w:r>
      <w:proofErr w:type="spellStart"/>
      <w:r w:rsidRPr="007D388B">
        <w:rPr>
          <w:rFonts w:ascii="Times New Roman" w:hAnsi="Times New Roman" w:cs="Times New Roman"/>
        </w:rPr>
        <w:t>nekustamā</w:t>
      </w:r>
      <w:proofErr w:type="spellEnd"/>
      <w:r w:rsidRPr="007D388B">
        <w:rPr>
          <w:rFonts w:ascii="Times New Roman" w:hAnsi="Times New Roman" w:cs="Times New Roman"/>
        </w:rPr>
        <w:t xml:space="preserve"> </w:t>
      </w:r>
      <w:proofErr w:type="spellStart"/>
      <w:r w:rsidRPr="007D388B">
        <w:rPr>
          <w:rFonts w:ascii="Times New Roman" w:hAnsi="Times New Roman" w:cs="Times New Roman"/>
        </w:rPr>
        <w:t>īpašuma</w:t>
      </w:r>
      <w:proofErr w:type="spellEnd"/>
      <w:r w:rsidRPr="007D388B">
        <w:rPr>
          <w:rFonts w:ascii="Times New Roman" w:hAnsi="Times New Roman" w:cs="Times New Roman"/>
        </w:rPr>
        <w:t xml:space="preserve"> </w:t>
      </w:r>
      <w:proofErr w:type="spellStart"/>
      <w:r w:rsidRPr="007D388B">
        <w:rPr>
          <w:rFonts w:ascii="Times New Roman" w:hAnsi="Times New Roman" w:cs="Times New Roman"/>
        </w:rPr>
        <w:t>vietas</w:t>
      </w:r>
      <w:proofErr w:type="spellEnd"/>
      <w:r w:rsidRPr="007D388B">
        <w:rPr>
          <w:rFonts w:ascii="Times New Roman" w:hAnsi="Times New Roman" w:cs="Times New Roman"/>
        </w:rPr>
        <w:t xml:space="preserve"> </w:t>
      </w:r>
      <w:proofErr w:type="spellStart"/>
      <w:r w:rsidRPr="007D388B">
        <w:rPr>
          <w:rFonts w:ascii="Times New Roman" w:hAnsi="Times New Roman" w:cs="Times New Roman"/>
        </w:rPr>
        <w:t>valsts</w:t>
      </w:r>
      <w:proofErr w:type="spellEnd"/>
      <w:r w:rsidRPr="007D388B">
        <w:rPr>
          <w:rFonts w:ascii="Times New Roman" w:hAnsi="Times New Roman" w:cs="Times New Roman"/>
        </w:rPr>
        <w:t xml:space="preserve"> </w:t>
      </w:r>
      <w:proofErr w:type="spellStart"/>
      <w:r w:rsidRPr="007D388B">
        <w:rPr>
          <w:rFonts w:ascii="Times New Roman" w:hAnsi="Times New Roman" w:cs="Times New Roman"/>
        </w:rPr>
        <w:t>likumu</w:t>
      </w:r>
      <w:proofErr w:type="spellEnd"/>
      <w:r w:rsidRPr="007D388B">
        <w:rPr>
          <w:rStyle w:val="FootnoteReference"/>
          <w:rFonts w:ascii="Times New Roman" w:hAnsi="Times New Roman" w:cs="Times New Roman"/>
        </w:rPr>
        <w:footnoteReference w:id="107"/>
      </w:r>
      <w:r>
        <w:rPr>
          <w:rFonts w:ascii="Times New Roman" w:hAnsi="Times New Roman" w:cs="Times New Roman"/>
        </w:rPr>
        <w:t xml:space="preserve"> (</w:t>
      </w:r>
      <w:proofErr w:type="spellStart"/>
      <w:r>
        <w:rPr>
          <w:rFonts w:ascii="Times New Roman" w:hAnsi="Times New Roman" w:cs="Times New Roman"/>
        </w:rPr>
        <w:t>kā</w:t>
      </w:r>
      <w:proofErr w:type="spellEnd"/>
      <w:r>
        <w:rPr>
          <w:rFonts w:ascii="Times New Roman" w:hAnsi="Times New Roman" w:cs="Times New Roman"/>
        </w:rPr>
        <w:t xml:space="preserve"> tas </w:t>
      </w:r>
      <w:proofErr w:type="spellStart"/>
      <w:r>
        <w:rPr>
          <w:rFonts w:ascii="Times New Roman" w:hAnsi="Times New Roman" w:cs="Times New Roman"/>
        </w:rPr>
        <w:t>ir</w:t>
      </w:r>
      <w:proofErr w:type="spellEnd"/>
      <w:r>
        <w:rPr>
          <w:rFonts w:ascii="Times New Roman" w:hAnsi="Times New Roman" w:cs="Times New Roman"/>
        </w:rPr>
        <w:t xml:space="preserve"> </w:t>
      </w:r>
      <w:proofErr w:type="spellStart"/>
      <w:proofErr w:type="gramStart"/>
      <w:r>
        <w:rPr>
          <w:rFonts w:ascii="Times New Roman" w:hAnsi="Times New Roman" w:cs="Times New Roman"/>
        </w:rPr>
        <w:t>Latvijā</w:t>
      </w:r>
      <w:proofErr w:type="spellEnd"/>
      <w:r w:rsidRPr="007D388B">
        <w:rPr>
          <w:rFonts w:ascii="Times New Roman" w:hAnsi="Times New Roman" w:cs="Times New Roman"/>
        </w:rPr>
        <w:t>;</w:t>
      </w:r>
      <w:proofErr w:type="gramEnd"/>
      <w:r w:rsidRPr="007D388B">
        <w:rPr>
          <w:rFonts w:ascii="Times New Roman" w:hAnsi="Times New Roman" w:cs="Times New Roman"/>
        </w:rPr>
        <w:t xml:space="preserve"> </w:t>
      </w:r>
      <w:r>
        <w:rPr>
          <w:rFonts w:ascii="Times New Roman" w:hAnsi="Times New Roman" w:cs="Times New Roman"/>
        </w:rPr>
        <w:t xml:space="preserve">skat. </w:t>
      </w:r>
      <w:r w:rsidRPr="000C7C76">
        <w:rPr>
          <w:rFonts w:ascii="Times New Roman" w:hAnsi="Times New Roman" w:cs="Times New Roman"/>
          <w:lang w:val="en-US"/>
        </w:rPr>
        <w:t xml:space="preserve">Roma I Regulas 11.p. </w:t>
      </w:r>
      <w:proofErr w:type="gramStart"/>
      <w:r w:rsidRPr="000C7C76">
        <w:rPr>
          <w:rFonts w:ascii="Times New Roman" w:hAnsi="Times New Roman" w:cs="Times New Roman"/>
          <w:lang w:val="en-US"/>
        </w:rPr>
        <w:t>5.d.</w:t>
      </w:r>
      <w:proofErr w:type="gramEnd"/>
      <w:r w:rsidRPr="000C7C76">
        <w:rPr>
          <w:rFonts w:ascii="Times New Roman" w:hAnsi="Times New Roman" w:cs="Times New Roman"/>
          <w:lang w:val="en-US"/>
        </w:rPr>
        <w:t xml:space="preserve">; CL </w:t>
      </w:r>
      <w:proofErr w:type="spellStart"/>
      <w:r w:rsidRPr="000C7C76">
        <w:rPr>
          <w:rFonts w:ascii="Times New Roman" w:hAnsi="Times New Roman" w:cs="Times New Roman"/>
          <w:lang w:val="en-US"/>
        </w:rPr>
        <w:t>Ievada</w:t>
      </w:r>
      <w:proofErr w:type="spellEnd"/>
      <w:r w:rsidRPr="000C7C76">
        <w:rPr>
          <w:rFonts w:ascii="Times New Roman" w:hAnsi="Times New Roman" w:cs="Times New Roman"/>
          <w:lang w:val="en-US"/>
        </w:rPr>
        <w:t xml:space="preserve"> 21.p. 2.d. un 18.p. 4.d.). </w:t>
      </w:r>
      <w:r w:rsidRPr="007D388B">
        <w:rPr>
          <w:rFonts w:ascii="Times New Roman" w:hAnsi="Times New Roman" w:cs="Times New Roman"/>
          <w:lang w:val="lv-LV"/>
        </w:rPr>
        <w:t xml:space="preserve">Spānijas Augstākā tiesa pamatoti norādīja uz to, ka Vācijas notariālais akts Spānijā uzskatāms par publisku dokumentu un atsaucās uz Spānijas Civilprocesa likuma 323.pantu, kas paredz, </w:t>
      </w:r>
      <w:r w:rsidR="00F63FC2">
        <w:rPr>
          <w:rFonts w:ascii="Times New Roman" w:hAnsi="Times New Roman" w:cs="Times New Roman"/>
          <w:lang w:val="lv-LV"/>
        </w:rPr>
        <w:t>ka vācu publiskiem dokumentiem [</w:t>
      </w:r>
      <w:r w:rsidRPr="007D388B">
        <w:rPr>
          <w:rFonts w:ascii="Times New Roman" w:hAnsi="Times New Roman" w:cs="Times New Roman"/>
          <w:lang w:val="lv-LV"/>
        </w:rPr>
        <w:t>ar nosacījumu, ka tie ir īsti</w:t>
      </w:r>
      <w:r w:rsidR="00F63FC2">
        <w:rPr>
          <w:rFonts w:ascii="Times New Roman" w:hAnsi="Times New Roman" w:cs="Times New Roman"/>
          <w:lang w:val="lv-LV"/>
        </w:rPr>
        <w:t xml:space="preserve"> (tātad – legalizēti)], </w:t>
      </w:r>
      <w:r w:rsidRPr="007D388B">
        <w:rPr>
          <w:rFonts w:ascii="Times New Roman" w:hAnsi="Times New Roman" w:cs="Times New Roman"/>
          <w:lang w:val="lv-LV"/>
        </w:rPr>
        <w:t>piemīt tāds pats pierādījumu formālais spēks kā Spānijas publiskiem dokumentiem, tādēļ vācu dokumenti ir līdzvērtīgi Spānijas dokumentiem.</w:t>
      </w:r>
      <w:r w:rsidRPr="007D388B">
        <w:rPr>
          <w:rStyle w:val="FootnoteReference"/>
          <w:rFonts w:ascii="Times New Roman" w:hAnsi="Times New Roman" w:cs="Times New Roman"/>
          <w:lang w:val="lv-LV"/>
        </w:rPr>
        <w:footnoteReference w:id="108"/>
      </w:r>
      <w:r w:rsidRPr="007D388B">
        <w:rPr>
          <w:rFonts w:ascii="Times New Roman" w:hAnsi="Times New Roman" w:cs="Times New Roman"/>
          <w:lang w:val="lv-LV"/>
        </w:rPr>
        <w:t xml:space="preserve"> </w:t>
      </w:r>
    </w:p>
    <w:p w14:paraId="24503EC6" w14:textId="77777777" w:rsidR="00114953" w:rsidRPr="007D388B" w:rsidRDefault="00114953" w:rsidP="00114953">
      <w:pPr>
        <w:ind w:firstLine="708"/>
        <w:jc w:val="both"/>
        <w:rPr>
          <w:rFonts w:ascii="Times New Roman" w:hAnsi="Times New Roman" w:cs="Times New Roman"/>
          <w:i/>
          <w:lang w:val="lv-LV"/>
        </w:rPr>
      </w:pPr>
      <w:r w:rsidRPr="007D388B">
        <w:rPr>
          <w:rFonts w:ascii="Times New Roman" w:hAnsi="Times New Roman" w:cs="Times New Roman"/>
          <w:lang w:val="lv-LV"/>
        </w:rPr>
        <w:t xml:space="preserve">Taču vācu juridiskajā literatūrā arī tiek norādīts, ka principā tikai tās valsts notārs, kuras teritorijā atrodas nekustamais īpašums, var visaptveroši pārbaudīt nekustamā īpašuma apgrūtinājumus, kā arī pārzināt administratīvās formalitātes, kas saistītas ar ierakstiem nekustamo īpašumu reģistros. Ne jau veltīgi arī ES likumdevējs ES regulās nekustamo īpašumu jautājumus piesaista </w:t>
      </w:r>
      <w:proofErr w:type="spellStart"/>
      <w:r w:rsidRPr="007D388B">
        <w:rPr>
          <w:rFonts w:ascii="Times New Roman" w:hAnsi="Times New Roman" w:cs="Times New Roman"/>
          <w:i/>
          <w:lang w:val="lv-LV"/>
        </w:rPr>
        <w:t>lex</w:t>
      </w:r>
      <w:proofErr w:type="spellEnd"/>
      <w:r w:rsidRPr="007D388B">
        <w:rPr>
          <w:rFonts w:ascii="Times New Roman" w:hAnsi="Times New Roman" w:cs="Times New Roman"/>
          <w:i/>
          <w:lang w:val="lv-LV"/>
        </w:rPr>
        <w:t xml:space="preserve"> </w:t>
      </w:r>
      <w:proofErr w:type="spellStart"/>
      <w:r w:rsidRPr="007D388B">
        <w:rPr>
          <w:rFonts w:ascii="Times New Roman" w:hAnsi="Times New Roman" w:cs="Times New Roman"/>
          <w:i/>
          <w:lang w:val="lv-LV"/>
        </w:rPr>
        <w:t>rei</w:t>
      </w:r>
      <w:proofErr w:type="spellEnd"/>
      <w:r w:rsidRPr="007D388B">
        <w:rPr>
          <w:rFonts w:ascii="Times New Roman" w:hAnsi="Times New Roman" w:cs="Times New Roman"/>
          <w:i/>
          <w:lang w:val="lv-LV"/>
        </w:rPr>
        <w:t xml:space="preserve"> </w:t>
      </w:r>
      <w:proofErr w:type="spellStart"/>
      <w:r w:rsidRPr="007D388B">
        <w:rPr>
          <w:rFonts w:ascii="Times New Roman" w:hAnsi="Times New Roman" w:cs="Times New Roman"/>
          <w:i/>
          <w:lang w:val="lv-LV"/>
        </w:rPr>
        <w:t>sitae</w:t>
      </w:r>
      <w:proofErr w:type="spellEnd"/>
      <w:r w:rsidRPr="007D388B">
        <w:rPr>
          <w:rFonts w:ascii="Times New Roman" w:hAnsi="Times New Roman" w:cs="Times New Roman"/>
          <w:i/>
          <w:lang w:val="lv-LV"/>
        </w:rPr>
        <w:t>.</w:t>
      </w:r>
      <w:r w:rsidRPr="007D388B">
        <w:rPr>
          <w:rStyle w:val="FootnoteReference"/>
          <w:rFonts w:ascii="Times New Roman" w:hAnsi="Times New Roman" w:cs="Times New Roman"/>
          <w:lang w:val="lv-LV"/>
        </w:rPr>
        <w:footnoteReference w:id="109"/>
      </w:r>
      <w:r w:rsidRPr="007D388B">
        <w:rPr>
          <w:rFonts w:ascii="Times New Roman" w:hAnsi="Times New Roman" w:cs="Times New Roman"/>
          <w:i/>
          <w:lang w:val="lv-LV"/>
        </w:rPr>
        <w:t xml:space="preserve"> </w:t>
      </w:r>
    </w:p>
    <w:p w14:paraId="3584EC4D" w14:textId="77777777" w:rsidR="00114953" w:rsidRPr="007D388B" w:rsidRDefault="00114953" w:rsidP="00114953">
      <w:pPr>
        <w:ind w:firstLine="708"/>
        <w:jc w:val="both"/>
        <w:rPr>
          <w:rFonts w:ascii="Times New Roman" w:hAnsi="Times New Roman" w:cs="Times New Roman"/>
          <w:lang w:val="lv-LV"/>
        </w:rPr>
      </w:pPr>
      <w:r w:rsidRPr="00565D81">
        <w:rPr>
          <w:rFonts w:ascii="Times New Roman" w:hAnsi="Times New Roman" w:cs="Times New Roman"/>
          <w:lang w:val="lv-LV"/>
        </w:rPr>
        <w:t xml:space="preserve">Piemēram, Eiropas Padomes un Parlamenta Regulas (ES) Nr. 650/2012 (2012.gada 4.jūlijs) </w:t>
      </w:r>
      <w:r w:rsidRPr="00565D81">
        <w:rPr>
          <w:rFonts w:ascii="Times New Roman" w:hAnsi="Times New Roman" w:cs="Times New Roman"/>
          <w:i/>
          <w:lang w:val="lv-LV"/>
        </w:rPr>
        <w:t>par jurisdikciju, piemērojamiem tiesību aktiem, nolēmumu atzīšanu un izpildi un publisku aktu akceptēšanu un izpildi mantošanas lietās un par Eiropas mantošanas apliecības izveidi</w:t>
      </w:r>
      <w:r w:rsidRPr="00565D81">
        <w:rPr>
          <w:rStyle w:val="FootnoteReference"/>
          <w:rFonts w:ascii="Times New Roman" w:hAnsi="Times New Roman" w:cs="Times New Roman"/>
          <w:lang w:val="lv-LV"/>
        </w:rPr>
        <w:footnoteReference w:id="110"/>
      </w:r>
      <w:r w:rsidRPr="00565D81">
        <w:rPr>
          <w:rFonts w:ascii="Times New Roman" w:hAnsi="Times New Roman" w:cs="Times New Roman"/>
          <w:lang w:val="lv-LV"/>
        </w:rPr>
        <w:t xml:space="preserve"> (turpmāk -</w:t>
      </w:r>
      <w:r>
        <w:rPr>
          <w:rFonts w:ascii="Times New Roman" w:hAnsi="Times New Roman" w:cs="Times New Roman"/>
          <w:lang w:val="lv-LV"/>
        </w:rPr>
        <w:t xml:space="preserve"> </w:t>
      </w:r>
      <w:r>
        <w:rPr>
          <w:rFonts w:ascii="Times New Roman" w:hAnsi="Times New Roman" w:cs="Times New Roman"/>
          <w:b/>
          <w:lang w:val="lv-LV"/>
        </w:rPr>
        <w:t>Mantošanas Regula</w:t>
      </w:r>
      <w:r w:rsidRPr="007D388B">
        <w:rPr>
          <w:rFonts w:ascii="Times New Roman" w:hAnsi="Times New Roman" w:cs="Times New Roman"/>
          <w:b/>
          <w:lang w:val="lv-LV"/>
        </w:rPr>
        <w:t xml:space="preserve"> Nr. 650/2012</w:t>
      </w:r>
      <w:r>
        <w:rPr>
          <w:rFonts w:ascii="Times New Roman" w:hAnsi="Times New Roman" w:cs="Times New Roman"/>
          <w:b/>
          <w:lang w:val="lv-LV"/>
        </w:rPr>
        <w:t>)</w:t>
      </w:r>
      <w:r w:rsidRPr="007D388B">
        <w:rPr>
          <w:rFonts w:ascii="Times New Roman" w:hAnsi="Times New Roman" w:cs="Times New Roman"/>
          <w:lang w:val="lv-LV"/>
        </w:rPr>
        <w:t xml:space="preserve"> preambulas 18. un 19. apsvērumā ir teikts:</w:t>
      </w:r>
    </w:p>
    <w:p w14:paraId="476A0C8E" w14:textId="77777777" w:rsidR="00114953" w:rsidRDefault="00114953" w:rsidP="00114953">
      <w:pPr>
        <w:ind w:left="708"/>
        <w:jc w:val="both"/>
        <w:rPr>
          <w:rFonts w:ascii="Times New Roman" w:hAnsi="Times New Roman" w:cs="Times New Roman"/>
          <w:i/>
          <w:highlight w:val="yellow"/>
          <w:lang w:val="de-DE"/>
        </w:rPr>
      </w:pPr>
      <w:r>
        <w:rPr>
          <w:rFonts w:ascii="Times New Roman" w:hAnsi="Times New Roman" w:cs="Times New Roman"/>
          <w:lang w:val="de-DE"/>
        </w:rPr>
        <w:t>„</w:t>
      </w:r>
      <w:r w:rsidRPr="00E132AD">
        <w:rPr>
          <w:rFonts w:ascii="Times New Roman" w:hAnsi="Times New Roman" w:cs="Times New Roman"/>
          <w:lang w:val="de-DE"/>
        </w:rPr>
        <w:t>(</w:t>
      </w:r>
      <w:r w:rsidRPr="00E132AD">
        <w:rPr>
          <w:rFonts w:ascii="Times New Roman" w:hAnsi="Times New Roman" w:cs="Times New Roman"/>
          <w:i/>
          <w:lang w:val="de-DE"/>
        </w:rPr>
        <w:t xml:space="preserve">18) </w:t>
      </w:r>
      <w:proofErr w:type="spellStart"/>
      <w:r w:rsidRPr="00E132AD">
        <w:rPr>
          <w:rFonts w:ascii="Times New Roman" w:hAnsi="Times New Roman" w:cs="Times New Roman"/>
          <w:i/>
          <w:lang w:val="de-DE"/>
        </w:rPr>
        <w:t>Prasības</w:t>
      </w:r>
      <w:proofErr w:type="spellEnd"/>
      <w:r w:rsidRPr="00E132AD">
        <w:rPr>
          <w:rFonts w:ascii="Times New Roman" w:hAnsi="Times New Roman" w:cs="Times New Roman"/>
          <w:i/>
          <w:lang w:val="de-DE"/>
        </w:rPr>
        <w:t xml:space="preserve"> par </w:t>
      </w:r>
      <w:proofErr w:type="spellStart"/>
      <w:r w:rsidRPr="00E132AD">
        <w:rPr>
          <w:rFonts w:ascii="Times New Roman" w:hAnsi="Times New Roman" w:cs="Times New Roman"/>
          <w:i/>
          <w:lang w:val="de-DE"/>
        </w:rPr>
        <w:t>nekustamā</w:t>
      </w:r>
      <w:proofErr w:type="spellEnd"/>
      <w:r w:rsidRPr="00E132AD">
        <w:rPr>
          <w:rFonts w:ascii="Times New Roman" w:hAnsi="Times New Roman" w:cs="Times New Roman"/>
          <w:i/>
          <w:lang w:val="de-DE"/>
        </w:rPr>
        <w:t xml:space="preserve"> </w:t>
      </w:r>
      <w:proofErr w:type="spellStart"/>
      <w:r w:rsidRPr="00E132AD">
        <w:rPr>
          <w:rFonts w:ascii="Times New Roman" w:hAnsi="Times New Roman" w:cs="Times New Roman"/>
          <w:i/>
          <w:lang w:val="de-DE"/>
        </w:rPr>
        <w:t>vai</w:t>
      </w:r>
      <w:proofErr w:type="spellEnd"/>
      <w:r w:rsidRPr="00E132AD">
        <w:rPr>
          <w:rFonts w:ascii="Times New Roman" w:hAnsi="Times New Roman" w:cs="Times New Roman"/>
          <w:i/>
          <w:lang w:val="de-DE"/>
        </w:rPr>
        <w:t xml:space="preserve"> </w:t>
      </w:r>
      <w:proofErr w:type="spellStart"/>
      <w:r w:rsidRPr="00E132AD">
        <w:rPr>
          <w:rFonts w:ascii="Times New Roman" w:hAnsi="Times New Roman" w:cs="Times New Roman"/>
          <w:i/>
          <w:lang w:val="de-DE"/>
        </w:rPr>
        <w:t>kustamā</w:t>
      </w:r>
      <w:proofErr w:type="spellEnd"/>
      <w:r w:rsidRPr="00E132AD">
        <w:rPr>
          <w:rFonts w:ascii="Times New Roman" w:hAnsi="Times New Roman" w:cs="Times New Roman"/>
          <w:i/>
          <w:lang w:val="de-DE"/>
        </w:rPr>
        <w:t xml:space="preserve"> </w:t>
      </w:r>
      <w:proofErr w:type="spellStart"/>
      <w:r w:rsidRPr="00E132AD">
        <w:rPr>
          <w:rFonts w:ascii="Times New Roman" w:hAnsi="Times New Roman" w:cs="Times New Roman"/>
          <w:i/>
          <w:lang w:val="de-DE"/>
        </w:rPr>
        <w:t>īpašuma</w:t>
      </w:r>
      <w:proofErr w:type="spellEnd"/>
      <w:r w:rsidRPr="00E132AD">
        <w:rPr>
          <w:rFonts w:ascii="Times New Roman" w:hAnsi="Times New Roman" w:cs="Times New Roman"/>
          <w:i/>
          <w:lang w:val="de-DE"/>
        </w:rPr>
        <w:t xml:space="preserve"> </w:t>
      </w:r>
      <w:proofErr w:type="spellStart"/>
      <w:r w:rsidRPr="00E132AD">
        <w:rPr>
          <w:rFonts w:ascii="Times New Roman" w:hAnsi="Times New Roman" w:cs="Times New Roman"/>
          <w:i/>
          <w:lang w:val="de-DE"/>
        </w:rPr>
        <w:t>tiesību</w:t>
      </w:r>
      <w:proofErr w:type="spellEnd"/>
      <w:r w:rsidRPr="00E132AD">
        <w:rPr>
          <w:rFonts w:ascii="Times New Roman" w:hAnsi="Times New Roman" w:cs="Times New Roman"/>
          <w:i/>
          <w:lang w:val="de-DE"/>
        </w:rPr>
        <w:t xml:space="preserve"> </w:t>
      </w:r>
      <w:proofErr w:type="spellStart"/>
      <w:r w:rsidRPr="00E132AD">
        <w:rPr>
          <w:rFonts w:ascii="Times New Roman" w:hAnsi="Times New Roman" w:cs="Times New Roman"/>
          <w:i/>
          <w:lang w:val="de-DE"/>
        </w:rPr>
        <w:t>reģistrāciju</w:t>
      </w:r>
      <w:proofErr w:type="spellEnd"/>
      <w:r w:rsidRPr="00E132AD">
        <w:rPr>
          <w:rFonts w:ascii="Times New Roman" w:hAnsi="Times New Roman" w:cs="Times New Roman"/>
          <w:i/>
          <w:lang w:val="de-DE"/>
        </w:rPr>
        <w:t xml:space="preserve"> </w:t>
      </w:r>
      <w:proofErr w:type="spellStart"/>
      <w:r w:rsidRPr="00E132AD">
        <w:rPr>
          <w:rFonts w:ascii="Times New Roman" w:hAnsi="Times New Roman" w:cs="Times New Roman"/>
          <w:i/>
          <w:lang w:val="de-DE"/>
        </w:rPr>
        <w:t>reģistrā</w:t>
      </w:r>
      <w:proofErr w:type="spellEnd"/>
      <w:r w:rsidRPr="00E132AD">
        <w:rPr>
          <w:rFonts w:ascii="Times New Roman" w:hAnsi="Times New Roman" w:cs="Times New Roman"/>
          <w:i/>
          <w:lang w:val="de-DE"/>
        </w:rPr>
        <w:t xml:space="preserve"> </w:t>
      </w:r>
      <w:proofErr w:type="spellStart"/>
      <w:r w:rsidRPr="00E132AD">
        <w:rPr>
          <w:rFonts w:ascii="Times New Roman" w:hAnsi="Times New Roman" w:cs="Times New Roman"/>
          <w:i/>
          <w:lang w:val="de-DE"/>
        </w:rPr>
        <w:t>būtu</w:t>
      </w:r>
      <w:proofErr w:type="spellEnd"/>
      <w:r w:rsidRPr="00E132AD">
        <w:rPr>
          <w:rFonts w:ascii="Times New Roman" w:hAnsi="Times New Roman" w:cs="Times New Roman"/>
          <w:i/>
          <w:lang w:val="de-DE"/>
        </w:rPr>
        <w:t xml:space="preserve"> </w:t>
      </w:r>
      <w:proofErr w:type="spellStart"/>
      <w:r w:rsidRPr="00E132AD">
        <w:rPr>
          <w:rFonts w:ascii="Times New Roman" w:hAnsi="Times New Roman" w:cs="Times New Roman"/>
          <w:i/>
          <w:lang w:val="de-DE"/>
        </w:rPr>
        <w:t>jāizslēdz</w:t>
      </w:r>
      <w:proofErr w:type="spellEnd"/>
      <w:r w:rsidRPr="00E132AD">
        <w:rPr>
          <w:rFonts w:ascii="Times New Roman" w:hAnsi="Times New Roman" w:cs="Times New Roman"/>
          <w:i/>
          <w:lang w:val="de-DE"/>
        </w:rPr>
        <w:t xml:space="preserve"> </w:t>
      </w:r>
      <w:proofErr w:type="spellStart"/>
      <w:r w:rsidRPr="00E132AD">
        <w:rPr>
          <w:rFonts w:ascii="Times New Roman" w:hAnsi="Times New Roman" w:cs="Times New Roman"/>
          <w:i/>
          <w:lang w:val="de-DE"/>
        </w:rPr>
        <w:t>no</w:t>
      </w:r>
      <w:proofErr w:type="spellEnd"/>
      <w:r w:rsidRPr="00E132AD">
        <w:rPr>
          <w:rFonts w:ascii="Times New Roman" w:hAnsi="Times New Roman" w:cs="Times New Roman"/>
          <w:i/>
          <w:lang w:val="de-DE"/>
        </w:rPr>
        <w:t xml:space="preserve"> </w:t>
      </w:r>
      <w:proofErr w:type="spellStart"/>
      <w:r w:rsidRPr="00E132AD">
        <w:rPr>
          <w:rFonts w:ascii="Times New Roman" w:hAnsi="Times New Roman" w:cs="Times New Roman"/>
          <w:i/>
          <w:lang w:val="de-DE"/>
        </w:rPr>
        <w:t>šīs</w:t>
      </w:r>
      <w:proofErr w:type="spellEnd"/>
      <w:r w:rsidRPr="00E132AD">
        <w:rPr>
          <w:rFonts w:ascii="Times New Roman" w:hAnsi="Times New Roman" w:cs="Times New Roman"/>
          <w:i/>
          <w:lang w:val="de-DE"/>
        </w:rPr>
        <w:t xml:space="preserve"> </w:t>
      </w:r>
      <w:proofErr w:type="spellStart"/>
      <w:r w:rsidRPr="00E132AD">
        <w:rPr>
          <w:rFonts w:ascii="Times New Roman" w:hAnsi="Times New Roman" w:cs="Times New Roman"/>
          <w:i/>
          <w:lang w:val="de-DE"/>
        </w:rPr>
        <w:t>regulas</w:t>
      </w:r>
      <w:proofErr w:type="spellEnd"/>
      <w:r w:rsidRPr="00E132AD">
        <w:rPr>
          <w:rFonts w:ascii="Times New Roman" w:hAnsi="Times New Roman" w:cs="Times New Roman"/>
          <w:i/>
          <w:lang w:val="de-DE"/>
        </w:rPr>
        <w:t xml:space="preserve"> </w:t>
      </w:r>
      <w:proofErr w:type="spellStart"/>
      <w:r w:rsidRPr="00E132AD">
        <w:rPr>
          <w:rFonts w:ascii="Times New Roman" w:hAnsi="Times New Roman" w:cs="Times New Roman"/>
          <w:i/>
          <w:lang w:val="de-DE"/>
        </w:rPr>
        <w:t>darbības</w:t>
      </w:r>
      <w:proofErr w:type="spellEnd"/>
      <w:r w:rsidRPr="00E132AD">
        <w:rPr>
          <w:rFonts w:ascii="Times New Roman" w:hAnsi="Times New Roman" w:cs="Times New Roman"/>
          <w:i/>
          <w:lang w:val="de-DE"/>
        </w:rPr>
        <w:t xml:space="preserve"> </w:t>
      </w:r>
      <w:proofErr w:type="spellStart"/>
      <w:r w:rsidRPr="00E132AD">
        <w:rPr>
          <w:rFonts w:ascii="Times New Roman" w:hAnsi="Times New Roman" w:cs="Times New Roman"/>
          <w:i/>
          <w:lang w:val="de-DE"/>
        </w:rPr>
        <w:t>jomas</w:t>
      </w:r>
      <w:proofErr w:type="spellEnd"/>
      <w:r w:rsidRPr="00E132AD">
        <w:rPr>
          <w:rFonts w:ascii="Times New Roman" w:hAnsi="Times New Roman" w:cs="Times New Roman"/>
          <w:i/>
          <w:lang w:val="de-DE"/>
        </w:rPr>
        <w:t xml:space="preserve">. </w:t>
      </w:r>
      <w:proofErr w:type="spellStart"/>
      <w:r w:rsidRPr="00E132AD">
        <w:rPr>
          <w:rFonts w:ascii="Times New Roman" w:hAnsi="Times New Roman" w:cs="Times New Roman"/>
          <w:i/>
          <w:lang w:val="de-DE"/>
        </w:rPr>
        <w:t>Tāpēc</w:t>
      </w:r>
      <w:proofErr w:type="spellEnd"/>
      <w:r w:rsidRPr="00E132AD">
        <w:rPr>
          <w:rFonts w:ascii="Times New Roman" w:hAnsi="Times New Roman" w:cs="Times New Roman"/>
          <w:i/>
          <w:lang w:val="de-DE"/>
        </w:rPr>
        <w:t xml:space="preserve"> </w:t>
      </w:r>
      <w:proofErr w:type="spellStart"/>
      <w:r w:rsidRPr="00E132AD">
        <w:rPr>
          <w:rFonts w:ascii="Times New Roman" w:hAnsi="Times New Roman" w:cs="Times New Roman"/>
          <w:i/>
          <w:lang w:val="de-DE"/>
        </w:rPr>
        <w:t>tas</w:t>
      </w:r>
      <w:proofErr w:type="spellEnd"/>
      <w:r w:rsidRPr="00E132AD">
        <w:rPr>
          <w:rFonts w:ascii="Times New Roman" w:hAnsi="Times New Roman" w:cs="Times New Roman"/>
          <w:i/>
          <w:lang w:val="de-DE"/>
        </w:rPr>
        <w:t xml:space="preserve">, </w:t>
      </w:r>
      <w:proofErr w:type="spellStart"/>
      <w:r w:rsidRPr="00E132AD">
        <w:rPr>
          <w:rFonts w:ascii="Times New Roman" w:hAnsi="Times New Roman" w:cs="Times New Roman"/>
          <w:i/>
          <w:lang w:val="de-DE"/>
        </w:rPr>
        <w:t>ar</w:t>
      </w:r>
      <w:proofErr w:type="spellEnd"/>
      <w:r w:rsidRPr="00E132AD">
        <w:rPr>
          <w:rFonts w:ascii="Times New Roman" w:hAnsi="Times New Roman" w:cs="Times New Roman"/>
          <w:i/>
          <w:lang w:val="de-DE"/>
        </w:rPr>
        <w:t xml:space="preserve"> </w:t>
      </w:r>
      <w:proofErr w:type="spellStart"/>
      <w:r w:rsidRPr="00E132AD">
        <w:rPr>
          <w:rFonts w:ascii="Times New Roman" w:hAnsi="Times New Roman" w:cs="Times New Roman"/>
          <w:i/>
          <w:lang w:val="de-DE"/>
        </w:rPr>
        <w:t>kādiem</w:t>
      </w:r>
      <w:proofErr w:type="spellEnd"/>
      <w:r w:rsidRPr="00E132AD">
        <w:rPr>
          <w:rFonts w:ascii="Times New Roman" w:hAnsi="Times New Roman" w:cs="Times New Roman"/>
          <w:i/>
          <w:lang w:val="de-DE"/>
        </w:rPr>
        <w:t xml:space="preserve"> </w:t>
      </w:r>
      <w:proofErr w:type="spellStart"/>
      <w:r w:rsidRPr="00E132AD">
        <w:rPr>
          <w:rFonts w:ascii="Times New Roman" w:hAnsi="Times New Roman" w:cs="Times New Roman"/>
          <w:i/>
          <w:lang w:val="de-DE"/>
        </w:rPr>
        <w:t>juridiskiem</w:t>
      </w:r>
      <w:proofErr w:type="spellEnd"/>
      <w:r w:rsidRPr="00E132AD">
        <w:rPr>
          <w:rFonts w:ascii="Times New Roman" w:hAnsi="Times New Roman" w:cs="Times New Roman"/>
          <w:i/>
          <w:lang w:val="de-DE"/>
        </w:rPr>
        <w:t xml:space="preserve"> </w:t>
      </w:r>
      <w:proofErr w:type="spellStart"/>
      <w:r w:rsidRPr="00E132AD">
        <w:rPr>
          <w:rFonts w:ascii="Times New Roman" w:hAnsi="Times New Roman" w:cs="Times New Roman"/>
          <w:i/>
          <w:lang w:val="de-DE"/>
        </w:rPr>
        <w:t>nosacījumiem</w:t>
      </w:r>
      <w:proofErr w:type="spellEnd"/>
      <w:r w:rsidRPr="00E132AD">
        <w:rPr>
          <w:rFonts w:ascii="Times New Roman" w:hAnsi="Times New Roman" w:cs="Times New Roman"/>
          <w:i/>
          <w:lang w:val="de-DE"/>
        </w:rPr>
        <w:t xml:space="preserve"> </w:t>
      </w:r>
      <w:proofErr w:type="spellStart"/>
      <w:r w:rsidRPr="00E132AD">
        <w:rPr>
          <w:rFonts w:ascii="Times New Roman" w:hAnsi="Times New Roman" w:cs="Times New Roman"/>
          <w:i/>
          <w:lang w:val="de-DE"/>
        </w:rPr>
        <w:t>un</w:t>
      </w:r>
      <w:proofErr w:type="spellEnd"/>
      <w:r w:rsidRPr="00E132AD">
        <w:rPr>
          <w:rFonts w:ascii="Times New Roman" w:hAnsi="Times New Roman" w:cs="Times New Roman"/>
          <w:i/>
          <w:lang w:val="de-DE"/>
        </w:rPr>
        <w:t xml:space="preserve"> </w:t>
      </w:r>
      <w:proofErr w:type="spellStart"/>
      <w:r w:rsidRPr="00E132AD">
        <w:rPr>
          <w:rFonts w:ascii="Times New Roman" w:hAnsi="Times New Roman" w:cs="Times New Roman"/>
          <w:i/>
          <w:lang w:val="de-DE"/>
        </w:rPr>
        <w:t>kā</w:t>
      </w:r>
      <w:proofErr w:type="spellEnd"/>
      <w:r w:rsidRPr="00E132AD">
        <w:rPr>
          <w:rFonts w:ascii="Times New Roman" w:hAnsi="Times New Roman" w:cs="Times New Roman"/>
          <w:i/>
          <w:lang w:val="de-DE"/>
        </w:rPr>
        <w:t xml:space="preserve"> </w:t>
      </w:r>
      <w:proofErr w:type="spellStart"/>
      <w:r w:rsidRPr="00E132AD">
        <w:rPr>
          <w:rFonts w:ascii="Times New Roman" w:hAnsi="Times New Roman" w:cs="Times New Roman"/>
          <w:i/>
          <w:lang w:val="de-DE"/>
        </w:rPr>
        <w:t>jāveic</w:t>
      </w:r>
      <w:proofErr w:type="spellEnd"/>
      <w:r w:rsidRPr="00E132AD">
        <w:rPr>
          <w:rFonts w:ascii="Times New Roman" w:hAnsi="Times New Roman" w:cs="Times New Roman"/>
          <w:i/>
          <w:lang w:val="de-DE"/>
        </w:rPr>
        <w:t xml:space="preserve"> </w:t>
      </w:r>
      <w:proofErr w:type="spellStart"/>
      <w:r w:rsidRPr="00E132AD">
        <w:rPr>
          <w:rFonts w:ascii="Times New Roman" w:hAnsi="Times New Roman" w:cs="Times New Roman"/>
          <w:i/>
          <w:lang w:val="de-DE"/>
        </w:rPr>
        <w:t>reģistrācija</w:t>
      </w:r>
      <w:proofErr w:type="spellEnd"/>
      <w:r w:rsidRPr="00E132AD">
        <w:rPr>
          <w:rFonts w:ascii="Times New Roman" w:hAnsi="Times New Roman" w:cs="Times New Roman"/>
          <w:i/>
          <w:lang w:val="de-DE"/>
        </w:rPr>
        <w:t xml:space="preserve"> (</w:t>
      </w:r>
      <w:proofErr w:type="spellStart"/>
      <w:r w:rsidRPr="00E132AD">
        <w:rPr>
          <w:rFonts w:ascii="Times New Roman" w:hAnsi="Times New Roman" w:cs="Times New Roman"/>
          <w:i/>
          <w:lang w:val="de-DE"/>
        </w:rPr>
        <w:t>attiecībā</w:t>
      </w:r>
      <w:proofErr w:type="spellEnd"/>
      <w:r w:rsidRPr="00E132AD">
        <w:rPr>
          <w:rFonts w:ascii="Times New Roman" w:hAnsi="Times New Roman" w:cs="Times New Roman"/>
          <w:i/>
          <w:lang w:val="de-DE"/>
        </w:rPr>
        <w:t xml:space="preserve"> </w:t>
      </w:r>
      <w:proofErr w:type="spellStart"/>
      <w:r w:rsidRPr="00E132AD">
        <w:rPr>
          <w:rFonts w:ascii="Times New Roman" w:hAnsi="Times New Roman" w:cs="Times New Roman"/>
          <w:i/>
          <w:lang w:val="de-DE"/>
        </w:rPr>
        <w:t>uz</w:t>
      </w:r>
      <w:proofErr w:type="spellEnd"/>
      <w:r w:rsidRPr="00E132AD">
        <w:rPr>
          <w:rFonts w:ascii="Times New Roman" w:hAnsi="Times New Roman" w:cs="Times New Roman"/>
          <w:i/>
          <w:lang w:val="de-DE"/>
        </w:rPr>
        <w:t xml:space="preserve"> </w:t>
      </w:r>
      <w:proofErr w:type="spellStart"/>
      <w:r w:rsidRPr="00E132AD">
        <w:rPr>
          <w:rFonts w:ascii="Times New Roman" w:hAnsi="Times New Roman" w:cs="Times New Roman"/>
          <w:i/>
          <w:lang w:val="de-DE"/>
        </w:rPr>
        <w:t>nekustamo</w:t>
      </w:r>
      <w:proofErr w:type="spellEnd"/>
      <w:r w:rsidRPr="00E132AD">
        <w:rPr>
          <w:rFonts w:ascii="Times New Roman" w:hAnsi="Times New Roman" w:cs="Times New Roman"/>
          <w:i/>
          <w:lang w:val="de-DE"/>
        </w:rPr>
        <w:t xml:space="preserve"> </w:t>
      </w:r>
      <w:proofErr w:type="spellStart"/>
      <w:r w:rsidRPr="00E132AD">
        <w:rPr>
          <w:rFonts w:ascii="Times New Roman" w:hAnsi="Times New Roman" w:cs="Times New Roman"/>
          <w:i/>
          <w:lang w:val="de-DE"/>
        </w:rPr>
        <w:t>īpašumu</w:t>
      </w:r>
      <w:proofErr w:type="spellEnd"/>
      <w:r w:rsidRPr="00E132AD">
        <w:rPr>
          <w:rFonts w:ascii="Times New Roman" w:hAnsi="Times New Roman" w:cs="Times New Roman"/>
          <w:i/>
          <w:lang w:val="de-DE"/>
        </w:rPr>
        <w:t xml:space="preserve"> – </w:t>
      </w:r>
      <w:proofErr w:type="spellStart"/>
      <w:r w:rsidRPr="00E132AD">
        <w:rPr>
          <w:rFonts w:ascii="Times New Roman" w:hAnsi="Times New Roman" w:cs="Times New Roman"/>
          <w:i/>
          <w:iCs/>
          <w:lang w:val="de-DE"/>
        </w:rPr>
        <w:t>lex</w:t>
      </w:r>
      <w:proofErr w:type="spellEnd"/>
      <w:r w:rsidRPr="00E132AD">
        <w:rPr>
          <w:rFonts w:ascii="Times New Roman" w:hAnsi="Times New Roman" w:cs="Times New Roman"/>
          <w:i/>
          <w:iCs/>
          <w:lang w:val="de-DE"/>
        </w:rPr>
        <w:t xml:space="preserve"> </w:t>
      </w:r>
      <w:proofErr w:type="spellStart"/>
      <w:r w:rsidRPr="00E132AD">
        <w:rPr>
          <w:rFonts w:ascii="Times New Roman" w:hAnsi="Times New Roman" w:cs="Times New Roman"/>
          <w:i/>
          <w:iCs/>
          <w:lang w:val="de-DE"/>
        </w:rPr>
        <w:t>rei</w:t>
      </w:r>
      <w:proofErr w:type="spellEnd"/>
      <w:r w:rsidRPr="00E132AD">
        <w:rPr>
          <w:rFonts w:ascii="Times New Roman" w:hAnsi="Times New Roman" w:cs="Times New Roman"/>
          <w:i/>
          <w:iCs/>
          <w:lang w:val="de-DE"/>
        </w:rPr>
        <w:t xml:space="preserve"> </w:t>
      </w:r>
      <w:proofErr w:type="spellStart"/>
      <w:r w:rsidRPr="00E132AD">
        <w:rPr>
          <w:rFonts w:ascii="Times New Roman" w:hAnsi="Times New Roman" w:cs="Times New Roman"/>
          <w:i/>
          <w:iCs/>
          <w:lang w:val="de-DE"/>
        </w:rPr>
        <w:t>sitae</w:t>
      </w:r>
      <w:proofErr w:type="spellEnd"/>
      <w:r w:rsidRPr="00E132AD">
        <w:rPr>
          <w:rFonts w:ascii="Times New Roman" w:hAnsi="Times New Roman" w:cs="Times New Roman"/>
          <w:i/>
          <w:lang w:val="de-DE"/>
        </w:rPr>
        <w:t xml:space="preserve">) </w:t>
      </w:r>
      <w:proofErr w:type="spellStart"/>
      <w:r w:rsidRPr="00E132AD">
        <w:rPr>
          <w:rFonts w:ascii="Times New Roman" w:hAnsi="Times New Roman" w:cs="Times New Roman"/>
          <w:i/>
          <w:lang w:val="de-DE"/>
        </w:rPr>
        <w:t>un</w:t>
      </w:r>
      <w:proofErr w:type="spellEnd"/>
      <w:r w:rsidRPr="00E132AD">
        <w:rPr>
          <w:rFonts w:ascii="Times New Roman" w:hAnsi="Times New Roman" w:cs="Times New Roman"/>
          <w:i/>
          <w:lang w:val="de-DE"/>
        </w:rPr>
        <w:t xml:space="preserve"> </w:t>
      </w:r>
      <w:proofErr w:type="spellStart"/>
      <w:r w:rsidRPr="00E132AD">
        <w:rPr>
          <w:rFonts w:ascii="Times New Roman" w:hAnsi="Times New Roman" w:cs="Times New Roman"/>
          <w:i/>
          <w:lang w:val="de-DE"/>
        </w:rPr>
        <w:t>kuru</w:t>
      </w:r>
      <w:proofErr w:type="spellEnd"/>
      <w:r w:rsidRPr="00E132AD">
        <w:rPr>
          <w:rFonts w:ascii="Times New Roman" w:hAnsi="Times New Roman" w:cs="Times New Roman"/>
          <w:i/>
          <w:lang w:val="de-DE"/>
        </w:rPr>
        <w:t xml:space="preserve"> </w:t>
      </w:r>
      <w:proofErr w:type="spellStart"/>
      <w:r w:rsidRPr="00E132AD">
        <w:rPr>
          <w:rFonts w:ascii="Times New Roman" w:hAnsi="Times New Roman" w:cs="Times New Roman"/>
          <w:i/>
          <w:lang w:val="de-DE"/>
        </w:rPr>
        <w:t>iestāžu</w:t>
      </w:r>
      <w:proofErr w:type="spellEnd"/>
      <w:r w:rsidRPr="00E132AD">
        <w:rPr>
          <w:rFonts w:ascii="Times New Roman" w:hAnsi="Times New Roman" w:cs="Times New Roman"/>
          <w:i/>
          <w:lang w:val="de-DE"/>
        </w:rPr>
        <w:t xml:space="preserve">, </w:t>
      </w:r>
      <w:proofErr w:type="spellStart"/>
      <w:r w:rsidRPr="00E132AD">
        <w:rPr>
          <w:rFonts w:ascii="Times New Roman" w:hAnsi="Times New Roman" w:cs="Times New Roman"/>
          <w:i/>
          <w:lang w:val="de-DE"/>
        </w:rPr>
        <w:t>piemēram</w:t>
      </w:r>
      <w:proofErr w:type="spellEnd"/>
      <w:r w:rsidRPr="00E132AD">
        <w:rPr>
          <w:rFonts w:ascii="Times New Roman" w:hAnsi="Times New Roman" w:cs="Times New Roman"/>
          <w:i/>
          <w:lang w:val="de-DE"/>
        </w:rPr>
        <w:t xml:space="preserve">, </w:t>
      </w:r>
      <w:proofErr w:type="spellStart"/>
      <w:r w:rsidRPr="00E132AD">
        <w:rPr>
          <w:rFonts w:ascii="Times New Roman" w:hAnsi="Times New Roman" w:cs="Times New Roman"/>
          <w:i/>
          <w:lang w:val="de-DE"/>
        </w:rPr>
        <w:t>zemesgrāmatu</w:t>
      </w:r>
      <w:proofErr w:type="spellEnd"/>
      <w:r w:rsidRPr="00E132AD">
        <w:rPr>
          <w:rFonts w:ascii="Times New Roman" w:hAnsi="Times New Roman" w:cs="Times New Roman"/>
          <w:i/>
          <w:lang w:val="de-DE"/>
        </w:rPr>
        <w:t xml:space="preserve"> </w:t>
      </w:r>
      <w:proofErr w:type="spellStart"/>
      <w:r w:rsidRPr="00E132AD">
        <w:rPr>
          <w:rFonts w:ascii="Times New Roman" w:hAnsi="Times New Roman" w:cs="Times New Roman"/>
          <w:i/>
          <w:lang w:val="de-DE"/>
        </w:rPr>
        <w:t>nodaļu</w:t>
      </w:r>
      <w:proofErr w:type="spellEnd"/>
      <w:r w:rsidRPr="00E132AD">
        <w:rPr>
          <w:rFonts w:ascii="Times New Roman" w:hAnsi="Times New Roman" w:cs="Times New Roman"/>
          <w:i/>
          <w:lang w:val="de-DE"/>
        </w:rPr>
        <w:t xml:space="preserve"> </w:t>
      </w:r>
      <w:proofErr w:type="spellStart"/>
      <w:r w:rsidRPr="00E132AD">
        <w:rPr>
          <w:rFonts w:ascii="Times New Roman" w:hAnsi="Times New Roman" w:cs="Times New Roman"/>
          <w:i/>
          <w:lang w:val="de-DE"/>
        </w:rPr>
        <w:t>vai</w:t>
      </w:r>
      <w:proofErr w:type="spellEnd"/>
      <w:r w:rsidRPr="00E132AD">
        <w:rPr>
          <w:rFonts w:ascii="Times New Roman" w:hAnsi="Times New Roman" w:cs="Times New Roman"/>
          <w:i/>
          <w:lang w:val="de-DE"/>
        </w:rPr>
        <w:t xml:space="preserve"> </w:t>
      </w:r>
      <w:proofErr w:type="spellStart"/>
      <w:r w:rsidRPr="00E132AD">
        <w:rPr>
          <w:rFonts w:ascii="Times New Roman" w:hAnsi="Times New Roman" w:cs="Times New Roman"/>
          <w:b/>
          <w:i/>
          <w:lang w:val="de-DE"/>
        </w:rPr>
        <w:t>notāru</w:t>
      </w:r>
      <w:proofErr w:type="spellEnd"/>
      <w:r w:rsidRPr="00E132AD">
        <w:rPr>
          <w:rFonts w:ascii="Times New Roman" w:hAnsi="Times New Roman" w:cs="Times New Roman"/>
          <w:i/>
          <w:lang w:val="de-DE"/>
        </w:rPr>
        <w:t xml:space="preserve">, </w:t>
      </w:r>
      <w:proofErr w:type="spellStart"/>
      <w:r w:rsidRPr="00E132AD">
        <w:rPr>
          <w:rFonts w:ascii="Times New Roman" w:hAnsi="Times New Roman" w:cs="Times New Roman"/>
          <w:i/>
          <w:lang w:val="de-DE"/>
        </w:rPr>
        <w:t>ziņā</w:t>
      </w:r>
      <w:proofErr w:type="spellEnd"/>
      <w:r w:rsidRPr="00E132AD">
        <w:rPr>
          <w:rFonts w:ascii="Times New Roman" w:hAnsi="Times New Roman" w:cs="Times New Roman"/>
          <w:i/>
          <w:lang w:val="de-DE"/>
        </w:rPr>
        <w:t xml:space="preserve"> </w:t>
      </w:r>
      <w:proofErr w:type="spellStart"/>
      <w:r w:rsidRPr="00E132AD">
        <w:rPr>
          <w:rFonts w:ascii="Times New Roman" w:hAnsi="Times New Roman" w:cs="Times New Roman"/>
          <w:i/>
          <w:lang w:val="de-DE"/>
        </w:rPr>
        <w:t>ir</w:t>
      </w:r>
      <w:proofErr w:type="spellEnd"/>
      <w:r w:rsidRPr="00E132AD">
        <w:rPr>
          <w:rFonts w:ascii="Times New Roman" w:hAnsi="Times New Roman" w:cs="Times New Roman"/>
          <w:i/>
          <w:lang w:val="de-DE"/>
        </w:rPr>
        <w:t xml:space="preserve"> </w:t>
      </w:r>
      <w:proofErr w:type="spellStart"/>
      <w:r w:rsidRPr="00E132AD">
        <w:rPr>
          <w:rFonts w:ascii="Times New Roman" w:hAnsi="Times New Roman" w:cs="Times New Roman"/>
          <w:i/>
          <w:lang w:val="de-DE"/>
        </w:rPr>
        <w:t>pārbaudīt</w:t>
      </w:r>
      <w:proofErr w:type="spellEnd"/>
      <w:r w:rsidRPr="00E132AD">
        <w:rPr>
          <w:rFonts w:ascii="Times New Roman" w:hAnsi="Times New Roman" w:cs="Times New Roman"/>
          <w:i/>
          <w:lang w:val="de-DE"/>
        </w:rPr>
        <w:t xml:space="preserve">, </w:t>
      </w:r>
      <w:proofErr w:type="spellStart"/>
      <w:r w:rsidRPr="00E132AD">
        <w:rPr>
          <w:rFonts w:ascii="Times New Roman" w:hAnsi="Times New Roman" w:cs="Times New Roman"/>
          <w:i/>
          <w:lang w:val="de-DE"/>
        </w:rPr>
        <w:t>vai</w:t>
      </w:r>
      <w:proofErr w:type="spellEnd"/>
      <w:r w:rsidRPr="00E132AD">
        <w:rPr>
          <w:rFonts w:ascii="Times New Roman" w:hAnsi="Times New Roman" w:cs="Times New Roman"/>
          <w:i/>
          <w:lang w:val="de-DE"/>
        </w:rPr>
        <w:t xml:space="preserve"> </w:t>
      </w:r>
      <w:proofErr w:type="spellStart"/>
      <w:r w:rsidRPr="00E132AD">
        <w:rPr>
          <w:rFonts w:ascii="Times New Roman" w:hAnsi="Times New Roman" w:cs="Times New Roman"/>
          <w:i/>
          <w:lang w:val="de-DE"/>
        </w:rPr>
        <w:t>ir</w:t>
      </w:r>
      <w:proofErr w:type="spellEnd"/>
      <w:r w:rsidRPr="00E132AD">
        <w:rPr>
          <w:rFonts w:ascii="Times New Roman" w:hAnsi="Times New Roman" w:cs="Times New Roman"/>
          <w:i/>
          <w:lang w:val="de-DE"/>
        </w:rPr>
        <w:t xml:space="preserve"> </w:t>
      </w:r>
      <w:proofErr w:type="spellStart"/>
      <w:r w:rsidRPr="00E132AD">
        <w:rPr>
          <w:rFonts w:ascii="Times New Roman" w:hAnsi="Times New Roman" w:cs="Times New Roman"/>
          <w:i/>
          <w:lang w:val="de-DE"/>
        </w:rPr>
        <w:t>izpildītas</w:t>
      </w:r>
      <w:proofErr w:type="spellEnd"/>
      <w:r w:rsidRPr="00E132AD">
        <w:rPr>
          <w:rFonts w:ascii="Times New Roman" w:hAnsi="Times New Roman" w:cs="Times New Roman"/>
          <w:i/>
          <w:lang w:val="de-DE"/>
        </w:rPr>
        <w:t xml:space="preserve"> </w:t>
      </w:r>
      <w:proofErr w:type="spellStart"/>
      <w:r w:rsidRPr="00E132AD">
        <w:rPr>
          <w:rFonts w:ascii="Times New Roman" w:hAnsi="Times New Roman" w:cs="Times New Roman"/>
          <w:i/>
          <w:lang w:val="de-DE"/>
        </w:rPr>
        <w:t>visas</w:t>
      </w:r>
      <w:proofErr w:type="spellEnd"/>
      <w:r w:rsidRPr="00E132AD">
        <w:rPr>
          <w:rFonts w:ascii="Times New Roman" w:hAnsi="Times New Roman" w:cs="Times New Roman"/>
          <w:i/>
          <w:lang w:val="de-DE"/>
        </w:rPr>
        <w:t xml:space="preserve"> </w:t>
      </w:r>
      <w:proofErr w:type="spellStart"/>
      <w:r w:rsidRPr="00E132AD">
        <w:rPr>
          <w:rFonts w:ascii="Times New Roman" w:hAnsi="Times New Roman" w:cs="Times New Roman"/>
          <w:i/>
          <w:lang w:val="de-DE"/>
        </w:rPr>
        <w:t>prasības</w:t>
      </w:r>
      <w:proofErr w:type="spellEnd"/>
      <w:r w:rsidRPr="00E132AD">
        <w:rPr>
          <w:rFonts w:ascii="Times New Roman" w:hAnsi="Times New Roman" w:cs="Times New Roman"/>
          <w:i/>
          <w:lang w:val="de-DE"/>
        </w:rPr>
        <w:t xml:space="preserve"> </w:t>
      </w:r>
      <w:proofErr w:type="spellStart"/>
      <w:r w:rsidRPr="00E132AD">
        <w:rPr>
          <w:rFonts w:ascii="Times New Roman" w:hAnsi="Times New Roman" w:cs="Times New Roman"/>
          <w:i/>
          <w:lang w:val="de-DE"/>
        </w:rPr>
        <w:t>un</w:t>
      </w:r>
      <w:proofErr w:type="spellEnd"/>
      <w:r w:rsidRPr="00E132AD">
        <w:rPr>
          <w:rFonts w:ascii="Times New Roman" w:hAnsi="Times New Roman" w:cs="Times New Roman"/>
          <w:i/>
          <w:lang w:val="de-DE"/>
        </w:rPr>
        <w:t xml:space="preserve"> </w:t>
      </w:r>
      <w:proofErr w:type="spellStart"/>
      <w:r w:rsidRPr="00E132AD">
        <w:rPr>
          <w:rFonts w:ascii="Times New Roman" w:hAnsi="Times New Roman" w:cs="Times New Roman"/>
          <w:i/>
          <w:lang w:val="de-DE"/>
        </w:rPr>
        <w:t>ka</w:t>
      </w:r>
      <w:proofErr w:type="spellEnd"/>
      <w:r w:rsidRPr="00E132AD">
        <w:rPr>
          <w:rFonts w:ascii="Times New Roman" w:hAnsi="Times New Roman" w:cs="Times New Roman"/>
          <w:i/>
          <w:lang w:val="de-DE"/>
        </w:rPr>
        <w:t xml:space="preserve"> </w:t>
      </w:r>
      <w:proofErr w:type="spellStart"/>
      <w:r w:rsidRPr="00E132AD">
        <w:rPr>
          <w:rFonts w:ascii="Times New Roman" w:hAnsi="Times New Roman" w:cs="Times New Roman"/>
          <w:i/>
          <w:lang w:val="de-DE"/>
        </w:rPr>
        <w:t>iesniegtā</w:t>
      </w:r>
      <w:proofErr w:type="spellEnd"/>
      <w:r w:rsidRPr="00E132AD">
        <w:rPr>
          <w:rFonts w:ascii="Times New Roman" w:hAnsi="Times New Roman" w:cs="Times New Roman"/>
          <w:i/>
          <w:lang w:val="de-DE"/>
        </w:rPr>
        <w:t xml:space="preserve"> </w:t>
      </w:r>
      <w:proofErr w:type="spellStart"/>
      <w:r w:rsidRPr="00E132AD">
        <w:rPr>
          <w:rFonts w:ascii="Times New Roman" w:hAnsi="Times New Roman" w:cs="Times New Roman"/>
          <w:i/>
          <w:lang w:val="de-DE"/>
        </w:rPr>
        <w:t>vai</w:t>
      </w:r>
      <w:proofErr w:type="spellEnd"/>
      <w:r w:rsidRPr="00E132AD">
        <w:rPr>
          <w:rFonts w:ascii="Times New Roman" w:hAnsi="Times New Roman" w:cs="Times New Roman"/>
          <w:i/>
          <w:lang w:val="de-DE"/>
        </w:rPr>
        <w:t xml:space="preserve"> </w:t>
      </w:r>
      <w:proofErr w:type="spellStart"/>
      <w:r w:rsidRPr="00E132AD">
        <w:rPr>
          <w:rFonts w:ascii="Times New Roman" w:hAnsi="Times New Roman" w:cs="Times New Roman"/>
          <w:i/>
          <w:lang w:val="de-DE"/>
        </w:rPr>
        <w:t>sagatavotā</w:t>
      </w:r>
      <w:proofErr w:type="spellEnd"/>
      <w:r w:rsidRPr="00E132AD">
        <w:rPr>
          <w:rFonts w:ascii="Times New Roman" w:hAnsi="Times New Roman" w:cs="Times New Roman"/>
          <w:i/>
          <w:lang w:val="de-DE"/>
        </w:rPr>
        <w:t xml:space="preserve"> </w:t>
      </w:r>
      <w:proofErr w:type="spellStart"/>
      <w:r w:rsidRPr="00E132AD">
        <w:rPr>
          <w:rFonts w:ascii="Times New Roman" w:hAnsi="Times New Roman" w:cs="Times New Roman"/>
          <w:i/>
          <w:lang w:val="de-DE"/>
        </w:rPr>
        <w:t>dokumentācija</w:t>
      </w:r>
      <w:proofErr w:type="spellEnd"/>
      <w:r w:rsidRPr="00E132AD">
        <w:rPr>
          <w:rFonts w:ascii="Times New Roman" w:hAnsi="Times New Roman" w:cs="Times New Roman"/>
          <w:i/>
          <w:lang w:val="de-DE"/>
        </w:rPr>
        <w:t xml:space="preserve"> </w:t>
      </w:r>
      <w:proofErr w:type="spellStart"/>
      <w:r w:rsidRPr="00E132AD">
        <w:rPr>
          <w:rFonts w:ascii="Times New Roman" w:hAnsi="Times New Roman" w:cs="Times New Roman"/>
          <w:i/>
          <w:lang w:val="de-DE"/>
        </w:rPr>
        <w:t>ir</w:t>
      </w:r>
      <w:proofErr w:type="spellEnd"/>
      <w:r w:rsidRPr="00E132AD">
        <w:rPr>
          <w:rFonts w:ascii="Times New Roman" w:hAnsi="Times New Roman" w:cs="Times New Roman"/>
          <w:i/>
          <w:lang w:val="de-DE"/>
        </w:rPr>
        <w:t xml:space="preserve"> </w:t>
      </w:r>
      <w:proofErr w:type="spellStart"/>
      <w:r w:rsidRPr="00E132AD">
        <w:rPr>
          <w:rFonts w:ascii="Times New Roman" w:hAnsi="Times New Roman" w:cs="Times New Roman"/>
          <w:i/>
          <w:lang w:val="de-DE"/>
        </w:rPr>
        <w:t>pietiekama</w:t>
      </w:r>
      <w:proofErr w:type="spellEnd"/>
      <w:r w:rsidRPr="00E132AD">
        <w:rPr>
          <w:rFonts w:ascii="Times New Roman" w:hAnsi="Times New Roman" w:cs="Times New Roman"/>
          <w:i/>
          <w:lang w:val="de-DE"/>
        </w:rPr>
        <w:t xml:space="preserve"> </w:t>
      </w:r>
      <w:proofErr w:type="spellStart"/>
      <w:r w:rsidRPr="00E132AD">
        <w:rPr>
          <w:rFonts w:ascii="Times New Roman" w:hAnsi="Times New Roman" w:cs="Times New Roman"/>
          <w:i/>
          <w:lang w:val="de-DE"/>
        </w:rPr>
        <w:t>vai</w:t>
      </w:r>
      <w:proofErr w:type="spellEnd"/>
      <w:r w:rsidRPr="00E132AD">
        <w:rPr>
          <w:rFonts w:ascii="Times New Roman" w:hAnsi="Times New Roman" w:cs="Times New Roman"/>
          <w:i/>
          <w:lang w:val="de-DE"/>
        </w:rPr>
        <w:t xml:space="preserve"> </w:t>
      </w:r>
      <w:proofErr w:type="spellStart"/>
      <w:r w:rsidRPr="00E132AD">
        <w:rPr>
          <w:rFonts w:ascii="Times New Roman" w:hAnsi="Times New Roman" w:cs="Times New Roman"/>
          <w:i/>
          <w:lang w:val="de-DE"/>
        </w:rPr>
        <w:t>ka</w:t>
      </w:r>
      <w:proofErr w:type="spellEnd"/>
      <w:r w:rsidRPr="00E132AD">
        <w:rPr>
          <w:rFonts w:ascii="Times New Roman" w:hAnsi="Times New Roman" w:cs="Times New Roman"/>
          <w:i/>
          <w:lang w:val="de-DE"/>
        </w:rPr>
        <w:t xml:space="preserve"> </w:t>
      </w:r>
      <w:proofErr w:type="spellStart"/>
      <w:r w:rsidRPr="00E132AD">
        <w:rPr>
          <w:rFonts w:ascii="Times New Roman" w:hAnsi="Times New Roman" w:cs="Times New Roman"/>
          <w:i/>
          <w:lang w:val="de-DE"/>
        </w:rPr>
        <w:t>tajā</w:t>
      </w:r>
      <w:proofErr w:type="spellEnd"/>
      <w:r w:rsidRPr="00E132AD">
        <w:rPr>
          <w:rFonts w:ascii="Times New Roman" w:hAnsi="Times New Roman" w:cs="Times New Roman"/>
          <w:i/>
          <w:lang w:val="de-DE"/>
        </w:rPr>
        <w:t xml:space="preserve"> </w:t>
      </w:r>
      <w:proofErr w:type="spellStart"/>
      <w:r w:rsidRPr="00E132AD">
        <w:rPr>
          <w:rFonts w:ascii="Times New Roman" w:hAnsi="Times New Roman" w:cs="Times New Roman"/>
          <w:i/>
          <w:lang w:val="de-DE"/>
        </w:rPr>
        <w:t>ir</w:t>
      </w:r>
      <w:proofErr w:type="spellEnd"/>
      <w:r w:rsidRPr="00E132AD">
        <w:rPr>
          <w:rFonts w:ascii="Times New Roman" w:hAnsi="Times New Roman" w:cs="Times New Roman"/>
          <w:i/>
          <w:lang w:val="de-DE"/>
        </w:rPr>
        <w:t xml:space="preserve"> </w:t>
      </w:r>
      <w:proofErr w:type="spellStart"/>
      <w:r w:rsidRPr="00E132AD">
        <w:rPr>
          <w:rFonts w:ascii="Times New Roman" w:hAnsi="Times New Roman" w:cs="Times New Roman"/>
          <w:i/>
          <w:lang w:val="de-DE"/>
        </w:rPr>
        <w:t>iekļauta</w:t>
      </w:r>
      <w:proofErr w:type="spellEnd"/>
      <w:r w:rsidRPr="00E132AD">
        <w:rPr>
          <w:rFonts w:ascii="Times New Roman" w:hAnsi="Times New Roman" w:cs="Times New Roman"/>
          <w:i/>
          <w:lang w:val="de-DE"/>
        </w:rPr>
        <w:t xml:space="preserve"> </w:t>
      </w:r>
      <w:proofErr w:type="spellStart"/>
      <w:r w:rsidRPr="00E132AD">
        <w:rPr>
          <w:rFonts w:ascii="Times New Roman" w:hAnsi="Times New Roman" w:cs="Times New Roman"/>
          <w:i/>
          <w:lang w:val="de-DE"/>
        </w:rPr>
        <w:t>vajadzīgā</w:t>
      </w:r>
      <w:proofErr w:type="spellEnd"/>
      <w:r w:rsidRPr="00E132AD">
        <w:rPr>
          <w:rFonts w:ascii="Times New Roman" w:hAnsi="Times New Roman" w:cs="Times New Roman"/>
          <w:i/>
          <w:lang w:val="de-DE"/>
        </w:rPr>
        <w:t xml:space="preserve"> </w:t>
      </w:r>
      <w:proofErr w:type="spellStart"/>
      <w:r w:rsidRPr="00E132AD">
        <w:rPr>
          <w:rFonts w:ascii="Times New Roman" w:hAnsi="Times New Roman" w:cs="Times New Roman"/>
          <w:i/>
          <w:lang w:val="de-DE"/>
        </w:rPr>
        <w:t>informācija</w:t>
      </w:r>
      <w:proofErr w:type="spellEnd"/>
      <w:r w:rsidRPr="00E132AD">
        <w:rPr>
          <w:rFonts w:ascii="Times New Roman" w:hAnsi="Times New Roman" w:cs="Times New Roman"/>
          <w:i/>
          <w:lang w:val="de-DE"/>
        </w:rPr>
        <w:t xml:space="preserve">, </w:t>
      </w:r>
      <w:proofErr w:type="spellStart"/>
      <w:r w:rsidRPr="00E132AD">
        <w:rPr>
          <w:rFonts w:ascii="Times New Roman" w:hAnsi="Times New Roman" w:cs="Times New Roman"/>
          <w:i/>
          <w:lang w:val="de-DE"/>
        </w:rPr>
        <w:t>būtu</w:t>
      </w:r>
      <w:proofErr w:type="spellEnd"/>
      <w:r w:rsidRPr="00E132AD">
        <w:rPr>
          <w:rFonts w:ascii="Times New Roman" w:hAnsi="Times New Roman" w:cs="Times New Roman"/>
          <w:i/>
          <w:lang w:val="de-DE"/>
        </w:rPr>
        <w:t xml:space="preserve"> </w:t>
      </w:r>
      <w:proofErr w:type="spellStart"/>
      <w:r w:rsidRPr="00E132AD">
        <w:rPr>
          <w:rFonts w:ascii="Times New Roman" w:hAnsi="Times New Roman" w:cs="Times New Roman"/>
          <w:i/>
          <w:lang w:val="de-DE"/>
        </w:rPr>
        <w:t>jānosaka</w:t>
      </w:r>
      <w:proofErr w:type="spellEnd"/>
      <w:r w:rsidRPr="00E132AD">
        <w:rPr>
          <w:rFonts w:ascii="Times New Roman" w:hAnsi="Times New Roman" w:cs="Times New Roman"/>
          <w:i/>
          <w:lang w:val="de-DE"/>
        </w:rPr>
        <w:t xml:space="preserve"> </w:t>
      </w:r>
      <w:proofErr w:type="spellStart"/>
      <w:r w:rsidRPr="00E132AD">
        <w:rPr>
          <w:rFonts w:ascii="Times New Roman" w:hAnsi="Times New Roman" w:cs="Times New Roman"/>
          <w:i/>
          <w:u w:val="single"/>
          <w:lang w:val="de-DE"/>
        </w:rPr>
        <w:t>pēc</w:t>
      </w:r>
      <w:proofErr w:type="spellEnd"/>
      <w:r w:rsidRPr="00E132AD">
        <w:rPr>
          <w:rFonts w:ascii="Times New Roman" w:hAnsi="Times New Roman" w:cs="Times New Roman"/>
          <w:i/>
          <w:u w:val="single"/>
          <w:lang w:val="de-DE"/>
        </w:rPr>
        <w:t xml:space="preserve"> </w:t>
      </w:r>
      <w:proofErr w:type="spellStart"/>
      <w:r w:rsidRPr="00E132AD">
        <w:rPr>
          <w:rFonts w:ascii="Times New Roman" w:hAnsi="Times New Roman" w:cs="Times New Roman"/>
          <w:i/>
          <w:u w:val="single"/>
          <w:lang w:val="de-DE"/>
        </w:rPr>
        <w:t>tās</w:t>
      </w:r>
      <w:proofErr w:type="spellEnd"/>
      <w:r w:rsidRPr="00E132AD">
        <w:rPr>
          <w:rFonts w:ascii="Times New Roman" w:hAnsi="Times New Roman" w:cs="Times New Roman"/>
          <w:i/>
          <w:u w:val="single"/>
          <w:lang w:val="de-DE"/>
        </w:rPr>
        <w:t xml:space="preserve"> </w:t>
      </w:r>
      <w:proofErr w:type="spellStart"/>
      <w:r w:rsidRPr="00E132AD">
        <w:rPr>
          <w:rFonts w:ascii="Times New Roman" w:hAnsi="Times New Roman" w:cs="Times New Roman"/>
          <w:i/>
          <w:u w:val="single"/>
          <w:lang w:val="de-DE"/>
        </w:rPr>
        <w:t>dalībvalsts</w:t>
      </w:r>
      <w:proofErr w:type="spellEnd"/>
      <w:r w:rsidRPr="00E132AD">
        <w:rPr>
          <w:rFonts w:ascii="Times New Roman" w:hAnsi="Times New Roman" w:cs="Times New Roman"/>
          <w:i/>
          <w:u w:val="single"/>
          <w:lang w:val="de-DE"/>
        </w:rPr>
        <w:t xml:space="preserve"> </w:t>
      </w:r>
      <w:proofErr w:type="spellStart"/>
      <w:r w:rsidRPr="00E132AD">
        <w:rPr>
          <w:rFonts w:ascii="Times New Roman" w:hAnsi="Times New Roman" w:cs="Times New Roman"/>
          <w:i/>
          <w:u w:val="single"/>
          <w:lang w:val="de-DE"/>
        </w:rPr>
        <w:t>tiesību</w:t>
      </w:r>
      <w:proofErr w:type="spellEnd"/>
      <w:r w:rsidRPr="00E132AD">
        <w:rPr>
          <w:rFonts w:ascii="Times New Roman" w:hAnsi="Times New Roman" w:cs="Times New Roman"/>
          <w:i/>
          <w:u w:val="single"/>
          <w:lang w:val="de-DE"/>
        </w:rPr>
        <w:t xml:space="preserve"> </w:t>
      </w:r>
      <w:proofErr w:type="spellStart"/>
      <w:r w:rsidRPr="00E132AD">
        <w:rPr>
          <w:rFonts w:ascii="Times New Roman" w:hAnsi="Times New Roman" w:cs="Times New Roman"/>
          <w:i/>
          <w:u w:val="single"/>
          <w:lang w:val="de-DE"/>
        </w:rPr>
        <w:t>aktiem</w:t>
      </w:r>
      <w:proofErr w:type="spellEnd"/>
      <w:r w:rsidRPr="00E132AD">
        <w:rPr>
          <w:rFonts w:ascii="Times New Roman" w:hAnsi="Times New Roman" w:cs="Times New Roman"/>
          <w:i/>
          <w:u w:val="single"/>
          <w:lang w:val="de-DE"/>
        </w:rPr>
        <w:t xml:space="preserve">, </w:t>
      </w:r>
      <w:proofErr w:type="spellStart"/>
      <w:r w:rsidRPr="00E132AD">
        <w:rPr>
          <w:rFonts w:ascii="Times New Roman" w:hAnsi="Times New Roman" w:cs="Times New Roman"/>
          <w:i/>
          <w:u w:val="single"/>
          <w:lang w:val="de-DE"/>
        </w:rPr>
        <w:t>kurā</w:t>
      </w:r>
      <w:proofErr w:type="spellEnd"/>
      <w:r w:rsidRPr="00E132AD">
        <w:rPr>
          <w:rFonts w:ascii="Times New Roman" w:hAnsi="Times New Roman" w:cs="Times New Roman"/>
          <w:i/>
          <w:u w:val="single"/>
          <w:lang w:val="de-DE"/>
        </w:rPr>
        <w:t xml:space="preserve"> </w:t>
      </w:r>
      <w:proofErr w:type="spellStart"/>
      <w:r w:rsidRPr="00E132AD">
        <w:rPr>
          <w:rFonts w:ascii="Times New Roman" w:hAnsi="Times New Roman" w:cs="Times New Roman"/>
          <w:i/>
          <w:u w:val="single"/>
          <w:lang w:val="de-DE"/>
        </w:rPr>
        <w:t>atrodas</w:t>
      </w:r>
      <w:proofErr w:type="spellEnd"/>
      <w:r w:rsidRPr="00E132AD">
        <w:rPr>
          <w:rFonts w:ascii="Times New Roman" w:hAnsi="Times New Roman" w:cs="Times New Roman"/>
          <w:i/>
          <w:u w:val="single"/>
          <w:lang w:val="de-DE"/>
        </w:rPr>
        <w:t xml:space="preserve"> </w:t>
      </w:r>
      <w:proofErr w:type="spellStart"/>
      <w:r w:rsidRPr="00E132AD">
        <w:rPr>
          <w:rFonts w:ascii="Times New Roman" w:hAnsi="Times New Roman" w:cs="Times New Roman"/>
          <w:i/>
          <w:u w:val="single"/>
          <w:lang w:val="de-DE"/>
        </w:rPr>
        <w:t>attiecīgais</w:t>
      </w:r>
      <w:proofErr w:type="spellEnd"/>
      <w:r w:rsidRPr="00E132AD">
        <w:rPr>
          <w:rFonts w:ascii="Times New Roman" w:hAnsi="Times New Roman" w:cs="Times New Roman"/>
          <w:i/>
          <w:u w:val="single"/>
          <w:lang w:val="de-DE"/>
        </w:rPr>
        <w:t xml:space="preserve"> </w:t>
      </w:r>
      <w:proofErr w:type="spellStart"/>
      <w:r w:rsidRPr="00E132AD">
        <w:rPr>
          <w:rFonts w:ascii="Times New Roman" w:hAnsi="Times New Roman" w:cs="Times New Roman"/>
          <w:i/>
          <w:u w:val="single"/>
          <w:lang w:val="de-DE"/>
        </w:rPr>
        <w:t>reģistrs</w:t>
      </w:r>
      <w:proofErr w:type="spellEnd"/>
      <w:r w:rsidRPr="00E132AD">
        <w:rPr>
          <w:rFonts w:ascii="Times New Roman" w:hAnsi="Times New Roman" w:cs="Times New Roman"/>
          <w:i/>
          <w:lang w:val="de-DE"/>
        </w:rPr>
        <w:t xml:space="preserve">. </w:t>
      </w:r>
      <w:proofErr w:type="spellStart"/>
      <w:r w:rsidRPr="00E132AD">
        <w:rPr>
          <w:rFonts w:ascii="Times New Roman" w:hAnsi="Times New Roman" w:cs="Times New Roman"/>
          <w:i/>
          <w:lang w:val="de-DE"/>
        </w:rPr>
        <w:t>Iestādes</w:t>
      </w:r>
      <w:proofErr w:type="spellEnd"/>
      <w:r w:rsidRPr="00E132AD">
        <w:rPr>
          <w:rFonts w:ascii="Times New Roman" w:hAnsi="Times New Roman" w:cs="Times New Roman"/>
          <w:i/>
          <w:lang w:val="de-DE"/>
        </w:rPr>
        <w:t xml:space="preserve"> </w:t>
      </w:r>
      <w:proofErr w:type="spellStart"/>
      <w:r w:rsidRPr="00E132AD">
        <w:rPr>
          <w:rFonts w:ascii="Times New Roman" w:hAnsi="Times New Roman" w:cs="Times New Roman"/>
          <w:i/>
          <w:lang w:val="de-DE"/>
        </w:rPr>
        <w:t>jo</w:t>
      </w:r>
      <w:proofErr w:type="spellEnd"/>
      <w:r w:rsidRPr="00E132AD">
        <w:rPr>
          <w:rFonts w:ascii="Times New Roman" w:hAnsi="Times New Roman" w:cs="Times New Roman"/>
          <w:i/>
          <w:lang w:val="de-DE"/>
        </w:rPr>
        <w:t xml:space="preserve"> </w:t>
      </w:r>
      <w:proofErr w:type="spellStart"/>
      <w:r w:rsidRPr="00E132AD">
        <w:rPr>
          <w:rFonts w:ascii="Times New Roman" w:hAnsi="Times New Roman" w:cs="Times New Roman"/>
          <w:i/>
          <w:lang w:val="de-DE"/>
        </w:rPr>
        <w:t>īpaši</w:t>
      </w:r>
      <w:proofErr w:type="spellEnd"/>
      <w:r w:rsidRPr="00E132AD">
        <w:rPr>
          <w:rFonts w:ascii="Times New Roman" w:hAnsi="Times New Roman" w:cs="Times New Roman"/>
          <w:i/>
          <w:lang w:val="de-DE"/>
        </w:rPr>
        <w:t xml:space="preserve"> </w:t>
      </w:r>
      <w:proofErr w:type="spellStart"/>
      <w:r w:rsidRPr="00E132AD">
        <w:rPr>
          <w:rFonts w:ascii="Times New Roman" w:hAnsi="Times New Roman" w:cs="Times New Roman"/>
          <w:i/>
          <w:lang w:val="de-DE"/>
        </w:rPr>
        <w:t>var</w:t>
      </w:r>
      <w:proofErr w:type="spellEnd"/>
      <w:r w:rsidRPr="00E132AD">
        <w:rPr>
          <w:rFonts w:ascii="Times New Roman" w:hAnsi="Times New Roman" w:cs="Times New Roman"/>
          <w:i/>
          <w:lang w:val="de-DE"/>
        </w:rPr>
        <w:t xml:space="preserve"> </w:t>
      </w:r>
      <w:proofErr w:type="spellStart"/>
      <w:r w:rsidRPr="00E132AD">
        <w:rPr>
          <w:rFonts w:ascii="Times New Roman" w:hAnsi="Times New Roman" w:cs="Times New Roman"/>
          <w:i/>
          <w:lang w:val="de-DE"/>
        </w:rPr>
        <w:lastRenderedPageBreak/>
        <w:t>pārbaudīt</w:t>
      </w:r>
      <w:proofErr w:type="spellEnd"/>
      <w:r w:rsidRPr="00E132AD">
        <w:rPr>
          <w:rFonts w:ascii="Times New Roman" w:hAnsi="Times New Roman" w:cs="Times New Roman"/>
          <w:i/>
          <w:lang w:val="de-DE"/>
        </w:rPr>
        <w:t xml:space="preserve">, </w:t>
      </w:r>
      <w:proofErr w:type="spellStart"/>
      <w:r w:rsidRPr="00E132AD">
        <w:rPr>
          <w:rFonts w:ascii="Times New Roman" w:hAnsi="Times New Roman" w:cs="Times New Roman"/>
          <w:i/>
          <w:lang w:val="de-DE"/>
        </w:rPr>
        <w:t>vai</w:t>
      </w:r>
      <w:proofErr w:type="spellEnd"/>
      <w:r w:rsidRPr="00E132AD">
        <w:rPr>
          <w:rFonts w:ascii="Times New Roman" w:hAnsi="Times New Roman" w:cs="Times New Roman"/>
          <w:i/>
          <w:lang w:val="de-DE"/>
        </w:rPr>
        <w:t xml:space="preserve"> </w:t>
      </w:r>
      <w:proofErr w:type="spellStart"/>
      <w:r w:rsidRPr="00E132AD">
        <w:rPr>
          <w:rFonts w:ascii="Times New Roman" w:hAnsi="Times New Roman" w:cs="Times New Roman"/>
          <w:i/>
          <w:lang w:val="de-DE"/>
        </w:rPr>
        <w:t>reģistrācijai</w:t>
      </w:r>
      <w:proofErr w:type="spellEnd"/>
      <w:r w:rsidRPr="00E132AD">
        <w:rPr>
          <w:rFonts w:ascii="Times New Roman" w:hAnsi="Times New Roman" w:cs="Times New Roman"/>
          <w:i/>
          <w:lang w:val="de-DE"/>
        </w:rPr>
        <w:t xml:space="preserve"> </w:t>
      </w:r>
      <w:proofErr w:type="spellStart"/>
      <w:r w:rsidRPr="00E132AD">
        <w:rPr>
          <w:rFonts w:ascii="Times New Roman" w:hAnsi="Times New Roman" w:cs="Times New Roman"/>
          <w:i/>
          <w:lang w:val="de-DE"/>
        </w:rPr>
        <w:t>iesniegtā</w:t>
      </w:r>
      <w:proofErr w:type="spellEnd"/>
      <w:r w:rsidRPr="00E132AD">
        <w:rPr>
          <w:rFonts w:ascii="Times New Roman" w:hAnsi="Times New Roman" w:cs="Times New Roman"/>
          <w:i/>
          <w:lang w:val="de-DE"/>
        </w:rPr>
        <w:t xml:space="preserve"> </w:t>
      </w:r>
      <w:proofErr w:type="spellStart"/>
      <w:r w:rsidRPr="00E132AD">
        <w:rPr>
          <w:rFonts w:ascii="Times New Roman" w:hAnsi="Times New Roman" w:cs="Times New Roman"/>
          <w:i/>
          <w:lang w:val="de-DE"/>
        </w:rPr>
        <w:t>dokumentā</w:t>
      </w:r>
      <w:proofErr w:type="spellEnd"/>
      <w:r w:rsidRPr="00E132AD">
        <w:rPr>
          <w:rFonts w:ascii="Times New Roman" w:hAnsi="Times New Roman" w:cs="Times New Roman"/>
          <w:i/>
          <w:lang w:val="de-DE"/>
        </w:rPr>
        <w:t xml:space="preserve"> </w:t>
      </w:r>
      <w:proofErr w:type="spellStart"/>
      <w:r w:rsidRPr="00E132AD">
        <w:rPr>
          <w:rFonts w:ascii="Times New Roman" w:hAnsi="Times New Roman" w:cs="Times New Roman"/>
          <w:i/>
          <w:lang w:val="de-DE"/>
        </w:rPr>
        <w:t>minētās</w:t>
      </w:r>
      <w:proofErr w:type="spellEnd"/>
      <w:r w:rsidRPr="00E132AD">
        <w:rPr>
          <w:rFonts w:ascii="Times New Roman" w:hAnsi="Times New Roman" w:cs="Times New Roman"/>
          <w:i/>
          <w:lang w:val="de-DE"/>
        </w:rPr>
        <w:t xml:space="preserve"> </w:t>
      </w:r>
      <w:proofErr w:type="spellStart"/>
      <w:r w:rsidRPr="00E132AD">
        <w:rPr>
          <w:rFonts w:ascii="Times New Roman" w:hAnsi="Times New Roman" w:cs="Times New Roman"/>
          <w:i/>
          <w:lang w:val="de-DE"/>
        </w:rPr>
        <w:t>mirušā</w:t>
      </w:r>
      <w:proofErr w:type="spellEnd"/>
      <w:r w:rsidRPr="00E132AD">
        <w:rPr>
          <w:rFonts w:ascii="Times New Roman" w:hAnsi="Times New Roman" w:cs="Times New Roman"/>
          <w:i/>
          <w:lang w:val="de-DE"/>
        </w:rPr>
        <w:t xml:space="preserve"> </w:t>
      </w:r>
      <w:proofErr w:type="spellStart"/>
      <w:r w:rsidRPr="00E132AD">
        <w:rPr>
          <w:rFonts w:ascii="Times New Roman" w:hAnsi="Times New Roman" w:cs="Times New Roman"/>
          <w:i/>
          <w:lang w:val="de-DE"/>
        </w:rPr>
        <w:t>tiesības</w:t>
      </w:r>
      <w:proofErr w:type="spellEnd"/>
      <w:r w:rsidRPr="00E132AD">
        <w:rPr>
          <w:rFonts w:ascii="Times New Roman" w:hAnsi="Times New Roman" w:cs="Times New Roman"/>
          <w:i/>
          <w:lang w:val="de-DE"/>
        </w:rPr>
        <w:t xml:space="preserve"> </w:t>
      </w:r>
      <w:proofErr w:type="spellStart"/>
      <w:r w:rsidRPr="00E132AD">
        <w:rPr>
          <w:rFonts w:ascii="Times New Roman" w:hAnsi="Times New Roman" w:cs="Times New Roman"/>
          <w:i/>
          <w:lang w:val="de-DE"/>
        </w:rPr>
        <w:t>uz</w:t>
      </w:r>
      <w:proofErr w:type="spellEnd"/>
      <w:r w:rsidRPr="00E132AD">
        <w:rPr>
          <w:rFonts w:ascii="Times New Roman" w:hAnsi="Times New Roman" w:cs="Times New Roman"/>
          <w:i/>
          <w:lang w:val="de-DE"/>
        </w:rPr>
        <w:t xml:space="preserve"> </w:t>
      </w:r>
      <w:proofErr w:type="spellStart"/>
      <w:r w:rsidRPr="00E132AD">
        <w:rPr>
          <w:rFonts w:ascii="Times New Roman" w:hAnsi="Times New Roman" w:cs="Times New Roman"/>
          <w:i/>
          <w:lang w:val="de-DE"/>
        </w:rPr>
        <w:t>mantojumā</w:t>
      </w:r>
      <w:proofErr w:type="spellEnd"/>
      <w:r w:rsidRPr="00E132AD">
        <w:rPr>
          <w:rFonts w:ascii="Times New Roman" w:hAnsi="Times New Roman" w:cs="Times New Roman"/>
          <w:i/>
          <w:lang w:val="de-DE"/>
        </w:rPr>
        <w:t xml:space="preserve"> </w:t>
      </w:r>
      <w:proofErr w:type="spellStart"/>
      <w:r w:rsidRPr="00E132AD">
        <w:rPr>
          <w:rFonts w:ascii="Times New Roman" w:hAnsi="Times New Roman" w:cs="Times New Roman"/>
          <w:i/>
          <w:lang w:val="de-DE"/>
        </w:rPr>
        <w:t>ietilpstošu</w:t>
      </w:r>
      <w:proofErr w:type="spellEnd"/>
      <w:r w:rsidRPr="00E132AD">
        <w:rPr>
          <w:rFonts w:ascii="Times New Roman" w:hAnsi="Times New Roman" w:cs="Times New Roman"/>
          <w:i/>
          <w:lang w:val="de-DE"/>
        </w:rPr>
        <w:t xml:space="preserve"> </w:t>
      </w:r>
      <w:proofErr w:type="spellStart"/>
      <w:r w:rsidRPr="00E132AD">
        <w:rPr>
          <w:rFonts w:ascii="Times New Roman" w:hAnsi="Times New Roman" w:cs="Times New Roman"/>
          <w:i/>
          <w:lang w:val="de-DE"/>
        </w:rPr>
        <w:t>īpašumu</w:t>
      </w:r>
      <w:proofErr w:type="spellEnd"/>
      <w:r w:rsidRPr="00E132AD">
        <w:rPr>
          <w:rFonts w:ascii="Times New Roman" w:hAnsi="Times New Roman" w:cs="Times New Roman"/>
          <w:i/>
          <w:lang w:val="de-DE"/>
        </w:rPr>
        <w:t xml:space="preserve"> </w:t>
      </w:r>
      <w:proofErr w:type="spellStart"/>
      <w:r w:rsidRPr="00E132AD">
        <w:rPr>
          <w:rFonts w:ascii="Times New Roman" w:hAnsi="Times New Roman" w:cs="Times New Roman"/>
          <w:i/>
          <w:lang w:val="de-DE"/>
        </w:rPr>
        <w:t>ir</w:t>
      </w:r>
      <w:proofErr w:type="spellEnd"/>
      <w:r w:rsidRPr="00E132AD">
        <w:rPr>
          <w:rFonts w:ascii="Times New Roman" w:hAnsi="Times New Roman" w:cs="Times New Roman"/>
          <w:i/>
          <w:lang w:val="de-DE"/>
        </w:rPr>
        <w:t xml:space="preserve"> </w:t>
      </w:r>
      <w:proofErr w:type="spellStart"/>
      <w:r w:rsidRPr="00E132AD">
        <w:rPr>
          <w:rFonts w:ascii="Times New Roman" w:hAnsi="Times New Roman" w:cs="Times New Roman"/>
          <w:i/>
          <w:lang w:val="de-DE"/>
        </w:rPr>
        <w:t>kā</w:t>
      </w:r>
      <w:proofErr w:type="spellEnd"/>
      <w:r w:rsidRPr="00E132AD">
        <w:rPr>
          <w:rFonts w:ascii="Times New Roman" w:hAnsi="Times New Roman" w:cs="Times New Roman"/>
          <w:i/>
          <w:lang w:val="de-DE"/>
        </w:rPr>
        <w:t xml:space="preserve"> </w:t>
      </w:r>
      <w:proofErr w:type="spellStart"/>
      <w:r w:rsidRPr="00E132AD">
        <w:rPr>
          <w:rFonts w:ascii="Times New Roman" w:hAnsi="Times New Roman" w:cs="Times New Roman"/>
          <w:i/>
          <w:lang w:val="de-DE"/>
        </w:rPr>
        <w:t>tādas</w:t>
      </w:r>
      <w:proofErr w:type="spellEnd"/>
      <w:r w:rsidRPr="00E132AD">
        <w:rPr>
          <w:rFonts w:ascii="Times New Roman" w:hAnsi="Times New Roman" w:cs="Times New Roman"/>
          <w:i/>
          <w:lang w:val="de-DE"/>
        </w:rPr>
        <w:t xml:space="preserve"> </w:t>
      </w:r>
      <w:proofErr w:type="spellStart"/>
      <w:r w:rsidRPr="00E132AD">
        <w:rPr>
          <w:rFonts w:ascii="Times New Roman" w:hAnsi="Times New Roman" w:cs="Times New Roman"/>
          <w:i/>
          <w:lang w:val="de-DE"/>
        </w:rPr>
        <w:t>reģistrētas</w:t>
      </w:r>
      <w:proofErr w:type="spellEnd"/>
      <w:r w:rsidRPr="00E132AD">
        <w:rPr>
          <w:rFonts w:ascii="Times New Roman" w:hAnsi="Times New Roman" w:cs="Times New Roman"/>
          <w:i/>
          <w:lang w:val="de-DE"/>
        </w:rPr>
        <w:t xml:space="preserve"> </w:t>
      </w:r>
      <w:proofErr w:type="spellStart"/>
      <w:r w:rsidRPr="00E132AD">
        <w:rPr>
          <w:rFonts w:ascii="Times New Roman" w:hAnsi="Times New Roman" w:cs="Times New Roman"/>
          <w:i/>
          <w:lang w:val="de-DE"/>
        </w:rPr>
        <w:t>reģistrā</w:t>
      </w:r>
      <w:proofErr w:type="spellEnd"/>
      <w:r w:rsidRPr="00E132AD">
        <w:rPr>
          <w:rFonts w:ascii="Times New Roman" w:hAnsi="Times New Roman" w:cs="Times New Roman"/>
          <w:i/>
          <w:lang w:val="de-DE"/>
        </w:rPr>
        <w:t xml:space="preserve"> </w:t>
      </w:r>
      <w:proofErr w:type="spellStart"/>
      <w:r w:rsidRPr="00E132AD">
        <w:rPr>
          <w:rFonts w:ascii="Times New Roman" w:hAnsi="Times New Roman" w:cs="Times New Roman"/>
          <w:i/>
          <w:lang w:val="de-DE"/>
        </w:rPr>
        <w:t>vai</w:t>
      </w:r>
      <w:proofErr w:type="spellEnd"/>
      <w:r w:rsidRPr="00E132AD">
        <w:rPr>
          <w:rFonts w:ascii="Times New Roman" w:hAnsi="Times New Roman" w:cs="Times New Roman"/>
          <w:i/>
          <w:lang w:val="de-DE"/>
        </w:rPr>
        <w:t xml:space="preserve"> </w:t>
      </w:r>
      <w:proofErr w:type="spellStart"/>
      <w:r w:rsidRPr="00E132AD">
        <w:rPr>
          <w:rFonts w:ascii="Times New Roman" w:hAnsi="Times New Roman" w:cs="Times New Roman"/>
          <w:i/>
          <w:lang w:val="de-DE"/>
        </w:rPr>
        <w:t>ir</w:t>
      </w:r>
      <w:proofErr w:type="spellEnd"/>
      <w:r w:rsidRPr="00E132AD">
        <w:rPr>
          <w:rFonts w:ascii="Times New Roman" w:hAnsi="Times New Roman" w:cs="Times New Roman"/>
          <w:i/>
          <w:lang w:val="de-DE"/>
        </w:rPr>
        <w:t xml:space="preserve"> </w:t>
      </w:r>
      <w:proofErr w:type="spellStart"/>
      <w:r w:rsidRPr="00E132AD">
        <w:rPr>
          <w:rFonts w:ascii="Times New Roman" w:hAnsi="Times New Roman" w:cs="Times New Roman"/>
          <w:i/>
          <w:lang w:val="de-DE"/>
        </w:rPr>
        <w:t>citādi</w:t>
      </w:r>
      <w:proofErr w:type="spellEnd"/>
      <w:r w:rsidRPr="00E132AD">
        <w:rPr>
          <w:rFonts w:ascii="Times New Roman" w:hAnsi="Times New Roman" w:cs="Times New Roman"/>
          <w:i/>
          <w:lang w:val="de-DE"/>
        </w:rPr>
        <w:t xml:space="preserve"> </w:t>
      </w:r>
      <w:proofErr w:type="spellStart"/>
      <w:r w:rsidRPr="00E132AD">
        <w:rPr>
          <w:rFonts w:ascii="Times New Roman" w:hAnsi="Times New Roman" w:cs="Times New Roman"/>
          <w:i/>
          <w:lang w:val="de-DE"/>
        </w:rPr>
        <w:t>pierādītas</w:t>
      </w:r>
      <w:proofErr w:type="spellEnd"/>
      <w:r w:rsidRPr="00E132AD">
        <w:rPr>
          <w:rFonts w:ascii="Times New Roman" w:hAnsi="Times New Roman" w:cs="Times New Roman"/>
          <w:i/>
          <w:lang w:val="de-DE"/>
        </w:rPr>
        <w:t xml:space="preserve"> </w:t>
      </w:r>
      <w:proofErr w:type="spellStart"/>
      <w:r w:rsidRPr="00E132AD">
        <w:rPr>
          <w:rFonts w:ascii="Times New Roman" w:hAnsi="Times New Roman" w:cs="Times New Roman"/>
          <w:i/>
          <w:lang w:val="de-DE"/>
        </w:rPr>
        <w:t>saskaņā</w:t>
      </w:r>
      <w:proofErr w:type="spellEnd"/>
      <w:r w:rsidRPr="00E132AD">
        <w:rPr>
          <w:rFonts w:ascii="Times New Roman" w:hAnsi="Times New Roman" w:cs="Times New Roman"/>
          <w:i/>
          <w:lang w:val="de-DE"/>
        </w:rPr>
        <w:t xml:space="preserve"> </w:t>
      </w:r>
      <w:proofErr w:type="spellStart"/>
      <w:r w:rsidRPr="00E132AD">
        <w:rPr>
          <w:rFonts w:ascii="Times New Roman" w:hAnsi="Times New Roman" w:cs="Times New Roman"/>
          <w:i/>
          <w:lang w:val="de-DE"/>
        </w:rPr>
        <w:t>ar</w:t>
      </w:r>
      <w:proofErr w:type="spellEnd"/>
      <w:r w:rsidRPr="00E132AD">
        <w:rPr>
          <w:rFonts w:ascii="Times New Roman" w:hAnsi="Times New Roman" w:cs="Times New Roman"/>
          <w:i/>
          <w:lang w:val="de-DE"/>
        </w:rPr>
        <w:t xml:space="preserve"> </w:t>
      </w:r>
      <w:proofErr w:type="spellStart"/>
      <w:r w:rsidRPr="00E132AD">
        <w:rPr>
          <w:rFonts w:ascii="Times New Roman" w:hAnsi="Times New Roman" w:cs="Times New Roman"/>
          <w:i/>
          <w:lang w:val="de-DE"/>
        </w:rPr>
        <w:t>tās</w:t>
      </w:r>
      <w:proofErr w:type="spellEnd"/>
      <w:r w:rsidRPr="00E132AD">
        <w:rPr>
          <w:rFonts w:ascii="Times New Roman" w:hAnsi="Times New Roman" w:cs="Times New Roman"/>
          <w:i/>
          <w:lang w:val="de-DE"/>
        </w:rPr>
        <w:t xml:space="preserve"> </w:t>
      </w:r>
      <w:proofErr w:type="spellStart"/>
      <w:r w:rsidRPr="00E132AD">
        <w:rPr>
          <w:rFonts w:ascii="Times New Roman" w:hAnsi="Times New Roman" w:cs="Times New Roman"/>
          <w:i/>
          <w:lang w:val="de-DE"/>
        </w:rPr>
        <w:t>dalībvalsts</w:t>
      </w:r>
      <w:proofErr w:type="spellEnd"/>
      <w:r w:rsidRPr="00E132AD">
        <w:rPr>
          <w:rFonts w:ascii="Times New Roman" w:hAnsi="Times New Roman" w:cs="Times New Roman"/>
          <w:i/>
          <w:lang w:val="de-DE"/>
        </w:rPr>
        <w:t xml:space="preserve"> </w:t>
      </w:r>
      <w:proofErr w:type="spellStart"/>
      <w:r w:rsidRPr="00E132AD">
        <w:rPr>
          <w:rFonts w:ascii="Times New Roman" w:hAnsi="Times New Roman" w:cs="Times New Roman"/>
          <w:i/>
          <w:lang w:val="de-DE"/>
        </w:rPr>
        <w:t>tiesību</w:t>
      </w:r>
      <w:proofErr w:type="spellEnd"/>
      <w:r w:rsidRPr="00E132AD">
        <w:rPr>
          <w:rFonts w:ascii="Times New Roman" w:hAnsi="Times New Roman" w:cs="Times New Roman"/>
          <w:i/>
          <w:lang w:val="de-DE"/>
        </w:rPr>
        <w:t xml:space="preserve"> </w:t>
      </w:r>
      <w:proofErr w:type="spellStart"/>
      <w:r w:rsidRPr="00E132AD">
        <w:rPr>
          <w:rFonts w:ascii="Times New Roman" w:hAnsi="Times New Roman" w:cs="Times New Roman"/>
          <w:i/>
          <w:lang w:val="de-DE"/>
        </w:rPr>
        <w:t>aktiem</w:t>
      </w:r>
      <w:proofErr w:type="spellEnd"/>
      <w:r w:rsidRPr="00E132AD">
        <w:rPr>
          <w:rFonts w:ascii="Times New Roman" w:hAnsi="Times New Roman" w:cs="Times New Roman"/>
          <w:i/>
          <w:lang w:val="de-DE"/>
        </w:rPr>
        <w:t xml:space="preserve">, </w:t>
      </w:r>
      <w:proofErr w:type="spellStart"/>
      <w:r w:rsidRPr="00E132AD">
        <w:rPr>
          <w:rFonts w:ascii="Times New Roman" w:hAnsi="Times New Roman" w:cs="Times New Roman"/>
          <w:i/>
          <w:lang w:val="de-DE"/>
        </w:rPr>
        <w:t>kurā</w:t>
      </w:r>
      <w:proofErr w:type="spellEnd"/>
      <w:r w:rsidRPr="00E132AD">
        <w:rPr>
          <w:rFonts w:ascii="Times New Roman" w:hAnsi="Times New Roman" w:cs="Times New Roman"/>
          <w:i/>
          <w:lang w:val="de-DE"/>
        </w:rPr>
        <w:t xml:space="preserve"> </w:t>
      </w:r>
      <w:proofErr w:type="spellStart"/>
      <w:r w:rsidRPr="00E132AD">
        <w:rPr>
          <w:rFonts w:ascii="Times New Roman" w:hAnsi="Times New Roman" w:cs="Times New Roman"/>
          <w:i/>
          <w:lang w:val="de-DE"/>
        </w:rPr>
        <w:t>atrodas</w:t>
      </w:r>
      <w:proofErr w:type="spellEnd"/>
      <w:r w:rsidRPr="00E132AD">
        <w:rPr>
          <w:rFonts w:ascii="Times New Roman" w:hAnsi="Times New Roman" w:cs="Times New Roman"/>
          <w:i/>
          <w:lang w:val="de-DE"/>
        </w:rPr>
        <w:t xml:space="preserve"> </w:t>
      </w:r>
      <w:proofErr w:type="spellStart"/>
      <w:r w:rsidRPr="00E132AD">
        <w:rPr>
          <w:rFonts w:ascii="Times New Roman" w:hAnsi="Times New Roman" w:cs="Times New Roman"/>
          <w:i/>
          <w:lang w:val="de-DE"/>
        </w:rPr>
        <w:t>reģistrs</w:t>
      </w:r>
      <w:proofErr w:type="spellEnd"/>
      <w:r w:rsidRPr="00E132AD">
        <w:rPr>
          <w:rFonts w:ascii="Times New Roman" w:hAnsi="Times New Roman" w:cs="Times New Roman"/>
          <w:i/>
          <w:lang w:val="de-DE"/>
        </w:rPr>
        <w:t xml:space="preserve">. Lai </w:t>
      </w:r>
      <w:proofErr w:type="spellStart"/>
      <w:r w:rsidRPr="00E132AD">
        <w:rPr>
          <w:rFonts w:ascii="Times New Roman" w:hAnsi="Times New Roman" w:cs="Times New Roman"/>
          <w:i/>
          <w:lang w:val="de-DE"/>
        </w:rPr>
        <w:t>novērstu</w:t>
      </w:r>
      <w:proofErr w:type="spellEnd"/>
      <w:r w:rsidRPr="00E132AD">
        <w:rPr>
          <w:rFonts w:ascii="Times New Roman" w:hAnsi="Times New Roman" w:cs="Times New Roman"/>
          <w:i/>
          <w:lang w:val="de-DE"/>
        </w:rPr>
        <w:t xml:space="preserve"> </w:t>
      </w:r>
      <w:proofErr w:type="spellStart"/>
      <w:r w:rsidRPr="00E132AD">
        <w:rPr>
          <w:rFonts w:ascii="Times New Roman" w:hAnsi="Times New Roman" w:cs="Times New Roman"/>
          <w:i/>
          <w:lang w:val="de-DE"/>
        </w:rPr>
        <w:t>dokumentu</w:t>
      </w:r>
      <w:proofErr w:type="spellEnd"/>
      <w:r w:rsidRPr="00E132AD">
        <w:rPr>
          <w:rFonts w:ascii="Times New Roman" w:hAnsi="Times New Roman" w:cs="Times New Roman"/>
          <w:i/>
          <w:lang w:val="de-DE"/>
        </w:rPr>
        <w:t xml:space="preserve"> </w:t>
      </w:r>
      <w:proofErr w:type="spellStart"/>
      <w:r w:rsidRPr="00E132AD">
        <w:rPr>
          <w:rFonts w:ascii="Times New Roman" w:hAnsi="Times New Roman" w:cs="Times New Roman"/>
          <w:i/>
          <w:lang w:val="de-DE"/>
        </w:rPr>
        <w:t>dublēšanos</w:t>
      </w:r>
      <w:proofErr w:type="spellEnd"/>
      <w:r w:rsidRPr="00E132AD">
        <w:rPr>
          <w:rFonts w:ascii="Times New Roman" w:hAnsi="Times New Roman" w:cs="Times New Roman"/>
          <w:i/>
          <w:lang w:val="de-DE"/>
        </w:rPr>
        <w:t xml:space="preserve">, </w:t>
      </w:r>
      <w:proofErr w:type="spellStart"/>
      <w:r w:rsidRPr="00E132AD">
        <w:rPr>
          <w:rFonts w:ascii="Times New Roman" w:hAnsi="Times New Roman" w:cs="Times New Roman"/>
          <w:i/>
          <w:lang w:val="de-DE"/>
        </w:rPr>
        <w:t>reģistrācijas</w:t>
      </w:r>
      <w:proofErr w:type="spellEnd"/>
      <w:r w:rsidRPr="00E132AD">
        <w:rPr>
          <w:rFonts w:ascii="Times New Roman" w:hAnsi="Times New Roman" w:cs="Times New Roman"/>
          <w:i/>
          <w:lang w:val="de-DE"/>
        </w:rPr>
        <w:t xml:space="preserve"> </w:t>
      </w:r>
      <w:proofErr w:type="spellStart"/>
      <w:r w:rsidRPr="00E132AD">
        <w:rPr>
          <w:rFonts w:ascii="Times New Roman" w:hAnsi="Times New Roman" w:cs="Times New Roman"/>
          <w:i/>
          <w:lang w:val="de-DE"/>
        </w:rPr>
        <w:t>iestādēm</w:t>
      </w:r>
      <w:proofErr w:type="spellEnd"/>
      <w:r w:rsidRPr="00E132AD">
        <w:rPr>
          <w:rFonts w:ascii="Times New Roman" w:hAnsi="Times New Roman" w:cs="Times New Roman"/>
          <w:i/>
          <w:lang w:val="de-DE"/>
        </w:rPr>
        <w:t xml:space="preserve"> </w:t>
      </w:r>
      <w:proofErr w:type="spellStart"/>
      <w:r w:rsidRPr="00E132AD">
        <w:rPr>
          <w:rFonts w:ascii="Times New Roman" w:hAnsi="Times New Roman" w:cs="Times New Roman"/>
          <w:i/>
          <w:lang w:val="de-DE"/>
        </w:rPr>
        <w:t>būtu</w:t>
      </w:r>
      <w:proofErr w:type="spellEnd"/>
      <w:r w:rsidRPr="00E132AD">
        <w:rPr>
          <w:rFonts w:ascii="Times New Roman" w:hAnsi="Times New Roman" w:cs="Times New Roman"/>
          <w:i/>
          <w:lang w:val="de-DE"/>
        </w:rPr>
        <w:t xml:space="preserve"> </w:t>
      </w:r>
      <w:proofErr w:type="spellStart"/>
      <w:r w:rsidRPr="00E132AD">
        <w:rPr>
          <w:rFonts w:ascii="Times New Roman" w:hAnsi="Times New Roman" w:cs="Times New Roman"/>
          <w:i/>
          <w:lang w:val="de-DE"/>
        </w:rPr>
        <w:t>jāpieņem</w:t>
      </w:r>
      <w:proofErr w:type="spellEnd"/>
      <w:r w:rsidRPr="00E132AD">
        <w:rPr>
          <w:rFonts w:ascii="Times New Roman" w:hAnsi="Times New Roman" w:cs="Times New Roman"/>
          <w:i/>
          <w:lang w:val="de-DE"/>
        </w:rPr>
        <w:t xml:space="preserve"> </w:t>
      </w:r>
      <w:proofErr w:type="spellStart"/>
      <w:r w:rsidRPr="00E132AD">
        <w:rPr>
          <w:rFonts w:ascii="Times New Roman" w:hAnsi="Times New Roman" w:cs="Times New Roman"/>
          <w:i/>
          <w:lang w:val="de-DE"/>
        </w:rPr>
        <w:t>dokumenti</w:t>
      </w:r>
      <w:proofErr w:type="spellEnd"/>
      <w:r w:rsidRPr="00E132AD">
        <w:rPr>
          <w:rFonts w:ascii="Times New Roman" w:hAnsi="Times New Roman" w:cs="Times New Roman"/>
          <w:i/>
          <w:lang w:val="de-DE"/>
        </w:rPr>
        <w:t xml:space="preserve">, </w:t>
      </w:r>
      <w:proofErr w:type="spellStart"/>
      <w:r w:rsidRPr="00E132AD">
        <w:rPr>
          <w:rFonts w:ascii="Times New Roman" w:hAnsi="Times New Roman" w:cs="Times New Roman"/>
          <w:i/>
          <w:lang w:val="de-DE"/>
        </w:rPr>
        <w:t>kurus</w:t>
      </w:r>
      <w:proofErr w:type="spellEnd"/>
      <w:r w:rsidRPr="00E132AD">
        <w:rPr>
          <w:rFonts w:ascii="Times New Roman" w:hAnsi="Times New Roman" w:cs="Times New Roman"/>
          <w:i/>
          <w:lang w:val="de-DE"/>
        </w:rPr>
        <w:t xml:space="preserve"> </w:t>
      </w:r>
      <w:proofErr w:type="spellStart"/>
      <w:r w:rsidRPr="00E132AD">
        <w:rPr>
          <w:rFonts w:ascii="Times New Roman" w:hAnsi="Times New Roman" w:cs="Times New Roman"/>
          <w:i/>
          <w:lang w:val="de-DE"/>
        </w:rPr>
        <w:t>citā</w:t>
      </w:r>
      <w:proofErr w:type="spellEnd"/>
      <w:r w:rsidRPr="00E132AD">
        <w:rPr>
          <w:rFonts w:ascii="Times New Roman" w:hAnsi="Times New Roman" w:cs="Times New Roman"/>
          <w:i/>
          <w:lang w:val="de-DE"/>
        </w:rPr>
        <w:t xml:space="preserve"> </w:t>
      </w:r>
      <w:proofErr w:type="spellStart"/>
      <w:r w:rsidRPr="00E132AD">
        <w:rPr>
          <w:rFonts w:ascii="Times New Roman" w:hAnsi="Times New Roman" w:cs="Times New Roman"/>
          <w:i/>
          <w:lang w:val="de-DE"/>
        </w:rPr>
        <w:t>dalībvalstī</w:t>
      </w:r>
      <w:proofErr w:type="spellEnd"/>
      <w:r w:rsidRPr="00E132AD">
        <w:rPr>
          <w:rFonts w:ascii="Times New Roman" w:hAnsi="Times New Roman" w:cs="Times New Roman"/>
          <w:i/>
          <w:lang w:val="de-DE"/>
        </w:rPr>
        <w:t xml:space="preserve"> </w:t>
      </w:r>
      <w:proofErr w:type="spellStart"/>
      <w:r w:rsidRPr="00E132AD">
        <w:rPr>
          <w:rFonts w:ascii="Times New Roman" w:hAnsi="Times New Roman" w:cs="Times New Roman"/>
          <w:i/>
          <w:lang w:val="de-DE"/>
        </w:rPr>
        <w:t>izstrādājušas</w:t>
      </w:r>
      <w:proofErr w:type="spellEnd"/>
      <w:r w:rsidRPr="00E132AD">
        <w:rPr>
          <w:rFonts w:ascii="Times New Roman" w:hAnsi="Times New Roman" w:cs="Times New Roman"/>
          <w:i/>
          <w:lang w:val="de-DE"/>
        </w:rPr>
        <w:t xml:space="preserve"> </w:t>
      </w:r>
      <w:proofErr w:type="spellStart"/>
      <w:r w:rsidRPr="00E132AD">
        <w:rPr>
          <w:rFonts w:ascii="Times New Roman" w:hAnsi="Times New Roman" w:cs="Times New Roman"/>
          <w:i/>
          <w:lang w:val="de-DE"/>
        </w:rPr>
        <w:t>kompetentās</w:t>
      </w:r>
      <w:proofErr w:type="spellEnd"/>
      <w:r w:rsidRPr="00E132AD">
        <w:rPr>
          <w:rFonts w:ascii="Times New Roman" w:hAnsi="Times New Roman" w:cs="Times New Roman"/>
          <w:i/>
          <w:lang w:val="de-DE"/>
        </w:rPr>
        <w:t xml:space="preserve"> </w:t>
      </w:r>
      <w:proofErr w:type="spellStart"/>
      <w:r w:rsidRPr="00E132AD">
        <w:rPr>
          <w:rFonts w:ascii="Times New Roman" w:hAnsi="Times New Roman" w:cs="Times New Roman"/>
          <w:i/>
          <w:lang w:val="de-DE"/>
        </w:rPr>
        <w:t>iestādes</w:t>
      </w:r>
      <w:proofErr w:type="spellEnd"/>
      <w:r w:rsidRPr="00E132AD">
        <w:rPr>
          <w:rFonts w:ascii="Times New Roman" w:hAnsi="Times New Roman" w:cs="Times New Roman"/>
          <w:i/>
          <w:lang w:val="de-DE"/>
        </w:rPr>
        <w:t xml:space="preserve"> </w:t>
      </w:r>
      <w:proofErr w:type="spellStart"/>
      <w:r w:rsidRPr="00E132AD">
        <w:rPr>
          <w:rFonts w:ascii="Times New Roman" w:hAnsi="Times New Roman" w:cs="Times New Roman"/>
          <w:i/>
          <w:lang w:val="de-DE"/>
        </w:rPr>
        <w:t>un</w:t>
      </w:r>
      <w:proofErr w:type="spellEnd"/>
      <w:r w:rsidRPr="00E132AD">
        <w:rPr>
          <w:rFonts w:ascii="Times New Roman" w:hAnsi="Times New Roman" w:cs="Times New Roman"/>
          <w:i/>
          <w:lang w:val="de-DE"/>
        </w:rPr>
        <w:t xml:space="preserve"> </w:t>
      </w:r>
      <w:proofErr w:type="spellStart"/>
      <w:r w:rsidRPr="00E132AD">
        <w:rPr>
          <w:rFonts w:ascii="Times New Roman" w:hAnsi="Times New Roman" w:cs="Times New Roman"/>
          <w:i/>
          <w:lang w:val="de-DE"/>
        </w:rPr>
        <w:t>kuru</w:t>
      </w:r>
      <w:proofErr w:type="spellEnd"/>
      <w:r w:rsidRPr="00E132AD">
        <w:rPr>
          <w:rFonts w:ascii="Times New Roman" w:hAnsi="Times New Roman" w:cs="Times New Roman"/>
          <w:i/>
          <w:lang w:val="de-DE"/>
        </w:rPr>
        <w:t xml:space="preserve"> </w:t>
      </w:r>
      <w:proofErr w:type="spellStart"/>
      <w:r w:rsidRPr="00E132AD">
        <w:rPr>
          <w:rFonts w:ascii="Times New Roman" w:hAnsi="Times New Roman" w:cs="Times New Roman"/>
          <w:i/>
          <w:lang w:val="de-DE"/>
        </w:rPr>
        <w:t>aprite</w:t>
      </w:r>
      <w:proofErr w:type="spellEnd"/>
      <w:r w:rsidRPr="00E132AD">
        <w:rPr>
          <w:rFonts w:ascii="Times New Roman" w:hAnsi="Times New Roman" w:cs="Times New Roman"/>
          <w:i/>
          <w:lang w:val="de-DE"/>
        </w:rPr>
        <w:t xml:space="preserve"> </w:t>
      </w:r>
      <w:proofErr w:type="spellStart"/>
      <w:r w:rsidRPr="00E132AD">
        <w:rPr>
          <w:rFonts w:ascii="Times New Roman" w:hAnsi="Times New Roman" w:cs="Times New Roman"/>
          <w:i/>
          <w:lang w:val="de-DE"/>
        </w:rPr>
        <w:t>ir</w:t>
      </w:r>
      <w:proofErr w:type="spellEnd"/>
      <w:r w:rsidRPr="00E132AD">
        <w:rPr>
          <w:rFonts w:ascii="Times New Roman" w:hAnsi="Times New Roman" w:cs="Times New Roman"/>
          <w:i/>
          <w:lang w:val="de-DE"/>
        </w:rPr>
        <w:t xml:space="preserve"> </w:t>
      </w:r>
      <w:proofErr w:type="spellStart"/>
      <w:r w:rsidRPr="00E132AD">
        <w:rPr>
          <w:rFonts w:ascii="Times New Roman" w:hAnsi="Times New Roman" w:cs="Times New Roman"/>
          <w:i/>
          <w:lang w:val="de-DE"/>
        </w:rPr>
        <w:t>paredzēta</w:t>
      </w:r>
      <w:proofErr w:type="spellEnd"/>
      <w:r w:rsidRPr="00E132AD">
        <w:rPr>
          <w:rFonts w:ascii="Times New Roman" w:hAnsi="Times New Roman" w:cs="Times New Roman"/>
          <w:i/>
          <w:lang w:val="de-DE"/>
        </w:rPr>
        <w:t xml:space="preserve"> </w:t>
      </w:r>
      <w:proofErr w:type="spellStart"/>
      <w:r w:rsidRPr="00E132AD">
        <w:rPr>
          <w:rFonts w:ascii="Times New Roman" w:hAnsi="Times New Roman" w:cs="Times New Roman"/>
          <w:i/>
          <w:lang w:val="de-DE"/>
        </w:rPr>
        <w:t>šajā</w:t>
      </w:r>
      <w:proofErr w:type="spellEnd"/>
      <w:r w:rsidRPr="00E132AD">
        <w:rPr>
          <w:rFonts w:ascii="Times New Roman" w:hAnsi="Times New Roman" w:cs="Times New Roman"/>
          <w:i/>
          <w:lang w:val="de-DE"/>
        </w:rPr>
        <w:t xml:space="preserve"> </w:t>
      </w:r>
      <w:proofErr w:type="spellStart"/>
      <w:r w:rsidRPr="00E132AD">
        <w:rPr>
          <w:rFonts w:ascii="Times New Roman" w:hAnsi="Times New Roman" w:cs="Times New Roman"/>
          <w:i/>
          <w:lang w:val="de-DE"/>
        </w:rPr>
        <w:t>regulā</w:t>
      </w:r>
      <w:proofErr w:type="spellEnd"/>
      <w:r w:rsidRPr="00E132AD">
        <w:rPr>
          <w:rFonts w:ascii="Times New Roman" w:hAnsi="Times New Roman" w:cs="Times New Roman"/>
          <w:i/>
          <w:lang w:val="de-DE"/>
        </w:rPr>
        <w:t xml:space="preserve">. Jo </w:t>
      </w:r>
      <w:proofErr w:type="spellStart"/>
      <w:r w:rsidRPr="00E132AD">
        <w:rPr>
          <w:rFonts w:ascii="Times New Roman" w:hAnsi="Times New Roman" w:cs="Times New Roman"/>
          <w:i/>
          <w:lang w:val="de-DE"/>
        </w:rPr>
        <w:t>īpaši</w:t>
      </w:r>
      <w:proofErr w:type="spellEnd"/>
      <w:r w:rsidRPr="00E132AD">
        <w:rPr>
          <w:rFonts w:ascii="Times New Roman" w:hAnsi="Times New Roman" w:cs="Times New Roman"/>
          <w:i/>
          <w:lang w:val="de-DE"/>
        </w:rPr>
        <w:t xml:space="preserve"> </w:t>
      </w:r>
      <w:proofErr w:type="spellStart"/>
      <w:r w:rsidRPr="00E132AD">
        <w:rPr>
          <w:rFonts w:ascii="Times New Roman" w:hAnsi="Times New Roman" w:cs="Times New Roman"/>
          <w:i/>
          <w:lang w:val="de-DE"/>
        </w:rPr>
        <w:t>Eiropas</w:t>
      </w:r>
      <w:proofErr w:type="spellEnd"/>
      <w:r w:rsidRPr="00E132AD">
        <w:rPr>
          <w:rFonts w:ascii="Times New Roman" w:hAnsi="Times New Roman" w:cs="Times New Roman"/>
          <w:i/>
          <w:lang w:val="de-DE"/>
        </w:rPr>
        <w:t xml:space="preserve"> </w:t>
      </w:r>
      <w:proofErr w:type="spellStart"/>
      <w:r w:rsidRPr="00E132AD">
        <w:rPr>
          <w:rFonts w:ascii="Times New Roman" w:hAnsi="Times New Roman" w:cs="Times New Roman"/>
          <w:i/>
          <w:lang w:val="de-DE"/>
        </w:rPr>
        <w:t>mantošanas</w:t>
      </w:r>
      <w:proofErr w:type="spellEnd"/>
      <w:r w:rsidRPr="00E132AD">
        <w:rPr>
          <w:rFonts w:ascii="Times New Roman" w:hAnsi="Times New Roman" w:cs="Times New Roman"/>
          <w:i/>
          <w:lang w:val="de-DE"/>
        </w:rPr>
        <w:t xml:space="preserve"> </w:t>
      </w:r>
      <w:proofErr w:type="spellStart"/>
      <w:r w:rsidRPr="00E132AD">
        <w:rPr>
          <w:rFonts w:ascii="Times New Roman" w:hAnsi="Times New Roman" w:cs="Times New Roman"/>
          <w:i/>
          <w:lang w:val="de-DE"/>
        </w:rPr>
        <w:t>apliecībai</w:t>
      </w:r>
      <w:proofErr w:type="spellEnd"/>
      <w:r w:rsidRPr="00E132AD">
        <w:rPr>
          <w:rFonts w:ascii="Times New Roman" w:hAnsi="Times New Roman" w:cs="Times New Roman"/>
          <w:i/>
          <w:lang w:val="de-DE"/>
        </w:rPr>
        <w:t xml:space="preserve">, </w:t>
      </w:r>
      <w:proofErr w:type="spellStart"/>
      <w:r w:rsidRPr="00E132AD">
        <w:rPr>
          <w:rFonts w:ascii="Times New Roman" w:hAnsi="Times New Roman" w:cs="Times New Roman"/>
          <w:i/>
          <w:lang w:val="de-DE"/>
        </w:rPr>
        <w:t>kas</w:t>
      </w:r>
      <w:proofErr w:type="spellEnd"/>
      <w:r w:rsidRPr="00E132AD">
        <w:rPr>
          <w:rFonts w:ascii="Times New Roman" w:hAnsi="Times New Roman" w:cs="Times New Roman"/>
          <w:i/>
          <w:lang w:val="de-DE"/>
        </w:rPr>
        <w:t xml:space="preserve"> </w:t>
      </w:r>
      <w:proofErr w:type="spellStart"/>
      <w:r w:rsidRPr="00E132AD">
        <w:rPr>
          <w:rFonts w:ascii="Times New Roman" w:hAnsi="Times New Roman" w:cs="Times New Roman"/>
          <w:i/>
          <w:lang w:val="de-DE"/>
        </w:rPr>
        <w:t>izdota</w:t>
      </w:r>
      <w:proofErr w:type="spellEnd"/>
      <w:r w:rsidRPr="00E132AD">
        <w:rPr>
          <w:rFonts w:ascii="Times New Roman" w:hAnsi="Times New Roman" w:cs="Times New Roman"/>
          <w:i/>
          <w:lang w:val="de-DE"/>
        </w:rPr>
        <w:t xml:space="preserve"> </w:t>
      </w:r>
      <w:proofErr w:type="spellStart"/>
      <w:r w:rsidRPr="00E132AD">
        <w:rPr>
          <w:rFonts w:ascii="Times New Roman" w:hAnsi="Times New Roman" w:cs="Times New Roman"/>
          <w:i/>
          <w:lang w:val="de-DE"/>
        </w:rPr>
        <w:t>saskaņā</w:t>
      </w:r>
      <w:proofErr w:type="spellEnd"/>
      <w:r w:rsidRPr="00E132AD">
        <w:rPr>
          <w:rFonts w:ascii="Times New Roman" w:hAnsi="Times New Roman" w:cs="Times New Roman"/>
          <w:i/>
          <w:lang w:val="de-DE"/>
        </w:rPr>
        <w:t xml:space="preserve"> </w:t>
      </w:r>
      <w:proofErr w:type="spellStart"/>
      <w:r w:rsidRPr="00E132AD">
        <w:rPr>
          <w:rFonts w:ascii="Times New Roman" w:hAnsi="Times New Roman" w:cs="Times New Roman"/>
          <w:i/>
          <w:lang w:val="de-DE"/>
        </w:rPr>
        <w:t>ar</w:t>
      </w:r>
      <w:proofErr w:type="spellEnd"/>
      <w:r w:rsidRPr="00E132AD">
        <w:rPr>
          <w:rFonts w:ascii="Times New Roman" w:hAnsi="Times New Roman" w:cs="Times New Roman"/>
          <w:i/>
          <w:lang w:val="de-DE"/>
        </w:rPr>
        <w:t xml:space="preserve"> </w:t>
      </w:r>
      <w:proofErr w:type="spellStart"/>
      <w:r w:rsidRPr="00E132AD">
        <w:rPr>
          <w:rFonts w:ascii="Times New Roman" w:hAnsi="Times New Roman" w:cs="Times New Roman"/>
          <w:i/>
          <w:lang w:val="de-DE"/>
        </w:rPr>
        <w:t>šo</w:t>
      </w:r>
      <w:proofErr w:type="spellEnd"/>
      <w:r w:rsidRPr="00E132AD">
        <w:rPr>
          <w:rFonts w:ascii="Times New Roman" w:hAnsi="Times New Roman" w:cs="Times New Roman"/>
          <w:i/>
          <w:lang w:val="de-DE"/>
        </w:rPr>
        <w:t xml:space="preserve"> </w:t>
      </w:r>
      <w:proofErr w:type="spellStart"/>
      <w:r w:rsidRPr="00E132AD">
        <w:rPr>
          <w:rFonts w:ascii="Times New Roman" w:hAnsi="Times New Roman" w:cs="Times New Roman"/>
          <w:i/>
          <w:lang w:val="de-DE"/>
        </w:rPr>
        <w:t>regulu</w:t>
      </w:r>
      <w:proofErr w:type="spellEnd"/>
      <w:r w:rsidRPr="00E132AD">
        <w:rPr>
          <w:rFonts w:ascii="Times New Roman" w:hAnsi="Times New Roman" w:cs="Times New Roman"/>
          <w:i/>
          <w:lang w:val="de-DE"/>
        </w:rPr>
        <w:t xml:space="preserve">, </w:t>
      </w:r>
      <w:proofErr w:type="spellStart"/>
      <w:r w:rsidRPr="00E132AD">
        <w:rPr>
          <w:rFonts w:ascii="Times New Roman" w:hAnsi="Times New Roman" w:cs="Times New Roman"/>
          <w:i/>
          <w:lang w:val="de-DE"/>
        </w:rPr>
        <w:t>vajadzētu</w:t>
      </w:r>
      <w:proofErr w:type="spellEnd"/>
      <w:r w:rsidRPr="00E132AD">
        <w:rPr>
          <w:rFonts w:ascii="Times New Roman" w:hAnsi="Times New Roman" w:cs="Times New Roman"/>
          <w:i/>
          <w:lang w:val="de-DE"/>
        </w:rPr>
        <w:t xml:space="preserve"> </w:t>
      </w:r>
      <w:proofErr w:type="spellStart"/>
      <w:r w:rsidRPr="00E132AD">
        <w:rPr>
          <w:rFonts w:ascii="Times New Roman" w:hAnsi="Times New Roman" w:cs="Times New Roman"/>
          <w:i/>
          <w:lang w:val="de-DE"/>
        </w:rPr>
        <w:t>būt</w:t>
      </w:r>
      <w:proofErr w:type="spellEnd"/>
      <w:r w:rsidRPr="00E132AD">
        <w:rPr>
          <w:rFonts w:ascii="Times New Roman" w:hAnsi="Times New Roman" w:cs="Times New Roman"/>
          <w:i/>
          <w:lang w:val="de-DE"/>
        </w:rPr>
        <w:t xml:space="preserve"> </w:t>
      </w:r>
      <w:proofErr w:type="spellStart"/>
      <w:r w:rsidRPr="00E132AD">
        <w:rPr>
          <w:rFonts w:ascii="Times New Roman" w:hAnsi="Times New Roman" w:cs="Times New Roman"/>
          <w:i/>
          <w:lang w:val="de-DE"/>
        </w:rPr>
        <w:t>derīgam</w:t>
      </w:r>
      <w:proofErr w:type="spellEnd"/>
      <w:r w:rsidRPr="00E132AD">
        <w:rPr>
          <w:rFonts w:ascii="Times New Roman" w:hAnsi="Times New Roman" w:cs="Times New Roman"/>
          <w:i/>
          <w:lang w:val="de-DE"/>
        </w:rPr>
        <w:t xml:space="preserve"> </w:t>
      </w:r>
      <w:proofErr w:type="spellStart"/>
      <w:r w:rsidRPr="00E132AD">
        <w:rPr>
          <w:rFonts w:ascii="Times New Roman" w:hAnsi="Times New Roman" w:cs="Times New Roman"/>
          <w:i/>
          <w:lang w:val="de-DE"/>
        </w:rPr>
        <w:t>dokumentam</w:t>
      </w:r>
      <w:proofErr w:type="spellEnd"/>
      <w:r w:rsidRPr="00E132AD">
        <w:rPr>
          <w:rFonts w:ascii="Times New Roman" w:hAnsi="Times New Roman" w:cs="Times New Roman"/>
          <w:i/>
          <w:lang w:val="de-DE"/>
        </w:rPr>
        <w:t xml:space="preserve">, </w:t>
      </w:r>
      <w:proofErr w:type="spellStart"/>
      <w:r w:rsidRPr="00E132AD">
        <w:rPr>
          <w:rFonts w:ascii="Times New Roman" w:hAnsi="Times New Roman" w:cs="Times New Roman"/>
          <w:i/>
          <w:lang w:val="de-DE"/>
        </w:rPr>
        <w:t>lai</w:t>
      </w:r>
      <w:proofErr w:type="spellEnd"/>
      <w:r w:rsidRPr="00E132AD">
        <w:rPr>
          <w:rFonts w:ascii="Times New Roman" w:hAnsi="Times New Roman" w:cs="Times New Roman"/>
          <w:i/>
          <w:lang w:val="de-DE"/>
        </w:rPr>
        <w:t xml:space="preserve"> </w:t>
      </w:r>
      <w:proofErr w:type="spellStart"/>
      <w:r w:rsidRPr="00E132AD">
        <w:rPr>
          <w:rFonts w:ascii="Times New Roman" w:hAnsi="Times New Roman" w:cs="Times New Roman"/>
          <w:i/>
          <w:lang w:val="de-DE"/>
        </w:rPr>
        <w:t>mantojamo</w:t>
      </w:r>
      <w:proofErr w:type="spellEnd"/>
      <w:r w:rsidRPr="00E132AD">
        <w:rPr>
          <w:rFonts w:ascii="Times New Roman" w:hAnsi="Times New Roman" w:cs="Times New Roman"/>
          <w:i/>
          <w:lang w:val="de-DE"/>
        </w:rPr>
        <w:t xml:space="preserve"> </w:t>
      </w:r>
      <w:proofErr w:type="spellStart"/>
      <w:r w:rsidRPr="00E132AD">
        <w:rPr>
          <w:rFonts w:ascii="Times New Roman" w:hAnsi="Times New Roman" w:cs="Times New Roman"/>
          <w:i/>
          <w:lang w:val="de-DE"/>
        </w:rPr>
        <w:t>īpašumu</w:t>
      </w:r>
      <w:proofErr w:type="spellEnd"/>
      <w:r w:rsidRPr="00E132AD">
        <w:rPr>
          <w:rFonts w:ascii="Times New Roman" w:hAnsi="Times New Roman" w:cs="Times New Roman"/>
          <w:i/>
          <w:lang w:val="de-DE"/>
        </w:rPr>
        <w:t xml:space="preserve"> </w:t>
      </w:r>
      <w:proofErr w:type="spellStart"/>
      <w:r w:rsidRPr="00E132AD">
        <w:rPr>
          <w:rFonts w:ascii="Times New Roman" w:hAnsi="Times New Roman" w:cs="Times New Roman"/>
          <w:i/>
          <w:lang w:val="de-DE"/>
        </w:rPr>
        <w:t>varētu</w:t>
      </w:r>
      <w:proofErr w:type="spellEnd"/>
      <w:r w:rsidRPr="00E132AD">
        <w:rPr>
          <w:rFonts w:ascii="Times New Roman" w:hAnsi="Times New Roman" w:cs="Times New Roman"/>
          <w:i/>
          <w:lang w:val="de-DE"/>
        </w:rPr>
        <w:t xml:space="preserve"> </w:t>
      </w:r>
      <w:proofErr w:type="spellStart"/>
      <w:r w:rsidRPr="00E132AD">
        <w:rPr>
          <w:rFonts w:ascii="Times New Roman" w:hAnsi="Times New Roman" w:cs="Times New Roman"/>
          <w:i/>
          <w:lang w:val="de-DE"/>
        </w:rPr>
        <w:t>reģistrēt</w:t>
      </w:r>
      <w:proofErr w:type="spellEnd"/>
      <w:r w:rsidRPr="00E132AD">
        <w:rPr>
          <w:rFonts w:ascii="Times New Roman" w:hAnsi="Times New Roman" w:cs="Times New Roman"/>
          <w:i/>
          <w:lang w:val="de-DE"/>
        </w:rPr>
        <w:t xml:space="preserve"> </w:t>
      </w:r>
      <w:proofErr w:type="spellStart"/>
      <w:r w:rsidRPr="00E132AD">
        <w:rPr>
          <w:rFonts w:ascii="Times New Roman" w:hAnsi="Times New Roman" w:cs="Times New Roman"/>
          <w:i/>
          <w:lang w:val="de-DE"/>
        </w:rPr>
        <w:t>kādas</w:t>
      </w:r>
      <w:proofErr w:type="spellEnd"/>
      <w:r w:rsidRPr="00E132AD">
        <w:rPr>
          <w:rFonts w:ascii="Times New Roman" w:hAnsi="Times New Roman" w:cs="Times New Roman"/>
          <w:i/>
          <w:lang w:val="de-DE"/>
        </w:rPr>
        <w:t xml:space="preserve"> </w:t>
      </w:r>
      <w:proofErr w:type="spellStart"/>
      <w:r w:rsidRPr="00E132AD">
        <w:rPr>
          <w:rFonts w:ascii="Times New Roman" w:hAnsi="Times New Roman" w:cs="Times New Roman"/>
          <w:i/>
          <w:lang w:val="de-DE"/>
        </w:rPr>
        <w:t>dalībvalsts</w:t>
      </w:r>
      <w:proofErr w:type="spellEnd"/>
      <w:r w:rsidRPr="00E132AD">
        <w:rPr>
          <w:rFonts w:ascii="Times New Roman" w:hAnsi="Times New Roman" w:cs="Times New Roman"/>
          <w:i/>
          <w:lang w:val="de-DE"/>
        </w:rPr>
        <w:t xml:space="preserve"> </w:t>
      </w:r>
      <w:proofErr w:type="spellStart"/>
      <w:r w:rsidRPr="00E132AD">
        <w:rPr>
          <w:rFonts w:ascii="Times New Roman" w:hAnsi="Times New Roman" w:cs="Times New Roman"/>
          <w:i/>
          <w:lang w:val="de-DE"/>
        </w:rPr>
        <w:t>reģistrā</w:t>
      </w:r>
      <w:proofErr w:type="spellEnd"/>
      <w:r w:rsidRPr="00E132AD">
        <w:rPr>
          <w:rFonts w:ascii="Times New Roman" w:hAnsi="Times New Roman" w:cs="Times New Roman"/>
          <w:i/>
          <w:lang w:val="de-DE"/>
        </w:rPr>
        <w:t xml:space="preserve">. Tam </w:t>
      </w:r>
      <w:proofErr w:type="spellStart"/>
      <w:r w:rsidRPr="00E132AD">
        <w:rPr>
          <w:rFonts w:ascii="Times New Roman" w:hAnsi="Times New Roman" w:cs="Times New Roman"/>
          <w:i/>
          <w:lang w:val="de-DE"/>
        </w:rPr>
        <w:t>nevajadzētu</w:t>
      </w:r>
      <w:proofErr w:type="spellEnd"/>
      <w:r w:rsidRPr="00E132AD">
        <w:rPr>
          <w:rFonts w:ascii="Times New Roman" w:hAnsi="Times New Roman" w:cs="Times New Roman"/>
          <w:i/>
          <w:lang w:val="de-DE"/>
        </w:rPr>
        <w:t xml:space="preserve"> liegt </w:t>
      </w:r>
      <w:proofErr w:type="spellStart"/>
      <w:r w:rsidRPr="00E132AD">
        <w:rPr>
          <w:rFonts w:ascii="Times New Roman" w:hAnsi="Times New Roman" w:cs="Times New Roman"/>
          <w:i/>
          <w:lang w:val="de-DE"/>
        </w:rPr>
        <w:t>reģistrācijas</w:t>
      </w:r>
      <w:proofErr w:type="spellEnd"/>
      <w:r w:rsidRPr="00E132AD">
        <w:rPr>
          <w:rFonts w:ascii="Times New Roman" w:hAnsi="Times New Roman" w:cs="Times New Roman"/>
          <w:i/>
          <w:lang w:val="de-DE"/>
        </w:rPr>
        <w:t xml:space="preserve"> </w:t>
      </w:r>
      <w:proofErr w:type="spellStart"/>
      <w:r w:rsidRPr="00E132AD">
        <w:rPr>
          <w:rFonts w:ascii="Times New Roman" w:hAnsi="Times New Roman" w:cs="Times New Roman"/>
          <w:i/>
          <w:lang w:val="de-DE"/>
        </w:rPr>
        <w:t>iestādēm</w:t>
      </w:r>
      <w:proofErr w:type="spellEnd"/>
      <w:r w:rsidRPr="00E132AD">
        <w:rPr>
          <w:rFonts w:ascii="Times New Roman" w:hAnsi="Times New Roman" w:cs="Times New Roman"/>
          <w:i/>
          <w:lang w:val="de-DE"/>
        </w:rPr>
        <w:t xml:space="preserve"> </w:t>
      </w:r>
      <w:proofErr w:type="spellStart"/>
      <w:r w:rsidRPr="00E132AD">
        <w:rPr>
          <w:rFonts w:ascii="Times New Roman" w:hAnsi="Times New Roman" w:cs="Times New Roman"/>
          <w:i/>
          <w:lang w:val="de-DE"/>
        </w:rPr>
        <w:t>prasīt</w:t>
      </w:r>
      <w:proofErr w:type="spellEnd"/>
      <w:r w:rsidRPr="00E132AD">
        <w:rPr>
          <w:rFonts w:ascii="Times New Roman" w:hAnsi="Times New Roman" w:cs="Times New Roman"/>
          <w:i/>
          <w:lang w:val="de-DE"/>
        </w:rPr>
        <w:t xml:space="preserve">, </w:t>
      </w:r>
      <w:proofErr w:type="spellStart"/>
      <w:r w:rsidRPr="00E132AD">
        <w:rPr>
          <w:rFonts w:ascii="Times New Roman" w:hAnsi="Times New Roman" w:cs="Times New Roman"/>
          <w:i/>
          <w:lang w:val="de-DE"/>
        </w:rPr>
        <w:t>lai</w:t>
      </w:r>
      <w:proofErr w:type="spellEnd"/>
      <w:r w:rsidRPr="00E132AD">
        <w:rPr>
          <w:rFonts w:ascii="Times New Roman" w:hAnsi="Times New Roman" w:cs="Times New Roman"/>
          <w:i/>
          <w:lang w:val="de-DE"/>
        </w:rPr>
        <w:t xml:space="preserve"> </w:t>
      </w:r>
      <w:proofErr w:type="spellStart"/>
      <w:r w:rsidRPr="00E132AD">
        <w:rPr>
          <w:rFonts w:ascii="Times New Roman" w:hAnsi="Times New Roman" w:cs="Times New Roman"/>
          <w:i/>
          <w:lang w:val="de-DE"/>
        </w:rPr>
        <w:t>persona</w:t>
      </w:r>
      <w:proofErr w:type="spellEnd"/>
      <w:r w:rsidRPr="00E132AD">
        <w:rPr>
          <w:rFonts w:ascii="Times New Roman" w:hAnsi="Times New Roman" w:cs="Times New Roman"/>
          <w:i/>
          <w:lang w:val="de-DE"/>
        </w:rPr>
        <w:t xml:space="preserve">, </w:t>
      </w:r>
      <w:proofErr w:type="spellStart"/>
      <w:r w:rsidRPr="00E132AD">
        <w:rPr>
          <w:rFonts w:ascii="Times New Roman" w:hAnsi="Times New Roman" w:cs="Times New Roman"/>
          <w:i/>
          <w:lang w:val="de-DE"/>
        </w:rPr>
        <w:t>kas</w:t>
      </w:r>
      <w:proofErr w:type="spellEnd"/>
      <w:r w:rsidRPr="00E132AD">
        <w:rPr>
          <w:rFonts w:ascii="Times New Roman" w:hAnsi="Times New Roman" w:cs="Times New Roman"/>
          <w:i/>
          <w:lang w:val="de-DE"/>
        </w:rPr>
        <w:t xml:space="preserve"> </w:t>
      </w:r>
      <w:proofErr w:type="spellStart"/>
      <w:r w:rsidRPr="00E132AD">
        <w:rPr>
          <w:rFonts w:ascii="Times New Roman" w:hAnsi="Times New Roman" w:cs="Times New Roman"/>
          <w:i/>
          <w:lang w:val="de-DE"/>
        </w:rPr>
        <w:t>piesakās</w:t>
      </w:r>
      <w:proofErr w:type="spellEnd"/>
      <w:r w:rsidRPr="00E132AD">
        <w:rPr>
          <w:rFonts w:ascii="Times New Roman" w:hAnsi="Times New Roman" w:cs="Times New Roman"/>
          <w:i/>
          <w:lang w:val="de-DE"/>
        </w:rPr>
        <w:t xml:space="preserve"> </w:t>
      </w:r>
      <w:proofErr w:type="spellStart"/>
      <w:r w:rsidRPr="00E132AD">
        <w:rPr>
          <w:rFonts w:ascii="Times New Roman" w:hAnsi="Times New Roman" w:cs="Times New Roman"/>
          <w:i/>
          <w:lang w:val="de-DE"/>
        </w:rPr>
        <w:t>reģistrācijai</w:t>
      </w:r>
      <w:proofErr w:type="spellEnd"/>
      <w:r w:rsidRPr="00E132AD">
        <w:rPr>
          <w:rFonts w:ascii="Times New Roman" w:hAnsi="Times New Roman" w:cs="Times New Roman"/>
          <w:i/>
          <w:lang w:val="de-DE"/>
        </w:rPr>
        <w:t xml:space="preserve">, </w:t>
      </w:r>
      <w:proofErr w:type="spellStart"/>
      <w:r w:rsidRPr="00E132AD">
        <w:rPr>
          <w:rFonts w:ascii="Times New Roman" w:hAnsi="Times New Roman" w:cs="Times New Roman"/>
          <w:i/>
          <w:lang w:val="de-DE"/>
        </w:rPr>
        <w:t>sniedz</w:t>
      </w:r>
      <w:proofErr w:type="spellEnd"/>
      <w:r w:rsidRPr="00E132AD">
        <w:rPr>
          <w:rFonts w:ascii="Times New Roman" w:hAnsi="Times New Roman" w:cs="Times New Roman"/>
          <w:i/>
          <w:lang w:val="de-DE"/>
        </w:rPr>
        <w:t xml:space="preserve"> </w:t>
      </w:r>
      <w:proofErr w:type="spellStart"/>
      <w:r w:rsidRPr="00E132AD">
        <w:rPr>
          <w:rFonts w:ascii="Times New Roman" w:hAnsi="Times New Roman" w:cs="Times New Roman"/>
          <w:i/>
          <w:lang w:val="de-DE"/>
        </w:rPr>
        <w:t>tādu</w:t>
      </w:r>
      <w:proofErr w:type="spellEnd"/>
      <w:r w:rsidRPr="00E132AD">
        <w:rPr>
          <w:rFonts w:ascii="Times New Roman" w:hAnsi="Times New Roman" w:cs="Times New Roman"/>
          <w:i/>
          <w:lang w:val="de-DE"/>
        </w:rPr>
        <w:t xml:space="preserve"> </w:t>
      </w:r>
      <w:proofErr w:type="spellStart"/>
      <w:r w:rsidRPr="00E132AD">
        <w:rPr>
          <w:rFonts w:ascii="Times New Roman" w:hAnsi="Times New Roman" w:cs="Times New Roman"/>
          <w:i/>
          <w:lang w:val="de-DE"/>
        </w:rPr>
        <w:t>papildu</w:t>
      </w:r>
      <w:proofErr w:type="spellEnd"/>
      <w:r w:rsidRPr="00E132AD">
        <w:rPr>
          <w:rFonts w:ascii="Times New Roman" w:hAnsi="Times New Roman" w:cs="Times New Roman"/>
          <w:i/>
          <w:lang w:val="de-DE"/>
        </w:rPr>
        <w:t xml:space="preserve"> </w:t>
      </w:r>
      <w:proofErr w:type="spellStart"/>
      <w:r w:rsidRPr="00E132AD">
        <w:rPr>
          <w:rFonts w:ascii="Times New Roman" w:hAnsi="Times New Roman" w:cs="Times New Roman"/>
          <w:i/>
          <w:lang w:val="de-DE"/>
        </w:rPr>
        <w:t>informāciju</w:t>
      </w:r>
      <w:proofErr w:type="spellEnd"/>
      <w:r w:rsidRPr="00E132AD">
        <w:rPr>
          <w:rFonts w:ascii="Times New Roman" w:hAnsi="Times New Roman" w:cs="Times New Roman"/>
          <w:i/>
          <w:lang w:val="de-DE"/>
        </w:rPr>
        <w:t xml:space="preserve"> </w:t>
      </w:r>
      <w:proofErr w:type="spellStart"/>
      <w:r w:rsidRPr="00E132AD">
        <w:rPr>
          <w:rFonts w:ascii="Times New Roman" w:hAnsi="Times New Roman" w:cs="Times New Roman"/>
          <w:i/>
          <w:lang w:val="de-DE"/>
        </w:rPr>
        <w:t>vai</w:t>
      </w:r>
      <w:proofErr w:type="spellEnd"/>
      <w:r w:rsidRPr="00E132AD">
        <w:rPr>
          <w:rFonts w:ascii="Times New Roman" w:hAnsi="Times New Roman" w:cs="Times New Roman"/>
          <w:i/>
          <w:lang w:val="de-DE"/>
        </w:rPr>
        <w:t xml:space="preserve"> </w:t>
      </w:r>
      <w:proofErr w:type="spellStart"/>
      <w:r w:rsidRPr="00E132AD">
        <w:rPr>
          <w:rFonts w:ascii="Times New Roman" w:hAnsi="Times New Roman" w:cs="Times New Roman"/>
          <w:i/>
          <w:lang w:val="de-DE"/>
        </w:rPr>
        <w:t>iesniedz</w:t>
      </w:r>
      <w:proofErr w:type="spellEnd"/>
      <w:r w:rsidRPr="00E132AD">
        <w:rPr>
          <w:rFonts w:ascii="Times New Roman" w:hAnsi="Times New Roman" w:cs="Times New Roman"/>
          <w:i/>
          <w:lang w:val="de-DE"/>
        </w:rPr>
        <w:t xml:space="preserve"> </w:t>
      </w:r>
      <w:proofErr w:type="spellStart"/>
      <w:r w:rsidRPr="00E132AD">
        <w:rPr>
          <w:rFonts w:ascii="Times New Roman" w:hAnsi="Times New Roman" w:cs="Times New Roman"/>
          <w:i/>
          <w:lang w:val="de-DE"/>
        </w:rPr>
        <w:t>tādus</w:t>
      </w:r>
      <w:proofErr w:type="spellEnd"/>
      <w:r w:rsidRPr="00E132AD">
        <w:rPr>
          <w:rFonts w:ascii="Times New Roman" w:hAnsi="Times New Roman" w:cs="Times New Roman"/>
          <w:i/>
          <w:lang w:val="de-DE"/>
        </w:rPr>
        <w:t xml:space="preserve"> </w:t>
      </w:r>
      <w:proofErr w:type="spellStart"/>
      <w:r w:rsidRPr="00E132AD">
        <w:rPr>
          <w:rFonts w:ascii="Times New Roman" w:hAnsi="Times New Roman" w:cs="Times New Roman"/>
          <w:i/>
          <w:lang w:val="de-DE"/>
        </w:rPr>
        <w:t>papildu</w:t>
      </w:r>
      <w:proofErr w:type="spellEnd"/>
      <w:r w:rsidRPr="00E132AD">
        <w:rPr>
          <w:rFonts w:ascii="Times New Roman" w:hAnsi="Times New Roman" w:cs="Times New Roman"/>
          <w:i/>
          <w:lang w:val="de-DE"/>
        </w:rPr>
        <w:t xml:space="preserve"> </w:t>
      </w:r>
      <w:proofErr w:type="spellStart"/>
      <w:r w:rsidRPr="00E132AD">
        <w:rPr>
          <w:rFonts w:ascii="Times New Roman" w:hAnsi="Times New Roman" w:cs="Times New Roman"/>
          <w:i/>
          <w:lang w:val="de-DE"/>
        </w:rPr>
        <w:t>dokumentus</w:t>
      </w:r>
      <w:proofErr w:type="spellEnd"/>
      <w:r w:rsidRPr="00E132AD">
        <w:rPr>
          <w:rFonts w:ascii="Times New Roman" w:hAnsi="Times New Roman" w:cs="Times New Roman"/>
          <w:i/>
          <w:lang w:val="de-DE"/>
        </w:rPr>
        <w:t xml:space="preserve">, </w:t>
      </w:r>
      <w:proofErr w:type="spellStart"/>
      <w:r w:rsidRPr="00E132AD">
        <w:rPr>
          <w:rFonts w:ascii="Times New Roman" w:hAnsi="Times New Roman" w:cs="Times New Roman"/>
          <w:i/>
          <w:lang w:val="de-DE"/>
        </w:rPr>
        <w:t>kādi</w:t>
      </w:r>
      <w:proofErr w:type="spellEnd"/>
      <w:r w:rsidRPr="00E132AD">
        <w:rPr>
          <w:rFonts w:ascii="Times New Roman" w:hAnsi="Times New Roman" w:cs="Times New Roman"/>
          <w:i/>
          <w:lang w:val="de-DE"/>
        </w:rPr>
        <w:t xml:space="preserve"> </w:t>
      </w:r>
      <w:proofErr w:type="spellStart"/>
      <w:r w:rsidRPr="00E132AD">
        <w:rPr>
          <w:rFonts w:ascii="Times New Roman" w:hAnsi="Times New Roman" w:cs="Times New Roman"/>
          <w:i/>
          <w:lang w:val="de-DE"/>
        </w:rPr>
        <w:t>vajadzīgi</w:t>
      </w:r>
      <w:proofErr w:type="spellEnd"/>
      <w:r w:rsidRPr="00E132AD">
        <w:rPr>
          <w:rFonts w:ascii="Times New Roman" w:hAnsi="Times New Roman" w:cs="Times New Roman"/>
          <w:i/>
          <w:lang w:val="de-DE"/>
        </w:rPr>
        <w:t xml:space="preserve"> </w:t>
      </w:r>
      <w:proofErr w:type="spellStart"/>
      <w:r w:rsidRPr="00E132AD">
        <w:rPr>
          <w:rFonts w:ascii="Times New Roman" w:hAnsi="Times New Roman" w:cs="Times New Roman"/>
          <w:i/>
          <w:lang w:val="de-DE"/>
        </w:rPr>
        <w:t>saskaņā</w:t>
      </w:r>
      <w:proofErr w:type="spellEnd"/>
      <w:r w:rsidRPr="00E132AD">
        <w:rPr>
          <w:rFonts w:ascii="Times New Roman" w:hAnsi="Times New Roman" w:cs="Times New Roman"/>
          <w:i/>
          <w:lang w:val="de-DE"/>
        </w:rPr>
        <w:t xml:space="preserve"> </w:t>
      </w:r>
      <w:proofErr w:type="spellStart"/>
      <w:r w:rsidRPr="00E132AD">
        <w:rPr>
          <w:rFonts w:ascii="Times New Roman" w:hAnsi="Times New Roman" w:cs="Times New Roman"/>
          <w:i/>
          <w:lang w:val="de-DE"/>
        </w:rPr>
        <w:t>ar</w:t>
      </w:r>
      <w:proofErr w:type="spellEnd"/>
      <w:r w:rsidRPr="00E132AD">
        <w:rPr>
          <w:rFonts w:ascii="Times New Roman" w:hAnsi="Times New Roman" w:cs="Times New Roman"/>
          <w:i/>
          <w:lang w:val="de-DE"/>
        </w:rPr>
        <w:t xml:space="preserve"> </w:t>
      </w:r>
      <w:proofErr w:type="spellStart"/>
      <w:r w:rsidRPr="00E132AD">
        <w:rPr>
          <w:rFonts w:ascii="Times New Roman" w:hAnsi="Times New Roman" w:cs="Times New Roman"/>
          <w:i/>
          <w:lang w:val="de-DE"/>
        </w:rPr>
        <w:t>tās</w:t>
      </w:r>
      <w:proofErr w:type="spellEnd"/>
      <w:r w:rsidRPr="00E132AD">
        <w:rPr>
          <w:rFonts w:ascii="Times New Roman" w:hAnsi="Times New Roman" w:cs="Times New Roman"/>
          <w:i/>
          <w:lang w:val="de-DE"/>
        </w:rPr>
        <w:t xml:space="preserve"> </w:t>
      </w:r>
      <w:proofErr w:type="spellStart"/>
      <w:r w:rsidRPr="00E132AD">
        <w:rPr>
          <w:rFonts w:ascii="Times New Roman" w:hAnsi="Times New Roman" w:cs="Times New Roman"/>
          <w:i/>
          <w:lang w:val="de-DE"/>
        </w:rPr>
        <w:t>dalībvalsts</w:t>
      </w:r>
      <w:proofErr w:type="spellEnd"/>
      <w:r w:rsidRPr="00E132AD">
        <w:rPr>
          <w:rFonts w:ascii="Times New Roman" w:hAnsi="Times New Roman" w:cs="Times New Roman"/>
          <w:i/>
          <w:lang w:val="de-DE"/>
        </w:rPr>
        <w:t xml:space="preserve"> </w:t>
      </w:r>
      <w:proofErr w:type="spellStart"/>
      <w:r w:rsidRPr="00E132AD">
        <w:rPr>
          <w:rFonts w:ascii="Times New Roman" w:hAnsi="Times New Roman" w:cs="Times New Roman"/>
          <w:i/>
          <w:lang w:val="de-DE"/>
        </w:rPr>
        <w:t>tiesību</w:t>
      </w:r>
      <w:proofErr w:type="spellEnd"/>
      <w:r w:rsidRPr="00E132AD">
        <w:rPr>
          <w:rFonts w:ascii="Times New Roman" w:hAnsi="Times New Roman" w:cs="Times New Roman"/>
          <w:i/>
          <w:lang w:val="de-DE"/>
        </w:rPr>
        <w:t xml:space="preserve"> </w:t>
      </w:r>
      <w:proofErr w:type="spellStart"/>
      <w:r w:rsidRPr="00E132AD">
        <w:rPr>
          <w:rFonts w:ascii="Times New Roman" w:hAnsi="Times New Roman" w:cs="Times New Roman"/>
          <w:i/>
          <w:lang w:val="de-DE"/>
        </w:rPr>
        <w:t>aktiem</w:t>
      </w:r>
      <w:proofErr w:type="spellEnd"/>
      <w:r w:rsidRPr="00E132AD">
        <w:rPr>
          <w:rFonts w:ascii="Times New Roman" w:hAnsi="Times New Roman" w:cs="Times New Roman"/>
          <w:i/>
          <w:lang w:val="de-DE"/>
        </w:rPr>
        <w:t xml:space="preserve">, </w:t>
      </w:r>
      <w:proofErr w:type="spellStart"/>
      <w:r w:rsidRPr="00E132AD">
        <w:rPr>
          <w:rFonts w:ascii="Times New Roman" w:hAnsi="Times New Roman" w:cs="Times New Roman"/>
          <w:i/>
          <w:lang w:val="de-DE"/>
        </w:rPr>
        <w:t>kurā</w:t>
      </w:r>
      <w:proofErr w:type="spellEnd"/>
      <w:r w:rsidRPr="00E132AD">
        <w:rPr>
          <w:rFonts w:ascii="Times New Roman" w:hAnsi="Times New Roman" w:cs="Times New Roman"/>
          <w:i/>
          <w:lang w:val="de-DE"/>
        </w:rPr>
        <w:t xml:space="preserve"> </w:t>
      </w:r>
      <w:proofErr w:type="spellStart"/>
      <w:r w:rsidRPr="00E132AD">
        <w:rPr>
          <w:rFonts w:ascii="Times New Roman" w:hAnsi="Times New Roman" w:cs="Times New Roman"/>
          <w:i/>
          <w:lang w:val="de-DE"/>
        </w:rPr>
        <w:t>atrodas</w:t>
      </w:r>
      <w:proofErr w:type="spellEnd"/>
      <w:r w:rsidRPr="00E132AD">
        <w:rPr>
          <w:rFonts w:ascii="Times New Roman" w:hAnsi="Times New Roman" w:cs="Times New Roman"/>
          <w:i/>
          <w:lang w:val="de-DE"/>
        </w:rPr>
        <w:t xml:space="preserve"> </w:t>
      </w:r>
      <w:proofErr w:type="spellStart"/>
      <w:r w:rsidRPr="00E132AD">
        <w:rPr>
          <w:rFonts w:ascii="Times New Roman" w:hAnsi="Times New Roman" w:cs="Times New Roman"/>
          <w:i/>
          <w:lang w:val="de-DE"/>
        </w:rPr>
        <w:t>reģistrs</w:t>
      </w:r>
      <w:proofErr w:type="spellEnd"/>
      <w:r w:rsidRPr="00E132AD">
        <w:rPr>
          <w:rFonts w:ascii="Times New Roman" w:hAnsi="Times New Roman" w:cs="Times New Roman"/>
          <w:i/>
          <w:lang w:val="de-DE"/>
        </w:rPr>
        <w:t xml:space="preserve">, </w:t>
      </w:r>
      <w:proofErr w:type="spellStart"/>
      <w:r w:rsidRPr="00E132AD">
        <w:rPr>
          <w:rFonts w:ascii="Times New Roman" w:hAnsi="Times New Roman" w:cs="Times New Roman"/>
          <w:i/>
          <w:lang w:val="de-DE"/>
        </w:rPr>
        <w:t>piemēram</w:t>
      </w:r>
      <w:proofErr w:type="spellEnd"/>
      <w:r w:rsidRPr="00E132AD">
        <w:rPr>
          <w:rFonts w:ascii="Times New Roman" w:hAnsi="Times New Roman" w:cs="Times New Roman"/>
          <w:i/>
          <w:lang w:val="de-DE"/>
        </w:rPr>
        <w:t xml:space="preserve">, </w:t>
      </w:r>
      <w:proofErr w:type="spellStart"/>
      <w:r w:rsidRPr="00E132AD">
        <w:rPr>
          <w:rFonts w:ascii="Times New Roman" w:hAnsi="Times New Roman" w:cs="Times New Roman"/>
          <w:i/>
          <w:lang w:val="de-DE"/>
        </w:rPr>
        <w:t>informāciju</w:t>
      </w:r>
      <w:proofErr w:type="spellEnd"/>
      <w:r w:rsidRPr="00E132AD">
        <w:rPr>
          <w:rFonts w:ascii="Times New Roman" w:hAnsi="Times New Roman" w:cs="Times New Roman"/>
          <w:i/>
          <w:lang w:val="de-DE"/>
        </w:rPr>
        <w:t xml:space="preserve"> </w:t>
      </w:r>
      <w:proofErr w:type="spellStart"/>
      <w:r w:rsidRPr="00E132AD">
        <w:rPr>
          <w:rFonts w:ascii="Times New Roman" w:hAnsi="Times New Roman" w:cs="Times New Roman"/>
          <w:i/>
          <w:lang w:val="de-DE"/>
        </w:rPr>
        <w:t>vai</w:t>
      </w:r>
      <w:proofErr w:type="spellEnd"/>
      <w:r w:rsidRPr="00E132AD">
        <w:rPr>
          <w:rFonts w:ascii="Times New Roman" w:hAnsi="Times New Roman" w:cs="Times New Roman"/>
          <w:i/>
          <w:lang w:val="de-DE"/>
        </w:rPr>
        <w:t xml:space="preserve"> </w:t>
      </w:r>
      <w:proofErr w:type="spellStart"/>
      <w:r w:rsidRPr="00E132AD">
        <w:rPr>
          <w:rFonts w:ascii="Times New Roman" w:hAnsi="Times New Roman" w:cs="Times New Roman"/>
          <w:i/>
          <w:lang w:val="de-DE"/>
        </w:rPr>
        <w:t>dokumentus</w:t>
      </w:r>
      <w:proofErr w:type="spellEnd"/>
      <w:r w:rsidRPr="00E132AD">
        <w:rPr>
          <w:rFonts w:ascii="Times New Roman" w:hAnsi="Times New Roman" w:cs="Times New Roman"/>
          <w:i/>
          <w:lang w:val="de-DE"/>
        </w:rPr>
        <w:t xml:space="preserve"> par </w:t>
      </w:r>
      <w:proofErr w:type="spellStart"/>
      <w:r w:rsidRPr="00E132AD">
        <w:rPr>
          <w:rFonts w:ascii="Times New Roman" w:hAnsi="Times New Roman" w:cs="Times New Roman"/>
          <w:i/>
          <w:lang w:val="de-DE"/>
        </w:rPr>
        <w:t>nodokļu</w:t>
      </w:r>
      <w:proofErr w:type="spellEnd"/>
      <w:r w:rsidRPr="00E132AD">
        <w:rPr>
          <w:rFonts w:ascii="Times New Roman" w:hAnsi="Times New Roman" w:cs="Times New Roman"/>
          <w:i/>
          <w:lang w:val="de-DE"/>
        </w:rPr>
        <w:t xml:space="preserve"> </w:t>
      </w:r>
      <w:proofErr w:type="spellStart"/>
      <w:r w:rsidRPr="00E132AD">
        <w:rPr>
          <w:rFonts w:ascii="Times New Roman" w:hAnsi="Times New Roman" w:cs="Times New Roman"/>
          <w:i/>
          <w:lang w:val="de-DE"/>
        </w:rPr>
        <w:t>maksājumiem</w:t>
      </w:r>
      <w:proofErr w:type="spellEnd"/>
      <w:r w:rsidRPr="00E132AD">
        <w:rPr>
          <w:rFonts w:ascii="Times New Roman" w:hAnsi="Times New Roman" w:cs="Times New Roman"/>
          <w:i/>
          <w:lang w:val="de-DE"/>
        </w:rPr>
        <w:t xml:space="preserve">. </w:t>
      </w:r>
      <w:proofErr w:type="spellStart"/>
      <w:r w:rsidRPr="00E132AD">
        <w:rPr>
          <w:rFonts w:ascii="Times New Roman" w:hAnsi="Times New Roman" w:cs="Times New Roman"/>
          <w:i/>
          <w:lang w:val="de-DE"/>
        </w:rPr>
        <w:t>Kompetentā</w:t>
      </w:r>
      <w:proofErr w:type="spellEnd"/>
      <w:r w:rsidRPr="00E132AD">
        <w:rPr>
          <w:rFonts w:ascii="Times New Roman" w:hAnsi="Times New Roman" w:cs="Times New Roman"/>
          <w:i/>
          <w:lang w:val="de-DE"/>
        </w:rPr>
        <w:t xml:space="preserve"> </w:t>
      </w:r>
      <w:proofErr w:type="spellStart"/>
      <w:r w:rsidRPr="00E132AD">
        <w:rPr>
          <w:rFonts w:ascii="Times New Roman" w:hAnsi="Times New Roman" w:cs="Times New Roman"/>
          <w:i/>
          <w:lang w:val="de-DE"/>
        </w:rPr>
        <w:t>iestāde</w:t>
      </w:r>
      <w:proofErr w:type="spellEnd"/>
      <w:r w:rsidRPr="00E132AD">
        <w:rPr>
          <w:rFonts w:ascii="Times New Roman" w:hAnsi="Times New Roman" w:cs="Times New Roman"/>
          <w:i/>
          <w:lang w:val="de-DE"/>
        </w:rPr>
        <w:t xml:space="preserve"> </w:t>
      </w:r>
      <w:proofErr w:type="spellStart"/>
      <w:r w:rsidRPr="00E132AD">
        <w:rPr>
          <w:rFonts w:ascii="Times New Roman" w:hAnsi="Times New Roman" w:cs="Times New Roman"/>
          <w:i/>
          <w:lang w:val="de-DE"/>
        </w:rPr>
        <w:t>personai</w:t>
      </w:r>
      <w:proofErr w:type="spellEnd"/>
      <w:r w:rsidRPr="00E132AD">
        <w:rPr>
          <w:rFonts w:ascii="Times New Roman" w:hAnsi="Times New Roman" w:cs="Times New Roman"/>
          <w:i/>
          <w:lang w:val="de-DE"/>
        </w:rPr>
        <w:t xml:space="preserve">, </w:t>
      </w:r>
      <w:proofErr w:type="spellStart"/>
      <w:r w:rsidRPr="00E132AD">
        <w:rPr>
          <w:rFonts w:ascii="Times New Roman" w:hAnsi="Times New Roman" w:cs="Times New Roman"/>
          <w:i/>
          <w:lang w:val="de-DE"/>
        </w:rPr>
        <w:t>kas</w:t>
      </w:r>
      <w:proofErr w:type="spellEnd"/>
      <w:r w:rsidRPr="00E132AD">
        <w:rPr>
          <w:rFonts w:ascii="Times New Roman" w:hAnsi="Times New Roman" w:cs="Times New Roman"/>
          <w:i/>
          <w:lang w:val="de-DE"/>
        </w:rPr>
        <w:t xml:space="preserve"> </w:t>
      </w:r>
      <w:proofErr w:type="spellStart"/>
      <w:r w:rsidRPr="00E132AD">
        <w:rPr>
          <w:rFonts w:ascii="Times New Roman" w:hAnsi="Times New Roman" w:cs="Times New Roman"/>
          <w:i/>
          <w:lang w:val="de-DE"/>
        </w:rPr>
        <w:t>piesakās</w:t>
      </w:r>
      <w:proofErr w:type="spellEnd"/>
      <w:r w:rsidRPr="00E132AD">
        <w:rPr>
          <w:rFonts w:ascii="Times New Roman" w:hAnsi="Times New Roman" w:cs="Times New Roman"/>
          <w:i/>
          <w:lang w:val="de-DE"/>
        </w:rPr>
        <w:t xml:space="preserve"> </w:t>
      </w:r>
      <w:proofErr w:type="spellStart"/>
      <w:r w:rsidRPr="00E132AD">
        <w:rPr>
          <w:rFonts w:ascii="Times New Roman" w:hAnsi="Times New Roman" w:cs="Times New Roman"/>
          <w:i/>
          <w:lang w:val="de-DE"/>
        </w:rPr>
        <w:t>reģistrācijai</w:t>
      </w:r>
      <w:proofErr w:type="spellEnd"/>
      <w:r w:rsidRPr="00E132AD">
        <w:rPr>
          <w:rFonts w:ascii="Times New Roman" w:hAnsi="Times New Roman" w:cs="Times New Roman"/>
          <w:i/>
          <w:lang w:val="de-DE"/>
        </w:rPr>
        <w:t xml:space="preserve">, </w:t>
      </w:r>
      <w:proofErr w:type="spellStart"/>
      <w:r w:rsidRPr="00E132AD">
        <w:rPr>
          <w:rFonts w:ascii="Times New Roman" w:hAnsi="Times New Roman" w:cs="Times New Roman"/>
          <w:i/>
          <w:lang w:val="de-DE"/>
        </w:rPr>
        <w:t>var</w:t>
      </w:r>
      <w:proofErr w:type="spellEnd"/>
      <w:r w:rsidRPr="00E132AD">
        <w:rPr>
          <w:rFonts w:ascii="Times New Roman" w:hAnsi="Times New Roman" w:cs="Times New Roman"/>
          <w:i/>
          <w:lang w:val="de-DE"/>
        </w:rPr>
        <w:t xml:space="preserve"> </w:t>
      </w:r>
      <w:proofErr w:type="spellStart"/>
      <w:r w:rsidRPr="00E132AD">
        <w:rPr>
          <w:rFonts w:ascii="Times New Roman" w:hAnsi="Times New Roman" w:cs="Times New Roman"/>
          <w:i/>
          <w:lang w:val="de-DE"/>
        </w:rPr>
        <w:t>norādīt</w:t>
      </w:r>
      <w:proofErr w:type="spellEnd"/>
      <w:r w:rsidRPr="00E132AD">
        <w:rPr>
          <w:rFonts w:ascii="Times New Roman" w:hAnsi="Times New Roman" w:cs="Times New Roman"/>
          <w:i/>
          <w:lang w:val="de-DE"/>
        </w:rPr>
        <w:t xml:space="preserve">, </w:t>
      </w:r>
      <w:proofErr w:type="spellStart"/>
      <w:r w:rsidRPr="00E132AD">
        <w:rPr>
          <w:rFonts w:ascii="Times New Roman" w:hAnsi="Times New Roman" w:cs="Times New Roman"/>
          <w:i/>
          <w:lang w:val="de-DE"/>
        </w:rPr>
        <w:t>kā</w:t>
      </w:r>
      <w:proofErr w:type="spellEnd"/>
      <w:r w:rsidRPr="00E132AD">
        <w:rPr>
          <w:rFonts w:ascii="Times New Roman" w:hAnsi="Times New Roman" w:cs="Times New Roman"/>
          <w:i/>
          <w:lang w:val="de-DE"/>
        </w:rPr>
        <w:t xml:space="preserve"> </w:t>
      </w:r>
      <w:proofErr w:type="spellStart"/>
      <w:r w:rsidRPr="00E132AD">
        <w:rPr>
          <w:rFonts w:ascii="Times New Roman" w:hAnsi="Times New Roman" w:cs="Times New Roman"/>
          <w:i/>
          <w:lang w:val="de-DE"/>
        </w:rPr>
        <w:t>var</w:t>
      </w:r>
      <w:proofErr w:type="spellEnd"/>
      <w:r w:rsidRPr="00E132AD">
        <w:rPr>
          <w:rFonts w:ascii="Times New Roman" w:hAnsi="Times New Roman" w:cs="Times New Roman"/>
          <w:i/>
          <w:lang w:val="de-DE"/>
        </w:rPr>
        <w:t xml:space="preserve"> </w:t>
      </w:r>
      <w:proofErr w:type="spellStart"/>
      <w:r w:rsidRPr="00E132AD">
        <w:rPr>
          <w:rFonts w:ascii="Times New Roman" w:hAnsi="Times New Roman" w:cs="Times New Roman"/>
          <w:i/>
          <w:lang w:val="de-DE"/>
        </w:rPr>
        <w:t>iesniegt</w:t>
      </w:r>
      <w:proofErr w:type="spellEnd"/>
      <w:r w:rsidRPr="00E132AD">
        <w:rPr>
          <w:rFonts w:ascii="Times New Roman" w:hAnsi="Times New Roman" w:cs="Times New Roman"/>
          <w:i/>
          <w:lang w:val="de-DE"/>
        </w:rPr>
        <w:t xml:space="preserve"> </w:t>
      </w:r>
      <w:proofErr w:type="spellStart"/>
      <w:r w:rsidRPr="00E132AD">
        <w:rPr>
          <w:rFonts w:ascii="Times New Roman" w:hAnsi="Times New Roman" w:cs="Times New Roman"/>
          <w:i/>
          <w:lang w:val="de-DE"/>
        </w:rPr>
        <w:t>trūkstošo</w:t>
      </w:r>
      <w:proofErr w:type="spellEnd"/>
      <w:r w:rsidRPr="00E132AD">
        <w:rPr>
          <w:rFonts w:ascii="Times New Roman" w:hAnsi="Times New Roman" w:cs="Times New Roman"/>
          <w:i/>
          <w:lang w:val="de-DE"/>
        </w:rPr>
        <w:t xml:space="preserve"> </w:t>
      </w:r>
      <w:proofErr w:type="spellStart"/>
      <w:r w:rsidRPr="00E132AD">
        <w:rPr>
          <w:rFonts w:ascii="Times New Roman" w:hAnsi="Times New Roman" w:cs="Times New Roman"/>
          <w:i/>
          <w:lang w:val="de-DE"/>
        </w:rPr>
        <w:t>informāciju</w:t>
      </w:r>
      <w:proofErr w:type="spellEnd"/>
      <w:r w:rsidRPr="00E132AD">
        <w:rPr>
          <w:rFonts w:ascii="Times New Roman" w:hAnsi="Times New Roman" w:cs="Times New Roman"/>
          <w:i/>
          <w:lang w:val="de-DE"/>
        </w:rPr>
        <w:t xml:space="preserve"> </w:t>
      </w:r>
      <w:proofErr w:type="spellStart"/>
      <w:r w:rsidRPr="00E132AD">
        <w:rPr>
          <w:rFonts w:ascii="Times New Roman" w:hAnsi="Times New Roman" w:cs="Times New Roman"/>
          <w:i/>
          <w:lang w:val="de-DE"/>
        </w:rPr>
        <w:t>vai</w:t>
      </w:r>
      <w:proofErr w:type="spellEnd"/>
      <w:r w:rsidRPr="00E132AD">
        <w:rPr>
          <w:rFonts w:ascii="Times New Roman" w:hAnsi="Times New Roman" w:cs="Times New Roman"/>
          <w:i/>
          <w:lang w:val="de-DE"/>
        </w:rPr>
        <w:t xml:space="preserve"> </w:t>
      </w:r>
      <w:proofErr w:type="spellStart"/>
      <w:r w:rsidRPr="00E132AD">
        <w:rPr>
          <w:rFonts w:ascii="Times New Roman" w:hAnsi="Times New Roman" w:cs="Times New Roman"/>
          <w:i/>
          <w:lang w:val="de-DE"/>
        </w:rPr>
        <w:t>dokumentus</w:t>
      </w:r>
      <w:proofErr w:type="spellEnd"/>
      <w:r w:rsidRPr="00E132AD">
        <w:rPr>
          <w:rFonts w:ascii="Times New Roman" w:hAnsi="Times New Roman" w:cs="Times New Roman"/>
          <w:i/>
          <w:lang w:val="de-DE"/>
        </w:rPr>
        <w:t>.</w:t>
      </w:r>
      <w:r w:rsidRPr="00E132AD">
        <w:rPr>
          <w:rFonts w:ascii="Times New Roman" w:hAnsi="Times New Roman" w:cs="Times New Roman"/>
          <w:i/>
          <w:highlight w:val="yellow"/>
          <w:lang w:val="de-DE"/>
        </w:rPr>
        <w:t xml:space="preserve"> </w:t>
      </w:r>
    </w:p>
    <w:p w14:paraId="4A708179" w14:textId="77777777" w:rsidR="00114953" w:rsidRPr="00E132AD" w:rsidRDefault="00114953" w:rsidP="00114953">
      <w:pPr>
        <w:ind w:left="708"/>
        <w:jc w:val="both"/>
        <w:rPr>
          <w:rFonts w:ascii="Times New Roman" w:hAnsi="Times New Roman" w:cs="Times New Roman"/>
          <w:i/>
          <w:highlight w:val="yellow"/>
          <w:lang w:val="de-DE"/>
        </w:rPr>
      </w:pPr>
    </w:p>
    <w:p w14:paraId="5923C949" w14:textId="77777777" w:rsidR="00114953" w:rsidRPr="00E132AD" w:rsidRDefault="00114953" w:rsidP="00114953">
      <w:pPr>
        <w:ind w:left="708"/>
        <w:jc w:val="both"/>
        <w:rPr>
          <w:rFonts w:ascii="Times New Roman" w:hAnsi="Times New Roman" w:cs="Times New Roman"/>
          <w:lang w:val="de-DE"/>
        </w:rPr>
      </w:pPr>
      <w:r w:rsidRPr="00E132AD">
        <w:rPr>
          <w:rFonts w:ascii="Times New Roman" w:hAnsi="Times New Roman" w:cs="Times New Roman"/>
          <w:i/>
          <w:lang w:val="de-DE"/>
        </w:rPr>
        <w:t xml:space="preserve">(19) </w:t>
      </w:r>
      <w:proofErr w:type="spellStart"/>
      <w:r w:rsidRPr="00E132AD">
        <w:rPr>
          <w:rFonts w:ascii="Times New Roman" w:hAnsi="Times New Roman" w:cs="Times New Roman"/>
          <w:i/>
          <w:lang w:val="de-DE"/>
        </w:rPr>
        <w:t>No</w:t>
      </w:r>
      <w:proofErr w:type="spellEnd"/>
      <w:r w:rsidRPr="00E132AD">
        <w:rPr>
          <w:rFonts w:ascii="Times New Roman" w:hAnsi="Times New Roman" w:cs="Times New Roman"/>
          <w:i/>
          <w:lang w:val="de-DE"/>
        </w:rPr>
        <w:t xml:space="preserve"> </w:t>
      </w:r>
      <w:proofErr w:type="spellStart"/>
      <w:r w:rsidRPr="00E132AD">
        <w:rPr>
          <w:rFonts w:ascii="Times New Roman" w:hAnsi="Times New Roman" w:cs="Times New Roman"/>
          <w:i/>
          <w:lang w:val="de-DE"/>
        </w:rPr>
        <w:t>šīs</w:t>
      </w:r>
      <w:proofErr w:type="spellEnd"/>
      <w:r w:rsidRPr="00E132AD">
        <w:rPr>
          <w:rFonts w:ascii="Times New Roman" w:hAnsi="Times New Roman" w:cs="Times New Roman"/>
          <w:i/>
          <w:lang w:val="de-DE"/>
        </w:rPr>
        <w:t xml:space="preserve"> </w:t>
      </w:r>
      <w:proofErr w:type="spellStart"/>
      <w:r w:rsidRPr="00E132AD">
        <w:rPr>
          <w:rFonts w:ascii="Times New Roman" w:hAnsi="Times New Roman" w:cs="Times New Roman"/>
          <w:i/>
          <w:lang w:val="de-DE"/>
        </w:rPr>
        <w:t>regulas</w:t>
      </w:r>
      <w:proofErr w:type="spellEnd"/>
      <w:r w:rsidRPr="00E132AD">
        <w:rPr>
          <w:rFonts w:ascii="Times New Roman" w:hAnsi="Times New Roman" w:cs="Times New Roman"/>
          <w:i/>
          <w:lang w:val="de-DE"/>
        </w:rPr>
        <w:t xml:space="preserve"> </w:t>
      </w:r>
      <w:proofErr w:type="spellStart"/>
      <w:r w:rsidRPr="00E132AD">
        <w:rPr>
          <w:rFonts w:ascii="Times New Roman" w:hAnsi="Times New Roman" w:cs="Times New Roman"/>
          <w:i/>
          <w:lang w:val="de-DE"/>
        </w:rPr>
        <w:t>darbības</w:t>
      </w:r>
      <w:proofErr w:type="spellEnd"/>
      <w:r w:rsidRPr="00E132AD">
        <w:rPr>
          <w:rFonts w:ascii="Times New Roman" w:hAnsi="Times New Roman" w:cs="Times New Roman"/>
          <w:i/>
          <w:lang w:val="de-DE"/>
        </w:rPr>
        <w:t xml:space="preserve"> </w:t>
      </w:r>
      <w:proofErr w:type="spellStart"/>
      <w:r w:rsidRPr="00E132AD">
        <w:rPr>
          <w:rFonts w:ascii="Times New Roman" w:hAnsi="Times New Roman" w:cs="Times New Roman"/>
          <w:i/>
          <w:lang w:val="de-DE"/>
        </w:rPr>
        <w:t>jomas</w:t>
      </w:r>
      <w:proofErr w:type="spellEnd"/>
      <w:r w:rsidRPr="00E132AD">
        <w:rPr>
          <w:rFonts w:ascii="Times New Roman" w:hAnsi="Times New Roman" w:cs="Times New Roman"/>
          <w:i/>
          <w:lang w:val="de-DE"/>
        </w:rPr>
        <w:t xml:space="preserve"> </w:t>
      </w:r>
      <w:proofErr w:type="spellStart"/>
      <w:r w:rsidRPr="00E132AD">
        <w:rPr>
          <w:rFonts w:ascii="Times New Roman" w:hAnsi="Times New Roman" w:cs="Times New Roman"/>
          <w:i/>
          <w:lang w:val="de-DE"/>
        </w:rPr>
        <w:t>būtu</w:t>
      </w:r>
      <w:proofErr w:type="spellEnd"/>
      <w:r w:rsidRPr="00E132AD">
        <w:rPr>
          <w:rFonts w:ascii="Times New Roman" w:hAnsi="Times New Roman" w:cs="Times New Roman"/>
          <w:i/>
          <w:lang w:val="de-DE"/>
        </w:rPr>
        <w:t xml:space="preserve"> </w:t>
      </w:r>
      <w:proofErr w:type="spellStart"/>
      <w:r w:rsidRPr="00E132AD">
        <w:rPr>
          <w:rFonts w:ascii="Times New Roman" w:hAnsi="Times New Roman" w:cs="Times New Roman"/>
          <w:i/>
          <w:lang w:val="de-DE"/>
        </w:rPr>
        <w:t>jāizslēdz</w:t>
      </w:r>
      <w:proofErr w:type="spellEnd"/>
      <w:r w:rsidRPr="00E132AD">
        <w:rPr>
          <w:rFonts w:ascii="Times New Roman" w:hAnsi="Times New Roman" w:cs="Times New Roman"/>
          <w:i/>
          <w:lang w:val="de-DE"/>
        </w:rPr>
        <w:t xml:space="preserve"> </w:t>
      </w:r>
      <w:proofErr w:type="spellStart"/>
      <w:r w:rsidRPr="00E132AD">
        <w:rPr>
          <w:rFonts w:ascii="Times New Roman" w:hAnsi="Times New Roman" w:cs="Times New Roman"/>
          <w:i/>
          <w:lang w:val="de-DE"/>
        </w:rPr>
        <w:t>arī</w:t>
      </w:r>
      <w:proofErr w:type="spellEnd"/>
      <w:r w:rsidRPr="00E132AD">
        <w:rPr>
          <w:rFonts w:ascii="Times New Roman" w:hAnsi="Times New Roman" w:cs="Times New Roman"/>
          <w:i/>
          <w:lang w:val="de-DE"/>
        </w:rPr>
        <w:t xml:space="preserve"> </w:t>
      </w:r>
      <w:proofErr w:type="spellStart"/>
      <w:r w:rsidRPr="00E132AD">
        <w:rPr>
          <w:rFonts w:ascii="Times New Roman" w:hAnsi="Times New Roman" w:cs="Times New Roman"/>
          <w:i/>
          <w:u w:val="single"/>
          <w:lang w:val="de-DE"/>
        </w:rPr>
        <w:t>sekas</w:t>
      </w:r>
      <w:proofErr w:type="spellEnd"/>
      <w:r w:rsidRPr="00E132AD">
        <w:rPr>
          <w:rFonts w:ascii="Times New Roman" w:hAnsi="Times New Roman" w:cs="Times New Roman"/>
          <w:i/>
          <w:u w:val="single"/>
          <w:lang w:val="de-DE"/>
        </w:rPr>
        <w:t xml:space="preserve">, </w:t>
      </w:r>
      <w:proofErr w:type="spellStart"/>
      <w:r w:rsidRPr="00E132AD">
        <w:rPr>
          <w:rFonts w:ascii="Times New Roman" w:hAnsi="Times New Roman" w:cs="Times New Roman"/>
          <w:i/>
          <w:u w:val="single"/>
          <w:lang w:val="de-DE"/>
        </w:rPr>
        <w:t>ko</w:t>
      </w:r>
      <w:proofErr w:type="spellEnd"/>
      <w:r w:rsidRPr="00E132AD">
        <w:rPr>
          <w:rFonts w:ascii="Times New Roman" w:hAnsi="Times New Roman" w:cs="Times New Roman"/>
          <w:i/>
          <w:u w:val="single"/>
          <w:lang w:val="de-DE"/>
        </w:rPr>
        <w:t xml:space="preserve"> </w:t>
      </w:r>
      <w:proofErr w:type="spellStart"/>
      <w:r w:rsidRPr="00E132AD">
        <w:rPr>
          <w:rFonts w:ascii="Times New Roman" w:hAnsi="Times New Roman" w:cs="Times New Roman"/>
          <w:i/>
          <w:u w:val="single"/>
          <w:lang w:val="de-DE"/>
        </w:rPr>
        <w:t>rada</w:t>
      </w:r>
      <w:proofErr w:type="spellEnd"/>
      <w:r w:rsidRPr="00E132AD">
        <w:rPr>
          <w:rFonts w:ascii="Times New Roman" w:hAnsi="Times New Roman" w:cs="Times New Roman"/>
          <w:i/>
          <w:u w:val="single"/>
          <w:lang w:val="de-DE"/>
        </w:rPr>
        <w:t xml:space="preserve"> </w:t>
      </w:r>
      <w:proofErr w:type="spellStart"/>
      <w:r w:rsidRPr="00E132AD">
        <w:rPr>
          <w:rFonts w:ascii="Times New Roman" w:hAnsi="Times New Roman" w:cs="Times New Roman"/>
          <w:i/>
          <w:u w:val="single"/>
          <w:lang w:val="de-DE"/>
        </w:rPr>
        <w:t>tiesību</w:t>
      </w:r>
      <w:proofErr w:type="spellEnd"/>
      <w:r w:rsidRPr="00E132AD">
        <w:rPr>
          <w:rFonts w:ascii="Times New Roman" w:hAnsi="Times New Roman" w:cs="Times New Roman"/>
          <w:i/>
          <w:u w:val="single"/>
          <w:lang w:val="de-DE"/>
        </w:rPr>
        <w:t xml:space="preserve"> </w:t>
      </w:r>
      <w:proofErr w:type="spellStart"/>
      <w:r w:rsidRPr="00E132AD">
        <w:rPr>
          <w:rFonts w:ascii="Times New Roman" w:hAnsi="Times New Roman" w:cs="Times New Roman"/>
          <w:i/>
          <w:u w:val="single"/>
          <w:lang w:val="de-DE"/>
        </w:rPr>
        <w:t>reģistrācija</w:t>
      </w:r>
      <w:proofErr w:type="spellEnd"/>
      <w:r w:rsidRPr="00E132AD">
        <w:rPr>
          <w:rFonts w:ascii="Times New Roman" w:hAnsi="Times New Roman" w:cs="Times New Roman"/>
          <w:i/>
          <w:u w:val="single"/>
          <w:lang w:val="de-DE"/>
        </w:rPr>
        <w:t xml:space="preserve"> </w:t>
      </w:r>
      <w:proofErr w:type="spellStart"/>
      <w:r w:rsidRPr="00E132AD">
        <w:rPr>
          <w:rFonts w:ascii="Times New Roman" w:hAnsi="Times New Roman" w:cs="Times New Roman"/>
          <w:i/>
          <w:u w:val="single"/>
          <w:lang w:val="de-DE"/>
        </w:rPr>
        <w:t>reģistrā</w:t>
      </w:r>
      <w:proofErr w:type="spellEnd"/>
      <w:r w:rsidRPr="00E132AD">
        <w:rPr>
          <w:rFonts w:ascii="Times New Roman" w:hAnsi="Times New Roman" w:cs="Times New Roman"/>
          <w:i/>
          <w:u w:val="single"/>
          <w:lang w:val="de-DE"/>
        </w:rPr>
        <w:t xml:space="preserve">. </w:t>
      </w:r>
      <w:proofErr w:type="spellStart"/>
      <w:r w:rsidRPr="00E132AD">
        <w:rPr>
          <w:rFonts w:ascii="Times New Roman" w:hAnsi="Times New Roman" w:cs="Times New Roman"/>
          <w:i/>
          <w:u w:val="single"/>
          <w:lang w:val="de-DE"/>
        </w:rPr>
        <w:t>Tādēļ</w:t>
      </w:r>
      <w:proofErr w:type="spellEnd"/>
      <w:r w:rsidRPr="00E132AD">
        <w:rPr>
          <w:rFonts w:ascii="Times New Roman" w:hAnsi="Times New Roman" w:cs="Times New Roman"/>
          <w:i/>
          <w:u w:val="single"/>
          <w:lang w:val="de-DE"/>
        </w:rPr>
        <w:t xml:space="preserve"> </w:t>
      </w:r>
      <w:proofErr w:type="spellStart"/>
      <w:r w:rsidRPr="00E132AD">
        <w:rPr>
          <w:rFonts w:ascii="Times New Roman" w:hAnsi="Times New Roman" w:cs="Times New Roman"/>
          <w:i/>
          <w:u w:val="single"/>
          <w:lang w:val="de-DE"/>
        </w:rPr>
        <w:t>tas</w:t>
      </w:r>
      <w:proofErr w:type="spellEnd"/>
      <w:r w:rsidRPr="00E132AD">
        <w:rPr>
          <w:rFonts w:ascii="Times New Roman" w:hAnsi="Times New Roman" w:cs="Times New Roman"/>
          <w:i/>
          <w:u w:val="single"/>
          <w:lang w:val="de-DE"/>
        </w:rPr>
        <w:t xml:space="preserve">, </w:t>
      </w:r>
      <w:proofErr w:type="spellStart"/>
      <w:r w:rsidRPr="00E132AD">
        <w:rPr>
          <w:rFonts w:ascii="Times New Roman" w:hAnsi="Times New Roman" w:cs="Times New Roman"/>
          <w:i/>
          <w:u w:val="single"/>
          <w:lang w:val="de-DE"/>
        </w:rPr>
        <w:t>vai</w:t>
      </w:r>
      <w:proofErr w:type="spellEnd"/>
      <w:r w:rsidRPr="00E132AD">
        <w:rPr>
          <w:rFonts w:ascii="Times New Roman" w:hAnsi="Times New Roman" w:cs="Times New Roman"/>
          <w:i/>
          <w:u w:val="single"/>
          <w:lang w:val="de-DE"/>
        </w:rPr>
        <w:t xml:space="preserve"> </w:t>
      </w:r>
      <w:proofErr w:type="spellStart"/>
      <w:r w:rsidRPr="00E132AD">
        <w:rPr>
          <w:rFonts w:ascii="Times New Roman" w:hAnsi="Times New Roman" w:cs="Times New Roman"/>
          <w:i/>
          <w:u w:val="single"/>
          <w:lang w:val="de-DE"/>
        </w:rPr>
        <w:t>reģistrācijai</w:t>
      </w:r>
      <w:proofErr w:type="spellEnd"/>
      <w:r w:rsidRPr="00E132AD">
        <w:rPr>
          <w:rFonts w:ascii="Times New Roman" w:hAnsi="Times New Roman" w:cs="Times New Roman"/>
          <w:i/>
          <w:u w:val="single"/>
          <w:lang w:val="de-DE"/>
        </w:rPr>
        <w:t xml:space="preserve">, </w:t>
      </w:r>
      <w:proofErr w:type="spellStart"/>
      <w:r w:rsidRPr="00E132AD">
        <w:rPr>
          <w:rFonts w:ascii="Times New Roman" w:hAnsi="Times New Roman" w:cs="Times New Roman"/>
          <w:i/>
          <w:u w:val="single"/>
          <w:lang w:val="de-DE"/>
        </w:rPr>
        <w:t>piemēram</w:t>
      </w:r>
      <w:proofErr w:type="spellEnd"/>
      <w:r w:rsidRPr="00E132AD">
        <w:rPr>
          <w:rFonts w:ascii="Times New Roman" w:hAnsi="Times New Roman" w:cs="Times New Roman"/>
          <w:i/>
          <w:u w:val="single"/>
          <w:lang w:val="de-DE"/>
        </w:rPr>
        <w:t xml:space="preserve">, </w:t>
      </w:r>
      <w:proofErr w:type="spellStart"/>
      <w:r w:rsidRPr="00E132AD">
        <w:rPr>
          <w:rFonts w:ascii="Times New Roman" w:hAnsi="Times New Roman" w:cs="Times New Roman"/>
          <w:i/>
          <w:u w:val="single"/>
          <w:lang w:val="de-DE"/>
        </w:rPr>
        <w:t>ir</w:t>
      </w:r>
      <w:proofErr w:type="spellEnd"/>
      <w:r w:rsidRPr="00E132AD">
        <w:rPr>
          <w:rFonts w:ascii="Times New Roman" w:hAnsi="Times New Roman" w:cs="Times New Roman"/>
          <w:i/>
          <w:u w:val="single"/>
          <w:lang w:val="de-DE"/>
        </w:rPr>
        <w:t xml:space="preserve"> </w:t>
      </w:r>
      <w:proofErr w:type="spellStart"/>
      <w:r w:rsidRPr="00E132AD">
        <w:rPr>
          <w:rFonts w:ascii="Times New Roman" w:hAnsi="Times New Roman" w:cs="Times New Roman"/>
          <w:i/>
          <w:u w:val="single"/>
          <w:lang w:val="de-DE"/>
        </w:rPr>
        <w:t>deklaratīvas</w:t>
      </w:r>
      <w:proofErr w:type="spellEnd"/>
      <w:r w:rsidRPr="00E132AD">
        <w:rPr>
          <w:rStyle w:val="FootnoteReference"/>
          <w:rFonts w:ascii="Times New Roman" w:hAnsi="Times New Roman" w:cs="Times New Roman"/>
          <w:i/>
          <w:u w:val="single"/>
          <w:lang w:val="de-DE"/>
        </w:rPr>
        <w:footnoteReference w:id="111"/>
      </w:r>
      <w:r w:rsidRPr="00E132AD">
        <w:rPr>
          <w:rFonts w:ascii="Times New Roman" w:hAnsi="Times New Roman" w:cs="Times New Roman"/>
          <w:i/>
          <w:u w:val="single"/>
          <w:lang w:val="de-DE"/>
        </w:rPr>
        <w:t xml:space="preserve"> </w:t>
      </w:r>
      <w:proofErr w:type="spellStart"/>
      <w:r w:rsidRPr="00E132AD">
        <w:rPr>
          <w:rFonts w:ascii="Times New Roman" w:hAnsi="Times New Roman" w:cs="Times New Roman"/>
          <w:i/>
          <w:u w:val="single"/>
          <w:lang w:val="de-DE"/>
        </w:rPr>
        <w:t>vai</w:t>
      </w:r>
      <w:proofErr w:type="spellEnd"/>
      <w:r w:rsidRPr="00E132AD">
        <w:rPr>
          <w:rFonts w:ascii="Times New Roman" w:hAnsi="Times New Roman" w:cs="Times New Roman"/>
          <w:i/>
          <w:u w:val="single"/>
          <w:lang w:val="de-DE"/>
        </w:rPr>
        <w:t xml:space="preserve"> </w:t>
      </w:r>
      <w:proofErr w:type="spellStart"/>
      <w:r w:rsidRPr="00E132AD">
        <w:rPr>
          <w:rFonts w:ascii="Times New Roman" w:hAnsi="Times New Roman" w:cs="Times New Roman"/>
          <w:i/>
          <w:u w:val="single"/>
          <w:lang w:val="de-DE"/>
        </w:rPr>
        <w:t>konstitutīvas</w:t>
      </w:r>
      <w:proofErr w:type="spellEnd"/>
      <w:r w:rsidRPr="00E132AD">
        <w:rPr>
          <w:rStyle w:val="FootnoteReference"/>
          <w:rFonts w:ascii="Times New Roman" w:hAnsi="Times New Roman" w:cs="Times New Roman"/>
          <w:i/>
          <w:u w:val="single"/>
          <w:lang w:val="de-DE"/>
        </w:rPr>
        <w:footnoteReference w:id="112"/>
      </w:r>
      <w:r w:rsidRPr="00E132AD">
        <w:rPr>
          <w:rFonts w:ascii="Times New Roman" w:hAnsi="Times New Roman" w:cs="Times New Roman"/>
          <w:i/>
          <w:u w:val="single"/>
          <w:lang w:val="de-DE"/>
        </w:rPr>
        <w:t xml:space="preserve"> </w:t>
      </w:r>
      <w:proofErr w:type="spellStart"/>
      <w:r w:rsidRPr="00E132AD">
        <w:rPr>
          <w:rFonts w:ascii="Times New Roman" w:hAnsi="Times New Roman" w:cs="Times New Roman"/>
          <w:i/>
          <w:u w:val="single"/>
          <w:lang w:val="de-DE"/>
        </w:rPr>
        <w:t>sekas</w:t>
      </w:r>
      <w:proofErr w:type="spellEnd"/>
      <w:r w:rsidRPr="00E132AD">
        <w:rPr>
          <w:rFonts w:ascii="Times New Roman" w:hAnsi="Times New Roman" w:cs="Times New Roman"/>
          <w:i/>
          <w:u w:val="single"/>
          <w:lang w:val="de-DE"/>
        </w:rPr>
        <w:t xml:space="preserve">, </w:t>
      </w:r>
      <w:proofErr w:type="spellStart"/>
      <w:r w:rsidRPr="00E132AD">
        <w:rPr>
          <w:rFonts w:ascii="Times New Roman" w:hAnsi="Times New Roman" w:cs="Times New Roman"/>
          <w:i/>
          <w:u w:val="single"/>
          <w:lang w:val="de-DE"/>
        </w:rPr>
        <w:t>būtu</w:t>
      </w:r>
      <w:proofErr w:type="spellEnd"/>
      <w:r w:rsidRPr="00E132AD">
        <w:rPr>
          <w:rFonts w:ascii="Times New Roman" w:hAnsi="Times New Roman" w:cs="Times New Roman"/>
          <w:i/>
          <w:u w:val="single"/>
          <w:lang w:val="de-DE"/>
        </w:rPr>
        <w:t xml:space="preserve"> </w:t>
      </w:r>
      <w:proofErr w:type="spellStart"/>
      <w:r w:rsidRPr="00E132AD">
        <w:rPr>
          <w:rFonts w:ascii="Times New Roman" w:hAnsi="Times New Roman" w:cs="Times New Roman"/>
          <w:i/>
          <w:u w:val="single"/>
          <w:lang w:val="de-DE"/>
        </w:rPr>
        <w:t>jānosaka</w:t>
      </w:r>
      <w:proofErr w:type="spellEnd"/>
      <w:r w:rsidRPr="00E132AD">
        <w:rPr>
          <w:rFonts w:ascii="Times New Roman" w:hAnsi="Times New Roman" w:cs="Times New Roman"/>
          <w:i/>
          <w:u w:val="single"/>
          <w:lang w:val="de-DE"/>
        </w:rPr>
        <w:t xml:space="preserve"> </w:t>
      </w:r>
      <w:proofErr w:type="spellStart"/>
      <w:r w:rsidRPr="00E132AD">
        <w:rPr>
          <w:rFonts w:ascii="Times New Roman" w:hAnsi="Times New Roman" w:cs="Times New Roman"/>
          <w:i/>
          <w:u w:val="single"/>
          <w:lang w:val="de-DE"/>
        </w:rPr>
        <w:t>pēc</w:t>
      </w:r>
      <w:proofErr w:type="spellEnd"/>
      <w:r w:rsidRPr="00E132AD">
        <w:rPr>
          <w:rFonts w:ascii="Times New Roman" w:hAnsi="Times New Roman" w:cs="Times New Roman"/>
          <w:i/>
          <w:u w:val="single"/>
          <w:lang w:val="de-DE"/>
        </w:rPr>
        <w:t xml:space="preserve"> </w:t>
      </w:r>
      <w:proofErr w:type="spellStart"/>
      <w:r w:rsidRPr="00E132AD">
        <w:rPr>
          <w:rFonts w:ascii="Times New Roman" w:hAnsi="Times New Roman" w:cs="Times New Roman"/>
          <w:i/>
          <w:u w:val="single"/>
          <w:lang w:val="de-DE"/>
        </w:rPr>
        <w:t>tās</w:t>
      </w:r>
      <w:proofErr w:type="spellEnd"/>
      <w:r w:rsidRPr="00E132AD">
        <w:rPr>
          <w:rFonts w:ascii="Times New Roman" w:hAnsi="Times New Roman" w:cs="Times New Roman"/>
          <w:i/>
          <w:u w:val="single"/>
          <w:lang w:val="de-DE"/>
        </w:rPr>
        <w:t xml:space="preserve"> </w:t>
      </w:r>
      <w:proofErr w:type="spellStart"/>
      <w:r w:rsidRPr="00E132AD">
        <w:rPr>
          <w:rFonts w:ascii="Times New Roman" w:hAnsi="Times New Roman" w:cs="Times New Roman"/>
          <w:i/>
          <w:u w:val="single"/>
          <w:lang w:val="de-DE"/>
        </w:rPr>
        <w:t>dalībvalsts</w:t>
      </w:r>
      <w:proofErr w:type="spellEnd"/>
      <w:r w:rsidRPr="00E132AD">
        <w:rPr>
          <w:rFonts w:ascii="Times New Roman" w:hAnsi="Times New Roman" w:cs="Times New Roman"/>
          <w:i/>
          <w:u w:val="single"/>
          <w:lang w:val="de-DE"/>
        </w:rPr>
        <w:t xml:space="preserve"> </w:t>
      </w:r>
      <w:proofErr w:type="spellStart"/>
      <w:r w:rsidRPr="00E132AD">
        <w:rPr>
          <w:rFonts w:ascii="Times New Roman" w:hAnsi="Times New Roman" w:cs="Times New Roman"/>
          <w:i/>
          <w:u w:val="single"/>
          <w:lang w:val="de-DE"/>
        </w:rPr>
        <w:t>tiesību</w:t>
      </w:r>
      <w:proofErr w:type="spellEnd"/>
      <w:r w:rsidRPr="00E132AD">
        <w:rPr>
          <w:rFonts w:ascii="Times New Roman" w:hAnsi="Times New Roman" w:cs="Times New Roman"/>
          <w:i/>
          <w:u w:val="single"/>
          <w:lang w:val="de-DE"/>
        </w:rPr>
        <w:t xml:space="preserve"> </w:t>
      </w:r>
      <w:proofErr w:type="spellStart"/>
      <w:r w:rsidRPr="00E132AD">
        <w:rPr>
          <w:rFonts w:ascii="Times New Roman" w:hAnsi="Times New Roman" w:cs="Times New Roman"/>
          <w:i/>
          <w:u w:val="single"/>
          <w:lang w:val="de-DE"/>
        </w:rPr>
        <w:t>aktiem</w:t>
      </w:r>
      <w:proofErr w:type="spellEnd"/>
      <w:r w:rsidRPr="00E132AD">
        <w:rPr>
          <w:rFonts w:ascii="Times New Roman" w:hAnsi="Times New Roman" w:cs="Times New Roman"/>
          <w:i/>
          <w:u w:val="single"/>
          <w:lang w:val="de-DE"/>
        </w:rPr>
        <w:t xml:space="preserve">, </w:t>
      </w:r>
      <w:proofErr w:type="spellStart"/>
      <w:r w:rsidRPr="00E132AD">
        <w:rPr>
          <w:rFonts w:ascii="Times New Roman" w:hAnsi="Times New Roman" w:cs="Times New Roman"/>
          <w:i/>
          <w:u w:val="single"/>
          <w:lang w:val="de-DE"/>
        </w:rPr>
        <w:t>kurā</w:t>
      </w:r>
      <w:proofErr w:type="spellEnd"/>
      <w:r w:rsidRPr="00E132AD">
        <w:rPr>
          <w:rFonts w:ascii="Times New Roman" w:hAnsi="Times New Roman" w:cs="Times New Roman"/>
          <w:i/>
          <w:u w:val="single"/>
          <w:lang w:val="de-DE"/>
        </w:rPr>
        <w:t xml:space="preserve"> </w:t>
      </w:r>
      <w:proofErr w:type="spellStart"/>
      <w:r w:rsidRPr="00E132AD">
        <w:rPr>
          <w:rFonts w:ascii="Times New Roman" w:hAnsi="Times New Roman" w:cs="Times New Roman"/>
          <w:i/>
          <w:u w:val="single"/>
          <w:lang w:val="de-DE"/>
        </w:rPr>
        <w:t>atrodas</w:t>
      </w:r>
      <w:proofErr w:type="spellEnd"/>
      <w:r w:rsidRPr="00E132AD">
        <w:rPr>
          <w:rFonts w:ascii="Times New Roman" w:hAnsi="Times New Roman" w:cs="Times New Roman"/>
          <w:i/>
          <w:u w:val="single"/>
          <w:lang w:val="de-DE"/>
        </w:rPr>
        <w:t xml:space="preserve"> </w:t>
      </w:r>
      <w:proofErr w:type="spellStart"/>
      <w:r w:rsidRPr="00E132AD">
        <w:rPr>
          <w:rFonts w:ascii="Times New Roman" w:hAnsi="Times New Roman" w:cs="Times New Roman"/>
          <w:i/>
          <w:u w:val="single"/>
          <w:lang w:val="de-DE"/>
        </w:rPr>
        <w:t>attiecīgais</w:t>
      </w:r>
      <w:proofErr w:type="spellEnd"/>
      <w:r w:rsidRPr="00E132AD">
        <w:rPr>
          <w:rFonts w:ascii="Times New Roman" w:hAnsi="Times New Roman" w:cs="Times New Roman"/>
          <w:i/>
          <w:u w:val="single"/>
          <w:lang w:val="de-DE"/>
        </w:rPr>
        <w:t xml:space="preserve"> </w:t>
      </w:r>
      <w:proofErr w:type="spellStart"/>
      <w:r w:rsidRPr="00E132AD">
        <w:rPr>
          <w:rFonts w:ascii="Times New Roman" w:hAnsi="Times New Roman" w:cs="Times New Roman"/>
          <w:i/>
          <w:u w:val="single"/>
          <w:lang w:val="de-DE"/>
        </w:rPr>
        <w:t>reģistrs</w:t>
      </w:r>
      <w:proofErr w:type="spellEnd"/>
      <w:r w:rsidRPr="00E132AD">
        <w:rPr>
          <w:rFonts w:ascii="Times New Roman" w:hAnsi="Times New Roman" w:cs="Times New Roman"/>
          <w:i/>
          <w:u w:val="single"/>
          <w:lang w:val="de-DE"/>
        </w:rPr>
        <w:t>.</w:t>
      </w:r>
      <w:r w:rsidRPr="00E132AD">
        <w:rPr>
          <w:rFonts w:ascii="Times New Roman" w:hAnsi="Times New Roman" w:cs="Times New Roman"/>
          <w:i/>
          <w:lang w:val="de-DE"/>
        </w:rPr>
        <w:t xml:space="preserve"> </w:t>
      </w:r>
      <w:proofErr w:type="spellStart"/>
      <w:r w:rsidRPr="00E132AD">
        <w:rPr>
          <w:rFonts w:ascii="Times New Roman" w:hAnsi="Times New Roman" w:cs="Times New Roman"/>
          <w:i/>
          <w:lang w:val="de-DE"/>
        </w:rPr>
        <w:t>Tādējādi</w:t>
      </w:r>
      <w:proofErr w:type="spellEnd"/>
      <w:r w:rsidRPr="00E132AD">
        <w:rPr>
          <w:rFonts w:ascii="Times New Roman" w:hAnsi="Times New Roman" w:cs="Times New Roman"/>
          <w:i/>
          <w:lang w:val="de-DE"/>
        </w:rPr>
        <w:t xml:space="preserve">, </w:t>
      </w:r>
      <w:proofErr w:type="spellStart"/>
      <w:r w:rsidRPr="00E132AD">
        <w:rPr>
          <w:rFonts w:ascii="Times New Roman" w:hAnsi="Times New Roman" w:cs="Times New Roman"/>
          <w:i/>
          <w:lang w:val="de-DE"/>
        </w:rPr>
        <w:t>piemēram</w:t>
      </w:r>
      <w:proofErr w:type="spellEnd"/>
      <w:r w:rsidRPr="00E132AD">
        <w:rPr>
          <w:rFonts w:ascii="Times New Roman" w:hAnsi="Times New Roman" w:cs="Times New Roman"/>
          <w:i/>
          <w:lang w:val="de-DE"/>
        </w:rPr>
        <w:t xml:space="preserve">, </w:t>
      </w:r>
      <w:proofErr w:type="spellStart"/>
      <w:r w:rsidRPr="00E132AD">
        <w:rPr>
          <w:rFonts w:ascii="Times New Roman" w:hAnsi="Times New Roman" w:cs="Times New Roman"/>
          <w:i/>
          <w:lang w:val="de-DE"/>
        </w:rPr>
        <w:t>tad</w:t>
      </w:r>
      <w:proofErr w:type="spellEnd"/>
      <w:r w:rsidRPr="00E132AD">
        <w:rPr>
          <w:rFonts w:ascii="Times New Roman" w:hAnsi="Times New Roman" w:cs="Times New Roman"/>
          <w:i/>
          <w:lang w:val="de-DE"/>
        </w:rPr>
        <w:t xml:space="preserve">, ja </w:t>
      </w:r>
      <w:proofErr w:type="spellStart"/>
      <w:r w:rsidRPr="00E132AD">
        <w:rPr>
          <w:rFonts w:ascii="Times New Roman" w:hAnsi="Times New Roman" w:cs="Times New Roman"/>
          <w:i/>
          <w:lang w:val="de-DE"/>
        </w:rPr>
        <w:t>saskaņā</w:t>
      </w:r>
      <w:proofErr w:type="spellEnd"/>
      <w:r w:rsidRPr="00E132AD">
        <w:rPr>
          <w:rFonts w:ascii="Times New Roman" w:hAnsi="Times New Roman" w:cs="Times New Roman"/>
          <w:i/>
          <w:lang w:val="de-DE"/>
        </w:rPr>
        <w:t xml:space="preserve"> </w:t>
      </w:r>
      <w:proofErr w:type="spellStart"/>
      <w:r w:rsidRPr="00E132AD">
        <w:rPr>
          <w:rFonts w:ascii="Times New Roman" w:hAnsi="Times New Roman" w:cs="Times New Roman"/>
          <w:i/>
          <w:lang w:val="de-DE"/>
        </w:rPr>
        <w:t>ar</w:t>
      </w:r>
      <w:proofErr w:type="spellEnd"/>
      <w:r w:rsidRPr="00E132AD">
        <w:rPr>
          <w:rFonts w:ascii="Times New Roman" w:hAnsi="Times New Roman" w:cs="Times New Roman"/>
          <w:i/>
          <w:lang w:val="de-DE"/>
        </w:rPr>
        <w:t xml:space="preserve"> </w:t>
      </w:r>
      <w:proofErr w:type="spellStart"/>
      <w:r w:rsidRPr="00E132AD">
        <w:rPr>
          <w:rFonts w:ascii="Times New Roman" w:hAnsi="Times New Roman" w:cs="Times New Roman"/>
          <w:i/>
          <w:lang w:val="de-DE"/>
        </w:rPr>
        <w:t>tās</w:t>
      </w:r>
      <w:proofErr w:type="spellEnd"/>
      <w:r w:rsidRPr="00E132AD">
        <w:rPr>
          <w:rFonts w:ascii="Times New Roman" w:hAnsi="Times New Roman" w:cs="Times New Roman"/>
          <w:i/>
          <w:lang w:val="de-DE"/>
        </w:rPr>
        <w:t xml:space="preserve"> </w:t>
      </w:r>
      <w:proofErr w:type="spellStart"/>
      <w:r w:rsidRPr="00E132AD">
        <w:rPr>
          <w:rFonts w:ascii="Times New Roman" w:hAnsi="Times New Roman" w:cs="Times New Roman"/>
          <w:i/>
          <w:lang w:val="de-DE"/>
        </w:rPr>
        <w:t>dalībvalsts</w:t>
      </w:r>
      <w:proofErr w:type="spellEnd"/>
      <w:r w:rsidRPr="00E132AD">
        <w:rPr>
          <w:rFonts w:ascii="Times New Roman" w:hAnsi="Times New Roman" w:cs="Times New Roman"/>
          <w:i/>
          <w:lang w:val="de-DE"/>
        </w:rPr>
        <w:t xml:space="preserve"> </w:t>
      </w:r>
      <w:proofErr w:type="spellStart"/>
      <w:r w:rsidRPr="00E132AD">
        <w:rPr>
          <w:rFonts w:ascii="Times New Roman" w:hAnsi="Times New Roman" w:cs="Times New Roman"/>
          <w:i/>
          <w:lang w:val="de-DE"/>
        </w:rPr>
        <w:t>tiesību</w:t>
      </w:r>
      <w:proofErr w:type="spellEnd"/>
      <w:r w:rsidRPr="00E132AD">
        <w:rPr>
          <w:rFonts w:ascii="Times New Roman" w:hAnsi="Times New Roman" w:cs="Times New Roman"/>
          <w:i/>
          <w:lang w:val="de-DE"/>
        </w:rPr>
        <w:t xml:space="preserve"> </w:t>
      </w:r>
      <w:proofErr w:type="spellStart"/>
      <w:r w:rsidRPr="00E132AD">
        <w:rPr>
          <w:rFonts w:ascii="Times New Roman" w:hAnsi="Times New Roman" w:cs="Times New Roman"/>
          <w:i/>
          <w:lang w:val="de-DE"/>
        </w:rPr>
        <w:t>aktiem</w:t>
      </w:r>
      <w:proofErr w:type="spellEnd"/>
      <w:r w:rsidRPr="00E132AD">
        <w:rPr>
          <w:rFonts w:ascii="Times New Roman" w:hAnsi="Times New Roman" w:cs="Times New Roman"/>
          <w:i/>
          <w:lang w:val="de-DE"/>
        </w:rPr>
        <w:t xml:space="preserve">, </w:t>
      </w:r>
      <w:proofErr w:type="spellStart"/>
      <w:r w:rsidRPr="00E132AD">
        <w:rPr>
          <w:rFonts w:ascii="Times New Roman" w:hAnsi="Times New Roman" w:cs="Times New Roman"/>
          <w:i/>
          <w:lang w:val="de-DE"/>
        </w:rPr>
        <w:t>kurā</w:t>
      </w:r>
      <w:proofErr w:type="spellEnd"/>
      <w:r w:rsidRPr="00E132AD">
        <w:rPr>
          <w:rFonts w:ascii="Times New Roman" w:hAnsi="Times New Roman" w:cs="Times New Roman"/>
          <w:i/>
          <w:lang w:val="de-DE"/>
        </w:rPr>
        <w:t xml:space="preserve"> </w:t>
      </w:r>
      <w:proofErr w:type="spellStart"/>
      <w:r w:rsidRPr="00E132AD">
        <w:rPr>
          <w:rFonts w:ascii="Times New Roman" w:hAnsi="Times New Roman" w:cs="Times New Roman"/>
          <w:i/>
          <w:lang w:val="de-DE"/>
        </w:rPr>
        <w:t>atrodas</w:t>
      </w:r>
      <w:proofErr w:type="spellEnd"/>
      <w:r w:rsidRPr="00E132AD">
        <w:rPr>
          <w:rFonts w:ascii="Times New Roman" w:hAnsi="Times New Roman" w:cs="Times New Roman"/>
          <w:i/>
          <w:lang w:val="de-DE"/>
        </w:rPr>
        <w:t xml:space="preserve"> </w:t>
      </w:r>
      <w:proofErr w:type="spellStart"/>
      <w:r w:rsidRPr="00E132AD">
        <w:rPr>
          <w:rFonts w:ascii="Times New Roman" w:hAnsi="Times New Roman" w:cs="Times New Roman"/>
          <w:i/>
          <w:lang w:val="de-DE"/>
        </w:rPr>
        <w:t>reģistrs</w:t>
      </w:r>
      <w:proofErr w:type="spellEnd"/>
      <w:r w:rsidRPr="00E132AD">
        <w:rPr>
          <w:rFonts w:ascii="Times New Roman" w:hAnsi="Times New Roman" w:cs="Times New Roman"/>
          <w:i/>
          <w:lang w:val="de-DE"/>
        </w:rPr>
        <w:t xml:space="preserve">, </w:t>
      </w:r>
      <w:proofErr w:type="spellStart"/>
      <w:r w:rsidRPr="00E132AD">
        <w:rPr>
          <w:rFonts w:ascii="Times New Roman" w:hAnsi="Times New Roman" w:cs="Times New Roman"/>
          <w:i/>
          <w:lang w:val="de-DE"/>
        </w:rPr>
        <w:t>tiesību</w:t>
      </w:r>
      <w:proofErr w:type="spellEnd"/>
      <w:r w:rsidRPr="00E132AD">
        <w:rPr>
          <w:rFonts w:ascii="Times New Roman" w:hAnsi="Times New Roman" w:cs="Times New Roman"/>
          <w:i/>
          <w:lang w:val="de-DE"/>
        </w:rPr>
        <w:t xml:space="preserve"> </w:t>
      </w:r>
      <w:proofErr w:type="spellStart"/>
      <w:r w:rsidRPr="00E132AD">
        <w:rPr>
          <w:rFonts w:ascii="Times New Roman" w:hAnsi="Times New Roman" w:cs="Times New Roman"/>
          <w:i/>
          <w:lang w:val="de-DE"/>
        </w:rPr>
        <w:t>iegūšana</w:t>
      </w:r>
      <w:proofErr w:type="spellEnd"/>
      <w:r w:rsidRPr="00E132AD">
        <w:rPr>
          <w:rFonts w:ascii="Times New Roman" w:hAnsi="Times New Roman" w:cs="Times New Roman"/>
          <w:i/>
          <w:lang w:val="de-DE"/>
        </w:rPr>
        <w:t xml:space="preserve"> </w:t>
      </w:r>
      <w:proofErr w:type="spellStart"/>
      <w:r w:rsidRPr="00E132AD">
        <w:rPr>
          <w:rFonts w:ascii="Times New Roman" w:hAnsi="Times New Roman" w:cs="Times New Roman"/>
          <w:i/>
          <w:lang w:val="de-DE"/>
        </w:rPr>
        <w:t>uz</w:t>
      </w:r>
      <w:proofErr w:type="spellEnd"/>
      <w:r w:rsidRPr="00E132AD">
        <w:rPr>
          <w:rFonts w:ascii="Times New Roman" w:hAnsi="Times New Roman" w:cs="Times New Roman"/>
          <w:i/>
          <w:lang w:val="de-DE"/>
        </w:rPr>
        <w:t xml:space="preserve"> </w:t>
      </w:r>
      <w:proofErr w:type="spellStart"/>
      <w:r w:rsidRPr="00E132AD">
        <w:rPr>
          <w:rFonts w:ascii="Times New Roman" w:hAnsi="Times New Roman" w:cs="Times New Roman"/>
          <w:i/>
          <w:lang w:val="de-DE"/>
        </w:rPr>
        <w:t>nekustamo</w:t>
      </w:r>
      <w:proofErr w:type="spellEnd"/>
      <w:r w:rsidRPr="00E132AD">
        <w:rPr>
          <w:rFonts w:ascii="Times New Roman" w:hAnsi="Times New Roman" w:cs="Times New Roman"/>
          <w:i/>
          <w:lang w:val="de-DE"/>
        </w:rPr>
        <w:t xml:space="preserve"> </w:t>
      </w:r>
      <w:proofErr w:type="spellStart"/>
      <w:r w:rsidRPr="00E132AD">
        <w:rPr>
          <w:rFonts w:ascii="Times New Roman" w:hAnsi="Times New Roman" w:cs="Times New Roman"/>
          <w:i/>
          <w:lang w:val="de-DE"/>
        </w:rPr>
        <w:t>īpašumu</w:t>
      </w:r>
      <w:proofErr w:type="spellEnd"/>
      <w:r w:rsidRPr="00E132AD">
        <w:rPr>
          <w:rFonts w:ascii="Times New Roman" w:hAnsi="Times New Roman" w:cs="Times New Roman"/>
          <w:i/>
          <w:lang w:val="de-DE"/>
        </w:rPr>
        <w:t xml:space="preserve"> </w:t>
      </w:r>
      <w:proofErr w:type="spellStart"/>
      <w:r w:rsidRPr="00E132AD">
        <w:rPr>
          <w:rFonts w:ascii="Times New Roman" w:hAnsi="Times New Roman" w:cs="Times New Roman"/>
          <w:i/>
          <w:lang w:val="de-DE"/>
        </w:rPr>
        <w:t>jāreģistrē</w:t>
      </w:r>
      <w:proofErr w:type="spellEnd"/>
      <w:r w:rsidRPr="00E132AD">
        <w:rPr>
          <w:rFonts w:ascii="Times New Roman" w:hAnsi="Times New Roman" w:cs="Times New Roman"/>
          <w:i/>
          <w:lang w:val="de-DE"/>
        </w:rPr>
        <w:t xml:space="preserve"> </w:t>
      </w:r>
      <w:proofErr w:type="spellStart"/>
      <w:r w:rsidRPr="00E132AD">
        <w:rPr>
          <w:rFonts w:ascii="Times New Roman" w:hAnsi="Times New Roman" w:cs="Times New Roman"/>
          <w:i/>
          <w:lang w:val="de-DE"/>
        </w:rPr>
        <w:t>reģistrā</w:t>
      </w:r>
      <w:proofErr w:type="spellEnd"/>
      <w:r w:rsidRPr="00E132AD">
        <w:rPr>
          <w:rFonts w:ascii="Times New Roman" w:hAnsi="Times New Roman" w:cs="Times New Roman"/>
          <w:i/>
          <w:lang w:val="de-DE"/>
        </w:rPr>
        <w:t xml:space="preserve">, </w:t>
      </w:r>
      <w:proofErr w:type="spellStart"/>
      <w:r w:rsidRPr="00E132AD">
        <w:rPr>
          <w:rFonts w:ascii="Times New Roman" w:hAnsi="Times New Roman" w:cs="Times New Roman"/>
          <w:i/>
          <w:lang w:val="de-DE"/>
        </w:rPr>
        <w:t>lai</w:t>
      </w:r>
      <w:proofErr w:type="spellEnd"/>
      <w:r w:rsidRPr="00E132AD">
        <w:rPr>
          <w:rFonts w:ascii="Times New Roman" w:hAnsi="Times New Roman" w:cs="Times New Roman"/>
          <w:i/>
          <w:lang w:val="de-DE"/>
        </w:rPr>
        <w:t xml:space="preserve"> </w:t>
      </w:r>
      <w:proofErr w:type="spellStart"/>
      <w:r w:rsidRPr="00E132AD">
        <w:rPr>
          <w:rFonts w:ascii="Times New Roman" w:hAnsi="Times New Roman" w:cs="Times New Roman"/>
          <w:i/>
          <w:lang w:val="de-DE"/>
        </w:rPr>
        <w:t>nodrošinātu</w:t>
      </w:r>
      <w:proofErr w:type="spellEnd"/>
      <w:r w:rsidRPr="00E132AD">
        <w:rPr>
          <w:rFonts w:ascii="Times New Roman" w:hAnsi="Times New Roman" w:cs="Times New Roman"/>
          <w:i/>
          <w:lang w:val="de-DE"/>
        </w:rPr>
        <w:t xml:space="preserve">, </w:t>
      </w:r>
      <w:proofErr w:type="spellStart"/>
      <w:r w:rsidRPr="00E132AD">
        <w:rPr>
          <w:rFonts w:ascii="Times New Roman" w:hAnsi="Times New Roman" w:cs="Times New Roman"/>
          <w:i/>
          <w:lang w:val="de-DE"/>
        </w:rPr>
        <w:t>ka</w:t>
      </w:r>
      <w:proofErr w:type="spellEnd"/>
      <w:r w:rsidRPr="00E132AD">
        <w:rPr>
          <w:rFonts w:ascii="Times New Roman" w:hAnsi="Times New Roman" w:cs="Times New Roman"/>
          <w:i/>
          <w:lang w:val="de-DE"/>
        </w:rPr>
        <w:t xml:space="preserve"> </w:t>
      </w:r>
      <w:proofErr w:type="spellStart"/>
      <w:r w:rsidRPr="00E132AD">
        <w:rPr>
          <w:rFonts w:ascii="Times New Roman" w:hAnsi="Times New Roman" w:cs="Times New Roman"/>
          <w:i/>
          <w:lang w:val="de-DE"/>
        </w:rPr>
        <w:t>šādiem</w:t>
      </w:r>
      <w:proofErr w:type="spellEnd"/>
      <w:r w:rsidRPr="00E132AD">
        <w:rPr>
          <w:rFonts w:ascii="Times New Roman" w:hAnsi="Times New Roman" w:cs="Times New Roman"/>
          <w:i/>
          <w:lang w:val="de-DE"/>
        </w:rPr>
        <w:t xml:space="preserve"> </w:t>
      </w:r>
      <w:proofErr w:type="spellStart"/>
      <w:r w:rsidRPr="00E132AD">
        <w:rPr>
          <w:rFonts w:ascii="Times New Roman" w:hAnsi="Times New Roman" w:cs="Times New Roman"/>
          <w:i/>
          <w:lang w:val="de-DE"/>
        </w:rPr>
        <w:t>reģistriem</w:t>
      </w:r>
      <w:proofErr w:type="spellEnd"/>
      <w:r w:rsidRPr="00E132AD">
        <w:rPr>
          <w:rFonts w:ascii="Times New Roman" w:hAnsi="Times New Roman" w:cs="Times New Roman"/>
          <w:i/>
          <w:lang w:val="de-DE"/>
        </w:rPr>
        <w:t xml:space="preserve"> </w:t>
      </w:r>
      <w:proofErr w:type="spellStart"/>
      <w:r w:rsidRPr="00E132AD">
        <w:rPr>
          <w:rFonts w:ascii="Times New Roman" w:hAnsi="Times New Roman" w:cs="Times New Roman"/>
          <w:i/>
          <w:lang w:val="de-DE"/>
        </w:rPr>
        <w:t>ir</w:t>
      </w:r>
      <w:proofErr w:type="spellEnd"/>
      <w:r w:rsidRPr="00E132AD">
        <w:rPr>
          <w:rFonts w:ascii="Times New Roman" w:hAnsi="Times New Roman" w:cs="Times New Roman"/>
          <w:i/>
          <w:lang w:val="de-DE"/>
        </w:rPr>
        <w:t xml:space="preserve"> </w:t>
      </w:r>
      <w:r w:rsidRPr="00E132AD">
        <w:rPr>
          <w:rFonts w:ascii="Times New Roman" w:hAnsi="Times New Roman" w:cs="Times New Roman"/>
          <w:i/>
          <w:iCs/>
          <w:lang w:val="de-DE"/>
        </w:rPr>
        <w:t>erga omnes</w:t>
      </w:r>
      <w:r w:rsidRPr="00E132AD">
        <w:rPr>
          <w:rFonts w:ascii="Times New Roman" w:hAnsi="Times New Roman" w:cs="Times New Roman"/>
          <w:i/>
          <w:lang w:val="de-DE"/>
        </w:rPr>
        <w:t xml:space="preserve"> </w:t>
      </w:r>
      <w:proofErr w:type="spellStart"/>
      <w:r w:rsidRPr="00E132AD">
        <w:rPr>
          <w:rFonts w:ascii="Times New Roman" w:hAnsi="Times New Roman" w:cs="Times New Roman"/>
          <w:i/>
          <w:lang w:val="de-DE"/>
        </w:rPr>
        <w:t>spēks</w:t>
      </w:r>
      <w:proofErr w:type="spellEnd"/>
      <w:r w:rsidRPr="00E132AD">
        <w:rPr>
          <w:rFonts w:ascii="Times New Roman" w:hAnsi="Times New Roman" w:cs="Times New Roman"/>
          <w:i/>
          <w:lang w:val="de-DE"/>
        </w:rPr>
        <w:t xml:space="preserve">, </w:t>
      </w:r>
      <w:proofErr w:type="spellStart"/>
      <w:r w:rsidRPr="00E132AD">
        <w:rPr>
          <w:rFonts w:ascii="Times New Roman" w:hAnsi="Times New Roman" w:cs="Times New Roman"/>
          <w:i/>
          <w:lang w:val="de-DE"/>
        </w:rPr>
        <w:t>vai</w:t>
      </w:r>
      <w:proofErr w:type="spellEnd"/>
      <w:r w:rsidRPr="00E132AD">
        <w:rPr>
          <w:rFonts w:ascii="Times New Roman" w:hAnsi="Times New Roman" w:cs="Times New Roman"/>
          <w:i/>
          <w:lang w:val="de-DE"/>
        </w:rPr>
        <w:t xml:space="preserve"> </w:t>
      </w:r>
      <w:proofErr w:type="spellStart"/>
      <w:r w:rsidRPr="00E132AD">
        <w:rPr>
          <w:rFonts w:ascii="Times New Roman" w:hAnsi="Times New Roman" w:cs="Times New Roman"/>
          <w:i/>
          <w:lang w:val="de-DE"/>
        </w:rPr>
        <w:t>lai</w:t>
      </w:r>
      <w:proofErr w:type="spellEnd"/>
      <w:r w:rsidRPr="00E132AD">
        <w:rPr>
          <w:rFonts w:ascii="Times New Roman" w:hAnsi="Times New Roman" w:cs="Times New Roman"/>
          <w:i/>
          <w:lang w:val="de-DE"/>
        </w:rPr>
        <w:t xml:space="preserve"> </w:t>
      </w:r>
      <w:proofErr w:type="spellStart"/>
      <w:r w:rsidRPr="00E132AD">
        <w:rPr>
          <w:rFonts w:ascii="Times New Roman" w:hAnsi="Times New Roman" w:cs="Times New Roman"/>
          <w:i/>
          <w:lang w:val="de-DE"/>
        </w:rPr>
        <w:t>aizsargātu</w:t>
      </w:r>
      <w:proofErr w:type="spellEnd"/>
      <w:r w:rsidRPr="00E132AD">
        <w:rPr>
          <w:rFonts w:ascii="Times New Roman" w:hAnsi="Times New Roman" w:cs="Times New Roman"/>
          <w:i/>
          <w:lang w:val="de-DE"/>
        </w:rPr>
        <w:t xml:space="preserve"> </w:t>
      </w:r>
      <w:proofErr w:type="spellStart"/>
      <w:r w:rsidRPr="00E132AD">
        <w:rPr>
          <w:rFonts w:ascii="Times New Roman" w:hAnsi="Times New Roman" w:cs="Times New Roman"/>
          <w:i/>
          <w:lang w:val="de-DE"/>
        </w:rPr>
        <w:t>tiesiskus</w:t>
      </w:r>
      <w:proofErr w:type="spellEnd"/>
      <w:r w:rsidRPr="00E132AD">
        <w:rPr>
          <w:rFonts w:ascii="Times New Roman" w:hAnsi="Times New Roman" w:cs="Times New Roman"/>
          <w:i/>
          <w:lang w:val="de-DE"/>
        </w:rPr>
        <w:t xml:space="preserve"> </w:t>
      </w:r>
      <w:proofErr w:type="spellStart"/>
      <w:r w:rsidRPr="00E132AD">
        <w:rPr>
          <w:rFonts w:ascii="Times New Roman" w:hAnsi="Times New Roman" w:cs="Times New Roman"/>
          <w:i/>
          <w:lang w:val="de-DE"/>
        </w:rPr>
        <w:t>darījumus</w:t>
      </w:r>
      <w:proofErr w:type="spellEnd"/>
      <w:r w:rsidRPr="00E132AD">
        <w:rPr>
          <w:rFonts w:ascii="Times New Roman" w:hAnsi="Times New Roman" w:cs="Times New Roman"/>
          <w:i/>
          <w:lang w:val="de-DE"/>
        </w:rPr>
        <w:t xml:space="preserve">, </w:t>
      </w:r>
      <w:proofErr w:type="spellStart"/>
      <w:r w:rsidRPr="00E132AD">
        <w:rPr>
          <w:rFonts w:ascii="Times New Roman" w:hAnsi="Times New Roman" w:cs="Times New Roman"/>
          <w:i/>
          <w:lang w:val="de-DE"/>
        </w:rPr>
        <w:t>šādu</w:t>
      </w:r>
      <w:proofErr w:type="spellEnd"/>
      <w:r w:rsidRPr="00E132AD">
        <w:rPr>
          <w:rFonts w:ascii="Times New Roman" w:hAnsi="Times New Roman" w:cs="Times New Roman"/>
          <w:i/>
          <w:lang w:val="de-DE"/>
        </w:rPr>
        <w:t xml:space="preserve"> </w:t>
      </w:r>
      <w:proofErr w:type="spellStart"/>
      <w:r w:rsidRPr="00E132AD">
        <w:rPr>
          <w:rFonts w:ascii="Times New Roman" w:hAnsi="Times New Roman" w:cs="Times New Roman"/>
          <w:i/>
          <w:lang w:val="de-DE"/>
        </w:rPr>
        <w:t>tiesību</w:t>
      </w:r>
      <w:proofErr w:type="spellEnd"/>
      <w:r w:rsidRPr="00E132AD">
        <w:rPr>
          <w:rFonts w:ascii="Times New Roman" w:hAnsi="Times New Roman" w:cs="Times New Roman"/>
          <w:i/>
          <w:lang w:val="de-DE"/>
        </w:rPr>
        <w:t xml:space="preserve"> </w:t>
      </w:r>
      <w:proofErr w:type="spellStart"/>
      <w:r w:rsidRPr="00E132AD">
        <w:rPr>
          <w:rFonts w:ascii="Times New Roman" w:hAnsi="Times New Roman" w:cs="Times New Roman"/>
          <w:i/>
          <w:lang w:val="de-DE"/>
        </w:rPr>
        <w:t>iegūšanas</w:t>
      </w:r>
      <w:proofErr w:type="spellEnd"/>
      <w:r w:rsidRPr="00E132AD">
        <w:rPr>
          <w:rFonts w:ascii="Times New Roman" w:hAnsi="Times New Roman" w:cs="Times New Roman"/>
          <w:i/>
          <w:lang w:val="de-DE"/>
        </w:rPr>
        <w:t xml:space="preserve"> </w:t>
      </w:r>
      <w:proofErr w:type="spellStart"/>
      <w:r w:rsidRPr="00E132AD">
        <w:rPr>
          <w:rFonts w:ascii="Times New Roman" w:hAnsi="Times New Roman" w:cs="Times New Roman"/>
          <w:i/>
          <w:lang w:val="de-DE"/>
        </w:rPr>
        <w:t>brīdis</w:t>
      </w:r>
      <w:proofErr w:type="spellEnd"/>
      <w:r w:rsidRPr="00E132AD">
        <w:rPr>
          <w:rFonts w:ascii="Times New Roman" w:hAnsi="Times New Roman" w:cs="Times New Roman"/>
          <w:i/>
          <w:lang w:val="de-DE"/>
        </w:rPr>
        <w:t xml:space="preserve"> </w:t>
      </w:r>
      <w:proofErr w:type="spellStart"/>
      <w:r w:rsidRPr="00E132AD">
        <w:rPr>
          <w:rFonts w:ascii="Times New Roman" w:hAnsi="Times New Roman" w:cs="Times New Roman"/>
          <w:i/>
          <w:lang w:val="de-DE"/>
        </w:rPr>
        <w:t>būtu</w:t>
      </w:r>
      <w:proofErr w:type="spellEnd"/>
      <w:r w:rsidRPr="00E132AD">
        <w:rPr>
          <w:rFonts w:ascii="Times New Roman" w:hAnsi="Times New Roman" w:cs="Times New Roman"/>
          <w:i/>
          <w:lang w:val="de-DE"/>
        </w:rPr>
        <w:t xml:space="preserve"> </w:t>
      </w:r>
      <w:proofErr w:type="spellStart"/>
      <w:r w:rsidRPr="00E132AD">
        <w:rPr>
          <w:rFonts w:ascii="Times New Roman" w:hAnsi="Times New Roman" w:cs="Times New Roman"/>
          <w:i/>
          <w:lang w:val="de-DE"/>
        </w:rPr>
        <w:t>jāreglamentē</w:t>
      </w:r>
      <w:proofErr w:type="spellEnd"/>
      <w:r w:rsidRPr="00E132AD">
        <w:rPr>
          <w:rFonts w:ascii="Times New Roman" w:hAnsi="Times New Roman" w:cs="Times New Roman"/>
          <w:i/>
          <w:lang w:val="de-DE"/>
        </w:rPr>
        <w:t xml:space="preserve"> </w:t>
      </w:r>
      <w:proofErr w:type="spellStart"/>
      <w:r w:rsidRPr="00E132AD">
        <w:rPr>
          <w:rFonts w:ascii="Times New Roman" w:hAnsi="Times New Roman" w:cs="Times New Roman"/>
          <w:i/>
          <w:lang w:val="de-DE"/>
        </w:rPr>
        <w:t>ar</w:t>
      </w:r>
      <w:proofErr w:type="spellEnd"/>
      <w:r w:rsidRPr="00E132AD">
        <w:rPr>
          <w:rFonts w:ascii="Times New Roman" w:hAnsi="Times New Roman" w:cs="Times New Roman"/>
          <w:i/>
          <w:lang w:val="de-DE"/>
        </w:rPr>
        <w:t xml:space="preserve"> </w:t>
      </w:r>
      <w:proofErr w:type="spellStart"/>
      <w:r w:rsidRPr="00E132AD">
        <w:rPr>
          <w:rFonts w:ascii="Times New Roman" w:hAnsi="Times New Roman" w:cs="Times New Roman"/>
          <w:i/>
          <w:lang w:val="de-DE"/>
        </w:rPr>
        <w:t>minētās</w:t>
      </w:r>
      <w:proofErr w:type="spellEnd"/>
      <w:r w:rsidRPr="00E132AD">
        <w:rPr>
          <w:rFonts w:ascii="Times New Roman" w:hAnsi="Times New Roman" w:cs="Times New Roman"/>
          <w:i/>
          <w:lang w:val="de-DE"/>
        </w:rPr>
        <w:t xml:space="preserve"> </w:t>
      </w:r>
      <w:proofErr w:type="spellStart"/>
      <w:r w:rsidRPr="00E132AD">
        <w:rPr>
          <w:rFonts w:ascii="Times New Roman" w:hAnsi="Times New Roman" w:cs="Times New Roman"/>
          <w:i/>
          <w:lang w:val="de-DE"/>
        </w:rPr>
        <w:t>dalībvalsts</w:t>
      </w:r>
      <w:proofErr w:type="spellEnd"/>
      <w:r w:rsidRPr="00E132AD">
        <w:rPr>
          <w:rFonts w:ascii="Times New Roman" w:hAnsi="Times New Roman" w:cs="Times New Roman"/>
          <w:i/>
          <w:lang w:val="de-DE"/>
        </w:rPr>
        <w:t xml:space="preserve"> </w:t>
      </w:r>
      <w:proofErr w:type="spellStart"/>
      <w:r w:rsidRPr="00E132AD">
        <w:rPr>
          <w:rFonts w:ascii="Times New Roman" w:hAnsi="Times New Roman" w:cs="Times New Roman"/>
          <w:i/>
          <w:lang w:val="de-DE"/>
        </w:rPr>
        <w:t>tiesību</w:t>
      </w:r>
      <w:proofErr w:type="spellEnd"/>
      <w:r w:rsidRPr="00E132AD">
        <w:rPr>
          <w:rFonts w:ascii="Times New Roman" w:hAnsi="Times New Roman" w:cs="Times New Roman"/>
          <w:i/>
          <w:lang w:val="de-DE"/>
        </w:rPr>
        <w:t xml:space="preserve"> </w:t>
      </w:r>
      <w:proofErr w:type="spellStart"/>
      <w:r w:rsidRPr="00E132AD">
        <w:rPr>
          <w:rFonts w:ascii="Times New Roman" w:hAnsi="Times New Roman" w:cs="Times New Roman"/>
          <w:i/>
          <w:lang w:val="de-DE"/>
        </w:rPr>
        <w:t>aktiem</w:t>
      </w:r>
      <w:proofErr w:type="spellEnd"/>
      <w:r>
        <w:rPr>
          <w:rFonts w:ascii="Times New Roman" w:hAnsi="Times New Roman" w:cs="Times New Roman"/>
          <w:lang w:val="de-DE"/>
        </w:rPr>
        <w:t>“</w:t>
      </w:r>
      <w:r w:rsidRPr="00E132AD">
        <w:rPr>
          <w:rFonts w:ascii="Times New Roman" w:hAnsi="Times New Roman" w:cs="Times New Roman"/>
          <w:lang w:val="de-DE"/>
        </w:rPr>
        <w:t xml:space="preserve">. </w:t>
      </w:r>
    </w:p>
    <w:p w14:paraId="4CEDD68D" w14:textId="77777777" w:rsidR="00114953" w:rsidRPr="000C7C76" w:rsidRDefault="00114953" w:rsidP="00114953">
      <w:pPr>
        <w:ind w:firstLine="708"/>
        <w:jc w:val="both"/>
        <w:rPr>
          <w:rFonts w:ascii="Times New Roman" w:hAnsi="Times New Roman" w:cs="Times New Roman"/>
          <w:lang w:val="de-DE"/>
        </w:rPr>
      </w:pPr>
    </w:p>
    <w:p w14:paraId="5B4CC1AD" w14:textId="77777777" w:rsidR="00114953" w:rsidRPr="00002FA0" w:rsidRDefault="00114953" w:rsidP="00114953">
      <w:pPr>
        <w:ind w:firstLine="708"/>
        <w:jc w:val="both"/>
        <w:rPr>
          <w:rFonts w:ascii="Times New Roman" w:hAnsi="Times New Roman" w:cs="Times New Roman"/>
          <w:highlight w:val="yellow"/>
          <w:lang w:val="lv-LV"/>
        </w:rPr>
      </w:pPr>
      <w:proofErr w:type="spellStart"/>
      <w:r w:rsidRPr="000C7C76">
        <w:rPr>
          <w:rFonts w:ascii="Times New Roman" w:hAnsi="Times New Roman" w:cs="Times New Roman"/>
          <w:lang w:val="de-DE"/>
        </w:rPr>
        <w:t>Arī</w:t>
      </w:r>
      <w:proofErr w:type="spellEnd"/>
      <w:r w:rsidRPr="000C7C76">
        <w:rPr>
          <w:rFonts w:ascii="Times New Roman" w:hAnsi="Times New Roman" w:cs="Times New Roman"/>
          <w:lang w:val="de-DE"/>
        </w:rPr>
        <w:t xml:space="preserve"> </w:t>
      </w:r>
      <w:proofErr w:type="spellStart"/>
      <w:r w:rsidRPr="000C7C76">
        <w:rPr>
          <w:rFonts w:ascii="Times New Roman" w:hAnsi="Times New Roman" w:cs="Times New Roman"/>
          <w:lang w:val="de-DE"/>
        </w:rPr>
        <w:t>Mantošanas</w:t>
      </w:r>
      <w:proofErr w:type="spellEnd"/>
      <w:r w:rsidRPr="000C7C76">
        <w:rPr>
          <w:rFonts w:ascii="Times New Roman" w:hAnsi="Times New Roman" w:cs="Times New Roman"/>
          <w:lang w:val="de-DE"/>
        </w:rPr>
        <w:t xml:space="preserve"> Regulas Nr.650/2012 1.panta </w:t>
      </w:r>
      <w:proofErr w:type="spellStart"/>
      <w:r w:rsidRPr="000C7C76">
        <w:rPr>
          <w:rFonts w:ascii="Times New Roman" w:hAnsi="Times New Roman" w:cs="Times New Roman"/>
          <w:lang w:val="de-DE"/>
        </w:rPr>
        <w:t>otrās</w:t>
      </w:r>
      <w:proofErr w:type="spellEnd"/>
      <w:r w:rsidRPr="000C7C76">
        <w:rPr>
          <w:rFonts w:ascii="Times New Roman" w:hAnsi="Times New Roman" w:cs="Times New Roman"/>
          <w:lang w:val="de-DE"/>
        </w:rPr>
        <w:t xml:space="preserve"> </w:t>
      </w:r>
      <w:proofErr w:type="spellStart"/>
      <w:r w:rsidRPr="000C7C76">
        <w:rPr>
          <w:rFonts w:ascii="Times New Roman" w:hAnsi="Times New Roman" w:cs="Times New Roman"/>
          <w:lang w:val="de-DE"/>
        </w:rPr>
        <w:t>daļas</w:t>
      </w:r>
      <w:proofErr w:type="spellEnd"/>
      <w:r w:rsidRPr="000C7C76">
        <w:rPr>
          <w:rFonts w:ascii="Times New Roman" w:hAnsi="Times New Roman" w:cs="Times New Roman"/>
          <w:lang w:val="de-DE"/>
        </w:rPr>
        <w:t> </w:t>
      </w:r>
      <w:r>
        <w:rPr>
          <w:rFonts w:ascii="Times New Roman" w:hAnsi="Times New Roman" w:cs="Times New Roman"/>
          <w:lang w:val="de-DE"/>
        </w:rPr>
        <w:t>„l“</w:t>
      </w:r>
      <w:r w:rsidRPr="000C7C76">
        <w:rPr>
          <w:rFonts w:ascii="Times New Roman" w:hAnsi="Times New Roman" w:cs="Times New Roman"/>
          <w:lang w:val="de-DE"/>
        </w:rPr>
        <w:t xml:space="preserve"> </w:t>
      </w:r>
      <w:proofErr w:type="spellStart"/>
      <w:r w:rsidRPr="000C7C76">
        <w:rPr>
          <w:rFonts w:ascii="Times New Roman" w:hAnsi="Times New Roman" w:cs="Times New Roman"/>
          <w:lang w:val="de-DE"/>
        </w:rPr>
        <w:t>punkts</w:t>
      </w:r>
      <w:proofErr w:type="spellEnd"/>
      <w:r w:rsidRPr="000C7C76">
        <w:rPr>
          <w:rFonts w:ascii="Times New Roman" w:hAnsi="Times New Roman" w:cs="Times New Roman"/>
          <w:lang w:val="de-DE"/>
        </w:rPr>
        <w:t xml:space="preserve"> </w:t>
      </w:r>
      <w:proofErr w:type="spellStart"/>
      <w:r w:rsidRPr="000C7C76">
        <w:rPr>
          <w:rFonts w:ascii="Times New Roman" w:hAnsi="Times New Roman" w:cs="Times New Roman"/>
          <w:lang w:val="de-DE"/>
        </w:rPr>
        <w:t>skaidri</w:t>
      </w:r>
      <w:proofErr w:type="spellEnd"/>
      <w:r w:rsidRPr="000C7C76">
        <w:rPr>
          <w:rFonts w:ascii="Times New Roman" w:hAnsi="Times New Roman" w:cs="Times New Roman"/>
          <w:lang w:val="de-DE"/>
        </w:rPr>
        <w:t xml:space="preserve"> </w:t>
      </w:r>
      <w:proofErr w:type="spellStart"/>
      <w:r w:rsidRPr="000C7C76">
        <w:rPr>
          <w:rFonts w:ascii="Times New Roman" w:hAnsi="Times New Roman" w:cs="Times New Roman"/>
          <w:lang w:val="de-DE"/>
        </w:rPr>
        <w:t>pasaka</w:t>
      </w:r>
      <w:proofErr w:type="spellEnd"/>
      <w:r w:rsidRPr="000C7C76">
        <w:rPr>
          <w:rFonts w:ascii="Times New Roman" w:hAnsi="Times New Roman" w:cs="Times New Roman"/>
          <w:lang w:val="de-DE"/>
        </w:rPr>
        <w:t xml:space="preserve">, </w:t>
      </w:r>
      <w:proofErr w:type="spellStart"/>
      <w:r w:rsidRPr="000C7C76">
        <w:rPr>
          <w:rFonts w:ascii="Times New Roman" w:hAnsi="Times New Roman" w:cs="Times New Roman"/>
          <w:lang w:val="de-DE"/>
        </w:rPr>
        <w:t>ka</w:t>
      </w:r>
      <w:proofErr w:type="spellEnd"/>
      <w:r w:rsidRPr="000C7C76">
        <w:rPr>
          <w:rFonts w:ascii="Times New Roman" w:hAnsi="Times New Roman" w:cs="Times New Roman"/>
          <w:lang w:val="de-DE"/>
        </w:rPr>
        <w:t xml:space="preserve"> </w:t>
      </w:r>
      <w:proofErr w:type="spellStart"/>
      <w:r w:rsidRPr="000C7C76">
        <w:rPr>
          <w:rFonts w:ascii="Times New Roman" w:hAnsi="Times New Roman" w:cs="Times New Roman"/>
          <w:lang w:val="de-DE"/>
        </w:rPr>
        <w:t>no</w:t>
      </w:r>
      <w:proofErr w:type="spellEnd"/>
      <w:r w:rsidRPr="000C7C76">
        <w:rPr>
          <w:rFonts w:ascii="Times New Roman" w:hAnsi="Times New Roman" w:cs="Times New Roman"/>
          <w:lang w:val="de-DE"/>
        </w:rPr>
        <w:t xml:space="preserve"> Regulas </w:t>
      </w:r>
      <w:proofErr w:type="spellStart"/>
      <w:r w:rsidRPr="000C7C76">
        <w:rPr>
          <w:rFonts w:ascii="Times New Roman" w:hAnsi="Times New Roman" w:cs="Times New Roman"/>
          <w:lang w:val="de-DE"/>
        </w:rPr>
        <w:t>darbības</w:t>
      </w:r>
      <w:proofErr w:type="spellEnd"/>
      <w:r w:rsidRPr="000C7C76">
        <w:rPr>
          <w:rFonts w:ascii="Times New Roman" w:hAnsi="Times New Roman" w:cs="Times New Roman"/>
          <w:lang w:val="de-DE"/>
        </w:rPr>
        <w:t xml:space="preserve"> </w:t>
      </w:r>
      <w:proofErr w:type="spellStart"/>
      <w:r w:rsidRPr="000C7C76">
        <w:rPr>
          <w:rFonts w:ascii="Times New Roman" w:hAnsi="Times New Roman" w:cs="Times New Roman"/>
          <w:lang w:val="de-DE"/>
        </w:rPr>
        <w:t>jomas</w:t>
      </w:r>
      <w:proofErr w:type="spellEnd"/>
      <w:r w:rsidRPr="000C7C76">
        <w:rPr>
          <w:rFonts w:ascii="Times New Roman" w:hAnsi="Times New Roman" w:cs="Times New Roman"/>
          <w:lang w:val="de-DE"/>
        </w:rPr>
        <w:t xml:space="preserve"> </w:t>
      </w:r>
      <w:proofErr w:type="spellStart"/>
      <w:r w:rsidRPr="000C7C76">
        <w:rPr>
          <w:rFonts w:ascii="Times New Roman" w:hAnsi="Times New Roman" w:cs="Times New Roman"/>
          <w:lang w:val="de-DE"/>
        </w:rPr>
        <w:t>ir</w:t>
      </w:r>
      <w:proofErr w:type="spellEnd"/>
      <w:r w:rsidRPr="000C7C76">
        <w:rPr>
          <w:rFonts w:ascii="Times New Roman" w:hAnsi="Times New Roman" w:cs="Times New Roman"/>
          <w:lang w:val="de-DE"/>
        </w:rPr>
        <w:t xml:space="preserve"> </w:t>
      </w:r>
      <w:proofErr w:type="spellStart"/>
      <w:r w:rsidRPr="000C7C76">
        <w:rPr>
          <w:rFonts w:ascii="Times New Roman" w:hAnsi="Times New Roman" w:cs="Times New Roman"/>
          <w:lang w:val="de-DE"/>
        </w:rPr>
        <w:t>izslēgti</w:t>
      </w:r>
      <w:proofErr w:type="spellEnd"/>
      <w:r w:rsidRPr="000C7C76">
        <w:rPr>
          <w:rFonts w:ascii="Times New Roman" w:hAnsi="Times New Roman" w:cs="Times New Roman"/>
          <w:lang w:val="de-DE"/>
        </w:rPr>
        <w:t xml:space="preserve"> </w:t>
      </w:r>
      <w:proofErr w:type="spellStart"/>
      <w:r w:rsidRPr="000C7C76">
        <w:rPr>
          <w:rFonts w:ascii="Times New Roman" w:hAnsi="Times New Roman" w:cs="Times New Roman"/>
          <w:lang w:val="de-DE"/>
        </w:rPr>
        <w:t>jautājumi</w:t>
      </w:r>
      <w:proofErr w:type="spellEnd"/>
      <w:r w:rsidRPr="000C7C76">
        <w:rPr>
          <w:rFonts w:ascii="Times New Roman" w:hAnsi="Times New Roman" w:cs="Times New Roman"/>
          <w:lang w:val="de-DE"/>
        </w:rPr>
        <w:t xml:space="preserve"> par </w:t>
      </w:r>
      <w:proofErr w:type="spellStart"/>
      <w:r w:rsidRPr="000C7C76">
        <w:rPr>
          <w:rFonts w:ascii="Times New Roman" w:hAnsi="Times New Roman" w:cs="Times New Roman"/>
          <w:lang w:val="de-DE"/>
        </w:rPr>
        <w:t>nekustamā</w:t>
      </w:r>
      <w:proofErr w:type="spellEnd"/>
      <w:r w:rsidRPr="000C7C76">
        <w:rPr>
          <w:rFonts w:ascii="Times New Roman" w:hAnsi="Times New Roman" w:cs="Times New Roman"/>
          <w:lang w:val="de-DE"/>
        </w:rPr>
        <w:t xml:space="preserve"> </w:t>
      </w:r>
      <w:proofErr w:type="spellStart"/>
      <w:r w:rsidRPr="000C7C76">
        <w:rPr>
          <w:rFonts w:ascii="Times New Roman" w:hAnsi="Times New Roman" w:cs="Times New Roman"/>
          <w:lang w:val="de-DE"/>
        </w:rPr>
        <w:t>īpašuma</w:t>
      </w:r>
      <w:proofErr w:type="spellEnd"/>
      <w:r w:rsidRPr="000C7C76">
        <w:rPr>
          <w:rFonts w:ascii="Times New Roman" w:hAnsi="Times New Roman" w:cs="Times New Roman"/>
          <w:lang w:val="de-DE"/>
        </w:rPr>
        <w:t xml:space="preserve"> </w:t>
      </w:r>
      <w:proofErr w:type="spellStart"/>
      <w:r w:rsidRPr="000C7C76">
        <w:rPr>
          <w:rFonts w:ascii="Times New Roman" w:hAnsi="Times New Roman" w:cs="Times New Roman"/>
          <w:lang w:val="de-DE"/>
        </w:rPr>
        <w:t>tiesību</w:t>
      </w:r>
      <w:proofErr w:type="spellEnd"/>
      <w:r w:rsidRPr="000C7C76">
        <w:rPr>
          <w:rFonts w:ascii="Times New Roman" w:hAnsi="Times New Roman" w:cs="Times New Roman"/>
          <w:lang w:val="de-DE"/>
        </w:rPr>
        <w:t xml:space="preserve"> </w:t>
      </w:r>
      <w:proofErr w:type="spellStart"/>
      <w:r w:rsidRPr="000C7C76">
        <w:rPr>
          <w:rFonts w:ascii="Times New Roman" w:hAnsi="Times New Roman" w:cs="Times New Roman"/>
          <w:lang w:val="de-DE"/>
        </w:rPr>
        <w:t>reģistrāciju</w:t>
      </w:r>
      <w:proofErr w:type="spellEnd"/>
      <w:r w:rsidRPr="000C7C76">
        <w:rPr>
          <w:rFonts w:ascii="Times New Roman" w:hAnsi="Times New Roman" w:cs="Times New Roman"/>
          <w:lang w:val="de-DE"/>
        </w:rPr>
        <w:t xml:space="preserve"> </w:t>
      </w:r>
      <w:proofErr w:type="spellStart"/>
      <w:r w:rsidRPr="000C7C76">
        <w:rPr>
          <w:rFonts w:ascii="Times New Roman" w:hAnsi="Times New Roman" w:cs="Times New Roman"/>
          <w:lang w:val="de-DE"/>
        </w:rPr>
        <w:t>reģistrā</w:t>
      </w:r>
      <w:proofErr w:type="spellEnd"/>
      <w:r w:rsidRPr="000C7C76">
        <w:rPr>
          <w:rFonts w:ascii="Times New Roman" w:hAnsi="Times New Roman" w:cs="Times New Roman"/>
          <w:lang w:val="de-DE"/>
        </w:rPr>
        <w:t xml:space="preserve">, </w:t>
      </w:r>
      <w:proofErr w:type="spellStart"/>
      <w:r w:rsidRPr="000C7C76">
        <w:rPr>
          <w:rFonts w:ascii="Times New Roman" w:hAnsi="Times New Roman" w:cs="Times New Roman"/>
          <w:lang w:val="de-DE"/>
        </w:rPr>
        <w:t>tostarp</w:t>
      </w:r>
      <w:proofErr w:type="spellEnd"/>
      <w:r w:rsidRPr="000C7C76">
        <w:rPr>
          <w:rFonts w:ascii="Times New Roman" w:hAnsi="Times New Roman" w:cs="Times New Roman"/>
          <w:lang w:val="de-DE"/>
        </w:rPr>
        <w:t xml:space="preserve"> </w:t>
      </w:r>
      <w:proofErr w:type="spellStart"/>
      <w:r w:rsidRPr="000C7C76">
        <w:rPr>
          <w:rFonts w:ascii="Times New Roman" w:hAnsi="Times New Roman" w:cs="Times New Roman"/>
          <w:lang w:val="de-DE"/>
        </w:rPr>
        <w:t>juridiskās</w:t>
      </w:r>
      <w:proofErr w:type="spellEnd"/>
      <w:r w:rsidRPr="000C7C76">
        <w:rPr>
          <w:rFonts w:ascii="Times New Roman" w:hAnsi="Times New Roman" w:cs="Times New Roman"/>
          <w:lang w:val="de-DE"/>
        </w:rPr>
        <w:t xml:space="preserve"> </w:t>
      </w:r>
      <w:proofErr w:type="spellStart"/>
      <w:r w:rsidRPr="000C7C76">
        <w:rPr>
          <w:rFonts w:ascii="Times New Roman" w:hAnsi="Times New Roman" w:cs="Times New Roman"/>
          <w:lang w:val="de-DE"/>
        </w:rPr>
        <w:t>prasības</w:t>
      </w:r>
      <w:proofErr w:type="spellEnd"/>
      <w:r w:rsidRPr="000C7C76">
        <w:rPr>
          <w:rFonts w:ascii="Times New Roman" w:hAnsi="Times New Roman" w:cs="Times New Roman"/>
          <w:lang w:val="de-DE"/>
        </w:rPr>
        <w:t xml:space="preserve"> </w:t>
      </w:r>
      <w:proofErr w:type="spellStart"/>
      <w:r w:rsidRPr="000C7C76">
        <w:rPr>
          <w:rFonts w:ascii="Times New Roman" w:hAnsi="Times New Roman" w:cs="Times New Roman"/>
          <w:lang w:val="de-DE"/>
        </w:rPr>
        <w:t>šādai</w:t>
      </w:r>
      <w:proofErr w:type="spellEnd"/>
      <w:r w:rsidRPr="000C7C76">
        <w:rPr>
          <w:rFonts w:ascii="Times New Roman" w:hAnsi="Times New Roman" w:cs="Times New Roman"/>
          <w:lang w:val="de-DE"/>
        </w:rPr>
        <w:t xml:space="preserve"> </w:t>
      </w:r>
      <w:proofErr w:type="spellStart"/>
      <w:r w:rsidRPr="000C7C76">
        <w:rPr>
          <w:rFonts w:ascii="Times New Roman" w:hAnsi="Times New Roman" w:cs="Times New Roman"/>
          <w:lang w:val="de-DE"/>
        </w:rPr>
        <w:t>reģistrācijai</w:t>
      </w:r>
      <w:proofErr w:type="spellEnd"/>
      <w:r w:rsidRPr="000C7C76">
        <w:rPr>
          <w:rFonts w:ascii="Times New Roman" w:hAnsi="Times New Roman" w:cs="Times New Roman"/>
          <w:lang w:val="de-DE"/>
        </w:rPr>
        <w:t xml:space="preserve">, </w:t>
      </w:r>
      <w:proofErr w:type="spellStart"/>
      <w:r w:rsidRPr="000C7C76">
        <w:rPr>
          <w:rFonts w:ascii="Times New Roman" w:hAnsi="Times New Roman" w:cs="Times New Roman"/>
          <w:lang w:val="de-DE"/>
        </w:rPr>
        <w:t>un</w:t>
      </w:r>
      <w:proofErr w:type="spellEnd"/>
      <w:r w:rsidRPr="000C7C76">
        <w:rPr>
          <w:rFonts w:ascii="Times New Roman" w:hAnsi="Times New Roman" w:cs="Times New Roman"/>
          <w:lang w:val="de-DE"/>
        </w:rPr>
        <w:t xml:space="preserve"> </w:t>
      </w:r>
      <w:proofErr w:type="spellStart"/>
      <w:r w:rsidRPr="000C7C76">
        <w:rPr>
          <w:rFonts w:ascii="Times New Roman" w:hAnsi="Times New Roman" w:cs="Times New Roman"/>
          <w:lang w:val="de-DE"/>
        </w:rPr>
        <w:t>sekas</w:t>
      </w:r>
      <w:proofErr w:type="spellEnd"/>
      <w:r w:rsidRPr="000C7C76">
        <w:rPr>
          <w:rFonts w:ascii="Times New Roman" w:hAnsi="Times New Roman" w:cs="Times New Roman"/>
          <w:lang w:val="de-DE"/>
        </w:rPr>
        <w:t xml:space="preserve">, </w:t>
      </w:r>
      <w:proofErr w:type="spellStart"/>
      <w:r w:rsidRPr="000C7C76">
        <w:rPr>
          <w:rFonts w:ascii="Times New Roman" w:hAnsi="Times New Roman" w:cs="Times New Roman"/>
          <w:lang w:val="de-DE"/>
        </w:rPr>
        <w:t>ko</w:t>
      </w:r>
      <w:proofErr w:type="spellEnd"/>
      <w:r w:rsidRPr="000C7C76">
        <w:rPr>
          <w:rFonts w:ascii="Times New Roman" w:hAnsi="Times New Roman" w:cs="Times New Roman"/>
          <w:lang w:val="de-DE"/>
        </w:rPr>
        <w:t xml:space="preserve"> </w:t>
      </w:r>
      <w:proofErr w:type="spellStart"/>
      <w:r w:rsidRPr="000C7C76">
        <w:rPr>
          <w:rFonts w:ascii="Times New Roman" w:hAnsi="Times New Roman" w:cs="Times New Roman"/>
          <w:lang w:val="de-DE"/>
        </w:rPr>
        <w:t>rada</w:t>
      </w:r>
      <w:proofErr w:type="spellEnd"/>
      <w:r w:rsidRPr="000C7C76">
        <w:rPr>
          <w:rFonts w:ascii="Times New Roman" w:hAnsi="Times New Roman" w:cs="Times New Roman"/>
          <w:lang w:val="de-DE"/>
        </w:rPr>
        <w:t xml:space="preserve"> </w:t>
      </w:r>
      <w:proofErr w:type="spellStart"/>
      <w:r w:rsidRPr="000C7C76">
        <w:rPr>
          <w:rFonts w:ascii="Times New Roman" w:hAnsi="Times New Roman" w:cs="Times New Roman"/>
          <w:lang w:val="de-DE"/>
        </w:rPr>
        <w:t>šādu</w:t>
      </w:r>
      <w:proofErr w:type="spellEnd"/>
      <w:r w:rsidRPr="000C7C76">
        <w:rPr>
          <w:rFonts w:ascii="Times New Roman" w:hAnsi="Times New Roman" w:cs="Times New Roman"/>
          <w:lang w:val="de-DE"/>
        </w:rPr>
        <w:t xml:space="preserve"> </w:t>
      </w:r>
      <w:proofErr w:type="spellStart"/>
      <w:r w:rsidRPr="000C7C76">
        <w:rPr>
          <w:rFonts w:ascii="Times New Roman" w:hAnsi="Times New Roman" w:cs="Times New Roman"/>
          <w:lang w:val="de-DE"/>
        </w:rPr>
        <w:t>tiesību</w:t>
      </w:r>
      <w:proofErr w:type="spellEnd"/>
      <w:r w:rsidRPr="000C7C76">
        <w:rPr>
          <w:rFonts w:ascii="Times New Roman" w:hAnsi="Times New Roman" w:cs="Times New Roman"/>
          <w:lang w:val="de-DE"/>
        </w:rPr>
        <w:t xml:space="preserve"> </w:t>
      </w:r>
      <w:proofErr w:type="spellStart"/>
      <w:r w:rsidRPr="000C7C76">
        <w:rPr>
          <w:rFonts w:ascii="Times New Roman" w:hAnsi="Times New Roman" w:cs="Times New Roman"/>
          <w:lang w:val="de-DE"/>
        </w:rPr>
        <w:t>reģistrācija</w:t>
      </w:r>
      <w:proofErr w:type="spellEnd"/>
      <w:r w:rsidRPr="000C7C76">
        <w:rPr>
          <w:rFonts w:ascii="Times New Roman" w:hAnsi="Times New Roman" w:cs="Times New Roman"/>
          <w:lang w:val="de-DE"/>
        </w:rPr>
        <w:t xml:space="preserve"> </w:t>
      </w:r>
      <w:proofErr w:type="spellStart"/>
      <w:r w:rsidRPr="000C7C76">
        <w:rPr>
          <w:rFonts w:ascii="Times New Roman" w:hAnsi="Times New Roman" w:cs="Times New Roman"/>
          <w:lang w:val="de-DE"/>
        </w:rPr>
        <w:t>vai</w:t>
      </w:r>
      <w:proofErr w:type="spellEnd"/>
      <w:r w:rsidRPr="000C7C76">
        <w:rPr>
          <w:rFonts w:ascii="Times New Roman" w:hAnsi="Times New Roman" w:cs="Times New Roman"/>
          <w:lang w:val="de-DE"/>
        </w:rPr>
        <w:t xml:space="preserve"> </w:t>
      </w:r>
      <w:proofErr w:type="spellStart"/>
      <w:r w:rsidRPr="000C7C76">
        <w:rPr>
          <w:rFonts w:ascii="Times New Roman" w:hAnsi="Times New Roman" w:cs="Times New Roman"/>
          <w:lang w:val="de-DE"/>
        </w:rPr>
        <w:t>nereģistrēšana</w:t>
      </w:r>
      <w:proofErr w:type="spellEnd"/>
      <w:r w:rsidRPr="000C7C76">
        <w:rPr>
          <w:rFonts w:ascii="Times New Roman" w:hAnsi="Times New Roman" w:cs="Times New Roman"/>
          <w:lang w:val="de-DE"/>
        </w:rPr>
        <w:t xml:space="preserve"> </w:t>
      </w:r>
      <w:proofErr w:type="spellStart"/>
      <w:r w:rsidRPr="000C7C76">
        <w:rPr>
          <w:rFonts w:ascii="Times New Roman" w:hAnsi="Times New Roman" w:cs="Times New Roman"/>
          <w:lang w:val="de-DE"/>
        </w:rPr>
        <w:t>reģistrā</w:t>
      </w:r>
      <w:proofErr w:type="spellEnd"/>
      <w:r w:rsidRPr="000C7C76">
        <w:rPr>
          <w:rFonts w:ascii="Times New Roman" w:hAnsi="Times New Roman" w:cs="Times New Roman"/>
          <w:lang w:val="de-DE"/>
        </w:rPr>
        <w:t>.</w:t>
      </w:r>
    </w:p>
    <w:p w14:paraId="2AAEFD9D" w14:textId="77777777" w:rsidR="00114953" w:rsidRPr="000C7C76" w:rsidRDefault="00114953" w:rsidP="00114953">
      <w:pPr>
        <w:ind w:firstLine="708"/>
        <w:jc w:val="both"/>
        <w:rPr>
          <w:rFonts w:ascii="Times New Roman" w:hAnsi="Times New Roman" w:cs="Times New Roman"/>
          <w:lang w:val="lv-LV"/>
        </w:rPr>
      </w:pPr>
      <w:r w:rsidRPr="000C7C76">
        <w:rPr>
          <w:rFonts w:ascii="Times New Roman" w:hAnsi="Times New Roman" w:cs="Times New Roman"/>
          <w:lang w:val="lv-LV"/>
        </w:rPr>
        <w:t xml:space="preserve">Tātad, būs gadījumi, kuros ārvalsts notārs savā darbībā varēs tikt pielīdzināts Latvijas notāram un ārvalsts notāra sastādītais publiskais dokuments Latvijā varēs tikt akceptēts. Taču, ja runa ir par nekustamiem īpašumiem, kuri atrodas Latvijā, tad šeit tomēr kompetence būs Latvijas notāriem, jo nekustamā īpašuma ierakstīšanas procedūru Zemesgrāmatās nosaka </w:t>
      </w:r>
      <w:proofErr w:type="spellStart"/>
      <w:r w:rsidRPr="000C7C76">
        <w:rPr>
          <w:rFonts w:ascii="Times New Roman" w:hAnsi="Times New Roman" w:cs="Times New Roman"/>
          <w:i/>
          <w:lang w:val="lv-LV"/>
        </w:rPr>
        <w:t>lex</w:t>
      </w:r>
      <w:proofErr w:type="spellEnd"/>
      <w:r w:rsidRPr="000C7C76">
        <w:rPr>
          <w:rFonts w:ascii="Times New Roman" w:hAnsi="Times New Roman" w:cs="Times New Roman"/>
          <w:i/>
          <w:lang w:val="lv-LV"/>
        </w:rPr>
        <w:t xml:space="preserve"> </w:t>
      </w:r>
      <w:proofErr w:type="spellStart"/>
      <w:r w:rsidRPr="000C7C76">
        <w:rPr>
          <w:rFonts w:ascii="Times New Roman" w:hAnsi="Times New Roman" w:cs="Times New Roman"/>
          <w:i/>
          <w:lang w:val="lv-LV"/>
        </w:rPr>
        <w:t>fori</w:t>
      </w:r>
      <w:proofErr w:type="spellEnd"/>
      <w:r w:rsidRPr="000C7C76">
        <w:rPr>
          <w:rFonts w:ascii="Times New Roman" w:hAnsi="Times New Roman" w:cs="Times New Roman"/>
          <w:lang w:val="lv-LV"/>
        </w:rPr>
        <w:t xml:space="preserve">, t.i., tās valsts likums, kur atrodas reģistrs (Zemesgrāmatas). </w:t>
      </w:r>
      <w:proofErr w:type="spellStart"/>
      <w:r w:rsidRPr="000C7C76">
        <w:rPr>
          <w:rFonts w:ascii="Times New Roman" w:hAnsi="Times New Roman" w:cs="Times New Roman"/>
          <w:i/>
          <w:lang w:val="lv-LV"/>
        </w:rPr>
        <w:t>Lex</w:t>
      </w:r>
      <w:proofErr w:type="spellEnd"/>
      <w:r w:rsidRPr="000C7C76">
        <w:rPr>
          <w:rFonts w:ascii="Times New Roman" w:hAnsi="Times New Roman" w:cs="Times New Roman"/>
          <w:i/>
          <w:lang w:val="lv-LV"/>
        </w:rPr>
        <w:t xml:space="preserve"> </w:t>
      </w:r>
      <w:proofErr w:type="spellStart"/>
      <w:r w:rsidRPr="000C7C76">
        <w:rPr>
          <w:rFonts w:ascii="Times New Roman" w:hAnsi="Times New Roman" w:cs="Times New Roman"/>
          <w:i/>
          <w:lang w:val="lv-LV"/>
        </w:rPr>
        <w:t>rei</w:t>
      </w:r>
      <w:proofErr w:type="spellEnd"/>
      <w:r w:rsidRPr="000C7C76">
        <w:rPr>
          <w:rFonts w:ascii="Times New Roman" w:hAnsi="Times New Roman" w:cs="Times New Roman"/>
          <w:i/>
          <w:lang w:val="lv-LV"/>
        </w:rPr>
        <w:t xml:space="preserve"> </w:t>
      </w:r>
      <w:proofErr w:type="spellStart"/>
      <w:r w:rsidRPr="000C7C76">
        <w:rPr>
          <w:rFonts w:ascii="Times New Roman" w:hAnsi="Times New Roman" w:cs="Times New Roman"/>
          <w:i/>
          <w:lang w:val="lv-LV"/>
        </w:rPr>
        <w:t>sitae</w:t>
      </w:r>
      <w:proofErr w:type="spellEnd"/>
      <w:r w:rsidRPr="000C7C76">
        <w:rPr>
          <w:rFonts w:ascii="Times New Roman" w:hAnsi="Times New Roman" w:cs="Times New Roman"/>
          <w:lang w:val="lv-LV"/>
        </w:rPr>
        <w:t xml:space="preserve"> sakritīs ar reģistra atrašanās vietas valsts likumu. Tas pats attiecas arī uz </w:t>
      </w:r>
      <w:r w:rsidRPr="000C7C76">
        <w:rPr>
          <w:rFonts w:ascii="Times New Roman" w:hAnsi="Times New Roman" w:cs="Times New Roman"/>
          <w:u w:val="single"/>
          <w:lang w:val="lv-LV"/>
        </w:rPr>
        <w:t>dokumentu</w:t>
      </w:r>
      <w:r w:rsidRPr="000C7C76">
        <w:rPr>
          <w:rFonts w:ascii="Times New Roman" w:hAnsi="Times New Roman" w:cs="Times New Roman"/>
          <w:lang w:val="lv-LV"/>
        </w:rPr>
        <w:t xml:space="preserve"> formas </w:t>
      </w:r>
      <w:proofErr w:type="spellStart"/>
      <w:r w:rsidRPr="000C7C76">
        <w:rPr>
          <w:rFonts w:ascii="Times New Roman" w:hAnsi="Times New Roman" w:cs="Times New Roman"/>
          <w:lang w:val="lv-LV"/>
        </w:rPr>
        <w:t>pasībām</w:t>
      </w:r>
      <w:proofErr w:type="spellEnd"/>
      <w:r w:rsidRPr="000C7C76">
        <w:rPr>
          <w:rFonts w:ascii="Times New Roman" w:hAnsi="Times New Roman" w:cs="Times New Roman"/>
          <w:lang w:val="lv-LV"/>
        </w:rPr>
        <w:t xml:space="preserve">, ja šāds dokuments nepieciešams ierakstiem Latvijas reģistros – šādā gadījumā būs piemērojams Latvijas likums kā reģistra atrašanās vietas valsts likums. Runājot tieši par </w:t>
      </w:r>
      <w:r w:rsidRPr="000C7C76">
        <w:rPr>
          <w:rFonts w:ascii="Times New Roman" w:hAnsi="Times New Roman" w:cs="Times New Roman"/>
          <w:u w:val="single"/>
          <w:lang w:val="lv-LV"/>
        </w:rPr>
        <w:t xml:space="preserve">pilnvaras </w:t>
      </w:r>
      <w:r w:rsidRPr="000C7C76">
        <w:rPr>
          <w:rFonts w:ascii="Times New Roman" w:hAnsi="Times New Roman" w:cs="Times New Roman"/>
          <w:lang w:val="lv-LV"/>
        </w:rPr>
        <w:t>formu – ja pilnvara izmantojama saistībā ar Latvijā esošiem reģistriem, tad šādas pilnvaras formai jāatbilst reģistra atrašanās vietas valsts likumam</w:t>
      </w:r>
      <w:r>
        <w:rPr>
          <w:rStyle w:val="FootnoteReference"/>
          <w:rFonts w:ascii="Times New Roman" w:hAnsi="Times New Roman" w:cs="Times New Roman"/>
        </w:rPr>
        <w:footnoteReference w:id="113"/>
      </w:r>
      <w:r w:rsidRPr="000C7C76">
        <w:rPr>
          <w:rFonts w:ascii="Times New Roman" w:hAnsi="Times New Roman" w:cs="Times New Roman"/>
          <w:lang w:val="lv-LV"/>
        </w:rPr>
        <w:t>, t.i., Latvijas likumam. Pie formas prasībām pieskaitāma arī notariāli apliecinātas pilnvaras forma vai notariālā akta formā sastādīta pilnvara.</w:t>
      </w:r>
    </w:p>
    <w:p w14:paraId="16443BDE" w14:textId="77777777" w:rsidR="00114953" w:rsidRPr="000C7C76" w:rsidRDefault="00114953" w:rsidP="00114953">
      <w:pPr>
        <w:jc w:val="both"/>
        <w:rPr>
          <w:rFonts w:ascii="Times New Roman" w:hAnsi="Times New Roman" w:cs="Arial"/>
          <w:lang w:val="lv-LV"/>
        </w:rPr>
      </w:pPr>
    </w:p>
    <w:p w14:paraId="52B9603B" w14:textId="77777777" w:rsidR="00114953" w:rsidRPr="000C7C76" w:rsidRDefault="00114953" w:rsidP="00114953">
      <w:pPr>
        <w:ind w:firstLine="708"/>
        <w:jc w:val="both"/>
        <w:rPr>
          <w:rFonts w:ascii="Times New Roman" w:hAnsi="Times New Roman" w:cs="Times New Roman"/>
          <w:lang w:val="lv-LV"/>
        </w:rPr>
      </w:pPr>
      <w:r w:rsidRPr="000C7C76">
        <w:rPr>
          <w:rFonts w:ascii="Times New Roman" w:hAnsi="Times New Roman" w:cs="Arial"/>
          <w:color w:val="323233"/>
          <w:lang w:val="lv-LV"/>
        </w:rPr>
        <w:t xml:space="preserve">Papildus jāņem vērā, ka saskaņā ar 2008.gada 21.aprīļa Ministru kabineta noteikumu Nr. 283 </w:t>
      </w:r>
      <w:r>
        <w:rPr>
          <w:rFonts w:ascii="Times New Roman" w:hAnsi="Times New Roman" w:cs="Arial"/>
          <w:color w:val="323233"/>
          <w:lang w:val="de-DE"/>
        </w:rPr>
        <w:t>„</w:t>
      </w:r>
      <w:r w:rsidRPr="000C7C76">
        <w:rPr>
          <w:rFonts w:ascii="Times New Roman" w:hAnsi="Times New Roman" w:cs="Arial"/>
          <w:color w:val="323233"/>
          <w:lang w:val="lv-LV"/>
        </w:rPr>
        <w:t>Noteikumi par notariālo funkciju veikšanu Latvijas Republikas diplomātiskajās un konsulārajās pārstāvniecībās</w:t>
      </w:r>
      <w:r>
        <w:rPr>
          <w:rFonts w:ascii="Times New Roman" w:hAnsi="Times New Roman" w:cs="Arial"/>
          <w:color w:val="323233"/>
          <w:lang w:val="de-DE"/>
        </w:rPr>
        <w:t>“</w:t>
      </w:r>
      <w:r>
        <w:rPr>
          <w:rStyle w:val="FootnoteReference"/>
          <w:rFonts w:ascii="Times New Roman" w:hAnsi="Times New Roman" w:cs="Arial"/>
          <w:color w:val="323233"/>
          <w:lang w:val="de-DE"/>
        </w:rPr>
        <w:footnoteReference w:id="114"/>
      </w:r>
      <w:r w:rsidRPr="000C7C76">
        <w:rPr>
          <w:rFonts w:ascii="Times New Roman" w:hAnsi="Times New Roman" w:cs="Arial"/>
          <w:color w:val="323233"/>
          <w:lang w:val="lv-LV"/>
        </w:rPr>
        <w:t xml:space="preserve"> 7.punktu konsulārā amatpersona notariālās funkcijas veic </w:t>
      </w:r>
      <w:r w:rsidRPr="000C7C76">
        <w:rPr>
          <w:rFonts w:ascii="Times New Roman" w:hAnsi="Times New Roman" w:cs="Arial"/>
          <w:color w:val="323233"/>
          <w:lang w:val="lv-LV"/>
        </w:rPr>
        <w:lastRenderedPageBreak/>
        <w:t xml:space="preserve">Latvijas pilsoņiem un </w:t>
      </w:r>
      <w:proofErr w:type="spellStart"/>
      <w:r w:rsidRPr="000C7C76">
        <w:rPr>
          <w:rFonts w:ascii="Times New Roman" w:hAnsi="Times New Roman" w:cs="Arial"/>
          <w:color w:val="323233"/>
          <w:lang w:val="lv-LV"/>
        </w:rPr>
        <w:t>nepilsoņiem</w:t>
      </w:r>
      <w:proofErr w:type="spellEnd"/>
      <w:r w:rsidRPr="000C7C76">
        <w:rPr>
          <w:rFonts w:ascii="Times New Roman" w:hAnsi="Times New Roman" w:cs="Arial"/>
          <w:color w:val="323233"/>
          <w:lang w:val="lv-LV"/>
        </w:rPr>
        <w:t xml:space="preserve">, personām, kurām ir piešķirts bēgļa statuss Latvijā, un personām, kuras Latvijā ir atzītas par bezvalstniekiem. </w:t>
      </w:r>
      <w:r w:rsidRPr="000C7C76">
        <w:rPr>
          <w:rFonts w:ascii="Times New Roman" w:hAnsi="Times New Roman" w:cs="Arial"/>
          <w:b/>
          <w:color w:val="323233"/>
          <w:lang w:val="lv-LV"/>
        </w:rPr>
        <w:t>Ārzemniekam</w:t>
      </w:r>
      <w:r w:rsidRPr="000C7C76">
        <w:rPr>
          <w:rFonts w:ascii="Times New Roman" w:hAnsi="Times New Roman" w:cs="Arial"/>
          <w:color w:val="323233"/>
          <w:lang w:val="lv-LV"/>
        </w:rPr>
        <w:t xml:space="preserve"> notariālās funkcijas tiek veiktas izņēmuma gadījumā, ja saskaņā ar Latvijas normatīvajiem aktiem nepieciešama </w:t>
      </w:r>
      <w:r w:rsidRPr="000C7C76">
        <w:rPr>
          <w:rFonts w:ascii="Times New Roman" w:hAnsi="Times New Roman" w:cs="Arial"/>
          <w:color w:val="323233"/>
          <w:u w:val="single"/>
          <w:lang w:val="lv-LV"/>
        </w:rPr>
        <w:t xml:space="preserve">notariālā akta </w:t>
      </w:r>
      <w:r w:rsidRPr="000C7C76">
        <w:rPr>
          <w:rFonts w:ascii="Times New Roman" w:hAnsi="Times New Roman" w:cs="Arial"/>
          <w:b/>
          <w:color w:val="323233"/>
          <w:u w:val="single"/>
          <w:lang w:val="lv-LV"/>
        </w:rPr>
        <w:t>forma</w:t>
      </w:r>
      <w:r w:rsidRPr="000C7C76">
        <w:rPr>
          <w:rFonts w:ascii="Times New Roman" w:hAnsi="Times New Roman" w:cs="Arial"/>
          <w:color w:val="323233"/>
          <w:u w:val="single"/>
          <w:lang w:val="lv-LV"/>
        </w:rPr>
        <w:t>, kādu neparedz attiecīgās ārvalsts normatīvie akti, vai ja notariālo aktu ir paredzēts izmantot Latvijas Republikā</w:t>
      </w:r>
      <w:r w:rsidRPr="000C7C76">
        <w:rPr>
          <w:rFonts w:ascii="Times New Roman" w:hAnsi="Times New Roman" w:cs="Arial"/>
          <w:color w:val="323233"/>
          <w:lang w:val="lv-LV"/>
        </w:rPr>
        <w:t xml:space="preserve">. </w:t>
      </w:r>
      <w:r w:rsidRPr="000C7C76">
        <w:rPr>
          <w:rFonts w:ascii="Times New Roman" w:hAnsi="Times New Roman" w:cs="Arial"/>
          <w:lang w:val="lv-LV"/>
        </w:rPr>
        <w:t>Tātad, ārzemniekiem šādos izņēmuma gadījumos ir tiesības vērsties pie Latvijas konsulārajām amatpersonām, lai notariālā akta formā sastādītu nepieciešamos dokumentus.</w:t>
      </w:r>
    </w:p>
    <w:p w14:paraId="2CAD9432" w14:textId="77777777" w:rsidR="00114953" w:rsidRPr="000C7C76" w:rsidRDefault="00114953" w:rsidP="00114953">
      <w:pPr>
        <w:jc w:val="both"/>
        <w:rPr>
          <w:rFonts w:ascii="Times New Roman" w:hAnsi="Times New Roman" w:cs="Times New Roman"/>
          <w:lang w:val="lv-LV"/>
        </w:rPr>
      </w:pPr>
    </w:p>
    <w:p w14:paraId="1A1B170F" w14:textId="6FC68ED2" w:rsidR="00114953" w:rsidRPr="00C91762" w:rsidRDefault="00B851F2" w:rsidP="00114953">
      <w:pPr>
        <w:jc w:val="both"/>
        <w:rPr>
          <w:rFonts w:asciiTheme="majorBidi" w:hAnsiTheme="majorBidi" w:cstheme="majorBidi"/>
          <w:lang w:val="de-DE"/>
        </w:rPr>
      </w:pPr>
      <w:proofErr w:type="spellStart"/>
      <w:r w:rsidRPr="00C91762">
        <w:rPr>
          <w:rFonts w:asciiTheme="majorBidi" w:hAnsiTheme="majorBidi" w:cstheme="majorBidi"/>
          <w:b/>
          <w:lang w:val="de-DE"/>
        </w:rPr>
        <w:t>Secinājums</w:t>
      </w:r>
      <w:proofErr w:type="spellEnd"/>
      <w:r w:rsidRPr="00C91762">
        <w:rPr>
          <w:rFonts w:asciiTheme="majorBidi" w:hAnsiTheme="majorBidi" w:cstheme="majorBidi"/>
          <w:b/>
          <w:lang w:val="de-DE"/>
        </w:rPr>
        <w:t xml:space="preserve">: </w:t>
      </w:r>
      <w:proofErr w:type="spellStart"/>
      <w:r w:rsidR="000B2482" w:rsidRPr="00C91762">
        <w:rPr>
          <w:rFonts w:asciiTheme="majorBidi" w:hAnsiTheme="majorBidi" w:cstheme="majorBidi"/>
          <w:lang w:val="de-DE"/>
        </w:rPr>
        <w:t>Ārvalsts</w:t>
      </w:r>
      <w:proofErr w:type="spellEnd"/>
      <w:r w:rsidR="000B2482" w:rsidRPr="00C91762">
        <w:rPr>
          <w:rFonts w:asciiTheme="majorBidi" w:hAnsiTheme="majorBidi" w:cstheme="majorBidi"/>
          <w:lang w:val="de-DE"/>
        </w:rPr>
        <w:t xml:space="preserve"> </w:t>
      </w:r>
      <w:proofErr w:type="spellStart"/>
      <w:r w:rsidR="000B2482" w:rsidRPr="00C91762">
        <w:rPr>
          <w:rFonts w:asciiTheme="majorBidi" w:hAnsiTheme="majorBidi" w:cstheme="majorBidi"/>
          <w:lang w:val="de-DE"/>
        </w:rPr>
        <w:t>publiskā</w:t>
      </w:r>
      <w:proofErr w:type="spellEnd"/>
      <w:r w:rsidR="000B2482" w:rsidRPr="00C91762">
        <w:rPr>
          <w:rFonts w:asciiTheme="majorBidi" w:hAnsiTheme="majorBidi" w:cstheme="majorBidi"/>
          <w:lang w:val="de-DE"/>
        </w:rPr>
        <w:t xml:space="preserve"> </w:t>
      </w:r>
      <w:proofErr w:type="spellStart"/>
      <w:r w:rsidR="000B2482" w:rsidRPr="00C91762">
        <w:rPr>
          <w:rFonts w:asciiTheme="majorBidi" w:hAnsiTheme="majorBidi" w:cstheme="majorBidi"/>
          <w:lang w:val="de-DE"/>
        </w:rPr>
        <w:t>dokumenta</w:t>
      </w:r>
      <w:proofErr w:type="spellEnd"/>
      <w:r w:rsidR="000B2482" w:rsidRPr="00C91762">
        <w:rPr>
          <w:rFonts w:asciiTheme="majorBidi" w:hAnsiTheme="majorBidi" w:cstheme="majorBidi"/>
          <w:lang w:val="de-DE"/>
        </w:rPr>
        <w:t xml:space="preserve"> </w:t>
      </w:r>
      <w:proofErr w:type="spellStart"/>
      <w:r w:rsidR="000B2482" w:rsidRPr="00C91762">
        <w:rPr>
          <w:rFonts w:asciiTheme="majorBidi" w:hAnsiTheme="majorBidi" w:cstheme="majorBidi"/>
          <w:lang w:val="de-DE"/>
        </w:rPr>
        <w:t>formas</w:t>
      </w:r>
      <w:proofErr w:type="spellEnd"/>
      <w:r w:rsidR="000B2482" w:rsidRPr="00C91762">
        <w:rPr>
          <w:rFonts w:asciiTheme="majorBidi" w:hAnsiTheme="majorBidi" w:cstheme="majorBidi"/>
          <w:lang w:val="de-DE"/>
        </w:rPr>
        <w:t xml:space="preserve"> </w:t>
      </w:r>
      <w:proofErr w:type="spellStart"/>
      <w:r w:rsidR="000B2482" w:rsidRPr="00C91762">
        <w:rPr>
          <w:rFonts w:asciiTheme="majorBidi" w:hAnsiTheme="majorBidi" w:cstheme="majorBidi"/>
          <w:lang w:val="de-DE"/>
        </w:rPr>
        <w:t>prasībām</w:t>
      </w:r>
      <w:proofErr w:type="spellEnd"/>
      <w:r w:rsidR="000B2482" w:rsidRPr="00C91762">
        <w:rPr>
          <w:rFonts w:asciiTheme="majorBidi" w:hAnsiTheme="majorBidi" w:cstheme="majorBidi"/>
          <w:lang w:val="de-DE"/>
        </w:rPr>
        <w:t xml:space="preserve"> </w:t>
      </w:r>
      <w:proofErr w:type="spellStart"/>
      <w:r w:rsidR="000B2482" w:rsidRPr="00C91762">
        <w:rPr>
          <w:rFonts w:asciiTheme="majorBidi" w:hAnsiTheme="majorBidi" w:cstheme="majorBidi"/>
          <w:lang w:val="de-DE"/>
        </w:rPr>
        <w:t>Latvijā</w:t>
      </w:r>
      <w:proofErr w:type="spellEnd"/>
      <w:r w:rsidR="000B2482" w:rsidRPr="00C91762">
        <w:rPr>
          <w:rFonts w:asciiTheme="majorBidi" w:hAnsiTheme="majorBidi" w:cstheme="majorBidi"/>
          <w:lang w:val="de-DE"/>
        </w:rPr>
        <w:t xml:space="preserve"> </w:t>
      </w:r>
      <w:proofErr w:type="spellStart"/>
      <w:r w:rsidR="000B2482" w:rsidRPr="00C91762">
        <w:rPr>
          <w:rFonts w:asciiTheme="majorBidi" w:hAnsiTheme="majorBidi" w:cstheme="majorBidi"/>
          <w:lang w:val="de-DE"/>
        </w:rPr>
        <w:t>varētu</w:t>
      </w:r>
      <w:proofErr w:type="spellEnd"/>
      <w:r w:rsidR="000B2482" w:rsidRPr="00C91762">
        <w:rPr>
          <w:rFonts w:asciiTheme="majorBidi" w:hAnsiTheme="majorBidi" w:cstheme="majorBidi"/>
          <w:lang w:val="de-DE"/>
        </w:rPr>
        <w:t xml:space="preserve"> </w:t>
      </w:r>
      <w:proofErr w:type="spellStart"/>
      <w:r w:rsidR="000B2482" w:rsidRPr="00C91762">
        <w:rPr>
          <w:rFonts w:asciiTheme="majorBidi" w:hAnsiTheme="majorBidi" w:cstheme="majorBidi"/>
          <w:lang w:val="de-DE"/>
        </w:rPr>
        <w:t>tikt</w:t>
      </w:r>
      <w:proofErr w:type="spellEnd"/>
      <w:r w:rsidR="000B2482" w:rsidRPr="00C91762">
        <w:rPr>
          <w:rFonts w:asciiTheme="majorBidi" w:hAnsiTheme="majorBidi" w:cstheme="majorBidi"/>
          <w:lang w:val="de-DE"/>
        </w:rPr>
        <w:t xml:space="preserve"> </w:t>
      </w:r>
      <w:proofErr w:type="spellStart"/>
      <w:r w:rsidR="000B2482" w:rsidRPr="00C91762">
        <w:rPr>
          <w:rFonts w:asciiTheme="majorBidi" w:hAnsiTheme="majorBidi" w:cstheme="majorBidi"/>
          <w:lang w:val="de-DE"/>
        </w:rPr>
        <w:t>piemērota</w:t>
      </w:r>
      <w:proofErr w:type="spellEnd"/>
      <w:r w:rsidR="000B2482" w:rsidRPr="00C91762">
        <w:rPr>
          <w:rFonts w:asciiTheme="majorBidi" w:hAnsiTheme="majorBidi" w:cstheme="majorBidi"/>
          <w:lang w:val="de-DE"/>
        </w:rPr>
        <w:t xml:space="preserve"> </w:t>
      </w:r>
      <w:proofErr w:type="spellStart"/>
      <w:r w:rsidR="000B2482" w:rsidRPr="00C91762">
        <w:rPr>
          <w:rFonts w:asciiTheme="majorBidi" w:hAnsiTheme="majorBidi" w:cstheme="majorBidi"/>
          <w:lang w:val="de-DE"/>
        </w:rPr>
        <w:t>substitūcijas</w:t>
      </w:r>
      <w:proofErr w:type="spellEnd"/>
      <w:r w:rsidR="000B2482" w:rsidRPr="00C91762">
        <w:rPr>
          <w:rFonts w:asciiTheme="majorBidi" w:hAnsiTheme="majorBidi" w:cstheme="majorBidi"/>
          <w:lang w:val="de-DE"/>
        </w:rPr>
        <w:t xml:space="preserve"> </w:t>
      </w:r>
      <w:proofErr w:type="spellStart"/>
      <w:r w:rsidR="000B2482" w:rsidRPr="00C91762">
        <w:rPr>
          <w:rFonts w:asciiTheme="majorBidi" w:hAnsiTheme="majorBidi" w:cstheme="majorBidi"/>
          <w:lang w:val="de-DE"/>
        </w:rPr>
        <w:t>metode</w:t>
      </w:r>
      <w:proofErr w:type="spellEnd"/>
      <w:r w:rsidR="000B2482" w:rsidRPr="00C91762">
        <w:rPr>
          <w:rFonts w:asciiTheme="majorBidi" w:hAnsiTheme="majorBidi" w:cstheme="majorBidi"/>
          <w:lang w:val="de-DE"/>
        </w:rPr>
        <w:t xml:space="preserve"> </w:t>
      </w:r>
      <w:proofErr w:type="spellStart"/>
      <w:r w:rsidR="000B2482" w:rsidRPr="00C91762">
        <w:rPr>
          <w:rFonts w:asciiTheme="majorBidi" w:hAnsiTheme="majorBidi" w:cstheme="majorBidi"/>
          <w:lang w:val="de-DE"/>
        </w:rPr>
        <w:t>jeb</w:t>
      </w:r>
      <w:proofErr w:type="spellEnd"/>
      <w:r w:rsidR="000B2482" w:rsidRPr="00C91762">
        <w:rPr>
          <w:rFonts w:asciiTheme="majorBidi" w:hAnsiTheme="majorBidi" w:cstheme="majorBidi"/>
          <w:lang w:val="de-DE"/>
        </w:rPr>
        <w:t xml:space="preserve"> </w:t>
      </w:r>
      <w:proofErr w:type="spellStart"/>
      <w:r w:rsidR="000B2482" w:rsidRPr="00C91762">
        <w:rPr>
          <w:rFonts w:asciiTheme="majorBidi" w:hAnsiTheme="majorBidi" w:cstheme="majorBidi"/>
          <w:lang w:val="de-DE"/>
        </w:rPr>
        <w:t>ekvivalences</w:t>
      </w:r>
      <w:proofErr w:type="spellEnd"/>
      <w:r w:rsidR="000B2482" w:rsidRPr="00C91762">
        <w:rPr>
          <w:rFonts w:asciiTheme="majorBidi" w:hAnsiTheme="majorBidi" w:cstheme="majorBidi"/>
          <w:lang w:val="de-DE"/>
        </w:rPr>
        <w:t xml:space="preserve"> </w:t>
      </w:r>
      <w:proofErr w:type="spellStart"/>
      <w:r w:rsidR="000B2482" w:rsidRPr="00C91762">
        <w:rPr>
          <w:rFonts w:asciiTheme="majorBidi" w:hAnsiTheme="majorBidi" w:cstheme="majorBidi"/>
          <w:lang w:val="de-DE"/>
        </w:rPr>
        <w:t>teorija</w:t>
      </w:r>
      <w:proofErr w:type="spellEnd"/>
      <w:r w:rsidR="000B2482" w:rsidRPr="00C91762">
        <w:rPr>
          <w:rFonts w:asciiTheme="majorBidi" w:hAnsiTheme="majorBidi" w:cstheme="majorBidi"/>
          <w:lang w:val="de-DE"/>
        </w:rPr>
        <w:t xml:space="preserve"> (</w:t>
      </w:r>
      <w:proofErr w:type="spellStart"/>
      <w:r w:rsidR="000B2482" w:rsidRPr="00C91762">
        <w:rPr>
          <w:rFonts w:asciiTheme="majorBidi" w:hAnsiTheme="majorBidi" w:cstheme="majorBidi"/>
          <w:lang w:val="de-DE"/>
        </w:rPr>
        <w:t>tāpat</w:t>
      </w:r>
      <w:proofErr w:type="spellEnd"/>
      <w:r w:rsidR="000B2482" w:rsidRPr="00C91762">
        <w:rPr>
          <w:rFonts w:asciiTheme="majorBidi" w:hAnsiTheme="majorBidi" w:cstheme="majorBidi"/>
          <w:lang w:val="de-DE"/>
        </w:rPr>
        <w:t xml:space="preserve"> </w:t>
      </w:r>
      <w:proofErr w:type="spellStart"/>
      <w:r w:rsidR="000B2482" w:rsidRPr="00C91762">
        <w:rPr>
          <w:rFonts w:asciiTheme="majorBidi" w:hAnsiTheme="majorBidi" w:cstheme="majorBidi"/>
          <w:lang w:val="de-DE"/>
        </w:rPr>
        <w:t>kā</w:t>
      </w:r>
      <w:proofErr w:type="spellEnd"/>
      <w:r w:rsidR="000B2482" w:rsidRPr="00C91762">
        <w:rPr>
          <w:rFonts w:asciiTheme="majorBidi" w:hAnsiTheme="majorBidi" w:cstheme="majorBidi"/>
          <w:lang w:val="de-DE"/>
        </w:rPr>
        <w:t xml:space="preserve"> </w:t>
      </w:r>
      <w:proofErr w:type="spellStart"/>
      <w:r w:rsidR="000B2482" w:rsidRPr="00C91762">
        <w:rPr>
          <w:rFonts w:asciiTheme="majorBidi" w:hAnsiTheme="majorBidi" w:cstheme="majorBidi"/>
          <w:lang w:val="de-DE"/>
        </w:rPr>
        <w:t>Vācijā</w:t>
      </w:r>
      <w:proofErr w:type="spellEnd"/>
      <w:r w:rsidR="000B2482" w:rsidRPr="00C91762">
        <w:rPr>
          <w:rFonts w:asciiTheme="majorBidi" w:hAnsiTheme="majorBidi" w:cstheme="majorBidi"/>
          <w:lang w:val="de-DE"/>
        </w:rPr>
        <w:t xml:space="preserve"> </w:t>
      </w:r>
      <w:proofErr w:type="spellStart"/>
      <w:r w:rsidR="000B2482" w:rsidRPr="00C91762">
        <w:rPr>
          <w:rFonts w:asciiTheme="majorBidi" w:hAnsiTheme="majorBidi" w:cstheme="majorBidi"/>
          <w:lang w:val="de-DE"/>
        </w:rPr>
        <w:t>un</w:t>
      </w:r>
      <w:proofErr w:type="spellEnd"/>
      <w:r w:rsidR="000B2482" w:rsidRPr="00C91762">
        <w:rPr>
          <w:rFonts w:asciiTheme="majorBidi" w:hAnsiTheme="majorBidi" w:cstheme="majorBidi"/>
          <w:lang w:val="de-DE"/>
        </w:rPr>
        <w:t xml:space="preserve"> </w:t>
      </w:r>
      <w:proofErr w:type="spellStart"/>
      <w:r w:rsidR="000B2482" w:rsidRPr="00C91762">
        <w:rPr>
          <w:rFonts w:asciiTheme="majorBidi" w:hAnsiTheme="majorBidi" w:cstheme="majorBidi"/>
          <w:lang w:val="de-DE"/>
        </w:rPr>
        <w:t>Francijā</w:t>
      </w:r>
      <w:proofErr w:type="spellEnd"/>
      <w:r w:rsidR="000B2482" w:rsidRPr="00C91762">
        <w:rPr>
          <w:rFonts w:asciiTheme="majorBidi" w:hAnsiTheme="majorBidi" w:cstheme="majorBidi"/>
          <w:lang w:val="de-DE"/>
        </w:rPr>
        <w:t xml:space="preserve">). Tas </w:t>
      </w:r>
      <w:proofErr w:type="spellStart"/>
      <w:r w:rsidR="000B2482" w:rsidRPr="00C91762">
        <w:rPr>
          <w:rFonts w:asciiTheme="majorBidi" w:hAnsiTheme="majorBidi" w:cstheme="majorBidi"/>
          <w:lang w:val="de-DE"/>
        </w:rPr>
        <w:t>nozīmē</w:t>
      </w:r>
      <w:proofErr w:type="spellEnd"/>
      <w:r w:rsidR="000B2482" w:rsidRPr="00C91762">
        <w:rPr>
          <w:rFonts w:asciiTheme="majorBidi" w:hAnsiTheme="majorBidi" w:cstheme="majorBidi"/>
          <w:lang w:val="de-DE"/>
        </w:rPr>
        <w:t xml:space="preserve"> </w:t>
      </w:r>
      <w:proofErr w:type="spellStart"/>
      <w:r w:rsidR="000B2482" w:rsidRPr="00C91762">
        <w:rPr>
          <w:rFonts w:asciiTheme="majorBidi" w:hAnsiTheme="majorBidi" w:cstheme="majorBidi"/>
          <w:lang w:val="de-DE"/>
        </w:rPr>
        <w:t>to</w:t>
      </w:r>
      <w:proofErr w:type="spellEnd"/>
      <w:r w:rsidR="000B2482" w:rsidRPr="00C91762">
        <w:rPr>
          <w:rFonts w:asciiTheme="majorBidi" w:hAnsiTheme="majorBidi" w:cstheme="majorBidi"/>
          <w:lang w:val="de-DE"/>
        </w:rPr>
        <w:t xml:space="preserve">, </w:t>
      </w:r>
      <w:proofErr w:type="spellStart"/>
      <w:r w:rsidR="000B2482" w:rsidRPr="00C91762">
        <w:rPr>
          <w:rFonts w:asciiTheme="majorBidi" w:hAnsiTheme="majorBidi" w:cstheme="majorBidi"/>
          <w:lang w:val="de-DE"/>
        </w:rPr>
        <w:t>ka</w:t>
      </w:r>
      <w:proofErr w:type="spellEnd"/>
      <w:r w:rsidR="00146330" w:rsidRPr="00C91762">
        <w:rPr>
          <w:rFonts w:asciiTheme="majorBidi" w:hAnsiTheme="majorBidi" w:cstheme="majorBidi"/>
          <w:lang w:val="de-DE"/>
        </w:rPr>
        <w:t xml:space="preserve">, ja Latvijas </w:t>
      </w:r>
      <w:proofErr w:type="spellStart"/>
      <w:r w:rsidR="00146330" w:rsidRPr="00C91762">
        <w:rPr>
          <w:rFonts w:asciiTheme="majorBidi" w:hAnsiTheme="majorBidi" w:cstheme="majorBidi"/>
          <w:lang w:val="de-DE"/>
        </w:rPr>
        <w:t>likums</w:t>
      </w:r>
      <w:proofErr w:type="spellEnd"/>
      <w:r w:rsidR="00146330" w:rsidRPr="00C91762">
        <w:rPr>
          <w:rFonts w:asciiTheme="majorBidi" w:hAnsiTheme="majorBidi" w:cstheme="majorBidi"/>
          <w:lang w:val="de-DE"/>
        </w:rPr>
        <w:t xml:space="preserve"> (</w:t>
      </w:r>
      <w:proofErr w:type="spellStart"/>
      <w:r w:rsidR="00146330" w:rsidRPr="00C91762">
        <w:rPr>
          <w:rFonts w:asciiTheme="majorBidi" w:hAnsiTheme="majorBidi" w:cstheme="majorBidi"/>
          <w:lang w:val="de-DE"/>
        </w:rPr>
        <w:t>piemēram</w:t>
      </w:r>
      <w:proofErr w:type="spellEnd"/>
      <w:r w:rsidR="00146330" w:rsidRPr="00C91762">
        <w:rPr>
          <w:rFonts w:asciiTheme="majorBidi" w:hAnsiTheme="majorBidi" w:cstheme="majorBidi"/>
          <w:lang w:val="de-DE"/>
        </w:rPr>
        <w:t xml:space="preserve">, </w:t>
      </w:r>
      <w:proofErr w:type="spellStart"/>
      <w:r w:rsidR="00146330" w:rsidRPr="00C91762">
        <w:rPr>
          <w:rFonts w:asciiTheme="majorBidi" w:hAnsiTheme="majorBidi" w:cstheme="majorBidi"/>
          <w:lang w:val="de-DE"/>
        </w:rPr>
        <w:t>Notariāta</w:t>
      </w:r>
      <w:proofErr w:type="spellEnd"/>
      <w:r w:rsidR="00146330" w:rsidRPr="00C91762">
        <w:rPr>
          <w:rFonts w:asciiTheme="majorBidi" w:hAnsiTheme="majorBidi" w:cstheme="majorBidi"/>
          <w:lang w:val="de-DE"/>
        </w:rPr>
        <w:t xml:space="preserve"> </w:t>
      </w:r>
      <w:proofErr w:type="spellStart"/>
      <w:r w:rsidR="00146330" w:rsidRPr="00C91762">
        <w:rPr>
          <w:rFonts w:asciiTheme="majorBidi" w:hAnsiTheme="majorBidi" w:cstheme="majorBidi"/>
          <w:lang w:val="de-DE"/>
        </w:rPr>
        <w:t>likums</w:t>
      </w:r>
      <w:proofErr w:type="spellEnd"/>
      <w:r w:rsidR="00146330" w:rsidRPr="00C91762">
        <w:rPr>
          <w:rFonts w:asciiTheme="majorBidi" w:hAnsiTheme="majorBidi" w:cstheme="majorBidi"/>
          <w:lang w:val="de-DE"/>
        </w:rPr>
        <w:t xml:space="preserve">) </w:t>
      </w:r>
      <w:proofErr w:type="spellStart"/>
      <w:r w:rsidR="00146330" w:rsidRPr="00C91762">
        <w:rPr>
          <w:rFonts w:asciiTheme="majorBidi" w:hAnsiTheme="majorBidi" w:cstheme="majorBidi"/>
          <w:lang w:val="de-DE"/>
        </w:rPr>
        <w:t>nosaka</w:t>
      </w:r>
      <w:proofErr w:type="spellEnd"/>
      <w:r w:rsidR="00146330" w:rsidRPr="00C91762">
        <w:rPr>
          <w:rFonts w:asciiTheme="majorBidi" w:hAnsiTheme="majorBidi" w:cstheme="majorBidi"/>
          <w:lang w:val="de-DE"/>
        </w:rPr>
        <w:t xml:space="preserve">, </w:t>
      </w:r>
      <w:proofErr w:type="spellStart"/>
      <w:r w:rsidR="00146330" w:rsidRPr="00C91762">
        <w:rPr>
          <w:rFonts w:asciiTheme="majorBidi" w:hAnsiTheme="majorBidi" w:cstheme="majorBidi"/>
          <w:lang w:val="de-DE"/>
        </w:rPr>
        <w:t>ka</w:t>
      </w:r>
      <w:proofErr w:type="spellEnd"/>
      <w:r w:rsidR="00146330" w:rsidRPr="00C91762">
        <w:rPr>
          <w:rFonts w:asciiTheme="majorBidi" w:hAnsiTheme="majorBidi" w:cstheme="majorBidi"/>
          <w:lang w:val="de-DE"/>
        </w:rPr>
        <w:t xml:space="preserve"> </w:t>
      </w:r>
      <w:proofErr w:type="spellStart"/>
      <w:r w:rsidR="00146330" w:rsidRPr="00C91762">
        <w:rPr>
          <w:rFonts w:asciiTheme="majorBidi" w:hAnsiTheme="majorBidi" w:cstheme="majorBidi"/>
          <w:lang w:val="de-DE"/>
        </w:rPr>
        <w:t>publiska</w:t>
      </w:r>
      <w:proofErr w:type="spellEnd"/>
      <w:r w:rsidR="00146330" w:rsidRPr="00C91762">
        <w:rPr>
          <w:rFonts w:asciiTheme="majorBidi" w:hAnsiTheme="majorBidi" w:cstheme="majorBidi"/>
          <w:lang w:val="de-DE"/>
        </w:rPr>
        <w:t xml:space="preserve"> </w:t>
      </w:r>
      <w:proofErr w:type="spellStart"/>
      <w:r w:rsidR="00146330" w:rsidRPr="00C91762">
        <w:rPr>
          <w:rFonts w:asciiTheme="majorBidi" w:hAnsiTheme="majorBidi" w:cstheme="majorBidi"/>
          <w:lang w:val="de-DE"/>
        </w:rPr>
        <w:t>dokumenta</w:t>
      </w:r>
      <w:proofErr w:type="spellEnd"/>
      <w:r w:rsidR="00146330" w:rsidRPr="00C91762">
        <w:rPr>
          <w:rFonts w:asciiTheme="majorBidi" w:hAnsiTheme="majorBidi" w:cstheme="majorBidi"/>
          <w:lang w:val="de-DE"/>
        </w:rPr>
        <w:t xml:space="preserve"> </w:t>
      </w:r>
      <w:proofErr w:type="spellStart"/>
      <w:r w:rsidR="00146330" w:rsidRPr="00C91762">
        <w:rPr>
          <w:rFonts w:asciiTheme="majorBidi" w:hAnsiTheme="majorBidi" w:cstheme="majorBidi"/>
          <w:lang w:val="de-DE"/>
        </w:rPr>
        <w:t>sastādīšanā</w:t>
      </w:r>
      <w:proofErr w:type="spellEnd"/>
      <w:r w:rsidR="00146330" w:rsidRPr="00C91762">
        <w:rPr>
          <w:rFonts w:asciiTheme="majorBidi" w:hAnsiTheme="majorBidi" w:cstheme="majorBidi"/>
          <w:lang w:val="de-DE"/>
        </w:rPr>
        <w:t xml:space="preserve"> </w:t>
      </w:r>
      <w:proofErr w:type="spellStart"/>
      <w:r w:rsidR="00146330" w:rsidRPr="00C91762">
        <w:rPr>
          <w:rFonts w:asciiTheme="majorBidi" w:hAnsiTheme="majorBidi" w:cstheme="majorBidi"/>
          <w:lang w:val="de-DE"/>
        </w:rPr>
        <w:t>jābūt</w:t>
      </w:r>
      <w:proofErr w:type="spellEnd"/>
      <w:r w:rsidR="00146330" w:rsidRPr="00C91762">
        <w:rPr>
          <w:rFonts w:asciiTheme="majorBidi" w:hAnsiTheme="majorBidi" w:cstheme="majorBidi"/>
          <w:lang w:val="de-DE"/>
        </w:rPr>
        <w:t xml:space="preserve"> </w:t>
      </w:r>
      <w:proofErr w:type="spellStart"/>
      <w:r w:rsidR="00146330" w:rsidRPr="00C91762">
        <w:rPr>
          <w:rFonts w:asciiTheme="majorBidi" w:hAnsiTheme="majorBidi" w:cstheme="majorBidi"/>
          <w:lang w:val="de-DE"/>
        </w:rPr>
        <w:t>klātesošai</w:t>
      </w:r>
      <w:proofErr w:type="spellEnd"/>
      <w:r w:rsidR="00146330" w:rsidRPr="00C91762">
        <w:rPr>
          <w:rFonts w:asciiTheme="majorBidi" w:hAnsiTheme="majorBidi" w:cstheme="majorBidi"/>
          <w:lang w:val="de-DE"/>
        </w:rPr>
        <w:t xml:space="preserve"> </w:t>
      </w:r>
      <w:proofErr w:type="spellStart"/>
      <w:r w:rsidR="00146330" w:rsidRPr="00C91762">
        <w:rPr>
          <w:rFonts w:asciiTheme="majorBidi" w:hAnsiTheme="majorBidi" w:cstheme="majorBidi"/>
          <w:lang w:val="de-DE"/>
        </w:rPr>
        <w:t>notāra</w:t>
      </w:r>
      <w:proofErr w:type="spellEnd"/>
      <w:r w:rsidR="00146330" w:rsidRPr="00C91762">
        <w:rPr>
          <w:rFonts w:asciiTheme="majorBidi" w:hAnsiTheme="majorBidi" w:cstheme="majorBidi"/>
          <w:lang w:val="de-DE"/>
        </w:rPr>
        <w:t xml:space="preserve"> </w:t>
      </w:r>
      <w:proofErr w:type="spellStart"/>
      <w:r w:rsidR="00146330" w:rsidRPr="00C91762">
        <w:rPr>
          <w:rFonts w:asciiTheme="majorBidi" w:hAnsiTheme="majorBidi" w:cstheme="majorBidi"/>
          <w:lang w:val="de-DE"/>
        </w:rPr>
        <w:t>darbībai</w:t>
      </w:r>
      <w:proofErr w:type="spellEnd"/>
      <w:r w:rsidR="00146330" w:rsidRPr="00C91762">
        <w:rPr>
          <w:rFonts w:asciiTheme="majorBidi" w:hAnsiTheme="majorBidi" w:cstheme="majorBidi"/>
          <w:lang w:val="de-DE"/>
        </w:rPr>
        <w:t xml:space="preserve"> (</w:t>
      </w:r>
      <w:proofErr w:type="spellStart"/>
      <w:r w:rsidR="00146330" w:rsidRPr="00C91762">
        <w:rPr>
          <w:rFonts w:asciiTheme="majorBidi" w:hAnsiTheme="majorBidi" w:cstheme="majorBidi"/>
          <w:lang w:val="de-DE"/>
        </w:rPr>
        <w:t>piemēram</w:t>
      </w:r>
      <w:proofErr w:type="spellEnd"/>
      <w:r w:rsidR="00146330" w:rsidRPr="00C91762">
        <w:rPr>
          <w:rFonts w:asciiTheme="majorBidi" w:hAnsiTheme="majorBidi" w:cstheme="majorBidi"/>
          <w:lang w:val="de-DE"/>
        </w:rPr>
        <w:t xml:space="preserve">, </w:t>
      </w:r>
      <w:proofErr w:type="spellStart"/>
      <w:r w:rsidR="00146330" w:rsidRPr="00C91762">
        <w:rPr>
          <w:rFonts w:asciiTheme="majorBidi" w:hAnsiTheme="majorBidi" w:cstheme="majorBidi"/>
          <w:lang w:val="de-DE"/>
        </w:rPr>
        <w:t>taisot</w:t>
      </w:r>
      <w:proofErr w:type="spellEnd"/>
      <w:r w:rsidR="00146330" w:rsidRPr="00C91762">
        <w:rPr>
          <w:rFonts w:asciiTheme="majorBidi" w:hAnsiTheme="majorBidi" w:cstheme="majorBidi"/>
          <w:lang w:val="de-DE"/>
        </w:rPr>
        <w:t xml:space="preserve"> </w:t>
      </w:r>
      <w:proofErr w:type="spellStart"/>
      <w:r w:rsidR="00146330" w:rsidRPr="00C91762">
        <w:rPr>
          <w:rFonts w:asciiTheme="majorBidi" w:hAnsiTheme="majorBidi" w:cstheme="majorBidi"/>
          <w:lang w:val="de-DE"/>
        </w:rPr>
        <w:t>dokumentu</w:t>
      </w:r>
      <w:proofErr w:type="spellEnd"/>
      <w:r w:rsidR="00146330" w:rsidRPr="00C91762">
        <w:rPr>
          <w:rFonts w:asciiTheme="majorBidi" w:hAnsiTheme="majorBidi" w:cstheme="majorBidi"/>
          <w:lang w:val="de-DE"/>
        </w:rPr>
        <w:t xml:space="preserve"> </w:t>
      </w:r>
      <w:proofErr w:type="spellStart"/>
      <w:r w:rsidR="00146330" w:rsidRPr="00C91762">
        <w:rPr>
          <w:rFonts w:asciiTheme="majorBidi" w:hAnsiTheme="majorBidi" w:cstheme="majorBidi"/>
          <w:lang w:val="de-DE"/>
        </w:rPr>
        <w:t>kā</w:t>
      </w:r>
      <w:proofErr w:type="spellEnd"/>
      <w:r w:rsidR="00146330" w:rsidRPr="00C91762">
        <w:rPr>
          <w:rFonts w:asciiTheme="majorBidi" w:hAnsiTheme="majorBidi" w:cstheme="majorBidi"/>
          <w:lang w:val="de-DE"/>
        </w:rPr>
        <w:t xml:space="preserve"> </w:t>
      </w:r>
      <w:proofErr w:type="spellStart"/>
      <w:r w:rsidR="00146330" w:rsidRPr="00C91762">
        <w:rPr>
          <w:rFonts w:asciiTheme="majorBidi" w:hAnsiTheme="majorBidi" w:cstheme="majorBidi"/>
          <w:lang w:val="de-DE"/>
        </w:rPr>
        <w:t>notariālo</w:t>
      </w:r>
      <w:proofErr w:type="spellEnd"/>
      <w:r w:rsidR="00146330" w:rsidRPr="00C91762">
        <w:rPr>
          <w:rFonts w:asciiTheme="majorBidi" w:hAnsiTheme="majorBidi" w:cstheme="majorBidi"/>
          <w:lang w:val="de-DE"/>
        </w:rPr>
        <w:t xml:space="preserve"> </w:t>
      </w:r>
      <w:proofErr w:type="spellStart"/>
      <w:r w:rsidR="00146330" w:rsidRPr="00C91762">
        <w:rPr>
          <w:rFonts w:asciiTheme="majorBidi" w:hAnsiTheme="majorBidi" w:cstheme="majorBidi"/>
          <w:lang w:val="de-DE"/>
        </w:rPr>
        <w:t>aktu</w:t>
      </w:r>
      <w:proofErr w:type="spellEnd"/>
      <w:r w:rsidR="00146330" w:rsidRPr="00C91762">
        <w:rPr>
          <w:rFonts w:asciiTheme="majorBidi" w:hAnsiTheme="majorBidi" w:cstheme="majorBidi"/>
          <w:lang w:val="de-DE"/>
        </w:rPr>
        <w:t xml:space="preserve">) </w:t>
      </w:r>
      <w:proofErr w:type="spellStart"/>
      <w:r w:rsidR="00146330" w:rsidRPr="00C91762">
        <w:rPr>
          <w:rFonts w:asciiTheme="majorBidi" w:hAnsiTheme="majorBidi" w:cstheme="majorBidi"/>
          <w:lang w:val="de-DE"/>
        </w:rPr>
        <w:t>un</w:t>
      </w:r>
      <w:proofErr w:type="spellEnd"/>
      <w:r w:rsidR="00146330" w:rsidRPr="00C91762">
        <w:rPr>
          <w:rFonts w:asciiTheme="majorBidi" w:hAnsiTheme="majorBidi" w:cstheme="majorBidi"/>
          <w:lang w:val="de-DE"/>
        </w:rPr>
        <w:t xml:space="preserve"> </w:t>
      </w:r>
      <w:proofErr w:type="spellStart"/>
      <w:r w:rsidR="00146330" w:rsidRPr="00C91762">
        <w:rPr>
          <w:rFonts w:asciiTheme="majorBidi" w:hAnsiTheme="majorBidi" w:cstheme="majorBidi"/>
          <w:lang w:val="de-DE"/>
        </w:rPr>
        <w:t>ārvalsts</w:t>
      </w:r>
      <w:proofErr w:type="spellEnd"/>
      <w:r w:rsidR="00146330" w:rsidRPr="00C91762">
        <w:rPr>
          <w:rFonts w:asciiTheme="majorBidi" w:hAnsiTheme="majorBidi" w:cstheme="majorBidi"/>
          <w:lang w:val="de-DE"/>
        </w:rPr>
        <w:t xml:space="preserve"> </w:t>
      </w:r>
      <w:proofErr w:type="spellStart"/>
      <w:r w:rsidR="00146330" w:rsidRPr="00C91762">
        <w:rPr>
          <w:rFonts w:asciiTheme="majorBidi" w:hAnsiTheme="majorBidi" w:cstheme="majorBidi"/>
          <w:lang w:val="de-DE"/>
        </w:rPr>
        <w:t>dokumenta</w:t>
      </w:r>
      <w:proofErr w:type="spellEnd"/>
      <w:r w:rsidR="00146330" w:rsidRPr="00C91762">
        <w:rPr>
          <w:rFonts w:asciiTheme="majorBidi" w:hAnsiTheme="majorBidi" w:cstheme="majorBidi"/>
          <w:lang w:val="de-DE"/>
        </w:rPr>
        <w:t xml:space="preserve"> </w:t>
      </w:r>
      <w:proofErr w:type="spellStart"/>
      <w:r w:rsidR="00146330" w:rsidRPr="00C91762">
        <w:rPr>
          <w:rFonts w:asciiTheme="majorBidi" w:hAnsiTheme="majorBidi" w:cstheme="majorBidi"/>
          <w:lang w:val="de-DE"/>
        </w:rPr>
        <w:t>sastādīšanā</w:t>
      </w:r>
      <w:proofErr w:type="spellEnd"/>
      <w:r w:rsidR="00146330" w:rsidRPr="00C91762">
        <w:rPr>
          <w:rFonts w:asciiTheme="majorBidi" w:hAnsiTheme="majorBidi" w:cstheme="majorBidi"/>
          <w:lang w:val="de-DE"/>
        </w:rPr>
        <w:t xml:space="preserve"> </w:t>
      </w:r>
      <w:proofErr w:type="spellStart"/>
      <w:r w:rsidR="00146330" w:rsidRPr="00C91762">
        <w:rPr>
          <w:rFonts w:asciiTheme="majorBidi" w:hAnsiTheme="majorBidi" w:cstheme="majorBidi"/>
          <w:lang w:val="de-DE"/>
        </w:rPr>
        <w:t>piedalījies</w:t>
      </w:r>
      <w:proofErr w:type="spellEnd"/>
      <w:r w:rsidR="00146330" w:rsidRPr="00C91762">
        <w:rPr>
          <w:rFonts w:asciiTheme="majorBidi" w:hAnsiTheme="majorBidi" w:cstheme="majorBidi"/>
          <w:lang w:val="de-DE"/>
        </w:rPr>
        <w:t xml:space="preserve"> </w:t>
      </w:r>
      <w:proofErr w:type="spellStart"/>
      <w:r w:rsidR="00146330" w:rsidRPr="00C91762">
        <w:rPr>
          <w:rFonts w:asciiTheme="majorBidi" w:hAnsiTheme="majorBidi" w:cstheme="majorBidi"/>
          <w:lang w:val="de-DE"/>
        </w:rPr>
        <w:t>ārvalsts</w:t>
      </w:r>
      <w:proofErr w:type="spellEnd"/>
      <w:r w:rsidR="00146330" w:rsidRPr="00C91762">
        <w:rPr>
          <w:rFonts w:asciiTheme="majorBidi" w:hAnsiTheme="majorBidi" w:cstheme="majorBidi"/>
          <w:lang w:val="de-DE"/>
        </w:rPr>
        <w:t xml:space="preserve"> „</w:t>
      </w:r>
      <w:proofErr w:type="spellStart"/>
      <w:r w:rsidR="00146330" w:rsidRPr="00C91762">
        <w:rPr>
          <w:rFonts w:asciiTheme="majorBidi" w:hAnsiTheme="majorBidi" w:cstheme="majorBidi"/>
          <w:lang w:val="de-DE"/>
        </w:rPr>
        <w:t>notārs</w:t>
      </w:r>
      <w:proofErr w:type="spellEnd"/>
      <w:r w:rsidR="00146330" w:rsidRPr="00C91762">
        <w:rPr>
          <w:rFonts w:asciiTheme="majorBidi" w:hAnsiTheme="majorBidi" w:cstheme="majorBidi"/>
          <w:lang w:val="de-DE"/>
        </w:rPr>
        <w:t xml:space="preserve">“, </w:t>
      </w:r>
      <w:proofErr w:type="spellStart"/>
      <w:r w:rsidR="00146330" w:rsidRPr="00C91762">
        <w:rPr>
          <w:rFonts w:asciiTheme="majorBidi" w:hAnsiTheme="majorBidi" w:cstheme="majorBidi"/>
          <w:lang w:val="de-DE"/>
        </w:rPr>
        <w:t>tad</w:t>
      </w:r>
      <w:proofErr w:type="spellEnd"/>
      <w:r w:rsidR="00146330" w:rsidRPr="00C91762">
        <w:rPr>
          <w:rFonts w:asciiTheme="majorBidi" w:hAnsiTheme="majorBidi" w:cstheme="majorBidi"/>
          <w:lang w:val="de-DE"/>
        </w:rPr>
        <w:t xml:space="preserve"> </w:t>
      </w:r>
      <w:proofErr w:type="spellStart"/>
      <w:r w:rsidR="00146330" w:rsidRPr="00C91762">
        <w:rPr>
          <w:rFonts w:asciiTheme="majorBidi" w:hAnsiTheme="majorBidi" w:cstheme="majorBidi"/>
          <w:lang w:val="de-DE"/>
        </w:rPr>
        <w:t>jāpārbauda</w:t>
      </w:r>
      <w:proofErr w:type="spellEnd"/>
      <w:r w:rsidR="00146330" w:rsidRPr="00C91762">
        <w:rPr>
          <w:rFonts w:asciiTheme="majorBidi" w:hAnsiTheme="majorBidi" w:cstheme="majorBidi"/>
          <w:lang w:val="de-DE"/>
        </w:rPr>
        <w:t xml:space="preserve">, </w:t>
      </w:r>
      <w:proofErr w:type="spellStart"/>
      <w:r w:rsidR="00146330" w:rsidRPr="00C91762">
        <w:rPr>
          <w:rFonts w:asciiTheme="majorBidi" w:hAnsiTheme="majorBidi" w:cstheme="majorBidi"/>
          <w:lang w:val="de-DE"/>
        </w:rPr>
        <w:t>vai</w:t>
      </w:r>
      <w:proofErr w:type="spellEnd"/>
      <w:r w:rsidR="00146330" w:rsidRPr="00C91762">
        <w:rPr>
          <w:rFonts w:asciiTheme="majorBidi" w:hAnsiTheme="majorBidi" w:cstheme="majorBidi"/>
          <w:lang w:val="de-DE"/>
        </w:rPr>
        <w:t xml:space="preserve"> </w:t>
      </w:r>
      <w:proofErr w:type="spellStart"/>
      <w:r w:rsidR="00146330" w:rsidRPr="00C91762">
        <w:rPr>
          <w:rFonts w:asciiTheme="majorBidi" w:hAnsiTheme="majorBidi" w:cstheme="majorBidi"/>
          <w:lang w:val="de-DE"/>
        </w:rPr>
        <w:t>šis</w:t>
      </w:r>
      <w:proofErr w:type="spellEnd"/>
      <w:r w:rsidR="00146330" w:rsidRPr="00C91762">
        <w:rPr>
          <w:rFonts w:asciiTheme="majorBidi" w:hAnsiTheme="majorBidi" w:cstheme="majorBidi"/>
          <w:lang w:val="de-DE"/>
        </w:rPr>
        <w:t xml:space="preserve"> </w:t>
      </w:r>
      <w:proofErr w:type="spellStart"/>
      <w:r w:rsidR="00146330" w:rsidRPr="00C91762">
        <w:rPr>
          <w:rFonts w:asciiTheme="majorBidi" w:hAnsiTheme="majorBidi" w:cstheme="majorBidi"/>
          <w:lang w:val="de-DE"/>
        </w:rPr>
        <w:t>ārvalsts</w:t>
      </w:r>
      <w:proofErr w:type="spellEnd"/>
      <w:r w:rsidR="00146330" w:rsidRPr="00C91762">
        <w:rPr>
          <w:rFonts w:asciiTheme="majorBidi" w:hAnsiTheme="majorBidi" w:cstheme="majorBidi"/>
          <w:lang w:val="de-DE"/>
        </w:rPr>
        <w:t xml:space="preserve"> „</w:t>
      </w:r>
      <w:proofErr w:type="spellStart"/>
      <w:r w:rsidR="00146330" w:rsidRPr="00C91762">
        <w:rPr>
          <w:rFonts w:asciiTheme="majorBidi" w:hAnsiTheme="majorBidi" w:cstheme="majorBidi"/>
          <w:lang w:val="de-DE"/>
        </w:rPr>
        <w:t>notārs</w:t>
      </w:r>
      <w:proofErr w:type="spellEnd"/>
      <w:r w:rsidR="00146330" w:rsidRPr="00C91762">
        <w:rPr>
          <w:rFonts w:asciiTheme="majorBidi" w:hAnsiTheme="majorBidi" w:cstheme="majorBidi"/>
          <w:lang w:val="de-DE"/>
        </w:rPr>
        <w:t xml:space="preserve">“ </w:t>
      </w:r>
      <w:proofErr w:type="spellStart"/>
      <w:r w:rsidR="00146330" w:rsidRPr="00C91762">
        <w:rPr>
          <w:rFonts w:asciiTheme="majorBidi" w:hAnsiTheme="majorBidi" w:cstheme="majorBidi"/>
          <w:lang w:val="de-DE"/>
        </w:rPr>
        <w:t>pēc</w:t>
      </w:r>
      <w:proofErr w:type="spellEnd"/>
      <w:r w:rsidR="00146330" w:rsidRPr="00C91762">
        <w:rPr>
          <w:rFonts w:asciiTheme="majorBidi" w:hAnsiTheme="majorBidi" w:cstheme="majorBidi"/>
          <w:lang w:val="de-DE"/>
        </w:rPr>
        <w:t xml:space="preserve"> </w:t>
      </w:r>
      <w:proofErr w:type="spellStart"/>
      <w:r w:rsidR="00146330" w:rsidRPr="00C91762">
        <w:rPr>
          <w:rFonts w:asciiTheme="majorBidi" w:hAnsiTheme="majorBidi" w:cstheme="majorBidi"/>
          <w:lang w:val="de-DE"/>
        </w:rPr>
        <w:t>izglītības</w:t>
      </w:r>
      <w:proofErr w:type="spellEnd"/>
      <w:r w:rsidR="00146330" w:rsidRPr="00C91762">
        <w:rPr>
          <w:rFonts w:asciiTheme="majorBidi" w:hAnsiTheme="majorBidi" w:cstheme="majorBidi"/>
          <w:lang w:val="de-DE"/>
        </w:rPr>
        <w:t xml:space="preserve"> </w:t>
      </w:r>
      <w:proofErr w:type="spellStart"/>
      <w:r w:rsidR="00146330" w:rsidRPr="00C91762">
        <w:rPr>
          <w:rFonts w:asciiTheme="majorBidi" w:hAnsiTheme="majorBidi" w:cstheme="majorBidi"/>
          <w:lang w:val="de-DE"/>
        </w:rPr>
        <w:t>un</w:t>
      </w:r>
      <w:proofErr w:type="spellEnd"/>
      <w:r w:rsidR="00146330" w:rsidRPr="00C91762">
        <w:rPr>
          <w:rFonts w:asciiTheme="majorBidi" w:hAnsiTheme="majorBidi" w:cstheme="majorBidi"/>
          <w:lang w:val="de-DE"/>
        </w:rPr>
        <w:t xml:space="preserve"> </w:t>
      </w:r>
      <w:proofErr w:type="spellStart"/>
      <w:r w:rsidR="00146330" w:rsidRPr="00C91762">
        <w:rPr>
          <w:rFonts w:asciiTheme="majorBidi" w:hAnsiTheme="majorBidi" w:cstheme="majorBidi"/>
          <w:lang w:val="de-DE"/>
        </w:rPr>
        <w:t>ieņemamā</w:t>
      </w:r>
      <w:proofErr w:type="spellEnd"/>
      <w:r w:rsidR="00146330" w:rsidRPr="00C91762">
        <w:rPr>
          <w:rFonts w:asciiTheme="majorBidi" w:hAnsiTheme="majorBidi" w:cstheme="majorBidi"/>
          <w:lang w:val="de-DE"/>
        </w:rPr>
        <w:t xml:space="preserve"> </w:t>
      </w:r>
      <w:proofErr w:type="spellStart"/>
      <w:r w:rsidR="00146330" w:rsidRPr="00C91762">
        <w:rPr>
          <w:rFonts w:asciiTheme="majorBidi" w:hAnsiTheme="majorBidi" w:cstheme="majorBidi"/>
          <w:lang w:val="de-DE"/>
        </w:rPr>
        <w:t>amata</w:t>
      </w:r>
      <w:proofErr w:type="spellEnd"/>
      <w:r w:rsidR="00146330" w:rsidRPr="00C91762">
        <w:rPr>
          <w:rFonts w:asciiTheme="majorBidi" w:hAnsiTheme="majorBidi" w:cstheme="majorBidi"/>
          <w:lang w:val="de-DE"/>
        </w:rPr>
        <w:t xml:space="preserve"> </w:t>
      </w:r>
      <w:proofErr w:type="spellStart"/>
      <w:r w:rsidR="00146330" w:rsidRPr="00C91762">
        <w:rPr>
          <w:rFonts w:asciiTheme="majorBidi" w:hAnsiTheme="majorBidi" w:cstheme="majorBidi"/>
          <w:lang w:val="de-DE"/>
        </w:rPr>
        <w:t>savā</w:t>
      </w:r>
      <w:proofErr w:type="spellEnd"/>
      <w:r w:rsidR="00146330" w:rsidRPr="00C91762">
        <w:rPr>
          <w:rFonts w:asciiTheme="majorBidi" w:hAnsiTheme="majorBidi" w:cstheme="majorBidi"/>
          <w:lang w:val="de-DE"/>
        </w:rPr>
        <w:t xml:space="preserve"> </w:t>
      </w:r>
      <w:proofErr w:type="spellStart"/>
      <w:r w:rsidR="00146330" w:rsidRPr="00C91762">
        <w:rPr>
          <w:rFonts w:asciiTheme="majorBidi" w:hAnsiTheme="majorBidi" w:cstheme="majorBidi"/>
          <w:lang w:val="de-DE"/>
        </w:rPr>
        <w:t>valstī</w:t>
      </w:r>
      <w:proofErr w:type="spellEnd"/>
      <w:r w:rsidR="00146330" w:rsidRPr="00C91762">
        <w:rPr>
          <w:rFonts w:asciiTheme="majorBidi" w:hAnsiTheme="majorBidi" w:cstheme="majorBidi"/>
          <w:lang w:val="de-DE"/>
        </w:rPr>
        <w:t xml:space="preserve"> </w:t>
      </w:r>
      <w:proofErr w:type="spellStart"/>
      <w:r w:rsidR="00146330" w:rsidRPr="00C91762">
        <w:rPr>
          <w:rFonts w:asciiTheme="majorBidi" w:hAnsiTheme="majorBidi" w:cstheme="majorBidi"/>
          <w:lang w:val="de-DE"/>
        </w:rPr>
        <w:t>veic</w:t>
      </w:r>
      <w:proofErr w:type="spellEnd"/>
      <w:r w:rsidR="00146330" w:rsidRPr="00C91762">
        <w:rPr>
          <w:rFonts w:asciiTheme="majorBidi" w:hAnsiTheme="majorBidi" w:cstheme="majorBidi"/>
          <w:lang w:val="de-DE"/>
        </w:rPr>
        <w:t xml:space="preserve"> Latvijas </w:t>
      </w:r>
      <w:proofErr w:type="spellStart"/>
      <w:r w:rsidR="00146330" w:rsidRPr="00C91762">
        <w:rPr>
          <w:rFonts w:asciiTheme="majorBidi" w:hAnsiTheme="majorBidi" w:cstheme="majorBidi"/>
          <w:lang w:val="de-DE"/>
        </w:rPr>
        <w:t>zvērinātiem</w:t>
      </w:r>
      <w:proofErr w:type="spellEnd"/>
      <w:r w:rsidR="00146330" w:rsidRPr="00C91762">
        <w:rPr>
          <w:rFonts w:asciiTheme="majorBidi" w:hAnsiTheme="majorBidi" w:cstheme="majorBidi"/>
          <w:lang w:val="de-DE"/>
        </w:rPr>
        <w:t xml:space="preserve"> </w:t>
      </w:r>
      <w:proofErr w:type="spellStart"/>
      <w:r w:rsidR="00146330" w:rsidRPr="00C91762">
        <w:rPr>
          <w:rFonts w:asciiTheme="majorBidi" w:hAnsiTheme="majorBidi" w:cstheme="majorBidi"/>
          <w:lang w:val="de-DE"/>
        </w:rPr>
        <w:t>notāriem</w:t>
      </w:r>
      <w:proofErr w:type="spellEnd"/>
      <w:r w:rsidR="00146330" w:rsidRPr="00C91762">
        <w:rPr>
          <w:rFonts w:asciiTheme="majorBidi" w:hAnsiTheme="majorBidi" w:cstheme="majorBidi"/>
          <w:lang w:val="de-DE"/>
        </w:rPr>
        <w:t xml:space="preserve"> </w:t>
      </w:r>
      <w:proofErr w:type="spellStart"/>
      <w:r w:rsidR="00146330" w:rsidRPr="00C91762">
        <w:rPr>
          <w:rFonts w:asciiTheme="majorBidi" w:hAnsiTheme="majorBidi" w:cstheme="majorBidi"/>
          <w:lang w:val="de-DE"/>
        </w:rPr>
        <w:t>atbilstošas</w:t>
      </w:r>
      <w:proofErr w:type="spellEnd"/>
      <w:r w:rsidR="00146330" w:rsidRPr="00C91762">
        <w:rPr>
          <w:rFonts w:asciiTheme="majorBidi" w:hAnsiTheme="majorBidi" w:cstheme="majorBidi"/>
          <w:lang w:val="de-DE"/>
        </w:rPr>
        <w:t xml:space="preserve"> (</w:t>
      </w:r>
      <w:proofErr w:type="spellStart"/>
      <w:r w:rsidR="00146330" w:rsidRPr="00C91762">
        <w:rPr>
          <w:rFonts w:asciiTheme="majorBidi" w:hAnsiTheme="majorBidi" w:cstheme="majorBidi"/>
          <w:lang w:val="de-DE"/>
        </w:rPr>
        <w:t>vai</w:t>
      </w:r>
      <w:proofErr w:type="spellEnd"/>
      <w:r w:rsidR="00146330" w:rsidRPr="00C91762">
        <w:rPr>
          <w:rFonts w:asciiTheme="majorBidi" w:hAnsiTheme="majorBidi" w:cstheme="majorBidi"/>
          <w:lang w:val="de-DE"/>
        </w:rPr>
        <w:t xml:space="preserve"> </w:t>
      </w:r>
      <w:proofErr w:type="spellStart"/>
      <w:r w:rsidR="00146330" w:rsidRPr="00C91762">
        <w:rPr>
          <w:rFonts w:asciiTheme="majorBidi" w:hAnsiTheme="majorBidi" w:cstheme="majorBidi"/>
          <w:lang w:val="de-DE"/>
        </w:rPr>
        <w:t>līdzīgas</w:t>
      </w:r>
      <w:proofErr w:type="spellEnd"/>
      <w:r w:rsidR="00146330" w:rsidRPr="00C91762">
        <w:rPr>
          <w:rFonts w:asciiTheme="majorBidi" w:hAnsiTheme="majorBidi" w:cstheme="majorBidi"/>
          <w:lang w:val="de-DE"/>
        </w:rPr>
        <w:t xml:space="preserve">) </w:t>
      </w:r>
      <w:proofErr w:type="spellStart"/>
      <w:r w:rsidR="00146330" w:rsidRPr="00C91762">
        <w:rPr>
          <w:rFonts w:asciiTheme="majorBidi" w:hAnsiTheme="majorBidi" w:cstheme="majorBidi"/>
          <w:lang w:val="de-DE"/>
        </w:rPr>
        <w:t>funkcijas</w:t>
      </w:r>
      <w:proofErr w:type="spellEnd"/>
      <w:r w:rsidR="00146330" w:rsidRPr="00C91762">
        <w:rPr>
          <w:rFonts w:asciiTheme="majorBidi" w:hAnsiTheme="majorBidi" w:cstheme="majorBidi"/>
          <w:lang w:val="de-DE"/>
        </w:rPr>
        <w:t xml:space="preserve"> </w:t>
      </w:r>
      <w:proofErr w:type="spellStart"/>
      <w:r w:rsidR="00146330" w:rsidRPr="00C91762">
        <w:rPr>
          <w:rFonts w:asciiTheme="majorBidi" w:hAnsiTheme="majorBidi" w:cstheme="majorBidi"/>
          <w:lang w:val="de-DE"/>
        </w:rPr>
        <w:t>un</w:t>
      </w:r>
      <w:proofErr w:type="spellEnd"/>
      <w:r w:rsidR="00146330" w:rsidRPr="00C91762">
        <w:rPr>
          <w:rFonts w:asciiTheme="majorBidi" w:hAnsiTheme="majorBidi" w:cstheme="majorBidi"/>
          <w:lang w:val="de-DE"/>
        </w:rPr>
        <w:t xml:space="preserve"> </w:t>
      </w:r>
      <w:proofErr w:type="spellStart"/>
      <w:r w:rsidR="00146330" w:rsidRPr="00C91762">
        <w:rPr>
          <w:rFonts w:asciiTheme="majorBidi" w:hAnsiTheme="majorBidi" w:cstheme="majorBidi"/>
          <w:lang w:val="de-DE"/>
        </w:rPr>
        <w:t>dokumenta</w:t>
      </w:r>
      <w:proofErr w:type="spellEnd"/>
      <w:r w:rsidR="00146330" w:rsidRPr="00C91762">
        <w:rPr>
          <w:rFonts w:asciiTheme="majorBidi" w:hAnsiTheme="majorBidi" w:cstheme="majorBidi"/>
          <w:lang w:val="de-DE"/>
        </w:rPr>
        <w:t xml:space="preserve"> </w:t>
      </w:r>
      <w:proofErr w:type="spellStart"/>
      <w:r w:rsidR="00146330" w:rsidRPr="00C91762">
        <w:rPr>
          <w:rFonts w:asciiTheme="majorBidi" w:hAnsiTheme="majorBidi" w:cstheme="majorBidi"/>
          <w:lang w:val="de-DE"/>
        </w:rPr>
        <w:t>izdošanā</w:t>
      </w:r>
      <w:proofErr w:type="spellEnd"/>
      <w:r w:rsidR="00146330" w:rsidRPr="00C91762">
        <w:rPr>
          <w:rFonts w:asciiTheme="majorBidi" w:hAnsiTheme="majorBidi" w:cstheme="majorBidi"/>
          <w:lang w:val="de-DE"/>
        </w:rPr>
        <w:t xml:space="preserve"> </w:t>
      </w:r>
      <w:proofErr w:type="spellStart"/>
      <w:r w:rsidR="00146330" w:rsidRPr="00C91762">
        <w:rPr>
          <w:rFonts w:asciiTheme="majorBidi" w:hAnsiTheme="majorBidi" w:cstheme="majorBidi"/>
          <w:lang w:val="de-DE"/>
        </w:rPr>
        <w:t>lielos</w:t>
      </w:r>
      <w:proofErr w:type="spellEnd"/>
      <w:r w:rsidR="00146330" w:rsidRPr="00C91762">
        <w:rPr>
          <w:rFonts w:asciiTheme="majorBidi" w:hAnsiTheme="majorBidi" w:cstheme="majorBidi"/>
          <w:lang w:val="de-DE"/>
        </w:rPr>
        <w:t xml:space="preserve"> </w:t>
      </w:r>
      <w:proofErr w:type="spellStart"/>
      <w:r w:rsidR="00146330" w:rsidRPr="00C91762">
        <w:rPr>
          <w:rFonts w:asciiTheme="majorBidi" w:hAnsiTheme="majorBidi" w:cstheme="majorBidi"/>
          <w:lang w:val="de-DE"/>
        </w:rPr>
        <w:t>vilcienos</w:t>
      </w:r>
      <w:proofErr w:type="spellEnd"/>
      <w:r w:rsidR="00146330" w:rsidRPr="00C91762">
        <w:rPr>
          <w:rFonts w:asciiTheme="majorBidi" w:hAnsiTheme="majorBidi" w:cstheme="majorBidi"/>
          <w:lang w:val="de-DE"/>
        </w:rPr>
        <w:t xml:space="preserve"> </w:t>
      </w:r>
      <w:proofErr w:type="spellStart"/>
      <w:r w:rsidR="00146330" w:rsidRPr="00C91762">
        <w:rPr>
          <w:rFonts w:asciiTheme="majorBidi" w:hAnsiTheme="majorBidi" w:cstheme="majorBidi"/>
          <w:lang w:val="de-DE"/>
        </w:rPr>
        <w:t>ievēro</w:t>
      </w:r>
      <w:proofErr w:type="spellEnd"/>
      <w:r w:rsidR="00146330" w:rsidRPr="00C91762">
        <w:rPr>
          <w:rFonts w:asciiTheme="majorBidi" w:hAnsiTheme="majorBidi" w:cstheme="majorBidi"/>
          <w:lang w:val="de-DE"/>
        </w:rPr>
        <w:t xml:space="preserve"> </w:t>
      </w:r>
      <w:proofErr w:type="spellStart"/>
      <w:r w:rsidR="00146330" w:rsidRPr="00C91762">
        <w:rPr>
          <w:rFonts w:asciiTheme="majorBidi" w:hAnsiTheme="majorBidi" w:cstheme="majorBidi"/>
          <w:lang w:val="de-DE"/>
        </w:rPr>
        <w:t>tādas</w:t>
      </w:r>
      <w:proofErr w:type="spellEnd"/>
      <w:r w:rsidR="00146330" w:rsidRPr="00C91762">
        <w:rPr>
          <w:rFonts w:asciiTheme="majorBidi" w:hAnsiTheme="majorBidi" w:cstheme="majorBidi"/>
          <w:lang w:val="de-DE"/>
        </w:rPr>
        <w:t xml:space="preserve"> </w:t>
      </w:r>
      <w:proofErr w:type="spellStart"/>
      <w:r w:rsidR="00146330" w:rsidRPr="00C91762">
        <w:rPr>
          <w:rFonts w:asciiTheme="majorBidi" w:hAnsiTheme="majorBidi" w:cstheme="majorBidi"/>
          <w:lang w:val="de-DE"/>
        </w:rPr>
        <w:t>pašas</w:t>
      </w:r>
      <w:proofErr w:type="spellEnd"/>
      <w:r w:rsidR="00146330" w:rsidRPr="00C91762">
        <w:rPr>
          <w:rFonts w:asciiTheme="majorBidi" w:hAnsiTheme="majorBidi" w:cstheme="majorBidi"/>
          <w:lang w:val="de-DE"/>
        </w:rPr>
        <w:t xml:space="preserve"> (</w:t>
      </w:r>
      <w:proofErr w:type="spellStart"/>
      <w:r w:rsidR="00146330" w:rsidRPr="00C91762">
        <w:rPr>
          <w:rFonts w:asciiTheme="majorBidi" w:hAnsiTheme="majorBidi" w:cstheme="majorBidi"/>
          <w:lang w:val="de-DE"/>
        </w:rPr>
        <w:t>vai</w:t>
      </w:r>
      <w:proofErr w:type="spellEnd"/>
      <w:r w:rsidR="00146330" w:rsidRPr="00C91762">
        <w:rPr>
          <w:rFonts w:asciiTheme="majorBidi" w:hAnsiTheme="majorBidi" w:cstheme="majorBidi"/>
          <w:lang w:val="de-DE"/>
        </w:rPr>
        <w:t xml:space="preserve"> </w:t>
      </w:r>
      <w:proofErr w:type="spellStart"/>
      <w:r w:rsidR="00146330" w:rsidRPr="00C91762">
        <w:rPr>
          <w:rFonts w:asciiTheme="majorBidi" w:hAnsiTheme="majorBidi" w:cstheme="majorBidi"/>
          <w:lang w:val="de-DE"/>
        </w:rPr>
        <w:t>ļoti</w:t>
      </w:r>
      <w:proofErr w:type="spellEnd"/>
      <w:r w:rsidR="00146330" w:rsidRPr="00C91762">
        <w:rPr>
          <w:rFonts w:asciiTheme="majorBidi" w:hAnsiTheme="majorBidi" w:cstheme="majorBidi"/>
          <w:lang w:val="de-DE"/>
        </w:rPr>
        <w:t xml:space="preserve"> </w:t>
      </w:r>
      <w:proofErr w:type="spellStart"/>
      <w:r w:rsidR="00146330" w:rsidRPr="00C91762">
        <w:rPr>
          <w:rFonts w:asciiTheme="majorBidi" w:hAnsiTheme="majorBidi" w:cstheme="majorBidi"/>
          <w:lang w:val="de-DE"/>
        </w:rPr>
        <w:t>līdzīgas</w:t>
      </w:r>
      <w:proofErr w:type="spellEnd"/>
      <w:r w:rsidR="00146330" w:rsidRPr="00C91762">
        <w:rPr>
          <w:rFonts w:asciiTheme="majorBidi" w:hAnsiTheme="majorBidi" w:cstheme="majorBidi"/>
          <w:lang w:val="de-DE"/>
        </w:rPr>
        <w:t xml:space="preserve">) </w:t>
      </w:r>
      <w:proofErr w:type="spellStart"/>
      <w:r w:rsidR="00146330" w:rsidRPr="00C91762">
        <w:rPr>
          <w:rFonts w:asciiTheme="majorBidi" w:hAnsiTheme="majorBidi" w:cstheme="majorBidi"/>
          <w:lang w:val="de-DE"/>
        </w:rPr>
        <w:t>procesuālās</w:t>
      </w:r>
      <w:proofErr w:type="spellEnd"/>
      <w:r w:rsidR="00146330" w:rsidRPr="00C91762">
        <w:rPr>
          <w:rFonts w:asciiTheme="majorBidi" w:hAnsiTheme="majorBidi" w:cstheme="majorBidi"/>
          <w:lang w:val="de-DE"/>
        </w:rPr>
        <w:t xml:space="preserve"> </w:t>
      </w:r>
      <w:proofErr w:type="spellStart"/>
      <w:r w:rsidR="00146330" w:rsidRPr="00C91762">
        <w:rPr>
          <w:rFonts w:asciiTheme="majorBidi" w:hAnsiTheme="majorBidi" w:cstheme="majorBidi"/>
          <w:lang w:val="de-DE"/>
        </w:rPr>
        <w:t>pamatnostādnes</w:t>
      </w:r>
      <w:proofErr w:type="spellEnd"/>
      <w:r w:rsidR="00146330" w:rsidRPr="00C91762">
        <w:rPr>
          <w:rFonts w:asciiTheme="majorBidi" w:hAnsiTheme="majorBidi" w:cstheme="majorBidi"/>
          <w:lang w:val="de-DE"/>
        </w:rPr>
        <w:t xml:space="preserve">, </w:t>
      </w:r>
      <w:proofErr w:type="spellStart"/>
      <w:r w:rsidR="00146330" w:rsidRPr="00C91762">
        <w:rPr>
          <w:rFonts w:asciiTheme="majorBidi" w:hAnsiTheme="majorBidi" w:cstheme="majorBidi"/>
          <w:lang w:val="de-DE"/>
        </w:rPr>
        <w:t>kā</w:t>
      </w:r>
      <w:proofErr w:type="spellEnd"/>
      <w:r w:rsidR="00146330" w:rsidRPr="00C91762">
        <w:rPr>
          <w:rFonts w:asciiTheme="majorBidi" w:hAnsiTheme="majorBidi" w:cstheme="majorBidi"/>
          <w:lang w:val="de-DE"/>
        </w:rPr>
        <w:t xml:space="preserve"> Latvijas </w:t>
      </w:r>
      <w:proofErr w:type="spellStart"/>
      <w:r w:rsidR="00146330" w:rsidRPr="00C91762">
        <w:rPr>
          <w:rFonts w:asciiTheme="majorBidi" w:hAnsiTheme="majorBidi" w:cstheme="majorBidi"/>
          <w:lang w:val="de-DE"/>
        </w:rPr>
        <w:t>zvērināti</w:t>
      </w:r>
      <w:proofErr w:type="spellEnd"/>
      <w:r w:rsidR="00146330" w:rsidRPr="00C91762">
        <w:rPr>
          <w:rFonts w:asciiTheme="majorBidi" w:hAnsiTheme="majorBidi" w:cstheme="majorBidi"/>
          <w:lang w:val="de-DE"/>
        </w:rPr>
        <w:t xml:space="preserve"> </w:t>
      </w:r>
      <w:proofErr w:type="spellStart"/>
      <w:r w:rsidR="00146330" w:rsidRPr="00C91762">
        <w:rPr>
          <w:rFonts w:asciiTheme="majorBidi" w:hAnsiTheme="majorBidi" w:cstheme="majorBidi"/>
          <w:lang w:val="de-DE"/>
        </w:rPr>
        <w:t>notāri</w:t>
      </w:r>
      <w:proofErr w:type="spellEnd"/>
      <w:r w:rsidR="00146330" w:rsidRPr="00C91762">
        <w:rPr>
          <w:rFonts w:asciiTheme="majorBidi" w:hAnsiTheme="majorBidi" w:cstheme="majorBidi"/>
          <w:lang w:val="de-DE"/>
        </w:rPr>
        <w:t>.</w:t>
      </w:r>
      <w:r w:rsidR="00146330" w:rsidRPr="00C91762">
        <w:rPr>
          <w:rStyle w:val="FootnoteReference"/>
          <w:rFonts w:asciiTheme="majorBidi" w:hAnsiTheme="majorBidi" w:cstheme="majorBidi"/>
          <w:lang w:val="de-DE"/>
        </w:rPr>
        <w:footnoteReference w:id="115"/>
      </w:r>
    </w:p>
    <w:p w14:paraId="567DA175" w14:textId="77777777" w:rsidR="00146330" w:rsidRPr="00C91762" w:rsidRDefault="00146330" w:rsidP="00114953">
      <w:pPr>
        <w:jc w:val="both"/>
        <w:rPr>
          <w:rFonts w:asciiTheme="majorBidi" w:hAnsiTheme="majorBidi" w:cstheme="majorBidi"/>
          <w:lang w:val="de-DE"/>
        </w:rPr>
      </w:pPr>
    </w:p>
    <w:p w14:paraId="3E1C110E" w14:textId="0904C8F2" w:rsidR="00146330" w:rsidRPr="00C91762" w:rsidRDefault="00146330" w:rsidP="003B0C82">
      <w:pPr>
        <w:ind w:firstLine="708"/>
        <w:jc w:val="both"/>
        <w:rPr>
          <w:rFonts w:asciiTheme="majorBidi" w:hAnsiTheme="majorBidi" w:cstheme="majorBidi"/>
          <w:lang w:val="de-DE"/>
        </w:rPr>
      </w:pPr>
      <w:proofErr w:type="spellStart"/>
      <w:r w:rsidRPr="00C91762">
        <w:rPr>
          <w:rFonts w:asciiTheme="majorBidi" w:hAnsiTheme="majorBidi" w:cstheme="majorBidi"/>
          <w:lang w:val="de-DE"/>
        </w:rPr>
        <w:t>Lī</w:t>
      </w:r>
      <w:r w:rsidR="0043629E" w:rsidRPr="00C91762">
        <w:rPr>
          <w:rFonts w:asciiTheme="majorBidi" w:hAnsiTheme="majorBidi" w:cstheme="majorBidi"/>
          <w:lang w:val="de-DE"/>
        </w:rPr>
        <w:t>dz</w:t>
      </w:r>
      <w:proofErr w:type="spellEnd"/>
      <w:r w:rsidR="0043629E" w:rsidRPr="00C91762">
        <w:rPr>
          <w:rFonts w:asciiTheme="majorBidi" w:hAnsiTheme="majorBidi" w:cstheme="majorBidi"/>
          <w:lang w:val="de-DE"/>
        </w:rPr>
        <w:t xml:space="preserve"> </w:t>
      </w:r>
      <w:proofErr w:type="spellStart"/>
      <w:r w:rsidR="0043629E" w:rsidRPr="00C91762">
        <w:rPr>
          <w:rFonts w:asciiTheme="majorBidi" w:hAnsiTheme="majorBidi" w:cstheme="majorBidi"/>
          <w:lang w:val="de-DE"/>
        </w:rPr>
        <w:t>ar</w:t>
      </w:r>
      <w:proofErr w:type="spellEnd"/>
      <w:r w:rsidR="0043629E" w:rsidRPr="00C91762">
        <w:rPr>
          <w:rFonts w:asciiTheme="majorBidi" w:hAnsiTheme="majorBidi" w:cstheme="majorBidi"/>
          <w:lang w:val="de-DE"/>
        </w:rPr>
        <w:t xml:space="preserve"> </w:t>
      </w:r>
      <w:proofErr w:type="spellStart"/>
      <w:r w:rsidR="0043629E" w:rsidRPr="00C91762">
        <w:rPr>
          <w:rFonts w:asciiTheme="majorBidi" w:hAnsiTheme="majorBidi" w:cstheme="majorBidi"/>
          <w:lang w:val="de-DE"/>
        </w:rPr>
        <w:t>to</w:t>
      </w:r>
      <w:proofErr w:type="spellEnd"/>
      <w:r w:rsidR="0043629E" w:rsidRPr="00C91762">
        <w:rPr>
          <w:rFonts w:asciiTheme="majorBidi" w:hAnsiTheme="majorBidi" w:cstheme="majorBidi"/>
          <w:lang w:val="de-DE"/>
        </w:rPr>
        <w:t xml:space="preserve"> </w:t>
      </w:r>
      <w:proofErr w:type="spellStart"/>
      <w:r w:rsidR="0043629E" w:rsidRPr="00C91762">
        <w:rPr>
          <w:rFonts w:asciiTheme="majorBidi" w:hAnsiTheme="majorBidi" w:cstheme="majorBidi"/>
          <w:lang w:val="de-DE"/>
        </w:rPr>
        <w:t>ir</w:t>
      </w:r>
      <w:proofErr w:type="spellEnd"/>
      <w:r w:rsidR="0043629E" w:rsidRPr="00C91762">
        <w:rPr>
          <w:rFonts w:asciiTheme="majorBidi" w:hAnsiTheme="majorBidi" w:cstheme="majorBidi"/>
          <w:lang w:val="de-DE"/>
        </w:rPr>
        <w:t xml:space="preserve"> </w:t>
      </w:r>
      <w:proofErr w:type="spellStart"/>
      <w:r w:rsidR="0043629E" w:rsidRPr="00C91762">
        <w:rPr>
          <w:rFonts w:asciiTheme="majorBidi" w:hAnsiTheme="majorBidi" w:cstheme="majorBidi"/>
          <w:lang w:val="de-DE"/>
        </w:rPr>
        <w:t>jāpārliecinās</w:t>
      </w:r>
      <w:proofErr w:type="spellEnd"/>
      <w:r w:rsidR="0043629E" w:rsidRPr="00C91762">
        <w:rPr>
          <w:rFonts w:asciiTheme="majorBidi" w:hAnsiTheme="majorBidi" w:cstheme="majorBidi"/>
          <w:lang w:val="de-DE"/>
        </w:rPr>
        <w:t xml:space="preserve">, </w:t>
      </w:r>
      <w:proofErr w:type="spellStart"/>
      <w:r w:rsidR="0043629E" w:rsidRPr="00C91762">
        <w:rPr>
          <w:rFonts w:asciiTheme="majorBidi" w:hAnsiTheme="majorBidi" w:cstheme="majorBidi"/>
          <w:lang w:val="de-DE"/>
        </w:rPr>
        <w:t>vai</w:t>
      </w:r>
      <w:proofErr w:type="spellEnd"/>
      <w:r w:rsidR="0043629E" w:rsidRPr="00C91762">
        <w:rPr>
          <w:rFonts w:asciiTheme="majorBidi" w:hAnsiTheme="majorBidi" w:cstheme="majorBidi"/>
          <w:lang w:val="de-DE"/>
        </w:rPr>
        <w:t xml:space="preserve"> </w:t>
      </w:r>
      <w:proofErr w:type="spellStart"/>
      <w:r w:rsidR="0043629E" w:rsidRPr="00C91762">
        <w:rPr>
          <w:rFonts w:asciiTheme="majorBidi" w:hAnsiTheme="majorBidi" w:cstheme="majorBidi"/>
          <w:lang w:val="de-DE"/>
        </w:rPr>
        <w:t>šāds</w:t>
      </w:r>
      <w:proofErr w:type="spellEnd"/>
      <w:r w:rsidR="0043629E" w:rsidRPr="00C91762">
        <w:rPr>
          <w:rFonts w:asciiTheme="majorBidi" w:hAnsiTheme="majorBidi" w:cstheme="majorBidi"/>
          <w:lang w:val="de-DE"/>
        </w:rPr>
        <w:t xml:space="preserve"> </w:t>
      </w:r>
      <w:proofErr w:type="spellStart"/>
      <w:r w:rsidR="0043629E" w:rsidRPr="00C91762">
        <w:rPr>
          <w:rFonts w:asciiTheme="majorBidi" w:hAnsiTheme="majorBidi" w:cstheme="majorBidi"/>
          <w:lang w:val="de-DE"/>
        </w:rPr>
        <w:t>ārvalsts</w:t>
      </w:r>
      <w:proofErr w:type="spellEnd"/>
      <w:r w:rsidR="0043629E" w:rsidRPr="00C91762">
        <w:rPr>
          <w:rFonts w:asciiTheme="majorBidi" w:hAnsiTheme="majorBidi" w:cstheme="majorBidi"/>
          <w:lang w:val="de-DE"/>
        </w:rPr>
        <w:t xml:space="preserve"> </w:t>
      </w:r>
      <w:proofErr w:type="spellStart"/>
      <w:r w:rsidR="0043629E" w:rsidRPr="00C91762">
        <w:rPr>
          <w:rFonts w:asciiTheme="majorBidi" w:hAnsiTheme="majorBidi" w:cstheme="majorBidi"/>
          <w:lang w:val="de-DE"/>
        </w:rPr>
        <w:t>dokuments</w:t>
      </w:r>
      <w:proofErr w:type="spellEnd"/>
      <w:r w:rsidR="0043629E" w:rsidRPr="00C91762">
        <w:rPr>
          <w:rFonts w:asciiTheme="majorBidi" w:hAnsiTheme="majorBidi" w:cstheme="majorBidi"/>
          <w:lang w:val="de-DE"/>
        </w:rPr>
        <w:t xml:space="preserve"> </w:t>
      </w:r>
      <w:proofErr w:type="spellStart"/>
      <w:r w:rsidR="0043629E" w:rsidRPr="00C91762">
        <w:rPr>
          <w:rFonts w:asciiTheme="majorBidi" w:hAnsiTheme="majorBidi" w:cstheme="majorBidi"/>
          <w:lang w:val="de-DE"/>
        </w:rPr>
        <w:t>nodrošina</w:t>
      </w:r>
      <w:proofErr w:type="spellEnd"/>
      <w:r w:rsidR="0043629E" w:rsidRPr="00C91762">
        <w:rPr>
          <w:rFonts w:asciiTheme="majorBidi" w:hAnsiTheme="majorBidi" w:cstheme="majorBidi"/>
          <w:lang w:val="de-DE"/>
        </w:rPr>
        <w:t xml:space="preserve"> </w:t>
      </w:r>
      <w:proofErr w:type="spellStart"/>
      <w:r w:rsidR="0043629E" w:rsidRPr="00C91762">
        <w:rPr>
          <w:rFonts w:asciiTheme="majorBidi" w:hAnsiTheme="majorBidi" w:cstheme="majorBidi"/>
          <w:lang w:val="de-DE"/>
        </w:rPr>
        <w:t>tādas</w:t>
      </w:r>
      <w:proofErr w:type="spellEnd"/>
      <w:r w:rsidR="0043629E" w:rsidRPr="00C91762">
        <w:rPr>
          <w:rFonts w:asciiTheme="majorBidi" w:hAnsiTheme="majorBidi" w:cstheme="majorBidi"/>
          <w:lang w:val="de-DE"/>
        </w:rPr>
        <w:t xml:space="preserve"> </w:t>
      </w:r>
      <w:proofErr w:type="spellStart"/>
      <w:r w:rsidR="0043629E" w:rsidRPr="00C91762">
        <w:rPr>
          <w:rFonts w:asciiTheme="majorBidi" w:hAnsiTheme="majorBidi" w:cstheme="majorBidi"/>
          <w:lang w:val="de-DE"/>
        </w:rPr>
        <w:t>pašas</w:t>
      </w:r>
      <w:proofErr w:type="spellEnd"/>
      <w:r w:rsidR="0043629E" w:rsidRPr="00C91762">
        <w:rPr>
          <w:rFonts w:asciiTheme="majorBidi" w:hAnsiTheme="majorBidi" w:cstheme="majorBidi"/>
          <w:lang w:val="de-DE"/>
        </w:rPr>
        <w:t xml:space="preserve"> </w:t>
      </w:r>
      <w:proofErr w:type="spellStart"/>
      <w:r w:rsidR="0043629E" w:rsidRPr="00C91762">
        <w:rPr>
          <w:rFonts w:asciiTheme="majorBidi" w:hAnsiTheme="majorBidi" w:cstheme="majorBidi"/>
          <w:lang w:val="de-DE"/>
        </w:rPr>
        <w:t>tiesiskās</w:t>
      </w:r>
      <w:proofErr w:type="spellEnd"/>
      <w:r w:rsidR="0043629E" w:rsidRPr="00C91762">
        <w:rPr>
          <w:rFonts w:asciiTheme="majorBidi" w:hAnsiTheme="majorBidi" w:cstheme="majorBidi"/>
          <w:lang w:val="de-DE"/>
        </w:rPr>
        <w:t xml:space="preserve"> </w:t>
      </w:r>
      <w:proofErr w:type="spellStart"/>
      <w:r w:rsidR="0043629E" w:rsidRPr="00C91762">
        <w:rPr>
          <w:rFonts w:asciiTheme="majorBidi" w:hAnsiTheme="majorBidi" w:cstheme="majorBidi"/>
          <w:lang w:val="de-DE"/>
        </w:rPr>
        <w:t>aizsardzības</w:t>
      </w:r>
      <w:proofErr w:type="spellEnd"/>
      <w:r w:rsidR="0043629E" w:rsidRPr="00C91762">
        <w:rPr>
          <w:rFonts w:asciiTheme="majorBidi" w:hAnsiTheme="majorBidi" w:cstheme="majorBidi"/>
          <w:lang w:val="de-DE"/>
        </w:rPr>
        <w:t xml:space="preserve"> </w:t>
      </w:r>
      <w:proofErr w:type="spellStart"/>
      <w:r w:rsidR="0043629E" w:rsidRPr="00C91762">
        <w:rPr>
          <w:rFonts w:asciiTheme="majorBidi" w:hAnsiTheme="majorBidi" w:cstheme="majorBidi"/>
          <w:lang w:val="de-DE"/>
        </w:rPr>
        <w:t>garantijas</w:t>
      </w:r>
      <w:proofErr w:type="spellEnd"/>
      <w:r w:rsidR="0043629E" w:rsidRPr="00C91762">
        <w:rPr>
          <w:rFonts w:asciiTheme="majorBidi" w:hAnsiTheme="majorBidi" w:cstheme="majorBidi"/>
          <w:lang w:val="de-DE"/>
        </w:rPr>
        <w:t xml:space="preserve">, </w:t>
      </w:r>
      <w:proofErr w:type="spellStart"/>
      <w:r w:rsidR="0043629E" w:rsidRPr="00C91762">
        <w:rPr>
          <w:rFonts w:asciiTheme="majorBidi" w:hAnsiTheme="majorBidi" w:cstheme="majorBidi"/>
          <w:lang w:val="de-DE"/>
        </w:rPr>
        <w:t>kādas</w:t>
      </w:r>
      <w:proofErr w:type="spellEnd"/>
      <w:r w:rsidR="0043629E" w:rsidRPr="00C91762">
        <w:rPr>
          <w:rFonts w:asciiTheme="majorBidi" w:hAnsiTheme="majorBidi" w:cstheme="majorBidi"/>
          <w:lang w:val="de-DE"/>
        </w:rPr>
        <w:t xml:space="preserve"> </w:t>
      </w:r>
      <w:proofErr w:type="spellStart"/>
      <w:r w:rsidR="0043629E" w:rsidRPr="00C91762">
        <w:rPr>
          <w:rFonts w:asciiTheme="majorBidi" w:hAnsiTheme="majorBidi" w:cstheme="majorBidi"/>
          <w:lang w:val="de-DE"/>
        </w:rPr>
        <w:t>tiek</w:t>
      </w:r>
      <w:proofErr w:type="spellEnd"/>
      <w:r w:rsidR="0043629E" w:rsidRPr="00C91762">
        <w:rPr>
          <w:rFonts w:asciiTheme="majorBidi" w:hAnsiTheme="majorBidi" w:cstheme="majorBidi"/>
          <w:lang w:val="de-DE"/>
        </w:rPr>
        <w:t xml:space="preserve"> </w:t>
      </w:r>
      <w:proofErr w:type="spellStart"/>
      <w:r w:rsidR="0043629E" w:rsidRPr="00C91762">
        <w:rPr>
          <w:rFonts w:asciiTheme="majorBidi" w:hAnsiTheme="majorBidi" w:cstheme="majorBidi"/>
          <w:lang w:val="de-DE"/>
        </w:rPr>
        <w:t>prasītas</w:t>
      </w:r>
      <w:proofErr w:type="spellEnd"/>
      <w:r w:rsidR="0043629E" w:rsidRPr="00C91762">
        <w:rPr>
          <w:rFonts w:asciiTheme="majorBidi" w:hAnsiTheme="majorBidi" w:cstheme="majorBidi"/>
          <w:lang w:val="de-DE"/>
        </w:rPr>
        <w:t xml:space="preserve"> „</w:t>
      </w:r>
      <w:proofErr w:type="spellStart"/>
      <w:r w:rsidR="0043629E" w:rsidRPr="00C91762">
        <w:rPr>
          <w:rFonts w:asciiTheme="majorBidi" w:hAnsiTheme="majorBidi" w:cstheme="majorBidi"/>
          <w:lang w:val="de-DE"/>
        </w:rPr>
        <w:t>publiskam</w:t>
      </w:r>
      <w:proofErr w:type="spellEnd"/>
      <w:r w:rsidR="0043629E" w:rsidRPr="00C91762">
        <w:rPr>
          <w:rFonts w:asciiTheme="majorBidi" w:hAnsiTheme="majorBidi" w:cstheme="majorBidi"/>
          <w:lang w:val="de-DE"/>
        </w:rPr>
        <w:t xml:space="preserve"> </w:t>
      </w:r>
      <w:proofErr w:type="spellStart"/>
      <w:r w:rsidR="0043629E" w:rsidRPr="00C91762">
        <w:rPr>
          <w:rFonts w:asciiTheme="majorBidi" w:hAnsiTheme="majorBidi" w:cstheme="majorBidi"/>
          <w:lang w:val="de-DE"/>
        </w:rPr>
        <w:t>dokumentam</w:t>
      </w:r>
      <w:proofErr w:type="spellEnd"/>
      <w:r w:rsidR="0043629E" w:rsidRPr="00C91762">
        <w:rPr>
          <w:rFonts w:asciiTheme="majorBidi" w:hAnsiTheme="majorBidi" w:cstheme="majorBidi"/>
          <w:lang w:val="de-DE"/>
        </w:rPr>
        <w:t xml:space="preserve">“ </w:t>
      </w:r>
      <w:proofErr w:type="spellStart"/>
      <w:r w:rsidR="0043629E" w:rsidRPr="00C91762">
        <w:rPr>
          <w:rFonts w:asciiTheme="majorBidi" w:hAnsiTheme="majorBidi" w:cstheme="majorBidi"/>
          <w:lang w:val="de-DE"/>
        </w:rPr>
        <w:t>Notariāta</w:t>
      </w:r>
      <w:proofErr w:type="spellEnd"/>
      <w:r w:rsidR="0043629E" w:rsidRPr="00C91762">
        <w:rPr>
          <w:rFonts w:asciiTheme="majorBidi" w:hAnsiTheme="majorBidi" w:cstheme="majorBidi"/>
          <w:lang w:val="de-DE"/>
        </w:rPr>
        <w:t xml:space="preserve"> </w:t>
      </w:r>
      <w:proofErr w:type="spellStart"/>
      <w:r w:rsidR="0043629E" w:rsidRPr="00C91762">
        <w:rPr>
          <w:rFonts w:asciiTheme="majorBidi" w:hAnsiTheme="majorBidi" w:cstheme="majorBidi"/>
          <w:lang w:val="de-DE"/>
        </w:rPr>
        <w:t>likumā</w:t>
      </w:r>
      <w:proofErr w:type="spellEnd"/>
      <w:r w:rsidR="0043629E" w:rsidRPr="00C91762">
        <w:rPr>
          <w:rFonts w:asciiTheme="majorBidi" w:hAnsiTheme="majorBidi" w:cstheme="majorBidi"/>
          <w:lang w:val="de-DE"/>
        </w:rPr>
        <w:t>.</w:t>
      </w:r>
      <w:r w:rsidR="0043629E" w:rsidRPr="00C91762">
        <w:rPr>
          <w:rStyle w:val="FootnoteReference"/>
          <w:rFonts w:asciiTheme="majorBidi" w:hAnsiTheme="majorBidi" w:cstheme="majorBidi"/>
          <w:lang w:val="de-DE"/>
        </w:rPr>
        <w:footnoteReference w:id="116"/>
      </w:r>
      <w:r w:rsidR="0043629E" w:rsidRPr="00C91762">
        <w:rPr>
          <w:rFonts w:asciiTheme="majorBidi" w:hAnsiTheme="majorBidi" w:cstheme="majorBidi"/>
          <w:lang w:val="de-DE"/>
        </w:rPr>
        <w:t xml:space="preserve"> </w:t>
      </w:r>
      <w:proofErr w:type="spellStart"/>
      <w:r w:rsidR="0043629E" w:rsidRPr="00C91762">
        <w:rPr>
          <w:rFonts w:asciiTheme="majorBidi" w:hAnsiTheme="majorBidi" w:cstheme="majorBidi"/>
          <w:lang w:val="de-DE"/>
        </w:rPr>
        <w:t>Tieši</w:t>
      </w:r>
      <w:proofErr w:type="spellEnd"/>
      <w:r w:rsidR="0043629E" w:rsidRPr="00C91762">
        <w:rPr>
          <w:rFonts w:asciiTheme="majorBidi" w:hAnsiTheme="majorBidi" w:cstheme="majorBidi"/>
          <w:lang w:val="de-DE"/>
        </w:rPr>
        <w:t xml:space="preserve"> Latvijas </w:t>
      </w:r>
      <w:proofErr w:type="spellStart"/>
      <w:r w:rsidR="0043629E" w:rsidRPr="00C91762">
        <w:rPr>
          <w:rFonts w:asciiTheme="majorBidi" w:hAnsiTheme="majorBidi" w:cstheme="majorBidi"/>
          <w:lang w:val="de-DE"/>
        </w:rPr>
        <w:t>Notariāta</w:t>
      </w:r>
      <w:proofErr w:type="spellEnd"/>
      <w:r w:rsidR="0043629E" w:rsidRPr="00C91762">
        <w:rPr>
          <w:rFonts w:asciiTheme="majorBidi" w:hAnsiTheme="majorBidi" w:cstheme="majorBidi"/>
          <w:lang w:val="de-DE"/>
        </w:rPr>
        <w:t xml:space="preserve"> </w:t>
      </w:r>
      <w:proofErr w:type="spellStart"/>
      <w:r w:rsidR="0043629E" w:rsidRPr="00C91762">
        <w:rPr>
          <w:rFonts w:asciiTheme="majorBidi" w:hAnsiTheme="majorBidi" w:cstheme="majorBidi"/>
          <w:lang w:val="de-DE"/>
        </w:rPr>
        <w:t>likuma</w:t>
      </w:r>
      <w:proofErr w:type="spellEnd"/>
      <w:r w:rsidR="0043629E" w:rsidRPr="00C91762">
        <w:rPr>
          <w:rFonts w:asciiTheme="majorBidi" w:hAnsiTheme="majorBidi" w:cstheme="majorBidi"/>
          <w:lang w:val="de-DE"/>
        </w:rPr>
        <w:t xml:space="preserve"> </w:t>
      </w:r>
      <w:proofErr w:type="spellStart"/>
      <w:r w:rsidR="0043629E" w:rsidRPr="00C91762">
        <w:rPr>
          <w:rFonts w:asciiTheme="majorBidi" w:hAnsiTheme="majorBidi" w:cstheme="majorBidi"/>
          <w:lang w:val="de-DE"/>
        </w:rPr>
        <w:t>normas</w:t>
      </w:r>
      <w:proofErr w:type="spellEnd"/>
      <w:r w:rsidR="004D1E51" w:rsidRPr="00C91762">
        <w:rPr>
          <w:rFonts w:asciiTheme="majorBidi" w:hAnsiTheme="majorBidi" w:cstheme="majorBidi"/>
          <w:lang w:val="de-DE"/>
        </w:rPr>
        <w:t xml:space="preserve"> par „</w:t>
      </w:r>
      <w:proofErr w:type="spellStart"/>
      <w:r w:rsidR="004D1E51" w:rsidRPr="00C91762">
        <w:rPr>
          <w:rFonts w:asciiTheme="majorBidi" w:hAnsiTheme="majorBidi" w:cstheme="majorBidi"/>
          <w:lang w:val="de-DE"/>
        </w:rPr>
        <w:t>publiskiem</w:t>
      </w:r>
      <w:proofErr w:type="spellEnd"/>
      <w:r w:rsidR="004D1E51" w:rsidRPr="00C91762">
        <w:rPr>
          <w:rFonts w:asciiTheme="majorBidi" w:hAnsiTheme="majorBidi" w:cstheme="majorBidi"/>
          <w:lang w:val="de-DE"/>
        </w:rPr>
        <w:t xml:space="preserve"> </w:t>
      </w:r>
      <w:proofErr w:type="spellStart"/>
      <w:r w:rsidR="004D1E51" w:rsidRPr="00C91762">
        <w:rPr>
          <w:rFonts w:asciiTheme="majorBidi" w:hAnsiTheme="majorBidi" w:cstheme="majorBidi"/>
          <w:lang w:val="de-DE"/>
        </w:rPr>
        <w:t>dokumentiem</w:t>
      </w:r>
      <w:proofErr w:type="spellEnd"/>
      <w:r w:rsidR="004D1E51" w:rsidRPr="00C91762">
        <w:rPr>
          <w:rFonts w:asciiTheme="majorBidi" w:hAnsiTheme="majorBidi" w:cstheme="majorBidi"/>
          <w:lang w:val="de-DE"/>
        </w:rPr>
        <w:t xml:space="preserve">“ </w:t>
      </w:r>
      <w:proofErr w:type="spellStart"/>
      <w:r w:rsidR="004D1E51" w:rsidRPr="00C91762">
        <w:rPr>
          <w:rFonts w:asciiTheme="majorBidi" w:hAnsiTheme="majorBidi" w:cstheme="majorBidi"/>
          <w:lang w:val="de-DE"/>
        </w:rPr>
        <w:t>kalpos</w:t>
      </w:r>
      <w:proofErr w:type="spellEnd"/>
      <w:r w:rsidR="004D1E51" w:rsidRPr="00C91762">
        <w:rPr>
          <w:rFonts w:asciiTheme="majorBidi" w:hAnsiTheme="majorBidi" w:cstheme="majorBidi"/>
          <w:lang w:val="de-DE"/>
        </w:rPr>
        <w:t xml:space="preserve"> </w:t>
      </w:r>
      <w:proofErr w:type="spellStart"/>
      <w:r w:rsidR="004D1E51" w:rsidRPr="00C91762">
        <w:rPr>
          <w:rFonts w:asciiTheme="majorBidi" w:hAnsiTheme="majorBidi" w:cstheme="majorBidi"/>
          <w:lang w:val="de-DE"/>
        </w:rPr>
        <w:t>kā</w:t>
      </w:r>
      <w:proofErr w:type="spellEnd"/>
      <w:r w:rsidR="004D1E51" w:rsidRPr="00C91762">
        <w:rPr>
          <w:rFonts w:asciiTheme="majorBidi" w:hAnsiTheme="majorBidi" w:cstheme="majorBidi"/>
          <w:lang w:val="de-DE"/>
        </w:rPr>
        <w:t xml:space="preserve"> </w:t>
      </w:r>
      <w:proofErr w:type="spellStart"/>
      <w:r w:rsidR="004D1E51" w:rsidRPr="00C91762">
        <w:rPr>
          <w:rFonts w:asciiTheme="majorBidi" w:hAnsiTheme="majorBidi" w:cstheme="majorBidi"/>
          <w:lang w:val="de-DE"/>
        </w:rPr>
        <w:t>izejas</w:t>
      </w:r>
      <w:proofErr w:type="spellEnd"/>
      <w:r w:rsidR="004D1E51" w:rsidRPr="00C91762">
        <w:rPr>
          <w:rFonts w:asciiTheme="majorBidi" w:hAnsiTheme="majorBidi" w:cstheme="majorBidi"/>
          <w:lang w:val="de-DE"/>
        </w:rPr>
        <w:t xml:space="preserve"> </w:t>
      </w:r>
      <w:proofErr w:type="spellStart"/>
      <w:r w:rsidR="004D1E51" w:rsidRPr="00C91762">
        <w:rPr>
          <w:rFonts w:asciiTheme="majorBidi" w:hAnsiTheme="majorBidi" w:cstheme="majorBidi"/>
          <w:lang w:val="de-DE"/>
        </w:rPr>
        <w:t>punkts</w:t>
      </w:r>
      <w:proofErr w:type="spellEnd"/>
      <w:r w:rsidR="004D1E51" w:rsidRPr="00C91762">
        <w:rPr>
          <w:rFonts w:asciiTheme="majorBidi" w:hAnsiTheme="majorBidi" w:cstheme="majorBidi"/>
          <w:lang w:val="de-DE"/>
        </w:rPr>
        <w:t xml:space="preserve"> </w:t>
      </w:r>
      <w:proofErr w:type="spellStart"/>
      <w:r w:rsidR="004D1E51" w:rsidRPr="00C91762">
        <w:rPr>
          <w:rFonts w:asciiTheme="majorBidi" w:hAnsiTheme="majorBidi" w:cstheme="majorBidi"/>
          <w:lang w:val="de-DE"/>
        </w:rPr>
        <w:t>ekvivalences</w:t>
      </w:r>
      <w:proofErr w:type="spellEnd"/>
      <w:r w:rsidR="004D1E51" w:rsidRPr="00C91762">
        <w:rPr>
          <w:rFonts w:asciiTheme="majorBidi" w:hAnsiTheme="majorBidi" w:cstheme="majorBidi"/>
          <w:lang w:val="de-DE"/>
        </w:rPr>
        <w:t xml:space="preserve"> </w:t>
      </w:r>
      <w:proofErr w:type="spellStart"/>
      <w:r w:rsidR="004D1E51" w:rsidRPr="00C91762">
        <w:rPr>
          <w:rFonts w:asciiTheme="majorBidi" w:hAnsiTheme="majorBidi" w:cstheme="majorBidi"/>
          <w:lang w:val="de-DE"/>
        </w:rPr>
        <w:t>toerijas</w:t>
      </w:r>
      <w:proofErr w:type="spellEnd"/>
      <w:r w:rsidR="004D1E51" w:rsidRPr="00C91762">
        <w:rPr>
          <w:rFonts w:asciiTheme="majorBidi" w:hAnsiTheme="majorBidi" w:cstheme="majorBidi"/>
          <w:lang w:val="de-DE"/>
        </w:rPr>
        <w:t xml:space="preserve"> </w:t>
      </w:r>
      <w:proofErr w:type="spellStart"/>
      <w:r w:rsidR="004D1E51" w:rsidRPr="00C91762">
        <w:rPr>
          <w:rFonts w:asciiTheme="majorBidi" w:hAnsiTheme="majorBidi" w:cstheme="majorBidi"/>
          <w:lang w:val="de-DE"/>
        </w:rPr>
        <w:t>piemērošanā</w:t>
      </w:r>
      <w:proofErr w:type="spellEnd"/>
      <w:r w:rsidR="004D1E51" w:rsidRPr="00C91762">
        <w:rPr>
          <w:rFonts w:asciiTheme="majorBidi" w:hAnsiTheme="majorBidi" w:cstheme="majorBidi"/>
          <w:lang w:val="de-DE"/>
        </w:rPr>
        <w:t>.</w:t>
      </w:r>
      <w:r w:rsidR="004D1E51" w:rsidRPr="00C91762">
        <w:rPr>
          <w:rStyle w:val="FootnoteReference"/>
          <w:rFonts w:asciiTheme="majorBidi" w:hAnsiTheme="majorBidi" w:cstheme="majorBidi"/>
          <w:lang w:val="de-DE"/>
        </w:rPr>
        <w:footnoteReference w:id="117"/>
      </w:r>
    </w:p>
    <w:p w14:paraId="716D5425" w14:textId="77777777" w:rsidR="004D1E51" w:rsidRPr="00C91762" w:rsidRDefault="004D1E51" w:rsidP="00114953">
      <w:pPr>
        <w:jc w:val="both"/>
        <w:rPr>
          <w:rFonts w:asciiTheme="majorBidi" w:hAnsiTheme="majorBidi" w:cstheme="majorBidi"/>
          <w:lang w:val="de-DE"/>
        </w:rPr>
      </w:pPr>
    </w:p>
    <w:p w14:paraId="5C2D5D39" w14:textId="7CA56DAC" w:rsidR="004D1E51" w:rsidRPr="00C91762" w:rsidRDefault="004D1E51" w:rsidP="00114953">
      <w:pPr>
        <w:jc w:val="both"/>
        <w:rPr>
          <w:rFonts w:asciiTheme="majorBidi" w:hAnsiTheme="majorBidi" w:cstheme="majorBidi"/>
          <w:b/>
          <w:lang w:val="de-DE"/>
        </w:rPr>
      </w:pPr>
      <w:proofErr w:type="spellStart"/>
      <w:r w:rsidRPr="00C91762">
        <w:rPr>
          <w:rFonts w:asciiTheme="majorBidi" w:hAnsiTheme="majorBidi" w:cstheme="majorBidi"/>
          <w:b/>
          <w:lang w:val="de-DE"/>
        </w:rPr>
        <w:t>Kā</w:t>
      </w:r>
      <w:proofErr w:type="spellEnd"/>
      <w:r w:rsidRPr="00C91762">
        <w:rPr>
          <w:rFonts w:asciiTheme="majorBidi" w:hAnsiTheme="majorBidi" w:cstheme="majorBidi"/>
          <w:b/>
          <w:lang w:val="de-DE"/>
        </w:rPr>
        <w:t xml:space="preserve"> </w:t>
      </w:r>
      <w:proofErr w:type="spellStart"/>
      <w:r w:rsidRPr="00C91762">
        <w:rPr>
          <w:rFonts w:asciiTheme="majorBidi" w:hAnsiTheme="majorBidi" w:cstheme="majorBidi"/>
          <w:b/>
          <w:lang w:val="de-DE"/>
        </w:rPr>
        <w:t>izpaudīsies</w:t>
      </w:r>
      <w:proofErr w:type="spellEnd"/>
      <w:r w:rsidRPr="00C91762">
        <w:rPr>
          <w:rFonts w:asciiTheme="majorBidi" w:hAnsiTheme="majorBidi" w:cstheme="majorBidi"/>
          <w:b/>
          <w:lang w:val="de-DE"/>
        </w:rPr>
        <w:t xml:space="preserve"> </w:t>
      </w:r>
      <w:proofErr w:type="spellStart"/>
      <w:r w:rsidRPr="00C91762">
        <w:rPr>
          <w:rFonts w:asciiTheme="majorBidi" w:hAnsiTheme="majorBidi" w:cstheme="majorBidi"/>
          <w:b/>
          <w:lang w:val="de-DE"/>
        </w:rPr>
        <w:t>šīs</w:t>
      </w:r>
      <w:proofErr w:type="spellEnd"/>
      <w:r w:rsidRPr="00C91762">
        <w:rPr>
          <w:rFonts w:asciiTheme="majorBidi" w:hAnsiTheme="majorBidi" w:cstheme="majorBidi"/>
          <w:b/>
          <w:lang w:val="de-DE"/>
        </w:rPr>
        <w:t xml:space="preserve"> </w:t>
      </w:r>
      <w:proofErr w:type="spellStart"/>
      <w:r w:rsidRPr="00C91762">
        <w:rPr>
          <w:rFonts w:asciiTheme="majorBidi" w:hAnsiTheme="majorBidi" w:cstheme="majorBidi"/>
          <w:b/>
          <w:lang w:val="de-DE"/>
        </w:rPr>
        <w:t>metodes</w:t>
      </w:r>
      <w:proofErr w:type="spellEnd"/>
      <w:r w:rsidRPr="00C91762">
        <w:rPr>
          <w:rFonts w:asciiTheme="majorBidi" w:hAnsiTheme="majorBidi" w:cstheme="majorBidi"/>
          <w:b/>
          <w:lang w:val="de-DE"/>
        </w:rPr>
        <w:t xml:space="preserve"> </w:t>
      </w:r>
      <w:proofErr w:type="spellStart"/>
      <w:r w:rsidRPr="00C91762">
        <w:rPr>
          <w:rFonts w:asciiTheme="majorBidi" w:hAnsiTheme="majorBidi" w:cstheme="majorBidi"/>
          <w:b/>
          <w:lang w:val="de-DE"/>
        </w:rPr>
        <w:t>jeb</w:t>
      </w:r>
      <w:proofErr w:type="spellEnd"/>
      <w:r w:rsidRPr="00C91762">
        <w:rPr>
          <w:rFonts w:asciiTheme="majorBidi" w:hAnsiTheme="majorBidi" w:cstheme="majorBidi"/>
          <w:b/>
          <w:lang w:val="de-DE"/>
        </w:rPr>
        <w:t xml:space="preserve"> </w:t>
      </w:r>
      <w:proofErr w:type="spellStart"/>
      <w:r w:rsidRPr="00C91762">
        <w:rPr>
          <w:rFonts w:asciiTheme="majorBidi" w:hAnsiTheme="majorBidi" w:cstheme="majorBidi"/>
          <w:b/>
          <w:lang w:val="de-DE"/>
        </w:rPr>
        <w:t>teorijas</w:t>
      </w:r>
      <w:proofErr w:type="spellEnd"/>
      <w:r w:rsidRPr="00C91762">
        <w:rPr>
          <w:rFonts w:asciiTheme="majorBidi" w:hAnsiTheme="majorBidi" w:cstheme="majorBidi"/>
          <w:b/>
          <w:lang w:val="de-DE"/>
        </w:rPr>
        <w:t xml:space="preserve"> </w:t>
      </w:r>
      <w:proofErr w:type="spellStart"/>
      <w:r w:rsidRPr="00C91762">
        <w:rPr>
          <w:rFonts w:asciiTheme="majorBidi" w:hAnsiTheme="majorBidi" w:cstheme="majorBidi"/>
          <w:b/>
          <w:lang w:val="de-DE"/>
        </w:rPr>
        <w:t>piemērošana</w:t>
      </w:r>
      <w:proofErr w:type="spellEnd"/>
      <w:r w:rsidRPr="00C91762">
        <w:rPr>
          <w:rFonts w:asciiTheme="majorBidi" w:hAnsiTheme="majorBidi" w:cstheme="majorBidi"/>
          <w:b/>
          <w:lang w:val="de-DE"/>
        </w:rPr>
        <w:t xml:space="preserve">? </w:t>
      </w:r>
    </w:p>
    <w:p w14:paraId="0A42089B" w14:textId="77777777" w:rsidR="004D1E51" w:rsidRPr="004D1E51" w:rsidRDefault="004D1E51" w:rsidP="00114953">
      <w:pPr>
        <w:jc w:val="both"/>
        <w:rPr>
          <w:rFonts w:asciiTheme="majorBidi" w:hAnsiTheme="majorBidi" w:cstheme="majorBidi"/>
          <w:highlight w:val="green"/>
          <w:lang w:val="de-DE"/>
        </w:rPr>
      </w:pPr>
    </w:p>
    <w:p w14:paraId="12649DD5" w14:textId="2FD584D1" w:rsidR="003B0C82" w:rsidRPr="00C91762" w:rsidRDefault="003B0C82" w:rsidP="00C86BF3">
      <w:pPr>
        <w:widowControl w:val="0"/>
        <w:autoSpaceDE w:val="0"/>
        <w:autoSpaceDN w:val="0"/>
        <w:adjustRightInd w:val="0"/>
        <w:ind w:firstLine="708"/>
        <w:jc w:val="both"/>
        <w:rPr>
          <w:rFonts w:asciiTheme="majorBidi" w:hAnsiTheme="majorBidi" w:cstheme="majorBidi"/>
          <w:lang w:val="de-DE"/>
        </w:rPr>
      </w:pPr>
      <w:proofErr w:type="spellStart"/>
      <w:r w:rsidRPr="00C91762">
        <w:rPr>
          <w:rFonts w:ascii="Times New Roman" w:hAnsi="Times New Roman" w:cs="Times New Roman"/>
          <w:lang w:val="de-DE"/>
        </w:rPr>
        <w:t>Notariāta</w:t>
      </w:r>
      <w:proofErr w:type="spellEnd"/>
      <w:r w:rsidRPr="00C91762">
        <w:rPr>
          <w:rFonts w:ascii="Times New Roman" w:hAnsi="Times New Roman" w:cs="Times New Roman"/>
          <w:lang w:val="de-DE"/>
        </w:rPr>
        <w:t xml:space="preserve"> </w:t>
      </w:r>
      <w:proofErr w:type="spellStart"/>
      <w:r w:rsidRPr="00C91762">
        <w:rPr>
          <w:rFonts w:ascii="Times New Roman" w:hAnsi="Times New Roman" w:cs="Times New Roman"/>
          <w:lang w:val="de-DE"/>
        </w:rPr>
        <w:t>l</w:t>
      </w:r>
      <w:r w:rsidR="00C86BF3" w:rsidRPr="00C91762">
        <w:rPr>
          <w:rFonts w:ascii="Times New Roman" w:hAnsi="Times New Roman" w:cs="Times New Roman"/>
          <w:lang w:val="de-DE"/>
        </w:rPr>
        <w:t>ikuma</w:t>
      </w:r>
      <w:proofErr w:type="spellEnd"/>
      <w:r w:rsidR="00C86BF3" w:rsidRPr="00C91762">
        <w:rPr>
          <w:rFonts w:ascii="Times New Roman" w:hAnsi="Times New Roman" w:cs="Times New Roman"/>
          <w:lang w:val="de-DE"/>
        </w:rPr>
        <w:t xml:space="preserve"> 83.panta </w:t>
      </w:r>
      <w:proofErr w:type="spellStart"/>
      <w:r w:rsidR="00C86BF3" w:rsidRPr="00C91762">
        <w:rPr>
          <w:rFonts w:ascii="Times New Roman" w:hAnsi="Times New Roman" w:cs="Times New Roman"/>
          <w:lang w:val="de-DE"/>
        </w:rPr>
        <w:t>otrā</w:t>
      </w:r>
      <w:proofErr w:type="spellEnd"/>
      <w:r w:rsidR="00C86BF3" w:rsidRPr="00C91762">
        <w:rPr>
          <w:rFonts w:ascii="Times New Roman" w:hAnsi="Times New Roman" w:cs="Times New Roman"/>
          <w:lang w:val="de-DE"/>
        </w:rPr>
        <w:t xml:space="preserve"> </w:t>
      </w:r>
      <w:proofErr w:type="spellStart"/>
      <w:r w:rsidR="00C86BF3" w:rsidRPr="00C91762">
        <w:rPr>
          <w:rFonts w:ascii="Times New Roman" w:hAnsi="Times New Roman" w:cs="Times New Roman"/>
          <w:lang w:val="de-DE"/>
        </w:rPr>
        <w:t>daļa</w:t>
      </w:r>
      <w:proofErr w:type="spellEnd"/>
      <w:r w:rsidR="00C86BF3" w:rsidRPr="00C91762">
        <w:rPr>
          <w:rFonts w:ascii="Times New Roman" w:hAnsi="Times New Roman" w:cs="Times New Roman"/>
          <w:lang w:val="de-DE"/>
        </w:rPr>
        <w:t xml:space="preserve"> </w:t>
      </w:r>
      <w:proofErr w:type="spellStart"/>
      <w:r w:rsidR="00C86BF3" w:rsidRPr="00C91762">
        <w:rPr>
          <w:rFonts w:ascii="Times New Roman" w:hAnsi="Times New Roman" w:cs="Times New Roman"/>
          <w:lang w:val="de-DE"/>
        </w:rPr>
        <w:t>nosaka</w:t>
      </w:r>
      <w:proofErr w:type="spellEnd"/>
      <w:r w:rsidR="00C86BF3" w:rsidRPr="00C91762">
        <w:rPr>
          <w:rFonts w:ascii="Times New Roman" w:hAnsi="Times New Roman" w:cs="Times New Roman"/>
          <w:lang w:val="de-DE"/>
        </w:rPr>
        <w:t xml:space="preserve">, </w:t>
      </w:r>
      <w:proofErr w:type="spellStart"/>
      <w:r w:rsidR="00C86BF3" w:rsidRPr="00C91762">
        <w:rPr>
          <w:rFonts w:ascii="Times New Roman" w:hAnsi="Times New Roman" w:cs="Times New Roman"/>
          <w:lang w:val="de-DE"/>
        </w:rPr>
        <w:t>ka</w:t>
      </w:r>
      <w:proofErr w:type="spellEnd"/>
      <w:r w:rsidR="00C86BF3" w:rsidRPr="00C91762">
        <w:rPr>
          <w:rFonts w:ascii="Times New Roman" w:hAnsi="Times New Roman" w:cs="Times New Roman"/>
          <w:lang w:val="de-DE"/>
        </w:rPr>
        <w:t xml:space="preserve">, </w:t>
      </w:r>
      <w:proofErr w:type="spellStart"/>
      <w:r w:rsidRPr="00C91762">
        <w:rPr>
          <w:rFonts w:ascii="Times New Roman" w:hAnsi="Times New Roman" w:cs="Times New Roman"/>
          <w:bCs/>
          <w:lang w:val="de-DE"/>
        </w:rPr>
        <w:t>taisot</w:t>
      </w:r>
      <w:proofErr w:type="spellEnd"/>
      <w:r w:rsidRPr="00C91762">
        <w:rPr>
          <w:rFonts w:ascii="Times New Roman" w:hAnsi="Times New Roman" w:cs="Times New Roman"/>
          <w:bCs/>
          <w:lang w:val="de-DE"/>
        </w:rPr>
        <w:t xml:space="preserve"> </w:t>
      </w:r>
      <w:proofErr w:type="spellStart"/>
      <w:r w:rsidRPr="00C91762">
        <w:rPr>
          <w:rFonts w:ascii="Times New Roman" w:hAnsi="Times New Roman" w:cs="Times New Roman"/>
          <w:bCs/>
          <w:lang w:val="de-DE"/>
        </w:rPr>
        <w:t>notariālos</w:t>
      </w:r>
      <w:proofErr w:type="spellEnd"/>
      <w:r w:rsidRPr="00C91762">
        <w:rPr>
          <w:rFonts w:ascii="Times New Roman" w:hAnsi="Times New Roman" w:cs="Times New Roman"/>
          <w:bCs/>
          <w:lang w:val="de-DE"/>
        </w:rPr>
        <w:t xml:space="preserve"> </w:t>
      </w:r>
      <w:proofErr w:type="spellStart"/>
      <w:r w:rsidRPr="00C91762">
        <w:rPr>
          <w:rFonts w:ascii="Times New Roman" w:hAnsi="Times New Roman" w:cs="Times New Roman"/>
          <w:bCs/>
          <w:lang w:val="de-DE"/>
        </w:rPr>
        <w:t>aktus</w:t>
      </w:r>
      <w:proofErr w:type="spellEnd"/>
      <w:r w:rsidRPr="00C91762">
        <w:rPr>
          <w:rFonts w:ascii="Times New Roman" w:hAnsi="Times New Roman" w:cs="Times New Roman"/>
          <w:lang w:val="de-DE"/>
        </w:rPr>
        <w:t xml:space="preserve">, </w:t>
      </w:r>
      <w:proofErr w:type="spellStart"/>
      <w:r w:rsidRPr="00C91762">
        <w:rPr>
          <w:rFonts w:ascii="Times New Roman" w:hAnsi="Times New Roman" w:cs="Arial"/>
          <w:color w:val="323233"/>
          <w:lang w:val="de-DE"/>
        </w:rPr>
        <w:t>pārstāvības</w:t>
      </w:r>
      <w:proofErr w:type="spellEnd"/>
      <w:r w:rsidRPr="00C91762">
        <w:rPr>
          <w:rFonts w:ascii="Times New Roman" w:hAnsi="Times New Roman" w:cs="Arial"/>
          <w:color w:val="323233"/>
          <w:lang w:val="de-DE"/>
        </w:rPr>
        <w:t xml:space="preserve"> </w:t>
      </w:r>
      <w:proofErr w:type="spellStart"/>
      <w:r w:rsidRPr="00C91762">
        <w:rPr>
          <w:rFonts w:ascii="Times New Roman" w:hAnsi="Times New Roman" w:cs="Arial"/>
          <w:color w:val="323233"/>
          <w:lang w:val="de-DE"/>
        </w:rPr>
        <w:t>tiesības</w:t>
      </w:r>
      <w:proofErr w:type="spellEnd"/>
      <w:r w:rsidRPr="00C91762">
        <w:rPr>
          <w:rFonts w:ascii="Times New Roman" w:hAnsi="Times New Roman" w:cs="Arial"/>
          <w:color w:val="323233"/>
          <w:lang w:val="de-DE"/>
        </w:rPr>
        <w:t xml:space="preserve"> </w:t>
      </w:r>
      <w:proofErr w:type="spellStart"/>
      <w:r w:rsidRPr="00C91762">
        <w:rPr>
          <w:rFonts w:ascii="Times New Roman" w:hAnsi="Times New Roman" w:cs="Arial"/>
          <w:color w:val="323233"/>
          <w:lang w:val="de-DE"/>
        </w:rPr>
        <w:t>zvērināts</w:t>
      </w:r>
      <w:proofErr w:type="spellEnd"/>
      <w:r w:rsidRPr="00C91762">
        <w:rPr>
          <w:rFonts w:ascii="Times New Roman" w:hAnsi="Times New Roman" w:cs="Arial"/>
          <w:color w:val="323233"/>
          <w:lang w:val="de-DE"/>
        </w:rPr>
        <w:t xml:space="preserve"> </w:t>
      </w:r>
      <w:proofErr w:type="spellStart"/>
      <w:r w:rsidRPr="00C91762">
        <w:rPr>
          <w:rFonts w:ascii="Times New Roman" w:hAnsi="Times New Roman" w:cs="Arial"/>
          <w:color w:val="323233"/>
          <w:lang w:val="de-DE"/>
        </w:rPr>
        <w:t>notārs</w:t>
      </w:r>
      <w:proofErr w:type="spellEnd"/>
      <w:r w:rsidRPr="00C91762">
        <w:rPr>
          <w:rFonts w:ascii="Times New Roman" w:hAnsi="Times New Roman" w:cs="Arial"/>
          <w:color w:val="323233"/>
          <w:lang w:val="de-DE"/>
        </w:rPr>
        <w:t xml:space="preserve"> </w:t>
      </w:r>
      <w:proofErr w:type="spellStart"/>
      <w:r w:rsidRPr="00C91762">
        <w:rPr>
          <w:rFonts w:ascii="Times New Roman" w:hAnsi="Times New Roman" w:cs="Arial"/>
          <w:color w:val="323233"/>
          <w:lang w:val="de-DE"/>
        </w:rPr>
        <w:t>pārbauda</w:t>
      </w:r>
      <w:proofErr w:type="spellEnd"/>
      <w:r w:rsidRPr="00C91762">
        <w:rPr>
          <w:rFonts w:ascii="Times New Roman" w:hAnsi="Times New Roman" w:cs="Arial"/>
          <w:color w:val="323233"/>
          <w:lang w:val="de-DE"/>
        </w:rPr>
        <w:t xml:space="preserve"> </w:t>
      </w:r>
      <w:proofErr w:type="spellStart"/>
      <w:r w:rsidRPr="00C91762">
        <w:rPr>
          <w:rFonts w:ascii="Times New Roman" w:hAnsi="Times New Roman" w:cs="Arial"/>
          <w:color w:val="323233"/>
          <w:lang w:val="de-DE"/>
        </w:rPr>
        <w:t>pēc</w:t>
      </w:r>
      <w:proofErr w:type="spellEnd"/>
      <w:r w:rsidRPr="00C91762">
        <w:rPr>
          <w:rFonts w:ascii="Times New Roman" w:hAnsi="Times New Roman" w:cs="Arial"/>
          <w:color w:val="323233"/>
          <w:lang w:val="de-DE"/>
        </w:rPr>
        <w:t xml:space="preserve"> </w:t>
      </w:r>
      <w:proofErr w:type="spellStart"/>
      <w:r w:rsidRPr="00C91762">
        <w:rPr>
          <w:rFonts w:ascii="Times New Roman" w:hAnsi="Times New Roman" w:cs="Arial"/>
          <w:color w:val="323233"/>
          <w:lang w:val="de-DE"/>
        </w:rPr>
        <w:t>viņam</w:t>
      </w:r>
      <w:proofErr w:type="spellEnd"/>
      <w:r w:rsidRPr="00C91762">
        <w:rPr>
          <w:rFonts w:ascii="Times New Roman" w:hAnsi="Times New Roman" w:cs="Arial"/>
          <w:color w:val="323233"/>
          <w:lang w:val="de-DE"/>
        </w:rPr>
        <w:t xml:space="preserve"> </w:t>
      </w:r>
      <w:proofErr w:type="spellStart"/>
      <w:r w:rsidRPr="00C91762">
        <w:rPr>
          <w:rFonts w:ascii="Times New Roman" w:hAnsi="Times New Roman" w:cs="Arial"/>
          <w:color w:val="323233"/>
          <w:lang w:val="de-DE"/>
        </w:rPr>
        <w:t>iesniegtajiem</w:t>
      </w:r>
      <w:proofErr w:type="spellEnd"/>
      <w:r w:rsidRPr="00C91762">
        <w:rPr>
          <w:rFonts w:ascii="Times New Roman" w:hAnsi="Times New Roman" w:cs="Arial"/>
          <w:color w:val="323233"/>
          <w:lang w:val="de-DE"/>
        </w:rPr>
        <w:t xml:space="preserve"> </w:t>
      </w:r>
      <w:proofErr w:type="spellStart"/>
      <w:r w:rsidRPr="00C91762">
        <w:rPr>
          <w:rFonts w:ascii="Times New Roman" w:hAnsi="Times New Roman" w:cs="Arial"/>
          <w:color w:val="323233"/>
          <w:u w:val="single"/>
          <w:lang w:val="de-DE"/>
        </w:rPr>
        <w:t>publiskiem</w:t>
      </w:r>
      <w:proofErr w:type="spellEnd"/>
      <w:r w:rsidRPr="00C91762">
        <w:rPr>
          <w:rFonts w:ascii="Times New Roman" w:hAnsi="Times New Roman" w:cs="Arial"/>
          <w:color w:val="323233"/>
          <w:u w:val="single"/>
          <w:lang w:val="de-DE"/>
        </w:rPr>
        <w:t xml:space="preserve"> </w:t>
      </w:r>
      <w:proofErr w:type="spellStart"/>
      <w:r w:rsidRPr="00C91762">
        <w:rPr>
          <w:rFonts w:ascii="Times New Roman" w:hAnsi="Times New Roman" w:cs="Arial"/>
          <w:color w:val="323233"/>
          <w:u w:val="single"/>
          <w:lang w:val="de-DE"/>
        </w:rPr>
        <w:t>dokumentiem</w:t>
      </w:r>
      <w:proofErr w:type="spellEnd"/>
      <w:r w:rsidRPr="00C91762">
        <w:rPr>
          <w:rFonts w:ascii="Times New Roman" w:hAnsi="Times New Roman" w:cs="Arial"/>
          <w:color w:val="323233"/>
          <w:lang w:val="de-DE"/>
        </w:rPr>
        <w:t>.</w:t>
      </w:r>
      <w:r w:rsidR="00C86BF3" w:rsidRPr="00C91762">
        <w:rPr>
          <w:rFonts w:ascii="Times New Roman" w:hAnsi="Times New Roman" w:cs="Arial"/>
          <w:color w:val="323233"/>
          <w:lang w:val="de-DE"/>
        </w:rPr>
        <w:t xml:space="preserve"> </w:t>
      </w:r>
      <w:proofErr w:type="spellStart"/>
      <w:r w:rsidR="00C86BF3" w:rsidRPr="00C91762">
        <w:rPr>
          <w:rFonts w:ascii="Times New Roman" w:hAnsi="Times New Roman" w:cs="Arial"/>
          <w:color w:val="323233"/>
          <w:lang w:val="de-DE"/>
        </w:rPr>
        <w:t>Savukārt</w:t>
      </w:r>
      <w:proofErr w:type="spellEnd"/>
      <w:r w:rsidR="00C86BF3" w:rsidRPr="00C91762">
        <w:rPr>
          <w:rFonts w:ascii="Times New Roman" w:hAnsi="Times New Roman" w:cs="Arial"/>
          <w:color w:val="323233"/>
          <w:lang w:val="de-DE"/>
        </w:rPr>
        <w:t xml:space="preserve"> </w:t>
      </w:r>
      <w:proofErr w:type="spellStart"/>
      <w:r w:rsidR="00C86BF3" w:rsidRPr="00C91762">
        <w:rPr>
          <w:rFonts w:asciiTheme="majorBidi" w:hAnsiTheme="majorBidi" w:cstheme="majorBidi"/>
          <w:lang w:val="de-DE"/>
        </w:rPr>
        <w:t>s</w:t>
      </w:r>
      <w:r w:rsidRPr="00C91762">
        <w:rPr>
          <w:rFonts w:asciiTheme="majorBidi" w:hAnsiTheme="majorBidi" w:cstheme="majorBidi"/>
          <w:lang w:val="de-DE"/>
        </w:rPr>
        <w:t>askaņā</w:t>
      </w:r>
      <w:proofErr w:type="spellEnd"/>
      <w:r w:rsidRPr="00C91762">
        <w:rPr>
          <w:rFonts w:asciiTheme="majorBidi" w:hAnsiTheme="majorBidi" w:cstheme="majorBidi"/>
          <w:lang w:val="de-DE"/>
        </w:rPr>
        <w:t xml:space="preserve"> </w:t>
      </w:r>
      <w:proofErr w:type="spellStart"/>
      <w:r w:rsidRPr="00C91762">
        <w:rPr>
          <w:rFonts w:asciiTheme="majorBidi" w:hAnsiTheme="majorBidi" w:cstheme="majorBidi"/>
          <w:lang w:val="de-DE"/>
        </w:rPr>
        <w:t>ar</w:t>
      </w:r>
      <w:proofErr w:type="spellEnd"/>
      <w:r w:rsidRPr="00C91762">
        <w:rPr>
          <w:rFonts w:asciiTheme="majorBidi" w:hAnsiTheme="majorBidi" w:cstheme="majorBidi"/>
          <w:lang w:val="de-DE"/>
        </w:rPr>
        <w:t xml:space="preserve"> </w:t>
      </w:r>
      <w:proofErr w:type="spellStart"/>
      <w:r w:rsidRPr="00C91762">
        <w:rPr>
          <w:rFonts w:asciiTheme="majorBidi" w:hAnsiTheme="majorBidi" w:cstheme="majorBidi"/>
          <w:lang w:val="de-DE"/>
        </w:rPr>
        <w:t>Notariāta</w:t>
      </w:r>
      <w:proofErr w:type="spellEnd"/>
      <w:r w:rsidRPr="00C91762">
        <w:rPr>
          <w:rFonts w:asciiTheme="majorBidi" w:hAnsiTheme="majorBidi" w:cstheme="majorBidi"/>
          <w:lang w:val="de-DE"/>
        </w:rPr>
        <w:t xml:space="preserve"> </w:t>
      </w:r>
      <w:proofErr w:type="spellStart"/>
      <w:r w:rsidRPr="00C91762">
        <w:rPr>
          <w:rFonts w:asciiTheme="majorBidi" w:hAnsiTheme="majorBidi" w:cstheme="majorBidi"/>
          <w:lang w:val="de-DE"/>
        </w:rPr>
        <w:t>likuma</w:t>
      </w:r>
      <w:proofErr w:type="spellEnd"/>
      <w:r w:rsidRPr="00C91762">
        <w:rPr>
          <w:rFonts w:asciiTheme="majorBidi" w:hAnsiTheme="majorBidi" w:cstheme="majorBidi"/>
          <w:lang w:val="de-DE"/>
        </w:rPr>
        <w:t xml:space="preserve"> 81.pantu</w:t>
      </w:r>
      <w:r w:rsidRPr="00C91762">
        <w:rPr>
          <w:rFonts w:asciiTheme="majorBidi" w:hAnsiTheme="majorBidi" w:cstheme="majorBidi"/>
          <w:b/>
          <w:bCs/>
          <w:lang w:val="de-DE"/>
        </w:rPr>
        <w:t xml:space="preserve"> </w:t>
      </w:r>
      <w:proofErr w:type="spellStart"/>
      <w:r w:rsidRPr="00C91762">
        <w:rPr>
          <w:rFonts w:asciiTheme="majorBidi" w:hAnsiTheme="majorBidi" w:cstheme="majorBidi"/>
          <w:b/>
          <w:bCs/>
          <w:lang w:val="de-DE"/>
        </w:rPr>
        <w:t>publiski</w:t>
      </w:r>
      <w:proofErr w:type="spellEnd"/>
      <w:r w:rsidRPr="00C91762">
        <w:rPr>
          <w:rFonts w:asciiTheme="majorBidi" w:hAnsiTheme="majorBidi" w:cstheme="majorBidi"/>
          <w:b/>
          <w:bCs/>
          <w:lang w:val="de-DE"/>
        </w:rPr>
        <w:t xml:space="preserve"> </w:t>
      </w:r>
      <w:proofErr w:type="spellStart"/>
      <w:r w:rsidRPr="00C91762">
        <w:rPr>
          <w:rFonts w:asciiTheme="majorBidi" w:hAnsiTheme="majorBidi" w:cstheme="majorBidi"/>
          <w:b/>
          <w:bCs/>
          <w:lang w:val="de-DE"/>
        </w:rPr>
        <w:t>dokumenti</w:t>
      </w:r>
      <w:proofErr w:type="spellEnd"/>
      <w:r w:rsidRPr="00C91762">
        <w:rPr>
          <w:rFonts w:asciiTheme="majorBidi" w:hAnsiTheme="majorBidi" w:cstheme="majorBidi"/>
          <w:lang w:val="de-DE"/>
        </w:rPr>
        <w:t xml:space="preserve"> </w:t>
      </w:r>
      <w:proofErr w:type="spellStart"/>
      <w:r w:rsidRPr="00C91762">
        <w:rPr>
          <w:rFonts w:asciiTheme="majorBidi" w:hAnsiTheme="majorBidi" w:cstheme="majorBidi"/>
          <w:lang w:val="de-DE"/>
        </w:rPr>
        <w:t>ir</w:t>
      </w:r>
      <w:proofErr w:type="spellEnd"/>
      <w:r w:rsidRPr="00C91762">
        <w:rPr>
          <w:rFonts w:asciiTheme="majorBidi" w:hAnsiTheme="majorBidi" w:cstheme="majorBidi"/>
          <w:lang w:val="de-DE"/>
        </w:rPr>
        <w:t xml:space="preserve">: </w:t>
      </w:r>
      <w:proofErr w:type="spellStart"/>
      <w:r w:rsidRPr="00C91762">
        <w:rPr>
          <w:rFonts w:asciiTheme="majorBidi" w:hAnsiTheme="majorBidi" w:cstheme="majorBidi"/>
          <w:lang w:val="de-DE"/>
        </w:rPr>
        <w:t>notariālie</w:t>
      </w:r>
      <w:proofErr w:type="spellEnd"/>
      <w:r w:rsidRPr="00C91762">
        <w:rPr>
          <w:rFonts w:asciiTheme="majorBidi" w:hAnsiTheme="majorBidi" w:cstheme="majorBidi"/>
          <w:lang w:val="de-DE"/>
        </w:rPr>
        <w:t xml:space="preserve"> </w:t>
      </w:r>
      <w:proofErr w:type="spellStart"/>
      <w:r w:rsidRPr="00C91762">
        <w:rPr>
          <w:rFonts w:asciiTheme="majorBidi" w:hAnsiTheme="majorBidi" w:cstheme="majorBidi"/>
          <w:lang w:val="de-DE"/>
        </w:rPr>
        <w:t>akti</w:t>
      </w:r>
      <w:proofErr w:type="spellEnd"/>
      <w:r w:rsidRPr="00C91762">
        <w:rPr>
          <w:rFonts w:asciiTheme="majorBidi" w:hAnsiTheme="majorBidi" w:cstheme="majorBidi"/>
          <w:lang w:val="de-DE"/>
        </w:rPr>
        <w:t xml:space="preserve"> (82.pants) </w:t>
      </w:r>
      <w:proofErr w:type="spellStart"/>
      <w:r w:rsidRPr="00C91762">
        <w:rPr>
          <w:rFonts w:asciiTheme="majorBidi" w:hAnsiTheme="majorBidi" w:cstheme="majorBidi"/>
          <w:lang w:val="de-DE"/>
        </w:rPr>
        <w:t>un</w:t>
      </w:r>
      <w:proofErr w:type="spellEnd"/>
      <w:r w:rsidRPr="00C91762">
        <w:rPr>
          <w:rFonts w:asciiTheme="majorBidi" w:hAnsiTheme="majorBidi" w:cstheme="majorBidi"/>
          <w:lang w:val="de-DE"/>
        </w:rPr>
        <w:t xml:space="preserve"> </w:t>
      </w:r>
      <w:proofErr w:type="spellStart"/>
      <w:r w:rsidRPr="00C91762">
        <w:rPr>
          <w:rFonts w:asciiTheme="majorBidi" w:hAnsiTheme="majorBidi" w:cstheme="majorBidi"/>
          <w:lang w:val="de-DE"/>
        </w:rPr>
        <w:t>apliecinājumi</w:t>
      </w:r>
      <w:proofErr w:type="spellEnd"/>
      <w:r w:rsidRPr="00C91762">
        <w:rPr>
          <w:rFonts w:asciiTheme="majorBidi" w:hAnsiTheme="majorBidi" w:cstheme="majorBidi"/>
          <w:lang w:val="de-DE"/>
        </w:rPr>
        <w:t xml:space="preserve"> (108.pants), </w:t>
      </w:r>
      <w:proofErr w:type="spellStart"/>
      <w:r w:rsidRPr="00C91762">
        <w:rPr>
          <w:rFonts w:asciiTheme="majorBidi" w:hAnsiTheme="majorBidi" w:cstheme="majorBidi"/>
          <w:lang w:val="de-DE"/>
        </w:rPr>
        <w:t>kurus</w:t>
      </w:r>
      <w:proofErr w:type="spellEnd"/>
      <w:r w:rsidRPr="00C91762">
        <w:rPr>
          <w:rFonts w:asciiTheme="majorBidi" w:hAnsiTheme="majorBidi" w:cstheme="majorBidi"/>
          <w:lang w:val="de-DE"/>
        </w:rPr>
        <w:t xml:space="preserve"> </w:t>
      </w:r>
      <w:proofErr w:type="spellStart"/>
      <w:r w:rsidRPr="00C91762">
        <w:rPr>
          <w:rFonts w:asciiTheme="majorBidi" w:hAnsiTheme="majorBidi" w:cstheme="majorBidi"/>
          <w:lang w:val="de-DE"/>
        </w:rPr>
        <w:t>taisa</w:t>
      </w:r>
      <w:proofErr w:type="spellEnd"/>
      <w:r w:rsidRPr="00C91762">
        <w:rPr>
          <w:rFonts w:asciiTheme="majorBidi" w:hAnsiTheme="majorBidi" w:cstheme="majorBidi"/>
          <w:lang w:val="de-DE"/>
        </w:rPr>
        <w:t xml:space="preserve"> </w:t>
      </w:r>
      <w:proofErr w:type="spellStart"/>
      <w:r w:rsidRPr="00C91762">
        <w:rPr>
          <w:rFonts w:asciiTheme="majorBidi" w:hAnsiTheme="majorBidi" w:cstheme="majorBidi"/>
          <w:lang w:val="de-DE"/>
        </w:rPr>
        <w:t>zvērināts</w:t>
      </w:r>
      <w:proofErr w:type="spellEnd"/>
      <w:r w:rsidRPr="00C91762">
        <w:rPr>
          <w:rFonts w:asciiTheme="majorBidi" w:hAnsiTheme="majorBidi" w:cstheme="majorBidi"/>
          <w:lang w:val="de-DE"/>
        </w:rPr>
        <w:t xml:space="preserve"> </w:t>
      </w:r>
      <w:proofErr w:type="spellStart"/>
      <w:r w:rsidRPr="00C91762">
        <w:rPr>
          <w:rFonts w:asciiTheme="majorBidi" w:hAnsiTheme="majorBidi" w:cstheme="majorBidi"/>
          <w:lang w:val="de-DE"/>
        </w:rPr>
        <w:t>notārs</w:t>
      </w:r>
      <w:proofErr w:type="spellEnd"/>
      <w:r w:rsidRPr="00C91762">
        <w:rPr>
          <w:rFonts w:asciiTheme="majorBidi" w:hAnsiTheme="majorBidi" w:cstheme="majorBidi"/>
          <w:lang w:val="de-DE"/>
        </w:rPr>
        <w:t xml:space="preserve">, </w:t>
      </w:r>
      <w:proofErr w:type="spellStart"/>
      <w:r w:rsidRPr="00C91762">
        <w:rPr>
          <w:rFonts w:asciiTheme="majorBidi" w:hAnsiTheme="majorBidi" w:cstheme="majorBidi"/>
          <w:lang w:val="de-DE"/>
        </w:rPr>
        <w:t>izņemot</w:t>
      </w:r>
      <w:proofErr w:type="spellEnd"/>
      <w:r w:rsidRPr="00C91762">
        <w:rPr>
          <w:rFonts w:asciiTheme="majorBidi" w:hAnsiTheme="majorBidi" w:cstheme="majorBidi"/>
          <w:lang w:val="de-DE"/>
        </w:rPr>
        <w:t xml:space="preserve"> </w:t>
      </w:r>
      <w:proofErr w:type="spellStart"/>
      <w:r w:rsidRPr="00C91762">
        <w:rPr>
          <w:rFonts w:asciiTheme="majorBidi" w:hAnsiTheme="majorBidi" w:cstheme="majorBidi"/>
          <w:lang w:val="de-DE"/>
        </w:rPr>
        <w:t>šā</w:t>
      </w:r>
      <w:proofErr w:type="spellEnd"/>
      <w:r w:rsidRPr="00C91762">
        <w:rPr>
          <w:rFonts w:asciiTheme="majorBidi" w:hAnsiTheme="majorBidi" w:cstheme="majorBidi"/>
          <w:lang w:val="de-DE"/>
        </w:rPr>
        <w:t xml:space="preserve"> </w:t>
      </w:r>
      <w:proofErr w:type="spellStart"/>
      <w:r w:rsidRPr="00C91762">
        <w:rPr>
          <w:rFonts w:asciiTheme="majorBidi" w:hAnsiTheme="majorBidi" w:cstheme="majorBidi"/>
          <w:lang w:val="de-DE"/>
        </w:rPr>
        <w:t>likuma</w:t>
      </w:r>
      <w:proofErr w:type="spellEnd"/>
      <w:r w:rsidRPr="00C91762">
        <w:rPr>
          <w:rFonts w:asciiTheme="majorBidi" w:hAnsiTheme="majorBidi" w:cstheme="majorBidi"/>
          <w:lang w:val="de-DE"/>
        </w:rPr>
        <w:t xml:space="preserve"> 116.pantā </w:t>
      </w:r>
      <w:proofErr w:type="spellStart"/>
      <w:r w:rsidRPr="00C91762">
        <w:rPr>
          <w:rFonts w:asciiTheme="majorBidi" w:hAnsiTheme="majorBidi" w:cstheme="majorBidi"/>
          <w:lang w:val="de-DE"/>
        </w:rPr>
        <w:t>minētos</w:t>
      </w:r>
      <w:proofErr w:type="spellEnd"/>
      <w:r w:rsidRPr="00C91762">
        <w:rPr>
          <w:rFonts w:asciiTheme="majorBidi" w:hAnsiTheme="majorBidi" w:cstheme="majorBidi"/>
          <w:lang w:val="de-DE"/>
        </w:rPr>
        <w:t xml:space="preserve"> </w:t>
      </w:r>
      <w:proofErr w:type="spellStart"/>
      <w:r w:rsidRPr="00C91762">
        <w:rPr>
          <w:rFonts w:asciiTheme="majorBidi" w:hAnsiTheme="majorBidi" w:cstheme="majorBidi"/>
          <w:lang w:val="de-DE"/>
        </w:rPr>
        <w:t>dokumentus</w:t>
      </w:r>
      <w:proofErr w:type="spellEnd"/>
      <w:r w:rsidRPr="00C91762">
        <w:rPr>
          <w:rFonts w:asciiTheme="majorBidi" w:hAnsiTheme="majorBidi" w:cstheme="majorBidi"/>
          <w:lang w:val="de-DE"/>
        </w:rPr>
        <w:t xml:space="preserve">. </w:t>
      </w:r>
      <w:r w:rsidR="00C86BF3" w:rsidRPr="00C91762">
        <w:rPr>
          <w:rFonts w:asciiTheme="majorBidi" w:hAnsiTheme="majorBidi" w:cstheme="majorBidi"/>
          <w:lang w:val="de-DE"/>
        </w:rPr>
        <w:t xml:space="preserve">Abas </w:t>
      </w:r>
      <w:proofErr w:type="spellStart"/>
      <w:r w:rsidR="00C86BF3" w:rsidRPr="00C91762">
        <w:rPr>
          <w:rFonts w:asciiTheme="majorBidi" w:hAnsiTheme="majorBidi" w:cstheme="majorBidi"/>
          <w:lang w:val="de-DE"/>
        </w:rPr>
        <w:t>šīs</w:t>
      </w:r>
      <w:proofErr w:type="spellEnd"/>
      <w:r w:rsidR="00C86BF3" w:rsidRPr="00C91762">
        <w:rPr>
          <w:rFonts w:asciiTheme="majorBidi" w:hAnsiTheme="majorBidi" w:cstheme="majorBidi"/>
          <w:lang w:val="de-DE"/>
        </w:rPr>
        <w:t xml:space="preserve"> </w:t>
      </w:r>
      <w:proofErr w:type="spellStart"/>
      <w:r w:rsidR="00C86BF3" w:rsidRPr="00C91762">
        <w:rPr>
          <w:rFonts w:asciiTheme="majorBidi" w:hAnsiTheme="majorBidi" w:cstheme="majorBidi"/>
          <w:lang w:val="de-DE"/>
        </w:rPr>
        <w:t>tiesību</w:t>
      </w:r>
      <w:proofErr w:type="spellEnd"/>
      <w:r w:rsidR="00C86BF3" w:rsidRPr="00C91762">
        <w:rPr>
          <w:rFonts w:asciiTheme="majorBidi" w:hAnsiTheme="majorBidi" w:cstheme="majorBidi"/>
          <w:lang w:val="de-DE"/>
        </w:rPr>
        <w:t xml:space="preserve"> </w:t>
      </w:r>
      <w:proofErr w:type="spellStart"/>
      <w:r w:rsidR="00C86BF3" w:rsidRPr="00C91762">
        <w:rPr>
          <w:rFonts w:asciiTheme="majorBidi" w:hAnsiTheme="majorBidi" w:cstheme="majorBidi"/>
          <w:lang w:val="de-DE"/>
        </w:rPr>
        <w:t>normas</w:t>
      </w:r>
      <w:proofErr w:type="spellEnd"/>
      <w:r w:rsidR="00C86BF3" w:rsidRPr="00C91762">
        <w:rPr>
          <w:rFonts w:asciiTheme="majorBidi" w:hAnsiTheme="majorBidi" w:cstheme="majorBidi"/>
          <w:lang w:val="de-DE"/>
        </w:rPr>
        <w:t xml:space="preserve"> </w:t>
      </w:r>
      <w:proofErr w:type="spellStart"/>
      <w:r w:rsidR="00C86BF3" w:rsidRPr="00C91762">
        <w:rPr>
          <w:rFonts w:asciiTheme="majorBidi" w:hAnsiTheme="majorBidi" w:cstheme="majorBidi"/>
          <w:lang w:val="de-DE"/>
        </w:rPr>
        <w:t>ir</w:t>
      </w:r>
      <w:proofErr w:type="spellEnd"/>
      <w:r w:rsidR="00C86BF3" w:rsidRPr="00C91762">
        <w:rPr>
          <w:rFonts w:asciiTheme="majorBidi" w:hAnsiTheme="majorBidi" w:cstheme="majorBidi"/>
          <w:lang w:val="de-DE"/>
        </w:rPr>
        <w:t xml:space="preserve"> </w:t>
      </w:r>
      <w:proofErr w:type="spellStart"/>
      <w:r w:rsidR="00C86BF3" w:rsidRPr="00C91762">
        <w:rPr>
          <w:rFonts w:asciiTheme="majorBidi" w:hAnsiTheme="majorBidi" w:cstheme="majorBidi"/>
          <w:lang w:val="de-DE"/>
        </w:rPr>
        <w:t>abstraktas</w:t>
      </w:r>
      <w:proofErr w:type="spellEnd"/>
      <w:r w:rsidR="00C86BF3" w:rsidRPr="00C91762">
        <w:rPr>
          <w:rFonts w:asciiTheme="majorBidi" w:hAnsiTheme="majorBidi" w:cstheme="majorBidi"/>
          <w:lang w:val="de-DE"/>
        </w:rPr>
        <w:t xml:space="preserve"> </w:t>
      </w:r>
      <w:proofErr w:type="spellStart"/>
      <w:r w:rsidR="00C86BF3" w:rsidRPr="00C91762">
        <w:rPr>
          <w:rFonts w:asciiTheme="majorBidi" w:hAnsiTheme="majorBidi" w:cstheme="majorBidi"/>
          <w:lang w:val="de-DE"/>
        </w:rPr>
        <w:t>tiesību</w:t>
      </w:r>
      <w:proofErr w:type="spellEnd"/>
      <w:r w:rsidR="00C86BF3" w:rsidRPr="00C91762">
        <w:rPr>
          <w:rFonts w:asciiTheme="majorBidi" w:hAnsiTheme="majorBidi" w:cstheme="majorBidi"/>
          <w:lang w:val="de-DE"/>
        </w:rPr>
        <w:t xml:space="preserve"> </w:t>
      </w:r>
      <w:proofErr w:type="spellStart"/>
      <w:r w:rsidR="00C86BF3" w:rsidRPr="00C91762">
        <w:rPr>
          <w:rFonts w:asciiTheme="majorBidi" w:hAnsiTheme="majorBidi" w:cstheme="majorBidi"/>
          <w:lang w:val="de-DE"/>
        </w:rPr>
        <w:t>normas</w:t>
      </w:r>
      <w:proofErr w:type="spellEnd"/>
      <w:r w:rsidR="00C86BF3" w:rsidRPr="00C91762">
        <w:rPr>
          <w:rFonts w:asciiTheme="majorBidi" w:hAnsiTheme="majorBidi" w:cstheme="majorBidi"/>
          <w:lang w:val="de-DE"/>
        </w:rPr>
        <w:t xml:space="preserve">. </w:t>
      </w:r>
      <w:proofErr w:type="spellStart"/>
      <w:r w:rsidR="00C86BF3" w:rsidRPr="00C91762">
        <w:rPr>
          <w:rFonts w:asciiTheme="majorBidi" w:hAnsiTheme="majorBidi" w:cstheme="majorBidi"/>
          <w:lang w:val="de-DE"/>
        </w:rPr>
        <w:t>Līdz</w:t>
      </w:r>
      <w:proofErr w:type="spellEnd"/>
      <w:r w:rsidR="00C86BF3" w:rsidRPr="00C91762">
        <w:rPr>
          <w:rFonts w:asciiTheme="majorBidi" w:hAnsiTheme="majorBidi" w:cstheme="majorBidi"/>
          <w:lang w:val="de-DE"/>
        </w:rPr>
        <w:t xml:space="preserve"> </w:t>
      </w:r>
      <w:proofErr w:type="spellStart"/>
      <w:r w:rsidR="00C86BF3" w:rsidRPr="00C91762">
        <w:rPr>
          <w:rFonts w:asciiTheme="majorBidi" w:hAnsiTheme="majorBidi" w:cstheme="majorBidi"/>
          <w:lang w:val="de-DE"/>
        </w:rPr>
        <w:t>ar</w:t>
      </w:r>
      <w:proofErr w:type="spellEnd"/>
      <w:r w:rsidR="00C86BF3" w:rsidRPr="00C91762">
        <w:rPr>
          <w:rFonts w:asciiTheme="majorBidi" w:hAnsiTheme="majorBidi" w:cstheme="majorBidi"/>
          <w:lang w:val="de-DE"/>
        </w:rPr>
        <w:t xml:space="preserve"> </w:t>
      </w:r>
      <w:proofErr w:type="spellStart"/>
      <w:r w:rsidR="00C86BF3" w:rsidRPr="00C91762">
        <w:rPr>
          <w:rFonts w:asciiTheme="majorBidi" w:hAnsiTheme="majorBidi" w:cstheme="majorBidi"/>
          <w:lang w:val="de-DE"/>
        </w:rPr>
        <w:t>to</w:t>
      </w:r>
      <w:proofErr w:type="spellEnd"/>
      <w:r w:rsidR="00C86BF3" w:rsidRPr="00C91762">
        <w:rPr>
          <w:rFonts w:asciiTheme="majorBidi" w:hAnsiTheme="majorBidi" w:cstheme="majorBidi"/>
          <w:lang w:val="de-DE"/>
        </w:rPr>
        <w:t xml:space="preserve"> </w:t>
      </w:r>
      <w:proofErr w:type="spellStart"/>
      <w:r w:rsidR="00C86BF3" w:rsidRPr="00C91762">
        <w:rPr>
          <w:rFonts w:asciiTheme="majorBidi" w:hAnsiTheme="majorBidi" w:cstheme="majorBidi"/>
          <w:lang w:val="de-DE"/>
        </w:rPr>
        <w:t>tālāk</w:t>
      </w:r>
      <w:proofErr w:type="spellEnd"/>
      <w:r w:rsidR="00C86BF3" w:rsidRPr="00C91762">
        <w:rPr>
          <w:rFonts w:asciiTheme="majorBidi" w:hAnsiTheme="majorBidi" w:cstheme="majorBidi"/>
          <w:lang w:val="de-DE"/>
        </w:rPr>
        <w:t xml:space="preserve"> </w:t>
      </w:r>
      <w:proofErr w:type="spellStart"/>
      <w:r w:rsidR="00C86BF3" w:rsidRPr="00C91762">
        <w:rPr>
          <w:rFonts w:asciiTheme="majorBidi" w:hAnsiTheme="majorBidi" w:cstheme="majorBidi"/>
          <w:lang w:val="de-DE"/>
        </w:rPr>
        <w:t>ir</w:t>
      </w:r>
      <w:proofErr w:type="spellEnd"/>
      <w:r w:rsidR="00C86BF3" w:rsidRPr="00C91762">
        <w:rPr>
          <w:rFonts w:asciiTheme="majorBidi" w:hAnsiTheme="majorBidi" w:cstheme="majorBidi"/>
          <w:lang w:val="de-DE"/>
        </w:rPr>
        <w:t xml:space="preserve"> </w:t>
      </w:r>
      <w:proofErr w:type="spellStart"/>
      <w:r w:rsidR="00C86BF3" w:rsidRPr="00C91762">
        <w:rPr>
          <w:rFonts w:asciiTheme="majorBidi" w:hAnsiTheme="majorBidi" w:cstheme="majorBidi"/>
          <w:lang w:val="de-DE"/>
        </w:rPr>
        <w:t>jāņem</w:t>
      </w:r>
      <w:proofErr w:type="spellEnd"/>
      <w:r w:rsidR="00C86BF3" w:rsidRPr="00C91762">
        <w:rPr>
          <w:rFonts w:asciiTheme="majorBidi" w:hAnsiTheme="majorBidi" w:cstheme="majorBidi"/>
          <w:lang w:val="de-DE"/>
        </w:rPr>
        <w:t xml:space="preserve"> </w:t>
      </w:r>
      <w:proofErr w:type="spellStart"/>
      <w:r w:rsidR="00C86BF3" w:rsidRPr="00C91762">
        <w:rPr>
          <w:rFonts w:asciiTheme="majorBidi" w:hAnsiTheme="majorBidi" w:cstheme="majorBidi"/>
          <w:lang w:val="de-DE"/>
        </w:rPr>
        <w:t>konkrētais</w:t>
      </w:r>
      <w:proofErr w:type="spellEnd"/>
      <w:r w:rsidR="00C86BF3" w:rsidRPr="00C91762">
        <w:rPr>
          <w:rFonts w:asciiTheme="majorBidi" w:hAnsiTheme="majorBidi" w:cstheme="majorBidi"/>
          <w:lang w:val="de-DE"/>
        </w:rPr>
        <w:t xml:space="preserve"> </w:t>
      </w:r>
      <w:proofErr w:type="spellStart"/>
      <w:r w:rsidR="00C86BF3" w:rsidRPr="00C91762">
        <w:rPr>
          <w:rFonts w:asciiTheme="majorBidi" w:hAnsiTheme="majorBidi" w:cstheme="majorBidi"/>
          <w:lang w:val="de-DE"/>
        </w:rPr>
        <w:t>ārvalsts</w:t>
      </w:r>
      <w:proofErr w:type="spellEnd"/>
      <w:r w:rsidR="00C86BF3" w:rsidRPr="00C91762">
        <w:rPr>
          <w:rFonts w:asciiTheme="majorBidi" w:hAnsiTheme="majorBidi" w:cstheme="majorBidi"/>
          <w:lang w:val="de-DE"/>
        </w:rPr>
        <w:t xml:space="preserve"> </w:t>
      </w:r>
      <w:proofErr w:type="spellStart"/>
      <w:r w:rsidR="00C86BF3" w:rsidRPr="00C91762">
        <w:rPr>
          <w:rFonts w:asciiTheme="majorBidi" w:hAnsiTheme="majorBidi" w:cstheme="majorBidi"/>
          <w:lang w:val="de-DE"/>
        </w:rPr>
        <w:t>dokuments</w:t>
      </w:r>
      <w:proofErr w:type="spellEnd"/>
      <w:r w:rsidR="00C86BF3" w:rsidRPr="00C91762">
        <w:rPr>
          <w:rFonts w:asciiTheme="majorBidi" w:hAnsiTheme="majorBidi" w:cstheme="majorBidi"/>
          <w:lang w:val="de-DE"/>
        </w:rPr>
        <w:t xml:space="preserve"> </w:t>
      </w:r>
      <w:proofErr w:type="spellStart"/>
      <w:r w:rsidR="00C86BF3" w:rsidRPr="00C91762">
        <w:rPr>
          <w:rFonts w:asciiTheme="majorBidi" w:hAnsiTheme="majorBidi" w:cstheme="majorBidi"/>
          <w:lang w:val="de-DE"/>
        </w:rPr>
        <w:t>un</w:t>
      </w:r>
      <w:proofErr w:type="spellEnd"/>
      <w:r w:rsidR="00C86BF3" w:rsidRPr="00C91762">
        <w:rPr>
          <w:rFonts w:asciiTheme="majorBidi" w:hAnsiTheme="majorBidi" w:cstheme="majorBidi"/>
          <w:lang w:val="de-DE"/>
        </w:rPr>
        <w:t xml:space="preserve"> </w:t>
      </w:r>
      <w:proofErr w:type="spellStart"/>
      <w:r w:rsidR="00C86BF3" w:rsidRPr="00C91762">
        <w:rPr>
          <w:rFonts w:asciiTheme="majorBidi" w:hAnsiTheme="majorBidi" w:cstheme="majorBidi"/>
          <w:lang w:val="de-DE"/>
        </w:rPr>
        <w:t>jāskatās</w:t>
      </w:r>
      <w:proofErr w:type="spellEnd"/>
      <w:r w:rsidR="00C86BF3" w:rsidRPr="00C91762">
        <w:rPr>
          <w:rFonts w:asciiTheme="majorBidi" w:hAnsiTheme="majorBidi" w:cstheme="majorBidi"/>
          <w:lang w:val="de-DE"/>
        </w:rPr>
        <w:t xml:space="preserve">, </w:t>
      </w:r>
      <w:proofErr w:type="spellStart"/>
      <w:r w:rsidR="00C86BF3" w:rsidRPr="00C91762">
        <w:rPr>
          <w:rFonts w:asciiTheme="majorBidi" w:hAnsiTheme="majorBidi" w:cstheme="majorBidi"/>
          <w:lang w:val="de-DE"/>
        </w:rPr>
        <w:t>vai</w:t>
      </w:r>
      <w:proofErr w:type="spellEnd"/>
      <w:r w:rsidR="00C86BF3" w:rsidRPr="00C91762">
        <w:rPr>
          <w:rFonts w:asciiTheme="majorBidi" w:hAnsiTheme="majorBidi" w:cstheme="majorBidi"/>
          <w:lang w:val="de-DE"/>
        </w:rPr>
        <w:t xml:space="preserve"> </w:t>
      </w:r>
      <w:proofErr w:type="spellStart"/>
      <w:r w:rsidR="00C86BF3" w:rsidRPr="00C91762">
        <w:rPr>
          <w:rFonts w:asciiTheme="majorBidi" w:hAnsiTheme="majorBidi" w:cstheme="majorBidi"/>
          <w:lang w:val="de-DE"/>
        </w:rPr>
        <w:t>lielos</w:t>
      </w:r>
      <w:proofErr w:type="spellEnd"/>
      <w:r w:rsidR="00C86BF3" w:rsidRPr="00C91762">
        <w:rPr>
          <w:rFonts w:asciiTheme="majorBidi" w:hAnsiTheme="majorBidi" w:cstheme="majorBidi"/>
          <w:lang w:val="de-DE"/>
        </w:rPr>
        <w:t xml:space="preserve"> </w:t>
      </w:r>
      <w:proofErr w:type="spellStart"/>
      <w:r w:rsidR="00C86BF3" w:rsidRPr="00C91762">
        <w:rPr>
          <w:rFonts w:asciiTheme="majorBidi" w:hAnsiTheme="majorBidi" w:cstheme="majorBidi"/>
          <w:lang w:val="de-DE"/>
        </w:rPr>
        <w:t>vilcienos</w:t>
      </w:r>
      <w:proofErr w:type="spellEnd"/>
      <w:r w:rsidR="00C86BF3" w:rsidRPr="00C91762">
        <w:rPr>
          <w:rFonts w:asciiTheme="majorBidi" w:hAnsiTheme="majorBidi" w:cstheme="majorBidi"/>
          <w:lang w:val="de-DE"/>
        </w:rPr>
        <w:t xml:space="preserve"> </w:t>
      </w:r>
      <w:proofErr w:type="spellStart"/>
      <w:r w:rsidR="00C86BF3" w:rsidRPr="00C91762">
        <w:rPr>
          <w:rFonts w:asciiTheme="majorBidi" w:hAnsiTheme="majorBidi" w:cstheme="majorBidi"/>
          <w:lang w:val="de-DE"/>
        </w:rPr>
        <w:t>tas</w:t>
      </w:r>
      <w:proofErr w:type="spellEnd"/>
      <w:r w:rsidR="00C86BF3" w:rsidRPr="00C91762">
        <w:rPr>
          <w:rFonts w:asciiTheme="majorBidi" w:hAnsiTheme="majorBidi" w:cstheme="majorBidi"/>
          <w:lang w:val="de-DE"/>
        </w:rPr>
        <w:t xml:space="preserve"> </w:t>
      </w:r>
      <w:proofErr w:type="spellStart"/>
      <w:r w:rsidR="00C86BF3" w:rsidRPr="00C91762">
        <w:rPr>
          <w:rFonts w:asciiTheme="majorBidi" w:hAnsiTheme="majorBidi" w:cstheme="majorBidi"/>
          <w:lang w:val="de-DE"/>
        </w:rPr>
        <w:t>atbilst</w:t>
      </w:r>
      <w:proofErr w:type="spellEnd"/>
      <w:r w:rsidR="00C86BF3" w:rsidRPr="00C91762">
        <w:rPr>
          <w:rFonts w:asciiTheme="majorBidi" w:hAnsiTheme="majorBidi" w:cstheme="majorBidi"/>
          <w:lang w:val="de-DE"/>
        </w:rPr>
        <w:t xml:space="preserve"> </w:t>
      </w:r>
      <w:proofErr w:type="spellStart"/>
      <w:r w:rsidR="00C86BF3" w:rsidRPr="00C91762">
        <w:rPr>
          <w:rFonts w:asciiTheme="majorBidi" w:hAnsiTheme="majorBidi" w:cstheme="majorBidi"/>
          <w:lang w:val="de-DE"/>
        </w:rPr>
        <w:t>šajās</w:t>
      </w:r>
      <w:proofErr w:type="spellEnd"/>
      <w:r w:rsidR="00C86BF3" w:rsidRPr="00C91762">
        <w:rPr>
          <w:rFonts w:asciiTheme="majorBidi" w:hAnsiTheme="majorBidi" w:cstheme="majorBidi"/>
          <w:lang w:val="de-DE"/>
        </w:rPr>
        <w:t xml:space="preserve"> </w:t>
      </w:r>
      <w:proofErr w:type="spellStart"/>
      <w:r w:rsidR="00C86BF3" w:rsidRPr="00C91762">
        <w:rPr>
          <w:rFonts w:asciiTheme="majorBidi" w:hAnsiTheme="majorBidi" w:cstheme="majorBidi"/>
          <w:lang w:val="de-DE"/>
        </w:rPr>
        <w:t>tiesību</w:t>
      </w:r>
      <w:proofErr w:type="spellEnd"/>
      <w:r w:rsidR="00C86BF3" w:rsidRPr="00C91762">
        <w:rPr>
          <w:rFonts w:asciiTheme="majorBidi" w:hAnsiTheme="majorBidi" w:cstheme="majorBidi"/>
          <w:lang w:val="de-DE"/>
        </w:rPr>
        <w:t xml:space="preserve"> </w:t>
      </w:r>
      <w:proofErr w:type="spellStart"/>
      <w:r w:rsidR="00C86BF3" w:rsidRPr="00C91762">
        <w:rPr>
          <w:rFonts w:asciiTheme="majorBidi" w:hAnsiTheme="majorBidi" w:cstheme="majorBidi"/>
          <w:lang w:val="de-DE"/>
        </w:rPr>
        <w:t>normās</w:t>
      </w:r>
      <w:proofErr w:type="spellEnd"/>
      <w:r w:rsidR="00C86BF3" w:rsidRPr="00C91762">
        <w:rPr>
          <w:rFonts w:asciiTheme="majorBidi" w:hAnsiTheme="majorBidi" w:cstheme="majorBidi"/>
          <w:lang w:val="de-DE"/>
        </w:rPr>
        <w:t xml:space="preserve"> </w:t>
      </w:r>
      <w:proofErr w:type="spellStart"/>
      <w:proofErr w:type="gramStart"/>
      <w:r w:rsidR="00C86BF3" w:rsidRPr="00C91762">
        <w:rPr>
          <w:rFonts w:asciiTheme="majorBidi" w:hAnsiTheme="majorBidi" w:cstheme="majorBidi"/>
          <w:lang w:val="de-DE"/>
        </w:rPr>
        <w:t>izvirzītajām</w:t>
      </w:r>
      <w:proofErr w:type="spellEnd"/>
      <w:r w:rsidR="00C86BF3" w:rsidRPr="00C91762">
        <w:rPr>
          <w:rFonts w:asciiTheme="majorBidi" w:hAnsiTheme="majorBidi" w:cstheme="majorBidi"/>
          <w:lang w:val="de-DE"/>
        </w:rPr>
        <w:t xml:space="preserve">  </w:t>
      </w:r>
      <w:proofErr w:type="spellStart"/>
      <w:r w:rsidR="00C86BF3" w:rsidRPr="00C91762">
        <w:rPr>
          <w:rFonts w:asciiTheme="majorBidi" w:hAnsiTheme="majorBidi" w:cstheme="majorBidi"/>
          <w:lang w:val="de-DE"/>
        </w:rPr>
        <w:t>prasībām</w:t>
      </w:r>
      <w:proofErr w:type="spellEnd"/>
      <w:proofErr w:type="gramEnd"/>
      <w:r w:rsidR="00C86BF3" w:rsidRPr="00C91762">
        <w:rPr>
          <w:rFonts w:asciiTheme="majorBidi" w:hAnsiTheme="majorBidi" w:cstheme="majorBidi"/>
          <w:lang w:val="de-DE"/>
        </w:rPr>
        <w:t xml:space="preserve"> par „</w:t>
      </w:r>
      <w:proofErr w:type="spellStart"/>
      <w:r w:rsidR="00C86BF3" w:rsidRPr="00C91762">
        <w:rPr>
          <w:rFonts w:asciiTheme="majorBidi" w:hAnsiTheme="majorBidi" w:cstheme="majorBidi"/>
          <w:lang w:val="de-DE"/>
        </w:rPr>
        <w:t>publisku</w:t>
      </w:r>
      <w:proofErr w:type="spellEnd"/>
      <w:r w:rsidR="00C86BF3" w:rsidRPr="00C91762">
        <w:rPr>
          <w:rFonts w:asciiTheme="majorBidi" w:hAnsiTheme="majorBidi" w:cstheme="majorBidi"/>
          <w:lang w:val="de-DE"/>
        </w:rPr>
        <w:t xml:space="preserve"> </w:t>
      </w:r>
      <w:proofErr w:type="spellStart"/>
      <w:r w:rsidR="00C86BF3" w:rsidRPr="00C91762">
        <w:rPr>
          <w:rFonts w:asciiTheme="majorBidi" w:hAnsiTheme="majorBidi" w:cstheme="majorBidi"/>
          <w:lang w:val="de-DE"/>
        </w:rPr>
        <w:t>dokumentu</w:t>
      </w:r>
      <w:proofErr w:type="spellEnd"/>
      <w:r w:rsidR="00C86BF3" w:rsidRPr="00C91762">
        <w:rPr>
          <w:rFonts w:asciiTheme="majorBidi" w:hAnsiTheme="majorBidi" w:cstheme="majorBidi"/>
          <w:lang w:val="de-DE"/>
        </w:rPr>
        <w:t xml:space="preserve">“. </w:t>
      </w:r>
      <w:proofErr w:type="spellStart"/>
      <w:r w:rsidR="00C86BF3" w:rsidRPr="00C91762">
        <w:rPr>
          <w:rFonts w:asciiTheme="majorBidi" w:hAnsiTheme="majorBidi" w:cstheme="majorBidi"/>
          <w:lang w:val="de-DE"/>
        </w:rPr>
        <w:t>Tādēļ</w:t>
      </w:r>
      <w:proofErr w:type="spellEnd"/>
      <w:r w:rsidR="00C86BF3" w:rsidRPr="00C91762">
        <w:rPr>
          <w:rFonts w:asciiTheme="majorBidi" w:hAnsiTheme="majorBidi" w:cstheme="majorBidi"/>
          <w:lang w:val="de-DE"/>
        </w:rPr>
        <w:t xml:space="preserve"> </w:t>
      </w:r>
      <w:proofErr w:type="spellStart"/>
      <w:r w:rsidR="00C86BF3" w:rsidRPr="00C91762">
        <w:rPr>
          <w:rFonts w:asciiTheme="majorBidi" w:hAnsiTheme="majorBidi" w:cstheme="majorBidi"/>
          <w:lang w:val="de-DE"/>
        </w:rPr>
        <w:t>šeit</w:t>
      </w:r>
      <w:proofErr w:type="spellEnd"/>
      <w:r w:rsidR="00C86BF3" w:rsidRPr="00C91762">
        <w:rPr>
          <w:rFonts w:asciiTheme="majorBidi" w:hAnsiTheme="majorBidi" w:cstheme="majorBidi"/>
          <w:lang w:val="de-DE"/>
        </w:rPr>
        <w:t xml:space="preserve"> ne </w:t>
      </w:r>
      <w:proofErr w:type="spellStart"/>
      <w:r w:rsidR="00C86BF3" w:rsidRPr="00C91762">
        <w:rPr>
          <w:rFonts w:asciiTheme="majorBidi" w:hAnsiTheme="majorBidi" w:cstheme="majorBidi"/>
          <w:lang w:val="de-DE"/>
        </w:rPr>
        <w:t>tik</w:t>
      </w:r>
      <w:proofErr w:type="spellEnd"/>
      <w:r w:rsidR="00C86BF3" w:rsidRPr="00C91762">
        <w:rPr>
          <w:rFonts w:asciiTheme="majorBidi" w:hAnsiTheme="majorBidi" w:cstheme="majorBidi"/>
          <w:lang w:val="de-DE"/>
        </w:rPr>
        <w:t xml:space="preserve"> </w:t>
      </w:r>
      <w:proofErr w:type="spellStart"/>
      <w:r w:rsidR="00C86BF3" w:rsidRPr="00C91762">
        <w:rPr>
          <w:rFonts w:asciiTheme="majorBidi" w:hAnsiTheme="majorBidi" w:cstheme="majorBidi"/>
          <w:lang w:val="de-DE"/>
        </w:rPr>
        <w:t>daudz</w:t>
      </w:r>
      <w:proofErr w:type="spellEnd"/>
      <w:r w:rsidR="00C86BF3" w:rsidRPr="00C91762">
        <w:rPr>
          <w:rFonts w:asciiTheme="majorBidi" w:hAnsiTheme="majorBidi" w:cstheme="majorBidi"/>
          <w:lang w:val="de-DE"/>
        </w:rPr>
        <w:t xml:space="preserve"> </w:t>
      </w:r>
      <w:proofErr w:type="spellStart"/>
      <w:r w:rsidR="00C86BF3" w:rsidRPr="00C91762">
        <w:rPr>
          <w:rFonts w:asciiTheme="majorBidi" w:hAnsiTheme="majorBidi" w:cstheme="majorBidi"/>
          <w:lang w:val="de-DE"/>
        </w:rPr>
        <w:t>notiks</w:t>
      </w:r>
      <w:proofErr w:type="spellEnd"/>
      <w:r w:rsidR="00C86BF3" w:rsidRPr="00C91762">
        <w:rPr>
          <w:rFonts w:asciiTheme="majorBidi" w:hAnsiTheme="majorBidi" w:cstheme="majorBidi"/>
          <w:lang w:val="de-DE"/>
        </w:rPr>
        <w:t xml:space="preserve"> </w:t>
      </w:r>
      <w:proofErr w:type="spellStart"/>
      <w:r w:rsidR="00C86BF3" w:rsidRPr="00C91762">
        <w:rPr>
          <w:rFonts w:asciiTheme="majorBidi" w:hAnsiTheme="majorBidi" w:cstheme="majorBidi"/>
          <w:lang w:val="de-DE"/>
        </w:rPr>
        <w:t>subsumcija</w:t>
      </w:r>
      <w:proofErr w:type="spellEnd"/>
      <w:r w:rsidR="00C86BF3" w:rsidRPr="00C91762">
        <w:rPr>
          <w:rFonts w:asciiTheme="majorBidi" w:hAnsiTheme="majorBidi" w:cstheme="majorBidi"/>
          <w:lang w:val="de-DE"/>
        </w:rPr>
        <w:t xml:space="preserve">, </w:t>
      </w:r>
      <w:proofErr w:type="spellStart"/>
      <w:r w:rsidR="00C86BF3" w:rsidRPr="00C91762">
        <w:rPr>
          <w:rFonts w:asciiTheme="majorBidi" w:hAnsiTheme="majorBidi" w:cstheme="majorBidi"/>
          <w:lang w:val="de-DE"/>
        </w:rPr>
        <w:t>cik</w:t>
      </w:r>
      <w:proofErr w:type="spellEnd"/>
      <w:r w:rsidR="00C86BF3" w:rsidRPr="00C91762">
        <w:rPr>
          <w:rFonts w:asciiTheme="majorBidi" w:hAnsiTheme="majorBidi" w:cstheme="majorBidi"/>
          <w:lang w:val="de-DE"/>
        </w:rPr>
        <w:t xml:space="preserve"> </w:t>
      </w:r>
      <w:proofErr w:type="spellStart"/>
      <w:r w:rsidR="00C86BF3" w:rsidRPr="00C91762">
        <w:rPr>
          <w:rFonts w:asciiTheme="majorBidi" w:hAnsiTheme="majorBidi" w:cstheme="majorBidi"/>
          <w:lang w:val="de-DE"/>
        </w:rPr>
        <w:t>ekvivalences</w:t>
      </w:r>
      <w:proofErr w:type="spellEnd"/>
      <w:r w:rsidR="00C86BF3" w:rsidRPr="00C91762">
        <w:rPr>
          <w:rFonts w:asciiTheme="majorBidi" w:hAnsiTheme="majorBidi" w:cstheme="majorBidi"/>
          <w:lang w:val="de-DE"/>
        </w:rPr>
        <w:t xml:space="preserve"> </w:t>
      </w:r>
      <w:proofErr w:type="spellStart"/>
      <w:r w:rsidR="00C86BF3" w:rsidRPr="00C91762">
        <w:rPr>
          <w:rFonts w:asciiTheme="majorBidi" w:hAnsiTheme="majorBidi" w:cstheme="majorBidi"/>
          <w:lang w:val="de-DE"/>
        </w:rPr>
        <w:t>konstatēšana</w:t>
      </w:r>
      <w:proofErr w:type="spellEnd"/>
      <w:r w:rsidR="00C86BF3" w:rsidRPr="00C91762">
        <w:rPr>
          <w:rFonts w:asciiTheme="majorBidi" w:hAnsiTheme="majorBidi" w:cstheme="majorBidi"/>
          <w:lang w:val="de-DE"/>
        </w:rPr>
        <w:t xml:space="preserve"> (</w:t>
      </w:r>
      <w:proofErr w:type="spellStart"/>
      <w:r w:rsidR="00C86BF3" w:rsidRPr="00C91762">
        <w:rPr>
          <w:rFonts w:asciiTheme="majorBidi" w:hAnsiTheme="majorBidi" w:cstheme="majorBidi"/>
          <w:lang w:val="de-DE"/>
        </w:rPr>
        <w:t>jo</w:t>
      </w:r>
      <w:proofErr w:type="spellEnd"/>
      <w:r w:rsidR="00C86BF3" w:rsidRPr="00C91762">
        <w:rPr>
          <w:rFonts w:asciiTheme="majorBidi" w:hAnsiTheme="majorBidi" w:cstheme="majorBidi"/>
          <w:lang w:val="de-DE"/>
        </w:rPr>
        <w:t xml:space="preserve"> </w:t>
      </w:r>
      <w:proofErr w:type="spellStart"/>
      <w:r w:rsidR="00C86BF3" w:rsidRPr="00C91762">
        <w:rPr>
          <w:rFonts w:asciiTheme="majorBidi" w:hAnsiTheme="majorBidi" w:cstheme="majorBidi"/>
          <w:lang w:val="de-DE"/>
        </w:rPr>
        <w:t>ārvalsts</w:t>
      </w:r>
      <w:proofErr w:type="spellEnd"/>
      <w:r w:rsidR="00C86BF3" w:rsidRPr="00C91762">
        <w:rPr>
          <w:rFonts w:asciiTheme="majorBidi" w:hAnsiTheme="majorBidi" w:cstheme="majorBidi"/>
          <w:lang w:val="de-DE"/>
        </w:rPr>
        <w:t xml:space="preserve"> </w:t>
      </w:r>
      <w:proofErr w:type="spellStart"/>
      <w:r w:rsidR="00C86BF3" w:rsidRPr="00C91762">
        <w:rPr>
          <w:rFonts w:asciiTheme="majorBidi" w:hAnsiTheme="majorBidi" w:cstheme="majorBidi"/>
          <w:lang w:val="de-DE"/>
        </w:rPr>
        <w:t>dokumentam</w:t>
      </w:r>
      <w:proofErr w:type="spellEnd"/>
      <w:r w:rsidR="00C86BF3" w:rsidRPr="00C91762">
        <w:rPr>
          <w:rFonts w:asciiTheme="majorBidi" w:hAnsiTheme="majorBidi" w:cstheme="majorBidi"/>
          <w:lang w:val="de-DE"/>
        </w:rPr>
        <w:t xml:space="preserve"> </w:t>
      </w:r>
      <w:proofErr w:type="spellStart"/>
      <w:r w:rsidR="00C86BF3" w:rsidRPr="00C91762">
        <w:rPr>
          <w:rFonts w:asciiTheme="majorBidi" w:hAnsiTheme="majorBidi" w:cstheme="majorBidi"/>
          <w:lang w:val="de-DE"/>
        </w:rPr>
        <w:t>nav</w:t>
      </w:r>
      <w:proofErr w:type="spellEnd"/>
      <w:r w:rsidR="00C86BF3" w:rsidRPr="00C91762">
        <w:rPr>
          <w:rFonts w:asciiTheme="majorBidi" w:hAnsiTheme="majorBidi" w:cstheme="majorBidi"/>
          <w:lang w:val="de-DE"/>
        </w:rPr>
        <w:t xml:space="preserve"> </w:t>
      </w:r>
      <w:proofErr w:type="spellStart"/>
      <w:r w:rsidR="00C86BF3" w:rsidRPr="00C91762">
        <w:rPr>
          <w:rFonts w:asciiTheme="majorBidi" w:hAnsiTheme="majorBidi" w:cstheme="majorBidi"/>
          <w:lang w:val="de-DE"/>
        </w:rPr>
        <w:t>pilnībā</w:t>
      </w:r>
      <w:proofErr w:type="spellEnd"/>
      <w:r w:rsidR="00C86BF3" w:rsidRPr="00C91762">
        <w:rPr>
          <w:rFonts w:asciiTheme="majorBidi" w:hAnsiTheme="majorBidi" w:cstheme="majorBidi"/>
          <w:lang w:val="de-DE"/>
        </w:rPr>
        <w:t xml:space="preserve"> </w:t>
      </w:r>
      <w:proofErr w:type="spellStart"/>
      <w:r w:rsidR="00C86BF3" w:rsidRPr="00C91762">
        <w:rPr>
          <w:rFonts w:asciiTheme="majorBidi" w:hAnsiTheme="majorBidi" w:cstheme="majorBidi"/>
          <w:lang w:val="de-DE"/>
        </w:rPr>
        <w:t>jāatbilst</w:t>
      </w:r>
      <w:proofErr w:type="spellEnd"/>
      <w:r w:rsidR="00C86BF3" w:rsidRPr="00C91762">
        <w:rPr>
          <w:rFonts w:asciiTheme="majorBidi" w:hAnsiTheme="majorBidi" w:cstheme="majorBidi"/>
          <w:lang w:val="de-DE"/>
        </w:rPr>
        <w:t xml:space="preserve"> </w:t>
      </w:r>
      <w:proofErr w:type="spellStart"/>
      <w:r w:rsidR="00C86BF3" w:rsidRPr="00C91762">
        <w:rPr>
          <w:rFonts w:asciiTheme="majorBidi" w:hAnsiTheme="majorBidi" w:cstheme="majorBidi"/>
          <w:lang w:val="de-DE"/>
        </w:rPr>
        <w:t>šajās</w:t>
      </w:r>
      <w:proofErr w:type="spellEnd"/>
      <w:r w:rsidR="00C86BF3" w:rsidRPr="00C91762">
        <w:rPr>
          <w:rFonts w:asciiTheme="majorBidi" w:hAnsiTheme="majorBidi" w:cstheme="majorBidi"/>
          <w:lang w:val="de-DE"/>
        </w:rPr>
        <w:t xml:space="preserve"> </w:t>
      </w:r>
      <w:proofErr w:type="spellStart"/>
      <w:r w:rsidR="00C86BF3" w:rsidRPr="00C91762">
        <w:rPr>
          <w:rFonts w:asciiTheme="majorBidi" w:hAnsiTheme="majorBidi" w:cstheme="majorBidi"/>
          <w:lang w:val="de-DE"/>
        </w:rPr>
        <w:t>tiesību</w:t>
      </w:r>
      <w:proofErr w:type="spellEnd"/>
      <w:r w:rsidR="00C86BF3" w:rsidRPr="00C91762">
        <w:rPr>
          <w:rFonts w:asciiTheme="majorBidi" w:hAnsiTheme="majorBidi" w:cstheme="majorBidi"/>
          <w:lang w:val="de-DE"/>
        </w:rPr>
        <w:t xml:space="preserve"> </w:t>
      </w:r>
      <w:proofErr w:type="spellStart"/>
      <w:r w:rsidR="00C86BF3" w:rsidRPr="00C91762">
        <w:rPr>
          <w:rFonts w:asciiTheme="majorBidi" w:hAnsiTheme="majorBidi" w:cstheme="majorBidi"/>
          <w:lang w:val="de-DE"/>
        </w:rPr>
        <w:t>normās</w:t>
      </w:r>
      <w:proofErr w:type="spellEnd"/>
      <w:r w:rsidR="00C86BF3" w:rsidRPr="00C91762">
        <w:rPr>
          <w:rFonts w:asciiTheme="majorBidi" w:hAnsiTheme="majorBidi" w:cstheme="majorBidi"/>
          <w:lang w:val="de-DE"/>
        </w:rPr>
        <w:t xml:space="preserve"> </w:t>
      </w:r>
      <w:proofErr w:type="spellStart"/>
      <w:r w:rsidR="00C86BF3" w:rsidRPr="00C91762">
        <w:rPr>
          <w:rFonts w:asciiTheme="majorBidi" w:hAnsiTheme="majorBidi" w:cstheme="majorBidi"/>
          <w:lang w:val="de-DE"/>
        </w:rPr>
        <w:t>izvirzītajām</w:t>
      </w:r>
      <w:proofErr w:type="spellEnd"/>
      <w:r w:rsidR="00C86BF3" w:rsidRPr="00C91762">
        <w:rPr>
          <w:rFonts w:asciiTheme="majorBidi" w:hAnsiTheme="majorBidi" w:cstheme="majorBidi"/>
          <w:lang w:val="de-DE"/>
        </w:rPr>
        <w:t xml:space="preserve"> </w:t>
      </w:r>
      <w:proofErr w:type="spellStart"/>
      <w:r w:rsidR="00C86BF3" w:rsidRPr="00C91762">
        <w:rPr>
          <w:rFonts w:asciiTheme="majorBidi" w:hAnsiTheme="majorBidi" w:cstheme="majorBidi"/>
          <w:lang w:val="de-DE"/>
        </w:rPr>
        <w:t>prasībām</w:t>
      </w:r>
      <w:proofErr w:type="spellEnd"/>
      <w:r w:rsidR="00C86BF3" w:rsidRPr="00C91762">
        <w:rPr>
          <w:rFonts w:asciiTheme="majorBidi" w:hAnsiTheme="majorBidi" w:cstheme="majorBidi"/>
          <w:lang w:val="de-DE"/>
        </w:rPr>
        <w:t xml:space="preserve">). Ja </w:t>
      </w:r>
      <w:proofErr w:type="spellStart"/>
      <w:r w:rsidR="00C86BF3" w:rsidRPr="00C91762">
        <w:rPr>
          <w:rFonts w:asciiTheme="majorBidi" w:hAnsiTheme="majorBidi" w:cstheme="majorBidi"/>
          <w:lang w:val="de-DE"/>
        </w:rPr>
        <w:t>ar</w:t>
      </w:r>
      <w:proofErr w:type="spellEnd"/>
      <w:r w:rsidR="00C86BF3" w:rsidRPr="00C91762">
        <w:rPr>
          <w:rFonts w:asciiTheme="majorBidi" w:hAnsiTheme="majorBidi" w:cstheme="majorBidi"/>
          <w:lang w:val="de-DE"/>
        </w:rPr>
        <w:t xml:space="preserve"> </w:t>
      </w:r>
      <w:proofErr w:type="spellStart"/>
      <w:r w:rsidR="00C86BF3" w:rsidRPr="00C91762">
        <w:rPr>
          <w:rFonts w:asciiTheme="majorBidi" w:hAnsiTheme="majorBidi" w:cstheme="majorBidi"/>
          <w:lang w:val="de-DE"/>
        </w:rPr>
        <w:t>konkrēto</w:t>
      </w:r>
      <w:proofErr w:type="spellEnd"/>
      <w:r w:rsidR="00C86BF3" w:rsidRPr="00C91762">
        <w:rPr>
          <w:rFonts w:asciiTheme="majorBidi" w:hAnsiTheme="majorBidi" w:cstheme="majorBidi"/>
          <w:lang w:val="de-DE"/>
        </w:rPr>
        <w:t xml:space="preserve"> </w:t>
      </w:r>
      <w:proofErr w:type="spellStart"/>
      <w:r w:rsidR="00C86BF3" w:rsidRPr="00C91762">
        <w:rPr>
          <w:rFonts w:asciiTheme="majorBidi" w:hAnsiTheme="majorBidi" w:cstheme="majorBidi"/>
          <w:lang w:val="de-DE"/>
        </w:rPr>
        <w:t>ārvalsts</w:t>
      </w:r>
      <w:proofErr w:type="spellEnd"/>
      <w:r w:rsidR="00C86BF3" w:rsidRPr="00C91762">
        <w:rPr>
          <w:rFonts w:asciiTheme="majorBidi" w:hAnsiTheme="majorBidi" w:cstheme="majorBidi"/>
          <w:lang w:val="de-DE"/>
        </w:rPr>
        <w:t xml:space="preserve"> </w:t>
      </w:r>
      <w:proofErr w:type="spellStart"/>
      <w:r w:rsidR="00C86BF3" w:rsidRPr="00C91762">
        <w:rPr>
          <w:rFonts w:asciiTheme="majorBidi" w:hAnsiTheme="majorBidi" w:cstheme="majorBidi"/>
          <w:lang w:val="de-DE"/>
        </w:rPr>
        <w:t>dokumentu</w:t>
      </w:r>
      <w:proofErr w:type="spellEnd"/>
      <w:r w:rsidR="00C86BF3" w:rsidRPr="00C91762">
        <w:rPr>
          <w:rFonts w:asciiTheme="majorBidi" w:hAnsiTheme="majorBidi" w:cstheme="majorBidi"/>
          <w:lang w:val="de-DE"/>
        </w:rPr>
        <w:t xml:space="preserve"> </w:t>
      </w:r>
      <w:proofErr w:type="spellStart"/>
      <w:r w:rsidR="00C86BF3" w:rsidRPr="00C91762">
        <w:rPr>
          <w:rFonts w:asciiTheme="majorBidi" w:hAnsiTheme="majorBidi" w:cstheme="majorBidi"/>
          <w:lang w:val="de-DE"/>
        </w:rPr>
        <w:t>var</w:t>
      </w:r>
      <w:proofErr w:type="spellEnd"/>
      <w:r w:rsidR="00C86BF3" w:rsidRPr="00C91762">
        <w:rPr>
          <w:rFonts w:asciiTheme="majorBidi" w:hAnsiTheme="majorBidi" w:cstheme="majorBidi"/>
          <w:lang w:val="de-DE"/>
        </w:rPr>
        <w:t xml:space="preserve"> </w:t>
      </w:r>
      <w:proofErr w:type="spellStart"/>
      <w:r w:rsidR="00C86BF3" w:rsidRPr="00C91762">
        <w:rPr>
          <w:rFonts w:asciiTheme="majorBidi" w:hAnsiTheme="majorBidi" w:cstheme="majorBidi"/>
          <w:lang w:val="de-DE"/>
        </w:rPr>
        <w:t>aizstāt</w:t>
      </w:r>
      <w:proofErr w:type="spellEnd"/>
      <w:r w:rsidR="00C86BF3" w:rsidRPr="00C91762">
        <w:rPr>
          <w:rFonts w:asciiTheme="majorBidi" w:hAnsiTheme="majorBidi" w:cstheme="majorBidi"/>
          <w:lang w:val="de-DE"/>
        </w:rPr>
        <w:t xml:space="preserve"> „</w:t>
      </w:r>
      <w:proofErr w:type="spellStart"/>
      <w:r w:rsidR="00C86BF3" w:rsidRPr="00C91762">
        <w:rPr>
          <w:rFonts w:asciiTheme="majorBidi" w:hAnsiTheme="majorBidi" w:cstheme="majorBidi"/>
          <w:lang w:val="de-DE"/>
        </w:rPr>
        <w:t>publisku</w:t>
      </w:r>
      <w:proofErr w:type="spellEnd"/>
      <w:r w:rsidR="00C86BF3" w:rsidRPr="00C91762">
        <w:rPr>
          <w:rFonts w:asciiTheme="majorBidi" w:hAnsiTheme="majorBidi" w:cstheme="majorBidi"/>
          <w:lang w:val="de-DE"/>
        </w:rPr>
        <w:t xml:space="preserve"> </w:t>
      </w:r>
      <w:proofErr w:type="spellStart"/>
      <w:r w:rsidR="00C86BF3" w:rsidRPr="00C91762">
        <w:rPr>
          <w:rFonts w:asciiTheme="majorBidi" w:hAnsiTheme="majorBidi" w:cstheme="majorBidi"/>
          <w:lang w:val="de-DE"/>
        </w:rPr>
        <w:t>dokumentu</w:t>
      </w:r>
      <w:proofErr w:type="spellEnd"/>
      <w:r w:rsidR="00C86BF3" w:rsidRPr="00C91762">
        <w:rPr>
          <w:rFonts w:asciiTheme="majorBidi" w:hAnsiTheme="majorBidi" w:cstheme="majorBidi"/>
          <w:lang w:val="de-DE"/>
        </w:rPr>
        <w:t xml:space="preserve">“, </w:t>
      </w:r>
      <w:proofErr w:type="spellStart"/>
      <w:r w:rsidR="00C86BF3" w:rsidRPr="00C91762">
        <w:rPr>
          <w:rFonts w:asciiTheme="majorBidi" w:hAnsiTheme="majorBidi" w:cstheme="majorBidi"/>
          <w:lang w:val="de-DE"/>
        </w:rPr>
        <w:t>kāds</w:t>
      </w:r>
      <w:proofErr w:type="spellEnd"/>
      <w:r w:rsidR="00C86BF3" w:rsidRPr="00C91762">
        <w:rPr>
          <w:rFonts w:asciiTheme="majorBidi" w:hAnsiTheme="majorBidi" w:cstheme="majorBidi"/>
          <w:lang w:val="de-DE"/>
        </w:rPr>
        <w:t xml:space="preserve"> </w:t>
      </w:r>
      <w:proofErr w:type="spellStart"/>
      <w:r w:rsidR="00C86BF3" w:rsidRPr="00C91762">
        <w:rPr>
          <w:rFonts w:asciiTheme="majorBidi" w:hAnsiTheme="majorBidi" w:cstheme="majorBidi"/>
          <w:lang w:val="de-DE"/>
        </w:rPr>
        <w:t>prasīts</w:t>
      </w:r>
      <w:proofErr w:type="spellEnd"/>
      <w:r w:rsidR="00C86BF3" w:rsidRPr="00C91762">
        <w:rPr>
          <w:rFonts w:asciiTheme="majorBidi" w:hAnsiTheme="majorBidi" w:cstheme="majorBidi"/>
          <w:lang w:val="de-DE"/>
        </w:rPr>
        <w:t xml:space="preserve"> </w:t>
      </w:r>
      <w:proofErr w:type="spellStart"/>
      <w:r w:rsidR="00C86BF3" w:rsidRPr="00C91762">
        <w:rPr>
          <w:rFonts w:asciiTheme="majorBidi" w:hAnsiTheme="majorBidi" w:cstheme="majorBidi"/>
          <w:lang w:val="de-DE"/>
        </w:rPr>
        <w:t>Notariāta</w:t>
      </w:r>
      <w:proofErr w:type="spellEnd"/>
      <w:r w:rsidR="00C86BF3" w:rsidRPr="00C91762">
        <w:rPr>
          <w:rFonts w:asciiTheme="majorBidi" w:hAnsiTheme="majorBidi" w:cstheme="majorBidi"/>
          <w:lang w:val="de-DE"/>
        </w:rPr>
        <w:t xml:space="preserve"> </w:t>
      </w:r>
      <w:proofErr w:type="spellStart"/>
      <w:r w:rsidR="00C86BF3" w:rsidRPr="00C91762">
        <w:rPr>
          <w:rFonts w:asciiTheme="majorBidi" w:hAnsiTheme="majorBidi" w:cstheme="majorBidi"/>
          <w:lang w:val="de-DE"/>
        </w:rPr>
        <w:t>likuma</w:t>
      </w:r>
      <w:proofErr w:type="spellEnd"/>
      <w:r w:rsidR="00C86BF3" w:rsidRPr="00C91762">
        <w:rPr>
          <w:rFonts w:asciiTheme="majorBidi" w:hAnsiTheme="majorBidi" w:cstheme="majorBidi"/>
          <w:lang w:val="de-DE"/>
        </w:rPr>
        <w:t xml:space="preserve"> 81.pantā, </w:t>
      </w:r>
      <w:proofErr w:type="spellStart"/>
      <w:r w:rsidR="00C86BF3" w:rsidRPr="00C91762">
        <w:rPr>
          <w:rFonts w:asciiTheme="majorBidi" w:hAnsiTheme="majorBidi" w:cstheme="majorBidi"/>
          <w:lang w:val="de-DE"/>
        </w:rPr>
        <w:t>tad</w:t>
      </w:r>
      <w:proofErr w:type="spellEnd"/>
      <w:r w:rsidR="00C86BF3" w:rsidRPr="00C91762">
        <w:rPr>
          <w:rFonts w:asciiTheme="majorBidi" w:hAnsiTheme="majorBidi" w:cstheme="majorBidi"/>
          <w:lang w:val="de-DE"/>
        </w:rPr>
        <w:t xml:space="preserve"> </w:t>
      </w:r>
      <w:proofErr w:type="spellStart"/>
      <w:r w:rsidR="00C86BF3" w:rsidRPr="00C91762">
        <w:rPr>
          <w:rFonts w:asciiTheme="majorBidi" w:hAnsiTheme="majorBidi" w:cstheme="majorBidi"/>
          <w:lang w:val="de-DE"/>
        </w:rPr>
        <w:t>ekvivalence</w:t>
      </w:r>
      <w:proofErr w:type="spellEnd"/>
      <w:r w:rsidR="00C86BF3" w:rsidRPr="00C91762">
        <w:rPr>
          <w:rFonts w:asciiTheme="majorBidi" w:hAnsiTheme="majorBidi" w:cstheme="majorBidi"/>
          <w:lang w:val="de-DE"/>
        </w:rPr>
        <w:t xml:space="preserve"> </w:t>
      </w:r>
      <w:proofErr w:type="spellStart"/>
      <w:r w:rsidR="00C86BF3" w:rsidRPr="00C91762">
        <w:rPr>
          <w:rFonts w:asciiTheme="majorBidi" w:hAnsiTheme="majorBidi" w:cstheme="majorBidi"/>
          <w:lang w:val="de-DE"/>
        </w:rPr>
        <w:t>ir</w:t>
      </w:r>
      <w:proofErr w:type="spellEnd"/>
      <w:r w:rsidR="00C86BF3" w:rsidRPr="00C91762">
        <w:rPr>
          <w:rFonts w:asciiTheme="majorBidi" w:hAnsiTheme="majorBidi" w:cstheme="majorBidi"/>
          <w:lang w:val="de-DE"/>
        </w:rPr>
        <w:t xml:space="preserve"> </w:t>
      </w:r>
      <w:proofErr w:type="spellStart"/>
      <w:r w:rsidR="00C86BF3" w:rsidRPr="00C91762">
        <w:rPr>
          <w:rFonts w:asciiTheme="majorBidi" w:hAnsiTheme="majorBidi" w:cstheme="majorBidi"/>
          <w:lang w:val="de-DE"/>
        </w:rPr>
        <w:t>sekmīgi</w:t>
      </w:r>
      <w:proofErr w:type="spellEnd"/>
      <w:r w:rsidR="00C86BF3" w:rsidRPr="00C91762">
        <w:rPr>
          <w:rFonts w:asciiTheme="majorBidi" w:hAnsiTheme="majorBidi" w:cstheme="majorBidi"/>
          <w:lang w:val="de-DE"/>
        </w:rPr>
        <w:t xml:space="preserve"> </w:t>
      </w:r>
      <w:proofErr w:type="spellStart"/>
      <w:r w:rsidR="00C86BF3" w:rsidRPr="00C91762">
        <w:rPr>
          <w:rFonts w:asciiTheme="majorBidi" w:hAnsiTheme="majorBidi" w:cstheme="majorBidi"/>
          <w:lang w:val="de-DE"/>
        </w:rPr>
        <w:t>notikusi</w:t>
      </w:r>
      <w:proofErr w:type="spellEnd"/>
      <w:r w:rsidR="00C86BF3" w:rsidRPr="00C91762">
        <w:rPr>
          <w:rFonts w:asciiTheme="majorBidi" w:hAnsiTheme="majorBidi" w:cstheme="majorBidi"/>
          <w:lang w:val="de-DE"/>
        </w:rPr>
        <w:t xml:space="preserve"> </w:t>
      </w:r>
      <w:proofErr w:type="spellStart"/>
      <w:r w:rsidR="00C86BF3" w:rsidRPr="00C91762">
        <w:rPr>
          <w:rFonts w:asciiTheme="majorBidi" w:hAnsiTheme="majorBidi" w:cstheme="majorBidi"/>
          <w:lang w:val="de-DE"/>
        </w:rPr>
        <w:t>un</w:t>
      </w:r>
      <w:proofErr w:type="spellEnd"/>
      <w:r w:rsidR="00C86BF3" w:rsidRPr="00C91762">
        <w:rPr>
          <w:rFonts w:asciiTheme="majorBidi" w:hAnsiTheme="majorBidi" w:cstheme="majorBidi"/>
          <w:lang w:val="de-DE"/>
        </w:rPr>
        <w:t xml:space="preserve"> </w:t>
      </w:r>
      <w:proofErr w:type="spellStart"/>
      <w:r w:rsidR="00C86BF3" w:rsidRPr="00C91762">
        <w:rPr>
          <w:rFonts w:asciiTheme="majorBidi" w:hAnsiTheme="majorBidi" w:cstheme="majorBidi"/>
          <w:lang w:val="de-DE"/>
        </w:rPr>
        <w:t>šādu</w:t>
      </w:r>
      <w:proofErr w:type="spellEnd"/>
      <w:r w:rsidR="00C86BF3" w:rsidRPr="00C91762">
        <w:rPr>
          <w:rFonts w:asciiTheme="majorBidi" w:hAnsiTheme="majorBidi" w:cstheme="majorBidi"/>
          <w:lang w:val="de-DE"/>
        </w:rPr>
        <w:t xml:space="preserve"> </w:t>
      </w:r>
      <w:proofErr w:type="spellStart"/>
      <w:r w:rsidR="00C86BF3" w:rsidRPr="00C91762">
        <w:rPr>
          <w:rFonts w:asciiTheme="majorBidi" w:hAnsiTheme="majorBidi" w:cstheme="majorBidi"/>
          <w:lang w:val="de-DE"/>
        </w:rPr>
        <w:t>ārvalsts</w:t>
      </w:r>
      <w:proofErr w:type="spellEnd"/>
      <w:r w:rsidR="00C86BF3" w:rsidRPr="00C91762">
        <w:rPr>
          <w:rFonts w:asciiTheme="majorBidi" w:hAnsiTheme="majorBidi" w:cstheme="majorBidi"/>
          <w:lang w:val="de-DE"/>
        </w:rPr>
        <w:t xml:space="preserve"> </w:t>
      </w:r>
      <w:proofErr w:type="spellStart"/>
      <w:r w:rsidR="00C86BF3" w:rsidRPr="00C91762">
        <w:rPr>
          <w:rFonts w:asciiTheme="majorBidi" w:hAnsiTheme="majorBidi" w:cstheme="majorBidi"/>
          <w:lang w:val="de-DE"/>
        </w:rPr>
        <w:t>dokumentu</w:t>
      </w:r>
      <w:proofErr w:type="spellEnd"/>
      <w:r w:rsidR="00C86BF3" w:rsidRPr="00C91762">
        <w:rPr>
          <w:rFonts w:asciiTheme="majorBidi" w:hAnsiTheme="majorBidi" w:cstheme="majorBidi"/>
          <w:lang w:val="de-DE"/>
        </w:rPr>
        <w:t xml:space="preserve"> </w:t>
      </w:r>
      <w:proofErr w:type="spellStart"/>
      <w:r w:rsidR="00C86BF3" w:rsidRPr="00C91762">
        <w:rPr>
          <w:rFonts w:asciiTheme="majorBidi" w:hAnsiTheme="majorBidi" w:cstheme="majorBidi"/>
          <w:lang w:val="de-DE"/>
        </w:rPr>
        <w:t>var</w:t>
      </w:r>
      <w:proofErr w:type="spellEnd"/>
      <w:r w:rsidR="00C86BF3" w:rsidRPr="00C91762">
        <w:rPr>
          <w:rFonts w:asciiTheme="majorBidi" w:hAnsiTheme="majorBidi" w:cstheme="majorBidi"/>
          <w:lang w:val="de-DE"/>
        </w:rPr>
        <w:t xml:space="preserve"> </w:t>
      </w:r>
      <w:proofErr w:type="spellStart"/>
      <w:r w:rsidR="00C86BF3" w:rsidRPr="00C91762">
        <w:rPr>
          <w:rFonts w:asciiTheme="majorBidi" w:hAnsiTheme="majorBidi" w:cstheme="majorBidi"/>
          <w:lang w:val="de-DE"/>
        </w:rPr>
        <w:t>uzskatīt</w:t>
      </w:r>
      <w:proofErr w:type="spellEnd"/>
      <w:r w:rsidR="00C86BF3" w:rsidRPr="00C91762">
        <w:rPr>
          <w:rFonts w:asciiTheme="majorBidi" w:hAnsiTheme="majorBidi" w:cstheme="majorBidi"/>
          <w:lang w:val="de-DE"/>
        </w:rPr>
        <w:t xml:space="preserve"> par „</w:t>
      </w:r>
      <w:proofErr w:type="spellStart"/>
      <w:r w:rsidR="00C86BF3" w:rsidRPr="00C91762">
        <w:rPr>
          <w:rFonts w:asciiTheme="majorBidi" w:hAnsiTheme="majorBidi" w:cstheme="majorBidi"/>
          <w:lang w:val="de-DE"/>
        </w:rPr>
        <w:t>publisku</w:t>
      </w:r>
      <w:proofErr w:type="spellEnd"/>
      <w:r w:rsidR="00C86BF3" w:rsidRPr="00C91762">
        <w:rPr>
          <w:rFonts w:asciiTheme="majorBidi" w:hAnsiTheme="majorBidi" w:cstheme="majorBidi"/>
          <w:lang w:val="de-DE"/>
        </w:rPr>
        <w:t xml:space="preserve"> </w:t>
      </w:r>
      <w:proofErr w:type="spellStart"/>
      <w:r w:rsidR="00C86BF3" w:rsidRPr="00C91762">
        <w:rPr>
          <w:rFonts w:asciiTheme="majorBidi" w:hAnsiTheme="majorBidi" w:cstheme="majorBidi"/>
          <w:lang w:val="de-DE"/>
        </w:rPr>
        <w:t>dokumentu</w:t>
      </w:r>
      <w:proofErr w:type="spellEnd"/>
      <w:r w:rsidR="00C86BF3" w:rsidRPr="00C91762">
        <w:rPr>
          <w:rFonts w:asciiTheme="majorBidi" w:hAnsiTheme="majorBidi" w:cstheme="majorBidi"/>
          <w:lang w:val="de-DE"/>
        </w:rPr>
        <w:t xml:space="preserve">“ </w:t>
      </w:r>
      <w:proofErr w:type="spellStart"/>
      <w:r w:rsidR="00C86BF3" w:rsidRPr="00C91762">
        <w:rPr>
          <w:rFonts w:asciiTheme="majorBidi" w:hAnsiTheme="majorBidi" w:cstheme="majorBidi"/>
          <w:lang w:val="de-DE"/>
        </w:rPr>
        <w:t>Notariāta</w:t>
      </w:r>
      <w:proofErr w:type="spellEnd"/>
      <w:r w:rsidR="00C86BF3" w:rsidRPr="00C91762">
        <w:rPr>
          <w:rFonts w:asciiTheme="majorBidi" w:hAnsiTheme="majorBidi" w:cstheme="majorBidi"/>
          <w:lang w:val="de-DE"/>
        </w:rPr>
        <w:t xml:space="preserve"> </w:t>
      </w:r>
      <w:proofErr w:type="spellStart"/>
      <w:r w:rsidR="00C86BF3" w:rsidRPr="00C91762">
        <w:rPr>
          <w:rFonts w:asciiTheme="majorBidi" w:hAnsiTheme="majorBidi" w:cstheme="majorBidi"/>
          <w:lang w:val="de-DE"/>
        </w:rPr>
        <w:t>likuma</w:t>
      </w:r>
      <w:proofErr w:type="spellEnd"/>
      <w:r w:rsidR="00C86BF3" w:rsidRPr="00C91762">
        <w:rPr>
          <w:rFonts w:asciiTheme="majorBidi" w:hAnsiTheme="majorBidi" w:cstheme="majorBidi"/>
          <w:lang w:val="de-DE"/>
        </w:rPr>
        <w:t xml:space="preserve"> </w:t>
      </w:r>
      <w:proofErr w:type="spellStart"/>
      <w:r w:rsidR="00C86BF3" w:rsidRPr="00C91762">
        <w:rPr>
          <w:rFonts w:asciiTheme="majorBidi" w:hAnsiTheme="majorBidi" w:cstheme="majorBidi"/>
          <w:lang w:val="de-DE"/>
        </w:rPr>
        <w:t>izpratnē</w:t>
      </w:r>
      <w:proofErr w:type="spellEnd"/>
      <w:r w:rsidR="00C86BF3" w:rsidRPr="00C91762">
        <w:rPr>
          <w:rFonts w:asciiTheme="majorBidi" w:hAnsiTheme="majorBidi" w:cstheme="majorBidi"/>
          <w:lang w:val="de-DE"/>
        </w:rPr>
        <w:t xml:space="preserve"> </w:t>
      </w:r>
      <w:proofErr w:type="spellStart"/>
      <w:r w:rsidR="00C86BF3" w:rsidRPr="00C91762">
        <w:rPr>
          <w:rFonts w:asciiTheme="majorBidi" w:hAnsiTheme="majorBidi" w:cstheme="majorBidi"/>
          <w:lang w:val="de-DE"/>
        </w:rPr>
        <w:t>un</w:t>
      </w:r>
      <w:proofErr w:type="spellEnd"/>
      <w:r w:rsidR="00C86BF3" w:rsidRPr="00C91762">
        <w:rPr>
          <w:rFonts w:asciiTheme="majorBidi" w:hAnsiTheme="majorBidi" w:cstheme="majorBidi"/>
          <w:lang w:val="de-DE"/>
        </w:rPr>
        <w:t xml:space="preserve"> </w:t>
      </w:r>
      <w:proofErr w:type="spellStart"/>
      <w:r w:rsidR="00C86BF3" w:rsidRPr="00C91762">
        <w:rPr>
          <w:rFonts w:asciiTheme="majorBidi" w:hAnsiTheme="majorBidi" w:cstheme="majorBidi"/>
          <w:lang w:val="de-DE"/>
        </w:rPr>
        <w:t>jau</w:t>
      </w:r>
      <w:proofErr w:type="spellEnd"/>
      <w:r w:rsidR="00C86BF3" w:rsidRPr="00C91762">
        <w:rPr>
          <w:rFonts w:asciiTheme="majorBidi" w:hAnsiTheme="majorBidi" w:cstheme="majorBidi"/>
          <w:lang w:val="de-DE"/>
        </w:rPr>
        <w:t xml:space="preserve"> </w:t>
      </w:r>
      <w:proofErr w:type="spellStart"/>
      <w:r w:rsidR="00C86BF3" w:rsidRPr="00C91762">
        <w:rPr>
          <w:rFonts w:asciiTheme="majorBidi" w:hAnsiTheme="majorBidi" w:cstheme="majorBidi"/>
          <w:lang w:val="de-DE"/>
        </w:rPr>
        <w:t>tālāk</w:t>
      </w:r>
      <w:proofErr w:type="spellEnd"/>
      <w:r w:rsidR="00C86BF3" w:rsidRPr="00C91762">
        <w:rPr>
          <w:rFonts w:asciiTheme="majorBidi" w:hAnsiTheme="majorBidi" w:cstheme="majorBidi"/>
          <w:lang w:val="de-DE"/>
        </w:rPr>
        <w:t xml:space="preserve"> </w:t>
      </w:r>
      <w:proofErr w:type="spellStart"/>
      <w:r w:rsidR="00C86BF3" w:rsidRPr="00C91762">
        <w:rPr>
          <w:rFonts w:asciiTheme="majorBidi" w:hAnsiTheme="majorBidi" w:cstheme="majorBidi"/>
          <w:lang w:val="de-DE"/>
        </w:rPr>
        <w:t>izmantot</w:t>
      </w:r>
      <w:proofErr w:type="spellEnd"/>
      <w:r w:rsidR="00C86BF3" w:rsidRPr="00C91762">
        <w:rPr>
          <w:rFonts w:asciiTheme="majorBidi" w:hAnsiTheme="majorBidi" w:cstheme="majorBidi"/>
          <w:lang w:val="de-DE"/>
        </w:rPr>
        <w:t xml:space="preserve"> </w:t>
      </w:r>
      <w:proofErr w:type="spellStart"/>
      <w:r w:rsidR="00C86BF3" w:rsidRPr="00C91762">
        <w:rPr>
          <w:rFonts w:asciiTheme="majorBidi" w:hAnsiTheme="majorBidi" w:cstheme="majorBidi"/>
          <w:lang w:val="de-DE"/>
        </w:rPr>
        <w:t>notāru</w:t>
      </w:r>
      <w:proofErr w:type="spellEnd"/>
      <w:r w:rsidR="00C86BF3" w:rsidRPr="00C91762">
        <w:rPr>
          <w:rFonts w:asciiTheme="majorBidi" w:hAnsiTheme="majorBidi" w:cstheme="majorBidi"/>
          <w:lang w:val="de-DE"/>
        </w:rPr>
        <w:t xml:space="preserve"> </w:t>
      </w:r>
      <w:proofErr w:type="spellStart"/>
      <w:r w:rsidR="00C86BF3" w:rsidRPr="00C91762">
        <w:rPr>
          <w:rFonts w:asciiTheme="majorBidi" w:hAnsiTheme="majorBidi" w:cstheme="majorBidi"/>
          <w:lang w:val="de-DE"/>
        </w:rPr>
        <w:t>procesā</w:t>
      </w:r>
      <w:proofErr w:type="spellEnd"/>
      <w:r w:rsidR="00C86BF3" w:rsidRPr="00C91762">
        <w:rPr>
          <w:rFonts w:asciiTheme="majorBidi" w:hAnsiTheme="majorBidi" w:cstheme="majorBidi"/>
          <w:lang w:val="de-DE"/>
        </w:rPr>
        <w:t xml:space="preserve"> </w:t>
      </w:r>
      <w:proofErr w:type="spellStart"/>
      <w:r w:rsidR="00C86BF3" w:rsidRPr="00C91762">
        <w:rPr>
          <w:rFonts w:asciiTheme="majorBidi" w:hAnsiTheme="majorBidi" w:cstheme="majorBidi"/>
          <w:lang w:val="de-DE"/>
        </w:rPr>
        <w:t>Latvijā</w:t>
      </w:r>
      <w:proofErr w:type="spellEnd"/>
      <w:r w:rsidR="00C86BF3" w:rsidRPr="00C91762">
        <w:rPr>
          <w:rFonts w:asciiTheme="majorBidi" w:hAnsiTheme="majorBidi" w:cstheme="majorBidi"/>
          <w:lang w:val="de-DE"/>
        </w:rPr>
        <w:t>.</w:t>
      </w:r>
      <w:r w:rsidR="005D77AB" w:rsidRPr="00C91762">
        <w:rPr>
          <w:rFonts w:asciiTheme="majorBidi" w:hAnsiTheme="majorBidi" w:cstheme="majorBidi"/>
          <w:lang w:val="de-DE"/>
        </w:rPr>
        <w:t xml:space="preserve"> </w:t>
      </w:r>
      <w:proofErr w:type="spellStart"/>
      <w:r w:rsidR="005D77AB" w:rsidRPr="00C91762">
        <w:rPr>
          <w:rFonts w:asciiTheme="majorBidi" w:hAnsiTheme="majorBidi" w:cstheme="majorBidi"/>
          <w:lang w:val="de-DE"/>
        </w:rPr>
        <w:t>Vienlaikus</w:t>
      </w:r>
      <w:proofErr w:type="spellEnd"/>
      <w:r w:rsidR="005D77AB" w:rsidRPr="00C91762">
        <w:rPr>
          <w:rFonts w:asciiTheme="majorBidi" w:hAnsiTheme="majorBidi" w:cstheme="majorBidi"/>
          <w:lang w:val="de-DE"/>
        </w:rPr>
        <w:t xml:space="preserve"> </w:t>
      </w:r>
      <w:proofErr w:type="spellStart"/>
      <w:r w:rsidR="005D77AB" w:rsidRPr="00C91762">
        <w:rPr>
          <w:rFonts w:asciiTheme="majorBidi" w:hAnsiTheme="majorBidi" w:cstheme="majorBidi"/>
          <w:lang w:val="de-DE"/>
        </w:rPr>
        <w:t>notiks</w:t>
      </w:r>
      <w:proofErr w:type="spellEnd"/>
      <w:r w:rsidR="005D77AB" w:rsidRPr="00C91762">
        <w:rPr>
          <w:rFonts w:asciiTheme="majorBidi" w:hAnsiTheme="majorBidi" w:cstheme="majorBidi"/>
          <w:lang w:val="de-DE"/>
        </w:rPr>
        <w:t xml:space="preserve"> </w:t>
      </w:r>
      <w:proofErr w:type="spellStart"/>
      <w:r w:rsidR="005D77AB" w:rsidRPr="00C91762">
        <w:rPr>
          <w:rFonts w:asciiTheme="majorBidi" w:hAnsiTheme="majorBidi" w:cstheme="majorBidi"/>
          <w:lang w:val="de-DE"/>
        </w:rPr>
        <w:t>arī</w:t>
      </w:r>
      <w:proofErr w:type="spellEnd"/>
      <w:r w:rsidR="005D77AB" w:rsidRPr="00C91762">
        <w:rPr>
          <w:rFonts w:asciiTheme="majorBidi" w:hAnsiTheme="majorBidi" w:cstheme="majorBidi"/>
          <w:lang w:val="de-DE"/>
        </w:rPr>
        <w:t xml:space="preserve"> </w:t>
      </w:r>
      <w:proofErr w:type="spellStart"/>
      <w:r w:rsidR="005D77AB" w:rsidRPr="00C91762">
        <w:rPr>
          <w:rFonts w:asciiTheme="majorBidi" w:hAnsiTheme="majorBidi" w:cstheme="majorBidi"/>
          <w:lang w:val="de-DE"/>
        </w:rPr>
        <w:t>šī</w:t>
      </w:r>
      <w:proofErr w:type="spellEnd"/>
      <w:r w:rsidR="005D77AB" w:rsidRPr="00C91762">
        <w:rPr>
          <w:rFonts w:asciiTheme="majorBidi" w:hAnsiTheme="majorBidi" w:cstheme="majorBidi"/>
          <w:lang w:val="de-DE"/>
        </w:rPr>
        <w:t xml:space="preserve"> </w:t>
      </w:r>
      <w:proofErr w:type="spellStart"/>
      <w:r w:rsidR="005D77AB" w:rsidRPr="00C91762">
        <w:rPr>
          <w:rFonts w:asciiTheme="majorBidi" w:hAnsiTheme="majorBidi" w:cstheme="majorBidi"/>
          <w:lang w:val="de-DE"/>
        </w:rPr>
        <w:t>ārvalsts</w:t>
      </w:r>
      <w:proofErr w:type="spellEnd"/>
      <w:r w:rsidR="005D77AB" w:rsidRPr="00C91762">
        <w:rPr>
          <w:rFonts w:asciiTheme="majorBidi" w:hAnsiTheme="majorBidi" w:cstheme="majorBidi"/>
          <w:lang w:val="de-DE"/>
        </w:rPr>
        <w:t xml:space="preserve"> </w:t>
      </w:r>
      <w:proofErr w:type="spellStart"/>
      <w:r w:rsidR="005D77AB" w:rsidRPr="00C91762">
        <w:rPr>
          <w:rFonts w:asciiTheme="majorBidi" w:hAnsiTheme="majorBidi" w:cstheme="majorBidi"/>
          <w:lang w:val="de-DE"/>
        </w:rPr>
        <w:t>publiskā</w:t>
      </w:r>
      <w:proofErr w:type="spellEnd"/>
      <w:r w:rsidR="005D77AB" w:rsidRPr="00C91762">
        <w:rPr>
          <w:rFonts w:asciiTheme="majorBidi" w:hAnsiTheme="majorBidi" w:cstheme="majorBidi"/>
          <w:lang w:val="de-DE"/>
        </w:rPr>
        <w:t xml:space="preserve"> </w:t>
      </w:r>
      <w:proofErr w:type="spellStart"/>
      <w:r w:rsidR="005D77AB" w:rsidRPr="00C91762">
        <w:rPr>
          <w:rFonts w:asciiTheme="majorBidi" w:hAnsiTheme="majorBidi" w:cstheme="majorBidi"/>
          <w:lang w:val="de-DE"/>
        </w:rPr>
        <w:t>dokumenta</w:t>
      </w:r>
      <w:proofErr w:type="spellEnd"/>
      <w:r w:rsidR="005D77AB" w:rsidRPr="00C91762">
        <w:rPr>
          <w:rFonts w:asciiTheme="majorBidi" w:hAnsiTheme="majorBidi" w:cstheme="majorBidi"/>
          <w:lang w:val="de-DE"/>
        </w:rPr>
        <w:t xml:space="preserve"> </w:t>
      </w:r>
      <w:proofErr w:type="spellStart"/>
      <w:r w:rsidR="005D77AB" w:rsidRPr="00C91762">
        <w:rPr>
          <w:rFonts w:asciiTheme="majorBidi" w:hAnsiTheme="majorBidi" w:cstheme="majorBidi"/>
          <w:lang w:val="de-DE"/>
        </w:rPr>
        <w:t>satura</w:t>
      </w:r>
      <w:proofErr w:type="spellEnd"/>
      <w:r w:rsidR="005D77AB" w:rsidRPr="00C91762">
        <w:rPr>
          <w:rFonts w:asciiTheme="majorBidi" w:hAnsiTheme="majorBidi" w:cstheme="majorBidi"/>
          <w:lang w:val="de-DE"/>
        </w:rPr>
        <w:t xml:space="preserve"> </w:t>
      </w:r>
      <w:proofErr w:type="spellStart"/>
      <w:r w:rsidR="005D77AB" w:rsidRPr="00C91762">
        <w:rPr>
          <w:rFonts w:asciiTheme="majorBidi" w:hAnsiTheme="majorBidi" w:cstheme="majorBidi"/>
          <w:i/>
          <w:lang w:val="de-DE"/>
        </w:rPr>
        <w:t>atzīšana</w:t>
      </w:r>
      <w:proofErr w:type="spellEnd"/>
      <w:r w:rsidR="005D77AB" w:rsidRPr="00C91762">
        <w:rPr>
          <w:rFonts w:asciiTheme="majorBidi" w:hAnsiTheme="majorBidi" w:cstheme="majorBidi"/>
          <w:lang w:val="de-DE"/>
        </w:rPr>
        <w:t xml:space="preserve"> </w:t>
      </w:r>
      <w:proofErr w:type="spellStart"/>
      <w:r w:rsidR="005D77AB" w:rsidRPr="00C91762">
        <w:rPr>
          <w:rFonts w:asciiTheme="majorBidi" w:hAnsiTheme="majorBidi" w:cstheme="majorBidi"/>
          <w:lang w:val="de-DE"/>
        </w:rPr>
        <w:t>jeb</w:t>
      </w:r>
      <w:proofErr w:type="spellEnd"/>
      <w:r w:rsidR="005D77AB" w:rsidRPr="00C91762">
        <w:rPr>
          <w:rFonts w:asciiTheme="majorBidi" w:hAnsiTheme="majorBidi" w:cstheme="majorBidi"/>
          <w:lang w:val="de-DE"/>
        </w:rPr>
        <w:t xml:space="preserve"> </w:t>
      </w:r>
      <w:proofErr w:type="spellStart"/>
      <w:r w:rsidR="005D77AB" w:rsidRPr="00C91762">
        <w:rPr>
          <w:rFonts w:asciiTheme="majorBidi" w:hAnsiTheme="majorBidi" w:cstheme="majorBidi"/>
          <w:i/>
          <w:lang w:val="de-DE"/>
        </w:rPr>
        <w:t>akceptēšana</w:t>
      </w:r>
      <w:proofErr w:type="spellEnd"/>
      <w:r w:rsidR="005D77AB" w:rsidRPr="00C91762">
        <w:rPr>
          <w:rFonts w:asciiTheme="majorBidi" w:hAnsiTheme="majorBidi" w:cstheme="majorBidi"/>
          <w:lang w:val="de-DE"/>
        </w:rPr>
        <w:t xml:space="preserve"> (</w:t>
      </w:r>
      <w:proofErr w:type="spellStart"/>
      <w:r w:rsidR="005D77AB" w:rsidRPr="00C91762">
        <w:rPr>
          <w:rFonts w:asciiTheme="majorBidi" w:hAnsiTheme="majorBidi" w:cstheme="majorBidi"/>
          <w:lang w:val="de-DE"/>
        </w:rPr>
        <w:t>ņemšana</w:t>
      </w:r>
      <w:proofErr w:type="spellEnd"/>
      <w:r w:rsidR="005D77AB" w:rsidRPr="00C91762">
        <w:rPr>
          <w:rFonts w:asciiTheme="majorBidi" w:hAnsiTheme="majorBidi" w:cstheme="majorBidi"/>
          <w:lang w:val="de-DE"/>
        </w:rPr>
        <w:t xml:space="preserve"> </w:t>
      </w:r>
      <w:proofErr w:type="spellStart"/>
      <w:r w:rsidR="005D77AB" w:rsidRPr="00C91762">
        <w:rPr>
          <w:rFonts w:asciiTheme="majorBidi" w:hAnsiTheme="majorBidi" w:cstheme="majorBidi"/>
          <w:lang w:val="de-DE"/>
        </w:rPr>
        <w:t>vērā</w:t>
      </w:r>
      <w:proofErr w:type="spellEnd"/>
      <w:r w:rsidR="005D77AB" w:rsidRPr="00C91762">
        <w:rPr>
          <w:rFonts w:asciiTheme="majorBidi" w:hAnsiTheme="majorBidi" w:cstheme="majorBidi"/>
          <w:lang w:val="de-DE"/>
        </w:rPr>
        <w:t xml:space="preserve">) </w:t>
      </w:r>
      <w:proofErr w:type="spellStart"/>
      <w:r w:rsidR="005D77AB" w:rsidRPr="00C91762">
        <w:rPr>
          <w:rFonts w:asciiTheme="majorBidi" w:hAnsiTheme="majorBidi" w:cstheme="majorBidi"/>
          <w:lang w:val="de-DE"/>
        </w:rPr>
        <w:t>Latvijā</w:t>
      </w:r>
      <w:proofErr w:type="spellEnd"/>
      <w:r w:rsidR="005D77AB" w:rsidRPr="00C91762">
        <w:rPr>
          <w:rFonts w:asciiTheme="majorBidi" w:hAnsiTheme="majorBidi" w:cstheme="majorBidi"/>
          <w:lang w:val="de-DE"/>
        </w:rPr>
        <w:t>.</w:t>
      </w:r>
      <w:r w:rsidR="005D77AB" w:rsidRPr="00C91762">
        <w:rPr>
          <w:rStyle w:val="FootnoteReference"/>
          <w:rFonts w:asciiTheme="majorBidi" w:hAnsiTheme="majorBidi" w:cstheme="majorBidi"/>
          <w:lang w:val="de-DE"/>
        </w:rPr>
        <w:footnoteReference w:id="118"/>
      </w:r>
      <w:r w:rsidR="005D77AB" w:rsidRPr="00C91762">
        <w:rPr>
          <w:rFonts w:asciiTheme="majorBidi" w:hAnsiTheme="majorBidi" w:cstheme="majorBidi"/>
          <w:lang w:val="de-DE"/>
        </w:rPr>
        <w:t xml:space="preserve"> </w:t>
      </w:r>
      <w:proofErr w:type="spellStart"/>
      <w:r w:rsidR="005D77AB" w:rsidRPr="00C91762">
        <w:rPr>
          <w:rFonts w:asciiTheme="majorBidi" w:hAnsiTheme="majorBidi" w:cstheme="majorBidi"/>
          <w:lang w:val="de-DE"/>
        </w:rPr>
        <w:t>Un</w:t>
      </w:r>
      <w:proofErr w:type="spellEnd"/>
      <w:r w:rsidR="005D77AB" w:rsidRPr="00C91762">
        <w:rPr>
          <w:rFonts w:asciiTheme="majorBidi" w:hAnsiTheme="majorBidi" w:cstheme="majorBidi"/>
          <w:lang w:val="de-DE"/>
        </w:rPr>
        <w:t xml:space="preserve"> </w:t>
      </w:r>
      <w:proofErr w:type="spellStart"/>
      <w:r w:rsidR="005D77AB" w:rsidRPr="00C91762">
        <w:rPr>
          <w:rFonts w:asciiTheme="majorBidi" w:hAnsiTheme="majorBidi" w:cstheme="majorBidi"/>
          <w:lang w:val="de-DE"/>
        </w:rPr>
        <w:t>otrādi</w:t>
      </w:r>
      <w:proofErr w:type="spellEnd"/>
      <w:r w:rsidR="005D77AB" w:rsidRPr="00C91762">
        <w:rPr>
          <w:rFonts w:asciiTheme="majorBidi" w:hAnsiTheme="majorBidi" w:cstheme="majorBidi"/>
          <w:lang w:val="de-DE"/>
        </w:rPr>
        <w:t xml:space="preserve"> </w:t>
      </w:r>
      <w:r w:rsidR="005118DE" w:rsidRPr="00C91762">
        <w:rPr>
          <w:rFonts w:asciiTheme="majorBidi" w:hAnsiTheme="majorBidi" w:cstheme="majorBidi"/>
          <w:lang w:val="de-DE"/>
        </w:rPr>
        <w:t>–</w:t>
      </w:r>
      <w:r w:rsidR="005D77AB" w:rsidRPr="00C91762">
        <w:rPr>
          <w:rFonts w:asciiTheme="majorBidi" w:hAnsiTheme="majorBidi" w:cstheme="majorBidi"/>
          <w:lang w:val="de-DE"/>
        </w:rPr>
        <w:t xml:space="preserve"> </w:t>
      </w:r>
      <w:r w:rsidR="005118DE" w:rsidRPr="00C91762">
        <w:rPr>
          <w:rFonts w:asciiTheme="majorBidi" w:hAnsiTheme="majorBidi" w:cstheme="majorBidi"/>
          <w:lang w:val="de-DE"/>
        </w:rPr>
        <w:t xml:space="preserve">ja </w:t>
      </w:r>
      <w:proofErr w:type="spellStart"/>
      <w:r w:rsidR="005118DE" w:rsidRPr="00C91762">
        <w:rPr>
          <w:rFonts w:asciiTheme="majorBidi" w:hAnsiTheme="majorBidi" w:cstheme="majorBidi"/>
          <w:lang w:val="de-DE"/>
        </w:rPr>
        <w:t>ekvivalence</w:t>
      </w:r>
      <w:proofErr w:type="spellEnd"/>
      <w:r w:rsidR="005118DE" w:rsidRPr="00C91762">
        <w:rPr>
          <w:rFonts w:asciiTheme="majorBidi" w:hAnsiTheme="majorBidi" w:cstheme="majorBidi"/>
          <w:lang w:val="de-DE"/>
        </w:rPr>
        <w:t xml:space="preserve"> </w:t>
      </w:r>
      <w:proofErr w:type="spellStart"/>
      <w:r w:rsidR="005118DE" w:rsidRPr="00C91762">
        <w:rPr>
          <w:rFonts w:asciiTheme="majorBidi" w:hAnsiTheme="majorBidi" w:cstheme="majorBidi"/>
          <w:lang w:val="de-DE"/>
        </w:rPr>
        <w:t>tiks</w:t>
      </w:r>
      <w:proofErr w:type="spellEnd"/>
      <w:r w:rsidR="005118DE" w:rsidRPr="00C91762">
        <w:rPr>
          <w:rFonts w:asciiTheme="majorBidi" w:hAnsiTheme="majorBidi" w:cstheme="majorBidi"/>
          <w:lang w:val="de-DE"/>
        </w:rPr>
        <w:t xml:space="preserve"> </w:t>
      </w:r>
      <w:proofErr w:type="spellStart"/>
      <w:r w:rsidR="005118DE" w:rsidRPr="00C91762">
        <w:rPr>
          <w:rFonts w:asciiTheme="majorBidi" w:hAnsiTheme="majorBidi" w:cstheme="majorBidi"/>
          <w:lang w:val="de-DE"/>
        </w:rPr>
        <w:t>noraidīta</w:t>
      </w:r>
      <w:proofErr w:type="spellEnd"/>
      <w:r w:rsidR="005118DE" w:rsidRPr="00C91762">
        <w:rPr>
          <w:rFonts w:asciiTheme="majorBidi" w:hAnsiTheme="majorBidi" w:cstheme="majorBidi"/>
          <w:lang w:val="de-DE"/>
        </w:rPr>
        <w:t xml:space="preserve">, </w:t>
      </w:r>
      <w:proofErr w:type="spellStart"/>
      <w:r w:rsidR="005118DE" w:rsidRPr="00C91762">
        <w:rPr>
          <w:rFonts w:asciiTheme="majorBidi" w:hAnsiTheme="majorBidi" w:cstheme="majorBidi"/>
          <w:lang w:val="de-DE"/>
        </w:rPr>
        <w:t>tad</w:t>
      </w:r>
      <w:proofErr w:type="spellEnd"/>
      <w:r w:rsidR="005118DE" w:rsidRPr="00C91762">
        <w:rPr>
          <w:rFonts w:asciiTheme="majorBidi" w:hAnsiTheme="majorBidi" w:cstheme="majorBidi"/>
          <w:lang w:val="de-DE"/>
        </w:rPr>
        <w:t xml:space="preserve"> </w:t>
      </w:r>
      <w:proofErr w:type="spellStart"/>
      <w:r w:rsidR="005118DE" w:rsidRPr="00C91762">
        <w:rPr>
          <w:rFonts w:asciiTheme="majorBidi" w:hAnsiTheme="majorBidi" w:cstheme="majorBidi"/>
          <w:lang w:val="de-DE"/>
        </w:rPr>
        <w:t>šādam</w:t>
      </w:r>
      <w:proofErr w:type="spellEnd"/>
      <w:r w:rsidR="005118DE" w:rsidRPr="00C91762">
        <w:rPr>
          <w:rFonts w:asciiTheme="majorBidi" w:hAnsiTheme="majorBidi" w:cstheme="majorBidi"/>
          <w:lang w:val="de-DE"/>
        </w:rPr>
        <w:t xml:space="preserve"> </w:t>
      </w:r>
      <w:proofErr w:type="spellStart"/>
      <w:r w:rsidR="005118DE" w:rsidRPr="00C91762">
        <w:rPr>
          <w:rFonts w:asciiTheme="majorBidi" w:hAnsiTheme="majorBidi" w:cstheme="majorBidi"/>
          <w:lang w:val="de-DE"/>
        </w:rPr>
        <w:t>ārvalsts</w:t>
      </w:r>
      <w:proofErr w:type="spellEnd"/>
      <w:r w:rsidR="005118DE" w:rsidRPr="00C91762">
        <w:rPr>
          <w:rFonts w:asciiTheme="majorBidi" w:hAnsiTheme="majorBidi" w:cstheme="majorBidi"/>
          <w:lang w:val="de-DE"/>
        </w:rPr>
        <w:t xml:space="preserve"> </w:t>
      </w:r>
      <w:proofErr w:type="spellStart"/>
      <w:r w:rsidR="005118DE" w:rsidRPr="00C91762">
        <w:rPr>
          <w:rFonts w:asciiTheme="majorBidi" w:hAnsiTheme="majorBidi" w:cstheme="majorBidi"/>
          <w:lang w:val="de-DE"/>
        </w:rPr>
        <w:t>dokumentam</w:t>
      </w:r>
      <w:proofErr w:type="spellEnd"/>
      <w:r w:rsidR="005118DE" w:rsidRPr="00C91762">
        <w:rPr>
          <w:rFonts w:asciiTheme="majorBidi" w:hAnsiTheme="majorBidi" w:cstheme="majorBidi"/>
          <w:lang w:val="de-DE"/>
        </w:rPr>
        <w:t xml:space="preserve"> </w:t>
      </w:r>
      <w:proofErr w:type="spellStart"/>
      <w:r w:rsidR="005118DE" w:rsidRPr="00C91762">
        <w:rPr>
          <w:rFonts w:asciiTheme="majorBidi" w:hAnsiTheme="majorBidi" w:cstheme="majorBidi"/>
          <w:lang w:val="de-DE"/>
        </w:rPr>
        <w:t>nevarēs</w:t>
      </w:r>
      <w:proofErr w:type="spellEnd"/>
      <w:r w:rsidR="005118DE" w:rsidRPr="00C91762">
        <w:rPr>
          <w:rFonts w:asciiTheme="majorBidi" w:hAnsiTheme="majorBidi" w:cstheme="majorBidi"/>
          <w:lang w:val="de-DE"/>
        </w:rPr>
        <w:t xml:space="preserve"> </w:t>
      </w:r>
      <w:proofErr w:type="spellStart"/>
      <w:r w:rsidR="005118DE" w:rsidRPr="00C91762">
        <w:rPr>
          <w:rFonts w:asciiTheme="majorBidi" w:hAnsiTheme="majorBidi" w:cstheme="majorBidi"/>
          <w:lang w:val="de-DE"/>
        </w:rPr>
        <w:t>piemērot</w:t>
      </w:r>
      <w:proofErr w:type="spellEnd"/>
      <w:r w:rsidR="005118DE" w:rsidRPr="00C91762">
        <w:rPr>
          <w:rFonts w:asciiTheme="majorBidi" w:hAnsiTheme="majorBidi" w:cstheme="majorBidi"/>
          <w:lang w:val="de-DE"/>
        </w:rPr>
        <w:t xml:space="preserve"> </w:t>
      </w:r>
      <w:proofErr w:type="spellStart"/>
      <w:r w:rsidR="005118DE" w:rsidRPr="00C91762">
        <w:rPr>
          <w:rFonts w:asciiTheme="majorBidi" w:hAnsiTheme="majorBidi" w:cstheme="majorBidi"/>
          <w:lang w:val="de-DE"/>
        </w:rPr>
        <w:t>Notariāta</w:t>
      </w:r>
      <w:proofErr w:type="spellEnd"/>
      <w:r w:rsidR="005118DE" w:rsidRPr="00C91762">
        <w:rPr>
          <w:rFonts w:asciiTheme="majorBidi" w:hAnsiTheme="majorBidi" w:cstheme="majorBidi"/>
          <w:lang w:val="de-DE"/>
        </w:rPr>
        <w:t xml:space="preserve"> </w:t>
      </w:r>
      <w:proofErr w:type="spellStart"/>
      <w:r w:rsidR="005118DE" w:rsidRPr="00C91762">
        <w:rPr>
          <w:rFonts w:asciiTheme="majorBidi" w:hAnsiTheme="majorBidi" w:cstheme="majorBidi"/>
          <w:lang w:val="de-DE"/>
        </w:rPr>
        <w:t>likumu</w:t>
      </w:r>
      <w:proofErr w:type="spellEnd"/>
      <w:r w:rsidR="005118DE" w:rsidRPr="00C91762">
        <w:rPr>
          <w:rFonts w:asciiTheme="majorBidi" w:hAnsiTheme="majorBidi" w:cstheme="majorBidi"/>
          <w:lang w:val="de-DE"/>
        </w:rPr>
        <w:t>.</w:t>
      </w:r>
      <w:r w:rsidR="005118DE" w:rsidRPr="00C91762">
        <w:rPr>
          <w:rStyle w:val="FootnoteReference"/>
          <w:rFonts w:asciiTheme="majorBidi" w:hAnsiTheme="majorBidi" w:cstheme="majorBidi"/>
          <w:lang w:val="de-DE"/>
        </w:rPr>
        <w:footnoteReference w:id="119"/>
      </w:r>
    </w:p>
    <w:p w14:paraId="770190DA" w14:textId="15D43546" w:rsidR="005118DE" w:rsidRPr="00C91762" w:rsidRDefault="005118DE" w:rsidP="00C86BF3">
      <w:pPr>
        <w:widowControl w:val="0"/>
        <w:autoSpaceDE w:val="0"/>
        <w:autoSpaceDN w:val="0"/>
        <w:adjustRightInd w:val="0"/>
        <w:ind w:firstLine="708"/>
        <w:jc w:val="both"/>
        <w:rPr>
          <w:rFonts w:ascii="Times New Roman" w:hAnsi="Times New Roman" w:cs="Arial"/>
          <w:color w:val="323233"/>
          <w:lang w:val="de-DE"/>
        </w:rPr>
      </w:pPr>
      <w:proofErr w:type="spellStart"/>
      <w:r w:rsidRPr="00C91762">
        <w:rPr>
          <w:rFonts w:asciiTheme="majorBidi" w:hAnsiTheme="majorBidi" w:cstheme="majorBidi"/>
          <w:lang w:val="de-DE"/>
        </w:rPr>
        <w:t>Līdz</w:t>
      </w:r>
      <w:proofErr w:type="spellEnd"/>
      <w:r w:rsidRPr="00C91762">
        <w:rPr>
          <w:rFonts w:asciiTheme="majorBidi" w:hAnsiTheme="majorBidi" w:cstheme="majorBidi"/>
          <w:lang w:val="de-DE"/>
        </w:rPr>
        <w:t xml:space="preserve"> </w:t>
      </w:r>
      <w:proofErr w:type="spellStart"/>
      <w:r w:rsidRPr="00C91762">
        <w:rPr>
          <w:rFonts w:asciiTheme="majorBidi" w:hAnsiTheme="majorBidi" w:cstheme="majorBidi"/>
          <w:lang w:val="de-DE"/>
        </w:rPr>
        <w:t>ar</w:t>
      </w:r>
      <w:proofErr w:type="spellEnd"/>
      <w:r w:rsidRPr="00C91762">
        <w:rPr>
          <w:rFonts w:asciiTheme="majorBidi" w:hAnsiTheme="majorBidi" w:cstheme="majorBidi"/>
          <w:lang w:val="de-DE"/>
        </w:rPr>
        <w:t xml:space="preserve"> </w:t>
      </w:r>
      <w:proofErr w:type="spellStart"/>
      <w:r w:rsidRPr="00C91762">
        <w:rPr>
          <w:rFonts w:asciiTheme="majorBidi" w:hAnsiTheme="majorBidi" w:cstheme="majorBidi"/>
          <w:lang w:val="de-DE"/>
        </w:rPr>
        <w:t>to</w:t>
      </w:r>
      <w:proofErr w:type="spellEnd"/>
      <w:r w:rsidRPr="00C91762">
        <w:rPr>
          <w:rFonts w:asciiTheme="majorBidi" w:hAnsiTheme="majorBidi" w:cstheme="majorBidi"/>
          <w:lang w:val="de-DE"/>
        </w:rPr>
        <w:t xml:space="preserve"> </w:t>
      </w:r>
      <w:proofErr w:type="spellStart"/>
      <w:r w:rsidRPr="00C91762">
        <w:rPr>
          <w:rFonts w:asciiTheme="majorBidi" w:hAnsiTheme="majorBidi" w:cstheme="majorBidi"/>
          <w:lang w:val="de-DE"/>
        </w:rPr>
        <w:t>var</w:t>
      </w:r>
      <w:proofErr w:type="spellEnd"/>
      <w:r w:rsidRPr="00C91762">
        <w:rPr>
          <w:rFonts w:asciiTheme="majorBidi" w:hAnsiTheme="majorBidi" w:cstheme="majorBidi"/>
          <w:lang w:val="de-DE"/>
        </w:rPr>
        <w:t xml:space="preserve"> </w:t>
      </w:r>
      <w:proofErr w:type="spellStart"/>
      <w:r w:rsidRPr="00C91762">
        <w:rPr>
          <w:rFonts w:asciiTheme="majorBidi" w:hAnsiTheme="majorBidi" w:cstheme="majorBidi"/>
          <w:lang w:val="de-DE"/>
        </w:rPr>
        <w:t>secināt</w:t>
      </w:r>
      <w:proofErr w:type="spellEnd"/>
      <w:r w:rsidRPr="00C91762">
        <w:rPr>
          <w:rFonts w:asciiTheme="majorBidi" w:hAnsiTheme="majorBidi" w:cstheme="majorBidi"/>
          <w:lang w:val="de-DE"/>
        </w:rPr>
        <w:t xml:space="preserve">, </w:t>
      </w:r>
      <w:proofErr w:type="spellStart"/>
      <w:r w:rsidRPr="00C91762">
        <w:rPr>
          <w:rFonts w:asciiTheme="majorBidi" w:hAnsiTheme="majorBidi" w:cstheme="majorBidi"/>
          <w:lang w:val="de-DE"/>
        </w:rPr>
        <w:t>ka</w:t>
      </w:r>
      <w:proofErr w:type="spellEnd"/>
      <w:r w:rsidRPr="00C91762">
        <w:rPr>
          <w:rFonts w:asciiTheme="majorBidi" w:hAnsiTheme="majorBidi" w:cstheme="majorBidi"/>
          <w:lang w:val="de-DE"/>
        </w:rPr>
        <w:t xml:space="preserve"> </w:t>
      </w:r>
      <w:proofErr w:type="spellStart"/>
      <w:r w:rsidRPr="00C91762">
        <w:rPr>
          <w:rFonts w:asciiTheme="majorBidi" w:hAnsiTheme="majorBidi" w:cstheme="majorBidi"/>
          <w:lang w:val="de-DE"/>
        </w:rPr>
        <w:t>Latvijā</w:t>
      </w:r>
      <w:proofErr w:type="spellEnd"/>
      <w:r w:rsidRPr="00C91762">
        <w:rPr>
          <w:rFonts w:asciiTheme="majorBidi" w:hAnsiTheme="majorBidi" w:cstheme="majorBidi"/>
          <w:lang w:val="de-DE"/>
        </w:rPr>
        <w:t xml:space="preserve"> </w:t>
      </w:r>
      <w:proofErr w:type="spellStart"/>
      <w:r w:rsidRPr="00C91762">
        <w:rPr>
          <w:rFonts w:asciiTheme="majorBidi" w:hAnsiTheme="majorBidi" w:cstheme="majorBidi"/>
          <w:lang w:val="de-DE"/>
        </w:rPr>
        <w:t>sastādītu</w:t>
      </w:r>
      <w:proofErr w:type="spellEnd"/>
      <w:r w:rsidRPr="00C91762">
        <w:rPr>
          <w:rFonts w:asciiTheme="majorBidi" w:hAnsiTheme="majorBidi" w:cstheme="majorBidi"/>
          <w:lang w:val="de-DE"/>
        </w:rPr>
        <w:t xml:space="preserve"> „</w:t>
      </w:r>
      <w:proofErr w:type="spellStart"/>
      <w:r w:rsidRPr="00C91762">
        <w:rPr>
          <w:rFonts w:asciiTheme="majorBidi" w:hAnsiTheme="majorBidi" w:cstheme="majorBidi"/>
          <w:lang w:val="de-DE"/>
        </w:rPr>
        <w:t>publisko</w:t>
      </w:r>
      <w:proofErr w:type="spellEnd"/>
      <w:r w:rsidRPr="00C91762">
        <w:rPr>
          <w:rFonts w:asciiTheme="majorBidi" w:hAnsiTheme="majorBidi" w:cstheme="majorBidi"/>
          <w:lang w:val="de-DE"/>
        </w:rPr>
        <w:t xml:space="preserve"> </w:t>
      </w:r>
      <w:proofErr w:type="spellStart"/>
      <w:r w:rsidRPr="00C91762">
        <w:rPr>
          <w:rFonts w:asciiTheme="majorBidi" w:hAnsiTheme="majorBidi" w:cstheme="majorBidi"/>
          <w:lang w:val="de-DE"/>
        </w:rPr>
        <w:t>dokumentu</w:t>
      </w:r>
      <w:proofErr w:type="spellEnd"/>
      <w:r w:rsidRPr="00C91762">
        <w:rPr>
          <w:rFonts w:asciiTheme="majorBidi" w:hAnsiTheme="majorBidi" w:cstheme="majorBidi"/>
          <w:lang w:val="de-DE"/>
        </w:rPr>
        <w:t xml:space="preserve">“ </w:t>
      </w:r>
      <w:proofErr w:type="spellStart"/>
      <w:r w:rsidRPr="00C91762">
        <w:rPr>
          <w:rFonts w:asciiTheme="majorBidi" w:hAnsiTheme="majorBidi" w:cstheme="majorBidi"/>
          <w:lang w:val="de-DE"/>
        </w:rPr>
        <w:t>var</w:t>
      </w:r>
      <w:proofErr w:type="spellEnd"/>
      <w:r w:rsidRPr="00C91762">
        <w:rPr>
          <w:rFonts w:asciiTheme="majorBidi" w:hAnsiTheme="majorBidi" w:cstheme="majorBidi"/>
          <w:lang w:val="de-DE"/>
        </w:rPr>
        <w:t xml:space="preserve"> </w:t>
      </w:r>
      <w:proofErr w:type="spellStart"/>
      <w:r w:rsidRPr="00C91762">
        <w:rPr>
          <w:rFonts w:asciiTheme="majorBidi" w:hAnsiTheme="majorBidi" w:cstheme="majorBidi"/>
          <w:lang w:val="de-DE"/>
        </w:rPr>
        <w:t>aizstāt</w:t>
      </w:r>
      <w:proofErr w:type="spellEnd"/>
      <w:r w:rsidRPr="00C91762">
        <w:rPr>
          <w:rFonts w:asciiTheme="majorBidi" w:hAnsiTheme="majorBidi" w:cstheme="majorBidi"/>
          <w:lang w:val="de-DE"/>
        </w:rPr>
        <w:t xml:space="preserve"> </w:t>
      </w:r>
      <w:proofErr w:type="spellStart"/>
      <w:r w:rsidRPr="00C91762">
        <w:rPr>
          <w:rFonts w:asciiTheme="majorBidi" w:hAnsiTheme="majorBidi" w:cstheme="majorBidi"/>
          <w:lang w:val="de-DE"/>
        </w:rPr>
        <w:t>ar</w:t>
      </w:r>
      <w:proofErr w:type="spellEnd"/>
      <w:r w:rsidRPr="00C91762">
        <w:rPr>
          <w:rFonts w:asciiTheme="majorBidi" w:hAnsiTheme="majorBidi" w:cstheme="majorBidi"/>
          <w:lang w:val="de-DE"/>
        </w:rPr>
        <w:t xml:space="preserve"> „</w:t>
      </w:r>
      <w:proofErr w:type="spellStart"/>
      <w:r w:rsidRPr="00C91762">
        <w:rPr>
          <w:rFonts w:asciiTheme="majorBidi" w:hAnsiTheme="majorBidi" w:cstheme="majorBidi"/>
          <w:lang w:val="de-DE"/>
        </w:rPr>
        <w:t>ārvalsts</w:t>
      </w:r>
      <w:proofErr w:type="spellEnd"/>
      <w:r w:rsidRPr="00C91762">
        <w:rPr>
          <w:rFonts w:asciiTheme="majorBidi" w:hAnsiTheme="majorBidi" w:cstheme="majorBidi"/>
          <w:lang w:val="de-DE"/>
        </w:rPr>
        <w:t xml:space="preserve"> </w:t>
      </w:r>
      <w:proofErr w:type="spellStart"/>
      <w:r w:rsidRPr="00C91762">
        <w:rPr>
          <w:rFonts w:asciiTheme="majorBidi" w:hAnsiTheme="majorBidi" w:cstheme="majorBidi"/>
          <w:lang w:val="de-DE"/>
        </w:rPr>
        <w:t>publisko</w:t>
      </w:r>
      <w:proofErr w:type="spellEnd"/>
      <w:r w:rsidRPr="00C91762">
        <w:rPr>
          <w:rFonts w:asciiTheme="majorBidi" w:hAnsiTheme="majorBidi" w:cstheme="majorBidi"/>
          <w:lang w:val="de-DE"/>
        </w:rPr>
        <w:t xml:space="preserve"> </w:t>
      </w:r>
      <w:proofErr w:type="spellStart"/>
      <w:r w:rsidRPr="00C91762">
        <w:rPr>
          <w:rFonts w:asciiTheme="majorBidi" w:hAnsiTheme="majorBidi" w:cstheme="majorBidi"/>
          <w:lang w:val="de-DE"/>
        </w:rPr>
        <w:t>dokumentu</w:t>
      </w:r>
      <w:proofErr w:type="spellEnd"/>
      <w:r w:rsidRPr="00C91762">
        <w:rPr>
          <w:rFonts w:asciiTheme="majorBidi" w:hAnsiTheme="majorBidi" w:cstheme="majorBidi"/>
          <w:lang w:val="de-DE"/>
        </w:rPr>
        <w:t xml:space="preserve">“ </w:t>
      </w:r>
      <w:proofErr w:type="spellStart"/>
      <w:r w:rsidRPr="00C91762">
        <w:rPr>
          <w:rFonts w:asciiTheme="majorBidi" w:hAnsiTheme="majorBidi" w:cstheme="majorBidi"/>
          <w:lang w:val="de-DE"/>
        </w:rPr>
        <w:t>tad</w:t>
      </w:r>
      <w:proofErr w:type="spellEnd"/>
      <w:r w:rsidRPr="00C91762">
        <w:rPr>
          <w:rFonts w:asciiTheme="majorBidi" w:hAnsiTheme="majorBidi" w:cstheme="majorBidi"/>
          <w:lang w:val="de-DE"/>
        </w:rPr>
        <w:t xml:space="preserve">, ja </w:t>
      </w:r>
      <w:proofErr w:type="spellStart"/>
      <w:r w:rsidRPr="00C91762">
        <w:rPr>
          <w:rFonts w:asciiTheme="majorBidi" w:hAnsiTheme="majorBidi" w:cstheme="majorBidi"/>
          <w:lang w:val="de-DE"/>
        </w:rPr>
        <w:t>tiek</w:t>
      </w:r>
      <w:proofErr w:type="spellEnd"/>
      <w:r w:rsidRPr="00C91762">
        <w:rPr>
          <w:rFonts w:asciiTheme="majorBidi" w:hAnsiTheme="majorBidi" w:cstheme="majorBidi"/>
          <w:lang w:val="de-DE"/>
        </w:rPr>
        <w:t xml:space="preserve"> </w:t>
      </w:r>
      <w:proofErr w:type="spellStart"/>
      <w:r w:rsidRPr="00C91762">
        <w:rPr>
          <w:rFonts w:asciiTheme="majorBidi" w:hAnsiTheme="majorBidi" w:cstheme="majorBidi"/>
          <w:lang w:val="de-DE"/>
        </w:rPr>
        <w:t>sasniegta</w:t>
      </w:r>
      <w:proofErr w:type="spellEnd"/>
      <w:r w:rsidRPr="00C91762">
        <w:rPr>
          <w:rFonts w:asciiTheme="majorBidi" w:hAnsiTheme="majorBidi" w:cstheme="majorBidi"/>
          <w:lang w:val="de-DE"/>
        </w:rPr>
        <w:t xml:space="preserve"> </w:t>
      </w:r>
      <w:proofErr w:type="spellStart"/>
      <w:r w:rsidRPr="00C91762">
        <w:rPr>
          <w:rFonts w:asciiTheme="majorBidi" w:hAnsiTheme="majorBidi" w:cstheme="majorBidi"/>
          <w:lang w:val="de-DE"/>
        </w:rPr>
        <w:t>dokumentu</w:t>
      </w:r>
      <w:proofErr w:type="spellEnd"/>
      <w:r w:rsidRPr="00C91762">
        <w:rPr>
          <w:rFonts w:asciiTheme="majorBidi" w:hAnsiTheme="majorBidi" w:cstheme="majorBidi"/>
          <w:lang w:val="de-DE"/>
        </w:rPr>
        <w:t xml:space="preserve"> </w:t>
      </w:r>
      <w:proofErr w:type="spellStart"/>
      <w:r w:rsidRPr="00C91762">
        <w:rPr>
          <w:rFonts w:asciiTheme="majorBidi" w:hAnsiTheme="majorBidi" w:cstheme="majorBidi"/>
          <w:lang w:val="de-DE"/>
        </w:rPr>
        <w:t>rezultātu</w:t>
      </w:r>
      <w:proofErr w:type="spellEnd"/>
      <w:r w:rsidRPr="00C91762">
        <w:rPr>
          <w:rFonts w:asciiTheme="majorBidi" w:hAnsiTheme="majorBidi" w:cstheme="majorBidi"/>
          <w:lang w:val="de-DE"/>
        </w:rPr>
        <w:t xml:space="preserve"> </w:t>
      </w:r>
      <w:proofErr w:type="spellStart"/>
      <w:r w:rsidRPr="00C91762">
        <w:rPr>
          <w:rFonts w:asciiTheme="majorBidi" w:hAnsiTheme="majorBidi" w:cstheme="majorBidi"/>
          <w:lang w:val="de-DE"/>
        </w:rPr>
        <w:t>ekvivalence</w:t>
      </w:r>
      <w:proofErr w:type="spellEnd"/>
      <w:r w:rsidRPr="00C91762">
        <w:rPr>
          <w:rFonts w:asciiTheme="majorBidi" w:hAnsiTheme="majorBidi" w:cstheme="majorBidi"/>
          <w:lang w:val="de-DE"/>
        </w:rPr>
        <w:t xml:space="preserve"> (</w:t>
      </w:r>
      <w:proofErr w:type="spellStart"/>
      <w:r w:rsidRPr="00C91762">
        <w:rPr>
          <w:rFonts w:asciiTheme="majorBidi" w:hAnsiTheme="majorBidi" w:cstheme="majorBidi"/>
          <w:lang w:val="de-DE"/>
        </w:rPr>
        <w:t>tiesiskās</w:t>
      </w:r>
      <w:proofErr w:type="spellEnd"/>
      <w:r w:rsidRPr="00C91762">
        <w:rPr>
          <w:rFonts w:asciiTheme="majorBidi" w:hAnsiTheme="majorBidi" w:cstheme="majorBidi"/>
          <w:lang w:val="de-DE"/>
        </w:rPr>
        <w:t xml:space="preserve"> </w:t>
      </w:r>
      <w:proofErr w:type="spellStart"/>
      <w:r w:rsidRPr="00C91762">
        <w:rPr>
          <w:rFonts w:asciiTheme="majorBidi" w:hAnsiTheme="majorBidi" w:cstheme="majorBidi"/>
          <w:lang w:val="de-DE"/>
        </w:rPr>
        <w:t>intereses</w:t>
      </w:r>
      <w:proofErr w:type="spellEnd"/>
      <w:r w:rsidRPr="00C91762">
        <w:rPr>
          <w:rFonts w:asciiTheme="majorBidi" w:hAnsiTheme="majorBidi" w:cstheme="majorBidi"/>
          <w:lang w:val="de-DE"/>
        </w:rPr>
        <w:t xml:space="preserve"> </w:t>
      </w:r>
      <w:proofErr w:type="spellStart"/>
      <w:r w:rsidRPr="00C91762">
        <w:rPr>
          <w:rFonts w:asciiTheme="majorBidi" w:hAnsiTheme="majorBidi" w:cstheme="majorBidi"/>
          <w:lang w:val="de-DE"/>
        </w:rPr>
        <w:t>tiek</w:t>
      </w:r>
      <w:proofErr w:type="spellEnd"/>
      <w:r w:rsidRPr="00C91762">
        <w:rPr>
          <w:rFonts w:asciiTheme="majorBidi" w:hAnsiTheme="majorBidi" w:cstheme="majorBidi"/>
          <w:lang w:val="de-DE"/>
        </w:rPr>
        <w:t xml:space="preserve"> </w:t>
      </w:r>
      <w:proofErr w:type="spellStart"/>
      <w:r w:rsidRPr="00C91762">
        <w:rPr>
          <w:rFonts w:asciiTheme="majorBidi" w:hAnsiTheme="majorBidi" w:cstheme="majorBidi"/>
          <w:lang w:val="de-DE"/>
        </w:rPr>
        <w:t>aizsargātas</w:t>
      </w:r>
      <w:proofErr w:type="spellEnd"/>
      <w:r w:rsidRPr="00C91762">
        <w:rPr>
          <w:rFonts w:asciiTheme="majorBidi" w:hAnsiTheme="majorBidi" w:cstheme="majorBidi"/>
          <w:lang w:val="de-DE"/>
        </w:rPr>
        <w:t xml:space="preserve"> </w:t>
      </w:r>
      <w:proofErr w:type="spellStart"/>
      <w:r w:rsidRPr="00C91762">
        <w:rPr>
          <w:rFonts w:asciiTheme="majorBidi" w:hAnsiTheme="majorBidi" w:cstheme="majorBidi"/>
          <w:lang w:val="de-DE"/>
        </w:rPr>
        <w:t>tādā</w:t>
      </w:r>
      <w:proofErr w:type="spellEnd"/>
      <w:r w:rsidRPr="00C91762">
        <w:rPr>
          <w:rFonts w:asciiTheme="majorBidi" w:hAnsiTheme="majorBidi" w:cstheme="majorBidi"/>
          <w:lang w:val="de-DE"/>
        </w:rPr>
        <w:t xml:space="preserve"> </w:t>
      </w:r>
      <w:proofErr w:type="spellStart"/>
      <w:r w:rsidRPr="00C91762">
        <w:rPr>
          <w:rFonts w:asciiTheme="majorBidi" w:hAnsiTheme="majorBidi" w:cstheme="majorBidi"/>
          <w:lang w:val="de-DE"/>
        </w:rPr>
        <w:t>pašā</w:t>
      </w:r>
      <w:proofErr w:type="spellEnd"/>
      <w:r w:rsidRPr="00C91762">
        <w:rPr>
          <w:rFonts w:asciiTheme="majorBidi" w:hAnsiTheme="majorBidi" w:cstheme="majorBidi"/>
          <w:lang w:val="de-DE"/>
        </w:rPr>
        <w:t xml:space="preserve"> </w:t>
      </w:r>
      <w:proofErr w:type="spellStart"/>
      <w:r w:rsidRPr="00C91762">
        <w:rPr>
          <w:rFonts w:asciiTheme="majorBidi" w:hAnsiTheme="majorBidi" w:cstheme="majorBidi"/>
          <w:lang w:val="de-DE"/>
        </w:rPr>
        <w:t>apmērā</w:t>
      </w:r>
      <w:proofErr w:type="spellEnd"/>
      <w:r w:rsidRPr="00C91762">
        <w:rPr>
          <w:rFonts w:asciiTheme="majorBidi" w:hAnsiTheme="majorBidi" w:cstheme="majorBidi"/>
          <w:lang w:val="de-DE"/>
        </w:rPr>
        <w:t xml:space="preserve">). </w:t>
      </w:r>
    </w:p>
    <w:p w14:paraId="1C506C93" w14:textId="77777777" w:rsidR="00114953" w:rsidRDefault="00114953" w:rsidP="00114953">
      <w:pPr>
        <w:jc w:val="both"/>
        <w:rPr>
          <w:rFonts w:asciiTheme="majorBidi" w:hAnsiTheme="majorBidi" w:cstheme="majorBidi"/>
          <w:lang w:val="de-DE"/>
        </w:rPr>
      </w:pPr>
    </w:p>
    <w:p w14:paraId="605A7066" w14:textId="77777777" w:rsidR="001E34E9" w:rsidRDefault="001E34E9" w:rsidP="00114953">
      <w:pPr>
        <w:jc w:val="both"/>
        <w:rPr>
          <w:rFonts w:asciiTheme="majorBidi" w:hAnsiTheme="majorBidi" w:cstheme="majorBidi"/>
          <w:lang w:val="de-DE"/>
        </w:rPr>
      </w:pPr>
    </w:p>
    <w:p w14:paraId="421D2656" w14:textId="77777777" w:rsidR="001E34E9" w:rsidRDefault="001E34E9" w:rsidP="00114953">
      <w:pPr>
        <w:jc w:val="both"/>
        <w:rPr>
          <w:rFonts w:asciiTheme="majorBidi" w:hAnsiTheme="majorBidi" w:cstheme="majorBidi"/>
          <w:lang w:val="de-DE"/>
        </w:rPr>
      </w:pPr>
    </w:p>
    <w:p w14:paraId="0A3DDAC6" w14:textId="3CF76AF3" w:rsidR="001E34E9" w:rsidRDefault="001E34E9" w:rsidP="001E34E9">
      <w:pPr>
        <w:jc w:val="center"/>
        <w:rPr>
          <w:rFonts w:asciiTheme="majorBidi" w:hAnsiTheme="majorBidi" w:cstheme="majorBidi"/>
          <w:lang w:val="de-DE"/>
        </w:rPr>
      </w:pPr>
      <w:r>
        <w:rPr>
          <w:rFonts w:asciiTheme="majorBidi" w:hAnsiTheme="majorBidi" w:cstheme="majorBidi"/>
          <w:noProof/>
        </w:rPr>
        <w:drawing>
          <wp:inline distT="0" distB="0" distL="0" distR="0" wp14:anchorId="7ACED148" wp14:editId="4172A835">
            <wp:extent cx="5486400" cy="3200400"/>
            <wp:effectExtent l="0" t="19050" r="0" b="19050"/>
            <wp:docPr id="1" name="Diagramme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inline>
        </w:drawing>
      </w:r>
    </w:p>
    <w:p w14:paraId="10E3B852" w14:textId="77777777" w:rsidR="001E34E9" w:rsidRDefault="001E34E9" w:rsidP="00114953">
      <w:pPr>
        <w:jc w:val="both"/>
        <w:rPr>
          <w:rFonts w:asciiTheme="majorBidi" w:hAnsiTheme="majorBidi" w:cstheme="majorBidi"/>
          <w:lang w:val="de-DE"/>
        </w:rPr>
      </w:pPr>
    </w:p>
    <w:p w14:paraId="0B22D56B" w14:textId="77777777" w:rsidR="001E34E9" w:rsidRDefault="001E34E9" w:rsidP="00114953">
      <w:pPr>
        <w:jc w:val="both"/>
        <w:rPr>
          <w:rFonts w:asciiTheme="majorBidi" w:hAnsiTheme="majorBidi" w:cstheme="majorBidi"/>
          <w:lang w:val="de-DE"/>
        </w:rPr>
      </w:pPr>
    </w:p>
    <w:p w14:paraId="20D16293" w14:textId="77777777" w:rsidR="001E34E9" w:rsidRDefault="001E34E9" w:rsidP="00114953">
      <w:pPr>
        <w:jc w:val="both"/>
        <w:rPr>
          <w:rFonts w:asciiTheme="majorBidi" w:hAnsiTheme="majorBidi" w:cstheme="majorBidi"/>
          <w:lang w:val="de-DE"/>
        </w:rPr>
      </w:pPr>
    </w:p>
    <w:p w14:paraId="1BBF75ED" w14:textId="77777777" w:rsidR="001E34E9" w:rsidRDefault="001E34E9" w:rsidP="00114953">
      <w:pPr>
        <w:jc w:val="both"/>
        <w:rPr>
          <w:rFonts w:asciiTheme="majorBidi" w:hAnsiTheme="majorBidi" w:cstheme="majorBidi"/>
        </w:rPr>
      </w:pPr>
    </w:p>
    <w:p w14:paraId="5461F9E0" w14:textId="77777777" w:rsidR="00114953" w:rsidRPr="00A47077" w:rsidRDefault="00114953" w:rsidP="00114953">
      <w:pPr>
        <w:jc w:val="both"/>
        <w:rPr>
          <w:rFonts w:asciiTheme="majorBidi" w:hAnsiTheme="majorBidi" w:cstheme="majorBidi"/>
        </w:rPr>
      </w:pPr>
    </w:p>
    <w:tbl>
      <w:tblPr>
        <w:tblStyle w:val="TableGrid"/>
        <w:tblW w:w="0" w:type="auto"/>
        <w:tblLook w:val="04A0" w:firstRow="1" w:lastRow="0" w:firstColumn="1" w:lastColumn="0" w:noHBand="0" w:noVBand="1"/>
      </w:tblPr>
      <w:tblGrid>
        <w:gridCol w:w="9206"/>
      </w:tblGrid>
      <w:tr w:rsidR="00114953" w14:paraId="10565E1C" w14:textId="77777777" w:rsidTr="00BF3A72">
        <w:tc>
          <w:tcPr>
            <w:tcW w:w="9206" w:type="dxa"/>
            <w:shd w:val="clear" w:color="auto" w:fill="D9D9D9" w:themeFill="background1" w:themeFillShade="D9"/>
          </w:tcPr>
          <w:p w14:paraId="4DBBE23D" w14:textId="77777777" w:rsidR="00114953" w:rsidRDefault="00114953" w:rsidP="00BF3A72">
            <w:pPr>
              <w:jc w:val="both"/>
              <w:rPr>
                <w:b/>
              </w:rPr>
            </w:pPr>
            <w:r w:rsidRPr="006C311A">
              <w:rPr>
                <w:b/>
              </w:rPr>
              <w:t xml:space="preserve">5. </w:t>
            </w:r>
            <w:proofErr w:type="spellStart"/>
            <w:r w:rsidRPr="006C311A">
              <w:rPr>
                <w:b/>
              </w:rPr>
              <w:t>Kādām</w:t>
            </w:r>
            <w:proofErr w:type="spellEnd"/>
            <w:r w:rsidRPr="006C311A">
              <w:rPr>
                <w:b/>
              </w:rPr>
              <w:t xml:space="preserve"> </w:t>
            </w:r>
            <w:proofErr w:type="spellStart"/>
            <w:r w:rsidRPr="006C311A">
              <w:rPr>
                <w:b/>
              </w:rPr>
              <w:t>prasībām</w:t>
            </w:r>
            <w:proofErr w:type="spellEnd"/>
            <w:r w:rsidRPr="006C311A">
              <w:rPr>
                <w:b/>
              </w:rPr>
              <w:t xml:space="preserve"> </w:t>
            </w:r>
            <w:proofErr w:type="spellStart"/>
            <w:r w:rsidRPr="006C311A">
              <w:rPr>
                <w:b/>
              </w:rPr>
              <w:t>Latvijā</w:t>
            </w:r>
            <w:proofErr w:type="spellEnd"/>
            <w:r w:rsidRPr="006C311A">
              <w:rPr>
                <w:b/>
              </w:rPr>
              <w:t xml:space="preserve"> </w:t>
            </w:r>
            <w:proofErr w:type="spellStart"/>
            <w:r w:rsidRPr="006C311A">
              <w:rPr>
                <w:b/>
              </w:rPr>
              <w:t>izmantojamajam</w:t>
            </w:r>
            <w:proofErr w:type="spellEnd"/>
            <w:r w:rsidRPr="006C311A">
              <w:rPr>
                <w:b/>
              </w:rPr>
              <w:t xml:space="preserve"> </w:t>
            </w:r>
            <w:proofErr w:type="spellStart"/>
            <w:r w:rsidRPr="006C311A">
              <w:rPr>
                <w:b/>
              </w:rPr>
              <w:t>ārvalsts</w:t>
            </w:r>
            <w:proofErr w:type="spellEnd"/>
            <w:r w:rsidRPr="006C311A">
              <w:rPr>
                <w:b/>
              </w:rPr>
              <w:t xml:space="preserve"> </w:t>
            </w:r>
            <w:proofErr w:type="spellStart"/>
            <w:r w:rsidRPr="006C311A">
              <w:rPr>
                <w:b/>
              </w:rPr>
              <w:t>dokumentam</w:t>
            </w:r>
            <w:proofErr w:type="spellEnd"/>
            <w:r w:rsidRPr="006C311A">
              <w:rPr>
                <w:b/>
              </w:rPr>
              <w:t xml:space="preserve"> </w:t>
            </w:r>
            <w:proofErr w:type="spellStart"/>
            <w:r w:rsidRPr="006C311A">
              <w:rPr>
                <w:b/>
              </w:rPr>
              <w:t>ir</w:t>
            </w:r>
            <w:proofErr w:type="spellEnd"/>
            <w:r w:rsidRPr="006C311A">
              <w:rPr>
                <w:b/>
              </w:rPr>
              <w:t xml:space="preserve"> </w:t>
            </w:r>
            <w:proofErr w:type="spellStart"/>
            <w:r w:rsidRPr="006C311A">
              <w:rPr>
                <w:b/>
              </w:rPr>
              <w:t>jāatbilst</w:t>
            </w:r>
            <w:proofErr w:type="spellEnd"/>
            <w:r w:rsidRPr="006C311A">
              <w:rPr>
                <w:b/>
              </w:rPr>
              <w:t xml:space="preserve">, </w:t>
            </w:r>
            <w:proofErr w:type="spellStart"/>
            <w:r w:rsidRPr="006C311A">
              <w:rPr>
                <w:b/>
              </w:rPr>
              <w:t>lai</w:t>
            </w:r>
            <w:proofErr w:type="spellEnd"/>
            <w:r w:rsidRPr="006C311A">
              <w:rPr>
                <w:b/>
              </w:rPr>
              <w:t xml:space="preserve"> </w:t>
            </w:r>
            <w:proofErr w:type="spellStart"/>
            <w:r>
              <w:rPr>
                <w:b/>
              </w:rPr>
              <w:t>to</w:t>
            </w:r>
            <w:proofErr w:type="spellEnd"/>
            <w:r>
              <w:rPr>
                <w:b/>
              </w:rPr>
              <w:t xml:space="preserve"> </w:t>
            </w:r>
            <w:proofErr w:type="spellStart"/>
            <w:r>
              <w:rPr>
                <w:b/>
              </w:rPr>
              <w:t>atzītu</w:t>
            </w:r>
            <w:proofErr w:type="spellEnd"/>
            <w:r>
              <w:rPr>
                <w:b/>
              </w:rPr>
              <w:t xml:space="preserve"> par „</w:t>
            </w:r>
            <w:proofErr w:type="spellStart"/>
            <w:r>
              <w:rPr>
                <w:b/>
              </w:rPr>
              <w:t>publisku</w:t>
            </w:r>
            <w:proofErr w:type="spellEnd"/>
            <w:r>
              <w:rPr>
                <w:b/>
              </w:rPr>
              <w:t xml:space="preserve"> </w:t>
            </w:r>
            <w:proofErr w:type="spellStart"/>
            <w:r>
              <w:rPr>
                <w:b/>
              </w:rPr>
              <w:t>dokumentu</w:t>
            </w:r>
            <w:proofErr w:type="spellEnd"/>
            <w:r>
              <w:rPr>
                <w:b/>
              </w:rPr>
              <w:t>“</w:t>
            </w:r>
            <w:r w:rsidRPr="006C311A">
              <w:rPr>
                <w:b/>
              </w:rPr>
              <w:t xml:space="preserve"> </w:t>
            </w:r>
            <w:proofErr w:type="spellStart"/>
            <w:r w:rsidRPr="006C311A">
              <w:rPr>
                <w:b/>
              </w:rPr>
              <w:t>Notariāta</w:t>
            </w:r>
            <w:proofErr w:type="spellEnd"/>
            <w:r w:rsidRPr="006C311A">
              <w:rPr>
                <w:b/>
              </w:rPr>
              <w:t xml:space="preserve"> </w:t>
            </w:r>
            <w:proofErr w:type="spellStart"/>
            <w:r w:rsidRPr="006C311A">
              <w:rPr>
                <w:b/>
              </w:rPr>
              <w:t>likuma</w:t>
            </w:r>
            <w:proofErr w:type="spellEnd"/>
            <w:r w:rsidRPr="006C311A">
              <w:rPr>
                <w:b/>
              </w:rPr>
              <w:t xml:space="preserve"> 83.panta </w:t>
            </w:r>
            <w:proofErr w:type="spellStart"/>
            <w:proofErr w:type="gramStart"/>
            <w:r w:rsidRPr="006C311A">
              <w:rPr>
                <w:b/>
              </w:rPr>
              <w:t>izpratnē</w:t>
            </w:r>
            <w:proofErr w:type="spellEnd"/>
            <w:r w:rsidRPr="006C311A">
              <w:rPr>
                <w:b/>
              </w:rPr>
              <w:t> ?</w:t>
            </w:r>
            <w:proofErr w:type="gramEnd"/>
          </w:p>
          <w:p w14:paraId="3BE30C29" w14:textId="77777777" w:rsidR="00114953" w:rsidRDefault="00114953" w:rsidP="00BF3A72">
            <w:pPr>
              <w:jc w:val="both"/>
            </w:pPr>
          </w:p>
        </w:tc>
      </w:tr>
    </w:tbl>
    <w:p w14:paraId="5C650A26" w14:textId="77777777" w:rsidR="00114953" w:rsidRDefault="00114953" w:rsidP="00114953">
      <w:pPr>
        <w:jc w:val="both"/>
        <w:rPr>
          <w:rFonts w:ascii="Times New Roman" w:hAnsi="Times New Roman" w:cs="Times New Roman"/>
        </w:rPr>
      </w:pPr>
    </w:p>
    <w:p w14:paraId="2B433391" w14:textId="77777777" w:rsidR="00114953" w:rsidRDefault="00114953" w:rsidP="00114953">
      <w:pPr>
        <w:jc w:val="both"/>
        <w:rPr>
          <w:rFonts w:ascii="Times New Roman" w:hAnsi="Times New Roman" w:cs="Times New Roman"/>
          <w:b/>
        </w:rPr>
      </w:pPr>
    </w:p>
    <w:p w14:paraId="4C1DFA65" w14:textId="77777777" w:rsidR="00114953" w:rsidRDefault="00114953" w:rsidP="00114953">
      <w:pPr>
        <w:jc w:val="both"/>
        <w:rPr>
          <w:rFonts w:ascii="Times New Roman" w:hAnsi="Times New Roman" w:cs="Times New Roman"/>
          <w:b/>
        </w:rPr>
      </w:pPr>
    </w:p>
    <w:p w14:paraId="351BE1CA" w14:textId="77777777" w:rsidR="00114953" w:rsidRPr="00084A53" w:rsidRDefault="00114953" w:rsidP="00114953">
      <w:pPr>
        <w:widowControl w:val="0"/>
        <w:autoSpaceDE w:val="0"/>
        <w:autoSpaceDN w:val="0"/>
        <w:adjustRightInd w:val="0"/>
        <w:ind w:firstLine="708"/>
        <w:jc w:val="both"/>
        <w:rPr>
          <w:rFonts w:ascii="Times New Roman" w:hAnsi="Times New Roman" w:cs="Arial"/>
          <w:b/>
          <w:bCs/>
          <w:i/>
          <w:iCs/>
          <w:color w:val="323233"/>
          <w:lang w:val="lv-LV"/>
        </w:rPr>
      </w:pPr>
      <w:r w:rsidRPr="00DA65AC">
        <w:rPr>
          <w:rFonts w:ascii="Times New Roman" w:hAnsi="Times New Roman" w:cs="Arial"/>
          <w:b/>
          <w:bCs/>
          <w:color w:val="323233"/>
          <w:lang w:val="lv-LV"/>
        </w:rPr>
        <w:t>Sask</w:t>
      </w:r>
      <w:r>
        <w:rPr>
          <w:rFonts w:ascii="Times New Roman" w:hAnsi="Times New Roman" w:cs="Arial"/>
          <w:b/>
          <w:bCs/>
          <w:color w:val="323233"/>
          <w:lang w:val="lv-LV"/>
        </w:rPr>
        <w:t xml:space="preserve">aņā ar Notariāta likuma 83.panta otro daļu </w:t>
      </w:r>
      <w:r w:rsidRPr="00084A53">
        <w:rPr>
          <w:rFonts w:ascii="Times New Roman" w:hAnsi="Times New Roman" w:cs="Arial"/>
          <w:i/>
          <w:iCs/>
          <w:color w:val="323233"/>
          <w:lang w:val="lv-LV"/>
        </w:rPr>
        <w:t>„(2)</w:t>
      </w:r>
      <w:r>
        <w:rPr>
          <w:rFonts w:ascii="Times New Roman" w:hAnsi="Times New Roman" w:cs="Arial"/>
          <w:b/>
          <w:bCs/>
          <w:color w:val="323233"/>
          <w:lang w:val="lv-LV"/>
        </w:rPr>
        <w:t xml:space="preserve"> </w:t>
      </w:r>
      <w:proofErr w:type="spellStart"/>
      <w:r w:rsidRPr="00970B26">
        <w:rPr>
          <w:rFonts w:ascii="Times New Roman" w:hAnsi="Times New Roman" w:cs="Arial"/>
          <w:i/>
          <w:iCs/>
          <w:color w:val="323233"/>
        </w:rPr>
        <w:t>Pārstāvības</w:t>
      </w:r>
      <w:proofErr w:type="spellEnd"/>
      <w:r w:rsidRPr="00970B26">
        <w:rPr>
          <w:rFonts w:ascii="Times New Roman" w:hAnsi="Times New Roman" w:cs="Arial"/>
          <w:i/>
          <w:iCs/>
          <w:color w:val="323233"/>
        </w:rPr>
        <w:t xml:space="preserve"> </w:t>
      </w:r>
      <w:proofErr w:type="spellStart"/>
      <w:r w:rsidRPr="00970B26">
        <w:rPr>
          <w:rFonts w:ascii="Times New Roman" w:hAnsi="Times New Roman" w:cs="Arial"/>
          <w:i/>
          <w:iCs/>
          <w:color w:val="323233"/>
        </w:rPr>
        <w:t>tiesības</w:t>
      </w:r>
      <w:proofErr w:type="spellEnd"/>
      <w:r w:rsidRPr="00970B26">
        <w:rPr>
          <w:rFonts w:ascii="Times New Roman" w:hAnsi="Times New Roman" w:cs="Arial"/>
          <w:i/>
          <w:iCs/>
          <w:color w:val="323233"/>
        </w:rPr>
        <w:t xml:space="preserve"> </w:t>
      </w:r>
      <w:proofErr w:type="spellStart"/>
      <w:r w:rsidRPr="00970B26">
        <w:rPr>
          <w:rFonts w:ascii="Times New Roman" w:hAnsi="Times New Roman" w:cs="Arial"/>
          <w:i/>
          <w:iCs/>
          <w:color w:val="323233"/>
        </w:rPr>
        <w:t>zvērināts</w:t>
      </w:r>
      <w:proofErr w:type="spellEnd"/>
      <w:r w:rsidRPr="00970B26">
        <w:rPr>
          <w:rFonts w:ascii="Times New Roman" w:hAnsi="Times New Roman" w:cs="Arial"/>
          <w:i/>
          <w:iCs/>
          <w:color w:val="323233"/>
        </w:rPr>
        <w:t xml:space="preserve"> </w:t>
      </w:r>
      <w:proofErr w:type="spellStart"/>
      <w:r w:rsidRPr="00970B26">
        <w:rPr>
          <w:rFonts w:ascii="Times New Roman" w:hAnsi="Times New Roman" w:cs="Arial"/>
          <w:i/>
          <w:iCs/>
          <w:color w:val="323233"/>
        </w:rPr>
        <w:t>notārs</w:t>
      </w:r>
      <w:proofErr w:type="spellEnd"/>
      <w:r w:rsidRPr="00970B26">
        <w:rPr>
          <w:rFonts w:ascii="Times New Roman" w:hAnsi="Times New Roman" w:cs="Arial"/>
          <w:i/>
          <w:iCs/>
          <w:color w:val="323233"/>
        </w:rPr>
        <w:t xml:space="preserve"> </w:t>
      </w:r>
      <w:proofErr w:type="spellStart"/>
      <w:r w:rsidRPr="00970B26">
        <w:rPr>
          <w:rFonts w:ascii="Times New Roman" w:hAnsi="Times New Roman" w:cs="Arial"/>
          <w:i/>
          <w:iCs/>
          <w:color w:val="323233"/>
        </w:rPr>
        <w:t>pārbauda</w:t>
      </w:r>
      <w:proofErr w:type="spellEnd"/>
      <w:r w:rsidRPr="00970B26">
        <w:rPr>
          <w:rFonts w:ascii="Times New Roman" w:hAnsi="Times New Roman" w:cs="Arial"/>
          <w:i/>
          <w:iCs/>
          <w:color w:val="323233"/>
        </w:rPr>
        <w:t xml:space="preserve"> </w:t>
      </w:r>
      <w:proofErr w:type="spellStart"/>
      <w:r w:rsidRPr="00970B26">
        <w:rPr>
          <w:rFonts w:ascii="Times New Roman" w:hAnsi="Times New Roman" w:cs="Arial"/>
          <w:i/>
          <w:iCs/>
          <w:color w:val="323233"/>
        </w:rPr>
        <w:t>pēc</w:t>
      </w:r>
      <w:proofErr w:type="spellEnd"/>
      <w:r w:rsidRPr="00970B26">
        <w:rPr>
          <w:rFonts w:ascii="Times New Roman" w:hAnsi="Times New Roman" w:cs="Arial"/>
          <w:i/>
          <w:iCs/>
          <w:color w:val="323233"/>
        </w:rPr>
        <w:t xml:space="preserve"> </w:t>
      </w:r>
      <w:proofErr w:type="spellStart"/>
      <w:r w:rsidRPr="00970B26">
        <w:rPr>
          <w:rFonts w:ascii="Times New Roman" w:hAnsi="Times New Roman" w:cs="Arial"/>
          <w:i/>
          <w:iCs/>
          <w:color w:val="323233"/>
        </w:rPr>
        <w:t>viņam</w:t>
      </w:r>
      <w:proofErr w:type="spellEnd"/>
      <w:r w:rsidRPr="00970B26">
        <w:rPr>
          <w:rFonts w:ascii="Times New Roman" w:hAnsi="Times New Roman" w:cs="Arial"/>
          <w:i/>
          <w:iCs/>
          <w:color w:val="323233"/>
        </w:rPr>
        <w:t xml:space="preserve"> </w:t>
      </w:r>
      <w:proofErr w:type="spellStart"/>
      <w:r w:rsidRPr="00970B26">
        <w:rPr>
          <w:rFonts w:ascii="Times New Roman" w:hAnsi="Times New Roman" w:cs="Arial"/>
          <w:i/>
          <w:iCs/>
          <w:color w:val="323233"/>
        </w:rPr>
        <w:t>iesniegtajiem</w:t>
      </w:r>
      <w:proofErr w:type="spellEnd"/>
      <w:r w:rsidRPr="00970B26">
        <w:rPr>
          <w:rFonts w:ascii="Times New Roman" w:hAnsi="Times New Roman" w:cs="Arial"/>
          <w:i/>
          <w:iCs/>
          <w:color w:val="323233"/>
        </w:rPr>
        <w:t xml:space="preserve"> </w:t>
      </w:r>
      <w:proofErr w:type="spellStart"/>
      <w:r w:rsidRPr="00483F2F">
        <w:rPr>
          <w:rFonts w:ascii="Times New Roman" w:hAnsi="Times New Roman" w:cs="Arial"/>
          <w:i/>
          <w:iCs/>
          <w:color w:val="323233"/>
          <w:u w:val="single"/>
        </w:rPr>
        <w:t>publiskiem</w:t>
      </w:r>
      <w:proofErr w:type="spellEnd"/>
      <w:r w:rsidRPr="00483F2F">
        <w:rPr>
          <w:rFonts w:ascii="Times New Roman" w:hAnsi="Times New Roman" w:cs="Arial"/>
          <w:i/>
          <w:iCs/>
          <w:color w:val="323233"/>
          <w:u w:val="single"/>
        </w:rPr>
        <w:t xml:space="preserve"> </w:t>
      </w:r>
      <w:proofErr w:type="spellStart"/>
      <w:r w:rsidRPr="00483F2F">
        <w:rPr>
          <w:rFonts w:ascii="Times New Roman" w:hAnsi="Times New Roman" w:cs="Arial"/>
          <w:i/>
          <w:iCs/>
          <w:color w:val="323233"/>
          <w:u w:val="single"/>
        </w:rPr>
        <w:t>dokumentiem</w:t>
      </w:r>
      <w:proofErr w:type="spellEnd"/>
      <w:r w:rsidRPr="00970B26">
        <w:rPr>
          <w:rFonts w:ascii="Times New Roman" w:hAnsi="Times New Roman" w:cs="Arial"/>
          <w:i/>
          <w:iCs/>
          <w:color w:val="323233"/>
        </w:rPr>
        <w:t xml:space="preserve"> </w:t>
      </w:r>
      <w:proofErr w:type="spellStart"/>
      <w:r w:rsidRPr="00970B26">
        <w:rPr>
          <w:rFonts w:ascii="Times New Roman" w:hAnsi="Times New Roman" w:cs="Arial"/>
          <w:i/>
          <w:iCs/>
          <w:color w:val="323233"/>
        </w:rPr>
        <w:t>vai</w:t>
      </w:r>
      <w:proofErr w:type="spellEnd"/>
      <w:r w:rsidRPr="00970B26">
        <w:rPr>
          <w:rFonts w:ascii="Times New Roman" w:hAnsi="Times New Roman" w:cs="Arial"/>
          <w:i/>
          <w:iCs/>
          <w:color w:val="323233"/>
        </w:rPr>
        <w:t xml:space="preserve"> </w:t>
      </w:r>
      <w:proofErr w:type="spellStart"/>
      <w:r w:rsidRPr="00483F2F">
        <w:rPr>
          <w:rFonts w:ascii="Times New Roman" w:hAnsi="Times New Roman" w:cs="Arial"/>
          <w:i/>
          <w:iCs/>
          <w:color w:val="323233"/>
          <w:u w:val="single"/>
        </w:rPr>
        <w:t>ierakstiem</w:t>
      </w:r>
      <w:proofErr w:type="spellEnd"/>
      <w:r w:rsidRPr="00483F2F">
        <w:rPr>
          <w:rFonts w:ascii="Times New Roman" w:hAnsi="Times New Roman" w:cs="Arial"/>
          <w:i/>
          <w:iCs/>
          <w:color w:val="323233"/>
          <w:u w:val="single"/>
        </w:rPr>
        <w:t xml:space="preserve"> </w:t>
      </w:r>
      <w:proofErr w:type="spellStart"/>
      <w:r w:rsidRPr="00483F2F">
        <w:rPr>
          <w:rFonts w:ascii="Times New Roman" w:hAnsi="Times New Roman" w:cs="Arial"/>
          <w:i/>
          <w:iCs/>
          <w:color w:val="323233"/>
          <w:u w:val="single"/>
        </w:rPr>
        <w:t>Komercreģistrā</w:t>
      </w:r>
      <w:proofErr w:type="spellEnd"/>
      <w:r w:rsidRPr="00970B26">
        <w:rPr>
          <w:rFonts w:ascii="Times New Roman" w:hAnsi="Times New Roman" w:cs="Arial"/>
          <w:i/>
          <w:iCs/>
          <w:color w:val="323233"/>
        </w:rPr>
        <w:t xml:space="preserve"> </w:t>
      </w:r>
      <w:proofErr w:type="spellStart"/>
      <w:r w:rsidRPr="00970B26">
        <w:rPr>
          <w:rFonts w:ascii="Times New Roman" w:hAnsi="Times New Roman" w:cs="Arial"/>
          <w:i/>
          <w:iCs/>
          <w:color w:val="323233"/>
        </w:rPr>
        <w:t>vai</w:t>
      </w:r>
      <w:proofErr w:type="spellEnd"/>
      <w:r w:rsidRPr="00970B26">
        <w:rPr>
          <w:rFonts w:ascii="Times New Roman" w:hAnsi="Times New Roman" w:cs="Arial"/>
          <w:i/>
          <w:iCs/>
          <w:color w:val="323233"/>
        </w:rPr>
        <w:t xml:space="preserve"> </w:t>
      </w:r>
      <w:proofErr w:type="spellStart"/>
      <w:r w:rsidRPr="00483F2F">
        <w:rPr>
          <w:rFonts w:ascii="Times New Roman" w:hAnsi="Times New Roman" w:cs="Arial"/>
          <w:i/>
          <w:iCs/>
          <w:color w:val="323233"/>
          <w:u w:val="single"/>
        </w:rPr>
        <w:t>citos</w:t>
      </w:r>
      <w:proofErr w:type="spellEnd"/>
      <w:r w:rsidRPr="00483F2F">
        <w:rPr>
          <w:rFonts w:ascii="Times New Roman" w:hAnsi="Times New Roman" w:cs="Arial"/>
          <w:i/>
          <w:iCs/>
          <w:color w:val="323233"/>
          <w:u w:val="single"/>
        </w:rPr>
        <w:t xml:space="preserve"> </w:t>
      </w:r>
      <w:proofErr w:type="spellStart"/>
      <w:r w:rsidRPr="00483F2F">
        <w:rPr>
          <w:rFonts w:ascii="Times New Roman" w:hAnsi="Times New Roman" w:cs="Arial"/>
          <w:i/>
          <w:iCs/>
          <w:color w:val="323233"/>
          <w:u w:val="single"/>
        </w:rPr>
        <w:t>publiskos</w:t>
      </w:r>
      <w:proofErr w:type="spellEnd"/>
      <w:r w:rsidRPr="00483F2F">
        <w:rPr>
          <w:rFonts w:ascii="Times New Roman" w:hAnsi="Times New Roman" w:cs="Arial"/>
          <w:i/>
          <w:iCs/>
          <w:color w:val="323233"/>
          <w:u w:val="single"/>
        </w:rPr>
        <w:t xml:space="preserve"> </w:t>
      </w:r>
      <w:proofErr w:type="spellStart"/>
      <w:r w:rsidRPr="00483F2F">
        <w:rPr>
          <w:rFonts w:ascii="Times New Roman" w:hAnsi="Times New Roman" w:cs="Arial"/>
          <w:i/>
          <w:iCs/>
          <w:color w:val="323233"/>
          <w:u w:val="single"/>
        </w:rPr>
        <w:t>reģistros</w:t>
      </w:r>
      <w:proofErr w:type="spellEnd"/>
      <w:r w:rsidRPr="00970B26">
        <w:rPr>
          <w:rFonts w:ascii="Times New Roman" w:hAnsi="Times New Roman" w:cs="Arial"/>
          <w:i/>
          <w:iCs/>
          <w:color w:val="323233"/>
        </w:rPr>
        <w:t>.</w:t>
      </w:r>
    </w:p>
    <w:p w14:paraId="09B1C7D8" w14:textId="77777777" w:rsidR="00114953" w:rsidRPr="00970B26" w:rsidRDefault="00114953" w:rsidP="00114953">
      <w:pPr>
        <w:widowControl w:val="0"/>
        <w:autoSpaceDE w:val="0"/>
        <w:autoSpaceDN w:val="0"/>
        <w:adjustRightInd w:val="0"/>
        <w:jc w:val="both"/>
        <w:rPr>
          <w:rFonts w:ascii="Times New Roman" w:hAnsi="Times New Roman" w:cs="Arial"/>
          <w:i/>
          <w:iCs/>
          <w:color w:val="323233"/>
        </w:rPr>
      </w:pPr>
    </w:p>
    <w:p w14:paraId="044C6B8F" w14:textId="77777777" w:rsidR="00114953" w:rsidRDefault="00114953" w:rsidP="00114953">
      <w:pPr>
        <w:jc w:val="both"/>
        <w:rPr>
          <w:rFonts w:ascii="Times New Roman" w:hAnsi="Times New Roman" w:cs="Times New Roman"/>
          <w:b/>
        </w:rPr>
      </w:pPr>
    </w:p>
    <w:p w14:paraId="02C7085F" w14:textId="10C84357" w:rsidR="00114953" w:rsidRPr="00565D81" w:rsidRDefault="00114953" w:rsidP="00114953">
      <w:pPr>
        <w:ind w:firstLine="708"/>
        <w:jc w:val="both"/>
        <w:rPr>
          <w:rFonts w:ascii="Times New Roman" w:hAnsi="Times New Roman" w:cs="Times New Roman"/>
          <w:bCs/>
        </w:rPr>
      </w:pPr>
      <w:r w:rsidRPr="00ED57F0">
        <w:rPr>
          <w:rFonts w:ascii="Times New Roman" w:hAnsi="Times New Roman" w:cs="Times New Roman"/>
          <w:bCs/>
        </w:rPr>
        <w:t xml:space="preserve">No </w:t>
      </w:r>
      <w:proofErr w:type="gramStart"/>
      <w:r w:rsidRPr="00ED57F0">
        <w:rPr>
          <w:rFonts w:ascii="Times New Roman" w:hAnsi="Times New Roman" w:cs="Times New Roman"/>
          <w:bCs/>
        </w:rPr>
        <w:t>4.jautājumā</w:t>
      </w:r>
      <w:proofErr w:type="gramEnd"/>
      <w:r w:rsidRPr="00ED57F0">
        <w:rPr>
          <w:rFonts w:ascii="Times New Roman" w:hAnsi="Times New Roman" w:cs="Times New Roman"/>
          <w:bCs/>
        </w:rPr>
        <w:t xml:space="preserve"> </w:t>
      </w:r>
      <w:proofErr w:type="spellStart"/>
      <w:r w:rsidRPr="00ED57F0">
        <w:rPr>
          <w:rFonts w:ascii="Times New Roman" w:hAnsi="Times New Roman" w:cs="Times New Roman"/>
          <w:bCs/>
        </w:rPr>
        <w:t>atspoguļotās</w:t>
      </w:r>
      <w:proofErr w:type="spellEnd"/>
      <w:r w:rsidRPr="00ED57F0">
        <w:rPr>
          <w:rFonts w:ascii="Times New Roman" w:hAnsi="Times New Roman" w:cs="Times New Roman"/>
          <w:bCs/>
        </w:rPr>
        <w:t xml:space="preserve"> </w:t>
      </w:r>
      <w:proofErr w:type="spellStart"/>
      <w:r w:rsidRPr="00ED57F0">
        <w:rPr>
          <w:rFonts w:ascii="Times New Roman" w:hAnsi="Times New Roman" w:cs="Times New Roman"/>
          <w:bCs/>
        </w:rPr>
        <w:t>juridiskās</w:t>
      </w:r>
      <w:proofErr w:type="spellEnd"/>
      <w:r w:rsidRPr="00ED57F0">
        <w:rPr>
          <w:rFonts w:ascii="Times New Roman" w:hAnsi="Times New Roman" w:cs="Times New Roman"/>
          <w:bCs/>
        </w:rPr>
        <w:t xml:space="preserve"> </w:t>
      </w:r>
      <w:proofErr w:type="spellStart"/>
      <w:r w:rsidRPr="00ED57F0">
        <w:rPr>
          <w:rFonts w:ascii="Times New Roman" w:hAnsi="Times New Roman" w:cs="Times New Roman"/>
          <w:bCs/>
        </w:rPr>
        <w:t>analīzes</w:t>
      </w:r>
      <w:proofErr w:type="spellEnd"/>
      <w:r w:rsidRPr="00ED57F0">
        <w:rPr>
          <w:rFonts w:ascii="Times New Roman" w:hAnsi="Times New Roman" w:cs="Times New Roman"/>
          <w:bCs/>
        </w:rPr>
        <w:t xml:space="preserve"> </w:t>
      </w:r>
      <w:proofErr w:type="spellStart"/>
      <w:r w:rsidRPr="00ED57F0">
        <w:rPr>
          <w:rFonts w:ascii="Times New Roman" w:hAnsi="Times New Roman" w:cs="Times New Roman"/>
          <w:bCs/>
        </w:rPr>
        <w:t>izriet</w:t>
      </w:r>
      <w:proofErr w:type="spellEnd"/>
      <w:r w:rsidRPr="00ED57F0">
        <w:rPr>
          <w:rFonts w:ascii="Times New Roman" w:hAnsi="Times New Roman" w:cs="Times New Roman"/>
          <w:bCs/>
        </w:rPr>
        <w:t xml:space="preserve">, ka </w:t>
      </w:r>
      <w:proofErr w:type="spellStart"/>
      <w:r w:rsidRPr="00ED57F0">
        <w:rPr>
          <w:rFonts w:ascii="Times New Roman" w:hAnsi="Times New Roman" w:cs="Times New Roman"/>
          <w:bCs/>
        </w:rPr>
        <w:t>ārvalsts</w:t>
      </w:r>
      <w:proofErr w:type="spellEnd"/>
      <w:r w:rsidRPr="00ED57F0">
        <w:rPr>
          <w:rFonts w:ascii="Times New Roman" w:hAnsi="Times New Roman" w:cs="Times New Roman"/>
          <w:bCs/>
        </w:rPr>
        <w:t xml:space="preserve"> </w:t>
      </w:r>
      <w:proofErr w:type="spellStart"/>
      <w:r>
        <w:rPr>
          <w:rFonts w:ascii="Times New Roman" w:hAnsi="Times New Roman" w:cs="Times New Roman"/>
          <w:bCs/>
        </w:rPr>
        <w:t>dokumentam</w:t>
      </w:r>
      <w:proofErr w:type="spellEnd"/>
      <w:r>
        <w:rPr>
          <w:rFonts w:ascii="Times New Roman" w:hAnsi="Times New Roman" w:cs="Times New Roman"/>
          <w:bCs/>
        </w:rPr>
        <w:t xml:space="preserve">, lai to </w:t>
      </w:r>
      <w:proofErr w:type="spellStart"/>
      <w:r>
        <w:rPr>
          <w:rFonts w:ascii="Times New Roman" w:hAnsi="Times New Roman" w:cs="Times New Roman"/>
          <w:bCs/>
        </w:rPr>
        <w:t>atzītu</w:t>
      </w:r>
      <w:proofErr w:type="spellEnd"/>
      <w:r>
        <w:rPr>
          <w:rFonts w:ascii="Times New Roman" w:hAnsi="Times New Roman" w:cs="Times New Roman"/>
          <w:bCs/>
        </w:rPr>
        <w:t xml:space="preserve"> par </w:t>
      </w:r>
      <w:r>
        <w:rPr>
          <w:rFonts w:ascii="Times New Roman" w:hAnsi="Times New Roman" w:cs="Times New Roman"/>
          <w:bCs/>
          <w:lang w:val="de-DE"/>
        </w:rPr>
        <w:t>„</w:t>
      </w:r>
      <w:proofErr w:type="spellStart"/>
      <w:r>
        <w:rPr>
          <w:rFonts w:ascii="Times New Roman" w:hAnsi="Times New Roman" w:cs="Times New Roman"/>
          <w:bCs/>
        </w:rPr>
        <w:t>publisku</w:t>
      </w:r>
      <w:proofErr w:type="spellEnd"/>
      <w:r>
        <w:rPr>
          <w:rFonts w:ascii="Times New Roman" w:hAnsi="Times New Roman" w:cs="Times New Roman"/>
          <w:bCs/>
        </w:rPr>
        <w:t xml:space="preserve"> </w:t>
      </w:r>
      <w:proofErr w:type="spellStart"/>
      <w:r>
        <w:rPr>
          <w:rFonts w:ascii="Times New Roman" w:hAnsi="Times New Roman" w:cs="Times New Roman"/>
          <w:bCs/>
        </w:rPr>
        <w:t>dokumentu</w:t>
      </w:r>
      <w:proofErr w:type="spellEnd"/>
      <w:r>
        <w:rPr>
          <w:rFonts w:ascii="Times New Roman" w:hAnsi="Times New Roman" w:cs="Times New Roman"/>
          <w:bCs/>
          <w:lang w:val="de-DE"/>
        </w:rPr>
        <w:t>“</w:t>
      </w:r>
      <w:r w:rsidRPr="00ED57F0">
        <w:rPr>
          <w:rFonts w:ascii="Times New Roman" w:hAnsi="Times New Roman" w:cs="Times New Roman"/>
          <w:bCs/>
        </w:rPr>
        <w:t xml:space="preserve"> </w:t>
      </w:r>
      <w:proofErr w:type="spellStart"/>
      <w:r w:rsidRPr="00ED57F0">
        <w:rPr>
          <w:rFonts w:ascii="Times New Roman" w:hAnsi="Times New Roman" w:cs="Times New Roman"/>
          <w:bCs/>
        </w:rPr>
        <w:t>Notariāta</w:t>
      </w:r>
      <w:proofErr w:type="spellEnd"/>
      <w:r w:rsidRPr="00ED57F0">
        <w:rPr>
          <w:rFonts w:ascii="Times New Roman" w:hAnsi="Times New Roman" w:cs="Times New Roman"/>
          <w:bCs/>
        </w:rPr>
        <w:t xml:space="preserve"> </w:t>
      </w:r>
      <w:proofErr w:type="spellStart"/>
      <w:r w:rsidRPr="00ED57F0">
        <w:rPr>
          <w:rFonts w:ascii="Times New Roman" w:hAnsi="Times New Roman" w:cs="Times New Roman"/>
          <w:bCs/>
        </w:rPr>
        <w:t>likuma</w:t>
      </w:r>
      <w:proofErr w:type="spellEnd"/>
      <w:r w:rsidRPr="00ED57F0">
        <w:rPr>
          <w:rFonts w:ascii="Times New Roman" w:hAnsi="Times New Roman" w:cs="Times New Roman"/>
          <w:bCs/>
        </w:rPr>
        <w:t xml:space="preserve"> 83.panta </w:t>
      </w:r>
      <w:proofErr w:type="spellStart"/>
      <w:r w:rsidRPr="00ED57F0">
        <w:rPr>
          <w:rFonts w:ascii="Times New Roman" w:hAnsi="Times New Roman" w:cs="Times New Roman"/>
          <w:bCs/>
        </w:rPr>
        <w:t>izpratnē</w:t>
      </w:r>
      <w:proofErr w:type="spellEnd"/>
      <w:r w:rsidRPr="00ED57F0">
        <w:rPr>
          <w:rFonts w:ascii="Times New Roman" w:hAnsi="Times New Roman" w:cs="Times New Roman"/>
          <w:bCs/>
        </w:rPr>
        <w:t xml:space="preserve">, </w:t>
      </w:r>
      <w:proofErr w:type="spellStart"/>
      <w:r w:rsidR="00275C12">
        <w:rPr>
          <w:rFonts w:ascii="Times New Roman" w:hAnsi="Times New Roman" w:cs="Times New Roman"/>
          <w:bCs/>
        </w:rPr>
        <w:t>principā</w:t>
      </w:r>
      <w:proofErr w:type="spellEnd"/>
      <w:r w:rsidR="00275C12">
        <w:rPr>
          <w:rFonts w:ascii="Times New Roman" w:hAnsi="Times New Roman" w:cs="Times New Roman"/>
          <w:bCs/>
        </w:rPr>
        <w:t xml:space="preserve"> </w:t>
      </w:r>
      <w:proofErr w:type="spellStart"/>
      <w:r w:rsidRPr="00ED57F0">
        <w:rPr>
          <w:rFonts w:ascii="Times New Roman" w:hAnsi="Times New Roman" w:cs="Times New Roman"/>
          <w:bCs/>
        </w:rPr>
        <w:t>ir</w:t>
      </w:r>
      <w:proofErr w:type="spellEnd"/>
      <w:r w:rsidRPr="00ED57F0">
        <w:rPr>
          <w:rFonts w:ascii="Times New Roman" w:hAnsi="Times New Roman" w:cs="Times New Roman"/>
          <w:bCs/>
        </w:rPr>
        <w:t xml:space="preserve"> </w:t>
      </w:r>
      <w:proofErr w:type="spellStart"/>
      <w:r w:rsidRPr="00ED57F0">
        <w:rPr>
          <w:rFonts w:ascii="Times New Roman" w:hAnsi="Times New Roman" w:cs="Times New Roman"/>
          <w:bCs/>
        </w:rPr>
        <w:t>jāatbilst</w:t>
      </w:r>
      <w:proofErr w:type="spellEnd"/>
      <w:r w:rsidRPr="00ED57F0">
        <w:rPr>
          <w:rFonts w:ascii="Times New Roman" w:hAnsi="Times New Roman" w:cs="Times New Roman"/>
          <w:bCs/>
        </w:rPr>
        <w:t xml:space="preserve"> </w:t>
      </w:r>
      <w:proofErr w:type="spellStart"/>
      <w:r w:rsidRPr="00ED57F0">
        <w:rPr>
          <w:rFonts w:ascii="Times New Roman" w:hAnsi="Times New Roman" w:cs="Times New Roman"/>
          <w:bCs/>
        </w:rPr>
        <w:t>tām</w:t>
      </w:r>
      <w:proofErr w:type="spellEnd"/>
      <w:r w:rsidRPr="00ED57F0">
        <w:rPr>
          <w:rFonts w:ascii="Times New Roman" w:hAnsi="Times New Roman" w:cs="Times New Roman"/>
          <w:bCs/>
        </w:rPr>
        <w:t xml:space="preserve"> </w:t>
      </w:r>
      <w:proofErr w:type="spellStart"/>
      <w:r w:rsidRPr="00ED57F0">
        <w:rPr>
          <w:rFonts w:ascii="Times New Roman" w:hAnsi="Times New Roman" w:cs="Times New Roman"/>
          <w:bCs/>
        </w:rPr>
        <w:t>pašām</w:t>
      </w:r>
      <w:proofErr w:type="spellEnd"/>
      <w:r w:rsidRPr="00ED57F0">
        <w:rPr>
          <w:rFonts w:ascii="Times New Roman" w:hAnsi="Times New Roman" w:cs="Times New Roman"/>
          <w:bCs/>
        </w:rPr>
        <w:t xml:space="preserve"> </w:t>
      </w:r>
      <w:proofErr w:type="spellStart"/>
      <w:r w:rsidRPr="00ED57F0">
        <w:rPr>
          <w:rFonts w:ascii="Times New Roman" w:hAnsi="Times New Roman" w:cs="Times New Roman"/>
          <w:bCs/>
        </w:rPr>
        <w:t>prasīb</w:t>
      </w:r>
      <w:r>
        <w:rPr>
          <w:rFonts w:ascii="Times New Roman" w:hAnsi="Times New Roman" w:cs="Times New Roman"/>
          <w:bCs/>
        </w:rPr>
        <w:t>ām</w:t>
      </w:r>
      <w:proofErr w:type="spellEnd"/>
      <w:r>
        <w:rPr>
          <w:rFonts w:ascii="Times New Roman" w:hAnsi="Times New Roman" w:cs="Times New Roman"/>
          <w:bCs/>
        </w:rPr>
        <w:t xml:space="preserve">, </w:t>
      </w:r>
      <w:proofErr w:type="spellStart"/>
      <w:r>
        <w:rPr>
          <w:rFonts w:ascii="Times New Roman" w:hAnsi="Times New Roman" w:cs="Times New Roman"/>
          <w:bCs/>
        </w:rPr>
        <w:t>kādas</w:t>
      </w:r>
      <w:proofErr w:type="spellEnd"/>
      <w:r>
        <w:rPr>
          <w:rFonts w:ascii="Times New Roman" w:hAnsi="Times New Roman" w:cs="Times New Roman"/>
          <w:bCs/>
        </w:rPr>
        <w:t xml:space="preserve"> </w:t>
      </w:r>
      <w:proofErr w:type="spellStart"/>
      <w:r>
        <w:rPr>
          <w:rFonts w:ascii="Times New Roman" w:hAnsi="Times New Roman" w:cs="Times New Roman"/>
          <w:bCs/>
        </w:rPr>
        <w:t>ir</w:t>
      </w:r>
      <w:proofErr w:type="spellEnd"/>
      <w:r>
        <w:rPr>
          <w:rFonts w:ascii="Times New Roman" w:hAnsi="Times New Roman" w:cs="Times New Roman"/>
          <w:bCs/>
        </w:rPr>
        <w:t xml:space="preserve"> </w:t>
      </w:r>
      <w:proofErr w:type="spellStart"/>
      <w:r>
        <w:rPr>
          <w:rFonts w:ascii="Times New Roman" w:hAnsi="Times New Roman" w:cs="Times New Roman"/>
          <w:bCs/>
        </w:rPr>
        <w:t>izvirzītas</w:t>
      </w:r>
      <w:proofErr w:type="spellEnd"/>
      <w:r>
        <w:rPr>
          <w:rFonts w:ascii="Times New Roman" w:hAnsi="Times New Roman" w:cs="Times New Roman"/>
          <w:bCs/>
        </w:rPr>
        <w:t xml:space="preserve"> </w:t>
      </w:r>
      <w:proofErr w:type="spellStart"/>
      <w:r>
        <w:rPr>
          <w:rFonts w:ascii="Times New Roman" w:hAnsi="Times New Roman" w:cs="Times New Roman"/>
          <w:bCs/>
        </w:rPr>
        <w:t>Latvijā</w:t>
      </w:r>
      <w:proofErr w:type="spellEnd"/>
      <w:r>
        <w:rPr>
          <w:rFonts w:ascii="Times New Roman" w:hAnsi="Times New Roman" w:cs="Times New Roman"/>
          <w:bCs/>
        </w:rPr>
        <w:t xml:space="preserve"> </w:t>
      </w:r>
      <w:proofErr w:type="spellStart"/>
      <w:r>
        <w:rPr>
          <w:rFonts w:ascii="Times New Roman" w:hAnsi="Times New Roman" w:cs="Times New Roman"/>
          <w:bCs/>
        </w:rPr>
        <w:t>sastādītiem</w:t>
      </w:r>
      <w:proofErr w:type="spellEnd"/>
      <w:r>
        <w:rPr>
          <w:rFonts w:ascii="Times New Roman" w:hAnsi="Times New Roman" w:cs="Times New Roman"/>
          <w:bCs/>
        </w:rPr>
        <w:t xml:space="preserve"> </w:t>
      </w:r>
      <w:proofErr w:type="spellStart"/>
      <w:r>
        <w:rPr>
          <w:rFonts w:ascii="Times New Roman" w:hAnsi="Times New Roman" w:cs="Times New Roman"/>
          <w:bCs/>
        </w:rPr>
        <w:t>publisk</w:t>
      </w:r>
      <w:r w:rsidRPr="00ED57F0">
        <w:rPr>
          <w:rFonts w:ascii="Times New Roman" w:hAnsi="Times New Roman" w:cs="Times New Roman"/>
          <w:bCs/>
        </w:rPr>
        <w:t>iem</w:t>
      </w:r>
      <w:proofErr w:type="spellEnd"/>
      <w:r w:rsidRPr="00ED57F0">
        <w:rPr>
          <w:rFonts w:ascii="Times New Roman" w:hAnsi="Times New Roman" w:cs="Times New Roman"/>
          <w:bCs/>
        </w:rPr>
        <w:t xml:space="preserve"> </w:t>
      </w:r>
      <w:proofErr w:type="spellStart"/>
      <w:r w:rsidRPr="00ED57F0">
        <w:rPr>
          <w:rFonts w:ascii="Times New Roman" w:hAnsi="Times New Roman" w:cs="Times New Roman"/>
          <w:bCs/>
        </w:rPr>
        <w:t>dokumentiem</w:t>
      </w:r>
      <w:proofErr w:type="spellEnd"/>
      <w:r>
        <w:rPr>
          <w:rFonts w:ascii="Times New Roman" w:hAnsi="Times New Roman" w:cs="Times New Roman"/>
          <w:bCs/>
        </w:rPr>
        <w:t xml:space="preserve">, </w:t>
      </w:r>
      <w:proofErr w:type="spellStart"/>
      <w:r w:rsidRPr="00565D81">
        <w:rPr>
          <w:rFonts w:ascii="Times New Roman" w:hAnsi="Times New Roman" w:cs="Times New Roman"/>
          <w:bCs/>
        </w:rPr>
        <w:t>kurus</w:t>
      </w:r>
      <w:proofErr w:type="spellEnd"/>
      <w:r w:rsidRPr="00565D81">
        <w:rPr>
          <w:rFonts w:ascii="Times New Roman" w:hAnsi="Times New Roman" w:cs="Times New Roman"/>
          <w:bCs/>
        </w:rPr>
        <w:t xml:space="preserve"> </w:t>
      </w:r>
      <w:proofErr w:type="spellStart"/>
      <w:r w:rsidRPr="00565D81">
        <w:rPr>
          <w:rFonts w:ascii="Times New Roman" w:hAnsi="Times New Roman" w:cs="Times New Roman"/>
          <w:bCs/>
        </w:rPr>
        <w:t>izmanto</w:t>
      </w:r>
      <w:proofErr w:type="spellEnd"/>
      <w:r w:rsidRPr="00565D81">
        <w:rPr>
          <w:rFonts w:ascii="Times New Roman" w:hAnsi="Times New Roman" w:cs="Times New Roman"/>
          <w:bCs/>
        </w:rPr>
        <w:t xml:space="preserve"> </w:t>
      </w:r>
      <w:proofErr w:type="spellStart"/>
      <w:r w:rsidRPr="00565D81">
        <w:rPr>
          <w:rFonts w:ascii="Times New Roman" w:hAnsi="Times New Roman" w:cs="Times New Roman"/>
          <w:bCs/>
        </w:rPr>
        <w:t>notāru</w:t>
      </w:r>
      <w:proofErr w:type="spellEnd"/>
      <w:r w:rsidRPr="00565D81">
        <w:rPr>
          <w:rFonts w:ascii="Times New Roman" w:hAnsi="Times New Roman" w:cs="Times New Roman"/>
          <w:bCs/>
        </w:rPr>
        <w:t xml:space="preserve"> </w:t>
      </w:r>
      <w:proofErr w:type="spellStart"/>
      <w:r w:rsidRPr="00565D81">
        <w:rPr>
          <w:rFonts w:ascii="Times New Roman" w:hAnsi="Times New Roman" w:cs="Times New Roman"/>
          <w:bCs/>
        </w:rPr>
        <w:t>procesos</w:t>
      </w:r>
      <w:proofErr w:type="spellEnd"/>
      <w:r w:rsidRPr="00565D81">
        <w:rPr>
          <w:rFonts w:ascii="Times New Roman" w:hAnsi="Times New Roman" w:cs="Times New Roman"/>
          <w:bCs/>
        </w:rPr>
        <w:t xml:space="preserve">. </w:t>
      </w:r>
      <w:proofErr w:type="spellStart"/>
      <w:r w:rsidRPr="00565D81">
        <w:rPr>
          <w:rFonts w:ascii="Times New Roman" w:hAnsi="Times New Roman" w:cs="Times New Roman"/>
          <w:bCs/>
        </w:rPr>
        <w:t>Piemēram</w:t>
      </w:r>
      <w:proofErr w:type="spellEnd"/>
      <w:r w:rsidRPr="00565D81">
        <w:rPr>
          <w:rFonts w:ascii="Times New Roman" w:hAnsi="Times New Roman" w:cs="Times New Roman"/>
          <w:bCs/>
        </w:rPr>
        <w:t xml:space="preserve">, </w:t>
      </w:r>
      <w:proofErr w:type="spellStart"/>
      <w:r w:rsidRPr="00565D81">
        <w:rPr>
          <w:rFonts w:ascii="Times New Roman" w:hAnsi="Times New Roman" w:cs="Times New Roman"/>
          <w:bCs/>
        </w:rPr>
        <w:t>saskaņā</w:t>
      </w:r>
      <w:proofErr w:type="spellEnd"/>
      <w:r w:rsidRPr="00565D81">
        <w:rPr>
          <w:rFonts w:ascii="Times New Roman" w:hAnsi="Times New Roman" w:cs="Times New Roman"/>
          <w:bCs/>
        </w:rPr>
        <w:t xml:space="preserve"> </w:t>
      </w:r>
      <w:proofErr w:type="spellStart"/>
      <w:r w:rsidRPr="00565D81">
        <w:rPr>
          <w:rFonts w:ascii="Times New Roman" w:hAnsi="Times New Roman" w:cs="Times New Roman"/>
          <w:bCs/>
        </w:rPr>
        <w:t>ar</w:t>
      </w:r>
      <w:proofErr w:type="spellEnd"/>
      <w:r w:rsidRPr="00565D81">
        <w:rPr>
          <w:rFonts w:ascii="Times New Roman" w:hAnsi="Times New Roman" w:cs="Times New Roman"/>
          <w:bCs/>
        </w:rPr>
        <w:t xml:space="preserve"> </w:t>
      </w:r>
      <w:proofErr w:type="spellStart"/>
      <w:r w:rsidRPr="00565D81">
        <w:rPr>
          <w:rFonts w:ascii="Times New Roman" w:hAnsi="Times New Roman" w:cs="Times New Roman"/>
          <w:bCs/>
        </w:rPr>
        <w:t>Notariāta</w:t>
      </w:r>
      <w:proofErr w:type="spellEnd"/>
      <w:r w:rsidRPr="00565D81">
        <w:rPr>
          <w:rFonts w:ascii="Times New Roman" w:hAnsi="Times New Roman" w:cs="Times New Roman"/>
          <w:bCs/>
        </w:rPr>
        <w:t xml:space="preserve"> </w:t>
      </w:r>
      <w:proofErr w:type="spellStart"/>
      <w:r w:rsidRPr="00565D81">
        <w:rPr>
          <w:rFonts w:ascii="Times New Roman" w:hAnsi="Times New Roman" w:cs="Times New Roman"/>
          <w:bCs/>
        </w:rPr>
        <w:t>likuma</w:t>
      </w:r>
      <w:proofErr w:type="spellEnd"/>
      <w:r w:rsidRPr="00565D81">
        <w:rPr>
          <w:rFonts w:ascii="Times New Roman" w:hAnsi="Times New Roman" w:cs="Times New Roman"/>
          <w:bCs/>
        </w:rPr>
        <w:t xml:space="preserve"> </w:t>
      </w:r>
      <w:proofErr w:type="gramStart"/>
      <w:r w:rsidRPr="00565D81">
        <w:rPr>
          <w:rFonts w:ascii="Times New Roman" w:hAnsi="Times New Roman" w:cs="Times New Roman"/>
          <w:bCs/>
        </w:rPr>
        <w:t>81.pantu</w:t>
      </w:r>
      <w:proofErr w:type="gramEnd"/>
      <w:r w:rsidRPr="00565D81">
        <w:rPr>
          <w:rFonts w:ascii="Times New Roman" w:hAnsi="Times New Roman" w:cs="Times New Roman"/>
          <w:bCs/>
        </w:rPr>
        <w:t xml:space="preserve"> </w:t>
      </w:r>
      <w:proofErr w:type="spellStart"/>
      <w:r w:rsidRPr="00565D81">
        <w:rPr>
          <w:rFonts w:ascii="Times New Roman" w:hAnsi="Times New Roman" w:cs="Times New Roman"/>
          <w:bCs/>
        </w:rPr>
        <w:t>publiski</w:t>
      </w:r>
      <w:proofErr w:type="spellEnd"/>
      <w:r w:rsidRPr="00565D81">
        <w:rPr>
          <w:rFonts w:ascii="Times New Roman" w:hAnsi="Times New Roman" w:cs="Times New Roman"/>
          <w:bCs/>
        </w:rPr>
        <w:t xml:space="preserve"> </w:t>
      </w:r>
      <w:proofErr w:type="spellStart"/>
      <w:r w:rsidRPr="00565D81">
        <w:rPr>
          <w:rFonts w:ascii="Times New Roman" w:hAnsi="Times New Roman" w:cs="Times New Roman"/>
          <w:bCs/>
        </w:rPr>
        <w:t>dokumenti</w:t>
      </w:r>
      <w:proofErr w:type="spellEnd"/>
      <w:r w:rsidRPr="00565D81">
        <w:rPr>
          <w:rFonts w:ascii="Times New Roman" w:hAnsi="Times New Roman" w:cs="Times New Roman"/>
          <w:bCs/>
        </w:rPr>
        <w:t xml:space="preserve"> </w:t>
      </w:r>
      <w:proofErr w:type="spellStart"/>
      <w:r w:rsidRPr="00565D81">
        <w:rPr>
          <w:rFonts w:ascii="Times New Roman" w:hAnsi="Times New Roman" w:cs="Times New Roman"/>
          <w:bCs/>
        </w:rPr>
        <w:t>ir</w:t>
      </w:r>
      <w:proofErr w:type="spellEnd"/>
      <w:r w:rsidRPr="00565D81">
        <w:rPr>
          <w:rFonts w:ascii="Times New Roman" w:hAnsi="Times New Roman" w:cs="Times New Roman"/>
          <w:bCs/>
        </w:rPr>
        <w:t xml:space="preserve">: </w:t>
      </w:r>
    </w:p>
    <w:p w14:paraId="2898D990" w14:textId="77777777" w:rsidR="00114953" w:rsidRPr="00565D81" w:rsidRDefault="00114953" w:rsidP="00114953">
      <w:pPr>
        <w:jc w:val="both"/>
        <w:rPr>
          <w:rFonts w:ascii="Times New Roman" w:hAnsi="Times New Roman" w:cs="Times New Roman"/>
          <w:bCs/>
        </w:rPr>
      </w:pPr>
      <w:r w:rsidRPr="00565D81">
        <w:rPr>
          <w:rFonts w:ascii="Times New Roman" w:hAnsi="Times New Roman" w:cs="Times New Roman"/>
          <w:bCs/>
        </w:rPr>
        <w:t xml:space="preserve">a) </w:t>
      </w:r>
      <w:proofErr w:type="spellStart"/>
      <w:r w:rsidRPr="00565D81">
        <w:rPr>
          <w:rFonts w:ascii="Times New Roman" w:hAnsi="Times New Roman" w:cs="Times New Roman"/>
          <w:bCs/>
        </w:rPr>
        <w:t>notariālie</w:t>
      </w:r>
      <w:proofErr w:type="spellEnd"/>
      <w:r w:rsidRPr="00565D81">
        <w:rPr>
          <w:rFonts w:ascii="Times New Roman" w:hAnsi="Times New Roman" w:cs="Times New Roman"/>
          <w:bCs/>
        </w:rPr>
        <w:t xml:space="preserve"> </w:t>
      </w:r>
      <w:proofErr w:type="spellStart"/>
      <w:r w:rsidRPr="00565D81">
        <w:rPr>
          <w:rFonts w:ascii="Times New Roman" w:hAnsi="Times New Roman" w:cs="Times New Roman"/>
          <w:bCs/>
        </w:rPr>
        <w:t>akti</w:t>
      </w:r>
      <w:proofErr w:type="spellEnd"/>
      <w:r w:rsidRPr="00565D81">
        <w:rPr>
          <w:rFonts w:ascii="Times New Roman" w:hAnsi="Times New Roman" w:cs="Times New Roman"/>
          <w:bCs/>
        </w:rPr>
        <w:t xml:space="preserve"> (</w:t>
      </w:r>
      <w:proofErr w:type="gramStart"/>
      <w:r w:rsidRPr="00565D81">
        <w:rPr>
          <w:rFonts w:ascii="Times New Roman" w:hAnsi="Times New Roman" w:cs="Times New Roman"/>
          <w:bCs/>
        </w:rPr>
        <w:t>82.pants</w:t>
      </w:r>
      <w:proofErr w:type="gramEnd"/>
      <w:r w:rsidRPr="00565D81">
        <w:rPr>
          <w:rFonts w:ascii="Times New Roman" w:hAnsi="Times New Roman" w:cs="Times New Roman"/>
          <w:bCs/>
        </w:rPr>
        <w:t xml:space="preserve">); </w:t>
      </w:r>
    </w:p>
    <w:p w14:paraId="0ADF33DF" w14:textId="5142C245" w:rsidR="00114953" w:rsidRPr="00565D81" w:rsidRDefault="00114953" w:rsidP="00114953">
      <w:pPr>
        <w:jc w:val="both"/>
        <w:rPr>
          <w:rFonts w:ascii="Times New Roman" w:hAnsi="Times New Roman" w:cs="Times New Roman"/>
          <w:bCs/>
        </w:rPr>
      </w:pPr>
      <w:r>
        <w:rPr>
          <w:rFonts w:ascii="Times New Roman" w:hAnsi="Times New Roman" w:cs="Times New Roman"/>
          <w:bCs/>
        </w:rPr>
        <w:t xml:space="preserve">b) </w:t>
      </w:r>
      <w:proofErr w:type="spellStart"/>
      <w:r>
        <w:rPr>
          <w:rFonts w:ascii="Times New Roman" w:hAnsi="Times New Roman" w:cs="Times New Roman"/>
          <w:bCs/>
        </w:rPr>
        <w:t>apliecinājumi</w:t>
      </w:r>
      <w:proofErr w:type="spellEnd"/>
      <w:r>
        <w:rPr>
          <w:rFonts w:ascii="Times New Roman" w:hAnsi="Times New Roman" w:cs="Times New Roman"/>
          <w:bCs/>
        </w:rPr>
        <w:t xml:space="preserve">, </w:t>
      </w:r>
      <w:proofErr w:type="spellStart"/>
      <w:r>
        <w:rPr>
          <w:rFonts w:ascii="Times New Roman" w:hAnsi="Times New Roman" w:cs="Times New Roman"/>
          <w:bCs/>
        </w:rPr>
        <w:t>kurus</w:t>
      </w:r>
      <w:proofErr w:type="spellEnd"/>
      <w:r>
        <w:rPr>
          <w:rFonts w:ascii="Times New Roman" w:hAnsi="Times New Roman" w:cs="Times New Roman"/>
          <w:bCs/>
        </w:rPr>
        <w:t xml:space="preserve"> </w:t>
      </w:r>
      <w:proofErr w:type="spellStart"/>
      <w:r>
        <w:rPr>
          <w:rFonts w:ascii="Times New Roman" w:hAnsi="Times New Roman" w:cs="Times New Roman"/>
          <w:bCs/>
        </w:rPr>
        <w:t>taisa</w:t>
      </w:r>
      <w:proofErr w:type="spellEnd"/>
      <w:r>
        <w:rPr>
          <w:rFonts w:ascii="Times New Roman" w:hAnsi="Times New Roman" w:cs="Times New Roman"/>
          <w:bCs/>
        </w:rPr>
        <w:t xml:space="preserve"> </w:t>
      </w:r>
      <w:proofErr w:type="spellStart"/>
      <w:r>
        <w:rPr>
          <w:rFonts w:ascii="Times New Roman" w:hAnsi="Times New Roman" w:cs="Times New Roman"/>
          <w:bCs/>
        </w:rPr>
        <w:t>zvērināts</w:t>
      </w:r>
      <w:proofErr w:type="spellEnd"/>
      <w:r>
        <w:rPr>
          <w:rFonts w:ascii="Times New Roman" w:hAnsi="Times New Roman" w:cs="Times New Roman"/>
          <w:bCs/>
        </w:rPr>
        <w:t xml:space="preserve"> </w:t>
      </w:r>
      <w:proofErr w:type="spellStart"/>
      <w:r>
        <w:rPr>
          <w:rFonts w:ascii="Times New Roman" w:hAnsi="Times New Roman" w:cs="Times New Roman"/>
          <w:bCs/>
        </w:rPr>
        <w:t>notārs</w:t>
      </w:r>
      <w:proofErr w:type="spellEnd"/>
      <w:r>
        <w:rPr>
          <w:rFonts w:ascii="Times New Roman" w:hAnsi="Times New Roman" w:cs="Times New Roman"/>
          <w:bCs/>
        </w:rPr>
        <w:t xml:space="preserve"> (108.pants), </w:t>
      </w:r>
      <w:proofErr w:type="spellStart"/>
      <w:r>
        <w:rPr>
          <w:rFonts w:ascii="Times New Roman" w:hAnsi="Times New Roman" w:cs="Times New Roman"/>
          <w:bCs/>
        </w:rPr>
        <w:t>izņemot</w:t>
      </w:r>
      <w:proofErr w:type="spellEnd"/>
      <w:r>
        <w:rPr>
          <w:rFonts w:ascii="Times New Roman" w:hAnsi="Times New Roman" w:cs="Times New Roman"/>
          <w:bCs/>
        </w:rPr>
        <w:t xml:space="preserve"> </w:t>
      </w:r>
      <w:proofErr w:type="spellStart"/>
      <w:r>
        <w:rPr>
          <w:rFonts w:ascii="Times New Roman" w:hAnsi="Times New Roman" w:cs="Times New Roman"/>
          <w:bCs/>
        </w:rPr>
        <w:t>Notariāta</w:t>
      </w:r>
      <w:proofErr w:type="spellEnd"/>
      <w:r>
        <w:rPr>
          <w:rFonts w:ascii="Times New Roman" w:hAnsi="Times New Roman" w:cs="Times New Roman"/>
          <w:bCs/>
        </w:rPr>
        <w:t xml:space="preserve"> </w:t>
      </w:r>
      <w:proofErr w:type="spellStart"/>
      <w:r>
        <w:rPr>
          <w:rFonts w:ascii="Times New Roman" w:hAnsi="Times New Roman" w:cs="Times New Roman"/>
          <w:bCs/>
        </w:rPr>
        <w:t>likuma</w:t>
      </w:r>
      <w:proofErr w:type="spellEnd"/>
      <w:r>
        <w:rPr>
          <w:rFonts w:ascii="Times New Roman" w:hAnsi="Times New Roman" w:cs="Times New Roman"/>
          <w:bCs/>
        </w:rPr>
        <w:t xml:space="preserve"> 116.pantā </w:t>
      </w:r>
      <w:proofErr w:type="spellStart"/>
      <w:r>
        <w:rPr>
          <w:rFonts w:ascii="Times New Roman" w:hAnsi="Times New Roman" w:cs="Times New Roman"/>
          <w:bCs/>
        </w:rPr>
        <w:t>minētos</w:t>
      </w:r>
      <w:proofErr w:type="spellEnd"/>
      <w:r>
        <w:rPr>
          <w:rFonts w:ascii="Times New Roman" w:hAnsi="Times New Roman" w:cs="Times New Roman"/>
          <w:bCs/>
        </w:rPr>
        <w:t xml:space="preserve"> </w:t>
      </w:r>
      <w:proofErr w:type="spellStart"/>
      <w:r>
        <w:rPr>
          <w:rFonts w:ascii="Times New Roman" w:hAnsi="Times New Roman" w:cs="Times New Roman"/>
          <w:bCs/>
        </w:rPr>
        <w:t>dokumentus</w:t>
      </w:r>
      <w:proofErr w:type="spellEnd"/>
      <w:r>
        <w:rPr>
          <w:rFonts w:ascii="Times New Roman" w:hAnsi="Times New Roman" w:cs="Times New Roman"/>
          <w:bCs/>
        </w:rPr>
        <w:t xml:space="preserve"> (</w:t>
      </w:r>
      <w:proofErr w:type="spellStart"/>
      <w:r>
        <w:rPr>
          <w:rFonts w:ascii="Times New Roman" w:hAnsi="Times New Roman" w:cs="Times New Roman"/>
          <w:bCs/>
        </w:rPr>
        <w:t>t.i</w:t>
      </w:r>
      <w:proofErr w:type="spellEnd"/>
      <w:r>
        <w:rPr>
          <w:rFonts w:ascii="Times New Roman" w:hAnsi="Times New Roman" w:cs="Times New Roman"/>
          <w:bCs/>
        </w:rPr>
        <w:t xml:space="preserve">., </w:t>
      </w:r>
      <w:proofErr w:type="spellStart"/>
      <w:r>
        <w:rPr>
          <w:rFonts w:ascii="Times New Roman" w:hAnsi="Times New Roman" w:cs="Times New Roman"/>
          <w:bCs/>
        </w:rPr>
        <w:t>dokumentus</w:t>
      </w:r>
      <w:proofErr w:type="spellEnd"/>
      <w:r>
        <w:rPr>
          <w:rFonts w:ascii="Times New Roman" w:hAnsi="Times New Roman" w:cs="Times New Roman"/>
          <w:bCs/>
        </w:rPr>
        <w:t xml:space="preserve">, </w:t>
      </w:r>
      <w:proofErr w:type="spellStart"/>
      <w:r>
        <w:rPr>
          <w:rFonts w:ascii="Times New Roman" w:hAnsi="Times New Roman" w:cs="Times New Roman"/>
          <w:bCs/>
        </w:rPr>
        <w:t>uz</w:t>
      </w:r>
      <w:proofErr w:type="spellEnd"/>
      <w:r>
        <w:rPr>
          <w:rFonts w:ascii="Times New Roman" w:hAnsi="Times New Roman" w:cs="Times New Roman"/>
          <w:bCs/>
        </w:rPr>
        <w:t xml:space="preserve"> </w:t>
      </w:r>
      <w:proofErr w:type="spellStart"/>
      <w:r>
        <w:rPr>
          <w:rFonts w:ascii="Times New Roman" w:hAnsi="Times New Roman" w:cs="Times New Roman"/>
          <w:bCs/>
        </w:rPr>
        <w:t>kuriem</w:t>
      </w:r>
      <w:proofErr w:type="spellEnd"/>
      <w:r>
        <w:rPr>
          <w:rFonts w:ascii="Times New Roman" w:hAnsi="Times New Roman" w:cs="Times New Roman"/>
          <w:bCs/>
        </w:rPr>
        <w:t xml:space="preserve"> </w:t>
      </w:r>
      <w:proofErr w:type="spellStart"/>
      <w:r>
        <w:rPr>
          <w:rFonts w:ascii="Times New Roman" w:hAnsi="Times New Roman" w:cs="Times New Roman"/>
          <w:bCs/>
        </w:rPr>
        <w:t>apliecināts</w:t>
      </w:r>
      <w:proofErr w:type="spellEnd"/>
      <w:r>
        <w:rPr>
          <w:rFonts w:ascii="Times New Roman" w:hAnsi="Times New Roman" w:cs="Times New Roman"/>
          <w:bCs/>
        </w:rPr>
        <w:t xml:space="preserve"> </w:t>
      </w:r>
      <w:proofErr w:type="spellStart"/>
      <w:r>
        <w:rPr>
          <w:rFonts w:ascii="Times New Roman" w:hAnsi="Times New Roman" w:cs="Times New Roman"/>
          <w:bCs/>
        </w:rPr>
        <w:t>tikai</w:t>
      </w:r>
      <w:proofErr w:type="spellEnd"/>
      <w:r>
        <w:rPr>
          <w:rFonts w:ascii="Times New Roman" w:hAnsi="Times New Roman" w:cs="Times New Roman"/>
          <w:bCs/>
        </w:rPr>
        <w:t xml:space="preserve"> </w:t>
      </w:r>
      <w:proofErr w:type="spellStart"/>
      <w:r>
        <w:rPr>
          <w:rFonts w:ascii="Times New Roman" w:hAnsi="Times New Roman" w:cs="Times New Roman"/>
          <w:bCs/>
        </w:rPr>
        <w:t>paraksta</w:t>
      </w:r>
      <w:proofErr w:type="spellEnd"/>
      <w:r>
        <w:rPr>
          <w:rFonts w:ascii="Times New Roman" w:hAnsi="Times New Roman" w:cs="Times New Roman"/>
          <w:bCs/>
        </w:rPr>
        <w:t xml:space="preserve"> </w:t>
      </w:r>
      <w:proofErr w:type="spellStart"/>
      <w:r>
        <w:rPr>
          <w:rFonts w:ascii="Times New Roman" w:hAnsi="Times New Roman" w:cs="Times New Roman"/>
          <w:bCs/>
        </w:rPr>
        <w:t>īstums</w:t>
      </w:r>
      <w:proofErr w:type="spellEnd"/>
      <w:r>
        <w:rPr>
          <w:rFonts w:ascii="Times New Roman" w:hAnsi="Times New Roman" w:cs="Times New Roman"/>
          <w:bCs/>
        </w:rPr>
        <w:t xml:space="preserve">). </w:t>
      </w:r>
      <w:proofErr w:type="spellStart"/>
      <w:r w:rsidRPr="00565D81">
        <w:rPr>
          <w:rFonts w:ascii="Times New Roman" w:hAnsi="Times New Roman" w:cs="Times New Roman"/>
          <w:bCs/>
        </w:rPr>
        <w:t>Šie</w:t>
      </w:r>
      <w:proofErr w:type="spellEnd"/>
      <w:r w:rsidRPr="00565D81">
        <w:rPr>
          <w:rFonts w:ascii="Times New Roman" w:hAnsi="Times New Roman" w:cs="Times New Roman"/>
          <w:bCs/>
        </w:rPr>
        <w:t xml:space="preserve"> </w:t>
      </w:r>
      <w:proofErr w:type="spellStart"/>
      <w:r w:rsidRPr="00565D81">
        <w:rPr>
          <w:rFonts w:ascii="Times New Roman" w:hAnsi="Times New Roman" w:cs="Times New Roman"/>
          <w:bCs/>
        </w:rPr>
        <w:t>pēdējie</w:t>
      </w:r>
      <w:proofErr w:type="spellEnd"/>
      <w:r w:rsidRPr="00565D81">
        <w:rPr>
          <w:rFonts w:ascii="Times New Roman" w:hAnsi="Times New Roman" w:cs="Times New Roman"/>
          <w:bCs/>
        </w:rPr>
        <w:t xml:space="preserve"> </w:t>
      </w:r>
      <w:proofErr w:type="spellStart"/>
      <w:r w:rsidRPr="00565D81">
        <w:rPr>
          <w:rFonts w:ascii="Times New Roman" w:hAnsi="Times New Roman" w:cs="Times New Roman"/>
          <w:bCs/>
        </w:rPr>
        <w:t>tiek</w:t>
      </w:r>
      <w:proofErr w:type="spellEnd"/>
      <w:r w:rsidRPr="00565D81">
        <w:rPr>
          <w:rFonts w:ascii="Times New Roman" w:hAnsi="Times New Roman" w:cs="Times New Roman"/>
          <w:bCs/>
        </w:rPr>
        <w:t xml:space="preserve"> </w:t>
      </w:r>
      <w:proofErr w:type="spellStart"/>
      <w:r w:rsidRPr="00565D81">
        <w:rPr>
          <w:rFonts w:ascii="Times New Roman" w:hAnsi="Times New Roman" w:cs="Times New Roman"/>
          <w:bCs/>
        </w:rPr>
        <w:t>uzskatīti</w:t>
      </w:r>
      <w:proofErr w:type="spellEnd"/>
      <w:r w:rsidRPr="00565D81">
        <w:rPr>
          <w:rFonts w:ascii="Times New Roman" w:hAnsi="Times New Roman" w:cs="Times New Roman"/>
          <w:bCs/>
        </w:rPr>
        <w:t xml:space="preserve"> par </w:t>
      </w:r>
      <w:proofErr w:type="spellStart"/>
      <w:r w:rsidRPr="00565D81">
        <w:rPr>
          <w:rFonts w:ascii="Times New Roman" w:hAnsi="Times New Roman" w:cs="Times New Roman"/>
          <w:bCs/>
        </w:rPr>
        <w:t>privātiem</w:t>
      </w:r>
      <w:proofErr w:type="spellEnd"/>
      <w:r w:rsidRPr="00565D81">
        <w:rPr>
          <w:rFonts w:ascii="Times New Roman" w:hAnsi="Times New Roman" w:cs="Times New Roman"/>
          <w:bCs/>
        </w:rPr>
        <w:t xml:space="preserve"> </w:t>
      </w:r>
      <w:proofErr w:type="spellStart"/>
      <w:r w:rsidRPr="00565D81">
        <w:rPr>
          <w:rFonts w:ascii="Times New Roman" w:hAnsi="Times New Roman" w:cs="Times New Roman"/>
          <w:bCs/>
        </w:rPr>
        <w:t>dokumentiem</w:t>
      </w:r>
      <w:proofErr w:type="spellEnd"/>
      <w:r w:rsidRPr="00565D81">
        <w:rPr>
          <w:rFonts w:ascii="Times New Roman" w:hAnsi="Times New Roman" w:cs="Times New Roman"/>
          <w:bCs/>
        </w:rPr>
        <w:t xml:space="preserve"> (</w:t>
      </w:r>
      <w:r w:rsidR="00565D81">
        <w:rPr>
          <w:rFonts w:ascii="Times New Roman" w:hAnsi="Times New Roman" w:cs="Times New Roman"/>
          <w:bCs/>
        </w:rPr>
        <w:t xml:space="preserve">skat. </w:t>
      </w:r>
      <w:proofErr w:type="spellStart"/>
      <w:r w:rsidR="00565D81">
        <w:rPr>
          <w:rFonts w:ascii="Times New Roman" w:hAnsi="Times New Roman" w:cs="Times New Roman"/>
          <w:bCs/>
        </w:rPr>
        <w:t>Notariāta</w:t>
      </w:r>
      <w:proofErr w:type="spellEnd"/>
      <w:r w:rsidR="00565D81">
        <w:rPr>
          <w:rFonts w:ascii="Times New Roman" w:hAnsi="Times New Roman" w:cs="Times New Roman"/>
          <w:bCs/>
        </w:rPr>
        <w:t xml:space="preserve"> </w:t>
      </w:r>
      <w:proofErr w:type="spellStart"/>
      <w:r w:rsidR="00565D81">
        <w:rPr>
          <w:rFonts w:ascii="Times New Roman" w:hAnsi="Times New Roman" w:cs="Times New Roman"/>
          <w:bCs/>
        </w:rPr>
        <w:t>likuma</w:t>
      </w:r>
      <w:proofErr w:type="spellEnd"/>
      <w:r w:rsidR="00565D81">
        <w:rPr>
          <w:rFonts w:ascii="Times New Roman" w:hAnsi="Times New Roman" w:cs="Times New Roman"/>
          <w:bCs/>
        </w:rPr>
        <w:t xml:space="preserve"> </w:t>
      </w:r>
      <w:proofErr w:type="gramStart"/>
      <w:r w:rsidR="00565D81">
        <w:rPr>
          <w:rFonts w:ascii="Times New Roman" w:hAnsi="Times New Roman" w:cs="Times New Roman"/>
          <w:bCs/>
        </w:rPr>
        <w:t>116.p.</w:t>
      </w:r>
      <w:proofErr w:type="gramEnd"/>
      <w:r w:rsidRPr="00565D81">
        <w:rPr>
          <w:rFonts w:ascii="Times New Roman" w:hAnsi="Times New Roman" w:cs="Times New Roman"/>
          <w:bCs/>
        </w:rPr>
        <w:t xml:space="preserve"> 1.daļu).</w:t>
      </w:r>
    </w:p>
    <w:p w14:paraId="2FD5B23A" w14:textId="77777777" w:rsidR="00114953" w:rsidRPr="00565D81" w:rsidRDefault="00114953" w:rsidP="00114953">
      <w:pPr>
        <w:jc w:val="both"/>
        <w:rPr>
          <w:rFonts w:ascii="Times New Roman" w:hAnsi="Times New Roman" w:cs="Times New Roman"/>
          <w:bCs/>
        </w:rPr>
      </w:pPr>
    </w:p>
    <w:p w14:paraId="34232819" w14:textId="77777777" w:rsidR="00114953" w:rsidRDefault="00114953" w:rsidP="00114953">
      <w:pPr>
        <w:ind w:firstLine="708"/>
        <w:jc w:val="both"/>
        <w:rPr>
          <w:rFonts w:ascii="Times New Roman" w:hAnsi="Times New Roman" w:cs="Times New Roman"/>
          <w:bCs/>
        </w:rPr>
      </w:pPr>
      <w:r>
        <w:rPr>
          <w:rFonts w:ascii="Times New Roman" w:hAnsi="Times New Roman" w:cs="Times New Roman"/>
          <w:bCs/>
        </w:rPr>
        <w:lastRenderedPageBreak/>
        <w:t xml:space="preserve">Tas, ka </w:t>
      </w:r>
      <w:proofErr w:type="spellStart"/>
      <w:r>
        <w:rPr>
          <w:rFonts w:ascii="Times New Roman" w:hAnsi="Times New Roman" w:cs="Times New Roman"/>
          <w:bCs/>
        </w:rPr>
        <w:t>pirmšķietami</w:t>
      </w:r>
      <w:proofErr w:type="spellEnd"/>
      <w:r>
        <w:rPr>
          <w:rFonts w:ascii="Times New Roman" w:hAnsi="Times New Roman" w:cs="Times New Roman"/>
          <w:bCs/>
        </w:rPr>
        <w:t xml:space="preserve"> </w:t>
      </w:r>
      <w:proofErr w:type="spellStart"/>
      <w:r>
        <w:rPr>
          <w:rFonts w:ascii="Times New Roman" w:hAnsi="Times New Roman" w:cs="Times New Roman"/>
          <w:bCs/>
        </w:rPr>
        <w:t>Hāgas</w:t>
      </w:r>
      <w:proofErr w:type="spellEnd"/>
      <w:r>
        <w:rPr>
          <w:rFonts w:ascii="Times New Roman" w:hAnsi="Times New Roman" w:cs="Times New Roman"/>
          <w:bCs/>
        </w:rPr>
        <w:t xml:space="preserve"> </w:t>
      </w:r>
      <w:proofErr w:type="spellStart"/>
      <w:r>
        <w:rPr>
          <w:rFonts w:ascii="Times New Roman" w:hAnsi="Times New Roman" w:cs="Times New Roman"/>
          <w:bCs/>
        </w:rPr>
        <w:t>Dokumentu</w:t>
      </w:r>
      <w:proofErr w:type="spellEnd"/>
      <w:r>
        <w:rPr>
          <w:rFonts w:ascii="Times New Roman" w:hAnsi="Times New Roman" w:cs="Times New Roman"/>
          <w:bCs/>
        </w:rPr>
        <w:t xml:space="preserve"> </w:t>
      </w:r>
      <w:proofErr w:type="spellStart"/>
      <w:r>
        <w:rPr>
          <w:rFonts w:ascii="Times New Roman" w:hAnsi="Times New Roman" w:cs="Times New Roman"/>
          <w:bCs/>
        </w:rPr>
        <w:t>legalizācijas</w:t>
      </w:r>
      <w:proofErr w:type="spellEnd"/>
      <w:r>
        <w:rPr>
          <w:rFonts w:ascii="Times New Roman" w:hAnsi="Times New Roman" w:cs="Times New Roman"/>
          <w:bCs/>
        </w:rPr>
        <w:t xml:space="preserve"> </w:t>
      </w:r>
      <w:proofErr w:type="spellStart"/>
      <w:r>
        <w:rPr>
          <w:rFonts w:ascii="Times New Roman" w:hAnsi="Times New Roman" w:cs="Times New Roman"/>
          <w:bCs/>
        </w:rPr>
        <w:t>atcelšanas</w:t>
      </w:r>
      <w:proofErr w:type="spellEnd"/>
      <w:r>
        <w:rPr>
          <w:rFonts w:ascii="Times New Roman" w:hAnsi="Times New Roman" w:cs="Times New Roman"/>
          <w:bCs/>
        </w:rPr>
        <w:t xml:space="preserve"> </w:t>
      </w:r>
      <w:proofErr w:type="spellStart"/>
      <w:r>
        <w:rPr>
          <w:rFonts w:ascii="Times New Roman" w:hAnsi="Times New Roman" w:cs="Times New Roman"/>
          <w:bCs/>
        </w:rPr>
        <w:t>konvencijas</w:t>
      </w:r>
      <w:proofErr w:type="spellEnd"/>
      <w:r>
        <w:rPr>
          <w:rFonts w:ascii="Times New Roman" w:hAnsi="Times New Roman" w:cs="Times New Roman"/>
          <w:bCs/>
        </w:rPr>
        <w:t> </w:t>
      </w:r>
      <w:proofErr w:type="gramStart"/>
      <w:r>
        <w:rPr>
          <w:rFonts w:ascii="Times New Roman" w:hAnsi="Times New Roman" w:cs="Times New Roman"/>
          <w:bCs/>
        </w:rPr>
        <w:t>1.panta</w:t>
      </w:r>
      <w:proofErr w:type="gramEnd"/>
      <w:r>
        <w:rPr>
          <w:rStyle w:val="FootnoteReference"/>
          <w:rFonts w:ascii="Times New Roman" w:hAnsi="Times New Roman" w:cs="Times New Roman"/>
          <w:bCs/>
        </w:rPr>
        <w:footnoteReference w:id="120"/>
      </w:r>
      <w:r>
        <w:rPr>
          <w:rFonts w:ascii="Times New Roman" w:hAnsi="Times New Roman" w:cs="Times New Roman"/>
          <w:bCs/>
        </w:rPr>
        <w:t xml:space="preserve"> </w:t>
      </w:r>
      <w:proofErr w:type="spellStart"/>
      <w:r>
        <w:rPr>
          <w:rFonts w:ascii="Times New Roman" w:hAnsi="Times New Roman" w:cs="Times New Roman"/>
          <w:bCs/>
        </w:rPr>
        <w:t>otrās</w:t>
      </w:r>
      <w:proofErr w:type="spellEnd"/>
      <w:r>
        <w:rPr>
          <w:rFonts w:ascii="Times New Roman" w:hAnsi="Times New Roman" w:cs="Times New Roman"/>
          <w:bCs/>
        </w:rPr>
        <w:t xml:space="preserve"> </w:t>
      </w:r>
      <w:proofErr w:type="spellStart"/>
      <w:r>
        <w:rPr>
          <w:rFonts w:ascii="Times New Roman" w:hAnsi="Times New Roman" w:cs="Times New Roman"/>
          <w:bCs/>
        </w:rPr>
        <w:t>daļas</w:t>
      </w:r>
      <w:proofErr w:type="spellEnd"/>
      <w:r>
        <w:rPr>
          <w:rFonts w:ascii="Times New Roman" w:hAnsi="Times New Roman" w:cs="Times New Roman"/>
          <w:bCs/>
        </w:rPr>
        <w:t xml:space="preserve"> d) </w:t>
      </w:r>
      <w:proofErr w:type="spellStart"/>
      <w:r>
        <w:rPr>
          <w:rFonts w:ascii="Times New Roman" w:hAnsi="Times New Roman" w:cs="Times New Roman"/>
          <w:bCs/>
        </w:rPr>
        <w:t>punkts</w:t>
      </w:r>
      <w:proofErr w:type="spellEnd"/>
      <w:r>
        <w:rPr>
          <w:rFonts w:ascii="Times New Roman" w:hAnsi="Times New Roman" w:cs="Times New Roman"/>
          <w:bCs/>
        </w:rPr>
        <w:t xml:space="preserve"> un </w:t>
      </w:r>
      <w:proofErr w:type="spellStart"/>
      <w:r>
        <w:rPr>
          <w:rFonts w:ascii="Times New Roman" w:hAnsi="Times New Roman" w:cs="Times New Roman"/>
          <w:bCs/>
        </w:rPr>
        <w:t>līdz</w:t>
      </w:r>
      <w:proofErr w:type="spellEnd"/>
      <w:r>
        <w:rPr>
          <w:rFonts w:ascii="Times New Roman" w:hAnsi="Times New Roman" w:cs="Times New Roman"/>
          <w:bCs/>
        </w:rPr>
        <w:t xml:space="preserve"> </w:t>
      </w:r>
      <w:proofErr w:type="spellStart"/>
      <w:r>
        <w:rPr>
          <w:rFonts w:ascii="Times New Roman" w:hAnsi="Times New Roman" w:cs="Times New Roman"/>
          <w:bCs/>
        </w:rPr>
        <w:t>ar</w:t>
      </w:r>
      <w:proofErr w:type="spellEnd"/>
      <w:r>
        <w:rPr>
          <w:rFonts w:ascii="Times New Roman" w:hAnsi="Times New Roman" w:cs="Times New Roman"/>
          <w:bCs/>
        </w:rPr>
        <w:t xml:space="preserve"> to </w:t>
      </w:r>
      <w:proofErr w:type="spellStart"/>
      <w:r>
        <w:rPr>
          <w:rFonts w:ascii="Times New Roman" w:hAnsi="Times New Roman" w:cs="Times New Roman"/>
          <w:bCs/>
        </w:rPr>
        <w:t>arī</w:t>
      </w:r>
      <w:proofErr w:type="spellEnd"/>
      <w:r>
        <w:rPr>
          <w:rFonts w:ascii="Times New Roman" w:hAnsi="Times New Roman" w:cs="Times New Roman"/>
          <w:bCs/>
        </w:rPr>
        <w:t xml:space="preserve"> </w:t>
      </w:r>
      <w:proofErr w:type="spellStart"/>
      <w:r>
        <w:rPr>
          <w:rFonts w:ascii="Times New Roman" w:hAnsi="Times New Roman" w:cs="Times New Roman"/>
          <w:bCs/>
        </w:rPr>
        <w:t>Dokumentu</w:t>
      </w:r>
      <w:proofErr w:type="spellEnd"/>
      <w:r>
        <w:rPr>
          <w:rFonts w:ascii="Times New Roman" w:hAnsi="Times New Roman" w:cs="Times New Roman"/>
          <w:bCs/>
        </w:rPr>
        <w:t xml:space="preserve"> </w:t>
      </w:r>
      <w:proofErr w:type="spellStart"/>
      <w:r>
        <w:rPr>
          <w:rFonts w:ascii="Times New Roman" w:hAnsi="Times New Roman" w:cs="Times New Roman"/>
          <w:bCs/>
        </w:rPr>
        <w:t>legalizācijas</w:t>
      </w:r>
      <w:proofErr w:type="spellEnd"/>
      <w:r>
        <w:rPr>
          <w:rFonts w:ascii="Times New Roman" w:hAnsi="Times New Roman" w:cs="Times New Roman"/>
          <w:bCs/>
        </w:rPr>
        <w:t xml:space="preserve"> </w:t>
      </w:r>
      <w:proofErr w:type="spellStart"/>
      <w:r>
        <w:rPr>
          <w:rFonts w:ascii="Times New Roman" w:hAnsi="Times New Roman" w:cs="Times New Roman"/>
          <w:bCs/>
        </w:rPr>
        <w:t>likuma</w:t>
      </w:r>
      <w:proofErr w:type="spellEnd"/>
      <w:r>
        <w:rPr>
          <w:rFonts w:ascii="Times New Roman" w:hAnsi="Times New Roman" w:cs="Times New Roman"/>
          <w:bCs/>
        </w:rPr>
        <w:t xml:space="preserve"> 2.panta 2.punkts </w:t>
      </w:r>
      <w:proofErr w:type="spellStart"/>
      <w:r>
        <w:rPr>
          <w:rFonts w:ascii="Times New Roman" w:hAnsi="Times New Roman" w:cs="Times New Roman"/>
          <w:bCs/>
        </w:rPr>
        <w:t>šādi</w:t>
      </w:r>
      <w:proofErr w:type="spellEnd"/>
      <w:r>
        <w:rPr>
          <w:rFonts w:ascii="Times New Roman" w:hAnsi="Times New Roman" w:cs="Times New Roman"/>
          <w:bCs/>
        </w:rPr>
        <w:t xml:space="preserve"> </w:t>
      </w:r>
      <w:proofErr w:type="spellStart"/>
      <w:r>
        <w:rPr>
          <w:rFonts w:ascii="Times New Roman" w:hAnsi="Times New Roman" w:cs="Times New Roman"/>
          <w:bCs/>
        </w:rPr>
        <w:t>apliecinātus</w:t>
      </w:r>
      <w:proofErr w:type="spellEnd"/>
      <w:r>
        <w:rPr>
          <w:rFonts w:ascii="Times New Roman" w:hAnsi="Times New Roman" w:cs="Times New Roman"/>
          <w:bCs/>
        </w:rPr>
        <w:t xml:space="preserve"> </w:t>
      </w:r>
      <w:proofErr w:type="spellStart"/>
      <w:r>
        <w:rPr>
          <w:rFonts w:ascii="Times New Roman" w:hAnsi="Times New Roman" w:cs="Times New Roman"/>
          <w:bCs/>
        </w:rPr>
        <w:t>dokumentus</w:t>
      </w:r>
      <w:proofErr w:type="spellEnd"/>
      <w:r>
        <w:rPr>
          <w:rFonts w:ascii="Times New Roman" w:hAnsi="Times New Roman" w:cs="Times New Roman"/>
          <w:bCs/>
        </w:rPr>
        <w:t xml:space="preserve"> </w:t>
      </w:r>
      <w:proofErr w:type="spellStart"/>
      <w:r>
        <w:rPr>
          <w:rFonts w:ascii="Times New Roman" w:hAnsi="Times New Roman" w:cs="Times New Roman"/>
          <w:bCs/>
        </w:rPr>
        <w:t>pieskaita</w:t>
      </w:r>
      <w:proofErr w:type="spellEnd"/>
      <w:r>
        <w:rPr>
          <w:rFonts w:ascii="Times New Roman" w:hAnsi="Times New Roman" w:cs="Times New Roman"/>
          <w:bCs/>
        </w:rPr>
        <w:t xml:space="preserve"> pie </w:t>
      </w:r>
      <w:proofErr w:type="spellStart"/>
      <w:r>
        <w:rPr>
          <w:rFonts w:ascii="Times New Roman" w:hAnsi="Times New Roman" w:cs="Times New Roman"/>
          <w:bCs/>
        </w:rPr>
        <w:t>publiskiem</w:t>
      </w:r>
      <w:proofErr w:type="spellEnd"/>
      <w:r>
        <w:rPr>
          <w:rFonts w:ascii="Times New Roman" w:hAnsi="Times New Roman" w:cs="Times New Roman"/>
          <w:bCs/>
        </w:rPr>
        <w:t xml:space="preserve"> </w:t>
      </w:r>
      <w:proofErr w:type="spellStart"/>
      <w:r>
        <w:rPr>
          <w:rFonts w:ascii="Times New Roman" w:hAnsi="Times New Roman" w:cs="Times New Roman"/>
          <w:bCs/>
        </w:rPr>
        <w:t>dokumentiem</w:t>
      </w:r>
      <w:proofErr w:type="spellEnd"/>
      <w:r>
        <w:rPr>
          <w:rFonts w:ascii="Times New Roman" w:hAnsi="Times New Roman" w:cs="Times New Roman"/>
          <w:bCs/>
        </w:rPr>
        <w:t xml:space="preserve">, </w:t>
      </w:r>
      <w:proofErr w:type="spellStart"/>
      <w:r>
        <w:rPr>
          <w:rFonts w:ascii="Times New Roman" w:hAnsi="Times New Roman" w:cs="Times New Roman"/>
          <w:bCs/>
        </w:rPr>
        <w:t>nenozīmē</w:t>
      </w:r>
      <w:proofErr w:type="spellEnd"/>
      <w:r>
        <w:rPr>
          <w:rFonts w:ascii="Times New Roman" w:hAnsi="Times New Roman" w:cs="Times New Roman"/>
          <w:bCs/>
        </w:rPr>
        <w:t xml:space="preserve">, ka tie par </w:t>
      </w:r>
      <w:proofErr w:type="spellStart"/>
      <w:r>
        <w:rPr>
          <w:rFonts w:ascii="Times New Roman" w:hAnsi="Times New Roman" w:cs="Times New Roman"/>
          <w:bCs/>
        </w:rPr>
        <w:t>tādiem</w:t>
      </w:r>
      <w:proofErr w:type="spellEnd"/>
      <w:r>
        <w:rPr>
          <w:rFonts w:ascii="Times New Roman" w:hAnsi="Times New Roman" w:cs="Times New Roman"/>
          <w:bCs/>
        </w:rPr>
        <w:t xml:space="preserve"> </w:t>
      </w:r>
      <w:proofErr w:type="spellStart"/>
      <w:r>
        <w:rPr>
          <w:rFonts w:ascii="Times New Roman" w:hAnsi="Times New Roman" w:cs="Times New Roman"/>
          <w:bCs/>
        </w:rPr>
        <w:t>tiks</w:t>
      </w:r>
      <w:proofErr w:type="spellEnd"/>
      <w:r>
        <w:rPr>
          <w:rFonts w:ascii="Times New Roman" w:hAnsi="Times New Roman" w:cs="Times New Roman"/>
          <w:bCs/>
        </w:rPr>
        <w:t xml:space="preserve"> </w:t>
      </w:r>
      <w:proofErr w:type="spellStart"/>
      <w:r>
        <w:rPr>
          <w:rFonts w:ascii="Times New Roman" w:hAnsi="Times New Roman" w:cs="Times New Roman"/>
          <w:bCs/>
        </w:rPr>
        <w:t>automātiski</w:t>
      </w:r>
      <w:proofErr w:type="spellEnd"/>
      <w:r>
        <w:rPr>
          <w:rFonts w:ascii="Times New Roman" w:hAnsi="Times New Roman" w:cs="Times New Roman"/>
          <w:bCs/>
        </w:rPr>
        <w:t xml:space="preserve"> </w:t>
      </w:r>
      <w:proofErr w:type="spellStart"/>
      <w:r>
        <w:rPr>
          <w:rFonts w:ascii="Times New Roman" w:hAnsi="Times New Roman" w:cs="Times New Roman"/>
          <w:bCs/>
        </w:rPr>
        <w:t>uzskatīti</w:t>
      </w:r>
      <w:proofErr w:type="spellEnd"/>
      <w:r>
        <w:rPr>
          <w:rFonts w:ascii="Times New Roman" w:hAnsi="Times New Roman" w:cs="Times New Roman"/>
          <w:bCs/>
        </w:rPr>
        <w:t xml:space="preserve"> </w:t>
      </w:r>
      <w:proofErr w:type="spellStart"/>
      <w:r>
        <w:rPr>
          <w:rFonts w:ascii="Times New Roman" w:hAnsi="Times New Roman" w:cs="Times New Roman"/>
          <w:bCs/>
        </w:rPr>
        <w:t>arī</w:t>
      </w:r>
      <w:proofErr w:type="spellEnd"/>
      <w:r>
        <w:rPr>
          <w:rFonts w:ascii="Times New Roman" w:hAnsi="Times New Roman" w:cs="Times New Roman"/>
          <w:bCs/>
        </w:rPr>
        <w:t xml:space="preserve"> </w:t>
      </w:r>
      <w:proofErr w:type="spellStart"/>
      <w:r>
        <w:rPr>
          <w:rFonts w:ascii="Times New Roman" w:hAnsi="Times New Roman" w:cs="Times New Roman"/>
          <w:bCs/>
        </w:rPr>
        <w:t>Notariāta</w:t>
      </w:r>
      <w:proofErr w:type="spellEnd"/>
      <w:r>
        <w:rPr>
          <w:rFonts w:ascii="Times New Roman" w:hAnsi="Times New Roman" w:cs="Times New Roman"/>
          <w:bCs/>
        </w:rPr>
        <w:t xml:space="preserve"> </w:t>
      </w:r>
      <w:proofErr w:type="spellStart"/>
      <w:r>
        <w:rPr>
          <w:rFonts w:ascii="Times New Roman" w:hAnsi="Times New Roman" w:cs="Times New Roman"/>
          <w:bCs/>
        </w:rPr>
        <w:t>likuma</w:t>
      </w:r>
      <w:proofErr w:type="spellEnd"/>
      <w:r>
        <w:rPr>
          <w:rFonts w:ascii="Times New Roman" w:hAnsi="Times New Roman" w:cs="Times New Roman"/>
          <w:bCs/>
        </w:rPr>
        <w:t xml:space="preserve"> 83.panta </w:t>
      </w:r>
      <w:proofErr w:type="spellStart"/>
      <w:r>
        <w:rPr>
          <w:rFonts w:ascii="Times New Roman" w:hAnsi="Times New Roman" w:cs="Times New Roman"/>
          <w:bCs/>
        </w:rPr>
        <w:t>izpratnē</w:t>
      </w:r>
      <w:proofErr w:type="spellEnd"/>
      <w:r>
        <w:rPr>
          <w:rFonts w:ascii="Times New Roman" w:hAnsi="Times New Roman" w:cs="Times New Roman"/>
          <w:bCs/>
        </w:rPr>
        <w:t xml:space="preserve">, </w:t>
      </w:r>
      <w:proofErr w:type="spellStart"/>
      <w:r>
        <w:rPr>
          <w:rFonts w:ascii="Times New Roman" w:hAnsi="Times New Roman" w:cs="Times New Roman"/>
          <w:bCs/>
        </w:rPr>
        <w:t>jo</w:t>
      </w:r>
      <w:proofErr w:type="spellEnd"/>
      <w:r>
        <w:rPr>
          <w:rFonts w:ascii="Times New Roman" w:hAnsi="Times New Roman" w:cs="Times New Roman"/>
          <w:bCs/>
        </w:rPr>
        <w:t xml:space="preserve">: </w:t>
      </w:r>
    </w:p>
    <w:p w14:paraId="43C6166E" w14:textId="77777777" w:rsidR="00114953" w:rsidRDefault="00114953" w:rsidP="00114953">
      <w:pPr>
        <w:jc w:val="both"/>
        <w:rPr>
          <w:rFonts w:ascii="Times New Roman" w:hAnsi="Times New Roman" w:cs="Times New Roman"/>
          <w:bCs/>
        </w:rPr>
      </w:pPr>
      <w:r>
        <w:rPr>
          <w:rFonts w:ascii="Times New Roman" w:hAnsi="Times New Roman" w:cs="Times New Roman"/>
          <w:bCs/>
        </w:rPr>
        <w:t xml:space="preserve">1) </w:t>
      </w:r>
      <w:proofErr w:type="spellStart"/>
      <w:r>
        <w:rPr>
          <w:rFonts w:ascii="Times New Roman" w:hAnsi="Times New Roman" w:cs="Times New Roman"/>
          <w:bCs/>
        </w:rPr>
        <w:t>Hāgas</w:t>
      </w:r>
      <w:proofErr w:type="spellEnd"/>
      <w:r>
        <w:rPr>
          <w:rFonts w:ascii="Times New Roman" w:hAnsi="Times New Roman" w:cs="Times New Roman"/>
          <w:bCs/>
        </w:rPr>
        <w:t xml:space="preserve"> </w:t>
      </w:r>
      <w:proofErr w:type="spellStart"/>
      <w:r>
        <w:rPr>
          <w:rFonts w:ascii="Times New Roman" w:hAnsi="Times New Roman" w:cs="Times New Roman"/>
          <w:bCs/>
        </w:rPr>
        <w:t>Dokumentu</w:t>
      </w:r>
      <w:proofErr w:type="spellEnd"/>
      <w:r>
        <w:rPr>
          <w:rFonts w:ascii="Times New Roman" w:hAnsi="Times New Roman" w:cs="Times New Roman"/>
          <w:bCs/>
        </w:rPr>
        <w:t xml:space="preserve"> </w:t>
      </w:r>
      <w:proofErr w:type="spellStart"/>
      <w:r>
        <w:rPr>
          <w:rFonts w:ascii="Times New Roman" w:hAnsi="Times New Roman" w:cs="Times New Roman"/>
          <w:bCs/>
        </w:rPr>
        <w:t>legalizācijas</w:t>
      </w:r>
      <w:proofErr w:type="spellEnd"/>
      <w:r>
        <w:rPr>
          <w:rFonts w:ascii="Times New Roman" w:hAnsi="Times New Roman" w:cs="Times New Roman"/>
          <w:bCs/>
        </w:rPr>
        <w:t xml:space="preserve"> </w:t>
      </w:r>
      <w:proofErr w:type="spellStart"/>
      <w:r>
        <w:rPr>
          <w:rFonts w:ascii="Times New Roman" w:hAnsi="Times New Roman" w:cs="Times New Roman"/>
          <w:bCs/>
        </w:rPr>
        <w:t>atcelšanas</w:t>
      </w:r>
      <w:proofErr w:type="spellEnd"/>
      <w:r>
        <w:rPr>
          <w:rFonts w:ascii="Times New Roman" w:hAnsi="Times New Roman" w:cs="Times New Roman"/>
          <w:bCs/>
        </w:rPr>
        <w:t xml:space="preserve"> </w:t>
      </w:r>
      <w:proofErr w:type="spellStart"/>
      <w:r>
        <w:rPr>
          <w:rFonts w:ascii="Times New Roman" w:hAnsi="Times New Roman" w:cs="Times New Roman"/>
          <w:bCs/>
        </w:rPr>
        <w:t>konvencija</w:t>
      </w:r>
      <w:proofErr w:type="spellEnd"/>
      <w:r>
        <w:rPr>
          <w:rFonts w:ascii="Times New Roman" w:hAnsi="Times New Roman" w:cs="Times New Roman"/>
          <w:bCs/>
        </w:rPr>
        <w:t xml:space="preserve"> </w:t>
      </w:r>
      <w:proofErr w:type="spellStart"/>
      <w:r w:rsidRPr="005753C3">
        <w:rPr>
          <w:rFonts w:ascii="Times New Roman" w:hAnsi="Times New Roman" w:cs="Times New Roman"/>
          <w:bCs/>
          <w:u w:val="single"/>
        </w:rPr>
        <w:t>kalpo</w:t>
      </w:r>
      <w:proofErr w:type="spellEnd"/>
      <w:r w:rsidRPr="005753C3">
        <w:rPr>
          <w:rFonts w:ascii="Times New Roman" w:hAnsi="Times New Roman" w:cs="Times New Roman"/>
          <w:bCs/>
          <w:u w:val="single"/>
        </w:rPr>
        <w:t xml:space="preserve"> </w:t>
      </w:r>
      <w:proofErr w:type="spellStart"/>
      <w:r w:rsidRPr="005753C3">
        <w:rPr>
          <w:rFonts w:ascii="Times New Roman" w:hAnsi="Times New Roman" w:cs="Times New Roman"/>
          <w:bCs/>
          <w:u w:val="single"/>
        </w:rPr>
        <w:t>tikai</w:t>
      </w:r>
      <w:proofErr w:type="spellEnd"/>
      <w:r>
        <w:rPr>
          <w:rFonts w:ascii="Times New Roman" w:hAnsi="Times New Roman" w:cs="Times New Roman"/>
          <w:bCs/>
        </w:rPr>
        <w:t xml:space="preserve"> </w:t>
      </w:r>
      <w:proofErr w:type="spellStart"/>
      <w:r>
        <w:rPr>
          <w:rFonts w:ascii="Times New Roman" w:hAnsi="Times New Roman" w:cs="Times New Roman"/>
          <w:bCs/>
        </w:rPr>
        <w:t>publisko</w:t>
      </w:r>
      <w:proofErr w:type="spellEnd"/>
      <w:r>
        <w:rPr>
          <w:rFonts w:ascii="Times New Roman" w:hAnsi="Times New Roman" w:cs="Times New Roman"/>
          <w:bCs/>
        </w:rPr>
        <w:t xml:space="preserve"> </w:t>
      </w:r>
      <w:proofErr w:type="spellStart"/>
      <w:r>
        <w:rPr>
          <w:rFonts w:ascii="Times New Roman" w:hAnsi="Times New Roman" w:cs="Times New Roman"/>
          <w:bCs/>
        </w:rPr>
        <w:t>dokumentu</w:t>
      </w:r>
      <w:proofErr w:type="spellEnd"/>
      <w:r>
        <w:rPr>
          <w:rFonts w:ascii="Times New Roman" w:hAnsi="Times New Roman" w:cs="Times New Roman"/>
          <w:bCs/>
        </w:rPr>
        <w:t xml:space="preserve"> </w:t>
      </w:r>
      <w:proofErr w:type="spellStart"/>
      <w:r>
        <w:rPr>
          <w:rFonts w:ascii="Times New Roman" w:hAnsi="Times New Roman" w:cs="Times New Roman"/>
          <w:bCs/>
        </w:rPr>
        <w:t>legalizācijas</w:t>
      </w:r>
      <w:proofErr w:type="spellEnd"/>
      <w:r>
        <w:rPr>
          <w:rFonts w:ascii="Times New Roman" w:hAnsi="Times New Roman" w:cs="Times New Roman"/>
          <w:bCs/>
        </w:rPr>
        <w:t xml:space="preserve"> </w:t>
      </w:r>
      <w:proofErr w:type="spellStart"/>
      <w:r>
        <w:rPr>
          <w:rFonts w:ascii="Times New Roman" w:hAnsi="Times New Roman" w:cs="Times New Roman"/>
          <w:bCs/>
        </w:rPr>
        <w:t>vienkāršošanas</w:t>
      </w:r>
      <w:proofErr w:type="spellEnd"/>
      <w:r>
        <w:rPr>
          <w:rFonts w:ascii="Times New Roman" w:hAnsi="Times New Roman" w:cs="Times New Roman"/>
          <w:bCs/>
        </w:rPr>
        <w:t xml:space="preserve"> </w:t>
      </w:r>
      <w:proofErr w:type="spellStart"/>
      <w:proofErr w:type="gramStart"/>
      <w:r>
        <w:rPr>
          <w:rFonts w:ascii="Times New Roman" w:hAnsi="Times New Roman" w:cs="Times New Roman"/>
          <w:bCs/>
        </w:rPr>
        <w:t>vajadzībām</w:t>
      </w:r>
      <w:proofErr w:type="spellEnd"/>
      <w:r>
        <w:rPr>
          <w:rFonts w:ascii="Times New Roman" w:hAnsi="Times New Roman" w:cs="Times New Roman"/>
          <w:bCs/>
        </w:rPr>
        <w:t>;</w:t>
      </w:r>
      <w:proofErr w:type="gramEnd"/>
      <w:r>
        <w:rPr>
          <w:rFonts w:ascii="Times New Roman" w:hAnsi="Times New Roman" w:cs="Times New Roman"/>
          <w:bCs/>
        </w:rPr>
        <w:t xml:space="preserve"> </w:t>
      </w:r>
    </w:p>
    <w:p w14:paraId="21576184" w14:textId="6DCC0B3D" w:rsidR="00114953" w:rsidRDefault="00114953" w:rsidP="00114953">
      <w:pPr>
        <w:jc w:val="both"/>
        <w:rPr>
          <w:rFonts w:ascii="Times New Roman" w:hAnsi="Times New Roman" w:cs="Times New Roman"/>
          <w:bCs/>
        </w:rPr>
      </w:pPr>
      <w:r>
        <w:rPr>
          <w:rFonts w:ascii="Times New Roman" w:hAnsi="Times New Roman" w:cs="Times New Roman"/>
          <w:bCs/>
        </w:rPr>
        <w:t xml:space="preserve">2) </w:t>
      </w:r>
      <w:proofErr w:type="spellStart"/>
      <w:r>
        <w:rPr>
          <w:rFonts w:ascii="Times New Roman" w:hAnsi="Times New Roman" w:cs="Times New Roman"/>
          <w:bCs/>
        </w:rPr>
        <w:t>šī</w:t>
      </w:r>
      <w:proofErr w:type="spellEnd"/>
      <w:r>
        <w:rPr>
          <w:rFonts w:ascii="Times New Roman" w:hAnsi="Times New Roman" w:cs="Times New Roman"/>
          <w:bCs/>
        </w:rPr>
        <w:t xml:space="preserve"> </w:t>
      </w:r>
      <w:proofErr w:type="spellStart"/>
      <w:r>
        <w:rPr>
          <w:rFonts w:ascii="Times New Roman" w:hAnsi="Times New Roman" w:cs="Times New Roman"/>
          <w:bCs/>
        </w:rPr>
        <w:t>Konvencija</w:t>
      </w:r>
      <w:proofErr w:type="spellEnd"/>
      <w:r>
        <w:rPr>
          <w:rFonts w:ascii="Times New Roman" w:hAnsi="Times New Roman" w:cs="Times New Roman"/>
          <w:bCs/>
        </w:rPr>
        <w:t xml:space="preserve"> </w:t>
      </w:r>
      <w:proofErr w:type="spellStart"/>
      <w:r>
        <w:rPr>
          <w:rFonts w:ascii="Times New Roman" w:hAnsi="Times New Roman" w:cs="Times New Roman"/>
          <w:bCs/>
        </w:rPr>
        <w:t>autonomi</w:t>
      </w:r>
      <w:proofErr w:type="spellEnd"/>
      <w:r>
        <w:rPr>
          <w:rFonts w:ascii="Times New Roman" w:hAnsi="Times New Roman" w:cs="Times New Roman"/>
          <w:bCs/>
        </w:rPr>
        <w:t xml:space="preserve"> </w:t>
      </w:r>
      <w:proofErr w:type="spellStart"/>
      <w:r>
        <w:rPr>
          <w:rFonts w:ascii="Times New Roman" w:hAnsi="Times New Roman" w:cs="Times New Roman"/>
          <w:bCs/>
        </w:rPr>
        <w:t>nedefinē</w:t>
      </w:r>
      <w:proofErr w:type="spellEnd"/>
      <w:r>
        <w:rPr>
          <w:rFonts w:ascii="Times New Roman" w:hAnsi="Times New Roman" w:cs="Times New Roman"/>
          <w:bCs/>
        </w:rPr>
        <w:t xml:space="preserve"> </w:t>
      </w:r>
      <w:proofErr w:type="spellStart"/>
      <w:r>
        <w:rPr>
          <w:rFonts w:ascii="Times New Roman" w:hAnsi="Times New Roman" w:cs="Times New Roman"/>
          <w:bCs/>
        </w:rPr>
        <w:t>publiskā</w:t>
      </w:r>
      <w:proofErr w:type="spellEnd"/>
      <w:r>
        <w:rPr>
          <w:rFonts w:ascii="Times New Roman" w:hAnsi="Times New Roman" w:cs="Times New Roman"/>
          <w:bCs/>
        </w:rPr>
        <w:t xml:space="preserve"> </w:t>
      </w:r>
      <w:proofErr w:type="spellStart"/>
      <w:r>
        <w:rPr>
          <w:rFonts w:ascii="Times New Roman" w:hAnsi="Times New Roman" w:cs="Times New Roman"/>
          <w:bCs/>
        </w:rPr>
        <w:t>dokumenta</w:t>
      </w:r>
      <w:proofErr w:type="spellEnd"/>
      <w:r>
        <w:rPr>
          <w:rFonts w:ascii="Times New Roman" w:hAnsi="Times New Roman" w:cs="Times New Roman"/>
          <w:bCs/>
        </w:rPr>
        <w:t xml:space="preserve"> </w:t>
      </w:r>
      <w:proofErr w:type="spellStart"/>
      <w:r>
        <w:rPr>
          <w:rFonts w:ascii="Times New Roman" w:hAnsi="Times New Roman" w:cs="Times New Roman"/>
          <w:bCs/>
        </w:rPr>
        <w:t>jēdzienu</w:t>
      </w:r>
      <w:proofErr w:type="spellEnd"/>
      <w:r>
        <w:rPr>
          <w:rFonts w:ascii="Times New Roman" w:hAnsi="Times New Roman" w:cs="Times New Roman"/>
          <w:bCs/>
        </w:rPr>
        <w:t xml:space="preserve"> </w:t>
      </w:r>
      <w:proofErr w:type="spellStart"/>
      <w:r>
        <w:rPr>
          <w:rFonts w:ascii="Times New Roman" w:hAnsi="Times New Roman" w:cs="Times New Roman"/>
          <w:bCs/>
        </w:rPr>
        <w:t>visās</w:t>
      </w:r>
      <w:proofErr w:type="spellEnd"/>
      <w:r>
        <w:rPr>
          <w:rFonts w:ascii="Times New Roman" w:hAnsi="Times New Roman" w:cs="Times New Roman"/>
          <w:bCs/>
        </w:rPr>
        <w:t xml:space="preserve"> </w:t>
      </w:r>
      <w:proofErr w:type="spellStart"/>
      <w:r>
        <w:rPr>
          <w:rFonts w:ascii="Times New Roman" w:hAnsi="Times New Roman" w:cs="Times New Roman"/>
          <w:bCs/>
        </w:rPr>
        <w:t>tās</w:t>
      </w:r>
      <w:proofErr w:type="spellEnd"/>
      <w:r>
        <w:rPr>
          <w:rFonts w:ascii="Times New Roman" w:hAnsi="Times New Roman" w:cs="Times New Roman"/>
          <w:bCs/>
        </w:rPr>
        <w:t xml:space="preserve"> </w:t>
      </w:r>
      <w:proofErr w:type="spellStart"/>
      <w:r>
        <w:rPr>
          <w:rFonts w:ascii="Times New Roman" w:hAnsi="Times New Roman" w:cs="Times New Roman"/>
          <w:bCs/>
        </w:rPr>
        <w:t>līgumslēdzējās</w:t>
      </w:r>
      <w:proofErr w:type="spellEnd"/>
      <w:r>
        <w:rPr>
          <w:rFonts w:ascii="Times New Roman" w:hAnsi="Times New Roman" w:cs="Times New Roman"/>
          <w:bCs/>
        </w:rPr>
        <w:t xml:space="preserve"> </w:t>
      </w:r>
      <w:proofErr w:type="spellStart"/>
      <w:r>
        <w:rPr>
          <w:rFonts w:ascii="Times New Roman" w:hAnsi="Times New Roman" w:cs="Times New Roman"/>
          <w:bCs/>
        </w:rPr>
        <w:t>valstīs</w:t>
      </w:r>
      <w:proofErr w:type="spellEnd"/>
      <w:r>
        <w:rPr>
          <w:rFonts w:ascii="Times New Roman" w:hAnsi="Times New Roman" w:cs="Times New Roman"/>
          <w:bCs/>
        </w:rPr>
        <w:t xml:space="preserve">, bet gan </w:t>
      </w:r>
      <w:proofErr w:type="spellStart"/>
      <w:r>
        <w:rPr>
          <w:rFonts w:ascii="Times New Roman" w:hAnsi="Times New Roman" w:cs="Times New Roman"/>
          <w:bCs/>
        </w:rPr>
        <w:t>tikai</w:t>
      </w:r>
      <w:proofErr w:type="spellEnd"/>
      <w:r>
        <w:rPr>
          <w:rFonts w:ascii="Times New Roman" w:hAnsi="Times New Roman" w:cs="Times New Roman"/>
          <w:bCs/>
        </w:rPr>
        <w:t xml:space="preserve"> </w:t>
      </w:r>
      <w:proofErr w:type="spellStart"/>
      <w:r>
        <w:rPr>
          <w:rFonts w:ascii="Times New Roman" w:hAnsi="Times New Roman" w:cs="Times New Roman"/>
          <w:bCs/>
        </w:rPr>
        <w:t>norāda</w:t>
      </w:r>
      <w:proofErr w:type="spellEnd"/>
      <w:r>
        <w:rPr>
          <w:rFonts w:ascii="Times New Roman" w:hAnsi="Times New Roman" w:cs="Times New Roman"/>
          <w:bCs/>
        </w:rPr>
        <w:t xml:space="preserve"> </w:t>
      </w:r>
      <w:proofErr w:type="spellStart"/>
      <w:r>
        <w:rPr>
          <w:rFonts w:ascii="Times New Roman" w:hAnsi="Times New Roman" w:cs="Times New Roman"/>
          <w:bCs/>
        </w:rPr>
        <w:t>uz</w:t>
      </w:r>
      <w:proofErr w:type="spellEnd"/>
      <w:r>
        <w:rPr>
          <w:rFonts w:ascii="Times New Roman" w:hAnsi="Times New Roman" w:cs="Times New Roman"/>
          <w:bCs/>
        </w:rPr>
        <w:t xml:space="preserve"> to, ka </w:t>
      </w:r>
      <w:proofErr w:type="spellStart"/>
      <w:r>
        <w:rPr>
          <w:rFonts w:ascii="Times New Roman" w:hAnsi="Times New Roman" w:cs="Times New Roman"/>
          <w:bCs/>
        </w:rPr>
        <w:t>Konve</w:t>
      </w:r>
      <w:r w:rsidR="00275C12">
        <w:rPr>
          <w:rFonts w:ascii="Times New Roman" w:hAnsi="Times New Roman" w:cs="Times New Roman"/>
          <w:bCs/>
        </w:rPr>
        <w:t>n</w:t>
      </w:r>
      <w:r>
        <w:rPr>
          <w:rFonts w:ascii="Times New Roman" w:hAnsi="Times New Roman" w:cs="Times New Roman"/>
          <w:bCs/>
        </w:rPr>
        <w:t>cijas</w:t>
      </w:r>
      <w:proofErr w:type="spellEnd"/>
      <w:r>
        <w:rPr>
          <w:rFonts w:ascii="Times New Roman" w:hAnsi="Times New Roman" w:cs="Times New Roman"/>
          <w:bCs/>
        </w:rPr>
        <w:t xml:space="preserve"> </w:t>
      </w:r>
      <w:proofErr w:type="spellStart"/>
      <w:r>
        <w:rPr>
          <w:rFonts w:ascii="Times New Roman" w:hAnsi="Times New Roman" w:cs="Times New Roman"/>
          <w:bCs/>
        </w:rPr>
        <w:t>vajadzībām</w:t>
      </w:r>
      <w:proofErr w:type="spellEnd"/>
      <w:r>
        <w:rPr>
          <w:rFonts w:ascii="Times New Roman" w:hAnsi="Times New Roman" w:cs="Times New Roman"/>
          <w:bCs/>
        </w:rPr>
        <w:t xml:space="preserve"> </w:t>
      </w:r>
      <w:proofErr w:type="spellStart"/>
      <w:r>
        <w:rPr>
          <w:rFonts w:ascii="Times New Roman" w:hAnsi="Times New Roman" w:cs="Times New Roman"/>
          <w:bCs/>
        </w:rPr>
        <w:t>publiskā</w:t>
      </w:r>
      <w:proofErr w:type="spellEnd"/>
      <w:r>
        <w:rPr>
          <w:rFonts w:ascii="Times New Roman" w:hAnsi="Times New Roman" w:cs="Times New Roman"/>
          <w:bCs/>
        </w:rPr>
        <w:t xml:space="preserve"> </w:t>
      </w:r>
      <w:proofErr w:type="spellStart"/>
      <w:r>
        <w:rPr>
          <w:rFonts w:ascii="Times New Roman" w:hAnsi="Times New Roman" w:cs="Times New Roman"/>
          <w:bCs/>
        </w:rPr>
        <w:t>dokumenta</w:t>
      </w:r>
      <w:proofErr w:type="spellEnd"/>
      <w:r>
        <w:rPr>
          <w:rFonts w:ascii="Times New Roman" w:hAnsi="Times New Roman" w:cs="Times New Roman"/>
          <w:bCs/>
        </w:rPr>
        <w:t xml:space="preserve"> </w:t>
      </w:r>
      <w:proofErr w:type="spellStart"/>
      <w:r>
        <w:rPr>
          <w:rFonts w:ascii="Times New Roman" w:hAnsi="Times New Roman" w:cs="Times New Roman"/>
          <w:bCs/>
        </w:rPr>
        <w:t>izpratnei</w:t>
      </w:r>
      <w:proofErr w:type="spellEnd"/>
      <w:r>
        <w:rPr>
          <w:rFonts w:ascii="Times New Roman" w:hAnsi="Times New Roman" w:cs="Times New Roman"/>
          <w:bCs/>
        </w:rPr>
        <w:t xml:space="preserve"> </w:t>
      </w:r>
      <w:proofErr w:type="spellStart"/>
      <w:r>
        <w:rPr>
          <w:rFonts w:ascii="Times New Roman" w:hAnsi="Times New Roman" w:cs="Times New Roman"/>
          <w:bCs/>
        </w:rPr>
        <w:t>būtu</w:t>
      </w:r>
      <w:proofErr w:type="spellEnd"/>
      <w:r>
        <w:rPr>
          <w:rFonts w:ascii="Times New Roman" w:hAnsi="Times New Roman" w:cs="Times New Roman"/>
          <w:bCs/>
        </w:rPr>
        <w:t xml:space="preserve"> </w:t>
      </w:r>
      <w:proofErr w:type="spellStart"/>
      <w:r>
        <w:rPr>
          <w:rFonts w:ascii="Times New Roman" w:hAnsi="Times New Roman" w:cs="Times New Roman"/>
          <w:bCs/>
        </w:rPr>
        <w:t>jābūt</w:t>
      </w:r>
      <w:proofErr w:type="spellEnd"/>
      <w:r>
        <w:rPr>
          <w:rFonts w:ascii="Times New Roman" w:hAnsi="Times New Roman" w:cs="Times New Roman"/>
          <w:bCs/>
        </w:rPr>
        <w:t xml:space="preserve"> </w:t>
      </w:r>
      <w:proofErr w:type="spellStart"/>
      <w:r>
        <w:rPr>
          <w:rFonts w:ascii="Times New Roman" w:hAnsi="Times New Roman" w:cs="Times New Roman"/>
          <w:bCs/>
        </w:rPr>
        <w:t>pēc</w:t>
      </w:r>
      <w:proofErr w:type="spellEnd"/>
      <w:r>
        <w:rPr>
          <w:rFonts w:ascii="Times New Roman" w:hAnsi="Times New Roman" w:cs="Times New Roman"/>
          <w:bCs/>
        </w:rPr>
        <w:t xml:space="preserve"> </w:t>
      </w:r>
      <w:proofErr w:type="spellStart"/>
      <w:r>
        <w:rPr>
          <w:rFonts w:ascii="Times New Roman" w:hAnsi="Times New Roman" w:cs="Times New Roman"/>
          <w:bCs/>
        </w:rPr>
        <w:t>iespējas</w:t>
      </w:r>
      <w:proofErr w:type="spellEnd"/>
      <w:r>
        <w:rPr>
          <w:rFonts w:ascii="Times New Roman" w:hAnsi="Times New Roman" w:cs="Times New Roman"/>
          <w:bCs/>
        </w:rPr>
        <w:t xml:space="preserve"> </w:t>
      </w:r>
      <w:proofErr w:type="spellStart"/>
      <w:proofErr w:type="gramStart"/>
      <w:r>
        <w:rPr>
          <w:rFonts w:ascii="Times New Roman" w:hAnsi="Times New Roman" w:cs="Times New Roman"/>
          <w:bCs/>
        </w:rPr>
        <w:t>plašākai</w:t>
      </w:r>
      <w:proofErr w:type="spellEnd"/>
      <w:r>
        <w:rPr>
          <w:rFonts w:ascii="Times New Roman" w:hAnsi="Times New Roman" w:cs="Times New Roman"/>
          <w:bCs/>
        </w:rPr>
        <w:t>;</w:t>
      </w:r>
      <w:proofErr w:type="gramEnd"/>
      <w:r>
        <w:rPr>
          <w:rFonts w:ascii="Times New Roman" w:hAnsi="Times New Roman" w:cs="Times New Roman"/>
          <w:bCs/>
        </w:rPr>
        <w:t xml:space="preserve"> </w:t>
      </w:r>
    </w:p>
    <w:p w14:paraId="3044B97B" w14:textId="77777777" w:rsidR="00114953" w:rsidRPr="00565D81" w:rsidRDefault="00114953" w:rsidP="00114953">
      <w:pPr>
        <w:jc w:val="both"/>
        <w:rPr>
          <w:rFonts w:ascii="Times New Roman" w:hAnsi="Times New Roman" w:cs="Times New Roman"/>
          <w:bCs/>
          <w:lang w:val="de-DE"/>
        </w:rPr>
      </w:pPr>
      <w:r>
        <w:rPr>
          <w:rFonts w:ascii="Times New Roman" w:hAnsi="Times New Roman" w:cs="Times New Roman"/>
          <w:bCs/>
        </w:rPr>
        <w:t xml:space="preserve">3) to, </w:t>
      </w:r>
      <w:proofErr w:type="spellStart"/>
      <w:r>
        <w:rPr>
          <w:rFonts w:ascii="Times New Roman" w:hAnsi="Times New Roman" w:cs="Times New Roman"/>
          <w:bCs/>
        </w:rPr>
        <w:t>vai</w:t>
      </w:r>
      <w:proofErr w:type="spellEnd"/>
      <w:r>
        <w:rPr>
          <w:rFonts w:ascii="Times New Roman" w:hAnsi="Times New Roman" w:cs="Times New Roman"/>
          <w:bCs/>
        </w:rPr>
        <w:t xml:space="preserve"> </w:t>
      </w:r>
      <w:proofErr w:type="spellStart"/>
      <w:r>
        <w:rPr>
          <w:rFonts w:ascii="Times New Roman" w:hAnsi="Times New Roman" w:cs="Times New Roman"/>
          <w:bCs/>
        </w:rPr>
        <w:t>dokuments</w:t>
      </w:r>
      <w:proofErr w:type="spellEnd"/>
      <w:r>
        <w:rPr>
          <w:rFonts w:ascii="Times New Roman" w:hAnsi="Times New Roman" w:cs="Times New Roman"/>
          <w:bCs/>
        </w:rPr>
        <w:t xml:space="preserve"> </w:t>
      </w:r>
      <w:proofErr w:type="spellStart"/>
      <w:r>
        <w:rPr>
          <w:rFonts w:ascii="Times New Roman" w:hAnsi="Times New Roman" w:cs="Times New Roman"/>
          <w:bCs/>
        </w:rPr>
        <w:t>ir</w:t>
      </w:r>
      <w:proofErr w:type="spellEnd"/>
      <w:r>
        <w:rPr>
          <w:rFonts w:ascii="Times New Roman" w:hAnsi="Times New Roman" w:cs="Times New Roman"/>
          <w:bCs/>
        </w:rPr>
        <w:t xml:space="preserve"> </w:t>
      </w:r>
      <w:proofErr w:type="spellStart"/>
      <w:r>
        <w:rPr>
          <w:rFonts w:ascii="Times New Roman" w:hAnsi="Times New Roman" w:cs="Times New Roman"/>
          <w:bCs/>
        </w:rPr>
        <w:t>uzskatāms</w:t>
      </w:r>
      <w:proofErr w:type="spellEnd"/>
      <w:r>
        <w:rPr>
          <w:rFonts w:ascii="Times New Roman" w:hAnsi="Times New Roman" w:cs="Times New Roman"/>
          <w:bCs/>
        </w:rPr>
        <w:t xml:space="preserve"> par </w:t>
      </w:r>
      <w:proofErr w:type="spellStart"/>
      <w:r>
        <w:rPr>
          <w:rFonts w:ascii="Times New Roman" w:hAnsi="Times New Roman" w:cs="Times New Roman"/>
          <w:bCs/>
        </w:rPr>
        <w:t>publisku</w:t>
      </w:r>
      <w:proofErr w:type="spellEnd"/>
      <w:r>
        <w:rPr>
          <w:rFonts w:ascii="Times New Roman" w:hAnsi="Times New Roman" w:cs="Times New Roman"/>
          <w:bCs/>
        </w:rPr>
        <w:t xml:space="preserve"> </w:t>
      </w:r>
      <w:proofErr w:type="spellStart"/>
      <w:r>
        <w:rPr>
          <w:rFonts w:ascii="Times New Roman" w:hAnsi="Times New Roman" w:cs="Times New Roman"/>
          <w:bCs/>
        </w:rPr>
        <w:t>dokumentu</w:t>
      </w:r>
      <w:proofErr w:type="spellEnd"/>
      <w:r>
        <w:rPr>
          <w:rFonts w:ascii="Times New Roman" w:hAnsi="Times New Roman" w:cs="Times New Roman"/>
          <w:bCs/>
        </w:rPr>
        <w:t xml:space="preserve"> </w:t>
      </w:r>
      <w:proofErr w:type="spellStart"/>
      <w:r>
        <w:rPr>
          <w:rFonts w:ascii="Times New Roman" w:hAnsi="Times New Roman" w:cs="Times New Roman"/>
          <w:bCs/>
        </w:rPr>
        <w:t>Konvencijas</w:t>
      </w:r>
      <w:proofErr w:type="spellEnd"/>
      <w:r>
        <w:rPr>
          <w:rFonts w:ascii="Times New Roman" w:hAnsi="Times New Roman" w:cs="Times New Roman"/>
          <w:bCs/>
        </w:rPr>
        <w:t xml:space="preserve"> </w:t>
      </w:r>
      <w:proofErr w:type="spellStart"/>
      <w:r>
        <w:rPr>
          <w:rFonts w:ascii="Times New Roman" w:hAnsi="Times New Roman" w:cs="Times New Roman"/>
          <w:bCs/>
        </w:rPr>
        <w:t>piemērošanas</w:t>
      </w:r>
      <w:proofErr w:type="spellEnd"/>
      <w:r>
        <w:rPr>
          <w:rFonts w:ascii="Times New Roman" w:hAnsi="Times New Roman" w:cs="Times New Roman"/>
          <w:bCs/>
        </w:rPr>
        <w:t xml:space="preserve"> </w:t>
      </w:r>
      <w:proofErr w:type="spellStart"/>
      <w:r>
        <w:rPr>
          <w:rFonts w:ascii="Times New Roman" w:hAnsi="Times New Roman" w:cs="Times New Roman"/>
          <w:bCs/>
        </w:rPr>
        <w:t>vajadzībām</w:t>
      </w:r>
      <w:proofErr w:type="spellEnd"/>
      <w:r>
        <w:rPr>
          <w:rFonts w:ascii="Times New Roman" w:hAnsi="Times New Roman" w:cs="Times New Roman"/>
          <w:bCs/>
        </w:rPr>
        <w:t xml:space="preserve">, </w:t>
      </w:r>
      <w:proofErr w:type="spellStart"/>
      <w:r>
        <w:rPr>
          <w:rFonts w:ascii="Times New Roman" w:hAnsi="Times New Roman" w:cs="Times New Roman"/>
          <w:bCs/>
        </w:rPr>
        <w:t>nosaka</w:t>
      </w:r>
      <w:proofErr w:type="spellEnd"/>
      <w:r>
        <w:rPr>
          <w:rFonts w:ascii="Times New Roman" w:hAnsi="Times New Roman" w:cs="Times New Roman"/>
          <w:bCs/>
        </w:rPr>
        <w:t xml:space="preserve"> </w:t>
      </w:r>
      <w:proofErr w:type="spellStart"/>
      <w:r>
        <w:rPr>
          <w:rFonts w:ascii="Times New Roman" w:hAnsi="Times New Roman" w:cs="Times New Roman"/>
          <w:bCs/>
        </w:rPr>
        <w:t>dokumenta</w:t>
      </w:r>
      <w:proofErr w:type="spellEnd"/>
      <w:r>
        <w:rPr>
          <w:rFonts w:ascii="Times New Roman" w:hAnsi="Times New Roman" w:cs="Times New Roman"/>
          <w:bCs/>
        </w:rPr>
        <w:t xml:space="preserve"> </w:t>
      </w:r>
      <w:proofErr w:type="spellStart"/>
      <w:r>
        <w:rPr>
          <w:rFonts w:ascii="Times New Roman" w:hAnsi="Times New Roman" w:cs="Times New Roman"/>
          <w:bCs/>
        </w:rPr>
        <w:t>izcelsmes</w:t>
      </w:r>
      <w:proofErr w:type="spellEnd"/>
      <w:r>
        <w:rPr>
          <w:rFonts w:ascii="Times New Roman" w:hAnsi="Times New Roman" w:cs="Times New Roman"/>
          <w:bCs/>
        </w:rPr>
        <w:t xml:space="preserve"> (</w:t>
      </w:r>
      <w:proofErr w:type="spellStart"/>
      <w:r>
        <w:rPr>
          <w:rFonts w:ascii="Times New Roman" w:hAnsi="Times New Roman" w:cs="Times New Roman"/>
          <w:bCs/>
        </w:rPr>
        <w:t>sastādīšanas</w:t>
      </w:r>
      <w:proofErr w:type="spellEnd"/>
      <w:r>
        <w:rPr>
          <w:rFonts w:ascii="Times New Roman" w:hAnsi="Times New Roman" w:cs="Times New Roman"/>
          <w:bCs/>
        </w:rPr>
        <w:t xml:space="preserve">) </w:t>
      </w:r>
      <w:proofErr w:type="spellStart"/>
      <w:r>
        <w:rPr>
          <w:rFonts w:ascii="Times New Roman" w:hAnsi="Times New Roman" w:cs="Times New Roman"/>
          <w:bCs/>
        </w:rPr>
        <w:t>vietas</w:t>
      </w:r>
      <w:proofErr w:type="spellEnd"/>
      <w:r>
        <w:rPr>
          <w:rFonts w:ascii="Times New Roman" w:hAnsi="Times New Roman" w:cs="Times New Roman"/>
          <w:bCs/>
        </w:rPr>
        <w:t xml:space="preserve"> </w:t>
      </w:r>
      <w:proofErr w:type="spellStart"/>
      <w:r>
        <w:rPr>
          <w:rFonts w:ascii="Times New Roman" w:hAnsi="Times New Roman" w:cs="Times New Roman"/>
          <w:bCs/>
        </w:rPr>
        <w:t>valsts</w:t>
      </w:r>
      <w:proofErr w:type="spellEnd"/>
      <w:r>
        <w:rPr>
          <w:rFonts w:ascii="Times New Roman" w:hAnsi="Times New Roman" w:cs="Times New Roman"/>
          <w:bCs/>
        </w:rPr>
        <w:t xml:space="preserve"> </w:t>
      </w:r>
      <w:proofErr w:type="spellStart"/>
      <w:r>
        <w:rPr>
          <w:rFonts w:ascii="Times New Roman" w:hAnsi="Times New Roman" w:cs="Times New Roman"/>
          <w:bCs/>
        </w:rPr>
        <w:t>nacionālās</w:t>
      </w:r>
      <w:proofErr w:type="spellEnd"/>
      <w:r>
        <w:rPr>
          <w:rFonts w:ascii="Times New Roman" w:hAnsi="Times New Roman" w:cs="Times New Roman"/>
          <w:bCs/>
        </w:rPr>
        <w:t xml:space="preserve"> </w:t>
      </w:r>
      <w:proofErr w:type="spellStart"/>
      <w:r>
        <w:rPr>
          <w:rFonts w:ascii="Times New Roman" w:hAnsi="Times New Roman" w:cs="Times New Roman"/>
          <w:bCs/>
        </w:rPr>
        <w:t>tiesības</w:t>
      </w:r>
      <w:proofErr w:type="spellEnd"/>
      <w:r>
        <w:rPr>
          <w:rFonts w:ascii="Times New Roman" w:hAnsi="Times New Roman" w:cs="Times New Roman"/>
          <w:bCs/>
        </w:rPr>
        <w:t xml:space="preserve">.  No </w:t>
      </w:r>
      <w:proofErr w:type="spellStart"/>
      <w:r>
        <w:rPr>
          <w:rFonts w:ascii="Times New Roman" w:hAnsi="Times New Roman" w:cs="Times New Roman"/>
          <w:bCs/>
        </w:rPr>
        <w:t>Dokumentu</w:t>
      </w:r>
      <w:proofErr w:type="spellEnd"/>
      <w:r>
        <w:rPr>
          <w:rFonts w:ascii="Times New Roman" w:hAnsi="Times New Roman" w:cs="Times New Roman"/>
          <w:bCs/>
        </w:rPr>
        <w:t xml:space="preserve"> </w:t>
      </w:r>
      <w:proofErr w:type="spellStart"/>
      <w:r>
        <w:rPr>
          <w:rFonts w:ascii="Times New Roman" w:hAnsi="Times New Roman" w:cs="Times New Roman"/>
          <w:bCs/>
        </w:rPr>
        <w:t>legalizācijas</w:t>
      </w:r>
      <w:proofErr w:type="spellEnd"/>
      <w:r>
        <w:rPr>
          <w:rFonts w:ascii="Times New Roman" w:hAnsi="Times New Roman" w:cs="Times New Roman"/>
          <w:bCs/>
        </w:rPr>
        <w:t xml:space="preserve"> </w:t>
      </w:r>
      <w:proofErr w:type="spellStart"/>
      <w:r>
        <w:rPr>
          <w:rFonts w:ascii="Times New Roman" w:hAnsi="Times New Roman" w:cs="Times New Roman"/>
          <w:bCs/>
        </w:rPr>
        <w:t>likuma</w:t>
      </w:r>
      <w:proofErr w:type="spellEnd"/>
      <w:r>
        <w:rPr>
          <w:rFonts w:ascii="Times New Roman" w:hAnsi="Times New Roman" w:cs="Times New Roman"/>
          <w:bCs/>
        </w:rPr>
        <w:t xml:space="preserve"> </w:t>
      </w:r>
      <w:proofErr w:type="gramStart"/>
      <w:r>
        <w:rPr>
          <w:rFonts w:ascii="Times New Roman" w:hAnsi="Times New Roman" w:cs="Times New Roman"/>
          <w:bCs/>
        </w:rPr>
        <w:t>2.panta</w:t>
      </w:r>
      <w:proofErr w:type="gramEnd"/>
      <w:r>
        <w:rPr>
          <w:rFonts w:ascii="Times New Roman" w:hAnsi="Times New Roman" w:cs="Times New Roman"/>
          <w:bCs/>
        </w:rPr>
        <w:t xml:space="preserve"> 2.punkta </w:t>
      </w:r>
      <w:proofErr w:type="spellStart"/>
      <w:r>
        <w:rPr>
          <w:rFonts w:ascii="Times New Roman" w:hAnsi="Times New Roman" w:cs="Times New Roman"/>
          <w:bCs/>
        </w:rPr>
        <w:t>vienīgi</w:t>
      </w:r>
      <w:proofErr w:type="spellEnd"/>
      <w:r>
        <w:rPr>
          <w:rFonts w:ascii="Times New Roman" w:hAnsi="Times New Roman" w:cs="Times New Roman"/>
          <w:bCs/>
        </w:rPr>
        <w:t xml:space="preserve"> </w:t>
      </w:r>
      <w:proofErr w:type="spellStart"/>
      <w:r>
        <w:rPr>
          <w:rFonts w:ascii="Times New Roman" w:hAnsi="Times New Roman" w:cs="Times New Roman"/>
          <w:bCs/>
        </w:rPr>
        <w:t>izriet</w:t>
      </w:r>
      <w:proofErr w:type="spellEnd"/>
      <w:r>
        <w:rPr>
          <w:rFonts w:ascii="Times New Roman" w:hAnsi="Times New Roman" w:cs="Times New Roman"/>
          <w:bCs/>
        </w:rPr>
        <w:t xml:space="preserve">, ka </w:t>
      </w:r>
      <w:proofErr w:type="spellStart"/>
      <w:r>
        <w:rPr>
          <w:rFonts w:ascii="Times New Roman" w:hAnsi="Times New Roman" w:cs="Times New Roman"/>
          <w:bCs/>
        </w:rPr>
        <w:t>legalizācijas</w:t>
      </w:r>
      <w:proofErr w:type="spellEnd"/>
      <w:r>
        <w:rPr>
          <w:rFonts w:ascii="Times New Roman" w:hAnsi="Times New Roman" w:cs="Times New Roman"/>
          <w:bCs/>
        </w:rPr>
        <w:t xml:space="preserve"> </w:t>
      </w:r>
      <w:proofErr w:type="spellStart"/>
      <w:r>
        <w:rPr>
          <w:rFonts w:ascii="Times New Roman" w:hAnsi="Times New Roman" w:cs="Times New Roman"/>
          <w:bCs/>
        </w:rPr>
        <w:t>kontekstā</w:t>
      </w:r>
      <w:proofErr w:type="spellEnd"/>
      <w:r>
        <w:rPr>
          <w:rFonts w:ascii="Times New Roman" w:hAnsi="Times New Roman" w:cs="Times New Roman"/>
          <w:bCs/>
        </w:rPr>
        <w:t xml:space="preserve"> </w:t>
      </w:r>
      <w:proofErr w:type="spellStart"/>
      <w:r>
        <w:rPr>
          <w:rFonts w:ascii="Times New Roman" w:hAnsi="Times New Roman" w:cs="Times New Roman"/>
          <w:bCs/>
        </w:rPr>
        <w:t>Notariāta</w:t>
      </w:r>
      <w:proofErr w:type="spellEnd"/>
      <w:r>
        <w:rPr>
          <w:rFonts w:ascii="Times New Roman" w:hAnsi="Times New Roman" w:cs="Times New Roman"/>
          <w:bCs/>
        </w:rPr>
        <w:t xml:space="preserve"> </w:t>
      </w:r>
      <w:proofErr w:type="spellStart"/>
      <w:r>
        <w:rPr>
          <w:rFonts w:ascii="Times New Roman" w:hAnsi="Times New Roman" w:cs="Times New Roman"/>
          <w:bCs/>
        </w:rPr>
        <w:t>likuma</w:t>
      </w:r>
      <w:proofErr w:type="spellEnd"/>
      <w:r>
        <w:rPr>
          <w:rFonts w:ascii="Times New Roman" w:hAnsi="Times New Roman" w:cs="Times New Roman"/>
          <w:bCs/>
        </w:rPr>
        <w:t xml:space="preserve"> 116.pantā </w:t>
      </w:r>
      <w:proofErr w:type="spellStart"/>
      <w:r>
        <w:rPr>
          <w:rFonts w:ascii="Times New Roman" w:hAnsi="Times New Roman" w:cs="Times New Roman"/>
          <w:bCs/>
        </w:rPr>
        <w:t>minētie</w:t>
      </w:r>
      <w:proofErr w:type="spellEnd"/>
      <w:r>
        <w:rPr>
          <w:rFonts w:ascii="Times New Roman" w:hAnsi="Times New Roman" w:cs="Times New Roman"/>
          <w:bCs/>
        </w:rPr>
        <w:t xml:space="preserve"> </w:t>
      </w:r>
      <w:proofErr w:type="spellStart"/>
      <w:r>
        <w:rPr>
          <w:rFonts w:ascii="Times New Roman" w:hAnsi="Times New Roman" w:cs="Times New Roman"/>
          <w:bCs/>
        </w:rPr>
        <w:t>dokumenti</w:t>
      </w:r>
      <w:proofErr w:type="spellEnd"/>
      <w:r>
        <w:rPr>
          <w:rFonts w:ascii="Times New Roman" w:hAnsi="Times New Roman" w:cs="Times New Roman"/>
          <w:bCs/>
        </w:rPr>
        <w:t xml:space="preserve"> </w:t>
      </w:r>
      <w:proofErr w:type="spellStart"/>
      <w:r>
        <w:rPr>
          <w:rFonts w:ascii="Times New Roman" w:hAnsi="Times New Roman" w:cs="Times New Roman"/>
          <w:bCs/>
        </w:rPr>
        <w:t>tiks</w:t>
      </w:r>
      <w:proofErr w:type="spellEnd"/>
      <w:r>
        <w:rPr>
          <w:rFonts w:ascii="Times New Roman" w:hAnsi="Times New Roman" w:cs="Times New Roman"/>
          <w:bCs/>
        </w:rPr>
        <w:t xml:space="preserve"> </w:t>
      </w:r>
      <w:proofErr w:type="spellStart"/>
      <w:r>
        <w:rPr>
          <w:rFonts w:ascii="Times New Roman" w:hAnsi="Times New Roman" w:cs="Times New Roman"/>
          <w:bCs/>
        </w:rPr>
        <w:t>uzskatīti</w:t>
      </w:r>
      <w:proofErr w:type="spellEnd"/>
      <w:r>
        <w:rPr>
          <w:rFonts w:ascii="Times New Roman" w:hAnsi="Times New Roman" w:cs="Times New Roman"/>
          <w:bCs/>
        </w:rPr>
        <w:t xml:space="preserve"> par </w:t>
      </w:r>
      <w:proofErr w:type="spellStart"/>
      <w:r>
        <w:rPr>
          <w:rFonts w:ascii="Times New Roman" w:hAnsi="Times New Roman" w:cs="Times New Roman"/>
          <w:bCs/>
        </w:rPr>
        <w:t>publiskiem</w:t>
      </w:r>
      <w:proofErr w:type="spellEnd"/>
      <w:r>
        <w:rPr>
          <w:rFonts w:ascii="Times New Roman" w:hAnsi="Times New Roman" w:cs="Times New Roman"/>
          <w:bCs/>
        </w:rPr>
        <w:t xml:space="preserve"> </w:t>
      </w:r>
      <w:proofErr w:type="spellStart"/>
      <w:r>
        <w:rPr>
          <w:rFonts w:ascii="Times New Roman" w:hAnsi="Times New Roman" w:cs="Times New Roman"/>
          <w:bCs/>
        </w:rPr>
        <w:t>dokumentiem</w:t>
      </w:r>
      <w:proofErr w:type="spellEnd"/>
      <w:r>
        <w:rPr>
          <w:rFonts w:ascii="Times New Roman" w:hAnsi="Times New Roman" w:cs="Times New Roman"/>
          <w:bCs/>
        </w:rPr>
        <w:t xml:space="preserve"> un </w:t>
      </w:r>
      <w:proofErr w:type="spellStart"/>
      <w:r>
        <w:rPr>
          <w:rFonts w:ascii="Times New Roman" w:hAnsi="Times New Roman" w:cs="Times New Roman"/>
          <w:bCs/>
        </w:rPr>
        <w:t>tiks</w:t>
      </w:r>
      <w:proofErr w:type="spellEnd"/>
      <w:r>
        <w:rPr>
          <w:rFonts w:ascii="Times New Roman" w:hAnsi="Times New Roman" w:cs="Times New Roman"/>
          <w:bCs/>
        </w:rPr>
        <w:t xml:space="preserve"> </w:t>
      </w:r>
      <w:proofErr w:type="spellStart"/>
      <w:r>
        <w:rPr>
          <w:rFonts w:ascii="Times New Roman" w:hAnsi="Times New Roman" w:cs="Times New Roman"/>
          <w:bCs/>
        </w:rPr>
        <w:t>legalizēti</w:t>
      </w:r>
      <w:proofErr w:type="spellEnd"/>
      <w:r>
        <w:rPr>
          <w:rFonts w:ascii="Times New Roman" w:hAnsi="Times New Roman" w:cs="Times New Roman"/>
          <w:bCs/>
        </w:rPr>
        <w:t xml:space="preserve">, lai tos </w:t>
      </w:r>
      <w:proofErr w:type="spellStart"/>
      <w:r>
        <w:rPr>
          <w:rFonts w:ascii="Times New Roman" w:hAnsi="Times New Roman" w:cs="Times New Roman"/>
          <w:bCs/>
        </w:rPr>
        <w:t>izmantotu</w:t>
      </w:r>
      <w:proofErr w:type="spellEnd"/>
      <w:r>
        <w:rPr>
          <w:rFonts w:ascii="Times New Roman" w:hAnsi="Times New Roman" w:cs="Times New Roman"/>
          <w:bCs/>
        </w:rPr>
        <w:t xml:space="preserve"> </w:t>
      </w:r>
      <w:proofErr w:type="spellStart"/>
      <w:r>
        <w:rPr>
          <w:rFonts w:ascii="Times New Roman" w:hAnsi="Times New Roman" w:cs="Times New Roman"/>
          <w:bCs/>
        </w:rPr>
        <w:t>ārvalstīs</w:t>
      </w:r>
      <w:proofErr w:type="spellEnd"/>
      <w:r>
        <w:rPr>
          <w:rFonts w:ascii="Times New Roman" w:hAnsi="Times New Roman" w:cs="Times New Roman"/>
          <w:bCs/>
        </w:rPr>
        <w:t xml:space="preserve">. </w:t>
      </w:r>
      <w:proofErr w:type="spellStart"/>
      <w:r>
        <w:rPr>
          <w:rFonts w:ascii="Times New Roman" w:hAnsi="Times New Roman" w:cs="Times New Roman"/>
          <w:bCs/>
        </w:rPr>
        <w:t>Taču</w:t>
      </w:r>
      <w:proofErr w:type="spellEnd"/>
      <w:r>
        <w:rPr>
          <w:rFonts w:ascii="Times New Roman" w:hAnsi="Times New Roman" w:cs="Times New Roman"/>
          <w:bCs/>
        </w:rPr>
        <w:t xml:space="preserve"> tas </w:t>
      </w:r>
      <w:proofErr w:type="spellStart"/>
      <w:r>
        <w:rPr>
          <w:rFonts w:ascii="Times New Roman" w:hAnsi="Times New Roman" w:cs="Times New Roman"/>
          <w:bCs/>
        </w:rPr>
        <w:t>automātiski</w:t>
      </w:r>
      <w:proofErr w:type="spellEnd"/>
      <w:r>
        <w:rPr>
          <w:rFonts w:ascii="Times New Roman" w:hAnsi="Times New Roman" w:cs="Times New Roman"/>
          <w:bCs/>
        </w:rPr>
        <w:t xml:space="preserve"> </w:t>
      </w:r>
      <w:proofErr w:type="spellStart"/>
      <w:r>
        <w:rPr>
          <w:rFonts w:ascii="Times New Roman" w:hAnsi="Times New Roman" w:cs="Times New Roman"/>
          <w:bCs/>
        </w:rPr>
        <w:t>nenozīmē</w:t>
      </w:r>
      <w:proofErr w:type="spellEnd"/>
      <w:r>
        <w:rPr>
          <w:rFonts w:ascii="Times New Roman" w:hAnsi="Times New Roman" w:cs="Times New Roman"/>
          <w:bCs/>
        </w:rPr>
        <w:t xml:space="preserve">, ka </w:t>
      </w:r>
      <w:proofErr w:type="spellStart"/>
      <w:r>
        <w:rPr>
          <w:rFonts w:ascii="Times New Roman" w:hAnsi="Times New Roman" w:cs="Times New Roman"/>
          <w:bCs/>
        </w:rPr>
        <w:t>Notariāta</w:t>
      </w:r>
      <w:proofErr w:type="spellEnd"/>
      <w:r>
        <w:rPr>
          <w:rFonts w:ascii="Times New Roman" w:hAnsi="Times New Roman" w:cs="Times New Roman"/>
          <w:bCs/>
        </w:rPr>
        <w:t xml:space="preserve"> </w:t>
      </w:r>
      <w:proofErr w:type="spellStart"/>
      <w:r>
        <w:rPr>
          <w:rFonts w:ascii="Times New Roman" w:hAnsi="Times New Roman" w:cs="Times New Roman"/>
          <w:bCs/>
        </w:rPr>
        <w:t>likuma</w:t>
      </w:r>
      <w:proofErr w:type="spellEnd"/>
      <w:r>
        <w:rPr>
          <w:rFonts w:ascii="Times New Roman" w:hAnsi="Times New Roman" w:cs="Times New Roman"/>
          <w:bCs/>
        </w:rPr>
        <w:t xml:space="preserve"> 116.pantā </w:t>
      </w:r>
      <w:proofErr w:type="spellStart"/>
      <w:r>
        <w:rPr>
          <w:rFonts w:ascii="Times New Roman" w:hAnsi="Times New Roman" w:cs="Times New Roman"/>
          <w:bCs/>
        </w:rPr>
        <w:t>minētie</w:t>
      </w:r>
      <w:proofErr w:type="spellEnd"/>
      <w:r>
        <w:rPr>
          <w:rFonts w:ascii="Times New Roman" w:hAnsi="Times New Roman" w:cs="Times New Roman"/>
          <w:bCs/>
        </w:rPr>
        <w:t xml:space="preserve"> </w:t>
      </w:r>
      <w:proofErr w:type="spellStart"/>
      <w:r>
        <w:rPr>
          <w:rFonts w:ascii="Times New Roman" w:hAnsi="Times New Roman" w:cs="Times New Roman"/>
          <w:bCs/>
        </w:rPr>
        <w:t>dokumenti</w:t>
      </w:r>
      <w:proofErr w:type="spellEnd"/>
      <w:r>
        <w:rPr>
          <w:rFonts w:ascii="Times New Roman" w:hAnsi="Times New Roman" w:cs="Times New Roman"/>
          <w:bCs/>
        </w:rPr>
        <w:t xml:space="preserve"> </w:t>
      </w:r>
      <w:proofErr w:type="spellStart"/>
      <w:r>
        <w:rPr>
          <w:rFonts w:ascii="Times New Roman" w:hAnsi="Times New Roman" w:cs="Times New Roman"/>
          <w:bCs/>
        </w:rPr>
        <w:t>tagad</w:t>
      </w:r>
      <w:proofErr w:type="spellEnd"/>
      <w:r>
        <w:rPr>
          <w:rFonts w:ascii="Times New Roman" w:hAnsi="Times New Roman" w:cs="Times New Roman"/>
          <w:bCs/>
        </w:rPr>
        <w:t xml:space="preserve"> </w:t>
      </w:r>
      <w:proofErr w:type="spellStart"/>
      <w:r>
        <w:rPr>
          <w:rFonts w:ascii="Times New Roman" w:hAnsi="Times New Roman" w:cs="Times New Roman"/>
          <w:bCs/>
        </w:rPr>
        <w:t>būs</w:t>
      </w:r>
      <w:proofErr w:type="spellEnd"/>
      <w:r>
        <w:rPr>
          <w:rFonts w:ascii="Times New Roman" w:hAnsi="Times New Roman" w:cs="Times New Roman"/>
          <w:bCs/>
        </w:rPr>
        <w:t xml:space="preserve"> </w:t>
      </w:r>
      <w:proofErr w:type="spellStart"/>
      <w:r>
        <w:rPr>
          <w:rFonts w:ascii="Times New Roman" w:hAnsi="Times New Roman" w:cs="Times New Roman"/>
          <w:bCs/>
        </w:rPr>
        <w:t>uzskatāmi</w:t>
      </w:r>
      <w:proofErr w:type="spellEnd"/>
      <w:r>
        <w:rPr>
          <w:rFonts w:ascii="Times New Roman" w:hAnsi="Times New Roman" w:cs="Times New Roman"/>
          <w:bCs/>
        </w:rPr>
        <w:t xml:space="preserve"> par </w:t>
      </w:r>
      <w:proofErr w:type="spellStart"/>
      <w:r>
        <w:rPr>
          <w:rFonts w:ascii="Times New Roman" w:hAnsi="Times New Roman" w:cs="Times New Roman"/>
          <w:bCs/>
        </w:rPr>
        <w:t>publiskiem</w:t>
      </w:r>
      <w:proofErr w:type="spellEnd"/>
      <w:r>
        <w:rPr>
          <w:rFonts w:ascii="Times New Roman" w:hAnsi="Times New Roman" w:cs="Times New Roman"/>
          <w:bCs/>
        </w:rPr>
        <w:t xml:space="preserve"> </w:t>
      </w:r>
      <w:proofErr w:type="spellStart"/>
      <w:r>
        <w:rPr>
          <w:rFonts w:ascii="Times New Roman" w:hAnsi="Times New Roman" w:cs="Times New Roman"/>
          <w:bCs/>
        </w:rPr>
        <w:t>dokumentiem</w:t>
      </w:r>
      <w:proofErr w:type="spellEnd"/>
      <w:r>
        <w:rPr>
          <w:rFonts w:ascii="Times New Roman" w:hAnsi="Times New Roman" w:cs="Times New Roman"/>
          <w:bCs/>
        </w:rPr>
        <w:t xml:space="preserve"> </w:t>
      </w:r>
      <w:proofErr w:type="spellStart"/>
      <w:r>
        <w:rPr>
          <w:rFonts w:ascii="Times New Roman" w:hAnsi="Times New Roman" w:cs="Times New Roman"/>
          <w:bCs/>
        </w:rPr>
        <w:t>arī</w:t>
      </w:r>
      <w:proofErr w:type="spellEnd"/>
      <w:r>
        <w:rPr>
          <w:rFonts w:ascii="Times New Roman" w:hAnsi="Times New Roman" w:cs="Times New Roman"/>
          <w:bCs/>
        </w:rPr>
        <w:t xml:space="preserve"> </w:t>
      </w:r>
      <w:proofErr w:type="spellStart"/>
      <w:r>
        <w:rPr>
          <w:rFonts w:ascii="Times New Roman" w:hAnsi="Times New Roman" w:cs="Times New Roman"/>
          <w:bCs/>
        </w:rPr>
        <w:t>Notariāta</w:t>
      </w:r>
      <w:proofErr w:type="spellEnd"/>
      <w:r>
        <w:rPr>
          <w:rFonts w:ascii="Times New Roman" w:hAnsi="Times New Roman" w:cs="Times New Roman"/>
          <w:bCs/>
        </w:rPr>
        <w:t xml:space="preserve"> </w:t>
      </w:r>
      <w:proofErr w:type="spellStart"/>
      <w:r>
        <w:rPr>
          <w:rFonts w:ascii="Times New Roman" w:hAnsi="Times New Roman" w:cs="Times New Roman"/>
          <w:bCs/>
        </w:rPr>
        <w:t>likuma</w:t>
      </w:r>
      <w:proofErr w:type="spellEnd"/>
      <w:r>
        <w:rPr>
          <w:rFonts w:ascii="Times New Roman" w:hAnsi="Times New Roman" w:cs="Times New Roman"/>
          <w:bCs/>
        </w:rPr>
        <w:t xml:space="preserve"> </w:t>
      </w:r>
      <w:proofErr w:type="gramStart"/>
      <w:r>
        <w:rPr>
          <w:rFonts w:ascii="Times New Roman" w:hAnsi="Times New Roman" w:cs="Times New Roman"/>
          <w:bCs/>
        </w:rPr>
        <w:t>83.panta</w:t>
      </w:r>
      <w:proofErr w:type="gramEnd"/>
      <w:r>
        <w:rPr>
          <w:rFonts w:ascii="Times New Roman" w:hAnsi="Times New Roman" w:cs="Times New Roman"/>
          <w:bCs/>
        </w:rPr>
        <w:t xml:space="preserve"> </w:t>
      </w:r>
      <w:proofErr w:type="spellStart"/>
      <w:r>
        <w:rPr>
          <w:rFonts w:ascii="Times New Roman" w:hAnsi="Times New Roman" w:cs="Times New Roman"/>
          <w:bCs/>
        </w:rPr>
        <w:t>izpratnē</w:t>
      </w:r>
      <w:proofErr w:type="spellEnd"/>
      <w:r>
        <w:rPr>
          <w:rFonts w:ascii="Times New Roman" w:hAnsi="Times New Roman" w:cs="Times New Roman"/>
          <w:bCs/>
        </w:rPr>
        <w:t xml:space="preserve">. </w:t>
      </w:r>
      <w:proofErr w:type="spellStart"/>
      <w:r w:rsidRPr="00565D81">
        <w:rPr>
          <w:rFonts w:ascii="Times New Roman" w:hAnsi="Times New Roman" w:cs="Times New Roman"/>
          <w:bCs/>
        </w:rPr>
        <w:t>Tātad</w:t>
      </w:r>
      <w:proofErr w:type="spellEnd"/>
      <w:r w:rsidRPr="00565D81">
        <w:rPr>
          <w:rFonts w:ascii="Times New Roman" w:hAnsi="Times New Roman" w:cs="Times New Roman"/>
          <w:bCs/>
        </w:rPr>
        <w:t xml:space="preserve">, Latvijas </w:t>
      </w:r>
      <w:proofErr w:type="spellStart"/>
      <w:r w:rsidRPr="00565D81">
        <w:rPr>
          <w:rFonts w:ascii="Times New Roman" w:hAnsi="Times New Roman" w:cs="Times New Roman"/>
          <w:bCs/>
        </w:rPr>
        <w:t>notāru</w:t>
      </w:r>
      <w:proofErr w:type="spellEnd"/>
      <w:r w:rsidRPr="00565D81">
        <w:rPr>
          <w:rFonts w:ascii="Times New Roman" w:hAnsi="Times New Roman" w:cs="Times New Roman"/>
          <w:bCs/>
        </w:rPr>
        <w:t xml:space="preserve"> </w:t>
      </w:r>
      <w:proofErr w:type="spellStart"/>
      <w:r w:rsidRPr="00565D81">
        <w:rPr>
          <w:rFonts w:ascii="Times New Roman" w:hAnsi="Times New Roman" w:cs="Times New Roman"/>
          <w:bCs/>
        </w:rPr>
        <w:t>darbā</w:t>
      </w:r>
      <w:proofErr w:type="spellEnd"/>
      <w:r w:rsidRPr="00565D81">
        <w:rPr>
          <w:rFonts w:ascii="Times New Roman" w:hAnsi="Times New Roman" w:cs="Times New Roman"/>
          <w:bCs/>
        </w:rPr>
        <w:t xml:space="preserve"> (</w:t>
      </w:r>
      <w:proofErr w:type="spellStart"/>
      <w:r w:rsidRPr="00565D81">
        <w:rPr>
          <w:rFonts w:ascii="Times New Roman" w:hAnsi="Times New Roman" w:cs="Times New Roman"/>
          <w:bCs/>
        </w:rPr>
        <w:t>notāru</w:t>
      </w:r>
      <w:proofErr w:type="spellEnd"/>
      <w:r w:rsidRPr="00565D81">
        <w:rPr>
          <w:rFonts w:ascii="Times New Roman" w:hAnsi="Times New Roman" w:cs="Times New Roman"/>
          <w:bCs/>
        </w:rPr>
        <w:t xml:space="preserve"> </w:t>
      </w:r>
      <w:proofErr w:type="spellStart"/>
      <w:r w:rsidRPr="00565D81">
        <w:rPr>
          <w:rFonts w:ascii="Times New Roman" w:hAnsi="Times New Roman" w:cs="Times New Roman"/>
          <w:bCs/>
        </w:rPr>
        <w:t>procesos</w:t>
      </w:r>
      <w:proofErr w:type="spellEnd"/>
      <w:r w:rsidRPr="00565D81">
        <w:rPr>
          <w:rFonts w:ascii="Times New Roman" w:hAnsi="Times New Roman" w:cs="Times New Roman"/>
          <w:bCs/>
        </w:rPr>
        <w:t xml:space="preserve">) </w:t>
      </w:r>
      <w:r w:rsidRPr="00565D81">
        <w:rPr>
          <w:rFonts w:ascii="Times New Roman" w:hAnsi="Times New Roman" w:cs="Times New Roman"/>
          <w:bCs/>
          <w:lang w:val="de-DE"/>
        </w:rPr>
        <w:t>„</w:t>
      </w:r>
      <w:proofErr w:type="spellStart"/>
      <w:r w:rsidRPr="00565D81">
        <w:rPr>
          <w:rFonts w:ascii="Times New Roman" w:hAnsi="Times New Roman" w:cs="Times New Roman"/>
          <w:bCs/>
          <w:lang w:val="de-DE"/>
        </w:rPr>
        <w:t>publiskam</w:t>
      </w:r>
      <w:proofErr w:type="spellEnd"/>
      <w:r w:rsidRPr="00565D81">
        <w:rPr>
          <w:rFonts w:ascii="Times New Roman" w:hAnsi="Times New Roman" w:cs="Times New Roman"/>
          <w:bCs/>
          <w:lang w:val="de-DE"/>
        </w:rPr>
        <w:t xml:space="preserve"> </w:t>
      </w:r>
      <w:proofErr w:type="spellStart"/>
      <w:r w:rsidRPr="00565D81">
        <w:rPr>
          <w:rFonts w:ascii="Times New Roman" w:hAnsi="Times New Roman" w:cs="Times New Roman"/>
          <w:bCs/>
          <w:lang w:val="de-DE"/>
        </w:rPr>
        <w:t>dokumentam</w:t>
      </w:r>
      <w:proofErr w:type="spellEnd"/>
      <w:proofErr w:type="gramStart"/>
      <w:r w:rsidRPr="00565D81">
        <w:rPr>
          <w:rFonts w:ascii="Times New Roman" w:hAnsi="Times New Roman" w:cs="Times New Roman"/>
          <w:bCs/>
          <w:lang w:val="de-DE"/>
        </w:rPr>
        <w:t>“  (</w:t>
      </w:r>
      <w:proofErr w:type="spellStart"/>
      <w:proofErr w:type="gramEnd"/>
      <w:r w:rsidRPr="00565D81">
        <w:rPr>
          <w:rFonts w:ascii="Times New Roman" w:hAnsi="Times New Roman" w:cs="Times New Roman"/>
          <w:bCs/>
          <w:lang w:val="de-DE"/>
        </w:rPr>
        <w:t>arī</w:t>
      </w:r>
      <w:proofErr w:type="spellEnd"/>
      <w:r w:rsidRPr="00565D81">
        <w:rPr>
          <w:rFonts w:ascii="Times New Roman" w:hAnsi="Times New Roman" w:cs="Times New Roman"/>
          <w:bCs/>
          <w:lang w:val="de-DE"/>
        </w:rPr>
        <w:t xml:space="preserve"> „</w:t>
      </w:r>
      <w:proofErr w:type="spellStart"/>
      <w:r w:rsidRPr="00565D81">
        <w:rPr>
          <w:rFonts w:ascii="Times New Roman" w:hAnsi="Times New Roman" w:cs="Times New Roman"/>
          <w:bCs/>
          <w:lang w:val="de-DE"/>
        </w:rPr>
        <w:t>ārvalsts</w:t>
      </w:r>
      <w:proofErr w:type="spellEnd"/>
      <w:r w:rsidRPr="00565D81">
        <w:rPr>
          <w:rFonts w:ascii="Times New Roman" w:hAnsi="Times New Roman" w:cs="Times New Roman"/>
          <w:bCs/>
          <w:lang w:val="de-DE"/>
        </w:rPr>
        <w:t xml:space="preserve"> </w:t>
      </w:r>
      <w:proofErr w:type="spellStart"/>
      <w:r w:rsidRPr="00565D81">
        <w:rPr>
          <w:rFonts w:ascii="Times New Roman" w:hAnsi="Times New Roman" w:cs="Times New Roman"/>
          <w:bCs/>
          <w:lang w:val="de-DE"/>
        </w:rPr>
        <w:t>publiskam</w:t>
      </w:r>
      <w:proofErr w:type="spellEnd"/>
      <w:r w:rsidRPr="00565D81">
        <w:rPr>
          <w:rFonts w:ascii="Times New Roman" w:hAnsi="Times New Roman" w:cs="Times New Roman"/>
          <w:bCs/>
          <w:lang w:val="de-DE"/>
        </w:rPr>
        <w:t xml:space="preserve"> </w:t>
      </w:r>
      <w:proofErr w:type="spellStart"/>
      <w:r w:rsidRPr="00565D81">
        <w:rPr>
          <w:rFonts w:ascii="Times New Roman" w:hAnsi="Times New Roman" w:cs="Times New Roman"/>
          <w:bCs/>
          <w:lang w:val="de-DE"/>
        </w:rPr>
        <w:t>dokumentam</w:t>
      </w:r>
      <w:proofErr w:type="spellEnd"/>
      <w:r w:rsidRPr="00565D81">
        <w:rPr>
          <w:rFonts w:ascii="Times New Roman" w:hAnsi="Times New Roman" w:cs="Times New Roman"/>
          <w:bCs/>
          <w:lang w:val="de-DE"/>
        </w:rPr>
        <w:t xml:space="preserve">“) </w:t>
      </w:r>
      <w:proofErr w:type="spellStart"/>
      <w:r w:rsidRPr="00565D81">
        <w:rPr>
          <w:rFonts w:ascii="Times New Roman" w:hAnsi="Times New Roman" w:cs="Times New Roman"/>
          <w:bCs/>
          <w:lang w:val="de-DE"/>
        </w:rPr>
        <w:t>ir</w:t>
      </w:r>
      <w:proofErr w:type="spellEnd"/>
      <w:r w:rsidRPr="00565D81">
        <w:rPr>
          <w:rFonts w:ascii="Times New Roman" w:hAnsi="Times New Roman" w:cs="Times New Roman"/>
          <w:bCs/>
          <w:lang w:val="de-DE"/>
        </w:rPr>
        <w:t xml:space="preserve"> </w:t>
      </w:r>
      <w:proofErr w:type="spellStart"/>
      <w:r w:rsidRPr="00565D81">
        <w:rPr>
          <w:rFonts w:ascii="Times New Roman" w:hAnsi="Times New Roman" w:cs="Times New Roman"/>
          <w:bCs/>
          <w:lang w:val="de-DE"/>
        </w:rPr>
        <w:t>jābūt</w:t>
      </w:r>
      <w:proofErr w:type="spellEnd"/>
      <w:r w:rsidRPr="00565D81">
        <w:rPr>
          <w:rFonts w:ascii="Times New Roman" w:hAnsi="Times New Roman" w:cs="Times New Roman"/>
          <w:bCs/>
          <w:lang w:val="de-DE"/>
        </w:rPr>
        <w:t xml:space="preserve"> </w:t>
      </w:r>
      <w:proofErr w:type="spellStart"/>
      <w:r w:rsidRPr="00565D81">
        <w:rPr>
          <w:rFonts w:ascii="Times New Roman" w:hAnsi="Times New Roman" w:cs="Times New Roman"/>
          <w:bCs/>
          <w:lang w:val="de-DE"/>
        </w:rPr>
        <w:t>tādam</w:t>
      </w:r>
      <w:proofErr w:type="spellEnd"/>
      <w:r w:rsidRPr="00565D81">
        <w:rPr>
          <w:rFonts w:ascii="Times New Roman" w:hAnsi="Times New Roman" w:cs="Times New Roman"/>
          <w:bCs/>
          <w:lang w:val="de-DE"/>
        </w:rPr>
        <w:t xml:space="preserve">, </w:t>
      </w:r>
      <w:proofErr w:type="spellStart"/>
      <w:r w:rsidRPr="00565D81">
        <w:rPr>
          <w:rFonts w:ascii="Times New Roman" w:hAnsi="Times New Roman" w:cs="Times New Roman"/>
          <w:bCs/>
          <w:lang w:val="de-DE"/>
        </w:rPr>
        <w:t>kā</w:t>
      </w:r>
      <w:proofErr w:type="spellEnd"/>
      <w:r w:rsidRPr="00565D81">
        <w:rPr>
          <w:rFonts w:ascii="Times New Roman" w:hAnsi="Times New Roman" w:cs="Times New Roman"/>
          <w:bCs/>
          <w:lang w:val="de-DE"/>
        </w:rPr>
        <w:t xml:space="preserve"> </w:t>
      </w:r>
      <w:proofErr w:type="spellStart"/>
      <w:r w:rsidRPr="00565D81">
        <w:rPr>
          <w:rFonts w:ascii="Times New Roman" w:hAnsi="Times New Roman" w:cs="Times New Roman"/>
          <w:bCs/>
          <w:lang w:val="de-DE"/>
        </w:rPr>
        <w:t>to</w:t>
      </w:r>
      <w:proofErr w:type="spellEnd"/>
      <w:r w:rsidRPr="00565D81">
        <w:rPr>
          <w:rFonts w:ascii="Times New Roman" w:hAnsi="Times New Roman" w:cs="Times New Roman"/>
          <w:bCs/>
          <w:lang w:val="de-DE"/>
        </w:rPr>
        <w:t xml:space="preserve"> </w:t>
      </w:r>
      <w:proofErr w:type="spellStart"/>
      <w:r w:rsidRPr="00565D81">
        <w:rPr>
          <w:rFonts w:ascii="Times New Roman" w:hAnsi="Times New Roman" w:cs="Times New Roman"/>
          <w:bCs/>
          <w:lang w:val="de-DE"/>
        </w:rPr>
        <w:t>prasa</w:t>
      </w:r>
      <w:proofErr w:type="spellEnd"/>
      <w:r w:rsidRPr="00565D81">
        <w:rPr>
          <w:rFonts w:ascii="Times New Roman" w:hAnsi="Times New Roman" w:cs="Times New Roman"/>
          <w:bCs/>
          <w:lang w:val="de-DE"/>
        </w:rPr>
        <w:t xml:space="preserve"> </w:t>
      </w:r>
      <w:proofErr w:type="spellStart"/>
      <w:r w:rsidRPr="00565D81">
        <w:rPr>
          <w:rFonts w:ascii="Times New Roman" w:hAnsi="Times New Roman" w:cs="Times New Roman"/>
          <w:bCs/>
          <w:lang w:val="de-DE"/>
        </w:rPr>
        <w:t>Notariāta</w:t>
      </w:r>
      <w:proofErr w:type="spellEnd"/>
      <w:r w:rsidRPr="00565D81">
        <w:rPr>
          <w:rFonts w:ascii="Times New Roman" w:hAnsi="Times New Roman" w:cs="Times New Roman"/>
          <w:bCs/>
          <w:lang w:val="de-DE"/>
        </w:rPr>
        <w:t xml:space="preserve"> </w:t>
      </w:r>
      <w:proofErr w:type="spellStart"/>
      <w:r w:rsidRPr="00565D81">
        <w:rPr>
          <w:rFonts w:ascii="Times New Roman" w:hAnsi="Times New Roman" w:cs="Times New Roman"/>
          <w:bCs/>
          <w:lang w:val="de-DE"/>
        </w:rPr>
        <w:t>likums</w:t>
      </w:r>
      <w:proofErr w:type="spellEnd"/>
      <w:r w:rsidRPr="00565D81">
        <w:rPr>
          <w:rFonts w:ascii="Times New Roman" w:hAnsi="Times New Roman" w:cs="Times New Roman"/>
          <w:bCs/>
          <w:lang w:val="de-DE"/>
        </w:rPr>
        <w:t xml:space="preserve"> (</w:t>
      </w:r>
      <w:proofErr w:type="spellStart"/>
      <w:r w:rsidRPr="00565D81">
        <w:rPr>
          <w:rFonts w:ascii="Times New Roman" w:hAnsi="Times New Roman" w:cs="Times New Roman"/>
          <w:bCs/>
          <w:lang w:val="de-DE"/>
        </w:rPr>
        <w:t>notariālie</w:t>
      </w:r>
      <w:proofErr w:type="spellEnd"/>
      <w:r w:rsidRPr="00565D81">
        <w:rPr>
          <w:rFonts w:ascii="Times New Roman" w:hAnsi="Times New Roman" w:cs="Times New Roman"/>
          <w:bCs/>
          <w:lang w:val="de-DE"/>
        </w:rPr>
        <w:t xml:space="preserve"> </w:t>
      </w:r>
      <w:proofErr w:type="spellStart"/>
      <w:r w:rsidRPr="00565D81">
        <w:rPr>
          <w:rFonts w:ascii="Times New Roman" w:hAnsi="Times New Roman" w:cs="Times New Roman"/>
          <w:bCs/>
          <w:lang w:val="de-DE"/>
        </w:rPr>
        <w:t>akti</w:t>
      </w:r>
      <w:proofErr w:type="spellEnd"/>
      <w:r w:rsidRPr="00565D81">
        <w:rPr>
          <w:rFonts w:ascii="Times New Roman" w:hAnsi="Times New Roman" w:cs="Times New Roman"/>
          <w:bCs/>
          <w:lang w:val="de-DE"/>
        </w:rPr>
        <w:t xml:space="preserve"> </w:t>
      </w:r>
      <w:proofErr w:type="spellStart"/>
      <w:r w:rsidRPr="00565D81">
        <w:rPr>
          <w:rFonts w:ascii="Times New Roman" w:hAnsi="Times New Roman" w:cs="Times New Roman"/>
          <w:bCs/>
          <w:lang w:val="de-DE"/>
        </w:rPr>
        <w:t>un</w:t>
      </w:r>
      <w:proofErr w:type="spellEnd"/>
      <w:r w:rsidRPr="00565D81">
        <w:rPr>
          <w:rFonts w:ascii="Times New Roman" w:hAnsi="Times New Roman" w:cs="Times New Roman"/>
          <w:bCs/>
          <w:lang w:val="de-DE"/>
        </w:rPr>
        <w:t xml:space="preserve"> </w:t>
      </w:r>
      <w:proofErr w:type="spellStart"/>
      <w:r w:rsidRPr="00565D81">
        <w:rPr>
          <w:rFonts w:ascii="Times New Roman" w:hAnsi="Times New Roman" w:cs="Times New Roman"/>
          <w:bCs/>
          <w:lang w:val="de-DE"/>
        </w:rPr>
        <w:t>apliecinājumi</w:t>
      </w:r>
      <w:proofErr w:type="spellEnd"/>
      <w:r w:rsidRPr="00565D81">
        <w:rPr>
          <w:rFonts w:ascii="Times New Roman" w:hAnsi="Times New Roman" w:cs="Times New Roman"/>
          <w:bCs/>
          <w:lang w:val="de-DE"/>
        </w:rPr>
        <w:t xml:space="preserve">, </w:t>
      </w:r>
      <w:proofErr w:type="spellStart"/>
      <w:r w:rsidRPr="00565D81">
        <w:rPr>
          <w:rFonts w:ascii="Times New Roman" w:hAnsi="Times New Roman" w:cs="Times New Roman"/>
          <w:bCs/>
          <w:lang w:val="de-DE"/>
        </w:rPr>
        <w:t>kurus</w:t>
      </w:r>
      <w:proofErr w:type="spellEnd"/>
      <w:r w:rsidRPr="00565D81">
        <w:rPr>
          <w:rFonts w:ascii="Times New Roman" w:hAnsi="Times New Roman" w:cs="Times New Roman"/>
          <w:bCs/>
          <w:lang w:val="de-DE"/>
        </w:rPr>
        <w:t xml:space="preserve"> </w:t>
      </w:r>
      <w:proofErr w:type="spellStart"/>
      <w:r w:rsidRPr="00565D81">
        <w:rPr>
          <w:rFonts w:ascii="Times New Roman" w:hAnsi="Times New Roman" w:cs="Times New Roman"/>
          <w:bCs/>
          <w:lang w:val="de-DE"/>
        </w:rPr>
        <w:t>taisa</w:t>
      </w:r>
      <w:proofErr w:type="spellEnd"/>
      <w:r w:rsidRPr="00565D81">
        <w:rPr>
          <w:rFonts w:ascii="Times New Roman" w:hAnsi="Times New Roman" w:cs="Times New Roman"/>
          <w:bCs/>
          <w:lang w:val="de-DE"/>
        </w:rPr>
        <w:t xml:space="preserve"> </w:t>
      </w:r>
      <w:proofErr w:type="spellStart"/>
      <w:r w:rsidRPr="00565D81">
        <w:rPr>
          <w:rFonts w:ascii="Times New Roman" w:hAnsi="Times New Roman" w:cs="Times New Roman"/>
          <w:bCs/>
          <w:lang w:val="de-DE"/>
        </w:rPr>
        <w:t>zvērināts</w:t>
      </w:r>
      <w:proofErr w:type="spellEnd"/>
      <w:r w:rsidRPr="00565D81">
        <w:rPr>
          <w:rFonts w:ascii="Times New Roman" w:hAnsi="Times New Roman" w:cs="Times New Roman"/>
          <w:bCs/>
          <w:lang w:val="de-DE"/>
        </w:rPr>
        <w:t xml:space="preserve"> </w:t>
      </w:r>
      <w:proofErr w:type="spellStart"/>
      <w:r w:rsidRPr="00565D81">
        <w:rPr>
          <w:rFonts w:ascii="Times New Roman" w:hAnsi="Times New Roman" w:cs="Times New Roman"/>
          <w:bCs/>
          <w:lang w:val="de-DE"/>
        </w:rPr>
        <w:t>notārs</w:t>
      </w:r>
      <w:proofErr w:type="spellEnd"/>
      <w:r w:rsidRPr="00565D81">
        <w:rPr>
          <w:rFonts w:ascii="Times New Roman" w:hAnsi="Times New Roman" w:cs="Times New Roman"/>
          <w:bCs/>
          <w:lang w:val="de-DE"/>
        </w:rPr>
        <w:t xml:space="preserve">) </w:t>
      </w:r>
      <w:proofErr w:type="spellStart"/>
      <w:r w:rsidRPr="00565D81">
        <w:rPr>
          <w:rFonts w:ascii="Times New Roman" w:hAnsi="Times New Roman" w:cs="Times New Roman"/>
          <w:bCs/>
          <w:lang w:val="de-DE"/>
        </w:rPr>
        <w:t>un</w:t>
      </w:r>
      <w:proofErr w:type="spellEnd"/>
      <w:r w:rsidRPr="00565D81">
        <w:rPr>
          <w:rFonts w:ascii="Times New Roman" w:hAnsi="Times New Roman" w:cs="Times New Roman"/>
          <w:bCs/>
          <w:lang w:val="de-DE"/>
        </w:rPr>
        <w:t>/</w:t>
      </w:r>
      <w:proofErr w:type="spellStart"/>
      <w:r w:rsidRPr="00565D81">
        <w:rPr>
          <w:rFonts w:ascii="Times New Roman" w:hAnsi="Times New Roman" w:cs="Times New Roman"/>
          <w:bCs/>
          <w:lang w:val="de-DE"/>
        </w:rPr>
        <w:t>vai</w:t>
      </w:r>
      <w:proofErr w:type="spellEnd"/>
      <w:r w:rsidRPr="00565D81">
        <w:rPr>
          <w:rFonts w:ascii="Times New Roman" w:hAnsi="Times New Roman" w:cs="Times New Roman"/>
          <w:bCs/>
          <w:lang w:val="de-DE"/>
        </w:rPr>
        <w:t xml:space="preserve"> </w:t>
      </w:r>
      <w:proofErr w:type="spellStart"/>
      <w:r w:rsidRPr="00565D81">
        <w:rPr>
          <w:rFonts w:ascii="Times New Roman" w:hAnsi="Times New Roman" w:cs="Times New Roman"/>
          <w:bCs/>
          <w:lang w:val="de-DE"/>
        </w:rPr>
        <w:t>citi</w:t>
      </w:r>
      <w:proofErr w:type="spellEnd"/>
      <w:r w:rsidRPr="00565D81">
        <w:rPr>
          <w:rFonts w:ascii="Times New Roman" w:hAnsi="Times New Roman" w:cs="Times New Roman"/>
          <w:bCs/>
          <w:lang w:val="de-DE"/>
        </w:rPr>
        <w:t xml:space="preserve"> </w:t>
      </w:r>
      <w:proofErr w:type="spellStart"/>
      <w:r w:rsidRPr="00565D81">
        <w:rPr>
          <w:rFonts w:ascii="Times New Roman" w:hAnsi="Times New Roman" w:cs="Times New Roman"/>
          <w:bCs/>
          <w:lang w:val="de-DE"/>
        </w:rPr>
        <w:t>speciālie</w:t>
      </w:r>
      <w:proofErr w:type="spellEnd"/>
      <w:r w:rsidRPr="00565D81">
        <w:rPr>
          <w:rFonts w:ascii="Times New Roman" w:hAnsi="Times New Roman" w:cs="Times New Roman"/>
          <w:bCs/>
          <w:lang w:val="de-DE"/>
        </w:rPr>
        <w:t xml:space="preserve"> </w:t>
      </w:r>
      <w:proofErr w:type="spellStart"/>
      <w:r w:rsidRPr="00565D81">
        <w:rPr>
          <w:rFonts w:ascii="Times New Roman" w:hAnsi="Times New Roman" w:cs="Times New Roman"/>
          <w:bCs/>
          <w:lang w:val="de-DE"/>
        </w:rPr>
        <w:t>likumi</w:t>
      </w:r>
      <w:proofErr w:type="spellEnd"/>
      <w:r w:rsidRPr="00565D81">
        <w:rPr>
          <w:rFonts w:ascii="Times New Roman" w:hAnsi="Times New Roman" w:cs="Times New Roman"/>
          <w:bCs/>
          <w:lang w:val="de-DE"/>
        </w:rPr>
        <w:t>.</w:t>
      </w:r>
    </w:p>
    <w:p w14:paraId="578C63D2" w14:textId="246D5BF1" w:rsidR="00114953" w:rsidRPr="00565D81" w:rsidRDefault="00114953" w:rsidP="00114953">
      <w:pPr>
        <w:ind w:firstLine="708"/>
        <w:jc w:val="both"/>
        <w:rPr>
          <w:rFonts w:ascii="Times New Roman" w:hAnsi="Times New Roman" w:cs="Times New Roman"/>
          <w:bCs/>
          <w:lang w:val="de-DE"/>
        </w:rPr>
      </w:pPr>
      <w:proofErr w:type="spellStart"/>
      <w:r w:rsidRPr="000C7C76">
        <w:rPr>
          <w:rFonts w:ascii="Times New Roman" w:hAnsi="Times New Roman" w:cs="Times New Roman"/>
          <w:bCs/>
          <w:lang w:val="de-DE"/>
        </w:rPr>
        <w:t>Jāatzīmē</w:t>
      </w:r>
      <w:proofErr w:type="spellEnd"/>
      <w:r w:rsidRPr="000C7C76">
        <w:rPr>
          <w:rFonts w:ascii="Times New Roman" w:hAnsi="Times New Roman" w:cs="Times New Roman"/>
          <w:bCs/>
          <w:lang w:val="de-DE"/>
        </w:rPr>
        <w:t xml:space="preserve">, </w:t>
      </w:r>
      <w:proofErr w:type="spellStart"/>
      <w:r w:rsidRPr="000C7C76">
        <w:rPr>
          <w:rFonts w:ascii="Times New Roman" w:hAnsi="Times New Roman" w:cs="Times New Roman"/>
          <w:bCs/>
          <w:lang w:val="de-DE"/>
        </w:rPr>
        <w:t>ka</w:t>
      </w:r>
      <w:proofErr w:type="spellEnd"/>
      <w:r w:rsidRPr="000C7C76">
        <w:rPr>
          <w:rFonts w:ascii="Times New Roman" w:hAnsi="Times New Roman" w:cs="Times New Roman"/>
          <w:bCs/>
          <w:lang w:val="de-DE"/>
        </w:rPr>
        <w:t xml:space="preserve"> </w:t>
      </w:r>
      <w:proofErr w:type="spellStart"/>
      <w:r w:rsidRPr="000C7C76">
        <w:rPr>
          <w:rFonts w:ascii="Times New Roman" w:hAnsi="Times New Roman" w:cs="Times New Roman"/>
          <w:bCs/>
          <w:lang w:val="de-DE"/>
        </w:rPr>
        <w:t>Latvijā</w:t>
      </w:r>
      <w:proofErr w:type="spellEnd"/>
      <w:r w:rsidRPr="000C7C76">
        <w:rPr>
          <w:rFonts w:ascii="Times New Roman" w:hAnsi="Times New Roman" w:cs="Times New Roman"/>
          <w:bCs/>
          <w:lang w:val="de-DE"/>
        </w:rPr>
        <w:t xml:space="preserve"> </w:t>
      </w:r>
      <w:proofErr w:type="spellStart"/>
      <w:r w:rsidRPr="000C7C76">
        <w:rPr>
          <w:rFonts w:ascii="Times New Roman" w:hAnsi="Times New Roman" w:cs="Times New Roman"/>
          <w:bCs/>
          <w:lang w:val="de-DE"/>
        </w:rPr>
        <w:t>nevar</w:t>
      </w:r>
      <w:proofErr w:type="spellEnd"/>
      <w:r w:rsidRPr="000C7C76">
        <w:rPr>
          <w:rFonts w:ascii="Times New Roman" w:hAnsi="Times New Roman" w:cs="Times New Roman"/>
          <w:bCs/>
          <w:lang w:val="de-DE"/>
        </w:rPr>
        <w:t xml:space="preserve"> </w:t>
      </w:r>
      <w:proofErr w:type="spellStart"/>
      <w:r w:rsidRPr="000C7C76">
        <w:rPr>
          <w:rFonts w:ascii="Times New Roman" w:hAnsi="Times New Roman" w:cs="Times New Roman"/>
          <w:bCs/>
          <w:lang w:val="de-DE"/>
        </w:rPr>
        <w:t>atteikt</w:t>
      </w:r>
      <w:proofErr w:type="spellEnd"/>
      <w:r w:rsidRPr="000C7C76">
        <w:rPr>
          <w:rFonts w:ascii="Times New Roman" w:hAnsi="Times New Roman" w:cs="Times New Roman"/>
          <w:bCs/>
          <w:lang w:val="de-DE"/>
        </w:rPr>
        <w:t xml:space="preserve"> </w:t>
      </w:r>
      <w:proofErr w:type="spellStart"/>
      <w:r w:rsidRPr="000C7C76">
        <w:rPr>
          <w:rFonts w:ascii="Times New Roman" w:hAnsi="Times New Roman" w:cs="Times New Roman"/>
          <w:bCs/>
          <w:lang w:val="de-DE"/>
        </w:rPr>
        <w:t>pieņemt</w:t>
      </w:r>
      <w:proofErr w:type="spellEnd"/>
      <w:r w:rsidRPr="000C7C76">
        <w:rPr>
          <w:rFonts w:ascii="Times New Roman" w:hAnsi="Times New Roman" w:cs="Times New Roman"/>
          <w:bCs/>
          <w:lang w:val="de-DE"/>
        </w:rPr>
        <w:t xml:space="preserve"> </w:t>
      </w:r>
      <w:proofErr w:type="spellStart"/>
      <w:r w:rsidRPr="000C7C76">
        <w:rPr>
          <w:rFonts w:ascii="Times New Roman" w:hAnsi="Times New Roman" w:cs="Times New Roman"/>
          <w:bCs/>
          <w:lang w:val="de-DE"/>
        </w:rPr>
        <w:t>ar</w:t>
      </w:r>
      <w:proofErr w:type="spellEnd"/>
      <w:r w:rsidRPr="000C7C76">
        <w:rPr>
          <w:rFonts w:ascii="Times New Roman" w:hAnsi="Times New Roman" w:cs="Times New Roman"/>
          <w:bCs/>
          <w:lang w:val="de-DE"/>
        </w:rPr>
        <w:t xml:space="preserve"> </w:t>
      </w:r>
      <w:r w:rsidRPr="000C7C76">
        <w:rPr>
          <w:rFonts w:ascii="Times New Roman" w:hAnsi="Times New Roman" w:cs="Times New Roman"/>
          <w:bCs/>
          <w:i/>
          <w:iCs/>
          <w:lang w:val="de-DE"/>
        </w:rPr>
        <w:t xml:space="preserve">Apostille </w:t>
      </w:r>
      <w:proofErr w:type="spellStart"/>
      <w:r w:rsidRPr="000C7C76">
        <w:rPr>
          <w:rFonts w:ascii="Times New Roman" w:hAnsi="Times New Roman" w:cs="Times New Roman"/>
          <w:bCs/>
          <w:lang w:val="de-DE"/>
        </w:rPr>
        <w:t>legalizētu</w:t>
      </w:r>
      <w:proofErr w:type="spellEnd"/>
      <w:r w:rsidRPr="000C7C76">
        <w:rPr>
          <w:rFonts w:ascii="Times New Roman" w:hAnsi="Times New Roman" w:cs="Times New Roman"/>
          <w:bCs/>
          <w:lang w:val="de-DE"/>
        </w:rPr>
        <w:t xml:space="preserve"> </w:t>
      </w:r>
      <w:proofErr w:type="spellStart"/>
      <w:r w:rsidRPr="000C7C76">
        <w:rPr>
          <w:rFonts w:ascii="Times New Roman" w:hAnsi="Times New Roman" w:cs="Times New Roman"/>
          <w:bCs/>
          <w:lang w:val="de-DE"/>
        </w:rPr>
        <w:t>ārvalsts</w:t>
      </w:r>
      <w:proofErr w:type="spellEnd"/>
      <w:r w:rsidRPr="000C7C76">
        <w:rPr>
          <w:rFonts w:ascii="Times New Roman" w:hAnsi="Times New Roman" w:cs="Times New Roman"/>
          <w:bCs/>
          <w:lang w:val="de-DE"/>
        </w:rPr>
        <w:t xml:space="preserve"> </w:t>
      </w:r>
      <w:proofErr w:type="spellStart"/>
      <w:r w:rsidRPr="000C7C76">
        <w:rPr>
          <w:rFonts w:ascii="Times New Roman" w:hAnsi="Times New Roman" w:cs="Times New Roman"/>
          <w:bCs/>
          <w:lang w:val="de-DE"/>
        </w:rPr>
        <w:t>dokumentu</w:t>
      </w:r>
      <w:proofErr w:type="spellEnd"/>
      <w:r w:rsidRPr="000C7C76">
        <w:rPr>
          <w:rFonts w:ascii="Times New Roman" w:hAnsi="Times New Roman" w:cs="Times New Roman"/>
          <w:bCs/>
          <w:lang w:val="de-DE"/>
        </w:rPr>
        <w:t xml:space="preserve"> </w:t>
      </w:r>
      <w:proofErr w:type="spellStart"/>
      <w:r w:rsidRPr="000C7C76">
        <w:rPr>
          <w:rFonts w:ascii="Times New Roman" w:hAnsi="Times New Roman" w:cs="Times New Roman"/>
          <w:bCs/>
          <w:lang w:val="de-DE"/>
        </w:rPr>
        <w:t>tikai</w:t>
      </w:r>
      <w:proofErr w:type="spellEnd"/>
      <w:r w:rsidRPr="000C7C76">
        <w:rPr>
          <w:rFonts w:ascii="Times New Roman" w:hAnsi="Times New Roman" w:cs="Times New Roman"/>
          <w:bCs/>
          <w:lang w:val="de-DE"/>
        </w:rPr>
        <w:t xml:space="preserve"> </w:t>
      </w:r>
      <w:proofErr w:type="spellStart"/>
      <w:r w:rsidRPr="000C7C76">
        <w:rPr>
          <w:rFonts w:ascii="Times New Roman" w:hAnsi="Times New Roman" w:cs="Times New Roman"/>
          <w:bCs/>
          <w:lang w:val="de-DE"/>
        </w:rPr>
        <w:t>tādēļ</w:t>
      </w:r>
      <w:proofErr w:type="spellEnd"/>
      <w:r w:rsidRPr="000C7C76">
        <w:rPr>
          <w:rFonts w:ascii="Times New Roman" w:hAnsi="Times New Roman" w:cs="Times New Roman"/>
          <w:bCs/>
          <w:lang w:val="de-DE"/>
        </w:rPr>
        <w:t xml:space="preserve">, </w:t>
      </w:r>
      <w:proofErr w:type="spellStart"/>
      <w:r w:rsidRPr="000C7C76">
        <w:rPr>
          <w:rFonts w:ascii="Times New Roman" w:hAnsi="Times New Roman" w:cs="Times New Roman"/>
          <w:bCs/>
          <w:lang w:val="de-DE"/>
        </w:rPr>
        <w:t>ka</w:t>
      </w:r>
      <w:proofErr w:type="spellEnd"/>
      <w:r w:rsidRPr="000C7C76">
        <w:rPr>
          <w:rFonts w:ascii="Times New Roman" w:hAnsi="Times New Roman" w:cs="Times New Roman"/>
          <w:bCs/>
          <w:lang w:val="de-DE"/>
        </w:rPr>
        <w:t xml:space="preserve"> </w:t>
      </w:r>
      <w:proofErr w:type="spellStart"/>
      <w:r w:rsidRPr="000C7C76">
        <w:rPr>
          <w:rFonts w:ascii="Times New Roman" w:hAnsi="Times New Roman" w:cs="Times New Roman"/>
          <w:bCs/>
          <w:lang w:val="de-DE"/>
        </w:rPr>
        <w:t>Latvijā</w:t>
      </w:r>
      <w:proofErr w:type="spellEnd"/>
      <w:r w:rsidRPr="000C7C76">
        <w:rPr>
          <w:rFonts w:ascii="Times New Roman" w:hAnsi="Times New Roman" w:cs="Times New Roman"/>
          <w:bCs/>
          <w:lang w:val="de-DE"/>
        </w:rPr>
        <w:t xml:space="preserve"> </w:t>
      </w:r>
      <w:proofErr w:type="spellStart"/>
      <w:r w:rsidRPr="000C7C76">
        <w:rPr>
          <w:rFonts w:ascii="Times New Roman" w:hAnsi="Times New Roman" w:cs="Times New Roman"/>
          <w:bCs/>
          <w:lang w:val="de-DE"/>
        </w:rPr>
        <w:t>šādus</w:t>
      </w:r>
      <w:proofErr w:type="spellEnd"/>
      <w:r w:rsidRPr="000C7C76">
        <w:rPr>
          <w:rFonts w:ascii="Times New Roman" w:hAnsi="Times New Roman" w:cs="Times New Roman"/>
          <w:bCs/>
          <w:lang w:val="de-DE"/>
        </w:rPr>
        <w:t xml:space="preserve"> </w:t>
      </w:r>
      <w:proofErr w:type="spellStart"/>
      <w:r w:rsidRPr="000C7C76">
        <w:rPr>
          <w:rFonts w:ascii="Times New Roman" w:hAnsi="Times New Roman" w:cs="Times New Roman"/>
          <w:bCs/>
          <w:lang w:val="de-DE"/>
        </w:rPr>
        <w:t>dokumentus</w:t>
      </w:r>
      <w:proofErr w:type="spellEnd"/>
      <w:r w:rsidRPr="000C7C76">
        <w:rPr>
          <w:rFonts w:ascii="Times New Roman" w:hAnsi="Times New Roman" w:cs="Times New Roman"/>
          <w:bCs/>
          <w:lang w:val="de-DE"/>
        </w:rPr>
        <w:t xml:space="preserve"> </w:t>
      </w:r>
      <w:proofErr w:type="spellStart"/>
      <w:r w:rsidRPr="000C7C76">
        <w:rPr>
          <w:rFonts w:ascii="Times New Roman" w:hAnsi="Times New Roman" w:cs="Times New Roman"/>
          <w:bCs/>
          <w:lang w:val="de-DE"/>
        </w:rPr>
        <w:t>neuzskata</w:t>
      </w:r>
      <w:proofErr w:type="spellEnd"/>
      <w:r w:rsidRPr="000C7C76">
        <w:rPr>
          <w:rFonts w:ascii="Times New Roman" w:hAnsi="Times New Roman" w:cs="Times New Roman"/>
          <w:bCs/>
          <w:lang w:val="de-DE"/>
        </w:rPr>
        <w:t xml:space="preserve"> par </w:t>
      </w:r>
      <w:proofErr w:type="spellStart"/>
      <w:r w:rsidRPr="000C7C76">
        <w:rPr>
          <w:rFonts w:ascii="Times New Roman" w:hAnsi="Times New Roman" w:cs="Times New Roman"/>
          <w:bCs/>
          <w:lang w:val="de-DE"/>
        </w:rPr>
        <w:t>publiskiem</w:t>
      </w:r>
      <w:proofErr w:type="spellEnd"/>
      <w:r w:rsidRPr="000C7C76">
        <w:rPr>
          <w:rFonts w:ascii="Times New Roman" w:hAnsi="Times New Roman" w:cs="Times New Roman"/>
          <w:bCs/>
          <w:lang w:val="de-DE"/>
        </w:rPr>
        <w:t xml:space="preserve"> </w:t>
      </w:r>
      <w:proofErr w:type="spellStart"/>
      <w:r w:rsidRPr="000C7C76">
        <w:rPr>
          <w:rFonts w:ascii="Times New Roman" w:hAnsi="Times New Roman" w:cs="Times New Roman"/>
          <w:bCs/>
          <w:lang w:val="de-DE"/>
        </w:rPr>
        <w:t>dokumentiem</w:t>
      </w:r>
      <w:proofErr w:type="spellEnd"/>
      <w:r w:rsidRPr="000C7C76">
        <w:rPr>
          <w:rFonts w:ascii="Times New Roman" w:hAnsi="Times New Roman" w:cs="Times New Roman"/>
          <w:bCs/>
          <w:lang w:val="de-DE"/>
        </w:rPr>
        <w:t xml:space="preserve">. </w:t>
      </w:r>
      <w:proofErr w:type="spellStart"/>
      <w:r w:rsidRPr="000C7C76">
        <w:rPr>
          <w:rFonts w:ascii="Times New Roman" w:hAnsi="Times New Roman" w:cs="Times New Roman"/>
          <w:bCs/>
          <w:lang w:val="de-DE"/>
        </w:rPr>
        <w:t>Taču</w:t>
      </w:r>
      <w:proofErr w:type="spellEnd"/>
      <w:r w:rsidRPr="000C7C76">
        <w:rPr>
          <w:rFonts w:ascii="Times New Roman" w:hAnsi="Times New Roman" w:cs="Times New Roman"/>
          <w:bCs/>
          <w:lang w:val="de-DE"/>
        </w:rPr>
        <w:t xml:space="preserve"> </w:t>
      </w:r>
      <w:proofErr w:type="spellStart"/>
      <w:r w:rsidRPr="000C7C76">
        <w:rPr>
          <w:rFonts w:ascii="Times New Roman" w:hAnsi="Times New Roman" w:cs="Times New Roman"/>
          <w:bCs/>
          <w:lang w:val="de-DE"/>
        </w:rPr>
        <w:t>Latvija</w:t>
      </w:r>
      <w:proofErr w:type="spellEnd"/>
      <w:r w:rsidRPr="000C7C76">
        <w:rPr>
          <w:rFonts w:ascii="Times New Roman" w:hAnsi="Times New Roman" w:cs="Times New Roman"/>
          <w:bCs/>
          <w:lang w:val="de-DE"/>
        </w:rPr>
        <w:t xml:space="preserve"> </w:t>
      </w:r>
      <w:proofErr w:type="spellStart"/>
      <w:r w:rsidRPr="000C7C76">
        <w:rPr>
          <w:rFonts w:ascii="Times New Roman" w:hAnsi="Times New Roman" w:cs="Times New Roman"/>
          <w:bCs/>
          <w:lang w:val="de-DE"/>
        </w:rPr>
        <w:t>kā</w:t>
      </w:r>
      <w:proofErr w:type="spellEnd"/>
      <w:r w:rsidRPr="000C7C76">
        <w:rPr>
          <w:rFonts w:ascii="Times New Roman" w:hAnsi="Times New Roman" w:cs="Times New Roman"/>
          <w:bCs/>
          <w:lang w:val="de-DE"/>
        </w:rPr>
        <w:t xml:space="preserve"> </w:t>
      </w:r>
      <w:proofErr w:type="spellStart"/>
      <w:r w:rsidRPr="000C7C76">
        <w:rPr>
          <w:rFonts w:ascii="Times New Roman" w:hAnsi="Times New Roman" w:cs="Times New Roman"/>
          <w:bCs/>
          <w:lang w:val="de-DE"/>
        </w:rPr>
        <w:t>dokumenta</w:t>
      </w:r>
      <w:proofErr w:type="spellEnd"/>
      <w:r w:rsidRPr="000C7C76">
        <w:rPr>
          <w:rFonts w:ascii="Times New Roman" w:hAnsi="Times New Roman" w:cs="Times New Roman"/>
          <w:bCs/>
          <w:lang w:val="de-DE"/>
        </w:rPr>
        <w:t xml:space="preserve"> </w:t>
      </w:r>
      <w:proofErr w:type="spellStart"/>
      <w:r w:rsidRPr="000C7C76">
        <w:rPr>
          <w:rFonts w:ascii="Times New Roman" w:hAnsi="Times New Roman" w:cs="Times New Roman"/>
          <w:bCs/>
          <w:lang w:val="de-DE"/>
        </w:rPr>
        <w:t>saņēmējvalsts</w:t>
      </w:r>
      <w:proofErr w:type="spellEnd"/>
      <w:r w:rsidRPr="000C7C76">
        <w:rPr>
          <w:rFonts w:ascii="Times New Roman" w:hAnsi="Times New Roman" w:cs="Times New Roman"/>
          <w:bCs/>
          <w:lang w:val="de-DE"/>
        </w:rPr>
        <w:t xml:space="preserve"> </w:t>
      </w:r>
      <w:proofErr w:type="spellStart"/>
      <w:r w:rsidRPr="000C7C76">
        <w:rPr>
          <w:rFonts w:ascii="Times New Roman" w:hAnsi="Times New Roman" w:cs="Times New Roman"/>
          <w:bCs/>
          <w:lang w:val="de-DE"/>
        </w:rPr>
        <w:t>var</w:t>
      </w:r>
      <w:proofErr w:type="spellEnd"/>
      <w:r w:rsidRPr="000C7C76">
        <w:rPr>
          <w:rFonts w:ascii="Times New Roman" w:hAnsi="Times New Roman" w:cs="Times New Roman"/>
          <w:bCs/>
          <w:lang w:val="de-DE"/>
        </w:rPr>
        <w:t xml:space="preserve"> </w:t>
      </w:r>
      <w:proofErr w:type="spellStart"/>
      <w:r w:rsidRPr="000C7C76">
        <w:rPr>
          <w:rFonts w:ascii="Times New Roman" w:hAnsi="Times New Roman" w:cs="Times New Roman"/>
          <w:bCs/>
          <w:lang w:val="de-DE"/>
        </w:rPr>
        <w:t>noteikt</w:t>
      </w:r>
      <w:proofErr w:type="spellEnd"/>
      <w:r w:rsidRPr="000C7C76">
        <w:rPr>
          <w:rFonts w:ascii="Times New Roman" w:hAnsi="Times New Roman" w:cs="Times New Roman"/>
          <w:bCs/>
          <w:lang w:val="de-DE"/>
        </w:rPr>
        <w:t xml:space="preserve"> </w:t>
      </w:r>
      <w:proofErr w:type="spellStart"/>
      <w:r w:rsidRPr="000C7C76">
        <w:rPr>
          <w:rFonts w:ascii="Times New Roman" w:hAnsi="Times New Roman" w:cs="Times New Roman"/>
          <w:bCs/>
          <w:lang w:val="de-DE"/>
        </w:rPr>
        <w:t>šāda</w:t>
      </w:r>
      <w:proofErr w:type="spellEnd"/>
      <w:r w:rsidRPr="000C7C76">
        <w:rPr>
          <w:rFonts w:ascii="Times New Roman" w:hAnsi="Times New Roman" w:cs="Times New Roman"/>
          <w:bCs/>
          <w:lang w:val="de-DE"/>
        </w:rPr>
        <w:t xml:space="preserve"> </w:t>
      </w:r>
      <w:proofErr w:type="spellStart"/>
      <w:r w:rsidRPr="000C7C76">
        <w:rPr>
          <w:rFonts w:ascii="Times New Roman" w:hAnsi="Times New Roman" w:cs="Times New Roman"/>
          <w:bCs/>
          <w:lang w:val="de-DE"/>
        </w:rPr>
        <w:t>dokumenta</w:t>
      </w:r>
      <w:proofErr w:type="spellEnd"/>
      <w:r w:rsidRPr="000C7C76">
        <w:rPr>
          <w:rFonts w:ascii="Times New Roman" w:hAnsi="Times New Roman" w:cs="Times New Roman"/>
          <w:bCs/>
          <w:lang w:val="de-DE"/>
        </w:rPr>
        <w:t xml:space="preserve"> </w:t>
      </w:r>
      <w:proofErr w:type="spellStart"/>
      <w:r w:rsidRPr="000C7C76">
        <w:rPr>
          <w:rFonts w:ascii="Times New Roman" w:hAnsi="Times New Roman" w:cs="Times New Roman"/>
          <w:bCs/>
          <w:lang w:val="de-DE"/>
        </w:rPr>
        <w:t>pieļaujamību</w:t>
      </w:r>
      <w:proofErr w:type="spellEnd"/>
      <w:r w:rsidRPr="000C7C76">
        <w:rPr>
          <w:rFonts w:ascii="Times New Roman" w:hAnsi="Times New Roman" w:cs="Times New Roman"/>
          <w:bCs/>
          <w:lang w:val="de-DE"/>
        </w:rPr>
        <w:t xml:space="preserve"> </w:t>
      </w:r>
      <w:proofErr w:type="spellStart"/>
      <w:r w:rsidRPr="000C7C76">
        <w:rPr>
          <w:rFonts w:ascii="Times New Roman" w:hAnsi="Times New Roman" w:cs="Times New Roman"/>
          <w:bCs/>
          <w:lang w:val="de-DE"/>
        </w:rPr>
        <w:t>vienā</w:t>
      </w:r>
      <w:proofErr w:type="spellEnd"/>
      <w:r w:rsidRPr="000C7C76">
        <w:rPr>
          <w:rFonts w:ascii="Times New Roman" w:hAnsi="Times New Roman" w:cs="Times New Roman"/>
          <w:bCs/>
          <w:lang w:val="de-DE"/>
        </w:rPr>
        <w:t xml:space="preserve"> </w:t>
      </w:r>
      <w:proofErr w:type="spellStart"/>
      <w:r w:rsidRPr="000C7C76">
        <w:rPr>
          <w:rFonts w:ascii="Times New Roman" w:hAnsi="Times New Roman" w:cs="Times New Roman"/>
          <w:bCs/>
          <w:lang w:val="de-DE"/>
        </w:rPr>
        <w:t>vai</w:t>
      </w:r>
      <w:proofErr w:type="spellEnd"/>
      <w:r w:rsidRPr="000C7C76">
        <w:rPr>
          <w:rFonts w:ascii="Times New Roman" w:hAnsi="Times New Roman" w:cs="Times New Roman"/>
          <w:bCs/>
          <w:lang w:val="de-DE"/>
        </w:rPr>
        <w:t xml:space="preserve"> </w:t>
      </w:r>
      <w:proofErr w:type="spellStart"/>
      <w:r w:rsidRPr="000C7C76">
        <w:rPr>
          <w:rFonts w:ascii="Times New Roman" w:hAnsi="Times New Roman" w:cs="Times New Roman"/>
          <w:bCs/>
          <w:lang w:val="de-DE"/>
        </w:rPr>
        <w:t>otrā</w:t>
      </w:r>
      <w:proofErr w:type="spellEnd"/>
      <w:r w:rsidRPr="000C7C76">
        <w:rPr>
          <w:rFonts w:ascii="Times New Roman" w:hAnsi="Times New Roman" w:cs="Times New Roman"/>
          <w:bCs/>
          <w:lang w:val="de-DE"/>
        </w:rPr>
        <w:t xml:space="preserve"> </w:t>
      </w:r>
      <w:proofErr w:type="spellStart"/>
      <w:r w:rsidRPr="000C7C76">
        <w:rPr>
          <w:rFonts w:ascii="Times New Roman" w:hAnsi="Times New Roman" w:cs="Times New Roman"/>
          <w:bCs/>
          <w:lang w:val="de-DE"/>
        </w:rPr>
        <w:t>procesā</w:t>
      </w:r>
      <w:proofErr w:type="spellEnd"/>
      <w:r w:rsidRPr="000C7C76">
        <w:rPr>
          <w:rFonts w:ascii="Times New Roman" w:hAnsi="Times New Roman" w:cs="Times New Roman"/>
          <w:bCs/>
          <w:lang w:val="de-DE"/>
        </w:rPr>
        <w:t>.</w:t>
      </w:r>
      <w:r w:rsidRPr="00565D81">
        <w:rPr>
          <w:rStyle w:val="FootnoteReference"/>
          <w:rFonts w:ascii="Times New Roman" w:hAnsi="Times New Roman" w:cs="Times New Roman"/>
          <w:bCs/>
        </w:rPr>
        <w:footnoteReference w:id="121"/>
      </w:r>
      <w:r w:rsidRPr="000C7C76">
        <w:rPr>
          <w:rFonts w:ascii="Times New Roman" w:hAnsi="Times New Roman" w:cs="Times New Roman"/>
          <w:bCs/>
          <w:lang w:val="de-DE"/>
        </w:rPr>
        <w:t xml:space="preserve"> </w:t>
      </w:r>
      <w:proofErr w:type="spellStart"/>
      <w:r w:rsidRPr="000C7C76">
        <w:rPr>
          <w:rFonts w:ascii="Times New Roman" w:hAnsi="Times New Roman" w:cs="Times New Roman"/>
          <w:bCs/>
          <w:lang w:val="de-DE"/>
        </w:rPr>
        <w:t>Piemēram</w:t>
      </w:r>
      <w:proofErr w:type="spellEnd"/>
      <w:r w:rsidRPr="000C7C76">
        <w:rPr>
          <w:rFonts w:ascii="Times New Roman" w:hAnsi="Times New Roman" w:cs="Times New Roman"/>
          <w:bCs/>
          <w:lang w:val="de-DE"/>
        </w:rPr>
        <w:t xml:space="preserve">, ja </w:t>
      </w:r>
      <w:proofErr w:type="spellStart"/>
      <w:r w:rsidRPr="000C7C76">
        <w:rPr>
          <w:rFonts w:ascii="Times New Roman" w:hAnsi="Times New Roman" w:cs="Times New Roman"/>
          <w:bCs/>
          <w:lang w:val="de-DE"/>
        </w:rPr>
        <w:t>Notariāta</w:t>
      </w:r>
      <w:proofErr w:type="spellEnd"/>
      <w:r w:rsidRPr="000C7C76">
        <w:rPr>
          <w:rFonts w:ascii="Times New Roman" w:hAnsi="Times New Roman" w:cs="Times New Roman"/>
          <w:bCs/>
          <w:lang w:val="de-DE"/>
        </w:rPr>
        <w:t xml:space="preserve"> </w:t>
      </w:r>
      <w:proofErr w:type="spellStart"/>
      <w:r w:rsidRPr="000C7C76">
        <w:rPr>
          <w:rFonts w:ascii="Times New Roman" w:hAnsi="Times New Roman" w:cs="Times New Roman"/>
          <w:bCs/>
          <w:lang w:val="de-DE"/>
        </w:rPr>
        <w:t>likuma</w:t>
      </w:r>
      <w:proofErr w:type="spellEnd"/>
      <w:r w:rsidRPr="000C7C76">
        <w:rPr>
          <w:rFonts w:ascii="Times New Roman" w:hAnsi="Times New Roman" w:cs="Times New Roman"/>
          <w:bCs/>
          <w:lang w:val="de-DE"/>
        </w:rPr>
        <w:t xml:space="preserve"> 83.panta </w:t>
      </w:r>
      <w:proofErr w:type="spellStart"/>
      <w:r w:rsidRPr="000C7C76">
        <w:rPr>
          <w:rFonts w:ascii="Times New Roman" w:hAnsi="Times New Roman" w:cs="Times New Roman"/>
          <w:bCs/>
          <w:lang w:val="de-DE"/>
        </w:rPr>
        <w:t>otrā</w:t>
      </w:r>
      <w:proofErr w:type="spellEnd"/>
      <w:r w:rsidRPr="000C7C76">
        <w:rPr>
          <w:rFonts w:ascii="Times New Roman" w:hAnsi="Times New Roman" w:cs="Times New Roman"/>
          <w:bCs/>
          <w:lang w:val="de-DE"/>
        </w:rPr>
        <w:t xml:space="preserve"> </w:t>
      </w:r>
      <w:proofErr w:type="spellStart"/>
      <w:r w:rsidRPr="000C7C76">
        <w:rPr>
          <w:rFonts w:ascii="Times New Roman" w:hAnsi="Times New Roman" w:cs="Times New Roman"/>
          <w:bCs/>
          <w:lang w:val="de-DE"/>
        </w:rPr>
        <w:t>daļa</w:t>
      </w:r>
      <w:proofErr w:type="spellEnd"/>
      <w:r w:rsidRPr="000C7C76">
        <w:rPr>
          <w:rFonts w:ascii="Times New Roman" w:hAnsi="Times New Roman" w:cs="Times New Roman"/>
          <w:bCs/>
          <w:lang w:val="de-DE"/>
        </w:rPr>
        <w:t xml:space="preserve"> </w:t>
      </w:r>
      <w:proofErr w:type="spellStart"/>
      <w:r w:rsidRPr="000C7C76">
        <w:rPr>
          <w:rFonts w:ascii="Times New Roman" w:hAnsi="Times New Roman" w:cs="Times New Roman"/>
          <w:bCs/>
          <w:lang w:val="de-DE"/>
        </w:rPr>
        <w:t>paredz</w:t>
      </w:r>
      <w:proofErr w:type="spellEnd"/>
      <w:r w:rsidRPr="000C7C76">
        <w:rPr>
          <w:rFonts w:ascii="Times New Roman" w:hAnsi="Times New Roman" w:cs="Times New Roman"/>
          <w:bCs/>
          <w:lang w:val="de-DE"/>
        </w:rPr>
        <w:t xml:space="preserve">, </w:t>
      </w:r>
      <w:proofErr w:type="spellStart"/>
      <w:r w:rsidRPr="000C7C76">
        <w:rPr>
          <w:rFonts w:ascii="Times New Roman" w:hAnsi="Times New Roman" w:cs="Times New Roman"/>
          <w:bCs/>
          <w:lang w:val="de-DE"/>
        </w:rPr>
        <w:t>ka</w:t>
      </w:r>
      <w:proofErr w:type="spellEnd"/>
      <w:r w:rsidRPr="000C7C76">
        <w:rPr>
          <w:rFonts w:ascii="Times New Roman" w:hAnsi="Times New Roman" w:cs="Times New Roman"/>
          <w:bCs/>
          <w:lang w:val="de-DE"/>
        </w:rPr>
        <w:t xml:space="preserve"> </w:t>
      </w:r>
      <w:proofErr w:type="spellStart"/>
      <w:r w:rsidRPr="000C7C76">
        <w:rPr>
          <w:rFonts w:ascii="Times New Roman" w:hAnsi="Times New Roman" w:cs="Times New Roman"/>
          <w:bCs/>
          <w:lang w:val="de-DE"/>
        </w:rPr>
        <w:t>notārs</w:t>
      </w:r>
      <w:proofErr w:type="spellEnd"/>
      <w:r w:rsidRPr="000C7C76">
        <w:rPr>
          <w:rFonts w:ascii="Times New Roman" w:hAnsi="Times New Roman" w:cs="Times New Roman"/>
          <w:bCs/>
          <w:lang w:val="de-DE"/>
        </w:rPr>
        <w:t xml:space="preserve"> </w:t>
      </w:r>
      <w:proofErr w:type="spellStart"/>
      <w:r w:rsidRPr="000C7C76">
        <w:rPr>
          <w:rFonts w:ascii="Times New Roman" w:hAnsi="Times New Roman" w:cs="Times New Roman"/>
          <w:bCs/>
          <w:lang w:val="de-DE"/>
        </w:rPr>
        <w:t>sava</w:t>
      </w:r>
      <w:proofErr w:type="spellEnd"/>
      <w:r w:rsidRPr="000C7C76">
        <w:rPr>
          <w:rFonts w:ascii="Times New Roman" w:hAnsi="Times New Roman" w:cs="Times New Roman"/>
          <w:bCs/>
          <w:lang w:val="de-DE"/>
        </w:rPr>
        <w:t xml:space="preserve"> </w:t>
      </w:r>
      <w:proofErr w:type="spellStart"/>
      <w:r w:rsidRPr="000C7C76">
        <w:rPr>
          <w:rFonts w:ascii="Times New Roman" w:hAnsi="Times New Roman" w:cs="Times New Roman"/>
          <w:bCs/>
          <w:lang w:val="de-DE"/>
        </w:rPr>
        <w:t>darba</w:t>
      </w:r>
      <w:proofErr w:type="spellEnd"/>
      <w:r w:rsidRPr="000C7C76">
        <w:rPr>
          <w:rFonts w:ascii="Times New Roman" w:hAnsi="Times New Roman" w:cs="Times New Roman"/>
          <w:bCs/>
          <w:lang w:val="de-DE"/>
        </w:rPr>
        <w:t xml:space="preserve"> </w:t>
      </w:r>
      <w:proofErr w:type="spellStart"/>
      <w:r w:rsidRPr="000C7C76">
        <w:rPr>
          <w:rFonts w:ascii="Times New Roman" w:hAnsi="Times New Roman" w:cs="Times New Roman"/>
          <w:bCs/>
          <w:lang w:val="de-DE"/>
        </w:rPr>
        <w:t>procesā</w:t>
      </w:r>
      <w:proofErr w:type="spellEnd"/>
      <w:r w:rsidRPr="000C7C76">
        <w:rPr>
          <w:rFonts w:ascii="Times New Roman" w:hAnsi="Times New Roman" w:cs="Times New Roman"/>
          <w:bCs/>
          <w:lang w:val="de-DE"/>
        </w:rPr>
        <w:t xml:space="preserve"> </w:t>
      </w:r>
      <w:proofErr w:type="spellStart"/>
      <w:r w:rsidRPr="000C7C76">
        <w:rPr>
          <w:rFonts w:ascii="Times New Roman" w:hAnsi="Times New Roman" w:cs="Times New Roman"/>
          <w:bCs/>
          <w:lang w:val="de-DE"/>
        </w:rPr>
        <w:t>pārbauda</w:t>
      </w:r>
      <w:proofErr w:type="spellEnd"/>
      <w:r w:rsidRPr="000C7C76">
        <w:rPr>
          <w:rFonts w:ascii="Times New Roman" w:hAnsi="Times New Roman" w:cs="Times New Roman"/>
          <w:bCs/>
          <w:lang w:val="de-DE"/>
        </w:rPr>
        <w:t xml:space="preserve"> </w:t>
      </w:r>
      <w:proofErr w:type="spellStart"/>
      <w:r w:rsidRPr="000C7C76">
        <w:rPr>
          <w:rFonts w:ascii="Times New Roman" w:hAnsi="Times New Roman" w:cs="Times New Roman"/>
          <w:bCs/>
          <w:lang w:val="de-DE"/>
        </w:rPr>
        <w:t>pārstāvības</w:t>
      </w:r>
      <w:proofErr w:type="spellEnd"/>
      <w:r w:rsidRPr="000C7C76">
        <w:rPr>
          <w:rFonts w:ascii="Times New Roman" w:hAnsi="Times New Roman" w:cs="Times New Roman"/>
          <w:bCs/>
          <w:lang w:val="de-DE"/>
        </w:rPr>
        <w:t xml:space="preserve"> </w:t>
      </w:r>
      <w:proofErr w:type="spellStart"/>
      <w:r w:rsidRPr="000C7C76">
        <w:rPr>
          <w:rFonts w:ascii="Times New Roman" w:hAnsi="Times New Roman" w:cs="Times New Roman"/>
          <w:bCs/>
          <w:lang w:val="de-DE"/>
        </w:rPr>
        <w:t>tiesības</w:t>
      </w:r>
      <w:proofErr w:type="spellEnd"/>
      <w:r w:rsidRPr="000C7C76">
        <w:rPr>
          <w:rFonts w:ascii="Times New Roman" w:hAnsi="Times New Roman" w:cs="Times New Roman"/>
          <w:bCs/>
          <w:lang w:val="de-DE"/>
        </w:rPr>
        <w:t xml:space="preserve"> </w:t>
      </w:r>
      <w:proofErr w:type="spellStart"/>
      <w:r w:rsidRPr="000C7C76">
        <w:rPr>
          <w:rFonts w:ascii="Times New Roman" w:hAnsi="Times New Roman" w:cs="Times New Roman"/>
          <w:bCs/>
          <w:lang w:val="de-DE"/>
        </w:rPr>
        <w:t>tikai</w:t>
      </w:r>
      <w:proofErr w:type="spellEnd"/>
      <w:r w:rsidRPr="000C7C76">
        <w:rPr>
          <w:rFonts w:ascii="Times New Roman" w:hAnsi="Times New Roman" w:cs="Times New Roman"/>
          <w:bCs/>
          <w:lang w:val="de-DE"/>
        </w:rPr>
        <w:t xml:space="preserve"> </w:t>
      </w:r>
      <w:proofErr w:type="spellStart"/>
      <w:r w:rsidRPr="000C7C76">
        <w:rPr>
          <w:rFonts w:ascii="Times New Roman" w:hAnsi="Times New Roman" w:cs="Times New Roman"/>
          <w:bCs/>
          <w:lang w:val="de-DE"/>
        </w:rPr>
        <w:t>pēc</w:t>
      </w:r>
      <w:proofErr w:type="spellEnd"/>
      <w:r w:rsidRPr="000C7C76">
        <w:rPr>
          <w:rFonts w:ascii="Times New Roman" w:hAnsi="Times New Roman" w:cs="Times New Roman"/>
          <w:bCs/>
          <w:lang w:val="de-DE"/>
        </w:rPr>
        <w:t xml:space="preserve"> </w:t>
      </w:r>
      <w:proofErr w:type="spellStart"/>
      <w:r w:rsidRPr="000C7C76">
        <w:rPr>
          <w:rFonts w:ascii="Times New Roman" w:hAnsi="Times New Roman" w:cs="Times New Roman"/>
          <w:bCs/>
          <w:lang w:val="de-DE"/>
        </w:rPr>
        <w:t>viņam</w:t>
      </w:r>
      <w:proofErr w:type="spellEnd"/>
      <w:r w:rsidRPr="000C7C76">
        <w:rPr>
          <w:rFonts w:ascii="Times New Roman" w:hAnsi="Times New Roman" w:cs="Times New Roman"/>
          <w:bCs/>
          <w:lang w:val="de-DE"/>
        </w:rPr>
        <w:t xml:space="preserve"> </w:t>
      </w:r>
      <w:proofErr w:type="spellStart"/>
      <w:r w:rsidRPr="000C7C76">
        <w:rPr>
          <w:rFonts w:ascii="Times New Roman" w:hAnsi="Times New Roman" w:cs="Times New Roman"/>
          <w:bCs/>
          <w:lang w:val="de-DE"/>
        </w:rPr>
        <w:t>iesniegtajiem</w:t>
      </w:r>
      <w:proofErr w:type="spellEnd"/>
      <w:r w:rsidRPr="000C7C76">
        <w:rPr>
          <w:rFonts w:ascii="Times New Roman" w:hAnsi="Times New Roman" w:cs="Times New Roman"/>
          <w:bCs/>
          <w:lang w:val="de-DE"/>
        </w:rPr>
        <w:t xml:space="preserve"> </w:t>
      </w:r>
      <w:proofErr w:type="spellStart"/>
      <w:r w:rsidRPr="000C7C76">
        <w:rPr>
          <w:rFonts w:ascii="Times New Roman" w:hAnsi="Times New Roman" w:cs="Times New Roman"/>
          <w:bCs/>
          <w:lang w:val="de-DE"/>
        </w:rPr>
        <w:t>publiskajiem</w:t>
      </w:r>
      <w:proofErr w:type="spellEnd"/>
      <w:r w:rsidRPr="000C7C76">
        <w:rPr>
          <w:rFonts w:ascii="Times New Roman" w:hAnsi="Times New Roman" w:cs="Times New Roman"/>
          <w:bCs/>
          <w:lang w:val="de-DE"/>
        </w:rPr>
        <w:t xml:space="preserve"> </w:t>
      </w:r>
      <w:proofErr w:type="spellStart"/>
      <w:r w:rsidRPr="000C7C76">
        <w:rPr>
          <w:rFonts w:ascii="Times New Roman" w:hAnsi="Times New Roman" w:cs="Times New Roman"/>
          <w:bCs/>
          <w:lang w:val="de-DE"/>
        </w:rPr>
        <w:t>dokumentiem</w:t>
      </w:r>
      <w:proofErr w:type="spellEnd"/>
      <w:r w:rsidRPr="000C7C76">
        <w:rPr>
          <w:rFonts w:ascii="Times New Roman" w:hAnsi="Times New Roman" w:cs="Times New Roman"/>
          <w:bCs/>
          <w:lang w:val="de-DE"/>
        </w:rPr>
        <w:t xml:space="preserve"> </w:t>
      </w:r>
      <w:proofErr w:type="spellStart"/>
      <w:r w:rsidRPr="000C7C76">
        <w:rPr>
          <w:rFonts w:ascii="Times New Roman" w:hAnsi="Times New Roman" w:cs="Times New Roman"/>
          <w:bCs/>
          <w:lang w:val="de-DE"/>
        </w:rPr>
        <w:t>vai</w:t>
      </w:r>
      <w:proofErr w:type="spellEnd"/>
      <w:r w:rsidRPr="000C7C76">
        <w:rPr>
          <w:rFonts w:ascii="Times New Roman" w:hAnsi="Times New Roman" w:cs="Times New Roman"/>
          <w:bCs/>
          <w:lang w:val="de-DE"/>
        </w:rPr>
        <w:t xml:space="preserve"> </w:t>
      </w:r>
      <w:proofErr w:type="spellStart"/>
      <w:r w:rsidRPr="000C7C76">
        <w:rPr>
          <w:rFonts w:ascii="Times New Roman" w:hAnsi="Times New Roman" w:cs="Times New Roman"/>
          <w:bCs/>
          <w:lang w:val="de-DE"/>
        </w:rPr>
        <w:t>ierakstiem</w:t>
      </w:r>
      <w:proofErr w:type="spellEnd"/>
      <w:r w:rsidRPr="000C7C76">
        <w:rPr>
          <w:rFonts w:ascii="Times New Roman" w:hAnsi="Times New Roman" w:cs="Times New Roman"/>
          <w:bCs/>
          <w:lang w:val="de-DE"/>
        </w:rPr>
        <w:t xml:space="preserve"> </w:t>
      </w:r>
      <w:proofErr w:type="spellStart"/>
      <w:r w:rsidRPr="000C7C76">
        <w:rPr>
          <w:rFonts w:ascii="Times New Roman" w:hAnsi="Times New Roman" w:cs="Times New Roman"/>
          <w:bCs/>
          <w:lang w:val="de-DE"/>
        </w:rPr>
        <w:t>Komercreģistrā</w:t>
      </w:r>
      <w:proofErr w:type="spellEnd"/>
      <w:r w:rsidRPr="000C7C76">
        <w:rPr>
          <w:rFonts w:ascii="Times New Roman" w:hAnsi="Times New Roman" w:cs="Times New Roman"/>
          <w:bCs/>
          <w:lang w:val="de-DE"/>
        </w:rPr>
        <w:t xml:space="preserve"> </w:t>
      </w:r>
      <w:proofErr w:type="spellStart"/>
      <w:r w:rsidRPr="000C7C76">
        <w:rPr>
          <w:rFonts w:ascii="Times New Roman" w:hAnsi="Times New Roman" w:cs="Times New Roman"/>
          <w:bCs/>
          <w:lang w:val="de-DE"/>
        </w:rPr>
        <w:t>vai</w:t>
      </w:r>
      <w:proofErr w:type="spellEnd"/>
      <w:r w:rsidRPr="000C7C76">
        <w:rPr>
          <w:rFonts w:ascii="Times New Roman" w:hAnsi="Times New Roman" w:cs="Times New Roman"/>
          <w:bCs/>
          <w:lang w:val="de-DE"/>
        </w:rPr>
        <w:t xml:space="preserve"> </w:t>
      </w:r>
      <w:proofErr w:type="spellStart"/>
      <w:r w:rsidRPr="000C7C76">
        <w:rPr>
          <w:rFonts w:ascii="Times New Roman" w:hAnsi="Times New Roman" w:cs="Times New Roman"/>
          <w:bCs/>
          <w:lang w:val="de-DE"/>
        </w:rPr>
        <w:t>citos</w:t>
      </w:r>
      <w:proofErr w:type="spellEnd"/>
      <w:r w:rsidRPr="000C7C76">
        <w:rPr>
          <w:rFonts w:ascii="Times New Roman" w:hAnsi="Times New Roman" w:cs="Times New Roman"/>
          <w:bCs/>
          <w:lang w:val="de-DE"/>
        </w:rPr>
        <w:t xml:space="preserve"> </w:t>
      </w:r>
      <w:proofErr w:type="spellStart"/>
      <w:r w:rsidRPr="000C7C76">
        <w:rPr>
          <w:rFonts w:ascii="Times New Roman" w:hAnsi="Times New Roman" w:cs="Times New Roman"/>
          <w:bCs/>
          <w:lang w:val="de-DE"/>
        </w:rPr>
        <w:t>publiskos</w:t>
      </w:r>
      <w:proofErr w:type="spellEnd"/>
      <w:r w:rsidRPr="000C7C76">
        <w:rPr>
          <w:rFonts w:ascii="Times New Roman" w:hAnsi="Times New Roman" w:cs="Times New Roman"/>
          <w:bCs/>
          <w:lang w:val="de-DE"/>
        </w:rPr>
        <w:t xml:space="preserve"> </w:t>
      </w:r>
      <w:proofErr w:type="spellStart"/>
      <w:r w:rsidRPr="000C7C76">
        <w:rPr>
          <w:rFonts w:ascii="Times New Roman" w:hAnsi="Times New Roman" w:cs="Times New Roman"/>
          <w:bCs/>
          <w:lang w:val="de-DE"/>
        </w:rPr>
        <w:t>reģistros</w:t>
      </w:r>
      <w:proofErr w:type="spellEnd"/>
      <w:r w:rsidRPr="000C7C76">
        <w:rPr>
          <w:rFonts w:ascii="Times New Roman" w:hAnsi="Times New Roman" w:cs="Times New Roman"/>
          <w:bCs/>
          <w:lang w:val="de-DE"/>
        </w:rPr>
        <w:t xml:space="preserve">, </w:t>
      </w:r>
      <w:proofErr w:type="spellStart"/>
      <w:r w:rsidRPr="000C7C76">
        <w:rPr>
          <w:rFonts w:ascii="Times New Roman" w:hAnsi="Times New Roman" w:cs="Times New Roman"/>
          <w:bCs/>
          <w:lang w:val="de-DE"/>
        </w:rPr>
        <w:t>tad</w:t>
      </w:r>
      <w:proofErr w:type="spellEnd"/>
      <w:r w:rsidR="00275C12" w:rsidRPr="000C7C76">
        <w:rPr>
          <w:rFonts w:ascii="Times New Roman" w:hAnsi="Times New Roman" w:cs="Times New Roman"/>
          <w:bCs/>
          <w:lang w:val="de-DE"/>
        </w:rPr>
        <w:t xml:space="preserve"> </w:t>
      </w:r>
      <w:proofErr w:type="spellStart"/>
      <w:r w:rsidR="00275C12" w:rsidRPr="000C7C76">
        <w:rPr>
          <w:rFonts w:ascii="Times New Roman" w:hAnsi="Times New Roman" w:cs="Times New Roman"/>
          <w:bCs/>
          <w:lang w:val="de-DE"/>
        </w:rPr>
        <w:t>tas</w:t>
      </w:r>
      <w:proofErr w:type="spellEnd"/>
      <w:r w:rsidRPr="000C7C76">
        <w:rPr>
          <w:rFonts w:ascii="Times New Roman" w:hAnsi="Times New Roman" w:cs="Times New Roman"/>
          <w:bCs/>
          <w:lang w:val="de-DE"/>
        </w:rPr>
        <w:t xml:space="preserve"> </w:t>
      </w:r>
      <w:proofErr w:type="spellStart"/>
      <w:r w:rsidRPr="000C7C76">
        <w:rPr>
          <w:rFonts w:ascii="Times New Roman" w:hAnsi="Times New Roman" w:cs="Times New Roman"/>
          <w:bCs/>
          <w:lang w:val="de-DE"/>
        </w:rPr>
        <w:t>nozīmē</w:t>
      </w:r>
      <w:proofErr w:type="spellEnd"/>
      <w:r w:rsidRPr="000C7C76">
        <w:rPr>
          <w:rFonts w:ascii="Times New Roman" w:hAnsi="Times New Roman" w:cs="Times New Roman"/>
          <w:bCs/>
          <w:lang w:val="de-DE"/>
        </w:rPr>
        <w:t xml:space="preserve">, </w:t>
      </w:r>
      <w:proofErr w:type="spellStart"/>
      <w:r w:rsidRPr="000C7C76">
        <w:rPr>
          <w:rFonts w:ascii="Times New Roman" w:hAnsi="Times New Roman" w:cs="Times New Roman"/>
          <w:bCs/>
          <w:lang w:val="de-DE"/>
        </w:rPr>
        <w:t>ka</w:t>
      </w:r>
      <w:proofErr w:type="spellEnd"/>
      <w:r w:rsidRPr="000C7C76">
        <w:rPr>
          <w:rFonts w:ascii="Times New Roman" w:hAnsi="Times New Roman" w:cs="Times New Roman"/>
          <w:bCs/>
          <w:lang w:val="de-DE"/>
        </w:rPr>
        <w:t xml:space="preserve"> </w:t>
      </w:r>
      <w:proofErr w:type="spellStart"/>
      <w:r w:rsidRPr="000C7C76">
        <w:rPr>
          <w:rFonts w:ascii="Times New Roman" w:hAnsi="Times New Roman" w:cs="Times New Roman"/>
          <w:bCs/>
          <w:lang w:val="de-DE"/>
        </w:rPr>
        <w:t>pārstāvības</w:t>
      </w:r>
      <w:proofErr w:type="spellEnd"/>
      <w:r w:rsidRPr="000C7C76">
        <w:rPr>
          <w:rFonts w:ascii="Times New Roman" w:hAnsi="Times New Roman" w:cs="Times New Roman"/>
          <w:bCs/>
          <w:lang w:val="de-DE"/>
        </w:rPr>
        <w:t xml:space="preserve"> </w:t>
      </w:r>
      <w:proofErr w:type="spellStart"/>
      <w:r w:rsidRPr="000C7C76">
        <w:rPr>
          <w:rFonts w:ascii="Times New Roman" w:hAnsi="Times New Roman" w:cs="Times New Roman"/>
          <w:bCs/>
          <w:lang w:val="de-DE"/>
        </w:rPr>
        <w:t>tiesības</w:t>
      </w:r>
      <w:proofErr w:type="spellEnd"/>
      <w:r w:rsidRPr="000C7C76">
        <w:rPr>
          <w:rFonts w:ascii="Times New Roman" w:hAnsi="Times New Roman" w:cs="Times New Roman"/>
          <w:bCs/>
          <w:lang w:val="de-DE"/>
        </w:rPr>
        <w:t xml:space="preserve"> </w:t>
      </w:r>
      <w:proofErr w:type="spellStart"/>
      <w:r w:rsidRPr="000C7C76">
        <w:rPr>
          <w:rFonts w:ascii="Times New Roman" w:hAnsi="Times New Roman" w:cs="Times New Roman"/>
          <w:bCs/>
          <w:lang w:val="de-DE"/>
        </w:rPr>
        <w:t>nevar</w:t>
      </w:r>
      <w:proofErr w:type="spellEnd"/>
      <w:r w:rsidRPr="000C7C76">
        <w:rPr>
          <w:rFonts w:ascii="Times New Roman" w:hAnsi="Times New Roman" w:cs="Times New Roman"/>
          <w:bCs/>
          <w:lang w:val="de-DE"/>
        </w:rPr>
        <w:t xml:space="preserve"> </w:t>
      </w:r>
      <w:proofErr w:type="spellStart"/>
      <w:r w:rsidRPr="000C7C76">
        <w:rPr>
          <w:rFonts w:ascii="Times New Roman" w:hAnsi="Times New Roman" w:cs="Times New Roman"/>
          <w:bCs/>
          <w:lang w:val="de-DE"/>
        </w:rPr>
        <w:t>pierādīt</w:t>
      </w:r>
      <w:proofErr w:type="spellEnd"/>
      <w:r w:rsidRPr="000C7C76">
        <w:rPr>
          <w:rFonts w:ascii="Times New Roman" w:hAnsi="Times New Roman" w:cs="Times New Roman"/>
          <w:bCs/>
          <w:lang w:val="de-DE"/>
        </w:rPr>
        <w:t xml:space="preserve"> </w:t>
      </w:r>
      <w:proofErr w:type="spellStart"/>
      <w:r w:rsidRPr="000C7C76">
        <w:rPr>
          <w:rFonts w:ascii="Times New Roman" w:hAnsi="Times New Roman" w:cs="Times New Roman"/>
          <w:bCs/>
          <w:lang w:val="de-DE"/>
        </w:rPr>
        <w:t>ar</w:t>
      </w:r>
      <w:proofErr w:type="spellEnd"/>
      <w:r w:rsidRPr="000C7C76">
        <w:rPr>
          <w:rFonts w:ascii="Times New Roman" w:hAnsi="Times New Roman" w:cs="Times New Roman"/>
          <w:bCs/>
          <w:lang w:val="de-DE"/>
        </w:rPr>
        <w:t xml:space="preserve"> </w:t>
      </w:r>
      <w:proofErr w:type="spellStart"/>
      <w:r w:rsidRPr="000C7C76">
        <w:rPr>
          <w:rFonts w:ascii="Times New Roman" w:hAnsi="Times New Roman" w:cs="Times New Roman"/>
          <w:bCs/>
          <w:lang w:val="de-DE"/>
        </w:rPr>
        <w:t>privātiem</w:t>
      </w:r>
      <w:proofErr w:type="spellEnd"/>
      <w:r w:rsidRPr="000C7C76">
        <w:rPr>
          <w:rFonts w:ascii="Times New Roman" w:hAnsi="Times New Roman" w:cs="Times New Roman"/>
          <w:bCs/>
          <w:lang w:val="de-DE"/>
        </w:rPr>
        <w:t xml:space="preserve"> </w:t>
      </w:r>
      <w:proofErr w:type="spellStart"/>
      <w:r w:rsidRPr="000C7C76">
        <w:rPr>
          <w:rFonts w:ascii="Times New Roman" w:hAnsi="Times New Roman" w:cs="Times New Roman"/>
          <w:bCs/>
          <w:lang w:val="de-DE"/>
        </w:rPr>
        <w:t>dokumentiem</w:t>
      </w:r>
      <w:proofErr w:type="spellEnd"/>
      <w:r w:rsidRPr="000C7C76">
        <w:rPr>
          <w:rFonts w:ascii="Times New Roman" w:hAnsi="Times New Roman" w:cs="Times New Roman"/>
          <w:bCs/>
          <w:lang w:val="de-DE"/>
        </w:rPr>
        <w:t xml:space="preserve"> (</w:t>
      </w:r>
      <w:proofErr w:type="spellStart"/>
      <w:r w:rsidRPr="000C7C76">
        <w:rPr>
          <w:rFonts w:ascii="Times New Roman" w:hAnsi="Times New Roman" w:cs="Times New Roman"/>
          <w:bCs/>
          <w:lang w:val="de-DE"/>
        </w:rPr>
        <w:t>kādi</w:t>
      </w:r>
      <w:proofErr w:type="spellEnd"/>
      <w:r w:rsidRPr="000C7C76">
        <w:rPr>
          <w:rFonts w:ascii="Times New Roman" w:hAnsi="Times New Roman" w:cs="Times New Roman"/>
          <w:bCs/>
          <w:lang w:val="de-DE"/>
        </w:rPr>
        <w:t xml:space="preserve"> t.sk. </w:t>
      </w:r>
      <w:proofErr w:type="spellStart"/>
      <w:r w:rsidRPr="000C7C76">
        <w:rPr>
          <w:rFonts w:ascii="Times New Roman" w:hAnsi="Times New Roman" w:cs="Times New Roman"/>
          <w:bCs/>
          <w:lang w:val="de-DE"/>
        </w:rPr>
        <w:t>m</w:t>
      </w:r>
      <w:r w:rsidR="00275C12" w:rsidRPr="000C7C76">
        <w:rPr>
          <w:rFonts w:ascii="Times New Roman" w:hAnsi="Times New Roman" w:cs="Times New Roman"/>
          <w:bCs/>
          <w:lang w:val="de-DE"/>
        </w:rPr>
        <w:t>inēti</w:t>
      </w:r>
      <w:proofErr w:type="spellEnd"/>
      <w:r w:rsidR="00275C12" w:rsidRPr="000C7C76">
        <w:rPr>
          <w:rFonts w:ascii="Times New Roman" w:hAnsi="Times New Roman" w:cs="Times New Roman"/>
          <w:bCs/>
          <w:lang w:val="de-DE"/>
        </w:rPr>
        <w:t xml:space="preserve"> </w:t>
      </w:r>
      <w:proofErr w:type="spellStart"/>
      <w:r w:rsidR="00275C12" w:rsidRPr="000C7C76">
        <w:rPr>
          <w:rFonts w:ascii="Times New Roman" w:hAnsi="Times New Roman" w:cs="Times New Roman"/>
          <w:bCs/>
          <w:lang w:val="de-DE"/>
        </w:rPr>
        <w:t>Notariāta</w:t>
      </w:r>
      <w:proofErr w:type="spellEnd"/>
      <w:r w:rsidR="00275C12" w:rsidRPr="000C7C76">
        <w:rPr>
          <w:rFonts w:ascii="Times New Roman" w:hAnsi="Times New Roman" w:cs="Times New Roman"/>
          <w:bCs/>
          <w:lang w:val="de-DE"/>
        </w:rPr>
        <w:t xml:space="preserve"> </w:t>
      </w:r>
      <w:proofErr w:type="spellStart"/>
      <w:r w:rsidR="00275C12" w:rsidRPr="000C7C76">
        <w:rPr>
          <w:rFonts w:ascii="Times New Roman" w:hAnsi="Times New Roman" w:cs="Times New Roman"/>
          <w:bCs/>
          <w:lang w:val="de-DE"/>
        </w:rPr>
        <w:t>likuma</w:t>
      </w:r>
      <w:proofErr w:type="spellEnd"/>
      <w:r w:rsidR="00275C12" w:rsidRPr="000C7C76">
        <w:rPr>
          <w:rFonts w:ascii="Times New Roman" w:hAnsi="Times New Roman" w:cs="Times New Roman"/>
          <w:bCs/>
          <w:lang w:val="de-DE"/>
        </w:rPr>
        <w:t xml:space="preserve"> 116.p. 1.d.</w:t>
      </w:r>
      <w:r w:rsidRPr="000C7C76">
        <w:rPr>
          <w:rFonts w:ascii="Times New Roman" w:hAnsi="Times New Roman" w:cs="Times New Roman"/>
          <w:bCs/>
          <w:lang w:val="de-DE"/>
        </w:rPr>
        <w:t xml:space="preserve">). </w:t>
      </w:r>
      <w:proofErr w:type="spellStart"/>
      <w:r w:rsidRPr="000C7C76">
        <w:rPr>
          <w:rFonts w:ascii="Times New Roman" w:hAnsi="Times New Roman" w:cs="Times New Roman"/>
          <w:bCs/>
          <w:lang w:val="de-DE"/>
        </w:rPr>
        <w:t>Tā</w:t>
      </w:r>
      <w:proofErr w:type="spellEnd"/>
      <w:r w:rsidRPr="000C7C76">
        <w:rPr>
          <w:rFonts w:ascii="Times New Roman" w:hAnsi="Times New Roman" w:cs="Times New Roman"/>
          <w:bCs/>
          <w:lang w:val="de-DE"/>
        </w:rPr>
        <w:t xml:space="preserve"> </w:t>
      </w:r>
      <w:proofErr w:type="spellStart"/>
      <w:r w:rsidRPr="000C7C76">
        <w:rPr>
          <w:rFonts w:ascii="Times New Roman" w:hAnsi="Times New Roman" w:cs="Times New Roman"/>
          <w:bCs/>
          <w:lang w:val="de-DE"/>
        </w:rPr>
        <w:t>kā</w:t>
      </w:r>
      <w:proofErr w:type="spellEnd"/>
      <w:r w:rsidRPr="000C7C76">
        <w:rPr>
          <w:rFonts w:ascii="Times New Roman" w:hAnsi="Times New Roman" w:cs="Times New Roman"/>
          <w:bCs/>
          <w:lang w:val="de-DE"/>
        </w:rPr>
        <w:t xml:space="preserve"> </w:t>
      </w:r>
      <w:proofErr w:type="spellStart"/>
      <w:r w:rsidRPr="000C7C76">
        <w:rPr>
          <w:rFonts w:ascii="Times New Roman" w:hAnsi="Times New Roman" w:cs="Times New Roman"/>
          <w:bCs/>
          <w:lang w:val="de-DE"/>
        </w:rPr>
        <w:t>Notariāta</w:t>
      </w:r>
      <w:proofErr w:type="spellEnd"/>
      <w:r w:rsidRPr="000C7C76">
        <w:rPr>
          <w:rFonts w:ascii="Times New Roman" w:hAnsi="Times New Roman" w:cs="Times New Roman"/>
          <w:bCs/>
          <w:lang w:val="de-DE"/>
        </w:rPr>
        <w:t xml:space="preserve"> </w:t>
      </w:r>
      <w:proofErr w:type="spellStart"/>
      <w:r w:rsidRPr="000C7C76">
        <w:rPr>
          <w:rFonts w:ascii="Times New Roman" w:hAnsi="Times New Roman" w:cs="Times New Roman"/>
          <w:bCs/>
          <w:lang w:val="de-DE"/>
        </w:rPr>
        <w:t>likums</w:t>
      </w:r>
      <w:proofErr w:type="spellEnd"/>
      <w:r w:rsidRPr="000C7C76">
        <w:rPr>
          <w:rFonts w:ascii="Times New Roman" w:hAnsi="Times New Roman" w:cs="Times New Roman"/>
          <w:bCs/>
          <w:lang w:val="de-DE"/>
        </w:rPr>
        <w:t xml:space="preserve"> </w:t>
      </w:r>
      <w:proofErr w:type="spellStart"/>
      <w:r w:rsidRPr="000C7C76">
        <w:rPr>
          <w:rFonts w:ascii="Times New Roman" w:hAnsi="Times New Roman" w:cs="Times New Roman"/>
          <w:bCs/>
          <w:lang w:val="de-DE"/>
        </w:rPr>
        <w:t>ir</w:t>
      </w:r>
      <w:proofErr w:type="spellEnd"/>
      <w:r w:rsidRPr="000C7C76">
        <w:rPr>
          <w:rFonts w:ascii="Times New Roman" w:hAnsi="Times New Roman" w:cs="Times New Roman"/>
          <w:bCs/>
          <w:lang w:val="de-DE"/>
        </w:rPr>
        <w:t xml:space="preserve"> </w:t>
      </w:r>
      <w:proofErr w:type="spellStart"/>
      <w:r w:rsidRPr="000C7C76">
        <w:rPr>
          <w:rFonts w:ascii="Times New Roman" w:hAnsi="Times New Roman" w:cs="Times New Roman"/>
          <w:bCs/>
          <w:lang w:val="de-DE"/>
        </w:rPr>
        <w:t>speciālais</w:t>
      </w:r>
      <w:proofErr w:type="spellEnd"/>
      <w:r w:rsidRPr="000C7C76">
        <w:rPr>
          <w:rFonts w:ascii="Times New Roman" w:hAnsi="Times New Roman" w:cs="Times New Roman"/>
          <w:bCs/>
          <w:lang w:val="de-DE"/>
        </w:rPr>
        <w:t xml:space="preserve"> </w:t>
      </w:r>
      <w:proofErr w:type="spellStart"/>
      <w:r w:rsidRPr="000C7C76">
        <w:rPr>
          <w:rFonts w:ascii="Times New Roman" w:hAnsi="Times New Roman" w:cs="Times New Roman"/>
          <w:bCs/>
          <w:lang w:val="de-DE"/>
        </w:rPr>
        <w:t>likums</w:t>
      </w:r>
      <w:proofErr w:type="spellEnd"/>
      <w:r w:rsidRPr="000C7C76">
        <w:rPr>
          <w:rFonts w:ascii="Times New Roman" w:hAnsi="Times New Roman" w:cs="Times New Roman"/>
          <w:bCs/>
          <w:lang w:val="de-DE"/>
        </w:rPr>
        <w:t xml:space="preserve"> </w:t>
      </w:r>
      <w:proofErr w:type="spellStart"/>
      <w:r w:rsidRPr="000C7C76">
        <w:rPr>
          <w:rFonts w:ascii="Times New Roman" w:hAnsi="Times New Roman" w:cs="Times New Roman"/>
          <w:bCs/>
          <w:lang w:val="de-DE"/>
        </w:rPr>
        <w:t>notāru</w:t>
      </w:r>
      <w:proofErr w:type="spellEnd"/>
      <w:r w:rsidRPr="000C7C76">
        <w:rPr>
          <w:rFonts w:ascii="Times New Roman" w:hAnsi="Times New Roman" w:cs="Times New Roman"/>
          <w:bCs/>
          <w:lang w:val="de-DE"/>
        </w:rPr>
        <w:t xml:space="preserve"> </w:t>
      </w:r>
      <w:proofErr w:type="spellStart"/>
      <w:r w:rsidRPr="000C7C76">
        <w:rPr>
          <w:rFonts w:ascii="Times New Roman" w:hAnsi="Times New Roman" w:cs="Times New Roman"/>
          <w:bCs/>
          <w:lang w:val="de-DE"/>
        </w:rPr>
        <w:t>procesiem</w:t>
      </w:r>
      <w:proofErr w:type="spellEnd"/>
      <w:r w:rsidRPr="000C7C76">
        <w:rPr>
          <w:rFonts w:ascii="Times New Roman" w:hAnsi="Times New Roman" w:cs="Times New Roman"/>
          <w:bCs/>
          <w:lang w:val="de-DE"/>
        </w:rPr>
        <w:t xml:space="preserve"> (</w:t>
      </w:r>
      <w:proofErr w:type="spellStart"/>
      <w:r w:rsidRPr="000C7C76">
        <w:rPr>
          <w:rFonts w:ascii="Times New Roman" w:hAnsi="Times New Roman" w:cs="Times New Roman"/>
          <w:bCs/>
          <w:lang w:val="de-DE"/>
        </w:rPr>
        <w:t>atšķirībā</w:t>
      </w:r>
      <w:proofErr w:type="spellEnd"/>
      <w:r w:rsidRPr="000C7C76">
        <w:rPr>
          <w:rFonts w:ascii="Times New Roman" w:hAnsi="Times New Roman" w:cs="Times New Roman"/>
          <w:bCs/>
          <w:lang w:val="de-DE"/>
        </w:rPr>
        <w:t xml:space="preserve"> </w:t>
      </w:r>
      <w:proofErr w:type="spellStart"/>
      <w:r w:rsidRPr="000C7C76">
        <w:rPr>
          <w:rFonts w:ascii="Times New Roman" w:hAnsi="Times New Roman" w:cs="Times New Roman"/>
          <w:bCs/>
          <w:lang w:val="de-DE"/>
        </w:rPr>
        <w:t>no</w:t>
      </w:r>
      <w:proofErr w:type="spellEnd"/>
      <w:r w:rsidRPr="000C7C76">
        <w:rPr>
          <w:rFonts w:ascii="Times New Roman" w:hAnsi="Times New Roman" w:cs="Times New Roman"/>
          <w:bCs/>
          <w:lang w:val="de-DE"/>
        </w:rPr>
        <w:t xml:space="preserve"> </w:t>
      </w:r>
      <w:proofErr w:type="spellStart"/>
      <w:r w:rsidRPr="000C7C76">
        <w:rPr>
          <w:rFonts w:ascii="Times New Roman" w:hAnsi="Times New Roman" w:cs="Times New Roman"/>
          <w:bCs/>
          <w:lang w:val="de-DE"/>
        </w:rPr>
        <w:t>Dokumentu</w:t>
      </w:r>
      <w:proofErr w:type="spellEnd"/>
      <w:r w:rsidRPr="000C7C76">
        <w:rPr>
          <w:rFonts w:ascii="Times New Roman" w:hAnsi="Times New Roman" w:cs="Times New Roman"/>
          <w:bCs/>
          <w:lang w:val="de-DE"/>
        </w:rPr>
        <w:t xml:space="preserve"> </w:t>
      </w:r>
      <w:proofErr w:type="spellStart"/>
      <w:r w:rsidRPr="000C7C76">
        <w:rPr>
          <w:rFonts w:ascii="Times New Roman" w:hAnsi="Times New Roman" w:cs="Times New Roman"/>
          <w:bCs/>
          <w:lang w:val="de-DE"/>
        </w:rPr>
        <w:t>legalizācijas</w:t>
      </w:r>
      <w:proofErr w:type="spellEnd"/>
      <w:r w:rsidRPr="000C7C76">
        <w:rPr>
          <w:rFonts w:ascii="Times New Roman" w:hAnsi="Times New Roman" w:cs="Times New Roman"/>
          <w:bCs/>
          <w:lang w:val="de-DE"/>
        </w:rPr>
        <w:t xml:space="preserve"> </w:t>
      </w:r>
      <w:proofErr w:type="spellStart"/>
      <w:r w:rsidRPr="000C7C76">
        <w:rPr>
          <w:rFonts w:ascii="Times New Roman" w:hAnsi="Times New Roman" w:cs="Times New Roman"/>
          <w:bCs/>
          <w:lang w:val="de-DE"/>
        </w:rPr>
        <w:t>likuma</w:t>
      </w:r>
      <w:proofErr w:type="spellEnd"/>
      <w:r w:rsidRPr="000C7C76">
        <w:rPr>
          <w:rFonts w:ascii="Times New Roman" w:hAnsi="Times New Roman" w:cs="Times New Roman"/>
          <w:bCs/>
          <w:lang w:val="de-DE"/>
        </w:rPr>
        <w:t xml:space="preserve"> </w:t>
      </w:r>
      <w:proofErr w:type="spellStart"/>
      <w:r w:rsidRPr="000C7C76">
        <w:rPr>
          <w:rFonts w:ascii="Times New Roman" w:hAnsi="Times New Roman" w:cs="Times New Roman"/>
          <w:bCs/>
          <w:lang w:val="de-DE"/>
        </w:rPr>
        <w:t>un</w:t>
      </w:r>
      <w:proofErr w:type="spellEnd"/>
      <w:r w:rsidRPr="000C7C76">
        <w:rPr>
          <w:rFonts w:ascii="Times New Roman" w:hAnsi="Times New Roman" w:cs="Times New Roman"/>
          <w:bCs/>
          <w:lang w:val="de-DE"/>
        </w:rPr>
        <w:t xml:space="preserve"> </w:t>
      </w:r>
      <w:proofErr w:type="spellStart"/>
      <w:r w:rsidRPr="000C7C76">
        <w:rPr>
          <w:rFonts w:ascii="Times New Roman" w:hAnsi="Times New Roman" w:cs="Times New Roman"/>
          <w:bCs/>
          <w:lang w:val="de-DE"/>
        </w:rPr>
        <w:t>Hāgas</w:t>
      </w:r>
      <w:proofErr w:type="spellEnd"/>
      <w:r w:rsidRPr="000C7C76">
        <w:rPr>
          <w:rFonts w:ascii="Times New Roman" w:hAnsi="Times New Roman" w:cs="Times New Roman"/>
          <w:bCs/>
          <w:lang w:val="de-DE"/>
        </w:rPr>
        <w:t xml:space="preserve"> </w:t>
      </w:r>
      <w:proofErr w:type="spellStart"/>
      <w:r w:rsidRPr="000C7C76">
        <w:rPr>
          <w:rFonts w:ascii="Times New Roman" w:hAnsi="Times New Roman" w:cs="Times New Roman"/>
          <w:bCs/>
          <w:lang w:val="de-DE"/>
        </w:rPr>
        <w:t>dokumentu</w:t>
      </w:r>
      <w:proofErr w:type="spellEnd"/>
      <w:r w:rsidRPr="000C7C76">
        <w:rPr>
          <w:rFonts w:ascii="Times New Roman" w:hAnsi="Times New Roman" w:cs="Times New Roman"/>
          <w:bCs/>
          <w:lang w:val="de-DE"/>
        </w:rPr>
        <w:t xml:space="preserve"> </w:t>
      </w:r>
      <w:proofErr w:type="spellStart"/>
      <w:r w:rsidRPr="000C7C76">
        <w:rPr>
          <w:rFonts w:ascii="Times New Roman" w:hAnsi="Times New Roman" w:cs="Times New Roman"/>
          <w:bCs/>
          <w:lang w:val="de-DE"/>
        </w:rPr>
        <w:t>legalizācijas</w:t>
      </w:r>
      <w:proofErr w:type="spellEnd"/>
      <w:r w:rsidRPr="000C7C76">
        <w:rPr>
          <w:rFonts w:ascii="Times New Roman" w:hAnsi="Times New Roman" w:cs="Times New Roman"/>
          <w:bCs/>
          <w:lang w:val="de-DE"/>
        </w:rPr>
        <w:t xml:space="preserve"> </w:t>
      </w:r>
      <w:proofErr w:type="spellStart"/>
      <w:r w:rsidRPr="000C7C76">
        <w:rPr>
          <w:rFonts w:ascii="Times New Roman" w:hAnsi="Times New Roman" w:cs="Times New Roman"/>
          <w:bCs/>
          <w:lang w:val="de-DE"/>
        </w:rPr>
        <w:t>atcelšanas</w:t>
      </w:r>
      <w:proofErr w:type="spellEnd"/>
      <w:r w:rsidRPr="000C7C76">
        <w:rPr>
          <w:rFonts w:ascii="Times New Roman" w:hAnsi="Times New Roman" w:cs="Times New Roman"/>
          <w:bCs/>
          <w:lang w:val="de-DE"/>
        </w:rPr>
        <w:t xml:space="preserve"> </w:t>
      </w:r>
      <w:proofErr w:type="spellStart"/>
      <w:r w:rsidRPr="000C7C76">
        <w:rPr>
          <w:rFonts w:ascii="Times New Roman" w:hAnsi="Times New Roman" w:cs="Times New Roman"/>
          <w:bCs/>
          <w:lang w:val="de-DE"/>
        </w:rPr>
        <w:t>konvencijas</w:t>
      </w:r>
      <w:proofErr w:type="spellEnd"/>
      <w:r w:rsidRPr="000C7C76">
        <w:rPr>
          <w:rFonts w:ascii="Times New Roman" w:hAnsi="Times New Roman" w:cs="Times New Roman"/>
          <w:bCs/>
          <w:lang w:val="de-DE"/>
        </w:rPr>
        <w:t xml:space="preserve">, </w:t>
      </w:r>
      <w:proofErr w:type="spellStart"/>
      <w:r w:rsidRPr="000C7C76">
        <w:rPr>
          <w:rFonts w:ascii="Times New Roman" w:hAnsi="Times New Roman" w:cs="Times New Roman"/>
          <w:bCs/>
          <w:lang w:val="de-DE"/>
        </w:rPr>
        <w:t>kas</w:t>
      </w:r>
      <w:proofErr w:type="spellEnd"/>
      <w:r w:rsidRPr="000C7C76">
        <w:rPr>
          <w:rFonts w:ascii="Times New Roman" w:hAnsi="Times New Roman" w:cs="Times New Roman"/>
          <w:bCs/>
          <w:lang w:val="de-DE"/>
        </w:rPr>
        <w:t xml:space="preserve"> </w:t>
      </w:r>
      <w:proofErr w:type="spellStart"/>
      <w:r w:rsidRPr="000C7C76">
        <w:rPr>
          <w:rFonts w:ascii="Times New Roman" w:hAnsi="Times New Roman" w:cs="Times New Roman"/>
          <w:bCs/>
          <w:lang w:val="de-DE"/>
        </w:rPr>
        <w:t>nosaka</w:t>
      </w:r>
      <w:proofErr w:type="spellEnd"/>
      <w:r w:rsidRPr="000C7C76">
        <w:rPr>
          <w:rFonts w:ascii="Times New Roman" w:hAnsi="Times New Roman" w:cs="Times New Roman"/>
          <w:bCs/>
          <w:lang w:val="de-DE"/>
        </w:rPr>
        <w:t xml:space="preserve"> </w:t>
      </w:r>
      <w:proofErr w:type="spellStart"/>
      <w:r w:rsidRPr="000C7C76">
        <w:rPr>
          <w:rFonts w:ascii="Times New Roman" w:hAnsi="Times New Roman" w:cs="Times New Roman"/>
          <w:bCs/>
          <w:lang w:val="de-DE"/>
        </w:rPr>
        <w:t>tikai</w:t>
      </w:r>
      <w:proofErr w:type="spellEnd"/>
      <w:r w:rsidRPr="000C7C76">
        <w:rPr>
          <w:rFonts w:ascii="Times New Roman" w:hAnsi="Times New Roman" w:cs="Times New Roman"/>
          <w:bCs/>
          <w:lang w:val="de-DE"/>
        </w:rPr>
        <w:t xml:space="preserve"> </w:t>
      </w:r>
      <w:proofErr w:type="spellStart"/>
      <w:r w:rsidRPr="000C7C76">
        <w:rPr>
          <w:rFonts w:ascii="Times New Roman" w:hAnsi="Times New Roman" w:cs="Times New Roman"/>
          <w:bCs/>
          <w:lang w:val="de-DE"/>
        </w:rPr>
        <w:t>dokumentu</w:t>
      </w:r>
      <w:proofErr w:type="spellEnd"/>
      <w:r w:rsidRPr="000C7C76">
        <w:rPr>
          <w:rFonts w:ascii="Times New Roman" w:hAnsi="Times New Roman" w:cs="Times New Roman"/>
          <w:bCs/>
          <w:color w:val="FF0000"/>
          <w:lang w:val="de-DE"/>
        </w:rPr>
        <w:t xml:space="preserve"> </w:t>
      </w:r>
      <w:proofErr w:type="spellStart"/>
      <w:r w:rsidRPr="000C7C76">
        <w:rPr>
          <w:rFonts w:ascii="Times New Roman" w:hAnsi="Times New Roman" w:cs="Times New Roman"/>
          <w:bCs/>
          <w:lang w:val="de-DE"/>
        </w:rPr>
        <w:t>legalizācijas</w:t>
      </w:r>
      <w:proofErr w:type="spellEnd"/>
      <w:r w:rsidRPr="000C7C76">
        <w:rPr>
          <w:rFonts w:ascii="Times New Roman" w:hAnsi="Times New Roman" w:cs="Times New Roman"/>
          <w:bCs/>
          <w:lang w:val="de-DE"/>
        </w:rPr>
        <w:t xml:space="preserve"> </w:t>
      </w:r>
      <w:proofErr w:type="spellStart"/>
      <w:r w:rsidRPr="000C7C76">
        <w:rPr>
          <w:rFonts w:ascii="Times New Roman" w:hAnsi="Times New Roman" w:cs="Times New Roman"/>
          <w:bCs/>
          <w:lang w:val="de-DE"/>
        </w:rPr>
        <w:t>prasības</w:t>
      </w:r>
      <w:proofErr w:type="spellEnd"/>
      <w:r w:rsidRPr="000C7C76">
        <w:rPr>
          <w:rFonts w:ascii="Times New Roman" w:hAnsi="Times New Roman" w:cs="Times New Roman"/>
          <w:bCs/>
          <w:lang w:val="de-DE"/>
        </w:rPr>
        <w:t xml:space="preserve">) </w:t>
      </w:r>
      <w:proofErr w:type="spellStart"/>
      <w:r w:rsidRPr="000C7C76">
        <w:rPr>
          <w:rFonts w:ascii="Times New Roman" w:hAnsi="Times New Roman" w:cs="Times New Roman"/>
          <w:bCs/>
          <w:lang w:val="de-DE"/>
        </w:rPr>
        <w:t>un</w:t>
      </w:r>
      <w:proofErr w:type="spellEnd"/>
      <w:r w:rsidRPr="000C7C76">
        <w:rPr>
          <w:rFonts w:ascii="Times New Roman" w:hAnsi="Times New Roman" w:cs="Times New Roman"/>
          <w:bCs/>
          <w:lang w:val="de-DE"/>
        </w:rPr>
        <w:t xml:space="preserve"> </w:t>
      </w:r>
      <w:proofErr w:type="spellStart"/>
      <w:r w:rsidRPr="000C7C76">
        <w:rPr>
          <w:rFonts w:ascii="Times New Roman" w:hAnsi="Times New Roman" w:cs="Times New Roman"/>
          <w:bCs/>
          <w:lang w:val="de-DE"/>
        </w:rPr>
        <w:t>jo</w:t>
      </w:r>
      <w:proofErr w:type="spellEnd"/>
      <w:r w:rsidRPr="000C7C76">
        <w:rPr>
          <w:rFonts w:ascii="Times New Roman" w:hAnsi="Times New Roman" w:cs="Times New Roman"/>
          <w:bCs/>
          <w:lang w:val="de-DE"/>
        </w:rPr>
        <w:t xml:space="preserve"> </w:t>
      </w:r>
      <w:proofErr w:type="spellStart"/>
      <w:r w:rsidRPr="000C7C76">
        <w:rPr>
          <w:rFonts w:ascii="Times New Roman" w:hAnsi="Times New Roman" w:cs="Times New Roman"/>
          <w:bCs/>
          <w:lang w:val="de-DE"/>
        </w:rPr>
        <w:t>sevišķi</w:t>
      </w:r>
      <w:proofErr w:type="spellEnd"/>
      <w:r w:rsidRPr="000C7C76">
        <w:rPr>
          <w:rFonts w:ascii="Times New Roman" w:hAnsi="Times New Roman" w:cs="Times New Roman"/>
          <w:bCs/>
          <w:lang w:val="de-DE"/>
        </w:rPr>
        <w:t xml:space="preserve"> </w:t>
      </w:r>
      <w:proofErr w:type="spellStart"/>
      <w:r w:rsidRPr="000C7C76">
        <w:rPr>
          <w:rFonts w:ascii="Times New Roman" w:hAnsi="Times New Roman" w:cs="Times New Roman"/>
          <w:bCs/>
          <w:lang w:val="de-DE"/>
        </w:rPr>
        <w:t>pārstāvju</w:t>
      </w:r>
      <w:proofErr w:type="spellEnd"/>
      <w:r w:rsidRPr="000C7C76">
        <w:rPr>
          <w:rFonts w:ascii="Times New Roman" w:hAnsi="Times New Roman" w:cs="Times New Roman"/>
          <w:bCs/>
          <w:lang w:val="de-DE"/>
        </w:rPr>
        <w:t xml:space="preserve"> </w:t>
      </w:r>
      <w:proofErr w:type="spellStart"/>
      <w:r w:rsidRPr="000C7C76">
        <w:rPr>
          <w:rFonts w:ascii="Times New Roman" w:hAnsi="Times New Roman" w:cs="Times New Roman"/>
          <w:bCs/>
          <w:lang w:val="de-DE"/>
        </w:rPr>
        <w:t>pilnvaru</w:t>
      </w:r>
      <w:proofErr w:type="spellEnd"/>
      <w:r w:rsidRPr="000C7C76">
        <w:rPr>
          <w:rFonts w:ascii="Times New Roman" w:hAnsi="Times New Roman" w:cs="Times New Roman"/>
          <w:bCs/>
          <w:lang w:val="de-DE"/>
        </w:rPr>
        <w:t xml:space="preserve"> </w:t>
      </w:r>
      <w:proofErr w:type="spellStart"/>
      <w:r w:rsidRPr="000C7C76">
        <w:rPr>
          <w:rFonts w:ascii="Times New Roman" w:hAnsi="Times New Roman" w:cs="Times New Roman"/>
          <w:bCs/>
          <w:lang w:val="de-DE"/>
        </w:rPr>
        <w:t>pārbaudei</w:t>
      </w:r>
      <w:proofErr w:type="spellEnd"/>
      <w:r w:rsidRPr="000C7C76">
        <w:rPr>
          <w:rFonts w:ascii="Times New Roman" w:hAnsi="Times New Roman" w:cs="Times New Roman"/>
          <w:bCs/>
          <w:lang w:val="de-DE"/>
        </w:rPr>
        <w:t xml:space="preserve">, </w:t>
      </w:r>
      <w:proofErr w:type="spellStart"/>
      <w:r w:rsidRPr="000C7C76">
        <w:rPr>
          <w:rFonts w:ascii="Times New Roman" w:hAnsi="Times New Roman" w:cs="Times New Roman"/>
          <w:bCs/>
          <w:lang w:val="de-DE"/>
        </w:rPr>
        <w:t>tad</w:t>
      </w:r>
      <w:proofErr w:type="spellEnd"/>
      <w:r w:rsidRPr="000C7C76">
        <w:rPr>
          <w:rFonts w:ascii="Times New Roman" w:hAnsi="Times New Roman" w:cs="Times New Roman"/>
          <w:bCs/>
          <w:lang w:val="de-DE"/>
        </w:rPr>
        <w:t xml:space="preserve"> </w:t>
      </w:r>
      <w:proofErr w:type="spellStart"/>
      <w:r w:rsidRPr="000C7C76">
        <w:rPr>
          <w:rFonts w:ascii="Times New Roman" w:hAnsi="Times New Roman" w:cs="Times New Roman"/>
          <w:bCs/>
          <w:lang w:val="de-DE"/>
        </w:rPr>
        <w:t>jēdziens</w:t>
      </w:r>
      <w:proofErr w:type="spellEnd"/>
      <w:r w:rsidRPr="000C7C76">
        <w:rPr>
          <w:rFonts w:ascii="Times New Roman" w:hAnsi="Times New Roman" w:cs="Times New Roman"/>
          <w:bCs/>
          <w:lang w:val="de-DE"/>
        </w:rPr>
        <w:t xml:space="preserve"> </w:t>
      </w:r>
      <w:r w:rsidRPr="00565D81">
        <w:rPr>
          <w:rFonts w:ascii="Times New Roman" w:hAnsi="Times New Roman" w:cs="Times New Roman"/>
          <w:bCs/>
          <w:lang w:val="de-DE"/>
        </w:rPr>
        <w:t>„</w:t>
      </w:r>
      <w:proofErr w:type="spellStart"/>
      <w:r w:rsidRPr="00565D81">
        <w:rPr>
          <w:rFonts w:ascii="Times New Roman" w:hAnsi="Times New Roman" w:cs="Times New Roman"/>
          <w:bCs/>
          <w:lang w:val="de-DE"/>
        </w:rPr>
        <w:t>publisks</w:t>
      </w:r>
      <w:proofErr w:type="spellEnd"/>
      <w:r w:rsidRPr="00565D81">
        <w:rPr>
          <w:rFonts w:ascii="Times New Roman" w:hAnsi="Times New Roman" w:cs="Times New Roman"/>
          <w:bCs/>
          <w:lang w:val="de-DE"/>
        </w:rPr>
        <w:t xml:space="preserve"> </w:t>
      </w:r>
      <w:proofErr w:type="spellStart"/>
      <w:r w:rsidRPr="00565D81">
        <w:rPr>
          <w:rFonts w:ascii="Times New Roman" w:hAnsi="Times New Roman" w:cs="Times New Roman"/>
          <w:bCs/>
          <w:lang w:val="de-DE"/>
        </w:rPr>
        <w:t>dokuments</w:t>
      </w:r>
      <w:proofErr w:type="spellEnd"/>
      <w:r w:rsidRPr="00565D81">
        <w:rPr>
          <w:rFonts w:ascii="Times New Roman" w:hAnsi="Times New Roman" w:cs="Times New Roman"/>
          <w:bCs/>
          <w:lang w:val="de-DE"/>
        </w:rPr>
        <w:t xml:space="preserve">“ </w:t>
      </w:r>
      <w:proofErr w:type="spellStart"/>
      <w:r w:rsidRPr="00565D81">
        <w:rPr>
          <w:rFonts w:ascii="Times New Roman" w:hAnsi="Times New Roman" w:cs="Times New Roman"/>
          <w:bCs/>
          <w:lang w:val="de-DE"/>
        </w:rPr>
        <w:t>ir</w:t>
      </w:r>
      <w:proofErr w:type="spellEnd"/>
      <w:r w:rsidRPr="00565D81">
        <w:rPr>
          <w:rFonts w:ascii="Times New Roman" w:hAnsi="Times New Roman" w:cs="Times New Roman"/>
          <w:bCs/>
          <w:lang w:val="de-DE"/>
        </w:rPr>
        <w:t xml:space="preserve"> </w:t>
      </w:r>
      <w:proofErr w:type="spellStart"/>
      <w:r w:rsidRPr="00565D81">
        <w:rPr>
          <w:rFonts w:ascii="Times New Roman" w:hAnsi="Times New Roman" w:cs="Times New Roman"/>
          <w:bCs/>
          <w:lang w:val="de-DE"/>
        </w:rPr>
        <w:t>jāsaprot</w:t>
      </w:r>
      <w:proofErr w:type="spellEnd"/>
      <w:r w:rsidRPr="00565D81">
        <w:rPr>
          <w:rFonts w:ascii="Times New Roman" w:hAnsi="Times New Roman" w:cs="Times New Roman"/>
          <w:bCs/>
          <w:lang w:val="de-DE"/>
        </w:rPr>
        <w:t xml:space="preserve"> </w:t>
      </w:r>
      <w:proofErr w:type="spellStart"/>
      <w:r w:rsidRPr="00565D81">
        <w:rPr>
          <w:rFonts w:ascii="Times New Roman" w:hAnsi="Times New Roman" w:cs="Times New Roman"/>
          <w:bCs/>
          <w:lang w:val="de-DE"/>
        </w:rPr>
        <w:t>tāpat</w:t>
      </w:r>
      <w:proofErr w:type="spellEnd"/>
      <w:r w:rsidRPr="00565D81">
        <w:rPr>
          <w:rFonts w:ascii="Times New Roman" w:hAnsi="Times New Roman" w:cs="Times New Roman"/>
          <w:bCs/>
          <w:lang w:val="de-DE"/>
        </w:rPr>
        <w:t xml:space="preserve">, </w:t>
      </w:r>
      <w:proofErr w:type="spellStart"/>
      <w:r w:rsidRPr="00565D81">
        <w:rPr>
          <w:rFonts w:ascii="Times New Roman" w:hAnsi="Times New Roman" w:cs="Times New Roman"/>
          <w:bCs/>
          <w:lang w:val="de-DE"/>
        </w:rPr>
        <w:t>kā</w:t>
      </w:r>
      <w:proofErr w:type="spellEnd"/>
      <w:r w:rsidRPr="00565D81">
        <w:rPr>
          <w:rFonts w:ascii="Times New Roman" w:hAnsi="Times New Roman" w:cs="Times New Roman"/>
          <w:bCs/>
          <w:lang w:val="de-DE"/>
        </w:rPr>
        <w:t xml:space="preserve"> </w:t>
      </w:r>
      <w:proofErr w:type="spellStart"/>
      <w:r w:rsidRPr="00565D81">
        <w:rPr>
          <w:rFonts w:ascii="Times New Roman" w:hAnsi="Times New Roman" w:cs="Times New Roman"/>
          <w:bCs/>
          <w:lang w:val="de-DE"/>
        </w:rPr>
        <w:t>Notariāta</w:t>
      </w:r>
      <w:proofErr w:type="spellEnd"/>
      <w:r w:rsidRPr="00565D81">
        <w:rPr>
          <w:rFonts w:ascii="Times New Roman" w:hAnsi="Times New Roman" w:cs="Times New Roman"/>
          <w:bCs/>
          <w:lang w:val="de-DE"/>
        </w:rPr>
        <w:t xml:space="preserve"> </w:t>
      </w:r>
      <w:proofErr w:type="spellStart"/>
      <w:r w:rsidRPr="00565D81">
        <w:rPr>
          <w:rFonts w:ascii="Times New Roman" w:hAnsi="Times New Roman" w:cs="Times New Roman"/>
          <w:bCs/>
          <w:lang w:val="de-DE"/>
        </w:rPr>
        <w:t>likumā</w:t>
      </w:r>
      <w:proofErr w:type="spellEnd"/>
      <w:r w:rsidRPr="00565D81">
        <w:rPr>
          <w:rFonts w:ascii="Times New Roman" w:hAnsi="Times New Roman" w:cs="Times New Roman"/>
          <w:bCs/>
          <w:lang w:val="de-DE"/>
        </w:rPr>
        <w:t xml:space="preserve"> (</w:t>
      </w:r>
      <w:proofErr w:type="spellStart"/>
      <w:r w:rsidRPr="00565D81">
        <w:rPr>
          <w:rFonts w:ascii="Times New Roman" w:hAnsi="Times New Roman" w:cs="Times New Roman"/>
          <w:bCs/>
          <w:lang w:val="de-DE"/>
        </w:rPr>
        <w:t>un</w:t>
      </w:r>
      <w:proofErr w:type="spellEnd"/>
      <w:r w:rsidRPr="00565D81">
        <w:rPr>
          <w:rFonts w:ascii="Times New Roman" w:hAnsi="Times New Roman" w:cs="Times New Roman"/>
          <w:bCs/>
          <w:lang w:val="de-DE"/>
        </w:rPr>
        <w:t xml:space="preserve"> </w:t>
      </w:r>
      <w:proofErr w:type="spellStart"/>
      <w:r w:rsidRPr="00565D81">
        <w:rPr>
          <w:rFonts w:ascii="Times New Roman" w:hAnsi="Times New Roman" w:cs="Times New Roman"/>
          <w:bCs/>
          <w:lang w:val="de-DE"/>
        </w:rPr>
        <w:t>nevis</w:t>
      </w:r>
      <w:proofErr w:type="spellEnd"/>
      <w:r w:rsidRPr="00565D81">
        <w:rPr>
          <w:rFonts w:ascii="Times New Roman" w:hAnsi="Times New Roman" w:cs="Times New Roman"/>
          <w:bCs/>
          <w:lang w:val="de-DE"/>
        </w:rPr>
        <w:t xml:space="preserve"> </w:t>
      </w:r>
      <w:proofErr w:type="spellStart"/>
      <w:r w:rsidRPr="00565D81">
        <w:rPr>
          <w:rFonts w:ascii="Times New Roman" w:hAnsi="Times New Roman" w:cs="Times New Roman"/>
          <w:bCs/>
          <w:lang w:val="de-DE"/>
        </w:rPr>
        <w:t>Dokumentu</w:t>
      </w:r>
      <w:proofErr w:type="spellEnd"/>
      <w:r w:rsidRPr="00565D81">
        <w:rPr>
          <w:rFonts w:ascii="Times New Roman" w:hAnsi="Times New Roman" w:cs="Times New Roman"/>
          <w:bCs/>
          <w:lang w:val="de-DE"/>
        </w:rPr>
        <w:t xml:space="preserve"> </w:t>
      </w:r>
      <w:proofErr w:type="spellStart"/>
      <w:r w:rsidRPr="00565D81">
        <w:rPr>
          <w:rFonts w:ascii="Times New Roman" w:hAnsi="Times New Roman" w:cs="Times New Roman"/>
          <w:bCs/>
          <w:lang w:val="de-DE"/>
        </w:rPr>
        <w:t>legalizācijas</w:t>
      </w:r>
      <w:proofErr w:type="spellEnd"/>
      <w:r w:rsidRPr="00565D81">
        <w:rPr>
          <w:rFonts w:ascii="Times New Roman" w:hAnsi="Times New Roman" w:cs="Times New Roman"/>
          <w:bCs/>
          <w:lang w:val="de-DE"/>
        </w:rPr>
        <w:t xml:space="preserve"> </w:t>
      </w:r>
      <w:proofErr w:type="spellStart"/>
      <w:r w:rsidRPr="00565D81">
        <w:rPr>
          <w:rFonts w:ascii="Times New Roman" w:hAnsi="Times New Roman" w:cs="Times New Roman"/>
          <w:bCs/>
          <w:lang w:val="de-DE"/>
        </w:rPr>
        <w:t>likumā</w:t>
      </w:r>
      <w:proofErr w:type="spellEnd"/>
      <w:r w:rsidRPr="00565D81">
        <w:rPr>
          <w:rFonts w:ascii="Times New Roman" w:hAnsi="Times New Roman" w:cs="Times New Roman"/>
          <w:bCs/>
          <w:lang w:val="de-DE"/>
        </w:rPr>
        <w:t xml:space="preserve">, </w:t>
      </w:r>
      <w:proofErr w:type="spellStart"/>
      <w:r w:rsidRPr="00565D81">
        <w:rPr>
          <w:rFonts w:ascii="Times New Roman" w:hAnsi="Times New Roman" w:cs="Times New Roman"/>
          <w:bCs/>
          <w:lang w:val="de-DE"/>
        </w:rPr>
        <w:t>kas</w:t>
      </w:r>
      <w:proofErr w:type="spellEnd"/>
      <w:r w:rsidRPr="00565D81">
        <w:rPr>
          <w:rFonts w:ascii="Times New Roman" w:hAnsi="Times New Roman" w:cs="Times New Roman"/>
          <w:bCs/>
          <w:lang w:val="de-DE"/>
        </w:rPr>
        <w:t xml:space="preserve"> </w:t>
      </w:r>
      <w:proofErr w:type="spellStart"/>
      <w:r w:rsidRPr="00565D81">
        <w:rPr>
          <w:rFonts w:ascii="Times New Roman" w:hAnsi="Times New Roman" w:cs="Times New Roman"/>
          <w:bCs/>
          <w:lang w:val="de-DE"/>
        </w:rPr>
        <w:t>tālāk</w:t>
      </w:r>
      <w:proofErr w:type="spellEnd"/>
      <w:r w:rsidRPr="00565D81">
        <w:rPr>
          <w:rFonts w:ascii="Times New Roman" w:hAnsi="Times New Roman" w:cs="Times New Roman"/>
          <w:bCs/>
          <w:lang w:val="de-DE"/>
        </w:rPr>
        <w:t xml:space="preserve"> </w:t>
      </w:r>
      <w:proofErr w:type="spellStart"/>
      <w:r w:rsidRPr="00565D81">
        <w:rPr>
          <w:rFonts w:ascii="Times New Roman" w:hAnsi="Times New Roman" w:cs="Times New Roman"/>
          <w:bCs/>
          <w:lang w:val="de-DE"/>
        </w:rPr>
        <w:t>jau</w:t>
      </w:r>
      <w:proofErr w:type="spellEnd"/>
      <w:r w:rsidRPr="00565D81">
        <w:rPr>
          <w:rFonts w:ascii="Times New Roman" w:hAnsi="Times New Roman" w:cs="Times New Roman"/>
          <w:bCs/>
          <w:lang w:val="de-DE"/>
        </w:rPr>
        <w:t xml:space="preserve"> nosūta </w:t>
      </w:r>
      <w:proofErr w:type="spellStart"/>
      <w:r w:rsidRPr="00565D81">
        <w:rPr>
          <w:rFonts w:ascii="Times New Roman" w:hAnsi="Times New Roman" w:cs="Times New Roman"/>
          <w:bCs/>
          <w:lang w:val="de-DE"/>
        </w:rPr>
        <w:t>pie</w:t>
      </w:r>
      <w:proofErr w:type="spellEnd"/>
      <w:r w:rsidRPr="00565D81">
        <w:rPr>
          <w:rFonts w:ascii="Times New Roman" w:hAnsi="Times New Roman" w:cs="Times New Roman"/>
          <w:bCs/>
          <w:lang w:val="de-DE"/>
        </w:rPr>
        <w:t xml:space="preserve"> </w:t>
      </w:r>
      <w:proofErr w:type="spellStart"/>
      <w:r w:rsidRPr="00565D81">
        <w:rPr>
          <w:rFonts w:ascii="Times New Roman" w:hAnsi="Times New Roman" w:cs="Times New Roman"/>
          <w:bCs/>
          <w:lang w:val="de-DE"/>
        </w:rPr>
        <w:t>Hāgas</w:t>
      </w:r>
      <w:proofErr w:type="spellEnd"/>
      <w:r w:rsidRPr="00565D81">
        <w:rPr>
          <w:rFonts w:ascii="Times New Roman" w:hAnsi="Times New Roman" w:cs="Times New Roman"/>
          <w:bCs/>
          <w:lang w:val="de-DE"/>
        </w:rPr>
        <w:t xml:space="preserve"> </w:t>
      </w:r>
      <w:proofErr w:type="spellStart"/>
      <w:r w:rsidRPr="00565D81">
        <w:rPr>
          <w:rFonts w:ascii="Times New Roman" w:hAnsi="Times New Roman" w:cs="Times New Roman"/>
          <w:bCs/>
          <w:lang w:val="de-DE"/>
        </w:rPr>
        <w:t>dokumentu</w:t>
      </w:r>
      <w:proofErr w:type="spellEnd"/>
      <w:r w:rsidRPr="00565D81">
        <w:rPr>
          <w:rFonts w:ascii="Times New Roman" w:hAnsi="Times New Roman" w:cs="Times New Roman"/>
          <w:bCs/>
          <w:lang w:val="de-DE"/>
        </w:rPr>
        <w:t xml:space="preserve"> </w:t>
      </w:r>
      <w:proofErr w:type="spellStart"/>
      <w:r w:rsidRPr="00565D81">
        <w:rPr>
          <w:rFonts w:ascii="Times New Roman" w:hAnsi="Times New Roman" w:cs="Times New Roman"/>
          <w:bCs/>
          <w:lang w:val="de-DE"/>
        </w:rPr>
        <w:t>legalizācijas</w:t>
      </w:r>
      <w:proofErr w:type="spellEnd"/>
      <w:r w:rsidRPr="00565D81">
        <w:rPr>
          <w:rFonts w:ascii="Times New Roman" w:hAnsi="Times New Roman" w:cs="Times New Roman"/>
          <w:bCs/>
          <w:lang w:val="de-DE"/>
        </w:rPr>
        <w:t xml:space="preserve"> </w:t>
      </w:r>
      <w:proofErr w:type="spellStart"/>
      <w:r w:rsidRPr="00565D81">
        <w:rPr>
          <w:rFonts w:ascii="Times New Roman" w:hAnsi="Times New Roman" w:cs="Times New Roman"/>
          <w:bCs/>
          <w:lang w:val="de-DE"/>
        </w:rPr>
        <w:t>atcelšanas</w:t>
      </w:r>
      <w:proofErr w:type="spellEnd"/>
      <w:r w:rsidRPr="00565D81">
        <w:rPr>
          <w:rFonts w:ascii="Times New Roman" w:hAnsi="Times New Roman" w:cs="Times New Roman"/>
          <w:bCs/>
          <w:lang w:val="de-DE"/>
        </w:rPr>
        <w:t xml:space="preserve"> </w:t>
      </w:r>
      <w:proofErr w:type="spellStart"/>
      <w:r w:rsidRPr="00565D81">
        <w:rPr>
          <w:rFonts w:ascii="Times New Roman" w:hAnsi="Times New Roman" w:cs="Times New Roman"/>
          <w:bCs/>
          <w:lang w:val="de-DE"/>
        </w:rPr>
        <w:t>konvencijas</w:t>
      </w:r>
      <w:proofErr w:type="spellEnd"/>
      <w:r w:rsidRPr="00565D81">
        <w:rPr>
          <w:rFonts w:ascii="Times New Roman" w:hAnsi="Times New Roman" w:cs="Times New Roman"/>
          <w:bCs/>
          <w:lang w:val="de-DE"/>
        </w:rPr>
        <w:t xml:space="preserve"> </w:t>
      </w:r>
      <w:proofErr w:type="spellStart"/>
      <w:r w:rsidRPr="00565D81">
        <w:rPr>
          <w:rFonts w:ascii="Times New Roman" w:hAnsi="Times New Roman" w:cs="Times New Roman"/>
          <w:bCs/>
          <w:lang w:val="de-DE"/>
        </w:rPr>
        <w:t>normām</w:t>
      </w:r>
      <w:proofErr w:type="spellEnd"/>
      <w:r w:rsidRPr="00565D81">
        <w:rPr>
          <w:rFonts w:ascii="Times New Roman" w:hAnsi="Times New Roman" w:cs="Times New Roman"/>
          <w:bCs/>
          <w:lang w:val="de-DE"/>
        </w:rPr>
        <w:t xml:space="preserve">). </w:t>
      </w:r>
    </w:p>
    <w:p w14:paraId="3FDE5BB6" w14:textId="429AB2B5" w:rsidR="00114953" w:rsidRPr="00565D81" w:rsidRDefault="00114953" w:rsidP="00114953">
      <w:pPr>
        <w:ind w:firstLine="708"/>
        <w:jc w:val="both"/>
        <w:rPr>
          <w:rFonts w:ascii="Times New Roman" w:hAnsi="Times New Roman" w:cs="Times New Roman"/>
          <w:bCs/>
          <w:lang w:val="de-DE"/>
        </w:rPr>
      </w:pPr>
      <w:proofErr w:type="spellStart"/>
      <w:r w:rsidRPr="00565D81">
        <w:rPr>
          <w:rFonts w:ascii="Times New Roman" w:hAnsi="Times New Roman" w:cs="Times New Roman"/>
          <w:bCs/>
          <w:lang w:val="de-DE"/>
        </w:rPr>
        <w:t>Šajā</w:t>
      </w:r>
      <w:proofErr w:type="spellEnd"/>
      <w:r w:rsidRPr="00565D81">
        <w:rPr>
          <w:rFonts w:ascii="Times New Roman" w:hAnsi="Times New Roman" w:cs="Times New Roman"/>
          <w:bCs/>
          <w:lang w:val="de-DE"/>
        </w:rPr>
        <w:t xml:space="preserve"> </w:t>
      </w:r>
      <w:proofErr w:type="spellStart"/>
      <w:r w:rsidRPr="00565D81">
        <w:rPr>
          <w:rFonts w:ascii="Times New Roman" w:hAnsi="Times New Roman" w:cs="Times New Roman"/>
          <w:bCs/>
          <w:lang w:val="de-DE"/>
        </w:rPr>
        <w:t>sakarā</w:t>
      </w:r>
      <w:proofErr w:type="spellEnd"/>
      <w:r w:rsidRPr="00565D81">
        <w:rPr>
          <w:rFonts w:ascii="Times New Roman" w:hAnsi="Times New Roman" w:cs="Times New Roman"/>
          <w:bCs/>
          <w:lang w:val="de-DE"/>
        </w:rPr>
        <w:t xml:space="preserve"> </w:t>
      </w:r>
      <w:proofErr w:type="spellStart"/>
      <w:r w:rsidRPr="00565D81">
        <w:rPr>
          <w:rFonts w:ascii="Times New Roman" w:hAnsi="Times New Roman" w:cs="Times New Roman"/>
          <w:bCs/>
          <w:lang w:val="de-DE"/>
        </w:rPr>
        <w:t>būtu</w:t>
      </w:r>
      <w:proofErr w:type="spellEnd"/>
      <w:r w:rsidRPr="00565D81">
        <w:rPr>
          <w:rFonts w:ascii="Times New Roman" w:hAnsi="Times New Roman" w:cs="Times New Roman"/>
          <w:bCs/>
          <w:lang w:val="de-DE"/>
        </w:rPr>
        <w:t xml:space="preserve"> </w:t>
      </w:r>
      <w:proofErr w:type="spellStart"/>
      <w:r w:rsidRPr="00565D81">
        <w:rPr>
          <w:rFonts w:ascii="Times New Roman" w:hAnsi="Times New Roman" w:cs="Times New Roman"/>
          <w:bCs/>
          <w:lang w:val="de-DE"/>
        </w:rPr>
        <w:t>jāmin</w:t>
      </w:r>
      <w:proofErr w:type="spellEnd"/>
      <w:r w:rsidRPr="00565D81">
        <w:rPr>
          <w:rFonts w:ascii="Times New Roman" w:hAnsi="Times New Roman" w:cs="Times New Roman"/>
          <w:bCs/>
          <w:lang w:val="de-DE"/>
        </w:rPr>
        <w:t xml:space="preserve"> </w:t>
      </w:r>
      <w:proofErr w:type="spellStart"/>
      <w:r w:rsidRPr="00565D81">
        <w:rPr>
          <w:rFonts w:ascii="Times New Roman" w:hAnsi="Times New Roman" w:cs="Times New Roman"/>
          <w:b/>
          <w:bCs/>
          <w:lang w:val="de-DE"/>
        </w:rPr>
        <w:t>Rīgas</w:t>
      </w:r>
      <w:proofErr w:type="spellEnd"/>
      <w:r w:rsidRPr="00565D81">
        <w:rPr>
          <w:rFonts w:ascii="Times New Roman" w:hAnsi="Times New Roman" w:cs="Times New Roman"/>
          <w:b/>
          <w:bCs/>
          <w:lang w:val="de-DE"/>
        </w:rPr>
        <w:t xml:space="preserve"> </w:t>
      </w:r>
      <w:proofErr w:type="spellStart"/>
      <w:r w:rsidRPr="00565D81">
        <w:rPr>
          <w:rFonts w:ascii="Times New Roman" w:hAnsi="Times New Roman" w:cs="Times New Roman"/>
          <w:b/>
          <w:bCs/>
          <w:lang w:val="de-DE"/>
        </w:rPr>
        <w:t>apgabaltiesas</w:t>
      </w:r>
      <w:proofErr w:type="spellEnd"/>
      <w:r w:rsidRPr="00565D81">
        <w:rPr>
          <w:rFonts w:ascii="Times New Roman" w:hAnsi="Times New Roman" w:cs="Times New Roman"/>
          <w:b/>
          <w:bCs/>
          <w:lang w:val="de-DE"/>
        </w:rPr>
        <w:t xml:space="preserve"> 2016.gada 20.jūnija </w:t>
      </w:r>
      <w:proofErr w:type="spellStart"/>
      <w:r w:rsidRPr="00565D81">
        <w:rPr>
          <w:rFonts w:ascii="Times New Roman" w:hAnsi="Times New Roman" w:cs="Times New Roman"/>
          <w:b/>
          <w:bCs/>
          <w:lang w:val="de-DE"/>
        </w:rPr>
        <w:t>lēmums</w:t>
      </w:r>
      <w:proofErr w:type="spellEnd"/>
      <w:r w:rsidRPr="00565D81">
        <w:rPr>
          <w:rFonts w:ascii="Times New Roman" w:hAnsi="Times New Roman" w:cs="Times New Roman"/>
          <w:b/>
          <w:bCs/>
          <w:lang w:val="de-DE"/>
        </w:rPr>
        <w:t xml:space="preserve"> </w:t>
      </w:r>
      <w:proofErr w:type="spellStart"/>
      <w:r w:rsidRPr="00565D81">
        <w:rPr>
          <w:rFonts w:ascii="Times New Roman" w:hAnsi="Times New Roman" w:cs="Times New Roman"/>
          <w:b/>
          <w:bCs/>
          <w:lang w:val="de-DE"/>
        </w:rPr>
        <w:t>lietā</w:t>
      </w:r>
      <w:proofErr w:type="spellEnd"/>
      <w:r w:rsidRPr="00565D81">
        <w:rPr>
          <w:rFonts w:ascii="Times New Roman" w:hAnsi="Times New Roman" w:cs="Times New Roman"/>
          <w:b/>
          <w:bCs/>
          <w:lang w:val="de-DE"/>
        </w:rPr>
        <w:t xml:space="preserve"> Nr. C04258014</w:t>
      </w:r>
      <w:r w:rsidRPr="00565D81">
        <w:rPr>
          <w:rStyle w:val="FootnoteReference"/>
          <w:rFonts w:ascii="Times New Roman" w:hAnsi="Times New Roman" w:cs="Times New Roman"/>
          <w:bCs/>
          <w:lang w:val="de-DE"/>
        </w:rPr>
        <w:footnoteReference w:id="122"/>
      </w:r>
      <w:r w:rsidRPr="00565D81">
        <w:rPr>
          <w:rFonts w:ascii="Times New Roman" w:hAnsi="Times New Roman" w:cs="Times New Roman"/>
          <w:bCs/>
          <w:lang w:val="de-DE"/>
        </w:rPr>
        <w:t xml:space="preserve">, </w:t>
      </w:r>
      <w:proofErr w:type="spellStart"/>
      <w:r w:rsidRPr="00565D81">
        <w:rPr>
          <w:rFonts w:ascii="Times New Roman" w:hAnsi="Times New Roman" w:cs="Times New Roman"/>
          <w:bCs/>
          <w:lang w:val="de-DE"/>
        </w:rPr>
        <w:t>kur</w:t>
      </w:r>
      <w:proofErr w:type="spellEnd"/>
      <w:r w:rsidRPr="00565D81">
        <w:rPr>
          <w:rFonts w:ascii="Times New Roman" w:hAnsi="Times New Roman" w:cs="Times New Roman"/>
          <w:bCs/>
          <w:lang w:val="de-DE"/>
        </w:rPr>
        <w:t xml:space="preserve"> </w:t>
      </w:r>
      <w:proofErr w:type="spellStart"/>
      <w:r w:rsidRPr="00565D81">
        <w:rPr>
          <w:rFonts w:ascii="Times New Roman" w:hAnsi="Times New Roman" w:cs="Times New Roman"/>
          <w:bCs/>
          <w:lang w:val="de-DE"/>
        </w:rPr>
        <w:t>tiesa</w:t>
      </w:r>
      <w:proofErr w:type="spellEnd"/>
      <w:r w:rsidRPr="00565D81">
        <w:rPr>
          <w:rFonts w:ascii="Times New Roman" w:hAnsi="Times New Roman" w:cs="Times New Roman"/>
          <w:bCs/>
          <w:lang w:val="de-DE"/>
        </w:rPr>
        <w:t xml:space="preserve"> </w:t>
      </w:r>
      <w:proofErr w:type="spellStart"/>
      <w:r w:rsidRPr="00565D81">
        <w:rPr>
          <w:rFonts w:ascii="Times New Roman" w:hAnsi="Times New Roman" w:cs="Times New Roman"/>
          <w:bCs/>
          <w:lang w:val="de-DE"/>
        </w:rPr>
        <w:t>cita</w:t>
      </w:r>
      <w:proofErr w:type="spellEnd"/>
      <w:r w:rsidRPr="00565D81">
        <w:rPr>
          <w:rFonts w:ascii="Times New Roman" w:hAnsi="Times New Roman" w:cs="Times New Roman"/>
          <w:bCs/>
          <w:lang w:val="de-DE"/>
        </w:rPr>
        <w:t xml:space="preserve"> </w:t>
      </w:r>
      <w:proofErr w:type="spellStart"/>
      <w:r w:rsidRPr="00565D81">
        <w:rPr>
          <w:rFonts w:ascii="Times New Roman" w:hAnsi="Times New Roman" w:cs="Times New Roman"/>
          <w:bCs/>
          <w:lang w:val="de-DE"/>
        </w:rPr>
        <w:t>starpā</w:t>
      </w:r>
      <w:proofErr w:type="spellEnd"/>
      <w:r w:rsidRPr="00565D81">
        <w:rPr>
          <w:rFonts w:ascii="Times New Roman" w:hAnsi="Times New Roman" w:cs="Times New Roman"/>
          <w:bCs/>
          <w:lang w:val="de-DE"/>
        </w:rPr>
        <w:t xml:space="preserve"> </w:t>
      </w:r>
      <w:proofErr w:type="spellStart"/>
      <w:r w:rsidRPr="00565D81">
        <w:rPr>
          <w:rFonts w:ascii="Times New Roman" w:hAnsi="Times New Roman" w:cs="Times New Roman"/>
          <w:bCs/>
          <w:lang w:val="de-DE"/>
        </w:rPr>
        <w:t>skatīja</w:t>
      </w:r>
      <w:proofErr w:type="spellEnd"/>
      <w:r w:rsidRPr="00565D81">
        <w:rPr>
          <w:rFonts w:ascii="Times New Roman" w:hAnsi="Times New Roman" w:cs="Times New Roman"/>
          <w:bCs/>
          <w:lang w:val="de-DE"/>
        </w:rPr>
        <w:t xml:space="preserve"> </w:t>
      </w:r>
      <w:proofErr w:type="spellStart"/>
      <w:r w:rsidRPr="00565D81">
        <w:rPr>
          <w:rFonts w:ascii="Times New Roman" w:hAnsi="Times New Roman" w:cs="Times New Roman"/>
          <w:bCs/>
          <w:lang w:val="de-DE"/>
        </w:rPr>
        <w:t>jautājumu</w:t>
      </w:r>
      <w:proofErr w:type="spellEnd"/>
      <w:r w:rsidRPr="00565D81">
        <w:rPr>
          <w:rFonts w:ascii="Times New Roman" w:hAnsi="Times New Roman" w:cs="Times New Roman"/>
          <w:bCs/>
          <w:lang w:val="de-DE"/>
        </w:rPr>
        <w:t xml:space="preserve"> par </w:t>
      </w:r>
      <w:proofErr w:type="spellStart"/>
      <w:r w:rsidRPr="00565D81">
        <w:rPr>
          <w:rFonts w:ascii="Times New Roman" w:hAnsi="Times New Roman" w:cs="Times New Roman"/>
          <w:bCs/>
          <w:lang w:val="de-DE"/>
        </w:rPr>
        <w:t>publiska</w:t>
      </w:r>
      <w:proofErr w:type="spellEnd"/>
      <w:r w:rsidRPr="00565D81">
        <w:rPr>
          <w:rFonts w:ascii="Times New Roman" w:hAnsi="Times New Roman" w:cs="Times New Roman"/>
          <w:bCs/>
          <w:lang w:val="de-DE"/>
        </w:rPr>
        <w:t xml:space="preserve"> </w:t>
      </w:r>
      <w:proofErr w:type="spellStart"/>
      <w:r w:rsidRPr="00565D81">
        <w:rPr>
          <w:rFonts w:ascii="Times New Roman" w:hAnsi="Times New Roman" w:cs="Times New Roman"/>
          <w:bCs/>
          <w:lang w:val="de-DE"/>
        </w:rPr>
        <w:t>dokumenta</w:t>
      </w:r>
      <w:proofErr w:type="spellEnd"/>
      <w:r w:rsidRPr="00565D81">
        <w:rPr>
          <w:rFonts w:ascii="Times New Roman" w:hAnsi="Times New Roman" w:cs="Times New Roman"/>
          <w:bCs/>
          <w:lang w:val="de-DE"/>
        </w:rPr>
        <w:t xml:space="preserve"> </w:t>
      </w:r>
      <w:proofErr w:type="spellStart"/>
      <w:r w:rsidRPr="00565D81">
        <w:rPr>
          <w:rFonts w:ascii="Times New Roman" w:hAnsi="Times New Roman" w:cs="Times New Roman"/>
          <w:bCs/>
          <w:lang w:val="de-DE"/>
        </w:rPr>
        <w:t>izpratni</w:t>
      </w:r>
      <w:proofErr w:type="spellEnd"/>
      <w:r w:rsidRPr="00565D81">
        <w:rPr>
          <w:rFonts w:ascii="Times New Roman" w:hAnsi="Times New Roman" w:cs="Times New Roman"/>
          <w:bCs/>
          <w:lang w:val="de-DE"/>
        </w:rPr>
        <w:t xml:space="preserve"> </w:t>
      </w:r>
      <w:proofErr w:type="spellStart"/>
      <w:r w:rsidRPr="00565D81">
        <w:rPr>
          <w:rFonts w:ascii="Times New Roman" w:hAnsi="Times New Roman" w:cs="Times New Roman"/>
          <w:bCs/>
          <w:lang w:val="de-DE"/>
        </w:rPr>
        <w:t>Notariāta</w:t>
      </w:r>
      <w:proofErr w:type="spellEnd"/>
      <w:r w:rsidRPr="00565D81">
        <w:rPr>
          <w:rFonts w:ascii="Times New Roman" w:hAnsi="Times New Roman" w:cs="Times New Roman"/>
          <w:bCs/>
          <w:lang w:val="de-DE"/>
        </w:rPr>
        <w:t xml:space="preserve"> </w:t>
      </w:r>
      <w:proofErr w:type="spellStart"/>
      <w:r w:rsidRPr="00565D81">
        <w:rPr>
          <w:rFonts w:ascii="Times New Roman" w:hAnsi="Times New Roman" w:cs="Times New Roman"/>
          <w:bCs/>
          <w:lang w:val="de-DE"/>
        </w:rPr>
        <w:t>likuma</w:t>
      </w:r>
      <w:proofErr w:type="spellEnd"/>
      <w:r w:rsidRPr="00565D81">
        <w:rPr>
          <w:rFonts w:ascii="Times New Roman" w:hAnsi="Times New Roman" w:cs="Times New Roman"/>
          <w:bCs/>
          <w:lang w:val="de-DE"/>
        </w:rPr>
        <w:t xml:space="preserve"> 83.panta </w:t>
      </w:r>
      <w:proofErr w:type="spellStart"/>
      <w:r w:rsidRPr="00565D81">
        <w:rPr>
          <w:rFonts w:ascii="Times New Roman" w:hAnsi="Times New Roman" w:cs="Times New Roman"/>
          <w:bCs/>
          <w:lang w:val="de-DE"/>
        </w:rPr>
        <w:t>otrā</w:t>
      </w:r>
      <w:r w:rsidR="00275C12">
        <w:rPr>
          <w:rFonts w:ascii="Times New Roman" w:hAnsi="Times New Roman" w:cs="Times New Roman"/>
          <w:bCs/>
          <w:lang w:val="de-DE"/>
        </w:rPr>
        <w:t>s</w:t>
      </w:r>
      <w:proofErr w:type="spellEnd"/>
      <w:r w:rsidR="00275C12">
        <w:rPr>
          <w:rFonts w:ascii="Times New Roman" w:hAnsi="Times New Roman" w:cs="Times New Roman"/>
          <w:bCs/>
          <w:lang w:val="de-DE"/>
        </w:rPr>
        <w:t xml:space="preserve"> </w:t>
      </w:r>
      <w:proofErr w:type="spellStart"/>
      <w:r w:rsidR="00275C12">
        <w:rPr>
          <w:rFonts w:ascii="Times New Roman" w:hAnsi="Times New Roman" w:cs="Times New Roman"/>
          <w:bCs/>
          <w:lang w:val="de-DE"/>
        </w:rPr>
        <w:t>daļas</w:t>
      </w:r>
      <w:proofErr w:type="spellEnd"/>
      <w:r w:rsidR="00275C12">
        <w:rPr>
          <w:rFonts w:ascii="Times New Roman" w:hAnsi="Times New Roman" w:cs="Times New Roman"/>
          <w:bCs/>
          <w:lang w:val="de-DE"/>
        </w:rPr>
        <w:t xml:space="preserve"> </w:t>
      </w:r>
      <w:proofErr w:type="spellStart"/>
      <w:r w:rsidR="00275C12">
        <w:rPr>
          <w:rFonts w:ascii="Times New Roman" w:hAnsi="Times New Roman" w:cs="Times New Roman"/>
          <w:bCs/>
          <w:lang w:val="de-DE"/>
        </w:rPr>
        <w:t>kontekstā</w:t>
      </w:r>
      <w:proofErr w:type="spellEnd"/>
      <w:r w:rsidR="00275C12">
        <w:rPr>
          <w:rFonts w:ascii="Times New Roman" w:hAnsi="Times New Roman" w:cs="Times New Roman"/>
          <w:bCs/>
          <w:lang w:val="de-DE"/>
        </w:rPr>
        <w:t xml:space="preserve">. </w:t>
      </w:r>
      <w:proofErr w:type="spellStart"/>
      <w:r w:rsidR="00275C12">
        <w:rPr>
          <w:rFonts w:ascii="Times New Roman" w:hAnsi="Times New Roman" w:cs="Times New Roman"/>
          <w:bCs/>
          <w:lang w:val="de-DE"/>
        </w:rPr>
        <w:t>Proti</w:t>
      </w:r>
      <w:proofErr w:type="spellEnd"/>
      <w:r w:rsidR="00275C12">
        <w:rPr>
          <w:rFonts w:ascii="Times New Roman" w:hAnsi="Times New Roman" w:cs="Times New Roman"/>
          <w:bCs/>
          <w:lang w:val="de-DE"/>
        </w:rPr>
        <w:t xml:space="preserve">, </w:t>
      </w:r>
      <w:proofErr w:type="spellStart"/>
      <w:r w:rsidR="00275C12">
        <w:rPr>
          <w:rFonts w:ascii="Times New Roman" w:hAnsi="Times New Roman" w:cs="Times New Roman"/>
          <w:bCs/>
          <w:lang w:val="de-DE"/>
        </w:rPr>
        <w:t>vai</w:t>
      </w:r>
      <w:proofErr w:type="spellEnd"/>
      <w:r w:rsidR="00275C12">
        <w:rPr>
          <w:rFonts w:ascii="Times New Roman" w:hAnsi="Times New Roman" w:cs="Times New Roman"/>
          <w:bCs/>
          <w:lang w:val="de-DE"/>
        </w:rPr>
        <w:t xml:space="preserve"> </w:t>
      </w:r>
      <w:proofErr w:type="spellStart"/>
      <w:r w:rsidR="00275C12">
        <w:rPr>
          <w:rFonts w:ascii="Times New Roman" w:hAnsi="Times New Roman" w:cs="Times New Roman"/>
          <w:bCs/>
          <w:lang w:val="de-DE"/>
        </w:rPr>
        <w:t>ģe</w:t>
      </w:r>
      <w:r w:rsidRPr="00565D81">
        <w:rPr>
          <w:rFonts w:ascii="Times New Roman" w:hAnsi="Times New Roman" w:cs="Times New Roman"/>
          <w:bCs/>
          <w:lang w:val="de-DE"/>
        </w:rPr>
        <w:t>nerālpilnvara</w:t>
      </w:r>
      <w:proofErr w:type="spellEnd"/>
      <w:r w:rsidRPr="00565D81">
        <w:rPr>
          <w:rFonts w:ascii="Times New Roman" w:hAnsi="Times New Roman" w:cs="Times New Roman"/>
          <w:bCs/>
          <w:lang w:val="de-DE"/>
        </w:rPr>
        <w:t xml:space="preserve">, </w:t>
      </w:r>
      <w:proofErr w:type="spellStart"/>
      <w:r w:rsidRPr="00565D81">
        <w:rPr>
          <w:rFonts w:ascii="Times New Roman" w:hAnsi="Times New Roman" w:cs="Times New Roman"/>
          <w:bCs/>
          <w:lang w:val="de-DE"/>
        </w:rPr>
        <w:t>kuru</w:t>
      </w:r>
      <w:proofErr w:type="spellEnd"/>
      <w:r w:rsidRPr="00565D81">
        <w:rPr>
          <w:rFonts w:ascii="Times New Roman" w:hAnsi="Times New Roman" w:cs="Times New Roman"/>
          <w:bCs/>
          <w:lang w:val="de-DE"/>
        </w:rPr>
        <w:t xml:space="preserve"> </w:t>
      </w:r>
      <w:proofErr w:type="spellStart"/>
      <w:r w:rsidRPr="00565D81">
        <w:rPr>
          <w:rFonts w:ascii="Times New Roman" w:hAnsi="Times New Roman" w:cs="Times New Roman"/>
          <w:bCs/>
          <w:lang w:val="de-DE"/>
        </w:rPr>
        <w:t>apliecinājis</w:t>
      </w:r>
      <w:proofErr w:type="spellEnd"/>
      <w:r w:rsidRPr="00565D81">
        <w:rPr>
          <w:rFonts w:ascii="Times New Roman" w:hAnsi="Times New Roman" w:cs="Times New Roman"/>
          <w:bCs/>
          <w:lang w:val="de-DE"/>
        </w:rPr>
        <w:t xml:space="preserve"> </w:t>
      </w:r>
      <w:proofErr w:type="spellStart"/>
      <w:r w:rsidRPr="00565D81">
        <w:rPr>
          <w:rFonts w:ascii="Times New Roman" w:hAnsi="Times New Roman" w:cs="Times New Roman"/>
          <w:bCs/>
          <w:lang w:val="de-DE"/>
        </w:rPr>
        <w:t>Lielbritānijas</w:t>
      </w:r>
      <w:proofErr w:type="spellEnd"/>
      <w:r w:rsidRPr="00565D81">
        <w:rPr>
          <w:rFonts w:ascii="Times New Roman" w:hAnsi="Times New Roman" w:cs="Times New Roman"/>
          <w:bCs/>
          <w:lang w:val="de-DE"/>
        </w:rPr>
        <w:t xml:space="preserve"> </w:t>
      </w:r>
      <w:proofErr w:type="spellStart"/>
      <w:r w:rsidRPr="00565D81">
        <w:rPr>
          <w:rFonts w:ascii="Times New Roman" w:hAnsi="Times New Roman" w:cs="Times New Roman"/>
          <w:bCs/>
          <w:lang w:val="de-DE"/>
        </w:rPr>
        <w:t>un</w:t>
      </w:r>
      <w:proofErr w:type="spellEnd"/>
      <w:r w:rsidRPr="00565D81">
        <w:rPr>
          <w:rFonts w:ascii="Times New Roman" w:hAnsi="Times New Roman" w:cs="Times New Roman"/>
          <w:bCs/>
          <w:lang w:val="de-DE"/>
        </w:rPr>
        <w:t xml:space="preserve"> </w:t>
      </w:r>
      <w:proofErr w:type="spellStart"/>
      <w:r w:rsidRPr="00565D81">
        <w:rPr>
          <w:rFonts w:ascii="Times New Roman" w:hAnsi="Times New Roman" w:cs="Times New Roman"/>
          <w:bCs/>
          <w:lang w:val="de-DE"/>
        </w:rPr>
        <w:t>Ziemeļīrijas</w:t>
      </w:r>
      <w:proofErr w:type="spellEnd"/>
      <w:r w:rsidRPr="00565D81">
        <w:rPr>
          <w:rFonts w:ascii="Times New Roman" w:hAnsi="Times New Roman" w:cs="Times New Roman"/>
          <w:bCs/>
          <w:lang w:val="de-DE"/>
        </w:rPr>
        <w:t xml:space="preserve"> </w:t>
      </w:r>
      <w:proofErr w:type="spellStart"/>
      <w:r w:rsidRPr="00565D81">
        <w:rPr>
          <w:rFonts w:ascii="Times New Roman" w:hAnsi="Times New Roman" w:cs="Times New Roman"/>
          <w:bCs/>
          <w:lang w:val="de-DE"/>
        </w:rPr>
        <w:t>Apvientās</w:t>
      </w:r>
      <w:proofErr w:type="spellEnd"/>
      <w:r w:rsidRPr="00565D81">
        <w:rPr>
          <w:rFonts w:ascii="Times New Roman" w:hAnsi="Times New Roman" w:cs="Times New Roman"/>
          <w:bCs/>
          <w:lang w:val="de-DE"/>
        </w:rPr>
        <w:t xml:space="preserve"> </w:t>
      </w:r>
      <w:proofErr w:type="spellStart"/>
      <w:r w:rsidRPr="00565D81">
        <w:rPr>
          <w:rFonts w:ascii="Times New Roman" w:hAnsi="Times New Roman" w:cs="Times New Roman"/>
          <w:bCs/>
          <w:lang w:val="de-DE"/>
        </w:rPr>
        <w:t>karalistes</w:t>
      </w:r>
      <w:proofErr w:type="spellEnd"/>
      <w:r w:rsidRPr="00565D81">
        <w:rPr>
          <w:rFonts w:ascii="Times New Roman" w:hAnsi="Times New Roman" w:cs="Times New Roman"/>
          <w:bCs/>
          <w:lang w:val="de-DE"/>
        </w:rPr>
        <w:t xml:space="preserve"> </w:t>
      </w:r>
      <w:proofErr w:type="spellStart"/>
      <w:r w:rsidRPr="00565D81">
        <w:rPr>
          <w:rFonts w:ascii="Times New Roman" w:hAnsi="Times New Roman" w:cs="Times New Roman"/>
          <w:bCs/>
          <w:lang w:val="de-DE"/>
        </w:rPr>
        <w:t>notārs</w:t>
      </w:r>
      <w:proofErr w:type="spellEnd"/>
      <w:r w:rsidRPr="00565D81">
        <w:rPr>
          <w:rFonts w:ascii="Times New Roman" w:hAnsi="Times New Roman" w:cs="Times New Roman"/>
          <w:bCs/>
          <w:lang w:val="de-DE"/>
        </w:rPr>
        <w:t xml:space="preserve">, </w:t>
      </w:r>
      <w:proofErr w:type="spellStart"/>
      <w:r w:rsidRPr="00565D81">
        <w:rPr>
          <w:rFonts w:ascii="Times New Roman" w:hAnsi="Times New Roman" w:cs="Times New Roman"/>
          <w:bCs/>
          <w:lang w:val="de-DE"/>
        </w:rPr>
        <w:t>ir</w:t>
      </w:r>
      <w:proofErr w:type="spellEnd"/>
      <w:r w:rsidRPr="00565D81">
        <w:rPr>
          <w:rFonts w:ascii="Times New Roman" w:hAnsi="Times New Roman" w:cs="Times New Roman"/>
          <w:bCs/>
          <w:lang w:val="de-DE"/>
        </w:rPr>
        <w:t xml:space="preserve"> </w:t>
      </w:r>
      <w:proofErr w:type="spellStart"/>
      <w:r w:rsidRPr="00565D81">
        <w:rPr>
          <w:rFonts w:ascii="Times New Roman" w:hAnsi="Times New Roman" w:cs="Times New Roman"/>
          <w:bCs/>
          <w:lang w:val="de-DE"/>
        </w:rPr>
        <w:t>uzskatāma</w:t>
      </w:r>
      <w:proofErr w:type="spellEnd"/>
      <w:r w:rsidRPr="00565D81">
        <w:rPr>
          <w:rFonts w:ascii="Times New Roman" w:hAnsi="Times New Roman" w:cs="Times New Roman"/>
          <w:bCs/>
          <w:lang w:val="de-DE"/>
        </w:rPr>
        <w:t xml:space="preserve"> par </w:t>
      </w:r>
      <w:proofErr w:type="spellStart"/>
      <w:r w:rsidRPr="00565D81">
        <w:rPr>
          <w:rFonts w:ascii="Times New Roman" w:hAnsi="Times New Roman" w:cs="Times New Roman"/>
          <w:bCs/>
          <w:lang w:val="de-DE"/>
        </w:rPr>
        <w:t>publisku</w:t>
      </w:r>
      <w:proofErr w:type="spellEnd"/>
      <w:r w:rsidRPr="00565D81">
        <w:rPr>
          <w:rFonts w:ascii="Times New Roman" w:hAnsi="Times New Roman" w:cs="Times New Roman"/>
          <w:bCs/>
          <w:lang w:val="de-DE"/>
        </w:rPr>
        <w:t xml:space="preserve"> </w:t>
      </w:r>
      <w:proofErr w:type="spellStart"/>
      <w:r w:rsidRPr="00565D81">
        <w:rPr>
          <w:rFonts w:ascii="Times New Roman" w:hAnsi="Times New Roman" w:cs="Times New Roman"/>
          <w:bCs/>
          <w:lang w:val="de-DE"/>
        </w:rPr>
        <w:t>dokumentu</w:t>
      </w:r>
      <w:proofErr w:type="spellEnd"/>
      <w:r w:rsidRPr="00565D81">
        <w:rPr>
          <w:rFonts w:ascii="Times New Roman" w:hAnsi="Times New Roman" w:cs="Times New Roman"/>
          <w:bCs/>
          <w:lang w:val="de-DE"/>
        </w:rPr>
        <w:t xml:space="preserve">, </w:t>
      </w:r>
      <w:proofErr w:type="spellStart"/>
      <w:r w:rsidRPr="00565D81">
        <w:rPr>
          <w:rFonts w:ascii="Times New Roman" w:hAnsi="Times New Roman" w:cs="Times New Roman"/>
          <w:bCs/>
          <w:lang w:val="de-DE"/>
        </w:rPr>
        <w:t>ar</w:t>
      </w:r>
      <w:proofErr w:type="spellEnd"/>
      <w:r w:rsidRPr="00565D81">
        <w:rPr>
          <w:rFonts w:ascii="Times New Roman" w:hAnsi="Times New Roman" w:cs="Times New Roman"/>
          <w:bCs/>
          <w:lang w:val="de-DE"/>
        </w:rPr>
        <w:t xml:space="preserve"> </w:t>
      </w:r>
      <w:proofErr w:type="spellStart"/>
      <w:r w:rsidRPr="00565D81">
        <w:rPr>
          <w:rFonts w:ascii="Times New Roman" w:hAnsi="Times New Roman" w:cs="Times New Roman"/>
          <w:bCs/>
          <w:lang w:val="de-DE"/>
        </w:rPr>
        <w:t>kuru</w:t>
      </w:r>
      <w:proofErr w:type="spellEnd"/>
      <w:r w:rsidRPr="00565D81">
        <w:rPr>
          <w:rFonts w:ascii="Times New Roman" w:hAnsi="Times New Roman" w:cs="Times New Roman"/>
          <w:bCs/>
          <w:lang w:val="de-DE"/>
        </w:rPr>
        <w:t xml:space="preserve"> </w:t>
      </w:r>
      <w:proofErr w:type="spellStart"/>
      <w:r w:rsidRPr="00565D81">
        <w:rPr>
          <w:rFonts w:ascii="Times New Roman" w:hAnsi="Times New Roman" w:cs="Times New Roman"/>
          <w:bCs/>
          <w:lang w:val="de-DE"/>
        </w:rPr>
        <w:t>var</w:t>
      </w:r>
      <w:proofErr w:type="spellEnd"/>
      <w:r w:rsidRPr="00565D81">
        <w:rPr>
          <w:rFonts w:ascii="Times New Roman" w:hAnsi="Times New Roman" w:cs="Times New Roman"/>
          <w:bCs/>
          <w:lang w:val="de-DE"/>
        </w:rPr>
        <w:t xml:space="preserve"> </w:t>
      </w:r>
      <w:proofErr w:type="spellStart"/>
      <w:r w:rsidRPr="00565D81">
        <w:rPr>
          <w:rFonts w:ascii="Times New Roman" w:hAnsi="Times New Roman" w:cs="Times New Roman"/>
          <w:bCs/>
          <w:lang w:val="de-DE"/>
        </w:rPr>
        <w:t>pierādīt</w:t>
      </w:r>
      <w:proofErr w:type="spellEnd"/>
      <w:r w:rsidRPr="00565D81">
        <w:rPr>
          <w:rFonts w:ascii="Times New Roman" w:hAnsi="Times New Roman" w:cs="Times New Roman"/>
          <w:bCs/>
          <w:lang w:val="de-DE"/>
        </w:rPr>
        <w:t xml:space="preserve"> </w:t>
      </w:r>
      <w:proofErr w:type="spellStart"/>
      <w:r w:rsidRPr="00565D81">
        <w:rPr>
          <w:rFonts w:ascii="Times New Roman" w:hAnsi="Times New Roman" w:cs="Times New Roman"/>
          <w:bCs/>
          <w:lang w:val="de-DE"/>
        </w:rPr>
        <w:t>pārstāvja</w:t>
      </w:r>
      <w:proofErr w:type="spellEnd"/>
      <w:r w:rsidRPr="00565D81">
        <w:rPr>
          <w:rFonts w:ascii="Times New Roman" w:hAnsi="Times New Roman" w:cs="Times New Roman"/>
          <w:bCs/>
          <w:lang w:val="de-DE"/>
        </w:rPr>
        <w:t xml:space="preserve"> </w:t>
      </w:r>
      <w:proofErr w:type="spellStart"/>
      <w:r w:rsidRPr="00565D81">
        <w:rPr>
          <w:rFonts w:ascii="Times New Roman" w:hAnsi="Times New Roman" w:cs="Times New Roman"/>
          <w:bCs/>
          <w:lang w:val="de-DE"/>
        </w:rPr>
        <w:t>pilnvaras</w:t>
      </w:r>
      <w:proofErr w:type="spellEnd"/>
      <w:r w:rsidRPr="00565D81">
        <w:rPr>
          <w:rFonts w:ascii="Times New Roman" w:hAnsi="Times New Roman" w:cs="Times New Roman"/>
          <w:bCs/>
          <w:lang w:val="de-DE"/>
        </w:rPr>
        <w:t xml:space="preserve">, </w:t>
      </w:r>
      <w:proofErr w:type="spellStart"/>
      <w:r w:rsidRPr="00565D81">
        <w:rPr>
          <w:rFonts w:ascii="Times New Roman" w:hAnsi="Times New Roman" w:cs="Times New Roman"/>
          <w:bCs/>
          <w:lang w:val="de-DE"/>
        </w:rPr>
        <w:t>kā</w:t>
      </w:r>
      <w:proofErr w:type="spellEnd"/>
      <w:r w:rsidRPr="00565D81">
        <w:rPr>
          <w:rFonts w:ascii="Times New Roman" w:hAnsi="Times New Roman" w:cs="Times New Roman"/>
          <w:bCs/>
          <w:lang w:val="de-DE"/>
        </w:rPr>
        <w:t xml:space="preserve"> </w:t>
      </w:r>
      <w:proofErr w:type="spellStart"/>
      <w:r w:rsidRPr="00565D81">
        <w:rPr>
          <w:rFonts w:ascii="Times New Roman" w:hAnsi="Times New Roman" w:cs="Times New Roman"/>
          <w:bCs/>
          <w:lang w:val="de-DE"/>
        </w:rPr>
        <w:t>to</w:t>
      </w:r>
      <w:proofErr w:type="spellEnd"/>
      <w:r w:rsidRPr="00565D81">
        <w:rPr>
          <w:rFonts w:ascii="Times New Roman" w:hAnsi="Times New Roman" w:cs="Times New Roman"/>
          <w:bCs/>
          <w:lang w:val="de-DE"/>
        </w:rPr>
        <w:t xml:space="preserve"> </w:t>
      </w:r>
      <w:proofErr w:type="spellStart"/>
      <w:r w:rsidRPr="00565D81">
        <w:rPr>
          <w:rFonts w:ascii="Times New Roman" w:hAnsi="Times New Roman" w:cs="Times New Roman"/>
          <w:bCs/>
          <w:lang w:val="de-DE"/>
        </w:rPr>
        <w:t>prasa</w:t>
      </w:r>
      <w:proofErr w:type="spellEnd"/>
      <w:r w:rsidRPr="00565D81">
        <w:rPr>
          <w:rFonts w:ascii="Times New Roman" w:hAnsi="Times New Roman" w:cs="Times New Roman"/>
          <w:bCs/>
          <w:lang w:val="de-DE"/>
        </w:rPr>
        <w:t xml:space="preserve"> </w:t>
      </w:r>
      <w:proofErr w:type="spellStart"/>
      <w:r w:rsidRPr="00565D81">
        <w:rPr>
          <w:rFonts w:ascii="Times New Roman" w:hAnsi="Times New Roman" w:cs="Times New Roman"/>
          <w:bCs/>
          <w:lang w:val="de-DE"/>
        </w:rPr>
        <w:t>Notariāta</w:t>
      </w:r>
      <w:proofErr w:type="spellEnd"/>
      <w:r w:rsidRPr="00565D81">
        <w:rPr>
          <w:rFonts w:ascii="Times New Roman" w:hAnsi="Times New Roman" w:cs="Times New Roman"/>
          <w:bCs/>
          <w:lang w:val="de-DE"/>
        </w:rPr>
        <w:t xml:space="preserve"> </w:t>
      </w:r>
      <w:proofErr w:type="spellStart"/>
      <w:r w:rsidRPr="00565D81">
        <w:rPr>
          <w:rFonts w:ascii="Times New Roman" w:hAnsi="Times New Roman" w:cs="Times New Roman"/>
          <w:bCs/>
          <w:lang w:val="de-DE"/>
        </w:rPr>
        <w:t>likuma</w:t>
      </w:r>
      <w:proofErr w:type="spellEnd"/>
      <w:r w:rsidRPr="00565D81">
        <w:rPr>
          <w:rFonts w:ascii="Times New Roman" w:hAnsi="Times New Roman" w:cs="Times New Roman"/>
          <w:bCs/>
          <w:lang w:val="de-DE"/>
        </w:rPr>
        <w:t xml:space="preserve"> 83.panta </w:t>
      </w:r>
      <w:proofErr w:type="spellStart"/>
      <w:r w:rsidRPr="00565D81">
        <w:rPr>
          <w:rFonts w:ascii="Times New Roman" w:hAnsi="Times New Roman" w:cs="Times New Roman"/>
          <w:bCs/>
          <w:lang w:val="de-DE"/>
        </w:rPr>
        <w:t>otrā</w:t>
      </w:r>
      <w:proofErr w:type="spellEnd"/>
      <w:r w:rsidRPr="00565D81">
        <w:rPr>
          <w:rFonts w:ascii="Times New Roman" w:hAnsi="Times New Roman" w:cs="Times New Roman"/>
          <w:bCs/>
          <w:lang w:val="de-DE"/>
        </w:rPr>
        <w:t xml:space="preserve"> </w:t>
      </w:r>
      <w:proofErr w:type="spellStart"/>
      <w:r w:rsidRPr="00565D81">
        <w:rPr>
          <w:rFonts w:ascii="Times New Roman" w:hAnsi="Times New Roman" w:cs="Times New Roman"/>
          <w:bCs/>
          <w:lang w:val="de-DE"/>
        </w:rPr>
        <w:t>daļa</w:t>
      </w:r>
      <w:proofErr w:type="spellEnd"/>
      <w:r w:rsidRPr="00565D81">
        <w:rPr>
          <w:rFonts w:ascii="Times New Roman" w:hAnsi="Times New Roman" w:cs="Times New Roman"/>
          <w:bCs/>
          <w:lang w:val="de-DE"/>
        </w:rPr>
        <w:t xml:space="preserve">. </w:t>
      </w:r>
      <w:proofErr w:type="spellStart"/>
      <w:r w:rsidRPr="00565D81">
        <w:rPr>
          <w:rFonts w:ascii="Times New Roman" w:hAnsi="Times New Roman" w:cs="Times New Roman"/>
          <w:bCs/>
          <w:lang w:val="de-DE"/>
        </w:rPr>
        <w:t>Apgabaltiesa</w:t>
      </w:r>
      <w:proofErr w:type="spellEnd"/>
      <w:r w:rsidRPr="00565D81">
        <w:rPr>
          <w:rFonts w:ascii="Times New Roman" w:hAnsi="Times New Roman" w:cs="Times New Roman"/>
          <w:bCs/>
          <w:lang w:val="de-DE"/>
        </w:rPr>
        <w:t xml:space="preserve"> </w:t>
      </w:r>
      <w:proofErr w:type="spellStart"/>
      <w:r w:rsidRPr="00565D81">
        <w:rPr>
          <w:rFonts w:ascii="Times New Roman" w:hAnsi="Times New Roman" w:cs="Times New Roman"/>
          <w:bCs/>
          <w:lang w:val="de-DE"/>
        </w:rPr>
        <w:t>uzskatīja</w:t>
      </w:r>
      <w:proofErr w:type="spellEnd"/>
      <w:r w:rsidRPr="00565D81">
        <w:rPr>
          <w:rFonts w:ascii="Times New Roman" w:hAnsi="Times New Roman" w:cs="Times New Roman"/>
          <w:bCs/>
          <w:lang w:val="de-DE"/>
        </w:rPr>
        <w:t xml:space="preserve">, </w:t>
      </w:r>
      <w:proofErr w:type="spellStart"/>
      <w:r w:rsidRPr="00565D81">
        <w:rPr>
          <w:rFonts w:ascii="Times New Roman" w:hAnsi="Times New Roman" w:cs="Times New Roman"/>
          <w:bCs/>
          <w:lang w:val="de-DE"/>
        </w:rPr>
        <w:t>ka</w:t>
      </w:r>
      <w:proofErr w:type="spellEnd"/>
      <w:r w:rsidRPr="00565D81">
        <w:rPr>
          <w:rFonts w:ascii="Times New Roman" w:hAnsi="Times New Roman" w:cs="Times New Roman"/>
          <w:bCs/>
          <w:lang w:val="de-DE"/>
        </w:rPr>
        <w:t xml:space="preserve"> </w:t>
      </w:r>
      <w:proofErr w:type="spellStart"/>
      <w:r w:rsidRPr="00565D81">
        <w:rPr>
          <w:rFonts w:ascii="Times New Roman" w:hAnsi="Times New Roman" w:cs="Times New Roman"/>
          <w:bCs/>
          <w:lang w:val="de-DE"/>
        </w:rPr>
        <w:t>šāds</w:t>
      </w:r>
      <w:proofErr w:type="spellEnd"/>
      <w:r w:rsidRPr="00565D81">
        <w:rPr>
          <w:rFonts w:ascii="Times New Roman" w:hAnsi="Times New Roman" w:cs="Times New Roman"/>
          <w:bCs/>
          <w:lang w:val="de-DE"/>
        </w:rPr>
        <w:t xml:space="preserve"> </w:t>
      </w:r>
      <w:proofErr w:type="spellStart"/>
      <w:r w:rsidRPr="00565D81">
        <w:rPr>
          <w:rFonts w:ascii="Times New Roman" w:hAnsi="Times New Roman" w:cs="Times New Roman"/>
          <w:bCs/>
          <w:lang w:val="de-DE"/>
        </w:rPr>
        <w:t>ārvalsts</w:t>
      </w:r>
      <w:proofErr w:type="spellEnd"/>
      <w:r w:rsidRPr="00565D81">
        <w:rPr>
          <w:rFonts w:ascii="Times New Roman" w:hAnsi="Times New Roman" w:cs="Times New Roman"/>
          <w:bCs/>
          <w:lang w:val="de-DE"/>
        </w:rPr>
        <w:t xml:space="preserve"> </w:t>
      </w:r>
      <w:proofErr w:type="spellStart"/>
      <w:r w:rsidRPr="00565D81">
        <w:rPr>
          <w:rFonts w:ascii="Times New Roman" w:hAnsi="Times New Roman" w:cs="Times New Roman"/>
          <w:bCs/>
          <w:lang w:val="de-DE"/>
        </w:rPr>
        <w:t>notāra</w:t>
      </w:r>
      <w:proofErr w:type="spellEnd"/>
      <w:r w:rsidRPr="00565D81">
        <w:rPr>
          <w:rFonts w:ascii="Times New Roman" w:hAnsi="Times New Roman" w:cs="Times New Roman"/>
          <w:bCs/>
          <w:lang w:val="de-DE"/>
        </w:rPr>
        <w:t xml:space="preserve"> </w:t>
      </w:r>
      <w:proofErr w:type="spellStart"/>
      <w:r w:rsidRPr="00565D81">
        <w:rPr>
          <w:rFonts w:ascii="Times New Roman" w:hAnsi="Times New Roman" w:cs="Times New Roman"/>
          <w:bCs/>
          <w:lang w:val="de-DE"/>
        </w:rPr>
        <w:t>izdots</w:t>
      </w:r>
      <w:proofErr w:type="spellEnd"/>
      <w:r w:rsidRPr="00565D81">
        <w:rPr>
          <w:rFonts w:ascii="Times New Roman" w:hAnsi="Times New Roman" w:cs="Times New Roman"/>
          <w:bCs/>
          <w:lang w:val="de-DE"/>
        </w:rPr>
        <w:t>/</w:t>
      </w:r>
      <w:proofErr w:type="spellStart"/>
      <w:r w:rsidRPr="00565D81">
        <w:rPr>
          <w:rFonts w:ascii="Times New Roman" w:hAnsi="Times New Roman" w:cs="Times New Roman"/>
          <w:bCs/>
          <w:lang w:val="de-DE"/>
        </w:rPr>
        <w:t>apliecināts</w:t>
      </w:r>
      <w:proofErr w:type="spellEnd"/>
      <w:r w:rsidRPr="00565D81">
        <w:rPr>
          <w:rFonts w:ascii="Times New Roman" w:hAnsi="Times New Roman" w:cs="Times New Roman"/>
          <w:bCs/>
          <w:lang w:val="de-DE"/>
        </w:rPr>
        <w:t xml:space="preserve"> </w:t>
      </w:r>
      <w:proofErr w:type="spellStart"/>
      <w:r w:rsidRPr="00565D81">
        <w:rPr>
          <w:rFonts w:ascii="Times New Roman" w:hAnsi="Times New Roman" w:cs="Times New Roman"/>
          <w:bCs/>
          <w:lang w:val="de-DE"/>
        </w:rPr>
        <w:t>dokuments</w:t>
      </w:r>
      <w:proofErr w:type="spellEnd"/>
      <w:r w:rsidRPr="00565D81">
        <w:rPr>
          <w:rFonts w:ascii="Times New Roman" w:hAnsi="Times New Roman" w:cs="Times New Roman"/>
          <w:bCs/>
          <w:lang w:val="de-DE"/>
        </w:rPr>
        <w:t xml:space="preserve"> </w:t>
      </w:r>
      <w:proofErr w:type="spellStart"/>
      <w:r w:rsidRPr="00565D81">
        <w:rPr>
          <w:rFonts w:ascii="Times New Roman" w:hAnsi="Times New Roman" w:cs="Times New Roman"/>
          <w:bCs/>
          <w:lang w:val="de-DE"/>
        </w:rPr>
        <w:t>ir</w:t>
      </w:r>
      <w:proofErr w:type="spellEnd"/>
      <w:r w:rsidRPr="00565D81">
        <w:rPr>
          <w:rFonts w:ascii="Times New Roman" w:hAnsi="Times New Roman" w:cs="Times New Roman"/>
          <w:bCs/>
          <w:lang w:val="de-DE"/>
        </w:rPr>
        <w:t xml:space="preserve"> </w:t>
      </w:r>
      <w:proofErr w:type="spellStart"/>
      <w:r w:rsidRPr="00565D81">
        <w:rPr>
          <w:rFonts w:ascii="Times New Roman" w:hAnsi="Times New Roman" w:cs="Times New Roman"/>
          <w:bCs/>
          <w:lang w:val="de-DE"/>
        </w:rPr>
        <w:t>uzskatāms</w:t>
      </w:r>
      <w:proofErr w:type="spellEnd"/>
      <w:r w:rsidRPr="00565D81">
        <w:rPr>
          <w:rFonts w:ascii="Times New Roman" w:hAnsi="Times New Roman" w:cs="Times New Roman"/>
          <w:bCs/>
          <w:lang w:val="de-DE"/>
        </w:rPr>
        <w:t xml:space="preserve"> par </w:t>
      </w:r>
      <w:proofErr w:type="spellStart"/>
      <w:r w:rsidRPr="00565D81">
        <w:rPr>
          <w:rFonts w:ascii="Times New Roman" w:hAnsi="Times New Roman" w:cs="Times New Roman"/>
          <w:bCs/>
          <w:lang w:val="de-DE"/>
        </w:rPr>
        <w:t>publisku</w:t>
      </w:r>
      <w:proofErr w:type="spellEnd"/>
      <w:r w:rsidRPr="00565D81">
        <w:rPr>
          <w:rFonts w:ascii="Times New Roman" w:hAnsi="Times New Roman" w:cs="Times New Roman"/>
          <w:bCs/>
          <w:lang w:val="de-DE"/>
        </w:rPr>
        <w:t xml:space="preserve"> </w:t>
      </w:r>
      <w:proofErr w:type="spellStart"/>
      <w:r w:rsidRPr="00565D81">
        <w:rPr>
          <w:rFonts w:ascii="Times New Roman" w:hAnsi="Times New Roman" w:cs="Times New Roman"/>
          <w:bCs/>
          <w:lang w:val="de-DE"/>
        </w:rPr>
        <w:t>dokumentu</w:t>
      </w:r>
      <w:proofErr w:type="spellEnd"/>
      <w:r w:rsidRPr="00565D81">
        <w:rPr>
          <w:rFonts w:ascii="Times New Roman" w:hAnsi="Times New Roman" w:cs="Times New Roman"/>
          <w:bCs/>
          <w:lang w:val="de-DE"/>
        </w:rPr>
        <w:t xml:space="preserve"> </w:t>
      </w:r>
      <w:proofErr w:type="spellStart"/>
      <w:r w:rsidRPr="00565D81">
        <w:rPr>
          <w:rFonts w:ascii="Times New Roman" w:hAnsi="Times New Roman" w:cs="Times New Roman"/>
          <w:bCs/>
          <w:lang w:val="de-DE"/>
        </w:rPr>
        <w:t>Hāgas</w:t>
      </w:r>
      <w:proofErr w:type="spellEnd"/>
      <w:r w:rsidRPr="00565D81">
        <w:rPr>
          <w:rFonts w:ascii="Times New Roman" w:hAnsi="Times New Roman" w:cs="Times New Roman"/>
          <w:bCs/>
          <w:lang w:val="de-DE"/>
        </w:rPr>
        <w:t xml:space="preserve"> </w:t>
      </w:r>
      <w:proofErr w:type="spellStart"/>
      <w:r w:rsidRPr="00565D81">
        <w:rPr>
          <w:rFonts w:ascii="Times New Roman" w:hAnsi="Times New Roman" w:cs="Times New Roman"/>
          <w:bCs/>
          <w:lang w:val="de-DE"/>
        </w:rPr>
        <w:t>dokumentu</w:t>
      </w:r>
      <w:proofErr w:type="spellEnd"/>
      <w:r w:rsidRPr="00565D81">
        <w:rPr>
          <w:rFonts w:ascii="Times New Roman" w:hAnsi="Times New Roman" w:cs="Times New Roman"/>
          <w:bCs/>
          <w:lang w:val="de-DE"/>
        </w:rPr>
        <w:t xml:space="preserve"> </w:t>
      </w:r>
      <w:proofErr w:type="spellStart"/>
      <w:r w:rsidRPr="00565D81">
        <w:rPr>
          <w:rFonts w:ascii="Times New Roman" w:hAnsi="Times New Roman" w:cs="Times New Roman"/>
          <w:bCs/>
          <w:lang w:val="de-DE"/>
        </w:rPr>
        <w:t>legalizācijas</w:t>
      </w:r>
      <w:proofErr w:type="spellEnd"/>
      <w:r w:rsidRPr="00565D81">
        <w:rPr>
          <w:rFonts w:ascii="Times New Roman" w:hAnsi="Times New Roman" w:cs="Times New Roman"/>
          <w:bCs/>
          <w:lang w:val="de-DE"/>
        </w:rPr>
        <w:t xml:space="preserve"> </w:t>
      </w:r>
      <w:proofErr w:type="spellStart"/>
      <w:r w:rsidRPr="00565D81">
        <w:rPr>
          <w:rFonts w:ascii="Times New Roman" w:hAnsi="Times New Roman" w:cs="Times New Roman"/>
          <w:bCs/>
          <w:lang w:val="de-DE"/>
        </w:rPr>
        <w:t>atcelšanas</w:t>
      </w:r>
      <w:proofErr w:type="spellEnd"/>
      <w:r w:rsidRPr="00565D81">
        <w:rPr>
          <w:rFonts w:ascii="Times New Roman" w:hAnsi="Times New Roman" w:cs="Times New Roman"/>
          <w:bCs/>
          <w:lang w:val="de-DE"/>
        </w:rPr>
        <w:t xml:space="preserve"> </w:t>
      </w:r>
      <w:proofErr w:type="spellStart"/>
      <w:r w:rsidRPr="00565D81">
        <w:rPr>
          <w:rFonts w:ascii="Times New Roman" w:hAnsi="Times New Roman" w:cs="Times New Roman"/>
          <w:bCs/>
          <w:lang w:val="de-DE"/>
        </w:rPr>
        <w:t>konvencijas</w:t>
      </w:r>
      <w:proofErr w:type="spellEnd"/>
      <w:r w:rsidRPr="00565D81">
        <w:rPr>
          <w:rFonts w:ascii="Times New Roman" w:hAnsi="Times New Roman" w:cs="Times New Roman"/>
          <w:bCs/>
          <w:lang w:val="de-DE"/>
        </w:rPr>
        <w:t xml:space="preserve"> 1.panta „a“ </w:t>
      </w:r>
      <w:proofErr w:type="spellStart"/>
      <w:r w:rsidRPr="00565D81">
        <w:rPr>
          <w:rFonts w:ascii="Times New Roman" w:hAnsi="Times New Roman" w:cs="Times New Roman"/>
          <w:bCs/>
          <w:lang w:val="de-DE"/>
        </w:rPr>
        <w:t>un</w:t>
      </w:r>
      <w:proofErr w:type="spellEnd"/>
      <w:r w:rsidRPr="00565D81">
        <w:rPr>
          <w:rFonts w:ascii="Times New Roman" w:hAnsi="Times New Roman" w:cs="Times New Roman"/>
          <w:bCs/>
          <w:lang w:val="de-DE"/>
        </w:rPr>
        <w:t xml:space="preserve"> „d“ </w:t>
      </w:r>
      <w:proofErr w:type="spellStart"/>
      <w:r w:rsidRPr="00565D81">
        <w:rPr>
          <w:rFonts w:ascii="Times New Roman" w:hAnsi="Times New Roman" w:cs="Times New Roman"/>
          <w:bCs/>
          <w:lang w:val="de-DE"/>
        </w:rPr>
        <w:t>punktu</w:t>
      </w:r>
      <w:proofErr w:type="spellEnd"/>
      <w:r w:rsidRPr="00565D81">
        <w:rPr>
          <w:rFonts w:ascii="Times New Roman" w:hAnsi="Times New Roman" w:cs="Times New Roman"/>
          <w:bCs/>
          <w:lang w:val="de-DE"/>
        </w:rPr>
        <w:t xml:space="preserve"> </w:t>
      </w:r>
      <w:proofErr w:type="spellStart"/>
      <w:r w:rsidRPr="00565D81">
        <w:rPr>
          <w:rFonts w:ascii="Times New Roman" w:hAnsi="Times New Roman" w:cs="Times New Roman"/>
          <w:bCs/>
          <w:lang w:val="de-DE"/>
        </w:rPr>
        <w:t>izpratnē</w:t>
      </w:r>
      <w:proofErr w:type="spellEnd"/>
      <w:r w:rsidRPr="00565D81">
        <w:rPr>
          <w:rFonts w:ascii="Times New Roman" w:hAnsi="Times New Roman" w:cs="Times New Roman"/>
          <w:bCs/>
          <w:lang w:val="de-DE"/>
        </w:rPr>
        <w:t xml:space="preserve">, </w:t>
      </w:r>
      <w:proofErr w:type="spellStart"/>
      <w:r w:rsidRPr="00565D81">
        <w:rPr>
          <w:rFonts w:ascii="Times New Roman" w:hAnsi="Times New Roman" w:cs="Times New Roman"/>
          <w:bCs/>
          <w:lang w:val="de-DE"/>
        </w:rPr>
        <w:t>jo</w:t>
      </w:r>
      <w:proofErr w:type="spellEnd"/>
      <w:r w:rsidRPr="00565D81">
        <w:rPr>
          <w:rFonts w:ascii="Times New Roman" w:hAnsi="Times New Roman" w:cs="Times New Roman"/>
          <w:bCs/>
          <w:lang w:val="de-DE"/>
        </w:rPr>
        <w:t xml:space="preserve"> </w:t>
      </w:r>
      <w:proofErr w:type="spellStart"/>
      <w:r w:rsidRPr="00565D81">
        <w:rPr>
          <w:rFonts w:ascii="Times New Roman" w:hAnsi="Times New Roman" w:cs="Times New Roman"/>
          <w:bCs/>
          <w:lang w:val="de-DE"/>
        </w:rPr>
        <w:t>ārvalsts</w:t>
      </w:r>
      <w:proofErr w:type="spellEnd"/>
      <w:r w:rsidRPr="00565D81">
        <w:rPr>
          <w:rFonts w:ascii="Times New Roman" w:hAnsi="Times New Roman" w:cs="Times New Roman"/>
          <w:bCs/>
          <w:lang w:val="de-DE"/>
        </w:rPr>
        <w:t xml:space="preserve"> </w:t>
      </w:r>
      <w:proofErr w:type="spellStart"/>
      <w:r w:rsidRPr="00565D81">
        <w:rPr>
          <w:rFonts w:ascii="Times New Roman" w:hAnsi="Times New Roman" w:cs="Times New Roman"/>
          <w:bCs/>
          <w:lang w:val="de-DE"/>
        </w:rPr>
        <w:t>notārs</w:t>
      </w:r>
      <w:proofErr w:type="spellEnd"/>
      <w:r w:rsidRPr="00565D81">
        <w:rPr>
          <w:rFonts w:ascii="Times New Roman" w:hAnsi="Times New Roman" w:cs="Times New Roman"/>
          <w:bCs/>
          <w:lang w:val="de-DE"/>
        </w:rPr>
        <w:t xml:space="preserve"> </w:t>
      </w:r>
      <w:proofErr w:type="spellStart"/>
      <w:r w:rsidRPr="00565D81">
        <w:rPr>
          <w:rFonts w:ascii="Times New Roman" w:hAnsi="Times New Roman" w:cs="Times New Roman"/>
          <w:bCs/>
          <w:lang w:val="de-DE"/>
        </w:rPr>
        <w:t>ir</w:t>
      </w:r>
      <w:proofErr w:type="spellEnd"/>
      <w:r w:rsidRPr="00565D81">
        <w:rPr>
          <w:rFonts w:ascii="Times New Roman" w:hAnsi="Times New Roman" w:cs="Times New Roman"/>
          <w:bCs/>
          <w:lang w:val="de-DE"/>
        </w:rPr>
        <w:t xml:space="preserve"> </w:t>
      </w:r>
      <w:proofErr w:type="spellStart"/>
      <w:r w:rsidRPr="00565D81">
        <w:rPr>
          <w:rFonts w:ascii="Times New Roman" w:hAnsi="Times New Roman" w:cs="Times New Roman"/>
          <w:bCs/>
          <w:lang w:val="de-DE"/>
        </w:rPr>
        <w:t>pārbaudījis</w:t>
      </w:r>
      <w:proofErr w:type="spellEnd"/>
      <w:r w:rsidRPr="00565D81">
        <w:rPr>
          <w:rFonts w:ascii="Times New Roman" w:hAnsi="Times New Roman" w:cs="Times New Roman"/>
          <w:bCs/>
          <w:lang w:val="de-DE"/>
        </w:rPr>
        <w:t xml:space="preserve"> </w:t>
      </w:r>
      <w:proofErr w:type="spellStart"/>
      <w:r w:rsidRPr="00565D81">
        <w:rPr>
          <w:rFonts w:ascii="Times New Roman" w:hAnsi="Times New Roman" w:cs="Times New Roman"/>
          <w:bCs/>
          <w:lang w:val="de-DE"/>
        </w:rPr>
        <w:t>gan</w:t>
      </w:r>
      <w:proofErr w:type="spellEnd"/>
      <w:r w:rsidRPr="00565D81">
        <w:rPr>
          <w:rFonts w:ascii="Times New Roman" w:hAnsi="Times New Roman" w:cs="Times New Roman"/>
          <w:bCs/>
          <w:lang w:val="de-DE"/>
        </w:rPr>
        <w:t xml:space="preserve"> </w:t>
      </w:r>
      <w:proofErr w:type="spellStart"/>
      <w:r w:rsidRPr="00565D81">
        <w:rPr>
          <w:rFonts w:ascii="Times New Roman" w:hAnsi="Times New Roman" w:cs="Times New Roman"/>
          <w:bCs/>
          <w:lang w:val="de-DE"/>
        </w:rPr>
        <w:t>juridiskas</w:t>
      </w:r>
      <w:proofErr w:type="spellEnd"/>
      <w:r w:rsidRPr="00565D81">
        <w:rPr>
          <w:rFonts w:ascii="Times New Roman" w:hAnsi="Times New Roman" w:cs="Times New Roman"/>
          <w:bCs/>
          <w:lang w:val="de-DE"/>
        </w:rPr>
        <w:t xml:space="preserve"> personas </w:t>
      </w:r>
      <w:proofErr w:type="spellStart"/>
      <w:r w:rsidRPr="00565D81">
        <w:rPr>
          <w:rFonts w:ascii="Times New Roman" w:hAnsi="Times New Roman" w:cs="Times New Roman"/>
          <w:bCs/>
          <w:lang w:val="de-DE"/>
        </w:rPr>
        <w:t>pārstāvja</w:t>
      </w:r>
      <w:proofErr w:type="spellEnd"/>
      <w:r>
        <w:rPr>
          <w:rFonts w:ascii="Times New Roman" w:hAnsi="Times New Roman" w:cs="Times New Roman"/>
          <w:bCs/>
          <w:color w:val="FF0000"/>
          <w:lang w:val="de-DE"/>
        </w:rPr>
        <w:t xml:space="preserve"> </w:t>
      </w:r>
      <w:proofErr w:type="spellStart"/>
      <w:r w:rsidRPr="00565D81">
        <w:rPr>
          <w:rFonts w:ascii="Times New Roman" w:hAnsi="Times New Roman" w:cs="Times New Roman"/>
          <w:bCs/>
          <w:lang w:val="de-DE"/>
        </w:rPr>
        <w:t>identitāti</w:t>
      </w:r>
      <w:proofErr w:type="spellEnd"/>
      <w:r w:rsidRPr="00565D81">
        <w:rPr>
          <w:rFonts w:ascii="Times New Roman" w:hAnsi="Times New Roman" w:cs="Times New Roman"/>
          <w:bCs/>
          <w:lang w:val="de-DE"/>
        </w:rPr>
        <w:t xml:space="preserve">, </w:t>
      </w:r>
      <w:proofErr w:type="spellStart"/>
      <w:r w:rsidRPr="00565D81">
        <w:rPr>
          <w:rFonts w:ascii="Times New Roman" w:hAnsi="Times New Roman" w:cs="Times New Roman"/>
          <w:bCs/>
          <w:lang w:val="de-DE"/>
        </w:rPr>
        <w:t>gan</w:t>
      </w:r>
      <w:proofErr w:type="spellEnd"/>
      <w:r w:rsidRPr="00565D81">
        <w:rPr>
          <w:rFonts w:ascii="Times New Roman" w:hAnsi="Times New Roman" w:cs="Times New Roman"/>
          <w:bCs/>
          <w:lang w:val="de-DE"/>
        </w:rPr>
        <w:t xml:space="preserve"> </w:t>
      </w:r>
      <w:proofErr w:type="spellStart"/>
      <w:r w:rsidRPr="00565D81">
        <w:rPr>
          <w:rFonts w:ascii="Times New Roman" w:hAnsi="Times New Roman" w:cs="Times New Roman"/>
          <w:bCs/>
          <w:lang w:val="de-DE"/>
        </w:rPr>
        <w:t>pilnvaras</w:t>
      </w:r>
      <w:proofErr w:type="spellEnd"/>
      <w:r w:rsidRPr="00565D81">
        <w:rPr>
          <w:rFonts w:ascii="Times New Roman" w:hAnsi="Times New Roman" w:cs="Times New Roman"/>
          <w:bCs/>
          <w:lang w:val="de-DE"/>
        </w:rPr>
        <w:t xml:space="preserve"> (</w:t>
      </w:r>
      <w:proofErr w:type="spellStart"/>
      <w:r w:rsidRPr="00565D81">
        <w:rPr>
          <w:rFonts w:ascii="Times New Roman" w:hAnsi="Times New Roman" w:cs="Times New Roman"/>
          <w:bCs/>
          <w:lang w:val="de-DE"/>
        </w:rPr>
        <w:t>tiesības</w:t>
      </w:r>
      <w:proofErr w:type="spellEnd"/>
      <w:r w:rsidRPr="00565D81">
        <w:rPr>
          <w:rFonts w:ascii="Times New Roman" w:hAnsi="Times New Roman" w:cs="Times New Roman"/>
          <w:bCs/>
          <w:lang w:val="de-DE"/>
        </w:rPr>
        <w:t xml:space="preserve"> </w:t>
      </w:r>
      <w:proofErr w:type="spellStart"/>
      <w:r w:rsidRPr="00565D81">
        <w:rPr>
          <w:rFonts w:ascii="Times New Roman" w:hAnsi="Times New Roman" w:cs="Times New Roman"/>
          <w:bCs/>
          <w:lang w:val="de-DE"/>
        </w:rPr>
        <w:t>pārstāvēt</w:t>
      </w:r>
      <w:proofErr w:type="spellEnd"/>
      <w:r w:rsidRPr="00565D81">
        <w:rPr>
          <w:rFonts w:ascii="Times New Roman" w:hAnsi="Times New Roman" w:cs="Times New Roman"/>
          <w:bCs/>
          <w:lang w:val="de-DE"/>
        </w:rPr>
        <w:t xml:space="preserve"> </w:t>
      </w:r>
      <w:proofErr w:type="spellStart"/>
      <w:r w:rsidRPr="00565D81">
        <w:rPr>
          <w:rFonts w:ascii="Times New Roman" w:hAnsi="Times New Roman" w:cs="Times New Roman"/>
          <w:bCs/>
          <w:lang w:val="de-DE"/>
        </w:rPr>
        <w:t>juridisko</w:t>
      </w:r>
      <w:proofErr w:type="spellEnd"/>
      <w:r w:rsidRPr="00565D81">
        <w:rPr>
          <w:rFonts w:ascii="Times New Roman" w:hAnsi="Times New Roman" w:cs="Times New Roman"/>
          <w:bCs/>
          <w:lang w:val="de-DE"/>
        </w:rPr>
        <w:t xml:space="preserve"> </w:t>
      </w:r>
      <w:proofErr w:type="spellStart"/>
      <w:r w:rsidRPr="00565D81">
        <w:rPr>
          <w:rFonts w:ascii="Times New Roman" w:hAnsi="Times New Roman" w:cs="Times New Roman"/>
          <w:bCs/>
          <w:lang w:val="de-DE"/>
        </w:rPr>
        <w:t>personu</w:t>
      </w:r>
      <w:proofErr w:type="spellEnd"/>
      <w:r w:rsidRPr="00565D81">
        <w:rPr>
          <w:rFonts w:ascii="Times New Roman" w:hAnsi="Times New Roman" w:cs="Times New Roman"/>
          <w:bCs/>
          <w:lang w:val="de-DE"/>
        </w:rPr>
        <w:t xml:space="preserve">), </w:t>
      </w:r>
      <w:proofErr w:type="spellStart"/>
      <w:r w:rsidRPr="00565D81">
        <w:rPr>
          <w:rFonts w:ascii="Times New Roman" w:hAnsi="Times New Roman" w:cs="Times New Roman"/>
          <w:bCs/>
          <w:lang w:val="de-DE"/>
        </w:rPr>
        <w:t>gan</w:t>
      </w:r>
      <w:proofErr w:type="spellEnd"/>
      <w:r w:rsidRPr="00565D81">
        <w:rPr>
          <w:rFonts w:ascii="Times New Roman" w:hAnsi="Times New Roman" w:cs="Times New Roman"/>
          <w:bCs/>
          <w:lang w:val="de-DE"/>
        </w:rPr>
        <w:t xml:space="preserve"> </w:t>
      </w:r>
      <w:proofErr w:type="spellStart"/>
      <w:r w:rsidRPr="00565D81">
        <w:rPr>
          <w:rFonts w:ascii="Times New Roman" w:hAnsi="Times New Roman" w:cs="Times New Roman"/>
          <w:bCs/>
          <w:lang w:val="de-DE"/>
        </w:rPr>
        <w:t>apliecinājis</w:t>
      </w:r>
      <w:proofErr w:type="spellEnd"/>
      <w:r w:rsidRPr="00565D81">
        <w:rPr>
          <w:rFonts w:ascii="Times New Roman" w:hAnsi="Times New Roman" w:cs="Times New Roman"/>
          <w:bCs/>
          <w:lang w:val="de-DE"/>
        </w:rPr>
        <w:t xml:space="preserve"> </w:t>
      </w:r>
      <w:proofErr w:type="spellStart"/>
      <w:r w:rsidRPr="00565D81">
        <w:rPr>
          <w:rFonts w:ascii="Times New Roman" w:hAnsi="Times New Roman" w:cs="Times New Roman"/>
          <w:bCs/>
          <w:lang w:val="de-DE"/>
        </w:rPr>
        <w:t>pārstāvja</w:t>
      </w:r>
      <w:proofErr w:type="spellEnd"/>
      <w:r w:rsidRPr="00565D81">
        <w:rPr>
          <w:rFonts w:ascii="Times New Roman" w:hAnsi="Times New Roman" w:cs="Times New Roman"/>
          <w:bCs/>
          <w:lang w:val="de-DE"/>
        </w:rPr>
        <w:t xml:space="preserve"> </w:t>
      </w:r>
      <w:proofErr w:type="spellStart"/>
      <w:r w:rsidRPr="00565D81">
        <w:rPr>
          <w:rFonts w:ascii="Times New Roman" w:hAnsi="Times New Roman" w:cs="Times New Roman"/>
          <w:bCs/>
          <w:lang w:val="de-DE"/>
        </w:rPr>
        <w:t>parakstu</w:t>
      </w:r>
      <w:proofErr w:type="spellEnd"/>
      <w:r w:rsidRPr="00565D81">
        <w:rPr>
          <w:rFonts w:ascii="Times New Roman" w:hAnsi="Times New Roman" w:cs="Times New Roman"/>
          <w:bCs/>
          <w:lang w:val="de-DE"/>
        </w:rPr>
        <w:t xml:space="preserve">, </w:t>
      </w:r>
      <w:proofErr w:type="spellStart"/>
      <w:r w:rsidRPr="00565D81">
        <w:rPr>
          <w:rFonts w:ascii="Times New Roman" w:hAnsi="Times New Roman" w:cs="Times New Roman"/>
          <w:bCs/>
          <w:lang w:val="de-DE"/>
        </w:rPr>
        <w:t>gan</w:t>
      </w:r>
      <w:proofErr w:type="spellEnd"/>
      <w:r w:rsidRPr="00565D81">
        <w:rPr>
          <w:rFonts w:ascii="Times New Roman" w:hAnsi="Times New Roman" w:cs="Times New Roman"/>
          <w:bCs/>
          <w:lang w:val="de-DE"/>
        </w:rPr>
        <w:t xml:space="preserve"> </w:t>
      </w:r>
      <w:proofErr w:type="spellStart"/>
      <w:r w:rsidRPr="00565D81">
        <w:rPr>
          <w:rFonts w:ascii="Times New Roman" w:hAnsi="Times New Roman" w:cs="Times New Roman"/>
          <w:bCs/>
          <w:lang w:val="de-DE"/>
        </w:rPr>
        <w:t>norādījis</w:t>
      </w:r>
      <w:proofErr w:type="spellEnd"/>
      <w:r w:rsidRPr="00565D81">
        <w:rPr>
          <w:rFonts w:ascii="Times New Roman" w:hAnsi="Times New Roman" w:cs="Times New Roman"/>
          <w:bCs/>
          <w:lang w:val="de-DE"/>
        </w:rPr>
        <w:t xml:space="preserve"> </w:t>
      </w:r>
      <w:proofErr w:type="spellStart"/>
      <w:r w:rsidRPr="00565D81">
        <w:rPr>
          <w:rFonts w:ascii="Times New Roman" w:hAnsi="Times New Roman" w:cs="Times New Roman"/>
          <w:bCs/>
          <w:lang w:val="de-DE"/>
        </w:rPr>
        <w:t>uz</w:t>
      </w:r>
      <w:proofErr w:type="spellEnd"/>
      <w:r w:rsidRPr="00565D81">
        <w:rPr>
          <w:rFonts w:ascii="Times New Roman" w:hAnsi="Times New Roman" w:cs="Times New Roman"/>
          <w:bCs/>
          <w:lang w:val="de-DE"/>
        </w:rPr>
        <w:t xml:space="preserve"> </w:t>
      </w:r>
      <w:proofErr w:type="spellStart"/>
      <w:r w:rsidRPr="00565D81">
        <w:rPr>
          <w:rFonts w:ascii="Times New Roman" w:hAnsi="Times New Roman" w:cs="Times New Roman"/>
          <w:bCs/>
          <w:lang w:val="de-DE"/>
        </w:rPr>
        <w:t>dokumentu</w:t>
      </w:r>
      <w:proofErr w:type="spellEnd"/>
      <w:r w:rsidRPr="00565D81">
        <w:rPr>
          <w:rFonts w:ascii="Times New Roman" w:hAnsi="Times New Roman" w:cs="Times New Roman"/>
          <w:bCs/>
          <w:lang w:val="de-DE"/>
        </w:rPr>
        <w:t xml:space="preserve">, </w:t>
      </w:r>
      <w:proofErr w:type="spellStart"/>
      <w:r w:rsidRPr="00565D81">
        <w:rPr>
          <w:rFonts w:ascii="Times New Roman" w:hAnsi="Times New Roman" w:cs="Times New Roman"/>
          <w:bCs/>
          <w:lang w:val="de-DE"/>
        </w:rPr>
        <w:t>ko</w:t>
      </w:r>
      <w:proofErr w:type="spellEnd"/>
      <w:r w:rsidRPr="00565D81">
        <w:rPr>
          <w:rFonts w:ascii="Times New Roman" w:hAnsi="Times New Roman" w:cs="Times New Roman"/>
          <w:bCs/>
          <w:lang w:val="de-DE"/>
        </w:rPr>
        <w:t xml:space="preserve"> </w:t>
      </w:r>
      <w:proofErr w:type="spellStart"/>
      <w:r w:rsidRPr="00565D81">
        <w:rPr>
          <w:rFonts w:ascii="Times New Roman" w:hAnsi="Times New Roman" w:cs="Times New Roman"/>
          <w:bCs/>
          <w:lang w:val="de-DE"/>
        </w:rPr>
        <w:t>persona</w:t>
      </w:r>
      <w:proofErr w:type="spellEnd"/>
      <w:r w:rsidRPr="00565D81">
        <w:rPr>
          <w:rFonts w:ascii="Times New Roman" w:hAnsi="Times New Roman" w:cs="Times New Roman"/>
          <w:bCs/>
          <w:lang w:val="de-DE"/>
        </w:rPr>
        <w:t xml:space="preserve"> </w:t>
      </w:r>
      <w:proofErr w:type="spellStart"/>
      <w:r w:rsidRPr="00565D81">
        <w:rPr>
          <w:rFonts w:ascii="Times New Roman" w:hAnsi="Times New Roman" w:cs="Times New Roman"/>
          <w:bCs/>
          <w:lang w:val="de-DE"/>
        </w:rPr>
        <w:t>ir</w:t>
      </w:r>
      <w:proofErr w:type="spellEnd"/>
      <w:r w:rsidRPr="00565D81">
        <w:rPr>
          <w:rFonts w:ascii="Times New Roman" w:hAnsi="Times New Roman" w:cs="Times New Roman"/>
          <w:bCs/>
          <w:lang w:val="de-DE"/>
        </w:rPr>
        <w:t xml:space="preserve"> </w:t>
      </w:r>
      <w:proofErr w:type="spellStart"/>
      <w:r w:rsidRPr="00565D81">
        <w:rPr>
          <w:rFonts w:ascii="Times New Roman" w:hAnsi="Times New Roman" w:cs="Times New Roman"/>
          <w:bCs/>
          <w:lang w:val="de-DE"/>
        </w:rPr>
        <w:t>parakstījusi</w:t>
      </w:r>
      <w:proofErr w:type="spellEnd"/>
      <w:r w:rsidRPr="00565D81">
        <w:rPr>
          <w:rFonts w:ascii="Times New Roman" w:hAnsi="Times New Roman" w:cs="Times New Roman"/>
          <w:bCs/>
          <w:lang w:val="de-DE"/>
        </w:rPr>
        <w:t xml:space="preserve"> </w:t>
      </w:r>
      <w:proofErr w:type="spellStart"/>
      <w:r w:rsidRPr="00565D81">
        <w:rPr>
          <w:rFonts w:ascii="Times New Roman" w:hAnsi="Times New Roman" w:cs="Times New Roman"/>
          <w:bCs/>
          <w:lang w:val="de-DE"/>
        </w:rPr>
        <w:t>kā</w:t>
      </w:r>
      <w:proofErr w:type="spellEnd"/>
      <w:r w:rsidRPr="00565D81">
        <w:rPr>
          <w:rFonts w:ascii="Times New Roman" w:hAnsi="Times New Roman" w:cs="Times New Roman"/>
          <w:bCs/>
          <w:lang w:val="de-DE"/>
        </w:rPr>
        <w:t xml:space="preserve"> </w:t>
      </w:r>
      <w:proofErr w:type="spellStart"/>
      <w:r w:rsidRPr="00565D81">
        <w:rPr>
          <w:rFonts w:ascii="Times New Roman" w:hAnsi="Times New Roman" w:cs="Times New Roman"/>
          <w:bCs/>
          <w:lang w:val="de-DE"/>
        </w:rPr>
        <w:t>juridiskās</w:t>
      </w:r>
      <w:proofErr w:type="spellEnd"/>
      <w:r w:rsidRPr="00565D81">
        <w:rPr>
          <w:rFonts w:ascii="Times New Roman" w:hAnsi="Times New Roman" w:cs="Times New Roman"/>
          <w:bCs/>
          <w:lang w:val="de-DE"/>
        </w:rPr>
        <w:t xml:space="preserve"> personas </w:t>
      </w:r>
      <w:proofErr w:type="spellStart"/>
      <w:r w:rsidRPr="00565D81">
        <w:rPr>
          <w:rFonts w:ascii="Times New Roman" w:hAnsi="Times New Roman" w:cs="Times New Roman"/>
          <w:bCs/>
          <w:lang w:val="de-DE"/>
        </w:rPr>
        <w:t>pārstāvis</w:t>
      </w:r>
      <w:proofErr w:type="spellEnd"/>
      <w:r w:rsidRPr="00565D81">
        <w:rPr>
          <w:rFonts w:ascii="Times New Roman" w:hAnsi="Times New Roman" w:cs="Times New Roman"/>
          <w:bCs/>
          <w:lang w:val="de-DE"/>
        </w:rPr>
        <w:t xml:space="preserve"> – </w:t>
      </w:r>
      <w:proofErr w:type="spellStart"/>
      <w:r w:rsidRPr="00565D81">
        <w:rPr>
          <w:rFonts w:ascii="Times New Roman" w:hAnsi="Times New Roman" w:cs="Times New Roman"/>
          <w:bCs/>
          <w:lang w:val="de-DE"/>
        </w:rPr>
        <w:t>ģenerālpilnvaru</w:t>
      </w:r>
      <w:proofErr w:type="spellEnd"/>
      <w:r w:rsidRPr="00565D81">
        <w:rPr>
          <w:rFonts w:ascii="Times New Roman" w:hAnsi="Times New Roman" w:cs="Times New Roman"/>
          <w:bCs/>
          <w:lang w:val="de-DE"/>
        </w:rPr>
        <w:t xml:space="preserve"> (</w:t>
      </w:r>
      <w:proofErr w:type="spellStart"/>
      <w:r w:rsidRPr="00565D81">
        <w:rPr>
          <w:rFonts w:ascii="Times New Roman" w:hAnsi="Times New Roman" w:cs="Times New Roman"/>
          <w:bCs/>
          <w:lang w:val="de-DE"/>
        </w:rPr>
        <w:t>skat</w:t>
      </w:r>
      <w:proofErr w:type="spellEnd"/>
      <w:r w:rsidRPr="00565D81">
        <w:rPr>
          <w:rFonts w:ascii="Times New Roman" w:hAnsi="Times New Roman" w:cs="Times New Roman"/>
          <w:bCs/>
          <w:lang w:val="de-DE"/>
        </w:rPr>
        <w:t xml:space="preserve">. </w:t>
      </w:r>
      <w:proofErr w:type="spellStart"/>
      <w:r w:rsidRPr="00565D81">
        <w:rPr>
          <w:rFonts w:ascii="Times New Roman" w:hAnsi="Times New Roman" w:cs="Times New Roman"/>
          <w:bCs/>
          <w:lang w:val="de-DE"/>
        </w:rPr>
        <w:t>lēmuma</w:t>
      </w:r>
      <w:proofErr w:type="spellEnd"/>
      <w:r w:rsidRPr="00565D81">
        <w:rPr>
          <w:rFonts w:ascii="Times New Roman" w:hAnsi="Times New Roman" w:cs="Times New Roman"/>
          <w:bCs/>
          <w:lang w:val="de-DE"/>
        </w:rPr>
        <w:t xml:space="preserve"> 7.lpp.). </w:t>
      </w:r>
    </w:p>
    <w:p w14:paraId="50712896" w14:textId="77777777" w:rsidR="00114953" w:rsidRPr="000C7C76" w:rsidRDefault="00114953" w:rsidP="00114953">
      <w:pPr>
        <w:ind w:firstLine="708"/>
        <w:jc w:val="both"/>
        <w:rPr>
          <w:rFonts w:ascii="Times New Roman" w:hAnsi="Times New Roman" w:cs="Times New Roman"/>
          <w:bCs/>
          <w:lang w:val="de-DE"/>
        </w:rPr>
      </w:pPr>
      <w:proofErr w:type="spellStart"/>
      <w:r w:rsidRPr="00565D81">
        <w:rPr>
          <w:rFonts w:ascii="Times New Roman" w:hAnsi="Times New Roman" w:cs="Times New Roman"/>
          <w:bCs/>
          <w:lang w:val="de-DE"/>
        </w:rPr>
        <w:lastRenderedPageBreak/>
        <w:t>Autoresprāt</w:t>
      </w:r>
      <w:proofErr w:type="spellEnd"/>
      <w:r w:rsidRPr="00565D81">
        <w:rPr>
          <w:rFonts w:ascii="Times New Roman" w:hAnsi="Times New Roman" w:cs="Times New Roman"/>
          <w:bCs/>
          <w:lang w:val="de-DE"/>
        </w:rPr>
        <w:t xml:space="preserve">, </w:t>
      </w:r>
      <w:proofErr w:type="spellStart"/>
      <w:r w:rsidRPr="00565D81">
        <w:rPr>
          <w:rFonts w:ascii="Times New Roman" w:hAnsi="Times New Roman" w:cs="Times New Roman"/>
          <w:bCs/>
          <w:lang w:val="de-DE"/>
        </w:rPr>
        <w:t>tiesai</w:t>
      </w:r>
      <w:proofErr w:type="spellEnd"/>
      <w:r w:rsidRPr="00565D81">
        <w:rPr>
          <w:rFonts w:ascii="Times New Roman" w:hAnsi="Times New Roman" w:cs="Times New Roman"/>
          <w:bCs/>
          <w:lang w:val="de-DE"/>
        </w:rPr>
        <w:t xml:space="preserve"> </w:t>
      </w:r>
      <w:proofErr w:type="spellStart"/>
      <w:r w:rsidRPr="00565D81">
        <w:rPr>
          <w:rFonts w:ascii="Times New Roman" w:hAnsi="Times New Roman" w:cs="Times New Roman"/>
          <w:bCs/>
          <w:lang w:val="de-DE"/>
        </w:rPr>
        <w:t>būtu</w:t>
      </w:r>
      <w:proofErr w:type="spellEnd"/>
      <w:r w:rsidRPr="00565D81">
        <w:rPr>
          <w:rFonts w:ascii="Times New Roman" w:hAnsi="Times New Roman" w:cs="Times New Roman"/>
          <w:bCs/>
          <w:lang w:val="de-DE"/>
        </w:rPr>
        <w:t xml:space="preserve"> </w:t>
      </w:r>
      <w:proofErr w:type="spellStart"/>
      <w:r w:rsidRPr="00565D81">
        <w:rPr>
          <w:rFonts w:ascii="Times New Roman" w:hAnsi="Times New Roman" w:cs="Times New Roman"/>
          <w:bCs/>
          <w:lang w:val="de-DE"/>
        </w:rPr>
        <w:t>vajadzējis</w:t>
      </w:r>
      <w:proofErr w:type="spellEnd"/>
      <w:r w:rsidRPr="00565D81">
        <w:rPr>
          <w:rFonts w:ascii="Times New Roman" w:hAnsi="Times New Roman" w:cs="Times New Roman"/>
          <w:bCs/>
          <w:lang w:val="de-DE"/>
        </w:rPr>
        <w:t xml:space="preserve"> „</w:t>
      </w:r>
      <w:proofErr w:type="spellStart"/>
      <w:r w:rsidRPr="00565D81">
        <w:rPr>
          <w:rFonts w:ascii="Times New Roman" w:hAnsi="Times New Roman" w:cs="Times New Roman"/>
          <w:bCs/>
          <w:lang w:val="de-DE"/>
        </w:rPr>
        <w:t>publiska</w:t>
      </w:r>
      <w:proofErr w:type="spellEnd"/>
      <w:r w:rsidRPr="00565D81">
        <w:rPr>
          <w:rFonts w:ascii="Times New Roman" w:hAnsi="Times New Roman" w:cs="Times New Roman"/>
          <w:bCs/>
          <w:lang w:val="de-DE"/>
        </w:rPr>
        <w:t xml:space="preserve"> </w:t>
      </w:r>
      <w:proofErr w:type="spellStart"/>
      <w:r w:rsidRPr="00565D81">
        <w:rPr>
          <w:rFonts w:ascii="Times New Roman" w:hAnsi="Times New Roman" w:cs="Times New Roman"/>
          <w:bCs/>
          <w:lang w:val="de-DE"/>
        </w:rPr>
        <w:t>dokumenta</w:t>
      </w:r>
      <w:proofErr w:type="spellEnd"/>
      <w:r w:rsidRPr="00565D81">
        <w:rPr>
          <w:rFonts w:ascii="Times New Roman" w:hAnsi="Times New Roman" w:cs="Times New Roman"/>
          <w:bCs/>
          <w:lang w:val="de-DE"/>
        </w:rPr>
        <w:t xml:space="preserve">“ </w:t>
      </w:r>
      <w:proofErr w:type="spellStart"/>
      <w:r w:rsidRPr="00565D81">
        <w:rPr>
          <w:rFonts w:ascii="Times New Roman" w:hAnsi="Times New Roman" w:cs="Times New Roman"/>
          <w:bCs/>
          <w:lang w:val="de-DE"/>
        </w:rPr>
        <w:t>jēdzienu</w:t>
      </w:r>
      <w:proofErr w:type="spellEnd"/>
      <w:r w:rsidRPr="00565D81">
        <w:rPr>
          <w:rFonts w:ascii="Times New Roman" w:hAnsi="Times New Roman" w:cs="Times New Roman"/>
          <w:bCs/>
          <w:lang w:val="de-DE"/>
        </w:rPr>
        <w:t xml:space="preserve"> </w:t>
      </w:r>
      <w:proofErr w:type="spellStart"/>
      <w:r w:rsidRPr="00565D81">
        <w:rPr>
          <w:rFonts w:ascii="Times New Roman" w:hAnsi="Times New Roman" w:cs="Times New Roman"/>
          <w:bCs/>
          <w:lang w:val="de-DE"/>
        </w:rPr>
        <w:t>analizēt</w:t>
      </w:r>
      <w:proofErr w:type="spellEnd"/>
      <w:r w:rsidRPr="00565D81">
        <w:rPr>
          <w:rFonts w:ascii="Times New Roman" w:hAnsi="Times New Roman" w:cs="Times New Roman"/>
          <w:bCs/>
          <w:lang w:val="de-DE"/>
        </w:rPr>
        <w:t xml:space="preserve"> </w:t>
      </w:r>
      <w:proofErr w:type="spellStart"/>
      <w:r w:rsidRPr="00565D81">
        <w:rPr>
          <w:rFonts w:ascii="Times New Roman" w:hAnsi="Times New Roman" w:cs="Times New Roman"/>
          <w:bCs/>
          <w:lang w:val="de-DE"/>
        </w:rPr>
        <w:t>caur</w:t>
      </w:r>
      <w:proofErr w:type="spellEnd"/>
      <w:r w:rsidRPr="00565D81">
        <w:rPr>
          <w:rFonts w:ascii="Times New Roman" w:hAnsi="Times New Roman" w:cs="Times New Roman"/>
          <w:bCs/>
          <w:lang w:val="de-DE"/>
        </w:rPr>
        <w:t xml:space="preserve"> </w:t>
      </w:r>
      <w:proofErr w:type="spellStart"/>
      <w:r w:rsidRPr="00565D81">
        <w:rPr>
          <w:rFonts w:ascii="Times New Roman" w:hAnsi="Times New Roman" w:cs="Times New Roman"/>
          <w:bCs/>
          <w:lang w:val="de-DE"/>
        </w:rPr>
        <w:t>Notariāta</w:t>
      </w:r>
      <w:proofErr w:type="spellEnd"/>
      <w:r w:rsidRPr="00565D81">
        <w:rPr>
          <w:rFonts w:ascii="Times New Roman" w:hAnsi="Times New Roman" w:cs="Times New Roman"/>
          <w:bCs/>
          <w:lang w:val="de-DE"/>
        </w:rPr>
        <w:t xml:space="preserve"> </w:t>
      </w:r>
      <w:proofErr w:type="spellStart"/>
      <w:r w:rsidRPr="00565D81">
        <w:rPr>
          <w:rFonts w:ascii="Times New Roman" w:hAnsi="Times New Roman" w:cs="Times New Roman"/>
          <w:bCs/>
          <w:lang w:val="de-DE"/>
        </w:rPr>
        <w:t>likuma</w:t>
      </w:r>
      <w:proofErr w:type="spellEnd"/>
      <w:r w:rsidRPr="00565D81">
        <w:rPr>
          <w:rFonts w:ascii="Times New Roman" w:hAnsi="Times New Roman" w:cs="Times New Roman"/>
          <w:bCs/>
          <w:lang w:val="de-DE"/>
        </w:rPr>
        <w:t xml:space="preserve"> </w:t>
      </w:r>
      <w:proofErr w:type="spellStart"/>
      <w:r w:rsidRPr="00565D81">
        <w:rPr>
          <w:rFonts w:ascii="Times New Roman" w:hAnsi="Times New Roman" w:cs="Times New Roman"/>
          <w:bCs/>
          <w:lang w:val="de-DE"/>
        </w:rPr>
        <w:t>prizmu</w:t>
      </w:r>
      <w:proofErr w:type="spellEnd"/>
      <w:r w:rsidRPr="00565D81">
        <w:rPr>
          <w:rFonts w:ascii="Times New Roman" w:hAnsi="Times New Roman" w:cs="Times New Roman"/>
          <w:bCs/>
          <w:lang w:val="de-DE"/>
        </w:rPr>
        <w:t xml:space="preserve">, </w:t>
      </w:r>
      <w:proofErr w:type="spellStart"/>
      <w:r w:rsidRPr="00565D81">
        <w:rPr>
          <w:rFonts w:ascii="Times New Roman" w:hAnsi="Times New Roman" w:cs="Times New Roman"/>
          <w:bCs/>
          <w:lang w:val="de-DE"/>
        </w:rPr>
        <w:t>bet</w:t>
      </w:r>
      <w:proofErr w:type="spellEnd"/>
      <w:r w:rsidRPr="00565D81">
        <w:rPr>
          <w:rFonts w:ascii="Times New Roman" w:hAnsi="Times New Roman" w:cs="Times New Roman"/>
          <w:bCs/>
          <w:lang w:val="de-DE"/>
        </w:rPr>
        <w:t xml:space="preserve"> </w:t>
      </w:r>
      <w:proofErr w:type="spellStart"/>
      <w:r w:rsidRPr="00565D81">
        <w:rPr>
          <w:rFonts w:ascii="Times New Roman" w:hAnsi="Times New Roman" w:cs="Times New Roman"/>
          <w:bCs/>
          <w:lang w:val="de-DE"/>
        </w:rPr>
        <w:t>nevis</w:t>
      </w:r>
      <w:proofErr w:type="spellEnd"/>
      <w:r w:rsidRPr="00565D81">
        <w:rPr>
          <w:rFonts w:ascii="Times New Roman" w:hAnsi="Times New Roman" w:cs="Times New Roman"/>
          <w:bCs/>
          <w:lang w:val="de-DE"/>
        </w:rPr>
        <w:t xml:space="preserve"> </w:t>
      </w:r>
      <w:proofErr w:type="spellStart"/>
      <w:r w:rsidRPr="00565D81">
        <w:rPr>
          <w:rFonts w:ascii="Times New Roman" w:hAnsi="Times New Roman" w:cs="Times New Roman"/>
          <w:bCs/>
          <w:lang w:val="de-DE"/>
        </w:rPr>
        <w:t>automātiski</w:t>
      </w:r>
      <w:proofErr w:type="spellEnd"/>
      <w:r w:rsidRPr="00565D81">
        <w:rPr>
          <w:rFonts w:ascii="Times New Roman" w:hAnsi="Times New Roman" w:cs="Times New Roman"/>
          <w:bCs/>
          <w:lang w:val="de-DE"/>
        </w:rPr>
        <w:t xml:space="preserve"> </w:t>
      </w:r>
      <w:proofErr w:type="spellStart"/>
      <w:r w:rsidRPr="00565D81">
        <w:rPr>
          <w:rFonts w:ascii="Times New Roman" w:hAnsi="Times New Roman" w:cs="Times New Roman"/>
          <w:bCs/>
          <w:lang w:val="de-DE"/>
        </w:rPr>
        <w:t>piemērot</w:t>
      </w:r>
      <w:proofErr w:type="spellEnd"/>
      <w:r w:rsidRPr="00565D81">
        <w:rPr>
          <w:rFonts w:ascii="Times New Roman" w:hAnsi="Times New Roman" w:cs="Times New Roman"/>
          <w:bCs/>
          <w:lang w:val="de-DE"/>
        </w:rPr>
        <w:t xml:space="preserve"> </w:t>
      </w:r>
      <w:proofErr w:type="spellStart"/>
      <w:r w:rsidRPr="00565D81">
        <w:rPr>
          <w:rFonts w:ascii="Times New Roman" w:hAnsi="Times New Roman" w:cs="Times New Roman"/>
          <w:bCs/>
          <w:lang w:val="de-DE"/>
        </w:rPr>
        <w:t>Hāgas</w:t>
      </w:r>
      <w:proofErr w:type="spellEnd"/>
      <w:r w:rsidRPr="00565D81">
        <w:rPr>
          <w:rFonts w:ascii="Times New Roman" w:hAnsi="Times New Roman" w:cs="Times New Roman"/>
          <w:bCs/>
          <w:lang w:val="de-DE"/>
        </w:rPr>
        <w:t xml:space="preserve"> </w:t>
      </w:r>
      <w:proofErr w:type="spellStart"/>
      <w:r w:rsidRPr="00565D81">
        <w:rPr>
          <w:rFonts w:ascii="Times New Roman" w:hAnsi="Times New Roman" w:cs="Times New Roman"/>
          <w:bCs/>
          <w:lang w:val="de-DE"/>
        </w:rPr>
        <w:t>dokumentu</w:t>
      </w:r>
      <w:proofErr w:type="spellEnd"/>
      <w:r w:rsidRPr="00565D81">
        <w:rPr>
          <w:rFonts w:ascii="Times New Roman" w:hAnsi="Times New Roman" w:cs="Times New Roman"/>
          <w:bCs/>
          <w:lang w:val="de-DE"/>
        </w:rPr>
        <w:t xml:space="preserve"> </w:t>
      </w:r>
      <w:proofErr w:type="spellStart"/>
      <w:r w:rsidRPr="00565D81">
        <w:rPr>
          <w:rFonts w:ascii="Times New Roman" w:hAnsi="Times New Roman" w:cs="Times New Roman"/>
          <w:bCs/>
          <w:lang w:val="de-DE"/>
        </w:rPr>
        <w:t>legalizācijas</w:t>
      </w:r>
      <w:proofErr w:type="spellEnd"/>
      <w:r w:rsidRPr="00565D81">
        <w:rPr>
          <w:rFonts w:ascii="Times New Roman" w:hAnsi="Times New Roman" w:cs="Times New Roman"/>
          <w:bCs/>
          <w:lang w:val="de-DE"/>
        </w:rPr>
        <w:t xml:space="preserve"> </w:t>
      </w:r>
      <w:proofErr w:type="spellStart"/>
      <w:r w:rsidRPr="00565D81">
        <w:rPr>
          <w:rFonts w:ascii="Times New Roman" w:hAnsi="Times New Roman" w:cs="Times New Roman"/>
          <w:bCs/>
          <w:lang w:val="de-DE"/>
        </w:rPr>
        <w:t>atcelšanas</w:t>
      </w:r>
      <w:proofErr w:type="spellEnd"/>
      <w:r w:rsidRPr="00565D81">
        <w:rPr>
          <w:rFonts w:ascii="Times New Roman" w:hAnsi="Times New Roman" w:cs="Times New Roman"/>
          <w:bCs/>
          <w:lang w:val="de-DE"/>
        </w:rPr>
        <w:t xml:space="preserve"> </w:t>
      </w:r>
      <w:proofErr w:type="spellStart"/>
      <w:r w:rsidRPr="00565D81">
        <w:rPr>
          <w:rFonts w:ascii="Times New Roman" w:hAnsi="Times New Roman" w:cs="Times New Roman"/>
          <w:bCs/>
          <w:lang w:val="de-DE"/>
        </w:rPr>
        <w:t>konvenciju</w:t>
      </w:r>
      <w:proofErr w:type="spellEnd"/>
      <w:r w:rsidRPr="00565D81">
        <w:rPr>
          <w:rFonts w:ascii="Times New Roman" w:hAnsi="Times New Roman" w:cs="Times New Roman"/>
          <w:bCs/>
          <w:lang w:val="de-DE"/>
        </w:rPr>
        <w:t xml:space="preserve">, </w:t>
      </w:r>
      <w:proofErr w:type="spellStart"/>
      <w:r w:rsidRPr="00565D81">
        <w:rPr>
          <w:rFonts w:ascii="Times New Roman" w:hAnsi="Times New Roman" w:cs="Times New Roman"/>
          <w:bCs/>
          <w:lang w:val="de-DE"/>
        </w:rPr>
        <w:t>kas</w:t>
      </w:r>
      <w:proofErr w:type="spellEnd"/>
      <w:r w:rsidRPr="00565D81">
        <w:rPr>
          <w:rFonts w:ascii="Times New Roman" w:hAnsi="Times New Roman" w:cs="Times New Roman"/>
          <w:bCs/>
          <w:lang w:val="de-DE"/>
        </w:rPr>
        <w:t xml:space="preserve">, </w:t>
      </w:r>
      <w:proofErr w:type="spellStart"/>
      <w:r w:rsidRPr="00565D81">
        <w:rPr>
          <w:rFonts w:ascii="Times New Roman" w:hAnsi="Times New Roman" w:cs="Times New Roman"/>
          <w:bCs/>
          <w:lang w:val="de-DE"/>
        </w:rPr>
        <w:t>saskaņā</w:t>
      </w:r>
      <w:proofErr w:type="spellEnd"/>
      <w:r w:rsidRPr="00565D81">
        <w:rPr>
          <w:rFonts w:ascii="Times New Roman" w:hAnsi="Times New Roman" w:cs="Times New Roman"/>
          <w:bCs/>
          <w:lang w:val="de-DE"/>
        </w:rPr>
        <w:t xml:space="preserve"> </w:t>
      </w:r>
      <w:proofErr w:type="spellStart"/>
      <w:r w:rsidRPr="00565D81">
        <w:rPr>
          <w:rFonts w:ascii="Times New Roman" w:hAnsi="Times New Roman" w:cs="Times New Roman"/>
          <w:bCs/>
          <w:lang w:val="de-DE"/>
        </w:rPr>
        <w:t>ar</w:t>
      </w:r>
      <w:proofErr w:type="spellEnd"/>
      <w:r w:rsidRPr="00565D81">
        <w:rPr>
          <w:rFonts w:ascii="Times New Roman" w:hAnsi="Times New Roman" w:cs="Times New Roman"/>
          <w:bCs/>
          <w:lang w:val="de-DE"/>
        </w:rPr>
        <w:t xml:space="preserve"> </w:t>
      </w:r>
      <w:proofErr w:type="spellStart"/>
      <w:r w:rsidRPr="00565D81">
        <w:rPr>
          <w:rFonts w:ascii="Times New Roman" w:hAnsi="Times New Roman" w:cs="Times New Roman"/>
          <w:bCs/>
          <w:lang w:val="de-DE"/>
        </w:rPr>
        <w:t>Dokumentu</w:t>
      </w:r>
      <w:proofErr w:type="spellEnd"/>
      <w:r w:rsidRPr="00565D81">
        <w:rPr>
          <w:rFonts w:ascii="Times New Roman" w:hAnsi="Times New Roman" w:cs="Times New Roman"/>
          <w:bCs/>
          <w:lang w:val="de-DE"/>
        </w:rPr>
        <w:t xml:space="preserve"> </w:t>
      </w:r>
      <w:proofErr w:type="spellStart"/>
      <w:r w:rsidRPr="00565D81">
        <w:rPr>
          <w:rFonts w:ascii="Times New Roman" w:hAnsi="Times New Roman" w:cs="Times New Roman"/>
          <w:bCs/>
          <w:lang w:val="de-DE"/>
        </w:rPr>
        <w:t>legalizācijas</w:t>
      </w:r>
      <w:proofErr w:type="spellEnd"/>
      <w:r w:rsidRPr="00565D81">
        <w:rPr>
          <w:rFonts w:ascii="Times New Roman" w:hAnsi="Times New Roman" w:cs="Times New Roman"/>
          <w:bCs/>
          <w:lang w:val="de-DE"/>
        </w:rPr>
        <w:t xml:space="preserve"> </w:t>
      </w:r>
      <w:proofErr w:type="spellStart"/>
      <w:r w:rsidRPr="00565D81">
        <w:rPr>
          <w:rFonts w:ascii="Times New Roman" w:hAnsi="Times New Roman" w:cs="Times New Roman"/>
          <w:bCs/>
          <w:lang w:val="de-DE"/>
        </w:rPr>
        <w:t>likuma</w:t>
      </w:r>
      <w:proofErr w:type="spellEnd"/>
      <w:r w:rsidRPr="00565D81">
        <w:rPr>
          <w:rFonts w:ascii="Times New Roman" w:hAnsi="Times New Roman" w:cs="Times New Roman"/>
          <w:bCs/>
          <w:lang w:val="de-DE"/>
        </w:rPr>
        <w:t xml:space="preserve"> 3.panta </w:t>
      </w:r>
      <w:proofErr w:type="spellStart"/>
      <w:r w:rsidRPr="00565D81">
        <w:rPr>
          <w:rFonts w:ascii="Times New Roman" w:hAnsi="Times New Roman" w:cs="Times New Roman"/>
          <w:bCs/>
          <w:lang w:val="de-DE"/>
        </w:rPr>
        <w:t>otro</w:t>
      </w:r>
      <w:proofErr w:type="spellEnd"/>
      <w:r w:rsidRPr="00565D81">
        <w:rPr>
          <w:rFonts w:ascii="Times New Roman" w:hAnsi="Times New Roman" w:cs="Times New Roman"/>
          <w:bCs/>
          <w:lang w:val="de-DE"/>
        </w:rPr>
        <w:t xml:space="preserve"> </w:t>
      </w:r>
      <w:proofErr w:type="spellStart"/>
      <w:r w:rsidRPr="00565D81">
        <w:rPr>
          <w:rFonts w:ascii="Times New Roman" w:hAnsi="Times New Roman" w:cs="Times New Roman"/>
          <w:bCs/>
          <w:lang w:val="de-DE"/>
        </w:rPr>
        <w:t>daļu</w:t>
      </w:r>
      <w:proofErr w:type="spellEnd"/>
      <w:r w:rsidRPr="00565D81">
        <w:rPr>
          <w:rFonts w:ascii="Times New Roman" w:hAnsi="Times New Roman" w:cs="Times New Roman"/>
          <w:bCs/>
          <w:lang w:val="de-DE"/>
        </w:rPr>
        <w:t xml:space="preserve">, </w:t>
      </w:r>
      <w:proofErr w:type="spellStart"/>
      <w:r w:rsidRPr="00565D81">
        <w:rPr>
          <w:rFonts w:ascii="Times New Roman" w:hAnsi="Times New Roman" w:cs="Times New Roman"/>
          <w:bCs/>
          <w:lang w:val="de-DE"/>
        </w:rPr>
        <w:t>šajā</w:t>
      </w:r>
      <w:proofErr w:type="spellEnd"/>
      <w:r w:rsidRPr="00565D81">
        <w:rPr>
          <w:rFonts w:ascii="Times New Roman" w:hAnsi="Times New Roman" w:cs="Times New Roman"/>
          <w:bCs/>
          <w:lang w:val="de-DE"/>
        </w:rPr>
        <w:t xml:space="preserve"> </w:t>
      </w:r>
      <w:proofErr w:type="spellStart"/>
      <w:r w:rsidRPr="00565D81">
        <w:rPr>
          <w:rFonts w:ascii="Times New Roman" w:hAnsi="Times New Roman" w:cs="Times New Roman"/>
          <w:bCs/>
          <w:lang w:val="de-DE"/>
        </w:rPr>
        <w:t>situācijā</w:t>
      </w:r>
      <w:proofErr w:type="spellEnd"/>
      <w:r w:rsidRPr="00565D81">
        <w:rPr>
          <w:rFonts w:ascii="Times New Roman" w:hAnsi="Times New Roman" w:cs="Times New Roman"/>
          <w:bCs/>
          <w:lang w:val="de-DE"/>
        </w:rPr>
        <w:t xml:space="preserve"> </w:t>
      </w:r>
      <w:proofErr w:type="spellStart"/>
      <w:r w:rsidRPr="00565D81">
        <w:rPr>
          <w:rFonts w:ascii="Times New Roman" w:hAnsi="Times New Roman" w:cs="Times New Roman"/>
          <w:bCs/>
          <w:lang w:val="de-DE"/>
        </w:rPr>
        <w:t>ar</w:t>
      </w:r>
      <w:proofErr w:type="spellEnd"/>
      <w:r w:rsidRPr="00565D81">
        <w:rPr>
          <w:rFonts w:ascii="Times New Roman" w:hAnsi="Times New Roman" w:cs="Times New Roman"/>
          <w:bCs/>
          <w:lang w:val="de-DE"/>
        </w:rPr>
        <w:t xml:space="preserve"> </w:t>
      </w:r>
      <w:proofErr w:type="spellStart"/>
      <w:r w:rsidRPr="00565D81">
        <w:rPr>
          <w:rFonts w:ascii="Times New Roman" w:hAnsi="Times New Roman" w:cs="Times New Roman"/>
          <w:bCs/>
          <w:lang w:val="de-DE"/>
        </w:rPr>
        <w:t>Apvienotajā</w:t>
      </w:r>
      <w:proofErr w:type="spellEnd"/>
      <w:r w:rsidRPr="00565D81">
        <w:rPr>
          <w:rFonts w:ascii="Times New Roman" w:hAnsi="Times New Roman" w:cs="Times New Roman"/>
          <w:bCs/>
          <w:lang w:val="de-DE"/>
        </w:rPr>
        <w:t xml:space="preserve"> </w:t>
      </w:r>
      <w:proofErr w:type="spellStart"/>
      <w:r w:rsidRPr="00565D81">
        <w:rPr>
          <w:rFonts w:ascii="Times New Roman" w:hAnsi="Times New Roman" w:cs="Times New Roman"/>
          <w:bCs/>
          <w:lang w:val="de-DE"/>
        </w:rPr>
        <w:t>Karalistē</w:t>
      </w:r>
      <w:proofErr w:type="spellEnd"/>
      <w:r w:rsidRPr="00565D81">
        <w:rPr>
          <w:rFonts w:ascii="Times New Roman" w:hAnsi="Times New Roman" w:cs="Times New Roman"/>
          <w:bCs/>
          <w:lang w:val="de-DE"/>
        </w:rPr>
        <w:t xml:space="preserve"> </w:t>
      </w:r>
      <w:proofErr w:type="spellStart"/>
      <w:r w:rsidRPr="00565D81">
        <w:rPr>
          <w:rFonts w:ascii="Times New Roman" w:hAnsi="Times New Roman" w:cs="Times New Roman"/>
          <w:bCs/>
          <w:lang w:val="de-DE"/>
        </w:rPr>
        <w:t>izdotu</w:t>
      </w:r>
      <w:proofErr w:type="spellEnd"/>
      <w:r w:rsidRPr="00565D81">
        <w:rPr>
          <w:rFonts w:ascii="Times New Roman" w:hAnsi="Times New Roman" w:cs="Times New Roman"/>
          <w:bCs/>
          <w:lang w:val="de-DE"/>
        </w:rPr>
        <w:t xml:space="preserve"> </w:t>
      </w:r>
      <w:proofErr w:type="spellStart"/>
      <w:r w:rsidRPr="00565D81">
        <w:rPr>
          <w:rFonts w:ascii="Times New Roman" w:hAnsi="Times New Roman" w:cs="Times New Roman"/>
          <w:bCs/>
          <w:lang w:val="de-DE"/>
        </w:rPr>
        <w:t>dokumentu</w:t>
      </w:r>
      <w:proofErr w:type="spellEnd"/>
      <w:r w:rsidRPr="00565D81">
        <w:rPr>
          <w:rFonts w:ascii="Times New Roman" w:hAnsi="Times New Roman" w:cs="Times New Roman"/>
          <w:bCs/>
          <w:lang w:val="de-DE"/>
        </w:rPr>
        <w:t xml:space="preserve"> </w:t>
      </w:r>
      <w:proofErr w:type="spellStart"/>
      <w:r w:rsidRPr="00565D81">
        <w:rPr>
          <w:rFonts w:ascii="Times New Roman" w:hAnsi="Times New Roman" w:cs="Times New Roman"/>
          <w:bCs/>
          <w:lang w:val="de-DE"/>
        </w:rPr>
        <w:t>nemaz</w:t>
      </w:r>
      <w:proofErr w:type="spellEnd"/>
      <w:r w:rsidRPr="00565D81">
        <w:rPr>
          <w:rFonts w:ascii="Times New Roman" w:hAnsi="Times New Roman" w:cs="Times New Roman"/>
          <w:bCs/>
          <w:lang w:val="de-DE"/>
        </w:rPr>
        <w:t xml:space="preserve"> </w:t>
      </w:r>
      <w:proofErr w:type="spellStart"/>
      <w:r w:rsidRPr="00565D81">
        <w:rPr>
          <w:rFonts w:ascii="Times New Roman" w:hAnsi="Times New Roman" w:cs="Times New Roman"/>
          <w:bCs/>
          <w:lang w:val="de-DE"/>
        </w:rPr>
        <w:t>nebija</w:t>
      </w:r>
      <w:proofErr w:type="spellEnd"/>
      <w:r w:rsidRPr="00565D81">
        <w:rPr>
          <w:rFonts w:ascii="Times New Roman" w:hAnsi="Times New Roman" w:cs="Times New Roman"/>
          <w:bCs/>
          <w:lang w:val="de-DE"/>
        </w:rPr>
        <w:t xml:space="preserve"> </w:t>
      </w:r>
      <w:proofErr w:type="spellStart"/>
      <w:r w:rsidRPr="00565D81">
        <w:rPr>
          <w:rFonts w:ascii="Times New Roman" w:hAnsi="Times New Roman" w:cs="Times New Roman"/>
          <w:bCs/>
          <w:lang w:val="de-DE"/>
        </w:rPr>
        <w:t>jāpiemēro</w:t>
      </w:r>
      <w:proofErr w:type="spellEnd"/>
      <w:r w:rsidRPr="00565D81">
        <w:rPr>
          <w:rFonts w:ascii="Times New Roman" w:hAnsi="Times New Roman" w:cs="Times New Roman"/>
          <w:bCs/>
          <w:lang w:val="de-DE"/>
        </w:rPr>
        <w:t xml:space="preserve">, </w:t>
      </w:r>
      <w:proofErr w:type="spellStart"/>
      <w:r w:rsidRPr="00565D81">
        <w:rPr>
          <w:rFonts w:ascii="Times New Roman" w:hAnsi="Times New Roman" w:cs="Times New Roman"/>
          <w:bCs/>
          <w:lang w:val="de-DE"/>
        </w:rPr>
        <w:t>jo</w:t>
      </w:r>
      <w:proofErr w:type="spellEnd"/>
      <w:r w:rsidRPr="00565D81">
        <w:rPr>
          <w:rFonts w:ascii="Times New Roman" w:hAnsi="Times New Roman" w:cs="Times New Roman"/>
          <w:bCs/>
          <w:lang w:val="de-DE"/>
        </w:rPr>
        <w:t xml:space="preserve"> </w:t>
      </w:r>
      <w:proofErr w:type="spellStart"/>
      <w:r w:rsidRPr="00565D81">
        <w:rPr>
          <w:rFonts w:ascii="Times New Roman" w:hAnsi="Times New Roman" w:cs="Times New Roman"/>
          <w:bCs/>
          <w:lang w:val="de-DE"/>
        </w:rPr>
        <w:t>dokuments</w:t>
      </w:r>
      <w:proofErr w:type="spellEnd"/>
      <w:r w:rsidRPr="00565D81">
        <w:rPr>
          <w:rFonts w:ascii="Times New Roman" w:hAnsi="Times New Roman" w:cs="Times New Roman"/>
          <w:bCs/>
          <w:lang w:val="de-DE"/>
        </w:rPr>
        <w:t xml:space="preserve"> </w:t>
      </w:r>
      <w:proofErr w:type="spellStart"/>
      <w:r w:rsidRPr="00565D81">
        <w:rPr>
          <w:rFonts w:ascii="Times New Roman" w:hAnsi="Times New Roman" w:cs="Times New Roman"/>
          <w:bCs/>
          <w:lang w:val="de-DE"/>
        </w:rPr>
        <w:t>bija</w:t>
      </w:r>
      <w:proofErr w:type="spellEnd"/>
      <w:r w:rsidRPr="00565D81">
        <w:rPr>
          <w:rFonts w:ascii="Times New Roman" w:hAnsi="Times New Roman" w:cs="Times New Roman"/>
          <w:bCs/>
          <w:lang w:val="de-DE"/>
        </w:rPr>
        <w:t xml:space="preserve"> </w:t>
      </w:r>
      <w:proofErr w:type="spellStart"/>
      <w:r w:rsidRPr="00565D81">
        <w:rPr>
          <w:rFonts w:ascii="Times New Roman" w:hAnsi="Times New Roman" w:cs="Times New Roman"/>
          <w:bCs/>
          <w:lang w:val="de-DE"/>
        </w:rPr>
        <w:t>izsniegts</w:t>
      </w:r>
      <w:proofErr w:type="spellEnd"/>
      <w:r w:rsidRPr="00565D81">
        <w:rPr>
          <w:rFonts w:ascii="Times New Roman" w:hAnsi="Times New Roman" w:cs="Times New Roman"/>
          <w:bCs/>
          <w:lang w:val="de-DE"/>
        </w:rPr>
        <w:t xml:space="preserve"> ES </w:t>
      </w:r>
      <w:proofErr w:type="spellStart"/>
      <w:r w:rsidRPr="00565D81">
        <w:rPr>
          <w:rFonts w:ascii="Times New Roman" w:hAnsi="Times New Roman" w:cs="Times New Roman"/>
          <w:bCs/>
          <w:lang w:val="de-DE"/>
        </w:rPr>
        <w:t>un</w:t>
      </w:r>
      <w:proofErr w:type="spellEnd"/>
      <w:r w:rsidRPr="00565D81">
        <w:rPr>
          <w:rFonts w:ascii="Times New Roman" w:hAnsi="Times New Roman" w:cs="Times New Roman"/>
          <w:bCs/>
          <w:lang w:val="de-DE"/>
        </w:rPr>
        <w:t xml:space="preserve"> </w:t>
      </w:r>
      <w:proofErr w:type="spellStart"/>
      <w:r w:rsidRPr="00565D81">
        <w:rPr>
          <w:rFonts w:ascii="Times New Roman" w:hAnsi="Times New Roman" w:cs="Times New Roman"/>
          <w:bCs/>
          <w:lang w:val="de-DE"/>
        </w:rPr>
        <w:t>tādēļ</w:t>
      </w:r>
      <w:proofErr w:type="spellEnd"/>
      <w:r w:rsidRPr="00565D81">
        <w:rPr>
          <w:rFonts w:ascii="Times New Roman" w:hAnsi="Times New Roman" w:cs="Times New Roman"/>
          <w:bCs/>
          <w:lang w:val="de-DE"/>
        </w:rPr>
        <w:t xml:space="preserve"> </w:t>
      </w:r>
      <w:proofErr w:type="spellStart"/>
      <w:r w:rsidRPr="00565D81">
        <w:rPr>
          <w:rFonts w:ascii="Times New Roman" w:hAnsi="Times New Roman" w:cs="Times New Roman"/>
          <w:bCs/>
          <w:lang w:val="de-DE"/>
        </w:rPr>
        <w:t>atbrīvots</w:t>
      </w:r>
      <w:proofErr w:type="spellEnd"/>
      <w:r w:rsidRPr="00565D81">
        <w:rPr>
          <w:rFonts w:ascii="Times New Roman" w:hAnsi="Times New Roman" w:cs="Times New Roman"/>
          <w:bCs/>
          <w:lang w:val="de-DE"/>
        </w:rPr>
        <w:t xml:space="preserve"> </w:t>
      </w:r>
      <w:proofErr w:type="spellStart"/>
      <w:r w:rsidRPr="00565D81">
        <w:rPr>
          <w:rFonts w:ascii="Times New Roman" w:hAnsi="Times New Roman" w:cs="Times New Roman"/>
          <w:bCs/>
          <w:lang w:val="de-DE"/>
        </w:rPr>
        <w:t>no</w:t>
      </w:r>
      <w:proofErr w:type="spellEnd"/>
      <w:r w:rsidRPr="00565D81">
        <w:rPr>
          <w:rFonts w:ascii="Times New Roman" w:hAnsi="Times New Roman" w:cs="Times New Roman"/>
          <w:bCs/>
          <w:lang w:val="de-DE"/>
        </w:rPr>
        <w:t xml:space="preserve"> </w:t>
      </w:r>
      <w:proofErr w:type="spellStart"/>
      <w:r w:rsidRPr="00565D81">
        <w:rPr>
          <w:rFonts w:ascii="Times New Roman" w:hAnsi="Times New Roman" w:cs="Times New Roman"/>
          <w:bCs/>
          <w:lang w:val="de-DE"/>
        </w:rPr>
        <w:t>legalizācijas</w:t>
      </w:r>
      <w:proofErr w:type="spellEnd"/>
      <w:r w:rsidRPr="00565D81">
        <w:rPr>
          <w:rFonts w:ascii="Times New Roman" w:hAnsi="Times New Roman" w:cs="Times New Roman"/>
          <w:bCs/>
          <w:lang w:val="de-DE"/>
        </w:rPr>
        <w:t xml:space="preserve">, t.sk. </w:t>
      </w:r>
      <w:proofErr w:type="spellStart"/>
      <w:r w:rsidRPr="00565D81">
        <w:rPr>
          <w:rFonts w:ascii="Times New Roman" w:hAnsi="Times New Roman" w:cs="Times New Roman"/>
          <w:bCs/>
          <w:i/>
          <w:lang w:val="de-DE"/>
        </w:rPr>
        <w:t>apostille</w:t>
      </w:r>
      <w:proofErr w:type="spellEnd"/>
      <w:r w:rsidRPr="00565D81">
        <w:rPr>
          <w:rFonts w:ascii="Times New Roman" w:hAnsi="Times New Roman" w:cs="Times New Roman"/>
          <w:bCs/>
          <w:lang w:val="de-DE"/>
        </w:rPr>
        <w:t xml:space="preserve">. </w:t>
      </w:r>
      <w:proofErr w:type="spellStart"/>
      <w:r w:rsidRPr="00565D81">
        <w:rPr>
          <w:rFonts w:ascii="Times New Roman" w:hAnsi="Times New Roman" w:cs="Times New Roman"/>
          <w:bCs/>
          <w:lang w:val="de-DE"/>
        </w:rPr>
        <w:t>Šajā</w:t>
      </w:r>
      <w:proofErr w:type="spellEnd"/>
      <w:r w:rsidRPr="00565D81">
        <w:rPr>
          <w:rFonts w:ascii="Times New Roman" w:hAnsi="Times New Roman" w:cs="Times New Roman"/>
          <w:bCs/>
          <w:lang w:val="de-DE"/>
        </w:rPr>
        <w:t xml:space="preserve"> </w:t>
      </w:r>
      <w:proofErr w:type="spellStart"/>
      <w:r w:rsidRPr="00565D81">
        <w:rPr>
          <w:rFonts w:ascii="Times New Roman" w:hAnsi="Times New Roman" w:cs="Times New Roman"/>
          <w:bCs/>
          <w:lang w:val="de-DE"/>
        </w:rPr>
        <w:t>lietā</w:t>
      </w:r>
      <w:proofErr w:type="spellEnd"/>
      <w:r w:rsidRPr="00565D81">
        <w:rPr>
          <w:rFonts w:ascii="Times New Roman" w:hAnsi="Times New Roman" w:cs="Times New Roman"/>
          <w:bCs/>
          <w:lang w:val="de-DE"/>
        </w:rPr>
        <w:t xml:space="preserve"> </w:t>
      </w:r>
      <w:proofErr w:type="spellStart"/>
      <w:r w:rsidRPr="00565D81">
        <w:rPr>
          <w:rFonts w:ascii="Times New Roman" w:hAnsi="Times New Roman" w:cs="Times New Roman"/>
          <w:bCs/>
          <w:lang w:val="de-DE"/>
        </w:rPr>
        <w:t>būtu</w:t>
      </w:r>
      <w:proofErr w:type="spellEnd"/>
      <w:r w:rsidRPr="00565D81">
        <w:rPr>
          <w:rFonts w:ascii="Times New Roman" w:hAnsi="Times New Roman" w:cs="Times New Roman"/>
          <w:bCs/>
          <w:lang w:val="de-DE"/>
        </w:rPr>
        <w:t xml:space="preserve"> </w:t>
      </w:r>
      <w:proofErr w:type="spellStart"/>
      <w:r w:rsidRPr="00565D81">
        <w:rPr>
          <w:rFonts w:ascii="Times New Roman" w:hAnsi="Times New Roman" w:cs="Times New Roman"/>
          <w:bCs/>
          <w:lang w:val="de-DE"/>
        </w:rPr>
        <w:t>bijis</w:t>
      </w:r>
      <w:proofErr w:type="spellEnd"/>
      <w:r w:rsidRPr="00565D81">
        <w:rPr>
          <w:rFonts w:ascii="Times New Roman" w:hAnsi="Times New Roman" w:cs="Times New Roman"/>
          <w:bCs/>
          <w:lang w:val="de-DE"/>
        </w:rPr>
        <w:t xml:space="preserve"> </w:t>
      </w:r>
      <w:proofErr w:type="spellStart"/>
      <w:r w:rsidRPr="00565D81">
        <w:rPr>
          <w:rFonts w:ascii="Times New Roman" w:hAnsi="Times New Roman" w:cs="Times New Roman"/>
          <w:bCs/>
          <w:lang w:val="de-DE"/>
        </w:rPr>
        <w:t>jānoskaidro</w:t>
      </w:r>
      <w:proofErr w:type="spellEnd"/>
      <w:r w:rsidRPr="00565D81">
        <w:rPr>
          <w:rFonts w:ascii="Times New Roman" w:hAnsi="Times New Roman" w:cs="Times New Roman"/>
          <w:bCs/>
          <w:lang w:val="de-DE"/>
        </w:rPr>
        <w:t xml:space="preserve">, </w:t>
      </w:r>
      <w:proofErr w:type="spellStart"/>
      <w:r w:rsidRPr="00565D81">
        <w:rPr>
          <w:rFonts w:ascii="Times New Roman" w:hAnsi="Times New Roman" w:cs="Times New Roman"/>
          <w:bCs/>
          <w:lang w:val="de-DE"/>
        </w:rPr>
        <w:t>vai</w:t>
      </w:r>
      <w:proofErr w:type="spellEnd"/>
      <w:r w:rsidRPr="00565D81">
        <w:rPr>
          <w:rFonts w:ascii="Times New Roman" w:hAnsi="Times New Roman" w:cs="Times New Roman"/>
          <w:bCs/>
          <w:lang w:val="de-DE"/>
        </w:rPr>
        <w:t xml:space="preserve"> </w:t>
      </w:r>
      <w:proofErr w:type="spellStart"/>
      <w:r w:rsidRPr="00565D81">
        <w:rPr>
          <w:rFonts w:ascii="Times New Roman" w:hAnsi="Times New Roman" w:cs="Times New Roman"/>
          <w:bCs/>
          <w:lang w:val="de-DE"/>
        </w:rPr>
        <w:t>Apvienotās</w:t>
      </w:r>
      <w:proofErr w:type="spellEnd"/>
      <w:r w:rsidRPr="00565D81">
        <w:rPr>
          <w:rFonts w:ascii="Times New Roman" w:hAnsi="Times New Roman" w:cs="Times New Roman"/>
          <w:bCs/>
          <w:lang w:val="de-DE"/>
        </w:rPr>
        <w:t xml:space="preserve"> </w:t>
      </w:r>
      <w:proofErr w:type="spellStart"/>
      <w:r w:rsidRPr="00565D81">
        <w:rPr>
          <w:rFonts w:ascii="Times New Roman" w:hAnsi="Times New Roman" w:cs="Times New Roman"/>
          <w:bCs/>
          <w:lang w:val="de-DE"/>
        </w:rPr>
        <w:t>Karalistes</w:t>
      </w:r>
      <w:proofErr w:type="spellEnd"/>
      <w:r w:rsidRPr="00565D81">
        <w:rPr>
          <w:rFonts w:ascii="Times New Roman" w:hAnsi="Times New Roman" w:cs="Times New Roman"/>
          <w:bCs/>
          <w:lang w:val="de-DE"/>
        </w:rPr>
        <w:t xml:space="preserve"> </w:t>
      </w:r>
      <w:proofErr w:type="spellStart"/>
      <w:r w:rsidRPr="00565D81">
        <w:rPr>
          <w:rFonts w:ascii="Times New Roman" w:hAnsi="Times New Roman" w:cs="Times New Roman"/>
          <w:bCs/>
          <w:lang w:val="de-DE"/>
        </w:rPr>
        <w:t>notāra</w:t>
      </w:r>
      <w:proofErr w:type="spellEnd"/>
      <w:r w:rsidRPr="00565D81">
        <w:rPr>
          <w:rFonts w:ascii="Times New Roman" w:hAnsi="Times New Roman" w:cs="Times New Roman"/>
          <w:bCs/>
          <w:lang w:val="de-DE"/>
        </w:rPr>
        <w:t xml:space="preserve"> </w:t>
      </w:r>
      <w:proofErr w:type="spellStart"/>
      <w:r w:rsidRPr="00565D81">
        <w:rPr>
          <w:rFonts w:ascii="Times New Roman" w:hAnsi="Times New Roman" w:cs="Times New Roman"/>
          <w:bCs/>
          <w:lang w:val="de-DE"/>
        </w:rPr>
        <w:t>izdotais</w:t>
      </w:r>
      <w:proofErr w:type="spellEnd"/>
      <w:r w:rsidRPr="00565D81">
        <w:rPr>
          <w:rFonts w:ascii="Times New Roman" w:hAnsi="Times New Roman" w:cs="Times New Roman"/>
          <w:bCs/>
          <w:lang w:val="de-DE"/>
        </w:rPr>
        <w:t xml:space="preserve"> </w:t>
      </w:r>
      <w:proofErr w:type="spellStart"/>
      <w:r w:rsidRPr="00565D81">
        <w:rPr>
          <w:rFonts w:ascii="Times New Roman" w:hAnsi="Times New Roman" w:cs="Times New Roman"/>
          <w:bCs/>
          <w:lang w:val="de-DE"/>
        </w:rPr>
        <w:t>dokuments</w:t>
      </w:r>
      <w:proofErr w:type="spellEnd"/>
      <w:r w:rsidRPr="00565D81">
        <w:rPr>
          <w:rFonts w:ascii="Times New Roman" w:hAnsi="Times New Roman" w:cs="Times New Roman"/>
          <w:bCs/>
          <w:lang w:val="de-DE"/>
        </w:rPr>
        <w:t xml:space="preserve"> </w:t>
      </w:r>
      <w:proofErr w:type="spellStart"/>
      <w:r w:rsidRPr="00565D81">
        <w:rPr>
          <w:rFonts w:ascii="Times New Roman" w:hAnsi="Times New Roman" w:cs="Times New Roman"/>
          <w:bCs/>
          <w:lang w:val="de-DE"/>
        </w:rPr>
        <w:t>varētu</w:t>
      </w:r>
      <w:proofErr w:type="spellEnd"/>
      <w:r w:rsidRPr="00565D81">
        <w:rPr>
          <w:rFonts w:ascii="Times New Roman" w:hAnsi="Times New Roman" w:cs="Times New Roman"/>
          <w:bCs/>
          <w:lang w:val="de-DE"/>
        </w:rPr>
        <w:t xml:space="preserve"> </w:t>
      </w:r>
      <w:proofErr w:type="spellStart"/>
      <w:r w:rsidRPr="00565D81">
        <w:rPr>
          <w:rFonts w:ascii="Times New Roman" w:hAnsi="Times New Roman" w:cs="Times New Roman"/>
          <w:bCs/>
          <w:lang w:val="de-DE"/>
        </w:rPr>
        <w:t>tikt</w:t>
      </w:r>
      <w:proofErr w:type="spellEnd"/>
      <w:r w:rsidRPr="00565D81">
        <w:rPr>
          <w:rFonts w:ascii="Times New Roman" w:hAnsi="Times New Roman" w:cs="Times New Roman"/>
          <w:bCs/>
          <w:lang w:val="de-DE"/>
        </w:rPr>
        <w:t xml:space="preserve"> </w:t>
      </w:r>
      <w:proofErr w:type="spellStart"/>
      <w:r w:rsidRPr="00565D81">
        <w:rPr>
          <w:rFonts w:ascii="Times New Roman" w:hAnsi="Times New Roman" w:cs="Times New Roman"/>
          <w:bCs/>
          <w:lang w:val="de-DE"/>
        </w:rPr>
        <w:t>pielīdzināts</w:t>
      </w:r>
      <w:proofErr w:type="spellEnd"/>
      <w:r w:rsidRPr="00565D81">
        <w:rPr>
          <w:rFonts w:ascii="Times New Roman" w:hAnsi="Times New Roman" w:cs="Times New Roman"/>
          <w:bCs/>
          <w:lang w:val="de-DE"/>
        </w:rPr>
        <w:t xml:space="preserve"> </w:t>
      </w:r>
      <w:proofErr w:type="spellStart"/>
      <w:r w:rsidRPr="00565D81">
        <w:rPr>
          <w:rFonts w:ascii="Times New Roman" w:hAnsi="Times New Roman" w:cs="Times New Roman"/>
          <w:bCs/>
          <w:lang w:val="de-DE"/>
        </w:rPr>
        <w:t>Notariāta</w:t>
      </w:r>
      <w:proofErr w:type="spellEnd"/>
      <w:r w:rsidRPr="00565D81">
        <w:rPr>
          <w:rFonts w:ascii="Times New Roman" w:hAnsi="Times New Roman" w:cs="Times New Roman"/>
          <w:bCs/>
          <w:lang w:val="de-DE"/>
        </w:rPr>
        <w:t xml:space="preserve"> </w:t>
      </w:r>
      <w:proofErr w:type="spellStart"/>
      <w:r w:rsidRPr="00565D81">
        <w:rPr>
          <w:rFonts w:ascii="Times New Roman" w:hAnsi="Times New Roman" w:cs="Times New Roman"/>
          <w:bCs/>
          <w:lang w:val="de-DE"/>
        </w:rPr>
        <w:t>likuma</w:t>
      </w:r>
      <w:proofErr w:type="spellEnd"/>
      <w:r w:rsidRPr="00565D81">
        <w:rPr>
          <w:rFonts w:ascii="Times New Roman" w:hAnsi="Times New Roman" w:cs="Times New Roman"/>
          <w:bCs/>
          <w:lang w:val="de-DE"/>
        </w:rPr>
        <w:t xml:space="preserve"> (</w:t>
      </w:r>
      <w:proofErr w:type="spellStart"/>
      <w:r w:rsidRPr="00565D81">
        <w:rPr>
          <w:rFonts w:ascii="Times New Roman" w:hAnsi="Times New Roman" w:cs="Times New Roman"/>
          <w:bCs/>
          <w:lang w:val="de-DE"/>
        </w:rPr>
        <w:t>jo</w:t>
      </w:r>
      <w:proofErr w:type="spellEnd"/>
      <w:r w:rsidRPr="00565D81">
        <w:rPr>
          <w:rFonts w:ascii="Times New Roman" w:hAnsi="Times New Roman" w:cs="Times New Roman"/>
          <w:bCs/>
          <w:lang w:val="de-DE"/>
        </w:rPr>
        <w:t xml:space="preserve"> </w:t>
      </w:r>
      <w:proofErr w:type="spellStart"/>
      <w:r w:rsidRPr="00565D81">
        <w:rPr>
          <w:rFonts w:ascii="Times New Roman" w:hAnsi="Times New Roman" w:cs="Times New Roman"/>
          <w:bCs/>
          <w:lang w:val="de-DE"/>
        </w:rPr>
        <w:t>to</w:t>
      </w:r>
      <w:proofErr w:type="spellEnd"/>
      <w:r w:rsidRPr="00565D81">
        <w:rPr>
          <w:rFonts w:ascii="Times New Roman" w:hAnsi="Times New Roman" w:cs="Times New Roman"/>
          <w:bCs/>
          <w:lang w:val="de-DE"/>
        </w:rPr>
        <w:t xml:space="preserve"> </w:t>
      </w:r>
      <w:proofErr w:type="spellStart"/>
      <w:r w:rsidRPr="00565D81">
        <w:rPr>
          <w:rFonts w:ascii="Times New Roman" w:hAnsi="Times New Roman" w:cs="Times New Roman"/>
          <w:bCs/>
          <w:lang w:val="de-DE"/>
        </w:rPr>
        <w:t>izdevis</w:t>
      </w:r>
      <w:proofErr w:type="spellEnd"/>
      <w:r w:rsidRPr="00565D81">
        <w:rPr>
          <w:rFonts w:ascii="Times New Roman" w:hAnsi="Times New Roman" w:cs="Times New Roman"/>
          <w:bCs/>
          <w:lang w:val="de-DE"/>
        </w:rPr>
        <w:t xml:space="preserve"> </w:t>
      </w:r>
      <w:proofErr w:type="spellStart"/>
      <w:r w:rsidRPr="00565D81">
        <w:rPr>
          <w:rFonts w:ascii="Times New Roman" w:hAnsi="Times New Roman" w:cs="Times New Roman"/>
          <w:bCs/>
          <w:lang w:val="de-DE"/>
        </w:rPr>
        <w:t>ārvalsts</w:t>
      </w:r>
      <w:proofErr w:type="spellEnd"/>
      <w:r w:rsidRPr="00565D81">
        <w:rPr>
          <w:rFonts w:ascii="Times New Roman" w:hAnsi="Times New Roman" w:cs="Times New Roman"/>
          <w:bCs/>
          <w:lang w:val="de-DE"/>
        </w:rPr>
        <w:t xml:space="preserve"> </w:t>
      </w:r>
      <w:proofErr w:type="spellStart"/>
      <w:r w:rsidRPr="00565D81">
        <w:rPr>
          <w:rFonts w:ascii="Times New Roman" w:hAnsi="Times New Roman" w:cs="Times New Roman"/>
          <w:bCs/>
          <w:lang w:val="de-DE"/>
        </w:rPr>
        <w:t>notārs</w:t>
      </w:r>
      <w:proofErr w:type="spellEnd"/>
      <w:r w:rsidRPr="00565D81">
        <w:rPr>
          <w:rFonts w:ascii="Times New Roman" w:hAnsi="Times New Roman" w:cs="Times New Roman"/>
          <w:bCs/>
          <w:lang w:val="de-DE"/>
        </w:rPr>
        <w:t xml:space="preserve">) 81.pantā </w:t>
      </w:r>
      <w:proofErr w:type="spellStart"/>
      <w:r w:rsidRPr="00565D81">
        <w:rPr>
          <w:rFonts w:ascii="Times New Roman" w:hAnsi="Times New Roman" w:cs="Times New Roman"/>
          <w:bCs/>
          <w:lang w:val="de-DE"/>
        </w:rPr>
        <w:t>uzskaitītajiem</w:t>
      </w:r>
      <w:proofErr w:type="spellEnd"/>
      <w:r w:rsidRPr="00565D81">
        <w:rPr>
          <w:rFonts w:ascii="Times New Roman" w:hAnsi="Times New Roman" w:cs="Times New Roman"/>
          <w:bCs/>
          <w:lang w:val="de-DE"/>
        </w:rPr>
        <w:t xml:space="preserve"> </w:t>
      </w:r>
      <w:proofErr w:type="spellStart"/>
      <w:r w:rsidRPr="00565D81">
        <w:rPr>
          <w:rFonts w:ascii="Times New Roman" w:hAnsi="Times New Roman" w:cs="Times New Roman"/>
          <w:bCs/>
          <w:lang w:val="de-DE"/>
        </w:rPr>
        <w:t>publiskajiem</w:t>
      </w:r>
      <w:proofErr w:type="spellEnd"/>
      <w:r w:rsidRPr="00565D81">
        <w:rPr>
          <w:rFonts w:ascii="Times New Roman" w:hAnsi="Times New Roman" w:cs="Times New Roman"/>
          <w:bCs/>
          <w:lang w:val="de-DE"/>
        </w:rPr>
        <w:t xml:space="preserve"> </w:t>
      </w:r>
      <w:proofErr w:type="spellStart"/>
      <w:r w:rsidRPr="00565D81">
        <w:rPr>
          <w:rFonts w:ascii="Times New Roman" w:hAnsi="Times New Roman" w:cs="Times New Roman"/>
          <w:bCs/>
          <w:lang w:val="de-DE"/>
        </w:rPr>
        <w:t>dokumentiem</w:t>
      </w:r>
      <w:proofErr w:type="spellEnd"/>
      <w:r w:rsidRPr="00565D81">
        <w:rPr>
          <w:rFonts w:ascii="Times New Roman" w:hAnsi="Times New Roman" w:cs="Times New Roman"/>
          <w:bCs/>
          <w:lang w:val="de-DE"/>
        </w:rPr>
        <w:t xml:space="preserve">, </w:t>
      </w:r>
      <w:proofErr w:type="spellStart"/>
      <w:r w:rsidRPr="00565D81">
        <w:rPr>
          <w:rFonts w:ascii="Times New Roman" w:hAnsi="Times New Roman" w:cs="Times New Roman"/>
          <w:bCs/>
          <w:lang w:val="de-DE"/>
        </w:rPr>
        <w:t>proti</w:t>
      </w:r>
      <w:proofErr w:type="spellEnd"/>
      <w:r w:rsidRPr="00565D81">
        <w:rPr>
          <w:rFonts w:ascii="Times New Roman" w:hAnsi="Times New Roman" w:cs="Times New Roman"/>
          <w:bCs/>
          <w:lang w:val="de-DE"/>
        </w:rPr>
        <w:t>, „</w:t>
      </w:r>
      <w:proofErr w:type="spellStart"/>
      <w:r w:rsidRPr="00565D81">
        <w:rPr>
          <w:rFonts w:ascii="Times New Roman" w:hAnsi="Times New Roman" w:cs="Times New Roman"/>
          <w:bCs/>
          <w:lang w:val="de-DE"/>
        </w:rPr>
        <w:t>notariālajam</w:t>
      </w:r>
      <w:proofErr w:type="spellEnd"/>
      <w:r w:rsidRPr="00565D81">
        <w:rPr>
          <w:rFonts w:ascii="Times New Roman" w:hAnsi="Times New Roman" w:cs="Times New Roman"/>
          <w:bCs/>
          <w:lang w:val="de-DE"/>
        </w:rPr>
        <w:t xml:space="preserve"> </w:t>
      </w:r>
      <w:proofErr w:type="spellStart"/>
      <w:r w:rsidRPr="00565D81">
        <w:rPr>
          <w:rFonts w:ascii="Times New Roman" w:hAnsi="Times New Roman" w:cs="Times New Roman"/>
          <w:bCs/>
          <w:lang w:val="de-DE"/>
        </w:rPr>
        <w:t>aktam</w:t>
      </w:r>
      <w:proofErr w:type="spellEnd"/>
      <w:r w:rsidRPr="00565D81">
        <w:rPr>
          <w:rFonts w:ascii="Times New Roman" w:hAnsi="Times New Roman" w:cs="Times New Roman"/>
          <w:bCs/>
          <w:lang w:val="de-DE"/>
        </w:rPr>
        <w:t xml:space="preserve">“ </w:t>
      </w:r>
      <w:proofErr w:type="spellStart"/>
      <w:r w:rsidRPr="00565D81">
        <w:rPr>
          <w:rFonts w:ascii="Times New Roman" w:hAnsi="Times New Roman" w:cs="Times New Roman"/>
          <w:bCs/>
          <w:lang w:val="de-DE"/>
        </w:rPr>
        <w:t>vai</w:t>
      </w:r>
      <w:proofErr w:type="spellEnd"/>
      <w:r w:rsidRPr="00565D81">
        <w:rPr>
          <w:rFonts w:ascii="Times New Roman" w:hAnsi="Times New Roman" w:cs="Times New Roman"/>
          <w:bCs/>
          <w:lang w:val="de-DE"/>
        </w:rPr>
        <w:t xml:space="preserve"> (</w:t>
      </w:r>
      <w:proofErr w:type="spellStart"/>
      <w:r w:rsidRPr="00565D81">
        <w:rPr>
          <w:rFonts w:ascii="Times New Roman" w:hAnsi="Times New Roman" w:cs="Times New Roman"/>
          <w:bCs/>
          <w:lang w:val="de-DE"/>
        </w:rPr>
        <w:t>ārvalsts</w:t>
      </w:r>
      <w:proofErr w:type="spellEnd"/>
      <w:r w:rsidRPr="00565D81">
        <w:rPr>
          <w:rFonts w:ascii="Times New Roman" w:hAnsi="Times New Roman" w:cs="Times New Roman"/>
          <w:bCs/>
          <w:lang w:val="de-DE"/>
        </w:rPr>
        <w:t>) „</w:t>
      </w:r>
      <w:proofErr w:type="spellStart"/>
      <w:r w:rsidRPr="00565D81">
        <w:rPr>
          <w:rFonts w:ascii="Times New Roman" w:hAnsi="Times New Roman" w:cs="Times New Roman"/>
          <w:bCs/>
          <w:lang w:val="de-DE"/>
        </w:rPr>
        <w:t>notāra</w:t>
      </w:r>
      <w:proofErr w:type="spellEnd"/>
      <w:r w:rsidRPr="00565D81">
        <w:rPr>
          <w:rFonts w:ascii="Times New Roman" w:hAnsi="Times New Roman" w:cs="Times New Roman"/>
          <w:bCs/>
          <w:lang w:val="de-DE"/>
        </w:rPr>
        <w:t xml:space="preserve"> </w:t>
      </w:r>
      <w:proofErr w:type="spellStart"/>
      <w:r w:rsidRPr="00565D81">
        <w:rPr>
          <w:rFonts w:ascii="Times New Roman" w:hAnsi="Times New Roman" w:cs="Times New Roman"/>
          <w:bCs/>
          <w:lang w:val="de-DE"/>
        </w:rPr>
        <w:t>taisītam</w:t>
      </w:r>
      <w:proofErr w:type="spellEnd"/>
      <w:r w:rsidRPr="00565D81">
        <w:rPr>
          <w:rFonts w:ascii="Times New Roman" w:hAnsi="Times New Roman" w:cs="Times New Roman"/>
          <w:bCs/>
          <w:lang w:val="de-DE"/>
        </w:rPr>
        <w:t xml:space="preserve"> </w:t>
      </w:r>
      <w:proofErr w:type="spellStart"/>
      <w:r w:rsidRPr="000C7C76">
        <w:rPr>
          <w:rFonts w:ascii="Times New Roman" w:hAnsi="Times New Roman" w:cs="Times New Roman"/>
          <w:bCs/>
          <w:lang w:val="de-DE"/>
        </w:rPr>
        <w:t>apliecinājumam</w:t>
      </w:r>
      <w:proofErr w:type="spellEnd"/>
      <w:r w:rsidRPr="00565D81">
        <w:rPr>
          <w:rFonts w:ascii="Times New Roman" w:hAnsi="Times New Roman" w:cs="Times New Roman"/>
          <w:bCs/>
          <w:lang w:val="de-DE"/>
        </w:rPr>
        <w:t>“</w:t>
      </w:r>
      <w:r w:rsidRPr="000C7C76">
        <w:rPr>
          <w:rFonts w:ascii="Times New Roman" w:hAnsi="Times New Roman" w:cs="Times New Roman"/>
          <w:bCs/>
          <w:lang w:val="de-DE"/>
        </w:rPr>
        <w:t xml:space="preserve">. Skat. </w:t>
      </w:r>
      <w:proofErr w:type="spellStart"/>
      <w:r w:rsidRPr="000C7C76">
        <w:rPr>
          <w:rFonts w:ascii="Times New Roman" w:hAnsi="Times New Roman" w:cs="Times New Roman"/>
          <w:bCs/>
          <w:lang w:val="de-DE"/>
        </w:rPr>
        <w:t>arī</w:t>
      </w:r>
      <w:proofErr w:type="spellEnd"/>
      <w:r w:rsidRPr="000C7C76">
        <w:rPr>
          <w:rFonts w:ascii="Times New Roman" w:hAnsi="Times New Roman" w:cs="Times New Roman"/>
          <w:bCs/>
          <w:lang w:val="de-DE"/>
        </w:rPr>
        <w:t xml:space="preserve"> </w:t>
      </w:r>
      <w:proofErr w:type="spellStart"/>
      <w:r w:rsidRPr="000C7C76">
        <w:rPr>
          <w:rFonts w:ascii="Times New Roman" w:hAnsi="Times New Roman" w:cs="Times New Roman"/>
          <w:bCs/>
          <w:lang w:val="de-DE"/>
        </w:rPr>
        <w:t>analīzi</w:t>
      </w:r>
      <w:proofErr w:type="spellEnd"/>
      <w:r w:rsidRPr="000C7C76">
        <w:rPr>
          <w:rFonts w:ascii="Times New Roman" w:hAnsi="Times New Roman" w:cs="Times New Roman"/>
          <w:bCs/>
          <w:lang w:val="de-DE"/>
        </w:rPr>
        <w:t xml:space="preserve"> </w:t>
      </w:r>
      <w:proofErr w:type="spellStart"/>
      <w:r w:rsidRPr="000C7C76">
        <w:rPr>
          <w:rFonts w:ascii="Times New Roman" w:hAnsi="Times New Roman" w:cs="Times New Roman"/>
          <w:bCs/>
          <w:lang w:val="de-DE"/>
        </w:rPr>
        <w:t>pie</w:t>
      </w:r>
      <w:proofErr w:type="spellEnd"/>
      <w:r w:rsidRPr="000C7C76">
        <w:rPr>
          <w:rFonts w:ascii="Times New Roman" w:hAnsi="Times New Roman" w:cs="Times New Roman"/>
          <w:bCs/>
          <w:lang w:val="de-DE"/>
        </w:rPr>
        <w:t xml:space="preserve"> </w:t>
      </w:r>
      <w:proofErr w:type="spellStart"/>
      <w:r w:rsidRPr="000C7C76">
        <w:rPr>
          <w:rFonts w:ascii="Times New Roman" w:hAnsi="Times New Roman" w:cs="Times New Roman"/>
          <w:bCs/>
          <w:lang w:val="de-DE"/>
        </w:rPr>
        <w:t>šī</w:t>
      </w:r>
      <w:proofErr w:type="spellEnd"/>
      <w:r w:rsidRPr="000C7C76">
        <w:rPr>
          <w:rFonts w:ascii="Times New Roman" w:hAnsi="Times New Roman" w:cs="Times New Roman"/>
          <w:bCs/>
          <w:lang w:val="de-DE"/>
        </w:rPr>
        <w:t xml:space="preserve"> </w:t>
      </w:r>
      <w:proofErr w:type="spellStart"/>
      <w:r w:rsidRPr="000C7C76">
        <w:rPr>
          <w:rFonts w:ascii="Times New Roman" w:hAnsi="Times New Roman" w:cs="Times New Roman"/>
          <w:bCs/>
          <w:lang w:val="de-DE"/>
        </w:rPr>
        <w:t>pētījuma</w:t>
      </w:r>
      <w:proofErr w:type="spellEnd"/>
      <w:r w:rsidRPr="000C7C76">
        <w:rPr>
          <w:rFonts w:ascii="Times New Roman" w:hAnsi="Times New Roman" w:cs="Times New Roman"/>
          <w:bCs/>
          <w:lang w:val="de-DE"/>
        </w:rPr>
        <w:t xml:space="preserve"> 9.jautājuma.</w:t>
      </w:r>
    </w:p>
    <w:p w14:paraId="202EE9AC" w14:textId="77777777" w:rsidR="00114953" w:rsidRPr="00565D81" w:rsidRDefault="00114953" w:rsidP="00114953">
      <w:pPr>
        <w:ind w:firstLine="708"/>
        <w:jc w:val="both"/>
        <w:rPr>
          <w:rFonts w:ascii="Times New Roman" w:hAnsi="Times New Roman" w:cs="Times New Roman"/>
          <w:bCs/>
          <w:lang w:val="de-DE"/>
        </w:rPr>
      </w:pPr>
      <w:proofErr w:type="spellStart"/>
      <w:r w:rsidRPr="000C7C76">
        <w:rPr>
          <w:rFonts w:ascii="Times New Roman" w:hAnsi="Times New Roman" w:cs="Times New Roman"/>
          <w:bCs/>
          <w:lang w:val="de-DE"/>
        </w:rPr>
        <w:t>Turklāt</w:t>
      </w:r>
      <w:proofErr w:type="spellEnd"/>
      <w:r w:rsidRPr="000C7C76">
        <w:rPr>
          <w:rFonts w:ascii="Times New Roman" w:hAnsi="Times New Roman" w:cs="Times New Roman"/>
          <w:bCs/>
          <w:lang w:val="de-DE"/>
        </w:rPr>
        <w:t xml:space="preserve">, </w:t>
      </w:r>
      <w:proofErr w:type="spellStart"/>
      <w:r w:rsidRPr="000C7C76">
        <w:rPr>
          <w:rFonts w:ascii="Times New Roman" w:hAnsi="Times New Roman" w:cs="Times New Roman"/>
          <w:bCs/>
          <w:lang w:val="de-DE"/>
        </w:rPr>
        <w:t>situācijās</w:t>
      </w:r>
      <w:proofErr w:type="spellEnd"/>
      <w:r w:rsidRPr="000C7C76">
        <w:rPr>
          <w:rFonts w:ascii="Times New Roman" w:hAnsi="Times New Roman" w:cs="Times New Roman"/>
          <w:bCs/>
          <w:lang w:val="de-DE"/>
        </w:rPr>
        <w:t xml:space="preserve"> </w:t>
      </w:r>
      <w:proofErr w:type="spellStart"/>
      <w:r w:rsidRPr="000C7C76">
        <w:rPr>
          <w:rFonts w:ascii="Times New Roman" w:hAnsi="Times New Roman" w:cs="Times New Roman"/>
          <w:bCs/>
          <w:lang w:val="de-DE"/>
        </w:rPr>
        <w:t>ar</w:t>
      </w:r>
      <w:proofErr w:type="spellEnd"/>
      <w:r w:rsidRPr="000C7C76">
        <w:rPr>
          <w:rFonts w:ascii="Times New Roman" w:hAnsi="Times New Roman" w:cs="Times New Roman"/>
          <w:bCs/>
          <w:lang w:val="de-DE"/>
        </w:rPr>
        <w:t xml:space="preserve"> </w:t>
      </w:r>
      <w:proofErr w:type="spellStart"/>
      <w:r w:rsidRPr="000C7C76">
        <w:rPr>
          <w:rFonts w:ascii="Times New Roman" w:hAnsi="Times New Roman" w:cs="Times New Roman"/>
          <w:bCs/>
          <w:lang w:val="de-DE"/>
        </w:rPr>
        <w:t>Apvienotās</w:t>
      </w:r>
      <w:proofErr w:type="spellEnd"/>
      <w:r w:rsidRPr="000C7C76">
        <w:rPr>
          <w:rFonts w:ascii="Times New Roman" w:hAnsi="Times New Roman" w:cs="Times New Roman"/>
          <w:bCs/>
          <w:lang w:val="de-DE"/>
        </w:rPr>
        <w:t xml:space="preserve"> </w:t>
      </w:r>
      <w:proofErr w:type="spellStart"/>
      <w:r w:rsidRPr="000C7C76">
        <w:rPr>
          <w:rFonts w:ascii="Times New Roman" w:hAnsi="Times New Roman" w:cs="Times New Roman"/>
          <w:bCs/>
          <w:lang w:val="de-DE"/>
        </w:rPr>
        <w:t>Karalistes</w:t>
      </w:r>
      <w:proofErr w:type="spellEnd"/>
      <w:r w:rsidRPr="000C7C76">
        <w:rPr>
          <w:rFonts w:ascii="Times New Roman" w:hAnsi="Times New Roman" w:cs="Times New Roman"/>
          <w:bCs/>
          <w:lang w:val="de-DE"/>
        </w:rPr>
        <w:t xml:space="preserve"> </w:t>
      </w:r>
      <w:proofErr w:type="spellStart"/>
      <w:r w:rsidRPr="000C7C76">
        <w:rPr>
          <w:rFonts w:ascii="Times New Roman" w:hAnsi="Times New Roman" w:cs="Times New Roman"/>
          <w:bCs/>
          <w:lang w:val="de-DE"/>
        </w:rPr>
        <w:t>notāriem</w:t>
      </w:r>
      <w:proofErr w:type="spellEnd"/>
      <w:r w:rsidRPr="000C7C76">
        <w:rPr>
          <w:rFonts w:ascii="Times New Roman" w:hAnsi="Times New Roman" w:cs="Times New Roman"/>
          <w:bCs/>
          <w:lang w:val="de-DE"/>
        </w:rPr>
        <w:t xml:space="preserve"> </w:t>
      </w:r>
      <w:proofErr w:type="spellStart"/>
      <w:r w:rsidRPr="000C7C76">
        <w:rPr>
          <w:rFonts w:ascii="Times New Roman" w:hAnsi="Times New Roman" w:cs="Times New Roman"/>
          <w:bCs/>
          <w:lang w:val="de-DE"/>
        </w:rPr>
        <w:t>ir</w:t>
      </w:r>
      <w:proofErr w:type="spellEnd"/>
      <w:r w:rsidRPr="000C7C76">
        <w:rPr>
          <w:rFonts w:ascii="Times New Roman" w:hAnsi="Times New Roman" w:cs="Times New Roman"/>
          <w:bCs/>
          <w:lang w:val="de-DE"/>
        </w:rPr>
        <w:t xml:space="preserve"> </w:t>
      </w:r>
      <w:proofErr w:type="spellStart"/>
      <w:r w:rsidRPr="000C7C76">
        <w:rPr>
          <w:rFonts w:ascii="Times New Roman" w:hAnsi="Times New Roman" w:cs="Times New Roman"/>
          <w:bCs/>
          <w:lang w:val="de-DE"/>
        </w:rPr>
        <w:t>vēlams</w:t>
      </w:r>
      <w:proofErr w:type="spellEnd"/>
      <w:r w:rsidRPr="000C7C76">
        <w:rPr>
          <w:rFonts w:ascii="Times New Roman" w:hAnsi="Times New Roman" w:cs="Times New Roman"/>
          <w:bCs/>
          <w:lang w:val="de-DE"/>
        </w:rPr>
        <w:t xml:space="preserve"> </w:t>
      </w:r>
      <w:proofErr w:type="spellStart"/>
      <w:r w:rsidRPr="000C7C76">
        <w:rPr>
          <w:rFonts w:ascii="Times New Roman" w:hAnsi="Times New Roman" w:cs="Times New Roman"/>
          <w:bCs/>
          <w:lang w:val="de-DE"/>
        </w:rPr>
        <w:t>vienmēr</w:t>
      </w:r>
      <w:proofErr w:type="spellEnd"/>
      <w:r w:rsidRPr="000C7C76">
        <w:rPr>
          <w:rFonts w:ascii="Times New Roman" w:hAnsi="Times New Roman" w:cs="Times New Roman"/>
          <w:bCs/>
          <w:lang w:val="de-DE"/>
        </w:rPr>
        <w:t xml:space="preserve"> </w:t>
      </w:r>
      <w:proofErr w:type="spellStart"/>
      <w:r w:rsidRPr="000C7C76">
        <w:rPr>
          <w:rFonts w:ascii="Times New Roman" w:hAnsi="Times New Roman" w:cs="Times New Roman"/>
          <w:bCs/>
          <w:lang w:val="de-DE"/>
        </w:rPr>
        <w:t>precizēt</w:t>
      </w:r>
      <w:proofErr w:type="spellEnd"/>
      <w:r w:rsidRPr="000C7C76">
        <w:rPr>
          <w:rFonts w:ascii="Times New Roman" w:hAnsi="Times New Roman" w:cs="Times New Roman"/>
          <w:bCs/>
          <w:lang w:val="de-DE"/>
        </w:rPr>
        <w:t xml:space="preserve"> </w:t>
      </w:r>
      <w:proofErr w:type="spellStart"/>
      <w:r w:rsidRPr="000C7C76">
        <w:rPr>
          <w:rFonts w:ascii="Times New Roman" w:hAnsi="Times New Roman" w:cs="Times New Roman"/>
          <w:bCs/>
          <w:lang w:val="de-DE"/>
        </w:rPr>
        <w:t>šī</w:t>
      </w:r>
      <w:proofErr w:type="spellEnd"/>
      <w:r w:rsidRPr="000C7C76">
        <w:rPr>
          <w:rFonts w:ascii="Times New Roman" w:hAnsi="Times New Roman" w:cs="Times New Roman"/>
          <w:bCs/>
          <w:lang w:val="de-DE"/>
        </w:rPr>
        <w:t xml:space="preserve"> </w:t>
      </w:r>
      <w:proofErr w:type="spellStart"/>
      <w:r w:rsidRPr="000C7C76">
        <w:rPr>
          <w:rFonts w:ascii="Times New Roman" w:hAnsi="Times New Roman" w:cs="Times New Roman"/>
          <w:bCs/>
          <w:lang w:val="de-DE"/>
        </w:rPr>
        <w:t>ārvalsts</w:t>
      </w:r>
      <w:proofErr w:type="spellEnd"/>
      <w:r w:rsidRPr="000C7C76">
        <w:rPr>
          <w:rFonts w:ascii="Times New Roman" w:hAnsi="Times New Roman" w:cs="Times New Roman"/>
          <w:bCs/>
          <w:lang w:val="de-DE"/>
        </w:rPr>
        <w:t xml:space="preserve"> </w:t>
      </w:r>
      <w:proofErr w:type="spellStart"/>
      <w:r w:rsidRPr="000C7C76">
        <w:rPr>
          <w:rFonts w:ascii="Times New Roman" w:hAnsi="Times New Roman" w:cs="Times New Roman"/>
          <w:bCs/>
          <w:lang w:val="de-DE"/>
        </w:rPr>
        <w:t>notāra</w:t>
      </w:r>
      <w:proofErr w:type="spellEnd"/>
      <w:r w:rsidRPr="000C7C76">
        <w:rPr>
          <w:rFonts w:ascii="Times New Roman" w:hAnsi="Times New Roman" w:cs="Times New Roman"/>
          <w:bCs/>
          <w:lang w:val="de-DE"/>
        </w:rPr>
        <w:t xml:space="preserve"> </w:t>
      </w:r>
      <w:proofErr w:type="spellStart"/>
      <w:r w:rsidRPr="000C7C76">
        <w:rPr>
          <w:rFonts w:ascii="Times New Roman" w:hAnsi="Times New Roman" w:cs="Times New Roman"/>
          <w:bCs/>
          <w:lang w:val="de-DE"/>
        </w:rPr>
        <w:t>nosaukumu</w:t>
      </w:r>
      <w:proofErr w:type="spellEnd"/>
      <w:r w:rsidRPr="000C7C76">
        <w:rPr>
          <w:rFonts w:ascii="Times New Roman" w:hAnsi="Times New Roman" w:cs="Times New Roman"/>
          <w:bCs/>
          <w:lang w:val="de-DE"/>
        </w:rPr>
        <w:t xml:space="preserve"> </w:t>
      </w:r>
      <w:proofErr w:type="spellStart"/>
      <w:r w:rsidRPr="000C7C76">
        <w:rPr>
          <w:rFonts w:ascii="Times New Roman" w:hAnsi="Times New Roman" w:cs="Times New Roman"/>
          <w:bCs/>
          <w:lang w:val="de-DE"/>
        </w:rPr>
        <w:t>angļu</w:t>
      </w:r>
      <w:proofErr w:type="spellEnd"/>
      <w:r w:rsidRPr="000C7C76">
        <w:rPr>
          <w:rFonts w:ascii="Times New Roman" w:hAnsi="Times New Roman" w:cs="Times New Roman"/>
          <w:bCs/>
          <w:lang w:val="de-DE"/>
        </w:rPr>
        <w:t xml:space="preserve"> </w:t>
      </w:r>
      <w:proofErr w:type="spellStart"/>
      <w:r w:rsidRPr="000C7C76">
        <w:rPr>
          <w:rFonts w:ascii="Times New Roman" w:hAnsi="Times New Roman" w:cs="Times New Roman"/>
          <w:bCs/>
          <w:lang w:val="de-DE"/>
        </w:rPr>
        <w:t>valodā</w:t>
      </w:r>
      <w:proofErr w:type="spellEnd"/>
      <w:r w:rsidRPr="000C7C76">
        <w:rPr>
          <w:rFonts w:ascii="Times New Roman" w:hAnsi="Times New Roman" w:cs="Times New Roman"/>
          <w:bCs/>
          <w:lang w:val="de-DE"/>
        </w:rPr>
        <w:t xml:space="preserve"> – </w:t>
      </w:r>
      <w:proofErr w:type="spellStart"/>
      <w:r w:rsidRPr="000C7C76">
        <w:rPr>
          <w:rFonts w:ascii="Times New Roman" w:hAnsi="Times New Roman" w:cs="Times New Roman"/>
          <w:bCs/>
          <w:i/>
          <w:lang w:val="de-DE"/>
        </w:rPr>
        <w:t>notary</w:t>
      </w:r>
      <w:proofErr w:type="spellEnd"/>
      <w:r w:rsidRPr="000C7C76">
        <w:rPr>
          <w:rFonts w:ascii="Times New Roman" w:hAnsi="Times New Roman" w:cs="Times New Roman"/>
          <w:bCs/>
          <w:i/>
          <w:lang w:val="de-DE"/>
        </w:rPr>
        <w:t xml:space="preserve"> </w:t>
      </w:r>
      <w:proofErr w:type="spellStart"/>
      <w:proofErr w:type="gramStart"/>
      <w:r w:rsidRPr="000C7C76">
        <w:rPr>
          <w:rFonts w:ascii="Times New Roman" w:hAnsi="Times New Roman" w:cs="Times New Roman"/>
          <w:bCs/>
          <w:i/>
          <w:lang w:val="de-DE"/>
        </w:rPr>
        <w:t>public</w:t>
      </w:r>
      <w:proofErr w:type="spellEnd"/>
      <w:r w:rsidRPr="000C7C76">
        <w:rPr>
          <w:rFonts w:ascii="Times New Roman" w:hAnsi="Times New Roman" w:cs="Times New Roman"/>
          <w:bCs/>
          <w:i/>
          <w:lang w:val="de-DE"/>
        </w:rPr>
        <w:t> </w:t>
      </w:r>
      <w:r w:rsidRPr="000C7C76">
        <w:rPr>
          <w:rFonts w:ascii="Times New Roman" w:hAnsi="Times New Roman" w:cs="Times New Roman"/>
          <w:bCs/>
          <w:lang w:val="de-DE"/>
        </w:rPr>
        <w:t>;</w:t>
      </w:r>
      <w:proofErr w:type="gramEnd"/>
      <w:r w:rsidRPr="000C7C76">
        <w:rPr>
          <w:rFonts w:ascii="Times New Roman" w:hAnsi="Times New Roman" w:cs="Times New Roman"/>
          <w:bCs/>
          <w:lang w:val="de-DE"/>
        </w:rPr>
        <w:t xml:space="preserve"> </w:t>
      </w:r>
      <w:proofErr w:type="spellStart"/>
      <w:r w:rsidRPr="000C7C76">
        <w:rPr>
          <w:rFonts w:ascii="Times New Roman" w:hAnsi="Times New Roman" w:cs="Times New Roman"/>
          <w:bCs/>
          <w:i/>
          <w:lang w:val="de-DE"/>
        </w:rPr>
        <w:t>scrivener</w:t>
      </w:r>
      <w:proofErr w:type="spellEnd"/>
      <w:r w:rsidRPr="000C7C76">
        <w:rPr>
          <w:rFonts w:ascii="Times New Roman" w:hAnsi="Times New Roman" w:cs="Times New Roman"/>
          <w:bCs/>
          <w:i/>
          <w:lang w:val="de-DE"/>
        </w:rPr>
        <w:t xml:space="preserve"> </w:t>
      </w:r>
      <w:proofErr w:type="spellStart"/>
      <w:r w:rsidRPr="000C7C76">
        <w:rPr>
          <w:rFonts w:ascii="Times New Roman" w:hAnsi="Times New Roman" w:cs="Times New Roman"/>
          <w:bCs/>
          <w:i/>
          <w:lang w:val="de-DE"/>
        </w:rPr>
        <w:t>notary</w:t>
      </w:r>
      <w:proofErr w:type="spellEnd"/>
      <w:r w:rsidRPr="000C7C76">
        <w:rPr>
          <w:rFonts w:ascii="Times New Roman" w:hAnsi="Times New Roman" w:cs="Times New Roman"/>
          <w:bCs/>
          <w:i/>
          <w:lang w:val="de-DE"/>
        </w:rPr>
        <w:t> </w:t>
      </w:r>
      <w:r w:rsidRPr="000C7C76">
        <w:rPr>
          <w:rFonts w:ascii="Times New Roman" w:hAnsi="Times New Roman" w:cs="Times New Roman"/>
          <w:bCs/>
          <w:lang w:val="de-DE"/>
        </w:rPr>
        <w:t xml:space="preserve">; </w:t>
      </w:r>
      <w:proofErr w:type="spellStart"/>
      <w:r w:rsidRPr="000C7C76">
        <w:rPr>
          <w:rFonts w:ascii="Times New Roman" w:hAnsi="Times New Roman" w:cs="Times New Roman"/>
          <w:bCs/>
          <w:lang w:val="de-DE"/>
        </w:rPr>
        <w:t>vai</w:t>
      </w:r>
      <w:proofErr w:type="spellEnd"/>
      <w:r w:rsidRPr="000C7C76">
        <w:rPr>
          <w:rFonts w:ascii="Times New Roman" w:hAnsi="Times New Roman" w:cs="Times New Roman"/>
          <w:bCs/>
          <w:lang w:val="de-DE"/>
        </w:rPr>
        <w:t xml:space="preserve"> </w:t>
      </w:r>
      <w:proofErr w:type="spellStart"/>
      <w:r w:rsidRPr="000C7C76">
        <w:rPr>
          <w:rFonts w:ascii="Times New Roman" w:hAnsi="Times New Roman" w:cs="Times New Roman"/>
          <w:bCs/>
          <w:i/>
          <w:lang w:val="de-DE"/>
        </w:rPr>
        <w:t>notary</w:t>
      </w:r>
      <w:proofErr w:type="spellEnd"/>
      <w:r w:rsidRPr="000C7C76">
        <w:rPr>
          <w:rFonts w:ascii="Times New Roman" w:hAnsi="Times New Roman" w:cs="Times New Roman"/>
          <w:bCs/>
          <w:i/>
          <w:lang w:val="de-DE"/>
        </w:rPr>
        <w:t xml:space="preserve"> </w:t>
      </w:r>
      <w:proofErr w:type="spellStart"/>
      <w:r w:rsidRPr="000C7C76">
        <w:rPr>
          <w:rFonts w:ascii="Times New Roman" w:hAnsi="Times New Roman" w:cs="Times New Roman"/>
          <w:bCs/>
          <w:i/>
          <w:lang w:val="de-DE"/>
        </w:rPr>
        <w:t>public</w:t>
      </w:r>
      <w:proofErr w:type="spellEnd"/>
      <w:r w:rsidRPr="000C7C76">
        <w:rPr>
          <w:rFonts w:ascii="Times New Roman" w:hAnsi="Times New Roman" w:cs="Times New Roman"/>
          <w:bCs/>
          <w:lang w:val="de-DE"/>
        </w:rPr>
        <w:t xml:space="preserve">, </w:t>
      </w:r>
      <w:proofErr w:type="spellStart"/>
      <w:r w:rsidRPr="000C7C76">
        <w:rPr>
          <w:rFonts w:ascii="Times New Roman" w:hAnsi="Times New Roman" w:cs="Times New Roman"/>
          <w:bCs/>
          <w:lang w:val="de-DE"/>
        </w:rPr>
        <w:t>kurš</w:t>
      </w:r>
      <w:proofErr w:type="spellEnd"/>
      <w:r w:rsidRPr="000C7C76">
        <w:rPr>
          <w:rFonts w:ascii="Times New Roman" w:hAnsi="Times New Roman" w:cs="Times New Roman"/>
          <w:bCs/>
          <w:lang w:val="de-DE"/>
        </w:rPr>
        <w:t xml:space="preserve"> </w:t>
      </w:r>
      <w:proofErr w:type="spellStart"/>
      <w:r w:rsidRPr="000C7C76">
        <w:rPr>
          <w:rFonts w:ascii="Times New Roman" w:hAnsi="Times New Roman" w:cs="Times New Roman"/>
          <w:bCs/>
          <w:lang w:val="de-DE"/>
        </w:rPr>
        <w:t>vienlaicīgi</w:t>
      </w:r>
      <w:proofErr w:type="spellEnd"/>
      <w:r w:rsidRPr="000C7C76">
        <w:rPr>
          <w:rFonts w:ascii="Times New Roman" w:hAnsi="Times New Roman" w:cs="Times New Roman"/>
          <w:bCs/>
          <w:lang w:val="de-DE"/>
        </w:rPr>
        <w:t xml:space="preserve"> </w:t>
      </w:r>
      <w:proofErr w:type="spellStart"/>
      <w:r w:rsidRPr="000C7C76">
        <w:rPr>
          <w:rFonts w:ascii="Times New Roman" w:hAnsi="Times New Roman" w:cs="Times New Roman"/>
          <w:bCs/>
          <w:lang w:val="de-DE"/>
        </w:rPr>
        <w:t>ir</w:t>
      </w:r>
      <w:proofErr w:type="spellEnd"/>
      <w:r w:rsidRPr="000C7C76">
        <w:rPr>
          <w:rFonts w:ascii="Times New Roman" w:hAnsi="Times New Roman" w:cs="Times New Roman"/>
          <w:bCs/>
          <w:lang w:val="de-DE"/>
        </w:rPr>
        <w:t xml:space="preserve"> </w:t>
      </w:r>
      <w:proofErr w:type="spellStart"/>
      <w:r w:rsidRPr="000C7C76">
        <w:rPr>
          <w:rFonts w:ascii="Times New Roman" w:hAnsi="Times New Roman" w:cs="Times New Roman"/>
          <w:bCs/>
          <w:lang w:val="de-DE"/>
        </w:rPr>
        <w:t>arī</w:t>
      </w:r>
      <w:proofErr w:type="spellEnd"/>
      <w:r w:rsidRPr="000C7C76">
        <w:rPr>
          <w:rFonts w:ascii="Times New Roman" w:hAnsi="Times New Roman" w:cs="Times New Roman"/>
          <w:bCs/>
          <w:lang w:val="de-DE"/>
        </w:rPr>
        <w:t xml:space="preserve"> </w:t>
      </w:r>
      <w:proofErr w:type="spellStart"/>
      <w:r w:rsidRPr="000C7C76">
        <w:rPr>
          <w:rFonts w:ascii="Times New Roman" w:hAnsi="Times New Roman" w:cs="Times New Roman"/>
          <w:bCs/>
          <w:i/>
          <w:lang w:val="de-DE"/>
        </w:rPr>
        <w:t>solicitor</w:t>
      </w:r>
      <w:proofErr w:type="spellEnd"/>
      <w:r w:rsidRPr="000C7C76">
        <w:rPr>
          <w:rFonts w:ascii="Times New Roman" w:hAnsi="Times New Roman" w:cs="Times New Roman"/>
          <w:bCs/>
          <w:lang w:val="de-DE"/>
        </w:rPr>
        <w:t xml:space="preserve">, </w:t>
      </w:r>
      <w:proofErr w:type="spellStart"/>
      <w:r w:rsidRPr="000C7C76">
        <w:rPr>
          <w:rFonts w:ascii="Times New Roman" w:hAnsi="Times New Roman" w:cs="Times New Roman"/>
          <w:bCs/>
          <w:lang w:val="de-DE"/>
        </w:rPr>
        <w:t>vai</w:t>
      </w:r>
      <w:proofErr w:type="spellEnd"/>
      <w:r w:rsidRPr="000C7C76">
        <w:rPr>
          <w:rFonts w:ascii="Times New Roman" w:hAnsi="Times New Roman" w:cs="Times New Roman"/>
          <w:bCs/>
          <w:lang w:val="de-DE"/>
        </w:rPr>
        <w:t xml:space="preserve"> </w:t>
      </w:r>
      <w:proofErr w:type="spellStart"/>
      <w:r w:rsidRPr="000C7C76">
        <w:rPr>
          <w:rFonts w:ascii="Times New Roman" w:hAnsi="Times New Roman" w:cs="Times New Roman"/>
          <w:bCs/>
          <w:lang w:val="de-DE"/>
        </w:rPr>
        <w:t>arī</w:t>
      </w:r>
      <w:proofErr w:type="spellEnd"/>
      <w:r w:rsidRPr="000C7C76">
        <w:rPr>
          <w:rFonts w:ascii="Times New Roman" w:hAnsi="Times New Roman" w:cs="Times New Roman"/>
          <w:bCs/>
          <w:lang w:val="de-DE"/>
        </w:rPr>
        <w:t xml:space="preserve"> </w:t>
      </w:r>
      <w:proofErr w:type="spellStart"/>
      <w:r w:rsidRPr="000C7C76">
        <w:rPr>
          <w:rFonts w:ascii="Times New Roman" w:hAnsi="Times New Roman" w:cs="Times New Roman"/>
          <w:bCs/>
          <w:lang w:val="de-DE"/>
        </w:rPr>
        <w:t>Londonas</w:t>
      </w:r>
      <w:proofErr w:type="spellEnd"/>
      <w:r w:rsidRPr="000C7C76">
        <w:rPr>
          <w:rFonts w:ascii="Times New Roman" w:hAnsi="Times New Roman" w:cs="Times New Roman"/>
          <w:bCs/>
          <w:lang w:val="de-DE"/>
        </w:rPr>
        <w:t xml:space="preserve"> </w:t>
      </w:r>
      <w:proofErr w:type="spellStart"/>
      <w:r w:rsidRPr="000C7C76">
        <w:rPr>
          <w:rFonts w:ascii="Times New Roman" w:hAnsi="Times New Roman" w:cs="Times New Roman"/>
          <w:bCs/>
          <w:lang w:val="de-DE"/>
        </w:rPr>
        <w:t>pilsētas</w:t>
      </w:r>
      <w:proofErr w:type="spellEnd"/>
      <w:r w:rsidRPr="000C7C76">
        <w:rPr>
          <w:rFonts w:ascii="Times New Roman" w:hAnsi="Times New Roman" w:cs="Times New Roman"/>
          <w:bCs/>
          <w:lang w:val="de-DE"/>
        </w:rPr>
        <w:t xml:space="preserve"> (</w:t>
      </w:r>
      <w:r w:rsidRPr="000C7C76">
        <w:rPr>
          <w:rFonts w:ascii="Times New Roman" w:hAnsi="Times New Roman" w:cs="Times New Roman"/>
          <w:bCs/>
          <w:i/>
          <w:lang w:val="de-DE"/>
        </w:rPr>
        <w:t xml:space="preserve">City </w:t>
      </w:r>
      <w:proofErr w:type="spellStart"/>
      <w:r w:rsidRPr="000C7C76">
        <w:rPr>
          <w:rFonts w:ascii="Times New Roman" w:hAnsi="Times New Roman" w:cs="Times New Roman"/>
          <w:bCs/>
          <w:i/>
          <w:lang w:val="de-DE"/>
        </w:rPr>
        <w:t>of</w:t>
      </w:r>
      <w:proofErr w:type="spellEnd"/>
      <w:r w:rsidRPr="000C7C76">
        <w:rPr>
          <w:rFonts w:ascii="Times New Roman" w:hAnsi="Times New Roman" w:cs="Times New Roman"/>
          <w:bCs/>
          <w:i/>
          <w:lang w:val="de-DE"/>
        </w:rPr>
        <w:t xml:space="preserve"> London</w:t>
      </w:r>
      <w:r w:rsidRPr="000C7C76">
        <w:rPr>
          <w:rFonts w:ascii="Times New Roman" w:hAnsi="Times New Roman" w:cs="Times New Roman"/>
          <w:bCs/>
          <w:lang w:val="de-DE"/>
        </w:rPr>
        <w:t xml:space="preserve">) </w:t>
      </w:r>
      <w:proofErr w:type="spellStart"/>
      <w:r w:rsidRPr="000C7C76">
        <w:rPr>
          <w:rFonts w:ascii="Times New Roman" w:hAnsi="Times New Roman" w:cs="Times New Roman"/>
          <w:bCs/>
          <w:lang w:val="de-DE"/>
        </w:rPr>
        <w:t>notārs</w:t>
      </w:r>
      <w:proofErr w:type="spellEnd"/>
      <w:r w:rsidRPr="000C7C76">
        <w:rPr>
          <w:rFonts w:ascii="Times New Roman" w:hAnsi="Times New Roman" w:cs="Times New Roman"/>
          <w:bCs/>
          <w:lang w:val="de-DE"/>
        </w:rPr>
        <w:t xml:space="preserve"> (</w:t>
      </w:r>
      <w:proofErr w:type="spellStart"/>
      <w:r w:rsidRPr="000C7C76">
        <w:rPr>
          <w:rFonts w:ascii="Times New Roman" w:hAnsi="Times New Roman" w:cs="Times New Roman"/>
          <w:bCs/>
          <w:lang w:val="de-DE"/>
        </w:rPr>
        <w:t>kurš</w:t>
      </w:r>
      <w:proofErr w:type="spellEnd"/>
      <w:r w:rsidRPr="000C7C76">
        <w:rPr>
          <w:rFonts w:ascii="Times New Roman" w:hAnsi="Times New Roman" w:cs="Times New Roman"/>
          <w:bCs/>
          <w:lang w:val="de-DE"/>
        </w:rPr>
        <w:t xml:space="preserve"> </w:t>
      </w:r>
      <w:proofErr w:type="spellStart"/>
      <w:r w:rsidRPr="000C7C76">
        <w:rPr>
          <w:rFonts w:ascii="Times New Roman" w:hAnsi="Times New Roman" w:cs="Times New Roman"/>
          <w:bCs/>
          <w:lang w:val="de-DE"/>
        </w:rPr>
        <w:t>pielīdzināts</w:t>
      </w:r>
      <w:proofErr w:type="spellEnd"/>
      <w:r w:rsidRPr="000C7C76">
        <w:rPr>
          <w:rFonts w:ascii="Times New Roman" w:hAnsi="Times New Roman" w:cs="Times New Roman"/>
          <w:bCs/>
          <w:lang w:val="de-DE"/>
        </w:rPr>
        <w:t xml:space="preserve"> </w:t>
      </w:r>
      <w:proofErr w:type="spellStart"/>
      <w:r w:rsidRPr="000C7C76">
        <w:rPr>
          <w:rFonts w:ascii="Times New Roman" w:hAnsi="Times New Roman" w:cs="Times New Roman"/>
          <w:bCs/>
          <w:lang w:val="de-DE"/>
        </w:rPr>
        <w:t>latīņu</w:t>
      </w:r>
      <w:proofErr w:type="spellEnd"/>
      <w:r w:rsidRPr="000C7C76">
        <w:rPr>
          <w:rFonts w:ascii="Times New Roman" w:hAnsi="Times New Roman" w:cs="Times New Roman"/>
          <w:bCs/>
          <w:lang w:val="de-DE"/>
        </w:rPr>
        <w:t xml:space="preserve"> </w:t>
      </w:r>
      <w:proofErr w:type="spellStart"/>
      <w:r w:rsidRPr="000C7C76">
        <w:rPr>
          <w:rFonts w:ascii="Times New Roman" w:hAnsi="Times New Roman" w:cs="Times New Roman"/>
          <w:bCs/>
          <w:lang w:val="de-DE"/>
        </w:rPr>
        <w:t>tipa</w:t>
      </w:r>
      <w:proofErr w:type="spellEnd"/>
      <w:r w:rsidRPr="000C7C76">
        <w:rPr>
          <w:rFonts w:ascii="Times New Roman" w:hAnsi="Times New Roman" w:cs="Times New Roman"/>
          <w:bCs/>
          <w:lang w:val="de-DE"/>
        </w:rPr>
        <w:t xml:space="preserve"> </w:t>
      </w:r>
      <w:proofErr w:type="spellStart"/>
      <w:r w:rsidRPr="000C7C76">
        <w:rPr>
          <w:rFonts w:ascii="Times New Roman" w:hAnsi="Times New Roman" w:cs="Times New Roman"/>
          <w:bCs/>
          <w:lang w:val="de-DE"/>
        </w:rPr>
        <w:t>notariātam</w:t>
      </w:r>
      <w:proofErr w:type="spellEnd"/>
      <w:r w:rsidRPr="000C7C76">
        <w:rPr>
          <w:rFonts w:ascii="Times New Roman" w:hAnsi="Times New Roman" w:cs="Times New Roman"/>
          <w:bCs/>
          <w:lang w:val="de-DE"/>
        </w:rPr>
        <w:t xml:space="preserve">). Par </w:t>
      </w:r>
      <w:proofErr w:type="spellStart"/>
      <w:r w:rsidRPr="000C7C76">
        <w:rPr>
          <w:rFonts w:ascii="Times New Roman" w:hAnsi="Times New Roman" w:cs="Times New Roman"/>
          <w:bCs/>
          <w:lang w:val="de-DE"/>
        </w:rPr>
        <w:t>to</w:t>
      </w:r>
      <w:proofErr w:type="spellEnd"/>
      <w:r w:rsidRPr="000C7C76">
        <w:rPr>
          <w:rFonts w:ascii="Times New Roman" w:hAnsi="Times New Roman" w:cs="Times New Roman"/>
          <w:bCs/>
          <w:lang w:val="de-DE"/>
        </w:rPr>
        <w:t xml:space="preserve"> </w:t>
      </w:r>
      <w:proofErr w:type="spellStart"/>
      <w:r w:rsidRPr="000C7C76">
        <w:rPr>
          <w:rFonts w:ascii="Times New Roman" w:hAnsi="Times New Roman" w:cs="Times New Roman"/>
          <w:bCs/>
          <w:lang w:val="de-DE"/>
        </w:rPr>
        <w:t>skat</w:t>
      </w:r>
      <w:proofErr w:type="spellEnd"/>
      <w:r w:rsidRPr="000C7C76">
        <w:rPr>
          <w:rFonts w:ascii="Times New Roman" w:hAnsi="Times New Roman" w:cs="Times New Roman"/>
          <w:bCs/>
          <w:lang w:val="de-DE"/>
        </w:rPr>
        <w:t xml:space="preserve">. </w:t>
      </w:r>
      <w:proofErr w:type="spellStart"/>
      <w:r w:rsidRPr="000C7C76">
        <w:rPr>
          <w:rFonts w:ascii="Times New Roman" w:hAnsi="Times New Roman" w:cs="Times New Roman"/>
          <w:bCs/>
          <w:lang w:val="de-DE"/>
        </w:rPr>
        <w:t>pie</w:t>
      </w:r>
      <w:proofErr w:type="spellEnd"/>
      <w:r w:rsidRPr="000C7C76">
        <w:rPr>
          <w:rFonts w:ascii="Times New Roman" w:hAnsi="Times New Roman" w:cs="Times New Roman"/>
          <w:bCs/>
          <w:lang w:val="de-DE"/>
        </w:rPr>
        <w:t xml:space="preserve"> </w:t>
      </w:r>
      <w:proofErr w:type="spellStart"/>
      <w:r w:rsidRPr="000C7C76">
        <w:rPr>
          <w:rFonts w:ascii="Times New Roman" w:hAnsi="Times New Roman" w:cs="Times New Roman"/>
          <w:bCs/>
          <w:lang w:val="de-DE"/>
        </w:rPr>
        <w:t>šī</w:t>
      </w:r>
      <w:proofErr w:type="spellEnd"/>
      <w:r w:rsidRPr="000C7C76">
        <w:rPr>
          <w:rFonts w:ascii="Times New Roman" w:hAnsi="Times New Roman" w:cs="Times New Roman"/>
          <w:bCs/>
          <w:lang w:val="de-DE"/>
        </w:rPr>
        <w:t xml:space="preserve"> </w:t>
      </w:r>
      <w:proofErr w:type="spellStart"/>
      <w:r w:rsidRPr="000C7C76">
        <w:rPr>
          <w:rFonts w:ascii="Times New Roman" w:hAnsi="Times New Roman" w:cs="Times New Roman"/>
          <w:bCs/>
          <w:lang w:val="de-DE"/>
        </w:rPr>
        <w:t>pētījuma</w:t>
      </w:r>
      <w:proofErr w:type="spellEnd"/>
      <w:r w:rsidRPr="000C7C76">
        <w:rPr>
          <w:rFonts w:ascii="Times New Roman" w:hAnsi="Times New Roman" w:cs="Times New Roman"/>
          <w:bCs/>
          <w:lang w:val="de-DE"/>
        </w:rPr>
        <w:t xml:space="preserve"> 9 </w:t>
      </w:r>
      <w:proofErr w:type="spellStart"/>
      <w:r w:rsidRPr="000C7C76">
        <w:rPr>
          <w:rFonts w:ascii="Times New Roman" w:hAnsi="Times New Roman" w:cs="Times New Roman"/>
          <w:bCs/>
          <w:lang w:val="de-DE"/>
        </w:rPr>
        <w:t>jautājuma</w:t>
      </w:r>
      <w:proofErr w:type="spellEnd"/>
      <w:r w:rsidRPr="000C7C76">
        <w:rPr>
          <w:rFonts w:ascii="Times New Roman" w:hAnsi="Times New Roman" w:cs="Times New Roman"/>
          <w:bCs/>
          <w:lang w:val="de-DE"/>
        </w:rPr>
        <w:t xml:space="preserve">. Tas </w:t>
      </w:r>
      <w:proofErr w:type="spellStart"/>
      <w:r w:rsidRPr="000C7C76">
        <w:rPr>
          <w:rFonts w:ascii="Times New Roman" w:hAnsi="Times New Roman" w:cs="Times New Roman"/>
          <w:bCs/>
          <w:lang w:val="de-DE"/>
        </w:rPr>
        <w:t>ietekmē</w:t>
      </w:r>
      <w:proofErr w:type="spellEnd"/>
      <w:r w:rsidRPr="000C7C76">
        <w:rPr>
          <w:rFonts w:ascii="Times New Roman" w:hAnsi="Times New Roman" w:cs="Times New Roman"/>
          <w:bCs/>
          <w:lang w:val="de-DE"/>
        </w:rPr>
        <w:t xml:space="preserve"> </w:t>
      </w:r>
      <w:proofErr w:type="spellStart"/>
      <w:r w:rsidRPr="000C7C76">
        <w:rPr>
          <w:rFonts w:ascii="Times New Roman" w:hAnsi="Times New Roman" w:cs="Times New Roman"/>
          <w:bCs/>
          <w:lang w:val="de-DE"/>
        </w:rPr>
        <w:t>šo</w:t>
      </w:r>
      <w:proofErr w:type="spellEnd"/>
      <w:r w:rsidRPr="000C7C76">
        <w:rPr>
          <w:rFonts w:ascii="Times New Roman" w:hAnsi="Times New Roman" w:cs="Times New Roman"/>
          <w:bCs/>
          <w:lang w:val="de-DE"/>
        </w:rPr>
        <w:t xml:space="preserve"> </w:t>
      </w:r>
      <w:proofErr w:type="spellStart"/>
      <w:r w:rsidRPr="000C7C76">
        <w:rPr>
          <w:rFonts w:ascii="Times New Roman" w:hAnsi="Times New Roman" w:cs="Times New Roman"/>
          <w:bCs/>
          <w:lang w:val="de-DE"/>
        </w:rPr>
        <w:t>amatpersonu</w:t>
      </w:r>
      <w:proofErr w:type="spellEnd"/>
      <w:r w:rsidRPr="000C7C76">
        <w:rPr>
          <w:rFonts w:ascii="Times New Roman" w:hAnsi="Times New Roman" w:cs="Times New Roman"/>
          <w:bCs/>
          <w:lang w:val="de-DE"/>
        </w:rPr>
        <w:t xml:space="preserve"> </w:t>
      </w:r>
      <w:proofErr w:type="spellStart"/>
      <w:r w:rsidRPr="000C7C76">
        <w:rPr>
          <w:rFonts w:ascii="Times New Roman" w:hAnsi="Times New Roman" w:cs="Times New Roman"/>
          <w:bCs/>
          <w:lang w:val="de-DE"/>
        </w:rPr>
        <w:t>iespējamās</w:t>
      </w:r>
      <w:proofErr w:type="spellEnd"/>
      <w:r w:rsidRPr="000C7C76">
        <w:rPr>
          <w:rFonts w:ascii="Times New Roman" w:hAnsi="Times New Roman" w:cs="Times New Roman"/>
          <w:bCs/>
          <w:lang w:val="de-DE"/>
        </w:rPr>
        <w:t xml:space="preserve"> </w:t>
      </w:r>
      <w:proofErr w:type="spellStart"/>
      <w:r w:rsidRPr="000C7C76">
        <w:rPr>
          <w:rFonts w:ascii="Times New Roman" w:hAnsi="Times New Roman" w:cs="Times New Roman"/>
          <w:bCs/>
          <w:lang w:val="de-DE"/>
        </w:rPr>
        <w:t>darbības</w:t>
      </w:r>
      <w:proofErr w:type="spellEnd"/>
      <w:r w:rsidRPr="000C7C76">
        <w:rPr>
          <w:rFonts w:ascii="Times New Roman" w:hAnsi="Times New Roman" w:cs="Times New Roman"/>
          <w:bCs/>
          <w:lang w:val="de-DE"/>
        </w:rPr>
        <w:t xml:space="preserve"> </w:t>
      </w:r>
      <w:proofErr w:type="spellStart"/>
      <w:r w:rsidRPr="000C7C76">
        <w:rPr>
          <w:rFonts w:ascii="Times New Roman" w:hAnsi="Times New Roman" w:cs="Times New Roman"/>
          <w:bCs/>
          <w:lang w:val="de-DE"/>
        </w:rPr>
        <w:t>pilnvaras</w:t>
      </w:r>
      <w:proofErr w:type="spellEnd"/>
      <w:r w:rsidRPr="000C7C76">
        <w:rPr>
          <w:rFonts w:ascii="Times New Roman" w:hAnsi="Times New Roman" w:cs="Times New Roman"/>
          <w:bCs/>
          <w:lang w:val="de-DE"/>
        </w:rPr>
        <w:t xml:space="preserve"> </w:t>
      </w:r>
      <w:proofErr w:type="spellStart"/>
      <w:r w:rsidRPr="000C7C76">
        <w:rPr>
          <w:rFonts w:ascii="Times New Roman" w:hAnsi="Times New Roman" w:cs="Times New Roman"/>
          <w:bCs/>
          <w:lang w:val="de-DE"/>
        </w:rPr>
        <w:t>formas</w:t>
      </w:r>
      <w:proofErr w:type="spellEnd"/>
      <w:r w:rsidRPr="000C7C76">
        <w:rPr>
          <w:rFonts w:ascii="Times New Roman" w:hAnsi="Times New Roman" w:cs="Times New Roman"/>
          <w:bCs/>
          <w:lang w:val="de-DE"/>
        </w:rPr>
        <w:t xml:space="preserve"> </w:t>
      </w:r>
      <w:proofErr w:type="spellStart"/>
      <w:r w:rsidRPr="000C7C76">
        <w:rPr>
          <w:rFonts w:ascii="Times New Roman" w:hAnsi="Times New Roman" w:cs="Times New Roman"/>
          <w:bCs/>
          <w:lang w:val="de-DE"/>
        </w:rPr>
        <w:t>un</w:t>
      </w:r>
      <w:proofErr w:type="spellEnd"/>
      <w:r w:rsidRPr="000C7C76">
        <w:rPr>
          <w:rFonts w:ascii="Times New Roman" w:hAnsi="Times New Roman" w:cs="Times New Roman"/>
          <w:bCs/>
          <w:lang w:val="de-DE"/>
        </w:rPr>
        <w:t xml:space="preserve"> </w:t>
      </w:r>
      <w:proofErr w:type="spellStart"/>
      <w:r w:rsidRPr="000C7C76">
        <w:rPr>
          <w:rFonts w:ascii="Times New Roman" w:hAnsi="Times New Roman" w:cs="Times New Roman"/>
          <w:bCs/>
          <w:lang w:val="de-DE"/>
        </w:rPr>
        <w:t>satura</w:t>
      </w:r>
      <w:proofErr w:type="spellEnd"/>
      <w:r w:rsidRPr="000C7C76">
        <w:rPr>
          <w:rFonts w:ascii="Times New Roman" w:hAnsi="Times New Roman" w:cs="Times New Roman"/>
          <w:bCs/>
          <w:lang w:val="de-DE"/>
        </w:rPr>
        <w:t xml:space="preserve"> </w:t>
      </w:r>
      <w:proofErr w:type="spellStart"/>
      <w:r w:rsidRPr="000C7C76">
        <w:rPr>
          <w:rFonts w:ascii="Times New Roman" w:hAnsi="Times New Roman" w:cs="Times New Roman"/>
          <w:bCs/>
          <w:lang w:val="de-DE"/>
        </w:rPr>
        <w:t>sastādīšanā</w:t>
      </w:r>
      <w:proofErr w:type="spellEnd"/>
      <w:r w:rsidRPr="000C7C76">
        <w:rPr>
          <w:rFonts w:ascii="Times New Roman" w:hAnsi="Times New Roman" w:cs="Times New Roman"/>
          <w:bCs/>
          <w:lang w:val="de-DE"/>
        </w:rPr>
        <w:t xml:space="preserve">. </w:t>
      </w:r>
      <w:proofErr w:type="spellStart"/>
      <w:r w:rsidRPr="000C7C76">
        <w:rPr>
          <w:rFonts w:ascii="Times New Roman" w:hAnsi="Times New Roman" w:cs="Times New Roman"/>
          <w:bCs/>
          <w:lang w:val="de-DE"/>
        </w:rPr>
        <w:t>Līdz</w:t>
      </w:r>
      <w:proofErr w:type="spellEnd"/>
      <w:r w:rsidRPr="000C7C76">
        <w:rPr>
          <w:rFonts w:ascii="Times New Roman" w:hAnsi="Times New Roman" w:cs="Times New Roman"/>
          <w:bCs/>
          <w:lang w:val="de-DE"/>
        </w:rPr>
        <w:t xml:space="preserve"> </w:t>
      </w:r>
      <w:proofErr w:type="spellStart"/>
      <w:r w:rsidRPr="000C7C76">
        <w:rPr>
          <w:rFonts w:ascii="Times New Roman" w:hAnsi="Times New Roman" w:cs="Times New Roman"/>
          <w:bCs/>
          <w:lang w:val="de-DE"/>
        </w:rPr>
        <w:t>ar</w:t>
      </w:r>
      <w:proofErr w:type="spellEnd"/>
      <w:r w:rsidRPr="000C7C76">
        <w:rPr>
          <w:rFonts w:ascii="Times New Roman" w:hAnsi="Times New Roman" w:cs="Times New Roman"/>
          <w:bCs/>
          <w:lang w:val="de-DE"/>
        </w:rPr>
        <w:t xml:space="preserve"> </w:t>
      </w:r>
      <w:proofErr w:type="spellStart"/>
      <w:r w:rsidRPr="000C7C76">
        <w:rPr>
          <w:rFonts w:ascii="Times New Roman" w:hAnsi="Times New Roman" w:cs="Times New Roman"/>
          <w:bCs/>
          <w:lang w:val="de-DE"/>
        </w:rPr>
        <w:t>to</w:t>
      </w:r>
      <w:proofErr w:type="spellEnd"/>
      <w:r w:rsidRPr="000C7C76">
        <w:rPr>
          <w:rFonts w:ascii="Times New Roman" w:hAnsi="Times New Roman" w:cs="Times New Roman"/>
          <w:bCs/>
          <w:lang w:val="de-DE"/>
        </w:rPr>
        <w:t xml:space="preserve"> </w:t>
      </w:r>
      <w:proofErr w:type="spellStart"/>
      <w:r w:rsidRPr="000C7C76">
        <w:rPr>
          <w:rFonts w:ascii="Times New Roman" w:hAnsi="Times New Roman" w:cs="Times New Roman"/>
          <w:bCs/>
          <w:lang w:val="de-DE"/>
        </w:rPr>
        <w:t>jāsecina</w:t>
      </w:r>
      <w:proofErr w:type="spellEnd"/>
      <w:r w:rsidRPr="000C7C76">
        <w:rPr>
          <w:rFonts w:ascii="Times New Roman" w:hAnsi="Times New Roman" w:cs="Times New Roman"/>
          <w:bCs/>
          <w:lang w:val="de-DE"/>
        </w:rPr>
        <w:t xml:space="preserve">, </w:t>
      </w:r>
      <w:proofErr w:type="spellStart"/>
      <w:r w:rsidRPr="000C7C76">
        <w:rPr>
          <w:rFonts w:ascii="Times New Roman" w:hAnsi="Times New Roman" w:cs="Times New Roman"/>
          <w:bCs/>
          <w:lang w:val="de-DE"/>
        </w:rPr>
        <w:t>ka</w:t>
      </w:r>
      <w:proofErr w:type="spellEnd"/>
      <w:r w:rsidRPr="000C7C76">
        <w:rPr>
          <w:rFonts w:ascii="Times New Roman" w:hAnsi="Times New Roman" w:cs="Times New Roman"/>
          <w:bCs/>
          <w:lang w:val="de-DE"/>
        </w:rPr>
        <w:t xml:space="preserve"> </w:t>
      </w:r>
      <w:proofErr w:type="spellStart"/>
      <w:r w:rsidRPr="000C7C76">
        <w:rPr>
          <w:rFonts w:ascii="Times New Roman" w:hAnsi="Times New Roman" w:cs="Times New Roman"/>
          <w:bCs/>
          <w:lang w:val="de-DE"/>
        </w:rPr>
        <w:t>minēto</w:t>
      </w:r>
      <w:proofErr w:type="spellEnd"/>
      <w:r w:rsidRPr="000C7C76">
        <w:rPr>
          <w:rFonts w:ascii="Times New Roman" w:hAnsi="Times New Roman" w:cs="Times New Roman"/>
          <w:bCs/>
          <w:lang w:val="de-DE"/>
        </w:rPr>
        <w:t xml:space="preserve"> </w:t>
      </w:r>
      <w:proofErr w:type="spellStart"/>
      <w:r w:rsidRPr="000C7C76">
        <w:rPr>
          <w:rFonts w:ascii="Times New Roman" w:hAnsi="Times New Roman" w:cs="Times New Roman"/>
          <w:bCs/>
          <w:lang w:val="de-DE"/>
        </w:rPr>
        <w:t>Rīgas</w:t>
      </w:r>
      <w:proofErr w:type="spellEnd"/>
      <w:r w:rsidRPr="000C7C76">
        <w:rPr>
          <w:rFonts w:ascii="Times New Roman" w:hAnsi="Times New Roman" w:cs="Times New Roman"/>
          <w:bCs/>
          <w:lang w:val="de-DE"/>
        </w:rPr>
        <w:t xml:space="preserve"> </w:t>
      </w:r>
      <w:proofErr w:type="spellStart"/>
      <w:r w:rsidRPr="000C7C76">
        <w:rPr>
          <w:rFonts w:ascii="Times New Roman" w:hAnsi="Times New Roman" w:cs="Times New Roman"/>
          <w:bCs/>
          <w:lang w:val="de-DE"/>
        </w:rPr>
        <w:t>apgabaltiesas</w:t>
      </w:r>
      <w:proofErr w:type="spellEnd"/>
      <w:r w:rsidRPr="000C7C76">
        <w:rPr>
          <w:rFonts w:ascii="Times New Roman" w:hAnsi="Times New Roman" w:cs="Times New Roman"/>
          <w:bCs/>
          <w:lang w:val="de-DE"/>
        </w:rPr>
        <w:t xml:space="preserve"> </w:t>
      </w:r>
      <w:proofErr w:type="spellStart"/>
      <w:r w:rsidRPr="000C7C76">
        <w:rPr>
          <w:rFonts w:ascii="Times New Roman" w:hAnsi="Times New Roman" w:cs="Times New Roman"/>
          <w:bCs/>
          <w:lang w:val="de-DE"/>
        </w:rPr>
        <w:t>lēmumu</w:t>
      </w:r>
      <w:proofErr w:type="spellEnd"/>
      <w:r w:rsidRPr="000C7C76">
        <w:rPr>
          <w:rFonts w:ascii="Times New Roman" w:hAnsi="Times New Roman" w:cs="Times New Roman"/>
          <w:bCs/>
          <w:lang w:val="de-DE"/>
        </w:rPr>
        <w:t xml:space="preserve"> </w:t>
      </w:r>
      <w:proofErr w:type="spellStart"/>
      <w:r w:rsidRPr="000C7C76">
        <w:rPr>
          <w:rFonts w:ascii="Times New Roman" w:hAnsi="Times New Roman" w:cs="Times New Roman"/>
          <w:bCs/>
          <w:lang w:val="de-DE"/>
        </w:rPr>
        <w:t>nevar</w:t>
      </w:r>
      <w:proofErr w:type="spellEnd"/>
      <w:r w:rsidRPr="000C7C76">
        <w:rPr>
          <w:rFonts w:ascii="Times New Roman" w:hAnsi="Times New Roman" w:cs="Times New Roman"/>
          <w:bCs/>
          <w:lang w:val="de-DE"/>
        </w:rPr>
        <w:t xml:space="preserve"> </w:t>
      </w:r>
      <w:proofErr w:type="spellStart"/>
      <w:r w:rsidRPr="000C7C76">
        <w:rPr>
          <w:rFonts w:ascii="Times New Roman" w:hAnsi="Times New Roman" w:cs="Times New Roman"/>
          <w:bCs/>
          <w:lang w:val="de-DE"/>
        </w:rPr>
        <w:t>uzskatīt</w:t>
      </w:r>
      <w:proofErr w:type="spellEnd"/>
      <w:r w:rsidRPr="000C7C76">
        <w:rPr>
          <w:rFonts w:ascii="Times New Roman" w:hAnsi="Times New Roman" w:cs="Times New Roman"/>
          <w:bCs/>
          <w:lang w:val="de-DE"/>
        </w:rPr>
        <w:t xml:space="preserve"> par </w:t>
      </w:r>
      <w:proofErr w:type="spellStart"/>
      <w:r w:rsidRPr="000C7C76">
        <w:rPr>
          <w:rFonts w:ascii="Times New Roman" w:hAnsi="Times New Roman" w:cs="Times New Roman"/>
          <w:bCs/>
          <w:lang w:val="de-DE"/>
        </w:rPr>
        <w:t>judikatūru</w:t>
      </w:r>
      <w:proofErr w:type="spellEnd"/>
      <w:r w:rsidRPr="000C7C76">
        <w:rPr>
          <w:rFonts w:ascii="Times New Roman" w:hAnsi="Times New Roman" w:cs="Times New Roman"/>
          <w:bCs/>
          <w:lang w:val="de-DE"/>
        </w:rPr>
        <w:t xml:space="preserve"> </w:t>
      </w:r>
      <w:proofErr w:type="spellStart"/>
      <w:r w:rsidRPr="000C7C76">
        <w:rPr>
          <w:rFonts w:ascii="Times New Roman" w:hAnsi="Times New Roman" w:cs="Times New Roman"/>
          <w:bCs/>
          <w:lang w:val="de-DE"/>
        </w:rPr>
        <w:t>un</w:t>
      </w:r>
      <w:proofErr w:type="spellEnd"/>
      <w:r w:rsidRPr="000C7C76">
        <w:rPr>
          <w:rFonts w:ascii="Times New Roman" w:hAnsi="Times New Roman" w:cs="Times New Roman"/>
          <w:bCs/>
          <w:lang w:val="de-DE"/>
        </w:rPr>
        <w:t xml:space="preserve"> </w:t>
      </w:r>
      <w:proofErr w:type="spellStart"/>
      <w:r w:rsidRPr="000C7C76">
        <w:rPr>
          <w:rFonts w:ascii="Times New Roman" w:hAnsi="Times New Roman" w:cs="Times New Roman"/>
          <w:bCs/>
          <w:lang w:val="de-DE"/>
        </w:rPr>
        <w:t>tas</w:t>
      </w:r>
      <w:proofErr w:type="spellEnd"/>
      <w:r w:rsidRPr="000C7C76">
        <w:rPr>
          <w:rFonts w:ascii="Times New Roman" w:hAnsi="Times New Roman" w:cs="Times New Roman"/>
          <w:bCs/>
          <w:lang w:val="de-DE"/>
        </w:rPr>
        <w:t xml:space="preserve"> </w:t>
      </w:r>
      <w:proofErr w:type="spellStart"/>
      <w:r w:rsidRPr="000C7C76">
        <w:rPr>
          <w:rFonts w:ascii="Times New Roman" w:hAnsi="Times New Roman" w:cs="Times New Roman"/>
          <w:bCs/>
          <w:lang w:val="de-DE"/>
        </w:rPr>
        <w:t>nebūtu</w:t>
      </w:r>
      <w:proofErr w:type="spellEnd"/>
      <w:r w:rsidRPr="000C7C76">
        <w:rPr>
          <w:rFonts w:ascii="Times New Roman" w:hAnsi="Times New Roman" w:cs="Times New Roman"/>
          <w:bCs/>
          <w:lang w:val="de-DE"/>
        </w:rPr>
        <w:t xml:space="preserve"> </w:t>
      </w:r>
      <w:proofErr w:type="spellStart"/>
      <w:r w:rsidRPr="000C7C76">
        <w:rPr>
          <w:rFonts w:ascii="Times New Roman" w:hAnsi="Times New Roman" w:cs="Times New Roman"/>
          <w:bCs/>
          <w:lang w:val="de-DE"/>
        </w:rPr>
        <w:t>turpmāk</w:t>
      </w:r>
      <w:proofErr w:type="spellEnd"/>
      <w:r w:rsidRPr="000C7C76">
        <w:rPr>
          <w:rFonts w:ascii="Times New Roman" w:hAnsi="Times New Roman" w:cs="Times New Roman"/>
          <w:bCs/>
          <w:lang w:val="de-DE"/>
        </w:rPr>
        <w:t xml:space="preserve"> </w:t>
      </w:r>
      <w:proofErr w:type="spellStart"/>
      <w:r w:rsidRPr="000C7C76">
        <w:rPr>
          <w:rFonts w:ascii="Times New Roman" w:hAnsi="Times New Roman" w:cs="Times New Roman"/>
          <w:bCs/>
          <w:lang w:val="de-DE"/>
        </w:rPr>
        <w:t>izmantojams</w:t>
      </w:r>
      <w:proofErr w:type="spellEnd"/>
      <w:r w:rsidRPr="000C7C76">
        <w:rPr>
          <w:rFonts w:ascii="Times New Roman" w:hAnsi="Times New Roman" w:cs="Times New Roman"/>
          <w:bCs/>
          <w:lang w:val="de-DE"/>
        </w:rPr>
        <w:t xml:space="preserve"> </w:t>
      </w:r>
      <w:proofErr w:type="spellStart"/>
      <w:r w:rsidRPr="000C7C76">
        <w:rPr>
          <w:rFonts w:ascii="Times New Roman" w:hAnsi="Times New Roman" w:cs="Times New Roman"/>
          <w:bCs/>
          <w:lang w:val="de-DE"/>
        </w:rPr>
        <w:t>līdzīgās</w:t>
      </w:r>
      <w:proofErr w:type="spellEnd"/>
      <w:r w:rsidRPr="000C7C76">
        <w:rPr>
          <w:rFonts w:ascii="Times New Roman" w:hAnsi="Times New Roman" w:cs="Times New Roman"/>
          <w:bCs/>
          <w:lang w:val="de-DE"/>
        </w:rPr>
        <w:t xml:space="preserve"> </w:t>
      </w:r>
      <w:proofErr w:type="spellStart"/>
      <w:r w:rsidRPr="000C7C76">
        <w:rPr>
          <w:rFonts w:ascii="Times New Roman" w:hAnsi="Times New Roman" w:cs="Times New Roman"/>
          <w:bCs/>
          <w:lang w:val="de-DE"/>
        </w:rPr>
        <w:t>lietās</w:t>
      </w:r>
      <w:proofErr w:type="spellEnd"/>
      <w:r w:rsidRPr="000C7C76">
        <w:rPr>
          <w:rFonts w:ascii="Times New Roman" w:hAnsi="Times New Roman" w:cs="Times New Roman"/>
          <w:bCs/>
          <w:lang w:val="de-DE"/>
        </w:rPr>
        <w:t xml:space="preserve">, </w:t>
      </w:r>
      <w:proofErr w:type="spellStart"/>
      <w:r w:rsidRPr="000C7C76">
        <w:rPr>
          <w:rFonts w:ascii="Times New Roman" w:hAnsi="Times New Roman" w:cs="Times New Roman"/>
          <w:bCs/>
          <w:lang w:val="de-DE"/>
        </w:rPr>
        <w:t>t.i</w:t>
      </w:r>
      <w:proofErr w:type="spellEnd"/>
      <w:r w:rsidRPr="000C7C76">
        <w:rPr>
          <w:rFonts w:ascii="Times New Roman" w:hAnsi="Times New Roman" w:cs="Times New Roman"/>
          <w:bCs/>
          <w:lang w:val="de-DE"/>
        </w:rPr>
        <w:t xml:space="preserve">., </w:t>
      </w:r>
      <w:proofErr w:type="spellStart"/>
      <w:r w:rsidRPr="000C7C76">
        <w:rPr>
          <w:rFonts w:ascii="Times New Roman" w:hAnsi="Times New Roman" w:cs="Times New Roman"/>
          <w:bCs/>
          <w:lang w:val="de-DE"/>
        </w:rPr>
        <w:t>notāriem</w:t>
      </w:r>
      <w:proofErr w:type="spellEnd"/>
      <w:r w:rsidRPr="000C7C76">
        <w:rPr>
          <w:rFonts w:ascii="Times New Roman" w:hAnsi="Times New Roman" w:cs="Times New Roman"/>
          <w:bCs/>
          <w:lang w:val="de-DE"/>
        </w:rPr>
        <w:t xml:space="preserve"> </w:t>
      </w:r>
      <w:proofErr w:type="spellStart"/>
      <w:r w:rsidRPr="000C7C76">
        <w:rPr>
          <w:rFonts w:ascii="Times New Roman" w:hAnsi="Times New Roman" w:cs="Times New Roman"/>
          <w:bCs/>
          <w:lang w:val="de-DE"/>
        </w:rPr>
        <w:t>un</w:t>
      </w:r>
      <w:proofErr w:type="spellEnd"/>
      <w:r w:rsidRPr="000C7C76">
        <w:rPr>
          <w:rFonts w:ascii="Times New Roman" w:hAnsi="Times New Roman" w:cs="Times New Roman"/>
          <w:bCs/>
          <w:lang w:val="de-DE"/>
        </w:rPr>
        <w:t xml:space="preserve"> </w:t>
      </w:r>
      <w:proofErr w:type="spellStart"/>
      <w:r w:rsidRPr="000C7C76">
        <w:rPr>
          <w:rFonts w:ascii="Times New Roman" w:hAnsi="Times New Roman" w:cs="Times New Roman"/>
          <w:bCs/>
          <w:lang w:val="de-DE"/>
        </w:rPr>
        <w:t>tiesām</w:t>
      </w:r>
      <w:proofErr w:type="spellEnd"/>
      <w:r w:rsidRPr="000C7C76">
        <w:rPr>
          <w:rFonts w:ascii="Times New Roman" w:hAnsi="Times New Roman" w:cs="Times New Roman"/>
          <w:bCs/>
          <w:lang w:val="de-DE"/>
        </w:rPr>
        <w:t xml:space="preserve"> </w:t>
      </w:r>
      <w:proofErr w:type="spellStart"/>
      <w:r w:rsidRPr="000C7C76">
        <w:rPr>
          <w:rFonts w:ascii="Times New Roman" w:hAnsi="Times New Roman" w:cs="Times New Roman"/>
          <w:bCs/>
          <w:lang w:val="de-DE"/>
        </w:rPr>
        <w:t>šādos</w:t>
      </w:r>
      <w:proofErr w:type="spellEnd"/>
      <w:r w:rsidRPr="000C7C76">
        <w:rPr>
          <w:rFonts w:ascii="Times New Roman" w:hAnsi="Times New Roman" w:cs="Times New Roman"/>
          <w:bCs/>
          <w:lang w:val="de-DE"/>
        </w:rPr>
        <w:t xml:space="preserve"> </w:t>
      </w:r>
      <w:proofErr w:type="spellStart"/>
      <w:r w:rsidRPr="000C7C76">
        <w:rPr>
          <w:rFonts w:ascii="Times New Roman" w:hAnsi="Times New Roman" w:cs="Times New Roman"/>
          <w:bCs/>
          <w:lang w:val="de-DE"/>
        </w:rPr>
        <w:t>gadījumos</w:t>
      </w:r>
      <w:proofErr w:type="spellEnd"/>
      <w:r w:rsidRPr="000C7C76">
        <w:rPr>
          <w:rFonts w:ascii="Times New Roman" w:hAnsi="Times New Roman" w:cs="Times New Roman"/>
          <w:bCs/>
          <w:lang w:val="de-DE"/>
        </w:rPr>
        <w:t xml:space="preserve"> </w:t>
      </w:r>
      <w:proofErr w:type="spellStart"/>
      <w:r w:rsidRPr="000C7C76">
        <w:rPr>
          <w:rFonts w:ascii="Times New Roman" w:hAnsi="Times New Roman" w:cs="Times New Roman"/>
          <w:bCs/>
          <w:lang w:val="de-DE"/>
        </w:rPr>
        <w:t>ir</w:t>
      </w:r>
      <w:proofErr w:type="spellEnd"/>
      <w:r w:rsidRPr="000C7C76">
        <w:rPr>
          <w:rFonts w:ascii="Times New Roman" w:hAnsi="Times New Roman" w:cs="Times New Roman"/>
          <w:bCs/>
          <w:lang w:val="de-DE"/>
        </w:rPr>
        <w:t xml:space="preserve"> </w:t>
      </w:r>
      <w:proofErr w:type="spellStart"/>
      <w:r w:rsidRPr="000C7C76">
        <w:rPr>
          <w:rFonts w:ascii="Times New Roman" w:hAnsi="Times New Roman" w:cs="Times New Roman"/>
          <w:bCs/>
          <w:lang w:val="de-DE"/>
        </w:rPr>
        <w:t>jāvadās</w:t>
      </w:r>
      <w:proofErr w:type="spellEnd"/>
      <w:r w:rsidRPr="000C7C76">
        <w:rPr>
          <w:rFonts w:ascii="Times New Roman" w:hAnsi="Times New Roman" w:cs="Times New Roman"/>
          <w:bCs/>
          <w:lang w:val="de-DE"/>
        </w:rPr>
        <w:t xml:space="preserve"> </w:t>
      </w:r>
      <w:proofErr w:type="spellStart"/>
      <w:r w:rsidRPr="000C7C76">
        <w:rPr>
          <w:rFonts w:ascii="Times New Roman" w:hAnsi="Times New Roman" w:cs="Times New Roman"/>
          <w:bCs/>
          <w:lang w:val="de-DE"/>
        </w:rPr>
        <w:t>pēc</w:t>
      </w:r>
      <w:proofErr w:type="spellEnd"/>
      <w:r w:rsidRPr="000C7C76">
        <w:rPr>
          <w:rFonts w:ascii="Times New Roman" w:hAnsi="Times New Roman" w:cs="Times New Roman"/>
          <w:bCs/>
          <w:lang w:val="de-DE"/>
        </w:rPr>
        <w:t xml:space="preserve"> </w:t>
      </w:r>
      <w:proofErr w:type="spellStart"/>
      <w:r w:rsidRPr="000C7C76">
        <w:rPr>
          <w:rFonts w:ascii="Times New Roman" w:hAnsi="Times New Roman" w:cs="Times New Roman"/>
          <w:bCs/>
          <w:lang w:val="de-DE"/>
        </w:rPr>
        <w:t>speciālā</w:t>
      </w:r>
      <w:proofErr w:type="spellEnd"/>
      <w:r w:rsidRPr="000C7C76">
        <w:rPr>
          <w:rFonts w:ascii="Times New Roman" w:hAnsi="Times New Roman" w:cs="Times New Roman"/>
          <w:bCs/>
          <w:lang w:val="de-DE"/>
        </w:rPr>
        <w:t xml:space="preserve"> </w:t>
      </w:r>
      <w:proofErr w:type="spellStart"/>
      <w:r w:rsidRPr="000C7C76">
        <w:rPr>
          <w:rFonts w:ascii="Times New Roman" w:hAnsi="Times New Roman" w:cs="Times New Roman"/>
          <w:bCs/>
          <w:lang w:val="de-DE"/>
        </w:rPr>
        <w:t>likuma</w:t>
      </w:r>
      <w:proofErr w:type="spellEnd"/>
      <w:r w:rsidRPr="000C7C76">
        <w:rPr>
          <w:rFonts w:ascii="Times New Roman" w:hAnsi="Times New Roman" w:cs="Times New Roman"/>
          <w:bCs/>
          <w:lang w:val="de-DE"/>
        </w:rPr>
        <w:t xml:space="preserve"> </w:t>
      </w:r>
      <w:proofErr w:type="spellStart"/>
      <w:r w:rsidRPr="000C7C76">
        <w:rPr>
          <w:rFonts w:ascii="Times New Roman" w:hAnsi="Times New Roman" w:cs="Times New Roman"/>
          <w:bCs/>
          <w:lang w:val="de-DE"/>
        </w:rPr>
        <w:t>notāru</w:t>
      </w:r>
      <w:proofErr w:type="spellEnd"/>
      <w:r w:rsidRPr="000C7C76">
        <w:rPr>
          <w:rFonts w:ascii="Times New Roman" w:hAnsi="Times New Roman" w:cs="Times New Roman"/>
          <w:bCs/>
          <w:lang w:val="de-DE"/>
        </w:rPr>
        <w:t xml:space="preserve"> </w:t>
      </w:r>
      <w:proofErr w:type="spellStart"/>
      <w:r w:rsidRPr="000C7C76">
        <w:rPr>
          <w:rFonts w:ascii="Times New Roman" w:hAnsi="Times New Roman" w:cs="Times New Roman"/>
          <w:bCs/>
          <w:lang w:val="de-DE"/>
        </w:rPr>
        <w:t>procesos</w:t>
      </w:r>
      <w:proofErr w:type="spellEnd"/>
      <w:r w:rsidRPr="000C7C76">
        <w:rPr>
          <w:rFonts w:ascii="Times New Roman" w:hAnsi="Times New Roman" w:cs="Times New Roman"/>
          <w:bCs/>
          <w:lang w:val="de-DE"/>
        </w:rPr>
        <w:t xml:space="preserve"> – </w:t>
      </w:r>
      <w:proofErr w:type="spellStart"/>
      <w:r w:rsidRPr="000C7C76">
        <w:rPr>
          <w:rFonts w:ascii="Times New Roman" w:hAnsi="Times New Roman" w:cs="Times New Roman"/>
          <w:bCs/>
          <w:lang w:val="de-DE"/>
        </w:rPr>
        <w:t>Notariāta</w:t>
      </w:r>
      <w:proofErr w:type="spellEnd"/>
      <w:r w:rsidRPr="000C7C76">
        <w:rPr>
          <w:rFonts w:ascii="Times New Roman" w:hAnsi="Times New Roman" w:cs="Times New Roman"/>
          <w:bCs/>
          <w:lang w:val="de-DE"/>
        </w:rPr>
        <w:t xml:space="preserve"> </w:t>
      </w:r>
      <w:proofErr w:type="spellStart"/>
      <w:r w:rsidRPr="000C7C76">
        <w:rPr>
          <w:rFonts w:ascii="Times New Roman" w:hAnsi="Times New Roman" w:cs="Times New Roman"/>
          <w:bCs/>
          <w:lang w:val="de-DE"/>
        </w:rPr>
        <w:t>likuma</w:t>
      </w:r>
      <w:proofErr w:type="spellEnd"/>
      <w:r w:rsidRPr="000C7C76">
        <w:rPr>
          <w:rFonts w:ascii="Times New Roman" w:hAnsi="Times New Roman" w:cs="Times New Roman"/>
          <w:bCs/>
          <w:lang w:val="de-DE"/>
        </w:rPr>
        <w:t xml:space="preserve"> (</w:t>
      </w:r>
      <w:proofErr w:type="spellStart"/>
      <w:r w:rsidRPr="000C7C76">
        <w:rPr>
          <w:rFonts w:ascii="Times New Roman" w:hAnsi="Times New Roman" w:cs="Times New Roman"/>
          <w:bCs/>
          <w:lang w:val="de-DE"/>
        </w:rPr>
        <w:t>un</w:t>
      </w:r>
      <w:proofErr w:type="spellEnd"/>
      <w:r w:rsidRPr="000C7C76">
        <w:rPr>
          <w:rFonts w:ascii="Times New Roman" w:hAnsi="Times New Roman" w:cs="Times New Roman"/>
          <w:bCs/>
          <w:lang w:val="de-DE"/>
        </w:rPr>
        <w:t xml:space="preserve"> </w:t>
      </w:r>
      <w:proofErr w:type="spellStart"/>
      <w:r w:rsidRPr="000C7C76">
        <w:rPr>
          <w:rFonts w:ascii="Times New Roman" w:hAnsi="Times New Roman" w:cs="Times New Roman"/>
          <w:bCs/>
          <w:lang w:val="de-DE"/>
        </w:rPr>
        <w:t>nevis</w:t>
      </w:r>
      <w:proofErr w:type="spellEnd"/>
      <w:r w:rsidRPr="000C7C76">
        <w:rPr>
          <w:rFonts w:ascii="Times New Roman" w:hAnsi="Times New Roman" w:cs="Times New Roman"/>
          <w:bCs/>
          <w:lang w:val="de-DE"/>
        </w:rPr>
        <w:t xml:space="preserve"> </w:t>
      </w:r>
      <w:proofErr w:type="spellStart"/>
      <w:r w:rsidRPr="000C7C76">
        <w:rPr>
          <w:rFonts w:ascii="Times New Roman" w:hAnsi="Times New Roman" w:cs="Times New Roman"/>
          <w:bCs/>
          <w:lang w:val="de-DE"/>
        </w:rPr>
        <w:t>pēc</w:t>
      </w:r>
      <w:proofErr w:type="spellEnd"/>
      <w:r w:rsidRPr="000C7C76">
        <w:rPr>
          <w:rFonts w:ascii="Times New Roman" w:hAnsi="Times New Roman" w:cs="Times New Roman"/>
          <w:bCs/>
          <w:lang w:val="de-DE"/>
        </w:rPr>
        <w:t xml:space="preserve"> </w:t>
      </w:r>
      <w:proofErr w:type="spellStart"/>
      <w:r w:rsidRPr="000C7C76">
        <w:rPr>
          <w:rFonts w:ascii="Times New Roman" w:hAnsi="Times New Roman" w:cs="Times New Roman"/>
          <w:bCs/>
          <w:lang w:val="de-DE"/>
        </w:rPr>
        <w:t>Hāgas</w:t>
      </w:r>
      <w:proofErr w:type="spellEnd"/>
      <w:r w:rsidRPr="000C7C76">
        <w:rPr>
          <w:rFonts w:ascii="Times New Roman" w:hAnsi="Times New Roman" w:cs="Times New Roman"/>
          <w:bCs/>
          <w:lang w:val="de-DE"/>
        </w:rPr>
        <w:t xml:space="preserve"> </w:t>
      </w:r>
      <w:proofErr w:type="spellStart"/>
      <w:r w:rsidRPr="000C7C76">
        <w:rPr>
          <w:rFonts w:ascii="Times New Roman" w:hAnsi="Times New Roman" w:cs="Times New Roman"/>
          <w:bCs/>
          <w:lang w:val="de-DE"/>
        </w:rPr>
        <w:t>Dokumentu</w:t>
      </w:r>
      <w:proofErr w:type="spellEnd"/>
      <w:r w:rsidRPr="000C7C76">
        <w:rPr>
          <w:rFonts w:ascii="Times New Roman" w:hAnsi="Times New Roman" w:cs="Times New Roman"/>
          <w:bCs/>
          <w:lang w:val="de-DE"/>
        </w:rPr>
        <w:t xml:space="preserve"> </w:t>
      </w:r>
      <w:proofErr w:type="spellStart"/>
      <w:r w:rsidRPr="000C7C76">
        <w:rPr>
          <w:rFonts w:ascii="Times New Roman" w:hAnsi="Times New Roman" w:cs="Times New Roman"/>
          <w:bCs/>
          <w:lang w:val="de-DE"/>
        </w:rPr>
        <w:t>legalizācijas</w:t>
      </w:r>
      <w:proofErr w:type="spellEnd"/>
      <w:r w:rsidRPr="000C7C76">
        <w:rPr>
          <w:rFonts w:ascii="Times New Roman" w:hAnsi="Times New Roman" w:cs="Times New Roman"/>
          <w:bCs/>
          <w:lang w:val="de-DE"/>
        </w:rPr>
        <w:t xml:space="preserve"> </w:t>
      </w:r>
      <w:proofErr w:type="spellStart"/>
      <w:r w:rsidRPr="000C7C76">
        <w:rPr>
          <w:rFonts w:ascii="Times New Roman" w:hAnsi="Times New Roman" w:cs="Times New Roman"/>
          <w:bCs/>
          <w:lang w:val="de-DE"/>
        </w:rPr>
        <w:t>atcelšanas</w:t>
      </w:r>
      <w:proofErr w:type="spellEnd"/>
      <w:r w:rsidRPr="000C7C76">
        <w:rPr>
          <w:rFonts w:ascii="Times New Roman" w:hAnsi="Times New Roman" w:cs="Times New Roman"/>
          <w:bCs/>
          <w:lang w:val="de-DE"/>
        </w:rPr>
        <w:t xml:space="preserve"> </w:t>
      </w:r>
      <w:proofErr w:type="spellStart"/>
      <w:r w:rsidRPr="000C7C76">
        <w:rPr>
          <w:rFonts w:ascii="Times New Roman" w:hAnsi="Times New Roman" w:cs="Times New Roman"/>
          <w:bCs/>
          <w:lang w:val="de-DE"/>
        </w:rPr>
        <w:t>konvencijas</w:t>
      </w:r>
      <w:proofErr w:type="spellEnd"/>
      <w:r w:rsidRPr="000C7C76">
        <w:rPr>
          <w:rFonts w:ascii="Times New Roman" w:hAnsi="Times New Roman" w:cs="Times New Roman"/>
          <w:bCs/>
          <w:lang w:val="de-DE"/>
        </w:rPr>
        <w:t>).</w:t>
      </w:r>
    </w:p>
    <w:p w14:paraId="42C72388" w14:textId="77777777" w:rsidR="00114953" w:rsidRPr="000C7C76" w:rsidRDefault="00114953" w:rsidP="00114953">
      <w:pPr>
        <w:jc w:val="both"/>
        <w:rPr>
          <w:rFonts w:ascii="Times New Roman" w:hAnsi="Times New Roman" w:cs="Times New Roman"/>
          <w:bCs/>
          <w:lang w:val="de-DE"/>
        </w:rPr>
      </w:pPr>
    </w:p>
    <w:p w14:paraId="6CAAED26" w14:textId="77777777" w:rsidR="00114953" w:rsidRPr="000C7C76" w:rsidRDefault="00114953" w:rsidP="00114953">
      <w:pPr>
        <w:jc w:val="both"/>
        <w:rPr>
          <w:rFonts w:ascii="Times New Roman" w:hAnsi="Times New Roman" w:cs="Times New Roman"/>
          <w:bCs/>
          <w:lang w:val="de-DE"/>
        </w:rPr>
      </w:pPr>
    </w:p>
    <w:p w14:paraId="7458B55A" w14:textId="77777777" w:rsidR="00114953" w:rsidRPr="000C7C76" w:rsidRDefault="00114953" w:rsidP="00114953">
      <w:pPr>
        <w:ind w:firstLine="708"/>
        <w:jc w:val="both"/>
        <w:rPr>
          <w:rFonts w:ascii="Times New Roman" w:hAnsi="Times New Roman" w:cs="Times New Roman"/>
          <w:bCs/>
          <w:lang w:val="de-DE"/>
        </w:rPr>
      </w:pPr>
      <w:proofErr w:type="spellStart"/>
      <w:r w:rsidRPr="000C7C76">
        <w:rPr>
          <w:rFonts w:ascii="Times New Roman" w:hAnsi="Times New Roman" w:cs="Times New Roman"/>
          <w:bCs/>
          <w:lang w:val="de-DE"/>
        </w:rPr>
        <w:t>Latvijā</w:t>
      </w:r>
      <w:proofErr w:type="spellEnd"/>
      <w:r w:rsidRPr="000C7C76">
        <w:rPr>
          <w:rFonts w:ascii="Times New Roman" w:hAnsi="Times New Roman" w:cs="Times New Roman"/>
          <w:bCs/>
          <w:lang w:val="de-DE"/>
        </w:rPr>
        <w:t xml:space="preserve"> par </w:t>
      </w:r>
      <w:proofErr w:type="spellStart"/>
      <w:r w:rsidRPr="000C7C76">
        <w:rPr>
          <w:rFonts w:ascii="Times New Roman" w:hAnsi="Times New Roman" w:cs="Times New Roman"/>
          <w:bCs/>
          <w:lang w:val="de-DE"/>
        </w:rPr>
        <w:t>publiskiem</w:t>
      </w:r>
      <w:proofErr w:type="spellEnd"/>
      <w:r w:rsidRPr="000C7C76">
        <w:rPr>
          <w:rFonts w:ascii="Times New Roman" w:hAnsi="Times New Roman" w:cs="Times New Roman"/>
          <w:bCs/>
          <w:lang w:val="de-DE"/>
        </w:rPr>
        <w:t xml:space="preserve"> </w:t>
      </w:r>
      <w:proofErr w:type="spellStart"/>
      <w:r w:rsidRPr="000C7C76">
        <w:rPr>
          <w:rFonts w:ascii="Times New Roman" w:hAnsi="Times New Roman" w:cs="Times New Roman"/>
          <w:bCs/>
          <w:lang w:val="de-DE"/>
        </w:rPr>
        <w:t>dokumentiem</w:t>
      </w:r>
      <w:proofErr w:type="spellEnd"/>
      <w:r w:rsidRPr="000C7C76">
        <w:rPr>
          <w:rFonts w:ascii="Times New Roman" w:hAnsi="Times New Roman" w:cs="Times New Roman"/>
          <w:bCs/>
          <w:lang w:val="de-DE"/>
        </w:rPr>
        <w:t xml:space="preserve"> </w:t>
      </w:r>
      <w:proofErr w:type="spellStart"/>
      <w:r w:rsidRPr="000C7C76">
        <w:rPr>
          <w:rFonts w:ascii="Times New Roman" w:hAnsi="Times New Roman" w:cs="Times New Roman"/>
          <w:bCs/>
          <w:lang w:val="de-DE"/>
        </w:rPr>
        <w:t>var</w:t>
      </w:r>
      <w:proofErr w:type="spellEnd"/>
      <w:r w:rsidRPr="000C7C76">
        <w:rPr>
          <w:rFonts w:ascii="Times New Roman" w:hAnsi="Times New Roman" w:cs="Times New Roman"/>
          <w:bCs/>
          <w:lang w:val="de-DE"/>
        </w:rPr>
        <w:t xml:space="preserve"> </w:t>
      </w:r>
      <w:proofErr w:type="spellStart"/>
      <w:r w:rsidRPr="000C7C76">
        <w:rPr>
          <w:rFonts w:ascii="Times New Roman" w:hAnsi="Times New Roman" w:cs="Times New Roman"/>
          <w:bCs/>
          <w:lang w:val="de-DE"/>
        </w:rPr>
        <w:t>tikt</w:t>
      </w:r>
      <w:proofErr w:type="spellEnd"/>
      <w:r w:rsidRPr="000C7C76">
        <w:rPr>
          <w:rFonts w:ascii="Times New Roman" w:hAnsi="Times New Roman" w:cs="Times New Roman"/>
          <w:bCs/>
          <w:lang w:val="de-DE"/>
        </w:rPr>
        <w:t xml:space="preserve"> </w:t>
      </w:r>
      <w:proofErr w:type="spellStart"/>
      <w:r w:rsidRPr="000C7C76">
        <w:rPr>
          <w:rFonts w:ascii="Times New Roman" w:hAnsi="Times New Roman" w:cs="Times New Roman"/>
          <w:bCs/>
          <w:lang w:val="de-DE"/>
        </w:rPr>
        <w:t>uzskatīti</w:t>
      </w:r>
      <w:proofErr w:type="spellEnd"/>
      <w:r w:rsidRPr="000C7C76">
        <w:rPr>
          <w:rFonts w:ascii="Times New Roman" w:hAnsi="Times New Roman" w:cs="Times New Roman"/>
          <w:bCs/>
          <w:lang w:val="de-DE"/>
        </w:rPr>
        <w:t xml:space="preserve"> </w:t>
      </w:r>
      <w:proofErr w:type="spellStart"/>
      <w:r w:rsidRPr="000C7C76">
        <w:rPr>
          <w:rFonts w:ascii="Times New Roman" w:hAnsi="Times New Roman" w:cs="Times New Roman"/>
          <w:bCs/>
          <w:lang w:val="de-DE"/>
        </w:rPr>
        <w:t>arī</w:t>
      </w:r>
      <w:proofErr w:type="spellEnd"/>
      <w:r w:rsidRPr="000C7C76">
        <w:rPr>
          <w:rFonts w:ascii="Times New Roman" w:hAnsi="Times New Roman" w:cs="Times New Roman"/>
          <w:bCs/>
          <w:lang w:val="de-DE"/>
        </w:rPr>
        <w:t xml:space="preserve"> </w:t>
      </w:r>
      <w:proofErr w:type="spellStart"/>
      <w:r w:rsidRPr="000C7C76">
        <w:rPr>
          <w:rFonts w:ascii="Times New Roman" w:hAnsi="Times New Roman" w:cs="Times New Roman"/>
          <w:bCs/>
          <w:lang w:val="de-DE"/>
        </w:rPr>
        <w:t>citi</w:t>
      </w:r>
      <w:proofErr w:type="spellEnd"/>
      <w:r w:rsidRPr="000C7C76">
        <w:rPr>
          <w:rFonts w:ascii="Times New Roman" w:hAnsi="Times New Roman" w:cs="Times New Roman"/>
          <w:bCs/>
          <w:lang w:val="de-DE"/>
        </w:rPr>
        <w:t xml:space="preserve"> </w:t>
      </w:r>
      <w:proofErr w:type="spellStart"/>
      <w:r w:rsidRPr="000C7C76">
        <w:rPr>
          <w:rFonts w:ascii="Times New Roman" w:hAnsi="Times New Roman" w:cs="Times New Roman"/>
          <w:bCs/>
          <w:lang w:val="de-DE"/>
        </w:rPr>
        <w:t>dokumenti</w:t>
      </w:r>
      <w:proofErr w:type="spellEnd"/>
      <w:r w:rsidRPr="000C7C76">
        <w:rPr>
          <w:rFonts w:ascii="Times New Roman" w:hAnsi="Times New Roman" w:cs="Times New Roman"/>
          <w:bCs/>
          <w:lang w:val="de-DE"/>
        </w:rPr>
        <w:t xml:space="preserve"> (ne </w:t>
      </w:r>
      <w:proofErr w:type="spellStart"/>
      <w:r w:rsidRPr="000C7C76">
        <w:rPr>
          <w:rFonts w:ascii="Times New Roman" w:hAnsi="Times New Roman" w:cs="Times New Roman"/>
          <w:bCs/>
          <w:lang w:val="de-DE"/>
        </w:rPr>
        <w:t>tikai</w:t>
      </w:r>
      <w:proofErr w:type="spellEnd"/>
      <w:r w:rsidRPr="000C7C76">
        <w:rPr>
          <w:rFonts w:ascii="Times New Roman" w:hAnsi="Times New Roman" w:cs="Times New Roman"/>
          <w:bCs/>
          <w:lang w:val="de-DE"/>
        </w:rPr>
        <w:t xml:space="preserve"> </w:t>
      </w:r>
      <w:proofErr w:type="spellStart"/>
      <w:r w:rsidRPr="000C7C76">
        <w:rPr>
          <w:rFonts w:ascii="Times New Roman" w:hAnsi="Times New Roman" w:cs="Times New Roman"/>
          <w:bCs/>
          <w:lang w:val="de-DE"/>
        </w:rPr>
        <w:t>tie</w:t>
      </w:r>
      <w:proofErr w:type="spellEnd"/>
      <w:r w:rsidRPr="000C7C76">
        <w:rPr>
          <w:rFonts w:ascii="Times New Roman" w:hAnsi="Times New Roman" w:cs="Times New Roman"/>
          <w:bCs/>
          <w:lang w:val="de-DE"/>
        </w:rPr>
        <w:t xml:space="preserve">, </w:t>
      </w:r>
      <w:proofErr w:type="spellStart"/>
      <w:r w:rsidRPr="000C7C76">
        <w:rPr>
          <w:rFonts w:ascii="Times New Roman" w:hAnsi="Times New Roman" w:cs="Times New Roman"/>
          <w:bCs/>
          <w:lang w:val="de-DE"/>
        </w:rPr>
        <w:t>kas</w:t>
      </w:r>
      <w:proofErr w:type="spellEnd"/>
      <w:r w:rsidRPr="000C7C76">
        <w:rPr>
          <w:rFonts w:ascii="Times New Roman" w:hAnsi="Times New Roman" w:cs="Times New Roman"/>
          <w:bCs/>
          <w:lang w:val="de-DE"/>
        </w:rPr>
        <w:t xml:space="preserve"> </w:t>
      </w:r>
      <w:proofErr w:type="spellStart"/>
      <w:r w:rsidRPr="000C7C76">
        <w:rPr>
          <w:rFonts w:ascii="Times New Roman" w:hAnsi="Times New Roman" w:cs="Times New Roman"/>
          <w:bCs/>
          <w:lang w:val="de-DE"/>
        </w:rPr>
        <w:t>minēti</w:t>
      </w:r>
      <w:proofErr w:type="spellEnd"/>
      <w:r w:rsidRPr="000C7C76">
        <w:rPr>
          <w:rFonts w:ascii="Times New Roman" w:hAnsi="Times New Roman" w:cs="Times New Roman"/>
          <w:bCs/>
          <w:lang w:val="de-DE"/>
        </w:rPr>
        <w:t xml:space="preserve"> </w:t>
      </w:r>
      <w:proofErr w:type="spellStart"/>
      <w:r w:rsidRPr="000C7C76">
        <w:rPr>
          <w:rFonts w:ascii="Times New Roman" w:hAnsi="Times New Roman" w:cs="Times New Roman"/>
          <w:bCs/>
          <w:lang w:val="de-DE"/>
        </w:rPr>
        <w:t>Notariāta</w:t>
      </w:r>
      <w:proofErr w:type="spellEnd"/>
      <w:r w:rsidRPr="000C7C76">
        <w:rPr>
          <w:rFonts w:ascii="Times New Roman" w:hAnsi="Times New Roman" w:cs="Times New Roman"/>
          <w:bCs/>
          <w:lang w:val="de-DE"/>
        </w:rPr>
        <w:t xml:space="preserve"> </w:t>
      </w:r>
      <w:proofErr w:type="spellStart"/>
      <w:r w:rsidRPr="000C7C76">
        <w:rPr>
          <w:rFonts w:ascii="Times New Roman" w:hAnsi="Times New Roman" w:cs="Times New Roman"/>
          <w:bCs/>
          <w:lang w:val="de-DE"/>
        </w:rPr>
        <w:t>likuma</w:t>
      </w:r>
      <w:proofErr w:type="spellEnd"/>
      <w:r w:rsidRPr="000C7C76">
        <w:rPr>
          <w:rFonts w:ascii="Times New Roman" w:hAnsi="Times New Roman" w:cs="Times New Roman"/>
          <w:bCs/>
          <w:lang w:val="de-DE"/>
        </w:rPr>
        <w:t xml:space="preserve"> 81.pantā), </w:t>
      </w:r>
      <w:proofErr w:type="spellStart"/>
      <w:r w:rsidRPr="000C7C76">
        <w:rPr>
          <w:rFonts w:ascii="Times New Roman" w:hAnsi="Times New Roman" w:cs="Times New Roman"/>
          <w:bCs/>
          <w:lang w:val="de-DE"/>
        </w:rPr>
        <w:t>kuru</w:t>
      </w:r>
      <w:proofErr w:type="spellEnd"/>
      <w:r w:rsidRPr="000C7C76">
        <w:rPr>
          <w:rFonts w:ascii="Times New Roman" w:hAnsi="Times New Roman" w:cs="Times New Roman"/>
          <w:bCs/>
          <w:lang w:val="de-DE"/>
        </w:rPr>
        <w:t xml:space="preserve"> </w:t>
      </w:r>
      <w:proofErr w:type="spellStart"/>
      <w:r w:rsidRPr="000C7C76">
        <w:rPr>
          <w:rFonts w:ascii="Times New Roman" w:hAnsi="Times New Roman" w:cs="Times New Roman"/>
          <w:bCs/>
          <w:lang w:val="de-DE"/>
        </w:rPr>
        <w:t>publiskais</w:t>
      </w:r>
      <w:proofErr w:type="spellEnd"/>
      <w:r w:rsidRPr="000C7C76">
        <w:rPr>
          <w:rFonts w:ascii="Times New Roman" w:hAnsi="Times New Roman" w:cs="Times New Roman"/>
          <w:bCs/>
          <w:lang w:val="de-DE"/>
        </w:rPr>
        <w:t xml:space="preserve"> </w:t>
      </w:r>
      <w:proofErr w:type="spellStart"/>
      <w:r w:rsidRPr="000C7C76">
        <w:rPr>
          <w:rFonts w:ascii="Times New Roman" w:hAnsi="Times New Roman" w:cs="Times New Roman"/>
          <w:bCs/>
          <w:lang w:val="de-DE"/>
        </w:rPr>
        <w:t>raksturs</w:t>
      </w:r>
      <w:proofErr w:type="spellEnd"/>
      <w:r w:rsidRPr="000C7C76">
        <w:rPr>
          <w:rFonts w:ascii="Times New Roman" w:hAnsi="Times New Roman" w:cs="Times New Roman"/>
          <w:bCs/>
          <w:lang w:val="de-DE"/>
        </w:rPr>
        <w:t xml:space="preserve"> </w:t>
      </w:r>
      <w:proofErr w:type="spellStart"/>
      <w:r w:rsidRPr="000C7C76">
        <w:rPr>
          <w:rFonts w:ascii="Times New Roman" w:hAnsi="Times New Roman" w:cs="Times New Roman"/>
          <w:bCs/>
          <w:lang w:val="de-DE"/>
        </w:rPr>
        <w:t>izriet</w:t>
      </w:r>
      <w:proofErr w:type="spellEnd"/>
      <w:r w:rsidRPr="000C7C76">
        <w:rPr>
          <w:rFonts w:ascii="Times New Roman" w:hAnsi="Times New Roman" w:cs="Times New Roman"/>
          <w:bCs/>
          <w:lang w:val="de-DE"/>
        </w:rPr>
        <w:t xml:space="preserve"> </w:t>
      </w:r>
      <w:proofErr w:type="spellStart"/>
      <w:r w:rsidRPr="000C7C76">
        <w:rPr>
          <w:rFonts w:ascii="Times New Roman" w:hAnsi="Times New Roman" w:cs="Times New Roman"/>
          <w:bCs/>
          <w:lang w:val="de-DE"/>
        </w:rPr>
        <w:t>no</w:t>
      </w:r>
      <w:proofErr w:type="spellEnd"/>
      <w:r w:rsidRPr="000C7C76">
        <w:rPr>
          <w:rFonts w:ascii="Times New Roman" w:hAnsi="Times New Roman" w:cs="Times New Roman"/>
          <w:bCs/>
          <w:lang w:val="de-DE"/>
        </w:rPr>
        <w:t xml:space="preserve"> </w:t>
      </w:r>
      <w:proofErr w:type="spellStart"/>
      <w:r w:rsidRPr="000C7C76">
        <w:rPr>
          <w:rFonts w:ascii="Times New Roman" w:hAnsi="Times New Roman" w:cs="Times New Roman"/>
          <w:bCs/>
          <w:lang w:val="de-DE"/>
        </w:rPr>
        <w:t>speciāliem</w:t>
      </w:r>
      <w:proofErr w:type="spellEnd"/>
      <w:r w:rsidRPr="000C7C76">
        <w:rPr>
          <w:rFonts w:ascii="Times New Roman" w:hAnsi="Times New Roman" w:cs="Times New Roman"/>
          <w:bCs/>
          <w:lang w:val="de-DE"/>
        </w:rPr>
        <w:t xml:space="preserve"> </w:t>
      </w:r>
      <w:proofErr w:type="spellStart"/>
      <w:r w:rsidRPr="000C7C76">
        <w:rPr>
          <w:rFonts w:ascii="Times New Roman" w:hAnsi="Times New Roman" w:cs="Times New Roman"/>
          <w:bCs/>
          <w:lang w:val="de-DE"/>
        </w:rPr>
        <w:t>likumiem</w:t>
      </w:r>
      <w:proofErr w:type="spellEnd"/>
      <w:r w:rsidRPr="000C7C76">
        <w:rPr>
          <w:rFonts w:ascii="Times New Roman" w:hAnsi="Times New Roman" w:cs="Times New Roman"/>
          <w:bCs/>
          <w:lang w:val="de-DE"/>
        </w:rPr>
        <w:t xml:space="preserve"> (</w:t>
      </w:r>
      <w:proofErr w:type="spellStart"/>
      <w:r w:rsidRPr="000C7C76">
        <w:rPr>
          <w:rFonts w:ascii="Times New Roman" w:hAnsi="Times New Roman" w:cs="Times New Roman"/>
          <w:bCs/>
          <w:lang w:val="de-DE"/>
        </w:rPr>
        <w:t>piemēram</w:t>
      </w:r>
      <w:proofErr w:type="spellEnd"/>
      <w:r w:rsidRPr="000C7C76">
        <w:rPr>
          <w:rFonts w:ascii="Times New Roman" w:hAnsi="Times New Roman" w:cs="Times New Roman"/>
          <w:bCs/>
          <w:lang w:val="de-DE"/>
        </w:rPr>
        <w:t xml:space="preserve">, </w:t>
      </w:r>
      <w:proofErr w:type="spellStart"/>
      <w:r w:rsidRPr="000C7C76">
        <w:rPr>
          <w:rFonts w:ascii="Times New Roman" w:hAnsi="Times New Roman" w:cs="Times New Roman"/>
          <w:bCs/>
          <w:lang w:val="de-DE"/>
        </w:rPr>
        <w:t>Zemesgrāmatu</w:t>
      </w:r>
      <w:proofErr w:type="spellEnd"/>
      <w:r w:rsidRPr="000C7C76">
        <w:rPr>
          <w:rFonts w:ascii="Times New Roman" w:hAnsi="Times New Roman" w:cs="Times New Roman"/>
          <w:bCs/>
          <w:lang w:val="de-DE"/>
        </w:rPr>
        <w:t xml:space="preserve"> </w:t>
      </w:r>
      <w:proofErr w:type="spellStart"/>
      <w:r w:rsidRPr="000C7C76">
        <w:rPr>
          <w:rFonts w:ascii="Times New Roman" w:hAnsi="Times New Roman" w:cs="Times New Roman"/>
          <w:bCs/>
          <w:lang w:val="de-DE"/>
        </w:rPr>
        <w:t>likuma</w:t>
      </w:r>
      <w:proofErr w:type="spellEnd"/>
      <w:r w:rsidRPr="000C7C76">
        <w:rPr>
          <w:rFonts w:ascii="Times New Roman" w:hAnsi="Times New Roman" w:cs="Times New Roman"/>
          <w:bCs/>
          <w:lang w:val="de-DE"/>
        </w:rPr>
        <w:t xml:space="preserve">, </w:t>
      </w:r>
      <w:proofErr w:type="spellStart"/>
      <w:r w:rsidRPr="000C7C76">
        <w:rPr>
          <w:rFonts w:ascii="Times New Roman" w:hAnsi="Times New Roman" w:cs="Times New Roman"/>
          <w:bCs/>
          <w:lang w:val="de-DE"/>
        </w:rPr>
        <w:t>Komerclikuma</w:t>
      </w:r>
      <w:proofErr w:type="spellEnd"/>
      <w:r w:rsidRPr="000C7C76">
        <w:rPr>
          <w:rFonts w:ascii="Times New Roman" w:hAnsi="Times New Roman" w:cs="Times New Roman"/>
          <w:bCs/>
          <w:lang w:val="de-DE"/>
        </w:rPr>
        <w:t xml:space="preserve">, </w:t>
      </w:r>
      <w:proofErr w:type="spellStart"/>
      <w:r w:rsidRPr="000C7C76">
        <w:rPr>
          <w:rFonts w:ascii="Times New Roman" w:hAnsi="Times New Roman" w:cs="Times New Roman"/>
          <w:bCs/>
          <w:lang w:val="de-DE"/>
        </w:rPr>
        <w:t>Civilstāvokļa</w:t>
      </w:r>
      <w:proofErr w:type="spellEnd"/>
      <w:r w:rsidRPr="000C7C76">
        <w:rPr>
          <w:rFonts w:ascii="Times New Roman" w:hAnsi="Times New Roman" w:cs="Times New Roman"/>
          <w:bCs/>
          <w:lang w:val="de-DE"/>
        </w:rPr>
        <w:t xml:space="preserve"> </w:t>
      </w:r>
      <w:proofErr w:type="spellStart"/>
      <w:r w:rsidRPr="000C7C76">
        <w:rPr>
          <w:rFonts w:ascii="Times New Roman" w:hAnsi="Times New Roman" w:cs="Times New Roman"/>
          <w:bCs/>
          <w:lang w:val="de-DE"/>
        </w:rPr>
        <w:t>aktu</w:t>
      </w:r>
      <w:proofErr w:type="spellEnd"/>
      <w:r w:rsidRPr="000C7C76">
        <w:rPr>
          <w:rFonts w:ascii="Times New Roman" w:hAnsi="Times New Roman" w:cs="Times New Roman"/>
          <w:bCs/>
          <w:lang w:val="de-DE"/>
        </w:rPr>
        <w:t xml:space="preserve"> </w:t>
      </w:r>
      <w:proofErr w:type="spellStart"/>
      <w:r w:rsidRPr="000C7C76">
        <w:rPr>
          <w:rFonts w:ascii="Times New Roman" w:hAnsi="Times New Roman" w:cs="Times New Roman"/>
          <w:bCs/>
          <w:lang w:val="de-DE"/>
        </w:rPr>
        <w:t>reģistrācijas</w:t>
      </w:r>
      <w:proofErr w:type="spellEnd"/>
      <w:r w:rsidRPr="000C7C76">
        <w:rPr>
          <w:rFonts w:ascii="Times New Roman" w:hAnsi="Times New Roman" w:cs="Times New Roman"/>
          <w:bCs/>
          <w:lang w:val="de-DE"/>
        </w:rPr>
        <w:t xml:space="preserve"> </w:t>
      </w:r>
      <w:proofErr w:type="spellStart"/>
      <w:r w:rsidRPr="000C7C76">
        <w:rPr>
          <w:rFonts w:ascii="Times New Roman" w:hAnsi="Times New Roman" w:cs="Times New Roman"/>
          <w:bCs/>
          <w:lang w:val="de-DE"/>
        </w:rPr>
        <w:t>likuma</w:t>
      </w:r>
      <w:proofErr w:type="spellEnd"/>
      <w:r w:rsidRPr="000C7C76">
        <w:rPr>
          <w:rFonts w:ascii="Times New Roman" w:hAnsi="Times New Roman" w:cs="Times New Roman"/>
          <w:bCs/>
          <w:lang w:val="de-DE"/>
        </w:rPr>
        <w:t xml:space="preserve">, </w:t>
      </w:r>
      <w:proofErr w:type="spellStart"/>
      <w:r w:rsidRPr="000C7C76">
        <w:rPr>
          <w:rFonts w:ascii="Times New Roman" w:hAnsi="Times New Roman" w:cs="Times New Roman"/>
          <w:bCs/>
          <w:lang w:val="de-DE"/>
        </w:rPr>
        <w:t>Civilprocesa</w:t>
      </w:r>
      <w:proofErr w:type="spellEnd"/>
      <w:r w:rsidRPr="000C7C76">
        <w:rPr>
          <w:rFonts w:ascii="Times New Roman" w:hAnsi="Times New Roman" w:cs="Times New Roman"/>
          <w:bCs/>
          <w:lang w:val="de-DE"/>
        </w:rPr>
        <w:t xml:space="preserve"> </w:t>
      </w:r>
      <w:proofErr w:type="spellStart"/>
      <w:r w:rsidRPr="000C7C76">
        <w:rPr>
          <w:rFonts w:ascii="Times New Roman" w:hAnsi="Times New Roman" w:cs="Times New Roman"/>
          <w:bCs/>
          <w:lang w:val="de-DE"/>
        </w:rPr>
        <w:t>likuma</w:t>
      </w:r>
      <w:proofErr w:type="spellEnd"/>
      <w:r w:rsidRPr="000C7C76">
        <w:rPr>
          <w:rFonts w:ascii="Times New Roman" w:hAnsi="Times New Roman" w:cs="Times New Roman"/>
          <w:bCs/>
          <w:lang w:val="de-DE"/>
        </w:rPr>
        <w:t xml:space="preserve"> </w:t>
      </w:r>
      <w:proofErr w:type="spellStart"/>
      <w:r w:rsidRPr="000C7C76">
        <w:rPr>
          <w:rFonts w:ascii="Times New Roman" w:hAnsi="Times New Roman" w:cs="Times New Roman"/>
          <w:bCs/>
          <w:lang w:val="de-DE"/>
        </w:rPr>
        <w:t>u.tml</w:t>
      </w:r>
      <w:proofErr w:type="spellEnd"/>
      <w:r w:rsidRPr="000C7C76">
        <w:rPr>
          <w:rFonts w:ascii="Times New Roman" w:hAnsi="Times New Roman" w:cs="Times New Roman"/>
          <w:bCs/>
          <w:lang w:val="de-DE"/>
        </w:rPr>
        <w:t>.).</w:t>
      </w:r>
    </w:p>
    <w:p w14:paraId="0A3222ED" w14:textId="77777777" w:rsidR="00114953" w:rsidRPr="000C7C76" w:rsidRDefault="00114953" w:rsidP="00114953">
      <w:pPr>
        <w:jc w:val="both"/>
        <w:rPr>
          <w:rFonts w:ascii="Times New Roman" w:hAnsi="Times New Roman" w:cs="Times New Roman"/>
          <w:b/>
          <w:lang w:val="de-DE"/>
        </w:rPr>
      </w:pPr>
    </w:p>
    <w:p w14:paraId="4072A0DC" w14:textId="6B59316A" w:rsidR="00114953" w:rsidRPr="000C7C76" w:rsidRDefault="00114953" w:rsidP="00114953">
      <w:pPr>
        <w:ind w:firstLine="708"/>
        <w:jc w:val="both"/>
        <w:rPr>
          <w:rFonts w:ascii="Times New Roman" w:hAnsi="Times New Roman" w:cs="Times New Roman"/>
          <w:b/>
          <w:lang w:val="de-DE"/>
        </w:rPr>
      </w:pPr>
      <w:proofErr w:type="spellStart"/>
      <w:r w:rsidRPr="000C7C76">
        <w:rPr>
          <w:rFonts w:ascii="Times New Roman" w:hAnsi="Times New Roman" w:cs="Times New Roman"/>
          <w:b/>
          <w:lang w:val="de-DE"/>
        </w:rPr>
        <w:t>Secinājums</w:t>
      </w:r>
      <w:proofErr w:type="spellEnd"/>
      <w:r w:rsidRPr="000C7C76">
        <w:rPr>
          <w:rFonts w:ascii="Times New Roman" w:hAnsi="Times New Roman" w:cs="Times New Roman"/>
          <w:b/>
          <w:lang w:val="de-DE"/>
        </w:rPr>
        <w:t xml:space="preserve">: </w:t>
      </w:r>
      <w:proofErr w:type="spellStart"/>
      <w:r w:rsidRPr="000C7C76">
        <w:rPr>
          <w:rFonts w:ascii="Times New Roman" w:hAnsi="Times New Roman" w:cs="Times New Roman"/>
          <w:bCs/>
          <w:lang w:val="de-DE"/>
        </w:rPr>
        <w:t>ārvalsts</w:t>
      </w:r>
      <w:proofErr w:type="spellEnd"/>
      <w:r w:rsidRPr="000C7C76">
        <w:rPr>
          <w:rFonts w:ascii="Times New Roman" w:hAnsi="Times New Roman" w:cs="Times New Roman"/>
          <w:bCs/>
          <w:lang w:val="de-DE"/>
        </w:rPr>
        <w:t xml:space="preserve"> </w:t>
      </w:r>
      <w:proofErr w:type="spellStart"/>
      <w:r w:rsidRPr="000C7C76">
        <w:rPr>
          <w:rFonts w:ascii="Times New Roman" w:hAnsi="Times New Roman" w:cs="Times New Roman"/>
          <w:bCs/>
          <w:lang w:val="de-DE"/>
        </w:rPr>
        <w:t>dokumentam</w:t>
      </w:r>
      <w:proofErr w:type="spellEnd"/>
      <w:r w:rsidRPr="000C7C76">
        <w:rPr>
          <w:rFonts w:ascii="Times New Roman" w:hAnsi="Times New Roman" w:cs="Times New Roman"/>
          <w:bCs/>
          <w:lang w:val="de-DE"/>
        </w:rPr>
        <w:t xml:space="preserve">, </w:t>
      </w:r>
      <w:proofErr w:type="spellStart"/>
      <w:r w:rsidRPr="000C7C76">
        <w:rPr>
          <w:rFonts w:ascii="Times New Roman" w:hAnsi="Times New Roman" w:cs="Times New Roman"/>
          <w:bCs/>
          <w:lang w:val="de-DE"/>
        </w:rPr>
        <w:t>lai</w:t>
      </w:r>
      <w:proofErr w:type="spellEnd"/>
      <w:r w:rsidRPr="000C7C76">
        <w:rPr>
          <w:rFonts w:ascii="Times New Roman" w:hAnsi="Times New Roman" w:cs="Times New Roman"/>
          <w:bCs/>
          <w:lang w:val="de-DE"/>
        </w:rPr>
        <w:t xml:space="preserve"> </w:t>
      </w:r>
      <w:proofErr w:type="spellStart"/>
      <w:r w:rsidRPr="000C7C76">
        <w:rPr>
          <w:rFonts w:ascii="Times New Roman" w:hAnsi="Times New Roman" w:cs="Times New Roman"/>
          <w:bCs/>
          <w:lang w:val="de-DE"/>
        </w:rPr>
        <w:t>to</w:t>
      </w:r>
      <w:proofErr w:type="spellEnd"/>
      <w:r w:rsidRPr="000C7C76">
        <w:rPr>
          <w:rFonts w:ascii="Times New Roman" w:hAnsi="Times New Roman" w:cs="Times New Roman"/>
          <w:bCs/>
          <w:lang w:val="de-DE"/>
        </w:rPr>
        <w:t xml:space="preserve"> </w:t>
      </w:r>
      <w:proofErr w:type="spellStart"/>
      <w:r w:rsidRPr="000C7C76">
        <w:rPr>
          <w:rFonts w:ascii="Times New Roman" w:hAnsi="Times New Roman" w:cs="Times New Roman"/>
          <w:bCs/>
          <w:lang w:val="de-DE"/>
        </w:rPr>
        <w:t>atzītu</w:t>
      </w:r>
      <w:proofErr w:type="spellEnd"/>
      <w:r w:rsidRPr="000C7C76">
        <w:rPr>
          <w:rFonts w:ascii="Times New Roman" w:hAnsi="Times New Roman" w:cs="Times New Roman"/>
          <w:bCs/>
          <w:lang w:val="de-DE"/>
        </w:rPr>
        <w:t xml:space="preserve"> par </w:t>
      </w:r>
      <w:r>
        <w:rPr>
          <w:rFonts w:ascii="Times New Roman" w:hAnsi="Times New Roman" w:cs="Times New Roman"/>
          <w:bCs/>
          <w:lang w:val="de-DE"/>
        </w:rPr>
        <w:t>„</w:t>
      </w:r>
      <w:proofErr w:type="spellStart"/>
      <w:r w:rsidRPr="000C7C76">
        <w:rPr>
          <w:rFonts w:ascii="Times New Roman" w:hAnsi="Times New Roman" w:cs="Times New Roman"/>
          <w:bCs/>
          <w:lang w:val="de-DE"/>
        </w:rPr>
        <w:t>publisku</w:t>
      </w:r>
      <w:proofErr w:type="spellEnd"/>
      <w:r w:rsidRPr="000C7C76">
        <w:rPr>
          <w:rFonts w:ascii="Times New Roman" w:hAnsi="Times New Roman" w:cs="Times New Roman"/>
          <w:bCs/>
          <w:lang w:val="de-DE"/>
        </w:rPr>
        <w:t xml:space="preserve"> </w:t>
      </w:r>
      <w:proofErr w:type="spellStart"/>
      <w:r w:rsidRPr="000C7C76">
        <w:rPr>
          <w:rFonts w:ascii="Times New Roman" w:hAnsi="Times New Roman" w:cs="Times New Roman"/>
          <w:bCs/>
          <w:lang w:val="de-DE"/>
        </w:rPr>
        <w:t>dokumentu</w:t>
      </w:r>
      <w:proofErr w:type="spellEnd"/>
      <w:r>
        <w:rPr>
          <w:rFonts w:ascii="Times New Roman" w:hAnsi="Times New Roman" w:cs="Times New Roman"/>
          <w:bCs/>
          <w:lang w:val="de-DE"/>
        </w:rPr>
        <w:t>“</w:t>
      </w:r>
      <w:r w:rsidRPr="000C7C76">
        <w:rPr>
          <w:rFonts w:ascii="Times New Roman" w:hAnsi="Times New Roman" w:cs="Times New Roman"/>
          <w:bCs/>
          <w:lang w:val="de-DE"/>
        </w:rPr>
        <w:t xml:space="preserve"> </w:t>
      </w:r>
      <w:proofErr w:type="spellStart"/>
      <w:r w:rsidRPr="000C7C76">
        <w:rPr>
          <w:rFonts w:ascii="Times New Roman" w:hAnsi="Times New Roman" w:cs="Times New Roman"/>
          <w:bCs/>
          <w:lang w:val="de-DE"/>
        </w:rPr>
        <w:t>Notariāta</w:t>
      </w:r>
      <w:proofErr w:type="spellEnd"/>
      <w:r w:rsidRPr="000C7C76">
        <w:rPr>
          <w:rFonts w:ascii="Times New Roman" w:hAnsi="Times New Roman" w:cs="Times New Roman"/>
          <w:bCs/>
          <w:lang w:val="de-DE"/>
        </w:rPr>
        <w:t xml:space="preserve"> </w:t>
      </w:r>
      <w:proofErr w:type="spellStart"/>
      <w:r w:rsidRPr="000C7C76">
        <w:rPr>
          <w:rFonts w:ascii="Times New Roman" w:hAnsi="Times New Roman" w:cs="Times New Roman"/>
          <w:bCs/>
          <w:lang w:val="de-DE"/>
        </w:rPr>
        <w:t>likuma</w:t>
      </w:r>
      <w:proofErr w:type="spellEnd"/>
      <w:r w:rsidRPr="000C7C76">
        <w:rPr>
          <w:rFonts w:ascii="Times New Roman" w:hAnsi="Times New Roman" w:cs="Times New Roman"/>
          <w:bCs/>
          <w:lang w:val="de-DE"/>
        </w:rPr>
        <w:t xml:space="preserve"> 83.panta </w:t>
      </w:r>
      <w:proofErr w:type="spellStart"/>
      <w:r w:rsidRPr="000C7C76">
        <w:rPr>
          <w:rFonts w:ascii="Times New Roman" w:hAnsi="Times New Roman" w:cs="Times New Roman"/>
          <w:bCs/>
          <w:lang w:val="de-DE"/>
        </w:rPr>
        <w:t>izpratnē</w:t>
      </w:r>
      <w:proofErr w:type="spellEnd"/>
      <w:r w:rsidRPr="000C7C76">
        <w:rPr>
          <w:rFonts w:ascii="Times New Roman" w:hAnsi="Times New Roman" w:cs="Times New Roman"/>
          <w:bCs/>
          <w:lang w:val="de-DE"/>
        </w:rPr>
        <w:t xml:space="preserve">, </w:t>
      </w:r>
      <w:proofErr w:type="spellStart"/>
      <w:r w:rsidR="00275C12" w:rsidRPr="000C7C76">
        <w:rPr>
          <w:rFonts w:ascii="Times New Roman" w:hAnsi="Times New Roman" w:cs="Times New Roman"/>
          <w:bCs/>
          <w:lang w:val="de-DE"/>
        </w:rPr>
        <w:t>principā</w:t>
      </w:r>
      <w:proofErr w:type="spellEnd"/>
      <w:r w:rsidR="00275C12" w:rsidRPr="000C7C76">
        <w:rPr>
          <w:rFonts w:ascii="Times New Roman" w:hAnsi="Times New Roman" w:cs="Times New Roman"/>
          <w:bCs/>
          <w:lang w:val="de-DE"/>
        </w:rPr>
        <w:t xml:space="preserve"> </w:t>
      </w:r>
      <w:proofErr w:type="spellStart"/>
      <w:r w:rsidRPr="000C7C76">
        <w:rPr>
          <w:rFonts w:ascii="Times New Roman" w:hAnsi="Times New Roman" w:cs="Times New Roman"/>
          <w:bCs/>
          <w:lang w:val="de-DE"/>
        </w:rPr>
        <w:t>ir</w:t>
      </w:r>
      <w:proofErr w:type="spellEnd"/>
      <w:r w:rsidRPr="000C7C76">
        <w:rPr>
          <w:rFonts w:ascii="Times New Roman" w:hAnsi="Times New Roman" w:cs="Times New Roman"/>
          <w:bCs/>
          <w:lang w:val="de-DE"/>
        </w:rPr>
        <w:t xml:space="preserve"> </w:t>
      </w:r>
      <w:proofErr w:type="spellStart"/>
      <w:r w:rsidRPr="000C7C76">
        <w:rPr>
          <w:rFonts w:ascii="Times New Roman" w:hAnsi="Times New Roman" w:cs="Times New Roman"/>
          <w:bCs/>
          <w:lang w:val="de-DE"/>
        </w:rPr>
        <w:t>jāatbilst</w:t>
      </w:r>
      <w:proofErr w:type="spellEnd"/>
      <w:r w:rsidRPr="000C7C76">
        <w:rPr>
          <w:rFonts w:ascii="Times New Roman" w:hAnsi="Times New Roman" w:cs="Times New Roman"/>
          <w:bCs/>
          <w:lang w:val="de-DE"/>
        </w:rPr>
        <w:t xml:space="preserve"> </w:t>
      </w:r>
      <w:proofErr w:type="spellStart"/>
      <w:r w:rsidRPr="000C7C76">
        <w:rPr>
          <w:rFonts w:ascii="Times New Roman" w:hAnsi="Times New Roman" w:cs="Times New Roman"/>
          <w:bCs/>
          <w:lang w:val="de-DE"/>
        </w:rPr>
        <w:t>tām</w:t>
      </w:r>
      <w:proofErr w:type="spellEnd"/>
      <w:r w:rsidRPr="000C7C76">
        <w:rPr>
          <w:rFonts w:ascii="Times New Roman" w:hAnsi="Times New Roman" w:cs="Times New Roman"/>
          <w:bCs/>
          <w:lang w:val="de-DE"/>
        </w:rPr>
        <w:t xml:space="preserve"> </w:t>
      </w:r>
      <w:proofErr w:type="spellStart"/>
      <w:r w:rsidRPr="000C7C76">
        <w:rPr>
          <w:rFonts w:ascii="Times New Roman" w:hAnsi="Times New Roman" w:cs="Times New Roman"/>
          <w:bCs/>
          <w:lang w:val="de-DE"/>
        </w:rPr>
        <w:t>pašām</w:t>
      </w:r>
      <w:proofErr w:type="spellEnd"/>
      <w:r w:rsidRPr="000C7C76">
        <w:rPr>
          <w:rFonts w:ascii="Times New Roman" w:hAnsi="Times New Roman" w:cs="Times New Roman"/>
          <w:bCs/>
          <w:lang w:val="de-DE"/>
        </w:rPr>
        <w:t xml:space="preserve"> </w:t>
      </w:r>
      <w:proofErr w:type="spellStart"/>
      <w:r w:rsidRPr="000C7C76">
        <w:rPr>
          <w:rFonts w:ascii="Times New Roman" w:hAnsi="Times New Roman" w:cs="Times New Roman"/>
          <w:bCs/>
          <w:lang w:val="de-DE"/>
        </w:rPr>
        <w:t>prasībām</w:t>
      </w:r>
      <w:proofErr w:type="spellEnd"/>
      <w:r w:rsidRPr="000C7C76">
        <w:rPr>
          <w:rFonts w:ascii="Times New Roman" w:hAnsi="Times New Roman" w:cs="Times New Roman"/>
          <w:bCs/>
          <w:lang w:val="de-DE"/>
        </w:rPr>
        <w:t xml:space="preserve">, </w:t>
      </w:r>
      <w:proofErr w:type="spellStart"/>
      <w:r w:rsidRPr="000C7C76">
        <w:rPr>
          <w:rFonts w:ascii="Times New Roman" w:hAnsi="Times New Roman" w:cs="Times New Roman"/>
          <w:bCs/>
          <w:lang w:val="de-DE"/>
        </w:rPr>
        <w:t>kādas</w:t>
      </w:r>
      <w:proofErr w:type="spellEnd"/>
      <w:r w:rsidRPr="000C7C76">
        <w:rPr>
          <w:rFonts w:ascii="Times New Roman" w:hAnsi="Times New Roman" w:cs="Times New Roman"/>
          <w:bCs/>
          <w:lang w:val="de-DE"/>
        </w:rPr>
        <w:t xml:space="preserve"> </w:t>
      </w:r>
      <w:proofErr w:type="spellStart"/>
      <w:r w:rsidRPr="000C7C76">
        <w:rPr>
          <w:rFonts w:ascii="Times New Roman" w:hAnsi="Times New Roman" w:cs="Times New Roman"/>
          <w:bCs/>
          <w:lang w:val="de-DE"/>
        </w:rPr>
        <w:t>ir</w:t>
      </w:r>
      <w:proofErr w:type="spellEnd"/>
      <w:r w:rsidRPr="000C7C76">
        <w:rPr>
          <w:rFonts w:ascii="Times New Roman" w:hAnsi="Times New Roman" w:cs="Times New Roman"/>
          <w:bCs/>
          <w:lang w:val="de-DE"/>
        </w:rPr>
        <w:t xml:space="preserve"> </w:t>
      </w:r>
      <w:proofErr w:type="spellStart"/>
      <w:r w:rsidRPr="000C7C76">
        <w:rPr>
          <w:rFonts w:ascii="Times New Roman" w:hAnsi="Times New Roman" w:cs="Times New Roman"/>
          <w:bCs/>
          <w:lang w:val="de-DE"/>
        </w:rPr>
        <w:t>izvirzītas</w:t>
      </w:r>
      <w:proofErr w:type="spellEnd"/>
      <w:r w:rsidRPr="000C7C76">
        <w:rPr>
          <w:rFonts w:ascii="Times New Roman" w:hAnsi="Times New Roman" w:cs="Times New Roman"/>
          <w:bCs/>
          <w:lang w:val="de-DE"/>
        </w:rPr>
        <w:t xml:space="preserve"> </w:t>
      </w:r>
      <w:proofErr w:type="spellStart"/>
      <w:r w:rsidRPr="000C7C76">
        <w:rPr>
          <w:rFonts w:ascii="Times New Roman" w:hAnsi="Times New Roman" w:cs="Times New Roman"/>
          <w:bCs/>
          <w:lang w:val="de-DE"/>
        </w:rPr>
        <w:t>Latvijā</w:t>
      </w:r>
      <w:proofErr w:type="spellEnd"/>
      <w:r w:rsidRPr="000C7C76">
        <w:rPr>
          <w:rFonts w:ascii="Times New Roman" w:hAnsi="Times New Roman" w:cs="Times New Roman"/>
          <w:bCs/>
          <w:lang w:val="de-DE"/>
        </w:rPr>
        <w:t xml:space="preserve"> </w:t>
      </w:r>
      <w:proofErr w:type="spellStart"/>
      <w:r w:rsidRPr="000C7C76">
        <w:rPr>
          <w:rFonts w:ascii="Times New Roman" w:hAnsi="Times New Roman" w:cs="Times New Roman"/>
          <w:bCs/>
          <w:lang w:val="de-DE"/>
        </w:rPr>
        <w:t>sastādītiem</w:t>
      </w:r>
      <w:proofErr w:type="spellEnd"/>
      <w:r w:rsidRPr="000C7C76">
        <w:rPr>
          <w:rFonts w:ascii="Times New Roman" w:hAnsi="Times New Roman" w:cs="Times New Roman"/>
          <w:bCs/>
          <w:lang w:val="de-DE"/>
        </w:rPr>
        <w:t xml:space="preserve"> </w:t>
      </w:r>
      <w:proofErr w:type="spellStart"/>
      <w:r w:rsidRPr="000C7C76">
        <w:rPr>
          <w:rFonts w:ascii="Times New Roman" w:hAnsi="Times New Roman" w:cs="Times New Roman"/>
          <w:bCs/>
          <w:lang w:val="de-DE"/>
        </w:rPr>
        <w:t>publiskiem</w:t>
      </w:r>
      <w:proofErr w:type="spellEnd"/>
      <w:r w:rsidRPr="000C7C76">
        <w:rPr>
          <w:rFonts w:ascii="Times New Roman" w:hAnsi="Times New Roman" w:cs="Times New Roman"/>
          <w:bCs/>
          <w:lang w:val="de-DE"/>
        </w:rPr>
        <w:t xml:space="preserve"> </w:t>
      </w:r>
      <w:proofErr w:type="spellStart"/>
      <w:r w:rsidRPr="000C7C76">
        <w:rPr>
          <w:rFonts w:ascii="Times New Roman" w:hAnsi="Times New Roman" w:cs="Times New Roman"/>
          <w:bCs/>
          <w:lang w:val="de-DE"/>
        </w:rPr>
        <w:t>dokumentiem</w:t>
      </w:r>
      <w:proofErr w:type="spellEnd"/>
      <w:r w:rsidRPr="000C7C76">
        <w:rPr>
          <w:rFonts w:ascii="Times New Roman" w:hAnsi="Times New Roman" w:cs="Times New Roman"/>
          <w:bCs/>
          <w:lang w:val="de-DE"/>
        </w:rPr>
        <w:t xml:space="preserve">. </w:t>
      </w:r>
      <w:proofErr w:type="spellStart"/>
      <w:r w:rsidRPr="000C7C76">
        <w:rPr>
          <w:rFonts w:ascii="Times New Roman" w:hAnsi="Times New Roman" w:cs="Times New Roman"/>
          <w:bCs/>
          <w:lang w:val="de-DE"/>
        </w:rPr>
        <w:t>Notariāta</w:t>
      </w:r>
      <w:proofErr w:type="spellEnd"/>
      <w:r w:rsidRPr="000C7C76">
        <w:rPr>
          <w:rFonts w:ascii="Times New Roman" w:hAnsi="Times New Roman" w:cs="Times New Roman"/>
          <w:bCs/>
          <w:lang w:val="de-DE"/>
        </w:rPr>
        <w:t xml:space="preserve"> </w:t>
      </w:r>
      <w:proofErr w:type="spellStart"/>
      <w:r w:rsidRPr="000C7C76">
        <w:rPr>
          <w:rFonts w:ascii="Times New Roman" w:hAnsi="Times New Roman" w:cs="Times New Roman"/>
          <w:bCs/>
          <w:lang w:val="de-DE"/>
        </w:rPr>
        <w:t>likums</w:t>
      </w:r>
      <w:proofErr w:type="spellEnd"/>
      <w:r w:rsidRPr="000C7C76">
        <w:rPr>
          <w:rFonts w:ascii="Times New Roman" w:hAnsi="Times New Roman" w:cs="Times New Roman"/>
          <w:bCs/>
          <w:lang w:val="de-DE"/>
        </w:rPr>
        <w:t xml:space="preserve"> </w:t>
      </w:r>
      <w:proofErr w:type="spellStart"/>
      <w:r w:rsidRPr="000C7C76">
        <w:rPr>
          <w:rFonts w:ascii="Times New Roman" w:hAnsi="Times New Roman" w:cs="Times New Roman"/>
          <w:bCs/>
          <w:lang w:val="de-DE"/>
        </w:rPr>
        <w:t>notāru</w:t>
      </w:r>
      <w:proofErr w:type="spellEnd"/>
      <w:r w:rsidRPr="000C7C76">
        <w:rPr>
          <w:rFonts w:ascii="Times New Roman" w:hAnsi="Times New Roman" w:cs="Times New Roman"/>
          <w:bCs/>
          <w:lang w:val="de-DE"/>
        </w:rPr>
        <w:t xml:space="preserve"> </w:t>
      </w:r>
      <w:proofErr w:type="spellStart"/>
      <w:r w:rsidRPr="000C7C76">
        <w:rPr>
          <w:rFonts w:ascii="Times New Roman" w:hAnsi="Times New Roman" w:cs="Times New Roman"/>
          <w:bCs/>
          <w:lang w:val="de-DE"/>
        </w:rPr>
        <w:t>procesos</w:t>
      </w:r>
      <w:proofErr w:type="spellEnd"/>
      <w:r w:rsidRPr="000C7C76">
        <w:rPr>
          <w:rFonts w:ascii="Times New Roman" w:hAnsi="Times New Roman" w:cs="Times New Roman"/>
          <w:bCs/>
          <w:lang w:val="de-DE"/>
        </w:rPr>
        <w:t xml:space="preserve"> </w:t>
      </w:r>
      <w:proofErr w:type="spellStart"/>
      <w:r w:rsidRPr="000C7C76">
        <w:rPr>
          <w:rFonts w:ascii="Times New Roman" w:hAnsi="Times New Roman" w:cs="Times New Roman"/>
          <w:bCs/>
          <w:lang w:val="de-DE"/>
        </w:rPr>
        <w:t>ir</w:t>
      </w:r>
      <w:proofErr w:type="spellEnd"/>
      <w:r w:rsidRPr="000C7C76">
        <w:rPr>
          <w:rFonts w:ascii="Times New Roman" w:hAnsi="Times New Roman" w:cs="Times New Roman"/>
          <w:bCs/>
          <w:lang w:val="de-DE"/>
        </w:rPr>
        <w:t xml:space="preserve"> </w:t>
      </w:r>
      <w:proofErr w:type="spellStart"/>
      <w:r w:rsidRPr="000C7C76">
        <w:rPr>
          <w:rFonts w:ascii="Times New Roman" w:hAnsi="Times New Roman" w:cs="Times New Roman"/>
          <w:bCs/>
          <w:lang w:val="de-DE"/>
        </w:rPr>
        <w:t>speciālais</w:t>
      </w:r>
      <w:proofErr w:type="spellEnd"/>
      <w:r w:rsidRPr="000C7C76">
        <w:rPr>
          <w:rFonts w:ascii="Times New Roman" w:hAnsi="Times New Roman" w:cs="Times New Roman"/>
          <w:bCs/>
          <w:lang w:val="de-DE"/>
        </w:rPr>
        <w:t xml:space="preserve"> </w:t>
      </w:r>
      <w:proofErr w:type="spellStart"/>
      <w:r w:rsidRPr="000C7C76">
        <w:rPr>
          <w:rFonts w:ascii="Times New Roman" w:hAnsi="Times New Roman" w:cs="Times New Roman"/>
          <w:bCs/>
          <w:lang w:val="de-DE"/>
        </w:rPr>
        <w:t>likums</w:t>
      </w:r>
      <w:proofErr w:type="spellEnd"/>
      <w:r w:rsidRPr="000C7C76">
        <w:rPr>
          <w:rFonts w:ascii="Times New Roman" w:hAnsi="Times New Roman" w:cs="Times New Roman"/>
          <w:bCs/>
          <w:lang w:val="de-DE"/>
        </w:rPr>
        <w:t xml:space="preserve"> </w:t>
      </w:r>
      <w:proofErr w:type="spellStart"/>
      <w:r w:rsidRPr="000C7C76">
        <w:rPr>
          <w:rFonts w:ascii="Times New Roman" w:hAnsi="Times New Roman" w:cs="Times New Roman"/>
          <w:bCs/>
          <w:lang w:val="de-DE"/>
        </w:rPr>
        <w:t>attiecībā</w:t>
      </w:r>
      <w:proofErr w:type="spellEnd"/>
      <w:r w:rsidRPr="000C7C76">
        <w:rPr>
          <w:rFonts w:ascii="Times New Roman" w:hAnsi="Times New Roman" w:cs="Times New Roman"/>
          <w:bCs/>
          <w:lang w:val="de-DE"/>
        </w:rPr>
        <w:t xml:space="preserve"> </w:t>
      </w:r>
      <w:proofErr w:type="spellStart"/>
      <w:r w:rsidRPr="000C7C76">
        <w:rPr>
          <w:rFonts w:ascii="Times New Roman" w:hAnsi="Times New Roman" w:cs="Times New Roman"/>
          <w:bCs/>
          <w:lang w:val="de-DE"/>
        </w:rPr>
        <w:t>pret</w:t>
      </w:r>
      <w:proofErr w:type="spellEnd"/>
      <w:r w:rsidRPr="000C7C76">
        <w:rPr>
          <w:rFonts w:ascii="Times New Roman" w:hAnsi="Times New Roman" w:cs="Times New Roman"/>
          <w:bCs/>
          <w:lang w:val="de-DE"/>
        </w:rPr>
        <w:t xml:space="preserve"> </w:t>
      </w:r>
      <w:proofErr w:type="spellStart"/>
      <w:r w:rsidRPr="000C7C76">
        <w:rPr>
          <w:rFonts w:ascii="Times New Roman" w:hAnsi="Times New Roman" w:cs="Times New Roman"/>
          <w:bCs/>
          <w:lang w:val="de-DE"/>
        </w:rPr>
        <w:t>Dokumentu</w:t>
      </w:r>
      <w:proofErr w:type="spellEnd"/>
      <w:r w:rsidRPr="000C7C76">
        <w:rPr>
          <w:rFonts w:ascii="Times New Roman" w:hAnsi="Times New Roman" w:cs="Times New Roman"/>
          <w:bCs/>
          <w:lang w:val="de-DE"/>
        </w:rPr>
        <w:t xml:space="preserve"> </w:t>
      </w:r>
      <w:proofErr w:type="spellStart"/>
      <w:r w:rsidRPr="000C7C76">
        <w:rPr>
          <w:rFonts w:ascii="Times New Roman" w:hAnsi="Times New Roman" w:cs="Times New Roman"/>
          <w:bCs/>
          <w:lang w:val="de-DE"/>
        </w:rPr>
        <w:t>legalizācijas</w:t>
      </w:r>
      <w:proofErr w:type="spellEnd"/>
      <w:r w:rsidRPr="000C7C76">
        <w:rPr>
          <w:rFonts w:ascii="Times New Roman" w:hAnsi="Times New Roman" w:cs="Times New Roman"/>
          <w:bCs/>
          <w:lang w:val="de-DE"/>
        </w:rPr>
        <w:t xml:space="preserve"> </w:t>
      </w:r>
      <w:proofErr w:type="spellStart"/>
      <w:r w:rsidRPr="000C7C76">
        <w:rPr>
          <w:rFonts w:ascii="Times New Roman" w:hAnsi="Times New Roman" w:cs="Times New Roman"/>
          <w:bCs/>
          <w:lang w:val="de-DE"/>
        </w:rPr>
        <w:t>likumu</w:t>
      </w:r>
      <w:proofErr w:type="spellEnd"/>
      <w:r w:rsidRPr="000C7C76">
        <w:rPr>
          <w:rFonts w:ascii="Times New Roman" w:hAnsi="Times New Roman" w:cs="Times New Roman"/>
          <w:bCs/>
          <w:lang w:val="de-DE"/>
        </w:rPr>
        <w:t xml:space="preserve"> </w:t>
      </w:r>
      <w:proofErr w:type="spellStart"/>
      <w:r w:rsidRPr="000C7C76">
        <w:rPr>
          <w:rFonts w:ascii="Times New Roman" w:hAnsi="Times New Roman" w:cs="Times New Roman"/>
          <w:bCs/>
          <w:lang w:val="de-DE"/>
        </w:rPr>
        <w:t>un</w:t>
      </w:r>
      <w:proofErr w:type="spellEnd"/>
      <w:r w:rsidRPr="000C7C76">
        <w:rPr>
          <w:rFonts w:ascii="Times New Roman" w:hAnsi="Times New Roman" w:cs="Times New Roman"/>
          <w:bCs/>
          <w:lang w:val="de-DE"/>
        </w:rPr>
        <w:t xml:space="preserve"> </w:t>
      </w:r>
      <w:proofErr w:type="spellStart"/>
      <w:r w:rsidRPr="000C7C76">
        <w:rPr>
          <w:rFonts w:ascii="Times New Roman" w:hAnsi="Times New Roman" w:cs="Times New Roman"/>
          <w:bCs/>
          <w:lang w:val="de-DE"/>
        </w:rPr>
        <w:t>Hāgas</w:t>
      </w:r>
      <w:proofErr w:type="spellEnd"/>
      <w:r w:rsidRPr="000C7C76">
        <w:rPr>
          <w:rFonts w:ascii="Times New Roman" w:hAnsi="Times New Roman" w:cs="Times New Roman"/>
          <w:bCs/>
          <w:lang w:val="de-DE"/>
        </w:rPr>
        <w:t xml:space="preserve"> </w:t>
      </w:r>
      <w:proofErr w:type="spellStart"/>
      <w:r w:rsidRPr="000C7C76">
        <w:rPr>
          <w:rFonts w:ascii="Times New Roman" w:hAnsi="Times New Roman" w:cs="Times New Roman"/>
          <w:bCs/>
          <w:lang w:val="de-DE"/>
        </w:rPr>
        <w:t>Dokumentu</w:t>
      </w:r>
      <w:proofErr w:type="spellEnd"/>
      <w:r w:rsidRPr="000C7C76">
        <w:rPr>
          <w:rFonts w:ascii="Times New Roman" w:hAnsi="Times New Roman" w:cs="Times New Roman"/>
          <w:bCs/>
          <w:lang w:val="de-DE"/>
        </w:rPr>
        <w:t xml:space="preserve"> </w:t>
      </w:r>
      <w:proofErr w:type="spellStart"/>
      <w:r w:rsidRPr="000C7C76">
        <w:rPr>
          <w:rFonts w:ascii="Times New Roman" w:hAnsi="Times New Roman" w:cs="Times New Roman"/>
          <w:bCs/>
          <w:lang w:val="de-DE"/>
        </w:rPr>
        <w:t>legalizācijas</w:t>
      </w:r>
      <w:proofErr w:type="spellEnd"/>
      <w:r w:rsidRPr="000C7C76">
        <w:rPr>
          <w:rFonts w:ascii="Times New Roman" w:hAnsi="Times New Roman" w:cs="Times New Roman"/>
          <w:bCs/>
          <w:lang w:val="de-DE"/>
        </w:rPr>
        <w:t xml:space="preserve"> </w:t>
      </w:r>
      <w:proofErr w:type="spellStart"/>
      <w:r w:rsidRPr="000C7C76">
        <w:rPr>
          <w:rFonts w:ascii="Times New Roman" w:hAnsi="Times New Roman" w:cs="Times New Roman"/>
          <w:bCs/>
          <w:lang w:val="de-DE"/>
        </w:rPr>
        <w:t>atcelšanas</w:t>
      </w:r>
      <w:proofErr w:type="spellEnd"/>
      <w:r w:rsidRPr="000C7C76">
        <w:rPr>
          <w:rFonts w:ascii="Times New Roman" w:hAnsi="Times New Roman" w:cs="Times New Roman"/>
          <w:bCs/>
          <w:lang w:val="de-DE"/>
        </w:rPr>
        <w:t xml:space="preserve"> </w:t>
      </w:r>
      <w:proofErr w:type="spellStart"/>
      <w:r w:rsidRPr="000C7C76">
        <w:rPr>
          <w:rFonts w:ascii="Times New Roman" w:hAnsi="Times New Roman" w:cs="Times New Roman"/>
          <w:bCs/>
          <w:lang w:val="de-DE"/>
        </w:rPr>
        <w:t>konvenciju</w:t>
      </w:r>
      <w:proofErr w:type="spellEnd"/>
      <w:r w:rsidRPr="000C7C76">
        <w:rPr>
          <w:rFonts w:ascii="Times New Roman" w:hAnsi="Times New Roman" w:cs="Times New Roman"/>
          <w:bCs/>
          <w:lang w:val="de-DE"/>
        </w:rPr>
        <w:t xml:space="preserve">. </w:t>
      </w:r>
    </w:p>
    <w:p w14:paraId="0891EBB2" w14:textId="77777777" w:rsidR="00114953" w:rsidRPr="000C7C76" w:rsidRDefault="00114953" w:rsidP="00114953">
      <w:pPr>
        <w:jc w:val="both"/>
        <w:rPr>
          <w:rFonts w:ascii="Times New Roman" w:hAnsi="Times New Roman" w:cs="Times New Roman"/>
          <w:b/>
          <w:lang w:val="de-DE"/>
        </w:rPr>
      </w:pPr>
    </w:p>
    <w:p w14:paraId="610BC1FC" w14:textId="77777777" w:rsidR="00114953" w:rsidRPr="000C7C76" w:rsidRDefault="00114953" w:rsidP="00114953">
      <w:pPr>
        <w:jc w:val="both"/>
        <w:rPr>
          <w:rFonts w:ascii="Times New Roman" w:hAnsi="Times New Roman" w:cs="Times New Roman"/>
          <w:b/>
          <w:lang w:val="de-DE"/>
        </w:rPr>
      </w:pPr>
    </w:p>
    <w:tbl>
      <w:tblPr>
        <w:tblStyle w:val="TableGrid"/>
        <w:tblW w:w="0" w:type="auto"/>
        <w:tblLook w:val="04A0" w:firstRow="1" w:lastRow="0" w:firstColumn="1" w:lastColumn="0" w:noHBand="0" w:noVBand="1"/>
      </w:tblPr>
      <w:tblGrid>
        <w:gridCol w:w="9206"/>
      </w:tblGrid>
      <w:tr w:rsidR="00114953" w:rsidRPr="000C7C76" w14:paraId="20BBFF03" w14:textId="77777777" w:rsidTr="00BF3A72">
        <w:tc>
          <w:tcPr>
            <w:tcW w:w="9206" w:type="dxa"/>
            <w:shd w:val="clear" w:color="auto" w:fill="D9D9D9" w:themeFill="background1" w:themeFillShade="D9"/>
          </w:tcPr>
          <w:p w14:paraId="1B1DD4D7" w14:textId="77777777" w:rsidR="00114953" w:rsidRPr="006C311A" w:rsidRDefault="00114953" w:rsidP="00BF3A72">
            <w:pPr>
              <w:jc w:val="both"/>
              <w:rPr>
                <w:b/>
              </w:rPr>
            </w:pPr>
            <w:r w:rsidRPr="006C311A">
              <w:rPr>
                <w:b/>
              </w:rPr>
              <w:t xml:space="preserve">6. Vai </w:t>
            </w:r>
            <w:proofErr w:type="spellStart"/>
            <w:r w:rsidRPr="006C311A">
              <w:rPr>
                <w:b/>
              </w:rPr>
              <w:t>publisks</w:t>
            </w:r>
            <w:proofErr w:type="spellEnd"/>
            <w:r w:rsidRPr="006C311A">
              <w:rPr>
                <w:b/>
              </w:rPr>
              <w:t xml:space="preserve"> </w:t>
            </w:r>
            <w:proofErr w:type="spellStart"/>
            <w:r w:rsidRPr="006C311A">
              <w:rPr>
                <w:b/>
              </w:rPr>
              <w:t>dokuments</w:t>
            </w:r>
            <w:proofErr w:type="spellEnd"/>
            <w:r w:rsidRPr="006C311A">
              <w:rPr>
                <w:b/>
              </w:rPr>
              <w:t xml:space="preserve">, </w:t>
            </w:r>
            <w:proofErr w:type="spellStart"/>
            <w:r w:rsidRPr="006C311A">
              <w:rPr>
                <w:b/>
              </w:rPr>
              <w:t>kas</w:t>
            </w:r>
            <w:proofErr w:type="spellEnd"/>
            <w:r w:rsidRPr="006C311A">
              <w:rPr>
                <w:b/>
              </w:rPr>
              <w:t xml:space="preserve"> </w:t>
            </w:r>
            <w:proofErr w:type="spellStart"/>
            <w:r w:rsidRPr="006C311A">
              <w:rPr>
                <w:b/>
              </w:rPr>
              <w:t>atbilst</w:t>
            </w:r>
            <w:proofErr w:type="spellEnd"/>
            <w:r w:rsidRPr="006C311A">
              <w:rPr>
                <w:b/>
              </w:rPr>
              <w:t xml:space="preserve"> 1961.gada 5.oktobra </w:t>
            </w:r>
            <w:proofErr w:type="spellStart"/>
            <w:r w:rsidRPr="006C311A">
              <w:rPr>
                <w:b/>
              </w:rPr>
              <w:t>Hāgas</w:t>
            </w:r>
            <w:proofErr w:type="spellEnd"/>
            <w:r w:rsidRPr="006C311A">
              <w:rPr>
                <w:b/>
              </w:rPr>
              <w:t xml:space="preserve"> </w:t>
            </w:r>
            <w:proofErr w:type="spellStart"/>
            <w:r w:rsidRPr="006C311A">
              <w:rPr>
                <w:b/>
              </w:rPr>
              <w:t>konvencijai</w:t>
            </w:r>
            <w:proofErr w:type="spellEnd"/>
            <w:r w:rsidRPr="006C311A">
              <w:rPr>
                <w:b/>
              </w:rPr>
              <w:t xml:space="preserve"> par </w:t>
            </w:r>
            <w:proofErr w:type="spellStart"/>
            <w:r w:rsidRPr="006C311A">
              <w:rPr>
                <w:b/>
              </w:rPr>
              <w:t>ārvalstu</w:t>
            </w:r>
            <w:proofErr w:type="spellEnd"/>
            <w:r w:rsidRPr="006C311A">
              <w:rPr>
                <w:b/>
              </w:rPr>
              <w:t xml:space="preserve"> </w:t>
            </w:r>
            <w:proofErr w:type="spellStart"/>
            <w:r w:rsidRPr="006C311A">
              <w:rPr>
                <w:b/>
              </w:rPr>
              <w:t>publisko</w:t>
            </w:r>
            <w:proofErr w:type="spellEnd"/>
            <w:r w:rsidRPr="006C311A">
              <w:rPr>
                <w:b/>
              </w:rPr>
              <w:t xml:space="preserve"> </w:t>
            </w:r>
            <w:proofErr w:type="spellStart"/>
            <w:r w:rsidRPr="006C311A">
              <w:rPr>
                <w:b/>
              </w:rPr>
              <w:t>dokumentu</w:t>
            </w:r>
            <w:proofErr w:type="spellEnd"/>
            <w:r w:rsidRPr="006C311A">
              <w:rPr>
                <w:b/>
              </w:rPr>
              <w:t xml:space="preserve"> </w:t>
            </w:r>
            <w:proofErr w:type="spellStart"/>
            <w:r w:rsidRPr="006C311A">
              <w:rPr>
                <w:b/>
              </w:rPr>
              <w:t>legalizācijas</w:t>
            </w:r>
            <w:proofErr w:type="spellEnd"/>
            <w:r w:rsidRPr="006C311A">
              <w:rPr>
                <w:b/>
              </w:rPr>
              <w:t xml:space="preserve"> </w:t>
            </w:r>
            <w:proofErr w:type="spellStart"/>
            <w:r w:rsidRPr="006C311A">
              <w:rPr>
                <w:b/>
              </w:rPr>
              <w:t>prasības</w:t>
            </w:r>
            <w:proofErr w:type="spellEnd"/>
            <w:r w:rsidRPr="006C311A">
              <w:rPr>
                <w:b/>
              </w:rPr>
              <w:t xml:space="preserve"> </w:t>
            </w:r>
            <w:proofErr w:type="spellStart"/>
            <w:r w:rsidRPr="006C311A">
              <w:rPr>
                <w:b/>
              </w:rPr>
              <w:t>atcelšanu</w:t>
            </w:r>
            <w:proofErr w:type="spellEnd"/>
            <w:r w:rsidRPr="006C311A">
              <w:rPr>
                <w:b/>
              </w:rPr>
              <w:t xml:space="preserve">, </w:t>
            </w:r>
            <w:proofErr w:type="spellStart"/>
            <w:r w:rsidRPr="0011119B">
              <w:rPr>
                <w:b/>
                <w:u w:val="single"/>
              </w:rPr>
              <w:t>automātiski</w:t>
            </w:r>
            <w:proofErr w:type="spellEnd"/>
            <w:r w:rsidRPr="006C311A">
              <w:rPr>
                <w:b/>
              </w:rPr>
              <w:t xml:space="preserve"> </w:t>
            </w:r>
            <w:proofErr w:type="spellStart"/>
            <w:r w:rsidRPr="006C311A">
              <w:rPr>
                <w:b/>
              </w:rPr>
              <w:t>ir</w:t>
            </w:r>
            <w:proofErr w:type="spellEnd"/>
            <w:r w:rsidRPr="006C311A">
              <w:rPr>
                <w:b/>
              </w:rPr>
              <w:t xml:space="preserve"> </w:t>
            </w:r>
            <w:proofErr w:type="spellStart"/>
            <w:r w:rsidRPr="006C311A">
              <w:rPr>
                <w:b/>
              </w:rPr>
              <w:t>atzīstams</w:t>
            </w:r>
            <w:proofErr w:type="spellEnd"/>
            <w:r w:rsidRPr="006C311A">
              <w:rPr>
                <w:b/>
              </w:rPr>
              <w:t xml:space="preserve"> par </w:t>
            </w:r>
            <w:proofErr w:type="spellStart"/>
            <w:r w:rsidRPr="006C311A">
              <w:rPr>
                <w:b/>
              </w:rPr>
              <w:t>publisku</w:t>
            </w:r>
            <w:proofErr w:type="spellEnd"/>
            <w:r w:rsidRPr="006C311A">
              <w:rPr>
                <w:b/>
              </w:rPr>
              <w:t xml:space="preserve"> </w:t>
            </w:r>
            <w:proofErr w:type="spellStart"/>
            <w:r w:rsidRPr="006C311A">
              <w:rPr>
                <w:b/>
              </w:rPr>
              <w:t>dokumentu</w:t>
            </w:r>
            <w:proofErr w:type="spellEnd"/>
            <w:r w:rsidRPr="006C311A">
              <w:rPr>
                <w:b/>
              </w:rPr>
              <w:t xml:space="preserve"> </w:t>
            </w:r>
            <w:proofErr w:type="spellStart"/>
            <w:r w:rsidRPr="006C311A">
              <w:rPr>
                <w:b/>
              </w:rPr>
              <w:t>Notariāta</w:t>
            </w:r>
            <w:proofErr w:type="spellEnd"/>
            <w:r w:rsidRPr="006C311A">
              <w:rPr>
                <w:b/>
              </w:rPr>
              <w:t xml:space="preserve"> </w:t>
            </w:r>
            <w:proofErr w:type="spellStart"/>
            <w:r w:rsidRPr="006C311A">
              <w:rPr>
                <w:b/>
              </w:rPr>
              <w:t>likuma</w:t>
            </w:r>
            <w:proofErr w:type="spellEnd"/>
            <w:r w:rsidRPr="006C311A">
              <w:rPr>
                <w:b/>
              </w:rPr>
              <w:t xml:space="preserve"> 83.panta </w:t>
            </w:r>
            <w:proofErr w:type="spellStart"/>
            <w:proofErr w:type="gramStart"/>
            <w:r w:rsidRPr="006C311A">
              <w:rPr>
                <w:b/>
              </w:rPr>
              <w:t>izpratnē</w:t>
            </w:r>
            <w:proofErr w:type="spellEnd"/>
            <w:r w:rsidRPr="006C311A">
              <w:rPr>
                <w:b/>
              </w:rPr>
              <w:t> ?</w:t>
            </w:r>
            <w:proofErr w:type="gramEnd"/>
          </w:p>
          <w:p w14:paraId="627AEBFC" w14:textId="77777777" w:rsidR="00114953" w:rsidRDefault="00114953" w:rsidP="00BF3A72">
            <w:pPr>
              <w:jc w:val="both"/>
              <w:rPr>
                <w:bCs/>
              </w:rPr>
            </w:pPr>
          </w:p>
        </w:tc>
      </w:tr>
    </w:tbl>
    <w:p w14:paraId="6732CF1C" w14:textId="77777777" w:rsidR="00114953" w:rsidRPr="000C7C76" w:rsidRDefault="00114953" w:rsidP="00114953">
      <w:pPr>
        <w:jc w:val="both"/>
        <w:rPr>
          <w:rFonts w:ascii="Times New Roman" w:hAnsi="Times New Roman" w:cs="Times New Roman"/>
          <w:lang w:val="de-DE"/>
        </w:rPr>
      </w:pPr>
    </w:p>
    <w:p w14:paraId="234047C8" w14:textId="77777777" w:rsidR="00114953" w:rsidRPr="000C7C76" w:rsidRDefault="00114953" w:rsidP="00114953">
      <w:pPr>
        <w:widowControl w:val="0"/>
        <w:autoSpaceDE w:val="0"/>
        <w:autoSpaceDN w:val="0"/>
        <w:adjustRightInd w:val="0"/>
        <w:ind w:firstLine="708"/>
        <w:jc w:val="both"/>
        <w:rPr>
          <w:rFonts w:ascii="Times New Roman" w:hAnsi="Times New Roman" w:cs="Arial"/>
          <w:color w:val="323233"/>
          <w:lang w:val="de-DE"/>
        </w:rPr>
      </w:pPr>
    </w:p>
    <w:p w14:paraId="740E78A1" w14:textId="77777777" w:rsidR="00114953" w:rsidRPr="000C7C76" w:rsidRDefault="00114953" w:rsidP="00114953">
      <w:pPr>
        <w:widowControl w:val="0"/>
        <w:autoSpaceDE w:val="0"/>
        <w:autoSpaceDN w:val="0"/>
        <w:adjustRightInd w:val="0"/>
        <w:jc w:val="both"/>
        <w:rPr>
          <w:rFonts w:ascii="Times New Roman" w:hAnsi="Times New Roman" w:cs="Arial"/>
          <w:b/>
          <w:lang w:val="de-DE"/>
        </w:rPr>
      </w:pPr>
      <w:proofErr w:type="spellStart"/>
      <w:r w:rsidRPr="000C7C76">
        <w:rPr>
          <w:rFonts w:ascii="Times New Roman" w:hAnsi="Times New Roman" w:cs="Arial"/>
          <w:b/>
          <w:lang w:val="de-DE"/>
        </w:rPr>
        <w:t>Notariāta</w:t>
      </w:r>
      <w:proofErr w:type="spellEnd"/>
      <w:r w:rsidRPr="000C7C76">
        <w:rPr>
          <w:rFonts w:ascii="Times New Roman" w:hAnsi="Times New Roman" w:cs="Arial"/>
          <w:b/>
          <w:lang w:val="de-DE"/>
        </w:rPr>
        <w:t xml:space="preserve"> </w:t>
      </w:r>
      <w:proofErr w:type="spellStart"/>
      <w:r w:rsidRPr="000C7C76">
        <w:rPr>
          <w:rFonts w:ascii="Times New Roman" w:hAnsi="Times New Roman" w:cs="Arial"/>
          <w:b/>
          <w:lang w:val="de-DE"/>
        </w:rPr>
        <w:t>likuma</w:t>
      </w:r>
      <w:proofErr w:type="spellEnd"/>
      <w:r w:rsidRPr="000C7C76">
        <w:rPr>
          <w:rFonts w:ascii="Times New Roman" w:hAnsi="Times New Roman" w:cs="Arial"/>
          <w:b/>
          <w:lang w:val="de-DE"/>
        </w:rPr>
        <w:t xml:space="preserve"> 83.pants:</w:t>
      </w:r>
    </w:p>
    <w:p w14:paraId="6A36A26F" w14:textId="77777777" w:rsidR="00114953" w:rsidRPr="000C7C76" w:rsidRDefault="00114953" w:rsidP="00114953">
      <w:pPr>
        <w:widowControl w:val="0"/>
        <w:autoSpaceDE w:val="0"/>
        <w:autoSpaceDN w:val="0"/>
        <w:adjustRightInd w:val="0"/>
        <w:ind w:firstLine="708"/>
        <w:jc w:val="both"/>
        <w:rPr>
          <w:rFonts w:ascii="Times New Roman" w:hAnsi="Times New Roman" w:cs="Arial"/>
          <w:lang w:val="de-DE"/>
        </w:rPr>
      </w:pPr>
    </w:p>
    <w:p w14:paraId="4D027688" w14:textId="442A3683" w:rsidR="00114953" w:rsidRPr="00565D81" w:rsidRDefault="00114953" w:rsidP="00114953">
      <w:pPr>
        <w:widowControl w:val="0"/>
        <w:autoSpaceDE w:val="0"/>
        <w:autoSpaceDN w:val="0"/>
        <w:adjustRightInd w:val="0"/>
        <w:ind w:firstLine="708"/>
        <w:jc w:val="both"/>
        <w:rPr>
          <w:rFonts w:ascii="Times New Roman" w:hAnsi="Times New Roman" w:cs="Arial"/>
          <w:iCs/>
          <w:lang w:val="de-DE"/>
        </w:rPr>
      </w:pPr>
      <w:proofErr w:type="spellStart"/>
      <w:r w:rsidRPr="000C7C76">
        <w:rPr>
          <w:rFonts w:ascii="Times New Roman" w:hAnsi="Times New Roman" w:cs="Arial"/>
          <w:lang w:val="de-DE"/>
        </w:rPr>
        <w:t>Notariāta</w:t>
      </w:r>
      <w:proofErr w:type="spellEnd"/>
      <w:r w:rsidRPr="000C7C76">
        <w:rPr>
          <w:rFonts w:ascii="Times New Roman" w:hAnsi="Times New Roman" w:cs="Arial"/>
          <w:lang w:val="de-DE"/>
        </w:rPr>
        <w:t xml:space="preserve"> </w:t>
      </w:r>
      <w:proofErr w:type="spellStart"/>
      <w:r w:rsidRPr="000C7C76">
        <w:rPr>
          <w:rFonts w:ascii="Times New Roman" w:hAnsi="Times New Roman" w:cs="Arial"/>
          <w:lang w:val="de-DE"/>
        </w:rPr>
        <w:t>likuma</w:t>
      </w:r>
      <w:proofErr w:type="spellEnd"/>
      <w:r w:rsidRPr="000C7C76">
        <w:rPr>
          <w:rFonts w:ascii="Times New Roman" w:hAnsi="Times New Roman" w:cs="Arial"/>
          <w:lang w:val="de-DE"/>
        </w:rPr>
        <w:t xml:space="preserve"> 83.panta </w:t>
      </w:r>
      <w:proofErr w:type="spellStart"/>
      <w:r w:rsidRPr="000C7C76">
        <w:rPr>
          <w:rFonts w:ascii="Times New Roman" w:hAnsi="Times New Roman" w:cs="Arial"/>
          <w:lang w:val="de-DE"/>
        </w:rPr>
        <w:t>otrajā</w:t>
      </w:r>
      <w:proofErr w:type="spellEnd"/>
      <w:r w:rsidRPr="000C7C76">
        <w:rPr>
          <w:rFonts w:ascii="Times New Roman" w:hAnsi="Times New Roman" w:cs="Arial"/>
          <w:lang w:val="de-DE"/>
        </w:rPr>
        <w:t xml:space="preserve"> </w:t>
      </w:r>
      <w:proofErr w:type="spellStart"/>
      <w:r w:rsidRPr="000C7C76">
        <w:rPr>
          <w:rFonts w:ascii="Times New Roman" w:hAnsi="Times New Roman" w:cs="Arial"/>
          <w:lang w:val="de-DE"/>
        </w:rPr>
        <w:t>daļā</w:t>
      </w:r>
      <w:proofErr w:type="spellEnd"/>
      <w:r w:rsidRPr="000C7C76">
        <w:rPr>
          <w:rFonts w:ascii="Times New Roman" w:hAnsi="Times New Roman" w:cs="Arial"/>
          <w:lang w:val="de-DE"/>
        </w:rPr>
        <w:t xml:space="preserve"> </w:t>
      </w:r>
      <w:proofErr w:type="spellStart"/>
      <w:r w:rsidRPr="000C7C76">
        <w:rPr>
          <w:rFonts w:ascii="Times New Roman" w:hAnsi="Times New Roman" w:cs="Arial"/>
          <w:lang w:val="de-DE"/>
        </w:rPr>
        <w:t>tiek</w:t>
      </w:r>
      <w:proofErr w:type="spellEnd"/>
      <w:r w:rsidRPr="000C7C76">
        <w:rPr>
          <w:rFonts w:ascii="Times New Roman" w:hAnsi="Times New Roman" w:cs="Arial"/>
          <w:lang w:val="de-DE"/>
        </w:rPr>
        <w:t xml:space="preserve"> </w:t>
      </w:r>
      <w:proofErr w:type="spellStart"/>
      <w:r w:rsidRPr="000C7C76">
        <w:rPr>
          <w:rFonts w:ascii="Times New Roman" w:hAnsi="Times New Roman" w:cs="Arial"/>
          <w:lang w:val="de-DE"/>
        </w:rPr>
        <w:t>lietots</w:t>
      </w:r>
      <w:proofErr w:type="spellEnd"/>
      <w:r w:rsidRPr="000C7C76">
        <w:rPr>
          <w:rFonts w:ascii="Times New Roman" w:hAnsi="Times New Roman" w:cs="Arial"/>
          <w:lang w:val="de-DE"/>
        </w:rPr>
        <w:t xml:space="preserve"> </w:t>
      </w:r>
      <w:proofErr w:type="spellStart"/>
      <w:r w:rsidRPr="000C7C76">
        <w:rPr>
          <w:rFonts w:ascii="Times New Roman" w:hAnsi="Times New Roman" w:cs="Arial"/>
          <w:lang w:val="de-DE"/>
        </w:rPr>
        <w:t>jēdziens</w:t>
      </w:r>
      <w:proofErr w:type="spellEnd"/>
      <w:r w:rsidRPr="000C7C76">
        <w:rPr>
          <w:rFonts w:ascii="Times New Roman" w:hAnsi="Times New Roman" w:cs="Arial"/>
          <w:lang w:val="de-DE"/>
        </w:rPr>
        <w:t xml:space="preserve"> </w:t>
      </w:r>
      <w:r w:rsidRPr="00565D81">
        <w:rPr>
          <w:rFonts w:ascii="Times New Roman" w:hAnsi="Times New Roman" w:cs="Arial"/>
          <w:lang w:val="de-DE"/>
        </w:rPr>
        <w:t>„</w:t>
      </w:r>
      <w:proofErr w:type="spellStart"/>
      <w:r w:rsidRPr="00565D81">
        <w:rPr>
          <w:rFonts w:ascii="Times New Roman" w:hAnsi="Times New Roman" w:cs="Arial"/>
          <w:lang w:val="de-DE"/>
        </w:rPr>
        <w:t>publisks</w:t>
      </w:r>
      <w:proofErr w:type="spellEnd"/>
      <w:r w:rsidRPr="00565D81">
        <w:rPr>
          <w:rFonts w:ascii="Times New Roman" w:hAnsi="Times New Roman" w:cs="Arial"/>
          <w:lang w:val="de-DE"/>
        </w:rPr>
        <w:t xml:space="preserve"> </w:t>
      </w:r>
      <w:proofErr w:type="spellStart"/>
      <w:r w:rsidRPr="00565D81">
        <w:rPr>
          <w:rFonts w:ascii="Times New Roman" w:hAnsi="Times New Roman" w:cs="Arial"/>
          <w:lang w:val="de-DE"/>
        </w:rPr>
        <w:t>dokuments</w:t>
      </w:r>
      <w:proofErr w:type="spellEnd"/>
      <w:r w:rsidRPr="00565D81">
        <w:rPr>
          <w:rFonts w:ascii="Times New Roman" w:hAnsi="Times New Roman" w:cs="Arial"/>
          <w:lang w:val="de-DE"/>
        </w:rPr>
        <w:t xml:space="preserve">“. </w:t>
      </w:r>
      <w:proofErr w:type="spellStart"/>
      <w:r w:rsidRPr="00565D81">
        <w:rPr>
          <w:rFonts w:ascii="Times New Roman" w:hAnsi="Times New Roman" w:cs="Arial"/>
          <w:lang w:val="de-DE"/>
        </w:rPr>
        <w:t>Vēl</w:t>
      </w:r>
      <w:proofErr w:type="spellEnd"/>
      <w:r w:rsidRPr="00565D81">
        <w:rPr>
          <w:rFonts w:ascii="Times New Roman" w:hAnsi="Times New Roman" w:cs="Arial"/>
          <w:lang w:val="de-DE"/>
        </w:rPr>
        <w:t xml:space="preserve"> </w:t>
      </w:r>
      <w:proofErr w:type="spellStart"/>
      <w:r w:rsidRPr="00565D81">
        <w:rPr>
          <w:rFonts w:ascii="Times New Roman" w:hAnsi="Times New Roman" w:cs="Arial"/>
          <w:lang w:val="de-DE"/>
        </w:rPr>
        <w:t>jo</w:t>
      </w:r>
      <w:proofErr w:type="spellEnd"/>
      <w:r w:rsidRPr="00565D81">
        <w:rPr>
          <w:rFonts w:ascii="Times New Roman" w:hAnsi="Times New Roman" w:cs="Arial"/>
          <w:lang w:val="de-DE"/>
        </w:rPr>
        <w:t xml:space="preserve"> </w:t>
      </w:r>
      <w:proofErr w:type="spellStart"/>
      <w:r w:rsidRPr="00565D81">
        <w:rPr>
          <w:rFonts w:ascii="Times New Roman" w:hAnsi="Times New Roman" w:cs="Arial"/>
          <w:lang w:val="de-DE"/>
        </w:rPr>
        <w:t>vairāk</w:t>
      </w:r>
      <w:proofErr w:type="spellEnd"/>
      <w:r w:rsidRPr="00565D81">
        <w:rPr>
          <w:rFonts w:ascii="Times New Roman" w:hAnsi="Times New Roman" w:cs="Arial"/>
          <w:lang w:val="de-DE"/>
        </w:rPr>
        <w:t xml:space="preserve"> – </w:t>
      </w:r>
      <w:proofErr w:type="spellStart"/>
      <w:r w:rsidR="00565D81">
        <w:rPr>
          <w:rFonts w:ascii="Times New Roman" w:hAnsi="Times New Roman" w:cs="Arial"/>
          <w:lang w:val="de-DE"/>
        </w:rPr>
        <w:t>Notariāta</w:t>
      </w:r>
      <w:proofErr w:type="spellEnd"/>
      <w:r w:rsidR="00565D81">
        <w:rPr>
          <w:rFonts w:ascii="Times New Roman" w:hAnsi="Times New Roman" w:cs="Arial"/>
          <w:lang w:val="de-DE"/>
        </w:rPr>
        <w:t xml:space="preserve"> </w:t>
      </w:r>
      <w:proofErr w:type="spellStart"/>
      <w:r w:rsidR="00565D81">
        <w:rPr>
          <w:rFonts w:ascii="Times New Roman" w:hAnsi="Times New Roman" w:cs="Arial"/>
          <w:lang w:val="de-DE"/>
        </w:rPr>
        <w:t>likuma</w:t>
      </w:r>
      <w:proofErr w:type="spellEnd"/>
      <w:r w:rsidRPr="00565D81">
        <w:rPr>
          <w:rFonts w:ascii="Times New Roman" w:hAnsi="Times New Roman" w:cs="Arial"/>
          <w:lang w:val="de-DE"/>
        </w:rPr>
        <w:t xml:space="preserve"> 83.panta </w:t>
      </w:r>
      <w:proofErr w:type="spellStart"/>
      <w:r w:rsidRPr="00565D81">
        <w:rPr>
          <w:rFonts w:ascii="Times New Roman" w:hAnsi="Times New Roman" w:cs="Arial"/>
          <w:lang w:val="de-DE"/>
        </w:rPr>
        <w:t>otrā</w:t>
      </w:r>
      <w:proofErr w:type="spellEnd"/>
      <w:r w:rsidRPr="00565D81">
        <w:rPr>
          <w:rFonts w:ascii="Times New Roman" w:hAnsi="Times New Roman" w:cs="Arial"/>
          <w:lang w:val="de-DE"/>
        </w:rPr>
        <w:t xml:space="preserve"> </w:t>
      </w:r>
      <w:proofErr w:type="spellStart"/>
      <w:r w:rsidRPr="00565D81">
        <w:rPr>
          <w:rFonts w:ascii="Times New Roman" w:hAnsi="Times New Roman" w:cs="Arial"/>
          <w:lang w:val="de-DE"/>
        </w:rPr>
        <w:t>daļa</w:t>
      </w:r>
      <w:proofErr w:type="spellEnd"/>
      <w:r w:rsidRPr="00565D81">
        <w:rPr>
          <w:rFonts w:ascii="Times New Roman" w:hAnsi="Times New Roman" w:cs="Arial"/>
          <w:lang w:val="de-DE"/>
        </w:rPr>
        <w:t xml:space="preserve"> </w:t>
      </w:r>
      <w:proofErr w:type="spellStart"/>
      <w:r w:rsidRPr="00565D81">
        <w:rPr>
          <w:rFonts w:ascii="Times New Roman" w:hAnsi="Times New Roman" w:cs="Arial"/>
          <w:lang w:val="de-DE"/>
        </w:rPr>
        <w:t>skaidri</w:t>
      </w:r>
      <w:proofErr w:type="spellEnd"/>
      <w:r w:rsidRPr="00565D81">
        <w:rPr>
          <w:rFonts w:ascii="Times New Roman" w:hAnsi="Times New Roman" w:cs="Arial"/>
          <w:lang w:val="de-DE"/>
        </w:rPr>
        <w:t xml:space="preserve"> </w:t>
      </w:r>
      <w:proofErr w:type="spellStart"/>
      <w:r w:rsidRPr="00565D81">
        <w:rPr>
          <w:rFonts w:ascii="Times New Roman" w:hAnsi="Times New Roman" w:cs="Arial"/>
          <w:lang w:val="de-DE"/>
        </w:rPr>
        <w:t>nosaka</w:t>
      </w:r>
      <w:proofErr w:type="spellEnd"/>
      <w:r w:rsidRPr="00565D81">
        <w:rPr>
          <w:rFonts w:ascii="Times New Roman" w:hAnsi="Times New Roman" w:cs="Arial"/>
          <w:lang w:val="de-DE"/>
        </w:rPr>
        <w:t xml:space="preserve">, </w:t>
      </w:r>
      <w:proofErr w:type="spellStart"/>
      <w:r w:rsidRPr="00565D81">
        <w:rPr>
          <w:rFonts w:ascii="Times New Roman" w:hAnsi="Times New Roman" w:cs="Arial"/>
          <w:lang w:val="de-DE"/>
        </w:rPr>
        <w:t>ka</w:t>
      </w:r>
      <w:proofErr w:type="spellEnd"/>
      <w:r w:rsidRPr="00565D81">
        <w:rPr>
          <w:rFonts w:ascii="Times New Roman" w:hAnsi="Times New Roman" w:cs="Arial"/>
          <w:lang w:val="de-DE"/>
        </w:rPr>
        <w:t xml:space="preserve"> „</w:t>
      </w:r>
      <w:proofErr w:type="spellStart"/>
      <w:r w:rsidRPr="00565D81">
        <w:rPr>
          <w:rFonts w:ascii="Times New Roman" w:hAnsi="Times New Roman" w:cs="Arial"/>
          <w:i/>
          <w:lang w:val="de-DE"/>
        </w:rPr>
        <w:t>p</w:t>
      </w:r>
      <w:r w:rsidRPr="00565D81">
        <w:rPr>
          <w:rFonts w:ascii="Times New Roman" w:hAnsi="Times New Roman" w:cs="Arial"/>
          <w:i/>
          <w:iCs/>
          <w:lang w:val="de-DE"/>
        </w:rPr>
        <w:t>ārstāvības</w:t>
      </w:r>
      <w:proofErr w:type="spellEnd"/>
      <w:r w:rsidRPr="00565D81">
        <w:rPr>
          <w:rFonts w:ascii="Times New Roman" w:hAnsi="Times New Roman" w:cs="Arial"/>
          <w:i/>
          <w:iCs/>
          <w:lang w:val="de-DE"/>
        </w:rPr>
        <w:t xml:space="preserve"> </w:t>
      </w:r>
      <w:proofErr w:type="spellStart"/>
      <w:r w:rsidRPr="00565D81">
        <w:rPr>
          <w:rFonts w:ascii="Times New Roman" w:hAnsi="Times New Roman" w:cs="Arial"/>
          <w:i/>
          <w:iCs/>
          <w:lang w:val="de-DE"/>
        </w:rPr>
        <w:t>tiesības</w:t>
      </w:r>
      <w:proofErr w:type="spellEnd"/>
      <w:r w:rsidRPr="00565D81">
        <w:rPr>
          <w:rFonts w:ascii="Times New Roman" w:hAnsi="Times New Roman" w:cs="Arial"/>
          <w:i/>
          <w:iCs/>
          <w:lang w:val="de-DE"/>
        </w:rPr>
        <w:t xml:space="preserve"> </w:t>
      </w:r>
      <w:proofErr w:type="spellStart"/>
      <w:r w:rsidRPr="00565D81">
        <w:rPr>
          <w:rFonts w:ascii="Times New Roman" w:hAnsi="Times New Roman" w:cs="Arial"/>
          <w:i/>
          <w:iCs/>
          <w:lang w:val="de-DE"/>
        </w:rPr>
        <w:t>zvērināts</w:t>
      </w:r>
      <w:proofErr w:type="spellEnd"/>
      <w:r w:rsidRPr="00565D81">
        <w:rPr>
          <w:rFonts w:ascii="Times New Roman" w:hAnsi="Times New Roman" w:cs="Arial"/>
          <w:i/>
          <w:iCs/>
          <w:lang w:val="de-DE"/>
        </w:rPr>
        <w:t xml:space="preserve"> </w:t>
      </w:r>
      <w:proofErr w:type="spellStart"/>
      <w:r w:rsidRPr="00565D81">
        <w:rPr>
          <w:rFonts w:ascii="Times New Roman" w:hAnsi="Times New Roman" w:cs="Arial"/>
          <w:i/>
          <w:iCs/>
          <w:lang w:val="de-DE"/>
        </w:rPr>
        <w:t>notārs</w:t>
      </w:r>
      <w:proofErr w:type="spellEnd"/>
      <w:r w:rsidRPr="00565D81">
        <w:rPr>
          <w:rFonts w:ascii="Times New Roman" w:hAnsi="Times New Roman" w:cs="Arial"/>
          <w:i/>
          <w:iCs/>
          <w:lang w:val="de-DE"/>
        </w:rPr>
        <w:t xml:space="preserve"> </w:t>
      </w:r>
      <w:proofErr w:type="spellStart"/>
      <w:r w:rsidRPr="00565D81">
        <w:rPr>
          <w:rFonts w:ascii="Times New Roman" w:hAnsi="Times New Roman" w:cs="Arial"/>
          <w:i/>
          <w:iCs/>
          <w:lang w:val="de-DE"/>
        </w:rPr>
        <w:t>pārbauda</w:t>
      </w:r>
      <w:proofErr w:type="spellEnd"/>
      <w:r w:rsidRPr="00565D81">
        <w:rPr>
          <w:rFonts w:ascii="Times New Roman" w:hAnsi="Times New Roman" w:cs="Arial"/>
          <w:i/>
          <w:iCs/>
          <w:lang w:val="de-DE"/>
        </w:rPr>
        <w:t xml:space="preserve"> </w:t>
      </w:r>
      <w:proofErr w:type="spellStart"/>
      <w:r w:rsidRPr="00565D81">
        <w:rPr>
          <w:rFonts w:ascii="Times New Roman" w:hAnsi="Times New Roman" w:cs="Arial"/>
          <w:i/>
          <w:iCs/>
          <w:lang w:val="de-DE"/>
        </w:rPr>
        <w:t>pēc</w:t>
      </w:r>
      <w:proofErr w:type="spellEnd"/>
      <w:r w:rsidRPr="00565D81">
        <w:rPr>
          <w:rFonts w:ascii="Times New Roman" w:hAnsi="Times New Roman" w:cs="Arial"/>
          <w:i/>
          <w:iCs/>
          <w:lang w:val="de-DE"/>
        </w:rPr>
        <w:t xml:space="preserve"> </w:t>
      </w:r>
      <w:proofErr w:type="spellStart"/>
      <w:r w:rsidRPr="00565D81">
        <w:rPr>
          <w:rFonts w:ascii="Times New Roman" w:hAnsi="Times New Roman" w:cs="Arial"/>
          <w:i/>
          <w:iCs/>
          <w:lang w:val="de-DE"/>
        </w:rPr>
        <w:t>viņam</w:t>
      </w:r>
      <w:proofErr w:type="spellEnd"/>
      <w:r w:rsidRPr="00565D81">
        <w:rPr>
          <w:rFonts w:ascii="Times New Roman" w:hAnsi="Times New Roman" w:cs="Arial"/>
          <w:i/>
          <w:iCs/>
          <w:lang w:val="de-DE"/>
        </w:rPr>
        <w:t xml:space="preserve"> </w:t>
      </w:r>
      <w:proofErr w:type="spellStart"/>
      <w:r w:rsidRPr="00565D81">
        <w:rPr>
          <w:rFonts w:ascii="Times New Roman" w:hAnsi="Times New Roman" w:cs="Arial"/>
          <w:i/>
          <w:iCs/>
          <w:lang w:val="de-DE"/>
        </w:rPr>
        <w:t>iesniegtajiem</w:t>
      </w:r>
      <w:proofErr w:type="spellEnd"/>
      <w:r w:rsidRPr="00565D81">
        <w:rPr>
          <w:rFonts w:ascii="Times New Roman" w:hAnsi="Times New Roman" w:cs="Arial"/>
          <w:i/>
          <w:iCs/>
          <w:lang w:val="de-DE"/>
        </w:rPr>
        <w:t xml:space="preserve"> </w:t>
      </w:r>
      <w:proofErr w:type="spellStart"/>
      <w:r w:rsidRPr="00565D81">
        <w:rPr>
          <w:rFonts w:ascii="Times New Roman" w:hAnsi="Times New Roman" w:cs="Arial"/>
          <w:b/>
          <w:i/>
          <w:iCs/>
          <w:lang w:val="de-DE"/>
        </w:rPr>
        <w:t>publiskiem</w:t>
      </w:r>
      <w:proofErr w:type="spellEnd"/>
      <w:r w:rsidRPr="00565D81">
        <w:rPr>
          <w:rFonts w:ascii="Times New Roman" w:hAnsi="Times New Roman" w:cs="Arial"/>
          <w:b/>
          <w:i/>
          <w:iCs/>
          <w:lang w:val="de-DE"/>
        </w:rPr>
        <w:t xml:space="preserve"> </w:t>
      </w:r>
      <w:proofErr w:type="spellStart"/>
      <w:r w:rsidRPr="00565D81">
        <w:rPr>
          <w:rFonts w:ascii="Times New Roman" w:hAnsi="Times New Roman" w:cs="Arial"/>
          <w:b/>
          <w:i/>
          <w:iCs/>
          <w:lang w:val="de-DE"/>
        </w:rPr>
        <w:t>dokumentiem</w:t>
      </w:r>
      <w:proofErr w:type="spellEnd"/>
      <w:r w:rsidRPr="00565D81">
        <w:rPr>
          <w:rFonts w:ascii="Times New Roman" w:hAnsi="Times New Roman" w:cs="Arial"/>
          <w:i/>
          <w:iCs/>
          <w:lang w:val="de-DE"/>
        </w:rPr>
        <w:t xml:space="preserve"> </w:t>
      </w:r>
      <w:proofErr w:type="spellStart"/>
      <w:r w:rsidRPr="00565D81">
        <w:rPr>
          <w:rFonts w:ascii="Times New Roman" w:hAnsi="Times New Roman" w:cs="Arial"/>
          <w:i/>
          <w:iCs/>
          <w:lang w:val="de-DE"/>
        </w:rPr>
        <w:t>vai</w:t>
      </w:r>
      <w:proofErr w:type="spellEnd"/>
      <w:r w:rsidRPr="00565D81">
        <w:rPr>
          <w:rFonts w:ascii="Times New Roman" w:hAnsi="Times New Roman" w:cs="Arial"/>
          <w:i/>
          <w:iCs/>
          <w:lang w:val="de-DE"/>
        </w:rPr>
        <w:t xml:space="preserve"> </w:t>
      </w:r>
      <w:proofErr w:type="spellStart"/>
      <w:r w:rsidRPr="00565D81">
        <w:rPr>
          <w:rFonts w:ascii="Times New Roman" w:hAnsi="Times New Roman" w:cs="Arial"/>
          <w:i/>
          <w:iCs/>
          <w:lang w:val="de-DE"/>
        </w:rPr>
        <w:t>ierakstiem</w:t>
      </w:r>
      <w:proofErr w:type="spellEnd"/>
      <w:r w:rsidRPr="00565D81">
        <w:rPr>
          <w:rFonts w:ascii="Times New Roman" w:hAnsi="Times New Roman" w:cs="Arial"/>
          <w:i/>
          <w:iCs/>
          <w:lang w:val="de-DE"/>
        </w:rPr>
        <w:t xml:space="preserve"> </w:t>
      </w:r>
      <w:proofErr w:type="spellStart"/>
      <w:r w:rsidRPr="00565D81">
        <w:rPr>
          <w:rFonts w:ascii="Times New Roman" w:hAnsi="Times New Roman" w:cs="Arial"/>
          <w:i/>
          <w:iCs/>
          <w:lang w:val="de-DE"/>
        </w:rPr>
        <w:t>Komercreģistrā</w:t>
      </w:r>
      <w:proofErr w:type="spellEnd"/>
      <w:r w:rsidRPr="00565D81">
        <w:rPr>
          <w:rFonts w:ascii="Times New Roman" w:hAnsi="Times New Roman" w:cs="Arial"/>
          <w:i/>
          <w:iCs/>
          <w:lang w:val="de-DE"/>
        </w:rPr>
        <w:t xml:space="preserve"> </w:t>
      </w:r>
      <w:proofErr w:type="spellStart"/>
      <w:r w:rsidRPr="00565D81">
        <w:rPr>
          <w:rFonts w:ascii="Times New Roman" w:hAnsi="Times New Roman" w:cs="Arial"/>
          <w:i/>
          <w:iCs/>
          <w:lang w:val="de-DE"/>
        </w:rPr>
        <w:t>vai</w:t>
      </w:r>
      <w:proofErr w:type="spellEnd"/>
      <w:r w:rsidRPr="00565D81">
        <w:rPr>
          <w:rFonts w:ascii="Times New Roman" w:hAnsi="Times New Roman" w:cs="Arial"/>
          <w:i/>
          <w:iCs/>
          <w:lang w:val="de-DE"/>
        </w:rPr>
        <w:t xml:space="preserve"> </w:t>
      </w:r>
      <w:proofErr w:type="spellStart"/>
      <w:r w:rsidRPr="00565D81">
        <w:rPr>
          <w:rFonts w:ascii="Times New Roman" w:hAnsi="Times New Roman" w:cs="Arial"/>
          <w:i/>
          <w:iCs/>
          <w:lang w:val="de-DE"/>
        </w:rPr>
        <w:t>citos</w:t>
      </w:r>
      <w:proofErr w:type="spellEnd"/>
      <w:r w:rsidRPr="00565D81">
        <w:rPr>
          <w:rFonts w:ascii="Times New Roman" w:hAnsi="Times New Roman" w:cs="Arial"/>
          <w:i/>
          <w:iCs/>
          <w:lang w:val="de-DE"/>
        </w:rPr>
        <w:t xml:space="preserve"> </w:t>
      </w:r>
      <w:proofErr w:type="spellStart"/>
      <w:r w:rsidRPr="00565D81">
        <w:rPr>
          <w:rFonts w:ascii="Times New Roman" w:hAnsi="Times New Roman" w:cs="Arial"/>
          <w:i/>
          <w:iCs/>
          <w:lang w:val="de-DE"/>
        </w:rPr>
        <w:t>publiskos</w:t>
      </w:r>
      <w:proofErr w:type="spellEnd"/>
      <w:r w:rsidRPr="00565D81">
        <w:rPr>
          <w:rFonts w:ascii="Times New Roman" w:hAnsi="Times New Roman" w:cs="Arial"/>
          <w:i/>
          <w:iCs/>
          <w:lang w:val="de-DE"/>
        </w:rPr>
        <w:t xml:space="preserve"> </w:t>
      </w:r>
      <w:proofErr w:type="spellStart"/>
      <w:r w:rsidRPr="00565D81">
        <w:rPr>
          <w:rFonts w:ascii="Times New Roman" w:hAnsi="Times New Roman" w:cs="Arial"/>
          <w:i/>
          <w:iCs/>
          <w:lang w:val="de-DE"/>
        </w:rPr>
        <w:t>reģistros</w:t>
      </w:r>
      <w:proofErr w:type="spellEnd"/>
      <w:r w:rsidRPr="00565D81">
        <w:rPr>
          <w:rFonts w:ascii="Times New Roman" w:hAnsi="Times New Roman" w:cs="Arial"/>
          <w:i/>
          <w:iCs/>
          <w:lang w:val="de-DE"/>
        </w:rPr>
        <w:t xml:space="preserve">“. </w:t>
      </w:r>
      <w:r w:rsidRPr="00565D81">
        <w:rPr>
          <w:rFonts w:ascii="Times New Roman" w:hAnsi="Times New Roman" w:cs="Arial"/>
          <w:iCs/>
          <w:lang w:val="de-DE"/>
        </w:rPr>
        <w:t xml:space="preserve">Tas </w:t>
      </w:r>
      <w:proofErr w:type="spellStart"/>
      <w:r w:rsidRPr="00565D81">
        <w:rPr>
          <w:rFonts w:ascii="Times New Roman" w:hAnsi="Times New Roman" w:cs="Arial"/>
          <w:iCs/>
          <w:lang w:val="de-DE"/>
        </w:rPr>
        <w:t>vienlaicīgi</w:t>
      </w:r>
      <w:proofErr w:type="spellEnd"/>
      <w:r w:rsidRPr="00565D81">
        <w:rPr>
          <w:rFonts w:ascii="Times New Roman" w:hAnsi="Times New Roman" w:cs="Arial"/>
          <w:iCs/>
          <w:lang w:val="de-DE"/>
        </w:rPr>
        <w:t xml:space="preserve"> </w:t>
      </w:r>
      <w:proofErr w:type="spellStart"/>
      <w:r w:rsidRPr="00565D81">
        <w:rPr>
          <w:rFonts w:ascii="Times New Roman" w:hAnsi="Times New Roman" w:cs="Arial"/>
          <w:iCs/>
          <w:lang w:val="de-DE"/>
        </w:rPr>
        <w:t>nozīmē</w:t>
      </w:r>
      <w:proofErr w:type="spellEnd"/>
      <w:r w:rsidRPr="00565D81">
        <w:rPr>
          <w:rFonts w:ascii="Times New Roman" w:hAnsi="Times New Roman" w:cs="Arial"/>
          <w:iCs/>
          <w:lang w:val="de-DE"/>
        </w:rPr>
        <w:t xml:space="preserve">, </w:t>
      </w:r>
      <w:proofErr w:type="spellStart"/>
      <w:r w:rsidRPr="00565D81">
        <w:rPr>
          <w:rFonts w:ascii="Times New Roman" w:hAnsi="Times New Roman" w:cs="Arial"/>
          <w:iCs/>
          <w:lang w:val="de-DE"/>
        </w:rPr>
        <w:t>ka</w:t>
      </w:r>
      <w:proofErr w:type="spellEnd"/>
      <w:r w:rsidRPr="00565D81">
        <w:rPr>
          <w:rFonts w:ascii="Times New Roman" w:hAnsi="Times New Roman" w:cs="Arial"/>
          <w:iCs/>
          <w:lang w:val="de-DE"/>
        </w:rPr>
        <w:t xml:space="preserve"> </w:t>
      </w:r>
      <w:proofErr w:type="spellStart"/>
      <w:r w:rsidRPr="00565D81">
        <w:rPr>
          <w:rFonts w:ascii="Times New Roman" w:hAnsi="Times New Roman" w:cs="Arial"/>
          <w:iCs/>
          <w:lang w:val="de-DE"/>
        </w:rPr>
        <w:t>notārs</w:t>
      </w:r>
      <w:proofErr w:type="spellEnd"/>
      <w:r w:rsidRPr="00565D81">
        <w:rPr>
          <w:rFonts w:ascii="Times New Roman" w:hAnsi="Times New Roman" w:cs="Arial"/>
          <w:iCs/>
          <w:lang w:val="de-DE"/>
        </w:rPr>
        <w:t xml:space="preserve"> </w:t>
      </w:r>
      <w:proofErr w:type="spellStart"/>
      <w:r w:rsidRPr="00565D81">
        <w:rPr>
          <w:rFonts w:ascii="Times New Roman" w:hAnsi="Times New Roman" w:cs="Arial"/>
          <w:iCs/>
          <w:lang w:val="de-DE"/>
        </w:rPr>
        <w:t>nedrīkst</w:t>
      </w:r>
      <w:proofErr w:type="spellEnd"/>
      <w:r w:rsidRPr="00565D81">
        <w:rPr>
          <w:rFonts w:ascii="Times New Roman" w:hAnsi="Times New Roman" w:cs="Arial"/>
          <w:iCs/>
          <w:lang w:val="de-DE"/>
        </w:rPr>
        <w:t xml:space="preserve"> </w:t>
      </w:r>
      <w:proofErr w:type="spellStart"/>
      <w:r w:rsidRPr="00565D81">
        <w:rPr>
          <w:rFonts w:ascii="Times New Roman" w:hAnsi="Times New Roman" w:cs="Arial"/>
          <w:iCs/>
          <w:lang w:val="de-DE"/>
        </w:rPr>
        <w:t>pārbaudīt</w:t>
      </w:r>
      <w:proofErr w:type="spellEnd"/>
      <w:r w:rsidRPr="00565D81">
        <w:rPr>
          <w:rFonts w:ascii="Times New Roman" w:hAnsi="Times New Roman" w:cs="Arial"/>
          <w:iCs/>
          <w:lang w:val="de-DE"/>
        </w:rPr>
        <w:t xml:space="preserve"> </w:t>
      </w:r>
      <w:proofErr w:type="spellStart"/>
      <w:r w:rsidRPr="00565D81">
        <w:rPr>
          <w:rFonts w:ascii="Times New Roman" w:hAnsi="Times New Roman" w:cs="Arial"/>
          <w:iCs/>
          <w:lang w:val="de-DE"/>
        </w:rPr>
        <w:t>pārstāvības</w:t>
      </w:r>
      <w:proofErr w:type="spellEnd"/>
      <w:r w:rsidRPr="00565D81">
        <w:rPr>
          <w:rFonts w:ascii="Times New Roman" w:hAnsi="Times New Roman" w:cs="Arial"/>
          <w:iCs/>
          <w:lang w:val="de-DE"/>
        </w:rPr>
        <w:t xml:space="preserve"> </w:t>
      </w:r>
      <w:proofErr w:type="spellStart"/>
      <w:r w:rsidRPr="00565D81">
        <w:rPr>
          <w:rFonts w:ascii="Times New Roman" w:hAnsi="Times New Roman" w:cs="Arial"/>
          <w:iCs/>
          <w:lang w:val="de-DE"/>
        </w:rPr>
        <w:t>tiesības</w:t>
      </w:r>
      <w:proofErr w:type="spellEnd"/>
      <w:r w:rsidRPr="00565D81">
        <w:rPr>
          <w:rFonts w:ascii="Times New Roman" w:hAnsi="Times New Roman" w:cs="Arial"/>
          <w:iCs/>
          <w:lang w:val="de-DE"/>
        </w:rPr>
        <w:t xml:space="preserve"> </w:t>
      </w:r>
      <w:proofErr w:type="spellStart"/>
      <w:r w:rsidRPr="00565D81">
        <w:rPr>
          <w:rFonts w:ascii="Times New Roman" w:hAnsi="Times New Roman" w:cs="Arial"/>
          <w:iCs/>
          <w:lang w:val="de-DE"/>
        </w:rPr>
        <w:t>pēc</w:t>
      </w:r>
      <w:proofErr w:type="spellEnd"/>
      <w:r w:rsidRPr="00565D81">
        <w:rPr>
          <w:rFonts w:ascii="Times New Roman" w:hAnsi="Times New Roman" w:cs="Arial"/>
          <w:iCs/>
          <w:lang w:val="de-DE"/>
        </w:rPr>
        <w:t xml:space="preserve"> </w:t>
      </w:r>
      <w:proofErr w:type="spellStart"/>
      <w:r w:rsidRPr="00565D81">
        <w:rPr>
          <w:rFonts w:ascii="Times New Roman" w:hAnsi="Times New Roman" w:cs="Arial"/>
          <w:iCs/>
          <w:lang w:val="de-DE"/>
        </w:rPr>
        <w:t>privātiem</w:t>
      </w:r>
      <w:proofErr w:type="spellEnd"/>
      <w:r w:rsidRPr="00565D81">
        <w:rPr>
          <w:rFonts w:ascii="Times New Roman" w:hAnsi="Times New Roman" w:cs="Arial"/>
          <w:iCs/>
          <w:lang w:val="de-DE"/>
        </w:rPr>
        <w:t xml:space="preserve"> </w:t>
      </w:r>
      <w:proofErr w:type="spellStart"/>
      <w:r w:rsidRPr="00565D81">
        <w:rPr>
          <w:rFonts w:ascii="Times New Roman" w:hAnsi="Times New Roman" w:cs="Arial"/>
          <w:iCs/>
          <w:lang w:val="de-DE"/>
        </w:rPr>
        <w:t>dokumentiem</w:t>
      </w:r>
      <w:proofErr w:type="spellEnd"/>
      <w:r w:rsidRPr="00565D81">
        <w:rPr>
          <w:rFonts w:ascii="Times New Roman" w:hAnsi="Times New Roman" w:cs="Arial"/>
          <w:iCs/>
          <w:lang w:val="de-DE"/>
        </w:rPr>
        <w:t xml:space="preserve">. </w:t>
      </w:r>
      <w:proofErr w:type="spellStart"/>
      <w:r w:rsidRPr="00565D81">
        <w:rPr>
          <w:rFonts w:ascii="Times New Roman" w:hAnsi="Times New Roman" w:cs="Arial"/>
          <w:iCs/>
          <w:lang w:val="de-DE"/>
        </w:rPr>
        <w:t>Pirmajā</w:t>
      </w:r>
      <w:proofErr w:type="spellEnd"/>
      <w:r w:rsidRPr="00565D81">
        <w:rPr>
          <w:rFonts w:ascii="Times New Roman" w:hAnsi="Times New Roman" w:cs="Arial"/>
          <w:iCs/>
          <w:lang w:val="de-DE"/>
        </w:rPr>
        <w:t xml:space="preserve"> </w:t>
      </w:r>
      <w:proofErr w:type="spellStart"/>
      <w:r w:rsidRPr="00565D81">
        <w:rPr>
          <w:rFonts w:ascii="Times New Roman" w:hAnsi="Times New Roman" w:cs="Arial"/>
          <w:iCs/>
          <w:lang w:val="de-DE"/>
        </w:rPr>
        <w:t>brīdī</w:t>
      </w:r>
      <w:proofErr w:type="spellEnd"/>
      <w:r w:rsidRPr="00565D81">
        <w:rPr>
          <w:rFonts w:ascii="Times New Roman" w:hAnsi="Times New Roman" w:cs="Arial"/>
          <w:iCs/>
          <w:lang w:val="de-DE"/>
        </w:rPr>
        <w:t xml:space="preserve"> </w:t>
      </w:r>
      <w:proofErr w:type="spellStart"/>
      <w:r w:rsidRPr="00565D81">
        <w:rPr>
          <w:rFonts w:ascii="Times New Roman" w:hAnsi="Times New Roman" w:cs="Arial"/>
          <w:iCs/>
          <w:lang w:val="de-DE"/>
        </w:rPr>
        <w:t>mulsinoši</w:t>
      </w:r>
      <w:proofErr w:type="spellEnd"/>
      <w:r w:rsidRPr="00565D81">
        <w:rPr>
          <w:rFonts w:ascii="Times New Roman" w:hAnsi="Times New Roman" w:cs="Arial"/>
          <w:iCs/>
          <w:lang w:val="de-DE"/>
        </w:rPr>
        <w:t xml:space="preserve"> </w:t>
      </w:r>
      <w:proofErr w:type="spellStart"/>
      <w:r w:rsidRPr="00565D81">
        <w:rPr>
          <w:rFonts w:ascii="Times New Roman" w:hAnsi="Times New Roman" w:cs="Arial"/>
          <w:iCs/>
          <w:lang w:val="de-DE"/>
        </w:rPr>
        <w:t>varēt</w:t>
      </w:r>
      <w:r w:rsidR="00565D81">
        <w:rPr>
          <w:rFonts w:ascii="Times New Roman" w:hAnsi="Times New Roman" w:cs="Arial"/>
          <w:iCs/>
          <w:lang w:val="de-DE"/>
        </w:rPr>
        <w:t>u</w:t>
      </w:r>
      <w:proofErr w:type="spellEnd"/>
      <w:r w:rsidR="00565D81">
        <w:rPr>
          <w:rFonts w:ascii="Times New Roman" w:hAnsi="Times New Roman" w:cs="Arial"/>
          <w:iCs/>
          <w:lang w:val="de-DE"/>
        </w:rPr>
        <w:t xml:space="preserve"> </w:t>
      </w:r>
      <w:proofErr w:type="spellStart"/>
      <w:r w:rsidR="00565D81">
        <w:rPr>
          <w:rFonts w:ascii="Times New Roman" w:hAnsi="Times New Roman" w:cs="Arial"/>
          <w:iCs/>
          <w:lang w:val="de-DE"/>
        </w:rPr>
        <w:t>likties</w:t>
      </w:r>
      <w:proofErr w:type="spellEnd"/>
      <w:r w:rsidR="00565D81">
        <w:rPr>
          <w:rFonts w:ascii="Times New Roman" w:hAnsi="Times New Roman" w:cs="Arial"/>
          <w:iCs/>
          <w:lang w:val="de-DE"/>
        </w:rPr>
        <w:t xml:space="preserve"> </w:t>
      </w:r>
      <w:proofErr w:type="spellStart"/>
      <w:r w:rsidR="00565D81">
        <w:rPr>
          <w:rFonts w:ascii="Times New Roman" w:hAnsi="Times New Roman" w:cs="Arial"/>
          <w:iCs/>
          <w:lang w:val="de-DE"/>
        </w:rPr>
        <w:t>tas</w:t>
      </w:r>
      <w:proofErr w:type="spellEnd"/>
      <w:r w:rsidR="00565D81">
        <w:rPr>
          <w:rFonts w:ascii="Times New Roman" w:hAnsi="Times New Roman" w:cs="Arial"/>
          <w:iCs/>
          <w:lang w:val="de-DE"/>
        </w:rPr>
        <w:t xml:space="preserve">, </w:t>
      </w:r>
      <w:proofErr w:type="spellStart"/>
      <w:r w:rsidR="00565D81">
        <w:rPr>
          <w:rFonts w:ascii="Times New Roman" w:hAnsi="Times New Roman" w:cs="Arial"/>
          <w:iCs/>
          <w:lang w:val="de-DE"/>
        </w:rPr>
        <w:t>ka</w:t>
      </w:r>
      <w:proofErr w:type="spellEnd"/>
      <w:r w:rsidR="00565D81">
        <w:rPr>
          <w:rFonts w:ascii="Times New Roman" w:hAnsi="Times New Roman" w:cs="Arial"/>
          <w:iCs/>
          <w:lang w:val="de-DE"/>
        </w:rPr>
        <w:t xml:space="preserve"> </w:t>
      </w:r>
      <w:proofErr w:type="spellStart"/>
      <w:r w:rsidR="00565D81">
        <w:rPr>
          <w:rFonts w:ascii="Times New Roman" w:hAnsi="Times New Roman" w:cs="Arial"/>
          <w:iCs/>
          <w:lang w:val="de-DE"/>
        </w:rPr>
        <w:t>likumdevējs</w:t>
      </w:r>
      <w:proofErr w:type="spellEnd"/>
      <w:r w:rsidR="00565D81">
        <w:rPr>
          <w:rFonts w:ascii="Times New Roman" w:hAnsi="Times New Roman" w:cs="Arial"/>
          <w:iCs/>
          <w:lang w:val="de-DE"/>
        </w:rPr>
        <w:t xml:space="preserve"> </w:t>
      </w:r>
      <w:proofErr w:type="spellStart"/>
      <w:r w:rsidR="00565D81">
        <w:rPr>
          <w:rFonts w:ascii="Times New Roman" w:hAnsi="Times New Roman" w:cs="Arial"/>
          <w:iCs/>
          <w:lang w:val="de-DE"/>
        </w:rPr>
        <w:t>Notariāta</w:t>
      </w:r>
      <w:proofErr w:type="spellEnd"/>
      <w:r w:rsidR="00565D81">
        <w:rPr>
          <w:rFonts w:ascii="Times New Roman" w:hAnsi="Times New Roman" w:cs="Arial"/>
          <w:iCs/>
          <w:lang w:val="de-DE"/>
        </w:rPr>
        <w:t xml:space="preserve"> </w:t>
      </w:r>
      <w:proofErr w:type="spellStart"/>
      <w:r w:rsidR="00565D81">
        <w:rPr>
          <w:rFonts w:ascii="Times New Roman" w:hAnsi="Times New Roman" w:cs="Arial"/>
          <w:iCs/>
          <w:lang w:val="de-DE"/>
        </w:rPr>
        <w:t>likumā</w:t>
      </w:r>
      <w:proofErr w:type="spellEnd"/>
      <w:r w:rsidRPr="00565D81">
        <w:rPr>
          <w:rFonts w:ascii="Times New Roman" w:hAnsi="Times New Roman" w:cs="Arial"/>
          <w:iCs/>
          <w:lang w:val="de-DE"/>
        </w:rPr>
        <w:t xml:space="preserve"> </w:t>
      </w:r>
      <w:proofErr w:type="spellStart"/>
      <w:r w:rsidRPr="00565D81">
        <w:rPr>
          <w:rFonts w:ascii="Times New Roman" w:hAnsi="Times New Roman" w:cs="Arial"/>
          <w:iCs/>
          <w:lang w:val="de-DE"/>
        </w:rPr>
        <w:t>nav</w:t>
      </w:r>
      <w:proofErr w:type="spellEnd"/>
      <w:r w:rsidRPr="00565D81">
        <w:rPr>
          <w:rFonts w:ascii="Times New Roman" w:hAnsi="Times New Roman" w:cs="Arial"/>
          <w:iCs/>
          <w:lang w:val="de-DE"/>
        </w:rPr>
        <w:t xml:space="preserve"> </w:t>
      </w:r>
      <w:proofErr w:type="spellStart"/>
      <w:r w:rsidRPr="00565D81">
        <w:rPr>
          <w:rFonts w:ascii="Times New Roman" w:hAnsi="Times New Roman" w:cs="Arial"/>
          <w:iCs/>
          <w:lang w:val="de-DE"/>
        </w:rPr>
        <w:t>devis</w:t>
      </w:r>
      <w:proofErr w:type="spellEnd"/>
      <w:r w:rsidRPr="00565D81">
        <w:rPr>
          <w:rFonts w:ascii="Times New Roman" w:hAnsi="Times New Roman" w:cs="Arial"/>
          <w:iCs/>
          <w:lang w:val="de-DE"/>
        </w:rPr>
        <w:t xml:space="preserve"> </w:t>
      </w:r>
      <w:proofErr w:type="spellStart"/>
      <w:r w:rsidRPr="00565D81">
        <w:rPr>
          <w:rFonts w:ascii="Times New Roman" w:hAnsi="Times New Roman" w:cs="Arial"/>
          <w:iCs/>
          <w:lang w:val="de-DE"/>
        </w:rPr>
        <w:t>jēdziena</w:t>
      </w:r>
      <w:proofErr w:type="spellEnd"/>
      <w:r w:rsidRPr="00565D81">
        <w:rPr>
          <w:rFonts w:ascii="Times New Roman" w:hAnsi="Times New Roman" w:cs="Arial"/>
          <w:iCs/>
          <w:lang w:val="de-DE"/>
        </w:rPr>
        <w:t xml:space="preserve"> „</w:t>
      </w:r>
      <w:proofErr w:type="spellStart"/>
      <w:r w:rsidRPr="00565D81">
        <w:rPr>
          <w:rFonts w:ascii="Times New Roman" w:hAnsi="Times New Roman" w:cs="Arial"/>
          <w:iCs/>
          <w:lang w:val="de-DE"/>
        </w:rPr>
        <w:t>publisks</w:t>
      </w:r>
      <w:proofErr w:type="spellEnd"/>
      <w:r w:rsidRPr="00565D81">
        <w:rPr>
          <w:rFonts w:ascii="Times New Roman" w:hAnsi="Times New Roman" w:cs="Arial"/>
          <w:iCs/>
          <w:lang w:val="de-DE"/>
        </w:rPr>
        <w:t xml:space="preserve"> </w:t>
      </w:r>
      <w:proofErr w:type="spellStart"/>
      <w:r w:rsidRPr="00565D81">
        <w:rPr>
          <w:rFonts w:ascii="Times New Roman" w:hAnsi="Times New Roman" w:cs="Arial"/>
          <w:iCs/>
          <w:lang w:val="de-DE"/>
        </w:rPr>
        <w:t>dokuments</w:t>
      </w:r>
      <w:proofErr w:type="spellEnd"/>
      <w:r w:rsidRPr="00565D81">
        <w:rPr>
          <w:rFonts w:ascii="Times New Roman" w:hAnsi="Times New Roman" w:cs="Arial"/>
          <w:iCs/>
          <w:lang w:val="de-DE"/>
        </w:rPr>
        <w:t xml:space="preserve">“ </w:t>
      </w:r>
      <w:proofErr w:type="spellStart"/>
      <w:r w:rsidRPr="00565D81">
        <w:rPr>
          <w:rFonts w:ascii="Times New Roman" w:hAnsi="Times New Roman" w:cs="Arial"/>
          <w:iCs/>
          <w:lang w:val="de-DE"/>
        </w:rPr>
        <w:t>legāl</w:t>
      </w:r>
      <w:r w:rsidR="00565D81">
        <w:rPr>
          <w:rFonts w:ascii="Times New Roman" w:hAnsi="Times New Roman" w:cs="Arial"/>
          <w:iCs/>
          <w:lang w:val="de-DE"/>
        </w:rPr>
        <w:t>definīciju</w:t>
      </w:r>
      <w:proofErr w:type="spellEnd"/>
      <w:r w:rsidR="00565D81">
        <w:rPr>
          <w:rFonts w:ascii="Times New Roman" w:hAnsi="Times New Roman" w:cs="Arial"/>
          <w:iCs/>
          <w:lang w:val="de-DE"/>
        </w:rPr>
        <w:t xml:space="preserve">. </w:t>
      </w:r>
      <w:proofErr w:type="spellStart"/>
      <w:r w:rsidR="00565D81">
        <w:rPr>
          <w:rFonts w:ascii="Times New Roman" w:hAnsi="Times New Roman" w:cs="Arial"/>
          <w:iCs/>
          <w:lang w:val="de-DE"/>
        </w:rPr>
        <w:t>Taču</w:t>
      </w:r>
      <w:proofErr w:type="spellEnd"/>
      <w:r w:rsidR="00565D81">
        <w:rPr>
          <w:rFonts w:ascii="Times New Roman" w:hAnsi="Times New Roman" w:cs="Arial"/>
          <w:iCs/>
          <w:lang w:val="de-DE"/>
        </w:rPr>
        <w:t xml:space="preserve"> </w:t>
      </w:r>
      <w:proofErr w:type="spellStart"/>
      <w:r w:rsidR="00565D81">
        <w:rPr>
          <w:rFonts w:ascii="Times New Roman" w:hAnsi="Times New Roman" w:cs="Arial"/>
          <w:iCs/>
          <w:lang w:val="de-DE"/>
        </w:rPr>
        <w:t>no</w:t>
      </w:r>
      <w:proofErr w:type="spellEnd"/>
      <w:r w:rsidR="00565D81">
        <w:rPr>
          <w:rFonts w:ascii="Times New Roman" w:hAnsi="Times New Roman" w:cs="Arial"/>
          <w:iCs/>
          <w:lang w:val="de-DE"/>
        </w:rPr>
        <w:t xml:space="preserve"> </w:t>
      </w:r>
      <w:proofErr w:type="spellStart"/>
      <w:r w:rsidR="00565D81">
        <w:rPr>
          <w:rFonts w:ascii="Times New Roman" w:hAnsi="Times New Roman" w:cs="Arial"/>
          <w:iCs/>
          <w:lang w:val="de-DE"/>
        </w:rPr>
        <w:t>atsevišķu</w:t>
      </w:r>
      <w:proofErr w:type="spellEnd"/>
      <w:r w:rsidR="00565D81">
        <w:rPr>
          <w:rFonts w:ascii="Times New Roman" w:hAnsi="Times New Roman" w:cs="Arial"/>
          <w:iCs/>
          <w:lang w:val="de-DE"/>
        </w:rPr>
        <w:t xml:space="preserve"> </w:t>
      </w:r>
      <w:proofErr w:type="spellStart"/>
      <w:r w:rsidR="00565D81">
        <w:rPr>
          <w:rFonts w:ascii="Times New Roman" w:hAnsi="Times New Roman" w:cs="Arial"/>
          <w:iCs/>
          <w:lang w:val="de-DE"/>
        </w:rPr>
        <w:t>Notariāta</w:t>
      </w:r>
      <w:proofErr w:type="spellEnd"/>
      <w:r w:rsidR="00565D81">
        <w:rPr>
          <w:rFonts w:ascii="Times New Roman" w:hAnsi="Times New Roman" w:cs="Arial"/>
          <w:iCs/>
          <w:lang w:val="de-DE"/>
        </w:rPr>
        <w:t xml:space="preserve"> </w:t>
      </w:r>
      <w:proofErr w:type="spellStart"/>
      <w:r w:rsidR="00565D81">
        <w:rPr>
          <w:rFonts w:ascii="Times New Roman" w:hAnsi="Times New Roman" w:cs="Arial"/>
          <w:iCs/>
          <w:lang w:val="de-DE"/>
        </w:rPr>
        <w:t>likuma</w:t>
      </w:r>
      <w:proofErr w:type="spellEnd"/>
      <w:r w:rsidRPr="00565D81">
        <w:rPr>
          <w:rFonts w:ascii="Times New Roman" w:hAnsi="Times New Roman" w:cs="Arial"/>
          <w:iCs/>
          <w:lang w:val="de-DE"/>
        </w:rPr>
        <w:t xml:space="preserve"> </w:t>
      </w:r>
      <w:proofErr w:type="spellStart"/>
      <w:r w:rsidRPr="00565D81">
        <w:rPr>
          <w:rFonts w:ascii="Times New Roman" w:hAnsi="Times New Roman" w:cs="Arial"/>
          <w:iCs/>
          <w:lang w:val="de-DE"/>
        </w:rPr>
        <w:t>tiesību</w:t>
      </w:r>
      <w:proofErr w:type="spellEnd"/>
      <w:r w:rsidRPr="00565D81">
        <w:rPr>
          <w:rFonts w:ascii="Times New Roman" w:hAnsi="Times New Roman" w:cs="Arial"/>
          <w:iCs/>
          <w:lang w:val="de-DE"/>
        </w:rPr>
        <w:t xml:space="preserve"> </w:t>
      </w:r>
      <w:proofErr w:type="spellStart"/>
      <w:r w:rsidRPr="00565D81">
        <w:rPr>
          <w:rFonts w:ascii="Times New Roman" w:hAnsi="Times New Roman" w:cs="Arial"/>
          <w:iCs/>
          <w:lang w:val="de-DE"/>
        </w:rPr>
        <w:t>normu</w:t>
      </w:r>
      <w:proofErr w:type="spellEnd"/>
      <w:r w:rsidRPr="00565D81">
        <w:rPr>
          <w:rFonts w:ascii="Times New Roman" w:hAnsi="Times New Roman" w:cs="Arial"/>
          <w:iCs/>
          <w:lang w:val="de-DE"/>
        </w:rPr>
        <w:t xml:space="preserve"> (81. </w:t>
      </w:r>
      <w:proofErr w:type="spellStart"/>
      <w:r w:rsidRPr="00565D81">
        <w:rPr>
          <w:rFonts w:ascii="Times New Roman" w:hAnsi="Times New Roman" w:cs="Arial"/>
          <w:iCs/>
          <w:lang w:val="de-DE"/>
        </w:rPr>
        <w:t>un</w:t>
      </w:r>
      <w:proofErr w:type="spellEnd"/>
      <w:r w:rsidRPr="00565D81">
        <w:rPr>
          <w:rFonts w:ascii="Times New Roman" w:hAnsi="Times New Roman" w:cs="Arial"/>
          <w:iCs/>
          <w:lang w:val="de-DE"/>
        </w:rPr>
        <w:t xml:space="preserve"> 116.p.) </w:t>
      </w:r>
      <w:proofErr w:type="spellStart"/>
      <w:r w:rsidRPr="00565D81">
        <w:rPr>
          <w:rFonts w:ascii="Times New Roman" w:hAnsi="Times New Roman" w:cs="Arial"/>
          <w:iCs/>
          <w:lang w:val="de-DE"/>
        </w:rPr>
        <w:t>sistēmiskās</w:t>
      </w:r>
      <w:proofErr w:type="spellEnd"/>
      <w:r w:rsidRPr="00565D81">
        <w:rPr>
          <w:rFonts w:ascii="Times New Roman" w:hAnsi="Times New Roman" w:cs="Arial"/>
          <w:iCs/>
          <w:lang w:val="de-DE"/>
        </w:rPr>
        <w:t xml:space="preserve"> </w:t>
      </w:r>
      <w:proofErr w:type="spellStart"/>
      <w:r w:rsidRPr="00565D81">
        <w:rPr>
          <w:rFonts w:ascii="Times New Roman" w:hAnsi="Times New Roman" w:cs="Arial"/>
          <w:iCs/>
          <w:lang w:val="de-DE"/>
        </w:rPr>
        <w:t>interpretācijas</w:t>
      </w:r>
      <w:proofErr w:type="spellEnd"/>
      <w:r w:rsidRPr="00565D81">
        <w:rPr>
          <w:rFonts w:ascii="Times New Roman" w:hAnsi="Times New Roman" w:cs="Arial"/>
          <w:iCs/>
          <w:lang w:val="de-DE"/>
        </w:rPr>
        <w:t xml:space="preserve"> </w:t>
      </w:r>
      <w:proofErr w:type="spellStart"/>
      <w:r w:rsidRPr="00565D81">
        <w:rPr>
          <w:rFonts w:ascii="Times New Roman" w:hAnsi="Times New Roman" w:cs="Arial"/>
          <w:iCs/>
          <w:lang w:val="de-DE"/>
        </w:rPr>
        <w:t>var</w:t>
      </w:r>
      <w:proofErr w:type="spellEnd"/>
      <w:r w:rsidRPr="00565D81">
        <w:rPr>
          <w:rFonts w:ascii="Times New Roman" w:hAnsi="Times New Roman" w:cs="Arial"/>
          <w:iCs/>
          <w:lang w:val="de-DE"/>
        </w:rPr>
        <w:t xml:space="preserve"> </w:t>
      </w:r>
      <w:proofErr w:type="spellStart"/>
      <w:r w:rsidR="00565D81">
        <w:rPr>
          <w:rFonts w:ascii="Times New Roman" w:hAnsi="Times New Roman" w:cs="Arial"/>
          <w:iCs/>
          <w:lang w:val="de-DE"/>
        </w:rPr>
        <w:t>secināt</w:t>
      </w:r>
      <w:proofErr w:type="spellEnd"/>
      <w:r w:rsidR="00565D81">
        <w:rPr>
          <w:rFonts w:ascii="Times New Roman" w:hAnsi="Times New Roman" w:cs="Arial"/>
          <w:iCs/>
          <w:lang w:val="de-DE"/>
        </w:rPr>
        <w:t xml:space="preserve">, </w:t>
      </w:r>
      <w:proofErr w:type="spellStart"/>
      <w:r w:rsidR="00565D81">
        <w:rPr>
          <w:rFonts w:ascii="Times New Roman" w:hAnsi="Times New Roman" w:cs="Arial"/>
          <w:iCs/>
          <w:lang w:val="de-DE"/>
        </w:rPr>
        <w:t>kādi</w:t>
      </w:r>
      <w:proofErr w:type="spellEnd"/>
      <w:r w:rsidR="00565D81">
        <w:rPr>
          <w:rFonts w:ascii="Times New Roman" w:hAnsi="Times New Roman" w:cs="Arial"/>
          <w:iCs/>
          <w:lang w:val="de-DE"/>
        </w:rPr>
        <w:t xml:space="preserve"> </w:t>
      </w:r>
      <w:proofErr w:type="spellStart"/>
      <w:r w:rsidR="00565D81">
        <w:rPr>
          <w:rFonts w:ascii="Times New Roman" w:hAnsi="Times New Roman" w:cs="Arial"/>
          <w:iCs/>
          <w:lang w:val="de-DE"/>
        </w:rPr>
        <w:t>dokumentu</w:t>
      </w:r>
      <w:proofErr w:type="spellEnd"/>
      <w:r w:rsidR="00565D81">
        <w:rPr>
          <w:rFonts w:ascii="Times New Roman" w:hAnsi="Times New Roman" w:cs="Arial"/>
          <w:iCs/>
          <w:lang w:val="de-DE"/>
        </w:rPr>
        <w:t xml:space="preserve"> </w:t>
      </w:r>
      <w:proofErr w:type="spellStart"/>
      <w:r w:rsidR="00565D81">
        <w:rPr>
          <w:rFonts w:ascii="Times New Roman" w:hAnsi="Times New Roman" w:cs="Arial"/>
          <w:iCs/>
          <w:lang w:val="de-DE"/>
        </w:rPr>
        <w:t>veidi</w:t>
      </w:r>
      <w:proofErr w:type="spellEnd"/>
      <w:r w:rsidR="00565D81">
        <w:rPr>
          <w:rFonts w:ascii="Times New Roman" w:hAnsi="Times New Roman" w:cs="Arial"/>
          <w:iCs/>
          <w:lang w:val="de-DE"/>
        </w:rPr>
        <w:t xml:space="preserve"> </w:t>
      </w:r>
      <w:proofErr w:type="spellStart"/>
      <w:r w:rsidR="00565D81">
        <w:rPr>
          <w:rFonts w:ascii="Times New Roman" w:hAnsi="Times New Roman" w:cs="Arial"/>
          <w:iCs/>
          <w:lang w:val="de-DE"/>
        </w:rPr>
        <w:t>Notariāta</w:t>
      </w:r>
      <w:proofErr w:type="spellEnd"/>
      <w:r w:rsidR="00565D81">
        <w:rPr>
          <w:rFonts w:ascii="Times New Roman" w:hAnsi="Times New Roman" w:cs="Arial"/>
          <w:iCs/>
          <w:lang w:val="de-DE"/>
        </w:rPr>
        <w:t xml:space="preserve"> </w:t>
      </w:r>
      <w:proofErr w:type="spellStart"/>
      <w:r w:rsidR="00565D81">
        <w:rPr>
          <w:rFonts w:ascii="Times New Roman" w:hAnsi="Times New Roman" w:cs="Arial"/>
          <w:iCs/>
          <w:lang w:val="de-DE"/>
        </w:rPr>
        <w:t>likumā</w:t>
      </w:r>
      <w:proofErr w:type="spellEnd"/>
      <w:r w:rsidRPr="00565D81">
        <w:rPr>
          <w:rFonts w:ascii="Times New Roman" w:hAnsi="Times New Roman" w:cs="Arial"/>
          <w:iCs/>
          <w:lang w:val="de-DE"/>
        </w:rPr>
        <w:t xml:space="preserve"> </w:t>
      </w:r>
      <w:proofErr w:type="spellStart"/>
      <w:r w:rsidRPr="00565D81">
        <w:rPr>
          <w:rFonts w:ascii="Times New Roman" w:hAnsi="Times New Roman" w:cs="Arial"/>
          <w:iCs/>
          <w:lang w:val="de-DE"/>
        </w:rPr>
        <w:t>var</w:t>
      </w:r>
      <w:proofErr w:type="spellEnd"/>
      <w:r>
        <w:rPr>
          <w:rFonts w:ascii="Times New Roman" w:hAnsi="Times New Roman" w:cs="Arial"/>
          <w:iCs/>
          <w:color w:val="008000"/>
          <w:lang w:val="de-DE"/>
        </w:rPr>
        <w:t xml:space="preserve"> </w:t>
      </w:r>
      <w:proofErr w:type="spellStart"/>
      <w:r w:rsidRPr="00565D81">
        <w:rPr>
          <w:rFonts w:ascii="Times New Roman" w:hAnsi="Times New Roman" w:cs="Arial"/>
          <w:iCs/>
          <w:lang w:val="de-DE"/>
        </w:rPr>
        <w:t>tikt</w:t>
      </w:r>
      <w:proofErr w:type="spellEnd"/>
      <w:r w:rsidRPr="00565D81">
        <w:rPr>
          <w:rFonts w:ascii="Times New Roman" w:hAnsi="Times New Roman" w:cs="Arial"/>
          <w:iCs/>
          <w:lang w:val="de-DE"/>
        </w:rPr>
        <w:t xml:space="preserve"> </w:t>
      </w:r>
      <w:proofErr w:type="spellStart"/>
      <w:r w:rsidRPr="00565D81">
        <w:rPr>
          <w:rFonts w:ascii="Times New Roman" w:hAnsi="Times New Roman" w:cs="Arial"/>
          <w:iCs/>
          <w:lang w:val="de-DE"/>
        </w:rPr>
        <w:t>uzskatīti</w:t>
      </w:r>
      <w:proofErr w:type="spellEnd"/>
      <w:r w:rsidRPr="00565D81">
        <w:rPr>
          <w:rFonts w:ascii="Times New Roman" w:hAnsi="Times New Roman" w:cs="Arial"/>
          <w:iCs/>
          <w:lang w:val="de-DE"/>
        </w:rPr>
        <w:t xml:space="preserve"> par „</w:t>
      </w:r>
      <w:proofErr w:type="spellStart"/>
      <w:r w:rsidRPr="00565D81">
        <w:rPr>
          <w:rFonts w:ascii="Times New Roman" w:hAnsi="Times New Roman" w:cs="Arial"/>
          <w:iCs/>
          <w:lang w:val="de-DE"/>
        </w:rPr>
        <w:t>publiskiem</w:t>
      </w:r>
      <w:proofErr w:type="spellEnd"/>
      <w:r w:rsidRPr="00565D81">
        <w:rPr>
          <w:rFonts w:ascii="Times New Roman" w:hAnsi="Times New Roman" w:cs="Arial"/>
          <w:iCs/>
          <w:lang w:val="de-DE"/>
        </w:rPr>
        <w:t xml:space="preserve"> </w:t>
      </w:r>
      <w:proofErr w:type="spellStart"/>
      <w:r w:rsidRPr="00565D81">
        <w:rPr>
          <w:rFonts w:ascii="Times New Roman" w:hAnsi="Times New Roman" w:cs="Arial"/>
          <w:iCs/>
          <w:lang w:val="de-DE"/>
        </w:rPr>
        <w:t>dokumentiem</w:t>
      </w:r>
      <w:proofErr w:type="spellEnd"/>
      <w:r w:rsidRPr="00565D81">
        <w:rPr>
          <w:rFonts w:ascii="Times New Roman" w:hAnsi="Times New Roman" w:cs="Arial"/>
          <w:iCs/>
          <w:lang w:val="de-DE"/>
        </w:rPr>
        <w:t xml:space="preserve">“ </w:t>
      </w:r>
      <w:proofErr w:type="spellStart"/>
      <w:r w:rsidRPr="00565D81">
        <w:rPr>
          <w:rFonts w:ascii="Times New Roman" w:hAnsi="Times New Roman" w:cs="Arial"/>
          <w:iCs/>
          <w:lang w:val="de-DE"/>
        </w:rPr>
        <w:t>un</w:t>
      </w:r>
      <w:proofErr w:type="spellEnd"/>
      <w:r w:rsidRPr="00565D81">
        <w:rPr>
          <w:rFonts w:ascii="Times New Roman" w:hAnsi="Times New Roman" w:cs="Arial"/>
          <w:iCs/>
          <w:lang w:val="de-DE"/>
        </w:rPr>
        <w:t xml:space="preserve"> </w:t>
      </w:r>
      <w:proofErr w:type="spellStart"/>
      <w:r w:rsidRPr="00565D81">
        <w:rPr>
          <w:rFonts w:ascii="Times New Roman" w:hAnsi="Times New Roman" w:cs="Arial"/>
          <w:iCs/>
          <w:lang w:val="de-DE"/>
        </w:rPr>
        <w:t>kādi</w:t>
      </w:r>
      <w:proofErr w:type="spellEnd"/>
      <w:r w:rsidRPr="00565D81">
        <w:rPr>
          <w:rFonts w:ascii="Times New Roman" w:hAnsi="Times New Roman" w:cs="Arial"/>
          <w:iCs/>
          <w:lang w:val="de-DE"/>
        </w:rPr>
        <w:t xml:space="preserve"> – par „</w:t>
      </w:r>
      <w:proofErr w:type="spellStart"/>
      <w:r w:rsidRPr="00565D81">
        <w:rPr>
          <w:rFonts w:ascii="Times New Roman" w:hAnsi="Times New Roman" w:cs="Arial"/>
          <w:iCs/>
          <w:lang w:val="de-DE"/>
        </w:rPr>
        <w:t>privātiem</w:t>
      </w:r>
      <w:proofErr w:type="spellEnd"/>
      <w:r w:rsidRPr="00565D81">
        <w:rPr>
          <w:rFonts w:ascii="Times New Roman" w:hAnsi="Times New Roman" w:cs="Arial"/>
          <w:iCs/>
          <w:lang w:val="de-DE"/>
        </w:rPr>
        <w:t xml:space="preserve"> </w:t>
      </w:r>
      <w:proofErr w:type="spellStart"/>
      <w:r w:rsidRPr="00565D81">
        <w:rPr>
          <w:rFonts w:ascii="Times New Roman" w:hAnsi="Times New Roman" w:cs="Arial"/>
          <w:iCs/>
          <w:lang w:val="de-DE"/>
        </w:rPr>
        <w:t>dokumentiem</w:t>
      </w:r>
      <w:proofErr w:type="spellEnd"/>
      <w:r w:rsidRPr="00565D81">
        <w:rPr>
          <w:rFonts w:ascii="Times New Roman" w:hAnsi="Times New Roman" w:cs="Arial"/>
          <w:iCs/>
          <w:lang w:val="de-DE"/>
        </w:rPr>
        <w:t>“.</w:t>
      </w:r>
    </w:p>
    <w:p w14:paraId="728A230F" w14:textId="11C0C028" w:rsidR="00114953" w:rsidRPr="00565D81" w:rsidRDefault="00565D81" w:rsidP="00114953">
      <w:pPr>
        <w:widowControl w:val="0"/>
        <w:autoSpaceDE w:val="0"/>
        <w:autoSpaceDN w:val="0"/>
        <w:adjustRightInd w:val="0"/>
        <w:ind w:firstLine="708"/>
        <w:jc w:val="both"/>
        <w:rPr>
          <w:rFonts w:ascii="Times New Roman" w:hAnsi="Times New Roman" w:cs="Arial"/>
          <w:iCs/>
          <w:lang w:val="de-DE"/>
        </w:rPr>
      </w:pPr>
      <w:proofErr w:type="spellStart"/>
      <w:r>
        <w:rPr>
          <w:rFonts w:ascii="Times New Roman" w:hAnsi="Times New Roman" w:cs="Arial"/>
          <w:iCs/>
          <w:lang w:val="de-DE"/>
        </w:rPr>
        <w:t>Saskaņā</w:t>
      </w:r>
      <w:proofErr w:type="spellEnd"/>
      <w:r>
        <w:rPr>
          <w:rFonts w:ascii="Times New Roman" w:hAnsi="Times New Roman" w:cs="Arial"/>
          <w:iCs/>
          <w:lang w:val="de-DE"/>
        </w:rPr>
        <w:t xml:space="preserve"> </w:t>
      </w:r>
      <w:proofErr w:type="spellStart"/>
      <w:r>
        <w:rPr>
          <w:rFonts w:ascii="Times New Roman" w:hAnsi="Times New Roman" w:cs="Arial"/>
          <w:iCs/>
          <w:lang w:val="de-DE"/>
        </w:rPr>
        <w:t>ar</w:t>
      </w:r>
      <w:proofErr w:type="spellEnd"/>
      <w:r>
        <w:rPr>
          <w:rFonts w:ascii="Times New Roman" w:hAnsi="Times New Roman" w:cs="Arial"/>
          <w:iCs/>
          <w:lang w:val="de-DE"/>
        </w:rPr>
        <w:t xml:space="preserve"> </w:t>
      </w:r>
      <w:proofErr w:type="spellStart"/>
      <w:r>
        <w:rPr>
          <w:rFonts w:ascii="Times New Roman" w:hAnsi="Times New Roman" w:cs="Arial"/>
          <w:iCs/>
          <w:lang w:val="de-DE"/>
        </w:rPr>
        <w:t>Notariāta</w:t>
      </w:r>
      <w:proofErr w:type="spellEnd"/>
      <w:r>
        <w:rPr>
          <w:rFonts w:ascii="Times New Roman" w:hAnsi="Times New Roman" w:cs="Arial"/>
          <w:iCs/>
          <w:lang w:val="de-DE"/>
        </w:rPr>
        <w:t xml:space="preserve"> </w:t>
      </w:r>
      <w:proofErr w:type="spellStart"/>
      <w:r>
        <w:rPr>
          <w:rFonts w:ascii="Times New Roman" w:hAnsi="Times New Roman" w:cs="Arial"/>
          <w:iCs/>
          <w:lang w:val="de-DE"/>
        </w:rPr>
        <w:t>likuma</w:t>
      </w:r>
      <w:proofErr w:type="spellEnd"/>
      <w:r w:rsidR="00114953" w:rsidRPr="00565D81">
        <w:rPr>
          <w:rFonts w:ascii="Times New Roman" w:hAnsi="Times New Roman" w:cs="Arial"/>
          <w:iCs/>
          <w:lang w:val="de-DE"/>
        </w:rPr>
        <w:t xml:space="preserve"> 81.pantu „</w:t>
      </w:r>
      <w:proofErr w:type="spellStart"/>
      <w:r w:rsidR="00114953" w:rsidRPr="00565D81">
        <w:rPr>
          <w:rFonts w:ascii="Times New Roman" w:hAnsi="Times New Roman" w:cs="Arial"/>
          <w:b/>
          <w:iCs/>
          <w:lang w:val="de-DE"/>
        </w:rPr>
        <w:t>publiski</w:t>
      </w:r>
      <w:proofErr w:type="spellEnd"/>
      <w:r w:rsidR="00114953" w:rsidRPr="00565D81">
        <w:rPr>
          <w:rFonts w:ascii="Times New Roman" w:hAnsi="Times New Roman" w:cs="Arial"/>
          <w:b/>
          <w:iCs/>
          <w:lang w:val="de-DE"/>
        </w:rPr>
        <w:t xml:space="preserve"> </w:t>
      </w:r>
      <w:proofErr w:type="spellStart"/>
      <w:r w:rsidR="00114953" w:rsidRPr="00565D81">
        <w:rPr>
          <w:rFonts w:ascii="Times New Roman" w:hAnsi="Times New Roman" w:cs="Arial"/>
          <w:b/>
          <w:iCs/>
          <w:lang w:val="de-DE"/>
        </w:rPr>
        <w:t>dokumenti</w:t>
      </w:r>
      <w:proofErr w:type="spellEnd"/>
      <w:r>
        <w:rPr>
          <w:rFonts w:ascii="Times New Roman" w:hAnsi="Times New Roman" w:cs="Arial"/>
          <w:iCs/>
          <w:lang w:val="de-DE"/>
        </w:rPr>
        <w:t xml:space="preserve">“ </w:t>
      </w:r>
      <w:proofErr w:type="spellStart"/>
      <w:r>
        <w:rPr>
          <w:rFonts w:ascii="Times New Roman" w:hAnsi="Times New Roman" w:cs="Arial"/>
          <w:iCs/>
          <w:lang w:val="de-DE"/>
        </w:rPr>
        <w:t>tā</w:t>
      </w:r>
      <w:proofErr w:type="spellEnd"/>
      <w:r w:rsidR="00114953" w:rsidRPr="00565D81">
        <w:rPr>
          <w:rFonts w:ascii="Times New Roman" w:hAnsi="Times New Roman" w:cs="Arial"/>
          <w:iCs/>
          <w:lang w:val="de-DE"/>
        </w:rPr>
        <w:t xml:space="preserve"> </w:t>
      </w:r>
      <w:proofErr w:type="spellStart"/>
      <w:r w:rsidR="00114953" w:rsidRPr="00565D81">
        <w:rPr>
          <w:rFonts w:ascii="Times New Roman" w:hAnsi="Times New Roman" w:cs="Arial"/>
          <w:iCs/>
          <w:lang w:val="de-DE"/>
        </w:rPr>
        <w:t>izpratnē</w:t>
      </w:r>
      <w:proofErr w:type="spellEnd"/>
      <w:r w:rsidR="00114953" w:rsidRPr="00565D81">
        <w:rPr>
          <w:rFonts w:ascii="Times New Roman" w:hAnsi="Times New Roman" w:cs="Arial"/>
          <w:iCs/>
          <w:lang w:val="de-DE"/>
        </w:rPr>
        <w:t xml:space="preserve"> </w:t>
      </w:r>
      <w:proofErr w:type="spellStart"/>
      <w:r w:rsidR="00114953" w:rsidRPr="00565D81">
        <w:rPr>
          <w:rFonts w:ascii="Times New Roman" w:hAnsi="Times New Roman" w:cs="Arial"/>
          <w:iCs/>
          <w:lang w:val="de-DE"/>
        </w:rPr>
        <w:t>ir</w:t>
      </w:r>
      <w:proofErr w:type="spellEnd"/>
      <w:r w:rsidR="00114953" w:rsidRPr="00565D81">
        <w:rPr>
          <w:rFonts w:ascii="Times New Roman" w:hAnsi="Times New Roman" w:cs="Arial"/>
          <w:iCs/>
          <w:lang w:val="de-DE"/>
        </w:rPr>
        <w:t xml:space="preserve">: </w:t>
      </w:r>
    </w:p>
    <w:p w14:paraId="386FE69E" w14:textId="77777777" w:rsidR="00114953" w:rsidRPr="00565D81" w:rsidRDefault="00114953" w:rsidP="00114953">
      <w:pPr>
        <w:widowControl w:val="0"/>
        <w:autoSpaceDE w:val="0"/>
        <w:autoSpaceDN w:val="0"/>
        <w:adjustRightInd w:val="0"/>
        <w:jc w:val="both"/>
        <w:rPr>
          <w:rFonts w:ascii="Times New Roman" w:hAnsi="Times New Roman" w:cs="Arial"/>
          <w:iCs/>
          <w:lang w:val="de-DE"/>
        </w:rPr>
      </w:pPr>
      <w:r w:rsidRPr="00565D81">
        <w:rPr>
          <w:rFonts w:ascii="Times New Roman" w:hAnsi="Times New Roman" w:cs="Arial"/>
          <w:iCs/>
          <w:lang w:val="de-DE"/>
        </w:rPr>
        <w:lastRenderedPageBreak/>
        <w:t xml:space="preserve">a) </w:t>
      </w:r>
      <w:proofErr w:type="spellStart"/>
      <w:r w:rsidRPr="00565D81">
        <w:rPr>
          <w:rFonts w:ascii="Times New Roman" w:hAnsi="Times New Roman" w:cs="Arial"/>
          <w:i/>
          <w:iCs/>
          <w:lang w:val="de-DE"/>
        </w:rPr>
        <w:t>notariālie</w:t>
      </w:r>
      <w:proofErr w:type="spellEnd"/>
      <w:r w:rsidRPr="00565D81">
        <w:rPr>
          <w:rFonts w:ascii="Times New Roman" w:hAnsi="Times New Roman" w:cs="Arial"/>
          <w:i/>
          <w:iCs/>
          <w:lang w:val="de-DE"/>
        </w:rPr>
        <w:t xml:space="preserve"> </w:t>
      </w:r>
      <w:proofErr w:type="spellStart"/>
      <w:r w:rsidRPr="00565D81">
        <w:rPr>
          <w:rFonts w:ascii="Times New Roman" w:hAnsi="Times New Roman" w:cs="Arial"/>
          <w:i/>
          <w:iCs/>
          <w:lang w:val="de-DE"/>
        </w:rPr>
        <w:t>akti</w:t>
      </w:r>
      <w:proofErr w:type="spellEnd"/>
      <w:r w:rsidRPr="00565D81">
        <w:rPr>
          <w:rFonts w:ascii="Times New Roman" w:hAnsi="Times New Roman" w:cs="Arial"/>
          <w:iCs/>
          <w:lang w:val="de-DE"/>
        </w:rPr>
        <w:t xml:space="preserve"> (82.p.);</w:t>
      </w:r>
    </w:p>
    <w:p w14:paraId="37EF1217" w14:textId="1BA27988" w:rsidR="00114953" w:rsidRPr="00565D81" w:rsidRDefault="00114953" w:rsidP="00114953">
      <w:pPr>
        <w:widowControl w:val="0"/>
        <w:autoSpaceDE w:val="0"/>
        <w:autoSpaceDN w:val="0"/>
        <w:adjustRightInd w:val="0"/>
        <w:jc w:val="both"/>
        <w:rPr>
          <w:rFonts w:ascii="Times New Roman" w:hAnsi="Times New Roman" w:cs="Arial"/>
          <w:iCs/>
          <w:lang w:val="de-DE"/>
        </w:rPr>
      </w:pPr>
      <w:r w:rsidRPr="00565D81">
        <w:rPr>
          <w:rFonts w:ascii="Times New Roman" w:hAnsi="Times New Roman" w:cs="Arial"/>
          <w:iCs/>
          <w:lang w:val="de-DE"/>
        </w:rPr>
        <w:t xml:space="preserve">b) </w:t>
      </w:r>
      <w:proofErr w:type="spellStart"/>
      <w:r w:rsidRPr="00565D81">
        <w:rPr>
          <w:rFonts w:ascii="Times New Roman" w:hAnsi="Times New Roman" w:cs="Arial"/>
          <w:i/>
          <w:iCs/>
          <w:lang w:val="de-DE"/>
        </w:rPr>
        <w:t>apliecinājumi</w:t>
      </w:r>
      <w:proofErr w:type="spellEnd"/>
      <w:r w:rsidRPr="00565D81">
        <w:rPr>
          <w:rFonts w:ascii="Times New Roman" w:hAnsi="Times New Roman" w:cs="Arial"/>
          <w:i/>
          <w:iCs/>
          <w:lang w:val="de-DE"/>
        </w:rPr>
        <w:t xml:space="preserve">, </w:t>
      </w:r>
      <w:proofErr w:type="spellStart"/>
      <w:r w:rsidRPr="00565D81">
        <w:rPr>
          <w:rFonts w:ascii="Times New Roman" w:hAnsi="Times New Roman" w:cs="Arial"/>
          <w:i/>
          <w:iCs/>
          <w:lang w:val="de-DE"/>
        </w:rPr>
        <w:t>kurus</w:t>
      </w:r>
      <w:proofErr w:type="spellEnd"/>
      <w:r w:rsidRPr="00565D81">
        <w:rPr>
          <w:rFonts w:ascii="Times New Roman" w:hAnsi="Times New Roman" w:cs="Arial"/>
          <w:i/>
          <w:iCs/>
          <w:lang w:val="de-DE"/>
        </w:rPr>
        <w:t xml:space="preserve"> </w:t>
      </w:r>
      <w:proofErr w:type="spellStart"/>
      <w:r w:rsidRPr="00565D81">
        <w:rPr>
          <w:rFonts w:ascii="Times New Roman" w:hAnsi="Times New Roman" w:cs="Arial"/>
          <w:i/>
          <w:iCs/>
          <w:lang w:val="de-DE"/>
        </w:rPr>
        <w:t>taisa</w:t>
      </w:r>
      <w:proofErr w:type="spellEnd"/>
      <w:r w:rsidRPr="00565D81">
        <w:rPr>
          <w:rFonts w:ascii="Times New Roman" w:hAnsi="Times New Roman" w:cs="Arial"/>
          <w:i/>
          <w:iCs/>
          <w:lang w:val="de-DE"/>
        </w:rPr>
        <w:t xml:space="preserve"> </w:t>
      </w:r>
      <w:proofErr w:type="spellStart"/>
      <w:r w:rsidRPr="00565D81">
        <w:rPr>
          <w:rFonts w:ascii="Times New Roman" w:hAnsi="Times New Roman" w:cs="Arial"/>
          <w:i/>
          <w:iCs/>
          <w:lang w:val="de-DE"/>
        </w:rPr>
        <w:t>zvērināts</w:t>
      </w:r>
      <w:proofErr w:type="spellEnd"/>
      <w:r w:rsidRPr="00565D81">
        <w:rPr>
          <w:rFonts w:ascii="Times New Roman" w:hAnsi="Times New Roman" w:cs="Arial"/>
          <w:i/>
          <w:iCs/>
          <w:lang w:val="de-DE"/>
        </w:rPr>
        <w:t xml:space="preserve"> </w:t>
      </w:r>
      <w:proofErr w:type="spellStart"/>
      <w:r w:rsidRPr="00565D81">
        <w:rPr>
          <w:rFonts w:ascii="Times New Roman" w:hAnsi="Times New Roman" w:cs="Arial"/>
          <w:i/>
          <w:iCs/>
          <w:lang w:val="de-DE"/>
        </w:rPr>
        <w:t>notārs</w:t>
      </w:r>
      <w:proofErr w:type="spellEnd"/>
      <w:r w:rsidRPr="00565D81">
        <w:rPr>
          <w:rFonts w:ascii="Times New Roman" w:hAnsi="Times New Roman" w:cs="Arial"/>
          <w:iCs/>
          <w:lang w:val="de-DE"/>
        </w:rPr>
        <w:t xml:space="preserve"> (108.p.), </w:t>
      </w:r>
      <w:proofErr w:type="spellStart"/>
      <w:r w:rsidRPr="00565D81">
        <w:rPr>
          <w:rFonts w:ascii="Times New Roman" w:hAnsi="Times New Roman" w:cs="Arial"/>
          <w:iCs/>
          <w:u w:val="single"/>
          <w:lang w:val="de-DE"/>
        </w:rPr>
        <w:t>izņemot</w:t>
      </w:r>
      <w:proofErr w:type="spellEnd"/>
      <w:r w:rsidR="00565D81" w:rsidRPr="00565D81">
        <w:rPr>
          <w:rFonts w:ascii="Times New Roman" w:hAnsi="Times New Roman" w:cs="Arial"/>
          <w:iCs/>
          <w:lang w:val="de-DE"/>
        </w:rPr>
        <w:t xml:space="preserve"> </w:t>
      </w:r>
      <w:proofErr w:type="spellStart"/>
      <w:r w:rsidR="00565D81" w:rsidRPr="00565D81">
        <w:rPr>
          <w:rFonts w:ascii="Times New Roman" w:hAnsi="Times New Roman" w:cs="Arial"/>
          <w:iCs/>
          <w:lang w:val="de-DE"/>
        </w:rPr>
        <w:t>Notariāta</w:t>
      </w:r>
      <w:proofErr w:type="spellEnd"/>
      <w:r w:rsidR="00565D81" w:rsidRPr="00565D81">
        <w:rPr>
          <w:rFonts w:ascii="Times New Roman" w:hAnsi="Times New Roman" w:cs="Arial"/>
          <w:iCs/>
          <w:lang w:val="de-DE"/>
        </w:rPr>
        <w:t xml:space="preserve"> </w:t>
      </w:r>
      <w:proofErr w:type="spellStart"/>
      <w:r w:rsidR="00565D81" w:rsidRPr="00565D81">
        <w:rPr>
          <w:rFonts w:ascii="Times New Roman" w:hAnsi="Times New Roman" w:cs="Arial"/>
          <w:iCs/>
          <w:lang w:val="de-DE"/>
        </w:rPr>
        <w:t>likuma</w:t>
      </w:r>
      <w:proofErr w:type="spellEnd"/>
      <w:r w:rsidRPr="00565D81">
        <w:rPr>
          <w:rFonts w:ascii="Times New Roman" w:hAnsi="Times New Roman" w:cs="Arial"/>
          <w:iCs/>
          <w:lang w:val="de-DE"/>
        </w:rPr>
        <w:t xml:space="preserve"> 116.pantā </w:t>
      </w:r>
      <w:proofErr w:type="spellStart"/>
      <w:r w:rsidRPr="00565D81">
        <w:rPr>
          <w:rFonts w:ascii="Times New Roman" w:hAnsi="Times New Roman" w:cs="Arial"/>
          <w:iCs/>
          <w:lang w:val="de-DE"/>
        </w:rPr>
        <w:t>minētos</w:t>
      </w:r>
      <w:proofErr w:type="spellEnd"/>
      <w:r w:rsidRPr="00565D81">
        <w:rPr>
          <w:rFonts w:ascii="Times New Roman" w:hAnsi="Times New Roman" w:cs="Arial"/>
          <w:iCs/>
          <w:lang w:val="de-DE"/>
        </w:rPr>
        <w:t xml:space="preserve"> </w:t>
      </w:r>
      <w:proofErr w:type="spellStart"/>
      <w:r w:rsidRPr="00565D81">
        <w:rPr>
          <w:rFonts w:ascii="Times New Roman" w:hAnsi="Times New Roman" w:cs="Arial"/>
          <w:iCs/>
          <w:lang w:val="de-DE"/>
        </w:rPr>
        <w:t>dokumentus</w:t>
      </w:r>
      <w:proofErr w:type="spellEnd"/>
      <w:r w:rsidRPr="00565D81">
        <w:rPr>
          <w:rFonts w:ascii="Times New Roman" w:hAnsi="Times New Roman" w:cs="Arial"/>
          <w:iCs/>
          <w:lang w:val="de-DE"/>
        </w:rPr>
        <w:t>.</w:t>
      </w:r>
    </w:p>
    <w:p w14:paraId="6995DC43" w14:textId="77777777" w:rsidR="00114953" w:rsidRPr="00565D81" w:rsidRDefault="00114953" w:rsidP="00114953">
      <w:pPr>
        <w:widowControl w:val="0"/>
        <w:autoSpaceDE w:val="0"/>
        <w:autoSpaceDN w:val="0"/>
        <w:adjustRightInd w:val="0"/>
        <w:jc w:val="both"/>
        <w:rPr>
          <w:rFonts w:ascii="Times New Roman" w:hAnsi="Times New Roman" w:cs="Arial"/>
          <w:iCs/>
          <w:lang w:val="de-DE"/>
        </w:rPr>
      </w:pPr>
    </w:p>
    <w:p w14:paraId="352FE35D" w14:textId="110909E7" w:rsidR="00114953" w:rsidRPr="00565D81" w:rsidRDefault="00114953" w:rsidP="00114953">
      <w:pPr>
        <w:widowControl w:val="0"/>
        <w:autoSpaceDE w:val="0"/>
        <w:autoSpaceDN w:val="0"/>
        <w:adjustRightInd w:val="0"/>
        <w:jc w:val="both"/>
        <w:rPr>
          <w:rFonts w:ascii="Times New Roman" w:hAnsi="Times New Roman" w:cs="Arial"/>
          <w:iCs/>
          <w:lang w:val="de-DE"/>
        </w:rPr>
      </w:pPr>
      <w:proofErr w:type="spellStart"/>
      <w:r w:rsidRPr="00565D81">
        <w:rPr>
          <w:rFonts w:ascii="Times New Roman" w:hAnsi="Times New Roman" w:cs="Arial"/>
          <w:iCs/>
          <w:lang w:val="de-DE"/>
        </w:rPr>
        <w:t>Saskaņā</w:t>
      </w:r>
      <w:proofErr w:type="spellEnd"/>
      <w:r w:rsidRPr="00565D81">
        <w:rPr>
          <w:rFonts w:ascii="Times New Roman" w:hAnsi="Times New Roman" w:cs="Arial"/>
          <w:iCs/>
          <w:lang w:val="de-DE"/>
        </w:rPr>
        <w:t xml:space="preserve"> </w:t>
      </w:r>
      <w:proofErr w:type="spellStart"/>
      <w:r w:rsidRPr="00565D81">
        <w:rPr>
          <w:rFonts w:ascii="Times New Roman" w:hAnsi="Times New Roman" w:cs="Arial"/>
          <w:iCs/>
          <w:lang w:val="de-DE"/>
        </w:rPr>
        <w:t>ar</w:t>
      </w:r>
      <w:proofErr w:type="spellEnd"/>
      <w:r w:rsidRPr="00565D81">
        <w:rPr>
          <w:rFonts w:ascii="Times New Roman" w:hAnsi="Times New Roman" w:cs="Arial"/>
          <w:iCs/>
          <w:lang w:val="de-DE"/>
        </w:rPr>
        <w:t xml:space="preserve"> </w:t>
      </w:r>
      <w:proofErr w:type="spellStart"/>
      <w:r w:rsidR="00565D81" w:rsidRPr="00565D81">
        <w:rPr>
          <w:rFonts w:ascii="Times New Roman" w:hAnsi="Times New Roman" w:cs="Arial"/>
          <w:iCs/>
          <w:lang w:val="de-DE"/>
        </w:rPr>
        <w:t>Notariāta</w:t>
      </w:r>
      <w:proofErr w:type="spellEnd"/>
      <w:r w:rsidR="00565D81" w:rsidRPr="00565D81">
        <w:rPr>
          <w:rFonts w:ascii="Times New Roman" w:hAnsi="Times New Roman" w:cs="Arial"/>
          <w:iCs/>
          <w:lang w:val="de-DE"/>
        </w:rPr>
        <w:t xml:space="preserve"> </w:t>
      </w:r>
      <w:proofErr w:type="spellStart"/>
      <w:r w:rsidR="00565D81" w:rsidRPr="00565D81">
        <w:rPr>
          <w:rFonts w:ascii="Times New Roman" w:hAnsi="Times New Roman" w:cs="Arial"/>
          <w:iCs/>
          <w:lang w:val="de-DE"/>
        </w:rPr>
        <w:t>likuma</w:t>
      </w:r>
      <w:proofErr w:type="spellEnd"/>
      <w:r w:rsidRPr="00565D81">
        <w:rPr>
          <w:rFonts w:ascii="Times New Roman" w:hAnsi="Times New Roman" w:cs="Arial"/>
          <w:iCs/>
          <w:lang w:val="de-DE"/>
        </w:rPr>
        <w:t xml:space="preserve"> 116.panta </w:t>
      </w:r>
      <w:proofErr w:type="spellStart"/>
      <w:r w:rsidRPr="00565D81">
        <w:rPr>
          <w:rFonts w:ascii="Times New Roman" w:hAnsi="Times New Roman" w:cs="Arial"/>
          <w:iCs/>
          <w:lang w:val="de-DE"/>
        </w:rPr>
        <w:t>pirmo</w:t>
      </w:r>
      <w:proofErr w:type="spellEnd"/>
      <w:r w:rsidRPr="00565D81">
        <w:rPr>
          <w:rFonts w:ascii="Times New Roman" w:hAnsi="Times New Roman" w:cs="Arial"/>
          <w:iCs/>
          <w:lang w:val="de-DE"/>
        </w:rPr>
        <w:t xml:space="preserve"> </w:t>
      </w:r>
      <w:proofErr w:type="spellStart"/>
      <w:r w:rsidRPr="00565D81">
        <w:rPr>
          <w:rFonts w:ascii="Times New Roman" w:hAnsi="Times New Roman" w:cs="Arial"/>
          <w:iCs/>
          <w:lang w:val="de-DE"/>
        </w:rPr>
        <w:t>daļu</w:t>
      </w:r>
      <w:proofErr w:type="spellEnd"/>
      <w:r w:rsidRPr="00565D81">
        <w:rPr>
          <w:rFonts w:ascii="Times New Roman" w:hAnsi="Times New Roman" w:cs="Arial"/>
          <w:iCs/>
          <w:lang w:val="de-DE"/>
        </w:rPr>
        <w:t xml:space="preserve"> „</w:t>
      </w:r>
      <w:proofErr w:type="spellStart"/>
      <w:r w:rsidRPr="00565D81">
        <w:rPr>
          <w:rFonts w:ascii="Times New Roman" w:hAnsi="Times New Roman" w:cs="Arial"/>
          <w:b/>
          <w:iCs/>
          <w:lang w:val="de-DE"/>
        </w:rPr>
        <w:t>privāti</w:t>
      </w:r>
      <w:proofErr w:type="spellEnd"/>
      <w:r w:rsidRPr="00565D81">
        <w:rPr>
          <w:rFonts w:ascii="Times New Roman" w:hAnsi="Times New Roman" w:cs="Arial"/>
          <w:b/>
          <w:iCs/>
          <w:lang w:val="de-DE"/>
        </w:rPr>
        <w:t xml:space="preserve"> </w:t>
      </w:r>
      <w:proofErr w:type="spellStart"/>
      <w:r w:rsidRPr="00565D81">
        <w:rPr>
          <w:rFonts w:ascii="Times New Roman" w:hAnsi="Times New Roman" w:cs="Arial"/>
          <w:b/>
          <w:iCs/>
          <w:lang w:val="de-DE"/>
        </w:rPr>
        <w:t>dokumenti</w:t>
      </w:r>
      <w:proofErr w:type="spellEnd"/>
      <w:r w:rsidRPr="00565D81">
        <w:rPr>
          <w:rFonts w:ascii="Times New Roman" w:hAnsi="Times New Roman" w:cs="Arial"/>
          <w:iCs/>
          <w:lang w:val="de-DE"/>
        </w:rPr>
        <w:t xml:space="preserve">“ </w:t>
      </w:r>
      <w:proofErr w:type="spellStart"/>
      <w:r w:rsidRPr="00565D81">
        <w:rPr>
          <w:rFonts w:ascii="Times New Roman" w:hAnsi="Times New Roman" w:cs="Arial"/>
          <w:iCs/>
          <w:lang w:val="de-DE"/>
        </w:rPr>
        <w:t>ir</w:t>
      </w:r>
      <w:proofErr w:type="spellEnd"/>
      <w:r w:rsidRPr="00565D81">
        <w:rPr>
          <w:rFonts w:ascii="Times New Roman" w:hAnsi="Times New Roman" w:cs="Arial"/>
          <w:iCs/>
          <w:lang w:val="de-DE"/>
        </w:rPr>
        <w:t>:</w:t>
      </w:r>
    </w:p>
    <w:p w14:paraId="09322547" w14:textId="77777777" w:rsidR="00114953" w:rsidRPr="00565D81" w:rsidRDefault="00114953" w:rsidP="00114953">
      <w:pPr>
        <w:widowControl w:val="0"/>
        <w:autoSpaceDE w:val="0"/>
        <w:autoSpaceDN w:val="0"/>
        <w:adjustRightInd w:val="0"/>
        <w:jc w:val="both"/>
        <w:rPr>
          <w:rFonts w:ascii="Times New Roman" w:hAnsi="Times New Roman" w:cs="Arial"/>
          <w:b/>
          <w:bCs/>
          <w:iCs/>
          <w:lang w:val="de-DE"/>
        </w:rPr>
      </w:pPr>
      <w:r w:rsidRPr="00565D81">
        <w:rPr>
          <w:rFonts w:ascii="Times New Roman" w:hAnsi="Times New Roman" w:cs="Arial"/>
          <w:iCs/>
          <w:lang w:val="de-DE"/>
        </w:rPr>
        <w:t xml:space="preserve">a) </w:t>
      </w:r>
      <w:proofErr w:type="spellStart"/>
      <w:r w:rsidRPr="00565D81">
        <w:rPr>
          <w:rFonts w:ascii="Times New Roman" w:hAnsi="Times New Roman" w:cs="Arial"/>
          <w:iCs/>
          <w:lang w:val="de-DE"/>
        </w:rPr>
        <w:t>dokumenti</w:t>
      </w:r>
      <w:proofErr w:type="spellEnd"/>
      <w:r w:rsidRPr="00565D81">
        <w:rPr>
          <w:rFonts w:ascii="Times New Roman" w:hAnsi="Times New Roman" w:cs="Arial"/>
          <w:iCs/>
          <w:lang w:val="de-DE"/>
        </w:rPr>
        <w:t xml:space="preserve">, </w:t>
      </w:r>
      <w:proofErr w:type="spellStart"/>
      <w:r w:rsidRPr="00565D81">
        <w:rPr>
          <w:rFonts w:ascii="Times New Roman" w:hAnsi="Times New Roman" w:cs="Arial"/>
          <w:iCs/>
          <w:lang w:val="de-DE"/>
        </w:rPr>
        <w:t>uz</w:t>
      </w:r>
      <w:proofErr w:type="spellEnd"/>
      <w:r w:rsidRPr="00565D81">
        <w:rPr>
          <w:rFonts w:ascii="Times New Roman" w:hAnsi="Times New Roman" w:cs="Arial"/>
          <w:iCs/>
          <w:lang w:val="de-DE"/>
        </w:rPr>
        <w:t xml:space="preserve"> </w:t>
      </w:r>
      <w:proofErr w:type="spellStart"/>
      <w:r w:rsidRPr="00565D81">
        <w:rPr>
          <w:rFonts w:ascii="Times New Roman" w:hAnsi="Times New Roman" w:cs="Arial"/>
          <w:iCs/>
          <w:lang w:val="de-DE"/>
        </w:rPr>
        <w:t>kuriem</w:t>
      </w:r>
      <w:proofErr w:type="spellEnd"/>
      <w:r w:rsidRPr="00565D81">
        <w:rPr>
          <w:rFonts w:ascii="Times New Roman" w:hAnsi="Times New Roman" w:cs="Arial"/>
          <w:iCs/>
          <w:lang w:val="de-DE"/>
        </w:rPr>
        <w:t xml:space="preserve"> </w:t>
      </w:r>
      <w:proofErr w:type="spellStart"/>
      <w:r w:rsidRPr="00565D81">
        <w:rPr>
          <w:rFonts w:ascii="Times New Roman" w:hAnsi="Times New Roman" w:cs="Arial"/>
          <w:iCs/>
          <w:lang w:val="de-DE"/>
        </w:rPr>
        <w:t>notārs</w:t>
      </w:r>
      <w:proofErr w:type="spellEnd"/>
      <w:r w:rsidRPr="00565D81">
        <w:rPr>
          <w:rFonts w:ascii="Times New Roman" w:hAnsi="Times New Roman" w:cs="Arial"/>
          <w:iCs/>
          <w:lang w:val="de-DE"/>
        </w:rPr>
        <w:t xml:space="preserve"> </w:t>
      </w:r>
      <w:proofErr w:type="spellStart"/>
      <w:r w:rsidRPr="00565D81">
        <w:rPr>
          <w:rFonts w:ascii="Times New Roman" w:hAnsi="Times New Roman" w:cs="Arial"/>
          <w:iCs/>
          <w:lang w:val="de-DE"/>
        </w:rPr>
        <w:t>apliecinājis</w:t>
      </w:r>
      <w:proofErr w:type="spellEnd"/>
      <w:r w:rsidRPr="00565D81">
        <w:rPr>
          <w:rFonts w:ascii="Times New Roman" w:hAnsi="Times New Roman" w:cs="Arial"/>
          <w:iCs/>
          <w:lang w:val="de-DE"/>
        </w:rPr>
        <w:t xml:space="preserve"> </w:t>
      </w:r>
      <w:proofErr w:type="spellStart"/>
      <w:r w:rsidRPr="00565D81">
        <w:rPr>
          <w:rFonts w:ascii="Times New Roman" w:hAnsi="Times New Roman" w:cs="Arial"/>
          <w:iCs/>
          <w:lang w:val="de-DE"/>
        </w:rPr>
        <w:t>tikai</w:t>
      </w:r>
      <w:proofErr w:type="spellEnd"/>
      <w:r w:rsidRPr="00565D81">
        <w:rPr>
          <w:rFonts w:ascii="Times New Roman" w:hAnsi="Times New Roman" w:cs="Arial"/>
          <w:iCs/>
          <w:lang w:val="de-DE"/>
        </w:rPr>
        <w:t xml:space="preserve"> </w:t>
      </w:r>
      <w:proofErr w:type="spellStart"/>
      <w:r w:rsidRPr="00565D81">
        <w:rPr>
          <w:rFonts w:ascii="Times New Roman" w:hAnsi="Times New Roman" w:cs="Arial"/>
          <w:iCs/>
          <w:lang w:val="de-DE"/>
        </w:rPr>
        <w:t>paraksta</w:t>
      </w:r>
      <w:proofErr w:type="spellEnd"/>
      <w:r w:rsidRPr="00565D81">
        <w:rPr>
          <w:rFonts w:ascii="Times New Roman" w:hAnsi="Times New Roman" w:cs="Arial"/>
          <w:iCs/>
          <w:lang w:val="de-DE"/>
        </w:rPr>
        <w:t xml:space="preserve"> </w:t>
      </w:r>
      <w:proofErr w:type="spellStart"/>
      <w:r w:rsidRPr="00565D81">
        <w:rPr>
          <w:rFonts w:ascii="Times New Roman" w:hAnsi="Times New Roman" w:cs="Arial"/>
          <w:iCs/>
          <w:lang w:val="de-DE"/>
        </w:rPr>
        <w:t>īstumu</w:t>
      </w:r>
      <w:proofErr w:type="spellEnd"/>
      <w:r w:rsidRPr="00565D81">
        <w:rPr>
          <w:rFonts w:ascii="Times New Roman" w:hAnsi="Times New Roman" w:cs="Arial"/>
          <w:iCs/>
          <w:lang w:val="de-DE"/>
        </w:rPr>
        <w:t>.</w:t>
      </w:r>
    </w:p>
    <w:p w14:paraId="63CCDB00" w14:textId="77777777" w:rsidR="00114953" w:rsidRPr="00565D81" w:rsidRDefault="00114953" w:rsidP="00114953">
      <w:pPr>
        <w:widowControl w:val="0"/>
        <w:autoSpaceDE w:val="0"/>
        <w:autoSpaceDN w:val="0"/>
        <w:adjustRightInd w:val="0"/>
        <w:jc w:val="both"/>
        <w:rPr>
          <w:rFonts w:ascii="Times New Roman" w:hAnsi="Times New Roman" w:cs="Arial"/>
          <w:i/>
          <w:iCs/>
          <w:lang w:val="de-DE"/>
        </w:rPr>
      </w:pPr>
    </w:p>
    <w:p w14:paraId="44FA7068" w14:textId="77777777" w:rsidR="00114953" w:rsidRPr="0052741B" w:rsidRDefault="00114953" w:rsidP="00114953">
      <w:pPr>
        <w:ind w:firstLine="708"/>
        <w:jc w:val="both"/>
        <w:rPr>
          <w:rFonts w:ascii="Times New Roman" w:hAnsi="Times New Roman" w:cs="Arial"/>
          <w:color w:val="008000"/>
          <w:lang w:val="de-DE"/>
        </w:rPr>
      </w:pPr>
    </w:p>
    <w:p w14:paraId="56B724B7" w14:textId="77777777" w:rsidR="00114953" w:rsidRDefault="00114953" w:rsidP="00114953">
      <w:pPr>
        <w:jc w:val="both"/>
        <w:rPr>
          <w:rFonts w:ascii="Times New Roman" w:hAnsi="Times New Roman" w:cs="Arial"/>
          <w:b/>
          <w:color w:val="008000"/>
          <w:lang w:val="de-DE"/>
        </w:rPr>
      </w:pPr>
    </w:p>
    <w:p w14:paraId="4B085FA4" w14:textId="77777777" w:rsidR="00114953" w:rsidRPr="00565D81" w:rsidRDefault="00114953" w:rsidP="00114953">
      <w:pPr>
        <w:jc w:val="both"/>
        <w:rPr>
          <w:rFonts w:ascii="Times New Roman" w:hAnsi="Times New Roman" w:cs="Arial"/>
          <w:b/>
          <w:lang w:val="de-DE"/>
        </w:rPr>
      </w:pPr>
      <w:r w:rsidRPr="00565D81">
        <w:rPr>
          <w:rFonts w:ascii="Times New Roman" w:hAnsi="Times New Roman" w:cs="Arial"/>
          <w:b/>
          <w:lang w:val="de-DE"/>
        </w:rPr>
        <w:t xml:space="preserve">1961. </w:t>
      </w:r>
      <w:proofErr w:type="spellStart"/>
      <w:r w:rsidRPr="00565D81">
        <w:rPr>
          <w:rFonts w:ascii="Times New Roman" w:hAnsi="Times New Roman" w:cs="Arial"/>
          <w:b/>
          <w:lang w:val="de-DE"/>
        </w:rPr>
        <w:t>gada</w:t>
      </w:r>
      <w:proofErr w:type="spellEnd"/>
      <w:r w:rsidRPr="00565D81">
        <w:rPr>
          <w:rFonts w:ascii="Times New Roman" w:hAnsi="Times New Roman" w:cs="Arial"/>
          <w:b/>
          <w:lang w:val="de-DE"/>
        </w:rPr>
        <w:t xml:space="preserve"> 5. </w:t>
      </w:r>
      <w:proofErr w:type="spellStart"/>
      <w:r w:rsidRPr="00565D81">
        <w:rPr>
          <w:rFonts w:ascii="Times New Roman" w:hAnsi="Times New Roman" w:cs="Arial"/>
          <w:b/>
          <w:lang w:val="de-DE"/>
        </w:rPr>
        <w:t>oktobra</w:t>
      </w:r>
      <w:proofErr w:type="spellEnd"/>
      <w:r w:rsidRPr="00565D81">
        <w:rPr>
          <w:rFonts w:ascii="Times New Roman" w:hAnsi="Times New Roman" w:cs="Arial"/>
          <w:b/>
          <w:lang w:val="de-DE"/>
        </w:rPr>
        <w:t xml:space="preserve"> </w:t>
      </w:r>
      <w:proofErr w:type="spellStart"/>
      <w:r w:rsidRPr="00565D81">
        <w:rPr>
          <w:rFonts w:ascii="Times New Roman" w:hAnsi="Times New Roman" w:cs="Arial"/>
          <w:b/>
          <w:lang w:val="de-DE"/>
        </w:rPr>
        <w:t>Hāgas</w:t>
      </w:r>
      <w:proofErr w:type="spellEnd"/>
      <w:r w:rsidRPr="00565D81">
        <w:rPr>
          <w:rFonts w:ascii="Times New Roman" w:hAnsi="Times New Roman" w:cs="Arial"/>
          <w:b/>
          <w:lang w:val="de-DE"/>
        </w:rPr>
        <w:t xml:space="preserve"> </w:t>
      </w:r>
      <w:proofErr w:type="spellStart"/>
      <w:r w:rsidRPr="00565D81">
        <w:rPr>
          <w:rFonts w:ascii="Times New Roman" w:hAnsi="Times New Roman" w:cs="Arial"/>
          <w:b/>
          <w:lang w:val="de-DE"/>
        </w:rPr>
        <w:t>konvencija</w:t>
      </w:r>
      <w:proofErr w:type="spellEnd"/>
      <w:r w:rsidRPr="00565D81">
        <w:rPr>
          <w:rFonts w:ascii="Times New Roman" w:hAnsi="Times New Roman" w:cs="Arial"/>
          <w:b/>
          <w:lang w:val="de-DE"/>
        </w:rPr>
        <w:t xml:space="preserve"> </w:t>
      </w:r>
      <w:r w:rsidRPr="000C7C76">
        <w:rPr>
          <w:rFonts w:asciiTheme="majorBidi" w:hAnsiTheme="majorBidi" w:cstheme="majorBidi"/>
          <w:b/>
          <w:bCs/>
          <w:i/>
          <w:lang w:val="de-DE"/>
        </w:rPr>
        <w:t xml:space="preserve">par </w:t>
      </w:r>
      <w:proofErr w:type="spellStart"/>
      <w:r w:rsidRPr="000C7C76">
        <w:rPr>
          <w:rFonts w:asciiTheme="majorBidi" w:hAnsiTheme="majorBidi" w:cstheme="majorBidi"/>
          <w:b/>
          <w:bCs/>
          <w:i/>
          <w:lang w:val="de-DE"/>
        </w:rPr>
        <w:t>ārvalstu</w:t>
      </w:r>
      <w:proofErr w:type="spellEnd"/>
      <w:r w:rsidRPr="000C7C76">
        <w:rPr>
          <w:rFonts w:asciiTheme="majorBidi" w:hAnsiTheme="majorBidi" w:cstheme="majorBidi"/>
          <w:b/>
          <w:bCs/>
          <w:i/>
          <w:lang w:val="de-DE"/>
        </w:rPr>
        <w:t xml:space="preserve"> </w:t>
      </w:r>
      <w:proofErr w:type="spellStart"/>
      <w:r w:rsidRPr="000C7C76">
        <w:rPr>
          <w:rFonts w:asciiTheme="majorBidi" w:hAnsiTheme="majorBidi" w:cstheme="majorBidi"/>
          <w:b/>
          <w:bCs/>
          <w:i/>
          <w:lang w:val="de-DE"/>
        </w:rPr>
        <w:t>publisko</w:t>
      </w:r>
      <w:proofErr w:type="spellEnd"/>
      <w:r w:rsidRPr="000C7C76">
        <w:rPr>
          <w:rFonts w:asciiTheme="majorBidi" w:hAnsiTheme="majorBidi" w:cstheme="majorBidi"/>
          <w:b/>
          <w:bCs/>
          <w:i/>
          <w:lang w:val="de-DE"/>
        </w:rPr>
        <w:t xml:space="preserve"> </w:t>
      </w:r>
      <w:proofErr w:type="spellStart"/>
      <w:r w:rsidRPr="000C7C76">
        <w:rPr>
          <w:rFonts w:asciiTheme="majorBidi" w:hAnsiTheme="majorBidi" w:cstheme="majorBidi"/>
          <w:b/>
          <w:bCs/>
          <w:i/>
          <w:lang w:val="de-DE"/>
        </w:rPr>
        <w:t>dokumentu</w:t>
      </w:r>
      <w:proofErr w:type="spellEnd"/>
      <w:r w:rsidRPr="000C7C76">
        <w:rPr>
          <w:rFonts w:asciiTheme="majorBidi" w:hAnsiTheme="majorBidi" w:cstheme="majorBidi"/>
          <w:b/>
          <w:bCs/>
          <w:i/>
          <w:lang w:val="de-DE"/>
        </w:rPr>
        <w:t xml:space="preserve"> </w:t>
      </w:r>
      <w:proofErr w:type="spellStart"/>
      <w:r w:rsidRPr="000C7C76">
        <w:rPr>
          <w:rFonts w:asciiTheme="majorBidi" w:hAnsiTheme="majorBidi" w:cstheme="majorBidi"/>
          <w:b/>
          <w:bCs/>
          <w:i/>
          <w:lang w:val="de-DE"/>
        </w:rPr>
        <w:t>legalizācijas</w:t>
      </w:r>
      <w:proofErr w:type="spellEnd"/>
      <w:r w:rsidRPr="000C7C76">
        <w:rPr>
          <w:rFonts w:asciiTheme="majorBidi" w:hAnsiTheme="majorBidi" w:cstheme="majorBidi"/>
          <w:b/>
          <w:bCs/>
          <w:i/>
          <w:lang w:val="de-DE"/>
        </w:rPr>
        <w:t xml:space="preserve"> </w:t>
      </w:r>
      <w:proofErr w:type="spellStart"/>
      <w:r w:rsidRPr="000C7C76">
        <w:rPr>
          <w:rFonts w:asciiTheme="majorBidi" w:hAnsiTheme="majorBidi" w:cstheme="majorBidi"/>
          <w:b/>
          <w:bCs/>
          <w:i/>
          <w:lang w:val="de-DE"/>
        </w:rPr>
        <w:t>prasības</w:t>
      </w:r>
      <w:proofErr w:type="spellEnd"/>
      <w:r w:rsidRPr="000C7C76">
        <w:rPr>
          <w:rFonts w:asciiTheme="majorBidi" w:hAnsiTheme="majorBidi" w:cstheme="majorBidi"/>
          <w:b/>
          <w:bCs/>
          <w:i/>
          <w:lang w:val="de-DE"/>
        </w:rPr>
        <w:t xml:space="preserve"> </w:t>
      </w:r>
      <w:proofErr w:type="spellStart"/>
      <w:r w:rsidRPr="000C7C76">
        <w:rPr>
          <w:rFonts w:asciiTheme="majorBidi" w:hAnsiTheme="majorBidi" w:cstheme="majorBidi"/>
          <w:b/>
          <w:bCs/>
          <w:i/>
          <w:lang w:val="de-DE"/>
        </w:rPr>
        <w:t>atcelšanu</w:t>
      </w:r>
      <w:proofErr w:type="spellEnd"/>
      <w:r w:rsidRPr="000C7C76">
        <w:rPr>
          <w:rFonts w:asciiTheme="majorBidi" w:hAnsiTheme="majorBidi" w:cstheme="majorBidi"/>
          <w:b/>
          <w:bCs/>
          <w:lang w:val="de-DE"/>
        </w:rPr>
        <w:t>:</w:t>
      </w:r>
    </w:p>
    <w:p w14:paraId="1B49E448" w14:textId="77777777" w:rsidR="00114953" w:rsidRPr="00565D81" w:rsidRDefault="00114953" w:rsidP="00114953">
      <w:pPr>
        <w:ind w:firstLine="708"/>
        <w:jc w:val="both"/>
        <w:rPr>
          <w:rFonts w:ascii="Times New Roman" w:hAnsi="Times New Roman" w:cs="Arial"/>
          <w:lang w:val="de-DE"/>
        </w:rPr>
      </w:pPr>
    </w:p>
    <w:p w14:paraId="7CC75F7E" w14:textId="77777777" w:rsidR="00114953" w:rsidRPr="00565D81" w:rsidRDefault="00114953" w:rsidP="00114953">
      <w:pPr>
        <w:ind w:firstLine="708"/>
        <w:jc w:val="both"/>
        <w:rPr>
          <w:rFonts w:ascii="Times New Roman" w:hAnsi="Times New Roman" w:cs="Arial"/>
          <w:lang w:val="de-DE"/>
        </w:rPr>
      </w:pPr>
    </w:p>
    <w:p w14:paraId="62351760" w14:textId="376ECCCC" w:rsidR="00114953" w:rsidRPr="00CD4311" w:rsidRDefault="00114953" w:rsidP="00CD4311">
      <w:pPr>
        <w:ind w:firstLine="708"/>
        <w:jc w:val="both"/>
        <w:rPr>
          <w:rFonts w:ascii="Times New Roman" w:hAnsi="Times New Roman" w:cs="Arial"/>
          <w:lang w:val="de-DE"/>
        </w:rPr>
      </w:pPr>
      <w:proofErr w:type="spellStart"/>
      <w:r w:rsidRPr="00565D81">
        <w:rPr>
          <w:rFonts w:ascii="Times New Roman" w:hAnsi="Times New Roman" w:cs="Times New Roman"/>
          <w:lang w:val="de-DE"/>
        </w:rPr>
        <w:t>Tālāk</w:t>
      </w:r>
      <w:proofErr w:type="spellEnd"/>
      <w:r w:rsidRPr="00565D81">
        <w:rPr>
          <w:rFonts w:ascii="Times New Roman" w:hAnsi="Times New Roman" w:cs="Times New Roman"/>
          <w:lang w:val="de-DE"/>
        </w:rPr>
        <w:t xml:space="preserve"> </w:t>
      </w:r>
      <w:proofErr w:type="spellStart"/>
      <w:r w:rsidRPr="00565D81">
        <w:rPr>
          <w:rFonts w:ascii="Times New Roman" w:hAnsi="Times New Roman" w:cs="Times New Roman"/>
          <w:lang w:val="de-DE"/>
        </w:rPr>
        <w:t>ir</w:t>
      </w:r>
      <w:proofErr w:type="spellEnd"/>
      <w:r w:rsidRPr="00565D81">
        <w:rPr>
          <w:rFonts w:ascii="Times New Roman" w:hAnsi="Times New Roman" w:cs="Times New Roman"/>
          <w:lang w:val="de-DE"/>
        </w:rPr>
        <w:t xml:space="preserve"> </w:t>
      </w:r>
      <w:proofErr w:type="spellStart"/>
      <w:r w:rsidRPr="00565D81">
        <w:rPr>
          <w:rFonts w:ascii="Times New Roman" w:hAnsi="Times New Roman" w:cs="Times New Roman"/>
          <w:lang w:val="de-DE"/>
        </w:rPr>
        <w:t>jāaplūko</w:t>
      </w:r>
      <w:proofErr w:type="spellEnd"/>
      <w:r w:rsidRPr="00565D81">
        <w:rPr>
          <w:rFonts w:ascii="Times New Roman" w:hAnsi="Times New Roman" w:cs="Times New Roman"/>
          <w:lang w:val="de-DE"/>
        </w:rPr>
        <w:t xml:space="preserve"> </w:t>
      </w:r>
      <w:proofErr w:type="spellStart"/>
      <w:r w:rsidRPr="00565D81">
        <w:rPr>
          <w:rFonts w:ascii="Times New Roman" w:hAnsi="Times New Roman" w:cs="Arial"/>
          <w:lang w:val="de-DE"/>
        </w:rPr>
        <w:t>Hāgas</w:t>
      </w:r>
      <w:proofErr w:type="spellEnd"/>
      <w:r w:rsidRPr="00565D81">
        <w:rPr>
          <w:rFonts w:ascii="Times New Roman" w:hAnsi="Times New Roman" w:cs="Arial"/>
          <w:lang w:val="de-DE"/>
        </w:rPr>
        <w:t xml:space="preserve"> </w:t>
      </w:r>
      <w:proofErr w:type="spellStart"/>
      <w:r w:rsidRPr="00565D81">
        <w:rPr>
          <w:rFonts w:ascii="Times New Roman" w:hAnsi="Times New Roman" w:cs="Arial"/>
          <w:lang w:val="de-DE"/>
        </w:rPr>
        <w:t>Dokumentu</w:t>
      </w:r>
      <w:proofErr w:type="spellEnd"/>
      <w:r w:rsidRPr="00565D81">
        <w:rPr>
          <w:rFonts w:ascii="Times New Roman" w:hAnsi="Times New Roman" w:cs="Arial"/>
          <w:lang w:val="de-DE"/>
        </w:rPr>
        <w:t xml:space="preserve"> </w:t>
      </w:r>
      <w:proofErr w:type="spellStart"/>
      <w:r w:rsidRPr="00565D81">
        <w:rPr>
          <w:rFonts w:ascii="Times New Roman" w:hAnsi="Times New Roman" w:cs="Arial"/>
          <w:lang w:val="de-DE"/>
        </w:rPr>
        <w:t>legalalizācijas</w:t>
      </w:r>
      <w:proofErr w:type="spellEnd"/>
      <w:r w:rsidRPr="00565D81">
        <w:rPr>
          <w:rFonts w:ascii="Times New Roman" w:hAnsi="Times New Roman" w:cs="Arial"/>
          <w:lang w:val="de-DE"/>
        </w:rPr>
        <w:t xml:space="preserve"> </w:t>
      </w:r>
      <w:proofErr w:type="spellStart"/>
      <w:r w:rsidRPr="00565D81">
        <w:rPr>
          <w:rFonts w:ascii="Times New Roman" w:hAnsi="Times New Roman" w:cs="Arial"/>
          <w:lang w:val="de-DE"/>
        </w:rPr>
        <w:t>atcelšanas</w:t>
      </w:r>
      <w:proofErr w:type="spellEnd"/>
      <w:r w:rsidRPr="00565D81">
        <w:rPr>
          <w:rFonts w:ascii="Times New Roman" w:hAnsi="Times New Roman" w:cs="Arial"/>
          <w:lang w:val="de-DE"/>
        </w:rPr>
        <w:t xml:space="preserve"> </w:t>
      </w:r>
      <w:proofErr w:type="spellStart"/>
      <w:r w:rsidRPr="00565D81">
        <w:rPr>
          <w:rFonts w:ascii="Times New Roman" w:hAnsi="Times New Roman" w:cs="Arial"/>
          <w:lang w:val="de-DE"/>
        </w:rPr>
        <w:t>konvencijas</w:t>
      </w:r>
      <w:proofErr w:type="spellEnd"/>
      <w:r w:rsidRPr="00565D81">
        <w:rPr>
          <w:rFonts w:ascii="Times New Roman" w:hAnsi="Times New Roman" w:cs="Arial"/>
          <w:lang w:val="de-DE"/>
        </w:rPr>
        <w:t xml:space="preserve"> </w:t>
      </w:r>
      <w:proofErr w:type="spellStart"/>
      <w:r w:rsidRPr="00565D81">
        <w:rPr>
          <w:rFonts w:ascii="Times New Roman" w:hAnsi="Times New Roman" w:cs="Arial"/>
          <w:lang w:val="de-DE"/>
        </w:rPr>
        <w:t>normas</w:t>
      </w:r>
      <w:proofErr w:type="spellEnd"/>
      <w:r w:rsidRPr="00565D81">
        <w:rPr>
          <w:rFonts w:ascii="Times New Roman" w:hAnsi="Times New Roman" w:cs="Arial"/>
          <w:lang w:val="de-DE"/>
        </w:rPr>
        <w:t xml:space="preserve"> </w:t>
      </w:r>
      <w:proofErr w:type="spellStart"/>
      <w:r w:rsidRPr="00565D81">
        <w:rPr>
          <w:rFonts w:ascii="Times New Roman" w:hAnsi="Times New Roman" w:cs="Arial"/>
          <w:lang w:val="de-DE"/>
        </w:rPr>
        <w:t>jēdziena</w:t>
      </w:r>
      <w:proofErr w:type="spellEnd"/>
      <w:r w:rsidRPr="00565D81">
        <w:rPr>
          <w:rFonts w:ascii="Times New Roman" w:hAnsi="Times New Roman" w:cs="Arial"/>
          <w:lang w:val="de-DE"/>
        </w:rPr>
        <w:t xml:space="preserve"> „</w:t>
      </w:r>
      <w:proofErr w:type="spellStart"/>
      <w:r w:rsidRPr="00565D81">
        <w:rPr>
          <w:rFonts w:ascii="Times New Roman" w:hAnsi="Times New Roman" w:cs="Arial"/>
          <w:lang w:val="de-DE"/>
        </w:rPr>
        <w:t>publisks</w:t>
      </w:r>
      <w:proofErr w:type="spellEnd"/>
      <w:r w:rsidRPr="00565D81">
        <w:rPr>
          <w:rFonts w:ascii="Times New Roman" w:hAnsi="Times New Roman" w:cs="Arial"/>
          <w:lang w:val="de-DE"/>
        </w:rPr>
        <w:t xml:space="preserve"> </w:t>
      </w:r>
      <w:proofErr w:type="spellStart"/>
      <w:r w:rsidRPr="00565D81">
        <w:rPr>
          <w:rFonts w:ascii="Times New Roman" w:hAnsi="Times New Roman" w:cs="Arial"/>
          <w:lang w:val="de-DE"/>
        </w:rPr>
        <w:t>dokuments</w:t>
      </w:r>
      <w:proofErr w:type="spellEnd"/>
      <w:r w:rsidRPr="00565D81">
        <w:rPr>
          <w:rFonts w:ascii="Times New Roman" w:hAnsi="Times New Roman" w:cs="Arial"/>
          <w:lang w:val="de-DE"/>
        </w:rPr>
        <w:t xml:space="preserve">“ </w:t>
      </w:r>
      <w:proofErr w:type="spellStart"/>
      <w:r w:rsidRPr="00565D81">
        <w:rPr>
          <w:rFonts w:ascii="Times New Roman" w:hAnsi="Times New Roman" w:cs="Arial"/>
          <w:lang w:val="de-DE"/>
        </w:rPr>
        <w:t>kontekstā</w:t>
      </w:r>
      <w:proofErr w:type="spellEnd"/>
      <w:r w:rsidRPr="00565D81">
        <w:rPr>
          <w:rFonts w:ascii="Times New Roman" w:hAnsi="Times New Roman" w:cs="Arial"/>
          <w:lang w:val="de-DE"/>
        </w:rPr>
        <w:t xml:space="preserve">. </w:t>
      </w:r>
      <w:proofErr w:type="spellStart"/>
      <w:r w:rsidRPr="000C7C76">
        <w:rPr>
          <w:rFonts w:asciiTheme="majorBidi" w:hAnsiTheme="majorBidi" w:cstheme="majorBidi"/>
          <w:bCs/>
          <w:lang w:val="de-DE"/>
        </w:rPr>
        <w:t>Saskaņā</w:t>
      </w:r>
      <w:proofErr w:type="spellEnd"/>
      <w:r w:rsidRPr="000C7C76">
        <w:rPr>
          <w:rFonts w:asciiTheme="majorBidi" w:hAnsiTheme="majorBidi" w:cstheme="majorBidi"/>
          <w:bCs/>
          <w:lang w:val="de-DE"/>
        </w:rPr>
        <w:t xml:space="preserve"> </w:t>
      </w:r>
      <w:proofErr w:type="spellStart"/>
      <w:r w:rsidRPr="000C7C76">
        <w:rPr>
          <w:rFonts w:asciiTheme="majorBidi" w:hAnsiTheme="majorBidi" w:cstheme="majorBidi"/>
          <w:bCs/>
          <w:lang w:val="de-DE"/>
        </w:rPr>
        <w:t>ar</w:t>
      </w:r>
      <w:proofErr w:type="spellEnd"/>
      <w:r w:rsidRPr="000C7C76">
        <w:rPr>
          <w:rFonts w:asciiTheme="majorBidi" w:hAnsiTheme="majorBidi" w:cstheme="majorBidi"/>
          <w:bCs/>
          <w:lang w:val="de-DE"/>
        </w:rPr>
        <w:t xml:space="preserve"> </w:t>
      </w:r>
      <w:proofErr w:type="spellStart"/>
      <w:r w:rsidRPr="000C7C76">
        <w:rPr>
          <w:rFonts w:asciiTheme="majorBidi" w:hAnsiTheme="majorBidi" w:cstheme="majorBidi"/>
          <w:bCs/>
          <w:lang w:val="de-DE"/>
        </w:rPr>
        <w:t>Konvencijas</w:t>
      </w:r>
      <w:proofErr w:type="spellEnd"/>
      <w:r w:rsidRPr="000C7C76">
        <w:rPr>
          <w:rFonts w:asciiTheme="majorBidi" w:hAnsiTheme="majorBidi" w:cstheme="majorBidi"/>
          <w:bCs/>
          <w:lang w:val="de-DE"/>
        </w:rPr>
        <w:t xml:space="preserve"> 1.pantu </w:t>
      </w:r>
      <w:r w:rsidRPr="000C7C76">
        <w:rPr>
          <w:rFonts w:asciiTheme="majorBidi" w:hAnsiTheme="majorBidi" w:cstheme="majorBidi"/>
          <w:lang w:val="de-DE"/>
        </w:rPr>
        <w:t xml:space="preserve">par </w:t>
      </w:r>
      <w:proofErr w:type="spellStart"/>
      <w:r w:rsidRPr="000C7C76">
        <w:rPr>
          <w:rFonts w:asciiTheme="majorBidi" w:hAnsiTheme="majorBidi" w:cstheme="majorBidi"/>
          <w:b/>
          <w:bCs/>
          <w:lang w:val="de-DE"/>
        </w:rPr>
        <w:t>publiskiem</w:t>
      </w:r>
      <w:proofErr w:type="spellEnd"/>
      <w:r w:rsidRPr="000C7C76">
        <w:rPr>
          <w:rFonts w:asciiTheme="majorBidi" w:hAnsiTheme="majorBidi" w:cstheme="majorBidi"/>
          <w:b/>
          <w:bCs/>
          <w:lang w:val="de-DE"/>
        </w:rPr>
        <w:t xml:space="preserve"> </w:t>
      </w:r>
      <w:proofErr w:type="spellStart"/>
      <w:r w:rsidRPr="000C7C76">
        <w:rPr>
          <w:rFonts w:asciiTheme="majorBidi" w:hAnsiTheme="majorBidi" w:cstheme="majorBidi"/>
          <w:b/>
          <w:bCs/>
          <w:lang w:val="de-DE"/>
        </w:rPr>
        <w:t>dokumentiem</w:t>
      </w:r>
      <w:proofErr w:type="spellEnd"/>
      <w:r w:rsidRPr="000C7C76">
        <w:rPr>
          <w:rFonts w:asciiTheme="majorBidi" w:hAnsiTheme="majorBidi" w:cstheme="majorBidi"/>
          <w:b/>
          <w:bCs/>
          <w:lang w:val="de-DE"/>
        </w:rPr>
        <w:t xml:space="preserve"> </w:t>
      </w:r>
      <w:proofErr w:type="spellStart"/>
      <w:r w:rsidRPr="000C7C76">
        <w:rPr>
          <w:rFonts w:asciiTheme="majorBidi" w:hAnsiTheme="majorBidi" w:cstheme="majorBidi"/>
          <w:bCs/>
          <w:u w:val="single"/>
          <w:lang w:val="de-DE"/>
        </w:rPr>
        <w:t>šīs</w:t>
      </w:r>
      <w:proofErr w:type="spellEnd"/>
      <w:r w:rsidRPr="000C7C76">
        <w:rPr>
          <w:rFonts w:asciiTheme="majorBidi" w:hAnsiTheme="majorBidi" w:cstheme="majorBidi"/>
          <w:bCs/>
          <w:u w:val="single"/>
          <w:lang w:val="de-DE"/>
        </w:rPr>
        <w:t xml:space="preserve"> </w:t>
      </w:r>
      <w:proofErr w:type="spellStart"/>
      <w:r w:rsidRPr="000C7C76">
        <w:rPr>
          <w:rFonts w:asciiTheme="majorBidi" w:hAnsiTheme="majorBidi" w:cstheme="majorBidi"/>
          <w:bCs/>
          <w:u w:val="single"/>
          <w:lang w:val="de-DE"/>
        </w:rPr>
        <w:t>Konvencijas</w:t>
      </w:r>
      <w:proofErr w:type="spellEnd"/>
      <w:r w:rsidRPr="000C7C76">
        <w:rPr>
          <w:rFonts w:asciiTheme="majorBidi" w:hAnsiTheme="majorBidi" w:cstheme="majorBidi"/>
          <w:bCs/>
          <w:u w:val="single"/>
          <w:lang w:val="de-DE"/>
        </w:rPr>
        <w:t xml:space="preserve"> </w:t>
      </w:r>
      <w:proofErr w:type="spellStart"/>
      <w:r w:rsidRPr="000C7C76">
        <w:rPr>
          <w:rFonts w:asciiTheme="majorBidi" w:hAnsiTheme="majorBidi" w:cstheme="majorBidi"/>
          <w:bCs/>
          <w:u w:val="single"/>
          <w:lang w:val="de-DE"/>
        </w:rPr>
        <w:t>nolūkiem</w:t>
      </w:r>
      <w:proofErr w:type="spellEnd"/>
      <w:r w:rsidRPr="000C7C76">
        <w:rPr>
          <w:rFonts w:asciiTheme="majorBidi" w:hAnsiTheme="majorBidi" w:cstheme="majorBidi"/>
          <w:b/>
          <w:bCs/>
          <w:lang w:val="de-DE"/>
        </w:rPr>
        <w:t xml:space="preserve"> </w:t>
      </w:r>
      <w:proofErr w:type="spellStart"/>
      <w:r w:rsidRPr="000C7C76">
        <w:rPr>
          <w:rFonts w:asciiTheme="majorBidi" w:hAnsiTheme="majorBidi" w:cstheme="majorBidi"/>
          <w:lang w:val="de-DE"/>
        </w:rPr>
        <w:t>uzskata</w:t>
      </w:r>
      <w:proofErr w:type="spellEnd"/>
      <w:r w:rsidRPr="000C7C76">
        <w:rPr>
          <w:rFonts w:asciiTheme="majorBidi" w:hAnsiTheme="majorBidi" w:cstheme="majorBidi"/>
          <w:lang w:val="de-DE"/>
        </w:rPr>
        <w:t xml:space="preserve"> </w:t>
      </w:r>
      <w:proofErr w:type="spellStart"/>
      <w:r w:rsidRPr="000C7C76">
        <w:rPr>
          <w:rFonts w:asciiTheme="majorBidi" w:hAnsiTheme="majorBidi" w:cstheme="majorBidi"/>
          <w:lang w:val="de-DE"/>
        </w:rPr>
        <w:t>šādus</w:t>
      </w:r>
      <w:proofErr w:type="spellEnd"/>
      <w:r w:rsidRPr="000C7C76">
        <w:rPr>
          <w:rFonts w:asciiTheme="majorBidi" w:hAnsiTheme="majorBidi" w:cstheme="majorBidi"/>
          <w:lang w:val="de-DE"/>
        </w:rPr>
        <w:t xml:space="preserve"> </w:t>
      </w:r>
      <w:proofErr w:type="spellStart"/>
      <w:r w:rsidRPr="000C7C76">
        <w:rPr>
          <w:rFonts w:asciiTheme="majorBidi" w:hAnsiTheme="majorBidi" w:cstheme="majorBidi"/>
          <w:lang w:val="de-DE"/>
        </w:rPr>
        <w:t>dokumentus</w:t>
      </w:r>
      <w:proofErr w:type="spellEnd"/>
      <w:r w:rsidRPr="000C7C76">
        <w:rPr>
          <w:rFonts w:asciiTheme="majorBidi" w:hAnsiTheme="majorBidi" w:cstheme="majorBidi"/>
          <w:lang w:val="de-DE"/>
        </w:rPr>
        <w:t>:</w:t>
      </w:r>
    </w:p>
    <w:p w14:paraId="29CE9C10" w14:textId="77777777" w:rsidR="00114953" w:rsidRPr="000C7C76" w:rsidRDefault="00114953" w:rsidP="00114953">
      <w:pPr>
        <w:ind w:firstLine="708"/>
        <w:jc w:val="both"/>
        <w:rPr>
          <w:rFonts w:asciiTheme="majorBidi" w:hAnsiTheme="majorBidi" w:cstheme="majorBidi"/>
          <w:lang w:val="de-DE"/>
        </w:rPr>
      </w:pPr>
    </w:p>
    <w:p w14:paraId="7645D1A6" w14:textId="77777777" w:rsidR="00114953" w:rsidRPr="000C7C76" w:rsidRDefault="00114953" w:rsidP="00114953">
      <w:pPr>
        <w:jc w:val="both"/>
        <w:rPr>
          <w:rFonts w:asciiTheme="majorBidi" w:hAnsiTheme="majorBidi" w:cstheme="majorBidi"/>
          <w:lang w:val="de-DE"/>
        </w:rPr>
      </w:pPr>
      <w:r w:rsidRPr="000C7C76">
        <w:rPr>
          <w:rFonts w:asciiTheme="majorBidi" w:hAnsiTheme="majorBidi" w:cstheme="majorBidi"/>
          <w:lang w:val="de-DE"/>
        </w:rPr>
        <w:t xml:space="preserve">a) </w:t>
      </w:r>
      <w:proofErr w:type="spellStart"/>
      <w:r w:rsidRPr="000C7C76">
        <w:rPr>
          <w:rFonts w:asciiTheme="majorBidi" w:hAnsiTheme="majorBidi" w:cstheme="majorBidi"/>
          <w:lang w:val="de-DE"/>
        </w:rPr>
        <w:t>dokumentus</w:t>
      </w:r>
      <w:proofErr w:type="spellEnd"/>
      <w:r w:rsidRPr="000C7C76">
        <w:rPr>
          <w:rFonts w:asciiTheme="majorBidi" w:hAnsiTheme="majorBidi" w:cstheme="majorBidi"/>
          <w:lang w:val="de-DE"/>
        </w:rPr>
        <w:t xml:space="preserve">, </w:t>
      </w:r>
      <w:proofErr w:type="spellStart"/>
      <w:r w:rsidRPr="000C7C76">
        <w:rPr>
          <w:rFonts w:asciiTheme="majorBidi" w:hAnsiTheme="majorBidi" w:cstheme="majorBidi"/>
          <w:lang w:val="de-DE"/>
        </w:rPr>
        <w:t>kurus</w:t>
      </w:r>
      <w:proofErr w:type="spellEnd"/>
      <w:r w:rsidRPr="000C7C76">
        <w:rPr>
          <w:rFonts w:asciiTheme="majorBidi" w:hAnsiTheme="majorBidi" w:cstheme="majorBidi"/>
          <w:lang w:val="de-DE"/>
        </w:rPr>
        <w:t xml:space="preserve"> </w:t>
      </w:r>
      <w:proofErr w:type="spellStart"/>
      <w:r w:rsidRPr="000C7C76">
        <w:rPr>
          <w:rFonts w:asciiTheme="majorBidi" w:hAnsiTheme="majorBidi" w:cstheme="majorBidi"/>
          <w:lang w:val="de-DE"/>
        </w:rPr>
        <w:t>izdevis</w:t>
      </w:r>
      <w:proofErr w:type="spellEnd"/>
      <w:r w:rsidRPr="000C7C76">
        <w:rPr>
          <w:rFonts w:asciiTheme="majorBidi" w:hAnsiTheme="majorBidi" w:cstheme="majorBidi"/>
          <w:lang w:val="de-DE"/>
        </w:rPr>
        <w:t xml:space="preserve"> </w:t>
      </w:r>
      <w:proofErr w:type="spellStart"/>
      <w:r w:rsidRPr="000C7C76">
        <w:rPr>
          <w:rFonts w:asciiTheme="majorBidi" w:hAnsiTheme="majorBidi" w:cstheme="majorBidi"/>
          <w:lang w:val="de-DE"/>
        </w:rPr>
        <w:t>varas</w:t>
      </w:r>
      <w:proofErr w:type="spellEnd"/>
      <w:r w:rsidRPr="000C7C76">
        <w:rPr>
          <w:rFonts w:asciiTheme="majorBidi" w:hAnsiTheme="majorBidi" w:cstheme="majorBidi"/>
          <w:lang w:val="de-DE"/>
        </w:rPr>
        <w:t xml:space="preserve"> </w:t>
      </w:r>
      <w:proofErr w:type="spellStart"/>
      <w:r w:rsidRPr="000C7C76">
        <w:rPr>
          <w:rFonts w:asciiTheme="majorBidi" w:hAnsiTheme="majorBidi" w:cstheme="majorBidi"/>
          <w:lang w:val="de-DE"/>
        </w:rPr>
        <w:t>orgāns</w:t>
      </w:r>
      <w:proofErr w:type="spellEnd"/>
      <w:r w:rsidRPr="000C7C76">
        <w:rPr>
          <w:rFonts w:asciiTheme="majorBidi" w:hAnsiTheme="majorBidi" w:cstheme="majorBidi"/>
          <w:lang w:val="de-DE"/>
        </w:rPr>
        <w:t xml:space="preserve"> </w:t>
      </w:r>
      <w:proofErr w:type="spellStart"/>
      <w:r w:rsidRPr="000C7C76">
        <w:rPr>
          <w:rFonts w:asciiTheme="majorBidi" w:hAnsiTheme="majorBidi" w:cstheme="majorBidi"/>
          <w:lang w:val="de-DE"/>
        </w:rPr>
        <w:t>vai</w:t>
      </w:r>
      <w:proofErr w:type="spellEnd"/>
      <w:r w:rsidRPr="000C7C76">
        <w:rPr>
          <w:rFonts w:asciiTheme="majorBidi" w:hAnsiTheme="majorBidi" w:cstheme="majorBidi"/>
          <w:lang w:val="de-DE"/>
        </w:rPr>
        <w:t xml:space="preserve"> </w:t>
      </w:r>
      <w:proofErr w:type="spellStart"/>
      <w:r w:rsidRPr="000C7C76">
        <w:rPr>
          <w:rFonts w:asciiTheme="majorBidi" w:hAnsiTheme="majorBidi" w:cstheme="majorBidi"/>
          <w:lang w:val="de-DE"/>
        </w:rPr>
        <w:t>amatpersona</w:t>
      </w:r>
      <w:proofErr w:type="spellEnd"/>
      <w:r w:rsidRPr="000C7C76">
        <w:rPr>
          <w:rFonts w:asciiTheme="majorBidi" w:hAnsiTheme="majorBidi" w:cstheme="majorBidi"/>
          <w:lang w:val="de-DE"/>
        </w:rPr>
        <w:t xml:space="preserve">, </w:t>
      </w:r>
      <w:proofErr w:type="spellStart"/>
      <w:r w:rsidRPr="000C7C76">
        <w:rPr>
          <w:rFonts w:asciiTheme="majorBidi" w:hAnsiTheme="majorBidi" w:cstheme="majorBidi"/>
          <w:lang w:val="de-DE"/>
        </w:rPr>
        <w:t>kas</w:t>
      </w:r>
      <w:proofErr w:type="spellEnd"/>
      <w:r w:rsidRPr="000C7C76">
        <w:rPr>
          <w:rFonts w:asciiTheme="majorBidi" w:hAnsiTheme="majorBidi" w:cstheme="majorBidi"/>
          <w:lang w:val="de-DE"/>
        </w:rPr>
        <w:t xml:space="preserve"> </w:t>
      </w:r>
      <w:proofErr w:type="spellStart"/>
      <w:r w:rsidRPr="000C7C76">
        <w:rPr>
          <w:rFonts w:asciiTheme="majorBidi" w:hAnsiTheme="majorBidi" w:cstheme="majorBidi"/>
          <w:lang w:val="de-DE"/>
        </w:rPr>
        <w:t>saistīti</w:t>
      </w:r>
      <w:proofErr w:type="spellEnd"/>
      <w:r w:rsidRPr="000C7C76">
        <w:rPr>
          <w:rFonts w:asciiTheme="majorBidi" w:hAnsiTheme="majorBidi" w:cstheme="majorBidi"/>
          <w:lang w:val="de-DE"/>
        </w:rPr>
        <w:t xml:space="preserve"> </w:t>
      </w:r>
      <w:proofErr w:type="spellStart"/>
      <w:r w:rsidRPr="000C7C76">
        <w:rPr>
          <w:rFonts w:asciiTheme="majorBidi" w:hAnsiTheme="majorBidi" w:cstheme="majorBidi"/>
          <w:lang w:val="de-DE"/>
        </w:rPr>
        <w:t>ar</w:t>
      </w:r>
      <w:proofErr w:type="spellEnd"/>
      <w:r w:rsidRPr="000C7C76">
        <w:rPr>
          <w:rFonts w:asciiTheme="majorBidi" w:hAnsiTheme="majorBidi" w:cstheme="majorBidi"/>
          <w:lang w:val="de-DE"/>
        </w:rPr>
        <w:t xml:space="preserve"> </w:t>
      </w:r>
      <w:proofErr w:type="spellStart"/>
      <w:r w:rsidRPr="000C7C76">
        <w:rPr>
          <w:rFonts w:asciiTheme="majorBidi" w:hAnsiTheme="majorBidi" w:cstheme="majorBidi"/>
          <w:lang w:val="de-DE"/>
        </w:rPr>
        <w:t>valsts</w:t>
      </w:r>
      <w:proofErr w:type="spellEnd"/>
      <w:r w:rsidRPr="000C7C76">
        <w:rPr>
          <w:rFonts w:asciiTheme="majorBidi" w:hAnsiTheme="majorBidi" w:cstheme="majorBidi"/>
          <w:lang w:val="de-DE"/>
        </w:rPr>
        <w:t xml:space="preserve"> </w:t>
      </w:r>
      <w:proofErr w:type="spellStart"/>
      <w:r w:rsidRPr="000C7C76">
        <w:rPr>
          <w:rFonts w:asciiTheme="majorBidi" w:hAnsiTheme="majorBidi" w:cstheme="majorBidi"/>
          <w:lang w:val="de-DE"/>
        </w:rPr>
        <w:t>tiesām</w:t>
      </w:r>
      <w:proofErr w:type="spellEnd"/>
      <w:r w:rsidRPr="000C7C76">
        <w:rPr>
          <w:rFonts w:asciiTheme="majorBidi" w:hAnsiTheme="majorBidi" w:cstheme="majorBidi"/>
          <w:lang w:val="de-DE"/>
        </w:rPr>
        <w:t xml:space="preserve"> </w:t>
      </w:r>
      <w:proofErr w:type="spellStart"/>
      <w:r w:rsidRPr="000C7C76">
        <w:rPr>
          <w:rFonts w:asciiTheme="majorBidi" w:hAnsiTheme="majorBidi" w:cstheme="majorBidi"/>
          <w:lang w:val="de-DE"/>
        </w:rPr>
        <w:t>vai</w:t>
      </w:r>
      <w:proofErr w:type="spellEnd"/>
      <w:r w:rsidRPr="000C7C76">
        <w:rPr>
          <w:rFonts w:asciiTheme="majorBidi" w:hAnsiTheme="majorBidi" w:cstheme="majorBidi"/>
          <w:lang w:val="de-DE"/>
        </w:rPr>
        <w:t xml:space="preserve"> </w:t>
      </w:r>
      <w:proofErr w:type="spellStart"/>
      <w:r w:rsidRPr="000C7C76">
        <w:rPr>
          <w:rFonts w:asciiTheme="majorBidi" w:hAnsiTheme="majorBidi" w:cstheme="majorBidi"/>
          <w:lang w:val="de-DE"/>
        </w:rPr>
        <w:t>tribunāliem</w:t>
      </w:r>
      <w:proofErr w:type="spellEnd"/>
      <w:r w:rsidRPr="000C7C76">
        <w:rPr>
          <w:rFonts w:asciiTheme="majorBidi" w:hAnsiTheme="majorBidi" w:cstheme="majorBidi"/>
          <w:lang w:val="de-DE"/>
        </w:rPr>
        <w:t xml:space="preserve">, </w:t>
      </w:r>
      <w:proofErr w:type="spellStart"/>
      <w:r w:rsidRPr="000C7C76">
        <w:rPr>
          <w:rFonts w:asciiTheme="majorBidi" w:hAnsiTheme="majorBidi" w:cstheme="majorBidi"/>
          <w:lang w:val="de-DE"/>
        </w:rPr>
        <w:t>ieskaitot</w:t>
      </w:r>
      <w:proofErr w:type="spellEnd"/>
      <w:r w:rsidRPr="000C7C76">
        <w:rPr>
          <w:rFonts w:asciiTheme="majorBidi" w:hAnsiTheme="majorBidi" w:cstheme="majorBidi"/>
          <w:lang w:val="de-DE"/>
        </w:rPr>
        <w:t xml:space="preserve"> </w:t>
      </w:r>
      <w:proofErr w:type="spellStart"/>
      <w:r w:rsidRPr="000C7C76">
        <w:rPr>
          <w:rFonts w:asciiTheme="majorBidi" w:hAnsiTheme="majorBidi" w:cstheme="majorBidi"/>
          <w:lang w:val="de-DE"/>
        </w:rPr>
        <w:t>tos</w:t>
      </w:r>
      <w:proofErr w:type="spellEnd"/>
      <w:r w:rsidRPr="000C7C76">
        <w:rPr>
          <w:rFonts w:asciiTheme="majorBidi" w:hAnsiTheme="majorBidi" w:cstheme="majorBidi"/>
          <w:lang w:val="de-DE"/>
        </w:rPr>
        <w:t xml:space="preserve"> </w:t>
      </w:r>
      <w:proofErr w:type="spellStart"/>
      <w:r w:rsidRPr="000C7C76">
        <w:rPr>
          <w:rFonts w:asciiTheme="majorBidi" w:hAnsiTheme="majorBidi" w:cstheme="majorBidi"/>
          <w:lang w:val="de-DE"/>
        </w:rPr>
        <w:t>dokumentus</w:t>
      </w:r>
      <w:proofErr w:type="spellEnd"/>
      <w:r w:rsidRPr="000C7C76">
        <w:rPr>
          <w:rFonts w:asciiTheme="majorBidi" w:hAnsiTheme="majorBidi" w:cstheme="majorBidi"/>
          <w:lang w:val="de-DE"/>
        </w:rPr>
        <w:t xml:space="preserve">, </w:t>
      </w:r>
      <w:proofErr w:type="spellStart"/>
      <w:r w:rsidRPr="000C7C76">
        <w:rPr>
          <w:rFonts w:asciiTheme="majorBidi" w:hAnsiTheme="majorBidi" w:cstheme="majorBidi"/>
          <w:lang w:val="de-DE"/>
        </w:rPr>
        <w:t>ko</w:t>
      </w:r>
      <w:proofErr w:type="spellEnd"/>
      <w:r w:rsidRPr="000C7C76">
        <w:rPr>
          <w:rFonts w:asciiTheme="majorBidi" w:hAnsiTheme="majorBidi" w:cstheme="majorBidi"/>
          <w:lang w:val="de-DE"/>
        </w:rPr>
        <w:t xml:space="preserve"> </w:t>
      </w:r>
      <w:proofErr w:type="spellStart"/>
      <w:r w:rsidRPr="000C7C76">
        <w:rPr>
          <w:rFonts w:asciiTheme="majorBidi" w:hAnsiTheme="majorBidi" w:cstheme="majorBidi"/>
          <w:lang w:val="de-DE"/>
        </w:rPr>
        <w:t>izdevis</w:t>
      </w:r>
      <w:proofErr w:type="spellEnd"/>
      <w:r w:rsidRPr="000C7C76">
        <w:rPr>
          <w:rFonts w:asciiTheme="majorBidi" w:hAnsiTheme="majorBidi" w:cstheme="majorBidi"/>
          <w:lang w:val="de-DE"/>
        </w:rPr>
        <w:t xml:space="preserve"> </w:t>
      </w:r>
      <w:proofErr w:type="spellStart"/>
      <w:r w:rsidRPr="000C7C76">
        <w:rPr>
          <w:rFonts w:asciiTheme="majorBidi" w:hAnsiTheme="majorBidi" w:cstheme="majorBidi"/>
          <w:lang w:val="de-DE"/>
        </w:rPr>
        <w:t>prokurors</w:t>
      </w:r>
      <w:proofErr w:type="spellEnd"/>
      <w:r w:rsidRPr="000C7C76">
        <w:rPr>
          <w:rFonts w:asciiTheme="majorBidi" w:hAnsiTheme="majorBidi" w:cstheme="majorBidi"/>
          <w:lang w:val="de-DE"/>
        </w:rPr>
        <w:t xml:space="preserve">, </w:t>
      </w:r>
      <w:proofErr w:type="spellStart"/>
      <w:r w:rsidRPr="000C7C76">
        <w:rPr>
          <w:rFonts w:asciiTheme="majorBidi" w:hAnsiTheme="majorBidi" w:cstheme="majorBidi"/>
          <w:lang w:val="de-DE"/>
        </w:rPr>
        <w:t>tiesas</w:t>
      </w:r>
      <w:proofErr w:type="spellEnd"/>
      <w:r w:rsidRPr="000C7C76">
        <w:rPr>
          <w:rFonts w:asciiTheme="majorBidi" w:hAnsiTheme="majorBidi" w:cstheme="majorBidi"/>
          <w:lang w:val="de-DE"/>
        </w:rPr>
        <w:t xml:space="preserve"> </w:t>
      </w:r>
      <w:proofErr w:type="spellStart"/>
      <w:r w:rsidRPr="000C7C76">
        <w:rPr>
          <w:rFonts w:asciiTheme="majorBidi" w:hAnsiTheme="majorBidi" w:cstheme="majorBidi"/>
          <w:lang w:val="de-DE"/>
        </w:rPr>
        <w:t>sekretārs</w:t>
      </w:r>
      <w:proofErr w:type="spellEnd"/>
      <w:r w:rsidRPr="000C7C76">
        <w:rPr>
          <w:rFonts w:asciiTheme="majorBidi" w:hAnsiTheme="majorBidi" w:cstheme="majorBidi"/>
          <w:lang w:val="de-DE"/>
        </w:rPr>
        <w:t xml:space="preserve"> </w:t>
      </w:r>
      <w:proofErr w:type="spellStart"/>
      <w:r w:rsidRPr="000C7C76">
        <w:rPr>
          <w:rFonts w:asciiTheme="majorBidi" w:hAnsiTheme="majorBidi" w:cstheme="majorBidi"/>
          <w:lang w:val="de-DE"/>
        </w:rPr>
        <w:t>vai</w:t>
      </w:r>
      <w:proofErr w:type="spellEnd"/>
      <w:r w:rsidRPr="000C7C76">
        <w:rPr>
          <w:rFonts w:asciiTheme="majorBidi" w:hAnsiTheme="majorBidi" w:cstheme="majorBidi"/>
          <w:lang w:val="de-DE"/>
        </w:rPr>
        <w:t xml:space="preserve"> </w:t>
      </w:r>
      <w:proofErr w:type="spellStart"/>
      <w:r w:rsidRPr="000C7C76">
        <w:rPr>
          <w:rFonts w:asciiTheme="majorBidi" w:hAnsiTheme="majorBidi" w:cstheme="majorBidi"/>
          <w:lang w:val="de-DE"/>
        </w:rPr>
        <w:t>tiesu</w:t>
      </w:r>
      <w:proofErr w:type="spellEnd"/>
      <w:r w:rsidRPr="000C7C76">
        <w:rPr>
          <w:rFonts w:asciiTheme="majorBidi" w:hAnsiTheme="majorBidi" w:cstheme="majorBidi"/>
          <w:lang w:val="de-DE"/>
        </w:rPr>
        <w:t xml:space="preserve"> </w:t>
      </w:r>
      <w:proofErr w:type="spellStart"/>
      <w:r w:rsidRPr="000C7C76">
        <w:rPr>
          <w:rFonts w:asciiTheme="majorBidi" w:hAnsiTheme="majorBidi" w:cstheme="majorBidi"/>
          <w:lang w:val="de-DE"/>
        </w:rPr>
        <w:t>izpildītājs</w:t>
      </w:r>
      <w:proofErr w:type="spellEnd"/>
      <w:r w:rsidRPr="000C7C76">
        <w:rPr>
          <w:rFonts w:asciiTheme="majorBidi" w:hAnsiTheme="majorBidi" w:cstheme="majorBidi"/>
          <w:lang w:val="de-DE"/>
        </w:rPr>
        <w:t>;</w:t>
      </w:r>
    </w:p>
    <w:p w14:paraId="6F88C437" w14:textId="77777777" w:rsidR="00114953" w:rsidRPr="000C7C76" w:rsidRDefault="00114953" w:rsidP="00114953">
      <w:pPr>
        <w:jc w:val="both"/>
        <w:rPr>
          <w:rFonts w:asciiTheme="majorBidi" w:hAnsiTheme="majorBidi" w:cstheme="majorBidi"/>
          <w:lang w:val="de-DE"/>
        </w:rPr>
      </w:pPr>
    </w:p>
    <w:p w14:paraId="6CDC5602" w14:textId="77777777" w:rsidR="00114953" w:rsidRPr="000C7C76" w:rsidRDefault="00114953" w:rsidP="00114953">
      <w:pPr>
        <w:jc w:val="both"/>
        <w:rPr>
          <w:rFonts w:asciiTheme="majorBidi" w:hAnsiTheme="majorBidi" w:cstheme="majorBidi"/>
          <w:lang w:val="de-DE"/>
        </w:rPr>
      </w:pPr>
      <w:r w:rsidRPr="000C7C76">
        <w:rPr>
          <w:rFonts w:asciiTheme="majorBidi" w:hAnsiTheme="majorBidi" w:cstheme="majorBidi"/>
          <w:lang w:val="de-DE"/>
        </w:rPr>
        <w:t xml:space="preserve">b) </w:t>
      </w:r>
      <w:proofErr w:type="spellStart"/>
      <w:r w:rsidRPr="000C7C76">
        <w:rPr>
          <w:rFonts w:asciiTheme="majorBidi" w:hAnsiTheme="majorBidi" w:cstheme="majorBidi"/>
          <w:lang w:val="de-DE"/>
        </w:rPr>
        <w:t>administratīvos</w:t>
      </w:r>
      <w:proofErr w:type="spellEnd"/>
      <w:r w:rsidRPr="000C7C76">
        <w:rPr>
          <w:rFonts w:asciiTheme="majorBidi" w:hAnsiTheme="majorBidi" w:cstheme="majorBidi"/>
          <w:lang w:val="de-DE"/>
        </w:rPr>
        <w:t xml:space="preserve"> </w:t>
      </w:r>
      <w:proofErr w:type="spellStart"/>
      <w:r w:rsidRPr="000C7C76">
        <w:rPr>
          <w:rFonts w:asciiTheme="majorBidi" w:hAnsiTheme="majorBidi" w:cstheme="majorBidi"/>
          <w:lang w:val="de-DE"/>
        </w:rPr>
        <w:t>dokumentus</w:t>
      </w:r>
      <w:proofErr w:type="spellEnd"/>
      <w:r w:rsidRPr="000C7C76">
        <w:rPr>
          <w:rFonts w:asciiTheme="majorBidi" w:hAnsiTheme="majorBidi" w:cstheme="majorBidi"/>
          <w:lang w:val="de-DE"/>
        </w:rPr>
        <w:t>;</w:t>
      </w:r>
    </w:p>
    <w:p w14:paraId="5BDC7772" w14:textId="77777777" w:rsidR="00114953" w:rsidRPr="000C7C76" w:rsidRDefault="00114953" w:rsidP="00114953">
      <w:pPr>
        <w:jc w:val="both"/>
        <w:rPr>
          <w:rFonts w:asciiTheme="majorBidi" w:hAnsiTheme="majorBidi" w:cstheme="majorBidi"/>
          <w:lang w:val="de-DE"/>
        </w:rPr>
      </w:pPr>
    </w:p>
    <w:p w14:paraId="33DF3FD5" w14:textId="77777777" w:rsidR="00114953" w:rsidRPr="000C7C76" w:rsidRDefault="00114953" w:rsidP="00114953">
      <w:pPr>
        <w:jc w:val="both"/>
        <w:rPr>
          <w:rFonts w:asciiTheme="majorBidi" w:hAnsiTheme="majorBidi" w:cstheme="majorBidi"/>
          <w:lang w:val="de-DE"/>
        </w:rPr>
      </w:pPr>
      <w:r w:rsidRPr="000C7C76">
        <w:rPr>
          <w:rFonts w:asciiTheme="majorBidi" w:hAnsiTheme="majorBidi" w:cstheme="majorBidi"/>
          <w:lang w:val="de-DE"/>
        </w:rPr>
        <w:t xml:space="preserve">c) </w:t>
      </w:r>
      <w:proofErr w:type="spellStart"/>
      <w:r w:rsidRPr="000C7C76">
        <w:rPr>
          <w:rFonts w:asciiTheme="majorBidi" w:hAnsiTheme="majorBidi" w:cstheme="majorBidi"/>
          <w:u w:val="single"/>
          <w:lang w:val="de-DE"/>
        </w:rPr>
        <w:t>notariālos</w:t>
      </w:r>
      <w:proofErr w:type="spellEnd"/>
      <w:r w:rsidRPr="000C7C76">
        <w:rPr>
          <w:rFonts w:asciiTheme="majorBidi" w:hAnsiTheme="majorBidi" w:cstheme="majorBidi"/>
          <w:u w:val="single"/>
          <w:lang w:val="de-DE"/>
        </w:rPr>
        <w:t xml:space="preserve"> </w:t>
      </w:r>
      <w:proofErr w:type="spellStart"/>
      <w:r w:rsidRPr="000C7C76">
        <w:rPr>
          <w:rFonts w:asciiTheme="majorBidi" w:hAnsiTheme="majorBidi" w:cstheme="majorBidi"/>
          <w:u w:val="single"/>
          <w:lang w:val="de-DE"/>
        </w:rPr>
        <w:t>aktus</w:t>
      </w:r>
      <w:proofErr w:type="spellEnd"/>
      <w:r w:rsidRPr="000C7C76">
        <w:rPr>
          <w:rFonts w:asciiTheme="majorBidi" w:hAnsiTheme="majorBidi" w:cstheme="majorBidi"/>
          <w:lang w:val="de-DE"/>
        </w:rPr>
        <w:t>;</w:t>
      </w:r>
    </w:p>
    <w:p w14:paraId="16A0AC0B" w14:textId="77777777" w:rsidR="00114953" w:rsidRPr="000C7C76" w:rsidRDefault="00114953" w:rsidP="00114953">
      <w:pPr>
        <w:jc w:val="both"/>
        <w:rPr>
          <w:rFonts w:asciiTheme="majorBidi" w:hAnsiTheme="majorBidi" w:cstheme="majorBidi"/>
          <w:lang w:val="de-DE"/>
        </w:rPr>
      </w:pPr>
    </w:p>
    <w:p w14:paraId="2CF4D76C" w14:textId="77777777" w:rsidR="00114953" w:rsidRPr="000C7C76" w:rsidRDefault="00114953" w:rsidP="00114953">
      <w:pPr>
        <w:jc w:val="both"/>
        <w:rPr>
          <w:rFonts w:asciiTheme="majorBidi" w:hAnsiTheme="majorBidi" w:cstheme="majorBidi"/>
          <w:lang w:val="de-DE"/>
        </w:rPr>
      </w:pPr>
      <w:r w:rsidRPr="000C7C76">
        <w:rPr>
          <w:rFonts w:asciiTheme="majorBidi" w:hAnsiTheme="majorBidi" w:cstheme="majorBidi"/>
          <w:lang w:val="de-DE"/>
        </w:rPr>
        <w:t xml:space="preserve">d) </w:t>
      </w:r>
      <w:proofErr w:type="spellStart"/>
      <w:r w:rsidRPr="000C7C76">
        <w:rPr>
          <w:rFonts w:asciiTheme="majorBidi" w:hAnsiTheme="majorBidi" w:cstheme="majorBidi"/>
          <w:u w:val="single"/>
          <w:lang w:val="de-DE"/>
        </w:rPr>
        <w:t>oficiālus</w:t>
      </w:r>
      <w:proofErr w:type="spellEnd"/>
      <w:r w:rsidRPr="000C7C76">
        <w:rPr>
          <w:rFonts w:asciiTheme="majorBidi" w:hAnsiTheme="majorBidi" w:cstheme="majorBidi"/>
          <w:u w:val="single"/>
          <w:lang w:val="de-DE"/>
        </w:rPr>
        <w:t xml:space="preserve"> </w:t>
      </w:r>
      <w:proofErr w:type="spellStart"/>
      <w:r w:rsidRPr="000C7C76">
        <w:rPr>
          <w:rFonts w:asciiTheme="majorBidi" w:hAnsiTheme="majorBidi" w:cstheme="majorBidi"/>
          <w:u w:val="single"/>
          <w:lang w:val="de-DE"/>
        </w:rPr>
        <w:t>apliecinājumus</w:t>
      </w:r>
      <w:proofErr w:type="spellEnd"/>
      <w:r w:rsidRPr="000C7C76">
        <w:rPr>
          <w:rFonts w:asciiTheme="majorBidi" w:hAnsiTheme="majorBidi" w:cstheme="majorBidi"/>
          <w:u w:val="single"/>
          <w:lang w:val="de-DE"/>
        </w:rPr>
        <w:t xml:space="preserve"> </w:t>
      </w:r>
      <w:proofErr w:type="spellStart"/>
      <w:r w:rsidRPr="000C7C76">
        <w:rPr>
          <w:rFonts w:asciiTheme="majorBidi" w:hAnsiTheme="majorBidi" w:cstheme="majorBidi"/>
          <w:u w:val="single"/>
          <w:lang w:val="de-DE"/>
        </w:rPr>
        <w:t>uz</w:t>
      </w:r>
      <w:proofErr w:type="spellEnd"/>
      <w:r w:rsidRPr="000C7C76">
        <w:rPr>
          <w:rFonts w:asciiTheme="majorBidi" w:hAnsiTheme="majorBidi" w:cstheme="majorBidi"/>
          <w:u w:val="single"/>
          <w:lang w:val="de-DE"/>
        </w:rPr>
        <w:t xml:space="preserve"> </w:t>
      </w:r>
      <w:proofErr w:type="spellStart"/>
      <w:r w:rsidRPr="000C7C76">
        <w:rPr>
          <w:rFonts w:asciiTheme="majorBidi" w:hAnsiTheme="majorBidi" w:cstheme="majorBidi"/>
          <w:u w:val="single"/>
          <w:lang w:val="de-DE"/>
        </w:rPr>
        <w:t>dokumentiem</w:t>
      </w:r>
      <w:proofErr w:type="spellEnd"/>
      <w:r w:rsidRPr="000C7C76">
        <w:rPr>
          <w:rFonts w:asciiTheme="majorBidi" w:hAnsiTheme="majorBidi" w:cstheme="majorBidi"/>
          <w:lang w:val="de-DE"/>
        </w:rPr>
        <w:t xml:space="preserve">, </w:t>
      </w:r>
      <w:proofErr w:type="spellStart"/>
      <w:r w:rsidRPr="000C7C76">
        <w:rPr>
          <w:rFonts w:asciiTheme="majorBidi" w:hAnsiTheme="majorBidi" w:cstheme="majorBidi"/>
          <w:lang w:val="de-DE"/>
        </w:rPr>
        <w:t>ko</w:t>
      </w:r>
      <w:proofErr w:type="spellEnd"/>
      <w:r w:rsidRPr="000C7C76">
        <w:rPr>
          <w:rFonts w:asciiTheme="majorBidi" w:hAnsiTheme="majorBidi" w:cstheme="majorBidi"/>
          <w:lang w:val="de-DE"/>
        </w:rPr>
        <w:t xml:space="preserve"> </w:t>
      </w:r>
      <w:proofErr w:type="spellStart"/>
      <w:r w:rsidRPr="000C7C76">
        <w:rPr>
          <w:rFonts w:asciiTheme="majorBidi" w:hAnsiTheme="majorBidi" w:cstheme="majorBidi"/>
          <w:lang w:val="de-DE"/>
        </w:rPr>
        <w:t>parakstījušas</w:t>
      </w:r>
      <w:proofErr w:type="spellEnd"/>
      <w:r w:rsidRPr="000C7C76">
        <w:rPr>
          <w:rFonts w:asciiTheme="majorBidi" w:hAnsiTheme="majorBidi" w:cstheme="majorBidi"/>
          <w:lang w:val="de-DE"/>
        </w:rPr>
        <w:t xml:space="preserve"> </w:t>
      </w:r>
      <w:proofErr w:type="spellStart"/>
      <w:r w:rsidRPr="000C7C76">
        <w:rPr>
          <w:rFonts w:asciiTheme="majorBidi" w:hAnsiTheme="majorBidi" w:cstheme="majorBidi"/>
          <w:lang w:val="de-DE"/>
        </w:rPr>
        <w:t>privātpersonas</w:t>
      </w:r>
      <w:proofErr w:type="spellEnd"/>
      <w:r w:rsidRPr="000C7C76">
        <w:rPr>
          <w:rFonts w:asciiTheme="majorBidi" w:hAnsiTheme="majorBidi" w:cstheme="majorBidi"/>
          <w:lang w:val="de-DE"/>
        </w:rPr>
        <w:t xml:space="preserve">, </w:t>
      </w:r>
      <w:proofErr w:type="spellStart"/>
      <w:r w:rsidRPr="000C7C76">
        <w:rPr>
          <w:rFonts w:asciiTheme="majorBidi" w:hAnsiTheme="majorBidi" w:cstheme="majorBidi"/>
          <w:lang w:val="de-DE"/>
        </w:rPr>
        <w:t>piemēram</w:t>
      </w:r>
      <w:proofErr w:type="spellEnd"/>
      <w:r w:rsidRPr="000C7C76">
        <w:rPr>
          <w:rFonts w:asciiTheme="majorBidi" w:hAnsiTheme="majorBidi" w:cstheme="majorBidi"/>
          <w:lang w:val="de-DE"/>
        </w:rPr>
        <w:t xml:space="preserve">, </w:t>
      </w:r>
      <w:proofErr w:type="spellStart"/>
      <w:r w:rsidRPr="000C7C76">
        <w:rPr>
          <w:rFonts w:asciiTheme="majorBidi" w:hAnsiTheme="majorBidi" w:cstheme="majorBidi"/>
          <w:lang w:val="de-DE"/>
        </w:rPr>
        <w:t>oficiālus</w:t>
      </w:r>
      <w:proofErr w:type="spellEnd"/>
      <w:r w:rsidRPr="000C7C76">
        <w:rPr>
          <w:rFonts w:asciiTheme="majorBidi" w:hAnsiTheme="majorBidi" w:cstheme="majorBidi"/>
          <w:lang w:val="de-DE"/>
        </w:rPr>
        <w:t xml:space="preserve"> </w:t>
      </w:r>
      <w:proofErr w:type="spellStart"/>
      <w:r w:rsidRPr="000C7C76">
        <w:rPr>
          <w:rFonts w:asciiTheme="majorBidi" w:hAnsiTheme="majorBidi" w:cstheme="majorBidi"/>
          <w:lang w:val="de-DE"/>
        </w:rPr>
        <w:t>apliecinājumus</w:t>
      </w:r>
      <w:proofErr w:type="spellEnd"/>
      <w:r w:rsidRPr="000C7C76">
        <w:rPr>
          <w:rFonts w:asciiTheme="majorBidi" w:hAnsiTheme="majorBidi" w:cstheme="majorBidi"/>
          <w:lang w:val="de-DE"/>
        </w:rPr>
        <w:t xml:space="preserve"> par </w:t>
      </w:r>
      <w:proofErr w:type="spellStart"/>
      <w:r w:rsidRPr="000C7C76">
        <w:rPr>
          <w:rFonts w:asciiTheme="majorBidi" w:hAnsiTheme="majorBidi" w:cstheme="majorBidi"/>
          <w:lang w:val="de-DE"/>
        </w:rPr>
        <w:t>dokumenta</w:t>
      </w:r>
      <w:proofErr w:type="spellEnd"/>
      <w:r w:rsidRPr="000C7C76">
        <w:rPr>
          <w:rFonts w:asciiTheme="majorBidi" w:hAnsiTheme="majorBidi" w:cstheme="majorBidi"/>
          <w:lang w:val="de-DE"/>
        </w:rPr>
        <w:t xml:space="preserve"> </w:t>
      </w:r>
      <w:proofErr w:type="spellStart"/>
      <w:r w:rsidRPr="000C7C76">
        <w:rPr>
          <w:rFonts w:asciiTheme="majorBidi" w:hAnsiTheme="majorBidi" w:cstheme="majorBidi"/>
          <w:lang w:val="de-DE"/>
        </w:rPr>
        <w:t>reģistrāciju</w:t>
      </w:r>
      <w:proofErr w:type="spellEnd"/>
      <w:r w:rsidRPr="000C7C76">
        <w:rPr>
          <w:rFonts w:asciiTheme="majorBidi" w:hAnsiTheme="majorBidi" w:cstheme="majorBidi"/>
          <w:lang w:val="de-DE"/>
        </w:rPr>
        <w:t xml:space="preserve"> </w:t>
      </w:r>
      <w:proofErr w:type="spellStart"/>
      <w:r w:rsidRPr="000C7C76">
        <w:rPr>
          <w:rFonts w:asciiTheme="majorBidi" w:hAnsiTheme="majorBidi" w:cstheme="majorBidi"/>
          <w:lang w:val="de-DE"/>
        </w:rPr>
        <w:t>vai</w:t>
      </w:r>
      <w:proofErr w:type="spellEnd"/>
      <w:r w:rsidRPr="000C7C76">
        <w:rPr>
          <w:rFonts w:asciiTheme="majorBidi" w:hAnsiTheme="majorBidi" w:cstheme="majorBidi"/>
          <w:lang w:val="de-DE"/>
        </w:rPr>
        <w:t xml:space="preserve"> par </w:t>
      </w:r>
      <w:proofErr w:type="spellStart"/>
      <w:r w:rsidRPr="000C7C76">
        <w:rPr>
          <w:rFonts w:asciiTheme="majorBidi" w:hAnsiTheme="majorBidi" w:cstheme="majorBidi"/>
          <w:lang w:val="de-DE"/>
        </w:rPr>
        <w:t>faktu</w:t>
      </w:r>
      <w:proofErr w:type="spellEnd"/>
      <w:r w:rsidRPr="000C7C76">
        <w:rPr>
          <w:rFonts w:asciiTheme="majorBidi" w:hAnsiTheme="majorBidi" w:cstheme="majorBidi"/>
          <w:lang w:val="de-DE"/>
        </w:rPr>
        <w:t xml:space="preserve">, </w:t>
      </w:r>
      <w:proofErr w:type="spellStart"/>
      <w:r w:rsidRPr="000C7C76">
        <w:rPr>
          <w:rFonts w:asciiTheme="majorBidi" w:hAnsiTheme="majorBidi" w:cstheme="majorBidi"/>
          <w:lang w:val="de-DE"/>
        </w:rPr>
        <w:t>ka</w:t>
      </w:r>
      <w:proofErr w:type="spellEnd"/>
      <w:r w:rsidRPr="000C7C76">
        <w:rPr>
          <w:rFonts w:asciiTheme="majorBidi" w:hAnsiTheme="majorBidi" w:cstheme="majorBidi"/>
          <w:lang w:val="de-DE"/>
        </w:rPr>
        <w:t xml:space="preserve"> </w:t>
      </w:r>
      <w:proofErr w:type="spellStart"/>
      <w:r w:rsidRPr="000C7C76">
        <w:rPr>
          <w:rFonts w:asciiTheme="majorBidi" w:hAnsiTheme="majorBidi" w:cstheme="majorBidi"/>
          <w:lang w:val="de-DE"/>
        </w:rPr>
        <w:t>tas</w:t>
      </w:r>
      <w:proofErr w:type="spellEnd"/>
      <w:r w:rsidRPr="000C7C76">
        <w:rPr>
          <w:rFonts w:asciiTheme="majorBidi" w:hAnsiTheme="majorBidi" w:cstheme="majorBidi"/>
          <w:lang w:val="de-DE"/>
        </w:rPr>
        <w:t xml:space="preserve"> </w:t>
      </w:r>
      <w:proofErr w:type="spellStart"/>
      <w:r w:rsidRPr="000C7C76">
        <w:rPr>
          <w:rFonts w:asciiTheme="majorBidi" w:hAnsiTheme="majorBidi" w:cstheme="majorBidi"/>
          <w:lang w:val="de-DE"/>
        </w:rPr>
        <w:t>ir</w:t>
      </w:r>
      <w:proofErr w:type="spellEnd"/>
      <w:r w:rsidRPr="000C7C76">
        <w:rPr>
          <w:rFonts w:asciiTheme="majorBidi" w:hAnsiTheme="majorBidi" w:cstheme="majorBidi"/>
          <w:lang w:val="de-DE"/>
        </w:rPr>
        <w:t xml:space="preserve"> </w:t>
      </w:r>
      <w:proofErr w:type="spellStart"/>
      <w:r w:rsidRPr="000C7C76">
        <w:rPr>
          <w:rFonts w:asciiTheme="majorBidi" w:hAnsiTheme="majorBidi" w:cstheme="majorBidi"/>
          <w:lang w:val="de-DE"/>
        </w:rPr>
        <w:t>pastāvējis</w:t>
      </w:r>
      <w:proofErr w:type="spellEnd"/>
      <w:r w:rsidRPr="000C7C76">
        <w:rPr>
          <w:rFonts w:asciiTheme="majorBidi" w:hAnsiTheme="majorBidi" w:cstheme="majorBidi"/>
          <w:lang w:val="de-DE"/>
        </w:rPr>
        <w:t xml:space="preserve"> </w:t>
      </w:r>
      <w:proofErr w:type="spellStart"/>
      <w:r w:rsidRPr="000C7C76">
        <w:rPr>
          <w:rFonts w:asciiTheme="majorBidi" w:hAnsiTheme="majorBidi" w:cstheme="majorBidi"/>
          <w:lang w:val="de-DE"/>
        </w:rPr>
        <w:t>noteiktā</w:t>
      </w:r>
      <w:proofErr w:type="spellEnd"/>
      <w:r w:rsidRPr="000C7C76">
        <w:rPr>
          <w:rFonts w:asciiTheme="majorBidi" w:hAnsiTheme="majorBidi" w:cstheme="majorBidi"/>
          <w:lang w:val="de-DE"/>
        </w:rPr>
        <w:t xml:space="preserve"> </w:t>
      </w:r>
      <w:proofErr w:type="spellStart"/>
      <w:r w:rsidRPr="000C7C76">
        <w:rPr>
          <w:rFonts w:asciiTheme="majorBidi" w:hAnsiTheme="majorBidi" w:cstheme="majorBidi"/>
          <w:lang w:val="de-DE"/>
        </w:rPr>
        <w:t>datumā</w:t>
      </w:r>
      <w:proofErr w:type="spellEnd"/>
      <w:r w:rsidRPr="000C7C76">
        <w:rPr>
          <w:rFonts w:asciiTheme="majorBidi" w:hAnsiTheme="majorBidi" w:cstheme="majorBidi"/>
          <w:lang w:val="de-DE"/>
        </w:rPr>
        <w:t xml:space="preserve">, </w:t>
      </w:r>
      <w:proofErr w:type="spellStart"/>
      <w:r w:rsidRPr="000C7C76">
        <w:rPr>
          <w:rFonts w:asciiTheme="majorBidi" w:hAnsiTheme="majorBidi" w:cstheme="majorBidi"/>
          <w:lang w:val="de-DE"/>
        </w:rPr>
        <w:t>kā</w:t>
      </w:r>
      <w:proofErr w:type="spellEnd"/>
      <w:r w:rsidRPr="000C7C76">
        <w:rPr>
          <w:rFonts w:asciiTheme="majorBidi" w:hAnsiTheme="majorBidi" w:cstheme="majorBidi"/>
          <w:lang w:val="de-DE"/>
        </w:rPr>
        <w:t xml:space="preserve"> </w:t>
      </w:r>
      <w:proofErr w:type="spellStart"/>
      <w:r w:rsidRPr="000C7C76">
        <w:rPr>
          <w:rFonts w:asciiTheme="majorBidi" w:hAnsiTheme="majorBidi" w:cstheme="majorBidi"/>
          <w:lang w:val="de-DE"/>
        </w:rPr>
        <w:t>arī</w:t>
      </w:r>
      <w:proofErr w:type="spellEnd"/>
      <w:r w:rsidRPr="000C7C76">
        <w:rPr>
          <w:rFonts w:asciiTheme="majorBidi" w:hAnsiTheme="majorBidi" w:cstheme="majorBidi"/>
          <w:lang w:val="de-DE"/>
        </w:rPr>
        <w:t xml:space="preserve"> </w:t>
      </w:r>
      <w:proofErr w:type="spellStart"/>
      <w:r w:rsidRPr="000C7C76">
        <w:rPr>
          <w:rFonts w:asciiTheme="majorBidi" w:hAnsiTheme="majorBidi" w:cstheme="majorBidi"/>
          <w:lang w:val="de-DE"/>
        </w:rPr>
        <w:t>oficiāla</w:t>
      </w:r>
      <w:proofErr w:type="spellEnd"/>
      <w:r w:rsidRPr="000C7C76">
        <w:rPr>
          <w:rFonts w:asciiTheme="majorBidi" w:hAnsiTheme="majorBidi" w:cstheme="majorBidi"/>
          <w:lang w:val="de-DE"/>
        </w:rPr>
        <w:t xml:space="preserve"> </w:t>
      </w:r>
      <w:proofErr w:type="spellStart"/>
      <w:r w:rsidRPr="000C7C76">
        <w:rPr>
          <w:rFonts w:asciiTheme="majorBidi" w:hAnsiTheme="majorBidi" w:cstheme="majorBidi"/>
          <w:lang w:val="de-DE"/>
        </w:rPr>
        <w:t>un</w:t>
      </w:r>
      <w:proofErr w:type="spellEnd"/>
      <w:r w:rsidRPr="000C7C76">
        <w:rPr>
          <w:rFonts w:asciiTheme="majorBidi" w:hAnsiTheme="majorBidi" w:cstheme="majorBidi"/>
          <w:lang w:val="de-DE"/>
        </w:rPr>
        <w:t xml:space="preserve"> </w:t>
      </w:r>
      <w:proofErr w:type="spellStart"/>
      <w:r w:rsidRPr="000C7C76">
        <w:rPr>
          <w:rFonts w:asciiTheme="majorBidi" w:hAnsiTheme="majorBidi" w:cstheme="majorBidi"/>
          <w:u w:val="single"/>
          <w:lang w:val="de-DE"/>
        </w:rPr>
        <w:t>notariāla</w:t>
      </w:r>
      <w:proofErr w:type="spellEnd"/>
      <w:r w:rsidRPr="000C7C76">
        <w:rPr>
          <w:rFonts w:asciiTheme="majorBidi" w:hAnsiTheme="majorBidi" w:cstheme="majorBidi"/>
          <w:u w:val="single"/>
          <w:lang w:val="de-DE"/>
        </w:rPr>
        <w:t xml:space="preserve"> </w:t>
      </w:r>
      <w:proofErr w:type="spellStart"/>
      <w:r w:rsidRPr="000C7C76">
        <w:rPr>
          <w:rFonts w:asciiTheme="majorBidi" w:hAnsiTheme="majorBidi" w:cstheme="majorBidi"/>
          <w:u w:val="single"/>
          <w:lang w:val="de-DE"/>
        </w:rPr>
        <w:t>paraksta</w:t>
      </w:r>
      <w:proofErr w:type="spellEnd"/>
      <w:r w:rsidRPr="000C7C76">
        <w:rPr>
          <w:rFonts w:asciiTheme="majorBidi" w:hAnsiTheme="majorBidi" w:cstheme="majorBidi"/>
          <w:u w:val="single"/>
          <w:lang w:val="de-DE"/>
        </w:rPr>
        <w:t xml:space="preserve"> </w:t>
      </w:r>
      <w:proofErr w:type="spellStart"/>
      <w:r w:rsidRPr="000C7C76">
        <w:rPr>
          <w:rFonts w:asciiTheme="majorBidi" w:hAnsiTheme="majorBidi" w:cstheme="majorBidi"/>
          <w:u w:val="single"/>
          <w:lang w:val="de-DE"/>
        </w:rPr>
        <w:t>autentiskuma</w:t>
      </w:r>
      <w:proofErr w:type="spellEnd"/>
      <w:r w:rsidRPr="000C7C76">
        <w:rPr>
          <w:rFonts w:asciiTheme="majorBidi" w:hAnsiTheme="majorBidi" w:cstheme="majorBidi"/>
          <w:u w:val="single"/>
          <w:lang w:val="de-DE"/>
        </w:rPr>
        <w:t xml:space="preserve"> </w:t>
      </w:r>
      <w:proofErr w:type="spellStart"/>
      <w:r w:rsidRPr="000C7C76">
        <w:rPr>
          <w:rFonts w:asciiTheme="majorBidi" w:hAnsiTheme="majorBidi" w:cstheme="majorBidi"/>
          <w:u w:val="single"/>
          <w:lang w:val="de-DE"/>
        </w:rPr>
        <w:t>apliecinājumus</w:t>
      </w:r>
      <w:proofErr w:type="spellEnd"/>
      <w:r w:rsidRPr="000C7C76">
        <w:rPr>
          <w:rFonts w:asciiTheme="majorBidi" w:hAnsiTheme="majorBidi" w:cstheme="majorBidi"/>
          <w:lang w:val="de-DE"/>
        </w:rPr>
        <w:t>.</w:t>
      </w:r>
    </w:p>
    <w:p w14:paraId="47F91144" w14:textId="77777777" w:rsidR="00114953" w:rsidRPr="000C7C76" w:rsidRDefault="00114953" w:rsidP="00114953">
      <w:pPr>
        <w:ind w:firstLine="708"/>
        <w:jc w:val="both"/>
        <w:rPr>
          <w:rFonts w:asciiTheme="majorBidi" w:hAnsiTheme="majorBidi" w:cstheme="majorBidi"/>
          <w:lang w:val="de-DE"/>
        </w:rPr>
      </w:pPr>
    </w:p>
    <w:p w14:paraId="39183F09" w14:textId="77777777" w:rsidR="00114953" w:rsidRPr="000C7C76" w:rsidRDefault="00114953" w:rsidP="00114953">
      <w:pPr>
        <w:ind w:firstLine="708"/>
        <w:jc w:val="both"/>
        <w:rPr>
          <w:rFonts w:asciiTheme="majorBidi" w:hAnsiTheme="majorBidi" w:cstheme="majorBidi"/>
          <w:lang w:val="de-DE"/>
        </w:rPr>
      </w:pPr>
      <w:proofErr w:type="spellStart"/>
      <w:r w:rsidRPr="000C7C76">
        <w:rPr>
          <w:rFonts w:asciiTheme="majorBidi" w:hAnsiTheme="majorBidi" w:cstheme="majorBidi"/>
          <w:lang w:val="de-DE"/>
        </w:rPr>
        <w:t>Hāgas</w:t>
      </w:r>
      <w:proofErr w:type="spellEnd"/>
      <w:r w:rsidRPr="000C7C76">
        <w:rPr>
          <w:rFonts w:asciiTheme="majorBidi" w:hAnsiTheme="majorBidi" w:cstheme="majorBidi"/>
          <w:lang w:val="de-DE"/>
        </w:rPr>
        <w:t xml:space="preserve"> </w:t>
      </w:r>
      <w:proofErr w:type="spellStart"/>
      <w:r w:rsidRPr="000C7C76">
        <w:rPr>
          <w:rFonts w:asciiTheme="majorBidi" w:hAnsiTheme="majorBidi" w:cstheme="majorBidi"/>
          <w:lang w:val="de-DE"/>
        </w:rPr>
        <w:t>Dokumentu</w:t>
      </w:r>
      <w:proofErr w:type="spellEnd"/>
      <w:r w:rsidRPr="000C7C76">
        <w:rPr>
          <w:rFonts w:asciiTheme="majorBidi" w:hAnsiTheme="majorBidi" w:cstheme="majorBidi"/>
          <w:lang w:val="de-DE"/>
        </w:rPr>
        <w:t xml:space="preserve"> </w:t>
      </w:r>
      <w:proofErr w:type="spellStart"/>
      <w:r w:rsidRPr="000C7C76">
        <w:rPr>
          <w:rFonts w:asciiTheme="majorBidi" w:hAnsiTheme="majorBidi" w:cstheme="majorBidi"/>
          <w:lang w:val="de-DE"/>
        </w:rPr>
        <w:t>legalizācijas</w:t>
      </w:r>
      <w:proofErr w:type="spellEnd"/>
      <w:r w:rsidRPr="000C7C76">
        <w:rPr>
          <w:rFonts w:asciiTheme="majorBidi" w:hAnsiTheme="majorBidi" w:cstheme="majorBidi"/>
          <w:lang w:val="de-DE"/>
        </w:rPr>
        <w:t xml:space="preserve"> </w:t>
      </w:r>
      <w:proofErr w:type="spellStart"/>
      <w:r w:rsidRPr="000C7C76">
        <w:rPr>
          <w:rFonts w:asciiTheme="majorBidi" w:hAnsiTheme="majorBidi" w:cstheme="majorBidi"/>
          <w:lang w:val="de-DE"/>
        </w:rPr>
        <w:t>atcelšanas</w:t>
      </w:r>
      <w:proofErr w:type="spellEnd"/>
      <w:r w:rsidRPr="000C7C76">
        <w:rPr>
          <w:rFonts w:asciiTheme="majorBidi" w:hAnsiTheme="majorBidi" w:cstheme="majorBidi"/>
          <w:lang w:val="de-DE"/>
        </w:rPr>
        <w:t xml:space="preserve"> </w:t>
      </w:r>
      <w:proofErr w:type="spellStart"/>
      <w:r w:rsidRPr="000C7C76">
        <w:rPr>
          <w:rFonts w:asciiTheme="majorBidi" w:hAnsiTheme="majorBidi" w:cstheme="majorBidi"/>
          <w:lang w:val="de-DE"/>
        </w:rPr>
        <w:t>konvencijas</w:t>
      </w:r>
      <w:proofErr w:type="spellEnd"/>
      <w:r w:rsidRPr="000C7C76">
        <w:rPr>
          <w:rFonts w:asciiTheme="majorBidi" w:hAnsiTheme="majorBidi" w:cstheme="majorBidi"/>
          <w:lang w:val="de-DE"/>
        </w:rPr>
        <w:t xml:space="preserve"> </w:t>
      </w:r>
      <w:proofErr w:type="spellStart"/>
      <w:r w:rsidRPr="000C7C76">
        <w:rPr>
          <w:rFonts w:asciiTheme="majorBidi" w:hAnsiTheme="majorBidi" w:cstheme="majorBidi"/>
          <w:lang w:val="de-DE"/>
        </w:rPr>
        <w:t>līgumslēdzēju</w:t>
      </w:r>
      <w:proofErr w:type="spellEnd"/>
      <w:r w:rsidRPr="000C7C76">
        <w:rPr>
          <w:rFonts w:asciiTheme="majorBidi" w:hAnsiTheme="majorBidi" w:cstheme="majorBidi"/>
          <w:lang w:val="de-DE"/>
        </w:rPr>
        <w:t xml:space="preserve"> </w:t>
      </w:r>
      <w:proofErr w:type="spellStart"/>
      <w:r w:rsidRPr="000C7C76">
        <w:rPr>
          <w:rFonts w:asciiTheme="majorBidi" w:hAnsiTheme="majorBidi" w:cstheme="majorBidi"/>
          <w:lang w:val="de-DE"/>
        </w:rPr>
        <w:t>valstu</w:t>
      </w:r>
      <w:proofErr w:type="spellEnd"/>
      <w:r w:rsidRPr="000C7C76">
        <w:rPr>
          <w:rFonts w:asciiTheme="majorBidi" w:hAnsiTheme="majorBidi" w:cstheme="majorBidi"/>
          <w:lang w:val="de-DE"/>
        </w:rPr>
        <w:t xml:space="preserve"> </w:t>
      </w:r>
      <w:proofErr w:type="spellStart"/>
      <w:r w:rsidRPr="000C7C76">
        <w:rPr>
          <w:rFonts w:asciiTheme="majorBidi" w:hAnsiTheme="majorBidi" w:cstheme="majorBidi"/>
          <w:lang w:val="de-DE"/>
        </w:rPr>
        <w:t>praksē</w:t>
      </w:r>
      <w:proofErr w:type="spellEnd"/>
      <w:r w:rsidRPr="000C7C76">
        <w:rPr>
          <w:rFonts w:asciiTheme="majorBidi" w:hAnsiTheme="majorBidi" w:cstheme="majorBidi"/>
          <w:lang w:val="de-DE"/>
        </w:rPr>
        <w:t xml:space="preserve"> par </w:t>
      </w:r>
      <w:proofErr w:type="spellStart"/>
      <w:r w:rsidRPr="000C7C76">
        <w:rPr>
          <w:rFonts w:asciiTheme="majorBidi" w:hAnsiTheme="majorBidi" w:cstheme="majorBidi"/>
          <w:lang w:val="de-DE"/>
        </w:rPr>
        <w:t>publiskiem</w:t>
      </w:r>
      <w:proofErr w:type="spellEnd"/>
      <w:r w:rsidRPr="000C7C76">
        <w:rPr>
          <w:rFonts w:asciiTheme="majorBidi" w:hAnsiTheme="majorBidi" w:cstheme="majorBidi"/>
          <w:lang w:val="de-DE"/>
        </w:rPr>
        <w:t xml:space="preserve"> </w:t>
      </w:r>
      <w:proofErr w:type="spellStart"/>
      <w:r w:rsidRPr="000C7C76">
        <w:rPr>
          <w:rFonts w:asciiTheme="majorBidi" w:hAnsiTheme="majorBidi" w:cstheme="majorBidi"/>
          <w:lang w:val="de-DE"/>
        </w:rPr>
        <w:t>dokumentiem</w:t>
      </w:r>
      <w:proofErr w:type="spellEnd"/>
      <w:r w:rsidRPr="000C7C76">
        <w:rPr>
          <w:rFonts w:asciiTheme="majorBidi" w:hAnsiTheme="majorBidi" w:cstheme="majorBidi"/>
          <w:lang w:val="de-DE"/>
        </w:rPr>
        <w:t xml:space="preserve"> </w:t>
      </w:r>
      <w:proofErr w:type="spellStart"/>
      <w:r w:rsidRPr="000C7C76">
        <w:rPr>
          <w:rFonts w:asciiTheme="majorBidi" w:hAnsiTheme="majorBidi" w:cstheme="majorBidi"/>
          <w:lang w:val="de-DE"/>
        </w:rPr>
        <w:t>tiek</w:t>
      </w:r>
      <w:proofErr w:type="spellEnd"/>
      <w:r w:rsidRPr="000C7C76">
        <w:rPr>
          <w:rFonts w:asciiTheme="majorBidi" w:hAnsiTheme="majorBidi" w:cstheme="majorBidi"/>
          <w:lang w:val="de-DE"/>
        </w:rPr>
        <w:t xml:space="preserve"> </w:t>
      </w:r>
      <w:proofErr w:type="spellStart"/>
      <w:r w:rsidRPr="000C7C76">
        <w:rPr>
          <w:rFonts w:asciiTheme="majorBidi" w:hAnsiTheme="majorBidi" w:cstheme="majorBidi"/>
          <w:lang w:val="de-DE"/>
        </w:rPr>
        <w:t>uzskatīti</w:t>
      </w:r>
      <w:proofErr w:type="spellEnd"/>
      <w:r w:rsidRPr="000C7C76">
        <w:rPr>
          <w:rFonts w:asciiTheme="majorBidi" w:hAnsiTheme="majorBidi" w:cstheme="majorBidi"/>
          <w:lang w:val="de-DE"/>
        </w:rPr>
        <w:t xml:space="preserve"> </w:t>
      </w:r>
      <w:proofErr w:type="spellStart"/>
      <w:r w:rsidRPr="000C7C76">
        <w:rPr>
          <w:rFonts w:asciiTheme="majorBidi" w:hAnsiTheme="majorBidi" w:cstheme="majorBidi"/>
          <w:lang w:val="de-DE"/>
        </w:rPr>
        <w:t>arī</w:t>
      </w:r>
      <w:proofErr w:type="spellEnd"/>
      <w:r w:rsidRPr="000C7C76">
        <w:rPr>
          <w:rFonts w:asciiTheme="majorBidi" w:hAnsiTheme="majorBidi" w:cstheme="majorBidi"/>
          <w:lang w:val="de-DE"/>
        </w:rPr>
        <w:t xml:space="preserve">: </w:t>
      </w:r>
      <w:proofErr w:type="spellStart"/>
      <w:r w:rsidRPr="000C7C76">
        <w:rPr>
          <w:rFonts w:asciiTheme="majorBidi" w:hAnsiTheme="majorBidi" w:cstheme="majorBidi"/>
          <w:lang w:val="de-DE"/>
        </w:rPr>
        <w:t>laulības</w:t>
      </w:r>
      <w:proofErr w:type="spellEnd"/>
      <w:r w:rsidRPr="000C7C76">
        <w:rPr>
          <w:rFonts w:asciiTheme="majorBidi" w:hAnsiTheme="majorBidi" w:cstheme="majorBidi"/>
          <w:lang w:val="de-DE"/>
        </w:rPr>
        <w:t xml:space="preserve"> </w:t>
      </w:r>
      <w:proofErr w:type="spellStart"/>
      <w:r w:rsidRPr="000C7C76">
        <w:rPr>
          <w:rFonts w:asciiTheme="majorBidi" w:hAnsiTheme="majorBidi" w:cstheme="majorBidi"/>
          <w:lang w:val="de-DE"/>
        </w:rPr>
        <w:t>apliecības</w:t>
      </w:r>
      <w:proofErr w:type="spellEnd"/>
      <w:r w:rsidRPr="000C7C76">
        <w:rPr>
          <w:rFonts w:asciiTheme="majorBidi" w:hAnsiTheme="majorBidi" w:cstheme="majorBidi"/>
          <w:lang w:val="de-DE"/>
        </w:rPr>
        <w:t xml:space="preserve">, </w:t>
      </w:r>
      <w:proofErr w:type="spellStart"/>
      <w:r w:rsidRPr="000C7C76">
        <w:rPr>
          <w:rFonts w:asciiTheme="majorBidi" w:hAnsiTheme="majorBidi" w:cstheme="majorBidi"/>
          <w:lang w:val="de-DE"/>
        </w:rPr>
        <w:t>miršanas</w:t>
      </w:r>
      <w:proofErr w:type="spellEnd"/>
      <w:r w:rsidRPr="000C7C76">
        <w:rPr>
          <w:rFonts w:asciiTheme="majorBidi" w:hAnsiTheme="majorBidi" w:cstheme="majorBidi"/>
          <w:lang w:val="de-DE"/>
        </w:rPr>
        <w:t xml:space="preserve"> </w:t>
      </w:r>
      <w:proofErr w:type="spellStart"/>
      <w:r w:rsidRPr="000C7C76">
        <w:rPr>
          <w:rFonts w:asciiTheme="majorBidi" w:hAnsiTheme="majorBidi" w:cstheme="majorBidi"/>
          <w:lang w:val="de-DE"/>
        </w:rPr>
        <w:t>apliecības</w:t>
      </w:r>
      <w:proofErr w:type="spellEnd"/>
      <w:r w:rsidRPr="000C7C76">
        <w:rPr>
          <w:rFonts w:asciiTheme="majorBidi" w:hAnsiTheme="majorBidi" w:cstheme="majorBidi"/>
          <w:lang w:val="de-DE"/>
        </w:rPr>
        <w:t xml:space="preserve">, </w:t>
      </w:r>
      <w:proofErr w:type="spellStart"/>
      <w:r w:rsidRPr="000C7C76">
        <w:rPr>
          <w:rFonts w:asciiTheme="majorBidi" w:hAnsiTheme="majorBidi" w:cstheme="majorBidi"/>
          <w:lang w:val="de-DE"/>
        </w:rPr>
        <w:t>dzimšanas</w:t>
      </w:r>
      <w:proofErr w:type="spellEnd"/>
      <w:r w:rsidRPr="000C7C76">
        <w:rPr>
          <w:rFonts w:asciiTheme="majorBidi" w:hAnsiTheme="majorBidi" w:cstheme="majorBidi"/>
          <w:lang w:val="de-DE"/>
        </w:rPr>
        <w:t xml:space="preserve"> </w:t>
      </w:r>
      <w:proofErr w:type="spellStart"/>
      <w:r w:rsidRPr="000C7C76">
        <w:rPr>
          <w:rFonts w:asciiTheme="majorBidi" w:hAnsiTheme="majorBidi" w:cstheme="majorBidi"/>
          <w:lang w:val="de-DE"/>
        </w:rPr>
        <w:t>apliecības</w:t>
      </w:r>
      <w:proofErr w:type="spellEnd"/>
      <w:r w:rsidRPr="000C7C76">
        <w:rPr>
          <w:rFonts w:asciiTheme="majorBidi" w:hAnsiTheme="majorBidi" w:cstheme="majorBidi"/>
          <w:lang w:val="de-DE"/>
        </w:rPr>
        <w:t xml:space="preserve">, </w:t>
      </w:r>
      <w:proofErr w:type="spellStart"/>
      <w:r w:rsidRPr="000C7C76">
        <w:rPr>
          <w:rFonts w:asciiTheme="majorBidi" w:hAnsiTheme="majorBidi" w:cstheme="majorBidi"/>
          <w:lang w:val="de-DE"/>
        </w:rPr>
        <w:t>augstskolu</w:t>
      </w:r>
      <w:proofErr w:type="spellEnd"/>
      <w:r w:rsidRPr="000C7C76">
        <w:rPr>
          <w:rFonts w:asciiTheme="majorBidi" w:hAnsiTheme="majorBidi" w:cstheme="majorBidi"/>
          <w:lang w:val="de-DE"/>
        </w:rPr>
        <w:t xml:space="preserve"> </w:t>
      </w:r>
      <w:proofErr w:type="spellStart"/>
      <w:r w:rsidRPr="000C7C76">
        <w:rPr>
          <w:rFonts w:asciiTheme="majorBidi" w:hAnsiTheme="majorBidi" w:cstheme="majorBidi"/>
          <w:lang w:val="de-DE"/>
        </w:rPr>
        <w:t>diplomi</w:t>
      </w:r>
      <w:proofErr w:type="spellEnd"/>
      <w:r w:rsidRPr="000C7C76">
        <w:rPr>
          <w:rFonts w:asciiTheme="majorBidi" w:hAnsiTheme="majorBidi" w:cstheme="majorBidi"/>
          <w:lang w:val="de-DE"/>
        </w:rPr>
        <w:t xml:space="preserve">, </w:t>
      </w:r>
      <w:proofErr w:type="spellStart"/>
      <w:r w:rsidRPr="000C7C76">
        <w:rPr>
          <w:rFonts w:asciiTheme="majorBidi" w:hAnsiTheme="majorBidi" w:cstheme="majorBidi"/>
          <w:lang w:val="de-DE"/>
        </w:rPr>
        <w:t>izraksti</w:t>
      </w:r>
      <w:proofErr w:type="spellEnd"/>
      <w:r w:rsidRPr="000C7C76">
        <w:rPr>
          <w:rFonts w:asciiTheme="majorBidi" w:hAnsiTheme="majorBidi" w:cstheme="majorBidi"/>
          <w:lang w:val="de-DE"/>
        </w:rPr>
        <w:t xml:space="preserve"> </w:t>
      </w:r>
      <w:proofErr w:type="spellStart"/>
      <w:r w:rsidRPr="000C7C76">
        <w:rPr>
          <w:rFonts w:asciiTheme="majorBidi" w:hAnsiTheme="majorBidi" w:cstheme="majorBidi"/>
          <w:lang w:val="de-DE"/>
        </w:rPr>
        <w:t>no</w:t>
      </w:r>
      <w:proofErr w:type="spellEnd"/>
      <w:r w:rsidRPr="000C7C76">
        <w:rPr>
          <w:rFonts w:asciiTheme="majorBidi" w:hAnsiTheme="majorBidi" w:cstheme="majorBidi"/>
          <w:lang w:val="de-DE"/>
        </w:rPr>
        <w:t xml:space="preserve"> </w:t>
      </w:r>
      <w:proofErr w:type="spellStart"/>
      <w:r w:rsidRPr="000C7C76">
        <w:rPr>
          <w:rFonts w:asciiTheme="majorBidi" w:hAnsiTheme="majorBidi" w:cstheme="majorBidi"/>
          <w:u w:val="single"/>
          <w:lang w:val="de-DE"/>
        </w:rPr>
        <w:t>publiskiem</w:t>
      </w:r>
      <w:proofErr w:type="spellEnd"/>
      <w:r w:rsidRPr="000C7C76">
        <w:rPr>
          <w:rFonts w:asciiTheme="majorBidi" w:hAnsiTheme="majorBidi" w:cstheme="majorBidi"/>
          <w:u w:val="single"/>
          <w:lang w:val="de-DE"/>
        </w:rPr>
        <w:t xml:space="preserve"> </w:t>
      </w:r>
      <w:proofErr w:type="spellStart"/>
      <w:r w:rsidRPr="000C7C76">
        <w:rPr>
          <w:rFonts w:asciiTheme="majorBidi" w:hAnsiTheme="majorBidi" w:cstheme="majorBidi"/>
          <w:u w:val="single"/>
          <w:lang w:val="de-DE"/>
        </w:rPr>
        <w:t>reģistriem</w:t>
      </w:r>
      <w:proofErr w:type="spellEnd"/>
      <w:r w:rsidRPr="000C7C76">
        <w:rPr>
          <w:rFonts w:asciiTheme="majorBidi" w:hAnsiTheme="majorBidi" w:cstheme="majorBidi"/>
          <w:lang w:val="de-DE"/>
        </w:rPr>
        <w:t xml:space="preserve">, </w:t>
      </w:r>
      <w:proofErr w:type="spellStart"/>
      <w:r w:rsidRPr="000C7C76">
        <w:rPr>
          <w:rFonts w:asciiTheme="majorBidi" w:hAnsiTheme="majorBidi" w:cstheme="majorBidi"/>
          <w:u w:val="single"/>
          <w:lang w:val="de-DE"/>
        </w:rPr>
        <w:t>komercreģistriem</w:t>
      </w:r>
      <w:proofErr w:type="spellEnd"/>
      <w:r w:rsidRPr="000C7C76">
        <w:rPr>
          <w:rFonts w:asciiTheme="majorBidi" w:hAnsiTheme="majorBidi" w:cstheme="majorBidi"/>
          <w:lang w:val="de-DE"/>
        </w:rPr>
        <w:t xml:space="preserve">, </w:t>
      </w:r>
      <w:proofErr w:type="spellStart"/>
      <w:r w:rsidRPr="000C7C76">
        <w:rPr>
          <w:rFonts w:asciiTheme="majorBidi" w:hAnsiTheme="majorBidi" w:cstheme="majorBidi"/>
          <w:lang w:val="de-DE"/>
        </w:rPr>
        <w:t>patenti</w:t>
      </w:r>
      <w:proofErr w:type="spellEnd"/>
      <w:r w:rsidRPr="000C7C76">
        <w:rPr>
          <w:rFonts w:asciiTheme="majorBidi" w:hAnsiTheme="majorBidi" w:cstheme="majorBidi"/>
          <w:lang w:val="de-DE"/>
        </w:rPr>
        <w:t>.</w:t>
      </w:r>
      <w:r w:rsidRPr="001A3712">
        <w:rPr>
          <w:rStyle w:val="FootnoteReference"/>
          <w:rFonts w:asciiTheme="majorBidi" w:hAnsiTheme="majorBidi" w:cstheme="majorBidi"/>
        </w:rPr>
        <w:footnoteReference w:id="123"/>
      </w:r>
      <w:r w:rsidRPr="000C7C76">
        <w:rPr>
          <w:rFonts w:asciiTheme="majorBidi" w:hAnsiTheme="majorBidi" w:cstheme="majorBidi"/>
          <w:lang w:val="de-DE"/>
        </w:rPr>
        <w:t xml:space="preserve"> </w:t>
      </w:r>
    </w:p>
    <w:p w14:paraId="7237143C" w14:textId="77777777" w:rsidR="00114953" w:rsidRPr="000C7C76" w:rsidRDefault="00114953" w:rsidP="00114953">
      <w:pPr>
        <w:ind w:firstLine="708"/>
        <w:jc w:val="both"/>
        <w:rPr>
          <w:rFonts w:asciiTheme="majorBidi" w:hAnsiTheme="majorBidi" w:cstheme="majorBidi"/>
          <w:lang w:val="de-DE"/>
        </w:rPr>
      </w:pPr>
    </w:p>
    <w:p w14:paraId="46102514" w14:textId="77777777" w:rsidR="00114953" w:rsidRPr="00177960" w:rsidRDefault="00114953" w:rsidP="00114953">
      <w:pPr>
        <w:ind w:firstLine="708"/>
        <w:jc w:val="both"/>
        <w:rPr>
          <w:rFonts w:asciiTheme="majorBidi" w:hAnsiTheme="majorBidi" w:cstheme="majorBidi"/>
          <w:lang w:val="de-DE"/>
        </w:rPr>
      </w:pPr>
      <w:proofErr w:type="spellStart"/>
      <w:r w:rsidRPr="00177960">
        <w:rPr>
          <w:rFonts w:asciiTheme="majorBidi" w:hAnsiTheme="majorBidi" w:cstheme="majorBidi"/>
          <w:lang w:val="de-DE"/>
        </w:rPr>
        <w:t>Hāgas</w:t>
      </w:r>
      <w:proofErr w:type="spellEnd"/>
      <w:r w:rsidRPr="00177960">
        <w:rPr>
          <w:rFonts w:asciiTheme="majorBidi" w:hAnsiTheme="majorBidi" w:cstheme="majorBidi"/>
          <w:lang w:val="de-DE"/>
        </w:rPr>
        <w:t xml:space="preserve"> </w:t>
      </w:r>
      <w:proofErr w:type="spellStart"/>
      <w:r w:rsidRPr="00177960">
        <w:rPr>
          <w:rFonts w:asciiTheme="majorBidi" w:hAnsiTheme="majorBidi" w:cstheme="majorBidi"/>
          <w:lang w:val="de-DE"/>
        </w:rPr>
        <w:t>Dokumentu</w:t>
      </w:r>
      <w:proofErr w:type="spellEnd"/>
      <w:r w:rsidRPr="00177960">
        <w:rPr>
          <w:rFonts w:asciiTheme="majorBidi" w:hAnsiTheme="majorBidi" w:cstheme="majorBidi"/>
          <w:lang w:val="de-DE"/>
        </w:rPr>
        <w:t xml:space="preserve"> </w:t>
      </w:r>
      <w:proofErr w:type="spellStart"/>
      <w:r w:rsidRPr="00177960">
        <w:rPr>
          <w:rFonts w:asciiTheme="majorBidi" w:hAnsiTheme="majorBidi" w:cstheme="majorBidi"/>
          <w:lang w:val="de-DE"/>
        </w:rPr>
        <w:t>legalizācijas</w:t>
      </w:r>
      <w:proofErr w:type="spellEnd"/>
      <w:r w:rsidRPr="00177960">
        <w:rPr>
          <w:rFonts w:asciiTheme="majorBidi" w:hAnsiTheme="majorBidi" w:cstheme="majorBidi"/>
          <w:lang w:val="de-DE"/>
        </w:rPr>
        <w:t xml:space="preserve"> </w:t>
      </w:r>
      <w:proofErr w:type="spellStart"/>
      <w:r w:rsidRPr="00177960">
        <w:rPr>
          <w:rFonts w:asciiTheme="majorBidi" w:hAnsiTheme="majorBidi" w:cstheme="majorBidi"/>
          <w:lang w:val="de-DE"/>
        </w:rPr>
        <w:t>atcelšanas</w:t>
      </w:r>
      <w:proofErr w:type="spellEnd"/>
      <w:r w:rsidRPr="00177960">
        <w:rPr>
          <w:rFonts w:asciiTheme="majorBidi" w:hAnsiTheme="majorBidi" w:cstheme="majorBidi"/>
          <w:lang w:val="de-DE"/>
        </w:rPr>
        <w:t xml:space="preserve"> </w:t>
      </w:r>
      <w:proofErr w:type="spellStart"/>
      <w:r w:rsidRPr="00177960">
        <w:rPr>
          <w:rFonts w:asciiTheme="majorBidi" w:hAnsiTheme="majorBidi" w:cstheme="majorBidi"/>
          <w:lang w:val="de-DE"/>
        </w:rPr>
        <w:t>konvencijas</w:t>
      </w:r>
      <w:proofErr w:type="spellEnd"/>
      <w:r w:rsidRPr="00177960">
        <w:rPr>
          <w:rFonts w:asciiTheme="majorBidi" w:hAnsiTheme="majorBidi" w:cstheme="majorBidi"/>
          <w:lang w:val="de-DE"/>
        </w:rPr>
        <w:t xml:space="preserve"> </w:t>
      </w:r>
      <w:proofErr w:type="spellStart"/>
      <w:r w:rsidRPr="00177960">
        <w:rPr>
          <w:rFonts w:asciiTheme="majorBidi" w:hAnsiTheme="majorBidi" w:cstheme="majorBidi"/>
          <w:lang w:val="de-DE"/>
        </w:rPr>
        <w:t>izpratnē</w:t>
      </w:r>
      <w:proofErr w:type="spellEnd"/>
      <w:r w:rsidRPr="00177960">
        <w:rPr>
          <w:rFonts w:asciiTheme="majorBidi" w:hAnsiTheme="majorBidi" w:cstheme="majorBidi"/>
          <w:lang w:val="de-DE"/>
        </w:rPr>
        <w:t xml:space="preserve"> </w:t>
      </w:r>
      <w:r>
        <w:rPr>
          <w:rFonts w:asciiTheme="majorBidi" w:hAnsiTheme="majorBidi" w:cstheme="majorBidi"/>
          <w:lang w:val="de-DE"/>
        </w:rPr>
        <w:t>„</w:t>
      </w:r>
      <w:proofErr w:type="spellStart"/>
      <w:r w:rsidRPr="00177960">
        <w:rPr>
          <w:rFonts w:asciiTheme="majorBidi" w:hAnsiTheme="majorBidi" w:cstheme="majorBidi"/>
          <w:b/>
          <w:iCs/>
          <w:lang w:val="de-DE"/>
        </w:rPr>
        <w:t>publiskie</w:t>
      </w:r>
      <w:proofErr w:type="spellEnd"/>
      <w:r w:rsidRPr="00177960">
        <w:rPr>
          <w:rFonts w:asciiTheme="majorBidi" w:hAnsiTheme="majorBidi" w:cstheme="majorBidi"/>
          <w:b/>
          <w:iCs/>
          <w:lang w:val="de-DE"/>
        </w:rPr>
        <w:t xml:space="preserve"> </w:t>
      </w:r>
      <w:proofErr w:type="spellStart"/>
      <w:r w:rsidRPr="00177960">
        <w:rPr>
          <w:rFonts w:asciiTheme="majorBidi" w:hAnsiTheme="majorBidi" w:cstheme="majorBidi"/>
          <w:b/>
          <w:iCs/>
          <w:lang w:val="de-DE"/>
        </w:rPr>
        <w:t>dokumenti</w:t>
      </w:r>
      <w:proofErr w:type="spellEnd"/>
      <w:r>
        <w:rPr>
          <w:rFonts w:asciiTheme="majorBidi" w:hAnsiTheme="majorBidi" w:cstheme="majorBidi"/>
          <w:b/>
          <w:iCs/>
          <w:lang w:val="de-DE"/>
        </w:rPr>
        <w:t>“</w:t>
      </w:r>
      <w:r w:rsidRPr="00177960">
        <w:rPr>
          <w:rFonts w:asciiTheme="majorBidi" w:hAnsiTheme="majorBidi" w:cstheme="majorBidi"/>
          <w:b/>
          <w:iCs/>
          <w:lang w:val="de-DE"/>
        </w:rPr>
        <w:t xml:space="preserve"> </w:t>
      </w:r>
      <w:proofErr w:type="spellStart"/>
      <w:r w:rsidRPr="00177960">
        <w:rPr>
          <w:rFonts w:asciiTheme="majorBidi" w:hAnsiTheme="majorBidi" w:cstheme="majorBidi"/>
          <w:b/>
          <w:iCs/>
          <w:lang w:val="de-DE"/>
        </w:rPr>
        <w:t>nav</w:t>
      </w:r>
      <w:proofErr w:type="spellEnd"/>
      <w:r w:rsidRPr="00177960">
        <w:rPr>
          <w:rFonts w:asciiTheme="majorBidi" w:hAnsiTheme="majorBidi" w:cstheme="majorBidi"/>
          <w:lang w:val="de-DE"/>
        </w:rPr>
        <w:t>:</w:t>
      </w:r>
      <w:r w:rsidRPr="00177960">
        <w:rPr>
          <w:rStyle w:val="FootnoteReference"/>
          <w:rFonts w:asciiTheme="majorBidi" w:hAnsiTheme="majorBidi" w:cstheme="majorBidi"/>
          <w:lang w:val="de-DE"/>
        </w:rPr>
        <w:footnoteReference w:id="124"/>
      </w:r>
    </w:p>
    <w:p w14:paraId="746B3DAA" w14:textId="77777777" w:rsidR="00114953" w:rsidRPr="00177960" w:rsidRDefault="00114953" w:rsidP="00114953">
      <w:pPr>
        <w:jc w:val="both"/>
        <w:rPr>
          <w:rFonts w:asciiTheme="majorBidi" w:hAnsiTheme="majorBidi" w:cstheme="majorBidi"/>
          <w:lang w:val="de-DE"/>
        </w:rPr>
      </w:pPr>
      <w:r w:rsidRPr="00177960">
        <w:rPr>
          <w:rFonts w:asciiTheme="majorBidi" w:hAnsiTheme="majorBidi" w:cstheme="majorBidi"/>
          <w:lang w:val="de-DE"/>
        </w:rPr>
        <w:t xml:space="preserve">a) </w:t>
      </w:r>
      <w:proofErr w:type="spellStart"/>
      <w:r w:rsidRPr="00177960">
        <w:rPr>
          <w:rFonts w:asciiTheme="majorBidi" w:hAnsiTheme="majorBidi" w:cstheme="majorBidi"/>
          <w:lang w:val="de-DE"/>
        </w:rPr>
        <w:t>dokumenti</w:t>
      </w:r>
      <w:proofErr w:type="spellEnd"/>
      <w:r w:rsidRPr="00177960">
        <w:rPr>
          <w:rFonts w:asciiTheme="majorBidi" w:hAnsiTheme="majorBidi" w:cstheme="majorBidi"/>
          <w:lang w:val="de-DE"/>
        </w:rPr>
        <w:t xml:space="preserve">, </w:t>
      </w:r>
      <w:proofErr w:type="spellStart"/>
      <w:r w:rsidRPr="00177960">
        <w:rPr>
          <w:rFonts w:asciiTheme="majorBidi" w:hAnsiTheme="majorBidi" w:cstheme="majorBidi"/>
          <w:lang w:val="de-DE"/>
        </w:rPr>
        <w:t>ko</w:t>
      </w:r>
      <w:proofErr w:type="spellEnd"/>
      <w:r w:rsidRPr="00177960">
        <w:rPr>
          <w:rFonts w:asciiTheme="majorBidi" w:hAnsiTheme="majorBidi" w:cstheme="majorBidi"/>
          <w:lang w:val="de-DE"/>
        </w:rPr>
        <w:t xml:space="preserve"> </w:t>
      </w:r>
      <w:proofErr w:type="spellStart"/>
      <w:r w:rsidRPr="00177960">
        <w:rPr>
          <w:rFonts w:asciiTheme="majorBidi" w:hAnsiTheme="majorBidi" w:cstheme="majorBidi"/>
          <w:lang w:val="de-DE"/>
        </w:rPr>
        <w:t>izdevuši</w:t>
      </w:r>
      <w:proofErr w:type="spellEnd"/>
      <w:r w:rsidRPr="00177960">
        <w:rPr>
          <w:rFonts w:asciiTheme="majorBidi" w:hAnsiTheme="majorBidi" w:cstheme="majorBidi"/>
          <w:lang w:val="de-DE"/>
        </w:rPr>
        <w:t xml:space="preserve"> </w:t>
      </w:r>
      <w:proofErr w:type="spellStart"/>
      <w:r w:rsidRPr="00177960">
        <w:rPr>
          <w:rFonts w:asciiTheme="majorBidi" w:hAnsiTheme="majorBidi" w:cstheme="majorBidi"/>
          <w:lang w:val="de-DE"/>
        </w:rPr>
        <w:t>diplomātiskie</w:t>
      </w:r>
      <w:proofErr w:type="spellEnd"/>
      <w:r w:rsidRPr="00177960">
        <w:rPr>
          <w:rFonts w:asciiTheme="majorBidi" w:hAnsiTheme="majorBidi" w:cstheme="majorBidi"/>
          <w:lang w:val="de-DE"/>
        </w:rPr>
        <w:t xml:space="preserve"> </w:t>
      </w:r>
      <w:proofErr w:type="spellStart"/>
      <w:r w:rsidRPr="00177960">
        <w:rPr>
          <w:rFonts w:asciiTheme="majorBidi" w:hAnsiTheme="majorBidi" w:cstheme="majorBidi"/>
          <w:lang w:val="de-DE"/>
        </w:rPr>
        <w:t>vai</w:t>
      </w:r>
      <w:proofErr w:type="spellEnd"/>
      <w:r w:rsidRPr="00177960">
        <w:rPr>
          <w:rFonts w:asciiTheme="majorBidi" w:hAnsiTheme="majorBidi" w:cstheme="majorBidi"/>
          <w:lang w:val="de-DE"/>
        </w:rPr>
        <w:t xml:space="preserve"> </w:t>
      </w:r>
      <w:proofErr w:type="spellStart"/>
      <w:r w:rsidRPr="00177960">
        <w:rPr>
          <w:rFonts w:asciiTheme="majorBidi" w:hAnsiTheme="majorBidi" w:cstheme="majorBidi"/>
          <w:lang w:val="de-DE"/>
        </w:rPr>
        <w:t>konsulārie</w:t>
      </w:r>
      <w:proofErr w:type="spellEnd"/>
      <w:r w:rsidRPr="00177960">
        <w:rPr>
          <w:rFonts w:asciiTheme="majorBidi" w:hAnsiTheme="majorBidi" w:cstheme="majorBidi"/>
          <w:lang w:val="de-DE"/>
        </w:rPr>
        <w:t xml:space="preserve"> </w:t>
      </w:r>
      <w:proofErr w:type="spellStart"/>
      <w:r w:rsidRPr="00177960">
        <w:rPr>
          <w:rFonts w:asciiTheme="majorBidi" w:hAnsiTheme="majorBidi" w:cstheme="majorBidi"/>
          <w:lang w:val="de-DE"/>
        </w:rPr>
        <w:t>darbinieki</w:t>
      </w:r>
      <w:proofErr w:type="spellEnd"/>
      <w:r w:rsidRPr="00177960">
        <w:rPr>
          <w:rFonts w:asciiTheme="majorBidi" w:hAnsiTheme="majorBidi" w:cstheme="majorBidi"/>
          <w:lang w:val="de-DE"/>
        </w:rPr>
        <w:t xml:space="preserve">; </w:t>
      </w:r>
      <w:proofErr w:type="spellStart"/>
      <w:r w:rsidRPr="00177960">
        <w:rPr>
          <w:rFonts w:asciiTheme="majorBidi" w:hAnsiTheme="majorBidi" w:cstheme="majorBidi"/>
          <w:lang w:val="de-DE"/>
        </w:rPr>
        <w:t>un</w:t>
      </w:r>
      <w:proofErr w:type="spellEnd"/>
    </w:p>
    <w:p w14:paraId="512994F3" w14:textId="77777777" w:rsidR="00114953" w:rsidRDefault="00114953" w:rsidP="00114953">
      <w:pPr>
        <w:jc w:val="both"/>
        <w:rPr>
          <w:rFonts w:asciiTheme="majorBidi" w:hAnsiTheme="majorBidi" w:cstheme="majorBidi"/>
          <w:lang w:val="de-DE"/>
        </w:rPr>
      </w:pPr>
      <w:r w:rsidRPr="00177960">
        <w:rPr>
          <w:rFonts w:asciiTheme="majorBidi" w:hAnsiTheme="majorBidi" w:cstheme="majorBidi"/>
          <w:lang w:val="de-DE"/>
        </w:rPr>
        <w:t xml:space="preserve">b) </w:t>
      </w:r>
      <w:proofErr w:type="spellStart"/>
      <w:r w:rsidRPr="00177960">
        <w:rPr>
          <w:rFonts w:asciiTheme="majorBidi" w:hAnsiTheme="majorBidi" w:cstheme="majorBidi"/>
          <w:lang w:val="de-DE"/>
        </w:rPr>
        <w:t>administratīvie</w:t>
      </w:r>
      <w:proofErr w:type="spellEnd"/>
      <w:r w:rsidRPr="00177960">
        <w:rPr>
          <w:rFonts w:asciiTheme="majorBidi" w:hAnsiTheme="majorBidi" w:cstheme="majorBidi"/>
          <w:lang w:val="de-DE"/>
        </w:rPr>
        <w:t xml:space="preserve"> </w:t>
      </w:r>
      <w:proofErr w:type="spellStart"/>
      <w:r w:rsidRPr="00177960">
        <w:rPr>
          <w:rFonts w:asciiTheme="majorBidi" w:hAnsiTheme="majorBidi" w:cstheme="majorBidi"/>
          <w:lang w:val="de-DE"/>
        </w:rPr>
        <w:t>dokumenti</w:t>
      </w:r>
      <w:proofErr w:type="spellEnd"/>
      <w:r w:rsidRPr="00177960">
        <w:rPr>
          <w:rFonts w:asciiTheme="majorBidi" w:hAnsiTheme="majorBidi" w:cstheme="majorBidi"/>
          <w:lang w:val="de-DE"/>
        </w:rPr>
        <w:t xml:space="preserve">, </w:t>
      </w:r>
      <w:proofErr w:type="spellStart"/>
      <w:r w:rsidRPr="00177960">
        <w:rPr>
          <w:rFonts w:asciiTheme="majorBidi" w:hAnsiTheme="majorBidi" w:cstheme="majorBidi"/>
          <w:lang w:val="de-DE"/>
        </w:rPr>
        <w:t>kas</w:t>
      </w:r>
      <w:proofErr w:type="spellEnd"/>
      <w:r w:rsidRPr="00177960">
        <w:rPr>
          <w:rFonts w:asciiTheme="majorBidi" w:hAnsiTheme="majorBidi" w:cstheme="majorBidi"/>
          <w:lang w:val="de-DE"/>
        </w:rPr>
        <w:t xml:space="preserve"> </w:t>
      </w:r>
      <w:proofErr w:type="spellStart"/>
      <w:r w:rsidRPr="00177960">
        <w:rPr>
          <w:rFonts w:asciiTheme="majorBidi" w:hAnsiTheme="majorBidi" w:cstheme="majorBidi"/>
          <w:lang w:val="de-DE"/>
        </w:rPr>
        <w:t>tieši</w:t>
      </w:r>
      <w:proofErr w:type="spellEnd"/>
      <w:r w:rsidRPr="00177960">
        <w:rPr>
          <w:rFonts w:asciiTheme="majorBidi" w:hAnsiTheme="majorBidi" w:cstheme="majorBidi"/>
          <w:lang w:val="de-DE"/>
        </w:rPr>
        <w:t xml:space="preserve"> </w:t>
      </w:r>
      <w:proofErr w:type="spellStart"/>
      <w:r w:rsidRPr="00177960">
        <w:rPr>
          <w:rFonts w:asciiTheme="majorBidi" w:hAnsiTheme="majorBidi" w:cstheme="majorBidi"/>
          <w:lang w:val="de-DE"/>
        </w:rPr>
        <w:t>attiecas</w:t>
      </w:r>
      <w:proofErr w:type="spellEnd"/>
      <w:r w:rsidRPr="00177960">
        <w:rPr>
          <w:rFonts w:asciiTheme="majorBidi" w:hAnsiTheme="majorBidi" w:cstheme="majorBidi"/>
          <w:lang w:val="de-DE"/>
        </w:rPr>
        <w:t xml:space="preserve"> </w:t>
      </w:r>
      <w:proofErr w:type="spellStart"/>
      <w:r w:rsidRPr="00177960">
        <w:rPr>
          <w:rFonts w:asciiTheme="majorBidi" w:hAnsiTheme="majorBidi" w:cstheme="majorBidi"/>
          <w:lang w:val="de-DE"/>
        </w:rPr>
        <w:t>uz</w:t>
      </w:r>
      <w:proofErr w:type="spellEnd"/>
      <w:r w:rsidRPr="00177960">
        <w:rPr>
          <w:rFonts w:asciiTheme="majorBidi" w:hAnsiTheme="majorBidi" w:cstheme="majorBidi"/>
          <w:lang w:val="de-DE"/>
        </w:rPr>
        <w:t xml:space="preserve"> </w:t>
      </w:r>
      <w:proofErr w:type="spellStart"/>
      <w:r w:rsidRPr="00177960">
        <w:rPr>
          <w:rFonts w:asciiTheme="majorBidi" w:hAnsiTheme="majorBidi" w:cstheme="majorBidi"/>
          <w:lang w:val="de-DE"/>
        </w:rPr>
        <w:t>tirdzniecības</w:t>
      </w:r>
      <w:proofErr w:type="spellEnd"/>
      <w:r w:rsidRPr="00177960">
        <w:rPr>
          <w:rFonts w:asciiTheme="majorBidi" w:hAnsiTheme="majorBidi" w:cstheme="majorBidi"/>
          <w:lang w:val="de-DE"/>
        </w:rPr>
        <w:t xml:space="preserve"> </w:t>
      </w:r>
      <w:proofErr w:type="spellStart"/>
      <w:r w:rsidRPr="00177960">
        <w:rPr>
          <w:rFonts w:asciiTheme="majorBidi" w:hAnsiTheme="majorBidi" w:cstheme="majorBidi"/>
          <w:lang w:val="de-DE"/>
        </w:rPr>
        <w:t>vai</w:t>
      </w:r>
      <w:proofErr w:type="spellEnd"/>
      <w:r w:rsidRPr="00177960">
        <w:rPr>
          <w:rFonts w:asciiTheme="majorBidi" w:hAnsiTheme="majorBidi" w:cstheme="majorBidi"/>
          <w:lang w:val="de-DE"/>
        </w:rPr>
        <w:t xml:space="preserve"> </w:t>
      </w:r>
      <w:proofErr w:type="spellStart"/>
      <w:r w:rsidRPr="00177960">
        <w:rPr>
          <w:rFonts w:asciiTheme="majorBidi" w:hAnsiTheme="majorBidi" w:cstheme="majorBidi"/>
          <w:lang w:val="de-DE"/>
        </w:rPr>
        <w:t>muitas</w:t>
      </w:r>
      <w:proofErr w:type="spellEnd"/>
      <w:r w:rsidRPr="00177960">
        <w:rPr>
          <w:rFonts w:asciiTheme="majorBidi" w:hAnsiTheme="majorBidi" w:cstheme="majorBidi"/>
          <w:lang w:val="de-DE"/>
        </w:rPr>
        <w:t xml:space="preserve"> </w:t>
      </w:r>
      <w:proofErr w:type="spellStart"/>
      <w:r w:rsidRPr="00177960">
        <w:rPr>
          <w:rFonts w:asciiTheme="majorBidi" w:hAnsiTheme="majorBidi" w:cstheme="majorBidi"/>
          <w:lang w:val="de-DE"/>
        </w:rPr>
        <w:t>operācijām</w:t>
      </w:r>
      <w:proofErr w:type="spellEnd"/>
      <w:r w:rsidRPr="00177960">
        <w:rPr>
          <w:rFonts w:asciiTheme="majorBidi" w:hAnsiTheme="majorBidi" w:cstheme="majorBidi"/>
          <w:lang w:val="de-DE"/>
        </w:rPr>
        <w:t>.</w:t>
      </w:r>
    </w:p>
    <w:p w14:paraId="43440139" w14:textId="77777777" w:rsidR="00114953" w:rsidRPr="00CD4311" w:rsidRDefault="00114953" w:rsidP="00114953">
      <w:pPr>
        <w:ind w:firstLine="708"/>
        <w:jc w:val="both"/>
        <w:rPr>
          <w:rFonts w:asciiTheme="majorBidi" w:hAnsiTheme="majorBidi" w:cstheme="majorBidi"/>
          <w:lang w:val="de-DE"/>
        </w:rPr>
      </w:pPr>
      <w:proofErr w:type="spellStart"/>
      <w:r w:rsidRPr="000C7C76">
        <w:rPr>
          <w:rFonts w:asciiTheme="majorBidi" w:hAnsiTheme="majorBidi" w:cstheme="majorBidi"/>
          <w:lang w:val="de-DE"/>
        </w:rPr>
        <w:t>Jāņem</w:t>
      </w:r>
      <w:proofErr w:type="spellEnd"/>
      <w:r w:rsidRPr="000C7C76">
        <w:rPr>
          <w:rFonts w:asciiTheme="majorBidi" w:hAnsiTheme="majorBidi" w:cstheme="majorBidi"/>
          <w:lang w:val="de-DE"/>
        </w:rPr>
        <w:t xml:space="preserve"> </w:t>
      </w:r>
      <w:proofErr w:type="spellStart"/>
      <w:r w:rsidRPr="000C7C76">
        <w:rPr>
          <w:rFonts w:asciiTheme="majorBidi" w:hAnsiTheme="majorBidi" w:cstheme="majorBidi"/>
          <w:lang w:val="de-DE"/>
        </w:rPr>
        <w:t>arī</w:t>
      </w:r>
      <w:proofErr w:type="spellEnd"/>
      <w:r w:rsidRPr="000C7C76">
        <w:rPr>
          <w:rFonts w:asciiTheme="majorBidi" w:hAnsiTheme="majorBidi" w:cstheme="majorBidi"/>
          <w:lang w:val="de-DE"/>
        </w:rPr>
        <w:t xml:space="preserve"> </w:t>
      </w:r>
      <w:proofErr w:type="spellStart"/>
      <w:r w:rsidRPr="000C7C76">
        <w:rPr>
          <w:rFonts w:asciiTheme="majorBidi" w:hAnsiTheme="majorBidi" w:cstheme="majorBidi"/>
          <w:lang w:val="de-DE"/>
        </w:rPr>
        <w:t>vērā</w:t>
      </w:r>
      <w:proofErr w:type="spellEnd"/>
      <w:r w:rsidRPr="000C7C76">
        <w:rPr>
          <w:rFonts w:asciiTheme="majorBidi" w:hAnsiTheme="majorBidi" w:cstheme="majorBidi"/>
          <w:lang w:val="de-DE"/>
        </w:rPr>
        <w:t xml:space="preserve">, </w:t>
      </w:r>
      <w:proofErr w:type="spellStart"/>
      <w:r w:rsidRPr="000C7C76">
        <w:rPr>
          <w:rFonts w:asciiTheme="majorBidi" w:hAnsiTheme="majorBidi" w:cstheme="majorBidi"/>
          <w:lang w:val="de-DE"/>
        </w:rPr>
        <w:t>ka</w:t>
      </w:r>
      <w:proofErr w:type="spellEnd"/>
      <w:r w:rsidRPr="000C7C76">
        <w:rPr>
          <w:rFonts w:asciiTheme="majorBidi" w:hAnsiTheme="majorBidi" w:cstheme="majorBidi"/>
          <w:lang w:val="de-DE"/>
        </w:rPr>
        <w:t xml:space="preserve"> </w:t>
      </w:r>
      <w:proofErr w:type="spellStart"/>
      <w:r w:rsidRPr="000C7C76">
        <w:rPr>
          <w:rFonts w:asciiTheme="majorBidi" w:hAnsiTheme="majorBidi" w:cstheme="majorBidi"/>
          <w:lang w:val="de-DE"/>
        </w:rPr>
        <w:t>Hāgas</w:t>
      </w:r>
      <w:proofErr w:type="spellEnd"/>
      <w:r w:rsidRPr="000C7C76">
        <w:rPr>
          <w:rFonts w:asciiTheme="majorBidi" w:hAnsiTheme="majorBidi" w:cstheme="majorBidi"/>
          <w:lang w:val="de-DE"/>
        </w:rPr>
        <w:t xml:space="preserve"> </w:t>
      </w:r>
      <w:proofErr w:type="spellStart"/>
      <w:r w:rsidRPr="000C7C76">
        <w:rPr>
          <w:rFonts w:asciiTheme="majorBidi" w:hAnsiTheme="majorBidi" w:cstheme="majorBidi"/>
          <w:lang w:val="de-DE"/>
        </w:rPr>
        <w:t>Dokumentu</w:t>
      </w:r>
      <w:proofErr w:type="spellEnd"/>
      <w:r w:rsidRPr="000C7C76">
        <w:rPr>
          <w:rFonts w:asciiTheme="majorBidi" w:hAnsiTheme="majorBidi" w:cstheme="majorBidi"/>
          <w:lang w:val="de-DE"/>
        </w:rPr>
        <w:t xml:space="preserve"> </w:t>
      </w:r>
      <w:proofErr w:type="spellStart"/>
      <w:r w:rsidRPr="000C7C76">
        <w:rPr>
          <w:rFonts w:asciiTheme="majorBidi" w:hAnsiTheme="majorBidi" w:cstheme="majorBidi"/>
          <w:lang w:val="de-DE"/>
        </w:rPr>
        <w:t>legalizācijas</w:t>
      </w:r>
      <w:proofErr w:type="spellEnd"/>
      <w:r w:rsidRPr="000C7C76">
        <w:rPr>
          <w:rFonts w:asciiTheme="majorBidi" w:hAnsiTheme="majorBidi" w:cstheme="majorBidi"/>
          <w:lang w:val="de-DE"/>
        </w:rPr>
        <w:t xml:space="preserve"> </w:t>
      </w:r>
      <w:proofErr w:type="spellStart"/>
      <w:r w:rsidRPr="000C7C76">
        <w:rPr>
          <w:rFonts w:asciiTheme="majorBidi" w:hAnsiTheme="majorBidi" w:cstheme="majorBidi"/>
          <w:lang w:val="de-DE"/>
        </w:rPr>
        <w:t>atcelšanas</w:t>
      </w:r>
      <w:proofErr w:type="spellEnd"/>
      <w:r w:rsidRPr="000C7C76">
        <w:rPr>
          <w:rFonts w:asciiTheme="majorBidi" w:hAnsiTheme="majorBidi" w:cstheme="majorBidi"/>
          <w:lang w:val="de-DE"/>
        </w:rPr>
        <w:t xml:space="preserve"> </w:t>
      </w:r>
      <w:proofErr w:type="spellStart"/>
      <w:r w:rsidRPr="000C7C76">
        <w:rPr>
          <w:rFonts w:asciiTheme="majorBidi" w:hAnsiTheme="majorBidi" w:cstheme="majorBidi"/>
          <w:lang w:val="de-DE"/>
        </w:rPr>
        <w:t>konvencijas</w:t>
      </w:r>
      <w:proofErr w:type="spellEnd"/>
      <w:r w:rsidRPr="000C7C76">
        <w:rPr>
          <w:rFonts w:asciiTheme="majorBidi" w:hAnsiTheme="majorBidi" w:cstheme="majorBidi"/>
          <w:lang w:val="de-DE"/>
        </w:rPr>
        <w:t xml:space="preserve"> </w:t>
      </w:r>
      <w:proofErr w:type="spellStart"/>
      <w:r w:rsidRPr="000C7C76">
        <w:rPr>
          <w:rFonts w:asciiTheme="majorBidi" w:hAnsiTheme="majorBidi" w:cstheme="majorBidi"/>
          <w:lang w:val="de-DE"/>
        </w:rPr>
        <w:t>piemērošanas</w:t>
      </w:r>
      <w:proofErr w:type="spellEnd"/>
      <w:r w:rsidRPr="000C7C76">
        <w:rPr>
          <w:rFonts w:asciiTheme="majorBidi" w:hAnsiTheme="majorBidi" w:cstheme="majorBidi"/>
          <w:lang w:val="de-DE"/>
        </w:rPr>
        <w:t xml:space="preserve"> </w:t>
      </w:r>
      <w:proofErr w:type="spellStart"/>
      <w:r w:rsidRPr="000C7C76">
        <w:rPr>
          <w:rFonts w:asciiTheme="majorBidi" w:hAnsiTheme="majorBidi" w:cstheme="majorBidi"/>
          <w:lang w:val="de-DE"/>
        </w:rPr>
        <w:t>nolūkos</w:t>
      </w:r>
      <w:proofErr w:type="spellEnd"/>
      <w:r w:rsidRPr="000C7C76">
        <w:rPr>
          <w:rFonts w:asciiTheme="majorBidi" w:hAnsiTheme="majorBidi" w:cstheme="majorBidi"/>
          <w:lang w:val="de-DE"/>
        </w:rPr>
        <w:t xml:space="preserve"> </w:t>
      </w:r>
      <w:proofErr w:type="spellStart"/>
      <w:r w:rsidRPr="000C7C76">
        <w:rPr>
          <w:rFonts w:asciiTheme="majorBidi" w:hAnsiTheme="majorBidi" w:cstheme="majorBidi"/>
          <w:lang w:val="de-DE"/>
        </w:rPr>
        <w:t>dokumenta</w:t>
      </w:r>
      <w:proofErr w:type="spellEnd"/>
      <w:r w:rsidRPr="000C7C76">
        <w:rPr>
          <w:rFonts w:asciiTheme="majorBidi" w:hAnsiTheme="majorBidi" w:cstheme="majorBidi"/>
          <w:lang w:val="de-DE"/>
        </w:rPr>
        <w:t xml:space="preserve"> </w:t>
      </w:r>
      <w:proofErr w:type="spellStart"/>
      <w:r w:rsidRPr="000C7C76">
        <w:rPr>
          <w:rFonts w:asciiTheme="majorBidi" w:hAnsiTheme="majorBidi" w:cstheme="majorBidi"/>
          <w:lang w:val="de-DE"/>
        </w:rPr>
        <w:t>publisko</w:t>
      </w:r>
      <w:proofErr w:type="spellEnd"/>
      <w:r w:rsidRPr="000C7C76">
        <w:rPr>
          <w:rFonts w:asciiTheme="majorBidi" w:hAnsiTheme="majorBidi" w:cstheme="majorBidi"/>
          <w:lang w:val="de-DE"/>
        </w:rPr>
        <w:t xml:space="preserve"> </w:t>
      </w:r>
      <w:proofErr w:type="spellStart"/>
      <w:r w:rsidRPr="000C7C76">
        <w:rPr>
          <w:rFonts w:asciiTheme="majorBidi" w:hAnsiTheme="majorBidi" w:cstheme="majorBidi"/>
          <w:lang w:val="de-DE"/>
        </w:rPr>
        <w:t>raksturu</w:t>
      </w:r>
      <w:proofErr w:type="spellEnd"/>
      <w:r w:rsidRPr="000C7C76">
        <w:rPr>
          <w:rFonts w:asciiTheme="majorBidi" w:hAnsiTheme="majorBidi" w:cstheme="majorBidi"/>
          <w:lang w:val="de-DE"/>
        </w:rPr>
        <w:t xml:space="preserve"> </w:t>
      </w:r>
      <w:proofErr w:type="spellStart"/>
      <w:r w:rsidRPr="000C7C76">
        <w:rPr>
          <w:rFonts w:asciiTheme="majorBidi" w:hAnsiTheme="majorBidi" w:cstheme="majorBidi"/>
          <w:lang w:val="de-DE"/>
        </w:rPr>
        <w:t>nosaka</w:t>
      </w:r>
      <w:proofErr w:type="spellEnd"/>
      <w:r w:rsidRPr="000C7C76">
        <w:rPr>
          <w:rFonts w:asciiTheme="majorBidi" w:hAnsiTheme="majorBidi" w:cstheme="majorBidi"/>
          <w:lang w:val="de-DE"/>
        </w:rPr>
        <w:t xml:space="preserve"> </w:t>
      </w:r>
      <w:proofErr w:type="spellStart"/>
      <w:r w:rsidRPr="000C7C76">
        <w:rPr>
          <w:rFonts w:asciiTheme="majorBidi" w:hAnsiTheme="majorBidi" w:cstheme="majorBidi"/>
          <w:lang w:val="de-DE"/>
        </w:rPr>
        <w:t>saskaņā</w:t>
      </w:r>
      <w:proofErr w:type="spellEnd"/>
      <w:r w:rsidRPr="000C7C76">
        <w:rPr>
          <w:rFonts w:asciiTheme="majorBidi" w:hAnsiTheme="majorBidi" w:cstheme="majorBidi"/>
          <w:lang w:val="de-DE"/>
        </w:rPr>
        <w:t xml:space="preserve"> </w:t>
      </w:r>
      <w:proofErr w:type="spellStart"/>
      <w:r w:rsidRPr="000C7C76">
        <w:rPr>
          <w:rFonts w:asciiTheme="majorBidi" w:hAnsiTheme="majorBidi" w:cstheme="majorBidi"/>
          <w:lang w:val="de-DE"/>
        </w:rPr>
        <w:t>ar</w:t>
      </w:r>
      <w:proofErr w:type="spellEnd"/>
      <w:r w:rsidRPr="000C7C76">
        <w:rPr>
          <w:rFonts w:asciiTheme="majorBidi" w:hAnsiTheme="majorBidi" w:cstheme="majorBidi"/>
          <w:lang w:val="de-DE"/>
        </w:rPr>
        <w:t xml:space="preserve"> </w:t>
      </w:r>
      <w:proofErr w:type="spellStart"/>
      <w:r w:rsidRPr="000C7C76">
        <w:rPr>
          <w:rFonts w:asciiTheme="majorBidi" w:hAnsiTheme="majorBidi" w:cstheme="majorBidi"/>
          <w:lang w:val="de-DE"/>
        </w:rPr>
        <w:t>dokumenta</w:t>
      </w:r>
      <w:proofErr w:type="spellEnd"/>
      <w:r w:rsidRPr="000C7C76">
        <w:rPr>
          <w:rFonts w:asciiTheme="majorBidi" w:hAnsiTheme="majorBidi" w:cstheme="majorBidi"/>
          <w:lang w:val="de-DE"/>
        </w:rPr>
        <w:t xml:space="preserve"> </w:t>
      </w:r>
      <w:proofErr w:type="spellStart"/>
      <w:r w:rsidRPr="000C7C76">
        <w:rPr>
          <w:rFonts w:asciiTheme="majorBidi" w:hAnsiTheme="majorBidi" w:cstheme="majorBidi"/>
          <w:lang w:val="de-DE"/>
        </w:rPr>
        <w:t>izcelsmes</w:t>
      </w:r>
      <w:proofErr w:type="spellEnd"/>
      <w:r w:rsidRPr="000C7C76">
        <w:rPr>
          <w:rFonts w:asciiTheme="majorBidi" w:hAnsiTheme="majorBidi" w:cstheme="majorBidi"/>
          <w:color w:val="008000"/>
          <w:lang w:val="de-DE"/>
        </w:rPr>
        <w:t xml:space="preserve"> </w:t>
      </w:r>
      <w:proofErr w:type="spellStart"/>
      <w:r w:rsidRPr="000C7C76">
        <w:rPr>
          <w:rFonts w:asciiTheme="majorBidi" w:hAnsiTheme="majorBidi" w:cstheme="majorBidi"/>
          <w:lang w:val="de-DE"/>
        </w:rPr>
        <w:t>valsts</w:t>
      </w:r>
      <w:proofErr w:type="spellEnd"/>
      <w:r w:rsidRPr="000C7C76">
        <w:rPr>
          <w:rFonts w:asciiTheme="majorBidi" w:hAnsiTheme="majorBidi" w:cstheme="majorBidi"/>
          <w:lang w:val="de-DE"/>
        </w:rPr>
        <w:t xml:space="preserve"> </w:t>
      </w:r>
      <w:proofErr w:type="spellStart"/>
      <w:r w:rsidRPr="000C7C76">
        <w:rPr>
          <w:rFonts w:asciiTheme="majorBidi" w:hAnsiTheme="majorBidi" w:cstheme="majorBidi"/>
          <w:lang w:val="de-DE"/>
        </w:rPr>
        <w:t>tiesību</w:t>
      </w:r>
      <w:proofErr w:type="spellEnd"/>
      <w:r w:rsidRPr="000C7C76">
        <w:rPr>
          <w:rFonts w:asciiTheme="majorBidi" w:hAnsiTheme="majorBidi" w:cstheme="majorBidi"/>
          <w:lang w:val="de-DE"/>
        </w:rPr>
        <w:t xml:space="preserve"> </w:t>
      </w:r>
      <w:proofErr w:type="spellStart"/>
      <w:r w:rsidRPr="000C7C76">
        <w:rPr>
          <w:rFonts w:asciiTheme="majorBidi" w:hAnsiTheme="majorBidi" w:cstheme="majorBidi"/>
          <w:lang w:val="de-DE"/>
        </w:rPr>
        <w:t>normām</w:t>
      </w:r>
      <w:proofErr w:type="spellEnd"/>
      <w:r w:rsidRPr="000C7C76">
        <w:rPr>
          <w:rFonts w:asciiTheme="majorBidi" w:hAnsiTheme="majorBidi" w:cstheme="majorBidi"/>
          <w:lang w:val="de-DE"/>
        </w:rPr>
        <w:t>.</w:t>
      </w:r>
      <w:r w:rsidRPr="00CD4311">
        <w:rPr>
          <w:rStyle w:val="FootnoteReference"/>
          <w:rFonts w:asciiTheme="majorBidi" w:hAnsiTheme="majorBidi" w:cstheme="majorBidi"/>
        </w:rPr>
        <w:footnoteReference w:id="125"/>
      </w:r>
      <w:r w:rsidRPr="000C7C76">
        <w:rPr>
          <w:rFonts w:asciiTheme="majorBidi" w:hAnsiTheme="majorBidi" w:cstheme="majorBidi"/>
          <w:lang w:val="de-DE"/>
        </w:rPr>
        <w:t xml:space="preserve"> Tas </w:t>
      </w:r>
      <w:proofErr w:type="spellStart"/>
      <w:r w:rsidRPr="000C7C76">
        <w:rPr>
          <w:rFonts w:asciiTheme="majorBidi" w:hAnsiTheme="majorBidi" w:cstheme="majorBidi"/>
          <w:lang w:val="de-DE"/>
        </w:rPr>
        <w:t>pats</w:t>
      </w:r>
      <w:proofErr w:type="spellEnd"/>
      <w:r w:rsidRPr="000C7C76">
        <w:rPr>
          <w:rFonts w:asciiTheme="majorBidi" w:hAnsiTheme="majorBidi" w:cstheme="majorBidi"/>
          <w:lang w:val="de-DE"/>
        </w:rPr>
        <w:t xml:space="preserve"> </w:t>
      </w:r>
      <w:proofErr w:type="spellStart"/>
      <w:r w:rsidRPr="000C7C76">
        <w:rPr>
          <w:rFonts w:asciiTheme="majorBidi" w:hAnsiTheme="majorBidi" w:cstheme="majorBidi"/>
          <w:lang w:val="de-DE"/>
        </w:rPr>
        <w:t>attiecas</w:t>
      </w:r>
      <w:proofErr w:type="spellEnd"/>
      <w:r w:rsidRPr="000C7C76">
        <w:rPr>
          <w:rFonts w:asciiTheme="majorBidi" w:hAnsiTheme="majorBidi" w:cstheme="majorBidi"/>
          <w:lang w:val="de-DE"/>
        </w:rPr>
        <w:t xml:space="preserve"> </w:t>
      </w:r>
      <w:proofErr w:type="spellStart"/>
      <w:r w:rsidRPr="000C7C76">
        <w:rPr>
          <w:rFonts w:asciiTheme="majorBidi" w:hAnsiTheme="majorBidi" w:cstheme="majorBidi"/>
          <w:lang w:val="de-DE"/>
        </w:rPr>
        <w:t>arī</w:t>
      </w:r>
      <w:proofErr w:type="spellEnd"/>
      <w:r w:rsidRPr="000C7C76">
        <w:rPr>
          <w:rFonts w:asciiTheme="majorBidi" w:hAnsiTheme="majorBidi" w:cstheme="majorBidi"/>
          <w:lang w:val="de-DE"/>
        </w:rPr>
        <w:t xml:space="preserve"> </w:t>
      </w:r>
      <w:proofErr w:type="spellStart"/>
      <w:r w:rsidRPr="000C7C76">
        <w:rPr>
          <w:rFonts w:asciiTheme="majorBidi" w:hAnsiTheme="majorBidi" w:cstheme="majorBidi"/>
          <w:lang w:val="de-DE"/>
        </w:rPr>
        <w:t>uz</w:t>
      </w:r>
      <w:proofErr w:type="spellEnd"/>
      <w:r w:rsidRPr="000C7C76">
        <w:rPr>
          <w:rFonts w:asciiTheme="majorBidi" w:hAnsiTheme="majorBidi" w:cstheme="majorBidi"/>
          <w:lang w:val="de-DE"/>
        </w:rPr>
        <w:t xml:space="preserve"> </w:t>
      </w:r>
      <w:proofErr w:type="spellStart"/>
      <w:r w:rsidRPr="000C7C76">
        <w:rPr>
          <w:rFonts w:asciiTheme="majorBidi" w:hAnsiTheme="majorBidi" w:cstheme="majorBidi"/>
          <w:lang w:val="de-DE"/>
        </w:rPr>
        <w:t>jautājuma</w:t>
      </w:r>
      <w:proofErr w:type="spellEnd"/>
      <w:r w:rsidRPr="000C7C76">
        <w:rPr>
          <w:rFonts w:asciiTheme="majorBidi" w:hAnsiTheme="majorBidi" w:cstheme="majorBidi"/>
          <w:lang w:val="de-DE"/>
        </w:rPr>
        <w:t xml:space="preserve"> </w:t>
      </w:r>
      <w:proofErr w:type="spellStart"/>
      <w:r w:rsidRPr="000C7C76">
        <w:rPr>
          <w:rFonts w:asciiTheme="majorBidi" w:hAnsiTheme="majorBidi" w:cstheme="majorBidi"/>
          <w:lang w:val="de-DE"/>
        </w:rPr>
        <w:t>noskaidrošanu</w:t>
      </w:r>
      <w:proofErr w:type="spellEnd"/>
      <w:r w:rsidRPr="000C7C76">
        <w:rPr>
          <w:rFonts w:asciiTheme="majorBidi" w:hAnsiTheme="majorBidi" w:cstheme="majorBidi"/>
          <w:lang w:val="de-DE"/>
        </w:rPr>
        <w:t xml:space="preserve"> par </w:t>
      </w:r>
      <w:proofErr w:type="spellStart"/>
      <w:r w:rsidRPr="000C7C76">
        <w:rPr>
          <w:rFonts w:asciiTheme="majorBidi" w:hAnsiTheme="majorBidi" w:cstheme="majorBidi"/>
          <w:lang w:val="de-DE"/>
        </w:rPr>
        <w:t>to</w:t>
      </w:r>
      <w:proofErr w:type="spellEnd"/>
      <w:r w:rsidRPr="000C7C76">
        <w:rPr>
          <w:rFonts w:asciiTheme="majorBidi" w:hAnsiTheme="majorBidi" w:cstheme="majorBidi"/>
          <w:lang w:val="de-DE"/>
        </w:rPr>
        <w:t xml:space="preserve">, </w:t>
      </w:r>
      <w:proofErr w:type="spellStart"/>
      <w:r w:rsidRPr="000C7C76">
        <w:rPr>
          <w:rFonts w:asciiTheme="majorBidi" w:hAnsiTheme="majorBidi" w:cstheme="majorBidi"/>
          <w:lang w:val="de-DE"/>
        </w:rPr>
        <w:t>vai</w:t>
      </w:r>
      <w:proofErr w:type="spellEnd"/>
      <w:r w:rsidRPr="000C7C76">
        <w:rPr>
          <w:rFonts w:asciiTheme="majorBidi" w:hAnsiTheme="majorBidi" w:cstheme="majorBidi"/>
          <w:lang w:val="de-DE"/>
        </w:rPr>
        <w:t xml:space="preserve"> </w:t>
      </w:r>
      <w:proofErr w:type="spellStart"/>
      <w:r w:rsidRPr="000C7C76">
        <w:rPr>
          <w:rFonts w:asciiTheme="majorBidi" w:hAnsiTheme="majorBidi" w:cstheme="majorBidi"/>
          <w:lang w:val="de-DE"/>
        </w:rPr>
        <w:t>persona</w:t>
      </w:r>
      <w:proofErr w:type="spellEnd"/>
      <w:r w:rsidRPr="000C7C76">
        <w:rPr>
          <w:rFonts w:asciiTheme="majorBidi" w:hAnsiTheme="majorBidi" w:cstheme="majorBidi"/>
          <w:lang w:val="de-DE"/>
        </w:rPr>
        <w:t xml:space="preserve"> </w:t>
      </w:r>
      <w:proofErr w:type="spellStart"/>
      <w:r w:rsidRPr="000C7C76">
        <w:rPr>
          <w:rFonts w:asciiTheme="majorBidi" w:hAnsiTheme="majorBidi" w:cstheme="majorBidi"/>
          <w:lang w:val="de-DE"/>
        </w:rPr>
        <w:lastRenderedPageBreak/>
        <w:t>kura</w:t>
      </w:r>
      <w:proofErr w:type="spellEnd"/>
      <w:r w:rsidRPr="000C7C76">
        <w:rPr>
          <w:rFonts w:asciiTheme="majorBidi" w:hAnsiTheme="majorBidi" w:cstheme="majorBidi"/>
          <w:lang w:val="de-DE"/>
        </w:rPr>
        <w:t xml:space="preserve"> </w:t>
      </w:r>
      <w:proofErr w:type="spellStart"/>
      <w:r w:rsidRPr="000C7C76">
        <w:rPr>
          <w:rFonts w:asciiTheme="majorBidi" w:hAnsiTheme="majorBidi" w:cstheme="majorBidi"/>
          <w:lang w:val="de-DE"/>
        </w:rPr>
        <w:t>izdevusi</w:t>
      </w:r>
      <w:proofErr w:type="spellEnd"/>
      <w:r w:rsidRPr="000C7C76">
        <w:rPr>
          <w:rFonts w:asciiTheme="majorBidi" w:hAnsiTheme="majorBidi" w:cstheme="majorBidi"/>
          <w:lang w:val="de-DE"/>
        </w:rPr>
        <w:t xml:space="preserve"> </w:t>
      </w:r>
      <w:proofErr w:type="spellStart"/>
      <w:r w:rsidRPr="000C7C76">
        <w:rPr>
          <w:rFonts w:asciiTheme="majorBidi" w:hAnsiTheme="majorBidi" w:cstheme="majorBidi"/>
          <w:lang w:val="de-DE"/>
        </w:rPr>
        <w:t>dokumentu</w:t>
      </w:r>
      <w:proofErr w:type="spellEnd"/>
      <w:r w:rsidRPr="000C7C76">
        <w:rPr>
          <w:rFonts w:asciiTheme="majorBidi" w:hAnsiTheme="majorBidi" w:cstheme="majorBidi"/>
          <w:lang w:val="de-DE"/>
        </w:rPr>
        <w:t xml:space="preserve">, </w:t>
      </w:r>
      <w:proofErr w:type="spellStart"/>
      <w:r w:rsidRPr="000C7C76">
        <w:rPr>
          <w:rFonts w:asciiTheme="majorBidi" w:hAnsiTheme="majorBidi" w:cstheme="majorBidi"/>
          <w:lang w:val="de-DE"/>
        </w:rPr>
        <w:t>rīkojusies</w:t>
      </w:r>
      <w:proofErr w:type="spellEnd"/>
      <w:r w:rsidRPr="000C7C76">
        <w:rPr>
          <w:rFonts w:asciiTheme="majorBidi" w:hAnsiTheme="majorBidi" w:cstheme="majorBidi"/>
          <w:lang w:val="de-DE"/>
        </w:rPr>
        <w:t xml:space="preserve"> </w:t>
      </w:r>
      <w:proofErr w:type="spellStart"/>
      <w:r w:rsidRPr="000C7C76">
        <w:rPr>
          <w:rFonts w:asciiTheme="majorBidi" w:hAnsiTheme="majorBidi" w:cstheme="majorBidi"/>
          <w:lang w:val="de-DE"/>
        </w:rPr>
        <w:t>kā</w:t>
      </w:r>
      <w:proofErr w:type="spellEnd"/>
      <w:r w:rsidRPr="000C7C76">
        <w:rPr>
          <w:rFonts w:asciiTheme="majorBidi" w:hAnsiTheme="majorBidi" w:cstheme="majorBidi"/>
          <w:lang w:val="de-DE"/>
        </w:rPr>
        <w:t xml:space="preserve"> </w:t>
      </w:r>
      <w:proofErr w:type="spellStart"/>
      <w:r w:rsidRPr="000C7C76">
        <w:rPr>
          <w:rFonts w:asciiTheme="majorBidi" w:hAnsiTheme="majorBidi" w:cstheme="majorBidi"/>
          <w:lang w:val="de-DE"/>
        </w:rPr>
        <w:t>privātpersona</w:t>
      </w:r>
      <w:proofErr w:type="spellEnd"/>
      <w:r w:rsidRPr="000C7C76">
        <w:rPr>
          <w:rFonts w:asciiTheme="majorBidi" w:hAnsiTheme="majorBidi" w:cstheme="majorBidi"/>
          <w:lang w:val="de-DE"/>
        </w:rPr>
        <w:t xml:space="preserve"> </w:t>
      </w:r>
      <w:proofErr w:type="spellStart"/>
      <w:r w:rsidRPr="000C7C76">
        <w:rPr>
          <w:rFonts w:asciiTheme="majorBidi" w:hAnsiTheme="majorBidi" w:cstheme="majorBidi"/>
          <w:lang w:val="de-DE"/>
        </w:rPr>
        <w:t>vai</w:t>
      </w:r>
      <w:proofErr w:type="spellEnd"/>
      <w:r w:rsidRPr="000C7C76">
        <w:rPr>
          <w:rFonts w:asciiTheme="majorBidi" w:hAnsiTheme="majorBidi" w:cstheme="majorBidi"/>
          <w:lang w:val="de-DE"/>
        </w:rPr>
        <w:t xml:space="preserve"> </w:t>
      </w:r>
      <w:proofErr w:type="spellStart"/>
      <w:r w:rsidRPr="000C7C76">
        <w:rPr>
          <w:rFonts w:asciiTheme="majorBidi" w:hAnsiTheme="majorBidi" w:cstheme="majorBidi"/>
          <w:lang w:val="de-DE"/>
        </w:rPr>
        <w:t>kā</w:t>
      </w:r>
      <w:proofErr w:type="spellEnd"/>
      <w:r w:rsidRPr="000C7C76">
        <w:rPr>
          <w:rFonts w:asciiTheme="majorBidi" w:hAnsiTheme="majorBidi" w:cstheme="majorBidi"/>
          <w:lang w:val="de-DE"/>
        </w:rPr>
        <w:t xml:space="preserve"> </w:t>
      </w:r>
      <w:proofErr w:type="spellStart"/>
      <w:r w:rsidRPr="000C7C76">
        <w:rPr>
          <w:rFonts w:asciiTheme="majorBidi" w:hAnsiTheme="majorBidi" w:cstheme="majorBidi"/>
          <w:lang w:val="de-DE"/>
        </w:rPr>
        <w:t>ar</w:t>
      </w:r>
      <w:proofErr w:type="spellEnd"/>
      <w:r w:rsidRPr="000C7C76">
        <w:rPr>
          <w:rFonts w:asciiTheme="majorBidi" w:hAnsiTheme="majorBidi" w:cstheme="majorBidi"/>
          <w:lang w:val="de-DE"/>
        </w:rPr>
        <w:t xml:space="preserve"> </w:t>
      </w:r>
      <w:proofErr w:type="spellStart"/>
      <w:r w:rsidRPr="000C7C76">
        <w:rPr>
          <w:rFonts w:asciiTheme="majorBidi" w:hAnsiTheme="majorBidi" w:cstheme="majorBidi"/>
          <w:lang w:val="de-DE"/>
        </w:rPr>
        <w:t>publisku</w:t>
      </w:r>
      <w:proofErr w:type="spellEnd"/>
      <w:r w:rsidRPr="000C7C76">
        <w:rPr>
          <w:rFonts w:asciiTheme="majorBidi" w:hAnsiTheme="majorBidi" w:cstheme="majorBidi"/>
          <w:lang w:val="de-DE"/>
        </w:rPr>
        <w:t xml:space="preserve"> </w:t>
      </w:r>
      <w:proofErr w:type="spellStart"/>
      <w:r w:rsidRPr="000C7C76">
        <w:rPr>
          <w:rFonts w:asciiTheme="majorBidi" w:hAnsiTheme="majorBidi" w:cstheme="majorBidi"/>
          <w:lang w:val="de-DE"/>
        </w:rPr>
        <w:t>varu</w:t>
      </w:r>
      <w:proofErr w:type="spellEnd"/>
      <w:r w:rsidRPr="000C7C76">
        <w:rPr>
          <w:rFonts w:asciiTheme="majorBidi" w:hAnsiTheme="majorBidi" w:cstheme="majorBidi"/>
          <w:lang w:val="de-DE"/>
        </w:rPr>
        <w:t xml:space="preserve"> </w:t>
      </w:r>
      <w:proofErr w:type="spellStart"/>
      <w:r w:rsidRPr="000C7C76">
        <w:rPr>
          <w:rFonts w:asciiTheme="majorBidi" w:hAnsiTheme="majorBidi" w:cstheme="majorBidi"/>
          <w:lang w:val="de-DE"/>
        </w:rPr>
        <w:t>apveltīta</w:t>
      </w:r>
      <w:proofErr w:type="spellEnd"/>
      <w:r w:rsidRPr="000C7C76">
        <w:rPr>
          <w:rFonts w:asciiTheme="majorBidi" w:hAnsiTheme="majorBidi" w:cstheme="majorBidi"/>
          <w:lang w:val="de-DE"/>
        </w:rPr>
        <w:t xml:space="preserve"> </w:t>
      </w:r>
      <w:proofErr w:type="spellStart"/>
      <w:r w:rsidRPr="000C7C76">
        <w:rPr>
          <w:rFonts w:asciiTheme="majorBidi" w:hAnsiTheme="majorBidi" w:cstheme="majorBidi"/>
          <w:lang w:val="de-DE"/>
        </w:rPr>
        <w:t>persona</w:t>
      </w:r>
      <w:proofErr w:type="spellEnd"/>
      <w:r w:rsidRPr="000C7C76">
        <w:rPr>
          <w:rFonts w:asciiTheme="majorBidi" w:hAnsiTheme="majorBidi" w:cstheme="majorBidi"/>
          <w:lang w:val="de-DE"/>
        </w:rPr>
        <w:t xml:space="preserve"> – </w:t>
      </w:r>
      <w:proofErr w:type="spellStart"/>
      <w:r w:rsidRPr="000C7C76">
        <w:rPr>
          <w:rFonts w:asciiTheme="majorBidi" w:hAnsiTheme="majorBidi" w:cstheme="majorBidi"/>
          <w:lang w:val="de-DE"/>
        </w:rPr>
        <w:t>šo</w:t>
      </w:r>
      <w:proofErr w:type="spellEnd"/>
      <w:r w:rsidRPr="000C7C76">
        <w:rPr>
          <w:rFonts w:asciiTheme="majorBidi" w:hAnsiTheme="majorBidi" w:cstheme="majorBidi"/>
          <w:lang w:val="de-DE"/>
        </w:rPr>
        <w:t xml:space="preserve"> </w:t>
      </w:r>
      <w:proofErr w:type="spellStart"/>
      <w:r w:rsidRPr="000C7C76">
        <w:rPr>
          <w:rFonts w:asciiTheme="majorBidi" w:hAnsiTheme="majorBidi" w:cstheme="majorBidi"/>
          <w:lang w:val="de-DE"/>
        </w:rPr>
        <w:t>jautājumu</w:t>
      </w:r>
      <w:proofErr w:type="spellEnd"/>
      <w:r w:rsidRPr="000C7C76">
        <w:rPr>
          <w:rFonts w:asciiTheme="majorBidi" w:hAnsiTheme="majorBidi" w:cstheme="majorBidi"/>
          <w:lang w:val="de-DE"/>
        </w:rPr>
        <w:t xml:space="preserve"> </w:t>
      </w:r>
      <w:proofErr w:type="spellStart"/>
      <w:r w:rsidRPr="000C7C76">
        <w:rPr>
          <w:rFonts w:asciiTheme="majorBidi" w:hAnsiTheme="majorBidi" w:cstheme="majorBidi"/>
          <w:lang w:val="de-DE"/>
        </w:rPr>
        <w:t>arī</w:t>
      </w:r>
      <w:proofErr w:type="spellEnd"/>
      <w:r w:rsidRPr="000C7C76">
        <w:rPr>
          <w:rFonts w:asciiTheme="majorBidi" w:hAnsiTheme="majorBidi" w:cstheme="majorBidi"/>
          <w:lang w:val="de-DE"/>
        </w:rPr>
        <w:t xml:space="preserve"> </w:t>
      </w:r>
      <w:proofErr w:type="spellStart"/>
      <w:r w:rsidRPr="000C7C76">
        <w:rPr>
          <w:rFonts w:asciiTheme="majorBidi" w:hAnsiTheme="majorBidi" w:cstheme="majorBidi"/>
          <w:lang w:val="de-DE"/>
        </w:rPr>
        <w:t>nosaka</w:t>
      </w:r>
      <w:proofErr w:type="spellEnd"/>
      <w:r w:rsidRPr="000C7C76">
        <w:rPr>
          <w:rFonts w:asciiTheme="majorBidi" w:hAnsiTheme="majorBidi" w:cstheme="majorBidi"/>
          <w:lang w:val="de-DE"/>
        </w:rPr>
        <w:t xml:space="preserve"> </w:t>
      </w:r>
      <w:proofErr w:type="spellStart"/>
      <w:r w:rsidRPr="000C7C76">
        <w:rPr>
          <w:rFonts w:asciiTheme="majorBidi" w:hAnsiTheme="majorBidi" w:cstheme="majorBidi"/>
          <w:lang w:val="de-DE"/>
        </w:rPr>
        <w:t>saskaņā</w:t>
      </w:r>
      <w:proofErr w:type="spellEnd"/>
      <w:r w:rsidRPr="000C7C76">
        <w:rPr>
          <w:rFonts w:asciiTheme="majorBidi" w:hAnsiTheme="majorBidi" w:cstheme="majorBidi"/>
          <w:lang w:val="de-DE"/>
        </w:rPr>
        <w:t xml:space="preserve"> </w:t>
      </w:r>
      <w:proofErr w:type="spellStart"/>
      <w:r w:rsidRPr="000C7C76">
        <w:rPr>
          <w:rFonts w:asciiTheme="majorBidi" w:hAnsiTheme="majorBidi" w:cstheme="majorBidi"/>
          <w:lang w:val="de-DE"/>
        </w:rPr>
        <w:t>ar</w:t>
      </w:r>
      <w:proofErr w:type="spellEnd"/>
      <w:r w:rsidRPr="000C7C76">
        <w:rPr>
          <w:rFonts w:asciiTheme="majorBidi" w:hAnsiTheme="majorBidi" w:cstheme="majorBidi"/>
          <w:lang w:val="de-DE"/>
        </w:rPr>
        <w:t xml:space="preserve"> </w:t>
      </w:r>
      <w:proofErr w:type="spellStart"/>
      <w:r w:rsidRPr="000C7C76">
        <w:rPr>
          <w:rFonts w:asciiTheme="majorBidi" w:hAnsiTheme="majorBidi" w:cstheme="majorBidi"/>
          <w:lang w:val="de-DE"/>
        </w:rPr>
        <w:t>dokumenta</w:t>
      </w:r>
      <w:proofErr w:type="spellEnd"/>
      <w:r w:rsidRPr="000C7C76">
        <w:rPr>
          <w:rFonts w:asciiTheme="majorBidi" w:hAnsiTheme="majorBidi" w:cstheme="majorBidi"/>
          <w:lang w:val="de-DE"/>
        </w:rPr>
        <w:t xml:space="preserve"> </w:t>
      </w:r>
      <w:proofErr w:type="spellStart"/>
      <w:r w:rsidRPr="000C7C76">
        <w:rPr>
          <w:rFonts w:asciiTheme="majorBidi" w:hAnsiTheme="majorBidi" w:cstheme="majorBidi"/>
          <w:lang w:val="de-DE"/>
        </w:rPr>
        <w:t>izcelsmes</w:t>
      </w:r>
      <w:proofErr w:type="spellEnd"/>
      <w:r w:rsidRPr="000C7C76">
        <w:rPr>
          <w:rFonts w:asciiTheme="majorBidi" w:hAnsiTheme="majorBidi" w:cstheme="majorBidi"/>
          <w:lang w:val="de-DE"/>
        </w:rPr>
        <w:t xml:space="preserve"> </w:t>
      </w:r>
      <w:proofErr w:type="spellStart"/>
      <w:r w:rsidRPr="000C7C76">
        <w:rPr>
          <w:rFonts w:asciiTheme="majorBidi" w:hAnsiTheme="majorBidi" w:cstheme="majorBidi"/>
          <w:lang w:val="de-DE"/>
        </w:rPr>
        <w:t>valsts</w:t>
      </w:r>
      <w:proofErr w:type="spellEnd"/>
      <w:r w:rsidRPr="000C7C76">
        <w:rPr>
          <w:rFonts w:asciiTheme="majorBidi" w:hAnsiTheme="majorBidi" w:cstheme="majorBidi"/>
          <w:lang w:val="de-DE"/>
        </w:rPr>
        <w:t xml:space="preserve"> </w:t>
      </w:r>
      <w:proofErr w:type="spellStart"/>
      <w:r w:rsidRPr="000C7C76">
        <w:rPr>
          <w:rFonts w:asciiTheme="majorBidi" w:hAnsiTheme="majorBidi" w:cstheme="majorBidi"/>
          <w:lang w:val="de-DE"/>
        </w:rPr>
        <w:t>tiesību</w:t>
      </w:r>
      <w:proofErr w:type="spellEnd"/>
      <w:r w:rsidRPr="000C7C76">
        <w:rPr>
          <w:rFonts w:asciiTheme="majorBidi" w:hAnsiTheme="majorBidi" w:cstheme="majorBidi"/>
          <w:lang w:val="de-DE"/>
        </w:rPr>
        <w:t xml:space="preserve"> </w:t>
      </w:r>
      <w:proofErr w:type="spellStart"/>
      <w:r w:rsidRPr="000C7C76">
        <w:rPr>
          <w:rFonts w:asciiTheme="majorBidi" w:hAnsiTheme="majorBidi" w:cstheme="majorBidi"/>
          <w:lang w:val="de-DE"/>
        </w:rPr>
        <w:t>normām</w:t>
      </w:r>
      <w:proofErr w:type="spellEnd"/>
      <w:r w:rsidRPr="000C7C76">
        <w:rPr>
          <w:rFonts w:asciiTheme="majorBidi" w:hAnsiTheme="majorBidi" w:cstheme="majorBidi"/>
          <w:lang w:val="de-DE"/>
        </w:rPr>
        <w:t>.</w:t>
      </w:r>
      <w:r w:rsidRPr="00CD4311">
        <w:rPr>
          <w:rStyle w:val="FootnoteReference"/>
          <w:rFonts w:asciiTheme="majorBidi" w:hAnsiTheme="majorBidi" w:cstheme="majorBidi"/>
        </w:rPr>
        <w:footnoteReference w:id="126"/>
      </w:r>
      <w:r w:rsidRPr="000C7C76">
        <w:rPr>
          <w:rFonts w:asciiTheme="majorBidi" w:hAnsiTheme="majorBidi" w:cstheme="majorBidi"/>
          <w:lang w:val="de-DE"/>
        </w:rPr>
        <w:t xml:space="preserve"> </w:t>
      </w:r>
    </w:p>
    <w:p w14:paraId="22EFC478" w14:textId="77777777" w:rsidR="00114953" w:rsidRPr="00CD4311" w:rsidRDefault="00114953" w:rsidP="00114953">
      <w:pPr>
        <w:jc w:val="both"/>
        <w:rPr>
          <w:rFonts w:asciiTheme="majorBidi" w:hAnsiTheme="majorBidi" w:cstheme="majorBidi"/>
          <w:lang w:val="de-DE"/>
        </w:rPr>
      </w:pPr>
    </w:p>
    <w:p w14:paraId="6351047C" w14:textId="77777777" w:rsidR="00114953" w:rsidRPr="00CD4311" w:rsidRDefault="00114953" w:rsidP="00114953">
      <w:pPr>
        <w:ind w:firstLine="708"/>
        <w:jc w:val="both"/>
        <w:rPr>
          <w:rFonts w:asciiTheme="majorBidi" w:hAnsiTheme="majorBidi" w:cstheme="majorBidi"/>
          <w:bCs/>
          <w:lang w:val="de-DE"/>
        </w:rPr>
      </w:pPr>
      <w:r w:rsidRPr="000C7C76">
        <w:rPr>
          <w:rFonts w:asciiTheme="majorBidi" w:hAnsiTheme="majorBidi" w:cstheme="majorBidi"/>
          <w:bCs/>
          <w:lang w:val="de-DE"/>
        </w:rPr>
        <w:t xml:space="preserve">  </w:t>
      </w:r>
      <w:proofErr w:type="spellStart"/>
      <w:r w:rsidRPr="00CD4311">
        <w:rPr>
          <w:rFonts w:asciiTheme="majorBidi" w:hAnsiTheme="majorBidi" w:cstheme="majorBidi"/>
          <w:bCs/>
          <w:lang w:val="de-DE"/>
        </w:rPr>
        <w:t>Pirmajā</w:t>
      </w:r>
      <w:proofErr w:type="spellEnd"/>
      <w:r w:rsidRPr="00CD4311">
        <w:rPr>
          <w:rFonts w:asciiTheme="majorBidi" w:hAnsiTheme="majorBidi" w:cstheme="majorBidi"/>
          <w:bCs/>
          <w:lang w:val="de-DE"/>
        </w:rPr>
        <w:t xml:space="preserve"> </w:t>
      </w:r>
      <w:proofErr w:type="spellStart"/>
      <w:r w:rsidRPr="00CD4311">
        <w:rPr>
          <w:rFonts w:asciiTheme="majorBidi" w:hAnsiTheme="majorBidi" w:cstheme="majorBidi"/>
          <w:bCs/>
          <w:lang w:val="de-DE"/>
        </w:rPr>
        <w:t>brīdī</w:t>
      </w:r>
      <w:proofErr w:type="spellEnd"/>
      <w:r w:rsidRPr="00CD4311">
        <w:rPr>
          <w:rFonts w:asciiTheme="majorBidi" w:hAnsiTheme="majorBidi" w:cstheme="majorBidi"/>
          <w:bCs/>
          <w:lang w:val="de-DE"/>
        </w:rPr>
        <w:t xml:space="preserve"> </w:t>
      </w:r>
      <w:proofErr w:type="spellStart"/>
      <w:r w:rsidRPr="00CD4311">
        <w:rPr>
          <w:rFonts w:asciiTheme="majorBidi" w:hAnsiTheme="majorBidi" w:cstheme="majorBidi"/>
          <w:bCs/>
          <w:lang w:val="de-DE"/>
        </w:rPr>
        <w:t>varētu</w:t>
      </w:r>
      <w:proofErr w:type="spellEnd"/>
      <w:r w:rsidRPr="00CD4311">
        <w:rPr>
          <w:rFonts w:asciiTheme="majorBidi" w:hAnsiTheme="majorBidi" w:cstheme="majorBidi"/>
          <w:bCs/>
          <w:lang w:val="de-DE"/>
        </w:rPr>
        <w:t xml:space="preserve"> </w:t>
      </w:r>
      <w:proofErr w:type="spellStart"/>
      <w:r w:rsidRPr="00CD4311">
        <w:rPr>
          <w:rFonts w:asciiTheme="majorBidi" w:hAnsiTheme="majorBidi" w:cstheme="majorBidi"/>
          <w:bCs/>
          <w:lang w:val="de-DE"/>
        </w:rPr>
        <w:t>šķist</w:t>
      </w:r>
      <w:proofErr w:type="spellEnd"/>
      <w:r w:rsidRPr="00CD4311">
        <w:rPr>
          <w:rFonts w:asciiTheme="majorBidi" w:hAnsiTheme="majorBidi" w:cstheme="majorBidi"/>
          <w:bCs/>
          <w:lang w:val="de-DE"/>
        </w:rPr>
        <w:t xml:space="preserve">, </w:t>
      </w:r>
      <w:proofErr w:type="spellStart"/>
      <w:r w:rsidRPr="00CD4311">
        <w:rPr>
          <w:rFonts w:asciiTheme="majorBidi" w:hAnsiTheme="majorBidi" w:cstheme="majorBidi"/>
          <w:bCs/>
          <w:lang w:val="de-DE"/>
        </w:rPr>
        <w:t>ka</w:t>
      </w:r>
      <w:proofErr w:type="spellEnd"/>
      <w:r w:rsidRPr="00CD4311">
        <w:rPr>
          <w:rFonts w:asciiTheme="majorBidi" w:hAnsiTheme="majorBidi" w:cstheme="majorBidi"/>
          <w:bCs/>
          <w:lang w:val="de-DE"/>
        </w:rPr>
        <w:t xml:space="preserve"> </w:t>
      </w:r>
      <w:proofErr w:type="spellStart"/>
      <w:r w:rsidRPr="00CD4311">
        <w:rPr>
          <w:rFonts w:asciiTheme="majorBidi" w:hAnsiTheme="majorBidi" w:cstheme="majorBidi"/>
          <w:bCs/>
          <w:lang w:val="de-DE"/>
        </w:rPr>
        <w:t>Notariāta</w:t>
      </w:r>
      <w:proofErr w:type="spellEnd"/>
      <w:r w:rsidRPr="00CD4311">
        <w:rPr>
          <w:rFonts w:asciiTheme="majorBidi" w:hAnsiTheme="majorBidi" w:cstheme="majorBidi"/>
          <w:bCs/>
          <w:lang w:val="de-DE"/>
        </w:rPr>
        <w:t xml:space="preserve"> </w:t>
      </w:r>
      <w:proofErr w:type="spellStart"/>
      <w:r w:rsidRPr="00CD4311">
        <w:rPr>
          <w:rFonts w:asciiTheme="majorBidi" w:hAnsiTheme="majorBidi" w:cstheme="majorBidi"/>
          <w:bCs/>
          <w:lang w:val="de-DE"/>
        </w:rPr>
        <w:t>likuma</w:t>
      </w:r>
      <w:proofErr w:type="spellEnd"/>
      <w:r w:rsidRPr="00CD4311">
        <w:rPr>
          <w:rFonts w:asciiTheme="majorBidi" w:hAnsiTheme="majorBidi" w:cstheme="majorBidi"/>
          <w:bCs/>
          <w:lang w:val="de-DE"/>
        </w:rPr>
        <w:t xml:space="preserve"> 83.panta </w:t>
      </w:r>
      <w:proofErr w:type="spellStart"/>
      <w:r w:rsidRPr="00CD4311">
        <w:rPr>
          <w:rFonts w:asciiTheme="majorBidi" w:hAnsiTheme="majorBidi" w:cstheme="majorBidi"/>
          <w:bCs/>
          <w:lang w:val="de-DE"/>
        </w:rPr>
        <w:t>otrajā</w:t>
      </w:r>
      <w:proofErr w:type="spellEnd"/>
      <w:r w:rsidRPr="00CD4311">
        <w:rPr>
          <w:rFonts w:asciiTheme="majorBidi" w:hAnsiTheme="majorBidi" w:cstheme="majorBidi"/>
          <w:bCs/>
          <w:lang w:val="de-DE"/>
        </w:rPr>
        <w:t xml:space="preserve"> </w:t>
      </w:r>
      <w:proofErr w:type="spellStart"/>
      <w:r w:rsidRPr="00CD4311">
        <w:rPr>
          <w:rFonts w:asciiTheme="majorBidi" w:hAnsiTheme="majorBidi" w:cstheme="majorBidi"/>
          <w:bCs/>
          <w:lang w:val="de-DE"/>
        </w:rPr>
        <w:t>daļā</w:t>
      </w:r>
      <w:proofErr w:type="spellEnd"/>
      <w:r w:rsidRPr="00CD4311">
        <w:rPr>
          <w:rFonts w:asciiTheme="majorBidi" w:hAnsiTheme="majorBidi" w:cstheme="majorBidi"/>
          <w:bCs/>
          <w:lang w:val="de-DE"/>
        </w:rPr>
        <w:t xml:space="preserve"> </w:t>
      </w:r>
      <w:proofErr w:type="spellStart"/>
      <w:r w:rsidRPr="00CD4311">
        <w:rPr>
          <w:rFonts w:asciiTheme="majorBidi" w:hAnsiTheme="majorBidi" w:cstheme="majorBidi"/>
          <w:bCs/>
          <w:lang w:val="de-DE"/>
        </w:rPr>
        <w:t>lietotais</w:t>
      </w:r>
      <w:proofErr w:type="spellEnd"/>
      <w:r w:rsidRPr="00CD4311">
        <w:rPr>
          <w:rFonts w:asciiTheme="majorBidi" w:hAnsiTheme="majorBidi" w:cstheme="majorBidi"/>
          <w:bCs/>
          <w:lang w:val="de-DE"/>
        </w:rPr>
        <w:t xml:space="preserve"> </w:t>
      </w:r>
      <w:proofErr w:type="spellStart"/>
      <w:r w:rsidRPr="00CD4311">
        <w:rPr>
          <w:rFonts w:asciiTheme="majorBidi" w:hAnsiTheme="majorBidi" w:cstheme="majorBidi"/>
          <w:bCs/>
          <w:lang w:val="de-DE"/>
        </w:rPr>
        <w:t>publiskā</w:t>
      </w:r>
      <w:proofErr w:type="spellEnd"/>
      <w:r w:rsidRPr="00CD4311">
        <w:rPr>
          <w:rFonts w:asciiTheme="majorBidi" w:hAnsiTheme="majorBidi" w:cstheme="majorBidi"/>
          <w:bCs/>
          <w:lang w:val="de-DE"/>
        </w:rPr>
        <w:t xml:space="preserve"> </w:t>
      </w:r>
      <w:proofErr w:type="spellStart"/>
      <w:r w:rsidRPr="00CD4311">
        <w:rPr>
          <w:rFonts w:asciiTheme="majorBidi" w:hAnsiTheme="majorBidi" w:cstheme="majorBidi"/>
          <w:bCs/>
          <w:lang w:val="de-DE"/>
        </w:rPr>
        <w:t>dokumenta</w:t>
      </w:r>
      <w:proofErr w:type="spellEnd"/>
      <w:r w:rsidRPr="00CD4311">
        <w:rPr>
          <w:rFonts w:asciiTheme="majorBidi" w:hAnsiTheme="majorBidi" w:cstheme="majorBidi"/>
          <w:bCs/>
          <w:lang w:val="de-DE"/>
        </w:rPr>
        <w:t xml:space="preserve"> </w:t>
      </w:r>
      <w:proofErr w:type="spellStart"/>
      <w:r w:rsidRPr="00CD4311">
        <w:rPr>
          <w:rFonts w:asciiTheme="majorBidi" w:hAnsiTheme="majorBidi" w:cstheme="majorBidi"/>
          <w:bCs/>
          <w:lang w:val="de-DE"/>
        </w:rPr>
        <w:t>jēdziens</w:t>
      </w:r>
      <w:proofErr w:type="spellEnd"/>
      <w:r w:rsidRPr="00CD4311">
        <w:rPr>
          <w:rFonts w:asciiTheme="majorBidi" w:hAnsiTheme="majorBidi" w:cstheme="majorBidi"/>
          <w:bCs/>
          <w:lang w:val="de-DE"/>
        </w:rPr>
        <w:t xml:space="preserve"> </w:t>
      </w:r>
      <w:proofErr w:type="spellStart"/>
      <w:r w:rsidRPr="00CD4311">
        <w:rPr>
          <w:rFonts w:asciiTheme="majorBidi" w:hAnsiTheme="majorBidi" w:cstheme="majorBidi"/>
          <w:bCs/>
          <w:i/>
          <w:iCs/>
          <w:lang w:val="de-DE"/>
        </w:rPr>
        <w:t>principā</w:t>
      </w:r>
      <w:proofErr w:type="spellEnd"/>
      <w:r w:rsidRPr="00CD4311">
        <w:rPr>
          <w:rFonts w:asciiTheme="majorBidi" w:hAnsiTheme="majorBidi" w:cstheme="majorBidi"/>
          <w:bCs/>
          <w:lang w:val="de-DE"/>
        </w:rPr>
        <w:t xml:space="preserve"> </w:t>
      </w:r>
      <w:proofErr w:type="spellStart"/>
      <w:r w:rsidRPr="00CD4311">
        <w:rPr>
          <w:rFonts w:asciiTheme="majorBidi" w:hAnsiTheme="majorBidi" w:cstheme="majorBidi"/>
          <w:bCs/>
          <w:lang w:val="de-DE"/>
        </w:rPr>
        <w:t>sakrīt</w:t>
      </w:r>
      <w:proofErr w:type="spellEnd"/>
      <w:r w:rsidRPr="00CD4311">
        <w:rPr>
          <w:rFonts w:asciiTheme="majorBidi" w:hAnsiTheme="majorBidi" w:cstheme="majorBidi"/>
          <w:bCs/>
          <w:lang w:val="de-DE"/>
        </w:rPr>
        <w:t xml:space="preserve"> </w:t>
      </w:r>
      <w:proofErr w:type="spellStart"/>
      <w:r w:rsidRPr="00CD4311">
        <w:rPr>
          <w:rFonts w:asciiTheme="majorBidi" w:hAnsiTheme="majorBidi" w:cstheme="majorBidi"/>
          <w:bCs/>
          <w:lang w:val="de-DE"/>
        </w:rPr>
        <w:t>ar</w:t>
      </w:r>
      <w:proofErr w:type="spellEnd"/>
      <w:r w:rsidRPr="00CD4311">
        <w:rPr>
          <w:rFonts w:asciiTheme="majorBidi" w:hAnsiTheme="majorBidi" w:cstheme="majorBidi"/>
          <w:bCs/>
          <w:lang w:val="de-DE"/>
        </w:rPr>
        <w:t xml:space="preserve"> </w:t>
      </w:r>
      <w:proofErr w:type="spellStart"/>
      <w:r w:rsidRPr="00CD4311">
        <w:rPr>
          <w:rFonts w:asciiTheme="majorBidi" w:hAnsiTheme="majorBidi" w:cstheme="majorBidi"/>
          <w:bCs/>
          <w:lang w:val="de-DE"/>
        </w:rPr>
        <w:t>tikko</w:t>
      </w:r>
      <w:proofErr w:type="spellEnd"/>
      <w:r w:rsidRPr="00CD4311">
        <w:rPr>
          <w:rFonts w:asciiTheme="majorBidi" w:hAnsiTheme="majorBidi" w:cstheme="majorBidi"/>
          <w:bCs/>
          <w:lang w:val="de-DE"/>
        </w:rPr>
        <w:t xml:space="preserve"> </w:t>
      </w:r>
      <w:proofErr w:type="spellStart"/>
      <w:r w:rsidRPr="00CD4311">
        <w:rPr>
          <w:rFonts w:asciiTheme="majorBidi" w:hAnsiTheme="majorBidi" w:cstheme="majorBidi"/>
          <w:bCs/>
          <w:lang w:val="de-DE"/>
        </w:rPr>
        <w:t>aplūkoto</w:t>
      </w:r>
      <w:proofErr w:type="spellEnd"/>
      <w:r w:rsidRPr="00CD4311">
        <w:rPr>
          <w:rFonts w:asciiTheme="majorBidi" w:hAnsiTheme="majorBidi" w:cstheme="majorBidi"/>
          <w:bCs/>
          <w:lang w:val="de-DE"/>
        </w:rPr>
        <w:t xml:space="preserve"> </w:t>
      </w:r>
      <w:proofErr w:type="spellStart"/>
      <w:r w:rsidRPr="00CD4311">
        <w:rPr>
          <w:rFonts w:asciiTheme="majorBidi" w:hAnsiTheme="majorBidi" w:cstheme="majorBidi"/>
          <w:bCs/>
          <w:lang w:val="de-DE"/>
        </w:rPr>
        <w:t>tāda</w:t>
      </w:r>
      <w:proofErr w:type="spellEnd"/>
      <w:r w:rsidRPr="00CD4311">
        <w:rPr>
          <w:rFonts w:asciiTheme="majorBidi" w:hAnsiTheme="majorBidi" w:cstheme="majorBidi"/>
          <w:bCs/>
          <w:lang w:val="de-DE"/>
        </w:rPr>
        <w:t xml:space="preserve"> </w:t>
      </w:r>
      <w:proofErr w:type="spellStart"/>
      <w:r w:rsidRPr="00CD4311">
        <w:rPr>
          <w:rFonts w:asciiTheme="majorBidi" w:hAnsiTheme="majorBidi" w:cstheme="majorBidi"/>
          <w:bCs/>
          <w:lang w:val="de-DE"/>
        </w:rPr>
        <w:t>paša</w:t>
      </w:r>
      <w:proofErr w:type="spellEnd"/>
      <w:r w:rsidRPr="00CD4311">
        <w:rPr>
          <w:rFonts w:asciiTheme="majorBidi" w:hAnsiTheme="majorBidi" w:cstheme="majorBidi"/>
          <w:bCs/>
          <w:lang w:val="de-DE"/>
        </w:rPr>
        <w:t xml:space="preserve"> </w:t>
      </w:r>
      <w:proofErr w:type="spellStart"/>
      <w:r w:rsidRPr="00CD4311">
        <w:rPr>
          <w:rFonts w:asciiTheme="majorBidi" w:hAnsiTheme="majorBidi" w:cstheme="majorBidi"/>
          <w:bCs/>
          <w:lang w:val="de-DE"/>
        </w:rPr>
        <w:t>nosaukuma</w:t>
      </w:r>
      <w:proofErr w:type="spellEnd"/>
      <w:r w:rsidRPr="00CD4311">
        <w:rPr>
          <w:rFonts w:asciiTheme="majorBidi" w:hAnsiTheme="majorBidi" w:cstheme="majorBidi"/>
          <w:bCs/>
          <w:lang w:val="de-DE"/>
        </w:rPr>
        <w:t xml:space="preserve"> </w:t>
      </w:r>
      <w:proofErr w:type="spellStart"/>
      <w:r w:rsidRPr="00CD4311">
        <w:rPr>
          <w:rFonts w:asciiTheme="majorBidi" w:hAnsiTheme="majorBidi" w:cstheme="majorBidi"/>
          <w:bCs/>
          <w:lang w:val="de-DE"/>
        </w:rPr>
        <w:t>jēdzienu</w:t>
      </w:r>
      <w:proofErr w:type="spellEnd"/>
      <w:r w:rsidRPr="00CD4311">
        <w:rPr>
          <w:rFonts w:asciiTheme="majorBidi" w:hAnsiTheme="majorBidi" w:cstheme="majorBidi"/>
          <w:bCs/>
          <w:lang w:val="de-DE"/>
        </w:rPr>
        <w:t xml:space="preserve"> </w:t>
      </w:r>
      <w:proofErr w:type="spellStart"/>
      <w:r w:rsidRPr="00CD4311">
        <w:rPr>
          <w:rFonts w:asciiTheme="majorBidi" w:hAnsiTheme="majorBidi" w:cstheme="majorBidi"/>
          <w:bCs/>
          <w:lang w:val="de-DE"/>
        </w:rPr>
        <w:t>Hāgas</w:t>
      </w:r>
      <w:proofErr w:type="spellEnd"/>
      <w:r w:rsidRPr="00CD4311">
        <w:rPr>
          <w:rFonts w:asciiTheme="majorBidi" w:hAnsiTheme="majorBidi" w:cstheme="majorBidi"/>
          <w:bCs/>
          <w:lang w:val="de-DE"/>
        </w:rPr>
        <w:t xml:space="preserve"> </w:t>
      </w:r>
      <w:proofErr w:type="spellStart"/>
      <w:r w:rsidRPr="00CD4311">
        <w:rPr>
          <w:rFonts w:asciiTheme="majorBidi" w:hAnsiTheme="majorBidi" w:cstheme="majorBidi"/>
          <w:bCs/>
          <w:lang w:val="de-DE"/>
        </w:rPr>
        <w:t>Dokumentu</w:t>
      </w:r>
      <w:proofErr w:type="spellEnd"/>
      <w:r w:rsidRPr="00CD4311">
        <w:rPr>
          <w:rFonts w:asciiTheme="majorBidi" w:hAnsiTheme="majorBidi" w:cstheme="majorBidi"/>
          <w:bCs/>
          <w:lang w:val="de-DE"/>
        </w:rPr>
        <w:t xml:space="preserve"> </w:t>
      </w:r>
      <w:proofErr w:type="spellStart"/>
      <w:r w:rsidRPr="00CD4311">
        <w:rPr>
          <w:rFonts w:asciiTheme="majorBidi" w:hAnsiTheme="majorBidi" w:cstheme="majorBidi"/>
          <w:bCs/>
          <w:lang w:val="de-DE"/>
        </w:rPr>
        <w:t>legalizācijas</w:t>
      </w:r>
      <w:proofErr w:type="spellEnd"/>
      <w:r w:rsidRPr="00CD4311">
        <w:rPr>
          <w:rFonts w:asciiTheme="majorBidi" w:hAnsiTheme="majorBidi" w:cstheme="majorBidi"/>
          <w:bCs/>
          <w:lang w:val="de-DE"/>
        </w:rPr>
        <w:t xml:space="preserve"> </w:t>
      </w:r>
      <w:proofErr w:type="spellStart"/>
      <w:r w:rsidRPr="00CD4311">
        <w:rPr>
          <w:rFonts w:asciiTheme="majorBidi" w:hAnsiTheme="majorBidi" w:cstheme="majorBidi"/>
          <w:bCs/>
          <w:lang w:val="de-DE"/>
        </w:rPr>
        <w:t>atcelšanas</w:t>
      </w:r>
      <w:proofErr w:type="spellEnd"/>
      <w:r w:rsidRPr="00CD4311">
        <w:rPr>
          <w:rFonts w:asciiTheme="majorBidi" w:hAnsiTheme="majorBidi" w:cstheme="majorBidi"/>
          <w:bCs/>
          <w:lang w:val="de-DE"/>
        </w:rPr>
        <w:t xml:space="preserve"> </w:t>
      </w:r>
      <w:proofErr w:type="spellStart"/>
      <w:r w:rsidRPr="00CD4311">
        <w:rPr>
          <w:rFonts w:asciiTheme="majorBidi" w:hAnsiTheme="majorBidi" w:cstheme="majorBidi"/>
          <w:bCs/>
          <w:lang w:val="de-DE"/>
        </w:rPr>
        <w:t>konvencijā</w:t>
      </w:r>
      <w:proofErr w:type="spellEnd"/>
      <w:r w:rsidRPr="00CD4311">
        <w:rPr>
          <w:rFonts w:asciiTheme="majorBidi" w:hAnsiTheme="majorBidi" w:cstheme="majorBidi"/>
          <w:bCs/>
          <w:lang w:val="de-DE"/>
        </w:rPr>
        <w:t xml:space="preserve">. </w:t>
      </w:r>
      <w:proofErr w:type="spellStart"/>
      <w:r w:rsidRPr="00CD4311">
        <w:rPr>
          <w:rFonts w:asciiTheme="majorBidi" w:hAnsiTheme="majorBidi" w:cstheme="majorBidi"/>
          <w:bCs/>
          <w:lang w:val="de-DE"/>
        </w:rPr>
        <w:t>Tomēr</w:t>
      </w:r>
      <w:proofErr w:type="spellEnd"/>
      <w:r w:rsidRPr="00CD4311">
        <w:rPr>
          <w:rFonts w:asciiTheme="majorBidi" w:hAnsiTheme="majorBidi" w:cstheme="majorBidi"/>
          <w:bCs/>
          <w:lang w:val="de-DE"/>
        </w:rPr>
        <w:t xml:space="preserve"> </w:t>
      </w:r>
      <w:proofErr w:type="spellStart"/>
      <w:r w:rsidRPr="00CD4311">
        <w:rPr>
          <w:rFonts w:asciiTheme="majorBidi" w:hAnsiTheme="majorBidi" w:cstheme="majorBidi"/>
          <w:bCs/>
          <w:lang w:val="de-DE"/>
        </w:rPr>
        <w:t>jāaplūko</w:t>
      </w:r>
      <w:proofErr w:type="spellEnd"/>
      <w:r w:rsidRPr="00CD4311">
        <w:rPr>
          <w:rFonts w:asciiTheme="majorBidi" w:hAnsiTheme="majorBidi" w:cstheme="majorBidi"/>
          <w:bCs/>
          <w:lang w:val="de-DE"/>
        </w:rPr>
        <w:t xml:space="preserve"> </w:t>
      </w:r>
      <w:proofErr w:type="spellStart"/>
      <w:r w:rsidRPr="00CD4311">
        <w:rPr>
          <w:rFonts w:asciiTheme="majorBidi" w:hAnsiTheme="majorBidi" w:cstheme="majorBidi"/>
          <w:bCs/>
          <w:lang w:val="de-DE"/>
        </w:rPr>
        <w:t>tuvāk</w:t>
      </w:r>
      <w:proofErr w:type="spellEnd"/>
      <w:r w:rsidRPr="00CD4311">
        <w:rPr>
          <w:rFonts w:asciiTheme="majorBidi" w:hAnsiTheme="majorBidi" w:cstheme="majorBidi"/>
          <w:bCs/>
          <w:lang w:val="de-DE"/>
        </w:rPr>
        <w:t xml:space="preserve"> </w:t>
      </w:r>
      <w:proofErr w:type="spellStart"/>
      <w:r w:rsidRPr="00CD4311">
        <w:rPr>
          <w:rFonts w:asciiTheme="majorBidi" w:hAnsiTheme="majorBidi" w:cstheme="majorBidi"/>
          <w:bCs/>
          <w:lang w:val="de-DE"/>
        </w:rPr>
        <w:t>minētās</w:t>
      </w:r>
      <w:proofErr w:type="spellEnd"/>
      <w:r w:rsidRPr="00CD4311">
        <w:rPr>
          <w:rFonts w:asciiTheme="majorBidi" w:hAnsiTheme="majorBidi" w:cstheme="majorBidi"/>
          <w:bCs/>
          <w:lang w:val="de-DE"/>
        </w:rPr>
        <w:t xml:space="preserve"> </w:t>
      </w:r>
      <w:proofErr w:type="spellStart"/>
      <w:r w:rsidRPr="00CD4311">
        <w:rPr>
          <w:rFonts w:asciiTheme="majorBidi" w:hAnsiTheme="majorBidi" w:cstheme="majorBidi"/>
          <w:bCs/>
          <w:lang w:val="de-DE"/>
        </w:rPr>
        <w:t>Konvencijas</w:t>
      </w:r>
      <w:proofErr w:type="spellEnd"/>
      <w:r w:rsidRPr="00CD4311">
        <w:rPr>
          <w:rFonts w:asciiTheme="majorBidi" w:hAnsiTheme="majorBidi" w:cstheme="majorBidi"/>
          <w:bCs/>
          <w:lang w:val="de-DE"/>
        </w:rPr>
        <w:t xml:space="preserve"> 1.panta 2.punkta „d“ </w:t>
      </w:r>
      <w:proofErr w:type="spellStart"/>
      <w:r w:rsidRPr="00CD4311">
        <w:rPr>
          <w:rFonts w:asciiTheme="majorBidi" w:hAnsiTheme="majorBidi" w:cstheme="majorBidi"/>
          <w:bCs/>
          <w:lang w:val="de-DE"/>
        </w:rPr>
        <w:t>apakšpunkta</w:t>
      </w:r>
      <w:proofErr w:type="spellEnd"/>
      <w:r w:rsidRPr="00CD4311">
        <w:rPr>
          <w:rFonts w:asciiTheme="majorBidi" w:hAnsiTheme="majorBidi" w:cstheme="majorBidi"/>
          <w:bCs/>
          <w:lang w:val="de-DE"/>
        </w:rPr>
        <w:t xml:space="preserve"> </w:t>
      </w:r>
      <w:proofErr w:type="spellStart"/>
      <w:r w:rsidRPr="00CD4311">
        <w:rPr>
          <w:rFonts w:asciiTheme="majorBidi" w:hAnsiTheme="majorBidi" w:cstheme="majorBidi"/>
          <w:bCs/>
          <w:lang w:val="de-DE"/>
        </w:rPr>
        <w:t>redakcija</w:t>
      </w:r>
      <w:proofErr w:type="spellEnd"/>
      <w:r w:rsidRPr="00CD4311">
        <w:rPr>
          <w:rFonts w:asciiTheme="majorBidi" w:hAnsiTheme="majorBidi" w:cstheme="majorBidi"/>
          <w:bCs/>
          <w:lang w:val="de-DE"/>
        </w:rPr>
        <w:t>:</w:t>
      </w:r>
    </w:p>
    <w:p w14:paraId="36260188" w14:textId="77777777" w:rsidR="00114953" w:rsidRPr="00CD4311" w:rsidRDefault="00114953" w:rsidP="00114953">
      <w:pPr>
        <w:jc w:val="both"/>
        <w:rPr>
          <w:rFonts w:asciiTheme="majorBidi" w:hAnsiTheme="majorBidi" w:cstheme="majorBidi"/>
          <w:bCs/>
          <w:lang w:val="de-DE"/>
        </w:rPr>
      </w:pPr>
    </w:p>
    <w:p w14:paraId="6B159B3D" w14:textId="77777777" w:rsidR="00114953" w:rsidRPr="00CD4311" w:rsidRDefault="00114953" w:rsidP="00114953">
      <w:pPr>
        <w:ind w:firstLine="708"/>
        <w:jc w:val="both"/>
        <w:rPr>
          <w:rFonts w:ascii="Times New Roman" w:hAnsi="Times New Roman" w:cs="Times New Roman"/>
          <w:i/>
          <w:lang w:val="de-DE"/>
        </w:rPr>
      </w:pPr>
      <w:r w:rsidRPr="00CD4311">
        <w:rPr>
          <w:rFonts w:ascii="Times New Roman" w:hAnsi="Times New Roman" w:cs="Times New Roman"/>
          <w:lang w:val="de-DE"/>
        </w:rPr>
        <w:t>„</w:t>
      </w:r>
      <w:proofErr w:type="spellStart"/>
      <w:r w:rsidRPr="00CD4311">
        <w:rPr>
          <w:rFonts w:ascii="Times New Roman" w:hAnsi="Times New Roman" w:cs="Times New Roman"/>
          <w:i/>
          <w:lang w:val="de-DE"/>
        </w:rPr>
        <w:t>Šīs</w:t>
      </w:r>
      <w:proofErr w:type="spellEnd"/>
      <w:r w:rsidRPr="00CD4311">
        <w:rPr>
          <w:rFonts w:ascii="Times New Roman" w:hAnsi="Times New Roman" w:cs="Times New Roman"/>
          <w:i/>
          <w:lang w:val="de-DE"/>
        </w:rPr>
        <w:t xml:space="preserve"> </w:t>
      </w:r>
      <w:proofErr w:type="spellStart"/>
      <w:r w:rsidRPr="00CD4311">
        <w:rPr>
          <w:rFonts w:ascii="Times New Roman" w:hAnsi="Times New Roman" w:cs="Times New Roman"/>
          <w:i/>
          <w:u w:val="single"/>
          <w:lang w:val="de-DE"/>
        </w:rPr>
        <w:t>Konvencijas</w:t>
      </w:r>
      <w:proofErr w:type="spellEnd"/>
      <w:r w:rsidRPr="00CD4311">
        <w:rPr>
          <w:rFonts w:ascii="Times New Roman" w:hAnsi="Times New Roman" w:cs="Times New Roman"/>
          <w:i/>
          <w:u w:val="single"/>
          <w:lang w:val="de-DE"/>
        </w:rPr>
        <w:t xml:space="preserve"> </w:t>
      </w:r>
      <w:proofErr w:type="spellStart"/>
      <w:r w:rsidRPr="00CD4311">
        <w:rPr>
          <w:rFonts w:ascii="Times New Roman" w:hAnsi="Times New Roman" w:cs="Times New Roman"/>
          <w:i/>
          <w:u w:val="single"/>
          <w:lang w:val="de-DE"/>
        </w:rPr>
        <w:t>nolūkiem</w:t>
      </w:r>
      <w:proofErr w:type="spellEnd"/>
      <w:r w:rsidRPr="00CD4311">
        <w:rPr>
          <w:rFonts w:ascii="Times New Roman" w:hAnsi="Times New Roman" w:cs="Times New Roman"/>
          <w:i/>
          <w:lang w:val="de-DE"/>
        </w:rPr>
        <w:t xml:space="preserve"> par </w:t>
      </w:r>
      <w:proofErr w:type="spellStart"/>
      <w:r w:rsidRPr="00CD4311">
        <w:rPr>
          <w:rFonts w:ascii="Times New Roman" w:hAnsi="Times New Roman" w:cs="Times New Roman"/>
          <w:b/>
          <w:i/>
          <w:lang w:val="de-DE"/>
        </w:rPr>
        <w:t>publiskiem</w:t>
      </w:r>
      <w:proofErr w:type="spellEnd"/>
      <w:r w:rsidRPr="00CD4311">
        <w:rPr>
          <w:rFonts w:ascii="Times New Roman" w:hAnsi="Times New Roman" w:cs="Times New Roman"/>
          <w:b/>
          <w:i/>
          <w:lang w:val="de-DE"/>
        </w:rPr>
        <w:t xml:space="preserve"> </w:t>
      </w:r>
      <w:proofErr w:type="spellStart"/>
      <w:r w:rsidRPr="00CD4311">
        <w:rPr>
          <w:rFonts w:ascii="Times New Roman" w:hAnsi="Times New Roman" w:cs="Times New Roman"/>
          <w:b/>
          <w:i/>
          <w:lang w:val="de-DE"/>
        </w:rPr>
        <w:t>dokumentiem</w:t>
      </w:r>
      <w:proofErr w:type="spellEnd"/>
      <w:r w:rsidRPr="00CD4311">
        <w:rPr>
          <w:rFonts w:ascii="Times New Roman" w:hAnsi="Times New Roman" w:cs="Times New Roman"/>
          <w:i/>
          <w:lang w:val="de-DE"/>
        </w:rPr>
        <w:t xml:space="preserve"> </w:t>
      </w:r>
      <w:proofErr w:type="spellStart"/>
      <w:r w:rsidRPr="00CD4311">
        <w:rPr>
          <w:rFonts w:ascii="Times New Roman" w:hAnsi="Times New Roman" w:cs="Times New Roman"/>
          <w:i/>
          <w:lang w:val="de-DE"/>
        </w:rPr>
        <w:t>ir</w:t>
      </w:r>
      <w:proofErr w:type="spellEnd"/>
      <w:r w:rsidRPr="00CD4311">
        <w:rPr>
          <w:rFonts w:ascii="Times New Roman" w:hAnsi="Times New Roman" w:cs="Times New Roman"/>
          <w:i/>
          <w:lang w:val="de-DE"/>
        </w:rPr>
        <w:t xml:space="preserve"> </w:t>
      </w:r>
      <w:proofErr w:type="spellStart"/>
      <w:r w:rsidRPr="00CD4311">
        <w:rPr>
          <w:rFonts w:ascii="Times New Roman" w:hAnsi="Times New Roman" w:cs="Times New Roman"/>
          <w:i/>
          <w:lang w:val="de-DE"/>
        </w:rPr>
        <w:t>uzskatāmi</w:t>
      </w:r>
      <w:proofErr w:type="spellEnd"/>
      <w:r w:rsidRPr="00CD4311">
        <w:rPr>
          <w:rFonts w:ascii="Times New Roman" w:hAnsi="Times New Roman" w:cs="Times New Roman"/>
          <w:i/>
          <w:lang w:val="de-DE"/>
        </w:rPr>
        <w:t xml:space="preserve">: </w:t>
      </w:r>
    </w:p>
    <w:p w14:paraId="36F17563" w14:textId="77777777" w:rsidR="00114953" w:rsidRPr="00CD4311" w:rsidRDefault="00114953" w:rsidP="00114953">
      <w:pPr>
        <w:ind w:firstLine="708"/>
        <w:jc w:val="both"/>
        <w:rPr>
          <w:rFonts w:ascii="Times New Roman" w:hAnsi="Times New Roman" w:cs="Times New Roman"/>
          <w:i/>
          <w:lang w:val="de-DE"/>
        </w:rPr>
      </w:pPr>
      <w:r w:rsidRPr="00CD4311">
        <w:rPr>
          <w:rFonts w:ascii="Times New Roman" w:hAnsi="Times New Roman" w:cs="Times New Roman"/>
          <w:i/>
          <w:lang w:val="de-DE"/>
        </w:rPr>
        <w:t>[..]</w:t>
      </w:r>
    </w:p>
    <w:p w14:paraId="6831251D" w14:textId="77777777" w:rsidR="00114953" w:rsidRPr="00CD4311" w:rsidRDefault="00114953" w:rsidP="00114953">
      <w:pPr>
        <w:ind w:left="708"/>
        <w:jc w:val="both"/>
        <w:rPr>
          <w:rFonts w:ascii="Times New Roman" w:hAnsi="Times New Roman" w:cs="Times New Roman"/>
          <w:i/>
          <w:lang w:val="de-DE"/>
        </w:rPr>
      </w:pPr>
      <w:r w:rsidRPr="00CD4311">
        <w:rPr>
          <w:rFonts w:ascii="Times New Roman" w:hAnsi="Times New Roman" w:cs="Times New Roman"/>
          <w:i/>
          <w:lang w:val="de-DE"/>
        </w:rPr>
        <w:t xml:space="preserve">d) </w:t>
      </w:r>
      <w:proofErr w:type="spellStart"/>
      <w:r w:rsidRPr="00CD4311">
        <w:rPr>
          <w:rFonts w:ascii="Times New Roman" w:hAnsi="Times New Roman" w:cs="Times New Roman"/>
          <w:b/>
          <w:i/>
          <w:lang w:val="de-DE"/>
        </w:rPr>
        <w:t>oficiāli</w:t>
      </w:r>
      <w:proofErr w:type="spellEnd"/>
      <w:r w:rsidRPr="00CD4311">
        <w:rPr>
          <w:rFonts w:ascii="Times New Roman" w:hAnsi="Times New Roman" w:cs="Times New Roman"/>
          <w:b/>
          <w:i/>
          <w:lang w:val="de-DE"/>
        </w:rPr>
        <w:t xml:space="preserve"> </w:t>
      </w:r>
      <w:proofErr w:type="spellStart"/>
      <w:r w:rsidRPr="00CD4311">
        <w:rPr>
          <w:rFonts w:ascii="Times New Roman" w:hAnsi="Times New Roman" w:cs="Times New Roman"/>
          <w:b/>
          <w:i/>
          <w:lang w:val="de-DE"/>
        </w:rPr>
        <w:t>apliecinājumi</w:t>
      </w:r>
      <w:proofErr w:type="spellEnd"/>
      <w:r w:rsidRPr="00CD4311">
        <w:rPr>
          <w:rFonts w:ascii="Times New Roman" w:hAnsi="Times New Roman" w:cs="Times New Roman"/>
          <w:b/>
          <w:i/>
          <w:lang w:val="de-DE"/>
        </w:rPr>
        <w:t xml:space="preserve"> </w:t>
      </w:r>
      <w:proofErr w:type="spellStart"/>
      <w:r w:rsidRPr="00CD4311">
        <w:rPr>
          <w:rFonts w:ascii="Times New Roman" w:hAnsi="Times New Roman" w:cs="Times New Roman"/>
          <w:b/>
          <w:i/>
          <w:lang w:val="de-DE"/>
        </w:rPr>
        <w:t>uz</w:t>
      </w:r>
      <w:proofErr w:type="spellEnd"/>
      <w:r w:rsidRPr="00CD4311">
        <w:rPr>
          <w:rFonts w:ascii="Times New Roman" w:hAnsi="Times New Roman" w:cs="Times New Roman"/>
          <w:b/>
          <w:i/>
          <w:lang w:val="de-DE"/>
        </w:rPr>
        <w:t xml:space="preserve"> </w:t>
      </w:r>
      <w:proofErr w:type="spellStart"/>
      <w:r w:rsidRPr="00CD4311">
        <w:rPr>
          <w:rFonts w:ascii="Times New Roman" w:hAnsi="Times New Roman" w:cs="Times New Roman"/>
          <w:b/>
          <w:i/>
          <w:lang w:val="de-DE"/>
        </w:rPr>
        <w:t>dokumentiem</w:t>
      </w:r>
      <w:proofErr w:type="spellEnd"/>
      <w:r w:rsidRPr="00CD4311">
        <w:rPr>
          <w:rFonts w:ascii="Times New Roman" w:hAnsi="Times New Roman" w:cs="Times New Roman"/>
          <w:i/>
          <w:lang w:val="de-DE"/>
        </w:rPr>
        <w:t xml:space="preserve">, </w:t>
      </w:r>
      <w:proofErr w:type="spellStart"/>
      <w:r w:rsidRPr="00CD4311">
        <w:rPr>
          <w:rFonts w:ascii="Times New Roman" w:hAnsi="Times New Roman" w:cs="Times New Roman"/>
          <w:i/>
          <w:lang w:val="de-DE"/>
        </w:rPr>
        <w:t>ko</w:t>
      </w:r>
      <w:proofErr w:type="spellEnd"/>
      <w:r w:rsidRPr="00CD4311">
        <w:rPr>
          <w:rFonts w:ascii="Times New Roman" w:hAnsi="Times New Roman" w:cs="Times New Roman"/>
          <w:i/>
          <w:lang w:val="de-DE"/>
        </w:rPr>
        <w:t xml:space="preserve"> </w:t>
      </w:r>
      <w:proofErr w:type="spellStart"/>
      <w:r w:rsidRPr="00CD4311">
        <w:rPr>
          <w:rFonts w:ascii="Times New Roman" w:hAnsi="Times New Roman" w:cs="Times New Roman"/>
          <w:i/>
          <w:lang w:val="de-DE"/>
        </w:rPr>
        <w:t>parakstījušas</w:t>
      </w:r>
      <w:proofErr w:type="spellEnd"/>
      <w:r w:rsidRPr="00CD4311">
        <w:rPr>
          <w:rFonts w:ascii="Times New Roman" w:hAnsi="Times New Roman" w:cs="Times New Roman"/>
          <w:i/>
          <w:lang w:val="de-DE"/>
        </w:rPr>
        <w:t xml:space="preserve"> </w:t>
      </w:r>
      <w:proofErr w:type="spellStart"/>
      <w:r w:rsidRPr="00CD4311">
        <w:rPr>
          <w:rFonts w:ascii="Times New Roman" w:hAnsi="Times New Roman" w:cs="Times New Roman"/>
          <w:i/>
          <w:lang w:val="de-DE"/>
        </w:rPr>
        <w:t>privātpersonas</w:t>
      </w:r>
      <w:proofErr w:type="spellEnd"/>
      <w:r w:rsidRPr="00CD4311">
        <w:rPr>
          <w:rFonts w:ascii="Times New Roman" w:hAnsi="Times New Roman" w:cs="Times New Roman"/>
          <w:i/>
          <w:lang w:val="de-DE"/>
        </w:rPr>
        <w:t xml:space="preserve">, </w:t>
      </w:r>
      <w:proofErr w:type="spellStart"/>
      <w:r w:rsidRPr="00CD4311">
        <w:rPr>
          <w:rFonts w:ascii="Times New Roman" w:hAnsi="Times New Roman" w:cs="Times New Roman"/>
          <w:i/>
          <w:lang w:val="de-DE"/>
        </w:rPr>
        <w:t>tādi</w:t>
      </w:r>
      <w:proofErr w:type="spellEnd"/>
      <w:r w:rsidRPr="00CD4311">
        <w:rPr>
          <w:rFonts w:ascii="Times New Roman" w:hAnsi="Times New Roman" w:cs="Times New Roman"/>
          <w:i/>
          <w:lang w:val="de-DE"/>
        </w:rPr>
        <w:t xml:space="preserve"> </w:t>
      </w:r>
      <w:proofErr w:type="spellStart"/>
      <w:r w:rsidRPr="00CD4311">
        <w:rPr>
          <w:rFonts w:ascii="Times New Roman" w:hAnsi="Times New Roman" w:cs="Times New Roman"/>
          <w:i/>
          <w:lang w:val="de-DE"/>
        </w:rPr>
        <w:t>kā</w:t>
      </w:r>
      <w:proofErr w:type="spellEnd"/>
      <w:r w:rsidRPr="00CD4311">
        <w:rPr>
          <w:rFonts w:ascii="Times New Roman" w:hAnsi="Times New Roman" w:cs="Times New Roman"/>
          <w:i/>
          <w:lang w:val="de-DE"/>
        </w:rPr>
        <w:t xml:space="preserve"> </w:t>
      </w:r>
      <w:proofErr w:type="spellStart"/>
      <w:r w:rsidRPr="00CD4311">
        <w:rPr>
          <w:rFonts w:ascii="Times New Roman" w:hAnsi="Times New Roman" w:cs="Times New Roman"/>
          <w:i/>
          <w:lang w:val="de-DE"/>
        </w:rPr>
        <w:t>oficiāli</w:t>
      </w:r>
      <w:proofErr w:type="spellEnd"/>
      <w:r w:rsidRPr="00CD4311">
        <w:rPr>
          <w:rFonts w:ascii="Times New Roman" w:hAnsi="Times New Roman" w:cs="Times New Roman"/>
          <w:i/>
          <w:lang w:val="de-DE"/>
        </w:rPr>
        <w:t xml:space="preserve"> </w:t>
      </w:r>
      <w:proofErr w:type="spellStart"/>
      <w:r w:rsidRPr="00CD4311">
        <w:rPr>
          <w:rFonts w:ascii="Times New Roman" w:hAnsi="Times New Roman" w:cs="Times New Roman"/>
          <w:i/>
          <w:lang w:val="de-DE"/>
        </w:rPr>
        <w:t>apliecinājumi</w:t>
      </w:r>
      <w:proofErr w:type="spellEnd"/>
      <w:r w:rsidRPr="00CD4311">
        <w:rPr>
          <w:rFonts w:ascii="Times New Roman" w:hAnsi="Times New Roman" w:cs="Times New Roman"/>
          <w:i/>
          <w:lang w:val="de-DE"/>
        </w:rPr>
        <w:t xml:space="preserve"> par </w:t>
      </w:r>
      <w:proofErr w:type="spellStart"/>
      <w:r w:rsidRPr="00CD4311">
        <w:rPr>
          <w:rFonts w:ascii="Times New Roman" w:hAnsi="Times New Roman" w:cs="Times New Roman"/>
          <w:i/>
          <w:lang w:val="de-DE"/>
        </w:rPr>
        <w:t>dokumenta</w:t>
      </w:r>
      <w:proofErr w:type="spellEnd"/>
      <w:r w:rsidRPr="00CD4311">
        <w:rPr>
          <w:rFonts w:ascii="Times New Roman" w:hAnsi="Times New Roman" w:cs="Times New Roman"/>
          <w:i/>
          <w:lang w:val="de-DE"/>
        </w:rPr>
        <w:t xml:space="preserve"> </w:t>
      </w:r>
      <w:proofErr w:type="spellStart"/>
      <w:r w:rsidRPr="00CD4311">
        <w:rPr>
          <w:rFonts w:ascii="Times New Roman" w:hAnsi="Times New Roman" w:cs="Times New Roman"/>
          <w:i/>
          <w:lang w:val="de-DE"/>
        </w:rPr>
        <w:t>reģistrāciju</w:t>
      </w:r>
      <w:proofErr w:type="spellEnd"/>
      <w:r w:rsidRPr="00CD4311">
        <w:rPr>
          <w:rFonts w:ascii="Times New Roman" w:hAnsi="Times New Roman" w:cs="Times New Roman"/>
          <w:i/>
          <w:lang w:val="de-DE"/>
        </w:rPr>
        <w:t xml:space="preserve">, </w:t>
      </w:r>
      <w:proofErr w:type="spellStart"/>
      <w:r w:rsidRPr="00CD4311">
        <w:rPr>
          <w:rFonts w:ascii="Times New Roman" w:hAnsi="Times New Roman" w:cs="Times New Roman"/>
          <w:i/>
          <w:lang w:val="de-DE"/>
        </w:rPr>
        <w:t>vai</w:t>
      </w:r>
      <w:proofErr w:type="spellEnd"/>
      <w:r w:rsidRPr="00CD4311">
        <w:rPr>
          <w:rFonts w:ascii="Times New Roman" w:hAnsi="Times New Roman" w:cs="Times New Roman"/>
          <w:i/>
          <w:lang w:val="de-DE"/>
        </w:rPr>
        <w:t xml:space="preserve"> par </w:t>
      </w:r>
      <w:proofErr w:type="spellStart"/>
      <w:r w:rsidRPr="00CD4311">
        <w:rPr>
          <w:rFonts w:ascii="Times New Roman" w:hAnsi="Times New Roman" w:cs="Times New Roman"/>
          <w:i/>
          <w:lang w:val="de-DE"/>
        </w:rPr>
        <w:t>faktu</w:t>
      </w:r>
      <w:proofErr w:type="spellEnd"/>
      <w:r w:rsidRPr="00CD4311">
        <w:rPr>
          <w:rFonts w:ascii="Times New Roman" w:hAnsi="Times New Roman" w:cs="Times New Roman"/>
          <w:i/>
          <w:lang w:val="de-DE"/>
        </w:rPr>
        <w:t xml:space="preserve">, </w:t>
      </w:r>
      <w:proofErr w:type="spellStart"/>
      <w:r w:rsidRPr="00CD4311">
        <w:rPr>
          <w:rFonts w:ascii="Times New Roman" w:hAnsi="Times New Roman" w:cs="Times New Roman"/>
          <w:i/>
          <w:lang w:val="de-DE"/>
        </w:rPr>
        <w:t>ka</w:t>
      </w:r>
      <w:proofErr w:type="spellEnd"/>
      <w:r w:rsidRPr="00CD4311">
        <w:rPr>
          <w:rFonts w:ascii="Times New Roman" w:hAnsi="Times New Roman" w:cs="Times New Roman"/>
          <w:i/>
          <w:lang w:val="de-DE"/>
        </w:rPr>
        <w:t xml:space="preserve"> </w:t>
      </w:r>
      <w:proofErr w:type="spellStart"/>
      <w:r w:rsidRPr="00CD4311">
        <w:rPr>
          <w:rFonts w:ascii="Times New Roman" w:hAnsi="Times New Roman" w:cs="Times New Roman"/>
          <w:i/>
          <w:lang w:val="de-DE"/>
        </w:rPr>
        <w:t>tas</w:t>
      </w:r>
      <w:proofErr w:type="spellEnd"/>
      <w:r w:rsidRPr="00CD4311">
        <w:rPr>
          <w:rFonts w:ascii="Times New Roman" w:hAnsi="Times New Roman" w:cs="Times New Roman"/>
          <w:i/>
          <w:lang w:val="de-DE"/>
        </w:rPr>
        <w:t xml:space="preserve"> </w:t>
      </w:r>
      <w:proofErr w:type="spellStart"/>
      <w:r w:rsidRPr="00CD4311">
        <w:rPr>
          <w:rFonts w:ascii="Times New Roman" w:hAnsi="Times New Roman" w:cs="Times New Roman"/>
          <w:i/>
          <w:lang w:val="de-DE"/>
        </w:rPr>
        <w:t>ir</w:t>
      </w:r>
      <w:proofErr w:type="spellEnd"/>
      <w:r w:rsidRPr="00CD4311">
        <w:rPr>
          <w:rFonts w:ascii="Times New Roman" w:hAnsi="Times New Roman" w:cs="Times New Roman"/>
          <w:i/>
          <w:lang w:val="de-DE"/>
        </w:rPr>
        <w:t xml:space="preserve"> </w:t>
      </w:r>
      <w:proofErr w:type="spellStart"/>
      <w:r w:rsidRPr="00CD4311">
        <w:rPr>
          <w:rFonts w:ascii="Times New Roman" w:hAnsi="Times New Roman" w:cs="Times New Roman"/>
          <w:i/>
          <w:lang w:val="de-DE"/>
        </w:rPr>
        <w:t>pastāvējis</w:t>
      </w:r>
      <w:proofErr w:type="spellEnd"/>
      <w:r w:rsidRPr="00CD4311">
        <w:rPr>
          <w:rFonts w:ascii="Times New Roman" w:hAnsi="Times New Roman" w:cs="Times New Roman"/>
          <w:i/>
          <w:lang w:val="de-DE"/>
        </w:rPr>
        <w:t xml:space="preserve"> </w:t>
      </w:r>
      <w:proofErr w:type="spellStart"/>
      <w:r w:rsidRPr="00CD4311">
        <w:rPr>
          <w:rFonts w:ascii="Times New Roman" w:hAnsi="Times New Roman" w:cs="Times New Roman"/>
          <w:i/>
          <w:lang w:val="de-DE"/>
        </w:rPr>
        <w:t>noteiktā</w:t>
      </w:r>
      <w:proofErr w:type="spellEnd"/>
      <w:r w:rsidRPr="00CD4311">
        <w:rPr>
          <w:rFonts w:ascii="Times New Roman" w:hAnsi="Times New Roman" w:cs="Times New Roman"/>
          <w:i/>
          <w:lang w:val="de-DE"/>
        </w:rPr>
        <w:t xml:space="preserve"> </w:t>
      </w:r>
      <w:proofErr w:type="spellStart"/>
      <w:r w:rsidRPr="00CD4311">
        <w:rPr>
          <w:rFonts w:ascii="Times New Roman" w:hAnsi="Times New Roman" w:cs="Times New Roman"/>
          <w:i/>
          <w:lang w:val="de-DE"/>
        </w:rPr>
        <w:t>datumā</w:t>
      </w:r>
      <w:proofErr w:type="spellEnd"/>
      <w:r w:rsidRPr="00CD4311">
        <w:rPr>
          <w:rFonts w:ascii="Times New Roman" w:hAnsi="Times New Roman" w:cs="Times New Roman"/>
          <w:i/>
          <w:lang w:val="de-DE"/>
        </w:rPr>
        <w:t xml:space="preserve">, </w:t>
      </w:r>
      <w:proofErr w:type="spellStart"/>
      <w:r w:rsidRPr="00CD4311">
        <w:rPr>
          <w:rFonts w:ascii="Times New Roman" w:hAnsi="Times New Roman" w:cs="Times New Roman"/>
          <w:i/>
          <w:lang w:val="de-DE"/>
        </w:rPr>
        <w:t>un</w:t>
      </w:r>
      <w:proofErr w:type="spellEnd"/>
      <w:r w:rsidRPr="00CD4311">
        <w:rPr>
          <w:rFonts w:ascii="Times New Roman" w:hAnsi="Times New Roman" w:cs="Times New Roman"/>
          <w:i/>
          <w:lang w:val="de-DE"/>
        </w:rPr>
        <w:t xml:space="preserve"> </w:t>
      </w:r>
      <w:proofErr w:type="spellStart"/>
      <w:r w:rsidRPr="00CD4311">
        <w:rPr>
          <w:rFonts w:ascii="Times New Roman" w:hAnsi="Times New Roman" w:cs="Times New Roman"/>
          <w:i/>
          <w:lang w:val="de-DE"/>
        </w:rPr>
        <w:t>oficiāli</w:t>
      </w:r>
      <w:proofErr w:type="spellEnd"/>
      <w:r w:rsidRPr="00CD4311">
        <w:rPr>
          <w:rFonts w:ascii="Times New Roman" w:hAnsi="Times New Roman" w:cs="Times New Roman"/>
          <w:i/>
          <w:lang w:val="de-DE"/>
        </w:rPr>
        <w:t xml:space="preserve"> </w:t>
      </w:r>
      <w:proofErr w:type="spellStart"/>
      <w:r w:rsidRPr="00CD4311">
        <w:rPr>
          <w:rFonts w:ascii="Times New Roman" w:hAnsi="Times New Roman" w:cs="Times New Roman"/>
          <w:i/>
          <w:lang w:val="de-DE"/>
        </w:rPr>
        <w:t>un</w:t>
      </w:r>
      <w:proofErr w:type="spellEnd"/>
      <w:r w:rsidRPr="00CD4311">
        <w:rPr>
          <w:rFonts w:ascii="Times New Roman" w:hAnsi="Times New Roman" w:cs="Times New Roman"/>
          <w:i/>
          <w:lang w:val="de-DE"/>
        </w:rPr>
        <w:t xml:space="preserve"> </w:t>
      </w:r>
      <w:proofErr w:type="spellStart"/>
      <w:r w:rsidRPr="00CD4311">
        <w:rPr>
          <w:rFonts w:ascii="Times New Roman" w:hAnsi="Times New Roman" w:cs="Times New Roman"/>
          <w:i/>
          <w:u w:val="single"/>
          <w:lang w:val="de-DE"/>
        </w:rPr>
        <w:t>notariāli</w:t>
      </w:r>
      <w:proofErr w:type="spellEnd"/>
      <w:r w:rsidRPr="00CD4311">
        <w:rPr>
          <w:rFonts w:ascii="Times New Roman" w:hAnsi="Times New Roman" w:cs="Times New Roman"/>
          <w:i/>
          <w:u w:val="single"/>
          <w:lang w:val="de-DE"/>
        </w:rPr>
        <w:t xml:space="preserve"> </w:t>
      </w:r>
      <w:proofErr w:type="spellStart"/>
      <w:r w:rsidRPr="00CD4311">
        <w:rPr>
          <w:rFonts w:ascii="Times New Roman" w:hAnsi="Times New Roman" w:cs="Times New Roman"/>
          <w:i/>
          <w:u w:val="single"/>
          <w:lang w:val="de-DE"/>
        </w:rPr>
        <w:t>paraksta</w:t>
      </w:r>
      <w:proofErr w:type="spellEnd"/>
      <w:r w:rsidRPr="00CD4311">
        <w:rPr>
          <w:rFonts w:ascii="Times New Roman" w:hAnsi="Times New Roman" w:cs="Times New Roman"/>
          <w:i/>
          <w:u w:val="single"/>
          <w:lang w:val="de-DE"/>
        </w:rPr>
        <w:t xml:space="preserve"> </w:t>
      </w:r>
      <w:proofErr w:type="spellStart"/>
      <w:r w:rsidRPr="00CD4311">
        <w:rPr>
          <w:rFonts w:ascii="Times New Roman" w:hAnsi="Times New Roman" w:cs="Times New Roman"/>
          <w:i/>
          <w:u w:val="single"/>
          <w:lang w:val="de-DE"/>
        </w:rPr>
        <w:t>autentiskuma</w:t>
      </w:r>
      <w:proofErr w:type="spellEnd"/>
      <w:r w:rsidRPr="00CD4311">
        <w:rPr>
          <w:rFonts w:ascii="Times New Roman" w:hAnsi="Times New Roman" w:cs="Times New Roman"/>
          <w:i/>
          <w:u w:val="single"/>
          <w:lang w:val="de-DE"/>
        </w:rPr>
        <w:t xml:space="preserve"> </w:t>
      </w:r>
      <w:proofErr w:type="spellStart"/>
      <w:r w:rsidRPr="00CD4311">
        <w:rPr>
          <w:rFonts w:ascii="Times New Roman" w:hAnsi="Times New Roman" w:cs="Times New Roman"/>
          <w:i/>
          <w:u w:val="single"/>
          <w:lang w:val="de-DE"/>
        </w:rPr>
        <w:t>apliecinājumi</w:t>
      </w:r>
      <w:proofErr w:type="spellEnd"/>
      <w:r w:rsidRPr="00CD4311">
        <w:rPr>
          <w:rFonts w:ascii="Times New Roman" w:hAnsi="Times New Roman" w:cs="Times New Roman"/>
          <w:i/>
          <w:lang w:val="de-DE"/>
        </w:rPr>
        <w:t>“.</w:t>
      </w:r>
    </w:p>
    <w:p w14:paraId="4069B4AF" w14:textId="77777777" w:rsidR="00114953" w:rsidRPr="00CD4311" w:rsidRDefault="00114953" w:rsidP="00114953">
      <w:pPr>
        <w:jc w:val="both"/>
        <w:rPr>
          <w:rFonts w:asciiTheme="majorBidi" w:hAnsiTheme="majorBidi" w:cstheme="majorBidi"/>
          <w:bCs/>
          <w:lang w:val="de-DE"/>
        </w:rPr>
      </w:pPr>
    </w:p>
    <w:p w14:paraId="32456DAC" w14:textId="77777777" w:rsidR="00114953" w:rsidRPr="00CD4311" w:rsidRDefault="00114953" w:rsidP="00114953">
      <w:pPr>
        <w:ind w:firstLine="708"/>
        <w:jc w:val="both"/>
        <w:rPr>
          <w:rFonts w:ascii="Times New Roman" w:hAnsi="Times New Roman" w:cs="Times New Roman"/>
          <w:lang w:val="de-DE"/>
        </w:rPr>
      </w:pPr>
      <w:proofErr w:type="spellStart"/>
      <w:r w:rsidRPr="00CD4311">
        <w:rPr>
          <w:rFonts w:asciiTheme="majorBidi" w:hAnsiTheme="majorBidi" w:cstheme="majorBidi"/>
          <w:bCs/>
          <w:lang w:val="de-DE"/>
        </w:rPr>
        <w:t>Kā</w:t>
      </w:r>
      <w:proofErr w:type="spellEnd"/>
      <w:r w:rsidRPr="00CD4311">
        <w:rPr>
          <w:rFonts w:asciiTheme="majorBidi" w:hAnsiTheme="majorBidi" w:cstheme="majorBidi"/>
          <w:bCs/>
          <w:lang w:val="de-DE"/>
        </w:rPr>
        <w:t xml:space="preserve"> </w:t>
      </w:r>
      <w:proofErr w:type="spellStart"/>
      <w:r w:rsidRPr="00CD4311">
        <w:rPr>
          <w:rFonts w:asciiTheme="majorBidi" w:hAnsiTheme="majorBidi" w:cstheme="majorBidi"/>
          <w:bCs/>
          <w:lang w:val="de-DE"/>
        </w:rPr>
        <w:t>redzams</w:t>
      </w:r>
      <w:proofErr w:type="spellEnd"/>
      <w:r w:rsidRPr="00CD4311">
        <w:rPr>
          <w:rFonts w:asciiTheme="majorBidi" w:hAnsiTheme="majorBidi" w:cstheme="majorBidi"/>
          <w:bCs/>
          <w:lang w:val="de-DE"/>
        </w:rPr>
        <w:t xml:space="preserve">: 1) </w:t>
      </w:r>
      <w:proofErr w:type="spellStart"/>
      <w:r w:rsidRPr="00CD4311">
        <w:rPr>
          <w:rFonts w:asciiTheme="majorBidi" w:hAnsiTheme="majorBidi" w:cstheme="majorBidi"/>
          <w:bCs/>
          <w:lang w:val="de-DE"/>
        </w:rPr>
        <w:t>jēdziens</w:t>
      </w:r>
      <w:proofErr w:type="spellEnd"/>
      <w:r w:rsidRPr="00CD4311">
        <w:rPr>
          <w:rFonts w:asciiTheme="majorBidi" w:hAnsiTheme="majorBidi" w:cstheme="majorBidi"/>
          <w:bCs/>
          <w:lang w:val="de-DE"/>
        </w:rPr>
        <w:t xml:space="preserve"> „</w:t>
      </w:r>
      <w:proofErr w:type="spellStart"/>
      <w:r w:rsidRPr="00CD4311">
        <w:rPr>
          <w:rFonts w:asciiTheme="majorBidi" w:hAnsiTheme="majorBidi" w:cstheme="majorBidi"/>
          <w:bCs/>
          <w:lang w:val="de-DE"/>
        </w:rPr>
        <w:t>publisks</w:t>
      </w:r>
      <w:proofErr w:type="spellEnd"/>
      <w:r w:rsidRPr="00CD4311">
        <w:rPr>
          <w:rFonts w:asciiTheme="majorBidi" w:hAnsiTheme="majorBidi" w:cstheme="majorBidi"/>
          <w:bCs/>
          <w:lang w:val="de-DE"/>
        </w:rPr>
        <w:t xml:space="preserve"> </w:t>
      </w:r>
      <w:proofErr w:type="spellStart"/>
      <w:r w:rsidRPr="00CD4311">
        <w:rPr>
          <w:rFonts w:asciiTheme="majorBidi" w:hAnsiTheme="majorBidi" w:cstheme="majorBidi"/>
          <w:bCs/>
          <w:lang w:val="de-DE"/>
        </w:rPr>
        <w:t>dokuments</w:t>
      </w:r>
      <w:proofErr w:type="spellEnd"/>
      <w:r w:rsidRPr="00CD4311">
        <w:rPr>
          <w:rFonts w:asciiTheme="majorBidi" w:hAnsiTheme="majorBidi" w:cstheme="majorBidi"/>
          <w:bCs/>
          <w:lang w:val="de-DE"/>
        </w:rPr>
        <w:t xml:space="preserve">“ </w:t>
      </w:r>
      <w:proofErr w:type="spellStart"/>
      <w:r w:rsidRPr="00CD4311">
        <w:rPr>
          <w:rFonts w:asciiTheme="majorBidi" w:hAnsiTheme="majorBidi" w:cstheme="majorBidi"/>
          <w:bCs/>
          <w:lang w:val="de-DE"/>
        </w:rPr>
        <w:t>ir</w:t>
      </w:r>
      <w:proofErr w:type="spellEnd"/>
      <w:r w:rsidRPr="00CD4311">
        <w:rPr>
          <w:rFonts w:asciiTheme="majorBidi" w:hAnsiTheme="majorBidi" w:cstheme="majorBidi"/>
          <w:bCs/>
          <w:lang w:val="de-DE"/>
        </w:rPr>
        <w:t xml:space="preserve"> </w:t>
      </w:r>
      <w:proofErr w:type="spellStart"/>
      <w:r w:rsidRPr="00CD4311">
        <w:rPr>
          <w:rFonts w:asciiTheme="majorBidi" w:hAnsiTheme="majorBidi" w:cstheme="majorBidi"/>
          <w:bCs/>
          <w:lang w:val="de-DE"/>
        </w:rPr>
        <w:t>sniegts</w:t>
      </w:r>
      <w:proofErr w:type="spellEnd"/>
      <w:r w:rsidRPr="00CD4311">
        <w:rPr>
          <w:rFonts w:asciiTheme="majorBidi" w:hAnsiTheme="majorBidi" w:cstheme="majorBidi"/>
          <w:bCs/>
          <w:lang w:val="de-DE"/>
        </w:rPr>
        <w:t xml:space="preserve"> </w:t>
      </w:r>
      <w:proofErr w:type="spellStart"/>
      <w:r w:rsidRPr="00CD4311">
        <w:rPr>
          <w:rFonts w:asciiTheme="majorBidi" w:hAnsiTheme="majorBidi" w:cstheme="majorBidi"/>
          <w:bCs/>
          <w:lang w:val="de-DE"/>
        </w:rPr>
        <w:t>un</w:t>
      </w:r>
      <w:proofErr w:type="spellEnd"/>
      <w:r w:rsidRPr="00CD4311">
        <w:rPr>
          <w:rFonts w:asciiTheme="majorBidi" w:hAnsiTheme="majorBidi" w:cstheme="majorBidi"/>
          <w:bCs/>
          <w:lang w:val="de-DE"/>
        </w:rPr>
        <w:t xml:space="preserve"> </w:t>
      </w:r>
      <w:proofErr w:type="spellStart"/>
      <w:r w:rsidRPr="00CD4311">
        <w:rPr>
          <w:rFonts w:asciiTheme="majorBidi" w:hAnsiTheme="majorBidi" w:cstheme="majorBidi"/>
          <w:bCs/>
          <w:lang w:val="de-DE"/>
        </w:rPr>
        <w:t>tādēļ</w:t>
      </w:r>
      <w:proofErr w:type="spellEnd"/>
      <w:r w:rsidRPr="00CD4311">
        <w:rPr>
          <w:rFonts w:asciiTheme="majorBidi" w:hAnsiTheme="majorBidi" w:cstheme="majorBidi"/>
          <w:bCs/>
          <w:lang w:val="de-DE"/>
        </w:rPr>
        <w:t xml:space="preserve"> </w:t>
      </w:r>
      <w:proofErr w:type="spellStart"/>
      <w:r w:rsidRPr="00CD4311">
        <w:rPr>
          <w:rFonts w:asciiTheme="majorBidi" w:hAnsiTheme="majorBidi" w:cstheme="majorBidi"/>
          <w:bCs/>
          <w:lang w:val="de-DE"/>
        </w:rPr>
        <w:t>arī</w:t>
      </w:r>
      <w:proofErr w:type="spellEnd"/>
      <w:r w:rsidRPr="00CD4311">
        <w:rPr>
          <w:rFonts w:asciiTheme="majorBidi" w:hAnsiTheme="majorBidi" w:cstheme="majorBidi"/>
          <w:bCs/>
          <w:lang w:val="de-DE"/>
        </w:rPr>
        <w:t xml:space="preserve"> </w:t>
      </w:r>
      <w:proofErr w:type="spellStart"/>
      <w:r w:rsidRPr="00CD4311">
        <w:rPr>
          <w:rFonts w:asciiTheme="majorBidi" w:hAnsiTheme="majorBidi" w:cstheme="majorBidi"/>
          <w:bCs/>
          <w:lang w:val="de-DE"/>
        </w:rPr>
        <w:t>izmantojams</w:t>
      </w:r>
      <w:proofErr w:type="spellEnd"/>
      <w:r w:rsidRPr="00CD4311">
        <w:rPr>
          <w:rFonts w:asciiTheme="majorBidi" w:hAnsiTheme="majorBidi" w:cstheme="majorBidi"/>
          <w:bCs/>
          <w:lang w:val="de-DE"/>
        </w:rPr>
        <w:t xml:space="preserve"> </w:t>
      </w:r>
      <w:proofErr w:type="spellStart"/>
      <w:r w:rsidRPr="00CD4311">
        <w:rPr>
          <w:rFonts w:asciiTheme="majorBidi" w:hAnsiTheme="majorBidi" w:cstheme="majorBidi"/>
          <w:bCs/>
          <w:lang w:val="de-DE"/>
        </w:rPr>
        <w:t>tikai</w:t>
      </w:r>
      <w:proofErr w:type="spellEnd"/>
      <w:r w:rsidRPr="00CD4311">
        <w:rPr>
          <w:rFonts w:asciiTheme="majorBidi" w:hAnsiTheme="majorBidi" w:cstheme="majorBidi"/>
          <w:bCs/>
          <w:lang w:val="de-DE"/>
        </w:rPr>
        <w:t xml:space="preserve"> </w:t>
      </w:r>
      <w:proofErr w:type="spellStart"/>
      <w:r w:rsidRPr="00CD4311">
        <w:rPr>
          <w:rFonts w:asciiTheme="majorBidi" w:hAnsiTheme="majorBidi" w:cstheme="majorBidi"/>
          <w:bCs/>
          <w:lang w:val="de-DE"/>
        </w:rPr>
        <w:t>Konvencijas</w:t>
      </w:r>
      <w:proofErr w:type="spellEnd"/>
      <w:r w:rsidRPr="00CD4311">
        <w:rPr>
          <w:rFonts w:asciiTheme="majorBidi" w:hAnsiTheme="majorBidi" w:cstheme="majorBidi"/>
          <w:bCs/>
          <w:lang w:val="de-DE"/>
        </w:rPr>
        <w:t xml:space="preserve"> </w:t>
      </w:r>
      <w:proofErr w:type="spellStart"/>
      <w:r w:rsidRPr="00CD4311">
        <w:rPr>
          <w:rFonts w:asciiTheme="majorBidi" w:hAnsiTheme="majorBidi" w:cstheme="majorBidi"/>
          <w:bCs/>
          <w:lang w:val="de-DE"/>
        </w:rPr>
        <w:t>nolūkiem</w:t>
      </w:r>
      <w:proofErr w:type="spellEnd"/>
      <w:r w:rsidRPr="00CD4311">
        <w:rPr>
          <w:rFonts w:asciiTheme="majorBidi" w:hAnsiTheme="majorBidi" w:cstheme="majorBidi"/>
          <w:bCs/>
          <w:lang w:val="de-DE"/>
        </w:rPr>
        <w:t xml:space="preserve">; 2) </w:t>
      </w:r>
      <w:proofErr w:type="spellStart"/>
      <w:r w:rsidRPr="00CD4311">
        <w:rPr>
          <w:rFonts w:asciiTheme="majorBidi" w:hAnsiTheme="majorBidi" w:cstheme="majorBidi"/>
          <w:bCs/>
          <w:lang w:val="de-DE"/>
        </w:rPr>
        <w:t>Konvencijas</w:t>
      </w:r>
      <w:proofErr w:type="spellEnd"/>
      <w:r w:rsidRPr="00CD4311">
        <w:rPr>
          <w:rFonts w:asciiTheme="majorBidi" w:hAnsiTheme="majorBidi" w:cstheme="majorBidi"/>
          <w:bCs/>
          <w:lang w:val="de-DE"/>
        </w:rPr>
        <w:t xml:space="preserve"> </w:t>
      </w:r>
      <w:proofErr w:type="spellStart"/>
      <w:r w:rsidRPr="00CD4311">
        <w:rPr>
          <w:rFonts w:ascii="Times New Roman" w:hAnsi="Times New Roman" w:cs="Times New Roman"/>
          <w:lang w:val="de-DE"/>
        </w:rPr>
        <w:t>izpratnē</w:t>
      </w:r>
      <w:proofErr w:type="spellEnd"/>
      <w:r w:rsidRPr="00CD4311">
        <w:rPr>
          <w:rFonts w:ascii="Times New Roman" w:hAnsi="Times New Roman" w:cs="Times New Roman"/>
          <w:lang w:val="de-DE"/>
        </w:rPr>
        <w:t xml:space="preserve"> </w:t>
      </w:r>
      <w:proofErr w:type="spellStart"/>
      <w:r w:rsidRPr="00CD4311">
        <w:rPr>
          <w:rFonts w:ascii="Times New Roman" w:hAnsi="Times New Roman" w:cs="Times New Roman"/>
          <w:lang w:val="de-DE"/>
        </w:rPr>
        <w:t>ar</w:t>
      </w:r>
      <w:proofErr w:type="spellEnd"/>
      <w:r w:rsidRPr="00CD4311">
        <w:rPr>
          <w:rFonts w:ascii="Times New Roman" w:hAnsi="Times New Roman" w:cs="Times New Roman"/>
          <w:lang w:val="de-DE"/>
        </w:rPr>
        <w:t xml:space="preserve"> </w:t>
      </w:r>
      <w:proofErr w:type="spellStart"/>
      <w:r w:rsidRPr="00CD4311">
        <w:rPr>
          <w:rFonts w:ascii="Times New Roman" w:hAnsi="Times New Roman" w:cs="Times New Roman"/>
          <w:i/>
          <w:lang w:val="de-DE"/>
        </w:rPr>
        <w:t>apostille</w:t>
      </w:r>
      <w:proofErr w:type="spellEnd"/>
      <w:r w:rsidRPr="00CD4311">
        <w:rPr>
          <w:rFonts w:ascii="Times New Roman" w:hAnsi="Times New Roman" w:cs="Times New Roman"/>
          <w:lang w:val="de-DE"/>
        </w:rPr>
        <w:t xml:space="preserve"> </w:t>
      </w:r>
      <w:proofErr w:type="spellStart"/>
      <w:r w:rsidRPr="00CD4311">
        <w:rPr>
          <w:rFonts w:ascii="Times New Roman" w:hAnsi="Times New Roman" w:cs="Times New Roman"/>
          <w:lang w:val="de-DE"/>
        </w:rPr>
        <w:t>tiek</w:t>
      </w:r>
      <w:proofErr w:type="spellEnd"/>
      <w:r w:rsidRPr="00CD4311">
        <w:rPr>
          <w:rFonts w:ascii="Times New Roman" w:hAnsi="Times New Roman" w:cs="Times New Roman"/>
          <w:lang w:val="de-DE"/>
        </w:rPr>
        <w:t xml:space="preserve"> </w:t>
      </w:r>
      <w:proofErr w:type="spellStart"/>
      <w:r w:rsidRPr="00CD4311">
        <w:rPr>
          <w:rFonts w:ascii="Times New Roman" w:hAnsi="Times New Roman" w:cs="Times New Roman"/>
          <w:lang w:val="de-DE"/>
        </w:rPr>
        <w:t>apliecināts</w:t>
      </w:r>
      <w:proofErr w:type="spellEnd"/>
      <w:r w:rsidRPr="00CD4311">
        <w:rPr>
          <w:rFonts w:ascii="Times New Roman" w:hAnsi="Times New Roman" w:cs="Times New Roman"/>
          <w:lang w:val="de-DE"/>
        </w:rPr>
        <w:t xml:space="preserve"> </w:t>
      </w:r>
      <w:proofErr w:type="spellStart"/>
      <w:r w:rsidRPr="00CD4311">
        <w:rPr>
          <w:rFonts w:ascii="Times New Roman" w:hAnsi="Times New Roman" w:cs="Times New Roman"/>
          <w:i/>
          <w:lang w:val="de-DE"/>
        </w:rPr>
        <w:t>tikai</w:t>
      </w:r>
      <w:proofErr w:type="spellEnd"/>
      <w:r w:rsidRPr="00CD4311">
        <w:rPr>
          <w:rFonts w:ascii="Times New Roman" w:hAnsi="Times New Roman" w:cs="Times New Roman"/>
          <w:i/>
          <w:lang w:val="de-DE"/>
        </w:rPr>
        <w:t xml:space="preserve"> </w:t>
      </w:r>
      <w:proofErr w:type="spellStart"/>
      <w:r w:rsidRPr="00CD4311">
        <w:rPr>
          <w:rFonts w:ascii="Times New Roman" w:hAnsi="Times New Roman" w:cs="Times New Roman"/>
          <w:i/>
          <w:lang w:val="de-DE"/>
        </w:rPr>
        <w:t>un</w:t>
      </w:r>
      <w:proofErr w:type="spellEnd"/>
      <w:r w:rsidRPr="00CD4311">
        <w:rPr>
          <w:rFonts w:ascii="Times New Roman" w:hAnsi="Times New Roman" w:cs="Times New Roman"/>
          <w:i/>
          <w:lang w:val="de-DE"/>
        </w:rPr>
        <w:t xml:space="preserve"> </w:t>
      </w:r>
      <w:proofErr w:type="spellStart"/>
      <w:r w:rsidRPr="00CD4311">
        <w:rPr>
          <w:rFonts w:ascii="Times New Roman" w:hAnsi="Times New Roman" w:cs="Times New Roman"/>
          <w:i/>
          <w:lang w:val="de-DE"/>
        </w:rPr>
        <w:t>vienīgi</w:t>
      </w:r>
      <w:proofErr w:type="spellEnd"/>
      <w:r w:rsidRPr="00CD4311">
        <w:rPr>
          <w:rFonts w:ascii="Times New Roman" w:hAnsi="Times New Roman" w:cs="Times New Roman"/>
          <w:lang w:val="de-DE"/>
        </w:rPr>
        <w:t xml:space="preserve"> </w:t>
      </w:r>
      <w:proofErr w:type="spellStart"/>
      <w:r w:rsidRPr="00CD4311">
        <w:rPr>
          <w:rFonts w:ascii="Times New Roman" w:hAnsi="Times New Roman" w:cs="Times New Roman"/>
          <w:lang w:val="de-DE"/>
        </w:rPr>
        <w:t>tās</w:t>
      </w:r>
      <w:proofErr w:type="spellEnd"/>
      <w:r w:rsidRPr="00CD4311">
        <w:rPr>
          <w:rFonts w:ascii="Times New Roman" w:hAnsi="Times New Roman" w:cs="Times New Roman"/>
          <w:lang w:val="de-DE"/>
        </w:rPr>
        <w:t xml:space="preserve"> </w:t>
      </w:r>
      <w:proofErr w:type="spellStart"/>
      <w:r w:rsidRPr="00CD4311">
        <w:rPr>
          <w:rFonts w:ascii="Times New Roman" w:hAnsi="Times New Roman" w:cs="Times New Roman"/>
          <w:lang w:val="de-DE"/>
        </w:rPr>
        <w:t>publiskās</w:t>
      </w:r>
      <w:proofErr w:type="spellEnd"/>
      <w:r w:rsidRPr="00CD4311">
        <w:rPr>
          <w:rFonts w:ascii="Times New Roman" w:hAnsi="Times New Roman" w:cs="Times New Roman"/>
          <w:lang w:val="de-DE"/>
        </w:rPr>
        <w:t xml:space="preserve"> </w:t>
      </w:r>
      <w:proofErr w:type="spellStart"/>
      <w:r w:rsidRPr="00CD4311">
        <w:rPr>
          <w:rFonts w:ascii="Times New Roman" w:hAnsi="Times New Roman" w:cs="Times New Roman"/>
          <w:lang w:val="de-DE"/>
        </w:rPr>
        <w:t>amatpersonas</w:t>
      </w:r>
      <w:proofErr w:type="spellEnd"/>
      <w:r w:rsidRPr="00CD4311">
        <w:rPr>
          <w:rFonts w:ascii="Times New Roman" w:hAnsi="Times New Roman" w:cs="Times New Roman"/>
          <w:lang w:val="de-DE"/>
        </w:rPr>
        <w:t xml:space="preserve"> (</w:t>
      </w:r>
      <w:proofErr w:type="spellStart"/>
      <w:r w:rsidRPr="00CD4311">
        <w:rPr>
          <w:rFonts w:ascii="Times New Roman" w:hAnsi="Times New Roman" w:cs="Times New Roman"/>
          <w:lang w:val="de-DE"/>
        </w:rPr>
        <w:t>piemēram</w:t>
      </w:r>
      <w:proofErr w:type="spellEnd"/>
      <w:r w:rsidRPr="00CD4311">
        <w:rPr>
          <w:rFonts w:ascii="Times New Roman" w:hAnsi="Times New Roman" w:cs="Times New Roman"/>
          <w:lang w:val="de-DE"/>
        </w:rPr>
        <w:t xml:space="preserve">, </w:t>
      </w:r>
      <w:proofErr w:type="spellStart"/>
      <w:r w:rsidRPr="00CD4311">
        <w:rPr>
          <w:rFonts w:ascii="Times New Roman" w:hAnsi="Times New Roman" w:cs="Times New Roman"/>
          <w:lang w:val="de-DE"/>
        </w:rPr>
        <w:t>notāra</w:t>
      </w:r>
      <w:proofErr w:type="spellEnd"/>
      <w:r w:rsidRPr="00CD4311">
        <w:rPr>
          <w:rFonts w:ascii="Times New Roman" w:hAnsi="Times New Roman" w:cs="Times New Roman"/>
          <w:lang w:val="de-DE"/>
        </w:rPr>
        <w:t xml:space="preserve">) </w:t>
      </w:r>
      <w:proofErr w:type="spellStart"/>
      <w:r w:rsidRPr="00CD4311">
        <w:rPr>
          <w:rFonts w:ascii="Times New Roman" w:hAnsi="Times New Roman" w:cs="Times New Roman"/>
          <w:u w:val="single"/>
          <w:lang w:val="de-DE"/>
        </w:rPr>
        <w:t>paraksts</w:t>
      </w:r>
      <w:proofErr w:type="spellEnd"/>
      <w:r w:rsidRPr="00CD4311">
        <w:rPr>
          <w:rFonts w:ascii="Times New Roman" w:hAnsi="Times New Roman" w:cs="Times New Roman"/>
          <w:u w:val="single"/>
          <w:lang w:val="de-DE"/>
        </w:rPr>
        <w:t xml:space="preserve"> </w:t>
      </w:r>
      <w:proofErr w:type="spellStart"/>
      <w:r w:rsidRPr="00CD4311">
        <w:rPr>
          <w:rFonts w:ascii="Times New Roman" w:hAnsi="Times New Roman" w:cs="Times New Roman"/>
          <w:u w:val="single"/>
          <w:lang w:val="de-DE"/>
        </w:rPr>
        <w:t>un</w:t>
      </w:r>
      <w:proofErr w:type="spellEnd"/>
      <w:r w:rsidRPr="00CD4311">
        <w:rPr>
          <w:rFonts w:ascii="Times New Roman" w:hAnsi="Times New Roman" w:cs="Times New Roman"/>
          <w:u w:val="single"/>
          <w:lang w:val="de-DE"/>
        </w:rPr>
        <w:t xml:space="preserve"> </w:t>
      </w:r>
      <w:proofErr w:type="spellStart"/>
      <w:r w:rsidRPr="00CD4311">
        <w:rPr>
          <w:rFonts w:ascii="Times New Roman" w:hAnsi="Times New Roman" w:cs="Times New Roman"/>
          <w:u w:val="single"/>
          <w:lang w:val="de-DE"/>
        </w:rPr>
        <w:t>zīmogs</w:t>
      </w:r>
      <w:proofErr w:type="spellEnd"/>
      <w:r w:rsidRPr="00CD4311">
        <w:rPr>
          <w:rFonts w:ascii="Times New Roman" w:hAnsi="Times New Roman" w:cs="Times New Roman"/>
          <w:lang w:val="de-DE"/>
        </w:rPr>
        <w:t xml:space="preserve"> (</w:t>
      </w:r>
      <w:proofErr w:type="spellStart"/>
      <w:r w:rsidRPr="00CD4311">
        <w:rPr>
          <w:rFonts w:ascii="Times New Roman" w:hAnsi="Times New Roman" w:cs="Times New Roman"/>
          <w:lang w:val="de-DE"/>
        </w:rPr>
        <w:t>t.s</w:t>
      </w:r>
      <w:proofErr w:type="spellEnd"/>
      <w:r w:rsidRPr="00CD4311">
        <w:rPr>
          <w:rFonts w:ascii="Times New Roman" w:hAnsi="Times New Roman" w:cs="Times New Roman"/>
          <w:lang w:val="de-DE"/>
        </w:rPr>
        <w:t xml:space="preserve">., </w:t>
      </w:r>
      <w:proofErr w:type="spellStart"/>
      <w:r w:rsidRPr="00CD4311">
        <w:rPr>
          <w:rFonts w:ascii="Times New Roman" w:hAnsi="Times New Roman" w:cs="Times New Roman"/>
          <w:i/>
          <w:lang w:val="de-DE"/>
        </w:rPr>
        <w:t>instrumentum</w:t>
      </w:r>
      <w:proofErr w:type="spellEnd"/>
      <w:r w:rsidRPr="00CD4311">
        <w:rPr>
          <w:rFonts w:ascii="Times New Roman" w:hAnsi="Times New Roman" w:cs="Times New Roman"/>
          <w:lang w:val="de-DE"/>
        </w:rPr>
        <w:t xml:space="preserve">), </w:t>
      </w:r>
      <w:proofErr w:type="spellStart"/>
      <w:r w:rsidRPr="00CD4311">
        <w:rPr>
          <w:rFonts w:ascii="Times New Roman" w:hAnsi="Times New Roman" w:cs="Times New Roman"/>
          <w:lang w:val="de-DE"/>
        </w:rPr>
        <w:t>kura</w:t>
      </w:r>
      <w:proofErr w:type="spellEnd"/>
      <w:r w:rsidRPr="00CD4311">
        <w:rPr>
          <w:rFonts w:ascii="Times New Roman" w:hAnsi="Times New Roman" w:cs="Times New Roman"/>
          <w:lang w:val="de-DE"/>
        </w:rPr>
        <w:t xml:space="preserve"> </w:t>
      </w:r>
      <w:proofErr w:type="spellStart"/>
      <w:r w:rsidRPr="00CD4311">
        <w:rPr>
          <w:rFonts w:ascii="Times New Roman" w:hAnsi="Times New Roman" w:cs="Times New Roman"/>
          <w:lang w:val="de-DE"/>
        </w:rPr>
        <w:t>apliecinājusi</w:t>
      </w:r>
      <w:proofErr w:type="spellEnd"/>
      <w:r w:rsidRPr="00CD4311">
        <w:rPr>
          <w:rFonts w:ascii="Times New Roman" w:hAnsi="Times New Roman" w:cs="Times New Roman"/>
          <w:lang w:val="de-DE"/>
        </w:rPr>
        <w:t xml:space="preserve"> </w:t>
      </w:r>
      <w:proofErr w:type="spellStart"/>
      <w:r w:rsidRPr="00CD4311">
        <w:rPr>
          <w:rFonts w:ascii="Times New Roman" w:hAnsi="Times New Roman" w:cs="Times New Roman"/>
          <w:lang w:val="de-DE"/>
        </w:rPr>
        <w:t>privāto</w:t>
      </w:r>
      <w:proofErr w:type="spellEnd"/>
      <w:r w:rsidRPr="00CD4311">
        <w:rPr>
          <w:rFonts w:ascii="Times New Roman" w:hAnsi="Times New Roman" w:cs="Times New Roman"/>
          <w:lang w:val="de-DE"/>
        </w:rPr>
        <w:t xml:space="preserve"> </w:t>
      </w:r>
      <w:proofErr w:type="spellStart"/>
      <w:r w:rsidRPr="00CD4311">
        <w:rPr>
          <w:rFonts w:ascii="Times New Roman" w:hAnsi="Times New Roman" w:cs="Times New Roman"/>
          <w:lang w:val="de-DE"/>
        </w:rPr>
        <w:t>dokumentu</w:t>
      </w:r>
      <w:proofErr w:type="spellEnd"/>
      <w:r w:rsidRPr="00CD4311">
        <w:rPr>
          <w:rFonts w:ascii="Times New Roman" w:hAnsi="Times New Roman" w:cs="Times New Roman"/>
          <w:lang w:val="de-DE"/>
        </w:rPr>
        <w:t xml:space="preserve">. Uz </w:t>
      </w:r>
      <w:proofErr w:type="spellStart"/>
      <w:r w:rsidRPr="00CD4311">
        <w:rPr>
          <w:rFonts w:ascii="Times New Roman" w:hAnsi="Times New Roman" w:cs="Times New Roman"/>
          <w:lang w:val="de-DE"/>
        </w:rPr>
        <w:t>dokumenta</w:t>
      </w:r>
      <w:proofErr w:type="spellEnd"/>
      <w:r w:rsidRPr="00CD4311">
        <w:rPr>
          <w:rFonts w:ascii="Times New Roman" w:hAnsi="Times New Roman" w:cs="Times New Roman"/>
          <w:lang w:val="de-DE"/>
        </w:rPr>
        <w:t xml:space="preserve"> </w:t>
      </w:r>
      <w:proofErr w:type="spellStart"/>
      <w:r w:rsidRPr="00CD4311">
        <w:rPr>
          <w:rFonts w:ascii="Times New Roman" w:hAnsi="Times New Roman" w:cs="Times New Roman"/>
          <w:lang w:val="de-DE"/>
        </w:rPr>
        <w:t>parakstījušās</w:t>
      </w:r>
      <w:proofErr w:type="spellEnd"/>
      <w:r w:rsidRPr="00CD4311">
        <w:rPr>
          <w:rFonts w:ascii="Times New Roman" w:hAnsi="Times New Roman" w:cs="Times New Roman"/>
          <w:lang w:val="de-DE"/>
        </w:rPr>
        <w:t xml:space="preserve"> </w:t>
      </w:r>
      <w:proofErr w:type="spellStart"/>
      <w:r w:rsidRPr="00CD4311">
        <w:rPr>
          <w:rFonts w:ascii="Times New Roman" w:hAnsi="Times New Roman" w:cs="Times New Roman"/>
          <w:lang w:val="de-DE"/>
        </w:rPr>
        <w:t>privātās</w:t>
      </w:r>
      <w:proofErr w:type="spellEnd"/>
      <w:r w:rsidRPr="00CD4311">
        <w:rPr>
          <w:rFonts w:ascii="Times New Roman" w:hAnsi="Times New Roman" w:cs="Times New Roman"/>
          <w:lang w:val="de-DE"/>
        </w:rPr>
        <w:t xml:space="preserve"> personas </w:t>
      </w:r>
      <w:proofErr w:type="spellStart"/>
      <w:r w:rsidRPr="00CD4311">
        <w:rPr>
          <w:rFonts w:ascii="Times New Roman" w:hAnsi="Times New Roman" w:cs="Times New Roman"/>
          <w:lang w:val="de-DE"/>
        </w:rPr>
        <w:t>paraksts</w:t>
      </w:r>
      <w:proofErr w:type="spellEnd"/>
      <w:r w:rsidRPr="00CD4311">
        <w:rPr>
          <w:rFonts w:ascii="Times New Roman" w:hAnsi="Times New Roman" w:cs="Times New Roman"/>
          <w:lang w:val="de-DE"/>
        </w:rPr>
        <w:t xml:space="preserve"> </w:t>
      </w:r>
      <w:proofErr w:type="spellStart"/>
      <w:r w:rsidRPr="00CD4311">
        <w:rPr>
          <w:rFonts w:ascii="Times New Roman" w:hAnsi="Times New Roman" w:cs="Times New Roman"/>
          <w:lang w:val="de-DE"/>
        </w:rPr>
        <w:t>netiek</w:t>
      </w:r>
      <w:proofErr w:type="spellEnd"/>
      <w:r w:rsidRPr="00CD4311">
        <w:rPr>
          <w:rFonts w:ascii="Times New Roman" w:hAnsi="Times New Roman" w:cs="Times New Roman"/>
          <w:lang w:val="de-DE"/>
        </w:rPr>
        <w:t xml:space="preserve"> </w:t>
      </w:r>
      <w:proofErr w:type="spellStart"/>
      <w:r w:rsidRPr="00CD4311">
        <w:rPr>
          <w:rFonts w:ascii="Times New Roman" w:hAnsi="Times New Roman" w:cs="Times New Roman"/>
          <w:lang w:val="de-DE"/>
        </w:rPr>
        <w:t>legalizēts</w:t>
      </w:r>
      <w:proofErr w:type="spellEnd"/>
      <w:r w:rsidRPr="00CD4311">
        <w:rPr>
          <w:rFonts w:ascii="Times New Roman" w:hAnsi="Times New Roman" w:cs="Times New Roman"/>
          <w:lang w:val="de-DE"/>
        </w:rPr>
        <w:t xml:space="preserve"> </w:t>
      </w:r>
      <w:proofErr w:type="spellStart"/>
      <w:r w:rsidRPr="00CD4311">
        <w:rPr>
          <w:rFonts w:ascii="Times New Roman" w:hAnsi="Times New Roman" w:cs="Times New Roman"/>
          <w:lang w:val="de-DE"/>
        </w:rPr>
        <w:t>ar</w:t>
      </w:r>
      <w:proofErr w:type="spellEnd"/>
      <w:r w:rsidRPr="00CD4311">
        <w:rPr>
          <w:rFonts w:ascii="Times New Roman" w:hAnsi="Times New Roman" w:cs="Times New Roman"/>
          <w:lang w:val="de-DE"/>
        </w:rPr>
        <w:t xml:space="preserve"> </w:t>
      </w:r>
      <w:proofErr w:type="spellStart"/>
      <w:r w:rsidRPr="00CD4311">
        <w:rPr>
          <w:rFonts w:ascii="Times New Roman" w:hAnsi="Times New Roman" w:cs="Times New Roman"/>
          <w:i/>
          <w:lang w:val="de-DE"/>
        </w:rPr>
        <w:t>apostille</w:t>
      </w:r>
      <w:proofErr w:type="spellEnd"/>
      <w:r w:rsidRPr="00CD4311">
        <w:rPr>
          <w:rFonts w:ascii="Times New Roman" w:hAnsi="Times New Roman" w:cs="Times New Roman"/>
          <w:lang w:val="de-DE"/>
        </w:rPr>
        <w:t xml:space="preserve"> – </w:t>
      </w:r>
      <w:proofErr w:type="spellStart"/>
      <w:r w:rsidRPr="00CD4311">
        <w:rPr>
          <w:rFonts w:ascii="Times New Roman" w:hAnsi="Times New Roman" w:cs="Times New Roman"/>
          <w:lang w:val="de-DE"/>
        </w:rPr>
        <w:t>uz</w:t>
      </w:r>
      <w:proofErr w:type="spellEnd"/>
      <w:r w:rsidRPr="00CD4311">
        <w:rPr>
          <w:rFonts w:ascii="Times New Roman" w:hAnsi="Times New Roman" w:cs="Times New Roman"/>
          <w:lang w:val="de-DE"/>
        </w:rPr>
        <w:t xml:space="preserve"> </w:t>
      </w:r>
      <w:proofErr w:type="spellStart"/>
      <w:r w:rsidRPr="00CD4311">
        <w:rPr>
          <w:rFonts w:ascii="Times New Roman" w:hAnsi="Times New Roman" w:cs="Times New Roman"/>
          <w:lang w:val="de-DE"/>
        </w:rPr>
        <w:t>šo</w:t>
      </w:r>
      <w:proofErr w:type="spellEnd"/>
      <w:r w:rsidRPr="00CD4311">
        <w:rPr>
          <w:rFonts w:ascii="Times New Roman" w:hAnsi="Times New Roman" w:cs="Times New Roman"/>
          <w:lang w:val="de-DE"/>
        </w:rPr>
        <w:t xml:space="preserve"> </w:t>
      </w:r>
      <w:proofErr w:type="spellStart"/>
      <w:r w:rsidRPr="00CD4311">
        <w:rPr>
          <w:rFonts w:ascii="Times New Roman" w:hAnsi="Times New Roman" w:cs="Times New Roman"/>
          <w:lang w:val="de-DE"/>
        </w:rPr>
        <w:t>parakstu</w:t>
      </w:r>
      <w:proofErr w:type="spellEnd"/>
      <w:r w:rsidRPr="00CD4311">
        <w:rPr>
          <w:rFonts w:ascii="Times New Roman" w:hAnsi="Times New Roman" w:cs="Times New Roman"/>
          <w:lang w:val="de-DE"/>
        </w:rPr>
        <w:t xml:space="preserve"> </w:t>
      </w:r>
      <w:proofErr w:type="spellStart"/>
      <w:r w:rsidRPr="00CD4311">
        <w:rPr>
          <w:rFonts w:ascii="Times New Roman" w:hAnsi="Times New Roman" w:cs="Times New Roman"/>
          <w:lang w:val="de-DE"/>
        </w:rPr>
        <w:t>legalizācija</w:t>
      </w:r>
      <w:proofErr w:type="spellEnd"/>
      <w:r w:rsidRPr="00CD4311">
        <w:rPr>
          <w:rFonts w:ascii="Times New Roman" w:hAnsi="Times New Roman" w:cs="Times New Roman"/>
          <w:lang w:val="de-DE"/>
        </w:rPr>
        <w:t xml:space="preserve"> </w:t>
      </w:r>
      <w:proofErr w:type="spellStart"/>
      <w:r w:rsidRPr="00CD4311">
        <w:rPr>
          <w:rFonts w:ascii="Times New Roman" w:hAnsi="Times New Roman" w:cs="Times New Roman"/>
          <w:lang w:val="de-DE"/>
        </w:rPr>
        <w:t>neattiecas</w:t>
      </w:r>
      <w:proofErr w:type="spellEnd"/>
      <w:r w:rsidRPr="00CD4311">
        <w:rPr>
          <w:rFonts w:ascii="Times New Roman" w:hAnsi="Times New Roman" w:cs="Times New Roman"/>
          <w:lang w:val="de-DE"/>
        </w:rPr>
        <w:t xml:space="preserve">. </w:t>
      </w:r>
      <w:proofErr w:type="spellStart"/>
      <w:r w:rsidRPr="00CD4311">
        <w:rPr>
          <w:rFonts w:ascii="Times New Roman" w:hAnsi="Times New Roman" w:cs="Times New Roman"/>
          <w:lang w:val="de-DE"/>
        </w:rPr>
        <w:t>Citiem</w:t>
      </w:r>
      <w:proofErr w:type="spellEnd"/>
      <w:r w:rsidRPr="00CD4311">
        <w:rPr>
          <w:rFonts w:ascii="Times New Roman" w:hAnsi="Times New Roman" w:cs="Times New Roman"/>
          <w:lang w:val="de-DE"/>
        </w:rPr>
        <w:t xml:space="preserve"> </w:t>
      </w:r>
      <w:proofErr w:type="spellStart"/>
      <w:r w:rsidRPr="00CD4311">
        <w:rPr>
          <w:rFonts w:ascii="Times New Roman" w:hAnsi="Times New Roman" w:cs="Times New Roman"/>
          <w:lang w:val="de-DE"/>
        </w:rPr>
        <w:t>vārdiem</w:t>
      </w:r>
      <w:proofErr w:type="spellEnd"/>
      <w:r w:rsidRPr="00CD4311">
        <w:rPr>
          <w:rFonts w:ascii="Times New Roman" w:hAnsi="Times New Roman" w:cs="Times New Roman"/>
          <w:lang w:val="de-DE"/>
        </w:rPr>
        <w:t xml:space="preserve"> </w:t>
      </w:r>
      <w:proofErr w:type="spellStart"/>
      <w:r w:rsidRPr="00CD4311">
        <w:rPr>
          <w:rFonts w:ascii="Times New Roman" w:hAnsi="Times New Roman" w:cs="Times New Roman"/>
          <w:lang w:val="de-DE"/>
        </w:rPr>
        <w:t>sakot</w:t>
      </w:r>
      <w:proofErr w:type="spellEnd"/>
      <w:r w:rsidRPr="00CD4311">
        <w:rPr>
          <w:rFonts w:ascii="Times New Roman" w:hAnsi="Times New Roman" w:cs="Times New Roman"/>
          <w:lang w:val="de-DE"/>
        </w:rPr>
        <w:t xml:space="preserve">, </w:t>
      </w:r>
      <w:proofErr w:type="spellStart"/>
      <w:r w:rsidRPr="00CD4311">
        <w:rPr>
          <w:rFonts w:ascii="Times New Roman" w:hAnsi="Times New Roman" w:cs="Times New Roman"/>
          <w:lang w:val="de-DE"/>
        </w:rPr>
        <w:t>Konvencijas</w:t>
      </w:r>
      <w:proofErr w:type="spellEnd"/>
      <w:r w:rsidRPr="00CD4311">
        <w:rPr>
          <w:rFonts w:ascii="Times New Roman" w:hAnsi="Times New Roman" w:cs="Times New Roman"/>
          <w:lang w:val="de-DE"/>
        </w:rPr>
        <w:t xml:space="preserve"> </w:t>
      </w:r>
      <w:proofErr w:type="spellStart"/>
      <w:r w:rsidRPr="00CD4311">
        <w:rPr>
          <w:rFonts w:ascii="Times New Roman" w:hAnsi="Times New Roman" w:cs="Times New Roman"/>
          <w:lang w:val="de-DE"/>
        </w:rPr>
        <w:t>izpratnē</w:t>
      </w:r>
      <w:proofErr w:type="spellEnd"/>
      <w:r w:rsidRPr="00CD4311">
        <w:rPr>
          <w:rFonts w:ascii="Times New Roman" w:hAnsi="Times New Roman" w:cs="Times New Roman"/>
          <w:lang w:val="de-DE"/>
        </w:rPr>
        <w:t xml:space="preserve"> </w:t>
      </w:r>
      <w:proofErr w:type="spellStart"/>
      <w:r w:rsidRPr="00CD4311">
        <w:rPr>
          <w:rFonts w:ascii="Times New Roman" w:hAnsi="Times New Roman" w:cs="Times New Roman"/>
          <w:lang w:val="de-DE"/>
        </w:rPr>
        <w:t>var</w:t>
      </w:r>
      <w:proofErr w:type="spellEnd"/>
      <w:r w:rsidRPr="00CD4311">
        <w:rPr>
          <w:rFonts w:ascii="Times New Roman" w:hAnsi="Times New Roman" w:cs="Times New Roman"/>
          <w:lang w:val="de-DE"/>
        </w:rPr>
        <w:t xml:space="preserve"> </w:t>
      </w:r>
      <w:proofErr w:type="spellStart"/>
      <w:r w:rsidRPr="00CD4311">
        <w:rPr>
          <w:rFonts w:ascii="Times New Roman" w:hAnsi="Times New Roman" w:cs="Times New Roman"/>
          <w:lang w:val="de-DE"/>
        </w:rPr>
        <w:t>tikt</w:t>
      </w:r>
      <w:proofErr w:type="spellEnd"/>
      <w:r w:rsidRPr="00CD4311">
        <w:rPr>
          <w:rFonts w:ascii="Times New Roman" w:hAnsi="Times New Roman" w:cs="Times New Roman"/>
          <w:lang w:val="de-DE"/>
        </w:rPr>
        <w:t xml:space="preserve"> </w:t>
      </w:r>
      <w:proofErr w:type="spellStart"/>
      <w:r w:rsidRPr="00CD4311">
        <w:rPr>
          <w:rFonts w:ascii="Times New Roman" w:hAnsi="Times New Roman" w:cs="Times New Roman"/>
          <w:lang w:val="de-DE"/>
        </w:rPr>
        <w:t>legalizēts</w:t>
      </w:r>
      <w:proofErr w:type="spellEnd"/>
      <w:r w:rsidRPr="00CD4311">
        <w:rPr>
          <w:rFonts w:ascii="Times New Roman" w:hAnsi="Times New Roman" w:cs="Times New Roman"/>
          <w:lang w:val="de-DE"/>
        </w:rPr>
        <w:t xml:space="preserve"> </w:t>
      </w:r>
      <w:proofErr w:type="spellStart"/>
      <w:r w:rsidRPr="00CD4311">
        <w:rPr>
          <w:rFonts w:ascii="Times New Roman" w:hAnsi="Times New Roman" w:cs="Times New Roman"/>
          <w:lang w:val="de-DE"/>
        </w:rPr>
        <w:t>arī</w:t>
      </w:r>
      <w:proofErr w:type="spellEnd"/>
      <w:r w:rsidRPr="00CD4311">
        <w:rPr>
          <w:rFonts w:ascii="Times New Roman" w:hAnsi="Times New Roman" w:cs="Times New Roman"/>
          <w:lang w:val="de-DE"/>
        </w:rPr>
        <w:t xml:space="preserve"> </w:t>
      </w:r>
      <w:proofErr w:type="spellStart"/>
      <w:r w:rsidRPr="00CD4311">
        <w:rPr>
          <w:rFonts w:ascii="Times New Roman" w:hAnsi="Times New Roman" w:cs="Times New Roman"/>
          <w:lang w:val="de-DE"/>
        </w:rPr>
        <w:t>privāts</w:t>
      </w:r>
      <w:proofErr w:type="spellEnd"/>
      <w:r w:rsidRPr="00CD4311">
        <w:rPr>
          <w:rFonts w:ascii="Times New Roman" w:hAnsi="Times New Roman" w:cs="Times New Roman"/>
          <w:lang w:val="de-DE"/>
        </w:rPr>
        <w:t xml:space="preserve"> </w:t>
      </w:r>
      <w:proofErr w:type="spellStart"/>
      <w:r w:rsidRPr="00CD4311">
        <w:rPr>
          <w:rFonts w:ascii="Times New Roman" w:hAnsi="Times New Roman" w:cs="Times New Roman"/>
          <w:lang w:val="de-DE"/>
        </w:rPr>
        <w:t>dokuments</w:t>
      </w:r>
      <w:proofErr w:type="spellEnd"/>
      <w:r w:rsidRPr="00CD4311">
        <w:rPr>
          <w:rFonts w:ascii="Times New Roman" w:hAnsi="Times New Roman" w:cs="Times New Roman"/>
          <w:lang w:val="de-DE"/>
        </w:rPr>
        <w:t xml:space="preserve">, </w:t>
      </w:r>
      <w:proofErr w:type="spellStart"/>
      <w:r w:rsidRPr="00CD4311">
        <w:rPr>
          <w:rFonts w:ascii="Times New Roman" w:hAnsi="Times New Roman" w:cs="Times New Roman"/>
          <w:lang w:val="de-DE"/>
        </w:rPr>
        <w:t>uz</w:t>
      </w:r>
      <w:proofErr w:type="spellEnd"/>
      <w:r w:rsidRPr="00CD4311">
        <w:rPr>
          <w:rFonts w:ascii="Times New Roman" w:hAnsi="Times New Roman" w:cs="Times New Roman"/>
          <w:lang w:val="de-DE"/>
        </w:rPr>
        <w:t xml:space="preserve"> </w:t>
      </w:r>
      <w:proofErr w:type="spellStart"/>
      <w:r w:rsidRPr="00CD4311">
        <w:rPr>
          <w:rFonts w:ascii="Times New Roman" w:hAnsi="Times New Roman" w:cs="Times New Roman"/>
          <w:lang w:val="de-DE"/>
        </w:rPr>
        <w:t>kura</w:t>
      </w:r>
      <w:proofErr w:type="spellEnd"/>
      <w:r w:rsidRPr="00CD4311">
        <w:rPr>
          <w:rFonts w:ascii="Times New Roman" w:hAnsi="Times New Roman" w:cs="Times New Roman"/>
          <w:lang w:val="de-DE"/>
        </w:rPr>
        <w:t xml:space="preserve"> </w:t>
      </w:r>
      <w:proofErr w:type="spellStart"/>
      <w:r w:rsidRPr="00CD4311">
        <w:rPr>
          <w:rFonts w:ascii="Times New Roman" w:hAnsi="Times New Roman" w:cs="Times New Roman"/>
          <w:lang w:val="de-DE"/>
        </w:rPr>
        <w:t>paraksta</w:t>
      </w:r>
      <w:proofErr w:type="spellEnd"/>
      <w:r w:rsidRPr="00CD4311">
        <w:rPr>
          <w:rFonts w:ascii="Times New Roman" w:hAnsi="Times New Roman" w:cs="Times New Roman"/>
          <w:lang w:val="de-DE"/>
        </w:rPr>
        <w:t xml:space="preserve"> </w:t>
      </w:r>
      <w:proofErr w:type="spellStart"/>
      <w:r w:rsidRPr="00CD4311">
        <w:rPr>
          <w:rFonts w:ascii="Times New Roman" w:hAnsi="Times New Roman" w:cs="Times New Roman"/>
          <w:lang w:val="de-DE"/>
        </w:rPr>
        <w:t>īstumu</w:t>
      </w:r>
      <w:proofErr w:type="spellEnd"/>
      <w:r w:rsidRPr="00CD4311">
        <w:rPr>
          <w:rFonts w:ascii="Times New Roman" w:hAnsi="Times New Roman" w:cs="Times New Roman"/>
          <w:lang w:val="de-DE"/>
        </w:rPr>
        <w:t xml:space="preserve"> </w:t>
      </w:r>
      <w:proofErr w:type="spellStart"/>
      <w:r w:rsidRPr="00CD4311">
        <w:rPr>
          <w:rFonts w:ascii="Times New Roman" w:hAnsi="Times New Roman" w:cs="Times New Roman"/>
          <w:lang w:val="de-DE"/>
        </w:rPr>
        <w:t>apliecinājis</w:t>
      </w:r>
      <w:proofErr w:type="spellEnd"/>
      <w:r w:rsidRPr="00CD4311">
        <w:rPr>
          <w:rFonts w:ascii="Times New Roman" w:hAnsi="Times New Roman" w:cs="Times New Roman"/>
          <w:lang w:val="de-DE"/>
        </w:rPr>
        <w:t xml:space="preserve">, </w:t>
      </w:r>
      <w:proofErr w:type="spellStart"/>
      <w:r w:rsidRPr="00CD4311">
        <w:rPr>
          <w:rFonts w:ascii="Times New Roman" w:hAnsi="Times New Roman" w:cs="Times New Roman"/>
          <w:lang w:val="de-DE"/>
        </w:rPr>
        <w:t>piemēram</w:t>
      </w:r>
      <w:proofErr w:type="spellEnd"/>
      <w:r w:rsidRPr="00CD4311">
        <w:rPr>
          <w:rFonts w:ascii="Times New Roman" w:hAnsi="Times New Roman" w:cs="Times New Roman"/>
          <w:lang w:val="de-DE"/>
        </w:rPr>
        <w:t xml:space="preserve">, </w:t>
      </w:r>
      <w:proofErr w:type="spellStart"/>
      <w:r w:rsidRPr="00CD4311">
        <w:rPr>
          <w:rFonts w:ascii="Times New Roman" w:hAnsi="Times New Roman" w:cs="Times New Roman"/>
          <w:lang w:val="de-DE"/>
        </w:rPr>
        <w:t>notārs</w:t>
      </w:r>
      <w:proofErr w:type="spellEnd"/>
      <w:r w:rsidRPr="00CD4311">
        <w:rPr>
          <w:rFonts w:ascii="Times New Roman" w:hAnsi="Times New Roman" w:cs="Times New Roman"/>
          <w:lang w:val="de-DE"/>
        </w:rPr>
        <w:t>.</w:t>
      </w:r>
      <w:r w:rsidRPr="00CD4311">
        <w:rPr>
          <w:rStyle w:val="FootnoteReference"/>
          <w:rFonts w:ascii="Times New Roman" w:hAnsi="Times New Roman" w:cs="Times New Roman"/>
          <w:lang w:val="de-DE"/>
        </w:rPr>
        <w:footnoteReference w:id="127"/>
      </w:r>
      <w:r w:rsidRPr="00CD4311">
        <w:rPr>
          <w:rFonts w:ascii="Times New Roman" w:hAnsi="Times New Roman" w:cs="Times New Roman"/>
          <w:lang w:val="de-DE"/>
        </w:rPr>
        <w:t xml:space="preserve"> </w:t>
      </w:r>
      <w:proofErr w:type="spellStart"/>
      <w:r w:rsidRPr="00CD4311">
        <w:rPr>
          <w:rFonts w:ascii="Times New Roman" w:hAnsi="Times New Roman" w:cs="Times New Roman"/>
          <w:lang w:val="de-DE"/>
        </w:rPr>
        <w:t>Tātad</w:t>
      </w:r>
      <w:proofErr w:type="spellEnd"/>
      <w:r w:rsidRPr="00CD4311">
        <w:rPr>
          <w:rFonts w:ascii="Times New Roman" w:hAnsi="Times New Roman" w:cs="Times New Roman"/>
          <w:lang w:val="de-DE"/>
        </w:rPr>
        <w:t xml:space="preserve">, </w:t>
      </w:r>
      <w:proofErr w:type="spellStart"/>
      <w:r w:rsidRPr="00CD4311">
        <w:rPr>
          <w:rFonts w:ascii="Times New Roman" w:hAnsi="Times New Roman" w:cs="Times New Roman"/>
          <w:lang w:val="de-DE"/>
        </w:rPr>
        <w:t>šajā</w:t>
      </w:r>
      <w:proofErr w:type="spellEnd"/>
      <w:r w:rsidRPr="00CD4311">
        <w:rPr>
          <w:rFonts w:ascii="Times New Roman" w:hAnsi="Times New Roman" w:cs="Times New Roman"/>
          <w:lang w:val="de-DE"/>
        </w:rPr>
        <w:t xml:space="preserve"> </w:t>
      </w:r>
      <w:proofErr w:type="spellStart"/>
      <w:r w:rsidRPr="00CD4311">
        <w:rPr>
          <w:rFonts w:ascii="Times New Roman" w:hAnsi="Times New Roman" w:cs="Times New Roman"/>
          <w:lang w:val="de-DE"/>
        </w:rPr>
        <w:t>gadījumā</w:t>
      </w:r>
      <w:proofErr w:type="spellEnd"/>
      <w:r w:rsidRPr="00CD4311">
        <w:rPr>
          <w:rFonts w:ascii="Times New Roman" w:hAnsi="Times New Roman" w:cs="Times New Roman"/>
          <w:lang w:val="de-DE"/>
        </w:rPr>
        <w:t xml:space="preserve"> par „</w:t>
      </w:r>
      <w:proofErr w:type="spellStart"/>
      <w:r w:rsidRPr="00CD4311">
        <w:rPr>
          <w:rFonts w:ascii="Times New Roman" w:hAnsi="Times New Roman" w:cs="Times New Roman"/>
          <w:lang w:val="de-DE"/>
        </w:rPr>
        <w:t>publisku</w:t>
      </w:r>
      <w:proofErr w:type="spellEnd"/>
      <w:r w:rsidRPr="00CD4311">
        <w:rPr>
          <w:rFonts w:ascii="Times New Roman" w:hAnsi="Times New Roman" w:cs="Times New Roman"/>
          <w:lang w:val="de-DE"/>
        </w:rPr>
        <w:t xml:space="preserve"> </w:t>
      </w:r>
      <w:proofErr w:type="spellStart"/>
      <w:r w:rsidRPr="00CD4311">
        <w:rPr>
          <w:rFonts w:ascii="Times New Roman" w:hAnsi="Times New Roman" w:cs="Times New Roman"/>
          <w:lang w:val="de-DE"/>
        </w:rPr>
        <w:t>dokumentu</w:t>
      </w:r>
      <w:proofErr w:type="spellEnd"/>
      <w:r w:rsidRPr="00CD4311">
        <w:rPr>
          <w:rFonts w:ascii="Times New Roman" w:hAnsi="Times New Roman" w:cs="Times New Roman"/>
          <w:lang w:val="de-DE"/>
        </w:rPr>
        <w:t xml:space="preserve">“ </w:t>
      </w:r>
      <w:proofErr w:type="spellStart"/>
      <w:r w:rsidRPr="00CD4311">
        <w:rPr>
          <w:rFonts w:ascii="Times New Roman" w:hAnsi="Times New Roman" w:cs="Times New Roman"/>
          <w:lang w:val="de-DE"/>
        </w:rPr>
        <w:t>Konvencijas</w:t>
      </w:r>
      <w:proofErr w:type="spellEnd"/>
      <w:r w:rsidRPr="00CD4311">
        <w:rPr>
          <w:rFonts w:ascii="Times New Roman" w:hAnsi="Times New Roman" w:cs="Times New Roman"/>
          <w:lang w:val="de-DE"/>
        </w:rPr>
        <w:t xml:space="preserve"> </w:t>
      </w:r>
      <w:proofErr w:type="spellStart"/>
      <w:r w:rsidRPr="00CD4311">
        <w:rPr>
          <w:rFonts w:ascii="Times New Roman" w:hAnsi="Times New Roman" w:cs="Times New Roman"/>
          <w:lang w:val="de-DE"/>
        </w:rPr>
        <w:t>izpratnē</w:t>
      </w:r>
      <w:proofErr w:type="spellEnd"/>
      <w:r w:rsidRPr="00CD4311">
        <w:rPr>
          <w:rFonts w:ascii="Times New Roman" w:hAnsi="Times New Roman" w:cs="Times New Roman"/>
          <w:lang w:val="de-DE"/>
        </w:rPr>
        <w:t xml:space="preserve"> </w:t>
      </w:r>
      <w:proofErr w:type="spellStart"/>
      <w:r w:rsidRPr="00CD4311">
        <w:rPr>
          <w:rFonts w:ascii="Times New Roman" w:hAnsi="Times New Roman" w:cs="Times New Roman"/>
          <w:lang w:val="de-DE"/>
        </w:rPr>
        <w:t>uzskata</w:t>
      </w:r>
      <w:proofErr w:type="spellEnd"/>
      <w:r w:rsidRPr="00CD4311">
        <w:rPr>
          <w:rFonts w:ascii="Times New Roman" w:hAnsi="Times New Roman" w:cs="Times New Roman"/>
          <w:lang w:val="de-DE"/>
        </w:rPr>
        <w:t xml:space="preserve"> </w:t>
      </w:r>
      <w:proofErr w:type="spellStart"/>
      <w:r w:rsidRPr="00CD4311">
        <w:rPr>
          <w:rFonts w:ascii="Times New Roman" w:hAnsi="Times New Roman" w:cs="Times New Roman"/>
          <w:lang w:val="de-DE"/>
        </w:rPr>
        <w:t>nevis</w:t>
      </w:r>
      <w:proofErr w:type="spellEnd"/>
      <w:r w:rsidRPr="00CD4311">
        <w:rPr>
          <w:rFonts w:ascii="Times New Roman" w:hAnsi="Times New Roman" w:cs="Times New Roman"/>
          <w:lang w:val="de-DE"/>
        </w:rPr>
        <w:t xml:space="preserve"> </w:t>
      </w:r>
      <w:proofErr w:type="spellStart"/>
      <w:r w:rsidRPr="00CD4311">
        <w:rPr>
          <w:rFonts w:ascii="Times New Roman" w:hAnsi="Times New Roman" w:cs="Times New Roman"/>
          <w:lang w:val="de-DE"/>
        </w:rPr>
        <w:t>pašu</w:t>
      </w:r>
      <w:proofErr w:type="spellEnd"/>
      <w:r w:rsidRPr="00CD4311">
        <w:rPr>
          <w:rFonts w:ascii="Times New Roman" w:hAnsi="Times New Roman" w:cs="Times New Roman"/>
          <w:lang w:val="de-DE"/>
        </w:rPr>
        <w:t xml:space="preserve"> (</w:t>
      </w:r>
      <w:proofErr w:type="spellStart"/>
      <w:r w:rsidRPr="00CD4311">
        <w:rPr>
          <w:rFonts w:ascii="Times New Roman" w:hAnsi="Times New Roman" w:cs="Times New Roman"/>
          <w:lang w:val="de-DE"/>
        </w:rPr>
        <w:t>privāto</w:t>
      </w:r>
      <w:proofErr w:type="spellEnd"/>
      <w:r w:rsidRPr="00CD4311">
        <w:rPr>
          <w:rFonts w:ascii="Times New Roman" w:hAnsi="Times New Roman" w:cs="Times New Roman"/>
          <w:lang w:val="de-DE"/>
        </w:rPr>
        <w:t xml:space="preserve">) </w:t>
      </w:r>
      <w:proofErr w:type="spellStart"/>
      <w:r w:rsidRPr="00CD4311">
        <w:rPr>
          <w:rFonts w:ascii="Times New Roman" w:hAnsi="Times New Roman" w:cs="Times New Roman"/>
          <w:lang w:val="de-DE"/>
        </w:rPr>
        <w:t>dokumentu</w:t>
      </w:r>
      <w:proofErr w:type="spellEnd"/>
      <w:r w:rsidRPr="00CD4311">
        <w:rPr>
          <w:rFonts w:ascii="Times New Roman" w:hAnsi="Times New Roman" w:cs="Times New Roman"/>
          <w:lang w:val="de-DE"/>
        </w:rPr>
        <w:t xml:space="preserve">, </w:t>
      </w:r>
      <w:proofErr w:type="spellStart"/>
      <w:r w:rsidRPr="00CD4311">
        <w:rPr>
          <w:rFonts w:ascii="Times New Roman" w:hAnsi="Times New Roman" w:cs="Times New Roman"/>
          <w:lang w:val="de-DE"/>
        </w:rPr>
        <w:t>bet</w:t>
      </w:r>
      <w:proofErr w:type="spellEnd"/>
      <w:r w:rsidRPr="00CD4311">
        <w:rPr>
          <w:rFonts w:ascii="Times New Roman" w:hAnsi="Times New Roman" w:cs="Times New Roman"/>
          <w:lang w:val="de-DE"/>
        </w:rPr>
        <w:t xml:space="preserve"> </w:t>
      </w:r>
      <w:proofErr w:type="spellStart"/>
      <w:r w:rsidRPr="00CD4311">
        <w:rPr>
          <w:rFonts w:ascii="Times New Roman" w:hAnsi="Times New Roman" w:cs="Times New Roman"/>
          <w:lang w:val="de-DE"/>
        </w:rPr>
        <w:t>gan</w:t>
      </w:r>
      <w:proofErr w:type="spellEnd"/>
      <w:r w:rsidRPr="00CD4311">
        <w:rPr>
          <w:rFonts w:ascii="Times New Roman" w:hAnsi="Times New Roman" w:cs="Times New Roman"/>
          <w:lang w:val="de-DE"/>
        </w:rPr>
        <w:t xml:space="preserve"> </w:t>
      </w:r>
      <w:proofErr w:type="spellStart"/>
      <w:r w:rsidRPr="00CD4311">
        <w:rPr>
          <w:rFonts w:ascii="Times New Roman" w:hAnsi="Times New Roman" w:cs="Times New Roman"/>
          <w:lang w:val="de-DE"/>
        </w:rPr>
        <w:t>oficiālu</w:t>
      </w:r>
      <w:proofErr w:type="spellEnd"/>
      <w:r w:rsidRPr="00CD4311">
        <w:rPr>
          <w:rFonts w:ascii="Times New Roman" w:hAnsi="Times New Roman" w:cs="Times New Roman"/>
          <w:lang w:val="de-DE"/>
        </w:rPr>
        <w:t xml:space="preserve"> </w:t>
      </w:r>
      <w:proofErr w:type="spellStart"/>
      <w:r w:rsidRPr="00CD4311">
        <w:rPr>
          <w:rFonts w:ascii="Times New Roman" w:hAnsi="Times New Roman" w:cs="Times New Roman"/>
          <w:lang w:val="de-DE"/>
        </w:rPr>
        <w:t>apliecinājumu</w:t>
      </w:r>
      <w:proofErr w:type="spellEnd"/>
      <w:r w:rsidRPr="00CD4311">
        <w:rPr>
          <w:rFonts w:ascii="Times New Roman" w:hAnsi="Times New Roman" w:cs="Times New Roman"/>
          <w:lang w:val="de-DE"/>
        </w:rPr>
        <w:t xml:space="preserve"> </w:t>
      </w:r>
      <w:proofErr w:type="spellStart"/>
      <w:r w:rsidRPr="00CD4311">
        <w:rPr>
          <w:rFonts w:ascii="Times New Roman" w:hAnsi="Times New Roman" w:cs="Times New Roman"/>
          <w:lang w:val="de-DE"/>
        </w:rPr>
        <w:t>uz</w:t>
      </w:r>
      <w:proofErr w:type="spellEnd"/>
      <w:r w:rsidRPr="00CD4311">
        <w:rPr>
          <w:rFonts w:ascii="Times New Roman" w:hAnsi="Times New Roman" w:cs="Times New Roman"/>
          <w:lang w:val="de-DE"/>
        </w:rPr>
        <w:t xml:space="preserve"> </w:t>
      </w:r>
      <w:proofErr w:type="spellStart"/>
      <w:r w:rsidRPr="00CD4311">
        <w:rPr>
          <w:rFonts w:ascii="Times New Roman" w:hAnsi="Times New Roman" w:cs="Times New Roman"/>
          <w:lang w:val="de-DE"/>
        </w:rPr>
        <w:t>šī</w:t>
      </w:r>
      <w:proofErr w:type="spellEnd"/>
      <w:r w:rsidRPr="00CD4311">
        <w:rPr>
          <w:rFonts w:ascii="Times New Roman" w:hAnsi="Times New Roman" w:cs="Times New Roman"/>
          <w:lang w:val="de-DE"/>
        </w:rPr>
        <w:t xml:space="preserve"> </w:t>
      </w:r>
      <w:proofErr w:type="spellStart"/>
      <w:r w:rsidRPr="00CD4311">
        <w:rPr>
          <w:rFonts w:ascii="Times New Roman" w:hAnsi="Times New Roman" w:cs="Times New Roman"/>
          <w:lang w:val="de-DE"/>
        </w:rPr>
        <w:t>dokumenta</w:t>
      </w:r>
      <w:proofErr w:type="spellEnd"/>
      <w:r w:rsidRPr="00CD4311">
        <w:rPr>
          <w:rFonts w:ascii="Times New Roman" w:hAnsi="Times New Roman" w:cs="Times New Roman"/>
          <w:lang w:val="de-DE"/>
        </w:rPr>
        <w:t xml:space="preserve">, </w:t>
      </w:r>
      <w:proofErr w:type="spellStart"/>
      <w:r w:rsidRPr="00CD4311">
        <w:rPr>
          <w:rFonts w:ascii="Times New Roman" w:hAnsi="Times New Roman" w:cs="Times New Roman"/>
          <w:lang w:val="de-DE"/>
        </w:rPr>
        <w:t>piemēram</w:t>
      </w:r>
      <w:proofErr w:type="spellEnd"/>
      <w:r w:rsidRPr="00CD4311">
        <w:rPr>
          <w:rFonts w:ascii="Times New Roman" w:hAnsi="Times New Roman" w:cs="Times New Roman"/>
          <w:lang w:val="de-DE"/>
        </w:rPr>
        <w:t xml:space="preserve">, </w:t>
      </w:r>
      <w:proofErr w:type="spellStart"/>
      <w:r w:rsidRPr="00CD4311">
        <w:rPr>
          <w:rFonts w:ascii="Times New Roman" w:hAnsi="Times New Roman" w:cs="Times New Roman"/>
          <w:lang w:val="de-DE"/>
        </w:rPr>
        <w:t>oficiālu</w:t>
      </w:r>
      <w:proofErr w:type="spellEnd"/>
      <w:r w:rsidRPr="00CD4311">
        <w:rPr>
          <w:rFonts w:ascii="Times New Roman" w:hAnsi="Times New Roman" w:cs="Times New Roman"/>
          <w:lang w:val="de-DE"/>
        </w:rPr>
        <w:t xml:space="preserve"> </w:t>
      </w:r>
      <w:proofErr w:type="spellStart"/>
      <w:r w:rsidRPr="00CD4311">
        <w:rPr>
          <w:rFonts w:ascii="Times New Roman" w:hAnsi="Times New Roman" w:cs="Times New Roman"/>
          <w:lang w:val="de-DE"/>
        </w:rPr>
        <w:t>un</w:t>
      </w:r>
      <w:proofErr w:type="spellEnd"/>
      <w:r w:rsidRPr="00CD4311">
        <w:rPr>
          <w:rFonts w:ascii="Times New Roman" w:hAnsi="Times New Roman" w:cs="Times New Roman"/>
          <w:lang w:val="de-DE"/>
        </w:rPr>
        <w:t xml:space="preserve"> </w:t>
      </w:r>
      <w:proofErr w:type="spellStart"/>
      <w:r w:rsidRPr="00CD4311">
        <w:rPr>
          <w:rFonts w:ascii="Times New Roman" w:hAnsi="Times New Roman" w:cs="Times New Roman"/>
          <w:lang w:val="de-DE"/>
        </w:rPr>
        <w:t>notariālu</w:t>
      </w:r>
      <w:proofErr w:type="spellEnd"/>
      <w:r w:rsidRPr="00CD4311">
        <w:rPr>
          <w:rFonts w:ascii="Times New Roman" w:hAnsi="Times New Roman" w:cs="Times New Roman"/>
          <w:lang w:val="de-DE"/>
        </w:rPr>
        <w:t xml:space="preserve"> </w:t>
      </w:r>
      <w:proofErr w:type="spellStart"/>
      <w:r w:rsidRPr="00CD4311">
        <w:rPr>
          <w:rFonts w:ascii="Times New Roman" w:hAnsi="Times New Roman" w:cs="Times New Roman"/>
          <w:lang w:val="de-DE"/>
        </w:rPr>
        <w:t>paraksta</w:t>
      </w:r>
      <w:proofErr w:type="spellEnd"/>
      <w:r w:rsidRPr="00CD4311">
        <w:rPr>
          <w:rFonts w:ascii="Times New Roman" w:hAnsi="Times New Roman" w:cs="Times New Roman"/>
          <w:lang w:val="de-DE"/>
        </w:rPr>
        <w:t xml:space="preserve"> </w:t>
      </w:r>
      <w:proofErr w:type="spellStart"/>
      <w:r w:rsidRPr="00CD4311">
        <w:rPr>
          <w:rFonts w:ascii="Times New Roman" w:hAnsi="Times New Roman" w:cs="Times New Roman"/>
          <w:lang w:val="de-DE"/>
        </w:rPr>
        <w:t>autentiskuma</w:t>
      </w:r>
      <w:proofErr w:type="spellEnd"/>
      <w:r w:rsidRPr="00CD4311">
        <w:rPr>
          <w:rFonts w:ascii="Times New Roman" w:hAnsi="Times New Roman" w:cs="Times New Roman"/>
          <w:lang w:val="de-DE"/>
        </w:rPr>
        <w:t xml:space="preserve"> </w:t>
      </w:r>
      <w:proofErr w:type="spellStart"/>
      <w:r w:rsidRPr="00CD4311">
        <w:rPr>
          <w:rFonts w:ascii="Times New Roman" w:hAnsi="Times New Roman" w:cs="Times New Roman"/>
          <w:lang w:val="de-DE"/>
        </w:rPr>
        <w:t>apliecinājumu</w:t>
      </w:r>
      <w:proofErr w:type="spellEnd"/>
      <w:r w:rsidRPr="00CD4311">
        <w:rPr>
          <w:rFonts w:ascii="Times New Roman" w:hAnsi="Times New Roman" w:cs="Times New Roman"/>
          <w:lang w:val="de-DE"/>
        </w:rPr>
        <w:t xml:space="preserve"> </w:t>
      </w:r>
      <w:proofErr w:type="spellStart"/>
      <w:r w:rsidRPr="00CD4311">
        <w:rPr>
          <w:rFonts w:ascii="Times New Roman" w:hAnsi="Times New Roman" w:cs="Times New Roman"/>
          <w:lang w:val="de-DE"/>
        </w:rPr>
        <w:t>uz</w:t>
      </w:r>
      <w:proofErr w:type="spellEnd"/>
      <w:r w:rsidRPr="00CD4311">
        <w:rPr>
          <w:rFonts w:ascii="Times New Roman" w:hAnsi="Times New Roman" w:cs="Times New Roman"/>
          <w:lang w:val="de-DE"/>
        </w:rPr>
        <w:t xml:space="preserve"> (</w:t>
      </w:r>
      <w:proofErr w:type="spellStart"/>
      <w:r w:rsidRPr="00CD4311">
        <w:rPr>
          <w:rFonts w:ascii="Times New Roman" w:hAnsi="Times New Roman" w:cs="Times New Roman"/>
          <w:lang w:val="de-DE"/>
        </w:rPr>
        <w:t>privāta</w:t>
      </w:r>
      <w:proofErr w:type="spellEnd"/>
      <w:r w:rsidRPr="00CD4311">
        <w:rPr>
          <w:rFonts w:ascii="Times New Roman" w:hAnsi="Times New Roman" w:cs="Times New Roman"/>
          <w:lang w:val="de-DE"/>
        </w:rPr>
        <w:t xml:space="preserve">) </w:t>
      </w:r>
      <w:proofErr w:type="spellStart"/>
      <w:r w:rsidRPr="00CD4311">
        <w:rPr>
          <w:rFonts w:ascii="Times New Roman" w:hAnsi="Times New Roman" w:cs="Times New Roman"/>
          <w:lang w:val="de-DE"/>
        </w:rPr>
        <w:t>dokumenta</w:t>
      </w:r>
      <w:proofErr w:type="spellEnd"/>
      <w:r w:rsidRPr="00CD4311">
        <w:rPr>
          <w:rFonts w:ascii="Times New Roman" w:hAnsi="Times New Roman" w:cs="Times New Roman"/>
          <w:lang w:val="de-DE"/>
        </w:rPr>
        <w:t xml:space="preserve">. </w:t>
      </w:r>
      <w:proofErr w:type="spellStart"/>
      <w:r w:rsidRPr="00CD4311">
        <w:rPr>
          <w:rFonts w:ascii="Times New Roman" w:hAnsi="Times New Roman" w:cs="Times New Roman"/>
          <w:lang w:val="de-DE"/>
        </w:rPr>
        <w:t>Līdz</w:t>
      </w:r>
      <w:proofErr w:type="spellEnd"/>
      <w:r w:rsidRPr="00CD4311">
        <w:rPr>
          <w:rFonts w:ascii="Times New Roman" w:hAnsi="Times New Roman" w:cs="Times New Roman"/>
          <w:lang w:val="de-DE"/>
        </w:rPr>
        <w:t xml:space="preserve"> </w:t>
      </w:r>
      <w:proofErr w:type="spellStart"/>
      <w:r w:rsidRPr="00CD4311">
        <w:rPr>
          <w:rFonts w:ascii="Times New Roman" w:hAnsi="Times New Roman" w:cs="Times New Roman"/>
          <w:lang w:val="de-DE"/>
        </w:rPr>
        <w:t>ar</w:t>
      </w:r>
      <w:proofErr w:type="spellEnd"/>
      <w:r w:rsidRPr="00CD4311">
        <w:rPr>
          <w:rFonts w:ascii="Times New Roman" w:hAnsi="Times New Roman" w:cs="Times New Roman"/>
          <w:lang w:val="de-DE"/>
        </w:rPr>
        <w:t xml:space="preserve"> </w:t>
      </w:r>
      <w:proofErr w:type="spellStart"/>
      <w:r w:rsidRPr="00CD4311">
        <w:rPr>
          <w:rFonts w:ascii="Times New Roman" w:hAnsi="Times New Roman" w:cs="Times New Roman"/>
          <w:lang w:val="de-DE"/>
        </w:rPr>
        <w:t>to</w:t>
      </w:r>
      <w:proofErr w:type="spellEnd"/>
      <w:r w:rsidRPr="00CD4311">
        <w:rPr>
          <w:rFonts w:ascii="Times New Roman" w:hAnsi="Times New Roman" w:cs="Times New Roman"/>
          <w:lang w:val="de-DE"/>
        </w:rPr>
        <w:t xml:space="preserve"> </w:t>
      </w:r>
      <w:proofErr w:type="spellStart"/>
      <w:r w:rsidRPr="00CD4311">
        <w:rPr>
          <w:rFonts w:ascii="Times New Roman" w:hAnsi="Times New Roman" w:cs="Times New Roman"/>
          <w:lang w:val="de-DE"/>
        </w:rPr>
        <w:t>ārvalsts</w:t>
      </w:r>
      <w:proofErr w:type="spellEnd"/>
      <w:r w:rsidRPr="00CD4311">
        <w:rPr>
          <w:rFonts w:ascii="Times New Roman" w:hAnsi="Times New Roman" w:cs="Times New Roman"/>
          <w:lang w:val="de-DE"/>
        </w:rPr>
        <w:t xml:space="preserve"> </w:t>
      </w:r>
      <w:proofErr w:type="spellStart"/>
      <w:r w:rsidRPr="00CD4311">
        <w:rPr>
          <w:rFonts w:ascii="Times New Roman" w:hAnsi="Times New Roman" w:cs="Times New Roman"/>
          <w:lang w:val="de-DE"/>
        </w:rPr>
        <w:t>dokuments</w:t>
      </w:r>
      <w:proofErr w:type="spellEnd"/>
      <w:r w:rsidRPr="00CD4311">
        <w:rPr>
          <w:rFonts w:ascii="Times New Roman" w:hAnsi="Times New Roman" w:cs="Times New Roman"/>
          <w:lang w:val="de-DE"/>
        </w:rPr>
        <w:t xml:space="preserve"> </w:t>
      </w:r>
      <w:proofErr w:type="spellStart"/>
      <w:r w:rsidRPr="00CD4311">
        <w:rPr>
          <w:rFonts w:ascii="Times New Roman" w:hAnsi="Times New Roman" w:cs="Times New Roman"/>
          <w:lang w:val="de-DE"/>
        </w:rPr>
        <w:t>joprojām</w:t>
      </w:r>
      <w:proofErr w:type="spellEnd"/>
      <w:r w:rsidRPr="00CD4311">
        <w:rPr>
          <w:rFonts w:ascii="Times New Roman" w:hAnsi="Times New Roman" w:cs="Times New Roman"/>
          <w:lang w:val="de-DE"/>
        </w:rPr>
        <w:t xml:space="preserve"> </w:t>
      </w:r>
      <w:proofErr w:type="spellStart"/>
      <w:r w:rsidRPr="00CD4311">
        <w:rPr>
          <w:rFonts w:ascii="Times New Roman" w:hAnsi="Times New Roman" w:cs="Times New Roman"/>
          <w:lang w:val="de-DE"/>
        </w:rPr>
        <w:t>paliek</w:t>
      </w:r>
      <w:proofErr w:type="spellEnd"/>
      <w:r w:rsidRPr="00CD4311">
        <w:rPr>
          <w:rFonts w:ascii="Times New Roman" w:hAnsi="Times New Roman" w:cs="Times New Roman"/>
          <w:lang w:val="de-DE"/>
        </w:rPr>
        <w:t xml:space="preserve"> </w:t>
      </w:r>
      <w:proofErr w:type="spellStart"/>
      <w:r w:rsidRPr="00CD4311">
        <w:rPr>
          <w:rFonts w:ascii="Times New Roman" w:hAnsi="Times New Roman" w:cs="Times New Roman"/>
          <w:lang w:val="de-DE"/>
        </w:rPr>
        <w:t>privāts</w:t>
      </w:r>
      <w:proofErr w:type="spellEnd"/>
      <w:r w:rsidRPr="00CD4311">
        <w:rPr>
          <w:rFonts w:ascii="Times New Roman" w:hAnsi="Times New Roman" w:cs="Times New Roman"/>
          <w:lang w:val="de-DE"/>
        </w:rPr>
        <w:t xml:space="preserve"> </w:t>
      </w:r>
      <w:proofErr w:type="spellStart"/>
      <w:r w:rsidRPr="00CD4311">
        <w:rPr>
          <w:rFonts w:ascii="Times New Roman" w:hAnsi="Times New Roman" w:cs="Times New Roman"/>
          <w:lang w:val="de-DE"/>
        </w:rPr>
        <w:t>dokuments</w:t>
      </w:r>
      <w:proofErr w:type="spellEnd"/>
      <w:r w:rsidRPr="00CD4311">
        <w:rPr>
          <w:rFonts w:ascii="Times New Roman" w:hAnsi="Times New Roman" w:cs="Times New Roman"/>
          <w:lang w:val="de-DE"/>
        </w:rPr>
        <w:t xml:space="preserve">, - </w:t>
      </w:r>
      <w:proofErr w:type="spellStart"/>
      <w:r w:rsidRPr="00CD4311">
        <w:rPr>
          <w:rFonts w:ascii="Times New Roman" w:hAnsi="Times New Roman" w:cs="Times New Roman"/>
          <w:lang w:val="de-DE"/>
        </w:rPr>
        <w:t>publisks</w:t>
      </w:r>
      <w:proofErr w:type="spellEnd"/>
      <w:r w:rsidRPr="00CD4311">
        <w:rPr>
          <w:rFonts w:ascii="Times New Roman" w:hAnsi="Times New Roman" w:cs="Times New Roman"/>
          <w:lang w:val="de-DE"/>
        </w:rPr>
        <w:t xml:space="preserve"> </w:t>
      </w:r>
      <w:proofErr w:type="spellStart"/>
      <w:r w:rsidRPr="00CD4311">
        <w:rPr>
          <w:rFonts w:ascii="Times New Roman" w:hAnsi="Times New Roman" w:cs="Times New Roman"/>
          <w:lang w:val="de-DE"/>
        </w:rPr>
        <w:t>ir</w:t>
      </w:r>
      <w:proofErr w:type="spellEnd"/>
      <w:r w:rsidRPr="00CD4311">
        <w:rPr>
          <w:rFonts w:ascii="Times New Roman" w:hAnsi="Times New Roman" w:cs="Times New Roman"/>
          <w:lang w:val="de-DE"/>
        </w:rPr>
        <w:t xml:space="preserve"> </w:t>
      </w:r>
      <w:proofErr w:type="spellStart"/>
      <w:r w:rsidRPr="00CD4311">
        <w:rPr>
          <w:rFonts w:ascii="Times New Roman" w:hAnsi="Times New Roman" w:cs="Times New Roman"/>
          <w:lang w:val="de-DE"/>
        </w:rPr>
        <w:t>tikai</w:t>
      </w:r>
      <w:proofErr w:type="spellEnd"/>
      <w:r w:rsidRPr="00CD4311">
        <w:rPr>
          <w:rFonts w:ascii="Times New Roman" w:hAnsi="Times New Roman" w:cs="Times New Roman"/>
          <w:lang w:val="de-DE"/>
        </w:rPr>
        <w:t xml:space="preserve"> </w:t>
      </w:r>
      <w:proofErr w:type="spellStart"/>
      <w:r w:rsidRPr="00CD4311">
        <w:rPr>
          <w:rFonts w:ascii="Times New Roman" w:hAnsi="Times New Roman" w:cs="Times New Roman"/>
          <w:i/>
          <w:lang w:val="de-DE"/>
        </w:rPr>
        <w:t>oficiālais</w:t>
      </w:r>
      <w:proofErr w:type="spellEnd"/>
      <w:r w:rsidRPr="00CD4311">
        <w:rPr>
          <w:rFonts w:ascii="Times New Roman" w:hAnsi="Times New Roman" w:cs="Times New Roman"/>
          <w:i/>
          <w:lang w:val="de-DE"/>
        </w:rPr>
        <w:t xml:space="preserve"> </w:t>
      </w:r>
      <w:proofErr w:type="spellStart"/>
      <w:r w:rsidRPr="00CD4311">
        <w:rPr>
          <w:rFonts w:ascii="Times New Roman" w:hAnsi="Times New Roman" w:cs="Times New Roman"/>
          <w:i/>
          <w:lang w:val="de-DE"/>
        </w:rPr>
        <w:t>apliecinājums</w:t>
      </w:r>
      <w:proofErr w:type="spellEnd"/>
      <w:r w:rsidRPr="00CD4311">
        <w:rPr>
          <w:rFonts w:ascii="Times New Roman" w:hAnsi="Times New Roman" w:cs="Times New Roman"/>
          <w:i/>
          <w:lang w:val="de-DE"/>
        </w:rPr>
        <w:t xml:space="preserve"> </w:t>
      </w:r>
      <w:proofErr w:type="spellStart"/>
      <w:r w:rsidRPr="00CD4311">
        <w:rPr>
          <w:rFonts w:ascii="Times New Roman" w:hAnsi="Times New Roman" w:cs="Times New Roman"/>
          <w:lang w:val="de-DE"/>
        </w:rPr>
        <w:t>uz</w:t>
      </w:r>
      <w:proofErr w:type="spellEnd"/>
      <w:r w:rsidRPr="00CD4311">
        <w:rPr>
          <w:rFonts w:ascii="Times New Roman" w:hAnsi="Times New Roman" w:cs="Times New Roman"/>
          <w:lang w:val="de-DE"/>
        </w:rPr>
        <w:t xml:space="preserve"> </w:t>
      </w:r>
      <w:proofErr w:type="spellStart"/>
      <w:r w:rsidRPr="00CD4311">
        <w:rPr>
          <w:rFonts w:ascii="Times New Roman" w:hAnsi="Times New Roman" w:cs="Times New Roman"/>
          <w:lang w:val="de-DE"/>
        </w:rPr>
        <w:t>tā</w:t>
      </w:r>
      <w:proofErr w:type="spellEnd"/>
      <w:r w:rsidRPr="00CD4311">
        <w:rPr>
          <w:rFonts w:ascii="Times New Roman" w:hAnsi="Times New Roman" w:cs="Times New Roman"/>
          <w:lang w:val="de-DE"/>
        </w:rPr>
        <w:t xml:space="preserve"> (</w:t>
      </w:r>
      <w:proofErr w:type="spellStart"/>
      <w:r w:rsidRPr="00CD4311">
        <w:rPr>
          <w:rFonts w:ascii="Times New Roman" w:hAnsi="Times New Roman" w:cs="Times New Roman"/>
          <w:lang w:val="de-DE"/>
        </w:rPr>
        <w:t>kas</w:t>
      </w:r>
      <w:proofErr w:type="spellEnd"/>
      <w:r w:rsidRPr="00CD4311">
        <w:rPr>
          <w:rFonts w:ascii="Times New Roman" w:hAnsi="Times New Roman" w:cs="Times New Roman"/>
          <w:lang w:val="de-DE"/>
        </w:rPr>
        <w:t xml:space="preserve"> </w:t>
      </w:r>
      <w:proofErr w:type="spellStart"/>
      <w:r w:rsidRPr="00CD4311">
        <w:rPr>
          <w:rFonts w:ascii="Times New Roman" w:hAnsi="Times New Roman" w:cs="Times New Roman"/>
          <w:lang w:val="de-DE"/>
        </w:rPr>
        <w:t>arī</w:t>
      </w:r>
      <w:proofErr w:type="spellEnd"/>
      <w:r w:rsidRPr="00CD4311">
        <w:rPr>
          <w:rFonts w:ascii="Times New Roman" w:hAnsi="Times New Roman" w:cs="Times New Roman"/>
          <w:lang w:val="de-DE"/>
        </w:rPr>
        <w:t xml:space="preserve"> </w:t>
      </w:r>
      <w:proofErr w:type="spellStart"/>
      <w:r w:rsidRPr="00CD4311">
        <w:rPr>
          <w:rFonts w:ascii="Times New Roman" w:hAnsi="Times New Roman" w:cs="Times New Roman"/>
          <w:lang w:val="de-DE"/>
        </w:rPr>
        <w:t>tiek</w:t>
      </w:r>
      <w:proofErr w:type="spellEnd"/>
      <w:r w:rsidRPr="00CD4311">
        <w:rPr>
          <w:rFonts w:ascii="Times New Roman" w:hAnsi="Times New Roman" w:cs="Times New Roman"/>
          <w:lang w:val="de-DE"/>
        </w:rPr>
        <w:t xml:space="preserve"> </w:t>
      </w:r>
      <w:proofErr w:type="spellStart"/>
      <w:r w:rsidRPr="00CD4311">
        <w:rPr>
          <w:rFonts w:ascii="Times New Roman" w:hAnsi="Times New Roman" w:cs="Times New Roman"/>
          <w:lang w:val="de-DE"/>
        </w:rPr>
        <w:t>legalizēts</w:t>
      </w:r>
      <w:proofErr w:type="spellEnd"/>
      <w:r w:rsidRPr="00CD4311">
        <w:rPr>
          <w:rFonts w:ascii="Times New Roman" w:hAnsi="Times New Roman" w:cs="Times New Roman"/>
          <w:lang w:val="de-DE"/>
        </w:rPr>
        <w:t xml:space="preserve"> </w:t>
      </w:r>
      <w:proofErr w:type="spellStart"/>
      <w:r w:rsidRPr="00CD4311">
        <w:rPr>
          <w:rFonts w:ascii="Times New Roman" w:hAnsi="Times New Roman" w:cs="Times New Roman"/>
          <w:lang w:val="de-DE"/>
        </w:rPr>
        <w:t>ar</w:t>
      </w:r>
      <w:proofErr w:type="spellEnd"/>
      <w:r w:rsidRPr="00CD4311">
        <w:rPr>
          <w:rFonts w:ascii="Times New Roman" w:hAnsi="Times New Roman" w:cs="Times New Roman"/>
          <w:lang w:val="de-DE"/>
        </w:rPr>
        <w:t xml:space="preserve"> </w:t>
      </w:r>
      <w:proofErr w:type="spellStart"/>
      <w:r w:rsidRPr="00CD4311">
        <w:rPr>
          <w:rFonts w:ascii="Times New Roman" w:hAnsi="Times New Roman" w:cs="Times New Roman"/>
          <w:i/>
          <w:lang w:val="de-DE"/>
        </w:rPr>
        <w:t>apostille</w:t>
      </w:r>
      <w:proofErr w:type="spellEnd"/>
      <w:r w:rsidRPr="00CD4311">
        <w:rPr>
          <w:rFonts w:ascii="Times New Roman" w:hAnsi="Times New Roman" w:cs="Times New Roman"/>
          <w:lang w:val="de-DE"/>
        </w:rPr>
        <w:t>).</w:t>
      </w:r>
      <w:r w:rsidRPr="00CD4311">
        <w:rPr>
          <w:rStyle w:val="FootnoteReference"/>
          <w:rFonts w:ascii="Times New Roman" w:hAnsi="Times New Roman" w:cs="Times New Roman"/>
          <w:lang w:val="de-DE"/>
        </w:rPr>
        <w:footnoteReference w:id="128"/>
      </w:r>
      <w:r w:rsidRPr="00CD4311">
        <w:rPr>
          <w:rFonts w:ascii="Times New Roman" w:hAnsi="Times New Roman" w:cs="Times New Roman"/>
          <w:lang w:val="de-DE"/>
        </w:rPr>
        <w:t xml:space="preserve"> </w:t>
      </w:r>
    </w:p>
    <w:p w14:paraId="2C8D3FFE" w14:textId="04F15A74" w:rsidR="00114953" w:rsidRPr="00CD4311" w:rsidRDefault="00C22C4E" w:rsidP="00114953">
      <w:pPr>
        <w:ind w:firstLine="708"/>
        <w:jc w:val="both"/>
        <w:rPr>
          <w:rFonts w:ascii="Times New Roman" w:hAnsi="Times New Roman" w:cs="Times New Roman"/>
          <w:lang w:val="de-DE"/>
        </w:rPr>
      </w:pPr>
      <w:proofErr w:type="spellStart"/>
      <w:r>
        <w:rPr>
          <w:rFonts w:ascii="Times New Roman" w:hAnsi="Times New Roman" w:cs="Times New Roman"/>
          <w:lang w:val="de-DE"/>
        </w:rPr>
        <w:t>Tātad</w:t>
      </w:r>
      <w:proofErr w:type="spellEnd"/>
      <w:r w:rsidR="00114953" w:rsidRPr="00CD4311">
        <w:rPr>
          <w:rFonts w:ascii="Times New Roman" w:hAnsi="Times New Roman" w:cs="Times New Roman"/>
          <w:lang w:val="de-DE"/>
        </w:rPr>
        <w:t xml:space="preserve">, </w:t>
      </w:r>
      <w:proofErr w:type="spellStart"/>
      <w:r w:rsidR="00114953" w:rsidRPr="00CD4311">
        <w:rPr>
          <w:rFonts w:ascii="Times New Roman" w:hAnsi="Times New Roman" w:cs="Times New Roman"/>
          <w:lang w:val="de-DE"/>
        </w:rPr>
        <w:t>legalizācija</w:t>
      </w:r>
      <w:proofErr w:type="spellEnd"/>
      <w:r w:rsidR="00114953" w:rsidRPr="00CD4311">
        <w:rPr>
          <w:rFonts w:ascii="Times New Roman" w:hAnsi="Times New Roman" w:cs="Times New Roman"/>
          <w:lang w:val="de-DE"/>
        </w:rPr>
        <w:t xml:space="preserve"> (</w:t>
      </w:r>
      <w:proofErr w:type="spellStart"/>
      <w:r w:rsidR="00114953" w:rsidRPr="00CD4311">
        <w:rPr>
          <w:rFonts w:ascii="Times New Roman" w:hAnsi="Times New Roman" w:cs="Times New Roman"/>
          <w:lang w:val="de-DE"/>
        </w:rPr>
        <w:t>vai</w:t>
      </w:r>
      <w:proofErr w:type="spellEnd"/>
      <w:r w:rsidR="00114953" w:rsidRPr="00CD4311">
        <w:rPr>
          <w:rFonts w:ascii="Times New Roman" w:hAnsi="Times New Roman" w:cs="Times New Roman"/>
          <w:lang w:val="de-DE"/>
        </w:rPr>
        <w:t xml:space="preserve"> </w:t>
      </w:r>
      <w:proofErr w:type="spellStart"/>
      <w:r w:rsidR="00114953" w:rsidRPr="00CD4311">
        <w:rPr>
          <w:rFonts w:ascii="Times New Roman" w:hAnsi="Times New Roman" w:cs="Times New Roman"/>
          <w:lang w:val="de-DE"/>
        </w:rPr>
        <w:t>apliecinājums</w:t>
      </w:r>
      <w:proofErr w:type="spellEnd"/>
      <w:r w:rsidR="00114953" w:rsidRPr="00CD4311">
        <w:rPr>
          <w:rFonts w:ascii="Times New Roman" w:hAnsi="Times New Roman" w:cs="Times New Roman"/>
          <w:lang w:val="de-DE"/>
        </w:rPr>
        <w:t xml:space="preserve"> </w:t>
      </w:r>
      <w:proofErr w:type="spellStart"/>
      <w:r w:rsidR="00114953" w:rsidRPr="00CD4311">
        <w:rPr>
          <w:rFonts w:ascii="Times New Roman" w:hAnsi="Times New Roman" w:cs="Times New Roman"/>
          <w:lang w:val="de-DE"/>
        </w:rPr>
        <w:t>ar</w:t>
      </w:r>
      <w:proofErr w:type="spellEnd"/>
      <w:r w:rsidR="00114953" w:rsidRPr="00CD4311">
        <w:rPr>
          <w:rFonts w:ascii="Times New Roman" w:hAnsi="Times New Roman" w:cs="Times New Roman"/>
          <w:lang w:val="de-DE"/>
        </w:rPr>
        <w:t xml:space="preserve"> </w:t>
      </w:r>
      <w:proofErr w:type="spellStart"/>
      <w:r w:rsidR="00114953" w:rsidRPr="00CD4311">
        <w:rPr>
          <w:rFonts w:ascii="Times New Roman" w:hAnsi="Times New Roman" w:cs="Times New Roman"/>
          <w:i/>
          <w:lang w:val="de-DE"/>
        </w:rPr>
        <w:t>apostille</w:t>
      </w:r>
      <w:proofErr w:type="spellEnd"/>
      <w:r w:rsidR="00114953" w:rsidRPr="00CD4311">
        <w:rPr>
          <w:rFonts w:ascii="Times New Roman" w:hAnsi="Times New Roman" w:cs="Times New Roman"/>
          <w:lang w:val="de-DE"/>
        </w:rPr>
        <w:t xml:space="preserve">) </w:t>
      </w:r>
      <w:proofErr w:type="spellStart"/>
      <w:r w:rsidR="00114953" w:rsidRPr="00CD4311">
        <w:rPr>
          <w:rFonts w:ascii="Times New Roman" w:hAnsi="Times New Roman" w:cs="Times New Roman"/>
          <w:lang w:val="de-DE"/>
        </w:rPr>
        <w:t>privātu</w:t>
      </w:r>
      <w:proofErr w:type="spellEnd"/>
      <w:r w:rsidR="00114953" w:rsidRPr="00CD4311">
        <w:rPr>
          <w:rFonts w:ascii="Times New Roman" w:hAnsi="Times New Roman" w:cs="Times New Roman"/>
          <w:lang w:val="de-DE"/>
        </w:rPr>
        <w:t xml:space="preserve"> </w:t>
      </w:r>
      <w:proofErr w:type="spellStart"/>
      <w:r w:rsidR="00114953" w:rsidRPr="00CD4311">
        <w:rPr>
          <w:rFonts w:ascii="Times New Roman" w:hAnsi="Times New Roman" w:cs="Times New Roman"/>
          <w:lang w:val="de-DE"/>
        </w:rPr>
        <w:t>dokumentu</w:t>
      </w:r>
      <w:proofErr w:type="spellEnd"/>
      <w:r w:rsidR="00114953" w:rsidRPr="00CD4311">
        <w:rPr>
          <w:rFonts w:ascii="Times New Roman" w:hAnsi="Times New Roman" w:cs="Times New Roman"/>
          <w:lang w:val="de-DE"/>
        </w:rPr>
        <w:t xml:space="preserve"> </w:t>
      </w:r>
      <w:proofErr w:type="spellStart"/>
      <w:r w:rsidR="00114953" w:rsidRPr="00CD4311">
        <w:rPr>
          <w:rFonts w:ascii="Times New Roman" w:hAnsi="Times New Roman" w:cs="Times New Roman"/>
          <w:lang w:val="de-DE"/>
        </w:rPr>
        <w:t>nepadara</w:t>
      </w:r>
      <w:proofErr w:type="spellEnd"/>
      <w:r w:rsidR="00114953" w:rsidRPr="00CD4311">
        <w:rPr>
          <w:rFonts w:ascii="Times New Roman" w:hAnsi="Times New Roman" w:cs="Times New Roman"/>
          <w:lang w:val="de-DE"/>
        </w:rPr>
        <w:t xml:space="preserve"> par </w:t>
      </w:r>
      <w:proofErr w:type="spellStart"/>
      <w:r w:rsidR="00114953" w:rsidRPr="00CD4311">
        <w:rPr>
          <w:rFonts w:ascii="Times New Roman" w:hAnsi="Times New Roman" w:cs="Times New Roman"/>
          <w:lang w:val="de-DE"/>
        </w:rPr>
        <w:t>publisku</w:t>
      </w:r>
      <w:proofErr w:type="spellEnd"/>
      <w:r w:rsidR="00114953" w:rsidRPr="00CD4311">
        <w:rPr>
          <w:rFonts w:ascii="Times New Roman" w:hAnsi="Times New Roman" w:cs="Times New Roman"/>
          <w:lang w:val="de-DE"/>
        </w:rPr>
        <w:t xml:space="preserve"> </w:t>
      </w:r>
      <w:proofErr w:type="spellStart"/>
      <w:r w:rsidR="00114953" w:rsidRPr="00CD4311">
        <w:rPr>
          <w:rFonts w:ascii="Times New Roman" w:hAnsi="Times New Roman" w:cs="Times New Roman"/>
          <w:lang w:val="de-DE"/>
        </w:rPr>
        <w:t>dokumentu</w:t>
      </w:r>
      <w:proofErr w:type="spellEnd"/>
      <w:r w:rsidR="00114953" w:rsidRPr="00CD4311">
        <w:rPr>
          <w:rFonts w:ascii="Times New Roman" w:hAnsi="Times New Roman" w:cs="Times New Roman"/>
          <w:lang w:val="de-DE"/>
        </w:rPr>
        <w:t xml:space="preserve">. </w:t>
      </w:r>
      <w:proofErr w:type="spellStart"/>
      <w:r w:rsidR="00114953" w:rsidRPr="00CD4311">
        <w:rPr>
          <w:rFonts w:ascii="Times New Roman" w:hAnsi="Times New Roman" w:cs="Times New Roman"/>
          <w:lang w:val="de-DE"/>
        </w:rPr>
        <w:t>Līdz</w:t>
      </w:r>
      <w:proofErr w:type="spellEnd"/>
      <w:r w:rsidR="00114953" w:rsidRPr="00CD4311">
        <w:rPr>
          <w:rFonts w:ascii="Times New Roman" w:hAnsi="Times New Roman" w:cs="Times New Roman"/>
          <w:lang w:val="de-DE"/>
        </w:rPr>
        <w:t xml:space="preserve"> </w:t>
      </w:r>
      <w:proofErr w:type="spellStart"/>
      <w:r w:rsidR="00114953" w:rsidRPr="00CD4311">
        <w:rPr>
          <w:rFonts w:ascii="Times New Roman" w:hAnsi="Times New Roman" w:cs="Times New Roman"/>
          <w:lang w:val="de-DE"/>
        </w:rPr>
        <w:t>ar</w:t>
      </w:r>
      <w:proofErr w:type="spellEnd"/>
      <w:r w:rsidR="00114953" w:rsidRPr="00CD4311">
        <w:rPr>
          <w:rFonts w:ascii="Times New Roman" w:hAnsi="Times New Roman" w:cs="Times New Roman"/>
          <w:lang w:val="de-DE"/>
        </w:rPr>
        <w:t xml:space="preserve"> </w:t>
      </w:r>
      <w:proofErr w:type="spellStart"/>
      <w:r w:rsidR="00114953" w:rsidRPr="00CD4311">
        <w:rPr>
          <w:rFonts w:ascii="Times New Roman" w:hAnsi="Times New Roman" w:cs="Times New Roman"/>
          <w:lang w:val="de-DE"/>
        </w:rPr>
        <w:t>to</w:t>
      </w:r>
      <w:proofErr w:type="spellEnd"/>
      <w:r w:rsidR="00114953" w:rsidRPr="00CD4311">
        <w:rPr>
          <w:rFonts w:ascii="Times New Roman" w:hAnsi="Times New Roman" w:cs="Times New Roman"/>
          <w:lang w:val="de-DE"/>
        </w:rPr>
        <w:t xml:space="preserve"> </w:t>
      </w:r>
      <w:proofErr w:type="spellStart"/>
      <w:r w:rsidR="00114953" w:rsidRPr="00CD4311">
        <w:rPr>
          <w:rFonts w:ascii="Times New Roman" w:hAnsi="Times New Roman" w:cs="Times New Roman"/>
          <w:lang w:val="de-DE"/>
        </w:rPr>
        <w:t>Dokumentu</w:t>
      </w:r>
      <w:proofErr w:type="spellEnd"/>
      <w:r w:rsidR="00114953" w:rsidRPr="00CD4311">
        <w:rPr>
          <w:rFonts w:ascii="Times New Roman" w:hAnsi="Times New Roman" w:cs="Times New Roman"/>
          <w:lang w:val="de-DE"/>
        </w:rPr>
        <w:t xml:space="preserve"> </w:t>
      </w:r>
      <w:proofErr w:type="spellStart"/>
      <w:r w:rsidR="00114953" w:rsidRPr="00CD4311">
        <w:rPr>
          <w:rFonts w:ascii="Times New Roman" w:hAnsi="Times New Roman" w:cs="Times New Roman"/>
          <w:lang w:val="de-DE"/>
        </w:rPr>
        <w:t>legalizācijas</w:t>
      </w:r>
      <w:proofErr w:type="spellEnd"/>
      <w:r w:rsidR="00114953" w:rsidRPr="00CD4311">
        <w:rPr>
          <w:rFonts w:ascii="Times New Roman" w:hAnsi="Times New Roman" w:cs="Times New Roman"/>
          <w:lang w:val="de-DE"/>
        </w:rPr>
        <w:t xml:space="preserve"> </w:t>
      </w:r>
      <w:proofErr w:type="spellStart"/>
      <w:r w:rsidR="00114953" w:rsidRPr="00CD4311">
        <w:rPr>
          <w:rFonts w:ascii="Times New Roman" w:hAnsi="Times New Roman" w:cs="Times New Roman"/>
          <w:lang w:val="de-DE"/>
        </w:rPr>
        <w:t>likuma</w:t>
      </w:r>
      <w:proofErr w:type="spellEnd"/>
      <w:r w:rsidR="00114953" w:rsidRPr="00CD4311">
        <w:rPr>
          <w:rFonts w:ascii="Times New Roman" w:hAnsi="Times New Roman" w:cs="Times New Roman"/>
          <w:lang w:val="de-DE"/>
        </w:rPr>
        <w:t xml:space="preserve"> 10.panta </w:t>
      </w:r>
      <w:proofErr w:type="spellStart"/>
      <w:r w:rsidR="00114953" w:rsidRPr="00CD4311">
        <w:rPr>
          <w:rFonts w:ascii="Times New Roman" w:hAnsi="Times New Roman" w:cs="Times New Roman"/>
          <w:lang w:val="de-DE"/>
        </w:rPr>
        <w:t>pirmajā</w:t>
      </w:r>
      <w:proofErr w:type="spellEnd"/>
      <w:r w:rsidR="00114953" w:rsidRPr="00CD4311">
        <w:rPr>
          <w:rFonts w:ascii="Times New Roman" w:hAnsi="Times New Roman" w:cs="Times New Roman"/>
          <w:lang w:val="de-DE"/>
        </w:rPr>
        <w:t xml:space="preserve"> </w:t>
      </w:r>
      <w:proofErr w:type="spellStart"/>
      <w:r w:rsidR="00114953" w:rsidRPr="00CD4311">
        <w:rPr>
          <w:rFonts w:ascii="Times New Roman" w:hAnsi="Times New Roman" w:cs="Times New Roman"/>
          <w:lang w:val="de-DE"/>
        </w:rPr>
        <w:t>daļā</w:t>
      </w:r>
      <w:proofErr w:type="spellEnd"/>
      <w:r w:rsidR="00114953" w:rsidRPr="00CD4311">
        <w:rPr>
          <w:rFonts w:ascii="Times New Roman" w:hAnsi="Times New Roman" w:cs="Times New Roman"/>
          <w:lang w:val="de-DE"/>
        </w:rPr>
        <w:t xml:space="preserve"> </w:t>
      </w:r>
      <w:proofErr w:type="spellStart"/>
      <w:r w:rsidR="00114953" w:rsidRPr="00CD4311">
        <w:rPr>
          <w:rFonts w:ascii="Times New Roman" w:hAnsi="Times New Roman" w:cs="Times New Roman"/>
          <w:lang w:val="de-DE"/>
        </w:rPr>
        <w:t>ietvertā</w:t>
      </w:r>
      <w:proofErr w:type="spellEnd"/>
      <w:r w:rsidR="00114953" w:rsidRPr="00CD4311">
        <w:rPr>
          <w:rFonts w:ascii="Times New Roman" w:hAnsi="Times New Roman" w:cs="Times New Roman"/>
          <w:lang w:val="de-DE"/>
        </w:rPr>
        <w:t xml:space="preserve"> </w:t>
      </w:r>
      <w:proofErr w:type="spellStart"/>
      <w:r w:rsidR="00114953" w:rsidRPr="00CD4311">
        <w:rPr>
          <w:rFonts w:ascii="Times New Roman" w:hAnsi="Times New Roman" w:cs="Times New Roman"/>
          <w:lang w:val="de-DE"/>
        </w:rPr>
        <w:t>tiesību</w:t>
      </w:r>
      <w:proofErr w:type="spellEnd"/>
      <w:r w:rsidR="00114953" w:rsidRPr="00CD4311">
        <w:rPr>
          <w:rFonts w:ascii="Times New Roman" w:hAnsi="Times New Roman" w:cs="Times New Roman"/>
          <w:lang w:val="de-DE"/>
        </w:rPr>
        <w:t xml:space="preserve"> </w:t>
      </w:r>
      <w:proofErr w:type="spellStart"/>
      <w:r w:rsidR="00114953" w:rsidRPr="00CD4311">
        <w:rPr>
          <w:rFonts w:ascii="Times New Roman" w:hAnsi="Times New Roman" w:cs="Times New Roman"/>
          <w:lang w:val="de-DE"/>
        </w:rPr>
        <w:t>norma</w:t>
      </w:r>
      <w:proofErr w:type="spellEnd"/>
      <w:r w:rsidR="00114953" w:rsidRPr="00CD4311">
        <w:rPr>
          <w:rFonts w:ascii="Times New Roman" w:hAnsi="Times New Roman" w:cs="Times New Roman"/>
          <w:lang w:val="de-DE"/>
        </w:rPr>
        <w:t xml:space="preserve"> </w:t>
      </w:r>
      <w:proofErr w:type="spellStart"/>
      <w:r w:rsidR="00114953" w:rsidRPr="00CD4311">
        <w:rPr>
          <w:rFonts w:ascii="Times New Roman" w:hAnsi="Times New Roman" w:cs="Times New Roman"/>
          <w:lang w:val="de-DE"/>
        </w:rPr>
        <w:t>ir</w:t>
      </w:r>
      <w:proofErr w:type="spellEnd"/>
      <w:r w:rsidR="00114953" w:rsidRPr="00CD4311">
        <w:rPr>
          <w:rFonts w:ascii="Times New Roman" w:hAnsi="Times New Roman" w:cs="Times New Roman"/>
          <w:lang w:val="de-DE"/>
        </w:rPr>
        <w:t xml:space="preserve"> </w:t>
      </w:r>
      <w:proofErr w:type="spellStart"/>
      <w:r w:rsidR="00114953" w:rsidRPr="00CD4311">
        <w:rPr>
          <w:rFonts w:ascii="Times New Roman" w:hAnsi="Times New Roman" w:cs="Times New Roman"/>
          <w:lang w:val="de-DE"/>
        </w:rPr>
        <w:t>neskaidra</w:t>
      </w:r>
      <w:proofErr w:type="spellEnd"/>
      <w:r w:rsidR="00114953" w:rsidRPr="00CD4311">
        <w:rPr>
          <w:rFonts w:ascii="Times New Roman" w:hAnsi="Times New Roman" w:cs="Times New Roman"/>
          <w:lang w:val="de-DE"/>
        </w:rPr>
        <w:t xml:space="preserve"> </w:t>
      </w:r>
      <w:proofErr w:type="spellStart"/>
      <w:r w:rsidR="00114953" w:rsidRPr="00CD4311">
        <w:rPr>
          <w:rFonts w:ascii="Times New Roman" w:hAnsi="Times New Roman" w:cs="Times New Roman"/>
          <w:lang w:val="de-DE"/>
        </w:rPr>
        <w:t>un</w:t>
      </w:r>
      <w:proofErr w:type="spellEnd"/>
      <w:r w:rsidR="00114953" w:rsidRPr="00CD4311">
        <w:rPr>
          <w:rFonts w:ascii="Times New Roman" w:hAnsi="Times New Roman" w:cs="Times New Roman"/>
          <w:lang w:val="de-DE"/>
        </w:rPr>
        <w:t xml:space="preserve"> </w:t>
      </w:r>
      <w:r w:rsidR="00114953" w:rsidRPr="00CD4311">
        <w:rPr>
          <w:rFonts w:ascii="Times New Roman" w:hAnsi="Times New Roman" w:cs="Times New Roman"/>
          <w:i/>
          <w:lang w:val="de-DE"/>
        </w:rPr>
        <w:t>a priori</w:t>
      </w:r>
      <w:r w:rsidR="00114953" w:rsidRPr="00CD4311">
        <w:rPr>
          <w:rFonts w:ascii="Times New Roman" w:hAnsi="Times New Roman" w:cs="Times New Roman"/>
          <w:lang w:val="de-DE"/>
        </w:rPr>
        <w:t xml:space="preserve"> </w:t>
      </w:r>
      <w:proofErr w:type="spellStart"/>
      <w:r w:rsidR="00114953" w:rsidRPr="00CD4311">
        <w:rPr>
          <w:rFonts w:ascii="Times New Roman" w:hAnsi="Times New Roman" w:cs="Times New Roman"/>
          <w:lang w:val="de-DE"/>
        </w:rPr>
        <w:t>pat</w:t>
      </w:r>
      <w:proofErr w:type="spellEnd"/>
      <w:r w:rsidR="00114953" w:rsidRPr="00CD4311">
        <w:rPr>
          <w:rFonts w:ascii="Times New Roman" w:hAnsi="Times New Roman" w:cs="Times New Roman"/>
          <w:lang w:val="de-DE"/>
        </w:rPr>
        <w:t xml:space="preserve"> </w:t>
      </w:r>
      <w:proofErr w:type="spellStart"/>
      <w:r w:rsidR="00114953" w:rsidRPr="00CD4311">
        <w:rPr>
          <w:rFonts w:ascii="Times New Roman" w:hAnsi="Times New Roman" w:cs="Times New Roman"/>
          <w:lang w:val="de-DE"/>
        </w:rPr>
        <w:t>maldinoša</w:t>
      </w:r>
      <w:proofErr w:type="spellEnd"/>
      <w:r w:rsidR="00114953" w:rsidRPr="00CD4311">
        <w:rPr>
          <w:rFonts w:ascii="Times New Roman" w:hAnsi="Times New Roman" w:cs="Times New Roman"/>
          <w:lang w:val="de-DE"/>
        </w:rPr>
        <w:t xml:space="preserve">, </w:t>
      </w:r>
      <w:proofErr w:type="spellStart"/>
      <w:r w:rsidR="00114953" w:rsidRPr="00CD4311">
        <w:rPr>
          <w:rFonts w:ascii="Times New Roman" w:hAnsi="Times New Roman" w:cs="Times New Roman"/>
          <w:lang w:val="de-DE"/>
        </w:rPr>
        <w:t>jo</w:t>
      </w:r>
      <w:proofErr w:type="spellEnd"/>
      <w:r w:rsidR="00114953" w:rsidRPr="00CD4311">
        <w:rPr>
          <w:rFonts w:ascii="Times New Roman" w:hAnsi="Times New Roman" w:cs="Times New Roman"/>
          <w:lang w:val="de-DE"/>
        </w:rPr>
        <w:t xml:space="preserve"> </w:t>
      </w:r>
      <w:proofErr w:type="spellStart"/>
      <w:r w:rsidR="00114953" w:rsidRPr="00CD4311">
        <w:rPr>
          <w:rFonts w:ascii="Times New Roman" w:hAnsi="Times New Roman" w:cs="Times New Roman"/>
          <w:lang w:val="de-DE"/>
        </w:rPr>
        <w:t>nosaka</w:t>
      </w:r>
      <w:proofErr w:type="spellEnd"/>
      <w:r w:rsidR="00114953" w:rsidRPr="00CD4311">
        <w:rPr>
          <w:rFonts w:ascii="Times New Roman" w:hAnsi="Times New Roman" w:cs="Times New Roman"/>
          <w:lang w:val="de-DE"/>
        </w:rPr>
        <w:t xml:space="preserve">: </w:t>
      </w:r>
      <w:r w:rsidR="00114953" w:rsidRPr="00CD4311">
        <w:rPr>
          <w:rFonts w:ascii="Times New Roman" w:hAnsi="Times New Roman" w:cs="Times New Roman"/>
          <w:i/>
          <w:lang w:val="de-DE"/>
        </w:rPr>
        <w:t xml:space="preserve">„[l]ai </w:t>
      </w:r>
      <w:proofErr w:type="spellStart"/>
      <w:r w:rsidR="00114953" w:rsidRPr="00CD4311">
        <w:rPr>
          <w:rFonts w:ascii="Times New Roman" w:hAnsi="Times New Roman" w:cs="Times New Roman"/>
          <w:i/>
          <w:lang w:val="de-DE"/>
        </w:rPr>
        <w:t>ārvalstī</w:t>
      </w:r>
      <w:proofErr w:type="spellEnd"/>
      <w:r w:rsidR="00114953" w:rsidRPr="00CD4311">
        <w:rPr>
          <w:rFonts w:ascii="Times New Roman" w:hAnsi="Times New Roman" w:cs="Times New Roman"/>
          <w:i/>
          <w:lang w:val="de-DE"/>
        </w:rPr>
        <w:t xml:space="preserve"> </w:t>
      </w:r>
      <w:proofErr w:type="spellStart"/>
      <w:r w:rsidR="00114953" w:rsidRPr="00CD4311">
        <w:rPr>
          <w:rFonts w:ascii="Times New Roman" w:hAnsi="Times New Roman" w:cs="Times New Roman"/>
          <w:i/>
          <w:lang w:val="de-DE"/>
        </w:rPr>
        <w:t>izsniegtam</w:t>
      </w:r>
      <w:proofErr w:type="spellEnd"/>
      <w:r w:rsidR="00114953" w:rsidRPr="00CD4311">
        <w:rPr>
          <w:rFonts w:ascii="Times New Roman" w:hAnsi="Times New Roman" w:cs="Times New Roman"/>
          <w:i/>
          <w:lang w:val="de-DE"/>
        </w:rPr>
        <w:t xml:space="preserve"> </w:t>
      </w:r>
      <w:proofErr w:type="spellStart"/>
      <w:r w:rsidR="00114953" w:rsidRPr="00CD4311">
        <w:rPr>
          <w:rFonts w:ascii="Times New Roman" w:hAnsi="Times New Roman" w:cs="Times New Roman"/>
          <w:i/>
          <w:lang w:val="de-DE"/>
        </w:rPr>
        <w:t>publiskam</w:t>
      </w:r>
      <w:proofErr w:type="spellEnd"/>
      <w:r w:rsidR="00114953" w:rsidRPr="00CD4311">
        <w:rPr>
          <w:rFonts w:ascii="Times New Roman" w:hAnsi="Times New Roman" w:cs="Times New Roman"/>
          <w:i/>
          <w:lang w:val="de-DE"/>
        </w:rPr>
        <w:t xml:space="preserve"> </w:t>
      </w:r>
      <w:proofErr w:type="spellStart"/>
      <w:r w:rsidR="00114953" w:rsidRPr="00CD4311">
        <w:rPr>
          <w:rFonts w:ascii="Times New Roman" w:hAnsi="Times New Roman" w:cs="Times New Roman"/>
          <w:i/>
          <w:lang w:val="de-DE"/>
        </w:rPr>
        <w:t>dokumentam</w:t>
      </w:r>
      <w:proofErr w:type="spellEnd"/>
      <w:r w:rsidR="00114953" w:rsidRPr="00CD4311">
        <w:rPr>
          <w:rFonts w:ascii="Times New Roman" w:hAnsi="Times New Roman" w:cs="Times New Roman"/>
          <w:i/>
          <w:lang w:val="de-DE"/>
        </w:rPr>
        <w:t xml:space="preserve"> </w:t>
      </w:r>
      <w:proofErr w:type="spellStart"/>
      <w:r w:rsidR="00114953" w:rsidRPr="00CD4311">
        <w:rPr>
          <w:rFonts w:ascii="Times New Roman" w:hAnsi="Times New Roman" w:cs="Times New Roman"/>
          <w:i/>
          <w:lang w:val="de-DE"/>
        </w:rPr>
        <w:t>būtu</w:t>
      </w:r>
      <w:proofErr w:type="spellEnd"/>
      <w:r w:rsidR="00114953" w:rsidRPr="00CD4311">
        <w:rPr>
          <w:rFonts w:ascii="Times New Roman" w:hAnsi="Times New Roman" w:cs="Times New Roman"/>
          <w:i/>
          <w:lang w:val="de-DE"/>
        </w:rPr>
        <w:t xml:space="preserve"> </w:t>
      </w:r>
      <w:proofErr w:type="spellStart"/>
      <w:r w:rsidR="00114953" w:rsidRPr="00CD4311">
        <w:rPr>
          <w:rFonts w:ascii="Times New Roman" w:hAnsi="Times New Roman" w:cs="Times New Roman"/>
          <w:i/>
          <w:lang w:val="de-DE"/>
        </w:rPr>
        <w:t>publiska</w:t>
      </w:r>
      <w:proofErr w:type="spellEnd"/>
      <w:r w:rsidR="00114953" w:rsidRPr="00CD4311">
        <w:rPr>
          <w:rFonts w:ascii="Times New Roman" w:hAnsi="Times New Roman" w:cs="Times New Roman"/>
          <w:i/>
          <w:lang w:val="de-DE"/>
        </w:rPr>
        <w:t xml:space="preserve"> </w:t>
      </w:r>
      <w:proofErr w:type="spellStart"/>
      <w:r w:rsidR="00114953" w:rsidRPr="00CD4311">
        <w:rPr>
          <w:rFonts w:ascii="Times New Roman" w:hAnsi="Times New Roman" w:cs="Times New Roman"/>
          <w:i/>
          <w:lang w:val="de-DE"/>
        </w:rPr>
        <w:t>dok</w:t>
      </w:r>
      <w:r>
        <w:rPr>
          <w:rFonts w:ascii="Times New Roman" w:hAnsi="Times New Roman" w:cs="Times New Roman"/>
          <w:i/>
          <w:lang w:val="de-DE"/>
        </w:rPr>
        <w:t>u</w:t>
      </w:r>
      <w:r w:rsidR="00114953" w:rsidRPr="00CD4311">
        <w:rPr>
          <w:rFonts w:ascii="Times New Roman" w:hAnsi="Times New Roman" w:cs="Times New Roman"/>
          <w:i/>
          <w:lang w:val="de-DE"/>
        </w:rPr>
        <w:t>menta</w:t>
      </w:r>
      <w:proofErr w:type="spellEnd"/>
      <w:r w:rsidR="00114953" w:rsidRPr="00CD4311">
        <w:rPr>
          <w:rFonts w:ascii="Times New Roman" w:hAnsi="Times New Roman" w:cs="Times New Roman"/>
          <w:i/>
          <w:lang w:val="de-DE"/>
        </w:rPr>
        <w:t xml:space="preserve"> </w:t>
      </w:r>
      <w:proofErr w:type="spellStart"/>
      <w:r w:rsidR="00114953" w:rsidRPr="00CD4311">
        <w:rPr>
          <w:rFonts w:ascii="Times New Roman" w:hAnsi="Times New Roman" w:cs="Times New Roman"/>
          <w:i/>
          <w:lang w:val="de-DE"/>
        </w:rPr>
        <w:t>spēks</w:t>
      </w:r>
      <w:proofErr w:type="spellEnd"/>
      <w:r w:rsidR="00114953" w:rsidRPr="00CD4311">
        <w:rPr>
          <w:rFonts w:ascii="Times New Roman" w:hAnsi="Times New Roman" w:cs="Times New Roman"/>
          <w:i/>
          <w:lang w:val="de-DE"/>
        </w:rPr>
        <w:t xml:space="preserve"> </w:t>
      </w:r>
      <w:proofErr w:type="spellStart"/>
      <w:r w:rsidR="00114953" w:rsidRPr="00CD4311">
        <w:rPr>
          <w:rFonts w:ascii="Times New Roman" w:hAnsi="Times New Roman" w:cs="Times New Roman"/>
          <w:i/>
          <w:lang w:val="de-DE"/>
        </w:rPr>
        <w:t>Latvijā</w:t>
      </w:r>
      <w:proofErr w:type="spellEnd"/>
      <w:r w:rsidR="00114953" w:rsidRPr="00CD4311">
        <w:rPr>
          <w:rFonts w:ascii="Times New Roman" w:hAnsi="Times New Roman" w:cs="Times New Roman"/>
          <w:i/>
          <w:lang w:val="de-DE"/>
        </w:rPr>
        <w:t xml:space="preserve">, </w:t>
      </w:r>
      <w:proofErr w:type="spellStart"/>
      <w:r w:rsidR="00114953" w:rsidRPr="00CD4311">
        <w:rPr>
          <w:rFonts w:ascii="Times New Roman" w:hAnsi="Times New Roman" w:cs="Times New Roman"/>
          <w:i/>
          <w:lang w:val="de-DE"/>
        </w:rPr>
        <w:t>tas</w:t>
      </w:r>
      <w:proofErr w:type="spellEnd"/>
      <w:r w:rsidR="00114953" w:rsidRPr="00CD4311">
        <w:rPr>
          <w:rFonts w:ascii="Times New Roman" w:hAnsi="Times New Roman" w:cs="Times New Roman"/>
          <w:i/>
          <w:lang w:val="de-DE"/>
        </w:rPr>
        <w:t xml:space="preserve"> </w:t>
      </w:r>
      <w:proofErr w:type="spellStart"/>
      <w:r w:rsidR="00114953" w:rsidRPr="00CD4311">
        <w:rPr>
          <w:rFonts w:ascii="Times New Roman" w:hAnsi="Times New Roman" w:cs="Times New Roman"/>
          <w:i/>
          <w:lang w:val="de-DE"/>
        </w:rPr>
        <w:t>ir</w:t>
      </w:r>
      <w:proofErr w:type="spellEnd"/>
      <w:r w:rsidR="00114953" w:rsidRPr="00CD4311">
        <w:rPr>
          <w:rFonts w:ascii="Times New Roman" w:hAnsi="Times New Roman" w:cs="Times New Roman"/>
          <w:i/>
          <w:lang w:val="de-DE"/>
        </w:rPr>
        <w:t xml:space="preserve"> </w:t>
      </w:r>
      <w:proofErr w:type="spellStart"/>
      <w:r w:rsidR="00114953" w:rsidRPr="00CD4311">
        <w:rPr>
          <w:rFonts w:ascii="Times New Roman" w:hAnsi="Times New Roman" w:cs="Times New Roman"/>
          <w:i/>
          <w:lang w:val="de-DE"/>
        </w:rPr>
        <w:t>legalizējams</w:t>
      </w:r>
      <w:proofErr w:type="spellEnd"/>
      <w:r w:rsidR="00114953" w:rsidRPr="00CD4311">
        <w:rPr>
          <w:rFonts w:ascii="Times New Roman" w:hAnsi="Times New Roman" w:cs="Times New Roman"/>
          <w:lang w:val="de-DE"/>
        </w:rPr>
        <w:t xml:space="preserve">“. Tas </w:t>
      </w:r>
      <w:proofErr w:type="spellStart"/>
      <w:r w:rsidR="00114953" w:rsidRPr="00CD4311">
        <w:rPr>
          <w:rFonts w:ascii="Times New Roman" w:hAnsi="Times New Roman" w:cs="Times New Roman"/>
          <w:lang w:val="de-DE"/>
        </w:rPr>
        <w:t>praksē</w:t>
      </w:r>
      <w:proofErr w:type="spellEnd"/>
      <w:r w:rsidR="00114953" w:rsidRPr="00CD4311">
        <w:rPr>
          <w:rFonts w:ascii="Times New Roman" w:hAnsi="Times New Roman" w:cs="Times New Roman"/>
          <w:lang w:val="de-DE"/>
        </w:rPr>
        <w:t xml:space="preserve"> </w:t>
      </w:r>
      <w:proofErr w:type="spellStart"/>
      <w:r w:rsidR="00114953" w:rsidRPr="00CD4311">
        <w:rPr>
          <w:rFonts w:ascii="Times New Roman" w:hAnsi="Times New Roman" w:cs="Times New Roman"/>
          <w:lang w:val="de-DE"/>
        </w:rPr>
        <w:t>var</w:t>
      </w:r>
      <w:proofErr w:type="spellEnd"/>
      <w:r w:rsidR="00114953" w:rsidRPr="00CD4311">
        <w:rPr>
          <w:rFonts w:ascii="Times New Roman" w:hAnsi="Times New Roman" w:cs="Times New Roman"/>
          <w:lang w:val="de-DE"/>
        </w:rPr>
        <w:t xml:space="preserve"> </w:t>
      </w:r>
      <w:proofErr w:type="spellStart"/>
      <w:r w:rsidR="00114953" w:rsidRPr="00CD4311">
        <w:rPr>
          <w:rFonts w:ascii="Times New Roman" w:hAnsi="Times New Roman" w:cs="Times New Roman"/>
          <w:lang w:val="de-DE"/>
        </w:rPr>
        <w:t>radīt</w:t>
      </w:r>
      <w:proofErr w:type="spellEnd"/>
      <w:r w:rsidR="00114953" w:rsidRPr="00CD4311">
        <w:rPr>
          <w:rFonts w:ascii="Times New Roman" w:hAnsi="Times New Roman" w:cs="Times New Roman"/>
          <w:lang w:val="de-DE"/>
        </w:rPr>
        <w:t xml:space="preserve"> </w:t>
      </w:r>
      <w:proofErr w:type="spellStart"/>
      <w:r w:rsidR="00114953" w:rsidRPr="00CD4311">
        <w:rPr>
          <w:rFonts w:ascii="Times New Roman" w:hAnsi="Times New Roman" w:cs="Times New Roman"/>
          <w:lang w:val="de-DE"/>
        </w:rPr>
        <w:t>pārpratumus</w:t>
      </w:r>
      <w:proofErr w:type="spellEnd"/>
      <w:r w:rsidR="00114953" w:rsidRPr="00CD4311">
        <w:rPr>
          <w:rFonts w:ascii="Times New Roman" w:hAnsi="Times New Roman" w:cs="Times New Roman"/>
          <w:lang w:val="de-DE"/>
        </w:rPr>
        <w:t xml:space="preserve">, </w:t>
      </w:r>
      <w:proofErr w:type="spellStart"/>
      <w:r w:rsidR="00114953" w:rsidRPr="00CD4311">
        <w:rPr>
          <w:rFonts w:ascii="Times New Roman" w:hAnsi="Times New Roman" w:cs="Times New Roman"/>
          <w:lang w:val="de-DE"/>
        </w:rPr>
        <w:t>uzskatot</w:t>
      </w:r>
      <w:proofErr w:type="spellEnd"/>
      <w:r w:rsidR="00114953" w:rsidRPr="00CD4311">
        <w:rPr>
          <w:rFonts w:ascii="Times New Roman" w:hAnsi="Times New Roman" w:cs="Times New Roman"/>
          <w:lang w:val="de-DE"/>
        </w:rPr>
        <w:t xml:space="preserve">, </w:t>
      </w:r>
      <w:proofErr w:type="spellStart"/>
      <w:r w:rsidR="00114953" w:rsidRPr="00CD4311">
        <w:rPr>
          <w:rFonts w:ascii="Times New Roman" w:hAnsi="Times New Roman" w:cs="Times New Roman"/>
          <w:lang w:val="de-DE"/>
        </w:rPr>
        <w:t>ka</w:t>
      </w:r>
      <w:proofErr w:type="spellEnd"/>
      <w:r w:rsidR="00114953" w:rsidRPr="00CD4311">
        <w:rPr>
          <w:rFonts w:ascii="Times New Roman" w:hAnsi="Times New Roman" w:cs="Times New Roman"/>
          <w:lang w:val="de-DE"/>
        </w:rPr>
        <w:t xml:space="preserve"> </w:t>
      </w:r>
      <w:proofErr w:type="spellStart"/>
      <w:r w:rsidR="00114953" w:rsidRPr="00CD4311">
        <w:rPr>
          <w:rFonts w:ascii="Times New Roman" w:hAnsi="Times New Roman" w:cs="Times New Roman"/>
          <w:lang w:val="de-DE"/>
        </w:rPr>
        <w:t>ar</w:t>
      </w:r>
      <w:proofErr w:type="spellEnd"/>
      <w:r w:rsidR="00114953" w:rsidRPr="00CD4311">
        <w:rPr>
          <w:rFonts w:ascii="Times New Roman" w:hAnsi="Times New Roman" w:cs="Times New Roman"/>
          <w:lang w:val="de-DE"/>
        </w:rPr>
        <w:t xml:space="preserve"> </w:t>
      </w:r>
      <w:proofErr w:type="spellStart"/>
      <w:r w:rsidR="00114953" w:rsidRPr="00CD4311">
        <w:rPr>
          <w:rFonts w:ascii="Times New Roman" w:hAnsi="Times New Roman" w:cs="Times New Roman"/>
          <w:lang w:val="de-DE"/>
        </w:rPr>
        <w:t>legalizācijas</w:t>
      </w:r>
      <w:proofErr w:type="spellEnd"/>
      <w:r w:rsidR="00114953" w:rsidRPr="00CD4311">
        <w:rPr>
          <w:rFonts w:ascii="Times New Roman" w:hAnsi="Times New Roman" w:cs="Times New Roman"/>
          <w:lang w:val="de-DE"/>
        </w:rPr>
        <w:t xml:space="preserve"> </w:t>
      </w:r>
      <w:proofErr w:type="spellStart"/>
      <w:r w:rsidR="00114953" w:rsidRPr="00CD4311">
        <w:rPr>
          <w:rFonts w:ascii="Times New Roman" w:hAnsi="Times New Roman" w:cs="Times New Roman"/>
          <w:lang w:val="de-DE"/>
        </w:rPr>
        <w:t>palīdzību</w:t>
      </w:r>
      <w:proofErr w:type="spellEnd"/>
      <w:r w:rsidR="00114953" w:rsidRPr="00CD4311">
        <w:rPr>
          <w:rFonts w:ascii="Times New Roman" w:hAnsi="Times New Roman" w:cs="Times New Roman"/>
          <w:lang w:val="de-DE"/>
        </w:rPr>
        <w:t xml:space="preserve"> </w:t>
      </w:r>
      <w:proofErr w:type="spellStart"/>
      <w:r w:rsidR="00114953" w:rsidRPr="00CD4311">
        <w:rPr>
          <w:rFonts w:ascii="Times New Roman" w:hAnsi="Times New Roman" w:cs="Times New Roman"/>
          <w:lang w:val="de-DE"/>
        </w:rPr>
        <w:t>ārvalsts</w:t>
      </w:r>
      <w:proofErr w:type="spellEnd"/>
      <w:r w:rsidR="00114953" w:rsidRPr="00CD4311">
        <w:rPr>
          <w:rFonts w:ascii="Times New Roman" w:hAnsi="Times New Roman" w:cs="Times New Roman"/>
          <w:lang w:val="de-DE"/>
        </w:rPr>
        <w:t xml:space="preserve"> </w:t>
      </w:r>
      <w:proofErr w:type="spellStart"/>
      <w:r w:rsidR="00114953" w:rsidRPr="00CD4311">
        <w:rPr>
          <w:rFonts w:ascii="Times New Roman" w:hAnsi="Times New Roman" w:cs="Times New Roman"/>
          <w:lang w:val="de-DE"/>
        </w:rPr>
        <w:t>publisks</w:t>
      </w:r>
      <w:proofErr w:type="spellEnd"/>
      <w:r w:rsidR="00114953" w:rsidRPr="00CD4311">
        <w:rPr>
          <w:rFonts w:ascii="Times New Roman" w:hAnsi="Times New Roman" w:cs="Times New Roman"/>
          <w:lang w:val="de-DE"/>
        </w:rPr>
        <w:t xml:space="preserve"> </w:t>
      </w:r>
      <w:proofErr w:type="spellStart"/>
      <w:r w:rsidR="00114953" w:rsidRPr="00CD4311">
        <w:rPr>
          <w:rFonts w:ascii="Times New Roman" w:hAnsi="Times New Roman" w:cs="Times New Roman"/>
          <w:lang w:val="de-DE"/>
        </w:rPr>
        <w:t>dokuments</w:t>
      </w:r>
      <w:proofErr w:type="spellEnd"/>
      <w:r w:rsidR="00114953" w:rsidRPr="00CD4311">
        <w:rPr>
          <w:rFonts w:ascii="Times New Roman" w:hAnsi="Times New Roman" w:cs="Times New Roman"/>
          <w:lang w:val="de-DE"/>
        </w:rPr>
        <w:t xml:space="preserve"> </w:t>
      </w:r>
      <w:proofErr w:type="spellStart"/>
      <w:r w:rsidR="00114953" w:rsidRPr="00CD4311">
        <w:rPr>
          <w:rFonts w:ascii="Times New Roman" w:hAnsi="Times New Roman" w:cs="Times New Roman"/>
          <w:lang w:val="de-DE"/>
        </w:rPr>
        <w:t>arī</w:t>
      </w:r>
      <w:proofErr w:type="spellEnd"/>
      <w:r w:rsidR="00114953" w:rsidRPr="00CD4311">
        <w:rPr>
          <w:rFonts w:ascii="Times New Roman" w:hAnsi="Times New Roman" w:cs="Times New Roman"/>
          <w:lang w:val="de-DE"/>
        </w:rPr>
        <w:t xml:space="preserve"> </w:t>
      </w:r>
      <w:proofErr w:type="spellStart"/>
      <w:r w:rsidR="00114953" w:rsidRPr="00CD4311">
        <w:rPr>
          <w:rFonts w:ascii="Times New Roman" w:hAnsi="Times New Roman" w:cs="Times New Roman"/>
          <w:lang w:val="de-DE"/>
        </w:rPr>
        <w:t>Latvijā</w:t>
      </w:r>
      <w:proofErr w:type="spellEnd"/>
      <w:r w:rsidR="00114953" w:rsidRPr="00CD4311">
        <w:rPr>
          <w:rFonts w:ascii="Times New Roman" w:hAnsi="Times New Roman" w:cs="Times New Roman"/>
          <w:lang w:val="de-DE"/>
        </w:rPr>
        <w:t xml:space="preserve"> </w:t>
      </w:r>
      <w:proofErr w:type="spellStart"/>
      <w:r w:rsidR="00114953" w:rsidRPr="00CD4311">
        <w:rPr>
          <w:rFonts w:ascii="Times New Roman" w:hAnsi="Times New Roman" w:cs="Times New Roman"/>
          <w:lang w:val="de-DE"/>
        </w:rPr>
        <w:t>automātiski</w:t>
      </w:r>
      <w:proofErr w:type="spellEnd"/>
      <w:r w:rsidR="00114953" w:rsidRPr="00CD4311">
        <w:rPr>
          <w:rFonts w:ascii="Times New Roman" w:hAnsi="Times New Roman" w:cs="Times New Roman"/>
          <w:lang w:val="de-DE"/>
        </w:rPr>
        <w:t xml:space="preserve"> </w:t>
      </w:r>
      <w:proofErr w:type="spellStart"/>
      <w:r w:rsidR="00114953" w:rsidRPr="00CD4311">
        <w:rPr>
          <w:rFonts w:ascii="Times New Roman" w:hAnsi="Times New Roman" w:cs="Times New Roman"/>
          <w:lang w:val="de-DE"/>
        </w:rPr>
        <w:t>kļūs</w:t>
      </w:r>
      <w:proofErr w:type="spellEnd"/>
      <w:r w:rsidR="00114953" w:rsidRPr="00CD4311">
        <w:rPr>
          <w:rFonts w:ascii="Times New Roman" w:hAnsi="Times New Roman" w:cs="Times New Roman"/>
          <w:lang w:val="de-DE"/>
        </w:rPr>
        <w:t xml:space="preserve"> par </w:t>
      </w:r>
      <w:proofErr w:type="spellStart"/>
      <w:r w:rsidR="00114953" w:rsidRPr="00CD4311">
        <w:rPr>
          <w:rFonts w:ascii="Times New Roman" w:hAnsi="Times New Roman" w:cs="Times New Roman"/>
          <w:lang w:val="de-DE"/>
        </w:rPr>
        <w:t>publisku</w:t>
      </w:r>
      <w:proofErr w:type="spellEnd"/>
      <w:r w:rsidR="00114953" w:rsidRPr="00CD4311">
        <w:rPr>
          <w:rFonts w:ascii="Times New Roman" w:hAnsi="Times New Roman" w:cs="Times New Roman"/>
          <w:lang w:val="de-DE"/>
        </w:rPr>
        <w:t xml:space="preserve"> </w:t>
      </w:r>
      <w:proofErr w:type="spellStart"/>
      <w:r w:rsidR="00114953" w:rsidRPr="00CD4311">
        <w:rPr>
          <w:rFonts w:ascii="Times New Roman" w:hAnsi="Times New Roman" w:cs="Times New Roman"/>
          <w:lang w:val="de-DE"/>
        </w:rPr>
        <w:t>dokumentu</w:t>
      </w:r>
      <w:proofErr w:type="spellEnd"/>
      <w:r w:rsidR="00114953" w:rsidRPr="00CD4311">
        <w:rPr>
          <w:rFonts w:ascii="Times New Roman" w:hAnsi="Times New Roman" w:cs="Times New Roman"/>
          <w:lang w:val="de-DE"/>
        </w:rPr>
        <w:t xml:space="preserve">. </w:t>
      </w:r>
      <w:proofErr w:type="spellStart"/>
      <w:r w:rsidR="00114953" w:rsidRPr="00CD4311">
        <w:rPr>
          <w:rFonts w:ascii="Times New Roman" w:hAnsi="Times New Roman" w:cs="Times New Roman"/>
          <w:lang w:val="de-DE"/>
        </w:rPr>
        <w:t>Šajā</w:t>
      </w:r>
      <w:proofErr w:type="spellEnd"/>
      <w:r w:rsidR="00114953" w:rsidRPr="00CD4311">
        <w:rPr>
          <w:rFonts w:ascii="Times New Roman" w:hAnsi="Times New Roman" w:cs="Times New Roman"/>
          <w:lang w:val="de-DE"/>
        </w:rPr>
        <w:t xml:space="preserve"> </w:t>
      </w:r>
      <w:proofErr w:type="spellStart"/>
      <w:r w:rsidR="00114953" w:rsidRPr="00CD4311">
        <w:rPr>
          <w:rFonts w:ascii="Times New Roman" w:hAnsi="Times New Roman" w:cs="Times New Roman"/>
          <w:lang w:val="de-DE"/>
        </w:rPr>
        <w:t>tiesību</w:t>
      </w:r>
      <w:proofErr w:type="spellEnd"/>
      <w:r w:rsidR="00114953" w:rsidRPr="00CD4311">
        <w:rPr>
          <w:rFonts w:ascii="Times New Roman" w:hAnsi="Times New Roman" w:cs="Times New Roman"/>
          <w:lang w:val="de-DE"/>
        </w:rPr>
        <w:t xml:space="preserve"> </w:t>
      </w:r>
      <w:proofErr w:type="spellStart"/>
      <w:r w:rsidR="00114953" w:rsidRPr="00CD4311">
        <w:rPr>
          <w:rFonts w:ascii="Times New Roman" w:hAnsi="Times New Roman" w:cs="Times New Roman"/>
          <w:lang w:val="de-DE"/>
        </w:rPr>
        <w:t>normā</w:t>
      </w:r>
      <w:proofErr w:type="spellEnd"/>
      <w:r w:rsidR="00114953" w:rsidRPr="00CD4311">
        <w:rPr>
          <w:rFonts w:ascii="Times New Roman" w:hAnsi="Times New Roman" w:cs="Times New Roman"/>
          <w:lang w:val="de-DE"/>
        </w:rPr>
        <w:t xml:space="preserve"> </w:t>
      </w:r>
      <w:proofErr w:type="spellStart"/>
      <w:r w:rsidR="00114953" w:rsidRPr="00CD4311">
        <w:rPr>
          <w:rFonts w:ascii="Times New Roman" w:hAnsi="Times New Roman" w:cs="Times New Roman"/>
          <w:lang w:val="de-DE"/>
        </w:rPr>
        <w:t>nav</w:t>
      </w:r>
      <w:proofErr w:type="spellEnd"/>
      <w:r w:rsidR="00114953" w:rsidRPr="00CD4311">
        <w:rPr>
          <w:rFonts w:ascii="Times New Roman" w:hAnsi="Times New Roman" w:cs="Times New Roman"/>
          <w:lang w:val="de-DE"/>
        </w:rPr>
        <w:t xml:space="preserve"> </w:t>
      </w:r>
      <w:proofErr w:type="spellStart"/>
      <w:r w:rsidR="00114953" w:rsidRPr="00CD4311">
        <w:rPr>
          <w:rFonts w:ascii="Times New Roman" w:hAnsi="Times New Roman" w:cs="Times New Roman"/>
          <w:lang w:val="de-DE"/>
        </w:rPr>
        <w:t>ņemts</w:t>
      </w:r>
      <w:proofErr w:type="spellEnd"/>
      <w:r w:rsidR="00114953" w:rsidRPr="00CD4311">
        <w:rPr>
          <w:rFonts w:ascii="Times New Roman" w:hAnsi="Times New Roman" w:cs="Times New Roman"/>
          <w:lang w:val="de-DE"/>
        </w:rPr>
        <w:t xml:space="preserve"> </w:t>
      </w:r>
      <w:proofErr w:type="spellStart"/>
      <w:r w:rsidR="00114953" w:rsidRPr="00CD4311">
        <w:rPr>
          <w:rFonts w:ascii="Times New Roman" w:hAnsi="Times New Roman" w:cs="Times New Roman"/>
          <w:lang w:val="de-DE"/>
        </w:rPr>
        <w:t>vērā</w:t>
      </w:r>
      <w:proofErr w:type="spellEnd"/>
      <w:r w:rsidR="00114953" w:rsidRPr="00CD4311">
        <w:rPr>
          <w:rFonts w:ascii="Times New Roman" w:hAnsi="Times New Roman" w:cs="Times New Roman"/>
          <w:lang w:val="de-DE"/>
        </w:rPr>
        <w:t xml:space="preserve"> </w:t>
      </w:r>
      <w:proofErr w:type="spellStart"/>
      <w:r w:rsidR="00114953" w:rsidRPr="00CD4311">
        <w:rPr>
          <w:rFonts w:ascii="Times New Roman" w:hAnsi="Times New Roman" w:cs="Times New Roman"/>
          <w:lang w:val="de-DE"/>
        </w:rPr>
        <w:t>tas</w:t>
      </w:r>
      <w:proofErr w:type="spellEnd"/>
      <w:r w:rsidR="00114953" w:rsidRPr="00CD4311">
        <w:rPr>
          <w:rFonts w:ascii="Times New Roman" w:hAnsi="Times New Roman" w:cs="Times New Roman"/>
          <w:lang w:val="de-DE"/>
        </w:rPr>
        <w:t xml:space="preserve">, </w:t>
      </w:r>
      <w:proofErr w:type="spellStart"/>
      <w:r w:rsidR="00114953" w:rsidRPr="00CD4311">
        <w:rPr>
          <w:rFonts w:ascii="Times New Roman" w:hAnsi="Times New Roman" w:cs="Times New Roman"/>
          <w:lang w:val="de-DE"/>
        </w:rPr>
        <w:t>ka</w:t>
      </w:r>
      <w:proofErr w:type="spellEnd"/>
      <w:r w:rsidR="00114953" w:rsidRPr="00CD4311">
        <w:rPr>
          <w:rFonts w:ascii="Times New Roman" w:hAnsi="Times New Roman" w:cs="Times New Roman"/>
          <w:lang w:val="de-DE"/>
        </w:rPr>
        <w:t xml:space="preserve">: </w:t>
      </w:r>
    </w:p>
    <w:p w14:paraId="41DCCB50" w14:textId="77777777" w:rsidR="00114953" w:rsidRPr="00CD4311" w:rsidRDefault="00114953" w:rsidP="00114953">
      <w:pPr>
        <w:ind w:firstLine="708"/>
        <w:jc w:val="both"/>
        <w:rPr>
          <w:rFonts w:ascii="Times New Roman" w:hAnsi="Times New Roman" w:cs="Times New Roman"/>
          <w:lang w:val="de-DE"/>
        </w:rPr>
      </w:pPr>
      <w:r w:rsidRPr="00CD4311">
        <w:rPr>
          <w:rFonts w:ascii="Times New Roman" w:hAnsi="Times New Roman" w:cs="Times New Roman"/>
          <w:lang w:val="de-DE"/>
        </w:rPr>
        <w:t xml:space="preserve">1) </w:t>
      </w:r>
      <w:proofErr w:type="spellStart"/>
      <w:r w:rsidRPr="00CD4311">
        <w:rPr>
          <w:rFonts w:ascii="Times New Roman" w:hAnsi="Times New Roman" w:cs="Times New Roman"/>
          <w:lang w:val="de-DE"/>
        </w:rPr>
        <w:t>valsts</w:t>
      </w:r>
      <w:proofErr w:type="spellEnd"/>
      <w:r w:rsidRPr="00CD4311">
        <w:rPr>
          <w:rFonts w:ascii="Times New Roman" w:hAnsi="Times New Roman" w:cs="Times New Roman"/>
          <w:lang w:val="de-DE"/>
        </w:rPr>
        <w:t xml:space="preserve">, </w:t>
      </w:r>
      <w:proofErr w:type="spellStart"/>
      <w:r w:rsidRPr="00CD4311">
        <w:rPr>
          <w:rFonts w:ascii="Times New Roman" w:hAnsi="Times New Roman" w:cs="Times New Roman"/>
          <w:lang w:val="de-DE"/>
        </w:rPr>
        <w:t>kurā</w:t>
      </w:r>
      <w:proofErr w:type="spellEnd"/>
      <w:r w:rsidRPr="00CD4311">
        <w:rPr>
          <w:rFonts w:ascii="Times New Roman" w:hAnsi="Times New Roman" w:cs="Times New Roman"/>
          <w:lang w:val="de-DE"/>
        </w:rPr>
        <w:t xml:space="preserve"> </w:t>
      </w:r>
      <w:proofErr w:type="spellStart"/>
      <w:r w:rsidRPr="00CD4311">
        <w:rPr>
          <w:rFonts w:ascii="Times New Roman" w:hAnsi="Times New Roman" w:cs="Times New Roman"/>
          <w:lang w:val="de-DE"/>
        </w:rPr>
        <w:t>ārvalsts</w:t>
      </w:r>
      <w:proofErr w:type="spellEnd"/>
      <w:r w:rsidRPr="00CD4311">
        <w:rPr>
          <w:rFonts w:ascii="Times New Roman" w:hAnsi="Times New Roman" w:cs="Times New Roman"/>
          <w:lang w:val="de-DE"/>
        </w:rPr>
        <w:t xml:space="preserve"> </w:t>
      </w:r>
      <w:proofErr w:type="spellStart"/>
      <w:r w:rsidRPr="00CD4311">
        <w:rPr>
          <w:rFonts w:ascii="Times New Roman" w:hAnsi="Times New Roman" w:cs="Times New Roman"/>
          <w:lang w:val="de-DE"/>
        </w:rPr>
        <w:t>dokuments</w:t>
      </w:r>
      <w:proofErr w:type="spellEnd"/>
      <w:r w:rsidRPr="00CD4311">
        <w:rPr>
          <w:rFonts w:ascii="Times New Roman" w:hAnsi="Times New Roman" w:cs="Times New Roman"/>
          <w:lang w:val="de-DE"/>
        </w:rPr>
        <w:t xml:space="preserve"> </w:t>
      </w:r>
      <w:proofErr w:type="spellStart"/>
      <w:r w:rsidRPr="00CD4311">
        <w:rPr>
          <w:rFonts w:ascii="Times New Roman" w:hAnsi="Times New Roman" w:cs="Times New Roman"/>
          <w:lang w:val="de-DE"/>
        </w:rPr>
        <w:t>ir</w:t>
      </w:r>
      <w:proofErr w:type="spellEnd"/>
      <w:r w:rsidRPr="00CD4311">
        <w:rPr>
          <w:rFonts w:ascii="Times New Roman" w:hAnsi="Times New Roman" w:cs="Times New Roman"/>
          <w:lang w:val="de-DE"/>
        </w:rPr>
        <w:t xml:space="preserve"> </w:t>
      </w:r>
      <w:proofErr w:type="spellStart"/>
      <w:r w:rsidRPr="00CD4311">
        <w:rPr>
          <w:rFonts w:ascii="Times New Roman" w:hAnsi="Times New Roman" w:cs="Times New Roman"/>
          <w:lang w:val="de-DE"/>
        </w:rPr>
        <w:t>iesniegts</w:t>
      </w:r>
      <w:proofErr w:type="spellEnd"/>
      <w:r w:rsidRPr="00CD4311">
        <w:rPr>
          <w:rFonts w:ascii="Times New Roman" w:hAnsi="Times New Roman" w:cs="Times New Roman"/>
          <w:lang w:val="de-DE"/>
        </w:rPr>
        <w:t xml:space="preserve">, </w:t>
      </w:r>
      <w:proofErr w:type="spellStart"/>
      <w:r w:rsidRPr="00CD4311">
        <w:rPr>
          <w:rFonts w:ascii="Times New Roman" w:hAnsi="Times New Roman" w:cs="Times New Roman"/>
          <w:lang w:val="de-DE"/>
        </w:rPr>
        <w:t>pati</w:t>
      </w:r>
      <w:proofErr w:type="spellEnd"/>
      <w:r w:rsidRPr="00CD4311">
        <w:rPr>
          <w:rFonts w:ascii="Times New Roman" w:hAnsi="Times New Roman" w:cs="Times New Roman"/>
          <w:lang w:val="de-DE"/>
        </w:rPr>
        <w:t xml:space="preserve"> </w:t>
      </w:r>
      <w:proofErr w:type="spellStart"/>
      <w:r w:rsidRPr="00CD4311">
        <w:rPr>
          <w:rFonts w:ascii="Times New Roman" w:hAnsi="Times New Roman" w:cs="Times New Roman"/>
          <w:lang w:val="de-DE"/>
        </w:rPr>
        <w:t>ir</w:t>
      </w:r>
      <w:proofErr w:type="spellEnd"/>
      <w:r w:rsidRPr="00CD4311">
        <w:rPr>
          <w:rFonts w:ascii="Times New Roman" w:hAnsi="Times New Roman" w:cs="Times New Roman"/>
          <w:lang w:val="de-DE"/>
        </w:rPr>
        <w:t xml:space="preserve"> </w:t>
      </w:r>
      <w:proofErr w:type="spellStart"/>
      <w:r w:rsidRPr="00CD4311">
        <w:rPr>
          <w:rFonts w:ascii="Times New Roman" w:hAnsi="Times New Roman" w:cs="Times New Roman"/>
          <w:lang w:val="de-DE"/>
        </w:rPr>
        <w:t>tiesīga</w:t>
      </w:r>
      <w:proofErr w:type="spellEnd"/>
      <w:r w:rsidRPr="00CD4311">
        <w:rPr>
          <w:rFonts w:ascii="Times New Roman" w:hAnsi="Times New Roman" w:cs="Times New Roman"/>
          <w:lang w:val="de-DE"/>
        </w:rPr>
        <w:t xml:space="preserve"> </w:t>
      </w:r>
      <w:proofErr w:type="spellStart"/>
      <w:r w:rsidRPr="00CD4311">
        <w:rPr>
          <w:rFonts w:ascii="Times New Roman" w:hAnsi="Times New Roman" w:cs="Times New Roman"/>
          <w:lang w:val="de-DE"/>
        </w:rPr>
        <w:t>noteikt</w:t>
      </w:r>
      <w:proofErr w:type="spellEnd"/>
      <w:r w:rsidRPr="00CD4311">
        <w:rPr>
          <w:rFonts w:ascii="Times New Roman" w:hAnsi="Times New Roman" w:cs="Times New Roman"/>
          <w:lang w:val="de-DE"/>
        </w:rPr>
        <w:t xml:space="preserve">, </w:t>
      </w:r>
      <w:proofErr w:type="spellStart"/>
      <w:r w:rsidRPr="00CD4311">
        <w:rPr>
          <w:rFonts w:ascii="Times New Roman" w:hAnsi="Times New Roman" w:cs="Times New Roman"/>
          <w:lang w:val="de-DE"/>
        </w:rPr>
        <w:t>vai</w:t>
      </w:r>
      <w:proofErr w:type="spellEnd"/>
      <w:r w:rsidRPr="00CD4311">
        <w:rPr>
          <w:rFonts w:ascii="Times New Roman" w:hAnsi="Times New Roman" w:cs="Times New Roman"/>
          <w:lang w:val="de-DE"/>
        </w:rPr>
        <w:t xml:space="preserve"> </w:t>
      </w:r>
      <w:proofErr w:type="spellStart"/>
      <w:r w:rsidRPr="00CD4311">
        <w:rPr>
          <w:rFonts w:ascii="Times New Roman" w:hAnsi="Times New Roman" w:cs="Times New Roman"/>
          <w:lang w:val="de-DE"/>
        </w:rPr>
        <w:t>tā</w:t>
      </w:r>
      <w:proofErr w:type="spellEnd"/>
      <w:r w:rsidRPr="00CD4311">
        <w:rPr>
          <w:rFonts w:ascii="Times New Roman" w:hAnsi="Times New Roman" w:cs="Times New Roman"/>
          <w:lang w:val="de-DE"/>
        </w:rPr>
        <w:t xml:space="preserve"> </w:t>
      </w:r>
      <w:proofErr w:type="spellStart"/>
      <w:r w:rsidRPr="00CD4311">
        <w:rPr>
          <w:rFonts w:ascii="Times New Roman" w:hAnsi="Times New Roman" w:cs="Times New Roman"/>
          <w:lang w:val="de-DE"/>
        </w:rPr>
        <w:t>to</w:t>
      </w:r>
      <w:proofErr w:type="spellEnd"/>
      <w:r w:rsidRPr="00CD4311">
        <w:rPr>
          <w:rFonts w:ascii="Times New Roman" w:hAnsi="Times New Roman" w:cs="Times New Roman"/>
          <w:lang w:val="de-DE"/>
        </w:rPr>
        <w:t xml:space="preserve"> </w:t>
      </w:r>
      <w:proofErr w:type="spellStart"/>
      <w:r w:rsidRPr="00CD4311">
        <w:rPr>
          <w:rFonts w:ascii="Times New Roman" w:hAnsi="Times New Roman" w:cs="Times New Roman"/>
          <w:lang w:val="de-DE"/>
        </w:rPr>
        <w:t>konkrētā</w:t>
      </w:r>
      <w:proofErr w:type="spellEnd"/>
      <w:r w:rsidRPr="00CD4311">
        <w:rPr>
          <w:rFonts w:ascii="Times New Roman" w:hAnsi="Times New Roman" w:cs="Times New Roman"/>
          <w:lang w:val="de-DE"/>
        </w:rPr>
        <w:t xml:space="preserve"> </w:t>
      </w:r>
      <w:proofErr w:type="spellStart"/>
      <w:r w:rsidRPr="00CD4311">
        <w:rPr>
          <w:rFonts w:ascii="Times New Roman" w:hAnsi="Times New Roman" w:cs="Times New Roman"/>
          <w:lang w:val="de-DE"/>
        </w:rPr>
        <w:t>situācijā</w:t>
      </w:r>
      <w:proofErr w:type="spellEnd"/>
      <w:r w:rsidRPr="00CD4311">
        <w:rPr>
          <w:rFonts w:ascii="Times New Roman" w:hAnsi="Times New Roman" w:cs="Times New Roman"/>
          <w:lang w:val="de-DE"/>
        </w:rPr>
        <w:t xml:space="preserve"> </w:t>
      </w:r>
      <w:proofErr w:type="spellStart"/>
      <w:r w:rsidRPr="00CD4311">
        <w:rPr>
          <w:rFonts w:ascii="Times New Roman" w:hAnsi="Times New Roman" w:cs="Times New Roman"/>
          <w:lang w:val="de-DE"/>
        </w:rPr>
        <w:t>uzskatīs</w:t>
      </w:r>
      <w:proofErr w:type="spellEnd"/>
      <w:r w:rsidRPr="00CD4311">
        <w:rPr>
          <w:rFonts w:ascii="Times New Roman" w:hAnsi="Times New Roman" w:cs="Times New Roman"/>
          <w:lang w:val="de-DE"/>
        </w:rPr>
        <w:t xml:space="preserve"> par „</w:t>
      </w:r>
      <w:proofErr w:type="spellStart"/>
      <w:r w:rsidRPr="00CD4311">
        <w:rPr>
          <w:rFonts w:ascii="Times New Roman" w:hAnsi="Times New Roman" w:cs="Times New Roman"/>
          <w:lang w:val="de-DE"/>
        </w:rPr>
        <w:t>publisku</w:t>
      </w:r>
      <w:proofErr w:type="spellEnd"/>
      <w:r w:rsidRPr="00CD4311">
        <w:rPr>
          <w:rFonts w:ascii="Times New Roman" w:hAnsi="Times New Roman" w:cs="Times New Roman"/>
          <w:lang w:val="de-DE"/>
        </w:rPr>
        <w:t xml:space="preserve"> </w:t>
      </w:r>
      <w:proofErr w:type="spellStart"/>
      <w:r w:rsidRPr="00CD4311">
        <w:rPr>
          <w:rFonts w:ascii="Times New Roman" w:hAnsi="Times New Roman" w:cs="Times New Roman"/>
          <w:lang w:val="de-DE"/>
        </w:rPr>
        <w:t>dokumentu</w:t>
      </w:r>
      <w:proofErr w:type="spellEnd"/>
      <w:r w:rsidRPr="00CD4311">
        <w:rPr>
          <w:rFonts w:ascii="Times New Roman" w:hAnsi="Times New Roman" w:cs="Times New Roman"/>
          <w:lang w:val="de-DE"/>
        </w:rPr>
        <w:t xml:space="preserve">“, </w:t>
      </w:r>
      <w:proofErr w:type="spellStart"/>
      <w:r w:rsidRPr="00CD4311">
        <w:rPr>
          <w:rFonts w:ascii="Times New Roman" w:hAnsi="Times New Roman" w:cs="Times New Roman"/>
          <w:lang w:val="de-DE"/>
        </w:rPr>
        <w:t>vai</w:t>
      </w:r>
      <w:proofErr w:type="spellEnd"/>
      <w:r w:rsidRPr="00CD4311">
        <w:rPr>
          <w:rFonts w:ascii="Times New Roman" w:hAnsi="Times New Roman" w:cs="Times New Roman"/>
          <w:lang w:val="de-DE"/>
        </w:rPr>
        <w:t xml:space="preserve"> par „</w:t>
      </w:r>
      <w:proofErr w:type="spellStart"/>
      <w:r w:rsidRPr="00CD4311">
        <w:rPr>
          <w:rFonts w:ascii="Times New Roman" w:hAnsi="Times New Roman" w:cs="Times New Roman"/>
          <w:lang w:val="de-DE"/>
        </w:rPr>
        <w:t>privātu</w:t>
      </w:r>
      <w:proofErr w:type="spellEnd"/>
      <w:r w:rsidRPr="00CD4311">
        <w:rPr>
          <w:rFonts w:ascii="Times New Roman" w:hAnsi="Times New Roman" w:cs="Times New Roman"/>
          <w:lang w:val="de-DE"/>
        </w:rPr>
        <w:t xml:space="preserve"> </w:t>
      </w:r>
      <w:proofErr w:type="spellStart"/>
      <w:r w:rsidRPr="00CD4311">
        <w:rPr>
          <w:rFonts w:ascii="Times New Roman" w:hAnsi="Times New Roman" w:cs="Times New Roman"/>
          <w:lang w:val="de-DE"/>
        </w:rPr>
        <w:t>dokumentu</w:t>
      </w:r>
      <w:proofErr w:type="spellEnd"/>
      <w:r w:rsidRPr="00CD4311">
        <w:rPr>
          <w:rFonts w:ascii="Times New Roman" w:hAnsi="Times New Roman" w:cs="Times New Roman"/>
          <w:lang w:val="de-DE"/>
        </w:rPr>
        <w:t xml:space="preserve">“, </w:t>
      </w:r>
      <w:proofErr w:type="spellStart"/>
      <w:r w:rsidRPr="00CD4311">
        <w:rPr>
          <w:rFonts w:ascii="Times New Roman" w:hAnsi="Times New Roman" w:cs="Times New Roman"/>
          <w:lang w:val="de-DE"/>
        </w:rPr>
        <w:t>kā</w:t>
      </w:r>
      <w:proofErr w:type="spellEnd"/>
      <w:r w:rsidRPr="00CD4311">
        <w:rPr>
          <w:rFonts w:ascii="Times New Roman" w:hAnsi="Times New Roman" w:cs="Times New Roman"/>
          <w:lang w:val="de-DE"/>
        </w:rPr>
        <w:t xml:space="preserve"> </w:t>
      </w:r>
      <w:proofErr w:type="spellStart"/>
      <w:r w:rsidRPr="00CD4311">
        <w:rPr>
          <w:rFonts w:ascii="Times New Roman" w:hAnsi="Times New Roman" w:cs="Times New Roman"/>
          <w:lang w:val="de-DE"/>
        </w:rPr>
        <w:t>arī</w:t>
      </w:r>
      <w:proofErr w:type="spellEnd"/>
      <w:r w:rsidRPr="00CD4311">
        <w:rPr>
          <w:rFonts w:ascii="Times New Roman" w:hAnsi="Times New Roman" w:cs="Times New Roman"/>
          <w:lang w:val="de-DE"/>
        </w:rPr>
        <w:t xml:space="preserve"> </w:t>
      </w:r>
      <w:proofErr w:type="spellStart"/>
      <w:r w:rsidRPr="00CD4311">
        <w:rPr>
          <w:rFonts w:ascii="Times New Roman" w:hAnsi="Times New Roman" w:cs="Times New Roman"/>
          <w:lang w:val="de-DE"/>
        </w:rPr>
        <w:t>noteikt</w:t>
      </w:r>
      <w:proofErr w:type="spellEnd"/>
      <w:r w:rsidRPr="00CD4311">
        <w:rPr>
          <w:rFonts w:ascii="Times New Roman" w:hAnsi="Times New Roman" w:cs="Times New Roman"/>
          <w:lang w:val="de-DE"/>
        </w:rPr>
        <w:t xml:space="preserve">, kur </w:t>
      </w:r>
      <w:proofErr w:type="spellStart"/>
      <w:r w:rsidRPr="00CD4311">
        <w:rPr>
          <w:rFonts w:ascii="Times New Roman" w:hAnsi="Times New Roman" w:cs="Times New Roman"/>
          <w:lang w:val="de-DE"/>
        </w:rPr>
        <w:t>un</w:t>
      </w:r>
      <w:proofErr w:type="spellEnd"/>
      <w:r w:rsidRPr="00CD4311">
        <w:rPr>
          <w:rFonts w:ascii="Times New Roman" w:hAnsi="Times New Roman" w:cs="Times New Roman"/>
          <w:lang w:val="de-DE"/>
        </w:rPr>
        <w:t xml:space="preserve"> </w:t>
      </w:r>
      <w:proofErr w:type="spellStart"/>
      <w:r w:rsidRPr="00CD4311">
        <w:rPr>
          <w:rFonts w:ascii="Times New Roman" w:hAnsi="Times New Roman" w:cs="Times New Roman"/>
          <w:lang w:val="de-DE"/>
        </w:rPr>
        <w:t>kā</w:t>
      </w:r>
      <w:proofErr w:type="spellEnd"/>
      <w:r w:rsidRPr="00CD4311">
        <w:rPr>
          <w:rFonts w:ascii="Times New Roman" w:hAnsi="Times New Roman" w:cs="Times New Roman"/>
          <w:lang w:val="de-DE"/>
        </w:rPr>
        <w:t xml:space="preserve"> </w:t>
      </w:r>
      <w:proofErr w:type="spellStart"/>
      <w:r w:rsidRPr="00CD4311">
        <w:rPr>
          <w:rFonts w:ascii="Times New Roman" w:hAnsi="Times New Roman" w:cs="Times New Roman"/>
          <w:lang w:val="de-DE"/>
        </w:rPr>
        <w:t>šāds</w:t>
      </w:r>
      <w:proofErr w:type="spellEnd"/>
      <w:r w:rsidRPr="00CD4311">
        <w:rPr>
          <w:rFonts w:ascii="Times New Roman" w:hAnsi="Times New Roman" w:cs="Times New Roman"/>
          <w:lang w:val="de-DE"/>
        </w:rPr>
        <w:t xml:space="preserve"> </w:t>
      </w:r>
      <w:proofErr w:type="spellStart"/>
      <w:r w:rsidRPr="00CD4311">
        <w:rPr>
          <w:rFonts w:ascii="Times New Roman" w:hAnsi="Times New Roman" w:cs="Times New Roman"/>
          <w:lang w:val="de-DE"/>
        </w:rPr>
        <w:t>dokuments</w:t>
      </w:r>
      <w:proofErr w:type="spellEnd"/>
      <w:r w:rsidRPr="00CD4311">
        <w:rPr>
          <w:rFonts w:ascii="Times New Roman" w:hAnsi="Times New Roman" w:cs="Times New Roman"/>
          <w:lang w:val="de-DE"/>
        </w:rPr>
        <w:t xml:space="preserve"> </w:t>
      </w:r>
      <w:proofErr w:type="spellStart"/>
      <w:r w:rsidRPr="00CD4311">
        <w:rPr>
          <w:rFonts w:ascii="Times New Roman" w:hAnsi="Times New Roman" w:cs="Times New Roman"/>
          <w:lang w:val="de-DE"/>
        </w:rPr>
        <w:t>var</w:t>
      </w:r>
      <w:proofErr w:type="spellEnd"/>
      <w:r w:rsidRPr="00CD4311">
        <w:rPr>
          <w:rFonts w:ascii="Times New Roman" w:hAnsi="Times New Roman" w:cs="Times New Roman"/>
          <w:lang w:val="de-DE"/>
        </w:rPr>
        <w:t xml:space="preserve"> </w:t>
      </w:r>
      <w:proofErr w:type="spellStart"/>
      <w:r w:rsidRPr="00CD4311">
        <w:rPr>
          <w:rFonts w:ascii="Times New Roman" w:hAnsi="Times New Roman" w:cs="Times New Roman"/>
          <w:lang w:val="de-DE"/>
        </w:rPr>
        <w:t>tikt</w:t>
      </w:r>
      <w:proofErr w:type="spellEnd"/>
      <w:r w:rsidRPr="00CD4311">
        <w:rPr>
          <w:rFonts w:ascii="Times New Roman" w:hAnsi="Times New Roman" w:cs="Times New Roman"/>
          <w:lang w:val="de-DE"/>
        </w:rPr>
        <w:t xml:space="preserve"> </w:t>
      </w:r>
      <w:proofErr w:type="spellStart"/>
      <w:r w:rsidRPr="00CD4311">
        <w:rPr>
          <w:rFonts w:ascii="Times New Roman" w:hAnsi="Times New Roman" w:cs="Times New Roman"/>
          <w:lang w:val="de-DE"/>
        </w:rPr>
        <w:t>izmantots</w:t>
      </w:r>
      <w:proofErr w:type="spellEnd"/>
      <w:r w:rsidRPr="00CD4311">
        <w:rPr>
          <w:rStyle w:val="FootnoteReference"/>
          <w:rFonts w:ascii="Times New Roman" w:hAnsi="Times New Roman" w:cs="Times New Roman"/>
          <w:lang w:val="de-DE"/>
        </w:rPr>
        <w:footnoteReference w:id="129"/>
      </w:r>
      <w:r w:rsidRPr="00CD4311">
        <w:rPr>
          <w:rFonts w:ascii="Times New Roman" w:hAnsi="Times New Roman" w:cs="Times New Roman"/>
          <w:lang w:val="de-DE"/>
        </w:rPr>
        <w:t>;</w:t>
      </w:r>
    </w:p>
    <w:p w14:paraId="4E70A64F" w14:textId="71C7A1D5" w:rsidR="00114953" w:rsidRPr="00CD4311" w:rsidRDefault="00114953" w:rsidP="00114953">
      <w:pPr>
        <w:ind w:firstLine="708"/>
        <w:jc w:val="both"/>
        <w:rPr>
          <w:rFonts w:ascii="Times New Roman" w:hAnsi="Times New Roman" w:cs="Times New Roman"/>
          <w:lang w:val="de-DE"/>
        </w:rPr>
      </w:pPr>
      <w:r w:rsidRPr="00CD4311">
        <w:rPr>
          <w:rFonts w:ascii="Times New Roman" w:hAnsi="Times New Roman" w:cs="Times New Roman"/>
          <w:lang w:val="de-DE"/>
        </w:rPr>
        <w:t xml:space="preserve">2) </w:t>
      </w:r>
      <w:proofErr w:type="spellStart"/>
      <w:r w:rsidRPr="00CD4311">
        <w:rPr>
          <w:rFonts w:ascii="Times New Roman" w:hAnsi="Times New Roman" w:cs="Times New Roman"/>
          <w:lang w:val="de-DE"/>
        </w:rPr>
        <w:t>lasot</w:t>
      </w:r>
      <w:proofErr w:type="spellEnd"/>
      <w:r w:rsidRPr="00CD4311">
        <w:rPr>
          <w:rFonts w:ascii="Times New Roman" w:hAnsi="Times New Roman" w:cs="Times New Roman"/>
          <w:lang w:val="de-DE"/>
        </w:rPr>
        <w:t xml:space="preserve"> </w:t>
      </w:r>
      <w:proofErr w:type="spellStart"/>
      <w:r w:rsidRPr="00CD4311">
        <w:rPr>
          <w:rFonts w:ascii="Times New Roman" w:hAnsi="Times New Roman" w:cs="Times New Roman"/>
          <w:lang w:val="de-DE"/>
        </w:rPr>
        <w:t>šo</w:t>
      </w:r>
      <w:proofErr w:type="spellEnd"/>
      <w:r w:rsidRPr="00CD4311">
        <w:rPr>
          <w:rFonts w:ascii="Times New Roman" w:hAnsi="Times New Roman" w:cs="Times New Roman"/>
          <w:lang w:val="de-DE"/>
        </w:rPr>
        <w:t xml:space="preserve"> </w:t>
      </w:r>
      <w:proofErr w:type="spellStart"/>
      <w:r w:rsidRPr="00CD4311">
        <w:rPr>
          <w:rFonts w:ascii="Times New Roman" w:hAnsi="Times New Roman" w:cs="Times New Roman"/>
          <w:lang w:val="de-DE"/>
        </w:rPr>
        <w:t>tiesību</w:t>
      </w:r>
      <w:proofErr w:type="spellEnd"/>
      <w:r w:rsidRPr="00CD4311">
        <w:rPr>
          <w:rFonts w:ascii="Times New Roman" w:hAnsi="Times New Roman" w:cs="Times New Roman"/>
          <w:lang w:val="de-DE"/>
        </w:rPr>
        <w:t xml:space="preserve"> </w:t>
      </w:r>
      <w:proofErr w:type="spellStart"/>
      <w:r w:rsidRPr="00CD4311">
        <w:rPr>
          <w:rFonts w:ascii="Times New Roman" w:hAnsi="Times New Roman" w:cs="Times New Roman"/>
          <w:lang w:val="de-DE"/>
        </w:rPr>
        <w:t>normu</w:t>
      </w:r>
      <w:proofErr w:type="spellEnd"/>
      <w:r w:rsidRPr="00CD4311">
        <w:rPr>
          <w:rFonts w:ascii="Times New Roman" w:hAnsi="Times New Roman" w:cs="Times New Roman"/>
          <w:lang w:val="de-DE"/>
        </w:rPr>
        <w:t xml:space="preserve"> </w:t>
      </w:r>
      <w:proofErr w:type="spellStart"/>
      <w:r w:rsidRPr="00CD4311">
        <w:rPr>
          <w:rFonts w:ascii="Times New Roman" w:hAnsi="Times New Roman" w:cs="Times New Roman"/>
          <w:lang w:val="de-DE"/>
        </w:rPr>
        <w:t>sistēmiski</w:t>
      </w:r>
      <w:proofErr w:type="spellEnd"/>
      <w:r w:rsidRPr="00CD4311">
        <w:rPr>
          <w:rFonts w:ascii="Times New Roman" w:hAnsi="Times New Roman" w:cs="Times New Roman"/>
          <w:lang w:val="de-DE"/>
        </w:rPr>
        <w:t xml:space="preserve"> </w:t>
      </w:r>
      <w:proofErr w:type="spellStart"/>
      <w:r w:rsidRPr="00CD4311">
        <w:rPr>
          <w:rFonts w:ascii="Times New Roman" w:hAnsi="Times New Roman" w:cs="Times New Roman"/>
          <w:lang w:val="de-DE"/>
        </w:rPr>
        <w:t>kopā</w:t>
      </w:r>
      <w:proofErr w:type="spellEnd"/>
      <w:r w:rsidRPr="00CD4311">
        <w:rPr>
          <w:rFonts w:ascii="Times New Roman" w:hAnsi="Times New Roman" w:cs="Times New Roman"/>
          <w:lang w:val="de-DE"/>
        </w:rPr>
        <w:t xml:space="preserve"> </w:t>
      </w:r>
      <w:proofErr w:type="spellStart"/>
      <w:r w:rsidRPr="00CD4311">
        <w:rPr>
          <w:rFonts w:ascii="Times New Roman" w:hAnsi="Times New Roman" w:cs="Times New Roman"/>
          <w:lang w:val="de-DE"/>
        </w:rPr>
        <w:t>ar</w:t>
      </w:r>
      <w:proofErr w:type="spellEnd"/>
      <w:r w:rsidRPr="00CD4311">
        <w:rPr>
          <w:rFonts w:ascii="Times New Roman" w:hAnsi="Times New Roman" w:cs="Times New Roman"/>
          <w:lang w:val="de-DE"/>
        </w:rPr>
        <w:t xml:space="preserve"> </w:t>
      </w:r>
      <w:proofErr w:type="spellStart"/>
      <w:r w:rsidRPr="00CD4311">
        <w:rPr>
          <w:rFonts w:ascii="Times New Roman" w:hAnsi="Times New Roman" w:cs="Times New Roman"/>
          <w:lang w:val="de-DE"/>
        </w:rPr>
        <w:t>Dokumentu</w:t>
      </w:r>
      <w:proofErr w:type="spellEnd"/>
      <w:r w:rsidRPr="00CD4311">
        <w:rPr>
          <w:rFonts w:ascii="Times New Roman" w:hAnsi="Times New Roman" w:cs="Times New Roman"/>
          <w:lang w:val="de-DE"/>
        </w:rPr>
        <w:t xml:space="preserve"> </w:t>
      </w:r>
      <w:proofErr w:type="spellStart"/>
      <w:r w:rsidRPr="00CD4311">
        <w:rPr>
          <w:rFonts w:ascii="Times New Roman" w:hAnsi="Times New Roman" w:cs="Times New Roman"/>
          <w:lang w:val="de-DE"/>
        </w:rPr>
        <w:t>legalizācijas</w:t>
      </w:r>
      <w:proofErr w:type="spellEnd"/>
      <w:r w:rsidR="00C22C4E">
        <w:rPr>
          <w:rFonts w:ascii="Times New Roman" w:hAnsi="Times New Roman" w:cs="Times New Roman"/>
          <w:lang w:val="de-DE"/>
        </w:rPr>
        <w:t xml:space="preserve"> </w:t>
      </w:r>
      <w:proofErr w:type="spellStart"/>
      <w:r w:rsidR="00C22C4E">
        <w:rPr>
          <w:rFonts w:ascii="Times New Roman" w:hAnsi="Times New Roman" w:cs="Times New Roman"/>
          <w:lang w:val="de-DE"/>
        </w:rPr>
        <w:t>likuma</w:t>
      </w:r>
      <w:proofErr w:type="spellEnd"/>
      <w:r w:rsidR="00C22C4E">
        <w:rPr>
          <w:rFonts w:ascii="Times New Roman" w:hAnsi="Times New Roman" w:cs="Times New Roman"/>
          <w:lang w:val="de-DE"/>
        </w:rPr>
        <w:t xml:space="preserve"> 2.panta 2.punktu </w:t>
      </w:r>
      <w:proofErr w:type="spellStart"/>
      <w:r w:rsidR="00C22C4E">
        <w:rPr>
          <w:rFonts w:ascii="Times New Roman" w:hAnsi="Times New Roman" w:cs="Times New Roman"/>
          <w:lang w:val="de-DE"/>
        </w:rPr>
        <w:t>un</w:t>
      </w:r>
      <w:proofErr w:type="spellEnd"/>
      <w:r w:rsidR="00C22C4E">
        <w:rPr>
          <w:rFonts w:ascii="Times New Roman" w:hAnsi="Times New Roman" w:cs="Times New Roman"/>
          <w:lang w:val="de-DE"/>
        </w:rPr>
        <w:t xml:space="preserve"> </w:t>
      </w:r>
      <w:proofErr w:type="spellStart"/>
      <w:r w:rsidR="00C22C4E">
        <w:rPr>
          <w:rFonts w:ascii="Times New Roman" w:hAnsi="Times New Roman" w:cs="Times New Roman"/>
          <w:lang w:val="de-DE"/>
        </w:rPr>
        <w:t>Hāgas</w:t>
      </w:r>
      <w:proofErr w:type="spellEnd"/>
      <w:r w:rsidRPr="00CD4311">
        <w:rPr>
          <w:rFonts w:ascii="Times New Roman" w:hAnsi="Times New Roman" w:cs="Times New Roman"/>
          <w:lang w:val="de-DE"/>
        </w:rPr>
        <w:t xml:space="preserve"> </w:t>
      </w:r>
      <w:proofErr w:type="spellStart"/>
      <w:r w:rsidRPr="00CD4311">
        <w:rPr>
          <w:rFonts w:ascii="Times New Roman" w:hAnsi="Times New Roman" w:cs="Times New Roman"/>
          <w:lang w:val="de-DE"/>
        </w:rPr>
        <w:t>Dokumentu</w:t>
      </w:r>
      <w:proofErr w:type="spellEnd"/>
      <w:r w:rsidRPr="00CD4311">
        <w:rPr>
          <w:rFonts w:ascii="Times New Roman" w:hAnsi="Times New Roman" w:cs="Times New Roman"/>
          <w:lang w:val="de-DE"/>
        </w:rPr>
        <w:t xml:space="preserve"> </w:t>
      </w:r>
      <w:proofErr w:type="spellStart"/>
      <w:r w:rsidRPr="00CD4311">
        <w:rPr>
          <w:rFonts w:ascii="Times New Roman" w:hAnsi="Times New Roman" w:cs="Times New Roman"/>
          <w:lang w:val="de-DE"/>
        </w:rPr>
        <w:t>legalizācijas</w:t>
      </w:r>
      <w:proofErr w:type="spellEnd"/>
      <w:r w:rsidRPr="00CD4311">
        <w:rPr>
          <w:rFonts w:ascii="Times New Roman" w:hAnsi="Times New Roman" w:cs="Times New Roman"/>
          <w:lang w:val="de-DE"/>
        </w:rPr>
        <w:t xml:space="preserve"> </w:t>
      </w:r>
      <w:proofErr w:type="spellStart"/>
      <w:r w:rsidRPr="00CD4311">
        <w:rPr>
          <w:rFonts w:ascii="Times New Roman" w:hAnsi="Times New Roman" w:cs="Times New Roman"/>
          <w:lang w:val="de-DE"/>
        </w:rPr>
        <w:t>atcelšanas</w:t>
      </w:r>
      <w:proofErr w:type="spellEnd"/>
      <w:r w:rsidRPr="00CD4311">
        <w:rPr>
          <w:rFonts w:ascii="Times New Roman" w:hAnsi="Times New Roman" w:cs="Times New Roman"/>
          <w:lang w:val="de-DE"/>
        </w:rPr>
        <w:t xml:space="preserve"> </w:t>
      </w:r>
      <w:proofErr w:type="spellStart"/>
      <w:r w:rsidRPr="00CD4311">
        <w:rPr>
          <w:rFonts w:ascii="Times New Roman" w:hAnsi="Times New Roman" w:cs="Times New Roman"/>
          <w:lang w:val="de-DE"/>
        </w:rPr>
        <w:t>konvencijas</w:t>
      </w:r>
      <w:proofErr w:type="spellEnd"/>
      <w:r w:rsidRPr="00CD4311">
        <w:rPr>
          <w:rFonts w:ascii="Times New Roman" w:hAnsi="Times New Roman" w:cs="Times New Roman"/>
          <w:lang w:val="de-DE"/>
        </w:rPr>
        <w:t xml:space="preserve"> 1.panta 2.pu</w:t>
      </w:r>
      <w:r w:rsidR="00C22C4E">
        <w:rPr>
          <w:rFonts w:ascii="Times New Roman" w:hAnsi="Times New Roman" w:cs="Times New Roman"/>
          <w:lang w:val="de-DE"/>
        </w:rPr>
        <w:t>n</w:t>
      </w:r>
      <w:r w:rsidRPr="00CD4311">
        <w:rPr>
          <w:rFonts w:ascii="Times New Roman" w:hAnsi="Times New Roman" w:cs="Times New Roman"/>
          <w:lang w:val="de-DE"/>
        </w:rPr>
        <w:t xml:space="preserve">kta „d“ </w:t>
      </w:r>
      <w:proofErr w:type="spellStart"/>
      <w:r w:rsidRPr="00CD4311">
        <w:rPr>
          <w:rFonts w:ascii="Times New Roman" w:hAnsi="Times New Roman" w:cs="Times New Roman"/>
          <w:lang w:val="de-DE"/>
        </w:rPr>
        <w:t>apakšpunktu</w:t>
      </w:r>
      <w:proofErr w:type="spellEnd"/>
      <w:r w:rsidRPr="00CD4311">
        <w:rPr>
          <w:rFonts w:ascii="Times New Roman" w:hAnsi="Times New Roman" w:cs="Times New Roman"/>
          <w:lang w:val="de-DE"/>
        </w:rPr>
        <w:t xml:space="preserve">, </w:t>
      </w:r>
      <w:proofErr w:type="spellStart"/>
      <w:r w:rsidRPr="00CD4311">
        <w:rPr>
          <w:rFonts w:ascii="Times New Roman" w:hAnsi="Times New Roman" w:cs="Times New Roman"/>
          <w:lang w:val="de-DE"/>
        </w:rPr>
        <w:t>ir</w:t>
      </w:r>
      <w:proofErr w:type="spellEnd"/>
      <w:r w:rsidRPr="00CD4311">
        <w:rPr>
          <w:rFonts w:ascii="Times New Roman" w:hAnsi="Times New Roman" w:cs="Times New Roman"/>
          <w:lang w:val="de-DE"/>
        </w:rPr>
        <w:t xml:space="preserve"> </w:t>
      </w:r>
      <w:proofErr w:type="spellStart"/>
      <w:r w:rsidRPr="00CD4311">
        <w:rPr>
          <w:rFonts w:ascii="Times New Roman" w:hAnsi="Times New Roman" w:cs="Times New Roman"/>
          <w:lang w:val="de-DE"/>
        </w:rPr>
        <w:t>jāsaprot</w:t>
      </w:r>
      <w:proofErr w:type="spellEnd"/>
      <w:r w:rsidRPr="00CD4311">
        <w:rPr>
          <w:rFonts w:ascii="Times New Roman" w:hAnsi="Times New Roman" w:cs="Times New Roman"/>
          <w:lang w:val="de-DE"/>
        </w:rPr>
        <w:t xml:space="preserve">, </w:t>
      </w:r>
      <w:proofErr w:type="spellStart"/>
      <w:r w:rsidRPr="00CD4311">
        <w:rPr>
          <w:rFonts w:ascii="Times New Roman" w:hAnsi="Times New Roman" w:cs="Times New Roman"/>
          <w:lang w:val="de-DE"/>
        </w:rPr>
        <w:t>ka</w:t>
      </w:r>
      <w:proofErr w:type="spellEnd"/>
      <w:r w:rsidRPr="00CD4311">
        <w:rPr>
          <w:rFonts w:ascii="Times New Roman" w:hAnsi="Times New Roman" w:cs="Times New Roman"/>
          <w:lang w:val="de-DE"/>
        </w:rPr>
        <w:t xml:space="preserve"> </w:t>
      </w:r>
      <w:proofErr w:type="spellStart"/>
      <w:r w:rsidRPr="00CD4311">
        <w:rPr>
          <w:rFonts w:ascii="Times New Roman" w:hAnsi="Times New Roman" w:cs="Times New Roman"/>
          <w:lang w:val="de-DE"/>
        </w:rPr>
        <w:t>oficiāli</w:t>
      </w:r>
      <w:proofErr w:type="spellEnd"/>
      <w:r w:rsidRPr="00CD4311">
        <w:rPr>
          <w:rFonts w:ascii="Times New Roman" w:hAnsi="Times New Roman" w:cs="Times New Roman"/>
          <w:lang w:val="de-DE"/>
        </w:rPr>
        <w:t xml:space="preserve"> </w:t>
      </w:r>
      <w:proofErr w:type="spellStart"/>
      <w:r w:rsidRPr="00CD4311">
        <w:rPr>
          <w:rFonts w:ascii="Times New Roman" w:hAnsi="Times New Roman" w:cs="Times New Roman"/>
          <w:lang w:val="de-DE"/>
        </w:rPr>
        <w:t>apliecināto</w:t>
      </w:r>
      <w:proofErr w:type="spellEnd"/>
      <w:r w:rsidRPr="00CD4311">
        <w:rPr>
          <w:rFonts w:ascii="Times New Roman" w:hAnsi="Times New Roman" w:cs="Times New Roman"/>
          <w:lang w:val="de-DE"/>
        </w:rPr>
        <w:t xml:space="preserve"> </w:t>
      </w:r>
      <w:proofErr w:type="spellStart"/>
      <w:r w:rsidRPr="00CD4311">
        <w:rPr>
          <w:rFonts w:ascii="Times New Roman" w:hAnsi="Times New Roman" w:cs="Times New Roman"/>
          <w:lang w:val="de-DE"/>
        </w:rPr>
        <w:t>dokumentu</w:t>
      </w:r>
      <w:proofErr w:type="spellEnd"/>
      <w:r w:rsidRPr="00CD4311">
        <w:rPr>
          <w:rFonts w:ascii="Times New Roman" w:hAnsi="Times New Roman" w:cs="Times New Roman"/>
          <w:lang w:val="de-DE"/>
        </w:rPr>
        <w:t xml:space="preserve"> </w:t>
      </w:r>
      <w:proofErr w:type="spellStart"/>
      <w:r w:rsidRPr="00CD4311">
        <w:rPr>
          <w:rFonts w:ascii="Times New Roman" w:hAnsi="Times New Roman" w:cs="Times New Roman"/>
          <w:lang w:val="de-DE"/>
        </w:rPr>
        <w:t>kontekstā</w:t>
      </w:r>
      <w:proofErr w:type="spellEnd"/>
      <w:r w:rsidRPr="00CD4311">
        <w:rPr>
          <w:rFonts w:ascii="Times New Roman" w:hAnsi="Times New Roman" w:cs="Times New Roman"/>
          <w:lang w:val="de-DE"/>
        </w:rPr>
        <w:t xml:space="preserve"> „</w:t>
      </w:r>
      <w:proofErr w:type="spellStart"/>
      <w:r w:rsidRPr="00CD4311">
        <w:rPr>
          <w:rFonts w:ascii="Times New Roman" w:hAnsi="Times New Roman" w:cs="Times New Roman"/>
          <w:lang w:val="de-DE"/>
        </w:rPr>
        <w:t>publisks</w:t>
      </w:r>
      <w:proofErr w:type="spellEnd"/>
      <w:r w:rsidRPr="00CD4311">
        <w:rPr>
          <w:rFonts w:ascii="Times New Roman" w:hAnsi="Times New Roman" w:cs="Times New Roman"/>
          <w:lang w:val="de-DE"/>
        </w:rPr>
        <w:t xml:space="preserve"> </w:t>
      </w:r>
      <w:proofErr w:type="spellStart"/>
      <w:r w:rsidRPr="00CD4311">
        <w:rPr>
          <w:rFonts w:ascii="Times New Roman" w:hAnsi="Times New Roman" w:cs="Times New Roman"/>
          <w:lang w:val="de-DE"/>
        </w:rPr>
        <w:t>dokuments</w:t>
      </w:r>
      <w:proofErr w:type="spellEnd"/>
      <w:r w:rsidRPr="00CD4311">
        <w:rPr>
          <w:rFonts w:ascii="Times New Roman" w:hAnsi="Times New Roman" w:cs="Times New Roman"/>
          <w:lang w:val="de-DE"/>
        </w:rPr>
        <w:t xml:space="preserve">“ </w:t>
      </w:r>
      <w:proofErr w:type="spellStart"/>
      <w:r w:rsidRPr="00CD4311">
        <w:rPr>
          <w:rFonts w:ascii="Times New Roman" w:hAnsi="Times New Roman" w:cs="Times New Roman"/>
          <w:lang w:val="de-DE"/>
        </w:rPr>
        <w:t>ir</w:t>
      </w:r>
      <w:proofErr w:type="spellEnd"/>
      <w:r w:rsidRPr="00CD4311">
        <w:rPr>
          <w:rFonts w:ascii="Times New Roman" w:hAnsi="Times New Roman" w:cs="Times New Roman"/>
          <w:lang w:val="de-DE"/>
        </w:rPr>
        <w:t xml:space="preserve"> </w:t>
      </w:r>
      <w:proofErr w:type="spellStart"/>
      <w:r w:rsidRPr="00CD4311">
        <w:rPr>
          <w:rFonts w:ascii="Times New Roman" w:hAnsi="Times New Roman" w:cs="Times New Roman"/>
          <w:lang w:val="de-DE"/>
        </w:rPr>
        <w:t>tikai</w:t>
      </w:r>
      <w:proofErr w:type="spellEnd"/>
      <w:r w:rsidRPr="00CD4311">
        <w:rPr>
          <w:rFonts w:ascii="Times New Roman" w:hAnsi="Times New Roman" w:cs="Times New Roman"/>
          <w:lang w:val="de-DE"/>
        </w:rPr>
        <w:t xml:space="preserve"> </w:t>
      </w:r>
      <w:proofErr w:type="spellStart"/>
      <w:r w:rsidRPr="00CD4311">
        <w:rPr>
          <w:rFonts w:ascii="Times New Roman" w:hAnsi="Times New Roman" w:cs="Times New Roman"/>
          <w:lang w:val="de-DE"/>
        </w:rPr>
        <w:t>pats</w:t>
      </w:r>
      <w:proofErr w:type="spellEnd"/>
      <w:r w:rsidRPr="00CD4311">
        <w:rPr>
          <w:rFonts w:ascii="Times New Roman" w:hAnsi="Times New Roman" w:cs="Times New Roman"/>
          <w:lang w:val="de-DE"/>
        </w:rPr>
        <w:t xml:space="preserve"> </w:t>
      </w:r>
      <w:proofErr w:type="spellStart"/>
      <w:r w:rsidRPr="00CD4311">
        <w:rPr>
          <w:rFonts w:ascii="Times New Roman" w:hAnsi="Times New Roman" w:cs="Times New Roman"/>
          <w:lang w:val="de-DE"/>
        </w:rPr>
        <w:t>oficiālais</w:t>
      </w:r>
      <w:proofErr w:type="spellEnd"/>
      <w:r w:rsidRPr="00CD4311">
        <w:rPr>
          <w:rFonts w:ascii="Times New Roman" w:hAnsi="Times New Roman" w:cs="Times New Roman"/>
          <w:lang w:val="de-DE"/>
        </w:rPr>
        <w:t xml:space="preserve"> </w:t>
      </w:r>
      <w:proofErr w:type="spellStart"/>
      <w:r w:rsidRPr="00CD4311">
        <w:rPr>
          <w:rFonts w:ascii="Times New Roman" w:hAnsi="Times New Roman" w:cs="Times New Roman"/>
          <w:lang w:val="de-DE"/>
        </w:rPr>
        <w:t>apliecinājums</w:t>
      </w:r>
      <w:proofErr w:type="spellEnd"/>
      <w:r w:rsidRPr="00CD4311">
        <w:rPr>
          <w:rFonts w:ascii="Times New Roman" w:hAnsi="Times New Roman" w:cs="Times New Roman"/>
          <w:lang w:val="de-DE"/>
        </w:rPr>
        <w:t xml:space="preserve"> </w:t>
      </w:r>
      <w:proofErr w:type="spellStart"/>
      <w:r w:rsidRPr="00CD4311">
        <w:rPr>
          <w:rFonts w:ascii="Times New Roman" w:hAnsi="Times New Roman" w:cs="Times New Roman"/>
          <w:lang w:val="de-DE"/>
        </w:rPr>
        <w:t>uz</w:t>
      </w:r>
      <w:proofErr w:type="spellEnd"/>
      <w:r w:rsidRPr="00CD4311">
        <w:rPr>
          <w:rFonts w:ascii="Times New Roman" w:hAnsi="Times New Roman" w:cs="Times New Roman"/>
          <w:lang w:val="de-DE"/>
        </w:rPr>
        <w:t xml:space="preserve"> </w:t>
      </w:r>
      <w:proofErr w:type="spellStart"/>
      <w:r w:rsidRPr="00CD4311">
        <w:rPr>
          <w:rFonts w:ascii="Times New Roman" w:hAnsi="Times New Roman" w:cs="Times New Roman"/>
          <w:lang w:val="de-DE"/>
        </w:rPr>
        <w:t>privātā</w:t>
      </w:r>
      <w:proofErr w:type="spellEnd"/>
      <w:r w:rsidRPr="00CD4311">
        <w:rPr>
          <w:rFonts w:ascii="Times New Roman" w:hAnsi="Times New Roman" w:cs="Times New Roman"/>
          <w:lang w:val="de-DE"/>
        </w:rPr>
        <w:t xml:space="preserve"> </w:t>
      </w:r>
      <w:proofErr w:type="spellStart"/>
      <w:r w:rsidRPr="00CD4311">
        <w:rPr>
          <w:rFonts w:ascii="Times New Roman" w:hAnsi="Times New Roman" w:cs="Times New Roman"/>
          <w:lang w:val="de-DE"/>
        </w:rPr>
        <w:t>dokumenta</w:t>
      </w:r>
      <w:proofErr w:type="spellEnd"/>
      <w:r w:rsidRPr="00CD4311">
        <w:rPr>
          <w:rFonts w:ascii="Times New Roman" w:hAnsi="Times New Roman" w:cs="Times New Roman"/>
          <w:lang w:val="de-DE"/>
        </w:rPr>
        <w:t xml:space="preserve"> (</w:t>
      </w:r>
      <w:proofErr w:type="spellStart"/>
      <w:r w:rsidRPr="00CD4311">
        <w:rPr>
          <w:rFonts w:ascii="Times New Roman" w:hAnsi="Times New Roman" w:cs="Times New Roman"/>
          <w:lang w:val="de-DE"/>
        </w:rPr>
        <w:t>bet</w:t>
      </w:r>
      <w:proofErr w:type="spellEnd"/>
      <w:r w:rsidRPr="00CD4311">
        <w:rPr>
          <w:rFonts w:ascii="Times New Roman" w:hAnsi="Times New Roman" w:cs="Times New Roman"/>
          <w:lang w:val="de-DE"/>
        </w:rPr>
        <w:t xml:space="preserve"> </w:t>
      </w:r>
      <w:proofErr w:type="spellStart"/>
      <w:r w:rsidRPr="00CD4311">
        <w:rPr>
          <w:rFonts w:ascii="Times New Roman" w:hAnsi="Times New Roman" w:cs="Times New Roman"/>
          <w:lang w:val="de-DE"/>
        </w:rPr>
        <w:t>nevis</w:t>
      </w:r>
      <w:proofErr w:type="spellEnd"/>
      <w:r w:rsidRPr="00CD4311">
        <w:rPr>
          <w:rFonts w:ascii="Times New Roman" w:hAnsi="Times New Roman" w:cs="Times New Roman"/>
          <w:lang w:val="de-DE"/>
        </w:rPr>
        <w:t xml:space="preserve"> </w:t>
      </w:r>
      <w:proofErr w:type="spellStart"/>
      <w:r w:rsidRPr="00CD4311">
        <w:rPr>
          <w:rFonts w:ascii="Times New Roman" w:hAnsi="Times New Roman" w:cs="Times New Roman"/>
          <w:lang w:val="de-DE"/>
        </w:rPr>
        <w:t>privātais</w:t>
      </w:r>
      <w:proofErr w:type="spellEnd"/>
      <w:r w:rsidRPr="00CD4311">
        <w:rPr>
          <w:rFonts w:ascii="Times New Roman" w:hAnsi="Times New Roman" w:cs="Times New Roman"/>
          <w:lang w:val="de-DE"/>
        </w:rPr>
        <w:t xml:space="preserve"> </w:t>
      </w:r>
      <w:proofErr w:type="spellStart"/>
      <w:r w:rsidRPr="00CD4311">
        <w:rPr>
          <w:rFonts w:ascii="Times New Roman" w:hAnsi="Times New Roman" w:cs="Times New Roman"/>
          <w:lang w:val="de-DE"/>
        </w:rPr>
        <w:t>dokuments</w:t>
      </w:r>
      <w:proofErr w:type="spellEnd"/>
      <w:r w:rsidRPr="00CD4311">
        <w:rPr>
          <w:rFonts w:ascii="Times New Roman" w:hAnsi="Times New Roman" w:cs="Times New Roman"/>
          <w:lang w:val="de-DE"/>
        </w:rPr>
        <w:t xml:space="preserve"> </w:t>
      </w:r>
      <w:proofErr w:type="spellStart"/>
      <w:r w:rsidRPr="00CD4311">
        <w:rPr>
          <w:rFonts w:ascii="Times New Roman" w:hAnsi="Times New Roman" w:cs="Times New Roman"/>
          <w:lang w:val="de-DE"/>
        </w:rPr>
        <w:t>kļūst</w:t>
      </w:r>
      <w:proofErr w:type="spellEnd"/>
      <w:r w:rsidRPr="00CD4311">
        <w:rPr>
          <w:rFonts w:ascii="Times New Roman" w:hAnsi="Times New Roman" w:cs="Times New Roman"/>
          <w:lang w:val="de-DE"/>
        </w:rPr>
        <w:t xml:space="preserve"> par „</w:t>
      </w:r>
      <w:proofErr w:type="spellStart"/>
      <w:r w:rsidRPr="00CD4311">
        <w:rPr>
          <w:rFonts w:ascii="Times New Roman" w:hAnsi="Times New Roman" w:cs="Times New Roman"/>
          <w:lang w:val="de-DE"/>
        </w:rPr>
        <w:t>publisku</w:t>
      </w:r>
      <w:proofErr w:type="spellEnd"/>
      <w:r w:rsidRPr="00CD4311">
        <w:rPr>
          <w:rFonts w:ascii="Times New Roman" w:hAnsi="Times New Roman" w:cs="Times New Roman"/>
          <w:lang w:val="de-DE"/>
        </w:rPr>
        <w:t xml:space="preserve"> </w:t>
      </w:r>
      <w:proofErr w:type="spellStart"/>
      <w:r w:rsidRPr="00CD4311">
        <w:rPr>
          <w:rFonts w:ascii="Times New Roman" w:hAnsi="Times New Roman" w:cs="Times New Roman"/>
          <w:lang w:val="de-DE"/>
        </w:rPr>
        <w:t>dokumentu</w:t>
      </w:r>
      <w:proofErr w:type="spellEnd"/>
      <w:r w:rsidRPr="00CD4311">
        <w:rPr>
          <w:rFonts w:ascii="Times New Roman" w:hAnsi="Times New Roman" w:cs="Times New Roman"/>
          <w:lang w:val="de-DE"/>
        </w:rPr>
        <w:t xml:space="preserve">“). Uz </w:t>
      </w:r>
      <w:proofErr w:type="spellStart"/>
      <w:r w:rsidRPr="00CD4311">
        <w:rPr>
          <w:rFonts w:ascii="Times New Roman" w:hAnsi="Times New Roman" w:cs="Times New Roman"/>
          <w:lang w:val="de-DE"/>
        </w:rPr>
        <w:t>to</w:t>
      </w:r>
      <w:proofErr w:type="spellEnd"/>
      <w:r w:rsidRPr="00CD4311">
        <w:rPr>
          <w:rFonts w:ascii="Times New Roman" w:hAnsi="Times New Roman" w:cs="Times New Roman"/>
          <w:lang w:val="de-DE"/>
        </w:rPr>
        <w:t xml:space="preserve">, </w:t>
      </w:r>
      <w:proofErr w:type="spellStart"/>
      <w:r w:rsidRPr="00CD4311">
        <w:rPr>
          <w:rFonts w:ascii="Times New Roman" w:hAnsi="Times New Roman" w:cs="Times New Roman"/>
          <w:lang w:val="de-DE"/>
        </w:rPr>
        <w:t>ar</w:t>
      </w:r>
      <w:proofErr w:type="spellEnd"/>
      <w:r w:rsidRPr="00CD4311">
        <w:rPr>
          <w:rFonts w:ascii="Times New Roman" w:hAnsi="Times New Roman" w:cs="Times New Roman"/>
          <w:lang w:val="de-DE"/>
        </w:rPr>
        <w:t xml:space="preserve"> </w:t>
      </w:r>
      <w:proofErr w:type="spellStart"/>
      <w:r w:rsidRPr="00CD4311">
        <w:rPr>
          <w:rFonts w:ascii="Times New Roman" w:hAnsi="Times New Roman" w:cs="Times New Roman"/>
          <w:lang w:val="de-DE"/>
        </w:rPr>
        <w:t>īpašu</w:t>
      </w:r>
      <w:proofErr w:type="spellEnd"/>
      <w:r w:rsidRPr="00CD4311">
        <w:rPr>
          <w:rFonts w:ascii="Times New Roman" w:hAnsi="Times New Roman" w:cs="Times New Roman"/>
          <w:lang w:val="de-DE"/>
        </w:rPr>
        <w:t xml:space="preserve"> </w:t>
      </w:r>
      <w:proofErr w:type="spellStart"/>
      <w:r w:rsidRPr="00CD4311">
        <w:rPr>
          <w:rFonts w:ascii="Times New Roman" w:hAnsi="Times New Roman" w:cs="Times New Roman"/>
          <w:lang w:val="de-DE"/>
        </w:rPr>
        <w:t>pasvītrojumu</w:t>
      </w:r>
      <w:proofErr w:type="spellEnd"/>
      <w:r w:rsidRPr="00CD4311">
        <w:rPr>
          <w:rFonts w:ascii="Times New Roman" w:hAnsi="Times New Roman" w:cs="Times New Roman"/>
          <w:lang w:val="de-DE"/>
        </w:rPr>
        <w:t xml:space="preserve"> </w:t>
      </w:r>
      <w:proofErr w:type="spellStart"/>
      <w:r w:rsidRPr="00CD4311">
        <w:rPr>
          <w:rFonts w:ascii="Times New Roman" w:hAnsi="Times New Roman" w:cs="Times New Roman"/>
          <w:lang w:val="de-DE"/>
        </w:rPr>
        <w:t>un</w:t>
      </w:r>
      <w:proofErr w:type="spellEnd"/>
      <w:r w:rsidRPr="00CD4311">
        <w:rPr>
          <w:rFonts w:ascii="Times New Roman" w:hAnsi="Times New Roman" w:cs="Times New Roman"/>
          <w:lang w:val="de-DE"/>
        </w:rPr>
        <w:t xml:space="preserve"> </w:t>
      </w:r>
      <w:proofErr w:type="spellStart"/>
      <w:r w:rsidRPr="00CD4311">
        <w:rPr>
          <w:rFonts w:ascii="Times New Roman" w:hAnsi="Times New Roman" w:cs="Times New Roman"/>
          <w:lang w:val="de-DE"/>
        </w:rPr>
        <w:t>izcēlumu</w:t>
      </w:r>
      <w:proofErr w:type="spellEnd"/>
      <w:r w:rsidRPr="00CD4311">
        <w:rPr>
          <w:rFonts w:ascii="Times New Roman" w:hAnsi="Times New Roman" w:cs="Times New Roman"/>
          <w:lang w:val="de-DE"/>
        </w:rPr>
        <w:t xml:space="preserve">, </w:t>
      </w:r>
      <w:proofErr w:type="spellStart"/>
      <w:r w:rsidRPr="00CD4311">
        <w:rPr>
          <w:rFonts w:ascii="Times New Roman" w:hAnsi="Times New Roman" w:cs="Times New Roman"/>
          <w:lang w:val="de-DE"/>
        </w:rPr>
        <w:t>norāda</w:t>
      </w:r>
      <w:proofErr w:type="spellEnd"/>
      <w:r w:rsidRPr="00CD4311">
        <w:rPr>
          <w:rFonts w:ascii="Times New Roman" w:hAnsi="Times New Roman" w:cs="Times New Roman"/>
          <w:lang w:val="de-DE"/>
        </w:rPr>
        <w:t xml:space="preserve"> </w:t>
      </w:r>
      <w:proofErr w:type="spellStart"/>
      <w:r w:rsidRPr="00CD4311">
        <w:rPr>
          <w:rFonts w:ascii="Times New Roman" w:hAnsi="Times New Roman" w:cs="Times New Roman"/>
          <w:lang w:val="de-DE"/>
        </w:rPr>
        <w:t>arī</w:t>
      </w:r>
      <w:proofErr w:type="spellEnd"/>
      <w:r w:rsidRPr="00CD4311">
        <w:rPr>
          <w:rFonts w:ascii="Times New Roman" w:hAnsi="Times New Roman" w:cs="Times New Roman"/>
          <w:lang w:val="de-DE"/>
        </w:rPr>
        <w:t xml:space="preserve"> </w:t>
      </w:r>
      <w:proofErr w:type="spellStart"/>
      <w:r w:rsidRPr="00CD4311">
        <w:rPr>
          <w:rFonts w:ascii="Times New Roman" w:hAnsi="Times New Roman" w:cs="Times New Roman"/>
          <w:lang w:val="de-DE"/>
        </w:rPr>
        <w:t>Hāgas</w:t>
      </w:r>
      <w:proofErr w:type="spellEnd"/>
      <w:r w:rsidRPr="00CD4311">
        <w:rPr>
          <w:rFonts w:ascii="Times New Roman" w:hAnsi="Times New Roman" w:cs="Times New Roman"/>
          <w:lang w:val="de-DE"/>
        </w:rPr>
        <w:t xml:space="preserve"> </w:t>
      </w:r>
      <w:proofErr w:type="spellStart"/>
      <w:r w:rsidRPr="00CD4311">
        <w:rPr>
          <w:rFonts w:ascii="Times New Roman" w:hAnsi="Times New Roman" w:cs="Times New Roman"/>
          <w:lang w:val="de-DE"/>
        </w:rPr>
        <w:t>Starptautisko</w:t>
      </w:r>
      <w:proofErr w:type="spellEnd"/>
      <w:r w:rsidRPr="00CD4311">
        <w:rPr>
          <w:rFonts w:ascii="Times New Roman" w:hAnsi="Times New Roman" w:cs="Times New Roman"/>
          <w:lang w:val="de-DE"/>
        </w:rPr>
        <w:t xml:space="preserve"> </w:t>
      </w:r>
      <w:proofErr w:type="spellStart"/>
      <w:r w:rsidRPr="00CD4311">
        <w:rPr>
          <w:rFonts w:ascii="Times New Roman" w:hAnsi="Times New Roman" w:cs="Times New Roman"/>
          <w:lang w:val="de-DE"/>
        </w:rPr>
        <w:t>privāttiesību</w:t>
      </w:r>
      <w:proofErr w:type="spellEnd"/>
      <w:r w:rsidRPr="00CD4311">
        <w:rPr>
          <w:rFonts w:ascii="Times New Roman" w:hAnsi="Times New Roman" w:cs="Times New Roman"/>
          <w:lang w:val="de-DE"/>
        </w:rPr>
        <w:t xml:space="preserve"> </w:t>
      </w:r>
      <w:proofErr w:type="spellStart"/>
      <w:r w:rsidRPr="00CD4311">
        <w:rPr>
          <w:rFonts w:ascii="Times New Roman" w:hAnsi="Times New Roman" w:cs="Times New Roman"/>
          <w:lang w:val="de-DE"/>
        </w:rPr>
        <w:t>konference</w:t>
      </w:r>
      <w:proofErr w:type="spellEnd"/>
      <w:r w:rsidRPr="00CD4311">
        <w:rPr>
          <w:rFonts w:ascii="Times New Roman" w:hAnsi="Times New Roman" w:cs="Times New Roman"/>
          <w:lang w:val="de-DE"/>
        </w:rPr>
        <w:t>: „</w:t>
      </w:r>
      <w:proofErr w:type="spellStart"/>
      <w:r w:rsidRPr="00CD4311">
        <w:rPr>
          <w:rFonts w:ascii="Times New Roman" w:hAnsi="Times New Roman" w:cs="Times New Roman"/>
          <w:i/>
          <w:lang w:val="de-DE"/>
        </w:rPr>
        <w:t>Oficiālo</w:t>
      </w:r>
      <w:proofErr w:type="spellEnd"/>
      <w:r w:rsidRPr="00CD4311">
        <w:rPr>
          <w:rFonts w:ascii="Times New Roman" w:hAnsi="Times New Roman" w:cs="Times New Roman"/>
          <w:i/>
          <w:lang w:val="de-DE"/>
        </w:rPr>
        <w:t xml:space="preserve"> </w:t>
      </w:r>
      <w:proofErr w:type="spellStart"/>
      <w:r w:rsidRPr="00CD4311">
        <w:rPr>
          <w:rFonts w:ascii="Times New Roman" w:hAnsi="Times New Roman" w:cs="Times New Roman"/>
          <w:i/>
          <w:lang w:val="de-DE"/>
        </w:rPr>
        <w:t>apliecinājumu</w:t>
      </w:r>
      <w:proofErr w:type="spellEnd"/>
      <w:r w:rsidRPr="00CD4311">
        <w:rPr>
          <w:rFonts w:ascii="Times New Roman" w:hAnsi="Times New Roman" w:cs="Times New Roman"/>
          <w:i/>
          <w:lang w:val="de-DE"/>
        </w:rPr>
        <w:t xml:space="preserve"> </w:t>
      </w:r>
      <w:proofErr w:type="spellStart"/>
      <w:r w:rsidRPr="00CD4311">
        <w:rPr>
          <w:rFonts w:ascii="Times New Roman" w:hAnsi="Times New Roman" w:cs="Times New Roman"/>
          <w:i/>
          <w:lang w:val="de-DE"/>
        </w:rPr>
        <w:t>gadījumā</w:t>
      </w:r>
      <w:proofErr w:type="spellEnd"/>
      <w:r w:rsidRPr="00CD4311">
        <w:rPr>
          <w:rFonts w:ascii="Times New Roman" w:hAnsi="Times New Roman" w:cs="Times New Roman"/>
          <w:i/>
          <w:lang w:val="de-DE"/>
        </w:rPr>
        <w:t xml:space="preserve">, </w:t>
      </w:r>
      <w:proofErr w:type="spellStart"/>
      <w:r w:rsidRPr="00CD4311">
        <w:rPr>
          <w:rFonts w:ascii="Times New Roman" w:hAnsi="Times New Roman" w:cs="Times New Roman"/>
          <w:i/>
          <w:lang w:val="de-DE"/>
        </w:rPr>
        <w:t>tas</w:t>
      </w:r>
      <w:proofErr w:type="spellEnd"/>
      <w:r w:rsidRPr="00CD4311">
        <w:rPr>
          <w:rFonts w:ascii="Times New Roman" w:hAnsi="Times New Roman" w:cs="Times New Roman"/>
          <w:i/>
          <w:lang w:val="de-DE"/>
        </w:rPr>
        <w:t xml:space="preserve"> </w:t>
      </w:r>
      <w:proofErr w:type="spellStart"/>
      <w:r w:rsidRPr="00CD4311">
        <w:rPr>
          <w:rFonts w:ascii="Times New Roman" w:hAnsi="Times New Roman" w:cs="Times New Roman"/>
          <w:i/>
          <w:lang w:val="de-DE"/>
        </w:rPr>
        <w:t>ir</w:t>
      </w:r>
      <w:proofErr w:type="spellEnd"/>
      <w:r w:rsidRPr="00CD4311">
        <w:rPr>
          <w:rFonts w:ascii="Times New Roman" w:hAnsi="Times New Roman" w:cs="Times New Roman"/>
          <w:i/>
          <w:lang w:val="de-DE"/>
        </w:rPr>
        <w:t xml:space="preserve"> </w:t>
      </w:r>
      <w:proofErr w:type="spellStart"/>
      <w:r w:rsidRPr="00CD4311">
        <w:rPr>
          <w:rFonts w:ascii="Times New Roman" w:hAnsi="Times New Roman" w:cs="Times New Roman"/>
          <w:i/>
          <w:lang w:val="de-DE"/>
        </w:rPr>
        <w:t>oficiālais</w:t>
      </w:r>
      <w:proofErr w:type="spellEnd"/>
      <w:r w:rsidRPr="00CD4311">
        <w:rPr>
          <w:rFonts w:ascii="Times New Roman" w:hAnsi="Times New Roman" w:cs="Times New Roman"/>
          <w:i/>
          <w:lang w:val="de-DE"/>
        </w:rPr>
        <w:t xml:space="preserve"> </w:t>
      </w:r>
      <w:proofErr w:type="spellStart"/>
      <w:r w:rsidRPr="00CD4311">
        <w:rPr>
          <w:rFonts w:ascii="Times New Roman" w:hAnsi="Times New Roman" w:cs="Times New Roman"/>
          <w:i/>
          <w:lang w:val="de-DE"/>
        </w:rPr>
        <w:t>apliecinājums</w:t>
      </w:r>
      <w:proofErr w:type="spellEnd"/>
      <w:r w:rsidRPr="00CD4311">
        <w:rPr>
          <w:rFonts w:ascii="Times New Roman" w:hAnsi="Times New Roman" w:cs="Times New Roman"/>
          <w:i/>
          <w:lang w:val="de-DE"/>
        </w:rPr>
        <w:t xml:space="preserve">, </w:t>
      </w:r>
      <w:proofErr w:type="spellStart"/>
      <w:r w:rsidRPr="00CD4311">
        <w:rPr>
          <w:rFonts w:ascii="Times New Roman" w:hAnsi="Times New Roman" w:cs="Times New Roman"/>
          <w:i/>
          <w:lang w:val="de-DE"/>
        </w:rPr>
        <w:t>un</w:t>
      </w:r>
      <w:proofErr w:type="spellEnd"/>
      <w:r w:rsidRPr="00CD4311">
        <w:rPr>
          <w:rFonts w:ascii="Times New Roman" w:hAnsi="Times New Roman" w:cs="Times New Roman"/>
          <w:i/>
          <w:lang w:val="de-DE"/>
        </w:rPr>
        <w:t xml:space="preserve"> NEVIS </w:t>
      </w:r>
      <w:proofErr w:type="spellStart"/>
      <w:r w:rsidRPr="00CD4311">
        <w:rPr>
          <w:rFonts w:ascii="Times New Roman" w:hAnsi="Times New Roman" w:cs="Times New Roman"/>
          <w:i/>
          <w:lang w:val="de-DE"/>
        </w:rPr>
        <w:t>pats</w:t>
      </w:r>
      <w:proofErr w:type="spellEnd"/>
      <w:r w:rsidRPr="00CD4311">
        <w:rPr>
          <w:rFonts w:ascii="Times New Roman" w:hAnsi="Times New Roman" w:cs="Times New Roman"/>
          <w:i/>
          <w:lang w:val="de-DE"/>
        </w:rPr>
        <w:t xml:space="preserve"> </w:t>
      </w:r>
      <w:proofErr w:type="spellStart"/>
      <w:r w:rsidRPr="00CD4311">
        <w:rPr>
          <w:rFonts w:ascii="Times New Roman" w:hAnsi="Times New Roman" w:cs="Times New Roman"/>
          <w:i/>
          <w:lang w:val="de-DE"/>
        </w:rPr>
        <w:t>privātais</w:t>
      </w:r>
      <w:proofErr w:type="spellEnd"/>
      <w:r w:rsidRPr="00CD4311">
        <w:rPr>
          <w:rFonts w:ascii="Times New Roman" w:hAnsi="Times New Roman" w:cs="Times New Roman"/>
          <w:i/>
          <w:lang w:val="de-DE"/>
        </w:rPr>
        <w:t xml:space="preserve"> </w:t>
      </w:r>
      <w:proofErr w:type="spellStart"/>
      <w:r w:rsidRPr="00CD4311">
        <w:rPr>
          <w:rFonts w:ascii="Times New Roman" w:hAnsi="Times New Roman" w:cs="Times New Roman"/>
          <w:i/>
          <w:lang w:val="de-DE"/>
        </w:rPr>
        <w:t>dokuments</w:t>
      </w:r>
      <w:proofErr w:type="spellEnd"/>
      <w:r w:rsidRPr="00CD4311">
        <w:rPr>
          <w:rFonts w:ascii="Times New Roman" w:hAnsi="Times New Roman" w:cs="Times New Roman"/>
          <w:i/>
          <w:lang w:val="de-DE"/>
        </w:rPr>
        <w:t xml:space="preserve"> (</w:t>
      </w:r>
      <w:proofErr w:type="spellStart"/>
      <w:r w:rsidRPr="00CD4311">
        <w:rPr>
          <w:rFonts w:ascii="Times New Roman" w:hAnsi="Times New Roman" w:cs="Times New Roman"/>
          <w:i/>
          <w:lang w:val="de-DE"/>
        </w:rPr>
        <w:t>uz</w:t>
      </w:r>
      <w:proofErr w:type="spellEnd"/>
      <w:r w:rsidRPr="00CD4311">
        <w:rPr>
          <w:rFonts w:ascii="Times New Roman" w:hAnsi="Times New Roman" w:cs="Times New Roman"/>
          <w:i/>
          <w:lang w:val="de-DE"/>
        </w:rPr>
        <w:t xml:space="preserve"> </w:t>
      </w:r>
      <w:proofErr w:type="spellStart"/>
      <w:r w:rsidRPr="00CD4311">
        <w:rPr>
          <w:rFonts w:ascii="Times New Roman" w:hAnsi="Times New Roman" w:cs="Times New Roman"/>
          <w:i/>
          <w:lang w:val="de-DE"/>
        </w:rPr>
        <w:t>kura</w:t>
      </w:r>
      <w:proofErr w:type="spellEnd"/>
      <w:r w:rsidRPr="00CD4311">
        <w:rPr>
          <w:rFonts w:ascii="Times New Roman" w:hAnsi="Times New Roman" w:cs="Times New Roman"/>
          <w:i/>
          <w:lang w:val="de-DE"/>
        </w:rPr>
        <w:t xml:space="preserve"> </w:t>
      </w:r>
      <w:proofErr w:type="spellStart"/>
      <w:r w:rsidRPr="00CD4311">
        <w:rPr>
          <w:rFonts w:ascii="Times New Roman" w:hAnsi="Times New Roman" w:cs="Times New Roman"/>
          <w:i/>
          <w:lang w:val="de-DE"/>
        </w:rPr>
        <w:t>ir</w:t>
      </w:r>
      <w:proofErr w:type="spellEnd"/>
      <w:r w:rsidRPr="00CD4311">
        <w:rPr>
          <w:rFonts w:ascii="Times New Roman" w:hAnsi="Times New Roman" w:cs="Times New Roman"/>
          <w:i/>
          <w:lang w:val="de-DE"/>
        </w:rPr>
        <w:t xml:space="preserve"> </w:t>
      </w:r>
      <w:proofErr w:type="spellStart"/>
      <w:r w:rsidRPr="00CD4311">
        <w:rPr>
          <w:rFonts w:ascii="Times New Roman" w:hAnsi="Times New Roman" w:cs="Times New Roman"/>
          <w:i/>
          <w:lang w:val="de-DE"/>
        </w:rPr>
        <w:t>šis</w:t>
      </w:r>
      <w:proofErr w:type="spellEnd"/>
      <w:r w:rsidRPr="00CD4311">
        <w:rPr>
          <w:rFonts w:ascii="Times New Roman" w:hAnsi="Times New Roman" w:cs="Times New Roman"/>
          <w:i/>
          <w:lang w:val="de-DE"/>
        </w:rPr>
        <w:t xml:space="preserve"> </w:t>
      </w:r>
      <w:proofErr w:type="spellStart"/>
      <w:r w:rsidRPr="00CD4311">
        <w:rPr>
          <w:rFonts w:ascii="Times New Roman" w:hAnsi="Times New Roman" w:cs="Times New Roman"/>
          <w:i/>
          <w:lang w:val="de-DE"/>
        </w:rPr>
        <w:t>apliecinājums</w:t>
      </w:r>
      <w:proofErr w:type="spellEnd"/>
      <w:r w:rsidRPr="00CD4311">
        <w:rPr>
          <w:rFonts w:ascii="Times New Roman" w:hAnsi="Times New Roman" w:cs="Times New Roman"/>
          <w:i/>
          <w:lang w:val="de-DE"/>
        </w:rPr>
        <w:t xml:space="preserve">), </w:t>
      </w:r>
      <w:proofErr w:type="spellStart"/>
      <w:r w:rsidRPr="00CD4311">
        <w:rPr>
          <w:rFonts w:ascii="Times New Roman" w:hAnsi="Times New Roman" w:cs="Times New Roman"/>
          <w:i/>
          <w:lang w:val="de-DE"/>
        </w:rPr>
        <w:t>kas</w:t>
      </w:r>
      <w:proofErr w:type="spellEnd"/>
      <w:r w:rsidRPr="00CD4311">
        <w:rPr>
          <w:rFonts w:ascii="Times New Roman" w:hAnsi="Times New Roman" w:cs="Times New Roman"/>
          <w:i/>
          <w:lang w:val="de-DE"/>
        </w:rPr>
        <w:t xml:space="preserve"> </w:t>
      </w:r>
      <w:proofErr w:type="spellStart"/>
      <w:r w:rsidRPr="00CD4311">
        <w:rPr>
          <w:rFonts w:ascii="Times New Roman" w:hAnsi="Times New Roman" w:cs="Times New Roman"/>
          <w:i/>
          <w:lang w:val="de-DE"/>
        </w:rPr>
        <w:t>ir</w:t>
      </w:r>
      <w:proofErr w:type="spellEnd"/>
      <w:r w:rsidRPr="00CD4311">
        <w:rPr>
          <w:rFonts w:ascii="Times New Roman" w:hAnsi="Times New Roman" w:cs="Times New Roman"/>
          <w:i/>
          <w:lang w:val="de-DE"/>
        </w:rPr>
        <w:t xml:space="preserve"> </w:t>
      </w:r>
      <w:r w:rsidRPr="00CD4311">
        <w:rPr>
          <w:rFonts w:ascii="Times New Roman" w:hAnsi="Times New Roman" w:cs="Times New Roman"/>
          <w:i/>
          <w:lang w:val="de-DE"/>
        </w:rPr>
        <w:lastRenderedPageBreak/>
        <w:t>„</w:t>
      </w:r>
      <w:proofErr w:type="spellStart"/>
      <w:r w:rsidRPr="00CD4311">
        <w:rPr>
          <w:rFonts w:ascii="Times New Roman" w:hAnsi="Times New Roman" w:cs="Times New Roman"/>
          <w:i/>
          <w:lang w:val="de-DE"/>
        </w:rPr>
        <w:t>publisks</w:t>
      </w:r>
      <w:proofErr w:type="spellEnd"/>
      <w:r w:rsidRPr="00CD4311">
        <w:rPr>
          <w:rFonts w:ascii="Times New Roman" w:hAnsi="Times New Roman" w:cs="Times New Roman"/>
          <w:i/>
          <w:lang w:val="de-DE"/>
        </w:rPr>
        <w:t xml:space="preserve"> </w:t>
      </w:r>
      <w:proofErr w:type="spellStart"/>
      <w:r w:rsidRPr="00CD4311">
        <w:rPr>
          <w:rFonts w:ascii="Times New Roman" w:hAnsi="Times New Roman" w:cs="Times New Roman"/>
          <w:i/>
          <w:lang w:val="de-DE"/>
        </w:rPr>
        <w:t>dokuments</w:t>
      </w:r>
      <w:proofErr w:type="spellEnd"/>
      <w:r w:rsidRPr="00CD4311">
        <w:rPr>
          <w:rFonts w:ascii="Times New Roman" w:hAnsi="Times New Roman" w:cs="Times New Roman"/>
          <w:i/>
          <w:lang w:val="de-DE"/>
        </w:rPr>
        <w:t xml:space="preserve">“ </w:t>
      </w:r>
      <w:proofErr w:type="spellStart"/>
      <w:r w:rsidRPr="00CD4311">
        <w:rPr>
          <w:rFonts w:ascii="Times New Roman" w:hAnsi="Times New Roman" w:cs="Times New Roman"/>
          <w:i/>
          <w:lang w:val="de-DE"/>
        </w:rPr>
        <w:t>Konvencijas</w:t>
      </w:r>
      <w:proofErr w:type="spellEnd"/>
      <w:r w:rsidRPr="00CD4311">
        <w:rPr>
          <w:rFonts w:ascii="Times New Roman" w:hAnsi="Times New Roman" w:cs="Times New Roman"/>
          <w:i/>
          <w:lang w:val="de-DE"/>
        </w:rPr>
        <w:t xml:space="preserve"> </w:t>
      </w:r>
      <w:proofErr w:type="spellStart"/>
      <w:r w:rsidRPr="00CD4311">
        <w:rPr>
          <w:rFonts w:ascii="Times New Roman" w:hAnsi="Times New Roman" w:cs="Times New Roman"/>
          <w:i/>
          <w:lang w:val="de-DE"/>
        </w:rPr>
        <w:t>nolūkos</w:t>
      </w:r>
      <w:proofErr w:type="spellEnd"/>
      <w:r w:rsidRPr="00CD4311">
        <w:rPr>
          <w:rFonts w:ascii="Times New Roman" w:hAnsi="Times New Roman" w:cs="Times New Roman"/>
          <w:i/>
          <w:lang w:val="de-DE"/>
        </w:rPr>
        <w:t xml:space="preserve">. </w:t>
      </w:r>
      <w:proofErr w:type="spellStart"/>
      <w:r w:rsidRPr="00CD4311">
        <w:rPr>
          <w:rFonts w:ascii="Times New Roman" w:hAnsi="Times New Roman" w:cs="Times New Roman"/>
          <w:i/>
          <w:lang w:val="de-DE"/>
        </w:rPr>
        <w:t>Līdz</w:t>
      </w:r>
      <w:proofErr w:type="spellEnd"/>
      <w:r w:rsidRPr="00CD4311">
        <w:rPr>
          <w:rFonts w:ascii="Times New Roman" w:hAnsi="Times New Roman" w:cs="Times New Roman"/>
          <w:i/>
          <w:lang w:val="de-DE"/>
        </w:rPr>
        <w:t xml:space="preserve"> </w:t>
      </w:r>
      <w:proofErr w:type="spellStart"/>
      <w:r w:rsidRPr="00CD4311">
        <w:rPr>
          <w:rFonts w:ascii="Times New Roman" w:hAnsi="Times New Roman" w:cs="Times New Roman"/>
          <w:i/>
          <w:lang w:val="de-DE"/>
        </w:rPr>
        <w:t>ar</w:t>
      </w:r>
      <w:proofErr w:type="spellEnd"/>
      <w:r w:rsidRPr="00CD4311">
        <w:rPr>
          <w:rFonts w:ascii="Times New Roman" w:hAnsi="Times New Roman" w:cs="Times New Roman"/>
          <w:i/>
          <w:lang w:val="de-DE"/>
        </w:rPr>
        <w:t xml:space="preserve"> </w:t>
      </w:r>
      <w:proofErr w:type="spellStart"/>
      <w:r w:rsidRPr="00CD4311">
        <w:rPr>
          <w:rFonts w:ascii="Times New Roman" w:hAnsi="Times New Roman" w:cs="Times New Roman"/>
          <w:i/>
          <w:lang w:val="de-DE"/>
        </w:rPr>
        <w:t>to</w:t>
      </w:r>
      <w:proofErr w:type="spellEnd"/>
      <w:r w:rsidRPr="00CD4311">
        <w:rPr>
          <w:rFonts w:ascii="Times New Roman" w:hAnsi="Times New Roman" w:cs="Times New Roman"/>
          <w:lang w:val="de-DE"/>
        </w:rPr>
        <w:t xml:space="preserve"> </w:t>
      </w:r>
      <w:proofErr w:type="spellStart"/>
      <w:r w:rsidRPr="00CD4311">
        <w:rPr>
          <w:rFonts w:ascii="Times New Roman" w:hAnsi="Times New Roman" w:cs="Times New Roman"/>
          <w:lang w:val="de-DE"/>
        </w:rPr>
        <w:t>apostille</w:t>
      </w:r>
      <w:proofErr w:type="spellEnd"/>
      <w:r w:rsidRPr="00CD4311">
        <w:rPr>
          <w:rFonts w:ascii="Times New Roman" w:hAnsi="Times New Roman" w:cs="Times New Roman"/>
          <w:lang w:val="de-DE"/>
        </w:rPr>
        <w:t xml:space="preserve"> </w:t>
      </w:r>
      <w:proofErr w:type="spellStart"/>
      <w:r w:rsidRPr="00CD4311">
        <w:rPr>
          <w:rFonts w:ascii="Times New Roman" w:hAnsi="Times New Roman" w:cs="Times New Roman"/>
          <w:i/>
          <w:lang w:val="de-DE"/>
        </w:rPr>
        <w:t>apliecina</w:t>
      </w:r>
      <w:proofErr w:type="spellEnd"/>
      <w:r w:rsidRPr="00CD4311">
        <w:rPr>
          <w:rFonts w:ascii="Times New Roman" w:hAnsi="Times New Roman" w:cs="Times New Roman"/>
          <w:i/>
          <w:lang w:val="de-DE"/>
        </w:rPr>
        <w:t xml:space="preserve"> </w:t>
      </w:r>
      <w:proofErr w:type="spellStart"/>
      <w:r w:rsidRPr="00CD4311">
        <w:rPr>
          <w:rFonts w:ascii="Times New Roman" w:hAnsi="Times New Roman" w:cs="Times New Roman"/>
          <w:i/>
          <w:lang w:val="de-DE"/>
        </w:rPr>
        <w:t>tikai</w:t>
      </w:r>
      <w:proofErr w:type="spellEnd"/>
      <w:r w:rsidRPr="00CD4311">
        <w:rPr>
          <w:rFonts w:ascii="Times New Roman" w:hAnsi="Times New Roman" w:cs="Times New Roman"/>
          <w:i/>
          <w:lang w:val="de-DE"/>
        </w:rPr>
        <w:t xml:space="preserve"> </w:t>
      </w:r>
      <w:proofErr w:type="spellStart"/>
      <w:r w:rsidRPr="00CD4311">
        <w:rPr>
          <w:rFonts w:ascii="Times New Roman" w:hAnsi="Times New Roman" w:cs="Times New Roman"/>
          <w:i/>
          <w:lang w:val="de-DE"/>
        </w:rPr>
        <w:t>notariālā</w:t>
      </w:r>
      <w:proofErr w:type="spellEnd"/>
      <w:r w:rsidRPr="00CD4311">
        <w:rPr>
          <w:rFonts w:ascii="Times New Roman" w:hAnsi="Times New Roman" w:cs="Times New Roman"/>
          <w:lang w:val="de-DE"/>
        </w:rPr>
        <w:t xml:space="preserve"> </w:t>
      </w:r>
      <w:proofErr w:type="spellStart"/>
      <w:r w:rsidRPr="00CD4311">
        <w:rPr>
          <w:rFonts w:ascii="Times New Roman" w:hAnsi="Times New Roman" w:cs="Times New Roman"/>
          <w:i/>
          <w:lang w:val="de-DE"/>
        </w:rPr>
        <w:t>apliecinājuma</w:t>
      </w:r>
      <w:proofErr w:type="spellEnd"/>
      <w:r w:rsidRPr="00CD4311">
        <w:rPr>
          <w:rFonts w:ascii="Times New Roman" w:hAnsi="Times New Roman" w:cs="Times New Roman"/>
          <w:i/>
          <w:lang w:val="de-DE"/>
        </w:rPr>
        <w:t xml:space="preserve"> </w:t>
      </w:r>
      <w:proofErr w:type="spellStart"/>
      <w:r w:rsidRPr="00CD4311">
        <w:rPr>
          <w:rFonts w:ascii="Times New Roman" w:hAnsi="Times New Roman" w:cs="Times New Roman"/>
          <w:i/>
          <w:lang w:val="de-DE"/>
        </w:rPr>
        <w:t>autentiskumu</w:t>
      </w:r>
      <w:proofErr w:type="spellEnd"/>
      <w:r w:rsidRPr="00CD4311">
        <w:rPr>
          <w:rFonts w:ascii="Times New Roman" w:hAnsi="Times New Roman" w:cs="Times New Roman"/>
          <w:i/>
          <w:lang w:val="de-DE"/>
        </w:rPr>
        <w:t xml:space="preserve">, </w:t>
      </w:r>
      <w:proofErr w:type="spellStart"/>
      <w:r w:rsidRPr="00CD4311">
        <w:rPr>
          <w:rFonts w:ascii="Times New Roman" w:hAnsi="Times New Roman" w:cs="Times New Roman"/>
          <w:i/>
          <w:lang w:val="de-DE"/>
        </w:rPr>
        <w:t>bet</w:t>
      </w:r>
      <w:proofErr w:type="spellEnd"/>
      <w:r w:rsidRPr="00CD4311">
        <w:rPr>
          <w:rFonts w:ascii="Times New Roman" w:hAnsi="Times New Roman" w:cs="Times New Roman"/>
          <w:i/>
          <w:lang w:val="de-DE"/>
        </w:rPr>
        <w:t xml:space="preserve"> </w:t>
      </w:r>
      <w:proofErr w:type="spellStart"/>
      <w:r w:rsidRPr="00CD4311">
        <w:rPr>
          <w:rFonts w:ascii="Times New Roman" w:hAnsi="Times New Roman" w:cs="Times New Roman"/>
          <w:i/>
          <w:lang w:val="de-DE"/>
        </w:rPr>
        <w:t>nevis</w:t>
      </w:r>
      <w:proofErr w:type="spellEnd"/>
      <w:r w:rsidRPr="00CD4311">
        <w:rPr>
          <w:rFonts w:ascii="Times New Roman" w:hAnsi="Times New Roman" w:cs="Times New Roman"/>
          <w:i/>
          <w:lang w:val="de-DE"/>
        </w:rPr>
        <w:t xml:space="preserve"> </w:t>
      </w:r>
      <w:proofErr w:type="spellStart"/>
      <w:r w:rsidRPr="00CD4311">
        <w:rPr>
          <w:rFonts w:ascii="Times New Roman" w:hAnsi="Times New Roman" w:cs="Times New Roman"/>
          <w:i/>
          <w:lang w:val="de-DE"/>
        </w:rPr>
        <w:t>paša</w:t>
      </w:r>
      <w:proofErr w:type="spellEnd"/>
      <w:r w:rsidRPr="00CD4311">
        <w:rPr>
          <w:rFonts w:ascii="Times New Roman" w:hAnsi="Times New Roman" w:cs="Times New Roman"/>
          <w:i/>
          <w:lang w:val="de-DE"/>
        </w:rPr>
        <w:t xml:space="preserve"> </w:t>
      </w:r>
      <w:proofErr w:type="spellStart"/>
      <w:r w:rsidRPr="00CD4311">
        <w:rPr>
          <w:rFonts w:ascii="Times New Roman" w:hAnsi="Times New Roman" w:cs="Times New Roman"/>
          <w:i/>
          <w:lang w:val="de-DE"/>
        </w:rPr>
        <w:t>privātā</w:t>
      </w:r>
      <w:proofErr w:type="spellEnd"/>
      <w:r w:rsidRPr="00CD4311">
        <w:rPr>
          <w:rFonts w:ascii="Times New Roman" w:hAnsi="Times New Roman" w:cs="Times New Roman"/>
          <w:i/>
          <w:lang w:val="de-DE"/>
        </w:rPr>
        <w:t xml:space="preserve"> </w:t>
      </w:r>
      <w:proofErr w:type="spellStart"/>
      <w:r w:rsidRPr="00CD4311">
        <w:rPr>
          <w:rFonts w:ascii="Times New Roman" w:hAnsi="Times New Roman" w:cs="Times New Roman"/>
          <w:i/>
          <w:lang w:val="de-DE"/>
        </w:rPr>
        <w:t>dokumenta</w:t>
      </w:r>
      <w:proofErr w:type="spellEnd"/>
      <w:r w:rsidRPr="00CD4311">
        <w:rPr>
          <w:rFonts w:ascii="Times New Roman" w:hAnsi="Times New Roman" w:cs="Times New Roman"/>
          <w:i/>
          <w:lang w:val="de-DE"/>
        </w:rPr>
        <w:t xml:space="preserve"> </w:t>
      </w:r>
      <w:proofErr w:type="spellStart"/>
      <w:r w:rsidRPr="00CD4311">
        <w:rPr>
          <w:rFonts w:ascii="Times New Roman" w:hAnsi="Times New Roman" w:cs="Times New Roman"/>
          <w:i/>
          <w:lang w:val="de-DE"/>
        </w:rPr>
        <w:t>autentiskumu</w:t>
      </w:r>
      <w:proofErr w:type="spellEnd"/>
      <w:r w:rsidRPr="00CD4311">
        <w:rPr>
          <w:rFonts w:ascii="Times New Roman" w:hAnsi="Times New Roman" w:cs="Times New Roman"/>
          <w:i/>
          <w:lang w:val="de-DE"/>
        </w:rPr>
        <w:t>“</w:t>
      </w:r>
      <w:r w:rsidRPr="00CD4311">
        <w:rPr>
          <w:rStyle w:val="FootnoteReference"/>
          <w:rFonts w:ascii="Times New Roman" w:hAnsi="Times New Roman" w:cs="Times New Roman"/>
          <w:lang w:val="de-DE"/>
        </w:rPr>
        <w:footnoteReference w:id="130"/>
      </w:r>
      <w:r w:rsidRPr="00CD4311">
        <w:rPr>
          <w:rFonts w:ascii="Times New Roman" w:hAnsi="Times New Roman" w:cs="Times New Roman"/>
          <w:i/>
          <w:lang w:val="de-DE"/>
        </w:rPr>
        <w:t>.</w:t>
      </w:r>
      <w:r w:rsidRPr="00CD4311">
        <w:rPr>
          <w:rFonts w:ascii="Times New Roman" w:hAnsi="Times New Roman" w:cs="Times New Roman"/>
          <w:lang w:val="de-DE"/>
        </w:rPr>
        <w:t xml:space="preserve"> </w:t>
      </w:r>
    </w:p>
    <w:p w14:paraId="52A91444" w14:textId="77777777" w:rsidR="00114953" w:rsidRPr="00CD4311" w:rsidRDefault="00114953" w:rsidP="00114953">
      <w:pPr>
        <w:ind w:firstLine="708"/>
        <w:jc w:val="both"/>
        <w:rPr>
          <w:rFonts w:ascii="Times New Roman" w:hAnsi="Times New Roman" w:cs="Times New Roman"/>
          <w:lang w:val="de-DE"/>
        </w:rPr>
      </w:pPr>
      <w:proofErr w:type="spellStart"/>
      <w:r w:rsidRPr="00CD4311">
        <w:rPr>
          <w:rFonts w:ascii="Times New Roman" w:hAnsi="Times New Roman" w:cs="Times New Roman"/>
          <w:lang w:val="de-DE"/>
        </w:rPr>
        <w:t>Tā</w:t>
      </w:r>
      <w:proofErr w:type="spellEnd"/>
      <w:r w:rsidRPr="00CD4311">
        <w:rPr>
          <w:rFonts w:ascii="Times New Roman" w:hAnsi="Times New Roman" w:cs="Times New Roman"/>
          <w:lang w:val="de-DE"/>
        </w:rPr>
        <w:t xml:space="preserve"> </w:t>
      </w:r>
      <w:proofErr w:type="spellStart"/>
      <w:r w:rsidRPr="00CD4311">
        <w:rPr>
          <w:rFonts w:ascii="Times New Roman" w:hAnsi="Times New Roman" w:cs="Times New Roman"/>
          <w:lang w:val="de-DE"/>
        </w:rPr>
        <w:t>kā</w:t>
      </w:r>
      <w:proofErr w:type="spellEnd"/>
      <w:r w:rsidRPr="00CD4311">
        <w:rPr>
          <w:rFonts w:ascii="Times New Roman" w:hAnsi="Times New Roman" w:cs="Times New Roman"/>
          <w:lang w:val="de-DE"/>
        </w:rPr>
        <w:t xml:space="preserve"> </w:t>
      </w:r>
      <w:proofErr w:type="spellStart"/>
      <w:r w:rsidRPr="00CD4311">
        <w:rPr>
          <w:rFonts w:ascii="Times New Roman" w:hAnsi="Times New Roman" w:cs="Times New Roman"/>
          <w:lang w:val="de-DE"/>
        </w:rPr>
        <w:t>Dokumentu</w:t>
      </w:r>
      <w:proofErr w:type="spellEnd"/>
      <w:r w:rsidRPr="00CD4311">
        <w:rPr>
          <w:rFonts w:ascii="Times New Roman" w:hAnsi="Times New Roman" w:cs="Times New Roman"/>
          <w:lang w:val="de-DE"/>
        </w:rPr>
        <w:t xml:space="preserve"> </w:t>
      </w:r>
      <w:proofErr w:type="spellStart"/>
      <w:r w:rsidRPr="00CD4311">
        <w:rPr>
          <w:rFonts w:ascii="Times New Roman" w:hAnsi="Times New Roman" w:cs="Times New Roman"/>
          <w:lang w:val="de-DE"/>
        </w:rPr>
        <w:t>legalizācijas</w:t>
      </w:r>
      <w:proofErr w:type="spellEnd"/>
      <w:r w:rsidRPr="00CD4311">
        <w:rPr>
          <w:rFonts w:ascii="Times New Roman" w:hAnsi="Times New Roman" w:cs="Times New Roman"/>
          <w:lang w:val="de-DE"/>
        </w:rPr>
        <w:t xml:space="preserve"> </w:t>
      </w:r>
      <w:proofErr w:type="spellStart"/>
      <w:r w:rsidRPr="000C7C76">
        <w:rPr>
          <w:rFonts w:asciiTheme="majorBidi" w:hAnsiTheme="majorBidi" w:cstheme="majorBidi"/>
          <w:bCs/>
          <w:lang w:val="de-DE"/>
        </w:rPr>
        <w:t>likuma</w:t>
      </w:r>
      <w:proofErr w:type="spellEnd"/>
      <w:r w:rsidRPr="000C7C76">
        <w:rPr>
          <w:rFonts w:asciiTheme="majorBidi" w:hAnsiTheme="majorBidi" w:cstheme="majorBidi"/>
          <w:bCs/>
          <w:lang w:val="de-DE"/>
        </w:rPr>
        <w:t xml:space="preserve"> 2.panta 2.punktā </w:t>
      </w:r>
      <w:proofErr w:type="spellStart"/>
      <w:r w:rsidRPr="000C7C76">
        <w:rPr>
          <w:rFonts w:asciiTheme="majorBidi" w:hAnsiTheme="majorBidi" w:cstheme="majorBidi"/>
          <w:bCs/>
          <w:lang w:val="de-DE"/>
        </w:rPr>
        <w:t>ir</w:t>
      </w:r>
      <w:proofErr w:type="spellEnd"/>
      <w:r w:rsidRPr="000C7C76">
        <w:rPr>
          <w:rFonts w:asciiTheme="majorBidi" w:hAnsiTheme="majorBidi" w:cstheme="majorBidi"/>
          <w:bCs/>
          <w:lang w:val="de-DE"/>
        </w:rPr>
        <w:t xml:space="preserve"> </w:t>
      </w:r>
      <w:proofErr w:type="spellStart"/>
      <w:r w:rsidRPr="000C7C76">
        <w:rPr>
          <w:rFonts w:asciiTheme="majorBidi" w:hAnsiTheme="majorBidi" w:cstheme="majorBidi"/>
          <w:bCs/>
          <w:lang w:val="de-DE"/>
        </w:rPr>
        <w:t>noteikts</w:t>
      </w:r>
      <w:proofErr w:type="spellEnd"/>
      <w:r w:rsidRPr="000C7C76">
        <w:rPr>
          <w:rFonts w:asciiTheme="majorBidi" w:hAnsiTheme="majorBidi" w:cstheme="majorBidi"/>
          <w:bCs/>
          <w:lang w:val="de-DE"/>
        </w:rPr>
        <w:t xml:space="preserve">, </w:t>
      </w:r>
      <w:proofErr w:type="spellStart"/>
      <w:r w:rsidRPr="000C7C76">
        <w:rPr>
          <w:rFonts w:asciiTheme="majorBidi" w:hAnsiTheme="majorBidi" w:cstheme="majorBidi"/>
          <w:bCs/>
          <w:lang w:val="de-DE"/>
        </w:rPr>
        <w:t>ka</w:t>
      </w:r>
      <w:proofErr w:type="spellEnd"/>
      <w:r w:rsidRPr="000C7C76">
        <w:rPr>
          <w:rFonts w:asciiTheme="majorBidi" w:hAnsiTheme="majorBidi" w:cstheme="majorBidi"/>
          <w:bCs/>
          <w:lang w:val="de-DE"/>
        </w:rPr>
        <w:t xml:space="preserve"> </w:t>
      </w:r>
      <w:proofErr w:type="spellStart"/>
      <w:r w:rsidRPr="000C7C76">
        <w:rPr>
          <w:rFonts w:asciiTheme="majorBidi" w:hAnsiTheme="majorBidi" w:cstheme="majorBidi"/>
          <w:bCs/>
          <w:lang w:val="de-DE"/>
        </w:rPr>
        <w:t>jēdziens</w:t>
      </w:r>
      <w:proofErr w:type="spellEnd"/>
      <w:r w:rsidRPr="000C7C76">
        <w:rPr>
          <w:rFonts w:asciiTheme="majorBidi" w:hAnsiTheme="majorBidi" w:cstheme="majorBidi"/>
          <w:bCs/>
          <w:lang w:val="de-DE"/>
        </w:rPr>
        <w:t xml:space="preserve"> </w:t>
      </w:r>
      <w:r w:rsidRPr="00CD4311">
        <w:rPr>
          <w:rFonts w:asciiTheme="majorBidi" w:hAnsiTheme="majorBidi" w:cstheme="majorBidi"/>
          <w:bCs/>
          <w:lang w:val="de-DE"/>
        </w:rPr>
        <w:t>„</w:t>
      </w:r>
      <w:proofErr w:type="spellStart"/>
      <w:r w:rsidRPr="000C7C76">
        <w:rPr>
          <w:rFonts w:asciiTheme="majorBidi" w:hAnsiTheme="majorBidi" w:cstheme="majorBidi"/>
          <w:bCs/>
          <w:lang w:val="de-DE"/>
        </w:rPr>
        <w:t>publisks</w:t>
      </w:r>
      <w:proofErr w:type="spellEnd"/>
      <w:r w:rsidRPr="000C7C76">
        <w:rPr>
          <w:rFonts w:asciiTheme="majorBidi" w:hAnsiTheme="majorBidi" w:cstheme="majorBidi"/>
          <w:bCs/>
          <w:lang w:val="de-DE"/>
        </w:rPr>
        <w:t xml:space="preserve"> </w:t>
      </w:r>
      <w:proofErr w:type="spellStart"/>
      <w:r w:rsidRPr="000C7C76">
        <w:rPr>
          <w:rFonts w:asciiTheme="majorBidi" w:hAnsiTheme="majorBidi" w:cstheme="majorBidi"/>
          <w:bCs/>
          <w:lang w:val="de-DE"/>
        </w:rPr>
        <w:t>dokuments</w:t>
      </w:r>
      <w:proofErr w:type="spellEnd"/>
      <w:r w:rsidRPr="00CD4311">
        <w:rPr>
          <w:rFonts w:asciiTheme="majorBidi" w:hAnsiTheme="majorBidi" w:cstheme="majorBidi"/>
          <w:bCs/>
          <w:lang w:val="de-DE"/>
        </w:rPr>
        <w:t>“</w:t>
      </w:r>
      <w:r w:rsidRPr="000C7C76">
        <w:rPr>
          <w:rFonts w:asciiTheme="majorBidi" w:hAnsiTheme="majorBidi" w:cstheme="majorBidi"/>
          <w:bCs/>
          <w:lang w:val="de-DE"/>
        </w:rPr>
        <w:t xml:space="preserve"> </w:t>
      </w:r>
      <w:proofErr w:type="spellStart"/>
      <w:r w:rsidRPr="000C7C76">
        <w:rPr>
          <w:rFonts w:asciiTheme="majorBidi" w:hAnsiTheme="majorBidi" w:cstheme="majorBidi"/>
          <w:bCs/>
          <w:lang w:val="de-DE"/>
        </w:rPr>
        <w:t>šī</w:t>
      </w:r>
      <w:proofErr w:type="spellEnd"/>
      <w:r w:rsidRPr="000C7C76">
        <w:rPr>
          <w:rFonts w:asciiTheme="majorBidi" w:hAnsiTheme="majorBidi" w:cstheme="majorBidi"/>
          <w:bCs/>
          <w:lang w:val="de-DE"/>
        </w:rPr>
        <w:t xml:space="preserve"> </w:t>
      </w:r>
      <w:proofErr w:type="spellStart"/>
      <w:r w:rsidRPr="000C7C76">
        <w:rPr>
          <w:rFonts w:asciiTheme="majorBidi" w:hAnsiTheme="majorBidi" w:cstheme="majorBidi"/>
          <w:bCs/>
          <w:lang w:val="de-DE"/>
        </w:rPr>
        <w:t>likuma</w:t>
      </w:r>
      <w:proofErr w:type="spellEnd"/>
      <w:r w:rsidRPr="000C7C76">
        <w:rPr>
          <w:rFonts w:asciiTheme="majorBidi" w:hAnsiTheme="majorBidi" w:cstheme="majorBidi"/>
          <w:bCs/>
          <w:lang w:val="de-DE"/>
        </w:rPr>
        <w:t xml:space="preserve"> </w:t>
      </w:r>
      <w:proofErr w:type="spellStart"/>
      <w:r w:rsidRPr="000C7C76">
        <w:rPr>
          <w:rFonts w:asciiTheme="majorBidi" w:hAnsiTheme="majorBidi" w:cstheme="majorBidi"/>
          <w:bCs/>
          <w:lang w:val="de-DE"/>
        </w:rPr>
        <w:t>nolūkos</w:t>
      </w:r>
      <w:proofErr w:type="spellEnd"/>
      <w:r w:rsidRPr="000C7C76">
        <w:rPr>
          <w:rFonts w:asciiTheme="majorBidi" w:hAnsiTheme="majorBidi" w:cstheme="majorBidi"/>
          <w:bCs/>
          <w:lang w:val="de-DE"/>
        </w:rPr>
        <w:t xml:space="preserve"> </w:t>
      </w:r>
      <w:proofErr w:type="spellStart"/>
      <w:r w:rsidRPr="000C7C76">
        <w:rPr>
          <w:rFonts w:asciiTheme="majorBidi" w:hAnsiTheme="majorBidi" w:cstheme="majorBidi"/>
          <w:bCs/>
          <w:lang w:val="de-DE"/>
        </w:rPr>
        <w:t>atbilst</w:t>
      </w:r>
      <w:proofErr w:type="spellEnd"/>
      <w:r w:rsidRPr="000C7C76">
        <w:rPr>
          <w:rFonts w:asciiTheme="majorBidi" w:hAnsiTheme="majorBidi" w:cstheme="majorBidi"/>
          <w:bCs/>
          <w:lang w:val="de-DE"/>
        </w:rPr>
        <w:t xml:space="preserve"> 1961.gada 5.</w:t>
      </w:r>
      <w:proofErr w:type="gramStart"/>
      <w:r w:rsidRPr="000C7C76">
        <w:rPr>
          <w:rFonts w:asciiTheme="majorBidi" w:hAnsiTheme="majorBidi" w:cstheme="majorBidi"/>
          <w:bCs/>
          <w:lang w:val="de-DE"/>
        </w:rPr>
        <w:t xml:space="preserve">oktobra  </w:t>
      </w:r>
      <w:proofErr w:type="spellStart"/>
      <w:r w:rsidRPr="00CD4311">
        <w:rPr>
          <w:rFonts w:ascii="Times New Roman" w:hAnsi="Times New Roman" w:cs="Arial"/>
          <w:lang w:val="de-DE"/>
        </w:rPr>
        <w:t>Hāgas</w:t>
      </w:r>
      <w:proofErr w:type="spellEnd"/>
      <w:proofErr w:type="gramEnd"/>
      <w:r w:rsidRPr="00CD4311">
        <w:rPr>
          <w:rFonts w:ascii="Times New Roman" w:hAnsi="Times New Roman" w:cs="Arial"/>
          <w:lang w:val="de-DE"/>
        </w:rPr>
        <w:t xml:space="preserve"> </w:t>
      </w:r>
      <w:proofErr w:type="spellStart"/>
      <w:r w:rsidRPr="00CD4311">
        <w:rPr>
          <w:rFonts w:ascii="Times New Roman" w:hAnsi="Times New Roman" w:cs="Arial"/>
          <w:lang w:val="de-DE"/>
        </w:rPr>
        <w:t>konvencijā</w:t>
      </w:r>
      <w:proofErr w:type="spellEnd"/>
      <w:r w:rsidRPr="00CD4311">
        <w:rPr>
          <w:rFonts w:ascii="Times New Roman" w:hAnsi="Times New Roman" w:cs="Arial"/>
          <w:lang w:val="de-DE"/>
        </w:rPr>
        <w:t xml:space="preserve"> </w:t>
      </w:r>
      <w:r w:rsidRPr="000C7C76">
        <w:rPr>
          <w:rFonts w:asciiTheme="majorBidi" w:hAnsiTheme="majorBidi" w:cstheme="majorBidi"/>
          <w:bCs/>
          <w:lang w:val="de-DE"/>
        </w:rPr>
        <w:t xml:space="preserve">par </w:t>
      </w:r>
      <w:proofErr w:type="spellStart"/>
      <w:r w:rsidRPr="000C7C76">
        <w:rPr>
          <w:rFonts w:asciiTheme="majorBidi" w:hAnsiTheme="majorBidi" w:cstheme="majorBidi"/>
          <w:bCs/>
          <w:lang w:val="de-DE"/>
        </w:rPr>
        <w:t>ārvalstu</w:t>
      </w:r>
      <w:proofErr w:type="spellEnd"/>
      <w:r w:rsidRPr="000C7C76">
        <w:rPr>
          <w:rFonts w:asciiTheme="majorBidi" w:hAnsiTheme="majorBidi" w:cstheme="majorBidi"/>
          <w:bCs/>
          <w:lang w:val="de-DE"/>
        </w:rPr>
        <w:t xml:space="preserve"> </w:t>
      </w:r>
      <w:proofErr w:type="spellStart"/>
      <w:r w:rsidRPr="000C7C76">
        <w:rPr>
          <w:rFonts w:asciiTheme="majorBidi" w:hAnsiTheme="majorBidi" w:cstheme="majorBidi"/>
          <w:bCs/>
          <w:lang w:val="de-DE"/>
        </w:rPr>
        <w:t>publisko</w:t>
      </w:r>
      <w:proofErr w:type="spellEnd"/>
      <w:r w:rsidRPr="000C7C76">
        <w:rPr>
          <w:rFonts w:asciiTheme="majorBidi" w:hAnsiTheme="majorBidi" w:cstheme="majorBidi"/>
          <w:bCs/>
          <w:lang w:val="de-DE"/>
        </w:rPr>
        <w:t xml:space="preserve"> </w:t>
      </w:r>
      <w:proofErr w:type="spellStart"/>
      <w:r w:rsidRPr="000C7C76">
        <w:rPr>
          <w:rFonts w:asciiTheme="majorBidi" w:hAnsiTheme="majorBidi" w:cstheme="majorBidi"/>
          <w:bCs/>
          <w:lang w:val="de-DE"/>
        </w:rPr>
        <w:t>dokumentu</w:t>
      </w:r>
      <w:proofErr w:type="spellEnd"/>
      <w:r w:rsidRPr="000C7C76">
        <w:rPr>
          <w:rFonts w:asciiTheme="majorBidi" w:hAnsiTheme="majorBidi" w:cstheme="majorBidi"/>
          <w:bCs/>
          <w:lang w:val="de-DE"/>
        </w:rPr>
        <w:t xml:space="preserve"> </w:t>
      </w:r>
      <w:proofErr w:type="spellStart"/>
      <w:r w:rsidRPr="000C7C76">
        <w:rPr>
          <w:rFonts w:asciiTheme="majorBidi" w:hAnsiTheme="majorBidi" w:cstheme="majorBidi"/>
          <w:bCs/>
          <w:lang w:val="de-DE"/>
        </w:rPr>
        <w:t>legalizācijas</w:t>
      </w:r>
      <w:proofErr w:type="spellEnd"/>
      <w:r w:rsidRPr="000C7C76">
        <w:rPr>
          <w:rFonts w:asciiTheme="majorBidi" w:hAnsiTheme="majorBidi" w:cstheme="majorBidi"/>
          <w:bCs/>
          <w:lang w:val="de-DE"/>
        </w:rPr>
        <w:t xml:space="preserve"> </w:t>
      </w:r>
      <w:proofErr w:type="spellStart"/>
      <w:r w:rsidRPr="000C7C76">
        <w:rPr>
          <w:rFonts w:asciiTheme="majorBidi" w:hAnsiTheme="majorBidi" w:cstheme="majorBidi"/>
          <w:bCs/>
          <w:lang w:val="de-DE"/>
        </w:rPr>
        <w:t>prasības</w:t>
      </w:r>
      <w:proofErr w:type="spellEnd"/>
      <w:r w:rsidRPr="000C7C76">
        <w:rPr>
          <w:rFonts w:asciiTheme="majorBidi" w:hAnsiTheme="majorBidi" w:cstheme="majorBidi"/>
          <w:bCs/>
          <w:lang w:val="de-DE"/>
        </w:rPr>
        <w:t xml:space="preserve"> </w:t>
      </w:r>
      <w:proofErr w:type="spellStart"/>
      <w:r w:rsidRPr="000C7C76">
        <w:rPr>
          <w:rFonts w:asciiTheme="majorBidi" w:hAnsiTheme="majorBidi" w:cstheme="majorBidi"/>
          <w:bCs/>
          <w:lang w:val="de-DE"/>
        </w:rPr>
        <w:t>atcelšanu</w:t>
      </w:r>
      <w:proofErr w:type="spellEnd"/>
      <w:r w:rsidRPr="000C7C76">
        <w:rPr>
          <w:rFonts w:asciiTheme="majorBidi" w:hAnsiTheme="majorBidi" w:cstheme="majorBidi"/>
          <w:bCs/>
          <w:lang w:val="de-DE"/>
        </w:rPr>
        <w:t xml:space="preserve"> </w:t>
      </w:r>
      <w:proofErr w:type="spellStart"/>
      <w:r w:rsidRPr="000C7C76">
        <w:rPr>
          <w:rFonts w:asciiTheme="majorBidi" w:hAnsiTheme="majorBidi" w:cstheme="majorBidi"/>
          <w:bCs/>
          <w:lang w:val="de-DE"/>
        </w:rPr>
        <w:t>lietotā</w:t>
      </w:r>
      <w:proofErr w:type="spellEnd"/>
      <w:r w:rsidRPr="000C7C76">
        <w:rPr>
          <w:rFonts w:asciiTheme="majorBidi" w:hAnsiTheme="majorBidi" w:cstheme="majorBidi"/>
          <w:bCs/>
          <w:lang w:val="de-DE"/>
        </w:rPr>
        <w:t xml:space="preserve"> </w:t>
      </w:r>
      <w:proofErr w:type="spellStart"/>
      <w:r w:rsidRPr="000C7C76">
        <w:rPr>
          <w:rFonts w:asciiTheme="majorBidi" w:hAnsiTheme="majorBidi" w:cstheme="majorBidi"/>
          <w:bCs/>
          <w:lang w:val="de-DE"/>
        </w:rPr>
        <w:t>attiecīgā</w:t>
      </w:r>
      <w:proofErr w:type="spellEnd"/>
      <w:r w:rsidRPr="000C7C76">
        <w:rPr>
          <w:rFonts w:asciiTheme="majorBidi" w:hAnsiTheme="majorBidi" w:cstheme="majorBidi"/>
          <w:bCs/>
          <w:lang w:val="de-DE"/>
        </w:rPr>
        <w:t xml:space="preserve"> </w:t>
      </w:r>
      <w:proofErr w:type="spellStart"/>
      <w:r w:rsidRPr="000C7C76">
        <w:rPr>
          <w:rFonts w:asciiTheme="majorBidi" w:hAnsiTheme="majorBidi" w:cstheme="majorBidi"/>
          <w:bCs/>
          <w:lang w:val="de-DE"/>
        </w:rPr>
        <w:t>termina</w:t>
      </w:r>
      <w:proofErr w:type="spellEnd"/>
      <w:r w:rsidRPr="000C7C76">
        <w:rPr>
          <w:rFonts w:asciiTheme="majorBidi" w:hAnsiTheme="majorBidi" w:cstheme="majorBidi"/>
          <w:bCs/>
          <w:lang w:val="de-DE"/>
        </w:rPr>
        <w:t xml:space="preserve"> </w:t>
      </w:r>
      <w:proofErr w:type="spellStart"/>
      <w:r w:rsidRPr="000C7C76">
        <w:rPr>
          <w:rFonts w:asciiTheme="majorBidi" w:hAnsiTheme="majorBidi" w:cstheme="majorBidi"/>
          <w:bCs/>
          <w:lang w:val="de-DE"/>
        </w:rPr>
        <w:t>skaidrojumam</w:t>
      </w:r>
      <w:proofErr w:type="spellEnd"/>
      <w:r w:rsidRPr="000C7C76">
        <w:rPr>
          <w:rFonts w:asciiTheme="majorBidi" w:hAnsiTheme="majorBidi" w:cstheme="majorBidi"/>
          <w:bCs/>
          <w:lang w:val="de-DE"/>
        </w:rPr>
        <w:t xml:space="preserve">, </w:t>
      </w:r>
      <w:proofErr w:type="spellStart"/>
      <w:r w:rsidRPr="000C7C76">
        <w:rPr>
          <w:rFonts w:asciiTheme="majorBidi" w:hAnsiTheme="majorBidi" w:cstheme="majorBidi"/>
          <w:bCs/>
          <w:lang w:val="de-DE"/>
        </w:rPr>
        <w:t>tad</w:t>
      </w:r>
      <w:proofErr w:type="spellEnd"/>
      <w:r w:rsidRPr="000C7C76">
        <w:rPr>
          <w:rFonts w:asciiTheme="majorBidi" w:hAnsiTheme="majorBidi" w:cstheme="majorBidi"/>
          <w:bCs/>
          <w:lang w:val="de-DE"/>
        </w:rPr>
        <w:t xml:space="preserve"> </w:t>
      </w:r>
      <w:proofErr w:type="spellStart"/>
      <w:r w:rsidRPr="000C7C76">
        <w:rPr>
          <w:rFonts w:asciiTheme="majorBidi" w:hAnsiTheme="majorBidi" w:cstheme="majorBidi"/>
          <w:bCs/>
          <w:lang w:val="de-DE"/>
        </w:rPr>
        <w:t>iepriekš</w:t>
      </w:r>
      <w:proofErr w:type="spellEnd"/>
      <w:r w:rsidRPr="000C7C76">
        <w:rPr>
          <w:rFonts w:asciiTheme="majorBidi" w:hAnsiTheme="majorBidi" w:cstheme="majorBidi"/>
          <w:bCs/>
          <w:lang w:val="de-DE"/>
        </w:rPr>
        <w:t xml:space="preserve"> </w:t>
      </w:r>
      <w:proofErr w:type="spellStart"/>
      <w:r w:rsidRPr="000C7C76">
        <w:rPr>
          <w:rFonts w:asciiTheme="majorBidi" w:hAnsiTheme="majorBidi" w:cstheme="majorBidi"/>
          <w:bCs/>
          <w:lang w:val="de-DE"/>
        </w:rPr>
        <w:t>minētās</w:t>
      </w:r>
      <w:proofErr w:type="spellEnd"/>
      <w:r w:rsidRPr="000C7C76">
        <w:rPr>
          <w:rFonts w:asciiTheme="majorBidi" w:hAnsiTheme="majorBidi" w:cstheme="majorBidi"/>
          <w:bCs/>
          <w:lang w:val="de-DE"/>
        </w:rPr>
        <w:t xml:space="preserve"> </w:t>
      </w:r>
      <w:proofErr w:type="spellStart"/>
      <w:r w:rsidRPr="000C7C76">
        <w:rPr>
          <w:rFonts w:asciiTheme="majorBidi" w:hAnsiTheme="majorBidi" w:cstheme="majorBidi"/>
          <w:bCs/>
          <w:lang w:val="de-DE"/>
        </w:rPr>
        <w:t>Konvencijas</w:t>
      </w:r>
      <w:proofErr w:type="spellEnd"/>
      <w:r w:rsidRPr="000C7C76">
        <w:rPr>
          <w:rFonts w:asciiTheme="majorBidi" w:hAnsiTheme="majorBidi" w:cstheme="majorBidi"/>
          <w:bCs/>
          <w:lang w:val="de-DE"/>
        </w:rPr>
        <w:t xml:space="preserve"> </w:t>
      </w:r>
      <w:r w:rsidRPr="00CD4311">
        <w:rPr>
          <w:rFonts w:asciiTheme="majorBidi" w:hAnsiTheme="majorBidi" w:cstheme="majorBidi"/>
          <w:bCs/>
          <w:lang w:val="de-DE"/>
        </w:rPr>
        <w:t xml:space="preserve">1.panta 2.punkta „d“ </w:t>
      </w:r>
      <w:proofErr w:type="spellStart"/>
      <w:r w:rsidRPr="00CD4311">
        <w:rPr>
          <w:rFonts w:asciiTheme="majorBidi" w:hAnsiTheme="majorBidi" w:cstheme="majorBidi"/>
          <w:bCs/>
          <w:lang w:val="de-DE"/>
        </w:rPr>
        <w:t>apakšpunkta</w:t>
      </w:r>
      <w:proofErr w:type="spellEnd"/>
      <w:r w:rsidRPr="00CD4311">
        <w:rPr>
          <w:rFonts w:asciiTheme="majorBidi" w:hAnsiTheme="majorBidi" w:cstheme="majorBidi"/>
          <w:bCs/>
          <w:lang w:val="de-DE"/>
        </w:rPr>
        <w:t xml:space="preserve"> </w:t>
      </w:r>
      <w:proofErr w:type="spellStart"/>
      <w:r w:rsidRPr="00CD4311">
        <w:rPr>
          <w:rFonts w:asciiTheme="majorBidi" w:hAnsiTheme="majorBidi" w:cstheme="majorBidi"/>
          <w:bCs/>
          <w:lang w:val="de-DE"/>
        </w:rPr>
        <w:t>analīze</w:t>
      </w:r>
      <w:proofErr w:type="spellEnd"/>
      <w:r w:rsidRPr="00CD4311">
        <w:rPr>
          <w:rFonts w:asciiTheme="majorBidi" w:hAnsiTheme="majorBidi" w:cstheme="majorBidi"/>
          <w:bCs/>
          <w:lang w:val="de-DE"/>
        </w:rPr>
        <w:t xml:space="preserve"> </w:t>
      </w:r>
      <w:proofErr w:type="spellStart"/>
      <w:r w:rsidRPr="00CD4311">
        <w:rPr>
          <w:rFonts w:asciiTheme="majorBidi" w:hAnsiTheme="majorBidi" w:cstheme="majorBidi"/>
          <w:bCs/>
          <w:lang w:val="de-DE"/>
        </w:rPr>
        <w:t>attiecas</w:t>
      </w:r>
      <w:proofErr w:type="spellEnd"/>
      <w:r w:rsidRPr="00CD4311">
        <w:rPr>
          <w:rFonts w:asciiTheme="majorBidi" w:hAnsiTheme="majorBidi" w:cstheme="majorBidi"/>
          <w:bCs/>
          <w:lang w:val="de-DE"/>
        </w:rPr>
        <w:t xml:space="preserve"> </w:t>
      </w:r>
      <w:proofErr w:type="spellStart"/>
      <w:r w:rsidRPr="00CD4311">
        <w:rPr>
          <w:rFonts w:asciiTheme="majorBidi" w:hAnsiTheme="majorBidi" w:cstheme="majorBidi"/>
          <w:bCs/>
          <w:lang w:val="de-DE"/>
        </w:rPr>
        <w:t>arī</w:t>
      </w:r>
      <w:proofErr w:type="spellEnd"/>
      <w:r w:rsidRPr="00CD4311">
        <w:rPr>
          <w:rFonts w:asciiTheme="majorBidi" w:hAnsiTheme="majorBidi" w:cstheme="majorBidi"/>
          <w:bCs/>
          <w:lang w:val="de-DE"/>
        </w:rPr>
        <w:t xml:space="preserve"> </w:t>
      </w:r>
      <w:proofErr w:type="spellStart"/>
      <w:r w:rsidRPr="00CD4311">
        <w:rPr>
          <w:rFonts w:asciiTheme="majorBidi" w:hAnsiTheme="majorBidi" w:cstheme="majorBidi"/>
          <w:bCs/>
          <w:lang w:val="de-DE"/>
        </w:rPr>
        <w:t>uz</w:t>
      </w:r>
      <w:proofErr w:type="spellEnd"/>
      <w:r w:rsidRPr="00CD4311">
        <w:rPr>
          <w:rFonts w:asciiTheme="majorBidi" w:hAnsiTheme="majorBidi" w:cstheme="majorBidi"/>
          <w:bCs/>
          <w:lang w:val="de-DE"/>
        </w:rPr>
        <w:t xml:space="preserve"> </w:t>
      </w:r>
      <w:proofErr w:type="spellStart"/>
      <w:r w:rsidRPr="00CD4311">
        <w:rPr>
          <w:rFonts w:asciiTheme="majorBidi" w:hAnsiTheme="majorBidi" w:cstheme="majorBidi"/>
          <w:bCs/>
          <w:lang w:val="de-DE"/>
        </w:rPr>
        <w:t>Dokumentu</w:t>
      </w:r>
      <w:proofErr w:type="spellEnd"/>
      <w:r w:rsidRPr="00CD4311">
        <w:rPr>
          <w:rFonts w:asciiTheme="majorBidi" w:hAnsiTheme="majorBidi" w:cstheme="majorBidi"/>
          <w:bCs/>
          <w:lang w:val="de-DE"/>
        </w:rPr>
        <w:t xml:space="preserve"> </w:t>
      </w:r>
      <w:proofErr w:type="spellStart"/>
      <w:r w:rsidRPr="00CD4311">
        <w:rPr>
          <w:rFonts w:asciiTheme="majorBidi" w:hAnsiTheme="majorBidi" w:cstheme="majorBidi"/>
          <w:bCs/>
          <w:lang w:val="de-DE"/>
        </w:rPr>
        <w:t>legalizācijas</w:t>
      </w:r>
      <w:proofErr w:type="spellEnd"/>
      <w:r w:rsidRPr="00CD4311">
        <w:rPr>
          <w:rFonts w:asciiTheme="majorBidi" w:hAnsiTheme="majorBidi" w:cstheme="majorBidi"/>
          <w:bCs/>
          <w:lang w:val="de-DE"/>
        </w:rPr>
        <w:t xml:space="preserve"> </w:t>
      </w:r>
      <w:proofErr w:type="spellStart"/>
      <w:r w:rsidRPr="00CD4311">
        <w:rPr>
          <w:rFonts w:asciiTheme="majorBidi" w:hAnsiTheme="majorBidi" w:cstheme="majorBidi"/>
          <w:bCs/>
          <w:lang w:val="de-DE"/>
        </w:rPr>
        <w:t>likumu</w:t>
      </w:r>
      <w:proofErr w:type="spellEnd"/>
      <w:r w:rsidRPr="00CD4311">
        <w:rPr>
          <w:rFonts w:asciiTheme="majorBidi" w:hAnsiTheme="majorBidi" w:cstheme="majorBidi"/>
          <w:bCs/>
          <w:lang w:val="de-DE"/>
        </w:rPr>
        <w:t xml:space="preserve"> </w:t>
      </w:r>
      <w:proofErr w:type="spellStart"/>
      <w:r w:rsidRPr="00CD4311">
        <w:rPr>
          <w:rFonts w:asciiTheme="majorBidi" w:hAnsiTheme="majorBidi" w:cstheme="majorBidi"/>
          <w:bCs/>
          <w:lang w:val="de-DE"/>
        </w:rPr>
        <w:t>un</w:t>
      </w:r>
      <w:proofErr w:type="spellEnd"/>
      <w:r w:rsidRPr="00CD4311">
        <w:rPr>
          <w:rFonts w:asciiTheme="majorBidi" w:hAnsiTheme="majorBidi" w:cstheme="majorBidi"/>
          <w:bCs/>
          <w:lang w:val="de-DE"/>
        </w:rPr>
        <w:t xml:space="preserve"> </w:t>
      </w:r>
      <w:proofErr w:type="spellStart"/>
      <w:r w:rsidRPr="00CD4311">
        <w:rPr>
          <w:rFonts w:asciiTheme="majorBidi" w:hAnsiTheme="majorBidi" w:cstheme="majorBidi"/>
          <w:bCs/>
          <w:lang w:val="de-DE"/>
        </w:rPr>
        <w:t>tajā</w:t>
      </w:r>
      <w:proofErr w:type="spellEnd"/>
      <w:r w:rsidRPr="00CD4311">
        <w:rPr>
          <w:rFonts w:asciiTheme="majorBidi" w:hAnsiTheme="majorBidi" w:cstheme="majorBidi"/>
          <w:bCs/>
          <w:lang w:val="de-DE"/>
        </w:rPr>
        <w:t xml:space="preserve"> </w:t>
      </w:r>
      <w:proofErr w:type="spellStart"/>
      <w:r w:rsidRPr="00CD4311">
        <w:rPr>
          <w:rFonts w:asciiTheme="majorBidi" w:hAnsiTheme="majorBidi" w:cstheme="majorBidi"/>
          <w:bCs/>
          <w:lang w:val="de-DE"/>
        </w:rPr>
        <w:t>lietoto</w:t>
      </w:r>
      <w:proofErr w:type="spellEnd"/>
      <w:r w:rsidRPr="00CD4311">
        <w:rPr>
          <w:rFonts w:asciiTheme="majorBidi" w:hAnsiTheme="majorBidi" w:cstheme="majorBidi"/>
          <w:bCs/>
          <w:lang w:val="de-DE"/>
        </w:rPr>
        <w:t xml:space="preserve"> </w:t>
      </w:r>
      <w:proofErr w:type="spellStart"/>
      <w:r w:rsidRPr="00CD4311">
        <w:rPr>
          <w:rFonts w:asciiTheme="majorBidi" w:hAnsiTheme="majorBidi" w:cstheme="majorBidi"/>
          <w:bCs/>
          <w:lang w:val="de-DE"/>
        </w:rPr>
        <w:t>jēdzienu</w:t>
      </w:r>
      <w:proofErr w:type="spellEnd"/>
      <w:r w:rsidRPr="00CD4311">
        <w:rPr>
          <w:rFonts w:asciiTheme="majorBidi" w:hAnsiTheme="majorBidi" w:cstheme="majorBidi"/>
          <w:bCs/>
          <w:lang w:val="de-DE"/>
        </w:rPr>
        <w:t xml:space="preserve"> „</w:t>
      </w:r>
      <w:proofErr w:type="spellStart"/>
      <w:r w:rsidRPr="00CD4311">
        <w:rPr>
          <w:rFonts w:asciiTheme="majorBidi" w:hAnsiTheme="majorBidi" w:cstheme="majorBidi"/>
          <w:bCs/>
          <w:lang w:val="de-DE"/>
        </w:rPr>
        <w:t>publisks</w:t>
      </w:r>
      <w:proofErr w:type="spellEnd"/>
      <w:r w:rsidRPr="00CD4311">
        <w:rPr>
          <w:rFonts w:asciiTheme="majorBidi" w:hAnsiTheme="majorBidi" w:cstheme="majorBidi"/>
          <w:bCs/>
          <w:lang w:val="de-DE"/>
        </w:rPr>
        <w:t xml:space="preserve"> </w:t>
      </w:r>
      <w:proofErr w:type="spellStart"/>
      <w:r w:rsidRPr="00CD4311">
        <w:rPr>
          <w:rFonts w:asciiTheme="majorBidi" w:hAnsiTheme="majorBidi" w:cstheme="majorBidi"/>
          <w:bCs/>
          <w:lang w:val="de-DE"/>
        </w:rPr>
        <w:t>dokuments</w:t>
      </w:r>
      <w:proofErr w:type="spellEnd"/>
      <w:r w:rsidRPr="00CD4311">
        <w:rPr>
          <w:rFonts w:asciiTheme="majorBidi" w:hAnsiTheme="majorBidi" w:cstheme="majorBidi"/>
          <w:bCs/>
          <w:lang w:val="de-DE"/>
        </w:rPr>
        <w:t xml:space="preserve">“. </w:t>
      </w:r>
      <w:proofErr w:type="spellStart"/>
      <w:r w:rsidRPr="00CD4311">
        <w:rPr>
          <w:rFonts w:asciiTheme="majorBidi" w:hAnsiTheme="majorBidi" w:cstheme="majorBidi"/>
          <w:bCs/>
          <w:lang w:val="de-DE"/>
        </w:rPr>
        <w:t>Un</w:t>
      </w:r>
      <w:proofErr w:type="spellEnd"/>
      <w:r w:rsidRPr="00CD4311">
        <w:rPr>
          <w:rFonts w:asciiTheme="majorBidi" w:hAnsiTheme="majorBidi" w:cstheme="majorBidi"/>
          <w:bCs/>
          <w:lang w:val="de-DE"/>
        </w:rPr>
        <w:t xml:space="preserve"> </w:t>
      </w:r>
      <w:proofErr w:type="spellStart"/>
      <w:r w:rsidRPr="00CD4311">
        <w:rPr>
          <w:rFonts w:asciiTheme="majorBidi" w:hAnsiTheme="majorBidi" w:cstheme="majorBidi"/>
          <w:bCs/>
          <w:lang w:val="de-DE"/>
        </w:rPr>
        <w:t>tas</w:t>
      </w:r>
      <w:proofErr w:type="spellEnd"/>
      <w:r w:rsidRPr="00CD4311">
        <w:rPr>
          <w:rFonts w:asciiTheme="majorBidi" w:hAnsiTheme="majorBidi" w:cstheme="majorBidi"/>
          <w:bCs/>
          <w:lang w:val="de-DE"/>
        </w:rPr>
        <w:t xml:space="preserve"> </w:t>
      </w:r>
      <w:proofErr w:type="spellStart"/>
      <w:r w:rsidRPr="00CD4311">
        <w:rPr>
          <w:rFonts w:asciiTheme="majorBidi" w:hAnsiTheme="majorBidi" w:cstheme="majorBidi"/>
          <w:bCs/>
          <w:lang w:val="de-DE"/>
        </w:rPr>
        <w:t>nozīmē</w:t>
      </w:r>
      <w:proofErr w:type="spellEnd"/>
      <w:r w:rsidRPr="00CD4311">
        <w:rPr>
          <w:rFonts w:asciiTheme="majorBidi" w:hAnsiTheme="majorBidi" w:cstheme="majorBidi"/>
          <w:bCs/>
          <w:lang w:val="de-DE"/>
        </w:rPr>
        <w:t xml:space="preserve">, </w:t>
      </w:r>
      <w:proofErr w:type="spellStart"/>
      <w:r w:rsidRPr="00CD4311">
        <w:rPr>
          <w:rFonts w:asciiTheme="majorBidi" w:hAnsiTheme="majorBidi" w:cstheme="majorBidi"/>
          <w:bCs/>
          <w:lang w:val="de-DE"/>
        </w:rPr>
        <w:t>ka</w:t>
      </w:r>
      <w:proofErr w:type="spellEnd"/>
      <w:r w:rsidRPr="00CD4311">
        <w:rPr>
          <w:rFonts w:asciiTheme="majorBidi" w:hAnsiTheme="majorBidi" w:cstheme="majorBidi"/>
          <w:bCs/>
          <w:lang w:val="de-DE"/>
        </w:rPr>
        <w:t xml:space="preserve"> </w:t>
      </w:r>
      <w:proofErr w:type="spellStart"/>
      <w:r w:rsidRPr="00CD4311">
        <w:rPr>
          <w:rFonts w:asciiTheme="majorBidi" w:hAnsiTheme="majorBidi" w:cstheme="majorBidi"/>
          <w:bCs/>
          <w:lang w:val="de-DE"/>
        </w:rPr>
        <w:t>arī</w:t>
      </w:r>
      <w:proofErr w:type="spellEnd"/>
      <w:r w:rsidRPr="00CD4311">
        <w:rPr>
          <w:rFonts w:asciiTheme="majorBidi" w:hAnsiTheme="majorBidi" w:cstheme="majorBidi"/>
          <w:bCs/>
          <w:lang w:val="de-DE"/>
        </w:rPr>
        <w:t xml:space="preserve"> </w:t>
      </w:r>
      <w:proofErr w:type="spellStart"/>
      <w:r w:rsidRPr="00CD4311">
        <w:rPr>
          <w:rFonts w:asciiTheme="majorBidi" w:hAnsiTheme="majorBidi" w:cstheme="majorBidi"/>
          <w:bCs/>
          <w:lang w:val="de-DE"/>
        </w:rPr>
        <w:t>Dokumentu</w:t>
      </w:r>
      <w:proofErr w:type="spellEnd"/>
      <w:r w:rsidRPr="00CD4311">
        <w:rPr>
          <w:rFonts w:asciiTheme="majorBidi" w:hAnsiTheme="majorBidi" w:cstheme="majorBidi"/>
          <w:bCs/>
          <w:lang w:val="de-DE"/>
        </w:rPr>
        <w:t xml:space="preserve"> </w:t>
      </w:r>
      <w:proofErr w:type="spellStart"/>
      <w:r w:rsidRPr="00CD4311">
        <w:rPr>
          <w:rFonts w:asciiTheme="majorBidi" w:hAnsiTheme="majorBidi" w:cstheme="majorBidi"/>
          <w:bCs/>
          <w:lang w:val="de-DE"/>
        </w:rPr>
        <w:t>legalizācijas</w:t>
      </w:r>
      <w:proofErr w:type="spellEnd"/>
      <w:r w:rsidRPr="00CD4311">
        <w:rPr>
          <w:rFonts w:asciiTheme="majorBidi" w:hAnsiTheme="majorBidi" w:cstheme="majorBidi"/>
          <w:bCs/>
          <w:lang w:val="de-DE"/>
        </w:rPr>
        <w:t xml:space="preserve"> </w:t>
      </w:r>
      <w:proofErr w:type="spellStart"/>
      <w:r w:rsidRPr="00CD4311">
        <w:rPr>
          <w:rFonts w:asciiTheme="majorBidi" w:hAnsiTheme="majorBidi" w:cstheme="majorBidi"/>
          <w:bCs/>
          <w:lang w:val="de-DE"/>
        </w:rPr>
        <w:t>likuma</w:t>
      </w:r>
      <w:proofErr w:type="spellEnd"/>
      <w:r w:rsidRPr="00CD4311">
        <w:rPr>
          <w:rFonts w:asciiTheme="majorBidi" w:hAnsiTheme="majorBidi" w:cstheme="majorBidi"/>
          <w:bCs/>
          <w:lang w:val="de-DE"/>
        </w:rPr>
        <w:t xml:space="preserve"> 10.panta </w:t>
      </w:r>
      <w:proofErr w:type="spellStart"/>
      <w:r w:rsidRPr="00CD4311">
        <w:rPr>
          <w:rFonts w:asciiTheme="majorBidi" w:hAnsiTheme="majorBidi" w:cstheme="majorBidi"/>
          <w:bCs/>
          <w:lang w:val="de-DE"/>
        </w:rPr>
        <w:t>pirmā</w:t>
      </w:r>
      <w:proofErr w:type="spellEnd"/>
      <w:r w:rsidRPr="00CD4311">
        <w:rPr>
          <w:rFonts w:asciiTheme="majorBidi" w:hAnsiTheme="majorBidi" w:cstheme="majorBidi"/>
          <w:bCs/>
          <w:lang w:val="de-DE"/>
        </w:rPr>
        <w:t xml:space="preserve"> </w:t>
      </w:r>
      <w:proofErr w:type="spellStart"/>
      <w:r w:rsidRPr="00CD4311">
        <w:rPr>
          <w:rFonts w:asciiTheme="majorBidi" w:hAnsiTheme="majorBidi" w:cstheme="majorBidi"/>
          <w:bCs/>
          <w:lang w:val="de-DE"/>
        </w:rPr>
        <w:t>daļa</w:t>
      </w:r>
      <w:proofErr w:type="spellEnd"/>
      <w:r w:rsidRPr="00CD4311">
        <w:rPr>
          <w:rFonts w:asciiTheme="majorBidi" w:hAnsiTheme="majorBidi" w:cstheme="majorBidi"/>
          <w:bCs/>
          <w:lang w:val="de-DE"/>
        </w:rPr>
        <w:t xml:space="preserve"> </w:t>
      </w:r>
      <w:proofErr w:type="spellStart"/>
      <w:r w:rsidRPr="00CD4311">
        <w:rPr>
          <w:rFonts w:asciiTheme="majorBidi" w:hAnsiTheme="majorBidi" w:cstheme="majorBidi"/>
          <w:bCs/>
          <w:lang w:val="de-DE"/>
        </w:rPr>
        <w:t>ir</w:t>
      </w:r>
      <w:proofErr w:type="spellEnd"/>
      <w:r w:rsidRPr="00CD4311">
        <w:rPr>
          <w:rFonts w:asciiTheme="majorBidi" w:hAnsiTheme="majorBidi" w:cstheme="majorBidi"/>
          <w:bCs/>
          <w:lang w:val="de-DE"/>
        </w:rPr>
        <w:t xml:space="preserve"> </w:t>
      </w:r>
      <w:proofErr w:type="spellStart"/>
      <w:r w:rsidRPr="00CD4311">
        <w:rPr>
          <w:rFonts w:asciiTheme="majorBidi" w:hAnsiTheme="majorBidi" w:cstheme="majorBidi"/>
          <w:bCs/>
          <w:lang w:val="de-DE"/>
        </w:rPr>
        <w:t>jāinterpretē</w:t>
      </w:r>
      <w:proofErr w:type="spellEnd"/>
      <w:r w:rsidRPr="00CD4311">
        <w:rPr>
          <w:rFonts w:asciiTheme="majorBidi" w:hAnsiTheme="majorBidi" w:cstheme="majorBidi"/>
          <w:bCs/>
          <w:lang w:val="de-DE"/>
        </w:rPr>
        <w:t xml:space="preserve"> </w:t>
      </w:r>
      <w:proofErr w:type="spellStart"/>
      <w:r w:rsidRPr="00CD4311">
        <w:rPr>
          <w:rFonts w:asciiTheme="majorBidi" w:hAnsiTheme="majorBidi" w:cstheme="majorBidi"/>
          <w:bCs/>
          <w:lang w:val="de-DE"/>
        </w:rPr>
        <w:t>ļoti</w:t>
      </w:r>
      <w:proofErr w:type="spellEnd"/>
      <w:r w:rsidRPr="00CD4311">
        <w:rPr>
          <w:rFonts w:asciiTheme="majorBidi" w:hAnsiTheme="majorBidi" w:cstheme="majorBidi"/>
          <w:bCs/>
          <w:lang w:val="de-DE"/>
        </w:rPr>
        <w:t xml:space="preserve"> </w:t>
      </w:r>
      <w:proofErr w:type="spellStart"/>
      <w:r w:rsidRPr="00CD4311">
        <w:rPr>
          <w:rFonts w:asciiTheme="majorBidi" w:hAnsiTheme="majorBidi" w:cstheme="majorBidi"/>
          <w:bCs/>
          <w:lang w:val="de-DE"/>
        </w:rPr>
        <w:t>uzmanīgi</w:t>
      </w:r>
      <w:proofErr w:type="spellEnd"/>
      <w:r w:rsidRPr="00CD4311">
        <w:rPr>
          <w:rFonts w:asciiTheme="majorBidi" w:hAnsiTheme="majorBidi" w:cstheme="majorBidi"/>
          <w:bCs/>
          <w:lang w:val="de-DE"/>
        </w:rPr>
        <w:t xml:space="preserve">, </w:t>
      </w:r>
      <w:proofErr w:type="spellStart"/>
      <w:r w:rsidRPr="00CD4311">
        <w:rPr>
          <w:rFonts w:asciiTheme="majorBidi" w:hAnsiTheme="majorBidi" w:cstheme="majorBidi"/>
          <w:bCs/>
          <w:lang w:val="de-DE"/>
        </w:rPr>
        <w:t>proti</w:t>
      </w:r>
      <w:proofErr w:type="spellEnd"/>
      <w:r w:rsidRPr="00CD4311">
        <w:rPr>
          <w:rFonts w:asciiTheme="majorBidi" w:hAnsiTheme="majorBidi" w:cstheme="majorBidi"/>
          <w:bCs/>
          <w:lang w:val="de-DE"/>
        </w:rPr>
        <w:t xml:space="preserve">, </w:t>
      </w:r>
      <w:proofErr w:type="spellStart"/>
      <w:r w:rsidRPr="00CD4311">
        <w:rPr>
          <w:rFonts w:asciiTheme="majorBidi" w:hAnsiTheme="majorBidi" w:cstheme="majorBidi"/>
          <w:bCs/>
          <w:lang w:val="de-DE"/>
        </w:rPr>
        <w:t>oficiāli</w:t>
      </w:r>
      <w:proofErr w:type="spellEnd"/>
      <w:r w:rsidRPr="00CD4311">
        <w:rPr>
          <w:rFonts w:asciiTheme="majorBidi" w:hAnsiTheme="majorBidi" w:cstheme="majorBidi"/>
          <w:bCs/>
          <w:lang w:val="de-DE"/>
        </w:rPr>
        <w:t xml:space="preserve"> </w:t>
      </w:r>
      <w:proofErr w:type="spellStart"/>
      <w:r w:rsidRPr="00CD4311">
        <w:rPr>
          <w:rFonts w:asciiTheme="majorBidi" w:hAnsiTheme="majorBidi" w:cstheme="majorBidi"/>
          <w:bCs/>
          <w:lang w:val="de-DE"/>
        </w:rPr>
        <w:t>apliecināto</w:t>
      </w:r>
      <w:proofErr w:type="spellEnd"/>
      <w:r w:rsidRPr="00CD4311">
        <w:rPr>
          <w:rFonts w:asciiTheme="majorBidi" w:hAnsiTheme="majorBidi" w:cstheme="majorBidi"/>
          <w:bCs/>
          <w:lang w:val="de-DE"/>
        </w:rPr>
        <w:t xml:space="preserve"> </w:t>
      </w:r>
      <w:proofErr w:type="spellStart"/>
      <w:r w:rsidRPr="00CD4311">
        <w:rPr>
          <w:rFonts w:asciiTheme="majorBidi" w:hAnsiTheme="majorBidi" w:cstheme="majorBidi"/>
          <w:bCs/>
          <w:lang w:val="de-DE"/>
        </w:rPr>
        <w:t>privāto</w:t>
      </w:r>
      <w:proofErr w:type="spellEnd"/>
      <w:r w:rsidRPr="00CD4311">
        <w:rPr>
          <w:rFonts w:asciiTheme="majorBidi" w:hAnsiTheme="majorBidi" w:cstheme="majorBidi"/>
          <w:bCs/>
          <w:lang w:val="de-DE"/>
        </w:rPr>
        <w:t xml:space="preserve"> </w:t>
      </w:r>
      <w:proofErr w:type="spellStart"/>
      <w:r w:rsidRPr="00CD4311">
        <w:rPr>
          <w:rFonts w:asciiTheme="majorBidi" w:hAnsiTheme="majorBidi" w:cstheme="majorBidi"/>
          <w:bCs/>
          <w:lang w:val="de-DE"/>
        </w:rPr>
        <w:t>dokumentu</w:t>
      </w:r>
      <w:proofErr w:type="spellEnd"/>
      <w:r w:rsidRPr="00CD4311">
        <w:rPr>
          <w:rFonts w:asciiTheme="majorBidi" w:hAnsiTheme="majorBidi" w:cstheme="majorBidi"/>
          <w:bCs/>
          <w:lang w:val="de-DE"/>
        </w:rPr>
        <w:t xml:space="preserve"> </w:t>
      </w:r>
      <w:proofErr w:type="spellStart"/>
      <w:r w:rsidRPr="00CD4311">
        <w:rPr>
          <w:rFonts w:asciiTheme="majorBidi" w:hAnsiTheme="majorBidi" w:cstheme="majorBidi"/>
          <w:bCs/>
          <w:lang w:val="de-DE"/>
        </w:rPr>
        <w:t>gadījumā</w:t>
      </w:r>
      <w:proofErr w:type="spellEnd"/>
      <w:r w:rsidRPr="00CD4311">
        <w:rPr>
          <w:rFonts w:asciiTheme="majorBidi" w:hAnsiTheme="majorBidi" w:cstheme="majorBidi"/>
          <w:bCs/>
          <w:lang w:val="de-DE"/>
        </w:rPr>
        <w:t xml:space="preserve"> par „</w:t>
      </w:r>
      <w:proofErr w:type="spellStart"/>
      <w:r w:rsidRPr="00CD4311">
        <w:rPr>
          <w:rFonts w:asciiTheme="majorBidi" w:hAnsiTheme="majorBidi" w:cstheme="majorBidi"/>
          <w:bCs/>
          <w:lang w:val="de-DE"/>
        </w:rPr>
        <w:t>publisku</w:t>
      </w:r>
      <w:proofErr w:type="spellEnd"/>
      <w:r w:rsidRPr="00CD4311">
        <w:rPr>
          <w:rFonts w:asciiTheme="majorBidi" w:hAnsiTheme="majorBidi" w:cstheme="majorBidi"/>
          <w:bCs/>
          <w:lang w:val="de-DE"/>
        </w:rPr>
        <w:t xml:space="preserve"> </w:t>
      </w:r>
      <w:proofErr w:type="spellStart"/>
      <w:r w:rsidRPr="00CD4311">
        <w:rPr>
          <w:rFonts w:asciiTheme="majorBidi" w:hAnsiTheme="majorBidi" w:cstheme="majorBidi"/>
          <w:bCs/>
          <w:lang w:val="de-DE"/>
        </w:rPr>
        <w:t>dokumentu</w:t>
      </w:r>
      <w:proofErr w:type="spellEnd"/>
      <w:r w:rsidRPr="00CD4311">
        <w:rPr>
          <w:rFonts w:asciiTheme="majorBidi" w:hAnsiTheme="majorBidi" w:cstheme="majorBidi"/>
          <w:bCs/>
          <w:lang w:val="de-DE"/>
        </w:rPr>
        <w:t xml:space="preserve">“ </w:t>
      </w:r>
      <w:proofErr w:type="spellStart"/>
      <w:r w:rsidRPr="00CD4311">
        <w:rPr>
          <w:rFonts w:asciiTheme="majorBidi" w:hAnsiTheme="majorBidi" w:cstheme="majorBidi"/>
          <w:bCs/>
          <w:lang w:val="de-DE"/>
        </w:rPr>
        <w:t>uzskatot</w:t>
      </w:r>
      <w:proofErr w:type="spellEnd"/>
      <w:r w:rsidRPr="00CD4311">
        <w:rPr>
          <w:rFonts w:asciiTheme="majorBidi" w:hAnsiTheme="majorBidi" w:cstheme="majorBidi"/>
          <w:bCs/>
          <w:lang w:val="de-DE"/>
        </w:rPr>
        <w:t xml:space="preserve"> </w:t>
      </w:r>
      <w:proofErr w:type="spellStart"/>
      <w:r w:rsidRPr="00CD4311">
        <w:rPr>
          <w:rFonts w:asciiTheme="majorBidi" w:hAnsiTheme="majorBidi" w:cstheme="majorBidi"/>
          <w:bCs/>
          <w:lang w:val="de-DE"/>
        </w:rPr>
        <w:t>tikai</w:t>
      </w:r>
      <w:proofErr w:type="spellEnd"/>
      <w:r w:rsidRPr="00CD4311">
        <w:rPr>
          <w:rFonts w:asciiTheme="majorBidi" w:hAnsiTheme="majorBidi" w:cstheme="majorBidi"/>
          <w:bCs/>
          <w:lang w:val="de-DE"/>
        </w:rPr>
        <w:t xml:space="preserve"> </w:t>
      </w:r>
      <w:proofErr w:type="spellStart"/>
      <w:r w:rsidRPr="00CD4311">
        <w:rPr>
          <w:rFonts w:asciiTheme="majorBidi" w:hAnsiTheme="majorBidi" w:cstheme="majorBidi"/>
          <w:bCs/>
          <w:lang w:val="de-DE"/>
        </w:rPr>
        <w:t>un</w:t>
      </w:r>
      <w:proofErr w:type="spellEnd"/>
      <w:r w:rsidRPr="00CD4311">
        <w:rPr>
          <w:rFonts w:asciiTheme="majorBidi" w:hAnsiTheme="majorBidi" w:cstheme="majorBidi"/>
          <w:bCs/>
          <w:lang w:val="de-DE"/>
        </w:rPr>
        <w:t xml:space="preserve"> </w:t>
      </w:r>
      <w:proofErr w:type="spellStart"/>
      <w:r w:rsidRPr="00CD4311">
        <w:rPr>
          <w:rFonts w:asciiTheme="majorBidi" w:hAnsiTheme="majorBidi" w:cstheme="majorBidi"/>
          <w:bCs/>
          <w:lang w:val="de-DE"/>
        </w:rPr>
        <w:t>vienīgi</w:t>
      </w:r>
      <w:proofErr w:type="spellEnd"/>
      <w:r w:rsidRPr="00CD4311">
        <w:rPr>
          <w:rFonts w:asciiTheme="majorBidi" w:hAnsiTheme="majorBidi" w:cstheme="majorBidi"/>
          <w:bCs/>
          <w:lang w:val="de-DE"/>
        </w:rPr>
        <w:t xml:space="preserve"> </w:t>
      </w:r>
      <w:proofErr w:type="spellStart"/>
      <w:r w:rsidRPr="00CD4311">
        <w:rPr>
          <w:rFonts w:asciiTheme="majorBidi" w:hAnsiTheme="majorBidi" w:cstheme="majorBidi"/>
          <w:bCs/>
          <w:lang w:val="de-DE"/>
        </w:rPr>
        <w:t>pašu</w:t>
      </w:r>
      <w:proofErr w:type="spellEnd"/>
      <w:r w:rsidRPr="00CD4311">
        <w:rPr>
          <w:rFonts w:asciiTheme="majorBidi" w:hAnsiTheme="majorBidi" w:cstheme="majorBidi"/>
          <w:bCs/>
          <w:lang w:val="de-DE"/>
        </w:rPr>
        <w:t xml:space="preserve"> </w:t>
      </w:r>
      <w:proofErr w:type="spellStart"/>
      <w:r w:rsidRPr="00CD4311">
        <w:rPr>
          <w:rFonts w:asciiTheme="majorBidi" w:hAnsiTheme="majorBidi" w:cstheme="majorBidi"/>
          <w:bCs/>
          <w:lang w:val="de-DE"/>
        </w:rPr>
        <w:t>oficiālo</w:t>
      </w:r>
      <w:proofErr w:type="spellEnd"/>
      <w:r w:rsidRPr="00CD4311">
        <w:rPr>
          <w:rFonts w:asciiTheme="majorBidi" w:hAnsiTheme="majorBidi" w:cstheme="majorBidi"/>
          <w:bCs/>
          <w:lang w:val="de-DE"/>
        </w:rPr>
        <w:t xml:space="preserve"> </w:t>
      </w:r>
      <w:proofErr w:type="spellStart"/>
      <w:r w:rsidRPr="00CD4311">
        <w:rPr>
          <w:rFonts w:asciiTheme="majorBidi" w:hAnsiTheme="majorBidi" w:cstheme="majorBidi"/>
          <w:bCs/>
          <w:lang w:val="de-DE"/>
        </w:rPr>
        <w:t>apliecinājumu</w:t>
      </w:r>
      <w:proofErr w:type="spellEnd"/>
      <w:r w:rsidRPr="00CD4311">
        <w:rPr>
          <w:rFonts w:asciiTheme="majorBidi" w:hAnsiTheme="majorBidi" w:cstheme="majorBidi"/>
          <w:bCs/>
          <w:lang w:val="de-DE"/>
        </w:rPr>
        <w:t xml:space="preserve"> </w:t>
      </w:r>
      <w:proofErr w:type="spellStart"/>
      <w:r w:rsidRPr="00CD4311">
        <w:rPr>
          <w:rFonts w:asciiTheme="majorBidi" w:hAnsiTheme="majorBidi" w:cstheme="majorBidi"/>
          <w:bCs/>
          <w:lang w:val="de-DE"/>
        </w:rPr>
        <w:t>uz</w:t>
      </w:r>
      <w:proofErr w:type="spellEnd"/>
      <w:r w:rsidRPr="00CD4311">
        <w:rPr>
          <w:rFonts w:asciiTheme="majorBidi" w:hAnsiTheme="majorBidi" w:cstheme="majorBidi"/>
          <w:bCs/>
          <w:lang w:val="de-DE"/>
        </w:rPr>
        <w:t xml:space="preserve"> </w:t>
      </w:r>
      <w:proofErr w:type="spellStart"/>
      <w:r w:rsidRPr="00CD4311">
        <w:rPr>
          <w:rFonts w:asciiTheme="majorBidi" w:hAnsiTheme="majorBidi" w:cstheme="majorBidi"/>
          <w:bCs/>
          <w:lang w:val="de-DE"/>
        </w:rPr>
        <w:t>tā</w:t>
      </w:r>
      <w:proofErr w:type="spellEnd"/>
      <w:r w:rsidRPr="00CD4311">
        <w:rPr>
          <w:rFonts w:asciiTheme="majorBidi" w:hAnsiTheme="majorBidi" w:cstheme="majorBidi"/>
          <w:bCs/>
          <w:lang w:val="de-DE"/>
        </w:rPr>
        <w:t>.</w:t>
      </w:r>
    </w:p>
    <w:p w14:paraId="3B7B604D" w14:textId="77777777" w:rsidR="00114953" w:rsidRPr="000C7C76" w:rsidRDefault="00114953" w:rsidP="00114953">
      <w:pPr>
        <w:jc w:val="both"/>
        <w:rPr>
          <w:rFonts w:asciiTheme="majorBidi" w:hAnsiTheme="majorBidi" w:cstheme="majorBidi"/>
          <w:bCs/>
          <w:lang w:val="de-DE"/>
        </w:rPr>
      </w:pPr>
    </w:p>
    <w:p w14:paraId="072A3D86" w14:textId="77777777" w:rsidR="00114953" w:rsidRPr="000C7C76" w:rsidRDefault="00114953" w:rsidP="00114953">
      <w:pPr>
        <w:ind w:firstLine="708"/>
        <w:jc w:val="both"/>
        <w:rPr>
          <w:rFonts w:asciiTheme="majorBidi" w:hAnsiTheme="majorBidi" w:cstheme="majorBidi"/>
          <w:bCs/>
          <w:lang w:val="de-DE"/>
        </w:rPr>
      </w:pPr>
      <w:proofErr w:type="spellStart"/>
      <w:r w:rsidRPr="000C7C76">
        <w:rPr>
          <w:rFonts w:asciiTheme="majorBidi" w:hAnsiTheme="majorBidi" w:cstheme="majorBidi"/>
          <w:bCs/>
          <w:lang w:val="de-DE"/>
        </w:rPr>
        <w:t>Turklāt</w:t>
      </w:r>
      <w:proofErr w:type="spellEnd"/>
      <w:r w:rsidRPr="000C7C76">
        <w:rPr>
          <w:rFonts w:asciiTheme="majorBidi" w:hAnsiTheme="majorBidi" w:cstheme="majorBidi"/>
          <w:bCs/>
          <w:lang w:val="de-DE"/>
        </w:rPr>
        <w:t xml:space="preserve">, ja </w:t>
      </w:r>
      <w:proofErr w:type="spellStart"/>
      <w:r w:rsidRPr="000C7C76">
        <w:rPr>
          <w:rFonts w:asciiTheme="majorBidi" w:hAnsiTheme="majorBidi" w:cstheme="majorBidi"/>
          <w:bCs/>
          <w:lang w:val="de-DE"/>
        </w:rPr>
        <w:t>turpinātu</w:t>
      </w:r>
      <w:proofErr w:type="spellEnd"/>
      <w:r w:rsidRPr="000C7C76">
        <w:rPr>
          <w:rFonts w:asciiTheme="majorBidi" w:hAnsiTheme="majorBidi" w:cstheme="majorBidi"/>
          <w:bCs/>
          <w:lang w:val="de-DE"/>
        </w:rPr>
        <w:t xml:space="preserve"> </w:t>
      </w:r>
      <w:proofErr w:type="spellStart"/>
      <w:r w:rsidRPr="000C7C76">
        <w:rPr>
          <w:rFonts w:asciiTheme="majorBidi" w:hAnsiTheme="majorBidi" w:cstheme="majorBidi"/>
          <w:bCs/>
          <w:lang w:val="de-DE"/>
        </w:rPr>
        <w:t>uzskatīt</w:t>
      </w:r>
      <w:proofErr w:type="spellEnd"/>
      <w:r w:rsidRPr="000C7C76">
        <w:rPr>
          <w:rFonts w:asciiTheme="majorBidi" w:hAnsiTheme="majorBidi" w:cstheme="majorBidi"/>
          <w:bCs/>
          <w:lang w:val="de-DE"/>
        </w:rPr>
        <w:t xml:space="preserve">, </w:t>
      </w:r>
      <w:proofErr w:type="spellStart"/>
      <w:r w:rsidRPr="000C7C76">
        <w:rPr>
          <w:rFonts w:asciiTheme="majorBidi" w:hAnsiTheme="majorBidi" w:cstheme="majorBidi"/>
          <w:bCs/>
          <w:lang w:val="de-DE"/>
        </w:rPr>
        <w:t>ka</w:t>
      </w:r>
      <w:proofErr w:type="spellEnd"/>
      <w:r w:rsidRPr="000C7C76">
        <w:rPr>
          <w:rFonts w:asciiTheme="majorBidi" w:hAnsiTheme="majorBidi" w:cstheme="majorBidi"/>
          <w:bCs/>
          <w:lang w:val="de-DE"/>
        </w:rPr>
        <w:t xml:space="preserve"> </w:t>
      </w:r>
      <w:proofErr w:type="spellStart"/>
      <w:r w:rsidRPr="000C7C76">
        <w:rPr>
          <w:rFonts w:asciiTheme="majorBidi" w:hAnsiTheme="majorBidi" w:cstheme="majorBidi"/>
          <w:bCs/>
          <w:lang w:val="de-DE"/>
        </w:rPr>
        <w:t>Hāgas</w:t>
      </w:r>
      <w:proofErr w:type="spellEnd"/>
      <w:r w:rsidRPr="000C7C76">
        <w:rPr>
          <w:rFonts w:asciiTheme="majorBidi" w:hAnsiTheme="majorBidi" w:cstheme="majorBidi"/>
          <w:bCs/>
          <w:lang w:val="de-DE"/>
        </w:rPr>
        <w:t xml:space="preserve"> </w:t>
      </w:r>
      <w:proofErr w:type="spellStart"/>
      <w:r w:rsidRPr="000C7C76">
        <w:rPr>
          <w:rFonts w:asciiTheme="majorBidi" w:hAnsiTheme="majorBidi" w:cstheme="majorBidi"/>
          <w:bCs/>
          <w:lang w:val="de-DE"/>
        </w:rPr>
        <w:t>Dokumentu</w:t>
      </w:r>
      <w:proofErr w:type="spellEnd"/>
      <w:r w:rsidRPr="000C7C76">
        <w:rPr>
          <w:rFonts w:asciiTheme="majorBidi" w:hAnsiTheme="majorBidi" w:cstheme="majorBidi"/>
          <w:bCs/>
          <w:lang w:val="de-DE"/>
        </w:rPr>
        <w:t xml:space="preserve"> </w:t>
      </w:r>
      <w:proofErr w:type="spellStart"/>
      <w:r w:rsidRPr="000C7C76">
        <w:rPr>
          <w:rFonts w:asciiTheme="majorBidi" w:hAnsiTheme="majorBidi" w:cstheme="majorBidi"/>
          <w:bCs/>
          <w:lang w:val="de-DE"/>
        </w:rPr>
        <w:t>legalizācijas</w:t>
      </w:r>
      <w:proofErr w:type="spellEnd"/>
      <w:r w:rsidRPr="000C7C76">
        <w:rPr>
          <w:rFonts w:asciiTheme="majorBidi" w:hAnsiTheme="majorBidi" w:cstheme="majorBidi"/>
          <w:bCs/>
          <w:lang w:val="de-DE"/>
        </w:rPr>
        <w:t xml:space="preserve"> </w:t>
      </w:r>
      <w:proofErr w:type="spellStart"/>
      <w:r w:rsidRPr="000C7C76">
        <w:rPr>
          <w:rFonts w:asciiTheme="majorBidi" w:hAnsiTheme="majorBidi" w:cstheme="majorBidi"/>
          <w:bCs/>
          <w:lang w:val="de-DE"/>
        </w:rPr>
        <w:t>atcelšanas</w:t>
      </w:r>
      <w:proofErr w:type="spellEnd"/>
      <w:r w:rsidRPr="000C7C76">
        <w:rPr>
          <w:rFonts w:asciiTheme="majorBidi" w:hAnsiTheme="majorBidi" w:cstheme="majorBidi"/>
          <w:bCs/>
          <w:lang w:val="de-DE"/>
        </w:rPr>
        <w:t xml:space="preserve"> </w:t>
      </w:r>
      <w:proofErr w:type="spellStart"/>
      <w:r w:rsidRPr="000C7C76">
        <w:rPr>
          <w:rFonts w:asciiTheme="majorBidi" w:hAnsiTheme="majorBidi" w:cstheme="majorBidi"/>
          <w:bCs/>
          <w:lang w:val="de-DE"/>
        </w:rPr>
        <w:t>konvencijā</w:t>
      </w:r>
      <w:proofErr w:type="spellEnd"/>
      <w:r w:rsidRPr="000C7C76">
        <w:rPr>
          <w:rFonts w:asciiTheme="majorBidi" w:hAnsiTheme="majorBidi" w:cstheme="majorBidi"/>
          <w:bCs/>
          <w:lang w:val="de-DE"/>
        </w:rPr>
        <w:t xml:space="preserve"> </w:t>
      </w:r>
      <w:proofErr w:type="spellStart"/>
      <w:r w:rsidRPr="000C7C76">
        <w:rPr>
          <w:rFonts w:asciiTheme="majorBidi" w:hAnsiTheme="majorBidi" w:cstheme="majorBidi"/>
          <w:bCs/>
          <w:lang w:val="de-DE"/>
        </w:rPr>
        <w:t>lietotais</w:t>
      </w:r>
      <w:proofErr w:type="spellEnd"/>
      <w:r w:rsidRPr="000C7C76">
        <w:rPr>
          <w:rFonts w:asciiTheme="majorBidi" w:hAnsiTheme="majorBidi" w:cstheme="majorBidi"/>
          <w:bCs/>
          <w:lang w:val="de-DE"/>
        </w:rPr>
        <w:t xml:space="preserve"> </w:t>
      </w:r>
      <w:proofErr w:type="spellStart"/>
      <w:r w:rsidRPr="000C7C76">
        <w:rPr>
          <w:rFonts w:asciiTheme="majorBidi" w:hAnsiTheme="majorBidi" w:cstheme="majorBidi"/>
          <w:bCs/>
          <w:lang w:val="de-DE"/>
        </w:rPr>
        <w:t>publiskā</w:t>
      </w:r>
      <w:proofErr w:type="spellEnd"/>
      <w:r w:rsidRPr="000C7C76">
        <w:rPr>
          <w:rFonts w:asciiTheme="majorBidi" w:hAnsiTheme="majorBidi" w:cstheme="majorBidi"/>
          <w:bCs/>
          <w:lang w:val="de-DE"/>
        </w:rPr>
        <w:t xml:space="preserve"> </w:t>
      </w:r>
      <w:proofErr w:type="spellStart"/>
      <w:r w:rsidRPr="000C7C76">
        <w:rPr>
          <w:rFonts w:asciiTheme="majorBidi" w:hAnsiTheme="majorBidi" w:cstheme="majorBidi"/>
          <w:bCs/>
          <w:lang w:val="de-DE"/>
        </w:rPr>
        <w:t>dokumenta</w:t>
      </w:r>
      <w:proofErr w:type="spellEnd"/>
      <w:r w:rsidRPr="000C7C76">
        <w:rPr>
          <w:rFonts w:asciiTheme="majorBidi" w:hAnsiTheme="majorBidi" w:cstheme="majorBidi"/>
          <w:bCs/>
          <w:lang w:val="de-DE"/>
        </w:rPr>
        <w:t xml:space="preserve"> </w:t>
      </w:r>
      <w:proofErr w:type="spellStart"/>
      <w:r w:rsidRPr="000C7C76">
        <w:rPr>
          <w:rFonts w:asciiTheme="majorBidi" w:hAnsiTheme="majorBidi" w:cstheme="majorBidi"/>
          <w:bCs/>
          <w:lang w:val="de-DE"/>
        </w:rPr>
        <w:t>jēdziens</w:t>
      </w:r>
      <w:proofErr w:type="spellEnd"/>
      <w:r w:rsidRPr="000C7C76">
        <w:rPr>
          <w:rFonts w:asciiTheme="majorBidi" w:hAnsiTheme="majorBidi" w:cstheme="majorBidi"/>
          <w:bCs/>
          <w:lang w:val="de-DE"/>
        </w:rPr>
        <w:t xml:space="preserve"> </w:t>
      </w:r>
      <w:proofErr w:type="spellStart"/>
      <w:r w:rsidRPr="000C7C76">
        <w:rPr>
          <w:rFonts w:asciiTheme="majorBidi" w:hAnsiTheme="majorBidi" w:cstheme="majorBidi"/>
          <w:bCs/>
          <w:lang w:val="de-DE"/>
        </w:rPr>
        <w:t>tiktu</w:t>
      </w:r>
      <w:proofErr w:type="spellEnd"/>
      <w:r w:rsidRPr="000C7C76">
        <w:rPr>
          <w:rFonts w:asciiTheme="majorBidi" w:hAnsiTheme="majorBidi" w:cstheme="majorBidi"/>
          <w:bCs/>
          <w:lang w:val="de-DE"/>
        </w:rPr>
        <w:t xml:space="preserve"> </w:t>
      </w:r>
      <w:proofErr w:type="spellStart"/>
      <w:r w:rsidRPr="000C7C76">
        <w:rPr>
          <w:rFonts w:asciiTheme="majorBidi" w:hAnsiTheme="majorBidi" w:cstheme="majorBidi"/>
          <w:bCs/>
          <w:lang w:val="de-DE"/>
        </w:rPr>
        <w:t>automātiski</w:t>
      </w:r>
      <w:proofErr w:type="spellEnd"/>
      <w:r w:rsidRPr="000C7C76">
        <w:rPr>
          <w:rFonts w:asciiTheme="majorBidi" w:hAnsiTheme="majorBidi" w:cstheme="majorBidi"/>
          <w:bCs/>
          <w:lang w:val="de-DE"/>
        </w:rPr>
        <w:t xml:space="preserve"> par </w:t>
      </w:r>
      <w:proofErr w:type="spellStart"/>
      <w:r w:rsidRPr="000C7C76">
        <w:rPr>
          <w:rFonts w:asciiTheme="majorBidi" w:hAnsiTheme="majorBidi" w:cstheme="majorBidi"/>
          <w:bCs/>
          <w:lang w:val="de-DE"/>
        </w:rPr>
        <w:t>tādu</w:t>
      </w:r>
      <w:proofErr w:type="spellEnd"/>
      <w:r w:rsidRPr="000C7C76">
        <w:rPr>
          <w:rFonts w:asciiTheme="majorBidi" w:hAnsiTheme="majorBidi" w:cstheme="majorBidi"/>
          <w:bCs/>
          <w:lang w:val="de-DE"/>
        </w:rPr>
        <w:t xml:space="preserve"> </w:t>
      </w:r>
      <w:proofErr w:type="spellStart"/>
      <w:r w:rsidRPr="000C7C76">
        <w:rPr>
          <w:rFonts w:asciiTheme="majorBidi" w:hAnsiTheme="majorBidi" w:cstheme="majorBidi"/>
          <w:bCs/>
          <w:lang w:val="de-DE"/>
        </w:rPr>
        <w:t>atzīts</w:t>
      </w:r>
      <w:proofErr w:type="spellEnd"/>
      <w:r w:rsidRPr="000C7C76">
        <w:rPr>
          <w:rFonts w:asciiTheme="majorBidi" w:hAnsiTheme="majorBidi" w:cstheme="majorBidi"/>
          <w:bCs/>
          <w:lang w:val="de-DE"/>
        </w:rPr>
        <w:t xml:space="preserve"> </w:t>
      </w:r>
      <w:proofErr w:type="spellStart"/>
      <w:r w:rsidRPr="000C7C76">
        <w:rPr>
          <w:rFonts w:asciiTheme="majorBidi" w:hAnsiTheme="majorBidi" w:cstheme="majorBidi"/>
          <w:bCs/>
          <w:lang w:val="de-DE"/>
        </w:rPr>
        <w:t>arī</w:t>
      </w:r>
      <w:proofErr w:type="spellEnd"/>
      <w:r w:rsidRPr="000C7C76">
        <w:rPr>
          <w:rFonts w:asciiTheme="majorBidi" w:hAnsiTheme="majorBidi" w:cstheme="majorBidi"/>
          <w:bCs/>
          <w:lang w:val="de-DE"/>
        </w:rPr>
        <w:t xml:space="preserve"> </w:t>
      </w:r>
      <w:proofErr w:type="spellStart"/>
      <w:r w:rsidRPr="000C7C76">
        <w:rPr>
          <w:rFonts w:asciiTheme="majorBidi" w:hAnsiTheme="majorBidi" w:cstheme="majorBidi"/>
          <w:bCs/>
          <w:lang w:val="de-DE"/>
        </w:rPr>
        <w:t>Notariāta</w:t>
      </w:r>
      <w:proofErr w:type="spellEnd"/>
      <w:r w:rsidRPr="000C7C76">
        <w:rPr>
          <w:rFonts w:asciiTheme="majorBidi" w:hAnsiTheme="majorBidi" w:cstheme="majorBidi"/>
          <w:bCs/>
          <w:lang w:val="de-DE"/>
        </w:rPr>
        <w:t xml:space="preserve"> </w:t>
      </w:r>
      <w:proofErr w:type="spellStart"/>
      <w:r w:rsidRPr="000C7C76">
        <w:rPr>
          <w:rFonts w:asciiTheme="majorBidi" w:hAnsiTheme="majorBidi" w:cstheme="majorBidi"/>
          <w:bCs/>
          <w:lang w:val="de-DE"/>
        </w:rPr>
        <w:t>likuma</w:t>
      </w:r>
      <w:proofErr w:type="spellEnd"/>
      <w:r w:rsidRPr="000C7C76">
        <w:rPr>
          <w:rFonts w:asciiTheme="majorBidi" w:hAnsiTheme="majorBidi" w:cstheme="majorBidi"/>
          <w:bCs/>
          <w:lang w:val="de-DE"/>
        </w:rPr>
        <w:t xml:space="preserve"> 83.panta </w:t>
      </w:r>
      <w:proofErr w:type="spellStart"/>
      <w:r w:rsidRPr="000C7C76">
        <w:rPr>
          <w:rFonts w:asciiTheme="majorBidi" w:hAnsiTheme="majorBidi" w:cstheme="majorBidi"/>
          <w:bCs/>
          <w:lang w:val="de-DE"/>
        </w:rPr>
        <w:t>izpratnē</w:t>
      </w:r>
      <w:proofErr w:type="spellEnd"/>
      <w:r w:rsidRPr="000C7C76">
        <w:rPr>
          <w:rFonts w:asciiTheme="majorBidi" w:hAnsiTheme="majorBidi" w:cstheme="majorBidi"/>
          <w:bCs/>
          <w:lang w:val="de-DE"/>
        </w:rPr>
        <w:t xml:space="preserve">, </w:t>
      </w:r>
      <w:proofErr w:type="spellStart"/>
      <w:r w:rsidRPr="000C7C76">
        <w:rPr>
          <w:rFonts w:asciiTheme="majorBidi" w:hAnsiTheme="majorBidi" w:cstheme="majorBidi"/>
          <w:bCs/>
          <w:lang w:val="de-DE"/>
        </w:rPr>
        <w:t>tad</w:t>
      </w:r>
      <w:proofErr w:type="spellEnd"/>
      <w:r w:rsidRPr="000C7C76">
        <w:rPr>
          <w:rFonts w:asciiTheme="majorBidi" w:hAnsiTheme="majorBidi" w:cstheme="majorBidi"/>
          <w:bCs/>
          <w:lang w:val="de-DE"/>
        </w:rPr>
        <w:t xml:space="preserve"> </w:t>
      </w:r>
      <w:proofErr w:type="spellStart"/>
      <w:r w:rsidRPr="000C7C76">
        <w:rPr>
          <w:rFonts w:asciiTheme="majorBidi" w:hAnsiTheme="majorBidi" w:cstheme="majorBidi"/>
          <w:bCs/>
          <w:lang w:val="de-DE"/>
        </w:rPr>
        <w:t>rodas</w:t>
      </w:r>
      <w:proofErr w:type="spellEnd"/>
      <w:r w:rsidRPr="000C7C76">
        <w:rPr>
          <w:rFonts w:asciiTheme="majorBidi" w:hAnsiTheme="majorBidi" w:cstheme="majorBidi"/>
          <w:bCs/>
          <w:lang w:val="de-DE"/>
        </w:rPr>
        <w:t xml:space="preserve"> </w:t>
      </w:r>
      <w:proofErr w:type="spellStart"/>
      <w:r w:rsidRPr="000C7C76">
        <w:rPr>
          <w:rFonts w:asciiTheme="majorBidi" w:hAnsiTheme="majorBidi" w:cstheme="majorBidi"/>
          <w:bCs/>
          <w:lang w:val="de-DE"/>
        </w:rPr>
        <w:t>jautājums</w:t>
      </w:r>
      <w:proofErr w:type="spellEnd"/>
      <w:r w:rsidRPr="000C7C76">
        <w:rPr>
          <w:rFonts w:asciiTheme="majorBidi" w:hAnsiTheme="majorBidi" w:cstheme="majorBidi"/>
          <w:bCs/>
          <w:lang w:val="de-DE"/>
        </w:rPr>
        <w:t xml:space="preserve">, </w:t>
      </w:r>
      <w:proofErr w:type="spellStart"/>
      <w:r w:rsidRPr="000C7C76">
        <w:rPr>
          <w:rFonts w:asciiTheme="majorBidi" w:hAnsiTheme="majorBidi" w:cstheme="majorBidi"/>
          <w:bCs/>
          <w:lang w:val="de-DE"/>
        </w:rPr>
        <w:t>ko</w:t>
      </w:r>
      <w:proofErr w:type="spellEnd"/>
      <w:r w:rsidRPr="000C7C76">
        <w:rPr>
          <w:rFonts w:asciiTheme="majorBidi" w:hAnsiTheme="majorBidi" w:cstheme="majorBidi"/>
          <w:bCs/>
          <w:lang w:val="de-DE"/>
        </w:rPr>
        <w:t xml:space="preserve"> </w:t>
      </w:r>
      <w:proofErr w:type="spellStart"/>
      <w:r w:rsidRPr="000C7C76">
        <w:rPr>
          <w:rFonts w:asciiTheme="majorBidi" w:hAnsiTheme="majorBidi" w:cstheme="majorBidi"/>
          <w:bCs/>
          <w:lang w:val="de-DE"/>
        </w:rPr>
        <w:t>darīt</w:t>
      </w:r>
      <w:proofErr w:type="spellEnd"/>
      <w:r w:rsidRPr="000C7C76">
        <w:rPr>
          <w:rFonts w:asciiTheme="majorBidi" w:hAnsiTheme="majorBidi" w:cstheme="majorBidi"/>
          <w:bCs/>
          <w:lang w:val="de-DE"/>
        </w:rPr>
        <w:t xml:space="preserve"> </w:t>
      </w:r>
      <w:proofErr w:type="spellStart"/>
      <w:r w:rsidRPr="000C7C76">
        <w:rPr>
          <w:rFonts w:asciiTheme="majorBidi" w:hAnsiTheme="majorBidi" w:cstheme="majorBidi"/>
          <w:bCs/>
          <w:lang w:val="de-DE"/>
        </w:rPr>
        <w:t>ar</w:t>
      </w:r>
      <w:proofErr w:type="spellEnd"/>
      <w:r w:rsidRPr="000C7C76">
        <w:rPr>
          <w:rFonts w:asciiTheme="majorBidi" w:hAnsiTheme="majorBidi" w:cstheme="majorBidi"/>
          <w:bCs/>
          <w:lang w:val="de-DE"/>
        </w:rPr>
        <w:t xml:space="preserve"> </w:t>
      </w:r>
      <w:proofErr w:type="spellStart"/>
      <w:r w:rsidRPr="000C7C76">
        <w:rPr>
          <w:rFonts w:asciiTheme="majorBidi" w:hAnsiTheme="majorBidi" w:cstheme="majorBidi"/>
          <w:bCs/>
          <w:lang w:val="de-DE"/>
        </w:rPr>
        <w:t>to</w:t>
      </w:r>
      <w:proofErr w:type="spellEnd"/>
      <w:r w:rsidRPr="000C7C76">
        <w:rPr>
          <w:rFonts w:asciiTheme="majorBidi" w:hAnsiTheme="majorBidi" w:cstheme="majorBidi"/>
          <w:bCs/>
          <w:lang w:val="de-DE"/>
        </w:rPr>
        <w:t xml:space="preserve"> </w:t>
      </w:r>
      <w:proofErr w:type="spellStart"/>
      <w:r w:rsidRPr="000C7C76">
        <w:rPr>
          <w:rFonts w:asciiTheme="majorBidi" w:hAnsiTheme="majorBidi" w:cstheme="majorBidi"/>
          <w:bCs/>
          <w:lang w:val="de-DE"/>
        </w:rPr>
        <w:t>valstu</w:t>
      </w:r>
      <w:proofErr w:type="spellEnd"/>
      <w:r w:rsidRPr="000C7C76">
        <w:rPr>
          <w:rFonts w:asciiTheme="majorBidi" w:hAnsiTheme="majorBidi" w:cstheme="majorBidi"/>
          <w:bCs/>
          <w:lang w:val="de-DE"/>
        </w:rPr>
        <w:t xml:space="preserve"> </w:t>
      </w:r>
      <w:proofErr w:type="spellStart"/>
      <w:r w:rsidRPr="000C7C76">
        <w:rPr>
          <w:rFonts w:asciiTheme="majorBidi" w:hAnsiTheme="majorBidi" w:cstheme="majorBidi"/>
          <w:bCs/>
          <w:lang w:val="de-DE"/>
        </w:rPr>
        <w:t>dokumentiem</w:t>
      </w:r>
      <w:proofErr w:type="spellEnd"/>
      <w:r w:rsidRPr="000C7C76">
        <w:rPr>
          <w:rFonts w:asciiTheme="majorBidi" w:hAnsiTheme="majorBidi" w:cstheme="majorBidi"/>
          <w:bCs/>
          <w:lang w:val="de-DE"/>
        </w:rPr>
        <w:t xml:space="preserve">, </w:t>
      </w:r>
      <w:proofErr w:type="spellStart"/>
      <w:r w:rsidRPr="000C7C76">
        <w:rPr>
          <w:rFonts w:asciiTheme="majorBidi" w:hAnsiTheme="majorBidi" w:cstheme="majorBidi"/>
          <w:bCs/>
          <w:lang w:val="de-DE"/>
        </w:rPr>
        <w:t>kuriem</w:t>
      </w:r>
      <w:proofErr w:type="spellEnd"/>
      <w:r w:rsidRPr="000C7C76">
        <w:rPr>
          <w:rFonts w:asciiTheme="majorBidi" w:hAnsiTheme="majorBidi" w:cstheme="majorBidi"/>
          <w:bCs/>
          <w:lang w:val="de-DE"/>
        </w:rPr>
        <w:t xml:space="preserve"> </w:t>
      </w:r>
      <w:proofErr w:type="spellStart"/>
      <w:r w:rsidRPr="000C7C76">
        <w:rPr>
          <w:rFonts w:asciiTheme="majorBidi" w:hAnsiTheme="majorBidi" w:cstheme="majorBidi"/>
          <w:bCs/>
          <w:lang w:val="de-DE"/>
        </w:rPr>
        <w:t>šo</w:t>
      </w:r>
      <w:proofErr w:type="spellEnd"/>
      <w:r w:rsidRPr="000C7C76">
        <w:rPr>
          <w:rFonts w:asciiTheme="majorBidi" w:hAnsiTheme="majorBidi" w:cstheme="majorBidi"/>
          <w:bCs/>
          <w:lang w:val="de-DE"/>
        </w:rPr>
        <w:t xml:space="preserve"> </w:t>
      </w:r>
      <w:proofErr w:type="spellStart"/>
      <w:r w:rsidRPr="000C7C76">
        <w:rPr>
          <w:rFonts w:asciiTheme="majorBidi" w:hAnsiTheme="majorBidi" w:cstheme="majorBidi"/>
          <w:bCs/>
          <w:lang w:val="de-DE"/>
        </w:rPr>
        <w:t>Hāgas</w:t>
      </w:r>
      <w:proofErr w:type="spellEnd"/>
      <w:r w:rsidRPr="000C7C76">
        <w:rPr>
          <w:rFonts w:asciiTheme="majorBidi" w:hAnsiTheme="majorBidi" w:cstheme="majorBidi"/>
          <w:bCs/>
          <w:lang w:val="de-DE"/>
        </w:rPr>
        <w:t xml:space="preserve"> </w:t>
      </w:r>
      <w:proofErr w:type="spellStart"/>
      <w:r w:rsidRPr="000C7C76">
        <w:rPr>
          <w:rFonts w:asciiTheme="majorBidi" w:hAnsiTheme="majorBidi" w:cstheme="majorBidi"/>
          <w:bCs/>
          <w:lang w:val="de-DE"/>
        </w:rPr>
        <w:t>konvenciju</w:t>
      </w:r>
      <w:proofErr w:type="spellEnd"/>
      <w:r w:rsidRPr="000C7C76">
        <w:rPr>
          <w:rFonts w:asciiTheme="majorBidi" w:hAnsiTheme="majorBidi" w:cstheme="majorBidi"/>
          <w:bCs/>
          <w:lang w:val="de-DE"/>
        </w:rPr>
        <w:t xml:space="preserve"> </w:t>
      </w:r>
      <w:proofErr w:type="spellStart"/>
      <w:proofErr w:type="gramStart"/>
      <w:r w:rsidRPr="000C7C76">
        <w:rPr>
          <w:rFonts w:asciiTheme="majorBidi" w:hAnsiTheme="majorBidi" w:cstheme="majorBidi"/>
          <w:bCs/>
          <w:lang w:val="de-DE"/>
        </w:rPr>
        <w:t>nepiemēro</w:t>
      </w:r>
      <w:proofErr w:type="spellEnd"/>
      <w:r w:rsidRPr="000C7C76">
        <w:rPr>
          <w:rFonts w:asciiTheme="majorBidi" w:hAnsiTheme="majorBidi" w:cstheme="majorBidi"/>
          <w:bCs/>
          <w:lang w:val="de-DE"/>
        </w:rPr>
        <w:t> ?</w:t>
      </w:r>
      <w:proofErr w:type="gramEnd"/>
      <w:r w:rsidRPr="000C7C76">
        <w:rPr>
          <w:rFonts w:asciiTheme="majorBidi" w:hAnsiTheme="majorBidi" w:cstheme="majorBidi"/>
          <w:bCs/>
          <w:lang w:val="de-DE"/>
        </w:rPr>
        <w:t xml:space="preserve"> </w:t>
      </w:r>
      <w:proofErr w:type="spellStart"/>
      <w:r w:rsidRPr="000C7C76">
        <w:rPr>
          <w:rFonts w:asciiTheme="majorBidi" w:hAnsiTheme="majorBidi" w:cstheme="majorBidi"/>
          <w:bCs/>
          <w:lang w:val="de-DE"/>
        </w:rPr>
        <w:t>Piemēram</w:t>
      </w:r>
      <w:proofErr w:type="spellEnd"/>
      <w:r w:rsidRPr="000C7C76">
        <w:rPr>
          <w:rFonts w:asciiTheme="majorBidi" w:hAnsiTheme="majorBidi" w:cstheme="majorBidi"/>
          <w:bCs/>
          <w:lang w:val="de-DE"/>
        </w:rPr>
        <w:t xml:space="preserve">, </w:t>
      </w:r>
      <w:proofErr w:type="spellStart"/>
      <w:r w:rsidRPr="000C7C76">
        <w:rPr>
          <w:rFonts w:asciiTheme="majorBidi" w:hAnsiTheme="majorBidi" w:cstheme="majorBidi"/>
          <w:bCs/>
          <w:lang w:val="de-DE"/>
        </w:rPr>
        <w:t>Dokumentu</w:t>
      </w:r>
      <w:proofErr w:type="spellEnd"/>
      <w:r w:rsidRPr="000C7C76">
        <w:rPr>
          <w:rFonts w:asciiTheme="majorBidi" w:hAnsiTheme="majorBidi" w:cstheme="majorBidi"/>
          <w:bCs/>
          <w:lang w:val="de-DE"/>
        </w:rPr>
        <w:t xml:space="preserve"> </w:t>
      </w:r>
      <w:proofErr w:type="spellStart"/>
      <w:r w:rsidRPr="000C7C76">
        <w:rPr>
          <w:rFonts w:asciiTheme="majorBidi" w:hAnsiTheme="majorBidi" w:cstheme="majorBidi"/>
          <w:bCs/>
          <w:lang w:val="de-DE"/>
        </w:rPr>
        <w:t>legalizācijas</w:t>
      </w:r>
      <w:proofErr w:type="spellEnd"/>
      <w:r w:rsidRPr="000C7C76">
        <w:rPr>
          <w:rFonts w:asciiTheme="majorBidi" w:hAnsiTheme="majorBidi" w:cstheme="majorBidi"/>
          <w:bCs/>
          <w:lang w:val="de-DE"/>
        </w:rPr>
        <w:t xml:space="preserve"> </w:t>
      </w:r>
      <w:proofErr w:type="spellStart"/>
      <w:r w:rsidRPr="000C7C76">
        <w:rPr>
          <w:rFonts w:asciiTheme="majorBidi" w:hAnsiTheme="majorBidi" w:cstheme="majorBidi"/>
          <w:bCs/>
          <w:lang w:val="de-DE"/>
        </w:rPr>
        <w:t>likuma</w:t>
      </w:r>
      <w:proofErr w:type="spellEnd"/>
      <w:r w:rsidRPr="000C7C76">
        <w:rPr>
          <w:rFonts w:asciiTheme="majorBidi" w:hAnsiTheme="majorBidi" w:cstheme="majorBidi"/>
          <w:bCs/>
          <w:lang w:val="de-DE"/>
        </w:rPr>
        <w:t xml:space="preserve"> 3.panta </w:t>
      </w:r>
      <w:proofErr w:type="spellStart"/>
      <w:r w:rsidRPr="000C7C76">
        <w:rPr>
          <w:rFonts w:asciiTheme="majorBidi" w:hAnsiTheme="majorBidi" w:cstheme="majorBidi"/>
          <w:bCs/>
          <w:lang w:val="de-DE"/>
        </w:rPr>
        <w:t>otrā</w:t>
      </w:r>
      <w:proofErr w:type="spellEnd"/>
      <w:r w:rsidRPr="000C7C76">
        <w:rPr>
          <w:rFonts w:asciiTheme="majorBidi" w:hAnsiTheme="majorBidi" w:cstheme="majorBidi"/>
          <w:bCs/>
          <w:lang w:val="de-DE"/>
        </w:rPr>
        <w:t xml:space="preserve"> </w:t>
      </w:r>
      <w:proofErr w:type="spellStart"/>
      <w:r w:rsidRPr="000C7C76">
        <w:rPr>
          <w:rFonts w:asciiTheme="majorBidi" w:hAnsiTheme="majorBidi" w:cstheme="majorBidi"/>
          <w:bCs/>
          <w:lang w:val="de-DE"/>
        </w:rPr>
        <w:t>daļa</w:t>
      </w:r>
      <w:proofErr w:type="spellEnd"/>
      <w:r w:rsidRPr="000C7C76">
        <w:rPr>
          <w:rFonts w:asciiTheme="majorBidi" w:hAnsiTheme="majorBidi" w:cstheme="majorBidi"/>
          <w:bCs/>
          <w:lang w:val="de-DE"/>
        </w:rPr>
        <w:t xml:space="preserve"> </w:t>
      </w:r>
      <w:proofErr w:type="spellStart"/>
      <w:proofErr w:type="gramStart"/>
      <w:r w:rsidRPr="000C7C76">
        <w:rPr>
          <w:rFonts w:asciiTheme="majorBidi" w:hAnsiTheme="majorBidi" w:cstheme="majorBidi"/>
          <w:bCs/>
          <w:lang w:val="de-DE"/>
        </w:rPr>
        <w:t>paredz</w:t>
      </w:r>
      <w:proofErr w:type="spellEnd"/>
      <w:r w:rsidRPr="000C7C76">
        <w:rPr>
          <w:rFonts w:asciiTheme="majorBidi" w:hAnsiTheme="majorBidi" w:cstheme="majorBidi"/>
          <w:bCs/>
          <w:lang w:val="de-DE"/>
        </w:rPr>
        <w:t> :</w:t>
      </w:r>
      <w:proofErr w:type="gramEnd"/>
      <w:r w:rsidRPr="000C7C76">
        <w:rPr>
          <w:rFonts w:asciiTheme="majorBidi" w:hAnsiTheme="majorBidi" w:cstheme="majorBidi"/>
          <w:bCs/>
          <w:lang w:val="de-DE"/>
        </w:rPr>
        <w:t xml:space="preserve"> </w:t>
      </w:r>
    </w:p>
    <w:p w14:paraId="7A86DF18" w14:textId="77777777" w:rsidR="00114953" w:rsidRPr="000C7C76" w:rsidRDefault="00114953" w:rsidP="00114953">
      <w:pPr>
        <w:jc w:val="both"/>
        <w:rPr>
          <w:rFonts w:asciiTheme="majorBidi" w:hAnsiTheme="majorBidi" w:cstheme="majorBidi"/>
          <w:bCs/>
          <w:lang w:val="de-DE"/>
        </w:rPr>
      </w:pPr>
    </w:p>
    <w:p w14:paraId="23299C5F" w14:textId="77777777" w:rsidR="00114953" w:rsidRDefault="00114953" w:rsidP="00114953">
      <w:pPr>
        <w:ind w:left="708"/>
        <w:jc w:val="both"/>
        <w:rPr>
          <w:rFonts w:asciiTheme="majorBidi" w:hAnsiTheme="majorBidi" w:cstheme="majorBidi"/>
          <w:bCs/>
          <w:i/>
          <w:iCs/>
          <w:lang w:val="de-DE"/>
        </w:rPr>
      </w:pPr>
      <w:r>
        <w:rPr>
          <w:rFonts w:asciiTheme="majorBidi" w:hAnsiTheme="majorBidi" w:cstheme="majorBidi"/>
          <w:bCs/>
          <w:lang w:val="de-DE"/>
        </w:rPr>
        <w:t>„</w:t>
      </w:r>
      <w:proofErr w:type="spellStart"/>
      <w:r w:rsidRPr="000C7C76">
        <w:rPr>
          <w:rFonts w:asciiTheme="majorBidi" w:hAnsiTheme="majorBidi" w:cstheme="majorBidi"/>
          <w:bCs/>
          <w:i/>
          <w:iCs/>
          <w:lang w:val="de-DE"/>
        </w:rPr>
        <w:t>Šo</w:t>
      </w:r>
      <w:proofErr w:type="spellEnd"/>
      <w:r w:rsidRPr="000C7C76">
        <w:rPr>
          <w:rFonts w:asciiTheme="majorBidi" w:hAnsiTheme="majorBidi" w:cstheme="majorBidi"/>
          <w:bCs/>
          <w:i/>
          <w:iCs/>
          <w:lang w:val="de-DE"/>
        </w:rPr>
        <w:t xml:space="preserve"> </w:t>
      </w:r>
      <w:proofErr w:type="spellStart"/>
      <w:r w:rsidRPr="000C7C76">
        <w:rPr>
          <w:rFonts w:asciiTheme="majorBidi" w:hAnsiTheme="majorBidi" w:cstheme="majorBidi"/>
          <w:bCs/>
          <w:i/>
          <w:iCs/>
          <w:lang w:val="de-DE"/>
        </w:rPr>
        <w:t>likumu</w:t>
      </w:r>
      <w:proofErr w:type="spellEnd"/>
      <w:r w:rsidRPr="000C7C76">
        <w:rPr>
          <w:rFonts w:asciiTheme="majorBidi" w:hAnsiTheme="majorBidi" w:cstheme="majorBidi"/>
          <w:bCs/>
          <w:i/>
          <w:iCs/>
          <w:lang w:val="de-DE"/>
        </w:rPr>
        <w:t xml:space="preserve"> </w:t>
      </w:r>
      <w:proofErr w:type="spellStart"/>
      <w:r w:rsidRPr="000C7C76">
        <w:rPr>
          <w:rFonts w:asciiTheme="majorBidi" w:hAnsiTheme="majorBidi" w:cstheme="majorBidi"/>
          <w:bCs/>
          <w:i/>
          <w:iCs/>
          <w:lang w:val="de-DE"/>
        </w:rPr>
        <w:t>nepiemēro</w:t>
      </w:r>
      <w:proofErr w:type="spellEnd"/>
      <w:r w:rsidRPr="000C7C76">
        <w:rPr>
          <w:rFonts w:asciiTheme="majorBidi" w:hAnsiTheme="majorBidi" w:cstheme="majorBidi"/>
          <w:bCs/>
          <w:i/>
          <w:iCs/>
          <w:lang w:val="de-DE"/>
        </w:rPr>
        <w:t xml:space="preserve">, ja </w:t>
      </w:r>
      <w:proofErr w:type="spellStart"/>
      <w:r w:rsidRPr="000C7C76">
        <w:rPr>
          <w:rFonts w:asciiTheme="majorBidi" w:hAnsiTheme="majorBidi" w:cstheme="majorBidi"/>
          <w:bCs/>
          <w:i/>
          <w:iCs/>
          <w:lang w:val="de-DE"/>
        </w:rPr>
        <w:t>publisks</w:t>
      </w:r>
      <w:proofErr w:type="spellEnd"/>
      <w:r w:rsidRPr="000C7C76">
        <w:rPr>
          <w:rFonts w:asciiTheme="majorBidi" w:hAnsiTheme="majorBidi" w:cstheme="majorBidi"/>
          <w:bCs/>
          <w:i/>
          <w:iCs/>
          <w:lang w:val="de-DE"/>
        </w:rPr>
        <w:t xml:space="preserve"> </w:t>
      </w:r>
      <w:proofErr w:type="spellStart"/>
      <w:r w:rsidRPr="000C7C76">
        <w:rPr>
          <w:rFonts w:asciiTheme="majorBidi" w:hAnsiTheme="majorBidi" w:cstheme="majorBidi"/>
          <w:bCs/>
          <w:i/>
          <w:iCs/>
          <w:lang w:val="de-DE"/>
        </w:rPr>
        <w:t>dokuments</w:t>
      </w:r>
      <w:proofErr w:type="spellEnd"/>
      <w:r w:rsidRPr="000C7C76">
        <w:rPr>
          <w:rFonts w:asciiTheme="majorBidi" w:hAnsiTheme="majorBidi" w:cstheme="majorBidi"/>
          <w:bCs/>
          <w:i/>
          <w:iCs/>
          <w:lang w:val="de-DE"/>
        </w:rPr>
        <w:t xml:space="preserve"> </w:t>
      </w:r>
      <w:proofErr w:type="spellStart"/>
      <w:r w:rsidRPr="000C7C76">
        <w:rPr>
          <w:rFonts w:asciiTheme="majorBidi" w:hAnsiTheme="majorBidi" w:cstheme="majorBidi"/>
          <w:bCs/>
          <w:i/>
          <w:iCs/>
          <w:lang w:val="de-DE"/>
        </w:rPr>
        <w:t>ir</w:t>
      </w:r>
      <w:proofErr w:type="spellEnd"/>
      <w:r w:rsidRPr="000C7C76">
        <w:rPr>
          <w:rFonts w:asciiTheme="majorBidi" w:hAnsiTheme="majorBidi" w:cstheme="majorBidi"/>
          <w:bCs/>
          <w:i/>
          <w:iCs/>
          <w:lang w:val="de-DE"/>
        </w:rPr>
        <w:t xml:space="preserve"> </w:t>
      </w:r>
      <w:proofErr w:type="spellStart"/>
      <w:r w:rsidRPr="000C7C76">
        <w:rPr>
          <w:rFonts w:asciiTheme="majorBidi" w:hAnsiTheme="majorBidi" w:cstheme="majorBidi"/>
          <w:bCs/>
          <w:i/>
          <w:iCs/>
          <w:lang w:val="de-DE"/>
        </w:rPr>
        <w:t>izsniegts</w:t>
      </w:r>
      <w:proofErr w:type="spellEnd"/>
      <w:r w:rsidRPr="000C7C76">
        <w:rPr>
          <w:rFonts w:asciiTheme="majorBidi" w:hAnsiTheme="majorBidi" w:cstheme="majorBidi"/>
          <w:bCs/>
          <w:i/>
          <w:iCs/>
          <w:lang w:val="de-DE"/>
        </w:rPr>
        <w:t xml:space="preserve"> </w:t>
      </w:r>
      <w:proofErr w:type="spellStart"/>
      <w:r w:rsidRPr="000C7C76">
        <w:rPr>
          <w:rFonts w:asciiTheme="majorBidi" w:hAnsiTheme="majorBidi" w:cstheme="majorBidi"/>
          <w:bCs/>
          <w:i/>
          <w:iCs/>
          <w:lang w:val="de-DE"/>
        </w:rPr>
        <w:t>Eiropas</w:t>
      </w:r>
      <w:proofErr w:type="spellEnd"/>
      <w:r w:rsidRPr="000C7C76">
        <w:rPr>
          <w:rFonts w:asciiTheme="majorBidi" w:hAnsiTheme="majorBidi" w:cstheme="majorBidi"/>
          <w:bCs/>
          <w:i/>
          <w:iCs/>
          <w:lang w:val="de-DE"/>
        </w:rPr>
        <w:t xml:space="preserve"> </w:t>
      </w:r>
      <w:proofErr w:type="spellStart"/>
      <w:r w:rsidRPr="000C7C76">
        <w:rPr>
          <w:rFonts w:asciiTheme="majorBidi" w:hAnsiTheme="majorBidi" w:cstheme="majorBidi"/>
          <w:bCs/>
          <w:i/>
          <w:iCs/>
          <w:lang w:val="de-DE"/>
        </w:rPr>
        <w:t>Savienības</w:t>
      </w:r>
      <w:proofErr w:type="spellEnd"/>
      <w:r w:rsidRPr="000C7C76">
        <w:rPr>
          <w:rFonts w:asciiTheme="majorBidi" w:hAnsiTheme="majorBidi" w:cstheme="majorBidi"/>
          <w:bCs/>
          <w:i/>
          <w:iCs/>
          <w:lang w:val="de-DE"/>
        </w:rPr>
        <w:t xml:space="preserve">, </w:t>
      </w:r>
      <w:proofErr w:type="spellStart"/>
      <w:r w:rsidRPr="000C7C76">
        <w:rPr>
          <w:rFonts w:asciiTheme="majorBidi" w:hAnsiTheme="majorBidi" w:cstheme="majorBidi"/>
          <w:bCs/>
          <w:i/>
          <w:iCs/>
          <w:lang w:val="de-DE"/>
        </w:rPr>
        <w:t>Eiropas</w:t>
      </w:r>
      <w:proofErr w:type="spellEnd"/>
      <w:r w:rsidRPr="000C7C76">
        <w:rPr>
          <w:rFonts w:asciiTheme="majorBidi" w:hAnsiTheme="majorBidi" w:cstheme="majorBidi"/>
          <w:bCs/>
          <w:i/>
          <w:iCs/>
          <w:lang w:val="de-DE"/>
        </w:rPr>
        <w:t xml:space="preserve"> </w:t>
      </w:r>
      <w:proofErr w:type="spellStart"/>
      <w:r w:rsidRPr="000C7C76">
        <w:rPr>
          <w:rFonts w:asciiTheme="majorBidi" w:hAnsiTheme="majorBidi" w:cstheme="majorBidi"/>
          <w:bCs/>
          <w:i/>
          <w:iCs/>
          <w:lang w:val="de-DE"/>
        </w:rPr>
        <w:t>Ekonomikas</w:t>
      </w:r>
      <w:proofErr w:type="spellEnd"/>
      <w:r w:rsidRPr="000C7C76">
        <w:rPr>
          <w:rFonts w:asciiTheme="majorBidi" w:hAnsiTheme="majorBidi" w:cstheme="majorBidi"/>
          <w:bCs/>
          <w:i/>
          <w:iCs/>
          <w:lang w:val="de-DE"/>
        </w:rPr>
        <w:t xml:space="preserve"> </w:t>
      </w:r>
      <w:proofErr w:type="spellStart"/>
      <w:r w:rsidRPr="000C7C76">
        <w:rPr>
          <w:rFonts w:asciiTheme="majorBidi" w:hAnsiTheme="majorBidi" w:cstheme="majorBidi"/>
          <w:bCs/>
          <w:i/>
          <w:iCs/>
          <w:lang w:val="de-DE"/>
        </w:rPr>
        <w:t>zonas</w:t>
      </w:r>
      <w:proofErr w:type="spellEnd"/>
      <w:r w:rsidRPr="000C7C76">
        <w:rPr>
          <w:rFonts w:asciiTheme="majorBidi" w:hAnsiTheme="majorBidi" w:cstheme="majorBidi"/>
          <w:bCs/>
          <w:i/>
          <w:iCs/>
          <w:lang w:val="de-DE"/>
        </w:rPr>
        <w:t xml:space="preserve"> </w:t>
      </w:r>
      <w:proofErr w:type="spellStart"/>
      <w:r w:rsidRPr="000C7C76">
        <w:rPr>
          <w:rFonts w:asciiTheme="majorBidi" w:hAnsiTheme="majorBidi" w:cstheme="majorBidi"/>
          <w:bCs/>
          <w:i/>
          <w:iCs/>
          <w:lang w:val="de-DE"/>
        </w:rPr>
        <w:t>valstī</w:t>
      </w:r>
      <w:proofErr w:type="spellEnd"/>
      <w:r w:rsidRPr="000C7C76">
        <w:rPr>
          <w:rFonts w:asciiTheme="majorBidi" w:hAnsiTheme="majorBidi" w:cstheme="majorBidi"/>
          <w:bCs/>
          <w:i/>
          <w:iCs/>
          <w:lang w:val="de-DE"/>
        </w:rPr>
        <w:t xml:space="preserve"> </w:t>
      </w:r>
      <w:proofErr w:type="spellStart"/>
      <w:r w:rsidRPr="000C7C76">
        <w:rPr>
          <w:rFonts w:asciiTheme="majorBidi" w:hAnsiTheme="majorBidi" w:cstheme="majorBidi"/>
          <w:bCs/>
          <w:i/>
          <w:iCs/>
          <w:lang w:val="de-DE"/>
        </w:rPr>
        <w:t>vai</w:t>
      </w:r>
      <w:proofErr w:type="spellEnd"/>
      <w:r w:rsidRPr="000C7C76">
        <w:rPr>
          <w:rFonts w:asciiTheme="majorBidi" w:hAnsiTheme="majorBidi" w:cstheme="majorBidi"/>
          <w:bCs/>
          <w:i/>
          <w:iCs/>
          <w:lang w:val="de-DE"/>
        </w:rPr>
        <w:t xml:space="preserve"> </w:t>
      </w:r>
      <w:proofErr w:type="spellStart"/>
      <w:r w:rsidRPr="000C7C76">
        <w:rPr>
          <w:rFonts w:asciiTheme="majorBidi" w:hAnsiTheme="majorBidi" w:cstheme="majorBidi"/>
          <w:bCs/>
          <w:i/>
          <w:iCs/>
          <w:lang w:val="de-DE"/>
        </w:rPr>
        <w:t>Šveices</w:t>
      </w:r>
      <w:proofErr w:type="spellEnd"/>
      <w:r w:rsidRPr="000C7C76">
        <w:rPr>
          <w:rFonts w:asciiTheme="majorBidi" w:hAnsiTheme="majorBidi" w:cstheme="majorBidi"/>
          <w:bCs/>
          <w:i/>
          <w:iCs/>
          <w:lang w:val="de-DE"/>
        </w:rPr>
        <w:t xml:space="preserve"> </w:t>
      </w:r>
      <w:proofErr w:type="spellStart"/>
      <w:r w:rsidRPr="000C7C76">
        <w:rPr>
          <w:rFonts w:asciiTheme="majorBidi" w:hAnsiTheme="majorBidi" w:cstheme="majorBidi"/>
          <w:bCs/>
          <w:i/>
          <w:iCs/>
          <w:lang w:val="de-DE"/>
        </w:rPr>
        <w:t>Konfederācijā</w:t>
      </w:r>
      <w:proofErr w:type="spellEnd"/>
      <w:r w:rsidRPr="000C7C76">
        <w:rPr>
          <w:rFonts w:asciiTheme="majorBidi" w:hAnsiTheme="majorBidi" w:cstheme="majorBidi"/>
          <w:bCs/>
          <w:i/>
          <w:iCs/>
          <w:lang w:val="de-DE"/>
        </w:rPr>
        <w:t xml:space="preserve">. Ja </w:t>
      </w:r>
      <w:proofErr w:type="spellStart"/>
      <w:r w:rsidRPr="000C7C76">
        <w:rPr>
          <w:rFonts w:asciiTheme="majorBidi" w:hAnsiTheme="majorBidi" w:cstheme="majorBidi"/>
          <w:bCs/>
          <w:i/>
          <w:iCs/>
          <w:lang w:val="de-DE"/>
        </w:rPr>
        <w:t>iestādei</w:t>
      </w:r>
      <w:proofErr w:type="spellEnd"/>
      <w:r w:rsidRPr="000C7C76">
        <w:rPr>
          <w:rFonts w:asciiTheme="majorBidi" w:hAnsiTheme="majorBidi" w:cstheme="majorBidi"/>
          <w:bCs/>
          <w:i/>
          <w:iCs/>
          <w:lang w:val="de-DE"/>
        </w:rPr>
        <w:t xml:space="preserve">, </w:t>
      </w:r>
      <w:proofErr w:type="spellStart"/>
      <w:r w:rsidRPr="000C7C76">
        <w:rPr>
          <w:rFonts w:asciiTheme="majorBidi" w:hAnsiTheme="majorBidi" w:cstheme="majorBidi"/>
          <w:bCs/>
          <w:i/>
          <w:iCs/>
          <w:lang w:val="de-DE"/>
        </w:rPr>
        <w:t>kas</w:t>
      </w:r>
      <w:proofErr w:type="spellEnd"/>
      <w:r w:rsidRPr="000C7C76">
        <w:rPr>
          <w:rFonts w:asciiTheme="majorBidi" w:hAnsiTheme="majorBidi" w:cstheme="majorBidi"/>
          <w:bCs/>
          <w:i/>
          <w:iCs/>
          <w:lang w:val="de-DE"/>
        </w:rPr>
        <w:t xml:space="preserve"> </w:t>
      </w:r>
      <w:proofErr w:type="spellStart"/>
      <w:r w:rsidRPr="000C7C76">
        <w:rPr>
          <w:rFonts w:asciiTheme="majorBidi" w:hAnsiTheme="majorBidi" w:cstheme="majorBidi"/>
          <w:bCs/>
          <w:i/>
          <w:iCs/>
          <w:lang w:val="de-DE"/>
        </w:rPr>
        <w:t>pieņem</w:t>
      </w:r>
      <w:proofErr w:type="spellEnd"/>
      <w:r w:rsidRPr="000C7C76">
        <w:rPr>
          <w:rFonts w:asciiTheme="majorBidi" w:hAnsiTheme="majorBidi" w:cstheme="majorBidi"/>
          <w:bCs/>
          <w:i/>
          <w:iCs/>
          <w:lang w:val="de-DE"/>
        </w:rPr>
        <w:t xml:space="preserve"> </w:t>
      </w:r>
      <w:proofErr w:type="spellStart"/>
      <w:r w:rsidRPr="000C7C76">
        <w:rPr>
          <w:rFonts w:asciiTheme="majorBidi" w:hAnsiTheme="majorBidi" w:cstheme="majorBidi"/>
          <w:bCs/>
          <w:i/>
          <w:iCs/>
          <w:lang w:val="de-DE"/>
        </w:rPr>
        <w:t>šādu</w:t>
      </w:r>
      <w:proofErr w:type="spellEnd"/>
      <w:r w:rsidRPr="000C7C76">
        <w:rPr>
          <w:rFonts w:asciiTheme="majorBidi" w:hAnsiTheme="majorBidi" w:cstheme="majorBidi"/>
          <w:bCs/>
          <w:i/>
          <w:iCs/>
          <w:lang w:val="de-DE"/>
        </w:rPr>
        <w:t xml:space="preserve"> </w:t>
      </w:r>
      <w:proofErr w:type="spellStart"/>
      <w:r w:rsidRPr="000C7C76">
        <w:rPr>
          <w:rFonts w:asciiTheme="majorBidi" w:hAnsiTheme="majorBidi" w:cstheme="majorBidi"/>
          <w:bCs/>
          <w:i/>
          <w:iCs/>
          <w:lang w:val="de-DE"/>
        </w:rPr>
        <w:t>publisku</w:t>
      </w:r>
      <w:proofErr w:type="spellEnd"/>
      <w:r w:rsidRPr="000C7C76">
        <w:rPr>
          <w:rFonts w:asciiTheme="majorBidi" w:hAnsiTheme="majorBidi" w:cstheme="majorBidi"/>
          <w:bCs/>
          <w:i/>
          <w:iCs/>
          <w:lang w:val="de-DE"/>
        </w:rPr>
        <w:t xml:space="preserve"> </w:t>
      </w:r>
      <w:proofErr w:type="spellStart"/>
      <w:r w:rsidRPr="000C7C76">
        <w:rPr>
          <w:rFonts w:asciiTheme="majorBidi" w:hAnsiTheme="majorBidi" w:cstheme="majorBidi"/>
          <w:bCs/>
          <w:i/>
          <w:iCs/>
          <w:lang w:val="de-DE"/>
        </w:rPr>
        <w:t>dokumentu</w:t>
      </w:r>
      <w:proofErr w:type="spellEnd"/>
      <w:r w:rsidRPr="000C7C76">
        <w:rPr>
          <w:rFonts w:asciiTheme="majorBidi" w:hAnsiTheme="majorBidi" w:cstheme="majorBidi"/>
          <w:bCs/>
          <w:i/>
          <w:iCs/>
          <w:lang w:val="de-DE"/>
        </w:rPr>
        <w:t xml:space="preserve">, </w:t>
      </w:r>
      <w:proofErr w:type="spellStart"/>
      <w:r w:rsidRPr="000C7C76">
        <w:rPr>
          <w:rFonts w:asciiTheme="majorBidi" w:hAnsiTheme="majorBidi" w:cstheme="majorBidi"/>
          <w:bCs/>
          <w:i/>
          <w:iCs/>
          <w:lang w:val="de-DE"/>
        </w:rPr>
        <w:t>radušās</w:t>
      </w:r>
      <w:proofErr w:type="spellEnd"/>
      <w:r w:rsidRPr="000C7C76">
        <w:rPr>
          <w:rFonts w:asciiTheme="majorBidi" w:hAnsiTheme="majorBidi" w:cstheme="majorBidi"/>
          <w:bCs/>
          <w:i/>
          <w:iCs/>
          <w:lang w:val="de-DE"/>
        </w:rPr>
        <w:t xml:space="preserve"> </w:t>
      </w:r>
      <w:proofErr w:type="spellStart"/>
      <w:r w:rsidRPr="000C7C76">
        <w:rPr>
          <w:rFonts w:asciiTheme="majorBidi" w:hAnsiTheme="majorBidi" w:cstheme="majorBidi"/>
          <w:bCs/>
          <w:i/>
          <w:iCs/>
          <w:lang w:val="de-DE"/>
        </w:rPr>
        <w:t>šaubas</w:t>
      </w:r>
      <w:proofErr w:type="spellEnd"/>
      <w:r w:rsidRPr="000C7C76">
        <w:rPr>
          <w:rFonts w:asciiTheme="majorBidi" w:hAnsiTheme="majorBidi" w:cstheme="majorBidi"/>
          <w:bCs/>
          <w:i/>
          <w:iCs/>
          <w:lang w:val="de-DE"/>
        </w:rPr>
        <w:t xml:space="preserve"> par </w:t>
      </w:r>
      <w:proofErr w:type="spellStart"/>
      <w:r w:rsidRPr="000C7C76">
        <w:rPr>
          <w:rFonts w:asciiTheme="majorBidi" w:hAnsiTheme="majorBidi" w:cstheme="majorBidi"/>
          <w:bCs/>
          <w:i/>
          <w:iCs/>
          <w:lang w:val="de-DE"/>
        </w:rPr>
        <w:t>tā</w:t>
      </w:r>
      <w:proofErr w:type="spellEnd"/>
      <w:r w:rsidRPr="000C7C76">
        <w:rPr>
          <w:rFonts w:asciiTheme="majorBidi" w:hAnsiTheme="majorBidi" w:cstheme="majorBidi"/>
          <w:bCs/>
          <w:i/>
          <w:iCs/>
          <w:lang w:val="de-DE"/>
        </w:rPr>
        <w:t xml:space="preserve"> </w:t>
      </w:r>
      <w:proofErr w:type="spellStart"/>
      <w:r w:rsidRPr="000C7C76">
        <w:rPr>
          <w:rFonts w:asciiTheme="majorBidi" w:hAnsiTheme="majorBidi" w:cstheme="majorBidi"/>
          <w:bCs/>
          <w:i/>
          <w:iCs/>
          <w:lang w:val="de-DE"/>
        </w:rPr>
        <w:t>autentiskumu</w:t>
      </w:r>
      <w:proofErr w:type="spellEnd"/>
      <w:r w:rsidRPr="000C7C76">
        <w:rPr>
          <w:rFonts w:asciiTheme="majorBidi" w:hAnsiTheme="majorBidi" w:cstheme="majorBidi"/>
          <w:bCs/>
          <w:i/>
          <w:iCs/>
          <w:lang w:val="de-DE"/>
        </w:rPr>
        <w:t xml:space="preserve">, </w:t>
      </w:r>
      <w:proofErr w:type="spellStart"/>
      <w:r w:rsidRPr="000C7C76">
        <w:rPr>
          <w:rFonts w:asciiTheme="majorBidi" w:hAnsiTheme="majorBidi" w:cstheme="majorBidi"/>
          <w:bCs/>
          <w:i/>
          <w:iCs/>
          <w:lang w:val="de-DE"/>
        </w:rPr>
        <w:t>iestāde</w:t>
      </w:r>
      <w:proofErr w:type="spellEnd"/>
      <w:r w:rsidRPr="000C7C76">
        <w:rPr>
          <w:rFonts w:asciiTheme="majorBidi" w:hAnsiTheme="majorBidi" w:cstheme="majorBidi"/>
          <w:bCs/>
          <w:i/>
          <w:iCs/>
          <w:lang w:val="de-DE"/>
        </w:rPr>
        <w:t xml:space="preserve"> rakstveidā </w:t>
      </w:r>
      <w:proofErr w:type="spellStart"/>
      <w:r w:rsidRPr="000C7C76">
        <w:rPr>
          <w:rFonts w:asciiTheme="majorBidi" w:hAnsiTheme="majorBidi" w:cstheme="majorBidi"/>
          <w:bCs/>
          <w:i/>
          <w:iCs/>
          <w:lang w:val="de-DE"/>
        </w:rPr>
        <w:t>sazinās</w:t>
      </w:r>
      <w:proofErr w:type="spellEnd"/>
      <w:r w:rsidRPr="000C7C76">
        <w:rPr>
          <w:rFonts w:asciiTheme="majorBidi" w:hAnsiTheme="majorBidi" w:cstheme="majorBidi"/>
          <w:bCs/>
          <w:i/>
          <w:iCs/>
          <w:lang w:val="de-DE"/>
        </w:rPr>
        <w:t xml:space="preserve"> </w:t>
      </w:r>
      <w:proofErr w:type="spellStart"/>
      <w:r w:rsidRPr="000C7C76">
        <w:rPr>
          <w:rFonts w:asciiTheme="majorBidi" w:hAnsiTheme="majorBidi" w:cstheme="majorBidi"/>
          <w:bCs/>
          <w:i/>
          <w:iCs/>
          <w:lang w:val="de-DE"/>
        </w:rPr>
        <w:t>ar</w:t>
      </w:r>
      <w:proofErr w:type="spellEnd"/>
      <w:r w:rsidRPr="000C7C76">
        <w:rPr>
          <w:rFonts w:asciiTheme="majorBidi" w:hAnsiTheme="majorBidi" w:cstheme="majorBidi"/>
          <w:bCs/>
          <w:i/>
          <w:iCs/>
          <w:lang w:val="de-DE"/>
        </w:rPr>
        <w:t xml:space="preserve"> </w:t>
      </w:r>
      <w:proofErr w:type="spellStart"/>
      <w:r w:rsidRPr="000C7C76">
        <w:rPr>
          <w:rFonts w:asciiTheme="majorBidi" w:hAnsiTheme="majorBidi" w:cstheme="majorBidi"/>
          <w:bCs/>
          <w:i/>
          <w:iCs/>
          <w:lang w:val="de-DE"/>
        </w:rPr>
        <w:t>ārvalsts</w:t>
      </w:r>
      <w:proofErr w:type="spellEnd"/>
      <w:r w:rsidRPr="000C7C76">
        <w:rPr>
          <w:rFonts w:asciiTheme="majorBidi" w:hAnsiTheme="majorBidi" w:cstheme="majorBidi"/>
          <w:bCs/>
          <w:i/>
          <w:iCs/>
          <w:lang w:val="de-DE"/>
        </w:rPr>
        <w:t xml:space="preserve"> </w:t>
      </w:r>
      <w:proofErr w:type="spellStart"/>
      <w:r w:rsidRPr="000C7C76">
        <w:rPr>
          <w:rFonts w:asciiTheme="majorBidi" w:hAnsiTheme="majorBidi" w:cstheme="majorBidi"/>
          <w:bCs/>
          <w:i/>
          <w:iCs/>
          <w:lang w:val="de-DE"/>
        </w:rPr>
        <w:t>iestādi</w:t>
      </w:r>
      <w:proofErr w:type="spellEnd"/>
      <w:r w:rsidRPr="000C7C76">
        <w:rPr>
          <w:rFonts w:asciiTheme="majorBidi" w:hAnsiTheme="majorBidi" w:cstheme="majorBidi"/>
          <w:bCs/>
          <w:i/>
          <w:iCs/>
          <w:lang w:val="de-DE"/>
        </w:rPr>
        <w:t xml:space="preserve">, </w:t>
      </w:r>
      <w:proofErr w:type="spellStart"/>
      <w:r w:rsidRPr="000C7C76">
        <w:rPr>
          <w:rFonts w:asciiTheme="majorBidi" w:hAnsiTheme="majorBidi" w:cstheme="majorBidi"/>
          <w:bCs/>
          <w:i/>
          <w:iCs/>
          <w:lang w:val="de-DE"/>
        </w:rPr>
        <w:t>kas</w:t>
      </w:r>
      <w:proofErr w:type="spellEnd"/>
      <w:r w:rsidRPr="000C7C76">
        <w:rPr>
          <w:rFonts w:asciiTheme="majorBidi" w:hAnsiTheme="majorBidi" w:cstheme="majorBidi"/>
          <w:bCs/>
          <w:i/>
          <w:iCs/>
          <w:lang w:val="de-DE"/>
        </w:rPr>
        <w:t xml:space="preserve"> </w:t>
      </w:r>
      <w:proofErr w:type="spellStart"/>
      <w:r w:rsidRPr="000C7C76">
        <w:rPr>
          <w:rFonts w:asciiTheme="majorBidi" w:hAnsiTheme="majorBidi" w:cstheme="majorBidi"/>
          <w:bCs/>
          <w:i/>
          <w:iCs/>
          <w:lang w:val="de-DE"/>
        </w:rPr>
        <w:t>publisko</w:t>
      </w:r>
      <w:proofErr w:type="spellEnd"/>
      <w:r w:rsidRPr="000C7C76">
        <w:rPr>
          <w:rFonts w:asciiTheme="majorBidi" w:hAnsiTheme="majorBidi" w:cstheme="majorBidi"/>
          <w:bCs/>
          <w:i/>
          <w:iCs/>
          <w:lang w:val="de-DE"/>
        </w:rPr>
        <w:t xml:space="preserve"> </w:t>
      </w:r>
      <w:proofErr w:type="spellStart"/>
      <w:r w:rsidRPr="000C7C76">
        <w:rPr>
          <w:rFonts w:asciiTheme="majorBidi" w:hAnsiTheme="majorBidi" w:cstheme="majorBidi"/>
          <w:bCs/>
          <w:i/>
          <w:iCs/>
          <w:lang w:val="de-DE"/>
        </w:rPr>
        <w:t>dokumentu</w:t>
      </w:r>
      <w:proofErr w:type="spellEnd"/>
      <w:r w:rsidRPr="000C7C76">
        <w:rPr>
          <w:rFonts w:asciiTheme="majorBidi" w:hAnsiTheme="majorBidi" w:cstheme="majorBidi"/>
          <w:bCs/>
          <w:i/>
          <w:iCs/>
          <w:lang w:val="de-DE"/>
        </w:rPr>
        <w:t xml:space="preserve"> </w:t>
      </w:r>
      <w:proofErr w:type="spellStart"/>
      <w:r w:rsidRPr="000C7C76">
        <w:rPr>
          <w:rFonts w:asciiTheme="majorBidi" w:hAnsiTheme="majorBidi" w:cstheme="majorBidi"/>
          <w:bCs/>
          <w:i/>
          <w:iCs/>
          <w:lang w:val="de-DE"/>
        </w:rPr>
        <w:t>ir</w:t>
      </w:r>
      <w:proofErr w:type="spellEnd"/>
      <w:r w:rsidRPr="000C7C76">
        <w:rPr>
          <w:rFonts w:asciiTheme="majorBidi" w:hAnsiTheme="majorBidi" w:cstheme="majorBidi"/>
          <w:bCs/>
          <w:i/>
          <w:iCs/>
          <w:lang w:val="de-DE"/>
        </w:rPr>
        <w:t xml:space="preserve"> </w:t>
      </w:r>
      <w:proofErr w:type="spellStart"/>
      <w:r w:rsidRPr="000C7C76">
        <w:rPr>
          <w:rFonts w:asciiTheme="majorBidi" w:hAnsiTheme="majorBidi" w:cstheme="majorBidi"/>
          <w:bCs/>
          <w:i/>
          <w:iCs/>
          <w:lang w:val="de-DE"/>
        </w:rPr>
        <w:t>izsniegusi</w:t>
      </w:r>
      <w:proofErr w:type="spellEnd"/>
      <w:r w:rsidRPr="000C7C76">
        <w:rPr>
          <w:rFonts w:asciiTheme="majorBidi" w:hAnsiTheme="majorBidi" w:cstheme="majorBidi"/>
          <w:bCs/>
          <w:i/>
          <w:iCs/>
          <w:lang w:val="de-DE"/>
        </w:rPr>
        <w:t xml:space="preserve"> </w:t>
      </w:r>
      <w:proofErr w:type="spellStart"/>
      <w:r w:rsidRPr="000C7C76">
        <w:rPr>
          <w:rFonts w:asciiTheme="majorBidi" w:hAnsiTheme="majorBidi" w:cstheme="majorBidi"/>
          <w:bCs/>
          <w:i/>
          <w:iCs/>
          <w:lang w:val="de-DE"/>
        </w:rPr>
        <w:t>vai</w:t>
      </w:r>
      <w:proofErr w:type="spellEnd"/>
      <w:r w:rsidRPr="000C7C76">
        <w:rPr>
          <w:rFonts w:asciiTheme="majorBidi" w:hAnsiTheme="majorBidi" w:cstheme="majorBidi"/>
          <w:bCs/>
          <w:i/>
          <w:iCs/>
          <w:lang w:val="de-DE"/>
        </w:rPr>
        <w:t xml:space="preserve"> </w:t>
      </w:r>
      <w:proofErr w:type="spellStart"/>
      <w:r w:rsidRPr="000C7C76">
        <w:rPr>
          <w:rFonts w:asciiTheme="majorBidi" w:hAnsiTheme="majorBidi" w:cstheme="majorBidi"/>
          <w:bCs/>
          <w:i/>
          <w:iCs/>
          <w:lang w:val="de-DE"/>
        </w:rPr>
        <w:t>ir</w:t>
      </w:r>
      <w:proofErr w:type="spellEnd"/>
      <w:r w:rsidRPr="000C7C76">
        <w:rPr>
          <w:rFonts w:asciiTheme="majorBidi" w:hAnsiTheme="majorBidi" w:cstheme="majorBidi"/>
          <w:bCs/>
          <w:i/>
          <w:iCs/>
          <w:lang w:val="de-DE"/>
        </w:rPr>
        <w:t xml:space="preserve"> </w:t>
      </w:r>
      <w:proofErr w:type="spellStart"/>
      <w:r w:rsidRPr="000C7C76">
        <w:rPr>
          <w:rFonts w:asciiTheme="majorBidi" w:hAnsiTheme="majorBidi" w:cstheme="majorBidi"/>
          <w:bCs/>
          <w:i/>
          <w:iCs/>
          <w:lang w:val="de-DE"/>
        </w:rPr>
        <w:t>atbildīga</w:t>
      </w:r>
      <w:proofErr w:type="spellEnd"/>
      <w:r w:rsidRPr="000C7C76">
        <w:rPr>
          <w:rFonts w:asciiTheme="majorBidi" w:hAnsiTheme="majorBidi" w:cstheme="majorBidi"/>
          <w:bCs/>
          <w:i/>
          <w:iCs/>
          <w:lang w:val="de-DE"/>
        </w:rPr>
        <w:t xml:space="preserve"> par </w:t>
      </w:r>
      <w:proofErr w:type="spellStart"/>
      <w:r w:rsidRPr="000C7C76">
        <w:rPr>
          <w:rFonts w:asciiTheme="majorBidi" w:hAnsiTheme="majorBidi" w:cstheme="majorBidi"/>
          <w:bCs/>
          <w:i/>
          <w:iCs/>
          <w:lang w:val="de-DE"/>
        </w:rPr>
        <w:t>publiskā</w:t>
      </w:r>
      <w:proofErr w:type="spellEnd"/>
      <w:r w:rsidRPr="000C7C76">
        <w:rPr>
          <w:rFonts w:asciiTheme="majorBidi" w:hAnsiTheme="majorBidi" w:cstheme="majorBidi"/>
          <w:bCs/>
          <w:i/>
          <w:iCs/>
          <w:lang w:val="de-DE"/>
        </w:rPr>
        <w:t xml:space="preserve"> </w:t>
      </w:r>
      <w:proofErr w:type="spellStart"/>
      <w:r w:rsidRPr="000C7C76">
        <w:rPr>
          <w:rFonts w:asciiTheme="majorBidi" w:hAnsiTheme="majorBidi" w:cstheme="majorBidi"/>
          <w:bCs/>
          <w:i/>
          <w:iCs/>
          <w:lang w:val="de-DE"/>
        </w:rPr>
        <w:t>dokumenta</w:t>
      </w:r>
      <w:proofErr w:type="spellEnd"/>
      <w:r w:rsidRPr="000C7C76">
        <w:rPr>
          <w:rFonts w:asciiTheme="majorBidi" w:hAnsiTheme="majorBidi" w:cstheme="majorBidi"/>
          <w:bCs/>
          <w:i/>
          <w:iCs/>
          <w:lang w:val="de-DE"/>
        </w:rPr>
        <w:t xml:space="preserve"> </w:t>
      </w:r>
      <w:proofErr w:type="spellStart"/>
      <w:r w:rsidRPr="000C7C76">
        <w:rPr>
          <w:rFonts w:asciiTheme="majorBidi" w:hAnsiTheme="majorBidi" w:cstheme="majorBidi"/>
          <w:bCs/>
          <w:i/>
          <w:iCs/>
          <w:lang w:val="de-DE"/>
        </w:rPr>
        <w:t>autentiskumu</w:t>
      </w:r>
      <w:proofErr w:type="spellEnd"/>
      <w:r w:rsidRPr="000C7C76">
        <w:rPr>
          <w:rFonts w:asciiTheme="majorBidi" w:hAnsiTheme="majorBidi" w:cstheme="majorBidi"/>
          <w:bCs/>
          <w:i/>
          <w:iCs/>
          <w:lang w:val="de-DE"/>
        </w:rPr>
        <w:t xml:space="preserve">, ja </w:t>
      </w:r>
      <w:proofErr w:type="spellStart"/>
      <w:r w:rsidRPr="000C7C76">
        <w:rPr>
          <w:rFonts w:asciiTheme="majorBidi" w:hAnsiTheme="majorBidi" w:cstheme="majorBidi"/>
          <w:bCs/>
          <w:i/>
          <w:iCs/>
          <w:lang w:val="de-DE"/>
        </w:rPr>
        <w:t>Saeimas</w:t>
      </w:r>
      <w:proofErr w:type="spellEnd"/>
      <w:r w:rsidRPr="000C7C76">
        <w:rPr>
          <w:rFonts w:asciiTheme="majorBidi" w:hAnsiTheme="majorBidi" w:cstheme="majorBidi"/>
          <w:bCs/>
          <w:i/>
          <w:iCs/>
          <w:lang w:val="de-DE"/>
        </w:rPr>
        <w:t xml:space="preserve"> </w:t>
      </w:r>
      <w:proofErr w:type="spellStart"/>
      <w:r w:rsidRPr="000C7C76">
        <w:rPr>
          <w:rFonts w:asciiTheme="majorBidi" w:hAnsiTheme="majorBidi" w:cstheme="majorBidi"/>
          <w:bCs/>
          <w:i/>
          <w:iCs/>
          <w:lang w:val="de-DE"/>
        </w:rPr>
        <w:t>apstiprinātajos</w:t>
      </w:r>
      <w:proofErr w:type="spellEnd"/>
      <w:r w:rsidRPr="000C7C76">
        <w:rPr>
          <w:rFonts w:asciiTheme="majorBidi" w:hAnsiTheme="majorBidi" w:cstheme="majorBidi"/>
          <w:bCs/>
          <w:i/>
          <w:iCs/>
          <w:lang w:val="de-DE"/>
        </w:rPr>
        <w:t xml:space="preserve"> </w:t>
      </w:r>
      <w:proofErr w:type="spellStart"/>
      <w:r w:rsidRPr="000C7C76">
        <w:rPr>
          <w:rFonts w:asciiTheme="majorBidi" w:hAnsiTheme="majorBidi" w:cstheme="majorBidi"/>
          <w:bCs/>
          <w:i/>
          <w:iCs/>
          <w:lang w:val="de-DE"/>
        </w:rPr>
        <w:t>starptautiskajos</w:t>
      </w:r>
      <w:proofErr w:type="spellEnd"/>
      <w:r w:rsidRPr="000C7C76">
        <w:rPr>
          <w:rFonts w:asciiTheme="majorBidi" w:hAnsiTheme="majorBidi" w:cstheme="majorBidi"/>
          <w:bCs/>
          <w:i/>
          <w:iCs/>
          <w:lang w:val="de-DE"/>
        </w:rPr>
        <w:t xml:space="preserve"> </w:t>
      </w:r>
      <w:proofErr w:type="spellStart"/>
      <w:r w:rsidRPr="000C7C76">
        <w:rPr>
          <w:rFonts w:asciiTheme="majorBidi" w:hAnsiTheme="majorBidi" w:cstheme="majorBidi"/>
          <w:bCs/>
          <w:i/>
          <w:iCs/>
          <w:lang w:val="de-DE"/>
        </w:rPr>
        <w:t>līgumos</w:t>
      </w:r>
      <w:proofErr w:type="spellEnd"/>
      <w:r w:rsidRPr="000C7C76">
        <w:rPr>
          <w:rFonts w:asciiTheme="majorBidi" w:hAnsiTheme="majorBidi" w:cstheme="majorBidi"/>
          <w:bCs/>
          <w:i/>
          <w:iCs/>
          <w:lang w:val="de-DE"/>
        </w:rPr>
        <w:t xml:space="preserve"> </w:t>
      </w:r>
      <w:proofErr w:type="spellStart"/>
      <w:r w:rsidRPr="000C7C76">
        <w:rPr>
          <w:rFonts w:asciiTheme="majorBidi" w:hAnsiTheme="majorBidi" w:cstheme="majorBidi"/>
          <w:bCs/>
          <w:i/>
          <w:iCs/>
          <w:lang w:val="de-DE"/>
        </w:rPr>
        <w:t>vai</w:t>
      </w:r>
      <w:proofErr w:type="spellEnd"/>
      <w:r w:rsidRPr="000C7C76">
        <w:rPr>
          <w:rFonts w:asciiTheme="majorBidi" w:hAnsiTheme="majorBidi" w:cstheme="majorBidi"/>
          <w:bCs/>
          <w:i/>
          <w:iCs/>
          <w:lang w:val="de-DE"/>
        </w:rPr>
        <w:t xml:space="preserve"> </w:t>
      </w:r>
      <w:proofErr w:type="spellStart"/>
      <w:r w:rsidRPr="000C7C76">
        <w:rPr>
          <w:rFonts w:asciiTheme="majorBidi" w:hAnsiTheme="majorBidi" w:cstheme="majorBidi"/>
          <w:bCs/>
          <w:i/>
          <w:iCs/>
          <w:lang w:val="de-DE"/>
        </w:rPr>
        <w:t>Eiropas</w:t>
      </w:r>
      <w:proofErr w:type="spellEnd"/>
      <w:r w:rsidRPr="000C7C76">
        <w:rPr>
          <w:rFonts w:asciiTheme="majorBidi" w:hAnsiTheme="majorBidi" w:cstheme="majorBidi"/>
          <w:bCs/>
          <w:i/>
          <w:iCs/>
          <w:lang w:val="de-DE"/>
        </w:rPr>
        <w:t xml:space="preserve"> </w:t>
      </w:r>
      <w:proofErr w:type="spellStart"/>
      <w:r w:rsidRPr="000C7C76">
        <w:rPr>
          <w:rFonts w:asciiTheme="majorBidi" w:hAnsiTheme="majorBidi" w:cstheme="majorBidi"/>
          <w:bCs/>
          <w:i/>
          <w:iCs/>
          <w:lang w:val="de-DE"/>
        </w:rPr>
        <w:t>Savienības</w:t>
      </w:r>
      <w:proofErr w:type="spellEnd"/>
      <w:r w:rsidRPr="000C7C76">
        <w:rPr>
          <w:rFonts w:asciiTheme="majorBidi" w:hAnsiTheme="majorBidi" w:cstheme="majorBidi"/>
          <w:bCs/>
          <w:i/>
          <w:iCs/>
          <w:lang w:val="de-DE"/>
        </w:rPr>
        <w:t xml:space="preserve"> </w:t>
      </w:r>
      <w:proofErr w:type="spellStart"/>
      <w:r w:rsidRPr="000C7C76">
        <w:rPr>
          <w:rFonts w:asciiTheme="majorBidi" w:hAnsiTheme="majorBidi" w:cstheme="majorBidi"/>
          <w:bCs/>
          <w:i/>
          <w:iCs/>
          <w:lang w:val="de-DE"/>
        </w:rPr>
        <w:t>tiesību</w:t>
      </w:r>
      <w:proofErr w:type="spellEnd"/>
      <w:r w:rsidRPr="000C7C76">
        <w:rPr>
          <w:rFonts w:asciiTheme="majorBidi" w:hAnsiTheme="majorBidi" w:cstheme="majorBidi"/>
          <w:bCs/>
          <w:i/>
          <w:iCs/>
          <w:lang w:val="de-DE"/>
        </w:rPr>
        <w:t xml:space="preserve"> </w:t>
      </w:r>
      <w:proofErr w:type="spellStart"/>
      <w:r w:rsidRPr="000C7C76">
        <w:rPr>
          <w:rFonts w:asciiTheme="majorBidi" w:hAnsiTheme="majorBidi" w:cstheme="majorBidi"/>
          <w:bCs/>
          <w:i/>
          <w:iCs/>
          <w:lang w:val="de-DE"/>
        </w:rPr>
        <w:t>aktos</w:t>
      </w:r>
      <w:proofErr w:type="spellEnd"/>
      <w:r w:rsidRPr="000C7C76">
        <w:rPr>
          <w:rFonts w:asciiTheme="majorBidi" w:hAnsiTheme="majorBidi" w:cstheme="majorBidi"/>
          <w:bCs/>
          <w:i/>
          <w:iCs/>
          <w:lang w:val="de-DE"/>
        </w:rPr>
        <w:t xml:space="preserve"> </w:t>
      </w:r>
      <w:proofErr w:type="spellStart"/>
      <w:r w:rsidRPr="000C7C76">
        <w:rPr>
          <w:rFonts w:asciiTheme="majorBidi" w:hAnsiTheme="majorBidi" w:cstheme="majorBidi"/>
          <w:bCs/>
          <w:i/>
          <w:iCs/>
          <w:lang w:val="de-DE"/>
        </w:rPr>
        <w:t>nav</w:t>
      </w:r>
      <w:proofErr w:type="spellEnd"/>
      <w:r w:rsidRPr="000C7C76">
        <w:rPr>
          <w:rFonts w:asciiTheme="majorBidi" w:hAnsiTheme="majorBidi" w:cstheme="majorBidi"/>
          <w:bCs/>
          <w:i/>
          <w:iCs/>
          <w:lang w:val="de-DE"/>
        </w:rPr>
        <w:t xml:space="preserve"> </w:t>
      </w:r>
      <w:proofErr w:type="spellStart"/>
      <w:r w:rsidRPr="000C7C76">
        <w:rPr>
          <w:rFonts w:asciiTheme="majorBidi" w:hAnsiTheme="majorBidi" w:cstheme="majorBidi"/>
          <w:bCs/>
          <w:i/>
          <w:iCs/>
          <w:lang w:val="de-DE"/>
        </w:rPr>
        <w:t>noteikts</w:t>
      </w:r>
      <w:proofErr w:type="spellEnd"/>
      <w:r w:rsidRPr="000C7C76">
        <w:rPr>
          <w:rFonts w:asciiTheme="majorBidi" w:hAnsiTheme="majorBidi" w:cstheme="majorBidi"/>
          <w:bCs/>
          <w:i/>
          <w:iCs/>
          <w:lang w:val="de-DE"/>
        </w:rPr>
        <w:t xml:space="preserve"> </w:t>
      </w:r>
      <w:proofErr w:type="spellStart"/>
      <w:r w:rsidRPr="000C7C76">
        <w:rPr>
          <w:rFonts w:asciiTheme="majorBidi" w:hAnsiTheme="majorBidi" w:cstheme="majorBidi"/>
          <w:bCs/>
          <w:i/>
          <w:iCs/>
          <w:lang w:val="de-DE"/>
        </w:rPr>
        <w:t>citādi</w:t>
      </w:r>
      <w:proofErr w:type="spellEnd"/>
      <w:r>
        <w:rPr>
          <w:rFonts w:asciiTheme="majorBidi" w:hAnsiTheme="majorBidi" w:cstheme="majorBidi"/>
          <w:bCs/>
          <w:i/>
          <w:iCs/>
          <w:lang w:val="de-DE"/>
        </w:rPr>
        <w:t xml:space="preserve">“. </w:t>
      </w:r>
    </w:p>
    <w:p w14:paraId="0E60BDB5" w14:textId="77777777" w:rsidR="00114953" w:rsidRDefault="00114953" w:rsidP="00114953">
      <w:pPr>
        <w:jc w:val="both"/>
        <w:rPr>
          <w:rFonts w:asciiTheme="majorBidi" w:hAnsiTheme="majorBidi" w:cstheme="majorBidi"/>
          <w:bCs/>
          <w:i/>
          <w:iCs/>
          <w:lang w:val="de-DE"/>
        </w:rPr>
      </w:pPr>
    </w:p>
    <w:p w14:paraId="305A9063" w14:textId="77777777" w:rsidR="00114953" w:rsidRDefault="00114953" w:rsidP="00114953">
      <w:pPr>
        <w:ind w:firstLine="708"/>
        <w:jc w:val="both"/>
        <w:rPr>
          <w:rFonts w:asciiTheme="majorBidi" w:hAnsiTheme="majorBidi" w:cstheme="majorBidi"/>
          <w:bCs/>
          <w:lang w:val="de-DE"/>
        </w:rPr>
      </w:pPr>
      <w:proofErr w:type="spellStart"/>
      <w:r w:rsidRPr="000C7C76">
        <w:rPr>
          <w:rFonts w:asciiTheme="majorBidi" w:hAnsiTheme="majorBidi" w:cstheme="majorBidi"/>
          <w:bCs/>
          <w:lang w:val="de-DE"/>
        </w:rPr>
        <w:t>No</w:t>
      </w:r>
      <w:proofErr w:type="spellEnd"/>
      <w:r w:rsidRPr="000C7C76">
        <w:rPr>
          <w:rFonts w:asciiTheme="majorBidi" w:hAnsiTheme="majorBidi" w:cstheme="majorBidi"/>
          <w:bCs/>
          <w:lang w:val="de-DE"/>
        </w:rPr>
        <w:t xml:space="preserve"> </w:t>
      </w:r>
      <w:proofErr w:type="spellStart"/>
      <w:r w:rsidRPr="000C7C76">
        <w:rPr>
          <w:rFonts w:asciiTheme="majorBidi" w:hAnsiTheme="majorBidi" w:cstheme="majorBidi"/>
          <w:bCs/>
          <w:lang w:val="de-DE"/>
        </w:rPr>
        <w:t>minētās</w:t>
      </w:r>
      <w:proofErr w:type="spellEnd"/>
      <w:r w:rsidRPr="000C7C76">
        <w:rPr>
          <w:rFonts w:asciiTheme="majorBidi" w:hAnsiTheme="majorBidi" w:cstheme="majorBidi"/>
          <w:bCs/>
          <w:lang w:val="de-DE"/>
        </w:rPr>
        <w:t xml:space="preserve"> </w:t>
      </w:r>
      <w:proofErr w:type="spellStart"/>
      <w:r w:rsidRPr="000C7C76">
        <w:rPr>
          <w:rFonts w:asciiTheme="majorBidi" w:hAnsiTheme="majorBidi" w:cstheme="majorBidi"/>
          <w:bCs/>
          <w:lang w:val="de-DE"/>
        </w:rPr>
        <w:t>tiesību</w:t>
      </w:r>
      <w:proofErr w:type="spellEnd"/>
      <w:r w:rsidRPr="000C7C76">
        <w:rPr>
          <w:rFonts w:asciiTheme="majorBidi" w:hAnsiTheme="majorBidi" w:cstheme="majorBidi"/>
          <w:bCs/>
          <w:lang w:val="de-DE"/>
        </w:rPr>
        <w:t xml:space="preserve"> </w:t>
      </w:r>
      <w:proofErr w:type="spellStart"/>
      <w:r w:rsidRPr="000C7C76">
        <w:rPr>
          <w:rFonts w:asciiTheme="majorBidi" w:hAnsiTheme="majorBidi" w:cstheme="majorBidi"/>
          <w:bCs/>
          <w:lang w:val="de-DE"/>
        </w:rPr>
        <w:t>normas</w:t>
      </w:r>
      <w:proofErr w:type="spellEnd"/>
      <w:r w:rsidRPr="000C7C76">
        <w:rPr>
          <w:rFonts w:asciiTheme="majorBidi" w:hAnsiTheme="majorBidi" w:cstheme="majorBidi"/>
          <w:bCs/>
          <w:lang w:val="de-DE"/>
        </w:rPr>
        <w:t xml:space="preserve"> </w:t>
      </w:r>
      <w:proofErr w:type="spellStart"/>
      <w:r w:rsidRPr="000C7C76">
        <w:rPr>
          <w:rFonts w:asciiTheme="majorBidi" w:hAnsiTheme="majorBidi" w:cstheme="majorBidi"/>
          <w:bCs/>
          <w:lang w:val="de-DE"/>
        </w:rPr>
        <w:t>izriet</w:t>
      </w:r>
      <w:proofErr w:type="spellEnd"/>
      <w:r w:rsidRPr="000C7C76">
        <w:rPr>
          <w:rFonts w:asciiTheme="majorBidi" w:hAnsiTheme="majorBidi" w:cstheme="majorBidi"/>
          <w:bCs/>
          <w:lang w:val="de-DE"/>
        </w:rPr>
        <w:t xml:space="preserve">, </w:t>
      </w:r>
      <w:proofErr w:type="spellStart"/>
      <w:r w:rsidRPr="000C7C76">
        <w:rPr>
          <w:rFonts w:asciiTheme="majorBidi" w:hAnsiTheme="majorBidi" w:cstheme="majorBidi"/>
          <w:bCs/>
          <w:lang w:val="de-DE"/>
        </w:rPr>
        <w:t>ka</w:t>
      </w:r>
      <w:proofErr w:type="spellEnd"/>
      <w:r w:rsidRPr="000C7C76">
        <w:rPr>
          <w:rFonts w:asciiTheme="majorBidi" w:hAnsiTheme="majorBidi" w:cstheme="majorBidi"/>
          <w:bCs/>
          <w:lang w:val="de-DE"/>
        </w:rPr>
        <w:t xml:space="preserve"> </w:t>
      </w:r>
      <w:proofErr w:type="spellStart"/>
      <w:r w:rsidRPr="000C7C76">
        <w:rPr>
          <w:rFonts w:asciiTheme="majorBidi" w:hAnsiTheme="majorBidi" w:cstheme="majorBidi"/>
          <w:b/>
          <w:lang w:val="de-DE"/>
        </w:rPr>
        <w:t>Eiropas</w:t>
      </w:r>
      <w:proofErr w:type="spellEnd"/>
      <w:r w:rsidRPr="000C7C76">
        <w:rPr>
          <w:rFonts w:asciiTheme="majorBidi" w:hAnsiTheme="majorBidi" w:cstheme="majorBidi"/>
          <w:b/>
          <w:lang w:val="de-DE"/>
        </w:rPr>
        <w:t xml:space="preserve"> </w:t>
      </w:r>
      <w:proofErr w:type="spellStart"/>
      <w:r w:rsidRPr="000C7C76">
        <w:rPr>
          <w:rFonts w:asciiTheme="majorBidi" w:hAnsiTheme="majorBidi" w:cstheme="majorBidi"/>
          <w:b/>
          <w:lang w:val="de-DE"/>
        </w:rPr>
        <w:t>Savienības</w:t>
      </w:r>
      <w:proofErr w:type="spellEnd"/>
      <w:r w:rsidRPr="000C7C76">
        <w:rPr>
          <w:rFonts w:asciiTheme="majorBidi" w:hAnsiTheme="majorBidi" w:cstheme="majorBidi"/>
          <w:b/>
          <w:lang w:val="de-DE"/>
        </w:rPr>
        <w:t xml:space="preserve">, </w:t>
      </w:r>
      <w:proofErr w:type="spellStart"/>
      <w:r w:rsidRPr="000C7C76">
        <w:rPr>
          <w:rFonts w:asciiTheme="majorBidi" w:hAnsiTheme="majorBidi" w:cstheme="majorBidi"/>
          <w:b/>
          <w:lang w:val="de-DE"/>
        </w:rPr>
        <w:t>Eiropas</w:t>
      </w:r>
      <w:proofErr w:type="spellEnd"/>
      <w:r w:rsidRPr="000C7C76">
        <w:rPr>
          <w:rFonts w:asciiTheme="majorBidi" w:hAnsiTheme="majorBidi" w:cstheme="majorBidi"/>
          <w:b/>
          <w:lang w:val="de-DE"/>
        </w:rPr>
        <w:t xml:space="preserve"> </w:t>
      </w:r>
      <w:proofErr w:type="spellStart"/>
      <w:r w:rsidRPr="000C7C76">
        <w:rPr>
          <w:rFonts w:asciiTheme="majorBidi" w:hAnsiTheme="majorBidi" w:cstheme="majorBidi"/>
          <w:b/>
          <w:lang w:val="de-DE"/>
        </w:rPr>
        <w:t>Ekonomikas</w:t>
      </w:r>
      <w:proofErr w:type="spellEnd"/>
      <w:r w:rsidRPr="000C7C76">
        <w:rPr>
          <w:rFonts w:asciiTheme="majorBidi" w:hAnsiTheme="majorBidi" w:cstheme="majorBidi"/>
          <w:b/>
          <w:lang w:val="de-DE"/>
        </w:rPr>
        <w:t xml:space="preserve"> </w:t>
      </w:r>
      <w:proofErr w:type="spellStart"/>
      <w:r w:rsidRPr="000C7C76">
        <w:rPr>
          <w:rFonts w:asciiTheme="majorBidi" w:hAnsiTheme="majorBidi" w:cstheme="majorBidi"/>
          <w:b/>
          <w:lang w:val="de-DE"/>
        </w:rPr>
        <w:t>zonas</w:t>
      </w:r>
      <w:proofErr w:type="spellEnd"/>
      <w:r w:rsidRPr="000C7C76">
        <w:rPr>
          <w:rFonts w:asciiTheme="majorBidi" w:hAnsiTheme="majorBidi" w:cstheme="majorBidi"/>
          <w:b/>
          <w:lang w:val="de-DE"/>
        </w:rPr>
        <w:t xml:space="preserve"> </w:t>
      </w:r>
      <w:proofErr w:type="spellStart"/>
      <w:r w:rsidRPr="000C7C76">
        <w:rPr>
          <w:rFonts w:asciiTheme="majorBidi" w:hAnsiTheme="majorBidi" w:cstheme="majorBidi"/>
          <w:b/>
          <w:lang w:val="de-DE"/>
        </w:rPr>
        <w:t>valstīm</w:t>
      </w:r>
      <w:proofErr w:type="spellEnd"/>
      <w:r w:rsidRPr="000C7C76">
        <w:rPr>
          <w:rFonts w:asciiTheme="majorBidi" w:hAnsiTheme="majorBidi" w:cstheme="majorBidi"/>
          <w:bCs/>
          <w:lang w:val="de-DE"/>
        </w:rPr>
        <w:t xml:space="preserve"> </w:t>
      </w:r>
      <w:proofErr w:type="spellStart"/>
      <w:r w:rsidRPr="000C7C76">
        <w:rPr>
          <w:rFonts w:asciiTheme="majorBidi" w:hAnsiTheme="majorBidi" w:cstheme="majorBidi"/>
          <w:bCs/>
          <w:lang w:val="de-DE"/>
        </w:rPr>
        <w:t>un</w:t>
      </w:r>
      <w:proofErr w:type="spellEnd"/>
      <w:r w:rsidRPr="000C7C76">
        <w:rPr>
          <w:rFonts w:asciiTheme="majorBidi" w:hAnsiTheme="majorBidi" w:cstheme="majorBidi"/>
          <w:bCs/>
          <w:lang w:val="de-DE"/>
        </w:rPr>
        <w:t xml:space="preserve"> </w:t>
      </w:r>
      <w:proofErr w:type="spellStart"/>
      <w:r w:rsidRPr="000C7C76">
        <w:rPr>
          <w:rFonts w:asciiTheme="majorBidi" w:hAnsiTheme="majorBidi" w:cstheme="majorBidi"/>
          <w:b/>
          <w:lang w:val="de-DE"/>
        </w:rPr>
        <w:t>Šveices</w:t>
      </w:r>
      <w:proofErr w:type="spellEnd"/>
      <w:r w:rsidRPr="000C7C76">
        <w:rPr>
          <w:rFonts w:asciiTheme="majorBidi" w:hAnsiTheme="majorBidi" w:cstheme="majorBidi"/>
          <w:b/>
          <w:lang w:val="de-DE"/>
        </w:rPr>
        <w:t xml:space="preserve"> </w:t>
      </w:r>
      <w:proofErr w:type="spellStart"/>
      <w:r w:rsidRPr="000C7C76">
        <w:rPr>
          <w:rFonts w:asciiTheme="majorBidi" w:hAnsiTheme="majorBidi" w:cstheme="majorBidi"/>
          <w:b/>
          <w:lang w:val="de-DE"/>
        </w:rPr>
        <w:t>Konfederācijai</w:t>
      </w:r>
      <w:proofErr w:type="spellEnd"/>
      <w:r w:rsidRPr="000C7C76">
        <w:rPr>
          <w:rFonts w:asciiTheme="majorBidi" w:hAnsiTheme="majorBidi" w:cstheme="majorBidi"/>
          <w:bCs/>
          <w:lang w:val="de-DE"/>
        </w:rPr>
        <w:t xml:space="preserve"> </w:t>
      </w:r>
      <w:proofErr w:type="spellStart"/>
      <w:r w:rsidRPr="000C7C76">
        <w:rPr>
          <w:rFonts w:asciiTheme="majorBidi" w:hAnsiTheme="majorBidi" w:cstheme="majorBidi"/>
          <w:bCs/>
          <w:lang w:val="de-DE"/>
        </w:rPr>
        <w:t>ir</w:t>
      </w:r>
      <w:proofErr w:type="spellEnd"/>
      <w:r w:rsidRPr="000C7C76">
        <w:rPr>
          <w:rFonts w:asciiTheme="majorBidi" w:hAnsiTheme="majorBidi" w:cstheme="majorBidi"/>
          <w:bCs/>
          <w:lang w:val="de-DE"/>
        </w:rPr>
        <w:t xml:space="preserve"> </w:t>
      </w:r>
      <w:proofErr w:type="spellStart"/>
      <w:r w:rsidRPr="000C7C76">
        <w:rPr>
          <w:rFonts w:asciiTheme="majorBidi" w:hAnsiTheme="majorBidi" w:cstheme="majorBidi"/>
          <w:bCs/>
          <w:lang w:val="de-DE"/>
        </w:rPr>
        <w:t>piemērojams</w:t>
      </w:r>
      <w:proofErr w:type="spellEnd"/>
      <w:r w:rsidRPr="000C7C76">
        <w:rPr>
          <w:rFonts w:asciiTheme="majorBidi" w:hAnsiTheme="majorBidi" w:cstheme="majorBidi"/>
          <w:bCs/>
          <w:lang w:val="de-DE"/>
        </w:rPr>
        <w:t xml:space="preserve"> </w:t>
      </w:r>
      <w:proofErr w:type="spellStart"/>
      <w:r w:rsidRPr="000C7C76">
        <w:rPr>
          <w:rFonts w:asciiTheme="majorBidi" w:hAnsiTheme="majorBidi" w:cstheme="majorBidi"/>
          <w:bCs/>
          <w:lang w:val="de-DE"/>
        </w:rPr>
        <w:t>cits</w:t>
      </w:r>
      <w:proofErr w:type="spellEnd"/>
      <w:r w:rsidRPr="000C7C76">
        <w:rPr>
          <w:rFonts w:asciiTheme="majorBidi" w:hAnsiTheme="majorBidi" w:cstheme="majorBidi"/>
          <w:bCs/>
          <w:lang w:val="de-DE"/>
        </w:rPr>
        <w:t xml:space="preserve"> </w:t>
      </w:r>
      <w:proofErr w:type="spellStart"/>
      <w:r w:rsidRPr="000C7C76">
        <w:rPr>
          <w:rFonts w:asciiTheme="majorBidi" w:hAnsiTheme="majorBidi" w:cstheme="majorBidi"/>
          <w:bCs/>
          <w:lang w:val="de-DE"/>
        </w:rPr>
        <w:t>publisko</w:t>
      </w:r>
      <w:proofErr w:type="spellEnd"/>
      <w:r w:rsidRPr="000C7C76">
        <w:rPr>
          <w:rFonts w:asciiTheme="majorBidi" w:hAnsiTheme="majorBidi" w:cstheme="majorBidi"/>
          <w:bCs/>
          <w:lang w:val="de-DE"/>
        </w:rPr>
        <w:t xml:space="preserve"> </w:t>
      </w:r>
      <w:proofErr w:type="spellStart"/>
      <w:r w:rsidRPr="000C7C76">
        <w:rPr>
          <w:rFonts w:asciiTheme="majorBidi" w:hAnsiTheme="majorBidi" w:cstheme="majorBidi"/>
          <w:bCs/>
          <w:lang w:val="de-DE"/>
        </w:rPr>
        <w:t>dokumentu</w:t>
      </w:r>
      <w:proofErr w:type="spellEnd"/>
      <w:r w:rsidRPr="000C7C76">
        <w:rPr>
          <w:rFonts w:asciiTheme="majorBidi" w:hAnsiTheme="majorBidi" w:cstheme="majorBidi"/>
          <w:bCs/>
          <w:lang w:val="de-DE"/>
        </w:rPr>
        <w:t xml:space="preserve"> </w:t>
      </w:r>
      <w:proofErr w:type="spellStart"/>
      <w:r w:rsidRPr="000C7C76">
        <w:rPr>
          <w:rFonts w:asciiTheme="majorBidi" w:hAnsiTheme="majorBidi" w:cstheme="majorBidi"/>
          <w:bCs/>
          <w:lang w:val="de-DE"/>
        </w:rPr>
        <w:t>legalizācijas</w:t>
      </w:r>
      <w:proofErr w:type="spellEnd"/>
      <w:r w:rsidRPr="000C7C76">
        <w:rPr>
          <w:rFonts w:asciiTheme="majorBidi" w:hAnsiTheme="majorBidi" w:cstheme="majorBidi"/>
          <w:bCs/>
          <w:lang w:val="de-DE"/>
        </w:rPr>
        <w:t xml:space="preserve"> </w:t>
      </w:r>
      <w:proofErr w:type="spellStart"/>
      <w:r w:rsidRPr="000C7C76">
        <w:rPr>
          <w:rFonts w:asciiTheme="majorBidi" w:hAnsiTheme="majorBidi" w:cstheme="majorBidi"/>
          <w:bCs/>
          <w:lang w:val="de-DE"/>
        </w:rPr>
        <w:t>režīms</w:t>
      </w:r>
      <w:proofErr w:type="spellEnd"/>
      <w:r w:rsidRPr="000C7C76">
        <w:rPr>
          <w:rFonts w:asciiTheme="majorBidi" w:hAnsiTheme="majorBidi" w:cstheme="majorBidi"/>
          <w:bCs/>
          <w:lang w:val="de-DE"/>
        </w:rPr>
        <w:t xml:space="preserve">, </w:t>
      </w:r>
      <w:proofErr w:type="spellStart"/>
      <w:r w:rsidRPr="000C7C76">
        <w:rPr>
          <w:rFonts w:asciiTheme="majorBidi" w:hAnsiTheme="majorBidi" w:cstheme="majorBidi"/>
          <w:bCs/>
          <w:lang w:val="de-DE"/>
        </w:rPr>
        <w:t>kas</w:t>
      </w:r>
      <w:proofErr w:type="spellEnd"/>
      <w:r w:rsidRPr="000C7C76">
        <w:rPr>
          <w:rFonts w:asciiTheme="majorBidi" w:hAnsiTheme="majorBidi" w:cstheme="majorBidi"/>
          <w:bCs/>
          <w:lang w:val="de-DE"/>
        </w:rPr>
        <w:t xml:space="preserve"> </w:t>
      </w:r>
      <w:proofErr w:type="spellStart"/>
      <w:r w:rsidRPr="000C7C76">
        <w:rPr>
          <w:rFonts w:asciiTheme="majorBidi" w:hAnsiTheme="majorBidi" w:cstheme="majorBidi"/>
          <w:bCs/>
          <w:lang w:val="de-DE"/>
        </w:rPr>
        <w:t>var</w:t>
      </w:r>
      <w:proofErr w:type="spellEnd"/>
      <w:r w:rsidRPr="000C7C76">
        <w:rPr>
          <w:rFonts w:asciiTheme="majorBidi" w:hAnsiTheme="majorBidi" w:cstheme="majorBidi"/>
          <w:bCs/>
          <w:lang w:val="de-DE"/>
        </w:rPr>
        <w:t xml:space="preserve"> </w:t>
      </w:r>
      <w:proofErr w:type="spellStart"/>
      <w:r w:rsidRPr="000C7C76">
        <w:rPr>
          <w:rFonts w:asciiTheme="majorBidi" w:hAnsiTheme="majorBidi" w:cstheme="majorBidi"/>
          <w:bCs/>
          <w:lang w:val="de-DE"/>
        </w:rPr>
        <w:t>nozīmēt</w:t>
      </w:r>
      <w:proofErr w:type="spellEnd"/>
      <w:r w:rsidRPr="000C7C76">
        <w:rPr>
          <w:rFonts w:asciiTheme="majorBidi" w:hAnsiTheme="majorBidi" w:cstheme="majorBidi"/>
          <w:bCs/>
          <w:lang w:val="de-DE"/>
        </w:rPr>
        <w:t xml:space="preserve"> </w:t>
      </w:r>
      <w:proofErr w:type="spellStart"/>
      <w:r w:rsidRPr="000C7C76">
        <w:rPr>
          <w:rFonts w:asciiTheme="majorBidi" w:hAnsiTheme="majorBidi" w:cstheme="majorBidi"/>
          <w:bCs/>
          <w:lang w:val="de-DE"/>
        </w:rPr>
        <w:t>arī</w:t>
      </w:r>
      <w:proofErr w:type="spellEnd"/>
      <w:r w:rsidRPr="000C7C76">
        <w:rPr>
          <w:rFonts w:asciiTheme="majorBidi" w:hAnsiTheme="majorBidi" w:cstheme="majorBidi"/>
          <w:bCs/>
          <w:lang w:val="de-DE"/>
        </w:rPr>
        <w:t xml:space="preserve"> </w:t>
      </w:r>
      <w:proofErr w:type="spellStart"/>
      <w:r w:rsidRPr="000C7C76">
        <w:rPr>
          <w:rFonts w:asciiTheme="majorBidi" w:hAnsiTheme="majorBidi" w:cstheme="majorBidi"/>
          <w:bCs/>
          <w:lang w:val="de-DE"/>
        </w:rPr>
        <w:t>jēdziena</w:t>
      </w:r>
      <w:proofErr w:type="spellEnd"/>
      <w:r w:rsidRPr="000C7C76">
        <w:rPr>
          <w:rFonts w:asciiTheme="majorBidi" w:hAnsiTheme="majorBidi" w:cstheme="majorBidi"/>
          <w:bCs/>
          <w:lang w:val="de-DE"/>
        </w:rPr>
        <w:t xml:space="preserve"> </w:t>
      </w:r>
      <w:r>
        <w:rPr>
          <w:rFonts w:asciiTheme="majorBidi" w:hAnsiTheme="majorBidi" w:cstheme="majorBidi"/>
          <w:bCs/>
          <w:lang w:val="de-DE"/>
        </w:rPr>
        <w:t>„</w:t>
      </w:r>
      <w:proofErr w:type="spellStart"/>
      <w:r>
        <w:rPr>
          <w:rFonts w:asciiTheme="majorBidi" w:hAnsiTheme="majorBidi" w:cstheme="majorBidi"/>
          <w:bCs/>
          <w:lang w:val="de-DE"/>
        </w:rPr>
        <w:t>publisks</w:t>
      </w:r>
      <w:proofErr w:type="spellEnd"/>
      <w:r>
        <w:rPr>
          <w:rFonts w:asciiTheme="majorBidi" w:hAnsiTheme="majorBidi" w:cstheme="majorBidi"/>
          <w:bCs/>
          <w:lang w:val="de-DE"/>
        </w:rPr>
        <w:t xml:space="preserve"> </w:t>
      </w:r>
      <w:proofErr w:type="spellStart"/>
      <w:r>
        <w:rPr>
          <w:rFonts w:asciiTheme="majorBidi" w:hAnsiTheme="majorBidi" w:cstheme="majorBidi"/>
          <w:bCs/>
          <w:lang w:val="de-DE"/>
        </w:rPr>
        <w:t>dokuments</w:t>
      </w:r>
      <w:proofErr w:type="spellEnd"/>
      <w:r>
        <w:rPr>
          <w:rFonts w:asciiTheme="majorBidi" w:hAnsiTheme="majorBidi" w:cstheme="majorBidi"/>
          <w:bCs/>
          <w:lang w:val="de-DE"/>
        </w:rPr>
        <w:t xml:space="preserve">“ </w:t>
      </w:r>
      <w:proofErr w:type="spellStart"/>
      <w:r>
        <w:rPr>
          <w:rFonts w:asciiTheme="majorBidi" w:hAnsiTheme="majorBidi" w:cstheme="majorBidi"/>
          <w:bCs/>
          <w:lang w:val="de-DE"/>
        </w:rPr>
        <w:t>satura</w:t>
      </w:r>
      <w:proofErr w:type="spellEnd"/>
      <w:r>
        <w:rPr>
          <w:rFonts w:asciiTheme="majorBidi" w:hAnsiTheme="majorBidi" w:cstheme="majorBidi"/>
          <w:bCs/>
          <w:lang w:val="de-DE"/>
        </w:rPr>
        <w:t xml:space="preserve"> </w:t>
      </w:r>
      <w:proofErr w:type="spellStart"/>
      <w:r>
        <w:rPr>
          <w:rFonts w:asciiTheme="majorBidi" w:hAnsiTheme="majorBidi" w:cstheme="majorBidi"/>
          <w:bCs/>
          <w:lang w:val="de-DE"/>
        </w:rPr>
        <w:t>paplašināšanu</w:t>
      </w:r>
      <w:proofErr w:type="spellEnd"/>
      <w:r>
        <w:rPr>
          <w:rFonts w:asciiTheme="majorBidi" w:hAnsiTheme="majorBidi" w:cstheme="majorBidi"/>
          <w:bCs/>
          <w:lang w:val="de-DE"/>
        </w:rPr>
        <w:t xml:space="preserve"> </w:t>
      </w:r>
      <w:proofErr w:type="spellStart"/>
      <w:r>
        <w:rPr>
          <w:rFonts w:asciiTheme="majorBidi" w:hAnsiTheme="majorBidi" w:cstheme="majorBidi"/>
          <w:bCs/>
          <w:lang w:val="de-DE"/>
        </w:rPr>
        <w:t>vai</w:t>
      </w:r>
      <w:proofErr w:type="spellEnd"/>
      <w:r>
        <w:rPr>
          <w:rFonts w:asciiTheme="majorBidi" w:hAnsiTheme="majorBidi" w:cstheme="majorBidi"/>
          <w:bCs/>
          <w:lang w:val="de-DE"/>
        </w:rPr>
        <w:t xml:space="preserve"> </w:t>
      </w:r>
      <w:proofErr w:type="spellStart"/>
      <w:r>
        <w:rPr>
          <w:rFonts w:asciiTheme="majorBidi" w:hAnsiTheme="majorBidi" w:cstheme="majorBidi"/>
          <w:bCs/>
          <w:lang w:val="de-DE"/>
        </w:rPr>
        <w:t>sašaurināšanu</w:t>
      </w:r>
      <w:proofErr w:type="spellEnd"/>
      <w:r>
        <w:rPr>
          <w:rFonts w:asciiTheme="majorBidi" w:hAnsiTheme="majorBidi" w:cstheme="majorBidi"/>
          <w:bCs/>
          <w:lang w:val="de-DE"/>
        </w:rPr>
        <w:t xml:space="preserve">. </w:t>
      </w:r>
      <w:proofErr w:type="spellStart"/>
      <w:r>
        <w:rPr>
          <w:rFonts w:asciiTheme="majorBidi" w:hAnsiTheme="majorBidi" w:cstheme="majorBidi"/>
          <w:bCs/>
          <w:lang w:val="de-DE"/>
        </w:rPr>
        <w:t>Jāatzīmē</w:t>
      </w:r>
      <w:proofErr w:type="spellEnd"/>
      <w:r>
        <w:rPr>
          <w:rFonts w:asciiTheme="majorBidi" w:hAnsiTheme="majorBidi" w:cstheme="majorBidi"/>
          <w:bCs/>
          <w:lang w:val="de-DE"/>
        </w:rPr>
        <w:t xml:space="preserve">, </w:t>
      </w:r>
      <w:proofErr w:type="spellStart"/>
      <w:r>
        <w:rPr>
          <w:rFonts w:asciiTheme="majorBidi" w:hAnsiTheme="majorBidi" w:cstheme="majorBidi"/>
          <w:bCs/>
          <w:lang w:val="de-DE"/>
        </w:rPr>
        <w:t>ka</w:t>
      </w:r>
      <w:proofErr w:type="spellEnd"/>
      <w:r>
        <w:rPr>
          <w:rFonts w:asciiTheme="majorBidi" w:hAnsiTheme="majorBidi" w:cstheme="majorBidi"/>
          <w:bCs/>
          <w:lang w:val="de-DE"/>
        </w:rPr>
        <w:t xml:space="preserve"> </w:t>
      </w:r>
      <w:proofErr w:type="spellStart"/>
      <w:r>
        <w:rPr>
          <w:rFonts w:asciiTheme="majorBidi" w:hAnsiTheme="majorBidi" w:cstheme="majorBidi"/>
          <w:bCs/>
          <w:lang w:val="de-DE"/>
        </w:rPr>
        <w:t>Hāgas</w:t>
      </w:r>
      <w:proofErr w:type="spellEnd"/>
      <w:r>
        <w:rPr>
          <w:rFonts w:asciiTheme="majorBidi" w:hAnsiTheme="majorBidi" w:cstheme="majorBidi"/>
          <w:bCs/>
          <w:lang w:val="de-DE"/>
        </w:rPr>
        <w:t xml:space="preserve"> </w:t>
      </w:r>
      <w:proofErr w:type="spellStart"/>
      <w:r>
        <w:rPr>
          <w:rFonts w:asciiTheme="majorBidi" w:hAnsiTheme="majorBidi" w:cstheme="majorBidi"/>
          <w:bCs/>
          <w:lang w:val="de-DE"/>
        </w:rPr>
        <w:t>Dokumentu</w:t>
      </w:r>
      <w:proofErr w:type="spellEnd"/>
      <w:r>
        <w:rPr>
          <w:rFonts w:asciiTheme="majorBidi" w:hAnsiTheme="majorBidi" w:cstheme="majorBidi"/>
          <w:bCs/>
          <w:lang w:val="de-DE"/>
        </w:rPr>
        <w:t xml:space="preserve"> </w:t>
      </w:r>
      <w:proofErr w:type="spellStart"/>
      <w:r>
        <w:rPr>
          <w:rFonts w:asciiTheme="majorBidi" w:hAnsiTheme="majorBidi" w:cstheme="majorBidi"/>
          <w:bCs/>
          <w:lang w:val="de-DE"/>
        </w:rPr>
        <w:t>legalizācijas</w:t>
      </w:r>
      <w:proofErr w:type="spellEnd"/>
      <w:r>
        <w:rPr>
          <w:rFonts w:asciiTheme="majorBidi" w:hAnsiTheme="majorBidi" w:cstheme="majorBidi"/>
          <w:bCs/>
          <w:lang w:val="de-DE"/>
        </w:rPr>
        <w:t xml:space="preserve"> </w:t>
      </w:r>
      <w:proofErr w:type="spellStart"/>
      <w:r>
        <w:rPr>
          <w:rFonts w:asciiTheme="majorBidi" w:hAnsiTheme="majorBidi" w:cstheme="majorBidi"/>
          <w:bCs/>
          <w:lang w:val="de-DE"/>
        </w:rPr>
        <w:t>atcelšanas</w:t>
      </w:r>
      <w:proofErr w:type="spellEnd"/>
      <w:r>
        <w:rPr>
          <w:rFonts w:asciiTheme="majorBidi" w:hAnsiTheme="majorBidi" w:cstheme="majorBidi"/>
          <w:bCs/>
          <w:lang w:val="de-DE"/>
        </w:rPr>
        <w:t xml:space="preserve"> </w:t>
      </w:r>
      <w:proofErr w:type="spellStart"/>
      <w:r>
        <w:rPr>
          <w:rFonts w:asciiTheme="majorBidi" w:hAnsiTheme="majorBidi" w:cstheme="majorBidi"/>
          <w:bCs/>
          <w:lang w:val="de-DE"/>
        </w:rPr>
        <w:t>konvencijai</w:t>
      </w:r>
      <w:proofErr w:type="spellEnd"/>
      <w:r>
        <w:rPr>
          <w:rFonts w:asciiTheme="majorBidi" w:hAnsiTheme="majorBidi" w:cstheme="majorBidi"/>
          <w:bCs/>
          <w:lang w:val="de-DE"/>
        </w:rPr>
        <w:t xml:space="preserve"> </w:t>
      </w:r>
      <w:proofErr w:type="spellStart"/>
      <w:r>
        <w:rPr>
          <w:rFonts w:asciiTheme="majorBidi" w:hAnsiTheme="majorBidi" w:cstheme="majorBidi"/>
          <w:bCs/>
          <w:lang w:val="de-DE"/>
        </w:rPr>
        <w:t>ir</w:t>
      </w:r>
      <w:proofErr w:type="spellEnd"/>
      <w:r>
        <w:rPr>
          <w:rFonts w:asciiTheme="majorBidi" w:hAnsiTheme="majorBidi" w:cstheme="majorBidi"/>
          <w:bCs/>
          <w:lang w:val="de-DE"/>
        </w:rPr>
        <w:t xml:space="preserve"> </w:t>
      </w:r>
      <w:proofErr w:type="spellStart"/>
      <w:r>
        <w:rPr>
          <w:rFonts w:asciiTheme="majorBidi" w:hAnsiTheme="majorBidi" w:cstheme="majorBidi"/>
          <w:bCs/>
          <w:lang w:val="de-DE"/>
        </w:rPr>
        <w:t>pievienojušās</w:t>
      </w:r>
      <w:proofErr w:type="spellEnd"/>
      <w:r>
        <w:rPr>
          <w:rFonts w:asciiTheme="majorBidi" w:hAnsiTheme="majorBidi" w:cstheme="majorBidi"/>
          <w:bCs/>
          <w:lang w:val="de-DE"/>
        </w:rPr>
        <w:t xml:space="preserve"> </w:t>
      </w:r>
      <w:proofErr w:type="spellStart"/>
      <w:r>
        <w:rPr>
          <w:rFonts w:asciiTheme="majorBidi" w:hAnsiTheme="majorBidi" w:cstheme="majorBidi"/>
          <w:bCs/>
          <w:lang w:val="de-DE"/>
        </w:rPr>
        <w:t>arī</w:t>
      </w:r>
      <w:proofErr w:type="spellEnd"/>
      <w:r>
        <w:rPr>
          <w:rFonts w:asciiTheme="majorBidi" w:hAnsiTheme="majorBidi" w:cstheme="majorBidi"/>
          <w:bCs/>
          <w:lang w:val="de-DE"/>
        </w:rPr>
        <w:t xml:space="preserve"> </w:t>
      </w:r>
      <w:proofErr w:type="spellStart"/>
      <w:r>
        <w:rPr>
          <w:rFonts w:asciiTheme="majorBidi" w:hAnsiTheme="majorBidi" w:cstheme="majorBidi"/>
          <w:bCs/>
          <w:lang w:val="de-DE"/>
        </w:rPr>
        <w:t>visas</w:t>
      </w:r>
      <w:proofErr w:type="spellEnd"/>
      <w:r>
        <w:rPr>
          <w:rFonts w:asciiTheme="majorBidi" w:hAnsiTheme="majorBidi" w:cstheme="majorBidi"/>
          <w:bCs/>
          <w:lang w:val="de-DE"/>
        </w:rPr>
        <w:t xml:space="preserve"> ES </w:t>
      </w:r>
      <w:proofErr w:type="spellStart"/>
      <w:r>
        <w:rPr>
          <w:rFonts w:asciiTheme="majorBidi" w:hAnsiTheme="majorBidi" w:cstheme="majorBidi"/>
          <w:bCs/>
          <w:lang w:val="de-DE"/>
        </w:rPr>
        <w:t>dalībvalstis</w:t>
      </w:r>
      <w:proofErr w:type="spellEnd"/>
      <w:r>
        <w:rPr>
          <w:rFonts w:asciiTheme="majorBidi" w:hAnsiTheme="majorBidi" w:cstheme="majorBidi"/>
          <w:bCs/>
          <w:lang w:val="de-DE"/>
        </w:rPr>
        <w:t xml:space="preserve">, </w:t>
      </w:r>
      <w:proofErr w:type="spellStart"/>
      <w:r>
        <w:rPr>
          <w:rFonts w:asciiTheme="majorBidi" w:hAnsiTheme="majorBidi" w:cstheme="majorBidi"/>
          <w:bCs/>
          <w:lang w:val="de-DE"/>
        </w:rPr>
        <w:t>taču</w:t>
      </w:r>
      <w:proofErr w:type="spellEnd"/>
      <w:r>
        <w:rPr>
          <w:rFonts w:asciiTheme="majorBidi" w:hAnsiTheme="majorBidi" w:cstheme="majorBidi"/>
          <w:bCs/>
          <w:lang w:val="de-DE"/>
        </w:rPr>
        <w:t xml:space="preserve"> ES </w:t>
      </w:r>
      <w:proofErr w:type="spellStart"/>
      <w:r>
        <w:rPr>
          <w:rFonts w:asciiTheme="majorBidi" w:hAnsiTheme="majorBidi" w:cstheme="majorBidi"/>
          <w:bCs/>
          <w:lang w:val="de-DE"/>
        </w:rPr>
        <w:t>telpā</w:t>
      </w:r>
      <w:proofErr w:type="spellEnd"/>
      <w:r>
        <w:rPr>
          <w:rFonts w:asciiTheme="majorBidi" w:hAnsiTheme="majorBidi" w:cstheme="majorBidi"/>
          <w:bCs/>
          <w:lang w:val="de-DE"/>
        </w:rPr>
        <w:t xml:space="preserve"> </w:t>
      </w:r>
      <w:proofErr w:type="spellStart"/>
      <w:r>
        <w:rPr>
          <w:rFonts w:asciiTheme="majorBidi" w:hAnsiTheme="majorBidi" w:cstheme="majorBidi"/>
          <w:bCs/>
          <w:lang w:val="de-DE"/>
        </w:rPr>
        <w:t>daļēji</w:t>
      </w:r>
      <w:proofErr w:type="spellEnd"/>
      <w:r>
        <w:rPr>
          <w:rFonts w:asciiTheme="majorBidi" w:hAnsiTheme="majorBidi" w:cstheme="majorBidi"/>
          <w:bCs/>
          <w:lang w:val="de-DE"/>
        </w:rPr>
        <w:t xml:space="preserve"> (</w:t>
      </w:r>
      <w:proofErr w:type="spellStart"/>
      <w:r>
        <w:rPr>
          <w:rFonts w:asciiTheme="majorBidi" w:hAnsiTheme="majorBidi" w:cstheme="majorBidi"/>
          <w:bCs/>
          <w:lang w:val="de-DE"/>
        </w:rPr>
        <w:t>starp</w:t>
      </w:r>
      <w:proofErr w:type="spellEnd"/>
      <w:r>
        <w:rPr>
          <w:rFonts w:asciiTheme="majorBidi" w:hAnsiTheme="majorBidi" w:cstheme="majorBidi"/>
          <w:bCs/>
          <w:lang w:val="de-DE"/>
        </w:rPr>
        <w:t xml:space="preserve"> </w:t>
      </w:r>
      <w:proofErr w:type="spellStart"/>
      <w:r>
        <w:rPr>
          <w:rFonts w:asciiTheme="majorBidi" w:hAnsiTheme="majorBidi" w:cstheme="majorBidi"/>
          <w:bCs/>
          <w:lang w:val="de-DE"/>
        </w:rPr>
        <w:t>Latviju</w:t>
      </w:r>
      <w:proofErr w:type="spellEnd"/>
      <w:r>
        <w:rPr>
          <w:rFonts w:asciiTheme="majorBidi" w:hAnsiTheme="majorBidi" w:cstheme="majorBidi"/>
          <w:bCs/>
          <w:lang w:val="de-DE"/>
        </w:rPr>
        <w:t xml:space="preserve">, </w:t>
      </w:r>
      <w:proofErr w:type="spellStart"/>
      <w:r>
        <w:rPr>
          <w:rFonts w:asciiTheme="majorBidi" w:hAnsiTheme="majorBidi" w:cstheme="majorBidi"/>
          <w:bCs/>
          <w:lang w:val="de-DE"/>
        </w:rPr>
        <w:t>Dāniju</w:t>
      </w:r>
      <w:proofErr w:type="spellEnd"/>
      <w:r>
        <w:rPr>
          <w:rFonts w:asciiTheme="majorBidi" w:hAnsiTheme="majorBidi" w:cstheme="majorBidi"/>
          <w:bCs/>
          <w:lang w:val="de-DE"/>
        </w:rPr>
        <w:t xml:space="preserve">, </w:t>
      </w:r>
      <w:proofErr w:type="spellStart"/>
      <w:r>
        <w:rPr>
          <w:rFonts w:asciiTheme="majorBidi" w:hAnsiTheme="majorBidi" w:cstheme="majorBidi"/>
          <w:bCs/>
          <w:lang w:val="de-DE"/>
        </w:rPr>
        <w:t>Beļģiju</w:t>
      </w:r>
      <w:proofErr w:type="spellEnd"/>
      <w:r>
        <w:rPr>
          <w:rFonts w:asciiTheme="majorBidi" w:hAnsiTheme="majorBidi" w:cstheme="majorBidi"/>
          <w:bCs/>
          <w:lang w:val="de-DE"/>
        </w:rPr>
        <w:t xml:space="preserve">, </w:t>
      </w:r>
      <w:proofErr w:type="spellStart"/>
      <w:r>
        <w:rPr>
          <w:rFonts w:asciiTheme="majorBidi" w:hAnsiTheme="majorBidi" w:cstheme="majorBidi"/>
          <w:bCs/>
          <w:lang w:val="de-DE"/>
        </w:rPr>
        <w:t>Franciju</w:t>
      </w:r>
      <w:proofErr w:type="spellEnd"/>
      <w:r>
        <w:rPr>
          <w:rFonts w:asciiTheme="majorBidi" w:hAnsiTheme="majorBidi" w:cstheme="majorBidi"/>
          <w:bCs/>
          <w:lang w:val="de-DE"/>
        </w:rPr>
        <w:t xml:space="preserve">, </w:t>
      </w:r>
      <w:proofErr w:type="spellStart"/>
      <w:r>
        <w:rPr>
          <w:rFonts w:asciiTheme="majorBidi" w:hAnsiTheme="majorBidi" w:cstheme="majorBidi"/>
          <w:bCs/>
          <w:lang w:val="de-DE"/>
        </w:rPr>
        <w:t>Kipru</w:t>
      </w:r>
      <w:proofErr w:type="spellEnd"/>
      <w:r>
        <w:rPr>
          <w:rFonts w:asciiTheme="majorBidi" w:hAnsiTheme="majorBidi" w:cstheme="majorBidi"/>
          <w:bCs/>
          <w:lang w:val="de-DE"/>
        </w:rPr>
        <w:t xml:space="preserve">, </w:t>
      </w:r>
      <w:proofErr w:type="spellStart"/>
      <w:r>
        <w:rPr>
          <w:rFonts w:asciiTheme="majorBidi" w:hAnsiTheme="majorBidi" w:cstheme="majorBidi"/>
          <w:bCs/>
          <w:lang w:val="de-DE"/>
        </w:rPr>
        <w:t>Itāliju</w:t>
      </w:r>
      <w:proofErr w:type="spellEnd"/>
      <w:r>
        <w:rPr>
          <w:rFonts w:asciiTheme="majorBidi" w:hAnsiTheme="majorBidi" w:cstheme="majorBidi"/>
          <w:bCs/>
          <w:lang w:val="de-DE"/>
        </w:rPr>
        <w:t xml:space="preserve">, </w:t>
      </w:r>
      <w:proofErr w:type="spellStart"/>
      <w:r>
        <w:rPr>
          <w:rFonts w:asciiTheme="majorBidi" w:hAnsiTheme="majorBidi" w:cstheme="majorBidi"/>
          <w:bCs/>
          <w:lang w:val="de-DE"/>
        </w:rPr>
        <w:t>Igauniju</w:t>
      </w:r>
      <w:proofErr w:type="spellEnd"/>
      <w:r>
        <w:rPr>
          <w:rFonts w:asciiTheme="majorBidi" w:hAnsiTheme="majorBidi" w:cstheme="majorBidi"/>
          <w:bCs/>
          <w:lang w:val="de-DE"/>
        </w:rPr>
        <w:t xml:space="preserve"> </w:t>
      </w:r>
      <w:proofErr w:type="spellStart"/>
      <w:r>
        <w:rPr>
          <w:rFonts w:asciiTheme="majorBidi" w:hAnsiTheme="majorBidi" w:cstheme="majorBidi"/>
          <w:bCs/>
          <w:lang w:val="de-DE"/>
        </w:rPr>
        <w:t>un</w:t>
      </w:r>
      <w:proofErr w:type="spellEnd"/>
      <w:r>
        <w:rPr>
          <w:rFonts w:asciiTheme="majorBidi" w:hAnsiTheme="majorBidi" w:cstheme="majorBidi"/>
          <w:bCs/>
          <w:lang w:val="de-DE"/>
        </w:rPr>
        <w:t xml:space="preserve"> </w:t>
      </w:r>
      <w:proofErr w:type="spellStart"/>
      <w:r>
        <w:rPr>
          <w:rFonts w:asciiTheme="majorBidi" w:hAnsiTheme="majorBidi" w:cstheme="majorBidi"/>
          <w:bCs/>
          <w:lang w:val="de-DE"/>
        </w:rPr>
        <w:t>Īriju</w:t>
      </w:r>
      <w:proofErr w:type="spellEnd"/>
      <w:r>
        <w:rPr>
          <w:rFonts w:asciiTheme="majorBidi" w:hAnsiTheme="majorBidi" w:cstheme="majorBidi"/>
          <w:bCs/>
          <w:lang w:val="de-DE"/>
        </w:rPr>
        <w:t xml:space="preserve">) </w:t>
      </w:r>
      <w:proofErr w:type="spellStart"/>
      <w:r>
        <w:rPr>
          <w:rFonts w:asciiTheme="majorBidi" w:hAnsiTheme="majorBidi" w:cstheme="majorBidi"/>
          <w:bCs/>
          <w:lang w:val="de-DE"/>
        </w:rPr>
        <w:t>darbojas</w:t>
      </w:r>
      <w:proofErr w:type="spellEnd"/>
      <w:r>
        <w:rPr>
          <w:rFonts w:asciiTheme="majorBidi" w:hAnsiTheme="majorBidi" w:cstheme="majorBidi"/>
          <w:bCs/>
          <w:lang w:val="de-DE"/>
        </w:rPr>
        <w:t xml:space="preserve"> </w:t>
      </w:r>
      <w:proofErr w:type="spellStart"/>
      <w:r>
        <w:rPr>
          <w:rFonts w:asciiTheme="majorBidi" w:hAnsiTheme="majorBidi" w:cstheme="majorBidi"/>
          <w:bCs/>
          <w:lang w:val="de-DE"/>
        </w:rPr>
        <w:t>cits</w:t>
      </w:r>
      <w:proofErr w:type="spellEnd"/>
      <w:r>
        <w:rPr>
          <w:rFonts w:asciiTheme="majorBidi" w:hAnsiTheme="majorBidi" w:cstheme="majorBidi"/>
          <w:bCs/>
          <w:lang w:val="de-DE"/>
        </w:rPr>
        <w:t xml:space="preserve"> </w:t>
      </w:r>
      <w:proofErr w:type="spellStart"/>
      <w:r>
        <w:rPr>
          <w:rFonts w:asciiTheme="majorBidi" w:hAnsiTheme="majorBidi" w:cstheme="majorBidi"/>
          <w:bCs/>
          <w:lang w:val="de-DE"/>
        </w:rPr>
        <w:t>starptautisks</w:t>
      </w:r>
      <w:proofErr w:type="spellEnd"/>
      <w:r>
        <w:rPr>
          <w:rFonts w:asciiTheme="majorBidi" w:hAnsiTheme="majorBidi" w:cstheme="majorBidi"/>
          <w:bCs/>
          <w:lang w:val="de-DE"/>
        </w:rPr>
        <w:t xml:space="preserve"> </w:t>
      </w:r>
      <w:proofErr w:type="spellStart"/>
      <w:r>
        <w:rPr>
          <w:rFonts w:asciiTheme="majorBidi" w:hAnsiTheme="majorBidi" w:cstheme="majorBidi"/>
          <w:bCs/>
          <w:lang w:val="de-DE"/>
        </w:rPr>
        <w:t>līgums</w:t>
      </w:r>
      <w:proofErr w:type="spellEnd"/>
      <w:r>
        <w:rPr>
          <w:rFonts w:asciiTheme="majorBidi" w:hAnsiTheme="majorBidi" w:cstheme="majorBidi"/>
          <w:bCs/>
          <w:lang w:val="de-DE"/>
        </w:rPr>
        <w:t xml:space="preserve">, </w:t>
      </w:r>
      <w:proofErr w:type="spellStart"/>
      <w:r>
        <w:rPr>
          <w:rFonts w:asciiTheme="majorBidi" w:hAnsiTheme="majorBidi" w:cstheme="majorBidi"/>
          <w:bCs/>
          <w:lang w:val="de-DE"/>
        </w:rPr>
        <w:t>kas</w:t>
      </w:r>
      <w:proofErr w:type="spellEnd"/>
      <w:r>
        <w:rPr>
          <w:rFonts w:asciiTheme="majorBidi" w:hAnsiTheme="majorBidi" w:cstheme="majorBidi"/>
          <w:bCs/>
          <w:lang w:val="de-DE"/>
        </w:rPr>
        <w:t xml:space="preserve"> </w:t>
      </w:r>
      <w:proofErr w:type="spellStart"/>
      <w:r>
        <w:rPr>
          <w:rFonts w:asciiTheme="majorBidi" w:hAnsiTheme="majorBidi" w:cstheme="majorBidi"/>
          <w:bCs/>
          <w:lang w:val="de-DE"/>
        </w:rPr>
        <w:t>pilnībā</w:t>
      </w:r>
      <w:proofErr w:type="spellEnd"/>
      <w:r>
        <w:rPr>
          <w:rFonts w:asciiTheme="majorBidi" w:hAnsiTheme="majorBidi" w:cstheme="majorBidi"/>
          <w:bCs/>
          <w:lang w:val="de-DE"/>
        </w:rPr>
        <w:t xml:space="preserve"> </w:t>
      </w:r>
      <w:proofErr w:type="spellStart"/>
      <w:r>
        <w:rPr>
          <w:rFonts w:asciiTheme="majorBidi" w:hAnsiTheme="majorBidi" w:cstheme="majorBidi"/>
          <w:bCs/>
          <w:lang w:val="de-DE"/>
        </w:rPr>
        <w:t>atceļ</w:t>
      </w:r>
      <w:proofErr w:type="spellEnd"/>
      <w:r>
        <w:rPr>
          <w:rFonts w:asciiTheme="majorBidi" w:hAnsiTheme="majorBidi" w:cstheme="majorBidi"/>
          <w:bCs/>
          <w:lang w:val="de-DE"/>
        </w:rPr>
        <w:t xml:space="preserve"> </w:t>
      </w:r>
      <w:proofErr w:type="spellStart"/>
      <w:r>
        <w:rPr>
          <w:rFonts w:asciiTheme="majorBidi" w:hAnsiTheme="majorBidi" w:cstheme="majorBidi"/>
          <w:bCs/>
          <w:lang w:val="de-DE"/>
        </w:rPr>
        <w:t>publisko</w:t>
      </w:r>
      <w:proofErr w:type="spellEnd"/>
      <w:r>
        <w:rPr>
          <w:rFonts w:asciiTheme="majorBidi" w:hAnsiTheme="majorBidi" w:cstheme="majorBidi"/>
          <w:bCs/>
          <w:lang w:val="de-DE"/>
        </w:rPr>
        <w:t xml:space="preserve"> </w:t>
      </w:r>
      <w:proofErr w:type="spellStart"/>
      <w:r>
        <w:rPr>
          <w:rFonts w:asciiTheme="majorBidi" w:hAnsiTheme="majorBidi" w:cstheme="majorBidi"/>
          <w:bCs/>
          <w:lang w:val="de-DE"/>
        </w:rPr>
        <w:t>dokumentu</w:t>
      </w:r>
      <w:proofErr w:type="spellEnd"/>
      <w:r>
        <w:rPr>
          <w:rFonts w:asciiTheme="majorBidi" w:hAnsiTheme="majorBidi" w:cstheme="majorBidi"/>
          <w:bCs/>
          <w:lang w:val="de-DE"/>
        </w:rPr>
        <w:t xml:space="preserve"> </w:t>
      </w:r>
      <w:proofErr w:type="spellStart"/>
      <w:r>
        <w:rPr>
          <w:rFonts w:asciiTheme="majorBidi" w:hAnsiTheme="majorBidi" w:cstheme="majorBidi"/>
          <w:bCs/>
          <w:lang w:val="de-DE"/>
        </w:rPr>
        <w:t>legalizāciju</w:t>
      </w:r>
      <w:proofErr w:type="spellEnd"/>
      <w:r>
        <w:rPr>
          <w:rFonts w:asciiTheme="majorBidi" w:hAnsiTheme="majorBidi" w:cstheme="majorBidi"/>
          <w:bCs/>
          <w:lang w:val="de-DE"/>
        </w:rPr>
        <w:t xml:space="preserve"> (t.sk. </w:t>
      </w:r>
      <w:proofErr w:type="spellStart"/>
      <w:r>
        <w:rPr>
          <w:rFonts w:asciiTheme="majorBidi" w:hAnsiTheme="majorBidi" w:cstheme="majorBidi"/>
          <w:bCs/>
          <w:lang w:val="de-DE"/>
        </w:rPr>
        <w:t>apliecinājumu</w:t>
      </w:r>
      <w:proofErr w:type="spellEnd"/>
      <w:r>
        <w:rPr>
          <w:rFonts w:asciiTheme="majorBidi" w:hAnsiTheme="majorBidi" w:cstheme="majorBidi"/>
          <w:bCs/>
          <w:lang w:val="de-DE"/>
        </w:rPr>
        <w:t xml:space="preserve"> </w:t>
      </w:r>
      <w:proofErr w:type="spellStart"/>
      <w:r>
        <w:rPr>
          <w:rFonts w:asciiTheme="majorBidi" w:hAnsiTheme="majorBidi" w:cstheme="majorBidi"/>
          <w:bCs/>
          <w:lang w:val="de-DE"/>
        </w:rPr>
        <w:t>ar</w:t>
      </w:r>
      <w:proofErr w:type="spellEnd"/>
      <w:r>
        <w:rPr>
          <w:rFonts w:asciiTheme="majorBidi" w:hAnsiTheme="majorBidi" w:cstheme="majorBidi"/>
          <w:bCs/>
          <w:lang w:val="de-DE"/>
        </w:rPr>
        <w:t xml:space="preserve"> </w:t>
      </w:r>
      <w:proofErr w:type="spellStart"/>
      <w:r w:rsidRPr="0030599B">
        <w:rPr>
          <w:rFonts w:asciiTheme="majorBidi" w:hAnsiTheme="majorBidi" w:cstheme="majorBidi"/>
          <w:bCs/>
          <w:i/>
          <w:lang w:val="de-DE"/>
        </w:rPr>
        <w:t>apostille</w:t>
      </w:r>
      <w:proofErr w:type="spellEnd"/>
      <w:r>
        <w:rPr>
          <w:rFonts w:asciiTheme="majorBidi" w:hAnsiTheme="majorBidi" w:cstheme="majorBidi"/>
          <w:bCs/>
          <w:lang w:val="de-DE"/>
        </w:rPr>
        <w:t xml:space="preserve">) – 1987.gada 25.maija </w:t>
      </w:r>
      <w:proofErr w:type="spellStart"/>
      <w:r>
        <w:rPr>
          <w:rFonts w:asciiTheme="majorBidi" w:hAnsiTheme="majorBidi" w:cstheme="majorBidi"/>
          <w:bCs/>
          <w:lang w:val="de-DE"/>
        </w:rPr>
        <w:t>Konvencija</w:t>
      </w:r>
      <w:proofErr w:type="spellEnd"/>
      <w:r>
        <w:rPr>
          <w:rFonts w:asciiTheme="majorBidi" w:hAnsiTheme="majorBidi" w:cstheme="majorBidi"/>
          <w:bCs/>
          <w:lang w:val="de-DE"/>
        </w:rPr>
        <w:t xml:space="preserve"> par </w:t>
      </w:r>
      <w:proofErr w:type="spellStart"/>
      <w:r>
        <w:rPr>
          <w:rFonts w:asciiTheme="majorBidi" w:hAnsiTheme="majorBidi" w:cstheme="majorBidi"/>
          <w:bCs/>
          <w:lang w:val="de-DE"/>
        </w:rPr>
        <w:t>dokumentu</w:t>
      </w:r>
      <w:proofErr w:type="spellEnd"/>
      <w:r>
        <w:rPr>
          <w:rFonts w:asciiTheme="majorBidi" w:hAnsiTheme="majorBidi" w:cstheme="majorBidi"/>
          <w:bCs/>
          <w:lang w:val="de-DE"/>
        </w:rPr>
        <w:t xml:space="preserve"> </w:t>
      </w:r>
      <w:proofErr w:type="spellStart"/>
      <w:r>
        <w:rPr>
          <w:rFonts w:asciiTheme="majorBidi" w:hAnsiTheme="majorBidi" w:cstheme="majorBidi"/>
          <w:bCs/>
          <w:lang w:val="de-DE"/>
        </w:rPr>
        <w:t>legalizācijas</w:t>
      </w:r>
      <w:proofErr w:type="spellEnd"/>
      <w:r>
        <w:rPr>
          <w:rFonts w:asciiTheme="majorBidi" w:hAnsiTheme="majorBidi" w:cstheme="majorBidi"/>
          <w:bCs/>
          <w:lang w:val="de-DE"/>
        </w:rPr>
        <w:t xml:space="preserve"> </w:t>
      </w:r>
      <w:proofErr w:type="spellStart"/>
      <w:r>
        <w:rPr>
          <w:rFonts w:asciiTheme="majorBidi" w:hAnsiTheme="majorBidi" w:cstheme="majorBidi"/>
          <w:bCs/>
          <w:lang w:val="de-DE"/>
        </w:rPr>
        <w:t>atcelšanu</w:t>
      </w:r>
      <w:proofErr w:type="spellEnd"/>
      <w:r>
        <w:rPr>
          <w:rFonts w:asciiTheme="majorBidi" w:hAnsiTheme="majorBidi" w:cstheme="majorBidi"/>
          <w:bCs/>
          <w:lang w:val="de-DE"/>
        </w:rPr>
        <w:t xml:space="preserve"> </w:t>
      </w:r>
      <w:proofErr w:type="spellStart"/>
      <w:r>
        <w:rPr>
          <w:rFonts w:asciiTheme="majorBidi" w:hAnsiTheme="majorBidi" w:cstheme="majorBidi"/>
          <w:bCs/>
          <w:lang w:val="de-DE"/>
        </w:rPr>
        <w:t>Eiropas</w:t>
      </w:r>
      <w:proofErr w:type="spellEnd"/>
      <w:r>
        <w:rPr>
          <w:rFonts w:asciiTheme="majorBidi" w:hAnsiTheme="majorBidi" w:cstheme="majorBidi"/>
          <w:bCs/>
          <w:lang w:val="de-DE"/>
        </w:rPr>
        <w:t xml:space="preserve"> </w:t>
      </w:r>
      <w:proofErr w:type="spellStart"/>
      <w:r>
        <w:rPr>
          <w:rFonts w:asciiTheme="majorBidi" w:hAnsiTheme="majorBidi" w:cstheme="majorBidi"/>
          <w:bCs/>
          <w:lang w:val="de-DE"/>
        </w:rPr>
        <w:t>Kopienu</w:t>
      </w:r>
      <w:proofErr w:type="spellEnd"/>
      <w:r>
        <w:rPr>
          <w:rFonts w:asciiTheme="majorBidi" w:hAnsiTheme="majorBidi" w:cstheme="majorBidi"/>
          <w:bCs/>
          <w:lang w:val="de-DE"/>
        </w:rPr>
        <w:t xml:space="preserve"> </w:t>
      </w:r>
      <w:proofErr w:type="spellStart"/>
      <w:r>
        <w:rPr>
          <w:rFonts w:asciiTheme="majorBidi" w:hAnsiTheme="majorBidi" w:cstheme="majorBidi"/>
          <w:bCs/>
          <w:lang w:val="de-DE"/>
        </w:rPr>
        <w:t>dalībvalstu</w:t>
      </w:r>
      <w:proofErr w:type="spellEnd"/>
      <w:r>
        <w:rPr>
          <w:rFonts w:asciiTheme="majorBidi" w:hAnsiTheme="majorBidi" w:cstheme="majorBidi"/>
          <w:bCs/>
          <w:lang w:val="de-DE"/>
        </w:rPr>
        <w:t xml:space="preserve"> </w:t>
      </w:r>
      <w:proofErr w:type="spellStart"/>
      <w:r>
        <w:rPr>
          <w:rFonts w:asciiTheme="majorBidi" w:hAnsiTheme="majorBidi" w:cstheme="majorBidi"/>
          <w:bCs/>
          <w:lang w:val="de-DE"/>
        </w:rPr>
        <w:t>starpā</w:t>
      </w:r>
      <w:proofErr w:type="spellEnd"/>
      <w:r>
        <w:rPr>
          <w:rStyle w:val="FootnoteReference"/>
          <w:rFonts w:asciiTheme="majorBidi" w:hAnsiTheme="majorBidi" w:cstheme="majorBidi"/>
          <w:bCs/>
          <w:lang w:val="de-DE"/>
        </w:rPr>
        <w:footnoteReference w:id="131"/>
      </w:r>
      <w:r>
        <w:rPr>
          <w:rFonts w:asciiTheme="majorBidi" w:hAnsiTheme="majorBidi" w:cstheme="majorBidi"/>
          <w:bCs/>
          <w:lang w:val="de-DE"/>
        </w:rPr>
        <w:t>.</w:t>
      </w:r>
      <w:r w:rsidRPr="001A3712">
        <w:rPr>
          <w:rStyle w:val="FootnoteReference"/>
          <w:rFonts w:asciiTheme="majorBidi" w:hAnsiTheme="majorBidi" w:cstheme="majorBidi"/>
        </w:rPr>
        <w:footnoteReference w:id="132"/>
      </w:r>
      <w:r w:rsidRPr="000C7C76">
        <w:rPr>
          <w:rFonts w:asciiTheme="majorBidi" w:hAnsiTheme="majorBidi" w:cstheme="majorBidi"/>
          <w:i/>
          <w:iCs/>
          <w:lang w:val="de-DE"/>
        </w:rPr>
        <w:t xml:space="preserve"> </w:t>
      </w:r>
      <w:r>
        <w:rPr>
          <w:rFonts w:asciiTheme="majorBidi" w:hAnsiTheme="majorBidi" w:cstheme="majorBidi"/>
          <w:bCs/>
          <w:lang w:val="de-DE"/>
        </w:rPr>
        <w:t xml:space="preserve"> </w:t>
      </w:r>
    </w:p>
    <w:p w14:paraId="1D61F252" w14:textId="77777777" w:rsidR="00114953" w:rsidRDefault="00114953" w:rsidP="00114953">
      <w:pPr>
        <w:ind w:firstLine="708"/>
        <w:jc w:val="both"/>
        <w:rPr>
          <w:rFonts w:asciiTheme="majorBidi" w:hAnsiTheme="majorBidi" w:cstheme="majorBidi"/>
          <w:bCs/>
          <w:lang w:val="de-DE"/>
        </w:rPr>
      </w:pPr>
      <w:proofErr w:type="spellStart"/>
      <w:r>
        <w:rPr>
          <w:rFonts w:asciiTheme="majorBidi" w:hAnsiTheme="majorBidi" w:cstheme="majorBidi"/>
          <w:bCs/>
          <w:lang w:val="de-DE"/>
        </w:rPr>
        <w:t>Saskaņā</w:t>
      </w:r>
      <w:proofErr w:type="spellEnd"/>
      <w:r>
        <w:rPr>
          <w:rFonts w:asciiTheme="majorBidi" w:hAnsiTheme="majorBidi" w:cstheme="majorBidi"/>
          <w:bCs/>
          <w:lang w:val="de-DE"/>
        </w:rPr>
        <w:t xml:space="preserve"> </w:t>
      </w:r>
      <w:proofErr w:type="spellStart"/>
      <w:r>
        <w:rPr>
          <w:rFonts w:asciiTheme="majorBidi" w:hAnsiTheme="majorBidi" w:cstheme="majorBidi"/>
          <w:bCs/>
          <w:lang w:val="de-DE"/>
        </w:rPr>
        <w:t>ar</w:t>
      </w:r>
      <w:proofErr w:type="spellEnd"/>
      <w:r>
        <w:rPr>
          <w:rFonts w:asciiTheme="majorBidi" w:hAnsiTheme="majorBidi" w:cstheme="majorBidi"/>
          <w:bCs/>
          <w:lang w:val="de-DE"/>
        </w:rPr>
        <w:t xml:space="preserve"> </w:t>
      </w:r>
      <w:proofErr w:type="spellStart"/>
      <w:r>
        <w:rPr>
          <w:rFonts w:asciiTheme="majorBidi" w:hAnsiTheme="majorBidi" w:cstheme="majorBidi"/>
          <w:bCs/>
          <w:lang w:val="de-DE"/>
        </w:rPr>
        <w:t>minētās</w:t>
      </w:r>
      <w:proofErr w:type="spellEnd"/>
      <w:r>
        <w:rPr>
          <w:rFonts w:asciiTheme="majorBidi" w:hAnsiTheme="majorBidi" w:cstheme="majorBidi"/>
          <w:bCs/>
          <w:lang w:val="de-DE"/>
        </w:rPr>
        <w:t xml:space="preserve"> </w:t>
      </w:r>
      <w:proofErr w:type="spellStart"/>
      <w:r>
        <w:rPr>
          <w:rFonts w:asciiTheme="majorBidi" w:hAnsiTheme="majorBidi" w:cstheme="majorBidi"/>
          <w:bCs/>
          <w:lang w:val="de-DE"/>
        </w:rPr>
        <w:t>konvencijas</w:t>
      </w:r>
      <w:proofErr w:type="spellEnd"/>
      <w:r>
        <w:rPr>
          <w:rFonts w:asciiTheme="majorBidi" w:hAnsiTheme="majorBidi" w:cstheme="majorBidi"/>
          <w:bCs/>
          <w:lang w:val="de-DE"/>
        </w:rPr>
        <w:t xml:space="preserve"> 1.panta </w:t>
      </w:r>
      <w:proofErr w:type="spellStart"/>
      <w:r>
        <w:rPr>
          <w:rFonts w:asciiTheme="majorBidi" w:hAnsiTheme="majorBidi" w:cstheme="majorBidi"/>
          <w:bCs/>
          <w:lang w:val="de-DE"/>
        </w:rPr>
        <w:t>otro</w:t>
      </w:r>
      <w:proofErr w:type="spellEnd"/>
      <w:r>
        <w:rPr>
          <w:rFonts w:asciiTheme="majorBidi" w:hAnsiTheme="majorBidi" w:cstheme="majorBidi"/>
          <w:bCs/>
          <w:lang w:val="de-DE"/>
        </w:rPr>
        <w:t xml:space="preserve"> </w:t>
      </w:r>
      <w:proofErr w:type="spellStart"/>
      <w:r>
        <w:rPr>
          <w:rFonts w:asciiTheme="majorBidi" w:hAnsiTheme="majorBidi" w:cstheme="majorBidi"/>
          <w:bCs/>
          <w:lang w:val="de-DE"/>
        </w:rPr>
        <w:t>un</w:t>
      </w:r>
      <w:proofErr w:type="spellEnd"/>
      <w:r>
        <w:rPr>
          <w:rFonts w:asciiTheme="majorBidi" w:hAnsiTheme="majorBidi" w:cstheme="majorBidi"/>
          <w:bCs/>
          <w:lang w:val="de-DE"/>
        </w:rPr>
        <w:t xml:space="preserve"> </w:t>
      </w:r>
      <w:proofErr w:type="spellStart"/>
      <w:r>
        <w:rPr>
          <w:rFonts w:asciiTheme="majorBidi" w:hAnsiTheme="majorBidi" w:cstheme="majorBidi"/>
          <w:bCs/>
          <w:lang w:val="de-DE"/>
        </w:rPr>
        <w:t>trešo</w:t>
      </w:r>
      <w:proofErr w:type="spellEnd"/>
      <w:r>
        <w:rPr>
          <w:rFonts w:asciiTheme="majorBidi" w:hAnsiTheme="majorBidi" w:cstheme="majorBidi"/>
          <w:bCs/>
          <w:lang w:val="de-DE"/>
        </w:rPr>
        <w:t xml:space="preserve"> </w:t>
      </w:r>
      <w:proofErr w:type="spellStart"/>
      <w:r>
        <w:rPr>
          <w:rFonts w:asciiTheme="majorBidi" w:hAnsiTheme="majorBidi" w:cstheme="majorBidi"/>
          <w:bCs/>
          <w:lang w:val="de-DE"/>
        </w:rPr>
        <w:t>daļu</w:t>
      </w:r>
      <w:proofErr w:type="spellEnd"/>
      <w:r>
        <w:rPr>
          <w:rFonts w:asciiTheme="majorBidi" w:hAnsiTheme="majorBidi" w:cstheme="majorBidi"/>
          <w:bCs/>
          <w:lang w:val="de-DE"/>
        </w:rPr>
        <w:t xml:space="preserve"> par </w:t>
      </w:r>
      <w:proofErr w:type="spellStart"/>
      <w:r w:rsidRPr="006304F8">
        <w:rPr>
          <w:rFonts w:asciiTheme="majorBidi" w:hAnsiTheme="majorBidi" w:cstheme="majorBidi"/>
          <w:b/>
          <w:lang w:val="de-DE"/>
        </w:rPr>
        <w:t>publiskiem</w:t>
      </w:r>
      <w:proofErr w:type="spellEnd"/>
      <w:r w:rsidRPr="006304F8">
        <w:rPr>
          <w:rFonts w:asciiTheme="majorBidi" w:hAnsiTheme="majorBidi" w:cstheme="majorBidi"/>
          <w:b/>
          <w:lang w:val="de-DE"/>
        </w:rPr>
        <w:t xml:space="preserve"> </w:t>
      </w:r>
      <w:proofErr w:type="spellStart"/>
      <w:r w:rsidRPr="006304F8">
        <w:rPr>
          <w:rFonts w:asciiTheme="majorBidi" w:hAnsiTheme="majorBidi" w:cstheme="majorBidi"/>
          <w:b/>
          <w:lang w:val="de-DE"/>
        </w:rPr>
        <w:t>dokumentiem</w:t>
      </w:r>
      <w:proofErr w:type="spellEnd"/>
      <w:r>
        <w:rPr>
          <w:rFonts w:asciiTheme="majorBidi" w:hAnsiTheme="majorBidi" w:cstheme="majorBidi"/>
          <w:bCs/>
          <w:lang w:val="de-DE"/>
        </w:rPr>
        <w:t xml:space="preserve"> </w:t>
      </w:r>
      <w:proofErr w:type="spellStart"/>
      <w:r>
        <w:rPr>
          <w:rFonts w:asciiTheme="majorBidi" w:hAnsiTheme="majorBidi" w:cstheme="majorBidi"/>
          <w:bCs/>
          <w:lang w:val="de-DE"/>
        </w:rPr>
        <w:t>tiek</w:t>
      </w:r>
      <w:proofErr w:type="spellEnd"/>
      <w:r>
        <w:rPr>
          <w:rFonts w:asciiTheme="majorBidi" w:hAnsiTheme="majorBidi" w:cstheme="majorBidi"/>
          <w:bCs/>
          <w:lang w:val="de-DE"/>
        </w:rPr>
        <w:t xml:space="preserve"> </w:t>
      </w:r>
      <w:proofErr w:type="spellStart"/>
      <w:r>
        <w:rPr>
          <w:rFonts w:asciiTheme="majorBidi" w:hAnsiTheme="majorBidi" w:cstheme="majorBidi"/>
          <w:bCs/>
          <w:lang w:val="de-DE"/>
        </w:rPr>
        <w:t>uzskatīti</w:t>
      </w:r>
      <w:proofErr w:type="spellEnd"/>
      <w:r>
        <w:rPr>
          <w:rFonts w:asciiTheme="majorBidi" w:hAnsiTheme="majorBidi" w:cstheme="majorBidi"/>
          <w:bCs/>
          <w:lang w:val="de-DE"/>
        </w:rPr>
        <w:t xml:space="preserve"> </w:t>
      </w:r>
      <w:proofErr w:type="spellStart"/>
      <w:r>
        <w:rPr>
          <w:rFonts w:asciiTheme="majorBidi" w:hAnsiTheme="majorBidi" w:cstheme="majorBidi"/>
          <w:bCs/>
          <w:lang w:val="de-DE"/>
        </w:rPr>
        <w:t>šādi</w:t>
      </w:r>
      <w:proofErr w:type="spellEnd"/>
      <w:r>
        <w:rPr>
          <w:rFonts w:asciiTheme="majorBidi" w:hAnsiTheme="majorBidi" w:cstheme="majorBidi"/>
          <w:bCs/>
          <w:lang w:val="de-DE"/>
        </w:rPr>
        <w:t xml:space="preserve"> </w:t>
      </w:r>
      <w:proofErr w:type="spellStart"/>
      <w:r>
        <w:rPr>
          <w:rFonts w:asciiTheme="majorBidi" w:hAnsiTheme="majorBidi" w:cstheme="majorBidi"/>
          <w:bCs/>
          <w:lang w:val="de-DE"/>
        </w:rPr>
        <w:t>dokumenti</w:t>
      </w:r>
      <w:proofErr w:type="spellEnd"/>
      <w:r>
        <w:rPr>
          <w:rFonts w:asciiTheme="majorBidi" w:hAnsiTheme="majorBidi" w:cstheme="majorBidi"/>
          <w:bCs/>
          <w:lang w:val="de-DE"/>
        </w:rPr>
        <w:t>:</w:t>
      </w:r>
    </w:p>
    <w:p w14:paraId="5199EAC9" w14:textId="77777777" w:rsidR="00114953" w:rsidRDefault="00114953" w:rsidP="00114953">
      <w:pPr>
        <w:jc w:val="both"/>
        <w:rPr>
          <w:rFonts w:asciiTheme="majorBidi" w:hAnsiTheme="majorBidi" w:cstheme="majorBidi"/>
          <w:bCs/>
          <w:lang w:val="de-DE"/>
        </w:rPr>
      </w:pPr>
      <w:r>
        <w:rPr>
          <w:rFonts w:asciiTheme="majorBidi" w:hAnsiTheme="majorBidi" w:cstheme="majorBidi"/>
          <w:bCs/>
          <w:lang w:val="de-DE"/>
        </w:rPr>
        <w:t xml:space="preserve">a) </w:t>
      </w:r>
      <w:proofErr w:type="spellStart"/>
      <w:r>
        <w:rPr>
          <w:rFonts w:asciiTheme="majorBidi" w:hAnsiTheme="majorBidi" w:cstheme="majorBidi"/>
          <w:bCs/>
          <w:lang w:val="de-DE"/>
        </w:rPr>
        <w:t>dokumenti</w:t>
      </w:r>
      <w:proofErr w:type="spellEnd"/>
      <w:r>
        <w:rPr>
          <w:rFonts w:asciiTheme="majorBidi" w:hAnsiTheme="majorBidi" w:cstheme="majorBidi"/>
          <w:bCs/>
          <w:lang w:val="de-DE"/>
        </w:rPr>
        <w:t xml:space="preserve">, </w:t>
      </w:r>
      <w:proofErr w:type="spellStart"/>
      <w:r>
        <w:rPr>
          <w:rFonts w:asciiTheme="majorBidi" w:hAnsiTheme="majorBidi" w:cstheme="majorBidi"/>
          <w:bCs/>
          <w:lang w:val="de-DE"/>
        </w:rPr>
        <w:t>ko</w:t>
      </w:r>
      <w:proofErr w:type="spellEnd"/>
      <w:r>
        <w:rPr>
          <w:rFonts w:asciiTheme="majorBidi" w:hAnsiTheme="majorBidi" w:cstheme="majorBidi"/>
          <w:bCs/>
          <w:lang w:val="de-DE"/>
        </w:rPr>
        <w:t xml:space="preserve"> </w:t>
      </w:r>
      <w:proofErr w:type="spellStart"/>
      <w:r>
        <w:rPr>
          <w:rFonts w:asciiTheme="majorBidi" w:hAnsiTheme="majorBidi" w:cstheme="majorBidi"/>
          <w:bCs/>
          <w:lang w:val="de-DE"/>
        </w:rPr>
        <w:t>izdevusi</w:t>
      </w:r>
      <w:proofErr w:type="spellEnd"/>
      <w:r>
        <w:rPr>
          <w:rFonts w:asciiTheme="majorBidi" w:hAnsiTheme="majorBidi" w:cstheme="majorBidi"/>
          <w:bCs/>
          <w:lang w:val="de-DE"/>
        </w:rPr>
        <w:t xml:space="preserve"> </w:t>
      </w:r>
      <w:proofErr w:type="spellStart"/>
      <w:r>
        <w:rPr>
          <w:rFonts w:asciiTheme="majorBidi" w:hAnsiTheme="majorBidi" w:cstheme="majorBidi"/>
          <w:bCs/>
          <w:lang w:val="de-DE"/>
        </w:rPr>
        <w:t>iestāde</w:t>
      </w:r>
      <w:proofErr w:type="spellEnd"/>
      <w:r>
        <w:rPr>
          <w:rFonts w:asciiTheme="majorBidi" w:hAnsiTheme="majorBidi" w:cstheme="majorBidi"/>
          <w:bCs/>
          <w:lang w:val="de-DE"/>
        </w:rPr>
        <w:t xml:space="preserve"> </w:t>
      </w:r>
      <w:proofErr w:type="spellStart"/>
      <w:r>
        <w:rPr>
          <w:rFonts w:asciiTheme="majorBidi" w:hAnsiTheme="majorBidi" w:cstheme="majorBidi"/>
          <w:bCs/>
          <w:lang w:val="de-DE"/>
        </w:rPr>
        <w:t>vai</w:t>
      </w:r>
      <w:proofErr w:type="spellEnd"/>
      <w:r>
        <w:rPr>
          <w:rFonts w:asciiTheme="majorBidi" w:hAnsiTheme="majorBidi" w:cstheme="majorBidi"/>
          <w:bCs/>
          <w:lang w:val="de-DE"/>
        </w:rPr>
        <w:t xml:space="preserve"> </w:t>
      </w:r>
      <w:proofErr w:type="spellStart"/>
      <w:r>
        <w:rPr>
          <w:rFonts w:asciiTheme="majorBidi" w:hAnsiTheme="majorBidi" w:cstheme="majorBidi"/>
          <w:bCs/>
          <w:lang w:val="de-DE"/>
        </w:rPr>
        <w:t>amatpersona</w:t>
      </w:r>
      <w:proofErr w:type="spellEnd"/>
      <w:r>
        <w:rPr>
          <w:rFonts w:asciiTheme="majorBidi" w:hAnsiTheme="majorBidi" w:cstheme="majorBidi"/>
          <w:bCs/>
          <w:lang w:val="de-DE"/>
        </w:rPr>
        <w:t xml:space="preserve">, </w:t>
      </w:r>
      <w:proofErr w:type="spellStart"/>
      <w:r>
        <w:rPr>
          <w:rFonts w:asciiTheme="majorBidi" w:hAnsiTheme="majorBidi" w:cstheme="majorBidi"/>
          <w:bCs/>
          <w:lang w:val="de-DE"/>
        </w:rPr>
        <w:t>kas</w:t>
      </w:r>
      <w:proofErr w:type="spellEnd"/>
      <w:r>
        <w:rPr>
          <w:rFonts w:asciiTheme="majorBidi" w:hAnsiTheme="majorBidi" w:cstheme="majorBidi"/>
          <w:bCs/>
          <w:lang w:val="de-DE"/>
        </w:rPr>
        <w:t xml:space="preserve"> </w:t>
      </w:r>
      <w:proofErr w:type="spellStart"/>
      <w:r>
        <w:rPr>
          <w:rFonts w:asciiTheme="majorBidi" w:hAnsiTheme="majorBidi" w:cstheme="majorBidi"/>
          <w:bCs/>
          <w:lang w:val="de-DE"/>
        </w:rPr>
        <w:t>saistīta</w:t>
      </w:r>
      <w:proofErr w:type="spellEnd"/>
      <w:r>
        <w:rPr>
          <w:rFonts w:asciiTheme="majorBidi" w:hAnsiTheme="majorBidi" w:cstheme="majorBidi"/>
          <w:bCs/>
          <w:lang w:val="de-DE"/>
        </w:rPr>
        <w:t xml:space="preserve"> </w:t>
      </w:r>
      <w:proofErr w:type="spellStart"/>
      <w:r>
        <w:rPr>
          <w:rFonts w:asciiTheme="majorBidi" w:hAnsiTheme="majorBidi" w:cstheme="majorBidi"/>
          <w:bCs/>
          <w:lang w:val="de-DE"/>
        </w:rPr>
        <w:t>ar</w:t>
      </w:r>
      <w:proofErr w:type="spellEnd"/>
      <w:r>
        <w:rPr>
          <w:rFonts w:asciiTheme="majorBidi" w:hAnsiTheme="majorBidi" w:cstheme="majorBidi"/>
          <w:bCs/>
          <w:lang w:val="de-DE"/>
        </w:rPr>
        <w:t xml:space="preserve"> </w:t>
      </w:r>
      <w:proofErr w:type="spellStart"/>
      <w:r>
        <w:rPr>
          <w:rFonts w:asciiTheme="majorBidi" w:hAnsiTheme="majorBidi" w:cstheme="majorBidi"/>
          <w:bCs/>
          <w:lang w:val="de-DE"/>
        </w:rPr>
        <w:t>attiecīgās</w:t>
      </w:r>
      <w:proofErr w:type="spellEnd"/>
      <w:r>
        <w:rPr>
          <w:rFonts w:asciiTheme="majorBidi" w:hAnsiTheme="majorBidi" w:cstheme="majorBidi"/>
          <w:bCs/>
          <w:lang w:val="de-DE"/>
        </w:rPr>
        <w:t xml:space="preserve"> </w:t>
      </w:r>
      <w:proofErr w:type="spellStart"/>
      <w:r>
        <w:rPr>
          <w:rFonts w:asciiTheme="majorBidi" w:hAnsiTheme="majorBidi" w:cstheme="majorBidi"/>
          <w:bCs/>
          <w:lang w:val="de-DE"/>
        </w:rPr>
        <w:t>valsts</w:t>
      </w:r>
      <w:proofErr w:type="spellEnd"/>
      <w:r>
        <w:rPr>
          <w:rFonts w:asciiTheme="majorBidi" w:hAnsiTheme="majorBidi" w:cstheme="majorBidi"/>
          <w:bCs/>
          <w:lang w:val="de-DE"/>
        </w:rPr>
        <w:t xml:space="preserve"> </w:t>
      </w:r>
      <w:proofErr w:type="spellStart"/>
      <w:r>
        <w:rPr>
          <w:rFonts w:asciiTheme="majorBidi" w:hAnsiTheme="majorBidi" w:cstheme="majorBidi"/>
          <w:bCs/>
          <w:lang w:val="de-DE"/>
        </w:rPr>
        <w:t>tiesām</w:t>
      </w:r>
      <w:proofErr w:type="spellEnd"/>
      <w:r>
        <w:rPr>
          <w:rFonts w:asciiTheme="majorBidi" w:hAnsiTheme="majorBidi" w:cstheme="majorBidi"/>
          <w:bCs/>
          <w:lang w:val="de-DE"/>
        </w:rPr>
        <w:t xml:space="preserve">, </w:t>
      </w:r>
      <w:proofErr w:type="spellStart"/>
      <w:r>
        <w:rPr>
          <w:rFonts w:asciiTheme="majorBidi" w:hAnsiTheme="majorBidi" w:cstheme="majorBidi"/>
          <w:bCs/>
          <w:lang w:val="de-DE"/>
        </w:rPr>
        <w:t>tostarp</w:t>
      </w:r>
      <w:proofErr w:type="spellEnd"/>
      <w:r>
        <w:rPr>
          <w:rFonts w:asciiTheme="majorBidi" w:hAnsiTheme="majorBidi" w:cstheme="majorBidi"/>
          <w:bCs/>
          <w:lang w:val="de-DE"/>
        </w:rPr>
        <w:t xml:space="preserve"> </w:t>
      </w:r>
      <w:proofErr w:type="spellStart"/>
      <w:r>
        <w:rPr>
          <w:rFonts w:asciiTheme="majorBidi" w:hAnsiTheme="majorBidi" w:cstheme="majorBidi"/>
          <w:bCs/>
          <w:lang w:val="de-DE"/>
        </w:rPr>
        <w:t>dokumenti</w:t>
      </w:r>
      <w:proofErr w:type="spellEnd"/>
      <w:r>
        <w:rPr>
          <w:rFonts w:asciiTheme="majorBidi" w:hAnsiTheme="majorBidi" w:cstheme="majorBidi"/>
          <w:bCs/>
          <w:lang w:val="de-DE"/>
        </w:rPr>
        <w:t xml:space="preserve">, </w:t>
      </w:r>
      <w:proofErr w:type="spellStart"/>
      <w:r>
        <w:rPr>
          <w:rFonts w:asciiTheme="majorBidi" w:hAnsiTheme="majorBidi" w:cstheme="majorBidi"/>
          <w:bCs/>
          <w:lang w:val="de-DE"/>
        </w:rPr>
        <w:t>ko</w:t>
      </w:r>
      <w:proofErr w:type="spellEnd"/>
      <w:r>
        <w:rPr>
          <w:rFonts w:asciiTheme="majorBidi" w:hAnsiTheme="majorBidi" w:cstheme="majorBidi"/>
          <w:bCs/>
          <w:lang w:val="de-DE"/>
        </w:rPr>
        <w:t xml:space="preserve"> </w:t>
      </w:r>
      <w:proofErr w:type="spellStart"/>
      <w:r>
        <w:rPr>
          <w:rFonts w:asciiTheme="majorBidi" w:hAnsiTheme="majorBidi" w:cstheme="majorBidi"/>
          <w:bCs/>
          <w:lang w:val="de-DE"/>
        </w:rPr>
        <w:t>izdevis</w:t>
      </w:r>
      <w:proofErr w:type="spellEnd"/>
      <w:r>
        <w:rPr>
          <w:rFonts w:asciiTheme="majorBidi" w:hAnsiTheme="majorBidi" w:cstheme="majorBidi"/>
          <w:bCs/>
          <w:lang w:val="de-DE"/>
        </w:rPr>
        <w:t xml:space="preserve"> </w:t>
      </w:r>
      <w:proofErr w:type="spellStart"/>
      <w:r>
        <w:rPr>
          <w:rFonts w:asciiTheme="majorBidi" w:hAnsiTheme="majorBidi" w:cstheme="majorBidi"/>
          <w:bCs/>
          <w:lang w:val="de-DE"/>
        </w:rPr>
        <w:t>prokurors</w:t>
      </w:r>
      <w:proofErr w:type="spellEnd"/>
      <w:r>
        <w:rPr>
          <w:rFonts w:asciiTheme="majorBidi" w:hAnsiTheme="majorBidi" w:cstheme="majorBidi"/>
          <w:bCs/>
          <w:lang w:val="de-DE"/>
        </w:rPr>
        <w:t xml:space="preserve">, </w:t>
      </w:r>
      <w:proofErr w:type="spellStart"/>
      <w:r>
        <w:rPr>
          <w:rFonts w:asciiTheme="majorBidi" w:hAnsiTheme="majorBidi" w:cstheme="majorBidi"/>
          <w:bCs/>
          <w:lang w:val="de-DE"/>
        </w:rPr>
        <w:t>tiesas</w:t>
      </w:r>
      <w:proofErr w:type="spellEnd"/>
      <w:r>
        <w:rPr>
          <w:rFonts w:asciiTheme="majorBidi" w:hAnsiTheme="majorBidi" w:cstheme="majorBidi"/>
          <w:bCs/>
          <w:lang w:val="de-DE"/>
        </w:rPr>
        <w:t xml:space="preserve"> </w:t>
      </w:r>
      <w:proofErr w:type="spellStart"/>
      <w:r>
        <w:rPr>
          <w:rFonts w:asciiTheme="majorBidi" w:hAnsiTheme="majorBidi" w:cstheme="majorBidi"/>
          <w:bCs/>
          <w:lang w:val="de-DE"/>
        </w:rPr>
        <w:t>sekretārs</w:t>
      </w:r>
      <w:proofErr w:type="spellEnd"/>
      <w:r>
        <w:rPr>
          <w:rFonts w:asciiTheme="majorBidi" w:hAnsiTheme="majorBidi" w:cstheme="majorBidi"/>
          <w:bCs/>
          <w:lang w:val="de-DE"/>
        </w:rPr>
        <w:t xml:space="preserve"> </w:t>
      </w:r>
      <w:proofErr w:type="spellStart"/>
      <w:r>
        <w:rPr>
          <w:rFonts w:asciiTheme="majorBidi" w:hAnsiTheme="majorBidi" w:cstheme="majorBidi"/>
          <w:bCs/>
          <w:lang w:val="de-DE"/>
        </w:rPr>
        <w:t>vai</w:t>
      </w:r>
      <w:proofErr w:type="spellEnd"/>
      <w:r>
        <w:rPr>
          <w:rFonts w:asciiTheme="majorBidi" w:hAnsiTheme="majorBidi" w:cstheme="majorBidi"/>
          <w:bCs/>
          <w:lang w:val="de-DE"/>
        </w:rPr>
        <w:t xml:space="preserve"> </w:t>
      </w:r>
      <w:proofErr w:type="spellStart"/>
      <w:r>
        <w:rPr>
          <w:rFonts w:asciiTheme="majorBidi" w:hAnsiTheme="majorBidi" w:cstheme="majorBidi"/>
          <w:bCs/>
          <w:lang w:val="de-DE"/>
        </w:rPr>
        <w:t>tiesu</w:t>
      </w:r>
      <w:proofErr w:type="spellEnd"/>
      <w:r>
        <w:rPr>
          <w:rFonts w:asciiTheme="majorBidi" w:hAnsiTheme="majorBidi" w:cstheme="majorBidi"/>
          <w:bCs/>
          <w:lang w:val="de-DE"/>
        </w:rPr>
        <w:t xml:space="preserve"> </w:t>
      </w:r>
      <w:proofErr w:type="spellStart"/>
      <w:r>
        <w:rPr>
          <w:rFonts w:asciiTheme="majorBidi" w:hAnsiTheme="majorBidi" w:cstheme="majorBidi"/>
          <w:bCs/>
          <w:lang w:val="de-DE"/>
        </w:rPr>
        <w:t>izpildītājs</w:t>
      </w:r>
      <w:proofErr w:type="spellEnd"/>
      <w:r>
        <w:rPr>
          <w:rFonts w:asciiTheme="majorBidi" w:hAnsiTheme="majorBidi" w:cstheme="majorBidi"/>
          <w:bCs/>
          <w:lang w:val="de-DE"/>
        </w:rPr>
        <w:t>;</w:t>
      </w:r>
    </w:p>
    <w:p w14:paraId="18D1074D" w14:textId="77777777" w:rsidR="00114953" w:rsidRDefault="00114953" w:rsidP="00114953">
      <w:pPr>
        <w:jc w:val="both"/>
        <w:rPr>
          <w:rFonts w:asciiTheme="majorBidi" w:hAnsiTheme="majorBidi" w:cstheme="majorBidi"/>
          <w:bCs/>
          <w:lang w:val="de-DE"/>
        </w:rPr>
      </w:pPr>
    </w:p>
    <w:p w14:paraId="2611C621" w14:textId="77777777" w:rsidR="00114953" w:rsidRDefault="00114953" w:rsidP="00114953">
      <w:pPr>
        <w:jc w:val="both"/>
        <w:rPr>
          <w:rFonts w:asciiTheme="majorBidi" w:hAnsiTheme="majorBidi" w:cstheme="majorBidi"/>
          <w:bCs/>
          <w:lang w:val="de-DE"/>
        </w:rPr>
      </w:pPr>
      <w:r>
        <w:rPr>
          <w:rFonts w:asciiTheme="majorBidi" w:hAnsiTheme="majorBidi" w:cstheme="majorBidi"/>
          <w:bCs/>
          <w:lang w:val="de-DE"/>
        </w:rPr>
        <w:t xml:space="preserve">b) </w:t>
      </w:r>
      <w:proofErr w:type="spellStart"/>
      <w:r>
        <w:rPr>
          <w:rFonts w:asciiTheme="majorBidi" w:hAnsiTheme="majorBidi" w:cstheme="majorBidi"/>
          <w:bCs/>
          <w:lang w:val="de-DE"/>
        </w:rPr>
        <w:t>administratīvie</w:t>
      </w:r>
      <w:proofErr w:type="spellEnd"/>
      <w:r>
        <w:rPr>
          <w:rFonts w:asciiTheme="majorBidi" w:hAnsiTheme="majorBidi" w:cstheme="majorBidi"/>
          <w:bCs/>
          <w:lang w:val="de-DE"/>
        </w:rPr>
        <w:t xml:space="preserve"> </w:t>
      </w:r>
      <w:proofErr w:type="spellStart"/>
      <w:r>
        <w:rPr>
          <w:rFonts w:asciiTheme="majorBidi" w:hAnsiTheme="majorBidi" w:cstheme="majorBidi"/>
          <w:bCs/>
          <w:lang w:val="de-DE"/>
        </w:rPr>
        <w:t>dokumenti</w:t>
      </w:r>
      <w:proofErr w:type="spellEnd"/>
      <w:r>
        <w:rPr>
          <w:rFonts w:asciiTheme="majorBidi" w:hAnsiTheme="majorBidi" w:cstheme="majorBidi"/>
          <w:bCs/>
          <w:lang w:val="de-DE"/>
        </w:rPr>
        <w:t>;</w:t>
      </w:r>
    </w:p>
    <w:p w14:paraId="12EA9976" w14:textId="77777777" w:rsidR="00114953" w:rsidRDefault="00114953" w:rsidP="00114953">
      <w:pPr>
        <w:jc w:val="both"/>
        <w:rPr>
          <w:rFonts w:asciiTheme="majorBidi" w:hAnsiTheme="majorBidi" w:cstheme="majorBidi"/>
          <w:bCs/>
          <w:lang w:val="de-DE"/>
        </w:rPr>
      </w:pPr>
    </w:p>
    <w:p w14:paraId="4D0E038E" w14:textId="77777777" w:rsidR="00114953" w:rsidRDefault="00114953" w:rsidP="00114953">
      <w:pPr>
        <w:jc w:val="both"/>
        <w:rPr>
          <w:rFonts w:asciiTheme="majorBidi" w:hAnsiTheme="majorBidi" w:cstheme="majorBidi"/>
          <w:bCs/>
          <w:lang w:val="de-DE"/>
        </w:rPr>
      </w:pPr>
      <w:r>
        <w:rPr>
          <w:rFonts w:asciiTheme="majorBidi" w:hAnsiTheme="majorBidi" w:cstheme="majorBidi"/>
          <w:bCs/>
          <w:lang w:val="de-DE"/>
        </w:rPr>
        <w:t xml:space="preserve">c) </w:t>
      </w:r>
      <w:proofErr w:type="spellStart"/>
      <w:r w:rsidRPr="003713A1">
        <w:rPr>
          <w:rFonts w:asciiTheme="majorBidi" w:hAnsiTheme="majorBidi" w:cstheme="majorBidi"/>
          <w:bCs/>
          <w:u w:val="single"/>
          <w:lang w:val="de-DE"/>
        </w:rPr>
        <w:t>notariālie</w:t>
      </w:r>
      <w:proofErr w:type="spellEnd"/>
      <w:r w:rsidRPr="003713A1">
        <w:rPr>
          <w:rFonts w:asciiTheme="majorBidi" w:hAnsiTheme="majorBidi" w:cstheme="majorBidi"/>
          <w:bCs/>
          <w:u w:val="single"/>
          <w:lang w:val="de-DE"/>
        </w:rPr>
        <w:t xml:space="preserve"> </w:t>
      </w:r>
      <w:proofErr w:type="spellStart"/>
      <w:r w:rsidRPr="003713A1">
        <w:rPr>
          <w:rFonts w:asciiTheme="majorBidi" w:hAnsiTheme="majorBidi" w:cstheme="majorBidi"/>
          <w:bCs/>
          <w:u w:val="single"/>
          <w:lang w:val="de-DE"/>
        </w:rPr>
        <w:t>akti</w:t>
      </w:r>
      <w:proofErr w:type="spellEnd"/>
      <w:r>
        <w:rPr>
          <w:rFonts w:asciiTheme="majorBidi" w:hAnsiTheme="majorBidi" w:cstheme="majorBidi"/>
          <w:bCs/>
          <w:lang w:val="de-DE"/>
        </w:rPr>
        <w:t>;</w:t>
      </w:r>
    </w:p>
    <w:p w14:paraId="2DAB4790" w14:textId="77777777" w:rsidR="00114953" w:rsidRDefault="00114953" w:rsidP="00114953">
      <w:pPr>
        <w:jc w:val="both"/>
        <w:rPr>
          <w:rFonts w:asciiTheme="majorBidi" w:hAnsiTheme="majorBidi" w:cstheme="majorBidi"/>
          <w:bCs/>
          <w:lang w:val="de-DE"/>
        </w:rPr>
      </w:pPr>
    </w:p>
    <w:p w14:paraId="1EE52526" w14:textId="77777777" w:rsidR="00114953" w:rsidRDefault="00114953" w:rsidP="00114953">
      <w:pPr>
        <w:jc w:val="both"/>
        <w:rPr>
          <w:rFonts w:asciiTheme="majorBidi" w:hAnsiTheme="majorBidi" w:cstheme="majorBidi"/>
          <w:bCs/>
          <w:lang w:val="de-DE"/>
        </w:rPr>
      </w:pPr>
      <w:r>
        <w:rPr>
          <w:rFonts w:asciiTheme="majorBidi" w:hAnsiTheme="majorBidi" w:cstheme="majorBidi"/>
          <w:bCs/>
          <w:lang w:val="de-DE"/>
        </w:rPr>
        <w:t xml:space="preserve">d) </w:t>
      </w:r>
      <w:proofErr w:type="spellStart"/>
      <w:r w:rsidRPr="0030599B">
        <w:rPr>
          <w:rFonts w:asciiTheme="majorBidi" w:hAnsiTheme="majorBidi" w:cstheme="majorBidi"/>
          <w:bCs/>
          <w:u w:val="single"/>
          <w:lang w:val="de-DE"/>
        </w:rPr>
        <w:t>oficiāli</w:t>
      </w:r>
      <w:proofErr w:type="spellEnd"/>
      <w:r w:rsidRPr="0030599B">
        <w:rPr>
          <w:rFonts w:asciiTheme="majorBidi" w:hAnsiTheme="majorBidi" w:cstheme="majorBidi"/>
          <w:bCs/>
          <w:u w:val="single"/>
          <w:lang w:val="de-DE"/>
        </w:rPr>
        <w:t xml:space="preserve"> </w:t>
      </w:r>
      <w:proofErr w:type="spellStart"/>
      <w:r w:rsidRPr="0030599B">
        <w:rPr>
          <w:rFonts w:asciiTheme="majorBidi" w:hAnsiTheme="majorBidi" w:cstheme="majorBidi"/>
          <w:bCs/>
          <w:u w:val="single"/>
          <w:lang w:val="de-DE"/>
        </w:rPr>
        <w:t>apliecinājumi</w:t>
      </w:r>
      <w:proofErr w:type="spellEnd"/>
      <w:r w:rsidRPr="0030599B">
        <w:rPr>
          <w:rFonts w:asciiTheme="majorBidi" w:hAnsiTheme="majorBidi" w:cstheme="majorBidi"/>
          <w:bCs/>
          <w:u w:val="single"/>
          <w:lang w:val="de-DE"/>
        </w:rPr>
        <w:t xml:space="preserve">, </w:t>
      </w:r>
      <w:proofErr w:type="spellStart"/>
      <w:r w:rsidRPr="0030599B">
        <w:rPr>
          <w:rFonts w:asciiTheme="majorBidi" w:hAnsiTheme="majorBidi" w:cstheme="majorBidi"/>
          <w:bCs/>
          <w:u w:val="single"/>
          <w:lang w:val="de-DE"/>
        </w:rPr>
        <w:t>kas</w:t>
      </w:r>
      <w:proofErr w:type="spellEnd"/>
      <w:r w:rsidRPr="0030599B">
        <w:rPr>
          <w:rFonts w:asciiTheme="majorBidi" w:hAnsiTheme="majorBidi" w:cstheme="majorBidi"/>
          <w:bCs/>
          <w:u w:val="single"/>
          <w:lang w:val="de-DE"/>
        </w:rPr>
        <w:t xml:space="preserve"> </w:t>
      </w:r>
      <w:proofErr w:type="spellStart"/>
      <w:r w:rsidRPr="0030599B">
        <w:rPr>
          <w:rFonts w:asciiTheme="majorBidi" w:hAnsiTheme="majorBidi" w:cstheme="majorBidi"/>
          <w:bCs/>
          <w:u w:val="single"/>
          <w:lang w:val="de-DE"/>
        </w:rPr>
        <w:t>ir</w:t>
      </w:r>
      <w:proofErr w:type="spellEnd"/>
      <w:r w:rsidRPr="0030599B">
        <w:rPr>
          <w:rFonts w:asciiTheme="majorBidi" w:hAnsiTheme="majorBidi" w:cstheme="majorBidi"/>
          <w:bCs/>
          <w:u w:val="single"/>
          <w:lang w:val="de-DE"/>
        </w:rPr>
        <w:t xml:space="preserve"> </w:t>
      </w:r>
      <w:proofErr w:type="spellStart"/>
      <w:r w:rsidRPr="0030599B">
        <w:rPr>
          <w:rFonts w:asciiTheme="majorBidi" w:hAnsiTheme="majorBidi" w:cstheme="majorBidi"/>
          <w:bCs/>
          <w:u w:val="single"/>
          <w:lang w:val="de-DE"/>
        </w:rPr>
        <w:t>uz</w:t>
      </w:r>
      <w:proofErr w:type="spellEnd"/>
      <w:r w:rsidRPr="0030599B">
        <w:rPr>
          <w:rFonts w:asciiTheme="majorBidi" w:hAnsiTheme="majorBidi" w:cstheme="majorBidi"/>
          <w:bCs/>
          <w:u w:val="single"/>
          <w:lang w:val="de-DE"/>
        </w:rPr>
        <w:t xml:space="preserve"> </w:t>
      </w:r>
      <w:proofErr w:type="spellStart"/>
      <w:r w:rsidRPr="0030599B">
        <w:rPr>
          <w:rFonts w:asciiTheme="majorBidi" w:hAnsiTheme="majorBidi" w:cstheme="majorBidi"/>
          <w:bCs/>
          <w:u w:val="single"/>
          <w:lang w:val="de-DE"/>
        </w:rPr>
        <w:t>dokumentiem</w:t>
      </w:r>
      <w:proofErr w:type="spellEnd"/>
      <w:r>
        <w:rPr>
          <w:rFonts w:asciiTheme="majorBidi" w:hAnsiTheme="majorBidi" w:cstheme="majorBidi"/>
          <w:bCs/>
          <w:lang w:val="de-DE"/>
        </w:rPr>
        <w:t xml:space="preserve">, </w:t>
      </w:r>
      <w:proofErr w:type="spellStart"/>
      <w:r>
        <w:rPr>
          <w:rFonts w:asciiTheme="majorBidi" w:hAnsiTheme="majorBidi" w:cstheme="majorBidi"/>
          <w:bCs/>
          <w:lang w:val="de-DE"/>
        </w:rPr>
        <w:t>ko</w:t>
      </w:r>
      <w:proofErr w:type="spellEnd"/>
      <w:r>
        <w:rPr>
          <w:rFonts w:asciiTheme="majorBidi" w:hAnsiTheme="majorBidi" w:cstheme="majorBidi"/>
          <w:bCs/>
          <w:lang w:val="de-DE"/>
        </w:rPr>
        <w:t xml:space="preserve"> personas </w:t>
      </w:r>
      <w:proofErr w:type="spellStart"/>
      <w:r>
        <w:rPr>
          <w:rFonts w:asciiTheme="majorBidi" w:hAnsiTheme="majorBidi" w:cstheme="majorBidi"/>
          <w:bCs/>
          <w:lang w:val="de-DE"/>
        </w:rPr>
        <w:t>parakstījušas</w:t>
      </w:r>
      <w:proofErr w:type="spellEnd"/>
      <w:r>
        <w:rPr>
          <w:rFonts w:asciiTheme="majorBidi" w:hAnsiTheme="majorBidi" w:cstheme="majorBidi"/>
          <w:bCs/>
          <w:lang w:val="de-DE"/>
        </w:rPr>
        <w:t xml:space="preserve"> </w:t>
      </w:r>
      <w:proofErr w:type="spellStart"/>
      <w:r>
        <w:rPr>
          <w:rFonts w:asciiTheme="majorBidi" w:hAnsiTheme="majorBidi" w:cstheme="majorBidi"/>
          <w:bCs/>
          <w:lang w:val="de-DE"/>
        </w:rPr>
        <w:t>kā</w:t>
      </w:r>
      <w:proofErr w:type="spellEnd"/>
      <w:r>
        <w:rPr>
          <w:rFonts w:asciiTheme="majorBidi" w:hAnsiTheme="majorBidi" w:cstheme="majorBidi"/>
          <w:bCs/>
          <w:lang w:val="de-DE"/>
        </w:rPr>
        <w:t xml:space="preserve"> </w:t>
      </w:r>
      <w:proofErr w:type="spellStart"/>
      <w:r>
        <w:rPr>
          <w:rFonts w:asciiTheme="majorBidi" w:hAnsiTheme="majorBidi" w:cstheme="majorBidi"/>
          <w:bCs/>
          <w:lang w:val="de-DE"/>
        </w:rPr>
        <w:t>privātpersonas</w:t>
      </w:r>
      <w:proofErr w:type="spellEnd"/>
      <w:r>
        <w:rPr>
          <w:rFonts w:asciiTheme="majorBidi" w:hAnsiTheme="majorBidi" w:cstheme="majorBidi"/>
          <w:bCs/>
          <w:lang w:val="de-DE"/>
        </w:rPr>
        <w:t xml:space="preserve">, </w:t>
      </w:r>
      <w:proofErr w:type="spellStart"/>
      <w:r>
        <w:rPr>
          <w:rFonts w:asciiTheme="majorBidi" w:hAnsiTheme="majorBidi" w:cstheme="majorBidi"/>
          <w:bCs/>
          <w:lang w:val="de-DE"/>
        </w:rPr>
        <w:t>piemēram</w:t>
      </w:r>
      <w:proofErr w:type="spellEnd"/>
      <w:r>
        <w:rPr>
          <w:rFonts w:asciiTheme="majorBidi" w:hAnsiTheme="majorBidi" w:cstheme="majorBidi"/>
          <w:bCs/>
          <w:lang w:val="de-DE"/>
        </w:rPr>
        <w:t xml:space="preserve">, </w:t>
      </w:r>
      <w:proofErr w:type="spellStart"/>
      <w:r>
        <w:rPr>
          <w:rFonts w:asciiTheme="majorBidi" w:hAnsiTheme="majorBidi" w:cstheme="majorBidi"/>
          <w:bCs/>
          <w:lang w:val="de-DE"/>
        </w:rPr>
        <w:t>oficiāli</w:t>
      </w:r>
      <w:proofErr w:type="spellEnd"/>
      <w:r>
        <w:rPr>
          <w:rFonts w:asciiTheme="majorBidi" w:hAnsiTheme="majorBidi" w:cstheme="majorBidi"/>
          <w:bCs/>
          <w:lang w:val="de-DE"/>
        </w:rPr>
        <w:t xml:space="preserve"> </w:t>
      </w:r>
      <w:proofErr w:type="spellStart"/>
      <w:r>
        <w:rPr>
          <w:rFonts w:asciiTheme="majorBidi" w:hAnsiTheme="majorBidi" w:cstheme="majorBidi"/>
          <w:bCs/>
          <w:lang w:val="de-DE"/>
        </w:rPr>
        <w:t>apliecinājumi</w:t>
      </w:r>
      <w:proofErr w:type="spellEnd"/>
      <w:r>
        <w:rPr>
          <w:rFonts w:asciiTheme="majorBidi" w:hAnsiTheme="majorBidi" w:cstheme="majorBidi"/>
          <w:bCs/>
          <w:lang w:val="de-DE"/>
        </w:rPr>
        <w:t xml:space="preserve"> par </w:t>
      </w:r>
      <w:proofErr w:type="spellStart"/>
      <w:r>
        <w:rPr>
          <w:rFonts w:asciiTheme="majorBidi" w:hAnsiTheme="majorBidi" w:cstheme="majorBidi"/>
          <w:bCs/>
          <w:lang w:val="de-DE"/>
        </w:rPr>
        <w:t>dokumenta</w:t>
      </w:r>
      <w:proofErr w:type="spellEnd"/>
      <w:r>
        <w:rPr>
          <w:rFonts w:asciiTheme="majorBidi" w:hAnsiTheme="majorBidi" w:cstheme="majorBidi"/>
          <w:bCs/>
          <w:lang w:val="de-DE"/>
        </w:rPr>
        <w:t xml:space="preserve"> </w:t>
      </w:r>
      <w:proofErr w:type="spellStart"/>
      <w:r>
        <w:rPr>
          <w:rFonts w:asciiTheme="majorBidi" w:hAnsiTheme="majorBidi" w:cstheme="majorBidi"/>
          <w:bCs/>
          <w:lang w:val="de-DE"/>
        </w:rPr>
        <w:t>reģistrāciju</w:t>
      </w:r>
      <w:proofErr w:type="spellEnd"/>
      <w:r>
        <w:rPr>
          <w:rFonts w:asciiTheme="majorBidi" w:hAnsiTheme="majorBidi" w:cstheme="majorBidi"/>
          <w:bCs/>
          <w:lang w:val="de-DE"/>
        </w:rPr>
        <w:t xml:space="preserve"> </w:t>
      </w:r>
      <w:proofErr w:type="spellStart"/>
      <w:r>
        <w:rPr>
          <w:rFonts w:asciiTheme="majorBidi" w:hAnsiTheme="majorBidi" w:cstheme="majorBidi"/>
          <w:bCs/>
          <w:lang w:val="de-DE"/>
        </w:rPr>
        <w:t>vai</w:t>
      </w:r>
      <w:proofErr w:type="spellEnd"/>
      <w:r>
        <w:rPr>
          <w:rFonts w:asciiTheme="majorBidi" w:hAnsiTheme="majorBidi" w:cstheme="majorBidi"/>
          <w:bCs/>
          <w:lang w:val="de-DE"/>
        </w:rPr>
        <w:t xml:space="preserve"> </w:t>
      </w:r>
      <w:proofErr w:type="spellStart"/>
      <w:r>
        <w:rPr>
          <w:rFonts w:asciiTheme="majorBidi" w:hAnsiTheme="majorBidi" w:cstheme="majorBidi"/>
          <w:bCs/>
          <w:lang w:val="de-DE"/>
        </w:rPr>
        <w:t>to</w:t>
      </w:r>
      <w:proofErr w:type="spellEnd"/>
      <w:r>
        <w:rPr>
          <w:rFonts w:asciiTheme="majorBidi" w:hAnsiTheme="majorBidi" w:cstheme="majorBidi"/>
          <w:bCs/>
          <w:lang w:val="de-DE"/>
        </w:rPr>
        <w:t xml:space="preserve">, </w:t>
      </w:r>
      <w:proofErr w:type="spellStart"/>
      <w:r>
        <w:rPr>
          <w:rFonts w:asciiTheme="majorBidi" w:hAnsiTheme="majorBidi" w:cstheme="majorBidi"/>
          <w:bCs/>
          <w:lang w:val="de-DE"/>
        </w:rPr>
        <w:t>ka</w:t>
      </w:r>
      <w:proofErr w:type="spellEnd"/>
      <w:r>
        <w:rPr>
          <w:rFonts w:asciiTheme="majorBidi" w:hAnsiTheme="majorBidi" w:cstheme="majorBidi"/>
          <w:bCs/>
          <w:lang w:val="de-DE"/>
        </w:rPr>
        <w:t xml:space="preserve"> </w:t>
      </w:r>
      <w:proofErr w:type="spellStart"/>
      <w:r>
        <w:rPr>
          <w:rFonts w:asciiTheme="majorBidi" w:hAnsiTheme="majorBidi" w:cstheme="majorBidi"/>
          <w:bCs/>
          <w:lang w:val="de-DE"/>
        </w:rPr>
        <w:t>dokuments</w:t>
      </w:r>
      <w:proofErr w:type="spellEnd"/>
      <w:r>
        <w:rPr>
          <w:rFonts w:asciiTheme="majorBidi" w:hAnsiTheme="majorBidi" w:cstheme="majorBidi"/>
          <w:bCs/>
          <w:lang w:val="de-DE"/>
        </w:rPr>
        <w:t xml:space="preserve"> </w:t>
      </w:r>
      <w:proofErr w:type="spellStart"/>
      <w:r>
        <w:rPr>
          <w:rFonts w:asciiTheme="majorBidi" w:hAnsiTheme="majorBidi" w:cstheme="majorBidi"/>
          <w:bCs/>
          <w:lang w:val="de-DE"/>
        </w:rPr>
        <w:t>ir</w:t>
      </w:r>
      <w:proofErr w:type="spellEnd"/>
      <w:r>
        <w:rPr>
          <w:rFonts w:asciiTheme="majorBidi" w:hAnsiTheme="majorBidi" w:cstheme="majorBidi"/>
          <w:bCs/>
          <w:lang w:val="de-DE"/>
        </w:rPr>
        <w:t xml:space="preserve"> </w:t>
      </w:r>
      <w:proofErr w:type="spellStart"/>
      <w:r>
        <w:rPr>
          <w:rFonts w:asciiTheme="majorBidi" w:hAnsiTheme="majorBidi" w:cstheme="majorBidi"/>
          <w:bCs/>
          <w:lang w:val="de-DE"/>
        </w:rPr>
        <w:t>pastāvējis</w:t>
      </w:r>
      <w:proofErr w:type="spellEnd"/>
      <w:r>
        <w:rPr>
          <w:rFonts w:asciiTheme="majorBidi" w:hAnsiTheme="majorBidi" w:cstheme="majorBidi"/>
          <w:bCs/>
          <w:lang w:val="de-DE"/>
        </w:rPr>
        <w:t xml:space="preserve"> </w:t>
      </w:r>
      <w:proofErr w:type="spellStart"/>
      <w:r>
        <w:rPr>
          <w:rFonts w:asciiTheme="majorBidi" w:hAnsiTheme="majorBidi" w:cstheme="majorBidi"/>
          <w:bCs/>
          <w:lang w:val="de-DE"/>
        </w:rPr>
        <w:t>kādā</w:t>
      </w:r>
      <w:proofErr w:type="spellEnd"/>
      <w:r>
        <w:rPr>
          <w:rFonts w:asciiTheme="majorBidi" w:hAnsiTheme="majorBidi" w:cstheme="majorBidi"/>
          <w:bCs/>
          <w:lang w:val="de-DE"/>
        </w:rPr>
        <w:t xml:space="preserve"> </w:t>
      </w:r>
      <w:proofErr w:type="spellStart"/>
      <w:r>
        <w:rPr>
          <w:rFonts w:asciiTheme="majorBidi" w:hAnsiTheme="majorBidi" w:cstheme="majorBidi"/>
          <w:bCs/>
          <w:lang w:val="de-DE"/>
        </w:rPr>
        <w:t>noteiktā</w:t>
      </w:r>
      <w:proofErr w:type="spellEnd"/>
      <w:r>
        <w:rPr>
          <w:rFonts w:asciiTheme="majorBidi" w:hAnsiTheme="majorBidi" w:cstheme="majorBidi"/>
          <w:bCs/>
          <w:lang w:val="de-DE"/>
        </w:rPr>
        <w:t xml:space="preserve"> </w:t>
      </w:r>
      <w:proofErr w:type="spellStart"/>
      <w:r>
        <w:rPr>
          <w:rFonts w:asciiTheme="majorBidi" w:hAnsiTheme="majorBidi" w:cstheme="majorBidi"/>
          <w:bCs/>
          <w:lang w:val="de-DE"/>
        </w:rPr>
        <w:t>datumā</w:t>
      </w:r>
      <w:proofErr w:type="spellEnd"/>
      <w:r>
        <w:rPr>
          <w:rFonts w:asciiTheme="majorBidi" w:hAnsiTheme="majorBidi" w:cstheme="majorBidi"/>
          <w:bCs/>
          <w:lang w:val="de-DE"/>
        </w:rPr>
        <w:t xml:space="preserve">, </w:t>
      </w:r>
      <w:proofErr w:type="spellStart"/>
      <w:r>
        <w:rPr>
          <w:rFonts w:asciiTheme="majorBidi" w:hAnsiTheme="majorBidi" w:cstheme="majorBidi"/>
          <w:bCs/>
          <w:lang w:val="de-DE"/>
        </w:rPr>
        <w:t>kā</w:t>
      </w:r>
      <w:proofErr w:type="spellEnd"/>
      <w:r>
        <w:rPr>
          <w:rFonts w:asciiTheme="majorBidi" w:hAnsiTheme="majorBidi" w:cstheme="majorBidi"/>
          <w:bCs/>
          <w:lang w:val="de-DE"/>
        </w:rPr>
        <w:t xml:space="preserve"> </w:t>
      </w:r>
      <w:proofErr w:type="spellStart"/>
      <w:r>
        <w:rPr>
          <w:rFonts w:asciiTheme="majorBidi" w:hAnsiTheme="majorBidi" w:cstheme="majorBidi"/>
          <w:bCs/>
          <w:lang w:val="de-DE"/>
        </w:rPr>
        <w:t>arī</w:t>
      </w:r>
      <w:proofErr w:type="spellEnd"/>
      <w:r>
        <w:rPr>
          <w:rFonts w:asciiTheme="majorBidi" w:hAnsiTheme="majorBidi" w:cstheme="majorBidi"/>
          <w:bCs/>
          <w:lang w:val="de-DE"/>
        </w:rPr>
        <w:t xml:space="preserve"> </w:t>
      </w:r>
      <w:proofErr w:type="spellStart"/>
      <w:r>
        <w:rPr>
          <w:rFonts w:asciiTheme="majorBidi" w:hAnsiTheme="majorBidi" w:cstheme="majorBidi"/>
          <w:bCs/>
          <w:lang w:val="de-DE"/>
        </w:rPr>
        <w:t>oficiāli</w:t>
      </w:r>
      <w:proofErr w:type="spellEnd"/>
      <w:r>
        <w:rPr>
          <w:rFonts w:asciiTheme="majorBidi" w:hAnsiTheme="majorBidi" w:cstheme="majorBidi"/>
          <w:bCs/>
          <w:lang w:val="de-DE"/>
        </w:rPr>
        <w:t xml:space="preserve"> </w:t>
      </w:r>
      <w:proofErr w:type="spellStart"/>
      <w:r>
        <w:rPr>
          <w:rFonts w:asciiTheme="majorBidi" w:hAnsiTheme="majorBidi" w:cstheme="majorBidi"/>
          <w:bCs/>
          <w:lang w:val="de-DE"/>
        </w:rPr>
        <w:t>un</w:t>
      </w:r>
      <w:proofErr w:type="spellEnd"/>
      <w:r>
        <w:rPr>
          <w:rFonts w:asciiTheme="majorBidi" w:hAnsiTheme="majorBidi" w:cstheme="majorBidi"/>
          <w:bCs/>
          <w:lang w:val="de-DE"/>
        </w:rPr>
        <w:t xml:space="preserve"> </w:t>
      </w:r>
      <w:proofErr w:type="spellStart"/>
      <w:r w:rsidRPr="003700B8">
        <w:rPr>
          <w:rFonts w:asciiTheme="majorBidi" w:hAnsiTheme="majorBidi" w:cstheme="majorBidi"/>
          <w:bCs/>
          <w:u w:val="single"/>
          <w:lang w:val="de-DE"/>
        </w:rPr>
        <w:t>notariāli</w:t>
      </w:r>
      <w:proofErr w:type="spellEnd"/>
      <w:r w:rsidRPr="003700B8">
        <w:rPr>
          <w:rFonts w:asciiTheme="majorBidi" w:hAnsiTheme="majorBidi" w:cstheme="majorBidi"/>
          <w:bCs/>
          <w:u w:val="single"/>
          <w:lang w:val="de-DE"/>
        </w:rPr>
        <w:t xml:space="preserve"> </w:t>
      </w:r>
      <w:proofErr w:type="spellStart"/>
      <w:r w:rsidRPr="003700B8">
        <w:rPr>
          <w:rFonts w:asciiTheme="majorBidi" w:hAnsiTheme="majorBidi" w:cstheme="majorBidi"/>
          <w:bCs/>
          <w:u w:val="single"/>
          <w:lang w:val="de-DE"/>
        </w:rPr>
        <w:t>parakstītu</w:t>
      </w:r>
      <w:proofErr w:type="spellEnd"/>
      <w:r w:rsidRPr="003700B8">
        <w:rPr>
          <w:rFonts w:asciiTheme="majorBidi" w:hAnsiTheme="majorBidi" w:cstheme="majorBidi"/>
          <w:bCs/>
          <w:u w:val="single"/>
          <w:lang w:val="de-DE"/>
        </w:rPr>
        <w:t xml:space="preserve"> </w:t>
      </w:r>
      <w:proofErr w:type="spellStart"/>
      <w:r w:rsidRPr="003700B8">
        <w:rPr>
          <w:rFonts w:asciiTheme="majorBidi" w:hAnsiTheme="majorBidi" w:cstheme="majorBidi"/>
          <w:bCs/>
          <w:u w:val="single"/>
          <w:lang w:val="de-DE"/>
        </w:rPr>
        <w:t>apliecinājumi</w:t>
      </w:r>
      <w:proofErr w:type="spellEnd"/>
      <w:r>
        <w:rPr>
          <w:rFonts w:asciiTheme="majorBidi" w:hAnsiTheme="majorBidi" w:cstheme="majorBidi"/>
          <w:bCs/>
          <w:lang w:val="de-DE"/>
        </w:rPr>
        <w:t xml:space="preserve">; </w:t>
      </w:r>
    </w:p>
    <w:p w14:paraId="57CEE15E" w14:textId="77777777" w:rsidR="00114953" w:rsidRDefault="00114953" w:rsidP="00114953">
      <w:pPr>
        <w:jc w:val="both"/>
        <w:rPr>
          <w:rFonts w:asciiTheme="majorBidi" w:hAnsiTheme="majorBidi" w:cstheme="majorBidi"/>
          <w:bCs/>
          <w:lang w:val="de-DE"/>
        </w:rPr>
      </w:pPr>
    </w:p>
    <w:p w14:paraId="36A8C6B0" w14:textId="77777777" w:rsidR="00114953" w:rsidRDefault="00114953" w:rsidP="00114953">
      <w:pPr>
        <w:jc w:val="both"/>
        <w:rPr>
          <w:rFonts w:asciiTheme="majorBidi" w:hAnsiTheme="majorBidi" w:cstheme="majorBidi"/>
          <w:bCs/>
          <w:lang w:val="de-DE"/>
        </w:rPr>
      </w:pPr>
      <w:r>
        <w:rPr>
          <w:rFonts w:asciiTheme="majorBidi" w:hAnsiTheme="majorBidi" w:cstheme="majorBidi"/>
          <w:bCs/>
          <w:lang w:val="de-DE"/>
        </w:rPr>
        <w:t xml:space="preserve">e) </w:t>
      </w:r>
      <w:proofErr w:type="spellStart"/>
      <w:r w:rsidRPr="0030599B">
        <w:rPr>
          <w:rFonts w:asciiTheme="majorBidi" w:hAnsiTheme="majorBidi" w:cstheme="majorBidi"/>
          <w:bCs/>
          <w:u w:val="single"/>
          <w:lang w:val="de-DE"/>
        </w:rPr>
        <w:t>dokumenti</w:t>
      </w:r>
      <w:proofErr w:type="spellEnd"/>
      <w:r w:rsidRPr="0030599B">
        <w:rPr>
          <w:rFonts w:asciiTheme="majorBidi" w:hAnsiTheme="majorBidi" w:cstheme="majorBidi"/>
          <w:bCs/>
          <w:u w:val="single"/>
          <w:lang w:val="de-DE"/>
        </w:rPr>
        <w:t xml:space="preserve">, </w:t>
      </w:r>
      <w:proofErr w:type="spellStart"/>
      <w:r w:rsidRPr="0030599B">
        <w:rPr>
          <w:rFonts w:asciiTheme="majorBidi" w:hAnsiTheme="majorBidi" w:cstheme="majorBidi"/>
          <w:bCs/>
          <w:u w:val="single"/>
          <w:lang w:val="de-DE"/>
        </w:rPr>
        <w:t>ko</w:t>
      </w:r>
      <w:proofErr w:type="spellEnd"/>
      <w:r w:rsidRPr="0030599B">
        <w:rPr>
          <w:rFonts w:asciiTheme="majorBidi" w:hAnsiTheme="majorBidi" w:cstheme="majorBidi"/>
          <w:bCs/>
          <w:u w:val="single"/>
          <w:lang w:val="de-DE"/>
        </w:rPr>
        <w:t xml:space="preserve"> </w:t>
      </w:r>
      <w:proofErr w:type="spellStart"/>
      <w:r w:rsidRPr="0030599B">
        <w:rPr>
          <w:rFonts w:asciiTheme="majorBidi" w:hAnsiTheme="majorBidi" w:cstheme="majorBidi"/>
          <w:bCs/>
          <w:u w:val="single"/>
          <w:lang w:val="de-DE"/>
        </w:rPr>
        <w:t>atbilstīgi</w:t>
      </w:r>
      <w:proofErr w:type="spellEnd"/>
      <w:r w:rsidRPr="0030599B">
        <w:rPr>
          <w:rFonts w:asciiTheme="majorBidi" w:hAnsiTheme="majorBidi" w:cstheme="majorBidi"/>
          <w:bCs/>
          <w:u w:val="single"/>
          <w:lang w:val="de-DE"/>
        </w:rPr>
        <w:t xml:space="preserve"> </w:t>
      </w:r>
      <w:proofErr w:type="spellStart"/>
      <w:r w:rsidRPr="0030599B">
        <w:rPr>
          <w:rFonts w:asciiTheme="majorBidi" w:hAnsiTheme="majorBidi" w:cstheme="majorBidi"/>
          <w:bCs/>
          <w:u w:val="single"/>
          <w:lang w:val="de-DE"/>
        </w:rPr>
        <w:t>savai</w:t>
      </w:r>
      <w:proofErr w:type="spellEnd"/>
      <w:r w:rsidRPr="0030599B">
        <w:rPr>
          <w:rFonts w:asciiTheme="majorBidi" w:hAnsiTheme="majorBidi" w:cstheme="majorBidi"/>
          <w:bCs/>
          <w:u w:val="single"/>
          <w:lang w:val="de-DE"/>
        </w:rPr>
        <w:t xml:space="preserve"> </w:t>
      </w:r>
      <w:proofErr w:type="spellStart"/>
      <w:r w:rsidRPr="0030599B">
        <w:rPr>
          <w:rFonts w:asciiTheme="majorBidi" w:hAnsiTheme="majorBidi" w:cstheme="majorBidi"/>
          <w:bCs/>
          <w:u w:val="single"/>
          <w:lang w:val="de-DE"/>
        </w:rPr>
        <w:t>kompetencei</w:t>
      </w:r>
      <w:proofErr w:type="spellEnd"/>
      <w:r w:rsidRPr="0030599B">
        <w:rPr>
          <w:rFonts w:asciiTheme="majorBidi" w:hAnsiTheme="majorBidi" w:cstheme="majorBidi"/>
          <w:bCs/>
          <w:u w:val="single"/>
          <w:lang w:val="de-DE"/>
        </w:rPr>
        <w:t xml:space="preserve"> </w:t>
      </w:r>
      <w:proofErr w:type="spellStart"/>
      <w:r w:rsidRPr="0030599B">
        <w:rPr>
          <w:rFonts w:asciiTheme="majorBidi" w:hAnsiTheme="majorBidi" w:cstheme="majorBidi"/>
          <w:bCs/>
          <w:u w:val="single"/>
          <w:lang w:val="de-DE"/>
        </w:rPr>
        <w:t>sagatavo</w:t>
      </w:r>
      <w:proofErr w:type="spellEnd"/>
      <w:r w:rsidRPr="0030599B">
        <w:rPr>
          <w:rFonts w:asciiTheme="majorBidi" w:hAnsiTheme="majorBidi" w:cstheme="majorBidi"/>
          <w:bCs/>
          <w:u w:val="single"/>
          <w:lang w:val="de-DE"/>
        </w:rPr>
        <w:t xml:space="preserve"> </w:t>
      </w:r>
      <w:proofErr w:type="spellStart"/>
      <w:r w:rsidRPr="0030599B">
        <w:rPr>
          <w:rFonts w:asciiTheme="majorBidi" w:hAnsiTheme="majorBidi" w:cstheme="majorBidi"/>
          <w:bCs/>
          <w:u w:val="single"/>
          <w:lang w:val="de-DE"/>
        </w:rPr>
        <w:t>līgumslēdzējas</w:t>
      </w:r>
      <w:proofErr w:type="spellEnd"/>
      <w:r w:rsidRPr="0030599B">
        <w:rPr>
          <w:rFonts w:asciiTheme="majorBidi" w:hAnsiTheme="majorBidi" w:cstheme="majorBidi"/>
          <w:bCs/>
          <w:u w:val="single"/>
          <w:lang w:val="de-DE"/>
        </w:rPr>
        <w:t xml:space="preserve"> </w:t>
      </w:r>
      <w:proofErr w:type="spellStart"/>
      <w:r w:rsidRPr="0030599B">
        <w:rPr>
          <w:rFonts w:asciiTheme="majorBidi" w:hAnsiTheme="majorBidi" w:cstheme="majorBidi"/>
          <w:bCs/>
          <w:u w:val="single"/>
          <w:lang w:val="de-DE"/>
        </w:rPr>
        <w:t>valsts</w:t>
      </w:r>
      <w:proofErr w:type="spellEnd"/>
      <w:r w:rsidRPr="0030599B">
        <w:rPr>
          <w:rFonts w:asciiTheme="majorBidi" w:hAnsiTheme="majorBidi" w:cstheme="majorBidi"/>
          <w:bCs/>
          <w:u w:val="single"/>
          <w:lang w:val="de-DE"/>
        </w:rPr>
        <w:t xml:space="preserve"> </w:t>
      </w:r>
      <w:proofErr w:type="spellStart"/>
      <w:r w:rsidRPr="0030599B">
        <w:rPr>
          <w:rFonts w:asciiTheme="majorBidi" w:hAnsiTheme="majorBidi" w:cstheme="majorBidi"/>
          <w:bCs/>
          <w:u w:val="single"/>
          <w:lang w:val="de-DE"/>
        </w:rPr>
        <w:t>diplomātiskie</w:t>
      </w:r>
      <w:proofErr w:type="spellEnd"/>
      <w:r w:rsidRPr="0030599B">
        <w:rPr>
          <w:rFonts w:asciiTheme="majorBidi" w:hAnsiTheme="majorBidi" w:cstheme="majorBidi"/>
          <w:bCs/>
          <w:u w:val="single"/>
          <w:lang w:val="de-DE"/>
        </w:rPr>
        <w:t xml:space="preserve"> </w:t>
      </w:r>
      <w:proofErr w:type="spellStart"/>
      <w:r w:rsidRPr="0030599B">
        <w:rPr>
          <w:rFonts w:asciiTheme="majorBidi" w:hAnsiTheme="majorBidi" w:cstheme="majorBidi"/>
          <w:bCs/>
          <w:u w:val="single"/>
          <w:lang w:val="de-DE"/>
        </w:rPr>
        <w:t>vai</w:t>
      </w:r>
      <w:proofErr w:type="spellEnd"/>
      <w:r w:rsidRPr="0030599B">
        <w:rPr>
          <w:rFonts w:asciiTheme="majorBidi" w:hAnsiTheme="majorBidi" w:cstheme="majorBidi"/>
          <w:bCs/>
          <w:u w:val="single"/>
          <w:lang w:val="de-DE"/>
        </w:rPr>
        <w:t xml:space="preserve"> </w:t>
      </w:r>
      <w:proofErr w:type="spellStart"/>
      <w:r w:rsidRPr="0030599B">
        <w:rPr>
          <w:rFonts w:asciiTheme="majorBidi" w:hAnsiTheme="majorBidi" w:cstheme="majorBidi"/>
          <w:bCs/>
          <w:u w:val="single"/>
          <w:lang w:val="de-DE"/>
        </w:rPr>
        <w:t>konsulārie</w:t>
      </w:r>
      <w:proofErr w:type="spellEnd"/>
      <w:r w:rsidRPr="0030599B">
        <w:rPr>
          <w:rFonts w:asciiTheme="majorBidi" w:hAnsiTheme="majorBidi" w:cstheme="majorBidi"/>
          <w:bCs/>
          <w:u w:val="single"/>
          <w:lang w:val="de-DE"/>
        </w:rPr>
        <w:t xml:space="preserve"> </w:t>
      </w:r>
      <w:proofErr w:type="spellStart"/>
      <w:r w:rsidRPr="0030599B">
        <w:rPr>
          <w:rFonts w:asciiTheme="majorBidi" w:hAnsiTheme="majorBidi" w:cstheme="majorBidi"/>
          <w:bCs/>
          <w:u w:val="single"/>
          <w:lang w:val="de-DE"/>
        </w:rPr>
        <w:t>pārstāvji</w:t>
      </w:r>
      <w:proofErr w:type="spellEnd"/>
      <w:r w:rsidRPr="0030599B">
        <w:rPr>
          <w:rFonts w:asciiTheme="majorBidi" w:hAnsiTheme="majorBidi" w:cstheme="majorBidi"/>
          <w:bCs/>
          <w:u w:val="single"/>
          <w:lang w:val="de-DE"/>
        </w:rPr>
        <w:t xml:space="preserve">, </w:t>
      </w:r>
      <w:proofErr w:type="spellStart"/>
      <w:r w:rsidRPr="0030599B">
        <w:rPr>
          <w:rFonts w:asciiTheme="majorBidi" w:hAnsiTheme="majorBidi" w:cstheme="majorBidi"/>
          <w:bCs/>
          <w:u w:val="single"/>
          <w:lang w:val="de-DE"/>
        </w:rPr>
        <w:t>kuri</w:t>
      </w:r>
      <w:proofErr w:type="spellEnd"/>
      <w:r w:rsidRPr="0030599B">
        <w:rPr>
          <w:rFonts w:asciiTheme="majorBidi" w:hAnsiTheme="majorBidi" w:cstheme="majorBidi"/>
          <w:bCs/>
          <w:u w:val="single"/>
          <w:lang w:val="de-DE"/>
        </w:rPr>
        <w:t xml:space="preserve"> </w:t>
      </w:r>
      <w:proofErr w:type="spellStart"/>
      <w:r w:rsidRPr="0030599B">
        <w:rPr>
          <w:rFonts w:asciiTheme="majorBidi" w:hAnsiTheme="majorBidi" w:cstheme="majorBidi"/>
          <w:bCs/>
          <w:u w:val="single"/>
          <w:lang w:val="de-DE"/>
        </w:rPr>
        <w:t>darbojas</w:t>
      </w:r>
      <w:proofErr w:type="spellEnd"/>
      <w:r w:rsidRPr="0030599B">
        <w:rPr>
          <w:rFonts w:asciiTheme="majorBidi" w:hAnsiTheme="majorBidi" w:cstheme="majorBidi"/>
          <w:bCs/>
          <w:u w:val="single"/>
          <w:lang w:val="de-DE"/>
        </w:rPr>
        <w:t xml:space="preserve"> </w:t>
      </w:r>
      <w:proofErr w:type="spellStart"/>
      <w:r w:rsidRPr="0030599B">
        <w:rPr>
          <w:rFonts w:asciiTheme="majorBidi" w:hAnsiTheme="majorBidi" w:cstheme="majorBidi"/>
          <w:bCs/>
          <w:u w:val="single"/>
          <w:lang w:val="de-DE"/>
        </w:rPr>
        <w:t>kādas</w:t>
      </w:r>
      <w:proofErr w:type="spellEnd"/>
      <w:r w:rsidRPr="0030599B">
        <w:rPr>
          <w:rFonts w:asciiTheme="majorBidi" w:hAnsiTheme="majorBidi" w:cstheme="majorBidi"/>
          <w:bCs/>
          <w:u w:val="single"/>
          <w:lang w:val="de-DE"/>
        </w:rPr>
        <w:t xml:space="preserve"> </w:t>
      </w:r>
      <w:proofErr w:type="spellStart"/>
      <w:r w:rsidRPr="0030599B">
        <w:rPr>
          <w:rFonts w:asciiTheme="majorBidi" w:hAnsiTheme="majorBidi" w:cstheme="majorBidi"/>
          <w:bCs/>
          <w:u w:val="single"/>
          <w:lang w:val="de-DE"/>
        </w:rPr>
        <w:t>valsts</w:t>
      </w:r>
      <w:proofErr w:type="spellEnd"/>
      <w:r w:rsidRPr="0030599B">
        <w:rPr>
          <w:rFonts w:asciiTheme="majorBidi" w:hAnsiTheme="majorBidi" w:cstheme="majorBidi"/>
          <w:bCs/>
          <w:u w:val="single"/>
          <w:lang w:val="de-DE"/>
        </w:rPr>
        <w:t xml:space="preserve"> </w:t>
      </w:r>
      <w:proofErr w:type="spellStart"/>
      <w:r w:rsidRPr="0030599B">
        <w:rPr>
          <w:rFonts w:asciiTheme="majorBidi" w:hAnsiTheme="majorBidi" w:cstheme="majorBidi"/>
          <w:bCs/>
          <w:u w:val="single"/>
          <w:lang w:val="de-DE"/>
        </w:rPr>
        <w:t>teritorijā</w:t>
      </w:r>
      <w:proofErr w:type="spellEnd"/>
      <w:r>
        <w:rPr>
          <w:rFonts w:asciiTheme="majorBidi" w:hAnsiTheme="majorBidi" w:cstheme="majorBidi"/>
          <w:bCs/>
          <w:lang w:val="de-DE"/>
        </w:rPr>
        <w:t xml:space="preserve">, ja </w:t>
      </w:r>
      <w:proofErr w:type="spellStart"/>
      <w:r>
        <w:rPr>
          <w:rFonts w:asciiTheme="majorBidi" w:hAnsiTheme="majorBidi" w:cstheme="majorBidi"/>
          <w:bCs/>
          <w:lang w:val="de-DE"/>
        </w:rPr>
        <w:t>šādi</w:t>
      </w:r>
      <w:proofErr w:type="spellEnd"/>
      <w:r>
        <w:rPr>
          <w:rFonts w:asciiTheme="majorBidi" w:hAnsiTheme="majorBidi" w:cstheme="majorBidi"/>
          <w:bCs/>
          <w:lang w:val="de-DE"/>
        </w:rPr>
        <w:t xml:space="preserve"> </w:t>
      </w:r>
      <w:proofErr w:type="spellStart"/>
      <w:r>
        <w:rPr>
          <w:rFonts w:asciiTheme="majorBidi" w:hAnsiTheme="majorBidi" w:cstheme="majorBidi"/>
          <w:bCs/>
          <w:lang w:val="de-DE"/>
        </w:rPr>
        <w:t>dokumenti</w:t>
      </w:r>
      <w:proofErr w:type="spellEnd"/>
      <w:r>
        <w:rPr>
          <w:rFonts w:asciiTheme="majorBidi" w:hAnsiTheme="majorBidi" w:cstheme="majorBidi"/>
          <w:bCs/>
          <w:lang w:val="de-DE"/>
        </w:rPr>
        <w:t xml:space="preserve"> </w:t>
      </w:r>
      <w:proofErr w:type="spellStart"/>
      <w:r>
        <w:rPr>
          <w:rFonts w:asciiTheme="majorBidi" w:hAnsiTheme="majorBidi" w:cstheme="majorBidi"/>
          <w:bCs/>
          <w:lang w:val="de-DE"/>
        </w:rPr>
        <w:t>ir</w:t>
      </w:r>
      <w:proofErr w:type="spellEnd"/>
      <w:r>
        <w:rPr>
          <w:rFonts w:asciiTheme="majorBidi" w:hAnsiTheme="majorBidi" w:cstheme="majorBidi"/>
          <w:bCs/>
          <w:lang w:val="de-DE"/>
        </w:rPr>
        <w:t xml:space="preserve"> </w:t>
      </w:r>
      <w:proofErr w:type="spellStart"/>
      <w:r>
        <w:rPr>
          <w:rFonts w:asciiTheme="majorBidi" w:hAnsiTheme="majorBidi" w:cstheme="majorBidi"/>
          <w:bCs/>
          <w:lang w:val="de-DE"/>
        </w:rPr>
        <w:t>jāiesniedz</w:t>
      </w:r>
      <w:proofErr w:type="spellEnd"/>
      <w:r>
        <w:rPr>
          <w:rFonts w:asciiTheme="majorBidi" w:hAnsiTheme="majorBidi" w:cstheme="majorBidi"/>
          <w:bCs/>
          <w:lang w:val="de-DE"/>
        </w:rPr>
        <w:t xml:space="preserve"> </w:t>
      </w:r>
      <w:proofErr w:type="spellStart"/>
      <w:r>
        <w:rPr>
          <w:rFonts w:asciiTheme="majorBidi" w:hAnsiTheme="majorBidi" w:cstheme="majorBidi"/>
          <w:bCs/>
          <w:lang w:val="de-DE"/>
        </w:rPr>
        <w:lastRenderedPageBreak/>
        <w:t>kādas</w:t>
      </w:r>
      <w:proofErr w:type="spellEnd"/>
      <w:r>
        <w:rPr>
          <w:rFonts w:asciiTheme="majorBidi" w:hAnsiTheme="majorBidi" w:cstheme="majorBidi"/>
          <w:bCs/>
          <w:lang w:val="de-DE"/>
        </w:rPr>
        <w:t xml:space="preserve"> </w:t>
      </w:r>
      <w:proofErr w:type="spellStart"/>
      <w:r>
        <w:rPr>
          <w:rFonts w:asciiTheme="majorBidi" w:hAnsiTheme="majorBidi" w:cstheme="majorBidi"/>
          <w:bCs/>
          <w:lang w:val="de-DE"/>
        </w:rPr>
        <w:t>citas</w:t>
      </w:r>
      <w:proofErr w:type="spellEnd"/>
      <w:r>
        <w:rPr>
          <w:rFonts w:asciiTheme="majorBidi" w:hAnsiTheme="majorBidi" w:cstheme="majorBidi"/>
          <w:bCs/>
          <w:lang w:val="de-DE"/>
        </w:rPr>
        <w:t xml:space="preserve"> </w:t>
      </w:r>
      <w:proofErr w:type="spellStart"/>
      <w:r>
        <w:rPr>
          <w:rFonts w:asciiTheme="majorBidi" w:hAnsiTheme="majorBidi" w:cstheme="majorBidi"/>
          <w:bCs/>
          <w:lang w:val="de-DE"/>
        </w:rPr>
        <w:t>līgumslēdzējas</w:t>
      </w:r>
      <w:proofErr w:type="spellEnd"/>
      <w:r>
        <w:rPr>
          <w:rFonts w:asciiTheme="majorBidi" w:hAnsiTheme="majorBidi" w:cstheme="majorBidi"/>
          <w:bCs/>
          <w:lang w:val="de-DE"/>
        </w:rPr>
        <w:t xml:space="preserve"> </w:t>
      </w:r>
      <w:proofErr w:type="spellStart"/>
      <w:r>
        <w:rPr>
          <w:rFonts w:asciiTheme="majorBidi" w:hAnsiTheme="majorBidi" w:cstheme="majorBidi"/>
          <w:bCs/>
          <w:lang w:val="de-DE"/>
        </w:rPr>
        <w:t>valsts</w:t>
      </w:r>
      <w:proofErr w:type="spellEnd"/>
      <w:r>
        <w:rPr>
          <w:rFonts w:asciiTheme="majorBidi" w:hAnsiTheme="majorBidi" w:cstheme="majorBidi"/>
          <w:bCs/>
          <w:lang w:val="de-DE"/>
        </w:rPr>
        <w:t xml:space="preserve"> </w:t>
      </w:r>
      <w:proofErr w:type="spellStart"/>
      <w:r>
        <w:rPr>
          <w:rFonts w:asciiTheme="majorBidi" w:hAnsiTheme="majorBidi" w:cstheme="majorBidi"/>
          <w:bCs/>
          <w:lang w:val="de-DE"/>
        </w:rPr>
        <w:t>teritorijā</w:t>
      </w:r>
      <w:proofErr w:type="spellEnd"/>
      <w:r>
        <w:rPr>
          <w:rFonts w:asciiTheme="majorBidi" w:hAnsiTheme="majorBidi" w:cstheme="majorBidi"/>
          <w:bCs/>
          <w:lang w:val="de-DE"/>
        </w:rPr>
        <w:t xml:space="preserve"> </w:t>
      </w:r>
      <w:proofErr w:type="spellStart"/>
      <w:r>
        <w:rPr>
          <w:rFonts w:asciiTheme="majorBidi" w:hAnsiTheme="majorBidi" w:cstheme="majorBidi"/>
          <w:bCs/>
          <w:lang w:val="de-DE"/>
        </w:rPr>
        <w:t>vai</w:t>
      </w:r>
      <w:proofErr w:type="spellEnd"/>
      <w:r>
        <w:rPr>
          <w:rFonts w:asciiTheme="majorBidi" w:hAnsiTheme="majorBidi" w:cstheme="majorBidi"/>
          <w:bCs/>
          <w:lang w:val="de-DE"/>
        </w:rPr>
        <w:t xml:space="preserve"> </w:t>
      </w:r>
      <w:proofErr w:type="spellStart"/>
      <w:r>
        <w:rPr>
          <w:rFonts w:asciiTheme="majorBidi" w:hAnsiTheme="majorBidi" w:cstheme="majorBidi"/>
          <w:bCs/>
          <w:lang w:val="de-DE"/>
        </w:rPr>
        <w:t>jāuzrāda</w:t>
      </w:r>
      <w:proofErr w:type="spellEnd"/>
      <w:r>
        <w:rPr>
          <w:rFonts w:asciiTheme="majorBidi" w:hAnsiTheme="majorBidi" w:cstheme="majorBidi"/>
          <w:bCs/>
          <w:lang w:val="de-DE"/>
        </w:rPr>
        <w:t xml:space="preserve"> </w:t>
      </w:r>
      <w:proofErr w:type="spellStart"/>
      <w:r>
        <w:rPr>
          <w:rFonts w:asciiTheme="majorBidi" w:hAnsiTheme="majorBidi" w:cstheme="majorBidi"/>
          <w:bCs/>
          <w:lang w:val="de-DE"/>
        </w:rPr>
        <w:t>kādas</w:t>
      </w:r>
      <w:proofErr w:type="spellEnd"/>
      <w:r>
        <w:rPr>
          <w:rFonts w:asciiTheme="majorBidi" w:hAnsiTheme="majorBidi" w:cstheme="majorBidi"/>
          <w:bCs/>
          <w:lang w:val="de-DE"/>
        </w:rPr>
        <w:t xml:space="preserve"> </w:t>
      </w:r>
      <w:proofErr w:type="spellStart"/>
      <w:r>
        <w:rPr>
          <w:rFonts w:asciiTheme="majorBidi" w:hAnsiTheme="majorBidi" w:cstheme="majorBidi"/>
          <w:bCs/>
          <w:lang w:val="de-DE"/>
        </w:rPr>
        <w:t>citas</w:t>
      </w:r>
      <w:proofErr w:type="spellEnd"/>
      <w:r>
        <w:rPr>
          <w:rFonts w:asciiTheme="majorBidi" w:hAnsiTheme="majorBidi" w:cstheme="majorBidi"/>
          <w:bCs/>
          <w:lang w:val="de-DE"/>
        </w:rPr>
        <w:t xml:space="preserve"> </w:t>
      </w:r>
      <w:proofErr w:type="spellStart"/>
      <w:r>
        <w:rPr>
          <w:rFonts w:asciiTheme="majorBidi" w:hAnsiTheme="majorBidi" w:cstheme="majorBidi"/>
          <w:bCs/>
          <w:lang w:val="de-DE"/>
        </w:rPr>
        <w:t>līgumslēdzējas</w:t>
      </w:r>
      <w:proofErr w:type="spellEnd"/>
      <w:r>
        <w:rPr>
          <w:rFonts w:asciiTheme="majorBidi" w:hAnsiTheme="majorBidi" w:cstheme="majorBidi"/>
          <w:bCs/>
          <w:lang w:val="de-DE"/>
        </w:rPr>
        <w:t xml:space="preserve"> </w:t>
      </w:r>
      <w:proofErr w:type="spellStart"/>
      <w:r>
        <w:rPr>
          <w:rFonts w:asciiTheme="majorBidi" w:hAnsiTheme="majorBidi" w:cstheme="majorBidi"/>
          <w:bCs/>
          <w:lang w:val="de-DE"/>
        </w:rPr>
        <w:t>valsts</w:t>
      </w:r>
      <w:proofErr w:type="spellEnd"/>
      <w:r>
        <w:rPr>
          <w:rFonts w:asciiTheme="majorBidi" w:hAnsiTheme="majorBidi" w:cstheme="majorBidi"/>
          <w:bCs/>
          <w:lang w:val="de-DE"/>
        </w:rPr>
        <w:t xml:space="preserve"> </w:t>
      </w:r>
      <w:proofErr w:type="spellStart"/>
      <w:r>
        <w:rPr>
          <w:rFonts w:asciiTheme="majorBidi" w:hAnsiTheme="majorBidi" w:cstheme="majorBidi"/>
          <w:bCs/>
          <w:lang w:val="de-DE"/>
        </w:rPr>
        <w:t>diplomātiskajiem</w:t>
      </w:r>
      <w:proofErr w:type="spellEnd"/>
      <w:r>
        <w:rPr>
          <w:rFonts w:asciiTheme="majorBidi" w:hAnsiTheme="majorBidi" w:cstheme="majorBidi"/>
          <w:bCs/>
          <w:lang w:val="de-DE"/>
        </w:rPr>
        <w:t xml:space="preserve"> </w:t>
      </w:r>
      <w:proofErr w:type="spellStart"/>
      <w:r>
        <w:rPr>
          <w:rFonts w:asciiTheme="majorBidi" w:hAnsiTheme="majorBidi" w:cstheme="majorBidi"/>
          <w:bCs/>
          <w:lang w:val="de-DE"/>
        </w:rPr>
        <w:t>vai</w:t>
      </w:r>
      <w:proofErr w:type="spellEnd"/>
      <w:r>
        <w:rPr>
          <w:rFonts w:asciiTheme="majorBidi" w:hAnsiTheme="majorBidi" w:cstheme="majorBidi"/>
          <w:bCs/>
          <w:lang w:val="de-DE"/>
        </w:rPr>
        <w:t xml:space="preserve"> </w:t>
      </w:r>
      <w:proofErr w:type="spellStart"/>
      <w:r>
        <w:rPr>
          <w:rFonts w:asciiTheme="majorBidi" w:hAnsiTheme="majorBidi" w:cstheme="majorBidi"/>
          <w:bCs/>
          <w:lang w:val="de-DE"/>
        </w:rPr>
        <w:t>konsulārajiem</w:t>
      </w:r>
      <w:proofErr w:type="spellEnd"/>
      <w:r>
        <w:rPr>
          <w:rFonts w:asciiTheme="majorBidi" w:hAnsiTheme="majorBidi" w:cstheme="majorBidi"/>
          <w:bCs/>
          <w:lang w:val="de-DE"/>
        </w:rPr>
        <w:t xml:space="preserve"> </w:t>
      </w:r>
      <w:proofErr w:type="spellStart"/>
      <w:r>
        <w:rPr>
          <w:rFonts w:asciiTheme="majorBidi" w:hAnsiTheme="majorBidi" w:cstheme="majorBidi"/>
          <w:bCs/>
          <w:lang w:val="de-DE"/>
        </w:rPr>
        <w:t>pārstāvjiem</w:t>
      </w:r>
      <w:proofErr w:type="spellEnd"/>
      <w:r>
        <w:rPr>
          <w:rFonts w:asciiTheme="majorBidi" w:hAnsiTheme="majorBidi" w:cstheme="majorBidi"/>
          <w:bCs/>
          <w:lang w:val="de-DE"/>
        </w:rPr>
        <w:t xml:space="preserve">, </w:t>
      </w:r>
      <w:proofErr w:type="spellStart"/>
      <w:r>
        <w:rPr>
          <w:rFonts w:asciiTheme="majorBidi" w:hAnsiTheme="majorBidi" w:cstheme="majorBidi"/>
          <w:bCs/>
          <w:lang w:val="de-DE"/>
        </w:rPr>
        <w:t>kuri</w:t>
      </w:r>
      <w:proofErr w:type="spellEnd"/>
      <w:r>
        <w:rPr>
          <w:rFonts w:asciiTheme="majorBidi" w:hAnsiTheme="majorBidi" w:cstheme="majorBidi"/>
          <w:bCs/>
          <w:lang w:val="de-DE"/>
        </w:rPr>
        <w:t xml:space="preserve"> </w:t>
      </w:r>
      <w:proofErr w:type="spellStart"/>
      <w:r>
        <w:rPr>
          <w:rFonts w:asciiTheme="majorBidi" w:hAnsiTheme="majorBidi" w:cstheme="majorBidi"/>
          <w:bCs/>
          <w:lang w:val="de-DE"/>
        </w:rPr>
        <w:t>darbojas</w:t>
      </w:r>
      <w:proofErr w:type="spellEnd"/>
      <w:r>
        <w:rPr>
          <w:rFonts w:asciiTheme="majorBidi" w:hAnsiTheme="majorBidi" w:cstheme="majorBidi"/>
          <w:bCs/>
          <w:lang w:val="de-DE"/>
        </w:rPr>
        <w:t xml:space="preserve"> </w:t>
      </w:r>
      <w:proofErr w:type="spellStart"/>
      <w:r>
        <w:rPr>
          <w:rFonts w:asciiTheme="majorBidi" w:hAnsiTheme="majorBidi" w:cstheme="majorBidi"/>
          <w:bCs/>
          <w:lang w:val="de-DE"/>
        </w:rPr>
        <w:t>tādas</w:t>
      </w:r>
      <w:proofErr w:type="spellEnd"/>
      <w:r>
        <w:rPr>
          <w:rFonts w:asciiTheme="majorBidi" w:hAnsiTheme="majorBidi" w:cstheme="majorBidi"/>
          <w:bCs/>
          <w:lang w:val="de-DE"/>
        </w:rPr>
        <w:t xml:space="preserve"> </w:t>
      </w:r>
      <w:proofErr w:type="spellStart"/>
      <w:r>
        <w:rPr>
          <w:rFonts w:asciiTheme="majorBidi" w:hAnsiTheme="majorBidi" w:cstheme="majorBidi"/>
          <w:bCs/>
          <w:lang w:val="de-DE"/>
        </w:rPr>
        <w:t>valsts</w:t>
      </w:r>
      <w:proofErr w:type="spellEnd"/>
      <w:r>
        <w:rPr>
          <w:rFonts w:asciiTheme="majorBidi" w:hAnsiTheme="majorBidi" w:cstheme="majorBidi"/>
          <w:bCs/>
          <w:lang w:val="de-DE"/>
        </w:rPr>
        <w:t xml:space="preserve"> </w:t>
      </w:r>
      <w:proofErr w:type="spellStart"/>
      <w:r>
        <w:rPr>
          <w:rFonts w:asciiTheme="majorBidi" w:hAnsiTheme="majorBidi" w:cstheme="majorBidi"/>
          <w:bCs/>
          <w:lang w:val="de-DE"/>
        </w:rPr>
        <w:t>teritorijā</w:t>
      </w:r>
      <w:proofErr w:type="spellEnd"/>
      <w:r>
        <w:rPr>
          <w:rFonts w:asciiTheme="majorBidi" w:hAnsiTheme="majorBidi" w:cstheme="majorBidi"/>
          <w:bCs/>
          <w:lang w:val="de-DE"/>
        </w:rPr>
        <w:t xml:space="preserve">, </w:t>
      </w:r>
      <w:proofErr w:type="spellStart"/>
      <w:r>
        <w:rPr>
          <w:rFonts w:asciiTheme="majorBidi" w:hAnsiTheme="majorBidi" w:cstheme="majorBidi"/>
          <w:bCs/>
          <w:lang w:val="de-DE"/>
        </w:rPr>
        <w:t>kas</w:t>
      </w:r>
      <w:proofErr w:type="spellEnd"/>
      <w:r>
        <w:rPr>
          <w:rFonts w:asciiTheme="majorBidi" w:hAnsiTheme="majorBidi" w:cstheme="majorBidi"/>
          <w:bCs/>
          <w:lang w:val="de-DE"/>
        </w:rPr>
        <w:t xml:space="preserve"> </w:t>
      </w:r>
      <w:proofErr w:type="spellStart"/>
      <w:r>
        <w:rPr>
          <w:rFonts w:asciiTheme="majorBidi" w:hAnsiTheme="majorBidi" w:cstheme="majorBidi"/>
          <w:bCs/>
          <w:lang w:val="de-DE"/>
        </w:rPr>
        <w:t>nav</w:t>
      </w:r>
      <w:proofErr w:type="spellEnd"/>
      <w:r>
        <w:rPr>
          <w:rFonts w:asciiTheme="majorBidi" w:hAnsiTheme="majorBidi" w:cstheme="majorBidi"/>
          <w:bCs/>
          <w:lang w:val="de-DE"/>
        </w:rPr>
        <w:t xml:space="preserve"> </w:t>
      </w:r>
      <w:proofErr w:type="spellStart"/>
      <w:r>
        <w:rPr>
          <w:rFonts w:asciiTheme="majorBidi" w:hAnsiTheme="majorBidi" w:cstheme="majorBidi"/>
          <w:bCs/>
          <w:lang w:val="de-DE"/>
        </w:rPr>
        <w:t>šīs</w:t>
      </w:r>
      <w:proofErr w:type="spellEnd"/>
      <w:r>
        <w:rPr>
          <w:rFonts w:asciiTheme="majorBidi" w:hAnsiTheme="majorBidi" w:cstheme="majorBidi"/>
          <w:bCs/>
          <w:lang w:val="de-DE"/>
        </w:rPr>
        <w:t xml:space="preserve"> </w:t>
      </w:r>
      <w:proofErr w:type="spellStart"/>
      <w:r>
        <w:rPr>
          <w:rFonts w:asciiTheme="majorBidi" w:hAnsiTheme="majorBidi" w:cstheme="majorBidi"/>
          <w:bCs/>
          <w:lang w:val="de-DE"/>
        </w:rPr>
        <w:t>konvencijas</w:t>
      </w:r>
      <w:proofErr w:type="spellEnd"/>
      <w:r>
        <w:rPr>
          <w:rFonts w:asciiTheme="majorBidi" w:hAnsiTheme="majorBidi" w:cstheme="majorBidi"/>
          <w:bCs/>
          <w:lang w:val="de-DE"/>
        </w:rPr>
        <w:t xml:space="preserve"> </w:t>
      </w:r>
      <w:proofErr w:type="spellStart"/>
      <w:r>
        <w:rPr>
          <w:rFonts w:asciiTheme="majorBidi" w:hAnsiTheme="majorBidi" w:cstheme="majorBidi"/>
          <w:bCs/>
          <w:lang w:val="de-DE"/>
        </w:rPr>
        <w:t>līgumslēdzēja</w:t>
      </w:r>
      <w:proofErr w:type="spellEnd"/>
      <w:r>
        <w:rPr>
          <w:rFonts w:asciiTheme="majorBidi" w:hAnsiTheme="majorBidi" w:cstheme="majorBidi"/>
          <w:bCs/>
          <w:lang w:val="de-DE"/>
        </w:rPr>
        <w:t xml:space="preserve"> </w:t>
      </w:r>
      <w:proofErr w:type="spellStart"/>
      <w:r>
        <w:rPr>
          <w:rFonts w:asciiTheme="majorBidi" w:hAnsiTheme="majorBidi" w:cstheme="majorBidi"/>
          <w:bCs/>
          <w:lang w:val="de-DE"/>
        </w:rPr>
        <w:t>puse</w:t>
      </w:r>
      <w:proofErr w:type="spellEnd"/>
      <w:r>
        <w:rPr>
          <w:rFonts w:asciiTheme="majorBidi" w:hAnsiTheme="majorBidi" w:cstheme="majorBidi"/>
          <w:bCs/>
          <w:lang w:val="de-DE"/>
        </w:rPr>
        <w:t>.</w:t>
      </w:r>
    </w:p>
    <w:p w14:paraId="03DB2B3A" w14:textId="77777777" w:rsidR="00114953" w:rsidRDefault="00114953" w:rsidP="00114953">
      <w:pPr>
        <w:jc w:val="both"/>
        <w:rPr>
          <w:rFonts w:asciiTheme="majorBidi" w:hAnsiTheme="majorBidi" w:cstheme="majorBidi"/>
          <w:bCs/>
          <w:lang w:val="de-DE"/>
        </w:rPr>
      </w:pPr>
    </w:p>
    <w:p w14:paraId="0A160905" w14:textId="77777777" w:rsidR="00114953" w:rsidRDefault="00114953" w:rsidP="00114953">
      <w:pPr>
        <w:jc w:val="both"/>
        <w:rPr>
          <w:rFonts w:asciiTheme="majorBidi" w:hAnsiTheme="majorBidi" w:cstheme="majorBidi"/>
          <w:bCs/>
          <w:lang w:val="de-DE"/>
        </w:rPr>
      </w:pPr>
      <w:r>
        <w:rPr>
          <w:rFonts w:asciiTheme="majorBidi" w:hAnsiTheme="majorBidi" w:cstheme="majorBidi"/>
          <w:bCs/>
          <w:lang w:val="de-DE"/>
        </w:rPr>
        <w:tab/>
      </w:r>
      <w:proofErr w:type="spellStart"/>
      <w:r>
        <w:rPr>
          <w:rFonts w:asciiTheme="majorBidi" w:hAnsiTheme="majorBidi" w:cstheme="majorBidi"/>
          <w:bCs/>
          <w:lang w:val="de-DE"/>
        </w:rPr>
        <w:t>Kā</w:t>
      </w:r>
      <w:proofErr w:type="spellEnd"/>
      <w:r>
        <w:rPr>
          <w:rFonts w:asciiTheme="majorBidi" w:hAnsiTheme="majorBidi" w:cstheme="majorBidi"/>
          <w:bCs/>
          <w:lang w:val="de-DE"/>
        </w:rPr>
        <w:t xml:space="preserve"> </w:t>
      </w:r>
      <w:proofErr w:type="spellStart"/>
      <w:r>
        <w:rPr>
          <w:rFonts w:asciiTheme="majorBidi" w:hAnsiTheme="majorBidi" w:cstheme="majorBidi"/>
          <w:bCs/>
          <w:lang w:val="de-DE"/>
        </w:rPr>
        <w:t>redzams</w:t>
      </w:r>
      <w:proofErr w:type="spellEnd"/>
      <w:r>
        <w:rPr>
          <w:rFonts w:asciiTheme="majorBidi" w:hAnsiTheme="majorBidi" w:cstheme="majorBidi"/>
          <w:bCs/>
          <w:lang w:val="de-DE"/>
        </w:rPr>
        <w:t xml:space="preserve">, </w:t>
      </w:r>
      <w:proofErr w:type="spellStart"/>
      <w:r>
        <w:rPr>
          <w:rFonts w:asciiTheme="majorBidi" w:hAnsiTheme="majorBidi" w:cstheme="majorBidi"/>
          <w:bCs/>
          <w:lang w:val="de-DE"/>
        </w:rPr>
        <w:t>publisko</w:t>
      </w:r>
      <w:proofErr w:type="spellEnd"/>
      <w:r>
        <w:rPr>
          <w:rFonts w:asciiTheme="majorBidi" w:hAnsiTheme="majorBidi" w:cstheme="majorBidi"/>
          <w:bCs/>
          <w:lang w:val="de-DE"/>
        </w:rPr>
        <w:t xml:space="preserve"> </w:t>
      </w:r>
      <w:proofErr w:type="spellStart"/>
      <w:r>
        <w:rPr>
          <w:rFonts w:asciiTheme="majorBidi" w:hAnsiTheme="majorBidi" w:cstheme="majorBidi"/>
          <w:bCs/>
          <w:lang w:val="de-DE"/>
        </w:rPr>
        <w:t>dokumentu</w:t>
      </w:r>
      <w:proofErr w:type="spellEnd"/>
      <w:r>
        <w:rPr>
          <w:rFonts w:asciiTheme="majorBidi" w:hAnsiTheme="majorBidi" w:cstheme="majorBidi"/>
          <w:bCs/>
          <w:lang w:val="de-DE"/>
        </w:rPr>
        <w:t xml:space="preserve"> </w:t>
      </w:r>
      <w:proofErr w:type="spellStart"/>
      <w:r>
        <w:rPr>
          <w:rFonts w:asciiTheme="majorBidi" w:hAnsiTheme="majorBidi" w:cstheme="majorBidi"/>
          <w:bCs/>
          <w:lang w:val="de-DE"/>
        </w:rPr>
        <w:t>tvērums</w:t>
      </w:r>
      <w:proofErr w:type="spellEnd"/>
      <w:r>
        <w:rPr>
          <w:rFonts w:asciiTheme="majorBidi" w:hAnsiTheme="majorBidi" w:cstheme="majorBidi"/>
          <w:bCs/>
          <w:lang w:val="de-DE"/>
        </w:rPr>
        <w:t xml:space="preserve"> </w:t>
      </w:r>
      <w:proofErr w:type="spellStart"/>
      <w:r>
        <w:rPr>
          <w:rFonts w:asciiTheme="majorBidi" w:hAnsiTheme="majorBidi" w:cstheme="majorBidi"/>
          <w:bCs/>
          <w:lang w:val="de-DE"/>
        </w:rPr>
        <w:t>šajā</w:t>
      </w:r>
      <w:proofErr w:type="spellEnd"/>
      <w:r>
        <w:rPr>
          <w:rFonts w:asciiTheme="majorBidi" w:hAnsiTheme="majorBidi" w:cstheme="majorBidi"/>
          <w:bCs/>
          <w:lang w:val="de-DE"/>
        </w:rPr>
        <w:t xml:space="preserve"> </w:t>
      </w:r>
      <w:proofErr w:type="spellStart"/>
      <w:r>
        <w:rPr>
          <w:rFonts w:asciiTheme="majorBidi" w:hAnsiTheme="majorBidi" w:cstheme="majorBidi"/>
          <w:bCs/>
          <w:lang w:val="de-DE"/>
        </w:rPr>
        <w:t>Konvencijā</w:t>
      </w:r>
      <w:proofErr w:type="spellEnd"/>
      <w:r>
        <w:rPr>
          <w:rFonts w:asciiTheme="majorBidi" w:hAnsiTheme="majorBidi" w:cstheme="majorBidi"/>
          <w:bCs/>
          <w:lang w:val="de-DE"/>
        </w:rPr>
        <w:t xml:space="preserve"> </w:t>
      </w:r>
      <w:proofErr w:type="spellStart"/>
      <w:r>
        <w:rPr>
          <w:rFonts w:asciiTheme="majorBidi" w:hAnsiTheme="majorBidi" w:cstheme="majorBidi"/>
          <w:bCs/>
          <w:lang w:val="de-DE"/>
        </w:rPr>
        <w:t>ir</w:t>
      </w:r>
      <w:proofErr w:type="spellEnd"/>
      <w:r>
        <w:rPr>
          <w:rFonts w:asciiTheme="majorBidi" w:hAnsiTheme="majorBidi" w:cstheme="majorBidi"/>
          <w:bCs/>
          <w:lang w:val="de-DE"/>
        </w:rPr>
        <w:t xml:space="preserve"> </w:t>
      </w:r>
      <w:proofErr w:type="spellStart"/>
      <w:r>
        <w:rPr>
          <w:rFonts w:asciiTheme="majorBidi" w:hAnsiTheme="majorBidi" w:cstheme="majorBidi"/>
          <w:bCs/>
          <w:lang w:val="de-DE"/>
        </w:rPr>
        <w:t>jau</w:t>
      </w:r>
      <w:proofErr w:type="spellEnd"/>
      <w:r>
        <w:rPr>
          <w:rFonts w:asciiTheme="majorBidi" w:hAnsiTheme="majorBidi" w:cstheme="majorBidi"/>
          <w:bCs/>
          <w:lang w:val="de-DE"/>
        </w:rPr>
        <w:t xml:space="preserve"> </w:t>
      </w:r>
      <w:proofErr w:type="spellStart"/>
      <w:r>
        <w:rPr>
          <w:rFonts w:asciiTheme="majorBidi" w:hAnsiTheme="majorBidi" w:cstheme="majorBidi"/>
          <w:bCs/>
          <w:lang w:val="de-DE"/>
        </w:rPr>
        <w:t>plašāks</w:t>
      </w:r>
      <w:proofErr w:type="spellEnd"/>
      <w:r>
        <w:rPr>
          <w:rFonts w:asciiTheme="majorBidi" w:hAnsiTheme="majorBidi" w:cstheme="majorBidi"/>
          <w:bCs/>
          <w:lang w:val="de-DE"/>
        </w:rPr>
        <w:t xml:space="preserve">, </w:t>
      </w:r>
      <w:proofErr w:type="spellStart"/>
      <w:r>
        <w:rPr>
          <w:rFonts w:asciiTheme="majorBidi" w:hAnsiTheme="majorBidi" w:cstheme="majorBidi"/>
          <w:bCs/>
          <w:lang w:val="de-DE"/>
        </w:rPr>
        <w:t>nekā</w:t>
      </w:r>
      <w:proofErr w:type="spellEnd"/>
      <w:r>
        <w:rPr>
          <w:rFonts w:asciiTheme="majorBidi" w:hAnsiTheme="majorBidi" w:cstheme="majorBidi"/>
          <w:bCs/>
          <w:lang w:val="de-DE"/>
        </w:rPr>
        <w:t xml:space="preserve"> </w:t>
      </w:r>
      <w:proofErr w:type="spellStart"/>
      <w:r>
        <w:rPr>
          <w:rFonts w:asciiTheme="majorBidi" w:hAnsiTheme="majorBidi" w:cstheme="majorBidi"/>
          <w:bCs/>
          <w:lang w:val="de-DE"/>
        </w:rPr>
        <w:t>Hāgas</w:t>
      </w:r>
      <w:proofErr w:type="spellEnd"/>
      <w:r>
        <w:rPr>
          <w:rFonts w:asciiTheme="majorBidi" w:hAnsiTheme="majorBidi" w:cstheme="majorBidi"/>
          <w:bCs/>
          <w:lang w:val="de-DE"/>
        </w:rPr>
        <w:t xml:space="preserve"> </w:t>
      </w:r>
      <w:proofErr w:type="spellStart"/>
      <w:r>
        <w:rPr>
          <w:rFonts w:asciiTheme="majorBidi" w:hAnsiTheme="majorBidi" w:cstheme="majorBidi"/>
          <w:bCs/>
          <w:lang w:val="de-DE"/>
        </w:rPr>
        <w:t>Dokumentu</w:t>
      </w:r>
      <w:proofErr w:type="spellEnd"/>
      <w:r>
        <w:rPr>
          <w:rFonts w:asciiTheme="majorBidi" w:hAnsiTheme="majorBidi" w:cstheme="majorBidi"/>
          <w:bCs/>
          <w:lang w:val="de-DE"/>
        </w:rPr>
        <w:t xml:space="preserve"> </w:t>
      </w:r>
      <w:proofErr w:type="spellStart"/>
      <w:r>
        <w:rPr>
          <w:rFonts w:asciiTheme="majorBidi" w:hAnsiTheme="majorBidi" w:cstheme="majorBidi"/>
          <w:bCs/>
          <w:lang w:val="de-DE"/>
        </w:rPr>
        <w:t>legalizācijas</w:t>
      </w:r>
      <w:proofErr w:type="spellEnd"/>
      <w:r>
        <w:rPr>
          <w:rFonts w:asciiTheme="majorBidi" w:hAnsiTheme="majorBidi" w:cstheme="majorBidi"/>
          <w:bCs/>
          <w:lang w:val="de-DE"/>
        </w:rPr>
        <w:t xml:space="preserve"> </w:t>
      </w:r>
      <w:proofErr w:type="spellStart"/>
      <w:r>
        <w:rPr>
          <w:rFonts w:asciiTheme="majorBidi" w:hAnsiTheme="majorBidi" w:cstheme="majorBidi"/>
          <w:bCs/>
          <w:lang w:val="de-DE"/>
        </w:rPr>
        <w:t>atcelšanas</w:t>
      </w:r>
      <w:proofErr w:type="spellEnd"/>
      <w:r>
        <w:rPr>
          <w:rFonts w:asciiTheme="majorBidi" w:hAnsiTheme="majorBidi" w:cstheme="majorBidi"/>
          <w:bCs/>
          <w:lang w:val="de-DE"/>
        </w:rPr>
        <w:t xml:space="preserve"> </w:t>
      </w:r>
      <w:proofErr w:type="spellStart"/>
      <w:r>
        <w:rPr>
          <w:rFonts w:asciiTheme="majorBidi" w:hAnsiTheme="majorBidi" w:cstheme="majorBidi"/>
          <w:bCs/>
          <w:lang w:val="de-DE"/>
        </w:rPr>
        <w:t>konvencijā</w:t>
      </w:r>
      <w:proofErr w:type="spellEnd"/>
      <w:r>
        <w:rPr>
          <w:rFonts w:asciiTheme="majorBidi" w:hAnsiTheme="majorBidi" w:cstheme="majorBidi"/>
          <w:bCs/>
          <w:lang w:val="de-DE"/>
        </w:rPr>
        <w:t xml:space="preserve"> </w:t>
      </w:r>
      <w:proofErr w:type="spellStart"/>
      <w:r>
        <w:rPr>
          <w:rFonts w:asciiTheme="majorBidi" w:hAnsiTheme="majorBidi" w:cstheme="majorBidi"/>
          <w:bCs/>
          <w:lang w:val="de-DE"/>
        </w:rPr>
        <w:t>un</w:t>
      </w:r>
      <w:proofErr w:type="spellEnd"/>
      <w:r>
        <w:rPr>
          <w:rFonts w:asciiTheme="majorBidi" w:hAnsiTheme="majorBidi" w:cstheme="majorBidi"/>
          <w:bCs/>
          <w:lang w:val="de-DE"/>
        </w:rPr>
        <w:t xml:space="preserve"> </w:t>
      </w:r>
      <w:proofErr w:type="spellStart"/>
      <w:r>
        <w:rPr>
          <w:rFonts w:asciiTheme="majorBidi" w:hAnsiTheme="majorBidi" w:cstheme="majorBidi"/>
          <w:bCs/>
          <w:lang w:val="de-DE"/>
        </w:rPr>
        <w:t>Dokumentu</w:t>
      </w:r>
      <w:proofErr w:type="spellEnd"/>
      <w:r>
        <w:rPr>
          <w:rFonts w:asciiTheme="majorBidi" w:hAnsiTheme="majorBidi" w:cstheme="majorBidi"/>
          <w:bCs/>
          <w:lang w:val="de-DE"/>
        </w:rPr>
        <w:t xml:space="preserve"> </w:t>
      </w:r>
      <w:proofErr w:type="spellStart"/>
      <w:r>
        <w:rPr>
          <w:rFonts w:asciiTheme="majorBidi" w:hAnsiTheme="majorBidi" w:cstheme="majorBidi"/>
          <w:bCs/>
          <w:lang w:val="de-DE"/>
        </w:rPr>
        <w:t>legalizācijas</w:t>
      </w:r>
      <w:proofErr w:type="spellEnd"/>
      <w:r>
        <w:rPr>
          <w:rFonts w:asciiTheme="majorBidi" w:hAnsiTheme="majorBidi" w:cstheme="majorBidi"/>
          <w:bCs/>
          <w:lang w:val="de-DE"/>
        </w:rPr>
        <w:t xml:space="preserve"> </w:t>
      </w:r>
      <w:proofErr w:type="spellStart"/>
      <w:r>
        <w:rPr>
          <w:rFonts w:asciiTheme="majorBidi" w:hAnsiTheme="majorBidi" w:cstheme="majorBidi"/>
          <w:bCs/>
          <w:lang w:val="de-DE"/>
        </w:rPr>
        <w:t>likumā</w:t>
      </w:r>
      <w:proofErr w:type="spellEnd"/>
      <w:r>
        <w:rPr>
          <w:rFonts w:asciiTheme="majorBidi" w:hAnsiTheme="majorBidi" w:cstheme="majorBidi"/>
          <w:bCs/>
          <w:lang w:val="de-DE"/>
        </w:rPr>
        <w:t xml:space="preserve">, </w:t>
      </w:r>
      <w:proofErr w:type="spellStart"/>
      <w:r>
        <w:rPr>
          <w:rFonts w:asciiTheme="majorBidi" w:hAnsiTheme="majorBidi" w:cstheme="majorBidi"/>
          <w:bCs/>
          <w:lang w:val="de-DE"/>
        </w:rPr>
        <w:t>jo</w:t>
      </w:r>
      <w:proofErr w:type="spellEnd"/>
      <w:r>
        <w:rPr>
          <w:rFonts w:asciiTheme="majorBidi" w:hAnsiTheme="majorBidi" w:cstheme="majorBidi"/>
          <w:bCs/>
          <w:lang w:val="de-DE"/>
        </w:rPr>
        <w:t xml:space="preserve"> par </w:t>
      </w:r>
      <w:proofErr w:type="spellStart"/>
      <w:r>
        <w:rPr>
          <w:rFonts w:asciiTheme="majorBidi" w:hAnsiTheme="majorBidi" w:cstheme="majorBidi"/>
          <w:bCs/>
          <w:lang w:val="de-DE"/>
        </w:rPr>
        <w:t>publiskiem</w:t>
      </w:r>
      <w:proofErr w:type="spellEnd"/>
      <w:r>
        <w:rPr>
          <w:rFonts w:asciiTheme="majorBidi" w:hAnsiTheme="majorBidi" w:cstheme="majorBidi"/>
          <w:bCs/>
          <w:lang w:val="de-DE"/>
        </w:rPr>
        <w:t xml:space="preserve"> </w:t>
      </w:r>
      <w:proofErr w:type="spellStart"/>
      <w:r>
        <w:rPr>
          <w:rFonts w:asciiTheme="majorBidi" w:hAnsiTheme="majorBidi" w:cstheme="majorBidi"/>
          <w:bCs/>
          <w:lang w:val="de-DE"/>
        </w:rPr>
        <w:t>dokumentiem</w:t>
      </w:r>
      <w:proofErr w:type="spellEnd"/>
      <w:r>
        <w:rPr>
          <w:rFonts w:asciiTheme="majorBidi" w:hAnsiTheme="majorBidi" w:cstheme="majorBidi"/>
          <w:bCs/>
          <w:lang w:val="de-DE"/>
        </w:rPr>
        <w:t xml:space="preserve"> </w:t>
      </w:r>
      <w:proofErr w:type="spellStart"/>
      <w:r>
        <w:rPr>
          <w:rFonts w:asciiTheme="majorBidi" w:hAnsiTheme="majorBidi" w:cstheme="majorBidi"/>
          <w:bCs/>
          <w:lang w:val="de-DE"/>
        </w:rPr>
        <w:t>tiek</w:t>
      </w:r>
      <w:proofErr w:type="spellEnd"/>
      <w:r>
        <w:rPr>
          <w:rFonts w:asciiTheme="majorBidi" w:hAnsiTheme="majorBidi" w:cstheme="majorBidi"/>
          <w:bCs/>
          <w:lang w:val="de-DE"/>
        </w:rPr>
        <w:t xml:space="preserve"> </w:t>
      </w:r>
      <w:proofErr w:type="spellStart"/>
      <w:r>
        <w:rPr>
          <w:rFonts w:asciiTheme="majorBidi" w:hAnsiTheme="majorBidi" w:cstheme="majorBidi"/>
          <w:bCs/>
          <w:lang w:val="de-DE"/>
        </w:rPr>
        <w:t>uzskatīti</w:t>
      </w:r>
      <w:proofErr w:type="spellEnd"/>
      <w:r>
        <w:rPr>
          <w:rFonts w:asciiTheme="majorBidi" w:hAnsiTheme="majorBidi" w:cstheme="majorBidi"/>
          <w:bCs/>
          <w:lang w:val="de-DE"/>
        </w:rPr>
        <w:t xml:space="preserve"> </w:t>
      </w:r>
      <w:proofErr w:type="spellStart"/>
      <w:r>
        <w:rPr>
          <w:rFonts w:asciiTheme="majorBidi" w:hAnsiTheme="majorBidi" w:cstheme="majorBidi"/>
          <w:bCs/>
          <w:lang w:val="de-DE"/>
        </w:rPr>
        <w:t>arī</w:t>
      </w:r>
      <w:proofErr w:type="spellEnd"/>
      <w:r>
        <w:rPr>
          <w:rFonts w:asciiTheme="majorBidi" w:hAnsiTheme="majorBidi" w:cstheme="majorBidi"/>
          <w:bCs/>
          <w:lang w:val="de-DE"/>
        </w:rPr>
        <w:t xml:space="preserve"> </w:t>
      </w:r>
      <w:proofErr w:type="spellStart"/>
      <w:r>
        <w:rPr>
          <w:rFonts w:asciiTheme="majorBidi" w:hAnsiTheme="majorBidi" w:cstheme="majorBidi"/>
          <w:bCs/>
          <w:lang w:val="de-DE"/>
        </w:rPr>
        <w:t>dokumenti</w:t>
      </w:r>
      <w:proofErr w:type="spellEnd"/>
      <w:r>
        <w:rPr>
          <w:rFonts w:asciiTheme="majorBidi" w:hAnsiTheme="majorBidi" w:cstheme="majorBidi"/>
          <w:bCs/>
          <w:lang w:val="de-DE"/>
        </w:rPr>
        <w:t xml:space="preserve">, </w:t>
      </w:r>
      <w:proofErr w:type="spellStart"/>
      <w:r>
        <w:rPr>
          <w:rFonts w:asciiTheme="majorBidi" w:hAnsiTheme="majorBidi" w:cstheme="majorBidi"/>
          <w:bCs/>
          <w:lang w:val="de-DE"/>
        </w:rPr>
        <w:t>ko</w:t>
      </w:r>
      <w:proofErr w:type="spellEnd"/>
      <w:r>
        <w:rPr>
          <w:rFonts w:asciiTheme="majorBidi" w:hAnsiTheme="majorBidi" w:cstheme="majorBidi"/>
          <w:bCs/>
          <w:lang w:val="de-DE"/>
        </w:rPr>
        <w:t xml:space="preserve"> </w:t>
      </w:r>
      <w:proofErr w:type="spellStart"/>
      <w:r>
        <w:rPr>
          <w:rFonts w:asciiTheme="majorBidi" w:hAnsiTheme="majorBidi" w:cstheme="majorBidi"/>
          <w:bCs/>
          <w:lang w:val="de-DE"/>
        </w:rPr>
        <w:t>atbilstīgi</w:t>
      </w:r>
      <w:proofErr w:type="spellEnd"/>
      <w:r>
        <w:rPr>
          <w:rFonts w:asciiTheme="majorBidi" w:hAnsiTheme="majorBidi" w:cstheme="majorBidi"/>
          <w:bCs/>
          <w:lang w:val="de-DE"/>
        </w:rPr>
        <w:t xml:space="preserve"> </w:t>
      </w:r>
      <w:proofErr w:type="spellStart"/>
      <w:r>
        <w:rPr>
          <w:rFonts w:asciiTheme="majorBidi" w:hAnsiTheme="majorBidi" w:cstheme="majorBidi"/>
          <w:bCs/>
          <w:lang w:val="de-DE"/>
        </w:rPr>
        <w:t>savai</w:t>
      </w:r>
      <w:proofErr w:type="spellEnd"/>
      <w:r>
        <w:rPr>
          <w:rFonts w:asciiTheme="majorBidi" w:hAnsiTheme="majorBidi" w:cstheme="majorBidi"/>
          <w:bCs/>
          <w:lang w:val="de-DE"/>
        </w:rPr>
        <w:t xml:space="preserve"> </w:t>
      </w:r>
      <w:proofErr w:type="spellStart"/>
      <w:r>
        <w:rPr>
          <w:rFonts w:asciiTheme="majorBidi" w:hAnsiTheme="majorBidi" w:cstheme="majorBidi"/>
          <w:bCs/>
          <w:lang w:val="de-DE"/>
        </w:rPr>
        <w:t>kompetencei</w:t>
      </w:r>
      <w:proofErr w:type="spellEnd"/>
      <w:r>
        <w:rPr>
          <w:rFonts w:asciiTheme="majorBidi" w:hAnsiTheme="majorBidi" w:cstheme="majorBidi"/>
          <w:bCs/>
          <w:lang w:val="de-DE"/>
        </w:rPr>
        <w:t xml:space="preserve"> </w:t>
      </w:r>
      <w:proofErr w:type="spellStart"/>
      <w:r>
        <w:rPr>
          <w:rFonts w:asciiTheme="majorBidi" w:hAnsiTheme="majorBidi" w:cstheme="majorBidi"/>
          <w:bCs/>
          <w:lang w:val="de-DE"/>
        </w:rPr>
        <w:t>sagatavo</w:t>
      </w:r>
      <w:proofErr w:type="spellEnd"/>
      <w:r>
        <w:rPr>
          <w:rFonts w:asciiTheme="majorBidi" w:hAnsiTheme="majorBidi" w:cstheme="majorBidi"/>
          <w:bCs/>
          <w:lang w:val="de-DE"/>
        </w:rPr>
        <w:t xml:space="preserve"> </w:t>
      </w:r>
      <w:proofErr w:type="spellStart"/>
      <w:r>
        <w:rPr>
          <w:rFonts w:asciiTheme="majorBidi" w:hAnsiTheme="majorBidi" w:cstheme="majorBidi"/>
          <w:bCs/>
          <w:lang w:val="de-DE"/>
        </w:rPr>
        <w:t>līgumslēdzējas</w:t>
      </w:r>
      <w:proofErr w:type="spellEnd"/>
      <w:r>
        <w:rPr>
          <w:rFonts w:asciiTheme="majorBidi" w:hAnsiTheme="majorBidi" w:cstheme="majorBidi"/>
          <w:bCs/>
          <w:lang w:val="de-DE"/>
        </w:rPr>
        <w:t xml:space="preserve"> </w:t>
      </w:r>
      <w:proofErr w:type="spellStart"/>
      <w:r>
        <w:rPr>
          <w:rFonts w:asciiTheme="majorBidi" w:hAnsiTheme="majorBidi" w:cstheme="majorBidi"/>
          <w:bCs/>
          <w:lang w:val="de-DE"/>
        </w:rPr>
        <w:t>valsts</w:t>
      </w:r>
      <w:proofErr w:type="spellEnd"/>
      <w:r>
        <w:rPr>
          <w:rFonts w:asciiTheme="majorBidi" w:hAnsiTheme="majorBidi" w:cstheme="majorBidi"/>
          <w:bCs/>
          <w:lang w:val="de-DE"/>
        </w:rPr>
        <w:t xml:space="preserve"> </w:t>
      </w:r>
      <w:proofErr w:type="spellStart"/>
      <w:r>
        <w:rPr>
          <w:rFonts w:asciiTheme="majorBidi" w:hAnsiTheme="majorBidi" w:cstheme="majorBidi"/>
          <w:bCs/>
          <w:lang w:val="de-DE"/>
        </w:rPr>
        <w:t>diplomātiskie</w:t>
      </w:r>
      <w:proofErr w:type="spellEnd"/>
      <w:r>
        <w:rPr>
          <w:rFonts w:asciiTheme="majorBidi" w:hAnsiTheme="majorBidi" w:cstheme="majorBidi"/>
          <w:bCs/>
          <w:lang w:val="de-DE"/>
        </w:rPr>
        <w:t xml:space="preserve"> </w:t>
      </w:r>
      <w:proofErr w:type="spellStart"/>
      <w:r>
        <w:rPr>
          <w:rFonts w:asciiTheme="majorBidi" w:hAnsiTheme="majorBidi" w:cstheme="majorBidi"/>
          <w:bCs/>
          <w:lang w:val="de-DE"/>
        </w:rPr>
        <w:t>vai</w:t>
      </w:r>
      <w:proofErr w:type="spellEnd"/>
      <w:r>
        <w:rPr>
          <w:rFonts w:asciiTheme="majorBidi" w:hAnsiTheme="majorBidi" w:cstheme="majorBidi"/>
          <w:bCs/>
          <w:lang w:val="de-DE"/>
        </w:rPr>
        <w:t xml:space="preserve"> </w:t>
      </w:r>
      <w:proofErr w:type="spellStart"/>
      <w:r>
        <w:rPr>
          <w:rFonts w:asciiTheme="majorBidi" w:hAnsiTheme="majorBidi" w:cstheme="majorBidi"/>
          <w:bCs/>
          <w:lang w:val="de-DE"/>
        </w:rPr>
        <w:t>konsulārie</w:t>
      </w:r>
      <w:proofErr w:type="spellEnd"/>
      <w:r>
        <w:rPr>
          <w:rFonts w:asciiTheme="majorBidi" w:hAnsiTheme="majorBidi" w:cstheme="majorBidi"/>
          <w:bCs/>
          <w:lang w:val="de-DE"/>
        </w:rPr>
        <w:t xml:space="preserve"> </w:t>
      </w:r>
      <w:proofErr w:type="spellStart"/>
      <w:r>
        <w:rPr>
          <w:rFonts w:asciiTheme="majorBidi" w:hAnsiTheme="majorBidi" w:cstheme="majorBidi"/>
          <w:bCs/>
          <w:lang w:val="de-DE"/>
        </w:rPr>
        <w:t>pārstāvji</w:t>
      </w:r>
      <w:proofErr w:type="spellEnd"/>
      <w:r>
        <w:rPr>
          <w:rFonts w:asciiTheme="majorBidi" w:hAnsiTheme="majorBidi" w:cstheme="majorBidi"/>
          <w:bCs/>
          <w:lang w:val="de-DE"/>
        </w:rPr>
        <w:t>.</w:t>
      </w:r>
    </w:p>
    <w:p w14:paraId="0A64BA18" w14:textId="77777777" w:rsidR="00114953" w:rsidRPr="000C7C76" w:rsidRDefault="00114953" w:rsidP="00114953">
      <w:pPr>
        <w:jc w:val="both"/>
        <w:rPr>
          <w:rFonts w:asciiTheme="majorBidi" w:hAnsiTheme="majorBidi" w:cstheme="majorBidi"/>
          <w:bCs/>
          <w:lang w:val="de-DE"/>
        </w:rPr>
      </w:pPr>
      <w:r>
        <w:rPr>
          <w:rFonts w:asciiTheme="majorBidi" w:hAnsiTheme="majorBidi" w:cstheme="majorBidi"/>
          <w:bCs/>
          <w:lang w:val="de-DE"/>
        </w:rPr>
        <w:tab/>
      </w:r>
      <w:proofErr w:type="spellStart"/>
      <w:r>
        <w:rPr>
          <w:rFonts w:asciiTheme="majorBidi" w:hAnsiTheme="majorBidi" w:cstheme="majorBidi"/>
          <w:bCs/>
          <w:lang w:val="de-DE"/>
        </w:rPr>
        <w:t>No</w:t>
      </w:r>
      <w:proofErr w:type="spellEnd"/>
      <w:r>
        <w:rPr>
          <w:rFonts w:asciiTheme="majorBidi" w:hAnsiTheme="majorBidi" w:cstheme="majorBidi"/>
          <w:bCs/>
          <w:lang w:val="de-DE"/>
        </w:rPr>
        <w:t xml:space="preserve"> </w:t>
      </w:r>
      <w:proofErr w:type="spellStart"/>
      <w:r>
        <w:rPr>
          <w:rFonts w:asciiTheme="majorBidi" w:hAnsiTheme="majorBidi" w:cstheme="majorBidi"/>
          <w:bCs/>
          <w:lang w:val="de-DE"/>
        </w:rPr>
        <w:t>Dokumentu</w:t>
      </w:r>
      <w:proofErr w:type="spellEnd"/>
      <w:r>
        <w:rPr>
          <w:rFonts w:asciiTheme="majorBidi" w:hAnsiTheme="majorBidi" w:cstheme="majorBidi"/>
          <w:bCs/>
          <w:lang w:val="de-DE"/>
        </w:rPr>
        <w:t xml:space="preserve"> </w:t>
      </w:r>
      <w:proofErr w:type="spellStart"/>
      <w:r>
        <w:rPr>
          <w:rFonts w:asciiTheme="majorBidi" w:hAnsiTheme="majorBidi" w:cstheme="majorBidi"/>
          <w:bCs/>
          <w:lang w:val="de-DE"/>
        </w:rPr>
        <w:t>legalizācijas</w:t>
      </w:r>
      <w:proofErr w:type="spellEnd"/>
      <w:r>
        <w:rPr>
          <w:rFonts w:asciiTheme="majorBidi" w:hAnsiTheme="majorBidi" w:cstheme="majorBidi"/>
          <w:bCs/>
          <w:lang w:val="de-DE"/>
        </w:rPr>
        <w:t xml:space="preserve"> </w:t>
      </w:r>
      <w:proofErr w:type="spellStart"/>
      <w:r>
        <w:rPr>
          <w:rFonts w:asciiTheme="majorBidi" w:hAnsiTheme="majorBidi" w:cstheme="majorBidi"/>
          <w:bCs/>
          <w:lang w:val="de-DE"/>
        </w:rPr>
        <w:t>likuma</w:t>
      </w:r>
      <w:proofErr w:type="spellEnd"/>
      <w:r>
        <w:rPr>
          <w:rFonts w:asciiTheme="majorBidi" w:hAnsiTheme="majorBidi" w:cstheme="majorBidi"/>
          <w:bCs/>
          <w:lang w:val="de-DE"/>
        </w:rPr>
        <w:t xml:space="preserve"> 3.panta </w:t>
      </w:r>
      <w:proofErr w:type="spellStart"/>
      <w:r>
        <w:rPr>
          <w:rFonts w:asciiTheme="majorBidi" w:hAnsiTheme="majorBidi" w:cstheme="majorBidi"/>
          <w:bCs/>
          <w:lang w:val="de-DE"/>
        </w:rPr>
        <w:t>otrās</w:t>
      </w:r>
      <w:proofErr w:type="spellEnd"/>
      <w:r>
        <w:rPr>
          <w:rFonts w:asciiTheme="majorBidi" w:hAnsiTheme="majorBidi" w:cstheme="majorBidi"/>
          <w:bCs/>
          <w:lang w:val="de-DE"/>
        </w:rPr>
        <w:t xml:space="preserve"> </w:t>
      </w:r>
      <w:proofErr w:type="spellStart"/>
      <w:r>
        <w:rPr>
          <w:rFonts w:asciiTheme="majorBidi" w:hAnsiTheme="majorBidi" w:cstheme="majorBidi"/>
          <w:bCs/>
          <w:lang w:val="de-DE"/>
        </w:rPr>
        <w:t>daļas</w:t>
      </w:r>
      <w:proofErr w:type="spellEnd"/>
      <w:r>
        <w:rPr>
          <w:rFonts w:asciiTheme="majorBidi" w:hAnsiTheme="majorBidi" w:cstheme="majorBidi"/>
          <w:bCs/>
          <w:lang w:val="de-DE"/>
        </w:rPr>
        <w:t xml:space="preserve"> </w:t>
      </w:r>
      <w:proofErr w:type="spellStart"/>
      <w:r>
        <w:rPr>
          <w:rFonts w:asciiTheme="majorBidi" w:hAnsiTheme="majorBidi" w:cstheme="majorBidi"/>
          <w:bCs/>
          <w:lang w:val="de-DE"/>
        </w:rPr>
        <w:t>izriet</w:t>
      </w:r>
      <w:proofErr w:type="spellEnd"/>
      <w:r>
        <w:rPr>
          <w:rFonts w:asciiTheme="majorBidi" w:hAnsiTheme="majorBidi" w:cstheme="majorBidi"/>
          <w:bCs/>
          <w:lang w:val="de-DE"/>
        </w:rPr>
        <w:t xml:space="preserve">, </w:t>
      </w:r>
      <w:proofErr w:type="spellStart"/>
      <w:r>
        <w:rPr>
          <w:rFonts w:asciiTheme="majorBidi" w:hAnsiTheme="majorBidi" w:cstheme="majorBidi"/>
          <w:bCs/>
          <w:lang w:val="de-DE"/>
        </w:rPr>
        <w:t>ka</w:t>
      </w:r>
      <w:proofErr w:type="spellEnd"/>
      <w:r>
        <w:rPr>
          <w:rFonts w:asciiTheme="majorBidi" w:hAnsiTheme="majorBidi" w:cstheme="majorBidi"/>
          <w:bCs/>
          <w:lang w:val="de-DE"/>
        </w:rPr>
        <w:t xml:space="preserve">, ja </w:t>
      </w:r>
      <w:proofErr w:type="spellStart"/>
      <w:r>
        <w:rPr>
          <w:rFonts w:asciiTheme="majorBidi" w:hAnsiTheme="majorBidi" w:cstheme="majorBidi"/>
          <w:bCs/>
          <w:lang w:val="de-DE"/>
        </w:rPr>
        <w:t>Latvijā</w:t>
      </w:r>
      <w:proofErr w:type="spellEnd"/>
      <w:r>
        <w:rPr>
          <w:rFonts w:asciiTheme="majorBidi" w:hAnsiTheme="majorBidi" w:cstheme="majorBidi"/>
          <w:bCs/>
          <w:lang w:val="de-DE"/>
        </w:rPr>
        <w:t xml:space="preserve"> </w:t>
      </w:r>
      <w:proofErr w:type="spellStart"/>
      <w:r>
        <w:rPr>
          <w:rFonts w:asciiTheme="majorBidi" w:hAnsiTheme="majorBidi" w:cstheme="majorBidi"/>
          <w:bCs/>
          <w:lang w:val="de-DE"/>
        </w:rPr>
        <w:t>izmantošanai</w:t>
      </w:r>
      <w:proofErr w:type="spellEnd"/>
      <w:r>
        <w:rPr>
          <w:rFonts w:asciiTheme="majorBidi" w:hAnsiTheme="majorBidi" w:cstheme="majorBidi"/>
          <w:bCs/>
          <w:lang w:val="de-DE"/>
        </w:rPr>
        <w:t xml:space="preserve"> </w:t>
      </w:r>
      <w:proofErr w:type="spellStart"/>
      <w:r>
        <w:rPr>
          <w:rFonts w:asciiTheme="majorBidi" w:hAnsiTheme="majorBidi" w:cstheme="majorBidi"/>
          <w:bCs/>
          <w:lang w:val="de-DE"/>
        </w:rPr>
        <w:t>tiek</w:t>
      </w:r>
      <w:proofErr w:type="spellEnd"/>
      <w:r>
        <w:rPr>
          <w:rFonts w:asciiTheme="majorBidi" w:hAnsiTheme="majorBidi" w:cstheme="majorBidi"/>
          <w:bCs/>
          <w:lang w:val="de-DE"/>
        </w:rPr>
        <w:t xml:space="preserve"> </w:t>
      </w:r>
      <w:proofErr w:type="spellStart"/>
      <w:r>
        <w:rPr>
          <w:rFonts w:asciiTheme="majorBidi" w:hAnsiTheme="majorBidi" w:cstheme="majorBidi"/>
          <w:bCs/>
          <w:lang w:val="de-DE"/>
        </w:rPr>
        <w:t>iesniegts</w:t>
      </w:r>
      <w:proofErr w:type="spellEnd"/>
      <w:r>
        <w:rPr>
          <w:rFonts w:asciiTheme="majorBidi" w:hAnsiTheme="majorBidi" w:cstheme="majorBidi"/>
          <w:bCs/>
          <w:lang w:val="de-DE"/>
        </w:rPr>
        <w:t xml:space="preserve"> </w:t>
      </w:r>
      <w:proofErr w:type="spellStart"/>
      <w:r w:rsidRPr="000C7C76">
        <w:rPr>
          <w:rFonts w:asciiTheme="majorBidi" w:hAnsiTheme="majorBidi" w:cstheme="majorBidi"/>
          <w:bCs/>
          <w:lang w:val="de-DE"/>
        </w:rPr>
        <w:t>Eiropas</w:t>
      </w:r>
      <w:proofErr w:type="spellEnd"/>
      <w:r w:rsidRPr="000C7C76">
        <w:rPr>
          <w:rFonts w:asciiTheme="majorBidi" w:hAnsiTheme="majorBidi" w:cstheme="majorBidi"/>
          <w:bCs/>
          <w:lang w:val="de-DE"/>
        </w:rPr>
        <w:t xml:space="preserve"> </w:t>
      </w:r>
      <w:proofErr w:type="spellStart"/>
      <w:r w:rsidRPr="000C7C76">
        <w:rPr>
          <w:rFonts w:asciiTheme="majorBidi" w:hAnsiTheme="majorBidi" w:cstheme="majorBidi"/>
          <w:bCs/>
          <w:lang w:val="de-DE"/>
        </w:rPr>
        <w:t>Savienībā</w:t>
      </w:r>
      <w:proofErr w:type="spellEnd"/>
      <w:r w:rsidRPr="000C7C76">
        <w:rPr>
          <w:rFonts w:asciiTheme="majorBidi" w:hAnsiTheme="majorBidi" w:cstheme="majorBidi"/>
          <w:bCs/>
          <w:lang w:val="de-DE"/>
        </w:rPr>
        <w:t xml:space="preserve">, </w:t>
      </w:r>
      <w:proofErr w:type="spellStart"/>
      <w:r>
        <w:rPr>
          <w:rFonts w:asciiTheme="majorBidi" w:hAnsiTheme="majorBidi" w:cstheme="majorBidi"/>
          <w:bCs/>
          <w:lang w:val="de-DE"/>
        </w:rPr>
        <w:t>Eiropas</w:t>
      </w:r>
      <w:proofErr w:type="spellEnd"/>
      <w:r>
        <w:rPr>
          <w:rFonts w:asciiTheme="majorBidi" w:hAnsiTheme="majorBidi" w:cstheme="majorBidi"/>
          <w:bCs/>
          <w:lang w:val="de-DE"/>
        </w:rPr>
        <w:t xml:space="preserve"> </w:t>
      </w:r>
      <w:proofErr w:type="spellStart"/>
      <w:r>
        <w:rPr>
          <w:rFonts w:asciiTheme="majorBidi" w:hAnsiTheme="majorBidi" w:cstheme="majorBidi"/>
          <w:bCs/>
          <w:lang w:val="de-DE"/>
        </w:rPr>
        <w:t>Ekonomikas</w:t>
      </w:r>
      <w:proofErr w:type="spellEnd"/>
      <w:r>
        <w:rPr>
          <w:rFonts w:asciiTheme="majorBidi" w:hAnsiTheme="majorBidi" w:cstheme="majorBidi"/>
          <w:bCs/>
          <w:lang w:val="de-DE"/>
        </w:rPr>
        <w:t xml:space="preserve"> </w:t>
      </w:r>
      <w:proofErr w:type="spellStart"/>
      <w:r>
        <w:rPr>
          <w:rFonts w:asciiTheme="majorBidi" w:hAnsiTheme="majorBidi" w:cstheme="majorBidi"/>
          <w:bCs/>
          <w:lang w:val="de-DE"/>
        </w:rPr>
        <w:t>zonas</w:t>
      </w:r>
      <w:proofErr w:type="spellEnd"/>
      <w:r>
        <w:rPr>
          <w:rFonts w:asciiTheme="majorBidi" w:hAnsiTheme="majorBidi" w:cstheme="majorBidi"/>
          <w:bCs/>
          <w:lang w:val="de-DE"/>
        </w:rPr>
        <w:t xml:space="preserve"> </w:t>
      </w:r>
      <w:proofErr w:type="spellStart"/>
      <w:r>
        <w:rPr>
          <w:rFonts w:asciiTheme="majorBidi" w:hAnsiTheme="majorBidi" w:cstheme="majorBidi"/>
          <w:bCs/>
          <w:lang w:val="de-DE"/>
        </w:rPr>
        <w:t>valstīs</w:t>
      </w:r>
      <w:proofErr w:type="spellEnd"/>
      <w:r>
        <w:rPr>
          <w:rFonts w:asciiTheme="majorBidi" w:hAnsiTheme="majorBidi" w:cstheme="majorBidi"/>
          <w:bCs/>
          <w:lang w:val="de-DE"/>
        </w:rPr>
        <w:t xml:space="preserve"> </w:t>
      </w:r>
      <w:proofErr w:type="spellStart"/>
      <w:r w:rsidRPr="000C7C76">
        <w:rPr>
          <w:rFonts w:asciiTheme="majorBidi" w:hAnsiTheme="majorBidi" w:cstheme="majorBidi"/>
          <w:bCs/>
          <w:lang w:val="de-DE"/>
        </w:rPr>
        <w:t>vai</w:t>
      </w:r>
      <w:proofErr w:type="spellEnd"/>
      <w:r w:rsidRPr="000C7C76">
        <w:rPr>
          <w:rFonts w:asciiTheme="majorBidi" w:hAnsiTheme="majorBidi" w:cstheme="majorBidi"/>
          <w:bCs/>
          <w:lang w:val="de-DE"/>
        </w:rPr>
        <w:t xml:space="preserve"> </w:t>
      </w:r>
      <w:proofErr w:type="spellStart"/>
      <w:r w:rsidRPr="000C7C76">
        <w:rPr>
          <w:rFonts w:asciiTheme="majorBidi" w:hAnsiTheme="majorBidi" w:cstheme="majorBidi"/>
          <w:bCs/>
          <w:lang w:val="de-DE"/>
        </w:rPr>
        <w:t>Šveices</w:t>
      </w:r>
      <w:proofErr w:type="spellEnd"/>
      <w:r w:rsidRPr="000C7C76">
        <w:rPr>
          <w:rFonts w:asciiTheme="majorBidi" w:hAnsiTheme="majorBidi" w:cstheme="majorBidi"/>
          <w:bCs/>
          <w:lang w:val="de-DE"/>
        </w:rPr>
        <w:t xml:space="preserve"> </w:t>
      </w:r>
      <w:proofErr w:type="spellStart"/>
      <w:r w:rsidRPr="000C7C76">
        <w:rPr>
          <w:rFonts w:asciiTheme="majorBidi" w:hAnsiTheme="majorBidi" w:cstheme="majorBidi"/>
          <w:bCs/>
          <w:lang w:val="de-DE"/>
        </w:rPr>
        <w:t>Konfederācijā</w:t>
      </w:r>
      <w:proofErr w:type="spellEnd"/>
      <w:r w:rsidRPr="000C7C76">
        <w:rPr>
          <w:rFonts w:asciiTheme="majorBidi" w:hAnsiTheme="majorBidi" w:cstheme="majorBidi"/>
          <w:bCs/>
          <w:lang w:val="de-DE"/>
        </w:rPr>
        <w:t xml:space="preserve"> </w:t>
      </w:r>
      <w:proofErr w:type="spellStart"/>
      <w:r w:rsidRPr="000C7C76">
        <w:rPr>
          <w:rFonts w:asciiTheme="majorBidi" w:hAnsiTheme="majorBidi" w:cstheme="majorBidi"/>
          <w:bCs/>
          <w:lang w:val="de-DE"/>
        </w:rPr>
        <w:t>izsniegts</w:t>
      </w:r>
      <w:proofErr w:type="spellEnd"/>
      <w:r w:rsidRPr="000C7C76">
        <w:rPr>
          <w:rFonts w:asciiTheme="majorBidi" w:hAnsiTheme="majorBidi" w:cstheme="majorBidi"/>
          <w:bCs/>
          <w:lang w:val="de-DE"/>
        </w:rPr>
        <w:t xml:space="preserve"> </w:t>
      </w:r>
      <w:proofErr w:type="spellStart"/>
      <w:r w:rsidRPr="000C7C76">
        <w:rPr>
          <w:rFonts w:asciiTheme="majorBidi" w:hAnsiTheme="majorBidi" w:cstheme="majorBidi"/>
          <w:bCs/>
          <w:lang w:val="de-DE"/>
        </w:rPr>
        <w:t>publisks</w:t>
      </w:r>
      <w:proofErr w:type="spellEnd"/>
      <w:r w:rsidRPr="000C7C76">
        <w:rPr>
          <w:rFonts w:asciiTheme="majorBidi" w:hAnsiTheme="majorBidi" w:cstheme="majorBidi"/>
          <w:bCs/>
          <w:lang w:val="de-DE"/>
        </w:rPr>
        <w:t xml:space="preserve"> </w:t>
      </w:r>
      <w:proofErr w:type="spellStart"/>
      <w:r w:rsidRPr="000C7C76">
        <w:rPr>
          <w:rFonts w:asciiTheme="majorBidi" w:hAnsiTheme="majorBidi" w:cstheme="majorBidi"/>
          <w:bCs/>
          <w:lang w:val="de-DE"/>
        </w:rPr>
        <w:t>dokuments</w:t>
      </w:r>
      <w:proofErr w:type="spellEnd"/>
      <w:r w:rsidRPr="000C7C76">
        <w:rPr>
          <w:rFonts w:asciiTheme="majorBidi" w:hAnsiTheme="majorBidi" w:cstheme="majorBidi"/>
          <w:bCs/>
          <w:lang w:val="de-DE"/>
        </w:rPr>
        <w:t xml:space="preserve">, </w:t>
      </w:r>
      <w:proofErr w:type="spellStart"/>
      <w:r w:rsidRPr="000C7C76">
        <w:rPr>
          <w:rFonts w:asciiTheme="majorBidi" w:hAnsiTheme="majorBidi" w:cstheme="majorBidi"/>
          <w:bCs/>
          <w:lang w:val="de-DE"/>
        </w:rPr>
        <w:t>tad</w:t>
      </w:r>
      <w:proofErr w:type="spellEnd"/>
      <w:r w:rsidRPr="000C7C76">
        <w:rPr>
          <w:rFonts w:asciiTheme="majorBidi" w:hAnsiTheme="majorBidi" w:cstheme="majorBidi"/>
          <w:bCs/>
          <w:lang w:val="de-DE"/>
        </w:rPr>
        <w:t xml:space="preserve"> </w:t>
      </w:r>
      <w:proofErr w:type="spellStart"/>
      <w:r w:rsidRPr="000C7C76">
        <w:rPr>
          <w:rFonts w:asciiTheme="majorBidi" w:hAnsiTheme="majorBidi" w:cstheme="majorBidi"/>
          <w:bCs/>
          <w:lang w:val="de-DE"/>
        </w:rPr>
        <w:t>tas</w:t>
      </w:r>
      <w:proofErr w:type="spellEnd"/>
      <w:r w:rsidRPr="000C7C76">
        <w:rPr>
          <w:rFonts w:asciiTheme="majorBidi" w:hAnsiTheme="majorBidi" w:cstheme="majorBidi"/>
          <w:bCs/>
          <w:lang w:val="de-DE"/>
        </w:rPr>
        <w:t xml:space="preserve"> </w:t>
      </w:r>
      <w:proofErr w:type="spellStart"/>
      <w:r w:rsidRPr="000C7C76">
        <w:rPr>
          <w:rFonts w:asciiTheme="majorBidi" w:hAnsiTheme="majorBidi" w:cstheme="majorBidi"/>
          <w:bCs/>
          <w:lang w:val="de-DE"/>
        </w:rPr>
        <w:t>ir</w:t>
      </w:r>
      <w:proofErr w:type="spellEnd"/>
      <w:r w:rsidRPr="000C7C76">
        <w:rPr>
          <w:rFonts w:asciiTheme="majorBidi" w:hAnsiTheme="majorBidi" w:cstheme="majorBidi"/>
          <w:bCs/>
          <w:lang w:val="de-DE"/>
        </w:rPr>
        <w:t xml:space="preserve"> </w:t>
      </w:r>
      <w:proofErr w:type="spellStart"/>
      <w:r w:rsidRPr="000C7C76">
        <w:rPr>
          <w:rFonts w:asciiTheme="majorBidi" w:hAnsiTheme="majorBidi" w:cstheme="majorBidi"/>
          <w:bCs/>
          <w:lang w:val="de-DE"/>
        </w:rPr>
        <w:t>atbrīvots</w:t>
      </w:r>
      <w:proofErr w:type="spellEnd"/>
      <w:r w:rsidRPr="000C7C76">
        <w:rPr>
          <w:rFonts w:asciiTheme="majorBidi" w:hAnsiTheme="majorBidi" w:cstheme="majorBidi"/>
          <w:bCs/>
          <w:lang w:val="de-DE"/>
        </w:rPr>
        <w:t xml:space="preserve"> </w:t>
      </w:r>
      <w:proofErr w:type="spellStart"/>
      <w:r w:rsidRPr="000C7C76">
        <w:rPr>
          <w:rFonts w:asciiTheme="majorBidi" w:hAnsiTheme="majorBidi" w:cstheme="majorBidi"/>
          <w:bCs/>
          <w:lang w:val="de-DE"/>
        </w:rPr>
        <w:t>no</w:t>
      </w:r>
      <w:proofErr w:type="spellEnd"/>
      <w:r w:rsidRPr="000C7C76">
        <w:rPr>
          <w:rFonts w:asciiTheme="majorBidi" w:hAnsiTheme="majorBidi" w:cstheme="majorBidi"/>
          <w:bCs/>
          <w:lang w:val="de-DE"/>
        </w:rPr>
        <w:t xml:space="preserve"> </w:t>
      </w:r>
      <w:proofErr w:type="spellStart"/>
      <w:r w:rsidRPr="000C7C76">
        <w:rPr>
          <w:rFonts w:asciiTheme="majorBidi" w:hAnsiTheme="majorBidi" w:cstheme="majorBidi"/>
          <w:bCs/>
          <w:lang w:val="de-DE"/>
        </w:rPr>
        <w:t>jebkādas</w:t>
      </w:r>
      <w:proofErr w:type="spellEnd"/>
      <w:r w:rsidRPr="000C7C76">
        <w:rPr>
          <w:rFonts w:asciiTheme="majorBidi" w:hAnsiTheme="majorBidi" w:cstheme="majorBidi"/>
          <w:bCs/>
          <w:lang w:val="de-DE"/>
        </w:rPr>
        <w:t xml:space="preserve"> </w:t>
      </w:r>
      <w:proofErr w:type="spellStart"/>
      <w:r w:rsidRPr="000C7C76">
        <w:rPr>
          <w:rFonts w:asciiTheme="majorBidi" w:hAnsiTheme="majorBidi" w:cstheme="majorBidi"/>
          <w:bCs/>
          <w:lang w:val="de-DE"/>
        </w:rPr>
        <w:t>legalizācijas</w:t>
      </w:r>
      <w:proofErr w:type="spellEnd"/>
      <w:r w:rsidRPr="000C7C76">
        <w:rPr>
          <w:rFonts w:asciiTheme="majorBidi" w:hAnsiTheme="majorBidi" w:cstheme="majorBidi"/>
          <w:bCs/>
          <w:lang w:val="de-DE"/>
        </w:rPr>
        <w:t xml:space="preserve">. </w:t>
      </w:r>
      <w:proofErr w:type="spellStart"/>
      <w:r w:rsidRPr="000C7C76">
        <w:rPr>
          <w:rFonts w:asciiTheme="majorBidi" w:hAnsiTheme="majorBidi" w:cstheme="majorBidi"/>
          <w:bCs/>
          <w:lang w:val="de-DE"/>
        </w:rPr>
        <w:t>Kā</w:t>
      </w:r>
      <w:proofErr w:type="spellEnd"/>
      <w:r w:rsidRPr="000C7C76">
        <w:rPr>
          <w:rFonts w:asciiTheme="majorBidi" w:hAnsiTheme="majorBidi" w:cstheme="majorBidi"/>
          <w:bCs/>
          <w:lang w:val="de-DE"/>
        </w:rPr>
        <w:t xml:space="preserve"> </w:t>
      </w:r>
      <w:proofErr w:type="spellStart"/>
      <w:r w:rsidRPr="000C7C76">
        <w:rPr>
          <w:rFonts w:asciiTheme="majorBidi" w:hAnsiTheme="majorBidi" w:cstheme="majorBidi"/>
          <w:bCs/>
          <w:lang w:val="de-DE"/>
        </w:rPr>
        <w:t>redzams</w:t>
      </w:r>
      <w:proofErr w:type="spellEnd"/>
      <w:r w:rsidRPr="000C7C76">
        <w:rPr>
          <w:rFonts w:asciiTheme="majorBidi" w:hAnsiTheme="majorBidi" w:cstheme="majorBidi"/>
          <w:bCs/>
          <w:lang w:val="de-DE"/>
        </w:rPr>
        <w:t xml:space="preserve">, </w:t>
      </w:r>
      <w:proofErr w:type="spellStart"/>
      <w:r w:rsidRPr="000C7C76">
        <w:rPr>
          <w:rFonts w:asciiTheme="majorBidi" w:hAnsiTheme="majorBidi" w:cstheme="majorBidi"/>
          <w:bCs/>
          <w:lang w:val="de-DE"/>
        </w:rPr>
        <w:t>Dokumentu</w:t>
      </w:r>
      <w:proofErr w:type="spellEnd"/>
      <w:r w:rsidRPr="000C7C76">
        <w:rPr>
          <w:rFonts w:asciiTheme="majorBidi" w:hAnsiTheme="majorBidi" w:cstheme="majorBidi"/>
          <w:bCs/>
          <w:lang w:val="de-DE"/>
        </w:rPr>
        <w:t xml:space="preserve"> </w:t>
      </w:r>
      <w:proofErr w:type="spellStart"/>
      <w:r w:rsidRPr="000C7C76">
        <w:rPr>
          <w:rFonts w:asciiTheme="majorBidi" w:hAnsiTheme="majorBidi" w:cstheme="majorBidi"/>
          <w:bCs/>
          <w:lang w:val="de-DE"/>
        </w:rPr>
        <w:t>legalizācijas</w:t>
      </w:r>
      <w:proofErr w:type="spellEnd"/>
      <w:r w:rsidRPr="000C7C76">
        <w:rPr>
          <w:rFonts w:asciiTheme="majorBidi" w:hAnsiTheme="majorBidi" w:cstheme="majorBidi"/>
          <w:bCs/>
          <w:lang w:val="de-DE"/>
        </w:rPr>
        <w:t xml:space="preserve"> </w:t>
      </w:r>
      <w:proofErr w:type="spellStart"/>
      <w:r w:rsidRPr="000C7C76">
        <w:rPr>
          <w:rFonts w:asciiTheme="majorBidi" w:hAnsiTheme="majorBidi" w:cstheme="majorBidi"/>
          <w:bCs/>
          <w:lang w:val="de-DE"/>
        </w:rPr>
        <w:t>likums</w:t>
      </w:r>
      <w:proofErr w:type="spellEnd"/>
      <w:r w:rsidRPr="000C7C76">
        <w:rPr>
          <w:rFonts w:asciiTheme="majorBidi" w:hAnsiTheme="majorBidi" w:cstheme="majorBidi"/>
          <w:bCs/>
          <w:lang w:val="de-DE"/>
        </w:rPr>
        <w:t xml:space="preserve"> </w:t>
      </w:r>
      <w:proofErr w:type="spellStart"/>
      <w:r w:rsidRPr="000C7C76">
        <w:rPr>
          <w:rFonts w:asciiTheme="majorBidi" w:hAnsiTheme="majorBidi" w:cstheme="majorBidi"/>
          <w:bCs/>
          <w:lang w:val="de-DE"/>
        </w:rPr>
        <w:t>paplašina</w:t>
      </w:r>
      <w:proofErr w:type="spellEnd"/>
      <w:r w:rsidRPr="000C7C76">
        <w:rPr>
          <w:rFonts w:asciiTheme="majorBidi" w:hAnsiTheme="majorBidi" w:cstheme="majorBidi"/>
          <w:bCs/>
          <w:lang w:val="de-DE"/>
        </w:rPr>
        <w:t xml:space="preserve"> </w:t>
      </w:r>
      <w:r>
        <w:rPr>
          <w:rFonts w:asciiTheme="majorBidi" w:hAnsiTheme="majorBidi" w:cstheme="majorBidi"/>
          <w:bCs/>
          <w:lang w:val="de-DE"/>
        </w:rPr>
        <w:t xml:space="preserve">1987.gada 25.maija </w:t>
      </w:r>
      <w:proofErr w:type="spellStart"/>
      <w:r>
        <w:rPr>
          <w:rFonts w:asciiTheme="majorBidi" w:hAnsiTheme="majorBidi" w:cstheme="majorBidi"/>
          <w:bCs/>
          <w:lang w:val="de-DE"/>
        </w:rPr>
        <w:t>Konvencijas</w:t>
      </w:r>
      <w:proofErr w:type="spellEnd"/>
      <w:r>
        <w:rPr>
          <w:rFonts w:asciiTheme="majorBidi" w:hAnsiTheme="majorBidi" w:cstheme="majorBidi"/>
          <w:bCs/>
          <w:lang w:val="de-DE"/>
        </w:rPr>
        <w:t xml:space="preserve"> par </w:t>
      </w:r>
      <w:proofErr w:type="spellStart"/>
      <w:r>
        <w:rPr>
          <w:rFonts w:asciiTheme="majorBidi" w:hAnsiTheme="majorBidi" w:cstheme="majorBidi"/>
          <w:bCs/>
          <w:lang w:val="de-DE"/>
        </w:rPr>
        <w:t>dokumentu</w:t>
      </w:r>
      <w:proofErr w:type="spellEnd"/>
      <w:r>
        <w:rPr>
          <w:rFonts w:asciiTheme="majorBidi" w:hAnsiTheme="majorBidi" w:cstheme="majorBidi"/>
          <w:bCs/>
          <w:lang w:val="de-DE"/>
        </w:rPr>
        <w:t xml:space="preserve"> </w:t>
      </w:r>
      <w:proofErr w:type="spellStart"/>
      <w:r>
        <w:rPr>
          <w:rFonts w:asciiTheme="majorBidi" w:hAnsiTheme="majorBidi" w:cstheme="majorBidi"/>
          <w:bCs/>
          <w:lang w:val="de-DE"/>
        </w:rPr>
        <w:t>legalizācijas</w:t>
      </w:r>
      <w:proofErr w:type="spellEnd"/>
      <w:r>
        <w:rPr>
          <w:rFonts w:asciiTheme="majorBidi" w:hAnsiTheme="majorBidi" w:cstheme="majorBidi"/>
          <w:bCs/>
          <w:lang w:val="de-DE"/>
        </w:rPr>
        <w:t xml:space="preserve"> </w:t>
      </w:r>
      <w:proofErr w:type="spellStart"/>
      <w:r>
        <w:rPr>
          <w:rFonts w:asciiTheme="majorBidi" w:hAnsiTheme="majorBidi" w:cstheme="majorBidi"/>
          <w:bCs/>
          <w:lang w:val="de-DE"/>
        </w:rPr>
        <w:t>atcelšanu</w:t>
      </w:r>
      <w:proofErr w:type="spellEnd"/>
      <w:r>
        <w:rPr>
          <w:rFonts w:asciiTheme="majorBidi" w:hAnsiTheme="majorBidi" w:cstheme="majorBidi"/>
          <w:bCs/>
          <w:lang w:val="de-DE"/>
        </w:rPr>
        <w:t xml:space="preserve"> </w:t>
      </w:r>
      <w:proofErr w:type="spellStart"/>
      <w:r>
        <w:rPr>
          <w:rFonts w:asciiTheme="majorBidi" w:hAnsiTheme="majorBidi" w:cstheme="majorBidi"/>
          <w:bCs/>
          <w:lang w:val="de-DE"/>
        </w:rPr>
        <w:t>Eiropas</w:t>
      </w:r>
      <w:proofErr w:type="spellEnd"/>
      <w:r>
        <w:rPr>
          <w:rFonts w:asciiTheme="majorBidi" w:hAnsiTheme="majorBidi" w:cstheme="majorBidi"/>
          <w:bCs/>
          <w:lang w:val="de-DE"/>
        </w:rPr>
        <w:t xml:space="preserve"> </w:t>
      </w:r>
      <w:proofErr w:type="spellStart"/>
      <w:r>
        <w:rPr>
          <w:rFonts w:asciiTheme="majorBidi" w:hAnsiTheme="majorBidi" w:cstheme="majorBidi"/>
          <w:bCs/>
          <w:lang w:val="de-DE"/>
        </w:rPr>
        <w:t>Kopienu</w:t>
      </w:r>
      <w:proofErr w:type="spellEnd"/>
      <w:r>
        <w:rPr>
          <w:rFonts w:asciiTheme="majorBidi" w:hAnsiTheme="majorBidi" w:cstheme="majorBidi"/>
          <w:bCs/>
          <w:lang w:val="de-DE"/>
        </w:rPr>
        <w:t xml:space="preserve"> </w:t>
      </w:r>
      <w:proofErr w:type="spellStart"/>
      <w:r>
        <w:rPr>
          <w:rFonts w:asciiTheme="majorBidi" w:hAnsiTheme="majorBidi" w:cstheme="majorBidi"/>
          <w:bCs/>
          <w:lang w:val="de-DE"/>
        </w:rPr>
        <w:t>dalībvalstu</w:t>
      </w:r>
      <w:proofErr w:type="spellEnd"/>
      <w:r>
        <w:rPr>
          <w:rFonts w:asciiTheme="majorBidi" w:hAnsiTheme="majorBidi" w:cstheme="majorBidi"/>
          <w:bCs/>
          <w:lang w:val="de-DE"/>
        </w:rPr>
        <w:t xml:space="preserve"> </w:t>
      </w:r>
      <w:proofErr w:type="spellStart"/>
      <w:r>
        <w:rPr>
          <w:rFonts w:asciiTheme="majorBidi" w:hAnsiTheme="majorBidi" w:cstheme="majorBidi"/>
          <w:bCs/>
          <w:lang w:val="de-DE"/>
        </w:rPr>
        <w:t>starpā</w:t>
      </w:r>
      <w:proofErr w:type="spellEnd"/>
      <w:r>
        <w:rPr>
          <w:rFonts w:asciiTheme="majorBidi" w:hAnsiTheme="majorBidi" w:cstheme="majorBidi"/>
          <w:bCs/>
          <w:lang w:val="de-DE"/>
        </w:rPr>
        <w:t xml:space="preserve"> </w:t>
      </w:r>
      <w:proofErr w:type="spellStart"/>
      <w:r>
        <w:rPr>
          <w:rFonts w:asciiTheme="majorBidi" w:hAnsiTheme="majorBidi" w:cstheme="majorBidi"/>
          <w:bCs/>
          <w:lang w:val="de-DE"/>
        </w:rPr>
        <w:t>piemērošanu</w:t>
      </w:r>
      <w:proofErr w:type="spellEnd"/>
      <w:r>
        <w:rPr>
          <w:rFonts w:asciiTheme="majorBidi" w:hAnsiTheme="majorBidi" w:cstheme="majorBidi"/>
          <w:bCs/>
          <w:lang w:val="de-DE"/>
        </w:rPr>
        <w:t xml:space="preserve"> </w:t>
      </w:r>
      <w:proofErr w:type="spellStart"/>
      <w:r>
        <w:rPr>
          <w:rFonts w:asciiTheme="majorBidi" w:hAnsiTheme="majorBidi" w:cstheme="majorBidi"/>
          <w:bCs/>
          <w:lang w:val="de-DE"/>
        </w:rPr>
        <w:t>uz</w:t>
      </w:r>
      <w:proofErr w:type="spellEnd"/>
      <w:r>
        <w:rPr>
          <w:rFonts w:asciiTheme="majorBidi" w:hAnsiTheme="majorBidi" w:cstheme="majorBidi"/>
          <w:bCs/>
          <w:lang w:val="de-DE"/>
        </w:rPr>
        <w:t xml:space="preserve"> </w:t>
      </w:r>
      <w:proofErr w:type="spellStart"/>
      <w:r w:rsidRPr="0003341C">
        <w:rPr>
          <w:rFonts w:asciiTheme="majorBidi" w:hAnsiTheme="majorBidi" w:cstheme="majorBidi"/>
          <w:b/>
          <w:lang w:val="de-DE"/>
        </w:rPr>
        <w:t>visām</w:t>
      </w:r>
      <w:proofErr w:type="spellEnd"/>
      <w:r w:rsidRPr="0003341C">
        <w:rPr>
          <w:rFonts w:asciiTheme="majorBidi" w:hAnsiTheme="majorBidi" w:cstheme="majorBidi"/>
          <w:b/>
          <w:lang w:val="de-DE"/>
        </w:rPr>
        <w:t xml:space="preserve"> </w:t>
      </w:r>
      <w:r>
        <w:rPr>
          <w:rFonts w:asciiTheme="majorBidi" w:hAnsiTheme="majorBidi" w:cstheme="majorBidi"/>
          <w:bCs/>
          <w:lang w:val="de-DE"/>
        </w:rPr>
        <w:t xml:space="preserve">ES </w:t>
      </w:r>
      <w:proofErr w:type="spellStart"/>
      <w:r>
        <w:rPr>
          <w:rFonts w:asciiTheme="majorBidi" w:hAnsiTheme="majorBidi" w:cstheme="majorBidi"/>
          <w:bCs/>
          <w:lang w:val="de-DE"/>
        </w:rPr>
        <w:t>dalībvalstīm</w:t>
      </w:r>
      <w:proofErr w:type="spellEnd"/>
      <w:r>
        <w:rPr>
          <w:rFonts w:asciiTheme="majorBidi" w:hAnsiTheme="majorBidi" w:cstheme="majorBidi"/>
          <w:bCs/>
          <w:lang w:val="de-DE"/>
        </w:rPr>
        <w:t xml:space="preserve">, </w:t>
      </w:r>
      <w:proofErr w:type="spellStart"/>
      <w:r>
        <w:rPr>
          <w:rFonts w:asciiTheme="majorBidi" w:hAnsiTheme="majorBidi" w:cstheme="majorBidi"/>
          <w:bCs/>
          <w:lang w:val="de-DE"/>
        </w:rPr>
        <w:t>kā</w:t>
      </w:r>
      <w:proofErr w:type="spellEnd"/>
      <w:r>
        <w:rPr>
          <w:rFonts w:asciiTheme="majorBidi" w:hAnsiTheme="majorBidi" w:cstheme="majorBidi"/>
          <w:bCs/>
          <w:lang w:val="de-DE"/>
        </w:rPr>
        <w:t xml:space="preserve"> </w:t>
      </w:r>
      <w:proofErr w:type="spellStart"/>
      <w:r>
        <w:rPr>
          <w:rFonts w:asciiTheme="majorBidi" w:hAnsiTheme="majorBidi" w:cstheme="majorBidi"/>
          <w:bCs/>
          <w:lang w:val="de-DE"/>
        </w:rPr>
        <w:t>arī</w:t>
      </w:r>
      <w:proofErr w:type="spellEnd"/>
      <w:r>
        <w:rPr>
          <w:rFonts w:asciiTheme="majorBidi" w:hAnsiTheme="majorBidi" w:cstheme="majorBidi"/>
          <w:bCs/>
          <w:lang w:val="de-DE"/>
        </w:rPr>
        <w:t xml:space="preserve"> </w:t>
      </w:r>
      <w:proofErr w:type="spellStart"/>
      <w:r>
        <w:rPr>
          <w:rFonts w:asciiTheme="majorBidi" w:hAnsiTheme="majorBidi" w:cstheme="majorBidi"/>
          <w:bCs/>
          <w:lang w:val="de-DE"/>
        </w:rPr>
        <w:t>Eiropas</w:t>
      </w:r>
      <w:proofErr w:type="spellEnd"/>
      <w:r>
        <w:rPr>
          <w:rFonts w:asciiTheme="majorBidi" w:hAnsiTheme="majorBidi" w:cstheme="majorBidi"/>
          <w:bCs/>
          <w:lang w:val="de-DE"/>
        </w:rPr>
        <w:t xml:space="preserve"> </w:t>
      </w:r>
      <w:proofErr w:type="spellStart"/>
      <w:r>
        <w:rPr>
          <w:rFonts w:asciiTheme="majorBidi" w:hAnsiTheme="majorBidi" w:cstheme="majorBidi"/>
          <w:bCs/>
          <w:lang w:val="de-DE"/>
        </w:rPr>
        <w:t>Ekonomikas</w:t>
      </w:r>
      <w:proofErr w:type="spellEnd"/>
      <w:r>
        <w:rPr>
          <w:rFonts w:asciiTheme="majorBidi" w:hAnsiTheme="majorBidi" w:cstheme="majorBidi"/>
          <w:bCs/>
          <w:lang w:val="de-DE"/>
        </w:rPr>
        <w:t xml:space="preserve"> </w:t>
      </w:r>
      <w:proofErr w:type="spellStart"/>
      <w:r>
        <w:rPr>
          <w:rFonts w:asciiTheme="majorBidi" w:hAnsiTheme="majorBidi" w:cstheme="majorBidi"/>
          <w:bCs/>
          <w:lang w:val="de-DE"/>
        </w:rPr>
        <w:t>zonas</w:t>
      </w:r>
      <w:proofErr w:type="spellEnd"/>
      <w:r>
        <w:rPr>
          <w:rFonts w:asciiTheme="majorBidi" w:hAnsiTheme="majorBidi" w:cstheme="majorBidi"/>
          <w:bCs/>
          <w:lang w:val="de-DE"/>
        </w:rPr>
        <w:t xml:space="preserve"> </w:t>
      </w:r>
      <w:proofErr w:type="spellStart"/>
      <w:r>
        <w:rPr>
          <w:rFonts w:asciiTheme="majorBidi" w:hAnsiTheme="majorBidi" w:cstheme="majorBidi"/>
          <w:bCs/>
          <w:lang w:val="de-DE"/>
        </w:rPr>
        <w:t>valstīm</w:t>
      </w:r>
      <w:proofErr w:type="spellEnd"/>
      <w:r>
        <w:rPr>
          <w:rFonts w:asciiTheme="majorBidi" w:hAnsiTheme="majorBidi" w:cstheme="majorBidi"/>
          <w:bCs/>
          <w:lang w:val="de-DE"/>
        </w:rPr>
        <w:t xml:space="preserve"> (</w:t>
      </w:r>
      <w:proofErr w:type="spellStart"/>
      <w:r>
        <w:rPr>
          <w:rFonts w:asciiTheme="majorBidi" w:hAnsiTheme="majorBidi" w:cstheme="majorBidi"/>
          <w:bCs/>
          <w:lang w:val="de-DE"/>
        </w:rPr>
        <w:t>visām</w:t>
      </w:r>
      <w:proofErr w:type="spellEnd"/>
      <w:r>
        <w:rPr>
          <w:rFonts w:asciiTheme="majorBidi" w:hAnsiTheme="majorBidi" w:cstheme="majorBidi"/>
          <w:bCs/>
          <w:lang w:val="de-DE"/>
        </w:rPr>
        <w:t xml:space="preserve"> ES </w:t>
      </w:r>
      <w:proofErr w:type="spellStart"/>
      <w:r>
        <w:rPr>
          <w:rFonts w:asciiTheme="majorBidi" w:hAnsiTheme="majorBidi" w:cstheme="majorBidi"/>
          <w:bCs/>
          <w:lang w:val="de-DE"/>
        </w:rPr>
        <w:t>dalībvalstīm</w:t>
      </w:r>
      <w:proofErr w:type="spellEnd"/>
      <w:r>
        <w:rPr>
          <w:rFonts w:asciiTheme="majorBidi" w:hAnsiTheme="majorBidi" w:cstheme="majorBidi"/>
          <w:bCs/>
          <w:lang w:val="de-DE"/>
        </w:rPr>
        <w:t xml:space="preserve">, </w:t>
      </w:r>
      <w:proofErr w:type="spellStart"/>
      <w:r>
        <w:rPr>
          <w:rFonts w:asciiTheme="majorBidi" w:hAnsiTheme="majorBidi" w:cstheme="majorBidi"/>
          <w:bCs/>
          <w:lang w:val="de-DE"/>
        </w:rPr>
        <w:t>kā</w:t>
      </w:r>
      <w:proofErr w:type="spellEnd"/>
      <w:r>
        <w:rPr>
          <w:rFonts w:asciiTheme="majorBidi" w:hAnsiTheme="majorBidi" w:cstheme="majorBidi"/>
          <w:bCs/>
          <w:lang w:val="de-DE"/>
        </w:rPr>
        <w:t xml:space="preserve"> </w:t>
      </w:r>
      <w:proofErr w:type="spellStart"/>
      <w:r>
        <w:rPr>
          <w:rFonts w:asciiTheme="majorBidi" w:hAnsiTheme="majorBidi" w:cstheme="majorBidi"/>
          <w:bCs/>
          <w:lang w:val="de-DE"/>
        </w:rPr>
        <w:t>arī</w:t>
      </w:r>
      <w:proofErr w:type="spellEnd"/>
      <w:r>
        <w:rPr>
          <w:rFonts w:asciiTheme="majorBidi" w:hAnsiTheme="majorBidi" w:cstheme="majorBidi"/>
          <w:bCs/>
          <w:lang w:val="de-DE"/>
        </w:rPr>
        <w:t xml:space="preserve"> </w:t>
      </w:r>
      <w:proofErr w:type="spellStart"/>
      <w:r>
        <w:rPr>
          <w:rFonts w:asciiTheme="majorBidi" w:hAnsiTheme="majorBidi" w:cstheme="majorBidi"/>
          <w:bCs/>
          <w:lang w:val="de-DE"/>
        </w:rPr>
        <w:t>Norvēģiju</w:t>
      </w:r>
      <w:proofErr w:type="spellEnd"/>
      <w:r>
        <w:rPr>
          <w:rFonts w:asciiTheme="majorBidi" w:hAnsiTheme="majorBidi" w:cstheme="majorBidi"/>
          <w:bCs/>
          <w:lang w:val="de-DE"/>
        </w:rPr>
        <w:t xml:space="preserve">, </w:t>
      </w:r>
      <w:proofErr w:type="spellStart"/>
      <w:r>
        <w:rPr>
          <w:rFonts w:asciiTheme="majorBidi" w:hAnsiTheme="majorBidi" w:cstheme="majorBidi"/>
          <w:bCs/>
          <w:lang w:val="de-DE"/>
        </w:rPr>
        <w:t>Islandi</w:t>
      </w:r>
      <w:proofErr w:type="spellEnd"/>
      <w:r>
        <w:rPr>
          <w:rFonts w:asciiTheme="majorBidi" w:hAnsiTheme="majorBidi" w:cstheme="majorBidi"/>
          <w:bCs/>
          <w:lang w:val="de-DE"/>
        </w:rPr>
        <w:t xml:space="preserve"> </w:t>
      </w:r>
      <w:proofErr w:type="spellStart"/>
      <w:r>
        <w:rPr>
          <w:rFonts w:asciiTheme="majorBidi" w:hAnsiTheme="majorBidi" w:cstheme="majorBidi"/>
          <w:bCs/>
          <w:lang w:val="de-DE"/>
        </w:rPr>
        <w:t>un</w:t>
      </w:r>
      <w:proofErr w:type="spellEnd"/>
      <w:r>
        <w:rPr>
          <w:rFonts w:asciiTheme="majorBidi" w:hAnsiTheme="majorBidi" w:cstheme="majorBidi"/>
          <w:bCs/>
          <w:lang w:val="de-DE"/>
        </w:rPr>
        <w:t xml:space="preserve"> </w:t>
      </w:r>
      <w:proofErr w:type="spellStart"/>
      <w:r>
        <w:rPr>
          <w:rFonts w:asciiTheme="majorBidi" w:hAnsiTheme="majorBidi" w:cstheme="majorBidi"/>
          <w:bCs/>
          <w:lang w:val="de-DE"/>
        </w:rPr>
        <w:t>Lihtenšteinu</w:t>
      </w:r>
      <w:proofErr w:type="spellEnd"/>
      <w:r>
        <w:rPr>
          <w:rFonts w:asciiTheme="majorBidi" w:hAnsiTheme="majorBidi" w:cstheme="majorBidi"/>
          <w:bCs/>
          <w:lang w:val="de-DE"/>
        </w:rPr>
        <w:t xml:space="preserve">) </w:t>
      </w:r>
      <w:proofErr w:type="spellStart"/>
      <w:r>
        <w:rPr>
          <w:rFonts w:asciiTheme="majorBidi" w:hAnsiTheme="majorBidi" w:cstheme="majorBidi"/>
          <w:bCs/>
          <w:lang w:val="de-DE"/>
        </w:rPr>
        <w:t>un</w:t>
      </w:r>
      <w:proofErr w:type="spellEnd"/>
      <w:r>
        <w:rPr>
          <w:rFonts w:asciiTheme="majorBidi" w:hAnsiTheme="majorBidi" w:cstheme="majorBidi"/>
          <w:bCs/>
          <w:lang w:val="de-DE"/>
        </w:rPr>
        <w:t xml:space="preserve"> </w:t>
      </w:r>
      <w:proofErr w:type="spellStart"/>
      <w:r w:rsidRPr="000C7C76">
        <w:rPr>
          <w:rFonts w:asciiTheme="majorBidi" w:hAnsiTheme="majorBidi" w:cstheme="majorBidi"/>
          <w:bCs/>
          <w:lang w:val="de-DE"/>
        </w:rPr>
        <w:t>Šveices</w:t>
      </w:r>
      <w:proofErr w:type="spellEnd"/>
      <w:r w:rsidRPr="000C7C76">
        <w:rPr>
          <w:rFonts w:asciiTheme="majorBidi" w:hAnsiTheme="majorBidi" w:cstheme="majorBidi"/>
          <w:bCs/>
          <w:lang w:val="de-DE"/>
        </w:rPr>
        <w:t xml:space="preserve"> </w:t>
      </w:r>
      <w:proofErr w:type="spellStart"/>
      <w:r w:rsidRPr="000C7C76">
        <w:rPr>
          <w:rFonts w:asciiTheme="majorBidi" w:hAnsiTheme="majorBidi" w:cstheme="majorBidi"/>
          <w:bCs/>
          <w:lang w:val="de-DE"/>
        </w:rPr>
        <w:t>Konfederāciju</w:t>
      </w:r>
      <w:proofErr w:type="spellEnd"/>
      <w:r w:rsidRPr="000C7C76">
        <w:rPr>
          <w:rFonts w:asciiTheme="majorBidi" w:hAnsiTheme="majorBidi" w:cstheme="majorBidi"/>
          <w:bCs/>
          <w:lang w:val="de-DE"/>
        </w:rPr>
        <w:t>.</w:t>
      </w:r>
    </w:p>
    <w:p w14:paraId="5543E3D0" w14:textId="77777777" w:rsidR="00114953" w:rsidRDefault="00114953" w:rsidP="00114953">
      <w:pPr>
        <w:jc w:val="both"/>
        <w:rPr>
          <w:rFonts w:asciiTheme="majorBidi" w:hAnsiTheme="majorBidi" w:cstheme="majorBidi"/>
          <w:bCs/>
          <w:lang w:val="de-DE"/>
        </w:rPr>
      </w:pPr>
      <w:r w:rsidRPr="000C7C76">
        <w:rPr>
          <w:rFonts w:asciiTheme="majorBidi" w:hAnsiTheme="majorBidi" w:cstheme="majorBidi"/>
          <w:bCs/>
          <w:lang w:val="de-DE"/>
        </w:rPr>
        <w:tab/>
      </w:r>
      <w:proofErr w:type="spellStart"/>
      <w:r w:rsidRPr="000C7C76">
        <w:rPr>
          <w:rFonts w:asciiTheme="majorBidi" w:hAnsiTheme="majorBidi" w:cstheme="majorBidi"/>
          <w:bCs/>
          <w:lang w:val="de-DE"/>
        </w:rPr>
        <w:t>No</w:t>
      </w:r>
      <w:proofErr w:type="spellEnd"/>
      <w:r w:rsidRPr="000C7C76">
        <w:rPr>
          <w:rFonts w:asciiTheme="majorBidi" w:hAnsiTheme="majorBidi" w:cstheme="majorBidi"/>
          <w:bCs/>
          <w:lang w:val="de-DE"/>
        </w:rPr>
        <w:t xml:space="preserve"> </w:t>
      </w:r>
      <w:proofErr w:type="spellStart"/>
      <w:r w:rsidRPr="000C7C76">
        <w:rPr>
          <w:rFonts w:asciiTheme="majorBidi" w:hAnsiTheme="majorBidi" w:cstheme="majorBidi"/>
          <w:bCs/>
          <w:lang w:val="de-DE"/>
        </w:rPr>
        <w:t>Eiropas</w:t>
      </w:r>
      <w:proofErr w:type="spellEnd"/>
      <w:r w:rsidRPr="000C7C76">
        <w:rPr>
          <w:rFonts w:asciiTheme="majorBidi" w:hAnsiTheme="majorBidi" w:cstheme="majorBidi"/>
          <w:bCs/>
          <w:lang w:val="de-DE"/>
        </w:rPr>
        <w:t xml:space="preserve"> </w:t>
      </w:r>
      <w:proofErr w:type="spellStart"/>
      <w:r w:rsidRPr="000C7C76">
        <w:rPr>
          <w:rFonts w:asciiTheme="majorBidi" w:hAnsiTheme="majorBidi" w:cstheme="majorBidi"/>
          <w:bCs/>
          <w:lang w:val="de-DE"/>
        </w:rPr>
        <w:t>Savienības</w:t>
      </w:r>
      <w:proofErr w:type="spellEnd"/>
      <w:r w:rsidRPr="000C7C76">
        <w:rPr>
          <w:rFonts w:asciiTheme="majorBidi" w:hAnsiTheme="majorBidi" w:cstheme="majorBidi"/>
          <w:bCs/>
          <w:lang w:val="de-DE"/>
        </w:rPr>
        <w:t xml:space="preserve"> </w:t>
      </w:r>
      <w:proofErr w:type="spellStart"/>
      <w:r w:rsidRPr="000C7C76">
        <w:rPr>
          <w:rFonts w:asciiTheme="majorBidi" w:hAnsiTheme="majorBidi" w:cstheme="majorBidi"/>
          <w:bCs/>
          <w:lang w:val="de-DE"/>
        </w:rPr>
        <w:t>tiesas</w:t>
      </w:r>
      <w:proofErr w:type="spellEnd"/>
      <w:r w:rsidRPr="000C7C76">
        <w:rPr>
          <w:rFonts w:asciiTheme="majorBidi" w:hAnsiTheme="majorBidi" w:cstheme="majorBidi"/>
          <w:bCs/>
          <w:lang w:val="de-DE"/>
        </w:rPr>
        <w:t xml:space="preserve"> 1997.gada 2.decembra </w:t>
      </w:r>
      <w:proofErr w:type="spellStart"/>
      <w:r w:rsidRPr="000C7C76">
        <w:rPr>
          <w:rFonts w:asciiTheme="majorBidi" w:hAnsiTheme="majorBidi" w:cstheme="majorBidi"/>
          <w:bCs/>
          <w:lang w:val="de-DE"/>
        </w:rPr>
        <w:t>sprieduma</w:t>
      </w:r>
      <w:proofErr w:type="spellEnd"/>
      <w:r w:rsidRPr="000C7C76">
        <w:rPr>
          <w:rFonts w:asciiTheme="majorBidi" w:hAnsiTheme="majorBidi" w:cstheme="majorBidi"/>
          <w:bCs/>
          <w:lang w:val="de-DE"/>
        </w:rPr>
        <w:t xml:space="preserve"> </w:t>
      </w:r>
      <w:proofErr w:type="spellStart"/>
      <w:r w:rsidRPr="000C7C76">
        <w:rPr>
          <w:rFonts w:asciiTheme="majorBidi" w:hAnsiTheme="majorBidi" w:cstheme="majorBidi"/>
          <w:bCs/>
          <w:lang w:val="de-DE"/>
        </w:rPr>
        <w:t>lietā</w:t>
      </w:r>
      <w:proofErr w:type="spellEnd"/>
      <w:r w:rsidRPr="000C7C76">
        <w:rPr>
          <w:rFonts w:asciiTheme="majorBidi" w:hAnsiTheme="majorBidi" w:cstheme="majorBidi"/>
          <w:bCs/>
          <w:lang w:val="de-DE"/>
        </w:rPr>
        <w:t xml:space="preserve"> </w:t>
      </w:r>
      <w:proofErr w:type="spellStart"/>
      <w:r w:rsidRPr="000C7C76">
        <w:rPr>
          <w:rFonts w:asciiTheme="majorBidi" w:hAnsiTheme="majorBidi" w:cstheme="majorBidi"/>
          <w:bCs/>
          <w:i/>
          <w:iCs/>
          <w:lang w:val="de-DE"/>
        </w:rPr>
        <w:t>Dafeki</w:t>
      </w:r>
      <w:proofErr w:type="spellEnd"/>
      <w:r w:rsidRPr="000C7C76">
        <w:rPr>
          <w:rFonts w:asciiTheme="majorBidi" w:hAnsiTheme="majorBidi" w:cstheme="majorBidi"/>
          <w:bCs/>
          <w:lang w:val="de-DE"/>
        </w:rPr>
        <w:t xml:space="preserve"> (C-336/94) </w:t>
      </w:r>
      <w:proofErr w:type="spellStart"/>
      <w:r w:rsidRPr="000C7C76">
        <w:rPr>
          <w:rFonts w:asciiTheme="majorBidi" w:hAnsiTheme="majorBidi" w:cstheme="majorBidi"/>
          <w:bCs/>
          <w:lang w:val="de-DE"/>
        </w:rPr>
        <w:t>izriet</w:t>
      </w:r>
      <w:proofErr w:type="spellEnd"/>
      <w:r w:rsidRPr="000C7C76">
        <w:rPr>
          <w:rFonts w:asciiTheme="majorBidi" w:hAnsiTheme="majorBidi" w:cstheme="majorBidi"/>
          <w:bCs/>
          <w:lang w:val="de-DE"/>
        </w:rPr>
        <w:t xml:space="preserve">, </w:t>
      </w:r>
      <w:proofErr w:type="spellStart"/>
      <w:r w:rsidRPr="000C7C76">
        <w:rPr>
          <w:rFonts w:asciiTheme="majorBidi" w:hAnsiTheme="majorBidi" w:cstheme="majorBidi"/>
          <w:bCs/>
          <w:lang w:val="de-DE"/>
        </w:rPr>
        <w:t>ka</w:t>
      </w:r>
      <w:proofErr w:type="spellEnd"/>
      <w:r w:rsidRPr="000C7C76">
        <w:rPr>
          <w:rFonts w:asciiTheme="majorBidi" w:hAnsiTheme="majorBidi" w:cstheme="majorBidi"/>
          <w:bCs/>
          <w:lang w:val="de-DE"/>
        </w:rPr>
        <w:t xml:space="preserve"> ES </w:t>
      </w:r>
      <w:proofErr w:type="spellStart"/>
      <w:r w:rsidRPr="000C7C76">
        <w:rPr>
          <w:rFonts w:asciiTheme="majorBidi" w:hAnsiTheme="majorBidi" w:cstheme="majorBidi"/>
          <w:bCs/>
          <w:lang w:val="de-DE"/>
        </w:rPr>
        <w:t>dalībvalstu</w:t>
      </w:r>
      <w:proofErr w:type="spellEnd"/>
      <w:r w:rsidRPr="000C7C76">
        <w:rPr>
          <w:rFonts w:asciiTheme="majorBidi" w:hAnsiTheme="majorBidi" w:cstheme="majorBidi"/>
          <w:bCs/>
          <w:lang w:val="de-DE"/>
        </w:rPr>
        <w:t xml:space="preserve"> </w:t>
      </w:r>
      <w:proofErr w:type="spellStart"/>
      <w:r w:rsidRPr="000C7C76">
        <w:rPr>
          <w:rFonts w:asciiTheme="majorBidi" w:hAnsiTheme="majorBidi" w:cstheme="majorBidi"/>
          <w:bCs/>
          <w:lang w:val="de-DE"/>
        </w:rPr>
        <w:t>kompetentajām</w:t>
      </w:r>
      <w:proofErr w:type="spellEnd"/>
      <w:r w:rsidRPr="000C7C76">
        <w:rPr>
          <w:rFonts w:asciiTheme="majorBidi" w:hAnsiTheme="majorBidi" w:cstheme="majorBidi"/>
          <w:bCs/>
          <w:lang w:val="de-DE"/>
        </w:rPr>
        <w:t xml:space="preserve"> </w:t>
      </w:r>
      <w:proofErr w:type="spellStart"/>
      <w:r w:rsidRPr="000C7C76">
        <w:rPr>
          <w:rFonts w:asciiTheme="majorBidi" w:hAnsiTheme="majorBidi" w:cstheme="majorBidi"/>
          <w:bCs/>
          <w:lang w:val="de-DE"/>
        </w:rPr>
        <w:t>iestādēm</w:t>
      </w:r>
      <w:proofErr w:type="spellEnd"/>
      <w:r w:rsidRPr="000C7C76">
        <w:rPr>
          <w:rFonts w:asciiTheme="majorBidi" w:hAnsiTheme="majorBidi" w:cstheme="majorBidi"/>
          <w:bCs/>
          <w:lang w:val="de-DE"/>
        </w:rPr>
        <w:t xml:space="preserve"> </w:t>
      </w:r>
      <w:proofErr w:type="spellStart"/>
      <w:r w:rsidRPr="000C7C76">
        <w:rPr>
          <w:rFonts w:asciiTheme="majorBidi" w:hAnsiTheme="majorBidi" w:cstheme="majorBidi"/>
          <w:bCs/>
          <w:lang w:val="de-DE"/>
        </w:rPr>
        <w:t>un</w:t>
      </w:r>
      <w:proofErr w:type="spellEnd"/>
      <w:r w:rsidRPr="000C7C76">
        <w:rPr>
          <w:rFonts w:asciiTheme="majorBidi" w:hAnsiTheme="majorBidi" w:cstheme="majorBidi"/>
          <w:bCs/>
          <w:lang w:val="de-DE"/>
        </w:rPr>
        <w:t xml:space="preserve"> </w:t>
      </w:r>
      <w:proofErr w:type="spellStart"/>
      <w:r w:rsidRPr="000C7C76">
        <w:rPr>
          <w:rFonts w:asciiTheme="majorBidi" w:hAnsiTheme="majorBidi" w:cstheme="majorBidi"/>
          <w:bCs/>
          <w:lang w:val="de-DE"/>
        </w:rPr>
        <w:t>tiesām</w:t>
      </w:r>
      <w:proofErr w:type="spellEnd"/>
      <w:r w:rsidRPr="000C7C76">
        <w:rPr>
          <w:rFonts w:asciiTheme="majorBidi" w:hAnsiTheme="majorBidi" w:cstheme="majorBidi"/>
          <w:bCs/>
          <w:lang w:val="de-DE"/>
        </w:rPr>
        <w:t xml:space="preserve"> </w:t>
      </w:r>
      <w:proofErr w:type="spellStart"/>
      <w:r w:rsidRPr="000C7C76">
        <w:rPr>
          <w:rFonts w:asciiTheme="majorBidi" w:hAnsiTheme="majorBidi" w:cstheme="majorBidi"/>
          <w:bCs/>
          <w:lang w:val="de-DE"/>
        </w:rPr>
        <w:t>ir</w:t>
      </w:r>
      <w:proofErr w:type="spellEnd"/>
      <w:r w:rsidRPr="000C7C76">
        <w:rPr>
          <w:rFonts w:asciiTheme="majorBidi" w:hAnsiTheme="majorBidi" w:cstheme="majorBidi"/>
          <w:bCs/>
          <w:lang w:val="de-DE"/>
        </w:rPr>
        <w:t xml:space="preserve"> </w:t>
      </w:r>
      <w:proofErr w:type="spellStart"/>
      <w:r w:rsidRPr="000C7C76">
        <w:rPr>
          <w:rFonts w:asciiTheme="majorBidi" w:hAnsiTheme="majorBidi" w:cstheme="majorBidi"/>
          <w:bCs/>
          <w:lang w:val="de-DE"/>
        </w:rPr>
        <w:t>jāpieņem</w:t>
      </w:r>
      <w:proofErr w:type="spellEnd"/>
      <w:r w:rsidRPr="000C7C76">
        <w:rPr>
          <w:rFonts w:asciiTheme="majorBidi" w:hAnsiTheme="majorBidi" w:cstheme="majorBidi"/>
          <w:bCs/>
          <w:lang w:val="de-DE"/>
        </w:rPr>
        <w:t xml:space="preserve"> </w:t>
      </w:r>
      <w:proofErr w:type="spellStart"/>
      <w:r w:rsidRPr="000C7C76">
        <w:rPr>
          <w:rFonts w:asciiTheme="majorBidi" w:hAnsiTheme="majorBidi" w:cstheme="majorBidi"/>
          <w:bCs/>
          <w:lang w:val="de-DE"/>
        </w:rPr>
        <w:t>sertifikāti</w:t>
      </w:r>
      <w:proofErr w:type="spellEnd"/>
      <w:r w:rsidRPr="000C7C76">
        <w:rPr>
          <w:rFonts w:asciiTheme="majorBidi" w:hAnsiTheme="majorBidi" w:cstheme="majorBidi"/>
          <w:bCs/>
          <w:lang w:val="de-DE"/>
        </w:rPr>
        <w:t xml:space="preserve"> </w:t>
      </w:r>
      <w:proofErr w:type="spellStart"/>
      <w:r w:rsidRPr="000C7C76">
        <w:rPr>
          <w:rFonts w:asciiTheme="majorBidi" w:hAnsiTheme="majorBidi" w:cstheme="majorBidi"/>
          <w:bCs/>
          <w:lang w:val="de-DE"/>
        </w:rPr>
        <w:t>un</w:t>
      </w:r>
      <w:proofErr w:type="spellEnd"/>
      <w:r w:rsidRPr="000C7C76">
        <w:rPr>
          <w:rFonts w:asciiTheme="majorBidi" w:hAnsiTheme="majorBidi" w:cstheme="majorBidi"/>
          <w:bCs/>
          <w:lang w:val="de-DE"/>
        </w:rPr>
        <w:t xml:space="preserve"> </w:t>
      </w:r>
      <w:proofErr w:type="spellStart"/>
      <w:r w:rsidRPr="000C7C76">
        <w:rPr>
          <w:rFonts w:asciiTheme="majorBidi" w:hAnsiTheme="majorBidi" w:cstheme="majorBidi"/>
          <w:bCs/>
          <w:lang w:val="de-DE"/>
        </w:rPr>
        <w:t>analoģiski</w:t>
      </w:r>
      <w:proofErr w:type="spellEnd"/>
      <w:r w:rsidRPr="000C7C76">
        <w:rPr>
          <w:rFonts w:asciiTheme="majorBidi" w:hAnsiTheme="majorBidi" w:cstheme="majorBidi"/>
          <w:bCs/>
          <w:lang w:val="de-DE"/>
        </w:rPr>
        <w:t xml:space="preserve"> </w:t>
      </w:r>
      <w:proofErr w:type="spellStart"/>
      <w:r w:rsidRPr="000C7C76">
        <w:rPr>
          <w:rFonts w:asciiTheme="majorBidi" w:hAnsiTheme="majorBidi" w:cstheme="majorBidi"/>
          <w:bCs/>
          <w:lang w:val="de-DE"/>
        </w:rPr>
        <w:t>dokumenti</w:t>
      </w:r>
      <w:proofErr w:type="spellEnd"/>
      <w:r w:rsidRPr="000C7C76">
        <w:rPr>
          <w:rFonts w:asciiTheme="majorBidi" w:hAnsiTheme="majorBidi" w:cstheme="majorBidi"/>
          <w:bCs/>
          <w:lang w:val="de-DE"/>
        </w:rPr>
        <w:t xml:space="preserve"> </w:t>
      </w:r>
      <w:proofErr w:type="spellStart"/>
      <w:r w:rsidRPr="000C7C76">
        <w:rPr>
          <w:rFonts w:asciiTheme="majorBidi" w:hAnsiTheme="majorBidi" w:cstheme="majorBidi"/>
          <w:bCs/>
          <w:lang w:val="de-DE"/>
        </w:rPr>
        <w:t>personu</w:t>
      </w:r>
      <w:proofErr w:type="spellEnd"/>
      <w:r w:rsidRPr="000C7C76">
        <w:rPr>
          <w:rFonts w:asciiTheme="majorBidi" w:hAnsiTheme="majorBidi" w:cstheme="majorBidi"/>
          <w:bCs/>
          <w:lang w:val="de-DE"/>
        </w:rPr>
        <w:t xml:space="preserve"> </w:t>
      </w:r>
      <w:proofErr w:type="spellStart"/>
      <w:r w:rsidRPr="000C7C76">
        <w:rPr>
          <w:rFonts w:asciiTheme="majorBidi" w:hAnsiTheme="majorBidi" w:cstheme="majorBidi"/>
          <w:bCs/>
          <w:lang w:val="de-DE"/>
        </w:rPr>
        <w:t>tiesiskā</w:t>
      </w:r>
      <w:proofErr w:type="spellEnd"/>
      <w:r w:rsidRPr="000C7C76">
        <w:rPr>
          <w:rFonts w:asciiTheme="majorBidi" w:hAnsiTheme="majorBidi" w:cstheme="majorBidi"/>
          <w:bCs/>
          <w:lang w:val="de-DE"/>
        </w:rPr>
        <w:t xml:space="preserve"> </w:t>
      </w:r>
      <w:proofErr w:type="spellStart"/>
      <w:r w:rsidRPr="000C7C76">
        <w:rPr>
          <w:rFonts w:asciiTheme="majorBidi" w:hAnsiTheme="majorBidi" w:cstheme="majorBidi"/>
          <w:bCs/>
          <w:lang w:val="de-DE"/>
        </w:rPr>
        <w:t>statusa</w:t>
      </w:r>
      <w:proofErr w:type="spellEnd"/>
      <w:r w:rsidRPr="000C7C76">
        <w:rPr>
          <w:rFonts w:asciiTheme="majorBidi" w:hAnsiTheme="majorBidi" w:cstheme="majorBidi"/>
          <w:bCs/>
          <w:lang w:val="de-DE"/>
        </w:rPr>
        <w:t xml:space="preserve"> </w:t>
      </w:r>
      <w:proofErr w:type="spellStart"/>
      <w:r w:rsidRPr="000C7C76">
        <w:rPr>
          <w:rFonts w:asciiTheme="majorBidi" w:hAnsiTheme="majorBidi" w:cstheme="majorBidi"/>
          <w:bCs/>
          <w:lang w:val="de-DE"/>
        </w:rPr>
        <w:t>jautājumos</w:t>
      </w:r>
      <w:proofErr w:type="spellEnd"/>
      <w:r w:rsidRPr="000C7C76">
        <w:rPr>
          <w:rFonts w:asciiTheme="majorBidi" w:hAnsiTheme="majorBidi" w:cstheme="majorBidi"/>
          <w:bCs/>
          <w:lang w:val="de-DE"/>
        </w:rPr>
        <w:t xml:space="preserve">, </w:t>
      </w:r>
      <w:proofErr w:type="spellStart"/>
      <w:r w:rsidRPr="000C7C76">
        <w:rPr>
          <w:rFonts w:asciiTheme="majorBidi" w:hAnsiTheme="majorBidi" w:cstheme="majorBidi"/>
          <w:bCs/>
          <w:lang w:val="de-DE"/>
        </w:rPr>
        <w:t>kurus</w:t>
      </w:r>
      <w:proofErr w:type="spellEnd"/>
      <w:r w:rsidRPr="000C7C76">
        <w:rPr>
          <w:rFonts w:asciiTheme="majorBidi" w:hAnsiTheme="majorBidi" w:cstheme="majorBidi"/>
          <w:bCs/>
          <w:lang w:val="de-DE"/>
        </w:rPr>
        <w:t xml:space="preserve"> </w:t>
      </w:r>
      <w:proofErr w:type="spellStart"/>
      <w:r w:rsidRPr="000C7C76">
        <w:rPr>
          <w:rFonts w:asciiTheme="majorBidi" w:hAnsiTheme="majorBidi" w:cstheme="majorBidi"/>
          <w:bCs/>
          <w:lang w:val="de-DE"/>
        </w:rPr>
        <w:t>izsniegušas</w:t>
      </w:r>
      <w:proofErr w:type="spellEnd"/>
      <w:r w:rsidRPr="000C7C76">
        <w:rPr>
          <w:rFonts w:asciiTheme="majorBidi" w:hAnsiTheme="majorBidi" w:cstheme="majorBidi"/>
          <w:bCs/>
          <w:lang w:val="de-DE"/>
        </w:rPr>
        <w:t xml:space="preserve"> </w:t>
      </w:r>
      <w:proofErr w:type="spellStart"/>
      <w:r w:rsidRPr="000C7C76">
        <w:rPr>
          <w:rFonts w:asciiTheme="majorBidi" w:hAnsiTheme="majorBidi" w:cstheme="majorBidi"/>
          <w:bCs/>
          <w:lang w:val="de-DE"/>
        </w:rPr>
        <w:t>citu</w:t>
      </w:r>
      <w:proofErr w:type="spellEnd"/>
      <w:r w:rsidRPr="000C7C76">
        <w:rPr>
          <w:rFonts w:asciiTheme="majorBidi" w:hAnsiTheme="majorBidi" w:cstheme="majorBidi"/>
          <w:bCs/>
          <w:lang w:val="de-DE"/>
        </w:rPr>
        <w:t xml:space="preserve"> </w:t>
      </w:r>
      <w:proofErr w:type="spellStart"/>
      <w:r w:rsidRPr="000C7C76">
        <w:rPr>
          <w:rFonts w:asciiTheme="majorBidi" w:hAnsiTheme="majorBidi" w:cstheme="majorBidi"/>
          <w:bCs/>
          <w:lang w:val="de-DE"/>
        </w:rPr>
        <w:t>dalībvalstu</w:t>
      </w:r>
      <w:proofErr w:type="spellEnd"/>
      <w:r w:rsidRPr="000C7C76">
        <w:rPr>
          <w:rFonts w:asciiTheme="majorBidi" w:hAnsiTheme="majorBidi" w:cstheme="majorBidi"/>
          <w:bCs/>
          <w:lang w:val="de-DE"/>
        </w:rPr>
        <w:t xml:space="preserve"> </w:t>
      </w:r>
      <w:proofErr w:type="spellStart"/>
      <w:r w:rsidRPr="000C7C76">
        <w:rPr>
          <w:rFonts w:asciiTheme="majorBidi" w:hAnsiTheme="majorBidi" w:cstheme="majorBidi"/>
          <w:bCs/>
          <w:lang w:val="de-DE"/>
        </w:rPr>
        <w:t>kompetentās</w:t>
      </w:r>
      <w:proofErr w:type="spellEnd"/>
      <w:r w:rsidRPr="000C7C76">
        <w:rPr>
          <w:rFonts w:asciiTheme="majorBidi" w:hAnsiTheme="majorBidi" w:cstheme="majorBidi"/>
          <w:bCs/>
          <w:lang w:val="de-DE"/>
        </w:rPr>
        <w:t xml:space="preserve"> </w:t>
      </w:r>
      <w:proofErr w:type="spellStart"/>
      <w:r w:rsidRPr="000C7C76">
        <w:rPr>
          <w:rFonts w:asciiTheme="majorBidi" w:hAnsiTheme="majorBidi" w:cstheme="majorBidi"/>
          <w:bCs/>
          <w:lang w:val="de-DE"/>
        </w:rPr>
        <w:t>iestādes</w:t>
      </w:r>
      <w:proofErr w:type="spellEnd"/>
      <w:r w:rsidRPr="000C7C76">
        <w:rPr>
          <w:rFonts w:asciiTheme="majorBidi" w:hAnsiTheme="majorBidi" w:cstheme="majorBidi"/>
          <w:bCs/>
          <w:lang w:val="de-DE"/>
        </w:rPr>
        <w:t xml:space="preserve">, ja </w:t>
      </w:r>
      <w:proofErr w:type="spellStart"/>
      <w:r w:rsidRPr="000C7C76">
        <w:rPr>
          <w:rFonts w:asciiTheme="majorBidi" w:hAnsiTheme="majorBidi" w:cstheme="majorBidi"/>
          <w:bCs/>
          <w:lang w:val="de-DE"/>
        </w:rPr>
        <w:t>vien</w:t>
      </w:r>
      <w:proofErr w:type="spellEnd"/>
      <w:r w:rsidRPr="000C7C76">
        <w:rPr>
          <w:rFonts w:asciiTheme="majorBidi" w:hAnsiTheme="majorBidi" w:cstheme="majorBidi"/>
          <w:bCs/>
          <w:lang w:val="de-DE"/>
        </w:rPr>
        <w:t xml:space="preserve"> </w:t>
      </w:r>
      <w:proofErr w:type="spellStart"/>
      <w:r w:rsidRPr="000C7C76">
        <w:rPr>
          <w:rFonts w:asciiTheme="majorBidi" w:hAnsiTheme="majorBidi" w:cstheme="majorBidi"/>
          <w:bCs/>
          <w:lang w:val="de-DE"/>
        </w:rPr>
        <w:t>šo</w:t>
      </w:r>
      <w:proofErr w:type="spellEnd"/>
      <w:r w:rsidRPr="000C7C76">
        <w:rPr>
          <w:rFonts w:asciiTheme="majorBidi" w:hAnsiTheme="majorBidi" w:cstheme="majorBidi"/>
          <w:bCs/>
          <w:lang w:val="de-DE"/>
        </w:rPr>
        <w:t xml:space="preserve"> </w:t>
      </w:r>
      <w:proofErr w:type="spellStart"/>
      <w:r w:rsidRPr="000C7C76">
        <w:rPr>
          <w:rFonts w:asciiTheme="majorBidi" w:hAnsiTheme="majorBidi" w:cstheme="majorBidi"/>
          <w:bCs/>
          <w:lang w:val="de-DE"/>
        </w:rPr>
        <w:t>dokumentu</w:t>
      </w:r>
      <w:proofErr w:type="spellEnd"/>
      <w:r w:rsidRPr="000C7C76">
        <w:rPr>
          <w:rFonts w:asciiTheme="majorBidi" w:hAnsiTheme="majorBidi" w:cstheme="majorBidi"/>
          <w:bCs/>
          <w:lang w:val="de-DE"/>
        </w:rPr>
        <w:t xml:space="preserve"> </w:t>
      </w:r>
      <w:proofErr w:type="spellStart"/>
      <w:r w:rsidRPr="000C7C76">
        <w:rPr>
          <w:rFonts w:asciiTheme="majorBidi" w:hAnsiTheme="majorBidi" w:cstheme="majorBidi"/>
          <w:bCs/>
          <w:lang w:val="de-DE"/>
        </w:rPr>
        <w:t>ticamība</w:t>
      </w:r>
      <w:proofErr w:type="spellEnd"/>
      <w:r w:rsidRPr="000C7C76">
        <w:rPr>
          <w:rFonts w:asciiTheme="majorBidi" w:hAnsiTheme="majorBidi" w:cstheme="majorBidi"/>
          <w:bCs/>
          <w:lang w:val="de-DE"/>
        </w:rPr>
        <w:t xml:space="preserve"> </w:t>
      </w:r>
      <w:proofErr w:type="spellStart"/>
      <w:r w:rsidRPr="000C7C76">
        <w:rPr>
          <w:rFonts w:asciiTheme="majorBidi" w:hAnsiTheme="majorBidi" w:cstheme="majorBidi"/>
          <w:bCs/>
          <w:lang w:val="de-DE"/>
        </w:rPr>
        <w:t>nav</w:t>
      </w:r>
      <w:proofErr w:type="spellEnd"/>
      <w:r w:rsidRPr="000C7C76">
        <w:rPr>
          <w:rFonts w:asciiTheme="majorBidi" w:hAnsiTheme="majorBidi" w:cstheme="majorBidi"/>
          <w:bCs/>
          <w:lang w:val="de-DE"/>
        </w:rPr>
        <w:t xml:space="preserve"> </w:t>
      </w:r>
      <w:proofErr w:type="spellStart"/>
      <w:r w:rsidRPr="000C7C76">
        <w:rPr>
          <w:rFonts w:asciiTheme="majorBidi" w:hAnsiTheme="majorBidi" w:cstheme="majorBidi"/>
          <w:bCs/>
          <w:lang w:val="de-DE"/>
        </w:rPr>
        <w:t>nopietni</w:t>
      </w:r>
      <w:proofErr w:type="spellEnd"/>
      <w:r w:rsidRPr="000C7C76">
        <w:rPr>
          <w:rFonts w:asciiTheme="majorBidi" w:hAnsiTheme="majorBidi" w:cstheme="majorBidi"/>
          <w:bCs/>
          <w:lang w:val="de-DE"/>
        </w:rPr>
        <w:t xml:space="preserve"> </w:t>
      </w:r>
      <w:proofErr w:type="spellStart"/>
      <w:r w:rsidRPr="000C7C76">
        <w:rPr>
          <w:rFonts w:asciiTheme="majorBidi" w:hAnsiTheme="majorBidi" w:cstheme="majorBidi"/>
          <w:bCs/>
          <w:lang w:val="de-DE"/>
        </w:rPr>
        <w:t>apšaubīta</w:t>
      </w:r>
      <w:proofErr w:type="spellEnd"/>
      <w:r w:rsidRPr="000C7C76">
        <w:rPr>
          <w:rFonts w:asciiTheme="majorBidi" w:hAnsiTheme="majorBidi" w:cstheme="majorBidi"/>
          <w:bCs/>
          <w:lang w:val="de-DE"/>
        </w:rPr>
        <w:t xml:space="preserve"> </w:t>
      </w:r>
      <w:proofErr w:type="spellStart"/>
      <w:r w:rsidRPr="000C7C76">
        <w:rPr>
          <w:rFonts w:asciiTheme="majorBidi" w:hAnsiTheme="majorBidi" w:cstheme="majorBidi"/>
          <w:bCs/>
          <w:lang w:val="de-DE"/>
        </w:rPr>
        <w:t>ar</w:t>
      </w:r>
      <w:proofErr w:type="spellEnd"/>
      <w:r w:rsidRPr="000C7C76">
        <w:rPr>
          <w:rFonts w:asciiTheme="majorBidi" w:hAnsiTheme="majorBidi" w:cstheme="majorBidi"/>
          <w:bCs/>
          <w:lang w:val="de-DE"/>
        </w:rPr>
        <w:t xml:space="preserve"> </w:t>
      </w:r>
      <w:proofErr w:type="spellStart"/>
      <w:r w:rsidRPr="000C7C76">
        <w:rPr>
          <w:rFonts w:asciiTheme="majorBidi" w:hAnsiTheme="majorBidi" w:cstheme="majorBidi"/>
          <w:bCs/>
          <w:lang w:val="de-DE"/>
        </w:rPr>
        <w:t>konkrētiem</w:t>
      </w:r>
      <w:proofErr w:type="spellEnd"/>
      <w:r w:rsidRPr="000C7C76">
        <w:rPr>
          <w:rFonts w:asciiTheme="majorBidi" w:hAnsiTheme="majorBidi" w:cstheme="majorBidi"/>
          <w:bCs/>
          <w:lang w:val="de-DE"/>
        </w:rPr>
        <w:t xml:space="preserve"> </w:t>
      </w:r>
      <w:proofErr w:type="spellStart"/>
      <w:r w:rsidRPr="000C7C76">
        <w:rPr>
          <w:rFonts w:asciiTheme="majorBidi" w:hAnsiTheme="majorBidi" w:cstheme="majorBidi"/>
          <w:bCs/>
          <w:lang w:val="de-DE"/>
        </w:rPr>
        <w:t>pierādījumiem</w:t>
      </w:r>
      <w:proofErr w:type="spellEnd"/>
      <w:r w:rsidRPr="000C7C76">
        <w:rPr>
          <w:rFonts w:asciiTheme="majorBidi" w:hAnsiTheme="majorBidi" w:cstheme="majorBidi"/>
          <w:bCs/>
          <w:lang w:val="de-DE"/>
        </w:rPr>
        <w:t xml:space="preserve">, </w:t>
      </w:r>
      <w:proofErr w:type="spellStart"/>
      <w:r w:rsidRPr="000C7C76">
        <w:rPr>
          <w:rFonts w:asciiTheme="majorBidi" w:hAnsiTheme="majorBidi" w:cstheme="majorBidi"/>
          <w:bCs/>
          <w:lang w:val="de-DE"/>
        </w:rPr>
        <w:t>kuri</w:t>
      </w:r>
      <w:proofErr w:type="spellEnd"/>
      <w:r w:rsidRPr="000C7C76">
        <w:rPr>
          <w:rFonts w:asciiTheme="majorBidi" w:hAnsiTheme="majorBidi" w:cstheme="majorBidi"/>
          <w:bCs/>
          <w:lang w:val="de-DE"/>
        </w:rPr>
        <w:t xml:space="preserve"> </w:t>
      </w:r>
      <w:proofErr w:type="spellStart"/>
      <w:r w:rsidRPr="000C7C76">
        <w:rPr>
          <w:rFonts w:asciiTheme="majorBidi" w:hAnsiTheme="majorBidi" w:cstheme="majorBidi"/>
          <w:bCs/>
          <w:lang w:val="de-DE"/>
        </w:rPr>
        <w:t>attiecas</w:t>
      </w:r>
      <w:proofErr w:type="spellEnd"/>
      <w:r w:rsidRPr="000C7C76">
        <w:rPr>
          <w:rFonts w:asciiTheme="majorBidi" w:hAnsiTheme="majorBidi" w:cstheme="majorBidi"/>
          <w:bCs/>
          <w:lang w:val="de-DE"/>
        </w:rPr>
        <w:t xml:space="preserve"> </w:t>
      </w:r>
      <w:proofErr w:type="spellStart"/>
      <w:r w:rsidRPr="000C7C76">
        <w:rPr>
          <w:rFonts w:asciiTheme="majorBidi" w:hAnsiTheme="majorBidi" w:cstheme="majorBidi"/>
          <w:bCs/>
          <w:lang w:val="de-DE"/>
        </w:rPr>
        <w:t>uz</w:t>
      </w:r>
      <w:proofErr w:type="spellEnd"/>
      <w:r w:rsidRPr="000C7C76">
        <w:rPr>
          <w:rFonts w:asciiTheme="majorBidi" w:hAnsiTheme="majorBidi" w:cstheme="majorBidi"/>
          <w:bCs/>
          <w:lang w:val="de-DE"/>
        </w:rPr>
        <w:t xml:space="preserve"> </w:t>
      </w:r>
      <w:proofErr w:type="spellStart"/>
      <w:r w:rsidRPr="000C7C76">
        <w:rPr>
          <w:rFonts w:asciiTheme="majorBidi" w:hAnsiTheme="majorBidi" w:cstheme="majorBidi"/>
          <w:bCs/>
          <w:lang w:val="de-DE"/>
        </w:rPr>
        <w:t>konkrēto</w:t>
      </w:r>
      <w:proofErr w:type="spellEnd"/>
      <w:r w:rsidRPr="000C7C76">
        <w:rPr>
          <w:rFonts w:asciiTheme="majorBidi" w:hAnsiTheme="majorBidi" w:cstheme="majorBidi"/>
          <w:bCs/>
          <w:lang w:val="de-DE"/>
        </w:rPr>
        <w:t xml:space="preserve"> </w:t>
      </w:r>
      <w:proofErr w:type="spellStart"/>
      <w:r w:rsidRPr="000C7C76">
        <w:rPr>
          <w:rFonts w:asciiTheme="majorBidi" w:hAnsiTheme="majorBidi" w:cstheme="majorBidi"/>
          <w:bCs/>
          <w:lang w:val="de-DE"/>
        </w:rPr>
        <w:t>lietu</w:t>
      </w:r>
      <w:proofErr w:type="spellEnd"/>
      <w:r w:rsidRPr="000C7C76">
        <w:rPr>
          <w:rFonts w:asciiTheme="majorBidi" w:hAnsiTheme="majorBidi" w:cstheme="majorBidi"/>
          <w:bCs/>
          <w:lang w:val="de-DE"/>
        </w:rPr>
        <w:t>.</w:t>
      </w:r>
      <w:r>
        <w:rPr>
          <w:rStyle w:val="FootnoteReference"/>
          <w:rFonts w:asciiTheme="majorBidi" w:hAnsiTheme="majorBidi" w:cstheme="majorBidi"/>
          <w:bCs/>
        </w:rPr>
        <w:footnoteReference w:id="133"/>
      </w:r>
      <w:r w:rsidRPr="000C7C76">
        <w:rPr>
          <w:rFonts w:asciiTheme="majorBidi" w:hAnsiTheme="majorBidi" w:cstheme="majorBidi"/>
          <w:bCs/>
          <w:lang w:val="de-DE"/>
        </w:rPr>
        <w:t xml:space="preserve"> </w:t>
      </w:r>
      <w:proofErr w:type="spellStart"/>
      <w:r w:rsidRPr="000C7C76">
        <w:rPr>
          <w:rFonts w:asciiTheme="majorBidi" w:hAnsiTheme="majorBidi" w:cstheme="majorBidi"/>
          <w:bCs/>
          <w:lang w:val="de-DE"/>
        </w:rPr>
        <w:t>Šis</w:t>
      </w:r>
      <w:proofErr w:type="spellEnd"/>
      <w:r w:rsidRPr="000C7C76">
        <w:rPr>
          <w:rFonts w:asciiTheme="majorBidi" w:hAnsiTheme="majorBidi" w:cstheme="majorBidi"/>
          <w:bCs/>
          <w:lang w:val="de-DE"/>
        </w:rPr>
        <w:t xml:space="preserve"> </w:t>
      </w:r>
      <w:proofErr w:type="spellStart"/>
      <w:r w:rsidRPr="000C7C76">
        <w:rPr>
          <w:rFonts w:asciiTheme="majorBidi" w:hAnsiTheme="majorBidi" w:cstheme="majorBidi"/>
          <w:bCs/>
          <w:lang w:val="de-DE"/>
        </w:rPr>
        <w:t>nosacījums</w:t>
      </w:r>
      <w:proofErr w:type="spellEnd"/>
      <w:r w:rsidRPr="000C7C76">
        <w:rPr>
          <w:rFonts w:asciiTheme="majorBidi" w:hAnsiTheme="majorBidi" w:cstheme="majorBidi"/>
          <w:bCs/>
          <w:lang w:val="de-DE"/>
        </w:rPr>
        <w:t xml:space="preserve"> </w:t>
      </w:r>
      <w:proofErr w:type="spellStart"/>
      <w:r w:rsidRPr="000C7C76">
        <w:rPr>
          <w:rFonts w:asciiTheme="majorBidi" w:hAnsiTheme="majorBidi" w:cstheme="majorBidi"/>
          <w:bCs/>
          <w:lang w:val="de-DE"/>
        </w:rPr>
        <w:t>ir</w:t>
      </w:r>
      <w:proofErr w:type="spellEnd"/>
      <w:r w:rsidRPr="000C7C76">
        <w:rPr>
          <w:rFonts w:asciiTheme="majorBidi" w:hAnsiTheme="majorBidi" w:cstheme="majorBidi"/>
          <w:bCs/>
          <w:lang w:val="de-DE"/>
        </w:rPr>
        <w:t xml:space="preserve"> </w:t>
      </w:r>
      <w:proofErr w:type="spellStart"/>
      <w:r w:rsidRPr="000C7C76">
        <w:rPr>
          <w:rFonts w:asciiTheme="majorBidi" w:hAnsiTheme="majorBidi" w:cstheme="majorBidi"/>
          <w:bCs/>
          <w:lang w:val="de-DE"/>
        </w:rPr>
        <w:t>ietverts</w:t>
      </w:r>
      <w:proofErr w:type="spellEnd"/>
      <w:r w:rsidRPr="000C7C76">
        <w:rPr>
          <w:rFonts w:asciiTheme="majorBidi" w:hAnsiTheme="majorBidi" w:cstheme="majorBidi"/>
          <w:bCs/>
          <w:lang w:val="de-DE"/>
        </w:rPr>
        <w:t xml:space="preserve"> </w:t>
      </w:r>
      <w:proofErr w:type="spellStart"/>
      <w:r w:rsidRPr="000C7C76">
        <w:rPr>
          <w:rFonts w:asciiTheme="majorBidi" w:hAnsiTheme="majorBidi" w:cstheme="majorBidi"/>
          <w:bCs/>
          <w:lang w:val="de-DE"/>
        </w:rPr>
        <w:t>gan</w:t>
      </w:r>
      <w:proofErr w:type="spellEnd"/>
      <w:r w:rsidRPr="000C7C76">
        <w:rPr>
          <w:rFonts w:asciiTheme="majorBidi" w:hAnsiTheme="majorBidi" w:cstheme="majorBidi"/>
          <w:bCs/>
          <w:lang w:val="de-DE"/>
        </w:rPr>
        <w:t xml:space="preserve"> </w:t>
      </w:r>
      <w:r>
        <w:rPr>
          <w:rFonts w:asciiTheme="majorBidi" w:hAnsiTheme="majorBidi" w:cstheme="majorBidi"/>
          <w:bCs/>
          <w:lang w:val="de-DE"/>
        </w:rPr>
        <w:t xml:space="preserve">1987.gada 25.maija </w:t>
      </w:r>
      <w:proofErr w:type="spellStart"/>
      <w:r>
        <w:rPr>
          <w:rFonts w:asciiTheme="majorBidi" w:hAnsiTheme="majorBidi" w:cstheme="majorBidi"/>
          <w:bCs/>
          <w:lang w:val="de-DE"/>
        </w:rPr>
        <w:t>Konvencijas</w:t>
      </w:r>
      <w:proofErr w:type="spellEnd"/>
      <w:r>
        <w:rPr>
          <w:rFonts w:asciiTheme="majorBidi" w:hAnsiTheme="majorBidi" w:cstheme="majorBidi"/>
          <w:bCs/>
          <w:lang w:val="de-DE"/>
        </w:rPr>
        <w:t xml:space="preserve"> par </w:t>
      </w:r>
      <w:proofErr w:type="spellStart"/>
      <w:r>
        <w:rPr>
          <w:rFonts w:asciiTheme="majorBidi" w:hAnsiTheme="majorBidi" w:cstheme="majorBidi"/>
          <w:bCs/>
          <w:lang w:val="de-DE"/>
        </w:rPr>
        <w:t>dokumentu</w:t>
      </w:r>
      <w:proofErr w:type="spellEnd"/>
      <w:r>
        <w:rPr>
          <w:rFonts w:asciiTheme="majorBidi" w:hAnsiTheme="majorBidi" w:cstheme="majorBidi"/>
          <w:bCs/>
          <w:lang w:val="de-DE"/>
        </w:rPr>
        <w:t xml:space="preserve"> </w:t>
      </w:r>
      <w:proofErr w:type="spellStart"/>
      <w:r>
        <w:rPr>
          <w:rFonts w:asciiTheme="majorBidi" w:hAnsiTheme="majorBidi" w:cstheme="majorBidi"/>
          <w:bCs/>
          <w:lang w:val="de-DE"/>
        </w:rPr>
        <w:t>legalizācijas</w:t>
      </w:r>
      <w:proofErr w:type="spellEnd"/>
      <w:r>
        <w:rPr>
          <w:rFonts w:asciiTheme="majorBidi" w:hAnsiTheme="majorBidi" w:cstheme="majorBidi"/>
          <w:bCs/>
          <w:lang w:val="de-DE"/>
        </w:rPr>
        <w:t xml:space="preserve"> </w:t>
      </w:r>
      <w:proofErr w:type="spellStart"/>
      <w:r>
        <w:rPr>
          <w:rFonts w:asciiTheme="majorBidi" w:hAnsiTheme="majorBidi" w:cstheme="majorBidi"/>
          <w:bCs/>
          <w:lang w:val="de-DE"/>
        </w:rPr>
        <w:t>atcelšanu</w:t>
      </w:r>
      <w:proofErr w:type="spellEnd"/>
      <w:r>
        <w:rPr>
          <w:rFonts w:asciiTheme="majorBidi" w:hAnsiTheme="majorBidi" w:cstheme="majorBidi"/>
          <w:bCs/>
          <w:lang w:val="de-DE"/>
        </w:rPr>
        <w:t xml:space="preserve"> </w:t>
      </w:r>
      <w:proofErr w:type="spellStart"/>
      <w:r>
        <w:rPr>
          <w:rFonts w:asciiTheme="majorBidi" w:hAnsiTheme="majorBidi" w:cstheme="majorBidi"/>
          <w:bCs/>
          <w:lang w:val="de-DE"/>
        </w:rPr>
        <w:t>Eiropas</w:t>
      </w:r>
      <w:proofErr w:type="spellEnd"/>
      <w:r>
        <w:rPr>
          <w:rFonts w:asciiTheme="majorBidi" w:hAnsiTheme="majorBidi" w:cstheme="majorBidi"/>
          <w:bCs/>
          <w:lang w:val="de-DE"/>
        </w:rPr>
        <w:t xml:space="preserve"> </w:t>
      </w:r>
      <w:proofErr w:type="spellStart"/>
      <w:r>
        <w:rPr>
          <w:rFonts w:asciiTheme="majorBidi" w:hAnsiTheme="majorBidi" w:cstheme="majorBidi"/>
          <w:bCs/>
          <w:lang w:val="de-DE"/>
        </w:rPr>
        <w:t>Kopienu</w:t>
      </w:r>
      <w:proofErr w:type="spellEnd"/>
      <w:r>
        <w:rPr>
          <w:rFonts w:asciiTheme="majorBidi" w:hAnsiTheme="majorBidi" w:cstheme="majorBidi"/>
          <w:bCs/>
          <w:lang w:val="de-DE"/>
        </w:rPr>
        <w:t xml:space="preserve"> </w:t>
      </w:r>
      <w:proofErr w:type="spellStart"/>
      <w:r>
        <w:rPr>
          <w:rFonts w:asciiTheme="majorBidi" w:hAnsiTheme="majorBidi" w:cstheme="majorBidi"/>
          <w:bCs/>
          <w:lang w:val="de-DE"/>
        </w:rPr>
        <w:t>dalībvalstu</w:t>
      </w:r>
      <w:proofErr w:type="spellEnd"/>
      <w:r>
        <w:rPr>
          <w:rFonts w:asciiTheme="majorBidi" w:hAnsiTheme="majorBidi" w:cstheme="majorBidi"/>
          <w:bCs/>
          <w:lang w:val="de-DE"/>
        </w:rPr>
        <w:t xml:space="preserve"> </w:t>
      </w:r>
      <w:proofErr w:type="spellStart"/>
      <w:r>
        <w:rPr>
          <w:rFonts w:asciiTheme="majorBidi" w:hAnsiTheme="majorBidi" w:cstheme="majorBidi"/>
          <w:bCs/>
          <w:lang w:val="de-DE"/>
        </w:rPr>
        <w:t>starpā</w:t>
      </w:r>
      <w:proofErr w:type="spellEnd"/>
      <w:r>
        <w:rPr>
          <w:rFonts w:asciiTheme="majorBidi" w:hAnsiTheme="majorBidi" w:cstheme="majorBidi"/>
          <w:bCs/>
          <w:lang w:val="de-DE"/>
        </w:rPr>
        <w:t xml:space="preserve"> 4.panta </w:t>
      </w:r>
      <w:proofErr w:type="spellStart"/>
      <w:r>
        <w:rPr>
          <w:rFonts w:asciiTheme="majorBidi" w:hAnsiTheme="majorBidi" w:cstheme="majorBidi"/>
          <w:bCs/>
          <w:lang w:val="de-DE"/>
        </w:rPr>
        <w:t>pirmajā</w:t>
      </w:r>
      <w:proofErr w:type="spellEnd"/>
      <w:r>
        <w:rPr>
          <w:rFonts w:asciiTheme="majorBidi" w:hAnsiTheme="majorBidi" w:cstheme="majorBidi"/>
          <w:bCs/>
          <w:lang w:val="de-DE"/>
        </w:rPr>
        <w:t xml:space="preserve"> </w:t>
      </w:r>
      <w:proofErr w:type="spellStart"/>
      <w:r>
        <w:rPr>
          <w:rFonts w:asciiTheme="majorBidi" w:hAnsiTheme="majorBidi" w:cstheme="majorBidi"/>
          <w:bCs/>
          <w:lang w:val="de-DE"/>
        </w:rPr>
        <w:t>daļā</w:t>
      </w:r>
      <w:proofErr w:type="spellEnd"/>
      <w:r>
        <w:rPr>
          <w:rFonts w:asciiTheme="majorBidi" w:hAnsiTheme="majorBidi" w:cstheme="majorBidi"/>
          <w:bCs/>
          <w:lang w:val="de-DE"/>
        </w:rPr>
        <w:t xml:space="preserve">, </w:t>
      </w:r>
      <w:proofErr w:type="spellStart"/>
      <w:r>
        <w:rPr>
          <w:rFonts w:asciiTheme="majorBidi" w:hAnsiTheme="majorBidi" w:cstheme="majorBidi"/>
          <w:bCs/>
          <w:lang w:val="de-DE"/>
        </w:rPr>
        <w:t>gan</w:t>
      </w:r>
      <w:proofErr w:type="spellEnd"/>
      <w:r>
        <w:rPr>
          <w:rFonts w:asciiTheme="majorBidi" w:hAnsiTheme="majorBidi" w:cstheme="majorBidi"/>
          <w:bCs/>
          <w:lang w:val="de-DE"/>
        </w:rPr>
        <w:t xml:space="preserve"> </w:t>
      </w:r>
      <w:proofErr w:type="spellStart"/>
      <w:r>
        <w:rPr>
          <w:rFonts w:asciiTheme="majorBidi" w:hAnsiTheme="majorBidi" w:cstheme="majorBidi"/>
          <w:bCs/>
          <w:lang w:val="de-DE"/>
        </w:rPr>
        <w:t>Dokumentu</w:t>
      </w:r>
      <w:proofErr w:type="spellEnd"/>
      <w:r>
        <w:rPr>
          <w:rFonts w:asciiTheme="majorBidi" w:hAnsiTheme="majorBidi" w:cstheme="majorBidi"/>
          <w:bCs/>
          <w:lang w:val="de-DE"/>
        </w:rPr>
        <w:t xml:space="preserve"> </w:t>
      </w:r>
      <w:proofErr w:type="spellStart"/>
      <w:r>
        <w:rPr>
          <w:rFonts w:asciiTheme="majorBidi" w:hAnsiTheme="majorBidi" w:cstheme="majorBidi"/>
          <w:bCs/>
          <w:lang w:val="de-DE"/>
        </w:rPr>
        <w:t>legalizācijas</w:t>
      </w:r>
      <w:proofErr w:type="spellEnd"/>
      <w:r>
        <w:rPr>
          <w:rFonts w:asciiTheme="majorBidi" w:hAnsiTheme="majorBidi" w:cstheme="majorBidi"/>
          <w:bCs/>
          <w:lang w:val="de-DE"/>
        </w:rPr>
        <w:t xml:space="preserve"> </w:t>
      </w:r>
      <w:proofErr w:type="spellStart"/>
      <w:r>
        <w:rPr>
          <w:rFonts w:asciiTheme="majorBidi" w:hAnsiTheme="majorBidi" w:cstheme="majorBidi"/>
          <w:bCs/>
          <w:lang w:val="de-DE"/>
        </w:rPr>
        <w:t>likuma</w:t>
      </w:r>
      <w:proofErr w:type="spellEnd"/>
      <w:r>
        <w:rPr>
          <w:rFonts w:asciiTheme="majorBidi" w:hAnsiTheme="majorBidi" w:cstheme="majorBidi"/>
          <w:bCs/>
          <w:lang w:val="de-DE"/>
        </w:rPr>
        <w:t xml:space="preserve"> 3.panta </w:t>
      </w:r>
      <w:proofErr w:type="spellStart"/>
      <w:r>
        <w:rPr>
          <w:rFonts w:asciiTheme="majorBidi" w:hAnsiTheme="majorBidi" w:cstheme="majorBidi"/>
          <w:bCs/>
          <w:lang w:val="de-DE"/>
        </w:rPr>
        <w:t>otrās</w:t>
      </w:r>
      <w:proofErr w:type="spellEnd"/>
      <w:r>
        <w:rPr>
          <w:rFonts w:asciiTheme="majorBidi" w:hAnsiTheme="majorBidi" w:cstheme="majorBidi"/>
          <w:bCs/>
          <w:lang w:val="de-DE"/>
        </w:rPr>
        <w:t xml:space="preserve"> </w:t>
      </w:r>
      <w:proofErr w:type="spellStart"/>
      <w:r>
        <w:rPr>
          <w:rFonts w:asciiTheme="majorBidi" w:hAnsiTheme="majorBidi" w:cstheme="majorBidi"/>
          <w:bCs/>
          <w:lang w:val="de-DE"/>
        </w:rPr>
        <w:t>daļas</w:t>
      </w:r>
      <w:proofErr w:type="spellEnd"/>
      <w:r>
        <w:rPr>
          <w:rFonts w:asciiTheme="majorBidi" w:hAnsiTheme="majorBidi" w:cstheme="majorBidi"/>
          <w:bCs/>
          <w:lang w:val="de-DE"/>
        </w:rPr>
        <w:t xml:space="preserve"> 2.teikumā.</w:t>
      </w:r>
    </w:p>
    <w:p w14:paraId="28878C23" w14:textId="77777777" w:rsidR="00114953" w:rsidRPr="00CD4311" w:rsidRDefault="00114953" w:rsidP="00114953">
      <w:pPr>
        <w:jc w:val="both"/>
        <w:rPr>
          <w:rFonts w:ascii="Times New Roman" w:hAnsi="Times New Roman" w:cs="Times New Roman"/>
          <w:b/>
          <w:lang w:val="de-DE"/>
        </w:rPr>
      </w:pPr>
      <w:r>
        <w:rPr>
          <w:rFonts w:asciiTheme="majorBidi" w:hAnsiTheme="majorBidi" w:cstheme="majorBidi"/>
          <w:bCs/>
          <w:lang w:val="de-DE"/>
        </w:rPr>
        <w:tab/>
      </w:r>
      <w:proofErr w:type="spellStart"/>
      <w:r w:rsidRPr="00CD4311">
        <w:rPr>
          <w:rFonts w:asciiTheme="majorBidi" w:hAnsiTheme="majorBidi" w:cstheme="majorBidi"/>
          <w:bCs/>
          <w:lang w:val="de-DE"/>
        </w:rPr>
        <w:t>Līdz</w:t>
      </w:r>
      <w:proofErr w:type="spellEnd"/>
      <w:r w:rsidRPr="00CD4311">
        <w:rPr>
          <w:rFonts w:asciiTheme="majorBidi" w:hAnsiTheme="majorBidi" w:cstheme="majorBidi"/>
          <w:bCs/>
          <w:lang w:val="de-DE"/>
        </w:rPr>
        <w:t xml:space="preserve"> </w:t>
      </w:r>
      <w:proofErr w:type="spellStart"/>
      <w:r w:rsidRPr="00CD4311">
        <w:rPr>
          <w:rFonts w:asciiTheme="majorBidi" w:hAnsiTheme="majorBidi" w:cstheme="majorBidi"/>
          <w:bCs/>
          <w:lang w:val="de-DE"/>
        </w:rPr>
        <w:t>ar</w:t>
      </w:r>
      <w:proofErr w:type="spellEnd"/>
      <w:r w:rsidRPr="00CD4311">
        <w:rPr>
          <w:rFonts w:asciiTheme="majorBidi" w:hAnsiTheme="majorBidi" w:cstheme="majorBidi"/>
          <w:bCs/>
          <w:lang w:val="de-DE"/>
        </w:rPr>
        <w:t xml:space="preserve"> </w:t>
      </w:r>
      <w:proofErr w:type="spellStart"/>
      <w:r w:rsidRPr="00CD4311">
        <w:rPr>
          <w:rFonts w:asciiTheme="majorBidi" w:hAnsiTheme="majorBidi" w:cstheme="majorBidi"/>
          <w:bCs/>
          <w:lang w:val="de-DE"/>
        </w:rPr>
        <w:t>to</w:t>
      </w:r>
      <w:proofErr w:type="spellEnd"/>
      <w:r w:rsidRPr="00CD4311">
        <w:rPr>
          <w:rFonts w:asciiTheme="majorBidi" w:hAnsiTheme="majorBidi" w:cstheme="majorBidi"/>
          <w:bCs/>
          <w:lang w:val="de-DE"/>
        </w:rPr>
        <w:t xml:space="preserve"> </w:t>
      </w:r>
      <w:proofErr w:type="spellStart"/>
      <w:r w:rsidRPr="00CD4311">
        <w:rPr>
          <w:rFonts w:asciiTheme="majorBidi" w:hAnsiTheme="majorBidi" w:cstheme="majorBidi"/>
          <w:bCs/>
          <w:lang w:val="de-DE"/>
        </w:rPr>
        <w:t>var</w:t>
      </w:r>
      <w:proofErr w:type="spellEnd"/>
      <w:r w:rsidRPr="00CD4311">
        <w:rPr>
          <w:rFonts w:asciiTheme="majorBidi" w:hAnsiTheme="majorBidi" w:cstheme="majorBidi"/>
          <w:bCs/>
          <w:lang w:val="de-DE"/>
        </w:rPr>
        <w:t xml:space="preserve"> </w:t>
      </w:r>
      <w:proofErr w:type="spellStart"/>
      <w:r w:rsidRPr="00CD4311">
        <w:rPr>
          <w:rFonts w:asciiTheme="majorBidi" w:hAnsiTheme="majorBidi" w:cstheme="majorBidi"/>
          <w:bCs/>
          <w:lang w:val="de-DE"/>
        </w:rPr>
        <w:t>secināt</w:t>
      </w:r>
      <w:proofErr w:type="spellEnd"/>
      <w:r w:rsidRPr="00CD4311">
        <w:rPr>
          <w:rFonts w:asciiTheme="majorBidi" w:hAnsiTheme="majorBidi" w:cstheme="majorBidi"/>
          <w:bCs/>
          <w:lang w:val="de-DE"/>
        </w:rPr>
        <w:t xml:space="preserve">, </w:t>
      </w:r>
      <w:proofErr w:type="spellStart"/>
      <w:r w:rsidRPr="00CD4311">
        <w:rPr>
          <w:rFonts w:asciiTheme="majorBidi" w:hAnsiTheme="majorBidi" w:cstheme="majorBidi"/>
          <w:bCs/>
          <w:lang w:val="de-DE"/>
        </w:rPr>
        <w:t>ka</w:t>
      </w:r>
      <w:proofErr w:type="spellEnd"/>
      <w:r w:rsidRPr="00CD4311">
        <w:rPr>
          <w:rFonts w:asciiTheme="majorBidi" w:hAnsiTheme="majorBidi" w:cstheme="majorBidi"/>
          <w:b/>
          <w:bCs/>
          <w:lang w:val="de-DE"/>
        </w:rPr>
        <w:t xml:space="preserve"> </w:t>
      </w:r>
      <w:proofErr w:type="spellStart"/>
      <w:r w:rsidRPr="00CD4311">
        <w:rPr>
          <w:rFonts w:ascii="Times New Roman" w:hAnsi="Times New Roman" w:cs="Times New Roman"/>
          <w:b/>
          <w:lang w:val="de-DE"/>
        </w:rPr>
        <w:t>Hāgas</w:t>
      </w:r>
      <w:proofErr w:type="spellEnd"/>
      <w:r w:rsidRPr="00CD4311">
        <w:rPr>
          <w:rFonts w:ascii="Times New Roman" w:hAnsi="Times New Roman" w:cs="Times New Roman"/>
          <w:b/>
          <w:lang w:val="de-DE"/>
        </w:rPr>
        <w:t xml:space="preserve"> </w:t>
      </w:r>
      <w:proofErr w:type="spellStart"/>
      <w:r w:rsidRPr="00CD4311">
        <w:rPr>
          <w:rFonts w:ascii="Times New Roman" w:hAnsi="Times New Roman" w:cs="Times New Roman"/>
          <w:b/>
          <w:lang w:val="de-DE"/>
        </w:rPr>
        <w:t>Dokumentu</w:t>
      </w:r>
      <w:proofErr w:type="spellEnd"/>
      <w:r w:rsidRPr="00CD4311">
        <w:rPr>
          <w:rFonts w:ascii="Times New Roman" w:hAnsi="Times New Roman" w:cs="Times New Roman"/>
          <w:b/>
          <w:lang w:val="de-DE"/>
        </w:rPr>
        <w:t xml:space="preserve"> </w:t>
      </w:r>
      <w:proofErr w:type="spellStart"/>
      <w:r w:rsidRPr="00CD4311">
        <w:rPr>
          <w:rFonts w:ascii="Times New Roman" w:hAnsi="Times New Roman" w:cs="Times New Roman"/>
          <w:b/>
          <w:lang w:val="de-DE"/>
        </w:rPr>
        <w:t>legalizācijas</w:t>
      </w:r>
      <w:proofErr w:type="spellEnd"/>
      <w:r w:rsidRPr="00CD4311">
        <w:rPr>
          <w:rFonts w:ascii="Times New Roman" w:hAnsi="Times New Roman" w:cs="Times New Roman"/>
          <w:b/>
          <w:lang w:val="de-DE"/>
        </w:rPr>
        <w:t xml:space="preserve"> </w:t>
      </w:r>
      <w:proofErr w:type="spellStart"/>
      <w:r w:rsidRPr="00CD4311">
        <w:rPr>
          <w:rFonts w:ascii="Times New Roman" w:hAnsi="Times New Roman" w:cs="Times New Roman"/>
          <w:b/>
          <w:lang w:val="de-DE"/>
        </w:rPr>
        <w:t>atcelšanas</w:t>
      </w:r>
      <w:proofErr w:type="spellEnd"/>
      <w:r w:rsidRPr="00CD4311">
        <w:rPr>
          <w:rFonts w:ascii="Times New Roman" w:hAnsi="Times New Roman" w:cs="Times New Roman"/>
          <w:b/>
          <w:lang w:val="de-DE"/>
        </w:rPr>
        <w:t xml:space="preserve"> </w:t>
      </w:r>
      <w:proofErr w:type="spellStart"/>
      <w:r w:rsidRPr="00CD4311">
        <w:rPr>
          <w:rFonts w:ascii="Times New Roman" w:hAnsi="Times New Roman" w:cs="Times New Roman"/>
          <w:b/>
          <w:lang w:val="de-DE"/>
        </w:rPr>
        <w:t>konvencijas</w:t>
      </w:r>
      <w:proofErr w:type="spellEnd"/>
      <w:r w:rsidRPr="00CD4311">
        <w:rPr>
          <w:rFonts w:ascii="Times New Roman" w:hAnsi="Times New Roman" w:cs="Times New Roman"/>
          <w:b/>
          <w:lang w:val="de-DE"/>
        </w:rPr>
        <w:t xml:space="preserve"> 1.pantā </w:t>
      </w:r>
      <w:proofErr w:type="spellStart"/>
      <w:r w:rsidRPr="00CD4311">
        <w:rPr>
          <w:rFonts w:ascii="Times New Roman" w:hAnsi="Times New Roman" w:cs="Times New Roman"/>
          <w:b/>
          <w:lang w:val="de-DE"/>
        </w:rPr>
        <w:t>sniegtais</w:t>
      </w:r>
      <w:proofErr w:type="spellEnd"/>
      <w:r w:rsidRPr="00CD4311">
        <w:rPr>
          <w:rFonts w:ascii="Times New Roman" w:hAnsi="Times New Roman" w:cs="Times New Roman"/>
          <w:b/>
          <w:lang w:val="de-DE"/>
        </w:rPr>
        <w:t xml:space="preserve"> „</w:t>
      </w:r>
      <w:proofErr w:type="spellStart"/>
      <w:r w:rsidRPr="00CD4311">
        <w:rPr>
          <w:rFonts w:ascii="Times New Roman" w:hAnsi="Times New Roman" w:cs="Times New Roman"/>
          <w:b/>
          <w:lang w:val="de-DE"/>
        </w:rPr>
        <w:t>publisko</w:t>
      </w:r>
      <w:proofErr w:type="spellEnd"/>
      <w:r w:rsidRPr="00CD4311">
        <w:rPr>
          <w:rFonts w:ascii="Times New Roman" w:hAnsi="Times New Roman" w:cs="Times New Roman"/>
          <w:b/>
          <w:lang w:val="de-DE"/>
        </w:rPr>
        <w:t xml:space="preserve"> </w:t>
      </w:r>
      <w:proofErr w:type="spellStart"/>
      <w:r w:rsidRPr="00CD4311">
        <w:rPr>
          <w:rFonts w:ascii="Times New Roman" w:hAnsi="Times New Roman" w:cs="Times New Roman"/>
          <w:b/>
          <w:lang w:val="de-DE"/>
        </w:rPr>
        <w:t>dokumentu</w:t>
      </w:r>
      <w:proofErr w:type="spellEnd"/>
      <w:r w:rsidRPr="00CD4311">
        <w:rPr>
          <w:rFonts w:ascii="Times New Roman" w:hAnsi="Times New Roman" w:cs="Times New Roman"/>
          <w:b/>
          <w:lang w:val="de-DE"/>
        </w:rPr>
        <w:t xml:space="preserve">“ </w:t>
      </w:r>
      <w:proofErr w:type="spellStart"/>
      <w:r w:rsidRPr="00CD4311">
        <w:rPr>
          <w:rFonts w:ascii="Times New Roman" w:hAnsi="Times New Roman" w:cs="Times New Roman"/>
          <w:b/>
          <w:lang w:val="de-DE"/>
        </w:rPr>
        <w:t>uzskaitījums</w:t>
      </w:r>
      <w:proofErr w:type="spellEnd"/>
      <w:r w:rsidRPr="00CD4311">
        <w:rPr>
          <w:rFonts w:ascii="Times New Roman" w:hAnsi="Times New Roman" w:cs="Times New Roman"/>
          <w:b/>
          <w:lang w:val="de-DE"/>
        </w:rPr>
        <w:t xml:space="preserve"> </w:t>
      </w:r>
      <w:proofErr w:type="spellStart"/>
      <w:r w:rsidRPr="00CD4311">
        <w:rPr>
          <w:rFonts w:ascii="Times New Roman" w:hAnsi="Times New Roman" w:cs="Times New Roman"/>
          <w:b/>
          <w:lang w:val="de-DE"/>
        </w:rPr>
        <w:t>nav</w:t>
      </w:r>
      <w:proofErr w:type="spellEnd"/>
      <w:r w:rsidRPr="00CD4311">
        <w:rPr>
          <w:rFonts w:ascii="Times New Roman" w:hAnsi="Times New Roman" w:cs="Times New Roman"/>
          <w:b/>
          <w:lang w:val="de-DE"/>
        </w:rPr>
        <w:t xml:space="preserve"> </w:t>
      </w:r>
      <w:proofErr w:type="spellStart"/>
      <w:r w:rsidRPr="00CD4311">
        <w:rPr>
          <w:rFonts w:ascii="Times New Roman" w:hAnsi="Times New Roman" w:cs="Times New Roman"/>
          <w:b/>
          <w:lang w:val="de-DE"/>
        </w:rPr>
        <w:t>pārņemams</w:t>
      </w:r>
      <w:proofErr w:type="spellEnd"/>
      <w:r w:rsidRPr="00CD4311">
        <w:rPr>
          <w:rFonts w:ascii="Times New Roman" w:hAnsi="Times New Roman" w:cs="Times New Roman"/>
          <w:b/>
          <w:lang w:val="de-DE"/>
        </w:rPr>
        <w:t xml:space="preserve"> </w:t>
      </w:r>
      <w:proofErr w:type="spellStart"/>
      <w:r w:rsidRPr="00CD4311">
        <w:rPr>
          <w:rFonts w:ascii="Times New Roman" w:hAnsi="Times New Roman" w:cs="Times New Roman"/>
          <w:b/>
          <w:lang w:val="de-DE"/>
        </w:rPr>
        <w:t>Notariāta</w:t>
      </w:r>
      <w:proofErr w:type="spellEnd"/>
      <w:r w:rsidRPr="00CD4311">
        <w:rPr>
          <w:rFonts w:ascii="Times New Roman" w:hAnsi="Times New Roman" w:cs="Times New Roman"/>
          <w:b/>
          <w:lang w:val="de-DE"/>
        </w:rPr>
        <w:t xml:space="preserve"> </w:t>
      </w:r>
      <w:proofErr w:type="spellStart"/>
      <w:r w:rsidRPr="00CD4311">
        <w:rPr>
          <w:rFonts w:ascii="Times New Roman" w:hAnsi="Times New Roman" w:cs="Times New Roman"/>
          <w:b/>
          <w:lang w:val="de-DE"/>
        </w:rPr>
        <w:t>likuma</w:t>
      </w:r>
      <w:proofErr w:type="spellEnd"/>
      <w:r w:rsidRPr="00CD4311">
        <w:rPr>
          <w:rFonts w:ascii="Times New Roman" w:hAnsi="Times New Roman" w:cs="Times New Roman"/>
          <w:b/>
          <w:lang w:val="de-DE"/>
        </w:rPr>
        <w:t xml:space="preserve"> 83.pantā </w:t>
      </w:r>
      <w:proofErr w:type="spellStart"/>
      <w:r w:rsidRPr="00CD4311">
        <w:rPr>
          <w:rFonts w:ascii="Times New Roman" w:hAnsi="Times New Roman" w:cs="Times New Roman"/>
          <w:b/>
          <w:lang w:val="de-DE"/>
        </w:rPr>
        <w:t>lietotā</w:t>
      </w:r>
      <w:proofErr w:type="spellEnd"/>
      <w:r w:rsidRPr="00CD4311">
        <w:rPr>
          <w:rFonts w:ascii="Times New Roman" w:hAnsi="Times New Roman" w:cs="Times New Roman"/>
          <w:b/>
          <w:lang w:val="de-DE"/>
        </w:rPr>
        <w:t xml:space="preserve"> </w:t>
      </w:r>
      <w:proofErr w:type="spellStart"/>
      <w:r w:rsidRPr="00CD4311">
        <w:rPr>
          <w:rFonts w:ascii="Times New Roman" w:hAnsi="Times New Roman" w:cs="Times New Roman"/>
          <w:b/>
          <w:lang w:val="de-DE"/>
        </w:rPr>
        <w:t>jēdziena</w:t>
      </w:r>
      <w:proofErr w:type="spellEnd"/>
      <w:r w:rsidRPr="00CD4311">
        <w:rPr>
          <w:rFonts w:ascii="Times New Roman" w:hAnsi="Times New Roman" w:cs="Times New Roman"/>
          <w:b/>
          <w:lang w:val="de-DE"/>
        </w:rPr>
        <w:t xml:space="preserve"> „</w:t>
      </w:r>
      <w:proofErr w:type="spellStart"/>
      <w:r w:rsidRPr="00CD4311">
        <w:rPr>
          <w:rFonts w:ascii="Times New Roman" w:hAnsi="Times New Roman" w:cs="Times New Roman"/>
          <w:b/>
          <w:lang w:val="de-DE"/>
        </w:rPr>
        <w:t>publisks</w:t>
      </w:r>
      <w:proofErr w:type="spellEnd"/>
      <w:r w:rsidRPr="00CD4311">
        <w:rPr>
          <w:rFonts w:ascii="Times New Roman" w:hAnsi="Times New Roman" w:cs="Times New Roman"/>
          <w:b/>
          <w:lang w:val="de-DE"/>
        </w:rPr>
        <w:t xml:space="preserve"> </w:t>
      </w:r>
      <w:proofErr w:type="spellStart"/>
      <w:r w:rsidRPr="00CD4311">
        <w:rPr>
          <w:rFonts w:ascii="Times New Roman" w:hAnsi="Times New Roman" w:cs="Times New Roman"/>
          <w:b/>
          <w:lang w:val="de-DE"/>
        </w:rPr>
        <w:t>dokuments</w:t>
      </w:r>
      <w:proofErr w:type="spellEnd"/>
      <w:r w:rsidRPr="00CD4311">
        <w:rPr>
          <w:rFonts w:ascii="Times New Roman" w:hAnsi="Times New Roman" w:cs="Times New Roman"/>
          <w:b/>
          <w:lang w:val="de-DE"/>
        </w:rPr>
        <w:t xml:space="preserve">“ </w:t>
      </w:r>
      <w:proofErr w:type="spellStart"/>
      <w:r w:rsidRPr="00CD4311">
        <w:rPr>
          <w:rFonts w:ascii="Times New Roman" w:hAnsi="Times New Roman" w:cs="Times New Roman"/>
          <w:b/>
          <w:lang w:val="de-DE"/>
        </w:rPr>
        <w:t>skaidrojumam</w:t>
      </w:r>
      <w:proofErr w:type="spellEnd"/>
      <w:r w:rsidRPr="00CD4311">
        <w:rPr>
          <w:rFonts w:ascii="Times New Roman" w:hAnsi="Times New Roman" w:cs="Times New Roman"/>
          <w:b/>
          <w:lang w:val="de-DE"/>
        </w:rPr>
        <w:t xml:space="preserve">. </w:t>
      </w:r>
      <w:proofErr w:type="spellStart"/>
      <w:r w:rsidRPr="00CD4311">
        <w:rPr>
          <w:rFonts w:ascii="Times New Roman" w:hAnsi="Times New Roman" w:cs="Times New Roman"/>
          <w:b/>
          <w:lang w:val="de-DE"/>
        </w:rPr>
        <w:t>Notariālo</w:t>
      </w:r>
      <w:proofErr w:type="spellEnd"/>
      <w:r w:rsidRPr="00CD4311">
        <w:rPr>
          <w:rFonts w:ascii="Times New Roman" w:hAnsi="Times New Roman" w:cs="Times New Roman"/>
          <w:b/>
          <w:lang w:val="de-DE"/>
        </w:rPr>
        <w:t xml:space="preserve"> </w:t>
      </w:r>
      <w:proofErr w:type="spellStart"/>
      <w:r w:rsidRPr="00CD4311">
        <w:rPr>
          <w:rFonts w:ascii="Times New Roman" w:hAnsi="Times New Roman" w:cs="Times New Roman"/>
          <w:b/>
          <w:lang w:val="de-DE"/>
        </w:rPr>
        <w:t>aktu</w:t>
      </w:r>
      <w:proofErr w:type="spellEnd"/>
      <w:r w:rsidRPr="00CD4311">
        <w:rPr>
          <w:rFonts w:ascii="Times New Roman" w:hAnsi="Times New Roman" w:cs="Times New Roman"/>
          <w:b/>
          <w:lang w:val="de-DE"/>
        </w:rPr>
        <w:t xml:space="preserve"> </w:t>
      </w:r>
      <w:proofErr w:type="spellStart"/>
      <w:r w:rsidRPr="00CD4311">
        <w:rPr>
          <w:rFonts w:ascii="Times New Roman" w:hAnsi="Times New Roman" w:cs="Times New Roman"/>
          <w:b/>
          <w:lang w:val="de-DE"/>
        </w:rPr>
        <w:t>taisīšanas</w:t>
      </w:r>
      <w:proofErr w:type="spellEnd"/>
      <w:r w:rsidRPr="00CD4311">
        <w:rPr>
          <w:rFonts w:ascii="Times New Roman" w:hAnsi="Times New Roman" w:cs="Times New Roman"/>
          <w:b/>
          <w:lang w:val="de-DE"/>
        </w:rPr>
        <w:t xml:space="preserve"> </w:t>
      </w:r>
      <w:proofErr w:type="spellStart"/>
      <w:r w:rsidRPr="00CD4311">
        <w:rPr>
          <w:rFonts w:ascii="Times New Roman" w:hAnsi="Times New Roman" w:cs="Times New Roman"/>
          <w:b/>
          <w:lang w:val="de-DE"/>
        </w:rPr>
        <w:t>procesiem</w:t>
      </w:r>
      <w:proofErr w:type="spellEnd"/>
      <w:r w:rsidRPr="00CD4311">
        <w:rPr>
          <w:rFonts w:ascii="Times New Roman" w:hAnsi="Times New Roman" w:cs="Times New Roman"/>
          <w:b/>
          <w:lang w:val="de-DE"/>
        </w:rPr>
        <w:t xml:space="preserve"> </w:t>
      </w:r>
      <w:proofErr w:type="spellStart"/>
      <w:r w:rsidRPr="00CD4311">
        <w:rPr>
          <w:rFonts w:ascii="Times New Roman" w:hAnsi="Times New Roman" w:cs="Times New Roman"/>
          <w:b/>
          <w:lang w:val="de-DE"/>
        </w:rPr>
        <w:t>speciālais</w:t>
      </w:r>
      <w:proofErr w:type="spellEnd"/>
      <w:r w:rsidRPr="00CD4311">
        <w:rPr>
          <w:rFonts w:ascii="Times New Roman" w:hAnsi="Times New Roman" w:cs="Times New Roman"/>
          <w:b/>
          <w:lang w:val="de-DE"/>
        </w:rPr>
        <w:t xml:space="preserve"> </w:t>
      </w:r>
      <w:proofErr w:type="spellStart"/>
      <w:r w:rsidRPr="00CD4311">
        <w:rPr>
          <w:rFonts w:ascii="Times New Roman" w:hAnsi="Times New Roman" w:cs="Times New Roman"/>
          <w:b/>
          <w:lang w:val="de-DE"/>
        </w:rPr>
        <w:t>likums</w:t>
      </w:r>
      <w:proofErr w:type="spellEnd"/>
      <w:r w:rsidRPr="00CD4311">
        <w:rPr>
          <w:rFonts w:ascii="Times New Roman" w:hAnsi="Times New Roman" w:cs="Times New Roman"/>
          <w:b/>
          <w:lang w:val="de-DE"/>
        </w:rPr>
        <w:t xml:space="preserve"> </w:t>
      </w:r>
      <w:proofErr w:type="spellStart"/>
      <w:r w:rsidRPr="00CD4311">
        <w:rPr>
          <w:rFonts w:ascii="Times New Roman" w:hAnsi="Times New Roman" w:cs="Times New Roman"/>
          <w:b/>
          <w:lang w:val="de-DE"/>
        </w:rPr>
        <w:t>ir</w:t>
      </w:r>
      <w:proofErr w:type="spellEnd"/>
      <w:r w:rsidRPr="00CD4311">
        <w:rPr>
          <w:rFonts w:ascii="Times New Roman" w:hAnsi="Times New Roman" w:cs="Times New Roman"/>
          <w:b/>
          <w:lang w:val="de-DE"/>
        </w:rPr>
        <w:t xml:space="preserve"> </w:t>
      </w:r>
      <w:proofErr w:type="spellStart"/>
      <w:r w:rsidRPr="00CD4311">
        <w:rPr>
          <w:rFonts w:ascii="Times New Roman" w:hAnsi="Times New Roman" w:cs="Times New Roman"/>
          <w:b/>
          <w:lang w:val="de-DE"/>
        </w:rPr>
        <w:t>Notariāta</w:t>
      </w:r>
      <w:proofErr w:type="spellEnd"/>
      <w:r w:rsidRPr="00CD4311">
        <w:rPr>
          <w:rFonts w:ascii="Times New Roman" w:hAnsi="Times New Roman" w:cs="Times New Roman"/>
          <w:b/>
          <w:lang w:val="de-DE"/>
        </w:rPr>
        <w:t xml:space="preserve"> </w:t>
      </w:r>
      <w:proofErr w:type="spellStart"/>
      <w:r w:rsidRPr="00CD4311">
        <w:rPr>
          <w:rFonts w:ascii="Times New Roman" w:hAnsi="Times New Roman" w:cs="Times New Roman"/>
          <w:b/>
          <w:lang w:val="de-DE"/>
        </w:rPr>
        <w:t>likums</w:t>
      </w:r>
      <w:proofErr w:type="spellEnd"/>
      <w:r w:rsidRPr="00CD4311">
        <w:rPr>
          <w:rFonts w:ascii="Times New Roman" w:hAnsi="Times New Roman" w:cs="Times New Roman"/>
          <w:b/>
          <w:lang w:val="de-DE"/>
        </w:rPr>
        <w:t xml:space="preserve">, </w:t>
      </w:r>
      <w:proofErr w:type="spellStart"/>
      <w:r w:rsidRPr="00CD4311">
        <w:rPr>
          <w:rFonts w:ascii="Times New Roman" w:hAnsi="Times New Roman" w:cs="Times New Roman"/>
          <w:b/>
          <w:lang w:val="de-DE"/>
        </w:rPr>
        <w:t>un</w:t>
      </w:r>
      <w:proofErr w:type="spellEnd"/>
      <w:r w:rsidRPr="00CD4311">
        <w:rPr>
          <w:rFonts w:ascii="Times New Roman" w:hAnsi="Times New Roman" w:cs="Times New Roman"/>
          <w:b/>
          <w:lang w:val="de-DE"/>
        </w:rPr>
        <w:t xml:space="preserve"> </w:t>
      </w:r>
      <w:proofErr w:type="spellStart"/>
      <w:r w:rsidRPr="00CD4311">
        <w:rPr>
          <w:rFonts w:ascii="Times New Roman" w:hAnsi="Times New Roman" w:cs="Times New Roman"/>
          <w:b/>
          <w:lang w:val="de-DE"/>
        </w:rPr>
        <w:t>nevis</w:t>
      </w:r>
      <w:proofErr w:type="spellEnd"/>
      <w:r w:rsidRPr="00CD4311">
        <w:rPr>
          <w:rFonts w:ascii="Times New Roman" w:hAnsi="Times New Roman" w:cs="Times New Roman"/>
          <w:b/>
          <w:lang w:val="de-DE"/>
        </w:rPr>
        <w:t xml:space="preserve"> </w:t>
      </w:r>
      <w:proofErr w:type="spellStart"/>
      <w:r w:rsidRPr="00CD4311">
        <w:rPr>
          <w:rFonts w:ascii="Times New Roman" w:hAnsi="Times New Roman" w:cs="Times New Roman"/>
          <w:b/>
          <w:lang w:val="de-DE"/>
        </w:rPr>
        <w:t>minētā</w:t>
      </w:r>
      <w:proofErr w:type="spellEnd"/>
      <w:r w:rsidRPr="00CD4311">
        <w:rPr>
          <w:rFonts w:ascii="Times New Roman" w:hAnsi="Times New Roman" w:cs="Times New Roman"/>
          <w:b/>
          <w:lang w:val="de-DE"/>
        </w:rPr>
        <w:t xml:space="preserve"> </w:t>
      </w:r>
      <w:proofErr w:type="spellStart"/>
      <w:r w:rsidRPr="00CD4311">
        <w:rPr>
          <w:rFonts w:ascii="Times New Roman" w:hAnsi="Times New Roman" w:cs="Times New Roman"/>
          <w:b/>
          <w:lang w:val="de-DE"/>
        </w:rPr>
        <w:t>Konvencija</w:t>
      </w:r>
      <w:proofErr w:type="spellEnd"/>
      <w:r w:rsidRPr="00CD4311">
        <w:rPr>
          <w:rFonts w:ascii="Times New Roman" w:hAnsi="Times New Roman" w:cs="Times New Roman"/>
          <w:b/>
          <w:lang w:val="de-DE"/>
        </w:rPr>
        <w:t xml:space="preserve"> </w:t>
      </w:r>
      <w:proofErr w:type="spellStart"/>
      <w:r w:rsidRPr="00CD4311">
        <w:rPr>
          <w:rFonts w:ascii="Times New Roman" w:hAnsi="Times New Roman" w:cs="Times New Roman"/>
          <w:b/>
          <w:lang w:val="de-DE"/>
        </w:rPr>
        <w:t>un</w:t>
      </w:r>
      <w:proofErr w:type="spellEnd"/>
      <w:r w:rsidRPr="00CD4311">
        <w:rPr>
          <w:rFonts w:ascii="Times New Roman" w:hAnsi="Times New Roman" w:cs="Times New Roman"/>
          <w:b/>
          <w:lang w:val="de-DE"/>
        </w:rPr>
        <w:t>/</w:t>
      </w:r>
      <w:proofErr w:type="spellStart"/>
      <w:r w:rsidRPr="00CD4311">
        <w:rPr>
          <w:rFonts w:ascii="Times New Roman" w:hAnsi="Times New Roman" w:cs="Times New Roman"/>
          <w:b/>
          <w:lang w:val="de-DE"/>
        </w:rPr>
        <w:t>vai</w:t>
      </w:r>
      <w:proofErr w:type="spellEnd"/>
      <w:r w:rsidRPr="00CD4311">
        <w:rPr>
          <w:rFonts w:ascii="Times New Roman" w:hAnsi="Times New Roman" w:cs="Times New Roman"/>
          <w:b/>
          <w:lang w:val="de-DE"/>
        </w:rPr>
        <w:t xml:space="preserve"> </w:t>
      </w:r>
      <w:proofErr w:type="spellStart"/>
      <w:r w:rsidRPr="00CD4311">
        <w:rPr>
          <w:rFonts w:ascii="Times New Roman" w:hAnsi="Times New Roman" w:cs="Times New Roman"/>
          <w:b/>
          <w:lang w:val="de-DE"/>
        </w:rPr>
        <w:t>Dokumentu</w:t>
      </w:r>
      <w:proofErr w:type="spellEnd"/>
      <w:r w:rsidRPr="00CD4311">
        <w:rPr>
          <w:rFonts w:ascii="Times New Roman" w:hAnsi="Times New Roman" w:cs="Times New Roman"/>
          <w:b/>
          <w:lang w:val="de-DE"/>
        </w:rPr>
        <w:t xml:space="preserve"> </w:t>
      </w:r>
      <w:proofErr w:type="spellStart"/>
      <w:r w:rsidRPr="00CD4311">
        <w:rPr>
          <w:rFonts w:ascii="Times New Roman" w:hAnsi="Times New Roman" w:cs="Times New Roman"/>
          <w:b/>
          <w:lang w:val="de-DE"/>
        </w:rPr>
        <w:t>legalizācijas</w:t>
      </w:r>
      <w:proofErr w:type="spellEnd"/>
      <w:r w:rsidRPr="00CD4311">
        <w:rPr>
          <w:rFonts w:ascii="Times New Roman" w:hAnsi="Times New Roman" w:cs="Times New Roman"/>
          <w:b/>
          <w:lang w:val="de-DE"/>
        </w:rPr>
        <w:t xml:space="preserve"> </w:t>
      </w:r>
      <w:proofErr w:type="spellStart"/>
      <w:r w:rsidRPr="00CD4311">
        <w:rPr>
          <w:rFonts w:ascii="Times New Roman" w:hAnsi="Times New Roman" w:cs="Times New Roman"/>
          <w:b/>
          <w:lang w:val="de-DE"/>
        </w:rPr>
        <w:t>likums</w:t>
      </w:r>
      <w:proofErr w:type="spellEnd"/>
      <w:r w:rsidRPr="00CD4311">
        <w:rPr>
          <w:rFonts w:ascii="Times New Roman" w:hAnsi="Times New Roman" w:cs="Times New Roman"/>
          <w:b/>
          <w:lang w:val="de-DE"/>
        </w:rPr>
        <w:t xml:space="preserve"> (</w:t>
      </w:r>
      <w:proofErr w:type="spellStart"/>
      <w:r w:rsidRPr="00CD4311">
        <w:rPr>
          <w:rFonts w:ascii="Times New Roman" w:hAnsi="Times New Roman" w:cs="Times New Roman"/>
          <w:b/>
          <w:lang w:val="de-DE"/>
        </w:rPr>
        <w:t>kuri</w:t>
      </w:r>
      <w:proofErr w:type="spellEnd"/>
      <w:r w:rsidRPr="00CD4311">
        <w:rPr>
          <w:rFonts w:ascii="Times New Roman" w:hAnsi="Times New Roman" w:cs="Times New Roman"/>
          <w:b/>
          <w:lang w:val="de-DE"/>
        </w:rPr>
        <w:t xml:space="preserve"> </w:t>
      </w:r>
      <w:proofErr w:type="spellStart"/>
      <w:r w:rsidRPr="00CD4311">
        <w:rPr>
          <w:rFonts w:ascii="Times New Roman" w:hAnsi="Times New Roman" w:cs="Times New Roman"/>
          <w:b/>
          <w:lang w:val="de-DE"/>
        </w:rPr>
        <w:t>attiecas</w:t>
      </w:r>
      <w:proofErr w:type="spellEnd"/>
      <w:r w:rsidRPr="00CD4311">
        <w:rPr>
          <w:rFonts w:ascii="Times New Roman" w:hAnsi="Times New Roman" w:cs="Times New Roman"/>
          <w:b/>
          <w:lang w:val="de-DE"/>
        </w:rPr>
        <w:t xml:space="preserve"> </w:t>
      </w:r>
      <w:proofErr w:type="spellStart"/>
      <w:r w:rsidRPr="00CD4311">
        <w:rPr>
          <w:rFonts w:ascii="Times New Roman" w:hAnsi="Times New Roman" w:cs="Times New Roman"/>
          <w:b/>
          <w:i/>
          <w:lang w:val="de-DE"/>
        </w:rPr>
        <w:t>tikai</w:t>
      </w:r>
      <w:proofErr w:type="spellEnd"/>
      <w:r w:rsidRPr="00CD4311">
        <w:rPr>
          <w:rFonts w:ascii="Times New Roman" w:hAnsi="Times New Roman" w:cs="Times New Roman"/>
          <w:b/>
          <w:lang w:val="de-DE"/>
        </w:rPr>
        <w:t xml:space="preserve"> </w:t>
      </w:r>
      <w:proofErr w:type="spellStart"/>
      <w:r w:rsidRPr="00CD4311">
        <w:rPr>
          <w:rFonts w:ascii="Times New Roman" w:hAnsi="Times New Roman" w:cs="Times New Roman"/>
          <w:b/>
          <w:lang w:val="de-DE"/>
        </w:rPr>
        <w:t>uz</w:t>
      </w:r>
      <w:proofErr w:type="spellEnd"/>
      <w:r w:rsidRPr="00CD4311">
        <w:rPr>
          <w:rFonts w:ascii="Times New Roman" w:hAnsi="Times New Roman" w:cs="Times New Roman"/>
          <w:b/>
          <w:lang w:val="de-DE"/>
        </w:rPr>
        <w:t xml:space="preserve"> </w:t>
      </w:r>
      <w:proofErr w:type="spellStart"/>
      <w:r w:rsidRPr="00CD4311">
        <w:rPr>
          <w:rFonts w:ascii="Times New Roman" w:hAnsi="Times New Roman" w:cs="Times New Roman"/>
          <w:b/>
          <w:lang w:val="de-DE"/>
        </w:rPr>
        <w:t>dokumentu</w:t>
      </w:r>
      <w:proofErr w:type="spellEnd"/>
      <w:r w:rsidRPr="00CD4311">
        <w:rPr>
          <w:rFonts w:ascii="Times New Roman" w:hAnsi="Times New Roman" w:cs="Times New Roman"/>
          <w:b/>
          <w:lang w:val="de-DE"/>
        </w:rPr>
        <w:t xml:space="preserve"> </w:t>
      </w:r>
      <w:proofErr w:type="spellStart"/>
      <w:r w:rsidRPr="00CD4311">
        <w:rPr>
          <w:rFonts w:ascii="Times New Roman" w:hAnsi="Times New Roman" w:cs="Times New Roman"/>
          <w:b/>
          <w:lang w:val="de-DE"/>
        </w:rPr>
        <w:t>legalizāciju</w:t>
      </w:r>
      <w:proofErr w:type="spellEnd"/>
      <w:r w:rsidRPr="00CD4311">
        <w:rPr>
          <w:rFonts w:ascii="Times New Roman" w:hAnsi="Times New Roman" w:cs="Times New Roman"/>
          <w:b/>
          <w:lang w:val="de-DE"/>
        </w:rPr>
        <w:t>).</w:t>
      </w:r>
    </w:p>
    <w:p w14:paraId="7317F1EE" w14:textId="77777777" w:rsidR="00114953" w:rsidRPr="00CD4311" w:rsidRDefault="00114953" w:rsidP="00114953">
      <w:pPr>
        <w:jc w:val="both"/>
        <w:rPr>
          <w:rFonts w:asciiTheme="majorBidi" w:hAnsiTheme="majorBidi" w:cstheme="majorBidi"/>
          <w:bCs/>
          <w:lang w:val="de-DE"/>
        </w:rPr>
      </w:pPr>
    </w:p>
    <w:p w14:paraId="78A921C8" w14:textId="77777777" w:rsidR="00114953" w:rsidRPr="00CD4311" w:rsidRDefault="00114953" w:rsidP="00114953">
      <w:pPr>
        <w:jc w:val="both"/>
        <w:rPr>
          <w:rFonts w:asciiTheme="majorBidi" w:hAnsiTheme="majorBidi" w:cstheme="majorBidi"/>
          <w:bCs/>
          <w:lang w:val="de-DE"/>
        </w:rPr>
      </w:pPr>
    </w:p>
    <w:p w14:paraId="0B81EC45" w14:textId="77777777" w:rsidR="00114953" w:rsidRPr="000C7C76" w:rsidRDefault="00114953" w:rsidP="00114953">
      <w:pPr>
        <w:ind w:firstLine="708"/>
        <w:jc w:val="both"/>
        <w:rPr>
          <w:rFonts w:asciiTheme="majorBidi" w:hAnsiTheme="majorBidi" w:cstheme="majorBidi"/>
          <w:lang w:val="de-DE"/>
        </w:rPr>
      </w:pPr>
      <w:proofErr w:type="spellStart"/>
      <w:r w:rsidRPr="00CD4311">
        <w:rPr>
          <w:rFonts w:ascii="Times New Roman" w:hAnsi="Times New Roman" w:cs="Times New Roman"/>
          <w:lang w:val="de-DE"/>
        </w:rPr>
        <w:t>Runājot</w:t>
      </w:r>
      <w:proofErr w:type="spellEnd"/>
      <w:r w:rsidRPr="00CD4311">
        <w:rPr>
          <w:rFonts w:ascii="Times New Roman" w:hAnsi="Times New Roman" w:cs="Times New Roman"/>
          <w:lang w:val="de-DE"/>
        </w:rPr>
        <w:t xml:space="preserve"> par </w:t>
      </w:r>
      <w:proofErr w:type="spellStart"/>
      <w:r w:rsidRPr="00CD4311">
        <w:rPr>
          <w:rFonts w:ascii="Times New Roman" w:hAnsi="Times New Roman" w:cs="Times New Roman"/>
          <w:lang w:val="de-DE"/>
        </w:rPr>
        <w:t>publisko</w:t>
      </w:r>
      <w:proofErr w:type="spellEnd"/>
      <w:r w:rsidRPr="00CD4311">
        <w:rPr>
          <w:rFonts w:ascii="Times New Roman" w:hAnsi="Times New Roman" w:cs="Times New Roman"/>
          <w:lang w:val="de-DE"/>
        </w:rPr>
        <w:t xml:space="preserve"> </w:t>
      </w:r>
      <w:proofErr w:type="spellStart"/>
      <w:r w:rsidRPr="00CD4311">
        <w:rPr>
          <w:rFonts w:ascii="Times New Roman" w:hAnsi="Times New Roman" w:cs="Times New Roman"/>
          <w:lang w:val="de-DE"/>
        </w:rPr>
        <w:t>dokumentu</w:t>
      </w:r>
      <w:proofErr w:type="spellEnd"/>
      <w:r w:rsidRPr="00CD4311">
        <w:rPr>
          <w:rFonts w:ascii="Times New Roman" w:hAnsi="Times New Roman" w:cs="Times New Roman"/>
          <w:lang w:val="de-DE"/>
        </w:rPr>
        <w:t xml:space="preserve"> </w:t>
      </w:r>
      <w:proofErr w:type="spellStart"/>
      <w:r w:rsidRPr="00CD4311">
        <w:rPr>
          <w:rFonts w:ascii="Times New Roman" w:hAnsi="Times New Roman" w:cs="Times New Roman"/>
          <w:lang w:val="de-DE"/>
        </w:rPr>
        <w:t>legalizāciju</w:t>
      </w:r>
      <w:proofErr w:type="spellEnd"/>
      <w:r w:rsidRPr="00CD4311">
        <w:rPr>
          <w:rFonts w:ascii="Times New Roman" w:hAnsi="Times New Roman" w:cs="Times New Roman"/>
          <w:lang w:val="de-DE"/>
        </w:rPr>
        <w:t xml:space="preserve">, </w:t>
      </w:r>
      <w:proofErr w:type="spellStart"/>
      <w:r w:rsidRPr="00CD4311">
        <w:rPr>
          <w:rFonts w:ascii="Times New Roman" w:hAnsi="Times New Roman" w:cs="Times New Roman"/>
          <w:lang w:val="de-DE"/>
        </w:rPr>
        <w:t>būtu</w:t>
      </w:r>
      <w:proofErr w:type="spellEnd"/>
      <w:r w:rsidRPr="00CD4311">
        <w:rPr>
          <w:rFonts w:ascii="Times New Roman" w:hAnsi="Times New Roman" w:cs="Times New Roman"/>
          <w:lang w:val="de-DE"/>
        </w:rPr>
        <w:t xml:space="preserve"> </w:t>
      </w:r>
      <w:proofErr w:type="spellStart"/>
      <w:r w:rsidRPr="00CD4311">
        <w:rPr>
          <w:rFonts w:ascii="Times New Roman" w:hAnsi="Times New Roman" w:cs="Times New Roman"/>
          <w:lang w:val="de-DE"/>
        </w:rPr>
        <w:t>nepieciešams</w:t>
      </w:r>
      <w:proofErr w:type="spellEnd"/>
      <w:r w:rsidRPr="00CD4311">
        <w:rPr>
          <w:rFonts w:ascii="Times New Roman" w:hAnsi="Times New Roman" w:cs="Times New Roman"/>
          <w:lang w:val="de-DE"/>
        </w:rPr>
        <w:t xml:space="preserve"> </w:t>
      </w:r>
      <w:proofErr w:type="spellStart"/>
      <w:r w:rsidRPr="00CD4311">
        <w:rPr>
          <w:rFonts w:ascii="Times New Roman" w:hAnsi="Times New Roman" w:cs="Times New Roman"/>
          <w:lang w:val="de-DE"/>
        </w:rPr>
        <w:t>apskatīt</w:t>
      </w:r>
      <w:proofErr w:type="spellEnd"/>
      <w:r w:rsidRPr="00CD4311">
        <w:rPr>
          <w:rFonts w:ascii="Times New Roman" w:hAnsi="Times New Roman" w:cs="Times New Roman"/>
          <w:lang w:val="de-DE"/>
        </w:rPr>
        <w:t xml:space="preserve"> </w:t>
      </w:r>
      <w:proofErr w:type="spellStart"/>
      <w:r w:rsidRPr="00CD4311">
        <w:rPr>
          <w:rFonts w:ascii="Times New Roman" w:hAnsi="Times New Roman" w:cs="Times New Roman"/>
          <w:lang w:val="de-DE"/>
        </w:rPr>
        <w:t>arī</w:t>
      </w:r>
      <w:proofErr w:type="spellEnd"/>
      <w:r w:rsidRPr="00CD4311">
        <w:rPr>
          <w:rFonts w:ascii="Times New Roman" w:hAnsi="Times New Roman" w:cs="Times New Roman"/>
          <w:lang w:val="de-DE"/>
        </w:rPr>
        <w:t xml:space="preserve"> </w:t>
      </w:r>
      <w:proofErr w:type="spellStart"/>
      <w:r w:rsidRPr="00CD4311">
        <w:rPr>
          <w:rFonts w:ascii="Times New Roman" w:hAnsi="Times New Roman" w:cs="Times New Roman"/>
          <w:lang w:val="de-DE"/>
        </w:rPr>
        <w:t>publisko</w:t>
      </w:r>
      <w:proofErr w:type="spellEnd"/>
      <w:r w:rsidRPr="00CD4311">
        <w:rPr>
          <w:rFonts w:ascii="Times New Roman" w:hAnsi="Times New Roman" w:cs="Times New Roman"/>
          <w:lang w:val="de-DE"/>
        </w:rPr>
        <w:t xml:space="preserve"> </w:t>
      </w:r>
      <w:proofErr w:type="spellStart"/>
      <w:r w:rsidRPr="00CD4311">
        <w:rPr>
          <w:rFonts w:ascii="Times New Roman" w:hAnsi="Times New Roman" w:cs="Times New Roman"/>
          <w:lang w:val="de-DE"/>
        </w:rPr>
        <w:t>dokumentu</w:t>
      </w:r>
      <w:proofErr w:type="spellEnd"/>
      <w:r w:rsidRPr="00CD4311">
        <w:rPr>
          <w:rFonts w:ascii="Times New Roman" w:hAnsi="Times New Roman" w:cs="Times New Roman"/>
          <w:lang w:val="de-DE"/>
        </w:rPr>
        <w:t xml:space="preserve"> </w:t>
      </w:r>
      <w:proofErr w:type="spellStart"/>
      <w:r w:rsidRPr="00CD4311">
        <w:rPr>
          <w:rFonts w:ascii="Times New Roman" w:hAnsi="Times New Roman" w:cs="Times New Roman"/>
          <w:lang w:val="de-DE"/>
        </w:rPr>
        <w:t>legalizācijas</w:t>
      </w:r>
      <w:proofErr w:type="spellEnd"/>
      <w:r w:rsidRPr="00CD4311">
        <w:rPr>
          <w:rFonts w:ascii="Times New Roman" w:hAnsi="Times New Roman" w:cs="Times New Roman"/>
          <w:lang w:val="de-DE"/>
        </w:rPr>
        <w:t xml:space="preserve"> </w:t>
      </w:r>
      <w:proofErr w:type="spellStart"/>
      <w:r w:rsidRPr="00CD4311">
        <w:rPr>
          <w:rFonts w:ascii="Times New Roman" w:hAnsi="Times New Roman" w:cs="Times New Roman"/>
          <w:lang w:val="de-DE"/>
        </w:rPr>
        <w:t>formas</w:t>
      </w:r>
      <w:proofErr w:type="spellEnd"/>
      <w:r w:rsidRPr="00CD4311">
        <w:rPr>
          <w:rFonts w:ascii="Times New Roman" w:hAnsi="Times New Roman" w:cs="Times New Roman"/>
          <w:lang w:val="de-DE"/>
        </w:rPr>
        <w:t xml:space="preserve">. </w:t>
      </w:r>
      <w:proofErr w:type="spellStart"/>
      <w:r w:rsidRPr="00CD4311">
        <w:rPr>
          <w:rFonts w:ascii="Times New Roman" w:hAnsi="Times New Roman" w:cs="Times New Roman"/>
          <w:lang w:val="de-DE"/>
        </w:rPr>
        <w:t>Arī</w:t>
      </w:r>
      <w:proofErr w:type="spellEnd"/>
      <w:r w:rsidRPr="00CD4311">
        <w:rPr>
          <w:rFonts w:ascii="Times New Roman" w:hAnsi="Times New Roman" w:cs="Times New Roman"/>
          <w:lang w:val="de-DE"/>
        </w:rPr>
        <w:t xml:space="preserve"> </w:t>
      </w:r>
      <w:proofErr w:type="spellStart"/>
      <w:r w:rsidRPr="00CD4311">
        <w:rPr>
          <w:rFonts w:ascii="Times New Roman" w:hAnsi="Times New Roman" w:cs="Times New Roman"/>
          <w:lang w:val="de-DE"/>
        </w:rPr>
        <w:t>Dokumentu</w:t>
      </w:r>
      <w:proofErr w:type="spellEnd"/>
      <w:r w:rsidRPr="00CD4311">
        <w:rPr>
          <w:rFonts w:ascii="Times New Roman" w:hAnsi="Times New Roman" w:cs="Times New Roman"/>
          <w:lang w:val="de-DE"/>
        </w:rPr>
        <w:t xml:space="preserve"> </w:t>
      </w:r>
      <w:proofErr w:type="spellStart"/>
      <w:r w:rsidRPr="00CD4311">
        <w:rPr>
          <w:rFonts w:ascii="Times New Roman" w:hAnsi="Times New Roman" w:cs="Times New Roman"/>
          <w:lang w:val="de-DE"/>
        </w:rPr>
        <w:t>legalizācijas</w:t>
      </w:r>
      <w:proofErr w:type="spellEnd"/>
      <w:r w:rsidRPr="00CD4311">
        <w:rPr>
          <w:rFonts w:ascii="Times New Roman" w:hAnsi="Times New Roman" w:cs="Times New Roman"/>
          <w:lang w:val="de-DE"/>
        </w:rPr>
        <w:t xml:space="preserve"> </w:t>
      </w:r>
      <w:proofErr w:type="spellStart"/>
      <w:r w:rsidRPr="00CD4311">
        <w:rPr>
          <w:rFonts w:ascii="Times New Roman" w:hAnsi="Times New Roman" w:cs="Times New Roman"/>
          <w:lang w:val="de-DE"/>
        </w:rPr>
        <w:t>likuma</w:t>
      </w:r>
      <w:proofErr w:type="spellEnd"/>
      <w:r w:rsidRPr="00CD4311">
        <w:rPr>
          <w:rFonts w:ascii="Times New Roman" w:hAnsi="Times New Roman" w:cs="Times New Roman"/>
          <w:lang w:val="de-DE"/>
        </w:rPr>
        <w:t xml:space="preserve"> 10.panta </w:t>
      </w:r>
      <w:proofErr w:type="spellStart"/>
      <w:r w:rsidRPr="00CD4311">
        <w:rPr>
          <w:rFonts w:ascii="Times New Roman" w:hAnsi="Times New Roman" w:cs="Times New Roman"/>
          <w:lang w:val="de-DE"/>
        </w:rPr>
        <w:t>otrā</w:t>
      </w:r>
      <w:proofErr w:type="spellEnd"/>
      <w:r w:rsidRPr="00CD4311">
        <w:rPr>
          <w:rFonts w:ascii="Times New Roman" w:hAnsi="Times New Roman" w:cs="Times New Roman"/>
          <w:lang w:val="de-DE"/>
        </w:rPr>
        <w:t xml:space="preserve"> </w:t>
      </w:r>
      <w:proofErr w:type="spellStart"/>
      <w:r w:rsidRPr="00CD4311">
        <w:rPr>
          <w:rFonts w:ascii="Times New Roman" w:hAnsi="Times New Roman" w:cs="Times New Roman"/>
          <w:lang w:val="de-DE"/>
        </w:rPr>
        <w:t>daļa</w:t>
      </w:r>
      <w:proofErr w:type="spellEnd"/>
      <w:r w:rsidRPr="00CD4311">
        <w:rPr>
          <w:rFonts w:ascii="Times New Roman" w:hAnsi="Times New Roman" w:cs="Times New Roman"/>
          <w:lang w:val="de-DE"/>
        </w:rPr>
        <w:t xml:space="preserve"> </w:t>
      </w:r>
      <w:proofErr w:type="spellStart"/>
      <w:r w:rsidRPr="00CD4311">
        <w:rPr>
          <w:rFonts w:ascii="Times New Roman" w:hAnsi="Times New Roman" w:cs="Times New Roman"/>
          <w:lang w:val="de-DE"/>
        </w:rPr>
        <w:t>nosaka</w:t>
      </w:r>
      <w:proofErr w:type="spellEnd"/>
      <w:r w:rsidRPr="00CD4311">
        <w:rPr>
          <w:rFonts w:ascii="Times New Roman" w:hAnsi="Times New Roman" w:cs="Times New Roman"/>
          <w:lang w:val="de-DE"/>
        </w:rPr>
        <w:t xml:space="preserve">, </w:t>
      </w:r>
      <w:proofErr w:type="spellStart"/>
      <w:r w:rsidRPr="00CD4311">
        <w:rPr>
          <w:rFonts w:ascii="Times New Roman" w:hAnsi="Times New Roman" w:cs="Times New Roman"/>
          <w:lang w:val="de-DE"/>
        </w:rPr>
        <w:t>ka</w:t>
      </w:r>
      <w:proofErr w:type="spellEnd"/>
      <w:r w:rsidRPr="00CD4311">
        <w:rPr>
          <w:rFonts w:ascii="Times New Roman" w:hAnsi="Times New Roman" w:cs="Times New Roman"/>
          <w:lang w:val="de-DE"/>
        </w:rPr>
        <w:t xml:space="preserve"> „</w:t>
      </w:r>
      <w:proofErr w:type="spellStart"/>
      <w:r w:rsidRPr="00CD4311">
        <w:rPr>
          <w:rFonts w:ascii="Times New Roman" w:hAnsi="Times New Roman" w:cs="Times New Roman"/>
          <w:i/>
          <w:lang w:val="de-DE"/>
        </w:rPr>
        <w:t>Īstenojot</w:t>
      </w:r>
      <w:proofErr w:type="spellEnd"/>
      <w:r w:rsidRPr="00CD4311">
        <w:rPr>
          <w:rFonts w:ascii="Times New Roman" w:hAnsi="Times New Roman" w:cs="Times New Roman"/>
          <w:i/>
          <w:lang w:val="de-DE"/>
        </w:rPr>
        <w:t xml:space="preserve"> </w:t>
      </w:r>
      <w:proofErr w:type="spellStart"/>
      <w:r w:rsidRPr="00CD4311">
        <w:rPr>
          <w:rFonts w:ascii="Times New Roman" w:hAnsi="Times New Roman" w:cs="Times New Roman"/>
          <w:i/>
          <w:lang w:val="de-DE"/>
        </w:rPr>
        <w:t>valsts</w:t>
      </w:r>
      <w:proofErr w:type="spellEnd"/>
      <w:r w:rsidRPr="00CD4311">
        <w:rPr>
          <w:rFonts w:ascii="Times New Roman" w:hAnsi="Times New Roman" w:cs="Times New Roman"/>
          <w:i/>
          <w:lang w:val="de-DE"/>
        </w:rPr>
        <w:t xml:space="preserve"> </w:t>
      </w:r>
      <w:proofErr w:type="spellStart"/>
      <w:r w:rsidRPr="00CD4311">
        <w:rPr>
          <w:rFonts w:ascii="Times New Roman" w:hAnsi="Times New Roman" w:cs="Times New Roman"/>
          <w:i/>
          <w:lang w:val="de-DE"/>
        </w:rPr>
        <w:t>publisko</w:t>
      </w:r>
      <w:proofErr w:type="spellEnd"/>
      <w:r w:rsidRPr="00CD4311">
        <w:rPr>
          <w:rFonts w:ascii="Times New Roman" w:hAnsi="Times New Roman" w:cs="Times New Roman"/>
          <w:i/>
          <w:lang w:val="de-DE"/>
        </w:rPr>
        <w:t xml:space="preserve"> </w:t>
      </w:r>
      <w:proofErr w:type="spellStart"/>
      <w:r w:rsidRPr="00CD4311">
        <w:rPr>
          <w:rFonts w:ascii="Times New Roman" w:hAnsi="Times New Roman" w:cs="Times New Roman"/>
          <w:i/>
          <w:lang w:val="de-DE"/>
        </w:rPr>
        <w:t>pārvaldi</w:t>
      </w:r>
      <w:proofErr w:type="spellEnd"/>
      <w:r w:rsidRPr="00CD4311">
        <w:rPr>
          <w:rFonts w:ascii="Times New Roman" w:hAnsi="Times New Roman" w:cs="Times New Roman"/>
          <w:i/>
          <w:lang w:val="de-DE"/>
        </w:rPr>
        <w:t xml:space="preserve">, </w:t>
      </w:r>
      <w:proofErr w:type="spellStart"/>
      <w:r w:rsidRPr="00CD4311">
        <w:rPr>
          <w:rFonts w:ascii="Times New Roman" w:hAnsi="Times New Roman" w:cs="Times New Roman"/>
          <w:i/>
          <w:lang w:val="de-DE"/>
        </w:rPr>
        <w:t>valsts</w:t>
      </w:r>
      <w:proofErr w:type="spellEnd"/>
      <w:r w:rsidRPr="00CD4311">
        <w:rPr>
          <w:rFonts w:ascii="Times New Roman" w:hAnsi="Times New Roman" w:cs="Times New Roman"/>
          <w:i/>
          <w:lang w:val="de-DE"/>
        </w:rPr>
        <w:t xml:space="preserve"> </w:t>
      </w:r>
      <w:proofErr w:type="spellStart"/>
      <w:r w:rsidRPr="00CD4311">
        <w:rPr>
          <w:rFonts w:ascii="Times New Roman" w:hAnsi="Times New Roman" w:cs="Times New Roman"/>
          <w:i/>
          <w:lang w:val="de-DE"/>
        </w:rPr>
        <w:t>pārvaldes</w:t>
      </w:r>
      <w:proofErr w:type="spellEnd"/>
      <w:r w:rsidRPr="00CD4311">
        <w:rPr>
          <w:rFonts w:ascii="Times New Roman" w:hAnsi="Times New Roman" w:cs="Times New Roman"/>
          <w:i/>
          <w:lang w:val="de-DE"/>
        </w:rPr>
        <w:t xml:space="preserve">, </w:t>
      </w:r>
      <w:proofErr w:type="spellStart"/>
      <w:r w:rsidRPr="00CD4311">
        <w:rPr>
          <w:rFonts w:ascii="Times New Roman" w:hAnsi="Times New Roman" w:cs="Times New Roman"/>
          <w:i/>
          <w:lang w:val="de-DE"/>
        </w:rPr>
        <w:t>tiesu</w:t>
      </w:r>
      <w:proofErr w:type="spellEnd"/>
      <w:r w:rsidRPr="00CD4311">
        <w:rPr>
          <w:rFonts w:ascii="Times New Roman" w:hAnsi="Times New Roman" w:cs="Times New Roman"/>
          <w:i/>
          <w:lang w:val="de-DE"/>
        </w:rPr>
        <w:t xml:space="preserve"> </w:t>
      </w:r>
      <w:proofErr w:type="spellStart"/>
      <w:r w:rsidRPr="00CD4311">
        <w:rPr>
          <w:rFonts w:ascii="Times New Roman" w:hAnsi="Times New Roman" w:cs="Times New Roman"/>
          <w:i/>
          <w:lang w:val="de-DE"/>
        </w:rPr>
        <w:t>un</w:t>
      </w:r>
      <w:proofErr w:type="spellEnd"/>
      <w:r w:rsidRPr="00CD4311">
        <w:rPr>
          <w:rFonts w:ascii="Times New Roman" w:hAnsi="Times New Roman" w:cs="Times New Roman"/>
          <w:i/>
          <w:lang w:val="de-DE"/>
        </w:rPr>
        <w:t xml:space="preserve"> </w:t>
      </w:r>
      <w:proofErr w:type="spellStart"/>
      <w:r w:rsidRPr="00CD4311">
        <w:rPr>
          <w:rFonts w:ascii="Times New Roman" w:hAnsi="Times New Roman" w:cs="Times New Roman"/>
          <w:i/>
          <w:lang w:val="de-DE"/>
        </w:rPr>
        <w:t>likumdevēja</w:t>
      </w:r>
      <w:proofErr w:type="spellEnd"/>
      <w:r w:rsidRPr="00CD4311">
        <w:rPr>
          <w:rFonts w:ascii="Times New Roman" w:hAnsi="Times New Roman" w:cs="Times New Roman"/>
          <w:i/>
          <w:lang w:val="de-DE"/>
        </w:rPr>
        <w:t xml:space="preserve"> </w:t>
      </w:r>
      <w:proofErr w:type="spellStart"/>
      <w:r w:rsidRPr="00CD4311">
        <w:rPr>
          <w:rFonts w:ascii="Times New Roman" w:hAnsi="Times New Roman" w:cs="Times New Roman"/>
          <w:i/>
          <w:lang w:val="de-DE"/>
        </w:rPr>
        <w:t>iestādes</w:t>
      </w:r>
      <w:proofErr w:type="spellEnd"/>
      <w:r w:rsidRPr="00CD4311">
        <w:rPr>
          <w:rFonts w:ascii="Times New Roman" w:hAnsi="Times New Roman" w:cs="Times New Roman"/>
          <w:i/>
          <w:lang w:val="de-DE"/>
        </w:rPr>
        <w:t xml:space="preserve">, </w:t>
      </w:r>
      <w:proofErr w:type="spellStart"/>
      <w:r w:rsidRPr="00CD4311">
        <w:rPr>
          <w:rFonts w:ascii="Times New Roman" w:hAnsi="Times New Roman" w:cs="Times New Roman"/>
          <w:i/>
          <w:lang w:val="de-DE"/>
        </w:rPr>
        <w:t>citas</w:t>
      </w:r>
      <w:proofErr w:type="spellEnd"/>
      <w:r w:rsidRPr="00CD4311">
        <w:rPr>
          <w:rFonts w:ascii="Times New Roman" w:hAnsi="Times New Roman" w:cs="Times New Roman"/>
          <w:i/>
          <w:lang w:val="de-DE"/>
        </w:rPr>
        <w:t xml:space="preserve"> </w:t>
      </w:r>
      <w:proofErr w:type="spellStart"/>
      <w:r w:rsidRPr="00CD4311">
        <w:rPr>
          <w:rFonts w:ascii="Times New Roman" w:hAnsi="Times New Roman" w:cs="Times New Roman"/>
          <w:i/>
          <w:lang w:val="de-DE"/>
        </w:rPr>
        <w:t>iestādes</w:t>
      </w:r>
      <w:proofErr w:type="spellEnd"/>
      <w:r w:rsidRPr="00CD4311">
        <w:rPr>
          <w:rFonts w:ascii="Times New Roman" w:hAnsi="Times New Roman" w:cs="Times New Roman"/>
          <w:i/>
          <w:lang w:val="de-DE"/>
        </w:rPr>
        <w:t xml:space="preserve"> </w:t>
      </w:r>
      <w:proofErr w:type="spellStart"/>
      <w:r w:rsidRPr="00CD4311">
        <w:rPr>
          <w:rFonts w:ascii="Times New Roman" w:hAnsi="Times New Roman" w:cs="Times New Roman"/>
          <w:i/>
          <w:lang w:val="de-DE"/>
        </w:rPr>
        <w:t>un</w:t>
      </w:r>
      <w:proofErr w:type="spellEnd"/>
      <w:r w:rsidRPr="00CD4311">
        <w:rPr>
          <w:rFonts w:ascii="Times New Roman" w:hAnsi="Times New Roman" w:cs="Times New Roman"/>
          <w:i/>
          <w:lang w:val="de-DE"/>
        </w:rPr>
        <w:t xml:space="preserve"> personas </w:t>
      </w:r>
      <w:proofErr w:type="spellStart"/>
      <w:r w:rsidRPr="00CD4311">
        <w:rPr>
          <w:rFonts w:ascii="Times New Roman" w:hAnsi="Times New Roman" w:cs="Times New Roman"/>
          <w:i/>
          <w:lang w:val="de-DE"/>
        </w:rPr>
        <w:t>drīkst</w:t>
      </w:r>
      <w:proofErr w:type="spellEnd"/>
      <w:r w:rsidRPr="00CD4311">
        <w:rPr>
          <w:rFonts w:ascii="Times New Roman" w:hAnsi="Times New Roman" w:cs="Times New Roman"/>
          <w:i/>
          <w:lang w:val="de-DE"/>
        </w:rPr>
        <w:t xml:space="preserve"> </w:t>
      </w:r>
      <w:proofErr w:type="spellStart"/>
      <w:r w:rsidRPr="00CD4311">
        <w:rPr>
          <w:rFonts w:ascii="Times New Roman" w:hAnsi="Times New Roman" w:cs="Times New Roman"/>
          <w:i/>
          <w:lang w:val="de-DE"/>
        </w:rPr>
        <w:t>pieņemt</w:t>
      </w:r>
      <w:proofErr w:type="spellEnd"/>
      <w:r w:rsidRPr="00CD4311">
        <w:rPr>
          <w:rFonts w:ascii="Times New Roman" w:hAnsi="Times New Roman" w:cs="Times New Roman"/>
          <w:i/>
          <w:lang w:val="de-DE"/>
        </w:rPr>
        <w:t xml:space="preserve"> </w:t>
      </w:r>
      <w:proofErr w:type="spellStart"/>
      <w:r w:rsidRPr="00CD4311">
        <w:rPr>
          <w:rFonts w:ascii="Times New Roman" w:hAnsi="Times New Roman" w:cs="Times New Roman"/>
          <w:i/>
          <w:u w:val="single"/>
          <w:lang w:val="de-DE"/>
        </w:rPr>
        <w:t>tikai</w:t>
      </w:r>
      <w:proofErr w:type="spellEnd"/>
      <w:r w:rsidRPr="00CD4311">
        <w:rPr>
          <w:rFonts w:ascii="Times New Roman" w:hAnsi="Times New Roman" w:cs="Times New Roman"/>
          <w:i/>
          <w:lang w:val="de-DE"/>
        </w:rPr>
        <w:t xml:space="preserve"> </w:t>
      </w:r>
      <w:proofErr w:type="spellStart"/>
      <w:r w:rsidRPr="00CD4311">
        <w:rPr>
          <w:rFonts w:ascii="Times New Roman" w:hAnsi="Times New Roman" w:cs="Times New Roman"/>
          <w:i/>
          <w:lang w:val="de-DE"/>
        </w:rPr>
        <w:t>legalizētu</w:t>
      </w:r>
      <w:proofErr w:type="spellEnd"/>
      <w:r w:rsidRPr="00CD4311">
        <w:rPr>
          <w:rFonts w:ascii="Times New Roman" w:hAnsi="Times New Roman" w:cs="Times New Roman"/>
          <w:i/>
          <w:lang w:val="de-DE"/>
        </w:rPr>
        <w:t xml:space="preserve"> </w:t>
      </w:r>
      <w:proofErr w:type="spellStart"/>
      <w:r w:rsidRPr="00CD4311">
        <w:rPr>
          <w:rFonts w:ascii="Times New Roman" w:hAnsi="Times New Roman" w:cs="Times New Roman"/>
          <w:i/>
          <w:lang w:val="de-DE"/>
        </w:rPr>
        <w:t>ārvalstī</w:t>
      </w:r>
      <w:proofErr w:type="spellEnd"/>
      <w:r w:rsidRPr="00CD4311">
        <w:rPr>
          <w:rFonts w:ascii="Times New Roman" w:hAnsi="Times New Roman" w:cs="Times New Roman"/>
          <w:i/>
          <w:lang w:val="de-DE"/>
        </w:rPr>
        <w:t xml:space="preserve"> </w:t>
      </w:r>
      <w:proofErr w:type="spellStart"/>
      <w:r w:rsidRPr="00CD4311">
        <w:rPr>
          <w:rFonts w:ascii="Times New Roman" w:hAnsi="Times New Roman" w:cs="Times New Roman"/>
          <w:i/>
          <w:lang w:val="de-DE"/>
        </w:rPr>
        <w:t>izsniegtu</w:t>
      </w:r>
      <w:proofErr w:type="spellEnd"/>
      <w:r w:rsidRPr="00CD4311">
        <w:rPr>
          <w:rFonts w:ascii="Times New Roman" w:hAnsi="Times New Roman" w:cs="Times New Roman"/>
          <w:i/>
          <w:lang w:val="de-DE"/>
        </w:rPr>
        <w:t xml:space="preserve"> </w:t>
      </w:r>
      <w:proofErr w:type="spellStart"/>
      <w:r w:rsidRPr="00CD4311">
        <w:rPr>
          <w:rFonts w:ascii="Times New Roman" w:hAnsi="Times New Roman" w:cs="Times New Roman"/>
          <w:i/>
          <w:lang w:val="de-DE"/>
        </w:rPr>
        <w:t>publisko</w:t>
      </w:r>
      <w:proofErr w:type="spellEnd"/>
      <w:r w:rsidRPr="00CD4311">
        <w:rPr>
          <w:rFonts w:ascii="Times New Roman" w:hAnsi="Times New Roman" w:cs="Times New Roman"/>
          <w:i/>
          <w:lang w:val="de-DE"/>
        </w:rPr>
        <w:t xml:space="preserve"> </w:t>
      </w:r>
      <w:proofErr w:type="spellStart"/>
      <w:r w:rsidRPr="00CD4311">
        <w:rPr>
          <w:rFonts w:ascii="Times New Roman" w:hAnsi="Times New Roman" w:cs="Times New Roman"/>
          <w:i/>
          <w:lang w:val="de-DE"/>
        </w:rPr>
        <w:t>dokumentu</w:t>
      </w:r>
      <w:proofErr w:type="spellEnd"/>
      <w:r w:rsidRPr="00CD4311">
        <w:rPr>
          <w:rFonts w:ascii="Times New Roman" w:hAnsi="Times New Roman" w:cs="Times New Roman"/>
          <w:lang w:val="de-DE"/>
        </w:rPr>
        <w:t xml:space="preserve">“, </w:t>
      </w:r>
      <w:r w:rsidRPr="000C7C76">
        <w:rPr>
          <w:rFonts w:asciiTheme="majorBidi" w:hAnsiTheme="majorBidi" w:cstheme="majorBidi"/>
          <w:bCs/>
          <w:lang w:val="de-DE"/>
        </w:rPr>
        <w:t xml:space="preserve">ja </w:t>
      </w:r>
      <w:proofErr w:type="spellStart"/>
      <w:r w:rsidRPr="000C7C76">
        <w:rPr>
          <w:rFonts w:asciiTheme="majorBidi" w:hAnsiTheme="majorBidi" w:cstheme="majorBidi"/>
          <w:lang w:val="de-DE"/>
        </w:rPr>
        <w:t>Saeimas</w:t>
      </w:r>
      <w:proofErr w:type="spellEnd"/>
      <w:r w:rsidRPr="000C7C76">
        <w:rPr>
          <w:rFonts w:asciiTheme="majorBidi" w:hAnsiTheme="majorBidi" w:cstheme="majorBidi"/>
          <w:lang w:val="de-DE"/>
        </w:rPr>
        <w:t xml:space="preserve"> </w:t>
      </w:r>
      <w:proofErr w:type="spellStart"/>
      <w:r w:rsidRPr="000C7C76">
        <w:rPr>
          <w:rFonts w:asciiTheme="majorBidi" w:hAnsiTheme="majorBidi" w:cstheme="majorBidi"/>
          <w:lang w:val="de-DE"/>
        </w:rPr>
        <w:t>apstiprinātajos</w:t>
      </w:r>
      <w:proofErr w:type="spellEnd"/>
      <w:r w:rsidRPr="000C7C76">
        <w:rPr>
          <w:rFonts w:asciiTheme="majorBidi" w:hAnsiTheme="majorBidi" w:cstheme="majorBidi"/>
          <w:lang w:val="de-DE"/>
        </w:rPr>
        <w:t xml:space="preserve"> </w:t>
      </w:r>
      <w:proofErr w:type="spellStart"/>
      <w:r w:rsidRPr="000C7C76">
        <w:rPr>
          <w:rFonts w:asciiTheme="majorBidi" w:hAnsiTheme="majorBidi" w:cstheme="majorBidi"/>
          <w:lang w:val="de-DE"/>
        </w:rPr>
        <w:t>starptautiskajos</w:t>
      </w:r>
      <w:proofErr w:type="spellEnd"/>
      <w:r w:rsidRPr="000C7C76">
        <w:rPr>
          <w:rFonts w:asciiTheme="majorBidi" w:hAnsiTheme="majorBidi" w:cstheme="majorBidi"/>
          <w:lang w:val="de-DE"/>
        </w:rPr>
        <w:t xml:space="preserve"> </w:t>
      </w:r>
      <w:proofErr w:type="spellStart"/>
      <w:r w:rsidRPr="000C7C76">
        <w:rPr>
          <w:rFonts w:asciiTheme="majorBidi" w:hAnsiTheme="majorBidi" w:cstheme="majorBidi"/>
          <w:lang w:val="de-DE"/>
        </w:rPr>
        <w:t>līgumos</w:t>
      </w:r>
      <w:proofErr w:type="spellEnd"/>
      <w:r w:rsidRPr="000C7C76">
        <w:rPr>
          <w:rFonts w:asciiTheme="majorBidi" w:hAnsiTheme="majorBidi" w:cstheme="majorBidi"/>
          <w:lang w:val="de-DE"/>
        </w:rPr>
        <w:t xml:space="preserve"> </w:t>
      </w:r>
      <w:proofErr w:type="spellStart"/>
      <w:r w:rsidRPr="000C7C76">
        <w:rPr>
          <w:rFonts w:asciiTheme="majorBidi" w:hAnsiTheme="majorBidi" w:cstheme="majorBidi"/>
          <w:lang w:val="de-DE"/>
        </w:rPr>
        <w:t>vai</w:t>
      </w:r>
      <w:proofErr w:type="spellEnd"/>
      <w:r w:rsidRPr="000C7C76">
        <w:rPr>
          <w:rFonts w:asciiTheme="majorBidi" w:hAnsiTheme="majorBidi" w:cstheme="majorBidi"/>
          <w:lang w:val="de-DE"/>
        </w:rPr>
        <w:t xml:space="preserve"> ES </w:t>
      </w:r>
      <w:proofErr w:type="spellStart"/>
      <w:r w:rsidRPr="000C7C76">
        <w:rPr>
          <w:rFonts w:asciiTheme="majorBidi" w:hAnsiTheme="majorBidi" w:cstheme="majorBidi"/>
          <w:lang w:val="de-DE"/>
        </w:rPr>
        <w:t>tiesību</w:t>
      </w:r>
      <w:proofErr w:type="spellEnd"/>
      <w:r w:rsidRPr="000C7C76">
        <w:rPr>
          <w:rFonts w:asciiTheme="majorBidi" w:hAnsiTheme="majorBidi" w:cstheme="majorBidi"/>
          <w:lang w:val="de-DE"/>
        </w:rPr>
        <w:t xml:space="preserve"> </w:t>
      </w:r>
      <w:proofErr w:type="spellStart"/>
      <w:r w:rsidRPr="000C7C76">
        <w:rPr>
          <w:rFonts w:asciiTheme="majorBidi" w:hAnsiTheme="majorBidi" w:cstheme="majorBidi"/>
          <w:lang w:val="de-DE"/>
        </w:rPr>
        <w:t>aktos</w:t>
      </w:r>
      <w:proofErr w:type="spellEnd"/>
      <w:r w:rsidRPr="000C7C76">
        <w:rPr>
          <w:rFonts w:asciiTheme="majorBidi" w:hAnsiTheme="majorBidi" w:cstheme="majorBidi"/>
          <w:lang w:val="de-DE"/>
        </w:rPr>
        <w:t xml:space="preserve"> </w:t>
      </w:r>
      <w:proofErr w:type="spellStart"/>
      <w:r w:rsidRPr="000C7C76">
        <w:rPr>
          <w:rFonts w:asciiTheme="majorBidi" w:hAnsiTheme="majorBidi" w:cstheme="majorBidi"/>
          <w:lang w:val="de-DE"/>
        </w:rPr>
        <w:t>nav</w:t>
      </w:r>
      <w:proofErr w:type="spellEnd"/>
      <w:r w:rsidRPr="000C7C76">
        <w:rPr>
          <w:rFonts w:asciiTheme="majorBidi" w:hAnsiTheme="majorBidi" w:cstheme="majorBidi"/>
          <w:lang w:val="de-DE"/>
        </w:rPr>
        <w:t xml:space="preserve"> </w:t>
      </w:r>
      <w:proofErr w:type="spellStart"/>
      <w:r w:rsidRPr="000C7C76">
        <w:rPr>
          <w:rFonts w:asciiTheme="majorBidi" w:hAnsiTheme="majorBidi" w:cstheme="majorBidi"/>
          <w:lang w:val="de-DE"/>
        </w:rPr>
        <w:t>noteikts</w:t>
      </w:r>
      <w:proofErr w:type="spellEnd"/>
      <w:r w:rsidRPr="000C7C76">
        <w:rPr>
          <w:rFonts w:asciiTheme="majorBidi" w:hAnsiTheme="majorBidi" w:cstheme="majorBidi"/>
          <w:lang w:val="de-DE"/>
        </w:rPr>
        <w:t xml:space="preserve"> </w:t>
      </w:r>
      <w:proofErr w:type="spellStart"/>
      <w:r w:rsidRPr="000C7C76">
        <w:rPr>
          <w:rFonts w:asciiTheme="majorBidi" w:hAnsiTheme="majorBidi" w:cstheme="majorBidi"/>
          <w:lang w:val="de-DE"/>
        </w:rPr>
        <w:t>citādi</w:t>
      </w:r>
      <w:proofErr w:type="spellEnd"/>
      <w:r w:rsidRPr="000C7C76">
        <w:rPr>
          <w:rFonts w:asciiTheme="majorBidi" w:hAnsiTheme="majorBidi" w:cstheme="majorBidi"/>
          <w:lang w:val="de-DE"/>
        </w:rPr>
        <w:t xml:space="preserve"> (</w:t>
      </w:r>
      <w:proofErr w:type="spellStart"/>
      <w:r w:rsidRPr="000C7C76">
        <w:rPr>
          <w:rFonts w:asciiTheme="majorBidi" w:hAnsiTheme="majorBidi" w:cstheme="majorBidi"/>
          <w:lang w:val="de-DE"/>
        </w:rPr>
        <w:t>skat</w:t>
      </w:r>
      <w:proofErr w:type="spellEnd"/>
      <w:r w:rsidRPr="000C7C76">
        <w:rPr>
          <w:rFonts w:asciiTheme="majorBidi" w:hAnsiTheme="majorBidi" w:cstheme="majorBidi"/>
          <w:lang w:val="de-DE"/>
        </w:rPr>
        <w:t xml:space="preserve">. </w:t>
      </w:r>
      <w:proofErr w:type="spellStart"/>
      <w:r w:rsidRPr="000C7C76">
        <w:rPr>
          <w:rFonts w:asciiTheme="majorBidi" w:hAnsiTheme="majorBidi" w:cstheme="majorBidi"/>
          <w:lang w:val="de-DE"/>
        </w:rPr>
        <w:t>Dokumentu</w:t>
      </w:r>
      <w:proofErr w:type="spellEnd"/>
      <w:r w:rsidRPr="000C7C76">
        <w:rPr>
          <w:rFonts w:asciiTheme="majorBidi" w:hAnsiTheme="majorBidi" w:cstheme="majorBidi"/>
          <w:lang w:val="de-DE"/>
        </w:rPr>
        <w:t xml:space="preserve"> </w:t>
      </w:r>
      <w:proofErr w:type="spellStart"/>
      <w:r w:rsidRPr="000C7C76">
        <w:rPr>
          <w:rFonts w:asciiTheme="majorBidi" w:hAnsiTheme="majorBidi" w:cstheme="majorBidi"/>
          <w:lang w:val="de-DE"/>
        </w:rPr>
        <w:t>legalizācijas</w:t>
      </w:r>
      <w:proofErr w:type="spellEnd"/>
      <w:r w:rsidRPr="000C7C76">
        <w:rPr>
          <w:rFonts w:asciiTheme="majorBidi" w:hAnsiTheme="majorBidi" w:cstheme="majorBidi"/>
          <w:lang w:val="de-DE"/>
        </w:rPr>
        <w:t xml:space="preserve"> </w:t>
      </w:r>
      <w:proofErr w:type="spellStart"/>
      <w:r w:rsidRPr="000C7C76">
        <w:rPr>
          <w:rFonts w:asciiTheme="majorBidi" w:hAnsiTheme="majorBidi" w:cstheme="majorBidi"/>
          <w:lang w:val="de-DE"/>
        </w:rPr>
        <w:t>likuma</w:t>
      </w:r>
      <w:proofErr w:type="spellEnd"/>
      <w:r w:rsidRPr="000C7C76">
        <w:rPr>
          <w:rFonts w:asciiTheme="majorBidi" w:hAnsiTheme="majorBidi" w:cstheme="majorBidi"/>
          <w:lang w:val="de-DE"/>
        </w:rPr>
        <w:t xml:space="preserve"> 3.p.) </w:t>
      </w:r>
      <w:r w:rsidRPr="00CD4311">
        <w:rPr>
          <w:rFonts w:ascii="Times New Roman" w:hAnsi="Times New Roman" w:cs="Times New Roman"/>
          <w:lang w:val="de-DE"/>
        </w:rPr>
        <w:t>(</w:t>
      </w:r>
      <w:proofErr w:type="spellStart"/>
      <w:r w:rsidRPr="00CD4311">
        <w:rPr>
          <w:rFonts w:ascii="Times New Roman" w:hAnsi="Times New Roman" w:cs="Times New Roman"/>
          <w:lang w:val="de-DE"/>
        </w:rPr>
        <w:t>skat</w:t>
      </w:r>
      <w:proofErr w:type="spellEnd"/>
      <w:r w:rsidRPr="00CD4311">
        <w:rPr>
          <w:rFonts w:ascii="Times New Roman" w:hAnsi="Times New Roman" w:cs="Times New Roman"/>
          <w:lang w:val="de-DE"/>
        </w:rPr>
        <w:t xml:space="preserve">. </w:t>
      </w:r>
      <w:proofErr w:type="spellStart"/>
      <w:r w:rsidRPr="00CD4311">
        <w:rPr>
          <w:rFonts w:ascii="Times New Roman" w:hAnsi="Times New Roman" w:cs="Times New Roman"/>
          <w:lang w:val="de-DE"/>
        </w:rPr>
        <w:t>arī</w:t>
      </w:r>
      <w:proofErr w:type="spellEnd"/>
      <w:r w:rsidRPr="00CD4311">
        <w:rPr>
          <w:rFonts w:ascii="Times New Roman" w:hAnsi="Times New Roman" w:cs="Times New Roman"/>
          <w:lang w:val="de-DE"/>
        </w:rPr>
        <w:t xml:space="preserve"> </w:t>
      </w:r>
      <w:proofErr w:type="spellStart"/>
      <w:r w:rsidRPr="00CD4311">
        <w:rPr>
          <w:rFonts w:ascii="Times New Roman" w:hAnsi="Times New Roman" w:cs="Times New Roman"/>
          <w:lang w:val="de-DE"/>
        </w:rPr>
        <w:t>analīzi</w:t>
      </w:r>
      <w:proofErr w:type="spellEnd"/>
      <w:r w:rsidRPr="00CD4311">
        <w:rPr>
          <w:rFonts w:ascii="Times New Roman" w:hAnsi="Times New Roman" w:cs="Times New Roman"/>
          <w:lang w:val="de-DE"/>
        </w:rPr>
        <w:t xml:space="preserve"> </w:t>
      </w:r>
      <w:proofErr w:type="spellStart"/>
      <w:r w:rsidRPr="00CD4311">
        <w:rPr>
          <w:rFonts w:ascii="Times New Roman" w:hAnsi="Times New Roman" w:cs="Times New Roman"/>
          <w:lang w:val="de-DE"/>
        </w:rPr>
        <w:t>pie</w:t>
      </w:r>
      <w:proofErr w:type="spellEnd"/>
      <w:r w:rsidRPr="00CD4311">
        <w:rPr>
          <w:rFonts w:ascii="Times New Roman" w:hAnsi="Times New Roman" w:cs="Times New Roman"/>
          <w:lang w:val="de-DE"/>
        </w:rPr>
        <w:t xml:space="preserve"> 4.jautājuma).</w:t>
      </w:r>
    </w:p>
    <w:p w14:paraId="1251DB3A" w14:textId="77777777" w:rsidR="00114953" w:rsidRPr="00294B1B" w:rsidRDefault="00114953" w:rsidP="00114953">
      <w:pPr>
        <w:jc w:val="center"/>
        <w:rPr>
          <w:rFonts w:ascii="Times New Roman" w:hAnsi="Times New Roman" w:cs="Times New Roman"/>
          <w:b/>
          <w:bCs/>
          <w:lang w:val="de-DE"/>
        </w:rPr>
      </w:pPr>
    </w:p>
    <w:p w14:paraId="6953F079" w14:textId="77777777" w:rsidR="00114953" w:rsidRDefault="00114953" w:rsidP="00114953">
      <w:pPr>
        <w:jc w:val="center"/>
        <w:rPr>
          <w:rFonts w:ascii="Times New Roman" w:hAnsi="Times New Roman" w:cs="Times New Roman"/>
          <w:b/>
          <w:bCs/>
          <w:lang w:val="de-DE"/>
        </w:rPr>
      </w:pPr>
    </w:p>
    <w:p w14:paraId="543D38D5" w14:textId="77777777" w:rsidR="00114953" w:rsidRPr="00294B1B" w:rsidRDefault="00114953" w:rsidP="00114953">
      <w:pPr>
        <w:jc w:val="center"/>
        <w:rPr>
          <w:rFonts w:ascii="Times New Roman" w:hAnsi="Times New Roman" w:cs="Times New Roman"/>
          <w:b/>
          <w:bCs/>
          <w:lang w:val="de-DE"/>
        </w:rPr>
      </w:pPr>
      <w:proofErr w:type="spellStart"/>
      <w:r w:rsidRPr="005A56F4">
        <w:rPr>
          <w:rFonts w:ascii="Times New Roman" w:hAnsi="Times New Roman" w:cs="Times New Roman"/>
          <w:b/>
          <w:bCs/>
          <w:lang w:val="de-DE"/>
        </w:rPr>
        <w:t>Publisko</w:t>
      </w:r>
      <w:proofErr w:type="spellEnd"/>
      <w:r w:rsidRPr="005A56F4">
        <w:rPr>
          <w:rFonts w:ascii="Times New Roman" w:hAnsi="Times New Roman" w:cs="Times New Roman"/>
          <w:b/>
          <w:bCs/>
          <w:lang w:val="de-DE"/>
        </w:rPr>
        <w:t xml:space="preserve"> </w:t>
      </w:r>
      <w:proofErr w:type="spellStart"/>
      <w:r w:rsidRPr="005A56F4">
        <w:rPr>
          <w:rFonts w:ascii="Times New Roman" w:hAnsi="Times New Roman" w:cs="Times New Roman"/>
          <w:b/>
          <w:bCs/>
          <w:lang w:val="de-DE"/>
        </w:rPr>
        <w:t>dokumentu</w:t>
      </w:r>
      <w:proofErr w:type="spellEnd"/>
      <w:r w:rsidRPr="005A56F4">
        <w:rPr>
          <w:rFonts w:ascii="Times New Roman" w:hAnsi="Times New Roman" w:cs="Times New Roman"/>
          <w:b/>
          <w:bCs/>
          <w:lang w:val="de-DE"/>
        </w:rPr>
        <w:t xml:space="preserve"> </w:t>
      </w:r>
      <w:proofErr w:type="spellStart"/>
      <w:r w:rsidRPr="005A56F4">
        <w:rPr>
          <w:rFonts w:ascii="Times New Roman" w:hAnsi="Times New Roman" w:cs="Times New Roman"/>
          <w:b/>
          <w:bCs/>
          <w:lang w:val="de-DE"/>
        </w:rPr>
        <w:t>legalizācijas</w:t>
      </w:r>
      <w:proofErr w:type="spellEnd"/>
      <w:r w:rsidRPr="005A56F4">
        <w:rPr>
          <w:rFonts w:ascii="Times New Roman" w:hAnsi="Times New Roman" w:cs="Times New Roman"/>
          <w:b/>
          <w:bCs/>
          <w:lang w:val="de-DE"/>
        </w:rPr>
        <w:t xml:space="preserve"> </w:t>
      </w:r>
      <w:proofErr w:type="spellStart"/>
      <w:r w:rsidRPr="005A56F4">
        <w:rPr>
          <w:rFonts w:ascii="Times New Roman" w:hAnsi="Times New Roman" w:cs="Times New Roman"/>
          <w:b/>
          <w:bCs/>
          <w:lang w:val="de-DE"/>
        </w:rPr>
        <w:t>formas</w:t>
      </w:r>
      <w:proofErr w:type="spellEnd"/>
    </w:p>
    <w:p w14:paraId="4BBA2C47" w14:textId="77777777" w:rsidR="00114953" w:rsidRPr="000C7C76" w:rsidRDefault="00114953" w:rsidP="00114953">
      <w:pPr>
        <w:jc w:val="both"/>
        <w:rPr>
          <w:rFonts w:asciiTheme="majorBidi" w:hAnsiTheme="majorBidi" w:cstheme="majorBidi"/>
          <w:b/>
          <w:bCs/>
          <w:lang w:val="de-DE"/>
        </w:rPr>
      </w:pPr>
    </w:p>
    <w:p w14:paraId="40418505" w14:textId="77777777" w:rsidR="00114953" w:rsidRPr="000C7C76" w:rsidRDefault="00114953" w:rsidP="00114953">
      <w:pPr>
        <w:jc w:val="both"/>
        <w:rPr>
          <w:rFonts w:asciiTheme="majorBidi" w:hAnsiTheme="majorBidi" w:cstheme="majorBidi"/>
          <w:lang w:val="de-DE"/>
        </w:rPr>
      </w:pPr>
    </w:p>
    <w:p w14:paraId="2C98F9DE" w14:textId="77777777" w:rsidR="00114953" w:rsidRPr="00FB289D" w:rsidRDefault="00114953" w:rsidP="00114953">
      <w:pPr>
        <w:ind w:firstLine="708"/>
        <w:jc w:val="both"/>
        <w:rPr>
          <w:rFonts w:asciiTheme="majorBidi" w:hAnsiTheme="majorBidi" w:cstheme="majorBidi"/>
          <w:lang w:val="de-DE"/>
        </w:rPr>
      </w:pPr>
      <w:proofErr w:type="spellStart"/>
      <w:r w:rsidRPr="00FB289D">
        <w:rPr>
          <w:rFonts w:asciiTheme="majorBidi" w:hAnsiTheme="majorBidi" w:cstheme="majorBidi"/>
          <w:lang w:val="de-DE"/>
        </w:rPr>
        <w:t>Pastāv</w:t>
      </w:r>
      <w:proofErr w:type="spellEnd"/>
      <w:r w:rsidRPr="00FB289D">
        <w:rPr>
          <w:rFonts w:asciiTheme="majorBidi" w:hAnsiTheme="majorBidi" w:cstheme="majorBidi"/>
          <w:lang w:val="de-DE"/>
        </w:rPr>
        <w:t xml:space="preserve"> </w:t>
      </w:r>
      <w:proofErr w:type="spellStart"/>
      <w:r w:rsidRPr="00FB289D">
        <w:rPr>
          <w:rFonts w:asciiTheme="majorBidi" w:hAnsiTheme="majorBidi" w:cstheme="majorBidi"/>
          <w:lang w:val="de-DE"/>
        </w:rPr>
        <w:t>trīs</w:t>
      </w:r>
      <w:proofErr w:type="spellEnd"/>
      <w:r w:rsidRPr="00FB289D">
        <w:rPr>
          <w:rFonts w:asciiTheme="majorBidi" w:hAnsiTheme="majorBidi" w:cstheme="majorBidi"/>
          <w:lang w:val="de-DE"/>
        </w:rPr>
        <w:t xml:space="preserve"> </w:t>
      </w:r>
      <w:proofErr w:type="spellStart"/>
      <w:r w:rsidRPr="00FB289D">
        <w:rPr>
          <w:rFonts w:asciiTheme="majorBidi" w:hAnsiTheme="majorBidi" w:cstheme="majorBidi"/>
          <w:lang w:val="de-DE"/>
        </w:rPr>
        <w:t>dažādas</w:t>
      </w:r>
      <w:proofErr w:type="spellEnd"/>
      <w:r w:rsidRPr="00FB289D">
        <w:rPr>
          <w:rFonts w:asciiTheme="majorBidi" w:hAnsiTheme="majorBidi" w:cstheme="majorBidi"/>
          <w:lang w:val="de-DE"/>
        </w:rPr>
        <w:t xml:space="preserve"> </w:t>
      </w:r>
      <w:proofErr w:type="spellStart"/>
      <w:r w:rsidRPr="00FB289D">
        <w:rPr>
          <w:rFonts w:asciiTheme="majorBidi" w:hAnsiTheme="majorBidi" w:cstheme="majorBidi"/>
          <w:b/>
          <w:bCs/>
          <w:lang w:val="de-DE"/>
        </w:rPr>
        <w:t>legalizācijas</w:t>
      </w:r>
      <w:proofErr w:type="spellEnd"/>
      <w:r w:rsidRPr="00FB289D">
        <w:rPr>
          <w:rFonts w:asciiTheme="majorBidi" w:hAnsiTheme="majorBidi" w:cstheme="majorBidi"/>
          <w:b/>
          <w:bCs/>
          <w:lang w:val="de-DE"/>
        </w:rPr>
        <w:t xml:space="preserve"> </w:t>
      </w:r>
      <w:proofErr w:type="spellStart"/>
      <w:r w:rsidRPr="00FB289D">
        <w:rPr>
          <w:rFonts w:asciiTheme="majorBidi" w:hAnsiTheme="majorBidi" w:cstheme="majorBidi"/>
          <w:b/>
          <w:bCs/>
          <w:lang w:val="de-DE"/>
        </w:rPr>
        <w:t>formas</w:t>
      </w:r>
      <w:proofErr w:type="spellEnd"/>
      <w:r w:rsidRPr="00FB289D">
        <w:rPr>
          <w:rFonts w:asciiTheme="majorBidi" w:hAnsiTheme="majorBidi" w:cstheme="majorBidi"/>
          <w:lang w:val="de-DE"/>
        </w:rPr>
        <w:t xml:space="preserve">: 1) </w:t>
      </w:r>
      <w:proofErr w:type="spellStart"/>
      <w:r w:rsidRPr="00FB289D">
        <w:rPr>
          <w:rFonts w:asciiTheme="majorBidi" w:hAnsiTheme="majorBidi" w:cstheme="majorBidi"/>
          <w:lang w:val="de-DE"/>
        </w:rPr>
        <w:t>diplomātiskā</w:t>
      </w:r>
      <w:proofErr w:type="spellEnd"/>
      <w:r w:rsidRPr="00FB289D">
        <w:rPr>
          <w:rFonts w:asciiTheme="majorBidi" w:hAnsiTheme="majorBidi" w:cstheme="majorBidi"/>
          <w:lang w:val="de-DE"/>
        </w:rPr>
        <w:t xml:space="preserve"> </w:t>
      </w:r>
      <w:proofErr w:type="spellStart"/>
      <w:r w:rsidRPr="00FB289D">
        <w:rPr>
          <w:rFonts w:asciiTheme="majorBidi" w:hAnsiTheme="majorBidi" w:cstheme="majorBidi"/>
          <w:lang w:val="de-DE"/>
        </w:rPr>
        <w:t>vai</w:t>
      </w:r>
      <w:proofErr w:type="spellEnd"/>
      <w:r w:rsidRPr="00FB289D">
        <w:rPr>
          <w:rFonts w:asciiTheme="majorBidi" w:hAnsiTheme="majorBidi" w:cstheme="majorBidi"/>
          <w:lang w:val="de-DE"/>
        </w:rPr>
        <w:t xml:space="preserve"> </w:t>
      </w:r>
      <w:proofErr w:type="spellStart"/>
      <w:r w:rsidRPr="00FB289D">
        <w:rPr>
          <w:rFonts w:asciiTheme="majorBidi" w:hAnsiTheme="majorBidi" w:cstheme="majorBidi"/>
          <w:lang w:val="de-DE"/>
        </w:rPr>
        <w:t>konsulārā</w:t>
      </w:r>
      <w:proofErr w:type="spellEnd"/>
      <w:r w:rsidRPr="00FB289D">
        <w:rPr>
          <w:rFonts w:asciiTheme="majorBidi" w:hAnsiTheme="majorBidi" w:cstheme="majorBidi"/>
          <w:lang w:val="de-DE"/>
        </w:rPr>
        <w:t xml:space="preserve"> </w:t>
      </w:r>
      <w:proofErr w:type="spellStart"/>
      <w:r w:rsidRPr="00FB289D">
        <w:rPr>
          <w:rFonts w:asciiTheme="majorBidi" w:hAnsiTheme="majorBidi" w:cstheme="majorBidi"/>
          <w:lang w:val="de-DE"/>
        </w:rPr>
        <w:t>legalizācija</w:t>
      </w:r>
      <w:proofErr w:type="spellEnd"/>
      <w:r w:rsidRPr="00FB289D">
        <w:rPr>
          <w:rFonts w:asciiTheme="majorBidi" w:hAnsiTheme="majorBidi" w:cstheme="majorBidi"/>
          <w:lang w:val="de-DE"/>
        </w:rPr>
        <w:t xml:space="preserve"> (</w:t>
      </w:r>
      <w:proofErr w:type="spellStart"/>
      <w:r w:rsidRPr="00FB289D">
        <w:rPr>
          <w:rFonts w:asciiTheme="majorBidi" w:hAnsiTheme="majorBidi" w:cstheme="majorBidi"/>
          <w:lang w:val="de-DE"/>
        </w:rPr>
        <w:t>ar</w:t>
      </w:r>
      <w:proofErr w:type="spellEnd"/>
      <w:r w:rsidRPr="00FB289D">
        <w:rPr>
          <w:rFonts w:asciiTheme="majorBidi" w:hAnsiTheme="majorBidi" w:cstheme="majorBidi"/>
          <w:lang w:val="de-DE"/>
        </w:rPr>
        <w:t xml:space="preserve"> </w:t>
      </w:r>
      <w:proofErr w:type="spellStart"/>
      <w:r w:rsidRPr="00FB289D">
        <w:rPr>
          <w:rFonts w:asciiTheme="majorBidi" w:hAnsiTheme="majorBidi" w:cstheme="majorBidi"/>
          <w:lang w:val="de-DE"/>
        </w:rPr>
        <w:t>legalizācijas</w:t>
      </w:r>
      <w:proofErr w:type="spellEnd"/>
      <w:r w:rsidRPr="00FB289D">
        <w:rPr>
          <w:rFonts w:asciiTheme="majorBidi" w:hAnsiTheme="majorBidi" w:cstheme="majorBidi"/>
          <w:lang w:val="de-DE"/>
        </w:rPr>
        <w:t xml:space="preserve"> </w:t>
      </w:r>
      <w:proofErr w:type="spellStart"/>
      <w:r w:rsidRPr="00FB289D">
        <w:rPr>
          <w:rFonts w:asciiTheme="majorBidi" w:hAnsiTheme="majorBidi" w:cstheme="majorBidi"/>
          <w:lang w:val="de-DE"/>
        </w:rPr>
        <w:t>uzrakstu</w:t>
      </w:r>
      <w:proofErr w:type="spellEnd"/>
      <w:r w:rsidRPr="00FB289D">
        <w:rPr>
          <w:rFonts w:asciiTheme="majorBidi" w:hAnsiTheme="majorBidi" w:cstheme="majorBidi"/>
          <w:lang w:val="de-DE"/>
        </w:rPr>
        <w:t xml:space="preserve">); 2) </w:t>
      </w:r>
      <w:r>
        <w:rPr>
          <w:rFonts w:asciiTheme="majorBidi" w:hAnsiTheme="majorBidi" w:cstheme="majorBidi"/>
          <w:lang w:val="de-DE"/>
        </w:rPr>
        <w:t>„</w:t>
      </w:r>
      <w:proofErr w:type="spellStart"/>
      <w:r w:rsidRPr="00FB289D">
        <w:rPr>
          <w:rFonts w:asciiTheme="majorBidi" w:hAnsiTheme="majorBidi" w:cstheme="majorBidi"/>
          <w:lang w:val="de-DE"/>
        </w:rPr>
        <w:t>legalizācija</w:t>
      </w:r>
      <w:proofErr w:type="spellEnd"/>
      <w:r>
        <w:rPr>
          <w:rFonts w:asciiTheme="majorBidi" w:hAnsiTheme="majorBidi" w:cstheme="majorBidi"/>
          <w:lang w:val="de-DE"/>
        </w:rPr>
        <w:t>“</w:t>
      </w:r>
      <w:r w:rsidRPr="00FB289D">
        <w:rPr>
          <w:rFonts w:asciiTheme="majorBidi" w:hAnsiTheme="majorBidi" w:cstheme="majorBidi"/>
          <w:lang w:val="de-DE"/>
        </w:rPr>
        <w:t xml:space="preserve"> </w:t>
      </w:r>
      <w:proofErr w:type="spellStart"/>
      <w:r w:rsidRPr="00FB289D">
        <w:rPr>
          <w:rFonts w:asciiTheme="majorBidi" w:hAnsiTheme="majorBidi" w:cstheme="majorBidi"/>
          <w:lang w:val="de-DE"/>
        </w:rPr>
        <w:t>ar</w:t>
      </w:r>
      <w:proofErr w:type="spellEnd"/>
      <w:r w:rsidRPr="00FB289D">
        <w:rPr>
          <w:rFonts w:asciiTheme="majorBidi" w:hAnsiTheme="majorBidi" w:cstheme="majorBidi"/>
          <w:lang w:val="de-DE"/>
        </w:rPr>
        <w:t xml:space="preserve"> </w:t>
      </w:r>
      <w:proofErr w:type="spellStart"/>
      <w:r w:rsidRPr="00FB289D">
        <w:rPr>
          <w:rFonts w:asciiTheme="majorBidi" w:hAnsiTheme="majorBidi" w:cstheme="majorBidi"/>
          <w:i/>
          <w:iCs/>
          <w:lang w:val="de-DE"/>
        </w:rPr>
        <w:t>apostille</w:t>
      </w:r>
      <w:proofErr w:type="spellEnd"/>
      <w:r w:rsidRPr="00FB289D">
        <w:rPr>
          <w:rFonts w:asciiTheme="majorBidi" w:hAnsiTheme="majorBidi" w:cstheme="majorBidi"/>
          <w:lang w:val="de-DE"/>
        </w:rPr>
        <w:t xml:space="preserve"> </w:t>
      </w:r>
      <w:proofErr w:type="spellStart"/>
      <w:r w:rsidRPr="00FB289D">
        <w:rPr>
          <w:rFonts w:asciiTheme="majorBidi" w:hAnsiTheme="majorBidi" w:cstheme="majorBidi"/>
          <w:lang w:val="de-DE"/>
        </w:rPr>
        <w:t>apliecinājumu</w:t>
      </w:r>
      <w:proofErr w:type="spellEnd"/>
      <w:r w:rsidRPr="00FB289D">
        <w:rPr>
          <w:rFonts w:asciiTheme="majorBidi" w:hAnsiTheme="majorBidi" w:cstheme="majorBidi"/>
          <w:lang w:val="de-DE"/>
        </w:rPr>
        <w:t xml:space="preserve"> </w:t>
      </w:r>
      <w:proofErr w:type="spellStart"/>
      <w:r w:rsidRPr="00FB289D">
        <w:rPr>
          <w:rFonts w:asciiTheme="majorBidi" w:hAnsiTheme="majorBidi" w:cstheme="majorBidi"/>
          <w:lang w:val="de-DE"/>
        </w:rPr>
        <w:t>un</w:t>
      </w:r>
      <w:proofErr w:type="spellEnd"/>
      <w:r w:rsidRPr="00FB289D">
        <w:rPr>
          <w:rFonts w:asciiTheme="majorBidi" w:hAnsiTheme="majorBidi" w:cstheme="majorBidi"/>
          <w:lang w:val="de-DE"/>
        </w:rPr>
        <w:t xml:space="preserve"> 3) </w:t>
      </w:r>
      <w:proofErr w:type="spellStart"/>
      <w:r w:rsidRPr="00FB289D">
        <w:rPr>
          <w:rFonts w:asciiTheme="majorBidi" w:hAnsiTheme="majorBidi" w:cstheme="majorBidi"/>
          <w:lang w:val="de-DE"/>
        </w:rPr>
        <w:t>atceltā</w:t>
      </w:r>
      <w:proofErr w:type="spellEnd"/>
      <w:r w:rsidRPr="00FB289D">
        <w:rPr>
          <w:rFonts w:asciiTheme="majorBidi" w:hAnsiTheme="majorBidi" w:cstheme="majorBidi"/>
          <w:lang w:val="de-DE"/>
        </w:rPr>
        <w:t xml:space="preserve"> </w:t>
      </w:r>
      <w:proofErr w:type="spellStart"/>
      <w:r w:rsidRPr="00FB289D">
        <w:rPr>
          <w:rFonts w:asciiTheme="majorBidi" w:hAnsiTheme="majorBidi" w:cstheme="majorBidi"/>
          <w:lang w:val="de-DE"/>
        </w:rPr>
        <w:t>legalizācija</w:t>
      </w:r>
      <w:proofErr w:type="spellEnd"/>
      <w:r w:rsidRPr="00FB289D">
        <w:rPr>
          <w:rFonts w:asciiTheme="majorBidi" w:hAnsiTheme="majorBidi" w:cstheme="majorBidi"/>
          <w:lang w:val="de-DE"/>
        </w:rPr>
        <w:t>.</w:t>
      </w:r>
    </w:p>
    <w:p w14:paraId="03B68674" w14:textId="77777777" w:rsidR="00114953" w:rsidRPr="00FB289D" w:rsidRDefault="00114953" w:rsidP="00114953">
      <w:pPr>
        <w:jc w:val="both"/>
        <w:rPr>
          <w:rFonts w:asciiTheme="majorBidi" w:hAnsiTheme="majorBidi" w:cstheme="majorBidi"/>
          <w:lang w:val="de-DE"/>
        </w:rPr>
      </w:pPr>
    </w:p>
    <w:p w14:paraId="0C50CA97" w14:textId="77777777" w:rsidR="00114953" w:rsidRPr="000C7C76" w:rsidRDefault="00114953" w:rsidP="00114953">
      <w:pPr>
        <w:ind w:firstLine="708"/>
        <w:jc w:val="both"/>
        <w:rPr>
          <w:rFonts w:asciiTheme="majorBidi" w:hAnsiTheme="majorBidi" w:cstheme="majorBidi"/>
          <w:lang w:val="de-DE"/>
        </w:rPr>
      </w:pPr>
      <w:proofErr w:type="spellStart"/>
      <w:r w:rsidRPr="00FB289D">
        <w:rPr>
          <w:rFonts w:asciiTheme="majorBidi" w:hAnsiTheme="majorBidi" w:cstheme="majorBidi"/>
          <w:b/>
          <w:bCs/>
          <w:lang w:val="de-DE"/>
        </w:rPr>
        <w:t>Diplomātiskā</w:t>
      </w:r>
      <w:proofErr w:type="spellEnd"/>
      <w:r w:rsidRPr="00FB289D">
        <w:rPr>
          <w:rFonts w:asciiTheme="majorBidi" w:hAnsiTheme="majorBidi" w:cstheme="majorBidi"/>
          <w:b/>
          <w:bCs/>
          <w:lang w:val="de-DE"/>
        </w:rPr>
        <w:t xml:space="preserve"> </w:t>
      </w:r>
      <w:proofErr w:type="spellStart"/>
      <w:r w:rsidRPr="00FB289D">
        <w:rPr>
          <w:rFonts w:asciiTheme="majorBidi" w:hAnsiTheme="majorBidi" w:cstheme="majorBidi"/>
          <w:b/>
          <w:bCs/>
          <w:lang w:val="de-DE"/>
        </w:rPr>
        <w:t>vai</w:t>
      </w:r>
      <w:proofErr w:type="spellEnd"/>
      <w:r w:rsidRPr="00FB289D">
        <w:rPr>
          <w:rFonts w:asciiTheme="majorBidi" w:hAnsiTheme="majorBidi" w:cstheme="majorBidi"/>
          <w:b/>
          <w:bCs/>
          <w:lang w:val="de-DE"/>
        </w:rPr>
        <w:t xml:space="preserve"> </w:t>
      </w:r>
      <w:proofErr w:type="spellStart"/>
      <w:r w:rsidRPr="00FB289D">
        <w:rPr>
          <w:rFonts w:asciiTheme="majorBidi" w:hAnsiTheme="majorBidi" w:cstheme="majorBidi"/>
          <w:b/>
          <w:bCs/>
          <w:lang w:val="de-DE"/>
        </w:rPr>
        <w:t>konsulārā</w:t>
      </w:r>
      <w:proofErr w:type="spellEnd"/>
      <w:r w:rsidRPr="00FB289D">
        <w:rPr>
          <w:rFonts w:asciiTheme="majorBidi" w:hAnsiTheme="majorBidi" w:cstheme="majorBidi"/>
          <w:b/>
          <w:bCs/>
          <w:lang w:val="de-DE"/>
        </w:rPr>
        <w:t xml:space="preserve"> </w:t>
      </w:r>
      <w:proofErr w:type="spellStart"/>
      <w:r w:rsidRPr="00FB289D">
        <w:rPr>
          <w:rFonts w:asciiTheme="majorBidi" w:hAnsiTheme="majorBidi" w:cstheme="majorBidi"/>
          <w:b/>
          <w:bCs/>
          <w:lang w:val="de-DE"/>
        </w:rPr>
        <w:t>legalizācija</w:t>
      </w:r>
      <w:proofErr w:type="spellEnd"/>
      <w:r w:rsidRPr="00FB289D">
        <w:rPr>
          <w:rFonts w:asciiTheme="majorBidi" w:hAnsiTheme="majorBidi" w:cstheme="majorBidi"/>
          <w:b/>
          <w:bCs/>
          <w:lang w:val="de-DE"/>
        </w:rPr>
        <w:t xml:space="preserve"> (</w:t>
      </w:r>
      <w:proofErr w:type="spellStart"/>
      <w:r w:rsidRPr="00FB289D">
        <w:rPr>
          <w:rFonts w:asciiTheme="majorBidi" w:hAnsiTheme="majorBidi" w:cstheme="majorBidi"/>
          <w:b/>
          <w:bCs/>
          <w:lang w:val="de-DE"/>
        </w:rPr>
        <w:t>ar</w:t>
      </w:r>
      <w:proofErr w:type="spellEnd"/>
      <w:r w:rsidRPr="00FB289D">
        <w:rPr>
          <w:rFonts w:asciiTheme="majorBidi" w:hAnsiTheme="majorBidi" w:cstheme="majorBidi"/>
          <w:b/>
          <w:bCs/>
          <w:lang w:val="de-DE"/>
        </w:rPr>
        <w:t xml:space="preserve"> </w:t>
      </w:r>
      <w:proofErr w:type="spellStart"/>
      <w:r w:rsidRPr="00FB289D">
        <w:rPr>
          <w:rFonts w:asciiTheme="majorBidi" w:hAnsiTheme="majorBidi" w:cstheme="majorBidi"/>
          <w:b/>
          <w:bCs/>
          <w:lang w:val="de-DE"/>
        </w:rPr>
        <w:t>legalizācijas</w:t>
      </w:r>
      <w:proofErr w:type="spellEnd"/>
      <w:r w:rsidRPr="00FB289D">
        <w:rPr>
          <w:rFonts w:asciiTheme="majorBidi" w:hAnsiTheme="majorBidi" w:cstheme="majorBidi"/>
          <w:b/>
          <w:bCs/>
          <w:lang w:val="de-DE"/>
        </w:rPr>
        <w:t xml:space="preserve"> </w:t>
      </w:r>
      <w:proofErr w:type="spellStart"/>
      <w:r w:rsidRPr="00FB289D">
        <w:rPr>
          <w:rFonts w:asciiTheme="majorBidi" w:hAnsiTheme="majorBidi" w:cstheme="majorBidi"/>
          <w:b/>
          <w:bCs/>
          <w:lang w:val="de-DE"/>
        </w:rPr>
        <w:t>uzrakstu</w:t>
      </w:r>
      <w:proofErr w:type="spellEnd"/>
      <w:r w:rsidRPr="00FB289D">
        <w:rPr>
          <w:rFonts w:asciiTheme="majorBidi" w:hAnsiTheme="majorBidi" w:cstheme="majorBidi"/>
          <w:b/>
          <w:bCs/>
          <w:lang w:val="de-DE"/>
        </w:rPr>
        <w:t>):</w:t>
      </w:r>
      <w:r w:rsidRPr="00FB289D">
        <w:rPr>
          <w:rFonts w:asciiTheme="majorBidi" w:hAnsiTheme="majorBidi" w:cstheme="majorBidi"/>
          <w:lang w:val="de-DE"/>
        </w:rPr>
        <w:t xml:space="preserve"> Ja </w:t>
      </w:r>
      <w:proofErr w:type="spellStart"/>
      <w:r w:rsidRPr="00FB289D">
        <w:rPr>
          <w:rFonts w:asciiTheme="majorBidi" w:hAnsiTheme="majorBidi" w:cstheme="majorBidi"/>
          <w:lang w:val="de-DE"/>
        </w:rPr>
        <w:t>publisks</w:t>
      </w:r>
      <w:proofErr w:type="spellEnd"/>
      <w:r w:rsidRPr="00FB289D">
        <w:rPr>
          <w:rFonts w:asciiTheme="majorBidi" w:hAnsiTheme="majorBidi" w:cstheme="majorBidi"/>
          <w:lang w:val="de-DE"/>
        </w:rPr>
        <w:t xml:space="preserve"> </w:t>
      </w:r>
      <w:proofErr w:type="spellStart"/>
      <w:r w:rsidRPr="00FB289D">
        <w:rPr>
          <w:rFonts w:asciiTheme="majorBidi" w:hAnsiTheme="majorBidi" w:cstheme="majorBidi"/>
          <w:lang w:val="de-DE"/>
        </w:rPr>
        <w:t>dokuments</w:t>
      </w:r>
      <w:proofErr w:type="spellEnd"/>
      <w:r w:rsidRPr="00FB289D">
        <w:rPr>
          <w:rFonts w:asciiTheme="majorBidi" w:hAnsiTheme="majorBidi" w:cstheme="majorBidi"/>
          <w:lang w:val="de-DE"/>
        </w:rPr>
        <w:t xml:space="preserve"> </w:t>
      </w:r>
      <w:proofErr w:type="spellStart"/>
      <w:r w:rsidRPr="00FB289D">
        <w:rPr>
          <w:rFonts w:asciiTheme="majorBidi" w:hAnsiTheme="majorBidi" w:cstheme="majorBidi"/>
          <w:lang w:val="de-DE"/>
        </w:rPr>
        <w:t>izsniegts</w:t>
      </w:r>
      <w:proofErr w:type="spellEnd"/>
      <w:r w:rsidRPr="00FB289D">
        <w:rPr>
          <w:rFonts w:asciiTheme="majorBidi" w:hAnsiTheme="majorBidi" w:cstheme="majorBidi"/>
          <w:lang w:val="de-DE"/>
        </w:rPr>
        <w:t xml:space="preserve"> </w:t>
      </w:r>
      <w:proofErr w:type="spellStart"/>
      <w:r w:rsidRPr="00FB289D">
        <w:rPr>
          <w:rFonts w:asciiTheme="majorBidi" w:hAnsiTheme="majorBidi" w:cstheme="majorBidi"/>
          <w:lang w:val="de-DE"/>
        </w:rPr>
        <w:t>valstī</w:t>
      </w:r>
      <w:proofErr w:type="spellEnd"/>
      <w:r w:rsidRPr="00FB289D">
        <w:rPr>
          <w:rFonts w:asciiTheme="majorBidi" w:hAnsiTheme="majorBidi" w:cstheme="majorBidi"/>
          <w:lang w:val="de-DE"/>
        </w:rPr>
        <w:t xml:space="preserve">, </w:t>
      </w:r>
      <w:proofErr w:type="spellStart"/>
      <w:r w:rsidRPr="00FB289D">
        <w:rPr>
          <w:rFonts w:asciiTheme="majorBidi" w:hAnsiTheme="majorBidi" w:cstheme="majorBidi"/>
          <w:lang w:val="de-DE"/>
        </w:rPr>
        <w:t>kura</w:t>
      </w:r>
      <w:proofErr w:type="spellEnd"/>
      <w:r w:rsidRPr="00FB289D">
        <w:rPr>
          <w:rFonts w:asciiTheme="majorBidi" w:hAnsiTheme="majorBidi" w:cstheme="majorBidi"/>
          <w:lang w:val="de-DE"/>
        </w:rPr>
        <w:t xml:space="preserve"> </w:t>
      </w:r>
      <w:proofErr w:type="spellStart"/>
      <w:r w:rsidRPr="00FB289D">
        <w:rPr>
          <w:rFonts w:asciiTheme="majorBidi" w:hAnsiTheme="majorBidi" w:cstheme="majorBidi"/>
          <w:b/>
          <w:bCs/>
          <w:lang w:val="de-DE"/>
        </w:rPr>
        <w:t>nav</w:t>
      </w:r>
      <w:proofErr w:type="spellEnd"/>
      <w:r w:rsidRPr="00FB289D">
        <w:rPr>
          <w:rFonts w:asciiTheme="majorBidi" w:hAnsiTheme="majorBidi" w:cstheme="majorBidi"/>
          <w:b/>
          <w:bCs/>
          <w:lang w:val="de-DE"/>
        </w:rPr>
        <w:t xml:space="preserve"> </w:t>
      </w:r>
      <w:proofErr w:type="spellStart"/>
      <w:r>
        <w:rPr>
          <w:rFonts w:asciiTheme="majorBidi" w:hAnsiTheme="majorBidi" w:cstheme="majorBidi"/>
          <w:lang w:val="de-DE"/>
        </w:rPr>
        <w:t>Hāgas</w:t>
      </w:r>
      <w:proofErr w:type="spellEnd"/>
      <w:r>
        <w:rPr>
          <w:rFonts w:asciiTheme="majorBidi" w:hAnsiTheme="majorBidi" w:cstheme="majorBidi"/>
          <w:lang w:val="de-DE"/>
        </w:rPr>
        <w:t xml:space="preserve"> </w:t>
      </w:r>
      <w:proofErr w:type="spellStart"/>
      <w:r>
        <w:rPr>
          <w:rFonts w:asciiTheme="majorBidi" w:hAnsiTheme="majorBidi" w:cstheme="majorBidi"/>
          <w:lang w:val="de-DE"/>
        </w:rPr>
        <w:t>D</w:t>
      </w:r>
      <w:r w:rsidRPr="00FB289D">
        <w:rPr>
          <w:rFonts w:asciiTheme="majorBidi" w:hAnsiTheme="majorBidi" w:cstheme="majorBidi"/>
          <w:lang w:val="de-DE"/>
        </w:rPr>
        <w:t>okumentu</w:t>
      </w:r>
      <w:proofErr w:type="spellEnd"/>
      <w:r w:rsidRPr="00FB289D">
        <w:rPr>
          <w:rFonts w:asciiTheme="majorBidi" w:hAnsiTheme="majorBidi" w:cstheme="majorBidi"/>
          <w:lang w:val="de-DE"/>
        </w:rPr>
        <w:t xml:space="preserve"> </w:t>
      </w:r>
      <w:proofErr w:type="spellStart"/>
      <w:r w:rsidRPr="00FB289D">
        <w:rPr>
          <w:rFonts w:asciiTheme="majorBidi" w:hAnsiTheme="majorBidi" w:cstheme="majorBidi"/>
          <w:lang w:val="de-DE"/>
        </w:rPr>
        <w:t>legalizācijas</w:t>
      </w:r>
      <w:proofErr w:type="spellEnd"/>
      <w:r>
        <w:rPr>
          <w:rFonts w:asciiTheme="majorBidi" w:hAnsiTheme="majorBidi" w:cstheme="majorBidi"/>
          <w:lang w:val="de-DE"/>
        </w:rPr>
        <w:t xml:space="preserve"> </w:t>
      </w:r>
      <w:proofErr w:type="spellStart"/>
      <w:r>
        <w:rPr>
          <w:rFonts w:asciiTheme="majorBidi" w:hAnsiTheme="majorBidi" w:cstheme="majorBidi"/>
          <w:lang w:val="de-DE"/>
        </w:rPr>
        <w:t>atcelšanas</w:t>
      </w:r>
      <w:proofErr w:type="spellEnd"/>
      <w:r w:rsidRPr="00FB289D">
        <w:rPr>
          <w:rFonts w:asciiTheme="majorBidi" w:hAnsiTheme="majorBidi" w:cstheme="majorBidi"/>
          <w:lang w:val="de-DE"/>
        </w:rPr>
        <w:t xml:space="preserve"> </w:t>
      </w:r>
      <w:proofErr w:type="spellStart"/>
      <w:r w:rsidRPr="00FB289D">
        <w:rPr>
          <w:rFonts w:asciiTheme="majorBidi" w:hAnsiTheme="majorBidi" w:cstheme="majorBidi"/>
          <w:lang w:val="de-DE"/>
        </w:rPr>
        <w:t>konvencijas</w:t>
      </w:r>
      <w:proofErr w:type="spellEnd"/>
      <w:r w:rsidRPr="00FB289D">
        <w:rPr>
          <w:rFonts w:asciiTheme="majorBidi" w:hAnsiTheme="majorBidi" w:cstheme="majorBidi"/>
          <w:lang w:val="de-DE"/>
        </w:rPr>
        <w:t xml:space="preserve"> </w:t>
      </w:r>
      <w:proofErr w:type="spellStart"/>
      <w:r w:rsidRPr="00FB289D">
        <w:rPr>
          <w:rFonts w:asciiTheme="majorBidi" w:hAnsiTheme="majorBidi" w:cstheme="majorBidi"/>
          <w:lang w:val="de-DE"/>
        </w:rPr>
        <w:t>dalībvalsts</w:t>
      </w:r>
      <w:proofErr w:type="spellEnd"/>
      <w:r w:rsidRPr="000C7C76">
        <w:rPr>
          <w:rFonts w:asciiTheme="majorBidi" w:hAnsiTheme="majorBidi" w:cstheme="majorBidi"/>
          <w:lang w:val="de-DE"/>
        </w:rPr>
        <w:t xml:space="preserve">, </w:t>
      </w:r>
      <w:proofErr w:type="spellStart"/>
      <w:r w:rsidRPr="000C7C76">
        <w:rPr>
          <w:rFonts w:asciiTheme="majorBidi" w:hAnsiTheme="majorBidi" w:cstheme="majorBidi"/>
          <w:lang w:val="de-DE"/>
        </w:rPr>
        <w:t>to</w:t>
      </w:r>
      <w:proofErr w:type="spellEnd"/>
      <w:r w:rsidRPr="000C7C76">
        <w:rPr>
          <w:rFonts w:asciiTheme="majorBidi" w:hAnsiTheme="majorBidi" w:cstheme="majorBidi"/>
          <w:lang w:val="de-DE"/>
        </w:rPr>
        <w:t xml:space="preserve"> </w:t>
      </w:r>
      <w:proofErr w:type="spellStart"/>
      <w:r w:rsidRPr="000C7C76">
        <w:rPr>
          <w:rFonts w:asciiTheme="majorBidi" w:hAnsiTheme="majorBidi" w:cstheme="majorBidi"/>
          <w:lang w:val="de-DE"/>
        </w:rPr>
        <w:t>legalizē</w:t>
      </w:r>
      <w:proofErr w:type="spellEnd"/>
      <w:r w:rsidRPr="000C7C76">
        <w:rPr>
          <w:rFonts w:asciiTheme="majorBidi" w:hAnsiTheme="majorBidi" w:cstheme="majorBidi"/>
          <w:lang w:val="de-DE"/>
        </w:rPr>
        <w:t xml:space="preserve"> Latvijas </w:t>
      </w:r>
      <w:proofErr w:type="spellStart"/>
      <w:r w:rsidRPr="000C7C76">
        <w:rPr>
          <w:rFonts w:asciiTheme="majorBidi" w:hAnsiTheme="majorBidi" w:cstheme="majorBidi"/>
          <w:lang w:val="de-DE"/>
        </w:rPr>
        <w:t>Republikas</w:t>
      </w:r>
      <w:proofErr w:type="spellEnd"/>
      <w:r w:rsidRPr="000C7C76">
        <w:rPr>
          <w:rFonts w:asciiTheme="majorBidi" w:hAnsiTheme="majorBidi" w:cstheme="majorBidi"/>
          <w:lang w:val="de-DE"/>
        </w:rPr>
        <w:t xml:space="preserve"> </w:t>
      </w:r>
      <w:proofErr w:type="spellStart"/>
      <w:r w:rsidRPr="000C7C76">
        <w:rPr>
          <w:rFonts w:asciiTheme="majorBidi" w:hAnsiTheme="majorBidi" w:cstheme="majorBidi"/>
          <w:lang w:val="de-DE"/>
        </w:rPr>
        <w:t>diplomātiskajā</w:t>
      </w:r>
      <w:proofErr w:type="spellEnd"/>
      <w:r w:rsidRPr="000C7C76">
        <w:rPr>
          <w:rFonts w:asciiTheme="majorBidi" w:hAnsiTheme="majorBidi" w:cstheme="majorBidi"/>
          <w:lang w:val="de-DE"/>
        </w:rPr>
        <w:t xml:space="preserve"> </w:t>
      </w:r>
      <w:proofErr w:type="spellStart"/>
      <w:r w:rsidRPr="000C7C76">
        <w:rPr>
          <w:rFonts w:asciiTheme="majorBidi" w:hAnsiTheme="majorBidi" w:cstheme="majorBidi"/>
          <w:lang w:val="de-DE"/>
        </w:rPr>
        <w:t>vai</w:t>
      </w:r>
      <w:proofErr w:type="spellEnd"/>
      <w:r w:rsidRPr="000C7C76">
        <w:rPr>
          <w:rFonts w:asciiTheme="majorBidi" w:hAnsiTheme="majorBidi" w:cstheme="majorBidi"/>
          <w:lang w:val="de-DE"/>
        </w:rPr>
        <w:t xml:space="preserve"> </w:t>
      </w:r>
      <w:proofErr w:type="spellStart"/>
      <w:r w:rsidRPr="000C7C76">
        <w:rPr>
          <w:rFonts w:asciiTheme="majorBidi" w:hAnsiTheme="majorBidi" w:cstheme="majorBidi"/>
          <w:lang w:val="de-DE"/>
        </w:rPr>
        <w:t>konsulārajā</w:t>
      </w:r>
      <w:proofErr w:type="spellEnd"/>
      <w:r w:rsidRPr="000C7C76">
        <w:rPr>
          <w:rFonts w:asciiTheme="majorBidi" w:hAnsiTheme="majorBidi" w:cstheme="majorBidi"/>
          <w:lang w:val="de-DE"/>
        </w:rPr>
        <w:t xml:space="preserve"> </w:t>
      </w:r>
      <w:proofErr w:type="spellStart"/>
      <w:r w:rsidRPr="000C7C76">
        <w:rPr>
          <w:rFonts w:asciiTheme="majorBidi" w:hAnsiTheme="majorBidi" w:cstheme="majorBidi"/>
          <w:lang w:val="de-DE"/>
        </w:rPr>
        <w:t>pārstāvniecībā</w:t>
      </w:r>
      <w:proofErr w:type="spellEnd"/>
      <w:r w:rsidRPr="000C7C76">
        <w:rPr>
          <w:rFonts w:asciiTheme="majorBidi" w:hAnsiTheme="majorBidi" w:cstheme="majorBidi"/>
          <w:lang w:val="de-DE"/>
        </w:rPr>
        <w:t xml:space="preserve"> </w:t>
      </w:r>
      <w:proofErr w:type="spellStart"/>
      <w:r w:rsidRPr="000C7C76">
        <w:rPr>
          <w:rFonts w:asciiTheme="majorBidi" w:hAnsiTheme="majorBidi" w:cstheme="majorBidi"/>
          <w:lang w:val="de-DE"/>
        </w:rPr>
        <w:t>attiecīgajā</w:t>
      </w:r>
      <w:proofErr w:type="spellEnd"/>
      <w:r w:rsidRPr="000C7C76">
        <w:rPr>
          <w:rFonts w:asciiTheme="majorBidi" w:hAnsiTheme="majorBidi" w:cstheme="majorBidi"/>
          <w:lang w:val="de-DE"/>
        </w:rPr>
        <w:t xml:space="preserve"> </w:t>
      </w:r>
      <w:proofErr w:type="spellStart"/>
      <w:r w:rsidRPr="000C7C76">
        <w:rPr>
          <w:rFonts w:asciiTheme="majorBidi" w:hAnsiTheme="majorBidi" w:cstheme="majorBidi"/>
          <w:lang w:val="de-DE"/>
        </w:rPr>
        <w:t>valstī</w:t>
      </w:r>
      <w:proofErr w:type="spellEnd"/>
      <w:r w:rsidRPr="000C7C76">
        <w:rPr>
          <w:rFonts w:asciiTheme="majorBidi" w:hAnsiTheme="majorBidi" w:cstheme="majorBidi"/>
          <w:lang w:val="de-DE"/>
        </w:rPr>
        <w:t xml:space="preserve"> </w:t>
      </w:r>
      <w:proofErr w:type="spellStart"/>
      <w:r w:rsidRPr="000C7C76">
        <w:rPr>
          <w:rFonts w:asciiTheme="majorBidi" w:hAnsiTheme="majorBidi" w:cstheme="majorBidi"/>
          <w:lang w:val="de-DE"/>
        </w:rPr>
        <w:t>vai</w:t>
      </w:r>
      <w:proofErr w:type="spellEnd"/>
      <w:r w:rsidRPr="000C7C76">
        <w:rPr>
          <w:rFonts w:asciiTheme="majorBidi" w:hAnsiTheme="majorBidi" w:cstheme="majorBidi"/>
          <w:lang w:val="de-DE"/>
        </w:rPr>
        <w:t xml:space="preserve"> Latvijas </w:t>
      </w:r>
      <w:proofErr w:type="spellStart"/>
      <w:r w:rsidRPr="000C7C76">
        <w:rPr>
          <w:rFonts w:asciiTheme="majorBidi" w:hAnsiTheme="majorBidi" w:cstheme="majorBidi"/>
          <w:lang w:val="de-DE"/>
        </w:rPr>
        <w:t>Republikas</w:t>
      </w:r>
      <w:proofErr w:type="spellEnd"/>
      <w:r w:rsidRPr="000C7C76">
        <w:rPr>
          <w:rFonts w:asciiTheme="majorBidi" w:hAnsiTheme="majorBidi" w:cstheme="majorBidi"/>
          <w:lang w:val="de-DE"/>
        </w:rPr>
        <w:t xml:space="preserve"> </w:t>
      </w:r>
      <w:proofErr w:type="spellStart"/>
      <w:r w:rsidRPr="000C7C76">
        <w:rPr>
          <w:rFonts w:asciiTheme="majorBidi" w:hAnsiTheme="majorBidi" w:cstheme="majorBidi"/>
          <w:lang w:val="de-DE"/>
        </w:rPr>
        <w:t>Ārlietu</w:t>
      </w:r>
      <w:proofErr w:type="spellEnd"/>
      <w:r w:rsidRPr="000C7C76">
        <w:rPr>
          <w:rFonts w:asciiTheme="majorBidi" w:hAnsiTheme="majorBidi" w:cstheme="majorBidi"/>
          <w:lang w:val="de-DE"/>
        </w:rPr>
        <w:t xml:space="preserve"> </w:t>
      </w:r>
      <w:proofErr w:type="spellStart"/>
      <w:r w:rsidRPr="000C7C76">
        <w:rPr>
          <w:rFonts w:asciiTheme="majorBidi" w:hAnsiTheme="majorBidi" w:cstheme="majorBidi"/>
          <w:lang w:val="de-DE"/>
        </w:rPr>
        <w:t>ministrijas</w:t>
      </w:r>
      <w:proofErr w:type="spellEnd"/>
      <w:r w:rsidRPr="000C7C76">
        <w:rPr>
          <w:rFonts w:asciiTheme="majorBidi" w:hAnsiTheme="majorBidi" w:cstheme="majorBidi"/>
          <w:lang w:val="de-DE"/>
        </w:rPr>
        <w:t xml:space="preserve"> </w:t>
      </w:r>
      <w:proofErr w:type="spellStart"/>
      <w:r w:rsidRPr="000C7C76">
        <w:rPr>
          <w:rFonts w:asciiTheme="majorBidi" w:hAnsiTheme="majorBidi" w:cstheme="majorBidi"/>
          <w:lang w:val="de-DE"/>
        </w:rPr>
        <w:t>Konsulārajā</w:t>
      </w:r>
      <w:proofErr w:type="spellEnd"/>
      <w:r w:rsidRPr="000C7C76">
        <w:rPr>
          <w:rFonts w:asciiTheme="majorBidi" w:hAnsiTheme="majorBidi" w:cstheme="majorBidi"/>
          <w:lang w:val="de-DE"/>
        </w:rPr>
        <w:t xml:space="preserve"> </w:t>
      </w:r>
      <w:proofErr w:type="spellStart"/>
      <w:r w:rsidRPr="000C7C76">
        <w:rPr>
          <w:rFonts w:asciiTheme="majorBidi" w:hAnsiTheme="majorBidi" w:cstheme="majorBidi"/>
          <w:lang w:val="de-DE"/>
        </w:rPr>
        <w:t>departamentā</w:t>
      </w:r>
      <w:proofErr w:type="spellEnd"/>
      <w:r w:rsidRPr="000C7C76">
        <w:rPr>
          <w:rFonts w:asciiTheme="majorBidi" w:hAnsiTheme="majorBidi" w:cstheme="majorBidi"/>
          <w:lang w:val="de-DE"/>
        </w:rPr>
        <w:t xml:space="preserve"> </w:t>
      </w:r>
      <w:proofErr w:type="spellStart"/>
      <w:r w:rsidRPr="000C7C76">
        <w:rPr>
          <w:rFonts w:asciiTheme="majorBidi" w:hAnsiTheme="majorBidi" w:cstheme="majorBidi"/>
          <w:lang w:val="de-DE"/>
        </w:rPr>
        <w:t>pēc</w:t>
      </w:r>
      <w:proofErr w:type="spellEnd"/>
      <w:r w:rsidRPr="000C7C76">
        <w:rPr>
          <w:rFonts w:asciiTheme="majorBidi" w:hAnsiTheme="majorBidi" w:cstheme="majorBidi"/>
          <w:lang w:val="de-DE"/>
        </w:rPr>
        <w:t xml:space="preserve"> </w:t>
      </w:r>
      <w:proofErr w:type="spellStart"/>
      <w:r w:rsidRPr="000C7C76">
        <w:rPr>
          <w:rFonts w:asciiTheme="majorBidi" w:hAnsiTheme="majorBidi" w:cstheme="majorBidi"/>
          <w:lang w:val="de-DE"/>
        </w:rPr>
        <w:t>šī</w:t>
      </w:r>
      <w:proofErr w:type="spellEnd"/>
      <w:r w:rsidRPr="000C7C76">
        <w:rPr>
          <w:rFonts w:asciiTheme="majorBidi" w:hAnsiTheme="majorBidi" w:cstheme="majorBidi"/>
          <w:lang w:val="de-DE"/>
        </w:rPr>
        <w:t xml:space="preserve"> </w:t>
      </w:r>
      <w:proofErr w:type="spellStart"/>
      <w:r w:rsidRPr="000C7C76">
        <w:rPr>
          <w:rFonts w:asciiTheme="majorBidi" w:hAnsiTheme="majorBidi" w:cstheme="majorBidi"/>
          <w:lang w:val="de-DE"/>
        </w:rPr>
        <w:lastRenderedPageBreak/>
        <w:t>dokumenta</w:t>
      </w:r>
      <w:proofErr w:type="spellEnd"/>
      <w:r w:rsidRPr="000C7C76">
        <w:rPr>
          <w:rFonts w:asciiTheme="majorBidi" w:hAnsiTheme="majorBidi" w:cstheme="majorBidi"/>
          <w:lang w:val="de-DE"/>
        </w:rPr>
        <w:t xml:space="preserve"> </w:t>
      </w:r>
      <w:proofErr w:type="spellStart"/>
      <w:r w:rsidRPr="000C7C76">
        <w:rPr>
          <w:rFonts w:asciiTheme="majorBidi" w:hAnsiTheme="majorBidi" w:cstheme="majorBidi"/>
          <w:lang w:val="de-DE"/>
        </w:rPr>
        <w:t>attiecīgas</w:t>
      </w:r>
      <w:proofErr w:type="spellEnd"/>
      <w:r w:rsidRPr="000C7C76">
        <w:rPr>
          <w:rFonts w:asciiTheme="majorBidi" w:hAnsiTheme="majorBidi" w:cstheme="majorBidi"/>
          <w:lang w:val="de-DE"/>
        </w:rPr>
        <w:t xml:space="preserve"> </w:t>
      </w:r>
      <w:proofErr w:type="spellStart"/>
      <w:r w:rsidRPr="000C7C76">
        <w:rPr>
          <w:rFonts w:asciiTheme="majorBidi" w:hAnsiTheme="majorBidi" w:cstheme="majorBidi"/>
          <w:lang w:val="de-DE"/>
        </w:rPr>
        <w:t>apstiprināšanas</w:t>
      </w:r>
      <w:proofErr w:type="spellEnd"/>
      <w:r w:rsidRPr="000C7C76">
        <w:rPr>
          <w:rFonts w:asciiTheme="majorBidi" w:hAnsiTheme="majorBidi" w:cstheme="majorBidi"/>
          <w:lang w:val="de-DE"/>
        </w:rPr>
        <w:t xml:space="preserve"> </w:t>
      </w:r>
      <w:proofErr w:type="spellStart"/>
      <w:r w:rsidRPr="000C7C76">
        <w:rPr>
          <w:rFonts w:asciiTheme="majorBidi" w:hAnsiTheme="majorBidi" w:cstheme="majorBidi"/>
          <w:lang w:val="de-DE"/>
        </w:rPr>
        <w:t>ārvalsts</w:t>
      </w:r>
      <w:proofErr w:type="spellEnd"/>
      <w:r w:rsidRPr="000C7C76">
        <w:rPr>
          <w:rFonts w:asciiTheme="majorBidi" w:hAnsiTheme="majorBidi" w:cstheme="majorBidi"/>
          <w:lang w:val="de-DE"/>
        </w:rPr>
        <w:t xml:space="preserve"> </w:t>
      </w:r>
      <w:proofErr w:type="spellStart"/>
      <w:r w:rsidRPr="000C7C76">
        <w:rPr>
          <w:rFonts w:asciiTheme="majorBidi" w:hAnsiTheme="majorBidi" w:cstheme="majorBidi"/>
          <w:lang w:val="de-DE"/>
        </w:rPr>
        <w:t>kompetentajās</w:t>
      </w:r>
      <w:proofErr w:type="spellEnd"/>
      <w:r w:rsidRPr="000C7C76">
        <w:rPr>
          <w:rFonts w:asciiTheme="majorBidi" w:hAnsiTheme="majorBidi" w:cstheme="majorBidi"/>
          <w:lang w:val="de-DE"/>
        </w:rPr>
        <w:t xml:space="preserve"> </w:t>
      </w:r>
      <w:proofErr w:type="spellStart"/>
      <w:r w:rsidRPr="000C7C76">
        <w:rPr>
          <w:rFonts w:asciiTheme="majorBidi" w:hAnsiTheme="majorBidi" w:cstheme="majorBidi"/>
          <w:lang w:val="de-DE"/>
        </w:rPr>
        <w:t>iestādēs</w:t>
      </w:r>
      <w:proofErr w:type="spellEnd"/>
      <w:r w:rsidRPr="000C7C76">
        <w:rPr>
          <w:rFonts w:asciiTheme="majorBidi" w:hAnsiTheme="majorBidi" w:cstheme="majorBidi"/>
          <w:lang w:val="de-DE"/>
        </w:rPr>
        <w:t xml:space="preserve"> (</w:t>
      </w:r>
      <w:proofErr w:type="spellStart"/>
      <w:r w:rsidRPr="000C7C76">
        <w:rPr>
          <w:rFonts w:asciiTheme="majorBidi" w:hAnsiTheme="majorBidi" w:cstheme="majorBidi"/>
          <w:lang w:val="de-DE"/>
        </w:rPr>
        <w:t>kas</w:t>
      </w:r>
      <w:proofErr w:type="spellEnd"/>
      <w:r w:rsidRPr="000C7C76">
        <w:rPr>
          <w:rFonts w:asciiTheme="majorBidi" w:hAnsiTheme="majorBidi" w:cstheme="majorBidi"/>
          <w:lang w:val="de-DE"/>
        </w:rPr>
        <w:t xml:space="preserve"> </w:t>
      </w:r>
      <w:proofErr w:type="spellStart"/>
      <w:r w:rsidRPr="000C7C76">
        <w:rPr>
          <w:rFonts w:asciiTheme="majorBidi" w:hAnsiTheme="majorBidi" w:cstheme="majorBidi"/>
          <w:lang w:val="de-DE"/>
        </w:rPr>
        <w:t>ir</w:t>
      </w:r>
      <w:proofErr w:type="spellEnd"/>
      <w:r w:rsidRPr="000C7C76">
        <w:rPr>
          <w:rFonts w:asciiTheme="majorBidi" w:hAnsiTheme="majorBidi" w:cstheme="majorBidi"/>
          <w:lang w:val="de-DE"/>
        </w:rPr>
        <w:t xml:space="preserve"> </w:t>
      </w:r>
      <w:proofErr w:type="spellStart"/>
      <w:r w:rsidRPr="000C7C76">
        <w:rPr>
          <w:rFonts w:asciiTheme="majorBidi" w:hAnsiTheme="majorBidi" w:cstheme="majorBidi"/>
          <w:lang w:val="de-DE"/>
        </w:rPr>
        <w:t>ārvalsts</w:t>
      </w:r>
      <w:proofErr w:type="spellEnd"/>
      <w:r w:rsidRPr="000C7C76">
        <w:rPr>
          <w:rFonts w:asciiTheme="majorBidi" w:hAnsiTheme="majorBidi" w:cstheme="majorBidi"/>
          <w:lang w:val="de-DE"/>
        </w:rPr>
        <w:t xml:space="preserve"> </w:t>
      </w:r>
      <w:proofErr w:type="spellStart"/>
      <w:r w:rsidRPr="000C7C76">
        <w:rPr>
          <w:rFonts w:asciiTheme="majorBidi" w:hAnsiTheme="majorBidi" w:cstheme="majorBidi"/>
          <w:lang w:val="de-DE"/>
        </w:rPr>
        <w:t>Ārlietu</w:t>
      </w:r>
      <w:proofErr w:type="spellEnd"/>
      <w:r w:rsidRPr="000C7C76">
        <w:rPr>
          <w:rFonts w:asciiTheme="majorBidi" w:hAnsiTheme="majorBidi" w:cstheme="majorBidi"/>
          <w:lang w:val="de-DE"/>
        </w:rPr>
        <w:t xml:space="preserve"> </w:t>
      </w:r>
      <w:proofErr w:type="spellStart"/>
      <w:r w:rsidRPr="000C7C76">
        <w:rPr>
          <w:rFonts w:asciiTheme="majorBidi" w:hAnsiTheme="majorBidi" w:cstheme="majorBidi"/>
          <w:lang w:val="de-DE"/>
        </w:rPr>
        <w:t>ministrija</w:t>
      </w:r>
      <w:proofErr w:type="spellEnd"/>
      <w:r w:rsidRPr="000C7C76">
        <w:rPr>
          <w:rFonts w:asciiTheme="majorBidi" w:hAnsiTheme="majorBidi" w:cstheme="majorBidi"/>
          <w:lang w:val="de-DE"/>
        </w:rPr>
        <w:t xml:space="preserve"> </w:t>
      </w:r>
      <w:proofErr w:type="spellStart"/>
      <w:r w:rsidRPr="000C7C76">
        <w:rPr>
          <w:rFonts w:asciiTheme="majorBidi" w:hAnsiTheme="majorBidi" w:cstheme="majorBidi"/>
          <w:lang w:val="de-DE"/>
        </w:rPr>
        <w:t>vai</w:t>
      </w:r>
      <w:proofErr w:type="spellEnd"/>
      <w:r w:rsidRPr="000C7C76">
        <w:rPr>
          <w:rFonts w:asciiTheme="majorBidi" w:hAnsiTheme="majorBidi" w:cstheme="majorBidi"/>
          <w:lang w:val="de-DE"/>
        </w:rPr>
        <w:t xml:space="preserve"> </w:t>
      </w:r>
      <w:proofErr w:type="spellStart"/>
      <w:r w:rsidRPr="000C7C76">
        <w:rPr>
          <w:rFonts w:asciiTheme="majorBidi" w:hAnsiTheme="majorBidi" w:cstheme="majorBidi"/>
          <w:lang w:val="de-DE"/>
        </w:rPr>
        <w:t>ārvalsts</w:t>
      </w:r>
      <w:proofErr w:type="spellEnd"/>
      <w:r w:rsidRPr="000C7C76">
        <w:rPr>
          <w:rFonts w:asciiTheme="majorBidi" w:hAnsiTheme="majorBidi" w:cstheme="majorBidi"/>
          <w:lang w:val="de-DE"/>
        </w:rPr>
        <w:t xml:space="preserve"> </w:t>
      </w:r>
      <w:proofErr w:type="spellStart"/>
      <w:r w:rsidRPr="000C7C76">
        <w:rPr>
          <w:rFonts w:asciiTheme="majorBidi" w:hAnsiTheme="majorBidi" w:cstheme="majorBidi"/>
          <w:lang w:val="de-DE"/>
        </w:rPr>
        <w:t>diplomātiskā</w:t>
      </w:r>
      <w:proofErr w:type="spellEnd"/>
      <w:r w:rsidRPr="000C7C76">
        <w:rPr>
          <w:rFonts w:asciiTheme="majorBidi" w:hAnsiTheme="majorBidi" w:cstheme="majorBidi"/>
          <w:lang w:val="de-DE"/>
        </w:rPr>
        <w:t xml:space="preserve"> </w:t>
      </w:r>
      <w:proofErr w:type="spellStart"/>
      <w:r w:rsidRPr="000C7C76">
        <w:rPr>
          <w:rFonts w:asciiTheme="majorBidi" w:hAnsiTheme="majorBidi" w:cstheme="majorBidi"/>
          <w:lang w:val="de-DE"/>
        </w:rPr>
        <w:t>vai</w:t>
      </w:r>
      <w:proofErr w:type="spellEnd"/>
      <w:r w:rsidRPr="000C7C76">
        <w:rPr>
          <w:rFonts w:asciiTheme="majorBidi" w:hAnsiTheme="majorBidi" w:cstheme="majorBidi"/>
          <w:lang w:val="de-DE"/>
        </w:rPr>
        <w:t xml:space="preserve"> </w:t>
      </w:r>
      <w:proofErr w:type="spellStart"/>
      <w:r w:rsidRPr="000C7C76">
        <w:rPr>
          <w:rFonts w:asciiTheme="majorBidi" w:hAnsiTheme="majorBidi" w:cstheme="majorBidi"/>
          <w:lang w:val="de-DE"/>
        </w:rPr>
        <w:t>konsulārā</w:t>
      </w:r>
      <w:proofErr w:type="spellEnd"/>
      <w:r w:rsidRPr="000C7C76">
        <w:rPr>
          <w:rFonts w:asciiTheme="majorBidi" w:hAnsiTheme="majorBidi" w:cstheme="majorBidi"/>
          <w:lang w:val="de-DE"/>
        </w:rPr>
        <w:t xml:space="preserve"> </w:t>
      </w:r>
      <w:proofErr w:type="spellStart"/>
      <w:r w:rsidRPr="000C7C76">
        <w:rPr>
          <w:rFonts w:asciiTheme="majorBidi" w:hAnsiTheme="majorBidi" w:cstheme="majorBidi"/>
          <w:lang w:val="de-DE"/>
        </w:rPr>
        <w:t>pārstāvniecība</w:t>
      </w:r>
      <w:proofErr w:type="spellEnd"/>
      <w:r w:rsidRPr="000C7C76">
        <w:rPr>
          <w:rFonts w:asciiTheme="majorBidi" w:hAnsiTheme="majorBidi" w:cstheme="majorBidi"/>
          <w:lang w:val="de-DE"/>
        </w:rPr>
        <w:t>).</w:t>
      </w:r>
      <w:r w:rsidRPr="001A3712">
        <w:rPr>
          <w:rStyle w:val="FootnoteReference"/>
          <w:rFonts w:asciiTheme="majorBidi" w:hAnsiTheme="majorBidi" w:cstheme="majorBidi"/>
        </w:rPr>
        <w:footnoteReference w:id="134"/>
      </w:r>
    </w:p>
    <w:p w14:paraId="1278AA0C" w14:textId="77777777" w:rsidR="00114953" w:rsidRPr="000C7C76" w:rsidRDefault="00114953" w:rsidP="00114953">
      <w:pPr>
        <w:jc w:val="both"/>
        <w:rPr>
          <w:rFonts w:asciiTheme="majorBidi" w:hAnsiTheme="majorBidi" w:cstheme="majorBidi"/>
          <w:lang w:val="de-DE"/>
        </w:rPr>
      </w:pPr>
    </w:p>
    <w:p w14:paraId="3A2041C3" w14:textId="3EA04F8E" w:rsidR="00114953" w:rsidRPr="001A3712" w:rsidRDefault="00114953" w:rsidP="00114953">
      <w:pPr>
        <w:ind w:firstLine="708"/>
        <w:jc w:val="both"/>
        <w:rPr>
          <w:rFonts w:asciiTheme="majorBidi" w:hAnsiTheme="majorBidi" w:cstheme="majorBidi"/>
        </w:rPr>
      </w:pPr>
      <w:r>
        <w:rPr>
          <w:rFonts w:asciiTheme="majorBidi" w:hAnsiTheme="majorBidi" w:cstheme="majorBidi"/>
          <w:b/>
          <w:bCs/>
          <w:lang w:val="de-DE"/>
        </w:rPr>
        <w:t>„</w:t>
      </w:r>
      <w:proofErr w:type="spellStart"/>
      <w:r w:rsidRPr="00FB289D">
        <w:rPr>
          <w:rFonts w:asciiTheme="majorBidi" w:hAnsiTheme="majorBidi" w:cstheme="majorBidi"/>
          <w:b/>
          <w:bCs/>
          <w:lang w:val="de-DE"/>
        </w:rPr>
        <w:t>Legalizācija</w:t>
      </w:r>
      <w:proofErr w:type="spellEnd"/>
      <w:r>
        <w:rPr>
          <w:rFonts w:asciiTheme="majorBidi" w:hAnsiTheme="majorBidi" w:cstheme="majorBidi"/>
          <w:b/>
          <w:bCs/>
          <w:lang w:val="de-DE"/>
        </w:rPr>
        <w:t>“</w:t>
      </w:r>
      <w:r w:rsidRPr="00FB289D">
        <w:rPr>
          <w:rFonts w:asciiTheme="majorBidi" w:hAnsiTheme="majorBidi" w:cstheme="majorBidi"/>
          <w:b/>
          <w:bCs/>
          <w:lang w:val="de-DE"/>
        </w:rPr>
        <w:t xml:space="preserve"> </w:t>
      </w:r>
      <w:proofErr w:type="spellStart"/>
      <w:r w:rsidRPr="00FB289D">
        <w:rPr>
          <w:rFonts w:asciiTheme="majorBidi" w:hAnsiTheme="majorBidi" w:cstheme="majorBidi"/>
          <w:b/>
          <w:bCs/>
          <w:lang w:val="de-DE"/>
        </w:rPr>
        <w:t>ar</w:t>
      </w:r>
      <w:proofErr w:type="spellEnd"/>
      <w:r w:rsidRPr="00FB289D">
        <w:rPr>
          <w:rFonts w:asciiTheme="majorBidi" w:hAnsiTheme="majorBidi" w:cstheme="majorBidi"/>
          <w:b/>
          <w:bCs/>
          <w:lang w:val="de-DE"/>
        </w:rPr>
        <w:t xml:space="preserve"> </w:t>
      </w:r>
      <w:proofErr w:type="spellStart"/>
      <w:r w:rsidRPr="00FB289D">
        <w:rPr>
          <w:rFonts w:asciiTheme="majorBidi" w:hAnsiTheme="majorBidi" w:cstheme="majorBidi"/>
          <w:b/>
          <w:bCs/>
          <w:i/>
          <w:iCs/>
          <w:lang w:val="de-DE"/>
        </w:rPr>
        <w:t>apostille</w:t>
      </w:r>
      <w:proofErr w:type="spellEnd"/>
      <w:r w:rsidRPr="00FB289D">
        <w:rPr>
          <w:rFonts w:asciiTheme="majorBidi" w:hAnsiTheme="majorBidi" w:cstheme="majorBidi"/>
          <w:b/>
          <w:bCs/>
          <w:lang w:val="de-DE"/>
        </w:rPr>
        <w:t xml:space="preserve"> </w:t>
      </w:r>
      <w:proofErr w:type="spellStart"/>
      <w:r w:rsidRPr="00FB289D">
        <w:rPr>
          <w:rFonts w:asciiTheme="majorBidi" w:hAnsiTheme="majorBidi" w:cstheme="majorBidi"/>
          <w:b/>
          <w:bCs/>
          <w:lang w:val="de-DE"/>
        </w:rPr>
        <w:t>apliecinājumu</w:t>
      </w:r>
      <w:proofErr w:type="spellEnd"/>
      <w:r w:rsidRPr="00FB289D">
        <w:rPr>
          <w:rFonts w:asciiTheme="majorBidi" w:hAnsiTheme="majorBidi" w:cstheme="majorBidi"/>
          <w:b/>
          <w:bCs/>
          <w:lang w:val="de-DE"/>
        </w:rPr>
        <w:t>:</w:t>
      </w:r>
      <w:r w:rsidRPr="00FB289D">
        <w:rPr>
          <w:rFonts w:asciiTheme="majorBidi" w:hAnsiTheme="majorBidi" w:cstheme="majorBidi"/>
          <w:lang w:val="de-DE"/>
        </w:rPr>
        <w:t xml:space="preserve"> </w:t>
      </w:r>
      <w:proofErr w:type="spellStart"/>
      <w:r w:rsidRPr="00FB289D">
        <w:rPr>
          <w:rFonts w:asciiTheme="majorBidi" w:hAnsiTheme="majorBidi" w:cstheme="majorBidi"/>
          <w:lang w:val="de-DE"/>
        </w:rPr>
        <w:t>šis</w:t>
      </w:r>
      <w:proofErr w:type="spellEnd"/>
      <w:r w:rsidRPr="00FB289D">
        <w:rPr>
          <w:rFonts w:asciiTheme="majorBidi" w:hAnsiTheme="majorBidi" w:cstheme="majorBidi"/>
          <w:lang w:val="de-DE"/>
        </w:rPr>
        <w:t xml:space="preserve"> </w:t>
      </w:r>
      <w:proofErr w:type="spellStart"/>
      <w:r w:rsidRPr="00FB289D">
        <w:rPr>
          <w:rFonts w:asciiTheme="majorBidi" w:hAnsiTheme="majorBidi" w:cstheme="majorBidi"/>
          <w:lang w:val="de-DE"/>
        </w:rPr>
        <w:t>dokumentu</w:t>
      </w:r>
      <w:proofErr w:type="spellEnd"/>
      <w:r w:rsidRPr="00FB289D">
        <w:rPr>
          <w:rFonts w:asciiTheme="majorBidi" w:hAnsiTheme="majorBidi" w:cstheme="majorBidi"/>
          <w:lang w:val="de-DE"/>
        </w:rPr>
        <w:t xml:space="preserve"> </w:t>
      </w:r>
      <w:r>
        <w:rPr>
          <w:rFonts w:asciiTheme="majorBidi" w:hAnsiTheme="majorBidi" w:cstheme="majorBidi"/>
          <w:lang w:val="de-DE"/>
        </w:rPr>
        <w:t>„</w:t>
      </w:r>
      <w:proofErr w:type="spellStart"/>
      <w:r w:rsidRPr="00FB289D">
        <w:rPr>
          <w:rFonts w:asciiTheme="majorBidi" w:hAnsiTheme="majorBidi" w:cstheme="majorBidi"/>
          <w:lang w:val="de-DE"/>
        </w:rPr>
        <w:t>legalizācijas</w:t>
      </w:r>
      <w:proofErr w:type="spellEnd"/>
      <w:r>
        <w:rPr>
          <w:rFonts w:asciiTheme="majorBidi" w:hAnsiTheme="majorBidi" w:cstheme="majorBidi"/>
          <w:lang w:val="de-DE"/>
        </w:rPr>
        <w:t>“</w:t>
      </w:r>
      <w:r w:rsidRPr="00FB289D">
        <w:rPr>
          <w:rFonts w:asciiTheme="majorBidi" w:hAnsiTheme="majorBidi" w:cstheme="majorBidi"/>
          <w:lang w:val="de-DE"/>
        </w:rPr>
        <w:t xml:space="preserve"> </w:t>
      </w:r>
      <w:proofErr w:type="spellStart"/>
      <w:r w:rsidRPr="00FB289D">
        <w:rPr>
          <w:rFonts w:asciiTheme="majorBidi" w:hAnsiTheme="majorBidi" w:cstheme="majorBidi"/>
          <w:lang w:val="de-DE"/>
        </w:rPr>
        <w:t>veids</w:t>
      </w:r>
      <w:proofErr w:type="spellEnd"/>
      <w:r w:rsidRPr="00FB289D">
        <w:rPr>
          <w:rFonts w:asciiTheme="majorBidi" w:hAnsiTheme="majorBidi" w:cstheme="majorBidi"/>
          <w:lang w:val="de-DE"/>
        </w:rPr>
        <w:t xml:space="preserve"> </w:t>
      </w:r>
      <w:proofErr w:type="spellStart"/>
      <w:r w:rsidRPr="00FB289D">
        <w:rPr>
          <w:rFonts w:asciiTheme="majorBidi" w:hAnsiTheme="majorBidi" w:cstheme="majorBidi"/>
          <w:lang w:val="de-DE"/>
        </w:rPr>
        <w:t>attiecas</w:t>
      </w:r>
      <w:proofErr w:type="spellEnd"/>
      <w:r w:rsidRPr="00FB289D">
        <w:rPr>
          <w:rFonts w:asciiTheme="majorBidi" w:hAnsiTheme="majorBidi" w:cstheme="majorBidi"/>
          <w:lang w:val="de-DE"/>
        </w:rPr>
        <w:t xml:space="preserve"> </w:t>
      </w:r>
      <w:proofErr w:type="spellStart"/>
      <w:r w:rsidRPr="00FB289D">
        <w:rPr>
          <w:rFonts w:asciiTheme="majorBidi" w:hAnsiTheme="majorBidi" w:cstheme="majorBidi"/>
          <w:lang w:val="de-DE"/>
        </w:rPr>
        <w:t>tikai</w:t>
      </w:r>
      <w:proofErr w:type="spellEnd"/>
      <w:r w:rsidRPr="00FB289D">
        <w:rPr>
          <w:rFonts w:asciiTheme="majorBidi" w:hAnsiTheme="majorBidi" w:cstheme="majorBidi"/>
          <w:lang w:val="de-DE"/>
        </w:rPr>
        <w:t xml:space="preserve"> </w:t>
      </w:r>
      <w:proofErr w:type="spellStart"/>
      <w:r w:rsidRPr="00FB289D">
        <w:rPr>
          <w:rFonts w:asciiTheme="majorBidi" w:hAnsiTheme="majorBidi" w:cstheme="majorBidi"/>
          <w:lang w:val="de-DE"/>
        </w:rPr>
        <w:t>uz</w:t>
      </w:r>
      <w:proofErr w:type="spellEnd"/>
      <w:r w:rsidRPr="00FB289D">
        <w:rPr>
          <w:rFonts w:asciiTheme="majorBidi" w:hAnsiTheme="majorBidi" w:cstheme="majorBidi"/>
          <w:lang w:val="de-DE"/>
        </w:rPr>
        <w:t xml:space="preserve"> </w:t>
      </w:r>
      <w:proofErr w:type="spellStart"/>
      <w:r w:rsidRPr="00FB289D">
        <w:rPr>
          <w:rFonts w:asciiTheme="majorBidi" w:hAnsiTheme="majorBidi" w:cstheme="majorBidi"/>
          <w:lang w:val="de-DE"/>
        </w:rPr>
        <w:t>tiem</w:t>
      </w:r>
      <w:proofErr w:type="spellEnd"/>
      <w:r w:rsidRPr="00FB289D">
        <w:rPr>
          <w:rFonts w:asciiTheme="majorBidi" w:hAnsiTheme="majorBidi" w:cstheme="majorBidi"/>
          <w:lang w:val="de-DE"/>
        </w:rPr>
        <w:t xml:space="preserve"> </w:t>
      </w:r>
      <w:proofErr w:type="spellStart"/>
      <w:r w:rsidRPr="00FB289D">
        <w:rPr>
          <w:rFonts w:asciiTheme="majorBidi" w:hAnsiTheme="majorBidi" w:cstheme="majorBidi"/>
          <w:lang w:val="de-DE"/>
        </w:rPr>
        <w:t>publiskajiem</w:t>
      </w:r>
      <w:proofErr w:type="spellEnd"/>
      <w:r w:rsidRPr="00FB289D">
        <w:rPr>
          <w:rFonts w:asciiTheme="majorBidi" w:hAnsiTheme="majorBidi" w:cstheme="majorBidi"/>
          <w:lang w:val="de-DE"/>
        </w:rPr>
        <w:t xml:space="preserve"> </w:t>
      </w:r>
      <w:proofErr w:type="spellStart"/>
      <w:r w:rsidRPr="00FB289D">
        <w:rPr>
          <w:rFonts w:asciiTheme="majorBidi" w:hAnsiTheme="majorBidi" w:cstheme="majorBidi"/>
          <w:lang w:val="de-DE"/>
        </w:rPr>
        <w:t>dokumentiem</w:t>
      </w:r>
      <w:proofErr w:type="spellEnd"/>
      <w:r w:rsidRPr="00FB289D">
        <w:rPr>
          <w:rFonts w:asciiTheme="majorBidi" w:hAnsiTheme="majorBidi" w:cstheme="majorBidi"/>
          <w:lang w:val="de-DE"/>
        </w:rPr>
        <w:t xml:space="preserve">, </w:t>
      </w:r>
      <w:proofErr w:type="spellStart"/>
      <w:r w:rsidRPr="00FB289D">
        <w:rPr>
          <w:rFonts w:asciiTheme="majorBidi" w:hAnsiTheme="majorBidi" w:cstheme="majorBidi"/>
          <w:lang w:val="de-DE"/>
        </w:rPr>
        <w:t>kas</w:t>
      </w:r>
      <w:proofErr w:type="spellEnd"/>
      <w:r w:rsidRPr="00FB289D">
        <w:rPr>
          <w:rFonts w:asciiTheme="majorBidi" w:hAnsiTheme="majorBidi" w:cstheme="majorBidi"/>
          <w:lang w:val="de-DE"/>
        </w:rPr>
        <w:t xml:space="preserve"> </w:t>
      </w:r>
      <w:proofErr w:type="spellStart"/>
      <w:r w:rsidRPr="00FB289D">
        <w:rPr>
          <w:rFonts w:asciiTheme="majorBidi" w:hAnsiTheme="majorBidi" w:cstheme="majorBidi"/>
          <w:lang w:val="de-DE"/>
        </w:rPr>
        <w:t>izdoti</w:t>
      </w:r>
      <w:proofErr w:type="spellEnd"/>
      <w:r w:rsidRPr="00FB289D">
        <w:rPr>
          <w:rFonts w:asciiTheme="majorBidi" w:hAnsiTheme="majorBidi" w:cstheme="majorBidi"/>
          <w:lang w:val="de-DE"/>
        </w:rPr>
        <w:t xml:space="preserve"> </w:t>
      </w:r>
      <w:proofErr w:type="spellStart"/>
      <w:r w:rsidRPr="00FB289D">
        <w:rPr>
          <w:rFonts w:asciiTheme="majorBidi" w:hAnsiTheme="majorBidi" w:cstheme="majorBidi"/>
          <w:lang w:val="de-DE"/>
        </w:rPr>
        <w:t>valstīs</w:t>
      </w:r>
      <w:proofErr w:type="spellEnd"/>
      <w:r w:rsidRPr="00FB289D">
        <w:rPr>
          <w:rFonts w:asciiTheme="majorBidi" w:hAnsiTheme="majorBidi" w:cstheme="majorBidi"/>
          <w:lang w:val="de-DE"/>
        </w:rPr>
        <w:t xml:space="preserve">, </w:t>
      </w:r>
      <w:proofErr w:type="spellStart"/>
      <w:r w:rsidRPr="00FB289D">
        <w:rPr>
          <w:rFonts w:asciiTheme="majorBidi" w:hAnsiTheme="majorBidi" w:cstheme="majorBidi"/>
          <w:lang w:val="de-DE"/>
        </w:rPr>
        <w:t>kuras</w:t>
      </w:r>
      <w:proofErr w:type="spellEnd"/>
      <w:r w:rsidRPr="00FB289D">
        <w:rPr>
          <w:rFonts w:asciiTheme="majorBidi" w:hAnsiTheme="majorBidi" w:cstheme="majorBidi"/>
          <w:lang w:val="de-DE"/>
        </w:rPr>
        <w:t xml:space="preserve"> </w:t>
      </w:r>
      <w:proofErr w:type="spellStart"/>
      <w:r w:rsidRPr="00FB289D">
        <w:rPr>
          <w:rFonts w:asciiTheme="majorBidi" w:hAnsiTheme="majorBidi" w:cstheme="majorBidi"/>
          <w:lang w:val="de-DE"/>
        </w:rPr>
        <w:t>pievienojušās</w:t>
      </w:r>
      <w:proofErr w:type="spellEnd"/>
      <w:r w:rsidRPr="00FB289D">
        <w:rPr>
          <w:rFonts w:asciiTheme="majorBidi" w:hAnsiTheme="majorBidi" w:cstheme="majorBidi"/>
          <w:lang w:val="de-DE"/>
        </w:rPr>
        <w:t xml:space="preserve"> </w:t>
      </w:r>
      <w:proofErr w:type="spellStart"/>
      <w:r w:rsidRPr="00FB289D">
        <w:rPr>
          <w:rFonts w:asciiTheme="majorBidi" w:hAnsiTheme="majorBidi" w:cstheme="majorBidi"/>
          <w:lang w:val="de-DE"/>
        </w:rPr>
        <w:t>Hāgas</w:t>
      </w:r>
      <w:proofErr w:type="spellEnd"/>
      <w:r w:rsidRPr="00FB289D">
        <w:rPr>
          <w:rFonts w:asciiTheme="majorBidi" w:hAnsiTheme="majorBidi" w:cstheme="majorBidi"/>
          <w:lang w:val="de-DE"/>
        </w:rPr>
        <w:t xml:space="preserve"> </w:t>
      </w:r>
      <w:proofErr w:type="spellStart"/>
      <w:r w:rsidRPr="00FB289D">
        <w:rPr>
          <w:rFonts w:asciiTheme="majorBidi" w:hAnsiTheme="majorBidi" w:cstheme="majorBidi"/>
          <w:lang w:val="de-DE"/>
        </w:rPr>
        <w:t>dokumentu</w:t>
      </w:r>
      <w:proofErr w:type="spellEnd"/>
      <w:r w:rsidRPr="00FB289D">
        <w:rPr>
          <w:rFonts w:asciiTheme="majorBidi" w:hAnsiTheme="majorBidi" w:cstheme="majorBidi"/>
          <w:lang w:val="de-DE"/>
        </w:rPr>
        <w:t xml:space="preserve"> </w:t>
      </w:r>
      <w:proofErr w:type="spellStart"/>
      <w:r w:rsidRPr="00FB289D">
        <w:rPr>
          <w:rFonts w:asciiTheme="majorBidi" w:hAnsiTheme="majorBidi" w:cstheme="majorBidi"/>
          <w:lang w:val="de-DE"/>
        </w:rPr>
        <w:t>legalizācijas</w:t>
      </w:r>
      <w:proofErr w:type="spellEnd"/>
      <w:r w:rsidR="00C22C4E">
        <w:rPr>
          <w:rFonts w:asciiTheme="majorBidi" w:hAnsiTheme="majorBidi" w:cstheme="majorBidi"/>
          <w:lang w:val="de-DE"/>
        </w:rPr>
        <w:t xml:space="preserve"> </w:t>
      </w:r>
      <w:proofErr w:type="spellStart"/>
      <w:r w:rsidR="00C22C4E">
        <w:rPr>
          <w:rFonts w:asciiTheme="majorBidi" w:hAnsiTheme="majorBidi" w:cstheme="majorBidi"/>
          <w:lang w:val="de-DE"/>
        </w:rPr>
        <w:t>atcelšanas</w:t>
      </w:r>
      <w:proofErr w:type="spellEnd"/>
      <w:r w:rsidRPr="00FB289D">
        <w:rPr>
          <w:rFonts w:asciiTheme="majorBidi" w:hAnsiTheme="majorBidi" w:cstheme="majorBidi"/>
          <w:lang w:val="de-DE"/>
        </w:rPr>
        <w:t xml:space="preserve"> </w:t>
      </w:r>
      <w:proofErr w:type="spellStart"/>
      <w:r w:rsidRPr="00FB289D">
        <w:rPr>
          <w:rFonts w:asciiTheme="majorBidi" w:hAnsiTheme="majorBidi" w:cstheme="majorBidi"/>
          <w:lang w:val="de-DE"/>
        </w:rPr>
        <w:t>konvencijai</w:t>
      </w:r>
      <w:proofErr w:type="spellEnd"/>
      <w:r w:rsidRPr="00FB289D">
        <w:rPr>
          <w:rFonts w:asciiTheme="majorBidi" w:hAnsiTheme="majorBidi" w:cstheme="majorBidi"/>
          <w:lang w:val="de-DE"/>
        </w:rPr>
        <w:t xml:space="preserve">. </w:t>
      </w:r>
      <w:proofErr w:type="spellStart"/>
      <w:r w:rsidRPr="00FB289D">
        <w:rPr>
          <w:rFonts w:asciiTheme="majorBidi" w:hAnsiTheme="majorBidi" w:cstheme="majorBidi"/>
          <w:lang w:val="de-DE"/>
        </w:rPr>
        <w:t>Minētās</w:t>
      </w:r>
      <w:proofErr w:type="spellEnd"/>
      <w:r w:rsidRPr="00FB289D">
        <w:rPr>
          <w:rFonts w:asciiTheme="majorBidi" w:hAnsiTheme="majorBidi" w:cstheme="majorBidi"/>
          <w:lang w:val="de-DE"/>
        </w:rPr>
        <w:t xml:space="preserve"> </w:t>
      </w:r>
      <w:proofErr w:type="spellStart"/>
      <w:r w:rsidRPr="00FB289D">
        <w:rPr>
          <w:rFonts w:asciiTheme="majorBidi" w:hAnsiTheme="majorBidi" w:cstheme="majorBidi"/>
          <w:lang w:val="de-DE"/>
        </w:rPr>
        <w:t>Konvencijas</w:t>
      </w:r>
      <w:proofErr w:type="spellEnd"/>
      <w:r w:rsidRPr="00FB289D">
        <w:rPr>
          <w:rFonts w:asciiTheme="majorBidi" w:hAnsiTheme="majorBidi" w:cstheme="majorBidi"/>
          <w:lang w:val="de-DE"/>
        </w:rPr>
        <w:t xml:space="preserve"> </w:t>
      </w:r>
      <w:proofErr w:type="spellStart"/>
      <w:r w:rsidRPr="00FB289D">
        <w:rPr>
          <w:rFonts w:asciiTheme="majorBidi" w:hAnsiTheme="majorBidi" w:cstheme="majorBidi"/>
          <w:lang w:val="de-DE"/>
        </w:rPr>
        <w:t>izpratnē</w:t>
      </w:r>
      <w:proofErr w:type="spellEnd"/>
      <w:r w:rsidRPr="00FB289D">
        <w:rPr>
          <w:rFonts w:asciiTheme="majorBidi" w:hAnsiTheme="majorBidi" w:cstheme="majorBidi"/>
          <w:lang w:val="de-DE"/>
        </w:rPr>
        <w:t xml:space="preserve"> </w:t>
      </w:r>
      <w:proofErr w:type="spellStart"/>
      <w:r w:rsidRPr="00FB289D">
        <w:rPr>
          <w:rFonts w:asciiTheme="majorBidi" w:hAnsiTheme="majorBidi" w:cstheme="majorBidi"/>
          <w:lang w:val="de-DE"/>
        </w:rPr>
        <w:t>legalizācija</w:t>
      </w:r>
      <w:proofErr w:type="spellEnd"/>
      <w:r w:rsidRPr="00FB289D">
        <w:rPr>
          <w:rFonts w:asciiTheme="majorBidi" w:hAnsiTheme="majorBidi" w:cstheme="majorBidi"/>
          <w:lang w:val="de-DE"/>
        </w:rPr>
        <w:t xml:space="preserve"> </w:t>
      </w:r>
      <w:proofErr w:type="spellStart"/>
      <w:r w:rsidRPr="00FB289D">
        <w:rPr>
          <w:rFonts w:asciiTheme="majorBidi" w:hAnsiTheme="majorBidi" w:cstheme="majorBidi"/>
          <w:lang w:val="de-DE"/>
        </w:rPr>
        <w:t>nozīmē</w:t>
      </w:r>
      <w:proofErr w:type="spellEnd"/>
      <w:r w:rsidRPr="00FB289D">
        <w:rPr>
          <w:rFonts w:asciiTheme="majorBidi" w:hAnsiTheme="majorBidi" w:cstheme="majorBidi"/>
          <w:lang w:val="de-DE"/>
        </w:rPr>
        <w:t xml:space="preserve"> </w:t>
      </w:r>
      <w:proofErr w:type="spellStart"/>
      <w:r w:rsidRPr="00FB289D">
        <w:rPr>
          <w:rFonts w:asciiTheme="majorBidi" w:hAnsiTheme="majorBidi" w:cstheme="majorBidi"/>
          <w:lang w:val="de-DE"/>
        </w:rPr>
        <w:t>tikai</w:t>
      </w:r>
      <w:proofErr w:type="spellEnd"/>
      <w:r w:rsidRPr="00FB289D">
        <w:rPr>
          <w:rFonts w:asciiTheme="majorBidi" w:hAnsiTheme="majorBidi" w:cstheme="majorBidi"/>
          <w:lang w:val="de-DE"/>
        </w:rPr>
        <w:t xml:space="preserve"> </w:t>
      </w:r>
      <w:proofErr w:type="spellStart"/>
      <w:r w:rsidRPr="00FB289D">
        <w:rPr>
          <w:rFonts w:asciiTheme="majorBidi" w:hAnsiTheme="majorBidi" w:cstheme="majorBidi"/>
          <w:lang w:val="de-DE"/>
        </w:rPr>
        <w:t>formalitāti</w:t>
      </w:r>
      <w:proofErr w:type="spellEnd"/>
      <w:r w:rsidRPr="00FB289D">
        <w:rPr>
          <w:rFonts w:asciiTheme="majorBidi" w:hAnsiTheme="majorBidi" w:cstheme="majorBidi"/>
          <w:lang w:val="de-DE"/>
        </w:rPr>
        <w:t xml:space="preserve">, </w:t>
      </w:r>
      <w:proofErr w:type="spellStart"/>
      <w:r w:rsidRPr="00FB289D">
        <w:rPr>
          <w:rFonts w:asciiTheme="majorBidi" w:hAnsiTheme="majorBidi" w:cstheme="majorBidi"/>
          <w:lang w:val="de-DE"/>
        </w:rPr>
        <w:t>ar</w:t>
      </w:r>
      <w:proofErr w:type="spellEnd"/>
      <w:r w:rsidRPr="00FB289D">
        <w:rPr>
          <w:rFonts w:asciiTheme="majorBidi" w:hAnsiTheme="majorBidi" w:cstheme="majorBidi"/>
          <w:lang w:val="de-DE"/>
        </w:rPr>
        <w:t xml:space="preserve"> </w:t>
      </w:r>
      <w:proofErr w:type="spellStart"/>
      <w:r w:rsidRPr="00FB289D">
        <w:rPr>
          <w:rFonts w:asciiTheme="majorBidi" w:hAnsiTheme="majorBidi" w:cstheme="majorBidi"/>
          <w:lang w:val="de-DE"/>
        </w:rPr>
        <w:t>kuru</w:t>
      </w:r>
      <w:proofErr w:type="spellEnd"/>
      <w:r w:rsidRPr="00FB289D">
        <w:rPr>
          <w:rFonts w:asciiTheme="majorBidi" w:hAnsiTheme="majorBidi" w:cstheme="majorBidi"/>
          <w:lang w:val="de-DE"/>
        </w:rPr>
        <w:t xml:space="preserve"> </w:t>
      </w:r>
      <w:proofErr w:type="spellStart"/>
      <w:r w:rsidRPr="00FB289D">
        <w:rPr>
          <w:rFonts w:asciiTheme="majorBidi" w:hAnsiTheme="majorBidi" w:cstheme="majorBidi"/>
          <w:lang w:val="de-DE"/>
        </w:rPr>
        <w:t>valsts</w:t>
      </w:r>
      <w:proofErr w:type="spellEnd"/>
      <w:r w:rsidRPr="00FB289D">
        <w:rPr>
          <w:rFonts w:asciiTheme="majorBidi" w:hAnsiTheme="majorBidi" w:cstheme="majorBidi"/>
          <w:lang w:val="de-DE"/>
        </w:rPr>
        <w:t xml:space="preserve">, </w:t>
      </w:r>
      <w:proofErr w:type="spellStart"/>
      <w:r w:rsidRPr="00FB289D">
        <w:rPr>
          <w:rFonts w:asciiTheme="majorBidi" w:hAnsiTheme="majorBidi" w:cstheme="majorBidi"/>
          <w:lang w:val="de-DE"/>
        </w:rPr>
        <w:t>kuras</w:t>
      </w:r>
      <w:proofErr w:type="spellEnd"/>
      <w:r w:rsidRPr="00FB289D">
        <w:rPr>
          <w:rFonts w:asciiTheme="majorBidi" w:hAnsiTheme="majorBidi" w:cstheme="majorBidi"/>
          <w:lang w:val="de-DE"/>
        </w:rPr>
        <w:t xml:space="preserve"> </w:t>
      </w:r>
      <w:proofErr w:type="spellStart"/>
      <w:r w:rsidRPr="00FB289D">
        <w:rPr>
          <w:rFonts w:asciiTheme="majorBidi" w:hAnsiTheme="majorBidi" w:cstheme="majorBidi"/>
          <w:lang w:val="de-DE"/>
        </w:rPr>
        <w:t>teritorijā</w:t>
      </w:r>
      <w:proofErr w:type="spellEnd"/>
      <w:r w:rsidRPr="00FB289D">
        <w:rPr>
          <w:rFonts w:asciiTheme="majorBidi" w:hAnsiTheme="majorBidi" w:cstheme="majorBidi"/>
          <w:lang w:val="de-DE"/>
        </w:rPr>
        <w:t xml:space="preserve"> </w:t>
      </w:r>
      <w:proofErr w:type="spellStart"/>
      <w:r w:rsidRPr="00FB289D">
        <w:rPr>
          <w:rFonts w:asciiTheme="majorBidi" w:hAnsiTheme="majorBidi" w:cstheme="majorBidi"/>
          <w:lang w:val="de-DE"/>
        </w:rPr>
        <w:t>dokuments</w:t>
      </w:r>
      <w:proofErr w:type="spellEnd"/>
      <w:r w:rsidRPr="00FB289D">
        <w:rPr>
          <w:rFonts w:asciiTheme="majorBidi" w:hAnsiTheme="majorBidi" w:cstheme="majorBidi"/>
          <w:lang w:val="de-DE"/>
        </w:rPr>
        <w:t xml:space="preserve"> </w:t>
      </w:r>
      <w:proofErr w:type="spellStart"/>
      <w:r w:rsidRPr="00FB289D">
        <w:rPr>
          <w:rFonts w:asciiTheme="majorBidi" w:hAnsiTheme="majorBidi" w:cstheme="majorBidi"/>
          <w:lang w:val="de-DE"/>
        </w:rPr>
        <w:t>ir</w:t>
      </w:r>
      <w:proofErr w:type="spellEnd"/>
      <w:r w:rsidRPr="00FB289D">
        <w:rPr>
          <w:rFonts w:asciiTheme="majorBidi" w:hAnsiTheme="majorBidi" w:cstheme="majorBidi"/>
          <w:lang w:val="de-DE"/>
        </w:rPr>
        <w:t xml:space="preserve"> </w:t>
      </w:r>
      <w:proofErr w:type="spellStart"/>
      <w:r w:rsidRPr="00FB289D">
        <w:rPr>
          <w:rFonts w:asciiTheme="majorBidi" w:hAnsiTheme="majorBidi" w:cstheme="majorBidi"/>
          <w:lang w:val="de-DE"/>
        </w:rPr>
        <w:t>jāuzrāda</w:t>
      </w:r>
      <w:proofErr w:type="spellEnd"/>
      <w:r w:rsidRPr="00FB289D">
        <w:rPr>
          <w:rFonts w:asciiTheme="majorBidi" w:hAnsiTheme="majorBidi" w:cstheme="majorBidi"/>
          <w:lang w:val="de-DE"/>
        </w:rPr>
        <w:t xml:space="preserve">, </w:t>
      </w:r>
      <w:proofErr w:type="spellStart"/>
      <w:r w:rsidRPr="00FB289D">
        <w:rPr>
          <w:rFonts w:asciiTheme="majorBidi" w:hAnsiTheme="majorBidi" w:cstheme="majorBidi"/>
          <w:lang w:val="de-DE"/>
        </w:rPr>
        <w:t>diplomātiskie</w:t>
      </w:r>
      <w:proofErr w:type="spellEnd"/>
      <w:r w:rsidRPr="00FB289D">
        <w:rPr>
          <w:rFonts w:asciiTheme="majorBidi" w:hAnsiTheme="majorBidi" w:cstheme="majorBidi"/>
          <w:lang w:val="de-DE"/>
        </w:rPr>
        <w:t xml:space="preserve"> </w:t>
      </w:r>
      <w:proofErr w:type="spellStart"/>
      <w:r w:rsidRPr="00FB289D">
        <w:rPr>
          <w:rFonts w:asciiTheme="majorBidi" w:hAnsiTheme="majorBidi" w:cstheme="majorBidi"/>
          <w:lang w:val="de-DE"/>
        </w:rPr>
        <w:t>vai</w:t>
      </w:r>
      <w:proofErr w:type="spellEnd"/>
      <w:r w:rsidRPr="00FB289D">
        <w:rPr>
          <w:rFonts w:asciiTheme="majorBidi" w:hAnsiTheme="majorBidi" w:cstheme="majorBidi"/>
          <w:lang w:val="de-DE"/>
        </w:rPr>
        <w:t xml:space="preserve"> </w:t>
      </w:r>
      <w:proofErr w:type="spellStart"/>
      <w:r w:rsidRPr="00FB289D">
        <w:rPr>
          <w:rFonts w:asciiTheme="majorBidi" w:hAnsiTheme="majorBidi" w:cstheme="majorBidi"/>
          <w:lang w:val="de-DE"/>
        </w:rPr>
        <w:t>konsulārie</w:t>
      </w:r>
      <w:proofErr w:type="spellEnd"/>
      <w:r w:rsidRPr="00FB289D">
        <w:rPr>
          <w:rFonts w:asciiTheme="majorBidi" w:hAnsiTheme="majorBidi" w:cstheme="majorBidi"/>
          <w:lang w:val="de-DE"/>
        </w:rPr>
        <w:t xml:space="preserve"> </w:t>
      </w:r>
      <w:proofErr w:type="spellStart"/>
      <w:r w:rsidRPr="00FB289D">
        <w:rPr>
          <w:rFonts w:asciiTheme="majorBidi" w:hAnsiTheme="majorBidi" w:cstheme="majorBidi"/>
          <w:lang w:val="de-DE"/>
        </w:rPr>
        <w:t>darbinieki</w:t>
      </w:r>
      <w:proofErr w:type="spellEnd"/>
      <w:r w:rsidRPr="00FB289D">
        <w:rPr>
          <w:rFonts w:asciiTheme="majorBidi" w:hAnsiTheme="majorBidi" w:cstheme="majorBidi"/>
          <w:lang w:val="de-DE"/>
        </w:rPr>
        <w:t xml:space="preserve"> </w:t>
      </w:r>
      <w:proofErr w:type="spellStart"/>
      <w:r w:rsidRPr="00FB289D">
        <w:rPr>
          <w:rFonts w:asciiTheme="majorBidi" w:hAnsiTheme="majorBidi" w:cstheme="majorBidi"/>
          <w:lang w:val="de-DE"/>
        </w:rPr>
        <w:t>apliecina</w:t>
      </w:r>
      <w:proofErr w:type="spellEnd"/>
      <w:r w:rsidRPr="00FB289D">
        <w:rPr>
          <w:rFonts w:asciiTheme="majorBidi" w:hAnsiTheme="majorBidi" w:cstheme="majorBidi"/>
          <w:lang w:val="de-DE"/>
        </w:rPr>
        <w:t xml:space="preserve"> </w:t>
      </w:r>
      <w:proofErr w:type="spellStart"/>
      <w:r w:rsidRPr="00FB289D">
        <w:rPr>
          <w:rFonts w:asciiTheme="majorBidi" w:hAnsiTheme="majorBidi" w:cstheme="majorBidi"/>
          <w:lang w:val="de-DE"/>
        </w:rPr>
        <w:t>paraksta</w:t>
      </w:r>
      <w:proofErr w:type="spellEnd"/>
      <w:r w:rsidRPr="00FB289D">
        <w:rPr>
          <w:rFonts w:asciiTheme="majorBidi" w:hAnsiTheme="majorBidi" w:cstheme="majorBidi"/>
          <w:lang w:val="de-DE"/>
        </w:rPr>
        <w:t xml:space="preserve"> </w:t>
      </w:r>
      <w:proofErr w:type="spellStart"/>
      <w:r w:rsidRPr="00FB289D">
        <w:rPr>
          <w:rFonts w:asciiTheme="majorBidi" w:hAnsiTheme="majorBidi" w:cstheme="majorBidi"/>
          <w:lang w:val="de-DE"/>
        </w:rPr>
        <w:t>autentiskumu</w:t>
      </w:r>
      <w:proofErr w:type="spellEnd"/>
      <w:r w:rsidRPr="00FB289D">
        <w:rPr>
          <w:rFonts w:asciiTheme="majorBidi" w:hAnsiTheme="majorBidi" w:cstheme="majorBidi"/>
          <w:lang w:val="de-DE"/>
        </w:rPr>
        <w:t xml:space="preserve">, </w:t>
      </w:r>
      <w:proofErr w:type="spellStart"/>
      <w:r w:rsidRPr="00FB289D">
        <w:rPr>
          <w:rFonts w:asciiTheme="majorBidi" w:hAnsiTheme="majorBidi" w:cstheme="majorBidi"/>
          <w:lang w:val="de-DE"/>
        </w:rPr>
        <w:t>statusu</w:t>
      </w:r>
      <w:proofErr w:type="spellEnd"/>
      <w:r w:rsidRPr="00FB289D">
        <w:rPr>
          <w:rFonts w:asciiTheme="majorBidi" w:hAnsiTheme="majorBidi" w:cstheme="majorBidi"/>
          <w:lang w:val="de-DE"/>
        </w:rPr>
        <w:t xml:space="preserve">, </w:t>
      </w:r>
      <w:proofErr w:type="spellStart"/>
      <w:r w:rsidRPr="00FB289D">
        <w:rPr>
          <w:rFonts w:asciiTheme="majorBidi" w:hAnsiTheme="majorBidi" w:cstheme="majorBidi"/>
          <w:lang w:val="de-DE"/>
        </w:rPr>
        <w:t>kādā</w:t>
      </w:r>
      <w:proofErr w:type="spellEnd"/>
      <w:r w:rsidRPr="00FB289D">
        <w:rPr>
          <w:rFonts w:asciiTheme="majorBidi" w:hAnsiTheme="majorBidi" w:cstheme="majorBidi"/>
          <w:lang w:val="de-DE"/>
        </w:rPr>
        <w:t xml:space="preserve"> </w:t>
      </w:r>
      <w:proofErr w:type="spellStart"/>
      <w:r w:rsidRPr="00FB289D">
        <w:rPr>
          <w:rFonts w:asciiTheme="majorBidi" w:hAnsiTheme="majorBidi" w:cstheme="majorBidi"/>
          <w:lang w:val="de-DE"/>
        </w:rPr>
        <w:t>rīkojusies</w:t>
      </w:r>
      <w:proofErr w:type="spellEnd"/>
      <w:r w:rsidRPr="00FB289D">
        <w:rPr>
          <w:rFonts w:asciiTheme="majorBidi" w:hAnsiTheme="majorBidi" w:cstheme="majorBidi"/>
          <w:lang w:val="de-DE"/>
        </w:rPr>
        <w:t xml:space="preserve"> </w:t>
      </w:r>
      <w:proofErr w:type="spellStart"/>
      <w:r w:rsidRPr="00FB289D">
        <w:rPr>
          <w:rFonts w:asciiTheme="majorBidi" w:hAnsiTheme="majorBidi" w:cstheme="majorBidi"/>
          <w:lang w:val="de-DE"/>
        </w:rPr>
        <w:t>persona</w:t>
      </w:r>
      <w:proofErr w:type="spellEnd"/>
      <w:r w:rsidRPr="00FB289D">
        <w:rPr>
          <w:rFonts w:asciiTheme="majorBidi" w:hAnsiTheme="majorBidi" w:cstheme="majorBidi"/>
          <w:lang w:val="de-DE"/>
        </w:rPr>
        <w:t xml:space="preserve">, </w:t>
      </w:r>
      <w:proofErr w:type="spellStart"/>
      <w:r w:rsidRPr="00FB289D">
        <w:rPr>
          <w:rFonts w:asciiTheme="majorBidi" w:hAnsiTheme="majorBidi" w:cstheme="majorBidi"/>
          <w:lang w:val="de-DE"/>
        </w:rPr>
        <w:t>kura</w:t>
      </w:r>
      <w:proofErr w:type="spellEnd"/>
      <w:r w:rsidRPr="00FB289D">
        <w:rPr>
          <w:rFonts w:asciiTheme="majorBidi" w:hAnsiTheme="majorBidi" w:cstheme="majorBidi"/>
          <w:lang w:val="de-DE"/>
        </w:rPr>
        <w:t xml:space="preserve"> </w:t>
      </w:r>
      <w:proofErr w:type="spellStart"/>
      <w:r w:rsidRPr="00FB289D">
        <w:rPr>
          <w:rFonts w:asciiTheme="majorBidi" w:hAnsiTheme="majorBidi" w:cstheme="majorBidi"/>
          <w:lang w:val="de-DE"/>
        </w:rPr>
        <w:t>parakstījusi</w:t>
      </w:r>
      <w:proofErr w:type="spellEnd"/>
      <w:r w:rsidRPr="00FB289D">
        <w:rPr>
          <w:rFonts w:asciiTheme="majorBidi" w:hAnsiTheme="majorBidi" w:cstheme="majorBidi"/>
          <w:lang w:val="de-DE"/>
        </w:rPr>
        <w:t xml:space="preserve"> </w:t>
      </w:r>
      <w:proofErr w:type="spellStart"/>
      <w:r w:rsidRPr="00FB289D">
        <w:rPr>
          <w:rFonts w:asciiTheme="majorBidi" w:hAnsiTheme="majorBidi" w:cstheme="majorBidi"/>
          <w:lang w:val="de-DE"/>
        </w:rPr>
        <w:t>dokumentu</w:t>
      </w:r>
      <w:proofErr w:type="spellEnd"/>
      <w:r w:rsidRPr="00FB289D">
        <w:rPr>
          <w:rFonts w:asciiTheme="majorBidi" w:hAnsiTheme="majorBidi" w:cstheme="majorBidi"/>
          <w:lang w:val="de-DE"/>
        </w:rPr>
        <w:t xml:space="preserve">, </w:t>
      </w:r>
      <w:proofErr w:type="spellStart"/>
      <w:r w:rsidRPr="00FB289D">
        <w:rPr>
          <w:rFonts w:asciiTheme="majorBidi" w:hAnsiTheme="majorBidi" w:cstheme="majorBidi"/>
          <w:lang w:val="de-DE"/>
        </w:rPr>
        <w:t>un</w:t>
      </w:r>
      <w:proofErr w:type="spellEnd"/>
      <w:r w:rsidRPr="00FB289D">
        <w:rPr>
          <w:rFonts w:asciiTheme="majorBidi" w:hAnsiTheme="majorBidi" w:cstheme="majorBidi"/>
          <w:lang w:val="de-DE"/>
        </w:rPr>
        <w:t xml:space="preserve">, kur </w:t>
      </w:r>
      <w:proofErr w:type="spellStart"/>
      <w:r w:rsidRPr="00FB289D">
        <w:rPr>
          <w:rFonts w:asciiTheme="majorBidi" w:hAnsiTheme="majorBidi" w:cstheme="majorBidi"/>
          <w:lang w:val="de-DE"/>
        </w:rPr>
        <w:t>tas</w:t>
      </w:r>
      <w:proofErr w:type="spellEnd"/>
      <w:r w:rsidRPr="00FB289D">
        <w:rPr>
          <w:rFonts w:asciiTheme="majorBidi" w:hAnsiTheme="majorBidi" w:cstheme="majorBidi"/>
          <w:lang w:val="de-DE"/>
        </w:rPr>
        <w:t xml:space="preserve"> </w:t>
      </w:r>
      <w:proofErr w:type="spellStart"/>
      <w:r w:rsidRPr="00FB289D">
        <w:rPr>
          <w:rFonts w:asciiTheme="majorBidi" w:hAnsiTheme="majorBidi" w:cstheme="majorBidi"/>
          <w:lang w:val="de-DE"/>
        </w:rPr>
        <w:t>nepieciešams</w:t>
      </w:r>
      <w:proofErr w:type="spellEnd"/>
      <w:r w:rsidRPr="00FB289D">
        <w:rPr>
          <w:rFonts w:asciiTheme="majorBidi" w:hAnsiTheme="majorBidi" w:cstheme="majorBidi"/>
          <w:lang w:val="de-DE"/>
        </w:rPr>
        <w:t xml:space="preserve">, </w:t>
      </w:r>
      <w:proofErr w:type="spellStart"/>
      <w:r w:rsidRPr="00FB289D">
        <w:rPr>
          <w:rFonts w:asciiTheme="majorBidi" w:hAnsiTheme="majorBidi" w:cstheme="majorBidi"/>
          <w:lang w:val="de-DE"/>
        </w:rPr>
        <w:t>uz</w:t>
      </w:r>
      <w:proofErr w:type="spellEnd"/>
      <w:r w:rsidRPr="00FB289D">
        <w:rPr>
          <w:rFonts w:asciiTheme="majorBidi" w:hAnsiTheme="majorBidi" w:cstheme="majorBidi"/>
          <w:lang w:val="de-DE"/>
        </w:rPr>
        <w:t xml:space="preserve"> </w:t>
      </w:r>
      <w:proofErr w:type="spellStart"/>
      <w:r w:rsidRPr="00FB289D">
        <w:rPr>
          <w:rFonts w:asciiTheme="majorBidi" w:hAnsiTheme="majorBidi" w:cstheme="majorBidi"/>
          <w:lang w:val="de-DE"/>
        </w:rPr>
        <w:t>dokumenta</w:t>
      </w:r>
      <w:proofErr w:type="spellEnd"/>
      <w:r w:rsidRPr="00FB289D">
        <w:rPr>
          <w:rFonts w:asciiTheme="majorBidi" w:hAnsiTheme="majorBidi" w:cstheme="majorBidi"/>
          <w:lang w:val="de-DE"/>
        </w:rPr>
        <w:t xml:space="preserve"> </w:t>
      </w:r>
      <w:proofErr w:type="spellStart"/>
      <w:r w:rsidRPr="00FB289D">
        <w:rPr>
          <w:rFonts w:asciiTheme="majorBidi" w:hAnsiTheme="majorBidi" w:cstheme="majorBidi"/>
          <w:lang w:val="de-DE"/>
        </w:rPr>
        <w:t>esošā</w:t>
      </w:r>
      <w:proofErr w:type="spellEnd"/>
      <w:r w:rsidRPr="00FB289D">
        <w:rPr>
          <w:rFonts w:asciiTheme="majorBidi" w:hAnsiTheme="majorBidi" w:cstheme="majorBidi"/>
          <w:lang w:val="de-DE"/>
        </w:rPr>
        <w:t xml:space="preserve"> </w:t>
      </w:r>
      <w:proofErr w:type="spellStart"/>
      <w:r w:rsidRPr="00FB289D">
        <w:rPr>
          <w:rFonts w:asciiTheme="majorBidi" w:hAnsiTheme="majorBidi" w:cstheme="majorBidi"/>
          <w:lang w:val="de-DE"/>
        </w:rPr>
        <w:t>zīmoga</w:t>
      </w:r>
      <w:proofErr w:type="spellEnd"/>
      <w:r w:rsidRPr="00FB289D">
        <w:rPr>
          <w:rFonts w:asciiTheme="majorBidi" w:hAnsiTheme="majorBidi" w:cstheme="majorBidi"/>
          <w:lang w:val="de-DE"/>
        </w:rPr>
        <w:t xml:space="preserve"> </w:t>
      </w:r>
      <w:proofErr w:type="spellStart"/>
      <w:r w:rsidRPr="00FB289D">
        <w:rPr>
          <w:rFonts w:asciiTheme="majorBidi" w:hAnsiTheme="majorBidi" w:cstheme="majorBidi"/>
          <w:lang w:val="de-DE"/>
        </w:rPr>
        <w:t>vai</w:t>
      </w:r>
      <w:proofErr w:type="spellEnd"/>
      <w:r w:rsidRPr="00FB289D">
        <w:rPr>
          <w:rFonts w:asciiTheme="majorBidi" w:hAnsiTheme="majorBidi" w:cstheme="majorBidi"/>
          <w:lang w:val="de-DE"/>
        </w:rPr>
        <w:t xml:space="preserve"> </w:t>
      </w:r>
      <w:proofErr w:type="spellStart"/>
      <w:r w:rsidRPr="00FB289D">
        <w:rPr>
          <w:rFonts w:asciiTheme="majorBidi" w:hAnsiTheme="majorBidi" w:cstheme="majorBidi"/>
          <w:lang w:val="de-DE"/>
        </w:rPr>
        <w:t>spiedoga</w:t>
      </w:r>
      <w:proofErr w:type="spellEnd"/>
      <w:r w:rsidRPr="00FB289D">
        <w:rPr>
          <w:rFonts w:asciiTheme="majorBidi" w:hAnsiTheme="majorBidi" w:cstheme="majorBidi"/>
          <w:lang w:val="de-DE"/>
        </w:rPr>
        <w:t xml:space="preserve"> </w:t>
      </w:r>
      <w:proofErr w:type="spellStart"/>
      <w:r w:rsidRPr="00FB289D">
        <w:rPr>
          <w:rFonts w:asciiTheme="majorBidi" w:hAnsiTheme="majorBidi" w:cstheme="majorBidi"/>
          <w:lang w:val="de-DE"/>
        </w:rPr>
        <w:t>identitāti</w:t>
      </w:r>
      <w:proofErr w:type="spellEnd"/>
      <w:r w:rsidRPr="00FB289D">
        <w:rPr>
          <w:rFonts w:asciiTheme="majorBidi" w:hAnsiTheme="majorBidi" w:cstheme="majorBidi"/>
          <w:lang w:val="de-DE"/>
        </w:rPr>
        <w:t xml:space="preserve"> (</w:t>
      </w:r>
      <w:proofErr w:type="spellStart"/>
      <w:r w:rsidRPr="00FB289D">
        <w:rPr>
          <w:rFonts w:asciiTheme="majorBidi" w:hAnsiTheme="majorBidi" w:cstheme="majorBidi"/>
          <w:lang w:val="de-DE"/>
        </w:rPr>
        <w:t>sk</w:t>
      </w:r>
      <w:r>
        <w:rPr>
          <w:rFonts w:asciiTheme="majorBidi" w:hAnsiTheme="majorBidi" w:cstheme="majorBidi"/>
          <w:lang w:val="de-DE"/>
        </w:rPr>
        <w:t>at</w:t>
      </w:r>
      <w:proofErr w:type="spellEnd"/>
      <w:r>
        <w:rPr>
          <w:rFonts w:asciiTheme="majorBidi" w:hAnsiTheme="majorBidi" w:cstheme="majorBidi"/>
          <w:lang w:val="de-DE"/>
        </w:rPr>
        <w:t xml:space="preserve">. </w:t>
      </w:r>
      <w:proofErr w:type="spellStart"/>
      <w:r>
        <w:rPr>
          <w:rFonts w:asciiTheme="majorBidi" w:hAnsiTheme="majorBidi" w:cstheme="majorBidi"/>
          <w:lang w:val="de-DE"/>
        </w:rPr>
        <w:t>Konvencijas</w:t>
      </w:r>
      <w:proofErr w:type="spellEnd"/>
      <w:r>
        <w:rPr>
          <w:rFonts w:asciiTheme="majorBidi" w:hAnsiTheme="majorBidi" w:cstheme="majorBidi"/>
          <w:lang w:val="de-DE"/>
        </w:rPr>
        <w:t xml:space="preserve"> 2.p.</w:t>
      </w:r>
      <w:r w:rsidRPr="00FB289D">
        <w:rPr>
          <w:rFonts w:asciiTheme="majorBidi" w:hAnsiTheme="majorBidi" w:cstheme="majorBidi"/>
          <w:lang w:val="de-DE"/>
        </w:rPr>
        <w:t xml:space="preserve">). </w:t>
      </w:r>
      <w:proofErr w:type="spellStart"/>
      <w:r w:rsidRPr="00FB289D">
        <w:rPr>
          <w:rFonts w:asciiTheme="majorBidi" w:hAnsiTheme="majorBidi" w:cstheme="majorBidi"/>
          <w:lang w:val="de-DE"/>
        </w:rPr>
        <w:t>Vienīgā</w:t>
      </w:r>
      <w:proofErr w:type="spellEnd"/>
      <w:r w:rsidRPr="00FB289D">
        <w:rPr>
          <w:rFonts w:asciiTheme="majorBidi" w:hAnsiTheme="majorBidi" w:cstheme="majorBidi"/>
          <w:lang w:val="de-DE"/>
        </w:rPr>
        <w:t xml:space="preserve"> </w:t>
      </w:r>
      <w:proofErr w:type="spellStart"/>
      <w:r w:rsidRPr="00FB289D">
        <w:rPr>
          <w:rFonts w:asciiTheme="majorBidi" w:hAnsiTheme="majorBidi" w:cstheme="majorBidi"/>
          <w:lang w:val="de-DE"/>
        </w:rPr>
        <w:t>formalitāte</w:t>
      </w:r>
      <w:proofErr w:type="spellEnd"/>
      <w:r w:rsidRPr="00FB289D">
        <w:rPr>
          <w:rFonts w:asciiTheme="majorBidi" w:hAnsiTheme="majorBidi" w:cstheme="majorBidi"/>
          <w:lang w:val="de-DE"/>
        </w:rPr>
        <w:t xml:space="preserve">, </w:t>
      </w:r>
      <w:proofErr w:type="spellStart"/>
      <w:r w:rsidRPr="00FB289D">
        <w:rPr>
          <w:rFonts w:asciiTheme="majorBidi" w:hAnsiTheme="majorBidi" w:cstheme="majorBidi"/>
          <w:lang w:val="de-DE"/>
        </w:rPr>
        <w:t>kuru</w:t>
      </w:r>
      <w:proofErr w:type="spellEnd"/>
      <w:r w:rsidRPr="00FB289D">
        <w:rPr>
          <w:rFonts w:asciiTheme="majorBidi" w:hAnsiTheme="majorBidi" w:cstheme="majorBidi"/>
          <w:lang w:val="de-DE"/>
        </w:rPr>
        <w:t xml:space="preserve"> </w:t>
      </w:r>
      <w:proofErr w:type="spellStart"/>
      <w:r w:rsidRPr="00FB289D">
        <w:rPr>
          <w:rFonts w:asciiTheme="majorBidi" w:hAnsiTheme="majorBidi" w:cstheme="majorBidi"/>
          <w:lang w:val="de-DE"/>
        </w:rPr>
        <w:t>šādai</w:t>
      </w:r>
      <w:proofErr w:type="spellEnd"/>
      <w:r w:rsidRPr="00FB289D">
        <w:rPr>
          <w:rFonts w:asciiTheme="majorBidi" w:hAnsiTheme="majorBidi" w:cstheme="majorBidi"/>
          <w:lang w:val="de-DE"/>
        </w:rPr>
        <w:t xml:space="preserve"> </w:t>
      </w:r>
      <w:proofErr w:type="spellStart"/>
      <w:r w:rsidRPr="00FB289D">
        <w:rPr>
          <w:rFonts w:asciiTheme="majorBidi" w:hAnsiTheme="majorBidi" w:cstheme="majorBidi"/>
          <w:lang w:val="de-DE"/>
        </w:rPr>
        <w:t>legalizācijai</w:t>
      </w:r>
      <w:proofErr w:type="spellEnd"/>
      <w:r w:rsidRPr="000C7C76">
        <w:rPr>
          <w:rFonts w:asciiTheme="majorBidi" w:hAnsiTheme="majorBidi" w:cstheme="majorBidi"/>
          <w:lang w:val="de-DE"/>
        </w:rPr>
        <w:t xml:space="preserve"> </w:t>
      </w:r>
      <w:proofErr w:type="spellStart"/>
      <w:r w:rsidRPr="000C7C76">
        <w:rPr>
          <w:rFonts w:asciiTheme="majorBidi" w:hAnsiTheme="majorBidi" w:cstheme="majorBidi"/>
          <w:lang w:val="de-DE"/>
        </w:rPr>
        <w:t>var</w:t>
      </w:r>
      <w:proofErr w:type="spellEnd"/>
      <w:r w:rsidRPr="000C7C76">
        <w:rPr>
          <w:rFonts w:asciiTheme="majorBidi" w:hAnsiTheme="majorBidi" w:cstheme="majorBidi"/>
          <w:lang w:val="de-DE"/>
        </w:rPr>
        <w:t xml:space="preserve"> </w:t>
      </w:r>
      <w:proofErr w:type="spellStart"/>
      <w:r w:rsidRPr="000C7C76">
        <w:rPr>
          <w:rFonts w:asciiTheme="majorBidi" w:hAnsiTheme="majorBidi" w:cstheme="majorBidi"/>
          <w:lang w:val="de-DE"/>
        </w:rPr>
        <w:t>prasīt</w:t>
      </w:r>
      <w:proofErr w:type="spellEnd"/>
      <w:r w:rsidRPr="000C7C76">
        <w:rPr>
          <w:rFonts w:asciiTheme="majorBidi" w:hAnsiTheme="majorBidi" w:cstheme="majorBidi"/>
          <w:lang w:val="de-DE"/>
        </w:rPr>
        <w:t xml:space="preserve">, </w:t>
      </w:r>
      <w:proofErr w:type="spellStart"/>
      <w:r w:rsidRPr="000C7C76">
        <w:rPr>
          <w:rFonts w:asciiTheme="majorBidi" w:hAnsiTheme="majorBidi" w:cstheme="majorBidi"/>
          <w:lang w:val="de-DE"/>
        </w:rPr>
        <w:t>ir</w:t>
      </w:r>
      <w:proofErr w:type="spellEnd"/>
      <w:r w:rsidRPr="000C7C76">
        <w:rPr>
          <w:rFonts w:asciiTheme="majorBidi" w:hAnsiTheme="majorBidi" w:cstheme="majorBidi"/>
          <w:lang w:val="de-DE"/>
        </w:rPr>
        <w:t xml:space="preserve"> </w:t>
      </w:r>
      <w:proofErr w:type="spellStart"/>
      <w:r w:rsidRPr="000C7C76">
        <w:rPr>
          <w:rFonts w:asciiTheme="majorBidi" w:hAnsiTheme="majorBidi" w:cstheme="majorBidi"/>
          <w:i/>
          <w:iCs/>
          <w:lang w:val="de-DE"/>
        </w:rPr>
        <w:t>apostille</w:t>
      </w:r>
      <w:proofErr w:type="spellEnd"/>
      <w:r w:rsidRPr="000C7C76">
        <w:rPr>
          <w:rFonts w:asciiTheme="majorBidi" w:hAnsiTheme="majorBidi" w:cstheme="majorBidi"/>
          <w:i/>
          <w:iCs/>
          <w:lang w:val="de-DE"/>
        </w:rPr>
        <w:t xml:space="preserve"> </w:t>
      </w:r>
      <w:proofErr w:type="spellStart"/>
      <w:r w:rsidRPr="000C7C76">
        <w:rPr>
          <w:rFonts w:asciiTheme="majorBidi" w:hAnsiTheme="majorBidi" w:cstheme="majorBidi"/>
          <w:lang w:val="de-DE"/>
        </w:rPr>
        <w:t>apliecinājuma</w:t>
      </w:r>
      <w:proofErr w:type="spellEnd"/>
      <w:r w:rsidRPr="000C7C76">
        <w:rPr>
          <w:rFonts w:asciiTheme="majorBidi" w:hAnsiTheme="majorBidi" w:cstheme="majorBidi"/>
          <w:lang w:val="de-DE"/>
        </w:rPr>
        <w:t xml:space="preserve"> </w:t>
      </w:r>
      <w:proofErr w:type="spellStart"/>
      <w:r w:rsidRPr="000C7C76">
        <w:rPr>
          <w:rFonts w:asciiTheme="majorBidi" w:hAnsiTheme="majorBidi" w:cstheme="majorBidi"/>
          <w:lang w:val="de-DE"/>
        </w:rPr>
        <w:t>pievienošana</w:t>
      </w:r>
      <w:proofErr w:type="spellEnd"/>
      <w:r w:rsidRPr="000C7C76">
        <w:rPr>
          <w:rFonts w:asciiTheme="majorBidi" w:hAnsiTheme="majorBidi" w:cstheme="majorBidi"/>
          <w:lang w:val="de-DE"/>
        </w:rPr>
        <w:t xml:space="preserve">, </w:t>
      </w:r>
      <w:proofErr w:type="spellStart"/>
      <w:r w:rsidRPr="000C7C76">
        <w:rPr>
          <w:rFonts w:asciiTheme="majorBidi" w:hAnsiTheme="majorBidi" w:cstheme="majorBidi"/>
          <w:lang w:val="de-DE"/>
        </w:rPr>
        <w:t>ko</w:t>
      </w:r>
      <w:proofErr w:type="spellEnd"/>
      <w:r w:rsidRPr="000C7C76">
        <w:rPr>
          <w:rFonts w:asciiTheme="majorBidi" w:hAnsiTheme="majorBidi" w:cstheme="majorBidi"/>
          <w:lang w:val="de-DE"/>
        </w:rPr>
        <w:t xml:space="preserve"> </w:t>
      </w:r>
      <w:proofErr w:type="spellStart"/>
      <w:r w:rsidRPr="000C7C76">
        <w:rPr>
          <w:rFonts w:asciiTheme="majorBidi" w:hAnsiTheme="majorBidi" w:cstheme="majorBidi"/>
          <w:lang w:val="de-DE"/>
        </w:rPr>
        <w:t>izdevusi</w:t>
      </w:r>
      <w:proofErr w:type="spellEnd"/>
      <w:r w:rsidRPr="000C7C76">
        <w:rPr>
          <w:rFonts w:asciiTheme="majorBidi" w:hAnsiTheme="majorBidi" w:cstheme="majorBidi"/>
          <w:lang w:val="de-DE"/>
        </w:rPr>
        <w:t xml:space="preserve"> </w:t>
      </w:r>
      <w:proofErr w:type="spellStart"/>
      <w:r w:rsidRPr="000C7C76">
        <w:rPr>
          <w:rFonts w:asciiTheme="majorBidi" w:hAnsiTheme="majorBidi" w:cstheme="majorBidi"/>
          <w:lang w:val="de-DE"/>
        </w:rPr>
        <w:t>dokumenta</w:t>
      </w:r>
      <w:proofErr w:type="spellEnd"/>
      <w:r w:rsidRPr="000C7C76">
        <w:rPr>
          <w:rFonts w:asciiTheme="majorBidi" w:hAnsiTheme="majorBidi" w:cstheme="majorBidi"/>
          <w:lang w:val="de-DE"/>
        </w:rPr>
        <w:t xml:space="preserve"> </w:t>
      </w:r>
      <w:proofErr w:type="spellStart"/>
      <w:r w:rsidRPr="000C7C76">
        <w:rPr>
          <w:rFonts w:asciiTheme="majorBidi" w:hAnsiTheme="majorBidi" w:cstheme="majorBidi"/>
          <w:lang w:val="de-DE"/>
        </w:rPr>
        <w:t>izdevējas</w:t>
      </w:r>
      <w:proofErr w:type="spellEnd"/>
      <w:r w:rsidRPr="000C7C76">
        <w:rPr>
          <w:rFonts w:asciiTheme="majorBidi" w:hAnsiTheme="majorBidi" w:cstheme="majorBidi"/>
          <w:lang w:val="de-DE"/>
        </w:rPr>
        <w:t xml:space="preserve"> </w:t>
      </w:r>
      <w:proofErr w:type="spellStart"/>
      <w:r w:rsidRPr="000C7C76">
        <w:rPr>
          <w:rFonts w:asciiTheme="majorBidi" w:hAnsiTheme="majorBidi" w:cstheme="majorBidi"/>
          <w:lang w:val="de-DE"/>
        </w:rPr>
        <w:t>valsts</w:t>
      </w:r>
      <w:proofErr w:type="spellEnd"/>
      <w:r w:rsidRPr="000C7C76">
        <w:rPr>
          <w:rFonts w:asciiTheme="majorBidi" w:hAnsiTheme="majorBidi" w:cstheme="majorBidi"/>
          <w:lang w:val="de-DE"/>
        </w:rPr>
        <w:t xml:space="preserve"> </w:t>
      </w:r>
      <w:proofErr w:type="spellStart"/>
      <w:r w:rsidRPr="000C7C76">
        <w:rPr>
          <w:rFonts w:asciiTheme="majorBidi" w:hAnsiTheme="majorBidi" w:cstheme="majorBidi"/>
          <w:lang w:val="de-DE"/>
        </w:rPr>
        <w:t>kompetentā</w:t>
      </w:r>
      <w:proofErr w:type="spellEnd"/>
      <w:r w:rsidRPr="000C7C76">
        <w:rPr>
          <w:rFonts w:asciiTheme="majorBidi" w:hAnsiTheme="majorBidi" w:cstheme="majorBidi"/>
          <w:lang w:val="de-DE"/>
        </w:rPr>
        <w:t xml:space="preserve"> </w:t>
      </w:r>
      <w:proofErr w:type="spellStart"/>
      <w:r w:rsidRPr="000C7C76">
        <w:rPr>
          <w:rFonts w:asciiTheme="majorBidi" w:hAnsiTheme="majorBidi" w:cstheme="majorBidi"/>
          <w:lang w:val="de-DE"/>
        </w:rPr>
        <w:t>iestāde</w:t>
      </w:r>
      <w:proofErr w:type="spellEnd"/>
      <w:r w:rsidRPr="000C7C76">
        <w:rPr>
          <w:rFonts w:asciiTheme="majorBidi" w:hAnsiTheme="majorBidi" w:cstheme="majorBidi"/>
          <w:lang w:val="de-DE"/>
        </w:rPr>
        <w:t xml:space="preserve"> (</w:t>
      </w:r>
      <w:proofErr w:type="spellStart"/>
      <w:r w:rsidRPr="000C7C76">
        <w:rPr>
          <w:rFonts w:asciiTheme="majorBidi" w:hAnsiTheme="majorBidi" w:cstheme="majorBidi"/>
          <w:lang w:val="de-DE"/>
        </w:rPr>
        <w:t>skat</w:t>
      </w:r>
      <w:proofErr w:type="spellEnd"/>
      <w:r w:rsidRPr="000C7C76">
        <w:rPr>
          <w:rFonts w:asciiTheme="majorBidi" w:hAnsiTheme="majorBidi" w:cstheme="majorBidi"/>
          <w:lang w:val="de-DE"/>
        </w:rPr>
        <w:t xml:space="preserve">. </w:t>
      </w:r>
      <w:proofErr w:type="spellStart"/>
      <w:r w:rsidRPr="000C7C76">
        <w:rPr>
          <w:rFonts w:asciiTheme="majorBidi" w:hAnsiTheme="majorBidi" w:cstheme="majorBidi"/>
          <w:lang w:val="de-DE"/>
        </w:rPr>
        <w:t>Konvencijas</w:t>
      </w:r>
      <w:proofErr w:type="spellEnd"/>
      <w:r w:rsidRPr="000C7C76">
        <w:rPr>
          <w:rFonts w:asciiTheme="majorBidi" w:hAnsiTheme="majorBidi" w:cstheme="majorBidi"/>
          <w:lang w:val="de-DE"/>
        </w:rPr>
        <w:t xml:space="preserve"> 3.p. 1.punktu). </w:t>
      </w:r>
      <w:proofErr w:type="spellStart"/>
      <w:r w:rsidRPr="000C7C76">
        <w:rPr>
          <w:rFonts w:asciiTheme="majorBidi" w:hAnsiTheme="majorBidi" w:cstheme="majorBidi"/>
          <w:lang w:val="de-DE"/>
        </w:rPr>
        <w:t>Pareizi</w:t>
      </w:r>
      <w:proofErr w:type="spellEnd"/>
      <w:r w:rsidRPr="000C7C76">
        <w:rPr>
          <w:rFonts w:asciiTheme="majorBidi" w:hAnsiTheme="majorBidi" w:cstheme="majorBidi"/>
          <w:lang w:val="de-DE"/>
        </w:rPr>
        <w:t xml:space="preserve"> </w:t>
      </w:r>
      <w:proofErr w:type="spellStart"/>
      <w:r w:rsidRPr="000C7C76">
        <w:rPr>
          <w:rFonts w:asciiTheme="majorBidi" w:hAnsiTheme="majorBidi" w:cstheme="majorBidi"/>
          <w:lang w:val="de-DE"/>
        </w:rPr>
        <w:t>aizpildīts</w:t>
      </w:r>
      <w:proofErr w:type="spellEnd"/>
      <w:r w:rsidRPr="000C7C76">
        <w:rPr>
          <w:rFonts w:asciiTheme="majorBidi" w:hAnsiTheme="majorBidi" w:cstheme="majorBidi"/>
          <w:lang w:val="de-DE"/>
        </w:rPr>
        <w:t xml:space="preserve">, </w:t>
      </w:r>
      <w:proofErr w:type="spellStart"/>
      <w:r w:rsidRPr="000C7C76">
        <w:rPr>
          <w:rFonts w:asciiTheme="majorBidi" w:hAnsiTheme="majorBidi" w:cstheme="majorBidi"/>
          <w:i/>
          <w:iCs/>
          <w:lang w:val="de-DE"/>
        </w:rPr>
        <w:t>apostille</w:t>
      </w:r>
      <w:proofErr w:type="spellEnd"/>
      <w:r w:rsidRPr="000C7C76">
        <w:rPr>
          <w:rFonts w:asciiTheme="majorBidi" w:hAnsiTheme="majorBidi" w:cstheme="majorBidi"/>
          <w:i/>
          <w:iCs/>
          <w:lang w:val="de-DE"/>
        </w:rPr>
        <w:t xml:space="preserve"> </w:t>
      </w:r>
      <w:proofErr w:type="spellStart"/>
      <w:r w:rsidRPr="000C7C76">
        <w:rPr>
          <w:rFonts w:asciiTheme="majorBidi" w:hAnsiTheme="majorBidi" w:cstheme="majorBidi"/>
          <w:lang w:val="de-DE"/>
        </w:rPr>
        <w:t>apliecina</w:t>
      </w:r>
      <w:proofErr w:type="spellEnd"/>
      <w:r w:rsidRPr="000C7C76">
        <w:rPr>
          <w:rFonts w:asciiTheme="majorBidi" w:hAnsiTheme="majorBidi" w:cstheme="majorBidi"/>
          <w:lang w:val="de-DE"/>
        </w:rPr>
        <w:t xml:space="preserve"> </w:t>
      </w:r>
      <w:proofErr w:type="spellStart"/>
      <w:r w:rsidRPr="000C7C76">
        <w:rPr>
          <w:rFonts w:asciiTheme="majorBidi" w:hAnsiTheme="majorBidi" w:cstheme="majorBidi"/>
          <w:lang w:val="de-DE"/>
        </w:rPr>
        <w:t>paraksta</w:t>
      </w:r>
      <w:proofErr w:type="spellEnd"/>
      <w:r w:rsidRPr="000C7C76">
        <w:rPr>
          <w:rFonts w:asciiTheme="majorBidi" w:hAnsiTheme="majorBidi" w:cstheme="majorBidi"/>
          <w:lang w:val="de-DE"/>
        </w:rPr>
        <w:t xml:space="preserve"> </w:t>
      </w:r>
      <w:proofErr w:type="spellStart"/>
      <w:r w:rsidRPr="000C7C76">
        <w:rPr>
          <w:rFonts w:asciiTheme="majorBidi" w:hAnsiTheme="majorBidi" w:cstheme="majorBidi"/>
          <w:lang w:val="de-DE"/>
        </w:rPr>
        <w:t>autentiskumu</w:t>
      </w:r>
      <w:proofErr w:type="spellEnd"/>
      <w:r w:rsidRPr="000C7C76">
        <w:rPr>
          <w:rFonts w:asciiTheme="majorBidi" w:hAnsiTheme="majorBidi" w:cstheme="majorBidi"/>
          <w:lang w:val="de-DE"/>
        </w:rPr>
        <w:t xml:space="preserve">, </w:t>
      </w:r>
      <w:proofErr w:type="spellStart"/>
      <w:r w:rsidRPr="000C7C76">
        <w:rPr>
          <w:rFonts w:asciiTheme="majorBidi" w:hAnsiTheme="majorBidi" w:cstheme="majorBidi"/>
          <w:lang w:val="de-DE"/>
        </w:rPr>
        <w:t>statusu</w:t>
      </w:r>
      <w:proofErr w:type="spellEnd"/>
      <w:r w:rsidRPr="000C7C76">
        <w:rPr>
          <w:rFonts w:asciiTheme="majorBidi" w:hAnsiTheme="majorBidi" w:cstheme="majorBidi"/>
          <w:lang w:val="de-DE"/>
        </w:rPr>
        <w:t xml:space="preserve">, </w:t>
      </w:r>
      <w:proofErr w:type="spellStart"/>
      <w:r w:rsidRPr="000C7C76">
        <w:rPr>
          <w:rFonts w:asciiTheme="majorBidi" w:hAnsiTheme="majorBidi" w:cstheme="majorBidi"/>
          <w:lang w:val="de-DE"/>
        </w:rPr>
        <w:t>kādā</w:t>
      </w:r>
      <w:proofErr w:type="spellEnd"/>
      <w:r w:rsidRPr="000C7C76">
        <w:rPr>
          <w:rFonts w:asciiTheme="majorBidi" w:hAnsiTheme="majorBidi" w:cstheme="majorBidi"/>
          <w:lang w:val="de-DE"/>
        </w:rPr>
        <w:t xml:space="preserve"> </w:t>
      </w:r>
      <w:proofErr w:type="spellStart"/>
      <w:r w:rsidRPr="000C7C76">
        <w:rPr>
          <w:rFonts w:asciiTheme="majorBidi" w:hAnsiTheme="majorBidi" w:cstheme="majorBidi"/>
          <w:lang w:val="de-DE"/>
        </w:rPr>
        <w:t>darbojusies</w:t>
      </w:r>
      <w:proofErr w:type="spellEnd"/>
      <w:r w:rsidRPr="000C7C76">
        <w:rPr>
          <w:rFonts w:asciiTheme="majorBidi" w:hAnsiTheme="majorBidi" w:cstheme="majorBidi"/>
          <w:lang w:val="de-DE"/>
        </w:rPr>
        <w:t xml:space="preserve"> </w:t>
      </w:r>
      <w:proofErr w:type="spellStart"/>
      <w:r w:rsidRPr="000C7C76">
        <w:rPr>
          <w:rFonts w:asciiTheme="majorBidi" w:hAnsiTheme="majorBidi" w:cstheme="majorBidi"/>
          <w:lang w:val="de-DE"/>
        </w:rPr>
        <w:t>persona</w:t>
      </w:r>
      <w:proofErr w:type="spellEnd"/>
      <w:r w:rsidRPr="000C7C76">
        <w:rPr>
          <w:rFonts w:asciiTheme="majorBidi" w:hAnsiTheme="majorBidi" w:cstheme="majorBidi"/>
          <w:lang w:val="de-DE"/>
        </w:rPr>
        <w:t xml:space="preserve">, </w:t>
      </w:r>
      <w:proofErr w:type="spellStart"/>
      <w:r w:rsidRPr="000C7C76">
        <w:rPr>
          <w:rFonts w:asciiTheme="majorBidi" w:hAnsiTheme="majorBidi" w:cstheme="majorBidi"/>
          <w:lang w:val="de-DE"/>
        </w:rPr>
        <w:t>kura</w:t>
      </w:r>
      <w:proofErr w:type="spellEnd"/>
      <w:r w:rsidRPr="000C7C76">
        <w:rPr>
          <w:rFonts w:asciiTheme="majorBidi" w:hAnsiTheme="majorBidi" w:cstheme="majorBidi"/>
          <w:lang w:val="de-DE"/>
        </w:rPr>
        <w:t xml:space="preserve"> </w:t>
      </w:r>
      <w:proofErr w:type="spellStart"/>
      <w:r w:rsidRPr="000C7C76">
        <w:rPr>
          <w:rFonts w:asciiTheme="majorBidi" w:hAnsiTheme="majorBidi" w:cstheme="majorBidi"/>
          <w:lang w:val="de-DE"/>
        </w:rPr>
        <w:t>parakstījusi</w:t>
      </w:r>
      <w:proofErr w:type="spellEnd"/>
      <w:r w:rsidRPr="000C7C76">
        <w:rPr>
          <w:rFonts w:asciiTheme="majorBidi" w:hAnsiTheme="majorBidi" w:cstheme="majorBidi"/>
          <w:lang w:val="de-DE"/>
        </w:rPr>
        <w:t xml:space="preserve"> </w:t>
      </w:r>
      <w:proofErr w:type="spellStart"/>
      <w:r w:rsidRPr="000C7C76">
        <w:rPr>
          <w:rFonts w:asciiTheme="majorBidi" w:hAnsiTheme="majorBidi" w:cstheme="majorBidi"/>
          <w:lang w:val="de-DE"/>
        </w:rPr>
        <w:t>dokumentu</w:t>
      </w:r>
      <w:proofErr w:type="spellEnd"/>
      <w:r w:rsidRPr="000C7C76">
        <w:rPr>
          <w:rFonts w:asciiTheme="majorBidi" w:hAnsiTheme="majorBidi" w:cstheme="majorBidi"/>
          <w:lang w:val="de-DE"/>
        </w:rPr>
        <w:t xml:space="preserve">, </w:t>
      </w:r>
      <w:proofErr w:type="spellStart"/>
      <w:r w:rsidRPr="000C7C76">
        <w:rPr>
          <w:rFonts w:asciiTheme="majorBidi" w:hAnsiTheme="majorBidi" w:cstheme="majorBidi"/>
          <w:lang w:val="de-DE"/>
        </w:rPr>
        <w:t>un</w:t>
      </w:r>
      <w:proofErr w:type="spellEnd"/>
      <w:r w:rsidRPr="000C7C76">
        <w:rPr>
          <w:rFonts w:asciiTheme="majorBidi" w:hAnsiTheme="majorBidi" w:cstheme="majorBidi"/>
          <w:lang w:val="de-DE"/>
        </w:rPr>
        <w:t xml:space="preserve">, kur </w:t>
      </w:r>
      <w:proofErr w:type="spellStart"/>
      <w:r w:rsidRPr="000C7C76">
        <w:rPr>
          <w:rFonts w:asciiTheme="majorBidi" w:hAnsiTheme="majorBidi" w:cstheme="majorBidi"/>
          <w:lang w:val="de-DE"/>
        </w:rPr>
        <w:t>tas</w:t>
      </w:r>
      <w:proofErr w:type="spellEnd"/>
      <w:r w:rsidRPr="000C7C76">
        <w:rPr>
          <w:rFonts w:asciiTheme="majorBidi" w:hAnsiTheme="majorBidi" w:cstheme="majorBidi"/>
          <w:lang w:val="de-DE"/>
        </w:rPr>
        <w:t xml:space="preserve"> </w:t>
      </w:r>
      <w:proofErr w:type="spellStart"/>
      <w:r w:rsidRPr="000C7C76">
        <w:rPr>
          <w:rFonts w:asciiTheme="majorBidi" w:hAnsiTheme="majorBidi" w:cstheme="majorBidi"/>
          <w:lang w:val="de-DE"/>
        </w:rPr>
        <w:t>nepieciešams</w:t>
      </w:r>
      <w:proofErr w:type="spellEnd"/>
      <w:r w:rsidRPr="000C7C76">
        <w:rPr>
          <w:rFonts w:asciiTheme="majorBidi" w:hAnsiTheme="majorBidi" w:cstheme="majorBidi"/>
          <w:lang w:val="de-DE"/>
        </w:rPr>
        <w:t xml:space="preserve">, </w:t>
      </w:r>
      <w:proofErr w:type="spellStart"/>
      <w:r w:rsidRPr="000C7C76">
        <w:rPr>
          <w:rFonts w:asciiTheme="majorBidi" w:hAnsiTheme="majorBidi" w:cstheme="majorBidi"/>
          <w:lang w:val="de-DE"/>
        </w:rPr>
        <w:t>uz</w:t>
      </w:r>
      <w:proofErr w:type="spellEnd"/>
      <w:r w:rsidRPr="000C7C76">
        <w:rPr>
          <w:rFonts w:asciiTheme="majorBidi" w:hAnsiTheme="majorBidi" w:cstheme="majorBidi"/>
          <w:lang w:val="de-DE"/>
        </w:rPr>
        <w:t xml:space="preserve"> </w:t>
      </w:r>
      <w:proofErr w:type="spellStart"/>
      <w:r w:rsidRPr="000C7C76">
        <w:rPr>
          <w:rFonts w:asciiTheme="majorBidi" w:hAnsiTheme="majorBidi" w:cstheme="majorBidi"/>
          <w:lang w:val="de-DE"/>
        </w:rPr>
        <w:t>dokumenta</w:t>
      </w:r>
      <w:proofErr w:type="spellEnd"/>
      <w:r w:rsidRPr="000C7C76">
        <w:rPr>
          <w:rFonts w:asciiTheme="majorBidi" w:hAnsiTheme="majorBidi" w:cstheme="majorBidi"/>
          <w:lang w:val="de-DE"/>
        </w:rPr>
        <w:t xml:space="preserve"> </w:t>
      </w:r>
      <w:proofErr w:type="spellStart"/>
      <w:r w:rsidRPr="000C7C76">
        <w:rPr>
          <w:rFonts w:asciiTheme="majorBidi" w:hAnsiTheme="majorBidi" w:cstheme="majorBidi"/>
          <w:lang w:val="de-DE"/>
        </w:rPr>
        <w:t>esošā</w:t>
      </w:r>
      <w:proofErr w:type="spellEnd"/>
      <w:r w:rsidRPr="000C7C76">
        <w:rPr>
          <w:rFonts w:asciiTheme="majorBidi" w:hAnsiTheme="majorBidi" w:cstheme="majorBidi"/>
          <w:lang w:val="de-DE"/>
        </w:rPr>
        <w:t xml:space="preserve"> </w:t>
      </w:r>
      <w:proofErr w:type="spellStart"/>
      <w:r w:rsidRPr="000C7C76">
        <w:rPr>
          <w:rFonts w:asciiTheme="majorBidi" w:hAnsiTheme="majorBidi" w:cstheme="majorBidi"/>
          <w:lang w:val="de-DE"/>
        </w:rPr>
        <w:t>zīmoga</w:t>
      </w:r>
      <w:proofErr w:type="spellEnd"/>
      <w:r w:rsidRPr="000C7C76">
        <w:rPr>
          <w:rFonts w:asciiTheme="majorBidi" w:hAnsiTheme="majorBidi" w:cstheme="majorBidi"/>
          <w:lang w:val="de-DE"/>
        </w:rPr>
        <w:t xml:space="preserve"> </w:t>
      </w:r>
      <w:proofErr w:type="spellStart"/>
      <w:r w:rsidRPr="000C7C76">
        <w:rPr>
          <w:rFonts w:asciiTheme="majorBidi" w:hAnsiTheme="majorBidi" w:cstheme="majorBidi"/>
          <w:lang w:val="de-DE"/>
        </w:rPr>
        <w:t>vai</w:t>
      </w:r>
      <w:proofErr w:type="spellEnd"/>
      <w:r w:rsidRPr="000C7C76">
        <w:rPr>
          <w:rFonts w:asciiTheme="majorBidi" w:hAnsiTheme="majorBidi" w:cstheme="majorBidi"/>
          <w:lang w:val="de-DE"/>
        </w:rPr>
        <w:t xml:space="preserve"> </w:t>
      </w:r>
      <w:proofErr w:type="spellStart"/>
      <w:r w:rsidRPr="000C7C76">
        <w:rPr>
          <w:rFonts w:asciiTheme="majorBidi" w:hAnsiTheme="majorBidi" w:cstheme="majorBidi"/>
          <w:lang w:val="de-DE"/>
        </w:rPr>
        <w:t>spiedoga</w:t>
      </w:r>
      <w:proofErr w:type="spellEnd"/>
      <w:r w:rsidRPr="000C7C76">
        <w:rPr>
          <w:rFonts w:asciiTheme="majorBidi" w:hAnsiTheme="majorBidi" w:cstheme="majorBidi"/>
          <w:lang w:val="de-DE"/>
        </w:rPr>
        <w:t xml:space="preserve"> </w:t>
      </w:r>
      <w:proofErr w:type="spellStart"/>
      <w:r w:rsidRPr="000C7C76">
        <w:rPr>
          <w:rFonts w:asciiTheme="majorBidi" w:hAnsiTheme="majorBidi" w:cstheme="majorBidi"/>
          <w:lang w:val="de-DE"/>
        </w:rPr>
        <w:t>identitāti</w:t>
      </w:r>
      <w:proofErr w:type="spellEnd"/>
      <w:r w:rsidRPr="000C7C76">
        <w:rPr>
          <w:rFonts w:asciiTheme="majorBidi" w:hAnsiTheme="majorBidi" w:cstheme="majorBidi"/>
          <w:lang w:val="de-DE"/>
        </w:rPr>
        <w:t xml:space="preserve">. </w:t>
      </w:r>
      <w:proofErr w:type="spellStart"/>
      <w:r w:rsidRPr="000C7C76">
        <w:rPr>
          <w:rFonts w:asciiTheme="majorBidi" w:hAnsiTheme="majorBidi" w:cstheme="majorBidi"/>
          <w:lang w:val="de-DE"/>
        </w:rPr>
        <w:t>Paraksts</w:t>
      </w:r>
      <w:proofErr w:type="spellEnd"/>
      <w:r w:rsidRPr="000C7C76">
        <w:rPr>
          <w:rFonts w:asciiTheme="majorBidi" w:hAnsiTheme="majorBidi" w:cstheme="majorBidi"/>
          <w:lang w:val="de-DE"/>
        </w:rPr>
        <w:t xml:space="preserve">, </w:t>
      </w:r>
      <w:proofErr w:type="spellStart"/>
      <w:r w:rsidRPr="000C7C76">
        <w:rPr>
          <w:rFonts w:asciiTheme="majorBidi" w:hAnsiTheme="majorBidi" w:cstheme="majorBidi"/>
          <w:lang w:val="de-DE"/>
        </w:rPr>
        <w:t>zīmogs</w:t>
      </w:r>
      <w:proofErr w:type="spellEnd"/>
      <w:r w:rsidRPr="000C7C76">
        <w:rPr>
          <w:rFonts w:asciiTheme="majorBidi" w:hAnsiTheme="majorBidi" w:cstheme="majorBidi"/>
          <w:lang w:val="de-DE"/>
        </w:rPr>
        <w:t xml:space="preserve"> </w:t>
      </w:r>
      <w:proofErr w:type="spellStart"/>
      <w:r w:rsidRPr="000C7C76">
        <w:rPr>
          <w:rFonts w:asciiTheme="majorBidi" w:hAnsiTheme="majorBidi" w:cstheme="majorBidi"/>
          <w:lang w:val="de-DE"/>
        </w:rPr>
        <w:t>un</w:t>
      </w:r>
      <w:proofErr w:type="spellEnd"/>
      <w:r w:rsidRPr="000C7C76">
        <w:rPr>
          <w:rFonts w:asciiTheme="majorBidi" w:hAnsiTheme="majorBidi" w:cstheme="majorBidi"/>
          <w:lang w:val="de-DE"/>
        </w:rPr>
        <w:t xml:space="preserve"> </w:t>
      </w:r>
      <w:proofErr w:type="spellStart"/>
      <w:r w:rsidRPr="000C7C76">
        <w:rPr>
          <w:rFonts w:asciiTheme="majorBidi" w:hAnsiTheme="majorBidi" w:cstheme="majorBidi"/>
          <w:lang w:val="de-DE"/>
        </w:rPr>
        <w:t>spiedogs</w:t>
      </w:r>
      <w:proofErr w:type="spellEnd"/>
      <w:r w:rsidRPr="000C7C76">
        <w:rPr>
          <w:rFonts w:asciiTheme="majorBidi" w:hAnsiTheme="majorBidi" w:cstheme="majorBidi"/>
          <w:lang w:val="de-DE"/>
        </w:rPr>
        <w:t xml:space="preserve"> </w:t>
      </w:r>
      <w:proofErr w:type="spellStart"/>
      <w:r w:rsidRPr="000C7C76">
        <w:rPr>
          <w:rFonts w:asciiTheme="majorBidi" w:hAnsiTheme="majorBidi" w:cstheme="majorBidi"/>
          <w:lang w:val="de-DE"/>
        </w:rPr>
        <w:t>uz</w:t>
      </w:r>
      <w:proofErr w:type="spellEnd"/>
      <w:r w:rsidRPr="000C7C76">
        <w:rPr>
          <w:rFonts w:asciiTheme="majorBidi" w:hAnsiTheme="majorBidi" w:cstheme="majorBidi"/>
          <w:lang w:val="de-DE"/>
        </w:rPr>
        <w:t xml:space="preserve"> </w:t>
      </w:r>
      <w:proofErr w:type="spellStart"/>
      <w:r w:rsidRPr="000C7C76">
        <w:rPr>
          <w:rFonts w:asciiTheme="majorBidi" w:hAnsiTheme="majorBidi" w:cstheme="majorBidi"/>
          <w:i/>
          <w:iCs/>
          <w:lang w:val="de-DE"/>
        </w:rPr>
        <w:t>apostille</w:t>
      </w:r>
      <w:proofErr w:type="spellEnd"/>
      <w:r w:rsidRPr="000C7C76">
        <w:rPr>
          <w:rFonts w:asciiTheme="majorBidi" w:hAnsiTheme="majorBidi" w:cstheme="majorBidi"/>
          <w:lang w:val="de-DE"/>
        </w:rPr>
        <w:t xml:space="preserve"> </w:t>
      </w:r>
      <w:proofErr w:type="spellStart"/>
      <w:r w:rsidRPr="000C7C76">
        <w:rPr>
          <w:rFonts w:asciiTheme="majorBidi" w:hAnsiTheme="majorBidi" w:cstheme="majorBidi"/>
          <w:lang w:val="de-DE"/>
        </w:rPr>
        <w:t>apliecinājuma</w:t>
      </w:r>
      <w:proofErr w:type="spellEnd"/>
      <w:r w:rsidRPr="000C7C76">
        <w:rPr>
          <w:rFonts w:asciiTheme="majorBidi" w:hAnsiTheme="majorBidi" w:cstheme="majorBidi"/>
          <w:lang w:val="de-DE"/>
        </w:rPr>
        <w:t xml:space="preserve"> </w:t>
      </w:r>
      <w:proofErr w:type="spellStart"/>
      <w:r w:rsidRPr="000C7C76">
        <w:rPr>
          <w:rFonts w:asciiTheme="majorBidi" w:hAnsiTheme="majorBidi" w:cstheme="majorBidi"/>
          <w:lang w:val="de-DE"/>
        </w:rPr>
        <w:t>ir</w:t>
      </w:r>
      <w:proofErr w:type="spellEnd"/>
      <w:r w:rsidRPr="000C7C76">
        <w:rPr>
          <w:rFonts w:asciiTheme="majorBidi" w:hAnsiTheme="majorBidi" w:cstheme="majorBidi"/>
          <w:lang w:val="de-DE"/>
        </w:rPr>
        <w:t xml:space="preserve"> </w:t>
      </w:r>
      <w:proofErr w:type="spellStart"/>
      <w:r w:rsidRPr="000C7C76">
        <w:rPr>
          <w:rFonts w:asciiTheme="majorBidi" w:hAnsiTheme="majorBidi" w:cstheme="majorBidi"/>
          <w:lang w:val="de-DE"/>
        </w:rPr>
        <w:t>atbrīvoti</w:t>
      </w:r>
      <w:proofErr w:type="spellEnd"/>
      <w:r w:rsidRPr="000C7C76">
        <w:rPr>
          <w:rFonts w:asciiTheme="majorBidi" w:hAnsiTheme="majorBidi" w:cstheme="majorBidi"/>
          <w:lang w:val="de-DE"/>
        </w:rPr>
        <w:t xml:space="preserve"> </w:t>
      </w:r>
      <w:proofErr w:type="spellStart"/>
      <w:r w:rsidRPr="000C7C76">
        <w:rPr>
          <w:rFonts w:asciiTheme="majorBidi" w:hAnsiTheme="majorBidi" w:cstheme="majorBidi"/>
          <w:lang w:val="de-DE"/>
        </w:rPr>
        <w:t>no</w:t>
      </w:r>
      <w:proofErr w:type="spellEnd"/>
      <w:r w:rsidRPr="000C7C76">
        <w:rPr>
          <w:rFonts w:asciiTheme="majorBidi" w:hAnsiTheme="majorBidi" w:cstheme="majorBidi"/>
          <w:lang w:val="de-DE"/>
        </w:rPr>
        <w:t xml:space="preserve"> </w:t>
      </w:r>
      <w:proofErr w:type="spellStart"/>
      <w:r w:rsidRPr="000C7C76">
        <w:rPr>
          <w:rFonts w:asciiTheme="majorBidi" w:hAnsiTheme="majorBidi" w:cstheme="majorBidi"/>
          <w:lang w:val="de-DE"/>
        </w:rPr>
        <w:t>jebkādas</w:t>
      </w:r>
      <w:proofErr w:type="spellEnd"/>
      <w:r w:rsidRPr="000C7C76">
        <w:rPr>
          <w:rFonts w:asciiTheme="majorBidi" w:hAnsiTheme="majorBidi" w:cstheme="majorBidi"/>
          <w:lang w:val="de-DE"/>
        </w:rPr>
        <w:t xml:space="preserve"> </w:t>
      </w:r>
      <w:proofErr w:type="spellStart"/>
      <w:r w:rsidRPr="000C7C76">
        <w:rPr>
          <w:rFonts w:asciiTheme="majorBidi" w:hAnsiTheme="majorBidi" w:cstheme="majorBidi"/>
          <w:lang w:val="de-DE"/>
        </w:rPr>
        <w:t>apliecināšanas</w:t>
      </w:r>
      <w:proofErr w:type="spellEnd"/>
      <w:r w:rsidRPr="000C7C76">
        <w:rPr>
          <w:rFonts w:asciiTheme="majorBidi" w:hAnsiTheme="majorBidi" w:cstheme="majorBidi"/>
          <w:lang w:val="de-DE"/>
        </w:rPr>
        <w:t xml:space="preserve"> (</w:t>
      </w:r>
      <w:proofErr w:type="spellStart"/>
      <w:r w:rsidRPr="000C7C76">
        <w:rPr>
          <w:rFonts w:asciiTheme="majorBidi" w:hAnsiTheme="majorBidi" w:cstheme="majorBidi"/>
          <w:lang w:val="de-DE"/>
        </w:rPr>
        <w:t>skat</w:t>
      </w:r>
      <w:proofErr w:type="spellEnd"/>
      <w:r w:rsidRPr="000C7C76">
        <w:rPr>
          <w:rFonts w:asciiTheme="majorBidi" w:hAnsiTheme="majorBidi" w:cstheme="majorBidi"/>
          <w:lang w:val="de-DE"/>
        </w:rPr>
        <w:t xml:space="preserve">. </w:t>
      </w:r>
      <w:proofErr w:type="spellStart"/>
      <w:r>
        <w:rPr>
          <w:rFonts w:asciiTheme="majorBidi" w:hAnsiTheme="majorBidi" w:cstheme="majorBidi"/>
        </w:rPr>
        <w:t>Konvencijas</w:t>
      </w:r>
      <w:proofErr w:type="spellEnd"/>
      <w:r>
        <w:rPr>
          <w:rFonts w:asciiTheme="majorBidi" w:hAnsiTheme="majorBidi" w:cstheme="majorBidi"/>
        </w:rPr>
        <w:t xml:space="preserve"> 5.p.</w:t>
      </w:r>
      <w:r w:rsidRPr="001A3712">
        <w:rPr>
          <w:rFonts w:asciiTheme="majorBidi" w:hAnsiTheme="majorBidi" w:cstheme="majorBidi"/>
        </w:rPr>
        <w:t xml:space="preserve">). </w:t>
      </w:r>
    </w:p>
    <w:p w14:paraId="0287A08C" w14:textId="77777777" w:rsidR="00114953" w:rsidRDefault="00114953" w:rsidP="00114953">
      <w:pPr>
        <w:ind w:firstLine="708"/>
        <w:jc w:val="both"/>
        <w:rPr>
          <w:rFonts w:asciiTheme="majorBidi" w:hAnsiTheme="majorBidi" w:cstheme="majorBidi"/>
        </w:rPr>
      </w:pPr>
      <w:r w:rsidRPr="001A3712">
        <w:rPr>
          <w:rFonts w:asciiTheme="majorBidi" w:hAnsiTheme="majorBidi" w:cstheme="majorBidi"/>
          <w:i/>
          <w:iCs/>
        </w:rPr>
        <w:t>Apostille</w:t>
      </w:r>
      <w:r w:rsidRPr="001A3712">
        <w:rPr>
          <w:rFonts w:asciiTheme="majorBidi" w:hAnsiTheme="majorBidi" w:cstheme="majorBidi"/>
        </w:rPr>
        <w:t xml:space="preserve"> </w:t>
      </w:r>
      <w:proofErr w:type="spellStart"/>
      <w:r w:rsidRPr="001A3712">
        <w:rPr>
          <w:rFonts w:asciiTheme="majorBidi" w:hAnsiTheme="majorBidi" w:cstheme="majorBidi"/>
        </w:rPr>
        <w:t>apliecinājumam</w:t>
      </w:r>
      <w:proofErr w:type="spellEnd"/>
      <w:r w:rsidRPr="001A3712">
        <w:rPr>
          <w:rFonts w:asciiTheme="majorBidi" w:hAnsiTheme="majorBidi" w:cstheme="majorBidi"/>
        </w:rPr>
        <w:t xml:space="preserve"> </w:t>
      </w:r>
      <w:proofErr w:type="spellStart"/>
      <w:r w:rsidRPr="001A3712">
        <w:rPr>
          <w:rFonts w:asciiTheme="majorBidi" w:hAnsiTheme="majorBidi" w:cstheme="majorBidi"/>
        </w:rPr>
        <w:t>ir</w:t>
      </w:r>
      <w:proofErr w:type="spellEnd"/>
      <w:r w:rsidRPr="001A3712">
        <w:rPr>
          <w:rFonts w:asciiTheme="majorBidi" w:hAnsiTheme="majorBidi" w:cstheme="majorBidi"/>
        </w:rPr>
        <w:t xml:space="preserve"> </w:t>
      </w:r>
      <w:proofErr w:type="spellStart"/>
      <w:r w:rsidRPr="001A3712">
        <w:rPr>
          <w:rFonts w:asciiTheme="majorBidi" w:hAnsiTheme="majorBidi" w:cstheme="majorBidi"/>
        </w:rPr>
        <w:t>noteikta</w:t>
      </w:r>
      <w:proofErr w:type="spellEnd"/>
      <w:r w:rsidRPr="001A3712">
        <w:rPr>
          <w:rFonts w:asciiTheme="majorBidi" w:hAnsiTheme="majorBidi" w:cstheme="majorBidi"/>
        </w:rPr>
        <w:t xml:space="preserve"> </w:t>
      </w:r>
      <w:proofErr w:type="spellStart"/>
      <w:r w:rsidRPr="001A3712">
        <w:rPr>
          <w:rFonts w:asciiTheme="majorBidi" w:hAnsiTheme="majorBidi" w:cstheme="majorBidi"/>
        </w:rPr>
        <w:t>parauga</w:t>
      </w:r>
      <w:proofErr w:type="spellEnd"/>
      <w:r w:rsidRPr="001A3712">
        <w:rPr>
          <w:rFonts w:asciiTheme="majorBidi" w:hAnsiTheme="majorBidi" w:cstheme="majorBidi"/>
        </w:rPr>
        <w:t xml:space="preserve"> forma un </w:t>
      </w:r>
      <w:proofErr w:type="spellStart"/>
      <w:r w:rsidRPr="001A3712">
        <w:rPr>
          <w:rFonts w:asciiTheme="majorBidi" w:hAnsiTheme="majorBidi" w:cstheme="majorBidi"/>
        </w:rPr>
        <w:t>virsrakstam</w:t>
      </w:r>
      <w:proofErr w:type="spellEnd"/>
      <w:r w:rsidRPr="001A3712">
        <w:rPr>
          <w:rFonts w:asciiTheme="majorBidi" w:hAnsiTheme="majorBidi" w:cstheme="majorBidi"/>
        </w:rPr>
        <w:t xml:space="preserve"> </w:t>
      </w:r>
      <w:proofErr w:type="spellStart"/>
      <w:r w:rsidRPr="001A3712">
        <w:rPr>
          <w:rFonts w:asciiTheme="majorBidi" w:hAnsiTheme="majorBidi" w:cstheme="majorBidi"/>
        </w:rPr>
        <w:t>ir</w:t>
      </w:r>
      <w:proofErr w:type="spellEnd"/>
      <w:r w:rsidRPr="001A3712">
        <w:rPr>
          <w:rFonts w:asciiTheme="majorBidi" w:hAnsiTheme="majorBidi" w:cstheme="majorBidi"/>
        </w:rPr>
        <w:t xml:space="preserve"> </w:t>
      </w:r>
      <w:proofErr w:type="spellStart"/>
      <w:r w:rsidRPr="001A3712">
        <w:rPr>
          <w:rFonts w:asciiTheme="majorBidi" w:hAnsiTheme="majorBidi" w:cstheme="majorBidi"/>
        </w:rPr>
        <w:t>jābūt</w:t>
      </w:r>
      <w:proofErr w:type="spellEnd"/>
      <w:r w:rsidRPr="001A3712">
        <w:rPr>
          <w:rFonts w:asciiTheme="majorBidi" w:hAnsiTheme="majorBidi" w:cstheme="majorBidi"/>
        </w:rPr>
        <w:t xml:space="preserve"> </w:t>
      </w:r>
      <w:proofErr w:type="spellStart"/>
      <w:r w:rsidRPr="001A3712">
        <w:rPr>
          <w:rFonts w:asciiTheme="majorBidi" w:hAnsiTheme="majorBidi" w:cstheme="majorBidi"/>
        </w:rPr>
        <w:t>franču</w:t>
      </w:r>
      <w:proofErr w:type="spellEnd"/>
      <w:r w:rsidRPr="001A3712">
        <w:rPr>
          <w:rFonts w:asciiTheme="majorBidi" w:hAnsiTheme="majorBidi" w:cstheme="majorBidi"/>
        </w:rPr>
        <w:t xml:space="preserve"> </w:t>
      </w:r>
      <w:proofErr w:type="spellStart"/>
      <w:proofErr w:type="gramStart"/>
      <w:r w:rsidRPr="001A3712">
        <w:rPr>
          <w:rFonts w:asciiTheme="majorBidi" w:hAnsiTheme="majorBidi" w:cstheme="majorBidi"/>
        </w:rPr>
        <w:t>valodā</w:t>
      </w:r>
      <w:proofErr w:type="spellEnd"/>
      <w:r w:rsidRPr="001A3712">
        <w:rPr>
          <w:rFonts w:asciiTheme="majorBidi" w:hAnsiTheme="majorBidi" w:cstheme="majorBidi"/>
        </w:rPr>
        <w:t>:</w:t>
      </w:r>
      <w:proofErr w:type="gramEnd"/>
      <w:r w:rsidRPr="001A3712">
        <w:rPr>
          <w:rFonts w:asciiTheme="majorBidi" w:hAnsiTheme="majorBidi" w:cstheme="majorBidi"/>
        </w:rPr>
        <w:t xml:space="preserve"> </w:t>
      </w:r>
      <w:r w:rsidRPr="001A3712">
        <w:rPr>
          <w:rFonts w:asciiTheme="majorBidi" w:hAnsiTheme="majorBidi" w:cstheme="majorBidi"/>
          <w:i/>
          <w:iCs/>
        </w:rPr>
        <w:t>„Apostille (Conventi</w:t>
      </w:r>
      <w:r>
        <w:rPr>
          <w:rFonts w:asciiTheme="majorBidi" w:hAnsiTheme="majorBidi" w:cstheme="majorBidi"/>
          <w:i/>
          <w:iCs/>
        </w:rPr>
        <w:t>on de La Haye du 5 octobre 1961)</w:t>
      </w:r>
      <w:r w:rsidRPr="001A3712">
        <w:rPr>
          <w:rFonts w:asciiTheme="majorBidi" w:hAnsiTheme="majorBidi" w:cstheme="majorBidi"/>
          <w:i/>
          <w:iCs/>
        </w:rPr>
        <w:t>“</w:t>
      </w:r>
      <w:r>
        <w:rPr>
          <w:rFonts w:asciiTheme="majorBidi" w:hAnsiTheme="majorBidi" w:cstheme="majorBidi"/>
        </w:rPr>
        <w:t xml:space="preserve"> (skat. </w:t>
      </w:r>
      <w:proofErr w:type="spellStart"/>
      <w:r>
        <w:rPr>
          <w:rFonts w:asciiTheme="majorBidi" w:hAnsiTheme="majorBidi" w:cstheme="majorBidi"/>
        </w:rPr>
        <w:t>Konvencijas</w:t>
      </w:r>
      <w:proofErr w:type="spellEnd"/>
      <w:r>
        <w:rPr>
          <w:rFonts w:asciiTheme="majorBidi" w:hAnsiTheme="majorBidi" w:cstheme="majorBidi"/>
        </w:rPr>
        <w:t xml:space="preserve"> 4.p.</w:t>
      </w:r>
      <w:proofErr w:type="gramStart"/>
      <w:r w:rsidRPr="001A3712">
        <w:rPr>
          <w:rFonts w:asciiTheme="majorBidi" w:hAnsiTheme="majorBidi" w:cstheme="majorBidi"/>
        </w:rPr>
        <w:t>):</w:t>
      </w:r>
      <w:proofErr w:type="gramEnd"/>
    </w:p>
    <w:p w14:paraId="2826D202" w14:textId="77777777" w:rsidR="00114953" w:rsidRPr="001A3712" w:rsidRDefault="00114953" w:rsidP="00114953">
      <w:pPr>
        <w:ind w:firstLine="708"/>
        <w:jc w:val="both"/>
        <w:rPr>
          <w:rFonts w:asciiTheme="majorBidi" w:hAnsiTheme="majorBidi" w:cstheme="majorBidi"/>
        </w:rPr>
      </w:pPr>
    </w:p>
    <w:tbl>
      <w:tblPr>
        <w:tblStyle w:val="TableGrid"/>
        <w:tblW w:w="0" w:type="auto"/>
        <w:tblLook w:val="04A0" w:firstRow="1" w:lastRow="0" w:firstColumn="1" w:lastColumn="0" w:noHBand="0" w:noVBand="1"/>
      </w:tblPr>
      <w:tblGrid>
        <w:gridCol w:w="9212"/>
      </w:tblGrid>
      <w:tr w:rsidR="00114953" w:rsidRPr="001A3712" w14:paraId="0636212F" w14:textId="77777777" w:rsidTr="00BF3A72">
        <w:tc>
          <w:tcPr>
            <w:tcW w:w="9212" w:type="dxa"/>
            <w:shd w:val="clear" w:color="auto" w:fill="CCC0D9" w:themeFill="accent4" w:themeFillTint="66"/>
          </w:tcPr>
          <w:p w14:paraId="74536494" w14:textId="77777777" w:rsidR="00114953" w:rsidRPr="001A3712" w:rsidRDefault="00114953" w:rsidP="00BF3A72">
            <w:pPr>
              <w:jc w:val="center"/>
              <w:rPr>
                <w:rFonts w:asciiTheme="majorBidi" w:hAnsiTheme="majorBidi" w:cstheme="majorBidi"/>
                <w:b/>
                <w:bCs/>
                <w:szCs w:val="24"/>
              </w:rPr>
            </w:pPr>
            <w:r w:rsidRPr="001A3712">
              <w:rPr>
                <w:rFonts w:asciiTheme="majorBidi" w:hAnsiTheme="majorBidi" w:cstheme="majorBidi"/>
                <w:b/>
                <w:bCs/>
                <w:szCs w:val="24"/>
              </w:rPr>
              <w:t>Apostille</w:t>
            </w:r>
          </w:p>
          <w:p w14:paraId="3E46680B" w14:textId="77777777" w:rsidR="00114953" w:rsidRPr="001A3712" w:rsidRDefault="00114953" w:rsidP="00BF3A72">
            <w:pPr>
              <w:jc w:val="center"/>
              <w:rPr>
                <w:rFonts w:asciiTheme="majorBidi" w:hAnsiTheme="majorBidi" w:cstheme="majorBidi"/>
                <w:szCs w:val="24"/>
              </w:rPr>
            </w:pPr>
            <w:r w:rsidRPr="001A3712">
              <w:rPr>
                <w:rFonts w:asciiTheme="majorBidi" w:hAnsiTheme="majorBidi" w:cstheme="majorBidi"/>
                <w:szCs w:val="24"/>
              </w:rPr>
              <w:t xml:space="preserve">(Convention de La Haye du 5 </w:t>
            </w:r>
            <w:proofErr w:type="spellStart"/>
            <w:r w:rsidRPr="001A3712">
              <w:rPr>
                <w:rFonts w:asciiTheme="majorBidi" w:hAnsiTheme="majorBidi" w:cstheme="majorBidi"/>
                <w:szCs w:val="24"/>
              </w:rPr>
              <w:t>octobre</w:t>
            </w:r>
            <w:proofErr w:type="spellEnd"/>
            <w:r w:rsidRPr="001A3712">
              <w:rPr>
                <w:rFonts w:asciiTheme="majorBidi" w:hAnsiTheme="majorBidi" w:cstheme="majorBidi"/>
                <w:szCs w:val="24"/>
              </w:rPr>
              <w:t xml:space="preserve"> 1961)</w:t>
            </w:r>
          </w:p>
          <w:p w14:paraId="2E124597" w14:textId="77777777" w:rsidR="00114953" w:rsidRPr="001A3712" w:rsidRDefault="00114953" w:rsidP="00BF3A72">
            <w:pPr>
              <w:jc w:val="center"/>
              <w:rPr>
                <w:rFonts w:asciiTheme="majorBidi" w:hAnsiTheme="majorBidi" w:cstheme="majorBidi"/>
                <w:szCs w:val="24"/>
              </w:rPr>
            </w:pPr>
          </w:p>
          <w:p w14:paraId="0E04724C" w14:textId="77777777" w:rsidR="00114953" w:rsidRPr="001A3712" w:rsidRDefault="00114953" w:rsidP="00BF3A72">
            <w:pPr>
              <w:rPr>
                <w:rFonts w:asciiTheme="majorBidi" w:hAnsiTheme="majorBidi" w:cstheme="majorBidi"/>
                <w:szCs w:val="24"/>
              </w:rPr>
            </w:pPr>
            <w:r w:rsidRPr="001A3712">
              <w:rPr>
                <w:rFonts w:asciiTheme="majorBidi" w:hAnsiTheme="majorBidi" w:cstheme="majorBidi"/>
                <w:szCs w:val="24"/>
              </w:rPr>
              <w:t>1.Valsts ______________________________________________</w:t>
            </w:r>
          </w:p>
          <w:p w14:paraId="5BA1892D" w14:textId="77777777" w:rsidR="00114953" w:rsidRPr="001A3712" w:rsidRDefault="00114953" w:rsidP="00BF3A72">
            <w:pPr>
              <w:rPr>
                <w:rFonts w:asciiTheme="majorBidi" w:hAnsiTheme="majorBidi" w:cstheme="majorBidi"/>
                <w:b/>
                <w:bCs/>
                <w:szCs w:val="24"/>
              </w:rPr>
            </w:pPr>
            <w:proofErr w:type="spellStart"/>
            <w:r w:rsidRPr="001A3712">
              <w:rPr>
                <w:rFonts w:asciiTheme="majorBidi" w:hAnsiTheme="majorBidi" w:cstheme="majorBidi"/>
                <w:b/>
                <w:bCs/>
                <w:szCs w:val="24"/>
              </w:rPr>
              <w:t>Šis</w:t>
            </w:r>
            <w:proofErr w:type="spellEnd"/>
            <w:r w:rsidRPr="001A3712">
              <w:rPr>
                <w:rFonts w:asciiTheme="majorBidi" w:hAnsiTheme="majorBidi" w:cstheme="majorBidi"/>
                <w:b/>
                <w:bCs/>
                <w:szCs w:val="24"/>
              </w:rPr>
              <w:t xml:space="preserve"> </w:t>
            </w:r>
            <w:proofErr w:type="spellStart"/>
            <w:r w:rsidRPr="001A3712">
              <w:rPr>
                <w:rFonts w:asciiTheme="majorBidi" w:hAnsiTheme="majorBidi" w:cstheme="majorBidi"/>
                <w:b/>
                <w:bCs/>
                <w:szCs w:val="24"/>
              </w:rPr>
              <w:t>publiskais</w:t>
            </w:r>
            <w:proofErr w:type="spellEnd"/>
            <w:r w:rsidRPr="001A3712">
              <w:rPr>
                <w:rFonts w:asciiTheme="majorBidi" w:hAnsiTheme="majorBidi" w:cstheme="majorBidi"/>
                <w:b/>
                <w:bCs/>
                <w:szCs w:val="24"/>
              </w:rPr>
              <w:t xml:space="preserve"> </w:t>
            </w:r>
            <w:proofErr w:type="spellStart"/>
            <w:r w:rsidRPr="001A3712">
              <w:rPr>
                <w:rFonts w:asciiTheme="majorBidi" w:hAnsiTheme="majorBidi" w:cstheme="majorBidi"/>
                <w:b/>
                <w:bCs/>
                <w:szCs w:val="24"/>
              </w:rPr>
              <w:t>dokuments</w:t>
            </w:r>
            <w:proofErr w:type="spellEnd"/>
          </w:p>
          <w:p w14:paraId="5F186CB2" w14:textId="77777777" w:rsidR="00114953" w:rsidRPr="001A3712" w:rsidRDefault="00114953" w:rsidP="00BF3A72">
            <w:pPr>
              <w:rPr>
                <w:rFonts w:asciiTheme="majorBidi" w:hAnsiTheme="majorBidi" w:cstheme="majorBidi"/>
                <w:szCs w:val="24"/>
              </w:rPr>
            </w:pPr>
            <w:r w:rsidRPr="001A3712">
              <w:rPr>
                <w:rFonts w:asciiTheme="majorBidi" w:hAnsiTheme="majorBidi" w:cstheme="majorBidi"/>
                <w:szCs w:val="24"/>
              </w:rPr>
              <w:t xml:space="preserve">2. </w:t>
            </w:r>
            <w:proofErr w:type="spellStart"/>
            <w:r w:rsidRPr="001A3712">
              <w:rPr>
                <w:rFonts w:asciiTheme="majorBidi" w:hAnsiTheme="majorBidi" w:cstheme="majorBidi"/>
                <w:szCs w:val="24"/>
              </w:rPr>
              <w:t>ko</w:t>
            </w:r>
            <w:proofErr w:type="spellEnd"/>
            <w:r w:rsidRPr="001A3712">
              <w:rPr>
                <w:rFonts w:asciiTheme="majorBidi" w:hAnsiTheme="majorBidi" w:cstheme="majorBidi"/>
                <w:szCs w:val="24"/>
              </w:rPr>
              <w:t xml:space="preserve"> </w:t>
            </w:r>
            <w:proofErr w:type="spellStart"/>
            <w:r w:rsidRPr="001A3712">
              <w:rPr>
                <w:rFonts w:asciiTheme="majorBidi" w:hAnsiTheme="majorBidi" w:cstheme="majorBidi"/>
                <w:szCs w:val="24"/>
              </w:rPr>
              <w:t>parakstījis</w:t>
            </w:r>
            <w:proofErr w:type="spellEnd"/>
            <w:r w:rsidRPr="001A3712">
              <w:rPr>
                <w:rFonts w:asciiTheme="majorBidi" w:hAnsiTheme="majorBidi" w:cstheme="majorBidi"/>
                <w:szCs w:val="24"/>
              </w:rPr>
              <w:t xml:space="preserve"> ________________________________________</w:t>
            </w:r>
          </w:p>
          <w:p w14:paraId="470ED157" w14:textId="77777777" w:rsidR="00114953" w:rsidRPr="001A3712" w:rsidRDefault="00114953" w:rsidP="00BF3A72">
            <w:pPr>
              <w:rPr>
                <w:rFonts w:asciiTheme="majorBidi" w:hAnsiTheme="majorBidi" w:cstheme="majorBidi"/>
                <w:szCs w:val="24"/>
              </w:rPr>
            </w:pPr>
            <w:r w:rsidRPr="001A3712">
              <w:rPr>
                <w:rFonts w:asciiTheme="majorBidi" w:hAnsiTheme="majorBidi" w:cstheme="majorBidi"/>
                <w:szCs w:val="24"/>
              </w:rPr>
              <w:t xml:space="preserve">3. </w:t>
            </w:r>
            <w:proofErr w:type="spellStart"/>
            <w:r w:rsidRPr="001A3712">
              <w:rPr>
                <w:rFonts w:asciiTheme="majorBidi" w:hAnsiTheme="majorBidi" w:cstheme="majorBidi"/>
                <w:szCs w:val="24"/>
              </w:rPr>
              <w:t>darbojoties</w:t>
            </w:r>
            <w:proofErr w:type="spellEnd"/>
            <w:r w:rsidRPr="001A3712">
              <w:rPr>
                <w:rFonts w:asciiTheme="majorBidi" w:hAnsiTheme="majorBidi" w:cstheme="majorBidi"/>
                <w:szCs w:val="24"/>
              </w:rPr>
              <w:t xml:space="preserve"> </w:t>
            </w:r>
            <w:proofErr w:type="spellStart"/>
            <w:r w:rsidRPr="001A3712">
              <w:rPr>
                <w:rFonts w:asciiTheme="majorBidi" w:hAnsiTheme="majorBidi" w:cstheme="majorBidi"/>
                <w:szCs w:val="24"/>
              </w:rPr>
              <w:t>kā</w:t>
            </w:r>
            <w:proofErr w:type="spellEnd"/>
            <w:r w:rsidRPr="001A3712">
              <w:rPr>
                <w:rFonts w:asciiTheme="majorBidi" w:hAnsiTheme="majorBidi" w:cstheme="majorBidi"/>
                <w:szCs w:val="24"/>
              </w:rPr>
              <w:t xml:space="preserve"> ________________________________________</w:t>
            </w:r>
          </w:p>
          <w:p w14:paraId="1E81C6EE" w14:textId="77777777" w:rsidR="00114953" w:rsidRPr="001A3712" w:rsidRDefault="00114953" w:rsidP="00BF3A72">
            <w:pPr>
              <w:rPr>
                <w:rFonts w:asciiTheme="majorBidi" w:hAnsiTheme="majorBidi" w:cstheme="majorBidi"/>
                <w:szCs w:val="24"/>
              </w:rPr>
            </w:pPr>
            <w:r w:rsidRPr="001A3712">
              <w:rPr>
                <w:rFonts w:asciiTheme="majorBidi" w:hAnsiTheme="majorBidi" w:cstheme="majorBidi"/>
                <w:szCs w:val="24"/>
              </w:rPr>
              <w:t xml:space="preserve">4. </w:t>
            </w:r>
            <w:proofErr w:type="spellStart"/>
            <w:r w:rsidRPr="001A3712">
              <w:rPr>
                <w:rFonts w:asciiTheme="majorBidi" w:hAnsiTheme="majorBidi" w:cstheme="majorBidi"/>
                <w:szCs w:val="24"/>
              </w:rPr>
              <w:t>ar</w:t>
            </w:r>
            <w:proofErr w:type="spellEnd"/>
            <w:r w:rsidRPr="001A3712">
              <w:rPr>
                <w:rFonts w:asciiTheme="majorBidi" w:hAnsiTheme="majorBidi" w:cstheme="majorBidi"/>
                <w:szCs w:val="24"/>
              </w:rPr>
              <w:t xml:space="preserve"> </w:t>
            </w:r>
            <w:proofErr w:type="spellStart"/>
            <w:r w:rsidRPr="001A3712">
              <w:rPr>
                <w:rFonts w:asciiTheme="majorBidi" w:hAnsiTheme="majorBidi" w:cstheme="majorBidi"/>
                <w:szCs w:val="24"/>
              </w:rPr>
              <w:t>zīmogu</w:t>
            </w:r>
            <w:proofErr w:type="spellEnd"/>
            <w:r w:rsidRPr="001A3712">
              <w:rPr>
                <w:rFonts w:asciiTheme="majorBidi" w:hAnsiTheme="majorBidi" w:cstheme="majorBidi"/>
                <w:szCs w:val="24"/>
              </w:rPr>
              <w:t>/</w:t>
            </w:r>
            <w:proofErr w:type="spellStart"/>
            <w:r w:rsidRPr="001A3712">
              <w:rPr>
                <w:rFonts w:asciiTheme="majorBidi" w:hAnsiTheme="majorBidi" w:cstheme="majorBidi"/>
                <w:szCs w:val="24"/>
              </w:rPr>
              <w:t>spiedogu</w:t>
            </w:r>
            <w:proofErr w:type="spellEnd"/>
            <w:r w:rsidRPr="001A3712">
              <w:rPr>
                <w:rFonts w:asciiTheme="majorBidi" w:hAnsiTheme="majorBidi" w:cstheme="majorBidi"/>
                <w:szCs w:val="24"/>
              </w:rPr>
              <w:t xml:space="preserve"> ___________________________________</w:t>
            </w:r>
          </w:p>
          <w:p w14:paraId="73B96782" w14:textId="77777777" w:rsidR="00114953" w:rsidRPr="001A3712" w:rsidRDefault="00114953" w:rsidP="00BF3A72">
            <w:pPr>
              <w:rPr>
                <w:rFonts w:asciiTheme="majorBidi" w:hAnsiTheme="majorBidi" w:cstheme="majorBidi"/>
                <w:szCs w:val="24"/>
              </w:rPr>
            </w:pPr>
          </w:p>
          <w:p w14:paraId="2AC4D845" w14:textId="77777777" w:rsidR="00114953" w:rsidRPr="001A3712" w:rsidRDefault="00114953" w:rsidP="00BF3A72">
            <w:pPr>
              <w:rPr>
                <w:rFonts w:asciiTheme="majorBidi" w:hAnsiTheme="majorBidi" w:cstheme="majorBidi"/>
                <w:szCs w:val="24"/>
              </w:rPr>
            </w:pPr>
          </w:p>
          <w:p w14:paraId="5CA99439" w14:textId="77777777" w:rsidR="00114953" w:rsidRPr="001A3712" w:rsidRDefault="00114953" w:rsidP="00BF3A72">
            <w:pPr>
              <w:jc w:val="center"/>
              <w:rPr>
                <w:rFonts w:asciiTheme="majorBidi" w:hAnsiTheme="majorBidi" w:cstheme="majorBidi"/>
                <w:b/>
                <w:bCs/>
                <w:szCs w:val="24"/>
              </w:rPr>
            </w:pPr>
            <w:proofErr w:type="spellStart"/>
            <w:r w:rsidRPr="001A3712">
              <w:rPr>
                <w:rFonts w:asciiTheme="majorBidi" w:hAnsiTheme="majorBidi" w:cstheme="majorBidi"/>
                <w:b/>
                <w:bCs/>
                <w:szCs w:val="24"/>
              </w:rPr>
              <w:t>Apliecināts</w:t>
            </w:r>
            <w:proofErr w:type="spellEnd"/>
          </w:p>
          <w:p w14:paraId="70A841A5" w14:textId="77777777" w:rsidR="00114953" w:rsidRPr="001A3712" w:rsidRDefault="00114953" w:rsidP="00BF3A72">
            <w:pPr>
              <w:jc w:val="center"/>
              <w:rPr>
                <w:rFonts w:asciiTheme="majorBidi" w:hAnsiTheme="majorBidi" w:cstheme="majorBidi"/>
                <w:szCs w:val="24"/>
              </w:rPr>
            </w:pPr>
          </w:p>
          <w:p w14:paraId="01EB4936" w14:textId="77777777" w:rsidR="00114953" w:rsidRPr="001A3712" w:rsidRDefault="00114953" w:rsidP="00BF3A72">
            <w:pPr>
              <w:rPr>
                <w:rFonts w:asciiTheme="majorBidi" w:hAnsiTheme="majorBidi" w:cstheme="majorBidi"/>
                <w:szCs w:val="24"/>
              </w:rPr>
            </w:pPr>
            <w:r w:rsidRPr="001A3712">
              <w:rPr>
                <w:rFonts w:asciiTheme="majorBidi" w:hAnsiTheme="majorBidi" w:cstheme="majorBidi"/>
                <w:szCs w:val="24"/>
              </w:rPr>
              <w:t xml:space="preserve">5. kur ________________                6. </w:t>
            </w:r>
            <w:proofErr w:type="spellStart"/>
            <w:r w:rsidRPr="001A3712">
              <w:rPr>
                <w:rFonts w:asciiTheme="majorBidi" w:hAnsiTheme="majorBidi" w:cstheme="majorBidi"/>
                <w:szCs w:val="24"/>
              </w:rPr>
              <w:t>datums</w:t>
            </w:r>
            <w:proofErr w:type="spellEnd"/>
            <w:r w:rsidRPr="001A3712">
              <w:rPr>
                <w:rFonts w:asciiTheme="majorBidi" w:hAnsiTheme="majorBidi" w:cstheme="majorBidi"/>
                <w:szCs w:val="24"/>
              </w:rPr>
              <w:t xml:space="preserve"> ________________</w:t>
            </w:r>
          </w:p>
          <w:p w14:paraId="3A64503E" w14:textId="77777777" w:rsidR="00114953" w:rsidRPr="001A3712" w:rsidRDefault="00114953" w:rsidP="00BF3A72">
            <w:pPr>
              <w:rPr>
                <w:rFonts w:asciiTheme="majorBidi" w:hAnsiTheme="majorBidi" w:cstheme="majorBidi"/>
                <w:szCs w:val="24"/>
              </w:rPr>
            </w:pPr>
            <w:r w:rsidRPr="001A3712">
              <w:rPr>
                <w:rFonts w:asciiTheme="majorBidi" w:hAnsiTheme="majorBidi" w:cstheme="majorBidi"/>
                <w:szCs w:val="24"/>
              </w:rPr>
              <w:t xml:space="preserve">7. </w:t>
            </w:r>
            <w:proofErr w:type="spellStart"/>
            <w:r w:rsidRPr="001A3712">
              <w:rPr>
                <w:rFonts w:asciiTheme="majorBidi" w:hAnsiTheme="majorBidi" w:cstheme="majorBidi"/>
                <w:szCs w:val="24"/>
              </w:rPr>
              <w:t>kas</w:t>
            </w:r>
            <w:proofErr w:type="spellEnd"/>
            <w:r w:rsidRPr="001A3712">
              <w:rPr>
                <w:rFonts w:asciiTheme="majorBidi" w:hAnsiTheme="majorBidi" w:cstheme="majorBidi"/>
                <w:szCs w:val="24"/>
              </w:rPr>
              <w:t xml:space="preserve"> </w:t>
            </w:r>
            <w:proofErr w:type="spellStart"/>
            <w:r w:rsidRPr="001A3712">
              <w:rPr>
                <w:rFonts w:asciiTheme="majorBidi" w:hAnsiTheme="majorBidi" w:cstheme="majorBidi"/>
                <w:szCs w:val="24"/>
              </w:rPr>
              <w:t>apliecinājis</w:t>
            </w:r>
            <w:proofErr w:type="spellEnd"/>
            <w:r w:rsidRPr="001A3712">
              <w:rPr>
                <w:rFonts w:asciiTheme="majorBidi" w:hAnsiTheme="majorBidi" w:cstheme="majorBidi"/>
                <w:szCs w:val="24"/>
              </w:rPr>
              <w:t xml:space="preserve"> _______________________________________</w:t>
            </w:r>
          </w:p>
          <w:p w14:paraId="35673A23" w14:textId="77777777" w:rsidR="00114953" w:rsidRPr="001A3712" w:rsidRDefault="00114953" w:rsidP="00BF3A72">
            <w:pPr>
              <w:rPr>
                <w:rFonts w:asciiTheme="majorBidi" w:hAnsiTheme="majorBidi" w:cstheme="majorBidi"/>
                <w:szCs w:val="24"/>
              </w:rPr>
            </w:pPr>
            <w:r w:rsidRPr="001A3712">
              <w:rPr>
                <w:rFonts w:asciiTheme="majorBidi" w:hAnsiTheme="majorBidi" w:cstheme="majorBidi"/>
                <w:szCs w:val="24"/>
              </w:rPr>
              <w:t>8. NR. _____________</w:t>
            </w:r>
          </w:p>
          <w:p w14:paraId="542E1280" w14:textId="77777777" w:rsidR="00114953" w:rsidRPr="001A3712" w:rsidRDefault="00114953" w:rsidP="00BF3A72">
            <w:pPr>
              <w:rPr>
                <w:rFonts w:asciiTheme="majorBidi" w:hAnsiTheme="majorBidi" w:cstheme="majorBidi"/>
                <w:szCs w:val="24"/>
              </w:rPr>
            </w:pPr>
            <w:r w:rsidRPr="001A3712">
              <w:rPr>
                <w:rFonts w:asciiTheme="majorBidi" w:hAnsiTheme="majorBidi" w:cstheme="majorBidi"/>
                <w:szCs w:val="24"/>
              </w:rPr>
              <w:t xml:space="preserve">9. </w:t>
            </w:r>
            <w:proofErr w:type="spellStart"/>
            <w:r w:rsidRPr="001A3712">
              <w:rPr>
                <w:rFonts w:asciiTheme="majorBidi" w:hAnsiTheme="majorBidi" w:cstheme="majorBidi"/>
                <w:szCs w:val="24"/>
              </w:rPr>
              <w:t>zīmogs</w:t>
            </w:r>
            <w:proofErr w:type="spellEnd"/>
            <w:r w:rsidRPr="001A3712">
              <w:rPr>
                <w:rFonts w:asciiTheme="majorBidi" w:hAnsiTheme="majorBidi" w:cstheme="majorBidi"/>
                <w:szCs w:val="24"/>
              </w:rPr>
              <w:t>/</w:t>
            </w:r>
            <w:proofErr w:type="spellStart"/>
            <w:r w:rsidRPr="001A3712">
              <w:rPr>
                <w:rFonts w:asciiTheme="majorBidi" w:hAnsiTheme="majorBidi" w:cstheme="majorBidi"/>
                <w:szCs w:val="24"/>
              </w:rPr>
              <w:t>spiedogs</w:t>
            </w:r>
            <w:proofErr w:type="spellEnd"/>
            <w:r w:rsidRPr="001A3712">
              <w:rPr>
                <w:rFonts w:asciiTheme="majorBidi" w:hAnsiTheme="majorBidi" w:cstheme="majorBidi"/>
                <w:szCs w:val="24"/>
              </w:rPr>
              <w:t xml:space="preserve">                                           10. </w:t>
            </w:r>
            <w:proofErr w:type="spellStart"/>
            <w:r w:rsidRPr="001A3712">
              <w:rPr>
                <w:rFonts w:asciiTheme="majorBidi" w:hAnsiTheme="majorBidi" w:cstheme="majorBidi"/>
                <w:szCs w:val="24"/>
              </w:rPr>
              <w:t>Paraksts</w:t>
            </w:r>
            <w:proofErr w:type="spellEnd"/>
          </w:p>
          <w:p w14:paraId="0688A4C6" w14:textId="77777777" w:rsidR="00114953" w:rsidRPr="001A3712" w:rsidRDefault="00114953" w:rsidP="00BF3A72">
            <w:pPr>
              <w:rPr>
                <w:rFonts w:asciiTheme="majorBidi" w:hAnsiTheme="majorBidi" w:cstheme="majorBidi"/>
                <w:szCs w:val="24"/>
              </w:rPr>
            </w:pPr>
          </w:p>
          <w:p w14:paraId="43260577" w14:textId="77777777" w:rsidR="00114953" w:rsidRPr="001A3712" w:rsidRDefault="00114953" w:rsidP="00BF3A72">
            <w:pPr>
              <w:rPr>
                <w:rFonts w:asciiTheme="majorBidi" w:hAnsiTheme="majorBidi" w:cstheme="majorBidi"/>
                <w:szCs w:val="24"/>
              </w:rPr>
            </w:pPr>
            <w:r w:rsidRPr="001A3712">
              <w:rPr>
                <w:rFonts w:asciiTheme="majorBidi" w:hAnsiTheme="majorBidi" w:cstheme="majorBidi"/>
                <w:szCs w:val="24"/>
              </w:rPr>
              <w:t>________________                                           ____________________</w:t>
            </w:r>
          </w:p>
          <w:p w14:paraId="24AC6F4A" w14:textId="77777777" w:rsidR="00114953" w:rsidRPr="001A3712" w:rsidRDefault="00114953" w:rsidP="00BF3A72">
            <w:pPr>
              <w:rPr>
                <w:rFonts w:asciiTheme="majorBidi" w:hAnsiTheme="majorBidi" w:cstheme="majorBidi"/>
                <w:szCs w:val="24"/>
              </w:rPr>
            </w:pPr>
          </w:p>
        </w:tc>
      </w:tr>
    </w:tbl>
    <w:p w14:paraId="65A3BD7F" w14:textId="77777777" w:rsidR="00114953" w:rsidRPr="001A3712" w:rsidRDefault="00114953" w:rsidP="00114953">
      <w:pPr>
        <w:jc w:val="both"/>
        <w:rPr>
          <w:rFonts w:asciiTheme="majorBidi" w:hAnsiTheme="majorBidi" w:cstheme="majorBidi"/>
        </w:rPr>
      </w:pPr>
    </w:p>
    <w:p w14:paraId="55A99E88" w14:textId="77777777" w:rsidR="00114953" w:rsidRPr="001A3712" w:rsidRDefault="00114953" w:rsidP="00114953">
      <w:pPr>
        <w:jc w:val="both"/>
        <w:rPr>
          <w:rFonts w:asciiTheme="majorBidi" w:hAnsiTheme="majorBidi" w:cstheme="majorBidi"/>
        </w:rPr>
      </w:pPr>
    </w:p>
    <w:p w14:paraId="6733A8BC" w14:textId="08AFD1F8" w:rsidR="00114953" w:rsidRDefault="00114953" w:rsidP="00114953">
      <w:pPr>
        <w:ind w:firstLine="708"/>
        <w:jc w:val="both"/>
        <w:rPr>
          <w:rFonts w:asciiTheme="majorBidi" w:hAnsiTheme="majorBidi" w:cstheme="majorBidi"/>
        </w:rPr>
      </w:pPr>
      <w:proofErr w:type="spellStart"/>
      <w:r>
        <w:rPr>
          <w:rFonts w:asciiTheme="majorBidi" w:hAnsiTheme="majorBidi" w:cstheme="majorBidi"/>
        </w:rPr>
        <w:t>Hāgas</w:t>
      </w:r>
      <w:proofErr w:type="spellEnd"/>
      <w:r>
        <w:rPr>
          <w:rFonts w:asciiTheme="majorBidi" w:hAnsiTheme="majorBidi" w:cstheme="majorBidi"/>
        </w:rPr>
        <w:t xml:space="preserve"> </w:t>
      </w:r>
      <w:proofErr w:type="spellStart"/>
      <w:r>
        <w:rPr>
          <w:rFonts w:asciiTheme="majorBidi" w:hAnsiTheme="majorBidi" w:cstheme="majorBidi"/>
        </w:rPr>
        <w:t>D</w:t>
      </w:r>
      <w:r w:rsidRPr="001A3712">
        <w:rPr>
          <w:rFonts w:asciiTheme="majorBidi" w:hAnsiTheme="majorBidi" w:cstheme="majorBidi"/>
        </w:rPr>
        <w:t>okumentu</w:t>
      </w:r>
      <w:proofErr w:type="spellEnd"/>
      <w:r w:rsidRPr="001A3712">
        <w:rPr>
          <w:rFonts w:asciiTheme="majorBidi" w:hAnsiTheme="majorBidi" w:cstheme="majorBidi"/>
        </w:rPr>
        <w:t xml:space="preserve"> </w:t>
      </w:r>
      <w:proofErr w:type="spellStart"/>
      <w:r w:rsidRPr="001A3712">
        <w:rPr>
          <w:rFonts w:asciiTheme="majorBidi" w:hAnsiTheme="majorBidi" w:cstheme="majorBidi"/>
        </w:rPr>
        <w:t>legalizācijas</w:t>
      </w:r>
      <w:proofErr w:type="spellEnd"/>
      <w:r w:rsidRPr="001A3712">
        <w:rPr>
          <w:rFonts w:asciiTheme="majorBidi" w:hAnsiTheme="majorBidi" w:cstheme="majorBidi"/>
        </w:rPr>
        <w:t xml:space="preserve"> </w:t>
      </w:r>
      <w:proofErr w:type="spellStart"/>
      <w:r>
        <w:rPr>
          <w:rFonts w:asciiTheme="majorBidi" w:hAnsiTheme="majorBidi" w:cstheme="majorBidi"/>
        </w:rPr>
        <w:t>atcelšanas</w:t>
      </w:r>
      <w:proofErr w:type="spellEnd"/>
      <w:r>
        <w:rPr>
          <w:rFonts w:asciiTheme="majorBidi" w:hAnsiTheme="majorBidi" w:cstheme="majorBidi"/>
        </w:rPr>
        <w:t xml:space="preserve"> </w:t>
      </w:r>
      <w:proofErr w:type="spellStart"/>
      <w:r w:rsidRPr="001A3712">
        <w:rPr>
          <w:rFonts w:asciiTheme="majorBidi" w:hAnsiTheme="majorBidi" w:cstheme="majorBidi"/>
        </w:rPr>
        <w:t>konvenc</w:t>
      </w:r>
      <w:r>
        <w:rPr>
          <w:rFonts w:asciiTheme="majorBidi" w:hAnsiTheme="majorBidi" w:cstheme="majorBidi"/>
        </w:rPr>
        <w:t>ijai</w:t>
      </w:r>
      <w:proofErr w:type="spellEnd"/>
      <w:r>
        <w:rPr>
          <w:rFonts w:asciiTheme="majorBidi" w:hAnsiTheme="majorBidi" w:cstheme="majorBidi"/>
        </w:rPr>
        <w:t xml:space="preserve"> </w:t>
      </w:r>
      <w:proofErr w:type="spellStart"/>
      <w:r w:rsidRPr="00C91762">
        <w:rPr>
          <w:rFonts w:asciiTheme="majorBidi" w:hAnsiTheme="majorBidi" w:cstheme="majorBidi"/>
        </w:rPr>
        <w:t>šobrīd</w:t>
      </w:r>
      <w:proofErr w:type="spellEnd"/>
      <w:r w:rsidRPr="00C91762">
        <w:rPr>
          <w:rFonts w:asciiTheme="majorBidi" w:hAnsiTheme="majorBidi" w:cstheme="majorBidi"/>
        </w:rPr>
        <w:t xml:space="preserve"> (2017.g</w:t>
      </w:r>
      <w:r w:rsidR="004D22FA" w:rsidRPr="00C91762">
        <w:rPr>
          <w:rFonts w:asciiTheme="majorBidi" w:hAnsiTheme="majorBidi" w:cstheme="majorBidi"/>
        </w:rPr>
        <w:t xml:space="preserve">ada </w:t>
      </w:r>
      <w:proofErr w:type="spellStart"/>
      <w:r w:rsidR="004D22FA" w:rsidRPr="00C91762">
        <w:rPr>
          <w:rFonts w:asciiTheme="majorBidi" w:hAnsiTheme="majorBidi" w:cstheme="majorBidi"/>
        </w:rPr>
        <w:t>augustā</w:t>
      </w:r>
      <w:proofErr w:type="spellEnd"/>
      <w:r w:rsidR="004D22FA" w:rsidRPr="00C91762">
        <w:rPr>
          <w:rFonts w:asciiTheme="majorBidi" w:hAnsiTheme="majorBidi" w:cstheme="majorBidi"/>
        </w:rPr>
        <w:t xml:space="preserve">) </w:t>
      </w:r>
      <w:proofErr w:type="spellStart"/>
      <w:r w:rsidR="004D22FA" w:rsidRPr="00C91762">
        <w:rPr>
          <w:rFonts w:asciiTheme="majorBidi" w:hAnsiTheme="majorBidi" w:cstheme="majorBidi"/>
        </w:rPr>
        <w:t>ir</w:t>
      </w:r>
      <w:proofErr w:type="spellEnd"/>
      <w:r w:rsidR="004D22FA" w:rsidRPr="00C91762">
        <w:rPr>
          <w:rFonts w:asciiTheme="majorBidi" w:hAnsiTheme="majorBidi" w:cstheme="majorBidi"/>
        </w:rPr>
        <w:t xml:space="preserve"> </w:t>
      </w:r>
      <w:proofErr w:type="spellStart"/>
      <w:r w:rsidR="004D22FA" w:rsidRPr="00C91762">
        <w:rPr>
          <w:rFonts w:asciiTheme="majorBidi" w:hAnsiTheme="majorBidi" w:cstheme="majorBidi"/>
        </w:rPr>
        <w:t>pievienojušās</w:t>
      </w:r>
      <w:proofErr w:type="spellEnd"/>
      <w:r w:rsidR="004D22FA" w:rsidRPr="00C91762">
        <w:rPr>
          <w:rFonts w:asciiTheme="majorBidi" w:hAnsiTheme="majorBidi" w:cstheme="majorBidi"/>
        </w:rPr>
        <w:t xml:space="preserve"> 114</w:t>
      </w:r>
      <w:r w:rsidRPr="00C91762">
        <w:rPr>
          <w:rFonts w:asciiTheme="majorBidi" w:hAnsiTheme="majorBidi" w:cstheme="majorBidi"/>
        </w:rPr>
        <w:t xml:space="preserve"> </w:t>
      </w:r>
      <w:proofErr w:type="spellStart"/>
      <w:r w:rsidRPr="00C91762">
        <w:rPr>
          <w:rFonts w:asciiTheme="majorBidi" w:hAnsiTheme="majorBidi" w:cstheme="majorBidi"/>
        </w:rPr>
        <w:t>valstis</w:t>
      </w:r>
      <w:proofErr w:type="spellEnd"/>
      <w:r w:rsidRPr="00C91762">
        <w:rPr>
          <w:rFonts w:asciiTheme="majorBidi" w:hAnsiTheme="majorBidi" w:cstheme="majorBidi"/>
        </w:rPr>
        <w:t>:</w:t>
      </w:r>
      <w:r w:rsidRPr="00C91762">
        <w:rPr>
          <w:rStyle w:val="FootnoteReference"/>
          <w:rFonts w:asciiTheme="majorBidi" w:hAnsiTheme="majorBidi" w:cstheme="majorBidi"/>
        </w:rPr>
        <w:footnoteReference w:id="135"/>
      </w:r>
      <w:r w:rsidRPr="00C91762">
        <w:rPr>
          <w:rFonts w:asciiTheme="majorBidi" w:hAnsiTheme="majorBidi" w:cstheme="majorBidi"/>
        </w:rPr>
        <w:t xml:space="preserve"> </w:t>
      </w:r>
      <w:proofErr w:type="spellStart"/>
      <w:r w:rsidRPr="00C91762">
        <w:rPr>
          <w:rFonts w:asciiTheme="majorBidi" w:hAnsiTheme="majorBidi" w:cstheme="majorBidi"/>
        </w:rPr>
        <w:t>Albānija</w:t>
      </w:r>
      <w:proofErr w:type="spellEnd"/>
      <w:r w:rsidRPr="00C91762">
        <w:rPr>
          <w:rFonts w:asciiTheme="majorBidi" w:hAnsiTheme="majorBidi" w:cstheme="majorBidi"/>
        </w:rPr>
        <w:t xml:space="preserve">, </w:t>
      </w:r>
      <w:proofErr w:type="spellStart"/>
      <w:r w:rsidRPr="00C91762">
        <w:rPr>
          <w:rFonts w:asciiTheme="majorBidi" w:hAnsiTheme="majorBidi" w:cstheme="majorBidi"/>
        </w:rPr>
        <w:t>Andora</w:t>
      </w:r>
      <w:proofErr w:type="spellEnd"/>
      <w:r w:rsidRPr="00C91762">
        <w:rPr>
          <w:rFonts w:asciiTheme="majorBidi" w:hAnsiTheme="majorBidi" w:cstheme="majorBidi"/>
        </w:rPr>
        <w:t xml:space="preserve">, </w:t>
      </w:r>
      <w:proofErr w:type="spellStart"/>
      <w:r w:rsidRPr="00C91762">
        <w:rPr>
          <w:rFonts w:asciiTheme="majorBidi" w:hAnsiTheme="majorBidi" w:cstheme="majorBidi"/>
        </w:rPr>
        <w:t>Antigva</w:t>
      </w:r>
      <w:proofErr w:type="spellEnd"/>
      <w:r w:rsidRPr="00C91762">
        <w:rPr>
          <w:rFonts w:asciiTheme="majorBidi" w:hAnsiTheme="majorBidi" w:cstheme="majorBidi"/>
        </w:rPr>
        <w:t xml:space="preserve"> un Barbuda, </w:t>
      </w:r>
      <w:proofErr w:type="spellStart"/>
      <w:r w:rsidRPr="00C91762">
        <w:rPr>
          <w:rFonts w:asciiTheme="majorBidi" w:hAnsiTheme="majorBidi" w:cstheme="majorBidi"/>
        </w:rPr>
        <w:t>Amerikas</w:t>
      </w:r>
      <w:proofErr w:type="spellEnd"/>
      <w:r w:rsidRPr="00CD4311">
        <w:rPr>
          <w:rFonts w:asciiTheme="majorBidi" w:hAnsiTheme="majorBidi" w:cstheme="majorBidi"/>
        </w:rPr>
        <w:t xml:space="preserve"> </w:t>
      </w:r>
      <w:proofErr w:type="spellStart"/>
      <w:r w:rsidRPr="00CD4311">
        <w:rPr>
          <w:rFonts w:asciiTheme="majorBidi" w:hAnsiTheme="majorBidi" w:cstheme="majorBidi"/>
        </w:rPr>
        <w:t>Savienotās</w:t>
      </w:r>
      <w:proofErr w:type="spellEnd"/>
      <w:r w:rsidRPr="00CD4311">
        <w:rPr>
          <w:rFonts w:asciiTheme="majorBidi" w:hAnsiTheme="majorBidi" w:cstheme="majorBidi"/>
        </w:rPr>
        <w:t xml:space="preserve"> </w:t>
      </w:r>
      <w:proofErr w:type="spellStart"/>
      <w:r w:rsidRPr="00CD4311">
        <w:rPr>
          <w:rFonts w:asciiTheme="majorBidi" w:hAnsiTheme="majorBidi" w:cstheme="majorBidi"/>
        </w:rPr>
        <w:t>Valstis</w:t>
      </w:r>
      <w:proofErr w:type="spellEnd"/>
      <w:r w:rsidRPr="00CD4311">
        <w:rPr>
          <w:rFonts w:asciiTheme="majorBidi" w:hAnsiTheme="majorBidi" w:cstheme="majorBidi"/>
        </w:rPr>
        <w:t xml:space="preserve">, </w:t>
      </w:r>
      <w:proofErr w:type="spellStart"/>
      <w:r w:rsidRPr="00CD4311">
        <w:rPr>
          <w:rFonts w:asciiTheme="majorBidi" w:hAnsiTheme="majorBidi" w:cstheme="majorBidi"/>
        </w:rPr>
        <w:t>Argentīna</w:t>
      </w:r>
      <w:proofErr w:type="spellEnd"/>
      <w:r w:rsidRPr="00CD4311">
        <w:rPr>
          <w:rFonts w:asciiTheme="majorBidi" w:hAnsiTheme="majorBidi" w:cstheme="majorBidi"/>
        </w:rPr>
        <w:t xml:space="preserve">, </w:t>
      </w:r>
      <w:proofErr w:type="spellStart"/>
      <w:r w:rsidRPr="00CD4311">
        <w:rPr>
          <w:rFonts w:asciiTheme="majorBidi" w:hAnsiTheme="majorBidi" w:cstheme="majorBidi"/>
        </w:rPr>
        <w:t>Armēnija</w:t>
      </w:r>
      <w:proofErr w:type="spellEnd"/>
      <w:r w:rsidRPr="00CD4311">
        <w:rPr>
          <w:rFonts w:asciiTheme="majorBidi" w:hAnsiTheme="majorBidi" w:cstheme="majorBidi"/>
        </w:rPr>
        <w:t xml:space="preserve">, </w:t>
      </w:r>
      <w:proofErr w:type="spellStart"/>
      <w:r w:rsidRPr="00CD4311">
        <w:rPr>
          <w:rFonts w:asciiTheme="majorBidi" w:hAnsiTheme="majorBidi" w:cstheme="majorBidi"/>
        </w:rPr>
        <w:t>Austrālija</w:t>
      </w:r>
      <w:proofErr w:type="spellEnd"/>
      <w:r w:rsidRPr="00CD4311">
        <w:rPr>
          <w:rFonts w:asciiTheme="majorBidi" w:hAnsiTheme="majorBidi" w:cstheme="majorBidi"/>
        </w:rPr>
        <w:t xml:space="preserve">, </w:t>
      </w:r>
      <w:proofErr w:type="spellStart"/>
      <w:r w:rsidRPr="00CD4311">
        <w:rPr>
          <w:rFonts w:asciiTheme="majorBidi" w:hAnsiTheme="majorBidi" w:cstheme="majorBidi"/>
        </w:rPr>
        <w:t>Austrija</w:t>
      </w:r>
      <w:proofErr w:type="spellEnd"/>
      <w:r w:rsidRPr="00CD4311">
        <w:rPr>
          <w:rFonts w:asciiTheme="majorBidi" w:hAnsiTheme="majorBidi" w:cstheme="majorBidi"/>
        </w:rPr>
        <w:t xml:space="preserve">, </w:t>
      </w:r>
      <w:proofErr w:type="spellStart"/>
      <w:r w:rsidRPr="00CD4311">
        <w:rPr>
          <w:rFonts w:asciiTheme="majorBidi" w:hAnsiTheme="majorBidi" w:cstheme="majorBidi"/>
        </w:rPr>
        <w:t>Azerbaidžāna</w:t>
      </w:r>
      <w:proofErr w:type="spellEnd"/>
      <w:r w:rsidRPr="00CD4311">
        <w:rPr>
          <w:rFonts w:asciiTheme="majorBidi" w:hAnsiTheme="majorBidi" w:cstheme="majorBidi"/>
        </w:rPr>
        <w:t xml:space="preserve">, </w:t>
      </w:r>
      <w:proofErr w:type="spellStart"/>
      <w:r w:rsidRPr="00CD4311">
        <w:rPr>
          <w:rFonts w:asciiTheme="majorBidi" w:hAnsiTheme="majorBidi" w:cstheme="majorBidi"/>
        </w:rPr>
        <w:t>Bahamu</w:t>
      </w:r>
      <w:proofErr w:type="spellEnd"/>
      <w:r w:rsidRPr="00CD4311">
        <w:rPr>
          <w:rFonts w:asciiTheme="majorBidi" w:hAnsiTheme="majorBidi" w:cstheme="majorBidi"/>
        </w:rPr>
        <w:t xml:space="preserve"> salas, </w:t>
      </w:r>
      <w:proofErr w:type="spellStart"/>
      <w:r w:rsidRPr="00CD4311">
        <w:rPr>
          <w:rFonts w:asciiTheme="majorBidi" w:hAnsiTheme="majorBidi" w:cstheme="majorBidi"/>
        </w:rPr>
        <w:t>Bahreinas</w:t>
      </w:r>
      <w:proofErr w:type="spellEnd"/>
      <w:r w:rsidRPr="00CD4311">
        <w:rPr>
          <w:rFonts w:asciiTheme="majorBidi" w:hAnsiTheme="majorBidi" w:cstheme="majorBidi"/>
        </w:rPr>
        <w:t xml:space="preserve"> </w:t>
      </w:r>
      <w:proofErr w:type="spellStart"/>
      <w:r w:rsidRPr="00CD4311">
        <w:rPr>
          <w:rFonts w:asciiTheme="majorBidi" w:hAnsiTheme="majorBidi" w:cstheme="majorBidi"/>
        </w:rPr>
        <w:t>Karaliste</w:t>
      </w:r>
      <w:proofErr w:type="spellEnd"/>
      <w:r w:rsidRPr="00CD4311">
        <w:rPr>
          <w:rFonts w:asciiTheme="majorBidi" w:hAnsiTheme="majorBidi" w:cstheme="majorBidi"/>
        </w:rPr>
        <w:t xml:space="preserve">, </w:t>
      </w:r>
      <w:proofErr w:type="spellStart"/>
      <w:r w:rsidRPr="00CD4311">
        <w:rPr>
          <w:rFonts w:asciiTheme="majorBidi" w:hAnsiTheme="majorBidi" w:cstheme="majorBidi"/>
        </w:rPr>
        <w:t>Baltkrievija</w:t>
      </w:r>
      <w:proofErr w:type="spellEnd"/>
      <w:r w:rsidRPr="00CD4311">
        <w:rPr>
          <w:rFonts w:asciiTheme="majorBidi" w:hAnsiTheme="majorBidi" w:cstheme="majorBidi"/>
        </w:rPr>
        <w:t xml:space="preserve">, </w:t>
      </w:r>
      <w:proofErr w:type="spellStart"/>
      <w:r w:rsidRPr="00CD4311">
        <w:rPr>
          <w:rFonts w:asciiTheme="majorBidi" w:hAnsiTheme="majorBidi" w:cstheme="majorBidi"/>
        </w:rPr>
        <w:t>Barbadosa</w:t>
      </w:r>
      <w:proofErr w:type="spellEnd"/>
      <w:r w:rsidRPr="00CD4311">
        <w:rPr>
          <w:rFonts w:asciiTheme="majorBidi" w:hAnsiTheme="majorBidi" w:cstheme="majorBidi"/>
        </w:rPr>
        <w:t xml:space="preserve">, </w:t>
      </w:r>
      <w:proofErr w:type="spellStart"/>
      <w:r w:rsidRPr="00CD4311">
        <w:rPr>
          <w:rFonts w:asciiTheme="majorBidi" w:hAnsiTheme="majorBidi" w:cstheme="majorBidi"/>
        </w:rPr>
        <w:t>Beliza</w:t>
      </w:r>
      <w:proofErr w:type="spellEnd"/>
      <w:r w:rsidRPr="00CD4311">
        <w:rPr>
          <w:rFonts w:asciiTheme="majorBidi" w:hAnsiTheme="majorBidi" w:cstheme="majorBidi"/>
        </w:rPr>
        <w:t xml:space="preserve">, </w:t>
      </w:r>
      <w:proofErr w:type="spellStart"/>
      <w:r w:rsidRPr="00CD4311">
        <w:rPr>
          <w:rFonts w:asciiTheme="majorBidi" w:hAnsiTheme="majorBidi" w:cstheme="majorBidi"/>
        </w:rPr>
        <w:t>Beļģija</w:t>
      </w:r>
      <w:proofErr w:type="spellEnd"/>
      <w:r w:rsidRPr="00CD4311">
        <w:rPr>
          <w:rFonts w:asciiTheme="majorBidi" w:hAnsiTheme="majorBidi" w:cstheme="majorBidi"/>
        </w:rPr>
        <w:t xml:space="preserve">, </w:t>
      </w:r>
      <w:proofErr w:type="spellStart"/>
      <w:r w:rsidRPr="00CD4311">
        <w:rPr>
          <w:rFonts w:asciiTheme="majorBidi" w:hAnsiTheme="majorBidi" w:cstheme="majorBidi"/>
        </w:rPr>
        <w:t>Bosnija</w:t>
      </w:r>
      <w:proofErr w:type="spellEnd"/>
      <w:r w:rsidRPr="00CD4311">
        <w:rPr>
          <w:rFonts w:asciiTheme="majorBidi" w:hAnsiTheme="majorBidi" w:cstheme="majorBidi"/>
        </w:rPr>
        <w:t xml:space="preserve"> un </w:t>
      </w:r>
      <w:proofErr w:type="spellStart"/>
      <w:r w:rsidRPr="00CD4311">
        <w:rPr>
          <w:rFonts w:asciiTheme="majorBidi" w:hAnsiTheme="majorBidi" w:cstheme="majorBidi"/>
        </w:rPr>
        <w:t>Hercegovina</w:t>
      </w:r>
      <w:proofErr w:type="spellEnd"/>
      <w:r w:rsidRPr="00CD4311">
        <w:rPr>
          <w:rFonts w:asciiTheme="majorBidi" w:hAnsiTheme="majorBidi" w:cstheme="majorBidi"/>
        </w:rPr>
        <w:t xml:space="preserve">, </w:t>
      </w:r>
      <w:proofErr w:type="spellStart"/>
      <w:r w:rsidRPr="00CD4311">
        <w:rPr>
          <w:rFonts w:asciiTheme="majorBidi" w:hAnsiTheme="majorBidi" w:cstheme="majorBidi"/>
        </w:rPr>
        <w:t>Botsvāna</w:t>
      </w:r>
      <w:proofErr w:type="spellEnd"/>
      <w:r w:rsidRPr="00CD4311">
        <w:rPr>
          <w:rFonts w:asciiTheme="majorBidi" w:hAnsiTheme="majorBidi" w:cstheme="majorBidi"/>
        </w:rPr>
        <w:t xml:space="preserve">, </w:t>
      </w:r>
      <w:proofErr w:type="spellStart"/>
      <w:r w:rsidRPr="00CD4311">
        <w:rPr>
          <w:rFonts w:asciiTheme="majorBidi" w:hAnsiTheme="majorBidi" w:cstheme="majorBidi"/>
        </w:rPr>
        <w:lastRenderedPageBreak/>
        <w:t>Brazīlija</w:t>
      </w:r>
      <w:proofErr w:type="spellEnd"/>
      <w:r w:rsidRPr="00CD4311">
        <w:rPr>
          <w:rFonts w:asciiTheme="majorBidi" w:hAnsiTheme="majorBidi" w:cstheme="majorBidi"/>
        </w:rPr>
        <w:t xml:space="preserve">, </w:t>
      </w:r>
      <w:proofErr w:type="spellStart"/>
      <w:r w:rsidRPr="00CD4311">
        <w:rPr>
          <w:rFonts w:asciiTheme="majorBidi" w:hAnsiTheme="majorBidi" w:cstheme="majorBidi"/>
        </w:rPr>
        <w:t>Bruneja</w:t>
      </w:r>
      <w:proofErr w:type="spellEnd"/>
      <w:r w:rsidRPr="00CD4311">
        <w:rPr>
          <w:rFonts w:asciiTheme="majorBidi" w:hAnsiTheme="majorBidi" w:cstheme="majorBidi"/>
        </w:rPr>
        <w:t xml:space="preserve">, </w:t>
      </w:r>
      <w:proofErr w:type="spellStart"/>
      <w:r w:rsidRPr="00CD4311">
        <w:rPr>
          <w:rFonts w:asciiTheme="majorBidi" w:hAnsiTheme="majorBidi" w:cstheme="majorBidi"/>
        </w:rPr>
        <w:t>Bulgārija</w:t>
      </w:r>
      <w:proofErr w:type="spellEnd"/>
      <w:r w:rsidRPr="00CD4311">
        <w:rPr>
          <w:rFonts w:asciiTheme="majorBidi" w:hAnsiTheme="majorBidi" w:cstheme="majorBidi"/>
        </w:rPr>
        <w:t xml:space="preserve">, Burundi, </w:t>
      </w:r>
      <w:proofErr w:type="spellStart"/>
      <w:r w:rsidRPr="00CD4311">
        <w:rPr>
          <w:rFonts w:asciiTheme="majorBidi" w:hAnsiTheme="majorBidi" w:cstheme="majorBidi"/>
        </w:rPr>
        <w:t>Čehijas</w:t>
      </w:r>
      <w:proofErr w:type="spellEnd"/>
      <w:r w:rsidRPr="00CD4311">
        <w:rPr>
          <w:rFonts w:asciiTheme="majorBidi" w:hAnsiTheme="majorBidi" w:cstheme="majorBidi"/>
        </w:rPr>
        <w:t xml:space="preserve"> Republika, </w:t>
      </w:r>
      <w:proofErr w:type="spellStart"/>
      <w:r w:rsidRPr="00CD4311">
        <w:rPr>
          <w:rFonts w:asciiTheme="majorBidi" w:hAnsiTheme="majorBidi" w:cstheme="majorBidi"/>
        </w:rPr>
        <w:t>Čīle</w:t>
      </w:r>
      <w:proofErr w:type="spellEnd"/>
      <w:r w:rsidRPr="00CD4311">
        <w:rPr>
          <w:rFonts w:asciiTheme="majorBidi" w:hAnsiTheme="majorBidi" w:cstheme="majorBidi"/>
        </w:rPr>
        <w:t xml:space="preserve">, </w:t>
      </w:r>
      <w:proofErr w:type="spellStart"/>
      <w:r w:rsidRPr="00CD4311">
        <w:rPr>
          <w:rFonts w:asciiTheme="majorBidi" w:hAnsiTheme="majorBidi" w:cstheme="majorBidi"/>
        </w:rPr>
        <w:t>Dānija</w:t>
      </w:r>
      <w:proofErr w:type="spellEnd"/>
      <w:r w:rsidRPr="00CD4311">
        <w:rPr>
          <w:rFonts w:asciiTheme="majorBidi" w:hAnsiTheme="majorBidi" w:cstheme="majorBidi"/>
        </w:rPr>
        <w:t xml:space="preserve">, </w:t>
      </w:r>
      <w:proofErr w:type="spellStart"/>
      <w:r w:rsidRPr="00CD4311">
        <w:rPr>
          <w:rFonts w:asciiTheme="majorBidi" w:hAnsiTheme="majorBidi" w:cstheme="majorBidi"/>
        </w:rPr>
        <w:t>Dienvidāfrika</w:t>
      </w:r>
      <w:proofErr w:type="spellEnd"/>
      <w:r w:rsidRPr="00CD4311">
        <w:rPr>
          <w:rFonts w:asciiTheme="majorBidi" w:hAnsiTheme="majorBidi" w:cstheme="majorBidi"/>
        </w:rPr>
        <w:t xml:space="preserve">, </w:t>
      </w:r>
      <w:proofErr w:type="spellStart"/>
      <w:r w:rsidRPr="00CD4311">
        <w:rPr>
          <w:rFonts w:asciiTheme="majorBidi" w:hAnsiTheme="majorBidi" w:cstheme="majorBidi"/>
        </w:rPr>
        <w:t>Dienvidkorejas</w:t>
      </w:r>
      <w:proofErr w:type="spellEnd"/>
      <w:r w:rsidRPr="00CD4311">
        <w:rPr>
          <w:rFonts w:asciiTheme="majorBidi" w:hAnsiTheme="majorBidi" w:cstheme="majorBidi"/>
        </w:rPr>
        <w:t xml:space="preserve"> Republika, </w:t>
      </w:r>
      <w:proofErr w:type="spellStart"/>
      <w:r w:rsidRPr="00CD4311">
        <w:rPr>
          <w:rFonts w:asciiTheme="majorBidi" w:hAnsiTheme="majorBidi" w:cstheme="majorBidi"/>
        </w:rPr>
        <w:t>Dominika</w:t>
      </w:r>
      <w:proofErr w:type="spellEnd"/>
      <w:r w:rsidRPr="00CD4311">
        <w:rPr>
          <w:rFonts w:asciiTheme="majorBidi" w:hAnsiTheme="majorBidi" w:cstheme="majorBidi"/>
        </w:rPr>
        <w:t xml:space="preserve">, </w:t>
      </w:r>
      <w:proofErr w:type="spellStart"/>
      <w:r w:rsidRPr="00CD4311">
        <w:rPr>
          <w:rFonts w:asciiTheme="majorBidi" w:hAnsiTheme="majorBidi" w:cstheme="majorBidi"/>
        </w:rPr>
        <w:t>Dominikānas</w:t>
      </w:r>
      <w:proofErr w:type="spellEnd"/>
      <w:r w:rsidRPr="00CD4311">
        <w:rPr>
          <w:rFonts w:asciiTheme="majorBidi" w:hAnsiTheme="majorBidi" w:cstheme="majorBidi"/>
        </w:rPr>
        <w:t xml:space="preserve"> Republika, </w:t>
      </w:r>
      <w:proofErr w:type="spellStart"/>
      <w:r w:rsidRPr="00CD4311">
        <w:rPr>
          <w:rFonts w:asciiTheme="majorBidi" w:hAnsiTheme="majorBidi" w:cstheme="majorBidi"/>
        </w:rPr>
        <w:t>Ekvadora</w:t>
      </w:r>
      <w:proofErr w:type="spellEnd"/>
      <w:r w:rsidRPr="00CD4311">
        <w:rPr>
          <w:rFonts w:asciiTheme="majorBidi" w:hAnsiTheme="majorBidi" w:cstheme="majorBidi"/>
        </w:rPr>
        <w:t xml:space="preserve">, </w:t>
      </w:r>
      <w:proofErr w:type="spellStart"/>
      <w:r w:rsidRPr="00CD4311">
        <w:rPr>
          <w:rFonts w:asciiTheme="majorBidi" w:hAnsiTheme="majorBidi" w:cstheme="majorBidi"/>
        </w:rPr>
        <w:t>Fidži</w:t>
      </w:r>
      <w:proofErr w:type="spellEnd"/>
      <w:r w:rsidRPr="00CD4311">
        <w:rPr>
          <w:rFonts w:asciiTheme="majorBidi" w:hAnsiTheme="majorBidi" w:cstheme="majorBidi"/>
        </w:rPr>
        <w:t xml:space="preserve">, </w:t>
      </w:r>
      <w:proofErr w:type="spellStart"/>
      <w:r w:rsidRPr="00CD4311">
        <w:rPr>
          <w:rFonts w:asciiTheme="majorBidi" w:hAnsiTheme="majorBidi" w:cstheme="majorBidi"/>
        </w:rPr>
        <w:t>Francija</w:t>
      </w:r>
      <w:proofErr w:type="spellEnd"/>
      <w:r w:rsidRPr="00CD4311">
        <w:rPr>
          <w:rFonts w:asciiTheme="majorBidi" w:hAnsiTheme="majorBidi" w:cstheme="majorBidi"/>
        </w:rPr>
        <w:t xml:space="preserve">, </w:t>
      </w:r>
      <w:proofErr w:type="spellStart"/>
      <w:r w:rsidRPr="00CD4311">
        <w:rPr>
          <w:rFonts w:asciiTheme="majorBidi" w:hAnsiTheme="majorBidi" w:cstheme="majorBidi"/>
        </w:rPr>
        <w:t>Grenāda</w:t>
      </w:r>
      <w:proofErr w:type="spellEnd"/>
      <w:r w:rsidRPr="00CD4311">
        <w:rPr>
          <w:rFonts w:asciiTheme="majorBidi" w:hAnsiTheme="majorBidi" w:cstheme="majorBidi"/>
        </w:rPr>
        <w:t xml:space="preserve">, </w:t>
      </w:r>
      <w:proofErr w:type="spellStart"/>
      <w:r w:rsidRPr="00CD4311">
        <w:rPr>
          <w:rFonts w:asciiTheme="majorBidi" w:hAnsiTheme="majorBidi" w:cstheme="majorBidi"/>
        </w:rPr>
        <w:t>Grieķija</w:t>
      </w:r>
      <w:proofErr w:type="spellEnd"/>
      <w:r w:rsidRPr="00CD4311">
        <w:rPr>
          <w:rFonts w:asciiTheme="majorBidi" w:hAnsiTheme="majorBidi" w:cstheme="majorBidi"/>
        </w:rPr>
        <w:t xml:space="preserve">, </w:t>
      </w:r>
      <w:proofErr w:type="spellStart"/>
      <w:r w:rsidRPr="00CD4311">
        <w:rPr>
          <w:rFonts w:asciiTheme="majorBidi" w:hAnsiTheme="majorBidi" w:cstheme="majorBidi"/>
        </w:rPr>
        <w:t>Gruzija</w:t>
      </w:r>
      <w:proofErr w:type="spellEnd"/>
      <w:r w:rsidRPr="00CD4311">
        <w:rPr>
          <w:rFonts w:asciiTheme="majorBidi" w:hAnsiTheme="majorBidi" w:cstheme="majorBidi"/>
        </w:rPr>
        <w:t xml:space="preserve">, </w:t>
      </w:r>
      <w:proofErr w:type="spellStart"/>
      <w:r w:rsidRPr="00CD4311">
        <w:rPr>
          <w:rFonts w:asciiTheme="majorBidi" w:hAnsiTheme="majorBidi" w:cstheme="majorBidi"/>
        </w:rPr>
        <w:t>Gvatemala</w:t>
      </w:r>
      <w:proofErr w:type="spellEnd"/>
      <w:r w:rsidRPr="00CD4311">
        <w:rPr>
          <w:rFonts w:asciiTheme="majorBidi" w:hAnsiTheme="majorBidi" w:cstheme="majorBidi"/>
        </w:rPr>
        <w:t xml:space="preserve"> (</w:t>
      </w:r>
      <w:proofErr w:type="spellStart"/>
      <w:r w:rsidRPr="00CD4311">
        <w:rPr>
          <w:rFonts w:asciiTheme="majorBidi" w:hAnsiTheme="majorBidi" w:cstheme="majorBidi"/>
        </w:rPr>
        <w:t>Konvencija</w:t>
      </w:r>
      <w:proofErr w:type="spellEnd"/>
      <w:r w:rsidRPr="00CD4311">
        <w:rPr>
          <w:rFonts w:asciiTheme="majorBidi" w:hAnsiTheme="majorBidi" w:cstheme="majorBidi"/>
        </w:rPr>
        <w:t xml:space="preserve"> </w:t>
      </w:r>
      <w:proofErr w:type="spellStart"/>
      <w:r w:rsidRPr="00CD4311">
        <w:rPr>
          <w:rFonts w:asciiTheme="majorBidi" w:hAnsiTheme="majorBidi" w:cstheme="majorBidi"/>
        </w:rPr>
        <w:t>tur</w:t>
      </w:r>
      <w:proofErr w:type="spellEnd"/>
      <w:r w:rsidRPr="00CD4311">
        <w:rPr>
          <w:rFonts w:asciiTheme="majorBidi" w:hAnsiTheme="majorBidi" w:cstheme="majorBidi"/>
        </w:rPr>
        <w:t xml:space="preserve"> </w:t>
      </w:r>
      <w:proofErr w:type="spellStart"/>
      <w:r w:rsidRPr="00CD4311">
        <w:rPr>
          <w:rFonts w:asciiTheme="majorBidi" w:hAnsiTheme="majorBidi" w:cstheme="majorBidi"/>
        </w:rPr>
        <w:t>stāsies</w:t>
      </w:r>
      <w:proofErr w:type="spellEnd"/>
      <w:r w:rsidRPr="00CD4311">
        <w:rPr>
          <w:rFonts w:asciiTheme="majorBidi" w:hAnsiTheme="majorBidi" w:cstheme="majorBidi"/>
        </w:rPr>
        <w:t xml:space="preserve"> </w:t>
      </w:r>
      <w:proofErr w:type="spellStart"/>
      <w:r w:rsidRPr="00CD4311">
        <w:rPr>
          <w:rFonts w:asciiTheme="majorBidi" w:hAnsiTheme="majorBidi" w:cstheme="majorBidi"/>
        </w:rPr>
        <w:t>spēkā</w:t>
      </w:r>
      <w:proofErr w:type="spellEnd"/>
      <w:r w:rsidRPr="00CD4311">
        <w:rPr>
          <w:rFonts w:asciiTheme="majorBidi" w:hAnsiTheme="majorBidi" w:cstheme="majorBidi"/>
        </w:rPr>
        <w:t xml:space="preserve"> 18.09.2017.),</w:t>
      </w:r>
      <w:r>
        <w:rPr>
          <w:rFonts w:asciiTheme="majorBidi" w:hAnsiTheme="majorBidi" w:cstheme="majorBidi"/>
        </w:rPr>
        <w:t xml:space="preserve"> </w:t>
      </w:r>
      <w:proofErr w:type="spellStart"/>
      <w:r w:rsidRPr="001A3712">
        <w:rPr>
          <w:rFonts w:asciiTheme="majorBidi" w:hAnsiTheme="majorBidi" w:cstheme="majorBidi"/>
        </w:rPr>
        <w:t>Hondurasa</w:t>
      </w:r>
      <w:proofErr w:type="spellEnd"/>
      <w:r w:rsidRPr="001A3712">
        <w:rPr>
          <w:rFonts w:asciiTheme="majorBidi" w:hAnsiTheme="majorBidi" w:cstheme="majorBidi"/>
        </w:rPr>
        <w:t xml:space="preserve">, </w:t>
      </w:r>
      <w:proofErr w:type="spellStart"/>
      <w:r w:rsidRPr="001A3712">
        <w:rPr>
          <w:rFonts w:asciiTheme="majorBidi" w:hAnsiTheme="majorBidi" w:cstheme="majorBidi"/>
        </w:rPr>
        <w:t>Horvātija</w:t>
      </w:r>
      <w:proofErr w:type="spellEnd"/>
      <w:r w:rsidRPr="001A3712">
        <w:rPr>
          <w:rFonts w:asciiTheme="majorBidi" w:hAnsiTheme="majorBidi" w:cstheme="majorBidi"/>
        </w:rPr>
        <w:t xml:space="preserve">, </w:t>
      </w:r>
      <w:proofErr w:type="spellStart"/>
      <w:r w:rsidRPr="001A3712">
        <w:rPr>
          <w:rFonts w:asciiTheme="majorBidi" w:hAnsiTheme="majorBidi" w:cstheme="majorBidi"/>
        </w:rPr>
        <w:t>Igaunija</w:t>
      </w:r>
      <w:proofErr w:type="spellEnd"/>
      <w:r w:rsidRPr="001A3712">
        <w:rPr>
          <w:rFonts w:asciiTheme="majorBidi" w:hAnsiTheme="majorBidi" w:cstheme="majorBidi"/>
        </w:rPr>
        <w:t xml:space="preserve">, </w:t>
      </w:r>
      <w:proofErr w:type="spellStart"/>
      <w:r w:rsidRPr="001A3712">
        <w:rPr>
          <w:rFonts w:asciiTheme="majorBidi" w:hAnsiTheme="majorBidi" w:cstheme="majorBidi"/>
        </w:rPr>
        <w:t>Indija</w:t>
      </w:r>
      <w:proofErr w:type="spellEnd"/>
      <w:r w:rsidRPr="001A3712">
        <w:rPr>
          <w:rFonts w:asciiTheme="majorBidi" w:hAnsiTheme="majorBidi" w:cstheme="majorBidi"/>
        </w:rPr>
        <w:t xml:space="preserve">, Islande, </w:t>
      </w:r>
      <w:proofErr w:type="spellStart"/>
      <w:r w:rsidRPr="001A3712">
        <w:rPr>
          <w:rFonts w:asciiTheme="majorBidi" w:hAnsiTheme="majorBidi" w:cstheme="majorBidi"/>
        </w:rPr>
        <w:t>Itālija</w:t>
      </w:r>
      <w:proofErr w:type="spellEnd"/>
      <w:r w:rsidRPr="001A3712">
        <w:rPr>
          <w:rFonts w:asciiTheme="majorBidi" w:hAnsiTheme="majorBidi" w:cstheme="majorBidi"/>
        </w:rPr>
        <w:t xml:space="preserve">, </w:t>
      </w:r>
      <w:proofErr w:type="spellStart"/>
      <w:r w:rsidRPr="001A3712">
        <w:rPr>
          <w:rFonts w:asciiTheme="majorBidi" w:hAnsiTheme="majorBidi" w:cstheme="majorBidi"/>
        </w:rPr>
        <w:t>Izraēla</w:t>
      </w:r>
      <w:proofErr w:type="spellEnd"/>
      <w:r w:rsidRPr="001A3712">
        <w:rPr>
          <w:rFonts w:asciiTheme="majorBidi" w:hAnsiTheme="majorBidi" w:cstheme="majorBidi"/>
        </w:rPr>
        <w:t xml:space="preserve">, </w:t>
      </w:r>
      <w:proofErr w:type="spellStart"/>
      <w:r w:rsidRPr="001A3712">
        <w:rPr>
          <w:rFonts w:asciiTheme="majorBidi" w:hAnsiTheme="majorBidi" w:cstheme="majorBidi"/>
        </w:rPr>
        <w:t>Īrija</w:t>
      </w:r>
      <w:proofErr w:type="spellEnd"/>
      <w:r w:rsidRPr="001A3712">
        <w:rPr>
          <w:rFonts w:asciiTheme="majorBidi" w:hAnsiTheme="majorBidi" w:cstheme="majorBidi"/>
        </w:rPr>
        <w:t xml:space="preserve">, </w:t>
      </w:r>
      <w:proofErr w:type="spellStart"/>
      <w:r w:rsidRPr="001A3712">
        <w:rPr>
          <w:rFonts w:asciiTheme="majorBidi" w:hAnsiTheme="majorBidi" w:cstheme="majorBidi"/>
        </w:rPr>
        <w:t>Japāna</w:t>
      </w:r>
      <w:proofErr w:type="spellEnd"/>
      <w:r w:rsidRPr="001A3712">
        <w:rPr>
          <w:rFonts w:asciiTheme="majorBidi" w:hAnsiTheme="majorBidi" w:cstheme="majorBidi"/>
        </w:rPr>
        <w:t xml:space="preserve">, </w:t>
      </w:r>
      <w:proofErr w:type="spellStart"/>
      <w:r w:rsidRPr="001A3712">
        <w:rPr>
          <w:rFonts w:asciiTheme="majorBidi" w:hAnsiTheme="majorBidi" w:cstheme="majorBidi"/>
        </w:rPr>
        <w:t>Jaunzēlande</w:t>
      </w:r>
      <w:proofErr w:type="spellEnd"/>
      <w:r w:rsidRPr="001A3712">
        <w:rPr>
          <w:rFonts w:asciiTheme="majorBidi" w:hAnsiTheme="majorBidi" w:cstheme="majorBidi"/>
        </w:rPr>
        <w:t xml:space="preserve">, </w:t>
      </w:r>
      <w:proofErr w:type="spellStart"/>
      <w:r w:rsidRPr="001A3712">
        <w:rPr>
          <w:rFonts w:asciiTheme="majorBidi" w:hAnsiTheme="majorBidi" w:cstheme="majorBidi"/>
        </w:rPr>
        <w:t>Kaboverde</w:t>
      </w:r>
      <w:proofErr w:type="spellEnd"/>
      <w:r w:rsidRPr="001A3712">
        <w:rPr>
          <w:rFonts w:asciiTheme="majorBidi" w:hAnsiTheme="majorBidi" w:cstheme="majorBidi"/>
        </w:rPr>
        <w:t xml:space="preserve">, </w:t>
      </w:r>
      <w:proofErr w:type="spellStart"/>
      <w:r w:rsidRPr="001A3712">
        <w:rPr>
          <w:rFonts w:asciiTheme="majorBidi" w:hAnsiTheme="majorBidi" w:cstheme="majorBidi"/>
        </w:rPr>
        <w:t>Kazahstāna</w:t>
      </w:r>
      <w:proofErr w:type="spellEnd"/>
      <w:r w:rsidRPr="001A3712">
        <w:rPr>
          <w:rFonts w:asciiTheme="majorBidi" w:hAnsiTheme="majorBidi" w:cstheme="majorBidi"/>
        </w:rPr>
        <w:t xml:space="preserve">, </w:t>
      </w:r>
      <w:proofErr w:type="spellStart"/>
      <w:r w:rsidRPr="001A3712">
        <w:rPr>
          <w:rFonts w:asciiTheme="majorBidi" w:hAnsiTheme="majorBidi" w:cstheme="majorBidi"/>
        </w:rPr>
        <w:t>Kipra</w:t>
      </w:r>
      <w:proofErr w:type="spellEnd"/>
      <w:r w:rsidRPr="001A3712">
        <w:rPr>
          <w:rFonts w:asciiTheme="majorBidi" w:hAnsiTheme="majorBidi" w:cstheme="majorBidi"/>
        </w:rPr>
        <w:t xml:space="preserve">, </w:t>
      </w:r>
      <w:proofErr w:type="spellStart"/>
      <w:r w:rsidRPr="001A3712">
        <w:rPr>
          <w:rFonts w:asciiTheme="majorBidi" w:hAnsiTheme="majorBidi" w:cstheme="majorBidi"/>
        </w:rPr>
        <w:t>Kirgizstāna</w:t>
      </w:r>
      <w:proofErr w:type="spellEnd"/>
      <w:r w:rsidRPr="001A3712">
        <w:rPr>
          <w:rFonts w:asciiTheme="majorBidi" w:hAnsiTheme="majorBidi" w:cstheme="majorBidi"/>
        </w:rPr>
        <w:t xml:space="preserve">, </w:t>
      </w:r>
      <w:proofErr w:type="spellStart"/>
      <w:r w:rsidRPr="001A3712">
        <w:rPr>
          <w:rFonts w:asciiTheme="majorBidi" w:hAnsiTheme="majorBidi" w:cstheme="majorBidi"/>
        </w:rPr>
        <w:t>Kolumbija</w:t>
      </w:r>
      <w:proofErr w:type="spellEnd"/>
      <w:r w:rsidRPr="001A3712">
        <w:rPr>
          <w:rFonts w:asciiTheme="majorBidi" w:hAnsiTheme="majorBidi" w:cstheme="majorBidi"/>
        </w:rPr>
        <w:t xml:space="preserve">, </w:t>
      </w:r>
      <w:proofErr w:type="spellStart"/>
      <w:r w:rsidRPr="001A3712">
        <w:rPr>
          <w:rFonts w:asciiTheme="majorBidi" w:hAnsiTheme="majorBidi" w:cstheme="majorBidi"/>
        </w:rPr>
        <w:t>Kosova</w:t>
      </w:r>
      <w:proofErr w:type="spellEnd"/>
      <w:r w:rsidRPr="001A3712">
        <w:rPr>
          <w:rFonts w:asciiTheme="majorBidi" w:hAnsiTheme="majorBidi" w:cstheme="majorBidi"/>
        </w:rPr>
        <w:t xml:space="preserve">, </w:t>
      </w:r>
      <w:proofErr w:type="spellStart"/>
      <w:r w:rsidRPr="001A3712">
        <w:rPr>
          <w:rFonts w:asciiTheme="majorBidi" w:hAnsiTheme="majorBidi" w:cstheme="majorBidi"/>
        </w:rPr>
        <w:t>Kostarika</w:t>
      </w:r>
      <w:proofErr w:type="spellEnd"/>
      <w:r w:rsidRPr="001A3712">
        <w:rPr>
          <w:rFonts w:asciiTheme="majorBidi" w:hAnsiTheme="majorBidi" w:cstheme="majorBidi"/>
        </w:rPr>
        <w:t xml:space="preserve">, </w:t>
      </w:r>
      <w:proofErr w:type="spellStart"/>
      <w:r w:rsidRPr="001A3712">
        <w:rPr>
          <w:rFonts w:asciiTheme="majorBidi" w:hAnsiTheme="majorBidi" w:cstheme="majorBidi"/>
        </w:rPr>
        <w:t>Krievijas</w:t>
      </w:r>
      <w:proofErr w:type="spellEnd"/>
      <w:r w:rsidRPr="001A3712">
        <w:rPr>
          <w:rFonts w:asciiTheme="majorBidi" w:hAnsiTheme="majorBidi" w:cstheme="majorBidi"/>
        </w:rPr>
        <w:t xml:space="preserve"> </w:t>
      </w:r>
      <w:proofErr w:type="spellStart"/>
      <w:r w:rsidRPr="001A3712">
        <w:rPr>
          <w:rFonts w:asciiTheme="majorBidi" w:hAnsiTheme="majorBidi" w:cstheme="majorBidi"/>
        </w:rPr>
        <w:t>Federācija</w:t>
      </w:r>
      <w:proofErr w:type="spellEnd"/>
      <w:r w:rsidRPr="001A3712">
        <w:rPr>
          <w:rFonts w:asciiTheme="majorBidi" w:hAnsiTheme="majorBidi" w:cstheme="majorBidi"/>
        </w:rPr>
        <w:t xml:space="preserve">, </w:t>
      </w:r>
      <w:proofErr w:type="spellStart"/>
      <w:r w:rsidRPr="001A3712">
        <w:rPr>
          <w:rFonts w:asciiTheme="majorBidi" w:hAnsiTheme="majorBidi" w:cstheme="majorBidi"/>
        </w:rPr>
        <w:t>Kuka</w:t>
      </w:r>
      <w:proofErr w:type="spellEnd"/>
      <w:r w:rsidRPr="001A3712">
        <w:rPr>
          <w:rFonts w:asciiTheme="majorBidi" w:hAnsiTheme="majorBidi" w:cstheme="majorBidi"/>
        </w:rPr>
        <w:t xml:space="preserve"> salas, </w:t>
      </w:r>
      <w:proofErr w:type="spellStart"/>
      <w:r w:rsidRPr="001A3712">
        <w:rPr>
          <w:rFonts w:asciiTheme="majorBidi" w:hAnsiTheme="majorBidi" w:cstheme="majorBidi"/>
        </w:rPr>
        <w:t>Ķīnas</w:t>
      </w:r>
      <w:proofErr w:type="spellEnd"/>
      <w:r w:rsidRPr="001A3712">
        <w:rPr>
          <w:rFonts w:asciiTheme="majorBidi" w:hAnsiTheme="majorBidi" w:cstheme="majorBidi"/>
        </w:rPr>
        <w:t xml:space="preserve"> </w:t>
      </w:r>
      <w:proofErr w:type="spellStart"/>
      <w:r w:rsidRPr="001A3712">
        <w:rPr>
          <w:rFonts w:asciiTheme="majorBidi" w:hAnsiTheme="majorBidi" w:cstheme="majorBidi"/>
        </w:rPr>
        <w:t>Tautas</w:t>
      </w:r>
      <w:proofErr w:type="spellEnd"/>
      <w:r w:rsidRPr="001A3712">
        <w:rPr>
          <w:rFonts w:asciiTheme="majorBidi" w:hAnsiTheme="majorBidi" w:cstheme="majorBidi"/>
        </w:rPr>
        <w:t xml:space="preserve"> Republika, </w:t>
      </w:r>
      <w:proofErr w:type="spellStart"/>
      <w:r w:rsidRPr="00040F63">
        <w:rPr>
          <w:rFonts w:asciiTheme="majorBidi" w:hAnsiTheme="majorBidi" w:cstheme="majorBidi"/>
          <w:b/>
          <w:bCs/>
        </w:rPr>
        <w:t>Latvija</w:t>
      </w:r>
      <w:proofErr w:type="spellEnd"/>
      <w:r w:rsidRPr="00040F63">
        <w:rPr>
          <w:rFonts w:asciiTheme="majorBidi" w:hAnsiTheme="majorBidi" w:cstheme="majorBidi"/>
          <w:b/>
          <w:bCs/>
        </w:rPr>
        <w:t xml:space="preserve"> </w:t>
      </w:r>
      <w:r>
        <w:rPr>
          <w:rFonts w:asciiTheme="majorBidi" w:hAnsiTheme="majorBidi" w:cstheme="majorBidi"/>
        </w:rPr>
        <w:t>(</w:t>
      </w:r>
      <w:proofErr w:type="spellStart"/>
      <w:r>
        <w:rPr>
          <w:rFonts w:asciiTheme="majorBidi" w:hAnsiTheme="majorBidi" w:cstheme="majorBidi"/>
        </w:rPr>
        <w:t>Konvencija</w:t>
      </w:r>
      <w:proofErr w:type="spellEnd"/>
      <w:r>
        <w:rPr>
          <w:rFonts w:asciiTheme="majorBidi" w:hAnsiTheme="majorBidi" w:cstheme="majorBidi"/>
        </w:rPr>
        <w:t xml:space="preserve"> </w:t>
      </w:r>
      <w:proofErr w:type="spellStart"/>
      <w:r>
        <w:rPr>
          <w:rFonts w:asciiTheme="majorBidi" w:hAnsiTheme="majorBidi" w:cstheme="majorBidi"/>
        </w:rPr>
        <w:t>spēkā</w:t>
      </w:r>
      <w:proofErr w:type="spellEnd"/>
      <w:r>
        <w:rPr>
          <w:rFonts w:asciiTheme="majorBidi" w:hAnsiTheme="majorBidi" w:cstheme="majorBidi"/>
        </w:rPr>
        <w:t xml:space="preserve"> no 30.01.1996.)</w:t>
      </w:r>
      <w:r w:rsidRPr="001A3712">
        <w:rPr>
          <w:rFonts w:asciiTheme="majorBidi" w:hAnsiTheme="majorBidi" w:cstheme="majorBidi"/>
        </w:rPr>
        <w:t xml:space="preserve">, </w:t>
      </w:r>
      <w:proofErr w:type="spellStart"/>
      <w:r w:rsidRPr="001A3712">
        <w:rPr>
          <w:rFonts w:asciiTheme="majorBidi" w:hAnsiTheme="majorBidi" w:cstheme="majorBidi"/>
        </w:rPr>
        <w:t>Lesoto</w:t>
      </w:r>
      <w:proofErr w:type="spellEnd"/>
      <w:r w:rsidRPr="001A3712">
        <w:rPr>
          <w:rFonts w:asciiTheme="majorBidi" w:hAnsiTheme="majorBidi" w:cstheme="majorBidi"/>
        </w:rPr>
        <w:t xml:space="preserve">, </w:t>
      </w:r>
      <w:proofErr w:type="spellStart"/>
      <w:r w:rsidRPr="001A3712">
        <w:rPr>
          <w:rFonts w:asciiTheme="majorBidi" w:hAnsiTheme="majorBidi" w:cstheme="majorBidi"/>
        </w:rPr>
        <w:t>Libērija</w:t>
      </w:r>
      <w:proofErr w:type="spellEnd"/>
      <w:r w:rsidRPr="001A3712">
        <w:rPr>
          <w:rFonts w:asciiTheme="majorBidi" w:hAnsiTheme="majorBidi" w:cstheme="majorBidi"/>
        </w:rPr>
        <w:t xml:space="preserve">, </w:t>
      </w:r>
      <w:proofErr w:type="spellStart"/>
      <w:r w:rsidRPr="00040F63">
        <w:rPr>
          <w:rFonts w:asciiTheme="majorBidi" w:hAnsiTheme="majorBidi" w:cstheme="majorBidi"/>
          <w:u w:val="single"/>
        </w:rPr>
        <w:t>Lielbritānijas</w:t>
      </w:r>
      <w:proofErr w:type="spellEnd"/>
      <w:r w:rsidRPr="00040F63">
        <w:rPr>
          <w:rFonts w:asciiTheme="majorBidi" w:hAnsiTheme="majorBidi" w:cstheme="majorBidi"/>
          <w:u w:val="single"/>
        </w:rPr>
        <w:t xml:space="preserve"> un </w:t>
      </w:r>
      <w:proofErr w:type="spellStart"/>
      <w:r w:rsidRPr="00040F63">
        <w:rPr>
          <w:rFonts w:asciiTheme="majorBidi" w:hAnsiTheme="majorBidi" w:cstheme="majorBidi"/>
          <w:u w:val="single"/>
        </w:rPr>
        <w:t>Ziemeļīrijas</w:t>
      </w:r>
      <w:proofErr w:type="spellEnd"/>
      <w:r w:rsidRPr="00040F63">
        <w:rPr>
          <w:rFonts w:asciiTheme="majorBidi" w:hAnsiTheme="majorBidi" w:cstheme="majorBidi"/>
          <w:u w:val="single"/>
        </w:rPr>
        <w:t xml:space="preserve"> </w:t>
      </w:r>
      <w:proofErr w:type="spellStart"/>
      <w:r w:rsidRPr="00040F63">
        <w:rPr>
          <w:rFonts w:asciiTheme="majorBidi" w:hAnsiTheme="majorBidi" w:cstheme="majorBidi"/>
          <w:u w:val="single"/>
        </w:rPr>
        <w:t>Apvienotā</w:t>
      </w:r>
      <w:proofErr w:type="spellEnd"/>
      <w:r w:rsidRPr="00040F63">
        <w:rPr>
          <w:rFonts w:asciiTheme="majorBidi" w:hAnsiTheme="majorBidi" w:cstheme="majorBidi"/>
          <w:u w:val="single"/>
        </w:rPr>
        <w:t xml:space="preserve"> </w:t>
      </w:r>
      <w:proofErr w:type="spellStart"/>
      <w:r w:rsidRPr="00040F63">
        <w:rPr>
          <w:rFonts w:asciiTheme="majorBidi" w:hAnsiTheme="majorBidi" w:cstheme="majorBidi"/>
          <w:u w:val="single"/>
        </w:rPr>
        <w:t>Karaliste</w:t>
      </w:r>
      <w:proofErr w:type="spellEnd"/>
      <w:r>
        <w:rPr>
          <w:rStyle w:val="FootnoteReference"/>
          <w:rFonts w:asciiTheme="majorBidi" w:hAnsiTheme="majorBidi" w:cstheme="majorBidi"/>
          <w:u w:val="single"/>
        </w:rPr>
        <w:footnoteReference w:id="136"/>
      </w:r>
      <w:r w:rsidRPr="001A3712">
        <w:rPr>
          <w:rFonts w:asciiTheme="majorBidi" w:hAnsiTheme="majorBidi" w:cstheme="majorBidi"/>
        </w:rPr>
        <w:t xml:space="preserve">, </w:t>
      </w:r>
      <w:proofErr w:type="spellStart"/>
      <w:r w:rsidRPr="001A3712">
        <w:rPr>
          <w:rFonts w:asciiTheme="majorBidi" w:hAnsiTheme="majorBidi" w:cstheme="majorBidi"/>
        </w:rPr>
        <w:t>Lietuva</w:t>
      </w:r>
      <w:proofErr w:type="spellEnd"/>
      <w:r w:rsidRPr="001A3712">
        <w:rPr>
          <w:rFonts w:asciiTheme="majorBidi" w:hAnsiTheme="majorBidi" w:cstheme="majorBidi"/>
        </w:rPr>
        <w:t xml:space="preserve">, </w:t>
      </w:r>
      <w:proofErr w:type="spellStart"/>
      <w:r w:rsidRPr="001A3712">
        <w:rPr>
          <w:rFonts w:asciiTheme="majorBidi" w:hAnsiTheme="majorBidi" w:cstheme="majorBidi"/>
        </w:rPr>
        <w:t>Lihtenšteina</w:t>
      </w:r>
      <w:proofErr w:type="spellEnd"/>
      <w:r w:rsidRPr="001A3712">
        <w:rPr>
          <w:rFonts w:asciiTheme="majorBidi" w:hAnsiTheme="majorBidi" w:cstheme="majorBidi"/>
        </w:rPr>
        <w:t xml:space="preserve">, </w:t>
      </w:r>
      <w:proofErr w:type="spellStart"/>
      <w:r w:rsidRPr="001A3712">
        <w:rPr>
          <w:rFonts w:asciiTheme="majorBidi" w:hAnsiTheme="majorBidi" w:cstheme="majorBidi"/>
        </w:rPr>
        <w:t>Luksemburga</w:t>
      </w:r>
      <w:proofErr w:type="spellEnd"/>
      <w:r w:rsidRPr="001A3712">
        <w:rPr>
          <w:rFonts w:asciiTheme="majorBidi" w:hAnsiTheme="majorBidi" w:cstheme="majorBidi"/>
        </w:rPr>
        <w:t xml:space="preserve">, </w:t>
      </w:r>
      <w:proofErr w:type="spellStart"/>
      <w:r w:rsidRPr="001A3712">
        <w:rPr>
          <w:rFonts w:asciiTheme="majorBidi" w:hAnsiTheme="majorBidi" w:cstheme="majorBidi"/>
        </w:rPr>
        <w:t>Maķedonijas</w:t>
      </w:r>
      <w:proofErr w:type="spellEnd"/>
      <w:r w:rsidRPr="001A3712">
        <w:rPr>
          <w:rFonts w:asciiTheme="majorBidi" w:hAnsiTheme="majorBidi" w:cstheme="majorBidi"/>
        </w:rPr>
        <w:t xml:space="preserve"> Republika, </w:t>
      </w:r>
      <w:proofErr w:type="spellStart"/>
      <w:r w:rsidRPr="001A3712">
        <w:rPr>
          <w:rFonts w:asciiTheme="majorBidi" w:hAnsiTheme="majorBidi" w:cstheme="majorBidi"/>
        </w:rPr>
        <w:t>Malavi</w:t>
      </w:r>
      <w:proofErr w:type="spellEnd"/>
      <w:r w:rsidRPr="001A3712">
        <w:rPr>
          <w:rFonts w:asciiTheme="majorBidi" w:hAnsiTheme="majorBidi" w:cstheme="majorBidi"/>
        </w:rPr>
        <w:t xml:space="preserve">, Malta, </w:t>
      </w:r>
      <w:proofErr w:type="spellStart"/>
      <w:r w:rsidRPr="001A3712">
        <w:rPr>
          <w:rFonts w:asciiTheme="majorBidi" w:hAnsiTheme="majorBidi" w:cstheme="majorBidi"/>
        </w:rPr>
        <w:t>Maroka</w:t>
      </w:r>
      <w:proofErr w:type="spellEnd"/>
      <w:r w:rsidRPr="001A3712">
        <w:rPr>
          <w:rFonts w:asciiTheme="majorBidi" w:hAnsiTheme="majorBidi" w:cstheme="majorBidi"/>
        </w:rPr>
        <w:t xml:space="preserve">, </w:t>
      </w:r>
      <w:proofErr w:type="spellStart"/>
      <w:r w:rsidRPr="001A3712">
        <w:rPr>
          <w:rFonts w:asciiTheme="majorBidi" w:hAnsiTheme="majorBidi" w:cstheme="majorBidi"/>
        </w:rPr>
        <w:t>Māršalu</w:t>
      </w:r>
      <w:proofErr w:type="spellEnd"/>
      <w:r w:rsidRPr="001A3712">
        <w:rPr>
          <w:rFonts w:asciiTheme="majorBidi" w:hAnsiTheme="majorBidi" w:cstheme="majorBidi"/>
        </w:rPr>
        <w:t xml:space="preserve"> salas, </w:t>
      </w:r>
      <w:proofErr w:type="spellStart"/>
      <w:r w:rsidRPr="001A3712">
        <w:rPr>
          <w:rFonts w:asciiTheme="majorBidi" w:hAnsiTheme="majorBidi" w:cstheme="majorBidi"/>
        </w:rPr>
        <w:t>Maurīcija</w:t>
      </w:r>
      <w:proofErr w:type="spellEnd"/>
      <w:r w:rsidRPr="001A3712">
        <w:rPr>
          <w:rFonts w:asciiTheme="majorBidi" w:hAnsiTheme="majorBidi" w:cstheme="majorBidi"/>
        </w:rPr>
        <w:t xml:space="preserve">, </w:t>
      </w:r>
      <w:proofErr w:type="spellStart"/>
      <w:r w:rsidRPr="001A3712">
        <w:rPr>
          <w:rFonts w:asciiTheme="majorBidi" w:hAnsiTheme="majorBidi" w:cstheme="majorBidi"/>
        </w:rPr>
        <w:t>Meksika</w:t>
      </w:r>
      <w:proofErr w:type="spellEnd"/>
      <w:r w:rsidRPr="001A3712">
        <w:rPr>
          <w:rFonts w:asciiTheme="majorBidi" w:hAnsiTheme="majorBidi" w:cstheme="majorBidi"/>
        </w:rPr>
        <w:t xml:space="preserve">, </w:t>
      </w:r>
      <w:proofErr w:type="spellStart"/>
      <w:r w:rsidRPr="001A3712">
        <w:rPr>
          <w:rFonts w:asciiTheme="majorBidi" w:hAnsiTheme="majorBidi" w:cstheme="majorBidi"/>
        </w:rPr>
        <w:t>Melnkalne</w:t>
      </w:r>
      <w:proofErr w:type="spellEnd"/>
      <w:r w:rsidRPr="001A3712">
        <w:rPr>
          <w:rFonts w:asciiTheme="majorBidi" w:hAnsiTheme="majorBidi" w:cstheme="majorBidi"/>
        </w:rPr>
        <w:t xml:space="preserve">, Moldova, </w:t>
      </w:r>
      <w:proofErr w:type="spellStart"/>
      <w:r w:rsidRPr="001A3712">
        <w:rPr>
          <w:rFonts w:asciiTheme="majorBidi" w:hAnsiTheme="majorBidi" w:cstheme="majorBidi"/>
        </w:rPr>
        <w:t>Monako</w:t>
      </w:r>
      <w:proofErr w:type="spellEnd"/>
      <w:r w:rsidRPr="001A3712">
        <w:rPr>
          <w:rFonts w:asciiTheme="majorBidi" w:hAnsiTheme="majorBidi" w:cstheme="majorBidi"/>
        </w:rPr>
        <w:t xml:space="preserve">, </w:t>
      </w:r>
      <w:proofErr w:type="spellStart"/>
      <w:r w:rsidRPr="001A3712">
        <w:rPr>
          <w:rFonts w:asciiTheme="majorBidi" w:hAnsiTheme="majorBidi" w:cstheme="majorBidi"/>
        </w:rPr>
        <w:t>Mongolija</w:t>
      </w:r>
      <w:proofErr w:type="spellEnd"/>
      <w:r w:rsidRPr="001A3712">
        <w:rPr>
          <w:rFonts w:asciiTheme="majorBidi" w:hAnsiTheme="majorBidi" w:cstheme="majorBidi"/>
        </w:rPr>
        <w:t xml:space="preserve">, </w:t>
      </w:r>
      <w:proofErr w:type="spellStart"/>
      <w:r w:rsidRPr="001A3712">
        <w:rPr>
          <w:rFonts w:asciiTheme="majorBidi" w:hAnsiTheme="majorBidi" w:cstheme="majorBidi"/>
        </w:rPr>
        <w:t>Namībija</w:t>
      </w:r>
      <w:proofErr w:type="spellEnd"/>
      <w:r w:rsidRPr="001A3712">
        <w:rPr>
          <w:rFonts w:asciiTheme="majorBidi" w:hAnsiTheme="majorBidi" w:cstheme="majorBidi"/>
        </w:rPr>
        <w:t xml:space="preserve">, </w:t>
      </w:r>
      <w:proofErr w:type="spellStart"/>
      <w:r w:rsidRPr="001A3712">
        <w:rPr>
          <w:rFonts w:asciiTheme="majorBidi" w:hAnsiTheme="majorBidi" w:cstheme="majorBidi"/>
        </w:rPr>
        <w:t>Nikaragva</w:t>
      </w:r>
      <w:proofErr w:type="spellEnd"/>
      <w:r w:rsidRPr="001A3712">
        <w:rPr>
          <w:rFonts w:asciiTheme="majorBidi" w:hAnsiTheme="majorBidi" w:cstheme="majorBidi"/>
        </w:rPr>
        <w:t xml:space="preserve">, Niue, </w:t>
      </w:r>
      <w:proofErr w:type="spellStart"/>
      <w:r w:rsidRPr="00040F63">
        <w:rPr>
          <w:rFonts w:asciiTheme="majorBidi" w:hAnsiTheme="majorBidi" w:cstheme="majorBidi"/>
          <w:u w:val="single"/>
        </w:rPr>
        <w:t>Nīderlande</w:t>
      </w:r>
      <w:proofErr w:type="spellEnd"/>
      <w:r>
        <w:rPr>
          <w:rStyle w:val="FootnoteReference"/>
          <w:rFonts w:asciiTheme="majorBidi" w:hAnsiTheme="majorBidi" w:cstheme="majorBidi"/>
          <w:u w:val="single"/>
        </w:rPr>
        <w:footnoteReference w:id="137"/>
      </w:r>
      <w:r w:rsidRPr="001A3712">
        <w:rPr>
          <w:rFonts w:asciiTheme="majorBidi" w:hAnsiTheme="majorBidi" w:cstheme="majorBidi"/>
        </w:rPr>
        <w:t xml:space="preserve">, </w:t>
      </w:r>
      <w:proofErr w:type="spellStart"/>
      <w:r w:rsidRPr="001A3712">
        <w:rPr>
          <w:rFonts w:asciiTheme="majorBidi" w:hAnsiTheme="majorBidi" w:cstheme="majorBidi"/>
        </w:rPr>
        <w:t>Norvēģija</w:t>
      </w:r>
      <w:proofErr w:type="spellEnd"/>
      <w:r w:rsidRPr="001A3712">
        <w:rPr>
          <w:rFonts w:asciiTheme="majorBidi" w:hAnsiTheme="majorBidi" w:cstheme="majorBidi"/>
        </w:rPr>
        <w:t xml:space="preserve">, </w:t>
      </w:r>
      <w:proofErr w:type="spellStart"/>
      <w:r w:rsidRPr="001A3712">
        <w:rPr>
          <w:rFonts w:asciiTheme="majorBidi" w:hAnsiTheme="majorBidi" w:cstheme="majorBidi"/>
        </w:rPr>
        <w:t>Omāna</w:t>
      </w:r>
      <w:proofErr w:type="spellEnd"/>
      <w:r w:rsidRPr="001A3712">
        <w:rPr>
          <w:rFonts w:asciiTheme="majorBidi" w:hAnsiTheme="majorBidi" w:cstheme="majorBidi"/>
        </w:rPr>
        <w:t xml:space="preserve">, Panama, </w:t>
      </w:r>
      <w:proofErr w:type="spellStart"/>
      <w:r w:rsidRPr="001A3712">
        <w:rPr>
          <w:rFonts w:asciiTheme="majorBidi" w:hAnsiTheme="majorBidi" w:cstheme="majorBidi"/>
        </w:rPr>
        <w:t>Paragvaja</w:t>
      </w:r>
      <w:proofErr w:type="spellEnd"/>
      <w:r w:rsidRPr="001A3712">
        <w:rPr>
          <w:rFonts w:asciiTheme="majorBidi" w:hAnsiTheme="majorBidi" w:cstheme="majorBidi"/>
        </w:rPr>
        <w:t xml:space="preserve">, </w:t>
      </w:r>
      <w:proofErr w:type="spellStart"/>
      <w:r w:rsidRPr="001A3712">
        <w:rPr>
          <w:rFonts w:asciiTheme="majorBidi" w:hAnsiTheme="majorBidi" w:cstheme="majorBidi"/>
        </w:rPr>
        <w:t>Peru</w:t>
      </w:r>
      <w:proofErr w:type="spellEnd"/>
      <w:r w:rsidRPr="001A3712">
        <w:rPr>
          <w:rFonts w:asciiTheme="majorBidi" w:hAnsiTheme="majorBidi" w:cstheme="majorBidi"/>
        </w:rPr>
        <w:t xml:space="preserve">, </w:t>
      </w:r>
      <w:proofErr w:type="spellStart"/>
      <w:r w:rsidRPr="001A3712">
        <w:rPr>
          <w:rFonts w:asciiTheme="majorBidi" w:hAnsiTheme="majorBidi" w:cstheme="majorBidi"/>
        </w:rPr>
        <w:t>Polija</w:t>
      </w:r>
      <w:proofErr w:type="spellEnd"/>
      <w:r w:rsidRPr="001A3712">
        <w:rPr>
          <w:rFonts w:asciiTheme="majorBidi" w:hAnsiTheme="majorBidi" w:cstheme="majorBidi"/>
        </w:rPr>
        <w:t xml:space="preserve">, </w:t>
      </w:r>
      <w:proofErr w:type="spellStart"/>
      <w:r w:rsidRPr="001A3712">
        <w:rPr>
          <w:rFonts w:asciiTheme="majorBidi" w:hAnsiTheme="majorBidi" w:cstheme="majorBidi"/>
        </w:rPr>
        <w:t>Portugāle</w:t>
      </w:r>
      <w:proofErr w:type="spellEnd"/>
      <w:r w:rsidRPr="001A3712">
        <w:rPr>
          <w:rFonts w:asciiTheme="majorBidi" w:hAnsiTheme="majorBidi" w:cstheme="majorBidi"/>
        </w:rPr>
        <w:t xml:space="preserve">, </w:t>
      </w:r>
      <w:proofErr w:type="spellStart"/>
      <w:r w:rsidRPr="001A3712">
        <w:rPr>
          <w:rFonts w:asciiTheme="majorBidi" w:hAnsiTheme="majorBidi" w:cstheme="majorBidi"/>
        </w:rPr>
        <w:t>Rietumsamoa</w:t>
      </w:r>
      <w:proofErr w:type="spellEnd"/>
      <w:r w:rsidRPr="001A3712">
        <w:rPr>
          <w:rFonts w:asciiTheme="majorBidi" w:hAnsiTheme="majorBidi" w:cstheme="majorBidi"/>
        </w:rPr>
        <w:t xml:space="preserve">, </w:t>
      </w:r>
      <w:proofErr w:type="spellStart"/>
      <w:r w:rsidRPr="001A3712">
        <w:rPr>
          <w:rFonts w:asciiTheme="majorBidi" w:hAnsiTheme="majorBidi" w:cstheme="majorBidi"/>
        </w:rPr>
        <w:t>Rumānija</w:t>
      </w:r>
      <w:proofErr w:type="spellEnd"/>
      <w:r w:rsidRPr="001A3712">
        <w:rPr>
          <w:rFonts w:asciiTheme="majorBidi" w:hAnsiTheme="majorBidi" w:cstheme="majorBidi"/>
        </w:rPr>
        <w:t xml:space="preserve">, </w:t>
      </w:r>
      <w:proofErr w:type="spellStart"/>
      <w:r w:rsidRPr="001A3712">
        <w:rPr>
          <w:rFonts w:asciiTheme="majorBidi" w:hAnsiTheme="majorBidi" w:cstheme="majorBidi"/>
        </w:rPr>
        <w:t>Salvadora</w:t>
      </w:r>
      <w:proofErr w:type="spellEnd"/>
      <w:r w:rsidRPr="001A3712">
        <w:rPr>
          <w:rFonts w:asciiTheme="majorBidi" w:hAnsiTheme="majorBidi" w:cstheme="majorBidi"/>
        </w:rPr>
        <w:t xml:space="preserve">, </w:t>
      </w:r>
      <w:proofErr w:type="spellStart"/>
      <w:r w:rsidRPr="001A3712">
        <w:rPr>
          <w:rFonts w:asciiTheme="majorBidi" w:hAnsiTheme="majorBidi" w:cstheme="majorBidi"/>
        </w:rPr>
        <w:t>Sanmarīno</w:t>
      </w:r>
      <w:proofErr w:type="spellEnd"/>
      <w:r w:rsidRPr="001A3712">
        <w:rPr>
          <w:rFonts w:asciiTheme="majorBidi" w:hAnsiTheme="majorBidi" w:cstheme="majorBidi"/>
        </w:rPr>
        <w:t xml:space="preserve">, </w:t>
      </w:r>
      <w:proofErr w:type="spellStart"/>
      <w:r w:rsidRPr="001A3712">
        <w:rPr>
          <w:rFonts w:asciiTheme="majorBidi" w:hAnsiTheme="majorBidi" w:cstheme="majorBidi"/>
        </w:rPr>
        <w:t>Santkitsa</w:t>
      </w:r>
      <w:proofErr w:type="spellEnd"/>
      <w:r w:rsidRPr="001A3712">
        <w:rPr>
          <w:rFonts w:asciiTheme="majorBidi" w:hAnsiTheme="majorBidi" w:cstheme="majorBidi"/>
        </w:rPr>
        <w:t xml:space="preserve"> un </w:t>
      </w:r>
      <w:proofErr w:type="spellStart"/>
      <w:r w:rsidRPr="001A3712">
        <w:rPr>
          <w:rFonts w:asciiTheme="majorBidi" w:hAnsiTheme="majorBidi" w:cstheme="majorBidi"/>
        </w:rPr>
        <w:t>Nevisa</w:t>
      </w:r>
      <w:proofErr w:type="spellEnd"/>
      <w:r w:rsidRPr="001A3712">
        <w:rPr>
          <w:rFonts w:asciiTheme="majorBidi" w:hAnsiTheme="majorBidi" w:cstheme="majorBidi"/>
        </w:rPr>
        <w:t xml:space="preserve">, </w:t>
      </w:r>
      <w:proofErr w:type="spellStart"/>
      <w:r w:rsidRPr="001A3712">
        <w:rPr>
          <w:rFonts w:asciiTheme="majorBidi" w:hAnsiTheme="majorBidi" w:cstheme="majorBidi"/>
        </w:rPr>
        <w:t>Santome</w:t>
      </w:r>
      <w:proofErr w:type="spellEnd"/>
      <w:r w:rsidRPr="001A3712">
        <w:rPr>
          <w:rFonts w:asciiTheme="majorBidi" w:hAnsiTheme="majorBidi" w:cstheme="majorBidi"/>
        </w:rPr>
        <w:t xml:space="preserve"> un </w:t>
      </w:r>
      <w:proofErr w:type="spellStart"/>
      <w:r w:rsidRPr="001A3712">
        <w:rPr>
          <w:rFonts w:asciiTheme="majorBidi" w:hAnsiTheme="majorBidi" w:cstheme="majorBidi"/>
        </w:rPr>
        <w:t>Prinsipi</w:t>
      </w:r>
      <w:proofErr w:type="spellEnd"/>
      <w:r w:rsidRPr="001A3712">
        <w:rPr>
          <w:rFonts w:asciiTheme="majorBidi" w:hAnsiTheme="majorBidi" w:cstheme="majorBidi"/>
        </w:rPr>
        <w:t xml:space="preserve">, </w:t>
      </w:r>
      <w:proofErr w:type="spellStart"/>
      <w:r w:rsidRPr="001A3712">
        <w:rPr>
          <w:rFonts w:asciiTheme="majorBidi" w:hAnsiTheme="majorBidi" w:cstheme="majorBidi"/>
        </w:rPr>
        <w:t>Santvinsenta</w:t>
      </w:r>
      <w:proofErr w:type="spellEnd"/>
      <w:r w:rsidRPr="001A3712">
        <w:rPr>
          <w:rFonts w:asciiTheme="majorBidi" w:hAnsiTheme="majorBidi" w:cstheme="majorBidi"/>
        </w:rPr>
        <w:t xml:space="preserve"> un </w:t>
      </w:r>
      <w:proofErr w:type="spellStart"/>
      <w:r w:rsidRPr="001A3712">
        <w:rPr>
          <w:rFonts w:asciiTheme="majorBidi" w:hAnsiTheme="majorBidi" w:cstheme="majorBidi"/>
        </w:rPr>
        <w:t>Grenadīnas</w:t>
      </w:r>
      <w:proofErr w:type="spellEnd"/>
      <w:r w:rsidRPr="001A3712">
        <w:rPr>
          <w:rFonts w:asciiTheme="majorBidi" w:hAnsiTheme="majorBidi" w:cstheme="majorBidi"/>
        </w:rPr>
        <w:t xml:space="preserve">, </w:t>
      </w:r>
      <w:proofErr w:type="spellStart"/>
      <w:r w:rsidRPr="001A3712">
        <w:rPr>
          <w:rFonts w:asciiTheme="majorBidi" w:hAnsiTheme="majorBidi" w:cstheme="majorBidi"/>
        </w:rPr>
        <w:t>Seišeļu</w:t>
      </w:r>
      <w:proofErr w:type="spellEnd"/>
      <w:r w:rsidRPr="001A3712">
        <w:rPr>
          <w:rFonts w:asciiTheme="majorBidi" w:hAnsiTheme="majorBidi" w:cstheme="majorBidi"/>
        </w:rPr>
        <w:t xml:space="preserve"> salas, </w:t>
      </w:r>
      <w:proofErr w:type="spellStart"/>
      <w:r w:rsidRPr="001A3712">
        <w:rPr>
          <w:rFonts w:asciiTheme="majorBidi" w:hAnsiTheme="majorBidi" w:cstheme="majorBidi"/>
        </w:rPr>
        <w:t>Sentlūsija</w:t>
      </w:r>
      <w:proofErr w:type="spellEnd"/>
      <w:r w:rsidRPr="001A3712">
        <w:rPr>
          <w:rFonts w:asciiTheme="majorBidi" w:hAnsiTheme="majorBidi" w:cstheme="majorBidi"/>
        </w:rPr>
        <w:t xml:space="preserve">, </w:t>
      </w:r>
      <w:proofErr w:type="spellStart"/>
      <w:r w:rsidRPr="001A3712">
        <w:rPr>
          <w:rFonts w:asciiTheme="majorBidi" w:hAnsiTheme="majorBidi" w:cstheme="majorBidi"/>
        </w:rPr>
        <w:t>Serbija</w:t>
      </w:r>
      <w:proofErr w:type="spellEnd"/>
      <w:r w:rsidRPr="001A3712">
        <w:rPr>
          <w:rFonts w:asciiTheme="majorBidi" w:hAnsiTheme="majorBidi" w:cstheme="majorBidi"/>
        </w:rPr>
        <w:t xml:space="preserve">, </w:t>
      </w:r>
      <w:proofErr w:type="spellStart"/>
      <w:r w:rsidRPr="001A3712">
        <w:rPr>
          <w:rFonts w:asciiTheme="majorBidi" w:hAnsiTheme="majorBidi" w:cstheme="majorBidi"/>
        </w:rPr>
        <w:t>Slovākija</w:t>
      </w:r>
      <w:proofErr w:type="spellEnd"/>
      <w:r w:rsidRPr="001A3712">
        <w:rPr>
          <w:rFonts w:asciiTheme="majorBidi" w:hAnsiTheme="majorBidi" w:cstheme="majorBidi"/>
        </w:rPr>
        <w:t xml:space="preserve">, </w:t>
      </w:r>
      <w:proofErr w:type="spellStart"/>
      <w:r w:rsidRPr="001A3712">
        <w:rPr>
          <w:rFonts w:asciiTheme="majorBidi" w:hAnsiTheme="majorBidi" w:cstheme="majorBidi"/>
        </w:rPr>
        <w:t>Slovēnija</w:t>
      </w:r>
      <w:proofErr w:type="spellEnd"/>
      <w:r w:rsidRPr="001A3712">
        <w:rPr>
          <w:rFonts w:asciiTheme="majorBidi" w:hAnsiTheme="majorBidi" w:cstheme="majorBidi"/>
        </w:rPr>
        <w:t xml:space="preserve">, </w:t>
      </w:r>
      <w:proofErr w:type="spellStart"/>
      <w:r w:rsidRPr="001A3712">
        <w:rPr>
          <w:rFonts w:asciiTheme="majorBidi" w:hAnsiTheme="majorBidi" w:cstheme="majorBidi"/>
        </w:rPr>
        <w:t>Somija</w:t>
      </w:r>
      <w:proofErr w:type="spellEnd"/>
      <w:r w:rsidRPr="001A3712">
        <w:rPr>
          <w:rFonts w:asciiTheme="majorBidi" w:hAnsiTheme="majorBidi" w:cstheme="majorBidi"/>
        </w:rPr>
        <w:t xml:space="preserve">, </w:t>
      </w:r>
      <w:proofErr w:type="spellStart"/>
      <w:r w:rsidRPr="001A3712">
        <w:rPr>
          <w:rFonts w:asciiTheme="majorBidi" w:hAnsiTheme="majorBidi" w:cstheme="majorBidi"/>
        </w:rPr>
        <w:t>Spānija</w:t>
      </w:r>
      <w:proofErr w:type="spellEnd"/>
      <w:r w:rsidRPr="001A3712">
        <w:rPr>
          <w:rFonts w:asciiTheme="majorBidi" w:hAnsiTheme="majorBidi" w:cstheme="majorBidi"/>
        </w:rPr>
        <w:t xml:space="preserve">, </w:t>
      </w:r>
      <w:proofErr w:type="spellStart"/>
      <w:r w:rsidRPr="001A3712">
        <w:rPr>
          <w:rFonts w:asciiTheme="majorBidi" w:hAnsiTheme="majorBidi" w:cstheme="majorBidi"/>
        </w:rPr>
        <w:t>Surinama</w:t>
      </w:r>
      <w:proofErr w:type="spellEnd"/>
      <w:r w:rsidRPr="001A3712">
        <w:rPr>
          <w:rFonts w:asciiTheme="majorBidi" w:hAnsiTheme="majorBidi" w:cstheme="majorBidi"/>
        </w:rPr>
        <w:t xml:space="preserve">, </w:t>
      </w:r>
      <w:proofErr w:type="spellStart"/>
      <w:r w:rsidRPr="001A3712">
        <w:rPr>
          <w:rFonts w:asciiTheme="majorBidi" w:hAnsiTheme="majorBidi" w:cstheme="majorBidi"/>
        </w:rPr>
        <w:t>Svazilenda</w:t>
      </w:r>
      <w:proofErr w:type="spellEnd"/>
      <w:r w:rsidRPr="001A3712">
        <w:rPr>
          <w:rFonts w:asciiTheme="majorBidi" w:hAnsiTheme="majorBidi" w:cstheme="majorBidi"/>
        </w:rPr>
        <w:t xml:space="preserve">, </w:t>
      </w:r>
      <w:proofErr w:type="spellStart"/>
      <w:r w:rsidRPr="001A3712">
        <w:rPr>
          <w:rFonts w:asciiTheme="majorBidi" w:hAnsiTheme="majorBidi" w:cstheme="majorBidi"/>
        </w:rPr>
        <w:t>Šveice</w:t>
      </w:r>
      <w:proofErr w:type="spellEnd"/>
      <w:r w:rsidRPr="001A3712">
        <w:rPr>
          <w:rFonts w:asciiTheme="majorBidi" w:hAnsiTheme="majorBidi" w:cstheme="majorBidi"/>
        </w:rPr>
        <w:t xml:space="preserve">, </w:t>
      </w:r>
      <w:proofErr w:type="spellStart"/>
      <w:r w:rsidRPr="001A3712">
        <w:rPr>
          <w:rFonts w:asciiTheme="majorBidi" w:hAnsiTheme="majorBidi" w:cstheme="majorBidi"/>
        </w:rPr>
        <w:t>Tadžikistāna</w:t>
      </w:r>
      <w:proofErr w:type="spellEnd"/>
      <w:r w:rsidRPr="001A3712">
        <w:rPr>
          <w:rFonts w:asciiTheme="majorBidi" w:hAnsiTheme="majorBidi" w:cstheme="majorBidi"/>
        </w:rPr>
        <w:t xml:space="preserve">, Tonga, </w:t>
      </w:r>
      <w:proofErr w:type="spellStart"/>
      <w:r w:rsidRPr="001A3712">
        <w:rPr>
          <w:rFonts w:asciiTheme="majorBidi" w:hAnsiTheme="majorBidi" w:cstheme="majorBidi"/>
        </w:rPr>
        <w:t>Trinidāda</w:t>
      </w:r>
      <w:proofErr w:type="spellEnd"/>
      <w:r w:rsidRPr="001A3712">
        <w:rPr>
          <w:rFonts w:asciiTheme="majorBidi" w:hAnsiTheme="majorBidi" w:cstheme="majorBidi"/>
        </w:rPr>
        <w:t xml:space="preserve"> un </w:t>
      </w:r>
      <w:proofErr w:type="spellStart"/>
      <w:r w:rsidRPr="001A3712">
        <w:rPr>
          <w:rFonts w:asciiTheme="majorBidi" w:hAnsiTheme="majorBidi" w:cstheme="majorBidi"/>
        </w:rPr>
        <w:t>Tobāgo</w:t>
      </w:r>
      <w:proofErr w:type="spellEnd"/>
      <w:r w:rsidRPr="00C91762">
        <w:rPr>
          <w:rFonts w:asciiTheme="majorBidi" w:hAnsiTheme="majorBidi" w:cstheme="majorBidi"/>
        </w:rPr>
        <w:t xml:space="preserve">, </w:t>
      </w:r>
      <w:proofErr w:type="spellStart"/>
      <w:r w:rsidR="004D22FA" w:rsidRPr="00C91762">
        <w:rPr>
          <w:rFonts w:asciiTheme="majorBidi" w:hAnsiTheme="majorBidi" w:cstheme="majorBidi"/>
        </w:rPr>
        <w:t>Tunisija</w:t>
      </w:r>
      <w:proofErr w:type="spellEnd"/>
      <w:r w:rsidR="004D22FA" w:rsidRPr="00C91762">
        <w:rPr>
          <w:rFonts w:asciiTheme="majorBidi" w:hAnsiTheme="majorBidi" w:cstheme="majorBidi"/>
        </w:rPr>
        <w:t xml:space="preserve"> (</w:t>
      </w:r>
      <w:proofErr w:type="spellStart"/>
      <w:r w:rsidR="004D22FA" w:rsidRPr="00C91762">
        <w:rPr>
          <w:rFonts w:asciiTheme="majorBidi" w:hAnsiTheme="majorBidi" w:cstheme="majorBidi"/>
        </w:rPr>
        <w:t>Konvencija</w:t>
      </w:r>
      <w:proofErr w:type="spellEnd"/>
      <w:r w:rsidR="004D22FA" w:rsidRPr="00C91762">
        <w:rPr>
          <w:rFonts w:asciiTheme="majorBidi" w:hAnsiTheme="majorBidi" w:cstheme="majorBidi"/>
        </w:rPr>
        <w:t xml:space="preserve"> </w:t>
      </w:r>
      <w:proofErr w:type="spellStart"/>
      <w:r w:rsidR="004D22FA" w:rsidRPr="00C91762">
        <w:rPr>
          <w:rFonts w:asciiTheme="majorBidi" w:hAnsiTheme="majorBidi" w:cstheme="majorBidi"/>
        </w:rPr>
        <w:t>tur</w:t>
      </w:r>
      <w:proofErr w:type="spellEnd"/>
      <w:r w:rsidR="004D22FA" w:rsidRPr="00C91762">
        <w:rPr>
          <w:rFonts w:asciiTheme="majorBidi" w:hAnsiTheme="majorBidi" w:cstheme="majorBidi"/>
        </w:rPr>
        <w:t xml:space="preserve"> </w:t>
      </w:r>
      <w:proofErr w:type="spellStart"/>
      <w:r w:rsidR="004D22FA" w:rsidRPr="00C91762">
        <w:rPr>
          <w:rFonts w:asciiTheme="majorBidi" w:hAnsiTheme="majorBidi" w:cstheme="majorBidi"/>
        </w:rPr>
        <w:t>stāsies</w:t>
      </w:r>
      <w:proofErr w:type="spellEnd"/>
      <w:r w:rsidR="004D22FA" w:rsidRPr="00C91762">
        <w:rPr>
          <w:rFonts w:asciiTheme="majorBidi" w:hAnsiTheme="majorBidi" w:cstheme="majorBidi"/>
        </w:rPr>
        <w:t xml:space="preserve"> </w:t>
      </w:r>
      <w:proofErr w:type="spellStart"/>
      <w:r w:rsidR="004D22FA" w:rsidRPr="00C91762">
        <w:rPr>
          <w:rFonts w:asciiTheme="majorBidi" w:hAnsiTheme="majorBidi" w:cstheme="majorBidi"/>
        </w:rPr>
        <w:t>spēkā</w:t>
      </w:r>
      <w:proofErr w:type="spellEnd"/>
      <w:r w:rsidR="004D22FA" w:rsidRPr="00C91762">
        <w:rPr>
          <w:rFonts w:asciiTheme="majorBidi" w:hAnsiTheme="majorBidi" w:cstheme="majorBidi"/>
        </w:rPr>
        <w:t xml:space="preserve"> 30.03.2018.), </w:t>
      </w:r>
      <w:proofErr w:type="spellStart"/>
      <w:r w:rsidRPr="00C91762">
        <w:rPr>
          <w:rFonts w:asciiTheme="majorBidi" w:hAnsiTheme="majorBidi" w:cstheme="majorBidi"/>
        </w:rPr>
        <w:t>Turcija</w:t>
      </w:r>
      <w:proofErr w:type="spellEnd"/>
      <w:r w:rsidRPr="00C91762">
        <w:rPr>
          <w:rFonts w:asciiTheme="majorBidi" w:hAnsiTheme="majorBidi" w:cstheme="majorBidi"/>
        </w:rPr>
        <w:t xml:space="preserve">, </w:t>
      </w:r>
      <w:proofErr w:type="spellStart"/>
      <w:r w:rsidRPr="00C91762">
        <w:rPr>
          <w:rFonts w:asciiTheme="majorBidi" w:hAnsiTheme="majorBidi" w:cstheme="majorBidi"/>
        </w:rPr>
        <w:t>Ukraina</w:t>
      </w:r>
      <w:proofErr w:type="spellEnd"/>
      <w:r w:rsidRPr="00C91762">
        <w:rPr>
          <w:rFonts w:asciiTheme="majorBidi" w:hAnsiTheme="majorBidi" w:cstheme="majorBidi"/>
        </w:rPr>
        <w:t xml:space="preserve">, </w:t>
      </w:r>
      <w:proofErr w:type="spellStart"/>
      <w:r w:rsidRPr="00C91762">
        <w:rPr>
          <w:rFonts w:asciiTheme="majorBidi" w:hAnsiTheme="majorBidi" w:cstheme="majorBidi"/>
        </w:rPr>
        <w:t>Ungārija</w:t>
      </w:r>
      <w:proofErr w:type="spellEnd"/>
      <w:r w:rsidRPr="00C91762">
        <w:rPr>
          <w:rFonts w:asciiTheme="majorBidi" w:hAnsiTheme="majorBidi" w:cstheme="majorBidi"/>
        </w:rPr>
        <w:t xml:space="preserve">, </w:t>
      </w:r>
      <w:proofErr w:type="spellStart"/>
      <w:r w:rsidRPr="00C91762">
        <w:rPr>
          <w:rFonts w:asciiTheme="majorBidi" w:hAnsiTheme="majorBidi" w:cstheme="majorBidi"/>
        </w:rPr>
        <w:t>Urugvaja</w:t>
      </w:r>
      <w:proofErr w:type="spellEnd"/>
      <w:r w:rsidRPr="00C91762">
        <w:rPr>
          <w:rFonts w:asciiTheme="majorBidi" w:hAnsiTheme="majorBidi" w:cstheme="majorBidi"/>
        </w:rPr>
        <w:t xml:space="preserve">, </w:t>
      </w:r>
      <w:proofErr w:type="spellStart"/>
      <w:r w:rsidRPr="00C91762">
        <w:rPr>
          <w:rFonts w:asciiTheme="majorBidi" w:hAnsiTheme="majorBidi" w:cstheme="majorBidi"/>
        </w:rPr>
        <w:t>Uzbekistāna</w:t>
      </w:r>
      <w:proofErr w:type="spellEnd"/>
      <w:r w:rsidRPr="00C91762">
        <w:rPr>
          <w:rFonts w:asciiTheme="majorBidi" w:hAnsiTheme="majorBidi" w:cstheme="majorBidi"/>
        </w:rPr>
        <w:t xml:space="preserve">, </w:t>
      </w:r>
      <w:proofErr w:type="spellStart"/>
      <w:r w:rsidRPr="00C91762">
        <w:rPr>
          <w:rFonts w:asciiTheme="majorBidi" w:hAnsiTheme="majorBidi" w:cstheme="majorBidi"/>
        </w:rPr>
        <w:t>Vācija</w:t>
      </w:r>
      <w:proofErr w:type="spellEnd"/>
      <w:r w:rsidRPr="00C91762">
        <w:rPr>
          <w:rFonts w:asciiTheme="majorBidi" w:hAnsiTheme="majorBidi" w:cstheme="majorBidi"/>
        </w:rPr>
        <w:t xml:space="preserve">, Vanuatu, </w:t>
      </w:r>
      <w:proofErr w:type="spellStart"/>
      <w:r w:rsidRPr="00C91762">
        <w:rPr>
          <w:rFonts w:asciiTheme="majorBidi" w:hAnsiTheme="majorBidi" w:cstheme="majorBidi"/>
        </w:rPr>
        <w:t>Venecuēla</w:t>
      </w:r>
      <w:proofErr w:type="spellEnd"/>
      <w:r w:rsidRPr="00C91762">
        <w:rPr>
          <w:rFonts w:asciiTheme="majorBidi" w:hAnsiTheme="majorBidi" w:cstheme="majorBidi"/>
        </w:rPr>
        <w:t xml:space="preserve">, </w:t>
      </w:r>
      <w:proofErr w:type="spellStart"/>
      <w:r w:rsidRPr="00C91762">
        <w:rPr>
          <w:rFonts w:asciiTheme="majorBidi" w:hAnsiTheme="majorBidi" w:cstheme="majorBidi"/>
        </w:rPr>
        <w:t>Zviedrija</w:t>
      </w:r>
      <w:proofErr w:type="spellEnd"/>
      <w:r w:rsidRPr="00C91762">
        <w:rPr>
          <w:rFonts w:asciiTheme="majorBidi" w:hAnsiTheme="majorBidi" w:cstheme="majorBidi"/>
        </w:rPr>
        <w:t>.</w:t>
      </w:r>
      <w:r w:rsidRPr="001A3712">
        <w:rPr>
          <w:rFonts w:asciiTheme="majorBidi" w:hAnsiTheme="majorBidi" w:cstheme="majorBidi"/>
        </w:rPr>
        <w:t xml:space="preserve"> </w:t>
      </w:r>
    </w:p>
    <w:p w14:paraId="43DD32A0" w14:textId="77777777" w:rsidR="00114953" w:rsidRDefault="00114953" w:rsidP="00114953">
      <w:pPr>
        <w:jc w:val="both"/>
        <w:rPr>
          <w:rFonts w:asciiTheme="majorBidi" w:hAnsiTheme="majorBidi" w:cstheme="majorBidi"/>
        </w:rPr>
      </w:pPr>
    </w:p>
    <w:p w14:paraId="17EC0768" w14:textId="77777777" w:rsidR="00114953" w:rsidRPr="00CD4311" w:rsidRDefault="00114953" w:rsidP="00114953">
      <w:pPr>
        <w:ind w:firstLine="708"/>
        <w:jc w:val="both"/>
        <w:rPr>
          <w:rFonts w:asciiTheme="majorBidi" w:hAnsiTheme="majorBidi" w:cstheme="majorBidi"/>
        </w:rPr>
      </w:pPr>
      <w:r>
        <w:rPr>
          <w:rFonts w:asciiTheme="majorBidi" w:hAnsiTheme="majorBidi" w:cstheme="majorBidi"/>
        </w:rPr>
        <w:t xml:space="preserve">Lai </w:t>
      </w:r>
      <w:proofErr w:type="spellStart"/>
      <w:r>
        <w:rPr>
          <w:rFonts w:asciiTheme="majorBidi" w:hAnsiTheme="majorBidi" w:cstheme="majorBidi"/>
        </w:rPr>
        <w:t>Konvenciju</w:t>
      </w:r>
      <w:proofErr w:type="spellEnd"/>
      <w:r>
        <w:rPr>
          <w:rFonts w:asciiTheme="majorBidi" w:hAnsiTheme="majorBidi" w:cstheme="majorBidi"/>
        </w:rPr>
        <w:t xml:space="preserve"> </w:t>
      </w:r>
      <w:proofErr w:type="spellStart"/>
      <w:r>
        <w:rPr>
          <w:rFonts w:asciiTheme="majorBidi" w:hAnsiTheme="majorBidi" w:cstheme="majorBidi"/>
        </w:rPr>
        <w:t>varētu</w:t>
      </w:r>
      <w:proofErr w:type="spellEnd"/>
      <w:r>
        <w:rPr>
          <w:rFonts w:asciiTheme="majorBidi" w:hAnsiTheme="majorBidi" w:cstheme="majorBidi"/>
        </w:rPr>
        <w:t xml:space="preserve"> </w:t>
      </w:r>
      <w:proofErr w:type="spellStart"/>
      <w:r>
        <w:rPr>
          <w:rFonts w:asciiTheme="majorBidi" w:hAnsiTheme="majorBidi" w:cstheme="majorBidi"/>
        </w:rPr>
        <w:t>piemērot</w:t>
      </w:r>
      <w:proofErr w:type="spellEnd"/>
      <w:r>
        <w:rPr>
          <w:rFonts w:asciiTheme="majorBidi" w:hAnsiTheme="majorBidi" w:cstheme="majorBidi"/>
        </w:rPr>
        <w:t xml:space="preserve"> </w:t>
      </w:r>
      <w:proofErr w:type="spellStart"/>
      <w:r>
        <w:rPr>
          <w:rFonts w:asciiTheme="majorBidi" w:hAnsiTheme="majorBidi" w:cstheme="majorBidi"/>
        </w:rPr>
        <w:t>starp</w:t>
      </w:r>
      <w:proofErr w:type="spellEnd"/>
      <w:r>
        <w:rPr>
          <w:rFonts w:asciiTheme="majorBidi" w:hAnsiTheme="majorBidi" w:cstheme="majorBidi"/>
        </w:rPr>
        <w:t xml:space="preserve"> </w:t>
      </w:r>
      <w:proofErr w:type="spellStart"/>
      <w:r>
        <w:rPr>
          <w:rFonts w:asciiTheme="majorBidi" w:hAnsiTheme="majorBidi" w:cstheme="majorBidi"/>
        </w:rPr>
        <w:t>Latviju</w:t>
      </w:r>
      <w:proofErr w:type="spellEnd"/>
      <w:r>
        <w:rPr>
          <w:rFonts w:asciiTheme="majorBidi" w:hAnsiTheme="majorBidi" w:cstheme="majorBidi"/>
        </w:rPr>
        <w:t xml:space="preserve"> un </w:t>
      </w:r>
      <w:proofErr w:type="spellStart"/>
      <w:r>
        <w:rPr>
          <w:rFonts w:asciiTheme="majorBidi" w:hAnsiTheme="majorBidi" w:cstheme="majorBidi"/>
        </w:rPr>
        <w:t>attiecīgo</w:t>
      </w:r>
      <w:proofErr w:type="spellEnd"/>
      <w:r>
        <w:rPr>
          <w:rFonts w:asciiTheme="majorBidi" w:hAnsiTheme="majorBidi" w:cstheme="majorBidi"/>
        </w:rPr>
        <w:t xml:space="preserve"> </w:t>
      </w:r>
      <w:proofErr w:type="spellStart"/>
      <w:r>
        <w:rPr>
          <w:rFonts w:asciiTheme="majorBidi" w:hAnsiTheme="majorBidi" w:cstheme="majorBidi"/>
        </w:rPr>
        <w:t>valsti</w:t>
      </w:r>
      <w:proofErr w:type="spellEnd"/>
      <w:r>
        <w:rPr>
          <w:rFonts w:asciiTheme="majorBidi" w:hAnsiTheme="majorBidi" w:cstheme="majorBidi"/>
        </w:rPr>
        <w:t xml:space="preserve">, tai </w:t>
      </w:r>
      <w:proofErr w:type="spellStart"/>
      <w:r>
        <w:rPr>
          <w:rFonts w:asciiTheme="majorBidi" w:hAnsiTheme="majorBidi" w:cstheme="majorBidi"/>
        </w:rPr>
        <w:t>jābūt</w:t>
      </w:r>
      <w:proofErr w:type="spellEnd"/>
      <w:r>
        <w:rPr>
          <w:rFonts w:asciiTheme="majorBidi" w:hAnsiTheme="majorBidi" w:cstheme="majorBidi"/>
        </w:rPr>
        <w:t xml:space="preserve"> </w:t>
      </w:r>
      <w:proofErr w:type="spellStart"/>
      <w:r w:rsidRPr="00040F63">
        <w:rPr>
          <w:rFonts w:asciiTheme="majorBidi" w:hAnsiTheme="majorBidi" w:cstheme="majorBidi"/>
          <w:b/>
          <w:bCs/>
        </w:rPr>
        <w:t>spēkā</w:t>
      </w:r>
      <w:proofErr w:type="spellEnd"/>
      <w:r w:rsidRPr="00040F63">
        <w:rPr>
          <w:rFonts w:asciiTheme="majorBidi" w:hAnsiTheme="majorBidi" w:cstheme="majorBidi"/>
          <w:b/>
          <w:bCs/>
        </w:rPr>
        <w:t xml:space="preserve"> </w:t>
      </w:r>
      <w:proofErr w:type="spellStart"/>
      <w:r w:rsidRPr="00040F63">
        <w:rPr>
          <w:rFonts w:asciiTheme="majorBidi" w:hAnsiTheme="majorBidi" w:cstheme="majorBidi"/>
          <w:b/>
          <w:bCs/>
        </w:rPr>
        <w:t>esošai</w:t>
      </w:r>
      <w:proofErr w:type="spellEnd"/>
      <w:r>
        <w:rPr>
          <w:rFonts w:asciiTheme="majorBidi" w:hAnsiTheme="majorBidi" w:cstheme="majorBidi"/>
        </w:rPr>
        <w:t xml:space="preserve"> gan </w:t>
      </w:r>
      <w:proofErr w:type="spellStart"/>
      <w:r>
        <w:rPr>
          <w:rFonts w:asciiTheme="majorBidi" w:hAnsiTheme="majorBidi" w:cstheme="majorBidi"/>
        </w:rPr>
        <w:t>Latvijā</w:t>
      </w:r>
      <w:proofErr w:type="spellEnd"/>
      <w:r>
        <w:rPr>
          <w:rFonts w:asciiTheme="majorBidi" w:hAnsiTheme="majorBidi" w:cstheme="majorBidi"/>
        </w:rPr>
        <w:t xml:space="preserve">, gan </w:t>
      </w:r>
      <w:proofErr w:type="spellStart"/>
      <w:r>
        <w:rPr>
          <w:rFonts w:asciiTheme="majorBidi" w:hAnsiTheme="majorBidi" w:cstheme="majorBidi"/>
        </w:rPr>
        <w:t>attiecīgajā</w:t>
      </w:r>
      <w:proofErr w:type="spellEnd"/>
      <w:r>
        <w:rPr>
          <w:rFonts w:asciiTheme="majorBidi" w:hAnsiTheme="majorBidi" w:cstheme="majorBidi"/>
        </w:rPr>
        <w:t xml:space="preserve"> </w:t>
      </w:r>
      <w:proofErr w:type="spellStart"/>
      <w:r>
        <w:rPr>
          <w:rFonts w:asciiTheme="majorBidi" w:hAnsiTheme="majorBidi" w:cstheme="majorBidi"/>
        </w:rPr>
        <w:t>valstī</w:t>
      </w:r>
      <w:proofErr w:type="spellEnd"/>
      <w:r>
        <w:rPr>
          <w:rFonts w:asciiTheme="majorBidi" w:hAnsiTheme="majorBidi" w:cstheme="majorBidi"/>
        </w:rPr>
        <w:t xml:space="preserve">. </w:t>
      </w:r>
      <w:proofErr w:type="spellStart"/>
      <w:r>
        <w:rPr>
          <w:rFonts w:asciiTheme="majorBidi" w:hAnsiTheme="majorBidi" w:cstheme="majorBidi"/>
        </w:rPr>
        <w:t>T.i</w:t>
      </w:r>
      <w:proofErr w:type="spellEnd"/>
      <w:r>
        <w:rPr>
          <w:rFonts w:asciiTheme="majorBidi" w:hAnsiTheme="majorBidi" w:cstheme="majorBidi"/>
        </w:rPr>
        <w:t xml:space="preserve">., </w:t>
      </w:r>
      <w:proofErr w:type="spellStart"/>
      <w:r>
        <w:rPr>
          <w:rFonts w:asciiTheme="majorBidi" w:hAnsiTheme="majorBidi" w:cstheme="majorBidi"/>
        </w:rPr>
        <w:t>ja</w:t>
      </w:r>
      <w:proofErr w:type="spellEnd"/>
      <w:r>
        <w:rPr>
          <w:rFonts w:asciiTheme="majorBidi" w:hAnsiTheme="majorBidi" w:cstheme="majorBidi"/>
        </w:rPr>
        <w:t xml:space="preserve"> </w:t>
      </w:r>
      <w:proofErr w:type="spellStart"/>
      <w:r>
        <w:rPr>
          <w:rFonts w:asciiTheme="majorBidi" w:hAnsiTheme="majorBidi" w:cstheme="majorBidi"/>
        </w:rPr>
        <w:t>valsts</w:t>
      </w:r>
      <w:proofErr w:type="spellEnd"/>
      <w:r>
        <w:rPr>
          <w:rFonts w:asciiTheme="majorBidi" w:hAnsiTheme="majorBidi" w:cstheme="majorBidi"/>
        </w:rPr>
        <w:t xml:space="preserve"> </w:t>
      </w:r>
      <w:proofErr w:type="spellStart"/>
      <w:r>
        <w:rPr>
          <w:rFonts w:asciiTheme="majorBidi" w:hAnsiTheme="majorBidi" w:cstheme="majorBidi"/>
        </w:rPr>
        <w:t>pagaidām</w:t>
      </w:r>
      <w:proofErr w:type="spellEnd"/>
      <w:r>
        <w:rPr>
          <w:rFonts w:asciiTheme="majorBidi" w:hAnsiTheme="majorBidi" w:cstheme="majorBidi"/>
        </w:rPr>
        <w:t xml:space="preserve"> </w:t>
      </w:r>
      <w:proofErr w:type="spellStart"/>
      <w:r>
        <w:rPr>
          <w:rFonts w:asciiTheme="majorBidi" w:hAnsiTheme="majorBidi" w:cstheme="majorBidi"/>
        </w:rPr>
        <w:t>ir</w:t>
      </w:r>
      <w:proofErr w:type="spellEnd"/>
      <w:r>
        <w:rPr>
          <w:rFonts w:asciiTheme="majorBidi" w:hAnsiTheme="majorBidi" w:cstheme="majorBidi"/>
        </w:rPr>
        <w:t xml:space="preserve"> </w:t>
      </w:r>
      <w:proofErr w:type="spellStart"/>
      <w:r>
        <w:rPr>
          <w:rFonts w:asciiTheme="majorBidi" w:hAnsiTheme="majorBidi" w:cstheme="majorBidi"/>
        </w:rPr>
        <w:t>tikai</w:t>
      </w:r>
      <w:proofErr w:type="spellEnd"/>
      <w:r>
        <w:rPr>
          <w:rFonts w:asciiTheme="majorBidi" w:hAnsiTheme="majorBidi" w:cstheme="majorBidi"/>
        </w:rPr>
        <w:t xml:space="preserve"> </w:t>
      </w:r>
      <w:proofErr w:type="spellStart"/>
      <w:r>
        <w:rPr>
          <w:rFonts w:asciiTheme="majorBidi" w:hAnsiTheme="majorBidi" w:cstheme="majorBidi"/>
        </w:rPr>
        <w:t>pievienojusies</w:t>
      </w:r>
      <w:proofErr w:type="spellEnd"/>
      <w:r>
        <w:rPr>
          <w:rFonts w:asciiTheme="majorBidi" w:hAnsiTheme="majorBidi" w:cstheme="majorBidi"/>
        </w:rPr>
        <w:t xml:space="preserve"> </w:t>
      </w:r>
      <w:proofErr w:type="spellStart"/>
      <w:r>
        <w:rPr>
          <w:rFonts w:asciiTheme="majorBidi" w:hAnsiTheme="majorBidi" w:cstheme="majorBidi"/>
        </w:rPr>
        <w:t>Konvencijai</w:t>
      </w:r>
      <w:proofErr w:type="spellEnd"/>
      <w:r>
        <w:rPr>
          <w:rFonts w:asciiTheme="majorBidi" w:hAnsiTheme="majorBidi" w:cstheme="majorBidi"/>
        </w:rPr>
        <w:t xml:space="preserve">, bet </w:t>
      </w:r>
      <w:proofErr w:type="spellStart"/>
      <w:r>
        <w:rPr>
          <w:rFonts w:asciiTheme="majorBidi" w:hAnsiTheme="majorBidi" w:cstheme="majorBidi"/>
        </w:rPr>
        <w:t>tā</w:t>
      </w:r>
      <w:proofErr w:type="spellEnd"/>
      <w:r>
        <w:rPr>
          <w:rFonts w:asciiTheme="majorBidi" w:hAnsiTheme="majorBidi" w:cstheme="majorBidi"/>
        </w:rPr>
        <w:t xml:space="preserve"> </w:t>
      </w:r>
      <w:proofErr w:type="spellStart"/>
      <w:r>
        <w:rPr>
          <w:rFonts w:asciiTheme="majorBidi" w:hAnsiTheme="majorBidi" w:cstheme="majorBidi"/>
        </w:rPr>
        <w:t>vēl</w:t>
      </w:r>
      <w:proofErr w:type="spellEnd"/>
      <w:r>
        <w:rPr>
          <w:rFonts w:asciiTheme="majorBidi" w:hAnsiTheme="majorBidi" w:cstheme="majorBidi"/>
        </w:rPr>
        <w:t xml:space="preserve"> </w:t>
      </w:r>
      <w:proofErr w:type="spellStart"/>
      <w:r>
        <w:rPr>
          <w:rFonts w:asciiTheme="majorBidi" w:hAnsiTheme="majorBidi" w:cstheme="majorBidi"/>
        </w:rPr>
        <w:t>šajā</w:t>
      </w:r>
      <w:proofErr w:type="spellEnd"/>
      <w:r>
        <w:rPr>
          <w:rFonts w:asciiTheme="majorBidi" w:hAnsiTheme="majorBidi" w:cstheme="majorBidi"/>
        </w:rPr>
        <w:t xml:space="preserve"> </w:t>
      </w:r>
      <w:proofErr w:type="spellStart"/>
      <w:r>
        <w:rPr>
          <w:rFonts w:asciiTheme="majorBidi" w:hAnsiTheme="majorBidi" w:cstheme="majorBidi"/>
        </w:rPr>
        <w:t>valstī</w:t>
      </w:r>
      <w:proofErr w:type="spellEnd"/>
      <w:r>
        <w:rPr>
          <w:rFonts w:asciiTheme="majorBidi" w:hAnsiTheme="majorBidi" w:cstheme="majorBidi"/>
        </w:rPr>
        <w:t xml:space="preserve"> </w:t>
      </w:r>
      <w:proofErr w:type="spellStart"/>
      <w:r>
        <w:rPr>
          <w:rFonts w:asciiTheme="majorBidi" w:hAnsiTheme="majorBidi" w:cstheme="majorBidi"/>
        </w:rPr>
        <w:t>nav</w:t>
      </w:r>
      <w:proofErr w:type="spellEnd"/>
      <w:r>
        <w:rPr>
          <w:rFonts w:asciiTheme="majorBidi" w:hAnsiTheme="majorBidi" w:cstheme="majorBidi"/>
        </w:rPr>
        <w:t xml:space="preserve"> </w:t>
      </w:r>
      <w:proofErr w:type="spellStart"/>
      <w:r>
        <w:rPr>
          <w:rFonts w:asciiTheme="majorBidi" w:hAnsiTheme="majorBidi" w:cstheme="majorBidi"/>
        </w:rPr>
        <w:t>stājusies</w:t>
      </w:r>
      <w:proofErr w:type="spellEnd"/>
      <w:r>
        <w:rPr>
          <w:rFonts w:asciiTheme="majorBidi" w:hAnsiTheme="majorBidi" w:cstheme="majorBidi"/>
        </w:rPr>
        <w:t xml:space="preserve"> </w:t>
      </w:r>
      <w:proofErr w:type="spellStart"/>
      <w:r>
        <w:rPr>
          <w:rFonts w:asciiTheme="majorBidi" w:hAnsiTheme="majorBidi" w:cstheme="majorBidi"/>
        </w:rPr>
        <w:t>spēkā</w:t>
      </w:r>
      <w:proofErr w:type="spellEnd"/>
      <w:r>
        <w:rPr>
          <w:rFonts w:asciiTheme="majorBidi" w:hAnsiTheme="majorBidi" w:cstheme="majorBidi"/>
        </w:rPr>
        <w:t xml:space="preserve">, </w:t>
      </w:r>
      <w:proofErr w:type="spellStart"/>
      <w:r>
        <w:rPr>
          <w:rFonts w:asciiTheme="majorBidi" w:hAnsiTheme="majorBidi" w:cstheme="majorBidi"/>
        </w:rPr>
        <w:t>tad</w:t>
      </w:r>
      <w:proofErr w:type="spellEnd"/>
      <w:r>
        <w:rPr>
          <w:rFonts w:asciiTheme="majorBidi" w:hAnsiTheme="majorBidi" w:cstheme="majorBidi"/>
        </w:rPr>
        <w:t xml:space="preserve"> </w:t>
      </w:r>
      <w:proofErr w:type="spellStart"/>
      <w:r>
        <w:rPr>
          <w:rFonts w:asciiTheme="majorBidi" w:hAnsiTheme="majorBidi" w:cstheme="majorBidi"/>
        </w:rPr>
        <w:t>Konvenciju</w:t>
      </w:r>
      <w:proofErr w:type="spellEnd"/>
      <w:r>
        <w:rPr>
          <w:rFonts w:asciiTheme="majorBidi" w:hAnsiTheme="majorBidi" w:cstheme="majorBidi"/>
        </w:rPr>
        <w:t xml:space="preserve"> </w:t>
      </w:r>
      <w:proofErr w:type="spellStart"/>
      <w:r>
        <w:rPr>
          <w:rFonts w:asciiTheme="majorBidi" w:hAnsiTheme="majorBidi" w:cstheme="majorBidi"/>
        </w:rPr>
        <w:t>starp</w:t>
      </w:r>
      <w:proofErr w:type="spellEnd"/>
      <w:r>
        <w:rPr>
          <w:rFonts w:asciiTheme="majorBidi" w:hAnsiTheme="majorBidi" w:cstheme="majorBidi"/>
        </w:rPr>
        <w:t xml:space="preserve"> </w:t>
      </w:r>
      <w:proofErr w:type="spellStart"/>
      <w:r>
        <w:rPr>
          <w:rFonts w:asciiTheme="majorBidi" w:hAnsiTheme="majorBidi" w:cstheme="majorBidi"/>
        </w:rPr>
        <w:t>Latviju</w:t>
      </w:r>
      <w:proofErr w:type="spellEnd"/>
      <w:r>
        <w:rPr>
          <w:rFonts w:asciiTheme="majorBidi" w:hAnsiTheme="majorBidi" w:cstheme="majorBidi"/>
        </w:rPr>
        <w:t xml:space="preserve"> un </w:t>
      </w:r>
      <w:proofErr w:type="spellStart"/>
      <w:r>
        <w:rPr>
          <w:rFonts w:asciiTheme="majorBidi" w:hAnsiTheme="majorBidi" w:cstheme="majorBidi"/>
        </w:rPr>
        <w:t>attiecīgo</w:t>
      </w:r>
      <w:proofErr w:type="spellEnd"/>
      <w:r>
        <w:rPr>
          <w:rFonts w:asciiTheme="majorBidi" w:hAnsiTheme="majorBidi" w:cstheme="majorBidi"/>
        </w:rPr>
        <w:t xml:space="preserve"> </w:t>
      </w:r>
      <w:proofErr w:type="spellStart"/>
      <w:r>
        <w:rPr>
          <w:rFonts w:asciiTheme="majorBidi" w:hAnsiTheme="majorBidi" w:cstheme="majorBidi"/>
        </w:rPr>
        <w:t>valsti</w:t>
      </w:r>
      <w:proofErr w:type="spellEnd"/>
      <w:r>
        <w:rPr>
          <w:rFonts w:asciiTheme="majorBidi" w:hAnsiTheme="majorBidi" w:cstheme="majorBidi"/>
        </w:rPr>
        <w:t xml:space="preserve"> </w:t>
      </w:r>
      <w:proofErr w:type="spellStart"/>
      <w:r>
        <w:rPr>
          <w:rFonts w:asciiTheme="majorBidi" w:hAnsiTheme="majorBidi" w:cstheme="majorBidi"/>
        </w:rPr>
        <w:t>piemērot</w:t>
      </w:r>
      <w:proofErr w:type="spellEnd"/>
      <w:r>
        <w:rPr>
          <w:rFonts w:asciiTheme="majorBidi" w:hAnsiTheme="majorBidi" w:cstheme="majorBidi"/>
        </w:rPr>
        <w:t xml:space="preserve"> </w:t>
      </w:r>
      <w:proofErr w:type="spellStart"/>
      <w:r>
        <w:rPr>
          <w:rFonts w:asciiTheme="majorBidi" w:hAnsiTheme="majorBidi" w:cstheme="majorBidi"/>
        </w:rPr>
        <w:t>nevar</w:t>
      </w:r>
      <w:proofErr w:type="spellEnd"/>
      <w:r>
        <w:rPr>
          <w:rFonts w:asciiTheme="majorBidi" w:hAnsiTheme="majorBidi" w:cstheme="majorBidi"/>
        </w:rPr>
        <w:t xml:space="preserve"> (</w:t>
      </w:r>
      <w:proofErr w:type="spellStart"/>
      <w:r>
        <w:rPr>
          <w:rFonts w:asciiTheme="majorBidi" w:hAnsiTheme="majorBidi" w:cstheme="majorBidi"/>
        </w:rPr>
        <w:t>piemēram</w:t>
      </w:r>
      <w:proofErr w:type="spellEnd"/>
      <w:r>
        <w:rPr>
          <w:rFonts w:asciiTheme="majorBidi" w:hAnsiTheme="majorBidi" w:cstheme="majorBidi"/>
        </w:rPr>
        <w:t xml:space="preserve">, </w:t>
      </w:r>
      <w:proofErr w:type="spellStart"/>
      <w:r>
        <w:rPr>
          <w:rFonts w:asciiTheme="majorBidi" w:hAnsiTheme="majorBidi" w:cstheme="majorBidi"/>
        </w:rPr>
        <w:t>šobrīd</w:t>
      </w:r>
      <w:proofErr w:type="spellEnd"/>
      <w:r>
        <w:rPr>
          <w:rFonts w:asciiTheme="majorBidi" w:hAnsiTheme="majorBidi" w:cstheme="majorBidi"/>
        </w:rPr>
        <w:t xml:space="preserve"> </w:t>
      </w:r>
      <w:proofErr w:type="spellStart"/>
      <w:r>
        <w:rPr>
          <w:rFonts w:asciiTheme="majorBidi" w:hAnsiTheme="majorBidi" w:cstheme="majorBidi"/>
        </w:rPr>
        <w:t>Konvencija</w:t>
      </w:r>
      <w:proofErr w:type="spellEnd"/>
      <w:r>
        <w:rPr>
          <w:rFonts w:asciiTheme="majorBidi" w:hAnsiTheme="majorBidi" w:cstheme="majorBidi"/>
        </w:rPr>
        <w:t xml:space="preserve"> </w:t>
      </w:r>
      <w:proofErr w:type="spellStart"/>
      <w:r>
        <w:rPr>
          <w:rFonts w:asciiTheme="majorBidi" w:hAnsiTheme="majorBidi" w:cstheme="majorBidi"/>
        </w:rPr>
        <w:t>vēl</w:t>
      </w:r>
      <w:proofErr w:type="spellEnd"/>
      <w:r>
        <w:rPr>
          <w:rFonts w:asciiTheme="majorBidi" w:hAnsiTheme="majorBidi" w:cstheme="majorBidi"/>
        </w:rPr>
        <w:t xml:space="preserve"> </w:t>
      </w:r>
      <w:proofErr w:type="spellStart"/>
      <w:r>
        <w:rPr>
          <w:rFonts w:asciiTheme="majorBidi" w:hAnsiTheme="majorBidi" w:cstheme="majorBidi"/>
        </w:rPr>
        <w:t>nav</w:t>
      </w:r>
      <w:proofErr w:type="spellEnd"/>
      <w:r>
        <w:rPr>
          <w:rFonts w:asciiTheme="majorBidi" w:hAnsiTheme="majorBidi" w:cstheme="majorBidi"/>
        </w:rPr>
        <w:t xml:space="preserve"> </w:t>
      </w:r>
      <w:proofErr w:type="spellStart"/>
      <w:r>
        <w:rPr>
          <w:rFonts w:asciiTheme="majorBidi" w:hAnsiTheme="majorBidi" w:cstheme="majorBidi"/>
        </w:rPr>
        <w:t>spēkā</w:t>
      </w:r>
      <w:proofErr w:type="spellEnd"/>
      <w:r>
        <w:rPr>
          <w:rFonts w:asciiTheme="majorBidi" w:hAnsiTheme="majorBidi" w:cstheme="majorBidi"/>
        </w:rPr>
        <w:t xml:space="preserve"> </w:t>
      </w:r>
      <w:proofErr w:type="spellStart"/>
      <w:r w:rsidRPr="00CD4311">
        <w:rPr>
          <w:rFonts w:asciiTheme="majorBidi" w:hAnsiTheme="majorBidi" w:cstheme="majorBidi"/>
        </w:rPr>
        <w:t>Gvatemalā</w:t>
      </w:r>
      <w:proofErr w:type="spellEnd"/>
      <w:r w:rsidRPr="00CD4311">
        <w:rPr>
          <w:rFonts w:asciiTheme="majorBidi" w:hAnsiTheme="majorBidi" w:cstheme="majorBidi"/>
        </w:rPr>
        <w:t xml:space="preserve"> (</w:t>
      </w:r>
      <w:proofErr w:type="spellStart"/>
      <w:r w:rsidRPr="00CD4311">
        <w:rPr>
          <w:rFonts w:asciiTheme="majorBidi" w:hAnsiTheme="majorBidi" w:cstheme="majorBidi"/>
        </w:rPr>
        <w:t>situācija</w:t>
      </w:r>
      <w:proofErr w:type="spellEnd"/>
      <w:r w:rsidRPr="00CD4311">
        <w:rPr>
          <w:rFonts w:asciiTheme="majorBidi" w:hAnsiTheme="majorBidi" w:cstheme="majorBidi"/>
        </w:rPr>
        <w:t xml:space="preserve"> </w:t>
      </w:r>
      <w:proofErr w:type="spellStart"/>
      <w:r w:rsidRPr="00CD4311">
        <w:rPr>
          <w:rFonts w:asciiTheme="majorBidi" w:hAnsiTheme="majorBidi" w:cstheme="majorBidi"/>
        </w:rPr>
        <w:t>mainīsies</w:t>
      </w:r>
      <w:proofErr w:type="spellEnd"/>
      <w:r w:rsidRPr="00CD4311">
        <w:rPr>
          <w:rFonts w:asciiTheme="majorBidi" w:hAnsiTheme="majorBidi" w:cstheme="majorBidi"/>
        </w:rPr>
        <w:t xml:space="preserve"> 2017.gada </w:t>
      </w:r>
      <w:proofErr w:type="spellStart"/>
      <w:r w:rsidRPr="00CD4311">
        <w:rPr>
          <w:rFonts w:asciiTheme="majorBidi" w:hAnsiTheme="majorBidi" w:cstheme="majorBidi"/>
        </w:rPr>
        <w:t>septembrī</w:t>
      </w:r>
      <w:proofErr w:type="spellEnd"/>
      <w:r w:rsidRPr="00CD4311">
        <w:rPr>
          <w:rFonts w:asciiTheme="majorBidi" w:hAnsiTheme="majorBidi" w:cstheme="majorBidi"/>
        </w:rPr>
        <w:t>).</w:t>
      </w:r>
    </w:p>
    <w:p w14:paraId="54E4EE1B" w14:textId="77777777" w:rsidR="00114953" w:rsidRPr="00CD4311" w:rsidRDefault="00114953" w:rsidP="00114953">
      <w:pPr>
        <w:ind w:firstLine="708"/>
        <w:jc w:val="both"/>
        <w:rPr>
          <w:rFonts w:asciiTheme="majorBidi" w:hAnsiTheme="majorBidi" w:cstheme="majorBidi"/>
        </w:rPr>
      </w:pPr>
      <w:proofErr w:type="spellStart"/>
      <w:r w:rsidRPr="00CD4311">
        <w:rPr>
          <w:rFonts w:asciiTheme="majorBidi" w:hAnsiTheme="majorBidi" w:cstheme="majorBidi"/>
        </w:rPr>
        <w:t>Vēlmi</w:t>
      </w:r>
      <w:proofErr w:type="spellEnd"/>
      <w:r w:rsidRPr="00CD4311">
        <w:rPr>
          <w:rFonts w:asciiTheme="majorBidi" w:hAnsiTheme="majorBidi" w:cstheme="majorBidi"/>
        </w:rPr>
        <w:t xml:space="preserve"> </w:t>
      </w:r>
      <w:proofErr w:type="spellStart"/>
      <w:r w:rsidRPr="00CD4311">
        <w:rPr>
          <w:rFonts w:asciiTheme="majorBidi" w:hAnsiTheme="majorBidi" w:cstheme="majorBidi"/>
        </w:rPr>
        <w:t>pievienoties</w:t>
      </w:r>
      <w:proofErr w:type="spellEnd"/>
      <w:r w:rsidRPr="00CD4311">
        <w:rPr>
          <w:rFonts w:asciiTheme="majorBidi" w:hAnsiTheme="majorBidi" w:cstheme="majorBidi"/>
        </w:rPr>
        <w:t xml:space="preserve"> </w:t>
      </w:r>
      <w:proofErr w:type="spellStart"/>
      <w:r w:rsidRPr="00CD4311">
        <w:rPr>
          <w:rFonts w:asciiTheme="majorBidi" w:hAnsiTheme="majorBidi" w:cstheme="majorBidi"/>
        </w:rPr>
        <w:t>Konvencijai</w:t>
      </w:r>
      <w:proofErr w:type="spellEnd"/>
      <w:r w:rsidRPr="00CD4311">
        <w:rPr>
          <w:rFonts w:asciiTheme="majorBidi" w:hAnsiTheme="majorBidi" w:cstheme="majorBidi"/>
        </w:rPr>
        <w:t xml:space="preserve"> </w:t>
      </w:r>
      <w:proofErr w:type="spellStart"/>
      <w:r w:rsidRPr="00CD4311">
        <w:rPr>
          <w:rFonts w:asciiTheme="majorBidi" w:hAnsiTheme="majorBidi" w:cstheme="majorBidi"/>
        </w:rPr>
        <w:t>izteikušas</w:t>
      </w:r>
      <w:proofErr w:type="spellEnd"/>
      <w:r w:rsidRPr="00CD4311">
        <w:rPr>
          <w:rFonts w:asciiTheme="majorBidi" w:hAnsiTheme="majorBidi" w:cstheme="majorBidi"/>
        </w:rPr>
        <w:t xml:space="preserve"> </w:t>
      </w:r>
      <w:proofErr w:type="spellStart"/>
      <w:r w:rsidRPr="00CD4311">
        <w:rPr>
          <w:rFonts w:asciiTheme="majorBidi" w:hAnsiTheme="majorBidi" w:cstheme="majorBidi"/>
        </w:rPr>
        <w:t>arī</w:t>
      </w:r>
      <w:proofErr w:type="spellEnd"/>
      <w:r w:rsidRPr="00CD4311">
        <w:rPr>
          <w:rFonts w:asciiTheme="majorBidi" w:hAnsiTheme="majorBidi" w:cstheme="majorBidi"/>
        </w:rPr>
        <w:t xml:space="preserve"> </w:t>
      </w:r>
      <w:proofErr w:type="spellStart"/>
      <w:r w:rsidRPr="00CD4311">
        <w:rPr>
          <w:rFonts w:asciiTheme="majorBidi" w:hAnsiTheme="majorBidi" w:cstheme="majorBidi"/>
        </w:rPr>
        <w:t>Irāna</w:t>
      </w:r>
      <w:proofErr w:type="spellEnd"/>
      <w:r w:rsidRPr="00CD4311">
        <w:rPr>
          <w:rFonts w:asciiTheme="majorBidi" w:hAnsiTheme="majorBidi" w:cstheme="majorBidi"/>
        </w:rPr>
        <w:t xml:space="preserve">, </w:t>
      </w:r>
      <w:proofErr w:type="spellStart"/>
      <w:r w:rsidRPr="00CD4311">
        <w:rPr>
          <w:rFonts w:asciiTheme="majorBidi" w:hAnsiTheme="majorBidi" w:cstheme="majorBidi"/>
        </w:rPr>
        <w:t>Filipīnas</w:t>
      </w:r>
      <w:proofErr w:type="spellEnd"/>
      <w:r w:rsidRPr="00CD4311">
        <w:rPr>
          <w:rFonts w:asciiTheme="majorBidi" w:hAnsiTheme="majorBidi" w:cstheme="majorBidi"/>
        </w:rPr>
        <w:t xml:space="preserve">, </w:t>
      </w:r>
      <w:proofErr w:type="spellStart"/>
      <w:r w:rsidRPr="00CD4311">
        <w:rPr>
          <w:rFonts w:asciiTheme="majorBidi" w:hAnsiTheme="majorBidi" w:cstheme="majorBidi"/>
        </w:rPr>
        <w:t>Indonēzija</w:t>
      </w:r>
      <w:proofErr w:type="spellEnd"/>
      <w:r w:rsidRPr="00CD4311">
        <w:rPr>
          <w:rFonts w:asciiTheme="majorBidi" w:hAnsiTheme="majorBidi" w:cstheme="majorBidi"/>
        </w:rPr>
        <w:t xml:space="preserve"> un </w:t>
      </w:r>
      <w:proofErr w:type="spellStart"/>
      <w:r w:rsidRPr="00CD4311">
        <w:rPr>
          <w:rFonts w:asciiTheme="majorBidi" w:hAnsiTheme="majorBidi" w:cstheme="majorBidi"/>
        </w:rPr>
        <w:t>Gvajāna</w:t>
      </w:r>
      <w:proofErr w:type="spellEnd"/>
      <w:r w:rsidRPr="00CD4311">
        <w:rPr>
          <w:rFonts w:asciiTheme="majorBidi" w:hAnsiTheme="majorBidi" w:cstheme="majorBidi"/>
        </w:rPr>
        <w:t>.</w:t>
      </w:r>
      <w:r w:rsidRPr="00CD4311">
        <w:rPr>
          <w:rStyle w:val="FootnoteReference"/>
          <w:rFonts w:asciiTheme="majorBidi" w:hAnsiTheme="majorBidi" w:cstheme="majorBidi"/>
        </w:rPr>
        <w:footnoteReference w:id="138"/>
      </w:r>
    </w:p>
    <w:p w14:paraId="6D8F6D07" w14:textId="77777777" w:rsidR="00114953" w:rsidRPr="00CD4311" w:rsidRDefault="00114953" w:rsidP="00114953">
      <w:pPr>
        <w:jc w:val="both"/>
        <w:rPr>
          <w:rFonts w:asciiTheme="majorBidi" w:hAnsiTheme="majorBidi" w:cstheme="majorBidi"/>
        </w:rPr>
      </w:pPr>
    </w:p>
    <w:p w14:paraId="3256A2F9" w14:textId="77777777" w:rsidR="00114953" w:rsidRPr="001A3712" w:rsidRDefault="00114953" w:rsidP="00114953">
      <w:pPr>
        <w:jc w:val="both"/>
        <w:rPr>
          <w:rFonts w:asciiTheme="majorBidi" w:hAnsiTheme="majorBidi" w:cstheme="majorBidi"/>
          <w:b/>
          <w:bCs/>
        </w:rPr>
      </w:pPr>
    </w:p>
    <w:p w14:paraId="40B706FE" w14:textId="77777777" w:rsidR="00114953" w:rsidRDefault="00114953" w:rsidP="00114953">
      <w:pPr>
        <w:ind w:firstLine="708"/>
        <w:jc w:val="both"/>
        <w:rPr>
          <w:rFonts w:asciiTheme="majorBidi" w:hAnsiTheme="majorBidi" w:cstheme="majorBidi"/>
        </w:rPr>
      </w:pPr>
      <w:proofErr w:type="spellStart"/>
      <w:r w:rsidRPr="001A3712">
        <w:rPr>
          <w:rFonts w:asciiTheme="majorBidi" w:hAnsiTheme="majorBidi" w:cstheme="majorBidi"/>
          <w:b/>
          <w:bCs/>
        </w:rPr>
        <w:t>Atceltā</w:t>
      </w:r>
      <w:proofErr w:type="spellEnd"/>
      <w:r w:rsidRPr="001A3712">
        <w:rPr>
          <w:rFonts w:asciiTheme="majorBidi" w:hAnsiTheme="majorBidi" w:cstheme="majorBidi"/>
          <w:b/>
          <w:bCs/>
        </w:rPr>
        <w:t xml:space="preserve"> </w:t>
      </w:r>
      <w:proofErr w:type="spellStart"/>
      <w:proofErr w:type="gramStart"/>
      <w:r w:rsidRPr="001A3712">
        <w:rPr>
          <w:rFonts w:asciiTheme="majorBidi" w:hAnsiTheme="majorBidi" w:cstheme="majorBidi"/>
          <w:b/>
          <w:bCs/>
        </w:rPr>
        <w:t>legalizācija</w:t>
      </w:r>
      <w:proofErr w:type="spellEnd"/>
      <w:r w:rsidRPr="001A3712">
        <w:rPr>
          <w:rFonts w:asciiTheme="majorBidi" w:hAnsiTheme="majorBidi" w:cstheme="majorBidi"/>
          <w:b/>
          <w:bCs/>
        </w:rPr>
        <w:t>:</w:t>
      </w:r>
      <w:proofErr w:type="gramEnd"/>
      <w:r w:rsidRPr="001A3712">
        <w:rPr>
          <w:rFonts w:asciiTheme="majorBidi" w:hAnsiTheme="majorBidi" w:cstheme="majorBidi"/>
        </w:rPr>
        <w:t xml:space="preserve"> </w:t>
      </w:r>
      <w:proofErr w:type="spellStart"/>
      <w:r w:rsidRPr="001A3712">
        <w:rPr>
          <w:rFonts w:asciiTheme="majorBidi" w:hAnsiTheme="majorBidi" w:cstheme="majorBidi"/>
        </w:rPr>
        <w:t>šī</w:t>
      </w:r>
      <w:proofErr w:type="spellEnd"/>
      <w:r w:rsidRPr="001A3712">
        <w:rPr>
          <w:rFonts w:asciiTheme="majorBidi" w:hAnsiTheme="majorBidi" w:cstheme="majorBidi"/>
        </w:rPr>
        <w:t xml:space="preserve"> </w:t>
      </w:r>
      <w:proofErr w:type="spellStart"/>
      <w:r w:rsidRPr="001A3712">
        <w:rPr>
          <w:rFonts w:asciiTheme="majorBidi" w:hAnsiTheme="majorBidi" w:cstheme="majorBidi"/>
        </w:rPr>
        <w:t>kārtība</w:t>
      </w:r>
      <w:proofErr w:type="spellEnd"/>
      <w:r w:rsidRPr="001A3712">
        <w:rPr>
          <w:rFonts w:asciiTheme="majorBidi" w:hAnsiTheme="majorBidi" w:cstheme="majorBidi"/>
        </w:rPr>
        <w:t xml:space="preserve"> </w:t>
      </w:r>
      <w:proofErr w:type="spellStart"/>
      <w:r w:rsidRPr="001A3712">
        <w:rPr>
          <w:rFonts w:asciiTheme="majorBidi" w:hAnsiTheme="majorBidi" w:cstheme="majorBidi"/>
        </w:rPr>
        <w:t>tiek</w:t>
      </w:r>
      <w:proofErr w:type="spellEnd"/>
      <w:r w:rsidRPr="001A3712">
        <w:rPr>
          <w:rFonts w:asciiTheme="majorBidi" w:hAnsiTheme="majorBidi" w:cstheme="majorBidi"/>
        </w:rPr>
        <w:t xml:space="preserve"> </w:t>
      </w:r>
      <w:proofErr w:type="spellStart"/>
      <w:r w:rsidRPr="001A3712">
        <w:rPr>
          <w:rFonts w:asciiTheme="majorBidi" w:hAnsiTheme="majorBidi" w:cstheme="majorBidi"/>
        </w:rPr>
        <w:t>pielietota</w:t>
      </w:r>
      <w:proofErr w:type="spellEnd"/>
      <w:r w:rsidRPr="001A3712">
        <w:rPr>
          <w:rFonts w:asciiTheme="majorBidi" w:hAnsiTheme="majorBidi" w:cstheme="majorBidi"/>
        </w:rPr>
        <w:t xml:space="preserve"> </w:t>
      </w:r>
      <w:proofErr w:type="spellStart"/>
      <w:r w:rsidRPr="001A3712">
        <w:rPr>
          <w:rFonts w:asciiTheme="majorBidi" w:hAnsiTheme="majorBidi" w:cstheme="majorBidi"/>
        </w:rPr>
        <w:t>tikai</w:t>
      </w:r>
      <w:proofErr w:type="spellEnd"/>
      <w:r w:rsidRPr="001A3712">
        <w:rPr>
          <w:rFonts w:asciiTheme="majorBidi" w:hAnsiTheme="majorBidi" w:cstheme="majorBidi"/>
        </w:rPr>
        <w:t xml:space="preserve"> </w:t>
      </w:r>
      <w:proofErr w:type="spellStart"/>
      <w:r w:rsidRPr="001A3712">
        <w:rPr>
          <w:rFonts w:asciiTheme="majorBidi" w:hAnsiTheme="majorBidi" w:cstheme="majorBidi"/>
        </w:rPr>
        <w:t>tad</w:t>
      </w:r>
      <w:proofErr w:type="spellEnd"/>
      <w:r w:rsidRPr="001A3712">
        <w:rPr>
          <w:rFonts w:asciiTheme="majorBidi" w:hAnsiTheme="majorBidi" w:cstheme="majorBidi"/>
        </w:rPr>
        <w:t xml:space="preserve">, </w:t>
      </w:r>
      <w:proofErr w:type="spellStart"/>
      <w:r w:rsidRPr="001A3712">
        <w:rPr>
          <w:rFonts w:asciiTheme="majorBidi" w:hAnsiTheme="majorBidi" w:cstheme="majorBidi"/>
        </w:rPr>
        <w:t>ja</w:t>
      </w:r>
      <w:proofErr w:type="spellEnd"/>
      <w:r w:rsidRPr="001A3712">
        <w:rPr>
          <w:rFonts w:asciiTheme="majorBidi" w:hAnsiTheme="majorBidi" w:cstheme="majorBidi"/>
        </w:rPr>
        <w:t xml:space="preserve"> </w:t>
      </w:r>
      <w:proofErr w:type="spellStart"/>
      <w:r w:rsidRPr="001A3712">
        <w:rPr>
          <w:rFonts w:asciiTheme="majorBidi" w:hAnsiTheme="majorBidi" w:cstheme="majorBidi"/>
        </w:rPr>
        <w:t>attiecīgajā</w:t>
      </w:r>
      <w:proofErr w:type="spellEnd"/>
      <w:r w:rsidRPr="001A3712">
        <w:rPr>
          <w:rFonts w:asciiTheme="majorBidi" w:hAnsiTheme="majorBidi" w:cstheme="majorBidi"/>
        </w:rPr>
        <w:t xml:space="preserve"> </w:t>
      </w:r>
      <w:proofErr w:type="spellStart"/>
      <w:r w:rsidRPr="001A3712">
        <w:rPr>
          <w:rFonts w:asciiTheme="majorBidi" w:hAnsiTheme="majorBidi" w:cstheme="majorBidi"/>
        </w:rPr>
        <w:t>starptautiskajā</w:t>
      </w:r>
      <w:proofErr w:type="spellEnd"/>
      <w:r w:rsidRPr="001A3712">
        <w:rPr>
          <w:rFonts w:asciiTheme="majorBidi" w:hAnsiTheme="majorBidi" w:cstheme="majorBidi"/>
        </w:rPr>
        <w:t xml:space="preserve"> </w:t>
      </w:r>
      <w:proofErr w:type="spellStart"/>
      <w:r w:rsidRPr="001A3712">
        <w:rPr>
          <w:rFonts w:asciiTheme="majorBidi" w:hAnsiTheme="majorBidi" w:cstheme="majorBidi"/>
        </w:rPr>
        <w:t>līgumā</w:t>
      </w:r>
      <w:proofErr w:type="spellEnd"/>
      <w:r w:rsidRPr="001A3712">
        <w:rPr>
          <w:rFonts w:asciiTheme="majorBidi" w:hAnsiTheme="majorBidi" w:cstheme="majorBidi"/>
        </w:rPr>
        <w:t xml:space="preserve"> </w:t>
      </w:r>
      <w:proofErr w:type="spellStart"/>
      <w:r w:rsidRPr="001A3712">
        <w:rPr>
          <w:rFonts w:asciiTheme="majorBidi" w:hAnsiTheme="majorBidi" w:cstheme="majorBidi"/>
        </w:rPr>
        <w:t>vai</w:t>
      </w:r>
      <w:proofErr w:type="spellEnd"/>
      <w:r w:rsidRPr="001A3712">
        <w:rPr>
          <w:rFonts w:asciiTheme="majorBidi" w:hAnsiTheme="majorBidi" w:cstheme="majorBidi"/>
        </w:rPr>
        <w:t xml:space="preserve"> ES </w:t>
      </w:r>
      <w:proofErr w:type="spellStart"/>
      <w:r w:rsidRPr="001A3712">
        <w:rPr>
          <w:rFonts w:asciiTheme="majorBidi" w:hAnsiTheme="majorBidi" w:cstheme="majorBidi"/>
        </w:rPr>
        <w:t>regulā</w:t>
      </w:r>
      <w:proofErr w:type="spellEnd"/>
      <w:r w:rsidRPr="001A3712">
        <w:rPr>
          <w:rFonts w:asciiTheme="majorBidi" w:hAnsiTheme="majorBidi" w:cstheme="majorBidi"/>
        </w:rPr>
        <w:t xml:space="preserve"> </w:t>
      </w:r>
      <w:proofErr w:type="spellStart"/>
      <w:r w:rsidRPr="001A3712">
        <w:rPr>
          <w:rFonts w:asciiTheme="majorBidi" w:hAnsiTheme="majorBidi" w:cstheme="majorBidi"/>
        </w:rPr>
        <w:t>ir</w:t>
      </w:r>
      <w:proofErr w:type="spellEnd"/>
      <w:r w:rsidRPr="001A3712">
        <w:rPr>
          <w:rFonts w:asciiTheme="majorBidi" w:hAnsiTheme="majorBidi" w:cstheme="majorBidi"/>
        </w:rPr>
        <w:t xml:space="preserve"> </w:t>
      </w:r>
      <w:proofErr w:type="spellStart"/>
      <w:r w:rsidRPr="001A3712">
        <w:rPr>
          <w:rFonts w:asciiTheme="majorBidi" w:hAnsiTheme="majorBidi" w:cstheme="majorBidi"/>
        </w:rPr>
        <w:t>skaidri</w:t>
      </w:r>
      <w:proofErr w:type="spellEnd"/>
      <w:r w:rsidRPr="001A3712">
        <w:rPr>
          <w:rFonts w:asciiTheme="majorBidi" w:hAnsiTheme="majorBidi" w:cstheme="majorBidi"/>
        </w:rPr>
        <w:t xml:space="preserve"> </w:t>
      </w:r>
      <w:proofErr w:type="spellStart"/>
      <w:r w:rsidRPr="001A3712">
        <w:rPr>
          <w:rFonts w:asciiTheme="majorBidi" w:hAnsiTheme="majorBidi" w:cstheme="majorBidi"/>
        </w:rPr>
        <w:t>noteikts</w:t>
      </w:r>
      <w:proofErr w:type="spellEnd"/>
      <w:r w:rsidRPr="001A3712">
        <w:rPr>
          <w:rFonts w:asciiTheme="majorBidi" w:hAnsiTheme="majorBidi" w:cstheme="majorBidi"/>
        </w:rPr>
        <w:t xml:space="preserve">, ka </w:t>
      </w:r>
      <w:proofErr w:type="spellStart"/>
      <w:r w:rsidRPr="001A3712">
        <w:rPr>
          <w:rFonts w:asciiTheme="majorBidi" w:hAnsiTheme="majorBidi" w:cstheme="majorBidi"/>
        </w:rPr>
        <w:t>konkrētajiem</w:t>
      </w:r>
      <w:proofErr w:type="spellEnd"/>
      <w:r w:rsidRPr="001A3712">
        <w:rPr>
          <w:rFonts w:asciiTheme="majorBidi" w:hAnsiTheme="majorBidi" w:cstheme="majorBidi"/>
        </w:rPr>
        <w:t xml:space="preserve"> </w:t>
      </w:r>
      <w:proofErr w:type="spellStart"/>
      <w:r w:rsidRPr="001A3712">
        <w:rPr>
          <w:rFonts w:asciiTheme="majorBidi" w:hAnsiTheme="majorBidi" w:cstheme="majorBidi"/>
        </w:rPr>
        <w:t>dokumentiem</w:t>
      </w:r>
      <w:proofErr w:type="spellEnd"/>
      <w:r w:rsidRPr="001A3712">
        <w:rPr>
          <w:rFonts w:asciiTheme="majorBidi" w:hAnsiTheme="majorBidi" w:cstheme="majorBidi"/>
        </w:rPr>
        <w:t xml:space="preserve"> </w:t>
      </w:r>
      <w:proofErr w:type="spellStart"/>
      <w:r w:rsidRPr="001A3712">
        <w:rPr>
          <w:rFonts w:asciiTheme="majorBidi" w:hAnsiTheme="majorBidi" w:cstheme="majorBidi"/>
        </w:rPr>
        <w:t>konkrētajās</w:t>
      </w:r>
      <w:proofErr w:type="spellEnd"/>
      <w:r w:rsidRPr="001A3712">
        <w:rPr>
          <w:rFonts w:asciiTheme="majorBidi" w:hAnsiTheme="majorBidi" w:cstheme="majorBidi"/>
        </w:rPr>
        <w:t xml:space="preserve"> </w:t>
      </w:r>
      <w:proofErr w:type="spellStart"/>
      <w:r w:rsidRPr="001A3712">
        <w:rPr>
          <w:rFonts w:asciiTheme="majorBidi" w:hAnsiTheme="majorBidi" w:cstheme="majorBidi"/>
        </w:rPr>
        <w:t>lietu</w:t>
      </w:r>
      <w:proofErr w:type="spellEnd"/>
      <w:r w:rsidRPr="001A3712">
        <w:rPr>
          <w:rFonts w:asciiTheme="majorBidi" w:hAnsiTheme="majorBidi" w:cstheme="majorBidi"/>
        </w:rPr>
        <w:t xml:space="preserve"> </w:t>
      </w:r>
      <w:proofErr w:type="spellStart"/>
      <w:r w:rsidRPr="001A3712">
        <w:rPr>
          <w:rFonts w:asciiTheme="majorBidi" w:hAnsiTheme="majorBidi" w:cstheme="majorBidi"/>
        </w:rPr>
        <w:t>kategorijās</w:t>
      </w:r>
      <w:proofErr w:type="spellEnd"/>
      <w:r w:rsidRPr="001A3712">
        <w:rPr>
          <w:rFonts w:asciiTheme="majorBidi" w:hAnsiTheme="majorBidi" w:cstheme="majorBidi"/>
        </w:rPr>
        <w:t xml:space="preserve"> </w:t>
      </w:r>
      <w:proofErr w:type="spellStart"/>
      <w:r w:rsidRPr="001A3712">
        <w:rPr>
          <w:rFonts w:asciiTheme="majorBidi" w:hAnsiTheme="majorBidi" w:cstheme="majorBidi"/>
        </w:rPr>
        <w:t>nav</w:t>
      </w:r>
      <w:proofErr w:type="spellEnd"/>
      <w:r w:rsidRPr="001A3712">
        <w:rPr>
          <w:rFonts w:asciiTheme="majorBidi" w:hAnsiTheme="majorBidi" w:cstheme="majorBidi"/>
        </w:rPr>
        <w:t xml:space="preserve"> </w:t>
      </w:r>
      <w:proofErr w:type="spellStart"/>
      <w:r w:rsidRPr="001A3712">
        <w:rPr>
          <w:rFonts w:asciiTheme="majorBidi" w:hAnsiTheme="majorBidi" w:cstheme="majorBidi"/>
        </w:rPr>
        <w:t>nepieciešama</w:t>
      </w:r>
      <w:proofErr w:type="spellEnd"/>
      <w:r w:rsidRPr="001A3712">
        <w:rPr>
          <w:rFonts w:asciiTheme="majorBidi" w:hAnsiTheme="majorBidi" w:cstheme="majorBidi"/>
        </w:rPr>
        <w:t xml:space="preserve"> </w:t>
      </w:r>
      <w:proofErr w:type="spellStart"/>
      <w:r w:rsidRPr="001A3712">
        <w:rPr>
          <w:rFonts w:asciiTheme="majorBidi" w:hAnsiTheme="majorBidi" w:cstheme="majorBidi"/>
        </w:rPr>
        <w:t>legalizācija</w:t>
      </w:r>
      <w:proofErr w:type="spellEnd"/>
      <w:r w:rsidRPr="001A3712">
        <w:rPr>
          <w:rFonts w:asciiTheme="majorBidi" w:hAnsiTheme="majorBidi" w:cstheme="majorBidi"/>
        </w:rPr>
        <w:t xml:space="preserve">. </w:t>
      </w:r>
      <w:proofErr w:type="spellStart"/>
      <w:r w:rsidRPr="001A3712">
        <w:rPr>
          <w:rFonts w:asciiTheme="majorBidi" w:hAnsiTheme="majorBidi" w:cstheme="majorBidi"/>
        </w:rPr>
        <w:t>Piemēram</w:t>
      </w:r>
      <w:proofErr w:type="spellEnd"/>
      <w:r w:rsidRPr="001A3712">
        <w:rPr>
          <w:rFonts w:asciiTheme="majorBidi" w:hAnsiTheme="majorBidi" w:cstheme="majorBidi"/>
        </w:rPr>
        <w:t xml:space="preserve">, </w:t>
      </w:r>
      <w:proofErr w:type="spellStart"/>
      <w:r w:rsidRPr="001A3712">
        <w:rPr>
          <w:rFonts w:asciiTheme="majorBidi" w:hAnsiTheme="majorBidi" w:cstheme="majorBidi"/>
          <w:i/>
          <w:iCs/>
        </w:rPr>
        <w:t>Līguma</w:t>
      </w:r>
      <w:proofErr w:type="spellEnd"/>
      <w:r w:rsidRPr="001A3712">
        <w:rPr>
          <w:rFonts w:asciiTheme="majorBidi" w:hAnsiTheme="majorBidi" w:cstheme="majorBidi"/>
          <w:i/>
          <w:iCs/>
        </w:rPr>
        <w:t xml:space="preserve"> </w:t>
      </w:r>
      <w:proofErr w:type="spellStart"/>
      <w:r w:rsidRPr="001A3712">
        <w:rPr>
          <w:rFonts w:asciiTheme="majorBidi" w:hAnsiTheme="majorBidi" w:cstheme="majorBidi"/>
          <w:i/>
          <w:iCs/>
        </w:rPr>
        <w:t>starp</w:t>
      </w:r>
      <w:proofErr w:type="spellEnd"/>
      <w:r w:rsidRPr="001A3712">
        <w:rPr>
          <w:rFonts w:asciiTheme="majorBidi" w:hAnsiTheme="majorBidi" w:cstheme="majorBidi"/>
          <w:i/>
          <w:iCs/>
        </w:rPr>
        <w:t xml:space="preserve"> Latvijas </w:t>
      </w:r>
      <w:proofErr w:type="spellStart"/>
      <w:r w:rsidRPr="001A3712">
        <w:rPr>
          <w:rFonts w:asciiTheme="majorBidi" w:hAnsiTheme="majorBidi" w:cstheme="majorBidi"/>
          <w:i/>
          <w:iCs/>
        </w:rPr>
        <w:t>Republiku</w:t>
      </w:r>
      <w:proofErr w:type="spellEnd"/>
      <w:r w:rsidRPr="001A3712">
        <w:rPr>
          <w:rFonts w:asciiTheme="majorBidi" w:hAnsiTheme="majorBidi" w:cstheme="majorBidi"/>
          <w:i/>
          <w:iCs/>
        </w:rPr>
        <w:t xml:space="preserve"> un </w:t>
      </w:r>
      <w:proofErr w:type="spellStart"/>
      <w:r w:rsidRPr="001A3712">
        <w:rPr>
          <w:rFonts w:asciiTheme="majorBidi" w:hAnsiTheme="majorBidi" w:cstheme="majorBidi"/>
          <w:i/>
          <w:iCs/>
        </w:rPr>
        <w:t>Uzbekistānas</w:t>
      </w:r>
      <w:proofErr w:type="spellEnd"/>
      <w:r w:rsidRPr="001A3712">
        <w:rPr>
          <w:rFonts w:asciiTheme="majorBidi" w:hAnsiTheme="majorBidi" w:cstheme="majorBidi"/>
          <w:i/>
          <w:iCs/>
        </w:rPr>
        <w:t xml:space="preserve"> </w:t>
      </w:r>
      <w:proofErr w:type="spellStart"/>
      <w:r w:rsidRPr="001A3712">
        <w:rPr>
          <w:rFonts w:asciiTheme="majorBidi" w:hAnsiTheme="majorBidi" w:cstheme="majorBidi"/>
          <w:i/>
          <w:iCs/>
        </w:rPr>
        <w:t>Republiku</w:t>
      </w:r>
      <w:proofErr w:type="spellEnd"/>
      <w:r w:rsidRPr="001A3712">
        <w:rPr>
          <w:rFonts w:asciiTheme="majorBidi" w:hAnsiTheme="majorBidi" w:cstheme="majorBidi"/>
          <w:i/>
          <w:iCs/>
        </w:rPr>
        <w:t xml:space="preserve"> par </w:t>
      </w:r>
      <w:proofErr w:type="spellStart"/>
      <w:r w:rsidRPr="001A3712">
        <w:rPr>
          <w:rFonts w:asciiTheme="majorBidi" w:hAnsiTheme="majorBidi" w:cstheme="majorBidi"/>
          <w:i/>
          <w:iCs/>
        </w:rPr>
        <w:t>tiesisko</w:t>
      </w:r>
      <w:proofErr w:type="spellEnd"/>
      <w:r w:rsidRPr="001A3712">
        <w:rPr>
          <w:rFonts w:asciiTheme="majorBidi" w:hAnsiTheme="majorBidi" w:cstheme="majorBidi"/>
          <w:i/>
          <w:iCs/>
        </w:rPr>
        <w:t xml:space="preserve"> </w:t>
      </w:r>
      <w:proofErr w:type="spellStart"/>
      <w:r w:rsidRPr="001A3712">
        <w:rPr>
          <w:rFonts w:asciiTheme="majorBidi" w:hAnsiTheme="majorBidi" w:cstheme="majorBidi"/>
          <w:i/>
          <w:iCs/>
        </w:rPr>
        <w:t>palīdzību</w:t>
      </w:r>
      <w:proofErr w:type="spellEnd"/>
      <w:r w:rsidRPr="001A3712">
        <w:rPr>
          <w:rFonts w:asciiTheme="majorBidi" w:hAnsiTheme="majorBidi" w:cstheme="majorBidi"/>
          <w:i/>
          <w:iCs/>
        </w:rPr>
        <w:t xml:space="preserve"> un </w:t>
      </w:r>
      <w:proofErr w:type="spellStart"/>
      <w:r w:rsidRPr="001A3712">
        <w:rPr>
          <w:rFonts w:asciiTheme="majorBidi" w:hAnsiTheme="majorBidi" w:cstheme="majorBidi"/>
          <w:i/>
          <w:iCs/>
        </w:rPr>
        <w:t>tiesiskajām</w:t>
      </w:r>
      <w:proofErr w:type="spellEnd"/>
      <w:r w:rsidRPr="001A3712">
        <w:rPr>
          <w:rFonts w:asciiTheme="majorBidi" w:hAnsiTheme="majorBidi" w:cstheme="majorBidi"/>
          <w:i/>
          <w:iCs/>
        </w:rPr>
        <w:t xml:space="preserve"> </w:t>
      </w:r>
      <w:proofErr w:type="spellStart"/>
      <w:r w:rsidRPr="001A3712">
        <w:rPr>
          <w:rFonts w:asciiTheme="majorBidi" w:hAnsiTheme="majorBidi" w:cstheme="majorBidi"/>
          <w:i/>
          <w:iCs/>
        </w:rPr>
        <w:t>attiecībām</w:t>
      </w:r>
      <w:proofErr w:type="spellEnd"/>
      <w:r w:rsidRPr="001A3712">
        <w:rPr>
          <w:rFonts w:asciiTheme="majorBidi" w:hAnsiTheme="majorBidi" w:cstheme="majorBidi"/>
          <w:i/>
          <w:iCs/>
        </w:rPr>
        <w:t xml:space="preserve"> </w:t>
      </w:r>
      <w:proofErr w:type="spellStart"/>
      <w:r w:rsidRPr="001A3712">
        <w:rPr>
          <w:rFonts w:asciiTheme="majorBidi" w:hAnsiTheme="majorBidi" w:cstheme="majorBidi"/>
          <w:i/>
          <w:iCs/>
        </w:rPr>
        <w:t>civilajās</w:t>
      </w:r>
      <w:proofErr w:type="spellEnd"/>
      <w:r w:rsidRPr="001A3712">
        <w:rPr>
          <w:rFonts w:asciiTheme="majorBidi" w:hAnsiTheme="majorBidi" w:cstheme="majorBidi"/>
          <w:i/>
          <w:iCs/>
        </w:rPr>
        <w:t xml:space="preserve">, </w:t>
      </w:r>
      <w:proofErr w:type="spellStart"/>
      <w:r w:rsidRPr="001A3712">
        <w:rPr>
          <w:rFonts w:asciiTheme="majorBidi" w:hAnsiTheme="majorBidi" w:cstheme="majorBidi"/>
          <w:i/>
          <w:iCs/>
        </w:rPr>
        <w:t>ģimenes</w:t>
      </w:r>
      <w:proofErr w:type="spellEnd"/>
      <w:r w:rsidRPr="001A3712">
        <w:rPr>
          <w:rFonts w:asciiTheme="majorBidi" w:hAnsiTheme="majorBidi" w:cstheme="majorBidi"/>
          <w:i/>
          <w:iCs/>
        </w:rPr>
        <w:t xml:space="preserve">, </w:t>
      </w:r>
      <w:proofErr w:type="spellStart"/>
      <w:r w:rsidRPr="001A3712">
        <w:rPr>
          <w:rFonts w:asciiTheme="majorBidi" w:hAnsiTheme="majorBidi" w:cstheme="majorBidi"/>
          <w:i/>
          <w:iCs/>
        </w:rPr>
        <w:t>darba</w:t>
      </w:r>
      <w:proofErr w:type="spellEnd"/>
      <w:r w:rsidRPr="001A3712">
        <w:rPr>
          <w:rFonts w:asciiTheme="majorBidi" w:hAnsiTheme="majorBidi" w:cstheme="majorBidi"/>
          <w:i/>
          <w:iCs/>
        </w:rPr>
        <w:t xml:space="preserve"> un </w:t>
      </w:r>
      <w:proofErr w:type="spellStart"/>
      <w:r w:rsidRPr="001A3712">
        <w:rPr>
          <w:rFonts w:asciiTheme="majorBidi" w:hAnsiTheme="majorBidi" w:cstheme="majorBidi"/>
          <w:i/>
          <w:iCs/>
        </w:rPr>
        <w:t>krimināllietās</w:t>
      </w:r>
      <w:proofErr w:type="spellEnd"/>
      <w:r w:rsidRPr="001A3712">
        <w:rPr>
          <w:rStyle w:val="FootnoteReference"/>
          <w:rFonts w:asciiTheme="majorBidi" w:hAnsiTheme="majorBidi" w:cstheme="majorBidi"/>
        </w:rPr>
        <w:footnoteReference w:id="139"/>
      </w:r>
      <w:r w:rsidRPr="001A3712">
        <w:rPr>
          <w:rFonts w:asciiTheme="majorBidi" w:hAnsiTheme="majorBidi" w:cstheme="majorBidi"/>
          <w:i/>
          <w:iCs/>
        </w:rPr>
        <w:t xml:space="preserve"> </w:t>
      </w:r>
      <w:r w:rsidRPr="001A3712">
        <w:rPr>
          <w:rFonts w:asciiTheme="majorBidi" w:hAnsiTheme="majorBidi" w:cstheme="majorBidi"/>
        </w:rPr>
        <w:t>(</w:t>
      </w:r>
      <w:proofErr w:type="spellStart"/>
      <w:r w:rsidRPr="001A3712">
        <w:rPr>
          <w:rFonts w:asciiTheme="majorBidi" w:hAnsiTheme="majorBidi" w:cstheme="majorBidi"/>
        </w:rPr>
        <w:t>turpmāk</w:t>
      </w:r>
      <w:proofErr w:type="spellEnd"/>
      <w:r w:rsidRPr="001A3712">
        <w:rPr>
          <w:rFonts w:asciiTheme="majorBidi" w:hAnsiTheme="majorBidi" w:cstheme="majorBidi"/>
        </w:rPr>
        <w:t xml:space="preserve"> – </w:t>
      </w:r>
      <w:proofErr w:type="spellStart"/>
      <w:r w:rsidRPr="001A3712">
        <w:rPr>
          <w:rFonts w:asciiTheme="majorBidi" w:hAnsiTheme="majorBidi" w:cstheme="majorBidi"/>
        </w:rPr>
        <w:t>tiesiskās</w:t>
      </w:r>
      <w:proofErr w:type="spellEnd"/>
      <w:r w:rsidRPr="001A3712">
        <w:rPr>
          <w:rFonts w:asciiTheme="majorBidi" w:hAnsiTheme="majorBidi" w:cstheme="majorBidi"/>
        </w:rPr>
        <w:t xml:space="preserve"> </w:t>
      </w:r>
      <w:proofErr w:type="spellStart"/>
      <w:r w:rsidRPr="001A3712">
        <w:rPr>
          <w:rFonts w:asciiTheme="majorBidi" w:hAnsiTheme="majorBidi" w:cstheme="majorBidi"/>
        </w:rPr>
        <w:t>palīdzības</w:t>
      </w:r>
      <w:proofErr w:type="spellEnd"/>
      <w:r w:rsidRPr="001A3712">
        <w:rPr>
          <w:rFonts w:asciiTheme="majorBidi" w:hAnsiTheme="majorBidi" w:cstheme="majorBidi"/>
        </w:rPr>
        <w:t xml:space="preserve"> </w:t>
      </w:r>
      <w:proofErr w:type="spellStart"/>
      <w:r w:rsidRPr="001A3712">
        <w:rPr>
          <w:rFonts w:asciiTheme="majorBidi" w:hAnsiTheme="majorBidi" w:cstheme="majorBidi"/>
        </w:rPr>
        <w:t>līgums</w:t>
      </w:r>
      <w:proofErr w:type="spellEnd"/>
      <w:r w:rsidRPr="001A3712">
        <w:rPr>
          <w:rFonts w:asciiTheme="majorBidi" w:hAnsiTheme="majorBidi" w:cstheme="majorBidi"/>
        </w:rPr>
        <w:t xml:space="preserve"> </w:t>
      </w:r>
      <w:proofErr w:type="spellStart"/>
      <w:r w:rsidRPr="001A3712">
        <w:rPr>
          <w:rFonts w:asciiTheme="majorBidi" w:hAnsiTheme="majorBidi" w:cstheme="majorBidi"/>
        </w:rPr>
        <w:t>ar</w:t>
      </w:r>
      <w:proofErr w:type="spellEnd"/>
      <w:r w:rsidRPr="001A3712">
        <w:rPr>
          <w:rFonts w:asciiTheme="majorBidi" w:hAnsiTheme="majorBidi" w:cstheme="majorBidi"/>
        </w:rPr>
        <w:t xml:space="preserve"> </w:t>
      </w:r>
      <w:proofErr w:type="spellStart"/>
      <w:proofErr w:type="gramStart"/>
      <w:r w:rsidRPr="001A3712">
        <w:rPr>
          <w:rFonts w:asciiTheme="majorBidi" w:hAnsiTheme="majorBidi" w:cstheme="majorBidi"/>
        </w:rPr>
        <w:t>Uzbekistānu</w:t>
      </w:r>
      <w:proofErr w:type="spellEnd"/>
      <w:r w:rsidRPr="001A3712">
        <w:rPr>
          <w:rFonts w:asciiTheme="majorBidi" w:hAnsiTheme="majorBidi" w:cstheme="majorBidi"/>
        </w:rPr>
        <w:t>)  13</w:t>
      </w:r>
      <w:proofErr w:type="gramEnd"/>
      <w:r w:rsidRPr="001A3712">
        <w:rPr>
          <w:rFonts w:asciiTheme="majorBidi" w:hAnsiTheme="majorBidi" w:cstheme="majorBidi"/>
        </w:rPr>
        <w:t xml:space="preserve">.pants </w:t>
      </w:r>
      <w:proofErr w:type="spellStart"/>
      <w:r w:rsidRPr="001A3712">
        <w:rPr>
          <w:rFonts w:asciiTheme="majorBidi" w:hAnsiTheme="majorBidi" w:cstheme="majorBidi"/>
        </w:rPr>
        <w:t>nosaka</w:t>
      </w:r>
      <w:proofErr w:type="spellEnd"/>
      <w:r w:rsidRPr="001A3712">
        <w:rPr>
          <w:rFonts w:asciiTheme="majorBidi" w:hAnsiTheme="majorBidi" w:cstheme="majorBidi"/>
        </w:rPr>
        <w:t>: „</w:t>
      </w:r>
      <w:r w:rsidRPr="000C365A">
        <w:rPr>
          <w:rFonts w:asciiTheme="majorBidi" w:hAnsiTheme="majorBidi" w:cstheme="majorBidi"/>
          <w:i/>
        </w:rPr>
        <w:t>1. </w:t>
      </w:r>
      <w:proofErr w:type="spellStart"/>
      <w:r w:rsidRPr="000C365A">
        <w:rPr>
          <w:rFonts w:asciiTheme="majorBidi" w:hAnsiTheme="majorBidi" w:cstheme="majorBidi"/>
          <w:i/>
        </w:rPr>
        <w:t>Dokumenti</w:t>
      </w:r>
      <w:proofErr w:type="spellEnd"/>
      <w:r w:rsidRPr="000C365A">
        <w:rPr>
          <w:rFonts w:asciiTheme="majorBidi" w:hAnsiTheme="majorBidi" w:cstheme="majorBidi"/>
          <w:i/>
        </w:rPr>
        <w:t xml:space="preserve">, </w:t>
      </w:r>
      <w:proofErr w:type="spellStart"/>
      <w:r w:rsidRPr="000C365A">
        <w:rPr>
          <w:rFonts w:asciiTheme="majorBidi" w:hAnsiTheme="majorBidi" w:cstheme="majorBidi"/>
          <w:i/>
        </w:rPr>
        <w:t>kurus</w:t>
      </w:r>
      <w:proofErr w:type="spellEnd"/>
      <w:r w:rsidRPr="000C365A">
        <w:rPr>
          <w:rFonts w:asciiTheme="majorBidi" w:hAnsiTheme="majorBidi" w:cstheme="majorBidi"/>
          <w:i/>
        </w:rPr>
        <w:t xml:space="preserve"> </w:t>
      </w:r>
      <w:proofErr w:type="spellStart"/>
      <w:r w:rsidRPr="000C365A">
        <w:rPr>
          <w:rFonts w:asciiTheme="majorBidi" w:hAnsiTheme="majorBidi" w:cstheme="majorBidi"/>
          <w:i/>
        </w:rPr>
        <w:t>vienas</w:t>
      </w:r>
      <w:proofErr w:type="spellEnd"/>
      <w:r w:rsidRPr="000C365A">
        <w:rPr>
          <w:rFonts w:asciiTheme="majorBidi" w:hAnsiTheme="majorBidi" w:cstheme="majorBidi"/>
          <w:i/>
        </w:rPr>
        <w:t xml:space="preserve"> </w:t>
      </w:r>
      <w:proofErr w:type="spellStart"/>
      <w:r w:rsidRPr="000C365A">
        <w:rPr>
          <w:rFonts w:asciiTheme="majorBidi" w:hAnsiTheme="majorBidi" w:cstheme="majorBidi"/>
          <w:i/>
        </w:rPr>
        <w:t>Līgumslēdzējas</w:t>
      </w:r>
      <w:proofErr w:type="spellEnd"/>
      <w:r w:rsidRPr="000C365A">
        <w:rPr>
          <w:rFonts w:asciiTheme="majorBidi" w:hAnsiTheme="majorBidi" w:cstheme="majorBidi"/>
          <w:i/>
        </w:rPr>
        <w:t xml:space="preserve"> </w:t>
      </w:r>
      <w:proofErr w:type="spellStart"/>
      <w:r w:rsidRPr="000C365A">
        <w:rPr>
          <w:rFonts w:asciiTheme="majorBidi" w:hAnsiTheme="majorBidi" w:cstheme="majorBidi"/>
          <w:i/>
        </w:rPr>
        <w:t>Puses</w:t>
      </w:r>
      <w:proofErr w:type="spellEnd"/>
      <w:r w:rsidRPr="000C365A">
        <w:rPr>
          <w:rFonts w:asciiTheme="majorBidi" w:hAnsiTheme="majorBidi" w:cstheme="majorBidi"/>
          <w:i/>
        </w:rPr>
        <w:t xml:space="preserve"> </w:t>
      </w:r>
      <w:proofErr w:type="spellStart"/>
      <w:r w:rsidRPr="000C365A">
        <w:rPr>
          <w:rFonts w:asciiTheme="majorBidi" w:hAnsiTheme="majorBidi" w:cstheme="majorBidi"/>
          <w:i/>
        </w:rPr>
        <w:t>teritorijā</w:t>
      </w:r>
      <w:proofErr w:type="spellEnd"/>
      <w:r w:rsidRPr="000C365A">
        <w:rPr>
          <w:rFonts w:asciiTheme="majorBidi" w:hAnsiTheme="majorBidi" w:cstheme="majorBidi"/>
          <w:i/>
        </w:rPr>
        <w:t xml:space="preserve"> </w:t>
      </w:r>
      <w:proofErr w:type="spellStart"/>
      <w:r w:rsidRPr="000C365A">
        <w:rPr>
          <w:rFonts w:asciiTheme="majorBidi" w:hAnsiTheme="majorBidi" w:cstheme="majorBidi"/>
          <w:i/>
        </w:rPr>
        <w:t>noformējusi</w:t>
      </w:r>
      <w:proofErr w:type="spellEnd"/>
      <w:r w:rsidRPr="000C365A">
        <w:rPr>
          <w:rFonts w:asciiTheme="majorBidi" w:hAnsiTheme="majorBidi" w:cstheme="majorBidi"/>
          <w:i/>
        </w:rPr>
        <w:t xml:space="preserve"> </w:t>
      </w:r>
      <w:proofErr w:type="spellStart"/>
      <w:r w:rsidRPr="000C365A">
        <w:rPr>
          <w:rFonts w:asciiTheme="majorBidi" w:hAnsiTheme="majorBidi" w:cstheme="majorBidi"/>
          <w:i/>
        </w:rPr>
        <w:t>vai</w:t>
      </w:r>
      <w:proofErr w:type="spellEnd"/>
      <w:r w:rsidRPr="000C365A">
        <w:rPr>
          <w:rFonts w:asciiTheme="majorBidi" w:hAnsiTheme="majorBidi" w:cstheme="majorBidi"/>
          <w:i/>
        </w:rPr>
        <w:t xml:space="preserve"> </w:t>
      </w:r>
      <w:proofErr w:type="spellStart"/>
      <w:r w:rsidRPr="000C365A">
        <w:rPr>
          <w:rFonts w:asciiTheme="majorBidi" w:hAnsiTheme="majorBidi" w:cstheme="majorBidi"/>
          <w:i/>
        </w:rPr>
        <w:t>apliecinājusi</w:t>
      </w:r>
      <w:proofErr w:type="spellEnd"/>
      <w:r w:rsidRPr="000C365A">
        <w:rPr>
          <w:rFonts w:asciiTheme="majorBidi" w:hAnsiTheme="majorBidi" w:cstheme="majorBidi"/>
          <w:i/>
        </w:rPr>
        <w:t xml:space="preserve"> </w:t>
      </w:r>
      <w:proofErr w:type="spellStart"/>
      <w:r w:rsidRPr="000C365A">
        <w:rPr>
          <w:rFonts w:asciiTheme="majorBidi" w:hAnsiTheme="majorBidi" w:cstheme="majorBidi"/>
          <w:i/>
        </w:rPr>
        <w:t>tiesību</w:t>
      </w:r>
      <w:proofErr w:type="spellEnd"/>
      <w:r w:rsidRPr="000C365A">
        <w:rPr>
          <w:rFonts w:asciiTheme="majorBidi" w:hAnsiTheme="majorBidi" w:cstheme="majorBidi"/>
          <w:i/>
        </w:rPr>
        <w:t xml:space="preserve"> </w:t>
      </w:r>
      <w:proofErr w:type="spellStart"/>
      <w:r w:rsidRPr="000C365A">
        <w:rPr>
          <w:rFonts w:asciiTheme="majorBidi" w:hAnsiTheme="majorBidi" w:cstheme="majorBidi"/>
          <w:i/>
        </w:rPr>
        <w:t>aizsardzības</w:t>
      </w:r>
      <w:proofErr w:type="spellEnd"/>
      <w:r w:rsidRPr="000C365A">
        <w:rPr>
          <w:rFonts w:asciiTheme="majorBidi" w:hAnsiTheme="majorBidi" w:cstheme="majorBidi"/>
          <w:i/>
        </w:rPr>
        <w:t xml:space="preserve"> </w:t>
      </w:r>
      <w:proofErr w:type="spellStart"/>
      <w:r w:rsidRPr="000C365A">
        <w:rPr>
          <w:rFonts w:asciiTheme="majorBidi" w:hAnsiTheme="majorBidi" w:cstheme="majorBidi"/>
          <w:i/>
        </w:rPr>
        <w:t>iestāde</w:t>
      </w:r>
      <w:proofErr w:type="spellEnd"/>
      <w:r w:rsidRPr="000C365A">
        <w:rPr>
          <w:rFonts w:asciiTheme="majorBidi" w:hAnsiTheme="majorBidi" w:cstheme="majorBidi"/>
          <w:i/>
        </w:rPr>
        <w:t xml:space="preserve"> </w:t>
      </w:r>
      <w:proofErr w:type="spellStart"/>
      <w:r w:rsidRPr="000C365A">
        <w:rPr>
          <w:rFonts w:asciiTheme="majorBidi" w:hAnsiTheme="majorBidi" w:cstheme="majorBidi"/>
          <w:i/>
        </w:rPr>
        <w:t>vai</w:t>
      </w:r>
      <w:proofErr w:type="spellEnd"/>
      <w:r w:rsidRPr="000C365A">
        <w:rPr>
          <w:rFonts w:asciiTheme="majorBidi" w:hAnsiTheme="majorBidi" w:cstheme="majorBidi"/>
          <w:i/>
        </w:rPr>
        <w:t xml:space="preserve"> </w:t>
      </w:r>
      <w:proofErr w:type="spellStart"/>
      <w:r w:rsidRPr="000C365A">
        <w:rPr>
          <w:rFonts w:asciiTheme="majorBidi" w:hAnsiTheme="majorBidi" w:cstheme="majorBidi"/>
          <w:i/>
        </w:rPr>
        <w:t>oficiāla</w:t>
      </w:r>
      <w:proofErr w:type="spellEnd"/>
      <w:r w:rsidRPr="000C365A">
        <w:rPr>
          <w:rFonts w:asciiTheme="majorBidi" w:hAnsiTheme="majorBidi" w:cstheme="majorBidi"/>
          <w:i/>
        </w:rPr>
        <w:t xml:space="preserve"> persona (</w:t>
      </w:r>
      <w:proofErr w:type="spellStart"/>
      <w:r w:rsidRPr="000C365A">
        <w:rPr>
          <w:rFonts w:asciiTheme="majorBidi" w:hAnsiTheme="majorBidi" w:cstheme="majorBidi"/>
          <w:b/>
          <w:bCs/>
          <w:i/>
        </w:rPr>
        <w:t>notārs</w:t>
      </w:r>
      <w:proofErr w:type="spellEnd"/>
      <w:r w:rsidRPr="000C365A">
        <w:rPr>
          <w:rFonts w:asciiTheme="majorBidi" w:hAnsiTheme="majorBidi" w:cstheme="majorBidi"/>
          <w:i/>
        </w:rPr>
        <w:t xml:space="preserve">, </w:t>
      </w:r>
      <w:proofErr w:type="spellStart"/>
      <w:r w:rsidRPr="000C365A">
        <w:rPr>
          <w:rFonts w:asciiTheme="majorBidi" w:hAnsiTheme="majorBidi" w:cstheme="majorBidi"/>
          <w:i/>
        </w:rPr>
        <w:t>tulks</w:t>
      </w:r>
      <w:proofErr w:type="spellEnd"/>
      <w:r w:rsidRPr="000C365A">
        <w:rPr>
          <w:rFonts w:asciiTheme="majorBidi" w:hAnsiTheme="majorBidi" w:cstheme="majorBidi"/>
          <w:i/>
        </w:rPr>
        <w:t xml:space="preserve">, </w:t>
      </w:r>
      <w:proofErr w:type="spellStart"/>
      <w:r w:rsidRPr="000C365A">
        <w:rPr>
          <w:rFonts w:asciiTheme="majorBidi" w:hAnsiTheme="majorBidi" w:cstheme="majorBidi"/>
          <w:i/>
        </w:rPr>
        <w:t>eksperts</w:t>
      </w:r>
      <w:proofErr w:type="spellEnd"/>
      <w:r w:rsidRPr="000C365A">
        <w:rPr>
          <w:rFonts w:asciiTheme="majorBidi" w:hAnsiTheme="majorBidi" w:cstheme="majorBidi"/>
          <w:i/>
        </w:rPr>
        <w:t xml:space="preserve"> un </w:t>
      </w:r>
      <w:proofErr w:type="spellStart"/>
      <w:r w:rsidRPr="000C365A">
        <w:rPr>
          <w:rFonts w:asciiTheme="majorBidi" w:hAnsiTheme="majorBidi" w:cstheme="majorBidi"/>
          <w:i/>
        </w:rPr>
        <w:t>tml</w:t>
      </w:r>
      <w:proofErr w:type="spellEnd"/>
      <w:r w:rsidRPr="000C365A">
        <w:rPr>
          <w:rFonts w:asciiTheme="majorBidi" w:hAnsiTheme="majorBidi" w:cstheme="majorBidi"/>
          <w:i/>
        </w:rPr>
        <w:t xml:space="preserve">.) </w:t>
      </w:r>
      <w:proofErr w:type="spellStart"/>
      <w:r w:rsidRPr="000C365A">
        <w:rPr>
          <w:rFonts w:asciiTheme="majorBidi" w:hAnsiTheme="majorBidi" w:cstheme="majorBidi"/>
          <w:i/>
        </w:rPr>
        <w:t>savas</w:t>
      </w:r>
      <w:proofErr w:type="spellEnd"/>
      <w:r w:rsidRPr="000C365A">
        <w:rPr>
          <w:rFonts w:asciiTheme="majorBidi" w:hAnsiTheme="majorBidi" w:cstheme="majorBidi"/>
          <w:i/>
        </w:rPr>
        <w:t xml:space="preserve"> </w:t>
      </w:r>
      <w:proofErr w:type="spellStart"/>
      <w:r w:rsidRPr="000C365A">
        <w:rPr>
          <w:rFonts w:asciiTheme="majorBidi" w:hAnsiTheme="majorBidi" w:cstheme="majorBidi"/>
          <w:i/>
        </w:rPr>
        <w:t>kompetences</w:t>
      </w:r>
      <w:proofErr w:type="spellEnd"/>
      <w:r w:rsidRPr="000C365A">
        <w:rPr>
          <w:rFonts w:asciiTheme="majorBidi" w:hAnsiTheme="majorBidi" w:cstheme="majorBidi"/>
          <w:i/>
        </w:rPr>
        <w:t xml:space="preserve"> </w:t>
      </w:r>
      <w:proofErr w:type="spellStart"/>
      <w:r w:rsidRPr="000C365A">
        <w:rPr>
          <w:rFonts w:asciiTheme="majorBidi" w:hAnsiTheme="majorBidi" w:cstheme="majorBidi"/>
          <w:i/>
        </w:rPr>
        <w:t>robežās</w:t>
      </w:r>
      <w:proofErr w:type="spellEnd"/>
      <w:r w:rsidRPr="000C365A">
        <w:rPr>
          <w:rFonts w:asciiTheme="majorBidi" w:hAnsiTheme="majorBidi" w:cstheme="majorBidi"/>
          <w:i/>
        </w:rPr>
        <w:t xml:space="preserve"> un </w:t>
      </w:r>
      <w:proofErr w:type="spellStart"/>
      <w:r w:rsidRPr="000C365A">
        <w:rPr>
          <w:rFonts w:asciiTheme="majorBidi" w:hAnsiTheme="majorBidi" w:cstheme="majorBidi"/>
          <w:i/>
          <w:u w:val="single"/>
        </w:rPr>
        <w:t>ievērojot</w:t>
      </w:r>
      <w:proofErr w:type="spellEnd"/>
      <w:r w:rsidRPr="000C365A">
        <w:rPr>
          <w:rFonts w:asciiTheme="majorBidi" w:hAnsiTheme="majorBidi" w:cstheme="majorBidi"/>
          <w:i/>
          <w:u w:val="single"/>
        </w:rPr>
        <w:t xml:space="preserve"> </w:t>
      </w:r>
      <w:proofErr w:type="spellStart"/>
      <w:r w:rsidRPr="000C365A">
        <w:rPr>
          <w:rFonts w:asciiTheme="majorBidi" w:hAnsiTheme="majorBidi" w:cstheme="majorBidi"/>
          <w:i/>
          <w:u w:val="single"/>
        </w:rPr>
        <w:t>noteikto</w:t>
      </w:r>
      <w:proofErr w:type="spellEnd"/>
      <w:r w:rsidRPr="000C365A">
        <w:rPr>
          <w:rFonts w:asciiTheme="majorBidi" w:hAnsiTheme="majorBidi" w:cstheme="majorBidi"/>
          <w:i/>
          <w:u w:val="single"/>
        </w:rPr>
        <w:t xml:space="preserve"> </w:t>
      </w:r>
      <w:proofErr w:type="spellStart"/>
      <w:r w:rsidRPr="000C365A">
        <w:rPr>
          <w:rFonts w:asciiTheme="majorBidi" w:hAnsiTheme="majorBidi" w:cstheme="majorBidi"/>
          <w:i/>
          <w:u w:val="single"/>
        </w:rPr>
        <w:t>formu</w:t>
      </w:r>
      <w:proofErr w:type="spellEnd"/>
      <w:r w:rsidRPr="000C365A">
        <w:rPr>
          <w:rFonts w:asciiTheme="majorBidi" w:hAnsiTheme="majorBidi" w:cstheme="majorBidi"/>
          <w:i/>
        </w:rPr>
        <w:t xml:space="preserve">, un, </w:t>
      </w:r>
      <w:r w:rsidRPr="000C365A">
        <w:rPr>
          <w:rFonts w:asciiTheme="majorBidi" w:hAnsiTheme="majorBidi" w:cstheme="majorBidi"/>
          <w:i/>
          <w:u w:val="single"/>
        </w:rPr>
        <w:t xml:space="preserve">kas </w:t>
      </w:r>
      <w:proofErr w:type="spellStart"/>
      <w:r w:rsidRPr="000C365A">
        <w:rPr>
          <w:rFonts w:asciiTheme="majorBidi" w:hAnsiTheme="majorBidi" w:cstheme="majorBidi"/>
          <w:i/>
          <w:u w:val="single"/>
        </w:rPr>
        <w:t>apzīmogoti</w:t>
      </w:r>
      <w:proofErr w:type="spellEnd"/>
      <w:r w:rsidRPr="000C365A">
        <w:rPr>
          <w:rFonts w:asciiTheme="majorBidi" w:hAnsiTheme="majorBidi" w:cstheme="majorBidi"/>
          <w:i/>
          <w:u w:val="single"/>
        </w:rPr>
        <w:t xml:space="preserve"> </w:t>
      </w:r>
      <w:proofErr w:type="spellStart"/>
      <w:r w:rsidRPr="000C365A">
        <w:rPr>
          <w:rFonts w:asciiTheme="majorBidi" w:hAnsiTheme="majorBidi" w:cstheme="majorBidi"/>
          <w:i/>
          <w:u w:val="single"/>
        </w:rPr>
        <w:t>ar</w:t>
      </w:r>
      <w:proofErr w:type="spellEnd"/>
      <w:r w:rsidRPr="000C365A">
        <w:rPr>
          <w:rFonts w:asciiTheme="majorBidi" w:hAnsiTheme="majorBidi" w:cstheme="majorBidi"/>
          <w:i/>
          <w:u w:val="single"/>
        </w:rPr>
        <w:t xml:space="preserve"> </w:t>
      </w:r>
      <w:proofErr w:type="spellStart"/>
      <w:r w:rsidRPr="000C365A">
        <w:rPr>
          <w:rFonts w:asciiTheme="majorBidi" w:hAnsiTheme="majorBidi" w:cstheme="majorBidi"/>
          <w:i/>
          <w:u w:val="single"/>
        </w:rPr>
        <w:t>ģērboņa</w:t>
      </w:r>
      <w:proofErr w:type="spellEnd"/>
      <w:r w:rsidRPr="000C365A">
        <w:rPr>
          <w:rFonts w:asciiTheme="majorBidi" w:hAnsiTheme="majorBidi" w:cstheme="majorBidi"/>
          <w:i/>
          <w:u w:val="single"/>
        </w:rPr>
        <w:t xml:space="preserve"> </w:t>
      </w:r>
      <w:proofErr w:type="spellStart"/>
      <w:r w:rsidRPr="000C365A">
        <w:rPr>
          <w:rFonts w:asciiTheme="majorBidi" w:hAnsiTheme="majorBidi" w:cstheme="majorBidi"/>
          <w:i/>
          <w:u w:val="single"/>
        </w:rPr>
        <w:t>zīmogu</w:t>
      </w:r>
      <w:proofErr w:type="spellEnd"/>
      <w:r w:rsidRPr="000C365A">
        <w:rPr>
          <w:rFonts w:asciiTheme="majorBidi" w:hAnsiTheme="majorBidi" w:cstheme="majorBidi"/>
          <w:i/>
        </w:rPr>
        <w:t xml:space="preserve">, </w:t>
      </w:r>
      <w:proofErr w:type="spellStart"/>
      <w:r w:rsidRPr="000C365A">
        <w:rPr>
          <w:rFonts w:asciiTheme="majorBidi" w:hAnsiTheme="majorBidi" w:cstheme="majorBidi"/>
          <w:i/>
        </w:rPr>
        <w:t>tiek</w:t>
      </w:r>
      <w:proofErr w:type="spellEnd"/>
      <w:r w:rsidRPr="000C365A">
        <w:rPr>
          <w:rFonts w:asciiTheme="majorBidi" w:hAnsiTheme="majorBidi" w:cstheme="majorBidi"/>
          <w:i/>
        </w:rPr>
        <w:t xml:space="preserve"> </w:t>
      </w:r>
      <w:proofErr w:type="spellStart"/>
      <w:r w:rsidRPr="000C365A">
        <w:rPr>
          <w:rFonts w:asciiTheme="majorBidi" w:hAnsiTheme="majorBidi" w:cstheme="majorBidi"/>
          <w:i/>
        </w:rPr>
        <w:t>pieņemti</w:t>
      </w:r>
      <w:proofErr w:type="spellEnd"/>
      <w:r w:rsidRPr="000C365A">
        <w:rPr>
          <w:rFonts w:asciiTheme="majorBidi" w:hAnsiTheme="majorBidi" w:cstheme="majorBidi"/>
          <w:i/>
        </w:rPr>
        <w:t xml:space="preserve"> </w:t>
      </w:r>
      <w:proofErr w:type="spellStart"/>
      <w:r w:rsidRPr="000C365A">
        <w:rPr>
          <w:rFonts w:asciiTheme="majorBidi" w:hAnsiTheme="majorBidi" w:cstheme="majorBidi"/>
          <w:i/>
        </w:rPr>
        <w:t>otras</w:t>
      </w:r>
      <w:proofErr w:type="spellEnd"/>
      <w:r w:rsidRPr="000C365A">
        <w:rPr>
          <w:rFonts w:asciiTheme="majorBidi" w:hAnsiTheme="majorBidi" w:cstheme="majorBidi"/>
          <w:i/>
        </w:rPr>
        <w:t xml:space="preserve"> </w:t>
      </w:r>
      <w:proofErr w:type="spellStart"/>
      <w:r w:rsidRPr="000C365A">
        <w:rPr>
          <w:rFonts w:asciiTheme="majorBidi" w:hAnsiTheme="majorBidi" w:cstheme="majorBidi"/>
          <w:i/>
        </w:rPr>
        <w:t>Līgumslēdzējas</w:t>
      </w:r>
      <w:proofErr w:type="spellEnd"/>
      <w:r w:rsidRPr="000C365A">
        <w:rPr>
          <w:rFonts w:asciiTheme="majorBidi" w:hAnsiTheme="majorBidi" w:cstheme="majorBidi"/>
          <w:i/>
        </w:rPr>
        <w:t xml:space="preserve"> </w:t>
      </w:r>
      <w:proofErr w:type="spellStart"/>
      <w:r w:rsidRPr="000C365A">
        <w:rPr>
          <w:rFonts w:asciiTheme="majorBidi" w:hAnsiTheme="majorBidi" w:cstheme="majorBidi"/>
          <w:i/>
        </w:rPr>
        <w:t>Puses</w:t>
      </w:r>
      <w:proofErr w:type="spellEnd"/>
      <w:r w:rsidRPr="000C365A">
        <w:rPr>
          <w:rFonts w:asciiTheme="majorBidi" w:hAnsiTheme="majorBidi" w:cstheme="majorBidi"/>
          <w:i/>
        </w:rPr>
        <w:t xml:space="preserve"> </w:t>
      </w:r>
      <w:proofErr w:type="spellStart"/>
      <w:r w:rsidRPr="000C365A">
        <w:rPr>
          <w:rFonts w:asciiTheme="majorBidi" w:hAnsiTheme="majorBidi" w:cstheme="majorBidi"/>
          <w:i/>
        </w:rPr>
        <w:t>teritorijā</w:t>
      </w:r>
      <w:proofErr w:type="spellEnd"/>
      <w:r w:rsidRPr="000C365A">
        <w:rPr>
          <w:rFonts w:asciiTheme="majorBidi" w:hAnsiTheme="majorBidi" w:cstheme="majorBidi"/>
          <w:i/>
        </w:rPr>
        <w:t xml:space="preserve"> </w:t>
      </w:r>
      <w:proofErr w:type="spellStart"/>
      <w:r w:rsidRPr="000C365A">
        <w:rPr>
          <w:rFonts w:asciiTheme="majorBidi" w:hAnsiTheme="majorBidi" w:cstheme="majorBidi"/>
          <w:i/>
        </w:rPr>
        <w:t>bez</w:t>
      </w:r>
      <w:proofErr w:type="spellEnd"/>
      <w:r w:rsidRPr="000C365A">
        <w:rPr>
          <w:rFonts w:asciiTheme="majorBidi" w:hAnsiTheme="majorBidi" w:cstheme="majorBidi"/>
          <w:i/>
        </w:rPr>
        <w:t xml:space="preserve"> </w:t>
      </w:r>
      <w:proofErr w:type="spellStart"/>
      <w:r w:rsidRPr="000C365A">
        <w:rPr>
          <w:rFonts w:asciiTheme="majorBidi" w:hAnsiTheme="majorBidi" w:cstheme="majorBidi"/>
          <w:i/>
        </w:rPr>
        <w:t>jebkāda</w:t>
      </w:r>
      <w:proofErr w:type="spellEnd"/>
      <w:r w:rsidRPr="000C365A">
        <w:rPr>
          <w:rFonts w:asciiTheme="majorBidi" w:hAnsiTheme="majorBidi" w:cstheme="majorBidi"/>
          <w:i/>
        </w:rPr>
        <w:t xml:space="preserve"> </w:t>
      </w:r>
      <w:proofErr w:type="spellStart"/>
      <w:r w:rsidRPr="000C365A">
        <w:rPr>
          <w:rFonts w:asciiTheme="majorBidi" w:hAnsiTheme="majorBidi" w:cstheme="majorBidi"/>
          <w:i/>
        </w:rPr>
        <w:t>apstiprinājuma</w:t>
      </w:r>
      <w:proofErr w:type="spellEnd"/>
      <w:r w:rsidRPr="000C365A">
        <w:rPr>
          <w:rFonts w:asciiTheme="majorBidi" w:hAnsiTheme="majorBidi" w:cstheme="majorBidi"/>
          <w:i/>
        </w:rPr>
        <w:t>. 2. </w:t>
      </w:r>
      <w:proofErr w:type="spellStart"/>
      <w:r w:rsidRPr="000C365A">
        <w:rPr>
          <w:rFonts w:asciiTheme="majorBidi" w:hAnsiTheme="majorBidi" w:cstheme="majorBidi"/>
          <w:i/>
        </w:rPr>
        <w:t>Dokumenti</w:t>
      </w:r>
      <w:proofErr w:type="spellEnd"/>
      <w:r w:rsidRPr="000C365A">
        <w:rPr>
          <w:rFonts w:asciiTheme="majorBidi" w:hAnsiTheme="majorBidi" w:cstheme="majorBidi"/>
          <w:i/>
        </w:rPr>
        <w:t xml:space="preserve">, </w:t>
      </w:r>
      <w:proofErr w:type="spellStart"/>
      <w:r w:rsidRPr="000C365A">
        <w:rPr>
          <w:rFonts w:asciiTheme="majorBidi" w:hAnsiTheme="majorBidi" w:cstheme="majorBidi"/>
          <w:i/>
        </w:rPr>
        <w:t>kuriem</w:t>
      </w:r>
      <w:proofErr w:type="spellEnd"/>
      <w:r w:rsidRPr="000C365A">
        <w:rPr>
          <w:rFonts w:asciiTheme="majorBidi" w:hAnsiTheme="majorBidi" w:cstheme="majorBidi"/>
          <w:i/>
        </w:rPr>
        <w:t xml:space="preserve"> </w:t>
      </w:r>
      <w:proofErr w:type="spellStart"/>
      <w:r w:rsidRPr="000C365A">
        <w:rPr>
          <w:rFonts w:asciiTheme="majorBidi" w:hAnsiTheme="majorBidi" w:cstheme="majorBidi"/>
          <w:i/>
        </w:rPr>
        <w:t>vienas</w:t>
      </w:r>
      <w:proofErr w:type="spellEnd"/>
      <w:r w:rsidRPr="000C365A">
        <w:rPr>
          <w:rFonts w:asciiTheme="majorBidi" w:hAnsiTheme="majorBidi" w:cstheme="majorBidi"/>
          <w:i/>
        </w:rPr>
        <w:t xml:space="preserve"> </w:t>
      </w:r>
      <w:proofErr w:type="spellStart"/>
      <w:r w:rsidRPr="000C365A">
        <w:rPr>
          <w:rFonts w:asciiTheme="majorBidi" w:hAnsiTheme="majorBidi" w:cstheme="majorBidi"/>
          <w:i/>
        </w:rPr>
        <w:t>Līgumslēdzējas</w:t>
      </w:r>
      <w:proofErr w:type="spellEnd"/>
      <w:r w:rsidRPr="000C365A">
        <w:rPr>
          <w:rFonts w:asciiTheme="majorBidi" w:hAnsiTheme="majorBidi" w:cstheme="majorBidi"/>
          <w:i/>
        </w:rPr>
        <w:t xml:space="preserve"> </w:t>
      </w:r>
      <w:proofErr w:type="spellStart"/>
      <w:r w:rsidRPr="000C365A">
        <w:rPr>
          <w:rFonts w:asciiTheme="majorBidi" w:hAnsiTheme="majorBidi" w:cstheme="majorBidi"/>
          <w:i/>
        </w:rPr>
        <w:t>Puses</w:t>
      </w:r>
      <w:proofErr w:type="spellEnd"/>
      <w:r w:rsidRPr="000C365A">
        <w:rPr>
          <w:rFonts w:asciiTheme="majorBidi" w:hAnsiTheme="majorBidi" w:cstheme="majorBidi"/>
          <w:i/>
        </w:rPr>
        <w:t xml:space="preserve"> </w:t>
      </w:r>
      <w:proofErr w:type="spellStart"/>
      <w:r w:rsidRPr="000C365A">
        <w:rPr>
          <w:rFonts w:asciiTheme="majorBidi" w:hAnsiTheme="majorBidi" w:cstheme="majorBidi"/>
          <w:i/>
        </w:rPr>
        <w:t>teritorijā</w:t>
      </w:r>
      <w:proofErr w:type="spellEnd"/>
      <w:r w:rsidRPr="000C365A">
        <w:rPr>
          <w:rFonts w:asciiTheme="majorBidi" w:hAnsiTheme="majorBidi" w:cstheme="majorBidi"/>
          <w:i/>
        </w:rPr>
        <w:t xml:space="preserve"> </w:t>
      </w:r>
      <w:proofErr w:type="spellStart"/>
      <w:r w:rsidRPr="000C365A">
        <w:rPr>
          <w:rFonts w:asciiTheme="majorBidi" w:hAnsiTheme="majorBidi" w:cstheme="majorBidi"/>
          <w:i/>
        </w:rPr>
        <w:t>tiek</w:t>
      </w:r>
      <w:proofErr w:type="spellEnd"/>
      <w:r w:rsidRPr="000C365A">
        <w:rPr>
          <w:rFonts w:asciiTheme="majorBidi" w:hAnsiTheme="majorBidi" w:cstheme="majorBidi"/>
          <w:i/>
        </w:rPr>
        <w:t xml:space="preserve"> </w:t>
      </w:r>
      <w:proofErr w:type="spellStart"/>
      <w:r w:rsidRPr="000C365A">
        <w:rPr>
          <w:rFonts w:asciiTheme="majorBidi" w:hAnsiTheme="majorBidi" w:cstheme="majorBidi"/>
          <w:i/>
        </w:rPr>
        <w:t>uzskatīti</w:t>
      </w:r>
      <w:proofErr w:type="spellEnd"/>
      <w:r w:rsidRPr="000C365A">
        <w:rPr>
          <w:rFonts w:asciiTheme="majorBidi" w:hAnsiTheme="majorBidi" w:cstheme="majorBidi"/>
          <w:i/>
        </w:rPr>
        <w:t xml:space="preserve"> par </w:t>
      </w:r>
      <w:proofErr w:type="spellStart"/>
      <w:r w:rsidRPr="000C365A">
        <w:rPr>
          <w:rFonts w:asciiTheme="majorBidi" w:hAnsiTheme="majorBidi" w:cstheme="majorBidi"/>
          <w:i/>
        </w:rPr>
        <w:t>oficiāliem</w:t>
      </w:r>
      <w:proofErr w:type="spellEnd"/>
      <w:r w:rsidRPr="000C365A">
        <w:rPr>
          <w:rFonts w:asciiTheme="majorBidi" w:hAnsiTheme="majorBidi" w:cstheme="majorBidi"/>
          <w:i/>
        </w:rPr>
        <w:t xml:space="preserve">, </w:t>
      </w:r>
      <w:proofErr w:type="spellStart"/>
      <w:r w:rsidRPr="000C365A">
        <w:rPr>
          <w:rFonts w:asciiTheme="majorBidi" w:hAnsiTheme="majorBidi" w:cstheme="majorBidi"/>
          <w:i/>
        </w:rPr>
        <w:t>arī</w:t>
      </w:r>
      <w:proofErr w:type="spellEnd"/>
      <w:r w:rsidRPr="000C365A">
        <w:rPr>
          <w:rFonts w:asciiTheme="majorBidi" w:hAnsiTheme="majorBidi" w:cstheme="majorBidi"/>
          <w:i/>
        </w:rPr>
        <w:t xml:space="preserve"> </w:t>
      </w:r>
      <w:proofErr w:type="spellStart"/>
      <w:r w:rsidRPr="000C365A">
        <w:rPr>
          <w:rFonts w:asciiTheme="majorBidi" w:hAnsiTheme="majorBidi" w:cstheme="majorBidi"/>
          <w:i/>
        </w:rPr>
        <w:t>otras</w:t>
      </w:r>
      <w:proofErr w:type="spellEnd"/>
      <w:r w:rsidRPr="000C365A">
        <w:rPr>
          <w:rFonts w:asciiTheme="majorBidi" w:hAnsiTheme="majorBidi" w:cstheme="majorBidi"/>
          <w:i/>
        </w:rPr>
        <w:t xml:space="preserve"> </w:t>
      </w:r>
      <w:proofErr w:type="spellStart"/>
      <w:r w:rsidRPr="000C365A">
        <w:rPr>
          <w:rFonts w:asciiTheme="majorBidi" w:hAnsiTheme="majorBidi" w:cstheme="majorBidi"/>
          <w:i/>
        </w:rPr>
        <w:t>Līgumslēdzējas</w:t>
      </w:r>
      <w:proofErr w:type="spellEnd"/>
      <w:r w:rsidRPr="000C365A">
        <w:rPr>
          <w:rFonts w:asciiTheme="majorBidi" w:hAnsiTheme="majorBidi" w:cstheme="majorBidi"/>
          <w:i/>
        </w:rPr>
        <w:t xml:space="preserve"> </w:t>
      </w:r>
      <w:proofErr w:type="spellStart"/>
      <w:r w:rsidRPr="000C365A">
        <w:rPr>
          <w:rFonts w:asciiTheme="majorBidi" w:hAnsiTheme="majorBidi" w:cstheme="majorBidi"/>
          <w:i/>
        </w:rPr>
        <w:t>Puses</w:t>
      </w:r>
      <w:proofErr w:type="spellEnd"/>
      <w:r w:rsidRPr="000C365A">
        <w:rPr>
          <w:rFonts w:asciiTheme="majorBidi" w:hAnsiTheme="majorBidi" w:cstheme="majorBidi"/>
          <w:i/>
        </w:rPr>
        <w:t xml:space="preserve"> </w:t>
      </w:r>
      <w:proofErr w:type="spellStart"/>
      <w:r w:rsidRPr="000C365A">
        <w:rPr>
          <w:rFonts w:asciiTheme="majorBidi" w:hAnsiTheme="majorBidi" w:cstheme="majorBidi"/>
          <w:i/>
        </w:rPr>
        <w:t>teritorijā</w:t>
      </w:r>
      <w:proofErr w:type="spellEnd"/>
      <w:r w:rsidRPr="000C365A">
        <w:rPr>
          <w:rFonts w:asciiTheme="majorBidi" w:hAnsiTheme="majorBidi" w:cstheme="majorBidi"/>
          <w:i/>
        </w:rPr>
        <w:t xml:space="preserve"> </w:t>
      </w:r>
      <w:proofErr w:type="spellStart"/>
      <w:r w:rsidRPr="000C365A">
        <w:rPr>
          <w:rFonts w:asciiTheme="majorBidi" w:hAnsiTheme="majorBidi" w:cstheme="majorBidi"/>
          <w:i/>
        </w:rPr>
        <w:t>ir</w:t>
      </w:r>
      <w:proofErr w:type="spellEnd"/>
      <w:r w:rsidRPr="000C365A">
        <w:rPr>
          <w:rFonts w:asciiTheme="majorBidi" w:hAnsiTheme="majorBidi" w:cstheme="majorBidi"/>
          <w:i/>
        </w:rPr>
        <w:t xml:space="preserve"> </w:t>
      </w:r>
      <w:proofErr w:type="spellStart"/>
      <w:r w:rsidRPr="000C365A">
        <w:rPr>
          <w:rFonts w:asciiTheme="majorBidi" w:hAnsiTheme="majorBidi" w:cstheme="majorBidi"/>
          <w:i/>
        </w:rPr>
        <w:t>oficiālu</w:t>
      </w:r>
      <w:proofErr w:type="spellEnd"/>
      <w:r w:rsidRPr="000C365A">
        <w:rPr>
          <w:rFonts w:asciiTheme="majorBidi" w:hAnsiTheme="majorBidi" w:cstheme="majorBidi"/>
          <w:i/>
        </w:rPr>
        <w:t xml:space="preserve"> </w:t>
      </w:r>
      <w:proofErr w:type="spellStart"/>
      <w:r w:rsidRPr="000C365A">
        <w:rPr>
          <w:rFonts w:asciiTheme="majorBidi" w:hAnsiTheme="majorBidi" w:cstheme="majorBidi"/>
          <w:i/>
        </w:rPr>
        <w:t>dokumentu</w:t>
      </w:r>
      <w:proofErr w:type="spellEnd"/>
      <w:r w:rsidRPr="000C365A">
        <w:rPr>
          <w:rFonts w:asciiTheme="majorBidi" w:hAnsiTheme="majorBidi" w:cstheme="majorBidi"/>
          <w:i/>
        </w:rPr>
        <w:t xml:space="preserve"> </w:t>
      </w:r>
      <w:proofErr w:type="spellStart"/>
      <w:r w:rsidRPr="000C365A">
        <w:rPr>
          <w:rFonts w:asciiTheme="majorBidi" w:hAnsiTheme="majorBidi" w:cstheme="majorBidi"/>
          <w:i/>
        </w:rPr>
        <w:t>pierādījuma</w:t>
      </w:r>
      <w:proofErr w:type="spellEnd"/>
      <w:r w:rsidRPr="000C365A">
        <w:rPr>
          <w:rFonts w:asciiTheme="majorBidi" w:hAnsiTheme="majorBidi" w:cstheme="majorBidi"/>
          <w:i/>
        </w:rPr>
        <w:t xml:space="preserve"> </w:t>
      </w:r>
      <w:proofErr w:type="spellStart"/>
      <w:r w:rsidRPr="000C365A">
        <w:rPr>
          <w:rFonts w:asciiTheme="majorBidi" w:hAnsiTheme="majorBidi" w:cstheme="majorBidi"/>
          <w:i/>
        </w:rPr>
        <w:t>spēks</w:t>
      </w:r>
      <w:proofErr w:type="spellEnd"/>
      <w:r w:rsidRPr="001A3712">
        <w:rPr>
          <w:rFonts w:asciiTheme="majorBidi" w:hAnsiTheme="majorBidi" w:cstheme="majorBidi"/>
        </w:rPr>
        <w:t xml:space="preserve">“. </w:t>
      </w:r>
    </w:p>
    <w:p w14:paraId="489424A0" w14:textId="77777777" w:rsidR="00114953" w:rsidRPr="001A3712" w:rsidRDefault="00114953" w:rsidP="00114953">
      <w:pPr>
        <w:ind w:firstLine="708"/>
        <w:jc w:val="both"/>
        <w:rPr>
          <w:rFonts w:asciiTheme="majorBidi" w:hAnsiTheme="majorBidi" w:cstheme="majorBidi"/>
        </w:rPr>
      </w:pPr>
      <w:proofErr w:type="spellStart"/>
      <w:r w:rsidRPr="001A3712">
        <w:rPr>
          <w:rFonts w:asciiTheme="majorBidi" w:hAnsiTheme="majorBidi" w:cstheme="majorBidi"/>
        </w:rPr>
        <w:t>Kā</w:t>
      </w:r>
      <w:proofErr w:type="spellEnd"/>
      <w:r w:rsidRPr="001A3712">
        <w:rPr>
          <w:rFonts w:asciiTheme="majorBidi" w:hAnsiTheme="majorBidi" w:cstheme="majorBidi"/>
        </w:rPr>
        <w:t xml:space="preserve"> </w:t>
      </w:r>
      <w:proofErr w:type="spellStart"/>
      <w:r w:rsidRPr="001A3712">
        <w:rPr>
          <w:rFonts w:asciiTheme="majorBidi" w:hAnsiTheme="majorBidi" w:cstheme="majorBidi"/>
        </w:rPr>
        <w:t>redzams</w:t>
      </w:r>
      <w:proofErr w:type="spellEnd"/>
      <w:r w:rsidRPr="001A3712">
        <w:rPr>
          <w:rFonts w:asciiTheme="majorBidi" w:hAnsiTheme="majorBidi" w:cstheme="majorBidi"/>
        </w:rPr>
        <w:t xml:space="preserve">, </w:t>
      </w:r>
      <w:proofErr w:type="spellStart"/>
      <w:r w:rsidRPr="001A3712">
        <w:rPr>
          <w:rFonts w:asciiTheme="majorBidi" w:hAnsiTheme="majorBidi" w:cstheme="majorBidi"/>
        </w:rPr>
        <w:t>legalizācija</w:t>
      </w:r>
      <w:proofErr w:type="spellEnd"/>
      <w:r w:rsidRPr="001A3712">
        <w:rPr>
          <w:rFonts w:asciiTheme="majorBidi" w:hAnsiTheme="majorBidi" w:cstheme="majorBidi"/>
        </w:rPr>
        <w:t xml:space="preserve"> </w:t>
      </w:r>
      <w:proofErr w:type="spellStart"/>
      <w:r w:rsidRPr="001A3712">
        <w:rPr>
          <w:rFonts w:asciiTheme="majorBidi" w:hAnsiTheme="majorBidi" w:cstheme="majorBidi"/>
        </w:rPr>
        <w:t>atcelta</w:t>
      </w:r>
      <w:proofErr w:type="spellEnd"/>
      <w:r w:rsidRPr="001A3712">
        <w:rPr>
          <w:rFonts w:asciiTheme="majorBidi" w:hAnsiTheme="majorBidi" w:cstheme="majorBidi"/>
        </w:rPr>
        <w:t xml:space="preserve"> </w:t>
      </w:r>
      <w:proofErr w:type="spellStart"/>
      <w:r w:rsidRPr="001A3712">
        <w:rPr>
          <w:rFonts w:asciiTheme="majorBidi" w:hAnsiTheme="majorBidi" w:cstheme="majorBidi"/>
        </w:rPr>
        <w:t>tikai</w:t>
      </w:r>
      <w:proofErr w:type="spellEnd"/>
      <w:r w:rsidRPr="001A3712">
        <w:rPr>
          <w:rFonts w:asciiTheme="majorBidi" w:hAnsiTheme="majorBidi" w:cstheme="majorBidi"/>
        </w:rPr>
        <w:t xml:space="preserve"> </w:t>
      </w:r>
      <w:proofErr w:type="spellStart"/>
      <w:r w:rsidRPr="001A3712">
        <w:rPr>
          <w:rFonts w:asciiTheme="majorBidi" w:hAnsiTheme="majorBidi" w:cstheme="majorBidi"/>
        </w:rPr>
        <w:t>oficiālajiem</w:t>
      </w:r>
      <w:proofErr w:type="spellEnd"/>
      <w:r w:rsidRPr="001A3712">
        <w:rPr>
          <w:rFonts w:asciiTheme="majorBidi" w:hAnsiTheme="majorBidi" w:cstheme="majorBidi"/>
        </w:rPr>
        <w:t xml:space="preserve"> </w:t>
      </w:r>
      <w:proofErr w:type="spellStart"/>
      <w:r w:rsidRPr="001A3712">
        <w:rPr>
          <w:rFonts w:asciiTheme="majorBidi" w:hAnsiTheme="majorBidi" w:cstheme="majorBidi"/>
        </w:rPr>
        <w:t>dokumentiem</w:t>
      </w:r>
      <w:proofErr w:type="spellEnd"/>
      <w:r w:rsidRPr="001A3712">
        <w:rPr>
          <w:rFonts w:asciiTheme="majorBidi" w:hAnsiTheme="majorBidi" w:cstheme="majorBidi"/>
        </w:rPr>
        <w:t xml:space="preserve">. Uz </w:t>
      </w:r>
      <w:proofErr w:type="spellStart"/>
      <w:r w:rsidRPr="001A3712">
        <w:rPr>
          <w:rFonts w:asciiTheme="majorBidi" w:hAnsiTheme="majorBidi" w:cstheme="majorBidi"/>
        </w:rPr>
        <w:t>privātā</w:t>
      </w:r>
      <w:proofErr w:type="spellEnd"/>
      <w:r w:rsidRPr="001A3712">
        <w:rPr>
          <w:rFonts w:asciiTheme="majorBidi" w:hAnsiTheme="majorBidi" w:cstheme="majorBidi"/>
        </w:rPr>
        <w:t xml:space="preserve"> </w:t>
      </w:r>
      <w:proofErr w:type="spellStart"/>
      <w:r w:rsidRPr="001A3712">
        <w:rPr>
          <w:rFonts w:asciiTheme="majorBidi" w:hAnsiTheme="majorBidi" w:cstheme="majorBidi"/>
        </w:rPr>
        <w:t>kārtībā</w:t>
      </w:r>
      <w:proofErr w:type="spellEnd"/>
      <w:r w:rsidRPr="001A3712">
        <w:rPr>
          <w:rFonts w:asciiTheme="majorBidi" w:hAnsiTheme="majorBidi" w:cstheme="majorBidi"/>
        </w:rPr>
        <w:t xml:space="preserve"> </w:t>
      </w:r>
      <w:proofErr w:type="spellStart"/>
      <w:r w:rsidRPr="001A3712">
        <w:rPr>
          <w:rFonts w:asciiTheme="majorBidi" w:hAnsiTheme="majorBidi" w:cstheme="majorBidi"/>
        </w:rPr>
        <w:t>sastādītajiem</w:t>
      </w:r>
      <w:proofErr w:type="spellEnd"/>
      <w:r w:rsidRPr="001A3712">
        <w:rPr>
          <w:rFonts w:asciiTheme="majorBidi" w:hAnsiTheme="majorBidi" w:cstheme="majorBidi"/>
        </w:rPr>
        <w:t xml:space="preserve"> </w:t>
      </w:r>
      <w:proofErr w:type="spellStart"/>
      <w:r w:rsidRPr="001A3712">
        <w:rPr>
          <w:rFonts w:asciiTheme="majorBidi" w:hAnsiTheme="majorBidi" w:cstheme="majorBidi"/>
        </w:rPr>
        <w:t>dokumentiem</w:t>
      </w:r>
      <w:proofErr w:type="spellEnd"/>
      <w:r w:rsidRPr="001A3712">
        <w:rPr>
          <w:rFonts w:asciiTheme="majorBidi" w:hAnsiTheme="majorBidi" w:cstheme="majorBidi"/>
        </w:rPr>
        <w:t xml:space="preserve"> </w:t>
      </w:r>
      <w:proofErr w:type="spellStart"/>
      <w:r w:rsidRPr="001A3712">
        <w:rPr>
          <w:rFonts w:asciiTheme="majorBidi" w:hAnsiTheme="majorBidi" w:cstheme="majorBidi"/>
        </w:rPr>
        <w:t>legalizācijas</w:t>
      </w:r>
      <w:proofErr w:type="spellEnd"/>
      <w:r w:rsidRPr="001A3712">
        <w:rPr>
          <w:rFonts w:asciiTheme="majorBidi" w:hAnsiTheme="majorBidi" w:cstheme="majorBidi"/>
        </w:rPr>
        <w:t xml:space="preserve"> </w:t>
      </w:r>
      <w:proofErr w:type="spellStart"/>
      <w:r w:rsidRPr="001A3712">
        <w:rPr>
          <w:rFonts w:asciiTheme="majorBidi" w:hAnsiTheme="majorBidi" w:cstheme="majorBidi"/>
        </w:rPr>
        <w:t>prasības</w:t>
      </w:r>
      <w:proofErr w:type="spellEnd"/>
      <w:r w:rsidRPr="001A3712">
        <w:rPr>
          <w:rFonts w:asciiTheme="majorBidi" w:hAnsiTheme="majorBidi" w:cstheme="majorBidi"/>
        </w:rPr>
        <w:t xml:space="preserve"> </w:t>
      </w:r>
      <w:proofErr w:type="spellStart"/>
      <w:r w:rsidRPr="001A3712">
        <w:rPr>
          <w:rFonts w:asciiTheme="majorBidi" w:hAnsiTheme="majorBidi" w:cstheme="majorBidi"/>
        </w:rPr>
        <w:t>neattiecas</w:t>
      </w:r>
      <w:proofErr w:type="spellEnd"/>
      <w:r w:rsidRPr="001A3712">
        <w:rPr>
          <w:rFonts w:asciiTheme="majorBidi" w:hAnsiTheme="majorBidi" w:cstheme="majorBidi"/>
        </w:rPr>
        <w:t>.</w:t>
      </w:r>
    </w:p>
    <w:p w14:paraId="764DEC9B" w14:textId="77777777" w:rsidR="00114953" w:rsidRDefault="00114953" w:rsidP="00114953">
      <w:pPr>
        <w:ind w:firstLine="708"/>
        <w:jc w:val="both"/>
        <w:rPr>
          <w:rFonts w:asciiTheme="majorBidi" w:hAnsiTheme="majorBidi" w:cstheme="majorBidi"/>
        </w:rPr>
      </w:pPr>
      <w:proofErr w:type="spellStart"/>
      <w:r>
        <w:rPr>
          <w:rFonts w:asciiTheme="majorBidi" w:hAnsiTheme="majorBidi" w:cstheme="majorBidi"/>
        </w:rPr>
        <w:t>Kā</w:t>
      </w:r>
      <w:proofErr w:type="spellEnd"/>
      <w:r>
        <w:rPr>
          <w:rFonts w:asciiTheme="majorBidi" w:hAnsiTheme="majorBidi" w:cstheme="majorBidi"/>
        </w:rPr>
        <w:t xml:space="preserve"> jau </w:t>
      </w:r>
      <w:proofErr w:type="spellStart"/>
      <w:r>
        <w:rPr>
          <w:rFonts w:asciiTheme="majorBidi" w:hAnsiTheme="majorBidi" w:cstheme="majorBidi"/>
        </w:rPr>
        <w:t>iepriekš</w:t>
      </w:r>
      <w:proofErr w:type="spellEnd"/>
      <w:r>
        <w:rPr>
          <w:rFonts w:asciiTheme="majorBidi" w:hAnsiTheme="majorBidi" w:cstheme="majorBidi"/>
        </w:rPr>
        <w:t xml:space="preserve"> </w:t>
      </w:r>
      <w:proofErr w:type="spellStart"/>
      <w:r>
        <w:rPr>
          <w:rFonts w:asciiTheme="majorBidi" w:hAnsiTheme="majorBidi" w:cstheme="majorBidi"/>
        </w:rPr>
        <w:t>tika</w:t>
      </w:r>
      <w:proofErr w:type="spellEnd"/>
      <w:r>
        <w:rPr>
          <w:rFonts w:asciiTheme="majorBidi" w:hAnsiTheme="majorBidi" w:cstheme="majorBidi"/>
        </w:rPr>
        <w:t xml:space="preserve"> </w:t>
      </w:r>
      <w:proofErr w:type="spellStart"/>
      <w:r>
        <w:rPr>
          <w:rFonts w:asciiTheme="majorBidi" w:hAnsiTheme="majorBidi" w:cstheme="majorBidi"/>
        </w:rPr>
        <w:t>minēts</w:t>
      </w:r>
      <w:proofErr w:type="spellEnd"/>
      <w:r>
        <w:rPr>
          <w:rFonts w:asciiTheme="majorBidi" w:hAnsiTheme="majorBidi" w:cstheme="majorBidi"/>
        </w:rPr>
        <w:t xml:space="preserve">, </w:t>
      </w:r>
      <w:proofErr w:type="spellStart"/>
      <w:r w:rsidRPr="001A3712">
        <w:rPr>
          <w:rFonts w:asciiTheme="majorBidi" w:hAnsiTheme="majorBidi" w:cstheme="majorBidi"/>
        </w:rPr>
        <w:t>Latvija</w:t>
      </w:r>
      <w:proofErr w:type="spellEnd"/>
      <w:r w:rsidRPr="001A3712">
        <w:rPr>
          <w:rFonts w:asciiTheme="majorBidi" w:hAnsiTheme="majorBidi" w:cstheme="majorBidi"/>
        </w:rPr>
        <w:t xml:space="preserve"> </w:t>
      </w:r>
      <w:proofErr w:type="spellStart"/>
      <w:r w:rsidRPr="001A3712">
        <w:rPr>
          <w:rFonts w:asciiTheme="majorBidi" w:hAnsiTheme="majorBidi" w:cstheme="majorBidi"/>
        </w:rPr>
        <w:t>ir</w:t>
      </w:r>
      <w:proofErr w:type="spellEnd"/>
      <w:r w:rsidRPr="001A3712">
        <w:rPr>
          <w:rFonts w:asciiTheme="majorBidi" w:hAnsiTheme="majorBidi" w:cstheme="majorBidi"/>
        </w:rPr>
        <w:t xml:space="preserve"> </w:t>
      </w:r>
      <w:proofErr w:type="spellStart"/>
      <w:r w:rsidRPr="001A3712">
        <w:rPr>
          <w:rFonts w:asciiTheme="majorBidi" w:hAnsiTheme="majorBidi" w:cstheme="majorBidi"/>
        </w:rPr>
        <w:t>pievienojusies</w:t>
      </w:r>
      <w:proofErr w:type="spellEnd"/>
      <w:r w:rsidRPr="001A3712">
        <w:rPr>
          <w:rFonts w:asciiTheme="majorBidi" w:hAnsiTheme="majorBidi" w:cstheme="majorBidi"/>
        </w:rPr>
        <w:t xml:space="preserve"> </w:t>
      </w:r>
      <w:proofErr w:type="spellStart"/>
      <w:r w:rsidRPr="001A3712">
        <w:rPr>
          <w:rFonts w:asciiTheme="majorBidi" w:hAnsiTheme="majorBidi" w:cstheme="majorBidi"/>
        </w:rPr>
        <w:t>arī</w:t>
      </w:r>
      <w:proofErr w:type="spellEnd"/>
      <w:r w:rsidRPr="001A3712">
        <w:rPr>
          <w:rFonts w:asciiTheme="majorBidi" w:hAnsiTheme="majorBidi" w:cstheme="majorBidi"/>
        </w:rPr>
        <w:t xml:space="preserve"> 1987.gada </w:t>
      </w:r>
      <w:proofErr w:type="gramStart"/>
      <w:r w:rsidRPr="001A3712">
        <w:rPr>
          <w:rFonts w:asciiTheme="majorBidi" w:hAnsiTheme="majorBidi" w:cstheme="majorBidi"/>
        </w:rPr>
        <w:t>25.maija</w:t>
      </w:r>
      <w:proofErr w:type="gramEnd"/>
      <w:r w:rsidRPr="001A3712">
        <w:rPr>
          <w:rFonts w:asciiTheme="majorBidi" w:hAnsiTheme="majorBidi" w:cstheme="majorBidi"/>
        </w:rPr>
        <w:t xml:space="preserve"> </w:t>
      </w:r>
      <w:proofErr w:type="spellStart"/>
      <w:r w:rsidRPr="001A3712">
        <w:rPr>
          <w:rFonts w:asciiTheme="majorBidi" w:hAnsiTheme="majorBidi" w:cstheme="majorBidi"/>
        </w:rPr>
        <w:t>Konvencijai</w:t>
      </w:r>
      <w:proofErr w:type="spellEnd"/>
      <w:r w:rsidRPr="001A3712">
        <w:rPr>
          <w:rFonts w:asciiTheme="majorBidi" w:hAnsiTheme="majorBidi" w:cstheme="majorBidi"/>
        </w:rPr>
        <w:t xml:space="preserve"> </w:t>
      </w:r>
      <w:r w:rsidRPr="00AD4E51">
        <w:rPr>
          <w:rFonts w:asciiTheme="majorBidi" w:hAnsiTheme="majorBidi" w:cstheme="majorBidi"/>
        </w:rPr>
        <w:t xml:space="preserve">par </w:t>
      </w:r>
      <w:proofErr w:type="spellStart"/>
      <w:r w:rsidRPr="00AD4E51">
        <w:rPr>
          <w:rFonts w:asciiTheme="majorBidi" w:hAnsiTheme="majorBidi" w:cstheme="majorBidi"/>
        </w:rPr>
        <w:t>dokumentu</w:t>
      </w:r>
      <w:proofErr w:type="spellEnd"/>
      <w:r w:rsidRPr="00AD4E51">
        <w:rPr>
          <w:rFonts w:asciiTheme="majorBidi" w:hAnsiTheme="majorBidi" w:cstheme="majorBidi"/>
        </w:rPr>
        <w:t xml:space="preserve"> </w:t>
      </w:r>
      <w:proofErr w:type="spellStart"/>
      <w:r w:rsidRPr="00AD4E51">
        <w:rPr>
          <w:rFonts w:asciiTheme="majorBidi" w:hAnsiTheme="majorBidi" w:cstheme="majorBidi"/>
        </w:rPr>
        <w:t>legalizācijas</w:t>
      </w:r>
      <w:proofErr w:type="spellEnd"/>
      <w:r w:rsidRPr="00AD4E51">
        <w:rPr>
          <w:rFonts w:asciiTheme="majorBidi" w:hAnsiTheme="majorBidi" w:cstheme="majorBidi"/>
        </w:rPr>
        <w:t xml:space="preserve"> </w:t>
      </w:r>
      <w:proofErr w:type="spellStart"/>
      <w:r w:rsidRPr="00AD4E51">
        <w:rPr>
          <w:rFonts w:asciiTheme="majorBidi" w:hAnsiTheme="majorBidi" w:cstheme="majorBidi"/>
        </w:rPr>
        <w:t>atcelšanu</w:t>
      </w:r>
      <w:proofErr w:type="spellEnd"/>
      <w:r w:rsidRPr="00AD4E51">
        <w:rPr>
          <w:rFonts w:asciiTheme="majorBidi" w:hAnsiTheme="majorBidi" w:cstheme="majorBidi"/>
        </w:rPr>
        <w:t xml:space="preserve"> </w:t>
      </w:r>
      <w:proofErr w:type="spellStart"/>
      <w:r w:rsidRPr="00AD4E51">
        <w:rPr>
          <w:rFonts w:asciiTheme="majorBidi" w:hAnsiTheme="majorBidi" w:cstheme="majorBidi"/>
        </w:rPr>
        <w:t>Eiropas</w:t>
      </w:r>
      <w:proofErr w:type="spellEnd"/>
      <w:r w:rsidRPr="00AD4E51">
        <w:rPr>
          <w:rFonts w:asciiTheme="majorBidi" w:hAnsiTheme="majorBidi" w:cstheme="majorBidi"/>
        </w:rPr>
        <w:t xml:space="preserve"> </w:t>
      </w:r>
      <w:proofErr w:type="spellStart"/>
      <w:r w:rsidRPr="00AD4E51">
        <w:rPr>
          <w:rFonts w:asciiTheme="majorBidi" w:hAnsiTheme="majorBidi" w:cstheme="majorBidi"/>
        </w:rPr>
        <w:t>Kopienu</w:t>
      </w:r>
      <w:proofErr w:type="spellEnd"/>
      <w:r w:rsidRPr="00AD4E51">
        <w:rPr>
          <w:rFonts w:asciiTheme="majorBidi" w:hAnsiTheme="majorBidi" w:cstheme="majorBidi"/>
        </w:rPr>
        <w:t xml:space="preserve"> </w:t>
      </w:r>
      <w:proofErr w:type="spellStart"/>
      <w:r w:rsidRPr="00AD4E51">
        <w:rPr>
          <w:rFonts w:asciiTheme="majorBidi" w:hAnsiTheme="majorBidi" w:cstheme="majorBidi"/>
        </w:rPr>
        <w:t>dalībvalstu</w:t>
      </w:r>
      <w:proofErr w:type="spellEnd"/>
      <w:r w:rsidRPr="00AD4E51">
        <w:rPr>
          <w:rFonts w:asciiTheme="majorBidi" w:hAnsiTheme="majorBidi" w:cstheme="majorBidi"/>
        </w:rPr>
        <w:t xml:space="preserve"> </w:t>
      </w:r>
      <w:proofErr w:type="spellStart"/>
      <w:r w:rsidRPr="00AD4E51">
        <w:rPr>
          <w:rFonts w:asciiTheme="majorBidi" w:hAnsiTheme="majorBidi" w:cstheme="majorBidi"/>
        </w:rPr>
        <w:t>starpā</w:t>
      </w:r>
      <w:proofErr w:type="spellEnd"/>
      <w:r w:rsidRPr="00AD4E51">
        <w:rPr>
          <w:rFonts w:asciiTheme="majorBidi" w:hAnsiTheme="majorBidi" w:cstheme="majorBidi"/>
        </w:rPr>
        <w:t>.</w:t>
      </w:r>
      <w:r w:rsidRPr="001A3712">
        <w:rPr>
          <w:rFonts w:asciiTheme="majorBidi" w:hAnsiTheme="majorBidi" w:cstheme="majorBidi"/>
          <w:i/>
          <w:iCs/>
        </w:rPr>
        <w:t xml:space="preserve"> </w:t>
      </w:r>
      <w:proofErr w:type="spellStart"/>
      <w:r w:rsidRPr="001A3712">
        <w:rPr>
          <w:rFonts w:asciiTheme="majorBidi" w:hAnsiTheme="majorBidi" w:cstheme="majorBidi"/>
        </w:rPr>
        <w:t>Saskaņā</w:t>
      </w:r>
      <w:proofErr w:type="spellEnd"/>
      <w:r w:rsidRPr="001A3712">
        <w:rPr>
          <w:rFonts w:asciiTheme="majorBidi" w:hAnsiTheme="majorBidi" w:cstheme="majorBidi"/>
        </w:rPr>
        <w:t xml:space="preserve"> </w:t>
      </w:r>
      <w:proofErr w:type="spellStart"/>
      <w:r w:rsidRPr="001A3712">
        <w:rPr>
          <w:rFonts w:asciiTheme="majorBidi" w:hAnsiTheme="majorBidi" w:cstheme="majorBidi"/>
        </w:rPr>
        <w:t>ar</w:t>
      </w:r>
      <w:proofErr w:type="spellEnd"/>
      <w:r w:rsidRPr="001A3712">
        <w:rPr>
          <w:rFonts w:asciiTheme="majorBidi" w:hAnsiTheme="majorBidi" w:cstheme="majorBidi"/>
        </w:rPr>
        <w:t xml:space="preserve"> </w:t>
      </w:r>
      <w:proofErr w:type="spellStart"/>
      <w:r w:rsidRPr="001A3712">
        <w:rPr>
          <w:rFonts w:asciiTheme="majorBidi" w:hAnsiTheme="majorBidi" w:cstheme="majorBidi"/>
        </w:rPr>
        <w:t>minētās</w:t>
      </w:r>
      <w:proofErr w:type="spellEnd"/>
      <w:r w:rsidRPr="001A3712">
        <w:rPr>
          <w:rFonts w:asciiTheme="majorBidi" w:hAnsiTheme="majorBidi" w:cstheme="majorBidi"/>
        </w:rPr>
        <w:t xml:space="preserve"> </w:t>
      </w:r>
      <w:proofErr w:type="spellStart"/>
      <w:r w:rsidRPr="001A3712">
        <w:rPr>
          <w:rFonts w:asciiTheme="majorBidi" w:hAnsiTheme="majorBidi" w:cstheme="majorBidi"/>
        </w:rPr>
        <w:t>Konvencijas</w:t>
      </w:r>
      <w:proofErr w:type="spellEnd"/>
      <w:r w:rsidRPr="001A3712">
        <w:rPr>
          <w:rFonts w:asciiTheme="majorBidi" w:hAnsiTheme="majorBidi" w:cstheme="majorBidi"/>
        </w:rPr>
        <w:t xml:space="preserve"> </w:t>
      </w:r>
      <w:proofErr w:type="gramStart"/>
      <w:r w:rsidRPr="001A3712">
        <w:rPr>
          <w:rFonts w:asciiTheme="majorBidi" w:hAnsiTheme="majorBidi" w:cstheme="majorBidi"/>
        </w:rPr>
        <w:t>2.pantu</w:t>
      </w:r>
      <w:proofErr w:type="gramEnd"/>
      <w:r w:rsidRPr="001A3712">
        <w:rPr>
          <w:rFonts w:asciiTheme="majorBidi" w:hAnsiTheme="majorBidi" w:cstheme="majorBidi"/>
        </w:rPr>
        <w:t xml:space="preserve"> </w:t>
      </w:r>
      <w:proofErr w:type="spellStart"/>
      <w:r w:rsidRPr="001A3712">
        <w:rPr>
          <w:rFonts w:asciiTheme="majorBidi" w:hAnsiTheme="majorBidi" w:cstheme="majorBidi"/>
        </w:rPr>
        <w:t>visi</w:t>
      </w:r>
      <w:proofErr w:type="spellEnd"/>
      <w:r w:rsidRPr="001A3712">
        <w:rPr>
          <w:rFonts w:asciiTheme="majorBidi" w:hAnsiTheme="majorBidi" w:cstheme="majorBidi"/>
        </w:rPr>
        <w:t xml:space="preserve"> </w:t>
      </w:r>
      <w:proofErr w:type="spellStart"/>
      <w:r w:rsidRPr="001A3712">
        <w:rPr>
          <w:rFonts w:asciiTheme="majorBidi" w:hAnsiTheme="majorBidi" w:cstheme="majorBidi"/>
        </w:rPr>
        <w:t>publiskie</w:t>
      </w:r>
      <w:proofErr w:type="spellEnd"/>
      <w:r w:rsidRPr="001A3712">
        <w:rPr>
          <w:rFonts w:asciiTheme="majorBidi" w:hAnsiTheme="majorBidi" w:cstheme="majorBidi"/>
        </w:rPr>
        <w:t xml:space="preserve"> </w:t>
      </w:r>
      <w:proofErr w:type="spellStart"/>
      <w:r w:rsidRPr="001A3712">
        <w:rPr>
          <w:rFonts w:asciiTheme="majorBidi" w:hAnsiTheme="majorBidi" w:cstheme="majorBidi"/>
        </w:rPr>
        <w:t>dokumenti</w:t>
      </w:r>
      <w:proofErr w:type="spellEnd"/>
      <w:r w:rsidRPr="001A3712">
        <w:rPr>
          <w:rFonts w:asciiTheme="majorBidi" w:hAnsiTheme="majorBidi" w:cstheme="majorBidi"/>
        </w:rPr>
        <w:t xml:space="preserve">, kas </w:t>
      </w:r>
      <w:proofErr w:type="spellStart"/>
      <w:r w:rsidRPr="001A3712">
        <w:rPr>
          <w:rFonts w:asciiTheme="majorBidi" w:hAnsiTheme="majorBidi" w:cstheme="majorBidi"/>
        </w:rPr>
        <w:t>izdoti</w:t>
      </w:r>
      <w:proofErr w:type="spellEnd"/>
      <w:r w:rsidRPr="001A3712">
        <w:rPr>
          <w:rFonts w:asciiTheme="majorBidi" w:hAnsiTheme="majorBidi" w:cstheme="majorBidi"/>
        </w:rPr>
        <w:t xml:space="preserve"> </w:t>
      </w:r>
      <w:proofErr w:type="spellStart"/>
      <w:r w:rsidRPr="001A3712">
        <w:rPr>
          <w:rFonts w:asciiTheme="majorBidi" w:hAnsiTheme="majorBidi" w:cstheme="majorBidi"/>
        </w:rPr>
        <w:t>kādas</w:t>
      </w:r>
      <w:proofErr w:type="spellEnd"/>
      <w:r w:rsidRPr="001A3712">
        <w:rPr>
          <w:rFonts w:asciiTheme="majorBidi" w:hAnsiTheme="majorBidi" w:cstheme="majorBidi"/>
        </w:rPr>
        <w:t xml:space="preserve"> </w:t>
      </w:r>
      <w:proofErr w:type="spellStart"/>
      <w:r w:rsidRPr="001A3712">
        <w:rPr>
          <w:rFonts w:asciiTheme="majorBidi" w:hAnsiTheme="majorBidi" w:cstheme="majorBidi"/>
        </w:rPr>
        <w:lastRenderedPageBreak/>
        <w:t>līgumslēdzējas</w:t>
      </w:r>
      <w:proofErr w:type="spellEnd"/>
      <w:r w:rsidRPr="001A3712">
        <w:rPr>
          <w:rFonts w:asciiTheme="majorBidi" w:hAnsiTheme="majorBidi" w:cstheme="majorBidi"/>
        </w:rPr>
        <w:t xml:space="preserve"> </w:t>
      </w:r>
      <w:proofErr w:type="spellStart"/>
      <w:r w:rsidRPr="001A3712">
        <w:rPr>
          <w:rFonts w:asciiTheme="majorBidi" w:hAnsiTheme="majorBidi" w:cstheme="majorBidi"/>
        </w:rPr>
        <w:t>valsts</w:t>
      </w:r>
      <w:proofErr w:type="spellEnd"/>
      <w:r w:rsidRPr="001A3712">
        <w:rPr>
          <w:rFonts w:asciiTheme="majorBidi" w:hAnsiTheme="majorBidi" w:cstheme="majorBidi"/>
        </w:rPr>
        <w:t xml:space="preserve"> </w:t>
      </w:r>
      <w:proofErr w:type="spellStart"/>
      <w:r w:rsidRPr="001A3712">
        <w:rPr>
          <w:rFonts w:asciiTheme="majorBidi" w:hAnsiTheme="majorBidi" w:cstheme="majorBidi"/>
        </w:rPr>
        <w:t>teritorijā</w:t>
      </w:r>
      <w:proofErr w:type="spellEnd"/>
      <w:r w:rsidRPr="001A3712">
        <w:rPr>
          <w:rFonts w:asciiTheme="majorBidi" w:hAnsiTheme="majorBidi" w:cstheme="majorBidi"/>
        </w:rPr>
        <w:t xml:space="preserve">, </w:t>
      </w:r>
      <w:proofErr w:type="spellStart"/>
      <w:r w:rsidRPr="001A3712">
        <w:rPr>
          <w:rFonts w:asciiTheme="majorBidi" w:hAnsiTheme="majorBidi" w:cstheme="majorBidi"/>
        </w:rPr>
        <w:t>ir</w:t>
      </w:r>
      <w:proofErr w:type="spellEnd"/>
      <w:r w:rsidRPr="001A3712">
        <w:rPr>
          <w:rFonts w:asciiTheme="majorBidi" w:hAnsiTheme="majorBidi" w:cstheme="majorBidi"/>
        </w:rPr>
        <w:t xml:space="preserve"> </w:t>
      </w:r>
      <w:proofErr w:type="spellStart"/>
      <w:r w:rsidRPr="001A3712">
        <w:rPr>
          <w:rFonts w:asciiTheme="majorBidi" w:hAnsiTheme="majorBidi" w:cstheme="majorBidi"/>
        </w:rPr>
        <w:t>atbrīvoti</w:t>
      </w:r>
      <w:proofErr w:type="spellEnd"/>
      <w:r w:rsidRPr="001A3712">
        <w:rPr>
          <w:rFonts w:asciiTheme="majorBidi" w:hAnsiTheme="majorBidi" w:cstheme="majorBidi"/>
        </w:rPr>
        <w:t xml:space="preserve"> no </w:t>
      </w:r>
      <w:proofErr w:type="spellStart"/>
      <w:r w:rsidRPr="001A3712">
        <w:rPr>
          <w:rFonts w:asciiTheme="majorBidi" w:hAnsiTheme="majorBidi" w:cstheme="majorBidi"/>
        </w:rPr>
        <w:t>jebkādas</w:t>
      </w:r>
      <w:proofErr w:type="spellEnd"/>
      <w:r w:rsidRPr="001A3712">
        <w:rPr>
          <w:rFonts w:asciiTheme="majorBidi" w:hAnsiTheme="majorBidi" w:cstheme="majorBidi"/>
        </w:rPr>
        <w:t xml:space="preserve"> </w:t>
      </w:r>
      <w:proofErr w:type="spellStart"/>
      <w:r w:rsidRPr="001A3712">
        <w:rPr>
          <w:rFonts w:asciiTheme="majorBidi" w:hAnsiTheme="majorBidi" w:cstheme="majorBidi"/>
        </w:rPr>
        <w:t>legalizācijas</w:t>
      </w:r>
      <w:proofErr w:type="spellEnd"/>
      <w:r w:rsidRPr="001A3712">
        <w:rPr>
          <w:rFonts w:asciiTheme="majorBidi" w:hAnsiTheme="majorBidi" w:cstheme="majorBidi"/>
        </w:rPr>
        <w:t xml:space="preserve"> </w:t>
      </w:r>
      <w:proofErr w:type="spellStart"/>
      <w:r w:rsidRPr="001A3712">
        <w:rPr>
          <w:rFonts w:asciiTheme="majorBidi" w:hAnsiTheme="majorBidi" w:cstheme="majorBidi"/>
        </w:rPr>
        <w:t>vai</w:t>
      </w:r>
      <w:proofErr w:type="spellEnd"/>
      <w:r w:rsidRPr="001A3712">
        <w:rPr>
          <w:rFonts w:asciiTheme="majorBidi" w:hAnsiTheme="majorBidi" w:cstheme="majorBidi"/>
        </w:rPr>
        <w:t xml:space="preserve"> </w:t>
      </w:r>
      <w:proofErr w:type="spellStart"/>
      <w:r w:rsidRPr="001A3712">
        <w:rPr>
          <w:rFonts w:asciiTheme="majorBidi" w:hAnsiTheme="majorBidi" w:cstheme="majorBidi"/>
        </w:rPr>
        <w:t>kādas</w:t>
      </w:r>
      <w:proofErr w:type="spellEnd"/>
      <w:r w:rsidRPr="001A3712">
        <w:rPr>
          <w:rFonts w:asciiTheme="majorBidi" w:hAnsiTheme="majorBidi" w:cstheme="majorBidi"/>
        </w:rPr>
        <w:t xml:space="preserve"> citas </w:t>
      </w:r>
      <w:proofErr w:type="spellStart"/>
      <w:r w:rsidRPr="001A3712">
        <w:rPr>
          <w:rFonts w:asciiTheme="majorBidi" w:hAnsiTheme="majorBidi" w:cstheme="majorBidi"/>
        </w:rPr>
        <w:t>tādas</w:t>
      </w:r>
      <w:proofErr w:type="spellEnd"/>
      <w:r w:rsidRPr="001A3712">
        <w:rPr>
          <w:rFonts w:asciiTheme="majorBidi" w:hAnsiTheme="majorBidi" w:cstheme="majorBidi"/>
        </w:rPr>
        <w:t xml:space="preserve"> </w:t>
      </w:r>
      <w:proofErr w:type="spellStart"/>
      <w:r w:rsidRPr="001A3712">
        <w:rPr>
          <w:rFonts w:asciiTheme="majorBidi" w:hAnsiTheme="majorBidi" w:cstheme="majorBidi"/>
        </w:rPr>
        <w:t>pašas</w:t>
      </w:r>
      <w:proofErr w:type="spellEnd"/>
      <w:r w:rsidRPr="001A3712">
        <w:rPr>
          <w:rFonts w:asciiTheme="majorBidi" w:hAnsiTheme="majorBidi" w:cstheme="majorBidi"/>
        </w:rPr>
        <w:t xml:space="preserve"> </w:t>
      </w:r>
      <w:proofErr w:type="spellStart"/>
      <w:r w:rsidRPr="001A3712">
        <w:rPr>
          <w:rFonts w:asciiTheme="majorBidi" w:hAnsiTheme="majorBidi" w:cstheme="majorBidi"/>
        </w:rPr>
        <w:t>vai</w:t>
      </w:r>
      <w:proofErr w:type="spellEnd"/>
      <w:r w:rsidRPr="001A3712">
        <w:rPr>
          <w:rFonts w:asciiTheme="majorBidi" w:hAnsiTheme="majorBidi" w:cstheme="majorBidi"/>
        </w:rPr>
        <w:t xml:space="preserve"> </w:t>
      </w:r>
      <w:proofErr w:type="spellStart"/>
      <w:r w:rsidRPr="001A3712">
        <w:rPr>
          <w:rFonts w:asciiTheme="majorBidi" w:hAnsiTheme="majorBidi" w:cstheme="majorBidi"/>
        </w:rPr>
        <w:t>līdzīgas</w:t>
      </w:r>
      <w:proofErr w:type="spellEnd"/>
      <w:r w:rsidRPr="001A3712">
        <w:rPr>
          <w:rFonts w:asciiTheme="majorBidi" w:hAnsiTheme="majorBidi" w:cstheme="majorBidi"/>
        </w:rPr>
        <w:t xml:space="preserve"> </w:t>
      </w:r>
      <w:proofErr w:type="spellStart"/>
      <w:r w:rsidRPr="001A3712">
        <w:rPr>
          <w:rFonts w:asciiTheme="majorBidi" w:hAnsiTheme="majorBidi" w:cstheme="majorBidi"/>
        </w:rPr>
        <w:t>formalitātes</w:t>
      </w:r>
      <w:proofErr w:type="spellEnd"/>
      <w:r w:rsidRPr="001A3712">
        <w:rPr>
          <w:rFonts w:asciiTheme="majorBidi" w:hAnsiTheme="majorBidi" w:cstheme="majorBidi"/>
        </w:rPr>
        <w:t xml:space="preserve">. </w:t>
      </w:r>
    </w:p>
    <w:p w14:paraId="267AF863" w14:textId="77777777" w:rsidR="00114953" w:rsidRPr="001A3712" w:rsidRDefault="00114953" w:rsidP="00114953">
      <w:pPr>
        <w:ind w:firstLine="708"/>
        <w:jc w:val="both"/>
        <w:rPr>
          <w:rFonts w:asciiTheme="majorBidi" w:hAnsiTheme="majorBidi" w:cstheme="majorBidi"/>
        </w:rPr>
      </w:pPr>
      <w:proofErr w:type="spellStart"/>
      <w:r w:rsidRPr="001A3712">
        <w:rPr>
          <w:rFonts w:asciiTheme="majorBidi" w:hAnsiTheme="majorBidi" w:cstheme="majorBidi"/>
        </w:rPr>
        <w:t>Dokumentu</w:t>
      </w:r>
      <w:proofErr w:type="spellEnd"/>
      <w:r w:rsidRPr="001A3712">
        <w:rPr>
          <w:rFonts w:asciiTheme="majorBidi" w:hAnsiTheme="majorBidi" w:cstheme="majorBidi"/>
        </w:rPr>
        <w:t xml:space="preserve"> </w:t>
      </w:r>
      <w:proofErr w:type="spellStart"/>
      <w:r w:rsidRPr="001A3712">
        <w:rPr>
          <w:rFonts w:asciiTheme="majorBidi" w:hAnsiTheme="majorBidi" w:cstheme="majorBidi"/>
        </w:rPr>
        <w:t>legalizācijas</w:t>
      </w:r>
      <w:proofErr w:type="spellEnd"/>
      <w:r w:rsidRPr="001A3712">
        <w:rPr>
          <w:rFonts w:asciiTheme="majorBidi" w:hAnsiTheme="majorBidi" w:cstheme="majorBidi"/>
        </w:rPr>
        <w:t xml:space="preserve"> </w:t>
      </w:r>
      <w:proofErr w:type="spellStart"/>
      <w:r w:rsidRPr="001A3712">
        <w:rPr>
          <w:rFonts w:asciiTheme="majorBidi" w:hAnsiTheme="majorBidi" w:cstheme="majorBidi"/>
        </w:rPr>
        <w:t>atcelšana</w:t>
      </w:r>
      <w:proofErr w:type="spellEnd"/>
      <w:r w:rsidRPr="001A3712">
        <w:rPr>
          <w:rFonts w:asciiTheme="majorBidi" w:hAnsiTheme="majorBidi" w:cstheme="majorBidi"/>
        </w:rPr>
        <w:t xml:space="preserve"> </w:t>
      </w:r>
      <w:proofErr w:type="spellStart"/>
      <w:r w:rsidRPr="001A3712">
        <w:rPr>
          <w:rFonts w:asciiTheme="majorBidi" w:hAnsiTheme="majorBidi" w:cstheme="majorBidi"/>
        </w:rPr>
        <w:t>ir</w:t>
      </w:r>
      <w:proofErr w:type="spellEnd"/>
      <w:r w:rsidRPr="001A3712">
        <w:rPr>
          <w:rFonts w:asciiTheme="majorBidi" w:hAnsiTheme="majorBidi" w:cstheme="majorBidi"/>
        </w:rPr>
        <w:t xml:space="preserve"> </w:t>
      </w:r>
      <w:proofErr w:type="spellStart"/>
      <w:r w:rsidRPr="001A3712">
        <w:rPr>
          <w:rFonts w:asciiTheme="majorBidi" w:hAnsiTheme="majorBidi" w:cstheme="majorBidi"/>
        </w:rPr>
        <w:t>paredzēta</w:t>
      </w:r>
      <w:proofErr w:type="spellEnd"/>
      <w:r w:rsidRPr="001A3712">
        <w:rPr>
          <w:rFonts w:asciiTheme="majorBidi" w:hAnsiTheme="majorBidi" w:cstheme="majorBidi"/>
        </w:rPr>
        <w:t xml:space="preserve"> </w:t>
      </w:r>
      <w:proofErr w:type="spellStart"/>
      <w:r w:rsidRPr="001A3712">
        <w:rPr>
          <w:rFonts w:asciiTheme="majorBidi" w:hAnsiTheme="majorBidi" w:cstheme="majorBidi"/>
        </w:rPr>
        <w:t>šādos</w:t>
      </w:r>
      <w:proofErr w:type="spellEnd"/>
      <w:r w:rsidRPr="001A3712">
        <w:rPr>
          <w:rFonts w:asciiTheme="majorBidi" w:hAnsiTheme="majorBidi" w:cstheme="majorBidi"/>
        </w:rPr>
        <w:t xml:space="preserve"> </w:t>
      </w:r>
      <w:proofErr w:type="spellStart"/>
      <w:r w:rsidRPr="001A3712">
        <w:rPr>
          <w:rFonts w:asciiTheme="majorBidi" w:hAnsiTheme="majorBidi" w:cstheme="majorBidi"/>
        </w:rPr>
        <w:t>svarīgākajos</w:t>
      </w:r>
      <w:proofErr w:type="spellEnd"/>
      <w:r w:rsidRPr="001A3712">
        <w:rPr>
          <w:rFonts w:asciiTheme="majorBidi" w:hAnsiTheme="majorBidi" w:cstheme="majorBidi"/>
        </w:rPr>
        <w:t xml:space="preserve"> Latvijas </w:t>
      </w:r>
      <w:proofErr w:type="spellStart"/>
      <w:r w:rsidRPr="001A3712">
        <w:rPr>
          <w:rFonts w:asciiTheme="majorBidi" w:hAnsiTheme="majorBidi" w:cstheme="majorBidi"/>
        </w:rPr>
        <w:t>Republikas</w:t>
      </w:r>
      <w:proofErr w:type="spellEnd"/>
      <w:r w:rsidRPr="001A3712">
        <w:rPr>
          <w:rFonts w:asciiTheme="majorBidi" w:hAnsiTheme="majorBidi" w:cstheme="majorBidi"/>
        </w:rPr>
        <w:t xml:space="preserve"> </w:t>
      </w:r>
      <w:proofErr w:type="spellStart"/>
      <w:r w:rsidRPr="001A3712">
        <w:rPr>
          <w:rFonts w:asciiTheme="majorBidi" w:hAnsiTheme="majorBidi" w:cstheme="majorBidi"/>
        </w:rPr>
        <w:t>noslēgtajos</w:t>
      </w:r>
      <w:proofErr w:type="spellEnd"/>
      <w:r w:rsidRPr="001A3712">
        <w:rPr>
          <w:rFonts w:asciiTheme="majorBidi" w:hAnsiTheme="majorBidi" w:cstheme="majorBidi"/>
        </w:rPr>
        <w:t xml:space="preserve"> </w:t>
      </w:r>
      <w:proofErr w:type="spellStart"/>
      <w:r w:rsidRPr="001A3712">
        <w:rPr>
          <w:rFonts w:asciiTheme="majorBidi" w:hAnsiTheme="majorBidi" w:cstheme="majorBidi"/>
          <w:b/>
          <w:bCs/>
        </w:rPr>
        <w:t>starptautiskajos</w:t>
      </w:r>
      <w:proofErr w:type="spellEnd"/>
      <w:r w:rsidRPr="001A3712">
        <w:rPr>
          <w:rFonts w:asciiTheme="majorBidi" w:hAnsiTheme="majorBidi" w:cstheme="majorBidi"/>
          <w:b/>
          <w:bCs/>
        </w:rPr>
        <w:t xml:space="preserve"> </w:t>
      </w:r>
      <w:proofErr w:type="spellStart"/>
      <w:proofErr w:type="gramStart"/>
      <w:r w:rsidRPr="001A3712">
        <w:rPr>
          <w:rFonts w:asciiTheme="majorBidi" w:hAnsiTheme="majorBidi" w:cstheme="majorBidi"/>
          <w:b/>
          <w:bCs/>
        </w:rPr>
        <w:t>līgumos</w:t>
      </w:r>
      <w:proofErr w:type="spellEnd"/>
      <w:r w:rsidRPr="001A3712">
        <w:rPr>
          <w:rFonts w:asciiTheme="majorBidi" w:hAnsiTheme="majorBidi" w:cstheme="majorBidi"/>
        </w:rPr>
        <w:t>:</w:t>
      </w:r>
      <w:proofErr w:type="gramEnd"/>
    </w:p>
    <w:p w14:paraId="5697AE07" w14:textId="77777777" w:rsidR="00114953" w:rsidRPr="001A3712" w:rsidRDefault="00114953" w:rsidP="00114953">
      <w:pPr>
        <w:jc w:val="both"/>
        <w:rPr>
          <w:rFonts w:asciiTheme="majorBidi" w:hAnsiTheme="majorBidi" w:cstheme="majorBidi"/>
        </w:rPr>
      </w:pPr>
    </w:p>
    <w:tbl>
      <w:tblPr>
        <w:tblStyle w:val="TableGrid"/>
        <w:tblW w:w="9322" w:type="dxa"/>
        <w:tblLayout w:type="fixed"/>
        <w:tblLook w:val="04A0" w:firstRow="1" w:lastRow="0" w:firstColumn="1" w:lastColumn="0" w:noHBand="0" w:noVBand="1"/>
      </w:tblPr>
      <w:tblGrid>
        <w:gridCol w:w="954"/>
        <w:gridCol w:w="15"/>
        <w:gridCol w:w="6440"/>
        <w:gridCol w:w="70"/>
        <w:gridCol w:w="1808"/>
        <w:gridCol w:w="35"/>
      </w:tblGrid>
      <w:tr w:rsidR="00114953" w:rsidRPr="006A5774" w14:paraId="51354EE6" w14:textId="77777777" w:rsidTr="00BF3A72">
        <w:trPr>
          <w:gridAfter w:val="1"/>
          <w:wAfter w:w="35" w:type="dxa"/>
        </w:trPr>
        <w:tc>
          <w:tcPr>
            <w:tcW w:w="969" w:type="dxa"/>
            <w:gridSpan w:val="2"/>
            <w:shd w:val="clear" w:color="auto" w:fill="D6E3BC" w:themeFill="accent3" w:themeFillTint="66"/>
          </w:tcPr>
          <w:p w14:paraId="13FC2800" w14:textId="77777777" w:rsidR="00114953" w:rsidRPr="006A5774" w:rsidRDefault="00114953" w:rsidP="00BF3A72">
            <w:pPr>
              <w:jc w:val="both"/>
              <w:rPr>
                <w:rFonts w:asciiTheme="majorBidi" w:hAnsiTheme="majorBidi" w:cstheme="majorBidi"/>
                <w:b/>
                <w:bCs/>
                <w:sz w:val="20"/>
                <w:szCs w:val="20"/>
              </w:rPr>
            </w:pPr>
            <w:proofErr w:type="spellStart"/>
            <w:r w:rsidRPr="006A5774">
              <w:rPr>
                <w:rFonts w:asciiTheme="majorBidi" w:hAnsiTheme="majorBidi" w:cstheme="majorBidi"/>
                <w:b/>
                <w:bCs/>
                <w:sz w:val="20"/>
                <w:szCs w:val="20"/>
              </w:rPr>
              <w:t>Nr.p.k</w:t>
            </w:r>
            <w:proofErr w:type="spellEnd"/>
            <w:r w:rsidRPr="006A5774">
              <w:rPr>
                <w:rFonts w:asciiTheme="majorBidi" w:hAnsiTheme="majorBidi" w:cstheme="majorBidi"/>
                <w:b/>
                <w:bCs/>
                <w:sz w:val="20"/>
                <w:szCs w:val="20"/>
              </w:rPr>
              <w:t>.</w:t>
            </w:r>
          </w:p>
        </w:tc>
        <w:tc>
          <w:tcPr>
            <w:tcW w:w="6440" w:type="dxa"/>
            <w:shd w:val="clear" w:color="auto" w:fill="D6E3BC" w:themeFill="accent3" w:themeFillTint="66"/>
          </w:tcPr>
          <w:p w14:paraId="4B97393A" w14:textId="77777777" w:rsidR="00114953" w:rsidRPr="006A5774" w:rsidRDefault="00114953" w:rsidP="00BF3A72">
            <w:pPr>
              <w:jc w:val="center"/>
              <w:rPr>
                <w:rFonts w:asciiTheme="majorBidi" w:hAnsiTheme="majorBidi" w:cstheme="majorBidi"/>
                <w:b/>
                <w:bCs/>
                <w:sz w:val="20"/>
                <w:szCs w:val="20"/>
              </w:rPr>
            </w:pPr>
            <w:proofErr w:type="spellStart"/>
            <w:r w:rsidRPr="006A5774">
              <w:rPr>
                <w:rFonts w:asciiTheme="majorBidi" w:hAnsiTheme="majorBidi" w:cstheme="majorBidi"/>
                <w:b/>
                <w:bCs/>
                <w:sz w:val="20"/>
                <w:szCs w:val="20"/>
              </w:rPr>
              <w:t>Starptautiskā</w:t>
            </w:r>
            <w:proofErr w:type="spellEnd"/>
            <w:r w:rsidRPr="006A5774">
              <w:rPr>
                <w:rFonts w:asciiTheme="majorBidi" w:hAnsiTheme="majorBidi" w:cstheme="majorBidi"/>
                <w:b/>
                <w:bCs/>
                <w:sz w:val="20"/>
                <w:szCs w:val="20"/>
              </w:rPr>
              <w:t xml:space="preserve"> </w:t>
            </w:r>
            <w:proofErr w:type="spellStart"/>
            <w:r w:rsidRPr="006A5774">
              <w:rPr>
                <w:rFonts w:asciiTheme="majorBidi" w:hAnsiTheme="majorBidi" w:cstheme="majorBidi"/>
                <w:b/>
                <w:bCs/>
                <w:sz w:val="20"/>
                <w:szCs w:val="20"/>
              </w:rPr>
              <w:t>līguma</w:t>
            </w:r>
            <w:proofErr w:type="spellEnd"/>
            <w:r w:rsidRPr="006A5774">
              <w:rPr>
                <w:rFonts w:asciiTheme="majorBidi" w:hAnsiTheme="majorBidi" w:cstheme="majorBidi"/>
                <w:b/>
                <w:bCs/>
                <w:sz w:val="20"/>
                <w:szCs w:val="20"/>
              </w:rPr>
              <w:t xml:space="preserve"> </w:t>
            </w:r>
            <w:proofErr w:type="spellStart"/>
            <w:r w:rsidRPr="006A5774">
              <w:rPr>
                <w:rFonts w:asciiTheme="majorBidi" w:hAnsiTheme="majorBidi" w:cstheme="majorBidi"/>
                <w:b/>
                <w:bCs/>
                <w:sz w:val="20"/>
                <w:szCs w:val="20"/>
              </w:rPr>
              <w:t>nosaukums</w:t>
            </w:r>
            <w:proofErr w:type="spellEnd"/>
          </w:p>
        </w:tc>
        <w:tc>
          <w:tcPr>
            <w:tcW w:w="1878" w:type="dxa"/>
            <w:gridSpan w:val="2"/>
            <w:shd w:val="clear" w:color="auto" w:fill="D6E3BC" w:themeFill="accent3" w:themeFillTint="66"/>
          </w:tcPr>
          <w:p w14:paraId="037B4CE0" w14:textId="77777777" w:rsidR="00114953" w:rsidRPr="006A5774" w:rsidRDefault="00114953" w:rsidP="00BF3A72">
            <w:pPr>
              <w:jc w:val="center"/>
              <w:rPr>
                <w:rFonts w:asciiTheme="majorBidi" w:hAnsiTheme="majorBidi" w:cstheme="majorBidi"/>
                <w:b/>
                <w:bCs/>
                <w:sz w:val="20"/>
                <w:szCs w:val="20"/>
              </w:rPr>
            </w:pPr>
            <w:r w:rsidRPr="006A5774">
              <w:rPr>
                <w:rFonts w:asciiTheme="majorBidi" w:hAnsiTheme="majorBidi" w:cstheme="majorBidi"/>
                <w:b/>
                <w:bCs/>
                <w:sz w:val="20"/>
                <w:szCs w:val="20"/>
              </w:rPr>
              <w:t>Pants</w:t>
            </w:r>
          </w:p>
          <w:p w14:paraId="2C40E8F2" w14:textId="77777777" w:rsidR="00114953" w:rsidRPr="006A5774" w:rsidRDefault="00114953" w:rsidP="00BF3A72">
            <w:pPr>
              <w:jc w:val="center"/>
              <w:rPr>
                <w:rFonts w:asciiTheme="majorBidi" w:hAnsiTheme="majorBidi" w:cstheme="majorBidi"/>
                <w:b/>
                <w:bCs/>
                <w:sz w:val="20"/>
                <w:szCs w:val="20"/>
              </w:rPr>
            </w:pPr>
          </w:p>
        </w:tc>
      </w:tr>
      <w:tr w:rsidR="00114953" w:rsidRPr="006A5774" w14:paraId="33DC70B9" w14:textId="77777777" w:rsidTr="00BF3A72">
        <w:trPr>
          <w:gridAfter w:val="1"/>
          <w:wAfter w:w="35" w:type="dxa"/>
        </w:trPr>
        <w:tc>
          <w:tcPr>
            <w:tcW w:w="969" w:type="dxa"/>
            <w:gridSpan w:val="2"/>
          </w:tcPr>
          <w:p w14:paraId="0520B63C" w14:textId="77777777" w:rsidR="00114953" w:rsidRPr="006A5774" w:rsidRDefault="00114953" w:rsidP="00BF3A72">
            <w:pPr>
              <w:jc w:val="center"/>
              <w:rPr>
                <w:rFonts w:asciiTheme="majorBidi" w:hAnsiTheme="majorBidi" w:cstheme="majorBidi"/>
                <w:sz w:val="20"/>
                <w:szCs w:val="20"/>
              </w:rPr>
            </w:pPr>
            <w:r w:rsidRPr="006A5774">
              <w:rPr>
                <w:rFonts w:asciiTheme="majorBidi" w:hAnsiTheme="majorBidi" w:cstheme="majorBidi"/>
                <w:sz w:val="20"/>
                <w:szCs w:val="20"/>
              </w:rPr>
              <w:t>1.</w:t>
            </w:r>
          </w:p>
        </w:tc>
        <w:tc>
          <w:tcPr>
            <w:tcW w:w="6440" w:type="dxa"/>
          </w:tcPr>
          <w:p w14:paraId="52FBC5C2" w14:textId="77777777" w:rsidR="00114953" w:rsidRPr="006A5774" w:rsidRDefault="00114953" w:rsidP="00BF3A72">
            <w:pPr>
              <w:jc w:val="both"/>
              <w:rPr>
                <w:rFonts w:asciiTheme="majorBidi" w:hAnsiTheme="majorBidi" w:cstheme="majorBidi"/>
                <w:sz w:val="20"/>
                <w:szCs w:val="20"/>
              </w:rPr>
            </w:pPr>
            <w:r w:rsidRPr="006A5774">
              <w:rPr>
                <w:rFonts w:asciiTheme="majorBidi" w:hAnsiTheme="majorBidi" w:cstheme="majorBidi"/>
                <w:sz w:val="20"/>
                <w:szCs w:val="20"/>
              </w:rPr>
              <w:t>1992. </w:t>
            </w:r>
            <w:proofErr w:type="spellStart"/>
            <w:r w:rsidRPr="006A5774">
              <w:rPr>
                <w:rFonts w:asciiTheme="majorBidi" w:hAnsiTheme="majorBidi" w:cstheme="majorBidi"/>
                <w:sz w:val="20"/>
                <w:szCs w:val="20"/>
              </w:rPr>
              <w:t>gada</w:t>
            </w:r>
            <w:proofErr w:type="spellEnd"/>
            <w:r w:rsidRPr="006A5774">
              <w:rPr>
                <w:rFonts w:asciiTheme="majorBidi" w:hAnsiTheme="majorBidi" w:cstheme="majorBidi"/>
                <w:sz w:val="20"/>
                <w:szCs w:val="20"/>
              </w:rPr>
              <w:t xml:space="preserve"> 11.novembra </w:t>
            </w:r>
            <w:proofErr w:type="spellStart"/>
            <w:r w:rsidRPr="006A5774">
              <w:rPr>
                <w:rFonts w:asciiTheme="majorBidi" w:hAnsiTheme="majorBidi" w:cstheme="majorBidi"/>
                <w:sz w:val="20"/>
                <w:szCs w:val="20"/>
              </w:rPr>
              <w:t>Līgums</w:t>
            </w:r>
            <w:proofErr w:type="spellEnd"/>
            <w:r w:rsidRPr="006A5774">
              <w:rPr>
                <w:rFonts w:asciiTheme="majorBidi" w:hAnsiTheme="majorBidi" w:cstheme="majorBidi"/>
                <w:sz w:val="20"/>
                <w:szCs w:val="20"/>
              </w:rPr>
              <w:t xml:space="preserve"> par </w:t>
            </w:r>
            <w:proofErr w:type="spellStart"/>
            <w:r w:rsidRPr="006A5774">
              <w:rPr>
                <w:rFonts w:asciiTheme="majorBidi" w:hAnsiTheme="majorBidi" w:cstheme="majorBidi"/>
                <w:sz w:val="20"/>
                <w:szCs w:val="20"/>
              </w:rPr>
              <w:t>tiesisko</w:t>
            </w:r>
            <w:proofErr w:type="spellEnd"/>
            <w:r w:rsidRPr="006A5774">
              <w:rPr>
                <w:rFonts w:asciiTheme="majorBidi" w:hAnsiTheme="majorBidi" w:cstheme="majorBidi"/>
                <w:sz w:val="20"/>
                <w:szCs w:val="20"/>
              </w:rPr>
              <w:t xml:space="preserve"> </w:t>
            </w:r>
            <w:proofErr w:type="spellStart"/>
            <w:r w:rsidRPr="006A5774">
              <w:rPr>
                <w:rFonts w:asciiTheme="majorBidi" w:hAnsiTheme="majorBidi" w:cstheme="majorBidi"/>
                <w:sz w:val="20"/>
                <w:szCs w:val="20"/>
              </w:rPr>
              <w:t>palīdzību</w:t>
            </w:r>
            <w:proofErr w:type="spellEnd"/>
            <w:r w:rsidRPr="006A5774">
              <w:rPr>
                <w:rFonts w:asciiTheme="majorBidi" w:hAnsiTheme="majorBidi" w:cstheme="majorBidi"/>
                <w:sz w:val="20"/>
                <w:szCs w:val="20"/>
              </w:rPr>
              <w:t xml:space="preserve"> </w:t>
            </w:r>
            <w:proofErr w:type="spellStart"/>
            <w:r w:rsidRPr="006A5774">
              <w:rPr>
                <w:rFonts w:asciiTheme="majorBidi" w:hAnsiTheme="majorBidi" w:cstheme="majorBidi"/>
                <w:sz w:val="20"/>
                <w:szCs w:val="20"/>
              </w:rPr>
              <w:t>un</w:t>
            </w:r>
            <w:proofErr w:type="spellEnd"/>
            <w:r w:rsidRPr="006A5774">
              <w:rPr>
                <w:rFonts w:asciiTheme="majorBidi" w:hAnsiTheme="majorBidi" w:cstheme="majorBidi"/>
                <w:sz w:val="20"/>
                <w:szCs w:val="20"/>
              </w:rPr>
              <w:t xml:space="preserve"> </w:t>
            </w:r>
            <w:proofErr w:type="spellStart"/>
            <w:r w:rsidRPr="006A5774">
              <w:rPr>
                <w:rFonts w:asciiTheme="majorBidi" w:hAnsiTheme="majorBidi" w:cstheme="majorBidi"/>
                <w:sz w:val="20"/>
                <w:szCs w:val="20"/>
              </w:rPr>
              <w:t>tiesiskajām</w:t>
            </w:r>
            <w:proofErr w:type="spellEnd"/>
            <w:r w:rsidRPr="006A5774">
              <w:rPr>
                <w:rFonts w:asciiTheme="majorBidi" w:hAnsiTheme="majorBidi" w:cstheme="majorBidi"/>
                <w:sz w:val="20"/>
                <w:szCs w:val="20"/>
              </w:rPr>
              <w:t xml:space="preserve"> </w:t>
            </w:r>
            <w:proofErr w:type="spellStart"/>
            <w:r w:rsidRPr="006A5774">
              <w:rPr>
                <w:rFonts w:asciiTheme="majorBidi" w:hAnsiTheme="majorBidi" w:cstheme="majorBidi"/>
                <w:sz w:val="20"/>
                <w:szCs w:val="20"/>
              </w:rPr>
              <w:t>attiecībām</w:t>
            </w:r>
            <w:proofErr w:type="spellEnd"/>
            <w:r w:rsidRPr="006A5774">
              <w:rPr>
                <w:rFonts w:asciiTheme="majorBidi" w:hAnsiTheme="majorBidi" w:cstheme="majorBidi"/>
                <w:sz w:val="20"/>
                <w:szCs w:val="20"/>
              </w:rPr>
              <w:t xml:space="preserve"> </w:t>
            </w:r>
            <w:proofErr w:type="spellStart"/>
            <w:r w:rsidRPr="006A5774">
              <w:rPr>
                <w:rFonts w:asciiTheme="majorBidi" w:hAnsiTheme="majorBidi" w:cstheme="majorBidi"/>
                <w:sz w:val="20"/>
                <w:szCs w:val="20"/>
              </w:rPr>
              <w:t>starp</w:t>
            </w:r>
            <w:proofErr w:type="spellEnd"/>
            <w:r w:rsidRPr="006A5774">
              <w:rPr>
                <w:rFonts w:asciiTheme="majorBidi" w:hAnsiTheme="majorBidi" w:cstheme="majorBidi"/>
                <w:sz w:val="20"/>
                <w:szCs w:val="20"/>
              </w:rPr>
              <w:t xml:space="preserve"> Latvijas </w:t>
            </w:r>
            <w:proofErr w:type="spellStart"/>
            <w:r w:rsidRPr="006A5774">
              <w:rPr>
                <w:rFonts w:asciiTheme="majorBidi" w:hAnsiTheme="majorBidi" w:cstheme="majorBidi"/>
                <w:sz w:val="20"/>
                <w:szCs w:val="20"/>
              </w:rPr>
              <w:t>Republiku</w:t>
            </w:r>
            <w:proofErr w:type="spellEnd"/>
            <w:r w:rsidRPr="006A5774">
              <w:rPr>
                <w:rFonts w:asciiTheme="majorBidi" w:hAnsiTheme="majorBidi" w:cstheme="majorBidi"/>
                <w:sz w:val="20"/>
                <w:szCs w:val="20"/>
              </w:rPr>
              <w:t xml:space="preserve">, </w:t>
            </w:r>
            <w:proofErr w:type="spellStart"/>
            <w:r w:rsidRPr="006A5774">
              <w:rPr>
                <w:rFonts w:asciiTheme="majorBidi" w:hAnsiTheme="majorBidi" w:cstheme="majorBidi"/>
                <w:sz w:val="20"/>
                <w:szCs w:val="20"/>
              </w:rPr>
              <w:t>Igaunijas</w:t>
            </w:r>
            <w:proofErr w:type="spellEnd"/>
            <w:r w:rsidRPr="006A5774">
              <w:rPr>
                <w:rFonts w:asciiTheme="majorBidi" w:hAnsiTheme="majorBidi" w:cstheme="majorBidi"/>
                <w:sz w:val="20"/>
                <w:szCs w:val="20"/>
              </w:rPr>
              <w:t xml:space="preserve"> </w:t>
            </w:r>
            <w:proofErr w:type="spellStart"/>
            <w:r w:rsidRPr="006A5774">
              <w:rPr>
                <w:rFonts w:asciiTheme="majorBidi" w:hAnsiTheme="majorBidi" w:cstheme="majorBidi"/>
                <w:sz w:val="20"/>
                <w:szCs w:val="20"/>
              </w:rPr>
              <w:t>Republiku</w:t>
            </w:r>
            <w:proofErr w:type="spellEnd"/>
            <w:r w:rsidRPr="006A5774">
              <w:rPr>
                <w:rFonts w:asciiTheme="majorBidi" w:hAnsiTheme="majorBidi" w:cstheme="majorBidi"/>
                <w:sz w:val="20"/>
                <w:szCs w:val="20"/>
              </w:rPr>
              <w:t xml:space="preserve"> </w:t>
            </w:r>
            <w:proofErr w:type="spellStart"/>
            <w:r w:rsidRPr="006A5774">
              <w:rPr>
                <w:rFonts w:asciiTheme="majorBidi" w:hAnsiTheme="majorBidi" w:cstheme="majorBidi"/>
                <w:sz w:val="20"/>
                <w:szCs w:val="20"/>
              </w:rPr>
              <w:t>un</w:t>
            </w:r>
            <w:proofErr w:type="spellEnd"/>
            <w:r w:rsidRPr="006A5774">
              <w:rPr>
                <w:rFonts w:asciiTheme="majorBidi" w:hAnsiTheme="majorBidi" w:cstheme="majorBidi"/>
                <w:sz w:val="20"/>
                <w:szCs w:val="20"/>
              </w:rPr>
              <w:t xml:space="preserve"> </w:t>
            </w:r>
            <w:proofErr w:type="spellStart"/>
            <w:r w:rsidRPr="006A5774">
              <w:rPr>
                <w:rFonts w:asciiTheme="majorBidi" w:hAnsiTheme="majorBidi" w:cstheme="majorBidi"/>
                <w:sz w:val="20"/>
                <w:szCs w:val="20"/>
              </w:rPr>
              <w:t>Lietuvas</w:t>
            </w:r>
            <w:proofErr w:type="spellEnd"/>
            <w:r w:rsidRPr="006A5774">
              <w:rPr>
                <w:rFonts w:asciiTheme="majorBidi" w:hAnsiTheme="majorBidi" w:cstheme="majorBidi"/>
                <w:sz w:val="20"/>
                <w:szCs w:val="20"/>
              </w:rPr>
              <w:t xml:space="preserve"> </w:t>
            </w:r>
            <w:proofErr w:type="spellStart"/>
            <w:r w:rsidRPr="006A5774">
              <w:rPr>
                <w:rFonts w:asciiTheme="majorBidi" w:hAnsiTheme="majorBidi" w:cstheme="majorBidi"/>
                <w:sz w:val="20"/>
                <w:szCs w:val="20"/>
              </w:rPr>
              <w:t>Republiku</w:t>
            </w:r>
            <w:proofErr w:type="spellEnd"/>
            <w:r w:rsidRPr="006A5774">
              <w:rPr>
                <w:rFonts w:asciiTheme="majorBidi" w:hAnsiTheme="majorBidi" w:cstheme="majorBidi"/>
                <w:sz w:val="20"/>
                <w:szCs w:val="20"/>
              </w:rPr>
              <w:t xml:space="preserve"> </w:t>
            </w:r>
          </w:p>
        </w:tc>
        <w:tc>
          <w:tcPr>
            <w:tcW w:w="1878" w:type="dxa"/>
            <w:gridSpan w:val="2"/>
          </w:tcPr>
          <w:p w14:paraId="1FDE7287" w14:textId="77777777" w:rsidR="00114953" w:rsidRPr="006A5774" w:rsidRDefault="00114953" w:rsidP="00BF3A72">
            <w:pPr>
              <w:jc w:val="center"/>
              <w:rPr>
                <w:rFonts w:asciiTheme="majorBidi" w:hAnsiTheme="majorBidi" w:cstheme="majorBidi"/>
                <w:sz w:val="20"/>
                <w:szCs w:val="20"/>
              </w:rPr>
            </w:pPr>
            <w:r w:rsidRPr="006A5774">
              <w:rPr>
                <w:rFonts w:asciiTheme="majorBidi" w:hAnsiTheme="majorBidi" w:cstheme="majorBidi"/>
                <w:sz w:val="20"/>
                <w:szCs w:val="20"/>
              </w:rPr>
              <w:t>13. </w:t>
            </w:r>
            <w:proofErr w:type="spellStart"/>
            <w:r w:rsidRPr="006A5774">
              <w:rPr>
                <w:rFonts w:asciiTheme="majorBidi" w:hAnsiTheme="majorBidi" w:cstheme="majorBidi"/>
                <w:sz w:val="20"/>
                <w:szCs w:val="20"/>
              </w:rPr>
              <w:t>pants</w:t>
            </w:r>
            <w:proofErr w:type="spellEnd"/>
          </w:p>
        </w:tc>
      </w:tr>
      <w:tr w:rsidR="00114953" w:rsidRPr="006A5774" w14:paraId="46E5D278" w14:textId="77777777" w:rsidTr="00BF3A72">
        <w:trPr>
          <w:gridAfter w:val="1"/>
          <w:wAfter w:w="35" w:type="dxa"/>
        </w:trPr>
        <w:tc>
          <w:tcPr>
            <w:tcW w:w="969" w:type="dxa"/>
            <w:gridSpan w:val="2"/>
          </w:tcPr>
          <w:p w14:paraId="2ADD2E38" w14:textId="77777777" w:rsidR="00114953" w:rsidRPr="006A5774" w:rsidRDefault="00114953" w:rsidP="00BF3A72">
            <w:pPr>
              <w:jc w:val="center"/>
              <w:rPr>
                <w:rFonts w:asciiTheme="majorBidi" w:hAnsiTheme="majorBidi" w:cstheme="majorBidi"/>
                <w:sz w:val="20"/>
                <w:szCs w:val="20"/>
              </w:rPr>
            </w:pPr>
            <w:r w:rsidRPr="006A5774">
              <w:rPr>
                <w:rFonts w:asciiTheme="majorBidi" w:hAnsiTheme="majorBidi" w:cstheme="majorBidi"/>
                <w:sz w:val="20"/>
                <w:szCs w:val="20"/>
              </w:rPr>
              <w:t>2.</w:t>
            </w:r>
          </w:p>
        </w:tc>
        <w:tc>
          <w:tcPr>
            <w:tcW w:w="6440" w:type="dxa"/>
          </w:tcPr>
          <w:p w14:paraId="0242D8FD" w14:textId="77777777" w:rsidR="00114953" w:rsidRPr="006A5774" w:rsidRDefault="00114953" w:rsidP="00BF3A72">
            <w:pPr>
              <w:jc w:val="both"/>
              <w:rPr>
                <w:rFonts w:asciiTheme="majorBidi" w:hAnsiTheme="majorBidi" w:cstheme="majorBidi"/>
                <w:sz w:val="20"/>
                <w:szCs w:val="20"/>
              </w:rPr>
            </w:pPr>
            <w:r w:rsidRPr="006A5774">
              <w:rPr>
                <w:rFonts w:asciiTheme="majorBidi" w:hAnsiTheme="majorBidi" w:cstheme="majorBidi"/>
                <w:sz w:val="20"/>
                <w:szCs w:val="20"/>
              </w:rPr>
              <w:t xml:space="preserve">1993.gada 3.februāra </w:t>
            </w:r>
            <w:proofErr w:type="spellStart"/>
            <w:r w:rsidRPr="006A5774">
              <w:rPr>
                <w:rFonts w:asciiTheme="majorBidi" w:hAnsiTheme="majorBidi" w:cstheme="majorBidi"/>
                <w:sz w:val="20"/>
                <w:szCs w:val="20"/>
              </w:rPr>
              <w:t>Līgums</w:t>
            </w:r>
            <w:proofErr w:type="spellEnd"/>
            <w:r w:rsidRPr="006A5774">
              <w:rPr>
                <w:rFonts w:asciiTheme="majorBidi" w:hAnsiTheme="majorBidi" w:cstheme="majorBidi"/>
                <w:sz w:val="20"/>
                <w:szCs w:val="20"/>
              </w:rPr>
              <w:t xml:space="preserve"> </w:t>
            </w:r>
            <w:proofErr w:type="spellStart"/>
            <w:r w:rsidRPr="006A5774">
              <w:rPr>
                <w:rFonts w:asciiTheme="majorBidi" w:hAnsiTheme="majorBidi" w:cstheme="majorBidi"/>
                <w:sz w:val="20"/>
                <w:szCs w:val="20"/>
              </w:rPr>
              <w:t>starp</w:t>
            </w:r>
            <w:proofErr w:type="spellEnd"/>
            <w:r w:rsidRPr="006A5774">
              <w:rPr>
                <w:rFonts w:asciiTheme="majorBidi" w:hAnsiTheme="majorBidi" w:cstheme="majorBidi"/>
                <w:sz w:val="20"/>
                <w:szCs w:val="20"/>
              </w:rPr>
              <w:t xml:space="preserve"> Latvijas </w:t>
            </w:r>
            <w:proofErr w:type="spellStart"/>
            <w:r w:rsidRPr="006A5774">
              <w:rPr>
                <w:rFonts w:asciiTheme="majorBidi" w:hAnsiTheme="majorBidi" w:cstheme="majorBidi"/>
                <w:sz w:val="20"/>
                <w:szCs w:val="20"/>
              </w:rPr>
              <w:t>Republiku</w:t>
            </w:r>
            <w:proofErr w:type="spellEnd"/>
            <w:r w:rsidRPr="006A5774">
              <w:rPr>
                <w:rFonts w:asciiTheme="majorBidi" w:hAnsiTheme="majorBidi" w:cstheme="majorBidi"/>
                <w:sz w:val="20"/>
                <w:szCs w:val="20"/>
              </w:rPr>
              <w:t xml:space="preserve"> </w:t>
            </w:r>
            <w:proofErr w:type="spellStart"/>
            <w:r w:rsidRPr="006A5774">
              <w:rPr>
                <w:rFonts w:asciiTheme="majorBidi" w:hAnsiTheme="majorBidi" w:cstheme="majorBidi"/>
                <w:sz w:val="20"/>
                <w:szCs w:val="20"/>
              </w:rPr>
              <w:t>un</w:t>
            </w:r>
            <w:proofErr w:type="spellEnd"/>
            <w:r w:rsidRPr="006A5774">
              <w:rPr>
                <w:rFonts w:asciiTheme="majorBidi" w:hAnsiTheme="majorBidi" w:cstheme="majorBidi"/>
                <w:sz w:val="20"/>
                <w:szCs w:val="20"/>
              </w:rPr>
              <w:t xml:space="preserve"> </w:t>
            </w:r>
            <w:proofErr w:type="spellStart"/>
            <w:r w:rsidRPr="006A5774">
              <w:rPr>
                <w:rFonts w:asciiTheme="majorBidi" w:hAnsiTheme="majorBidi" w:cstheme="majorBidi"/>
                <w:sz w:val="20"/>
                <w:szCs w:val="20"/>
              </w:rPr>
              <w:t>Krievijas</w:t>
            </w:r>
            <w:proofErr w:type="spellEnd"/>
            <w:r w:rsidRPr="006A5774">
              <w:rPr>
                <w:rFonts w:asciiTheme="majorBidi" w:hAnsiTheme="majorBidi" w:cstheme="majorBidi"/>
                <w:sz w:val="20"/>
                <w:szCs w:val="20"/>
              </w:rPr>
              <w:t xml:space="preserve"> </w:t>
            </w:r>
            <w:proofErr w:type="spellStart"/>
            <w:r w:rsidRPr="006A5774">
              <w:rPr>
                <w:rFonts w:asciiTheme="majorBidi" w:hAnsiTheme="majorBidi" w:cstheme="majorBidi"/>
                <w:sz w:val="20"/>
                <w:szCs w:val="20"/>
              </w:rPr>
              <w:t>Federāciju</w:t>
            </w:r>
            <w:proofErr w:type="spellEnd"/>
            <w:r w:rsidRPr="006A5774">
              <w:rPr>
                <w:rFonts w:asciiTheme="majorBidi" w:hAnsiTheme="majorBidi" w:cstheme="majorBidi"/>
                <w:sz w:val="20"/>
                <w:szCs w:val="20"/>
              </w:rPr>
              <w:t xml:space="preserve"> par </w:t>
            </w:r>
            <w:proofErr w:type="spellStart"/>
            <w:r w:rsidRPr="006A5774">
              <w:rPr>
                <w:rFonts w:asciiTheme="majorBidi" w:hAnsiTheme="majorBidi" w:cstheme="majorBidi"/>
                <w:sz w:val="20"/>
                <w:szCs w:val="20"/>
              </w:rPr>
              <w:t>tiesisko</w:t>
            </w:r>
            <w:proofErr w:type="spellEnd"/>
            <w:r w:rsidRPr="006A5774">
              <w:rPr>
                <w:rFonts w:asciiTheme="majorBidi" w:hAnsiTheme="majorBidi" w:cstheme="majorBidi"/>
                <w:sz w:val="20"/>
                <w:szCs w:val="20"/>
              </w:rPr>
              <w:t xml:space="preserve"> </w:t>
            </w:r>
            <w:proofErr w:type="spellStart"/>
            <w:r w:rsidRPr="006A5774">
              <w:rPr>
                <w:rFonts w:asciiTheme="majorBidi" w:hAnsiTheme="majorBidi" w:cstheme="majorBidi"/>
                <w:sz w:val="20"/>
                <w:szCs w:val="20"/>
              </w:rPr>
              <w:t>palīdzību</w:t>
            </w:r>
            <w:proofErr w:type="spellEnd"/>
            <w:r w:rsidRPr="006A5774">
              <w:rPr>
                <w:rFonts w:asciiTheme="majorBidi" w:hAnsiTheme="majorBidi" w:cstheme="majorBidi"/>
                <w:sz w:val="20"/>
                <w:szCs w:val="20"/>
              </w:rPr>
              <w:t xml:space="preserve"> </w:t>
            </w:r>
            <w:proofErr w:type="spellStart"/>
            <w:r w:rsidRPr="006A5774">
              <w:rPr>
                <w:rFonts w:asciiTheme="majorBidi" w:hAnsiTheme="majorBidi" w:cstheme="majorBidi"/>
                <w:sz w:val="20"/>
                <w:szCs w:val="20"/>
              </w:rPr>
              <w:t>un</w:t>
            </w:r>
            <w:proofErr w:type="spellEnd"/>
            <w:r w:rsidRPr="006A5774">
              <w:rPr>
                <w:rFonts w:asciiTheme="majorBidi" w:hAnsiTheme="majorBidi" w:cstheme="majorBidi"/>
                <w:sz w:val="20"/>
                <w:szCs w:val="20"/>
              </w:rPr>
              <w:t xml:space="preserve"> </w:t>
            </w:r>
            <w:proofErr w:type="spellStart"/>
            <w:r w:rsidRPr="006A5774">
              <w:rPr>
                <w:rFonts w:asciiTheme="majorBidi" w:hAnsiTheme="majorBidi" w:cstheme="majorBidi"/>
                <w:sz w:val="20"/>
                <w:szCs w:val="20"/>
              </w:rPr>
              <w:t>tiesiskajām</w:t>
            </w:r>
            <w:proofErr w:type="spellEnd"/>
            <w:r w:rsidRPr="006A5774">
              <w:rPr>
                <w:rFonts w:asciiTheme="majorBidi" w:hAnsiTheme="majorBidi" w:cstheme="majorBidi"/>
                <w:sz w:val="20"/>
                <w:szCs w:val="20"/>
              </w:rPr>
              <w:t xml:space="preserve"> </w:t>
            </w:r>
            <w:proofErr w:type="spellStart"/>
            <w:r w:rsidRPr="006A5774">
              <w:rPr>
                <w:rFonts w:asciiTheme="majorBidi" w:hAnsiTheme="majorBidi" w:cstheme="majorBidi"/>
                <w:sz w:val="20"/>
                <w:szCs w:val="20"/>
              </w:rPr>
              <w:t>attiecībām</w:t>
            </w:r>
            <w:proofErr w:type="spellEnd"/>
            <w:r w:rsidRPr="006A5774">
              <w:rPr>
                <w:rFonts w:asciiTheme="majorBidi" w:hAnsiTheme="majorBidi" w:cstheme="majorBidi"/>
                <w:sz w:val="20"/>
                <w:szCs w:val="20"/>
              </w:rPr>
              <w:t xml:space="preserve"> </w:t>
            </w:r>
            <w:proofErr w:type="spellStart"/>
            <w:r w:rsidRPr="006A5774">
              <w:rPr>
                <w:rFonts w:asciiTheme="majorBidi" w:hAnsiTheme="majorBidi" w:cstheme="majorBidi"/>
                <w:sz w:val="20"/>
                <w:szCs w:val="20"/>
              </w:rPr>
              <w:t>civilajās</w:t>
            </w:r>
            <w:proofErr w:type="spellEnd"/>
            <w:r w:rsidRPr="006A5774">
              <w:rPr>
                <w:rFonts w:asciiTheme="majorBidi" w:hAnsiTheme="majorBidi" w:cstheme="majorBidi"/>
                <w:sz w:val="20"/>
                <w:szCs w:val="20"/>
              </w:rPr>
              <w:t xml:space="preserve">, </w:t>
            </w:r>
            <w:proofErr w:type="spellStart"/>
            <w:r w:rsidRPr="006A5774">
              <w:rPr>
                <w:rFonts w:asciiTheme="majorBidi" w:hAnsiTheme="majorBidi" w:cstheme="majorBidi"/>
                <w:sz w:val="20"/>
                <w:szCs w:val="20"/>
              </w:rPr>
              <w:t>ģimenes</w:t>
            </w:r>
            <w:proofErr w:type="spellEnd"/>
            <w:r w:rsidRPr="006A5774">
              <w:rPr>
                <w:rFonts w:asciiTheme="majorBidi" w:hAnsiTheme="majorBidi" w:cstheme="majorBidi"/>
                <w:sz w:val="20"/>
                <w:szCs w:val="20"/>
              </w:rPr>
              <w:t xml:space="preserve">, </w:t>
            </w:r>
            <w:proofErr w:type="spellStart"/>
            <w:r w:rsidRPr="006A5774">
              <w:rPr>
                <w:rFonts w:asciiTheme="majorBidi" w:hAnsiTheme="majorBidi" w:cstheme="majorBidi"/>
                <w:sz w:val="20"/>
                <w:szCs w:val="20"/>
              </w:rPr>
              <w:t>darba</w:t>
            </w:r>
            <w:proofErr w:type="spellEnd"/>
            <w:r w:rsidRPr="006A5774">
              <w:rPr>
                <w:rFonts w:asciiTheme="majorBidi" w:hAnsiTheme="majorBidi" w:cstheme="majorBidi"/>
                <w:sz w:val="20"/>
                <w:szCs w:val="20"/>
              </w:rPr>
              <w:t xml:space="preserve"> </w:t>
            </w:r>
            <w:proofErr w:type="spellStart"/>
            <w:r w:rsidRPr="006A5774">
              <w:rPr>
                <w:rFonts w:asciiTheme="majorBidi" w:hAnsiTheme="majorBidi" w:cstheme="majorBidi"/>
                <w:sz w:val="20"/>
                <w:szCs w:val="20"/>
              </w:rPr>
              <w:t>un</w:t>
            </w:r>
            <w:proofErr w:type="spellEnd"/>
            <w:r w:rsidRPr="006A5774">
              <w:rPr>
                <w:rFonts w:asciiTheme="majorBidi" w:hAnsiTheme="majorBidi" w:cstheme="majorBidi"/>
                <w:sz w:val="20"/>
                <w:szCs w:val="20"/>
              </w:rPr>
              <w:t xml:space="preserve"> </w:t>
            </w:r>
            <w:proofErr w:type="spellStart"/>
            <w:r w:rsidRPr="006A5774">
              <w:rPr>
                <w:rFonts w:asciiTheme="majorBidi" w:hAnsiTheme="majorBidi" w:cstheme="majorBidi"/>
                <w:sz w:val="20"/>
                <w:szCs w:val="20"/>
              </w:rPr>
              <w:t>krimināllietās</w:t>
            </w:r>
            <w:proofErr w:type="spellEnd"/>
          </w:p>
        </w:tc>
        <w:tc>
          <w:tcPr>
            <w:tcW w:w="1878" w:type="dxa"/>
            <w:gridSpan w:val="2"/>
          </w:tcPr>
          <w:p w14:paraId="598B0FB1" w14:textId="77777777" w:rsidR="00114953" w:rsidRPr="006A5774" w:rsidRDefault="00114953" w:rsidP="00BF3A72">
            <w:pPr>
              <w:jc w:val="center"/>
              <w:rPr>
                <w:rFonts w:asciiTheme="majorBidi" w:hAnsiTheme="majorBidi" w:cstheme="majorBidi"/>
                <w:sz w:val="20"/>
                <w:szCs w:val="20"/>
              </w:rPr>
            </w:pPr>
            <w:r w:rsidRPr="006A5774">
              <w:rPr>
                <w:rFonts w:asciiTheme="majorBidi" w:hAnsiTheme="majorBidi" w:cstheme="majorBidi"/>
                <w:sz w:val="20"/>
                <w:szCs w:val="20"/>
              </w:rPr>
              <w:t>13. </w:t>
            </w:r>
            <w:proofErr w:type="spellStart"/>
            <w:r w:rsidRPr="006A5774">
              <w:rPr>
                <w:rFonts w:asciiTheme="majorBidi" w:hAnsiTheme="majorBidi" w:cstheme="majorBidi"/>
                <w:sz w:val="20"/>
                <w:szCs w:val="20"/>
              </w:rPr>
              <w:t>pants</w:t>
            </w:r>
            <w:proofErr w:type="spellEnd"/>
          </w:p>
        </w:tc>
      </w:tr>
      <w:tr w:rsidR="00114953" w:rsidRPr="006A5774" w14:paraId="0948A6E4" w14:textId="77777777" w:rsidTr="00BF3A72">
        <w:trPr>
          <w:gridAfter w:val="1"/>
          <w:wAfter w:w="35" w:type="dxa"/>
        </w:trPr>
        <w:tc>
          <w:tcPr>
            <w:tcW w:w="969" w:type="dxa"/>
            <w:gridSpan w:val="2"/>
          </w:tcPr>
          <w:p w14:paraId="79C815EA" w14:textId="77777777" w:rsidR="00114953" w:rsidRPr="006A5774" w:rsidRDefault="00114953" w:rsidP="00BF3A72">
            <w:pPr>
              <w:jc w:val="center"/>
              <w:rPr>
                <w:rFonts w:asciiTheme="majorBidi" w:hAnsiTheme="majorBidi" w:cstheme="majorBidi"/>
                <w:sz w:val="20"/>
                <w:szCs w:val="20"/>
              </w:rPr>
            </w:pPr>
            <w:r w:rsidRPr="006A5774">
              <w:rPr>
                <w:rFonts w:asciiTheme="majorBidi" w:hAnsiTheme="majorBidi" w:cstheme="majorBidi"/>
                <w:sz w:val="20"/>
                <w:szCs w:val="20"/>
              </w:rPr>
              <w:t>3.</w:t>
            </w:r>
          </w:p>
        </w:tc>
        <w:tc>
          <w:tcPr>
            <w:tcW w:w="6440" w:type="dxa"/>
          </w:tcPr>
          <w:p w14:paraId="0BFDA76D" w14:textId="77777777" w:rsidR="00114953" w:rsidRPr="006A5774" w:rsidRDefault="00114953" w:rsidP="00BF3A72">
            <w:pPr>
              <w:jc w:val="both"/>
              <w:rPr>
                <w:rFonts w:asciiTheme="majorBidi" w:hAnsiTheme="majorBidi" w:cstheme="majorBidi"/>
                <w:sz w:val="20"/>
                <w:szCs w:val="20"/>
              </w:rPr>
            </w:pPr>
            <w:r w:rsidRPr="006A5774">
              <w:rPr>
                <w:rFonts w:asciiTheme="majorBidi" w:hAnsiTheme="majorBidi" w:cstheme="majorBidi"/>
                <w:sz w:val="20"/>
                <w:szCs w:val="20"/>
              </w:rPr>
              <w:t xml:space="preserve">1993.gada 14.aprīļa </w:t>
            </w:r>
            <w:proofErr w:type="spellStart"/>
            <w:r w:rsidRPr="006A5774">
              <w:rPr>
                <w:rFonts w:asciiTheme="majorBidi" w:hAnsiTheme="majorBidi" w:cstheme="majorBidi"/>
                <w:sz w:val="20"/>
                <w:szCs w:val="20"/>
              </w:rPr>
              <w:t>Līgums</w:t>
            </w:r>
            <w:proofErr w:type="spellEnd"/>
            <w:r w:rsidRPr="006A5774">
              <w:rPr>
                <w:rFonts w:asciiTheme="majorBidi" w:hAnsiTheme="majorBidi" w:cstheme="majorBidi"/>
                <w:sz w:val="20"/>
                <w:szCs w:val="20"/>
              </w:rPr>
              <w:t xml:space="preserve"> </w:t>
            </w:r>
            <w:proofErr w:type="spellStart"/>
            <w:r w:rsidRPr="006A5774">
              <w:rPr>
                <w:rFonts w:asciiTheme="majorBidi" w:hAnsiTheme="majorBidi" w:cstheme="majorBidi"/>
                <w:sz w:val="20"/>
                <w:szCs w:val="20"/>
              </w:rPr>
              <w:t>starp</w:t>
            </w:r>
            <w:proofErr w:type="spellEnd"/>
            <w:r w:rsidRPr="006A5774">
              <w:rPr>
                <w:rFonts w:asciiTheme="majorBidi" w:hAnsiTheme="majorBidi" w:cstheme="majorBidi"/>
                <w:sz w:val="20"/>
                <w:szCs w:val="20"/>
              </w:rPr>
              <w:t xml:space="preserve"> Latvijas </w:t>
            </w:r>
            <w:proofErr w:type="spellStart"/>
            <w:r w:rsidRPr="006A5774">
              <w:rPr>
                <w:rFonts w:asciiTheme="majorBidi" w:hAnsiTheme="majorBidi" w:cstheme="majorBidi"/>
                <w:sz w:val="20"/>
                <w:szCs w:val="20"/>
              </w:rPr>
              <w:t>Republiku</w:t>
            </w:r>
            <w:proofErr w:type="spellEnd"/>
            <w:r w:rsidRPr="006A5774">
              <w:rPr>
                <w:rFonts w:asciiTheme="majorBidi" w:hAnsiTheme="majorBidi" w:cstheme="majorBidi"/>
                <w:sz w:val="20"/>
                <w:szCs w:val="20"/>
              </w:rPr>
              <w:t xml:space="preserve"> </w:t>
            </w:r>
            <w:proofErr w:type="spellStart"/>
            <w:r w:rsidRPr="006A5774">
              <w:rPr>
                <w:rFonts w:asciiTheme="majorBidi" w:hAnsiTheme="majorBidi" w:cstheme="majorBidi"/>
                <w:sz w:val="20"/>
                <w:szCs w:val="20"/>
              </w:rPr>
              <w:t>un</w:t>
            </w:r>
            <w:proofErr w:type="spellEnd"/>
            <w:r w:rsidRPr="006A5774">
              <w:rPr>
                <w:rFonts w:asciiTheme="majorBidi" w:hAnsiTheme="majorBidi" w:cstheme="majorBidi"/>
                <w:sz w:val="20"/>
                <w:szCs w:val="20"/>
              </w:rPr>
              <w:t xml:space="preserve"> </w:t>
            </w:r>
            <w:proofErr w:type="spellStart"/>
            <w:r w:rsidRPr="006A5774">
              <w:rPr>
                <w:rFonts w:asciiTheme="majorBidi" w:hAnsiTheme="majorBidi" w:cstheme="majorBidi"/>
                <w:sz w:val="20"/>
                <w:szCs w:val="20"/>
              </w:rPr>
              <w:t>Moldovas</w:t>
            </w:r>
            <w:proofErr w:type="spellEnd"/>
            <w:r w:rsidRPr="006A5774">
              <w:rPr>
                <w:rFonts w:asciiTheme="majorBidi" w:hAnsiTheme="majorBidi" w:cstheme="majorBidi"/>
                <w:sz w:val="20"/>
                <w:szCs w:val="20"/>
              </w:rPr>
              <w:t xml:space="preserve"> </w:t>
            </w:r>
            <w:proofErr w:type="spellStart"/>
            <w:r w:rsidRPr="006A5774">
              <w:rPr>
                <w:rFonts w:asciiTheme="majorBidi" w:hAnsiTheme="majorBidi" w:cstheme="majorBidi"/>
                <w:sz w:val="20"/>
                <w:szCs w:val="20"/>
              </w:rPr>
              <w:t>Republiku</w:t>
            </w:r>
            <w:proofErr w:type="spellEnd"/>
            <w:r w:rsidRPr="006A5774">
              <w:rPr>
                <w:rFonts w:asciiTheme="majorBidi" w:hAnsiTheme="majorBidi" w:cstheme="majorBidi"/>
                <w:sz w:val="20"/>
                <w:szCs w:val="20"/>
              </w:rPr>
              <w:t xml:space="preserve"> par </w:t>
            </w:r>
            <w:proofErr w:type="spellStart"/>
            <w:r w:rsidRPr="006A5774">
              <w:rPr>
                <w:rFonts w:asciiTheme="majorBidi" w:hAnsiTheme="majorBidi" w:cstheme="majorBidi"/>
                <w:sz w:val="20"/>
                <w:szCs w:val="20"/>
              </w:rPr>
              <w:t>tiesisko</w:t>
            </w:r>
            <w:proofErr w:type="spellEnd"/>
            <w:r w:rsidRPr="006A5774">
              <w:rPr>
                <w:rFonts w:asciiTheme="majorBidi" w:hAnsiTheme="majorBidi" w:cstheme="majorBidi"/>
                <w:sz w:val="20"/>
                <w:szCs w:val="20"/>
              </w:rPr>
              <w:t xml:space="preserve"> </w:t>
            </w:r>
            <w:proofErr w:type="spellStart"/>
            <w:r w:rsidRPr="006A5774">
              <w:rPr>
                <w:rFonts w:asciiTheme="majorBidi" w:hAnsiTheme="majorBidi" w:cstheme="majorBidi"/>
                <w:sz w:val="20"/>
                <w:szCs w:val="20"/>
              </w:rPr>
              <w:t>palīdzību</w:t>
            </w:r>
            <w:proofErr w:type="spellEnd"/>
            <w:r w:rsidRPr="006A5774">
              <w:rPr>
                <w:rFonts w:asciiTheme="majorBidi" w:hAnsiTheme="majorBidi" w:cstheme="majorBidi"/>
                <w:sz w:val="20"/>
                <w:szCs w:val="20"/>
              </w:rPr>
              <w:t xml:space="preserve"> </w:t>
            </w:r>
            <w:proofErr w:type="spellStart"/>
            <w:r w:rsidRPr="006A5774">
              <w:rPr>
                <w:rFonts w:asciiTheme="majorBidi" w:hAnsiTheme="majorBidi" w:cstheme="majorBidi"/>
                <w:sz w:val="20"/>
                <w:szCs w:val="20"/>
              </w:rPr>
              <w:t>un</w:t>
            </w:r>
            <w:proofErr w:type="spellEnd"/>
            <w:r w:rsidRPr="006A5774">
              <w:rPr>
                <w:rFonts w:asciiTheme="majorBidi" w:hAnsiTheme="majorBidi" w:cstheme="majorBidi"/>
                <w:sz w:val="20"/>
                <w:szCs w:val="20"/>
              </w:rPr>
              <w:t xml:space="preserve"> </w:t>
            </w:r>
            <w:proofErr w:type="spellStart"/>
            <w:r w:rsidRPr="006A5774">
              <w:rPr>
                <w:rFonts w:asciiTheme="majorBidi" w:hAnsiTheme="majorBidi" w:cstheme="majorBidi"/>
                <w:sz w:val="20"/>
                <w:szCs w:val="20"/>
              </w:rPr>
              <w:t>tiesiskajām</w:t>
            </w:r>
            <w:proofErr w:type="spellEnd"/>
            <w:r w:rsidRPr="006A5774">
              <w:rPr>
                <w:rFonts w:asciiTheme="majorBidi" w:hAnsiTheme="majorBidi" w:cstheme="majorBidi"/>
                <w:sz w:val="20"/>
                <w:szCs w:val="20"/>
              </w:rPr>
              <w:t xml:space="preserve"> </w:t>
            </w:r>
            <w:proofErr w:type="spellStart"/>
            <w:r w:rsidRPr="006A5774">
              <w:rPr>
                <w:rFonts w:asciiTheme="majorBidi" w:hAnsiTheme="majorBidi" w:cstheme="majorBidi"/>
                <w:sz w:val="20"/>
                <w:szCs w:val="20"/>
              </w:rPr>
              <w:t>attiecībām</w:t>
            </w:r>
            <w:proofErr w:type="spellEnd"/>
            <w:r w:rsidRPr="006A5774">
              <w:rPr>
                <w:rFonts w:asciiTheme="majorBidi" w:hAnsiTheme="majorBidi" w:cstheme="majorBidi"/>
                <w:sz w:val="20"/>
                <w:szCs w:val="20"/>
              </w:rPr>
              <w:t xml:space="preserve"> </w:t>
            </w:r>
            <w:proofErr w:type="spellStart"/>
            <w:r w:rsidRPr="006A5774">
              <w:rPr>
                <w:rFonts w:asciiTheme="majorBidi" w:hAnsiTheme="majorBidi" w:cstheme="majorBidi"/>
                <w:sz w:val="20"/>
                <w:szCs w:val="20"/>
              </w:rPr>
              <w:t>civilajās</w:t>
            </w:r>
            <w:proofErr w:type="spellEnd"/>
            <w:r w:rsidRPr="006A5774">
              <w:rPr>
                <w:rFonts w:asciiTheme="majorBidi" w:hAnsiTheme="majorBidi" w:cstheme="majorBidi"/>
                <w:sz w:val="20"/>
                <w:szCs w:val="20"/>
              </w:rPr>
              <w:t xml:space="preserve">, </w:t>
            </w:r>
            <w:proofErr w:type="spellStart"/>
            <w:r w:rsidRPr="006A5774">
              <w:rPr>
                <w:rFonts w:asciiTheme="majorBidi" w:hAnsiTheme="majorBidi" w:cstheme="majorBidi"/>
                <w:sz w:val="20"/>
                <w:szCs w:val="20"/>
              </w:rPr>
              <w:t>ģimenes</w:t>
            </w:r>
            <w:proofErr w:type="spellEnd"/>
            <w:r w:rsidRPr="006A5774">
              <w:rPr>
                <w:rFonts w:asciiTheme="majorBidi" w:hAnsiTheme="majorBidi" w:cstheme="majorBidi"/>
                <w:sz w:val="20"/>
                <w:szCs w:val="20"/>
              </w:rPr>
              <w:t xml:space="preserve">, </w:t>
            </w:r>
            <w:proofErr w:type="spellStart"/>
            <w:r w:rsidRPr="006A5774">
              <w:rPr>
                <w:rFonts w:asciiTheme="majorBidi" w:hAnsiTheme="majorBidi" w:cstheme="majorBidi"/>
                <w:sz w:val="20"/>
                <w:szCs w:val="20"/>
              </w:rPr>
              <w:t>darba</w:t>
            </w:r>
            <w:proofErr w:type="spellEnd"/>
            <w:r w:rsidRPr="006A5774">
              <w:rPr>
                <w:rFonts w:asciiTheme="majorBidi" w:hAnsiTheme="majorBidi" w:cstheme="majorBidi"/>
                <w:sz w:val="20"/>
                <w:szCs w:val="20"/>
              </w:rPr>
              <w:t xml:space="preserve"> </w:t>
            </w:r>
            <w:proofErr w:type="spellStart"/>
            <w:r w:rsidRPr="006A5774">
              <w:rPr>
                <w:rFonts w:asciiTheme="majorBidi" w:hAnsiTheme="majorBidi" w:cstheme="majorBidi"/>
                <w:sz w:val="20"/>
                <w:szCs w:val="20"/>
              </w:rPr>
              <w:t>un</w:t>
            </w:r>
            <w:proofErr w:type="spellEnd"/>
            <w:r w:rsidRPr="006A5774">
              <w:rPr>
                <w:rFonts w:asciiTheme="majorBidi" w:hAnsiTheme="majorBidi" w:cstheme="majorBidi"/>
                <w:sz w:val="20"/>
                <w:szCs w:val="20"/>
              </w:rPr>
              <w:t xml:space="preserve"> </w:t>
            </w:r>
            <w:proofErr w:type="spellStart"/>
            <w:r w:rsidRPr="006A5774">
              <w:rPr>
                <w:rFonts w:asciiTheme="majorBidi" w:hAnsiTheme="majorBidi" w:cstheme="majorBidi"/>
                <w:sz w:val="20"/>
                <w:szCs w:val="20"/>
              </w:rPr>
              <w:t>krimināllietās</w:t>
            </w:r>
            <w:proofErr w:type="spellEnd"/>
          </w:p>
        </w:tc>
        <w:tc>
          <w:tcPr>
            <w:tcW w:w="1878" w:type="dxa"/>
            <w:gridSpan w:val="2"/>
          </w:tcPr>
          <w:p w14:paraId="1D0CA5FD" w14:textId="77777777" w:rsidR="00114953" w:rsidRPr="006A5774" w:rsidRDefault="00114953" w:rsidP="00BF3A72">
            <w:pPr>
              <w:jc w:val="center"/>
              <w:rPr>
                <w:rFonts w:asciiTheme="majorBidi" w:hAnsiTheme="majorBidi" w:cstheme="majorBidi"/>
                <w:sz w:val="20"/>
                <w:szCs w:val="20"/>
              </w:rPr>
            </w:pPr>
            <w:r w:rsidRPr="006A5774">
              <w:rPr>
                <w:rFonts w:asciiTheme="majorBidi" w:hAnsiTheme="majorBidi" w:cstheme="majorBidi"/>
                <w:sz w:val="20"/>
                <w:szCs w:val="20"/>
              </w:rPr>
              <w:t>13. </w:t>
            </w:r>
            <w:proofErr w:type="spellStart"/>
            <w:r w:rsidRPr="006A5774">
              <w:rPr>
                <w:rFonts w:asciiTheme="majorBidi" w:hAnsiTheme="majorBidi" w:cstheme="majorBidi"/>
                <w:sz w:val="20"/>
                <w:szCs w:val="20"/>
              </w:rPr>
              <w:t>pants</w:t>
            </w:r>
            <w:proofErr w:type="spellEnd"/>
          </w:p>
        </w:tc>
      </w:tr>
      <w:tr w:rsidR="00114953" w:rsidRPr="006A5774" w14:paraId="232D7C30" w14:textId="77777777" w:rsidTr="00BF3A72">
        <w:trPr>
          <w:gridAfter w:val="1"/>
          <w:wAfter w:w="35" w:type="dxa"/>
        </w:trPr>
        <w:tc>
          <w:tcPr>
            <w:tcW w:w="969" w:type="dxa"/>
            <w:gridSpan w:val="2"/>
          </w:tcPr>
          <w:p w14:paraId="43373359" w14:textId="77777777" w:rsidR="00114953" w:rsidRPr="006A5774" w:rsidRDefault="00114953" w:rsidP="00BF3A72">
            <w:pPr>
              <w:jc w:val="center"/>
              <w:rPr>
                <w:rFonts w:asciiTheme="majorBidi" w:hAnsiTheme="majorBidi" w:cstheme="majorBidi"/>
                <w:sz w:val="20"/>
                <w:szCs w:val="20"/>
              </w:rPr>
            </w:pPr>
            <w:r w:rsidRPr="006A5774">
              <w:rPr>
                <w:rFonts w:asciiTheme="majorBidi" w:hAnsiTheme="majorBidi" w:cstheme="majorBidi"/>
                <w:sz w:val="20"/>
                <w:szCs w:val="20"/>
              </w:rPr>
              <w:t>4.</w:t>
            </w:r>
          </w:p>
        </w:tc>
        <w:tc>
          <w:tcPr>
            <w:tcW w:w="6440" w:type="dxa"/>
          </w:tcPr>
          <w:p w14:paraId="37B9B1DA" w14:textId="77777777" w:rsidR="00114953" w:rsidRPr="006A5774" w:rsidRDefault="00114953" w:rsidP="00BF3A72">
            <w:pPr>
              <w:jc w:val="both"/>
              <w:rPr>
                <w:rFonts w:asciiTheme="majorBidi" w:hAnsiTheme="majorBidi" w:cstheme="majorBidi"/>
                <w:sz w:val="20"/>
                <w:szCs w:val="20"/>
              </w:rPr>
            </w:pPr>
            <w:r w:rsidRPr="006A5774">
              <w:rPr>
                <w:rFonts w:asciiTheme="majorBidi" w:hAnsiTheme="majorBidi" w:cstheme="majorBidi"/>
                <w:sz w:val="20"/>
                <w:szCs w:val="20"/>
              </w:rPr>
              <w:t xml:space="preserve">1994.gada 21.februāra </w:t>
            </w:r>
            <w:proofErr w:type="spellStart"/>
            <w:r w:rsidRPr="006A5774">
              <w:rPr>
                <w:rFonts w:asciiTheme="majorBidi" w:hAnsiTheme="majorBidi" w:cstheme="majorBidi"/>
                <w:sz w:val="20"/>
                <w:szCs w:val="20"/>
              </w:rPr>
              <w:t>Līgums</w:t>
            </w:r>
            <w:proofErr w:type="spellEnd"/>
            <w:r w:rsidRPr="006A5774">
              <w:rPr>
                <w:rFonts w:asciiTheme="majorBidi" w:hAnsiTheme="majorBidi" w:cstheme="majorBidi"/>
                <w:sz w:val="20"/>
                <w:szCs w:val="20"/>
              </w:rPr>
              <w:t xml:space="preserve"> </w:t>
            </w:r>
            <w:proofErr w:type="spellStart"/>
            <w:r w:rsidRPr="006A5774">
              <w:rPr>
                <w:rFonts w:asciiTheme="majorBidi" w:hAnsiTheme="majorBidi" w:cstheme="majorBidi"/>
                <w:sz w:val="20"/>
                <w:szCs w:val="20"/>
              </w:rPr>
              <w:t>starp</w:t>
            </w:r>
            <w:proofErr w:type="spellEnd"/>
            <w:r w:rsidRPr="006A5774">
              <w:rPr>
                <w:rFonts w:asciiTheme="majorBidi" w:hAnsiTheme="majorBidi" w:cstheme="majorBidi"/>
                <w:sz w:val="20"/>
                <w:szCs w:val="20"/>
              </w:rPr>
              <w:t xml:space="preserve"> Latvijas </w:t>
            </w:r>
            <w:proofErr w:type="spellStart"/>
            <w:r w:rsidRPr="006A5774">
              <w:rPr>
                <w:rFonts w:asciiTheme="majorBidi" w:hAnsiTheme="majorBidi" w:cstheme="majorBidi"/>
                <w:sz w:val="20"/>
                <w:szCs w:val="20"/>
              </w:rPr>
              <w:t>Republiku</w:t>
            </w:r>
            <w:proofErr w:type="spellEnd"/>
            <w:r w:rsidRPr="006A5774">
              <w:rPr>
                <w:rFonts w:asciiTheme="majorBidi" w:hAnsiTheme="majorBidi" w:cstheme="majorBidi"/>
                <w:sz w:val="20"/>
                <w:szCs w:val="20"/>
              </w:rPr>
              <w:t xml:space="preserve"> </w:t>
            </w:r>
            <w:proofErr w:type="spellStart"/>
            <w:r w:rsidRPr="006A5774">
              <w:rPr>
                <w:rFonts w:asciiTheme="majorBidi" w:hAnsiTheme="majorBidi" w:cstheme="majorBidi"/>
                <w:sz w:val="20"/>
                <w:szCs w:val="20"/>
              </w:rPr>
              <w:t>un</w:t>
            </w:r>
            <w:proofErr w:type="spellEnd"/>
            <w:r w:rsidRPr="006A5774">
              <w:rPr>
                <w:rFonts w:asciiTheme="majorBidi" w:hAnsiTheme="majorBidi" w:cstheme="majorBidi"/>
                <w:sz w:val="20"/>
                <w:szCs w:val="20"/>
              </w:rPr>
              <w:t xml:space="preserve"> </w:t>
            </w:r>
            <w:proofErr w:type="spellStart"/>
            <w:r w:rsidRPr="006A5774">
              <w:rPr>
                <w:rFonts w:asciiTheme="majorBidi" w:hAnsiTheme="majorBidi" w:cstheme="majorBidi"/>
                <w:sz w:val="20"/>
                <w:szCs w:val="20"/>
              </w:rPr>
              <w:t>Baltkrievijas</w:t>
            </w:r>
            <w:proofErr w:type="spellEnd"/>
            <w:r w:rsidRPr="006A5774">
              <w:rPr>
                <w:rFonts w:asciiTheme="majorBidi" w:hAnsiTheme="majorBidi" w:cstheme="majorBidi"/>
                <w:sz w:val="20"/>
                <w:szCs w:val="20"/>
              </w:rPr>
              <w:t xml:space="preserve"> </w:t>
            </w:r>
            <w:proofErr w:type="spellStart"/>
            <w:r w:rsidRPr="006A5774">
              <w:rPr>
                <w:rFonts w:asciiTheme="majorBidi" w:hAnsiTheme="majorBidi" w:cstheme="majorBidi"/>
                <w:sz w:val="20"/>
                <w:szCs w:val="20"/>
              </w:rPr>
              <w:t>Republiku</w:t>
            </w:r>
            <w:proofErr w:type="spellEnd"/>
            <w:r w:rsidRPr="006A5774">
              <w:rPr>
                <w:rFonts w:asciiTheme="majorBidi" w:hAnsiTheme="majorBidi" w:cstheme="majorBidi"/>
                <w:sz w:val="20"/>
                <w:szCs w:val="20"/>
              </w:rPr>
              <w:t xml:space="preserve"> par </w:t>
            </w:r>
            <w:proofErr w:type="spellStart"/>
            <w:r w:rsidRPr="006A5774">
              <w:rPr>
                <w:rFonts w:asciiTheme="majorBidi" w:hAnsiTheme="majorBidi" w:cstheme="majorBidi"/>
                <w:sz w:val="20"/>
                <w:szCs w:val="20"/>
              </w:rPr>
              <w:t>tiesisko</w:t>
            </w:r>
            <w:proofErr w:type="spellEnd"/>
            <w:r w:rsidRPr="006A5774">
              <w:rPr>
                <w:rFonts w:asciiTheme="majorBidi" w:hAnsiTheme="majorBidi" w:cstheme="majorBidi"/>
                <w:sz w:val="20"/>
                <w:szCs w:val="20"/>
              </w:rPr>
              <w:t xml:space="preserve"> </w:t>
            </w:r>
            <w:proofErr w:type="spellStart"/>
            <w:r w:rsidRPr="006A5774">
              <w:rPr>
                <w:rFonts w:asciiTheme="majorBidi" w:hAnsiTheme="majorBidi" w:cstheme="majorBidi"/>
                <w:sz w:val="20"/>
                <w:szCs w:val="20"/>
              </w:rPr>
              <w:t>palīdzību</w:t>
            </w:r>
            <w:proofErr w:type="spellEnd"/>
            <w:r w:rsidRPr="006A5774">
              <w:rPr>
                <w:rFonts w:asciiTheme="majorBidi" w:hAnsiTheme="majorBidi" w:cstheme="majorBidi"/>
                <w:sz w:val="20"/>
                <w:szCs w:val="20"/>
              </w:rPr>
              <w:t xml:space="preserve"> </w:t>
            </w:r>
            <w:proofErr w:type="spellStart"/>
            <w:r w:rsidRPr="006A5774">
              <w:rPr>
                <w:rFonts w:asciiTheme="majorBidi" w:hAnsiTheme="majorBidi" w:cstheme="majorBidi"/>
                <w:sz w:val="20"/>
                <w:szCs w:val="20"/>
              </w:rPr>
              <w:t>un</w:t>
            </w:r>
            <w:proofErr w:type="spellEnd"/>
            <w:r w:rsidRPr="006A5774">
              <w:rPr>
                <w:rFonts w:asciiTheme="majorBidi" w:hAnsiTheme="majorBidi" w:cstheme="majorBidi"/>
                <w:sz w:val="20"/>
                <w:szCs w:val="20"/>
              </w:rPr>
              <w:t xml:space="preserve"> </w:t>
            </w:r>
            <w:proofErr w:type="spellStart"/>
            <w:r w:rsidRPr="006A5774">
              <w:rPr>
                <w:rFonts w:asciiTheme="majorBidi" w:hAnsiTheme="majorBidi" w:cstheme="majorBidi"/>
                <w:sz w:val="20"/>
                <w:szCs w:val="20"/>
              </w:rPr>
              <w:t>tiesiskajām</w:t>
            </w:r>
            <w:proofErr w:type="spellEnd"/>
            <w:r w:rsidRPr="006A5774">
              <w:rPr>
                <w:rFonts w:asciiTheme="majorBidi" w:hAnsiTheme="majorBidi" w:cstheme="majorBidi"/>
                <w:sz w:val="20"/>
                <w:szCs w:val="20"/>
              </w:rPr>
              <w:t xml:space="preserve"> </w:t>
            </w:r>
            <w:proofErr w:type="spellStart"/>
            <w:r w:rsidRPr="006A5774">
              <w:rPr>
                <w:rFonts w:asciiTheme="majorBidi" w:hAnsiTheme="majorBidi" w:cstheme="majorBidi"/>
                <w:sz w:val="20"/>
                <w:szCs w:val="20"/>
              </w:rPr>
              <w:t>attiecībām</w:t>
            </w:r>
            <w:proofErr w:type="spellEnd"/>
            <w:r w:rsidRPr="006A5774">
              <w:rPr>
                <w:rFonts w:asciiTheme="majorBidi" w:hAnsiTheme="majorBidi" w:cstheme="majorBidi"/>
                <w:sz w:val="20"/>
                <w:szCs w:val="20"/>
              </w:rPr>
              <w:t xml:space="preserve"> </w:t>
            </w:r>
            <w:proofErr w:type="spellStart"/>
            <w:r w:rsidRPr="006A5774">
              <w:rPr>
                <w:rFonts w:asciiTheme="majorBidi" w:hAnsiTheme="majorBidi" w:cstheme="majorBidi"/>
                <w:sz w:val="20"/>
                <w:szCs w:val="20"/>
              </w:rPr>
              <w:t>civilajās</w:t>
            </w:r>
            <w:proofErr w:type="spellEnd"/>
            <w:r w:rsidRPr="006A5774">
              <w:rPr>
                <w:rFonts w:asciiTheme="majorBidi" w:hAnsiTheme="majorBidi" w:cstheme="majorBidi"/>
                <w:sz w:val="20"/>
                <w:szCs w:val="20"/>
              </w:rPr>
              <w:t xml:space="preserve">, </w:t>
            </w:r>
            <w:proofErr w:type="spellStart"/>
            <w:r w:rsidRPr="006A5774">
              <w:rPr>
                <w:rFonts w:asciiTheme="majorBidi" w:hAnsiTheme="majorBidi" w:cstheme="majorBidi"/>
                <w:sz w:val="20"/>
                <w:szCs w:val="20"/>
              </w:rPr>
              <w:t>ģimenes</w:t>
            </w:r>
            <w:proofErr w:type="spellEnd"/>
            <w:r w:rsidRPr="006A5774">
              <w:rPr>
                <w:rFonts w:asciiTheme="majorBidi" w:hAnsiTheme="majorBidi" w:cstheme="majorBidi"/>
                <w:sz w:val="20"/>
                <w:szCs w:val="20"/>
              </w:rPr>
              <w:t xml:space="preserve">, </w:t>
            </w:r>
            <w:proofErr w:type="spellStart"/>
            <w:r w:rsidRPr="006A5774">
              <w:rPr>
                <w:rFonts w:asciiTheme="majorBidi" w:hAnsiTheme="majorBidi" w:cstheme="majorBidi"/>
                <w:sz w:val="20"/>
                <w:szCs w:val="20"/>
              </w:rPr>
              <w:t>darba</w:t>
            </w:r>
            <w:proofErr w:type="spellEnd"/>
            <w:r w:rsidRPr="006A5774">
              <w:rPr>
                <w:rFonts w:asciiTheme="majorBidi" w:hAnsiTheme="majorBidi" w:cstheme="majorBidi"/>
                <w:sz w:val="20"/>
                <w:szCs w:val="20"/>
              </w:rPr>
              <w:t xml:space="preserve"> </w:t>
            </w:r>
            <w:proofErr w:type="spellStart"/>
            <w:r w:rsidRPr="006A5774">
              <w:rPr>
                <w:rFonts w:asciiTheme="majorBidi" w:hAnsiTheme="majorBidi" w:cstheme="majorBidi"/>
                <w:sz w:val="20"/>
                <w:szCs w:val="20"/>
              </w:rPr>
              <w:t>un</w:t>
            </w:r>
            <w:proofErr w:type="spellEnd"/>
            <w:r w:rsidRPr="006A5774">
              <w:rPr>
                <w:rFonts w:asciiTheme="majorBidi" w:hAnsiTheme="majorBidi" w:cstheme="majorBidi"/>
                <w:sz w:val="20"/>
                <w:szCs w:val="20"/>
              </w:rPr>
              <w:t xml:space="preserve"> </w:t>
            </w:r>
            <w:proofErr w:type="spellStart"/>
            <w:r w:rsidRPr="006A5774">
              <w:rPr>
                <w:rFonts w:asciiTheme="majorBidi" w:hAnsiTheme="majorBidi" w:cstheme="majorBidi"/>
                <w:sz w:val="20"/>
                <w:szCs w:val="20"/>
              </w:rPr>
              <w:t>krimināllietās</w:t>
            </w:r>
            <w:proofErr w:type="spellEnd"/>
          </w:p>
        </w:tc>
        <w:tc>
          <w:tcPr>
            <w:tcW w:w="1878" w:type="dxa"/>
            <w:gridSpan w:val="2"/>
          </w:tcPr>
          <w:p w14:paraId="69E8CDD6" w14:textId="77777777" w:rsidR="00114953" w:rsidRPr="006A5774" w:rsidRDefault="00114953" w:rsidP="00BF3A72">
            <w:pPr>
              <w:jc w:val="center"/>
              <w:rPr>
                <w:rFonts w:asciiTheme="majorBidi" w:hAnsiTheme="majorBidi" w:cstheme="majorBidi"/>
                <w:sz w:val="20"/>
                <w:szCs w:val="20"/>
              </w:rPr>
            </w:pPr>
            <w:r w:rsidRPr="006A5774">
              <w:rPr>
                <w:rFonts w:asciiTheme="majorBidi" w:hAnsiTheme="majorBidi" w:cstheme="majorBidi"/>
                <w:sz w:val="20"/>
                <w:szCs w:val="20"/>
              </w:rPr>
              <w:t>13. </w:t>
            </w:r>
            <w:proofErr w:type="spellStart"/>
            <w:r w:rsidRPr="006A5774">
              <w:rPr>
                <w:rFonts w:asciiTheme="majorBidi" w:hAnsiTheme="majorBidi" w:cstheme="majorBidi"/>
                <w:sz w:val="20"/>
                <w:szCs w:val="20"/>
              </w:rPr>
              <w:t>pants</w:t>
            </w:r>
            <w:proofErr w:type="spellEnd"/>
          </w:p>
        </w:tc>
      </w:tr>
      <w:tr w:rsidR="00114953" w:rsidRPr="006A5774" w14:paraId="18E46094" w14:textId="77777777" w:rsidTr="00BF3A72">
        <w:trPr>
          <w:gridAfter w:val="1"/>
          <w:wAfter w:w="35" w:type="dxa"/>
        </w:trPr>
        <w:tc>
          <w:tcPr>
            <w:tcW w:w="969" w:type="dxa"/>
            <w:gridSpan w:val="2"/>
          </w:tcPr>
          <w:p w14:paraId="2301F111" w14:textId="77777777" w:rsidR="00114953" w:rsidRPr="006A5774" w:rsidRDefault="00114953" w:rsidP="00BF3A72">
            <w:pPr>
              <w:jc w:val="center"/>
              <w:rPr>
                <w:rFonts w:asciiTheme="majorBidi" w:hAnsiTheme="majorBidi" w:cstheme="majorBidi"/>
                <w:sz w:val="20"/>
                <w:szCs w:val="20"/>
              </w:rPr>
            </w:pPr>
            <w:r w:rsidRPr="006A5774">
              <w:rPr>
                <w:rFonts w:asciiTheme="majorBidi" w:hAnsiTheme="majorBidi" w:cstheme="majorBidi"/>
                <w:sz w:val="20"/>
                <w:szCs w:val="20"/>
              </w:rPr>
              <w:t>5.</w:t>
            </w:r>
          </w:p>
        </w:tc>
        <w:tc>
          <w:tcPr>
            <w:tcW w:w="6440" w:type="dxa"/>
          </w:tcPr>
          <w:p w14:paraId="1C89D26C" w14:textId="77777777" w:rsidR="00114953" w:rsidRPr="006A5774" w:rsidRDefault="00114953" w:rsidP="00BF3A72">
            <w:pPr>
              <w:jc w:val="both"/>
              <w:rPr>
                <w:rFonts w:asciiTheme="majorBidi" w:hAnsiTheme="majorBidi" w:cstheme="majorBidi"/>
                <w:sz w:val="20"/>
                <w:szCs w:val="20"/>
              </w:rPr>
            </w:pPr>
            <w:r w:rsidRPr="006A5774">
              <w:rPr>
                <w:rFonts w:asciiTheme="majorBidi" w:hAnsiTheme="majorBidi" w:cstheme="majorBidi"/>
                <w:sz w:val="20"/>
                <w:szCs w:val="20"/>
              </w:rPr>
              <w:t xml:space="preserve">1994.gada 23.februāra </w:t>
            </w:r>
            <w:proofErr w:type="spellStart"/>
            <w:r w:rsidRPr="006A5774">
              <w:rPr>
                <w:rFonts w:asciiTheme="majorBidi" w:hAnsiTheme="majorBidi" w:cstheme="majorBidi"/>
                <w:sz w:val="20"/>
                <w:szCs w:val="20"/>
              </w:rPr>
              <w:t>Līgums</w:t>
            </w:r>
            <w:proofErr w:type="spellEnd"/>
            <w:r w:rsidRPr="006A5774">
              <w:rPr>
                <w:rFonts w:asciiTheme="majorBidi" w:hAnsiTheme="majorBidi" w:cstheme="majorBidi"/>
                <w:sz w:val="20"/>
                <w:szCs w:val="20"/>
              </w:rPr>
              <w:t xml:space="preserve"> </w:t>
            </w:r>
            <w:proofErr w:type="spellStart"/>
            <w:r w:rsidRPr="006A5774">
              <w:rPr>
                <w:rFonts w:asciiTheme="majorBidi" w:hAnsiTheme="majorBidi" w:cstheme="majorBidi"/>
                <w:sz w:val="20"/>
                <w:szCs w:val="20"/>
              </w:rPr>
              <w:t>starp</w:t>
            </w:r>
            <w:proofErr w:type="spellEnd"/>
            <w:r w:rsidRPr="006A5774">
              <w:rPr>
                <w:rFonts w:asciiTheme="majorBidi" w:hAnsiTheme="majorBidi" w:cstheme="majorBidi"/>
                <w:sz w:val="20"/>
                <w:szCs w:val="20"/>
              </w:rPr>
              <w:t xml:space="preserve"> Latvijas </w:t>
            </w:r>
            <w:proofErr w:type="spellStart"/>
            <w:r w:rsidRPr="006A5774">
              <w:rPr>
                <w:rFonts w:asciiTheme="majorBidi" w:hAnsiTheme="majorBidi" w:cstheme="majorBidi"/>
                <w:sz w:val="20"/>
                <w:szCs w:val="20"/>
              </w:rPr>
              <w:t>Republiku</w:t>
            </w:r>
            <w:proofErr w:type="spellEnd"/>
            <w:r w:rsidRPr="006A5774">
              <w:rPr>
                <w:rFonts w:asciiTheme="majorBidi" w:hAnsiTheme="majorBidi" w:cstheme="majorBidi"/>
                <w:sz w:val="20"/>
                <w:szCs w:val="20"/>
              </w:rPr>
              <w:t xml:space="preserve"> </w:t>
            </w:r>
            <w:proofErr w:type="spellStart"/>
            <w:r w:rsidRPr="006A5774">
              <w:rPr>
                <w:rFonts w:asciiTheme="majorBidi" w:hAnsiTheme="majorBidi" w:cstheme="majorBidi"/>
                <w:sz w:val="20"/>
                <w:szCs w:val="20"/>
              </w:rPr>
              <w:t>un</w:t>
            </w:r>
            <w:proofErr w:type="spellEnd"/>
            <w:r w:rsidRPr="006A5774">
              <w:rPr>
                <w:rFonts w:asciiTheme="majorBidi" w:hAnsiTheme="majorBidi" w:cstheme="majorBidi"/>
                <w:sz w:val="20"/>
                <w:szCs w:val="20"/>
              </w:rPr>
              <w:t xml:space="preserve"> </w:t>
            </w:r>
            <w:proofErr w:type="spellStart"/>
            <w:r w:rsidRPr="006A5774">
              <w:rPr>
                <w:rFonts w:asciiTheme="majorBidi" w:hAnsiTheme="majorBidi" w:cstheme="majorBidi"/>
                <w:sz w:val="20"/>
                <w:szCs w:val="20"/>
              </w:rPr>
              <w:t>Polijas</w:t>
            </w:r>
            <w:proofErr w:type="spellEnd"/>
            <w:r w:rsidRPr="006A5774">
              <w:rPr>
                <w:rFonts w:asciiTheme="majorBidi" w:hAnsiTheme="majorBidi" w:cstheme="majorBidi"/>
                <w:sz w:val="20"/>
                <w:szCs w:val="20"/>
              </w:rPr>
              <w:t xml:space="preserve"> </w:t>
            </w:r>
            <w:proofErr w:type="spellStart"/>
            <w:r w:rsidRPr="006A5774">
              <w:rPr>
                <w:rFonts w:asciiTheme="majorBidi" w:hAnsiTheme="majorBidi" w:cstheme="majorBidi"/>
                <w:sz w:val="20"/>
                <w:szCs w:val="20"/>
              </w:rPr>
              <w:t>Republiku</w:t>
            </w:r>
            <w:proofErr w:type="spellEnd"/>
            <w:r w:rsidRPr="006A5774">
              <w:rPr>
                <w:rFonts w:asciiTheme="majorBidi" w:hAnsiTheme="majorBidi" w:cstheme="majorBidi"/>
                <w:sz w:val="20"/>
                <w:szCs w:val="20"/>
              </w:rPr>
              <w:t xml:space="preserve"> par </w:t>
            </w:r>
            <w:proofErr w:type="spellStart"/>
            <w:r w:rsidRPr="006A5774">
              <w:rPr>
                <w:rFonts w:asciiTheme="majorBidi" w:hAnsiTheme="majorBidi" w:cstheme="majorBidi"/>
                <w:sz w:val="20"/>
                <w:szCs w:val="20"/>
              </w:rPr>
              <w:t>tiesisko</w:t>
            </w:r>
            <w:proofErr w:type="spellEnd"/>
            <w:r w:rsidRPr="006A5774">
              <w:rPr>
                <w:rFonts w:asciiTheme="majorBidi" w:hAnsiTheme="majorBidi" w:cstheme="majorBidi"/>
                <w:sz w:val="20"/>
                <w:szCs w:val="20"/>
              </w:rPr>
              <w:t xml:space="preserve"> </w:t>
            </w:r>
            <w:proofErr w:type="spellStart"/>
            <w:r w:rsidRPr="006A5774">
              <w:rPr>
                <w:rFonts w:asciiTheme="majorBidi" w:hAnsiTheme="majorBidi" w:cstheme="majorBidi"/>
                <w:sz w:val="20"/>
                <w:szCs w:val="20"/>
              </w:rPr>
              <w:t>palīdzību</w:t>
            </w:r>
            <w:proofErr w:type="spellEnd"/>
            <w:r w:rsidRPr="006A5774">
              <w:rPr>
                <w:rFonts w:asciiTheme="majorBidi" w:hAnsiTheme="majorBidi" w:cstheme="majorBidi"/>
                <w:sz w:val="20"/>
                <w:szCs w:val="20"/>
              </w:rPr>
              <w:t xml:space="preserve"> </w:t>
            </w:r>
            <w:proofErr w:type="spellStart"/>
            <w:r w:rsidRPr="006A5774">
              <w:rPr>
                <w:rFonts w:asciiTheme="majorBidi" w:hAnsiTheme="majorBidi" w:cstheme="majorBidi"/>
                <w:sz w:val="20"/>
                <w:szCs w:val="20"/>
              </w:rPr>
              <w:t>un</w:t>
            </w:r>
            <w:proofErr w:type="spellEnd"/>
            <w:r w:rsidRPr="006A5774">
              <w:rPr>
                <w:rFonts w:asciiTheme="majorBidi" w:hAnsiTheme="majorBidi" w:cstheme="majorBidi"/>
                <w:sz w:val="20"/>
                <w:szCs w:val="20"/>
              </w:rPr>
              <w:t xml:space="preserve"> </w:t>
            </w:r>
            <w:proofErr w:type="spellStart"/>
            <w:r w:rsidRPr="006A5774">
              <w:rPr>
                <w:rFonts w:asciiTheme="majorBidi" w:hAnsiTheme="majorBidi" w:cstheme="majorBidi"/>
                <w:sz w:val="20"/>
                <w:szCs w:val="20"/>
              </w:rPr>
              <w:t>tiesiskajām</w:t>
            </w:r>
            <w:proofErr w:type="spellEnd"/>
            <w:r w:rsidRPr="006A5774">
              <w:rPr>
                <w:rFonts w:asciiTheme="majorBidi" w:hAnsiTheme="majorBidi" w:cstheme="majorBidi"/>
                <w:sz w:val="20"/>
                <w:szCs w:val="20"/>
              </w:rPr>
              <w:t xml:space="preserve"> </w:t>
            </w:r>
            <w:proofErr w:type="spellStart"/>
            <w:r w:rsidRPr="006A5774">
              <w:rPr>
                <w:rFonts w:asciiTheme="majorBidi" w:hAnsiTheme="majorBidi" w:cstheme="majorBidi"/>
                <w:sz w:val="20"/>
                <w:szCs w:val="20"/>
              </w:rPr>
              <w:t>attiecībām</w:t>
            </w:r>
            <w:proofErr w:type="spellEnd"/>
            <w:r w:rsidRPr="006A5774">
              <w:rPr>
                <w:rFonts w:asciiTheme="majorBidi" w:hAnsiTheme="majorBidi" w:cstheme="majorBidi"/>
                <w:sz w:val="20"/>
                <w:szCs w:val="20"/>
              </w:rPr>
              <w:t xml:space="preserve"> </w:t>
            </w:r>
            <w:proofErr w:type="spellStart"/>
            <w:r w:rsidRPr="006A5774">
              <w:rPr>
                <w:rFonts w:asciiTheme="majorBidi" w:hAnsiTheme="majorBidi" w:cstheme="majorBidi"/>
                <w:sz w:val="20"/>
                <w:szCs w:val="20"/>
              </w:rPr>
              <w:t>civilajās</w:t>
            </w:r>
            <w:proofErr w:type="spellEnd"/>
            <w:r w:rsidRPr="006A5774">
              <w:rPr>
                <w:rFonts w:asciiTheme="majorBidi" w:hAnsiTheme="majorBidi" w:cstheme="majorBidi"/>
                <w:sz w:val="20"/>
                <w:szCs w:val="20"/>
              </w:rPr>
              <w:t xml:space="preserve">, </w:t>
            </w:r>
            <w:proofErr w:type="spellStart"/>
            <w:r w:rsidRPr="006A5774">
              <w:rPr>
                <w:rFonts w:asciiTheme="majorBidi" w:hAnsiTheme="majorBidi" w:cstheme="majorBidi"/>
                <w:sz w:val="20"/>
                <w:szCs w:val="20"/>
              </w:rPr>
              <w:t>ģimenes</w:t>
            </w:r>
            <w:proofErr w:type="spellEnd"/>
            <w:r w:rsidRPr="006A5774">
              <w:rPr>
                <w:rFonts w:asciiTheme="majorBidi" w:hAnsiTheme="majorBidi" w:cstheme="majorBidi"/>
                <w:sz w:val="20"/>
                <w:szCs w:val="20"/>
              </w:rPr>
              <w:t xml:space="preserve">, </w:t>
            </w:r>
            <w:proofErr w:type="spellStart"/>
            <w:r w:rsidRPr="006A5774">
              <w:rPr>
                <w:rFonts w:asciiTheme="majorBidi" w:hAnsiTheme="majorBidi" w:cstheme="majorBidi"/>
                <w:sz w:val="20"/>
                <w:szCs w:val="20"/>
              </w:rPr>
              <w:t>darba</w:t>
            </w:r>
            <w:proofErr w:type="spellEnd"/>
            <w:r w:rsidRPr="006A5774">
              <w:rPr>
                <w:rFonts w:asciiTheme="majorBidi" w:hAnsiTheme="majorBidi" w:cstheme="majorBidi"/>
                <w:sz w:val="20"/>
                <w:szCs w:val="20"/>
              </w:rPr>
              <w:t xml:space="preserve"> </w:t>
            </w:r>
            <w:proofErr w:type="spellStart"/>
            <w:r w:rsidRPr="006A5774">
              <w:rPr>
                <w:rFonts w:asciiTheme="majorBidi" w:hAnsiTheme="majorBidi" w:cstheme="majorBidi"/>
                <w:sz w:val="20"/>
                <w:szCs w:val="20"/>
              </w:rPr>
              <w:t>un</w:t>
            </w:r>
            <w:proofErr w:type="spellEnd"/>
            <w:r w:rsidRPr="006A5774">
              <w:rPr>
                <w:rFonts w:asciiTheme="majorBidi" w:hAnsiTheme="majorBidi" w:cstheme="majorBidi"/>
                <w:sz w:val="20"/>
                <w:szCs w:val="20"/>
              </w:rPr>
              <w:t xml:space="preserve"> </w:t>
            </w:r>
            <w:proofErr w:type="spellStart"/>
            <w:r w:rsidRPr="006A5774">
              <w:rPr>
                <w:rFonts w:asciiTheme="majorBidi" w:hAnsiTheme="majorBidi" w:cstheme="majorBidi"/>
                <w:sz w:val="20"/>
                <w:szCs w:val="20"/>
              </w:rPr>
              <w:t>krimināllietās</w:t>
            </w:r>
            <w:proofErr w:type="spellEnd"/>
          </w:p>
        </w:tc>
        <w:tc>
          <w:tcPr>
            <w:tcW w:w="1878" w:type="dxa"/>
            <w:gridSpan w:val="2"/>
          </w:tcPr>
          <w:p w14:paraId="6E5A4A61" w14:textId="77777777" w:rsidR="00114953" w:rsidRPr="006A5774" w:rsidRDefault="00114953" w:rsidP="00BF3A72">
            <w:pPr>
              <w:jc w:val="center"/>
              <w:rPr>
                <w:rFonts w:asciiTheme="majorBidi" w:hAnsiTheme="majorBidi" w:cstheme="majorBidi"/>
                <w:sz w:val="20"/>
                <w:szCs w:val="20"/>
              </w:rPr>
            </w:pPr>
            <w:r w:rsidRPr="006A5774">
              <w:rPr>
                <w:rFonts w:asciiTheme="majorBidi" w:hAnsiTheme="majorBidi" w:cstheme="majorBidi"/>
                <w:sz w:val="20"/>
                <w:szCs w:val="20"/>
              </w:rPr>
              <w:t>13. </w:t>
            </w:r>
            <w:proofErr w:type="spellStart"/>
            <w:r w:rsidRPr="006A5774">
              <w:rPr>
                <w:rFonts w:asciiTheme="majorBidi" w:hAnsiTheme="majorBidi" w:cstheme="majorBidi"/>
                <w:sz w:val="20"/>
                <w:szCs w:val="20"/>
              </w:rPr>
              <w:t>pants</w:t>
            </w:r>
            <w:proofErr w:type="spellEnd"/>
          </w:p>
        </w:tc>
      </w:tr>
      <w:tr w:rsidR="00114953" w:rsidRPr="006A5774" w14:paraId="5E2920ED" w14:textId="77777777" w:rsidTr="00BF3A72">
        <w:trPr>
          <w:gridAfter w:val="1"/>
          <w:wAfter w:w="35" w:type="dxa"/>
        </w:trPr>
        <w:tc>
          <w:tcPr>
            <w:tcW w:w="969" w:type="dxa"/>
            <w:gridSpan w:val="2"/>
          </w:tcPr>
          <w:p w14:paraId="0C59D2A1" w14:textId="77777777" w:rsidR="00114953" w:rsidRPr="006A5774" w:rsidRDefault="00114953" w:rsidP="00BF3A72">
            <w:pPr>
              <w:jc w:val="center"/>
              <w:rPr>
                <w:rFonts w:asciiTheme="majorBidi" w:hAnsiTheme="majorBidi" w:cstheme="majorBidi"/>
                <w:sz w:val="20"/>
                <w:szCs w:val="20"/>
              </w:rPr>
            </w:pPr>
            <w:r w:rsidRPr="006A5774">
              <w:rPr>
                <w:rFonts w:asciiTheme="majorBidi" w:hAnsiTheme="majorBidi" w:cstheme="majorBidi"/>
                <w:sz w:val="20"/>
                <w:szCs w:val="20"/>
              </w:rPr>
              <w:t>6.</w:t>
            </w:r>
          </w:p>
        </w:tc>
        <w:tc>
          <w:tcPr>
            <w:tcW w:w="6440" w:type="dxa"/>
          </w:tcPr>
          <w:p w14:paraId="6CF21B30" w14:textId="77777777" w:rsidR="00114953" w:rsidRPr="006A5774" w:rsidRDefault="00114953" w:rsidP="00BF3A72">
            <w:pPr>
              <w:jc w:val="both"/>
              <w:rPr>
                <w:rFonts w:asciiTheme="majorBidi" w:hAnsiTheme="majorBidi" w:cstheme="majorBidi"/>
                <w:sz w:val="20"/>
                <w:szCs w:val="20"/>
              </w:rPr>
            </w:pPr>
            <w:r w:rsidRPr="006A5774">
              <w:rPr>
                <w:rFonts w:asciiTheme="majorBidi" w:hAnsiTheme="majorBidi" w:cstheme="majorBidi"/>
                <w:sz w:val="20"/>
                <w:szCs w:val="20"/>
              </w:rPr>
              <w:t>1995. </w:t>
            </w:r>
            <w:proofErr w:type="spellStart"/>
            <w:r w:rsidRPr="006A5774">
              <w:rPr>
                <w:rFonts w:asciiTheme="majorBidi" w:hAnsiTheme="majorBidi" w:cstheme="majorBidi"/>
                <w:sz w:val="20"/>
                <w:szCs w:val="20"/>
              </w:rPr>
              <w:t>gada</w:t>
            </w:r>
            <w:proofErr w:type="spellEnd"/>
            <w:r w:rsidRPr="006A5774">
              <w:rPr>
                <w:rFonts w:asciiTheme="majorBidi" w:hAnsiTheme="majorBidi" w:cstheme="majorBidi"/>
                <w:sz w:val="20"/>
                <w:szCs w:val="20"/>
              </w:rPr>
              <w:t xml:space="preserve"> 23.maija Latvijas </w:t>
            </w:r>
            <w:proofErr w:type="spellStart"/>
            <w:r w:rsidRPr="006A5774">
              <w:rPr>
                <w:rFonts w:asciiTheme="majorBidi" w:hAnsiTheme="majorBidi" w:cstheme="majorBidi"/>
                <w:sz w:val="20"/>
                <w:szCs w:val="20"/>
              </w:rPr>
              <w:t>Republikas</w:t>
            </w:r>
            <w:proofErr w:type="spellEnd"/>
            <w:r w:rsidRPr="006A5774">
              <w:rPr>
                <w:rFonts w:asciiTheme="majorBidi" w:hAnsiTheme="majorBidi" w:cstheme="majorBidi"/>
                <w:sz w:val="20"/>
                <w:szCs w:val="20"/>
              </w:rPr>
              <w:t xml:space="preserve"> </w:t>
            </w:r>
            <w:proofErr w:type="spellStart"/>
            <w:r w:rsidRPr="006A5774">
              <w:rPr>
                <w:rFonts w:asciiTheme="majorBidi" w:hAnsiTheme="majorBidi" w:cstheme="majorBidi"/>
                <w:sz w:val="20"/>
                <w:szCs w:val="20"/>
              </w:rPr>
              <w:t>un</w:t>
            </w:r>
            <w:proofErr w:type="spellEnd"/>
            <w:r w:rsidRPr="006A5774">
              <w:rPr>
                <w:rFonts w:asciiTheme="majorBidi" w:hAnsiTheme="majorBidi" w:cstheme="majorBidi"/>
                <w:sz w:val="20"/>
                <w:szCs w:val="20"/>
              </w:rPr>
              <w:t xml:space="preserve"> </w:t>
            </w:r>
            <w:proofErr w:type="spellStart"/>
            <w:r w:rsidRPr="006A5774">
              <w:rPr>
                <w:rFonts w:asciiTheme="majorBidi" w:hAnsiTheme="majorBidi" w:cstheme="majorBidi"/>
                <w:sz w:val="20"/>
                <w:szCs w:val="20"/>
              </w:rPr>
              <w:t>Ukrainas</w:t>
            </w:r>
            <w:proofErr w:type="spellEnd"/>
            <w:r w:rsidRPr="006A5774">
              <w:rPr>
                <w:rFonts w:asciiTheme="majorBidi" w:hAnsiTheme="majorBidi" w:cstheme="majorBidi"/>
                <w:sz w:val="20"/>
                <w:szCs w:val="20"/>
              </w:rPr>
              <w:t xml:space="preserve"> </w:t>
            </w:r>
            <w:proofErr w:type="spellStart"/>
            <w:r w:rsidRPr="006A5774">
              <w:rPr>
                <w:rFonts w:asciiTheme="majorBidi" w:hAnsiTheme="majorBidi" w:cstheme="majorBidi"/>
                <w:sz w:val="20"/>
                <w:szCs w:val="20"/>
              </w:rPr>
              <w:t>līgums</w:t>
            </w:r>
            <w:proofErr w:type="spellEnd"/>
            <w:r w:rsidRPr="006A5774">
              <w:rPr>
                <w:rFonts w:asciiTheme="majorBidi" w:hAnsiTheme="majorBidi" w:cstheme="majorBidi"/>
                <w:sz w:val="20"/>
                <w:szCs w:val="20"/>
              </w:rPr>
              <w:t xml:space="preserve"> par </w:t>
            </w:r>
            <w:proofErr w:type="spellStart"/>
            <w:r w:rsidRPr="006A5774">
              <w:rPr>
                <w:rFonts w:asciiTheme="majorBidi" w:hAnsiTheme="majorBidi" w:cstheme="majorBidi"/>
                <w:sz w:val="20"/>
                <w:szCs w:val="20"/>
              </w:rPr>
              <w:t>tiesisko</w:t>
            </w:r>
            <w:proofErr w:type="spellEnd"/>
            <w:r w:rsidRPr="006A5774">
              <w:rPr>
                <w:rFonts w:asciiTheme="majorBidi" w:hAnsiTheme="majorBidi" w:cstheme="majorBidi"/>
                <w:sz w:val="20"/>
                <w:szCs w:val="20"/>
              </w:rPr>
              <w:t xml:space="preserve"> </w:t>
            </w:r>
            <w:proofErr w:type="spellStart"/>
            <w:r w:rsidRPr="006A5774">
              <w:rPr>
                <w:rFonts w:asciiTheme="majorBidi" w:hAnsiTheme="majorBidi" w:cstheme="majorBidi"/>
                <w:sz w:val="20"/>
                <w:szCs w:val="20"/>
              </w:rPr>
              <w:t>palīdzību</w:t>
            </w:r>
            <w:proofErr w:type="spellEnd"/>
            <w:r w:rsidRPr="006A5774">
              <w:rPr>
                <w:rFonts w:asciiTheme="majorBidi" w:hAnsiTheme="majorBidi" w:cstheme="majorBidi"/>
                <w:sz w:val="20"/>
                <w:szCs w:val="20"/>
              </w:rPr>
              <w:t xml:space="preserve"> </w:t>
            </w:r>
            <w:proofErr w:type="spellStart"/>
            <w:r w:rsidRPr="006A5774">
              <w:rPr>
                <w:rFonts w:asciiTheme="majorBidi" w:hAnsiTheme="majorBidi" w:cstheme="majorBidi"/>
                <w:sz w:val="20"/>
                <w:szCs w:val="20"/>
              </w:rPr>
              <w:t>un</w:t>
            </w:r>
            <w:proofErr w:type="spellEnd"/>
            <w:r w:rsidRPr="006A5774">
              <w:rPr>
                <w:rFonts w:asciiTheme="majorBidi" w:hAnsiTheme="majorBidi" w:cstheme="majorBidi"/>
                <w:sz w:val="20"/>
                <w:szCs w:val="20"/>
              </w:rPr>
              <w:t xml:space="preserve"> </w:t>
            </w:r>
            <w:proofErr w:type="spellStart"/>
            <w:r w:rsidRPr="006A5774">
              <w:rPr>
                <w:rFonts w:asciiTheme="majorBidi" w:hAnsiTheme="majorBidi" w:cstheme="majorBidi"/>
                <w:sz w:val="20"/>
                <w:szCs w:val="20"/>
              </w:rPr>
              <w:t>tiesiskajām</w:t>
            </w:r>
            <w:proofErr w:type="spellEnd"/>
            <w:r w:rsidRPr="006A5774">
              <w:rPr>
                <w:rFonts w:asciiTheme="majorBidi" w:hAnsiTheme="majorBidi" w:cstheme="majorBidi"/>
                <w:sz w:val="20"/>
                <w:szCs w:val="20"/>
              </w:rPr>
              <w:t xml:space="preserve"> </w:t>
            </w:r>
            <w:proofErr w:type="spellStart"/>
            <w:r w:rsidRPr="006A5774">
              <w:rPr>
                <w:rFonts w:asciiTheme="majorBidi" w:hAnsiTheme="majorBidi" w:cstheme="majorBidi"/>
                <w:sz w:val="20"/>
                <w:szCs w:val="20"/>
              </w:rPr>
              <w:t>attiecībām</w:t>
            </w:r>
            <w:proofErr w:type="spellEnd"/>
            <w:r w:rsidRPr="006A5774">
              <w:rPr>
                <w:rFonts w:asciiTheme="majorBidi" w:hAnsiTheme="majorBidi" w:cstheme="majorBidi"/>
                <w:sz w:val="20"/>
                <w:szCs w:val="20"/>
              </w:rPr>
              <w:t xml:space="preserve"> </w:t>
            </w:r>
            <w:proofErr w:type="spellStart"/>
            <w:r w:rsidRPr="006A5774">
              <w:rPr>
                <w:rFonts w:asciiTheme="majorBidi" w:hAnsiTheme="majorBidi" w:cstheme="majorBidi"/>
                <w:sz w:val="20"/>
                <w:szCs w:val="20"/>
              </w:rPr>
              <w:t>civilajās</w:t>
            </w:r>
            <w:proofErr w:type="spellEnd"/>
            <w:r w:rsidRPr="006A5774">
              <w:rPr>
                <w:rFonts w:asciiTheme="majorBidi" w:hAnsiTheme="majorBidi" w:cstheme="majorBidi"/>
                <w:sz w:val="20"/>
                <w:szCs w:val="20"/>
              </w:rPr>
              <w:t xml:space="preserve">, </w:t>
            </w:r>
            <w:proofErr w:type="spellStart"/>
            <w:r w:rsidRPr="006A5774">
              <w:rPr>
                <w:rFonts w:asciiTheme="majorBidi" w:hAnsiTheme="majorBidi" w:cstheme="majorBidi"/>
                <w:sz w:val="20"/>
                <w:szCs w:val="20"/>
              </w:rPr>
              <w:t>ģimenes</w:t>
            </w:r>
            <w:proofErr w:type="spellEnd"/>
            <w:r w:rsidRPr="006A5774">
              <w:rPr>
                <w:rFonts w:asciiTheme="majorBidi" w:hAnsiTheme="majorBidi" w:cstheme="majorBidi"/>
                <w:sz w:val="20"/>
                <w:szCs w:val="20"/>
              </w:rPr>
              <w:t xml:space="preserve">, </w:t>
            </w:r>
            <w:proofErr w:type="spellStart"/>
            <w:r w:rsidRPr="006A5774">
              <w:rPr>
                <w:rFonts w:asciiTheme="majorBidi" w:hAnsiTheme="majorBidi" w:cstheme="majorBidi"/>
                <w:sz w:val="20"/>
                <w:szCs w:val="20"/>
              </w:rPr>
              <w:t>darba</w:t>
            </w:r>
            <w:proofErr w:type="spellEnd"/>
            <w:r w:rsidRPr="006A5774">
              <w:rPr>
                <w:rFonts w:asciiTheme="majorBidi" w:hAnsiTheme="majorBidi" w:cstheme="majorBidi"/>
                <w:sz w:val="20"/>
                <w:szCs w:val="20"/>
              </w:rPr>
              <w:t xml:space="preserve"> </w:t>
            </w:r>
            <w:proofErr w:type="spellStart"/>
            <w:r w:rsidRPr="006A5774">
              <w:rPr>
                <w:rFonts w:asciiTheme="majorBidi" w:hAnsiTheme="majorBidi" w:cstheme="majorBidi"/>
                <w:sz w:val="20"/>
                <w:szCs w:val="20"/>
              </w:rPr>
              <w:t>un</w:t>
            </w:r>
            <w:proofErr w:type="spellEnd"/>
            <w:r w:rsidRPr="006A5774">
              <w:rPr>
                <w:rFonts w:asciiTheme="majorBidi" w:hAnsiTheme="majorBidi" w:cstheme="majorBidi"/>
                <w:sz w:val="20"/>
                <w:szCs w:val="20"/>
              </w:rPr>
              <w:t xml:space="preserve"> </w:t>
            </w:r>
            <w:proofErr w:type="spellStart"/>
            <w:r w:rsidRPr="006A5774">
              <w:rPr>
                <w:rFonts w:asciiTheme="majorBidi" w:hAnsiTheme="majorBidi" w:cstheme="majorBidi"/>
                <w:sz w:val="20"/>
                <w:szCs w:val="20"/>
              </w:rPr>
              <w:t>krimināllietās</w:t>
            </w:r>
            <w:proofErr w:type="spellEnd"/>
          </w:p>
        </w:tc>
        <w:tc>
          <w:tcPr>
            <w:tcW w:w="1878" w:type="dxa"/>
            <w:gridSpan w:val="2"/>
          </w:tcPr>
          <w:p w14:paraId="1F0A0331" w14:textId="77777777" w:rsidR="00114953" w:rsidRPr="006A5774" w:rsidRDefault="00114953" w:rsidP="00BF3A72">
            <w:pPr>
              <w:jc w:val="center"/>
              <w:rPr>
                <w:rFonts w:asciiTheme="majorBidi" w:hAnsiTheme="majorBidi" w:cstheme="majorBidi"/>
                <w:sz w:val="20"/>
                <w:szCs w:val="20"/>
              </w:rPr>
            </w:pPr>
            <w:r w:rsidRPr="006A5774">
              <w:rPr>
                <w:rFonts w:asciiTheme="majorBidi" w:hAnsiTheme="majorBidi" w:cstheme="majorBidi"/>
                <w:sz w:val="20"/>
                <w:szCs w:val="20"/>
              </w:rPr>
              <w:t>13. </w:t>
            </w:r>
            <w:proofErr w:type="spellStart"/>
            <w:r w:rsidRPr="006A5774">
              <w:rPr>
                <w:rFonts w:asciiTheme="majorBidi" w:hAnsiTheme="majorBidi" w:cstheme="majorBidi"/>
                <w:sz w:val="20"/>
                <w:szCs w:val="20"/>
              </w:rPr>
              <w:t>pants</w:t>
            </w:r>
            <w:proofErr w:type="spellEnd"/>
          </w:p>
        </w:tc>
      </w:tr>
      <w:tr w:rsidR="00114953" w:rsidRPr="006A5774" w14:paraId="29C796E5" w14:textId="77777777" w:rsidTr="00BF3A72">
        <w:trPr>
          <w:gridAfter w:val="1"/>
          <w:wAfter w:w="35" w:type="dxa"/>
        </w:trPr>
        <w:tc>
          <w:tcPr>
            <w:tcW w:w="969" w:type="dxa"/>
            <w:gridSpan w:val="2"/>
          </w:tcPr>
          <w:p w14:paraId="6AE111CA" w14:textId="77777777" w:rsidR="00114953" w:rsidRPr="006A5774" w:rsidRDefault="00114953" w:rsidP="00BF3A72">
            <w:pPr>
              <w:jc w:val="center"/>
              <w:rPr>
                <w:rFonts w:asciiTheme="majorBidi" w:hAnsiTheme="majorBidi" w:cstheme="majorBidi"/>
                <w:sz w:val="20"/>
                <w:szCs w:val="20"/>
              </w:rPr>
            </w:pPr>
            <w:r w:rsidRPr="006A5774">
              <w:rPr>
                <w:rFonts w:asciiTheme="majorBidi" w:hAnsiTheme="majorBidi" w:cstheme="majorBidi"/>
                <w:sz w:val="20"/>
                <w:szCs w:val="20"/>
              </w:rPr>
              <w:t>7.</w:t>
            </w:r>
          </w:p>
        </w:tc>
        <w:tc>
          <w:tcPr>
            <w:tcW w:w="6440" w:type="dxa"/>
          </w:tcPr>
          <w:p w14:paraId="57746F96" w14:textId="77777777" w:rsidR="00114953" w:rsidRPr="006A5774" w:rsidRDefault="00114953" w:rsidP="00BF3A72">
            <w:pPr>
              <w:jc w:val="both"/>
              <w:rPr>
                <w:rFonts w:asciiTheme="majorBidi" w:hAnsiTheme="majorBidi" w:cstheme="majorBidi"/>
                <w:sz w:val="20"/>
                <w:szCs w:val="20"/>
              </w:rPr>
            </w:pPr>
            <w:r w:rsidRPr="006A5774">
              <w:rPr>
                <w:rFonts w:asciiTheme="majorBidi" w:hAnsiTheme="majorBidi" w:cstheme="majorBidi"/>
                <w:sz w:val="20"/>
                <w:szCs w:val="20"/>
              </w:rPr>
              <w:t xml:space="preserve">1996.gada 23.maija </w:t>
            </w:r>
            <w:proofErr w:type="spellStart"/>
            <w:r w:rsidRPr="006A5774">
              <w:rPr>
                <w:rFonts w:asciiTheme="majorBidi" w:hAnsiTheme="majorBidi" w:cstheme="majorBidi"/>
                <w:sz w:val="20"/>
                <w:szCs w:val="20"/>
              </w:rPr>
              <w:t>Līgums</w:t>
            </w:r>
            <w:proofErr w:type="spellEnd"/>
            <w:r w:rsidRPr="006A5774">
              <w:rPr>
                <w:rFonts w:asciiTheme="majorBidi" w:hAnsiTheme="majorBidi" w:cstheme="majorBidi"/>
                <w:sz w:val="20"/>
                <w:szCs w:val="20"/>
              </w:rPr>
              <w:t xml:space="preserve"> </w:t>
            </w:r>
            <w:proofErr w:type="spellStart"/>
            <w:r w:rsidRPr="006A5774">
              <w:rPr>
                <w:rFonts w:asciiTheme="majorBidi" w:hAnsiTheme="majorBidi" w:cstheme="majorBidi"/>
                <w:sz w:val="20"/>
                <w:szCs w:val="20"/>
              </w:rPr>
              <w:t>starp</w:t>
            </w:r>
            <w:proofErr w:type="spellEnd"/>
            <w:r w:rsidRPr="006A5774">
              <w:rPr>
                <w:rFonts w:asciiTheme="majorBidi" w:hAnsiTheme="majorBidi" w:cstheme="majorBidi"/>
                <w:sz w:val="20"/>
                <w:szCs w:val="20"/>
              </w:rPr>
              <w:t xml:space="preserve"> Latvijas </w:t>
            </w:r>
            <w:proofErr w:type="spellStart"/>
            <w:r w:rsidRPr="006A5774">
              <w:rPr>
                <w:rFonts w:asciiTheme="majorBidi" w:hAnsiTheme="majorBidi" w:cstheme="majorBidi"/>
                <w:sz w:val="20"/>
                <w:szCs w:val="20"/>
              </w:rPr>
              <w:t>Republiku</w:t>
            </w:r>
            <w:proofErr w:type="spellEnd"/>
            <w:r w:rsidRPr="006A5774">
              <w:rPr>
                <w:rFonts w:asciiTheme="majorBidi" w:hAnsiTheme="majorBidi" w:cstheme="majorBidi"/>
                <w:sz w:val="20"/>
                <w:szCs w:val="20"/>
              </w:rPr>
              <w:t xml:space="preserve"> </w:t>
            </w:r>
            <w:proofErr w:type="spellStart"/>
            <w:r w:rsidRPr="006A5774">
              <w:rPr>
                <w:rFonts w:asciiTheme="majorBidi" w:hAnsiTheme="majorBidi" w:cstheme="majorBidi"/>
                <w:sz w:val="20"/>
                <w:szCs w:val="20"/>
              </w:rPr>
              <w:t>un</w:t>
            </w:r>
            <w:proofErr w:type="spellEnd"/>
            <w:r w:rsidRPr="006A5774">
              <w:rPr>
                <w:rFonts w:asciiTheme="majorBidi" w:hAnsiTheme="majorBidi" w:cstheme="majorBidi"/>
                <w:sz w:val="20"/>
                <w:szCs w:val="20"/>
              </w:rPr>
              <w:t xml:space="preserve"> </w:t>
            </w:r>
            <w:proofErr w:type="spellStart"/>
            <w:r w:rsidRPr="006A5774">
              <w:rPr>
                <w:rFonts w:asciiTheme="majorBidi" w:hAnsiTheme="majorBidi" w:cstheme="majorBidi"/>
                <w:sz w:val="20"/>
                <w:szCs w:val="20"/>
              </w:rPr>
              <w:t>Uzbekistānas</w:t>
            </w:r>
            <w:proofErr w:type="spellEnd"/>
            <w:r w:rsidRPr="006A5774">
              <w:rPr>
                <w:rFonts w:asciiTheme="majorBidi" w:hAnsiTheme="majorBidi" w:cstheme="majorBidi"/>
                <w:sz w:val="20"/>
                <w:szCs w:val="20"/>
              </w:rPr>
              <w:t xml:space="preserve"> </w:t>
            </w:r>
            <w:proofErr w:type="spellStart"/>
            <w:r w:rsidRPr="006A5774">
              <w:rPr>
                <w:rFonts w:asciiTheme="majorBidi" w:hAnsiTheme="majorBidi" w:cstheme="majorBidi"/>
                <w:sz w:val="20"/>
                <w:szCs w:val="20"/>
              </w:rPr>
              <w:t>Republiku</w:t>
            </w:r>
            <w:proofErr w:type="spellEnd"/>
            <w:r w:rsidRPr="006A5774">
              <w:rPr>
                <w:rFonts w:asciiTheme="majorBidi" w:hAnsiTheme="majorBidi" w:cstheme="majorBidi"/>
                <w:sz w:val="20"/>
                <w:szCs w:val="20"/>
              </w:rPr>
              <w:t xml:space="preserve"> par </w:t>
            </w:r>
            <w:proofErr w:type="spellStart"/>
            <w:r w:rsidRPr="006A5774">
              <w:rPr>
                <w:rFonts w:asciiTheme="majorBidi" w:hAnsiTheme="majorBidi" w:cstheme="majorBidi"/>
                <w:sz w:val="20"/>
                <w:szCs w:val="20"/>
              </w:rPr>
              <w:t>tiesisko</w:t>
            </w:r>
            <w:proofErr w:type="spellEnd"/>
            <w:r w:rsidRPr="006A5774">
              <w:rPr>
                <w:rFonts w:asciiTheme="majorBidi" w:hAnsiTheme="majorBidi" w:cstheme="majorBidi"/>
                <w:sz w:val="20"/>
                <w:szCs w:val="20"/>
              </w:rPr>
              <w:t xml:space="preserve"> </w:t>
            </w:r>
            <w:proofErr w:type="spellStart"/>
            <w:r w:rsidRPr="006A5774">
              <w:rPr>
                <w:rFonts w:asciiTheme="majorBidi" w:hAnsiTheme="majorBidi" w:cstheme="majorBidi"/>
                <w:sz w:val="20"/>
                <w:szCs w:val="20"/>
              </w:rPr>
              <w:t>palīdzību</w:t>
            </w:r>
            <w:proofErr w:type="spellEnd"/>
            <w:r w:rsidRPr="006A5774">
              <w:rPr>
                <w:rFonts w:asciiTheme="majorBidi" w:hAnsiTheme="majorBidi" w:cstheme="majorBidi"/>
                <w:sz w:val="20"/>
                <w:szCs w:val="20"/>
              </w:rPr>
              <w:t xml:space="preserve"> </w:t>
            </w:r>
            <w:proofErr w:type="spellStart"/>
            <w:r w:rsidRPr="006A5774">
              <w:rPr>
                <w:rFonts w:asciiTheme="majorBidi" w:hAnsiTheme="majorBidi" w:cstheme="majorBidi"/>
                <w:sz w:val="20"/>
                <w:szCs w:val="20"/>
              </w:rPr>
              <w:t>un</w:t>
            </w:r>
            <w:proofErr w:type="spellEnd"/>
            <w:r w:rsidRPr="006A5774">
              <w:rPr>
                <w:rFonts w:asciiTheme="majorBidi" w:hAnsiTheme="majorBidi" w:cstheme="majorBidi"/>
                <w:sz w:val="20"/>
                <w:szCs w:val="20"/>
              </w:rPr>
              <w:t xml:space="preserve"> </w:t>
            </w:r>
            <w:proofErr w:type="spellStart"/>
            <w:r w:rsidRPr="006A5774">
              <w:rPr>
                <w:rFonts w:asciiTheme="majorBidi" w:hAnsiTheme="majorBidi" w:cstheme="majorBidi"/>
                <w:sz w:val="20"/>
                <w:szCs w:val="20"/>
              </w:rPr>
              <w:t>tiesiskajām</w:t>
            </w:r>
            <w:proofErr w:type="spellEnd"/>
            <w:r w:rsidRPr="006A5774">
              <w:rPr>
                <w:rFonts w:asciiTheme="majorBidi" w:hAnsiTheme="majorBidi" w:cstheme="majorBidi"/>
                <w:sz w:val="20"/>
                <w:szCs w:val="20"/>
              </w:rPr>
              <w:t xml:space="preserve"> </w:t>
            </w:r>
            <w:proofErr w:type="spellStart"/>
            <w:r w:rsidRPr="006A5774">
              <w:rPr>
                <w:rFonts w:asciiTheme="majorBidi" w:hAnsiTheme="majorBidi" w:cstheme="majorBidi"/>
                <w:sz w:val="20"/>
                <w:szCs w:val="20"/>
              </w:rPr>
              <w:t>attiecībām</w:t>
            </w:r>
            <w:proofErr w:type="spellEnd"/>
            <w:r w:rsidRPr="006A5774">
              <w:rPr>
                <w:rFonts w:asciiTheme="majorBidi" w:hAnsiTheme="majorBidi" w:cstheme="majorBidi"/>
                <w:sz w:val="20"/>
                <w:szCs w:val="20"/>
              </w:rPr>
              <w:t xml:space="preserve"> </w:t>
            </w:r>
            <w:proofErr w:type="spellStart"/>
            <w:r w:rsidRPr="006A5774">
              <w:rPr>
                <w:rFonts w:asciiTheme="majorBidi" w:hAnsiTheme="majorBidi" w:cstheme="majorBidi"/>
                <w:sz w:val="20"/>
                <w:szCs w:val="20"/>
              </w:rPr>
              <w:t>civilajās</w:t>
            </w:r>
            <w:proofErr w:type="spellEnd"/>
            <w:r w:rsidRPr="006A5774">
              <w:rPr>
                <w:rFonts w:asciiTheme="majorBidi" w:hAnsiTheme="majorBidi" w:cstheme="majorBidi"/>
                <w:sz w:val="20"/>
                <w:szCs w:val="20"/>
              </w:rPr>
              <w:t xml:space="preserve">, </w:t>
            </w:r>
            <w:proofErr w:type="spellStart"/>
            <w:r w:rsidRPr="006A5774">
              <w:rPr>
                <w:rFonts w:asciiTheme="majorBidi" w:hAnsiTheme="majorBidi" w:cstheme="majorBidi"/>
                <w:sz w:val="20"/>
                <w:szCs w:val="20"/>
              </w:rPr>
              <w:t>ģimenes</w:t>
            </w:r>
            <w:proofErr w:type="spellEnd"/>
            <w:r w:rsidRPr="006A5774">
              <w:rPr>
                <w:rFonts w:asciiTheme="majorBidi" w:hAnsiTheme="majorBidi" w:cstheme="majorBidi"/>
                <w:sz w:val="20"/>
                <w:szCs w:val="20"/>
              </w:rPr>
              <w:t xml:space="preserve">, </w:t>
            </w:r>
            <w:proofErr w:type="spellStart"/>
            <w:r w:rsidRPr="006A5774">
              <w:rPr>
                <w:rFonts w:asciiTheme="majorBidi" w:hAnsiTheme="majorBidi" w:cstheme="majorBidi"/>
                <w:sz w:val="20"/>
                <w:szCs w:val="20"/>
              </w:rPr>
              <w:t>darba</w:t>
            </w:r>
            <w:proofErr w:type="spellEnd"/>
            <w:r w:rsidRPr="006A5774">
              <w:rPr>
                <w:rFonts w:asciiTheme="majorBidi" w:hAnsiTheme="majorBidi" w:cstheme="majorBidi"/>
                <w:sz w:val="20"/>
                <w:szCs w:val="20"/>
              </w:rPr>
              <w:t xml:space="preserve"> </w:t>
            </w:r>
            <w:proofErr w:type="spellStart"/>
            <w:r w:rsidRPr="006A5774">
              <w:rPr>
                <w:rFonts w:asciiTheme="majorBidi" w:hAnsiTheme="majorBidi" w:cstheme="majorBidi"/>
                <w:sz w:val="20"/>
                <w:szCs w:val="20"/>
              </w:rPr>
              <w:t>un</w:t>
            </w:r>
            <w:proofErr w:type="spellEnd"/>
            <w:r w:rsidRPr="006A5774">
              <w:rPr>
                <w:rFonts w:asciiTheme="majorBidi" w:hAnsiTheme="majorBidi" w:cstheme="majorBidi"/>
                <w:sz w:val="20"/>
                <w:szCs w:val="20"/>
              </w:rPr>
              <w:t xml:space="preserve"> </w:t>
            </w:r>
            <w:proofErr w:type="spellStart"/>
            <w:r w:rsidRPr="006A5774">
              <w:rPr>
                <w:rFonts w:asciiTheme="majorBidi" w:hAnsiTheme="majorBidi" w:cstheme="majorBidi"/>
                <w:sz w:val="20"/>
                <w:szCs w:val="20"/>
              </w:rPr>
              <w:t>krimināllietās</w:t>
            </w:r>
            <w:proofErr w:type="spellEnd"/>
          </w:p>
        </w:tc>
        <w:tc>
          <w:tcPr>
            <w:tcW w:w="1878" w:type="dxa"/>
            <w:gridSpan w:val="2"/>
          </w:tcPr>
          <w:p w14:paraId="28E9BB6A" w14:textId="77777777" w:rsidR="00114953" w:rsidRPr="006A5774" w:rsidRDefault="00114953" w:rsidP="00BF3A72">
            <w:pPr>
              <w:jc w:val="center"/>
              <w:rPr>
                <w:rFonts w:asciiTheme="majorBidi" w:hAnsiTheme="majorBidi" w:cstheme="majorBidi"/>
                <w:sz w:val="20"/>
                <w:szCs w:val="20"/>
              </w:rPr>
            </w:pPr>
            <w:r w:rsidRPr="006A5774">
              <w:rPr>
                <w:rFonts w:asciiTheme="majorBidi" w:hAnsiTheme="majorBidi" w:cstheme="majorBidi"/>
                <w:sz w:val="20"/>
                <w:szCs w:val="20"/>
              </w:rPr>
              <w:t xml:space="preserve">13. </w:t>
            </w:r>
            <w:proofErr w:type="spellStart"/>
            <w:r w:rsidRPr="006A5774">
              <w:rPr>
                <w:rFonts w:asciiTheme="majorBidi" w:hAnsiTheme="majorBidi" w:cstheme="majorBidi"/>
                <w:sz w:val="20"/>
                <w:szCs w:val="20"/>
              </w:rPr>
              <w:t>pants</w:t>
            </w:r>
            <w:proofErr w:type="spellEnd"/>
          </w:p>
        </w:tc>
      </w:tr>
      <w:tr w:rsidR="00114953" w:rsidRPr="001A3712" w14:paraId="7062559F" w14:textId="77777777" w:rsidTr="00BF3A72">
        <w:tc>
          <w:tcPr>
            <w:tcW w:w="969" w:type="dxa"/>
            <w:gridSpan w:val="2"/>
          </w:tcPr>
          <w:p w14:paraId="68F48A4F" w14:textId="77777777" w:rsidR="00114953" w:rsidRPr="006A5774" w:rsidRDefault="00114953" w:rsidP="00BF3A72">
            <w:pPr>
              <w:jc w:val="center"/>
              <w:rPr>
                <w:rFonts w:asciiTheme="majorBidi" w:hAnsiTheme="majorBidi" w:cstheme="majorBidi"/>
                <w:sz w:val="20"/>
                <w:szCs w:val="20"/>
              </w:rPr>
            </w:pPr>
            <w:r w:rsidRPr="006A5774">
              <w:rPr>
                <w:rFonts w:asciiTheme="majorBidi" w:hAnsiTheme="majorBidi" w:cstheme="majorBidi"/>
                <w:sz w:val="20"/>
                <w:szCs w:val="20"/>
              </w:rPr>
              <w:t>8.</w:t>
            </w:r>
          </w:p>
        </w:tc>
        <w:tc>
          <w:tcPr>
            <w:tcW w:w="6510" w:type="dxa"/>
            <w:gridSpan w:val="2"/>
          </w:tcPr>
          <w:p w14:paraId="086ADE9B" w14:textId="77777777" w:rsidR="00114953" w:rsidRPr="006A5774" w:rsidRDefault="00114953" w:rsidP="00BF3A72">
            <w:pPr>
              <w:jc w:val="both"/>
              <w:rPr>
                <w:rFonts w:asciiTheme="majorBidi" w:hAnsiTheme="majorBidi" w:cstheme="majorBidi"/>
                <w:sz w:val="20"/>
                <w:szCs w:val="20"/>
              </w:rPr>
            </w:pPr>
            <w:r w:rsidRPr="006A5774">
              <w:rPr>
                <w:rFonts w:asciiTheme="majorBidi" w:hAnsiTheme="majorBidi" w:cstheme="majorBidi"/>
                <w:sz w:val="20"/>
                <w:szCs w:val="20"/>
              </w:rPr>
              <w:t xml:space="preserve">1997.gada 10.aprīļa </w:t>
            </w:r>
            <w:proofErr w:type="spellStart"/>
            <w:r w:rsidRPr="006A5774">
              <w:rPr>
                <w:rFonts w:asciiTheme="majorBidi" w:hAnsiTheme="majorBidi" w:cstheme="majorBidi"/>
                <w:sz w:val="20"/>
                <w:szCs w:val="20"/>
              </w:rPr>
              <w:t>Līgums</w:t>
            </w:r>
            <w:proofErr w:type="spellEnd"/>
            <w:r w:rsidRPr="006A5774">
              <w:rPr>
                <w:rFonts w:asciiTheme="majorBidi" w:hAnsiTheme="majorBidi" w:cstheme="majorBidi"/>
                <w:sz w:val="20"/>
                <w:szCs w:val="20"/>
              </w:rPr>
              <w:t xml:space="preserve"> </w:t>
            </w:r>
            <w:proofErr w:type="spellStart"/>
            <w:r w:rsidRPr="006A5774">
              <w:rPr>
                <w:rFonts w:asciiTheme="majorBidi" w:hAnsiTheme="majorBidi" w:cstheme="majorBidi"/>
                <w:sz w:val="20"/>
                <w:szCs w:val="20"/>
              </w:rPr>
              <w:t>starp</w:t>
            </w:r>
            <w:proofErr w:type="spellEnd"/>
            <w:r w:rsidRPr="006A5774">
              <w:rPr>
                <w:rFonts w:asciiTheme="majorBidi" w:hAnsiTheme="majorBidi" w:cstheme="majorBidi"/>
                <w:sz w:val="20"/>
                <w:szCs w:val="20"/>
              </w:rPr>
              <w:t xml:space="preserve"> Latvijas </w:t>
            </w:r>
            <w:proofErr w:type="spellStart"/>
            <w:r w:rsidRPr="006A5774">
              <w:rPr>
                <w:rFonts w:asciiTheme="majorBidi" w:hAnsiTheme="majorBidi" w:cstheme="majorBidi"/>
                <w:sz w:val="20"/>
                <w:szCs w:val="20"/>
              </w:rPr>
              <w:t>Republiku</w:t>
            </w:r>
            <w:proofErr w:type="spellEnd"/>
            <w:r w:rsidRPr="006A5774">
              <w:rPr>
                <w:rFonts w:asciiTheme="majorBidi" w:hAnsiTheme="majorBidi" w:cstheme="majorBidi"/>
                <w:sz w:val="20"/>
                <w:szCs w:val="20"/>
              </w:rPr>
              <w:t xml:space="preserve"> </w:t>
            </w:r>
            <w:proofErr w:type="spellStart"/>
            <w:r w:rsidRPr="006A5774">
              <w:rPr>
                <w:rFonts w:asciiTheme="majorBidi" w:hAnsiTheme="majorBidi" w:cstheme="majorBidi"/>
                <w:sz w:val="20"/>
                <w:szCs w:val="20"/>
              </w:rPr>
              <w:t>un</w:t>
            </w:r>
            <w:proofErr w:type="spellEnd"/>
            <w:r w:rsidRPr="006A5774">
              <w:rPr>
                <w:rFonts w:asciiTheme="majorBidi" w:hAnsiTheme="majorBidi" w:cstheme="majorBidi"/>
                <w:sz w:val="20"/>
                <w:szCs w:val="20"/>
              </w:rPr>
              <w:t xml:space="preserve"> </w:t>
            </w:r>
            <w:proofErr w:type="spellStart"/>
            <w:r w:rsidRPr="006A5774">
              <w:rPr>
                <w:rFonts w:asciiTheme="majorBidi" w:hAnsiTheme="majorBidi" w:cstheme="majorBidi"/>
                <w:sz w:val="20"/>
                <w:szCs w:val="20"/>
              </w:rPr>
              <w:t>Kirgizstānas</w:t>
            </w:r>
            <w:proofErr w:type="spellEnd"/>
            <w:r w:rsidRPr="006A5774">
              <w:rPr>
                <w:rFonts w:asciiTheme="majorBidi" w:hAnsiTheme="majorBidi" w:cstheme="majorBidi"/>
                <w:sz w:val="20"/>
                <w:szCs w:val="20"/>
              </w:rPr>
              <w:t xml:space="preserve"> </w:t>
            </w:r>
            <w:proofErr w:type="spellStart"/>
            <w:r w:rsidRPr="006A5774">
              <w:rPr>
                <w:rFonts w:asciiTheme="majorBidi" w:hAnsiTheme="majorBidi" w:cstheme="majorBidi"/>
                <w:sz w:val="20"/>
                <w:szCs w:val="20"/>
              </w:rPr>
              <w:t>Republiku</w:t>
            </w:r>
            <w:proofErr w:type="spellEnd"/>
            <w:r w:rsidRPr="006A5774">
              <w:rPr>
                <w:rFonts w:asciiTheme="majorBidi" w:hAnsiTheme="majorBidi" w:cstheme="majorBidi"/>
                <w:sz w:val="20"/>
                <w:szCs w:val="20"/>
              </w:rPr>
              <w:t xml:space="preserve"> par </w:t>
            </w:r>
            <w:proofErr w:type="spellStart"/>
            <w:r w:rsidRPr="006A5774">
              <w:rPr>
                <w:rFonts w:asciiTheme="majorBidi" w:hAnsiTheme="majorBidi" w:cstheme="majorBidi"/>
                <w:sz w:val="20"/>
                <w:szCs w:val="20"/>
              </w:rPr>
              <w:t>tiesisko</w:t>
            </w:r>
            <w:proofErr w:type="spellEnd"/>
            <w:r w:rsidRPr="006A5774">
              <w:rPr>
                <w:rFonts w:asciiTheme="majorBidi" w:hAnsiTheme="majorBidi" w:cstheme="majorBidi"/>
                <w:sz w:val="20"/>
                <w:szCs w:val="20"/>
              </w:rPr>
              <w:t xml:space="preserve"> </w:t>
            </w:r>
            <w:proofErr w:type="spellStart"/>
            <w:r w:rsidRPr="006A5774">
              <w:rPr>
                <w:rFonts w:asciiTheme="majorBidi" w:hAnsiTheme="majorBidi" w:cstheme="majorBidi"/>
                <w:sz w:val="20"/>
                <w:szCs w:val="20"/>
              </w:rPr>
              <w:t>palīdzību</w:t>
            </w:r>
            <w:proofErr w:type="spellEnd"/>
            <w:r w:rsidRPr="006A5774">
              <w:rPr>
                <w:rFonts w:asciiTheme="majorBidi" w:hAnsiTheme="majorBidi" w:cstheme="majorBidi"/>
                <w:sz w:val="20"/>
                <w:szCs w:val="20"/>
              </w:rPr>
              <w:t xml:space="preserve"> </w:t>
            </w:r>
            <w:proofErr w:type="spellStart"/>
            <w:r w:rsidRPr="006A5774">
              <w:rPr>
                <w:rFonts w:asciiTheme="majorBidi" w:hAnsiTheme="majorBidi" w:cstheme="majorBidi"/>
                <w:sz w:val="20"/>
                <w:szCs w:val="20"/>
              </w:rPr>
              <w:t>un</w:t>
            </w:r>
            <w:proofErr w:type="spellEnd"/>
            <w:r w:rsidRPr="006A5774">
              <w:rPr>
                <w:rFonts w:asciiTheme="majorBidi" w:hAnsiTheme="majorBidi" w:cstheme="majorBidi"/>
                <w:sz w:val="20"/>
                <w:szCs w:val="20"/>
              </w:rPr>
              <w:t xml:space="preserve"> </w:t>
            </w:r>
            <w:proofErr w:type="spellStart"/>
            <w:r w:rsidRPr="006A5774">
              <w:rPr>
                <w:rFonts w:asciiTheme="majorBidi" w:hAnsiTheme="majorBidi" w:cstheme="majorBidi"/>
                <w:sz w:val="20"/>
                <w:szCs w:val="20"/>
              </w:rPr>
              <w:t>tiesiskajām</w:t>
            </w:r>
            <w:proofErr w:type="spellEnd"/>
            <w:r w:rsidRPr="006A5774">
              <w:rPr>
                <w:rFonts w:asciiTheme="majorBidi" w:hAnsiTheme="majorBidi" w:cstheme="majorBidi"/>
                <w:sz w:val="20"/>
                <w:szCs w:val="20"/>
              </w:rPr>
              <w:t xml:space="preserve"> </w:t>
            </w:r>
            <w:proofErr w:type="spellStart"/>
            <w:r w:rsidRPr="006A5774">
              <w:rPr>
                <w:rFonts w:asciiTheme="majorBidi" w:hAnsiTheme="majorBidi" w:cstheme="majorBidi"/>
                <w:sz w:val="20"/>
                <w:szCs w:val="20"/>
              </w:rPr>
              <w:t>attiecībām</w:t>
            </w:r>
            <w:proofErr w:type="spellEnd"/>
            <w:r w:rsidRPr="006A5774">
              <w:rPr>
                <w:rFonts w:asciiTheme="majorBidi" w:hAnsiTheme="majorBidi" w:cstheme="majorBidi"/>
                <w:sz w:val="20"/>
                <w:szCs w:val="20"/>
              </w:rPr>
              <w:t xml:space="preserve"> </w:t>
            </w:r>
            <w:proofErr w:type="spellStart"/>
            <w:r w:rsidRPr="006A5774">
              <w:rPr>
                <w:rFonts w:asciiTheme="majorBidi" w:hAnsiTheme="majorBidi" w:cstheme="majorBidi"/>
                <w:sz w:val="20"/>
                <w:szCs w:val="20"/>
              </w:rPr>
              <w:t>civilajās</w:t>
            </w:r>
            <w:proofErr w:type="spellEnd"/>
            <w:r w:rsidRPr="006A5774">
              <w:rPr>
                <w:rFonts w:asciiTheme="majorBidi" w:hAnsiTheme="majorBidi" w:cstheme="majorBidi"/>
                <w:sz w:val="20"/>
                <w:szCs w:val="20"/>
              </w:rPr>
              <w:t xml:space="preserve">, </w:t>
            </w:r>
            <w:proofErr w:type="spellStart"/>
            <w:r w:rsidRPr="006A5774">
              <w:rPr>
                <w:rFonts w:asciiTheme="majorBidi" w:hAnsiTheme="majorBidi" w:cstheme="majorBidi"/>
                <w:sz w:val="20"/>
                <w:szCs w:val="20"/>
              </w:rPr>
              <w:t>ģimenes</w:t>
            </w:r>
            <w:proofErr w:type="spellEnd"/>
            <w:r w:rsidRPr="006A5774">
              <w:rPr>
                <w:rFonts w:asciiTheme="majorBidi" w:hAnsiTheme="majorBidi" w:cstheme="majorBidi"/>
                <w:sz w:val="20"/>
                <w:szCs w:val="20"/>
              </w:rPr>
              <w:t xml:space="preserve">, </w:t>
            </w:r>
            <w:proofErr w:type="spellStart"/>
            <w:r w:rsidRPr="006A5774">
              <w:rPr>
                <w:rFonts w:asciiTheme="majorBidi" w:hAnsiTheme="majorBidi" w:cstheme="majorBidi"/>
                <w:sz w:val="20"/>
                <w:szCs w:val="20"/>
              </w:rPr>
              <w:t>darba</w:t>
            </w:r>
            <w:proofErr w:type="spellEnd"/>
            <w:r w:rsidRPr="006A5774">
              <w:rPr>
                <w:rFonts w:asciiTheme="majorBidi" w:hAnsiTheme="majorBidi" w:cstheme="majorBidi"/>
                <w:sz w:val="20"/>
                <w:szCs w:val="20"/>
              </w:rPr>
              <w:t xml:space="preserve"> </w:t>
            </w:r>
            <w:proofErr w:type="spellStart"/>
            <w:r w:rsidRPr="006A5774">
              <w:rPr>
                <w:rFonts w:asciiTheme="majorBidi" w:hAnsiTheme="majorBidi" w:cstheme="majorBidi"/>
                <w:sz w:val="20"/>
                <w:szCs w:val="20"/>
              </w:rPr>
              <w:t>un</w:t>
            </w:r>
            <w:proofErr w:type="spellEnd"/>
            <w:r w:rsidRPr="006A5774">
              <w:rPr>
                <w:rFonts w:asciiTheme="majorBidi" w:hAnsiTheme="majorBidi" w:cstheme="majorBidi"/>
                <w:sz w:val="20"/>
                <w:szCs w:val="20"/>
              </w:rPr>
              <w:t xml:space="preserve"> </w:t>
            </w:r>
            <w:proofErr w:type="spellStart"/>
            <w:r w:rsidRPr="006A5774">
              <w:rPr>
                <w:rFonts w:asciiTheme="majorBidi" w:hAnsiTheme="majorBidi" w:cstheme="majorBidi"/>
                <w:sz w:val="20"/>
                <w:szCs w:val="20"/>
              </w:rPr>
              <w:t>krimināllietās</w:t>
            </w:r>
            <w:proofErr w:type="spellEnd"/>
          </w:p>
        </w:tc>
        <w:tc>
          <w:tcPr>
            <w:tcW w:w="1843" w:type="dxa"/>
            <w:gridSpan w:val="2"/>
          </w:tcPr>
          <w:p w14:paraId="06EA94FD" w14:textId="77777777" w:rsidR="00114953" w:rsidRPr="006A5774" w:rsidRDefault="00114953" w:rsidP="00BF3A72">
            <w:pPr>
              <w:jc w:val="center"/>
              <w:rPr>
                <w:rFonts w:asciiTheme="majorBidi" w:hAnsiTheme="majorBidi" w:cstheme="majorBidi"/>
                <w:sz w:val="20"/>
                <w:szCs w:val="20"/>
              </w:rPr>
            </w:pPr>
            <w:r w:rsidRPr="006A5774">
              <w:rPr>
                <w:rFonts w:asciiTheme="majorBidi" w:hAnsiTheme="majorBidi" w:cstheme="majorBidi"/>
                <w:sz w:val="20"/>
                <w:szCs w:val="20"/>
              </w:rPr>
              <w:t>13.pants</w:t>
            </w:r>
          </w:p>
        </w:tc>
      </w:tr>
      <w:tr w:rsidR="00114953" w:rsidRPr="001A3712" w14:paraId="7956FA7A" w14:textId="77777777" w:rsidTr="00BF3A72">
        <w:tc>
          <w:tcPr>
            <w:tcW w:w="969" w:type="dxa"/>
            <w:gridSpan w:val="2"/>
          </w:tcPr>
          <w:p w14:paraId="077B98F2" w14:textId="77777777" w:rsidR="00114953" w:rsidRPr="006A5774" w:rsidRDefault="00114953" w:rsidP="00BF3A72">
            <w:pPr>
              <w:jc w:val="center"/>
              <w:rPr>
                <w:rFonts w:asciiTheme="majorBidi" w:hAnsiTheme="majorBidi" w:cstheme="majorBidi"/>
                <w:sz w:val="20"/>
                <w:szCs w:val="20"/>
              </w:rPr>
            </w:pPr>
            <w:r w:rsidRPr="006A5774">
              <w:rPr>
                <w:rFonts w:asciiTheme="majorBidi" w:hAnsiTheme="majorBidi" w:cstheme="majorBidi"/>
                <w:sz w:val="20"/>
                <w:szCs w:val="20"/>
              </w:rPr>
              <w:t>9.</w:t>
            </w:r>
          </w:p>
        </w:tc>
        <w:tc>
          <w:tcPr>
            <w:tcW w:w="6510" w:type="dxa"/>
            <w:gridSpan w:val="2"/>
          </w:tcPr>
          <w:p w14:paraId="2BA729D9" w14:textId="77777777" w:rsidR="00114953" w:rsidRPr="006A5774" w:rsidRDefault="00114953" w:rsidP="00BF3A72">
            <w:pPr>
              <w:jc w:val="both"/>
              <w:rPr>
                <w:rFonts w:asciiTheme="majorBidi" w:hAnsiTheme="majorBidi" w:cstheme="majorBidi"/>
                <w:sz w:val="20"/>
                <w:szCs w:val="20"/>
              </w:rPr>
            </w:pPr>
            <w:r w:rsidRPr="006A5774">
              <w:rPr>
                <w:rFonts w:asciiTheme="majorBidi" w:hAnsiTheme="majorBidi" w:cstheme="majorBidi"/>
                <w:sz w:val="20"/>
                <w:szCs w:val="20"/>
              </w:rPr>
              <w:t xml:space="preserve">1996.gada 19.oktobra </w:t>
            </w:r>
            <w:proofErr w:type="spellStart"/>
            <w:r w:rsidRPr="006A5774">
              <w:rPr>
                <w:rFonts w:asciiTheme="majorBidi" w:hAnsiTheme="majorBidi" w:cstheme="majorBidi"/>
                <w:sz w:val="20"/>
                <w:szCs w:val="20"/>
              </w:rPr>
              <w:t>Hāgas</w:t>
            </w:r>
            <w:proofErr w:type="spellEnd"/>
            <w:r w:rsidRPr="006A5774">
              <w:rPr>
                <w:rFonts w:asciiTheme="majorBidi" w:hAnsiTheme="majorBidi" w:cstheme="majorBidi"/>
                <w:sz w:val="20"/>
                <w:szCs w:val="20"/>
              </w:rPr>
              <w:t xml:space="preserve"> </w:t>
            </w:r>
            <w:proofErr w:type="spellStart"/>
            <w:r w:rsidRPr="006A5774">
              <w:rPr>
                <w:rFonts w:asciiTheme="majorBidi" w:hAnsiTheme="majorBidi" w:cstheme="majorBidi"/>
                <w:sz w:val="20"/>
                <w:szCs w:val="20"/>
              </w:rPr>
              <w:t>konvencija</w:t>
            </w:r>
            <w:proofErr w:type="spellEnd"/>
            <w:r w:rsidRPr="006A5774">
              <w:rPr>
                <w:rFonts w:asciiTheme="majorBidi" w:hAnsiTheme="majorBidi" w:cstheme="majorBidi"/>
                <w:sz w:val="20"/>
                <w:szCs w:val="20"/>
              </w:rPr>
              <w:t xml:space="preserve"> par </w:t>
            </w:r>
            <w:proofErr w:type="spellStart"/>
            <w:r w:rsidRPr="006A5774">
              <w:rPr>
                <w:rFonts w:asciiTheme="majorBidi" w:hAnsiTheme="majorBidi" w:cstheme="majorBidi"/>
                <w:sz w:val="20"/>
                <w:szCs w:val="20"/>
              </w:rPr>
              <w:t>jurisdikciju</w:t>
            </w:r>
            <w:proofErr w:type="spellEnd"/>
            <w:r w:rsidRPr="006A5774">
              <w:rPr>
                <w:rFonts w:asciiTheme="majorBidi" w:hAnsiTheme="majorBidi" w:cstheme="majorBidi"/>
                <w:sz w:val="20"/>
                <w:szCs w:val="20"/>
              </w:rPr>
              <w:t xml:space="preserve">, </w:t>
            </w:r>
            <w:proofErr w:type="spellStart"/>
            <w:r w:rsidRPr="006A5774">
              <w:rPr>
                <w:rFonts w:asciiTheme="majorBidi" w:hAnsiTheme="majorBidi" w:cstheme="majorBidi"/>
                <w:sz w:val="20"/>
                <w:szCs w:val="20"/>
              </w:rPr>
              <w:t>piemērojamiem</w:t>
            </w:r>
            <w:proofErr w:type="spellEnd"/>
            <w:r w:rsidRPr="006A5774">
              <w:rPr>
                <w:rFonts w:asciiTheme="majorBidi" w:hAnsiTheme="majorBidi" w:cstheme="majorBidi"/>
                <w:sz w:val="20"/>
                <w:szCs w:val="20"/>
              </w:rPr>
              <w:t xml:space="preserve"> </w:t>
            </w:r>
            <w:proofErr w:type="spellStart"/>
            <w:r w:rsidRPr="006A5774">
              <w:rPr>
                <w:rFonts w:asciiTheme="majorBidi" w:hAnsiTheme="majorBidi" w:cstheme="majorBidi"/>
                <w:sz w:val="20"/>
                <w:szCs w:val="20"/>
              </w:rPr>
              <w:t>tiesību</w:t>
            </w:r>
            <w:proofErr w:type="spellEnd"/>
            <w:r w:rsidRPr="006A5774">
              <w:rPr>
                <w:rFonts w:asciiTheme="majorBidi" w:hAnsiTheme="majorBidi" w:cstheme="majorBidi"/>
                <w:sz w:val="20"/>
                <w:szCs w:val="20"/>
              </w:rPr>
              <w:t xml:space="preserve"> </w:t>
            </w:r>
            <w:proofErr w:type="spellStart"/>
            <w:r w:rsidRPr="006A5774">
              <w:rPr>
                <w:rFonts w:asciiTheme="majorBidi" w:hAnsiTheme="majorBidi" w:cstheme="majorBidi"/>
                <w:sz w:val="20"/>
                <w:szCs w:val="20"/>
              </w:rPr>
              <w:t>aktiem</w:t>
            </w:r>
            <w:proofErr w:type="spellEnd"/>
            <w:r w:rsidRPr="006A5774">
              <w:rPr>
                <w:rFonts w:asciiTheme="majorBidi" w:hAnsiTheme="majorBidi" w:cstheme="majorBidi"/>
                <w:sz w:val="20"/>
                <w:szCs w:val="20"/>
              </w:rPr>
              <w:t xml:space="preserve">, </w:t>
            </w:r>
            <w:proofErr w:type="spellStart"/>
            <w:r w:rsidRPr="006A5774">
              <w:rPr>
                <w:rFonts w:asciiTheme="majorBidi" w:hAnsiTheme="majorBidi" w:cstheme="majorBidi"/>
                <w:sz w:val="20"/>
                <w:szCs w:val="20"/>
              </w:rPr>
              <w:t>atzīšanu</w:t>
            </w:r>
            <w:proofErr w:type="spellEnd"/>
            <w:r w:rsidRPr="006A5774">
              <w:rPr>
                <w:rFonts w:asciiTheme="majorBidi" w:hAnsiTheme="majorBidi" w:cstheme="majorBidi"/>
                <w:sz w:val="20"/>
                <w:szCs w:val="20"/>
              </w:rPr>
              <w:t xml:space="preserve">, </w:t>
            </w:r>
            <w:proofErr w:type="spellStart"/>
            <w:r w:rsidRPr="006A5774">
              <w:rPr>
                <w:rFonts w:asciiTheme="majorBidi" w:hAnsiTheme="majorBidi" w:cstheme="majorBidi"/>
                <w:sz w:val="20"/>
                <w:szCs w:val="20"/>
              </w:rPr>
              <w:t>izpildi</w:t>
            </w:r>
            <w:proofErr w:type="spellEnd"/>
            <w:r w:rsidRPr="006A5774">
              <w:rPr>
                <w:rFonts w:asciiTheme="majorBidi" w:hAnsiTheme="majorBidi" w:cstheme="majorBidi"/>
                <w:sz w:val="20"/>
                <w:szCs w:val="20"/>
              </w:rPr>
              <w:t xml:space="preserve"> </w:t>
            </w:r>
            <w:proofErr w:type="spellStart"/>
            <w:r w:rsidRPr="006A5774">
              <w:rPr>
                <w:rFonts w:asciiTheme="majorBidi" w:hAnsiTheme="majorBidi" w:cstheme="majorBidi"/>
                <w:sz w:val="20"/>
                <w:szCs w:val="20"/>
              </w:rPr>
              <w:t>un</w:t>
            </w:r>
            <w:proofErr w:type="spellEnd"/>
            <w:r w:rsidRPr="006A5774">
              <w:rPr>
                <w:rFonts w:asciiTheme="majorBidi" w:hAnsiTheme="majorBidi" w:cstheme="majorBidi"/>
                <w:sz w:val="20"/>
                <w:szCs w:val="20"/>
              </w:rPr>
              <w:t xml:space="preserve"> </w:t>
            </w:r>
            <w:proofErr w:type="spellStart"/>
            <w:r w:rsidRPr="006A5774">
              <w:rPr>
                <w:rFonts w:asciiTheme="majorBidi" w:hAnsiTheme="majorBidi" w:cstheme="majorBidi"/>
                <w:sz w:val="20"/>
                <w:szCs w:val="20"/>
              </w:rPr>
              <w:t>sadarbību</w:t>
            </w:r>
            <w:proofErr w:type="spellEnd"/>
            <w:r w:rsidRPr="006A5774">
              <w:rPr>
                <w:rFonts w:asciiTheme="majorBidi" w:hAnsiTheme="majorBidi" w:cstheme="majorBidi"/>
                <w:sz w:val="20"/>
                <w:szCs w:val="20"/>
              </w:rPr>
              <w:t xml:space="preserve"> </w:t>
            </w:r>
            <w:proofErr w:type="spellStart"/>
            <w:r w:rsidRPr="006A5774">
              <w:rPr>
                <w:rFonts w:asciiTheme="majorBidi" w:hAnsiTheme="majorBidi" w:cstheme="majorBidi"/>
                <w:sz w:val="20"/>
                <w:szCs w:val="20"/>
              </w:rPr>
              <w:t>attiecībā</w:t>
            </w:r>
            <w:proofErr w:type="spellEnd"/>
            <w:r w:rsidRPr="006A5774">
              <w:rPr>
                <w:rFonts w:asciiTheme="majorBidi" w:hAnsiTheme="majorBidi" w:cstheme="majorBidi"/>
                <w:sz w:val="20"/>
                <w:szCs w:val="20"/>
              </w:rPr>
              <w:t xml:space="preserve"> </w:t>
            </w:r>
            <w:proofErr w:type="spellStart"/>
            <w:r w:rsidRPr="006A5774">
              <w:rPr>
                <w:rFonts w:asciiTheme="majorBidi" w:hAnsiTheme="majorBidi" w:cstheme="majorBidi"/>
                <w:sz w:val="20"/>
                <w:szCs w:val="20"/>
              </w:rPr>
              <w:t>uz</w:t>
            </w:r>
            <w:proofErr w:type="spellEnd"/>
            <w:r w:rsidRPr="006A5774">
              <w:rPr>
                <w:rFonts w:asciiTheme="majorBidi" w:hAnsiTheme="majorBidi" w:cstheme="majorBidi"/>
                <w:sz w:val="20"/>
                <w:szCs w:val="20"/>
              </w:rPr>
              <w:t xml:space="preserve"> </w:t>
            </w:r>
            <w:proofErr w:type="spellStart"/>
            <w:r w:rsidRPr="006A5774">
              <w:rPr>
                <w:rFonts w:asciiTheme="majorBidi" w:hAnsiTheme="majorBidi" w:cstheme="majorBidi"/>
                <w:sz w:val="20"/>
                <w:szCs w:val="20"/>
              </w:rPr>
              <w:t>bērnu</w:t>
            </w:r>
            <w:proofErr w:type="spellEnd"/>
            <w:r w:rsidRPr="006A5774">
              <w:rPr>
                <w:rFonts w:asciiTheme="majorBidi" w:hAnsiTheme="majorBidi" w:cstheme="majorBidi"/>
                <w:sz w:val="20"/>
                <w:szCs w:val="20"/>
              </w:rPr>
              <w:t xml:space="preserve"> </w:t>
            </w:r>
            <w:proofErr w:type="spellStart"/>
            <w:r w:rsidRPr="006A5774">
              <w:rPr>
                <w:rFonts w:asciiTheme="majorBidi" w:hAnsiTheme="majorBidi" w:cstheme="majorBidi"/>
                <w:sz w:val="20"/>
                <w:szCs w:val="20"/>
              </w:rPr>
              <w:t>aizsardzības</w:t>
            </w:r>
            <w:proofErr w:type="spellEnd"/>
            <w:r w:rsidRPr="006A5774">
              <w:rPr>
                <w:rFonts w:asciiTheme="majorBidi" w:hAnsiTheme="majorBidi" w:cstheme="majorBidi"/>
                <w:sz w:val="20"/>
                <w:szCs w:val="20"/>
              </w:rPr>
              <w:t xml:space="preserve"> </w:t>
            </w:r>
            <w:proofErr w:type="spellStart"/>
            <w:r w:rsidRPr="006A5774">
              <w:rPr>
                <w:rFonts w:asciiTheme="majorBidi" w:hAnsiTheme="majorBidi" w:cstheme="majorBidi"/>
                <w:sz w:val="20"/>
                <w:szCs w:val="20"/>
              </w:rPr>
              <w:t>pasākumiem</w:t>
            </w:r>
            <w:proofErr w:type="spellEnd"/>
          </w:p>
        </w:tc>
        <w:tc>
          <w:tcPr>
            <w:tcW w:w="1843" w:type="dxa"/>
            <w:gridSpan w:val="2"/>
          </w:tcPr>
          <w:p w14:paraId="46FD2A92" w14:textId="77777777" w:rsidR="00114953" w:rsidRPr="006A5774" w:rsidRDefault="00114953" w:rsidP="00BF3A72">
            <w:pPr>
              <w:jc w:val="center"/>
              <w:rPr>
                <w:rFonts w:asciiTheme="majorBidi" w:hAnsiTheme="majorBidi" w:cstheme="majorBidi"/>
                <w:sz w:val="20"/>
                <w:szCs w:val="20"/>
              </w:rPr>
            </w:pPr>
            <w:r w:rsidRPr="006A5774">
              <w:rPr>
                <w:rFonts w:asciiTheme="majorBidi" w:hAnsiTheme="majorBidi" w:cstheme="majorBidi"/>
                <w:sz w:val="20"/>
                <w:szCs w:val="20"/>
              </w:rPr>
              <w:t>43.pants</w:t>
            </w:r>
          </w:p>
        </w:tc>
      </w:tr>
      <w:tr w:rsidR="00114953" w:rsidRPr="001A3712" w14:paraId="5D29315C" w14:textId="77777777" w:rsidTr="00BF3A72">
        <w:tc>
          <w:tcPr>
            <w:tcW w:w="969" w:type="dxa"/>
            <w:gridSpan w:val="2"/>
          </w:tcPr>
          <w:p w14:paraId="18D4198D" w14:textId="77777777" w:rsidR="00114953" w:rsidRPr="006A5774" w:rsidRDefault="00114953" w:rsidP="00BF3A72">
            <w:pPr>
              <w:jc w:val="center"/>
              <w:rPr>
                <w:rFonts w:asciiTheme="majorBidi" w:hAnsiTheme="majorBidi" w:cstheme="majorBidi"/>
                <w:sz w:val="20"/>
                <w:szCs w:val="20"/>
              </w:rPr>
            </w:pPr>
            <w:r w:rsidRPr="006A5774">
              <w:rPr>
                <w:rFonts w:asciiTheme="majorBidi" w:hAnsiTheme="majorBidi" w:cstheme="majorBidi"/>
                <w:sz w:val="20"/>
                <w:szCs w:val="20"/>
              </w:rPr>
              <w:t>10.</w:t>
            </w:r>
          </w:p>
        </w:tc>
        <w:tc>
          <w:tcPr>
            <w:tcW w:w="6510" w:type="dxa"/>
            <w:gridSpan w:val="2"/>
          </w:tcPr>
          <w:p w14:paraId="1BE4FA2F" w14:textId="77777777" w:rsidR="00114953" w:rsidRPr="006A5774" w:rsidRDefault="00114953" w:rsidP="00BF3A72">
            <w:pPr>
              <w:jc w:val="both"/>
              <w:rPr>
                <w:rFonts w:asciiTheme="majorBidi" w:hAnsiTheme="majorBidi" w:cstheme="majorBidi"/>
                <w:sz w:val="20"/>
                <w:szCs w:val="20"/>
              </w:rPr>
            </w:pPr>
            <w:r w:rsidRPr="006A5774">
              <w:rPr>
                <w:rFonts w:asciiTheme="majorBidi" w:hAnsiTheme="majorBidi" w:cstheme="majorBidi"/>
                <w:sz w:val="20"/>
                <w:szCs w:val="20"/>
              </w:rPr>
              <w:t xml:space="preserve">1980.gada 25.oktobra </w:t>
            </w:r>
            <w:proofErr w:type="spellStart"/>
            <w:r w:rsidRPr="006A5774">
              <w:rPr>
                <w:rFonts w:asciiTheme="majorBidi" w:hAnsiTheme="majorBidi" w:cstheme="majorBidi"/>
                <w:sz w:val="20"/>
                <w:szCs w:val="20"/>
              </w:rPr>
              <w:t>Hāgas</w:t>
            </w:r>
            <w:proofErr w:type="spellEnd"/>
            <w:r w:rsidRPr="006A5774">
              <w:rPr>
                <w:rFonts w:asciiTheme="majorBidi" w:hAnsiTheme="majorBidi" w:cstheme="majorBidi"/>
                <w:sz w:val="20"/>
                <w:szCs w:val="20"/>
              </w:rPr>
              <w:t xml:space="preserve"> </w:t>
            </w:r>
            <w:proofErr w:type="spellStart"/>
            <w:r w:rsidRPr="006A5774">
              <w:rPr>
                <w:rFonts w:asciiTheme="majorBidi" w:hAnsiTheme="majorBidi" w:cstheme="majorBidi"/>
                <w:sz w:val="20"/>
                <w:szCs w:val="20"/>
              </w:rPr>
              <w:t>konvencija</w:t>
            </w:r>
            <w:proofErr w:type="spellEnd"/>
            <w:r w:rsidRPr="006A5774">
              <w:rPr>
                <w:rFonts w:asciiTheme="majorBidi" w:hAnsiTheme="majorBidi" w:cstheme="majorBidi"/>
                <w:sz w:val="20"/>
                <w:szCs w:val="20"/>
              </w:rPr>
              <w:t xml:space="preserve"> par </w:t>
            </w:r>
            <w:proofErr w:type="spellStart"/>
            <w:r w:rsidRPr="006A5774">
              <w:rPr>
                <w:rFonts w:asciiTheme="majorBidi" w:hAnsiTheme="majorBidi" w:cstheme="majorBidi"/>
                <w:sz w:val="20"/>
                <w:szCs w:val="20"/>
              </w:rPr>
              <w:t>starptautiskās</w:t>
            </w:r>
            <w:proofErr w:type="spellEnd"/>
            <w:r w:rsidRPr="006A5774">
              <w:rPr>
                <w:rFonts w:asciiTheme="majorBidi" w:hAnsiTheme="majorBidi" w:cstheme="majorBidi"/>
                <w:sz w:val="20"/>
                <w:szCs w:val="20"/>
              </w:rPr>
              <w:t xml:space="preserve"> </w:t>
            </w:r>
            <w:proofErr w:type="spellStart"/>
            <w:r w:rsidRPr="006A5774">
              <w:rPr>
                <w:rFonts w:asciiTheme="majorBidi" w:hAnsiTheme="majorBidi" w:cstheme="majorBidi"/>
                <w:sz w:val="20"/>
                <w:szCs w:val="20"/>
              </w:rPr>
              <w:t>bērnu</w:t>
            </w:r>
            <w:proofErr w:type="spellEnd"/>
            <w:r w:rsidRPr="006A5774">
              <w:rPr>
                <w:rFonts w:asciiTheme="majorBidi" w:hAnsiTheme="majorBidi" w:cstheme="majorBidi"/>
                <w:sz w:val="20"/>
                <w:szCs w:val="20"/>
              </w:rPr>
              <w:t xml:space="preserve"> </w:t>
            </w:r>
            <w:proofErr w:type="spellStart"/>
            <w:r w:rsidRPr="006A5774">
              <w:rPr>
                <w:rFonts w:asciiTheme="majorBidi" w:hAnsiTheme="majorBidi" w:cstheme="majorBidi"/>
                <w:sz w:val="20"/>
                <w:szCs w:val="20"/>
              </w:rPr>
              <w:t>nolaupīšanas</w:t>
            </w:r>
            <w:proofErr w:type="spellEnd"/>
            <w:r w:rsidRPr="006A5774">
              <w:rPr>
                <w:rFonts w:asciiTheme="majorBidi" w:hAnsiTheme="majorBidi" w:cstheme="majorBidi"/>
                <w:sz w:val="20"/>
                <w:szCs w:val="20"/>
              </w:rPr>
              <w:t xml:space="preserve"> </w:t>
            </w:r>
            <w:proofErr w:type="spellStart"/>
            <w:r w:rsidRPr="006A5774">
              <w:rPr>
                <w:rFonts w:asciiTheme="majorBidi" w:hAnsiTheme="majorBidi" w:cstheme="majorBidi"/>
                <w:sz w:val="20"/>
                <w:szCs w:val="20"/>
              </w:rPr>
              <w:t>civiltiesiskajiem</w:t>
            </w:r>
            <w:proofErr w:type="spellEnd"/>
            <w:r w:rsidRPr="006A5774">
              <w:rPr>
                <w:rFonts w:asciiTheme="majorBidi" w:hAnsiTheme="majorBidi" w:cstheme="majorBidi"/>
                <w:sz w:val="20"/>
                <w:szCs w:val="20"/>
              </w:rPr>
              <w:t xml:space="preserve"> </w:t>
            </w:r>
            <w:proofErr w:type="spellStart"/>
            <w:r w:rsidRPr="006A5774">
              <w:rPr>
                <w:rFonts w:asciiTheme="majorBidi" w:hAnsiTheme="majorBidi" w:cstheme="majorBidi"/>
                <w:sz w:val="20"/>
                <w:szCs w:val="20"/>
              </w:rPr>
              <w:t>aspektiem</w:t>
            </w:r>
            <w:proofErr w:type="spellEnd"/>
          </w:p>
        </w:tc>
        <w:tc>
          <w:tcPr>
            <w:tcW w:w="1843" w:type="dxa"/>
            <w:gridSpan w:val="2"/>
          </w:tcPr>
          <w:p w14:paraId="3A5EAD40" w14:textId="77777777" w:rsidR="00114953" w:rsidRPr="006A5774" w:rsidRDefault="00114953" w:rsidP="00BF3A72">
            <w:pPr>
              <w:jc w:val="center"/>
              <w:rPr>
                <w:rFonts w:asciiTheme="majorBidi" w:hAnsiTheme="majorBidi" w:cstheme="majorBidi"/>
                <w:sz w:val="20"/>
                <w:szCs w:val="20"/>
              </w:rPr>
            </w:pPr>
            <w:r w:rsidRPr="006A5774">
              <w:rPr>
                <w:rFonts w:asciiTheme="majorBidi" w:hAnsiTheme="majorBidi" w:cstheme="majorBidi"/>
                <w:sz w:val="20"/>
                <w:szCs w:val="20"/>
              </w:rPr>
              <w:t>23.pants</w:t>
            </w:r>
          </w:p>
        </w:tc>
      </w:tr>
      <w:tr w:rsidR="00114953" w:rsidRPr="001A3712" w14:paraId="36E36CB5" w14:textId="77777777" w:rsidTr="00BF3A72">
        <w:tc>
          <w:tcPr>
            <w:tcW w:w="969" w:type="dxa"/>
            <w:gridSpan w:val="2"/>
          </w:tcPr>
          <w:p w14:paraId="105790B5" w14:textId="77777777" w:rsidR="00114953" w:rsidRPr="006A5774" w:rsidRDefault="00114953" w:rsidP="00BF3A72">
            <w:pPr>
              <w:jc w:val="center"/>
              <w:rPr>
                <w:rFonts w:asciiTheme="majorBidi" w:hAnsiTheme="majorBidi" w:cstheme="majorBidi"/>
                <w:sz w:val="20"/>
                <w:szCs w:val="20"/>
              </w:rPr>
            </w:pPr>
            <w:r w:rsidRPr="006A5774">
              <w:rPr>
                <w:rFonts w:asciiTheme="majorBidi" w:hAnsiTheme="majorBidi" w:cstheme="majorBidi"/>
                <w:sz w:val="20"/>
                <w:szCs w:val="20"/>
              </w:rPr>
              <w:t>11.</w:t>
            </w:r>
          </w:p>
        </w:tc>
        <w:tc>
          <w:tcPr>
            <w:tcW w:w="6510" w:type="dxa"/>
            <w:gridSpan w:val="2"/>
          </w:tcPr>
          <w:p w14:paraId="0A573404" w14:textId="77777777" w:rsidR="00114953" w:rsidRPr="006A5774" w:rsidRDefault="00114953" w:rsidP="00BF3A72">
            <w:pPr>
              <w:jc w:val="both"/>
              <w:rPr>
                <w:rFonts w:asciiTheme="majorBidi" w:hAnsiTheme="majorBidi" w:cstheme="majorBidi"/>
                <w:sz w:val="20"/>
                <w:szCs w:val="20"/>
              </w:rPr>
            </w:pPr>
            <w:r w:rsidRPr="006A5774">
              <w:rPr>
                <w:rFonts w:asciiTheme="majorBidi" w:hAnsiTheme="majorBidi" w:cstheme="majorBidi"/>
                <w:sz w:val="20"/>
                <w:szCs w:val="20"/>
              </w:rPr>
              <w:t xml:space="preserve">2007.gada 23.novembra </w:t>
            </w:r>
            <w:proofErr w:type="spellStart"/>
            <w:r w:rsidRPr="006A5774">
              <w:rPr>
                <w:rFonts w:asciiTheme="majorBidi" w:hAnsiTheme="majorBidi" w:cstheme="majorBidi"/>
                <w:sz w:val="20"/>
                <w:szCs w:val="20"/>
              </w:rPr>
              <w:t>Hāgas</w:t>
            </w:r>
            <w:proofErr w:type="spellEnd"/>
            <w:r w:rsidRPr="006A5774">
              <w:rPr>
                <w:rFonts w:asciiTheme="majorBidi" w:hAnsiTheme="majorBidi" w:cstheme="majorBidi"/>
                <w:sz w:val="20"/>
                <w:szCs w:val="20"/>
              </w:rPr>
              <w:t xml:space="preserve"> </w:t>
            </w:r>
            <w:proofErr w:type="spellStart"/>
            <w:r w:rsidRPr="006A5774">
              <w:rPr>
                <w:rFonts w:asciiTheme="majorBidi" w:hAnsiTheme="majorBidi" w:cstheme="majorBidi"/>
                <w:sz w:val="20"/>
                <w:szCs w:val="20"/>
              </w:rPr>
              <w:t>konvencija</w:t>
            </w:r>
            <w:proofErr w:type="spellEnd"/>
            <w:r w:rsidRPr="006A5774">
              <w:rPr>
                <w:rFonts w:asciiTheme="majorBidi" w:hAnsiTheme="majorBidi" w:cstheme="majorBidi"/>
                <w:sz w:val="20"/>
                <w:szCs w:val="20"/>
              </w:rPr>
              <w:t xml:space="preserve"> par </w:t>
            </w:r>
            <w:proofErr w:type="spellStart"/>
            <w:r w:rsidRPr="006A5774">
              <w:rPr>
                <w:rFonts w:asciiTheme="majorBidi" w:hAnsiTheme="majorBidi" w:cstheme="majorBidi"/>
                <w:sz w:val="20"/>
                <w:szCs w:val="20"/>
              </w:rPr>
              <w:t>uzturlīdzekļu</w:t>
            </w:r>
            <w:proofErr w:type="spellEnd"/>
            <w:r w:rsidRPr="006A5774">
              <w:rPr>
                <w:rFonts w:asciiTheme="majorBidi" w:hAnsiTheme="majorBidi" w:cstheme="majorBidi"/>
                <w:sz w:val="20"/>
                <w:szCs w:val="20"/>
              </w:rPr>
              <w:t xml:space="preserve"> </w:t>
            </w:r>
            <w:proofErr w:type="spellStart"/>
            <w:r w:rsidRPr="006A5774">
              <w:rPr>
                <w:rFonts w:asciiTheme="majorBidi" w:hAnsiTheme="majorBidi" w:cstheme="majorBidi"/>
                <w:sz w:val="20"/>
                <w:szCs w:val="20"/>
              </w:rPr>
              <w:t>bērniem</w:t>
            </w:r>
            <w:proofErr w:type="spellEnd"/>
            <w:r w:rsidRPr="006A5774">
              <w:rPr>
                <w:rFonts w:asciiTheme="majorBidi" w:hAnsiTheme="majorBidi" w:cstheme="majorBidi"/>
                <w:sz w:val="20"/>
                <w:szCs w:val="20"/>
              </w:rPr>
              <w:t xml:space="preserve"> </w:t>
            </w:r>
            <w:proofErr w:type="spellStart"/>
            <w:r w:rsidRPr="006A5774">
              <w:rPr>
                <w:rFonts w:asciiTheme="majorBidi" w:hAnsiTheme="majorBidi" w:cstheme="majorBidi"/>
                <w:sz w:val="20"/>
                <w:szCs w:val="20"/>
              </w:rPr>
              <w:t>un</w:t>
            </w:r>
            <w:proofErr w:type="spellEnd"/>
            <w:r w:rsidRPr="006A5774">
              <w:rPr>
                <w:rFonts w:asciiTheme="majorBidi" w:hAnsiTheme="majorBidi" w:cstheme="majorBidi"/>
                <w:sz w:val="20"/>
                <w:szCs w:val="20"/>
              </w:rPr>
              <w:t xml:space="preserve"> </w:t>
            </w:r>
            <w:proofErr w:type="spellStart"/>
            <w:r w:rsidRPr="006A5774">
              <w:rPr>
                <w:rFonts w:asciiTheme="majorBidi" w:hAnsiTheme="majorBidi" w:cstheme="majorBidi"/>
                <w:sz w:val="20"/>
                <w:szCs w:val="20"/>
              </w:rPr>
              <w:t>cita</w:t>
            </w:r>
            <w:proofErr w:type="spellEnd"/>
            <w:r w:rsidRPr="006A5774">
              <w:rPr>
                <w:rFonts w:asciiTheme="majorBidi" w:hAnsiTheme="majorBidi" w:cstheme="majorBidi"/>
                <w:sz w:val="20"/>
                <w:szCs w:val="20"/>
              </w:rPr>
              <w:t xml:space="preserve"> </w:t>
            </w:r>
            <w:proofErr w:type="spellStart"/>
            <w:r w:rsidRPr="006A5774">
              <w:rPr>
                <w:rFonts w:asciiTheme="majorBidi" w:hAnsiTheme="majorBidi" w:cstheme="majorBidi"/>
                <w:sz w:val="20"/>
                <w:szCs w:val="20"/>
              </w:rPr>
              <w:t>veida</w:t>
            </w:r>
            <w:proofErr w:type="spellEnd"/>
            <w:r w:rsidRPr="006A5774">
              <w:rPr>
                <w:rFonts w:asciiTheme="majorBidi" w:hAnsiTheme="majorBidi" w:cstheme="majorBidi"/>
                <w:sz w:val="20"/>
                <w:szCs w:val="20"/>
              </w:rPr>
              <w:t xml:space="preserve"> </w:t>
            </w:r>
            <w:proofErr w:type="spellStart"/>
            <w:r w:rsidRPr="006A5774">
              <w:rPr>
                <w:rFonts w:asciiTheme="majorBidi" w:hAnsiTheme="majorBidi" w:cstheme="majorBidi"/>
                <w:sz w:val="20"/>
                <w:szCs w:val="20"/>
              </w:rPr>
              <w:t>ģimenes</w:t>
            </w:r>
            <w:proofErr w:type="spellEnd"/>
            <w:r w:rsidRPr="006A5774">
              <w:rPr>
                <w:rFonts w:asciiTheme="majorBidi" w:hAnsiTheme="majorBidi" w:cstheme="majorBidi"/>
                <w:sz w:val="20"/>
                <w:szCs w:val="20"/>
              </w:rPr>
              <w:t xml:space="preserve"> </w:t>
            </w:r>
            <w:proofErr w:type="spellStart"/>
            <w:r w:rsidRPr="006A5774">
              <w:rPr>
                <w:rFonts w:asciiTheme="majorBidi" w:hAnsiTheme="majorBidi" w:cstheme="majorBidi"/>
                <w:sz w:val="20"/>
                <w:szCs w:val="20"/>
              </w:rPr>
              <w:t>uzturēšanas</w:t>
            </w:r>
            <w:proofErr w:type="spellEnd"/>
            <w:r w:rsidRPr="006A5774">
              <w:rPr>
                <w:rFonts w:asciiTheme="majorBidi" w:hAnsiTheme="majorBidi" w:cstheme="majorBidi"/>
                <w:sz w:val="20"/>
                <w:szCs w:val="20"/>
              </w:rPr>
              <w:t xml:space="preserve"> </w:t>
            </w:r>
            <w:proofErr w:type="spellStart"/>
            <w:r w:rsidRPr="006A5774">
              <w:rPr>
                <w:rFonts w:asciiTheme="majorBidi" w:hAnsiTheme="majorBidi" w:cstheme="majorBidi"/>
                <w:sz w:val="20"/>
                <w:szCs w:val="20"/>
              </w:rPr>
              <w:t>līdzekļu</w:t>
            </w:r>
            <w:proofErr w:type="spellEnd"/>
            <w:r w:rsidRPr="006A5774">
              <w:rPr>
                <w:rFonts w:asciiTheme="majorBidi" w:hAnsiTheme="majorBidi" w:cstheme="majorBidi"/>
                <w:sz w:val="20"/>
                <w:szCs w:val="20"/>
              </w:rPr>
              <w:t xml:space="preserve"> </w:t>
            </w:r>
            <w:proofErr w:type="spellStart"/>
            <w:r w:rsidRPr="006A5774">
              <w:rPr>
                <w:rFonts w:asciiTheme="majorBidi" w:hAnsiTheme="majorBidi" w:cstheme="majorBidi"/>
                <w:sz w:val="20"/>
                <w:szCs w:val="20"/>
              </w:rPr>
              <w:t>pārrobežu</w:t>
            </w:r>
            <w:proofErr w:type="spellEnd"/>
            <w:r w:rsidRPr="006A5774">
              <w:rPr>
                <w:rFonts w:asciiTheme="majorBidi" w:hAnsiTheme="majorBidi" w:cstheme="majorBidi"/>
                <w:sz w:val="20"/>
                <w:szCs w:val="20"/>
              </w:rPr>
              <w:t xml:space="preserve"> </w:t>
            </w:r>
            <w:proofErr w:type="spellStart"/>
            <w:r w:rsidRPr="006A5774">
              <w:rPr>
                <w:rFonts w:asciiTheme="majorBidi" w:hAnsiTheme="majorBidi" w:cstheme="majorBidi"/>
                <w:sz w:val="20"/>
                <w:szCs w:val="20"/>
              </w:rPr>
              <w:t>piedziņu</w:t>
            </w:r>
            <w:proofErr w:type="spellEnd"/>
          </w:p>
        </w:tc>
        <w:tc>
          <w:tcPr>
            <w:tcW w:w="1843" w:type="dxa"/>
            <w:gridSpan w:val="2"/>
          </w:tcPr>
          <w:p w14:paraId="4E734323" w14:textId="77777777" w:rsidR="00114953" w:rsidRPr="006A5774" w:rsidRDefault="00114953" w:rsidP="00BF3A72">
            <w:pPr>
              <w:jc w:val="center"/>
              <w:rPr>
                <w:rFonts w:asciiTheme="majorBidi" w:hAnsiTheme="majorBidi" w:cstheme="majorBidi"/>
                <w:sz w:val="20"/>
                <w:szCs w:val="20"/>
              </w:rPr>
            </w:pPr>
            <w:r w:rsidRPr="006A5774">
              <w:rPr>
                <w:rFonts w:asciiTheme="majorBidi" w:hAnsiTheme="majorBidi" w:cstheme="majorBidi"/>
                <w:sz w:val="20"/>
                <w:szCs w:val="20"/>
              </w:rPr>
              <w:t>41.pants</w:t>
            </w:r>
          </w:p>
        </w:tc>
      </w:tr>
      <w:tr w:rsidR="00114953" w:rsidRPr="001A3712" w14:paraId="7EC48BC1" w14:textId="77777777" w:rsidTr="00BF3A72">
        <w:tc>
          <w:tcPr>
            <w:tcW w:w="969" w:type="dxa"/>
            <w:gridSpan w:val="2"/>
          </w:tcPr>
          <w:p w14:paraId="4DCE312C" w14:textId="77777777" w:rsidR="00114953" w:rsidRPr="006A5774" w:rsidRDefault="00114953" w:rsidP="00BF3A72">
            <w:pPr>
              <w:jc w:val="center"/>
              <w:rPr>
                <w:rFonts w:asciiTheme="majorBidi" w:hAnsiTheme="majorBidi" w:cstheme="majorBidi"/>
                <w:sz w:val="20"/>
                <w:szCs w:val="20"/>
              </w:rPr>
            </w:pPr>
            <w:r w:rsidRPr="006A5774">
              <w:rPr>
                <w:rFonts w:asciiTheme="majorBidi" w:hAnsiTheme="majorBidi" w:cstheme="majorBidi"/>
                <w:sz w:val="20"/>
                <w:szCs w:val="20"/>
              </w:rPr>
              <w:t>12.</w:t>
            </w:r>
          </w:p>
        </w:tc>
        <w:tc>
          <w:tcPr>
            <w:tcW w:w="6510" w:type="dxa"/>
            <w:gridSpan w:val="2"/>
          </w:tcPr>
          <w:p w14:paraId="7A414185" w14:textId="77777777" w:rsidR="00114953" w:rsidRPr="006A5774" w:rsidRDefault="00114953" w:rsidP="00BF3A72">
            <w:pPr>
              <w:jc w:val="both"/>
              <w:rPr>
                <w:rFonts w:asciiTheme="majorBidi" w:hAnsiTheme="majorBidi" w:cstheme="majorBidi"/>
                <w:sz w:val="20"/>
                <w:szCs w:val="20"/>
              </w:rPr>
            </w:pPr>
            <w:r w:rsidRPr="006A5774">
              <w:rPr>
                <w:rFonts w:asciiTheme="majorBidi" w:hAnsiTheme="majorBidi" w:cstheme="majorBidi"/>
                <w:sz w:val="20"/>
                <w:szCs w:val="20"/>
              </w:rPr>
              <w:t xml:space="preserve">2007.gada 30.oktobra Lugano </w:t>
            </w:r>
            <w:proofErr w:type="spellStart"/>
            <w:r w:rsidRPr="006A5774">
              <w:rPr>
                <w:rFonts w:asciiTheme="majorBidi" w:hAnsiTheme="majorBidi" w:cstheme="majorBidi"/>
                <w:sz w:val="20"/>
                <w:szCs w:val="20"/>
              </w:rPr>
              <w:t>konvencija</w:t>
            </w:r>
            <w:proofErr w:type="spellEnd"/>
            <w:r w:rsidRPr="006A5774">
              <w:rPr>
                <w:rFonts w:asciiTheme="majorBidi" w:hAnsiTheme="majorBidi" w:cstheme="majorBidi"/>
                <w:sz w:val="20"/>
                <w:szCs w:val="20"/>
              </w:rPr>
              <w:t xml:space="preserve"> par </w:t>
            </w:r>
            <w:proofErr w:type="spellStart"/>
            <w:r w:rsidRPr="006A5774">
              <w:rPr>
                <w:rFonts w:asciiTheme="majorBidi" w:hAnsiTheme="majorBidi" w:cstheme="majorBidi"/>
                <w:sz w:val="20"/>
                <w:szCs w:val="20"/>
              </w:rPr>
              <w:t>jurisdikciju</w:t>
            </w:r>
            <w:proofErr w:type="spellEnd"/>
            <w:r w:rsidRPr="006A5774">
              <w:rPr>
                <w:rFonts w:asciiTheme="majorBidi" w:hAnsiTheme="majorBidi" w:cstheme="majorBidi"/>
                <w:sz w:val="20"/>
                <w:szCs w:val="20"/>
              </w:rPr>
              <w:t xml:space="preserve"> </w:t>
            </w:r>
            <w:proofErr w:type="spellStart"/>
            <w:r w:rsidRPr="006A5774">
              <w:rPr>
                <w:rFonts w:asciiTheme="majorBidi" w:hAnsiTheme="majorBidi" w:cstheme="majorBidi"/>
                <w:sz w:val="20"/>
                <w:szCs w:val="20"/>
              </w:rPr>
              <w:t>un</w:t>
            </w:r>
            <w:proofErr w:type="spellEnd"/>
            <w:r w:rsidRPr="006A5774">
              <w:rPr>
                <w:rFonts w:asciiTheme="majorBidi" w:hAnsiTheme="majorBidi" w:cstheme="majorBidi"/>
                <w:sz w:val="20"/>
                <w:szCs w:val="20"/>
              </w:rPr>
              <w:t xml:space="preserve"> </w:t>
            </w:r>
            <w:proofErr w:type="spellStart"/>
            <w:r w:rsidRPr="006A5774">
              <w:rPr>
                <w:rFonts w:asciiTheme="majorBidi" w:hAnsiTheme="majorBidi" w:cstheme="majorBidi"/>
                <w:sz w:val="20"/>
                <w:szCs w:val="20"/>
              </w:rPr>
              <w:t>spriedumu</w:t>
            </w:r>
            <w:proofErr w:type="spellEnd"/>
            <w:r w:rsidRPr="006A5774">
              <w:rPr>
                <w:rFonts w:asciiTheme="majorBidi" w:hAnsiTheme="majorBidi" w:cstheme="majorBidi"/>
                <w:sz w:val="20"/>
                <w:szCs w:val="20"/>
              </w:rPr>
              <w:t xml:space="preserve"> </w:t>
            </w:r>
            <w:proofErr w:type="spellStart"/>
            <w:r w:rsidRPr="006A5774">
              <w:rPr>
                <w:rFonts w:asciiTheme="majorBidi" w:hAnsiTheme="majorBidi" w:cstheme="majorBidi"/>
                <w:sz w:val="20"/>
                <w:szCs w:val="20"/>
              </w:rPr>
              <w:t>atzīšanu</w:t>
            </w:r>
            <w:proofErr w:type="spellEnd"/>
            <w:r w:rsidRPr="006A5774">
              <w:rPr>
                <w:rFonts w:asciiTheme="majorBidi" w:hAnsiTheme="majorBidi" w:cstheme="majorBidi"/>
                <w:sz w:val="20"/>
                <w:szCs w:val="20"/>
              </w:rPr>
              <w:t xml:space="preserve"> </w:t>
            </w:r>
            <w:proofErr w:type="spellStart"/>
            <w:r w:rsidRPr="006A5774">
              <w:rPr>
                <w:rFonts w:asciiTheme="majorBidi" w:hAnsiTheme="majorBidi" w:cstheme="majorBidi"/>
                <w:sz w:val="20"/>
                <w:szCs w:val="20"/>
              </w:rPr>
              <w:t>un</w:t>
            </w:r>
            <w:proofErr w:type="spellEnd"/>
            <w:r w:rsidRPr="006A5774">
              <w:rPr>
                <w:rFonts w:asciiTheme="majorBidi" w:hAnsiTheme="majorBidi" w:cstheme="majorBidi"/>
                <w:sz w:val="20"/>
                <w:szCs w:val="20"/>
              </w:rPr>
              <w:t xml:space="preserve"> </w:t>
            </w:r>
            <w:proofErr w:type="spellStart"/>
            <w:r w:rsidRPr="006A5774">
              <w:rPr>
                <w:rFonts w:asciiTheme="majorBidi" w:hAnsiTheme="majorBidi" w:cstheme="majorBidi"/>
                <w:sz w:val="20"/>
                <w:szCs w:val="20"/>
              </w:rPr>
              <w:t>izpildi</w:t>
            </w:r>
            <w:proofErr w:type="spellEnd"/>
            <w:r w:rsidRPr="006A5774">
              <w:rPr>
                <w:rFonts w:asciiTheme="majorBidi" w:hAnsiTheme="majorBidi" w:cstheme="majorBidi"/>
                <w:sz w:val="20"/>
                <w:szCs w:val="20"/>
              </w:rPr>
              <w:t xml:space="preserve"> </w:t>
            </w:r>
            <w:proofErr w:type="spellStart"/>
            <w:r w:rsidRPr="006A5774">
              <w:rPr>
                <w:rFonts w:asciiTheme="majorBidi" w:hAnsiTheme="majorBidi" w:cstheme="majorBidi"/>
                <w:sz w:val="20"/>
                <w:szCs w:val="20"/>
              </w:rPr>
              <w:t>civillietās</w:t>
            </w:r>
            <w:proofErr w:type="spellEnd"/>
            <w:r w:rsidRPr="006A5774">
              <w:rPr>
                <w:rFonts w:asciiTheme="majorBidi" w:hAnsiTheme="majorBidi" w:cstheme="majorBidi"/>
                <w:sz w:val="20"/>
                <w:szCs w:val="20"/>
              </w:rPr>
              <w:t xml:space="preserve"> </w:t>
            </w:r>
            <w:proofErr w:type="spellStart"/>
            <w:r w:rsidRPr="006A5774">
              <w:rPr>
                <w:rFonts w:asciiTheme="majorBidi" w:hAnsiTheme="majorBidi" w:cstheme="majorBidi"/>
                <w:sz w:val="20"/>
                <w:szCs w:val="20"/>
              </w:rPr>
              <w:t>un</w:t>
            </w:r>
            <w:proofErr w:type="spellEnd"/>
            <w:r w:rsidRPr="006A5774">
              <w:rPr>
                <w:rFonts w:asciiTheme="majorBidi" w:hAnsiTheme="majorBidi" w:cstheme="majorBidi"/>
                <w:sz w:val="20"/>
                <w:szCs w:val="20"/>
              </w:rPr>
              <w:t xml:space="preserve"> </w:t>
            </w:r>
            <w:proofErr w:type="spellStart"/>
            <w:r w:rsidRPr="006A5774">
              <w:rPr>
                <w:rFonts w:asciiTheme="majorBidi" w:hAnsiTheme="majorBidi" w:cstheme="majorBidi"/>
                <w:sz w:val="20"/>
                <w:szCs w:val="20"/>
              </w:rPr>
              <w:t>komerclietās</w:t>
            </w:r>
            <w:proofErr w:type="spellEnd"/>
          </w:p>
        </w:tc>
        <w:tc>
          <w:tcPr>
            <w:tcW w:w="1843" w:type="dxa"/>
            <w:gridSpan w:val="2"/>
          </w:tcPr>
          <w:p w14:paraId="347B71AB" w14:textId="77777777" w:rsidR="00114953" w:rsidRPr="006A5774" w:rsidRDefault="00114953" w:rsidP="00BF3A72">
            <w:pPr>
              <w:jc w:val="center"/>
              <w:rPr>
                <w:rFonts w:asciiTheme="majorBidi" w:hAnsiTheme="majorBidi" w:cstheme="majorBidi"/>
                <w:sz w:val="20"/>
                <w:szCs w:val="20"/>
              </w:rPr>
            </w:pPr>
            <w:r w:rsidRPr="006A5774">
              <w:rPr>
                <w:rFonts w:asciiTheme="majorBidi" w:hAnsiTheme="majorBidi" w:cstheme="majorBidi"/>
                <w:sz w:val="20"/>
                <w:szCs w:val="20"/>
              </w:rPr>
              <w:t>56.pants</w:t>
            </w:r>
          </w:p>
        </w:tc>
      </w:tr>
      <w:tr w:rsidR="00114953" w:rsidRPr="001A3712" w14:paraId="1F9622EF" w14:textId="77777777" w:rsidTr="00BF3A72">
        <w:tc>
          <w:tcPr>
            <w:tcW w:w="954" w:type="dxa"/>
          </w:tcPr>
          <w:p w14:paraId="553254C3" w14:textId="77777777" w:rsidR="00114953" w:rsidRPr="006A5774" w:rsidRDefault="00114953" w:rsidP="00BF3A72">
            <w:pPr>
              <w:jc w:val="center"/>
              <w:rPr>
                <w:rFonts w:asciiTheme="majorBidi" w:hAnsiTheme="majorBidi" w:cstheme="majorBidi"/>
                <w:sz w:val="20"/>
                <w:szCs w:val="20"/>
              </w:rPr>
            </w:pPr>
            <w:r w:rsidRPr="006A5774">
              <w:rPr>
                <w:rFonts w:asciiTheme="majorBidi" w:hAnsiTheme="majorBidi" w:cstheme="majorBidi"/>
                <w:sz w:val="20"/>
                <w:szCs w:val="20"/>
              </w:rPr>
              <w:t>13.</w:t>
            </w:r>
          </w:p>
        </w:tc>
        <w:tc>
          <w:tcPr>
            <w:tcW w:w="6525" w:type="dxa"/>
            <w:gridSpan w:val="3"/>
          </w:tcPr>
          <w:p w14:paraId="06EA9B2E" w14:textId="77777777" w:rsidR="00114953" w:rsidRPr="006A5774" w:rsidRDefault="00114953" w:rsidP="00BF3A72">
            <w:pPr>
              <w:jc w:val="both"/>
              <w:rPr>
                <w:rFonts w:asciiTheme="majorBidi" w:hAnsiTheme="majorBidi" w:cstheme="majorBidi"/>
                <w:sz w:val="20"/>
                <w:szCs w:val="20"/>
              </w:rPr>
            </w:pPr>
            <w:r w:rsidRPr="006A5774">
              <w:rPr>
                <w:rFonts w:asciiTheme="majorBidi" w:hAnsiTheme="majorBidi" w:cstheme="majorBidi"/>
                <w:sz w:val="20"/>
                <w:szCs w:val="20"/>
              </w:rPr>
              <w:t xml:space="preserve">1987.gada 25.maija </w:t>
            </w:r>
            <w:proofErr w:type="spellStart"/>
            <w:r w:rsidRPr="006A5774">
              <w:rPr>
                <w:rFonts w:asciiTheme="majorBidi" w:hAnsiTheme="majorBidi" w:cstheme="majorBidi"/>
                <w:sz w:val="20"/>
                <w:szCs w:val="20"/>
              </w:rPr>
              <w:t>Konvencija</w:t>
            </w:r>
            <w:proofErr w:type="spellEnd"/>
            <w:r w:rsidRPr="006A5774">
              <w:rPr>
                <w:rFonts w:asciiTheme="majorBidi" w:hAnsiTheme="majorBidi" w:cstheme="majorBidi"/>
                <w:sz w:val="20"/>
                <w:szCs w:val="20"/>
              </w:rPr>
              <w:t xml:space="preserve"> par </w:t>
            </w:r>
            <w:proofErr w:type="spellStart"/>
            <w:r w:rsidRPr="006A5774">
              <w:rPr>
                <w:rFonts w:asciiTheme="majorBidi" w:hAnsiTheme="majorBidi" w:cstheme="majorBidi"/>
                <w:sz w:val="20"/>
                <w:szCs w:val="20"/>
              </w:rPr>
              <w:t>dokumentu</w:t>
            </w:r>
            <w:proofErr w:type="spellEnd"/>
            <w:r w:rsidRPr="006A5774">
              <w:rPr>
                <w:rFonts w:asciiTheme="majorBidi" w:hAnsiTheme="majorBidi" w:cstheme="majorBidi"/>
                <w:sz w:val="20"/>
                <w:szCs w:val="20"/>
              </w:rPr>
              <w:t xml:space="preserve"> </w:t>
            </w:r>
            <w:proofErr w:type="spellStart"/>
            <w:r w:rsidRPr="006A5774">
              <w:rPr>
                <w:rFonts w:asciiTheme="majorBidi" w:hAnsiTheme="majorBidi" w:cstheme="majorBidi"/>
                <w:sz w:val="20"/>
                <w:szCs w:val="20"/>
              </w:rPr>
              <w:t>legalizācijas</w:t>
            </w:r>
            <w:proofErr w:type="spellEnd"/>
            <w:r w:rsidRPr="006A5774">
              <w:rPr>
                <w:rFonts w:asciiTheme="majorBidi" w:hAnsiTheme="majorBidi" w:cstheme="majorBidi"/>
                <w:sz w:val="20"/>
                <w:szCs w:val="20"/>
              </w:rPr>
              <w:t xml:space="preserve"> </w:t>
            </w:r>
            <w:proofErr w:type="spellStart"/>
            <w:r w:rsidRPr="006A5774">
              <w:rPr>
                <w:rFonts w:asciiTheme="majorBidi" w:hAnsiTheme="majorBidi" w:cstheme="majorBidi"/>
                <w:sz w:val="20"/>
                <w:szCs w:val="20"/>
              </w:rPr>
              <w:t>atcelšanu</w:t>
            </w:r>
            <w:proofErr w:type="spellEnd"/>
            <w:r w:rsidRPr="006A5774">
              <w:rPr>
                <w:rFonts w:asciiTheme="majorBidi" w:hAnsiTheme="majorBidi" w:cstheme="majorBidi"/>
                <w:sz w:val="20"/>
                <w:szCs w:val="20"/>
              </w:rPr>
              <w:t xml:space="preserve"> </w:t>
            </w:r>
            <w:proofErr w:type="spellStart"/>
            <w:r w:rsidRPr="006A5774">
              <w:rPr>
                <w:rFonts w:asciiTheme="majorBidi" w:hAnsiTheme="majorBidi" w:cstheme="majorBidi"/>
                <w:sz w:val="20"/>
                <w:szCs w:val="20"/>
              </w:rPr>
              <w:t>Eiropas</w:t>
            </w:r>
            <w:proofErr w:type="spellEnd"/>
            <w:r w:rsidRPr="006A5774">
              <w:rPr>
                <w:rFonts w:asciiTheme="majorBidi" w:hAnsiTheme="majorBidi" w:cstheme="majorBidi"/>
                <w:sz w:val="20"/>
                <w:szCs w:val="20"/>
              </w:rPr>
              <w:t xml:space="preserve"> </w:t>
            </w:r>
            <w:proofErr w:type="spellStart"/>
            <w:r w:rsidRPr="006A5774">
              <w:rPr>
                <w:rFonts w:asciiTheme="majorBidi" w:hAnsiTheme="majorBidi" w:cstheme="majorBidi"/>
                <w:sz w:val="20"/>
                <w:szCs w:val="20"/>
              </w:rPr>
              <w:t>Kopienu</w:t>
            </w:r>
            <w:proofErr w:type="spellEnd"/>
            <w:r w:rsidRPr="006A5774">
              <w:rPr>
                <w:rFonts w:asciiTheme="majorBidi" w:hAnsiTheme="majorBidi" w:cstheme="majorBidi"/>
                <w:sz w:val="20"/>
                <w:szCs w:val="20"/>
              </w:rPr>
              <w:t xml:space="preserve"> </w:t>
            </w:r>
            <w:proofErr w:type="spellStart"/>
            <w:r w:rsidRPr="006A5774">
              <w:rPr>
                <w:rFonts w:asciiTheme="majorBidi" w:hAnsiTheme="majorBidi" w:cstheme="majorBidi"/>
                <w:sz w:val="20"/>
                <w:szCs w:val="20"/>
              </w:rPr>
              <w:t>dalībvalstu</w:t>
            </w:r>
            <w:proofErr w:type="spellEnd"/>
            <w:r w:rsidRPr="006A5774">
              <w:rPr>
                <w:rFonts w:asciiTheme="majorBidi" w:hAnsiTheme="majorBidi" w:cstheme="majorBidi"/>
                <w:sz w:val="20"/>
                <w:szCs w:val="20"/>
              </w:rPr>
              <w:t xml:space="preserve"> </w:t>
            </w:r>
            <w:proofErr w:type="spellStart"/>
            <w:r w:rsidRPr="006A5774">
              <w:rPr>
                <w:rFonts w:asciiTheme="majorBidi" w:hAnsiTheme="majorBidi" w:cstheme="majorBidi"/>
                <w:sz w:val="20"/>
                <w:szCs w:val="20"/>
              </w:rPr>
              <w:t>starpā</w:t>
            </w:r>
            <w:proofErr w:type="spellEnd"/>
          </w:p>
        </w:tc>
        <w:tc>
          <w:tcPr>
            <w:tcW w:w="1843" w:type="dxa"/>
            <w:gridSpan w:val="2"/>
          </w:tcPr>
          <w:p w14:paraId="714FDB1F" w14:textId="77777777" w:rsidR="00114953" w:rsidRPr="006A5774" w:rsidRDefault="00114953" w:rsidP="00BF3A72">
            <w:pPr>
              <w:jc w:val="center"/>
              <w:rPr>
                <w:rFonts w:asciiTheme="majorBidi" w:hAnsiTheme="majorBidi" w:cstheme="majorBidi"/>
                <w:sz w:val="20"/>
                <w:szCs w:val="20"/>
              </w:rPr>
            </w:pPr>
            <w:r w:rsidRPr="006A5774">
              <w:rPr>
                <w:rFonts w:asciiTheme="majorBidi" w:hAnsiTheme="majorBidi" w:cstheme="majorBidi"/>
                <w:sz w:val="20"/>
                <w:szCs w:val="20"/>
              </w:rPr>
              <w:t xml:space="preserve">1.- 4.pants </w:t>
            </w:r>
          </w:p>
        </w:tc>
      </w:tr>
    </w:tbl>
    <w:p w14:paraId="5DC6E93D" w14:textId="77777777" w:rsidR="00114953" w:rsidRPr="001A3712" w:rsidRDefault="00114953" w:rsidP="00114953">
      <w:pPr>
        <w:jc w:val="both"/>
        <w:rPr>
          <w:rFonts w:asciiTheme="majorBidi" w:hAnsiTheme="majorBidi" w:cstheme="majorBidi"/>
        </w:rPr>
      </w:pPr>
    </w:p>
    <w:p w14:paraId="32EEAEC4" w14:textId="77777777" w:rsidR="00114953" w:rsidRPr="001A3712" w:rsidRDefault="00114953" w:rsidP="00114953">
      <w:pPr>
        <w:ind w:firstLine="708"/>
        <w:jc w:val="both"/>
        <w:rPr>
          <w:rFonts w:asciiTheme="majorBidi" w:hAnsiTheme="majorBidi" w:cstheme="majorBidi"/>
        </w:rPr>
      </w:pPr>
      <w:proofErr w:type="spellStart"/>
      <w:r w:rsidRPr="001A3712">
        <w:rPr>
          <w:rFonts w:asciiTheme="majorBidi" w:hAnsiTheme="majorBidi" w:cstheme="majorBidi"/>
        </w:rPr>
        <w:t>Konkrētu</w:t>
      </w:r>
      <w:proofErr w:type="spellEnd"/>
      <w:r w:rsidRPr="001A3712">
        <w:rPr>
          <w:rFonts w:asciiTheme="majorBidi" w:hAnsiTheme="majorBidi" w:cstheme="majorBidi"/>
        </w:rPr>
        <w:t xml:space="preserve"> </w:t>
      </w:r>
      <w:proofErr w:type="spellStart"/>
      <w:r w:rsidRPr="001A3712">
        <w:rPr>
          <w:rFonts w:asciiTheme="majorBidi" w:hAnsiTheme="majorBidi" w:cstheme="majorBidi"/>
        </w:rPr>
        <w:t>dokumentu</w:t>
      </w:r>
      <w:proofErr w:type="spellEnd"/>
      <w:r w:rsidRPr="001A3712">
        <w:rPr>
          <w:rFonts w:asciiTheme="majorBidi" w:hAnsiTheme="majorBidi" w:cstheme="majorBidi"/>
        </w:rPr>
        <w:t xml:space="preserve"> </w:t>
      </w:r>
      <w:proofErr w:type="spellStart"/>
      <w:r w:rsidRPr="001A3712">
        <w:rPr>
          <w:rFonts w:asciiTheme="majorBidi" w:hAnsiTheme="majorBidi" w:cstheme="majorBidi"/>
        </w:rPr>
        <w:t>legalizācijas</w:t>
      </w:r>
      <w:proofErr w:type="spellEnd"/>
      <w:r w:rsidRPr="001A3712">
        <w:rPr>
          <w:rFonts w:asciiTheme="majorBidi" w:hAnsiTheme="majorBidi" w:cstheme="majorBidi"/>
        </w:rPr>
        <w:t xml:space="preserve"> </w:t>
      </w:r>
      <w:proofErr w:type="spellStart"/>
      <w:r w:rsidRPr="001A3712">
        <w:rPr>
          <w:rFonts w:asciiTheme="majorBidi" w:hAnsiTheme="majorBidi" w:cstheme="majorBidi"/>
        </w:rPr>
        <w:t>atcelšana</w:t>
      </w:r>
      <w:proofErr w:type="spellEnd"/>
      <w:r w:rsidRPr="001A3712">
        <w:rPr>
          <w:rFonts w:asciiTheme="majorBidi" w:hAnsiTheme="majorBidi" w:cstheme="majorBidi"/>
        </w:rPr>
        <w:t xml:space="preserve"> </w:t>
      </w:r>
      <w:proofErr w:type="spellStart"/>
      <w:r w:rsidRPr="001A3712">
        <w:rPr>
          <w:rFonts w:asciiTheme="majorBidi" w:hAnsiTheme="majorBidi" w:cstheme="majorBidi"/>
        </w:rPr>
        <w:t>ir</w:t>
      </w:r>
      <w:proofErr w:type="spellEnd"/>
      <w:r w:rsidRPr="001A3712">
        <w:rPr>
          <w:rFonts w:asciiTheme="majorBidi" w:hAnsiTheme="majorBidi" w:cstheme="majorBidi"/>
        </w:rPr>
        <w:t xml:space="preserve"> </w:t>
      </w:r>
      <w:proofErr w:type="spellStart"/>
      <w:r w:rsidRPr="001A3712">
        <w:rPr>
          <w:rFonts w:asciiTheme="majorBidi" w:hAnsiTheme="majorBidi" w:cstheme="majorBidi"/>
        </w:rPr>
        <w:t>paredzēta</w:t>
      </w:r>
      <w:proofErr w:type="spellEnd"/>
      <w:r w:rsidRPr="001A3712">
        <w:rPr>
          <w:rFonts w:asciiTheme="majorBidi" w:hAnsiTheme="majorBidi" w:cstheme="majorBidi"/>
        </w:rPr>
        <w:t xml:space="preserve"> </w:t>
      </w:r>
      <w:proofErr w:type="spellStart"/>
      <w:r w:rsidRPr="001A3712">
        <w:rPr>
          <w:rFonts w:asciiTheme="majorBidi" w:hAnsiTheme="majorBidi" w:cstheme="majorBidi"/>
        </w:rPr>
        <w:t>arī</w:t>
      </w:r>
      <w:proofErr w:type="spellEnd"/>
      <w:r w:rsidRPr="001A3712">
        <w:rPr>
          <w:rFonts w:asciiTheme="majorBidi" w:hAnsiTheme="majorBidi" w:cstheme="majorBidi"/>
        </w:rPr>
        <w:t xml:space="preserve"> </w:t>
      </w:r>
      <w:r w:rsidRPr="001A3712">
        <w:rPr>
          <w:rFonts w:asciiTheme="majorBidi" w:hAnsiTheme="majorBidi" w:cstheme="majorBidi"/>
          <w:b/>
          <w:bCs/>
        </w:rPr>
        <w:t xml:space="preserve">ES </w:t>
      </w:r>
      <w:proofErr w:type="spellStart"/>
      <w:proofErr w:type="gramStart"/>
      <w:r w:rsidRPr="001A3712">
        <w:rPr>
          <w:rFonts w:asciiTheme="majorBidi" w:hAnsiTheme="majorBidi" w:cstheme="majorBidi"/>
          <w:b/>
          <w:bCs/>
        </w:rPr>
        <w:t>regulās</w:t>
      </w:r>
      <w:proofErr w:type="spellEnd"/>
      <w:r w:rsidRPr="001A3712">
        <w:rPr>
          <w:rFonts w:asciiTheme="majorBidi" w:hAnsiTheme="majorBidi" w:cstheme="majorBidi"/>
        </w:rPr>
        <w:t>:</w:t>
      </w:r>
      <w:proofErr w:type="gramEnd"/>
      <w:r w:rsidRPr="001A3712">
        <w:rPr>
          <w:rFonts w:asciiTheme="majorBidi" w:hAnsiTheme="majorBidi" w:cstheme="majorBidi"/>
        </w:rPr>
        <w:t xml:space="preserve"> </w:t>
      </w:r>
      <w:proofErr w:type="spellStart"/>
      <w:r w:rsidRPr="001A3712">
        <w:rPr>
          <w:rFonts w:asciiTheme="majorBidi" w:hAnsiTheme="majorBidi" w:cstheme="majorBidi"/>
        </w:rPr>
        <w:t>piemēram</w:t>
      </w:r>
      <w:proofErr w:type="spellEnd"/>
      <w:r w:rsidRPr="001A3712">
        <w:rPr>
          <w:rFonts w:asciiTheme="majorBidi" w:hAnsiTheme="majorBidi" w:cstheme="majorBidi"/>
        </w:rPr>
        <w:t xml:space="preserve">, </w:t>
      </w:r>
      <w:proofErr w:type="spellStart"/>
      <w:r>
        <w:rPr>
          <w:rFonts w:asciiTheme="majorBidi" w:hAnsiTheme="majorBidi" w:cstheme="majorBidi"/>
        </w:rPr>
        <w:t>Eiropas</w:t>
      </w:r>
      <w:proofErr w:type="spellEnd"/>
      <w:r>
        <w:rPr>
          <w:rFonts w:asciiTheme="majorBidi" w:hAnsiTheme="majorBidi" w:cstheme="majorBidi"/>
        </w:rPr>
        <w:t xml:space="preserve"> </w:t>
      </w:r>
      <w:proofErr w:type="spellStart"/>
      <w:r>
        <w:rPr>
          <w:rFonts w:asciiTheme="majorBidi" w:hAnsiTheme="majorBidi" w:cstheme="majorBidi"/>
        </w:rPr>
        <w:t>Parlamenta</w:t>
      </w:r>
      <w:proofErr w:type="spellEnd"/>
      <w:r>
        <w:rPr>
          <w:rFonts w:asciiTheme="majorBidi" w:hAnsiTheme="majorBidi" w:cstheme="majorBidi"/>
        </w:rPr>
        <w:t xml:space="preserve"> un </w:t>
      </w:r>
      <w:proofErr w:type="spellStart"/>
      <w:r>
        <w:rPr>
          <w:rFonts w:asciiTheme="majorBidi" w:hAnsiTheme="majorBidi" w:cstheme="majorBidi"/>
        </w:rPr>
        <w:t>Padomes</w:t>
      </w:r>
      <w:proofErr w:type="spellEnd"/>
      <w:r>
        <w:rPr>
          <w:rFonts w:asciiTheme="majorBidi" w:hAnsiTheme="majorBidi" w:cstheme="majorBidi"/>
        </w:rPr>
        <w:t xml:space="preserve"> </w:t>
      </w:r>
      <w:proofErr w:type="spellStart"/>
      <w:r w:rsidRPr="00F136EA">
        <w:rPr>
          <w:rFonts w:asciiTheme="majorBidi" w:hAnsiTheme="majorBidi" w:cstheme="majorBidi"/>
        </w:rPr>
        <w:t>Regulas</w:t>
      </w:r>
      <w:proofErr w:type="spellEnd"/>
      <w:r w:rsidRPr="00F136EA">
        <w:rPr>
          <w:rFonts w:asciiTheme="majorBidi" w:hAnsiTheme="majorBidi" w:cstheme="majorBidi"/>
        </w:rPr>
        <w:t xml:space="preserve"> (ES) Nr. 1215/2012</w:t>
      </w:r>
      <w:r>
        <w:rPr>
          <w:rFonts w:asciiTheme="majorBidi" w:hAnsiTheme="majorBidi" w:cstheme="majorBidi"/>
        </w:rPr>
        <w:t xml:space="preserve"> (2012.gada </w:t>
      </w:r>
      <w:proofErr w:type="gramStart"/>
      <w:r>
        <w:rPr>
          <w:rFonts w:asciiTheme="majorBidi" w:hAnsiTheme="majorBidi" w:cstheme="majorBidi"/>
        </w:rPr>
        <w:t>12.decembris</w:t>
      </w:r>
      <w:proofErr w:type="gramEnd"/>
      <w:r>
        <w:rPr>
          <w:rFonts w:asciiTheme="majorBidi" w:hAnsiTheme="majorBidi" w:cstheme="majorBidi"/>
        </w:rPr>
        <w:t xml:space="preserve">) par </w:t>
      </w:r>
      <w:proofErr w:type="spellStart"/>
      <w:r>
        <w:rPr>
          <w:rFonts w:asciiTheme="majorBidi" w:hAnsiTheme="majorBidi" w:cstheme="majorBidi"/>
        </w:rPr>
        <w:t>jurisdikciju</w:t>
      </w:r>
      <w:proofErr w:type="spellEnd"/>
      <w:r>
        <w:rPr>
          <w:rFonts w:asciiTheme="majorBidi" w:hAnsiTheme="majorBidi" w:cstheme="majorBidi"/>
        </w:rPr>
        <w:t xml:space="preserve"> un </w:t>
      </w:r>
      <w:proofErr w:type="spellStart"/>
      <w:r>
        <w:rPr>
          <w:rFonts w:asciiTheme="majorBidi" w:hAnsiTheme="majorBidi" w:cstheme="majorBidi"/>
        </w:rPr>
        <w:t>spriedumu</w:t>
      </w:r>
      <w:proofErr w:type="spellEnd"/>
      <w:r>
        <w:rPr>
          <w:rFonts w:asciiTheme="majorBidi" w:hAnsiTheme="majorBidi" w:cstheme="majorBidi"/>
        </w:rPr>
        <w:t xml:space="preserve"> </w:t>
      </w:r>
      <w:proofErr w:type="spellStart"/>
      <w:r>
        <w:rPr>
          <w:rFonts w:asciiTheme="majorBidi" w:hAnsiTheme="majorBidi" w:cstheme="majorBidi"/>
        </w:rPr>
        <w:t>atzīšanu</w:t>
      </w:r>
      <w:proofErr w:type="spellEnd"/>
      <w:r>
        <w:rPr>
          <w:rFonts w:asciiTheme="majorBidi" w:hAnsiTheme="majorBidi" w:cstheme="majorBidi"/>
        </w:rPr>
        <w:t xml:space="preserve"> un </w:t>
      </w:r>
      <w:proofErr w:type="spellStart"/>
      <w:r>
        <w:rPr>
          <w:rFonts w:asciiTheme="majorBidi" w:hAnsiTheme="majorBidi" w:cstheme="majorBidi"/>
        </w:rPr>
        <w:t>izpildi</w:t>
      </w:r>
      <w:proofErr w:type="spellEnd"/>
      <w:r>
        <w:rPr>
          <w:rFonts w:asciiTheme="majorBidi" w:hAnsiTheme="majorBidi" w:cstheme="majorBidi"/>
        </w:rPr>
        <w:t xml:space="preserve"> </w:t>
      </w:r>
      <w:proofErr w:type="spellStart"/>
      <w:r>
        <w:rPr>
          <w:rFonts w:asciiTheme="majorBidi" w:hAnsiTheme="majorBidi" w:cstheme="majorBidi"/>
        </w:rPr>
        <w:t>civillietās</w:t>
      </w:r>
      <w:proofErr w:type="spellEnd"/>
      <w:r>
        <w:rPr>
          <w:rFonts w:asciiTheme="majorBidi" w:hAnsiTheme="majorBidi" w:cstheme="majorBidi"/>
        </w:rPr>
        <w:t xml:space="preserve"> un </w:t>
      </w:r>
      <w:proofErr w:type="spellStart"/>
      <w:r>
        <w:rPr>
          <w:rFonts w:asciiTheme="majorBidi" w:hAnsiTheme="majorBidi" w:cstheme="majorBidi"/>
        </w:rPr>
        <w:t>komerclietās</w:t>
      </w:r>
      <w:proofErr w:type="spellEnd"/>
      <w:r>
        <w:rPr>
          <w:rStyle w:val="FootnoteReference"/>
          <w:rFonts w:asciiTheme="majorBidi" w:hAnsiTheme="majorBidi" w:cstheme="majorBidi"/>
        </w:rPr>
        <w:footnoteReference w:id="140"/>
      </w:r>
      <w:r w:rsidRPr="00F136EA">
        <w:rPr>
          <w:rFonts w:asciiTheme="majorBidi" w:hAnsiTheme="majorBidi" w:cstheme="majorBidi"/>
        </w:rPr>
        <w:t xml:space="preserve"> 61.pants</w:t>
      </w:r>
      <w:r w:rsidRPr="00FD1D1F">
        <w:rPr>
          <w:rFonts w:asciiTheme="majorBidi" w:hAnsiTheme="majorBidi" w:cstheme="majorBidi"/>
        </w:rPr>
        <w:t xml:space="preserve">; </w:t>
      </w:r>
      <w:proofErr w:type="spellStart"/>
      <w:r w:rsidRPr="00FD1D1F">
        <w:rPr>
          <w:rFonts w:asciiTheme="majorBidi" w:hAnsiTheme="majorBidi" w:cstheme="majorBidi"/>
        </w:rPr>
        <w:t>Padomes</w:t>
      </w:r>
      <w:proofErr w:type="spellEnd"/>
      <w:r w:rsidRPr="00FD1D1F">
        <w:rPr>
          <w:rFonts w:asciiTheme="majorBidi" w:hAnsiTheme="majorBidi" w:cstheme="majorBidi"/>
        </w:rPr>
        <w:t xml:space="preserve"> </w:t>
      </w:r>
      <w:proofErr w:type="spellStart"/>
      <w:r w:rsidRPr="00FD1D1F">
        <w:rPr>
          <w:rFonts w:asciiTheme="majorBidi" w:hAnsiTheme="majorBidi" w:cstheme="majorBidi"/>
        </w:rPr>
        <w:t>Regulas</w:t>
      </w:r>
      <w:proofErr w:type="spellEnd"/>
      <w:r w:rsidRPr="00FD1D1F">
        <w:rPr>
          <w:rFonts w:asciiTheme="majorBidi" w:hAnsiTheme="majorBidi" w:cstheme="majorBidi"/>
        </w:rPr>
        <w:t xml:space="preserve"> (EK) Nr. 4/2009 (2008.gada </w:t>
      </w:r>
      <w:proofErr w:type="gramStart"/>
      <w:r w:rsidRPr="00FD1D1F">
        <w:rPr>
          <w:rFonts w:asciiTheme="majorBidi" w:hAnsiTheme="majorBidi" w:cstheme="majorBidi"/>
        </w:rPr>
        <w:t>18.decembris</w:t>
      </w:r>
      <w:proofErr w:type="gramEnd"/>
      <w:r w:rsidRPr="00FD1D1F">
        <w:rPr>
          <w:rFonts w:asciiTheme="majorBidi" w:hAnsiTheme="majorBidi" w:cstheme="majorBidi"/>
        </w:rPr>
        <w:t xml:space="preserve">) par </w:t>
      </w:r>
      <w:proofErr w:type="spellStart"/>
      <w:r w:rsidRPr="00FD1D1F">
        <w:rPr>
          <w:rFonts w:asciiTheme="majorBidi" w:hAnsiTheme="majorBidi" w:cstheme="majorBidi"/>
        </w:rPr>
        <w:t>jurisdikciju</w:t>
      </w:r>
      <w:proofErr w:type="spellEnd"/>
      <w:r w:rsidRPr="00FD1D1F">
        <w:rPr>
          <w:rFonts w:asciiTheme="majorBidi" w:hAnsiTheme="majorBidi" w:cstheme="majorBidi"/>
        </w:rPr>
        <w:t xml:space="preserve">, </w:t>
      </w:r>
      <w:proofErr w:type="spellStart"/>
      <w:r w:rsidRPr="00FD1D1F">
        <w:rPr>
          <w:rFonts w:asciiTheme="majorBidi" w:hAnsiTheme="majorBidi" w:cstheme="majorBidi"/>
        </w:rPr>
        <w:t>piemērojamiem</w:t>
      </w:r>
      <w:proofErr w:type="spellEnd"/>
      <w:r w:rsidRPr="00FD1D1F">
        <w:rPr>
          <w:rFonts w:asciiTheme="majorBidi" w:hAnsiTheme="majorBidi" w:cstheme="majorBidi"/>
        </w:rPr>
        <w:t xml:space="preserve"> </w:t>
      </w:r>
      <w:proofErr w:type="spellStart"/>
      <w:r w:rsidRPr="00FD1D1F">
        <w:rPr>
          <w:rFonts w:asciiTheme="majorBidi" w:hAnsiTheme="majorBidi" w:cstheme="majorBidi"/>
        </w:rPr>
        <w:t>tiesību</w:t>
      </w:r>
      <w:proofErr w:type="spellEnd"/>
      <w:r w:rsidRPr="00FD1D1F">
        <w:rPr>
          <w:rFonts w:asciiTheme="majorBidi" w:hAnsiTheme="majorBidi" w:cstheme="majorBidi"/>
        </w:rPr>
        <w:t xml:space="preserve"> </w:t>
      </w:r>
      <w:proofErr w:type="spellStart"/>
      <w:r w:rsidRPr="00FD1D1F">
        <w:rPr>
          <w:rFonts w:asciiTheme="majorBidi" w:hAnsiTheme="majorBidi" w:cstheme="majorBidi"/>
        </w:rPr>
        <w:t>aktiem</w:t>
      </w:r>
      <w:proofErr w:type="spellEnd"/>
      <w:r w:rsidRPr="00FD1D1F">
        <w:rPr>
          <w:rFonts w:asciiTheme="majorBidi" w:hAnsiTheme="majorBidi" w:cstheme="majorBidi"/>
        </w:rPr>
        <w:t xml:space="preserve">, </w:t>
      </w:r>
      <w:proofErr w:type="spellStart"/>
      <w:r w:rsidRPr="00FD1D1F">
        <w:rPr>
          <w:rFonts w:asciiTheme="majorBidi" w:hAnsiTheme="majorBidi" w:cstheme="majorBidi"/>
        </w:rPr>
        <w:t>nolēmumu</w:t>
      </w:r>
      <w:proofErr w:type="spellEnd"/>
      <w:r w:rsidRPr="00FD1D1F">
        <w:rPr>
          <w:rFonts w:asciiTheme="majorBidi" w:hAnsiTheme="majorBidi" w:cstheme="majorBidi"/>
        </w:rPr>
        <w:t xml:space="preserve"> </w:t>
      </w:r>
      <w:proofErr w:type="spellStart"/>
      <w:r w:rsidRPr="00FD1D1F">
        <w:rPr>
          <w:rFonts w:asciiTheme="majorBidi" w:hAnsiTheme="majorBidi" w:cstheme="majorBidi"/>
        </w:rPr>
        <w:t>atzīšanu</w:t>
      </w:r>
      <w:proofErr w:type="spellEnd"/>
      <w:r w:rsidRPr="00FD1D1F">
        <w:rPr>
          <w:rFonts w:asciiTheme="majorBidi" w:hAnsiTheme="majorBidi" w:cstheme="majorBidi"/>
        </w:rPr>
        <w:t xml:space="preserve"> un </w:t>
      </w:r>
      <w:proofErr w:type="spellStart"/>
      <w:r w:rsidRPr="00FD1D1F">
        <w:rPr>
          <w:rFonts w:asciiTheme="majorBidi" w:hAnsiTheme="majorBidi" w:cstheme="majorBidi"/>
        </w:rPr>
        <w:t>izpildi</w:t>
      </w:r>
      <w:proofErr w:type="spellEnd"/>
      <w:r w:rsidRPr="00FD1D1F">
        <w:rPr>
          <w:rFonts w:asciiTheme="majorBidi" w:hAnsiTheme="majorBidi" w:cstheme="majorBidi"/>
        </w:rPr>
        <w:t xml:space="preserve"> un </w:t>
      </w:r>
      <w:proofErr w:type="spellStart"/>
      <w:r w:rsidRPr="00FD1D1F">
        <w:rPr>
          <w:rFonts w:asciiTheme="majorBidi" w:hAnsiTheme="majorBidi" w:cstheme="majorBidi"/>
        </w:rPr>
        <w:t>sadarbību</w:t>
      </w:r>
      <w:proofErr w:type="spellEnd"/>
      <w:r w:rsidRPr="00FD1D1F">
        <w:rPr>
          <w:rFonts w:asciiTheme="majorBidi" w:hAnsiTheme="majorBidi" w:cstheme="majorBidi"/>
        </w:rPr>
        <w:t xml:space="preserve"> </w:t>
      </w:r>
      <w:proofErr w:type="spellStart"/>
      <w:r w:rsidRPr="00FD1D1F">
        <w:rPr>
          <w:rFonts w:asciiTheme="majorBidi" w:hAnsiTheme="majorBidi" w:cstheme="majorBidi"/>
        </w:rPr>
        <w:t>uzturēšanas</w:t>
      </w:r>
      <w:proofErr w:type="spellEnd"/>
      <w:r w:rsidRPr="00FD1D1F">
        <w:rPr>
          <w:rFonts w:asciiTheme="majorBidi" w:hAnsiTheme="majorBidi" w:cstheme="majorBidi"/>
        </w:rPr>
        <w:t xml:space="preserve"> </w:t>
      </w:r>
      <w:proofErr w:type="spellStart"/>
      <w:r w:rsidRPr="00FD1D1F">
        <w:rPr>
          <w:rFonts w:asciiTheme="majorBidi" w:hAnsiTheme="majorBidi" w:cstheme="majorBidi"/>
        </w:rPr>
        <w:t>saistību</w:t>
      </w:r>
      <w:proofErr w:type="spellEnd"/>
      <w:r w:rsidRPr="00FD1D1F">
        <w:rPr>
          <w:rFonts w:asciiTheme="majorBidi" w:hAnsiTheme="majorBidi" w:cstheme="majorBidi"/>
        </w:rPr>
        <w:t xml:space="preserve"> </w:t>
      </w:r>
      <w:proofErr w:type="spellStart"/>
      <w:r w:rsidRPr="00FD1D1F">
        <w:rPr>
          <w:rFonts w:asciiTheme="majorBidi" w:hAnsiTheme="majorBidi" w:cstheme="majorBidi"/>
        </w:rPr>
        <w:t>lietās</w:t>
      </w:r>
      <w:proofErr w:type="spellEnd"/>
      <w:r w:rsidRPr="00FD1D1F">
        <w:rPr>
          <w:rStyle w:val="FootnoteReference"/>
          <w:rFonts w:asciiTheme="majorBidi" w:hAnsiTheme="majorBidi" w:cstheme="majorBidi"/>
        </w:rPr>
        <w:footnoteReference w:id="141"/>
      </w:r>
      <w:r w:rsidRPr="00FD1D1F">
        <w:rPr>
          <w:rFonts w:asciiTheme="majorBidi" w:hAnsiTheme="majorBidi" w:cstheme="majorBidi"/>
        </w:rPr>
        <w:t xml:space="preserve"> 65.pants; </w:t>
      </w:r>
      <w:proofErr w:type="spellStart"/>
      <w:r>
        <w:rPr>
          <w:rFonts w:asciiTheme="majorBidi" w:hAnsiTheme="majorBidi" w:cstheme="majorBidi"/>
        </w:rPr>
        <w:t>Eiropas</w:t>
      </w:r>
      <w:proofErr w:type="spellEnd"/>
      <w:r>
        <w:rPr>
          <w:rFonts w:asciiTheme="majorBidi" w:hAnsiTheme="majorBidi" w:cstheme="majorBidi"/>
        </w:rPr>
        <w:t xml:space="preserve"> </w:t>
      </w:r>
      <w:proofErr w:type="spellStart"/>
      <w:r>
        <w:rPr>
          <w:rFonts w:asciiTheme="majorBidi" w:hAnsiTheme="majorBidi" w:cstheme="majorBidi"/>
        </w:rPr>
        <w:t>Parlamenta</w:t>
      </w:r>
      <w:proofErr w:type="spellEnd"/>
      <w:r>
        <w:rPr>
          <w:rFonts w:asciiTheme="majorBidi" w:hAnsiTheme="majorBidi" w:cstheme="majorBidi"/>
        </w:rPr>
        <w:t xml:space="preserve"> un </w:t>
      </w:r>
      <w:proofErr w:type="spellStart"/>
      <w:r>
        <w:rPr>
          <w:rFonts w:asciiTheme="majorBidi" w:hAnsiTheme="majorBidi" w:cstheme="majorBidi"/>
        </w:rPr>
        <w:t>Padomes</w:t>
      </w:r>
      <w:proofErr w:type="spellEnd"/>
      <w:r>
        <w:rPr>
          <w:rFonts w:asciiTheme="majorBidi" w:hAnsiTheme="majorBidi" w:cstheme="majorBidi"/>
        </w:rPr>
        <w:t xml:space="preserve"> </w:t>
      </w:r>
      <w:proofErr w:type="spellStart"/>
      <w:r w:rsidRPr="00F136EA">
        <w:rPr>
          <w:rFonts w:asciiTheme="majorBidi" w:hAnsiTheme="majorBidi" w:cstheme="majorBidi"/>
        </w:rPr>
        <w:t>Regulas</w:t>
      </w:r>
      <w:proofErr w:type="spellEnd"/>
      <w:r w:rsidRPr="00F136EA">
        <w:rPr>
          <w:rFonts w:asciiTheme="majorBidi" w:hAnsiTheme="majorBidi" w:cstheme="majorBidi"/>
        </w:rPr>
        <w:t xml:space="preserve"> (ES) Nr. </w:t>
      </w:r>
      <w:r>
        <w:rPr>
          <w:rFonts w:asciiTheme="majorBidi" w:hAnsiTheme="majorBidi" w:cstheme="majorBidi"/>
        </w:rPr>
        <w:t xml:space="preserve">650/2012 (2012.gada </w:t>
      </w:r>
      <w:proofErr w:type="gramStart"/>
      <w:r>
        <w:rPr>
          <w:rFonts w:asciiTheme="majorBidi" w:hAnsiTheme="majorBidi" w:cstheme="majorBidi"/>
        </w:rPr>
        <w:t>4.jūlijs</w:t>
      </w:r>
      <w:proofErr w:type="gramEnd"/>
      <w:r>
        <w:rPr>
          <w:rFonts w:asciiTheme="majorBidi" w:hAnsiTheme="majorBidi" w:cstheme="majorBidi"/>
        </w:rPr>
        <w:t xml:space="preserve">) </w:t>
      </w:r>
      <w:r w:rsidRPr="00FD1D1F">
        <w:rPr>
          <w:rFonts w:asciiTheme="majorBidi" w:hAnsiTheme="majorBidi" w:cstheme="majorBidi"/>
        </w:rPr>
        <w:t xml:space="preserve">par </w:t>
      </w:r>
      <w:proofErr w:type="spellStart"/>
      <w:r w:rsidRPr="00FD1D1F">
        <w:rPr>
          <w:rFonts w:asciiTheme="majorBidi" w:hAnsiTheme="majorBidi" w:cstheme="majorBidi"/>
        </w:rPr>
        <w:t>jurisdikciju</w:t>
      </w:r>
      <w:proofErr w:type="spellEnd"/>
      <w:r w:rsidRPr="00FD1D1F">
        <w:rPr>
          <w:rFonts w:asciiTheme="majorBidi" w:hAnsiTheme="majorBidi" w:cstheme="majorBidi"/>
        </w:rPr>
        <w:t xml:space="preserve">, </w:t>
      </w:r>
      <w:proofErr w:type="spellStart"/>
      <w:r w:rsidRPr="00FD1D1F">
        <w:rPr>
          <w:rFonts w:asciiTheme="majorBidi" w:hAnsiTheme="majorBidi" w:cstheme="majorBidi"/>
        </w:rPr>
        <w:t>piemērojamiem</w:t>
      </w:r>
      <w:proofErr w:type="spellEnd"/>
      <w:r w:rsidRPr="00FD1D1F">
        <w:rPr>
          <w:rFonts w:asciiTheme="majorBidi" w:hAnsiTheme="majorBidi" w:cstheme="majorBidi"/>
        </w:rPr>
        <w:t xml:space="preserve"> </w:t>
      </w:r>
      <w:proofErr w:type="spellStart"/>
      <w:r w:rsidRPr="00FD1D1F">
        <w:rPr>
          <w:rFonts w:asciiTheme="majorBidi" w:hAnsiTheme="majorBidi" w:cstheme="majorBidi"/>
        </w:rPr>
        <w:t>tiesību</w:t>
      </w:r>
      <w:proofErr w:type="spellEnd"/>
      <w:r w:rsidRPr="00FD1D1F">
        <w:rPr>
          <w:rFonts w:asciiTheme="majorBidi" w:hAnsiTheme="majorBidi" w:cstheme="majorBidi"/>
        </w:rPr>
        <w:t xml:space="preserve"> </w:t>
      </w:r>
      <w:proofErr w:type="spellStart"/>
      <w:r w:rsidRPr="00FD1D1F">
        <w:rPr>
          <w:rFonts w:asciiTheme="majorBidi" w:hAnsiTheme="majorBidi" w:cstheme="majorBidi"/>
        </w:rPr>
        <w:t>aktiem</w:t>
      </w:r>
      <w:proofErr w:type="spellEnd"/>
      <w:r w:rsidRPr="00FD1D1F">
        <w:rPr>
          <w:rFonts w:asciiTheme="majorBidi" w:hAnsiTheme="majorBidi" w:cstheme="majorBidi"/>
        </w:rPr>
        <w:t xml:space="preserve">, </w:t>
      </w:r>
      <w:proofErr w:type="spellStart"/>
      <w:r w:rsidRPr="00FD1D1F">
        <w:rPr>
          <w:rFonts w:asciiTheme="majorBidi" w:hAnsiTheme="majorBidi" w:cstheme="majorBidi"/>
        </w:rPr>
        <w:t>nolēmumu</w:t>
      </w:r>
      <w:proofErr w:type="spellEnd"/>
      <w:r w:rsidRPr="00FD1D1F">
        <w:rPr>
          <w:rFonts w:asciiTheme="majorBidi" w:hAnsiTheme="majorBidi" w:cstheme="majorBidi"/>
        </w:rPr>
        <w:t xml:space="preserve"> </w:t>
      </w:r>
      <w:proofErr w:type="spellStart"/>
      <w:r w:rsidRPr="00FD1D1F">
        <w:rPr>
          <w:rFonts w:asciiTheme="majorBidi" w:hAnsiTheme="majorBidi" w:cstheme="majorBidi"/>
        </w:rPr>
        <w:t>atzīšanu</w:t>
      </w:r>
      <w:proofErr w:type="spellEnd"/>
      <w:r w:rsidRPr="00FD1D1F">
        <w:rPr>
          <w:rFonts w:asciiTheme="majorBidi" w:hAnsiTheme="majorBidi" w:cstheme="majorBidi"/>
        </w:rPr>
        <w:t xml:space="preserve"> un </w:t>
      </w:r>
      <w:proofErr w:type="spellStart"/>
      <w:r w:rsidRPr="00FD1D1F">
        <w:rPr>
          <w:rFonts w:asciiTheme="majorBidi" w:hAnsiTheme="majorBidi" w:cstheme="majorBidi"/>
        </w:rPr>
        <w:t>izpildi</w:t>
      </w:r>
      <w:proofErr w:type="spellEnd"/>
      <w:r>
        <w:rPr>
          <w:rFonts w:asciiTheme="majorBidi" w:hAnsiTheme="majorBidi" w:cstheme="majorBidi"/>
        </w:rPr>
        <w:t xml:space="preserve"> un </w:t>
      </w:r>
      <w:proofErr w:type="spellStart"/>
      <w:r>
        <w:rPr>
          <w:rFonts w:asciiTheme="majorBidi" w:hAnsiTheme="majorBidi" w:cstheme="majorBidi"/>
        </w:rPr>
        <w:t>publisku</w:t>
      </w:r>
      <w:proofErr w:type="spellEnd"/>
      <w:r>
        <w:rPr>
          <w:rFonts w:asciiTheme="majorBidi" w:hAnsiTheme="majorBidi" w:cstheme="majorBidi"/>
        </w:rPr>
        <w:t xml:space="preserve"> </w:t>
      </w:r>
      <w:proofErr w:type="spellStart"/>
      <w:r>
        <w:rPr>
          <w:rFonts w:asciiTheme="majorBidi" w:hAnsiTheme="majorBidi" w:cstheme="majorBidi"/>
        </w:rPr>
        <w:t>aktu</w:t>
      </w:r>
      <w:proofErr w:type="spellEnd"/>
      <w:r>
        <w:rPr>
          <w:rFonts w:asciiTheme="majorBidi" w:hAnsiTheme="majorBidi" w:cstheme="majorBidi"/>
        </w:rPr>
        <w:t xml:space="preserve"> </w:t>
      </w:r>
      <w:proofErr w:type="spellStart"/>
      <w:r>
        <w:rPr>
          <w:rFonts w:asciiTheme="majorBidi" w:hAnsiTheme="majorBidi" w:cstheme="majorBidi"/>
        </w:rPr>
        <w:lastRenderedPageBreak/>
        <w:t>akceptēšanu</w:t>
      </w:r>
      <w:proofErr w:type="spellEnd"/>
      <w:r>
        <w:rPr>
          <w:rFonts w:asciiTheme="majorBidi" w:hAnsiTheme="majorBidi" w:cstheme="majorBidi"/>
        </w:rPr>
        <w:t xml:space="preserve"> un </w:t>
      </w:r>
      <w:proofErr w:type="spellStart"/>
      <w:r>
        <w:rPr>
          <w:rFonts w:asciiTheme="majorBidi" w:hAnsiTheme="majorBidi" w:cstheme="majorBidi"/>
        </w:rPr>
        <w:t>izpildi</w:t>
      </w:r>
      <w:proofErr w:type="spellEnd"/>
      <w:r>
        <w:rPr>
          <w:rFonts w:asciiTheme="majorBidi" w:hAnsiTheme="majorBidi" w:cstheme="majorBidi"/>
        </w:rPr>
        <w:t xml:space="preserve"> </w:t>
      </w:r>
      <w:proofErr w:type="spellStart"/>
      <w:r>
        <w:rPr>
          <w:rFonts w:asciiTheme="majorBidi" w:hAnsiTheme="majorBidi" w:cstheme="majorBidi"/>
        </w:rPr>
        <w:t>mantošanas</w:t>
      </w:r>
      <w:proofErr w:type="spellEnd"/>
      <w:r>
        <w:rPr>
          <w:rFonts w:asciiTheme="majorBidi" w:hAnsiTheme="majorBidi" w:cstheme="majorBidi"/>
        </w:rPr>
        <w:t xml:space="preserve"> </w:t>
      </w:r>
      <w:proofErr w:type="spellStart"/>
      <w:r>
        <w:rPr>
          <w:rFonts w:asciiTheme="majorBidi" w:hAnsiTheme="majorBidi" w:cstheme="majorBidi"/>
        </w:rPr>
        <w:t>lietās</w:t>
      </w:r>
      <w:proofErr w:type="spellEnd"/>
      <w:r>
        <w:rPr>
          <w:rFonts w:asciiTheme="majorBidi" w:hAnsiTheme="majorBidi" w:cstheme="majorBidi"/>
        </w:rPr>
        <w:t xml:space="preserve"> un par </w:t>
      </w:r>
      <w:proofErr w:type="spellStart"/>
      <w:r>
        <w:rPr>
          <w:rFonts w:asciiTheme="majorBidi" w:hAnsiTheme="majorBidi" w:cstheme="majorBidi"/>
        </w:rPr>
        <w:t>Eiropas</w:t>
      </w:r>
      <w:proofErr w:type="spellEnd"/>
      <w:r>
        <w:rPr>
          <w:rFonts w:asciiTheme="majorBidi" w:hAnsiTheme="majorBidi" w:cstheme="majorBidi"/>
        </w:rPr>
        <w:t xml:space="preserve"> </w:t>
      </w:r>
      <w:proofErr w:type="spellStart"/>
      <w:r>
        <w:rPr>
          <w:rFonts w:asciiTheme="majorBidi" w:hAnsiTheme="majorBidi" w:cstheme="majorBidi"/>
        </w:rPr>
        <w:t>mantošanas</w:t>
      </w:r>
      <w:proofErr w:type="spellEnd"/>
      <w:r>
        <w:rPr>
          <w:rFonts w:asciiTheme="majorBidi" w:hAnsiTheme="majorBidi" w:cstheme="majorBidi"/>
        </w:rPr>
        <w:t xml:space="preserve"> </w:t>
      </w:r>
      <w:proofErr w:type="spellStart"/>
      <w:r>
        <w:rPr>
          <w:rFonts w:asciiTheme="majorBidi" w:hAnsiTheme="majorBidi" w:cstheme="majorBidi"/>
        </w:rPr>
        <w:t>apliecības</w:t>
      </w:r>
      <w:proofErr w:type="spellEnd"/>
      <w:r>
        <w:rPr>
          <w:rFonts w:asciiTheme="majorBidi" w:hAnsiTheme="majorBidi" w:cstheme="majorBidi"/>
        </w:rPr>
        <w:t xml:space="preserve"> </w:t>
      </w:r>
      <w:proofErr w:type="spellStart"/>
      <w:r>
        <w:rPr>
          <w:rFonts w:asciiTheme="majorBidi" w:hAnsiTheme="majorBidi" w:cstheme="majorBidi"/>
        </w:rPr>
        <w:t>izveidi</w:t>
      </w:r>
      <w:proofErr w:type="spellEnd"/>
      <w:r>
        <w:rPr>
          <w:rStyle w:val="FootnoteReference"/>
          <w:rFonts w:asciiTheme="majorBidi" w:hAnsiTheme="majorBidi" w:cstheme="majorBidi"/>
        </w:rPr>
        <w:footnoteReference w:id="142"/>
      </w:r>
      <w:r>
        <w:rPr>
          <w:rFonts w:asciiTheme="majorBidi" w:hAnsiTheme="majorBidi" w:cstheme="majorBidi"/>
        </w:rPr>
        <w:t xml:space="preserve"> 74.pants.</w:t>
      </w:r>
    </w:p>
    <w:p w14:paraId="09B3545F" w14:textId="7EE7C7C6" w:rsidR="00114953" w:rsidRPr="001A3712" w:rsidRDefault="00114953" w:rsidP="00114953">
      <w:pPr>
        <w:ind w:firstLine="708"/>
        <w:jc w:val="both"/>
        <w:rPr>
          <w:rFonts w:asciiTheme="majorBidi" w:hAnsiTheme="majorBidi" w:cstheme="majorBidi"/>
        </w:rPr>
      </w:pPr>
      <w:proofErr w:type="spellStart"/>
      <w:r w:rsidRPr="001A3712">
        <w:rPr>
          <w:rFonts w:asciiTheme="majorBidi" w:hAnsiTheme="majorBidi" w:cstheme="majorBidi"/>
        </w:rPr>
        <w:t>Publisko</w:t>
      </w:r>
      <w:proofErr w:type="spellEnd"/>
      <w:r w:rsidRPr="001A3712">
        <w:rPr>
          <w:rFonts w:asciiTheme="majorBidi" w:hAnsiTheme="majorBidi" w:cstheme="majorBidi"/>
        </w:rPr>
        <w:t xml:space="preserve"> </w:t>
      </w:r>
      <w:proofErr w:type="spellStart"/>
      <w:r w:rsidRPr="001A3712">
        <w:rPr>
          <w:rFonts w:asciiTheme="majorBidi" w:hAnsiTheme="majorBidi" w:cstheme="majorBidi"/>
        </w:rPr>
        <w:t>dokumentu</w:t>
      </w:r>
      <w:proofErr w:type="spellEnd"/>
      <w:r w:rsidRPr="001A3712">
        <w:rPr>
          <w:rFonts w:asciiTheme="majorBidi" w:hAnsiTheme="majorBidi" w:cstheme="majorBidi"/>
        </w:rPr>
        <w:t xml:space="preserve"> </w:t>
      </w:r>
      <w:proofErr w:type="spellStart"/>
      <w:r w:rsidRPr="001A3712">
        <w:rPr>
          <w:rFonts w:asciiTheme="majorBidi" w:hAnsiTheme="majorBidi" w:cstheme="majorBidi"/>
        </w:rPr>
        <w:t>legalizācija</w:t>
      </w:r>
      <w:proofErr w:type="spellEnd"/>
      <w:r w:rsidRPr="001A3712">
        <w:rPr>
          <w:rFonts w:asciiTheme="majorBidi" w:hAnsiTheme="majorBidi" w:cstheme="majorBidi"/>
        </w:rPr>
        <w:t xml:space="preserve"> </w:t>
      </w:r>
      <w:proofErr w:type="spellStart"/>
      <w:r w:rsidRPr="001A3712">
        <w:rPr>
          <w:rFonts w:asciiTheme="majorBidi" w:hAnsiTheme="majorBidi" w:cstheme="majorBidi"/>
        </w:rPr>
        <w:t>nav</w:t>
      </w:r>
      <w:proofErr w:type="spellEnd"/>
      <w:r w:rsidRPr="001A3712">
        <w:rPr>
          <w:rFonts w:asciiTheme="majorBidi" w:hAnsiTheme="majorBidi" w:cstheme="majorBidi"/>
        </w:rPr>
        <w:t xml:space="preserve"> </w:t>
      </w:r>
      <w:proofErr w:type="spellStart"/>
      <w:r w:rsidRPr="001A3712">
        <w:rPr>
          <w:rFonts w:asciiTheme="majorBidi" w:hAnsiTheme="majorBidi" w:cstheme="majorBidi"/>
        </w:rPr>
        <w:t>nepieciešama</w:t>
      </w:r>
      <w:proofErr w:type="spellEnd"/>
      <w:r w:rsidRPr="001A3712">
        <w:rPr>
          <w:rFonts w:asciiTheme="majorBidi" w:hAnsiTheme="majorBidi" w:cstheme="majorBidi"/>
        </w:rPr>
        <w:t xml:space="preserve"> </w:t>
      </w:r>
      <w:proofErr w:type="spellStart"/>
      <w:r w:rsidRPr="001A3712">
        <w:rPr>
          <w:rFonts w:asciiTheme="majorBidi" w:hAnsiTheme="majorBidi" w:cstheme="majorBidi"/>
        </w:rPr>
        <w:t>arī</w:t>
      </w:r>
      <w:proofErr w:type="spellEnd"/>
      <w:r w:rsidRPr="001A3712">
        <w:rPr>
          <w:rFonts w:asciiTheme="majorBidi" w:hAnsiTheme="majorBidi" w:cstheme="majorBidi"/>
        </w:rPr>
        <w:t xml:space="preserve"> </w:t>
      </w:r>
      <w:proofErr w:type="spellStart"/>
      <w:r w:rsidRPr="001A3712">
        <w:rPr>
          <w:rFonts w:asciiTheme="majorBidi" w:hAnsiTheme="majorBidi" w:cstheme="majorBidi"/>
        </w:rPr>
        <w:t>tad</w:t>
      </w:r>
      <w:proofErr w:type="spellEnd"/>
      <w:r w:rsidRPr="001A3712">
        <w:rPr>
          <w:rFonts w:asciiTheme="majorBidi" w:hAnsiTheme="majorBidi" w:cstheme="majorBidi"/>
        </w:rPr>
        <w:t xml:space="preserve">, </w:t>
      </w:r>
      <w:proofErr w:type="spellStart"/>
      <w:r w:rsidRPr="001A3712">
        <w:rPr>
          <w:rFonts w:asciiTheme="majorBidi" w:hAnsiTheme="majorBidi" w:cstheme="majorBidi"/>
        </w:rPr>
        <w:t>ja</w:t>
      </w:r>
      <w:proofErr w:type="spellEnd"/>
      <w:r w:rsidRPr="001A3712">
        <w:rPr>
          <w:rFonts w:asciiTheme="majorBidi" w:hAnsiTheme="majorBidi" w:cstheme="majorBidi"/>
        </w:rPr>
        <w:t xml:space="preserve"> </w:t>
      </w:r>
      <w:proofErr w:type="spellStart"/>
      <w:r w:rsidRPr="001A3712">
        <w:rPr>
          <w:rFonts w:asciiTheme="majorBidi" w:hAnsiTheme="majorBidi" w:cstheme="majorBidi"/>
        </w:rPr>
        <w:t>dokuments</w:t>
      </w:r>
      <w:proofErr w:type="spellEnd"/>
      <w:r w:rsidRPr="001A3712">
        <w:rPr>
          <w:rFonts w:asciiTheme="majorBidi" w:hAnsiTheme="majorBidi" w:cstheme="majorBidi"/>
        </w:rPr>
        <w:t xml:space="preserve"> </w:t>
      </w:r>
      <w:proofErr w:type="spellStart"/>
      <w:r w:rsidRPr="001A3712">
        <w:rPr>
          <w:rFonts w:asciiTheme="majorBidi" w:hAnsiTheme="majorBidi" w:cstheme="majorBidi"/>
        </w:rPr>
        <w:t>izdots</w:t>
      </w:r>
      <w:proofErr w:type="spellEnd"/>
      <w:r w:rsidRPr="001A3712">
        <w:rPr>
          <w:rFonts w:asciiTheme="majorBidi" w:hAnsiTheme="majorBidi" w:cstheme="majorBidi"/>
        </w:rPr>
        <w:t xml:space="preserve"> </w:t>
      </w:r>
      <w:proofErr w:type="spellStart"/>
      <w:r w:rsidRPr="001A3712">
        <w:rPr>
          <w:rFonts w:asciiTheme="majorBidi" w:hAnsiTheme="majorBidi" w:cstheme="majorBidi"/>
          <w:b/>
          <w:bCs/>
        </w:rPr>
        <w:t>Eiropas</w:t>
      </w:r>
      <w:proofErr w:type="spellEnd"/>
      <w:r w:rsidRPr="001A3712">
        <w:rPr>
          <w:rFonts w:asciiTheme="majorBidi" w:hAnsiTheme="majorBidi" w:cstheme="majorBidi"/>
          <w:b/>
          <w:bCs/>
        </w:rPr>
        <w:t xml:space="preserve"> </w:t>
      </w:r>
      <w:proofErr w:type="spellStart"/>
      <w:r w:rsidRPr="001A3712">
        <w:rPr>
          <w:rFonts w:asciiTheme="majorBidi" w:hAnsiTheme="majorBidi" w:cstheme="majorBidi"/>
          <w:b/>
          <w:bCs/>
        </w:rPr>
        <w:t>Ekonomikas</w:t>
      </w:r>
      <w:proofErr w:type="spellEnd"/>
      <w:r w:rsidRPr="001A3712">
        <w:rPr>
          <w:rFonts w:asciiTheme="majorBidi" w:hAnsiTheme="majorBidi" w:cstheme="majorBidi"/>
          <w:b/>
          <w:bCs/>
        </w:rPr>
        <w:t xml:space="preserve"> zonas </w:t>
      </w:r>
      <w:proofErr w:type="spellStart"/>
      <w:r w:rsidRPr="001A3712">
        <w:rPr>
          <w:rFonts w:asciiTheme="majorBidi" w:hAnsiTheme="majorBidi" w:cstheme="majorBidi"/>
          <w:b/>
          <w:bCs/>
        </w:rPr>
        <w:t>valstī</w:t>
      </w:r>
      <w:proofErr w:type="spellEnd"/>
      <w:r w:rsidR="00C22C4E">
        <w:rPr>
          <w:rFonts w:asciiTheme="majorBidi" w:hAnsiTheme="majorBidi" w:cstheme="majorBidi"/>
        </w:rPr>
        <w:t xml:space="preserve"> </w:t>
      </w:r>
      <w:proofErr w:type="spellStart"/>
      <w:r w:rsidRPr="001A3712">
        <w:rPr>
          <w:rFonts w:asciiTheme="majorBidi" w:hAnsiTheme="majorBidi" w:cstheme="majorBidi"/>
        </w:rPr>
        <w:t>vai</w:t>
      </w:r>
      <w:proofErr w:type="spellEnd"/>
      <w:r w:rsidRPr="001A3712">
        <w:rPr>
          <w:rFonts w:asciiTheme="majorBidi" w:hAnsiTheme="majorBidi" w:cstheme="majorBidi"/>
        </w:rPr>
        <w:t xml:space="preserve"> </w:t>
      </w:r>
      <w:proofErr w:type="spellStart"/>
      <w:r w:rsidRPr="001A3712">
        <w:rPr>
          <w:rFonts w:asciiTheme="majorBidi" w:hAnsiTheme="majorBidi" w:cstheme="majorBidi"/>
          <w:b/>
          <w:bCs/>
        </w:rPr>
        <w:t>Šveices</w:t>
      </w:r>
      <w:proofErr w:type="spellEnd"/>
      <w:r w:rsidRPr="001A3712">
        <w:rPr>
          <w:rFonts w:asciiTheme="majorBidi" w:hAnsiTheme="majorBidi" w:cstheme="majorBidi"/>
          <w:b/>
          <w:bCs/>
        </w:rPr>
        <w:t xml:space="preserve"> </w:t>
      </w:r>
      <w:proofErr w:type="spellStart"/>
      <w:r w:rsidRPr="001A3712">
        <w:rPr>
          <w:rFonts w:asciiTheme="majorBidi" w:hAnsiTheme="majorBidi" w:cstheme="majorBidi"/>
          <w:b/>
          <w:bCs/>
        </w:rPr>
        <w:t>Konfederācijā</w:t>
      </w:r>
      <w:proofErr w:type="spellEnd"/>
      <w:r>
        <w:rPr>
          <w:rFonts w:asciiTheme="majorBidi" w:hAnsiTheme="majorBidi" w:cstheme="majorBidi"/>
        </w:rPr>
        <w:t xml:space="preserve"> (skat.</w:t>
      </w:r>
      <w:r w:rsidRPr="001A3712">
        <w:rPr>
          <w:rFonts w:asciiTheme="majorBidi" w:hAnsiTheme="majorBidi" w:cstheme="majorBidi"/>
        </w:rPr>
        <w:t xml:space="preserve"> </w:t>
      </w:r>
      <w:proofErr w:type="spellStart"/>
      <w:r w:rsidRPr="00C22C4E">
        <w:rPr>
          <w:rFonts w:asciiTheme="majorBidi" w:hAnsiTheme="majorBidi" w:cstheme="majorBidi"/>
          <w:iCs/>
        </w:rPr>
        <w:t>Dokumentu</w:t>
      </w:r>
      <w:proofErr w:type="spellEnd"/>
      <w:r w:rsidRPr="00C22C4E">
        <w:rPr>
          <w:rFonts w:asciiTheme="majorBidi" w:hAnsiTheme="majorBidi" w:cstheme="majorBidi"/>
          <w:iCs/>
        </w:rPr>
        <w:t xml:space="preserve"> </w:t>
      </w:r>
      <w:proofErr w:type="spellStart"/>
      <w:r w:rsidRPr="00C22C4E">
        <w:rPr>
          <w:rFonts w:asciiTheme="majorBidi" w:hAnsiTheme="majorBidi" w:cstheme="majorBidi"/>
          <w:iCs/>
        </w:rPr>
        <w:t>legalizācijas</w:t>
      </w:r>
      <w:proofErr w:type="spellEnd"/>
      <w:r w:rsidRPr="00C22C4E">
        <w:rPr>
          <w:rFonts w:asciiTheme="majorBidi" w:hAnsiTheme="majorBidi" w:cstheme="majorBidi"/>
          <w:iCs/>
        </w:rPr>
        <w:t xml:space="preserve"> </w:t>
      </w:r>
      <w:proofErr w:type="spellStart"/>
      <w:r w:rsidRPr="00C22C4E">
        <w:rPr>
          <w:rFonts w:asciiTheme="majorBidi" w:hAnsiTheme="majorBidi" w:cstheme="majorBidi"/>
          <w:iCs/>
        </w:rPr>
        <w:t>likuma</w:t>
      </w:r>
      <w:proofErr w:type="spellEnd"/>
      <w:r w:rsidRPr="00C22C4E">
        <w:rPr>
          <w:rFonts w:asciiTheme="majorBidi" w:hAnsiTheme="majorBidi" w:cstheme="majorBidi"/>
        </w:rPr>
        <w:t xml:space="preserve"> </w:t>
      </w:r>
      <w:r>
        <w:rPr>
          <w:rFonts w:asciiTheme="majorBidi" w:hAnsiTheme="majorBidi" w:cstheme="majorBidi"/>
        </w:rPr>
        <w:t xml:space="preserve">3.p. </w:t>
      </w:r>
      <w:proofErr w:type="gramStart"/>
      <w:r>
        <w:rPr>
          <w:rFonts w:asciiTheme="majorBidi" w:hAnsiTheme="majorBidi" w:cstheme="majorBidi"/>
        </w:rPr>
        <w:t>2.d.</w:t>
      </w:r>
      <w:proofErr w:type="gramEnd"/>
      <w:r w:rsidRPr="001A3712">
        <w:rPr>
          <w:rFonts w:asciiTheme="majorBidi" w:hAnsiTheme="majorBidi" w:cstheme="majorBidi"/>
        </w:rPr>
        <w:t>).</w:t>
      </w:r>
      <w:r w:rsidRPr="001A3712">
        <w:rPr>
          <w:rStyle w:val="FootnoteReference"/>
          <w:rFonts w:asciiTheme="majorBidi" w:hAnsiTheme="majorBidi" w:cstheme="majorBidi"/>
        </w:rPr>
        <w:footnoteReference w:id="143"/>
      </w:r>
    </w:p>
    <w:p w14:paraId="3FB878B5" w14:textId="77777777" w:rsidR="00114953" w:rsidRPr="001A3712" w:rsidRDefault="00114953" w:rsidP="00114953">
      <w:pPr>
        <w:jc w:val="both"/>
        <w:rPr>
          <w:rFonts w:asciiTheme="majorBidi" w:hAnsiTheme="majorBidi" w:cstheme="majorBidi"/>
          <w:b/>
          <w:bCs/>
        </w:rPr>
      </w:pPr>
    </w:p>
    <w:p w14:paraId="22FB9A70" w14:textId="0A81FF35" w:rsidR="00114953" w:rsidRDefault="00114953" w:rsidP="00114953">
      <w:pPr>
        <w:pStyle w:val="CoverNormal"/>
        <w:ind w:left="0" w:firstLine="708"/>
        <w:jc w:val="both"/>
      </w:pPr>
      <w:r>
        <w:rPr>
          <w:rFonts w:asciiTheme="majorBidi" w:hAnsiTheme="majorBidi" w:cstheme="majorBidi"/>
          <w:bCs/>
        </w:rPr>
        <w:t xml:space="preserve">2016.gada 6.jūlijā Eiropas Parlamentā tika pieņemta </w:t>
      </w:r>
      <w:r w:rsidRPr="005C1673">
        <w:t>Eirop</w:t>
      </w:r>
      <w:r>
        <w:t xml:space="preserve">as Parlamenta un Padomes </w:t>
      </w:r>
      <w:r>
        <w:rPr>
          <w:b/>
        </w:rPr>
        <w:t>Regula (ES) Nr. 2016/1191</w:t>
      </w:r>
      <w:r w:rsidRPr="005C1673">
        <w:t xml:space="preserve"> </w:t>
      </w:r>
      <w:r w:rsidRPr="00C96C68">
        <w:rPr>
          <w:i/>
        </w:rPr>
        <w:t>par iedzīvotāju brīvas pārvietošanās veicināšanu, vienkāršojot dažu publisko dokumentu uzrādīšanas prasības Eiropas Savienībā, un grozījumiem Regulā (ES) Nr. 1024/2012</w:t>
      </w:r>
      <w:r>
        <w:t xml:space="preserve">. Regula būs </w:t>
      </w:r>
      <w:proofErr w:type="spellStart"/>
      <w:r>
        <w:t>pie</w:t>
      </w:r>
      <w:r w:rsidR="00C22C4E">
        <w:t>merojama</w:t>
      </w:r>
      <w:proofErr w:type="spellEnd"/>
      <w:r w:rsidR="00C22C4E">
        <w:t xml:space="preserve"> no 2019.gada 16.februār</w:t>
      </w:r>
      <w:r>
        <w:t>a (skat. šīs Regulas 27.p. 2.punktu).</w:t>
      </w:r>
      <w:r>
        <w:rPr>
          <w:rStyle w:val="FootnoteReference"/>
        </w:rPr>
        <w:footnoteReference w:id="144"/>
      </w:r>
      <w:r>
        <w:t xml:space="preserve"> </w:t>
      </w:r>
    </w:p>
    <w:p w14:paraId="296076A2" w14:textId="77777777" w:rsidR="00114953" w:rsidRPr="000C7C76" w:rsidRDefault="00114953" w:rsidP="00114953">
      <w:pPr>
        <w:tabs>
          <w:tab w:val="left" w:pos="-720"/>
        </w:tabs>
        <w:jc w:val="both"/>
        <w:rPr>
          <w:rFonts w:ascii="Times New Roman" w:hAnsi="Times New Roman" w:cs="Times New Roman"/>
          <w:lang w:val="en-US"/>
        </w:rPr>
      </w:pPr>
      <w:r w:rsidRPr="000C7C76">
        <w:rPr>
          <w:lang w:val="en-US"/>
        </w:rPr>
        <w:tab/>
      </w:r>
      <w:proofErr w:type="spellStart"/>
      <w:r w:rsidRPr="000C7C76">
        <w:rPr>
          <w:rFonts w:ascii="Times New Roman" w:hAnsi="Times New Roman" w:cs="Times New Roman"/>
          <w:lang w:val="en-US"/>
        </w:rPr>
        <w:t>Jaunās</w:t>
      </w:r>
      <w:proofErr w:type="spellEnd"/>
      <w:r w:rsidRPr="000C7C76">
        <w:rPr>
          <w:rFonts w:ascii="Times New Roman" w:hAnsi="Times New Roman" w:cs="Times New Roman"/>
          <w:lang w:val="en-US"/>
        </w:rPr>
        <w:t xml:space="preserve"> Regulas </w:t>
      </w:r>
      <w:proofErr w:type="spellStart"/>
      <w:r w:rsidRPr="000C7C76">
        <w:rPr>
          <w:rFonts w:ascii="Times New Roman" w:hAnsi="Times New Roman" w:cs="Times New Roman"/>
          <w:lang w:val="en-US"/>
        </w:rPr>
        <w:t>mērķis</w:t>
      </w:r>
      <w:proofErr w:type="spellEnd"/>
      <w:r w:rsidRPr="000C7C76">
        <w:rPr>
          <w:rFonts w:ascii="Times New Roman" w:hAnsi="Times New Roman" w:cs="Times New Roman"/>
          <w:lang w:val="en-US"/>
        </w:rPr>
        <w:t xml:space="preserve"> </w:t>
      </w:r>
      <w:proofErr w:type="spellStart"/>
      <w:r w:rsidRPr="000C7C76">
        <w:rPr>
          <w:rFonts w:ascii="Times New Roman" w:hAnsi="Times New Roman" w:cs="Times New Roman"/>
          <w:lang w:val="en-US"/>
        </w:rPr>
        <w:t>ir</w:t>
      </w:r>
      <w:proofErr w:type="spellEnd"/>
      <w:r w:rsidRPr="000C7C76">
        <w:rPr>
          <w:rFonts w:ascii="Times New Roman" w:hAnsi="Times New Roman" w:cs="Times New Roman"/>
          <w:lang w:val="en-US"/>
        </w:rPr>
        <w:t xml:space="preserve"> </w:t>
      </w:r>
      <w:proofErr w:type="spellStart"/>
      <w:r w:rsidRPr="000C7C76">
        <w:rPr>
          <w:rFonts w:ascii="Times New Roman" w:hAnsi="Times New Roman" w:cs="Times New Roman"/>
          <w:lang w:val="en-US"/>
        </w:rPr>
        <w:t>veicināt</w:t>
      </w:r>
      <w:proofErr w:type="spellEnd"/>
      <w:r w:rsidRPr="000C7C76">
        <w:rPr>
          <w:rFonts w:ascii="Times New Roman" w:hAnsi="Times New Roman" w:cs="Times New Roman"/>
          <w:lang w:val="en-US"/>
        </w:rPr>
        <w:t xml:space="preserve"> </w:t>
      </w:r>
      <w:proofErr w:type="spellStart"/>
      <w:r w:rsidRPr="000C7C76">
        <w:rPr>
          <w:rFonts w:ascii="Times New Roman" w:hAnsi="Times New Roman" w:cs="Times New Roman"/>
          <w:lang w:val="en-US"/>
        </w:rPr>
        <w:t>iedzīvotāju</w:t>
      </w:r>
      <w:proofErr w:type="spellEnd"/>
      <w:r w:rsidRPr="000C7C76">
        <w:rPr>
          <w:rFonts w:ascii="Times New Roman" w:hAnsi="Times New Roman" w:cs="Times New Roman"/>
          <w:lang w:val="en-US"/>
        </w:rPr>
        <w:t xml:space="preserve"> </w:t>
      </w:r>
      <w:proofErr w:type="spellStart"/>
      <w:r w:rsidRPr="000C7C76">
        <w:rPr>
          <w:rFonts w:ascii="Times New Roman" w:hAnsi="Times New Roman" w:cs="Times New Roman"/>
          <w:lang w:val="en-US"/>
        </w:rPr>
        <w:t>brīvu</w:t>
      </w:r>
      <w:proofErr w:type="spellEnd"/>
      <w:r w:rsidRPr="000C7C76">
        <w:rPr>
          <w:rFonts w:ascii="Times New Roman" w:hAnsi="Times New Roman" w:cs="Times New Roman"/>
          <w:lang w:val="en-US"/>
        </w:rPr>
        <w:t xml:space="preserve"> </w:t>
      </w:r>
      <w:proofErr w:type="spellStart"/>
      <w:r w:rsidRPr="000C7C76">
        <w:rPr>
          <w:rFonts w:ascii="Times New Roman" w:hAnsi="Times New Roman" w:cs="Times New Roman"/>
          <w:lang w:val="en-US"/>
        </w:rPr>
        <w:t>pārvietošanos</w:t>
      </w:r>
      <w:proofErr w:type="spellEnd"/>
      <w:r w:rsidRPr="000C7C76">
        <w:rPr>
          <w:rFonts w:ascii="Times New Roman" w:hAnsi="Times New Roman" w:cs="Times New Roman"/>
          <w:lang w:val="en-US"/>
        </w:rPr>
        <w:t xml:space="preserve">, </w:t>
      </w:r>
      <w:proofErr w:type="spellStart"/>
      <w:r w:rsidRPr="000C7C76">
        <w:rPr>
          <w:rFonts w:ascii="Times New Roman" w:hAnsi="Times New Roman" w:cs="Times New Roman"/>
          <w:lang w:val="en-US"/>
        </w:rPr>
        <w:t>atvieglojot</w:t>
      </w:r>
      <w:proofErr w:type="spellEnd"/>
      <w:r w:rsidRPr="000C7C76">
        <w:rPr>
          <w:rFonts w:ascii="Times New Roman" w:hAnsi="Times New Roman" w:cs="Times New Roman"/>
          <w:lang w:val="en-US"/>
        </w:rPr>
        <w:t xml:space="preserve"> </w:t>
      </w:r>
      <w:proofErr w:type="spellStart"/>
      <w:r w:rsidRPr="000C7C76">
        <w:rPr>
          <w:rFonts w:ascii="Times New Roman" w:hAnsi="Times New Roman" w:cs="Times New Roman"/>
          <w:lang w:val="en-US"/>
        </w:rPr>
        <w:t>zināmu</w:t>
      </w:r>
      <w:proofErr w:type="spellEnd"/>
      <w:r w:rsidRPr="000C7C76">
        <w:rPr>
          <w:rFonts w:ascii="Times New Roman" w:hAnsi="Times New Roman" w:cs="Times New Roman"/>
          <w:lang w:val="en-US"/>
        </w:rPr>
        <w:t xml:space="preserve"> </w:t>
      </w:r>
      <w:proofErr w:type="spellStart"/>
      <w:r w:rsidRPr="000C7C76">
        <w:rPr>
          <w:rFonts w:ascii="Times New Roman" w:hAnsi="Times New Roman" w:cs="Times New Roman"/>
          <w:lang w:val="en-US"/>
        </w:rPr>
        <w:t>publisku</w:t>
      </w:r>
      <w:proofErr w:type="spellEnd"/>
      <w:r w:rsidRPr="000C7C76">
        <w:rPr>
          <w:rFonts w:ascii="Times New Roman" w:hAnsi="Times New Roman" w:cs="Times New Roman"/>
          <w:lang w:val="en-US"/>
        </w:rPr>
        <w:t xml:space="preserve"> </w:t>
      </w:r>
      <w:proofErr w:type="spellStart"/>
      <w:r w:rsidRPr="000C7C76">
        <w:rPr>
          <w:rFonts w:ascii="Times New Roman" w:hAnsi="Times New Roman" w:cs="Times New Roman"/>
          <w:lang w:val="en-US"/>
        </w:rPr>
        <w:t>dokumentu</w:t>
      </w:r>
      <w:proofErr w:type="spellEnd"/>
      <w:r w:rsidRPr="000C7C76">
        <w:rPr>
          <w:rFonts w:ascii="Times New Roman" w:hAnsi="Times New Roman" w:cs="Times New Roman"/>
          <w:lang w:val="en-US"/>
        </w:rPr>
        <w:t xml:space="preserve"> </w:t>
      </w:r>
      <w:proofErr w:type="spellStart"/>
      <w:r w:rsidRPr="000C7C76">
        <w:rPr>
          <w:rFonts w:ascii="Times New Roman" w:hAnsi="Times New Roman" w:cs="Times New Roman"/>
          <w:lang w:val="en-US"/>
        </w:rPr>
        <w:t>brīvu</w:t>
      </w:r>
      <w:proofErr w:type="spellEnd"/>
      <w:r w:rsidRPr="000C7C76">
        <w:rPr>
          <w:rFonts w:ascii="Times New Roman" w:hAnsi="Times New Roman" w:cs="Times New Roman"/>
          <w:lang w:val="en-US"/>
        </w:rPr>
        <w:t xml:space="preserve"> </w:t>
      </w:r>
      <w:proofErr w:type="spellStart"/>
      <w:r w:rsidRPr="000C7C76">
        <w:rPr>
          <w:rFonts w:ascii="Times New Roman" w:hAnsi="Times New Roman" w:cs="Times New Roman"/>
          <w:lang w:val="en-US"/>
        </w:rPr>
        <w:t>apriti</w:t>
      </w:r>
      <w:proofErr w:type="spellEnd"/>
      <w:r w:rsidRPr="000C7C76">
        <w:rPr>
          <w:rFonts w:ascii="Times New Roman" w:hAnsi="Times New Roman" w:cs="Times New Roman"/>
          <w:lang w:val="en-US"/>
        </w:rPr>
        <w:t xml:space="preserve"> ES (skat. </w:t>
      </w:r>
      <w:proofErr w:type="spellStart"/>
      <w:r w:rsidRPr="000C7C76">
        <w:rPr>
          <w:rFonts w:ascii="Times New Roman" w:hAnsi="Times New Roman" w:cs="Times New Roman"/>
          <w:lang w:val="en-US"/>
        </w:rPr>
        <w:t>minētās</w:t>
      </w:r>
      <w:proofErr w:type="spellEnd"/>
      <w:r w:rsidRPr="000C7C76">
        <w:rPr>
          <w:rFonts w:ascii="Times New Roman" w:hAnsi="Times New Roman" w:cs="Times New Roman"/>
          <w:lang w:val="en-US"/>
        </w:rPr>
        <w:t xml:space="preserve"> Regulas </w:t>
      </w:r>
      <w:proofErr w:type="spellStart"/>
      <w:r w:rsidRPr="000C7C76">
        <w:rPr>
          <w:rFonts w:ascii="Times New Roman" w:hAnsi="Times New Roman" w:cs="Times New Roman"/>
          <w:lang w:val="en-US"/>
        </w:rPr>
        <w:t>preambulas</w:t>
      </w:r>
      <w:proofErr w:type="spellEnd"/>
      <w:r w:rsidRPr="000C7C76">
        <w:rPr>
          <w:rFonts w:ascii="Times New Roman" w:hAnsi="Times New Roman" w:cs="Times New Roman"/>
          <w:lang w:val="en-US"/>
        </w:rPr>
        <w:t xml:space="preserve"> </w:t>
      </w:r>
      <w:proofErr w:type="gramStart"/>
      <w:r w:rsidRPr="000C7C76">
        <w:rPr>
          <w:rFonts w:ascii="Times New Roman" w:hAnsi="Times New Roman" w:cs="Times New Roman"/>
          <w:lang w:val="en-US"/>
        </w:rPr>
        <w:t>57.apsvērumu</w:t>
      </w:r>
      <w:proofErr w:type="gramEnd"/>
      <w:r w:rsidRPr="000C7C76">
        <w:rPr>
          <w:rFonts w:ascii="Times New Roman" w:hAnsi="Times New Roman" w:cs="Times New Roman"/>
          <w:lang w:val="en-US"/>
        </w:rPr>
        <w:t>).</w:t>
      </w:r>
    </w:p>
    <w:p w14:paraId="74B3E450" w14:textId="77777777" w:rsidR="00114953" w:rsidRPr="000C7C76" w:rsidRDefault="00114953" w:rsidP="00114953">
      <w:pPr>
        <w:tabs>
          <w:tab w:val="left" w:pos="-720"/>
        </w:tabs>
        <w:jc w:val="both"/>
        <w:rPr>
          <w:rFonts w:ascii="Times New Roman" w:hAnsi="Times New Roman" w:cs="Times New Roman"/>
          <w:lang w:val="en-US"/>
        </w:rPr>
      </w:pPr>
      <w:r w:rsidRPr="000C7C76">
        <w:rPr>
          <w:rFonts w:ascii="Times New Roman" w:hAnsi="Times New Roman" w:cs="Times New Roman"/>
          <w:lang w:val="en-US"/>
        </w:rPr>
        <w:t xml:space="preserve"> </w:t>
      </w:r>
      <w:proofErr w:type="spellStart"/>
      <w:r w:rsidRPr="000C7C76">
        <w:rPr>
          <w:rFonts w:ascii="Times New Roman" w:hAnsi="Times New Roman" w:cs="Times New Roman"/>
          <w:lang w:val="en-US"/>
        </w:rPr>
        <w:t>Šajā</w:t>
      </w:r>
      <w:proofErr w:type="spellEnd"/>
      <w:r w:rsidRPr="000C7C76">
        <w:rPr>
          <w:rFonts w:ascii="Times New Roman" w:hAnsi="Times New Roman" w:cs="Times New Roman"/>
          <w:lang w:val="en-US"/>
        </w:rPr>
        <w:t xml:space="preserve"> </w:t>
      </w:r>
      <w:proofErr w:type="spellStart"/>
      <w:r w:rsidRPr="000C7C76">
        <w:rPr>
          <w:rFonts w:ascii="Times New Roman" w:hAnsi="Times New Roman" w:cs="Times New Roman"/>
          <w:lang w:val="en-US"/>
        </w:rPr>
        <w:t>Regulā</w:t>
      </w:r>
      <w:proofErr w:type="spellEnd"/>
      <w:r w:rsidRPr="000C7C76">
        <w:rPr>
          <w:rFonts w:ascii="Times New Roman" w:hAnsi="Times New Roman" w:cs="Times New Roman"/>
          <w:lang w:val="en-US"/>
        </w:rPr>
        <w:t xml:space="preserve"> </w:t>
      </w:r>
      <w:proofErr w:type="spellStart"/>
      <w:r w:rsidRPr="000C7C76">
        <w:rPr>
          <w:rFonts w:ascii="Times New Roman" w:hAnsi="Times New Roman" w:cs="Times New Roman"/>
          <w:lang w:val="en-US"/>
        </w:rPr>
        <w:t>netiek</w:t>
      </w:r>
      <w:proofErr w:type="spellEnd"/>
      <w:r w:rsidRPr="000C7C76">
        <w:rPr>
          <w:rFonts w:ascii="Times New Roman" w:hAnsi="Times New Roman" w:cs="Times New Roman"/>
          <w:lang w:val="en-US"/>
        </w:rPr>
        <w:t xml:space="preserve"> </w:t>
      </w:r>
      <w:proofErr w:type="spellStart"/>
      <w:r w:rsidRPr="000C7C76">
        <w:rPr>
          <w:rFonts w:ascii="Times New Roman" w:hAnsi="Times New Roman" w:cs="Times New Roman"/>
          <w:lang w:val="en-US"/>
        </w:rPr>
        <w:t>reglamentēta</w:t>
      </w:r>
      <w:proofErr w:type="spellEnd"/>
      <w:r w:rsidRPr="000C7C76">
        <w:rPr>
          <w:rFonts w:ascii="Times New Roman" w:hAnsi="Times New Roman" w:cs="Times New Roman"/>
          <w:lang w:val="en-US"/>
        </w:rPr>
        <w:t xml:space="preserve"> ES </w:t>
      </w:r>
      <w:proofErr w:type="spellStart"/>
      <w:r w:rsidRPr="000C7C76">
        <w:rPr>
          <w:rFonts w:ascii="Times New Roman" w:hAnsi="Times New Roman" w:cs="Times New Roman"/>
          <w:lang w:val="en-US"/>
        </w:rPr>
        <w:t>dalībvalstīs</w:t>
      </w:r>
      <w:proofErr w:type="spellEnd"/>
      <w:r w:rsidRPr="000C7C76">
        <w:rPr>
          <w:rFonts w:ascii="Times New Roman" w:hAnsi="Times New Roman" w:cs="Times New Roman"/>
          <w:lang w:val="en-US"/>
        </w:rPr>
        <w:t xml:space="preserve"> </w:t>
      </w:r>
      <w:proofErr w:type="spellStart"/>
      <w:r w:rsidRPr="000C7C76">
        <w:rPr>
          <w:rFonts w:ascii="Times New Roman" w:hAnsi="Times New Roman" w:cs="Times New Roman"/>
          <w:lang w:val="en-US"/>
        </w:rPr>
        <w:t>izdoto</w:t>
      </w:r>
      <w:proofErr w:type="spellEnd"/>
      <w:r w:rsidRPr="000C7C76">
        <w:rPr>
          <w:rFonts w:ascii="Times New Roman" w:hAnsi="Times New Roman" w:cs="Times New Roman"/>
          <w:lang w:val="en-US"/>
        </w:rPr>
        <w:t xml:space="preserve"> </w:t>
      </w:r>
      <w:proofErr w:type="spellStart"/>
      <w:r w:rsidRPr="000C7C76">
        <w:rPr>
          <w:rFonts w:ascii="Times New Roman" w:hAnsi="Times New Roman" w:cs="Times New Roman"/>
          <w:lang w:val="en-US"/>
        </w:rPr>
        <w:t>publisko</w:t>
      </w:r>
      <w:proofErr w:type="spellEnd"/>
      <w:r w:rsidRPr="000C7C76">
        <w:rPr>
          <w:rFonts w:ascii="Times New Roman" w:hAnsi="Times New Roman" w:cs="Times New Roman"/>
          <w:lang w:val="en-US"/>
        </w:rPr>
        <w:t xml:space="preserve"> </w:t>
      </w:r>
      <w:proofErr w:type="spellStart"/>
      <w:r w:rsidRPr="000C7C76">
        <w:rPr>
          <w:rFonts w:ascii="Times New Roman" w:hAnsi="Times New Roman" w:cs="Times New Roman"/>
          <w:lang w:val="en-US"/>
        </w:rPr>
        <w:t>dokumentu</w:t>
      </w:r>
      <w:proofErr w:type="spellEnd"/>
      <w:r w:rsidRPr="000C7C76">
        <w:rPr>
          <w:rFonts w:ascii="Times New Roman" w:hAnsi="Times New Roman" w:cs="Times New Roman"/>
          <w:lang w:val="en-US"/>
        </w:rPr>
        <w:t xml:space="preserve"> </w:t>
      </w:r>
      <w:proofErr w:type="spellStart"/>
      <w:r w:rsidRPr="000C7C76">
        <w:rPr>
          <w:rFonts w:ascii="Times New Roman" w:hAnsi="Times New Roman" w:cs="Times New Roman"/>
          <w:lang w:val="en-US"/>
        </w:rPr>
        <w:t>satura</w:t>
      </w:r>
      <w:proofErr w:type="spellEnd"/>
      <w:r w:rsidRPr="000C7C76">
        <w:rPr>
          <w:rFonts w:ascii="Times New Roman" w:hAnsi="Times New Roman" w:cs="Times New Roman"/>
          <w:lang w:val="en-US"/>
        </w:rPr>
        <w:t xml:space="preserve"> </w:t>
      </w:r>
      <w:proofErr w:type="spellStart"/>
      <w:r w:rsidRPr="000C7C76">
        <w:rPr>
          <w:rFonts w:ascii="Times New Roman" w:hAnsi="Times New Roman" w:cs="Times New Roman"/>
          <w:lang w:val="en-US"/>
        </w:rPr>
        <w:t>atzīšana</w:t>
      </w:r>
      <w:proofErr w:type="spellEnd"/>
      <w:r w:rsidRPr="000C7C76">
        <w:rPr>
          <w:rFonts w:ascii="Times New Roman" w:hAnsi="Times New Roman" w:cs="Times New Roman"/>
          <w:lang w:val="en-US"/>
        </w:rPr>
        <w:t xml:space="preserve"> (skat. Regulas </w:t>
      </w:r>
      <w:proofErr w:type="spellStart"/>
      <w:r w:rsidRPr="000C7C76">
        <w:rPr>
          <w:rFonts w:ascii="Times New Roman" w:hAnsi="Times New Roman" w:cs="Times New Roman"/>
          <w:lang w:val="en-US"/>
        </w:rPr>
        <w:t>preambulas</w:t>
      </w:r>
      <w:proofErr w:type="spellEnd"/>
      <w:r w:rsidRPr="000C7C76">
        <w:rPr>
          <w:rFonts w:ascii="Times New Roman" w:hAnsi="Times New Roman" w:cs="Times New Roman"/>
          <w:lang w:val="en-US"/>
        </w:rPr>
        <w:t xml:space="preserve"> </w:t>
      </w:r>
      <w:proofErr w:type="gramStart"/>
      <w:r w:rsidRPr="000C7C76">
        <w:rPr>
          <w:rFonts w:ascii="Times New Roman" w:hAnsi="Times New Roman" w:cs="Times New Roman"/>
          <w:lang w:val="en-US"/>
        </w:rPr>
        <w:t>18.apsvērumu</w:t>
      </w:r>
      <w:proofErr w:type="gramEnd"/>
      <w:r w:rsidRPr="000C7C76">
        <w:rPr>
          <w:rFonts w:ascii="Times New Roman" w:hAnsi="Times New Roman" w:cs="Times New Roman"/>
          <w:lang w:val="en-US"/>
        </w:rPr>
        <w:t xml:space="preserve"> un 2.panta 4.punktu). Regula </w:t>
      </w:r>
      <w:proofErr w:type="spellStart"/>
      <w:r w:rsidRPr="000C7C76">
        <w:rPr>
          <w:rFonts w:ascii="Times New Roman" w:hAnsi="Times New Roman" w:cs="Times New Roman"/>
          <w:lang w:val="en-US"/>
        </w:rPr>
        <w:t>neattiecas</w:t>
      </w:r>
      <w:proofErr w:type="spellEnd"/>
      <w:r w:rsidRPr="000C7C76">
        <w:rPr>
          <w:rFonts w:ascii="Times New Roman" w:hAnsi="Times New Roman" w:cs="Times New Roman"/>
          <w:lang w:val="en-US"/>
        </w:rPr>
        <w:t xml:space="preserve"> </w:t>
      </w:r>
      <w:proofErr w:type="spellStart"/>
      <w:r w:rsidRPr="000C7C76">
        <w:rPr>
          <w:rFonts w:ascii="Times New Roman" w:hAnsi="Times New Roman" w:cs="Times New Roman"/>
          <w:lang w:val="en-US"/>
        </w:rPr>
        <w:t>uz</w:t>
      </w:r>
      <w:proofErr w:type="spellEnd"/>
      <w:r w:rsidRPr="000C7C76">
        <w:rPr>
          <w:rFonts w:ascii="Times New Roman" w:hAnsi="Times New Roman" w:cs="Times New Roman"/>
          <w:lang w:val="en-US"/>
        </w:rPr>
        <w:t xml:space="preserve"> </w:t>
      </w:r>
      <w:proofErr w:type="spellStart"/>
      <w:r w:rsidRPr="000C7C76">
        <w:rPr>
          <w:rFonts w:ascii="Times New Roman" w:hAnsi="Times New Roman" w:cs="Times New Roman"/>
          <w:lang w:val="en-US"/>
        </w:rPr>
        <w:t>dokumentiem</w:t>
      </w:r>
      <w:proofErr w:type="spellEnd"/>
      <w:r w:rsidRPr="000C7C76">
        <w:rPr>
          <w:rFonts w:ascii="Times New Roman" w:hAnsi="Times New Roman" w:cs="Times New Roman"/>
          <w:lang w:val="en-US"/>
        </w:rPr>
        <w:t xml:space="preserve">, ko </w:t>
      </w:r>
      <w:proofErr w:type="spellStart"/>
      <w:r w:rsidRPr="000C7C76">
        <w:rPr>
          <w:rFonts w:ascii="Times New Roman" w:hAnsi="Times New Roman" w:cs="Times New Roman"/>
          <w:lang w:val="en-US"/>
        </w:rPr>
        <w:t>izdevušas</w:t>
      </w:r>
      <w:proofErr w:type="spellEnd"/>
      <w:r w:rsidRPr="000C7C76">
        <w:rPr>
          <w:rFonts w:ascii="Times New Roman" w:hAnsi="Times New Roman" w:cs="Times New Roman"/>
          <w:lang w:val="en-US"/>
        </w:rPr>
        <w:t xml:space="preserve"> </w:t>
      </w:r>
      <w:proofErr w:type="spellStart"/>
      <w:r w:rsidRPr="000C7C76">
        <w:rPr>
          <w:rFonts w:ascii="Times New Roman" w:hAnsi="Times New Roman" w:cs="Times New Roman"/>
          <w:lang w:val="en-US"/>
        </w:rPr>
        <w:t>privātpersonas</w:t>
      </w:r>
      <w:proofErr w:type="spellEnd"/>
      <w:r w:rsidRPr="000C7C76">
        <w:rPr>
          <w:rFonts w:ascii="Times New Roman" w:hAnsi="Times New Roman" w:cs="Times New Roman"/>
          <w:lang w:val="en-US"/>
        </w:rPr>
        <w:t xml:space="preserve">, </w:t>
      </w:r>
      <w:proofErr w:type="spellStart"/>
      <w:r w:rsidRPr="000C7C76">
        <w:rPr>
          <w:rFonts w:ascii="Times New Roman" w:hAnsi="Times New Roman" w:cs="Times New Roman"/>
          <w:lang w:val="en-US"/>
        </w:rPr>
        <w:t>kā</w:t>
      </w:r>
      <w:proofErr w:type="spellEnd"/>
      <w:r w:rsidRPr="000C7C76">
        <w:rPr>
          <w:rFonts w:ascii="Times New Roman" w:hAnsi="Times New Roman" w:cs="Times New Roman"/>
          <w:lang w:val="en-US"/>
        </w:rPr>
        <w:t xml:space="preserve"> </w:t>
      </w:r>
      <w:proofErr w:type="spellStart"/>
      <w:r w:rsidRPr="000C7C76">
        <w:rPr>
          <w:rFonts w:ascii="Times New Roman" w:hAnsi="Times New Roman" w:cs="Times New Roman"/>
          <w:lang w:val="en-US"/>
        </w:rPr>
        <w:t>arī</w:t>
      </w:r>
      <w:proofErr w:type="spellEnd"/>
      <w:r w:rsidRPr="000C7C76">
        <w:rPr>
          <w:rFonts w:ascii="Times New Roman" w:hAnsi="Times New Roman" w:cs="Times New Roman"/>
          <w:lang w:val="en-US"/>
        </w:rPr>
        <w:t xml:space="preserve"> </w:t>
      </w:r>
      <w:proofErr w:type="spellStart"/>
      <w:r w:rsidRPr="000C7C76">
        <w:rPr>
          <w:rFonts w:ascii="Times New Roman" w:hAnsi="Times New Roman" w:cs="Times New Roman"/>
          <w:lang w:val="en-US"/>
        </w:rPr>
        <w:t>uz</w:t>
      </w:r>
      <w:proofErr w:type="spellEnd"/>
      <w:r w:rsidRPr="000C7C76">
        <w:rPr>
          <w:rFonts w:ascii="Times New Roman" w:hAnsi="Times New Roman" w:cs="Times New Roman"/>
          <w:lang w:val="en-US"/>
        </w:rPr>
        <w:t xml:space="preserve"> </w:t>
      </w:r>
      <w:proofErr w:type="spellStart"/>
      <w:r w:rsidRPr="000C7C76">
        <w:rPr>
          <w:rFonts w:ascii="Times New Roman" w:hAnsi="Times New Roman" w:cs="Times New Roman"/>
          <w:lang w:val="en-US"/>
        </w:rPr>
        <w:t>publiskiem</w:t>
      </w:r>
      <w:proofErr w:type="spellEnd"/>
      <w:r w:rsidRPr="000C7C76">
        <w:rPr>
          <w:rFonts w:ascii="Times New Roman" w:hAnsi="Times New Roman" w:cs="Times New Roman"/>
          <w:lang w:val="en-US"/>
        </w:rPr>
        <w:t xml:space="preserve"> </w:t>
      </w:r>
      <w:proofErr w:type="spellStart"/>
      <w:r w:rsidRPr="000C7C76">
        <w:rPr>
          <w:rFonts w:ascii="Times New Roman" w:hAnsi="Times New Roman" w:cs="Times New Roman"/>
          <w:lang w:val="en-US"/>
        </w:rPr>
        <w:t>dokumentiem</w:t>
      </w:r>
      <w:proofErr w:type="spellEnd"/>
      <w:r w:rsidRPr="000C7C76">
        <w:rPr>
          <w:rFonts w:ascii="Times New Roman" w:hAnsi="Times New Roman" w:cs="Times New Roman"/>
          <w:lang w:val="en-US"/>
        </w:rPr>
        <w:t xml:space="preserve">, ko </w:t>
      </w:r>
      <w:proofErr w:type="spellStart"/>
      <w:r w:rsidRPr="000C7C76">
        <w:rPr>
          <w:rFonts w:ascii="Times New Roman" w:hAnsi="Times New Roman" w:cs="Times New Roman"/>
          <w:lang w:val="en-US"/>
        </w:rPr>
        <w:t>izdevušas</w:t>
      </w:r>
      <w:proofErr w:type="spellEnd"/>
      <w:r w:rsidRPr="000C7C76">
        <w:rPr>
          <w:rFonts w:ascii="Times New Roman" w:hAnsi="Times New Roman" w:cs="Times New Roman"/>
          <w:lang w:val="en-US"/>
        </w:rPr>
        <w:t xml:space="preserve"> </w:t>
      </w:r>
      <w:proofErr w:type="spellStart"/>
      <w:r w:rsidRPr="000C7C76">
        <w:rPr>
          <w:rFonts w:ascii="Times New Roman" w:hAnsi="Times New Roman" w:cs="Times New Roman"/>
          <w:lang w:val="en-US"/>
        </w:rPr>
        <w:t>trešo</w:t>
      </w:r>
      <w:proofErr w:type="spellEnd"/>
      <w:r w:rsidRPr="000C7C76">
        <w:rPr>
          <w:rFonts w:ascii="Times New Roman" w:hAnsi="Times New Roman" w:cs="Times New Roman"/>
          <w:lang w:val="en-US"/>
        </w:rPr>
        <w:t xml:space="preserve"> </w:t>
      </w:r>
      <w:proofErr w:type="spellStart"/>
      <w:r w:rsidRPr="000C7C76">
        <w:rPr>
          <w:rFonts w:ascii="Times New Roman" w:hAnsi="Times New Roman" w:cs="Times New Roman"/>
          <w:lang w:val="en-US"/>
        </w:rPr>
        <w:t>valstu</w:t>
      </w:r>
      <w:proofErr w:type="spellEnd"/>
      <w:r w:rsidRPr="000C7C76">
        <w:rPr>
          <w:rFonts w:ascii="Times New Roman" w:hAnsi="Times New Roman" w:cs="Times New Roman"/>
          <w:lang w:val="en-US"/>
        </w:rPr>
        <w:t xml:space="preserve"> </w:t>
      </w:r>
      <w:proofErr w:type="spellStart"/>
      <w:r w:rsidRPr="000C7C76">
        <w:rPr>
          <w:rFonts w:ascii="Times New Roman" w:hAnsi="Times New Roman" w:cs="Times New Roman"/>
          <w:lang w:val="en-US"/>
        </w:rPr>
        <w:t>iestādes</w:t>
      </w:r>
      <w:proofErr w:type="spellEnd"/>
      <w:r w:rsidRPr="000C7C76">
        <w:rPr>
          <w:rFonts w:ascii="Times New Roman" w:hAnsi="Times New Roman" w:cs="Times New Roman"/>
          <w:lang w:val="en-US"/>
        </w:rPr>
        <w:t xml:space="preserve"> (pat tad, ja </w:t>
      </w:r>
      <w:proofErr w:type="spellStart"/>
      <w:r w:rsidRPr="000C7C76">
        <w:rPr>
          <w:rFonts w:ascii="Times New Roman" w:hAnsi="Times New Roman" w:cs="Times New Roman"/>
          <w:lang w:val="en-US"/>
        </w:rPr>
        <w:t>kādas</w:t>
      </w:r>
      <w:proofErr w:type="spellEnd"/>
      <w:r w:rsidRPr="000C7C76">
        <w:rPr>
          <w:rFonts w:ascii="Times New Roman" w:hAnsi="Times New Roman" w:cs="Times New Roman"/>
          <w:lang w:val="en-US"/>
        </w:rPr>
        <w:t xml:space="preserve"> ES </w:t>
      </w:r>
      <w:proofErr w:type="spellStart"/>
      <w:r w:rsidRPr="000C7C76">
        <w:rPr>
          <w:rFonts w:ascii="Times New Roman" w:hAnsi="Times New Roman" w:cs="Times New Roman"/>
          <w:lang w:val="en-US"/>
        </w:rPr>
        <w:t>dalībvalsts</w:t>
      </w:r>
      <w:proofErr w:type="spellEnd"/>
      <w:r w:rsidRPr="000C7C76">
        <w:rPr>
          <w:rFonts w:ascii="Times New Roman" w:hAnsi="Times New Roman" w:cs="Times New Roman"/>
          <w:lang w:val="en-US"/>
        </w:rPr>
        <w:t xml:space="preserve"> </w:t>
      </w:r>
      <w:proofErr w:type="spellStart"/>
      <w:r w:rsidRPr="000C7C76">
        <w:rPr>
          <w:rFonts w:ascii="Times New Roman" w:hAnsi="Times New Roman" w:cs="Times New Roman"/>
          <w:lang w:val="en-US"/>
        </w:rPr>
        <w:t>iestādes</w:t>
      </w:r>
      <w:proofErr w:type="spellEnd"/>
      <w:r w:rsidRPr="000C7C76">
        <w:rPr>
          <w:rFonts w:ascii="Times New Roman" w:hAnsi="Times New Roman" w:cs="Times New Roman"/>
          <w:lang w:val="en-US"/>
        </w:rPr>
        <w:t xml:space="preserve"> </w:t>
      </w:r>
      <w:proofErr w:type="spellStart"/>
      <w:r w:rsidRPr="000C7C76">
        <w:rPr>
          <w:rFonts w:ascii="Times New Roman" w:hAnsi="Times New Roman" w:cs="Times New Roman"/>
          <w:lang w:val="en-US"/>
        </w:rPr>
        <w:t>tos</w:t>
      </w:r>
      <w:proofErr w:type="spellEnd"/>
      <w:r w:rsidRPr="000C7C76">
        <w:rPr>
          <w:rFonts w:ascii="Times New Roman" w:hAnsi="Times New Roman" w:cs="Times New Roman"/>
          <w:lang w:val="en-US"/>
        </w:rPr>
        <w:t xml:space="preserve"> </w:t>
      </w:r>
      <w:proofErr w:type="spellStart"/>
      <w:r w:rsidRPr="000C7C76">
        <w:rPr>
          <w:rFonts w:ascii="Times New Roman" w:hAnsi="Times New Roman" w:cs="Times New Roman"/>
          <w:lang w:val="en-US"/>
        </w:rPr>
        <w:t>jau</w:t>
      </w:r>
      <w:proofErr w:type="spellEnd"/>
      <w:r w:rsidRPr="000C7C76">
        <w:rPr>
          <w:rFonts w:ascii="Times New Roman" w:hAnsi="Times New Roman" w:cs="Times New Roman"/>
          <w:lang w:val="en-US"/>
        </w:rPr>
        <w:t xml:space="preserve"> </w:t>
      </w:r>
      <w:proofErr w:type="spellStart"/>
      <w:r w:rsidRPr="000C7C76">
        <w:rPr>
          <w:rFonts w:ascii="Times New Roman" w:hAnsi="Times New Roman" w:cs="Times New Roman"/>
          <w:lang w:val="en-US"/>
        </w:rPr>
        <w:t>ir</w:t>
      </w:r>
      <w:proofErr w:type="spellEnd"/>
      <w:r w:rsidRPr="000C7C76">
        <w:rPr>
          <w:rFonts w:ascii="Times New Roman" w:hAnsi="Times New Roman" w:cs="Times New Roman"/>
          <w:lang w:val="en-US"/>
        </w:rPr>
        <w:t xml:space="preserve"> </w:t>
      </w:r>
      <w:proofErr w:type="spellStart"/>
      <w:r w:rsidRPr="000C7C76">
        <w:rPr>
          <w:rFonts w:ascii="Times New Roman" w:hAnsi="Times New Roman" w:cs="Times New Roman"/>
          <w:lang w:val="en-US"/>
        </w:rPr>
        <w:t>akceptējušas</w:t>
      </w:r>
      <w:proofErr w:type="spellEnd"/>
      <w:r w:rsidRPr="000C7C76">
        <w:rPr>
          <w:rFonts w:ascii="Times New Roman" w:hAnsi="Times New Roman" w:cs="Times New Roman"/>
          <w:lang w:val="en-US"/>
        </w:rPr>
        <w:t xml:space="preserve"> </w:t>
      </w:r>
      <w:proofErr w:type="spellStart"/>
      <w:r w:rsidRPr="000C7C76">
        <w:rPr>
          <w:rFonts w:ascii="Times New Roman" w:hAnsi="Times New Roman" w:cs="Times New Roman"/>
          <w:lang w:val="en-US"/>
        </w:rPr>
        <w:t>kā</w:t>
      </w:r>
      <w:proofErr w:type="spellEnd"/>
      <w:r w:rsidRPr="000C7C76">
        <w:rPr>
          <w:rFonts w:ascii="Times New Roman" w:hAnsi="Times New Roman" w:cs="Times New Roman"/>
          <w:lang w:val="en-US"/>
        </w:rPr>
        <w:t xml:space="preserve"> </w:t>
      </w:r>
      <w:proofErr w:type="spellStart"/>
      <w:r w:rsidRPr="000C7C76">
        <w:rPr>
          <w:rFonts w:ascii="Times New Roman" w:hAnsi="Times New Roman" w:cs="Times New Roman"/>
          <w:lang w:val="en-US"/>
        </w:rPr>
        <w:t>autentiskus</w:t>
      </w:r>
      <w:proofErr w:type="spellEnd"/>
      <w:r w:rsidRPr="000C7C76">
        <w:rPr>
          <w:rFonts w:ascii="Times New Roman" w:hAnsi="Times New Roman" w:cs="Times New Roman"/>
          <w:lang w:val="en-US"/>
        </w:rPr>
        <w:t xml:space="preserve">), </w:t>
      </w:r>
      <w:proofErr w:type="spellStart"/>
      <w:r w:rsidRPr="000C7C76">
        <w:rPr>
          <w:rFonts w:ascii="Times New Roman" w:hAnsi="Times New Roman" w:cs="Times New Roman"/>
          <w:lang w:val="en-US"/>
        </w:rPr>
        <w:t>kā</w:t>
      </w:r>
      <w:proofErr w:type="spellEnd"/>
      <w:r w:rsidRPr="000C7C76">
        <w:rPr>
          <w:rFonts w:ascii="Times New Roman" w:hAnsi="Times New Roman" w:cs="Times New Roman"/>
          <w:lang w:val="en-US"/>
        </w:rPr>
        <w:t xml:space="preserve"> </w:t>
      </w:r>
      <w:proofErr w:type="spellStart"/>
      <w:r w:rsidRPr="000C7C76">
        <w:rPr>
          <w:rFonts w:ascii="Times New Roman" w:hAnsi="Times New Roman" w:cs="Times New Roman"/>
          <w:lang w:val="en-US"/>
        </w:rPr>
        <w:t>arī</w:t>
      </w:r>
      <w:proofErr w:type="spellEnd"/>
      <w:r w:rsidRPr="000C7C76">
        <w:rPr>
          <w:rFonts w:ascii="Times New Roman" w:hAnsi="Times New Roman" w:cs="Times New Roman"/>
          <w:lang w:val="en-US"/>
        </w:rPr>
        <w:t xml:space="preserve"> </w:t>
      </w:r>
      <w:proofErr w:type="spellStart"/>
      <w:r w:rsidRPr="000C7C76">
        <w:rPr>
          <w:rFonts w:ascii="Times New Roman" w:hAnsi="Times New Roman" w:cs="Times New Roman"/>
          <w:lang w:val="en-US"/>
        </w:rPr>
        <w:t>uz</w:t>
      </w:r>
      <w:proofErr w:type="spellEnd"/>
      <w:r w:rsidRPr="000C7C76">
        <w:rPr>
          <w:rFonts w:ascii="Times New Roman" w:hAnsi="Times New Roman" w:cs="Times New Roman"/>
          <w:lang w:val="en-US"/>
        </w:rPr>
        <w:t xml:space="preserve"> </w:t>
      </w:r>
      <w:proofErr w:type="spellStart"/>
      <w:r w:rsidRPr="000C7C76">
        <w:rPr>
          <w:rFonts w:ascii="Times New Roman" w:hAnsi="Times New Roman" w:cs="Times New Roman"/>
          <w:lang w:val="en-US"/>
        </w:rPr>
        <w:t>trešo</w:t>
      </w:r>
      <w:proofErr w:type="spellEnd"/>
      <w:r w:rsidRPr="000C7C76">
        <w:rPr>
          <w:rFonts w:ascii="Times New Roman" w:hAnsi="Times New Roman" w:cs="Times New Roman"/>
          <w:lang w:val="en-US"/>
        </w:rPr>
        <w:t xml:space="preserve"> </w:t>
      </w:r>
      <w:proofErr w:type="spellStart"/>
      <w:r w:rsidRPr="000C7C76">
        <w:rPr>
          <w:rFonts w:ascii="Times New Roman" w:hAnsi="Times New Roman" w:cs="Times New Roman"/>
          <w:lang w:val="en-US"/>
        </w:rPr>
        <w:t>valstu</w:t>
      </w:r>
      <w:proofErr w:type="spellEnd"/>
      <w:r w:rsidRPr="000C7C76">
        <w:rPr>
          <w:rFonts w:ascii="Times New Roman" w:hAnsi="Times New Roman" w:cs="Times New Roman"/>
          <w:lang w:val="en-US"/>
        </w:rPr>
        <w:t xml:space="preserve"> </w:t>
      </w:r>
      <w:proofErr w:type="spellStart"/>
      <w:r w:rsidRPr="000C7C76">
        <w:rPr>
          <w:rFonts w:ascii="Times New Roman" w:hAnsi="Times New Roman" w:cs="Times New Roman"/>
          <w:lang w:val="en-US"/>
        </w:rPr>
        <w:t>izdoto</w:t>
      </w:r>
      <w:proofErr w:type="spellEnd"/>
      <w:r w:rsidRPr="000C7C76">
        <w:rPr>
          <w:rFonts w:ascii="Times New Roman" w:hAnsi="Times New Roman" w:cs="Times New Roman"/>
          <w:lang w:val="en-US"/>
        </w:rPr>
        <w:t xml:space="preserve"> </w:t>
      </w:r>
      <w:proofErr w:type="spellStart"/>
      <w:r w:rsidRPr="000C7C76">
        <w:rPr>
          <w:rFonts w:ascii="Times New Roman" w:hAnsi="Times New Roman" w:cs="Times New Roman"/>
          <w:lang w:val="en-US"/>
        </w:rPr>
        <w:t>publisko</w:t>
      </w:r>
      <w:proofErr w:type="spellEnd"/>
      <w:r w:rsidRPr="000C7C76">
        <w:rPr>
          <w:rFonts w:ascii="Times New Roman" w:hAnsi="Times New Roman" w:cs="Times New Roman"/>
          <w:lang w:val="en-US"/>
        </w:rPr>
        <w:t xml:space="preserve"> </w:t>
      </w:r>
      <w:proofErr w:type="spellStart"/>
      <w:r w:rsidRPr="000C7C76">
        <w:rPr>
          <w:rFonts w:ascii="Times New Roman" w:hAnsi="Times New Roman" w:cs="Times New Roman"/>
          <w:lang w:val="en-US"/>
        </w:rPr>
        <w:t>dokumentu</w:t>
      </w:r>
      <w:proofErr w:type="spellEnd"/>
      <w:r w:rsidRPr="000C7C76">
        <w:rPr>
          <w:rFonts w:ascii="Times New Roman" w:hAnsi="Times New Roman" w:cs="Times New Roman"/>
          <w:lang w:val="en-US"/>
        </w:rPr>
        <w:t xml:space="preserve"> </w:t>
      </w:r>
      <w:proofErr w:type="spellStart"/>
      <w:r w:rsidRPr="000C7C76">
        <w:rPr>
          <w:rFonts w:ascii="Times New Roman" w:hAnsi="Times New Roman" w:cs="Times New Roman"/>
          <w:lang w:val="en-US"/>
        </w:rPr>
        <w:t>apliecinātām</w:t>
      </w:r>
      <w:proofErr w:type="spellEnd"/>
      <w:r w:rsidRPr="000C7C76">
        <w:rPr>
          <w:rFonts w:ascii="Times New Roman" w:hAnsi="Times New Roman" w:cs="Times New Roman"/>
          <w:lang w:val="en-US"/>
        </w:rPr>
        <w:t xml:space="preserve"> </w:t>
      </w:r>
      <w:proofErr w:type="spellStart"/>
      <w:r w:rsidRPr="000C7C76">
        <w:rPr>
          <w:rFonts w:ascii="Times New Roman" w:hAnsi="Times New Roman" w:cs="Times New Roman"/>
          <w:lang w:val="en-US"/>
        </w:rPr>
        <w:t>kopijām</w:t>
      </w:r>
      <w:proofErr w:type="spellEnd"/>
      <w:r w:rsidRPr="000C7C76">
        <w:rPr>
          <w:rFonts w:ascii="Times New Roman" w:hAnsi="Times New Roman" w:cs="Times New Roman"/>
          <w:lang w:val="en-US"/>
        </w:rPr>
        <w:t xml:space="preserve">, ko </w:t>
      </w:r>
      <w:proofErr w:type="spellStart"/>
      <w:r w:rsidRPr="000C7C76">
        <w:rPr>
          <w:rFonts w:ascii="Times New Roman" w:hAnsi="Times New Roman" w:cs="Times New Roman"/>
          <w:lang w:val="en-US"/>
        </w:rPr>
        <w:t>sagatavojušas</w:t>
      </w:r>
      <w:proofErr w:type="spellEnd"/>
      <w:r w:rsidRPr="000C7C76">
        <w:rPr>
          <w:rFonts w:ascii="Times New Roman" w:hAnsi="Times New Roman" w:cs="Times New Roman"/>
          <w:lang w:val="en-US"/>
        </w:rPr>
        <w:t xml:space="preserve"> </w:t>
      </w:r>
      <w:proofErr w:type="spellStart"/>
      <w:r w:rsidRPr="000C7C76">
        <w:rPr>
          <w:rFonts w:ascii="Times New Roman" w:hAnsi="Times New Roman" w:cs="Times New Roman"/>
          <w:lang w:val="en-US"/>
        </w:rPr>
        <w:t>kādas</w:t>
      </w:r>
      <w:proofErr w:type="spellEnd"/>
      <w:r w:rsidRPr="000C7C76">
        <w:rPr>
          <w:rFonts w:ascii="Times New Roman" w:hAnsi="Times New Roman" w:cs="Times New Roman"/>
          <w:lang w:val="en-US"/>
        </w:rPr>
        <w:t xml:space="preserve"> ES </w:t>
      </w:r>
      <w:proofErr w:type="spellStart"/>
      <w:r w:rsidRPr="000C7C76">
        <w:rPr>
          <w:rFonts w:ascii="Times New Roman" w:hAnsi="Times New Roman" w:cs="Times New Roman"/>
          <w:lang w:val="en-US"/>
        </w:rPr>
        <w:t>dalībvalsts</w:t>
      </w:r>
      <w:proofErr w:type="spellEnd"/>
      <w:r w:rsidRPr="000C7C76">
        <w:rPr>
          <w:rFonts w:ascii="Times New Roman" w:hAnsi="Times New Roman" w:cs="Times New Roman"/>
          <w:lang w:val="en-US"/>
        </w:rPr>
        <w:t xml:space="preserve"> </w:t>
      </w:r>
      <w:proofErr w:type="spellStart"/>
      <w:r w:rsidRPr="000C7C76">
        <w:rPr>
          <w:rFonts w:ascii="Times New Roman" w:hAnsi="Times New Roman" w:cs="Times New Roman"/>
          <w:lang w:val="en-US"/>
        </w:rPr>
        <w:t>iestādes</w:t>
      </w:r>
      <w:proofErr w:type="spellEnd"/>
      <w:r w:rsidRPr="00CD4311">
        <w:rPr>
          <w:rStyle w:val="FootnoteReference"/>
          <w:rFonts w:ascii="Times New Roman" w:hAnsi="Times New Roman" w:cs="Times New Roman"/>
        </w:rPr>
        <w:footnoteReference w:id="145"/>
      </w:r>
      <w:r w:rsidRPr="000C7C76">
        <w:rPr>
          <w:rFonts w:ascii="Times New Roman" w:hAnsi="Times New Roman" w:cs="Times New Roman"/>
          <w:lang w:val="en-US"/>
        </w:rPr>
        <w:t>.</w:t>
      </w:r>
    </w:p>
    <w:p w14:paraId="344ACB7F" w14:textId="77777777" w:rsidR="00114953" w:rsidRPr="000C7C76" w:rsidRDefault="00114953" w:rsidP="00114953">
      <w:pPr>
        <w:tabs>
          <w:tab w:val="left" w:pos="-720"/>
        </w:tabs>
        <w:jc w:val="both"/>
        <w:rPr>
          <w:rFonts w:ascii="Times New Roman" w:hAnsi="Times New Roman" w:cs="Times New Roman"/>
          <w:lang w:val="en-US"/>
        </w:rPr>
      </w:pPr>
      <w:r w:rsidRPr="000C7C76">
        <w:rPr>
          <w:rFonts w:ascii="Times New Roman" w:hAnsi="Times New Roman" w:cs="Times New Roman"/>
          <w:lang w:val="en-US"/>
        </w:rPr>
        <w:tab/>
      </w:r>
      <w:proofErr w:type="spellStart"/>
      <w:r w:rsidRPr="000C7C76">
        <w:rPr>
          <w:rFonts w:ascii="Times New Roman" w:hAnsi="Times New Roman" w:cs="Times New Roman"/>
          <w:lang w:val="en-US"/>
        </w:rPr>
        <w:t>Saskaņā</w:t>
      </w:r>
      <w:proofErr w:type="spellEnd"/>
      <w:r w:rsidRPr="000C7C76">
        <w:rPr>
          <w:rFonts w:ascii="Times New Roman" w:hAnsi="Times New Roman" w:cs="Times New Roman"/>
          <w:lang w:val="en-US"/>
        </w:rPr>
        <w:t xml:space="preserve"> </w:t>
      </w:r>
      <w:proofErr w:type="spellStart"/>
      <w:r w:rsidRPr="000C7C76">
        <w:rPr>
          <w:rFonts w:ascii="Times New Roman" w:hAnsi="Times New Roman" w:cs="Times New Roman"/>
          <w:lang w:val="en-US"/>
        </w:rPr>
        <w:t>ar</w:t>
      </w:r>
      <w:proofErr w:type="spellEnd"/>
      <w:r w:rsidRPr="000C7C76">
        <w:rPr>
          <w:rFonts w:ascii="Times New Roman" w:hAnsi="Times New Roman" w:cs="Times New Roman"/>
          <w:lang w:val="en-US"/>
        </w:rPr>
        <w:t xml:space="preserve"> Regulas </w:t>
      </w:r>
      <w:proofErr w:type="gramStart"/>
      <w:r w:rsidRPr="000C7C76">
        <w:rPr>
          <w:rFonts w:ascii="Times New Roman" w:hAnsi="Times New Roman" w:cs="Times New Roman"/>
          <w:lang w:val="en-US"/>
        </w:rPr>
        <w:t>2.panta</w:t>
      </w:r>
      <w:proofErr w:type="gramEnd"/>
      <w:r w:rsidRPr="000C7C76">
        <w:rPr>
          <w:rFonts w:ascii="Times New Roman" w:hAnsi="Times New Roman" w:cs="Times New Roman"/>
          <w:lang w:val="en-US"/>
        </w:rPr>
        <w:t xml:space="preserve"> 1.punktu, </w:t>
      </w:r>
      <w:proofErr w:type="spellStart"/>
      <w:r w:rsidRPr="000C7C76">
        <w:rPr>
          <w:rFonts w:ascii="Times New Roman" w:hAnsi="Times New Roman" w:cs="Times New Roman"/>
          <w:lang w:val="en-US"/>
        </w:rPr>
        <w:t>šo</w:t>
      </w:r>
      <w:proofErr w:type="spellEnd"/>
      <w:r w:rsidRPr="000C7C76">
        <w:rPr>
          <w:rFonts w:ascii="Times New Roman" w:hAnsi="Times New Roman" w:cs="Times New Roman"/>
          <w:lang w:val="en-US"/>
        </w:rPr>
        <w:t xml:space="preserve"> </w:t>
      </w:r>
      <w:proofErr w:type="spellStart"/>
      <w:r w:rsidRPr="000C7C76">
        <w:rPr>
          <w:rFonts w:ascii="Times New Roman" w:hAnsi="Times New Roman" w:cs="Times New Roman"/>
          <w:b/>
          <w:lang w:val="en-US"/>
        </w:rPr>
        <w:t>Regulu</w:t>
      </w:r>
      <w:proofErr w:type="spellEnd"/>
      <w:r w:rsidRPr="000C7C76">
        <w:rPr>
          <w:rFonts w:ascii="Times New Roman" w:hAnsi="Times New Roman" w:cs="Times New Roman"/>
          <w:b/>
          <w:lang w:val="en-US"/>
        </w:rPr>
        <w:t xml:space="preserve"> </w:t>
      </w:r>
      <w:proofErr w:type="spellStart"/>
      <w:r w:rsidRPr="000C7C76">
        <w:rPr>
          <w:rFonts w:ascii="Times New Roman" w:hAnsi="Times New Roman" w:cs="Times New Roman"/>
          <w:b/>
          <w:lang w:val="en-US"/>
        </w:rPr>
        <w:t>piemēro</w:t>
      </w:r>
      <w:proofErr w:type="spellEnd"/>
      <w:r w:rsidRPr="000C7C76">
        <w:rPr>
          <w:rFonts w:ascii="Times New Roman" w:hAnsi="Times New Roman" w:cs="Times New Roman"/>
          <w:b/>
          <w:lang w:val="en-US"/>
        </w:rPr>
        <w:t xml:space="preserve"> </w:t>
      </w:r>
      <w:proofErr w:type="spellStart"/>
      <w:r w:rsidRPr="000C7C76">
        <w:rPr>
          <w:rFonts w:ascii="Times New Roman" w:hAnsi="Times New Roman" w:cs="Times New Roman"/>
          <w:b/>
          <w:lang w:val="en-US"/>
        </w:rPr>
        <w:t>tādiem</w:t>
      </w:r>
      <w:proofErr w:type="spellEnd"/>
      <w:r w:rsidRPr="000C7C76">
        <w:rPr>
          <w:rFonts w:ascii="Times New Roman" w:hAnsi="Times New Roman" w:cs="Times New Roman"/>
          <w:b/>
          <w:lang w:val="en-US"/>
        </w:rPr>
        <w:t xml:space="preserve"> </w:t>
      </w:r>
      <w:proofErr w:type="spellStart"/>
      <w:r w:rsidRPr="000C7C76">
        <w:rPr>
          <w:rFonts w:ascii="Times New Roman" w:hAnsi="Times New Roman" w:cs="Times New Roman"/>
          <w:b/>
          <w:lang w:val="en-US"/>
        </w:rPr>
        <w:t>publiskiem</w:t>
      </w:r>
      <w:proofErr w:type="spellEnd"/>
      <w:r w:rsidRPr="000C7C76">
        <w:rPr>
          <w:rFonts w:ascii="Times New Roman" w:hAnsi="Times New Roman" w:cs="Times New Roman"/>
          <w:b/>
          <w:lang w:val="en-US"/>
        </w:rPr>
        <w:t xml:space="preserve"> </w:t>
      </w:r>
      <w:proofErr w:type="spellStart"/>
      <w:r w:rsidRPr="000C7C76">
        <w:rPr>
          <w:rFonts w:ascii="Times New Roman" w:hAnsi="Times New Roman" w:cs="Times New Roman"/>
          <w:b/>
          <w:lang w:val="en-US"/>
        </w:rPr>
        <w:t>dokumentiem</w:t>
      </w:r>
      <w:proofErr w:type="spellEnd"/>
      <w:r w:rsidRPr="000C7C76">
        <w:rPr>
          <w:rFonts w:ascii="Times New Roman" w:hAnsi="Times New Roman" w:cs="Times New Roman"/>
          <w:lang w:val="en-US"/>
        </w:rPr>
        <w:t xml:space="preserve">, kurus </w:t>
      </w:r>
      <w:proofErr w:type="spellStart"/>
      <w:r w:rsidRPr="000C7C76">
        <w:rPr>
          <w:rFonts w:ascii="Times New Roman" w:hAnsi="Times New Roman" w:cs="Times New Roman"/>
          <w:lang w:val="en-US"/>
        </w:rPr>
        <w:t>saskaņā</w:t>
      </w:r>
      <w:proofErr w:type="spellEnd"/>
      <w:r w:rsidRPr="000C7C76">
        <w:rPr>
          <w:rFonts w:ascii="Times New Roman" w:hAnsi="Times New Roman" w:cs="Times New Roman"/>
          <w:lang w:val="en-US"/>
        </w:rPr>
        <w:t xml:space="preserve"> </w:t>
      </w:r>
      <w:proofErr w:type="spellStart"/>
      <w:r w:rsidRPr="000C7C76">
        <w:rPr>
          <w:rFonts w:ascii="Times New Roman" w:hAnsi="Times New Roman" w:cs="Times New Roman"/>
          <w:lang w:val="en-US"/>
        </w:rPr>
        <w:t>ar</w:t>
      </w:r>
      <w:proofErr w:type="spellEnd"/>
      <w:r w:rsidRPr="000C7C76">
        <w:rPr>
          <w:rFonts w:ascii="Times New Roman" w:hAnsi="Times New Roman" w:cs="Times New Roman"/>
          <w:lang w:val="en-US"/>
        </w:rPr>
        <w:t xml:space="preserve"> </w:t>
      </w:r>
      <w:proofErr w:type="spellStart"/>
      <w:r w:rsidRPr="000C7C76">
        <w:rPr>
          <w:rFonts w:ascii="Times New Roman" w:hAnsi="Times New Roman" w:cs="Times New Roman"/>
          <w:lang w:val="en-US"/>
        </w:rPr>
        <w:t>attiecīgās</w:t>
      </w:r>
      <w:proofErr w:type="spellEnd"/>
      <w:r w:rsidRPr="000C7C76">
        <w:rPr>
          <w:rFonts w:ascii="Times New Roman" w:hAnsi="Times New Roman" w:cs="Times New Roman"/>
          <w:lang w:val="en-US"/>
        </w:rPr>
        <w:t xml:space="preserve"> </w:t>
      </w:r>
      <w:proofErr w:type="spellStart"/>
      <w:r w:rsidRPr="000C7C76">
        <w:rPr>
          <w:rFonts w:ascii="Times New Roman" w:hAnsi="Times New Roman" w:cs="Times New Roman"/>
          <w:lang w:val="en-US"/>
        </w:rPr>
        <w:t>valsts</w:t>
      </w:r>
      <w:proofErr w:type="spellEnd"/>
      <w:r w:rsidRPr="000C7C76">
        <w:rPr>
          <w:rFonts w:ascii="Times New Roman" w:hAnsi="Times New Roman" w:cs="Times New Roman"/>
          <w:lang w:val="en-US"/>
        </w:rPr>
        <w:t xml:space="preserve"> </w:t>
      </w:r>
      <w:proofErr w:type="spellStart"/>
      <w:r w:rsidRPr="000C7C76">
        <w:rPr>
          <w:rFonts w:ascii="Times New Roman" w:hAnsi="Times New Roman" w:cs="Times New Roman"/>
          <w:lang w:val="en-US"/>
        </w:rPr>
        <w:t>tiesību</w:t>
      </w:r>
      <w:proofErr w:type="spellEnd"/>
      <w:r w:rsidRPr="000C7C76">
        <w:rPr>
          <w:rFonts w:ascii="Times New Roman" w:hAnsi="Times New Roman" w:cs="Times New Roman"/>
          <w:lang w:val="en-US"/>
        </w:rPr>
        <w:t xml:space="preserve"> </w:t>
      </w:r>
      <w:proofErr w:type="spellStart"/>
      <w:r w:rsidRPr="000C7C76">
        <w:rPr>
          <w:rFonts w:ascii="Times New Roman" w:hAnsi="Times New Roman" w:cs="Times New Roman"/>
          <w:lang w:val="en-US"/>
        </w:rPr>
        <w:t>aktiem</w:t>
      </w:r>
      <w:proofErr w:type="spellEnd"/>
      <w:r w:rsidRPr="000C7C76">
        <w:rPr>
          <w:rFonts w:ascii="Times New Roman" w:hAnsi="Times New Roman" w:cs="Times New Roman"/>
          <w:lang w:val="en-US"/>
        </w:rPr>
        <w:t xml:space="preserve"> </w:t>
      </w:r>
      <w:proofErr w:type="spellStart"/>
      <w:r w:rsidRPr="000C7C76">
        <w:rPr>
          <w:rFonts w:ascii="Times New Roman" w:hAnsi="Times New Roman" w:cs="Times New Roman"/>
          <w:lang w:val="en-US"/>
        </w:rPr>
        <w:t>izdevušas</w:t>
      </w:r>
      <w:proofErr w:type="spellEnd"/>
      <w:r w:rsidRPr="000C7C76">
        <w:rPr>
          <w:rFonts w:ascii="Times New Roman" w:hAnsi="Times New Roman" w:cs="Times New Roman"/>
          <w:lang w:val="en-US"/>
        </w:rPr>
        <w:t xml:space="preserve"> </w:t>
      </w:r>
      <w:proofErr w:type="spellStart"/>
      <w:r w:rsidRPr="000C7C76">
        <w:rPr>
          <w:rFonts w:ascii="Times New Roman" w:hAnsi="Times New Roman" w:cs="Times New Roman"/>
          <w:lang w:val="en-US"/>
        </w:rPr>
        <w:t>kādas</w:t>
      </w:r>
      <w:proofErr w:type="spellEnd"/>
      <w:r w:rsidRPr="000C7C76">
        <w:rPr>
          <w:rFonts w:ascii="Times New Roman" w:hAnsi="Times New Roman" w:cs="Times New Roman"/>
          <w:lang w:val="en-US"/>
        </w:rPr>
        <w:t xml:space="preserve"> </w:t>
      </w:r>
      <w:proofErr w:type="spellStart"/>
      <w:r w:rsidRPr="000C7C76">
        <w:rPr>
          <w:rFonts w:ascii="Times New Roman" w:hAnsi="Times New Roman" w:cs="Times New Roman"/>
          <w:lang w:val="en-US"/>
        </w:rPr>
        <w:t>dalībvalsts</w:t>
      </w:r>
      <w:proofErr w:type="spellEnd"/>
      <w:r w:rsidRPr="000C7C76">
        <w:rPr>
          <w:rFonts w:ascii="Times New Roman" w:hAnsi="Times New Roman" w:cs="Times New Roman"/>
          <w:lang w:val="en-US"/>
        </w:rPr>
        <w:t xml:space="preserve"> </w:t>
      </w:r>
      <w:proofErr w:type="spellStart"/>
      <w:r w:rsidRPr="000C7C76">
        <w:rPr>
          <w:rFonts w:ascii="Times New Roman" w:hAnsi="Times New Roman" w:cs="Times New Roman"/>
          <w:lang w:val="en-US"/>
        </w:rPr>
        <w:t>iestādes</w:t>
      </w:r>
      <w:proofErr w:type="spellEnd"/>
      <w:r w:rsidRPr="000C7C76">
        <w:rPr>
          <w:rFonts w:ascii="Times New Roman" w:hAnsi="Times New Roman" w:cs="Times New Roman"/>
          <w:lang w:val="en-US"/>
        </w:rPr>
        <w:t xml:space="preserve">, </w:t>
      </w:r>
      <w:proofErr w:type="spellStart"/>
      <w:r w:rsidRPr="000C7C76">
        <w:rPr>
          <w:rFonts w:ascii="Times New Roman" w:hAnsi="Times New Roman" w:cs="Times New Roman"/>
          <w:lang w:val="en-US"/>
        </w:rPr>
        <w:t>kuri</w:t>
      </w:r>
      <w:proofErr w:type="spellEnd"/>
      <w:r w:rsidRPr="000C7C76">
        <w:rPr>
          <w:rFonts w:ascii="Times New Roman" w:hAnsi="Times New Roman" w:cs="Times New Roman"/>
          <w:lang w:val="en-US"/>
        </w:rPr>
        <w:t xml:space="preserve"> </w:t>
      </w:r>
      <w:proofErr w:type="spellStart"/>
      <w:r w:rsidRPr="000C7C76">
        <w:rPr>
          <w:rFonts w:ascii="Times New Roman" w:hAnsi="Times New Roman" w:cs="Times New Roman"/>
          <w:lang w:val="en-US"/>
        </w:rPr>
        <w:t>jāuzrāda</w:t>
      </w:r>
      <w:proofErr w:type="spellEnd"/>
      <w:r w:rsidRPr="000C7C76">
        <w:rPr>
          <w:rFonts w:ascii="Times New Roman" w:hAnsi="Times New Roman" w:cs="Times New Roman"/>
          <w:lang w:val="en-US"/>
        </w:rPr>
        <w:t xml:space="preserve"> </w:t>
      </w:r>
      <w:proofErr w:type="spellStart"/>
      <w:r w:rsidRPr="000C7C76">
        <w:rPr>
          <w:rFonts w:ascii="Times New Roman" w:hAnsi="Times New Roman" w:cs="Times New Roman"/>
          <w:lang w:val="en-US"/>
        </w:rPr>
        <w:t>citas</w:t>
      </w:r>
      <w:proofErr w:type="spellEnd"/>
      <w:r w:rsidRPr="000C7C76">
        <w:rPr>
          <w:rFonts w:ascii="Times New Roman" w:hAnsi="Times New Roman" w:cs="Times New Roman"/>
          <w:lang w:val="en-US"/>
        </w:rPr>
        <w:t xml:space="preserve"> </w:t>
      </w:r>
      <w:proofErr w:type="spellStart"/>
      <w:r w:rsidRPr="000C7C76">
        <w:rPr>
          <w:rFonts w:ascii="Times New Roman" w:hAnsi="Times New Roman" w:cs="Times New Roman"/>
          <w:lang w:val="en-US"/>
        </w:rPr>
        <w:t>dalībvalsts</w:t>
      </w:r>
      <w:proofErr w:type="spellEnd"/>
      <w:r w:rsidRPr="000C7C76">
        <w:rPr>
          <w:rFonts w:ascii="Times New Roman" w:hAnsi="Times New Roman" w:cs="Times New Roman"/>
          <w:lang w:val="en-US"/>
        </w:rPr>
        <w:t xml:space="preserve"> </w:t>
      </w:r>
      <w:proofErr w:type="spellStart"/>
      <w:r w:rsidRPr="000C7C76">
        <w:rPr>
          <w:rFonts w:ascii="Times New Roman" w:hAnsi="Times New Roman" w:cs="Times New Roman"/>
          <w:lang w:val="en-US"/>
        </w:rPr>
        <w:t>iestādēm</w:t>
      </w:r>
      <w:proofErr w:type="spellEnd"/>
      <w:r w:rsidRPr="000C7C76">
        <w:rPr>
          <w:rFonts w:ascii="Times New Roman" w:hAnsi="Times New Roman" w:cs="Times New Roman"/>
          <w:lang w:val="en-US"/>
        </w:rPr>
        <w:t xml:space="preserve"> un kuru </w:t>
      </w:r>
      <w:proofErr w:type="spellStart"/>
      <w:r w:rsidRPr="000C7C76">
        <w:rPr>
          <w:rFonts w:ascii="Times New Roman" w:hAnsi="Times New Roman" w:cs="Times New Roman"/>
          <w:lang w:val="en-US"/>
        </w:rPr>
        <w:t>galvenais</w:t>
      </w:r>
      <w:proofErr w:type="spellEnd"/>
      <w:r w:rsidRPr="000C7C76">
        <w:rPr>
          <w:rFonts w:ascii="Times New Roman" w:hAnsi="Times New Roman" w:cs="Times New Roman"/>
          <w:lang w:val="en-US"/>
        </w:rPr>
        <w:t xml:space="preserve"> </w:t>
      </w:r>
      <w:proofErr w:type="spellStart"/>
      <w:r w:rsidRPr="000C7C76">
        <w:rPr>
          <w:rFonts w:ascii="Times New Roman" w:hAnsi="Times New Roman" w:cs="Times New Roman"/>
          <w:lang w:val="en-US"/>
        </w:rPr>
        <w:t>mērķis</w:t>
      </w:r>
      <w:proofErr w:type="spellEnd"/>
      <w:r w:rsidRPr="000C7C76">
        <w:rPr>
          <w:rFonts w:ascii="Times New Roman" w:hAnsi="Times New Roman" w:cs="Times New Roman"/>
          <w:lang w:val="en-US"/>
        </w:rPr>
        <w:t xml:space="preserve"> </w:t>
      </w:r>
      <w:proofErr w:type="spellStart"/>
      <w:r w:rsidRPr="000C7C76">
        <w:rPr>
          <w:rFonts w:ascii="Times New Roman" w:hAnsi="Times New Roman" w:cs="Times New Roman"/>
          <w:lang w:val="en-US"/>
        </w:rPr>
        <w:t>ir</w:t>
      </w:r>
      <w:proofErr w:type="spellEnd"/>
      <w:r w:rsidRPr="000C7C76">
        <w:rPr>
          <w:rFonts w:ascii="Times New Roman" w:hAnsi="Times New Roman" w:cs="Times New Roman"/>
          <w:lang w:val="en-US"/>
        </w:rPr>
        <w:t xml:space="preserve"> </w:t>
      </w:r>
      <w:proofErr w:type="spellStart"/>
      <w:r w:rsidRPr="000C7C76">
        <w:rPr>
          <w:rFonts w:ascii="Times New Roman" w:hAnsi="Times New Roman" w:cs="Times New Roman"/>
          <w:lang w:val="en-US"/>
        </w:rPr>
        <w:t>konstatēt</w:t>
      </w:r>
      <w:proofErr w:type="spellEnd"/>
      <w:r w:rsidRPr="000C7C76">
        <w:rPr>
          <w:rFonts w:ascii="Times New Roman" w:hAnsi="Times New Roman" w:cs="Times New Roman"/>
          <w:lang w:val="en-US"/>
        </w:rPr>
        <w:t xml:space="preserve"> </w:t>
      </w:r>
      <w:proofErr w:type="spellStart"/>
      <w:r w:rsidRPr="000C7C76">
        <w:rPr>
          <w:rFonts w:ascii="Times New Roman" w:hAnsi="Times New Roman" w:cs="Times New Roman"/>
          <w:lang w:val="en-US"/>
        </w:rPr>
        <w:t>vienu</w:t>
      </w:r>
      <w:proofErr w:type="spellEnd"/>
      <w:r w:rsidRPr="000C7C76">
        <w:rPr>
          <w:rFonts w:ascii="Times New Roman" w:hAnsi="Times New Roman" w:cs="Times New Roman"/>
          <w:lang w:val="en-US"/>
        </w:rPr>
        <w:t xml:space="preserve"> </w:t>
      </w:r>
      <w:proofErr w:type="spellStart"/>
      <w:r w:rsidRPr="000C7C76">
        <w:rPr>
          <w:rFonts w:ascii="Times New Roman" w:hAnsi="Times New Roman" w:cs="Times New Roman"/>
          <w:lang w:val="en-US"/>
        </w:rPr>
        <w:t>vai</w:t>
      </w:r>
      <w:proofErr w:type="spellEnd"/>
      <w:r w:rsidRPr="000C7C76">
        <w:rPr>
          <w:rFonts w:ascii="Times New Roman" w:hAnsi="Times New Roman" w:cs="Times New Roman"/>
          <w:lang w:val="en-US"/>
        </w:rPr>
        <w:t xml:space="preserve"> </w:t>
      </w:r>
      <w:proofErr w:type="spellStart"/>
      <w:r w:rsidRPr="000C7C76">
        <w:rPr>
          <w:rFonts w:ascii="Times New Roman" w:hAnsi="Times New Roman" w:cs="Times New Roman"/>
          <w:lang w:val="en-US"/>
        </w:rPr>
        <w:t>vairākus</w:t>
      </w:r>
      <w:proofErr w:type="spellEnd"/>
      <w:r w:rsidRPr="000C7C76">
        <w:rPr>
          <w:rFonts w:ascii="Times New Roman" w:hAnsi="Times New Roman" w:cs="Times New Roman"/>
          <w:lang w:val="en-US"/>
        </w:rPr>
        <w:t xml:space="preserve"> no </w:t>
      </w:r>
      <w:proofErr w:type="spellStart"/>
      <w:r w:rsidRPr="000C7C76">
        <w:rPr>
          <w:rFonts w:ascii="Times New Roman" w:hAnsi="Times New Roman" w:cs="Times New Roman"/>
          <w:lang w:val="en-US"/>
        </w:rPr>
        <w:t>šādiem</w:t>
      </w:r>
      <w:proofErr w:type="spellEnd"/>
      <w:r w:rsidRPr="000C7C76">
        <w:rPr>
          <w:rFonts w:ascii="Times New Roman" w:hAnsi="Times New Roman" w:cs="Times New Roman"/>
          <w:lang w:val="en-US"/>
        </w:rPr>
        <w:t xml:space="preserve"> </w:t>
      </w:r>
      <w:proofErr w:type="spellStart"/>
      <w:r w:rsidRPr="000C7C76">
        <w:rPr>
          <w:rFonts w:ascii="Times New Roman" w:hAnsi="Times New Roman" w:cs="Times New Roman"/>
          <w:lang w:val="en-US"/>
        </w:rPr>
        <w:t>faktiem</w:t>
      </w:r>
      <w:proofErr w:type="spellEnd"/>
      <w:r w:rsidRPr="000C7C76">
        <w:rPr>
          <w:rFonts w:ascii="Times New Roman" w:hAnsi="Times New Roman" w:cs="Times New Roman"/>
          <w:lang w:val="en-US"/>
        </w:rPr>
        <w:t>:</w:t>
      </w:r>
    </w:p>
    <w:p w14:paraId="346D997C" w14:textId="77777777" w:rsidR="00114953" w:rsidRPr="000C7C76" w:rsidRDefault="00114953" w:rsidP="00114953">
      <w:pPr>
        <w:tabs>
          <w:tab w:val="left" w:pos="-720"/>
        </w:tabs>
        <w:jc w:val="both"/>
        <w:rPr>
          <w:rFonts w:ascii="Times New Roman" w:hAnsi="Times New Roman" w:cs="Times New Roman"/>
          <w:lang w:val="en-US"/>
        </w:rPr>
      </w:pPr>
      <w:r w:rsidRPr="000C7C76">
        <w:rPr>
          <w:rFonts w:ascii="Times New Roman" w:hAnsi="Times New Roman" w:cs="Times New Roman"/>
          <w:lang w:val="en-US"/>
        </w:rPr>
        <w:t xml:space="preserve">a) </w:t>
      </w:r>
      <w:proofErr w:type="spellStart"/>
      <w:r w:rsidRPr="000C7C76">
        <w:rPr>
          <w:rFonts w:ascii="Times New Roman" w:hAnsi="Times New Roman" w:cs="Times New Roman"/>
          <w:lang w:val="en-US"/>
        </w:rPr>
        <w:t>dzimšanas</w:t>
      </w:r>
      <w:proofErr w:type="spellEnd"/>
      <w:r w:rsidRPr="000C7C76">
        <w:rPr>
          <w:rFonts w:ascii="Times New Roman" w:hAnsi="Times New Roman" w:cs="Times New Roman"/>
          <w:lang w:val="en-US"/>
        </w:rPr>
        <w:t xml:space="preserve"> </w:t>
      </w:r>
      <w:proofErr w:type="spellStart"/>
      <w:proofErr w:type="gramStart"/>
      <w:r w:rsidRPr="000C7C76">
        <w:rPr>
          <w:rFonts w:ascii="Times New Roman" w:hAnsi="Times New Roman" w:cs="Times New Roman"/>
          <w:lang w:val="en-US"/>
        </w:rPr>
        <w:t>faktu</w:t>
      </w:r>
      <w:proofErr w:type="spellEnd"/>
      <w:r w:rsidRPr="000C7C76">
        <w:rPr>
          <w:rFonts w:ascii="Times New Roman" w:hAnsi="Times New Roman" w:cs="Times New Roman"/>
          <w:lang w:val="en-US"/>
        </w:rPr>
        <w:t>;</w:t>
      </w:r>
      <w:proofErr w:type="gramEnd"/>
    </w:p>
    <w:p w14:paraId="6BA5F56C" w14:textId="77777777" w:rsidR="00114953" w:rsidRPr="000C7C76" w:rsidRDefault="00114953" w:rsidP="00114953">
      <w:pPr>
        <w:tabs>
          <w:tab w:val="left" w:pos="-720"/>
        </w:tabs>
        <w:jc w:val="both"/>
        <w:rPr>
          <w:rFonts w:ascii="Times New Roman" w:hAnsi="Times New Roman" w:cs="Times New Roman"/>
          <w:lang w:val="en-US"/>
        </w:rPr>
      </w:pPr>
      <w:r w:rsidRPr="000C7C76">
        <w:rPr>
          <w:rFonts w:ascii="Times New Roman" w:hAnsi="Times New Roman" w:cs="Times New Roman"/>
          <w:lang w:val="en-US"/>
        </w:rPr>
        <w:t xml:space="preserve">b) to, ka persona </w:t>
      </w:r>
      <w:proofErr w:type="spellStart"/>
      <w:r w:rsidRPr="000C7C76">
        <w:rPr>
          <w:rFonts w:ascii="Times New Roman" w:hAnsi="Times New Roman" w:cs="Times New Roman"/>
          <w:lang w:val="en-US"/>
        </w:rPr>
        <w:t>ir</w:t>
      </w:r>
      <w:proofErr w:type="spellEnd"/>
      <w:r w:rsidRPr="000C7C76">
        <w:rPr>
          <w:rFonts w:ascii="Times New Roman" w:hAnsi="Times New Roman" w:cs="Times New Roman"/>
          <w:lang w:val="en-US"/>
        </w:rPr>
        <w:t xml:space="preserve"> </w:t>
      </w:r>
      <w:proofErr w:type="spellStart"/>
      <w:proofErr w:type="gramStart"/>
      <w:r w:rsidRPr="000C7C76">
        <w:rPr>
          <w:rFonts w:ascii="Times New Roman" w:hAnsi="Times New Roman" w:cs="Times New Roman"/>
          <w:lang w:val="en-US"/>
        </w:rPr>
        <w:t>dzīva</w:t>
      </w:r>
      <w:proofErr w:type="spellEnd"/>
      <w:r w:rsidRPr="000C7C76">
        <w:rPr>
          <w:rFonts w:ascii="Times New Roman" w:hAnsi="Times New Roman" w:cs="Times New Roman"/>
          <w:lang w:val="en-US"/>
        </w:rPr>
        <w:t>;</w:t>
      </w:r>
      <w:proofErr w:type="gramEnd"/>
    </w:p>
    <w:p w14:paraId="58C52618" w14:textId="77777777" w:rsidR="00114953" w:rsidRPr="00CD4311" w:rsidRDefault="00114953" w:rsidP="00114953">
      <w:pPr>
        <w:tabs>
          <w:tab w:val="left" w:pos="-720"/>
        </w:tabs>
        <w:jc w:val="both"/>
        <w:rPr>
          <w:rFonts w:ascii="Times New Roman" w:hAnsi="Times New Roman" w:cs="Times New Roman"/>
        </w:rPr>
      </w:pPr>
      <w:r w:rsidRPr="00CD4311">
        <w:rPr>
          <w:rFonts w:ascii="Times New Roman" w:hAnsi="Times New Roman" w:cs="Times New Roman"/>
        </w:rPr>
        <w:t xml:space="preserve">c) </w:t>
      </w:r>
      <w:proofErr w:type="spellStart"/>
      <w:r w:rsidRPr="00CD4311">
        <w:rPr>
          <w:rFonts w:ascii="Times New Roman" w:hAnsi="Times New Roman" w:cs="Times New Roman"/>
        </w:rPr>
        <w:t>miršanas</w:t>
      </w:r>
      <w:proofErr w:type="spellEnd"/>
      <w:r w:rsidRPr="00CD4311">
        <w:rPr>
          <w:rFonts w:ascii="Times New Roman" w:hAnsi="Times New Roman" w:cs="Times New Roman"/>
        </w:rPr>
        <w:t xml:space="preserve"> </w:t>
      </w:r>
      <w:proofErr w:type="spellStart"/>
      <w:proofErr w:type="gramStart"/>
      <w:r w:rsidRPr="00CD4311">
        <w:rPr>
          <w:rFonts w:ascii="Times New Roman" w:hAnsi="Times New Roman" w:cs="Times New Roman"/>
        </w:rPr>
        <w:t>faktu</w:t>
      </w:r>
      <w:proofErr w:type="spellEnd"/>
      <w:r w:rsidRPr="00CD4311">
        <w:rPr>
          <w:rFonts w:ascii="Times New Roman" w:hAnsi="Times New Roman" w:cs="Times New Roman"/>
        </w:rPr>
        <w:t>;</w:t>
      </w:r>
      <w:proofErr w:type="gramEnd"/>
    </w:p>
    <w:p w14:paraId="1E535C49" w14:textId="77777777" w:rsidR="00114953" w:rsidRPr="00CD4311" w:rsidRDefault="00114953" w:rsidP="00114953">
      <w:pPr>
        <w:tabs>
          <w:tab w:val="left" w:pos="-720"/>
        </w:tabs>
        <w:jc w:val="both"/>
        <w:rPr>
          <w:rFonts w:ascii="Times New Roman" w:hAnsi="Times New Roman" w:cs="Times New Roman"/>
        </w:rPr>
      </w:pPr>
      <w:r w:rsidRPr="00CD4311">
        <w:rPr>
          <w:rFonts w:ascii="Times New Roman" w:hAnsi="Times New Roman" w:cs="Times New Roman"/>
        </w:rPr>
        <w:t xml:space="preserve">d) </w:t>
      </w:r>
      <w:proofErr w:type="spellStart"/>
      <w:r w:rsidRPr="00CD4311">
        <w:rPr>
          <w:rFonts w:ascii="Times New Roman" w:hAnsi="Times New Roman" w:cs="Times New Roman"/>
        </w:rPr>
        <w:t>vārdu</w:t>
      </w:r>
      <w:proofErr w:type="spellEnd"/>
      <w:r w:rsidRPr="00CD4311">
        <w:rPr>
          <w:rFonts w:ascii="Times New Roman" w:hAnsi="Times New Roman" w:cs="Times New Roman"/>
        </w:rPr>
        <w:t xml:space="preserve"> un </w:t>
      </w:r>
      <w:proofErr w:type="spellStart"/>
      <w:proofErr w:type="gramStart"/>
      <w:r w:rsidRPr="00CD4311">
        <w:rPr>
          <w:rFonts w:ascii="Times New Roman" w:hAnsi="Times New Roman" w:cs="Times New Roman"/>
        </w:rPr>
        <w:t>uzvārdu</w:t>
      </w:r>
      <w:proofErr w:type="spellEnd"/>
      <w:r w:rsidRPr="00CD4311">
        <w:rPr>
          <w:rFonts w:ascii="Times New Roman" w:hAnsi="Times New Roman" w:cs="Times New Roman"/>
        </w:rPr>
        <w:t>;</w:t>
      </w:r>
      <w:proofErr w:type="gramEnd"/>
    </w:p>
    <w:p w14:paraId="7F080FC4" w14:textId="77777777" w:rsidR="00114953" w:rsidRPr="00CD4311" w:rsidRDefault="00114953" w:rsidP="00114953">
      <w:pPr>
        <w:tabs>
          <w:tab w:val="left" w:pos="-720"/>
        </w:tabs>
        <w:jc w:val="both"/>
        <w:rPr>
          <w:rFonts w:ascii="Times New Roman" w:hAnsi="Times New Roman" w:cs="Times New Roman"/>
        </w:rPr>
      </w:pPr>
      <w:r w:rsidRPr="00CD4311">
        <w:rPr>
          <w:rFonts w:ascii="Times New Roman" w:hAnsi="Times New Roman" w:cs="Times New Roman"/>
        </w:rPr>
        <w:t xml:space="preserve">e) </w:t>
      </w:r>
      <w:proofErr w:type="spellStart"/>
      <w:r w:rsidRPr="00CD4311">
        <w:rPr>
          <w:rFonts w:ascii="Times New Roman" w:hAnsi="Times New Roman" w:cs="Times New Roman"/>
        </w:rPr>
        <w:t>laulību</w:t>
      </w:r>
      <w:proofErr w:type="spellEnd"/>
      <w:r w:rsidRPr="00CD4311">
        <w:rPr>
          <w:rFonts w:ascii="Times New Roman" w:hAnsi="Times New Roman" w:cs="Times New Roman"/>
        </w:rPr>
        <w:t xml:space="preserve">, </w:t>
      </w:r>
      <w:proofErr w:type="spellStart"/>
      <w:r w:rsidRPr="00CD4311">
        <w:rPr>
          <w:rFonts w:ascii="Times New Roman" w:hAnsi="Times New Roman" w:cs="Times New Roman"/>
        </w:rPr>
        <w:t>tostarp</w:t>
      </w:r>
      <w:proofErr w:type="spellEnd"/>
      <w:r w:rsidRPr="00CD4311">
        <w:rPr>
          <w:rFonts w:ascii="Times New Roman" w:hAnsi="Times New Roman" w:cs="Times New Roman"/>
        </w:rPr>
        <w:t xml:space="preserve"> </w:t>
      </w:r>
      <w:proofErr w:type="spellStart"/>
      <w:r w:rsidRPr="00CD4311">
        <w:rPr>
          <w:rFonts w:ascii="Times New Roman" w:hAnsi="Times New Roman" w:cs="Times New Roman"/>
        </w:rPr>
        <w:t>spēju</w:t>
      </w:r>
      <w:proofErr w:type="spellEnd"/>
      <w:r w:rsidRPr="00CD4311">
        <w:rPr>
          <w:rFonts w:ascii="Times New Roman" w:hAnsi="Times New Roman" w:cs="Times New Roman"/>
        </w:rPr>
        <w:t xml:space="preserve"> </w:t>
      </w:r>
      <w:proofErr w:type="spellStart"/>
      <w:r w:rsidRPr="00CD4311">
        <w:rPr>
          <w:rFonts w:ascii="Times New Roman" w:hAnsi="Times New Roman" w:cs="Times New Roman"/>
        </w:rPr>
        <w:t>doties</w:t>
      </w:r>
      <w:proofErr w:type="spellEnd"/>
      <w:r w:rsidRPr="00CD4311">
        <w:rPr>
          <w:rFonts w:ascii="Times New Roman" w:hAnsi="Times New Roman" w:cs="Times New Roman"/>
        </w:rPr>
        <w:t xml:space="preserve"> </w:t>
      </w:r>
      <w:proofErr w:type="spellStart"/>
      <w:r w:rsidRPr="00CD4311">
        <w:rPr>
          <w:rFonts w:ascii="Times New Roman" w:hAnsi="Times New Roman" w:cs="Times New Roman"/>
        </w:rPr>
        <w:t>laulībā</w:t>
      </w:r>
      <w:proofErr w:type="spellEnd"/>
      <w:r w:rsidRPr="00CD4311">
        <w:rPr>
          <w:rFonts w:ascii="Times New Roman" w:hAnsi="Times New Roman" w:cs="Times New Roman"/>
        </w:rPr>
        <w:t xml:space="preserve"> un </w:t>
      </w:r>
      <w:proofErr w:type="spellStart"/>
      <w:r w:rsidRPr="00CD4311">
        <w:rPr>
          <w:rFonts w:ascii="Times New Roman" w:hAnsi="Times New Roman" w:cs="Times New Roman"/>
        </w:rPr>
        <w:t>ģimenes</w:t>
      </w:r>
      <w:proofErr w:type="spellEnd"/>
      <w:r w:rsidRPr="00CD4311">
        <w:rPr>
          <w:rFonts w:ascii="Times New Roman" w:hAnsi="Times New Roman" w:cs="Times New Roman"/>
        </w:rPr>
        <w:t xml:space="preserve"> </w:t>
      </w:r>
      <w:proofErr w:type="spellStart"/>
      <w:proofErr w:type="gramStart"/>
      <w:r w:rsidRPr="00CD4311">
        <w:rPr>
          <w:rFonts w:ascii="Times New Roman" w:hAnsi="Times New Roman" w:cs="Times New Roman"/>
        </w:rPr>
        <w:t>stāvokli</w:t>
      </w:r>
      <w:proofErr w:type="spellEnd"/>
      <w:r w:rsidRPr="00CD4311">
        <w:rPr>
          <w:rFonts w:ascii="Times New Roman" w:hAnsi="Times New Roman" w:cs="Times New Roman"/>
        </w:rPr>
        <w:t>;</w:t>
      </w:r>
      <w:proofErr w:type="gramEnd"/>
    </w:p>
    <w:p w14:paraId="7351DBB2" w14:textId="77777777" w:rsidR="00114953" w:rsidRPr="00CD4311" w:rsidRDefault="00114953" w:rsidP="00114953">
      <w:pPr>
        <w:tabs>
          <w:tab w:val="left" w:pos="-720"/>
        </w:tabs>
        <w:jc w:val="both"/>
        <w:rPr>
          <w:rFonts w:ascii="Times New Roman" w:hAnsi="Times New Roman" w:cs="Times New Roman"/>
        </w:rPr>
      </w:pPr>
      <w:r w:rsidRPr="00CD4311">
        <w:rPr>
          <w:rFonts w:ascii="Times New Roman" w:hAnsi="Times New Roman" w:cs="Times New Roman"/>
        </w:rPr>
        <w:t xml:space="preserve">f) </w:t>
      </w:r>
      <w:proofErr w:type="spellStart"/>
      <w:r w:rsidRPr="00CD4311">
        <w:rPr>
          <w:rFonts w:ascii="Times New Roman" w:hAnsi="Times New Roman" w:cs="Times New Roman"/>
        </w:rPr>
        <w:t>laulības</w:t>
      </w:r>
      <w:proofErr w:type="spellEnd"/>
      <w:r w:rsidRPr="00CD4311">
        <w:rPr>
          <w:rFonts w:ascii="Times New Roman" w:hAnsi="Times New Roman" w:cs="Times New Roman"/>
        </w:rPr>
        <w:t xml:space="preserve"> </w:t>
      </w:r>
      <w:proofErr w:type="spellStart"/>
      <w:r w:rsidRPr="00CD4311">
        <w:rPr>
          <w:rFonts w:ascii="Times New Roman" w:hAnsi="Times New Roman" w:cs="Times New Roman"/>
        </w:rPr>
        <w:t>šķiršanu</w:t>
      </w:r>
      <w:proofErr w:type="spellEnd"/>
      <w:r w:rsidRPr="00CD4311">
        <w:rPr>
          <w:rFonts w:ascii="Times New Roman" w:hAnsi="Times New Roman" w:cs="Times New Roman"/>
        </w:rPr>
        <w:t xml:space="preserve">, </w:t>
      </w:r>
      <w:proofErr w:type="spellStart"/>
      <w:r w:rsidRPr="00CD4311">
        <w:rPr>
          <w:rFonts w:ascii="Times New Roman" w:hAnsi="Times New Roman" w:cs="Times New Roman"/>
        </w:rPr>
        <w:t>laulāto</w:t>
      </w:r>
      <w:proofErr w:type="spellEnd"/>
      <w:r w:rsidRPr="00CD4311">
        <w:rPr>
          <w:rFonts w:ascii="Times New Roman" w:hAnsi="Times New Roman" w:cs="Times New Roman"/>
        </w:rPr>
        <w:t xml:space="preserve"> </w:t>
      </w:r>
      <w:proofErr w:type="spellStart"/>
      <w:r w:rsidRPr="00CD4311">
        <w:rPr>
          <w:rFonts w:ascii="Times New Roman" w:hAnsi="Times New Roman" w:cs="Times New Roman"/>
        </w:rPr>
        <w:t>atšķiršanu</w:t>
      </w:r>
      <w:proofErr w:type="spellEnd"/>
      <w:r w:rsidRPr="00CD4311">
        <w:rPr>
          <w:rFonts w:ascii="Times New Roman" w:hAnsi="Times New Roman" w:cs="Times New Roman"/>
        </w:rPr>
        <w:t xml:space="preserve"> </w:t>
      </w:r>
      <w:proofErr w:type="spellStart"/>
      <w:r w:rsidRPr="00CD4311">
        <w:rPr>
          <w:rFonts w:ascii="Times New Roman" w:hAnsi="Times New Roman" w:cs="Times New Roman"/>
        </w:rPr>
        <w:t>vai</w:t>
      </w:r>
      <w:proofErr w:type="spellEnd"/>
      <w:r w:rsidRPr="00CD4311">
        <w:rPr>
          <w:rFonts w:ascii="Times New Roman" w:hAnsi="Times New Roman" w:cs="Times New Roman"/>
        </w:rPr>
        <w:t xml:space="preserve"> </w:t>
      </w:r>
      <w:proofErr w:type="spellStart"/>
      <w:r w:rsidRPr="00CD4311">
        <w:rPr>
          <w:rFonts w:ascii="Times New Roman" w:hAnsi="Times New Roman" w:cs="Times New Roman"/>
        </w:rPr>
        <w:t>laulības</w:t>
      </w:r>
      <w:proofErr w:type="spellEnd"/>
      <w:r w:rsidRPr="00CD4311">
        <w:rPr>
          <w:rFonts w:ascii="Times New Roman" w:hAnsi="Times New Roman" w:cs="Times New Roman"/>
        </w:rPr>
        <w:t xml:space="preserve"> </w:t>
      </w:r>
      <w:proofErr w:type="spellStart"/>
      <w:r w:rsidRPr="00CD4311">
        <w:rPr>
          <w:rFonts w:ascii="Times New Roman" w:hAnsi="Times New Roman" w:cs="Times New Roman"/>
        </w:rPr>
        <w:t>atzīšanu</w:t>
      </w:r>
      <w:proofErr w:type="spellEnd"/>
      <w:r w:rsidRPr="00CD4311">
        <w:rPr>
          <w:rFonts w:ascii="Times New Roman" w:hAnsi="Times New Roman" w:cs="Times New Roman"/>
        </w:rPr>
        <w:t xml:space="preserve"> par </w:t>
      </w:r>
      <w:proofErr w:type="spellStart"/>
      <w:proofErr w:type="gramStart"/>
      <w:r w:rsidRPr="00CD4311">
        <w:rPr>
          <w:rFonts w:ascii="Times New Roman" w:hAnsi="Times New Roman" w:cs="Times New Roman"/>
        </w:rPr>
        <w:t>neesošu</w:t>
      </w:r>
      <w:proofErr w:type="spellEnd"/>
      <w:r w:rsidRPr="00CD4311">
        <w:rPr>
          <w:rFonts w:ascii="Times New Roman" w:hAnsi="Times New Roman" w:cs="Times New Roman"/>
        </w:rPr>
        <w:t>;</w:t>
      </w:r>
      <w:proofErr w:type="gramEnd"/>
    </w:p>
    <w:p w14:paraId="2666217E" w14:textId="77777777" w:rsidR="00114953" w:rsidRPr="00CD4311" w:rsidRDefault="00114953" w:rsidP="00114953">
      <w:pPr>
        <w:tabs>
          <w:tab w:val="left" w:pos="-720"/>
        </w:tabs>
        <w:jc w:val="both"/>
        <w:rPr>
          <w:rFonts w:ascii="Times New Roman" w:hAnsi="Times New Roman" w:cs="Times New Roman"/>
        </w:rPr>
      </w:pPr>
      <w:r w:rsidRPr="00CD4311">
        <w:rPr>
          <w:rFonts w:ascii="Times New Roman" w:hAnsi="Times New Roman" w:cs="Times New Roman"/>
        </w:rPr>
        <w:t xml:space="preserve">g) </w:t>
      </w:r>
      <w:proofErr w:type="spellStart"/>
      <w:r w:rsidRPr="00CD4311">
        <w:rPr>
          <w:rFonts w:ascii="Times New Roman" w:hAnsi="Times New Roman" w:cs="Times New Roman"/>
        </w:rPr>
        <w:t>reģistrētas</w:t>
      </w:r>
      <w:proofErr w:type="spellEnd"/>
      <w:r w:rsidRPr="00CD4311">
        <w:rPr>
          <w:rFonts w:ascii="Times New Roman" w:hAnsi="Times New Roman" w:cs="Times New Roman"/>
        </w:rPr>
        <w:t xml:space="preserve"> </w:t>
      </w:r>
      <w:proofErr w:type="spellStart"/>
      <w:r w:rsidRPr="00CD4311">
        <w:rPr>
          <w:rFonts w:ascii="Times New Roman" w:hAnsi="Times New Roman" w:cs="Times New Roman"/>
        </w:rPr>
        <w:t>partnerattiecības</w:t>
      </w:r>
      <w:proofErr w:type="spellEnd"/>
      <w:r w:rsidRPr="00CD4311">
        <w:rPr>
          <w:rFonts w:ascii="Times New Roman" w:hAnsi="Times New Roman" w:cs="Times New Roman"/>
        </w:rPr>
        <w:t xml:space="preserve">, </w:t>
      </w:r>
      <w:proofErr w:type="spellStart"/>
      <w:r w:rsidRPr="00CD4311">
        <w:rPr>
          <w:rFonts w:ascii="Times New Roman" w:hAnsi="Times New Roman" w:cs="Times New Roman"/>
        </w:rPr>
        <w:t>tostarp</w:t>
      </w:r>
      <w:proofErr w:type="spellEnd"/>
      <w:r w:rsidRPr="00CD4311">
        <w:rPr>
          <w:rFonts w:ascii="Times New Roman" w:hAnsi="Times New Roman" w:cs="Times New Roman"/>
        </w:rPr>
        <w:t xml:space="preserve"> </w:t>
      </w:r>
      <w:proofErr w:type="spellStart"/>
      <w:r w:rsidRPr="00CD4311">
        <w:rPr>
          <w:rFonts w:ascii="Times New Roman" w:hAnsi="Times New Roman" w:cs="Times New Roman"/>
        </w:rPr>
        <w:t>spēju</w:t>
      </w:r>
      <w:proofErr w:type="spellEnd"/>
      <w:r w:rsidRPr="00CD4311">
        <w:rPr>
          <w:rFonts w:ascii="Times New Roman" w:hAnsi="Times New Roman" w:cs="Times New Roman"/>
        </w:rPr>
        <w:t xml:space="preserve"> </w:t>
      </w:r>
      <w:proofErr w:type="spellStart"/>
      <w:r w:rsidRPr="00CD4311">
        <w:rPr>
          <w:rFonts w:ascii="Times New Roman" w:hAnsi="Times New Roman" w:cs="Times New Roman"/>
        </w:rPr>
        <w:t>stāties</w:t>
      </w:r>
      <w:proofErr w:type="spellEnd"/>
      <w:r w:rsidRPr="00CD4311">
        <w:rPr>
          <w:rFonts w:ascii="Times New Roman" w:hAnsi="Times New Roman" w:cs="Times New Roman"/>
        </w:rPr>
        <w:t xml:space="preserve"> </w:t>
      </w:r>
      <w:proofErr w:type="spellStart"/>
      <w:r w:rsidRPr="00CD4311">
        <w:rPr>
          <w:rFonts w:ascii="Times New Roman" w:hAnsi="Times New Roman" w:cs="Times New Roman"/>
        </w:rPr>
        <w:t>reģistrētās</w:t>
      </w:r>
      <w:proofErr w:type="spellEnd"/>
      <w:r w:rsidRPr="00CD4311">
        <w:rPr>
          <w:rFonts w:ascii="Times New Roman" w:hAnsi="Times New Roman" w:cs="Times New Roman"/>
        </w:rPr>
        <w:t xml:space="preserve"> </w:t>
      </w:r>
      <w:proofErr w:type="spellStart"/>
      <w:r w:rsidRPr="00CD4311">
        <w:rPr>
          <w:rFonts w:ascii="Times New Roman" w:hAnsi="Times New Roman" w:cs="Times New Roman"/>
        </w:rPr>
        <w:t>partnerattiecībās</w:t>
      </w:r>
      <w:proofErr w:type="spellEnd"/>
      <w:r w:rsidRPr="00CD4311">
        <w:rPr>
          <w:rFonts w:ascii="Times New Roman" w:hAnsi="Times New Roman" w:cs="Times New Roman"/>
        </w:rPr>
        <w:t xml:space="preserve"> un </w:t>
      </w:r>
      <w:proofErr w:type="spellStart"/>
      <w:r w:rsidRPr="00CD4311">
        <w:rPr>
          <w:rFonts w:ascii="Times New Roman" w:hAnsi="Times New Roman" w:cs="Times New Roman"/>
        </w:rPr>
        <w:t>reģistrētu</w:t>
      </w:r>
      <w:proofErr w:type="spellEnd"/>
      <w:r w:rsidRPr="00CD4311">
        <w:rPr>
          <w:rFonts w:ascii="Times New Roman" w:hAnsi="Times New Roman" w:cs="Times New Roman"/>
        </w:rPr>
        <w:t xml:space="preserve"> </w:t>
      </w:r>
      <w:proofErr w:type="spellStart"/>
      <w:r w:rsidRPr="00CD4311">
        <w:rPr>
          <w:rFonts w:ascii="Times New Roman" w:hAnsi="Times New Roman" w:cs="Times New Roman"/>
        </w:rPr>
        <w:t>partnerattiecību</w:t>
      </w:r>
      <w:proofErr w:type="spellEnd"/>
      <w:r w:rsidRPr="00CD4311">
        <w:rPr>
          <w:rFonts w:ascii="Times New Roman" w:hAnsi="Times New Roman" w:cs="Times New Roman"/>
        </w:rPr>
        <w:t xml:space="preserve"> </w:t>
      </w:r>
      <w:proofErr w:type="spellStart"/>
      <w:proofErr w:type="gramStart"/>
      <w:r w:rsidRPr="00CD4311">
        <w:rPr>
          <w:rFonts w:ascii="Times New Roman" w:hAnsi="Times New Roman" w:cs="Times New Roman"/>
        </w:rPr>
        <w:t>statusu</w:t>
      </w:r>
      <w:proofErr w:type="spellEnd"/>
      <w:r w:rsidRPr="00CD4311">
        <w:rPr>
          <w:rFonts w:ascii="Times New Roman" w:hAnsi="Times New Roman" w:cs="Times New Roman"/>
        </w:rPr>
        <w:t>;</w:t>
      </w:r>
      <w:proofErr w:type="gramEnd"/>
    </w:p>
    <w:p w14:paraId="371FB2EB" w14:textId="77777777" w:rsidR="00114953" w:rsidRPr="00CD4311" w:rsidRDefault="00114953" w:rsidP="00114953">
      <w:pPr>
        <w:tabs>
          <w:tab w:val="left" w:pos="-720"/>
        </w:tabs>
        <w:jc w:val="both"/>
        <w:rPr>
          <w:rFonts w:ascii="Times New Roman" w:hAnsi="Times New Roman" w:cs="Times New Roman"/>
        </w:rPr>
      </w:pPr>
      <w:r w:rsidRPr="00CD4311">
        <w:rPr>
          <w:rFonts w:ascii="Times New Roman" w:hAnsi="Times New Roman" w:cs="Times New Roman"/>
        </w:rPr>
        <w:t xml:space="preserve">h) </w:t>
      </w:r>
      <w:proofErr w:type="spellStart"/>
      <w:r w:rsidRPr="00CD4311">
        <w:rPr>
          <w:rFonts w:ascii="Times New Roman" w:hAnsi="Times New Roman" w:cs="Times New Roman"/>
        </w:rPr>
        <w:t>reģistrēto</w:t>
      </w:r>
      <w:proofErr w:type="spellEnd"/>
      <w:r w:rsidRPr="00CD4311">
        <w:rPr>
          <w:rFonts w:ascii="Times New Roman" w:hAnsi="Times New Roman" w:cs="Times New Roman"/>
        </w:rPr>
        <w:t xml:space="preserve"> </w:t>
      </w:r>
      <w:proofErr w:type="spellStart"/>
      <w:r w:rsidRPr="00CD4311">
        <w:rPr>
          <w:rFonts w:ascii="Times New Roman" w:hAnsi="Times New Roman" w:cs="Times New Roman"/>
        </w:rPr>
        <w:t>partnerattiecību</w:t>
      </w:r>
      <w:proofErr w:type="spellEnd"/>
      <w:r w:rsidRPr="00CD4311">
        <w:rPr>
          <w:rFonts w:ascii="Times New Roman" w:hAnsi="Times New Roman" w:cs="Times New Roman"/>
        </w:rPr>
        <w:t xml:space="preserve"> </w:t>
      </w:r>
      <w:proofErr w:type="spellStart"/>
      <w:r w:rsidRPr="00CD4311">
        <w:rPr>
          <w:rFonts w:ascii="Times New Roman" w:hAnsi="Times New Roman" w:cs="Times New Roman"/>
        </w:rPr>
        <w:t>izbeigšanu</w:t>
      </w:r>
      <w:proofErr w:type="spellEnd"/>
      <w:r w:rsidRPr="00CD4311">
        <w:rPr>
          <w:rFonts w:ascii="Times New Roman" w:hAnsi="Times New Roman" w:cs="Times New Roman"/>
        </w:rPr>
        <w:t xml:space="preserve">, </w:t>
      </w:r>
      <w:proofErr w:type="spellStart"/>
      <w:r w:rsidRPr="00CD4311">
        <w:rPr>
          <w:rFonts w:ascii="Times New Roman" w:hAnsi="Times New Roman" w:cs="Times New Roman"/>
        </w:rPr>
        <w:t>reģistrēto</w:t>
      </w:r>
      <w:proofErr w:type="spellEnd"/>
      <w:r w:rsidRPr="00CD4311">
        <w:rPr>
          <w:rFonts w:ascii="Times New Roman" w:hAnsi="Times New Roman" w:cs="Times New Roman"/>
        </w:rPr>
        <w:t xml:space="preserve"> </w:t>
      </w:r>
      <w:proofErr w:type="spellStart"/>
      <w:r w:rsidRPr="00CD4311">
        <w:rPr>
          <w:rFonts w:ascii="Times New Roman" w:hAnsi="Times New Roman" w:cs="Times New Roman"/>
        </w:rPr>
        <w:t>partneru</w:t>
      </w:r>
      <w:proofErr w:type="spellEnd"/>
      <w:r w:rsidRPr="00CD4311">
        <w:rPr>
          <w:rFonts w:ascii="Times New Roman" w:hAnsi="Times New Roman" w:cs="Times New Roman"/>
        </w:rPr>
        <w:t xml:space="preserve"> </w:t>
      </w:r>
      <w:proofErr w:type="spellStart"/>
      <w:r w:rsidRPr="00CD4311">
        <w:rPr>
          <w:rFonts w:ascii="Times New Roman" w:hAnsi="Times New Roman" w:cs="Times New Roman"/>
        </w:rPr>
        <w:t>atšķiršanu</w:t>
      </w:r>
      <w:proofErr w:type="spellEnd"/>
      <w:r w:rsidRPr="00CD4311">
        <w:rPr>
          <w:rFonts w:ascii="Times New Roman" w:hAnsi="Times New Roman" w:cs="Times New Roman"/>
        </w:rPr>
        <w:t xml:space="preserve"> </w:t>
      </w:r>
      <w:proofErr w:type="spellStart"/>
      <w:r w:rsidRPr="00CD4311">
        <w:rPr>
          <w:rFonts w:ascii="Times New Roman" w:hAnsi="Times New Roman" w:cs="Times New Roman"/>
        </w:rPr>
        <w:t>vai</w:t>
      </w:r>
      <w:proofErr w:type="spellEnd"/>
      <w:r w:rsidRPr="00CD4311">
        <w:rPr>
          <w:rFonts w:ascii="Times New Roman" w:hAnsi="Times New Roman" w:cs="Times New Roman"/>
        </w:rPr>
        <w:t xml:space="preserve"> </w:t>
      </w:r>
      <w:proofErr w:type="spellStart"/>
      <w:r w:rsidRPr="00CD4311">
        <w:rPr>
          <w:rFonts w:ascii="Times New Roman" w:hAnsi="Times New Roman" w:cs="Times New Roman"/>
        </w:rPr>
        <w:t>reģistrēto</w:t>
      </w:r>
      <w:proofErr w:type="spellEnd"/>
      <w:r w:rsidRPr="00CD4311">
        <w:rPr>
          <w:rFonts w:ascii="Times New Roman" w:hAnsi="Times New Roman" w:cs="Times New Roman"/>
        </w:rPr>
        <w:t xml:space="preserve"> </w:t>
      </w:r>
      <w:proofErr w:type="spellStart"/>
      <w:r w:rsidRPr="00CD4311">
        <w:rPr>
          <w:rFonts w:ascii="Times New Roman" w:hAnsi="Times New Roman" w:cs="Times New Roman"/>
        </w:rPr>
        <w:t>partnerattiecību</w:t>
      </w:r>
      <w:proofErr w:type="spellEnd"/>
      <w:r w:rsidRPr="00CD4311">
        <w:rPr>
          <w:rFonts w:ascii="Times New Roman" w:hAnsi="Times New Roman" w:cs="Times New Roman"/>
        </w:rPr>
        <w:t xml:space="preserve"> </w:t>
      </w:r>
      <w:proofErr w:type="spellStart"/>
      <w:r w:rsidRPr="00CD4311">
        <w:rPr>
          <w:rFonts w:ascii="Times New Roman" w:hAnsi="Times New Roman" w:cs="Times New Roman"/>
        </w:rPr>
        <w:t>atzīšanu</w:t>
      </w:r>
      <w:proofErr w:type="spellEnd"/>
      <w:r w:rsidRPr="00CD4311">
        <w:rPr>
          <w:rFonts w:ascii="Times New Roman" w:hAnsi="Times New Roman" w:cs="Times New Roman"/>
        </w:rPr>
        <w:t xml:space="preserve"> par </w:t>
      </w:r>
      <w:proofErr w:type="spellStart"/>
      <w:proofErr w:type="gramStart"/>
      <w:r w:rsidRPr="00CD4311">
        <w:rPr>
          <w:rFonts w:ascii="Times New Roman" w:hAnsi="Times New Roman" w:cs="Times New Roman"/>
        </w:rPr>
        <w:t>neesošām</w:t>
      </w:r>
      <w:proofErr w:type="spellEnd"/>
      <w:r w:rsidRPr="00CD4311">
        <w:rPr>
          <w:rFonts w:ascii="Times New Roman" w:hAnsi="Times New Roman" w:cs="Times New Roman"/>
        </w:rPr>
        <w:t>;</w:t>
      </w:r>
      <w:proofErr w:type="gramEnd"/>
    </w:p>
    <w:p w14:paraId="561FBA89" w14:textId="77777777" w:rsidR="00114953" w:rsidRPr="00CD4311" w:rsidRDefault="00114953" w:rsidP="00114953">
      <w:pPr>
        <w:tabs>
          <w:tab w:val="left" w:pos="-720"/>
        </w:tabs>
        <w:jc w:val="both"/>
        <w:rPr>
          <w:rFonts w:ascii="Times New Roman" w:hAnsi="Times New Roman" w:cs="Times New Roman"/>
        </w:rPr>
      </w:pPr>
      <w:r w:rsidRPr="00CD4311">
        <w:rPr>
          <w:rFonts w:ascii="Times New Roman" w:hAnsi="Times New Roman" w:cs="Times New Roman"/>
        </w:rPr>
        <w:t xml:space="preserve">i) </w:t>
      </w:r>
      <w:proofErr w:type="spellStart"/>
      <w:r w:rsidRPr="00CD4311">
        <w:rPr>
          <w:rFonts w:ascii="Times New Roman" w:hAnsi="Times New Roman" w:cs="Times New Roman"/>
        </w:rPr>
        <w:t>vecāku</w:t>
      </w:r>
      <w:proofErr w:type="spellEnd"/>
      <w:r w:rsidRPr="00CD4311">
        <w:rPr>
          <w:rFonts w:ascii="Times New Roman" w:hAnsi="Times New Roman" w:cs="Times New Roman"/>
        </w:rPr>
        <w:t xml:space="preserve"> </w:t>
      </w:r>
      <w:proofErr w:type="spellStart"/>
      <w:proofErr w:type="gramStart"/>
      <w:r w:rsidRPr="00CD4311">
        <w:rPr>
          <w:rFonts w:ascii="Times New Roman" w:hAnsi="Times New Roman" w:cs="Times New Roman"/>
        </w:rPr>
        <w:t>statusu</w:t>
      </w:r>
      <w:proofErr w:type="spellEnd"/>
      <w:r w:rsidRPr="00CD4311">
        <w:rPr>
          <w:rFonts w:ascii="Times New Roman" w:hAnsi="Times New Roman" w:cs="Times New Roman"/>
        </w:rPr>
        <w:t>;</w:t>
      </w:r>
      <w:proofErr w:type="gramEnd"/>
    </w:p>
    <w:p w14:paraId="1A43F975" w14:textId="77777777" w:rsidR="00114953" w:rsidRPr="00CD4311" w:rsidRDefault="00114953" w:rsidP="00114953">
      <w:pPr>
        <w:tabs>
          <w:tab w:val="left" w:pos="-720"/>
        </w:tabs>
        <w:jc w:val="both"/>
        <w:rPr>
          <w:rFonts w:ascii="Times New Roman" w:hAnsi="Times New Roman" w:cs="Times New Roman"/>
        </w:rPr>
      </w:pPr>
      <w:r w:rsidRPr="00CD4311">
        <w:rPr>
          <w:rFonts w:ascii="Times New Roman" w:hAnsi="Times New Roman" w:cs="Times New Roman"/>
        </w:rPr>
        <w:t xml:space="preserve">j) </w:t>
      </w:r>
      <w:proofErr w:type="spellStart"/>
      <w:proofErr w:type="gramStart"/>
      <w:r w:rsidRPr="00CD4311">
        <w:rPr>
          <w:rFonts w:ascii="Times New Roman" w:hAnsi="Times New Roman" w:cs="Times New Roman"/>
        </w:rPr>
        <w:t>adopciju</w:t>
      </w:r>
      <w:proofErr w:type="spellEnd"/>
      <w:r w:rsidRPr="00CD4311">
        <w:rPr>
          <w:rFonts w:ascii="Times New Roman" w:hAnsi="Times New Roman" w:cs="Times New Roman"/>
        </w:rPr>
        <w:t>;</w:t>
      </w:r>
      <w:proofErr w:type="gramEnd"/>
    </w:p>
    <w:p w14:paraId="3CC5AF42" w14:textId="77777777" w:rsidR="00114953" w:rsidRPr="00CD4311" w:rsidRDefault="00114953" w:rsidP="00114953">
      <w:pPr>
        <w:tabs>
          <w:tab w:val="left" w:pos="-720"/>
        </w:tabs>
        <w:jc w:val="both"/>
        <w:rPr>
          <w:rFonts w:ascii="Times New Roman" w:hAnsi="Times New Roman" w:cs="Times New Roman"/>
        </w:rPr>
      </w:pPr>
      <w:r w:rsidRPr="00CD4311">
        <w:rPr>
          <w:rFonts w:ascii="Times New Roman" w:hAnsi="Times New Roman" w:cs="Times New Roman"/>
        </w:rPr>
        <w:t xml:space="preserve">k) </w:t>
      </w:r>
      <w:proofErr w:type="spellStart"/>
      <w:r w:rsidRPr="00CD4311">
        <w:rPr>
          <w:rFonts w:ascii="Times New Roman" w:hAnsi="Times New Roman" w:cs="Times New Roman"/>
        </w:rPr>
        <w:t>domicilu</w:t>
      </w:r>
      <w:proofErr w:type="spellEnd"/>
      <w:r w:rsidRPr="00CD4311">
        <w:rPr>
          <w:rFonts w:ascii="Times New Roman" w:hAnsi="Times New Roman" w:cs="Times New Roman"/>
        </w:rPr>
        <w:t xml:space="preserve"> un/</w:t>
      </w:r>
      <w:proofErr w:type="spellStart"/>
      <w:r w:rsidRPr="00CD4311">
        <w:rPr>
          <w:rFonts w:ascii="Times New Roman" w:hAnsi="Times New Roman" w:cs="Times New Roman"/>
        </w:rPr>
        <w:t>vai</w:t>
      </w:r>
      <w:proofErr w:type="spellEnd"/>
      <w:r w:rsidRPr="00CD4311">
        <w:rPr>
          <w:rFonts w:ascii="Times New Roman" w:hAnsi="Times New Roman" w:cs="Times New Roman"/>
        </w:rPr>
        <w:t xml:space="preserve"> </w:t>
      </w:r>
      <w:proofErr w:type="spellStart"/>
      <w:r w:rsidRPr="00CD4311">
        <w:rPr>
          <w:rFonts w:ascii="Times New Roman" w:hAnsi="Times New Roman" w:cs="Times New Roman"/>
        </w:rPr>
        <w:t>uzturēšanās</w:t>
      </w:r>
      <w:proofErr w:type="spellEnd"/>
      <w:r w:rsidRPr="00CD4311">
        <w:rPr>
          <w:rFonts w:ascii="Times New Roman" w:hAnsi="Times New Roman" w:cs="Times New Roman"/>
        </w:rPr>
        <w:t xml:space="preserve"> </w:t>
      </w:r>
      <w:proofErr w:type="spellStart"/>
      <w:proofErr w:type="gramStart"/>
      <w:r w:rsidRPr="00CD4311">
        <w:rPr>
          <w:rFonts w:ascii="Times New Roman" w:hAnsi="Times New Roman" w:cs="Times New Roman"/>
        </w:rPr>
        <w:t>vietu</w:t>
      </w:r>
      <w:proofErr w:type="spellEnd"/>
      <w:r w:rsidRPr="00CD4311">
        <w:rPr>
          <w:rFonts w:ascii="Times New Roman" w:hAnsi="Times New Roman" w:cs="Times New Roman"/>
        </w:rPr>
        <w:t>;</w:t>
      </w:r>
      <w:proofErr w:type="gramEnd"/>
    </w:p>
    <w:p w14:paraId="06E141D5" w14:textId="77777777" w:rsidR="00114953" w:rsidRPr="00CD4311" w:rsidRDefault="00114953" w:rsidP="00114953">
      <w:pPr>
        <w:tabs>
          <w:tab w:val="left" w:pos="-720"/>
        </w:tabs>
        <w:jc w:val="both"/>
        <w:rPr>
          <w:rFonts w:ascii="Times New Roman" w:hAnsi="Times New Roman" w:cs="Times New Roman"/>
        </w:rPr>
      </w:pPr>
      <w:r w:rsidRPr="00CD4311">
        <w:rPr>
          <w:rFonts w:ascii="Times New Roman" w:hAnsi="Times New Roman" w:cs="Times New Roman"/>
        </w:rPr>
        <w:t xml:space="preserve">l) </w:t>
      </w:r>
      <w:proofErr w:type="spellStart"/>
      <w:proofErr w:type="gramStart"/>
      <w:r w:rsidRPr="00CD4311">
        <w:rPr>
          <w:rFonts w:ascii="Times New Roman" w:hAnsi="Times New Roman" w:cs="Times New Roman"/>
        </w:rPr>
        <w:t>valstspiederību</w:t>
      </w:r>
      <w:proofErr w:type="spellEnd"/>
      <w:r w:rsidRPr="00CD4311">
        <w:rPr>
          <w:rFonts w:ascii="Times New Roman" w:hAnsi="Times New Roman" w:cs="Times New Roman"/>
        </w:rPr>
        <w:t>;</w:t>
      </w:r>
      <w:proofErr w:type="gramEnd"/>
    </w:p>
    <w:p w14:paraId="0AA74D77" w14:textId="77777777" w:rsidR="00114953" w:rsidRPr="00CD4311" w:rsidRDefault="00114953" w:rsidP="00114953">
      <w:pPr>
        <w:tabs>
          <w:tab w:val="left" w:pos="-720"/>
        </w:tabs>
        <w:jc w:val="both"/>
        <w:rPr>
          <w:rFonts w:ascii="Times New Roman" w:hAnsi="Times New Roman" w:cs="Times New Roman"/>
        </w:rPr>
      </w:pPr>
      <w:r w:rsidRPr="00CD4311">
        <w:rPr>
          <w:rFonts w:ascii="Times New Roman" w:hAnsi="Times New Roman" w:cs="Times New Roman"/>
        </w:rPr>
        <w:t xml:space="preserve">m) </w:t>
      </w:r>
      <w:proofErr w:type="spellStart"/>
      <w:r w:rsidRPr="00CD4311">
        <w:rPr>
          <w:rFonts w:ascii="Times New Roman" w:hAnsi="Times New Roman" w:cs="Times New Roman"/>
        </w:rPr>
        <w:t>sodāmības</w:t>
      </w:r>
      <w:proofErr w:type="spellEnd"/>
      <w:r w:rsidRPr="00CD4311">
        <w:rPr>
          <w:rFonts w:ascii="Times New Roman" w:hAnsi="Times New Roman" w:cs="Times New Roman"/>
        </w:rPr>
        <w:t xml:space="preserve"> </w:t>
      </w:r>
      <w:proofErr w:type="spellStart"/>
      <w:r w:rsidRPr="00CD4311">
        <w:rPr>
          <w:rFonts w:ascii="Times New Roman" w:hAnsi="Times New Roman" w:cs="Times New Roman"/>
        </w:rPr>
        <w:t>neesamību</w:t>
      </w:r>
      <w:proofErr w:type="spellEnd"/>
      <w:r w:rsidRPr="00CD4311">
        <w:rPr>
          <w:rFonts w:ascii="Times New Roman" w:hAnsi="Times New Roman" w:cs="Times New Roman"/>
        </w:rPr>
        <w:t xml:space="preserve"> </w:t>
      </w:r>
      <w:proofErr w:type="spellStart"/>
      <w:r w:rsidRPr="00CD4311">
        <w:rPr>
          <w:rFonts w:ascii="Times New Roman" w:hAnsi="Times New Roman" w:cs="Times New Roman"/>
        </w:rPr>
        <w:t>ar</w:t>
      </w:r>
      <w:proofErr w:type="spellEnd"/>
      <w:r w:rsidRPr="00CD4311">
        <w:rPr>
          <w:rFonts w:ascii="Times New Roman" w:hAnsi="Times New Roman" w:cs="Times New Roman"/>
        </w:rPr>
        <w:t xml:space="preserve"> </w:t>
      </w:r>
      <w:proofErr w:type="spellStart"/>
      <w:r w:rsidRPr="00CD4311">
        <w:rPr>
          <w:rFonts w:ascii="Times New Roman" w:hAnsi="Times New Roman" w:cs="Times New Roman"/>
        </w:rPr>
        <w:t>noteikumu</w:t>
      </w:r>
      <w:proofErr w:type="spellEnd"/>
      <w:r w:rsidRPr="00CD4311">
        <w:rPr>
          <w:rFonts w:ascii="Times New Roman" w:hAnsi="Times New Roman" w:cs="Times New Roman"/>
        </w:rPr>
        <w:t xml:space="preserve">, ka </w:t>
      </w:r>
      <w:proofErr w:type="spellStart"/>
      <w:r w:rsidRPr="00CD4311">
        <w:rPr>
          <w:rFonts w:ascii="Times New Roman" w:hAnsi="Times New Roman" w:cs="Times New Roman"/>
        </w:rPr>
        <w:t>publiskus</w:t>
      </w:r>
      <w:proofErr w:type="spellEnd"/>
      <w:r w:rsidRPr="00CD4311">
        <w:rPr>
          <w:rFonts w:ascii="Times New Roman" w:hAnsi="Times New Roman" w:cs="Times New Roman"/>
        </w:rPr>
        <w:t xml:space="preserve"> </w:t>
      </w:r>
      <w:proofErr w:type="spellStart"/>
      <w:r w:rsidRPr="00CD4311">
        <w:rPr>
          <w:rFonts w:ascii="Times New Roman" w:hAnsi="Times New Roman" w:cs="Times New Roman"/>
        </w:rPr>
        <w:t>dokumentus</w:t>
      </w:r>
      <w:proofErr w:type="spellEnd"/>
      <w:r w:rsidRPr="00CD4311">
        <w:rPr>
          <w:rFonts w:ascii="Times New Roman" w:hAnsi="Times New Roman" w:cs="Times New Roman"/>
        </w:rPr>
        <w:t xml:space="preserve"> par </w:t>
      </w:r>
      <w:proofErr w:type="spellStart"/>
      <w:r w:rsidRPr="00CD4311">
        <w:rPr>
          <w:rFonts w:ascii="Times New Roman" w:hAnsi="Times New Roman" w:cs="Times New Roman"/>
        </w:rPr>
        <w:t>šo</w:t>
      </w:r>
      <w:proofErr w:type="spellEnd"/>
      <w:r w:rsidRPr="00CD4311">
        <w:rPr>
          <w:rFonts w:ascii="Times New Roman" w:hAnsi="Times New Roman" w:cs="Times New Roman"/>
        </w:rPr>
        <w:t xml:space="preserve"> </w:t>
      </w:r>
      <w:proofErr w:type="spellStart"/>
      <w:r w:rsidRPr="00CD4311">
        <w:rPr>
          <w:rFonts w:ascii="Times New Roman" w:hAnsi="Times New Roman" w:cs="Times New Roman"/>
        </w:rPr>
        <w:t>faktu</w:t>
      </w:r>
      <w:proofErr w:type="spellEnd"/>
      <w:r w:rsidRPr="00CD4311">
        <w:rPr>
          <w:rFonts w:ascii="Times New Roman" w:hAnsi="Times New Roman" w:cs="Times New Roman"/>
        </w:rPr>
        <w:t xml:space="preserve"> </w:t>
      </w:r>
      <w:proofErr w:type="spellStart"/>
      <w:r w:rsidRPr="00CD4311">
        <w:rPr>
          <w:rFonts w:ascii="Times New Roman" w:hAnsi="Times New Roman" w:cs="Times New Roman"/>
        </w:rPr>
        <w:t>Savienības</w:t>
      </w:r>
      <w:proofErr w:type="spellEnd"/>
      <w:r w:rsidRPr="00CD4311">
        <w:rPr>
          <w:rFonts w:ascii="Times New Roman" w:hAnsi="Times New Roman" w:cs="Times New Roman"/>
        </w:rPr>
        <w:t xml:space="preserve"> </w:t>
      </w:r>
      <w:proofErr w:type="spellStart"/>
      <w:r w:rsidRPr="00CD4311">
        <w:rPr>
          <w:rFonts w:ascii="Times New Roman" w:hAnsi="Times New Roman" w:cs="Times New Roman"/>
        </w:rPr>
        <w:t>iedzīvotājam</w:t>
      </w:r>
      <w:proofErr w:type="spellEnd"/>
      <w:r w:rsidRPr="00CD4311">
        <w:rPr>
          <w:rFonts w:ascii="Times New Roman" w:hAnsi="Times New Roman" w:cs="Times New Roman"/>
        </w:rPr>
        <w:t xml:space="preserve"> </w:t>
      </w:r>
      <w:proofErr w:type="spellStart"/>
      <w:r w:rsidRPr="00CD4311">
        <w:rPr>
          <w:rFonts w:ascii="Times New Roman" w:hAnsi="Times New Roman" w:cs="Times New Roman"/>
        </w:rPr>
        <w:t>izdod</w:t>
      </w:r>
      <w:proofErr w:type="spellEnd"/>
      <w:r w:rsidRPr="00CD4311">
        <w:rPr>
          <w:rFonts w:ascii="Times New Roman" w:hAnsi="Times New Roman" w:cs="Times New Roman"/>
        </w:rPr>
        <w:t xml:space="preserve"> </w:t>
      </w:r>
      <w:proofErr w:type="spellStart"/>
      <w:r w:rsidRPr="00CD4311">
        <w:rPr>
          <w:rFonts w:ascii="Times New Roman" w:hAnsi="Times New Roman" w:cs="Times New Roman"/>
        </w:rPr>
        <w:t>minētā</w:t>
      </w:r>
      <w:proofErr w:type="spellEnd"/>
      <w:r w:rsidRPr="00CD4311">
        <w:rPr>
          <w:rFonts w:ascii="Times New Roman" w:hAnsi="Times New Roman" w:cs="Times New Roman"/>
        </w:rPr>
        <w:t xml:space="preserve"> </w:t>
      </w:r>
      <w:proofErr w:type="spellStart"/>
      <w:r w:rsidRPr="00CD4311">
        <w:rPr>
          <w:rFonts w:ascii="Times New Roman" w:hAnsi="Times New Roman" w:cs="Times New Roman"/>
        </w:rPr>
        <w:t>iedzīvotāja</w:t>
      </w:r>
      <w:proofErr w:type="spellEnd"/>
      <w:r w:rsidRPr="00CD4311">
        <w:rPr>
          <w:rFonts w:ascii="Times New Roman" w:hAnsi="Times New Roman" w:cs="Times New Roman"/>
        </w:rPr>
        <w:t xml:space="preserve"> </w:t>
      </w:r>
      <w:proofErr w:type="spellStart"/>
      <w:r w:rsidRPr="00CD4311">
        <w:rPr>
          <w:rFonts w:ascii="Times New Roman" w:hAnsi="Times New Roman" w:cs="Times New Roman"/>
        </w:rPr>
        <w:t>valstspiederības</w:t>
      </w:r>
      <w:proofErr w:type="spellEnd"/>
      <w:r w:rsidRPr="00CD4311">
        <w:rPr>
          <w:rFonts w:ascii="Times New Roman" w:hAnsi="Times New Roman" w:cs="Times New Roman"/>
        </w:rPr>
        <w:t xml:space="preserve"> </w:t>
      </w:r>
      <w:proofErr w:type="spellStart"/>
      <w:r w:rsidRPr="00CD4311">
        <w:rPr>
          <w:rFonts w:ascii="Times New Roman" w:hAnsi="Times New Roman" w:cs="Times New Roman"/>
        </w:rPr>
        <w:t>dalībvalsts</w:t>
      </w:r>
      <w:proofErr w:type="spellEnd"/>
      <w:r w:rsidRPr="00CD4311">
        <w:rPr>
          <w:rFonts w:ascii="Times New Roman" w:hAnsi="Times New Roman" w:cs="Times New Roman"/>
        </w:rPr>
        <w:t xml:space="preserve"> </w:t>
      </w:r>
      <w:proofErr w:type="spellStart"/>
      <w:r w:rsidRPr="00CD4311">
        <w:rPr>
          <w:rFonts w:ascii="Times New Roman" w:hAnsi="Times New Roman" w:cs="Times New Roman"/>
        </w:rPr>
        <w:t>iestādes</w:t>
      </w:r>
      <w:proofErr w:type="spellEnd"/>
      <w:r w:rsidRPr="00CD4311">
        <w:rPr>
          <w:rFonts w:ascii="Times New Roman" w:hAnsi="Times New Roman" w:cs="Times New Roman"/>
        </w:rPr>
        <w:t>.</w:t>
      </w:r>
    </w:p>
    <w:p w14:paraId="4F5393D7" w14:textId="77777777" w:rsidR="00114953" w:rsidRPr="00CD4311" w:rsidRDefault="00114953" w:rsidP="00114953">
      <w:pPr>
        <w:tabs>
          <w:tab w:val="left" w:pos="-720"/>
        </w:tabs>
        <w:jc w:val="both"/>
        <w:rPr>
          <w:rFonts w:ascii="Times New Roman" w:hAnsi="Times New Roman" w:cs="Times New Roman"/>
        </w:rPr>
      </w:pPr>
    </w:p>
    <w:p w14:paraId="545B6F21" w14:textId="77777777" w:rsidR="00114953" w:rsidRPr="00CD4311" w:rsidRDefault="00114953" w:rsidP="00114953">
      <w:pPr>
        <w:tabs>
          <w:tab w:val="left" w:pos="-720"/>
        </w:tabs>
        <w:jc w:val="both"/>
        <w:rPr>
          <w:rFonts w:ascii="Times New Roman" w:hAnsi="Times New Roman" w:cs="Times New Roman"/>
        </w:rPr>
      </w:pPr>
      <w:proofErr w:type="spellStart"/>
      <w:r w:rsidRPr="00CD4311">
        <w:rPr>
          <w:rFonts w:ascii="Times New Roman" w:hAnsi="Times New Roman" w:cs="Times New Roman"/>
        </w:rPr>
        <w:t>Regulas</w:t>
      </w:r>
      <w:proofErr w:type="spellEnd"/>
      <w:r w:rsidRPr="00CD4311">
        <w:rPr>
          <w:rFonts w:ascii="Times New Roman" w:hAnsi="Times New Roman" w:cs="Times New Roman"/>
        </w:rPr>
        <w:t xml:space="preserve"> </w:t>
      </w:r>
      <w:proofErr w:type="gramStart"/>
      <w:r w:rsidRPr="00CD4311">
        <w:rPr>
          <w:rFonts w:ascii="Times New Roman" w:hAnsi="Times New Roman" w:cs="Times New Roman"/>
        </w:rPr>
        <w:t>3.panta</w:t>
      </w:r>
      <w:proofErr w:type="gramEnd"/>
      <w:r w:rsidRPr="00CD4311">
        <w:rPr>
          <w:rFonts w:ascii="Times New Roman" w:hAnsi="Times New Roman" w:cs="Times New Roman"/>
        </w:rPr>
        <w:t xml:space="preserve"> 1.punkts </w:t>
      </w:r>
      <w:proofErr w:type="spellStart"/>
      <w:r w:rsidRPr="00CD4311">
        <w:rPr>
          <w:rFonts w:ascii="Times New Roman" w:hAnsi="Times New Roman" w:cs="Times New Roman"/>
        </w:rPr>
        <w:t>nosaka</w:t>
      </w:r>
      <w:proofErr w:type="spellEnd"/>
      <w:r w:rsidRPr="00CD4311">
        <w:rPr>
          <w:rFonts w:ascii="Times New Roman" w:hAnsi="Times New Roman" w:cs="Times New Roman"/>
        </w:rPr>
        <w:t xml:space="preserve">, ka </w:t>
      </w:r>
      <w:proofErr w:type="spellStart"/>
      <w:r w:rsidRPr="00CD4311">
        <w:rPr>
          <w:rFonts w:ascii="Times New Roman" w:hAnsi="Times New Roman" w:cs="Times New Roman"/>
          <w:b/>
        </w:rPr>
        <w:t>publisks</w:t>
      </w:r>
      <w:proofErr w:type="spellEnd"/>
      <w:r w:rsidRPr="00CD4311">
        <w:rPr>
          <w:rFonts w:ascii="Times New Roman" w:hAnsi="Times New Roman" w:cs="Times New Roman"/>
          <w:b/>
        </w:rPr>
        <w:t xml:space="preserve"> </w:t>
      </w:r>
      <w:proofErr w:type="spellStart"/>
      <w:r w:rsidRPr="00CD4311">
        <w:rPr>
          <w:rFonts w:ascii="Times New Roman" w:hAnsi="Times New Roman" w:cs="Times New Roman"/>
          <w:b/>
        </w:rPr>
        <w:t>dokuments</w:t>
      </w:r>
      <w:proofErr w:type="spellEnd"/>
      <w:r w:rsidRPr="00CD4311">
        <w:rPr>
          <w:rFonts w:ascii="Times New Roman" w:hAnsi="Times New Roman" w:cs="Times New Roman"/>
        </w:rPr>
        <w:t xml:space="preserve"> </w:t>
      </w:r>
      <w:proofErr w:type="spellStart"/>
      <w:r w:rsidRPr="00CD4311">
        <w:rPr>
          <w:rFonts w:ascii="Times New Roman" w:hAnsi="Times New Roman" w:cs="Times New Roman"/>
        </w:rPr>
        <w:t>ir</w:t>
      </w:r>
      <w:proofErr w:type="spellEnd"/>
      <w:r w:rsidRPr="00CD4311">
        <w:rPr>
          <w:rFonts w:ascii="Times New Roman" w:hAnsi="Times New Roman" w:cs="Times New Roman"/>
        </w:rPr>
        <w:t> :</w:t>
      </w:r>
    </w:p>
    <w:p w14:paraId="52C31E87" w14:textId="77777777" w:rsidR="00114953" w:rsidRPr="00CD4311" w:rsidRDefault="00114953" w:rsidP="00114953">
      <w:pPr>
        <w:tabs>
          <w:tab w:val="left" w:pos="-720"/>
        </w:tabs>
        <w:jc w:val="both"/>
        <w:rPr>
          <w:rFonts w:ascii="Times New Roman" w:hAnsi="Times New Roman" w:cs="Times New Roman"/>
        </w:rPr>
      </w:pPr>
      <w:r w:rsidRPr="00CD4311">
        <w:rPr>
          <w:rFonts w:ascii="Times New Roman" w:hAnsi="Times New Roman" w:cs="Times New Roman"/>
        </w:rPr>
        <w:lastRenderedPageBreak/>
        <w:t xml:space="preserve">a) </w:t>
      </w:r>
      <w:proofErr w:type="spellStart"/>
      <w:r w:rsidRPr="00CD4311">
        <w:rPr>
          <w:rFonts w:ascii="Times New Roman" w:hAnsi="Times New Roman" w:cs="Times New Roman"/>
        </w:rPr>
        <w:t>dokumenti</w:t>
      </w:r>
      <w:proofErr w:type="spellEnd"/>
      <w:r w:rsidRPr="00CD4311">
        <w:rPr>
          <w:rFonts w:ascii="Times New Roman" w:hAnsi="Times New Roman" w:cs="Times New Roman"/>
        </w:rPr>
        <w:t xml:space="preserve">, ko </w:t>
      </w:r>
      <w:proofErr w:type="spellStart"/>
      <w:r w:rsidRPr="00CD4311">
        <w:rPr>
          <w:rFonts w:ascii="Times New Roman" w:hAnsi="Times New Roman" w:cs="Times New Roman"/>
        </w:rPr>
        <w:t>izsniegusi</w:t>
      </w:r>
      <w:proofErr w:type="spellEnd"/>
      <w:r w:rsidRPr="00CD4311">
        <w:rPr>
          <w:rFonts w:ascii="Times New Roman" w:hAnsi="Times New Roman" w:cs="Times New Roman"/>
        </w:rPr>
        <w:t xml:space="preserve"> </w:t>
      </w:r>
      <w:proofErr w:type="spellStart"/>
      <w:r w:rsidRPr="00CD4311">
        <w:rPr>
          <w:rFonts w:ascii="Times New Roman" w:hAnsi="Times New Roman" w:cs="Times New Roman"/>
        </w:rPr>
        <w:t>iestāde</w:t>
      </w:r>
      <w:proofErr w:type="spellEnd"/>
      <w:r w:rsidRPr="00CD4311">
        <w:rPr>
          <w:rFonts w:ascii="Times New Roman" w:hAnsi="Times New Roman" w:cs="Times New Roman"/>
        </w:rPr>
        <w:t xml:space="preserve"> </w:t>
      </w:r>
      <w:proofErr w:type="spellStart"/>
      <w:r w:rsidRPr="00CD4311">
        <w:rPr>
          <w:rFonts w:ascii="Times New Roman" w:hAnsi="Times New Roman" w:cs="Times New Roman"/>
        </w:rPr>
        <w:t>vai</w:t>
      </w:r>
      <w:proofErr w:type="spellEnd"/>
      <w:r w:rsidRPr="00CD4311">
        <w:rPr>
          <w:rFonts w:ascii="Times New Roman" w:hAnsi="Times New Roman" w:cs="Times New Roman"/>
        </w:rPr>
        <w:t xml:space="preserve"> </w:t>
      </w:r>
      <w:proofErr w:type="spellStart"/>
      <w:r w:rsidRPr="00CD4311">
        <w:rPr>
          <w:rFonts w:ascii="Times New Roman" w:hAnsi="Times New Roman" w:cs="Times New Roman"/>
        </w:rPr>
        <w:t>amatpersona</w:t>
      </w:r>
      <w:proofErr w:type="spellEnd"/>
      <w:r w:rsidRPr="00CD4311">
        <w:rPr>
          <w:rFonts w:ascii="Times New Roman" w:hAnsi="Times New Roman" w:cs="Times New Roman"/>
        </w:rPr>
        <w:t xml:space="preserve">, </w:t>
      </w:r>
      <w:proofErr w:type="spellStart"/>
      <w:r w:rsidRPr="00CD4311">
        <w:rPr>
          <w:rFonts w:ascii="Times New Roman" w:hAnsi="Times New Roman" w:cs="Times New Roman"/>
        </w:rPr>
        <w:t>kura</w:t>
      </w:r>
      <w:proofErr w:type="spellEnd"/>
      <w:r w:rsidRPr="00CD4311">
        <w:rPr>
          <w:rFonts w:ascii="Times New Roman" w:hAnsi="Times New Roman" w:cs="Times New Roman"/>
        </w:rPr>
        <w:t xml:space="preserve"> </w:t>
      </w:r>
      <w:proofErr w:type="spellStart"/>
      <w:r w:rsidRPr="00CD4311">
        <w:rPr>
          <w:rFonts w:ascii="Times New Roman" w:hAnsi="Times New Roman" w:cs="Times New Roman"/>
        </w:rPr>
        <w:t>ir</w:t>
      </w:r>
      <w:proofErr w:type="spellEnd"/>
      <w:r w:rsidRPr="00CD4311">
        <w:rPr>
          <w:rFonts w:ascii="Times New Roman" w:hAnsi="Times New Roman" w:cs="Times New Roman"/>
        </w:rPr>
        <w:t xml:space="preserve"> </w:t>
      </w:r>
      <w:proofErr w:type="spellStart"/>
      <w:r w:rsidRPr="00CD4311">
        <w:rPr>
          <w:rFonts w:ascii="Times New Roman" w:hAnsi="Times New Roman" w:cs="Times New Roman"/>
        </w:rPr>
        <w:t>saistīta</w:t>
      </w:r>
      <w:proofErr w:type="spellEnd"/>
      <w:r w:rsidRPr="00CD4311">
        <w:rPr>
          <w:rFonts w:ascii="Times New Roman" w:hAnsi="Times New Roman" w:cs="Times New Roman"/>
        </w:rPr>
        <w:t xml:space="preserve"> </w:t>
      </w:r>
      <w:proofErr w:type="spellStart"/>
      <w:r w:rsidRPr="00CD4311">
        <w:rPr>
          <w:rFonts w:ascii="Times New Roman" w:hAnsi="Times New Roman" w:cs="Times New Roman"/>
        </w:rPr>
        <w:t>ar</w:t>
      </w:r>
      <w:proofErr w:type="spellEnd"/>
      <w:r w:rsidRPr="00CD4311">
        <w:rPr>
          <w:rFonts w:ascii="Times New Roman" w:hAnsi="Times New Roman" w:cs="Times New Roman"/>
        </w:rPr>
        <w:t xml:space="preserve"> </w:t>
      </w:r>
      <w:proofErr w:type="spellStart"/>
      <w:r w:rsidRPr="00CD4311">
        <w:rPr>
          <w:rFonts w:ascii="Times New Roman" w:hAnsi="Times New Roman" w:cs="Times New Roman"/>
        </w:rPr>
        <w:t>dalībvalsts</w:t>
      </w:r>
      <w:proofErr w:type="spellEnd"/>
      <w:r w:rsidRPr="00CD4311">
        <w:rPr>
          <w:rFonts w:ascii="Times New Roman" w:hAnsi="Times New Roman" w:cs="Times New Roman"/>
        </w:rPr>
        <w:t xml:space="preserve"> </w:t>
      </w:r>
      <w:proofErr w:type="spellStart"/>
      <w:r w:rsidRPr="00CD4311">
        <w:rPr>
          <w:rFonts w:ascii="Times New Roman" w:hAnsi="Times New Roman" w:cs="Times New Roman"/>
        </w:rPr>
        <w:t>tiesām</w:t>
      </w:r>
      <w:proofErr w:type="spellEnd"/>
      <w:r w:rsidRPr="00CD4311">
        <w:rPr>
          <w:rFonts w:ascii="Times New Roman" w:hAnsi="Times New Roman" w:cs="Times New Roman"/>
        </w:rPr>
        <w:t xml:space="preserve">, </w:t>
      </w:r>
      <w:proofErr w:type="spellStart"/>
      <w:r w:rsidRPr="00CD4311">
        <w:rPr>
          <w:rFonts w:ascii="Times New Roman" w:hAnsi="Times New Roman" w:cs="Times New Roman"/>
        </w:rPr>
        <w:t>tostarp</w:t>
      </w:r>
      <w:proofErr w:type="spellEnd"/>
      <w:r w:rsidRPr="00CD4311">
        <w:rPr>
          <w:rFonts w:ascii="Times New Roman" w:hAnsi="Times New Roman" w:cs="Times New Roman"/>
        </w:rPr>
        <w:t xml:space="preserve"> </w:t>
      </w:r>
      <w:proofErr w:type="spellStart"/>
      <w:r w:rsidRPr="00CD4311">
        <w:rPr>
          <w:rFonts w:ascii="Times New Roman" w:hAnsi="Times New Roman" w:cs="Times New Roman"/>
        </w:rPr>
        <w:t>dokumenti</w:t>
      </w:r>
      <w:proofErr w:type="spellEnd"/>
      <w:r w:rsidRPr="00CD4311">
        <w:rPr>
          <w:rFonts w:ascii="Times New Roman" w:hAnsi="Times New Roman" w:cs="Times New Roman"/>
        </w:rPr>
        <w:t xml:space="preserve">, ko </w:t>
      </w:r>
      <w:proofErr w:type="spellStart"/>
      <w:r w:rsidRPr="00CD4311">
        <w:rPr>
          <w:rFonts w:ascii="Times New Roman" w:hAnsi="Times New Roman" w:cs="Times New Roman"/>
        </w:rPr>
        <w:t>izsniedzis</w:t>
      </w:r>
      <w:proofErr w:type="spellEnd"/>
      <w:r w:rsidRPr="00CD4311">
        <w:rPr>
          <w:rFonts w:ascii="Times New Roman" w:hAnsi="Times New Roman" w:cs="Times New Roman"/>
        </w:rPr>
        <w:t xml:space="preserve"> </w:t>
      </w:r>
      <w:proofErr w:type="spellStart"/>
      <w:r w:rsidRPr="00CD4311">
        <w:rPr>
          <w:rFonts w:ascii="Times New Roman" w:hAnsi="Times New Roman" w:cs="Times New Roman"/>
        </w:rPr>
        <w:t>prokurors</w:t>
      </w:r>
      <w:proofErr w:type="spellEnd"/>
      <w:r w:rsidRPr="00CD4311">
        <w:rPr>
          <w:rFonts w:ascii="Times New Roman" w:hAnsi="Times New Roman" w:cs="Times New Roman"/>
        </w:rPr>
        <w:t xml:space="preserve">, </w:t>
      </w:r>
      <w:proofErr w:type="spellStart"/>
      <w:r w:rsidRPr="00CD4311">
        <w:rPr>
          <w:rFonts w:ascii="Times New Roman" w:hAnsi="Times New Roman" w:cs="Times New Roman"/>
        </w:rPr>
        <w:t>tiesas</w:t>
      </w:r>
      <w:proofErr w:type="spellEnd"/>
      <w:r w:rsidRPr="00CD4311">
        <w:rPr>
          <w:rFonts w:ascii="Times New Roman" w:hAnsi="Times New Roman" w:cs="Times New Roman"/>
        </w:rPr>
        <w:t xml:space="preserve"> </w:t>
      </w:r>
      <w:proofErr w:type="spellStart"/>
      <w:r w:rsidRPr="00CD4311">
        <w:rPr>
          <w:rFonts w:ascii="Times New Roman" w:hAnsi="Times New Roman" w:cs="Times New Roman"/>
        </w:rPr>
        <w:t>sekretārs</w:t>
      </w:r>
      <w:proofErr w:type="spellEnd"/>
      <w:r w:rsidRPr="00CD4311">
        <w:rPr>
          <w:rFonts w:ascii="Times New Roman" w:hAnsi="Times New Roman" w:cs="Times New Roman"/>
        </w:rPr>
        <w:t xml:space="preserve"> </w:t>
      </w:r>
      <w:proofErr w:type="spellStart"/>
      <w:r w:rsidRPr="00CD4311">
        <w:rPr>
          <w:rFonts w:ascii="Times New Roman" w:hAnsi="Times New Roman" w:cs="Times New Roman"/>
        </w:rPr>
        <w:t>vai</w:t>
      </w:r>
      <w:proofErr w:type="spellEnd"/>
      <w:r w:rsidRPr="00CD4311">
        <w:rPr>
          <w:rFonts w:ascii="Times New Roman" w:hAnsi="Times New Roman" w:cs="Times New Roman"/>
        </w:rPr>
        <w:t xml:space="preserve"> </w:t>
      </w:r>
      <w:proofErr w:type="spellStart"/>
      <w:r w:rsidRPr="00CD4311">
        <w:rPr>
          <w:rFonts w:ascii="Times New Roman" w:hAnsi="Times New Roman" w:cs="Times New Roman"/>
        </w:rPr>
        <w:t>tiesas</w:t>
      </w:r>
      <w:proofErr w:type="spellEnd"/>
      <w:r w:rsidRPr="00CD4311">
        <w:rPr>
          <w:rFonts w:ascii="Times New Roman" w:hAnsi="Times New Roman" w:cs="Times New Roman"/>
        </w:rPr>
        <w:t xml:space="preserve"> </w:t>
      </w:r>
      <w:proofErr w:type="spellStart"/>
      <w:r w:rsidRPr="00CD4311">
        <w:rPr>
          <w:rFonts w:ascii="Times New Roman" w:hAnsi="Times New Roman" w:cs="Times New Roman"/>
        </w:rPr>
        <w:t>izpildītājs</w:t>
      </w:r>
      <w:proofErr w:type="spellEnd"/>
      <w:r w:rsidRPr="00CD4311">
        <w:rPr>
          <w:rFonts w:ascii="Times New Roman" w:hAnsi="Times New Roman" w:cs="Times New Roman"/>
        </w:rPr>
        <w:t xml:space="preserve"> (“</w:t>
      </w:r>
      <w:r w:rsidRPr="00CD4311">
        <w:rPr>
          <w:rFonts w:ascii="Times New Roman" w:hAnsi="Times New Roman" w:cs="Times New Roman"/>
          <w:i/>
          <w:iCs/>
        </w:rPr>
        <w:t>huissier de justice</w:t>
      </w:r>
      <w:r w:rsidRPr="00CD4311">
        <w:rPr>
          <w:rFonts w:ascii="Times New Roman" w:hAnsi="Times New Roman" w:cs="Times New Roman"/>
        </w:rPr>
        <w:t>”</w:t>
      </w:r>
      <w:proofErr w:type="gramStart"/>
      <w:r w:rsidRPr="00CD4311">
        <w:rPr>
          <w:rFonts w:ascii="Times New Roman" w:hAnsi="Times New Roman" w:cs="Times New Roman"/>
        </w:rPr>
        <w:t>);</w:t>
      </w:r>
      <w:proofErr w:type="gramEnd"/>
    </w:p>
    <w:p w14:paraId="2276FD35" w14:textId="77777777" w:rsidR="00114953" w:rsidRPr="00CD4311" w:rsidRDefault="00114953" w:rsidP="00114953">
      <w:pPr>
        <w:tabs>
          <w:tab w:val="left" w:pos="-720"/>
        </w:tabs>
        <w:jc w:val="both"/>
        <w:rPr>
          <w:rFonts w:ascii="Times New Roman" w:hAnsi="Times New Roman" w:cs="Times New Roman"/>
        </w:rPr>
      </w:pPr>
      <w:r w:rsidRPr="00CD4311">
        <w:rPr>
          <w:rFonts w:ascii="Times New Roman" w:hAnsi="Times New Roman" w:cs="Times New Roman"/>
        </w:rPr>
        <w:t xml:space="preserve">b) </w:t>
      </w:r>
      <w:proofErr w:type="spellStart"/>
      <w:r w:rsidRPr="00CD4311">
        <w:rPr>
          <w:rFonts w:ascii="Times New Roman" w:hAnsi="Times New Roman" w:cs="Times New Roman"/>
        </w:rPr>
        <w:t>administratīvi</w:t>
      </w:r>
      <w:proofErr w:type="spellEnd"/>
      <w:r w:rsidRPr="00CD4311">
        <w:rPr>
          <w:rFonts w:ascii="Times New Roman" w:hAnsi="Times New Roman" w:cs="Times New Roman"/>
        </w:rPr>
        <w:t xml:space="preserve"> </w:t>
      </w:r>
      <w:proofErr w:type="spellStart"/>
      <w:proofErr w:type="gramStart"/>
      <w:r w:rsidRPr="00CD4311">
        <w:rPr>
          <w:rFonts w:ascii="Times New Roman" w:hAnsi="Times New Roman" w:cs="Times New Roman"/>
        </w:rPr>
        <w:t>dokumenti</w:t>
      </w:r>
      <w:proofErr w:type="spellEnd"/>
      <w:r w:rsidRPr="00CD4311">
        <w:rPr>
          <w:rFonts w:ascii="Times New Roman" w:hAnsi="Times New Roman" w:cs="Times New Roman"/>
        </w:rPr>
        <w:t>;</w:t>
      </w:r>
      <w:proofErr w:type="gramEnd"/>
    </w:p>
    <w:p w14:paraId="49DC9DC4" w14:textId="77777777" w:rsidR="00114953" w:rsidRPr="00CD4311" w:rsidRDefault="00114953" w:rsidP="00114953">
      <w:pPr>
        <w:tabs>
          <w:tab w:val="left" w:pos="-720"/>
        </w:tabs>
        <w:jc w:val="both"/>
        <w:rPr>
          <w:rFonts w:ascii="Times New Roman" w:hAnsi="Times New Roman" w:cs="Times New Roman"/>
          <w:u w:val="single"/>
        </w:rPr>
      </w:pPr>
      <w:r w:rsidRPr="00CD4311">
        <w:rPr>
          <w:rFonts w:ascii="Times New Roman" w:hAnsi="Times New Roman" w:cs="Times New Roman"/>
        </w:rPr>
        <w:t xml:space="preserve">c) </w:t>
      </w:r>
      <w:proofErr w:type="spellStart"/>
      <w:r w:rsidRPr="00CD4311">
        <w:rPr>
          <w:rFonts w:ascii="Times New Roman" w:hAnsi="Times New Roman" w:cs="Times New Roman"/>
          <w:u w:val="single"/>
        </w:rPr>
        <w:t>notariāli</w:t>
      </w:r>
      <w:proofErr w:type="spellEnd"/>
      <w:r w:rsidRPr="00CD4311">
        <w:rPr>
          <w:rFonts w:ascii="Times New Roman" w:hAnsi="Times New Roman" w:cs="Times New Roman"/>
          <w:u w:val="single"/>
        </w:rPr>
        <w:t xml:space="preserve"> </w:t>
      </w:r>
      <w:proofErr w:type="spellStart"/>
      <w:proofErr w:type="gramStart"/>
      <w:r w:rsidRPr="00CD4311">
        <w:rPr>
          <w:rFonts w:ascii="Times New Roman" w:hAnsi="Times New Roman" w:cs="Times New Roman"/>
          <w:u w:val="single"/>
        </w:rPr>
        <w:t>akti</w:t>
      </w:r>
      <w:proofErr w:type="spellEnd"/>
      <w:r w:rsidRPr="00CD4311">
        <w:rPr>
          <w:rFonts w:ascii="Times New Roman" w:hAnsi="Times New Roman" w:cs="Times New Roman"/>
          <w:u w:val="single"/>
        </w:rPr>
        <w:t>;</w:t>
      </w:r>
      <w:proofErr w:type="gramEnd"/>
    </w:p>
    <w:p w14:paraId="2F9D34EE" w14:textId="77777777" w:rsidR="00114953" w:rsidRPr="00CD4311" w:rsidRDefault="00114953" w:rsidP="00114953">
      <w:pPr>
        <w:tabs>
          <w:tab w:val="left" w:pos="-720"/>
        </w:tabs>
        <w:jc w:val="both"/>
        <w:rPr>
          <w:rFonts w:ascii="Times New Roman" w:hAnsi="Times New Roman" w:cs="Times New Roman"/>
        </w:rPr>
      </w:pPr>
      <w:r w:rsidRPr="00CD4311">
        <w:rPr>
          <w:rFonts w:ascii="Times New Roman" w:hAnsi="Times New Roman" w:cs="Times New Roman"/>
        </w:rPr>
        <w:t xml:space="preserve">d) </w:t>
      </w:r>
      <w:proofErr w:type="spellStart"/>
      <w:r w:rsidRPr="00CD4311">
        <w:rPr>
          <w:rFonts w:ascii="Times New Roman" w:hAnsi="Times New Roman" w:cs="Times New Roman"/>
          <w:b/>
        </w:rPr>
        <w:t>oficiāli</w:t>
      </w:r>
      <w:proofErr w:type="spellEnd"/>
      <w:r w:rsidRPr="00CD4311">
        <w:rPr>
          <w:rFonts w:ascii="Times New Roman" w:hAnsi="Times New Roman" w:cs="Times New Roman"/>
          <w:b/>
        </w:rPr>
        <w:t xml:space="preserve"> </w:t>
      </w:r>
      <w:proofErr w:type="spellStart"/>
      <w:r w:rsidRPr="00CD4311">
        <w:rPr>
          <w:rFonts w:ascii="Times New Roman" w:hAnsi="Times New Roman" w:cs="Times New Roman"/>
          <w:b/>
        </w:rPr>
        <w:t>apliecinājumi</w:t>
      </w:r>
      <w:proofErr w:type="spellEnd"/>
      <w:r w:rsidRPr="00CD4311">
        <w:rPr>
          <w:rFonts w:ascii="Times New Roman" w:hAnsi="Times New Roman" w:cs="Times New Roman"/>
          <w:b/>
        </w:rPr>
        <w:t xml:space="preserve">, kas </w:t>
      </w:r>
      <w:proofErr w:type="spellStart"/>
      <w:r w:rsidRPr="00CD4311">
        <w:rPr>
          <w:rFonts w:ascii="Times New Roman" w:hAnsi="Times New Roman" w:cs="Times New Roman"/>
          <w:b/>
        </w:rPr>
        <w:t>ir</w:t>
      </w:r>
      <w:proofErr w:type="spellEnd"/>
      <w:r w:rsidRPr="00CD4311">
        <w:rPr>
          <w:rFonts w:ascii="Times New Roman" w:hAnsi="Times New Roman" w:cs="Times New Roman"/>
          <w:b/>
        </w:rPr>
        <w:t xml:space="preserve"> </w:t>
      </w:r>
      <w:proofErr w:type="spellStart"/>
      <w:r w:rsidRPr="00CD4311">
        <w:rPr>
          <w:rFonts w:ascii="Times New Roman" w:hAnsi="Times New Roman" w:cs="Times New Roman"/>
          <w:b/>
        </w:rPr>
        <w:t>norādīti</w:t>
      </w:r>
      <w:proofErr w:type="spellEnd"/>
      <w:r w:rsidRPr="00CD4311">
        <w:rPr>
          <w:rFonts w:ascii="Times New Roman" w:hAnsi="Times New Roman" w:cs="Times New Roman"/>
          <w:b/>
        </w:rPr>
        <w:t xml:space="preserve"> </w:t>
      </w:r>
      <w:proofErr w:type="spellStart"/>
      <w:r w:rsidRPr="00CD4311">
        <w:rPr>
          <w:rFonts w:ascii="Times New Roman" w:hAnsi="Times New Roman" w:cs="Times New Roman"/>
          <w:b/>
        </w:rPr>
        <w:t>uz</w:t>
      </w:r>
      <w:proofErr w:type="spellEnd"/>
      <w:r w:rsidRPr="00CD4311">
        <w:rPr>
          <w:rFonts w:ascii="Times New Roman" w:hAnsi="Times New Roman" w:cs="Times New Roman"/>
          <w:b/>
        </w:rPr>
        <w:t xml:space="preserve"> </w:t>
      </w:r>
      <w:proofErr w:type="spellStart"/>
      <w:r w:rsidRPr="00CD4311">
        <w:rPr>
          <w:rFonts w:ascii="Times New Roman" w:hAnsi="Times New Roman" w:cs="Times New Roman"/>
          <w:b/>
        </w:rPr>
        <w:t>dokumentiem</w:t>
      </w:r>
      <w:proofErr w:type="spellEnd"/>
      <w:r w:rsidRPr="00CD4311">
        <w:rPr>
          <w:rFonts w:ascii="Times New Roman" w:hAnsi="Times New Roman" w:cs="Times New Roman"/>
        </w:rPr>
        <w:t xml:space="preserve">, </w:t>
      </w:r>
      <w:proofErr w:type="spellStart"/>
      <w:r w:rsidRPr="00CD4311">
        <w:rPr>
          <w:rFonts w:ascii="Times New Roman" w:hAnsi="Times New Roman" w:cs="Times New Roman"/>
        </w:rPr>
        <w:t>kurus</w:t>
      </w:r>
      <w:proofErr w:type="spellEnd"/>
      <w:r w:rsidRPr="00CD4311">
        <w:rPr>
          <w:rFonts w:ascii="Times New Roman" w:hAnsi="Times New Roman" w:cs="Times New Roman"/>
        </w:rPr>
        <w:t xml:space="preserve"> </w:t>
      </w:r>
      <w:proofErr w:type="spellStart"/>
      <w:r w:rsidRPr="00CD4311">
        <w:rPr>
          <w:rFonts w:ascii="Times New Roman" w:hAnsi="Times New Roman" w:cs="Times New Roman"/>
        </w:rPr>
        <w:t>personas</w:t>
      </w:r>
      <w:proofErr w:type="spellEnd"/>
      <w:r w:rsidRPr="00CD4311">
        <w:rPr>
          <w:rFonts w:ascii="Times New Roman" w:hAnsi="Times New Roman" w:cs="Times New Roman"/>
        </w:rPr>
        <w:t xml:space="preserve"> </w:t>
      </w:r>
      <w:proofErr w:type="spellStart"/>
      <w:r w:rsidRPr="00CD4311">
        <w:rPr>
          <w:rFonts w:ascii="Times New Roman" w:hAnsi="Times New Roman" w:cs="Times New Roman"/>
        </w:rPr>
        <w:t>ir</w:t>
      </w:r>
      <w:proofErr w:type="spellEnd"/>
      <w:r w:rsidRPr="00CD4311">
        <w:rPr>
          <w:rFonts w:ascii="Times New Roman" w:hAnsi="Times New Roman" w:cs="Times New Roman"/>
        </w:rPr>
        <w:t xml:space="preserve"> </w:t>
      </w:r>
      <w:proofErr w:type="spellStart"/>
      <w:r w:rsidRPr="00CD4311">
        <w:rPr>
          <w:rFonts w:ascii="Times New Roman" w:hAnsi="Times New Roman" w:cs="Times New Roman"/>
        </w:rPr>
        <w:t>parakstījušas</w:t>
      </w:r>
      <w:proofErr w:type="spellEnd"/>
      <w:r w:rsidRPr="00CD4311">
        <w:rPr>
          <w:rFonts w:ascii="Times New Roman" w:hAnsi="Times New Roman" w:cs="Times New Roman"/>
        </w:rPr>
        <w:t xml:space="preserve"> </w:t>
      </w:r>
      <w:proofErr w:type="spellStart"/>
      <w:r w:rsidRPr="00CD4311">
        <w:rPr>
          <w:rFonts w:ascii="Times New Roman" w:hAnsi="Times New Roman" w:cs="Times New Roman"/>
        </w:rPr>
        <w:t>kā</w:t>
      </w:r>
      <w:proofErr w:type="spellEnd"/>
      <w:r w:rsidRPr="00CD4311">
        <w:rPr>
          <w:rFonts w:ascii="Times New Roman" w:hAnsi="Times New Roman" w:cs="Times New Roman"/>
        </w:rPr>
        <w:t xml:space="preserve"> </w:t>
      </w:r>
      <w:proofErr w:type="spellStart"/>
      <w:r w:rsidRPr="00CD4311">
        <w:rPr>
          <w:rFonts w:ascii="Times New Roman" w:hAnsi="Times New Roman" w:cs="Times New Roman"/>
        </w:rPr>
        <w:t>privātpersonas</w:t>
      </w:r>
      <w:proofErr w:type="spellEnd"/>
      <w:r w:rsidRPr="00CD4311">
        <w:rPr>
          <w:rFonts w:ascii="Times New Roman" w:hAnsi="Times New Roman" w:cs="Times New Roman"/>
        </w:rPr>
        <w:t xml:space="preserve">, </w:t>
      </w:r>
      <w:proofErr w:type="spellStart"/>
      <w:r w:rsidRPr="00CD4311">
        <w:rPr>
          <w:rFonts w:ascii="Times New Roman" w:hAnsi="Times New Roman" w:cs="Times New Roman"/>
        </w:rPr>
        <w:t>piemēram</w:t>
      </w:r>
      <w:proofErr w:type="spellEnd"/>
      <w:r w:rsidRPr="00CD4311">
        <w:rPr>
          <w:rFonts w:ascii="Times New Roman" w:hAnsi="Times New Roman" w:cs="Times New Roman"/>
        </w:rPr>
        <w:t xml:space="preserve">, </w:t>
      </w:r>
      <w:proofErr w:type="spellStart"/>
      <w:r w:rsidRPr="00CD4311">
        <w:rPr>
          <w:rFonts w:ascii="Times New Roman" w:hAnsi="Times New Roman" w:cs="Times New Roman"/>
        </w:rPr>
        <w:t>oficiāli</w:t>
      </w:r>
      <w:proofErr w:type="spellEnd"/>
      <w:r w:rsidRPr="00CD4311">
        <w:rPr>
          <w:rFonts w:ascii="Times New Roman" w:hAnsi="Times New Roman" w:cs="Times New Roman"/>
        </w:rPr>
        <w:t xml:space="preserve"> </w:t>
      </w:r>
      <w:proofErr w:type="spellStart"/>
      <w:r w:rsidRPr="00CD4311">
        <w:rPr>
          <w:rFonts w:ascii="Times New Roman" w:hAnsi="Times New Roman" w:cs="Times New Roman"/>
        </w:rPr>
        <w:t>apliecinājumi</w:t>
      </w:r>
      <w:proofErr w:type="spellEnd"/>
      <w:r w:rsidRPr="00CD4311">
        <w:rPr>
          <w:rFonts w:ascii="Times New Roman" w:hAnsi="Times New Roman" w:cs="Times New Roman"/>
        </w:rPr>
        <w:t xml:space="preserve"> par </w:t>
      </w:r>
      <w:proofErr w:type="spellStart"/>
      <w:r w:rsidRPr="00CD4311">
        <w:rPr>
          <w:rFonts w:ascii="Times New Roman" w:hAnsi="Times New Roman" w:cs="Times New Roman"/>
        </w:rPr>
        <w:t>dokumenta</w:t>
      </w:r>
      <w:proofErr w:type="spellEnd"/>
      <w:r w:rsidRPr="00CD4311">
        <w:rPr>
          <w:rFonts w:ascii="Times New Roman" w:hAnsi="Times New Roman" w:cs="Times New Roman"/>
        </w:rPr>
        <w:t xml:space="preserve"> </w:t>
      </w:r>
      <w:proofErr w:type="spellStart"/>
      <w:r w:rsidRPr="00CD4311">
        <w:rPr>
          <w:rFonts w:ascii="Times New Roman" w:hAnsi="Times New Roman" w:cs="Times New Roman"/>
        </w:rPr>
        <w:t>reģistrāciju</w:t>
      </w:r>
      <w:proofErr w:type="spellEnd"/>
      <w:r w:rsidRPr="00CD4311">
        <w:rPr>
          <w:rFonts w:ascii="Times New Roman" w:hAnsi="Times New Roman" w:cs="Times New Roman"/>
        </w:rPr>
        <w:t xml:space="preserve"> </w:t>
      </w:r>
      <w:proofErr w:type="spellStart"/>
      <w:r w:rsidRPr="00CD4311">
        <w:rPr>
          <w:rFonts w:ascii="Times New Roman" w:hAnsi="Times New Roman" w:cs="Times New Roman"/>
        </w:rPr>
        <w:t>vai</w:t>
      </w:r>
      <w:proofErr w:type="spellEnd"/>
      <w:r w:rsidRPr="00CD4311">
        <w:rPr>
          <w:rFonts w:ascii="Times New Roman" w:hAnsi="Times New Roman" w:cs="Times New Roman"/>
        </w:rPr>
        <w:t xml:space="preserve"> to, ka </w:t>
      </w:r>
      <w:proofErr w:type="spellStart"/>
      <w:r w:rsidRPr="00CD4311">
        <w:rPr>
          <w:rFonts w:ascii="Times New Roman" w:hAnsi="Times New Roman" w:cs="Times New Roman"/>
        </w:rPr>
        <w:t>dokuments</w:t>
      </w:r>
      <w:proofErr w:type="spellEnd"/>
      <w:r w:rsidRPr="00CD4311">
        <w:rPr>
          <w:rFonts w:ascii="Times New Roman" w:hAnsi="Times New Roman" w:cs="Times New Roman"/>
        </w:rPr>
        <w:t xml:space="preserve"> </w:t>
      </w:r>
      <w:proofErr w:type="spellStart"/>
      <w:r w:rsidRPr="00CD4311">
        <w:rPr>
          <w:rFonts w:ascii="Times New Roman" w:hAnsi="Times New Roman" w:cs="Times New Roman"/>
        </w:rPr>
        <w:t>ir</w:t>
      </w:r>
      <w:proofErr w:type="spellEnd"/>
      <w:r w:rsidRPr="00CD4311">
        <w:rPr>
          <w:rFonts w:ascii="Times New Roman" w:hAnsi="Times New Roman" w:cs="Times New Roman"/>
        </w:rPr>
        <w:t xml:space="preserve"> </w:t>
      </w:r>
      <w:proofErr w:type="spellStart"/>
      <w:r w:rsidRPr="00CD4311">
        <w:rPr>
          <w:rFonts w:ascii="Times New Roman" w:hAnsi="Times New Roman" w:cs="Times New Roman"/>
        </w:rPr>
        <w:t>pastāvējis</w:t>
      </w:r>
      <w:proofErr w:type="spellEnd"/>
      <w:r w:rsidRPr="00CD4311">
        <w:rPr>
          <w:rFonts w:ascii="Times New Roman" w:hAnsi="Times New Roman" w:cs="Times New Roman"/>
        </w:rPr>
        <w:t xml:space="preserve"> </w:t>
      </w:r>
      <w:proofErr w:type="spellStart"/>
      <w:r w:rsidRPr="00CD4311">
        <w:rPr>
          <w:rFonts w:ascii="Times New Roman" w:hAnsi="Times New Roman" w:cs="Times New Roman"/>
        </w:rPr>
        <w:t>kādā</w:t>
      </w:r>
      <w:proofErr w:type="spellEnd"/>
      <w:r w:rsidRPr="00CD4311">
        <w:rPr>
          <w:rFonts w:ascii="Times New Roman" w:hAnsi="Times New Roman" w:cs="Times New Roman"/>
        </w:rPr>
        <w:t xml:space="preserve"> </w:t>
      </w:r>
      <w:proofErr w:type="spellStart"/>
      <w:r w:rsidRPr="00CD4311">
        <w:rPr>
          <w:rFonts w:ascii="Times New Roman" w:hAnsi="Times New Roman" w:cs="Times New Roman"/>
        </w:rPr>
        <w:t>noteiktā</w:t>
      </w:r>
      <w:proofErr w:type="spellEnd"/>
      <w:r w:rsidRPr="00CD4311">
        <w:rPr>
          <w:rFonts w:ascii="Times New Roman" w:hAnsi="Times New Roman" w:cs="Times New Roman"/>
        </w:rPr>
        <w:t xml:space="preserve"> </w:t>
      </w:r>
      <w:proofErr w:type="spellStart"/>
      <w:r w:rsidRPr="00CD4311">
        <w:rPr>
          <w:rFonts w:ascii="Times New Roman" w:hAnsi="Times New Roman" w:cs="Times New Roman"/>
        </w:rPr>
        <w:t>datumā</w:t>
      </w:r>
      <w:proofErr w:type="spellEnd"/>
      <w:r w:rsidRPr="00CD4311">
        <w:rPr>
          <w:rFonts w:ascii="Times New Roman" w:hAnsi="Times New Roman" w:cs="Times New Roman"/>
        </w:rPr>
        <w:t xml:space="preserve">, un </w:t>
      </w:r>
      <w:proofErr w:type="spellStart"/>
      <w:r w:rsidRPr="00CD4311">
        <w:rPr>
          <w:rFonts w:ascii="Times New Roman" w:hAnsi="Times New Roman" w:cs="Times New Roman"/>
        </w:rPr>
        <w:t>oficiāli</w:t>
      </w:r>
      <w:proofErr w:type="spellEnd"/>
      <w:r w:rsidRPr="00CD4311">
        <w:rPr>
          <w:rFonts w:ascii="Times New Roman" w:hAnsi="Times New Roman" w:cs="Times New Roman"/>
        </w:rPr>
        <w:t xml:space="preserve"> un </w:t>
      </w:r>
      <w:proofErr w:type="spellStart"/>
      <w:r w:rsidRPr="00CD4311">
        <w:rPr>
          <w:rFonts w:ascii="Times New Roman" w:hAnsi="Times New Roman" w:cs="Times New Roman"/>
        </w:rPr>
        <w:t>notariāli</w:t>
      </w:r>
      <w:proofErr w:type="spellEnd"/>
      <w:r w:rsidRPr="00CD4311">
        <w:rPr>
          <w:rFonts w:ascii="Times New Roman" w:hAnsi="Times New Roman" w:cs="Times New Roman"/>
        </w:rPr>
        <w:t xml:space="preserve"> </w:t>
      </w:r>
      <w:proofErr w:type="spellStart"/>
      <w:r w:rsidRPr="00CD4311">
        <w:rPr>
          <w:rFonts w:ascii="Times New Roman" w:hAnsi="Times New Roman" w:cs="Times New Roman"/>
        </w:rPr>
        <w:t>parakstu</w:t>
      </w:r>
      <w:proofErr w:type="spellEnd"/>
      <w:r w:rsidRPr="00CD4311">
        <w:rPr>
          <w:rFonts w:ascii="Times New Roman" w:hAnsi="Times New Roman" w:cs="Times New Roman"/>
        </w:rPr>
        <w:t xml:space="preserve"> </w:t>
      </w:r>
      <w:proofErr w:type="spellStart"/>
      <w:r w:rsidRPr="00CD4311">
        <w:rPr>
          <w:rFonts w:ascii="Times New Roman" w:hAnsi="Times New Roman" w:cs="Times New Roman"/>
        </w:rPr>
        <w:t>autentiskuma</w:t>
      </w:r>
      <w:proofErr w:type="spellEnd"/>
      <w:r w:rsidRPr="00CD4311">
        <w:rPr>
          <w:rFonts w:ascii="Times New Roman" w:hAnsi="Times New Roman" w:cs="Times New Roman"/>
        </w:rPr>
        <w:t xml:space="preserve"> </w:t>
      </w:r>
      <w:proofErr w:type="spellStart"/>
      <w:proofErr w:type="gramStart"/>
      <w:r w:rsidRPr="00CD4311">
        <w:rPr>
          <w:rFonts w:ascii="Times New Roman" w:hAnsi="Times New Roman" w:cs="Times New Roman"/>
        </w:rPr>
        <w:t>apliecinājumi</w:t>
      </w:r>
      <w:proofErr w:type="spellEnd"/>
      <w:r w:rsidRPr="00CD4311">
        <w:rPr>
          <w:rFonts w:ascii="Times New Roman" w:hAnsi="Times New Roman" w:cs="Times New Roman"/>
        </w:rPr>
        <w:t>;</w:t>
      </w:r>
      <w:proofErr w:type="gramEnd"/>
    </w:p>
    <w:p w14:paraId="3D04684D" w14:textId="77777777" w:rsidR="00114953" w:rsidRPr="00CD4311" w:rsidRDefault="00114953" w:rsidP="00114953">
      <w:pPr>
        <w:tabs>
          <w:tab w:val="left" w:pos="-720"/>
        </w:tabs>
        <w:jc w:val="both"/>
        <w:rPr>
          <w:rFonts w:ascii="Times New Roman" w:hAnsi="Times New Roman" w:cs="Times New Roman"/>
        </w:rPr>
      </w:pPr>
      <w:r w:rsidRPr="00CD4311">
        <w:rPr>
          <w:rFonts w:ascii="Times New Roman" w:hAnsi="Times New Roman" w:cs="Times New Roman"/>
        </w:rPr>
        <w:t xml:space="preserve">e) </w:t>
      </w:r>
      <w:proofErr w:type="spellStart"/>
      <w:r w:rsidRPr="00CD4311">
        <w:rPr>
          <w:rFonts w:ascii="Times New Roman" w:hAnsi="Times New Roman" w:cs="Times New Roman"/>
        </w:rPr>
        <w:t>dokumenti</w:t>
      </w:r>
      <w:proofErr w:type="spellEnd"/>
      <w:r w:rsidRPr="00CD4311">
        <w:rPr>
          <w:rFonts w:ascii="Times New Roman" w:hAnsi="Times New Roman" w:cs="Times New Roman"/>
        </w:rPr>
        <w:t xml:space="preserve">, ko </w:t>
      </w:r>
      <w:proofErr w:type="spellStart"/>
      <w:r w:rsidRPr="00CD4311">
        <w:rPr>
          <w:rFonts w:ascii="Times New Roman" w:hAnsi="Times New Roman" w:cs="Times New Roman"/>
        </w:rPr>
        <w:t>sagatavojuši</w:t>
      </w:r>
      <w:proofErr w:type="spellEnd"/>
      <w:r w:rsidRPr="00CD4311">
        <w:rPr>
          <w:rFonts w:ascii="Times New Roman" w:hAnsi="Times New Roman" w:cs="Times New Roman"/>
        </w:rPr>
        <w:t xml:space="preserve"> </w:t>
      </w:r>
      <w:proofErr w:type="spellStart"/>
      <w:r w:rsidRPr="00CD4311">
        <w:rPr>
          <w:rFonts w:ascii="Times New Roman" w:hAnsi="Times New Roman" w:cs="Times New Roman"/>
        </w:rPr>
        <w:t>dalībvalsts</w:t>
      </w:r>
      <w:proofErr w:type="spellEnd"/>
      <w:r w:rsidRPr="00CD4311">
        <w:rPr>
          <w:rFonts w:ascii="Times New Roman" w:hAnsi="Times New Roman" w:cs="Times New Roman"/>
        </w:rPr>
        <w:t xml:space="preserve"> </w:t>
      </w:r>
      <w:proofErr w:type="spellStart"/>
      <w:r w:rsidRPr="00CD4311">
        <w:rPr>
          <w:rFonts w:ascii="Times New Roman" w:hAnsi="Times New Roman" w:cs="Times New Roman"/>
        </w:rPr>
        <w:t>diplomātiskie</w:t>
      </w:r>
      <w:proofErr w:type="spellEnd"/>
      <w:r w:rsidRPr="00CD4311">
        <w:rPr>
          <w:rFonts w:ascii="Times New Roman" w:hAnsi="Times New Roman" w:cs="Times New Roman"/>
        </w:rPr>
        <w:t xml:space="preserve"> </w:t>
      </w:r>
      <w:proofErr w:type="spellStart"/>
      <w:r w:rsidRPr="00CD4311">
        <w:rPr>
          <w:rFonts w:ascii="Times New Roman" w:hAnsi="Times New Roman" w:cs="Times New Roman"/>
        </w:rPr>
        <w:t>vai</w:t>
      </w:r>
      <w:proofErr w:type="spellEnd"/>
      <w:r w:rsidRPr="00CD4311">
        <w:rPr>
          <w:rFonts w:ascii="Times New Roman" w:hAnsi="Times New Roman" w:cs="Times New Roman"/>
        </w:rPr>
        <w:t xml:space="preserve"> </w:t>
      </w:r>
      <w:proofErr w:type="spellStart"/>
      <w:r w:rsidRPr="00CD4311">
        <w:rPr>
          <w:rFonts w:ascii="Times New Roman" w:hAnsi="Times New Roman" w:cs="Times New Roman"/>
        </w:rPr>
        <w:t>konsulārie</w:t>
      </w:r>
      <w:proofErr w:type="spellEnd"/>
      <w:r w:rsidRPr="00CD4311">
        <w:rPr>
          <w:rFonts w:ascii="Times New Roman" w:hAnsi="Times New Roman" w:cs="Times New Roman"/>
        </w:rPr>
        <w:t xml:space="preserve"> </w:t>
      </w:r>
      <w:proofErr w:type="spellStart"/>
      <w:r w:rsidRPr="00CD4311">
        <w:rPr>
          <w:rFonts w:ascii="Times New Roman" w:hAnsi="Times New Roman" w:cs="Times New Roman"/>
        </w:rPr>
        <w:t>pārstāvji</w:t>
      </w:r>
      <w:proofErr w:type="spellEnd"/>
      <w:r w:rsidRPr="00CD4311">
        <w:rPr>
          <w:rFonts w:ascii="Times New Roman" w:hAnsi="Times New Roman" w:cs="Times New Roman"/>
        </w:rPr>
        <w:t xml:space="preserve">, </w:t>
      </w:r>
      <w:proofErr w:type="spellStart"/>
      <w:r w:rsidRPr="00CD4311">
        <w:rPr>
          <w:rFonts w:ascii="Times New Roman" w:hAnsi="Times New Roman" w:cs="Times New Roman"/>
        </w:rPr>
        <w:t>kuri</w:t>
      </w:r>
      <w:proofErr w:type="spellEnd"/>
      <w:r w:rsidRPr="00CD4311">
        <w:rPr>
          <w:rFonts w:ascii="Times New Roman" w:hAnsi="Times New Roman" w:cs="Times New Roman"/>
        </w:rPr>
        <w:t xml:space="preserve"> </w:t>
      </w:r>
      <w:proofErr w:type="spellStart"/>
      <w:r w:rsidRPr="00CD4311">
        <w:rPr>
          <w:rFonts w:ascii="Times New Roman" w:hAnsi="Times New Roman" w:cs="Times New Roman"/>
        </w:rPr>
        <w:t>darbojas</w:t>
      </w:r>
      <w:proofErr w:type="spellEnd"/>
      <w:r w:rsidRPr="00CD4311">
        <w:rPr>
          <w:rFonts w:ascii="Times New Roman" w:hAnsi="Times New Roman" w:cs="Times New Roman"/>
        </w:rPr>
        <w:t xml:space="preserve"> </w:t>
      </w:r>
      <w:proofErr w:type="spellStart"/>
      <w:r w:rsidRPr="00CD4311">
        <w:rPr>
          <w:rFonts w:ascii="Times New Roman" w:hAnsi="Times New Roman" w:cs="Times New Roman"/>
        </w:rPr>
        <w:t>jebkuras</w:t>
      </w:r>
      <w:proofErr w:type="spellEnd"/>
      <w:r w:rsidRPr="00CD4311">
        <w:rPr>
          <w:rFonts w:ascii="Times New Roman" w:hAnsi="Times New Roman" w:cs="Times New Roman"/>
        </w:rPr>
        <w:t xml:space="preserve"> </w:t>
      </w:r>
      <w:proofErr w:type="spellStart"/>
      <w:r w:rsidRPr="00CD4311">
        <w:rPr>
          <w:rFonts w:ascii="Times New Roman" w:hAnsi="Times New Roman" w:cs="Times New Roman"/>
        </w:rPr>
        <w:t>valsts</w:t>
      </w:r>
      <w:proofErr w:type="spellEnd"/>
      <w:r w:rsidRPr="00CD4311">
        <w:rPr>
          <w:rFonts w:ascii="Times New Roman" w:hAnsi="Times New Roman" w:cs="Times New Roman"/>
        </w:rPr>
        <w:t xml:space="preserve"> </w:t>
      </w:r>
      <w:proofErr w:type="spellStart"/>
      <w:r w:rsidRPr="00CD4311">
        <w:rPr>
          <w:rFonts w:ascii="Times New Roman" w:hAnsi="Times New Roman" w:cs="Times New Roman"/>
        </w:rPr>
        <w:t>teritorijā</w:t>
      </w:r>
      <w:proofErr w:type="spellEnd"/>
      <w:r w:rsidRPr="00CD4311">
        <w:rPr>
          <w:rFonts w:ascii="Times New Roman" w:hAnsi="Times New Roman" w:cs="Times New Roman"/>
        </w:rPr>
        <w:t xml:space="preserve">, </w:t>
      </w:r>
      <w:proofErr w:type="spellStart"/>
      <w:r w:rsidRPr="00CD4311">
        <w:rPr>
          <w:rFonts w:ascii="Times New Roman" w:hAnsi="Times New Roman" w:cs="Times New Roman"/>
        </w:rPr>
        <w:t>pildot</w:t>
      </w:r>
      <w:proofErr w:type="spellEnd"/>
      <w:r w:rsidRPr="00CD4311">
        <w:rPr>
          <w:rFonts w:ascii="Times New Roman" w:hAnsi="Times New Roman" w:cs="Times New Roman"/>
        </w:rPr>
        <w:t xml:space="preserve"> </w:t>
      </w:r>
      <w:proofErr w:type="spellStart"/>
      <w:r w:rsidRPr="00CD4311">
        <w:rPr>
          <w:rFonts w:ascii="Times New Roman" w:hAnsi="Times New Roman" w:cs="Times New Roman"/>
        </w:rPr>
        <w:t>amata</w:t>
      </w:r>
      <w:proofErr w:type="spellEnd"/>
      <w:r w:rsidRPr="00CD4311">
        <w:rPr>
          <w:rFonts w:ascii="Times New Roman" w:hAnsi="Times New Roman" w:cs="Times New Roman"/>
        </w:rPr>
        <w:t xml:space="preserve"> </w:t>
      </w:r>
      <w:proofErr w:type="spellStart"/>
      <w:r w:rsidRPr="00CD4311">
        <w:rPr>
          <w:rFonts w:ascii="Times New Roman" w:hAnsi="Times New Roman" w:cs="Times New Roman"/>
        </w:rPr>
        <w:t>pienākumus</w:t>
      </w:r>
      <w:proofErr w:type="spellEnd"/>
      <w:r w:rsidRPr="00CD4311">
        <w:rPr>
          <w:rFonts w:ascii="Times New Roman" w:hAnsi="Times New Roman" w:cs="Times New Roman"/>
        </w:rPr>
        <w:t xml:space="preserve">, </w:t>
      </w:r>
      <w:proofErr w:type="spellStart"/>
      <w:r w:rsidRPr="00CD4311">
        <w:rPr>
          <w:rFonts w:ascii="Times New Roman" w:hAnsi="Times New Roman" w:cs="Times New Roman"/>
        </w:rPr>
        <w:t>ja</w:t>
      </w:r>
      <w:proofErr w:type="spellEnd"/>
      <w:r w:rsidRPr="00CD4311">
        <w:rPr>
          <w:rFonts w:ascii="Times New Roman" w:hAnsi="Times New Roman" w:cs="Times New Roman"/>
        </w:rPr>
        <w:t xml:space="preserve"> </w:t>
      </w:r>
      <w:proofErr w:type="spellStart"/>
      <w:r w:rsidRPr="00CD4311">
        <w:rPr>
          <w:rFonts w:ascii="Times New Roman" w:hAnsi="Times New Roman" w:cs="Times New Roman"/>
        </w:rPr>
        <w:t>šādi</w:t>
      </w:r>
      <w:proofErr w:type="spellEnd"/>
      <w:r w:rsidRPr="00CD4311">
        <w:rPr>
          <w:rFonts w:ascii="Times New Roman" w:hAnsi="Times New Roman" w:cs="Times New Roman"/>
        </w:rPr>
        <w:t xml:space="preserve"> </w:t>
      </w:r>
      <w:proofErr w:type="spellStart"/>
      <w:r w:rsidRPr="00CD4311">
        <w:rPr>
          <w:rFonts w:ascii="Times New Roman" w:hAnsi="Times New Roman" w:cs="Times New Roman"/>
        </w:rPr>
        <w:t>dokumenti</w:t>
      </w:r>
      <w:proofErr w:type="spellEnd"/>
      <w:r w:rsidRPr="00CD4311">
        <w:rPr>
          <w:rFonts w:ascii="Times New Roman" w:hAnsi="Times New Roman" w:cs="Times New Roman"/>
        </w:rPr>
        <w:t xml:space="preserve"> </w:t>
      </w:r>
      <w:proofErr w:type="spellStart"/>
      <w:r w:rsidRPr="00CD4311">
        <w:rPr>
          <w:rFonts w:ascii="Times New Roman" w:hAnsi="Times New Roman" w:cs="Times New Roman"/>
        </w:rPr>
        <w:t>ir</w:t>
      </w:r>
      <w:proofErr w:type="spellEnd"/>
      <w:r w:rsidRPr="00CD4311">
        <w:rPr>
          <w:rFonts w:ascii="Times New Roman" w:hAnsi="Times New Roman" w:cs="Times New Roman"/>
        </w:rPr>
        <w:t xml:space="preserve"> </w:t>
      </w:r>
      <w:proofErr w:type="spellStart"/>
      <w:r w:rsidRPr="00CD4311">
        <w:rPr>
          <w:rFonts w:ascii="Times New Roman" w:hAnsi="Times New Roman" w:cs="Times New Roman"/>
        </w:rPr>
        <w:t>jāuzrāda</w:t>
      </w:r>
      <w:proofErr w:type="spellEnd"/>
      <w:r w:rsidRPr="00CD4311">
        <w:rPr>
          <w:rFonts w:ascii="Times New Roman" w:hAnsi="Times New Roman" w:cs="Times New Roman"/>
        </w:rPr>
        <w:t xml:space="preserve"> citas </w:t>
      </w:r>
      <w:proofErr w:type="spellStart"/>
      <w:r w:rsidRPr="00CD4311">
        <w:rPr>
          <w:rFonts w:ascii="Times New Roman" w:hAnsi="Times New Roman" w:cs="Times New Roman"/>
        </w:rPr>
        <w:t>dalībvalsts</w:t>
      </w:r>
      <w:proofErr w:type="spellEnd"/>
      <w:r w:rsidRPr="00CD4311">
        <w:rPr>
          <w:rFonts w:ascii="Times New Roman" w:hAnsi="Times New Roman" w:cs="Times New Roman"/>
        </w:rPr>
        <w:t xml:space="preserve"> </w:t>
      </w:r>
      <w:proofErr w:type="spellStart"/>
      <w:r w:rsidRPr="00CD4311">
        <w:rPr>
          <w:rFonts w:ascii="Times New Roman" w:hAnsi="Times New Roman" w:cs="Times New Roman"/>
        </w:rPr>
        <w:t>teritorijā</w:t>
      </w:r>
      <w:proofErr w:type="spellEnd"/>
      <w:r w:rsidRPr="00CD4311">
        <w:rPr>
          <w:rFonts w:ascii="Times New Roman" w:hAnsi="Times New Roman" w:cs="Times New Roman"/>
          <w:sz w:val="32"/>
          <w:szCs w:val="32"/>
        </w:rPr>
        <w:t xml:space="preserve"> </w:t>
      </w:r>
      <w:proofErr w:type="spellStart"/>
      <w:r w:rsidRPr="00CD4311">
        <w:rPr>
          <w:rFonts w:ascii="Times New Roman" w:hAnsi="Times New Roman" w:cs="Times New Roman"/>
        </w:rPr>
        <w:t>vai</w:t>
      </w:r>
      <w:proofErr w:type="spellEnd"/>
      <w:r w:rsidRPr="00CD4311">
        <w:rPr>
          <w:rFonts w:ascii="Times New Roman" w:hAnsi="Times New Roman" w:cs="Times New Roman"/>
        </w:rPr>
        <w:t xml:space="preserve"> citas </w:t>
      </w:r>
      <w:proofErr w:type="spellStart"/>
      <w:r w:rsidRPr="00CD4311">
        <w:rPr>
          <w:rFonts w:ascii="Times New Roman" w:hAnsi="Times New Roman" w:cs="Times New Roman"/>
        </w:rPr>
        <w:t>dalībvalsts</w:t>
      </w:r>
      <w:proofErr w:type="spellEnd"/>
      <w:r w:rsidRPr="00CD4311">
        <w:rPr>
          <w:rFonts w:ascii="Times New Roman" w:hAnsi="Times New Roman" w:cs="Times New Roman"/>
        </w:rPr>
        <w:t xml:space="preserve"> </w:t>
      </w:r>
      <w:proofErr w:type="spellStart"/>
      <w:r w:rsidRPr="00CD4311">
        <w:rPr>
          <w:rFonts w:ascii="Times New Roman" w:hAnsi="Times New Roman" w:cs="Times New Roman"/>
        </w:rPr>
        <w:t>diplomātiskajiem</w:t>
      </w:r>
      <w:proofErr w:type="spellEnd"/>
      <w:r w:rsidRPr="00CD4311">
        <w:rPr>
          <w:rFonts w:ascii="Times New Roman" w:hAnsi="Times New Roman" w:cs="Times New Roman"/>
        </w:rPr>
        <w:t xml:space="preserve"> </w:t>
      </w:r>
      <w:proofErr w:type="spellStart"/>
      <w:r w:rsidRPr="00CD4311">
        <w:rPr>
          <w:rFonts w:ascii="Times New Roman" w:hAnsi="Times New Roman" w:cs="Times New Roman"/>
        </w:rPr>
        <w:t>vai</w:t>
      </w:r>
      <w:proofErr w:type="spellEnd"/>
      <w:r w:rsidRPr="00CD4311">
        <w:rPr>
          <w:rFonts w:ascii="Times New Roman" w:hAnsi="Times New Roman" w:cs="Times New Roman"/>
        </w:rPr>
        <w:t xml:space="preserve"> </w:t>
      </w:r>
      <w:proofErr w:type="spellStart"/>
      <w:r w:rsidRPr="00CD4311">
        <w:rPr>
          <w:rFonts w:ascii="Times New Roman" w:hAnsi="Times New Roman" w:cs="Times New Roman"/>
        </w:rPr>
        <w:t>konsulārajiem</w:t>
      </w:r>
      <w:proofErr w:type="spellEnd"/>
      <w:r w:rsidRPr="00CD4311">
        <w:rPr>
          <w:rFonts w:ascii="Times New Roman" w:hAnsi="Times New Roman" w:cs="Times New Roman"/>
        </w:rPr>
        <w:t xml:space="preserve"> </w:t>
      </w:r>
      <w:proofErr w:type="spellStart"/>
      <w:r w:rsidRPr="00CD4311">
        <w:rPr>
          <w:rFonts w:ascii="Times New Roman" w:hAnsi="Times New Roman" w:cs="Times New Roman"/>
        </w:rPr>
        <w:t>pārstāvjiem</w:t>
      </w:r>
      <w:proofErr w:type="spellEnd"/>
      <w:r w:rsidRPr="00CD4311">
        <w:rPr>
          <w:rFonts w:ascii="Times New Roman" w:hAnsi="Times New Roman" w:cs="Times New Roman"/>
        </w:rPr>
        <w:t xml:space="preserve">, kas </w:t>
      </w:r>
      <w:proofErr w:type="spellStart"/>
      <w:r w:rsidRPr="00CD4311">
        <w:rPr>
          <w:rFonts w:ascii="Times New Roman" w:hAnsi="Times New Roman" w:cs="Times New Roman"/>
        </w:rPr>
        <w:t>darbojas</w:t>
      </w:r>
      <w:proofErr w:type="spellEnd"/>
      <w:r w:rsidRPr="00CD4311">
        <w:rPr>
          <w:rFonts w:ascii="Times New Roman" w:hAnsi="Times New Roman" w:cs="Times New Roman"/>
        </w:rPr>
        <w:t xml:space="preserve"> </w:t>
      </w:r>
      <w:proofErr w:type="spellStart"/>
      <w:r w:rsidRPr="00CD4311">
        <w:rPr>
          <w:rFonts w:ascii="Times New Roman" w:hAnsi="Times New Roman" w:cs="Times New Roman"/>
        </w:rPr>
        <w:t>trešās</w:t>
      </w:r>
      <w:proofErr w:type="spellEnd"/>
      <w:r w:rsidRPr="00CD4311">
        <w:rPr>
          <w:rFonts w:ascii="Times New Roman" w:hAnsi="Times New Roman" w:cs="Times New Roman"/>
        </w:rPr>
        <w:t xml:space="preserve"> </w:t>
      </w:r>
      <w:proofErr w:type="spellStart"/>
      <w:r w:rsidRPr="00CD4311">
        <w:rPr>
          <w:rFonts w:ascii="Times New Roman" w:hAnsi="Times New Roman" w:cs="Times New Roman"/>
        </w:rPr>
        <w:t>valsts</w:t>
      </w:r>
      <w:proofErr w:type="spellEnd"/>
      <w:r w:rsidRPr="00CD4311">
        <w:rPr>
          <w:rFonts w:ascii="Times New Roman" w:hAnsi="Times New Roman" w:cs="Times New Roman"/>
        </w:rPr>
        <w:t xml:space="preserve"> </w:t>
      </w:r>
      <w:proofErr w:type="spellStart"/>
      <w:r w:rsidRPr="00CD4311">
        <w:rPr>
          <w:rFonts w:ascii="Times New Roman" w:hAnsi="Times New Roman" w:cs="Times New Roman"/>
        </w:rPr>
        <w:t>teritorijā</w:t>
      </w:r>
      <w:proofErr w:type="spellEnd"/>
      <w:r w:rsidRPr="00CD4311">
        <w:rPr>
          <w:rFonts w:ascii="Times New Roman" w:hAnsi="Times New Roman" w:cs="Times New Roman"/>
        </w:rPr>
        <w:t>.</w:t>
      </w:r>
    </w:p>
    <w:p w14:paraId="6D2223A4" w14:textId="77777777" w:rsidR="00114953" w:rsidRPr="00CD4311" w:rsidRDefault="00114953" w:rsidP="00114953">
      <w:pPr>
        <w:tabs>
          <w:tab w:val="left" w:pos="-720"/>
        </w:tabs>
        <w:jc w:val="both"/>
        <w:rPr>
          <w:rFonts w:ascii="Times New Roman" w:hAnsi="Times New Roman" w:cs="Times New Roman"/>
          <w:lang w:val="de-DE"/>
        </w:rPr>
      </w:pPr>
      <w:r w:rsidRPr="00CD4311">
        <w:rPr>
          <w:rFonts w:ascii="Times New Roman" w:hAnsi="Times New Roman" w:cs="Times New Roman"/>
        </w:rPr>
        <w:tab/>
      </w:r>
      <w:proofErr w:type="spellStart"/>
      <w:r w:rsidRPr="00CD4311">
        <w:rPr>
          <w:rFonts w:ascii="Times New Roman" w:hAnsi="Times New Roman" w:cs="Times New Roman"/>
          <w:lang w:val="de-DE"/>
        </w:rPr>
        <w:t>Kā</w:t>
      </w:r>
      <w:proofErr w:type="spellEnd"/>
      <w:r w:rsidRPr="00CD4311">
        <w:rPr>
          <w:rFonts w:ascii="Times New Roman" w:hAnsi="Times New Roman" w:cs="Times New Roman"/>
          <w:lang w:val="de-DE"/>
        </w:rPr>
        <w:t xml:space="preserve"> </w:t>
      </w:r>
      <w:proofErr w:type="spellStart"/>
      <w:r w:rsidRPr="00CD4311">
        <w:rPr>
          <w:rFonts w:ascii="Times New Roman" w:hAnsi="Times New Roman" w:cs="Times New Roman"/>
          <w:lang w:val="de-DE"/>
        </w:rPr>
        <w:t>redzams</w:t>
      </w:r>
      <w:proofErr w:type="spellEnd"/>
      <w:r w:rsidRPr="00CD4311">
        <w:rPr>
          <w:rFonts w:ascii="Times New Roman" w:hAnsi="Times New Roman" w:cs="Times New Roman"/>
          <w:lang w:val="de-DE"/>
        </w:rPr>
        <w:t xml:space="preserve">, </w:t>
      </w:r>
      <w:proofErr w:type="spellStart"/>
      <w:r w:rsidRPr="00CD4311">
        <w:rPr>
          <w:rFonts w:ascii="Times New Roman" w:hAnsi="Times New Roman" w:cs="Times New Roman"/>
          <w:lang w:val="de-DE"/>
        </w:rPr>
        <w:t>šis</w:t>
      </w:r>
      <w:proofErr w:type="spellEnd"/>
      <w:r w:rsidRPr="00CD4311">
        <w:rPr>
          <w:rFonts w:ascii="Times New Roman" w:hAnsi="Times New Roman" w:cs="Times New Roman"/>
          <w:lang w:val="de-DE"/>
        </w:rPr>
        <w:t xml:space="preserve"> </w:t>
      </w:r>
      <w:proofErr w:type="spellStart"/>
      <w:r w:rsidRPr="00CD4311">
        <w:rPr>
          <w:rFonts w:ascii="Times New Roman" w:hAnsi="Times New Roman" w:cs="Times New Roman"/>
          <w:lang w:val="de-DE"/>
        </w:rPr>
        <w:t>publisko</w:t>
      </w:r>
      <w:proofErr w:type="spellEnd"/>
      <w:r w:rsidRPr="00CD4311">
        <w:rPr>
          <w:rFonts w:ascii="Times New Roman" w:hAnsi="Times New Roman" w:cs="Times New Roman"/>
          <w:lang w:val="de-DE"/>
        </w:rPr>
        <w:t xml:space="preserve"> </w:t>
      </w:r>
      <w:proofErr w:type="spellStart"/>
      <w:r w:rsidRPr="00CD4311">
        <w:rPr>
          <w:rFonts w:ascii="Times New Roman" w:hAnsi="Times New Roman" w:cs="Times New Roman"/>
          <w:lang w:val="de-DE"/>
        </w:rPr>
        <w:t>dokumentu</w:t>
      </w:r>
      <w:proofErr w:type="spellEnd"/>
      <w:r w:rsidRPr="00CD4311">
        <w:rPr>
          <w:rFonts w:ascii="Times New Roman" w:hAnsi="Times New Roman" w:cs="Times New Roman"/>
          <w:lang w:val="de-DE"/>
        </w:rPr>
        <w:t xml:space="preserve"> </w:t>
      </w:r>
      <w:proofErr w:type="spellStart"/>
      <w:r w:rsidRPr="00CD4311">
        <w:rPr>
          <w:rFonts w:ascii="Times New Roman" w:hAnsi="Times New Roman" w:cs="Times New Roman"/>
          <w:lang w:val="de-DE"/>
        </w:rPr>
        <w:t>uzskaitījums</w:t>
      </w:r>
      <w:proofErr w:type="spellEnd"/>
      <w:r w:rsidRPr="00CD4311">
        <w:rPr>
          <w:rFonts w:ascii="Times New Roman" w:hAnsi="Times New Roman" w:cs="Times New Roman"/>
          <w:lang w:val="de-DE"/>
        </w:rPr>
        <w:t xml:space="preserve"> </w:t>
      </w:r>
      <w:proofErr w:type="spellStart"/>
      <w:r w:rsidRPr="00CD4311">
        <w:rPr>
          <w:rFonts w:ascii="Times New Roman" w:hAnsi="Times New Roman" w:cs="Times New Roman"/>
          <w:lang w:val="de-DE"/>
        </w:rPr>
        <w:t>ir</w:t>
      </w:r>
      <w:proofErr w:type="spellEnd"/>
      <w:r w:rsidRPr="00CD4311">
        <w:rPr>
          <w:rFonts w:ascii="Times New Roman" w:hAnsi="Times New Roman" w:cs="Times New Roman"/>
          <w:lang w:val="de-DE"/>
        </w:rPr>
        <w:t xml:space="preserve"> </w:t>
      </w:r>
      <w:proofErr w:type="spellStart"/>
      <w:r w:rsidRPr="00CD4311">
        <w:rPr>
          <w:rFonts w:ascii="Times New Roman" w:hAnsi="Times New Roman" w:cs="Times New Roman"/>
          <w:lang w:val="de-DE"/>
        </w:rPr>
        <w:t>plašāks</w:t>
      </w:r>
      <w:proofErr w:type="spellEnd"/>
      <w:r w:rsidRPr="00CD4311">
        <w:rPr>
          <w:rFonts w:ascii="Times New Roman" w:hAnsi="Times New Roman" w:cs="Times New Roman"/>
          <w:lang w:val="de-DE"/>
        </w:rPr>
        <w:t xml:space="preserve">, </w:t>
      </w:r>
      <w:proofErr w:type="spellStart"/>
      <w:r w:rsidRPr="00CD4311">
        <w:rPr>
          <w:rFonts w:ascii="Times New Roman" w:hAnsi="Times New Roman" w:cs="Times New Roman"/>
          <w:lang w:val="de-DE"/>
        </w:rPr>
        <w:t>nekā</w:t>
      </w:r>
      <w:proofErr w:type="spellEnd"/>
      <w:r w:rsidRPr="00CD4311">
        <w:rPr>
          <w:rFonts w:ascii="Times New Roman" w:hAnsi="Times New Roman" w:cs="Times New Roman"/>
          <w:lang w:val="de-DE"/>
        </w:rPr>
        <w:t xml:space="preserve"> </w:t>
      </w:r>
      <w:proofErr w:type="spellStart"/>
      <w:r w:rsidRPr="00CD4311">
        <w:rPr>
          <w:rFonts w:ascii="Times New Roman" w:hAnsi="Times New Roman" w:cs="Times New Roman"/>
          <w:lang w:val="de-DE"/>
        </w:rPr>
        <w:t>sniegts</w:t>
      </w:r>
      <w:proofErr w:type="spellEnd"/>
      <w:r w:rsidRPr="00CD4311">
        <w:rPr>
          <w:rFonts w:ascii="Times New Roman" w:hAnsi="Times New Roman" w:cs="Times New Roman"/>
          <w:lang w:val="de-DE"/>
        </w:rPr>
        <w:t xml:space="preserve"> </w:t>
      </w:r>
      <w:proofErr w:type="spellStart"/>
      <w:r w:rsidRPr="00CD4311">
        <w:rPr>
          <w:rFonts w:ascii="Times New Roman" w:hAnsi="Times New Roman" w:cs="Times New Roman"/>
          <w:lang w:val="de-DE"/>
        </w:rPr>
        <w:t>Hāgas</w:t>
      </w:r>
      <w:proofErr w:type="spellEnd"/>
      <w:r w:rsidRPr="00CD4311">
        <w:rPr>
          <w:rFonts w:ascii="Times New Roman" w:hAnsi="Times New Roman" w:cs="Times New Roman"/>
          <w:lang w:val="de-DE"/>
        </w:rPr>
        <w:t xml:space="preserve"> </w:t>
      </w:r>
      <w:proofErr w:type="spellStart"/>
      <w:r w:rsidRPr="00CD4311">
        <w:rPr>
          <w:rFonts w:ascii="Times New Roman" w:hAnsi="Times New Roman" w:cs="Times New Roman"/>
          <w:lang w:val="de-DE"/>
        </w:rPr>
        <w:t>Dokumentu</w:t>
      </w:r>
      <w:proofErr w:type="spellEnd"/>
      <w:r w:rsidRPr="00CD4311">
        <w:rPr>
          <w:rFonts w:ascii="Times New Roman" w:hAnsi="Times New Roman" w:cs="Times New Roman"/>
          <w:lang w:val="de-DE"/>
        </w:rPr>
        <w:t xml:space="preserve"> </w:t>
      </w:r>
      <w:proofErr w:type="spellStart"/>
      <w:r w:rsidRPr="00CD4311">
        <w:rPr>
          <w:rFonts w:ascii="Times New Roman" w:hAnsi="Times New Roman" w:cs="Times New Roman"/>
          <w:lang w:val="de-DE"/>
        </w:rPr>
        <w:t>legalizācijas</w:t>
      </w:r>
      <w:proofErr w:type="spellEnd"/>
      <w:r w:rsidRPr="00CD4311">
        <w:rPr>
          <w:rFonts w:ascii="Times New Roman" w:hAnsi="Times New Roman" w:cs="Times New Roman"/>
          <w:lang w:val="de-DE"/>
        </w:rPr>
        <w:t xml:space="preserve"> </w:t>
      </w:r>
      <w:proofErr w:type="spellStart"/>
      <w:r w:rsidRPr="00CD4311">
        <w:rPr>
          <w:rFonts w:ascii="Times New Roman" w:hAnsi="Times New Roman" w:cs="Times New Roman"/>
          <w:lang w:val="de-DE"/>
        </w:rPr>
        <w:t>atcelšanas</w:t>
      </w:r>
      <w:proofErr w:type="spellEnd"/>
      <w:r w:rsidRPr="00CD4311">
        <w:rPr>
          <w:rFonts w:ascii="Times New Roman" w:hAnsi="Times New Roman" w:cs="Times New Roman"/>
          <w:lang w:val="de-DE"/>
        </w:rPr>
        <w:t xml:space="preserve"> </w:t>
      </w:r>
      <w:proofErr w:type="spellStart"/>
      <w:r w:rsidRPr="00CD4311">
        <w:rPr>
          <w:rFonts w:ascii="Times New Roman" w:hAnsi="Times New Roman" w:cs="Times New Roman"/>
          <w:lang w:val="de-DE"/>
        </w:rPr>
        <w:t>konvencijā</w:t>
      </w:r>
      <w:proofErr w:type="spellEnd"/>
      <w:r w:rsidRPr="00CD4311">
        <w:rPr>
          <w:rFonts w:ascii="Times New Roman" w:hAnsi="Times New Roman" w:cs="Times New Roman"/>
          <w:lang w:val="de-DE"/>
        </w:rPr>
        <w:t xml:space="preserve"> </w:t>
      </w:r>
      <w:proofErr w:type="spellStart"/>
      <w:r w:rsidRPr="00CD4311">
        <w:rPr>
          <w:rFonts w:ascii="Times New Roman" w:hAnsi="Times New Roman" w:cs="Times New Roman"/>
          <w:lang w:val="de-DE"/>
        </w:rPr>
        <w:t>un</w:t>
      </w:r>
      <w:proofErr w:type="spellEnd"/>
      <w:r w:rsidRPr="00CD4311">
        <w:rPr>
          <w:rFonts w:ascii="Times New Roman" w:hAnsi="Times New Roman" w:cs="Times New Roman"/>
          <w:lang w:val="de-DE"/>
        </w:rPr>
        <w:t xml:space="preserve"> </w:t>
      </w:r>
      <w:proofErr w:type="spellStart"/>
      <w:r w:rsidRPr="00CD4311">
        <w:rPr>
          <w:rFonts w:ascii="Times New Roman" w:hAnsi="Times New Roman" w:cs="Times New Roman"/>
          <w:lang w:val="de-DE"/>
        </w:rPr>
        <w:t>līdz</w:t>
      </w:r>
      <w:proofErr w:type="spellEnd"/>
      <w:r w:rsidRPr="00CD4311">
        <w:rPr>
          <w:rFonts w:ascii="Times New Roman" w:hAnsi="Times New Roman" w:cs="Times New Roman"/>
          <w:lang w:val="de-DE"/>
        </w:rPr>
        <w:t xml:space="preserve"> </w:t>
      </w:r>
      <w:proofErr w:type="spellStart"/>
      <w:r w:rsidRPr="00CD4311">
        <w:rPr>
          <w:rFonts w:ascii="Times New Roman" w:hAnsi="Times New Roman" w:cs="Times New Roman"/>
          <w:lang w:val="de-DE"/>
        </w:rPr>
        <w:t>ar</w:t>
      </w:r>
      <w:proofErr w:type="spellEnd"/>
      <w:r w:rsidRPr="00CD4311">
        <w:rPr>
          <w:rFonts w:ascii="Times New Roman" w:hAnsi="Times New Roman" w:cs="Times New Roman"/>
          <w:lang w:val="de-DE"/>
        </w:rPr>
        <w:t xml:space="preserve"> </w:t>
      </w:r>
      <w:proofErr w:type="spellStart"/>
      <w:r w:rsidRPr="00CD4311">
        <w:rPr>
          <w:rFonts w:ascii="Times New Roman" w:hAnsi="Times New Roman" w:cs="Times New Roman"/>
          <w:lang w:val="de-DE"/>
        </w:rPr>
        <w:t>to</w:t>
      </w:r>
      <w:proofErr w:type="spellEnd"/>
      <w:r w:rsidRPr="00CD4311">
        <w:rPr>
          <w:rFonts w:ascii="Times New Roman" w:hAnsi="Times New Roman" w:cs="Times New Roman"/>
          <w:lang w:val="de-DE"/>
        </w:rPr>
        <w:t xml:space="preserve"> </w:t>
      </w:r>
      <w:proofErr w:type="spellStart"/>
      <w:r w:rsidRPr="00CD4311">
        <w:rPr>
          <w:rFonts w:ascii="Times New Roman" w:hAnsi="Times New Roman" w:cs="Times New Roman"/>
          <w:lang w:val="de-DE"/>
        </w:rPr>
        <w:t>arī</w:t>
      </w:r>
      <w:proofErr w:type="spellEnd"/>
      <w:r w:rsidRPr="00CD4311">
        <w:rPr>
          <w:rFonts w:ascii="Times New Roman" w:hAnsi="Times New Roman" w:cs="Times New Roman"/>
          <w:lang w:val="de-DE"/>
        </w:rPr>
        <w:t xml:space="preserve"> </w:t>
      </w:r>
      <w:proofErr w:type="spellStart"/>
      <w:r w:rsidRPr="00CD4311">
        <w:rPr>
          <w:rFonts w:ascii="Times New Roman" w:hAnsi="Times New Roman" w:cs="Times New Roman"/>
          <w:lang w:val="de-DE"/>
        </w:rPr>
        <w:t>Dokumentu</w:t>
      </w:r>
      <w:proofErr w:type="spellEnd"/>
      <w:r w:rsidRPr="00CD4311">
        <w:rPr>
          <w:rFonts w:ascii="Times New Roman" w:hAnsi="Times New Roman" w:cs="Times New Roman"/>
          <w:lang w:val="de-DE"/>
        </w:rPr>
        <w:t xml:space="preserve"> </w:t>
      </w:r>
      <w:proofErr w:type="spellStart"/>
      <w:r w:rsidRPr="00CD4311">
        <w:rPr>
          <w:rFonts w:ascii="Times New Roman" w:hAnsi="Times New Roman" w:cs="Times New Roman"/>
          <w:lang w:val="de-DE"/>
        </w:rPr>
        <w:t>legalizācijas</w:t>
      </w:r>
      <w:proofErr w:type="spellEnd"/>
      <w:r w:rsidRPr="00CD4311">
        <w:rPr>
          <w:rFonts w:ascii="Times New Roman" w:hAnsi="Times New Roman" w:cs="Times New Roman"/>
          <w:lang w:val="de-DE"/>
        </w:rPr>
        <w:t xml:space="preserve"> </w:t>
      </w:r>
      <w:proofErr w:type="spellStart"/>
      <w:r w:rsidRPr="00CD4311">
        <w:rPr>
          <w:rFonts w:ascii="Times New Roman" w:hAnsi="Times New Roman" w:cs="Times New Roman"/>
          <w:lang w:val="de-DE"/>
        </w:rPr>
        <w:t>likumā</w:t>
      </w:r>
      <w:proofErr w:type="spellEnd"/>
      <w:r w:rsidRPr="00CD4311">
        <w:rPr>
          <w:rFonts w:ascii="Times New Roman" w:hAnsi="Times New Roman" w:cs="Times New Roman"/>
          <w:lang w:val="de-DE"/>
        </w:rPr>
        <w:t xml:space="preserve"> (</w:t>
      </w:r>
      <w:proofErr w:type="spellStart"/>
      <w:r w:rsidRPr="00CD4311">
        <w:rPr>
          <w:rFonts w:ascii="Times New Roman" w:hAnsi="Times New Roman" w:cs="Times New Roman"/>
          <w:lang w:val="de-DE"/>
        </w:rPr>
        <w:t>kas</w:t>
      </w:r>
      <w:proofErr w:type="spellEnd"/>
      <w:r w:rsidRPr="00CD4311">
        <w:rPr>
          <w:rFonts w:ascii="Times New Roman" w:hAnsi="Times New Roman" w:cs="Times New Roman"/>
          <w:lang w:val="de-DE"/>
        </w:rPr>
        <w:t xml:space="preserve"> </w:t>
      </w:r>
      <w:proofErr w:type="spellStart"/>
      <w:r w:rsidRPr="00CD4311">
        <w:rPr>
          <w:rFonts w:ascii="Times New Roman" w:hAnsi="Times New Roman" w:cs="Times New Roman"/>
          <w:lang w:val="de-DE"/>
        </w:rPr>
        <w:t>norāda</w:t>
      </w:r>
      <w:proofErr w:type="spellEnd"/>
      <w:r w:rsidRPr="00CD4311">
        <w:rPr>
          <w:rFonts w:ascii="Times New Roman" w:hAnsi="Times New Roman" w:cs="Times New Roman"/>
          <w:lang w:val="de-DE"/>
        </w:rPr>
        <w:t xml:space="preserve"> </w:t>
      </w:r>
      <w:proofErr w:type="spellStart"/>
      <w:r w:rsidRPr="00CD4311">
        <w:rPr>
          <w:rFonts w:ascii="Times New Roman" w:hAnsi="Times New Roman" w:cs="Times New Roman"/>
          <w:lang w:val="de-DE"/>
        </w:rPr>
        <w:t>uz</w:t>
      </w:r>
      <w:proofErr w:type="spellEnd"/>
      <w:r w:rsidRPr="00CD4311">
        <w:rPr>
          <w:rFonts w:ascii="Times New Roman" w:hAnsi="Times New Roman" w:cs="Times New Roman"/>
          <w:lang w:val="de-DE"/>
        </w:rPr>
        <w:t xml:space="preserve"> </w:t>
      </w:r>
      <w:proofErr w:type="spellStart"/>
      <w:r w:rsidRPr="00CD4311">
        <w:rPr>
          <w:rFonts w:ascii="Times New Roman" w:hAnsi="Times New Roman" w:cs="Times New Roman"/>
          <w:lang w:val="de-DE"/>
        </w:rPr>
        <w:t>šo</w:t>
      </w:r>
      <w:proofErr w:type="spellEnd"/>
      <w:r w:rsidRPr="00CD4311">
        <w:rPr>
          <w:rFonts w:ascii="Times New Roman" w:hAnsi="Times New Roman" w:cs="Times New Roman"/>
          <w:lang w:val="de-DE"/>
        </w:rPr>
        <w:t xml:space="preserve"> </w:t>
      </w:r>
      <w:proofErr w:type="spellStart"/>
      <w:r w:rsidRPr="00CD4311">
        <w:rPr>
          <w:rFonts w:ascii="Times New Roman" w:hAnsi="Times New Roman" w:cs="Times New Roman"/>
          <w:lang w:val="de-DE"/>
        </w:rPr>
        <w:t>Konvenciju</w:t>
      </w:r>
      <w:proofErr w:type="spellEnd"/>
      <w:r w:rsidRPr="00CD4311">
        <w:rPr>
          <w:rFonts w:ascii="Times New Roman" w:hAnsi="Times New Roman" w:cs="Times New Roman"/>
          <w:lang w:val="de-DE"/>
        </w:rPr>
        <w:t xml:space="preserve">). </w:t>
      </w:r>
      <w:proofErr w:type="spellStart"/>
      <w:r w:rsidRPr="00CD4311">
        <w:rPr>
          <w:rFonts w:ascii="Times New Roman" w:hAnsi="Times New Roman" w:cs="Times New Roman"/>
          <w:lang w:val="de-DE"/>
        </w:rPr>
        <w:t>Turklāt</w:t>
      </w:r>
      <w:proofErr w:type="spellEnd"/>
      <w:r w:rsidRPr="00CD4311">
        <w:rPr>
          <w:rFonts w:ascii="Times New Roman" w:hAnsi="Times New Roman" w:cs="Times New Roman"/>
          <w:lang w:val="de-DE"/>
        </w:rPr>
        <w:t xml:space="preserve">, </w:t>
      </w:r>
      <w:proofErr w:type="spellStart"/>
      <w:r w:rsidRPr="00CD4311">
        <w:rPr>
          <w:rFonts w:ascii="Times New Roman" w:hAnsi="Times New Roman" w:cs="Times New Roman"/>
          <w:lang w:val="de-DE"/>
        </w:rPr>
        <w:t>tāpat</w:t>
      </w:r>
      <w:proofErr w:type="spellEnd"/>
      <w:r w:rsidRPr="00CD4311">
        <w:rPr>
          <w:rFonts w:ascii="Times New Roman" w:hAnsi="Times New Roman" w:cs="Times New Roman"/>
          <w:lang w:val="de-DE"/>
        </w:rPr>
        <w:t xml:space="preserve"> </w:t>
      </w:r>
      <w:proofErr w:type="spellStart"/>
      <w:r w:rsidRPr="00CD4311">
        <w:rPr>
          <w:rFonts w:ascii="Times New Roman" w:hAnsi="Times New Roman" w:cs="Times New Roman"/>
          <w:lang w:val="de-DE"/>
        </w:rPr>
        <w:t>kā</w:t>
      </w:r>
      <w:proofErr w:type="spellEnd"/>
      <w:r w:rsidRPr="00CD4311">
        <w:rPr>
          <w:rFonts w:ascii="Times New Roman" w:hAnsi="Times New Roman" w:cs="Times New Roman"/>
          <w:lang w:val="de-DE"/>
        </w:rPr>
        <w:t xml:space="preserve"> </w:t>
      </w:r>
      <w:proofErr w:type="spellStart"/>
      <w:r w:rsidRPr="00CD4311">
        <w:rPr>
          <w:rFonts w:ascii="Times New Roman" w:hAnsi="Times New Roman" w:cs="Times New Roman"/>
          <w:lang w:val="de-DE"/>
        </w:rPr>
        <w:t>Hāgas</w:t>
      </w:r>
      <w:proofErr w:type="spellEnd"/>
      <w:r w:rsidRPr="00CD4311">
        <w:rPr>
          <w:rFonts w:ascii="Times New Roman" w:hAnsi="Times New Roman" w:cs="Times New Roman"/>
          <w:lang w:val="de-DE"/>
        </w:rPr>
        <w:t xml:space="preserve"> </w:t>
      </w:r>
      <w:proofErr w:type="spellStart"/>
      <w:r w:rsidRPr="00CD4311">
        <w:rPr>
          <w:rFonts w:ascii="Times New Roman" w:hAnsi="Times New Roman" w:cs="Times New Roman"/>
          <w:lang w:val="de-DE"/>
        </w:rPr>
        <w:t>Dokumentu</w:t>
      </w:r>
      <w:proofErr w:type="spellEnd"/>
      <w:r w:rsidRPr="00CD4311">
        <w:rPr>
          <w:rFonts w:ascii="Times New Roman" w:hAnsi="Times New Roman" w:cs="Times New Roman"/>
          <w:lang w:val="de-DE"/>
        </w:rPr>
        <w:t xml:space="preserve"> </w:t>
      </w:r>
      <w:proofErr w:type="spellStart"/>
      <w:r w:rsidRPr="00CD4311">
        <w:rPr>
          <w:rFonts w:ascii="Times New Roman" w:hAnsi="Times New Roman" w:cs="Times New Roman"/>
          <w:lang w:val="de-DE"/>
        </w:rPr>
        <w:t>legalizācijas</w:t>
      </w:r>
      <w:proofErr w:type="spellEnd"/>
      <w:r w:rsidRPr="00CD4311">
        <w:rPr>
          <w:rFonts w:ascii="Times New Roman" w:hAnsi="Times New Roman" w:cs="Times New Roman"/>
          <w:lang w:val="de-DE"/>
        </w:rPr>
        <w:t xml:space="preserve"> </w:t>
      </w:r>
      <w:proofErr w:type="spellStart"/>
      <w:r w:rsidRPr="00CD4311">
        <w:rPr>
          <w:rFonts w:ascii="Times New Roman" w:hAnsi="Times New Roman" w:cs="Times New Roman"/>
          <w:lang w:val="de-DE"/>
        </w:rPr>
        <w:t>atcelšanas</w:t>
      </w:r>
      <w:proofErr w:type="spellEnd"/>
      <w:r w:rsidRPr="00CD4311">
        <w:rPr>
          <w:rFonts w:ascii="Times New Roman" w:hAnsi="Times New Roman" w:cs="Times New Roman"/>
          <w:lang w:val="de-DE"/>
        </w:rPr>
        <w:t xml:space="preserve"> </w:t>
      </w:r>
      <w:proofErr w:type="spellStart"/>
      <w:r w:rsidRPr="00CD4311">
        <w:rPr>
          <w:rFonts w:ascii="Times New Roman" w:hAnsi="Times New Roman" w:cs="Times New Roman"/>
          <w:lang w:val="de-DE"/>
        </w:rPr>
        <w:t>konvencijas</w:t>
      </w:r>
      <w:proofErr w:type="spellEnd"/>
      <w:r w:rsidRPr="00CD4311">
        <w:rPr>
          <w:rFonts w:ascii="Times New Roman" w:hAnsi="Times New Roman" w:cs="Times New Roman"/>
          <w:lang w:val="de-DE"/>
        </w:rPr>
        <w:t xml:space="preserve"> 1.panta 2.punkta „d“ </w:t>
      </w:r>
      <w:proofErr w:type="spellStart"/>
      <w:r w:rsidRPr="00CD4311">
        <w:rPr>
          <w:rFonts w:ascii="Times New Roman" w:hAnsi="Times New Roman" w:cs="Times New Roman"/>
          <w:lang w:val="de-DE"/>
        </w:rPr>
        <w:t>apakšpunktā</w:t>
      </w:r>
      <w:proofErr w:type="spellEnd"/>
      <w:r w:rsidRPr="00CD4311">
        <w:rPr>
          <w:rFonts w:ascii="Times New Roman" w:hAnsi="Times New Roman" w:cs="Times New Roman"/>
          <w:lang w:val="de-DE"/>
        </w:rPr>
        <w:t>, par „</w:t>
      </w:r>
      <w:proofErr w:type="spellStart"/>
      <w:r w:rsidRPr="00CD4311">
        <w:rPr>
          <w:rFonts w:ascii="Times New Roman" w:hAnsi="Times New Roman" w:cs="Times New Roman"/>
          <w:lang w:val="de-DE"/>
        </w:rPr>
        <w:t>publisku</w:t>
      </w:r>
      <w:proofErr w:type="spellEnd"/>
      <w:r w:rsidRPr="00CD4311">
        <w:rPr>
          <w:rFonts w:ascii="Times New Roman" w:hAnsi="Times New Roman" w:cs="Times New Roman"/>
          <w:lang w:val="de-DE"/>
        </w:rPr>
        <w:t xml:space="preserve"> </w:t>
      </w:r>
      <w:proofErr w:type="spellStart"/>
      <w:r w:rsidRPr="00CD4311">
        <w:rPr>
          <w:rFonts w:ascii="Times New Roman" w:hAnsi="Times New Roman" w:cs="Times New Roman"/>
          <w:lang w:val="de-DE"/>
        </w:rPr>
        <w:t>dokumentu</w:t>
      </w:r>
      <w:proofErr w:type="spellEnd"/>
      <w:r w:rsidRPr="00CD4311">
        <w:rPr>
          <w:rFonts w:ascii="Times New Roman" w:hAnsi="Times New Roman" w:cs="Times New Roman"/>
          <w:lang w:val="de-DE"/>
        </w:rPr>
        <w:t>“ Regulas (</w:t>
      </w:r>
      <w:proofErr w:type="spellStart"/>
      <w:r w:rsidRPr="00CD4311">
        <w:rPr>
          <w:rFonts w:ascii="Times New Roman" w:hAnsi="Times New Roman" w:cs="Times New Roman"/>
          <w:lang w:val="de-DE"/>
        </w:rPr>
        <w:t>skat</w:t>
      </w:r>
      <w:proofErr w:type="spellEnd"/>
      <w:r w:rsidRPr="00CD4311">
        <w:rPr>
          <w:rFonts w:ascii="Times New Roman" w:hAnsi="Times New Roman" w:cs="Times New Roman"/>
          <w:lang w:val="de-DE"/>
        </w:rPr>
        <w:t xml:space="preserve">. 3.p. 1.punkta „d“ </w:t>
      </w:r>
      <w:proofErr w:type="spellStart"/>
      <w:r w:rsidRPr="00CD4311">
        <w:rPr>
          <w:rFonts w:ascii="Times New Roman" w:hAnsi="Times New Roman" w:cs="Times New Roman"/>
          <w:lang w:val="de-DE"/>
        </w:rPr>
        <w:t>apakšpunktu</w:t>
      </w:r>
      <w:proofErr w:type="spellEnd"/>
      <w:r w:rsidRPr="00CD4311">
        <w:rPr>
          <w:rFonts w:ascii="Times New Roman" w:hAnsi="Times New Roman" w:cs="Times New Roman"/>
          <w:lang w:val="de-DE"/>
        </w:rPr>
        <w:t xml:space="preserve">) </w:t>
      </w:r>
      <w:proofErr w:type="spellStart"/>
      <w:r w:rsidRPr="00CD4311">
        <w:rPr>
          <w:rFonts w:ascii="Times New Roman" w:hAnsi="Times New Roman" w:cs="Times New Roman"/>
          <w:lang w:val="de-DE"/>
        </w:rPr>
        <w:t>izpratnē</w:t>
      </w:r>
      <w:proofErr w:type="spellEnd"/>
      <w:r w:rsidRPr="00CD4311">
        <w:rPr>
          <w:rFonts w:ascii="Times New Roman" w:hAnsi="Times New Roman" w:cs="Times New Roman"/>
          <w:lang w:val="de-DE"/>
        </w:rPr>
        <w:t xml:space="preserve"> </w:t>
      </w:r>
      <w:proofErr w:type="spellStart"/>
      <w:r w:rsidRPr="00CD4311">
        <w:rPr>
          <w:rFonts w:ascii="Times New Roman" w:hAnsi="Times New Roman" w:cs="Times New Roman"/>
          <w:lang w:val="de-DE"/>
        </w:rPr>
        <w:t>tiek</w:t>
      </w:r>
      <w:proofErr w:type="spellEnd"/>
      <w:r w:rsidRPr="00CD4311">
        <w:rPr>
          <w:rFonts w:ascii="Times New Roman" w:hAnsi="Times New Roman" w:cs="Times New Roman"/>
          <w:lang w:val="de-DE"/>
        </w:rPr>
        <w:t xml:space="preserve"> </w:t>
      </w:r>
      <w:proofErr w:type="spellStart"/>
      <w:r w:rsidRPr="00CD4311">
        <w:rPr>
          <w:rFonts w:ascii="Times New Roman" w:hAnsi="Times New Roman" w:cs="Times New Roman"/>
          <w:lang w:val="de-DE"/>
        </w:rPr>
        <w:t>uzskatīts</w:t>
      </w:r>
      <w:proofErr w:type="spellEnd"/>
      <w:r w:rsidRPr="00CD4311">
        <w:rPr>
          <w:rFonts w:ascii="Times New Roman" w:hAnsi="Times New Roman" w:cs="Times New Roman"/>
          <w:lang w:val="de-DE"/>
        </w:rPr>
        <w:t xml:space="preserve"> </w:t>
      </w:r>
      <w:proofErr w:type="spellStart"/>
      <w:r w:rsidRPr="00CD4311">
        <w:rPr>
          <w:rFonts w:ascii="Times New Roman" w:hAnsi="Times New Roman" w:cs="Times New Roman"/>
          <w:lang w:val="de-DE"/>
        </w:rPr>
        <w:t>nevis</w:t>
      </w:r>
      <w:proofErr w:type="spellEnd"/>
      <w:r w:rsidRPr="00CD4311">
        <w:rPr>
          <w:rFonts w:ascii="Times New Roman" w:hAnsi="Times New Roman" w:cs="Times New Roman"/>
          <w:lang w:val="de-DE"/>
        </w:rPr>
        <w:t xml:space="preserve"> </w:t>
      </w:r>
      <w:proofErr w:type="spellStart"/>
      <w:r w:rsidRPr="00CD4311">
        <w:rPr>
          <w:rFonts w:ascii="Times New Roman" w:hAnsi="Times New Roman" w:cs="Times New Roman"/>
          <w:lang w:val="de-DE"/>
        </w:rPr>
        <w:t>pats</w:t>
      </w:r>
      <w:proofErr w:type="spellEnd"/>
      <w:r w:rsidRPr="00CD4311">
        <w:rPr>
          <w:rFonts w:ascii="Times New Roman" w:hAnsi="Times New Roman" w:cs="Times New Roman"/>
          <w:lang w:val="de-DE"/>
        </w:rPr>
        <w:t xml:space="preserve"> </w:t>
      </w:r>
      <w:proofErr w:type="spellStart"/>
      <w:r w:rsidRPr="00CD4311">
        <w:rPr>
          <w:rFonts w:ascii="Times New Roman" w:hAnsi="Times New Roman" w:cs="Times New Roman"/>
          <w:lang w:val="de-DE"/>
        </w:rPr>
        <w:t>privātais</w:t>
      </w:r>
      <w:proofErr w:type="spellEnd"/>
      <w:r w:rsidRPr="00CD4311">
        <w:rPr>
          <w:rFonts w:ascii="Times New Roman" w:hAnsi="Times New Roman" w:cs="Times New Roman"/>
          <w:lang w:val="de-DE"/>
        </w:rPr>
        <w:t xml:space="preserve"> </w:t>
      </w:r>
      <w:proofErr w:type="spellStart"/>
      <w:r w:rsidRPr="00CD4311">
        <w:rPr>
          <w:rFonts w:ascii="Times New Roman" w:hAnsi="Times New Roman" w:cs="Times New Roman"/>
          <w:lang w:val="de-DE"/>
        </w:rPr>
        <w:t>dokuments</w:t>
      </w:r>
      <w:proofErr w:type="spellEnd"/>
      <w:r w:rsidRPr="00CD4311">
        <w:rPr>
          <w:rFonts w:ascii="Times New Roman" w:hAnsi="Times New Roman" w:cs="Times New Roman"/>
          <w:lang w:val="de-DE"/>
        </w:rPr>
        <w:t xml:space="preserve">, </w:t>
      </w:r>
      <w:proofErr w:type="spellStart"/>
      <w:r w:rsidRPr="00CD4311">
        <w:rPr>
          <w:rFonts w:ascii="Times New Roman" w:hAnsi="Times New Roman" w:cs="Times New Roman"/>
          <w:lang w:val="de-DE"/>
        </w:rPr>
        <w:t>uz</w:t>
      </w:r>
      <w:proofErr w:type="spellEnd"/>
      <w:r w:rsidRPr="00CD4311">
        <w:rPr>
          <w:rFonts w:ascii="Times New Roman" w:hAnsi="Times New Roman" w:cs="Times New Roman"/>
          <w:lang w:val="de-DE"/>
        </w:rPr>
        <w:t xml:space="preserve"> </w:t>
      </w:r>
      <w:proofErr w:type="spellStart"/>
      <w:r w:rsidRPr="00CD4311">
        <w:rPr>
          <w:rFonts w:ascii="Times New Roman" w:hAnsi="Times New Roman" w:cs="Times New Roman"/>
          <w:lang w:val="de-DE"/>
        </w:rPr>
        <w:t>kura</w:t>
      </w:r>
      <w:proofErr w:type="spellEnd"/>
      <w:r w:rsidRPr="00CD4311">
        <w:rPr>
          <w:rFonts w:ascii="Times New Roman" w:hAnsi="Times New Roman" w:cs="Times New Roman"/>
          <w:lang w:val="de-DE"/>
        </w:rPr>
        <w:t xml:space="preserve"> </w:t>
      </w:r>
      <w:proofErr w:type="spellStart"/>
      <w:r w:rsidRPr="00CD4311">
        <w:rPr>
          <w:rFonts w:ascii="Times New Roman" w:hAnsi="Times New Roman" w:cs="Times New Roman"/>
          <w:lang w:val="de-DE"/>
        </w:rPr>
        <w:t>ir</w:t>
      </w:r>
      <w:proofErr w:type="spellEnd"/>
      <w:r w:rsidRPr="00CD4311">
        <w:rPr>
          <w:rFonts w:ascii="Times New Roman" w:hAnsi="Times New Roman" w:cs="Times New Roman"/>
          <w:lang w:val="de-DE"/>
        </w:rPr>
        <w:t xml:space="preserve"> </w:t>
      </w:r>
      <w:proofErr w:type="spellStart"/>
      <w:r w:rsidRPr="00CD4311">
        <w:rPr>
          <w:rFonts w:ascii="Times New Roman" w:hAnsi="Times New Roman" w:cs="Times New Roman"/>
          <w:lang w:val="de-DE"/>
        </w:rPr>
        <w:t>oficiāls</w:t>
      </w:r>
      <w:proofErr w:type="spellEnd"/>
      <w:r w:rsidRPr="00CD4311">
        <w:rPr>
          <w:rFonts w:ascii="Times New Roman" w:hAnsi="Times New Roman" w:cs="Times New Roman"/>
          <w:lang w:val="de-DE"/>
        </w:rPr>
        <w:t xml:space="preserve"> </w:t>
      </w:r>
      <w:proofErr w:type="spellStart"/>
      <w:r w:rsidRPr="00CD4311">
        <w:rPr>
          <w:rFonts w:ascii="Times New Roman" w:hAnsi="Times New Roman" w:cs="Times New Roman"/>
          <w:lang w:val="de-DE"/>
        </w:rPr>
        <w:t>apliecinājums</w:t>
      </w:r>
      <w:proofErr w:type="spellEnd"/>
      <w:r w:rsidRPr="00CD4311">
        <w:rPr>
          <w:rFonts w:ascii="Times New Roman" w:hAnsi="Times New Roman" w:cs="Times New Roman"/>
          <w:lang w:val="de-DE"/>
        </w:rPr>
        <w:t xml:space="preserve">, </w:t>
      </w:r>
      <w:proofErr w:type="spellStart"/>
      <w:r w:rsidRPr="00CD4311">
        <w:rPr>
          <w:rFonts w:ascii="Times New Roman" w:hAnsi="Times New Roman" w:cs="Times New Roman"/>
          <w:lang w:val="de-DE"/>
        </w:rPr>
        <w:t>bet</w:t>
      </w:r>
      <w:proofErr w:type="spellEnd"/>
      <w:r w:rsidRPr="00CD4311">
        <w:rPr>
          <w:rFonts w:ascii="Times New Roman" w:hAnsi="Times New Roman" w:cs="Times New Roman"/>
          <w:lang w:val="de-DE"/>
        </w:rPr>
        <w:t xml:space="preserve"> </w:t>
      </w:r>
      <w:proofErr w:type="spellStart"/>
      <w:r w:rsidRPr="00CD4311">
        <w:rPr>
          <w:rFonts w:ascii="Times New Roman" w:hAnsi="Times New Roman" w:cs="Times New Roman"/>
          <w:lang w:val="de-DE"/>
        </w:rPr>
        <w:t>gan</w:t>
      </w:r>
      <w:proofErr w:type="spellEnd"/>
      <w:r w:rsidRPr="00CD4311">
        <w:rPr>
          <w:rFonts w:ascii="Times New Roman" w:hAnsi="Times New Roman" w:cs="Times New Roman"/>
          <w:lang w:val="de-DE"/>
        </w:rPr>
        <w:t xml:space="preserve"> </w:t>
      </w:r>
      <w:proofErr w:type="spellStart"/>
      <w:r w:rsidRPr="00CD4311">
        <w:rPr>
          <w:rFonts w:ascii="Times New Roman" w:hAnsi="Times New Roman" w:cs="Times New Roman"/>
          <w:lang w:val="de-DE"/>
        </w:rPr>
        <w:t>tikai</w:t>
      </w:r>
      <w:proofErr w:type="spellEnd"/>
      <w:r w:rsidRPr="00CD4311">
        <w:rPr>
          <w:rFonts w:ascii="Times New Roman" w:hAnsi="Times New Roman" w:cs="Times New Roman"/>
          <w:lang w:val="de-DE"/>
        </w:rPr>
        <w:t xml:space="preserve"> </w:t>
      </w:r>
      <w:proofErr w:type="spellStart"/>
      <w:r w:rsidRPr="00CD4311">
        <w:rPr>
          <w:rFonts w:ascii="Times New Roman" w:hAnsi="Times New Roman" w:cs="Times New Roman"/>
          <w:lang w:val="de-DE"/>
        </w:rPr>
        <w:t>šis</w:t>
      </w:r>
      <w:proofErr w:type="spellEnd"/>
      <w:r w:rsidRPr="00CD4311">
        <w:rPr>
          <w:rFonts w:ascii="Times New Roman" w:hAnsi="Times New Roman" w:cs="Times New Roman"/>
          <w:lang w:val="de-DE"/>
        </w:rPr>
        <w:t xml:space="preserve"> </w:t>
      </w:r>
      <w:proofErr w:type="spellStart"/>
      <w:r w:rsidRPr="00CD4311">
        <w:rPr>
          <w:rFonts w:ascii="Times New Roman" w:hAnsi="Times New Roman" w:cs="Times New Roman"/>
          <w:lang w:val="de-DE"/>
        </w:rPr>
        <w:t>oficiālais</w:t>
      </w:r>
      <w:proofErr w:type="spellEnd"/>
      <w:r w:rsidRPr="00CD4311">
        <w:rPr>
          <w:rFonts w:ascii="Times New Roman" w:hAnsi="Times New Roman" w:cs="Times New Roman"/>
          <w:lang w:val="de-DE"/>
        </w:rPr>
        <w:t xml:space="preserve"> </w:t>
      </w:r>
      <w:proofErr w:type="spellStart"/>
      <w:r w:rsidRPr="00CD4311">
        <w:rPr>
          <w:rFonts w:ascii="Times New Roman" w:hAnsi="Times New Roman" w:cs="Times New Roman"/>
          <w:lang w:val="de-DE"/>
        </w:rPr>
        <w:t>apliecinājums</w:t>
      </w:r>
      <w:proofErr w:type="spellEnd"/>
      <w:r w:rsidRPr="00CD4311">
        <w:rPr>
          <w:rFonts w:ascii="Times New Roman" w:hAnsi="Times New Roman" w:cs="Times New Roman"/>
          <w:lang w:val="de-DE"/>
        </w:rPr>
        <w:t>.</w:t>
      </w:r>
    </w:p>
    <w:p w14:paraId="51BE4A55" w14:textId="7D37B863" w:rsidR="00114953" w:rsidRPr="000C7C76" w:rsidRDefault="00114953" w:rsidP="00114953">
      <w:pPr>
        <w:tabs>
          <w:tab w:val="left" w:pos="-720"/>
        </w:tabs>
        <w:jc w:val="both"/>
        <w:rPr>
          <w:rFonts w:ascii="Times New Roman" w:hAnsi="Times New Roman" w:cs="Times New Roman"/>
          <w:lang w:val="de-DE"/>
        </w:rPr>
      </w:pPr>
      <w:r w:rsidRPr="00CD4311">
        <w:rPr>
          <w:rFonts w:ascii="Times New Roman" w:hAnsi="Times New Roman" w:cs="Times New Roman"/>
          <w:lang w:val="de-DE"/>
        </w:rPr>
        <w:tab/>
      </w:r>
      <w:proofErr w:type="spellStart"/>
      <w:r w:rsidRPr="00CD4311">
        <w:rPr>
          <w:rFonts w:ascii="Times New Roman" w:hAnsi="Times New Roman" w:cs="Times New Roman"/>
          <w:lang w:val="de-DE"/>
        </w:rPr>
        <w:t>Savukārt</w:t>
      </w:r>
      <w:proofErr w:type="spellEnd"/>
      <w:r w:rsidRPr="00CD4311">
        <w:rPr>
          <w:rFonts w:ascii="Times New Roman" w:hAnsi="Times New Roman" w:cs="Times New Roman"/>
          <w:lang w:val="de-DE"/>
        </w:rPr>
        <w:t xml:space="preserve"> </w:t>
      </w:r>
      <w:proofErr w:type="spellStart"/>
      <w:r w:rsidRPr="00CD4311">
        <w:rPr>
          <w:rFonts w:ascii="Times New Roman" w:hAnsi="Times New Roman" w:cs="Times New Roman"/>
          <w:b/>
          <w:lang w:val="de-DE"/>
        </w:rPr>
        <w:t>legalizācija</w:t>
      </w:r>
      <w:proofErr w:type="spellEnd"/>
      <w:r w:rsidRPr="00CD4311">
        <w:rPr>
          <w:rFonts w:ascii="Times New Roman" w:hAnsi="Times New Roman" w:cs="Times New Roman"/>
          <w:lang w:val="de-DE"/>
        </w:rPr>
        <w:t xml:space="preserve"> Regulas </w:t>
      </w:r>
      <w:proofErr w:type="spellStart"/>
      <w:r w:rsidRPr="00CD4311">
        <w:rPr>
          <w:rFonts w:ascii="Times New Roman" w:hAnsi="Times New Roman" w:cs="Times New Roman"/>
          <w:lang w:val="de-DE"/>
        </w:rPr>
        <w:t>izpratnē</w:t>
      </w:r>
      <w:proofErr w:type="spellEnd"/>
      <w:r w:rsidRPr="00CD4311">
        <w:rPr>
          <w:rFonts w:ascii="Times New Roman" w:hAnsi="Times New Roman" w:cs="Times New Roman"/>
          <w:lang w:val="de-DE"/>
        </w:rPr>
        <w:t xml:space="preserve"> </w:t>
      </w:r>
      <w:proofErr w:type="spellStart"/>
      <w:r w:rsidRPr="000C7C76">
        <w:rPr>
          <w:rFonts w:ascii="Times New Roman" w:hAnsi="Times New Roman" w:cs="Times New Roman"/>
          <w:lang w:val="de-DE"/>
        </w:rPr>
        <w:t>ir</w:t>
      </w:r>
      <w:proofErr w:type="spellEnd"/>
      <w:r w:rsidRPr="000C7C76">
        <w:rPr>
          <w:rFonts w:ascii="Times New Roman" w:hAnsi="Times New Roman" w:cs="Times New Roman"/>
          <w:lang w:val="de-DE"/>
        </w:rPr>
        <w:t xml:space="preserve"> </w:t>
      </w:r>
      <w:proofErr w:type="spellStart"/>
      <w:r w:rsidRPr="000C7C76">
        <w:rPr>
          <w:rFonts w:ascii="Times New Roman" w:hAnsi="Times New Roman" w:cs="Times New Roman"/>
          <w:lang w:val="de-DE"/>
        </w:rPr>
        <w:t>formalitāte</w:t>
      </w:r>
      <w:proofErr w:type="spellEnd"/>
      <w:r w:rsidRPr="000C7C76">
        <w:rPr>
          <w:rFonts w:ascii="Times New Roman" w:hAnsi="Times New Roman" w:cs="Times New Roman"/>
          <w:lang w:val="de-DE"/>
        </w:rPr>
        <w:t xml:space="preserve">, </w:t>
      </w:r>
      <w:proofErr w:type="spellStart"/>
      <w:r w:rsidRPr="000C7C76">
        <w:rPr>
          <w:rFonts w:ascii="Times New Roman" w:hAnsi="Times New Roman" w:cs="Times New Roman"/>
          <w:lang w:val="de-DE"/>
        </w:rPr>
        <w:t>ar</w:t>
      </w:r>
      <w:proofErr w:type="spellEnd"/>
      <w:r w:rsidRPr="000C7C76">
        <w:rPr>
          <w:rFonts w:ascii="Times New Roman" w:hAnsi="Times New Roman" w:cs="Times New Roman"/>
          <w:lang w:val="de-DE"/>
        </w:rPr>
        <w:t xml:space="preserve"> </w:t>
      </w:r>
      <w:proofErr w:type="spellStart"/>
      <w:r w:rsidRPr="000C7C76">
        <w:rPr>
          <w:rFonts w:ascii="Times New Roman" w:hAnsi="Times New Roman" w:cs="Times New Roman"/>
          <w:lang w:val="de-DE"/>
        </w:rPr>
        <w:t>ko</w:t>
      </w:r>
      <w:proofErr w:type="spellEnd"/>
      <w:r w:rsidRPr="000C7C76">
        <w:rPr>
          <w:rFonts w:ascii="Times New Roman" w:hAnsi="Times New Roman" w:cs="Times New Roman"/>
          <w:lang w:val="de-DE"/>
        </w:rPr>
        <w:t xml:space="preserve"> </w:t>
      </w:r>
      <w:proofErr w:type="spellStart"/>
      <w:r w:rsidRPr="000C7C76">
        <w:rPr>
          <w:rFonts w:ascii="Times New Roman" w:hAnsi="Times New Roman" w:cs="Times New Roman"/>
          <w:lang w:val="de-DE"/>
        </w:rPr>
        <w:t>apliecina</w:t>
      </w:r>
      <w:proofErr w:type="spellEnd"/>
      <w:r w:rsidRPr="000C7C76">
        <w:rPr>
          <w:rFonts w:ascii="Times New Roman" w:hAnsi="Times New Roman" w:cs="Times New Roman"/>
          <w:lang w:val="de-DE"/>
        </w:rPr>
        <w:t xml:space="preserve"> </w:t>
      </w:r>
      <w:proofErr w:type="spellStart"/>
      <w:r w:rsidRPr="000C7C76">
        <w:rPr>
          <w:rFonts w:ascii="Times New Roman" w:hAnsi="Times New Roman" w:cs="Times New Roman"/>
          <w:lang w:val="de-DE"/>
        </w:rPr>
        <w:t>valsts</w:t>
      </w:r>
      <w:proofErr w:type="spellEnd"/>
      <w:r w:rsidRPr="000C7C76">
        <w:rPr>
          <w:rFonts w:ascii="Times New Roman" w:hAnsi="Times New Roman" w:cs="Times New Roman"/>
          <w:lang w:val="de-DE"/>
        </w:rPr>
        <w:t xml:space="preserve"> </w:t>
      </w:r>
      <w:proofErr w:type="spellStart"/>
      <w:r w:rsidRPr="000C7C76">
        <w:rPr>
          <w:rFonts w:ascii="Times New Roman" w:hAnsi="Times New Roman" w:cs="Times New Roman"/>
          <w:lang w:val="de-DE"/>
        </w:rPr>
        <w:t>amatpersonas</w:t>
      </w:r>
      <w:proofErr w:type="spellEnd"/>
      <w:r w:rsidRPr="000C7C76">
        <w:rPr>
          <w:rFonts w:ascii="Times New Roman" w:hAnsi="Times New Roman" w:cs="Times New Roman"/>
          <w:lang w:val="de-DE"/>
        </w:rPr>
        <w:t xml:space="preserve"> </w:t>
      </w:r>
      <w:proofErr w:type="spellStart"/>
      <w:r w:rsidRPr="000C7C76">
        <w:rPr>
          <w:rFonts w:ascii="Times New Roman" w:hAnsi="Times New Roman" w:cs="Times New Roman"/>
          <w:lang w:val="de-DE"/>
        </w:rPr>
        <w:t>paraksta</w:t>
      </w:r>
      <w:proofErr w:type="spellEnd"/>
      <w:r w:rsidRPr="000C7C76">
        <w:rPr>
          <w:rFonts w:ascii="Times New Roman" w:hAnsi="Times New Roman" w:cs="Times New Roman"/>
          <w:lang w:val="de-DE"/>
        </w:rPr>
        <w:t xml:space="preserve"> </w:t>
      </w:r>
      <w:proofErr w:type="spellStart"/>
      <w:r w:rsidRPr="000C7C76">
        <w:rPr>
          <w:rFonts w:ascii="Times New Roman" w:hAnsi="Times New Roman" w:cs="Times New Roman"/>
          <w:lang w:val="de-DE"/>
        </w:rPr>
        <w:t>autentiskumu</w:t>
      </w:r>
      <w:proofErr w:type="spellEnd"/>
      <w:r w:rsidRPr="000C7C76">
        <w:rPr>
          <w:rFonts w:ascii="Times New Roman" w:hAnsi="Times New Roman" w:cs="Times New Roman"/>
          <w:lang w:val="de-DE"/>
        </w:rPr>
        <w:t xml:space="preserve">, </w:t>
      </w:r>
      <w:proofErr w:type="spellStart"/>
      <w:r w:rsidRPr="000C7C76">
        <w:rPr>
          <w:rFonts w:ascii="Times New Roman" w:hAnsi="Times New Roman" w:cs="Times New Roman"/>
          <w:lang w:val="de-DE"/>
        </w:rPr>
        <w:t>statusu</w:t>
      </w:r>
      <w:proofErr w:type="spellEnd"/>
      <w:r w:rsidRPr="000C7C76">
        <w:rPr>
          <w:rFonts w:ascii="Times New Roman" w:hAnsi="Times New Roman" w:cs="Times New Roman"/>
          <w:lang w:val="de-DE"/>
        </w:rPr>
        <w:t xml:space="preserve">, </w:t>
      </w:r>
      <w:proofErr w:type="spellStart"/>
      <w:r w:rsidRPr="000C7C76">
        <w:rPr>
          <w:rFonts w:ascii="Times New Roman" w:hAnsi="Times New Roman" w:cs="Times New Roman"/>
          <w:lang w:val="de-DE"/>
        </w:rPr>
        <w:t>kādā</w:t>
      </w:r>
      <w:proofErr w:type="spellEnd"/>
      <w:r w:rsidRPr="000C7C76">
        <w:rPr>
          <w:rFonts w:ascii="Times New Roman" w:hAnsi="Times New Roman" w:cs="Times New Roman"/>
          <w:lang w:val="de-DE"/>
        </w:rPr>
        <w:t xml:space="preserve"> </w:t>
      </w:r>
      <w:proofErr w:type="spellStart"/>
      <w:r w:rsidRPr="000C7C76">
        <w:rPr>
          <w:rFonts w:ascii="Times New Roman" w:hAnsi="Times New Roman" w:cs="Times New Roman"/>
          <w:lang w:val="de-DE"/>
        </w:rPr>
        <w:t>rīkojusies</w:t>
      </w:r>
      <w:proofErr w:type="spellEnd"/>
      <w:r w:rsidRPr="000C7C76">
        <w:rPr>
          <w:rFonts w:ascii="Times New Roman" w:hAnsi="Times New Roman" w:cs="Times New Roman"/>
          <w:lang w:val="de-DE"/>
        </w:rPr>
        <w:t xml:space="preserve"> </w:t>
      </w:r>
      <w:proofErr w:type="spellStart"/>
      <w:r w:rsidRPr="000C7C76">
        <w:rPr>
          <w:rFonts w:ascii="Times New Roman" w:hAnsi="Times New Roman" w:cs="Times New Roman"/>
          <w:lang w:val="de-DE"/>
        </w:rPr>
        <w:t>persona</w:t>
      </w:r>
      <w:proofErr w:type="spellEnd"/>
      <w:r w:rsidRPr="000C7C76">
        <w:rPr>
          <w:rFonts w:ascii="Times New Roman" w:hAnsi="Times New Roman" w:cs="Times New Roman"/>
          <w:lang w:val="de-DE"/>
        </w:rPr>
        <w:t xml:space="preserve">, </w:t>
      </w:r>
      <w:proofErr w:type="spellStart"/>
      <w:r w:rsidRPr="000C7C76">
        <w:rPr>
          <w:rFonts w:ascii="Times New Roman" w:hAnsi="Times New Roman" w:cs="Times New Roman"/>
          <w:lang w:val="de-DE"/>
        </w:rPr>
        <w:t>kura</w:t>
      </w:r>
      <w:proofErr w:type="spellEnd"/>
      <w:r w:rsidRPr="000C7C76">
        <w:rPr>
          <w:rFonts w:ascii="Times New Roman" w:hAnsi="Times New Roman" w:cs="Times New Roman"/>
          <w:lang w:val="de-DE"/>
        </w:rPr>
        <w:t xml:space="preserve"> </w:t>
      </w:r>
      <w:proofErr w:type="spellStart"/>
      <w:r w:rsidRPr="000C7C76">
        <w:rPr>
          <w:rFonts w:ascii="Times New Roman" w:hAnsi="Times New Roman" w:cs="Times New Roman"/>
          <w:lang w:val="de-DE"/>
        </w:rPr>
        <w:t>parakstījusi</w:t>
      </w:r>
      <w:proofErr w:type="spellEnd"/>
      <w:r w:rsidRPr="000C7C76">
        <w:rPr>
          <w:rFonts w:ascii="Times New Roman" w:hAnsi="Times New Roman" w:cs="Times New Roman"/>
          <w:lang w:val="de-DE"/>
        </w:rPr>
        <w:t xml:space="preserve"> </w:t>
      </w:r>
      <w:proofErr w:type="spellStart"/>
      <w:r w:rsidRPr="000C7C76">
        <w:rPr>
          <w:rFonts w:ascii="Times New Roman" w:hAnsi="Times New Roman" w:cs="Times New Roman"/>
          <w:lang w:val="de-DE"/>
        </w:rPr>
        <w:t>dokumentu</w:t>
      </w:r>
      <w:proofErr w:type="spellEnd"/>
      <w:r w:rsidRPr="000C7C76">
        <w:rPr>
          <w:rFonts w:ascii="Times New Roman" w:hAnsi="Times New Roman" w:cs="Times New Roman"/>
          <w:lang w:val="de-DE"/>
        </w:rPr>
        <w:t xml:space="preserve">, </w:t>
      </w:r>
      <w:proofErr w:type="spellStart"/>
      <w:r w:rsidRPr="000C7C76">
        <w:rPr>
          <w:rFonts w:ascii="Times New Roman" w:hAnsi="Times New Roman" w:cs="Times New Roman"/>
          <w:lang w:val="de-DE"/>
        </w:rPr>
        <w:t>un</w:t>
      </w:r>
      <w:proofErr w:type="spellEnd"/>
      <w:r w:rsidRPr="000C7C76">
        <w:rPr>
          <w:rFonts w:ascii="Times New Roman" w:hAnsi="Times New Roman" w:cs="Times New Roman"/>
          <w:lang w:val="de-DE"/>
        </w:rPr>
        <w:t xml:space="preserve"> </w:t>
      </w:r>
      <w:proofErr w:type="spellStart"/>
      <w:r w:rsidRPr="000C7C76">
        <w:rPr>
          <w:rFonts w:ascii="Times New Roman" w:hAnsi="Times New Roman" w:cs="Times New Roman"/>
          <w:lang w:val="de-DE"/>
        </w:rPr>
        <w:t>vajadzības</w:t>
      </w:r>
      <w:proofErr w:type="spellEnd"/>
      <w:r w:rsidRPr="000C7C76">
        <w:rPr>
          <w:rFonts w:ascii="Times New Roman" w:hAnsi="Times New Roman" w:cs="Times New Roman"/>
          <w:lang w:val="de-DE"/>
        </w:rPr>
        <w:t xml:space="preserve"> </w:t>
      </w:r>
      <w:proofErr w:type="spellStart"/>
      <w:r w:rsidRPr="000C7C76">
        <w:rPr>
          <w:rFonts w:ascii="Times New Roman" w:hAnsi="Times New Roman" w:cs="Times New Roman"/>
          <w:lang w:val="de-DE"/>
        </w:rPr>
        <w:t>gadījumā</w:t>
      </w:r>
      <w:proofErr w:type="spellEnd"/>
      <w:r w:rsidRPr="000C7C76">
        <w:rPr>
          <w:rFonts w:ascii="Times New Roman" w:hAnsi="Times New Roman" w:cs="Times New Roman"/>
          <w:lang w:val="de-DE"/>
        </w:rPr>
        <w:t xml:space="preserve"> </w:t>
      </w:r>
      <w:proofErr w:type="spellStart"/>
      <w:r w:rsidRPr="000C7C76">
        <w:rPr>
          <w:rFonts w:ascii="Times New Roman" w:hAnsi="Times New Roman" w:cs="Times New Roman"/>
          <w:lang w:val="de-DE"/>
        </w:rPr>
        <w:t>dokumenta</w:t>
      </w:r>
      <w:proofErr w:type="spellEnd"/>
      <w:r w:rsidRPr="000C7C76">
        <w:rPr>
          <w:rFonts w:ascii="Times New Roman" w:hAnsi="Times New Roman" w:cs="Times New Roman"/>
          <w:lang w:val="de-DE"/>
        </w:rPr>
        <w:t xml:space="preserve"> </w:t>
      </w:r>
      <w:proofErr w:type="spellStart"/>
      <w:r w:rsidRPr="000C7C76">
        <w:rPr>
          <w:rFonts w:ascii="Times New Roman" w:hAnsi="Times New Roman" w:cs="Times New Roman"/>
          <w:lang w:val="de-DE"/>
        </w:rPr>
        <w:t>zīmoga</w:t>
      </w:r>
      <w:proofErr w:type="spellEnd"/>
      <w:r w:rsidRPr="000C7C76">
        <w:rPr>
          <w:rFonts w:ascii="Times New Roman" w:hAnsi="Times New Roman" w:cs="Times New Roman"/>
          <w:lang w:val="de-DE"/>
        </w:rPr>
        <w:t xml:space="preserve"> </w:t>
      </w:r>
      <w:proofErr w:type="spellStart"/>
      <w:r w:rsidRPr="000C7C76">
        <w:rPr>
          <w:rFonts w:ascii="Times New Roman" w:hAnsi="Times New Roman" w:cs="Times New Roman"/>
          <w:lang w:val="de-DE"/>
        </w:rPr>
        <w:t>vai</w:t>
      </w:r>
      <w:proofErr w:type="spellEnd"/>
      <w:r w:rsidRPr="000C7C76">
        <w:rPr>
          <w:rFonts w:ascii="Times New Roman" w:hAnsi="Times New Roman" w:cs="Times New Roman"/>
          <w:lang w:val="de-DE"/>
        </w:rPr>
        <w:t xml:space="preserve"> </w:t>
      </w:r>
      <w:proofErr w:type="spellStart"/>
      <w:r w:rsidRPr="000C7C76">
        <w:rPr>
          <w:rFonts w:ascii="Times New Roman" w:hAnsi="Times New Roman" w:cs="Times New Roman"/>
          <w:lang w:val="de-DE"/>
        </w:rPr>
        <w:t>spiedoga</w:t>
      </w:r>
      <w:proofErr w:type="spellEnd"/>
      <w:r w:rsidRPr="000C7C76">
        <w:rPr>
          <w:rFonts w:ascii="Times New Roman" w:hAnsi="Times New Roman" w:cs="Times New Roman"/>
          <w:lang w:val="de-DE"/>
        </w:rPr>
        <w:t xml:space="preserve"> </w:t>
      </w:r>
      <w:proofErr w:type="spellStart"/>
      <w:r w:rsidR="00C22C4E" w:rsidRPr="000C7C76">
        <w:rPr>
          <w:rFonts w:ascii="Times New Roman" w:hAnsi="Times New Roman" w:cs="Times New Roman"/>
          <w:lang w:val="de-DE"/>
        </w:rPr>
        <w:t>identitāti</w:t>
      </w:r>
      <w:proofErr w:type="spellEnd"/>
      <w:r w:rsidR="00C22C4E" w:rsidRPr="000C7C76">
        <w:rPr>
          <w:rFonts w:ascii="Times New Roman" w:hAnsi="Times New Roman" w:cs="Times New Roman"/>
          <w:lang w:val="de-DE"/>
        </w:rPr>
        <w:t xml:space="preserve"> (</w:t>
      </w:r>
      <w:proofErr w:type="spellStart"/>
      <w:r w:rsidR="00C22C4E" w:rsidRPr="000C7C76">
        <w:rPr>
          <w:rFonts w:ascii="Times New Roman" w:hAnsi="Times New Roman" w:cs="Times New Roman"/>
          <w:lang w:val="de-DE"/>
        </w:rPr>
        <w:t>skat</w:t>
      </w:r>
      <w:proofErr w:type="spellEnd"/>
      <w:r w:rsidR="00C22C4E" w:rsidRPr="000C7C76">
        <w:rPr>
          <w:rFonts w:ascii="Times New Roman" w:hAnsi="Times New Roman" w:cs="Times New Roman"/>
          <w:lang w:val="de-DE"/>
        </w:rPr>
        <w:t xml:space="preserve">. </w:t>
      </w:r>
      <w:proofErr w:type="spellStart"/>
      <w:r w:rsidR="00C22C4E" w:rsidRPr="000C7C76">
        <w:rPr>
          <w:rFonts w:ascii="Times New Roman" w:hAnsi="Times New Roman" w:cs="Times New Roman"/>
          <w:lang w:val="de-DE"/>
        </w:rPr>
        <w:t>Reglas</w:t>
      </w:r>
      <w:proofErr w:type="spellEnd"/>
      <w:r w:rsidR="00C22C4E" w:rsidRPr="000C7C76">
        <w:rPr>
          <w:rFonts w:ascii="Times New Roman" w:hAnsi="Times New Roman" w:cs="Times New Roman"/>
          <w:lang w:val="de-DE"/>
        </w:rPr>
        <w:t xml:space="preserve"> 3.p.</w:t>
      </w:r>
      <w:r w:rsidRPr="000C7C76">
        <w:rPr>
          <w:rFonts w:ascii="Times New Roman" w:hAnsi="Times New Roman" w:cs="Times New Roman"/>
          <w:lang w:val="de-DE"/>
        </w:rPr>
        <w:t xml:space="preserve"> 3.punktu).</w:t>
      </w:r>
    </w:p>
    <w:p w14:paraId="0C366D2F" w14:textId="77777777" w:rsidR="00114953" w:rsidRPr="000C7C76" w:rsidRDefault="00114953" w:rsidP="00114953">
      <w:pPr>
        <w:tabs>
          <w:tab w:val="left" w:pos="-720"/>
        </w:tabs>
        <w:jc w:val="both"/>
        <w:rPr>
          <w:rFonts w:ascii="Times New Roman" w:hAnsi="Times New Roman" w:cs="Times New Roman"/>
          <w:lang w:val="de-DE"/>
        </w:rPr>
      </w:pPr>
      <w:r w:rsidRPr="000C7C76">
        <w:rPr>
          <w:lang w:val="de-DE"/>
        </w:rPr>
        <w:tab/>
      </w:r>
      <w:proofErr w:type="spellStart"/>
      <w:r w:rsidRPr="000C7C76">
        <w:rPr>
          <w:rFonts w:ascii="Times New Roman" w:hAnsi="Times New Roman" w:cs="Times New Roman"/>
          <w:lang w:val="de-DE"/>
        </w:rPr>
        <w:t>Regulā</w:t>
      </w:r>
      <w:proofErr w:type="spellEnd"/>
      <w:r w:rsidRPr="000C7C76">
        <w:rPr>
          <w:rFonts w:ascii="Times New Roman" w:hAnsi="Times New Roman" w:cs="Times New Roman"/>
          <w:lang w:val="de-DE"/>
        </w:rPr>
        <w:t xml:space="preserve"> </w:t>
      </w:r>
      <w:proofErr w:type="spellStart"/>
      <w:r w:rsidRPr="000C7C76">
        <w:rPr>
          <w:rFonts w:ascii="Times New Roman" w:hAnsi="Times New Roman" w:cs="Times New Roman"/>
          <w:lang w:val="de-DE"/>
        </w:rPr>
        <w:t>paredzēta</w:t>
      </w:r>
      <w:proofErr w:type="spellEnd"/>
      <w:r w:rsidRPr="000C7C76">
        <w:rPr>
          <w:rFonts w:ascii="Times New Roman" w:hAnsi="Times New Roman" w:cs="Times New Roman"/>
          <w:lang w:val="de-DE"/>
        </w:rPr>
        <w:t xml:space="preserve"> </w:t>
      </w:r>
      <w:proofErr w:type="spellStart"/>
      <w:r w:rsidRPr="000C7C76">
        <w:rPr>
          <w:rFonts w:ascii="Times New Roman" w:hAnsi="Times New Roman" w:cs="Times New Roman"/>
          <w:lang w:val="de-DE"/>
        </w:rPr>
        <w:t>arī</w:t>
      </w:r>
      <w:proofErr w:type="spellEnd"/>
      <w:r w:rsidRPr="000C7C76">
        <w:rPr>
          <w:rFonts w:ascii="Times New Roman" w:hAnsi="Times New Roman" w:cs="Times New Roman"/>
          <w:lang w:val="de-DE"/>
        </w:rPr>
        <w:t xml:space="preserve"> </w:t>
      </w:r>
      <w:proofErr w:type="spellStart"/>
      <w:r w:rsidRPr="000C7C76">
        <w:rPr>
          <w:rFonts w:ascii="Times New Roman" w:hAnsi="Times New Roman" w:cs="Times New Roman"/>
          <w:b/>
          <w:lang w:val="de-DE"/>
        </w:rPr>
        <w:t>daudzvalodu</w:t>
      </w:r>
      <w:proofErr w:type="spellEnd"/>
      <w:r w:rsidRPr="000C7C76">
        <w:rPr>
          <w:rFonts w:ascii="Times New Roman" w:hAnsi="Times New Roman" w:cs="Times New Roman"/>
          <w:b/>
          <w:lang w:val="de-DE"/>
        </w:rPr>
        <w:t xml:space="preserve"> </w:t>
      </w:r>
      <w:proofErr w:type="spellStart"/>
      <w:r w:rsidRPr="000C7C76">
        <w:rPr>
          <w:rFonts w:ascii="Times New Roman" w:hAnsi="Times New Roman" w:cs="Times New Roman"/>
          <w:b/>
          <w:lang w:val="de-DE"/>
        </w:rPr>
        <w:t>veidlapu</w:t>
      </w:r>
      <w:proofErr w:type="spellEnd"/>
      <w:r w:rsidRPr="000C7C76">
        <w:rPr>
          <w:rFonts w:ascii="Times New Roman" w:hAnsi="Times New Roman" w:cs="Times New Roman"/>
          <w:lang w:val="de-DE"/>
        </w:rPr>
        <w:t xml:space="preserve"> </w:t>
      </w:r>
      <w:proofErr w:type="spellStart"/>
      <w:r w:rsidRPr="000C7C76">
        <w:rPr>
          <w:rFonts w:ascii="Times New Roman" w:hAnsi="Times New Roman" w:cs="Times New Roman"/>
          <w:lang w:val="de-DE"/>
        </w:rPr>
        <w:t>izveide</w:t>
      </w:r>
      <w:proofErr w:type="spellEnd"/>
      <w:r w:rsidRPr="000C7C76">
        <w:rPr>
          <w:rFonts w:ascii="Times New Roman" w:hAnsi="Times New Roman" w:cs="Times New Roman"/>
          <w:lang w:val="de-DE"/>
        </w:rPr>
        <w:t xml:space="preserve"> </w:t>
      </w:r>
      <w:proofErr w:type="spellStart"/>
      <w:r w:rsidRPr="000C7C76">
        <w:rPr>
          <w:rFonts w:ascii="Times New Roman" w:hAnsi="Times New Roman" w:cs="Times New Roman"/>
          <w:lang w:val="de-DE"/>
        </w:rPr>
        <w:t>attiecībā</w:t>
      </w:r>
      <w:proofErr w:type="spellEnd"/>
      <w:r w:rsidRPr="000C7C76">
        <w:rPr>
          <w:rFonts w:ascii="Times New Roman" w:hAnsi="Times New Roman" w:cs="Times New Roman"/>
          <w:lang w:val="de-DE"/>
        </w:rPr>
        <w:t xml:space="preserve"> </w:t>
      </w:r>
      <w:proofErr w:type="spellStart"/>
      <w:r w:rsidRPr="000C7C76">
        <w:rPr>
          <w:rFonts w:ascii="Times New Roman" w:hAnsi="Times New Roman" w:cs="Times New Roman"/>
          <w:lang w:val="de-DE"/>
        </w:rPr>
        <w:t>uz</w:t>
      </w:r>
      <w:proofErr w:type="spellEnd"/>
      <w:r w:rsidRPr="000C7C76">
        <w:rPr>
          <w:rFonts w:ascii="Times New Roman" w:hAnsi="Times New Roman" w:cs="Times New Roman"/>
          <w:lang w:val="de-DE"/>
        </w:rPr>
        <w:t xml:space="preserve"> </w:t>
      </w:r>
      <w:proofErr w:type="spellStart"/>
      <w:r w:rsidRPr="000C7C76">
        <w:rPr>
          <w:rFonts w:ascii="Times New Roman" w:hAnsi="Times New Roman" w:cs="Times New Roman"/>
          <w:lang w:val="de-DE"/>
        </w:rPr>
        <w:t>lielāko</w:t>
      </w:r>
      <w:proofErr w:type="spellEnd"/>
      <w:r w:rsidRPr="000C7C76">
        <w:rPr>
          <w:rFonts w:ascii="Times New Roman" w:hAnsi="Times New Roman" w:cs="Times New Roman"/>
          <w:lang w:val="de-DE"/>
        </w:rPr>
        <w:t xml:space="preserve"> </w:t>
      </w:r>
      <w:proofErr w:type="spellStart"/>
      <w:r w:rsidRPr="000C7C76">
        <w:rPr>
          <w:rFonts w:ascii="Times New Roman" w:hAnsi="Times New Roman" w:cs="Times New Roman"/>
          <w:lang w:val="de-DE"/>
        </w:rPr>
        <w:t>daļu</w:t>
      </w:r>
      <w:proofErr w:type="spellEnd"/>
      <w:r w:rsidRPr="000C7C76">
        <w:rPr>
          <w:rFonts w:ascii="Times New Roman" w:hAnsi="Times New Roman" w:cs="Times New Roman"/>
          <w:lang w:val="de-DE"/>
        </w:rPr>
        <w:t xml:space="preserve"> </w:t>
      </w:r>
      <w:proofErr w:type="spellStart"/>
      <w:r w:rsidRPr="000C7C76">
        <w:rPr>
          <w:rFonts w:ascii="Times New Roman" w:hAnsi="Times New Roman" w:cs="Times New Roman"/>
          <w:lang w:val="de-DE"/>
        </w:rPr>
        <w:t>vajadzīgo</w:t>
      </w:r>
      <w:proofErr w:type="spellEnd"/>
      <w:r w:rsidRPr="000C7C76">
        <w:rPr>
          <w:rFonts w:ascii="Times New Roman" w:hAnsi="Times New Roman" w:cs="Times New Roman"/>
          <w:lang w:val="de-DE"/>
        </w:rPr>
        <w:t xml:space="preserve"> </w:t>
      </w:r>
      <w:proofErr w:type="spellStart"/>
      <w:r w:rsidRPr="000C7C76">
        <w:rPr>
          <w:rFonts w:ascii="Times New Roman" w:hAnsi="Times New Roman" w:cs="Times New Roman"/>
          <w:lang w:val="de-DE"/>
        </w:rPr>
        <w:t>publisko</w:t>
      </w:r>
      <w:proofErr w:type="spellEnd"/>
      <w:r w:rsidRPr="000C7C76">
        <w:rPr>
          <w:rFonts w:ascii="Times New Roman" w:hAnsi="Times New Roman" w:cs="Times New Roman"/>
          <w:lang w:val="de-DE"/>
        </w:rPr>
        <w:t xml:space="preserve"> </w:t>
      </w:r>
      <w:proofErr w:type="spellStart"/>
      <w:r w:rsidRPr="000C7C76">
        <w:rPr>
          <w:rFonts w:ascii="Times New Roman" w:hAnsi="Times New Roman" w:cs="Times New Roman"/>
          <w:lang w:val="de-DE"/>
        </w:rPr>
        <w:t>dokumentu</w:t>
      </w:r>
      <w:proofErr w:type="spellEnd"/>
      <w:r w:rsidRPr="000C7C76">
        <w:rPr>
          <w:rFonts w:ascii="Times New Roman" w:hAnsi="Times New Roman" w:cs="Times New Roman"/>
          <w:lang w:val="de-DE"/>
        </w:rPr>
        <w:t xml:space="preserve">. </w:t>
      </w:r>
      <w:proofErr w:type="spellStart"/>
      <w:r w:rsidRPr="000C7C76">
        <w:rPr>
          <w:rFonts w:ascii="Times New Roman" w:hAnsi="Times New Roman" w:cs="Times New Roman"/>
          <w:lang w:val="de-DE"/>
        </w:rPr>
        <w:t>Šīs</w:t>
      </w:r>
      <w:proofErr w:type="spellEnd"/>
      <w:r w:rsidRPr="000C7C76">
        <w:rPr>
          <w:rFonts w:ascii="Times New Roman" w:hAnsi="Times New Roman" w:cs="Times New Roman"/>
          <w:lang w:val="de-DE"/>
        </w:rPr>
        <w:t xml:space="preserve"> </w:t>
      </w:r>
      <w:proofErr w:type="spellStart"/>
      <w:r w:rsidRPr="000C7C76">
        <w:rPr>
          <w:rFonts w:ascii="Times New Roman" w:hAnsi="Times New Roman" w:cs="Times New Roman"/>
          <w:lang w:val="de-DE"/>
        </w:rPr>
        <w:t>daudzvalodu</w:t>
      </w:r>
      <w:proofErr w:type="spellEnd"/>
      <w:r w:rsidRPr="000C7C76">
        <w:rPr>
          <w:rFonts w:ascii="Times New Roman" w:hAnsi="Times New Roman" w:cs="Times New Roman"/>
          <w:lang w:val="de-DE"/>
        </w:rPr>
        <w:t xml:space="preserve"> </w:t>
      </w:r>
      <w:proofErr w:type="spellStart"/>
      <w:r w:rsidRPr="000C7C76">
        <w:rPr>
          <w:rFonts w:ascii="Times New Roman" w:hAnsi="Times New Roman" w:cs="Times New Roman"/>
          <w:lang w:val="de-DE"/>
        </w:rPr>
        <w:t>veidlapas</w:t>
      </w:r>
      <w:proofErr w:type="spellEnd"/>
      <w:r w:rsidRPr="000C7C76">
        <w:rPr>
          <w:rFonts w:ascii="Times New Roman" w:hAnsi="Times New Roman" w:cs="Times New Roman"/>
          <w:lang w:val="de-DE"/>
        </w:rPr>
        <w:t xml:space="preserve"> </w:t>
      </w:r>
      <w:proofErr w:type="spellStart"/>
      <w:r w:rsidRPr="000C7C76">
        <w:rPr>
          <w:rFonts w:ascii="Times New Roman" w:hAnsi="Times New Roman" w:cs="Times New Roman"/>
          <w:lang w:val="de-DE"/>
        </w:rPr>
        <w:t>ir</w:t>
      </w:r>
      <w:proofErr w:type="spellEnd"/>
      <w:r w:rsidRPr="000C7C76">
        <w:rPr>
          <w:rFonts w:ascii="Times New Roman" w:hAnsi="Times New Roman" w:cs="Times New Roman"/>
          <w:lang w:val="de-DE"/>
        </w:rPr>
        <w:t xml:space="preserve"> </w:t>
      </w:r>
      <w:proofErr w:type="spellStart"/>
      <w:r w:rsidRPr="000C7C76">
        <w:rPr>
          <w:rFonts w:ascii="Times New Roman" w:hAnsi="Times New Roman" w:cs="Times New Roman"/>
          <w:lang w:val="de-DE"/>
        </w:rPr>
        <w:t>izmantojamas</w:t>
      </w:r>
      <w:proofErr w:type="spellEnd"/>
      <w:r w:rsidRPr="000C7C76">
        <w:rPr>
          <w:rFonts w:ascii="Times New Roman" w:hAnsi="Times New Roman" w:cs="Times New Roman"/>
          <w:lang w:val="de-DE"/>
        </w:rPr>
        <w:t xml:space="preserve"> </w:t>
      </w:r>
      <w:proofErr w:type="spellStart"/>
      <w:r w:rsidRPr="000C7C76">
        <w:rPr>
          <w:rFonts w:ascii="Times New Roman" w:hAnsi="Times New Roman" w:cs="Times New Roman"/>
          <w:lang w:val="de-DE"/>
        </w:rPr>
        <w:t>kā</w:t>
      </w:r>
      <w:proofErr w:type="spellEnd"/>
      <w:r w:rsidRPr="000C7C76">
        <w:rPr>
          <w:rFonts w:ascii="Times New Roman" w:hAnsi="Times New Roman" w:cs="Times New Roman"/>
          <w:lang w:val="de-DE"/>
        </w:rPr>
        <w:t xml:space="preserve"> </w:t>
      </w:r>
      <w:proofErr w:type="spellStart"/>
      <w:r w:rsidRPr="000C7C76">
        <w:rPr>
          <w:rFonts w:ascii="Times New Roman" w:hAnsi="Times New Roman" w:cs="Times New Roman"/>
          <w:lang w:val="de-DE"/>
        </w:rPr>
        <w:t>tulkošanas</w:t>
      </w:r>
      <w:proofErr w:type="spellEnd"/>
      <w:r w:rsidRPr="000C7C76">
        <w:rPr>
          <w:rFonts w:ascii="Times New Roman" w:hAnsi="Times New Roman" w:cs="Times New Roman"/>
          <w:lang w:val="de-DE"/>
        </w:rPr>
        <w:t xml:space="preserve"> </w:t>
      </w:r>
      <w:proofErr w:type="spellStart"/>
      <w:r w:rsidRPr="000C7C76">
        <w:rPr>
          <w:rFonts w:ascii="Times New Roman" w:hAnsi="Times New Roman" w:cs="Times New Roman"/>
          <w:lang w:val="de-DE"/>
        </w:rPr>
        <w:t>palīglīdzeklis</w:t>
      </w:r>
      <w:proofErr w:type="spellEnd"/>
      <w:r w:rsidRPr="000C7C76">
        <w:rPr>
          <w:rFonts w:ascii="Times New Roman" w:hAnsi="Times New Roman" w:cs="Times New Roman"/>
          <w:lang w:val="de-DE"/>
        </w:rPr>
        <w:t xml:space="preserve">, </w:t>
      </w:r>
      <w:proofErr w:type="spellStart"/>
      <w:r w:rsidRPr="000C7C76">
        <w:rPr>
          <w:rFonts w:ascii="Times New Roman" w:hAnsi="Times New Roman" w:cs="Times New Roman"/>
          <w:lang w:val="de-DE"/>
        </w:rPr>
        <w:t>kuru</w:t>
      </w:r>
      <w:proofErr w:type="spellEnd"/>
      <w:r w:rsidRPr="000C7C76">
        <w:rPr>
          <w:rFonts w:ascii="Times New Roman" w:hAnsi="Times New Roman" w:cs="Times New Roman"/>
          <w:lang w:val="de-DE"/>
        </w:rPr>
        <w:t xml:space="preserve"> </w:t>
      </w:r>
      <w:proofErr w:type="spellStart"/>
      <w:r w:rsidRPr="000C7C76">
        <w:rPr>
          <w:rFonts w:ascii="Times New Roman" w:hAnsi="Times New Roman" w:cs="Times New Roman"/>
          <w:lang w:val="de-DE"/>
        </w:rPr>
        <w:t>pievieno</w:t>
      </w:r>
      <w:proofErr w:type="spellEnd"/>
      <w:r w:rsidRPr="000C7C76">
        <w:rPr>
          <w:rFonts w:ascii="Times New Roman" w:hAnsi="Times New Roman" w:cs="Times New Roman"/>
          <w:lang w:val="de-DE"/>
        </w:rPr>
        <w:t xml:space="preserve"> </w:t>
      </w:r>
      <w:proofErr w:type="spellStart"/>
      <w:r w:rsidRPr="000C7C76">
        <w:rPr>
          <w:rFonts w:ascii="Times New Roman" w:hAnsi="Times New Roman" w:cs="Times New Roman"/>
          <w:lang w:val="de-DE"/>
        </w:rPr>
        <w:t>publiskiem</w:t>
      </w:r>
      <w:proofErr w:type="spellEnd"/>
      <w:r w:rsidRPr="000C7C76">
        <w:rPr>
          <w:rFonts w:ascii="Times New Roman" w:hAnsi="Times New Roman" w:cs="Times New Roman"/>
          <w:lang w:val="de-DE"/>
        </w:rPr>
        <w:t xml:space="preserve"> </w:t>
      </w:r>
      <w:proofErr w:type="spellStart"/>
      <w:r w:rsidRPr="000C7C76">
        <w:rPr>
          <w:rFonts w:ascii="Times New Roman" w:hAnsi="Times New Roman" w:cs="Times New Roman"/>
          <w:lang w:val="de-DE"/>
        </w:rPr>
        <w:t>dokumentiem</w:t>
      </w:r>
      <w:proofErr w:type="spellEnd"/>
      <w:r w:rsidRPr="000C7C76">
        <w:rPr>
          <w:rFonts w:ascii="Times New Roman" w:hAnsi="Times New Roman" w:cs="Times New Roman"/>
          <w:lang w:val="de-DE"/>
        </w:rPr>
        <w:t xml:space="preserve"> (</w:t>
      </w:r>
      <w:proofErr w:type="spellStart"/>
      <w:r w:rsidRPr="000C7C76">
        <w:rPr>
          <w:rFonts w:ascii="Times New Roman" w:hAnsi="Times New Roman" w:cs="Times New Roman"/>
          <w:lang w:val="de-DE"/>
        </w:rPr>
        <w:t>skat</w:t>
      </w:r>
      <w:proofErr w:type="spellEnd"/>
      <w:r w:rsidRPr="000C7C76">
        <w:rPr>
          <w:rFonts w:ascii="Times New Roman" w:hAnsi="Times New Roman" w:cs="Times New Roman"/>
          <w:lang w:val="de-DE"/>
        </w:rPr>
        <w:t>. Regulas 1.p. 2.punktu) par:</w:t>
      </w:r>
    </w:p>
    <w:p w14:paraId="1F07506F" w14:textId="77777777" w:rsidR="00114953" w:rsidRPr="000C7C76" w:rsidRDefault="00114953" w:rsidP="00114953">
      <w:pPr>
        <w:tabs>
          <w:tab w:val="left" w:pos="-720"/>
        </w:tabs>
        <w:jc w:val="both"/>
        <w:rPr>
          <w:rFonts w:ascii="Times New Roman" w:hAnsi="Times New Roman" w:cs="Times New Roman"/>
          <w:lang w:val="de-DE"/>
        </w:rPr>
      </w:pPr>
      <w:r w:rsidRPr="000C7C76">
        <w:rPr>
          <w:rFonts w:ascii="Times New Roman" w:hAnsi="Times New Roman" w:cs="Times New Roman"/>
          <w:lang w:val="de-DE"/>
        </w:rPr>
        <w:t xml:space="preserve">- </w:t>
      </w:r>
      <w:proofErr w:type="spellStart"/>
      <w:r w:rsidRPr="000C7C76">
        <w:rPr>
          <w:rFonts w:ascii="Times New Roman" w:hAnsi="Times New Roman" w:cs="Times New Roman"/>
          <w:lang w:val="de-DE"/>
        </w:rPr>
        <w:t>dzimšanas</w:t>
      </w:r>
      <w:proofErr w:type="spellEnd"/>
      <w:r w:rsidRPr="000C7C76">
        <w:rPr>
          <w:rFonts w:ascii="Times New Roman" w:hAnsi="Times New Roman" w:cs="Times New Roman"/>
          <w:lang w:val="de-DE"/>
        </w:rPr>
        <w:t xml:space="preserve"> </w:t>
      </w:r>
      <w:proofErr w:type="spellStart"/>
      <w:r w:rsidRPr="000C7C76">
        <w:rPr>
          <w:rFonts w:ascii="Times New Roman" w:hAnsi="Times New Roman" w:cs="Times New Roman"/>
          <w:lang w:val="de-DE"/>
        </w:rPr>
        <w:t>faktu</w:t>
      </w:r>
      <w:proofErr w:type="spellEnd"/>
      <w:r w:rsidRPr="000C7C76">
        <w:rPr>
          <w:rFonts w:ascii="Times New Roman" w:hAnsi="Times New Roman" w:cs="Times New Roman"/>
          <w:lang w:val="de-DE"/>
        </w:rPr>
        <w:t xml:space="preserve">, </w:t>
      </w:r>
    </w:p>
    <w:p w14:paraId="76A57A2D" w14:textId="77777777" w:rsidR="00114953" w:rsidRPr="000C7C76" w:rsidRDefault="00114953" w:rsidP="00114953">
      <w:pPr>
        <w:tabs>
          <w:tab w:val="left" w:pos="-720"/>
        </w:tabs>
        <w:jc w:val="both"/>
        <w:rPr>
          <w:rFonts w:ascii="Times New Roman" w:hAnsi="Times New Roman" w:cs="Times New Roman"/>
          <w:lang w:val="de-DE"/>
        </w:rPr>
      </w:pPr>
      <w:r w:rsidRPr="000C7C76">
        <w:rPr>
          <w:rFonts w:ascii="Times New Roman" w:hAnsi="Times New Roman" w:cs="Times New Roman"/>
          <w:lang w:val="de-DE"/>
        </w:rPr>
        <w:t xml:space="preserve">- </w:t>
      </w:r>
      <w:proofErr w:type="spellStart"/>
      <w:r w:rsidRPr="000C7C76">
        <w:rPr>
          <w:rFonts w:ascii="Times New Roman" w:hAnsi="Times New Roman" w:cs="Times New Roman"/>
          <w:lang w:val="de-DE"/>
        </w:rPr>
        <w:t>to</w:t>
      </w:r>
      <w:proofErr w:type="spellEnd"/>
      <w:r w:rsidRPr="000C7C76">
        <w:rPr>
          <w:rFonts w:ascii="Times New Roman" w:hAnsi="Times New Roman" w:cs="Times New Roman"/>
          <w:lang w:val="de-DE"/>
        </w:rPr>
        <w:t xml:space="preserve">, </w:t>
      </w:r>
      <w:proofErr w:type="spellStart"/>
      <w:r w:rsidRPr="000C7C76">
        <w:rPr>
          <w:rFonts w:ascii="Times New Roman" w:hAnsi="Times New Roman" w:cs="Times New Roman"/>
          <w:lang w:val="de-DE"/>
        </w:rPr>
        <w:t>ka</w:t>
      </w:r>
      <w:proofErr w:type="spellEnd"/>
      <w:r w:rsidRPr="000C7C76">
        <w:rPr>
          <w:rFonts w:ascii="Times New Roman" w:hAnsi="Times New Roman" w:cs="Times New Roman"/>
          <w:lang w:val="de-DE"/>
        </w:rPr>
        <w:t xml:space="preserve"> </w:t>
      </w:r>
      <w:proofErr w:type="spellStart"/>
      <w:r w:rsidRPr="000C7C76">
        <w:rPr>
          <w:rFonts w:ascii="Times New Roman" w:hAnsi="Times New Roman" w:cs="Times New Roman"/>
          <w:lang w:val="de-DE"/>
        </w:rPr>
        <w:t>persona</w:t>
      </w:r>
      <w:proofErr w:type="spellEnd"/>
      <w:r w:rsidRPr="000C7C76">
        <w:rPr>
          <w:rFonts w:ascii="Times New Roman" w:hAnsi="Times New Roman" w:cs="Times New Roman"/>
          <w:lang w:val="de-DE"/>
        </w:rPr>
        <w:t xml:space="preserve"> </w:t>
      </w:r>
      <w:proofErr w:type="spellStart"/>
      <w:r w:rsidRPr="000C7C76">
        <w:rPr>
          <w:rFonts w:ascii="Times New Roman" w:hAnsi="Times New Roman" w:cs="Times New Roman"/>
          <w:lang w:val="de-DE"/>
        </w:rPr>
        <w:t>ir</w:t>
      </w:r>
      <w:proofErr w:type="spellEnd"/>
      <w:r w:rsidRPr="000C7C76">
        <w:rPr>
          <w:rFonts w:ascii="Times New Roman" w:hAnsi="Times New Roman" w:cs="Times New Roman"/>
          <w:lang w:val="de-DE"/>
        </w:rPr>
        <w:t xml:space="preserve"> </w:t>
      </w:r>
      <w:proofErr w:type="spellStart"/>
      <w:r w:rsidRPr="000C7C76">
        <w:rPr>
          <w:rFonts w:ascii="Times New Roman" w:hAnsi="Times New Roman" w:cs="Times New Roman"/>
          <w:lang w:val="de-DE"/>
        </w:rPr>
        <w:t>dzīva</w:t>
      </w:r>
      <w:proofErr w:type="spellEnd"/>
      <w:r w:rsidRPr="000C7C76">
        <w:rPr>
          <w:rFonts w:ascii="Times New Roman" w:hAnsi="Times New Roman" w:cs="Times New Roman"/>
          <w:lang w:val="de-DE"/>
        </w:rPr>
        <w:t xml:space="preserve">, </w:t>
      </w:r>
    </w:p>
    <w:p w14:paraId="454D17F8" w14:textId="77777777" w:rsidR="00114953" w:rsidRPr="000C7C76" w:rsidRDefault="00114953" w:rsidP="00114953">
      <w:pPr>
        <w:tabs>
          <w:tab w:val="left" w:pos="-720"/>
        </w:tabs>
        <w:jc w:val="both"/>
        <w:rPr>
          <w:rFonts w:ascii="Times New Roman" w:hAnsi="Times New Roman" w:cs="Times New Roman"/>
          <w:lang w:val="de-DE"/>
        </w:rPr>
      </w:pPr>
      <w:r w:rsidRPr="000C7C76">
        <w:rPr>
          <w:rFonts w:ascii="Times New Roman" w:hAnsi="Times New Roman" w:cs="Times New Roman"/>
          <w:lang w:val="de-DE"/>
        </w:rPr>
        <w:t xml:space="preserve">- </w:t>
      </w:r>
      <w:proofErr w:type="spellStart"/>
      <w:r w:rsidRPr="000C7C76">
        <w:rPr>
          <w:rFonts w:ascii="Times New Roman" w:hAnsi="Times New Roman" w:cs="Times New Roman"/>
          <w:lang w:val="de-DE"/>
        </w:rPr>
        <w:t>miršanas</w:t>
      </w:r>
      <w:proofErr w:type="spellEnd"/>
      <w:r w:rsidRPr="000C7C76">
        <w:rPr>
          <w:rFonts w:ascii="Times New Roman" w:hAnsi="Times New Roman" w:cs="Times New Roman"/>
          <w:lang w:val="de-DE"/>
        </w:rPr>
        <w:t xml:space="preserve"> </w:t>
      </w:r>
      <w:proofErr w:type="spellStart"/>
      <w:r w:rsidRPr="000C7C76">
        <w:rPr>
          <w:rFonts w:ascii="Times New Roman" w:hAnsi="Times New Roman" w:cs="Times New Roman"/>
          <w:lang w:val="de-DE"/>
        </w:rPr>
        <w:t>faktu</w:t>
      </w:r>
      <w:proofErr w:type="spellEnd"/>
      <w:r w:rsidRPr="000C7C76">
        <w:rPr>
          <w:rFonts w:ascii="Times New Roman" w:hAnsi="Times New Roman" w:cs="Times New Roman"/>
          <w:lang w:val="de-DE"/>
        </w:rPr>
        <w:t xml:space="preserve">, </w:t>
      </w:r>
    </w:p>
    <w:p w14:paraId="399D563E" w14:textId="77777777" w:rsidR="00114953" w:rsidRPr="000C7C76" w:rsidRDefault="00114953" w:rsidP="00114953">
      <w:pPr>
        <w:tabs>
          <w:tab w:val="left" w:pos="-720"/>
        </w:tabs>
        <w:jc w:val="both"/>
        <w:rPr>
          <w:rFonts w:ascii="Times New Roman" w:hAnsi="Times New Roman" w:cs="Times New Roman"/>
          <w:lang w:val="de-DE"/>
        </w:rPr>
      </w:pPr>
      <w:r w:rsidRPr="000C7C76">
        <w:rPr>
          <w:rFonts w:ascii="Times New Roman" w:hAnsi="Times New Roman" w:cs="Times New Roman"/>
          <w:lang w:val="de-DE"/>
        </w:rPr>
        <w:t xml:space="preserve">- </w:t>
      </w:r>
      <w:proofErr w:type="spellStart"/>
      <w:r w:rsidRPr="000C7C76">
        <w:rPr>
          <w:rFonts w:ascii="Times New Roman" w:hAnsi="Times New Roman" w:cs="Times New Roman"/>
          <w:lang w:val="de-DE"/>
        </w:rPr>
        <w:t>laulību</w:t>
      </w:r>
      <w:proofErr w:type="spellEnd"/>
      <w:r w:rsidRPr="000C7C76">
        <w:rPr>
          <w:rFonts w:ascii="Times New Roman" w:hAnsi="Times New Roman" w:cs="Times New Roman"/>
          <w:lang w:val="de-DE"/>
        </w:rPr>
        <w:t xml:space="preserve"> (</w:t>
      </w:r>
      <w:proofErr w:type="spellStart"/>
      <w:r w:rsidRPr="000C7C76">
        <w:rPr>
          <w:rFonts w:ascii="Times New Roman" w:hAnsi="Times New Roman" w:cs="Times New Roman"/>
          <w:lang w:val="de-DE"/>
        </w:rPr>
        <w:t>tostarp</w:t>
      </w:r>
      <w:proofErr w:type="spellEnd"/>
      <w:r w:rsidRPr="000C7C76">
        <w:rPr>
          <w:rFonts w:ascii="Times New Roman" w:hAnsi="Times New Roman" w:cs="Times New Roman"/>
          <w:lang w:val="de-DE"/>
        </w:rPr>
        <w:t xml:space="preserve"> </w:t>
      </w:r>
      <w:proofErr w:type="spellStart"/>
      <w:r w:rsidRPr="000C7C76">
        <w:rPr>
          <w:rFonts w:ascii="Times New Roman" w:hAnsi="Times New Roman" w:cs="Times New Roman"/>
          <w:lang w:val="de-DE"/>
        </w:rPr>
        <w:t>spēju</w:t>
      </w:r>
      <w:proofErr w:type="spellEnd"/>
      <w:r w:rsidRPr="000C7C76">
        <w:rPr>
          <w:rFonts w:ascii="Times New Roman" w:hAnsi="Times New Roman" w:cs="Times New Roman"/>
          <w:lang w:val="de-DE"/>
        </w:rPr>
        <w:t xml:space="preserve"> </w:t>
      </w:r>
      <w:proofErr w:type="spellStart"/>
      <w:r w:rsidRPr="000C7C76">
        <w:rPr>
          <w:rFonts w:ascii="Times New Roman" w:hAnsi="Times New Roman" w:cs="Times New Roman"/>
          <w:lang w:val="de-DE"/>
        </w:rPr>
        <w:t>doties</w:t>
      </w:r>
      <w:proofErr w:type="spellEnd"/>
      <w:r w:rsidRPr="000C7C76">
        <w:rPr>
          <w:rFonts w:ascii="Times New Roman" w:hAnsi="Times New Roman" w:cs="Times New Roman"/>
          <w:lang w:val="de-DE"/>
        </w:rPr>
        <w:t xml:space="preserve"> </w:t>
      </w:r>
      <w:proofErr w:type="spellStart"/>
      <w:r w:rsidRPr="000C7C76">
        <w:rPr>
          <w:rFonts w:ascii="Times New Roman" w:hAnsi="Times New Roman" w:cs="Times New Roman"/>
          <w:lang w:val="de-DE"/>
        </w:rPr>
        <w:t>laulībā</w:t>
      </w:r>
      <w:proofErr w:type="spellEnd"/>
      <w:r w:rsidRPr="000C7C76">
        <w:rPr>
          <w:rFonts w:ascii="Times New Roman" w:hAnsi="Times New Roman" w:cs="Times New Roman"/>
          <w:lang w:val="de-DE"/>
        </w:rPr>
        <w:t xml:space="preserve"> </w:t>
      </w:r>
      <w:proofErr w:type="spellStart"/>
      <w:r w:rsidRPr="000C7C76">
        <w:rPr>
          <w:rFonts w:ascii="Times New Roman" w:hAnsi="Times New Roman" w:cs="Times New Roman"/>
          <w:lang w:val="de-DE"/>
        </w:rPr>
        <w:t>un</w:t>
      </w:r>
      <w:proofErr w:type="spellEnd"/>
      <w:r w:rsidRPr="000C7C76">
        <w:rPr>
          <w:rFonts w:ascii="Times New Roman" w:hAnsi="Times New Roman" w:cs="Times New Roman"/>
          <w:lang w:val="de-DE"/>
        </w:rPr>
        <w:t xml:space="preserve"> </w:t>
      </w:r>
      <w:proofErr w:type="spellStart"/>
      <w:r w:rsidRPr="000C7C76">
        <w:rPr>
          <w:rFonts w:ascii="Times New Roman" w:hAnsi="Times New Roman" w:cs="Times New Roman"/>
          <w:lang w:val="de-DE"/>
        </w:rPr>
        <w:t>ģimenes</w:t>
      </w:r>
      <w:proofErr w:type="spellEnd"/>
      <w:r w:rsidRPr="000C7C76">
        <w:rPr>
          <w:rFonts w:ascii="Times New Roman" w:hAnsi="Times New Roman" w:cs="Times New Roman"/>
          <w:lang w:val="de-DE"/>
        </w:rPr>
        <w:t xml:space="preserve"> </w:t>
      </w:r>
      <w:proofErr w:type="spellStart"/>
      <w:r w:rsidRPr="000C7C76">
        <w:rPr>
          <w:rFonts w:ascii="Times New Roman" w:hAnsi="Times New Roman" w:cs="Times New Roman"/>
          <w:lang w:val="de-DE"/>
        </w:rPr>
        <w:t>stāvokli</w:t>
      </w:r>
      <w:proofErr w:type="spellEnd"/>
      <w:r w:rsidRPr="000C7C76">
        <w:rPr>
          <w:rFonts w:ascii="Times New Roman" w:hAnsi="Times New Roman" w:cs="Times New Roman"/>
          <w:lang w:val="de-DE"/>
        </w:rPr>
        <w:t xml:space="preserve">), </w:t>
      </w:r>
    </w:p>
    <w:p w14:paraId="6402577F" w14:textId="77777777" w:rsidR="00114953" w:rsidRPr="000C7C76" w:rsidRDefault="00114953" w:rsidP="00114953">
      <w:pPr>
        <w:tabs>
          <w:tab w:val="left" w:pos="-720"/>
        </w:tabs>
        <w:jc w:val="both"/>
        <w:rPr>
          <w:rFonts w:ascii="Times New Roman" w:hAnsi="Times New Roman" w:cs="Times New Roman"/>
          <w:lang w:val="de-DE"/>
        </w:rPr>
      </w:pPr>
      <w:r w:rsidRPr="000C7C76">
        <w:rPr>
          <w:rFonts w:ascii="Times New Roman" w:hAnsi="Times New Roman" w:cs="Times New Roman"/>
          <w:lang w:val="de-DE"/>
        </w:rPr>
        <w:t xml:space="preserve">- </w:t>
      </w:r>
      <w:proofErr w:type="spellStart"/>
      <w:r w:rsidRPr="000C7C76">
        <w:rPr>
          <w:rFonts w:ascii="Times New Roman" w:hAnsi="Times New Roman" w:cs="Times New Roman"/>
          <w:lang w:val="de-DE"/>
        </w:rPr>
        <w:t>reģistrētām</w:t>
      </w:r>
      <w:proofErr w:type="spellEnd"/>
      <w:r w:rsidRPr="000C7C76">
        <w:rPr>
          <w:rFonts w:ascii="Times New Roman" w:hAnsi="Times New Roman" w:cs="Times New Roman"/>
          <w:lang w:val="de-DE"/>
        </w:rPr>
        <w:t xml:space="preserve"> </w:t>
      </w:r>
      <w:proofErr w:type="spellStart"/>
      <w:r w:rsidRPr="000C7C76">
        <w:rPr>
          <w:rFonts w:ascii="Times New Roman" w:hAnsi="Times New Roman" w:cs="Times New Roman"/>
          <w:lang w:val="de-DE"/>
        </w:rPr>
        <w:t>partnerattiecībām</w:t>
      </w:r>
      <w:proofErr w:type="spellEnd"/>
      <w:r w:rsidRPr="000C7C76">
        <w:rPr>
          <w:rFonts w:ascii="Times New Roman" w:hAnsi="Times New Roman" w:cs="Times New Roman"/>
          <w:lang w:val="de-DE"/>
        </w:rPr>
        <w:t xml:space="preserve"> (</w:t>
      </w:r>
      <w:proofErr w:type="spellStart"/>
      <w:r w:rsidRPr="000C7C76">
        <w:rPr>
          <w:rFonts w:ascii="Times New Roman" w:hAnsi="Times New Roman" w:cs="Times New Roman"/>
          <w:lang w:val="de-DE"/>
        </w:rPr>
        <w:t>tostarp</w:t>
      </w:r>
      <w:proofErr w:type="spellEnd"/>
      <w:r w:rsidRPr="000C7C76">
        <w:rPr>
          <w:rFonts w:ascii="Times New Roman" w:hAnsi="Times New Roman" w:cs="Times New Roman"/>
          <w:lang w:val="de-DE"/>
        </w:rPr>
        <w:t xml:space="preserve"> </w:t>
      </w:r>
      <w:proofErr w:type="spellStart"/>
      <w:r w:rsidRPr="000C7C76">
        <w:rPr>
          <w:rFonts w:ascii="Times New Roman" w:hAnsi="Times New Roman" w:cs="Times New Roman"/>
          <w:lang w:val="de-DE"/>
        </w:rPr>
        <w:t>spēju</w:t>
      </w:r>
      <w:proofErr w:type="spellEnd"/>
      <w:r w:rsidRPr="000C7C76">
        <w:rPr>
          <w:rFonts w:ascii="Times New Roman" w:hAnsi="Times New Roman" w:cs="Times New Roman"/>
          <w:lang w:val="de-DE"/>
        </w:rPr>
        <w:t xml:space="preserve"> </w:t>
      </w:r>
      <w:proofErr w:type="spellStart"/>
      <w:r w:rsidRPr="000C7C76">
        <w:rPr>
          <w:rFonts w:ascii="Times New Roman" w:hAnsi="Times New Roman" w:cs="Times New Roman"/>
          <w:lang w:val="de-DE"/>
        </w:rPr>
        <w:t>stāties</w:t>
      </w:r>
      <w:proofErr w:type="spellEnd"/>
      <w:r w:rsidRPr="000C7C76">
        <w:rPr>
          <w:rFonts w:ascii="Times New Roman" w:hAnsi="Times New Roman" w:cs="Times New Roman"/>
          <w:lang w:val="de-DE"/>
        </w:rPr>
        <w:t xml:space="preserve"> </w:t>
      </w:r>
      <w:proofErr w:type="spellStart"/>
      <w:r w:rsidRPr="000C7C76">
        <w:rPr>
          <w:rFonts w:ascii="Times New Roman" w:hAnsi="Times New Roman" w:cs="Times New Roman"/>
          <w:lang w:val="de-DE"/>
        </w:rPr>
        <w:t>reģistrētās</w:t>
      </w:r>
      <w:proofErr w:type="spellEnd"/>
      <w:r w:rsidRPr="000C7C76">
        <w:rPr>
          <w:rFonts w:ascii="Times New Roman" w:hAnsi="Times New Roman" w:cs="Times New Roman"/>
          <w:lang w:val="de-DE"/>
        </w:rPr>
        <w:t xml:space="preserve"> </w:t>
      </w:r>
      <w:proofErr w:type="spellStart"/>
      <w:r w:rsidRPr="000C7C76">
        <w:rPr>
          <w:rFonts w:ascii="Times New Roman" w:hAnsi="Times New Roman" w:cs="Times New Roman"/>
          <w:lang w:val="de-DE"/>
        </w:rPr>
        <w:t>partnerattiecībās</w:t>
      </w:r>
      <w:proofErr w:type="spellEnd"/>
      <w:r w:rsidRPr="000C7C76">
        <w:rPr>
          <w:rFonts w:ascii="Times New Roman" w:hAnsi="Times New Roman" w:cs="Times New Roman"/>
          <w:lang w:val="de-DE"/>
        </w:rPr>
        <w:t xml:space="preserve"> </w:t>
      </w:r>
      <w:proofErr w:type="spellStart"/>
      <w:r w:rsidRPr="000C7C76">
        <w:rPr>
          <w:rFonts w:ascii="Times New Roman" w:hAnsi="Times New Roman" w:cs="Times New Roman"/>
          <w:lang w:val="de-DE"/>
        </w:rPr>
        <w:t>un</w:t>
      </w:r>
      <w:proofErr w:type="spellEnd"/>
      <w:r w:rsidRPr="000C7C76">
        <w:rPr>
          <w:rFonts w:ascii="Times New Roman" w:hAnsi="Times New Roman" w:cs="Times New Roman"/>
          <w:lang w:val="de-DE"/>
        </w:rPr>
        <w:t xml:space="preserve"> </w:t>
      </w:r>
      <w:proofErr w:type="spellStart"/>
      <w:r w:rsidRPr="000C7C76">
        <w:rPr>
          <w:rFonts w:ascii="Times New Roman" w:hAnsi="Times New Roman" w:cs="Times New Roman"/>
          <w:lang w:val="de-DE"/>
        </w:rPr>
        <w:t>reģistrētu</w:t>
      </w:r>
      <w:proofErr w:type="spellEnd"/>
      <w:r w:rsidRPr="000C7C76">
        <w:rPr>
          <w:rFonts w:ascii="Times New Roman" w:hAnsi="Times New Roman" w:cs="Times New Roman"/>
          <w:lang w:val="de-DE"/>
        </w:rPr>
        <w:t xml:space="preserve"> </w:t>
      </w:r>
      <w:proofErr w:type="spellStart"/>
      <w:r w:rsidRPr="000C7C76">
        <w:rPr>
          <w:rFonts w:ascii="Times New Roman" w:hAnsi="Times New Roman" w:cs="Times New Roman"/>
          <w:lang w:val="de-DE"/>
        </w:rPr>
        <w:t>partnerattiecību</w:t>
      </w:r>
      <w:proofErr w:type="spellEnd"/>
      <w:r w:rsidRPr="000C7C76">
        <w:rPr>
          <w:rFonts w:ascii="Times New Roman" w:hAnsi="Times New Roman" w:cs="Times New Roman"/>
          <w:lang w:val="de-DE"/>
        </w:rPr>
        <w:t xml:space="preserve"> </w:t>
      </w:r>
      <w:proofErr w:type="spellStart"/>
      <w:r w:rsidRPr="000C7C76">
        <w:rPr>
          <w:rFonts w:ascii="Times New Roman" w:hAnsi="Times New Roman" w:cs="Times New Roman"/>
          <w:lang w:val="de-DE"/>
        </w:rPr>
        <w:t>statusu</w:t>
      </w:r>
      <w:proofErr w:type="spellEnd"/>
      <w:r w:rsidRPr="000C7C76">
        <w:rPr>
          <w:rFonts w:ascii="Times New Roman" w:hAnsi="Times New Roman" w:cs="Times New Roman"/>
          <w:lang w:val="de-DE"/>
        </w:rPr>
        <w:t xml:space="preserve">), </w:t>
      </w:r>
    </w:p>
    <w:p w14:paraId="48E38E36" w14:textId="77777777" w:rsidR="00114953" w:rsidRPr="00CD4311" w:rsidRDefault="00114953" w:rsidP="00114953">
      <w:pPr>
        <w:tabs>
          <w:tab w:val="left" w:pos="-720"/>
        </w:tabs>
        <w:jc w:val="both"/>
        <w:rPr>
          <w:rFonts w:ascii="Times New Roman" w:hAnsi="Times New Roman" w:cs="Times New Roman"/>
        </w:rPr>
      </w:pPr>
      <w:r w:rsidRPr="00CD4311">
        <w:rPr>
          <w:rFonts w:ascii="Times New Roman" w:hAnsi="Times New Roman" w:cs="Times New Roman"/>
        </w:rPr>
        <w:t xml:space="preserve">- </w:t>
      </w:r>
      <w:proofErr w:type="spellStart"/>
      <w:r w:rsidRPr="00CD4311">
        <w:rPr>
          <w:rFonts w:ascii="Times New Roman" w:hAnsi="Times New Roman" w:cs="Times New Roman"/>
        </w:rPr>
        <w:t>domicilu</w:t>
      </w:r>
      <w:proofErr w:type="spellEnd"/>
      <w:r w:rsidRPr="00CD4311">
        <w:rPr>
          <w:rFonts w:ascii="Times New Roman" w:hAnsi="Times New Roman" w:cs="Times New Roman"/>
        </w:rPr>
        <w:t xml:space="preserve"> un/</w:t>
      </w:r>
      <w:proofErr w:type="spellStart"/>
      <w:r w:rsidRPr="00CD4311">
        <w:rPr>
          <w:rFonts w:ascii="Times New Roman" w:hAnsi="Times New Roman" w:cs="Times New Roman"/>
        </w:rPr>
        <w:t>vai</w:t>
      </w:r>
      <w:proofErr w:type="spellEnd"/>
      <w:r w:rsidRPr="00CD4311">
        <w:rPr>
          <w:rFonts w:ascii="Times New Roman" w:hAnsi="Times New Roman" w:cs="Times New Roman"/>
        </w:rPr>
        <w:t xml:space="preserve"> </w:t>
      </w:r>
      <w:proofErr w:type="spellStart"/>
      <w:r w:rsidRPr="00CD4311">
        <w:rPr>
          <w:rFonts w:ascii="Times New Roman" w:hAnsi="Times New Roman" w:cs="Times New Roman"/>
        </w:rPr>
        <w:t>uzturēšanās</w:t>
      </w:r>
      <w:proofErr w:type="spellEnd"/>
      <w:r w:rsidRPr="00CD4311">
        <w:rPr>
          <w:rFonts w:ascii="Times New Roman" w:hAnsi="Times New Roman" w:cs="Times New Roman"/>
        </w:rPr>
        <w:t xml:space="preserve"> </w:t>
      </w:r>
      <w:proofErr w:type="spellStart"/>
      <w:r w:rsidRPr="00CD4311">
        <w:rPr>
          <w:rFonts w:ascii="Times New Roman" w:hAnsi="Times New Roman" w:cs="Times New Roman"/>
        </w:rPr>
        <w:t>vietu</w:t>
      </w:r>
      <w:proofErr w:type="spellEnd"/>
      <w:r w:rsidRPr="00CD4311">
        <w:rPr>
          <w:rFonts w:ascii="Times New Roman" w:hAnsi="Times New Roman" w:cs="Times New Roman"/>
        </w:rPr>
        <w:t xml:space="preserve">, un </w:t>
      </w:r>
    </w:p>
    <w:p w14:paraId="5CD376BF" w14:textId="77777777" w:rsidR="00114953" w:rsidRPr="00CD4311" w:rsidRDefault="00114953" w:rsidP="00114953">
      <w:pPr>
        <w:tabs>
          <w:tab w:val="left" w:pos="-720"/>
        </w:tabs>
        <w:jc w:val="both"/>
        <w:rPr>
          <w:rFonts w:ascii="Times New Roman" w:hAnsi="Times New Roman" w:cs="Times New Roman"/>
        </w:rPr>
      </w:pPr>
      <w:r w:rsidRPr="00CD4311">
        <w:rPr>
          <w:rFonts w:ascii="Times New Roman" w:hAnsi="Times New Roman" w:cs="Times New Roman"/>
        </w:rPr>
        <w:t xml:space="preserve">- </w:t>
      </w:r>
      <w:proofErr w:type="spellStart"/>
      <w:r w:rsidRPr="00CD4311">
        <w:rPr>
          <w:rFonts w:ascii="Times New Roman" w:hAnsi="Times New Roman" w:cs="Times New Roman"/>
        </w:rPr>
        <w:t>sodāmības</w:t>
      </w:r>
      <w:proofErr w:type="spellEnd"/>
      <w:r w:rsidRPr="00CD4311">
        <w:rPr>
          <w:rFonts w:ascii="Times New Roman" w:hAnsi="Times New Roman" w:cs="Times New Roman"/>
        </w:rPr>
        <w:t xml:space="preserve"> </w:t>
      </w:r>
      <w:proofErr w:type="spellStart"/>
      <w:r w:rsidRPr="00CD4311">
        <w:rPr>
          <w:rFonts w:ascii="Times New Roman" w:hAnsi="Times New Roman" w:cs="Times New Roman"/>
        </w:rPr>
        <w:t>neesamību</w:t>
      </w:r>
      <w:proofErr w:type="spellEnd"/>
      <w:r w:rsidRPr="00CD4311">
        <w:rPr>
          <w:rFonts w:ascii="Times New Roman" w:hAnsi="Times New Roman" w:cs="Times New Roman"/>
        </w:rPr>
        <w:t>.</w:t>
      </w:r>
    </w:p>
    <w:p w14:paraId="377F6204" w14:textId="77777777" w:rsidR="00114953" w:rsidRPr="00CD4311" w:rsidRDefault="00114953" w:rsidP="00114953">
      <w:pPr>
        <w:tabs>
          <w:tab w:val="left" w:pos="-720"/>
        </w:tabs>
        <w:jc w:val="both"/>
        <w:rPr>
          <w:rFonts w:ascii="Times New Roman" w:hAnsi="Times New Roman" w:cs="Times New Roman"/>
        </w:rPr>
      </w:pPr>
    </w:p>
    <w:p w14:paraId="2CE00B1F" w14:textId="77777777" w:rsidR="00114953" w:rsidRPr="00CD4311" w:rsidRDefault="00114953" w:rsidP="00114953">
      <w:pPr>
        <w:ind w:firstLine="708"/>
        <w:jc w:val="both"/>
        <w:rPr>
          <w:rFonts w:ascii="Times New Roman" w:hAnsi="Times New Roman" w:cs="Times New Roman"/>
        </w:rPr>
      </w:pPr>
    </w:p>
    <w:p w14:paraId="2A176BAC" w14:textId="77777777" w:rsidR="00114953" w:rsidRPr="005C1673" w:rsidRDefault="00114953" w:rsidP="00114953">
      <w:pPr>
        <w:pStyle w:val="CoverNormal"/>
        <w:ind w:left="0" w:firstLine="708"/>
        <w:jc w:val="both"/>
      </w:pPr>
      <w:r w:rsidRPr="005C1673">
        <w:rPr>
          <w:rStyle w:val="HideTWBExt"/>
        </w:rPr>
        <w:t>&lt;/Titre&gt;</w:t>
      </w:r>
    </w:p>
    <w:p w14:paraId="5F8A5CEE" w14:textId="77777777" w:rsidR="00114953" w:rsidRDefault="00114953" w:rsidP="00114953">
      <w:pPr>
        <w:jc w:val="both"/>
        <w:rPr>
          <w:rFonts w:ascii="Times New Roman" w:hAnsi="Times New Roman" w:cs="Times New Roman"/>
        </w:rPr>
      </w:pPr>
    </w:p>
    <w:tbl>
      <w:tblPr>
        <w:tblStyle w:val="TableGrid"/>
        <w:tblW w:w="0" w:type="auto"/>
        <w:tblLook w:val="04A0" w:firstRow="1" w:lastRow="0" w:firstColumn="1" w:lastColumn="0" w:noHBand="0" w:noVBand="1"/>
      </w:tblPr>
      <w:tblGrid>
        <w:gridCol w:w="9206"/>
      </w:tblGrid>
      <w:tr w:rsidR="00114953" w14:paraId="52EFC327" w14:textId="77777777" w:rsidTr="00BF3A72">
        <w:tc>
          <w:tcPr>
            <w:tcW w:w="9206" w:type="dxa"/>
            <w:shd w:val="clear" w:color="auto" w:fill="D9D9D9" w:themeFill="background1" w:themeFillShade="D9"/>
          </w:tcPr>
          <w:p w14:paraId="5A1C002F" w14:textId="77777777" w:rsidR="00114953" w:rsidRPr="006C311A" w:rsidRDefault="00114953" w:rsidP="00BF3A72">
            <w:pPr>
              <w:jc w:val="both"/>
              <w:rPr>
                <w:b/>
              </w:rPr>
            </w:pPr>
            <w:r w:rsidRPr="006C311A">
              <w:rPr>
                <w:b/>
              </w:rPr>
              <w:t xml:space="preserve">7. </w:t>
            </w:r>
            <w:proofErr w:type="spellStart"/>
            <w:r w:rsidRPr="006C311A">
              <w:rPr>
                <w:b/>
              </w:rPr>
              <w:t>Kādām</w:t>
            </w:r>
            <w:proofErr w:type="spellEnd"/>
            <w:r w:rsidRPr="006C311A">
              <w:rPr>
                <w:b/>
              </w:rPr>
              <w:t xml:space="preserve"> </w:t>
            </w:r>
            <w:proofErr w:type="spellStart"/>
            <w:r w:rsidRPr="006C311A">
              <w:rPr>
                <w:b/>
              </w:rPr>
              <w:t>prasībām</w:t>
            </w:r>
            <w:proofErr w:type="spellEnd"/>
            <w:r w:rsidRPr="006C311A">
              <w:rPr>
                <w:b/>
              </w:rPr>
              <w:t xml:space="preserve"> </w:t>
            </w:r>
            <w:proofErr w:type="spellStart"/>
            <w:r w:rsidRPr="006C311A">
              <w:rPr>
                <w:b/>
              </w:rPr>
              <w:t>Latvijā</w:t>
            </w:r>
            <w:proofErr w:type="spellEnd"/>
            <w:r w:rsidRPr="006C311A">
              <w:rPr>
                <w:b/>
              </w:rPr>
              <w:t xml:space="preserve"> </w:t>
            </w:r>
            <w:proofErr w:type="spellStart"/>
            <w:r w:rsidRPr="006C311A">
              <w:rPr>
                <w:b/>
              </w:rPr>
              <w:t>izmantojamajam</w:t>
            </w:r>
            <w:proofErr w:type="spellEnd"/>
            <w:r w:rsidRPr="006C311A">
              <w:rPr>
                <w:b/>
              </w:rPr>
              <w:t xml:space="preserve"> </w:t>
            </w:r>
            <w:proofErr w:type="spellStart"/>
            <w:r w:rsidRPr="006C311A">
              <w:rPr>
                <w:b/>
              </w:rPr>
              <w:t>ārvalsts</w:t>
            </w:r>
            <w:proofErr w:type="spellEnd"/>
            <w:r w:rsidRPr="006C311A">
              <w:rPr>
                <w:b/>
              </w:rPr>
              <w:t xml:space="preserve"> </w:t>
            </w:r>
            <w:proofErr w:type="spellStart"/>
            <w:r w:rsidRPr="006C311A">
              <w:rPr>
                <w:b/>
              </w:rPr>
              <w:t>dokumentam</w:t>
            </w:r>
            <w:proofErr w:type="spellEnd"/>
            <w:r w:rsidRPr="006C311A">
              <w:rPr>
                <w:b/>
              </w:rPr>
              <w:t xml:space="preserve"> </w:t>
            </w:r>
            <w:proofErr w:type="spellStart"/>
            <w:r w:rsidRPr="006C311A">
              <w:rPr>
                <w:b/>
              </w:rPr>
              <w:t>ir</w:t>
            </w:r>
            <w:proofErr w:type="spellEnd"/>
            <w:r w:rsidRPr="006C311A">
              <w:rPr>
                <w:b/>
              </w:rPr>
              <w:t xml:space="preserve"> </w:t>
            </w:r>
            <w:proofErr w:type="spellStart"/>
            <w:r w:rsidRPr="006C311A">
              <w:rPr>
                <w:b/>
              </w:rPr>
              <w:t>jāatbilst</w:t>
            </w:r>
            <w:proofErr w:type="spellEnd"/>
            <w:r w:rsidRPr="006C311A">
              <w:rPr>
                <w:b/>
              </w:rPr>
              <w:t xml:space="preserve">, </w:t>
            </w:r>
            <w:proofErr w:type="spellStart"/>
            <w:r w:rsidRPr="006C311A">
              <w:rPr>
                <w:b/>
              </w:rPr>
              <w:t>lai</w:t>
            </w:r>
            <w:proofErr w:type="spellEnd"/>
            <w:r w:rsidRPr="006C311A">
              <w:rPr>
                <w:b/>
              </w:rPr>
              <w:t xml:space="preserve"> </w:t>
            </w:r>
            <w:proofErr w:type="spellStart"/>
            <w:r w:rsidRPr="006C311A">
              <w:rPr>
                <w:b/>
              </w:rPr>
              <w:t>to</w:t>
            </w:r>
            <w:proofErr w:type="spellEnd"/>
            <w:r w:rsidRPr="006C311A">
              <w:rPr>
                <w:b/>
              </w:rPr>
              <w:t xml:space="preserve"> </w:t>
            </w:r>
            <w:proofErr w:type="spellStart"/>
            <w:r w:rsidRPr="006C311A">
              <w:rPr>
                <w:b/>
              </w:rPr>
              <w:t>atzītu</w:t>
            </w:r>
            <w:proofErr w:type="spellEnd"/>
            <w:r w:rsidRPr="006C311A">
              <w:rPr>
                <w:b/>
              </w:rPr>
              <w:t xml:space="preserve"> par </w:t>
            </w:r>
            <w:r>
              <w:rPr>
                <w:b/>
              </w:rPr>
              <w:t>„</w:t>
            </w:r>
            <w:proofErr w:type="spellStart"/>
            <w:r w:rsidRPr="006C311A">
              <w:rPr>
                <w:b/>
              </w:rPr>
              <w:t>ierakstiem</w:t>
            </w:r>
            <w:proofErr w:type="spellEnd"/>
            <w:r w:rsidRPr="006C311A">
              <w:rPr>
                <w:b/>
              </w:rPr>
              <w:t xml:space="preserve"> </w:t>
            </w:r>
            <w:proofErr w:type="spellStart"/>
            <w:r w:rsidRPr="006C311A">
              <w:rPr>
                <w:b/>
              </w:rPr>
              <w:t>Komercreģistrā</w:t>
            </w:r>
            <w:proofErr w:type="spellEnd"/>
            <w:r>
              <w:rPr>
                <w:b/>
              </w:rPr>
              <w:t xml:space="preserve"> </w:t>
            </w:r>
            <w:proofErr w:type="spellStart"/>
            <w:r>
              <w:rPr>
                <w:b/>
              </w:rPr>
              <w:t>vai</w:t>
            </w:r>
            <w:proofErr w:type="spellEnd"/>
            <w:r>
              <w:rPr>
                <w:b/>
              </w:rPr>
              <w:t xml:space="preserve"> </w:t>
            </w:r>
            <w:proofErr w:type="spellStart"/>
            <w:r>
              <w:rPr>
                <w:b/>
              </w:rPr>
              <w:t>citos</w:t>
            </w:r>
            <w:proofErr w:type="spellEnd"/>
            <w:r>
              <w:rPr>
                <w:b/>
              </w:rPr>
              <w:t xml:space="preserve"> </w:t>
            </w:r>
            <w:proofErr w:type="spellStart"/>
            <w:r>
              <w:rPr>
                <w:b/>
              </w:rPr>
              <w:t>publiskos</w:t>
            </w:r>
            <w:proofErr w:type="spellEnd"/>
            <w:r>
              <w:rPr>
                <w:b/>
              </w:rPr>
              <w:t xml:space="preserve"> </w:t>
            </w:r>
            <w:proofErr w:type="spellStart"/>
            <w:r>
              <w:rPr>
                <w:b/>
              </w:rPr>
              <w:t>reģistros</w:t>
            </w:r>
            <w:proofErr w:type="spellEnd"/>
            <w:r>
              <w:rPr>
                <w:b/>
              </w:rPr>
              <w:t>“</w:t>
            </w:r>
            <w:r w:rsidRPr="006C311A">
              <w:rPr>
                <w:b/>
              </w:rPr>
              <w:t xml:space="preserve"> </w:t>
            </w:r>
            <w:proofErr w:type="spellStart"/>
            <w:r w:rsidRPr="006C311A">
              <w:rPr>
                <w:b/>
              </w:rPr>
              <w:t>Notariāta</w:t>
            </w:r>
            <w:proofErr w:type="spellEnd"/>
            <w:r w:rsidRPr="006C311A">
              <w:rPr>
                <w:b/>
              </w:rPr>
              <w:t xml:space="preserve"> </w:t>
            </w:r>
            <w:proofErr w:type="spellStart"/>
            <w:r w:rsidRPr="006C311A">
              <w:rPr>
                <w:b/>
              </w:rPr>
              <w:t>likuma</w:t>
            </w:r>
            <w:proofErr w:type="spellEnd"/>
            <w:r w:rsidRPr="006C311A">
              <w:rPr>
                <w:b/>
              </w:rPr>
              <w:t xml:space="preserve"> 83.panta </w:t>
            </w:r>
            <w:proofErr w:type="spellStart"/>
            <w:proofErr w:type="gramStart"/>
            <w:r w:rsidRPr="006C311A">
              <w:rPr>
                <w:b/>
              </w:rPr>
              <w:t>izpratnē</w:t>
            </w:r>
            <w:proofErr w:type="spellEnd"/>
            <w:r w:rsidRPr="006C311A">
              <w:rPr>
                <w:b/>
              </w:rPr>
              <w:t> ?</w:t>
            </w:r>
            <w:proofErr w:type="gramEnd"/>
          </w:p>
          <w:p w14:paraId="7F3FF039" w14:textId="77777777" w:rsidR="00114953" w:rsidRDefault="00114953" w:rsidP="00BF3A72">
            <w:pPr>
              <w:jc w:val="both"/>
            </w:pPr>
          </w:p>
        </w:tc>
      </w:tr>
    </w:tbl>
    <w:p w14:paraId="531E802A" w14:textId="77777777" w:rsidR="00114953" w:rsidRDefault="00114953" w:rsidP="00114953">
      <w:pPr>
        <w:jc w:val="both"/>
        <w:rPr>
          <w:rFonts w:ascii="Times New Roman" w:hAnsi="Times New Roman" w:cs="Times New Roman"/>
        </w:rPr>
      </w:pPr>
    </w:p>
    <w:p w14:paraId="5427B2A8" w14:textId="77777777" w:rsidR="00114953" w:rsidRDefault="00114953" w:rsidP="00114953">
      <w:pPr>
        <w:jc w:val="both"/>
        <w:rPr>
          <w:rFonts w:ascii="Times New Roman" w:hAnsi="Times New Roman" w:cs="Times New Roman"/>
        </w:rPr>
      </w:pPr>
    </w:p>
    <w:p w14:paraId="11FDCA59" w14:textId="77777777" w:rsidR="00114953" w:rsidRPr="006C311A" w:rsidRDefault="00114953" w:rsidP="00114953">
      <w:pPr>
        <w:jc w:val="both"/>
        <w:rPr>
          <w:rFonts w:ascii="Times New Roman" w:hAnsi="Times New Roman" w:cs="Times New Roman"/>
          <w:b/>
        </w:rPr>
      </w:pPr>
    </w:p>
    <w:p w14:paraId="504880B6" w14:textId="0EAAEB4C" w:rsidR="00114953" w:rsidRPr="00BC6359" w:rsidRDefault="00114953" w:rsidP="00114953">
      <w:pPr>
        <w:ind w:firstLine="708"/>
        <w:jc w:val="both"/>
        <w:rPr>
          <w:rFonts w:ascii="Times New Roman" w:hAnsi="Times New Roman" w:cs="Times New Roman"/>
          <w:lang w:val="de-DE"/>
        </w:rPr>
      </w:pPr>
      <w:proofErr w:type="spellStart"/>
      <w:r w:rsidRPr="007D5283">
        <w:rPr>
          <w:rFonts w:ascii="Times New Roman" w:hAnsi="Times New Roman" w:cs="Times New Roman"/>
          <w:lang w:val="de-DE"/>
        </w:rPr>
        <w:t>Saskaņā</w:t>
      </w:r>
      <w:proofErr w:type="spellEnd"/>
      <w:r w:rsidRPr="007D5283">
        <w:rPr>
          <w:rFonts w:ascii="Times New Roman" w:hAnsi="Times New Roman" w:cs="Times New Roman"/>
          <w:lang w:val="de-DE"/>
        </w:rPr>
        <w:t xml:space="preserve"> </w:t>
      </w:r>
      <w:proofErr w:type="spellStart"/>
      <w:r w:rsidRPr="007D5283">
        <w:rPr>
          <w:rFonts w:ascii="Times New Roman" w:hAnsi="Times New Roman" w:cs="Times New Roman"/>
          <w:lang w:val="de-DE"/>
        </w:rPr>
        <w:t>ar</w:t>
      </w:r>
      <w:proofErr w:type="spellEnd"/>
      <w:r w:rsidRPr="007D5283">
        <w:rPr>
          <w:rFonts w:ascii="Times New Roman" w:hAnsi="Times New Roman" w:cs="Times New Roman"/>
          <w:lang w:val="de-DE"/>
        </w:rPr>
        <w:t xml:space="preserve"> </w:t>
      </w:r>
      <w:proofErr w:type="spellStart"/>
      <w:r w:rsidRPr="007D5283">
        <w:rPr>
          <w:rFonts w:ascii="Times New Roman" w:hAnsi="Times New Roman" w:cs="Times New Roman"/>
          <w:lang w:val="de-DE"/>
        </w:rPr>
        <w:t>Hāgas</w:t>
      </w:r>
      <w:proofErr w:type="spellEnd"/>
      <w:r w:rsidRPr="007D5283">
        <w:rPr>
          <w:rFonts w:ascii="Times New Roman" w:hAnsi="Times New Roman" w:cs="Times New Roman"/>
          <w:lang w:val="de-DE"/>
        </w:rPr>
        <w:t xml:space="preserve"> </w:t>
      </w:r>
      <w:proofErr w:type="spellStart"/>
      <w:r w:rsidRPr="007D5283">
        <w:rPr>
          <w:rFonts w:ascii="Times New Roman" w:hAnsi="Times New Roman" w:cs="Times New Roman"/>
          <w:lang w:val="de-DE"/>
        </w:rPr>
        <w:t>Dokumentu</w:t>
      </w:r>
      <w:proofErr w:type="spellEnd"/>
      <w:r w:rsidRPr="007D5283">
        <w:rPr>
          <w:rFonts w:ascii="Times New Roman" w:hAnsi="Times New Roman" w:cs="Times New Roman"/>
          <w:lang w:val="de-DE"/>
        </w:rPr>
        <w:t xml:space="preserve"> </w:t>
      </w:r>
      <w:proofErr w:type="spellStart"/>
      <w:r w:rsidRPr="007D5283">
        <w:rPr>
          <w:rFonts w:ascii="Times New Roman" w:hAnsi="Times New Roman" w:cs="Times New Roman"/>
          <w:lang w:val="de-DE"/>
        </w:rPr>
        <w:t>legalizācijas</w:t>
      </w:r>
      <w:proofErr w:type="spellEnd"/>
      <w:r w:rsidRPr="007D5283">
        <w:rPr>
          <w:rFonts w:ascii="Times New Roman" w:hAnsi="Times New Roman" w:cs="Times New Roman"/>
          <w:lang w:val="de-DE"/>
        </w:rPr>
        <w:t xml:space="preserve"> </w:t>
      </w:r>
      <w:proofErr w:type="spellStart"/>
      <w:r w:rsidRPr="007D5283">
        <w:rPr>
          <w:rFonts w:ascii="Times New Roman" w:hAnsi="Times New Roman" w:cs="Times New Roman"/>
          <w:lang w:val="de-DE"/>
        </w:rPr>
        <w:t>atcelšanas</w:t>
      </w:r>
      <w:proofErr w:type="spellEnd"/>
      <w:r w:rsidRPr="007D5283">
        <w:rPr>
          <w:rFonts w:ascii="Times New Roman" w:hAnsi="Times New Roman" w:cs="Times New Roman"/>
          <w:lang w:val="de-DE"/>
        </w:rPr>
        <w:t xml:space="preserve"> </w:t>
      </w:r>
      <w:proofErr w:type="spellStart"/>
      <w:r w:rsidRPr="007D5283">
        <w:rPr>
          <w:rFonts w:ascii="Times New Roman" w:hAnsi="Times New Roman" w:cs="Times New Roman"/>
          <w:lang w:val="de-DE"/>
        </w:rPr>
        <w:t>konvencijas</w:t>
      </w:r>
      <w:proofErr w:type="spellEnd"/>
      <w:r w:rsidRPr="007D5283">
        <w:rPr>
          <w:rFonts w:ascii="Times New Roman" w:hAnsi="Times New Roman" w:cs="Times New Roman"/>
          <w:lang w:val="de-DE"/>
        </w:rPr>
        <w:t xml:space="preserve"> 1.panta 2.punkta „b“ </w:t>
      </w:r>
      <w:proofErr w:type="spellStart"/>
      <w:r w:rsidRPr="007D5283">
        <w:rPr>
          <w:rFonts w:ascii="Times New Roman" w:hAnsi="Times New Roman" w:cs="Times New Roman"/>
          <w:lang w:val="de-DE"/>
        </w:rPr>
        <w:t>apakšpunktu</w:t>
      </w:r>
      <w:proofErr w:type="spellEnd"/>
      <w:r w:rsidRPr="007D5283">
        <w:rPr>
          <w:rFonts w:ascii="Times New Roman" w:hAnsi="Times New Roman" w:cs="Times New Roman"/>
          <w:lang w:val="de-DE"/>
        </w:rPr>
        <w:t xml:space="preserve"> </w:t>
      </w:r>
      <w:proofErr w:type="spellStart"/>
      <w:r w:rsidR="007D5283">
        <w:rPr>
          <w:rFonts w:ascii="Times New Roman" w:hAnsi="Times New Roman" w:cs="Times New Roman"/>
          <w:lang w:val="de-DE"/>
        </w:rPr>
        <w:t>legalizācijas</w:t>
      </w:r>
      <w:proofErr w:type="spellEnd"/>
      <w:r w:rsidR="007D5283">
        <w:rPr>
          <w:rFonts w:ascii="Times New Roman" w:hAnsi="Times New Roman" w:cs="Times New Roman"/>
          <w:lang w:val="de-DE"/>
        </w:rPr>
        <w:t xml:space="preserve"> </w:t>
      </w:r>
      <w:proofErr w:type="spellStart"/>
      <w:r w:rsidR="007D5283">
        <w:rPr>
          <w:rFonts w:ascii="Times New Roman" w:hAnsi="Times New Roman" w:cs="Times New Roman"/>
          <w:lang w:val="de-DE"/>
        </w:rPr>
        <w:t>nolūkos</w:t>
      </w:r>
      <w:proofErr w:type="spellEnd"/>
      <w:r w:rsidR="007D5283">
        <w:rPr>
          <w:rFonts w:ascii="Times New Roman" w:hAnsi="Times New Roman" w:cs="Times New Roman"/>
          <w:lang w:val="de-DE"/>
        </w:rPr>
        <w:t xml:space="preserve"> </w:t>
      </w:r>
      <w:proofErr w:type="spellStart"/>
      <w:r w:rsidRPr="007D5283">
        <w:rPr>
          <w:rFonts w:ascii="Times New Roman" w:hAnsi="Times New Roman" w:cs="Times New Roman"/>
          <w:lang w:val="de-DE"/>
        </w:rPr>
        <w:t>pie</w:t>
      </w:r>
      <w:proofErr w:type="spellEnd"/>
      <w:r w:rsidRPr="007D5283">
        <w:rPr>
          <w:rFonts w:ascii="Times New Roman" w:hAnsi="Times New Roman" w:cs="Times New Roman"/>
          <w:lang w:val="de-DE"/>
        </w:rPr>
        <w:t xml:space="preserve"> </w:t>
      </w:r>
      <w:proofErr w:type="spellStart"/>
      <w:r w:rsidRPr="007D5283">
        <w:rPr>
          <w:rFonts w:ascii="Times New Roman" w:hAnsi="Times New Roman" w:cs="Times New Roman"/>
          <w:lang w:val="de-DE"/>
        </w:rPr>
        <w:t>publiskiem</w:t>
      </w:r>
      <w:proofErr w:type="spellEnd"/>
      <w:r w:rsidRPr="007D5283">
        <w:rPr>
          <w:rFonts w:ascii="Times New Roman" w:hAnsi="Times New Roman" w:cs="Times New Roman"/>
          <w:lang w:val="de-DE"/>
        </w:rPr>
        <w:t xml:space="preserve"> </w:t>
      </w:r>
      <w:proofErr w:type="spellStart"/>
      <w:r w:rsidRPr="007D5283">
        <w:rPr>
          <w:rFonts w:ascii="Times New Roman" w:hAnsi="Times New Roman" w:cs="Times New Roman"/>
          <w:lang w:val="de-DE"/>
        </w:rPr>
        <w:t>dokumentiem</w:t>
      </w:r>
      <w:proofErr w:type="spellEnd"/>
      <w:r w:rsidRPr="007D5283">
        <w:rPr>
          <w:rFonts w:ascii="Times New Roman" w:hAnsi="Times New Roman" w:cs="Times New Roman"/>
          <w:lang w:val="de-DE"/>
        </w:rPr>
        <w:t xml:space="preserve"> </w:t>
      </w:r>
      <w:proofErr w:type="spellStart"/>
      <w:r w:rsidRPr="007D5283">
        <w:rPr>
          <w:rFonts w:ascii="Times New Roman" w:hAnsi="Times New Roman" w:cs="Times New Roman"/>
          <w:lang w:val="de-DE"/>
        </w:rPr>
        <w:t>ir</w:t>
      </w:r>
      <w:proofErr w:type="spellEnd"/>
      <w:r w:rsidRPr="007D5283">
        <w:rPr>
          <w:rFonts w:ascii="Times New Roman" w:hAnsi="Times New Roman" w:cs="Times New Roman"/>
          <w:lang w:val="de-DE"/>
        </w:rPr>
        <w:t xml:space="preserve"> </w:t>
      </w:r>
      <w:proofErr w:type="spellStart"/>
      <w:r w:rsidRPr="007D5283">
        <w:rPr>
          <w:rFonts w:ascii="Times New Roman" w:hAnsi="Times New Roman" w:cs="Times New Roman"/>
          <w:lang w:val="de-DE"/>
        </w:rPr>
        <w:t>pieskaitāmi</w:t>
      </w:r>
      <w:proofErr w:type="spellEnd"/>
      <w:r w:rsidRPr="007D5283">
        <w:rPr>
          <w:rFonts w:ascii="Times New Roman" w:hAnsi="Times New Roman" w:cs="Times New Roman"/>
          <w:lang w:val="de-DE"/>
        </w:rPr>
        <w:t xml:space="preserve"> </w:t>
      </w:r>
      <w:proofErr w:type="spellStart"/>
      <w:r w:rsidRPr="007D5283">
        <w:rPr>
          <w:rFonts w:ascii="Times New Roman" w:hAnsi="Times New Roman" w:cs="Times New Roman"/>
          <w:lang w:val="de-DE"/>
        </w:rPr>
        <w:t>arī</w:t>
      </w:r>
      <w:proofErr w:type="spellEnd"/>
      <w:r w:rsidRPr="007D5283">
        <w:rPr>
          <w:rFonts w:ascii="Times New Roman" w:hAnsi="Times New Roman" w:cs="Times New Roman"/>
          <w:lang w:val="de-DE"/>
        </w:rPr>
        <w:t xml:space="preserve"> </w:t>
      </w:r>
      <w:proofErr w:type="spellStart"/>
      <w:r w:rsidRPr="007D5283">
        <w:rPr>
          <w:rFonts w:ascii="Times New Roman" w:hAnsi="Times New Roman" w:cs="Times New Roman"/>
          <w:lang w:val="de-DE"/>
        </w:rPr>
        <w:lastRenderedPageBreak/>
        <w:t>administratīvie</w:t>
      </w:r>
      <w:proofErr w:type="spellEnd"/>
      <w:r w:rsidRPr="007D5283">
        <w:rPr>
          <w:rFonts w:ascii="Times New Roman" w:hAnsi="Times New Roman" w:cs="Times New Roman"/>
          <w:lang w:val="de-DE"/>
        </w:rPr>
        <w:t xml:space="preserve"> </w:t>
      </w:r>
      <w:proofErr w:type="spellStart"/>
      <w:r w:rsidRPr="007D5283">
        <w:rPr>
          <w:rFonts w:ascii="Times New Roman" w:hAnsi="Times New Roman" w:cs="Times New Roman"/>
          <w:lang w:val="de-DE"/>
        </w:rPr>
        <w:t>dokumenti</w:t>
      </w:r>
      <w:proofErr w:type="spellEnd"/>
      <w:r w:rsidRPr="007D5283">
        <w:rPr>
          <w:rFonts w:ascii="Times New Roman" w:hAnsi="Times New Roman" w:cs="Times New Roman"/>
          <w:lang w:val="de-DE"/>
        </w:rPr>
        <w:t xml:space="preserve">. </w:t>
      </w:r>
      <w:proofErr w:type="spellStart"/>
      <w:r w:rsidRPr="007D5283">
        <w:rPr>
          <w:rFonts w:ascii="Times New Roman" w:hAnsi="Times New Roman" w:cs="Times New Roman"/>
          <w:lang w:val="de-DE"/>
        </w:rPr>
        <w:t>Pie</w:t>
      </w:r>
      <w:proofErr w:type="spellEnd"/>
      <w:r w:rsidRPr="007D5283">
        <w:rPr>
          <w:rFonts w:ascii="Times New Roman" w:hAnsi="Times New Roman" w:cs="Times New Roman"/>
          <w:lang w:val="de-DE"/>
        </w:rPr>
        <w:t xml:space="preserve"> </w:t>
      </w:r>
      <w:proofErr w:type="spellStart"/>
      <w:r w:rsidRPr="007D5283">
        <w:rPr>
          <w:rFonts w:ascii="Times New Roman" w:hAnsi="Times New Roman" w:cs="Times New Roman"/>
          <w:lang w:val="de-DE"/>
        </w:rPr>
        <w:t>administratīvo</w:t>
      </w:r>
      <w:proofErr w:type="spellEnd"/>
      <w:r w:rsidRPr="007D5283">
        <w:rPr>
          <w:rFonts w:ascii="Times New Roman" w:hAnsi="Times New Roman" w:cs="Times New Roman"/>
          <w:lang w:val="de-DE"/>
        </w:rPr>
        <w:t xml:space="preserve"> </w:t>
      </w:r>
      <w:proofErr w:type="spellStart"/>
      <w:r w:rsidRPr="007D5283">
        <w:rPr>
          <w:rFonts w:ascii="Times New Roman" w:hAnsi="Times New Roman" w:cs="Times New Roman"/>
          <w:lang w:val="de-DE"/>
        </w:rPr>
        <w:t>dokumentu</w:t>
      </w:r>
      <w:proofErr w:type="spellEnd"/>
      <w:r w:rsidRPr="007D5283">
        <w:rPr>
          <w:rFonts w:ascii="Times New Roman" w:hAnsi="Times New Roman" w:cs="Times New Roman"/>
          <w:lang w:val="de-DE"/>
        </w:rPr>
        <w:t xml:space="preserve"> </w:t>
      </w:r>
      <w:proofErr w:type="spellStart"/>
      <w:r w:rsidRPr="007D5283">
        <w:rPr>
          <w:rFonts w:ascii="Times New Roman" w:hAnsi="Times New Roman" w:cs="Times New Roman"/>
          <w:lang w:val="de-DE"/>
        </w:rPr>
        <w:t>kategorijas</w:t>
      </w:r>
      <w:proofErr w:type="spellEnd"/>
      <w:r w:rsidRPr="007D5283">
        <w:rPr>
          <w:rFonts w:ascii="Times New Roman" w:hAnsi="Times New Roman" w:cs="Times New Roman"/>
          <w:lang w:val="de-DE"/>
        </w:rPr>
        <w:t xml:space="preserve"> </w:t>
      </w:r>
      <w:proofErr w:type="spellStart"/>
      <w:r w:rsidRPr="007D5283">
        <w:rPr>
          <w:rFonts w:ascii="Times New Roman" w:hAnsi="Times New Roman" w:cs="Times New Roman"/>
          <w:lang w:val="de-DE"/>
        </w:rPr>
        <w:t>tiek</w:t>
      </w:r>
      <w:proofErr w:type="spellEnd"/>
      <w:r w:rsidRPr="007D5283">
        <w:rPr>
          <w:rFonts w:ascii="Times New Roman" w:hAnsi="Times New Roman" w:cs="Times New Roman"/>
          <w:lang w:val="de-DE"/>
        </w:rPr>
        <w:t xml:space="preserve"> </w:t>
      </w:r>
      <w:proofErr w:type="spellStart"/>
      <w:r w:rsidRPr="007D5283">
        <w:rPr>
          <w:rFonts w:ascii="Times New Roman" w:hAnsi="Times New Roman" w:cs="Times New Roman"/>
          <w:lang w:val="de-DE"/>
        </w:rPr>
        <w:t>pieskaitīti</w:t>
      </w:r>
      <w:proofErr w:type="spellEnd"/>
      <w:r w:rsidRPr="00BC6359">
        <w:rPr>
          <w:rFonts w:ascii="Times New Roman" w:hAnsi="Times New Roman" w:cs="Times New Roman"/>
          <w:lang w:val="de-DE"/>
        </w:rPr>
        <w:t> </w:t>
      </w:r>
      <w:proofErr w:type="spellStart"/>
      <w:r w:rsidRPr="00BC6359">
        <w:rPr>
          <w:rFonts w:ascii="Times New Roman" w:hAnsi="Times New Roman" w:cs="Times New Roman"/>
          <w:lang w:val="de-DE"/>
        </w:rPr>
        <w:t>šādi</w:t>
      </w:r>
      <w:proofErr w:type="spellEnd"/>
      <w:r w:rsidRPr="00BC6359">
        <w:rPr>
          <w:rFonts w:ascii="Times New Roman" w:hAnsi="Times New Roman" w:cs="Times New Roman"/>
          <w:lang w:val="de-DE"/>
        </w:rPr>
        <w:t xml:space="preserve"> </w:t>
      </w:r>
      <w:proofErr w:type="spellStart"/>
      <w:r w:rsidRPr="00BC6359">
        <w:rPr>
          <w:rFonts w:ascii="Times New Roman" w:hAnsi="Times New Roman" w:cs="Times New Roman"/>
          <w:lang w:val="de-DE"/>
        </w:rPr>
        <w:t>dokumenti</w:t>
      </w:r>
      <w:proofErr w:type="spellEnd"/>
      <w:r w:rsidRPr="00BC6359">
        <w:rPr>
          <w:rStyle w:val="FootnoteReference"/>
          <w:rFonts w:ascii="Times New Roman" w:hAnsi="Times New Roman" w:cs="Times New Roman"/>
          <w:lang w:val="de-DE"/>
        </w:rPr>
        <w:footnoteReference w:id="146"/>
      </w:r>
      <w:r w:rsidRPr="00BC6359">
        <w:rPr>
          <w:rFonts w:ascii="Times New Roman" w:hAnsi="Times New Roman" w:cs="Times New Roman"/>
          <w:lang w:val="de-DE"/>
        </w:rPr>
        <w:t>:</w:t>
      </w:r>
    </w:p>
    <w:p w14:paraId="087EB1CB" w14:textId="77777777" w:rsidR="00114953" w:rsidRPr="00BC6359" w:rsidRDefault="00114953" w:rsidP="00114953">
      <w:pPr>
        <w:jc w:val="both"/>
        <w:rPr>
          <w:rFonts w:ascii="Times New Roman" w:hAnsi="Times New Roman" w:cs="Times New Roman"/>
          <w:lang w:val="de-DE"/>
        </w:rPr>
      </w:pPr>
      <w:r w:rsidRPr="00BC6359">
        <w:rPr>
          <w:rFonts w:ascii="Times New Roman" w:hAnsi="Times New Roman" w:cs="Times New Roman"/>
          <w:lang w:val="de-DE"/>
        </w:rPr>
        <w:t xml:space="preserve">- </w:t>
      </w:r>
      <w:proofErr w:type="spellStart"/>
      <w:r w:rsidRPr="00BC6359">
        <w:rPr>
          <w:rFonts w:ascii="Times New Roman" w:hAnsi="Times New Roman" w:cs="Times New Roman"/>
          <w:lang w:val="de-DE"/>
        </w:rPr>
        <w:t>dzimšanas</w:t>
      </w:r>
      <w:proofErr w:type="spellEnd"/>
      <w:r w:rsidRPr="00BC6359">
        <w:rPr>
          <w:rFonts w:ascii="Times New Roman" w:hAnsi="Times New Roman" w:cs="Times New Roman"/>
          <w:lang w:val="de-DE"/>
        </w:rPr>
        <w:t xml:space="preserve"> </w:t>
      </w:r>
      <w:proofErr w:type="spellStart"/>
      <w:r w:rsidRPr="00BC6359">
        <w:rPr>
          <w:rFonts w:ascii="Times New Roman" w:hAnsi="Times New Roman" w:cs="Times New Roman"/>
          <w:lang w:val="de-DE"/>
        </w:rPr>
        <w:t>apliecības</w:t>
      </w:r>
      <w:proofErr w:type="spellEnd"/>
      <w:r w:rsidRPr="00BC6359">
        <w:rPr>
          <w:rFonts w:ascii="Times New Roman" w:hAnsi="Times New Roman" w:cs="Times New Roman"/>
          <w:lang w:val="de-DE"/>
        </w:rPr>
        <w:t xml:space="preserve">, </w:t>
      </w:r>
      <w:proofErr w:type="spellStart"/>
      <w:r w:rsidRPr="00BC6359">
        <w:rPr>
          <w:rFonts w:ascii="Times New Roman" w:hAnsi="Times New Roman" w:cs="Times New Roman"/>
          <w:lang w:val="de-DE"/>
        </w:rPr>
        <w:t>miršanas</w:t>
      </w:r>
      <w:proofErr w:type="spellEnd"/>
      <w:r w:rsidRPr="00BC6359">
        <w:rPr>
          <w:rFonts w:ascii="Times New Roman" w:hAnsi="Times New Roman" w:cs="Times New Roman"/>
          <w:lang w:val="de-DE"/>
        </w:rPr>
        <w:t xml:space="preserve"> </w:t>
      </w:r>
      <w:proofErr w:type="spellStart"/>
      <w:r w:rsidRPr="00BC6359">
        <w:rPr>
          <w:rFonts w:ascii="Times New Roman" w:hAnsi="Times New Roman" w:cs="Times New Roman"/>
          <w:lang w:val="de-DE"/>
        </w:rPr>
        <w:t>apliecības</w:t>
      </w:r>
      <w:proofErr w:type="spellEnd"/>
      <w:r w:rsidRPr="00BC6359">
        <w:rPr>
          <w:rFonts w:ascii="Times New Roman" w:hAnsi="Times New Roman" w:cs="Times New Roman"/>
          <w:lang w:val="de-DE"/>
        </w:rPr>
        <w:t xml:space="preserve">, </w:t>
      </w:r>
      <w:proofErr w:type="spellStart"/>
      <w:r w:rsidRPr="00BC6359">
        <w:rPr>
          <w:rFonts w:ascii="Times New Roman" w:hAnsi="Times New Roman" w:cs="Times New Roman"/>
          <w:lang w:val="de-DE"/>
        </w:rPr>
        <w:t>laulības</w:t>
      </w:r>
      <w:proofErr w:type="spellEnd"/>
      <w:r w:rsidRPr="00BC6359">
        <w:rPr>
          <w:rFonts w:ascii="Times New Roman" w:hAnsi="Times New Roman" w:cs="Times New Roman"/>
          <w:lang w:val="de-DE"/>
        </w:rPr>
        <w:t xml:space="preserve"> </w:t>
      </w:r>
      <w:proofErr w:type="spellStart"/>
      <w:r w:rsidRPr="00BC6359">
        <w:rPr>
          <w:rFonts w:ascii="Times New Roman" w:hAnsi="Times New Roman" w:cs="Times New Roman"/>
          <w:lang w:val="de-DE"/>
        </w:rPr>
        <w:t>apliecības</w:t>
      </w:r>
      <w:proofErr w:type="spellEnd"/>
      <w:r w:rsidRPr="00BC6359">
        <w:rPr>
          <w:rFonts w:ascii="Times New Roman" w:hAnsi="Times New Roman" w:cs="Times New Roman"/>
          <w:lang w:val="de-DE"/>
        </w:rPr>
        <w:t xml:space="preserve"> </w:t>
      </w:r>
      <w:proofErr w:type="spellStart"/>
      <w:r w:rsidRPr="00BC6359">
        <w:rPr>
          <w:rFonts w:ascii="Times New Roman" w:hAnsi="Times New Roman" w:cs="Times New Roman"/>
          <w:lang w:val="de-DE"/>
        </w:rPr>
        <w:t>u.tml</w:t>
      </w:r>
      <w:proofErr w:type="spellEnd"/>
      <w:r w:rsidRPr="00BC6359">
        <w:rPr>
          <w:rFonts w:ascii="Times New Roman" w:hAnsi="Times New Roman" w:cs="Times New Roman"/>
          <w:lang w:val="de-DE"/>
        </w:rPr>
        <w:t>.;</w:t>
      </w:r>
    </w:p>
    <w:p w14:paraId="7F776CE5" w14:textId="77777777" w:rsidR="00114953" w:rsidRPr="00BC6359" w:rsidRDefault="00114953" w:rsidP="00114953">
      <w:pPr>
        <w:jc w:val="both"/>
        <w:rPr>
          <w:rFonts w:ascii="Times New Roman" w:hAnsi="Times New Roman" w:cs="Times New Roman"/>
          <w:lang w:val="de-DE"/>
        </w:rPr>
      </w:pPr>
      <w:r w:rsidRPr="00BC6359">
        <w:rPr>
          <w:rFonts w:ascii="Times New Roman" w:hAnsi="Times New Roman" w:cs="Times New Roman"/>
          <w:lang w:val="de-DE"/>
        </w:rPr>
        <w:t xml:space="preserve">- </w:t>
      </w:r>
      <w:proofErr w:type="spellStart"/>
      <w:r w:rsidRPr="00BC6359">
        <w:rPr>
          <w:rFonts w:ascii="Times New Roman" w:hAnsi="Times New Roman" w:cs="Times New Roman"/>
          <w:u w:val="single"/>
          <w:lang w:val="de-DE"/>
        </w:rPr>
        <w:t>izraksti</w:t>
      </w:r>
      <w:proofErr w:type="spellEnd"/>
      <w:r w:rsidRPr="00BC6359">
        <w:rPr>
          <w:rFonts w:ascii="Times New Roman" w:hAnsi="Times New Roman" w:cs="Times New Roman"/>
          <w:lang w:val="de-DE"/>
        </w:rPr>
        <w:t xml:space="preserve"> </w:t>
      </w:r>
      <w:proofErr w:type="spellStart"/>
      <w:r w:rsidRPr="00BC6359">
        <w:rPr>
          <w:rFonts w:ascii="Times New Roman" w:hAnsi="Times New Roman" w:cs="Times New Roman"/>
          <w:b/>
          <w:bCs/>
          <w:lang w:val="de-DE"/>
        </w:rPr>
        <w:t>no</w:t>
      </w:r>
      <w:proofErr w:type="spellEnd"/>
      <w:r w:rsidRPr="00BC6359">
        <w:rPr>
          <w:rFonts w:ascii="Times New Roman" w:hAnsi="Times New Roman" w:cs="Times New Roman"/>
          <w:b/>
          <w:bCs/>
          <w:lang w:val="de-DE"/>
        </w:rPr>
        <w:t xml:space="preserve"> </w:t>
      </w:r>
      <w:proofErr w:type="spellStart"/>
      <w:r w:rsidRPr="00BC6359">
        <w:rPr>
          <w:rFonts w:ascii="Times New Roman" w:hAnsi="Times New Roman" w:cs="Times New Roman"/>
          <w:b/>
          <w:bCs/>
          <w:lang w:val="de-DE"/>
        </w:rPr>
        <w:t>publiskiem</w:t>
      </w:r>
      <w:proofErr w:type="spellEnd"/>
      <w:r w:rsidRPr="00BC6359">
        <w:rPr>
          <w:rFonts w:ascii="Times New Roman" w:hAnsi="Times New Roman" w:cs="Times New Roman"/>
          <w:b/>
          <w:bCs/>
          <w:lang w:val="de-DE"/>
        </w:rPr>
        <w:t xml:space="preserve"> </w:t>
      </w:r>
      <w:proofErr w:type="spellStart"/>
      <w:r w:rsidRPr="00BC6359">
        <w:rPr>
          <w:rFonts w:ascii="Times New Roman" w:hAnsi="Times New Roman" w:cs="Times New Roman"/>
          <w:b/>
          <w:bCs/>
          <w:lang w:val="de-DE"/>
        </w:rPr>
        <w:t>reģistriem</w:t>
      </w:r>
      <w:proofErr w:type="spellEnd"/>
      <w:r w:rsidRPr="00BC6359">
        <w:rPr>
          <w:rFonts w:ascii="Times New Roman" w:hAnsi="Times New Roman" w:cs="Times New Roman"/>
          <w:lang w:val="de-DE"/>
        </w:rPr>
        <w:t xml:space="preserve"> (</w:t>
      </w:r>
      <w:proofErr w:type="spellStart"/>
      <w:r w:rsidRPr="00BC6359">
        <w:rPr>
          <w:rFonts w:ascii="Times New Roman" w:hAnsi="Times New Roman" w:cs="Times New Roman"/>
          <w:lang w:val="de-DE"/>
        </w:rPr>
        <w:t>piem</w:t>
      </w:r>
      <w:proofErr w:type="spellEnd"/>
      <w:r w:rsidRPr="00BC6359">
        <w:rPr>
          <w:rFonts w:ascii="Times New Roman" w:hAnsi="Times New Roman" w:cs="Times New Roman"/>
          <w:lang w:val="de-DE"/>
        </w:rPr>
        <w:t xml:space="preserve">., </w:t>
      </w:r>
      <w:proofErr w:type="spellStart"/>
      <w:r w:rsidRPr="00BC6359">
        <w:rPr>
          <w:rFonts w:ascii="Times New Roman" w:hAnsi="Times New Roman" w:cs="Times New Roman"/>
          <w:lang w:val="de-DE"/>
        </w:rPr>
        <w:t>komercreģistra</w:t>
      </w:r>
      <w:proofErr w:type="spellEnd"/>
      <w:r w:rsidRPr="00BC6359">
        <w:rPr>
          <w:rFonts w:ascii="Times New Roman" w:hAnsi="Times New Roman" w:cs="Times New Roman"/>
          <w:lang w:val="de-DE"/>
        </w:rPr>
        <w:t xml:space="preserve">, </w:t>
      </w:r>
      <w:proofErr w:type="spellStart"/>
      <w:r w:rsidRPr="00BC6359">
        <w:rPr>
          <w:rFonts w:ascii="Times New Roman" w:hAnsi="Times New Roman" w:cs="Times New Roman"/>
          <w:lang w:val="de-DE"/>
        </w:rPr>
        <w:t>īpašumu</w:t>
      </w:r>
      <w:proofErr w:type="spellEnd"/>
      <w:r w:rsidRPr="00BC6359">
        <w:rPr>
          <w:rFonts w:ascii="Times New Roman" w:hAnsi="Times New Roman" w:cs="Times New Roman"/>
          <w:lang w:val="de-DE"/>
        </w:rPr>
        <w:t xml:space="preserve"> </w:t>
      </w:r>
      <w:proofErr w:type="spellStart"/>
      <w:r w:rsidRPr="00BC6359">
        <w:rPr>
          <w:rFonts w:ascii="Times New Roman" w:hAnsi="Times New Roman" w:cs="Times New Roman"/>
          <w:lang w:val="de-DE"/>
        </w:rPr>
        <w:t>reģistra</w:t>
      </w:r>
      <w:proofErr w:type="spellEnd"/>
      <w:r w:rsidRPr="00BC6359">
        <w:rPr>
          <w:rFonts w:ascii="Times New Roman" w:hAnsi="Times New Roman" w:cs="Times New Roman"/>
          <w:lang w:val="de-DE"/>
        </w:rPr>
        <w:t xml:space="preserve">, </w:t>
      </w:r>
      <w:proofErr w:type="spellStart"/>
      <w:r w:rsidRPr="00BC6359">
        <w:rPr>
          <w:rFonts w:ascii="Times New Roman" w:hAnsi="Times New Roman" w:cs="Times New Roman"/>
          <w:lang w:val="de-DE"/>
        </w:rPr>
        <w:t>iedzīvotāju</w:t>
      </w:r>
      <w:proofErr w:type="spellEnd"/>
      <w:r w:rsidRPr="00BC6359">
        <w:rPr>
          <w:rFonts w:ascii="Times New Roman" w:hAnsi="Times New Roman" w:cs="Times New Roman"/>
          <w:lang w:val="de-DE"/>
        </w:rPr>
        <w:t xml:space="preserve"> </w:t>
      </w:r>
      <w:proofErr w:type="spellStart"/>
      <w:r w:rsidRPr="00BC6359">
        <w:rPr>
          <w:rFonts w:ascii="Times New Roman" w:hAnsi="Times New Roman" w:cs="Times New Roman"/>
          <w:lang w:val="de-DE"/>
        </w:rPr>
        <w:t>reģistra</w:t>
      </w:r>
      <w:proofErr w:type="spellEnd"/>
      <w:r w:rsidRPr="00BC6359">
        <w:rPr>
          <w:rFonts w:ascii="Times New Roman" w:hAnsi="Times New Roman" w:cs="Times New Roman"/>
          <w:lang w:val="de-DE"/>
        </w:rPr>
        <w:t xml:space="preserve">, </w:t>
      </w:r>
      <w:proofErr w:type="spellStart"/>
      <w:r w:rsidRPr="00BC6359">
        <w:rPr>
          <w:rFonts w:ascii="Times New Roman" w:hAnsi="Times New Roman" w:cs="Times New Roman"/>
          <w:lang w:val="de-DE"/>
        </w:rPr>
        <w:t>intelektuālā</w:t>
      </w:r>
      <w:proofErr w:type="spellEnd"/>
      <w:r w:rsidRPr="00BC6359">
        <w:rPr>
          <w:rFonts w:ascii="Times New Roman" w:hAnsi="Times New Roman" w:cs="Times New Roman"/>
          <w:lang w:val="de-DE"/>
        </w:rPr>
        <w:t xml:space="preserve"> </w:t>
      </w:r>
      <w:proofErr w:type="spellStart"/>
      <w:r w:rsidRPr="00BC6359">
        <w:rPr>
          <w:rFonts w:ascii="Times New Roman" w:hAnsi="Times New Roman" w:cs="Times New Roman"/>
          <w:lang w:val="de-DE"/>
        </w:rPr>
        <w:t>īpašuma</w:t>
      </w:r>
      <w:proofErr w:type="spellEnd"/>
      <w:r w:rsidRPr="00BC6359">
        <w:rPr>
          <w:rFonts w:ascii="Times New Roman" w:hAnsi="Times New Roman" w:cs="Times New Roman"/>
          <w:lang w:val="de-DE"/>
        </w:rPr>
        <w:t xml:space="preserve"> </w:t>
      </w:r>
      <w:proofErr w:type="spellStart"/>
      <w:r w:rsidRPr="00BC6359">
        <w:rPr>
          <w:rFonts w:ascii="Times New Roman" w:hAnsi="Times New Roman" w:cs="Times New Roman"/>
          <w:lang w:val="de-DE"/>
        </w:rPr>
        <w:t>reģistra</w:t>
      </w:r>
      <w:proofErr w:type="spellEnd"/>
      <w:r w:rsidRPr="00BC6359">
        <w:rPr>
          <w:rFonts w:ascii="Times New Roman" w:hAnsi="Times New Roman" w:cs="Times New Roman"/>
          <w:lang w:val="de-DE"/>
        </w:rPr>
        <w:t xml:space="preserve"> </w:t>
      </w:r>
      <w:proofErr w:type="spellStart"/>
      <w:r w:rsidRPr="00BC6359">
        <w:rPr>
          <w:rFonts w:ascii="Times New Roman" w:hAnsi="Times New Roman" w:cs="Times New Roman"/>
          <w:lang w:val="de-DE"/>
        </w:rPr>
        <w:t>u.tml</w:t>
      </w:r>
      <w:proofErr w:type="spellEnd"/>
      <w:r w:rsidRPr="00BC6359">
        <w:rPr>
          <w:rFonts w:ascii="Times New Roman" w:hAnsi="Times New Roman" w:cs="Times New Roman"/>
          <w:lang w:val="de-DE"/>
        </w:rPr>
        <w:t>.</w:t>
      </w:r>
      <w:proofErr w:type="gramStart"/>
      <w:r w:rsidRPr="00BC6359">
        <w:rPr>
          <w:rFonts w:ascii="Times New Roman" w:hAnsi="Times New Roman" w:cs="Times New Roman"/>
          <w:lang w:val="de-DE"/>
        </w:rPr>
        <w:t>) ;</w:t>
      </w:r>
      <w:proofErr w:type="gramEnd"/>
    </w:p>
    <w:p w14:paraId="23997738" w14:textId="77777777" w:rsidR="00114953" w:rsidRPr="00BC6359" w:rsidRDefault="00114953" w:rsidP="00114953">
      <w:pPr>
        <w:jc w:val="both"/>
        <w:rPr>
          <w:rFonts w:ascii="Times New Roman" w:hAnsi="Times New Roman" w:cs="Times New Roman"/>
          <w:lang w:val="de-DE"/>
        </w:rPr>
      </w:pPr>
      <w:r w:rsidRPr="00BC6359">
        <w:rPr>
          <w:rFonts w:ascii="Times New Roman" w:hAnsi="Times New Roman" w:cs="Times New Roman"/>
          <w:lang w:val="de-DE"/>
        </w:rPr>
        <w:t xml:space="preserve">- </w:t>
      </w:r>
      <w:proofErr w:type="spellStart"/>
      <w:r w:rsidRPr="00BC6359">
        <w:rPr>
          <w:rFonts w:ascii="Times New Roman" w:hAnsi="Times New Roman" w:cs="Times New Roman"/>
          <w:lang w:val="de-DE"/>
        </w:rPr>
        <w:t>patenti</w:t>
      </w:r>
      <w:proofErr w:type="spellEnd"/>
      <w:r w:rsidRPr="00BC6359">
        <w:rPr>
          <w:rFonts w:ascii="Times New Roman" w:hAnsi="Times New Roman" w:cs="Times New Roman"/>
          <w:lang w:val="de-DE"/>
        </w:rPr>
        <w:t>;</w:t>
      </w:r>
    </w:p>
    <w:p w14:paraId="517F53B8" w14:textId="77777777" w:rsidR="00114953" w:rsidRPr="00BC6359" w:rsidRDefault="00114953" w:rsidP="00114953">
      <w:pPr>
        <w:jc w:val="both"/>
        <w:rPr>
          <w:rFonts w:ascii="Times New Roman" w:hAnsi="Times New Roman" w:cs="Times New Roman"/>
          <w:lang w:val="de-DE"/>
        </w:rPr>
      </w:pPr>
      <w:r w:rsidRPr="00BC6359">
        <w:rPr>
          <w:rFonts w:ascii="Times New Roman" w:hAnsi="Times New Roman" w:cs="Times New Roman"/>
          <w:lang w:val="de-DE"/>
        </w:rPr>
        <w:t xml:space="preserve"> - </w:t>
      </w:r>
      <w:proofErr w:type="spellStart"/>
      <w:r w:rsidRPr="00BC6359">
        <w:rPr>
          <w:rFonts w:ascii="Times New Roman" w:hAnsi="Times New Roman" w:cs="Times New Roman"/>
          <w:lang w:val="de-DE"/>
        </w:rPr>
        <w:t>licences</w:t>
      </w:r>
      <w:proofErr w:type="spellEnd"/>
      <w:r w:rsidRPr="00BC6359">
        <w:rPr>
          <w:rFonts w:ascii="Times New Roman" w:hAnsi="Times New Roman" w:cs="Times New Roman"/>
          <w:lang w:val="de-DE"/>
        </w:rPr>
        <w:t>;</w:t>
      </w:r>
    </w:p>
    <w:p w14:paraId="1CBB9269" w14:textId="77777777" w:rsidR="00114953" w:rsidRDefault="00114953" w:rsidP="00114953">
      <w:pPr>
        <w:jc w:val="both"/>
        <w:rPr>
          <w:rFonts w:ascii="Times New Roman" w:hAnsi="Times New Roman" w:cs="Times New Roman"/>
        </w:rPr>
      </w:pPr>
      <w:r>
        <w:rPr>
          <w:rFonts w:ascii="Times New Roman" w:hAnsi="Times New Roman" w:cs="Times New Roman"/>
        </w:rPr>
        <w:t xml:space="preserve">- </w:t>
      </w:r>
      <w:proofErr w:type="spellStart"/>
      <w:r>
        <w:rPr>
          <w:rFonts w:ascii="Times New Roman" w:hAnsi="Times New Roman" w:cs="Times New Roman"/>
        </w:rPr>
        <w:t>medicīnas</w:t>
      </w:r>
      <w:proofErr w:type="spellEnd"/>
      <w:r>
        <w:rPr>
          <w:rFonts w:ascii="Times New Roman" w:hAnsi="Times New Roman" w:cs="Times New Roman"/>
        </w:rPr>
        <w:t xml:space="preserve"> un </w:t>
      </w:r>
      <w:proofErr w:type="spellStart"/>
      <w:r>
        <w:rPr>
          <w:rFonts w:ascii="Times New Roman" w:hAnsi="Times New Roman" w:cs="Times New Roman"/>
        </w:rPr>
        <w:t>veselības</w:t>
      </w:r>
      <w:proofErr w:type="spellEnd"/>
      <w:r>
        <w:rPr>
          <w:rFonts w:ascii="Times New Roman" w:hAnsi="Times New Roman" w:cs="Times New Roman"/>
        </w:rPr>
        <w:t xml:space="preserve"> </w:t>
      </w:r>
      <w:proofErr w:type="spellStart"/>
      <w:proofErr w:type="gramStart"/>
      <w:r>
        <w:rPr>
          <w:rFonts w:ascii="Times New Roman" w:hAnsi="Times New Roman" w:cs="Times New Roman"/>
        </w:rPr>
        <w:t>sertifikāti</w:t>
      </w:r>
      <w:proofErr w:type="spellEnd"/>
      <w:r>
        <w:rPr>
          <w:rFonts w:ascii="Times New Roman" w:hAnsi="Times New Roman" w:cs="Times New Roman"/>
        </w:rPr>
        <w:t>;</w:t>
      </w:r>
      <w:proofErr w:type="gramEnd"/>
    </w:p>
    <w:p w14:paraId="62EC9471" w14:textId="77777777" w:rsidR="00114953" w:rsidRDefault="00114953" w:rsidP="00114953">
      <w:pPr>
        <w:jc w:val="both"/>
        <w:rPr>
          <w:rFonts w:ascii="Times New Roman" w:hAnsi="Times New Roman" w:cs="Times New Roman"/>
        </w:rPr>
      </w:pPr>
      <w:r>
        <w:rPr>
          <w:rFonts w:ascii="Times New Roman" w:hAnsi="Times New Roman" w:cs="Times New Roman"/>
        </w:rPr>
        <w:t xml:space="preserve">- </w:t>
      </w:r>
      <w:proofErr w:type="spellStart"/>
      <w:r>
        <w:rPr>
          <w:rFonts w:ascii="Times New Roman" w:hAnsi="Times New Roman" w:cs="Times New Roman"/>
        </w:rPr>
        <w:t>policijas</w:t>
      </w:r>
      <w:proofErr w:type="spellEnd"/>
      <w:r>
        <w:rPr>
          <w:rFonts w:ascii="Times New Roman" w:hAnsi="Times New Roman" w:cs="Times New Roman"/>
        </w:rPr>
        <w:t xml:space="preserve"> </w:t>
      </w:r>
      <w:proofErr w:type="spellStart"/>
      <w:proofErr w:type="gramStart"/>
      <w:r>
        <w:rPr>
          <w:rFonts w:ascii="Times New Roman" w:hAnsi="Times New Roman" w:cs="Times New Roman"/>
        </w:rPr>
        <w:t>protokoli</w:t>
      </w:r>
      <w:proofErr w:type="spellEnd"/>
      <w:r>
        <w:rPr>
          <w:rFonts w:ascii="Times New Roman" w:hAnsi="Times New Roman" w:cs="Times New Roman"/>
        </w:rPr>
        <w:t>;</w:t>
      </w:r>
      <w:proofErr w:type="gramEnd"/>
    </w:p>
    <w:p w14:paraId="2907AC23" w14:textId="77777777" w:rsidR="00114953" w:rsidRDefault="00114953" w:rsidP="00114953">
      <w:pPr>
        <w:jc w:val="both"/>
        <w:rPr>
          <w:rFonts w:ascii="Times New Roman" w:hAnsi="Times New Roman" w:cs="Times New Roman"/>
        </w:rPr>
      </w:pPr>
      <w:r>
        <w:rPr>
          <w:rFonts w:ascii="Times New Roman" w:hAnsi="Times New Roman" w:cs="Times New Roman"/>
        </w:rPr>
        <w:t xml:space="preserve">- </w:t>
      </w:r>
      <w:proofErr w:type="spellStart"/>
      <w:r>
        <w:rPr>
          <w:rFonts w:ascii="Times New Roman" w:hAnsi="Times New Roman" w:cs="Times New Roman"/>
        </w:rPr>
        <w:t>izglītības</w:t>
      </w:r>
      <w:proofErr w:type="spellEnd"/>
      <w:r>
        <w:rPr>
          <w:rFonts w:ascii="Times New Roman" w:hAnsi="Times New Roman" w:cs="Times New Roman"/>
        </w:rPr>
        <w:t xml:space="preserve"> </w:t>
      </w:r>
      <w:proofErr w:type="spellStart"/>
      <w:r>
        <w:rPr>
          <w:rFonts w:ascii="Times New Roman" w:hAnsi="Times New Roman" w:cs="Times New Roman"/>
        </w:rPr>
        <w:t>dokumenti</w:t>
      </w:r>
      <w:proofErr w:type="spellEnd"/>
      <w:r>
        <w:rPr>
          <w:rFonts w:ascii="Times New Roman" w:hAnsi="Times New Roman" w:cs="Times New Roman"/>
        </w:rPr>
        <w:t xml:space="preserve"> (</w:t>
      </w:r>
      <w:proofErr w:type="spellStart"/>
      <w:r>
        <w:rPr>
          <w:rFonts w:ascii="Times New Roman" w:hAnsi="Times New Roman" w:cs="Times New Roman"/>
        </w:rPr>
        <w:t>diplomi</w:t>
      </w:r>
      <w:proofErr w:type="spellEnd"/>
      <w:r>
        <w:rPr>
          <w:rFonts w:ascii="Times New Roman" w:hAnsi="Times New Roman" w:cs="Times New Roman"/>
        </w:rPr>
        <w:t>).</w:t>
      </w:r>
    </w:p>
    <w:p w14:paraId="26638293" w14:textId="77777777" w:rsidR="00114953" w:rsidRDefault="00114953" w:rsidP="00114953">
      <w:pPr>
        <w:ind w:firstLine="708"/>
        <w:jc w:val="both"/>
        <w:rPr>
          <w:rFonts w:ascii="Times New Roman" w:hAnsi="Times New Roman" w:cs="Times New Roman"/>
        </w:rPr>
      </w:pPr>
      <w:proofErr w:type="spellStart"/>
      <w:r>
        <w:rPr>
          <w:rFonts w:ascii="Times New Roman" w:hAnsi="Times New Roman" w:cs="Times New Roman"/>
        </w:rPr>
        <w:t>Citiem</w:t>
      </w:r>
      <w:proofErr w:type="spellEnd"/>
      <w:r>
        <w:rPr>
          <w:rFonts w:ascii="Times New Roman" w:hAnsi="Times New Roman" w:cs="Times New Roman"/>
        </w:rPr>
        <w:t xml:space="preserve"> </w:t>
      </w:r>
      <w:proofErr w:type="spellStart"/>
      <w:r>
        <w:rPr>
          <w:rFonts w:ascii="Times New Roman" w:hAnsi="Times New Roman" w:cs="Times New Roman"/>
        </w:rPr>
        <w:t>vārdiem</w:t>
      </w:r>
      <w:proofErr w:type="spellEnd"/>
      <w:r>
        <w:rPr>
          <w:rFonts w:ascii="Times New Roman" w:hAnsi="Times New Roman" w:cs="Times New Roman"/>
        </w:rPr>
        <w:t xml:space="preserve"> </w:t>
      </w:r>
      <w:proofErr w:type="spellStart"/>
      <w:r>
        <w:rPr>
          <w:rFonts w:ascii="Times New Roman" w:hAnsi="Times New Roman" w:cs="Times New Roman"/>
        </w:rPr>
        <w:t>sakot</w:t>
      </w:r>
      <w:proofErr w:type="spellEnd"/>
      <w:r>
        <w:rPr>
          <w:rFonts w:ascii="Times New Roman" w:hAnsi="Times New Roman" w:cs="Times New Roman"/>
        </w:rPr>
        <w:t xml:space="preserve">, </w:t>
      </w:r>
      <w:proofErr w:type="spellStart"/>
      <w:r>
        <w:rPr>
          <w:rFonts w:ascii="Times New Roman" w:hAnsi="Times New Roman" w:cs="Times New Roman"/>
        </w:rPr>
        <w:t>administratīvs</w:t>
      </w:r>
      <w:proofErr w:type="spellEnd"/>
      <w:r>
        <w:rPr>
          <w:rFonts w:ascii="Times New Roman" w:hAnsi="Times New Roman" w:cs="Times New Roman"/>
        </w:rPr>
        <w:t xml:space="preserve"> </w:t>
      </w:r>
      <w:proofErr w:type="spellStart"/>
      <w:r>
        <w:rPr>
          <w:rFonts w:ascii="Times New Roman" w:hAnsi="Times New Roman" w:cs="Times New Roman"/>
        </w:rPr>
        <w:t>dokuments</w:t>
      </w:r>
      <w:proofErr w:type="spellEnd"/>
      <w:r>
        <w:rPr>
          <w:rFonts w:ascii="Times New Roman" w:hAnsi="Times New Roman" w:cs="Times New Roman"/>
        </w:rPr>
        <w:t xml:space="preserve"> </w:t>
      </w:r>
      <w:proofErr w:type="spellStart"/>
      <w:r>
        <w:rPr>
          <w:rFonts w:ascii="Times New Roman" w:hAnsi="Times New Roman" w:cs="Times New Roman"/>
        </w:rPr>
        <w:t>Konvencijas</w:t>
      </w:r>
      <w:proofErr w:type="spellEnd"/>
      <w:r>
        <w:rPr>
          <w:rFonts w:ascii="Times New Roman" w:hAnsi="Times New Roman" w:cs="Times New Roman"/>
        </w:rPr>
        <w:t xml:space="preserve"> </w:t>
      </w:r>
      <w:proofErr w:type="spellStart"/>
      <w:r>
        <w:rPr>
          <w:rFonts w:ascii="Times New Roman" w:hAnsi="Times New Roman" w:cs="Times New Roman"/>
        </w:rPr>
        <w:t>izpratnē</w:t>
      </w:r>
      <w:proofErr w:type="spellEnd"/>
      <w:r>
        <w:rPr>
          <w:rFonts w:ascii="Times New Roman" w:hAnsi="Times New Roman" w:cs="Times New Roman"/>
        </w:rPr>
        <w:t xml:space="preserve"> </w:t>
      </w:r>
      <w:proofErr w:type="spellStart"/>
      <w:r>
        <w:rPr>
          <w:rFonts w:ascii="Times New Roman" w:hAnsi="Times New Roman" w:cs="Times New Roman"/>
        </w:rPr>
        <w:t>ir</w:t>
      </w:r>
      <w:proofErr w:type="spellEnd"/>
      <w:r>
        <w:rPr>
          <w:rFonts w:ascii="Times New Roman" w:hAnsi="Times New Roman" w:cs="Times New Roman"/>
        </w:rPr>
        <w:t xml:space="preserve"> </w:t>
      </w:r>
      <w:proofErr w:type="spellStart"/>
      <w:r>
        <w:rPr>
          <w:rFonts w:ascii="Times New Roman" w:hAnsi="Times New Roman" w:cs="Times New Roman"/>
        </w:rPr>
        <w:t>tāds</w:t>
      </w:r>
      <w:proofErr w:type="spellEnd"/>
      <w:r>
        <w:rPr>
          <w:rFonts w:ascii="Times New Roman" w:hAnsi="Times New Roman" w:cs="Times New Roman"/>
        </w:rPr>
        <w:t xml:space="preserve"> </w:t>
      </w:r>
      <w:proofErr w:type="spellStart"/>
      <w:r>
        <w:rPr>
          <w:rFonts w:ascii="Times New Roman" w:hAnsi="Times New Roman" w:cs="Times New Roman"/>
        </w:rPr>
        <w:t>dokuments</w:t>
      </w:r>
      <w:proofErr w:type="spellEnd"/>
      <w:r>
        <w:rPr>
          <w:rFonts w:ascii="Times New Roman" w:hAnsi="Times New Roman" w:cs="Times New Roman"/>
        </w:rPr>
        <w:t xml:space="preserve">, ko </w:t>
      </w:r>
      <w:proofErr w:type="spellStart"/>
      <w:r>
        <w:rPr>
          <w:rFonts w:ascii="Times New Roman" w:hAnsi="Times New Roman" w:cs="Times New Roman"/>
        </w:rPr>
        <w:t>izdevusi</w:t>
      </w:r>
      <w:proofErr w:type="spellEnd"/>
      <w:r>
        <w:rPr>
          <w:rFonts w:ascii="Times New Roman" w:hAnsi="Times New Roman" w:cs="Times New Roman"/>
        </w:rPr>
        <w:t xml:space="preserve"> </w:t>
      </w:r>
      <w:proofErr w:type="spellStart"/>
      <w:r>
        <w:rPr>
          <w:rFonts w:ascii="Times New Roman" w:hAnsi="Times New Roman" w:cs="Times New Roman"/>
        </w:rPr>
        <w:t>administratīvā</w:t>
      </w:r>
      <w:proofErr w:type="spellEnd"/>
      <w:r>
        <w:rPr>
          <w:rFonts w:ascii="Times New Roman" w:hAnsi="Times New Roman" w:cs="Times New Roman"/>
        </w:rPr>
        <w:t xml:space="preserve"> </w:t>
      </w:r>
      <w:proofErr w:type="spellStart"/>
      <w:r>
        <w:rPr>
          <w:rFonts w:ascii="Times New Roman" w:hAnsi="Times New Roman" w:cs="Times New Roman"/>
        </w:rPr>
        <w:t>iestāde</w:t>
      </w:r>
      <w:proofErr w:type="spellEnd"/>
      <w:r>
        <w:rPr>
          <w:rFonts w:ascii="Times New Roman" w:hAnsi="Times New Roman" w:cs="Times New Roman"/>
        </w:rPr>
        <w:t xml:space="preserve">. To, </w:t>
      </w:r>
      <w:proofErr w:type="spellStart"/>
      <w:r>
        <w:rPr>
          <w:rFonts w:ascii="Times New Roman" w:hAnsi="Times New Roman" w:cs="Times New Roman"/>
        </w:rPr>
        <w:t>vai</w:t>
      </w:r>
      <w:proofErr w:type="spellEnd"/>
      <w:r>
        <w:rPr>
          <w:rFonts w:ascii="Times New Roman" w:hAnsi="Times New Roman" w:cs="Times New Roman"/>
        </w:rPr>
        <w:t xml:space="preserve"> </w:t>
      </w:r>
      <w:proofErr w:type="spellStart"/>
      <w:r>
        <w:rPr>
          <w:rFonts w:ascii="Times New Roman" w:hAnsi="Times New Roman" w:cs="Times New Roman"/>
        </w:rPr>
        <w:t>iestāde</w:t>
      </w:r>
      <w:proofErr w:type="spellEnd"/>
      <w:r>
        <w:rPr>
          <w:rFonts w:ascii="Times New Roman" w:hAnsi="Times New Roman" w:cs="Times New Roman"/>
        </w:rPr>
        <w:t xml:space="preserve"> </w:t>
      </w:r>
      <w:proofErr w:type="spellStart"/>
      <w:r>
        <w:rPr>
          <w:rFonts w:ascii="Times New Roman" w:hAnsi="Times New Roman" w:cs="Times New Roman"/>
        </w:rPr>
        <w:t>ir</w:t>
      </w:r>
      <w:proofErr w:type="spellEnd"/>
      <w:r>
        <w:rPr>
          <w:rFonts w:ascii="Times New Roman" w:hAnsi="Times New Roman" w:cs="Times New Roman"/>
        </w:rPr>
        <w:t xml:space="preserve"> </w:t>
      </w:r>
      <w:proofErr w:type="spellStart"/>
      <w:r>
        <w:rPr>
          <w:rFonts w:ascii="Times New Roman" w:hAnsi="Times New Roman" w:cs="Times New Roman"/>
        </w:rPr>
        <w:t>administratīvā</w:t>
      </w:r>
      <w:proofErr w:type="spellEnd"/>
      <w:r>
        <w:rPr>
          <w:rFonts w:ascii="Times New Roman" w:hAnsi="Times New Roman" w:cs="Times New Roman"/>
        </w:rPr>
        <w:t xml:space="preserve"> </w:t>
      </w:r>
      <w:proofErr w:type="spellStart"/>
      <w:r>
        <w:rPr>
          <w:rFonts w:ascii="Times New Roman" w:hAnsi="Times New Roman" w:cs="Times New Roman"/>
        </w:rPr>
        <w:t>iestāde</w:t>
      </w:r>
      <w:proofErr w:type="spellEnd"/>
      <w:r>
        <w:rPr>
          <w:rFonts w:ascii="Times New Roman" w:hAnsi="Times New Roman" w:cs="Times New Roman"/>
        </w:rPr>
        <w:t xml:space="preserve">, </w:t>
      </w:r>
      <w:proofErr w:type="spellStart"/>
      <w:r>
        <w:rPr>
          <w:rFonts w:ascii="Times New Roman" w:hAnsi="Times New Roman" w:cs="Times New Roman"/>
        </w:rPr>
        <w:t>nosaka</w:t>
      </w:r>
      <w:proofErr w:type="spellEnd"/>
      <w:r>
        <w:rPr>
          <w:rFonts w:ascii="Times New Roman" w:hAnsi="Times New Roman" w:cs="Times New Roman"/>
        </w:rPr>
        <w:t xml:space="preserve"> </w:t>
      </w:r>
      <w:proofErr w:type="spellStart"/>
      <w:r>
        <w:rPr>
          <w:rFonts w:ascii="Times New Roman" w:hAnsi="Times New Roman" w:cs="Times New Roman"/>
        </w:rPr>
        <w:t>saskaņā</w:t>
      </w:r>
      <w:proofErr w:type="spellEnd"/>
      <w:r>
        <w:rPr>
          <w:rFonts w:ascii="Times New Roman" w:hAnsi="Times New Roman" w:cs="Times New Roman"/>
        </w:rPr>
        <w:t xml:space="preserve"> </w:t>
      </w:r>
      <w:proofErr w:type="spellStart"/>
      <w:r>
        <w:rPr>
          <w:rFonts w:ascii="Times New Roman" w:hAnsi="Times New Roman" w:cs="Times New Roman"/>
        </w:rPr>
        <w:t>ar</w:t>
      </w:r>
      <w:proofErr w:type="spellEnd"/>
      <w:r>
        <w:rPr>
          <w:rFonts w:ascii="Times New Roman" w:hAnsi="Times New Roman" w:cs="Times New Roman"/>
        </w:rPr>
        <w:t xml:space="preserve"> </w:t>
      </w:r>
      <w:proofErr w:type="spellStart"/>
      <w:r>
        <w:rPr>
          <w:rFonts w:ascii="Times New Roman" w:hAnsi="Times New Roman" w:cs="Times New Roman"/>
        </w:rPr>
        <w:t>dokumenta</w:t>
      </w:r>
      <w:proofErr w:type="spellEnd"/>
      <w:r>
        <w:rPr>
          <w:rFonts w:ascii="Times New Roman" w:hAnsi="Times New Roman" w:cs="Times New Roman"/>
        </w:rPr>
        <w:t xml:space="preserve"> </w:t>
      </w:r>
      <w:proofErr w:type="spellStart"/>
      <w:r>
        <w:rPr>
          <w:rFonts w:ascii="Times New Roman" w:hAnsi="Times New Roman" w:cs="Times New Roman"/>
        </w:rPr>
        <w:t>izcelsmes</w:t>
      </w:r>
      <w:proofErr w:type="spellEnd"/>
      <w:r>
        <w:rPr>
          <w:rFonts w:ascii="Times New Roman" w:hAnsi="Times New Roman" w:cs="Times New Roman"/>
        </w:rPr>
        <w:t xml:space="preserve"> </w:t>
      </w:r>
      <w:proofErr w:type="spellStart"/>
      <w:r>
        <w:rPr>
          <w:rFonts w:ascii="Times New Roman" w:hAnsi="Times New Roman" w:cs="Times New Roman"/>
        </w:rPr>
        <w:t>valsts</w:t>
      </w:r>
      <w:proofErr w:type="spellEnd"/>
      <w:r>
        <w:rPr>
          <w:rFonts w:ascii="Times New Roman" w:hAnsi="Times New Roman" w:cs="Times New Roman"/>
        </w:rPr>
        <w:t xml:space="preserve"> </w:t>
      </w:r>
      <w:proofErr w:type="spellStart"/>
      <w:r>
        <w:rPr>
          <w:rFonts w:ascii="Times New Roman" w:hAnsi="Times New Roman" w:cs="Times New Roman"/>
        </w:rPr>
        <w:t>tiesību</w:t>
      </w:r>
      <w:proofErr w:type="spellEnd"/>
      <w:r>
        <w:rPr>
          <w:rFonts w:ascii="Times New Roman" w:hAnsi="Times New Roman" w:cs="Times New Roman"/>
        </w:rPr>
        <w:t xml:space="preserve"> </w:t>
      </w:r>
      <w:proofErr w:type="spellStart"/>
      <w:r>
        <w:rPr>
          <w:rFonts w:ascii="Times New Roman" w:hAnsi="Times New Roman" w:cs="Times New Roman"/>
        </w:rPr>
        <w:t>normām</w:t>
      </w:r>
      <w:proofErr w:type="spellEnd"/>
      <w:r>
        <w:rPr>
          <w:rFonts w:ascii="Times New Roman" w:hAnsi="Times New Roman" w:cs="Times New Roman"/>
        </w:rPr>
        <w:t>.</w:t>
      </w:r>
      <w:r>
        <w:rPr>
          <w:rStyle w:val="FootnoteReference"/>
          <w:rFonts w:ascii="Times New Roman" w:hAnsi="Times New Roman" w:cs="Times New Roman"/>
        </w:rPr>
        <w:footnoteReference w:id="147"/>
      </w:r>
    </w:p>
    <w:p w14:paraId="5294FC4C" w14:textId="77777777" w:rsidR="00114953" w:rsidRDefault="00114953" w:rsidP="00114953">
      <w:pPr>
        <w:jc w:val="both"/>
        <w:rPr>
          <w:rFonts w:ascii="Times New Roman" w:hAnsi="Times New Roman" w:cs="Times New Roman"/>
        </w:rPr>
      </w:pPr>
    </w:p>
    <w:p w14:paraId="389FC09C" w14:textId="77777777" w:rsidR="00114953" w:rsidRDefault="00114953" w:rsidP="00114953">
      <w:pPr>
        <w:ind w:firstLine="708"/>
        <w:jc w:val="both"/>
        <w:rPr>
          <w:rFonts w:ascii="Times New Roman" w:hAnsi="Times New Roman" w:cs="Times New Roman"/>
        </w:rPr>
      </w:pPr>
      <w:proofErr w:type="spellStart"/>
      <w:r>
        <w:rPr>
          <w:rFonts w:ascii="Times New Roman" w:hAnsi="Times New Roman" w:cs="Times New Roman"/>
        </w:rPr>
        <w:t>Kā</w:t>
      </w:r>
      <w:proofErr w:type="spellEnd"/>
      <w:r>
        <w:rPr>
          <w:rFonts w:ascii="Times New Roman" w:hAnsi="Times New Roman" w:cs="Times New Roman"/>
        </w:rPr>
        <w:t xml:space="preserve"> </w:t>
      </w:r>
      <w:proofErr w:type="spellStart"/>
      <w:r>
        <w:rPr>
          <w:rFonts w:ascii="Times New Roman" w:hAnsi="Times New Roman" w:cs="Times New Roman"/>
        </w:rPr>
        <w:t>redzams</w:t>
      </w:r>
      <w:proofErr w:type="spellEnd"/>
      <w:r>
        <w:rPr>
          <w:rFonts w:ascii="Times New Roman" w:hAnsi="Times New Roman" w:cs="Times New Roman"/>
        </w:rPr>
        <w:t xml:space="preserve">, </w:t>
      </w:r>
      <w:proofErr w:type="spellStart"/>
      <w:r>
        <w:rPr>
          <w:rFonts w:ascii="Times New Roman" w:hAnsi="Times New Roman" w:cs="Times New Roman"/>
        </w:rPr>
        <w:t>legalizācijas</w:t>
      </w:r>
      <w:proofErr w:type="spellEnd"/>
      <w:r>
        <w:rPr>
          <w:rFonts w:ascii="Times New Roman" w:hAnsi="Times New Roman" w:cs="Times New Roman"/>
        </w:rPr>
        <w:t xml:space="preserve"> </w:t>
      </w:r>
      <w:proofErr w:type="spellStart"/>
      <w:r>
        <w:rPr>
          <w:rFonts w:ascii="Times New Roman" w:hAnsi="Times New Roman" w:cs="Times New Roman"/>
        </w:rPr>
        <w:t>vajadzībām</w:t>
      </w:r>
      <w:proofErr w:type="spellEnd"/>
      <w:r>
        <w:rPr>
          <w:rFonts w:ascii="Times New Roman" w:hAnsi="Times New Roman" w:cs="Times New Roman"/>
        </w:rPr>
        <w:t xml:space="preserve"> </w:t>
      </w:r>
      <w:proofErr w:type="spellStart"/>
      <w:r w:rsidRPr="00564806">
        <w:rPr>
          <w:rFonts w:ascii="Times New Roman" w:hAnsi="Times New Roman" w:cs="Times New Roman"/>
          <w:u w:val="single"/>
        </w:rPr>
        <w:t>izraksti</w:t>
      </w:r>
      <w:proofErr w:type="spellEnd"/>
      <w:r>
        <w:rPr>
          <w:rFonts w:ascii="Times New Roman" w:hAnsi="Times New Roman" w:cs="Times New Roman"/>
        </w:rPr>
        <w:t xml:space="preserve"> no </w:t>
      </w:r>
      <w:proofErr w:type="spellStart"/>
      <w:r>
        <w:rPr>
          <w:rFonts w:ascii="Times New Roman" w:hAnsi="Times New Roman" w:cs="Times New Roman"/>
        </w:rPr>
        <w:t>publiskiem</w:t>
      </w:r>
      <w:proofErr w:type="spellEnd"/>
      <w:r>
        <w:rPr>
          <w:rFonts w:ascii="Times New Roman" w:hAnsi="Times New Roman" w:cs="Times New Roman"/>
        </w:rPr>
        <w:t xml:space="preserve"> </w:t>
      </w:r>
      <w:proofErr w:type="spellStart"/>
      <w:r>
        <w:rPr>
          <w:rFonts w:ascii="Times New Roman" w:hAnsi="Times New Roman" w:cs="Times New Roman"/>
        </w:rPr>
        <w:t>reģistriem</w:t>
      </w:r>
      <w:proofErr w:type="spellEnd"/>
      <w:r>
        <w:rPr>
          <w:rFonts w:ascii="Times New Roman" w:hAnsi="Times New Roman" w:cs="Times New Roman"/>
        </w:rPr>
        <w:t xml:space="preserve"> </w:t>
      </w:r>
      <w:proofErr w:type="spellStart"/>
      <w:r>
        <w:rPr>
          <w:rFonts w:ascii="Times New Roman" w:hAnsi="Times New Roman" w:cs="Times New Roman"/>
        </w:rPr>
        <w:t>tiek</w:t>
      </w:r>
      <w:proofErr w:type="spellEnd"/>
      <w:r>
        <w:rPr>
          <w:rFonts w:ascii="Times New Roman" w:hAnsi="Times New Roman" w:cs="Times New Roman"/>
        </w:rPr>
        <w:t xml:space="preserve"> </w:t>
      </w:r>
      <w:proofErr w:type="spellStart"/>
      <w:r>
        <w:rPr>
          <w:rFonts w:ascii="Times New Roman" w:hAnsi="Times New Roman" w:cs="Times New Roman"/>
        </w:rPr>
        <w:t>uzskatīti</w:t>
      </w:r>
      <w:proofErr w:type="spellEnd"/>
      <w:r>
        <w:rPr>
          <w:rFonts w:ascii="Times New Roman" w:hAnsi="Times New Roman" w:cs="Times New Roman"/>
        </w:rPr>
        <w:t xml:space="preserve"> par </w:t>
      </w:r>
      <w:proofErr w:type="spellStart"/>
      <w:r>
        <w:rPr>
          <w:rFonts w:ascii="Times New Roman" w:hAnsi="Times New Roman" w:cs="Times New Roman"/>
        </w:rPr>
        <w:t>publiskiem</w:t>
      </w:r>
      <w:proofErr w:type="spellEnd"/>
      <w:r>
        <w:rPr>
          <w:rFonts w:ascii="Times New Roman" w:hAnsi="Times New Roman" w:cs="Times New Roman"/>
        </w:rPr>
        <w:t xml:space="preserve"> </w:t>
      </w:r>
      <w:proofErr w:type="spellStart"/>
      <w:r>
        <w:rPr>
          <w:rFonts w:ascii="Times New Roman" w:hAnsi="Times New Roman" w:cs="Times New Roman"/>
        </w:rPr>
        <w:t>dokumentiem</w:t>
      </w:r>
      <w:proofErr w:type="spellEnd"/>
      <w:r>
        <w:rPr>
          <w:rFonts w:ascii="Times New Roman" w:hAnsi="Times New Roman" w:cs="Times New Roman"/>
        </w:rPr>
        <w:t>.</w:t>
      </w:r>
    </w:p>
    <w:p w14:paraId="63ACE1B5" w14:textId="77777777" w:rsidR="00114953" w:rsidRDefault="00114953" w:rsidP="00114953">
      <w:pPr>
        <w:jc w:val="both"/>
        <w:rPr>
          <w:rFonts w:ascii="Times New Roman" w:hAnsi="Times New Roman" w:cs="Times New Roman"/>
        </w:rPr>
      </w:pPr>
    </w:p>
    <w:p w14:paraId="7A5BD011" w14:textId="77777777" w:rsidR="00114953" w:rsidRPr="00ED7E55" w:rsidRDefault="00114953" w:rsidP="00114953">
      <w:pPr>
        <w:widowControl w:val="0"/>
        <w:autoSpaceDE w:val="0"/>
        <w:autoSpaceDN w:val="0"/>
        <w:adjustRightInd w:val="0"/>
        <w:ind w:firstLine="708"/>
        <w:jc w:val="both"/>
        <w:rPr>
          <w:rFonts w:ascii="Times New Roman" w:hAnsi="Times New Roman" w:cs="Arial"/>
          <w:i/>
          <w:iCs/>
          <w:color w:val="323233"/>
          <w:u w:val="single"/>
        </w:rPr>
      </w:pPr>
      <w:r w:rsidRPr="008452A8">
        <w:rPr>
          <w:rFonts w:ascii="Times New Roman" w:hAnsi="Times New Roman" w:cs="Arial"/>
          <w:color w:val="323233"/>
          <w:lang w:val="lv-LV"/>
        </w:rPr>
        <w:t>Sask</w:t>
      </w:r>
      <w:r>
        <w:rPr>
          <w:rFonts w:ascii="Times New Roman" w:hAnsi="Times New Roman" w:cs="Arial"/>
          <w:color w:val="323233"/>
          <w:lang w:val="lv-LV"/>
        </w:rPr>
        <w:t>aņā ar Notariāta likuma 83.panta otro un trešo daļu</w:t>
      </w:r>
      <w:r w:rsidRPr="008452A8">
        <w:rPr>
          <w:rFonts w:ascii="Times New Roman" w:hAnsi="Times New Roman" w:cs="Arial"/>
          <w:color w:val="323233"/>
          <w:lang w:val="lv-LV"/>
        </w:rPr>
        <w:t xml:space="preserve"> „</w:t>
      </w:r>
      <w:r>
        <w:rPr>
          <w:rFonts w:ascii="Times New Roman" w:hAnsi="Times New Roman" w:cs="Arial"/>
          <w:i/>
          <w:iCs/>
          <w:color w:val="323233"/>
        </w:rPr>
        <w:t xml:space="preserve">(2) </w:t>
      </w:r>
      <w:proofErr w:type="spellStart"/>
      <w:r w:rsidRPr="00970B26">
        <w:rPr>
          <w:rFonts w:ascii="Times New Roman" w:hAnsi="Times New Roman" w:cs="Arial"/>
          <w:i/>
          <w:iCs/>
          <w:color w:val="323233"/>
        </w:rPr>
        <w:t>Pārstāvības</w:t>
      </w:r>
      <w:proofErr w:type="spellEnd"/>
      <w:r w:rsidRPr="00970B26">
        <w:rPr>
          <w:rFonts w:ascii="Times New Roman" w:hAnsi="Times New Roman" w:cs="Arial"/>
          <w:i/>
          <w:iCs/>
          <w:color w:val="323233"/>
        </w:rPr>
        <w:t xml:space="preserve"> </w:t>
      </w:r>
      <w:proofErr w:type="spellStart"/>
      <w:r w:rsidRPr="00970B26">
        <w:rPr>
          <w:rFonts w:ascii="Times New Roman" w:hAnsi="Times New Roman" w:cs="Arial"/>
          <w:i/>
          <w:iCs/>
          <w:color w:val="323233"/>
        </w:rPr>
        <w:t>tiesības</w:t>
      </w:r>
      <w:proofErr w:type="spellEnd"/>
      <w:r w:rsidRPr="00970B26">
        <w:rPr>
          <w:rFonts w:ascii="Times New Roman" w:hAnsi="Times New Roman" w:cs="Arial"/>
          <w:i/>
          <w:iCs/>
          <w:color w:val="323233"/>
        </w:rPr>
        <w:t xml:space="preserve"> </w:t>
      </w:r>
      <w:proofErr w:type="spellStart"/>
      <w:r w:rsidRPr="00970B26">
        <w:rPr>
          <w:rFonts w:ascii="Times New Roman" w:hAnsi="Times New Roman" w:cs="Arial"/>
          <w:i/>
          <w:iCs/>
          <w:color w:val="323233"/>
        </w:rPr>
        <w:t>zvērināts</w:t>
      </w:r>
      <w:proofErr w:type="spellEnd"/>
      <w:r w:rsidRPr="00970B26">
        <w:rPr>
          <w:rFonts w:ascii="Times New Roman" w:hAnsi="Times New Roman" w:cs="Arial"/>
          <w:i/>
          <w:iCs/>
          <w:color w:val="323233"/>
        </w:rPr>
        <w:t xml:space="preserve"> </w:t>
      </w:r>
      <w:proofErr w:type="spellStart"/>
      <w:r w:rsidRPr="00970B26">
        <w:rPr>
          <w:rFonts w:ascii="Times New Roman" w:hAnsi="Times New Roman" w:cs="Arial"/>
          <w:i/>
          <w:iCs/>
          <w:color w:val="323233"/>
        </w:rPr>
        <w:t>notārs</w:t>
      </w:r>
      <w:proofErr w:type="spellEnd"/>
      <w:r w:rsidRPr="00970B26">
        <w:rPr>
          <w:rFonts w:ascii="Times New Roman" w:hAnsi="Times New Roman" w:cs="Arial"/>
          <w:i/>
          <w:iCs/>
          <w:color w:val="323233"/>
        </w:rPr>
        <w:t xml:space="preserve"> </w:t>
      </w:r>
      <w:proofErr w:type="spellStart"/>
      <w:r w:rsidRPr="00970B26">
        <w:rPr>
          <w:rFonts w:ascii="Times New Roman" w:hAnsi="Times New Roman" w:cs="Arial"/>
          <w:i/>
          <w:iCs/>
          <w:color w:val="323233"/>
        </w:rPr>
        <w:t>pārbauda</w:t>
      </w:r>
      <w:proofErr w:type="spellEnd"/>
      <w:r w:rsidRPr="00970B26">
        <w:rPr>
          <w:rFonts w:ascii="Times New Roman" w:hAnsi="Times New Roman" w:cs="Arial"/>
          <w:i/>
          <w:iCs/>
          <w:color w:val="323233"/>
        </w:rPr>
        <w:t xml:space="preserve"> </w:t>
      </w:r>
      <w:proofErr w:type="spellStart"/>
      <w:r w:rsidRPr="00970B26">
        <w:rPr>
          <w:rFonts w:ascii="Times New Roman" w:hAnsi="Times New Roman" w:cs="Arial"/>
          <w:i/>
          <w:iCs/>
          <w:color w:val="323233"/>
        </w:rPr>
        <w:t>pēc</w:t>
      </w:r>
      <w:proofErr w:type="spellEnd"/>
      <w:r w:rsidRPr="00970B26">
        <w:rPr>
          <w:rFonts w:ascii="Times New Roman" w:hAnsi="Times New Roman" w:cs="Arial"/>
          <w:i/>
          <w:iCs/>
          <w:color w:val="323233"/>
        </w:rPr>
        <w:t xml:space="preserve"> </w:t>
      </w:r>
      <w:proofErr w:type="spellStart"/>
      <w:r w:rsidRPr="00970B26">
        <w:rPr>
          <w:rFonts w:ascii="Times New Roman" w:hAnsi="Times New Roman" w:cs="Arial"/>
          <w:i/>
          <w:iCs/>
          <w:color w:val="323233"/>
        </w:rPr>
        <w:t>viņam</w:t>
      </w:r>
      <w:proofErr w:type="spellEnd"/>
      <w:r w:rsidRPr="00970B26">
        <w:rPr>
          <w:rFonts w:ascii="Times New Roman" w:hAnsi="Times New Roman" w:cs="Arial"/>
          <w:i/>
          <w:iCs/>
          <w:color w:val="323233"/>
        </w:rPr>
        <w:t xml:space="preserve"> </w:t>
      </w:r>
      <w:proofErr w:type="spellStart"/>
      <w:r w:rsidRPr="00970B26">
        <w:rPr>
          <w:rFonts w:ascii="Times New Roman" w:hAnsi="Times New Roman" w:cs="Arial"/>
          <w:i/>
          <w:iCs/>
          <w:color w:val="323233"/>
        </w:rPr>
        <w:t>iesniegtajiem</w:t>
      </w:r>
      <w:proofErr w:type="spellEnd"/>
      <w:r w:rsidRPr="00970B26">
        <w:rPr>
          <w:rFonts w:ascii="Times New Roman" w:hAnsi="Times New Roman" w:cs="Arial"/>
          <w:i/>
          <w:iCs/>
          <w:color w:val="323233"/>
        </w:rPr>
        <w:t xml:space="preserve"> </w:t>
      </w:r>
      <w:proofErr w:type="spellStart"/>
      <w:r w:rsidRPr="00ED7E55">
        <w:rPr>
          <w:rFonts w:ascii="Times New Roman" w:hAnsi="Times New Roman" w:cs="Arial"/>
          <w:i/>
          <w:iCs/>
          <w:color w:val="323233"/>
          <w:u w:val="single"/>
        </w:rPr>
        <w:t>publiskiem</w:t>
      </w:r>
      <w:proofErr w:type="spellEnd"/>
      <w:r w:rsidRPr="00ED7E55">
        <w:rPr>
          <w:rFonts w:ascii="Times New Roman" w:hAnsi="Times New Roman" w:cs="Arial"/>
          <w:i/>
          <w:iCs/>
          <w:color w:val="323233"/>
          <w:u w:val="single"/>
        </w:rPr>
        <w:t xml:space="preserve"> </w:t>
      </w:r>
      <w:proofErr w:type="spellStart"/>
      <w:r w:rsidRPr="00ED7E55">
        <w:rPr>
          <w:rFonts w:ascii="Times New Roman" w:hAnsi="Times New Roman" w:cs="Arial"/>
          <w:i/>
          <w:iCs/>
          <w:color w:val="323233"/>
          <w:u w:val="single"/>
        </w:rPr>
        <w:t>dokumentiem</w:t>
      </w:r>
      <w:proofErr w:type="spellEnd"/>
      <w:r w:rsidRPr="00970B26">
        <w:rPr>
          <w:rFonts w:ascii="Times New Roman" w:hAnsi="Times New Roman" w:cs="Arial"/>
          <w:i/>
          <w:iCs/>
          <w:color w:val="323233"/>
        </w:rPr>
        <w:t xml:space="preserve"> </w:t>
      </w:r>
      <w:proofErr w:type="spellStart"/>
      <w:r w:rsidRPr="00ED7E55">
        <w:rPr>
          <w:rFonts w:ascii="Times New Roman" w:hAnsi="Times New Roman" w:cs="Arial"/>
          <w:b/>
          <w:bCs/>
          <w:i/>
          <w:iCs/>
          <w:color w:val="323233"/>
        </w:rPr>
        <w:t>vai</w:t>
      </w:r>
      <w:proofErr w:type="spellEnd"/>
      <w:r w:rsidRPr="00970B26">
        <w:rPr>
          <w:rFonts w:ascii="Times New Roman" w:hAnsi="Times New Roman" w:cs="Arial"/>
          <w:i/>
          <w:iCs/>
          <w:color w:val="323233"/>
        </w:rPr>
        <w:t xml:space="preserve"> </w:t>
      </w:r>
      <w:proofErr w:type="spellStart"/>
      <w:r w:rsidRPr="00ED7E55">
        <w:rPr>
          <w:rFonts w:ascii="Times New Roman" w:hAnsi="Times New Roman" w:cs="Arial"/>
          <w:i/>
          <w:iCs/>
          <w:color w:val="323233"/>
          <w:u w:val="single"/>
        </w:rPr>
        <w:t>ierakstiem</w:t>
      </w:r>
      <w:proofErr w:type="spellEnd"/>
      <w:r w:rsidRPr="00ED7E55">
        <w:rPr>
          <w:rFonts w:ascii="Times New Roman" w:hAnsi="Times New Roman" w:cs="Arial"/>
          <w:i/>
          <w:iCs/>
          <w:color w:val="323233"/>
          <w:u w:val="single"/>
        </w:rPr>
        <w:t xml:space="preserve"> </w:t>
      </w:r>
      <w:proofErr w:type="spellStart"/>
      <w:r w:rsidRPr="00ED7E55">
        <w:rPr>
          <w:rFonts w:ascii="Times New Roman" w:hAnsi="Times New Roman" w:cs="Arial"/>
          <w:i/>
          <w:iCs/>
          <w:color w:val="323233"/>
          <w:u w:val="single"/>
        </w:rPr>
        <w:t>Komercreģistrā</w:t>
      </w:r>
      <w:proofErr w:type="spellEnd"/>
      <w:r w:rsidRPr="00ED7E55">
        <w:rPr>
          <w:rFonts w:ascii="Times New Roman" w:hAnsi="Times New Roman" w:cs="Arial"/>
          <w:i/>
          <w:iCs/>
          <w:color w:val="323233"/>
          <w:u w:val="single"/>
        </w:rPr>
        <w:t xml:space="preserve"> </w:t>
      </w:r>
      <w:proofErr w:type="spellStart"/>
      <w:r w:rsidRPr="00ED7E55">
        <w:rPr>
          <w:rFonts w:ascii="Times New Roman" w:hAnsi="Times New Roman" w:cs="Arial"/>
          <w:i/>
          <w:iCs/>
          <w:color w:val="323233"/>
          <w:u w:val="single"/>
        </w:rPr>
        <w:t>vai</w:t>
      </w:r>
      <w:proofErr w:type="spellEnd"/>
      <w:r w:rsidRPr="00ED7E55">
        <w:rPr>
          <w:rFonts w:ascii="Times New Roman" w:hAnsi="Times New Roman" w:cs="Arial"/>
          <w:i/>
          <w:iCs/>
          <w:color w:val="323233"/>
          <w:u w:val="single"/>
        </w:rPr>
        <w:t xml:space="preserve"> </w:t>
      </w:r>
      <w:proofErr w:type="spellStart"/>
      <w:r w:rsidRPr="00ED7E55">
        <w:rPr>
          <w:rFonts w:ascii="Times New Roman" w:hAnsi="Times New Roman" w:cs="Arial"/>
          <w:i/>
          <w:iCs/>
          <w:color w:val="323233"/>
          <w:u w:val="single"/>
        </w:rPr>
        <w:t>citos</w:t>
      </w:r>
      <w:proofErr w:type="spellEnd"/>
      <w:r w:rsidRPr="00ED7E55">
        <w:rPr>
          <w:rFonts w:ascii="Times New Roman" w:hAnsi="Times New Roman" w:cs="Arial"/>
          <w:i/>
          <w:iCs/>
          <w:color w:val="323233"/>
          <w:u w:val="single"/>
        </w:rPr>
        <w:t xml:space="preserve"> </w:t>
      </w:r>
      <w:proofErr w:type="spellStart"/>
      <w:r w:rsidRPr="00ED7E55">
        <w:rPr>
          <w:rFonts w:ascii="Times New Roman" w:hAnsi="Times New Roman" w:cs="Arial"/>
          <w:i/>
          <w:iCs/>
          <w:color w:val="323233"/>
          <w:u w:val="single"/>
        </w:rPr>
        <w:t>publiskos</w:t>
      </w:r>
      <w:proofErr w:type="spellEnd"/>
      <w:r w:rsidRPr="00ED7E55">
        <w:rPr>
          <w:rFonts w:ascii="Times New Roman" w:hAnsi="Times New Roman" w:cs="Arial"/>
          <w:i/>
          <w:iCs/>
          <w:color w:val="323233"/>
          <w:u w:val="single"/>
        </w:rPr>
        <w:t xml:space="preserve"> </w:t>
      </w:r>
      <w:proofErr w:type="spellStart"/>
      <w:r w:rsidRPr="00ED7E55">
        <w:rPr>
          <w:rFonts w:ascii="Times New Roman" w:hAnsi="Times New Roman" w:cs="Arial"/>
          <w:i/>
          <w:iCs/>
          <w:color w:val="323233"/>
          <w:u w:val="single"/>
        </w:rPr>
        <w:t>reģistros</w:t>
      </w:r>
      <w:proofErr w:type="spellEnd"/>
      <w:r w:rsidRPr="00ED7E55">
        <w:rPr>
          <w:rFonts w:ascii="Times New Roman" w:hAnsi="Times New Roman" w:cs="Arial"/>
          <w:i/>
          <w:iCs/>
          <w:color w:val="323233"/>
          <w:u w:val="single"/>
        </w:rPr>
        <w:t>.</w:t>
      </w:r>
    </w:p>
    <w:p w14:paraId="2F4A0AEC" w14:textId="77777777" w:rsidR="00114953" w:rsidRPr="00970B26" w:rsidRDefault="00114953" w:rsidP="00114953">
      <w:pPr>
        <w:widowControl w:val="0"/>
        <w:autoSpaceDE w:val="0"/>
        <w:autoSpaceDN w:val="0"/>
        <w:adjustRightInd w:val="0"/>
        <w:jc w:val="both"/>
        <w:rPr>
          <w:rFonts w:ascii="Times New Roman" w:hAnsi="Times New Roman" w:cs="Arial"/>
          <w:i/>
          <w:iCs/>
          <w:color w:val="323233"/>
        </w:rPr>
      </w:pPr>
    </w:p>
    <w:p w14:paraId="4691C531" w14:textId="77777777" w:rsidR="00114953" w:rsidRDefault="00114953" w:rsidP="00114953">
      <w:pPr>
        <w:widowControl w:val="0"/>
        <w:autoSpaceDE w:val="0"/>
        <w:autoSpaceDN w:val="0"/>
        <w:adjustRightInd w:val="0"/>
        <w:jc w:val="both"/>
        <w:rPr>
          <w:rFonts w:ascii="Times New Roman" w:hAnsi="Times New Roman" w:cs="Arial"/>
          <w:i/>
          <w:iCs/>
          <w:color w:val="323233"/>
          <w:lang w:val="de-DE"/>
        </w:rPr>
      </w:pPr>
      <w:r>
        <w:rPr>
          <w:rFonts w:ascii="Times New Roman" w:hAnsi="Times New Roman" w:cs="Arial"/>
          <w:i/>
          <w:iCs/>
          <w:color w:val="323233"/>
        </w:rPr>
        <w:t xml:space="preserve">(3) </w:t>
      </w:r>
      <w:proofErr w:type="spellStart"/>
      <w:r w:rsidRPr="00970B26">
        <w:rPr>
          <w:rFonts w:ascii="Times New Roman" w:hAnsi="Times New Roman" w:cs="Arial"/>
          <w:i/>
          <w:iCs/>
          <w:color w:val="323233"/>
        </w:rPr>
        <w:t>Ja</w:t>
      </w:r>
      <w:proofErr w:type="spellEnd"/>
      <w:r w:rsidRPr="00970B26">
        <w:rPr>
          <w:rFonts w:ascii="Times New Roman" w:hAnsi="Times New Roman" w:cs="Arial"/>
          <w:i/>
          <w:iCs/>
          <w:color w:val="323233"/>
        </w:rPr>
        <w:t xml:space="preserve"> </w:t>
      </w:r>
      <w:proofErr w:type="spellStart"/>
      <w:r w:rsidRPr="00970B26">
        <w:rPr>
          <w:rFonts w:ascii="Times New Roman" w:hAnsi="Times New Roman" w:cs="Arial"/>
          <w:i/>
          <w:iCs/>
          <w:color w:val="323233"/>
        </w:rPr>
        <w:t>pārstāvības</w:t>
      </w:r>
      <w:proofErr w:type="spellEnd"/>
      <w:r w:rsidRPr="00970B26">
        <w:rPr>
          <w:rFonts w:ascii="Times New Roman" w:hAnsi="Times New Roman" w:cs="Arial"/>
          <w:i/>
          <w:iCs/>
          <w:color w:val="323233"/>
        </w:rPr>
        <w:t xml:space="preserve"> </w:t>
      </w:r>
      <w:proofErr w:type="spellStart"/>
      <w:r w:rsidRPr="00970B26">
        <w:rPr>
          <w:rFonts w:ascii="Times New Roman" w:hAnsi="Times New Roman" w:cs="Arial"/>
          <w:i/>
          <w:iCs/>
          <w:color w:val="323233"/>
        </w:rPr>
        <w:t>tiesības</w:t>
      </w:r>
      <w:proofErr w:type="spellEnd"/>
      <w:r w:rsidRPr="00970B26">
        <w:rPr>
          <w:rFonts w:ascii="Times New Roman" w:hAnsi="Times New Roman" w:cs="Arial"/>
          <w:i/>
          <w:iCs/>
          <w:color w:val="323233"/>
        </w:rPr>
        <w:t xml:space="preserve"> </w:t>
      </w:r>
      <w:proofErr w:type="spellStart"/>
      <w:r w:rsidRPr="00970B26">
        <w:rPr>
          <w:rFonts w:ascii="Times New Roman" w:hAnsi="Times New Roman" w:cs="Arial"/>
          <w:i/>
          <w:iCs/>
          <w:color w:val="323233"/>
        </w:rPr>
        <w:t>izriet</w:t>
      </w:r>
      <w:proofErr w:type="spellEnd"/>
      <w:r w:rsidRPr="00970B26">
        <w:rPr>
          <w:rFonts w:ascii="Times New Roman" w:hAnsi="Times New Roman" w:cs="Arial"/>
          <w:i/>
          <w:iCs/>
          <w:color w:val="323233"/>
        </w:rPr>
        <w:t xml:space="preserve"> no </w:t>
      </w:r>
      <w:proofErr w:type="spellStart"/>
      <w:r w:rsidRPr="00ED7E55">
        <w:rPr>
          <w:rFonts w:ascii="Times New Roman" w:hAnsi="Times New Roman" w:cs="Arial"/>
          <w:b/>
          <w:bCs/>
          <w:i/>
          <w:iCs/>
          <w:color w:val="323233"/>
        </w:rPr>
        <w:t>ieraksta</w:t>
      </w:r>
      <w:proofErr w:type="spellEnd"/>
      <w:r w:rsidRPr="00970B26">
        <w:rPr>
          <w:rFonts w:ascii="Times New Roman" w:hAnsi="Times New Roman" w:cs="Arial"/>
          <w:i/>
          <w:iCs/>
          <w:color w:val="323233"/>
        </w:rPr>
        <w:t xml:space="preserve"> </w:t>
      </w:r>
      <w:proofErr w:type="spellStart"/>
      <w:r w:rsidRPr="00970B26">
        <w:rPr>
          <w:rFonts w:ascii="Times New Roman" w:hAnsi="Times New Roman" w:cs="Arial"/>
          <w:i/>
          <w:iCs/>
          <w:color w:val="323233"/>
        </w:rPr>
        <w:t>Komercreģistrā</w:t>
      </w:r>
      <w:proofErr w:type="spellEnd"/>
      <w:r w:rsidRPr="00970B26">
        <w:rPr>
          <w:rFonts w:ascii="Times New Roman" w:hAnsi="Times New Roman" w:cs="Arial"/>
          <w:i/>
          <w:iCs/>
          <w:color w:val="323233"/>
        </w:rPr>
        <w:t xml:space="preserve"> </w:t>
      </w:r>
      <w:proofErr w:type="spellStart"/>
      <w:r w:rsidRPr="00970B26">
        <w:rPr>
          <w:rFonts w:ascii="Times New Roman" w:hAnsi="Times New Roman" w:cs="Arial"/>
          <w:i/>
          <w:iCs/>
          <w:color w:val="323233"/>
        </w:rPr>
        <w:t>vai</w:t>
      </w:r>
      <w:proofErr w:type="spellEnd"/>
      <w:r w:rsidRPr="00970B26">
        <w:rPr>
          <w:rFonts w:ascii="Times New Roman" w:hAnsi="Times New Roman" w:cs="Arial"/>
          <w:i/>
          <w:iCs/>
          <w:color w:val="323233"/>
        </w:rPr>
        <w:t xml:space="preserve"> </w:t>
      </w:r>
      <w:proofErr w:type="spellStart"/>
      <w:r w:rsidRPr="00970B26">
        <w:rPr>
          <w:rFonts w:ascii="Times New Roman" w:hAnsi="Times New Roman" w:cs="Arial"/>
          <w:i/>
          <w:iCs/>
          <w:color w:val="323233"/>
        </w:rPr>
        <w:t>citā</w:t>
      </w:r>
      <w:proofErr w:type="spellEnd"/>
      <w:r w:rsidRPr="00970B26">
        <w:rPr>
          <w:rFonts w:ascii="Times New Roman" w:hAnsi="Times New Roman" w:cs="Arial"/>
          <w:i/>
          <w:iCs/>
          <w:color w:val="323233"/>
        </w:rPr>
        <w:t xml:space="preserve"> </w:t>
      </w:r>
      <w:proofErr w:type="spellStart"/>
      <w:r w:rsidRPr="00970B26">
        <w:rPr>
          <w:rFonts w:ascii="Times New Roman" w:hAnsi="Times New Roman" w:cs="Arial"/>
          <w:i/>
          <w:iCs/>
          <w:color w:val="323233"/>
        </w:rPr>
        <w:t>publiskā</w:t>
      </w:r>
      <w:proofErr w:type="spellEnd"/>
      <w:r w:rsidRPr="00970B26">
        <w:rPr>
          <w:rFonts w:ascii="Times New Roman" w:hAnsi="Times New Roman" w:cs="Arial"/>
          <w:i/>
          <w:iCs/>
          <w:color w:val="323233"/>
        </w:rPr>
        <w:t xml:space="preserve"> </w:t>
      </w:r>
      <w:proofErr w:type="spellStart"/>
      <w:r w:rsidRPr="00970B26">
        <w:rPr>
          <w:rFonts w:ascii="Times New Roman" w:hAnsi="Times New Roman" w:cs="Arial"/>
          <w:i/>
          <w:iCs/>
          <w:color w:val="323233"/>
        </w:rPr>
        <w:t>reģistrā</w:t>
      </w:r>
      <w:proofErr w:type="spellEnd"/>
      <w:r w:rsidRPr="00970B26">
        <w:rPr>
          <w:rFonts w:ascii="Times New Roman" w:hAnsi="Times New Roman" w:cs="Arial"/>
          <w:i/>
          <w:iCs/>
          <w:color w:val="323233"/>
        </w:rPr>
        <w:t xml:space="preserve">, </w:t>
      </w:r>
      <w:proofErr w:type="spellStart"/>
      <w:r w:rsidRPr="00970B26">
        <w:rPr>
          <w:rFonts w:ascii="Times New Roman" w:hAnsi="Times New Roman" w:cs="Arial"/>
          <w:i/>
          <w:iCs/>
          <w:color w:val="323233"/>
        </w:rPr>
        <w:t>zvērināts</w:t>
      </w:r>
      <w:proofErr w:type="spellEnd"/>
      <w:r w:rsidRPr="00970B26">
        <w:rPr>
          <w:rFonts w:ascii="Times New Roman" w:hAnsi="Times New Roman" w:cs="Arial"/>
          <w:i/>
          <w:iCs/>
          <w:color w:val="323233"/>
        </w:rPr>
        <w:t xml:space="preserve"> </w:t>
      </w:r>
      <w:proofErr w:type="spellStart"/>
      <w:r w:rsidRPr="00970B26">
        <w:rPr>
          <w:rFonts w:ascii="Times New Roman" w:hAnsi="Times New Roman" w:cs="Arial"/>
          <w:i/>
          <w:iCs/>
          <w:color w:val="323233"/>
        </w:rPr>
        <w:t>notārs</w:t>
      </w:r>
      <w:proofErr w:type="spellEnd"/>
      <w:r w:rsidRPr="00970B26">
        <w:rPr>
          <w:rFonts w:ascii="Times New Roman" w:hAnsi="Times New Roman" w:cs="Arial"/>
          <w:i/>
          <w:iCs/>
          <w:color w:val="323233"/>
        </w:rPr>
        <w:t xml:space="preserve"> </w:t>
      </w:r>
      <w:proofErr w:type="spellStart"/>
      <w:r w:rsidRPr="00970B26">
        <w:rPr>
          <w:rFonts w:ascii="Times New Roman" w:hAnsi="Times New Roman" w:cs="Arial"/>
          <w:i/>
          <w:iCs/>
          <w:color w:val="323233"/>
        </w:rPr>
        <w:t>tās</w:t>
      </w:r>
      <w:proofErr w:type="spellEnd"/>
      <w:r w:rsidRPr="00970B26">
        <w:rPr>
          <w:rFonts w:ascii="Times New Roman" w:hAnsi="Times New Roman" w:cs="Arial"/>
          <w:i/>
          <w:iCs/>
          <w:color w:val="323233"/>
        </w:rPr>
        <w:t xml:space="preserve"> </w:t>
      </w:r>
      <w:proofErr w:type="spellStart"/>
      <w:r w:rsidRPr="00970B26">
        <w:rPr>
          <w:rFonts w:ascii="Times New Roman" w:hAnsi="Times New Roman" w:cs="Arial"/>
          <w:i/>
          <w:iCs/>
          <w:color w:val="323233"/>
        </w:rPr>
        <w:t>pārbauda</w:t>
      </w:r>
      <w:proofErr w:type="spellEnd"/>
      <w:r w:rsidRPr="00970B26">
        <w:rPr>
          <w:rFonts w:ascii="Times New Roman" w:hAnsi="Times New Roman" w:cs="Arial"/>
          <w:i/>
          <w:iCs/>
          <w:color w:val="323233"/>
        </w:rPr>
        <w:t xml:space="preserve">, </w:t>
      </w:r>
      <w:proofErr w:type="spellStart"/>
      <w:r w:rsidRPr="00970B26">
        <w:rPr>
          <w:rFonts w:ascii="Times New Roman" w:hAnsi="Times New Roman" w:cs="Arial"/>
          <w:i/>
          <w:iCs/>
          <w:color w:val="323233"/>
        </w:rPr>
        <w:t>salīdzinot</w:t>
      </w:r>
      <w:proofErr w:type="spellEnd"/>
      <w:r w:rsidRPr="00970B26">
        <w:rPr>
          <w:rFonts w:ascii="Times New Roman" w:hAnsi="Times New Roman" w:cs="Arial"/>
          <w:i/>
          <w:iCs/>
          <w:color w:val="323233"/>
        </w:rPr>
        <w:t xml:space="preserve"> </w:t>
      </w:r>
      <w:proofErr w:type="spellStart"/>
      <w:r w:rsidRPr="00970B26">
        <w:rPr>
          <w:rFonts w:ascii="Times New Roman" w:hAnsi="Times New Roman" w:cs="Arial"/>
          <w:i/>
          <w:iCs/>
          <w:color w:val="323233"/>
        </w:rPr>
        <w:t>ar</w:t>
      </w:r>
      <w:proofErr w:type="spellEnd"/>
      <w:r w:rsidRPr="00970B26">
        <w:rPr>
          <w:rFonts w:ascii="Times New Roman" w:hAnsi="Times New Roman" w:cs="Arial"/>
          <w:i/>
          <w:iCs/>
          <w:color w:val="323233"/>
        </w:rPr>
        <w:t xml:space="preserve"> </w:t>
      </w:r>
      <w:proofErr w:type="spellStart"/>
      <w:r w:rsidRPr="00970B26">
        <w:rPr>
          <w:rFonts w:ascii="Times New Roman" w:hAnsi="Times New Roman" w:cs="Arial"/>
          <w:i/>
          <w:iCs/>
          <w:color w:val="323233"/>
        </w:rPr>
        <w:t>ziņām</w:t>
      </w:r>
      <w:proofErr w:type="spellEnd"/>
      <w:r w:rsidRPr="00970B26">
        <w:rPr>
          <w:rFonts w:ascii="Times New Roman" w:hAnsi="Times New Roman" w:cs="Arial"/>
          <w:i/>
          <w:iCs/>
          <w:color w:val="323233"/>
        </w:rPr>
        <w:t xml:space="preserve"> </w:t>
      </w:r>
      <w:proofErr w:type="spellStart"/>
      <w:r w:rsidRPr="00970B26">
        <w:rPr>
          <w:rFonts w:ascii="Times New Roman" w:hAnsi="Times New Roman" w:cs="Arial"/>
          <w:i/>
          <w:iCs/>
          <w:color w:val="323233"/>
        </w:rPr>
        <w:t>reģistrā</w:t>
      </w:r>
      <w:proofErr w:type="spellEnd"/>
      <w:r w:rsidRPr="00970B26">
        <w:rPr>
          <w:rFonts w:ascii="Times New Roman" w:hAnsi="Times New Roman" w:cs="Arial"/>
          <w:i/>
          <w:iCs/>
          <w:color w:val="323233"/>
        </w:rPr>
        <w:t xml:space="preserve"> ne </w:t>
      </w:r>
      <w:proofErr w:type="spellStart"/>
      <w:r w:rsidRPr="00970B26">
        <w:rPr>
          <w:rFonts w:ascii="Times New Roman" w:hAnsi="Times New Roman" w:cs="Arial"/>
          <w:i/>
          <w:iCs/>
          <w:color w:val="323233"/>
        </w:rPr>
        <w:t>agrāk</w:t>
      </w:r>
      <w:proofErr w:type="spellEnd"/>
      <w:r w:rsidRPr="00970B26">
        <w:rPr>
          <w:rFonts w:ascii="Times New Roman" w:hAnsi="Times New Roman" w:cs="Arial"/>
          <w:i/>
          <w:iCs/>
          <w:color w:val="323233"/>
        </w:rPr>
        <w:t xml:space="preserve"> </w:t>
      </w:r>
      <w:proofErr w:type="spellStart"/>
      <w:r w:rsidRPr="00970B26">
        <w:rPr>
          <w:rFonts w:ascii="Times New Roman" w:hAnsi="Times New Roman" w:cs="Arial"/>
          <w:i/>
          <w:iCs/>
          <w:color w:val="323233"/>
        </w:rPr>
        <w:t>kā</w:t>
      </w:r>
      <w:proofErr w:type="spellEnd"/>
      <w:r w:rsidRPr="00970B26">
        <w:rPr>
          <w:rFonts w:ascii="Times New Roman" w:hAnsi="Times New Roman" w:cs="Arial"/>
          <w:i/>
          <w:iCs/>
          <w:color w:val="323233"/>
        </w:rPr>
        <w:t xml:space="preserve"> 15 </w:t>
      </w:r>
      <w:proofErr w:type="spellStart"/>
      <w:r w:rsidRPr="00970B26">
        <w:rPr>
          <w:rFonts w:ascii="Times New Roman" w:hAnsi="Times New Roman" w:cs="Arial"/>
          <w:i/>
          <w:iCs/>
          <w:color w:val="323233"/>
        </w:rPr>
        <w:t>dienas</w:t>
      </w:r>
      <w:proofErr w:type="spellEnd"/>
      <w:r w:rsidRPr="00970B26">
        <w:rPr>
          <w:rFonts w:ascii="Times New Roman" w:hAnsi="Times New Roman" w:cs="Arial"/>
          <w:i/>
          <w:iCs/>
          <w:color w:val="323233"/>
        </w:rPr>
        <w:t xml:space="preserve"> </w:t>
      </w:r>
      <w:proofErr w:type="spellStart"/>
      <w:r w:rsidRPr="00970B26">
        <w:rPr>
          <w:rFonts w:ascii="Times New Roman" w:hAnsi="Times New Roman" w:cs="Arial"/>
          <w:i/>
          <w:iCs/>
          <w:color w:val="323233"/>
        </w:rPr>
        <w:t>pirms</w:t>
      </w:r>
      <w:proofErr w:type="spellEnd"/>
      <w:r w:rsidRPr="00970B26">
        <w:rPr>
          <w:rFonts w:ascii="Times New Roman" w:hAnsi="Times New Roman" w:cs="Arial"/>
          <w:i/>
          <w:iCs/>
          <w:color w:val="323233"/>
        </w:rPr>
        <w:t xml:space="preserve"> </w:t>
      </w:r>
      <w:proofErr w:type="spellStart"/>
      <w:r w:rsidRPr="00970B26">
        <w:rPr>
          <w:rFonts w:ascii="Times New Roman" w:hAnsi="Times New Roman" w:cs="Arial"/>
          <w:i/>
          <w:iCs/>
          <w:color w:val="323233"/>
        </w:rPr>
        <w:t>notariālā</w:t>
      </w:r>
      <w:proofErr w:type="spellEnd"/>
      <w:r w:rsidRPr="00970B26">
        <w:rPr>
          <w:rFonts w:ascii="Times New Roman" w:hAnsi="Times New Roman" w:cs="Arial"/>
          <w:i/>
          <w:iCs/>
          <w:color w:val="323233"/>
        </w:rPr>
        <w:t xml:space="preserve"> </w:t>
      </w:r>
      <w:proofErr w:type="spellStart"/>
      <w:r w:rsidRPr="00970B26">
        <w:rPr>
          <w:rFonts w:ascii="Times New Roman" w:hAnsi="Times New Roman" w:cs="Arial"/>
          <w:i/>
          <w:iCs/>
          <w:color w:val="323233"/>
        </w:rPr>
        <w:t>akta</w:t>
      </w:r>
      <w:proofErr w:type="spellEnd"/>
      <w:r w:rsidRPr="00970B26">
        <w:rPr>
          <w:rFonts w:ascii="Times New Roman" w:hAnsi="Times New Roman" w:cs="Arial"/>
          <w:i/>
          <w:iCs/>
          <w:color w:val="323233"/>
        </w:rPr>
        <w:t xml:space="preserve"> </w:t>
      </w:r>
      <w:proofErr w:type="spellStart"/>
      <w:r w:rsidRPr="00970B26">
        <w:rPr>
          <w:rFonts w:ascii="Times New Roman" w:hAnsi="Times New Roman" w:cs="Arial"/>
          <w:i/>
          <w:iCs/>
          <w:color w:val="323233"/>
        </w:rPr>
        <w:t>taisīšanas</w:t>
      </w:r>
      <w:proofErr w:type="spellEnd"/>
      <w:r w:rsidRPr="00970B26">
        <w:rPr>
          <w:rFonts w:ascii="Times New Roman" w:hAnsi="Times New Roman" w:cs="Arial"/>
          <w:i/>
          <w:iCs/>
          <w:color w:val="323233"/>
        </w:rPr>
        <w:t xml:space="preserve"> </w:t>
      </w:r>
      <w:proofErr w:type="spellStart"/>
      <w:r w:rsidRPr="00970B26">
        <w:rPr>
          <w:rFonts w:ascii="Times New Roman" w:hAnsi="Times New Roman" w:cs="Arial"/>
          <w:i/>
          <w:iCs/>
          <w:color w:val="323233"/>
        </w:rPr>
        <w:t>vai</w:t>
      </w:r>
      <w:proofErr w:type="spellEnd"/>
      <w:r w:rsidRPr="00970B26">
        <w:rPr>
          <w:rFonts w:ascii="Times New Roman" w:hAnsi="Times New Roman" w:cs="Arial"/>
          <w:i/>
          <w:iCs/>
          <w:color w:val="323233"/>
        </w:rPr>
        <w:t xml:space="preserve"> </w:t>
      </w:r>
      <w:proofErr w:type="spellStart"/>
      <w:r w:rsidRPr="00970B26">
        <w:rPr>
          <w:rFonts w:ascii="Times New Roman" w:hAnsi="Times New Roman" w:cs="Arial"/>
          <w:i/>
          <w:iCs/>
          <w:color w:val="323233"/>
        </w:rPr>
        <w:t>arī</w:t>
      </w:r>
      <w:proofErr w:type="spellEnd"/>
      <w:r w:rsidRPr="00970B26">
        <w:rPr>
          <w:rFonts w:ascii="Times New Roman" w:hAnsi="Times New Roman" w:cs="Arial"/>
          <w:i/>
          <w:iCs/>
          <w:color w:val="323233"/>
        </w:rPr>
        <w:t xml:space="preserve"> </w:t>
      </w:r>
      <w:proofErr w:type="spellStart"/>
      <w:r w:rsidRPr="00ED7E55">
        <w:rPr>
          <w:rFonts w:ascii="Times New Roman" w:hAnsi="Times New Roman" w:cs="Arial"/>
          <w:b/>
          <w:bCs/>
          <w:i/>
          <w:iCs/>
          <w:color w:val="323233"/>
        </w:rPr>
        <w:t>reģistra</w:t>
      </w:r>
      <w:proofErr w:type="spellEnd"/>
      <w:r w:rsidRPr="00ED7E55">
        <w:rPr>
          <w:rFonts w:ascii="Times New Roman" w:hAnsi="Times New Roman" w:cs="Arial"/>
          <w:b/>
          <w:bCs/>
          <w:i/>
          <w:iCs/>
          <w:color w:val="323233"/>
        </w:rPr>
        <w:t xml:space="preserve"> </w:t>
      </w:r>
      <w:proofErr w:type="spellStart"/>
      <w:r w:rsidRPr="00ED7E55">
        <w:rPr>
          <w:rFonts w:ascii="Times New Roman" w:hAnsi="Times New Roman" w:cs="Arial"/>
          <w:b/>
          <w:bCs/>
          <w:i/>
          <w:iCs/>
          <w:color w:val="323233"/>
        </w:rPr>
        <w:t>izrakstā</w:t>
      </w:r>
      <w:proofErr w:type="spellEnd"/>
      <w:r w:rsidRPr="00970B26">
        <w:rPr>
          <w:rFonts w:ascii="Times New Roman" w:hAnsi="Times New Roman" w:cs="Arial"/>
          <w:i/>
          <w:iCs/>
          <w:color w:val="323233"/>
        </w:rPr>
        <w:t xml:space="preserve">, kuru ne </w:t>
      </w:r>
      <w:proofErr w:type="spellStart"/>
      <w:r w:rsidRPr="00970B26">
        <w:rPr>
          <w:rFonts w:ascii="Times New Roman" w:hAnsi="Times New Roman" w:cs="Arial"/>
          <w:i/>
          <w:iCs/>
          <w:color w:val="323233"/>
        </w:rPr>
        <w:t>agrāk</w:t>
      </w:r>
      <w:proofErr w:type="spellEnd"/>
      <w:r w:rsidRPr="00970B26">
        <w:rPr>
          <w:rFonts w:ascii="Times New Roman" w:hAnsi="Times New Roman" w:cs="Arial"/>
          <w:i/>
          <w:iCs/>
          <w:color w:val="323233"/>
        </w:rPr>
        <w:t xml:space="preserve"> </w:t>
      </w:r>
      <w:proofErr w:type="spellStart"/>
      <w:r w:rsidRPr="00970B26">
        <w:rPr>
          <w:rFonts w:ascii="Times New Roman" w:hAnsi="Times New Roman" w:cs="Arial"/>
          <w:i/>
          <w:iCs/>
          <w:color w:val="323233"/>
        </w:rPr>
        <w:t>kā</w:t>
      </w:r>
      <w:proofErr w:type="spellEnd"/>
      <w:r w:rsidRPr="00970B26">
        <w:rPr>
          <w:rFonts w:ascii="Times New Roman" w:hAnsi="Times New Roman" w:cs="Arial"/>
          <w:i/>
          <w:iCs/>
          <w:color w:val="323233"/>
        </w:rPr>
        <w:t xml:space="preserve"> 15 </w:t>
      </w:r>
      <w:proofErr w:type="spellStart"/>
      <w:r w:rsidRPr="00970B26">
        <w:rPr>
          <w:rFonts w:ascii="Times New Roman" w:hAnsi="Times New Roman" w:cs="Arial"/>
          <w:i/>
          <w:iCs/>
          <w:color w:val="323233"/>
        </w:rPr>
        <w:t>dienas</w:t>
      </w:r>
      <w:proofErr w:type="spellEnd"/>
      <w:r w:rsidRPr="00970B26">
        <w:rPr>
          <w:rFonts w:ascii="Times New Roman" w:hAnsi="Times New Roman" w:cs="Arial"/>
          <w:i/>
          <w:iCs/>
          <w:color w:val="323233"/>
        </w:rPr>
        <w:t xml:space="preserve"> </w:t>
      </w:r>
      <w:proofErr w:type="spellStart"/>
      <w:r w:rsidRPr="00970B26">
        <w:rPr>
          <w:rFonts w:ascii="Times New Roman" w:hAnsi="Times New Roman" w:cs="Arial"/>
          <w:i/>
          <w:iCs/>
          <w:color w:val="323233"/>
        </w:rPr>
        <w:t>pirms</w:t>
      </w:r>
      <w:proofErr w:type="spellEnd"/>
      <w:r w:rsidRPr="00970B26">
        <w:rPr>
          <w:rFonts w:ascii="Times New Roman" w:hAnsi="Times New Roman" w:cs="Arial"/>
          <w:i/>
          <w:iCs/>
          <w:color w:val="323233"/>
        </w:rPr>
        <w:t xml:space="preserve"> </w:t>
      </w:r>
      <w:proofErr w:type="spellStart"/>
      <w:r w:rsidRPr="00970B26">
        <w:rPr>
          <w:rFonts w:ascii="Times New Roman" w:hAnsi="Times New Roman" w:cs="Arial"/>
          <w:i/>
          <w:iCs/>
          <w:color w:val="323233"/>
        </w:rPr>
        <w:t>notariālā</w:t>
      </w:r>
      <w:proofErr w:type="spellEnd"/>
      <w:r w:rsidRPr="00970B26">
        <w:rPr>
          <w:rFonts w:ascii="Times New Roman" w:hAnsi="Times New Roman" w:cs="Arial"/>
          <w:i/>
          <w:iCs/>
          <w:color w:val="323233"/>
        </w:rPr>
        <w:t xml:space="preserve"> </w:t>
      </w:r>
      <w:proofErr w:type="spellStart"/>
      <w:r w:rsidRPr="00970B26">
        <w:rPr>
          <w:rFonts w:ascii="Times New Roman" w:hAnsi="Times New Roman" w:cs="Arial"/>
          <w:i/>
          <w:iCs/>
          <w:color w:val="323233"/>
        </w:rPr>
        <w:t>akta</w:t>
      </w:r>
      <w:proofErr w:type="spellEnd"/>
      <w:r w:rsidRPr="00970B26">
        <w:rPr>
          <w:rFonts w:ascii="Times New Roman" w:hAnsi="Times New Roman" w:cs="Arial"/>
          <w:i/>
          <w:iCs/>
          <w:color w:val="323233"/>
        </w:rPr>
        <w:t xml:space="preserve"> </w:t>
      </w:r>
      <w:proofErr w:type="spellStart"/>
      <w:r w:rsidRPr="00970B26">
        <w:rPr>
          <w:rFonts w:ascii="Times New Roman" w:hAnsi="Times New Roman" w:cs="Arial"/>
          <w:i/>
          <w:iCs/>
          <w:color w:val="323233"/>
        </w:rPr>
        <w:t>taisīšanas</w:t>
      </w:r>
      <w:proofErr w:type="spellEnd"/>
      <w:r w:rsidRPr="00970B26">
        <w:rPr>
          <w:rFonts w:ascii="Times New Roman" w:hAnsi="Times New Roman" w:cs="Arial"/>
          <w:i/>
          <w:iCs/>
          <w:color w:val="323233"/>
        </w:rPr>
        <w:t xml:space="preserve"> </w:t>
      </w:r>
      <w:proofErr w:type="spellStart"/>
      <w:r w:rsidRPr="00970B26">
        <w:rPr>
          <w:rFonts w:ascii="Times New Roman" w:hAnsi="Times New Roman" w:cs="Arial"/>
          <w:i/>
          <w:iCs/>
          <w:color w:val="323233"/>
        </w:rPr>
        <w:t>apliecinājusi</w:t>
      </w:r>
      <w:proofErr w:type="spellEnd"/>
      <w:r w:rsidRPr="00970B26">
        <w:rPr>
          <w:rFonts w:ascii="Times New Roman" w:hAnsi="Times New Roman" w:cs="Arial"/>
          <w:i/>
          <w:iCs/>
          <w:color w:val="323233"/>
        </w:rPr>
        <w:t xml:space="preserve"> </w:t>
      </w:r>
      <w:proofErr w:type="spellStart"/>
      <w:r w:rsidRPr="00970B26">
        <w:rPr>
          <w:rFonts w:ascii="Times New Roman" w:hAnsi="Times New Roman" w:cs="Arial"/>
          <w:i/>
          <w:iCs/>
          <w:color w:val="323233"/>
        </w:rPr>
        <w:t>attiecīgā</w:t>
      </w:r>
      <w:proofErr w:type="spellEnd"/>
      <w:r w:rsidRPr="00970B26">
        <w:rPr>
          <w:rFonts w:ascii="Times New Roman" w:hAnsi="Times New Roman" w:cs="Arial"/>
          <w:i/>
          <w:iCs/>
          <w:color w:val="323233"/>
        </w:rPr>
        <w:t xml:space="preserve"> </w:t>
      </w:r>
      <w:proofErr w:type="spellStart"/>
      <w:r w:rsidRPr="00970B26">
        <w:rPr>
          <w:rFonts w:ascii="Times New Roman" w:hAnsi="Times New Roman" w:cs="Arial"/>
          <w:i/>
          <w:iCs/>
          <w:color w:val="323233"/>
        </w:rPr>
        <w:t>reģistra</w:t>
      </w:r>
      <w:proofErr w:type="spellEnd"/>
      <w:r w:rsidRPr="00970B26">
        <w:rPr>
          <w:rFonts w:ascii="Times New Roman" w:hAnsi="Times New Roman" w:cs="Arial"/>
          <w:i/>
          <w:iCs/>
          <w:color w:val="323233"/>
        </w:rPr>
        <w:t xml:space="preserve"> </w:t>
      </w:r>
      <w:proofErr w:type="spellStart"/>
      <w:r w:rsidRPr="00970B26">
        <w:rPr>
          <w:rFonts w:ascii="Times New Roman" w:hAnsi="Times New Roman" w:cs="Arial"/>
          <w:i/>
          <w:iCs/>
          <w:color w:val="323233"/>
        </w:rPr>
        <w:t>iestāde</w:t>
      </w:r>
      <w:proofErr w:type="spellEnd"/>
      <w:r w:rsidRPr="00970B26">
        <w:rPr>
          <w:rFonts w:ascii="Times New Roman" w:hAnsi="Times New Roman" w:cs="Arial"/>
          <w:i/>
          <w:iCs/>
          <w:color w:val="323233"/>
        </w:rPr>
        <w:t xml:space="preserve">. </w:t>
      </w:r>
      <w:proofErr w:type="spellStart"/>
      <w:r w:rsidRPr="008452A8">
        <w:rPr>
          <w:rFonts w:ascii="Times New Roman" w:hAnsi="Times New Roman" w:cs="Arial"/>
          <w:i/>
          <w:iCs/>
          <w:color w:val="323233"/>
          <w:u w:val="single"/>
        </w:rPr>
        <w:t>Ārvalstu</w:t>
      </w:r>
      <w:proofErr w:type="spellEnd"/>
      <w:r w:rsidRPr="008452A8">
        <w:rPr>
          <w:rFonts w:ascii="Times New Roman" w:hAnsi="Times New Roman" w:cs="Arial"/>
          <w:i/>
          <w:iCs/>
          <w:color w:val="323233"/>
          <w:u w:val="single"/>
        </w:rPr>
        <w:t xml:space="preserve"> </w:t>
      </w:r>
      <w:proofErr w:type="spellStart"/>
      <w:r w:rsidRPr="008452A8">
        <w:rPr>
          <w:rFonts w:ascii="Times New Roman" w:hAnsi="Times New Roman" w:cs="Arial"/>
          <w:i/>
          <w:iCs/>
          <w:color w:val="323233"/>
          <w:u w:val="single"/>
        </w:rPr>
        <w:t>reģistriem</w:t>
      </w:r>
      <w:proofErr w:type="spellEnd"/>
      <w:r w:rsidRPr="00970B26">
        <w:rPr>
          <w:rFonts w:ascii="Times New Roman" w:hAnsi="Times New Roman" w:cs="Arial"/>
          <w:i/>
          <w:iCs/>
          <w:color w:val="323233"/>
        </w:rPr>
        <w:t xml:space="preserve"> </w:t>
      </w:r>
      <w:proofErr w:type="spellStart"/>
      <w:r w:rsidRPr="00970B26">
        <w:rPr>
          <w:rFonts w:ascii="Times New Roman" w:hAnsi="Times New Roman" w:cs="Arial"/>
          <w:i/>
          <w:iCs/>
          <w:color w:val="323233"/>
        </w:rPr>
        <w:t>piemērojams</w:t>
      </w:r>
      <w:proofErr w:type="spellEnd"/>
      <w:r w:rsidRPr="00970B26">
        <w:rPr>
          <w:rFonts w:ascii="Times New Roman" w:hAnsi="Times New Roman" w:cs="Arial"/>
          <w:i/>
          <w:iCs/>
          <w:color w:val="323233"/>
        </w:rPr>
        <w:t xml:space="preserve"> 30 </w:t>
      </w:r>
      <w:proofErr w:type="spellStart"/>
      <w:r w:rsidRPr="00970B26">
        <w:rPr>
          <w:rFonts w:ascii="Times New Roman" w:hAnsi="Times New Roman" w:cs="Arial"/>
          <w:i/>
          <w:iCs/>
          <w:color w:val="323233"/>
        </w:rPr>
        <w:t>dienu</w:t>
      </w:r>
      <w:proofErr w:type="spellEnd"/>
      <w:r w:rsidRPr="00970B26">
        <w:rPr>
          <w:rFonts w:ascii="Times New Roman" w:hAnsi="Times New Roman" w:cs="Arial"/>
          <w:i/>
          <w:iCs/>
          <w:color w:val="323233"/>
        </w:rPr>
        <w:t xml:space="preserve"> </w:t>
      </w:r>
      <w:proofErr w:type="spellStart"/>
      <w:r w:rsidRPr="00970B26">
        <w:rPr>
          <w:rFonts w:ascii="Times New Roman" w:hAnsi="Times New Roman" w:cs="Arial"/>
          <w:i/>
          <w:iCs/>
          <w:color w:val="323233"/>
        </w:rPr>
        <w:t>termiņš</w:t>
      </w:r>
      <w:proofErr w:type="spellEnd"/>
      <w:r w:rsidRPr="00970B26">
        <w:rPr>
          <w:rFonts w:ascii="Times New Roman" w:hAnsi="Times New Roman" w:cs="Arial"/>
          <w:i/>
          <w:iCs/>
          <w:color w:val="323233"/>
        </w:rPr>
        <w:t xml:space="preserve">. </w:t>
      </w:r>
      <w:proofErr w:type="spellStart"/>
      <w:r w:rsidRPr="00970B26">
        <w:rPr>
          <w:rFonts w:ascii="Times New Roman" w:hAnsi="Times New Roman" w:cs="Arial"/>
          <w:i/>
          <w:iCs/>
          <w:color w:val="323233"/>
        </w:rPr>
        <w:t>Zvērināts</w:t>
      </w:r>
      <w:proofErr w:type="spellEnd"/>
      <w:r w:rsidRPr="00970B26">
        <w:rPr>
          <w:rFonts w:ascii="Times New Roman" w:hAnsi="Times New Roman" w:cs="Arial"/>
          <w:i/>
          <w:iCs/>
          <w:color w:val="323233"/>
        </w:rPr>
        <w:t xml:space="preserve"> </w:t>
      </w:r>
      <w:proofErr w:type="spellStart"/>
      <w:r w:rsidRPr="00970B26">
        <w:rPr>
          <w:rFonts w:ascii="Times New Roman" w:hAnsi="Times New Roman" w:cs="Arial"/>
          <w:i/>
          <w:iCs/>
          <w:color w:val="323233"/>
        </w:rPr>
        <w:t>notārs</w:t>
      </w:r>
      <w:proofErr w:type="spellEnd"/>
      <w:r w:rsidRPr="00970B26">
        <w:rPr>
          <w:rFonts w:ascii="Times New Roman" w:hAnsi="Times New Roman" w:cs="Arial"/>
          <w:i/>
          <w:iCs/>
          <w:color w:val="323233"/>
        </w:rPr>
        <w:t xml:space="preserve"> </w:t>
      </w:r>
      <w:proofErr w:type="spellStart"/>
      <w:r w:rsidRPr="00970B26">
        <w:rPr>
          <w:rFonts w:ascii="Times New Roman" w:hAnsi="Times New Roman" w:cs="Arial"/>
          <w:i/>
          <w:iCs/>
          <w:color w:val="323233"/>
        </w:rPr>
        <w:t>aktā</w:t>
      </w:r>
      <w:proofErr w:type="spellEnd"/>
      <w:r w:rsidRPr="00970B26">
        <w:rPr>
          <w:rFonts w:ascii="Times New Roman" w:hAnsi="Times New Roman" w:cs="Arial"/>
          <w:i/>
          <w:iCs/>
          <w:color w:val="323233"/>
        </w:rPr>
        <w:t xml:space="preserve"> </w:t>
      </w:r>
      <w:proofErr w:type="spellStart"/>
      <w:r w:rsidRPr="00970B26">
        <w:rPr>
          <w:rFonts w:ascii="Times New Roman" w:hAnsi="Times New Roman" w:cs="Arial"/>
          <w:i/>
          <w:iCs/>
          <w:color w:val="323233"/>
        </w:rPr>
        <w:t>norāda</w:t>
      </w:r>
      <w:proofErr w:type="spellEnd"/>
      <w:r w:rsidRPr="00970B26">
        <w:rPr>
          <w:rFonts w:ascii="Times New Roman" w:hAnsi="Times New Roman" w:cs="Arial"/>
          <w:i/>
          <w:iCs/>
          <w:color w:val="323233"/>
        </w:rPr>
        <w:t xml:space="preserve"> </w:t>
      </w:r>
      <w:proofErr w:type="spellStart"/>
      <w:r w:rsidRPr="00970B26">
        <w:rPr>
          <w:rFonts w:ascii="Times New Roman" w:hAnsi="Times New Roman" w:cs="Arial"/>
          <w:i/>
          <w:iCs/>
          <w:color w:val="323233"/>
        </w:rPr>
        <w:t>datumu</w:t>
      </w:r>
      <w:proofErr w:type="spellEnd"/>
      <w:r w:rsidRPr="00970B26">
        <w:rPr>
          <w:rFonts w:ascii="Times New Roman" w:hAnsi="Times New Roman" w:cs="Arial"/>
          <w:i/>
          <w:iCs/>
          <w:color w:val="323233"/>
        </w:rPr>
        <w:t xml:space="preserve">, </w:t>
      </w:r>
      <w:proofErr w:type="spellStart"/>
      <w:r w:rsidRPr="00970B26">
        <w:rPr>
          <w:rFonts w:ascii="Times New Roman" w:hAnsi="Times New Roman" w:cs="Arial"/>
          <w:i/>
          <w:iCs/>
          <w:color w:val="323233"/>
        </w:rPr>
        <w:t>kad</w:t>
      </w:r>
      <w:proofErr w:type="spellEnd"/>
      <w:r w:rsidRPr="00970B26">
        <w:rPr>
          <w:rFonts w:ascii="Times New Roman" w:hAnsi="Times New Roman" w:cs="Arial"/>
          <w:i/>
          <w:iCs/>
          <w:color w:val="323233"/>
        </w:rPr>
        <w:t xml:space="preserve"> </w:t>
      </w:r>
      <w:proofErr w:type="spellStart"/>
      <w:r w:rsidRPr="00970B26">
        <w:rPr>
          <w:rFonts w:ascii="Times New Roman" w:hAnsi="Times New Roman" w:cs="Arial"/>
          <w:i/>
          <w:iCs/>
          <w:color w:val="323233"/>
        </w:rPr>
        <w:t>pārbaudījis</w:t>
      </w:r>
      <w:proofErr w:type="spellEnd"/>
      <w:r w:rsidRPr="00970B26">
        <w:rPr>
          <w:rFonts w:ascii="Times New Roman" w:hAnsi="Times New Roman" w:cs="Arial"/>
          <w:i/>
          <w:iCs/>
          <w:color w:val="323233"/>
        </w:rPr>
        <w:t xml:space="preserve"> </w:t>
      </w:r>
      <w:proofErr w:type="spellStart"/>
      <w:r w:rsidRPr="00970B26">
        <w:rPr>
          <w:rFonts w:ascii="Times New Roman" w:hAnsi="Times New Roman" w:cs="Arial"/>
          <w:i/>
          <w:iCs/>
          <w:color w:val="323233"/>
        </w:rPr>
        <w:t>ziņas</w:t>
      </w:r>
      <w:proofErr w:type="spellEnd"/>
      <w:r w:rsidRPr="00970B26">
        <w:rPr>
          <w:rFonts w:ascii="Times New Roman" w:hAnsi="Times New Roman" w:cs="Arial"/>
          <w:i/>
          <w:iCs/>
          <w:color w:val="323233"/>
        </w:rPr>
        <w:t xml:space="preserve">, </w:t>
      </w:r>
      <w:proofErr w:type="spellStart"/>
      <w:r w:rsidRPr="00970B26">
        <w:rPr>
          <w:rFonts w:ascii="Times New Roman" w:hAnsi="Times New Roman" w:cs="Arial"/>
          <w:i/>
          <w:iCs/>
          <w:color w:val="323233"/>
        </w:rPr>
        <w:t>vai</w:t>
      </w:r>
      <w:proofErr w:type="spellEnd"/>
      <w:r>
        <w:rPr>
          <w:rFonts w:ascii="Times New Roman" w:hAnsi="Times New Roman" w:cs="Arial"/>
          <w:i/>
          <w:iCs/>
          <w:color w:val="323233"/>
        </w:rPr>
        <w:t xml:space="preserve"> </w:t>
      </w:r>
      <w:proofErr w:type="spellStart"/>
      <w:r>
        <w:rPr>
          <w:rFonts w:ascii="Times New Roman" w:hAnsi="Times New Roman" w:cs="Arial"/>
          <w:i/>
          <w:iCs/>
          <w:color w:val="323233"/>
        </w:rPr>
        <w:t>izraksta</w:t>
      </w:r>
      <w:proofErr w:type="spellEnd"/>
      <w:r>
        <w:rPr>
          <w:rFonts w:ascii="Times New Roman" w:hAnsi="Times New Roman" w:cs="Arial"/>
          <w:i/>
          <w:iCs/>
          <w:color w:val="323233"/>
        </w:rPr>
        <w:t xml:space="preserve"> </w:t>
      </w:r>
      <w:proofErr w:type="spellStart"/>
      <w:r>
        <w:rPr>
          <w:rFonts w:ascii="Times New Roman" w:hAnsi="Times New Roman" w:cs="Arial"/>
          <w:i/>
          <w:iCs/>
          <w:color w:val="323233"/>
        </w:rPr>
        <w:t>apliecināšanas</w:t>
      </w:r>
      <w:proofErr w:type="spellEnd"/>
      <w:r>
        <w:rPr>
          <w:rFonts w:ascii="Times New Roman" w:hAnsi="Times New Roman" w:cs="Arial"/>
          <w:i/>
          <w:iCs/>
          <w:color w:val="323233"/>
        </w:rPr>
        <w:t xml:space="preserve"> </w:t>
      </w:r>
      <w:proofErr w:type="spellStart"/>
      <w:r>
        <w:rPr>
          <w:rFonts w:ascii="Times New Roman" w:hAnsi="Times New Roman" w:cs="Arial"/>
          <w:i/>
          <w:iCs/>
          <w:color w:val="323233"/>
        </w:rPr>
        <w:t>datumu</w:t>
      </w:r>
      <w:proofErr w:type="spellEnd"/>
      <w:r>
        <w:rPr>
          <w:rFonts w:ascii="Times New Roman" w:hAnsi="Times New Roman" w:cs="Arial"/>
          <w:i/>
          <w:iCs/>
          <w:color w:val="323233"/>
          <w:lang w:val="de-DE"/>
        </w:rPr>
        <w:t>“.</w:t>
      </w:r>
    </w:p>
    <w:p w14:paraId="6146D140" w14:textId="77777777" w:rsidR="00114953" w:rsidRDefault="00114953" w:rsidP="00114953">
      <w:pPr>
        <w:widowControl w:val="0"/>
        <w:autoSpaceDE w:val="0"/>
        <w:autoSpaceDN w:val="0"/>
        <w:adjustRightInd w:val="0"/>
        <w:jc w:val="both"/>
        <w:rPr>
          <w:rFonts w:ascii="Times New Roman" w:hAnsi="Times New Roman" w:cs="Arial"/>
          <w:i/>
          <w:iCs/>
          <w:color w:val="323233"/>
          <w:lang w:val="de-DE"/>
        </w:rPr>
      </w:pPr>
    </w:p>
    <w:p w14:paraId="74D66607" w14:textId="77777777" w:rsidR="00114953" w:rsidRPr="000C7C76" w:rsidRDefault="00114953" w:rsidP="00114953">
      <w:pPr>
        <w:widowControl w:val="0"/>
        <w:autoSpaceDE w:val="0"/>
        <w:autoSpaceDN w:val="0"/>
        <w:adjustRightInd w:val="0"/>
        <w:ind w:firstLine="708"/>
        <w:jc w:val="both"/>
        <w:rPr>
          <w:rFonts w:ascii="Times New Roman" w:hAnsi="Times New Roman" w:cs="Arial"/>
          <w:color w:val="323233"/>
          <w:lang w:val="de-DE"/>
        </w:rPr>
      </w:pPr>
      <w:proofErr w:type="spellStart"/>
      <w:r>
        <w:rPr>
          <w:rFonts w:ascii="Times New Roman" w:hAnsi="Times New Roman" w:cs="Arial"/>
          <w:color w:val="323233"/>
          <w:lang w:val="de-DE"/>
        </w:rPr>
        <w:t>No</w:t>
      </w:r>
      <w:proofErr w:type="spellEnd"/>
      <w:r>
        <w:rPr>
          <w:rFonts w:ascii="Times New Roman" w:hAnsi="Times New Roman" w:cs="Arial"/>
          <w:color w:val="323233"/>
          <w:lang w:val="de-DE"/>
        </w:rPr>
        <w:t xml:space="preserve"> </w:t>
      </w:r>
      <w:proofErr w:type="spellStart"/>
      <w:r>
        <w:rPr>
          <w:rFonts w:ascii="Times New Roman" w:hAnsi="Times New Roman" w:cs="Arial"/>
          <w:color w:val="323233"/>
          <w:lang w:val="de-DE"/>
        </w:rPr>
        <w:t>minētās</w:t>
      </w:r>
      <w:proofErr w:type="spellEnd"/>
      <w:r>
        <w:rPr>
          <w:rFonts w:ascii="Times New Roman" w:hAnsi="Times New Roman" w:cs="Arial"/>
          <w:color w:val="323233"/>
          <w:lang w:val="de-DE"/>
        </w:rPr>
        <w:t xml:space="preserve"> </w:t>
      </w:r>
      <w:proofErr w:type="spellStart"/>
      <w:r>
        <w:rPr>
          <w:rFonts w:ascii="Times New Roman" w:hAnsi="Times New Roman" w:cs="Arial"/>
          <w:color w:val="323233"/>
          <w:lang w:val="de-DE"/>
        </w:rPr>
        <w:t>tiesību</w:t>
      </w:r>
      <w:proofErr w:type="spellEnd"/>
      <w:r>
        <w:rPr>
          <w:rFonts w:ascii="Times New Roman" w:hAnsi="Times New Roman" w:cs="Arial"/>
          <w:color w:val="323233"/>
          <w:lang w:val="de-DE"/>
        </w:rPr>
        <w:t xml:space="preserve"> </w:t>
      </w:r>
      <w:proofErr w:type="spellStart"/>
      <w:r>
        <w:rPr>
          <w:rFonts w:ascii="Times New Roman" w:hAnsi="Times New Roman" w:cs="Arial"/>
          <w:color w:val="323233"/>
          <w:lang w:val="de-DE"/>
        </w:rPr>
        <w:t>normas</w:t>
      </w:r>
      <w:proofErr w:type="spellEnd"/>
      <w:r>
        <w:rPr>
          <w:rFonts w:ascii="Times New Roman" w:hAnsi="Times New Roman" w:cs="Arial"/>
          <w:color w:val="323233"/>
          <w:lang w:val="de-DE"/>
        </w:rPr>
        <w:t xml:space="preserve"> </w:t>
      </w:r>
      <w:proofErr w:type="spellStart"/>
      <w:r>
        <w:rPr>
          <w:rFonts w:ascii="Times New Roman" w:hAnsi="Times New Roman" w:cs="Arial"/>
          <w:color w:val="323233"/>
          <w:lang w:val="de-DE"/>
        </w:rPr>
        <w:t>izriet</w:t>
      </w:r>
      <w:proofErr w:type="spellEnd"/>
      <w:r>
        <w:rPr>
          <w:rFonts w:ascii="Times New Roman" w:hAnsi="Times New Roman" w:cs="Arial"/>
          <w:color w:val="323233"/>
          <w:lang w:val="de-DE"/>
        </w:rPr>
        <w:t xml:space="preserve">, </w:t>
      </w:r>
      <w:proofErr w:type="spellStart"/>
      <w:r>
        <w:rPr>
          <w:rFonts w:ascii="Times New Roman" w:hAnsi="Times New Roman" w:cs="Arial"/>
          <w:color w:val="323233"/>
          <w:lang w:val="de-DE"/>
        </w:rPr>
        <w:t>ka</w:t>
      </w:r>
      <w:proofErr w:type="spellEnd"/>
      <w:r>
        <w:rPr>
          <w:rFonts w:ascii="Times New Roman" w:hAnsi="Times New Roman" w:cs="Arial"/>
          <w:color w:val="323233"/>
          <w:lang w:val="de-DE"/>
        </w:rPr>
        <w:t xml:space="preserve"> </w:t>
      </w:r>
      <w:proofErr w:type="spellStart"/>
      <w:r w:rsidRPr="000C7C76">
        <w:rPr>
          <w:rFonts w:ascii="Times New Roman" w:hAnsi="Times New Roman" w:cs="Arial"/>
          <w:color w:val="323233"/>
          <w:u w:val="single"/>
          <w:lang w:val="de-DE"/>
        </w:rPr>
        <w:t>ieraksti</w:t>
      </w:r>
      <w:proofErr w:type="spellEnd"/>
      <w:r w:rsidRPr="000C7C76">
        <w:rPr>
          <w:rFonts w:ascii="Times New Roman" w:hAnsi="Times New Roman" w:cs="Arial"/>
          <w:color w:val="323233"/>
          <w:lang w:val="de-DE"/>
        </w:rPr>
        <w:t xml:space="preserve"> </w:t>
      </w:r>
      <w:proofErr w:type="spellStart"/>
      <w:r w:rsidRPr="000C7C76">
        <w:rPr>
          <w:rFonts w:ascii="Times New Roman" w:hAnsi="Times New Roman" w:cs="Arial"/>
          <w:color w:val="323233"/>
          <w:lang w:val="de-DE"/>
        </w:rPr>
        <w:t>Komercreģistrā</w:t>
      </w:r>
      <w:proofErr w:type="spellEnd"/>
      <w:r w:rsidRPr="000C7C76">
        <w:rPr>
          <w:rFonts w:ascii="Times New Roman" w:hAnsi="Times New Roman" w:cs="Arial"/>
          <w:color w:val="323233"/>
          <w:lang w:val="de-DE"/>
        </w:rPr>
        <w:t xml:space="preserve"> </w:t>
      </w:r>
      <w:proofErr w:type="spellStart"/>
      <w:r w:rsidRPr="000C7C76">
        <w:rPr>
          <w:rFonts w:ascii="Times New Roman" w:hAnsi="Times New Roman" w:cs="Arial"/>
          <w:color w:val="323233"/>
          <w:lang w:val="de-DE"/>
        </w:rPr>
        <w:t>vai</w:t>
      </w:r>
      <w:proofErr w:type="spellEnd"/>
      <w:r w:rsidRPr="000C7C76">
        <w:rPr>
          <w:rFonts w:ascii="Times New Roman" w:hAnsi="Times New Roman" w:cs="Arial"/>
          <w:color w:val="323233"/>
          <w:lang w:val="de-DE"/>
        </w:rPr>
        <w:t xml:space="preserve"> </w:t>
      </w:r>
      <w:proofErr w:type="spellStart"/>
      <w:r w:rsidRPr="000C7C76">
        <w:rPr>
          <w:rFonts w:ascii="Times New Roman" w:hAnsi="Times New Roman" w:cs="Arial"/>
          <w:color w:val="323233"/>
          <w:lang w:val="de-DE"/>
        </w:rPr>
        <w:t>citos</w:t>
      </w:r>
      <w:proofErr w:type="spellEnd"/>
      <w:r w:rsidRPr="000C7C76">
        <w:rPr>
          <w:rFonts w:ascii="Times New Roman" w:hAnsi="Times New Roman" w:cs="Arial"/>
          <w:color w:val="323233"/>
          <w:lang w:val="de-DE"/>
        </w:rPr>
        <w:t xml:space="preserve"> </w:t>
      </w:r>
      <w:proofErr w:type="spellStart"/>
      <w:r w:rsidRPr="000C7C76">
        <w:rPr>
          <w:rFonts w:ascii="Times New Roman" w:hAnsi="Times New Roman" w:cs="Arial"/>
          <w:color w:val="323233"/>
          <w:lang w:val="de-DE"/>
        </w:rPr>
        <w:t>publiskos</w:t>
      </w:r>
      <w:proofErr w:type="spellEnd"/>
      <w:r w:rsidRPr="000C7C76">
        <w:rPr>
          <w:rFonts w:ascii="Times New Roman" w:hAnsi="Times New Roman" w:cs="Arial"/>
          <w:color w:val="323233"/>
          <w:lang w:val="de-DE"/>
        </w:rPr>
        <w:t xml:space="preserve"> </w:t>
      </w:r>
      <w:proofErr w:type="spellStart"/>
      <w:r w:rsidRPr="000C7C76">
        <w:rPr>
          <w:rFonts w:ascii="Times New Roman" w:hAnsi="Times New Roman" w:cs="Arial"/>
          <w:color w:val="323233"/>
          <w:lang w:val="de-DE"/>
        </w:rPr>
        <w:t>reģistros</w:t>
      </w:r>
      <w:proofErr w:type="spellEnd"/>
      <w:r w:rsidRPr="000C7C76">
        <w:rPr>
          <w:rFonts w:ascii="Times New Roman" w:hAnsi="Times New Roman" w:cs="Arial"/>
          <w:color w:val="323233"/>
          <w:lang w:val="de-DE"/>
        </w:rPr>
        <w:t xml:space="preserve"> </w:t>
      </w:r>
      <w:proofErr w:type="spellStart"/>
      <w:r w:rsidRPr="000C7C76">
        <w:rPr>
          <w:rFonts w:ascii="Times New Roman" w:hAnsi="Times New Roman" w:cs="Arial"/>
          <w:color w:val="323233"/>
          <w:lang w:val="de-DE"/>
        </w:rPr>
        <w:t>statusa</w:t>
      </w:r>
      <w:proofErr w:type="spellEnd"/>
      <w:r w:rsidRPr="000C7C76">
        <w:rPr>
          <w:rFonts w:ascii="Times New Roman" w:hAnsi="Times New Roman" w:cs="Arial"/>
          <w:color w:val="323233"/>
          <w:lang w:val="de-DE"/>
        </w:rPr>
        <w:t xml:space="preserve"> </w:t>
      </w:r>
      <w:proofErr w:type="spellStart"/>
      <w:r w:rsidRPr="000C7C76">
        <w:rPr>
          <w:rFonts w:ascii="Times New Roman" w:hAnsi="Times New Roman" w:cs="Arial"/>
          <w:color w:val="323233"/>
          <w:lang w:val="de-DE"/>
        </w:rPr>
        <w:t>un</w:t>
      </w:r>
      <w:proofErr w:type="spellEnd"/>
      <w:r w:rsidRPr="000C7C76">
        <w:rPr>
          <w:rFonts w:ascii="Times New Roman" w:hAnsi="Times New Roman" w:cs="Arial"/>
          <w:color w:val="323233"/>
          <w:lang w:val="de-DE"/>
        </w:rPr>
        <w:t xml:space="preserve"> </w:t>
      </w:r>
      <w:proofErr w:type="spellStart"/>
      <w:r w:rsidRPr="000C7C76">
        <w:rPr>
          <w:rFonts w:ascii="Times New Roman" w:hAnsi="Times New Roman" w:cs="Arial"/>
          <w:color w:val="323233"/>
          <w:lang w:val="de-DE"/>
        </w:rPr>
        <w:t>ticamības</w:t>
      </w:r>
      <w:proofErr w:type="spellEnd"/>
      <w:r w:rsidRPr="000C7C76">
        <w:rPr>
          <w:rFonts w:ascii="Times New Roman" w:hAnsi="Times New Roman" w:cs="Arial"/>
          <w:color w:val="323233"/>
          <w:lang w:val="de-DE"/>
        </w:rPr>
        <w:t xml:space="preserve"> </w:t>
      </w:r>
      <w:proofErr w:type="spellStart"/>
      <w:r w:rsidRPr="000C7C76">
        <w:rPr>
          <w:rFonts w:ascii="Times New Roman" w:hAnsi="Times New Roman" w:cs="Arial"/>
          <w:color w:val="323233"/>
          <w:lang w:val="de-DE"/>
        </w:rPr>
        <w:t>ziņā</w:t>
      </w:r>
      <w:proofErr w:type="spellEnd"/>
      <w:r w:rsidRPr="000C7C76">
        <w:rPr>
          <w:rFonts w:ascii="Times New Roman" w:hAnsi="Times New Roman" w:cs="Arial"/>
          <w:color w:val="323233"/>
          <w:lang w:val="de-DE"/>
        </w:rPr>
        <w:t xml:space="preserve"> </w:t>
      </w:r>
      <w:proofErr w:type="spellStart"/>
      <w:r w:rsidRPr="000C7C76">
        <w:rPr>
          <w:rFonts w:ascii="Times New Roman" w:hAnsi="Times New Roman" w:cs="Arial"/>
          <w:color w:val="323233"/>
          <w:lang w:val="de-DE"/>
        </w:rPr>
        <w:t>tiek</w:t>
      </w:r>
      <w:proofErr w:type="spellEnd"/>
      <w:r w:rsidRPr="000C7C76">
        <w:rPr>
          <w:rFonts w:ascii="Times New Roman" w:hAnsi="Times New Roman" w:cs="Arial"/>
          <w:color w:val="323233"/>
          <w:lang w:val="de-DE"/>
        </w:rPr>
        <w:t xml:space="preserve"> </w:t>
      </w:r>
      <w:proofErr w:type="spellStart"/>
      <w:r w:rsidRPr="000C7C76">
        <w:rPr>
          <w:rFonts w:ascii="Times New Roman" w:hAnsi="Times New Roman" w:cs="Arial"/>
          <w:color w:val="323233"/>
          <w:lang w:val="de-DE"/>
        </w:rPr>
        <w:t>pielīdzināti</w:t>
      </w:r>
      <w:proofErr w:type="spellEnd"/>
      <w:r w:rsidRPr="000C7C76">
        <w:rPr>
          <w:rFonts w:ascii="Times New Roman" w:hAnsi="Times New Roman" w:cs="Arial"/>
          <w:color w:val="323233"/>
          <w:lang w:val="de-DE"/>
        </w:rPr>
        <w:t xml:space="preserve"> </w:t>
      </w:r>
      <w:proofErr w:type="spellStart"/>
      <w:r w:rsidRPr="000C7C76">
        <w:rPr>
          <w:rFonts w:ascii="Times New Roman" w:hAnsi="Times New Roman" w:cs="Arial"/>
          <w:color w:val="323233"/>
          <w:lang w:val="de-DE"/>
        </w:rPr>
        <w:t>publiskiem</w:t>
      </w:r>
      <w:proofErr w:type="spellEnd"/>
      <w:r w:rsidRPr="000C7C76">
        <w:rPr>
          <w:rFonts w:ascii="Times New Roman" w:hAnsi="Times New Roman" w:cs="Arial"/>
          <w:color w:val="323233"/>
          <w:lang w:val="de-DE"/>
        </w:rPr>
        <w:t xml:space="preserve"> </w:t>
      </w:r>
      <w:proofErr w:type="spellStart"/>
      <w:r w:rsidRPr="000C7C76">
        <w:rPr>
          <w:rFonts w:ascii="Times New Roman" w:hAnsi="Times New Roman" w:cs="Arial"/>
          <w:color w:val="323233"/>
          <w:lang w:val="de-DE"/>
        </w:rPr>
        <w:t>dokumentiem</w:t>
      </w:r>
      <w:proofErr w:type="spellEnd"/>
      <w:r w:rsidRPr="000C7C76">
        <w:rPr>
          <w:rFonts w:ascii="Times New Roman" w:hAnsi="Times New Roman" w:cs="Arial"/>
          <w:color w:val="323233"/>
          <w:lang w:val="de-DE"/>
        </w:rPr>
        <w:t xml:space="preserve">. </w:t>
      </w:r>
      <w:proofErr w:type="spellStart"/>
      <w:r w:rsidRPr="000C7C76">
        <w:rPr>
          <w:rFonts w:ascii="Times New Roman" w:hAnsi="Times New Roman" w:cs="Arial"/>
          <w:color w:val="323233"/>
          <w:lang w:val="de-DE"/>
        </w:rPr>
        <w:t>Taču</w:t>
      </w:r>
      <w:proofErr w:type="spellEnd"/>
      <w:r w:rsidRPr="000C7C76">
        <w:rPr>
          <w:rFonts w:ascii="Times New Roman" w:hAnsi="Times New Roman" w:cs="Arial"/>
          <w:color w:val="323233"/>
          <w:lang w:val="de-DE"/>
        </w:rPr>
        <w:t xml:space="preserve"> </w:t>
      </w:r>
      <w:proofErr w:type="spellStart"/>
      <w:r w:rsidRPr="000C7C76">
        <w:rPr>
          <w:rFonts w:ascii="Times New Roman" w:hAnsi="Times New Roman" w:cs="Arial"/>
          <w:color w:val="323233"/>
          <w:lang w:val="de-DE"/>
        </w:rPr>
        <w:t>jāatzīmē</w:t>
      </w:r>
      <w:proofErr w:type="spellEnd"/>
      <w:r w:rsidRPr="000C7C76">
        <w:rPr>
          <w:rFonts w:ascii="Times New Roman" w:hAnsi="Times New Roman" w:cs="Arial"/>
          <w:color w:val="323233"/>
          <w:lang w:val="de-DE"/>
        </w:rPr>
        <w:t xml:space="preserve">, </w:t>
      </w:r>
      <w:proofErr w:type="spellStart"/>
      <w:r w:rsidRPr="000C7C76">
        <w:rPr>
          <w:rFonts w:ascii="Times New Roman" w:hAnsi="Times New Roman" w:cs="Arial"/>
          <w:color w:val="323233"/>
          <w:lang w:val="de-DE"/>
        </w:rPr>
        <w:t>ka</w:t>
      </w:r>
      <w:proofErr w:type="spellEnd"/>
      <w:r w:rsidRPr="000C7C76">
        <w:rPr>
          <w:rFonts w:ascii="Times New Roman" w:hAnsi="Times New Roman" w:cs="Arial"/>
          <w:color w:val="323233"/>
          <w:lang w:val="de-DE"/>
        </w:rPr>
        <w:t xml:space="preserve"> </w:t>
      </w:r>
      <w:proofErr w:type="spellStart"/>
      <w:r w:rsidRPr="000C7C76">
        <w:rPr>
          <w:rFonts w:ascii="Times New Roman" w:hAnsi="Times New Roman" w:cs="Arial"/>
          <w:color w:val="323233"/>
          <w:lang w:val="de-DE"/>
        </w:rPr>
        <w:t>ieraksts</w:t>
      </w:r>
      <w:proofErr w:type="spellEnd"/>
      <w:r w:rsidRPr="000C7C76">
        <w:rPr>
          <w:rFonts w:ascii="Times New Roman" w:hAnsi="Times New Roman" w:cs="Arial"/>
          <w:color w:val="323233"/>
          <w:lang w:val="de-DE"/>
        </w:rPr>
        <w:t xml:space="preserve"> </w:t>
      </w:r>
      <w:proofErr w:type="spellStart"/>
      <w:r w:rsidRPr="000C7C76">
        <w:rPr>
          <w:rFonts w:ascii="Times New Roman" w:hAnsi="Times New Roman" w:cs="Arial"/>
          <w:color w:val="323233"/>
          <w:lang w:val="de-DE"/>
        </w:rPr>
        <w:t>reģistrā</w:t>
      </w:r>
      <w:proofErr w:type="spellEnd"/>
      <w:r w:rsidRPr="000C7C76">
        <w:rPr>
          <w:rFonts w:ascii="Times New Roman" w:hAnsi="Times New Roman" w:cs="Arial"/>
          <w:color w:val="323233"/>
          <w:lang w:val="de-DE"/>
        </w:rPr>
        <w:t xml:space="preserve"> </w:t>
      </w:r>
      <w:proofErr w:type="spellStart"/>
      <w:r w:rsidRPr="000C7C76">
        <w:rPr>
          <w:rFonts w:ascii="Times New Roman" w:hAnsi="Times New Roman" w:cs="Arial"/>
          <w:color w:val="323233"/>
          <w:lang w:val="de-DE"/>
        </w:rPr>
        <w:t>un</w:t>
      </w:r>
      <w:proofErr w:type="spellEnd"/>
      <w:r w:rsidRPr="000C7C76">
        <w:rPr>
          <w:rFonts w:ascii="Times New Roman" w:hAnsi="Times New Roman" w:cs="Arial"/>
          <w:color w:val="323233"/>
          <w:lang w:val="de-DE"/>
        </w:rPr>
        <w:t xml:space="preserve"> </w:t>
      </w:r>
      <w:proofErr w:type="spellStart"/>
      <w:r w:rsidRPr="000C7C76">
        <w:rPr>
          <w:rFonts w:ascii="Times New Roman" w:hAnsi="Times New Roman" w:cs="Arial"/>
          <w:color w:val="323233"/>
          <w:lang w:val="de-DE"/>
        </w:rPr>
        <w:t>izraksts</w:t>
      </w:r>
      <w:proofErr w:type="spellEnd"/>
      <w:r w:rsidRPr="000C7C76">
        <w:rPr>
          <w:rFonts w:ascii="Times New Roman" w:hAnsi="Times New Roman" w:cs="Arial"/>
          <w:color w:val="323233"/>
          <w:lang w:val="de-DE"/>
        </w:rPr>
        <w:t xml:space="preserve"> </w:t>
      </w:r>
      <w:proofErr w:type="spellStart"/>
      <w:r w:rsidRPr="000C7C76">
        <w:rPr>
          <w:rFonts w:ascii="Times New Roman" w:hAnsi="Times New Roman" w:cs="Arial"/>
          <w:color w:val="323233"/>
          <w:lang w:val="de-DE"/>
        </w:rPr>
        <w:t>no</w:t>
      </w:r>
      <w:proofErr w:type="spellEnd"/>
      <w:r w:rsidRPr="000C7C76">
        <w:rPr>
          <w:rFonts w:ascii="Times New Roman" w:hAnsi="Times New Roman" w:cs="Arial"/>
          <w:color w:val="323233"/>
          <w:lang w:val="de-DE"/>
        </w:rPr>
        <w:t xml:space="preserve"> </w:t>
      </w:r>
      <w:proofErr w:type="spellStart"/>
      <w:r w:rsidRPr="000C7C76">
        <w:rPr>
          <w:rFonts w:ascii="Times New Roman" w:hAnsi="Times New Roman" w:cs="Arial"/>
          <w:color w:val="323233"/>
          <w:lang w:val="de-DE"/>
        </w:rPr>
        <w:t>reģistra</w:t>
      </w:r>
      <w:proofErr w:type="spellEnd"/>
      <w:r w:rsidRPr="000C7C76">
        <w:rPr>
          <w:rFonts w:ascii="Times New Roman" w:hAnsi="Times New Roman" w:cs="Arial"/>
          <w:color w:val="323233"/>
          <w:lang w:val="de-DE"/>
        </w:rPr>
        <w:t xml:space="preserve"> </w:t>
      </w:r>
      <w:proofErr w:type="spellStart"/>
      <w:r w:rsidRPr="000C7C76">
        <w:rPr>
          <w:rFonts w:ascii="Times New Roman" w:hAnsi="Times New Roman" w:cs="Arial"/>
          <w:color w:val="323233"/>
          <w:lang w:val="de-DE"/>
        </w:rPr>
        <w:t>nav</w:t>
      </w:r>
      <w:proofErr w:type="spellEnd"/>
      <w:r w:rsidRPr="000C7C76">
        <w:rPr>
          <w:rFonts w:ascii="Times New Roman" w:hAnsi="Times New Roman" w:cs="Arial"/>
          <w:color w:val="323233"/>
          <w:lang w:val="de-DE"/>
        </w:rPr>
        <w:t xml:space="preserve"> </w:t>
      </w:r>
      <w:proofErr w:type="spellStart"/>
      <w:r w:rsidRPr="000C7C76">
        <w:rPr>
          <w:rFonts w:ascii="Times New Roman" w:hAnsi="Times New Roman" w:cs="Arial"/>
          <w:color w:val="323233"/>
          <w:lang w:val="de-DE"/>
        </w:rPr>
        <w:t>viens</w:t>
      </w:r>
      <w:proofErr w:type="spellEnd"/>
      <w:r w:rsidRPr="000C7C76">
        <w:rPr>
          <w:rFonts w:ascii="Times New Roman" w:hAnsi="Times New Roman" w:cs="Arial"/>
          <w:color w:val="323233"/>
          <w:lang w:val="de-DE"/>
        </w:rPr>
        <w:t xml:space="preserve"> </w:t>
      </w:r>
      <w:proofErr w:type="spellStart"/>
      <w:r w:rsidRPr="000C7C76">
        <w:rPr>
          <w:rFonts w:ascii="Times New Roman" w:hAnsi="Times New Roman" w:cs="Arial"/>
          <w:color w:val="323233"/>
          <w:lang w:val="de-DE"/>
        </w:rPr>
        <w:t>un</w:t>
      </w:r>
      <w:proofErr w:type="spellEnd"/>
      <w:r w:rsidRPr="000C7C76">
        <w:rPr>
          <w:rFonts w:ascii="Times New Roman" w:hAnsi="Times New Roman" w:cs="Arial"/>
          <w:color w:val="323233"/>
          <w:lang w:val="de-DE"/>
        </w:rPr>
        <w:t xml:space="preserve"> </w:t>
      </w:r>
      <w:proofErr w:type="spellStart"/>
      <w:r w:rsidRPr="000C7C76">
        <w:rPr>
          <w:rFonts w:ascii="Times New Roman" w:hAnsi="Times New Roman" w:cs="Arial"/>
          <w:color w:val="323233"/>
          <w:lang w:val="de-DE"/>
        </w:rPr>
        <w:t>tas</w:t>
      </w:r>
      <w:proofErr w:type="spellEnd"/>
      <w:r w:rsidRPr="000C7C76">
        <w:rPr>
          <w:rFonts w:ascii="Times New Roman" w:hAnsi="Times New Roman" w:cs="Arial"/>
          <w:color w:val="323233"/>
          <w:lang w:val="de-DE"/>
        </w:rPr>
        <w:t xml:space="preserve"> </w:t>
      </w:r>
      <w:proofErr w:type="spellStart"/>
      <w:r w:rsidRPr="000C7C76">
        <w:rPr>
          <w:rFonts w:ascii="Times New Roman" w:hAnsi="Times New Roman" w:cs="Arial"/>
          <w:color w:val="323233"/>
          <w:lang w:val="de-DE"/>
        </w:rPr>
        <w:t>pats</w:t>
      </w:r>
      <w:proofErr w:type="spellEnd"/>
      <w:r w:rsidRPr="000C7C76">
        <w:rPr>
          <w:rFonts w:ascii="Times New Roman" w:hAnsi="Times New Roman" w:cs="Arial"/>
          <w:color w:val="323233"/>
          <w:lang w:val="de-DE"/>
        </w:rPr>
        <w:t xml:space="preserve">. </w:t>
      </w:r>
      <w:proofErr w:type="spellStart"/>
      <w:r w:rsidRPr="000C7C76">
        <w:rPr>
          <w:rFonts w:ascii="Times New Roman" w:hAnsi="Times New Roman" w:cs="Arial"/>
          <w:i/>
          <w:iCs/>
          <w:color w:val="323233"/>
          <w:lang w:val="de-DE"/>
        </w:rPr>
        <w:t>Ieraksts</w:t>
      </w:r>
      <w:proofErr w:type="spellEnd"/>
      <w:r w:rsidRPr="000C7C76">
        <w:rPr>
          <w:rFonts w:ascii="Times New Roman" w:hAnsi="Times New Roman" w:cs="Arial"/>
          <w:color w:val="323233"/>
          <w:lang w:val="de-DE"/>
        </w:rPr>
        <w:t xml:space="preserve"> </w:t>
      </w:r>
      <w:proofErr w:type="spellStart"/>
      <w:r w:rsidRPr="000C7C76">
        <w:rPr>
          <w:rFonts w:ascii="Times New Roman" w:hAnsi="Times New Roman" w:cs="Arial"/>
          <w:color w:val="323233"/>
          <w:lang w:val="de-DE"/>
        </w:rPr>
        <w:t>ir</w:t>
      </w:r>
      <w:proofErr w:type="spellEnd"/>
      <w:r w:rsidRPr="000C7C76">
        <w:rPr>
          <w:rFonts w:ascii="Times New Roman" w:hAnsi="Times New Roman" w:cs="Arial"/>
          <w:color w:val="323233"/>
          <w:lang w:val="de-DE"/>
        </w:rPr>
        <w:t xml:space="preserve"> </w:t>
      </w:r>
      <w:proofErr w:type="spellStart"/>
      <w:r w:rsidRPr="000C7C76">
        <w:rPr>
          <w:rFonts w:ascii="Times New Roman" w:hAnsi="Times New Roman" w:cs="Arial"/>
          <w:color w:val="323233"/>
          <w:lang w:val="de-DE"/>
        </w:rPr>
        <w:t>likumā</w:t>
      </w:r>
      <w:proofErr w:type="spellEnd"/>
      <w:r w:rsidRPr="000C7C76">
        <w:rPr>
          <w:rFonts w:ascii="Times New Roman" w:hAnsi="Times New Roman" w:cs="Arial"/>
          <w:color w:val="323233"/>
          <w:lang w:val="de-DE"/>
        </w:rPr>
        <w:t xml:space="preserve"> </w:t>
      </w:r>
      <w:proofErr w:type="spellStart"/>
      <w:r w:rsidRPr="000C7C76">
        <w:rPr>
          <w:rFonts w:ascii="Times New Roman" w:hAnsi="Times New Roman" w:cs="Arial"/>
          <w:color w:val="323233"/>
          <w:lang w:val="de-DE"/>
        </w:rPr>
        <w:t>noteiktās</w:t>
      </w:r>
      <w:proofErr w:type="spellEnd"/>
      <w:r w:rsidRPr="000C7C76">
        <w:rPr>
          <w:rFonts w:ascii="Times New Roman" w:hAnsi="Times New Roman" w:cs="Arial"/>
          <w:color w:val="323233"/>
          <w:lang w:val="de-DE"/>
        </w:rPr>
        <w:t xml:space="preserve"> </w:t>
      </w:r>
      <w:proofErr w:type="spellStart"/>
      <w:r w:rsidRPr="000C7C76">
        <w:rPr>
          <w:rFonts w:ascii="Times New Roman" w:hAnsi="Times New Roman" w:cs="Arial"/>
          <w:color w:val="323233"/>
          <w:lang w:val="de-DE"/>
        </w:rPr>
        <w:t>ziņas</w:t>
      </w:r>
      <w:proofErr w:type="spellEnd"/>
      <w:r w:rsidRPr="000C7C76">
        <w:rPr>
          <w:rFonts w:ascii="Times New Roman" w:hAnsi="Times New Roman" w:cs="Arial"/>
          <w:color w:val="323233"/>
          <w:lang w:val="de-DE"/>
        </w:rPr>
        <w:t xml:space="preserve">, </w:t>
      </w:r>
      <w:proofErr w:type="spellStart"/>
      <w:r w:rsidRPr="000C7C76">
        <w:rPr>
          <w:rFonts w:ascii="Times New Roman" w:hAnsi="Times New Roman" w:cs="Arial"/>
          <w:color w:val="323233"/>
          <w:lang w:val="de-DE"/>
        </w:rPr>
        <w:t>kas</w:t>
      </w:r>
      <w:proofErr w:type="spellEnd"/>
      <w:r w:rsidRPr="000C7C76">
        <w:rPr>
          <w:rFonts w:ascii="Times New Roman" w:hAnsi="Times New Roman" w:cs="Arial"/>
          <w:color w:val="323233"/>
          <w:lang w:val="de-DE"/>
        </w:rPr>
        <w:t xml:space="preserve"> </w:t>
      </w:r>
      <w:proofErr w:type="spellStart"/>
      <w:r w:rsidRPr="000C7C76">
        <w:rPr>
          <w:rFonts w:ascii="Times New Roman" w:hAnsi="Times New Roman" w:cs="Arial"/>
          <w:color w:val="323233"/>
          <w:lang w:val="de-DE"/>
        </w:rPr>
        <w:t>likumā</w:t>
      </w:r>
      <w:proofErr w:type="spellEnd"/>
      <w:r w:rsidRPr="000C7C76">
        <w:rPr>
          <w:rFonts w:ascii="Times New Roman" w:hAnsi="Times New Roman" w:cs="Arial"/>
          <w:color w:val="323233"/>
          <w:lang w:val="de-DE"/>
        </w:rPr>
        <w:t xml:space="preserve"> </w:t>
      </w:r>
      <w:proofErr w:type="spellStart"/>
      <w:r w:rsidRPr="000C7C76">
        <w:rPr>
          <w:rFonts w:ascii="Times New Roman" w:hAnsi="Times New Roman" w:cs="Arial"/>
          <w:color w:val="323233"/>
          <w:lang w:val="de-DE"/>
        </w:rPr>
        <w:t>noteiktajā</w:t>
      </w:r>
      <w:proofErr w:type="spellEnd"/>
      <w:r w:rsidRPr="000C7C76">
        <w:rPr>
          <w:rFonts w:ascii="Times New Roman" w:hAnsi="Times New Roman" w:cs="Arial"/>
          <w:color w:val="323233"/>
          <w:lang w:val="de-DE"/>
        </w:rPr>
        <w:t xml:space="preserve"> </w:t>
      </w:r>
      <w:proofErr w:type="spellStart"/>
      <w:r w:rsidRPr="000C7C76">
        <w:rPr>
          <w:rFonts w:ascii="Times New Roman" w:hAnsi="Times New Roman" w:cs="Arial"/>
          <w:color w:val="323233"/>
          <w:lang w:val="de-DE"/>
        </w:rPr>
        <w:t>kārtībā</w:t>
      </w:r>
      <w:proofErr w:type="spellEnd"/>
      <w:r w:rsidRPr="000C7C76">
        <w:rPr>
          <w:rFonts w:ascii="Times New Roman" w:hAnsi="Times New Roman" w:cs="Arial"/>
          <w:color w:val="323233"/>
          <w:lang w:val="de-DE"/>
        </w:rPr>
        <w:t xml:space="preserve"> </w:t>
      </w:r>
      <w:proofErr w:type="spellStart"/>
      <w:r w:rsidRPr="000C7C76">
        <w:rPr>
          <w:rFonts w:ascii="Times New Roman" w:hAnsi="Times New Roman" w:cs="Arial"/>
          <w:color w:val="323233"/>
          <w:lang w:val="de-DE"/>
        </w:rPr>
        <w:t>tiek</w:t>
      </w:r>
      <w:proofErr w:type="spellEnd"/>
      <w:r w:rsidRPr="000C7C76">
        <w:rPr>
          <w:rFonts w:ascii="Times New Roman" w:hAnsi="Times New Roman" w:cs="Arial"/>
          <w:color w:val="323233"/>
          <w:lang w:val="de-DE"/>
        </w:rPr>
        <w:t xml:space="preserve"> </w:t>
      </w:r>
      <w:proofErr w:type="spellStart"/>
      <w:r w:rsidRPr="000C7C76">
        <w:rPr>
          <w:rFonts w:ascii="Times New Roman" w:hAnsi="Times New Roman" w:cs="Arial"/>
          <w:color w:val="323233"/>
          <w:lang w:val="de-DE"/>
        </w:rPr>
        <w:t>ierakstītas</w:t>
      </w:r>
      <w:proofErr w:type="spellEnd"/>
      <w:r w:rsidRPr="000C7C76">
        <w:rPr>
          <w:rFonts w:ascii="Times New Roman" w:hAnsi="Times New Roman" w:cs="Arial"/>
          <w:color w:val="323233"/>
          <w:lang w:val="de-DE"/>
        </w:rPr>
        <w:t xml:space="preserve"> </w:t>
      </w:r>
      <w:proofErr w:type="spellStart"/>
      <w:r w:rsidRPr="000C7C76">
        <w:rPr>
          <w:rFonts w:ascii="Times New Roman" w:hAnsi="Times New Roman" w:cs="Arial"/>
          <w:color w:val="323233"/>
          <w:lang w:val="de-DE"/>
        </w:rPr>
        <w:t>reģistrā</w:t>
      </w:r>
      <w:proofErr w:type="spellEnd"/>
      <w:r w:rsidRPr="000C7C76">
        <w:rPr>
          <w:rFonts w:ascii="Times New Roman" w:hAnsi="Times New Roman" w:cs="Arial"/>
          <w:color w:val="323233"/>
          <w:lang w:val="de-DE"/>
        </w:rPr>
        <w:t xml:space="preserve"> (</w:t>
      </w:r>
      <w:proofErr w:type="spellStart"/>
      <w:r w:rsidRPr="000C7C76">
        <w:rPr>
          <w:rFonts w:ascii="Times New Roman" w:hAnsi="Times New Roman" w:cs="Arial"/>
          <w:color w:val="323233"/>
          <w:lang w:val="de-DE"/>
        </w:rPr>
        <w:t>skat</w:t>
      </w:r>
      <w:proofErr w:type="spellEnd"/>
      <w:r w:rsidRPr="000C7C76">
        <w:rPr>
          <w:rFonts w:ascii="Times New Roman" w:hAnsi="Times New Roman" w:cs="Arial"/>
          <w:color w:val="323233"/>
          <w:lang w:val="de-DE"/>
        </w:rPr>
        <w:t xml:space="preserve">., </w:t>
      </w:r>
      <w:proofErr w:type="spellStart"/>
      <w:r w:rsidRPr="000C7C76">
        <w:rPr>
          <w:rFonts w:ascii="Times New Roman" w:hAnsi="Times New Roman" w:cs="Arial"/>
          <w:color w:val="323233"/>
          <w:lang w:val="de-DE"/>
        </w:rPr>
        <w:t>piemēram</w:t>
      </w:r>
      <w:proofErr w:type="spellEnd"/>
      <w:r w:rsidRPr="000C7C76">
        <w:rPr>
          <w:rFonts w:ascii="Times New Roman" w:hAnsi="Times New Roman" w:cs="Arial"/>
          <w:color w:val="323233"/>
          <w:lang w:val="de-DE"/>
        </w:rPr>
        <w:t xml:space="preserve">, </w:t>
      </w:r>
      <w:proofErr w:type="spellStart"/>
      <w:r w:rsidRPr="000C7C76">
        <w:rPr>
          <w:rFonts w:ascii="Times New Roman" w:hAnsi="Times New Roman" w:cs="Arial"/>
          <w:color w:val="323233"/>
          <w:lang w:val="de-DE"/>
        </w:rPr>
        <w:t>Komerclikuma</w:t>
      </w:r>
      <w:proofErr w:type="spellEnd"/>
      <w:r w:rsidRPr="000C7C76">
        <w:rPr>
          <w:rFonts w:ascii="Times New Roman" w:hAnsi="Times New Roman" w:cs="Arial"/>
          <w:color w:val="323233"/>
          <w:lang w:val="de-DE"/>
        </w:rPr>
        <w:t xml:space="preserve"> 6.p.). </w:t>
      </w:r>
      <w:proofErr w:type="spellStart"/>
      <w:r w:rsidRPr="000C7C76">
        <w:rPr>
          <w:rFonts w:ascii="Times New Roman" w:hAnsi="Times New Roman" w:cs="Arial"/>
          <w:color w:val="323233"/>
          <w:lang w:val="de-DE"/>
        </w:rPr>
        <w:t>Publiskiem</w:t>
      </w:r>
      <w:proofErr w:type="spellEnd"/>
      <w:r w:rsidRPr="000C7C76">
        <w:rPr>
          <w:rFonts w:ascii="Times New Roman" w:hAnsi="Times New Roman" w:cs="Arial"/>
          <w:color w:val="323233"/>
          <w:lang w:val="de-DE"/>
        </w:rPr>
        <w:t xml:space="preserve"> </w:t>
      </w:r>
      <w:proofErr w:type="spellStart"/>
      <w:r w:rsidRPr="000C7C76">
        <w:rPr>
          <w:rFonts w:ascii="Times New Roman" w:hAnsi="Times New Roman" w:cs="Arial"/>
          <w:color w:val="323233"/>
          <w:lang w:val="de-DE"/>
        </w:rPr>
        <w:t>reģistriem</w:t>
      </w:r>
      <w:proofErr w:type="spellEnd"/>
      <w:r w:rsidRPr="000C7C76">
        <w:rPr>
          <w:rFonts w:ascii="Times New Roman" w:hAnsi="Times New Roman" w:cs="Arial"/>
          <w:color w:val="323233"/>
          <w:lang w:val="de-DE"/>
        </w:rPr>
        <w:t xml:space="preserve"> </w:t>
      </w:r>
      <w:proofErr w:type="spellStart"/>
      <w:r w:rsidRPr="000C7C76">
        <w:rPr>
          <w:rFonts w:ascii="Times New Roman" w:hAnsi="Times New Roman" w:cs="Arial"/>
          <w:color w:val="323233"/>
          <w:lang w:val="de-DE"/>
        </w:rPr>
        <w:t>ir</w:t>
      </w:r>
      <w:proofErr w:type="spellEnd"/>
      <w:r w:rsidRPr="000C7C76">
        <w:rPr>
          <w:rFonts w:ascii="Times New Roman" w:hAnsi="Times New Roman" w:cs="Arial"/>
          <w:color w:val="323233"/>
          <w:lang w:val="de-DE"/>
        </w:rPr>
        <w:t xml:space="preserve"> </w:t>
      </w:r>
      <w:proofErr w:type="spellStart"/>
      <w:r w:rsidRPr="000C7C76">
        <w:rPr>
          <w:rFonts w:ascii="Times New Roman" w:hAnsi="Times New Roman" w:cs="Arial"/>
          <w:color w:val="323233"/>
          <w:lang w:val="de-DE"/>
        </w:rPr>
        <w:t>publisks</w:t>
      </w:r>
      <w:proofErr w:type="spellEnd"/>
      <w:r w:rsidRPr="000C7C76">
        <w:rPr>
          <w:rFonts w:ascii="Times New Roman" w:hAnsi="Times New Roman" w:cs="Arial"/>
          <w:color w:val="323233"/>
          <w:lang w:val="de-DE"/>
        </w:rPr>
        <w:t xml:space="preserve"> </w:t>
      </w:r>
      <w:proofErr w:type="spellStart"/>
      <w:r w:rsidRPr="000C7C76">
        <w:rPr>
          <w:rFonts w:ascii="Times New Roman" w:hAnsi="Times New Roman" w:cs="Arial"/>
          <w:color w:val="323233"/>
          <w:lang w:val="de-DE"/>
        </w:rPr>
        <w:t>raksturs</w:t>
      </w:r>
      <w:proofErr w:type="spellEnd"/>
      <w:r w:rsidRPr="000C7C76">
        <w:rPr>
          <w:rFonts w:ascii="Times New Roman" w:hAnsi="Times New Roman" w:cs="Arial"/>
          <w:color w:val="323233"/>
          <w:lang w:val="de-DE"/>
        </w:rPr>
        <w:t xml:space="preserve"> </w:t>
      </w:r>
      <w:proofErr w:type="spellStart"/>
      <w:r w:rsidRPr="000C7C76">
        <w:rPr>
          <w:rFonts w:ascii="Times New Roman" w:hAnsi="Times New Roman" w:cs="Arial"/>
          <w:color w:val="323233"/>
          <w:lang w:val="de-DE"/>
        </w:rPr>
        <w:t>un</w:t>
      </w:r>
      <w:proofErr w:type="spellEnd"/>
      <w:r w:rsidRPr="000C7C76">
        <w:rPr>
          <w:rFonts w:ascii="Times New Roman" w:hAnsi="Times New Roman" w:cs="Arial"/>
          <w:color w:val="323233"/>
          <w:lang w:val="de-DE"/>
        </w:rPr>
        <w:t xml:space="preserve"> </w:t>
      </w:r>
      <w:proofErr w:type="spellStart"/>
      <w:r w:rsidRPr="000C7C76">
        <w:rPr>
          <w:rFonts w:ascii="Times New Roman" w:hAnsi="Times New Roman" w:cs="Arial"/>
          <w:color w:val="323233"/>
          <w:lang w:val="de-DE"/>
        </w:rPr>
        <w:t>ticamība</w:t>
      </w:r>
      <w:proofErr w:type="spellEnd"/>
      <w:r w:rsidRPr="000C7C76">
        <w:rPr>
          <w:rFonts w:ascii="Times New Roman" w:hAnsi="Times New Roman" w:cs="Arial"/>
          <w:color w:val="323233"/>
          <w:lang w:val="de-DE"/>
        </w:rPr>
        <w:t xml:space="preserve">. </w:t>
      </w:r>
      <w:proofErr w:type="spellStart"/>
      <w:r w:rsidRPr="000C7C76">
        <w:rPr>
          <w:rFonts w:ascii="Times New Roman" w:hAnsi="Times New Roman" w:cs="Arial"/>
          <w:color w:val="323233"/>
          <w:lang w:val="de-DE"/>
        </w:rPr>
        <w:t>Publiskas</w:t>
      </w:r>
      <w:proofErr w:type="spellEnd"/>
      <w:r w:rsidRPr="000C7C76">
        <w:rPr>
          <w:rFonts w:ascii="Times New Roman" w:hAnsi="Times New Roman" w:cs="Arial"/>
          <w:color w:val="323233"/>
          <w:lang w:val="de-DE"/>
        </w:rPr>
        <w:t xml:space="preserve"> </w:t>
      </w:r>
      <w:proofErr w:type="spellStart"/>
      <w:r w:rsidRPr="000C7C76">
        <w:rPr>
          <w:rFonts w:ascii="Times New Roman" w:hAnsi="Times New Roman" w:cs="Arial"/>
          <w:color w:val="323233"/>
          <w:lang w:val="de-DE"/>
        </w:rPr>
        <w:t>ticamības</w:t>
      </w:r>
      <w:proofErr w:type="spellEnd"/>
      <w:r w:rsidRPr="000C7C76">
        <w:rPr>
          <w:rFonts w:ascii="Times New Roman" w:hAnsi="Times New Roman" w:cs="Arial"/>
          <w:color w:val="323233"/>
          <w:lang w:val="de-DE"/>
        </w:rPr>
        <w:t xml:space="preserve"> </w:t>
      </w:r>
      <w:proofErr w:type="spellStart"/>
      <w:r w:rsidRPr="000C7C76">
        <w:rPr>
          <w:rFonts w:ascii="Times New Roman" w:hAnsi="Times New Roman" w:cs="Arial"/>
          <w:color w:val="323233"/>
          <w:lang w:val="de-DE"/>
        </w:rPr>
        <w:t>princips</w:t>
      </w:r>
      <w:proofErr w:type="spellEnd"/>
      <w:r w:rsidRPr="000C7C76">
        <w:rPr>
          <w:rFonts w:ascii="Times New Roman" w:hAnsi="Times New Roman" w:cs="Arial"/>
          <w:color w:val="323233"/>
          <w:lang w:val="de-DE"/>
        </w:rPr>
        <w:t xml:space="preserve"> </w:t>
      </w:r>
      <w:proofErr w:type="spellStart"/>
      <w:r w:rsidRPr="000C7C76">
        <w:rPr>
          <w:rFonts w:ascii="Times New Roman" w:hAnsi="Times New Roman" w:cs="Arial"/>
          <w:color w:val="323233"/>
          <w:lang w:val="de-DE"/>
        </w:rPr>
        <w:t>ir</w:t>
      </w:r>
      <w:proofErr w:type="spellEnd"/>
      <w:r w:rsidRPr="000C7C76">
        <w:rPr>
          <w:rFonts w:ascii="Times New Roman" w:hAnsi="Times New Roman" w:cs="Arial"/>
          <w:color w:val="323233"/>
          <w:lang w:val="de-DE"/>
        </w:rPr>
        <w:t xml:space="preserve"> </w:t>
      </w:r>
      <w:proofErr w:type="spellStart"/>
      <w:r w:rsidRPr="000C7C76">
        <w:rPr>
          <w:rFonts w:ascii="Times New Roman" w:hAnsi="Times New Roman" w:cs="Arial"/>
          <w:color w:val="323233"/>
          <w:lang w:val="de-DE"/>
        </w:rPr>
        <w:t>publisko</w:t>
      </w:r>
      <w:proofErr w:type="spellEnd"/>
      <w:r w:rsidRPr="000C7C76">
        <w:rPr>
          <w:rFonts w:ascii="Times New Roman" w:hAnsi="Times New Roman" w:cs="Arial"/>
          <w:color w:val="323233"/>
          <w:lang w:val="de-DE"/>
        </w:rPr>
        <w:t xml:space="preserve"> </w:t>
      </w:r>
      <w:proofErr w:type="spellStart"/>
      <w:r w:rsidRPr="000C7C76">
        <w:rPr>
          <w:rFonts w:ascii="Times New Roman" w:hAnsi="Times New Roman" w:cs="Arial"/>
          <w:color w:val="323233"/>
          <w:lang w:val="de-DE"/>
        </w:rPr>
        <w:t>tiesību</w:t>
      </w:r>
      <w:proofErr w:type="spellEnd"/>
      <w:r w:rsidRPr="000C7C76">
        <w:rPr>
          <w:rFonts w:ascii="Times New Roman" w:hAnsi="Times New Roman" w:cs="Arial"/>
          <w:color w:val="323233"/>
          <w:lang w:val="de-DE"/>
        </w:rPr>
        <w:t xml:space="preserve"> </w:t>
      </w:r>
      <w:proofErr w:type="spellStart"/>
      <w:r w:rsidRPr="000C7C76">
        <w:rPr>
          <w:rFonts w:ascii="Times New Roman" w:hAnsi="Times New Roman" w:cs="Arial"/>
          <w:color w:val="323233"/>
          <w:lang w:val="de-DE"/>
        </w:rPr>
        <w:t>institūts</w:t>
      </w:r>
      <w:proofErr w:type="spellEnd"/>
      <w:r w:rsidRPr="000C7C76">
        <w:rPr>
          <w:rFonts w:ascii="Times New Roman" w:hAnsi="Times New Roman" w:cs="Arial"/>
          <w:color w:val="323233"/>
          <w:lang w:val="de-DE"/>
        </w:rPr>
        <w:t>.</w:t>
      </w:r>
      <w:r>
        <w:rPr>
          <w:rStyle w:val="FootnoteReference"/>
          <w:rFonts w:ascii="Times New Roman" w:hAnsi="Times New Roman" w:cs="Arial"/>
          <w:color w:val="323233"/>
        </w:rPr>
        <w:footnoteReference w:id="148"/>
      </w:r>
      <w:r w:rsidRPr="000C7C76">
        <w:rPr>
          <w:rFonts w:ascii="Times New Roman" w:hAnsi="Times New Roman" w:cs="Arial"/>
          <w:color w:val="323233"/>
          <w:lang w:val="de-DE"/>
        </w:rPr>
        <w:t xml:space="preserve"> </w:t>
      </w:r>
      <w:proofErr w:type="spellStart"/>
      <w:r w:rsidRPr="000C7C76">
        <w:rPr>
          <w:rFonts w:ascii="Times New Roman" w:hAnsi="Times New Roman" w:cs="Arial"/>
          <w:i/>
          <w:iCs/>
          <w:color w:val="323233"/>
          <w:lang w:val="de-DE"/>
        </w:rPr>
        <w:t>Izraksts</w:t>
      </w:r>
      <w:proofErr w:type="spellEnd"/>
      <w:r w:rsidRPr="000C7C76">
        <w:rPr>
          <w:rFonts w:ascii="Times New Roman" w:hAnsi="Times New Roman" w:cs="Arial"/>
          <w:color w:val="323233"/>
          <w:lang w:val="de-DE"/>
        </w:rPr>
        <w:t xml:space="preserve"> </w:t>
      </w:r>
      <w:proofErr w:type="spellStart"/>
      <w:r w:rsidRPr="000C7C76">
        <w:rPr>
          <w:rFonts w:ascii="Times New Roman" w:hAnsi="Times New Roman" w:cs="Arial"/>
          <w:color w:val="323233"/>
          <w:lang w:val="de-DE"/>
        </w:rPr>
        <w:t>ir</w:t>
      </w:r>
      <w:proofErr w:type="spellEnd"/>
      <w:r w:rsidRPr="000C7C76">
        <w:rPr>
          <w:rFonts w:ascii="Times New Roman" w:hAnsi="Times New Roman" w:cs="Arial"/>
          <w:color w:val="323233"/>
          <w:lang w:val="de-DE"/>
        </w:rPr>
        <w:t xml:space="preserve"> </w:t>
      </w:r>
      <w:proofErr w:type="spellStart"/>
      <w:r w:rsidRPr="000C7C76">
        <w:rPr>
          <w:rFonts w:ascii="Times New Roman" w:hAnsi="Times New Roman" w:cs="Arial"/>
          <w:color w:val="323233"/>
          <w:lang w:val="de-DE"/>
        </w:rPr>
        <w:t>dokumenta</w:t>
      </w:r>
      <w:proofErr w:type="spellEnd"/>
      <w:r w:rsidRPr="000C7C76">
        <w:rPr>
          <w:rFonts w:ascii="Times New Roman" w:hAnsi="Times New Roman" w:cs="Arial"/>
          <w:color w:val="323233"/>
          <w:lang w:val="de-DE"/>
        </w:rPr>
        <w:t xml:space="preserve"> </w:t>
      </w:r>
      <w:proofErr w:type="spellStart"/>
      <w:r w:rsidRPr="000C7C76">
        <w:rPr>
          <w:rFonts w:ascii="Times New Roman" w:hAnsi="Times New Roman" w:cs="Arial"/>
          <w:color w:val="323233"/>
          <w:lang w:val="de-DE"/>
        </w:rPr>
        <w:t>atvasinājums</w:t>
      </w:r>
      <w:proofErr w:type="spellEnd"/>
      <w:r w:rsidRPr="000C7C76">
        <w:rPr>
          <w:rFonts w:ascii="Times New Roman" w:hAnsi="Times New Roman" w:cs="Arial"/>
          <w:color w:val="323233"/>
          <w:lang w:val="de-DE"/>
        </w:rPr>
        <w:t xml:space="preserve">, </w:t>
      </w:r>
      <w:proofErr w:type="spellStart"/>
      <w:r w:rsidRPr="000C7C76">
        <w:rPr>
          <w:rFonts w:ascii="Times New Roman" w:hAnsi="Times New Roman" w:cs="Arial"/>
          <w:color w:val="323233"/>
          <w:lang w:val="de-DE"/>
        </w:rPr>
        <w:t>kuru</w:t>
      </w:r>
      <w:proofErr w:type="spellEnd"/>
      <w:r w:rsidRPr="000C7C76">
        <w:rPr>
          <w:rFonts w:ascii="Times New Roman" w:hAnsi="Times New Roman" w:cs="Arial"/>
          <w:color w:val="323233"/>
          <w:lang w:val="de-DE"/>
        </w:rPr>
        <w:t xml:space="preserve"> </w:t>
      </w:r>
      <w:proofErr w:type="spellStart"/>
      <w:r w:rsidRPr="000C7C76">
        <w:rPr>
          <w:rFonts w:ascii="Times New Roman" w:hAnsi="Times New Roman" w:cs="Arial"/>
          <w:color w:val="323233"/>
          <w:lang w:val="de-DE"/>
        </w:rPr>
        <w:t>izstrādā</w:t>
      </w:r>
      <w:proofErr w:type="spellEnd"/>
      <w:r w:rsidRPr="000C7C76">
        <w:rPr>
          <w:rFonts w:ascii="Times New Roman" w:hAnsi="Times New Roman" w:cs="Arial"/>
          <w:color w:val="323233"/>
          <w:lang w:val="de-DE"/>
        </w:rPr>
        <w:t xml:space="preserve">, </w:t>
      </w:r>
      <w:proofErr w:type="spellStart"/>
      <w:r w:rsidRPr="000C7C76">
        <w:rPr>
          <w:rFonts w:ascii="Times New Roman" w:hAnsi="Times New Roman" w:cs="Arial"/>
          <w:color w:val="323233"/>
          <w:lang w:val="de-DE"/>
        </w:rPr>
        <w:t>pārrakstot</w:t>
      </w:r>
      <w:proofErr w:type="spellEnd"/>
      <w:r w:rsidRPr="000C7C76">
        <w:rPr>
          <w:rFonts w:ascii="Times New Roman" w:hAnsi="Times New Roman" w:cs="Arial"/>
          <w:color w:val="323233"/>
          <w:lang w:val="de-DE"/>
        </w:rPr>
        <w:t xml:space="preserve"> </w:t>
      </w:r>
      <w:proofErr w:type="spellStart"/>
      <w:r w:rsidRPr="000C7C76">
        <w:rPr>
          <w:rFonts w:ascii="Times New Roman" w:hAnsi="Times New Roman" w:cs="Arial"/>
          <w:color w:val="323233"/>
          <w:lang w:val="de-DE"/>
        </w:rPr>
        <w:t>dokumenta</w:t>
      </w:r>
      <w:proofErr w:type="spellEnd"/>
      <w:r w:rsidRPr="000C7C76">
        <w:rPr>
          <w:rFonts w:ascii="Times New Roman" w:hAnsi="Times New Roman" w:cs="Arial"/>
          <w:color w:val="323233"/>
          <w:lang w:val="de-DE"/>
        </w:rPr>
        <w:t xml:space="preserve"> </w:t>
      </w:r>
      <w:proofErr w:type="spellStart"/>
      <w:r w:rsidRPr="000C7C76">
        <w:rPr>
          <w:rFonts w:ascii="Times New Roman" w:hAnsi="Times New Roman" w:cs="Arial"/>
          <w:color w:val="323233"/>
          <w:lang w:val="de-DE"/>
        </w:rPr>
        <w:t>oriģināla</w:t>
      </w:r>
      <w:proofErr w:type="spellEnd"/>
      <w:r w:rsidRPr="000C7C76">
        <w:rPr>
          <w:rFonts w:ascii="Times New Roman" w:hAnsi="Times New Roman" w:cs="Arial"/>
          <w:color w:val="323233"/>
          <w:lang w:val="de-DE"/>
        </w:rPr>
        <w:t xml:space="preserve"> </w:t>
      </w:r>
      <w:proofErr w:type="spellStart"/>
      <w:r w:rsidRPr="000C7C76">
        <w:rPr>
          <w:rFonts w:ascii="Times New Roman" w:hAnsi="Times New Roman" w:cs="Arial"/>
          <w:color w:val="323233"/>
          <w:lang w:val="de-DE"/>
        </w:rPr>
        <w:t>teksta</w:t>
      </w:r>
      <w:proofErr w:type="spellEnd"/>
      <w:r w:rsidRPr="000C7C76">
        <w:rPr>
          <w:rFonts w:ascii="Times New Roman" w:hAnsi="Times New Roman" w:cs="Arial"/>
          <w:color w:val="323233"/>
          <w:lang w:val="de-DE"/>
        </w:rPr>
        <w:t xml:space="preserve"> </w:t>
      </w:r>
      <w:proofErr w:type="spellStart"/>
      <w:r w:rsidRPr="000C7C76">
        <w:rPr>
          <w:rFonts w:ascii="Times New Roman" w:hAnsi="Times New Roman" w:cs="Arial"/>
          <w:color w:val="323233"/>
          <w:lang w:val="de-DE"/>
        </w:rPr>
        <w:t>daļu</w:t>
      </w:r>
      <w:proofErr w:type="spellEnd"/>
      <w:r w:rsidRPr="000C7C76">
        <w:rPr>
          <w:rFonts w:ascii="Times New Roman" w:hAnsi="Times New Roman" w:cs="Arial"/>
          <w:color w:val="323233"/>
          <w:lang w:val="de-DE"/>
        </w:rPr>
        <w:t xml:space="preserve">, </w:t>
      </w:r>
      <w:proofErr w:type="spellStart"/>
      <w:r w:rsidRPr="000C7C76">
        <w:rPr>
          <w:rFonts w:ascii="Times New Roman" w:hAnsi="Times New Roman" w:cs="Arial"/>
          <w:color w:val="323233"/>
          <w:lang w:val="de-DE"/>
        </w:rPr>
        <w:t>kas</w:t>
      </w:r>
      <w:proofErr w:type="spellEnd"/>
      <w:r w:rsidRPr="000C7C76">
        <w:rPr>
          <w:rFonts w:ascii="Times New Roman" w:hAnsi="Times New Roman" w:cs="Arial"/>
          <w:color w:val="323233"/>
          <w:lang w:val="de-DE"/>
        </w:rPr>
        <w:t xml:space="preserve"> </w:t>
      </w:r>
      <w:proofErr w:type="spellStart"/>
      <w:r w:rsidRPr="000C7C76">
        <w:rPr>
          <w:rFonts w:ascii="Times New Roman" w:hAnsi="Times New Roman" w:cs="Arial"/>
          <w:color w:val="323233"/>
          <w:lang w:val="de-DE"/>
        </w:rPr>
        <w:t>satur</w:t>
      </w:r>
      <w:proofErr w:type="spellEnd"/>
      <w:r w:rsidRPr="000C7C76">
        <w:rPr>
          <w:rFonts w:ascii="Times New Roman" w:hAnsi="Times New Roman" w:cs="Arial"/>
          <w:color w:val="323233"/>
          <w:lang w:val="de-DE"/>
        </w:rPr>
        <w:t xml:space="preserve"> </w:t>
      </w:r>
      <w:proofErr w:type="spellStart"/>
      <w:r w:rsidRPr="000C7C76">
        <w:rPr>
          <w:rFonts w:ascii="Times New Roman" w:hAnsi="Times New Roman" w:cs="Arial"/>
          <w:color w:val="323233"/>
          <w:lang w:val="de-DE"/>
        </w:rPr>
        <w:t>nepieciešamo</w:t>
      </w:r>
      <w:proofErr w:type="spellEnd"/>
      <w:r w:rsidRPr="000C7C76">
        <w:rPr>
          <w:rFonts w:ascii="Times New Roman" w:hAnsi="Times New Roman" w:cs="Arial"/>
          <w:color w:val="323233"/>
          <w:lang w:val="de-DE"/>
        </w:rPr>
        <w:t xml:space="preserve"> </w:t>
      </w:r>
      <w:proofErr w:type="spellStart"/>
      <w:r w:rsidRPr="000C7C76">
        <w:rPr>
          <w:rFonts w:ascii="Times New Roman" w:hAnsi="Times New Roman" w:cs="Arial"/>
          <w:color w:val="323233"/>
          <w:lang w:val="de-DE"/>
        </w:rPr>
        <w:t>informāciju</w:t>
      </w:r>
      <w:proofErr w:type="spellEnd"/>
      <w:r w:rsidRPr="000C7C76">
        <w:rPr>
          <w:rFonts w:ascii="Times New Roman" w:hAnsi="Times New Roman" w:cs="Arial"/>
          <w:color w:val="323233"/>
          <w:lang w:val="de-DE"/>
        </w:rPr>
        <w:t xml:space="preserve">, </w:t>
      </w:r>
      <w:proofErr w:type="spellStart"/>
      <w:r w:rsidRPr="000C7C76">
        <w:rPr>
          <w:rFonts w:ascii="Times New Roman" w:hAnsi="Times New Roman" w:cs="Arial"/>
          <w:color w:val="323233"/>
          <w:lang w:val="de-DE"/>
        </w:rPr>
        <w:t>vai</w:t>
      </w:r>
      <w:proofErr w:type="spellEnd"/>
      <w:r w:rsidRPr="000C7C76">
        <w:rPr>
          <w:rFonts w:ascii="Times New Roman" w:hAnsi="Times New Roman" w:cs="Arial"/>
          <w:color w:val="323233"/>
          <w:lang w:val="de-DE"/>
        </w:rPr>
        <w:t xml:space="preserve"> </w:t>
      </w:r>
      <w:proofErr w:type="spellStart"/>
      <w:r w:rsidRPr="000C7C76">
        <w:rPr>
          <w:rFonts w:ascii="Times New Roman" w:hAnsi="Times New Roman" w:cs="Arial"/>
          <w:color w:val="323233"/>
          <w:lang w:val="de-DE"/>
        </w:rPr>
        <w:t>aizpildot</w:t>
      </w:r>
      <w:proofErr w:type="spellEnd"/>
      <w:r w:rsidRPr="000C7C76">
        <w:rPr>
          <w:rFonts w:ascii="Times New Roman" w:hAnsi="Times New Roman" w:cs="Arial"/>
          <w:color w:val="323233"/>
          <w:lang w:val="de-DE"/>
        </w:rPr>
        <w:t xml:space="preserve"> </w:t>
      </w:r>
      <w:proofErr w:type="spellStart"/>
      <w:r w:rsidRPr="000C7C76">
        <w:rPr>
          <w:rFonts w:ascii="Times New Roman" w:hAnsi="Times New Roman" w:cs="Arial"/>
          <w:color w:val="323233"/>
          <w:lang w:val="de-DE"/>
        </w:rPr>
        <w:t>īpašo</w:t>
      </w:r>
      <w:proofErr w:type="spellEnd"/>
      <w:r w:rsidRPr="000C7C76">
        <w:rPr>
          <w:rFonts w:ascii="Times New Roman" w:hAnsi="Times New Roman" w:cs="Arial"/>
          <w:color w:val="323233"/>
          <w:lang w:val="de-DE"/>
        </w:rPr>
        <w:t xml:space="preserve"> </w:t>
      </w:r>
      <w:proofErr w:type="spellStart"/>
      <w:r w:rsidRPr="000C7C76">
        <w:rPr>
          <w:rFonts w:ascii="Times New Roman" w:hAnsi="Times New Roman" w:cs="Arial"/>
          <w:color w:val="323233"/>
          <w:lang w:val="de-DE"/>
        </w:rPr>
        <w:t>izraksta</w:t>
      </w:r>
      <w:proofErr w:type="spellEnd"/>
      <w:r w:rsidRPr="000C7C76">
        <w:rPr>
          <w:rFonts w:ascii="Times New Roman" w:hAnsi="Times New Roman" w:cs="Arial"/>
          <w:color w:val="323233"/>
          <w:lang w:val="de-DE"/>
        </w:rPr>
        <w:t xml:space="preserve"> </w:t>
      </w:r>
      <w:proofErr w:type="spellStart"/>
      <w:r w:rsidRPr="000C7C76">
        <w:rPr>
          <w:rFonts w:ascii="Times New Roman" w:hAnsi="Times New Roman" w:cs="Arial"/>
          <w:color w:val="323233"/>
          <w:lang w:val="de-DE"/>
        </w:rPr>
        <w:t>veidlapu</w:t>
      </w:r>
      <w:proofErr w:type="spellEnd"/>
      <w:r w:rsidRPr="000C7C76">
        <w:rPr>
          <w:rFonts w:ascii="Times New Roman" w:hAnsi="Times New Roman" w:cs="Arial"/>
          <w:color w:val="323233"/>
          <w:lang w:val="de-DE"/>
        </w:rPr>
        <w:t xml:space="preserve"> (</w:t>
      </w:r>
      <w:proofErr w:type="spellStart"/>
      <w:r w:rsidRPr="000C7C76">
        <w:rPr>
          <w:rFonts w:ascii="Times New Roman" w:hAnsi="Times New Roman" w:cs="Arial"/>
          <w:color w:val="323233"/>
          <w:lang w:val="de-DE"/>
        </w:rPr>
        <w:t>skat</w:t>
      </w:r>
      <w:proofErr w:type="spellEnd"/>
      <w:r w:rsidRPr="000C7C76">
        <w:rPr>
          <w:rFonts w:ascii="Times New Roman" w:hAnsi="Times New Roman" w:cs="Arial"/>
          <w:color w:val="323233"/>
          <w:lang w:val="de-DE"/>
        </w:rPr>
        <w:t xml:space="preserve">. </w:t>
      </w:r>
      <w:proofErr w:type="spellStart"/>
      <w:r w:rsidRPr="000C7C76">
        <w:rPr>
          <w:rFonts w:ascii="Times New Roman" w:hAnsi="Times New Roman" w:cs="Arial"/>
          <w:color w:val="323233"/>
          <w:lang w:val="de-DE"/>
        </w:rPr>
        <w:t>Dokumentu</w:t>
      </w:r>
      <w:proofErr w:type="spellEnd"/>
      <w:r w:rsidRPr="000C7C76">
        <w:rPr>
          <w:rFonts w:ascii="Times New Roman" w:hAnsi="Times New Roman" w:cs="Arial"/>
          <w:color w:val="323233"/>
          <w:lang w:val="de-DE"/>
        </w:rPr>
        <w:t xml:space="preserve"> </w:t>
      </w:r>
      <w:proofErr w:type="spellStart"/>
      <w:r w:rsidRPr="000C7C76">
        <w:rPr>
          <w:rFonts w:ascii="Times New Roman" w:hAnsi="Times New Roman" w:cs="Arial"/>
          <w:color w:val="323233"/>
          <w:lang w:val="de-DE"/>
        </w:rPr>
        <w:t>izstrādāšanas</w:t>
      </w:r>
      <w:proofErr w:type="spellEnd"/>
      <w:r w:rsidRPr="000C7C76">
        <w:rPr>
          <w:rFonts w:ascii="Times New Roman" w:hAnsi="Times New Roman" w:cs="Arial"/>
          <w:color w:val="323233"/>
          <w:lang w:val="de-DE"/>
        </w:rPr>
        <w:t xml:space="preserve"> </w:t>
      </w:r>
      <w:proofErr w:type="spellStart"/>
      <w:r w:rsidRPr="000C7C76">
        <w:rPr>
          <w:rFonts w:ascii="Times New Roman" w:hAnsi="Times New Roman" w:cs="Arial"/>
          <w:color w:val="323233"/>
          <w:lang w:val="de-DE"/>
        </w:rPr>
        <w:t>un</w:t>
      </w:r>
      <w:proofErr w:type="spellEnd"/>
      <w:r w:rsidRPr="000C7C76">
        <w:rPr>
          <w:rFonts w:ascii="Times New Roman" w:hAnsi="Times New Roman" w:cs="Arial"/>
          <w:color w:val="323233"/>
          <w:lang w:val="de-DE"/>
        </w:rPr>
        <w:t xml:space="preserve"> </w:t>
      </w:r>
      <w:proofErr w:type="spellStart"/>
      <w:r w:rsidRPr="000C7C76">
        <w:rPr>
          <w:rFonts w:ascii="Times New Roman" w:hAnsi="Times New Roman" w:cs="Arial"/>
          <w:color w:val="323233"/>
          <w:lang w:val="de-DE"/>
        </w:rPr>
        <w:t>noformēšanas</w:t>
      </w:r>
      <w:proofErr w:type="spellEnd"/>
      <w:r w:rsidRPr="000C7C76">
        <w:rPr>
          <w:rFonts w:ascii="Times New Roman" w:hAnsi="Times New Roman" w:cs="Arial"/>
          <w:color w:val="323233"/>
          <w:lang w:val="de-DE"/>
        </w:rPr>
        <w:t xml:space="preserve"> </w:t>
      </w:r>
      <w:proofErr w:type="spellStart"/>
      <w:r w:rsidRPr="000C7C76">
        <w:rPr>
          <w:rFonts w:ascii="Times New Roman" w:hAnsi="Times New Roman" w:cs="Arial"/>
          <w:color w:val="323233"/>
          <w:lang w:val="de-DE"/>
        </w:rPr>
        <w:t>kārtības</w:t>
      </w:r>
      <w:proofErr w:type="spellEnd"/>
      <w:r>
        <w:rPr>
          <w:rStyle w:val="FootnoteReference"/>
          <w:rFonts w:ascii="Times New Roman" w:hAnsi="Times New Roman" w:cs="Arial"/>
          <w:color w:val="323233"/>
        </w:rPr>
        <w:footnoteReference w:id="149"/>
      </w:r>
      <w:r w:rsidRPr="000C7C76">
        <w:rPr>
          <w:rFonts w:ascii="Times New Roman" w:hAnsi="Times New Roman" w:cs="Arial"/>
          <w:color w:val="323233"/>
          <w:lang w:val="de-DE"/>
        </w:rPr>
        <w:t xml:space="preserve"> 47. </w:t>
      </w:r>
      <w:proofErr w:type="spellStart"/>
      <w:r w:rsidRPr="000C7C76">
        <w:rPr>
          <w:rFonts w:ascii="Times New Roman" w:hAnsi="Times New Roman" w:cs="Arial"/>
          <w:color w:val="323233"/>
          <w:lang w:val="de-DE"/>
        </w:rPr>
        <w:t>un</w:t>
      </w:r>
      <w:proofErr w:type="spellEnd"/>
      <w:r w:rsidRPr="000C7C76">
        <w:rPr>
          <w:rFonts w:ascii="Times New Roman" w:hAnsi="Times New Roman" w:cs="Arial"/>
          <w:color w:val="323233"/>
          <w:lang w:val="de-DE"/>
        </w:rPr>
        <w:t xml:space="preserve"> 50.punktu). </w:t>
      </w:r>
      <w:proofErr w:type="spellStart"/>
      <w:r w:rsidRPr="000C7C76">
        <w:rPr>
          <w:rFonts w:ascii="Times New Roman" w:hAnsi="Times New Roman" w:cs="Arial"/>
          <w:color w:val="323233"/>
          <w:lang w:val="de-DE"/>
        </w:rPr>
        <w:t>No</w:t>
      </w:r>
      <w:proofErr w:type="spellEnd"/>
      <w:r w:rsidRPr="000C7C76">
        <w:rPr>
          <w:rFonts w:ascii="Times New Roman" w:hAnsi="Times New Roman" w:cs="Arial"/>
          <w:color w:val="323233"/>
          <w:lang w:val="de-DE"/>
        </w:rPr>
        <w:t xml:space="preserve"> </w:t>
      </w:r>
      <w:proofErr w:type="spellStart"/>
      <w:r w:rsidRPr="000C7C76">
        <w:rPr>
          <w:rFonts w:ascii="Times New Roman" w:hAnsi="Times New Roman" w:cs="Arial"/>
          <w:color w:val="323233"/>
          <w:lang w:val="de-DE"/>
        </w:rPr>
        <w:t>minētā</w:t>
      </w:r>
      <w:proofErr w:type="spellEnd"/>
      <w:r w:rsidRPr="000C7C76">
        <w:rPr>
          <w:rFonts w:ascii="Times New Roman" w:hAnsi="Times New Roman" w:cs="Arial"/>
          <w:color w:val="323233"/>
          <w:lang w:val="de-DE"/>
        </w:rPr>
        <w:t xml:space="preserve"> </w:t>
      </w:r>
      <w:proofErr w:type="spellStart"/>
      <w:r w:rsidRPr="000C7C76">
        <w:rPr>
          <w:rFonts w:ascii="Times New Roman" w:hAnsi="Times New Roman" w:cs="Arial"/>
          <w:color w:val="323233"/>
          <w:lang w:val="de-DE"/>
        </w:rPr>
        <w:t>var</w:t>
      </w:r>
      <w:proofErr w:type="spellEnd"/>
      <w:r w:rsidRPr="000C7C76">
        <w:rPr>
          <w:rFonts w:ascii="Times New Roman" w:hAnsi="Times New Roman" w:cs="Arial"/>
          <w:color w:val="323233"/>
          <w:lang w:val="de-DE"/>
        </w:rPr>
        <w:t xml:space="preserve"> </w:t>
      </w:r>
      <w:proofErr w:type="spellStart"/>
      <w:r w:rsidRPr="000C7C76">
        <w:rPr>
          <w:rFonts w:ascii="Times New Roman" w:hAnsi="Times New Roman" w:cs="Arial"/>
          <w:color w:val="323233"/>
          <w:lang w:val="de-DE"/>
        </w:rPr>
        <w:t>secināt</w:t>
      </w:r>
      <w:proofErr w:type="spellEnd"/>
      <w:r w:rsidRPr="000C7C76">
        <w:rPr>
          <w:rFonts w:ascii="Times New Roman" w:hAnsi="Times New Roman" w:cs="Arial"/>
          <w:color w:val="323233"/>
          <w:lang w:val="de-DE"/>
        </w:rPr>
        <w:t xml:space="preserve">, </w:t>
      </w:r>
      <w:proofErr w:type="spellStart"/>
      <w:r w:rsidRPr="000C7C76">
        <w:rPr>
          <w:rFonts w:ascii="Times New Roman" w:hAnsi="Times New Roman" w:cs="Arial"/>
          <w:color w:val="323233"/>
          <w:lang w:val="de-DE"/>
        </w:rPr>
        <w:t>ka</w:t>
      </w:r>
      <w:proofErr w:type="spellEnd"/>
      <w:r w:rsidRPr="000C7C76">
        <w:rPr>
          <w:rFonts w:ascii="Times New Roman" w:hAnsi="Times New Roman" w:cs="Arial"/>
          <w:color w:val="323233"/>
          <w:lang w:val="de-DE"/>
        </w:rPr>
        <w:t xml:space="preserve"> </w:t>
      </w:r>
      <w:proofErr w:type="spellStart"/>
      <w:r w:rsidRPr="000C7C76">
        <w:rPr>
          <w:rFonts w:ascii="Times New Roman" w:hAnsi="Times New Roman" w:cs="Arial"/>
          <w:color w:val="323233"/>
          <w:lang w:val="de-DE"/>
        </w:rPr>
        <w:t>Notariāta</w:t>
      </w:r>
      <w:proofErr w:type="spellEnd"/>
      <w:r w:rsidRPr="000C7C76">
        <w:rPr>
          <w:rFonts w:ascii="Times New Roman" w:hAnsi="Times New Roman" w:cs="Arial"/>
          <w:color w:val="323233"/>
          <w:lang w:val="de-DE"/>
        </w:rPr>
        <w:t xml:space="preserve"> </w:t>
      </w:r>
      <w:proofErr w:type="spellStart"/>
      <w:r w:rsidRPr="000C7C76">
        <w:rPr>
          <w:rFonts w:ascii="Times New Roman" w:hAnsi="Times New Roman" w:cs="Arial"/>
          <w:color w:val="323233"/>
          <w:lang w:val="de-DE"/>
        </w:rPr>
        <w:t>likuma</w:t>
      </w:r>
      <w:proofErr w:type="spellEnd"/>
      <w:r w:rsidRPr="000C7C76">
        <w:rPr>
          <w:rFonts w:ascii="Times New Roman" w:hAnsi="Times New Roman" w:cs="Arial"/>
          <w:color w:val="323233"/>
          <w:lang w:val="de-DE"/>
        </w:rPr>
        <w:t xml:space="preserve"> 83.panta </w:t>
      </w:r>
      <w:proofErr w:type="spellStart"/>
      <w:r w:rsidRPr="000C7C76">
        <w:rPr>
          <w:rFonts w:ascii="Times New Roman" w:hAnsi="Times New Roman" w:cs="Arial"/>
          <w:color w:val="323233"/>
          <w:lang w:val="de-DE"/>
        </w:rPr>
        <w:t>izpratnē</w:t>
      </w:r>
      <w:proofErr w:type="spellEnd"/>
      <w:r w:rsidRPr="000C7C76">
        <w:rPr>
          <w:rFonts w:ascii="Times New Roman" w:hAnsi="Times New Roman" w:cs="Arial"/>
          <w:color w:val="323233"/>
          <w:lang w:val="de-DE"/>
        </w:rPr>
        <w:t xml:space="preserve"> </w:t>
      </w:r>
      <w:proofErr w:type="spellStart"/>
      <w:r w:rsidRPr="000C7C76">
        <w:rPr>
          <w:rFonts w:ascii="Times New Roman" w:hAnsi="Times New Roman" w:cs="Arial"/>
          <w:color w:val="323233"/>
          <w:u w:val="single"/>
          <w:lang w:val="de-DE"/>
        </w:rPr>
        <w:t>izraksts</w:t>
      </w:r>
      <w:proofErr w:type="spellEnd"/>
      <w:r w:rsidRPr="000C7C76">
        <w:rPr>
          <w:rFonts w:ascii="Times New Roman" w:hAnsi="Times New Roman" w:cs="Arial"/>
          <w:color w:val="323233"/>
          <w:lang w:val="de-DE"/>
        </w:rPr>
        <w:t xml:space="preserve"> </w:t>
      </w:r>
      <w:proofErr w:type="spellStart"/>
      <w:r w:rsidRPr="000C7C76">
        <w:rPr>
          <w:rFonts w:ascii="Times New Roman" w:hAnsi="Times New Roman" w:cs="Arial"/>
          <w:color w:val="323233"/>
          <w:lang w:val="de-DE"/>
        </w:rPr>
        <w:t>no</w:t>
      </w:r>
      <w:proofErr w:type="spellEnd"/>
      <w:r w:rsidRPr="000C7C76">
        <w:rPr>
          <w:rFonts w:ascii="Times New Roman" w:hAnsi="Times New Roman" w:cs="Arial"/>
          <w:color w:val="323233"/>
          <w:lang w:val="de-DE"/>
        </w:rPr>
        <w:t xml:space="preserve"> </w:t>
      </w:r>
      <w:proofErr w:type="spellStart"/>
      <w:r w:rsidRPr="000C7C76">
        <w:rPr>
          <w:rFonts w:ascii="Times New Roman" w:hAnsi="Times New Roman" w:cs="Arial"/>
          <w:color w:val="323233"/>
          <w:lang w:val="de-DE"/>
        </w:rPr>
        <w:t>publiskā</w:t>
      </w:r>
      <w:proofErr w:type="spellEnd"/>
      <w:r w:rsidRPr="000C7C76">
        <w:rPr>
          <w:rFonts w:ascii="Times New Roman" w:hAnsi="Times New Roman" w:cs="Arial"/>
          <w:color w:val="323233"/>
          <w:lang w:val="de-DE"/>
        </w:rPr>
        <w:t xml:space="preserve"> </w:t>
      </w:r>
      <w:proofErr w:type="spellStart"/>
      <w:r w:rsidRPr="000C7C76">
        <w:rPr>
          <w:rFonts w:ascii="Times New Roman" w:hAnsi="Times New Roman" w:cs="Arial"/>
          <w:color w:val="323233"/>
          <w:lang w:val="de-DE"/>
        </w:rPr>
        <w:t>reģistra</w:t>
      </w:r>
      <w:proofErr w:type="spellEnd"/>
      <w:r w:rsidRPr="000C7C76">
        <w:rPr>
          <w:rFonts w:ascii="Times New Roman" w:hAnsi="Times New Roman" w:cs="Arial"/>
          <w:color w:val="323233"/>
          <w:lang w:val="de-DE"/>
        </w:rPr>
        <w:t xml:space="preserve"> </w:t>
      </w:r>
      <w:proofErr w:type="spellStart"/>
      <w:r w:rsidRPr="000C7C76">
        <w:rPr>
          <w:rFonts w:ascii="Times New Roman" w:hAnsi="Times New Roman" w:cs="Arial"/>
          <w:color w:val="323233"/>
          <w:lang w:val="de-DE"/>
        </w:rPr>
        <w:t>būs</w:t>
      </w:r>
      <w:proofErr w:type="spellEnd"/>
      <w:r w:rsidRPr="000C7C76">
        <w:rPr>
          <w:rFonts w:ascii="Times New Roman" w:hAnsi="Times New Roman" w:cs="Arial"/>
          <w:color w:val="323233"/>
          <w:lang w:val="de-DE"/>
        </w:rPr>
        <w:t xml:space="preserve"> </w:t>
      </w:r>
      <w:proofErr w:type="spellStart"/>
      <w:r w:rsidRPr="000C7C76">
        <w:rPr>
          <w:rFonts w:ascii="Times New Roman" w:hAnsi="Times New Roman" w:cs="Arial"/>
          <w:color w:val="323233"/>
          <w:lang w:val="de-DE"/>
        </w:rPr>
        <w:t>subsumējams</w:t>
      </w:r>
      <w:proofErr w:type="spellEnd"/>
      <w:r w:rsidRPr="000C7C76">
        <w:rPr>
          <w:rFonts w:ascii="Times New Roman" w:hAnsi="Times New Roman" w:cs="Arial"/>
          <w:color w:val="323233"/>
          <w:lang w:val="de-DE"/>
        </w:rPr>
        <w:t xml:space="preserve"> </w:t>
      </w:r>
      <w:proofErr w:type="spellStart"/>
      <w:r w:rsidRPr="000C7C76">
        <w:rPr>
          <w:rFonts w:ascii="Times New Roman" w:hAnsi="Times New Roman" w:cs="Arial"/>
          <w:color w:val="323233"/>
          <w:lang w:val="de-DE"/>
        </w:rPr>
        <w:t>jēdzienam</w:t>
      </w:r>
      <w:proofErr w:type="spellEnd"/>
      <w:r w:rsidRPr="000C7C76">
        <w:rPr>
          <w:rFonts w:ascii="Times New Roman" w:hAnsi="Times New Roman" w:cs="Arial"/>
          <w:color w:val="323233"/>
          <w:lang w:val="de-DE"/>
        </w:rPr>
        <w:t xml:space="preserve"> </w:t>
      </w:r>
      <w:r>
        <w:rPr>
          <w:rFonts w:ascii="Times New Roman" w:hAnsi="Times New Roman" w:cs="Arial"/>
          <w:color w:val="323233"/>
          <w:lang w:val="de-DE"/>
        </w:rPr>
        <w:t>„</w:t>
      </w:r>
      <w:proofErr w:type="spellStart"/>
      <w:r w:rsidRPr="000C7C76">
        <w:rPr>
          <w:rFonts w:ascii="Times New Roman" w:hAnsi="Times New Roman" w:cs="Arial"/>
          <w:color w:val="323233"/>
          <w:lang w:val="de-DE"/>
        </w:rPr>
        <w:t>publisks</w:t>
      </w:r>
      <w:proofErr w:type="spellEnd"/>
      <w:r w:rsidRPr="000C7C76">
        <w:rPr>
          <w:rFonts w:ascii="Times New Roman" w:hAnsi="Times New Roman" w:cs="Arial"/>
          <w:color w:val="323233"/>
          <w:lang w:val="de-DE"/>
        </w:rPr>
        <w:t xml:space="preserve"> </w:t>
      </w:r>
      <w:proofErr w:type="spellStart"/>
      <w:r w:rsidRPr="000C7C76">
        <w:rPr>
          <w:rFonts w:ascii="Times New Roman" w:hAnsi="Times New Roman" w:cs="Arial"/>
          <w:color w:val="323233"/>
          <w:lang w:val="de-DE"/>
        </w:rPr>
        <w:t>dokuments</w:t>
      </w:r>
      <w:proofErr w:type="spellEnd"/>
      <w:r>
        <w:rPr>
          <w:rFonts w:ascii="Times New Roman" w:hAnsi="Times New Roman" w:cs="Arial"/>
          <w:color w:val="323233"/>
          <w:lang w:val="de-DE"/>
        </w:rPr>
        <w:t>“</w:t>
      </w:r>
      <w:r w:rsidRPr="000C7C76">
        <w:rPr>
          <w:rFonts w:ascii="Times New Roman" w:hAnsi="Times New Roman" w:cs="Arial"/>
          <w:color w:val="323233"/>
          <w:lang w:val="de-DE"/>
        </w:rPr>
        <w:t xml:space="preserve">, </w:t>
      </w:r>
      <w:proofErr w:type="spellStart"/>
      <w:r w:rsidRPr="000C7C76">
        <w:rPr>
          <w:rFonts w:ascii="Times New Roman" w:hAnsi="Times New Roman" w:cs="Arial"/>
          <w:color w:val="323233"/>
          <w:lang w:val="de-DE"/>
        </w:rPr>
        <w:t>savukārt</w:t>
      </w:r>
      <w:proofErr w:type="spellEnd"/>
      <w:r w:rsidRPr="000C7C76">
        <w:rPr>
          <w:rFonts w:ascii="Times New Roman" w:hAnsi="Times New Roman" w:cs="Arial"/>
          <w:color w:val="323233"/>
          <w:lang w:val="de-DE"/>
        </w:rPr>
        <w:t xml:space="preserve"> </w:t>
      </w:r>
      <w:proofErr w:type="spellStart"/>
      <w:r w:rsidRPr="000C7C76">
        <w:rPr>
          <w:rFonts w:ascii="Times New Roman" w:hAnsi="Times New Roman" w:cs="Arial"/>
          <w:color w:val="323233"/>
          <w:u w:val="single"/>
          <w:lang w:val="de-DE"/>
        </w:rPr>
        <w:t>ieraksts</w:t>
      </w:r>
      <w:proofErr w:type="spellEnd"/>
      <w:r w:rsidRPr="000C7C76">
        <w:rPr>
          <w:rFonts w:ascii="Times New Roman" w:hAnsi="Times New Roman" w:cs="Arial"/>
          <w:color w:val="323233"/>
          <w:lang w:val="de-DE"/>
        </w:rPr>
        <w:t xml:space="preserve"> </w:t>
      </w:r>
      <w:proofErr w:type="spellStart"/>
      <w:r w:rsidRPr="000C7C76">
        <w:rPr>
          <w:rFonts w:ascii="Times New Roman" w:hAnsi="Times New Roman" w:cs="Arial"/>
          <w:color w:val="323233"/>
          <w:lang w:val="de-DE"/>
        </w:rPr>
        <w:t>pats</w:t>
      </w:r>
      <w:proofErr w:type="spellEnd"/>
      <w:r w:rsidRPr="000C7C76">
        <w:rPr>
          <w:rFonts w:ascii="Times New Roman" w:hAnsi="Times New Roman" w:cs="Arial"/>
          <w:color w:val="323233"/>
          <w:lang w:val="de-DE"/>
        </w:rPr>
        <w:t xml:space="preserve"> par </w:t>
      </w:r>
      <w:proofErr w:type="spellStart"/>
      <w:r w:rsidRPr="000C7C76">
        <w:rPr>
          <w:rFonts w:ascii="Times New Roman" w:hAnsi="Times New Roman" w:cs="Arial"/>
          <w:color w:val="323233"/>
          <w:lang w:val="de-DE"/>
        </w:rPr>
        <w:t>sevi</w:t>
      </w:r>
      <w:proofErr w:type="spellEnd"/>
      <w:r w:rsidRPr="000C7C76">
        <w:rPr>
          <w:rFonts w:ascii="Times New Roman" w:hAnsi="Times New Roman" w:cs="Arial"/>
          <w:color w:val="323233"/>
          <w:lang w:val="de-DE"/>
        </w:rPr>
        <w:t xml:space="preserve"> </w:t>
      </w:r>
      <w:proofErr w:type="spellStart"/>
      <w:r w:rsidRPr="000C7C76">
        <w:rPr>
          <w:rFonts w:ascii="Times New Roman" w:hAnsi="Times New Roman" w:cs="Arial"/>
          <w:color w:val="323233"/>
          <w:lang w:val="de-DE"/>
        </w:rPr>
        <w:t>nevar</w:t>
      </w:r>
      <w:proofErr w:type="spellEnd"/>
      <w:r w:rsidRPr="000C7C76">
        <w:rPr>
          <w:rFonts w:ascii="Times New Roman" w:hAnsi="Times New Roman" w:cs="Arial"/>
          <w:color w:val="323233"/>
          <w:lang w:val="de-DE"/>
        </w:rPr>
        <w:t xml:space="preserve"> </w:t>
      </w:r>
      <w:proofErr w:type="spellStart"/>
      <w:r w:rsidRPr="000C7C76">
        <w:rPr>
          <w:rFonts w:ascii="Times New Roman" w:hAnsi="Times New Roman" w:cs="Arial"/>
          <w:color w:val="323233"/>
          <w:lang w:val="de-DE"/>
        </w:rPr>
        <w:t>tikt</w:t>
      </w:r>
      <w:proofErr w:type="spellEnd"/>
      <w:r w:rsidRPr="000C7C76">
        <w:rPr>
          <w:rFonts w:ascii="Times New Roman" w:hAnsi="Times New Roman" w:cs="Arial"/>
          <w:color w:val="323233"/>
          <w:lang w:val="de-DE"/>
        </w:rPr>
        <w:t xml:space="preserve"> </w:t>
      </w:r>
      <w:proofErr w:type="spellStart"/>
      <w:r w:rsidRPr="000C7C76">
        <w:rPr>
          <w:rFonts w:ascii="Times New Roman" w:hAnsi="Times New Roman" w:cs="Arial"/>
          <w:color w:val="323233"/>
          <w:lang w:val="de-DE"/>
        </w:rPr>
        <w:t>uzskatīts</w:t>
      </w:r>
      <w:proofErr w:type="spellEnd"/>
      <w:r w:rsidRPr="000C7C76">
        <w:rPr>
          <w:rFonts w:ascii="Times New Roman" w:hAnsi="Times New Roman" w:cs="Arial"/>
          <w:color w:val="323233"/>
          <w:lang w:val="de-DE"/>
        </w:rPr>
        <w:t xml:space="preserve"> par </w:t>
      </w:r>
      <w:proofErr w:type="spellStart"/>
      <w:r w:rsidRPr="000C7C76">
        <w:rPr>
          <w:rFonts w:ascii="Times New Roman" w:hAnsi="Times New Roman" w:cs="Arial"/>
          <w:color w:val="323233"/>
          <w:lang w:val="de-DE"/>
        </w:rPr>
        <w:t>publisku</w:t>
      </w:r>
      <w:proofErr w:type="spellEnd"/>
      <w:r w:rsidRPr="000C7C76">
        <w:rPr>
          <w:rFonts w:ascii="Times New Roman" w:hAnsi="Times New Roman" w:cs="Arial"/>
          <w:color w:val="323233"/>
          <w:lang w:val="de-DE"/>
        </w:rPr>
        <w:t xml:space="preserve"> </w:t>
      </w:r>
      <w:proofErr w:type="spellStart"/>
      <w:r w:rsidRPr="000C7C76">
        <w:rPr>
          <w:rFonts w:ascii="Times New Roman" w:hAnsi="Times New Roman" w:cs="Arial"/>
          <w:color w:val="323233"/>
          <w:lang w:val="de-DE"/>
        </w:rPr>
        <w:t>dokumentu</w:t>
      </w:r>
      <w:proofErr w:type="spellEnd"/>
      <w:r w:rsidRPr="000C7C76">
        <w:rPr>
          <w:rFonts w:ascii="Times New Roman" w:hAnsi="Times New Roman" w:cs="Arial"/>
          <w:color w:val="323233"/>
          <w:lang w:val="de-DE"/>
        </w:rPr>
        <w:t xml:space="preserve">, </w:t>
      </w:r>
      <w:proofErr w:type="spellStart"/>
      <w:r w:rsidRPr="000C7C76">
        <w:rPr>
          <w:rFonts w:ascii="Times New Roman" w:hAnsi="Times New Roman" w:cs="Arial"/>
          <w:color w:val="323233"/>
          <w:lang w:val="de-DE"/>
        </w:rPr>
        <w:t>bet</w:t>
      </w:r>
      <w:proofErr w:type="spellEnd"/>
      <w:r w:rsidRPr="000C7C76">
        <w:rPr>
          <w:rFonts w:ascii="Times New Roman" w:hAnsi="Times New Roman" w:cs="Arial"/>
          <w:color w:val="323233"/>
          <w:lang w:val="de-DE"/>
        </w:rPr>
        <w:t xml:space="preserve"> </w:t>
      </w:r>
      <w:proofErr w:type="spellStart"/>
      <w:r w:rsidRPr="000C7C76">
        <w:rPr>
          <w:rFonts w:ascii="Times New Roman" w:hAnsi="Times New Roman" w:cs="Arial"/>
          <w:color w:val="323233"/>
          <w:lang w:val="de-DE"/>
        </w:rPr>
        <w:t>gan</w:t>
      </w:r>
      <w:proofErr w:type="spellEnd"/>
      <w:r w:rsidRPr="000C7C76">
        <w:rPr>
          <w:rFonts w:ascii="Times New Roman" w:hAnsi="Times New Roman" w:cs="Arial"/>
          <w:color w:val="323233"/>
          <w:lang w:val="de-DE"/>
        </w:rPr>
        <w:t xml:space="preserve"> </w:t>
      </w:r>
      <w:proofErr w:type="spellStart"/>
      <w:r w:rsidRPr="000C7C76">
        <w:rPr>
          <w:rFonts w:ascii="Times New Roman" w:hAnsi="Times New Roman" w:cs="Arial"/>
          <w:color w:val="323233"/>
          <w:lang w:val="de-DE"/>
        </w:rPr>
        <w:t>ir</w:t>
      </w:r>
      <w:proofErr w:type="spellEnd"/>
      <w:r w:rsidRPr="000C7C76">
        <w:rPr>
          <w:rFonts w:ascii="Times New Roman" w:hAnsi="Times New Roman" w:cs="Arial"/>
          <w:color w:val="323233"/>
          <w:lang w:val="de-DE"/>
        </w:rPr>
        <w:t xml:space="preserve"> </w:t>
      </w:r>
      <w:proofErr w:type="spellStart"/>
      <w:r w:rsidRPr="000C7C76">
        <w:rPr>
          <w:rFonts w:ascii="Times New Roman" w:hAnsi="Times New Roman" w:cs="Arial"/>
          <w:color w:val="323233"/>
          <w:lang w:val="de-DE"/>
        </w:rPr>
        <w:t>tam</w:t>
      </w:r>
      <w:proofErr w:type="spellEnd"/>
      <w:r w:rsidRPr="000C7C76">
        <w:rPr>
          <w:rFonts w:ascii="Times New Roman" w:hAnsi="Times New Roman" w:cs="Arial"/>
          <w:color w:val="323233"/>
          <w:lang w:val="de-DE"/>
        </w:rPr>
        <w:t xml:space="preserve"> </w:t>
      </w:r>
      <w:proofErr w:type="spellStart"/>
      <w:r w:rsidRPr="000C7C76">
        <w:rPr>
          <w:rFonts w:ascii="Times New Roman" w:hAnsi="Times New Roman" w:cs="Arial"/>
          <w:color w:val="323233"/>
          <w:lang w:val="de-DE"/>
        </w:rPr>
        <w:t>pielīdzināms</w:t>
      </w:r>
      <w:proofErr w:type="spellEnd"/>
      <w:r w:rsidRPr="000C7C76">
        <w:rPr>
          <w:rFonts w:ascii="Times New Roman" w:hAnsi="Times New Roman" w:cs="Arial"/>
          <w:color w:val="323233"/>
          <w:lang w:val="de-DE"/>
        </w:rPr>
        <w:t xml:space="preserve">. </w:t>
      </w:r>
    </w:p>
    <w:p w14:paraId="60151C51" w14:textId="77777777" w:rsidR="00114953" w:rsidRPr="000C7C76" w:rsidRDefault="00114953" w:rsidP="00114953">
      <w:pPr>
        <w:widowControl w:val="0"/>
        <w:autoSpaceDE w:val="0"/>
        <w:autoSpaceDN w:val="0"/>
        <w:adjustRightInd w:val="0"/>
        <w:jc w:val="both"/>
        <w:rPr>
          <w:rFonts w:ascii="Times New Roman" w:hAnsi="Times New Roman" w:cs="Arial"/>
          <w:color w:val="323233"/>
          <w:lang w:val="de-DE"/>
        </w:rPr>
      </w:pPr>
      <w:r w:rsidRPr="000C7C76">
        <w:rPr>
          <w:rFonts w:ascii="Times New Roman" w:hAnsi="Times New Roman" w:cs="Arial"/>
          <w:color w:val="323233"/>
          <w:lang w:val="de-DE"/>
        </w:rPr>
        <w:tab/>
      </w:r>
      <w:proofErr w:type="spellStart"/>
      <w:r w:rsidRPr="000C7C76">
        <w:rPr>
          <w:rFonts w:ascii="Times New Roman" w:hAnsi="Times New Roman" w:cs="Arial"/>
          <w:color w:val="323233"/>
          <w:lang w:val="de-DE"/>
        </w:rPr>
        <w:t>No</w:t>
      </w:r>
      <w:proofErr w:type="spellEnd"/>
      <w:r w:rsidRPr="000C7C76">
        <w:rPr>
          <w:rFonts w:ascii="Times New Roman" w:hAnsi="Times New Roman" w:cs="Arial"/>
          <w:color w:val="323233"/>
          <w:lang w:val="de-DE"/>
        </w:rPr>
        <w:t xml:space="preserve"> </w:t>
      </w:r>
      <w:proofErr w:type="spellStart"/>
      <w:r w:rsidRPr="000C7C76">
        <w:rPr>
          <w:rFonts w:ascii="Times New Roman" w:hAnsi="Times New Roman" w:cs="Arial"/>
          <w:color w:val="323233"/>
          <w:lang w:val="de-DE"/>
        </w:rPr>
        <w:t>Notariāta</w:t>
      </w:r>
      <w:proofErr w:type="spellEnd"/>
      <w:r w:rsidRPr="000C7C76">
        <w:rPr>
          <w:rFonts w:ascii="Times New Roman" w:hAnsi="Times New Roman" w:cs="Arial"/>
          <w:color w:val="323233"/>
          <w:lang w:val="de-DE"/>
        </w:rPr>
        <w:t xml:space="preserve"> </w:t>
      </w:r>
      <w:proofErr w:type="spellStart"/>
      <w:r w:rsidRPr="000C7C76">
        <w:rPr>
          <w:rFonts w:ascii="Times New Roman" w:hAnsi="Times New Roman" w:cs="Arial"/>
          <w:color w:val="323233"/>
          <w:lang w:val="de-DE"/>
        </w:rPr>
        <w:t>likuma</w:t>
      </w:r>
      <w:proofErr w:type="spellEnd"/>
      <w:r w:rsidRPr="000C7C76">
        <w:rPr>
          <w:rFonts w:ascii="Times New Roman" w:hAnsi="Times New Roman" w:cs="Arial"/>
          <w:color w:val="323233"/>
          <w:lang w:val="de-DE"/>
        </w:rPr>
        <w:t xml:space="preserve"> 83.panta </w:t>
      </w:r>
      <w:proofErr w:type="spellStart"/>
      <w:r w:rsidRPr="000C7C76">
        <w:rPr>
          <w:rFonts w:ascii="Times New Roman" w:hAnsi="Times New Roman" w:cs="Arial"/>
          <w:color w:val="323233"/>
          <w:lang w:val="de-DE"/>
        </w:rPr>
        <w:t>trešās</w:t>
      </w:r>
      <w:proofErr w:type="spellEnd"/>
      <w:r w:rsidRPr="000C7C76">
        <w:rPr>
          <w:rFonts w:ascii="Times New Roman" w:hAnsi="Times New Roman" w:cs="Arial"/>
          <w:color w:val="323233"/>
          <w:lang w:val="de-DE"/>
        </w:rPr>
        <w:t xml:space="preserve"> </w:t>
      </w:r>
      <w:proofErr w:type="spellStart"/>
      <w:r w:rsidRPr="000C7C76">
        <w:rPr>
          <w:rFonts w:ascii="Times New Roman" w:hAnsi="Times New Roman" w:cs="Arial"/>
          <w:color w:val="323233"/>
          <w:lang w:val="de-DE"/>
        </w:rPr>
        <w:t>daļas</w:t>
      </w:r>
      <w:proofErr w:type="spellEnd"/>
      <w:r w:rsidRPr="000C7C76">
        <w:rPr>
          <w:rFonts w:ascii="Times New Roman" w:hAnsi="Times New Roman" w:cs="Arial"/>
          <w:color w:val="323233"/>
          <w:lang w:val="de-DE"/>
        </w:rPr>
        <w:t xml:space="preserve"> </w:t>
      </w:r>
      <w:proofErr w:type="spellStart"/>
      <w:r w:rsidRPr="000C7C76">
        <w:rPr>
          <w:rFonts w:ascii="Times New Roman" w:hAnsi="Times New Roman" w:cs="Arial"/>
          <w:color w:val="323233"/>
          <w:lang w:val="de-DE"/>
        </w:rPr>
        <w:t>izriet</w:t>
      </w:r>
      <w:proofErr w:type="spellEnd"/>
      <w:r w:rsidRPr="000C7C76">
        <w:rPr>
          <w:rFonts w:ascii="Times New Roman" w:hAnsi="Times New Roman" w:cs="Arial"/>
          <w:color w:val="323233"/>
          <w:lang w:val="de-DE"/>
        </w:rPr>
        <w:t xml:space="preserve">, </w:t>
      </w:r>
      <w:proofErr w:type="spellStart"/>
      <w:r w:rsidRPr="000C7C76">
        <w:rPr>
          <w:rFonts w:ascii="Times New Roman" w:hAnsi="Times New Roman" w:cs="Arial"/>
          <w:color w:val="323233"/>
          <w:lang w:val="de-DE"/>
        </w:rPr>
        <w:t>ka</w:t>
      </w:r>
      <w:proofErr w:type="spellEnd"/>
      <w:r w:rsidRPr="000C7C76">
        <w:rPr>
          <w:rFonts w:ascii="Times New Roman" w:hAnsi="Times New Roman" w:cs="Arial"/>
          <w:color w:val="323233"/>
          <w:lang w:val="de-DE"/>
        </w:rPr>
        <w:t xml:space="preserve"> Latvijas </w:t>
      </w:r>
      <w:proofErr w:type="spellStart"/>
      <w:r w:rsidRPr="000C7C76">
        <w:rPr>
          <w:rFonts w:ascii="Times New Roman" w:hAnsi="Times New Roman" w:cs="Arial"/>
          <w:color w:val="323233"/>
          <w:lang w:val="de-DE"/>
        </w:rPr>
        <w:t>notāri</w:t>
      </w:r>
      <w:proofErr w:type="spellEnd"/>
      <w:r w:rsidRPr="000C7C76">
        <w:rPr>
          <w:rFonts w:ascii="Times New Roman" w:hAnsi="Times New Roman" w:cs="Arial"/>
          <w:color w:val="323233"/>
          <w:lang w:val="de-DE"/>
        </w:rPr>
        <w:t xml:space="preserve"> </w:t>
      </w:r>
      <w:proofErr w:type="spellStart"/>
      <w:r w:rsidRPr="000C7C76">
        <w:rPr>
          <w:rFonts w:ascii="Times New Roman" w:hAnsi="Times New Roman" w:cs="Arial"/>
          <w:color w:val="323233"/>
          <w:lang w:val="de-DE"/>
        </w:rPr>
        <w:t>var</w:t>
      </w:r>
      <w:proofErr w:type="spellEnd"/>
      <w:r w:rsidRPr="000C7C76">
        <w:rPr>
          <w:rFonts w:ascii="Times New Roman" w:hAnsi="Times New Roman" w:cs="Arial"/>
          <w:color w:val="323233"/>
          <w:lang w:val="de-DE"/>
        </w:rPr>
        <w:t xml:space="preserve"> </w:t>
      </w:r>
      <w:proofErr w:type="spellStart"/>
      <w:r w:rsidRPr="000C7C76">
        <w:rPr>
          <w:rFonts w:ascii="Times New Roman" w:hAnsi="Times New Roman" w:cs="Arial"/>
          <w:color w:val="323233"/>
          <w:lang w:val="de-DE"/>
        </w:rPr>
        <w:t>izmantot</w:t>
      </w:r>
      <w:proofErr w:type="spellEnd"/>
      <w:r w:rsidRPr="000C7C76">
        <w:rPr>
          <w:rFonts w:ascii="Times New Roman" w:hAnsi="Times New Roman" w:cs="Arial"/>
          <w:color w:val="323233"/>
          <w:lang w:val="de-DE"/>
        </w:rPr>
        <w:t xml:space="preserve"> </w:t>
      </w:r>
      <w:proofErr w:type="spellStart"/>
      <w:r w:rsidRPr="000C7C76">
        <w:rPr>
          <w:rFonts w:ascii="Times New Roman" w:hAnsi="Times New Roman" w:cs="Arial"/>
          <w:color w:val="323233"/>
          <w:lang w:val="de-DE"/>
        </w:rPr>
        <w:t>iespēju</w:t>
      </w:r>
      <w:proofErr w:type="spellEnd"/>
      <w:r w:rsidRPr="000C7C76">
        <w:rPr>
          <w:rFonts w:ascii="Times New Roman" w:hAnsi="Times New Roman" w:cs="Arial"/>
          <w:color w:val="323233"/>
          <w:lang w:val="de-DE"/>
        </w:rPr>
        <w:t xml:space="preserve"> </w:t>
      </w:r>
      <w:proofErr w:type="spellStart"/>
      <w:r w:rsidRPr="000C7C76">
        <w:rPr>
          <w:rFonts w:ascii="Times New Roman" w:hAnsi="Times New Roman" w:cs="Arial"/>
          <w:color w:val="323233"/>
          <w:lang w:val="de-DE"/>
        </w:rPr>
        <w:t>salīdzināt</w:t>
      </w:r>
      <w:proofErr w:type="spellEnd"/>
      <w:r w:rsidRPr="000C7C76">
        <w:rPr>
          <w:rFonts w:ascii="Times New Roman" w:hAnsi="Times New Roman" w:cs="Arial"/>
          <w:color w:val="323233"/>
          <w:lang w:val="de-DE"/>
        </w:rPr>
        <w:t xml:space="preserve"> </w:t>
      </w:r>
      <w:proofErr w:type="spellStart"/>
      <w:r w:rsidRPr="000C7C76">
        <w:rPr>
          <w:rFonts w:ascii="Times New Roman" w:hAnsi="Times New Roman" w:cs="Arial"/>
          <w:color w:val="323233"/>
          <w:lang w:val="de-DE"/>
        </w:rPr>
        <w:t>ziņas</w:t>
      </w:r>
      <w:proofErr w:type="spellEnd"/>
      <w:r w:rsidRPr="000C7C76">
        <w:rPr>
          <w:rFonts w:ascii="Times New Roman" w:hAnsi="Times New Roman" w:cs="Arial"/>
          <w:color w:val="323233"/>
          <w:lang w:val="de-DE"/>
        </w:rPr>
        <w:t xml:space="preserve"> </w:t>
      </w:r>
      <w:proofErr w:type="spellStart"/>
      <w:r w:rsidRPr="000C7C76">
        <w:rPr>
          <w:rFonts w:ascii="Times New Roman" w:hAnsi="Times New Roman" w:cs="Arial"/>
          <w:color w:val="323233"/>
          <w:lang w:val="de-DE"/>
        </w:rPr>
        <w:t>arī</w:t>
      </w:r>
      <w:proofErr w:type="spellEnd"/>
      <w:r w:rsidRPr="000C7C76">
        <w:rPr>
          <w:rFonts w:ascii="Times New Roman" w:hAnsi="Times New Roman" w:cs="Arial"/>
          <w:color w:val="323233"/>
          <w:lang w:val="de-DE"/>
        </w:rPr>
        <w:t xml:space="preserve"> </w:t>
      </w:r>
      <w:proofErr w:type="spellStart"/>
      <w:r w:rsidRPr="000C7C76">
        <w:rPr>
          <w:rFonts w:ascii="Times New Roman" w:hAnsi="Times New Roman" w:cs="Arial"/>
          <w:color w:val="323233"/>
          <w:lang w:val="de-DE"/>
        </w:rPr>
        <w:t>ar</w:t>
      </w:r>
      <w:proofErr w:type="spellEnd"/>
      <w:r w:rsidRPr="000C7C76">
        <w:rPr>
          <w:rFonts w:ascii="Times New Roman" w:hAnsi="Times New Roman" w:cs="Arial"/>
          <w:color w:val="323233"/>
          <w:lang w:val="de-DE"/>
        </w:rPr>
        <w:t xml:space="preserve"> </w:t>
      </w:r>
      <w:proofErr w:type="spellStart"/>
      <w:r w:rsidRPr="000C7C76">
        <w:rPr>
          <w:rFonts w:ascii="Times New Roman" w:hAnsi="Times New Roman" w:cs="Arial"/>
          <w:color w:val="323233"/>
          <w:lang w:val="de-DE"/>
        </w:rPr>
        <w:t>ierakstiem</w:t>
      </w:r>
      <w:proofErr w:type="spellEnd"/>
      <w:r w:rsidRPr="000C7C76">
        <w:rPr>
          <w:rFonts w:ascii="Times New Roman" w:hAnsi="Times New Roman" w:cs="Arial"/>
          <w:color w:val="323233"/>
          <w:lang w:val="de-DE"/>
        </w:rPr>
        <w:t xml:space="preserve"> </w:t>
      </w:r>
      <w:proofErr w:type="spellStart"/>
      <w:r w:rsidRPr="000C7C76">
        <w:rPr>
          <w:rFonts w:ascii="Times New Roman" w:hAnsi="Times New Roman" w:cs="Arial"/>
          <w:color w:val="323233"/>
          <w:lang w:val="de-DE"/>
        </w:rPr>
        <w:t>ārvalstu</w:t>
      </w:r>
      <w:proofErr w:type="spellEnd"/>
      <w:r w:rsidRPr="000C7C76">
        <w:rPr>
          <w:rFonts w:ascii="Times New Roman" w:hAnsi="Times New Roman" w:cs="Arial"/>
          <w:color w:val="323233"/>
          <w:lang w:val="de-DE"/>
        </w:rPr>
        <w:t xml:space="preserve"> </w:t>
      </w:r>
      <w:proofErr w:type="spellStart"/>
      <w:r w:rsidRPr="000C7C76">
        <w:rPr>
          <w:rFonts w:ascii="Times New Roman" w:hAnsi="Times New Roman" w:cs="Arial"/>
          <w:color w:val="323233"/>
          <w:lang w:val="de-DE"/>
        </w:rPr>
        <w:t>reģistros</w:t>
      </w:r>
      <w:proofErr w:type="spellEnd"/>
      <w:r w:rsidRPr="000C7C76">
        <w:rPr>
          <w:rFonts w:ascii="Times New Roman" w:hAnsi="Times New Roman" w:cs="Arial"/>
          <w:color w:val="323233"/>
          <w:lang w:val="de-DE"/>
        </w:rPr>
        <w:t xml:space="preserve">, ja </w:t>
      </w:r>
      <w:proofErr w:type="spellStart"/>
      <w:r w:rsidRPr="000C7C76">
        <w:rPr>
          <w:rFonts w:ascii="Times New Roman" w:hAnsi="Times New Roman" w:cs="Arial"/>
          <w:color w:val="323233"/>
          <w:lang w:val="de-DE"/>
        </w:rPr>
        <w:t>notāriem</w:t>
      </w:r>
      <w:proofErr w:type="spellEnd"/>
      <w:r w:rsidRPr="000C7C76">
        <w:rPr>
          <w:rFonts w:ascii="Times New Roman" w:hAnsi="Times New Roman" w:cs="Arial"/>
          <w:color w:val="323233"/>
          <w:lang w:val="de-DE"/>
        </w:rPr>
        <w:t xml:space="preserve"> </w:t>
      </w:r>
      <w:proofErr w:type="spellStart"/>
      <w:r w:rsidRPr="000C7C76">
        <w:rPr>
          <w:rFonts w:ascii="Times New Roman" w:hAnsi="Times New Roman" w:cs="Arial"/>
          <w:color w:val="323233"/>
          <w:lang w:val="de-DE"/>
        </w:rPr>
        <w:t>ir</w:t>
      </w:r>
      <w:proofErr w:type="spellEnd"/>
      <w:r w:rsidRPr="000C7C76">
        <w:rPr>
          <w:rFonts w:ascii="Times New Roman" w:hAnsi="Times New Roman" w:cs="Arial"/>
          <w:color w:val="323233"/>
          <w:lang w:val="de-DE"/>
        </w:rPr>
        <w:t xml:space="preserve"> </w:t>
      </w:r>
      <w:proofErr w:type="spellStart"/>
      <w:r w:rsidRPr="000C7C76">
        <w:rPr>
          <w:rFonts w:ascii="Times New Roman" w:hAnsi="Times New Roman" w:cs="Arial"/>
          <w:color w:val="323233"/>
          <w:lang w:val="de-DE"/>
        </w:rPr>
        <w:t>pieejami</w:t>
      </w:r>
      <w:proofErr w:type="spellEnd"/>
      <w:r w:rsidRPr="000C7C76">
        <w:rPr>
          <w:rFonts w:ascii="Times New Roman" w:hAnsi="Times New Roman" w:cs="Arial"/>
          <w:color w:val="323233"/>
          <w:lang w:val="de-DE"/>
        </w:rPr>
        <w:t xml:space="preserve"> </w:t>
      </w:r>
      <w:proofErr w:type="spellStart"/>
      <w:r w:rsidRPr="000C7C76">
        <w:rPr>
          <w:rFonts w:ascii="Times New Roman" w:hAnsi="Times New Roman" w:cs="Arial"/>
          <w:color w:val="323233"/>
          <w:lang w:val="de-DE"/>
        </w:rPr>
        <w:t>šādi</w:t>
      </w:r>
      <w:proofErr w:type="spellEnd"/>
      <w:r w:rsidRPr="000C7C76">
        <w:rPr>
          <w:rFonts w:ascii="Times New Roman" w:hAnsi="Times New Roman" w:cs="Arial"/>
          <w:color w:val="323233"/>
          <w:lang w:val="de-DE"/>
        </w:rPr>
        <w:t xml:space="preserve"> </w:t>
      </w:r>
      <w:proofErr w:type="spellStart"/>
      <w:r w:rsidRPr="000C7C76">
        <w:rPr>
          <w:rFonts w:ascii="Times New Roman" w:hAnsi="Times New Roman" w:cs="Arial"/>
          <w:color w:val="323233"/>
          <w:lang w:val="de-DE"/>
        </w:rPr>
        <w:t>reģistri</w:t>
      </w:r>
      <w:proofErr w:type="spellEnd"/>
      <w:r w:rsidRPr="000C7C76">
        <w:rPr>
          <w:rFonts w:ascii="Times New Roman" w:hAnsi="Times New Roman" w:cs="Arial"/>
          <w:color w:val="323233"/>
          <w:lang w:val="de-DE"/>
        </w:rPr>
        <w:t xml:space="preserve">. </w:t>
      </w:r>
      <w:proofErr w:type="spellStart"/>
      <w:r w:rsidRPr="000C7C76">
        <w:rPr>
          <w:rFonts w:ascii="Times New Roman" w:hAnsi="Times New Roman" w:cs="Arial"/>
          <w:color w:val="323233"/>
          <w:lang w:val="de-DE"/>
        </w:rPr>
        <w:t>Tomēr</w:t>
      </w:r>
      <w:proofErr w:type="spellEnd"/>
      <w:r w:rsidRPr="000C7C76">
        <w:rPr>
          <w:rFonts w:ascii="Times New Roman" w:hAnsi="Times New Roman" w:cs="Arial"/>
          <w:color w:val="323233"/>
          <w:lang w:val="de-DE"/>
        </w:rPr>
        <w:t xml:space="preserve"> </w:t>
      </w:r>
      <w:proofErr w:type="spellStart"/>
      <w:r w:rsidRPr="000C7C76">
        <w:rPr>
          <w:rFonts w:ascii="Times New Roman" w:hAnsi="Times New Roman" w:cs="Arial"/>
          <w:color w:val="323233"/>
          <w:lang w:val="de-DE"/>
        </w:rPr>
        <w:t>šeit</w:t>
      </w:r>
      <w:proofErr w:type="spellEnd"/>
      <w:r w:rsidRPr="000C7C76">
        <w:rPr>
          <w:rFonts w:ascii="Times New Roman" w:hAnsi="Times New Roman" w:cs="Arial"/>
          <w:color w:val="323233"/>
          <w:lang w:val="de-DE"/>
        </w:rPr>
        <w:t xml:space="preserve"> </w:t>
      </w:r>
      <w:proofErr w:type="spellStart"/>
      <w:r w:rsidRPr="000C7C76">
        <w:rPr>
          <w:rFonts w:ascii="Times New Roman" w:hAnsi="Times New Roman" w:cs="Arial"/>
          <w:color w:val="323233"/>
          <w:lang w:val="de-DE"/>
        </w:rPr>
        <w:t>jāņem</w:t>
      </w:r>
      <w:proofErr w:type="spellEnd"/>
      <w:r w:rsidRPr="000C7C76">
        <w:rPr>
          <w:rFonts w:ascii="Times New Roman" w:hAnsi="Times New Roman" w:cs="Arial"/>
          <w:color w:val="323233"/>
          <w:lang w:val="de-DE"/>
        </w:rPr>
        <w:t xml:space="preserve"> </w:t>
      </w:r>
      <w:proofErr w:type="spellStart"/>
      <w:r w:rsidRPr="000C7C76">
        <w:rPr>
          <w:rFonts w:ascii="Times New Roman" w:hAnsi="Times New Roman" w:cs="Arial"/>
          <w:color w:val="323233"/>
          <w:lang w:val="de-DE"/>
        </w:rPr>
        <w:t>vērā</w:t>
      </w:r>
      <w:proofErr w:type="spellEnd"/>
      <w:r w:rsidRPr="000C7C76">
        <w:rPr>
          <w:rFonts w:ascii="Times New Roman" w:hAnsi="Times New Roman" w:cs="Arial"/>
          <w:color w:val="323233"/>
          <w:lang w:val="de-DE"/>
        </w:rPr>
        <w:t xml:space="preserve">, </w:t>
      </w:r>
      <w:proofErr w:type="spellStart"/>
      <w:r w:rsidRPr="000C7C76">
        <w:rPr>
          <w:rFonts w:ascii="Times New Roman" w:hAnsi="Times New Roman" w:cs="Arial"/>
          <w:color w:val="323233"/>
          <w:lang w:val="de-DE"/>
        </w:rPr>
        <w:t>ka</w:t>
      </w:r>
      <w:proofErr w:type="spellEnd"/>
      <w:r w:rsidRPr="000C7C76">
        <w:rPr>
          <w:rFonts w:ascii="Times New Roman" w:hAnsi="Times New Roman" w:cs="Arial"/>
          <w:color w:val="323233"/>
          <w:lang w:val="de-DE"/>
        </w:rPr>
        <w:t xml:space="preserve"> </w:t>
      </w:r>
      <w:proofErr w:type="spellStart"/>
      <w:r w:rsidRPr="000C7C76">
        <w:rPr>
          <w:rFonts w:ascii="Times New Roman" w:hAnsi="Times New Roman" w:cs="Arial"/>
          <w:color w:val="323233"/>
          <w:lang w:val="de-DE"/>
        </w:rPr>
        <w:t>ārvalsts</w:t>
      </w:r>
      <w:proofErr w:type="spellEnd"/>
      <w:r w:rsidRPr="000C7C76">
        <w:rPr>
          <w:rFonts w:ascii="Times New Roman" w:hAnsi="Times New Roman" w:cs="Arial"/>
          <w:color w:val="323233"/>
          <w:lang w:val="de-DE"/>
        </w:rPr>
        <w:t xml:space="preserve"> </w:t>
      </w:r>
      <w:proofErr w:type="spellStart"/>
      <w:r w:rsidRPr="000C7C76">
        <w:rPr>
          <w:rFonts w:ascii="Times New Roman" w:hAnsi="Times New Roman" w:cs="Arial"/>
          <w:color w:val="323233"/>
          <w:lang w:val="de-DE"/>
        </w:rPr>
        <w:t>reģistram</w:t>
      </w:r>
      <w:proofErr w:type="spellEnd"/>
      <w:r w:rsidRPr="000C7C76">
        <w:rPr>
          <w:rFonts w:ascii="Times New Roman" w:hAnsi="Times New Roman" w:cs="Arial"/>
          <w:color w:val="323233"/>
          <w:lang w:val="de-DE"/>
        </w:rPr>
        <w:t xml:space="preserve"> </w:t>
      </w:r>
      <w:proofErr w:type="spellStart"/>
      <w:r w:rsidRPr="000C7C76">
        <w:rPr>
          <w:rFonts w:ascii="Times New Roman" w:hAnsi="Times New Roman" w:cs="Arial"/>
          <w:color w:val="323233"/>
          <w:lang w:val="de-DE"/>
        </w:rPr>
        <w:t>ir</w:t>
      </w:r>
      <w:proofErr w:type="spellEnd"/>
      <w:r w:rsidRPr="000C7C76">
        <w:rPr>
          <w:rFonts w:ascii="Times New Roman" w:hAnsi="Times New Roman" w:cs="Arial"/>
          <w:color w:val="323233"/>
          <w:lang w:val="de-DE"/>
        </w:rPr>
        <w:t xml:space="preserve"> </w:t>
      </w:r>
      <w:proofErr w:type="spellStart"/>
      <w:r w:rsidRPr="000C7C76">
        <w:rPr>
          <w:rFonts w:ascii="Times New Roman" w:hAnsi="Times New Roman" w:cs="Arial"/>
          <w:color w:val="323233"/>
          <w:lang w:val="de-DE"/>
        </w:rPr>
        <w:t>jābūt</w:t>
      </w:r>
      <w:proofErr w:type="spellEnd"/>
      <w:r w:rsidRPr="000C7C76">
        <w:rPr>
          <w:rFonts w:ascii="Times New Roman" w:hAnsi="Times New Roman" w:cs="Arial"/>
          <w:color w:val="323233"/>
          <w:lang w:val="de-DE"/>
        </w:rPr>
        <w:t xml:space="preserve"> </w:t>
      </w:r>
      <w:proofErr w:type="spellStart"/>
      <w:r w:rsidRPr="000C7C76">
        <w:rPr>
          <w:rFonts w:ascii="Times New Roman" w:hAnsi="Times New Roman" w:cs="Arial"/>
          <w:color w:val="323233"/>
          <w:lang w:val="de-DE"/>
        </w:rPr>
        <w:t>līdzvērtīgam</w:t>
      </w:r>
      <w:proofErr w:type="spellEnd"/>
      <w:r w:rsidRPr="000C7C76">
        <w:rPr>
          <w:rFonts w:ascii="Times New Roman" w:hAnsi="Times New Roman" w:cs="Arial"/>
          <w:color w:val="323233"/>
          <w:lang w:val="de-DE"/>
        </w:rPr>
        <w:t xml:space="preserve"> Latvijas </w:t>
      </w:r>
      <w:proofErr w:type="spellStart"/>
      <w:r w:rsidRPr="000C7C76">
        <w:rPr>
          <w:rFonts w:ascii="Times New Roman" w:hAnsi="Times New Roman" w:cs="Arial"/>
          <w:color w:val="323233"/>
          <w:lang w:val="de-DE"/>
        </w:rPr>
        <w:t>Komercreģistram</w:t>
      </w:r>
      <w:proofErr w:type="spellEnd"/>
      <w:r w:rsidRPr="000C7C76">
        <w:rPr>
          <w:rFonts w:ascii="Times New Roman" w:hAnsi="Times New Roman" w:cs="Arial"/>
          <w:color w:val="323233"/>
          <w:lang w:val="de-DE"/>
        </w:rPr>
        <w:t xml:space="preserve">, </w:t>
      </w:r>
      <w:proofErr w:type="spellStart"/>
      <w:r w:rsidRPr="000C7C76">
        <w:rPr>
          <w:rFonts w:ascii="Times New Roman" w:hAnsi="Times New Roman" w:cs="Arial"/>
          <w:color w:val="323233"/>
          <w:lang w:val="de-DE"/>
        </w:rPr>
        <w:t>t.i</w:t>
      </w:r>
      <w:proofErr w:type="spellEnd"/>
      <w:r w:rsidRPr="000C7C76">
        <w:rPr>
          <w:rFonts w:ascii="Times New Roman" w:hAnsi="Times New Roman" w:cs="Arial"/>
          <w:color w:val="323233"/>
          <w:lang w:val="de-DE"/>
        </w:rPr>
        <w:t xml:space="preserve">., </w:t>
      </w:r>
      <w:proofErr w:type="spellStart"/>
      <w:r w:rsidRPr="000C7C76">
        <w:rPr>
          <w:rFonts w:ascii="Times New Roman" w:hAnsi="Times New Roman" w:cs="Arial"/>
          <w:color w:val="323233"/>
          <w:lang w:val="de-DE"/>
        </w:rPr>
        <w:t>tajā</w:t>
      </w:r>
      <w:proofErr w:type="spellEnd"/>
      <w:r w:rsidRPr="000C7C76">
        <w:rPr>
          <w:rFonts w:ascii="Times New Roman" w:hAnsi="Times New Roman" w:cs="Arial"/>
          <w:color w:val="323233"/>
          <w:lang w:val="de-DE"/>
        </w:rPr>
        <w:t xml:space="preserve"> </w:t>
      </w:r>
      <w:proofErr w:type="spellStart"/>
      <w:r w:rsidRPr="000C7C76">
        <w:rPr>
          <w:rFonts w:ascii="Times New Roman" w:hAnsi="Times New Roman" w:cs="Arial"/>
          <w:color w:val="323233"/>
          <w:lang w:val="de-DE"/>
        </w:rPr>
        <w:t>patiešām</w:t>
      </w:r>
      <w:proofErr w:type="spellEnd"/>
      <w:r w:rsidRPr="000C7C76">
        <w:rPr>
          <w:rFonts w:ascii="Times New Roman" w:hAnsi="Times New Roman" w:cs="Arial"/>
          <w:color w:val="323233"/>
          <w:lang w:val="de-DE"/>
        </w:rPr>
        <w:t xml:space="preserve"> </w:t>
      </w:r>
      <w:proofErr w:type="spellStart"/>
      <w:r w:rsidRPr="000C7C76">
        <w:rPr>
          <w:rFonts w:ascii="Times New Roman" w:hAnsi="Times New Roman" w:cs="Arial"/>
          <w:color w:val="323233"/>
          <w:lang w:val="de-DE"/>
        </w:rPr>
        <w:t>ir</w:t>
      </w:r>
      <w:proofErr w:type="spellEnd"/>
      <w:r w:rsidRPr="000C7C76">
        <w:rPr>
          <w:rFonts w:ascii="Times New Roman" w:hAnsi="Times New Roman" w:cs="Arial"/>
          <w:color w:val="323233"/>
          <w:lang w:val="de-DE"/>
        </w:rPr>
        <w:t xml:space="preserve"> </w:t>
      </w:r>
      <w:proofErr w:type="spellStart"/>
      <w:r w:rsidRPr="000C7C76">
        <w:rPr>
          <w:rFonts w:ascii="Times New Roman" w:hAnsi="Times New Roman" w:cs="Arial"/>
          <w:color w:val="323233"/>
          <w:lang w:val="de-DE"/>
        </w:rPr>
        <w:t>jābūt</w:t>
      </w:r>
      <w:proofErr w:type="spellEnd"/>
      <w:r w:rsidRPr="000C7C76">
        <w:rPr>
          <w:rFonts w:ascii="Times New Roman" w:hAnsi="Times New Roman" w:cs="Arial"/>
          <w:color w:val="323233"/>
          <w:lang w:val="de-DE"/>
        </w:rPr>
        <w:t xml:space="preserve"> </w:t>
      </w:r>
      <w:proofErr w:type="spellStart"/>
      <w:r w:rsidRPr="000C7C76">
        <w:rPr>
          <w:rFonts w:ascii="Times New Roman" w:hAnsi="Times New Roman" w:cs="Arial"/>
          <w:color w:val="323233"/>
          <w:lang w:val="de-DE"/>
        </w:rPr>
        <w:t>ietvertai</w:t>
      </w:r>
      <w:proofErr w:type="spellEnd"/>
      <w:r w:rsidRPr="000C7C76">
        <w:rPr>
          <w:rFonts w:ascii="Times New Roman" w:hAnsi="Times New Roman" w:cs="Arial"/>
          <w:color w:val="323233"/>
          <w:lang w:val="de-DE"/>
        </w:rPr>
        <w:t xml:space="preserve"> </w:t>
      </w:r>
      <w:proofErr w:type="spellStart"/>
      <w:r w:rsidRPr="000C7C76">
        <w:rPr>
          <w:rFonts w:ascii="Times New Roman" w:hAnsi="Times New Roman" w:cs="Arial"/>
          <w:color w:val="323233"/>
          <w:lang w:val="de-DE"/>
        </w:rPr>
        <w:t>tādai</w:t>
      </w:r>
      <w:proofErr w:type="spellEnd"/>
      <w:r w:rsidRPr="000C7C76">
        <w:rPr>
          <w:rFonts w:ascii="Times New Roman" w:hAnsi="Times New Roman" w:cs="Arial"/>
          <w:color w:val="323233"/>
          <w:lang w:val="de-DE"/>
        </w:rPr>
        <w:t xml:space="preserve"> </w:t>
      </w:r>
      <w:proofErr w:type="spellStart"/>
      <w:r w:rsidRPr="000C7C76">
        <w:rPr>
          <w:rFonts w:ascii="Times New Roman" w:hAnsi="Times New Roman" w:cs="Arial"/>
          <w:color w:val="323233"/>
          <w:lang w:val="de-DE"/>
        </w:rPr>
        <w:t>pašai</w:t>
      </w:r>
      <w:proofErr w:type="spellEnd"/>
      <w:r w:rsidRPr="000C7C76">
        <w:rPr>
          <w:rFonts w:ascii="Times New Roman" w:hAnsi="Times New Roman" w:cs="Arial"/>
          <w:color w:val="323233"/>
          <w:lang w:val="de-DE"/>
        </w:rPr>
        <w:t xml:space="preserve"> </w:t>
      </w:r>
      <w:proofErr w:type="spellStart"/>
      <w:r w:rsidRPr="000C7C76">
        <w:rPr>
          <w:rFonts w:ascii="Times New Roman" w:hAnsi="Times New Roman" w:cs="Arial"/>
          <w:color w:val="323233"/>
          <w:lang w:val="de-DE"/>
        </w:rPr>
        <w:t>informācijai</w:t>
      </w:r>
      <w:proofErr w:type="spellEnd"/>
      <w:r w:rsidRPr="000C7C76">
        <w:rPr>
          <w:rFonts w:ascii="Times New Roman" w:hAnsi="Times New Roman" w:cs="Arial"/>
          <w:color w:val="323233"/>
          <w:lang w:val="de-DE"/>
        </w:rPr>
        <w:t xml:space="preserve"> par </w:t>
      </w:r>
      <w:proofErr w:type="spellStart"/>
      <w:r w:rsidRPr="000C7C76">
        <w:rPr>
          <w:rFonts w:ascii="Times New Roman" w:hAnsi="Times New Roman" w:cs="Arial"/>
          <w:color w:val="323233"/>
          <w:lang w:val="de-DE"/>
        </w:rPr>
        <w:t>pārstāvības</w:t>
      </w:r>
      <w:proofErr w:type="spellEnd"/>
      <w:r w:rsidRPr="000C7C76">
        <w:rPr>
          <w:rFonts w:ascii="Times New Roman" w:hAnsi="Times New Roman" w:cs="Arial"/>
          <w:color w:val="323233"/>
          <w:lang w:val="de-DE"/>
        </w:rPr>
        <w:t xml:space="preserve"> </w:t>
      </w:r>
      <w:proofErr w:type="spellStart"/>
      <w:r w:rsidRPr="000C7C76">
        <w:rPr>
          <w:rFonts w:ascii="Times New Roman" w:hAnsi="Times New Roman" w:cs="Arial"/>
          <w:color w:val="323233"/>
          <w:lang w:val="de-DE"/>
        </w:rPr>
        <w:t>tiesībām</w:t>
      </w:r>
      <w:proofErr w:type="spellEnd"/>
      <w:r w:rsidRPr="000C7C76">
        <w:rPr>
          <w:rFonts w:ascii="Times New Roman" w:hAnsi="Times New Roman" w:cs="Arial"/>
          <w:color w:val="323233"/>
          <w:lang w:val="de-DE"/>
        </w:rPr>
        <w:t xml:space="preserve">, </w:t>
      </w:r>
      <w:proofErr w:type="spellStart"/>
      <w:r w:rsidRPr="000C7C76">
        <w:rPr>
          <w:rFonts w:ascii="Times New Roman" w:hAnsi="Times New Roman" w:cs="Arial"/>
          <w:color w:val="323233"/>
          <w:lang w:val="de-DE"/>
        </w:rPr>
        <w:t>kāda</w:t>
      </w:r>
      <w:proofErr w:type="spellEnd"/>
      <w:r w:rsidRPr="000C7C76">
        <w:rPr>
          <w:rFonts w:ascii="Times New Roman" w:hAnsi="Times New Roman" w:cs="Arial"/>
          <w:color w:val="323233"/>
          <w:lang w:val="de-DE"/>
        </w:rPr>
        <w:t xml:space="preserve"> </w:t>
      </w:r>
      <w:proofErr w:type="spellStart"/>
      <w:r w:rsidRPr="000C7C76">
        <w:rPr>
          <w:rFonts w:ascii="Times New Roman" w:hAnsi="Times New Roman" w:cs="Arial"/>
          <w:color w:val="323233"/>
          <w:lang w:val="de-DE"/>
        </w:rPr>
        <w:t>tiek</w:t>
      </w:r>
      <w:proofErr w:type="spellEnd"/>
      <w:r w:rsidRPr="000C7C76">
        <w:rPr>
          <w:rFonts w:ascii="Times New Roman" w:hAnsi="Times New Roman" w:cs="Arial"/>
          <w:color w:val="323233"/>
          <w:lang w:val="de-DE"/>
        </w:rPr>
        <w:t xml:space="preserve"> </w:t>
      </w:r>
      <w:proofErr w:type="spellStart"/>
      <w:r w:rsidRPr="000C7C76">
        <w:rPr>
          <w:rFonts w:ascii="Times New Roman" w:hAnsi="Times New Roman" w:cs="Arial"/>
          <w:color w:val="323233"/>
          <w:lang w:val="de-DE"/>
        </w:rPr>
        <w:t>ierakstīta</w:t>
      </w:r>
      <w:proofErr w:type="spellEnd"/>
      <w:r w:rsidRPr="000C7C76">
        <w:rPr>
          <w:rFonts w:ascii="Times New Roman" w:hAnsi="Times New Roman" w:cs="Arial"/>
          <w:color w:val="323233"/>
          <w:lang w:val="de-DE"/>
        </w:rPr>
        <w:t xml:space="preserve"> Latvijas </w:t>
      </w:r>
      <w:proofErr w:type="spellStart"/>
      <w:r w:rsidRPr="000C7C76">
        <w:rPr>
          <w:rFonts w:ascii="Times New Roman" w:hAnsi="Times New Roman" w:cs="Arial"/>
          <w:color w:val="323233"/>
          <w:lang w:val="de-DE"/>
        </w:rPr>
        <w:t>Komercreģistrā</w:t>
      </w:r>
      <w:proofErr w:type="spellEnd"/>
      <w:r w:rsidRPr="000C7C76">
        <w:rPr>
          <w:rFonts w:ascii="Times New Roman" w:hAnsi="Times New Roman" w:cs="Arial"/>
          <w:color w:val="323233"/>
          <w:lang w:val="de-DE"/>
        </w:rPr>
        <w:t xml:space="preserve">. </w:t>
      </w:r>
    </w:p>
    <w:p w14:paraId="24EC4058" w14:textId="77777777" w:rsidR="00114953" w:rsidRPr="000C7C76" w:rsidRDefault="00114953" w:rsidP="00114953">
      <w:pPr>
        <w:widowControl w:val="0"/>
        <w:autoSpaceDE w:val="0"/>
        <w:autoSpaceDN w:val="0"/>
        <w:adjustRightInd w:val="0"/>
        <w:jc w:val="both"/>
        <w:rPr>
          <w:rFonts w:ascii="Times New Roman" w:hAnsi="Times New Roman" w:cs="Arial"/>
          <w:color w:val="323233"/>
          <w:lang w:val="de-DE"/>
        </w:rPr>
      </w:pPr>
    </w:p>
    <w:p w14:paraId="166D3F8C" w14:textId="77777777" w:rsidR="00114953" w:rsidRPr="00564806" w:rsidRDefault="00114953" w:rsidP="00114953">
      <w:pPr>
        <w:ind w:firstLine="708"/>
        <w:jc w:val="both"/>
        <w:rPr>
          <w:rFonts w:asciiTheme="majorBidi" w:hAnsiTheme="majorBidi" w:cstheme="majorBidi"/>
          <w:bCs/>
        </w:rPr>
      </w:pPr>
      <w:proofErr w:type="spellStart"/>
      <w:r w:rsidRPr="000C7C76">
        <w:rPr>
          <w:rFonts w:ascii="Times New Roman" w:hAnsi="Times New Roman" w:cs="Arial"/>
          <w:color w:val="323233"/>
          <w:lang w:val="de-DE"/>
        </w:rPr>
        <w:t>K</w:t>
      </w:r>
      <w:r w:rsidRPr="000C7C76">
        <w:rPr>
          <w:rFonts w:asciiTheme="majorBidi" w:hAnsiTheme="majorBidi" w:cstheme="majorBidi"/>
          <w:bCs/>
          <w:lang w:val="de-DE"/>
        </w:rPr>
        <w:t>ādām</w:t>
      </w:r>
      <w:proofErr w:type="spellEnd"/>
      <w:r w:rsidRPr="000C7C76">
        <w:rPr>
          <w:rFonts w:asciiTheme="majorBidi" w:hAnsiTheme="majorBidi" w:cstheme="majorBidi"/>
          <w:bCs/>
          <w:lang w:val="de-DE"/>
        </w:rPr>
        <w:t xml:space="preserve"> </w:t>
      </w:r>
      <w:proofErr w:type="spellStart"/>
      <w:r w:rsidRPr="000C7C76">
        <w:rPr>
          <w:rFonts w:asciiTheme="majorBidi" w:hAnsiTheme="majorBidi" w:cstheme="majorBidi"/>
          <w:bCs/>
          <w:lang w:val="de-DE"/>
        </w:rPr>
        <w:t>prasībām</w:t>
      </w:r>
      <w:proofErr w:type="spellEnd"/>
      <w:r w:rsidRPr="000C7C76">
        <w:rPr>
          <w:rFonts w:asciiTheme="majorBidi" w:hAnsiTheme="majorBidi" w:cstheme="majorBidi"/>
          <w:bCs/>
          <w:lang w:val="de-DE"/>
        </w:rPr>
        <w:t xml:space="preserve"> </w:t>
      </w:r>
      <w:proofErr w:type="spellStart"/>
      <w:r w:rsidRPr="000C7C76">
        <w:rPr>
          <w:rFonts w:asciiTheme="majorBidi" w:hAnsiTheme="majorBidi" w:cstheme="majorBidi"/>
          <w:bCs/>
          <w:lang w:val="de-DE"/>
        </w:rPr>
        <w:t>Latvijā</w:t>
      </w:r>
      <w:proofErr w:type="spellEnd"/>
      <w:r w:rsidRPr="000C7C76">
        <w:rPr>
          <w:rFonts w:asciiTheme="majorBidi" w:hAnsiTheme="majorBidi" w:cstheme="majorBidi"/>
          <w:bCs/>
          <w:lang w:val="de-DE"/>
        </w:rPr>
        <w:t xml:space="preserve"> </w:t>
      </w:r>
      <w:proofErr w:type="spellStart"/>
      <w:r w:rsidRPr="000C7C76">
        <w:rPr>
          <w:rFonts w:asciiTheme="majorBidi" w:hAnsiTheme="majorBidi" w:cstheme="majorBidi"/>
          <w:bCs/>
          <w:lang w:val="de-DE"/>
        </w:rPr>
        <w:t>izmantojamajam</w:t>
      </w:r>
      <w:proofErr w:type="spellEnd"/>
      <w:r w:rsidRPr="000C7C76">
        <w:rPr>
          <w:rFonts w:asciiTheme="majorBidi" w:hAnsiTheme="majorBidi" w:cstheme="majorBidi"/>
          <w:bCs/>
          <w:lang w:val="de-DE"/>
        </w:rPr>
        <w:t xml:space="preserve"> </w:t>
      </w:r>
      <w:proofErr w:type="spellStart"/>
      <w:r w:rsidRPr="000C7C76">
        <w:rPr>
          <w:rFonts w:asciiTheme="majorBidi" w:hAnsiTheme="majorBidi" w:cstheme="majorBidi"/>
          <w:bCs/>
          <w:lang w:val="de-DE"/>
        </w:rPr>
        <w:t>ārvalsts</w:t>
      </w:r>
      <w:proofErr w:type="spellEnd"/>
      <w:r w:rsidRPr="000C7C76">
        <w:rPr>
          <w:rFonts w:asciiTheme="majorBidi" w:hAnsiTheme="majorBidi" w:cstheme="majorBidi"/>
          <w:bCs/>
          <w:lang w:val="de-DE"/>
        </w:rPr>
        <w:t xml:space="preserve"> </w:t>
      </w:r>
      <w:proofErr w:type="spellStart"/>
      <w:r w:rsidRPr="000C7C76">
        <w:rPr>
          <w:rFonts w:asciiTheme="majorBidi" w:hAnsiTheme="majorBidi" w:cstheme="majorBidi"/>
          <w:b/>
          <w:lang w:val="de-DE"/>
        </w:rPr>
        <w:t>dokumentam</w:t>
      </w:r>
      <w:proofErr w:type="spellEnd"/>
      <w:r w:rsidRPr="000C7C76">
        <w:rPr>
          <w:rFonts w:asciiTheme="majorBidi" w:hAnsiTheme="majorBidi" w:cstheme="majorBidi"/>
          <w:b/>
          <w:lang w:val="de-DE"/>
        </w:rPr>
        <w:t xml:space="preserve"> </w:t>
      </w:r>
      <w:proofErr w:type="spellStart"/>
      <w:r w:rsidRPr="000C7C76">
        <w:rPr>
          <w:rFonts w:asciiTheme="majorBidi" w:hAnsiTheme="majorBidi" w:cstheme="majorBidi"/>
          <w:bCs/>
          <w:lang w:val="de-DE"/>
        </w:rPr>
        <w:t>ir</w:t>
      </w:r>
      <w:proofErr w:type="spellEnd"/>
      <w:r w:rsidRPr="000C7C76">
        <w:rPr>
          <w:rFonts w:asciiTheme="majorBidi" w:hAnsiTheme="majorBidi" w:cstheme="majorBidi"/>
          <w:bCs/>
          <w:lang w:val="de-DE"/>
        </w:rPr>
        <w:t xml:space="preserve"> </w:t>
      </w:r>
      <w:proofErr w:type="spellStart"/>
      <w:r w:rsidRPr="000C7C76">
        <w:rPr>
          <w:rFonts w:asciiTheme="majorBidi" w:hAnsiTheme="majorBidi" w:cstheme="majorBidi"/>
          <w:bCs/>
          <w:lang w:val="de-DE"/>
        </w:rPr>
        <w:t>jāatbilst</w:t>
      </w:r>
      <w:proofErr w:type="spellEnd"/>
      <w:r w:rsidRPr="000C7C76">
        <w:rPr>
          <w:rFonts w:asciiTheme="majorBidi" w:hAnsiTheme="majorBidi" w:cstheme="majorBidi"/>
          <w:bCs/>
          <w:lang w:val="de-DE"/>
        </w:rPr>
        <w:t xml:space="preserve">, </w:t>
      </w:r>
      <w:proofErr w:type="spellStart"/>
      <w:r w:rsidRPr="000C7C76">
        <w:rPr>
          <w:rFonts w:asciiTheme="majorBidi" w:hAnsiTheme="majorBidi" w:cstheme="majorBidi"/>
          <w:bCs/>
          <w:lang w:val="de-DE"/>
        </w:rPr>
        <w:t>lai</w:t>
      </w:r>
      <w:proofErr w:type="spellEnd"/>
      <w:r w:rsidRPr="000C7C76">
        <w:rPr>
          <w:rFonts w:asciiTheme="majorBidi" w:hAnsiTheme="majorBidi" w:cstheme="majorBidi"/>
          <w:bCs/>
          <w:lang w:val="de-DE"/>
        </w:rPr>
        <w:t xml:space="preserve"> </w:t>
      </w:r>
      <w:proofErr w:type="spellStart"/>
      <w:r w:rsidRPr="000C7C76">
        <w:rPr>
          <w:rFonts w:asciiTheme="majorBidi" w:hAnsiTheme="majorBidi" w:cstheme="majorBidi"/>
          <w:bCs/>
          <w:lang w:val="de-DE"/>
        </w:rPr>
        <w:t>to</w:t>
      </w:r>
      <w:proofErr w:type="spellEnd"/>
      <w:r w:rsidRPr="000C7C76">
        <w:rPr>
          <w:rFonts w:asciiTheme="majorBidi" w:hAnsiTheme="majorBidi" w:cstheme="majorBidi"/>
          <w:bCs/>
          <w:lang w:val="de-DE"/>
        </w:rPr>
        <w:t xml:space="preserve"> </w:t>
      </w:r>
      <w:proofErr w:type="spellStart"/>
      <w:r w:rsidRPr="000C7C76">
        <w:rPr>
          <w:rFonts w:asciiTheme="majorBidi" w:hAnsiTheme="majorBidi" w:cstheme="majorBidi"/>
          <w:bCs/>
          <w:lang w:val="de-DE"/>
        </w:rPr>
        <w:t>atzītu</w:t>
      </w:r>
      <w:proofErr w:type="spellEnd"/>
      <w:r w:rsidRPr="000C7C76">
        <w:rPr>
          <w:rFonts w:asciiTheme="majorBidi" w:hAnsiTheme="majorBidi" w:cstheme="majorBidi"/>
          <w:bCs/>
          <w:lang w:val="de-DE"/>
        </w:rPr>
        <w:t xml:space="preserve"> par „</w:t>
      </w:r>
      <w:proofErr w:type="spellStart"/>
      <w:r w:rsidRPr="000C7C76">
        <w:rPr>
          <w:rFonts w:asciiTheme="majorBidi" w:hAnsiTheme="majorBidi" w:cstheme="majorBidi"/>
          <w:bCs/>
          <w:i/>
          <w:iCs/>
          <w:lang w:val="de-DE"/>
        </w:rPr>
        <w:t>ierakstu</w:t>
      </w:r>
      <w:proofErr w:type="spellEnd"/>
      <w:r w:rsidRPr="000C7C76">
        <w:rPr>
          <w:rFonts w:asciiTheme="majorBidi" w:hAnsiTheme="majorBidi" w:cstheme="majorBidi"/>
          <w:bCs/>
          <w:i/>
          <w:iCs/>
          <w:lang w:val="de-DE"/>
        </w:rPr>
        <w:t xml:space="preserve"> </w:t>
      </w:r>
      <w:proofErr w:type="spellStart"/>
      <w:r w:rsidRPr="000C7C76">
        <w:rPr>
          <w:rFonts w:asciiTheme="majorBidi" w:hAnsiTheme="majorBidi" w:cstheme="majorBidi"/>
          <w:bCs/>
          <w:i/>
          <w:iCs/>
          <w:lang w:val="de-DE"/>
        </w:rPr>
        <w:t>Komercreģistrā</w:t>
      </w:r>
      <w:proofErr w:type="spellEnd"/>
      <w:r w:rsidRPr="000C7C76">
        <w:rPr>
          <w:rFonts w:asciiTheme="majorBidi" w:hAnsiTheme="majorBidi" w:cstheme="majorBidi"/>
          <w:bCs/>
          <w:i/>
          <w:iCs/>
          <w:lang w:val="de-DE"/>
        </w:rPr>
        <w:t xml:space="preserve"> </w:t>
      </w:r>
      <w:proofErr w:type="spellStart"/>
      <w:r w:rsidRPr="000C7C76">
        <w:rPr>
          <w:rFonts w:asciiTheme="majorBidi" w:hAnsiTheme="majorBidi" w:cstheme="majorBidi"/>
          <w:bCs/>
          <w:i/>
          <w:iCs/>
          <w:lang w:val="de-DE"/>
        </w:rPr>
        <w:t>vai</w:t>
      </w:r>
      <w:proofErr w:type="spellEnd"/>
      <w:r w:rsidRPr="000C7C76">
        <w:rPr>
          <w:rFonts w:asciiTheme="majorBidi" w:hAnsiTheme="majorBidi" w:cstheme="majorBidi"/>
          <w:bCs/>
          <w:i/>
          <w:iCs/>
          <w:lang w:val="de-DE"/>
        </w:rPr>
        <w:t xml:space="preserve"> </w:t>
      </w:r>
      <w:proofErr w:type="spellStart"/>
      <w:r w:rsidRPr="000C7C76">
        <w:rPr>
          <w:rFonts w:asciiTheme="majorBidi" w:hAnsiTheme="majorBidi" w:cstheme="majorBidi"/>
          <w:bCs/>
          <w:i/>
          <w:iCs/>
          <w:lang w:val="de-DE"/>
        </w:rPr>
        <w:t>citos</w:t>
      </w:r>
      <w:proofErr w:type="spellEnd"/>
      <w:r w:rsidRPr="000C7C76">
        <w:rPr>
          <w:rFonts w:asciiTheme="majorBidi" w:hAnsiTheme="majorBidi" w:cstheme="majorBidi"/>
          <w:bCs/>
          <w:i/>
          <w:iCs/>
          <w:lang w:val="de-DE"/>
        </w:rPr>
        <w:t xml:space="preserve"> </w:t>
      </w:r>
      <w:proofErr w:type="spellStart"/>
      <w:r w:rsidRPr="000C7C76">
        <w:rPr>
          <w:rFonts w:asciiTheme="majorBidi" w:hAnsiTheme="majorBidi" w:cstheme="majorBidi"/>
          <w:bCs/>
          <w:i/>
          <w:iCs/>
          <w:lang w:val="de-DE"/>
        </w:rPr>
        <w:t>publiskos</w:t>
      </w:r>
      <w:proofErr w:type="spellEnd"/>
      <w:r w:rsidRPr="000C7C76">
        <w:rPr>
          <w:rFonts w:asciiTheme="majorBidi" w:hAnsiTheme="majorBidi" w:cstheme="majorBidi"/>
          <w:bCs/>
          <w:i/>
          <w:iCs/>
          <w:lang w:val="de-DE"/>
        </w:rPr>
        <w:t xml:space="preserve"> </w:t>
      </w:r>
      <w:proofErr w:type="spellStart"/>
      <w:r w:rsidRPr="000C7C76">
        <w:rPr>
          <w:rFonts w:asciiTheme="majorBidi" w:hAnsiTheme="majorBidi" w:cstheme="majorBidi"/>
          <w:bCs/>
          <w:i/>
          <w:iCs/>
          <w:lang w:val="de-DE"/>
        </w:rPr>
        <w:t>reģistros</w:t>
      </w:r>
      <w:proofErr w:type="spellEnd"/>
      <w:r w:rsidRPr="000C7C76">
        <w:rPr>
          <w:rFonts w:asciiTheme="majorBidi" w:hAnsiTheme="majorBidi" w:cstheme="majorBidi"/>
          <w:bCs/>
          <w:lang w:val="de-DE"/>
        </w:rPr>
        <w:t xml:space="preserve">“ </w:t>
      </w:r>
      <w:proofErr w:type="spellStart"/>
      <w:r w:rsidRPr="000C7C76">
        <w:rPr>
          <w:rFonts w:asciiTheme="majorBidi" w:hAnsiTheme="majorBidi" w:cstheme="majorBidi"/>
          <w:bCs/>
          <w:lang w:val="de-DE"/>
        </w:rPr>
        <w:t>Notariāta</w:t>
      </w:r>
      <w:proofErr w:type="spellEnd"/>
      <w:r w:rsidRPr="000C7C76">
        <w:rPr>
          <w:rFonts w:asciiTheme="majorBidi" w:hAnsiTheme="majorBidi" w:cstheme="majorBidi"/>
          <w:bCs/>
          <w:lang w:val="de-DE"/>
        </w:rPr>
        <w:t xml:space="preserve"> </w:t>
      </w:r>
      <w:proofErr w:type="spellStart"/>
      <w:r w:rsidRPr="000C7C76">
        <w:rPr>
          <w:rFonts w:asciiTheme="majorBidi" w:hAnsiTheme="majorBidi" w:cstheme="majorBidi"/>
          <w:bCs/>
          <w:lang w:val="de-DE"/>
        </w:rPr>
        <w:t>likuma</w:t>
      </w:r>
      <w:proofErr w:type="spellEnd"/>
      <w:r w:rsidRPr="000C7C76">
        <w:rPr>
          <w:rFonts w:asciiTheme="majorBidi" w:hAnsiTheme="majorBidi" w:cstheme="majorBidi"/>
          <w:bCs/>
          <w:lang w:val="de-DE"/>
        </w:rPr>
        <w:t xml:space="preserve"> 83.panta </w:t>
      </w:r>
      <w:proofErr w:type="spellStart"/>
      <w:proofErr w:type="gramStart"/>
      <w:r w:rsidRPr="000C7C76">
        <w:rPr>
          <w:rFonts w:asciiTheme="majorBidi" w:hAnsiTheme="majorBidi" w:cstheme="majorBidi"/>
          <w:bCs/>
          <w:lang w:val="de-DE"/>
        </w:rPr>
        <w:t>izpratnē</w:t>
      </w:r>
      <w:proofErr w:type="spellEnd"/>
      <w:r w:rsidRPr="000C7C76">
        <w:rPr>
          <w:rFonts w:asciiTheme="majorBidi" w:hAnsiTheme="majorBidi" w:cstheme="majorBidi"/>
          <w:bCs/>
          <w:lang w:val="de-DE"/>
        </w:rPr>
        <w:t> ?</w:t>
      </w:r>
      <w:proofErr w:type="gramEnd"/>
      <w:r w:rsidRPr="000C7C76">
        <w:rPr>
          <w:rFonts w:asciiTheme="majorBidi" w:hAnsiTheme="majorBidi" w:cstheme="majorBidi"/>
          <w:bCs/>
          <w:lang w:val="de-DE"/>
        </w:rPr>
        <w:t xml:space="preserve"> </w:t>
      </w:r>
      <w:proofErr w:type="spellStart"/>
      <w:r w:rsidRPr="000C7C76">
        <w:rPr>
          <w:rFonts w:asciiTheme="majorBidi" w:hAnsiTheme="majorBidi" w:cstheme="majorBidi"/>
          <w:bCs/>
          <w:lang w:val="de-DE"/>
        </w:rPr>
        <w:t>No</w:t>
      </w:r>
      <w:proofErr w:type="spellEnd"/>
      <w:r w:rsidRPr="000C7C76">
        <w:rPr>
          <w:rFonts w:asciiTheme="majorBidi" w:hAnsiTheme="majorBidi" w:cstheme="majorBidi"/>
          <w:bCs/>
          <w:lang w:val="de-DE"/>
        </w:rPr>
        <w:t xml:space="preserve"> </w:t>
      </w:r>
      <w:proofErr w:type="spellStart"/>
      <w:r w:rsidRPr="000C7C76">
        <w:rPr>
          <w:rFonts w:asciiTheme="majorBidi" w:hAnsiTheme="majorBidi" w:cstheme="majorBidi"/>
          <w:bCs/>
          <w:lang w:val="de-DE"/>
        </w:rPr>
        <w:t>iepriekš</w:t>
      </w:r>
      <w:proofErr w:type="spellEnd"/>
      <w:r w:rsidRPr="000C7C76">
        <w:rPr>
          <w:rFonts w:asciiTheme="majorBidi" w:hAnsiTheme="majorBidi" w:cstheme="majorBidi"/>
          <w:bCs/>
          <w:lang w:val="de-DE"/>
        </w:rPr>
        <w:t xml:space="preserve"> </w:t>
      </w:r>
      <w:proofErr w:type="spellStart"/>
      <w:r w:rsidRPr="000C7C76">
        <w:rPr>
          <w:rFonts w:asciiTheme="majorBidi" w:hAnsiTheme="majorBidi" w:cstheme="majorBidi"/>
          <w:bCs/>
          <w:lang w:val="de-DE"/>
        </w:rPr>
        <w:t>minētā</w:t>
      </w:r>
      <w:proofErr w:type="spellEnd"/>
      <w:r w:rsidRPr="000C7C76">
        <w:rPr>
          <w:rFonts w:asciiTheme="majorBidi" w:hAnsiTheme="majorBidi" w:cstheme="majorBidi"/>
          <w:bCs/>
          <w:lang w:val="de-DE"/>
        </w:rPr>
        <w:t xml:space="preserve"> </w:t>
      </w:r>
      <w:proofErr w:type="spellStart"/>
      <w:r w:rsidRPr="000C7C76">
        <w:rPr>
          <w:rFonts w:asciiTheme="majorBidi" w:hAnsiTheme="majorBidi" w:cstheme="majorBidi"/>
          <w:bCs/>
          <w:lang w:val="de-DE"/>
        </w:rPr>
        <w:t>izriet</w:t>
      </w:r>
      <w:proofErr w:type="spellEnd"/>
      <w:r w:rsidRPr="000C7C76">
        <w:rPr>
          <w:rFonts w:asciiTheme="majorBidi" w:hAnsiTheme="majorBidi" w:cstheme="majorBidi"/>
          <w:bCs/>
          <w:lang w:val="de-DE"/>
        </w:rPr>
        <w:t xml:space="preserve">, </w:t>
      </w:r>
      <w:proofErr w:type="spellStart"/>
      <w:r w:rsidRPr="000C7C76">
        <w:rPr>
          <w:rFonts w:asciiTheme="majorBidi" w:hAnsiTheme="majorBidi" w:cstheme="majorBidi"/>
          <w:bCs/>
          <w:lang w:val="de-DE"/>
        </w:rPr>
        <w:t>ka</w:t>
      </w:r>
      <w:proofErr w:type="spellEnd"/>
      <w:r w:rsidRPr="000C7C76">
        <w:rPr>
          <w:rFonts w:asciiTheme="majorBidi" w:hAnsiTheme="majorBidi" w:cstheme="majorBidi"/>
          <w:bCs/>
          <w:lang w:val="de-DE"/>
        </w:rPr>
        <w:t xml:space="preserve"> </w:t>
      </w:r>
      <w:proofErr w:type="spellStart"/>
      <w:r w:rsidRPr="000C7C76">
        <w:rPr>
          <w:rFonts w:asciiTheme="majorBidi" w:hAnsiTheme="majorBidi" w:cstheme="majorBidi"/>
          <w:bCs/>
          <w:lang w:val="de-DE"/>
        </w:rPr>
        <w:t>ārvalsts</w:t>
      </w:r>
      <w:proofErr w:type="spellEnd"/>
      <w:r w:rsidRPr="000C7C76">
        <w:rPr>
          <w:rFonts w:asciiTheme="majorBidi" w:hAnsiTheme="majorBidi" w:cstheme="majorBidi"/>
          <w:bCs/>
          <w:lang w:val="de-DE"/>
        </w:rPr>
        <w:t xml:space="preserve"> </w:t>
      </w:r>
      <w:proofErr w:type="spellStart"/>
      <w:r w:rsidRPr="000C7C76">
        <w:rPr>
          <w:rFonts w:asciiTheme="majorBidi" w:hAnsiTheme="majorBidi" w:cstheme="majorBidi"/>
          <w:bCs/>
          <w:lang w:val="de-DE"/>
        </w:rPr>
        <w:t>dokuments</w:t>
      </w:r>
      <w:proofErr w:type="spellEnd"/>
      <w:r w:rsidRPr="000C7C76">
        <w:rPr>
          <w:rFonts w:asciiTheme="majorBidi" w:hAnsiTheme="majorBidi" w:cstheme="majorBidi"/>
          <w:bCs/>
          <w:lang w:val="de-DE"/>
        </w:rPr>
        <w:t xml:space="preserve"> </w:t>
      </w:r>
      <w:proofErr w:type="spellStart"/>
      <w:r w:rsidRPr="000C7C76">
        <w:rPr>
          <w:rFonts w:asciiTheme="majorBidi" w:hAnsiTheme="majorBidi" w:cstheme="majorBidi"/>
          <w:bCs/>
          <w:lang w:val="de-DE"/>
        </w:rPr>
        <w:t>nevar</w:t>
      </w:r>
      <w:proofErr w:type="spellEnd"/>
      <w:r w:rsidRPr="000C7C76">
        <w:rPr>
          <w:rFonts w:asciiTheme="majorBidi" w:hAnsiTheme="majorBidi" w:cstheme="majorBidi"/>
          <w:bCs/>
          <w:lang w:val="de-DE"/>
        </w:rPr>
        <w:t xml:space="preserve"> </w:t>
      </w:r>
      <w:proofErr w:type="spellStart"/>
      <w:r w:rsidRPr="000C7C76">
        <w:rPr>
          <w:rFonts w:asciiTheme="majorBidi" w:hAnsiTheme="majorBidi" w:cstheme="majorBidi"/>
          <w:bCs/>
          <w:lang w:val="de-DE"/>
        </w:rPr>
        <w:t>tikt</w:t>
      </w:r>
      <w:proofErr w:type="spellEnd"/>
      <w:r w:rsidRPr="000C7C76">
        <w:rPr>
          <w:rFonts w:asciiTheme="majorBidi" w:hAnsiTheme="majorBidi" w:cstheme="majorBidi"/>
          <w:bCs/>
          <w:lang w:val="de-DE"/>
        </w:rPr>
        <w:t xml:space="preserve"> </w:t>
      </w:r>
      <w:proofErr w:type="spellStart"/>
      <w:r w:rsidRPr="000C7C76">
        <w:rPr>
          <w:rFonts w:asciiTheme="majorBidi" w:hAnsiTheme="majorBidi" w:cstheme="majorBidi"/>
          <w:bCs/>
          <w:lang w:val="de-DE"/>
        </w:rPr>
        <w:t>uzskatīts</w:t>
      </w:r>
      <w:proofErr w:type="spellEnd"/>
      <w:r w:rsidRPr="000C7C76">
        <w:rPr>
          <w:rFonts w:asciiTheme="majorBidi" w:hAnsiTheme="majorBidi" w:cstheme="majorBidi"/>
          <w:bCs/>
          <w:lang w:val="de-DE"/>
        </w:rPr>
        <w:t xml:space="preserve"> par </w:t>
      </w:r>
      <w:r>
        <w:rPr>
          <w:rFonts w:asciiTheme="majorBidi" w:hAnsiTheme="majorBidi" w:cstheme="majorBidi"/>
          <w:bCs/>
          <w:lang w:val="de-DE"/>
        </w:rPr>
        <w:t>„</w:t>
      </w:r>
      <w:proofErr w:type="spellStart"/>
      <w:r w:rsidRPr="000C7C76">
        <w:rPr>
          <w:rFonts w:asciiTheme="majorBidi" w:hAnsiTheme="majorBidi" w:cstheme="majorBidi"/>
          <w:bCs/>
          <w:lang w:val="de-DE"/>
        </w:rPr>
        <w:t>ierakstu</w:t>
      </w:r>
      <w:proofErr w:type="spellEnd"/>
      <w:r w:rsidRPr="000C7C76">
        <w:rPr>
          <w:rFonts w:asciiTheme="majorBidi" w:hAnsiTheme="majorBidi" w:cstheme="majorBidi"/>
          <w:bCs/>
          <w:lang w:val="de-DE"/>
        </w:rPr>
        <w:t xml:space="preserve"> </w:t>
      </w:r>
      <w:proofErr w:type="spellStart"/>
      <w:r w:rsidRPr="000C7C76">
        <w:rPr>
          <w:rFonts w:asciiTheme="majorBidi" w:hAnsiTheme="majorBidi" w:cstheme="majorBidi"/>
          <w:bCs/>
          <w:lang w:val="de-DE"/>
        </w:rPr>
        <w:t>reģistrā</w:t>
      </w:r>
      <w:proofErr w:type="spellEnd"/>
      <w:r>
        <w:rPr>
          <w:rFonts w:asciiTheme="majorBidi" w:hAnsiTheme="majorBidi" w:cstheme="majorBidi"/>
          <w:bCs/>
          <w:lang w:val="de-DE"/>
        </w:rPr>
        <w:t>“</w:t>
      </w:r>
      <w:r w:rsidRPr="000C7C76">
        <w:rPr>
          <w:rFonts w:asciiTheme="majorBidi" w:hAnsiTheme="majorBidi" w:cstheme="majorBidi"/>
          <w:bCs/>
          <w:lang w:val="de-DE"/>
        </w:rPr>
        <w:t xml:space="preserve">, </w:t>
      </w:r>
      <w:proofErr w:type="spellStart"/>
      <w:r w:rsidRPr="000C7C76">
        <w:rPr>
          <w:rFonts w:asciiTheme="majorBidi" w:hAnsiTheme="majorBidi" w:cstheme="majorBidi"/>
          <w:bCs/>
          <w:lang w:val="de-DE"/>
        </w:rPr>
        <w:t>bet</w:t>
      </w:r>
      <w:proofErr w:type="spellEnd"/>
      <w:r w:rsidRPr="000C7C76">
        <w:rPr>
          <w:rFonts w:asciiTheme="majorBidi" w:hAnsiTheme="majorBidi" w:cstheme="majorBidi"/>
          <w:bCs/>
          <w:lang w:val="de-DE"/>
        </w:rPr>
        <w:t xml:space="preserve"> </w:t>
      </w:r>
      <w:proofErr w:type="spellStart"/>
      <w:r w:rsidRPr="000C7C76">
        <w:rPr>
          <w:rFonts w:asciiTheme="majorBidi" w:hAnsiTheme="majorBidi" w:cstheme="majorBidi"/>
          <w:bCs/>
          <w:lang w:val="de-DE"/>
        </w:rPr>
        <w:t>gan</w:t>
      </w:r>
      <w:proofErr w:type="spellEnd"/>
      <w:r w:rsidRPr="000C7C76">
        <w:rPr>
          <w:rFonts w:asciiTheme="majorBidi" w:hAnsiTheme="majorBidi" w:cstheme="majorBidi"/>
          <w:bCs/>
          <w:lang w:val="de-DE"/>
        </w:rPr>
        <w:t xml:space="preserve"> </w:t>
      </w:r>
      <w:proofErr w:type="spellStart"/>
      <w:r w:rsidRPr="000C7C76">
        <w:rPr>
          <w:rFonts w:asciiTheme="majorBidi" w:hAnsiTheme="majorBidi" w:cstheme="majorBidi"/>
          <w:bCs/>
          <w:lang w:val="de-DE"/>
        </w:rPr>
        <w:t>ir</w:t>
      </w:r>
      <w:proofErr w:type="spellEnd"/>
      <w:r w:rsidRPr="000C7C76">
        <w:rPr>
          <w:rFonts w:asciiTheme="majorBidi" w:hAnsiTheme="majorBidi" w:cstheme="majorBidi"/>
          <w:bCs/>
          <w:lang w:val="de-DE"/>
        </w:rPr>
        <w:t xml:space="preserve"> </w:t>
      </w:r>
      <w:proofErr w:type="spellStart"/>
      <w:r w:rsidRPr="000C7C76">
        <w:rPr>
          <w:rFonts w:asciiTheme="majorBidi" w:hAnsiTheme="majorBidi" w:cstheme="majorBidi"/>
          <w:bCs/>
          <w:lang w:val="de-DE"/>
        </w:rPr>
        <w:t>uzskatāms</w:t>
      </w:r>
      <w:proofErr w:type="spellEnd"/>
      <w:r w:rsidRPr="000C7C76">
        <w:rPr>
          <w:rFonts w:asciiTheme="majorBidi" w:hAnsiTheme="majorBidi" w:cstheme="majorBidi"/>
          <w:bCs/>
          <w:lang w:val="de-DE"/>
        </w:rPr>
        <w:t xml:space="preserve"> par </w:t>
      </w:r>
      <w:proofErr w:type="spellStart"/>
      <w:r w:rsidRPr="000C7C76">
        <w:rPr>
          <w:rFonts w:asciiTheme="majorBidi" w:hAnsiTheme="majorBidi" w:cstheme="majorBidi"/>
          <w:bCs/>
          <w:lang w:val="de-DE"/>
        </w:rPr>
        <w:t>reģistra</w:t>
      </w:r>
      <w:proofErr w:type="spellEnd"/>
      <w:r w:rsidRPr="000C7C76">
        <w:rPr>
          <w:rFonts w:asciiTheme="majorBidi" w:hAnsiTheme="majorBidi" w:cstheme="majorBidi"/>
          <w:bCs/>
          <w:lang w:val="de-DE"/>
        </w:rPr>
        <w:t xml:space="preserve"> </w:t>
      </w:r>
      <w:proofErr w:type="spellStart"/>
      <w:r w:rsidRPr="000C7C76">
        <w:rPr>
          <w:rFonts w:asciiTheme="majorBidi" w:hAnsiTheme="majorBidi" w:cstheme="majorBidi"/>
          <w:bCs/>
          <w:i/>
          <w:lang w:val="de-DE"/>
        </w:rPr>
        <w:t>izrakstu</w:t>
      </w:r>
      <w:proofErr w:type="spellEnd"/>
      <w:r w:rsidRPr="000C7C76">
        <w:rPr>
          <w:rFonts w:asciiTheme="majorBidi" w:hAnsiTheme="majorBidi" w:cstheme="majorBidi"/>
          <w:bCs/>
          <w:lang w:val="de-DE"/>
        </w:rPr>
        <w:t xml:space="preserve"> (</w:t>
      </w:r>
      <w:proofErr w:type="spellStart"/>
      <w:r w:rsidRPr="000C7C76">
        <w:rPr>
          <w:rFonts w:asciiTheme="majorBidi" w:hAnsiTheme="majorBidi" w:cstheme="majorBidi"/>
          <w:bCs/>
          <w:lang w:val="de-DE"/>
        </w:rPr>
        <w:t>t.i</w:t>
      </w:r>
      <w:proofErr w:type="spellEnd"/>
      <w:r w:rsidRPr="000C7C76">
        <w:rPr>
          <w:rFonts w:asciiTheme="majorBidi" w:hAnsiTheme="majorBidi" w:cstheme="majorBidi"/>
          <w:bCs/>
          <w:lang w:val="de-DE"/>
        </w:rPr>
        <w:t xml:space="preserve">., </w:t>
      </w:r>
      <w:proofErr w:type="spellStart"/>
      <w:r w:rsidRPr="000C7C76">
        <w:rPr>
          <w:rFonts w:asciiTheme="majorBidi" w:hAnsiTheme="majorBidi" w:cstheme="majorBidi"/>
          <w:bCs/>
          <w:lang w:val="de-DE"/>
        </w:rPr>
        <w:t>izrakstu</w:t>
      </w:r>
      <w:proofErr w:type="spellEnd"/>
      <w:r w:rsidRPr="000C7C76">
        <w:rPr>
          <w:rFonts w:asciiTheme="majorBidi" w:hAnsiTheme="majorBidi" w:cstheme="majorBidi"/>
          <w:bCs/>
          <w:lang w:val="de-DE"/>
        </w:rPr>
        <w:t xml:space="preserve"> </w:t>
      </w:r>
      <w:proofErr w:type="spellStart"/>
      <w:r w:rsidRPr="000C7C76">
        <w:rPr>
          <w:rFonts w:asciiTheme="majorBidi" w:hAnsiTheme="majorBidi" w:cstheme="majorBidi"/>
          <w:bCs/>
          <w:lang w:val="de-DE"/>
        </w:rPr>
        <w:t>no</w:t>
      </w:r>
      <w:proofErr w:type="spellEnd"/>
      <w:r w:rsidRPr="000C7C76">
        <w:rPr>
          <w:rFonts w:asciiTheme="majorBidi" w:hAnsiTheme="majorBidi" w:cstheme="majorBidi"/>
          <w:bCs/>
          <w:lang w:val="de-DE"/>
        </w:rPr>
        <w:t xml:space="preserve"> </w:t>
      </w:r>
      <w:proofErr w:type="spellStart"/>
      <w:r w:rsidRPr="000C7C76">
        <w:rPr>
          <w:rFonts w:asciiTheme="majorBidi" w:hAnsiTheme="majorBidi" w:cstheme="majorBidi"/>
          <w:bCs/>
          <w:lang w:val="de-DE"/>
        </w:rPr>
        <w:t>ārvalsts</w:t>
      </w:r>
      <w:proofErr w:type="spellEnd"/>
      <w:r w:rsidRPr="000C7C76">
        <w:rPr>
          <w:rFonts w:asciiTheme="majorBidi" w:hAnsiTheme="majorBidi" w:cstheme="majorBidi"/>
          <w:bCs/>
          <w:lang w:val="de-DE"/>
        </w:rPr>
        <w:t xml:space="preserve"> </w:t>
      </w:r>
      <w:proofErr w:type="spellStart"/>
      <w:r w:rsidRPr="000C7C76">
        <w:rPr>
          <w:rFonts w:asciiTheme="majorBidi" w:hAnsiTheme="majorBidi" w:cstheme="majorBidi"/>
          <w:bCs/>
          <w:lang w:val="de-DE"/>
        </w:rPr>
        <w:t>publiskā</w:t>
      </w:r>
      <w:proofErr w:type="spellEnd"/>
      <w:r w:rsidRPr="000C7C76">
        <w:rPr>
          <w:rFonts w:asciiTheme="majorBidi" w:hAnsiTheme="majorBidi" w:cstheme="majorBidi"/>
          <w:bCs/>
          <w:lang w:val="de-DE"/>
        </w:rPr>
        <w:t xml:space="preserve"> </w:t>
      </w:r>
      <w:proofErr w:type="spellStart"/>
      <w:r w:rsidRPr="000C7C76">
        <w:rPr>
          <w:rFonts w:asciiTheme="majorBidi" w:hAnsiTheme="majorBidi" w:cstheme="majorBidi"/>
          <w:bCs/>
          <w:lang w:val="de-DE"/>
        </w:rPr>
        <w:t>reģistra</w:t>
      </w:r>
      <w:proofErr w:type="spellEnd"/>
      <w:r w:rsidRPr="000C7C76">
        <w:rPr>
          <w:rFonts w:asciiTheme="majorBidi" w:hAnsiTheme="majorBidi" w:cstheme="majorBidi"/>
          <w:bCs/>
          <w:lang w:val="de-DE"/>
        </w:rPr>
        <w:t xml:space="preserve">). </w:t>
      </w:r>
      <w:proofErr w:type="spellStart"/>
      <w:r w:rsidRPr="000C7C76">
        <w:rPr>
          <w:rFonts w:asciiTheme="majorBidi" w:hAnsiTheme="majorBidi" w:cstheme="majorBidi"/>
          <w:bCs/>
          <w:lang w:val="de-DE"/>
        </w:rPr>
        <w:t>Šim</w:t>
      </w:r>
      <w:proofErr w:type="spellEnd"/>
      <w:r w:rsidRPr="000C7C76">
        <w:rPr>
          <w:rFonts w:asciiTheme="majorBidi" w:hAnsiTheme="majorBidi" w:cstheme="majorBidi"/>
          <w:bCs/>
          <w:lang w:val="de-DE"/>
        </w:rPr>
        <w:t xml:space="preserve"> </w:t>
      </w:r>
      <w:proofErr w:type="spellStart"/>
      <w:r w:rsidRPr="000C7C76">
        <w:rPr>
          <w:rFonts w:asciiTheme="majorBidi" w:hAnsiTheme="majorBidi" w:cstheme="majorBidi"/>
          <w:bCs/>
          <w:lang w:val="de-DE"/>
        </w:rPr>
        <w:t>izrakstam</w:t>
      </w:r>
      <w:proofErr w:type="spellEnd"/>
      <w:r w:rsidRPr="000C7C76">
        <w:rPr>
          <w:rFonts w:asciiTheme="majorBidi" w:hAnsiTheme="majorBidi" w:cstheme="majorBidi"/>
          <w:bCs/>
          <w:lang w:val="de-DE"/>
        </w:rPr>
        <w:t xml:space="preserve"> </w:t>
      </w:r>
      <w:proofErr w:type="spellStart"/>
      <w:r w:rsidRPr="000C7C76">
        <w:rPr>
          <w:rFonts w:asciiTheme="majorBidi" w:hAnsiTheme="majorBidi" w:cstheme="majorBidi"/>
          <w:bCs/>
          <w:lang w:val="de-DE"/>
        </w:rPr>
        <w:t>kā</w:t>
      </w:r>
      <w:proofErr w:type="spellEnd"/>
      <w:r w:rsidRPr="000C7C76">
        <w:rPr>
          <w:rFonts w:asciiTheme="majorBidi" w:hAnsiTheme="majorBidi" w:cstheme="majorBidi"/>
          <w:bCs/>
          <w:lang w:val="de-DE"/>
        </w:rPr>
        <w:t xml:space="preserve"> </w:t>
      </w:r>
      <w:proofErr w:type="spellStart"/>
      <w:r w:rsidRPr="000C7C76">
        <w:rPr>
          <w:rFonts w:asciiTheme="majorBidi" w:hAnsiTheme="majorBidi" w:cstheme="majorBidi"/>
          <w:bCs/>
          <w:lang w:val="de-DE"/>
        </w:rPr>
        <w:t>ārvalsts</w:t>
      </w:r>
      <w:proofErr w:type="spellEnd"/>
      <w:r w:rsidRPr="000C7C76">
        <w:rPr>
          <w:rFonts w:asciiTheme="majorBidi" w:hAnsiTheme="majorBidi" w:cstheme="majorBidi"/>
          <w:bCs/>
          <w:lang w:val="de-DE"/>
        </w:rPr>
        <w:t xml:space="preserve"> </w:t>
      </w:r>
      <w:proofErr w:type="spellStart"/>
      <w:r w:rsidRPr="000C7C76">
        <w:rPr>
          <w:rFonts w:asciiTheme="majorBidi" w:hAnsiTheme="majorBidi" w:cstheme="majorBidi"/>
          <w:bCs/>
          <w:lang w:val="de-DE"/>
        </w:rPr>
        <w:t>publiskam</w:t>
      </w:r>
      <w:proofErr w:type="spellEnd"/>
      <w:r w:rsidRPr="000C7C76">
        <w:rPr>
          <w:rFonts w:asciiTheme="majorBidi" w:hAnsiTheme="majorBidi" w:cstheme="majorBidi"/>
          <w:bCs/>
          <w:lang w:val="de-DE"/>
        </w:rPr>
        <w:t xml:space="preserve"> </w:t>
      </w:r>
      <w:proofErr w:type="spellStart"/>
      <w:r w:rsidRPr="000C7C76">
        <w:rPr>
          <w:rFonts w:asciiTheme="majorBidi" w:hAnsiTheme="majorBidi" w:cstheme="majorBidi"/>
          <w:bCs/>
          <w:lang w:val="de-DE"/>
        </w:rPr>
        <w:t>dokumentam</w:t>
      </w:r>
      <w:proofErr w:type="spellEnd"/>
      <w:r w:rsidRPr="000C7C76">
        <w:rPr>
          <w:rFonts w:asciiTheme="majorBidi" w:hAnsiTheme="majorBidi" w:cstheme="majorBidi"/>
          <w:bCs/>
          <w:lang w:val="de-DE"/>
        </w:rPr>
        <w:t xml:space="preserve"> </w:t>
      </w:r>
      <w:proofErr w:type="spellStart"/>
      <w:r w:rsidRPr="000C7C76">
        <w:rPr>
          <w:rFonts w:asciiTheme="majorBidi" w:hAnsiTheme="majorBidi" w:cstheme="majorBidi"/>
          <w:bCs/>
          <w:lang w:val="de-DE"/>
        </w:rPr>
        <w:t>ir</w:t>
      </w:r>
      <w:proofErr w:type="spellEnd"/>
      <w:r w:rsidRPr="000C7C76">
        <w:rPr>
          <w:rFonts w:asciiTheme="majorBidi" w:hAnsiTheme="majorBidi" w:cstheme="majorBidi"/>
          <w:bCs/>
          <w:lang w:val="de-DE"/>
        </w:rPr>
        <w:t xml:space="preserve"> </w:t>
      </w:r>
      <w:proofErr w:type="spellStart"/>
      <w:r w:rsidRPr="000C7C76">
        <w:rPr>
          <w:rFonts w:asciiTheme="majorBidi" w:hAnsiTheme="majorBidi" w:cstheme="majorBidi"/>
          <w:bCs/>
          <w:lang w:val="de-DE"/>
        </w:rPr>
        <w:t>jābūt</w:t>
      </w:r>
      <w:proofErr w:type="spellEnd"/>
      <w:r w:rsidRPr="000C7C76">
        <w:rPr>
          <w:rFonts w:asciiTheme="majorBidi" w:hAnsiTheme="majorBidi" w:cstheme="majorBidi"/>
          <w:bCs/>
          <w:lang w:val="de-DE"/>
        </w:rPr>
        <w:t xml:space="preserve"> </w:t>
      </w:r>
      <w:proofErr w:type="spellStart"/>
      <w:r w:rsidRPr="000C7C76">
        <w:rPr>
          <w:rFonts w:asciiTheme="majorBidi" w:hAnsiTheme="majorBidi" w:cstheme="majorBidi"/>
          <w:bCs/>
          <w:lang w:val="de-DE"/>
        </w:rPr>
        <w:t>attiecīgi</w:t>
      </w:r>
      <w:proofErr w:type="spellEnd"/>
      <w:r w:rsidRPr="000C7C76">
        <w:rPr>
          <w:rFonts w:asciiTheme="majorBidi" w:hAnsiTheme="majorBidi" w:cstheme="majorBidi"/>
          <w:bCs/>
          <w:lang w:val="de-DE"/>
        </w:rPr>
        <w:t xml:space="preserve"> </w:t>
      </w:r>
      <w:proofErr w:type="spellStart"/>
      <w:r w:rsidRPr="000C7C76">
        <w:rPr>
          <w:rFonts w:asciiTheme="majorBidi" w:hAnsiTheme="majorBidi" w:cstheme="majorBidi"/>
          <w:bCs/>
          <w:lang w:val="de-DE"/>
        </w:rPr>
        <w:t>legalizētam</w:t>
      </w:r>
      <w:proofErr w:type="spellEnd"/>
      <w:r w:rsidRPr="000C7C76">
        <w:rPr>
          <w:rFonts w:asciiTheme="majorBidi" w:hAnsiTheme="majorBidi" w:cstheme="majorBidi"/>
          <w:bCs/>
          <w:lang w:val="de-DE"/>
        </w:rPr>
        <w:t xml:space="preserve"> (ja </w:t>
      </w:r>
      <w:proofErr w:type="spellStart"/>
      <w:r w:rsidRPr="000C7C76">
        <w:rPr>
          <w:rFonts w:asciiTheme="majorBidi" w:hAnsiTheme="majorBidi" w:cstheme="majorBidi"/>
          <w:bCs/>
          <w:lang w:val="de-DE"/>
        </w:rPr>
        <w:t>vien</w:t>
      </w:r>
      <w:proofErr w:type="spellEnd"/>
      <w:r w:rsidRPr="000C7C76">
        <w:rPr>
          <w:rFonts w:asciiTheme="majorBidi" w:hAnsiTheme="majorBidi" w:cstheme="majorBidi"/>
          <w:bCs/>
          <w:lang w:val="de-DE"/>
        </w:rPr>
        <w:t xml:space="preserve"> </w:t>
      </w:r>
      <w:proofErr w:type="spellStart"/>
      <w:r w:rsidRPr="000C7C76">
        <w:rPr>
          <w:rFonts w:asciiTheme="majorBidi" w:hAnsiTheme="majorBidi" w:cstheme="majorBidi"/>
          <w:bCs/>
          <w:lang w:val="de-DE"/>
        </w:rPr>
        <w:t>tas</w:t>
      </w:r>
      <w:proofErr w:type="spellEnd"/>
      <w:r w:rsidRPr="000C7C76">
        <w:rPr>
          <w:rFonts w:asciiTheme="majorBidi" w:hAnsiTheme="majorBidi" w:cstheme="majorBidi"/>
          <w:bCs/>
          <w:lang w:val="de-DE"/>
        </w:rPr>
        <w:t xml:space="preserve"> </w:t>
      </w:r>
      <w:proofErr w:type="spellStart"/>
      <w:r w:rsidRPr="000C7C76">
        <w:rPr>
          <w:rFonts w:asciiTheme="majorBidi" w:hAnsiTheme="majorBidi" w:cstheme="majorBidi"/>
          <w:bCs/>
          <w:lang w:val="de-DE"/>
        </w:rPr>
        <w:t>nav</w:t>
      </w:r>
      <w:proofErr w:type="spellEnd"/>
      <w:r w:rsidRPr="000C7C76">
        <w:rPr>
          <w:rFonts w:asciiTheme="majorBidi" w:hAnsiTheme="majorBidi" w:cstheme="majorBidi"/>
          <w:bCs/>
          <w:lang w:val="de-DE"/>
        </w:rPr>
        <w:t xml:space="preserve"> </w:t>
      </w:r>
      <w:proofErr w:type="spellStart"/>
      <w:r w:rsidRPr="000C7C76">
        <w:rPr>
          <w:rFonts w:asciiTheme="majorBidi" w:hAnsiTheme="majorBidi" w:cstheme="majorBidi"/>
          <w:bCs/>
          <w:lang w:val="de-DE"/>
        </w:rPr>
        <w:t>izdots</w:t>
      </w:r>
      <w:proofErr w:type="spellEnd"/>
      <w:r w:rsidRPr="000C7C76">
        <w:rPr>
          <w:rFonts w:asciiTheme="majorBidi" w:hAnsiTheme="majorBidi" w:cstheme="majorBidi"/>
          <w:bCs/>
          <w:lang w:val="de-DE"/>
        </w:rPr>
        <w:t xml:space="preserve"> </w:t>
      </w:r>
      <w:proofErr w:type="spellStart"/>
      <w:r w:rsidRPr="000C7C76">
        <w:rPr>
          <w:rFonts w:asciiTheme="majorBidi" w:hAnsiTheme="majorBidi" w:cstheme="majorBidi"/>
          <w:bCs/>
          <w:lang w:val="de-DE"/>
        </w:rPr>
        <w:t>valstī</w:t>
      </w:r>
      <w:proofErr w:type="spellEnd"/>
      <w:r w:rsidRPr="000C7C76">
        <w:rPr>
          <w:rFonts w:asciiTheme="majorBidi" w:hAnsiTheme="majorBidi" w:cstheme="majorBidi"/>
          <w:bCs/>
          <w:lang w:val="de-DE"/>
        </w:rPr>
        <w:t xml:space="preserve">, </w:t>
      </w:r>
      <w:proofErr w:type="spellStart"/>
      <w:r w:rsidRPr="000C7C76">
        <w:rPr>
          <w:rFonts w:asciiTheme="majorBidi" w:hAnsiTheme="majorBidi" w:cstheme="majorBidi"/>
          <w:bCs/>
          <w:lang w:val="de-DE"/>
        </w:rPr>
        <w:t>ar</w:t>
      </w:r>
      <w:proofErr w:type="spellEnd"/>
      <w:r w:rsidRPr="000C7C76">
        <w:rPr>
          <w:rFonts w:asciiTheme="majorBidi" w:hAnsiTheme="majorBidi" w:cstheme="majorBidi"/>
          <w:bCs/>
          <w:lang w:val="de-DE"/>
        </w:rPr>
        <w:t xml:space="preserve"> </w:t>
      </w:r>
      <w:proofErr w:type="spellStart"/>
      <w:r w:rsidRPr="000C7C76">
        <w:rPr>
          <w:rFonts w:asciiTheme="majorBidi" w:hAnsiTheme="majorBidi" w:cstheme="majorBidi"/>
          <w:bCs/>
          <w:lang w:val="de-DE"/>
        </w:rPr>
        <w:t>kuru</w:t>
      </w:r>
      <w:proofErr w:type="spellEnd"/>
      <w:r w:rsidRPr="000C7C76">
        <w:rPr>
          <w:rFonts w:asciiTheme="majorBidi" w:hAnsiTheme="majorBidi" w:cstheme="majorBidi"/>
          <w:bCs/>
          <w:lang w:val="de-DE"/>
        </w:rPr>
        <w:t xml:space="preserve"> </w:t>
      </w:r>
      <w:proofErr w:type="spellStart"/>
      <w:r w:rsidRPr="000C7C76">
        <w:rPr>
          <w:rFonts w:asciiTheme="majorBidi" w:hAnsiTheme="majorBidi" w:cstheme="majorBidi"/>
          <w:bCs/>
          <w:lang w:val="de-DE"/>
        </w:rPr>
        <w:t>Latvija</w:t>
      </w:r>
      <w:proofErr w:type="spellEnd"/>
      <w:r w:rsidRPr="000C7C76">
        <w:rPr>
          <w:rFonts w:asciiTheme="majorBidi" w:hAnsiTheme="majorBidi" w:cstheme="majorBidi"/>
          <w:bCs/>
          <w:lang w:val="de-DE"/>
        </w:rPr>
        <w:t xml:space="preserve"> </w:t>
      </w:r>
      <w:proofErr w:type="spellStart"/>
      <w:r w:rsidRPr="000C7C76">
        <w:rPr>
          <w:rFonts w:asciiTheme="majorBidi" w:hAnsiTheme="majorBidi" w:cstheme="majorBidi"/>
          <w:bCs/>
          <w:lang w:val="de-DE"/>
        </w:rPr>
        <w:t>ir</w:t>
      </w:r>
      <w:proofErr w:type="spellEnd"/>
      <w:r w:rsidRPr="000C7C76">
        <w:rPr>
          <w:rFonts w:asciiTheme="majorBidi" w:hAnsiTheme="majorBidi" w:cstheme="majorBidi"/>
          <w:bCs/>
          <w:lang w:val="de-DE"/>
        </w:rPr>
        <w:t xml:space="preserve"> </w:t>
      </w:r>
      <w:proofErr w:type="spellStart"/>
      <w:r w:rsidRPr="000C7C76">
        <w:rPr>
          <w:rFonts w:asciiTheme="majorBidi" w:hAnsiTheme="majorBidi" w:cstheme="majorBidi"/>
          <w:bCs/>
          <w:lang w:val="de-DE"/>
        </w:rPr>
        <w:t>atcēlusi</w:t>
      </w:r>
      <w:proofErr w:type="spellEnd"/>
      <w:r w:rsidRPr="000C7C76">
        <w:rPr>
          <w:rFonts w:asciiTheme="majorBidi" w:hAnsiTheme="majorBidi" w:cstheme="majorBidi"/>
          <w:bCs/>
          <w:lang w:val="de-DE"/>
        </w:rPr>
        <w:t xml:space="preserve"> </w:t>
      </w:r>
      <w:proofErr w:type="spellStart"/>
      <w:r w:rsidRPr="000C7C76">
        <w:rPr>
          <w:rFonts w:asciiTheme="majorBidi" w:hAnsiTheme="majorBidi" w:cstheme="majorBidi"/>
          <w:bCs/>
          <w:lang w:val="de-DE"/>
        </w:rPr>
        <w:t>publisko</w:t>
      </w:r>
      <w:proofErr w:type="spellEnd"/>
      <w:r w:rsidRPr="000C7C76">
        <w:rPr>
          <w:rFonts w:asciiTheme="majorBidi" w:hAnsiTheme="majorBidi" w:cstheme="majorBidi"/>
          <w:bCs/>
          <w:lang w:val="de-DE"/>
        </w:rPr>
        <w:t xml:space="preserve"> </w:t>
      </w:r>
      <w:proofErr w:type="spellStart"/>
      <w:r w:rsidRPr="000C7C76">
        <w:rPr>
          <w:rFonts w:asciiTheme="majorBidi" w:hAnsiTheme="majorBidi" w:cstheme="majorBidi"/>
          <w:bCs/>
          <w:lang w:val="de-DE"/>
        </w:rPr>
        <w:t>dokumentu</w:t>
      </w:r>
      <w:proofErr w:type="spellEnd"/>
      <w:r w:rsidRPr="000C7C76">
        <w:rPr>
          <w:rFonts w:asciiTheme="majorBidi" w:hAnsiTheme="majorBidi" w:cstheme="majorBidi"/>
          <w:bCs/>
          <w:lang w:val="de-DE"/>
        </w:rPr>
        <w:t xml:space="preserve"> </w:t>
      </w:r>
      <w:proofErr w:type="spellStart"/>
      <w:r w:rsidRPr="000C7C76">
        <w:rPr>
          <w:rFonts w:asciiTheme="majorBidi" w:hAnsiTheme="majorBidi" w:cstheme="majorBidi"/>
          <w:bCs/>
          <w:lang w:val="de-DE"/>
        </w:rPr>
        <w:t>legalizācijas</w:t>
      </w:r>
      <w:proofErr w:type="spellEnd"/>
      <w:r w:rsidRPr="000C7C76">
        <w:rPr>
          <w:rFonts w:asciiTheme="majorBidi" w:hAnsiTheme="majorBidi" w:cstheme="majorBidi"/>
          <w:bCs/>
          <w:lang w:val="de-DE"/>
        </w:rPr>
        <w:t xml:space="preserve"> </w:t>
      </w:r>
      <w:proofErr w:type="spellStart"/>
      <w:r w:rsidRPr="000C7C76">
        <w:rPr>
          <w:rFonts w:asciiTheme="majorBidi" w:hAnsiTheme="majorBidi" w:cstheme="majorBidi"/>
          <w:bCs/>
          <w:lang w:val="de-DE"/>
        </w:rPr>
        <w:t>prasību</w:t>
      </w:r>
      <w:proofErr w:type="spellEnd"/>
      <w:r w:rsidRPr="000C7C76">
        <w:rPr>
          <w:rFonts w:asciiTheme="majorBidi" w:hAnsiTheme="majorBidi" w:cstheme="majorBidi"/>
          <w:bCs/>
          <w:lang w:val="de-DE"/>
        </w:rPr>
        <w:t xml:space="preserve">). </w:t>
      </w:r>
      <w:proofErr w:type="spellStart"/>
      <w:r w:rsidRPr="000C7C76">
        <w:rPr>
          <w:rFonts w:asciiTheme="majorBidi" w:hAnsiTheme="majorBidi" w:cstheme="majorBidi"/>
          <w:bCs/>
          <w:lang w:val="en-US"/>
        </w:rPr>
        <w:t>Legalizācija</w:t>
      </w:r>
      <w:proofErr w:type="spellEnd"/>
      <w:r w:rsidRPr="000C7C76">
        <w:rPr>
          <w:rFonts w:asciiTheme="majorBidi" w:hAnsiTheme="majorBidi" w:cstheme="majorBidi"/>
          <w:bCs/>
          <w:lang w:val="en-US"/>
        </w:rPr>
        <w:t xml:space="preserve"> </w:t>
      </w:r>
      <w:proofErr w:type="spellStart"/>
      <w:r w:rsidRPr="000C7C76">
        <w:rPr>
          <w:rFonts w:asciiTheme="majorBidi" w:hAnsiTheme="majorBidi" w:cstheme="majorBidi"/>
          <w:bCs/>
          <w:lang w:val="en-US"/>
        </w:rPr>
        <w:t>apliecina</w:t>
      </w:r>
      <w:proofErr w:type="spellEnd"/>
      <w:r w:rsidRPr="000C7C76">
        <w:rPr>
          <w:rFonts w:asciiTheme="majorBidi" w:hAnsiTheme="majorBidi" w:cstheme="majorBidi"/>
          <w:bCs/>
          <w:lang w:val="en-US"/>
        </w:rPr>
        <w:t xml:space="preserve">, ka </w:t>
      </w:r>
      <w:proofErr w:type="spellStart"/>
      <w:r w:rsidRPr="000C7C76">
        <w:rPr>
          <w:rFonts w:asciiTheme="majorBidi" w:hAnsiTheme="majorBidi" w:cstheme="majorBidi"/>
          <w:bCs/>
          <w:lang w:val="en-US"/>
        </w:rPr>
        <w:t>izraksts</w:t>
      </w:r>
      <w:proofErr w:type="spellEnd"/>
      <w:r w:rsidRPr="000C7C76">
        <w:rPr>
          <w:rFonts w:asciiTheme="majorBidi" w:hAnsiTheme="majorBidi" w:cstheme="majorBidi"/>
          <w:bCs/>
          <w:lang w:val="en-US"/>
        </w:rPr>
        <w:t xml:space="preserve"> no </w:t>
      </w:r>
      <w:proofErr w:type="spellStart"/>
      <w:r w:rsidRPr="000C7C76">
        <w:rPr>
          <w:rFonts w:asciiTheme="majorBidi" w:hAnsiTheme="majorBidi" w:cstheme="majorBidi"/>
          <w:bCs/>
          <w:lang w:val="en-US"/>
        </w:rPr>
        <w:t>ārvalsts</w:t>
      </w:r>
      <w:proofErr w:type="spellEnd"/>
      <w:r w:rsidRPr="000C7C76">
        <w:rPr>
          <w:rFonts w:asciiTheme="majorBidi" w:hAnsiTheme="majorBidi" w:cstheme="majorBidi"/>
          <w:bCs/>
          <w:lang w:val="en-US"/>
        </w:rPr>
        <w:t xml:space="preserve"> </w:t>
      </w:r>
      <w:proofErr w:type="spellStart"/>
      <w:r w:rsidRPr="000C7C76">
        <w:rPr>
          <w:rFonts w:asciiTheme="majorBidi" w:hAnsiTheme="majorBidi" w:cstheme="majorBidi"/>
          <w:bCs/>
          <w:lang w:val="en-US"/>
        </w:rPr>
        <w:t>publiskā</w:t>
      </w:r>
      <w:proofErr w:type="spellEnd"/>
      <w:r w:rsidRPr="000C7C76">
        <w:rPr>
          <w:rFonts w:asciiTheme="majorBidi" w:hAnsiTheme="majorBidi" w:cstheme="majorBidi"/>
          <w:bCs/>
          <w:lang w:val="en-US"/>
        </w:rPr>
        <w:t xml:space="preserve"> </w:t>
      </w:r>
      <w:proofErr w:type="spellStart"/>
      <w:r w:rsidRPr="000C7C76">
        <w:rPr>
          <w:rFonts w:asciiTheme="majorBidi" w:hAnsiTheme="majorBidi" w:cstheme="majorBidi"/>
          <w:bCs/>
          <w:lang w:val="en-US"/>
        </w:rPr>
        <w:t>reģistra</w:t>
      </w:r>
      <w:proofErr w:type="spellEnd"/>
      <w:r w:rsidRPr="000C7C76">
        <w:rPr>
          <w:rFonts w:asciiTheme="majorBidi" w:hAnsiTheme="majorBidi" w:cstheme="majorBidi"/>
          <w:bCs/>
          <w:lang w:val="en-US"/>
        </w:rPr>
        <w:t xml:space="preserve"> </w:t>
      </w:r>
      <w:proofErr w:type="spellStart"/>
      <w:r w:rsidRPr="000C7C76">
        <w:rPr>
          <w:rFonts w:asciiTheme="majorBidi" w:hAnsiTheme="majorBidi" w:cstheme="majorBidi"/>
          <w:bCs/>
          <w:lang w:val="en-US"/>
        </w:rPr>
        <w:t>ir</w:t>
      </w:r>
      <w:proofErr w:type="spellEnd"/>
      <w:r w:rsidRPr="000C7C76">
        <w:rPr>
          <w:rFonts w:asciiTheme="majorBidi" w:hAnsiTheme="majorBidi" w:cstheme="majorBidi"/>
          <w:bCs/>
          <w:lang w:val="en-US"/>
        </w:rPr>
        <w:t xml:space="preserve"> </w:t>
      </w:r>
      <w:proofErr w:type="spellStart"/>
      <w:r w:rsidRPr="000C7C76">
        <w:rPr>
          <w:rFonts w:asciiTheme="majorBidi" w:hAnsiTheme="majorBidi" w:cstheme="majorBidi"/>
          <w:bCs/>
          <w:lang w:val="en-US"/>
        </w:rPr>
        <w:t>īsts</w:t>
      </w:r>
      <w:proofErr w:type="spellEnd"/>
      <w:r w:rsidRPr="000C7C76">
        <w:rPr>
          <w:rFonts w:asciiTheme="majorBidi" w:hAnsiTheme="majorBidi" w:cstheme="majorBidi"/>
          <w:bCs/>
          <w:lang w:val="en-US"/>
        </w:rPr>
        <w:t xml:space="preserve"> </w:t>
      </w:r>
      <w:proofErr w:type="spellStart"/>
      <w:r w:rsidRPr="000C7C76">
        <w:rPr>
          <w:rFonts w:asciiTheme="majorBidi" w:hAnsiTheme="majorBidi" w:cstheme="majorBidi"/>
          <w:bCs/>
          <w:lang w:val="en-US"/>
        </w:rPr>
        <w:t>jeb</w:t>
      </w:r>
      <w:proofErr w:type="spellEnd"/>
      <w:r w:rsidRPr="000C7C76">
        <w:rPr>
          <w:rFonts w:asciiTheme="majorBidi" w:hAnsiTheme="majorBidi" w:cstheme="majorBidi"/>
          <w:bCs/>
          <w:lang w:val="en-US"/>
        </w:rPr>
        <w:t xml:space="preserve"> </w:t>
      </w:r>
      <w:proofErr w:type="spellStart"/>
      <w:r w:rsidRPr="000C7C76">
        <w:rPr>
          <w:rFonts w:asciiTheme="majorBidi" w:hAnsiTheme="majorBidi" w:cstheme="majorBidi"/>
          <w:bCs/>
          <w:lang w:val="en-US"/>
        </w:rPr>
        <w:t>autentisks</w:t>
      </w:r>
      <w:proofErr w:type="spellEnd"/>
      <w:r w:rsidRPr="000C7C76">
        <w:rPr>
          <w:rFonts w:asciiTheme="majorBidi" w:hAnsiTheme="majorBidi" w:cstheme="majorBidi"/>
          <w:bCs/>
          <w:lang w:val="en-US"/>
        </w:rPr>
        <w:t xml:space="preserve">. </w:t>
      </w:r>
      <w:proofErr w:type="spellStart"/>
      <w:r>
        <w:rPr>
          <w:rFonts w:asciiTheme="majorBidi" w:hAnsiTheme="majorBidi" w:cstheme="majorBidi"/>
          <w:bCs/>
        </w:rPr>
        <w:t>Taču</w:t>
      </w:r>
      <w:proofErr w:type="spellEnd"/>
      <w:r>
        <w:rPr>
          <w:rFonts w:asciiTheme="majorBidi" w:hAnsiTheme="majorBidi" w:cstheme="majorBidi"/>
          <w:bCs/>
        </w:rPr>
        <w:t xml:space="preserve"> </w:t>
      </w:r>
      <w:proofErr w:type="spellStart"/>
      <w:r>
        <w:rPr>
          <w:rFonts w:asciiTheme="majorBidi" w:hAnsiTheme="majorBidi" w:cstheme="majorBidi"/>
          <w:bCs/>
        </w:rPr>
        <w:t>legalizācija</w:t>
      </w:r>
      <w:proofErr w:type="spellEnd"/>
      <w:r>
        <w:rPr>
          <w:rFonts w:asciiTheme="majorBidi" w:hAnsiTheme="majorBidi" w:cstheme="majorBidi"/>
          <w:bCs/>
        </w:rPr>
        <w:t xml:space="preserve"> </w:t>
      </w:r>
      <w:proofErr w:type="spellStart"/>
      <w:r>
        <w:rPr>
          <w:rFonts w:asciiTheme="majorBidi" w:hAnsiTheme="majorBidi" w:cstheme="majorBidi"/>
          <w:bCs/>
        </w:rPr>
        <w:t>neapliecina</w:t>
      </w:r>
      <w:proofErr w:type="spellEnd"/>
      <w:r>
        <w:rPr>
          <w:rFonts w:asciiTheme="majorBidi" w:hAnsiTheme="majorBidi" w:cstheme="majorBidi"/>
          <w:bCs/>
        </w:rPr>
        <w:t xml:space="preserve"> </w:t>
      </w:r>
      <w:proofErr w:type="spellStart"/>
      <w:r>
        <w:rPr>
          <w:rFonts w:asciiTheme="majorBidi" w:hAnsiTheme="majorBidi" w:cstheme="majorBidi"/>
          <w:bCs/>
        </w:rPr>
        <w:t>dokumenta</w:t>
      </w:r>
      <w:proofErr w:type="spellEnd"/>
      <w:r>
        <w:rPr>
          <w:rFonts w:asciiTheme="majorBidi" w:hAnsiTheme="majorBidi" w:cstheme="majorBidi"/>
          <w:bCs/>
        </w:rPr>
        <w:t xml:space="preserve"> satura </w:t>
      </w:r>
      <w:proofErr w:type="spellStart"/>
      <w:r>
        <w:rPr>
          <w:rFonts w:asciiTheme="majorBidi" w:hAnsiTheme="majorBidi" w:cstheme="majorBidi"/>
          <w:bCs/>
        </w:rPr>
        <w:t>īstumu</w:t>
      </w:r>
      <w:proofErr w:type="spellEnd"/>
      <w:r>
        <w:rPr>
          <w:rFonts w:asciiTheme="majorBidi" w:hAnsiTheme="majorBidi" w:cstheme="majorBidi"/>
          <w:bCs/>
        </w:rPr>
        <w:t>.</w:t>
      </w:r>
    </w:p>
    <w:p w14:paraId="782B8D96" w14:textId="77777777" w:rsidR="00114953" w:rsidRDefault="00114953" w:rsidP="00114953">
      <w:pPr>
        <w:jc w:val="both"/>
        <w:rPr>
          <w:rFonts w:ascii="Times New Roman" w:hAnsi="Times New Roman" w:cs="Times New Roman"/>
        </w:rPr>
      </w:pPr>
    </w:p>
    <w:p w14:paraId="39E3A862" w14:textId="77777777" w:rsidR="00114953" w:rsidRDefault="00114953" w:rsidP="00114953">
      <w:pPr>
        <w:jc w:val="both"/>
        <w:rPr>
          <w:rFonts w:ascii="Times New Roman" w:hAnsi="Times New Roman" w:cs="Times New Roman"/>
        </w:rPr>
      </w:pPr>
    </w:p>
    <w:p w14:paraId="6DBF78DD" w14:textId="77777777" w:rsidR="00114953" w:rsidRDefault="00114953" w:rsidP="00114953">
      <w:pPr>
        <w:jc w:val="both"/>
        <w:rPr>
          <w:rFonts w:ascii="Times New Roman" w:hAnsi="Times New Roman" w:cs="Times New Roman"/>
        </w:rPr>
      </w:pPr>
    </w:p>
    <w:p w14:paraId="658C9824" w14:textId="77777777" w:rsidR="00114953" w:rsidRDefault="00114953" w:rsidP="00114953">
      <w:pPr>
        <w:jc w:val="both"/>
        <w:rPr>
          <w:rFonts w:ascii="Times New Roman" w:hAnsi="Times New Roman" w:cs="Times New Roman"/>
        </w:rPr>
      </w:pPr>
    </w:p>
    <w:tbl>
      <w:tblPr>
        <w:tblStyle w:val="TableGrid"/>
        <w:tblW w:w="0" w:type="auto"/>
        <w:tblLook w:val="04A0" w:firstRow="1" w:lastRow="0" w:firstColumn="1" w:lastColumn="0" w:noHBand="0" w:noVBand="1"/>
      </w:tblPr>
      <w:tblGrid>
        <w:gridCol w:w="9206"/>
      </w:tblGrid>
      <w:tr w:rsidR="00114953" w14:paraId="2A5765B4" w14:textId="77777777" w:rsidTr="00BF3A72">
        <w:tc>
          <w:tcPr>
            <w:tcW w:w="9206" w:type="dxa"/>
            <w:shd w:val="clear" w:color="auto" w:fill="D9D9D9" w:themeFill="background1" w:themeFillShade="D9"/>
          </w:tcPr>
          <w:p w14:paraId="5DB57F9B" w14:textId="77777777" w:rsidR="00114953" w:rsidRPr="006C311A" w:rsidRDefault="00114953" w:rsidP="00BF3A72">
            <w:pPr>
              <w:jc w:val="both"/>
              <w:rPr>
                <w:b/>
              </w:rPr>
            </w:pPr>
            <w:r w:rsidRPr="006C311A">
              <w:rPr>
                <w:b/>
              </w:rPr>
              <w:t xml:space="preserve">8. </w:t>
            </w:r>
            <w:proofErr w:type="spellStart"/>
            <w:r w:rsidRPr="006C311A">
              <w:rPr>
                <w:b/>
              </w:rPr>
              <w:t>Kādām</w:t>
            </w:r>
            <w:proofErr w:type="spellEnd"/>
            <w:r w:rsidRPr="006C311A">
              <w:rPr>
                <w:b/>
              </w:rPr>
              <w:t xml:space="preserve"> </w:t>
            </w:r>
            <w:proofErr w:type="spellStart"/>
            <w:r w:rsidRPr="006C311A">
              <w:rPr>
                <w:b/>
              </w:rPr>
              <w:t>prasībām</w:t>
            </w:r>
            <w:proofErr w:type="spellEnd"/>
            <w:r w:rsidRPr="006C311A">
              <w:rPr>
                <w:b/>
              </w:rPr>
              <w:t xml:space="preserve"> (</w:t>
            </w:r>
            <w:proofErr w:type="spellStart"/>
            <w:r w:rsidRPr="006C311A">
              <w:rPr>
                <w:b/>
              </w:rPr>
              <w:t>izdev</w:t>
            </w:r>
            <w:r>
              <w:rPr>
                <w:b/>
              </w:rPr>
              <w:t>ējiestāde</w:t>
            </w:r>
            <w:proofErr w:type="spellEnd"/>
            <w:r>
              <w:rPr>
                <w:b/>
              </w:rPr>
              <w:t xml:space="preserve">, </w:t>
            </w:r>
            <w:proofErr w:type="spellStart"/>
            <w:r>
              <w:rPr>
                <w:b/>
              </w:rPr>
              <w:t>derīguma</w:t>
            </w:r>
            <w:proofErr w:type="spellEnd"/>
            <w:r>
              <w:rPr>
                <w:b/>
              </w:rPr>
              <w:t xml:space="preserve"> </w:t>
            </w:r>
            <w:proofErr w:type="spellStart"/>
            <w:r>
              <w:rPr>
                <w:b/>
              </w:rPr>
              <w:t>termiņi</w:t>
            </w:r>
            <w:proofErr w:type="spellEnd"/>
            <w:r>
              <w:rPr>
                <w:b/>
              </w:rPr>
              <w:t xml:space="preserve">, </w:t>
            </w:r>
            <w:proofErr w:type="spellStart"/>
            <w:r>
              <w:rPr>
                <w:b/>
              </w:rPr>
              <w:t>apl</w:t>
            </w:r>
            <w:r w:rsidRPr="006C311A">
              <w:rPr>
                <w:b/>
              </w:rPr>
              <w:t>ie</w:t>
            </w:r>
            <w:r>
              <w:rPr>
                <w:b/>
              </w:rPr>
              <w:t>c</w:t>
            </w:r>
            <w:r w:rsidRPr="006C311A">
              <w:rPr>
                <w:b/>
              </w:rPr>
              <w:t>inājumi</w:t>
            </w:r>
            <w:proofErr w:type="spellEnd"/>
            <w:r w:rsidRPr="006C311A">
              <w:rPr>
                <w:b/>
              </w:rPr>
              <w:t xml:space="preserve"> </w:t>
            </w:r>
            <w:proofErr w:type="spellStart"/>
            <w:r w:rsidRPr="006C311A">
              <w:rPr>
                <w:b/>
              </w:rPr>
              <w:t>u.tml</w:t>
            </w:r>
            <w:proofErr w:type="spellEnd"/>
            <w:r w:rsidRPr="006C311A">
              <w:rPr>
                <w:b/>
              </w:rPr>
              <w:t xml:space="preserve">.) </w:t>
            </w:r>
            <w:proofErr w:type="spellStart"/>
            <w:r w:rsidRPr="006C311A">
              <w:rPr>
                <w:b/>
              </w:rPr>
              <w:t>jāatbilst</w:t>
            </w:r>
            <w:proofErr w:type="spellEnd"/>
            <w:r w:rsidRPr="006C311A">
              <w:rPr>
                <w:b/>
              </w:rPr>
              <w:t xml:space="preserve"> </w:t>
            </w:r>
            <w:proofErr w:type="spellStart"/>
            <w:r w:rsidRPr="006C311A">
              <w:rPr>
                <w:b/>
              </w:rPr>
              <w:t>ārvalstu</w:t>
            </w:r>
            <w:proofErr w:type="spellEnd"/>
            <w:r w:rsidRPr="006C311A">
              <w:rPr>
                <w:b/>
              </w:rPr>
              <w:t xml:space="preserve"> </w:t>
            </w:r>
            <w:proofErr w:type="spellStart"/>
            <w:r w:rsidRPr="006C311A">
              <w:rPr>
                <w:b/>
              </w:rPr>
              <w:t>dokumentiem</w:t>
            </w:r>
            <w:proofErr w:type="spellEnd"/>
            <w:r w:rsidRPr="006C311A">
              <w:rPr>
                <w:b/>
              </w:rPr>
              <w:t xml:space="preserve">, </w:t>
            </w:r>
            <w:proofErr w:type="spellStart"/>
            <w:r w:rsidRPr="006C311A">
              <w:rPr>
                <w:b/>
              </w:rPr>
              <w:t>lai</w:t>
            </w:r>
            <w:proofErr w:type="spellEnd"/>
            <w:r w:rsidRPr="006C311A">
              <w:rPr>
                <w:b/>
              </w:rPr>
              <w:t xml:space="preserve"> </w:t>
            </w:r>
            <w:proofErr w:type="spellStart"/>
            <w:r w:rsidRPr="006C311A">
              <w:rPr>
                <w:b/>
              </w:rPr>
              <w:t>pēc</w:t>
            </w:r>
            <w:proofErr w:type="spellEnd"/>
            <w:r w:rsidRPr="006C311A">
              <w:rPr>
                <w:b/>
              </w:rPr>
              <w:t xml:space="preserve"> </w:t>
            </w:r>
            <w:proofErr w:type="spellStart"/>
            <w:r w:rsidRPr="006C311A">
              <w:rPr>
                <w:b/>
              </w:rPr>
              <w:t>tiem</w:t>
            </w:r>
            <w:proofErr w:type="spellEnd"/>
            <w:r w:rsidRPr="006C311A">
              <w:rPr>
                <w:b/>
              </w:rPr>
              <w:t xml:space="preserve"> </w:t>
            </w:r>
            <w:proofErr w:type="spellStart"/>
            <w:r w:rsidRPr="006C311A">
              <w:rPr>
                <w:b/>
              </w:rPr>
              <w:t>varētu</w:t>
            </w:r>
            <w:proofErr w:type="spellEnd"/>
            <w:r w:rsidRPr="006C311A">
              <w:rPr>
                <w:b/>
              </w:rPr>
              <w:t xml:space="preserve"> </w:t>
            </w:r>
            <w:proofErr w:type="spellStart"/>
            <w:r w:rsidRPr="006C311A">
              <w:rPr>
                <w:b/>
              </w:rPr>
              <w:t>pārbaudīt</w:t>
            </w:r>
            <w:proofErr w:type="spellEnd"/>
            <w:r w:rsidRPr="006C311A">
              <w:rPr>
                <w:b/>
              </w:rPr>
              <w:t xml:space="preserve"> ASV, </w:t>
            </w:r>
            <w:proofErr w:type="spellStart"/>
            <w:r w:rsidRPr="006C311A">
              <w:rPr>
                <w:b/>
              </w:rPr>
              <w:t>Lielbritānijā</w:t>
            </w:r>
            <w:proofErr w:type="spellEnd"/>
            <w:r w:rsidRPr="006C311A">
              <w:rPr>
                <w:b/>
              </w:rPr>
              <w:t xml:space="preserve"> </w:t>
            </w:r>
            <w:proofErr w:type="spellStart"/>
            <w:r w:rsidRPr="006C311A">
              <w:rPr>
                <w:b/>
              </w:rPr>
              <w:t>un</w:t>
            </w:r>
            <w:proofErr w:type="spellEnd"/>
            <w:r w:rsidRPr="006C311A">
              <w:rPr>
                <w:b/>
              </w:rPr>
              <w:t xml:space="preserve"> </w:t>
            </w:r>
            <w:proofErr w:type="spellStart"/>
            <w:r w:rsidRPr="006C311A">
              <w:rPr>
                <w:b/>
              </w:rPr>
              <w:t>citās</w:t>
            </w:r>
            <w:proofErr w:type="spellEnd"/>
            <w:r w:rsidRPr="006C311A">
              <w:rPr>
                <w:b/>
              </w:rPr>
              <w:t xml:space="preserve"> </w:t>
            </w:r>
            <w:proofErr w:type="spellStart"/>
            <w:r w:rsidRPr="006C311A">
              <w:rPr>
                <w:b/>
              </w:rPr>
              <w:t>anglosakšu</w:t>
            </w:r>
            <w:proofErr w:type="spellEnd"/>
            <w:r w:rsidRPr="006C311A">
              <w:rPr>
                <w:b/>
              </w:rPr>
              <w:t xml:space="preserve"> </w:t>
            </w:r>
            <w:proofErr w:type="spellStart"/>
            <w:r w:rsidRPr="006C311A">
              <w:rPr>
                <w:b/>
              </w:rPr>
              <w:t>valstīs</w:t>
            </w:r>
            <w:proofErr w:type="spellEnd"/>
            <w:r w:rsidRPr="006C311A">
              <w:rPr>
                <w:b/>
              </w:rPr>
              <w:t xml:space="preserve"> </w:t>
            </w:r>
            <w:proofErr w:type="spellStart"/>
            <w:r w:rsidRPr="006C311A">
              <w:rPr>
                <w:b/>
              </w:rPr>
              <w:t>reģistrētas</w:t>
            </w:r>
            <w:proofErr w:type="spellEnd"/>
            <w:r w:rsidRPr="006C311A">
              <w:rPr>
                <w:b/>
              </w:rPr>
              <w:t xml:space="preserve"> </w:t>
            </w:r>
            <w:proofErr w:type="spellStart"/>
            <w:r w:rsidRPr="00DF7476">
              <w:rPr>
                <w:b/>
                <w:u w:val="single"/>
              </w:rPr>
              <w:t>juridiskās</w:t>
            </w:r>
            <w:proofErr w:type="spellEnd"/>
            <w:r w:rsidRPr="00DF7476">
              <w:rPr>
                <w:b/>
                <w:u w:val="single"/>
              </w:rPr>
              <w:t xml:space="preserve"> personas </w:t>
            </w:r>
            <w:proofErr w:type="spellStart"/>
            <w:r w:rsidRPr="00DF7476">
              <w:rPr>
                <w:b/>
                <w:u w:val="single"/>
              </w:rPr>
              <w:t>tiesībspēju</w:t>
            </w:r>
            <w:proofErr w:type="spellEnd"/>
            <w:r w:rsidRPr="006C311A">
              <w:rPr>
                <w:b/>
              </w:rPr>
              <w:t xml:space="preserve"> </w:t>
            </w:r>
            <w:proofErr w:type="spellStart"/>
            <w:r w:rsidRPr="006C311A">
              <w:rPr>
                <w:b/>
              </w:rPr>
              <w:t>un</w:t>
            </w:r>
            <w:proofErr w:type="spellEnd"/>
            <w:r w:rsidRPr="006C311A">
              <w:rPr>
                <w:b/>
              </w:rPr>
              <w:t xml:space="preserve"> </w:t>
            </w:r>
            <w:proofErr w:type="spellStart"/>
            <w:r w:rsidRPr="00DF7476">
              <w:rPr>
                <w:b/>
                <w:u w:val="single"/>
              </w:rPr>
              <w:t>rīcībspēju</w:t>
            </w:r>
            <w:proofErr w:type="spellEnd"/>
            <w:r w:rsidRPr="006C311A">
              <w:rPr>
                <w:b/>
              </w:rPr>
              <w:t xml:space="preserve">, </w:t>
            </w:r>
            <w:proofErr w:type="spellStart"/>
            <w:r w:rsidRPr="006C311A">
              <w:rPr>
                <w:b/>
              </w:rPr>
              <w:t>kā</w:t>
            </w:r>
            <w:proofErr w:type="spellEnd"/>
            <w:r w:rsidRPr="006C311A">
              <w:rPr>
                <w:b/>
              </w:rPr>
              <w:t xml:space="preserve"> </w:t>
            </w:r>
            <w:proofErr w:type="spellStart"/>
            <w:r w:rsidRPr="006C311A">
              <w:rPr>
                <w:b/>
              </w:rPr>
              <w:t>arī</w:t>
            </w:r>
            <w:proofErr w:type="spellEnd"/>
            <w:r w:rsidRPr="006C311A">
              <w:rPr>
                <w:b/>
              </w:rPr>
              <w:t xml:space="preserve"> </w:t>
            </w:r>
            <w:proofErr w:type="spellStart"/>
            <w:r w:rsidRPr="00DF7476">
              <w:rPr>
                <w:b/>
                <w:u w:val="single"/>
              </w:rPr>
              <w:t>pārstāvju</w:t>
            </w:r>
            <w:proofErr w:type="spellEnd"/>
            <w:r w:rsidRPr="00DF7476">
              <w:rPr>
                <w:b/>
                <w:u w:val="single"/>
              </w:rPr>
              <w:t xml:space="preserve"> </w:t>
            </w:r>
            <w:proofErr w:type="spellStart"/>
            <w:proofErr w:type="gramStart"/>
            <w:r w:rsidRPr="00DF7476">
              <w:rPr>
                <w:b/>
                <w:u w:val="single"/>
              </w:rPr>
              <w:t>pilnvaras</w:t>
            </w:r>
            <w:proofErr w:type="spellEnd"/>
            <w:r w:rsidRPr="006C311A">
              <w:rPr>
                <w:b/>
              </w:rPr>
              <w:t> ?</w:t>
            </w:r>
            <w:proofErr w:type="gramEnd"/>
          </w:p>
          <w:p w14:paraId="16ED580B" w14:textId="77777777" w:rsidR="00114953" w:rsidRDefault="00114953" w:rsidP="00BF3A72">
            <w:pPr>
              <w:jc w:val="both"/>
            </w:pPr>
          </w:p>
        </w:tc>
      </w:tr>
    </w:tbl>
    <w:p w14:paraId="75E57DB5" w14:textId="77777777" w:rsidR="00114953" w:rsidRDefault="00114953" w:rsidP="00114953">
      <w:pPr>
        <w:jc w:val="both"/>
        <w:rPr>
          <w:rFonts w:ascii="Times New Roman" w:hAnsi="Times New Roman" w:cs="Times New Roman"/>
        </w:rPr>
      </w:pPr>
    </w:p>
    <w:p w14:paraId="0014885C" w14:textId="77777777" w:rsidR="00114953" w:rsidRDefault="00114953" w:rsidP="00114953">
      <w:pPr>
        <w:jc w:val="both"/>
        <w:rPr>
          <w:rFonts w:ascii="Times New Roman" w:hAnsi="Times New Roman" w:cs="Times New Roman"/>
        </w:rPr>
      </w:pPr>
    </w:p>
    <w:p w14:paraId="2EBFF1C9" w14:textId="77777777" w:rsidR="00114953" w:rsidRPr="000D136D" w:rsidRDefault="00114953" w:rsidP="00114953">
      <w:pPr>
        <w:jc w:val="both"/>
        <w:rPr>
          <w:rFonts w:ascii="Times New Roman" w:hAnsi="Times New Roman" w:cs="Times New Roman"/>
          <w:b/>
        </w:rPr>
      </w:pPr>
      <w:proofErr w:type="spellStart"/>
      <w:r>
        <w:rPr>
          <w:rFonts w:ascii="Times New Roman" w:hAnsi="Times New Roman" w:cs="Times New Roman"/>
          <w:b/>
        </w:rPr>
        <w:t>Normatīvais</w:t>
      </w:r>
      <w:proofErr w:type="spellEnd"/>
      <w:r>
        <w:rPr>
          <w:rFonts w:ascii="Times New Roman" w:hAnsi="Times New Roman" w:cs="Times New Roman"/>
          <w:b/>
        </w:rPr>
        <w:t xml:space="preserve"> </w:t>
      </w:r>
      <w:proofErr w:type="spellStart"/>
      <w:proofErr w:type="gramStart"/>
      <w:r>
        <w:rPr>
          <w:rFonts w:ascii="Times New Roman" w:hAnsi="Times New Roman" w:cs="Times New Roman"/>
          <w:b/>
        </w:rPr>
        <w:t>regulējums</w:t>
      </w:r>
      <w:proofErr w:type="spellEnd"/>
      <w:r w:rsidRPr="000D136D">
        <w:rPr>
          <w:rFonts w:ascii="Times New Roman" w:hAnsi="Times New Roman" w:cs="Times New Roman"/>
          <w:b/>
        </w:rPr>
        <w:t>:</w:t>
      </w:r>
      <w:proofErr w:type="gramEnd"/>
    </w:p>
    <w:p w14:paraId="14AB86FD" w14:textId="77777777" w:rsidR="00114953" w:rsidRDefault="00114953" w:rsidP="00114953">
      <w:pPr>
        <w:jc w:val="both"/>
        <w:rPr>
          <w:rFonts w:ascii="Times New Roman" w:hAnsi="Times New Roman" w:cs="Times New Roman"/>
        </w:rPr>
      </w:pPr>
    </w:p>
    <w:p w14:paraId="1366464B" w14:textId="77777777" w:rsidR="00114953" w:rsidRDefault="00114953" w:rsidP="00114953">
      <w:pPr>
        <w:ind w:firstLine="708"/>
        <w:jc w:val="both"/>
        <w:rPr>
          <w:rFonts w:ascii="Times New Roman" w:hAnsi="Times New Roman" w:cs="Times New Roman"/>
          <w:color w:val="323233"/>
        </w:rPr>
      </w:pPr>
      <w:proofErr w:type="spellStart"/>
      <w:r w:rsidRPr="000D136D">
        <w:rPr>
          <w:rFonts w:ascii="Times New Roman" w:hAnsi="Times New Roman" w:cs="Times New Roman"/>
          <w:bCs/>
          <w:color w:val="323233"/>
        </w:rPr>
        <w:t>Saskaņā</w:t>
      </w:r>
      <w:proofErr w:type="spellEnd"/>
      <w:r w:rsidRPr="000D136D">
        <w:rPr>
          <w:rFonts w:ascii="Times New Roman" w:hAnsi="Times New Roman" w:cs="Times New Roman"/>
          <w:bCs/>
          <w:color w:val="323233"/>
        </w:rPr>
        <w:t xml:space="preserve"> </w:t>
      </w:r>
      <w:proofErr w:type="spellStart"/>
      <w:r w:rsidRPr="000D136D">
        <w:rPr>
          <w:rFonts w:ascii="Times New Roman" w:hAnsi="Times New Roman" w:cs="Times New Roman"/>
          <w:bCs/>
          <w:color w:val="323233"/>
        </w:rPr>
        <w:t>ar</w:t>
      </w:r>
      <w:proofErr w:type="spellEnd"/>
      <w:r w:rsidRPr="000D136D">
        <w:rPr>
          <w:rFonts w:ascii="Times New Roman" w:hAnsi="Times New Roman" w:cs="Times New Roman"/>
          <w:bCs/>
          <w:color w:val="323233"/>
        </w:rPr>
        <w:t xml:space="preserve"> </w:t>
      </w:r>
      <w:proofErr w:type="spellStart"/>
      <w:r w:rsidRPr="000D136D">
        <w:rPr>
          <w:rFonts w:ascii="Times New Roman" w:hAnsi="Times New Roman" w:cs="Times New Roman"/>
          <w:bCs/>
          <w:color w:val="323233"/>
        </w:rPr>
        <w:t>Notariāta</w:t>
      </w:r>
      <w:proofErr w:type="spellEnd"/>
      <w:r w:rsidRPr="000D136D">
        <w:rPr>
          <w:rFonts w:ascii="Times New Roman" w:hAnsi="Times New Roman" w:cs="Times New Roman"/>
          <w:bCs/>
          <w:color w:val="323233"/>
        </w:rPr>
        <w:t xml:space="preserve"> </w:t>
      </w:r>
      <w:proofErr w:type="spellStart"/>
      <w:r w:rsidRPr="000D136D">
        <w:rPr>
          <w:rFonts w:ascii="Times New Roman" w:hAnsi="Times New Roman" w:cs="Times New Roman"/>
          <w:bCs/>
          <w:color w:val="323233"/>
        </w:rPr>
        <w:t>likuma</w:t>
      </w:r>
      <w:proofErr w:type="spellEnd"/>
      <w:r w:rsidRPr="000D136D">
        <w:rPr>
          <w:rFonts w:ascii="Times New Roman" w:hAnsi="Times New Roman" w:cs="Times New Roman"/>
          <w:bCs/>
          <w:color w:val="323233"/>
        </w:rPr>
        <w:t xml:space="preserve"> </w:t>
      </w:r>
      <w:proofErr w:type="gramStart"/>
      <w:r w:rsidRPr="000D136D">
        <w:rPr>
          <w:rFonts w:ascii="Times New Roman" w:hAnsi="Times New Roman" w:cs="Times New Roman"/>
          <w:bCs/>
          <w:color w:val="323233"/>
        </w:rPr>
        <w:t>77.pantu</w:t>
      </w:r>
      <w:proofErr w:type="gramEnd"/>
      <w:r w:rsidRPr="000D136D">
        <w:rPr>
          <w:rFonts w:ascii="Times New Roman" w:hAnsi="Times New Roman" w:cs="Times New Roman"/>
          <w:bCs/>
          <w:color w:val="323233"/>
        </w:rPr>
        <w:t xml:space="preserve">, </w:t>
      </w:r>
      <w:proofErr w:type="spellStart"/>
      <w:r w:rsidRPr="000D136D">
        <w:rPr>
          <w:rFonts w:ascii="Times New Roman" w:hAnsi="Times New Roman" w:cs="Times New Roman"/>
          <w:i/>
          <w:color w:val="323233"/>
        </w:rPr>
        <w:t>taisot</w:t>
      </w:r>
      <w:proofErr w:type="spellEnd"/>
      <w:r w:rsidRPr="000D136D">
        <w:rPr>
          <w:rFonts w:ascii="Times New Roman" w:hAnsi="Times New Roman" w:cs="Times New Roman"/>
          <w:i/>
          <w:color w:val="323233"/>
        </w:rPr>
        <w:t xml:space="preserve"> </w:t>
      </w:r>
      <w:proofErr w:type="spellStart"/>
      <w:r w:rsidRPr="000D136D">
        <w:rPr>
          <w:rFonts w:ascii="Times New Roman" w:hAnsi="Times New Roman" w:cs="Times New Roman"/>
          <w:i/>
          <w:color w:val="323233"/>
        </w:rPr>
        <w:t>aktus</w:t>
      </w:r>
      <w:proofErr w:type="spellEnd"/>
      <w:r w:rsidRPr="000D136D">
        <w:rPr>
          <w:rFonts w:ascii="Times New Roman" w:hAnsi="Times New Roman" w:cs="Times New Roman"/>
          <w:i/>
          <w:color w:val="323233"/>
        </w:rPr>
        <w:t xml:space="preserve"> un </w:t>
      </w:r>
      <w:proofErr w:type="spellStart"/>
      <w:r w:rsidRPr="000D136D">
        <w:rPr>
          <w:rFonts w:ascii="Times New Roman" w:hAnsi="Times New Roman" w:cs="Times New Roman"/>
          <w:i/>
          <w:color w:val="323233"/>
        </w:rPr>
        <w:t>apliecinājumus</w:t>
      </w:r>
      <w:proofErr w:type="spellEnd"/>
      <w:r w:rsidRPr="000D136D">
        <w:rPr>
          <w:rFonts w:ascii="Times New Roman" w:hAnsi="Times New Roman" w:cs="Times New Roman"/>
          <w:i/>
          <w:color w:val="323233"/>
        </w:rPr>
        <w:t xml:space="preserve"> </w:t>
      </w:r>
      <w:proofErr w:type="spellStart"/>
      <w:r w:rsidRPr="000D136D">
        <w:rPr>
          <w:rFonts w:ascii="Times New Roman" w:hAnsi="Times New Roman" w:cs="Times New Roman"/>
          <w:i/>
          <w:color w:val="323233"/>
        </w:rPr>
        <w:t>juridiskajām</w:t>
      </w:r>
      <w:proofErr w:type="spellEnd"/>
      <w:r w:rsidRPr="000D136D">
        <w:rPr>
          <w:rFonts w:ascii="Times New Roman" w:hAnsi="Times New Roman" w:cs="Times New Roman"/>
          <w:i/>
          <w:color w:val="323233"/>
        </w:rPr>
        <w:t xml:space="preserve"> </w:t>
      </w:r>
      <w:proofErr w:type="spellStart"/>
      <w:r w:rsidRPr="000D136D">
        <w:rPr>
          <w:rFonts w:ascii="Times New Roman" w:hAnsi="Times New Roman" w:cs="Times New Roman"/>
          <w:i/>
          <w:color w:val="323233"/>
        </w:rPr>
        <w:t>personām</w:t>
      </w:r>
      <w:proofErr w:type="spellEnd"/>
      <w:r w:rsidRPr="000D136D">
        <w:rPr>
          <w:rFonts w:ascii="Times New Roman" w:hAnsi="Times New Roman" w:cs="Times New Roman"/>
          <w:i/>
          <w:color w:val="323233"/>
        </w:rPr>
        <w:t xml:space="preserve">, </w:t>
      </w:r>
      <w:proofErr w:type="spellStart"/>
      <w:r w:rsidRPr="000D136D">
        <w:rPr>
          <w:rFonts w:ascii="Times New Roman" w:hAnsi="Times New Roman" w:cs="Times New Roman"/>
          <w:i/>
          <w:color w:val="323233"/>
        </w:rPr>
        <w:t>jāpārbauda</w:t>
      </w:r>
      <w:proofErr w:type="spellEnd"/>
      <w:r w:rsidRPr="000D136D">
        <w:rPr>
          <w:rFonts w:ascii="Times New Roman" w:hAnsi="Times New Roman" w:cs="Times New Roman"/>
          <w:i/>
          <w:color w:val="323233"/>
        </w:rPr>
        <w:t xml:space="preserve"> to </w:t>
      </w:r>
      <w:proofErr w:type="spellStart"/>
      <w:r w:rsidRPr="000D136D">
        <w:rPr>
          <w:rFonts w:ascii="Times New Roman" w:hAnsi="Times New Roman" w:cs="Times New Roman"/>
          <w:i/>
          <w:color w:val="323233"/>
        </w:rPr>
        <w:t>tiesībspēja</w:t>
      </w:r>
      <w:proofErr w:type="spellEnd"/>
      <w:r w:rsidRPr="000D136D">
        <w:rPr>
          <w:rFonts w:ascii="Times New Roman" w:hAnsi="Times New Roman" w:cs="Times New Roman"/>
          <w:i/>
          <w:color w:val="323233"/>
        </w:rPr>
        <w:t xml:space="preserve">, </w:t>
      </w:r>
      <w:proofErr w:type="spellStart"/>
      <w:r w:rsidRPr="000D136D">
        <w:rPr>
          <w:rFonts w:ascii="Times New Roman" w:hAnsi="Times New Roman" w:cs="Times New Roman"/>
          <w:i/>
          <w:color w:val="323233"/>
        </w:rPr>
        <w:t>darbības</w:t>
      </w:r>
      <w:proofErr w:type="spellEnd"/>
      <w:r w:rsidRPr="000D136D">
        <w:rPr>
          <w:rFonts w:ascii="Times New Roman" w:hAnsi="Times New Roman" w:cs="Times New Roman"/>
          <w:i/>
          <w:color w:val="323233"/>
        </w:rPr>
        <w:t xml:space="preserve"> </w:t>
      </w:r>
      <w:proofErr w:type="spellStart"/>
      <w:r w:rsidRPr="000D136D">
        <w:rPr>
          <w:rFonts w:ascii="Times New Roman" w:hAnsi="Times New Roman" w:cs="Times New Roman"/>
          <w:i/>
          <w:color w:val="323233"/>
        </w:rPr>
        <w:t>apjoms</w:t>
      </w:r>
      <w:proofErr w:type="spellEnd"/>
      <w:r w:rsidRPr="000D136D">
        <w:rPr>
          <w:rFonts w:ascii="Times New Roman" w:hAnsi="Times New Roman" w:cs="Times New Roman"/>
          <w:i/>
          <w:color w:val="323233"/>
        </w:rPr>
        <w:t xml:space="preserve"> un </w:t>
      </w:r>
      <w:proofErr w:type="spellStart"/>
      <w:r w:rsidRPr="000D136D">
        <w:rPr>
          <w:rFonts w:ascii="Times New Roman" w:hAnsi="Times New Roman" w:cs="Times New Roman"/>
          <w:i/>
          <w:color w:val="323233"/>
        </w:rPr>
        <w:t>pārstāvju</w:t>
      </w:r>
      <w:proofErr w:type="spellEnd"/>
      <w:r w:rsidRPr="000D136D">
        <w:rPr>
          <w:rFonts w:ascii="Times New Roman" w:hAnsi="Times New Roman" w:cs="Times New Roman"/>
          <w:i/>
          <w:color w:val="323233"/>
        </w:rPr>
        <w:t xml:space="preserve"> </w:t>
      </w:r>
      <w:proofErr w:type="spellStart"/>
      <w:r w:rsidRPr="000D136D">
        <w:rPr>
          <w:rFonts w:ascii="Times New Roman" w:hAnsi="Times New Roman" w:cs="Times New Roman"/>
          <w:i/>
          <w:color w:val="323233"/>
        </w:rPr>
        <w:t>pilnvaras</w:t>
      </w:r>
      <w:proofErr w:type="spellEnd"/>
      <w:r w:rsidRPr="000D136D">
        <w:rPr>
          <w:rFonts w:ascii="Times New Roman" w:hAnsi="Times New Roman" w:cs="Times New Roman"/>
          <w:color w:val="323233"/>
        </w:rPr>
        <w:t>.</w:t>
      </w:r>
    </w:p>
    <w:p w14:paraId="55A36F6E" w14:textId="77777777" w:rsidR="00114953" w:rsidRDefault="00114953" w:rsidP="00114953">
      <w:pPr>
        <w:widowControl w:val="0"/>
        <w:autoSpaceDE w:val="0"/>
        <w:autoSpaceDN w:val="0"/>
        <w:adjustRightInd w:val="0"/>
        <w:ind w:firstLine="708"/>
        <w:jc w:val="both"/>
        <w:rPr>
          <w:rFonts w:ascii="Times New Roman" w:hAnsi="Times New Roman" w:cs="Times New Roman"/>
          <w:color w:val="323233"/>
        </w:rPr>
      </w:pPr>
    </w:p>
    <w:p w14:paraId="79F6B409" w14:textId="6B3D0DDE" w:rsidR="00114953" w:rsidRPr="007D5283" w:rsidRDefault="00114953" w:rsidP="00114953">
      <w:pPr>
        <w:widowControl w:val="0"/>
        <w:autoSpaceDE w:val="0"/>
        <w:autoSpaceDN w:val="0"/>
        <w:adjustRightInd w:val="0"/>
        <w:ind w:firstLine="708"/>
        <w:jc w:val="both"/>
        <w:rPr>
          <w:rFonts w:ascii="Times New Roman" w:hAnsi="Times New Roman" w:cs="Arial"/>
          <w:i/>
          <w:iCs/>
          <w:color w:val="323233"/>
          <w:u w:val="single"/>
          <w:lang w:val="de-DE"/>
        </w:rPr>
      </w:pPr>
      <w:proofErr w:type="spellStart"/>
      <w:r>
        <w:rPr>
          <w:rFonts w:ascii="Times New Roman" w:hAnsi="Times New Roman" w:cs="Times New Roman"/>
          <w:color w:val="323233"/>
        </w:rPr>
        <w:t>Saskaņā</w:t>
      </w:r>
      <w:proofErr w:type="spellEnd"/>
      <w:r>
        <w:rPr>
          <w:rFonts w:ascii="Times New Roman" w:hAnsi="Times New Roman" w:cs="Times New Roman"/>
          <w:color w:val="323233"/>
        </w:rPr>
        <w:t xml:space="preserve"> </w:t>
      </w:r>
      <w:proofErr w:type="spellStart"/>
      <w:r>
        <w:rPr>
          <w:rFonts w:ascii="Times New Roman" w:hAnsi="Times New Roman" w:cs="Times New Roman"/>
          <w:color w:val="323233"/>
        </w:rPr>
        <w:t>ar</w:t>
      </w:r>
      <w:proofErr w:type="spellEnd"/>
      <w:r>
        <w:rPr>
          <w:rFonts w:ascii="Times New Roman" w:hAnsi="Times New Roman" w:cs="Times New Roman"/>
          <w:color w:val="323233"/>
        </w:rPr>
        <w:t xml:space="preserve"> </w:t>
      </w:r>
      <w:proofErr w:type="spellStart"/>
      <w:r>
        <w:rPr>
          <w:rFonts w:ascii="Times New Roman" w:hAnsi="Times New Roman" w:cs="Times New Roman"/>
          <w:color w:val="323233"/>
        </w:rPr>
        <w:t>Notariāta</w:t>
      </w:r>
      <w:proofErr w:type="spellEnd"/>
      <w:r>
        <w:rPr>
          <w:rFonts w:ascii="Times New Roman" w:hAnsi="Times New Roman" w:cs="Times New Roman"/>
          <w:color w:val="323233"/>
        </w:rPr>
        <w:t xml:space="preserve"> </w:t>
      </w:r>
      <w:proofErr w:type="spellStart"/>
      <w:r>
        <w:rPr>
          <w:rFonts w:ascii="Times New Roman" w:hAnsi="Times New Roman" w:cs="Times New Roman"/>
          <w:color w:val="323233"/>
        </w:rPr>
        <w:t>likuma</w:t>
      </w:r>
      <w:proofErr w:type="spellEnd"/>
      <w:r>
        <w:rPr>
          <w:rFonts w:ascii="Times New Roman" w:hAnsi="Times New Roman" w:cs="Times New Roman"/>
          <w:color w:val="323233"/>
        </w:rPr>
        <w:t xml:space="preserve"> </w:t>
      </w:r>
      <w:proofErr w:type="gramStart"/>
      <w:r>
        <w:rPr>
          <w:rFonts w:ascii="Times New Roman" w:hAnsi="Times New Roman" w:cs="Times New Roman"/>
          <w:color w:val="323233"/>
        </w:rPr>
        <w:t>83.panta</w:t>
      </w:r>
      <w:proofErr w:type="gramEnd"/>
      <w:r>
        <w:rPr>
          <w:rFonts w:ascii="Times New Roman" w:hAnsi="Times New Roman" w:cs="Times New Roman"/>
          <w:color w:val="323233"/>
        </w:rPr>
        <w:t xml:space="preserve"> </w:t>
      </w:r>
      <w:proofErr w:type="spellStart"/>
      <w:r>
        <w:rPr>
          <w:rFonts w:ascii="Times New Roman" w:hAnsi="Times New Roman" w:cs="Times New Roman"/>
          <w:color w:val="323233"/>
        </w:rPr>
        <w:t>otro</w:t>
      </w:r>
      <w:proofErr w:type="spellEnd"/>
      <w:r>
        <w:rPr>
          <w:rFonts w:ascii="Times New Roman" w:hAnsi="Times New Roman" w:cs="Times New Roman"/>
          <w:color w:val="323233"/>
        </w:rPr>
        <w:t xml:space="preserve"> un </w:t>
      </w:r>
      <w:proofErr w:type="spellStart"/>
      <w:r>
        <w:rPr>
          <w:rFonts w:ascii="Times New Roman" w:hAnsi="Times New Roman" w:cs="Times New Roman"/>
          <w:color w:val="323233"/>
        </w:rPr>
        <w:t>trešo</w:t>
      </w:r>
      <w:proofErr w:type="spellEnd"/>
      <w:r>
        <w:rPr>
          <w:rFonts w:ascii="Times New Roman" w:hAnsi="Times New Roman" w:cs="Times New Roman"/>
          <w:color w:val="323233"/>
        </w:rPr>
        <w:t xml:space="preserve"> </w:t>
      </w:r>
      <w:proofErr w:type="spellStart"/>
      <w:r>
        <w:rPr>
          <w:rFonts w:ascii="Times New Roman" w:hAnsi="Times New Roman" w:cs="Times New Roman"/>
          <w:color w:val="323233"/>
        </w:rPr>
        <w:t>daļu</w:t>
      </w:r>
      <w:proofErr w:type="spellEnd"/>
      <w:r>
        <w:rPr>
          <w:rFonts w:ascii="Times New Roman" w:hAnsi="Times New Roman" w:cs="Times New Roman"/>
          <w:color w:val="323233"/>
        </w:rPr>
        <w:t xml:space="preserve"> : </w:t>
      </w:r>
      <w:r w:rsidR="007D5283">
        <w:rPr>
          <w:rFonts w:ascii="Times New Roman" w:hAnsi="Times New Roman" w:cs="Times New Roman"/>
          <w:color w:val="323233"/>
          <w:lang w:val="de-DE"/>
        </w:rPr>
        <w:t>„</w:t>
      </w:r>
      <w:r w:rsidRPr="007D5283">
        <w:rPr>
          <w:rFonts w:ascii="Times New Roman" w:hAnsi="Times New Roman" w:cs="Arial"/>
          <w:i/>
          <w:iCs/>
          <w:color w:val="323233"/>
          <w:lang w:val="de-DE"/>
        </w:rPr>
        <w:t xml:space="preserve">(2) </w:t>
      </w:r>
      <w:proofErr w:type="spellStart"/>
      <w:r w:rsidRPr="007D5283">
        <w:rPr>
          <w:rFonts w:ascii="Times New Roman" w:hAnsi="Times New Roman" w:cs="Arial"/>
          <w:i/>
          <w:iCs/>
          <w:color w:val="323233"/>
          <w:lang w:val="de-DE"/>
        </w:rPr>
        <w:t>Pārstāvības</w:t>
      </w:r>
      <w:proofErr w:type="spellEnd"/>
      <w:r w:rsidRPr="007D5283">
        <w:rPr>
          <w:rFonts w:ascii="Times New Roman" w:hAnsi="Times New Roman" w:cs="Arial"/>
          <w:i/>
          <w:iCs/>
          <w:color w:val="323233"/>
          <w:lang w:val="de-DE"/>
        </w:rPr>
        <w:t xml:space="preserve"> </w:t>
      </w:r>
      <w:proofErr w:type="spellStart"/>
      <w:r w:rsidRPr="007D5283">
        <w:rPr>
          <w:rFonts w:ascii="Times New Roman" w:hAnsi="Times New Roman" w:cs="Arial"/>
          <w:i/>
          <w:iCs/>
          <w:color w:val="323233"/>
          <w:lang w:val="de-DE"/>
        </w:rPr>
        <w:t>tiesības</w:t>
      </w:r>
      <w:proofErr w:type="spellEnd"/>
      <w:r w:rsidRPr="007D5283">
        <w:rPr>
          <w:rFonts w:ascii="Times New Roman" w:hAnsi="Times New Roman" w:cs="Arial"/>
          <w:i/>
          <w:iCs/>
          <w:color w:val="323233"/>
          <w:lang w:val="de-DE"/>
        </w:rPr>
        <w:t xml:space="preserve"> </w:t>
      </w:r>
      <w:proofErr w:type="spellStart"/>
      <w:r w:rsidRPr="007D5283">
        <w:rPr>
          <w:rFonts w:ascii="Times New Roman" w:hAnsi="Times New Roman" w:cs="Arial"/>
          <w:i/>
          <w:iCs/>
          <w:color w:val="323233"/>
          <w:lang w:val="de-DE"/>
        </w:rPr>
        <w:t>zvērināts</w:t>
      </w:r>
      <w:proofErr w:type="spellEnd"/>
      <w:r w:rsidRPr="007D5283">
        <w:rPr>
          <w:rFonts w:ascii="Times New Roman" w:hAnsi="Times New Roman" w:cs="Arial"/>
          <w:i/>
          <w:iCs/>
          <w:color w:val="323233"/>
          <w:lang w:val="de-DE"/>
        </w:rPr>
        <w:t xml:space="preserve"> </w:t>
      </w:r>
      <w:proofErr w:type="spellStart"/>
      <w:r w:rsidRPr="007D5283">
        <w:rPr>
          <w:rFonts w:ascii="Times New Roman" w:hAnsi="Times New Roman" w:cs="Arial"/>
          <w:i/>
          <w:iCs/>
          <w:color w:val="323233"/>
          <w:lang w:val="de-DE"/>
        </w:rPr>
        <w:t>notārs</w:t>
      </w:r>
      <w:proofErr w:type="spellEnd"/>
      <w:r w:rsidRPr="007D5283">
        <w:rPr>
          <w:rFonts w:ascii="Times New Roman" w:hAnsi="Times New Roman" w:cs="Arial"/>
          <w:i/>
          <w:iCs/>
          <w:color w:val="323233"/>
          <w:lang w:val="de-DE"/>
        </w:rPr>
        <w:t xml:space="preserve"> </w:t>
      </w:r>
      <w:proofErr w:type="spellStart"/>
      <w:r w:rsidRPr="007D5283">
        <w:rPr>
          <w:rFonts w:ascii="Times New Roman" w:hAnsi="Times New Roman" w:cs="Arial"/>
          <w:i/>
          <w:iCs/>
          <w:color w:val="323233"/>
          <w:lang w:val="de-DE"/>
        </w:rPr>
        <w:t>pārbauda</w:t>
      </w:r>
      <w:proofErr w:type="spellEnd"/>
      <w:r w:rsidRPr="007D5283">
        <w:rPr>
          <w:rFonts w:ascii="Times New Roman" w:hAnsi="Times New Roman" w:cs="Arial"/>
          <w:i/>
          <w:iCs/>
          <w:color w:val="323233"/>
          <w:lang w:val="de-DE"/>
        </w:rPr>
        <w:t xml:space="preserve"> </w:t>
      </w:r>
      <w:proofErr w:type="spellStart"/>
      <w:r w:rsidRPr="007D5283">
        <w:rPr>
          <w:rFonts w:ascii="Times New Roman" w:hAnsi="Times New Roman" w:cs="Arial"/>
          <w:i/>
          <w:iCs/>
          <w:color w:val="323233"/>
          <w:lang w:val="de-DE"/>
        </w:rPr>
        <w:t>pēc</w:t>
      </w:r>
      <w:proofErr w:type="spellEnd"/>
      <w:r w:rsidRPr="007D5283">
        <w:rPr>
          <w:rFonts w:ascii="Times New Roman" w:hAnsi="Times New Roman" w:cs="Arial"/>
          <w:i/>
          <w:iCs/>
          <w:color w:val="323233"/>
          <w:lang w:val="de-DE"/>
        </w:rPr>
        <w:t xml:space="preserve"> </w:t>
      </w:r>
      <w:proofErr w:type="spellStart"/>
      <w:r w:rsidRPr="007D5283">
        <w:rPr>
          <w:rFonts w:ascii="Times New Roman" w:hAnsi="Times New Roman" w:cs="Arial"/>
          <w:i/>
          <w:iCs/>
          <w:color w:val="323233"/>
          <w:lang w:val="de-DE"/>
        </w:rPr>
        <w:t>viņam</w:t>
      </w:r>
      <w:proofErr w:type="spellEnd"/>
      <w:r w:rsidRPr="007D5283">
        <w:rPr>
          <w:rFonts w:ascii="Times New Roman" w:hAnsi="Times New Roman" w:cs="Arial"/>
          <w:i/>
          <w:iCs/>
          <w:color w:val="323233"/>
          <w:lang w:val="de-DE"/>
        </w:rPr>
        <w:t xml:space="preserve"> </w:t>
      </w:r>
      <w:proofErr w:type="spellStart"/>
      <w:r w:rsidRPr="007D5283">
        <w:rPr>
          <w:rFonts w:ascii="Times New Roman" w:hAnsi="Times New Roman" w:cs="Arial"/>
          <w:i/>
          <w:iCs/>
          <w:color w:val="323233"/>
          <w:lang w:val="de-DE"/>
        </w:rPr>
        <w:t>iesniegtajiem</w:t>
      </w:r>
      <w:proofErr w:type="spellEnd"/>
      <w:r w:rsidRPr="007D5283">
        <w:rPr>
          <w:rFonts w:ascii="Times New Roman" w:hAnsi="Times New Roman" w:cs="Arial"/>
          <w:i/>
          <w:iCs/>
          <w:color w:val="323233"/>
          <w:lang w:val="de-DE"/>
        </w:rPr>
        <w:t xml:space="preserve"> </w:t>
      </w:r>
      <w:proofErr w:type="spellStart"/>
      <w:r w:rsidRPr="007D5283">
        <w:rPr>
          <w:rFonts w:ascii="Times New Roman" w:hAnsi="Times New Roman" w:cs="Arial"/>
          <w:i/>
          <w:iCs/>
          <w:color w:val="323233"/>
          <w:u w:val="single"/>
          <w:lang w:val="de-DE"/>
        </w:rPr>
        <w:t>publiskiem</w:t>
      </w:r>
      <w:proofErr w:type="spellEnd"/>
      <w:r w:rsidRPr="007D5283">
        <w:rPr>
          <w:rFonts w:ascii="Times New Roman" w:hAnsi="Times New Roman" w:cs="Arial"/>
          <w:i/>
          <w:iCs/>
          <w:color w:val="323233"/>
          <w:u w:val="single"/>
          <w:lang w:val="de-DE"/>
        </w:rPr>
        <w:t xml:space="preserve"> </w:t>
      </w:r>
      <w:proofErr w:type="spellStart"/>
      <w:r w:rsidRPr="007D5283">
        <w:rPr>
          <w:rFonts w:ascii="Times New Roman" w:hAnsi="Times New Roman" w:cs="Arial"/>
          <w:i/>
          <w:iCs/>
          <w:color w:val="323233"/>
          <w:u w:val="single"/>
          <w:lang w:val="de-DE"/>
        </w:rPr>
        <w:t>dokumentiem</w:t>
      </w:r>
      <w:proofErr w:type="spellEnd"/>
      <w:r w:rsidRPr="007D5283">
        <w:rPr>
          <w:rFonts w:ascii="Times New Roman" w:hAnsi="Times New Roman" w:cs="Arial"/>
          <w:i/>
          <w:iCs/>
          <w:color w:val="323233"/>
          <w:lang w:val="de-DE"/>
        </w:rPr>
        <w:t xml:space="preserve"> </w:t>
      </w:r>
      <w:proofErr w:type="spellStart"/>
      <w:r w:rsidRPr="007D5283">
        <w:rPr>
          <w:rFonts w:ascii="Times New Roman" w:hAnsi="Times New Roman" w:cs="Arial"/>
          <w:b/>
          <w:bCs/>
          <w:i/>
          <w:iCs/>
          <w:color w:val="323233"/>
          <w:lang w:val="de-DE"/>
        </w:rPr>
        <w:t>vai</w:t>
      </w:r>
      <w:proofErr w:type="spellEnd"/>
      <w:r w:rsidRPr="007D5283">
        <w:rPr>
          <w:rFonts w:ascii="Times New Roman" w:hAnsi="Times New Roman" w:cs="Arial"/>
          <w:i/>
          <w:iCs/>
          <w:color w:val="323233"/>
          <w:lang w:val="de-DE"/>
        </w:rPr>
        <w:t xml:space="preserve"> </w:t>
      </w:r>
      <w:proofErr w:type="spellStart"/>
      <w:r w:rsidRPr="007D5283">
        <w:rPr>
          <w:rFonts w:ascii="Times New Roman" w:hAnsi="Times New Roman" w:cs="Arial"/>
          <w:i/>
          <w:iCs/>
          <w:color w:val="323233"/>
          <w:u w:val="single"/>
          <w:lang w:val="de-DE"/>
        </w:rPr>
        <w:t>ierakstiem</w:t>
      </w:r>
      <w:proofErr w:type="spellEnd"/>
      <w:r w:rsidRPr="007D5283">
        <w:rPr>
          <w:rFonts w:ascii="Times New Roman" w:hAnsi="Times New Roman" w:cs="Arial"/>
          <w:i/>
          <w:iCs/>
          <w:color w:val="323233"/>
          <w:u w:val="single"/>
          <w:lang w:val="de-DE"/>
        </w:rPr>
        <w:t xml:space="preserve"> </w:t>
      </w:r>
      <w:proofErr w:type="spellStart"/>
      <w:r w:rsidRPr="007D5283">
        <w:rPr>
          <w:rFonts w:ascii="Times New Roman" w:hAnsi="Times New Roman" w:cs="Arial"/>
          <w:i/>
          <w:iCs/>
          <w:color w:val="323233"/>
          <w:u w:val="single"/>
          <w:lang w:val="de-DE"/>
        </w:rPr>
        <w:t>Komercreģistrā</w:t>
      </w:r>
      <w:proofErr w:type="spellEnd"/>
      <w:r w:rsidRPr="007D5283">
        <w:rPr>
          <w:rFonts w:ascii="Times New Roman" w:hAnsi="Times New Roman" w:cs="Arial"/>
          <w:i/>
          <w:iCs/>
          <w:color w:val="323233"/>
          <w:u w:val="single"/>
          <w:lang w:val="de-DE"/>
        </w:rPr>
        <w:t xml:space="preserve"> </w:t>
      </w:r>
      <w:proofErr w:type="spellStart"/>
      <w:r w:rsidRPr="007D5283">
        <w:rPr>
          <w:rFonts w:ascii="Times New Roman" w:hAnsi="Times New Roman" w:cs="Arial"/>
          <w:i/>
          <w:iCs/>
          <w:color w:val="323233"/>
          <w:u w:val="single"/>
          <w:lang w:val="de-DE"/>
        </w:rPr>
        <w:t>vai</w:t>
      </w:r>
      <w:proofErr w:type="spellEnd"/>
      <w:r w:rsidRPr="007D5283">
        <w:rPr>
          <w:rFonts w:ascii="Times New Roman" w:hAnsi="Times New Roman" w:cs="Arial"/>
          <w:i/>
          <w:iCs/>
          <w:color w:val="323233"/>
          <w:u w:val="single"/>
          <w:lang w:val="de-DE"/>
        </w:rPr>
        <w:t xml:space="preserve"> </w:t>
      </w:r>
      <w:proofErr w:type="spellStart"/>
      <w:r w:rsidRPr="007D5283">
        <w:rPr>
          <w:rFonts w:ascii="Times New Roman" w:hAnsi="Times New Roman" w:cs="Arial"/>
          <w:i/>
          <w:iCs/>
          <w:color w:val="323233"/>
          <w:u w:val="single"/>
          <w:lang w:val="de-DE"/>
        </w:rPr>
        <w:t>citos</w:t>
      </w:r>
      <w:proofErr w:type="spellEnd"/>
      <w:r w:rsidRPr="007D5283">
        <w:rPr>
          <w:rFonts w:ascii="Times New Roman" w:hAnsi="Times New Roman" w:cs="Arial"/>
          <w:i/>
          <w:iCs/>
          <w:color w:val="323233"/>
          <w:u w:val="single"/>
          <w:lang w:val="de-DE"/>
        </w:rPr>
        <w:t xml:space="preserve"> </w:t>
      </w:r>
      <w:proofErr w:type="spellStart"/>
      <w:r w:rsidRPr="007D5283">
        <w:rPr>
          <w:rFonts w:ascii="Times New Roman" w:hAnsi="Times New Roman" w:cs="Arial"/>
          <w:i/>
          <w:iCs/>
          <w:color w:val="323233"/>
          <w:u w:val="single"/>
          <w:lang w:val="de-DE"/>
        </w:rPr>
        <w:t>publiskos</w:t>
      </w:r>
      <w:proofErr w:type="spellEnd"/>
      <w:r w:rsidRPr="007D5283">
        <w:rPr>
          <w:rFonts w:ascii="Times New Roman" w:hAnsi="Times New Roman" w:cs="Arial"/>
          <w:i/>
          <w:iCs/>
          <w:color w:val="323233"/>
          <w:u w:val="single"/>
          <w:lang w:val="de-DE"/>
        </w:rPr>
        <w:t xml:space="preserve"> </w:t>
      </w:r>
      <w:proofErr w:type="spellStart"/>
      <w:r w:rsidRPr="007D5283">
        <w:rPr>
          <w:rFonts w:ascii="Times New Roman" w:hAnsi="Times New Roman" w:cs="Arial"/>
          <w:i/>
          <w:iCs/>
          <w:color w:val="323233"/>
          <w:u w:val="single"/>
          <w:lang w:val="de-DE"/>
        </w:rPr>
        <w:t>reģistros</w:t>
      </w:r>
      <w:proofErr w:type="spellEnd"/>
      <w:r w:rsidRPr="007D5283">
        <w:rPr>
          <w:rFonts w:ascii="Times New Roman" w:hAnsi="Times New Roman" w:cs="Arial"/>
          <w:i/>
          <w:iCs/>
          <w:color w:val="323233"/>
          <w:u w:val="single"/>
          <w:lang w:val="de-DE"/>
        </w:rPr>
        <w:t>.</w:t>
      </w:r>
    </w:p>
    <w:p w14:paraId="0865BEC0" w14:textId="77777777" w:rsidR="00114953" w:rsidRPr="00970B26" w:rsidRDefault="00114953" w:rsidP="00114953">
      <w:pPr>
        <w:widowControl w:val="0"/>
        <w:autoSpaceDE w:val="0"/>
        <w:autoSpaceDN w:val="0"/>
        <w:adjustRightInd w:val="0"/>
        <w:jc w:val="both"/>
        <w:rPr>
          <w:rFonts w:ascii="Times New Roman" w:hAnsi="Times New Roman" w:cs="Arial"/>
          <w:i/>
          <w:iCs/>
          <w:color w:val="323233"/>
        </w:rPr>
      </w:pPr>
    </w:p>
    <w:p w14:paraId="42537A6E" w14:textId="77777777" w:rsidR="00114953" w:rsidRDefault="00114953" w:rsidP="00114953">
      <w:pPr>
        <w:widowControl w:val="0"/>
        <w:autoSpaceDE w:val="0"/>
        <w:autoSpaceDN w:val="0"/>
        <w:adjustRightInd w:val="0"/>
        <w:jc w:val="both"/>
        <w:rPr>
          <w:rFonts w:ascii="Times New Roman" w:hAnsi="Times New Roman" w:cs="Arial"/>
          <w:i/>
          <w:iCs/>
          <w:color w:val="323233"/>
          <w:lang w:val="de-DE"/>
        </w:rPr>
      </w:pPr>
      <w:r>
        <w:rPr>
          <w:rFonts w:ascii="Times New Roman" w:hAnsi="Times New Roman" w:cs="Arial"/>
          <w:i/>
          <w:iCs/>
          <w:color w:val="323233"/>
        </w:rPr>
        <w:t xml:space="preserve">(3) </w:t>
      </w:r>
      <w:proofErr w:type="spellStart"/>
      <w:r w:rsidRPr="00970B26">
        <w:rPr>
          <w:rFonts w:ascii="Times New Roman" w:hAnsi="Times New Roman" w:cs="Arial"/>
          <w:i/>
          <w:iCs/>
          <w:color w:val="323233"/>
        </w:rPr>
        <w:t>Ja</w:t>
      </w:r>
      <w:proofErr w:type="spellEnd"/>
      <w:r w:rsidRPr="00970B26">
        <w:rPr>
          <w:rFonts w:ascii="Times New Roman" w:hAnsi="Times New Roman" w:cs="Arial"/>
          <w:i/>
          <w:iCs/>
          <w:color w:val="323233"/>
        </w:rPr>
        <w:t xml:space="preserve"> </w:t>
      </w:r>
      <w:proofErr w:type="spellStart"/>
      <w:r w:rsidRPr="00970B26">
        <w:rPr>
          <w:rFonts w:ascii="Times New Roman" w:hAnsi="Times New Roman" w:cs="Arial"/>
          <w:i/>
          <w:iCs/>
          <w:color w:val="323233"/>
        </w:rPr>
        <w:t>pārstāvības</w:t>
      </w:r>
      <w:proofErr w:type="spellEnd"/>
      <w:r w:rsidRPr="00970B26">
        <w:rPr>
          <w:rFonts w:ascii="Times New Roman" w:hAnsi="Times New Roman" w:cs="Arial"/>
          <w:i/>
          <w:iCs/>
          <w:color w:val="323233"/>
        </w:rPr>
        <w:t xml:space="preserve"> </w:t>
      </w:r>
      <w:proofErr w:type="spellStart"/>
      <w:r w:rsidRPr="00970B26">
        <w:rPr>
          <w:rFonts w:ascii="Times New Roman" w:hAnsi="Times New Roman" w:cs="Arial"/>
          <w:i/>
          <w:iCs/>
          <w:color w:val="323233"/>
        </w:rPr>
        <w:t>tiesības</w:t>
      </w:r>
      <w:proofErr w:type="spellEnd"/>
      <w:r w:rsidRPr="00970B26">
        <w:rPr>
          <w:rFonts w:ascii="Times New Roman" w:hAnsi="Times New Roman" w:cs="Arial"/>
          <w:i/>
          <w:iCs/>
          <w:color w:val="323233"/>
        </w:rPr>
        <w:t xml:space="preserve"> </w:t>
      </w:r>
      <w:proofErr w:type="spellStart"/>
      <w:r w:rsidRPr="00970B26">
        <w:rPr>
          <w:rFonts w:ascii="Times New Roman" w:hAnsi="Times New Roman" w:cs="Arial"/>
          <w:i/>
          <w:iCs/>
          <w:color w:val="323233"/>
        </w:rPr>
        <w:t>izriet</w:t>
      </w:r>
      <w:proofErr w:type="spellEnd"/>
      <w:r w:rsidRPr="00970B26">
        <w:rPr>
          <w:rFonts w:ascii="Times New Roman" w:hAnsi="Times New Roman" w:cs="Arial"/>
          <w:i/>
          <w:iCs/>
          <w:color w:val="323233"/>
        </w:rPr>
        <w:t xml:space="preserve"> no </w:t>
      </w:r>
      <w:proofErr w:type="spellStart"/>
      <w:r w:rsidRPr="00ED7E55">
        <w:rPr>
          <w:rFonts w:ascii="Times New Roman" w:hAnsi="Times New Roman" w:cs="Arial"/>
          <w:b/>
          <w:bCs/>
          <w:i/>
          <w:iCs/>
          <w:color w:val="323233"/>
        </w:rPr>
        <w:t>ieraksta</w:t>
      </w:r>
      <w:proofErr w:type="spellEnd"/>
      <w:r w:rsidRPr="00970B26">
        <w:rPr>
          <w:rFonts w:ascii="Times New Roman" w:hAnsi="Times New Roman" w:cs="Arial"/>
          <w:i/>
          <w:iCs/>
          <w:color w:val="323233"/>
        </w:rPr>
        <w:t xml:space="preserve"> </w:t>
      </w:r>
      <w:proofErr w:type="spellStart"/>
      <w:r w:rsidRPr="00970B26">
        <w:rPr>
          <w:rFonts w:ascii="Times New Roman" w:hAnsi="Times New Roman" w:cs="Arial"/>
          <w:i/>
          <w:iCs/>
          <w:color w:val="323233"/>
        </w:rPr>
        <w:t>Komercreģistrā</w:t>
      </w:r>
      <w:proofErr w:type="spellEnd"/>
      <w:r w:rsidRPr="00970B26">
        <w:rPr>
          <w:rFonts w:ascii="Times New Roman" w:hAnsi="Times New Roman" w:cs="Arial"/>
          <w:i/>
          <w:iCs/>
          <w:color w:val="323233"/>
        </w:rPr>
        <w:t xml:space="preserve"> </w:t>
      </w:r>
      <w:proofErr w:type="spellStart"/>
      <w:r w:rsidRPr="00970B26">
        <w:rPr>
          <w:rFonts w:ascii="Times New Roman" w:hAnsi="Times New Roman" w:cs="Arial"/>
          <w:i/>
          <w:iCs/>
          <w:color w:val="323233"/>
        </w:rPr>
        <w:t>vai</w:t>
      </w:r>
      <w:proofErr w:type="spellEnd"/>
      <w:r w:rsidRPr="00970B26">
        <w:rPr>
          <w:rFonts w:ascii="Times New Roman" w:hAnsi="Times New Roman" w:cs="Arial"/>
          <w:i/>
          <w:iCs/>
          <w:color w:val="323233"/>
        </w:rPr>
        <w:t xml:space="preserve"> </w:t>
      </w:r>
      <w:proofErr w:type="spellStart"/>
      <w:r w:rsidRPr="00970B26">
        <w:rPr>
          <w:rFonts w:ascii="Times New Roman" w:hAnsi="Times New Roman" w:cs="Arial"/>
          <w:i/>
          <w:iCs/>
          <w:color w:val="323233"/>
        </w:rPr>
        <w:t>citā</w:t>
      </w:r>
      <w:proofErr w:type="spellEnd"/>
      <w:r w:rsidRPr="00970B26">
        <w:rPr>
          <w:rFonts w:ascii="Times New Roman" w:hAnsi="Times New Roman" w:cs="Arial"/>
          <w:i/>
          <w:iCs/>
          <w:color w:val="323233"/>
        </w:rPr>
        <w:t xml:space="preserve"> </w:t>
      </w:r>
      <w:proofErr w:type="spellStart"/>
      <w:r w:rsidRPr="00970B26">
        <w:rPr>
          <w:rFonts w:ascii="Times New Roman" w:hAnsi="Times New Roman" w:cs="Arial"/>
          <w:i/>
          <w:iCs/>
          <w:color w:val="323233"/>
        </w:rPr>
        <w:t>publiskā</w:t>
      </w:r>
      <w:proofErr w:type="spellEnd"/>
      <w:r w:rsidRPr="00970B26">
        <w:rPr>
          <w:rFonts w:ascii="Times New Roman" w:hAnsi="Times New Roman" w:cs="Arial"/>
          <w:i/>
          <w:iCs/>
          <w:color w:val="323233"/>
        </w:rPr>
        <w:t xml:space="preserve"> </w:t>
      </w:r>
      <w:proofErr w:type="spellStart"/>
      <w:r w:rsidRPr="00970B26">
        <w:rPr>
          <w:rFonts w:ascii="Times New Roman" w:hAnsi="Times New Roman" w:cs="Arial"/>
          <w:i/>
          <w:iCs/>
          <w:color w:val="323233"/>
        </w:rPr>
        <w:t>reģistrā</w:t>
      </w:r>
      <w:proofErr w:type="spellEnd"/>
      <w:r w:rsidRPr="00970B26">
        <w:rPr>
          <w:rFonts w:ascii="Times New Roman" w:hAnsi="Times New Roman" w:cs="Arial"/>
          <w:i/>
          <w:iCs/>
          <w:color w:val="323233"/>
        </w:rPr>
        <w:t xml:space="preserve">, </w:t>
      </w:r>
      <w:proofErr w:type="spellStart"/>
      <w:r w:rsidRPr="00970B26">
        <w:rPr>
          <w:rFonts w:ascii="Times New Roman" w:hAnsi="Times New Roman" w:cs="Arial"/>
          <w:i/>
          <w:iCs/>
          <w:color w:val="323233"/>
        </w:rPr>
        <w:t>zvērināts</w:t>
      </w:r>
      <w:proofErr w:type="spellEnd"/>
      <w:r w:rsidRPr="00970B26">
        <w:rPr>
          <w:rFonts w:ascii="Times New Roman" w:hAnsi="Times New Roman" w:cs="Arial"/>
          <w:i/>
          <w:iCs/>
          <w:color w:val="323233"/>
        </w:rPr>
        <w:t xml:space="preserve"> </w:t>
      </w:r>
      <w:proofErr w:type="spellStart"/>
      <w:r w:rsidRPr="00970B26">
        <w:rPr>
          <w:rFonts w:ascii="Times New Roman" w:hAnsi="Times New Roman" w:cs="Arial"/>
          <w:i/>
          <w:iCs/>
          <w:color w:val="323233"/>
        </w:rPr>
        <w:t>notārs</w:t>
      </w:r>
      <w:proofErr w:type="spellEnd"/>
      <w:r w:rsidRPr="00970B26">
        <w:rPr>
          <w:rFonts w:ascii="Times New Roman" w:hAnsi="Times New Roman" w:cs="Arial"/>
          <w:i/>
          <w:iCs/>
          <w:color w:val="323233"/>
        </w:rPr>
        <w:t xml:space="preserve"> </w:t>
      </w:r>
      <w:proofErr w:type="spellStart"/>
      <w:r w:rsidRPr="00970B26">
        <w:rPr>
          <w:rFonts w:ascii="Times New Roman" w:hAnsi="Times New Roman" w:cs="Arial"/>
          <w:i/>
          <w:iCs/>
          <w:color w:val="323233"/>
        </w:rPr>
        <w:t>tās</w:t>
      </w:r>
      <w:proofErr w:type="spellEnd"/>
      <w:r w:rsidRPr="00970B26">
        <w:rPr>
          <w:rFonts w:ascii="Times New Roman" w:hAnsi="Times New Roman" w:cs="Arial"/>
          <w:i/>
          <w:iCs/>
          <w:color w:val="323233"/>
        </w:rPr>
        <w:t xml:space="preserve"> </w:t>
      </w:r>
      <w:proofErr w:type="spellStart"/>
      <w:r w:rsidRPr="00970B26">
        <w:rPr>
          <w:rFonts w:ascii="Times New Roman" w:hAnsi="Times New Roman" w:cs="Arial"/>
          <w:i/>
          <w:iCs/>
          <w:color w:val="323233"/>
        </w:rPr>
        <w:t>pārbauda</w:t>
      </w:r>
      <w:proofErr w:type="spellEnd"/>
      <w:r w:rsidRPr="00970B26">
        <w:rPr>
          <w:rFonts w:ascii="Times New Roman" w:hAnsi="Times New Roman" w:cs="Arial"/>
          <w:i/>
          <w:iCs/>
          <w:color w:val="323233"/>
        </w:rPr>
        <w:t xml:space="preserve">, </w:t>
      </w:r>
      <w:proofErr w:type="spellStart"/>
      <w:r w:rsidRPr="00970B26">
        <w:rPr>
          <w:rFonts w:ascii="Times New Roman" w:hAnsi="Times New Roman" w:cs="Arial"/>
          <w:i/>
          <w:iCs/>
          <w:color w:val="323233"/>
        </w:rPr>
        <w:t>salīdzinot</w:t>
      </w:r>
      <w:proofErr w:type="spellEnd"/>
      <w:r w:rsidRPr="00970B26">
        <w:rPr>
          <w:rFonts w:ascii="Times New Roman" w:hAnsi="Times New Roman" w:cs="Arial"/>
          <w:i/>
          <w:iCs/>
          <w:color w:val="323233"/>
        </w:rPr>
        <w:t xml:space="preserve"> </w:t>
      </w:r>
      <w:proofErr w:type="spellStart"/>
      <w:r w:rsidRPr="00970B26">
        <w:rPr>
          <w:rFonts w:ascii="Times New Roman" w:hAnsi="Times New Roman" w:cs="Arial"/>
          <w:i/>
          <w:iCs/>
          <w:color w:val="323233"/>
        </w:rPr>
        <w:t>ar</w:t>
      </w:r>
      <w:proofErr w:type="spellEnd"/>
      <w:r w:rsidRPr="00970B26">
        <w:rPr>
          <w:rFonts w:ascii="Times New Roman" w:hAnsi="Times New Roman" w:cs="Arial"/>
          <w:i/>
          <w:iCs/>
          <w:color w:val="323233"/>
        </w:rPr>
        <w:t xml:space="preserve"> </w:t>
      </w:r>
      <w:proofErr w:type="spellStart"/>
      <w:r w:rsidRPr="00970B26">
        <w:rPr>
          <w:rFonts w:ascii="Times New Roman" w:hAnsi="Times New Roman" w:cs="Arial"/>
          <w:i/>
          <w:iCs/>
          <w:color w:val="323233"/>
        </w:rPr>
        <w:t>ziņām</w:t>
      </w:r>
      <w:proofErr w:type="spellEnd"/>
      <w:r w:rsidRPr="00970B26">
        <w:rPr>
          <w:rFonts w:ascii="Times New Roman" w:hAnsi="Times New Roman" w:cs="Arial"/>
          <w:i/>
          <w:iCs/>
          <w:color w:val="323233"/>
        </w:rPr>
        <w:t xml:space="preserve"> </w:t>
      </w:r>
      <w:proofErr w:type="spellStart"/>
      <w:r w:rsidRPr="00970B26">
        <w:rPr>
          <w:rFonts w:ascii="Times New Roman" w:hAnsi="Times New Roman" w:cs="Arial"/>
          <w:i/>
          <w:iCs/>
          <w:color w:val="323233"/>
        </w:rPr>
        <w:t>reģistrā</w:t>
      </w:r>
      <w:proofErr w:type="spellEnd"/>
      <w:r w:rsidRPr="00970B26">
        <w:rPr>
          <w:rFonts w:ascii="Times New Roman" w:hAnsi="Times New Roman" w:cs="Arial"/>
          <w:i/>
          <w:iCs/>
          <w:color w:val="323233"/>
        </w:rPr>
        <w:t xml:space="preserve"> ne </w:t>
      </w:r>
      <w:proofErr w:type="spellStart"/>
      <w:r w:rsidRPr="00970B26">
        <w:rPr>
          <w:rFonts w:ascii="Times New Roman" w:hAnsi="Times New Roman" w:cs="Arial"/>
          <w:i/>
          <w:iCs/>
          <w:color w:val="323233"/>
        </w:rPr>
        <w:t>agrāk</w:t>
      </w:r>
      <w:proofErr w:type="spellEnd"/>
      <w:r w:rsidRPr="00970B26">
        <w:rPr>
          <w:rFonts w:ascii="Times New Roman" w:hAnsi="Times New Roman" w:cs="Arial"/>
          <w:i/>
          <w:iCs/>
          <w:color w:val="323233"/>
        </w:rPr>
        <w:t xml:space="preserve"> </w:t>
      </w:r>
      <w:proofErr w:type="spellStart"/>
      <w:r w:rsidRPr="00970B26">
        <w:rPr>
          <w:rFonts w:ascii="Times New Roman" w:hAnsi="Times New Roman" w:cs="Arial"/>
          <w:i/>
          <w:iCs/>
          <w:color w:val="323233"/>
        </w:rPr>
        <w:t>kā</w:t>
      </w:r>
      <w:proofErr w:type="spellEnd"/>
      <w:r w:rsidRPr="00970B26">
        <w:rPr>
          <w:rFonts w:ascii="Times New Roman" w:hAnsi="Times New Roman" w:cs="Arial"/>
          <w:i/>
          <w:iCs/>
          <w:color w:val="323233"/>
        </w:rPr>
        <w:t xml:space="preserve"> 15 </w:t>
      </w:r>
      <w:proofErr w:type="spellStart"/>
      <w:r w:rsidRPr="00970B26">
        <w:rPr>
          <w:rFonts w:ascii="Times New Roman" w:hAnsi="Times New Roman" w:cs="Arial"/>
          <w:i/>
          <w:iCs/>
          <w:color w:val="323233"/>
        </w:rPr>
        <w:t>dienas</w:t>
      </w:r>
      <w:proofErr w:type="spellEnd"/>
      <w:r w:rsidRPr="00970B26">
        <w:rPr>
          <w:rFonts w:ascii="Times New Roman" w:hAnsi="Times New Roman" w:cs="Arial"/>
          <w:i/>
          <w:iCs/>
          <w:color w:val="323233"/>
        </w:rPr>
        <w:t xml:space="preserve"> </w:t>
      </w:r>
      <w:proofErr w:type="spellStart"/>
      <w:r w:rsidRPr="00970B26">
        <w:rPr>
          <w:rFonts w:ascii="Times New Roman" w:hAnsi="Times New Roman" w:cs="Arial"/>
          <w:i/>
          <w:iCs/>
          <w:color w:val="323233"/>
        </w:rPr>
        <w:t>pirms</w:t>
      </w:r>
      <w:proofErr w:type="spellEnd"/>
      <w:r w:rsidRPr="00970B26">
        <w:rPr>
          <w:rFonts w:ascii="Times New Roman" w:hAnsi="Times New Roman" w:cs="Arial"/>
          <w:i/>
          <w:iCs/>
          <w:color w:val="323233"/>
        </w:rPr>
        <w:t xml:space="preserve"> </w:t>
      </w:r>
      <w:proofErr w:type="spellStart"/>
      <w:r w:rsidRPr="00970B26">
        <w:rPr>
          <w:rFonts w:ascii="Times New Roman" w:hAnsi="Times New Roman" w:cs="Arial"/>
          <w:i/>
          <w:iCs/>
          <w:color w:val="323233"/>
        </w:rPr>
        <w:t>notariālā</w:t>
      </w:r>
      <w:proofErr w:type="spellEnd"/>
      <w:r w:rsidRPr="00970B26">
        <w:rPr>
          <w:rFonts w:ascii="Times New Roman" w:hAnsi="Times New Roman" w:cs="Arial"/>
          <w:i/>
          <w:iCs/>
          <w:color w:val="323233"/>
        </w:rPr>
        <w:t xml:space="preserve"> </w:t>
      </w:r>
      <w:proofErr w:type="spellStart"/>
      <w:r w:rsidRPr="00970B26">
        <w:rPr>
          <w:rFonts w:ascii="Times New Roman" w:hAnsi="Times New Roman" w:cs="Arial"/>
          <w:i/>
          <w:iCs/>
          <w:color w:val="323233"/>
        </w:rPr>
        <w:t>akta</w:t>
      </w:r>
      <w:proofErr w:type="spellEnd"/>
      <w:r w:rsidRPr="00970B26">
        <w:rPr>
          <w:rFonts w:ascii="Times New Roman" w:hAnsi="Times New Roman" w:cs="Arial"/>
          <w:i/>
          <w:iCs/>
          <w:color w:val="323233"/>
        </w:rPr>
        <w:t xml:space="preserve"> </w:t>
      </w:r>
      <w:proofErr w:type="spellStart"/>
      <w:r w:rsidRPr="00970B26">
        <w:rPr>
          <w:rFonts w:ascii="Times New Roman" w:hAnsi="Times New Roman" w:cs="Arial"/>
          <w:i/>
          <w:iCs/>
          <w:color w:val="323233"/>
        </w:rPr>
        <w:t>taisīšanas</w:t>
      </w:r>
      <w:proofErr w:type="spellEnd"/>
      <w:r w:rsidRPr="00970B26">
        <w:rPr>
          <w:rFonts w:ascii="Times New Roman" w:hAnsi="Times New Roman" w:cs="Arial"/>
          <w:i/>
          <w:iCs/>
          <w:color w:val="323233"/>
        </w:rPr>
        <w:t xml:space="preserve"> </w:t>
      </w:r>
      <w:proofErr w:type="spellStart"/>
      <w:r w:rsidRPr="00970B26">
        <w:rPr>
          <w:rFonts w:ascii="Times New Roman" w:hAnsi="Times New Roman" w:cs="Arial"/>
          <w:i/>
          <w:iCs/>
          <w:color w:val="323233"/>
        </w:rPr>
        <w:t>vai</w:t>
      </w:r>
      <w:proofErr w:type="spellEnd"/>
      <w:r w:rsidRPr="00970B26">
        <w:rPr>
          <w:rFonts w:ascii="Times New Roman" w:hAnsi="Times New Roman" w:cs="Arial"/>
          <w:i/>
          <w:iCs/>
          <w:color w:val="323233"/>
        </w:rPr>
        <w:t xml:space="preserve"> </w:t>
      </w:r>
      <w:proofErr w:type="spellStart"/>
      <w:r w:rsidRPr="00970B26">
        <w:rPr>
          <w:rFonts w:ascii="Times New Roman" w:hAnsi="Times New Roman" w:cs="Arial"/>
          <w:i/>
          <w:iCs/>
          <w:color w:val="323233"/>
        </w:rPr>
        <w:t>arī</w:t>
      </w:r>
      <w:proofErr w:type="spellEnd"/>
      <w:r w:rsidRPr="00970B26">
        <w:rPr>
          <w:rFonts w:ascii="Times New Roman" w:hAnsi="Times New Roman" w:cs="Arial"/>
          <w:i/>
          <w:iCs/>
          <w:color w:val="323233"/>
        </w:rPr>
        <w:t xml:space="preserve"> </w:t>
      </w:r>
      <w:proofErr w:type="spellStart"/>
      <w:r w:rsidRPr="00ED7E55">
        <w:rPr>
          <w:rFonts w:ascii="Times New Roman" w:hAnsi="Times New Roman" w:cs="Arial"/>
          <w:b/>
          <w:bCs/>
          <w:i/>
          <w:iCs/>
          <w:color w:val="323233"/>
        </w:rPr>
        <w:t>reģistra</w:t>
      </w:r>
      <w:proofErr w:type="spellEnd"/>
      <w:r w:rsidRPr="00ED7E55">
        <w:rPr>
          <w:rFonts w:ascii="Times New Roman" w:hAnsi="Times New Roman" w:cs="Arial"/>
          <w:b/>
          <w:bCs/>
          <w:i/>
          <w:iCs/>
          <w:color w:val="323233"/>
        </w:rPr>
        <w:t xml:space="preserve"> </w:t>
      </w:r>
      <w:proofErr w:type="spellStart"/>
      <w:r w:rsidRPr="00ED7E55">
        <w:rPr>
          <w:rFonts w:ascii="Times New Roman" w:hAnsi="Times New Roman" w:cs="Arial"/>
          <w:b/>
          <w:bCs/>
          <w:i/>
          <w:iCs/>
          <w:color w:val="323233"/>
        </w:rPr>
        <w:t>izrakstā</w:t>
      </w:r>
      <w:proofErr w:type="spellEnd"/>
      <w:r w:rsidRPr="00970B26">
        <w:rPr>
          <w:rFonts w:ascii="Times New Roman" w:hAnsi="Times New Roman" w:cs="Arial"/>
          <w:i/>
          <w:iCs/>
          <w:color w:val="323233"/>
        </w:rPr>
        <w:t xml:space="preserve">, kuru ne </w:t>
      </w:r>
      <w:proofErr w:type="spellStart"/>
      <w:r w:rsidRPr="00970B26">
        <w:rPr>
          <w:rFonts w:ascii="Times New Roman" w:hAnsi="Times New Roman" w:cs="Arial"/>
          <w:i/>
          <w:iCs/>
          <w:color w:val="323233"/>
        </w:rPr>
        <w:t>agrāk</w:t>
      </w:r>
      <w:proofErr w:type="spellEnd"/>
      <w:r w:rsidRPr="00970B26">
        <w:rPr>
          <w:rFonts w:ascii="Times New Roman" w:hAnsi="Times New Roman" w:cs="Arial"/>
          <w:i/>
          <w:iCs/>
          <w:color w:val="323233"/>
        </w:rPr>
        <w:t xml:space="preserve"> </w:t>
      </w:r>
      <w:proofErr w:type="spellStart"/>
      <w:r w:rsidRPr="00970B26">
        <w:rPr>
          <w:rFonts w:ascii="Times New Roman" w:hAnsi="Times New Roman" w:cs="Arial"/>
          <w:i/>
          <w:iCs/>
          <w:color w:val="323233"/>
        </w:rPr>
        <w:t>kā</w:t>
      </w:r>
      <w:proofErr w:type="spellEnd"/>
      <w:r w:rsidRPr="00970B26">
        <w:rPr>
          <w:rFonts w:ascii="Times New Roman" w:hAnsi="Times New Roman" w:cs="Arial"/>
          <w:i/>
          <w:iCs/>
          <w:color w:val="323233"/>
        </w:rPr>
        <w:t xml:space="preserve"> 15 </w:t>
      </w:r>
      <w:proofErr w:type="spellStart"/>
      <w:r w:rsidRPr="00970B26">
        <w:rPr>
          <w:rFonts w:ascii="Times New Roman" w:hAnsi="Times New Roman" w:cs="Arial"/>
          <w:i/>
          <w:iCs/>
          <w:color w:val="323233"/>
        </w:rPr>
        <w:t>dienas</w:t>
      </w:r>
      <w:proofErr w:type="spellEnd"/>
      <w:r w:rsidRPr="00970B26">
        <w:rPr>
          <w:rFonts w:ascii="Times New Roman" w:hAnsi="Times New Roman" w:cs="Arial"/>
          <w:i/>
          <w:iCs/>
          <w:color w:val="323233"/>
        </w:rPr>
        <w:t xml:space="preserve"> </w:t>
      </w:r>
      <w:proofErr w:type="spellStart"/>
      <w:r w:rsidRPr="00970B26">
        <w:rPr>
          <w:rFonts w:ascii="Times New Roman" w:hAnsi="Times New Roman" w:cs="Arial"/>
          <w:i/>
          <w:iCs/>
          <w:color w:val="323233"/>
        </w:rPr>
        <w:t>pirms</w:t>
      </w:r>
      <w:proofErr w:type="spellEnd"/>
      <w:r w:rsidRPr="00970B26">
        <w:rPr>
          <w:rFonts w:ascii="Times New Roman" w:hAnsi="Times New Roman" w:cs="Arial"/>
          <w:i/>
          <w:iCs/>
          <w:color w:val="323233"/>
        </w:rPr>
        <w:t xml:space="preserve"> </w:t>
      </w:r>
      <w:proofErr w:type="spellStart"/>
      <w:r w:rsidRPr="00970B26">
        <w:rPr>
          <w:rFonts w:ascii="Times New Roman" w:hAnsi="Times New Roman" w:cs="Arial"/>
          <w:i/>
          <w:iCs/>
          <w:color w:val="323233"/>
        </w:rPr>
        <w:t>notariālā</w:t>
      </w:r>
      <w:proofErr w:type="spellEnd"/>
      <w:r w:rsidRPr="00970B26">
        <w:rPr>
          <w:rFonts w:ascii="Times New Roman" w:hAnsi="Times New Roman" w:cs="Arial"/>
          <w:i/>
          <w:iCs/>
          <w:color w:val="323233"/>
        </w:rPr>
        <w:t xml:space="preserve"> </w:t>
      </w:r>
      <w:proofErr w:type="spellStart"/>
      <w:r w:rsidRPr="00970B26">
        <w:rPr>
          <w:rFonts w:ascii="Times New Roman" w:hAnsi="Times New Roman" w:cs="Arial"/>
          <w:i/>
          <w:iCs/>
          <w:color w:val="323233"/>
        </w:rPr>
        <w:t>akta</w:t>
      </w:r>
      <w:proofErr w:type="spellEnd"/>
      <w:r w:rsidRPr="00970B26">
        <w:rPr>
          <w:rFonts w:ascii="Times New Roman" w:hAnsi="Times New Roman" w:cs="Arial"/>
          <w:i/>
          <w:iCs/>
          <w:color w:val="323233"/>
        </w:rPr>
        <w:t xml:space="preserve"> </w:t>
      </w:r>
      <w:proofErr w:type="spellStart"/>
      <w:r w:rsidRPr="00970B26">
        <w:rPr>
          <w:rFonts w:ascii="Times New Roman" w:hAnsi="Times New Roman" w:cs="Arial"/>
          <w:i/>
          <w:iCs/>
          <w:color w:val="323233"/>
        </w:rPr>
        <w:t>taisīšanas</w:t>
      </w:r>
      <w:proofErr w:type="spellEnd"/>
      <w:r w:rsidRPr="00970B26">
        <w:rPr>
          <w:rFonts w:ascii="Times New Roman" w:hAnsi="Times New Roman" w:cs="Arial"/>
          <w:i/>
          <w:iCs/>
          <w:color w:val="323233"/>
        </w:rPr>
        <w:t xml:space="preserve"> </w:t>
      </w:r>
      <w:proofErr w:type="spellStart"/>
      <w:r w:rsidRPr="00EE37C4">
        <w:rPr>
          <w:rFonts w:ascii="Times New Roman" w:hAnsi="Times New Roman" w:cs="Arial"/>
          <w:i/>
          <w:iCs/>
          <w:color w:val="323233"/>
          <w:u w:val="single"/>
        </w:rPr>
        <w:t>apliecinājusi</w:t>
      </w:r>
      <w:proofErr w:type="spellEnd"/>
      <w:r w:rsidRPr="00EE37C4">
        <w:rPr>
          <w:rFonts w:ascii="Times New Roman" w:hAnsi="Times New Roman" w:cs="Arial"/>
          <w:i/>
          <w:iCs/>
          <w:color w:val="323233"/>
          <w:u w:val="single"/>
        </w:rPr>
        <w:t xml:space="preserve"> </w:t>
      </w:r>
      <w:proofErr w:type="spellStart"/>
      <w:r w:rsidRPr="00EE37C4">
        <w:rPr>
          <w:rFonts w:ascii="Times New Roman" w:hAnsi="Times New Roman" w:cs="Arial"/>
          <w:i/>
          <w:iCs/>
          <w:color w:val="323233"/>
          <w:u w:val="single"/>
        </w:rPr>
        <w:t>attiecīgā</w:t>
      </w:r>
      <w:proofErr w:type="spellEnd"/>
      <w:r w:rsidRPr="00EE37C4">
        <w:rPr>
          <w:rFonts w:ascii="Times New Roman" w:hAnsi="Times New Roman" w:cs="Arial"/>
          <w:i/>
          <w:iCs/>
          <w:color w:val="323233"/>
          <w:u w:val="single"/>
        </w:rPr>
        <w:t xml:space="preserve"> </w:t>
      </w:r>
      <w:proofErr w:type="spellStart"/>
      <w:r w:rsidRPr="00EE37C4">
        <w:rPr>
          <w:rFonts w:ascii="Times New Roman" w:hAnsi="Times New Roman" w:cs="Arial"/>
          <w:i/>
          <w:iCs/>
          <w:color w:val="323233"/>
          <w:u w:val="single"/>
        </w:rPr>
        <w:t>reģistra</w:t>
      </w:r>
      <w:proofErr w:type="spellEnd"/>
      <w:r w:rsidRPr="00EE37C4">
        <w:rPr>
          <w:rFonts w:ascii="Times New Roman" w:hAnsi="Times New Roman" w:cs="Arial"/>
          <w:i/>
          <w:iCs/>
          <w:color w:val="323233"/>
          <w:u w:val="single"/>
        </w:rPr>
        <w:t xml:space="preserve"> </w:t>
      </w:r>
      <w:proofErr w:type="spellStart"/>
      <w:r w:rsidRPr="00EE37C4">
        <w:rPr>
          <w:rFonts w:ascii="Times New Roman" w:hAnsi="Times New Roman" w:cs="Arial"/>
          <w:i/>
          <w:iCs/>
          <w:color w:val="323233"/>
          <w:u w:val="single"/>
        </w:rPr>
        <w:t>iestāde</w:t>
      </w:r>
      <w:proofErr w:type="spellEnd"/>
      <w:r w:rsidRPr="00970B26">
        <w:rPr>
          <w:rFonts w:ascii="Times New Roman" w:hAnsi="Times New Roman" w:cs="Arial"/>
          <w:i/>
          <w:iCs/>
          <w:color w:val="323233"/>
        </w:rPr>
        <w:t xml:space="preserve">. </w:t>
      </w:r>
      <w:proofErr w:type="spellStart"/>
      <w:r w:rsidRPr="008452A8">
        <w:rPr>
          <w:rFonts w:ascii="Times New Roman" w:hAnsi="Times New Roman" w:cs="Arial"/>
          <w:i/>
          <w:iCs/>
          <w:color w:val="323233"/>
          <w:u w:val="single"/>
        </w:rPr>
        <w:t>Ārvalstu</w:t>
      </w:r>
      <w:proofErr w:type="spellEnd"/>
      <w:r w:rsidRPr="008452A8">
        <w:rPr>
          <w:rFonts w:ascii="Times New Roman" w:hAnsi="Times New Roman" w:cs="Arial"/>
          <w:i/>
          <w:iCs/>
          <w:color w:val="323233"/>
          <w:u w:val="single"/>
        </w:rPr>
        <w:t xml:space="preserve"> </w:t>
      </w:r>
      <w:proofErr w:type="spellStart"/>
      <w:r w:rsidRPr="008452A8">
        <w:rPr>
          <w:rFonts w:ascii="Times New Roman" w:hAnsi="Times New Roman" w:cs="Arial"/>
          <w:i/>
          <w:iCs/>
          <w:color w:val="323233"/>
          <w:u w:val="single"/>
        </w:rPr>
        <w:t>reģistriem</w:t>
      </w:r>
      <w:proofErr w:type="spellEnd"/>
      <w:r w:rsidRPr="00970B26">
        <w:rPr>
          <w:rFonts w:ascii="Times New Roman" w:hAnsi="Times New Roman" w:cs="Arial"/>
          <w:i/>
          <w:iCs/>
          <w:color w:val="323233"/>
        </w:rPr>
        <w:t xml:space="preserve"> </w:t>
      </w:r>
      <w:proofErr w:type="spellStart"/>
      <w:r w:rsidRPr="00970B26">
        <w:rPr>
          <w:rFonts w:ascii="Times New Roman" w:hAnsi="Times New Roman" w:cs="Arial"/>
          <w:i/>
          <w:iCs/>
          <w:color w:val="323233"/>
        </w:rPr>
        <w:t>piemērojams</w:t>
      </w:r>
      <w:proofErr w:type="spellEnd"/>
      <w:r w:rsidRPr="00970B26">
        <w:rPr>
          <w:rFonts w:ascii="Times New Roman" w:hAnsi="Times New Roman" w:cs="Arial"/>
          <w:i/>
          <w:iCs/>
          <w:color w:val="323233"/>
        </w:rPr>
        <w:t xml:space="preserve"> 30 </w:t>
      </w:r>
      <w:proofErr w:type="spellStart"/>
      <w:r w:rsidRPr="00970B26">
        <w:rPr>
          <w:rFonts w:ascii="Times New Roman" w:hAnsi="Times New Roman" w:cs="Arial"/>
          <w:i/>
          <w:iCs/>
          <w:color w:val="323233"/>
        </w:rPr>
        <w:t>dienu</w:t>
      </w:r>
      <w:proofErr w:type="spellEnd"/>
      <w:r w:rsidRPr="00970B26">
        <w:rPr>
          <w:rFonts w:ascii="Times New Roman" w:hAnsi="Times New Roman" w:cs="Arial"/>
          <w:i/>
          <w:iCs/>
          <w:color w:val="323233"/>
        </w:rPr>
        <w:t xml:space="preserve"> </w:t>
      </w:r>
      <w:proofErr w:type="spellStart"/>
      <w:r w:rsidRPr="00970B26">
        <w:rPr>
          <w:rFonts w:ascii="Times New Roman" w:hAnsi="Times New Roman" w:cs="Arial"/>
          <w:i/>
          <w:iCs/>
          <w:color w:val="323233"/>
        </w:rPr>
        <w:t>termiņš</w:t>
      </w:r>
      <w:proofErr w:type="spellEnd"/>
      <w:r w:rsidRPr="00970B26">
        <w:rPr>
          <w:rFonts w:ascii="Times New Roman" w:hAnsi="Times New Roman" w:cs="Arial"/>
          <w:i/>
          <w:iCs/>
          <w:color w:val="323233"/>
        </w:rPr>
        <w:t xml:space="preserve">. </w:t>
      </w:r>
      <w:proofErr w:type="spellStart"/>
      <w:r w:rsidRPr="00970B26">
        <w:rPr>
          <w:rFonts w:ascii="Times New Roman" w:hAnsi="Times New Roman" w:cs="Arial"/>
          <w:i/>
          <w:iCs/>
          <w:color w:val="323233"/>
        </w:rPr>
        <w:t>Zvērināts</w:t>
      </w:r>
      <w:proofErr w:type="spellEnd"/>
      <w:r w:rsidRPr="00970B26">
        <w:rPr>
          <w:rFonts w:ascii="Times New Roman" w:hAnsi="Times New Roman" w:cs="Arial"/>
          <w:i/>
          <w:iCs/>
          <w:color w:val="323233"/>
        </w:rPr>
        <w:t xml:space="preserve"> </w:t>
      </w:r>
      <w:proofErr w:type="spellStart"/>
      <w:r w:rsidRPr="00970B26">
        <w:rPr>
          <w:rFonts w:ascii="Times New Roman" w:hAnsi="Times New Roman" w:cs="Arial"/>
          <w:i/>
          <w:iCs/>
          <w:color w:val="323233"/>
        </w:rPr>
        <w:t>notārs</w:t>
      </w:r>
      <w:proofErr w:type="spellEnd"/>
      <w:r w:rsidRPr="00970B26">
        <w:rPr>
          <w:rFonts w:ascii="Times New Roman" w:hAnsi="Times New Roman" w:cs="Arial"/>
          <w:i/>
          <w:iCs/>
          <w:color w:val="323233"/>
        </w:rPr>
        <w:t xml:space="preserve"> </w:t>
      </w:r>
      <w:proofErr w:type="spellStart"/>
      <w:r w:rsidRPr="00970B26">
        <w:rPr>
          <w:rFonts w:ascii="Times New Roman" w:hAnsi="Times New Roman" w:cs="Arial"/>
          <w:i/>
          <w:iCs/>
          <w:color w:val="323233"/>
        </w:rPr>
        <w:t>aktā</w:t>
      </w:r>
      <w:proofErr w:type="spellEnd"/>
      <w:r w:rsidRPr="00970B26">
        <w:rPr>
          <w:rFonts w:ascii="Times New Roman" w:hAnsi="Times New Roman" w:cs="Arial"/>
          <w:i/>
          <w:iCs/>
          <w:color w:val="323233"/>
        </w:rPr>
        <w:t xml:space="preserve"> </w:t>
      </w:r>
      <w:proofErr w:type="spellStart"/>
      <w:r w:rsidRPr="00970B26">
        <w:rPr>
          <w:rFonts w:ascii="Times New Roman" w:hAnsi="Times New Roman" w:cs="Arial"/>
          <w:i/>
          <w:iCs/>
          <w:color w:val="323233"/>
        </w:rPr>
        <w:t>norāda</w:t>
      </w:r>
      <w:proofErr w:type="spellEnd"/>
      <w:r w:rsidRPr="00970B26">
        <w:rPr>
          <w:rFonts w:ascii="Times New Roman" w:hAnsi="Times New Roman" w:cs="Arial"/>
          <w:i/>
          <w:iCs/>
          <w:color w:val="323233"/>
        </w:rPr>
        <w:t xml:space="preserve"> </w:t>
      </w:r>
      <w:proofErr w:type="spellStart"/>
      <w:r w:rsidRPr="00970B26">
        <w:rPr>
          <w:rFonts w:ascii="Times New Roman" w:hAnsi="Times New Roman" w:cs="Arial"/>
          <w:i/>
          <w:iCs/>
          <w:color w:val="323233"/>
        </w:rPr>
        <w:t>datumu</w:t>
      </w:r>
      <w:proofErr w:type="spellEnd"/>
      <w:r w:rsidRPr="00970B26">
        <w:rPr>
          <w:rFonts w:ascii="Times New Roman" w:hAnsi="Times New Roman" w:cs="Arial"/>
          <w:i/>
          <w:iCs/>
          <w:color w:val="323233"/>
        </w:rPr>
        <w:t xml:space="preserve">, </w:t>
      </w:r>
      <w:proofErr w:type="spellStart"/>
      <w:r w:rsidRPr="00970B26">
        <w:rPr>
          <w:rFonts w:ascii="Times New Roman" w:hAnsi="Times New Roman" w:cs="Arial"/>
          <w:i/>
          <w:iCs/>
          <w:color w:val="323233"/>
        </w:rPr>
        <w:t>kad</w:t>
      </w:r>
      <w:proofErr w:type="spellEnd"/>
      <w:r w:rsidRPr="00970B26">
        <w:rPr>
          <w:rFonts w:ascii="Times New Roman" w:hAnsi="Times New Roman" w:cs="Arial"/>
          <w:i/>
          <w:iCs/>
          <w:color w:val="323233"/>
        </w:rPr>
        <w:t xml:space="preserve"> </w:t>
      </w:r>
      <w:proofErr w:type="spellStart"/>
      <w:r w:rsidRPr="00970B26">
        <w:rPr>
          <w:rFonts w:ascii="Times New Roman" w:hAnsi="Times New Roman" w:cs="Arial"/>
          <w:i/>
          <w:iCs/>
          <w:color w:val="323233"/>
        </w:rPr>
        <w:t>pārbaudījis</w:t>
      </w:r>
      <w:proofErr w:type="spellEnd"/>
      <w:r w:rsidRPr="00970B26">
        <w:rPr>
          <w:rFonts w:ascii="Times New Roman" w:hAnsi="Times New Roman" w:cs="Arial"/>
          <w:i/>
          <w:iCs/>
          <w:color w:val="323233"/>
        </w:rPr>
        <w:t xml:space="preserve"> </w:t>
      </w:r>
      <w:proofErr w:type="spellStart"/>
      <w:r w:rsidRPr="00970B26">
        <w:rPr>
          <w:rFonts w:ascii="Times New Roman" w:hAnsi="Times New Roman" w:cs="Arial"/>
          <w:i/>
          <w:iCs/>
          <w:color w:val="323233"/>
        </w:rPr>
        <w:t>ziņas</w:t>
      </w:r>
      <w:proofErr w:type="spellEnd"/>
      <w:r w:rsidRPr="00970B26">
        <w:rPr>
          <w:rFonts w:ascii="Times New Roman" w:hAnsi="Times New Roman" w:cs="Arial"/>
          <w:i/>
          <w:iCs/>
          <w:color w:val="323233"/>
        </w:rPr>
        <w:t xml:space="preserve">, </w:t>
      </w:r>
      <w:proofErr w:type="spellStart"/>
      <w:r w:rsidRPr="00970B26">
        <w:rPr>
          <w:rFonts w:ascii="Times New Roman" w:hAnsi="Times New Roman" w:cs="Arial"/>
          <w:i/>
          <w:iCs/>
          <w:color w:val="323233"/>
        </w:rPr>
        <w:t>vai</w:t>
      </w:r>
      <w:proofErr w:type="spellEnd"/>
      <w:r>
        <w:rPr>
          <w:rFonts w:ascii="Times New Roman" w:hAnsi="Times New Roman" w:cs="Arial"/>
          <w:i/>
          <w:iCs/>
          <w:color w:val="323233"/>
        </w:rPr>
        <w:t xml:space="preserve"> </w:t>
      </w:r>
      <w:proofErr w:type="spellStart"/>
      <w:r>
        <w:rPr>
          <w:rFonts w:ascii="Times New Roman" w:hAnsi="Times New Roman" w:cs="Arial"/>
          <w:i/>
          <w:iCs/>
          <w:color w:val="323233"/>
        </w:rPr>
        <w:t>izraksta</w:t>
      </w:r>
      <w:proofErr w:type="spellEnd"/>
      <w:r>
        <w:rPr>
          <w:rFonts w:ascii="Times New Roman" w:hAnsi="Times New Roman" w:cs="Arial"/>
          <w:i/>
          <w:iCs/>
          <w:color w:val="323233"/>
        </w:rPr>
        <w:t xml:space="preserve"> </w:t>
      </w:r>
      <w:proofErr w:type="spellStart"/>
      <w:r>
        <w:rPr>
          <w:rFonts w:ascii="Times New Roman" w:hAnsi="Times New Roman" w:cs="Arial"/>
          <w:i/>
          <w:iCs/>
          <w:color w:val="323233"/>
        </w:rPr>
        <w:t>apliecināšanas</w:t>
      </w:r>
      <w:proofErr w:type="spellEnd"/>
      <w:r>
        <w:rPr>
          <w:rFonts w:ascii="Times New Roman" w:hAnsi="Times New Roman" w:cs="Arial"/>
          <w:i/>
          <w:iCs/>
          <w:color w:val="323233"/>
        </w:rPr>
        <w:t xml:space="preserve"> </w:t>
      </w:r>
      <w:proofErr w:type="spellStart"/>
      <w:r>
        <w:rPr>
          <w:rFonts w:ascii="Times New Roman" w:hAnsi="Times New Roman" w:cs="Arial"/>
          <w:i/>
          <w:iCs/>
          <w:color w:val="323233"/>
        </w:rPr>
        <w:t>datumu</w:t>
      </w:r>
      <w:proofErr w:type="spellEnd"/>
      <w:r>
        <w:rPr>
          <w:rFonts w:ascii="Times New Roman" w:hAnsi="Times New Roman" w:cs="Arial"/>
          <w:i/>
          <w:iCs/>
          <w:color w:val="323233"/>
          <w:lang w:val="de-DE"/>
        </w:rPr>
        <w:t>“.</w:t>
      </w:r>
    </w:p>
    <w:p w14:paraId="178CAE06" w14:textId="77777777" w:rsidR="00114953" w:rsidRPr="000D136D" w:rsidRDefault="00114953" w:rsidP="00114953">
      <w:pPr>
        <w:ind w:firstLine="708"/>
        <w:jc w:val="both"/>
        <w:rPr>
          <w:rFonts w:ascii="Times New Roman" w:hAnsi="Times New Roman" w:cs="Times New Roman"/>
        </w:rPr>
      </w:pPr>
    </w:p>
    <w:p w14:paraId="0AFCCA6A" w14:textId="77777777" w:rsidR="00114953" w:rsidRDefault="00114953" w:rsidP="00114953">
      <w:pPr>
        <w:jc w:val="both"/>
        <w:rPr>
          <w:rFonts w:ascii="Times New Roman" w:hAnsi="Times New Roman" w:cs="Times New Roman"/>
        </w:rPr>
      </w:pPr>
    </w:p>
    <w:p w14:paraId="1EEDFAC2" w14:textId="77777777" w:rsidR="00114953" w:rsidRDefault="00114953" w:rsidP="00114953">
      <w:pPr>
        <w:jc w:val="both"/>
        <w:rPr>
          <w:rFonts w:ascii="Times New Roman" w:hAnsi="Times New Roman" w:cs="Times New Roman"/>
          <w:b/>
        </w:rPr>
      </w:pPr>
    </w:p>
    <w:p w14:paraId="2AB9AB6F" w14:textId="77777777" w:rsidR="00114953" w:rsidRPr="00D33E79" w:rsidRDefault="00114953" w:rsidP="00114953">
      <w:pPr>
        <w:jc w:val="both"/>
        <w:rPr>
          <w:rFonts w:ascii="Times New Roman" w:hAnsi="Times New Roman" w:cs="Times New Roman"/>
          <w:b/>
        </w:rPr>
      </w:pPr>
      <w:proofErr w:type="spellStart"/>
      <w:r w:rsidRPr="00D33E79">
        <w:rPr>
          <w:rFonts w:ascii="Times New Roman" w:hAnsi="Times New Roman" w:cs="Times New Roman"/>
          <w:b/>
        </w:rPr>
        <w:t>Tiesībsēja</w:t>
      </w:r>
      <w:proofErr w:type="spellEnd"/>
      <w:r>
        <w:rPr>
          <w:rFonts w:ascii="Times New Roman" w:hAnsi="Times New Roman" w:cs="Times New Roman"/>
          <w:b/>
        </w:rPr>
        <w:t xml:space="preserve"> un </w:t>
      </w:r>
      <w:r>
        <w:rPr>
          <w:rFonts w:ascii="Times New Roman" w:hAnsi="Times New Roman" w:cs="Times New Roman"/>
          <w:b/>
          <w:lang w:val="lv-LV"/>
        </w:rPr>
        <w:t xml:space="preserve">pārstāvju </w:t>
      </w:r>
      <w:proofErr w:type="gramStart"/>
      <w:r>
        <w:rPr>
          <w:rFonts w:ascii="Times New Roman" w:hAnsi="Times New Roman" w:cs="Times New Roman"/>
          <w:b/>
          <w:lang w:val="lv-LV"/>
        </w:rPr>
        <w:t>pilnvaras</w:t>
      </w:r>
      <w:r w:rsidRPr="00D33E79">
        <w:rPr>
          <w:rFonts w:ascii="Times New Roman" w:hAnsi="Times New Roman" w:cs="Times New Roman"/>
          <w:b/>
        </w:rPr>
        <w:t>:</w:t>
      </w:r>
      <w:proofErr w:type="gramEnd"/>
    </w:p>
    <w:p w14:paraId="2FF29BB0" w14:textId="77777777" w:rsidR="00114953" w:rsidRPr="000C7C76" w:rsidRDefault="00114953" w:rsidP="00114953">
      <w:pPr>
        <w:pStyle w:val="tv213"/>
        <w:ind w:firstLine="708"/>
        <w:jc w:val="both"/>
      </w:pPr>
      <w:proofErr w:type="spellStart"/>
      <w:r w:rsidRPr="00CD4311">
        <w:t>Kā</w:t>
      </w:r>
      <w:proofErr w:type="spellEnd"/>
      <w:r w:rsidRPr="00CD4311">
        <w:t xml:space="preserve"> </w:t>
      </w:r>
      <w:proofErr w:type="spellStart"/>
      <w:r w:rsidRPr="00CD4311">
        <w:t>jau</w:t>
      </w:r>
      <w:proofErr w:type="spellEnd"/>
      <w:r w:rsidRPr="00CD4311">
        <w:t xml:space="preserve"> </w:t>
      </w:r>
      <w:proofErr w:type="spellStart"/>
      <w:r w:rsidRPr="00CD4311">
        <w:t>iepriekš</w:t>
      </w:r>
      <w:proofErr w:type="spellEnd"/>
      <w:r w:rsidRPr="00CD4311">
        <w:t xml:space="preserve"> </w:t>
      </w:r>
      <w:proofErr w:type="spellStart"/>
      <w:r w:rsidRPr="00CD4311">
        <w:t>tika</w:t>
      </w:r>
      <w:proofErr w:type="spellEnd"/>
      <w:r w:rsidRPr="00CD4311">
        <w:t xml:space="preserve"> </w:t>
      </w:r>
      <w:proofErr w:type="spellStart"/>
      <w:r w:rsidRPr="00CD4311">
        <w:t>minēts</w:t>
      </w:r>
      <w:proofErr w:type="spellEnd"/>
      <w:r w:rsidRPr="00CD4311">
        <w:t xml:space="preserve">, </w:t>
      </w:r>
      <w:proofErr w:type="spellStart"/>
      <w:r w:rsidRPr="00CD4311">
        <w:t>no</w:t>
      </w:r>
      <w:proofErr w:type="spellEnd"/>
      <w:r w:rsidRPr="00CD4311">
        <w:t xml:space="preserve"> SPT </w:t>
      </w:r>
      <w:proofErr w:type="spellStart"/>
      <w:r w:rsidRPr="00CD4311">
        <w:t>teorijas</w:t>
      </w:r>
      <w:proofErr w:type="spellEnd"/>
      <w:r w:rsidRPr="00CD4311">
        <w:t xml:space="preserve"> </w:t>
      </w:r>
      <w:proofErr w:type="spellStart"/>
      <w:r w:rsidRPr="00CD4311">
        <w:t>viedokļa</w:t>
      </w:r>
      <w:proofErr w:type="spellEnd"/>
      <w:r w:rsidRPr="00CD4311">
        <w:t xml:space="preserve"> </w:t>
      </w:r>
      <w:proofErr w:type="spellStart"/>
      <w:r w:rsidRPr="00CD4311">
        <w:t>kontinentālajā</w:t>
      </w:r>
      <w:proofErr w:type="spellEnd"/>
      <w:r w:rsidRPr="00CD4311">
        <w:t xml:space="preserve"> </w:t>
      </w:r>
      <w:proofErr w:type="spellStart"/>
      <w:r w:rsidRPr="00CD4311">
        <w:t>tiesību</w:t>
      </w:r>
      <w:proofErr w:type="spellEnd"/>
      <w:r w:rsidRPr="00CD4311">
        <w:t xml:space="preserve"> </w:t>
      </w:r>
      <w:proofErr w:type="spellStart"/>
      <w:r w:rsidRPr="00CD4311">
        <w:t>sistēmā</w:t>
      </w:r>
      <w:proofErr w:type="spellEnd"/>
      <w:r w:rsidRPr="00CD4311">
        <w:t xml:space="preserve"> </w:t>
      </w:r>
      <w:proofErr w:type="spellStart"/>
      <w:r w:rsidRPr="00CD4311">
        <w:t>pilnvarojuma</w:t>
      </w:r>
      <w:proofErr w:type="spellEnd"/>
      <w:r w:rsidRPr="00CD4311">
        <w:t xml:space="preserve"> </w:t>
      </w:r>
      <w:proofErr w:type="spellStart"/>
      <w:r w:rsidRPr="00CD4311">
        <w:t>līgumam</w:t>
      </w:r>
      <w:proofErr w:type="spellEnd"/>
      <w:r w:rsidRPr="00CD4311">
        <w:t xml:space="preserve"> </w:t>
      </w:r>
      <w:proofErr w:type="spellStart"/>
      <w:r w:rsidRPr="00CD4311">
        <w:t>un</w:t>
      </w:r>
      <w:proofErr w:type="spellEnd"/>
      <w:r w:rsidRPr="00CD4311">
        <w:t xml:space="preserve"> </w:t>
      </w:r>
      <w:proofErr w:type="spellStart"/>
      <w:r w:rsidRPr="00CD4311">
        <w:t>pilnvarai</w:t>
      </w:r>
      <w:proofErr w:type="spellEnd"/>
      <w:r w:rsidRPr="00CD4311">
        <w:t xml:space="preserve"> </w:t>
      </w:r>
      <w:proofErr w:type="spellStart"/>
      <w:r w:rsidRPr="00CD4311">
        <w:t>piemērojamais</w:t>
      </w:r>
      <w:proofErr w:type="spellEnd"/>
      <w:r w:rsidRPr="00CD4311">
        <w:t xml:space="preserve"> </w:t>
      </w:r>
      <w:proofErr w:type="spellStart"/>
      <w:r w:rsidRPr="00CD4311">
        <w:t>likums</w:t>
      </w:r>
      <w:proofErr w:type="spellEnd"/>
      <w:r w:rsidRPr="00CD4311">
        <w:t xml:space="preserve"> </w:t>
      </w:r>
      <w:proofErr w:type="spellStart"/>
      <w:r w:rsidRPr="00CD4311">
        <w:t>neietver</w:t>
      </w:r>
      <w:proofErr w:type="spellEnd"/>
      <w:r w:rsidRPr="00CD4311">
        <w:t xml:space="preserve"> </w:t>
      </w:r>
      <w:proofErr w:type="spellStart"/>
      <w:r w:rsidRPr="00CD4311">
        <w:t>sevī</w:t>
      </w:r>
      <w:proofErr w:type="spellEnd"/>
      <w:r w:rsidRPr="00CD4311">
        <w:t xml:space="preserve"> </w:t>
      </w:r>
      <w:proofErr w:type="spellStart"/>
      <w:r w:rsidRPr="00CD4311">
        <w:t>arī</w:t>
      </w:r>
      <w:proofErr w:type="spellEnd"/>
      <w:r w:rsidRPr="00CD4311">
        <w:t xml:space="preserve"> </w:t>
      </w:r>
      <w:proofErr w:type="spellStart"/>
      <w:r w:rsidRPr="00CD4311">
        <w:t>juridiskas</w:t>
      </w:r>
      <w:proofErr w:type="spellEnd"/>
      <w:r w:rsidRPr="00CD4311">
        <w:t xml:space="preserve"> personas </w:t>
      </w:r>
      <w:proofErr w:type="spellStart"/>
      <w:r w:rsidRPr="00CD4311">
        <w:t>tiesībspējai</w:t>
      </w:r>
      <w:proofErr w:type="spellEnd"/>
      <w:r w:rsidRPr="00CD4311">
        <w:t xml:space="preserve"> </w:t>
      </w:r>
      <w:proofErr w:type="spellStart"/>
      <w:r w:rsidRPr="00CD4311">
        <w:t>un</w:t>
      </w:r>
      <w:proofErr w:type="spellEnd"/>
      <w:r w:rsidRPr="00CD4311">
        <w:t xml:space="preserve"> </w:t>
      </w:r>
      <w:proofErr w:type="spellStart"/>
      <w:r w:rsidRPr="00CD4311">
        <w:t>rīcībspējai</w:t>
      </w:r>
      <w:proofErr w:type="spellEnd"/>
      <w:r w:rsidRPr="00CD4311">
        <w:t xml:space="preserve"> </w:t>
      </w:r>
      <w:proofErr w:type="spellStart"/>
      <w:r w:rsidRPr="00CD4311">
        <w:t>piemērojamo</w:t>
      </w:r>
      <w:proofErr w:type="spellEnd"/>
      <w:r w:rsidRPr="00CD4311">
        <w:t xml:space="preserve"> </w:t>
      </w:r>
      <w:proofErr w:type="spellStart"/>
      <w:r w:rsidRPr="00CD4311">
        <w:t>likumu</w:t>
      </w:r>
      <w:proofErr w:type="spellEnd"/>
      <w:r w:rsidRPr="00CD4311">
        <w:t xml:space="preserve">. </w:t>
      </w:r>
      <w:proofErr w:type="spellStart"/>
      <w:r w:rsidRPr="00CD4311">
        <w:t>Šos</w:t>
      </w:r>
      <w:proofErr w:type="spellEnd"/>
      <w:r w:rsidRPr="00CD4311">
        <w:t xml:space="preserve"> </w:t>
      </w:r>
      <w:proofErr w:type="spellStart"/>
      <w:r w:rsidRPr="00CD4311">
        <w:t>jautājumus</w:t>
      </w:r>
      <w:proofErr w:type="spellEnd"/>
      <w:r w:rsidRPr="00CD4311">
        <w:t xml:space="preserve"> – </w:t>
      </w:r>
      <w:proofErr w:type="spellStart"/>
      <w:r w:rsidRPr="00CD4311">
        <w:t>pilnvarojuma</w:t>
      </w:r>
      <w:proofErr w:type="spellEnd"/>
      <w:r w:rsidRPr="00CD4311">
        <w:t xml:space="preserve"> </w:t>
      </w:r>
      <w:proofErr w:type="spellStart"/>
      <w:r w:rsidRPr="00CD4311">
        <w:t>līgumam</w:t>
      </w:r>
      <w:proofErr w:type="spellEnd"/>
      <w:r w:rsidRPr="00CD4311">
        <w:t xml:space="preserve"> </w:t>
      </w:r>
      <w:proofErr w:type="spellStart"/>
      <w:r w:rsidRPr="00CD4311">
        <w:t>vai</w:t>
      </w:r>
      <w:proofErr w:type="spellEnd"/>
      <w:r w:rsidRPr="00CD4311">
        <w:t xml:space="preserve"> </w:t>
      </w:r>
      <w:proofErr w:type="spellStart"/>
      <w:r w:rsidRPr="00CD4311">
        <w:t>pilnvarai</w:t>
      </w:r>
      <w:proofErr w:type="spellEnd"/>
      <w:r w:rsidRPr="00CD4311">
        <w:t xml:space="preserve"> </w:t>
      </w:r>
      <w:proofErr w:type="spellStart"/>
      <w:r w:rsidRPr="00CD4311">
        <w:t>piemērojamo</w:t>
      </w:r>
      <w:proofErr w:type="spellEnd"/>
      <w:r w:rsidRPr="00FB47B5">
        <w:t xml:space="preserve"> </w:t>
      </w:r>
      <w:proofErr w:type="spellStart"/>
      <w:r w:rsidRPr="00FB47B5">
        <w:t>likumu</w:t>
      </w:r>
      <w:proofErr w:type="spellEnd"/>
      <w:r w:rsidRPr="00FB47B5">
        <w:t xml:space="preserve"> </w:t>
      </w:r>
      <w:proofErr w:type="spellStart"/>
      <w:r w:rsidRPr="00FB47B5">
        <w:t>un</w:t>
      </w:r>
      <w:proofErr w:type="spellEnd"/>
      <w:r w:rsidRPr="00FB47B5">
        <w:t xml:space="preserve"> </w:t>
      </w:r>
      <w:proofErr w:type="spellStart"/>
      <w:r w:rsidRPr="00FB47B5">
        <w:t>juridiskas</w:t>
      </w:r>
      <w:proofErr w:type="spellEnd"/>
      <w:r w:rsidRPr="00FB47B5">
        <w:t xml:space="preserve"> personas </w:t>
      </w:r>
      <w:proofErr w:type="spellStart"/>
      <w:r w:rsidRPr="00FB47B5">
        <w:t>tiesībspējai</w:t>
      </w:r>
      <w:proofErr w:type="spellEnd"/>
      <w:r w:rsidRPr="00FB47B5">
        <w:t xml:space="preserve"> </w:t>
      </w:r>
      <w:proofErr w:type="spellStart"/>
      <w:r w:rsidRPr="00FB47B5">
        <w:t>un</w:t>
      </w:r>
      <w:proofErr w:type="spellEnd"/>
      <w:r w:rsidRPr="00FB47B5">
        <w:t xml:space="preserve"> </w:t>
      </w:r>
      <w:proofErr w:type="spellStart"/>
      <w:r w:rsidRPr="00FB47B5">
        <w:t>rīcībspējai</w:t>
      </w:r>
      <w:proofErr w:type="spellEnd"/>
      <w:r w:rsidRPr="00FB47B5">
        <w:t xml:space="preserve"> </w:t>
      </w:r>
      <w:proofErr w:type="spellStart"/>
      <w:r w:rsidRPr="00FB47B5">
        <w:t>piemērojamo</w:t>
      </w:r>
      <w:proofErr w:type="spellEnd"/>
      <w:r w:rsidRPr="00FB47B5">
        <w:t xml:space="preserve"> </w:t>
      </w:r>
      <w:proofErr w:type="spellStart"/>
      <w:r w:rsidRPr="00FB47B5">
        <w:t>likumu</w:t>
      </w:r>
      <w:proofErr w:type="spellEnd"/>
      <w:r w:rsidRPr="00FB47B5">
        <w:t xml:space="preserve"> – </w:t>
      </w:r>
      <w:proofErr w:type="spellStart"/>
      <w:r w:rsidRPr="00FB47B5">
        <w:t>nosaka</w:t>
      </w:r>
      <w:proofErr w:type="spellEnd"/>
      <w:r w:rsidRPr="00FB47B5">
        <w:t xml:space="preserve"> </w:t>
      </w:r>
      <w:proofErr w:type="spellStart"/>
      <w:r w:rsidRPr="00FB47B5">
        <w:t>divas</w:t>
      </w:r>
      <w:proofErr w:type="spellEnd"/>
      <w:r w:rsidRPr="00FB47B5">
        <w:t xml:space="preserve"> </w:t>
      </w:r>
      <w:proofErr w:type="spellStart"/>
      <w:r w:rsidRPr="00FB47B5">
        <w:t>atšķirīgas</w:t>
      </w:r>
      <w:proofErr w:type="spellEnd"/>
      <w:r w:rsidRPr="00FB47B5">
        <w:t xml:space="preserve"> </w:t>
      </w:r>
      <w:proofErr w:type="spellStart"/>
      <w:r w:rsidRPr="00FB47B5">
        <w:t>kolīziju</w:t>
      </w:r>
      <w:proofErr w:type="spellEnd"/>
      <w:r w:rsidRPr="00FB47B5">
        <w:t xml:space="preserve"> </w:t>
      </w:r>
      <w:proofErr w:type="spellStart"/>
      <w:r w:rsidRPr="00FB47B5">
        <w:t>normas</w:t>
      </w:r>
      <w:proofErr w:type="spellEnd"/>
      <w:r w:rsidRPr="00FB47B5">
        <w:t xml:space="preserve">. SPT </w:t>
      </w:r>
      <w:proofErr w:type="spellStart"/>
      <w:r w:rsidRPr="00FB47B5">
        <w:t>to</w:t>
      </w:r>
      <w:proofErr w:type="spellEnd"/>
      <w:r w:rsidRPr="00FB47B5">
        <w:t xml:space="preserve"> </w:t>
      </w:r>
      <w:proofErr w:type="spellStart"/>
      <w:r w:rsidRPr="00FB47B5">
        <w:t>dēvē</w:t>
      </w:r>
      <w:proofErr w:type="spellEnd"/>
      <w:r w:rsidRPr="00FB47B5">
        <w:t xml:space="preserve"> par </w:t>
      </w:r>
      <w:proofErr w:type="spellStart"/>
      <w:r w:rsidRPr="00FB47B5">
        <w:t>daļējo</w:t>
      </w:r>
      <w:proofErr w:type="spellEnd"/>
      <w:r w:rsidRPr="00FB47B5">
        <w:t xml:space="preserve"> </w:t>
      </w:r>
      <w:proofErr w:type="spellStart"/>
      <w:r w:rsidRPr="00FB47B5">
        <w:t>jautājumu</w:t>
      </w:r>
      <w:proofErr w:type="spellEnd"/>
      <w:r w:rsidRPr="00FB47B5">
        <w:t xml:space="preserve"> (</w:t>
      </w:r>
      <w:proofErr w:type="spellStart"/>
      <w:r w:rsidRPr="00FB47B5">
        <w:t>vācu</w:t>
      </w:r>
      <w:proofErr w:type="spellEnd"/>
      <w:r w:rsidRPr="00FB47B5">
        <w:t xml:space="preserve"> </w:t>
      </w:r>
      <w:proofErr w:type="spellStart"/>
      <w:r w:rsidRPr="00FB47B5">
        <w:t>val</w:t>
      </w:r>
      <w:proofErr w:type="spellEnd"/>
      <w:r w:rsidRPr="00FB47B5">
        <w:t xml:space="preserve">. </w:t>
      </w:r>
      <w:r>
        <w:t xml:space="preserve">- </w:t>
      </w:r>
      <w:r w:rsidRPr="00FB47B5">
        <w:rPr>
          <w:i/>
        </w:rPr>
        <w:t>Teilfrage</w:t>
      </w:r>
      <w:r w:rsidRPr="00FB47B5">
        <w:t xml:space="preserve">) </w:t>
      </w:r>
      <w:proofErr w:type="spellStart"/>
      <w:r w:rsidRPr="00FB47B5">
        <w:t>jeb</w:t>
      </w:r>
      <w:proofErr w:type="spellEnd"/>
      <w:r w:rsidRPr="00FB47B5">
        <w:t xml:space="preserve"> </w:t>
      </w:r>
      <w:proofErr w:type="spellStart"/>
      <w:r w:rsidRPr="00FB47B5">
        <w:rPr>
          <w:i/>
        </w:rPr>
        <w:t>d</w:t>
      </w:r>
      <w:r w:rsidRPr="000C7C76">
        <w:rPr>
          <w:i/>
        </w:rPr>
        <w:t>epeçage</w:t>
      </w:r>
      <w:proofErr w:type="spellEnd"/>
      <w:r w:rsidRPr="000C7C76">
        <w:rPr>
          <w:i/>
        </w:rPr>
        <w:t xml:space="preserve"> </w:t>
      </w:r>
      <w:r w:rsidRPr="000C7C76">
        <w:t>(</w:t>
      </w:r>
      <w:proofErr w:type="spellStart"/>
      <w:r w:rsidRPr="000C7C76">
        <w:t>no</w:t>
      </w:r>
      <w:proofErr w:type="spellEnd"/>
      <w:r w:rsidRPr="000C7C76">
        <w:t xml:space="preserve"> </w:t>
      </w:r>
      <w:proofErr w:type="spellStart"/>
      <w:r w:rsidRPr="000C7C76">
        <w:t>franču</w:t>
      </w:r>
      <w:proofErr w:type="spellEnd"/>
      <w:r w:rsidRPr="000C7C76">
        <w:t xml:space="preserve"> </w:t>
      </w:r>
      <w:proofErr w:type="spellStart"/>
      <w:r w:rsidRPr="000C7C76">
        <w:t>val</w:t>
      </w:r>
      <w:proofErr w:type="spellEnd"/>
      <w:r w:rsidRPr="000C7C76">
        <w:t>.).</w:t>
      </w:r>
      <w:r w:rsidRPr="00FB47B5">
        <w:rPr>
          <w:rStyle w:val="FootnoteReference"/>
          <w:lang w:val="fr-FR"/>
        </w:rPr>
        <w:footnoteReference w:id="150"/>
      </w:r>
      <w:r w:rsidRPr="000C7C76">
        <w:t xml:space="preserve"> </w:t>
      </w:r>
    </w:p>
    <w:p w14:paraId="094B8B07" w14:textId="77777777" w:rsidR="00114953" w:rsidRPr="000C7C76" w:rsidRDefault="00114953" w:rsidP="00114953">
      <w:pPr>
        <w:pStyle w:val="tv213"/>
        <w:ind w:firstLine="708"/>
        <w:jc w:val="both"/>
      </w:pPr>
      <w:proofErr w:type="spellStart"/>
      <w:r w:rsidRPr="000C7C76">
        <w:lastRenderedPageBreak/>
        <w:t>Taču</w:t>
      </w:r>
      <w:proofErr w:type="spellEnd"/>
      <w:r w:rsidRPr="000C7C76">
        <w:t xml:space="preserve"> anglo-</w:t>
      </w:r>
      <w:proofErr w:type="spellStart"/>
      <w:r w:rsidRPr="000C7C76">
        <w:t>sakšu</w:t>
      </w:r>
      <w:proofErr w:type="spellEnd"/>
      <w:r w:rsidRPr="000C7C76">
        <w:t xml:space="preserve"> </w:t>
      </w:r>
      <w:proofErr w:type="spellStart"/>
      <w:r w:rsidRPr="000C7C76">
        <w:t>jeb</w:t>
      </w:r>
      <w:proofErr w:type="spellEnd"/>
      <w:r w:rsidRPr="000C7C76">
        <w:t xml:space="preserve"> </w:t>
      </w:r>
      <w:r w:rsidRPr="000C7C76">
        <w:rPr>
          <w:i/>
        </w:rPr>
        <w:t>Common Law</w:t>
      </w:r>
      <w:r w:rsidRPr="000C7C76">
        <w:t xml:space="preserve"> </w:t>
      </w:r>
      <w:proofErr w:type="spellStart"/>
      <w:r w:rsidRPr="000C7C76">
        <w:t>tiesību</w:t>
      </w:r>
      <w:proofErr w:type="spellEnd"/>
      <w:r w:rsidRPr="000C7C76">
        <w:t xml:space="preserve"> </w:t>
      </w:r>
      <w:proofErr w:type="spellStart"/>
      <w:r w:rsidRPr="000C7C76">
        <w:t>sistēmas</w:t>
      </w:r>
      <w:proofErr w:type="spellEnd"/>
      <w:r w:rsidRPr="000C7C76">
        <w:t xml:space="preserve"> </w:t>
      </w:r>
      <w:proofErr w:type="spellStart"/>
      <w:proofErr w:type="gramStart"/>
      <w:r w:rsidRPr="000C7C76">
        <w:t>valstīs</w:t>
      </w:r>
      <w:proofErr w:type="spellEnd"/>
      <w:r w:rsidRPr="000C7C76">
        <w:t xml:space="preserve">  </w:t>
      </w:r>
      <w:proofErr w:type="spellStart"/>
      <w:r w:rsidRPr="000C7C76">
        <w:t>juridiskas</w:t>
      </w:r>
      <w:proofErr w:type="spellEnd"/>
      <w:proofErr w:type="gramEnd"/>
      <w:r w:rsidRPr="000C7C76">
        <w:t xml:space="preserve"> personas </w:t>
      </w:r>
      <w:proofErr w:type="spellStart"/>
      <w:r w:rsidRPr="000C7C76">
        <w:t>tiesībspējas</w:t>
      </w:r>
      <w:proofErr w:type="spellEnd"/>
      <w:r w:rsidRPr="000C7C76">
        <w:t xml:space="preserve"> </w:t>
      </w:r>
      <w:proofErr w:type="spellStart"/>
      <w:r w:rsidRPr="000C7C76">
        <w:t>un</w:t>
      </w:r>
      <w:proofErr w:type="spellEnd"/>
      <w:r w:rsidRPr="000C7C76">
        <w:t xml:space="preserve"> </w:t>
      </w:r>
      <w:proofErr w:type="spellStart"/>
      <w:r w:rsidRPr="000C7C76">
        <w:t>rīcībspējas</w:t>
      </w:r>
      <w:proofErr w:type="spellEnd"/>
      <w:r w:rsidRPr="000C7C76">
        <w:t xml:space="preserve"> </w:t>
      </w:r>
      <w:proofErr w:type="spellStart"/>
      <w:r w:rsidRPr="000C7C76">
        <w:t>jautājumi</w:t>
      </w:r>
      <w:proofErr w:type="spellEnd"/>
      <w:r w:rsidRPr="000C7C76">
        <w:t xml:space="preserve"> </w:t>
      </w:r>
      <w:proofErr w:type="spellStart"/>
      <w:r w:rsidRPr="000C7C76">
        <w:t>ietilpst</w:t>
      </w:r>
      <w:proofErr w:type="spellEnd"/>
      <w:r w:rsidRPr="000C7C76">
        <w:t xml:space="preserve"> </w:t>
      </w:r>
      <w:proofErr w:type="spellStart"/>
      <w:r w:rsidRPr="000C7C76">
        <w:t>līgumtiesību</w:t>
      </w:r>
      <w:proofErr w:type="spellEnd"/>
      <w:r w:rsidRPr="000C7C76">
        <w:t xml:space="preserve"> </w:t>
      </w:r>
      <w:proofErr w:type="spellStart"/>
      <w:r w:rsidRPr="000C7C76">
        <w:t>jomā</w:t>
      </w:r>
      <w:proofErr w:type="spellEnd"/>
      <w:r w:rsidRPr="00FB47B5">
        <w:rPr>
          <w:rStyle w:val="FootnoteReference"/>
          <w:lang w:val="fr-FR"/>
        </w:rPr>
        <w:footnoteReference w:id="151"/>
      </w:r>
      <w:r w:rsidRPr="000C7C76">
        <w:t xml:space="preserve"> </w:t>
      </w:r>
      <w:proofErr w:type="spellStart"/>
      <w:r w:rsidRPr="000C7C76">
        <w:t>un</w:t>
      </w:r>
      <w:proofErr w:type="spellEnd"/>
      <w:r w:rsidRPr="000C7C76">
        <w:t xml:space="preserve"> </w:t>
      </w:r>
      <w:proofErr w:type="spellStart"/>
      <w:r w:rsidRPr="000C7C76">
        <w:t>līdz</w:t>
      </w:r>
      <w:proofErr w:type="spellEnd"/>
      <w:r w:rsidRPr="000C7C76">
        <w:t xml:space="preserve"> </w:t>
      </w:r>
      <w:proofErr w:type="spellStart"/>
      <w:r w:rsidRPr="000C7C76">
        <w:t>ar</w:t>
      </w:r>
      <w:proofErr w:type="spellEnd"/>
      <w:r w:rsidRPr="000C7C76">
        <w:t xml:space="preserve"> </w:t>
      </w:r>
      <w:proofErr w:type="spellStart"/>
      <w:r w:rsidRPr="000C7C76">
        <w:t>to</w:t>
      </w:r>
      <w:proofErr w:type="spellEnd"/>
      <w:r w:rsidRPr="000C7C76">
        <w:t xml:space="preserve"> </w:t>
      </w:r>
      <w:proofErr w:type="spellStart"/>
      <w:r w:rsidRPr="000C7C76">
        <w:t>tiem</w:t>
      </w:r>
      <w:proofErr w:type="spellEnd"/>
      <w:r w:rsidRPr="000C7C76">
        <w:t xml:space="preserve"> </w:t>
      </w:r>
      <w:proofErr w:type="spellStart"/>
      <w:r w:rsidRPr="000C7C76">
        <w:t>parasti</w:t>
      </w:r>
      <w:proofErr w:type="spellEnd"/>
      <w:r w:rsidRPr="000C7C76">
        <w:t xml:space="preserve"> </w:t>
      </w:r>
      <w:proofErr w:type="spellStart"/>
      <w:r w:rsidRPr="000C7C76">
        <w:t>piemēro</w:t>
      </w:r>
      <w:proofErr w:type="spellEnd"/>
      <w:r w:rsidRPr="000C7C76">
        <w:t xml:space="preserve"> </w:t>
      </w:r>
      <w:proofErr w:type="spellStart"/>
      <w:r w:rsidRPr="000C7C76">
        <w:t>to</w:t>
      </w:r>
      <w:proofErr w:type="spellEnd"/>
      <w:r w:rsidRPr="000C7C76">
        <w:t xml:space="preserve"> </w:t>
      </w:r>
      <w:proofErr w:type="spellStart"/>
      <w:r w:rsidRPr="000C7C76">
        <w:t>pašu</w:t>
      </w:r>
      <w:proofErr w:type="spellEnd"/>
      <w:r w:rsidRPr="000C7C76">
        <w:t xml:space="preserve"> </w:t>
      </w:r>
      <w:proofErr w:type="spellStart"/>
      <w:r w:rsidRPr="000C7C76">
        <w:t>statūtu</w:t>
      </w:r>
      <w:proofErr w:type="spellEnd"/>
      <w:r w:rsidRPr="000C7C76">
        <w:t xml:space="preserve">, </w:t>
      </w:r>
      <w:proofErr w:type="spellStart"/>
      <w:r w:rsidRPr="000C7C76">
        <w:t>ko</w:t>
      </w:r>
      <w:proofErr w:type="spellEnd"/>
      <w:r w:rsidRPr="000C7C76">
        <w:t xml:space="preserve"> </w:t>
      </w:r>
      <w:proofErr w:type="spellStart"/>
      <w:r w:rsidRPr="000C7C76">
        <w:t>piemēro</w:t>
      </w:r>
      <w:proofErr w:type="spellEnd"/>
      <w:r w:rsidRPr="000C7C76">
        <w:t xml:space="preserve"> </w:t>
      </w:r>
      <w:proofErr w:type="spellStart"/>
      <w:r w:rsidRPr="000C7C76">
        <w:t>galvenajam</w:t>
      </w:r>
      <w:proofErr w:type="spellEnd"/>
      <w:r w:rsidRPr="000C7C76">
        <w:t xml:space="preserve"> </w:t>
      </w:r>
      <w:proofErr w:type="spellStart"/>
      <w:r w:rsidRPr="000C7C76">
        <w:t>līgumam</w:t>
      </w:r>
      <w:proofErr w:type="spellEnd"/>
      <w:r w:rsidRPr="000C7C76">
        <w:t xml:space="preserve"> (</w:t>
      </w:r>
      <w:proofErr w:type="spellStart"/>
      <w:r w:rsidRPr="000C7C76">
        <w:t>piemēram</w:t>
      </w:r>
      <w:proofErr w:type="spellEnd"/>
      <w:r w:rsidRPr="000C7C76">
        <w:t xml:space="preserve">, </w:t>
      </w:r>
      <w:proofErr w:type="spellStart"/>
      <w:r w:rsidRPr="000C7C76">
        <w:t>pirkuma</w:t>
      </w:r>
      <w:proofErr w:type="spellEnd"/>
      <w:r w:rsidRPr="000C7C76">
        <w:t xml:space="preserve"> </w:t>
      </w:r>
      <w:proofErr w:type="spellStart"/>
      <w:r w:rsidRPr="000C7C76">
        <w:t>līgumam</w:t>
      </w:r>
      <w:proofErr w:type="spellEnd"/>
      <w:r w:rsidRPr="000C7C76">
        <w:t xml:space="preserve">), </w:t>
      </w:r>
      <w:proofErr w:type="spellStart"/>
      <w:r w:rsidRPr="000C7C76">
        <w:t>kā</w:t>
      </w:r>
      <w:proofErr w:type="spellEnd"/>
      <w:r w:rsidRPr="000C7C76">
        <w:t xml:space="preserve"> </w:t>
      </w:r>
      <w:proofErr w:type="spellStart"/>
      <w:r w:rsidRPr="000C7C76">
        <w:t>arī</w:t>
      </w:r>
      <w:proofErr w:type="spellEnd"/>
      <w:r w:rsidRPr="000C7C76">
        <w:t xml:space="preserve"> </w:t>
      </w:r>
      <w:proofErr w:type="spellStart"/>
      <w:r w:rsidRPr="000C7C76">
        <w:t>mēdz</w:t>
      </w:r>
      <w:proofErr w:type="spellEnd"/>
      <w:r w:rsidRPr="000C7C76">
        <w:t xml:space="preserve"> </w:t>
      </w:r>
      <w:proofErr w:type="spellStart"/>
      <w:r w:rsidRPr="000C7C76">
        <w:t>piemērot</w:t>
      </w:r>
      <w:proofErr w:type="spellEnd"/>
      <w:r w:rsidRPr="000C7C76">
        <w:t xml:space="preserve"> </w:t>
      </w:r>
      <w:proofErr w:type="spellStart"/>
      <w:r w:rsidRPr="000C7C76">
        <w:t>juridiskas</w:t>
      </w:r>
      <w:proofErr w:type="spellEnd"/>
      <w:r w:rsidRPr="000C7C76">
        <w:t xml:space="preserve"> personas </w:t>
      </w:r>
      <w:proofErr w:type="spellStart"/>
      <w:r w:rsidRPr="000C7C76">
        <w:t>inkorporācijas</w:t>
      </w:r>
      <w:proofErr w:type="spellEnd"/>
      <w:r w:rsidRPr="000C7C76">
        <w:t xml:space="preserve"> (</w:t>
      </w:r>
      <w:proofErr w:type="spellStart"/>
      <w:r w:rsidRPr="000C7C76">
        <w:t>reģistrācijas</w:t>
      </w:r>
      <w:proofErr w:type="spellEnd"/>
      <w:r w:rsidRPr="000C7C76">
        <w:t xml:space="preserve">) </w:t>
      </w:r>
      <w:proofErr w:type="spellStart"/>
      <w:r w:rsidRPr="000C7C76">
        <w:t>vietas</w:t>
      </w:r>
      <w:proofErr w:type="spellEnd"/>
      <w:r w:rsidRPr="000C7C76">
        <w:t xml:space="preserve"> </w:t>
      </w:r>
      <w:proofErr w:type="spellStart"/>
      <w:r w:rsidRPr="000C7C76">
        <w:t>valsts</w:t>
      </w:r>
      <w:proofErr w:type="spellEnd"/>
      <w:r w:rsidRPr="000C7C76">
        <w:t xml:space="preserve"> </w:t>
      </w:r>
      <w:proofErr w:type="spellStart"/>
      <w:r w:rsidRPr="000C7C76">
        <w:t>likumu</w:t>
      </w:r>
      <w:proofErr w:type="spellEnd"/>
      <w:r w:rsidRPr="000C7C76">
        <w:t xml:space="preserve">. </w:t>
      </w:r>
      <w:proofErr w:type="spellStart"/>
      <w:r w:rsidRPr="000C7C76">
        <w:t>Angļu</w:t>
      </w:r>
      <w:proofErr w:type="spellEnd"/>
      <w:r w:rsidRPr="000C7C76">
        <w:t xml:space="preserve"> SPT </w:t>
      </w:r>
      <w:proofErr w:type="spellStart"/>
      <w:r w:rsidRPr="000C7C76">
        <w:t>zinātnē</w:t>
      </w:r>
      <w:proofErr w:type="spellEnd"/>
      <w:r w:rsidRPr="000C7C76">
        <w:t xml:space="preserve"> </w:t>
      </w:r>
      <w:proofErr w:type="spellStart"/>
      <w:r w:rsidRPr="000C7C76">
        <w:t>un</w:t>
      </w:r>
      <w:proofErr w:type="spellEnd"/>
      <w:r w:rsidRPr="000C7C76">
        <w:t xml:space="preserve"> </w:t>
      </w:r>
      <w:proofErr w:type="spellStart"/>
      <w:r w:rsidRPr="000C7C76">
        <w:t>tiesu</w:t>
      </w:r>
      <w:proofErr w:type="spellEnd"/>
      <w:r w:rsidRPr="000C7C76">
        <w:t xml:space="preserve"> </w:t>
      </w:r>
      <w:proofErr w:type="spellStart"/>
      <w:r w:rsidRPr="000C7C76">
        <w:t>praksē</w:t>
      </w:r>
      <w:proofErr w:type="spellEnd"/>
      <w:r w:rsidRPr="000C7C76">
        <w:t xml:space="preserve"> </w:t>
      </w:r>
      <w:proofErr w:type="spellStart"/>
      <w:r w:rsidRPr="000C7C76">
        <w:t>tiek</w:t>
      </w:r>
      <w:proofErr w:type="spellEnd"/>
      <w:r w:rsidRPr="000C7C76">
        <w:t xml:space="preserve"> </w:t>
      </w:r>
      <w:proofErr w:type="spellStart"/>
      <w:r w:rsidRPr="000C7C76">
        <w:t>norādīts</w:t>
      </w:r>
      <w:proofErr w:type="spellEnd"/>
      <w:r w:rsidRPr="000C7C76">
        <w:t xml:space="preserve"> </w:t>
      </w:r>
      <w:proofErr w:type="spellStart"/>
      <w:r w:rsidRPr="000C7C76">
        <w:t>uz</w:t>
      </w:r>
      <w:proofErr w:type="spellEnd"/>
      <w:r w:rsidRPr="000C7C76">
        <w:t xml:space="preserve"> </w:t>
      </w:r>
      <w:proofErr w:type="spellStart"/>
      <w:r w:rsidRPr="000C7C76">
        <w:t>to</w:t>
      </w:r>
      <w:proofErr w:type="spellEnd"/>
      <w:r w:rsidRPr="000C7C76">
        <w:t xml:space="preserve">, </w:t>
      </w:r>
      <w:proofErr w:type="spellStart"/>
      <w:r w:rsidRPr="000C7C76">
        <w:t>ka</w:t>
      </w:r>
      <w:proofErr w:type="spellEnd"/>
      <w:r w:rsidRPr="000C7C76">
        <w:t xml:space="preserve"> </w:t>
      </w:r>
      <w:proofErr w:type="spellStart"/>
      <w:r w:rsidRPr="000C7C76">
        <w:t>juridiskai</w:t>
      </w:r>
      <w:proofErr w:type="spellEnd"/>
      <w:r w:rsidRPr="000C7C76">
        <w:t xml:space="preserve"> </w:t>
      </w:r>
      <w:proofErr w:type="spellStart"/>
      <w:r w:rsidRPr="000C7C76">
        <w:t>personai</w:t>
      </w:r>
      <w:proofErr w:type="spellEnd"/>
      <w:r w:rsidRPr="000C7C76">
        <w:t xml:space="preserve"> </w:t>
      </w:r>
      <w:proofErr w:type="spellStart"/>
      <w:r w:rsidRPr="000C7C76">
        <w:t>ir</w:t>
      </w:r>
      <w:proofErr w:type="spellEnd"/>
      <w:r w:rsidRPr="000C7C76">
        <w:t xml:space="preserve"> </w:t>
      </w:r>
      <w:proofErr w:type="spellStart"/>
      <w:r w:rsidRPr="000C7C76">
        <w:t>jābūt</w:t>
      </w:r>
      <w:proofErr w:type="spellEnd"/>
      <w:r w:rsidRPr="000C7C76">
        <w:t xml:space="preserve"> </w:t>
      </w:r>
      <w:proofErr w:type="spellStart"/>
      <w:r w:rsidRPr="000C7C76">
        <w:t>tiesībspējai</w:t>
      </w:r>
      <w:proofErr w:type="spellEnd"/>
      <w:r w:rsidRPr="000C7C76">
        <w:t xml:space="preserve"> </w:t>
      </w:r>
      <w:proofErr w:type="spellStart"/>
      <w:r w:rsidRPr="000C7C76">
        <w:t>un</w:t>
      </w:r>
      <w:proofErr w:type="spellEnd"/>
      <w:r w:rsidRPr="000C7C76">
        <w:t xml:space="preserve"> </w:t>
      </w:r>
      <w:proofErr w:type="spellStart"/>
      <w:r w:rsidRPr="000C7C76">
        <w:t>rīcībspējai</w:t>
      </w:r>
      <w:proofErr w:type="spellEnd"/>
      <w:r w:rsidRPr="000C7C76">
        <w:t xml:space="preserve"> </w:t>
      </w:r>
      <w:proofErr w:type="spellStart"/>
      <w:r w:rsidRPr="000C7C76">
        <w:t>gan</w:t>
      </w:r>
      <w:proofErr w:type="spellEnd"/>
      <w:r w:rsidRPr="000C7C76">
        <w:t xml:space="preserve"> </w:t>
      </w:r>
      <w:proofErr w:type="spellStart"/>
      <w:r w:rsidRPr="000C7C76">
        <w:t>saskaņā</w:t>
      </w:r>
      <w:proofErr w:type="spellEnd"/>
      <w:r w:rsidRPr="000C7C76">
        <w:t xml:space="preserve"> </w:t>
      </w:r>
      <w:proofErr w:type="spellStart"/>
      <w:r w:rsidRPr="000C7C76">
        <w:t>ar</w:t>
      </w:r>
      <w:proofErr w:type="spellEnd"/>
      <w:r w:rsidRPr="000C7C76">
        <w:t xml:space="preserve"> </w:t>
      </w:r>
      <w:proofErr w:type="spellStart"/>
      <w:r w:rsidRPr="000C7C76">
        <w:t>tās</w:t>
      </w:r>
      <w:proofErr w:type="spellEnd"/>
      <w:r w:rsidRPr="000C7C76">
        <w:t xml:space="preserve"> </w:t>
      </w:r>
      <w:proofErr w:type="spellStart"/>
      <w:r w:rsidRPr="000C7C76">
        <w:t>valsts</w:t>
      </w:r>
      <w:proofErr w:type="spellEnd"/>
      <w:r w:rsidRPr="000C7C76">
        <w:t xml:space="preserve"> </w:t>
      </w:r>
      <w:proofErr w:type="spellStart"/>
      <w:r w:rsidRPr="000C7C76">
        <w:t>likumu</w:t>
      </w:r>
      <w:proofErr w:type="spellEnd"/>
      <w:r w:rsidRPr="000C7C76">
        <w:t xml:space="preserve">, </w:t>
      </w:r>
      <w:proofErr w:type="spellStart"/>
      <w:r w:rsidRPr="000C7C76">
        <w:t>kas</w:t>
      </w:r>
      <w:proofErr w:type="spellEnd"/>
      <w:r w:rsidRPr="000C7C76">
        <w:t xml:space="preserve"> </w:t>
      </w:r>
      <w:proofErr w:type="spellStart"/>
      <w:r w:rsidRPr="000C7C76">
        <w:t>piemērojams</w:t>
      </w:r>
      <w:proofErr w:type="spellEnd"/>
      <w:r w:rsidRPr="000C7C76">
        <w:t xml:space="preserve"> </w:t>
      </w:r>
      <w:proofErr w:type="spellStart"/>
      <w:r w:rsidRPr="000C7C76">
        <w:t>galvenajam</w:t>
      </w:r>
      <w:proofErr w:type="spellEnd"/>
      <w:r w:rsidRPr="000C7C76">
        <w:t xml:space="preserve"> </w:t>
      </w:r>
      <w:proofErr w:type="spellStart"/>
      <w:r w:rsidRPr="000C7C76">
        <w:t>līgumam</w:t>
      </w:r>
      <w:proofErr w:type="spellEnd"/>
      <w:r w:rsidRPr="000C7C76">
        <w:t xml:space="preserve">, </w:t>
      </w:r>
      <w:proofErr w:type="spellStart"/>
      <w:r w:rsidRPr="000C7C76">
        <w:t>gan</w:t>
      </w:r>
      <w:proofErr w:type="spellEnd"/>
      <w:r w:rsidRPr="000C7C76">
        <w:t xml:space="preserve"> </w:t>
      </w:r>
      <w:proofErr w:type="spellStart"/>
      <w:r w:rsidRPr="000C7C76">
        <w:t>arī</w:t>
      </w:r>
      <w:proofErr w:type="spellEnd"/>
      <w:r w:rsidRPr="000C7C76">
        <w:t xml:space="preserve"> </w:t>
      </w:r>
      <w:proofErr w:type="spellStart"/>
      <w:r w:rsidRPr="000C7C76">
        <w:t>saskaņā</w:t>
      </w:r>
      <w:proofErr w:type="spellEnd"/>
      <w:r w:rsidRPr="000C7C76">
        <w:t xml:space="preserve"> </w:t>
      </w:r>
      <w:proofErr w:type="spellStart"/>
      <w:r w:rsidRPr="000C7C76">
        <w:t>ar</w:t>
      </w:r>
      <w:proofErr w:type="spellEnd"/>
      <w:r w:rsidRPr="000C7C76">
        <w:t xml:space="preserve"> </w:t>
      </w:r>
      <w:proofErr w:type="spellStart"/>
      <w:r w:rsidRPr="000C7C76">
        <w:t>juridiskas</w:t>
      </w:r>
      <w:proofErr w:type="spellEnd"/>
      <w:r w:rsidRPr="000C7C76">
        <w:t xml:space="preserve"> personas </w:t>
      </w:r>
      <w:proofErr w:type="spellStart"/>
      <w:r w:rsidRPr="000C7C76">
        <w:t>inkorporācijas</w:t>
      </w:r>
      <w:proofErr w:type="spellEnd"/>
      <w:r w:rsidRPr="000C7C76">
        <w:t xml:space="preserve"> (</w:t>
      </w:r>
      <w:proofErr w:type="spellStart"/>
      <w:r w:rsidRPr="000C7C76">
        <w:t>reģistrācijas</w:t>
      </w:r>
      <w:proofErr w:type="spellEnd"/>
      <w:r w:rsidRPr="000C7C76">
        <w:t xml:space="preserve">) </w:t>
      </w:r>
      <w:proofErr w:type="spellStart"/>
      <w:r w:rsidRPr="000C7C76">
        <w:t>vietas</w:t>
      </w:r>
      <w:proofErr w:type="spellEnd"/>
      <w:r w:rsidRPr="000C7C76">
        <w:t xml:space="preserve"> </w:t>
      </w:r>
      <w:proofErr w:type="spellStart"/>
      <w:r w:rsidRPr="000C7C76">
        <w:t>valsts</w:t>
      </w:r>
      <w:proofErr w:type="spellEnd"/>
      <w:r w:rsidRPr="000C7C76">
        <w:t xml:space="preserve"> </w:t>
      </w:r>
      <w:proofErr w:type="spellStart"/>
      <w:r w:rsidRPr="000C7C76">
        <w:t>likumu</w:t>
      </w:r>
      <w:proofErr w:type="spellEnd"/>
      <w:r w:rsidRPr="000C7C76">
        <w:t>.</w:t>
      </w:r>
      <w:r>
        <w:rPr>
          <w:rStyle w:val="FootnoteReference"/>
          <w:lang w:val="fr-FR"/>
        </w:rPr>
        <w:footnoteReference w:id="152"/>
      </w:r>
      <w:r w:rsidRPr="000C7C76">
        <w:t xml:space="preserve"> </w:t>
      </w:r>
    </w:p>
    <w:p w14:paraId="32214816" w14:textId="77777777" w:rsidR="00114953" w:rsidRPr="00AA20DC" w:rsidRDefault="00114953" w:rsidP="00114953">
      <w:pPr>
        <w:pStyle w:val="tv213"/>
        <w:ind w:firstLine="708"/>
        <w:jc w:val="both"/>
        <w:rPr>
          <w:highlight w:val="yellow"/>
          <w:lang w:val="lv-LV"/>
        </w:rPr>
      </w:pPr>
      <w:r>
        <w:rPr>
          <w:lang w:val="lv-LV"/>
        </w:rPr>
        <w:t>Kā iepriekš tika minēts, n</w:t>
      </w:r>
      <w:r w:rsidRPr="00246F85">
        <w:rPr>
          <w:lang w:val="lv-LV"/>
        </w:rPr>
        <w:t>o Roma I Regulas darbīb</w:t>
      </w:r>
      <w:r>
        <w:rPr>
          <w:lang w:val="lv-LV"/>
        </w:rPr>
        <w:t>as jomas ir izslēgti jautājumi</w:t>
      </w:r>
      <w:r w:rsidRPr="00246F85">
        <w:rPr>
          <w:lang w:val="lv-LV"/>
        </w:rPr>
        <w:t xml:space="preserve">, ko reglamentē tiesību akti par uzņēmējsabiedrībām un citām korporatīvām vai nekorporatīvām struktūrām, piemēram, to izveide, reģistrējot vai kā citādi, </w:t>
      </w:r>
      <w:r w:rsidRPr="00246F85">
        <w:rPr>
          <w:u w:val="single"/>
          <w:lang w:val="lv-LV"/>
        </w:rPr>
        <w:t>tiesībspēja un rīcībspēja</w:t>
      </w:r>
      <w:r w:rsidRPr="00246F85">
        <w:rPr>
          <w:lang w:val="lv-LV"/>
        </w:rPr>
        <w:t>, iekšējā organizācija vai likvidācija un institūciju vai amatpersonu un dalībnieku personiskā atbildība par uzņēmējsabiedrības vai struktūras saistībām (skat. Regulas 1.p. 2.d. “f” punktu).</w:t>
      </w:r>
      <w:r>
        <w:rPr>
          <w:lang w:val="lv-LV"/>
        </w:rPr>
        <w:t xml:space="preserve"> Ar juridiskas personas tiesībspēju un rīcībspēju Roma I Regulas 1.panta otrās daļas “f” punktā ir domāta juridiskas personas spēja uzņemties tiesības un pienākumus, kā arī spēja rīkoties.</w:t>
      </w:r>
      <w:r>
        <w:rPr>
          <w:rStyle w:val="FootnoteReference"/>
          <w:lang w:val="lv-LV"/>
        </w:rPr>
        <w:footnoteReference w:id="153"/>
      </w:r>
      <w:r>
        <w:rPr>
          <w:lang w:val="lv-LV"/>
        </w:rPr>
        <w:t xml:space="preserve"> Savukārt jautājumi par to, vai institūcija vai amatpersona var radīt saistības uzņēmējsabiedrībai vai citai korporatīvai vai nekorporatīvai struktūrai, arī ir izslēgti no Regulas darbības jomas (skat. Regulas 1.p. 2.d. “g” punktu). Līdz ar to Roma I Regula šiem jautājumiem nav piemērojama.</w:t>
      </w:r>
    </w:p>
    <w:p w14:paraId="41D744D7" w14:textId="5B4DB0DC" w:rsidR="00114953" w:rsidRDefault="00114953" w:rsidP="00114953">
      <w:pPr>
        <w:pStyle w:val="tv213"/>
        <w:ind w:firstLine="708"/>
        <w:jc w:val="both"/>
        <w:rPr>
          <w:lang w:val="lv-LV"/>
        </w:rPr>
      </w:pPr>
      <w:proofErr w:type="spellStart"/>
      <w:r w:rsidRPr="00EE37C4">
        <w:t>Saskaņā</w:t>
      </w:r>
      <w:proofErr w:type="spellEnd"/>
      <w:r w:rsidRPr="00EE37C4">
        <w:t xml:space="preserve"> </w:t>
      </w:r>
      <w:proofErr w:type="spellStart"/>
      <w:r w:rsidRPr="00EE37C4">
        <w:t>ar</w:t>
      </w:r>
      <w:proofErr w:type="spellEnd"/>
      <w:r w:rsidRPr="00EE37C4">
        <w:t xml:space="preserve"> </w:t>
      </w:r>
      <w:proofErr w:type="spellStart"/>
      <w:r w:rsidRPr="00EE37C4">
        <w:t>Civillikuma</w:t>
      </w:r>
      <w:proofErr w:type="spellEnd"/>
      <w:r w:rsidRPr="00EE37C4">
        <w:t xml:space="preserve"> (</w:t>
      </w:r>
      <w:proofErr w:type="spellStart"/>
      <w:r w:rsidRPr="00EE37C4">
        <w:t>turpmāk</w:t>
      </w:r>
      <w:proofErr w:type="spellEnd"/>
      <w:r w:rsidRPr="00EE37C4">
        <w:t xml:space="preserve"> – CL</w:t>
      </w:r>
      <w:proofErr w:type="gramStart"/>
      <w:r w:rsidRPr="00EE37C4">
        <w:t xml:space="preserve">)  </w:t>
      </w:r>
      <w:proofErr w:type="spellStart"/>
      <w:r w:rsidRPr="00EE37C4">
        <w:t>Ievada</w:t>
      </w:r>
      <w:proofErr w:type="spellEnd"/>
      <w:proofErr w:type="gramEnd"/>
      <w:r w:rsidRPr="00EE37C4">
        <w:t xml:space="preserve">  8.panta </w:t>
      </w:r>
      <w:proofErr w:type="spellStart"/>
      <w:r w:rsidRPr="00EE37C4">
        <w:t>trešo</w:t>
      </w:r>
      <w:proofErr w:type="spellEnd"/>
      <w:r w:rsidRPr="00EE37C4">
        <w:t xml:space="preserve"> </w:t>
      </w:r>
      <w:proofErr w:type="spellStart"/>
      <w:r w:rsidRPr="00EE37C4">
        <w:t>daļu</w:t>
      </w:r>
      <w:proofErr w:type="spellEnd"/>
      <w:r>
        <w:t xml:space="preserve"> „</w:t>
      </w:r>
      <w:proofErr w:type="spellStart"/>
      <w:r w:rsidRPr="002F75E9">
        <w:rPr>
          <w:i/>
        </w:rPr>
        <w:t>Juridiskas</w:t>
      </w:r>
      <w:proofErr w:type="spellEnd"/>
      <w:r w:rsidRPr="002F75E9">
        <w:rPr>
          <w:i/>
        </w:rPr>
        <w:t xml:space="preserve"> personas </w:t>
      </w:r>
      <w:proofErr w:type="spellStart"/>
      <w:r w:rsidRPr="002F75E9">
        <w:rPr>
          <w:i/>
        </w:rPr>
        <w:t>tiesību</w:t>
      </w:r>
      <w:proofErr w:type="spellEnd"/>
      <w:r w:rsidRPr="002F75E9">
        <w:rPr>
          <w:i/>
        </w:rPr>
        <w:t xml:space="preserve"> </w:t>
      </w:r>
      <w:proofErr w:type="spellStart"/>
      <w:r w:rsidRPr="002F75E9">
        <w:rPr>
          <w:i/>
        </w:rPr>
        <w:t>un</w:t>
      </w:r>
      <w:proofErr w:type="spellEnd"/>
      <w:r w:rsidRPr="002F75E9">
        <w:rPr>
          <w:i/>
        </w:rPr>
        <w:t xml:space="preserve"> </w:t>
      </w:r>
      <w:proofErr w:type="spellStart"/>
      <w:r w:rsidRPr="002F75E9">
        <w:rPr>
          <w:i/>
        </w:rPr>
        <w:t>rīcības</w:t>
      </w:r>
      <w:proofErr w:type="spellEnd"/>
      <w:r w:rsidRPr="002F75E9">
        <w:rPr>
          <w:i/>
        </w:rPr>
        <w:t xml:space="preserve"> </w:t>
      </w:r>
      <w:proofErr w:type="spellStart"/>
      <w:r w:rsidRPr="002F75E9">
        <w:rPr>
          <w:i/>
        </w:rPr>
        <w:t>spēja</w:t>
      </w:r>
      <w:proofErr w:type="spellEnd"/>
      <w:r w:rsidRPr="002F75E9">
        <w:rPr>
          <w:i/>
        </w:rPr>
        <w:t xml:space="preserve"> </w:t>
      </w:r>
      <w:proofErr w:type="spellStart"/>
      <w:r w:rsidRPr="002F75E9">
        <w:rPr>
          <w:i/>
        </w:rPr>
        <w:t>nosakāma</w:t>
      </w:r>
      <w:proofErr w:type="spellEnd"/>
      <w:r w:rsidRPr="002F75E9">
        <w:rPr>
          <w:i/>
        </w:rPr>
        <w:t xml:space="preserve"> </w:t>
      </w:r>
      <w:proofErr w:type="spellStart"/>
      <w:r w:rsidRPr="002F75E9">
        <w:rPr>
          <w:i/>
        </w:rPr>
        <w:t>pēc</w:t>
      </w:r>
      <w:proofErr w:type="spellEnd"/>
      <w:r w:rsidRPr="002F75E9">
        <w:rPr>
          <w:i/>
        </w:rPr>
        <w:t xml:space="preserve"> </w:t>
      </w:r>
      <w:proofErr w:type="spellStart"/>
      <w:r w:rsidRPr="002F75E9">
        <w:rPr>
          <w:i/>
        </w:rPr>
        <w:t>viņas</w:t>
      </w:r>
      <w:proofErr w:type="spellEnd"/>
      <w:r w:rsidRPr="002F75E9">
        <w:rPr>
          <w:i/>
        </w:rPr>
        <w:t xml:space="preserve"> </w:t>
      </w:r>
      <w:proofErr w:type="spellStart"/>
      <w:r w:rsidRPr="002F75E9">
        <w:rPr>
          <w:i/>
        </w:rPr>
        <w:t>valdes</w:t>
      </w:r>
      <w:proofErr w:type="spellEnd"/>
      <w:r w:rsidRPr="002F75E9">
        <w:rPr>
          <w:i/>
        </w:rPr>
        <w:t xml:space="preserve"> </w:t>
      </w:r>
      <w:proofErr w:type="spellStart"/>
      <w:r w:rsidRPr="002F75E9">
        <w:rPr>
          <w:i/>
        </w:rPr>
        <w:t>atrašanās</w:t>
      </w:r>
      <w:proofErr w:type="spellEnd"/>
      <w:r w:rsidRPr="002F75E9">
        <w:rPr>
          <w:i/>
        </w:rPr>
        <w:t xml:space="preserve"> </w:t>
      </w:r>
      <w:proofErr w:type="spellStart"/>
      <w:r w:rsidRPr="002F75E9">
        <w:rPr>
          <w:i/>
        </w:rPr>
        <w:t>vietas</w:t>
      </w:r>
      <w:proofErr w:type="spellEnd"/>
      <w:r w:rsidRPr="002F75E9">
        <w:rPr>
          <w:i/>
        </w:rPr>
        <w:t xml:space="preserve"> </w:t>
      </w:r>
      <w:proofErr w:type="spellStart"/>
      <w:r w:rsidRPr="002F75E9">
        <w:rPr>
          <w:i/>
        </w:rPr>
        <w:t>likuma</w:t>
      </w:r>
      <w:proofErr w:type="spellEnd"/>
      <w:r>
        <w:rPr>
          <w:i/>
        </w:rPr>
        <w:t>“</w:t>
      </w:r>
      <w:r>
        <w:t>.</w:t>
      </w:r>
      <w:r w:rsidRPr="002F75E9">
        <w:rPr>
          <w:color w:val="323233"/>
        </w:rPr>
        <w:t xml:space="preserve"> </w:t>
      </w:r>
      <w:proofErr w:type="spellStart"/>
      <w:r>
        <w:rPr>
          <w:color w:val="323233"/>
        </w:rPr>
        <w:t>Turklāt</w:t>
      </w:r>
      <w:proofErr w:type="spellEnd"/>
      <w:r>
        <w:rPr>
          <w:color w:val="323233"/>
        </w:rPr>
        <w:t xml:space="preserve">, </w:t>
      </w:r>
      <w:proofErr w:type="spellStart"/>
      <w:r>
        <w:rPr>
          <w:color w:val="323233"/>
        </w:rPr>
        <w:t>neskarti</w:t>
      </w:r>
      <w:proofErr w:type="spellEnd"/>
      <w:r>
        <w:rPr>
          <w:color w:val="323233"/>
        </w:rPr>
        <w:t xml:space="preserve"> </w:t>
      </w:r>
      <w:proofErr w:type="spellStart"/>
      <w:r>
        <w:rPr>
          <w:color w:val="323233"/>
        </w:rPr>
        <w:t>paliek</w:t>
      </w:r>
      <w:proofErr w:type="spellEnd"/>
      <w:r>
        <w:rPr>
          <w:color w:val="323233"/>
        </w:rPr>
        <w:t xml:space="preserve"> Latvijas </w:t>
      </w:r>
      <w:proofErr w:type="spellStart"/>
      <w:r>
        <w:rPr>
          <w:color w:val="323233"/>
        </w:rPr>
        <w:t>likumu</w:t>
      </w:r>
      <w:proofErr w:type="spellEnd"/>
      <w:r>
        <w:rPr>
          <w:color w:val="323233"/>
        </w:rPr>
        <w:t xml:space="preserve"> </w:t>
      </w:r>
      <w:proofErr w:type="spellStart"/>
      <w:r>
        <w:rPr>
          <w:color w:val="323233"/>
        </w:rPr>
        <w:t>noteikumi</w:t>
      </w:r>
      <w:proofErr w:type="spellEnd"/>
      <w:r>
        <w:rPr>
          <w:color w:val="323233"/>
        </w:rPr>
        <w:t xml:space="preserve">, </w:t>
      </w:r>
      <w:proofErr w:type="spellStart"/>
      <w:r>
        <w:rPr>
          <w:color w:val="323233"/>
        </w:rPr>
        <w:t>kas</w:t>
      </w:r>
      <w:proofErr w:type="spellEnd"/>
      <w:r>
        <w:rPr>
          <w:color w:val="323233"/>
        </w:rPr>
        <w:t xml:space="preserve"> </w:t>
      </w:r>
      <w:proofErr w:type="spellStart"/>
      <w:r>
        <w:rPr>
          <w:color w:val="323233"/>
        </w:rPr>
        <w:t>ierobežo</w:t>
      </w:r>
      <w:proofErr w:type="spellEnd"/>
      <w:r>
        <w:rPr>
          <w:color w:val="323233"/>
        </w:rPr>
        <w:t xml:space="preserve"> </w:t>
      </w:r>
      <w:proofErr w:type="spellStart"/>
      <w:r>
        <w:rPr>
          <w:color w:val="323233"/>
        </w:rPr>
        <w:t>ārzemnieku</w:t>
      </w:r>
      <w:proofErr w:type="spellEnd"/>
      <w:r>
        <w:rPr>
          <w:color w:val="323233"/>
        </w:rPr>
        <w:t xml:space="preserve"> </w:t>
      </w:r>
      <w:proofErr w:type="spellStart"/>
      <w:r>
        <w:rPr>
          <w:color w:val="323233"/>
        </w:rPr>
        <w:t>tiesību</w:t>
      </w:r>
      <w:proofErr w:type="spellEnd"/>
      <w:r>
        <w:rPr>
          <w:color w:val="323233"/>
        </w:rPr>
        <w:t xml:space="preserve"> </w:t>
      </w:r>
      <w:proofErr w:type="spellStart"/>
      <w:r>
        <w:rPr>
          <w:color w:val="323233"/>
        </w:rPr>
        <w:t>vai</w:t>
      </w:r>
      <w:proofErr w:type="spellEnd"/>
      <w:r>
        <w:rPr>
          <w:color w:val="323233"/>
        </w:rPr>
        <w:t xml:space="preserve"> </w:t>
      </w:r>
      <w:proofErr w:type="spellStart"/>
      <w:r>
        <w:rPr>
          <w:color w:val="323233"/>
        </w:rPr>
        <w:t>rīcības</w:t>
      </w:r>
      <w:proofErr w:type="spellEnd"/>
      <w:r>
        <w:rPr>
          <w:color w:val="323233"/>
        </w:rPr>
        <w:t xml:space="preserve"> </w:t>
      </w:r>
      <w:proofErr w:type="spellStart"/>
      <w:r>
        <w:rPr>
          <w:color w:val="323233"/>
        </w:rPr>
        <w:t>spēju</w:t>
      </w:r>
      <w:proofErr w:type="spellEnd"/>
      <w:r>
        <w:rPr>
          <w:color w:val="323233"/>
        </w:rPr>
        <w:t xml:space="preserve"> </w:t>
      </w:r>
      <w:proofErr w:type="spellStart"/>
      <w:r>
        <w:rPr>
          <w:color w:val="323233"/>
        </w:rPr>
        <w:t>Latvijā</w:t>
      </w:r>
      <w:proofErr w:type="spellEnd"/>
      <w:r>
        <w:rPr>
          <w:color w:val="323233"/>
        </w:rPr>
        <w:t xml:space="preserve"> (CL </w:t>
      </w:r>
      <w:proofErr w:type="spellStart"/>
      <w:r>
        <w:rPr>
          <w:color w:val="323233"/>
        </w:rPr>
        <w:t>Ievada</w:t>
      </w:r>
      <w:proofErr w:type="spellEnd"/>
      <w:r>
        <w:rPr>
          <w:color w:val="323233"/>
        </w:rPr>
        <w:t xml:space="preserve"> 8.p. 4.d.). </w:t>
      </w:r>
      <w:proofErr w:type="spellStart"/>
      <w:r>
        <w:rPr>
          <w:color w:val="323233"/>
        </w:rPr>
        <w:t>Līdz</w:t>
      </w:r>
      <w:proofErr w:type="spellEnd"/>
      <w:r>
        <w:rPr>
          <w:color w:val="323233"/>
        </w:rPr>
        <w:t xml:space="preserve"> </w:t>
      </w:r>
      <w:proofErr w:type="spellStart"/>
      <w:r>
        <w:rPr>
          <w:color w:val="323233"/>
        </w:rPr>
        <w:t>ar</w:t>
      </w:r>
      <w:proofErr w:type="spellEnd"/>
      <w:r>
        <w:rPr>
          <w:color w:val="323233"/>
        </w:rPr>
        <w:t xml:space="preserve"> </w:t>
      </w:r>
      <w:proofErr w:type="spellStart"/>
      <w:r>
        <w:rPr>
          <w:color w:val="323233"/>
        </w:rPr>
        <w:t>to</w:t>
      </w:r>
      <w:proofErr w:type="spellEnd"/>
      <w:r>
        <w:rPr>
          <w:color w:val="323233"/>
        </w:rPr>
        <w:t xml:space="preserve"> </w:t>
      </w:r>
      <w:proofErr w:type="spellStart"/>
      <w:r>
        <w:rPr>
          <w:color w:val="323233"/>
        </w:rPr>
        <w:t>Latvijā</w:t>
      </w:r>
      <w:proofErr w:type="spellEnd"/>
      <w:r>
        <w:rPr>
          <w:color w:val="323233"/>
        </w:rPr>
        <w:t xml:space="preserve"> </w:t>
      </w:r>
      <w:proofErr w:type="spellStart"/>
      <w:r>
        <w:rPr>
          <w:color w:val="323233"/>
        </w:rPr>
        <w:t>tiek</w:t>
      </w:r>
      <w:proofErr w:type="spellEnd"/>
      <w:r>
        <w:rPr>
          <w:color w:val="323233"/>
        </w:rPr>
        <w:t xml:space="preserve"> </w:t>
      </w:r>
      <w:proofErr w:type="spellStart"/>
      <w:r>
        <w:rPr>
          <w:color w:val="323233"/>
        </w:rPr>
        <w:t>ņemts</w:t>
      </w:r>
      <w:proofErr w:type="spellEnd"/>
      <w:r>
        <w:rPr>
          <w:color w:val="323233"/>
        </w:rPr>
        <w:t xml:space="preserve"> </w:t>
      </w:r>
      <w:proofErr w:type="spellStart"/>
      <w:r>
        <w:rPr>
          <w:color w:val="323233"/>
        </w:rPr>
        <w:t>vērā</w:t>
      </w:r>
      <w:proofErr w:type="spellEnd"/>
      <w:r>
        <w:rPr>
          <w:color w:val="323233"/>
        </w:rPr>
        <w:t xml:space="preserve"> </w:t>
      </w:r>
      <w:proofErr w:type="spellStart"/>
      <w:r>
        <w:rPr>
          <w:color w:val="323233"/>
        </w:rPr>
        <w:t>nevis</w:t>
      </w:r>
      <w:proofErr w:type="spellEnd"/>
      <w:r>
        <w:rPr>
          <w:color w:val="323233"/>
        </w:rPr>
        <w:t xml:space="preserve"> </w:t>
      </w:r>
      <w:proofErr w:type="spellStart"/>
      <w:r>
        <w:rPr>
          <w:color w:val="323233"/>
        </w:rPr>
        <w:t>juridiskas</w:t>
      </w:r>
      <w:proofErr w:type="spellEnd"/>
      <w:r>
        <w:rPr>
          <w:color w:val="323233"/>
        </w:rPr>
        <w:t xml:space="preserve"> personas </w:t>
      </w:r>
      <w:proofErr w:type="spellStart"/>
      <w:r>
        <w:rPr>
          <w:color w:val="323233"/>
        </w:rPr>
        <w:t>reģistrācijas</w:t>
      </w:r>
      <w:proofErr w:type="spellEnd"/>
      <w:r>
        <w:rPr>
          <w:color w:val="323233"/>
        </w:rPr>
        <w:t xml:space="preserve"> </w:t>
      </w:r>
      <w:proofErr w:type="spellStart"/>
      <w:r>
        <w:rPr>
          <w:color w:val="323233"/>
        </w:rPr>
        <w:t>vietas</w:t>
      </w:r>
      <w:proofErr w:type="spellEnd"/>
      <w:r>
        <w:rPr>
          <w:color w:val="323233"/>
        </w:rPr>
        <w:t xml:space="preserve"> </w:t>
      </w:r>
      <w:proofErr w:type="spellStart"/>
      <w:r>
        <w:rPr>
          <w:color w:val="323233"/>
        </w:rPr>
        <w:t>valsts</w:t>
      </w:r>
      <w:proofErr w:type="spellEnd"/>
      <w:r>
        <w:rPr>
          <w:color w:val="323233"/>
        </w:rPr>
        <w:t xml:space="preserve"> </w:t>
      </w:r>
      <w:proofErr w:type="spellStart"/>
      <w:r>
        <w:rPr>
          <w:color w:val="323233"/>
        </w:rPr>
        <w:t>likums</w:t>
      </w:r>
      <w:proofErr w:type="spellEnd"/>
      <w:r>
        <w:rPr>
          <w:color w:val="323233"/>
        </w:rPr>
        <w:t xml:space="preserve"> (</w:t>
      </w:r>
      <w:proofErr w:type="spellStart"/>
      <w:r>
        <w:rPr>
          <w:color w:val="323233"/>
        </w:rPr>
        <w:t>kā</w:t>
      </w:r>
      <w:proofErr w:type="spellEnd"/>
      <w:r>
        <w:rPr>
          <w:color w:val="323233"/>
        </w:rPr>
        <w:t xml:space="preserve"> </w:t>
      </w:r>
      <w:proofErr w:type="spellStart"/>
      <w:r>
        <w:rPr>
          <w:color w:val="323233"/>
        </w:rPr>
        <w:t>tas</w:t>
      </w:r>
      <w:proofErr w:type="spellEnd"/>
      <w:r>
        <w:rPr>
          <w:color w:val="323233"/>
        </w:rPr>
        <w:t xml:space="preserve"> </w:t>
      </w:r>
      <w:proofErr w:type="spellStart"/>
      <w:r>
        <w:rPr>
          <w:color w:val="323233"/>
        </w:rPr>
        <w:t>ir</w:t>
      </w:r>
      <w:proofErr w:type="spellEnd"/>
      <w:r>
        <w:rPr>
          <w:color w:val="323233"/>
        </w:rPr>
        <w:t xml:space="preserve"> anglo-</w:t>
      </w:r>
      <w:proofErr w:type="spellStart"/>
      <w:r>
        <w:rPr>
          <w:color w:val="323233"/>
        </w:rPr>
        <w:t>sakšu</w:t>
      </w:r>
      <w:proofErr w:type="spellEnd"/>
      <w:r w:rsidR="007D5283">
        <w:rPr>
          <w:color w:val="323233"/>
        </w:rPr>
        <w:t xml:space="preserve"> </w:t>
      </w:r>
      <w:proofErr w:type="spellStart"/>
      <w:r w:rsidR="007D5283">
        <w:rPr>
          <w:color w:val="323233"/>
        </w:rPr>
        <w:t>jeb</w:t>
      </w:r>
      <w:proofErr w:type="spellEnd"/>
      <w:r w:rsidR="007D5283">
        <w:rPr>
          <w:color w:val="323233"/>
        </w:rPr>
        <w:t xml:space="preserve"> </w:t>
      </w:r>
      <w:proofErr w:type="spellStart"/>
      <w:r w:rsidR="007D5283" w:rsidRPr="005F4839">
        <w:rPr>
          <w:i/>
          <w:lang w:val="lv-LV"/>
        </w:rPr>
        <w:t>Common</w:t>
      </w:r>
      <w:proofErr w:type="spellEnd"/>
      <w:r w:rsidR="007D5283" w:rsidRPr="005F4839">
        <w:rPr>
          <w:i/>
          <w:lang w:val="lv-LV"/>
        </w:rPr>
        <w:t xml:space="preserve"> </w:t>
      </w:r>
      <w:proofErr w:type="spellStart"/>
      <w:r w:rsidR="007D5283" w:rsidRPr="005F4839">
        <w:rPr>
          <w:i/>
          <w:lang w:val="lv-LV"/>
        </w:rPr>
        <w:t>Law</w:t>
      </w:r>
      <w:proofErr w:type="spellEnd"/>
      <w:r>
        <w:rPr>
          <w:color w:val="323233"/>
        </w:rPr>
        <w:t xml:space="preserve"> </w:t>
      </w:r>
      <w:proofErr w:type="spellStart"/>
      <w:r>
        <w:rPr>
          <w:color w:val="323233"/>
        </w:rPr>
        <w:t>tiesību</w:t>
      </w:r>
      <w:proofErr w:type="spellEnd"/>
      <w:r>
        <w:rPr>
          <w:color w:val="323233"/>
        </w:rPr>
        <w:t xml:space="preserve"> </w:t>
      </w:r>
      <w:proofErr w:type="spellStart"/>
      <w:r>
        <w:rPr>
          <w:color w:val="323233"/>
        </w:rPr>
        <w:t>sistēmas</w:t>
      </w:r>
      <w:proofErr w:type="spellEnd"/>
      <w:r>
        <w:rPr>
          <w:color w:val="323233"/>
        </w:rPr>
        <w:t xml:space="preserve"> </w:t>
      </w:r>
      <w:proofErr w:type="spellStart"/>
      <w:r>
        <w:rPr>
          <w:color w:val="323233"/>
        </w:rPr>
        <w:t>valstīs</w:t>
      </w:r>
      <w:proofErr w:type="spellEnd"/>
      <w:r>
        <w:rPr>
          <w:color w:val="323233"/>
        </w:rPr>
        <w:t xml:space="preserve">), </w:t>
      </w:r>
      <w:proofErr w:type="spellStart"/>
      <w:r>
        <w:rPr>
          <w:color w:val="323233"/>
        </w:rPr>
        <w:t>bet</w:t>
      </w:r>
      <w:proofErr w:type="spellEnd"/>
      <w:r>
        <w:rPr>
          <w:color w:val="323233"/>
        </w:rPr>
        <w:t xml:space="preserve"> </w:t>
      </w:r>
      <w:proofErr w:type="spellStart"/>
      <w:r>
        <w:rPr>
          <w:color w:val="323233"/>
        </w:rPr>
        <w:t>gan</w:t>
      </w:r>
      <w:proofErr w:type="spellEnd"/>
      <w:r>
        <w:rPr>
          <w:color w:val="323233"/>
        </w:rPr>
        <w:t xml:space="preserve"> </w:t>
      </w:r>
      <w:proofErr w:type="spellStart"/>
      <w:r>
        <w:rPr>
          <w:color w:val="323233"/>
        </w:rPr>
        <w:t>juridiskas</w:t>
      </w:r>
      <w:proofErr w:type="spellEnd"/>
      <w:r>
        <w:rPr>
          <w:color w:val="323233"/>
        </w:rPr>
        <w:t xml:space="preserve"> personas </w:t>
      </w:r>
      <w:proofErr w:type="spellStart"/>
      <w:r>
        <w:rPr>
          <w:color w:val="323233"/>
        </w:rPr>
        <w:t>valdes</w:t>
      </w:r>
      <w:proofErr w:type="spellEnd"/>
      <w:r>
        <w:rPr>
          <w:color w:val="323233"/>
        </w:rPr>
        <w:t xml:space="preserve"> </w:t>
      </w:r>
      <w:proofErr w:type="spellStart"/>
      <w:r>
        <w:rPr>
          <w:color w:val="323233"/>
        </w:rPr>
        <w:t>atrašanās</w:t>
      </w:r>
      <w:proofErr w:type="spellEnd"/>
      <w:r>
        <w:rPr>
          <w:color w:val="323233"/>
        </w:rPr>
        <w:t xml:space="preserve"> </w:t>
      </w:r>
      <w:proofErr w:type="spellStart"/>
      <w:r>
        <w:rPr>
          <w:color w:val="323233"/>
        </w:rPr>
        <w:t>vietas</w:t>
      </w:r>
      <w:proofErr w:type="spellEnd"/>
      <w:r>
        <w:rPr>
          <w:color w:val="323233"/>
        </w:rPr>
        <w:t xml:space="preserve"> </w:t>
      </w:r>
      <w:proofErr w:type="spellStart"/>
      <w:r>
        <w:rPr>
          <w:color w:val="323233"/>
        </w:rPr>
        <w:t>valsts</w:t>
      </w:r>
      <w:proofErr w:type="spellEnd"/>
      <w:r>
        <w:rPr>
          <w:color w:val="323233"/>
        </w:rPr>
        <w:t xml:space="preserve"> </w:t>
      </w:r>
      <w:proofErr w:type="spellStart"/>
      <w:r>
        <w:rPr>
          <w:color w:val="323233"/>
        </w:rPr>
        <w:t>likums</w:t>
      </w:r>
      <w:proofErr w:type="spellEnd"/>
      <w:r>
        <w:rPr>
          <w:color w:val="323233"/>
        </w:rPr>
        <w:t xml:space="preserve">. </w:t>
      </w:r>
      <w:proofErr w:type="spellStart"/>
      <w:r>
        <w:rPr>
          <w:color w:val="323233"/>
        </w:rPr>
        <w:t>Latvijā</w:t>
      </w:r>
      <w:proofErr w:type="spellEnd"/>
      <w:r>
        <w:rPr>
          <w:color w:val="323233"/>
        </w:rPr>
        <w:t xml:space="preserve"> </w:t>
      </w:r>
      <w:proofErr w:type="spellStart"/>
      <w:r>
        <w:rPr>
          <w:color w:val="323233"/>
        </w:rPr>
        <w:t>juridiskas</w:t>
      </w:r>
      <w:proofErr w:type="spellEnd"/>
      <w:r>
        <w:rPr>
          <w:color w:val="323233"/>
        </w:rPr>
        <w:t xml:space="preserve"> personas </w:t>
      </w:r>
      <w:proofErr w:type="spellStart"/>
      <w:r>
        <w:rPr>
          <w:color w:val="323233"/>
        </w:rPr>
        <w:t>personīgā</w:t>
      </w:r>
      <w:proofErr w:type="spellEnd"/>
      <w:r>
        <w:rPr>
          <w:color w:val="323233"/>
        </w:rPr>
        <w:t xml:space="preserve"> </w:t>
      </w:r>
      <w:proofErr w:type="spellStart"/>
      <w:r>
        <w:rPr>
          <w:color w:val="323233"/>
        </w:rPr>
        <w:t>likuma</w:t>
      </w:r>
      <w:proofErr w:type="spellEnd"/>
      <w:r>
        <w:rPr>
          <w:color w:val="323233"/>
        </w:rPr>
        <w:t xml:space="preserve"> (</w:t>
      </w:r>
      <w:proofErr w:type="spellStart"/>
      <w:r w:rsidRPr="003749B8">
        <w:rPr>
          <w:i/>
          <w:color w:val="323233"/>
        </w:rPr>
        <w:t>lex</w:t>
      </w:r>
      <w:proofErr w:type="spellEnd"/>
      <w:r w:rsidRPr="003749B8">
        <w:rPr>
          <w:i/>
          <w:color w:val="323233"/>
        </w:rPr>
        <w:t xml:space="preserve"> societatis</w:t>
      </w:r>
      <w:r>
        <w:rPr>
          <w:color w:val="323233"/>
        </w:rPr>
        <w:t xml:space="preserve">) </w:t>
      </w:r>
      <w:proofErr w:type="spellStart"/>
      <w:r>
        <w:rPr>
          <w:color w:val="323233"/>
        </w:rPr>
        <w:t>jomā</w:t>
      </w:r>
      <w:proofErr w:type="spellEnd"/>
      <w:r>
        <w:rPr>
          <w:color w:val="323233"/>
        </w:rPr>
        <w:t xml:space="preserve"> </w:t>
      </w:r>
      <w:proofErr w:type="spellStart"/>
      <w:r>
        <w:rPr>
          <w:color w:val="323233"/>
        </w:rPr>
        <w:t>ir</w:t>
      </w:r>
      <w:proofErr w:type="spellEnd"/>
      <w:r>
        <w:rPr>
          <w:color w:val="323233"/>
        </w:rPr>
        <w:t xml:space="preserve"> </w:t>
      </w:r>
      <w:proofErr w:type="spellStart"/>
      <w:r>
        <w:rPr>
          <w:color w:val="323233"/>
        </w:rPr>
        <w:t>pārstāvēta</w:t>
      </w:r>
      <w:proofErr w:type="spellEnd"/>
      <w:r>
        <w:rPr>
          <w:color w:val="323233"/>
        </w:rPr>
        <w:t xml:space="preserve"> </w:t>
      </w:r>
      <w:proofErr w:type="spellStart"/>
      <w:r w:rsidRPr="003749B8">
        <w:rPr>
          <w:b/>
          <w:color w:val="323233"/>
        </w:rPr>
        <w:t>valdes</w:t>
      </w:r>
      <w:proofErr w:type="spellEnd"/>
      <w:r w:rsidRPr="003749B8">
        <w:rPr>
          <w:b/>
          <w:color w:val="323233"/>
        </w:rPr>
        <w:t xml:space="preserve"> </w:t>
      </w:r>
      <w:proofErr w:type="spellStart"/>
      <w:r w:rsidRPr="003749B8">
        <w:rPr>
          <w:b/>
          <w:color w:val="323233"/>
        </w:rPr>
        <w:t>atrašanās</w:t>
      </w:r>
      <w:proofErr w:type="spellEnd"/>
      <w:r w:rsidRPr="003749B8">
        <w:rPr>
          <w:b/>
          <w:color w:val="323233"/>
        </w:rPr>
        <w:t xml:space="preserve"> </w:t>
      </w:r>
      <w:proofErr w:type="spellStart"/>
      <w:r w:rsidRPr="003749B8">
        <w:rPr>
          <w:b/>
          <w:color w:val="323233"/>
        </w:rPr>
        <w:t>vietas</w:t>
      </w:r>
      <w:proofErr w:type="spellEnd"/>
      <w:r w:rsidRPr="003749B8">
        <w:rPr>
          <w:b/>
          <w:color w:val="323233"/>
        </w:rPr>
        <w:t xml:space="preserve"> </w:t>
      </w:r>
      <w:proofErr w:type="spellStart"/>
      <w:r w:rsidRPr="003749B8">
        <w:rPr>
          <w:b/>
          <w:color w:val="323233"/>
        </w:rPr>
        <w:t>doktrīna</w:t>
      </w:r>
      <w:proofErr w:type="spellEnd"/>
      <w:r>
        <w:rPr>
          <w:b/>
          <w:color w:val="323233"/>
        </w:rPr>
        <w:t xml:space="preserve"> </w:t>
      </w:r>
      <w:r w:rsidRPr="00D33E79">
        <w:rPr>
          <w:color w:val="323233"/>
        </w:rPr>
        <w:t>(</w:t>
      </w:r>
      <w:proofErr w:type="spellStart"/>
      <w:r w:rsidRPr="00D33E79">
        <w:rPr>
          <w:color w:val="323233"/>
        </w:rPr>
        <w:t>vācu</w:t>
      </w:r>
      <w:proofErr w:type="spellEnd"/>
      <w:r w:rsidRPr="00D33E79">
        <w:rPr>
          <w:color w:val="323233"/>
        </w:rPr>
        <w:t xml:space="preserve"> </w:t>
      </w:r>
      <w:proofErr w:type="spellStart"/>
      <w:r w:rsidRPr="00D33E79">
        <w:rPr>
          <w:color w:val="323233"/>
        </w:rPr>
        <w:t>val</w:t>
      </w:r>
      <w:proofErr w:type="spellEnd"/>
      <w:r w:rsidRPr="00D33E79">
        <w:rPr>
          <w:color w:val="323233"/>
        </w:rPr>
        <w:t xml:space="preserve">. </w:t>
      </w:r>
      <w:r>
        <w:rPr>
          <w:color w:val="323233"/>
        </w:rPr>
        <w:t xml:space="preserve">- </w:t>
      </w:r>
      <w:proofErr w:type="gramStart"/>
      <w:r w:rsidRPr="00D33E79">
        <w:rPr>
          <w:i/>
          <w:color w:val="323233"/>
        </w:rPr>
        <w:t>Sitztheorie</w:t>
      </w:r>
      <w:r w:rsidRPr="00D33E79">
        <w:rPr>
          <w:color w:val="323233"/>
        </w:rPr>
        <w:t> ;</w:t>
      </w:r>
      <w:proofErr w:type="gramEnd"/>
      <w:r w:rsidRPr="00D33E79">
        <w:rPr>
          <w:color w:val="323233"/>
        </w:rPr>
        <w:t xml:space="preserve"> </w:t>
      </w:r>
      <w:proofErr w:type="spellStart"/>
      <w:r w:rsidRPr="00D33E79">
        <w:rPr>
          <w:color w:val="323233"/>
        </w:rPr>
        <w:t>franču</w:t>
      </w:r>
      <w:proofErr w:type="spellEnd"/>
      <w:r w:rsidRPr="00D33E79">
        <w:rPr>
          <w:color w:val="323233"/>
        </w:rPr>
        <w:t xml:space="preserve"> </w:t>
      </w:r>
      <w:proofErr w:type="spellStart"/>
      <w:r w:rsidRPr="00D33E79">
        <w:rPr>
          <w:color w:val="323233"/>
        </w:rPr>
        <w:t>val</w:t>
      </w:r>
      <w:proofErr w:type="spellEnd"/>
      <w:r w:rsidRPr="00D33E79">
        <w:rPr>
          <w:color w:val="323233"/>
        </w:rPr>
        <w:t xml:space="preserve">. </w:t>
      </w:r>
      <w:r>
        <w:rPr>
          <w:color w:val="323233"/>
        </w:rPr>
        <w:t xml:space="preserve">- </w:t>
      </w:r>
      <w:proofErr w:type="spellStart"/>
      <w:r w:rsidRPr="00D33E79">
        <w:rPr>
          <w:i/>
          <w:color w:val="323233"/>
        </w:rPr>
        <w:t>siège</w:t>
      </w:r>
      <w:proofErr w:type="spellEnd"/>
      <w:r w:rsidRPr="00D33E79">
        <w:rPr>
          <w:i/>
          <w:color w:val="323233"/>
        </w:rPr>
        <w:t xml:space="preserve"> social</w:t>
      </w:r>
      <w:r w:rsidRPr="00D33E79">
        <w:rPr>
          <w:color w:val="323233"/>
        </w:rPr>
        <w:t>)</w:t>
      </w:r>
      <w:r>
        <w:rPr>
          <w:color w:val="323233"/>
        </w:rPr>
        <w:t xml:space="preserve"> (</w:t>
      </w:r>
      <w:proofErr w:type="spellStart"/>
      <w:r>
        <w:rPr>
          <w:color w:val="323233"/>
        </w:rPr>
        <w:t>tā</w:t>
      </w:r>
      <w:proofErr w:type="spellEnd"/>
      <w:r>
        <w:rPr>
          <w:color w:val="323233"/>
        </w:rPr>
        <w:t xml:space="preserve"> </w:t>
      </w:r>
      <w:proofErr w:type="spellStart"/>
      <w:r>
        <w:rPr>
          <w:color w:val="323233"/>
        </w:rPr>
        <w:t>tas</w:t>
      </w:r>
      <w:proofErr w:type="spellEnd"/>
      <w:r>
        <w:rPr>
          <w:color w:val="323233"/>
        </w:rPr>
        <w:t xml:space="preserve"> </w:t>
      </w:r>
      <w:proofErr w:type="spellStart"/>
      <w:r>
        <w:rPr>
          <w:color w:val="323233"/>
        </w:rPr>
        <w:t>ir</w:t>
      </w:r>
      <w:proofErr w:type="spellEnd"/>
      <w:r>
        <w:rPr>
          <w:color w:val="323233"/>
        </w:rPr>
        <w:t xml:space="preserve"> </w:t>
      </w:r>
      <w:proofErr w:type="spellStart"/>
      <w:r>
        <w:rPr>
          <w:color w:val="323233"/>
        </w:rPr>
        <w:t>arī</w:t>
      </w:r>
      <w:proofErr w:type="spellEnd"/>
      <w:r>
        <w:rPr>
          <w:color w:val="323233"/>
        </w:rPr>
        <w:t xml:space="preserve"> </w:t>
      </w:r>
      <w:proofErr w:type="spellStart"/>
      <w:r>
        <w:rPr>
          <w:color w:val="323233"/>
        </w:rPr>
        <w:t>Francijā</w:t>
      </w:r>
      <w:proofErr w:type="spellEnd"/>
      <w:r>
        <w:rPr>
          <w:color w:val="323233"/>
        </w:rPr>
        <w:t xml:space="preserve">, </w:t>
      </w:r>
      <w:proofErr w:type="spellStart"/>
      <w:r>
        <w:rPr>
          <w:color w:val="323233"/>
        </w:rPr>
        <w:t>Vācijā</w:t>
      </w:r>
      <w:proofErr w:type="spellEnd"/>
      <w:r>
        <w:rPr>
          <w:color w:val="323233"/>
        </w:rPr>
        <w:t xml:space="preserve">), </w:t>
      </w:r>
      <w:proofErr w:type="spellStart"/>
      <w:r>
        <w:rPr>
          <w:color w:val="323233"/>
        </w:rPr>
        <w:t>kas</w:t>
      </w:r>
      <w:proofErr w:type="spellEnd"/>
      <w:r>
        <w:rPr>
          <w:color w:val="323233"/>
        </w:rPr>
        <w:t xml:space="preserve"> </w:t>
      </w:r>
      <w:proofErr w:type="spellStart"/>
      <w:r>
        <w:rPr>
          <w:color w:val="323233"/>
        </w:rPr>
        <w:t>ļauj</w:t>
      </w:r>
      <w:proofErr w:type="spellEnd"/>
      <w:r>
        <w:rPr>
          <w:color w:val="323233"/>
        </w:rPr>
        <w:t xml:space="preserve"> </w:t>
      </w:r>
      <w:proofErr w:type="spellStart"/>
      <w:r>
        <w:rPr>
          <w:color w:val="323233"/>
        </w:rPr>
        <w:t>izvairīties</w:t>
      </w:r>
      <w:proofErr w:type="spellEnd"/>
      <w:r>
        <w:rPr>
          <w:color w:val="323233"/>
        </w:rPr>
        <w:t xml:space="preserve"> </w:t>
      </w:r>
      <w:proofErr w:type="spellStart"/>
      <w:r>
        <w:rPr>
          <w:color w:val="323233"/>
        </w:rPr>
        <w:t>no</w:t>
      </w:r>
      <w:proofErr w:type="spellEnd"/>
      <w:r>
        <w:rPr>
          <w:color w:val="323233"/>
        </w:rPr>
        <w:t xml:space="preserve"> </w:t>
      </w:r>
      <w:proofErr w:type="spellStart"/>
      <w:r>
        <w:rPr>
          <w:color w:val="323233"/>
        </w:rPr>
        <w:t>situācijām</w:t>
      </w:r>
      <w:proofErr w:type="spellEnd"/>
      <w:r>
        <w:rPr>
          <w:color w:val="323233"/>
        </w:rPr>
        <w:t xml:space="preserve">, </w:t>
      </w:r>
      <w:proofErr w:type="spellStart"/>
      <w:r>
        <w:rPr>
          <w:color w:val="323233"/>
        </w:rPr>
        <w:t>kurās</w:t>
      </w:r>
      <w:proofErr w:type="spellEnd"/>
      <w:r>
        <w:rPr>
          <w:color w:val="323233"/>
        </w:rPr>
        <w:t xml:space="preserve"> </w:t>
      </w:r>
      <w:proofErr w:type="spellStart"/>
      <w:r>
        <w:rPr>
          <w:color w:val="323233"/>
        </w:rPr>
        <w:t>juridiska</w:t>
      </w:r>
      <w:proofErr w:type="spellEnd"/>
      <w:r>
        <w:rPr>
          <w:color w:val="323233"/>
        </w:rPr>
        <w:t xml:space="preserve"> </w:t>
      </w:r>
      <w:proofErr w:type="spellStart"/>
      <w:r>
        <w:rPr>
          <w:color w:val="323233"/>
        </w:rPr>
        <w:t>persona</w:t>
      </w:r>
      <w:proofErr w:type="spellEnd"/>
      <w:r>
        <w:rPr>
          <w:color w:val="323233"/>
        </w:rPr>
        <w:t xml:space="preserve"> </w:t>
      </w:r>
      <w:proofErr w:type="spellStart"/>
      <w:r>
        <w:rPr>
          <w:color w:val="323233"/>
        </w:rPr>
        <w:t>tiek</w:t>
      </w:r>
      <w:proofErr w:type="spellEnd"/>
      <w:r>
        <w:rPr>
          <w:color w:val="323233"/>
        </w:rPr>
        <w:t xml:space="preserve"> </w:t>
      </w:r>
      <w:proofErr w:type="spellStart"/>
      <w:r>
        <w:rPr>
          <w:color w:val="323233"/>
        </w:rPr>
        <w:t>reģistrēta</w:t>
      </w:r>
      <w:proofErr w:type="spellEnd"/>
      <w:r>
        <w:rPr>
          <w:color w:val="323233"/>
        </w:rPr>
        <w:t xml:space="preserve"> </w:t>
      </w:r>
      <w:proofErr w:type="spellStart"/>
      <w:r>
        <w:rPr>
          <w:color w:val="323233"/>
        </w:rPr>
        <w:t>kā</w:t>
      </w:r>
      <w:proofErr w:type="spellEnd"/>
      <w:r>
        <w:rPr>
          <w:color w:val="323233"/>
        </w:rPr>
        <w:t xml:space="preserve"> „</w:t>
      </w:r>
      <w:proofErr w:type="spellStart"/>
      <w:r>
        <w:rPr>
          <w:color w:val="323233"/>
        </w:rPr>
        <w:t>pastkastīte</w:t>
      </w:r>
      <w:proofErr w:type="spellEnd"/>
      <w:r>
        <w:rPr>
          <w:color w:val="323233"/>
        </w:rPr>
        <w:t xml:space="preserve">“ </w:t>
      </w:r>
      <w:proofErr w:type="spellStart"/>
      <w:r>
        <w:rPr>
          <w:color w:val="323233"/>
        </w:rPr>
        <w:t>sev</w:t>
      </w:r>
      <w:proofErr w:type="spellEnd"/>
      <w:r>
        <w:rPr>
          <w:color w:val="323233"/>
        </w:rPr>
        <w:t xml:space="preserve"> </w:t>
      </w:r>
      <w:proofErr w:type="spellStart"/>
      <w:r>
        <w:rPr>
          <w:color w:val="323233"/>
        </w:rPr>
        <w:t>izdevīgā</w:t>
      </w:r>
      <w:proofErr w:type="spellEnd"/>
      <w:r>
        <w:rPr>
          <w:color w:val="323233"/>
        </w:rPr>
        <w:t xml:space="preserve"> </w:t>
      </w:r>
      <w:proofErr w:type="spellStart"/>
      <w:r>
        <w:rPr>
          <w:color w:val="323233"/>
        </w:rPr>
        <w:t>tiesiskā</w:t>
      </w:r>
      <w:proofErr w:type="spellEnd"/>
      <w:r>
        <w:rPr>
          <w:color w:val="323233"/>
        </w:rPr>
        <w:t xml:space="preserve"> </w:t>
      </w:r>
      <w:proofErr w:type="spellStart"/>
      <w:proofErr w:type="gramStart"/>
      <w:r>
        <w:rPr>
          <w:color w:val="323233"/>
        </w:rPr>
        <w:t>režīmā</w:t>
      </w:r>
      <w:proofErr w:type="spellEnd"/>
      <w:r>
        <w:rPr>
          <w:color w:val="323233"/>
        </w:rPr>
        <w:t> ;</w:t>
      </w:r>
      <w:proofErr w:type="gramEnd"/>
      <w:r>
        <w:rPr>
          <w:color w:val="323233"/>
        </w:rPr>
        <w:t xml:space="preserve"> </w:t>
      </w:r>
      <w:proofErr w:type="spellStart"/>
      <w:r>
        <w:rPr>
          <w:color w:val="323233"/>
        </w:rPr>
        <w:t>lai</w:t>
      </w:r>
      <w:proofErr w:type="spellEnd"/>
      <w:r>
        <w:rPr>
          <w:color w:val="323233"/>
        </w:rPr>
        <w:t xml:space="preserve"> </w:t>
      </w:r>
      <w:proofErr w:type="spellStart"/>
      <w:r>
        <w:rPr>
          <w:color w:val="323233"/>
        </w:rPr>
        <w:t>gan</w:t>
      </w:r>
      <w:proofErr w:type="spellEnd"/>
      <w:r>
        <w:rPr>
          <w:color w:val="323233"/>
        </w:rPr>
        <w:t xml:space="preserve"> </w:t>
      </w:r>
      <w:proofErr w:type="spellStart"/>
      <w:r>
        <w:rPr>
          <w:color w:val="323233"/>
        </w:rPr>
        <w:t>tās</w:t>
      </w:r>
      <w:proofErr w:type="spellEnd"/>
      <w:r>
        <w:rPr>
          <w:color w:val="323233"/>
        </w:rPr>
        <w:t xml:space="preserve"> </w:t>
      </w:r>
      <w:proofErr w:type="spellStart"/>
      <w:r>
        <w:rPr>
          <w:color w:val="323233"/>
        </w:rPr>
        <w:t>valde</w:t>
      </w:r>
      <w:proofErr w:type="spellEnd"/>
      <w:r>
        <w:rPr>
          <w:color w:val="323233"/>
        </w:rPr>
        <w:t xml:space="preserve"> </w:t>
      </w:r>
      <w:proofErr w:type="spellStart"/>
      <w:r>
        <w:rPr>
          <w:color w:val="323233"/>
        </w:rPr>
        <w:t>atrodas</w:t>
      </w:r>
      <w:proofErr w:type="spellEnd"/>
      <w:r>
        <w:rPr>
          <w:color w:val="323233"/>
        </w:rPr>
        <w:t xml:space="preserve"> </w:t>
      </w:r>
      <w:proofErr w:type="spellStart"/>
      <w:r>
        <w:rPr>
          <w:color w:val="323233"/>
        </w:rPr>
        <w:t>pavisam</w:t>
      </w:r>
      <w:proofErr w:type="spellEnd"/>
      <w:r>
        <w:rPr>
          <w:color w:val="323233"/>
        </w:rPr>
        <w:t xml:space="preserve"> </w:t>
      </w:r>
      <w:proofErr w:type="spellStart"/>
      <w:r>
        <w:rPr>
          <w:color w:val="323233"/>
        </w:rPr>
        <w:t>citā</w:t>
      </w:r>
      <w:proofErr w:type="spellEnd"/>
      <w:r>
        <w:rPr>
          <w:color w:val="323233"/>
        </w:rPr>
        <w:t xml:space="preserve"> </w:t>
      </w:r>
      <w:proofErr w:type="spellStart"/>
      <w:r>
        <w:rPr>
          <w:color w:val="323233"/>
        </w:rPr>
        <w:t>valstī</w:t>
      </w:r>
      <w:proofErr w:type="spellEnd"/>
      <w:r>
        <w:rPr>
          <w:color w:val="323233"/>
        </w:rPr>
        <w:t xml:space="preserve">. </w:t>
      </w:r>
      <w:proofErr w:type="spellStart"/>
      <w:r>
        <w:rPr>
          <w:color w:val="323233"/>
        </w:rPr>
        <w:t>Turpretī</w:t>
      </w:r>
      <w:proofErr w:type="spellEnd"/>
      <w:r>
        <w:rPr>
          <w:color w:val="323233"/>
        </w:rPr>
        <w:t xml:space="preserve"> </w:t>
      </w:r>
      <w:proofErr w:type="spellStart"/>
      <w:r w:rsidRPr="005F4839">
        <w:rPr>
          <w:i/>
          <w:lang w:val="lv-LV"/>
        </w:rPr>
        <w:t>Common</w:t>
      </w:r>
      <w:proofErr w:type="spellEnd"/>
      <w:r w:rsidRPr="005F4839">
        <w:rPr>
          <w:i/>
          <w:lang w:val="lv-LV"/>
        </w:rPr>
        <w:t xml:space="preserve"> </w:t>
      </w:r>
      <w:proofErr w:type="spellStart"/>
      <w:r w:rsidRPr="005F4839">
        <w:rPr>
          <w:i/>
          <w:lang w:val="lv-LV"/>
        </w:rPr>
        <w:t>Law</w:t>
      </w:r>
      <w:proofErr w:type="spellEnd"/>
      <w:r>
        <w:rPr>
          <w:lang w:val="lv-LV"/>
        </w:rPr>
        <w:t xml:space="preserve"> tiesību sistēmā ir pārstāvēta </w:t>
      </w:r>
      <w:r w:rsidRPr="005F4839">
        <w:rPr>
          <w:b/>
          <w:lang w:val="lv-LV"/>
        </w:rPr>
        <w:t>inkorporācijas teorija</w:t>
      </w:r>
      <w:r>
        <w:rPr>
          <w:b/>
          <w:lang w:val="lv-LV"/>
        </w:rPr>
        <w:t>,</w:t>
      </w:r>
      <w:r>
        <w:rPr>
          <w:lang w:val="lv-LV"/>
        </w:rPr>
        <w:t xml:space="preserve"> kas nozīmē tās valsts likuma piemērošanu juridiskajai personai, kuras teritorijā tā ir reģistrēta.</w:t>
      </w:r>
    </w:p>
    <w:p w14:paraId="7A78C591" w14:textId="77777777" w:rsidR="00114953" w:rsidRPr="000C7C76" w:rsidRDefault="00114953" w:rsidP="00114953">
      <w:pPr>
        <w:widowControl w:val="0"/>
        <w:autoSpaceDE w:val="0"/>
        <w:autoSpaceDN w:val="0"/>
        <w:adjustRightInd w:val="0"/>
        <w:ind w:firstLine="708"/>
        <w:jc w:val="both"/>
        <w:rPr>
          <w:rFonts w:ascii="Times New Roman" w:hAnsi="Times New Roman" w:cs="Times New Roman"/>
          <w:i/>
          <w:lang w:val="lv-LV"/>
        </w:rPr>
      </w:pPr>
      <w:r w:rsidRPr="00060BFF">
        <w:rPr>
          <w:rFonts w:ascii="Times New Roman" w:hAnsi="Times New Roman"/>
          <w:lang w:val="lv-LV"/>
        </w:rPr>
        <w:t>Taču, attiecībā uz ES dalībvalstīm ir jāņem vērā LESD 54.pants saskaņā ar kuru “</w:t>
      </w:r>
      <w:r w:rsidRPr="000C7C76">
        <w:rPr>
          <w:rFonts w:ascii="Times New Roman" w:hAnsi="Times New Roman" w:cs="Times New Roman"/>
          <w:i/>
          <w:lang w:val="lv-LV"/>
        </w:rPr>
        <w:t xml:space="preserve">Tiesiskais statuss tām sabiedrībām, </w:t>
      </w:r>
      <w:r w:rsidRPr="000C7C76">
        <w:rPr>
          <w:rFonts w:ascii="Times New Roman" w:hAnsi="Times New Roman" w:cs="Times New Roman"/>
          <w:i/>
          <w:u w:val="single"/>
          <w:lang w:val="lv-LV"/>
        </w:rPr>
        <w:t>kuras izveidotas saskaņā ar kādas dalībvalsts tiesību aktiem</w:t>
      </w:r>
      <w:r w:rsidRPr="000C7C76">
        <w:rPr>
          <w:rFonts w:ascii="Times New Roman" w:hAnsi="Times New Roman" w:cs="Times New Roman"/>
          <w:i/>
          <w:lang w:val="lv-LV"/>
        </w:rPr>
        <w:t xml:space="preserve"> </w:t>
      </w:r>
      <w:r w:rsidRPr="000C7C76">
        <w:rPr>
          <w:rFonts w:ascii="Times New Roman" w:hAnsi="Times New Roman" w:cs="Times New Roman"/>
          <w:b/>
          <w:i/>
          <w:lang w:val="lv-LV"/>
        </w:rPr>
        <w:t>un</w:t>
      </w:r>
      <w:r w:rsidRPr="000C7C76">
        <w:rPr>
          <w:rFonts w:ascii="Times New Roman" w:hAnsi="Times New Roman" w:cs="Times New Roman"/>
          <w:i/>
          <w:lang w:val="lv-LV"/>
        </w:rPr>
        <w:t xml:space="preserve"> </w:t>
      </w:r>
      <w:r w:rsidRPr="000C7C76">
        <w:rPr>
          <w:rFonts w:ascii="Times New Roman" w:hAnsi="Times New Roman" w:cs="Times New Roman"/>
          <w:i/>
          <w:u w:val="single"/>
          <w:lang w:val="lv-LV"/>
        </w:rPr>
        <w:t>kuru juridiskā adrese, galvenā vadība vai galvenā uzņēmējdarbības vieta ir Savienībā</w:t>
      </w:r>
      <w:r w:rsidRPr="000C7C76">
        <w:rPr>
          <w:rFonts w:ascii="Times New Roman" w:hAnsi="Times New Roman" w:cs="Times New Roman"/>
          <w:i/>
          <w:lang w:val="lv-LV"/>
        </w:rPr>
        <w:t>, šajā nodaļā ir pielīdzināts to fizisko personu tiesiskajam statusam, kuras ir dalībvalstu pilsoņi.</w:t>
      </w:r>
    </w:p>
    <w:p w14:paraId="0640473D" w14:textId="77777777" w:rsidR="00114953" w:rsidRDefault="00114953" w:rsidP="00114953">
      <w:pPr>
        <w:pStyle w:val="tv213"/>
        <w:ind w:firstLine="708"/>
        <w:jc w:val="both"/>
      </w:pPr>
      <w:r w:rsidRPr="00060BFF">
        <w:rPr>
          <w:i/>
        </w:rPr>
        <w:t>“</w:t>
      </w:r>
      <w:proofErr w:type="spellStart"/>
      <w:r w:rsidRPr="00060BFF">
        <w:rPr>
          <w:i/>
        </w:rPr>
        <w:t>Sabiedrības</w:t>
      </w:r>
      <w:proofErr w:type="spellEnd"/>
      <w:r w:rsidRPr="00060BFF">
        <w:rPr>
          <w:i/>
        </w:rPr>
        <w:t xml:space="preserve">” </w:t>
      </w:r>
      <w:proofErr w:type="spellStart"/>
      <w:r w:rsidRPr="00060BFF">
        <w:rPr>
          <w:i/>
        </w:rPr>
        <w:t>ir</w:t>
      </w:r>
      <w:proofErr w:type="spellEnd"/>
      <w:r w:rsidRPr="00060BFF">
        <w:rPr>
          <w:i/>
        </w:rPr>
        <w:t xml:space="preserve"> </w:t>
      </w:r>
      <w:proofErr w:type="spellStart"/>
      <w:r w:rsidRPr="00060BFF">
        <w:rPr>
          <w:i/>
        </w:rPr>
        <w:t>tādas</w:t>
      </w:r>
      <w:proofErr w:type="spellEnd"/>
      <w:r w:rsidRPr="00060BFF">
        <w:rPr>
          <w:i/>
        </w:rPr>
        <w:t xml:space="preserve"> </w:t>
      </w:r>
      <w:proofErr w:type="spellStart"/>
      <w:r w:rsidRPr="00060BFF">
        <w:rPr>
          <w:i/>
        </w:rPr>
        <w:t>sabiedrības</w:t>
      </w:r>
      <w:proofErr w:type="spellEnd"/>
      <w:r w:rsidRPr="00060BFF">
        <w:rPr>
          <w:i/>
        </w:rPr>
        <w:t xml:space="preserve">, </w:t>
      </w:r>
      <w:proofErr w:type="spellStart"/>
      <w:r w:rsidRPr="00060BFF">
        <w:rPr>
          <w:i/>
        </w:rPr>
        <w:t>kas</w:t>
      </w:r>
      <w:proofErr w:type="spellEnd"/>
      <w:r w:rsidRPr="00060BFF">
        <w:rPr>
          <w:i/>
        </w:rPr>
        <w:t xml:space="preserve"> </w:t>
      </w:r>
      <w:proofErr w:type="spellStart"/>
      <w:r w:rsidRPr="00060BFF">
        <w:rPr>
          <w:i/>
        </w:rPr>
        <w:t>izveidotas</w:t>
      </w:r>
      <w:proofErr w:type="spellEnd"/>
      <w:r w:rsidRPr="00060BFF">
        <w:rPr>
          <w:i/>
        </w:rPr>
        <w:t xml:space="preserve"> </w:t>
      </w:r>
      <w:proofErr w:type="spellStart"/>
      <w:r w:rsidRPr="00060BFF">
        <w:rPr>
          <w:i/>
        </w:rPr>
        <w:t>saskaņā</w:t>
      </w:r>
      <w:proofErr w:type="spellEnd"/>
      <w:r w:rsidRPr="00060BFF">
        <w:rPr>
          <w:i/>
        </w:rPr>
        <w:t xml:space="preserve"> </w:t>
      </w:r>
      <w:proofErr w:type="spellStart"/>
      <w:r w:rsidRPr="00060BFF">
        <w:rPr>
          <w:i/>
        </w:rPr>
        <w:t>ar</w:t>
      </w:r>
      <w:proofErr w:type="spellEnd"/>
      <w:r w:rsidRPr="00060BFF">
        <w:rPr>
          <w:i/>
        </w:rPr>
        <w:t xml:space="preserve"> </w:t>
      </w:r>
      <w:proofErr w:type="spellStart"/>
      <w:r w:rsidRPr="00060BFF">
        <w:rPr>
          <w:i/>
        </w:rPr>
        <w:t>civiltiesībām</w:t>
      </w:r>
      <w:proofErr w:type="spellEnd"/>
      <w:r w:rsidRPr="00060BFF">
        <w:rPr>
          <w:i/>
        </w:rPr>
        <w:t xml:space="preserve"> </w:t>
      </w:r>
      <w:proofErr w:type="spellStart"/>
      <w:r w:rsidRPr="00060BFF">
        <w:rPr>
          <w:i/>
        </w:rPr>
        <w:t>vai</w:t>
      </w:r>
      <w:proofErr w:type="spellEnd"/>
      <w:r w:rsidRPr="00060BFF">
        <w:rPr>
          <w:i/>
        </w:rPr>
        <w:t xml:space="preserve"> </w:t>
      </w:r>
      <w:proofErr w:type="spellStart"/>
      <w:r w:rsidRPr="00060BFF">
        <w:rPr>
          <w:i/>
        </w:rPr>
        <w:t>komerctiesībām</w:t>
      </w:r>
      <w:proofErr w:type="spellEnd"/>
      <w:r w:rsidRPr="00060BFF">
        <w:rPr>
          <w:i/>
        </w:rPr>
        <w:t xml:space="preserve">, </w:t>
      </w:r>
      <w:proofErr w:type="spellStart"/>
      <w:r w:rsidRPr="00060BFF">
        <w:rPr>
          <w:i/>
        </w:rPr>
        <w:t>kā</w:t>
      </w:r>
      <w:proofErr w:type="spellEnd"/>
      <w:r w:rsidRPr="00060BFF">
        <w:rPr>
          <w:i/>
        </w:rPr>
        <w:t xml:space="preserve"> </w:t>
      </w:r>
      <w:proofErr w:type="spellStart"/>
      <w:r w:rsidRPr="00060BFF">
        <w:rPr>
          <w:i/>
        </w:rPr>
        <w:t>arī</w:t>
      </w:r>
      <w:proofErr w:type="spellEnd"/>
      <w:r w:rsidRPr="00060BFF">
        <w:rPr>
          <w:i/>
        </w:rPr>
        <w:t xml:space="preserve"> </w:t>
      </w:r>
      <w:proofErr w:type="spellStart"/>
      <w:r w:rsidRPr="00060BFF">
        <w:rPr>
          <w:i/>
        </w:rPr>
        <w:t>kooperatīvi</w:t>
      </w:r>
      <w:proofErr w:type="spellEnd"/>
      <w:r w:rsidRPr="00060BFF">
        <w:rPr>
          <w:i/>
        </w:rPr>
        <w:t xml:space="preserve"> </w:t>
      </w:r>
      <w:proofErr w:type="spellStart"/>
      <w:r w:rsidRPr="00060BFF">
        <w:rPr>
          <w:i/>
        </w:rPr>
        <w:t>un</w:t>
      </w:r>
      <w:proofErr w:type="spellEnd"/>
      <w:r w:rsidRPr="00060BFF">
        <w:rPr>
          <w:i/>
        </w:rPr>
        <w:t xml:space="preserve"> </w:t>
      </w:r>
      <w:proofErr w:type="spellStart"/>
      <w:r w:rsidRPr="00060BFF">
        <w:rPr>
          <w:i/>
        </w:rPr>
        <w:t>citas</w:t>
      </w:r>
      <w:proofErr w:type="spellEnd"/>
      <w:r w:rsidRPr="00060BFF">
        <w:rPr>
          <w:i/>
        </w:rPr>
        <w:t xml:space="preserve"> </w:t>
      </w:r>
      <w:proofErr w:type="spellStart"/>
      <w:r w:rsidRPr="00060BFF">
        <w:rPr>
          <w:i/>
        </w:rPr>
        <w:t>juridiskas</w:t>
      </w:r>
      <w:proofErr w:type="spellEnd"/>
      <w:r w:rsidRPr="00060BFF">
        <w:rPr>
          <w:i/>
        </w:rPr>
        <w:t xml:space="preserve"> personas, </w:t>
      </w:r>
      <w:proofErr w:type="spellStart"/>
      <w:r w:rsidRPr="00060BFF">
        <w:rPr>
          <w:i/>
        </w:rPr>
        <w:t>kas</w:t>
      </w:r>
      <w:proofErr w:type="spellEnd"/>
      <w:r w:rsidRPr="00060BFF">
        <w:rPr>
          <w:i/>
        </w:rPr>
        <w:t xml:space="preserve"> </w:t>
      </w:r>
      <w:proofErr w:type="spellStart"/>
      <w:r w:rsidRPr="00060BFF">
        <w:rPr>
          <w:i/>
        </w:rPr>
        <w:t>ir</w:t>
      </w:r>
      <w:proofErr w:type="spellEnd"/>
      <w:r w:rsidRPr="00060BFF">
        <w:rPr>
          <w:i/>
        </w:rPr>
        <w:t xml:space="preserve"> </w:t>
      </w:r>
      <w:proofErr w:type="spellStart"/>
      <w:r w:rsidRPr="00060BFF">
        <w:rPr>
          <w:i/>
        </w:rPr>
        <w:t>publisko</w:t>
      </w:r>
      <w:proofErr w:type="spellEnd"/>
      <w:r w:rsidRPr="00060BFF">
        <w:rPr>
          <w:i/>
        </w:rPr>
        <w:t xml:space="preserve"> </w:t>
      </w:r>
      <w:proofErr w:type="spellStart"/>
      <w:r w:rsidRPr="00060BFF">
        <w:rPr>
          <w:i/>
        </w:rPr>
        <w:t>tiesību</w:t>
      </w:r>
      <w:proofErr w:type="spellEnd"/>
      <w:r w:rsidRPr="00060BFF">
        <w:rPr>
          <w:i/>
        </w:rPr>
        <w:t xml:space="preserve"> </w:t>
      </w:r>
      <w:proofErr w:type="spellStart"/>
      <w:r w:rsidRPr="00060BFF">
        <w:rPr>
          <w:i/>
        </w:rPr>
        <w:t>vai</w:t>
      </w:r>
      <w:proofErr w:type="spellEnd"/>
      <w:r w:rsidRPr="00060BFF">
        <w:rPr>
          <w:i/>
        </w:rPr>
        <w:t xml:space="preserve"> </w:t>
      </w:r>
      <w:proofErr w:type="spellStart"/>
      <w:r w:rsidRPr="00060BFF">
        <w:rPr>
          <w:i/>
        </w:rPr>
        <w:t>privāttiesību</w:t>
      </w:r>
      <w:proofErr w:type="spellEnd"/>
      <w:r w:rsidRPr="00060BFF">
        <w:rPr>
          <w:i/>
        </w:rPr>
        <w:t xml:space="preserve"> </w:t>
      </w:r>
      <w:proofErr w:type="spellStart"/>
      <w:r w:rsidRPr="00060BFF">
        <w:rPr>
          <w:i/>
        </w:rPr>
        <w:t>subjekti</w:t>
      </w:r>
      <w:proofErr w:type="spellEnd"/>
      <w:r w:rsidRPr="00060BFF">
        <w:rPr>
          <w:i/>
        </w:rPr>
        <w:t xml:space="preserve">, </w:t>
      </w:r>
      <w:proofErr w:type="spellStart"/>
      <w:r w:rsidRPr="00060BFF">
        <w:rPr>
          <w:i/>
        </w:rPr>
        <w:t>izņemot</w:t>
      </w:r>
      <w:proofErr w:type="spellEnd"/>
      <w:r w:rsidRPr="00060BFF">
        <w:rPr>
          <w:i/>
        </w:rPr>
        <w:t xml:space="preserve"> </w:t>
      </w:r>
      <w:proofErr w:type="spellStart"/>
      <w:r w:rsidRPr="00060BFF">
        <w:rPr>
          <w:i/>
        </w:rPr>
        <w:t>bezpeļņas</w:t>
      </w:r>
      <w:proofErr w:type="spellEnd"/>
      <w:r w:rsidRPr="00060BFF">
        <w:rPr>
          <w:i/>
        </w:rPr>
        <w:t xml:space="preserve"> </w:t>
      </w:r>
      <w:proofErr w:type="spellStart"/>
      <w:r w:rsidRPr="00060BFF">
        <w:rPr>
          <w:i/>
        </w:rPr>
        <w:t>sabiedrības</w:t>
      </w:r>
      <w:proofErr w:type="spellEnd"/>
      <w:r w:rsidRPr="00060BFF">
        <w:t>“.</w:t>
      </w:r>
    </w:p>
    <w:p w14:paraId="6AF99080" w14:textId="77777777" w:rsidR="00114953" w:rsidRPr="00953192" w:rsidRDefault="00114953" w:rsidP="00114953">
      <w:pPr>
        <w:pStyle w:val="tv213"/>
        <w:ind w:firstLine="708"/>
        <w:jc w:val="both"/>
        <w:rPr>
          <w:lang w:val="lv-LV"/>
        </w:rPr>
      </w:pPr>
      <w:r>
        <w:rPr>
          <w:lang w:val="lv-LV"/>
        </w:rPr>
        <w:lastRenderedPageBreak/>
        <w:t>Tas nozīmē, ka principā Latvijā ir jāņem vērā Apvienotajā Karalistē reģistrēto juridisko personu (sabiedrību) tiesiskais statuss – tās pastāvēšana, tiesībspēja un rīcībspēja, pat ja šo juridisko personu valdes atrašanās vieta ir ārpus Apvienotās Karalistes.</w:t>
      </w:r>
    </w:p>
    <w:p w14:paraId="03297830" w14:textId="77777777" w:rsidR="00114953" w:rsidRPr="00FB6FA2" w:rsidRDefault="00114953" w:rsidP="00114953">
      <w:pPr>
        <w:pStyle w:val="tv213"/>
        <w:ind w:firstLine="708"/>
        <w:jc w:val="both"/>
        <w:rPr>
          <w:lang w:val="lv-LV"/>
        </w:rPr>
      </w:pPr>
      <w:proofErr w:type="spellStart"/>
      <w:r>
        <w:t>Runājot</w:t>
      </w:r>
      <w:proofErr w:type="spellEnd"/>
      <w:r>
        <w:t xml:space="preserve"> par </w:t>
      </w:r>
      <w:r w:rsidRPr="00FB6FA2">
        <w:rPr>
          <w:i/>
        </w:rPr>
        <w:t>Common Law</w:t>
      </w:r>
      <w:r>
        <w:t xml:space="preserve"> </w:t>
      </w:r>
      <w:proofErr w:type="spellStart"/>
      <w:r>
        <w:t>tiesību</w:t>
      </w:r>
      <w:proofErr w:type="spellEnd"/>
      <w:r>
        <w:t xml:space="preserve"> </w:t>
      </w:r>
      <w:proofErr w:type="spellStart"/>
      <w:r>
        <w:t>sistēmu</w:t>
      </w:r>
      <w:proofErr w:type="spellEnd"/>
      <w:r>
        <w:t xml:space="preserve">, </w:t>
      </w:r>
      <w:proofErr w:type="spellStart"/>
      <w:r>
        <w:t>jāņem</w:t>
      </w:r>
      <w:proofErr w:type="spellEnd"/>
      <w:r>
        <w:t xml:space="preserve"> </w:t>
      </w:r>
      <w:proofErr w:type="spellStart"/>
      <w:r>
        <w:t>vērā</w:t>
      </w:r>
      <w:proofErr w:type="spellEnd"/>
      <w:r>
        <w:t xml:space="preserve"> </w:t>
      </w:r>
      <w:proofErr w:type="spellStart"/>
      <w:r>
        <w:t>izņēmumi</w:t>
      </w:r>
      <w:proofErr w:type="spellEnd"/>
      <w:r>
        <w:t xml:space="preserve">, </w:t>
      </w:r>
      <w:proofErr w:type="spellStart"/>
      <w:r>
        <w:t>kas</w:t>
      </w:r>
      <w:proofErr w:type="spellEnd"/>
      <w:r>
        <w:t xml:space="preserve"> </w:t>
      </w:r>
      <w:proofErr w:type="spellStart"/>
      <w:r>
        <w:t>noteikti</w:t>
      </w:r>
      <w:proofErr w:type="spellEnd"/>
      <w:r>
        <w:t xml:space="preserve"> </w:t>
      </w:r>
      <w:proofErr w:type="spellStart"/>
      <w:r w:rsidRPr="00E721CE">
        <w:rPr>
          <w:b/>
        </w:rPr>
        <w:t>Normandijas</w:t>
      </w:r>
      <w:proofErr w:type="spellEnd"/>
      <w:r w:rsidRPr="00E721CE">
        <w:rPr>
          <w:b/>
        </w:rPr>
        <w:t xml:space="preserve"> </w:t>
      </w:r>
      <w:proofErr w:type="spellStart"/>
      <w:r w:rsidRPr="00E721CE">
        <w:rPr>
          <w:b/>
        </w:rPr>
        <w:t>salām</w:t>
      </w:r>
      <w:proofErr w:type="spellEnd"/>
      <w:r>
        <w:t xml:space="preserve"> </w:t>
      </w:r>
      <w:proofErr w:type="spellStart"/>
      <w:r>
        <w:t>un</w:t>
      </w:r>
      <w:proofErr w:type="spellEnd"/>
      <w:r>
        <w:t xml:space="preserve"> </w:t>
      </w:r>
      <w:r w:rsidRPr="00E721CE">
        <w:rPr>
          <w:b/>
        </w:rPr>
        <w:t xml:space="preserve">Menas </w:t>
      </w:r>
      <w:proofErr w:type="spellStart"/>
      <w:r w:rsidRPr="00E721CE">
        <w:rPr>
          <w:b/>
        </w:rPr>
        <w:t>salai</w:t>
      </w:r>
      <w:proofErr w:type="spellEnd"/>
      <w:r>
        <w:t xml:space="preserve">, </w:t>
      </w:r>
      <w:proofErr w:type="spellStart"/>
      <w:r>
        <w:t>proti</w:t>
      </w:r>
      <w:proofErr w:type="spellEnd"/>
      <w:r>
        <w:t xml:space="preserve">, </w:t>
      </w:r>
      <w:proofErr w:type="spellStart"/>
      <w:r>
        <w:t>saskaņā</w:t>
      </w:r>
      <w:proofErr w:type="spellEnd"/>
      <w:r>
        <w:t xml:space="preserve"> </w:t>
      </w:r>
      <w:proofErr w:type="spellStart"/>
      <w:r>
        <w:t>ar</w:t>
      </w:r>
      <w:proofErr w:type="spellEnd"/>
      <w:r>
        <w:t xml:space="preserve"> LESD 355.panta 5.punkta „c“ </w:t>
      </w:r>
      <w:proofErr w:type="spellStart"/>
      <w:r>
        <w:t>apakšpunktu</w:t>
      </w:r>
      <w:proofErr w:type="spellEnd"/>
      <w:r>
        <w:t xml:space="preserve"> </w:t>
      </w:r>
      <w:proofErr w:type="spellStart"/>
      <w:r w:rsidRPr="00FB6FA2">
        <w:t>Līgumi</w:t>
      </w:r>
      <w:proofErr w:type="spellEnd"/>
      <w:r w:rsidRPr="00FB6FA2">
        <w:t xml:space="preserve"> [LES </w:t>
      </w:r>
      <w:proofErr w:type="spellStart"/>
      <w:r w:rsidRPr="00FB6FA2">
        <w:t>un</w:t>
      </w:r>
      <w:proofErr w:type="spellEnd"/>
      <w:r w:rsidRPr="00FB6FA2">
        <w:t xml:space="preserve"> LESD] </w:t>
      </w:r>
      <w:proofErr w:type="spellStart"/>
      <w:r w:rsidRPr="00FB6FA2">
        <w:t>attiecas</w:t>
      </w:r>
      <w:proofErr w:type="spellEnd"/>
      <w:r w:rsidRPr="00FB6FA2">
        <w:t xml:space="preserve"> </w:t>
      </w:r>
      <w:proofErr w:type="spellStart"/>
      <w:r w:rsidRPr="00FB6FA2">
        <w:t>uz</w:t>
      </w:r>
      <w:proofErr w:type="spellEnd"/>
      <w:r w:rsidRPr="00FB6FA2">
        <w:t xml:space="preserve"> </w:t>
      </w:r>
      <w:proofErr w:type="spellStart"/>
      <w:r w:rsidRPr="00FB6FA2">
        <w:t>Normandijas</w:t>
      </w:r>
      <w:proofErr w:type="spellEnd"/>
      <w:r w:rsidRPr="00FB6FA2">
        <w:t xml:space="preserve"> </w:t>
      </w:r>
      <w:proofErr w:type="spellStart"/>
      <w:r w:rsidRPr="00FB6FA2">
        <w:t>salām</w:t>
      </w:r>
      <w:proofErr w:type="spellEnd"/>
      <w:r w:rsidRPr="00FB6FA2">
        <w:t xml:space="preserve"> </w:t>
      </w:r>
      <w:proofErr w:type="spellStart"/>
      <w:r w:rsidRPr="00FB6FA2">
        <w:t>un</w:t>
      </w:r>
      <w:proofErr w:type="spellEnd"/>
      <w:r w:rsidRPr="00FB6FA2">
        <w:t xml:space="preserve"> Menas </w:t>
      </w:r>
      <w:proofErr w:type="spellStart"/>
      <w:r w:rsidRPr="00FB6FA2">
        <w:t>salu</w:t>
      </w:r>
      <w:proofErr w:type="spellEnd"/>
      <w:r w:rsidRPr="00FB6FA2">
        <w:t xml:space="preserve"> </w:t>
      </w:r>
      <w:proofErr w:type="spellStart"/>
      <w:r w:rsidRPr="00FB6FA2">
        <w:t>tikai</w:t>
      </w:r>
      <w:proofErr w:type="spellEnd"/>
      <w:r w:rsidRPr="00FB6FA2">
        <w:t xml:space="preserve"> </w:t>
      </w:r>
      <w:proofErr w:type="spellStart"/>
      <w:r w:rsidRPr="00FB6FA2">
        <w:t>tiktāl</w:t>
      </w:r>
      <w:proofErr w:type="spellEnd"/>
      <w:r w:rsidRPr="00FB6FA2">
        <w:t xml:space="preserve">, </w:t>
      </w:r>
      <w:proofErr w:type="spellStart"/>
      <w:r w:rsidRPr="00FB6FA2">
        <w:t>ciktāl</w:t>
      </w:r>
      <w:proofErr w:type="spellEnd"/>
      <w:r w:rsidRPr="00FB6FA2">
        <w:t xml:space="preserve"> </w:t>
      </w:r>
      <w:proofErr w:type="spellStart"/>
      <w:r w:rsidRPr="00FB6FA2">
        <w:t>tas</w:t>
      </w:r>
      <w:proofErr w:type="spellEnd"/>
      <w:r w:rsidRPr="00FB6FA2">
        <w:t xml:space="preserve"> </w:t>
      </w:r>
      <w:proofErr w:type="spellStart"/>
      <w:r w:rsidRPr="00FB6FA2">
        <w:t>vajadzīgs</w:t>
      </w:r>
      <w:proofErr w:type="spellEnd"/>
      <w:r w:rsidRPr="00FB6FA2">
        <w:t xml:space="preserve">, </w:t>
      </w:r>
      <w:proofErr w:type="spellStart"/>
      <w:r w:rsidRPr="00FB6FA2">
        <w:t>lai</w:t>
      </w:r>
      <w:proofErr w:type="spellEnd"/>
      <w:r w:rsidRPr="00FB6FA2">
        <w:t xml:space="preserve"> </w:t>
      </w:r>
      <w:proofErr w:type="spellStart"/>
      <w:r w:rsidRPr="00FB6FA2">
        <w:t>nodrošinātu</w:t>
      </w:r>
      <w:proofErr w:type="spellEnd"/>
      <w:r w:rsidRPr="00FB6FA2">
        <w:t xml:space="preserve"> </w:t>
      </w:r>
      <w:proofErr w:type="spellStart"/>
      <w:r w:rsidRPr="00FB6FA2">
        <w:t>to</w:t>
      </w:r>
      <w:proofErr w:type="spellEnd"/>
      <w:r w:rsidRPr="00FB6FA2">
        <w:t xml:space="preserve"> </w:t>
      </w:r>
      <w:proofErr w:type="spellStart"/>
      <w:r w:rsidRPr="00FB6FA2">
        <w:t>noteikumu</w:t>
      </w:r>
      <w:proofErr w:type="spellEnd"/>
      <w:r w:rsidRPr="00FB6FA2">
        <w:t xml:space="preserve"> </w:t>
      </w:r>
      <w:proofErr w:type="spellStart"/>
      <w:r w:rsidRPr="00FB6FA2">
        <w:t>īstenošanu</w:t>
      </w:r>
      <w:proofErr w:type="spellEnd"/>
      <w:r w:rsidRPr="00FB6FA2">
        <w:t xml:space="preserve">, </w:t>
      </w:r>
      <w:proofErr w:type="spellStart"/>
      <w:r w:rsidRPr="00FB6FA2">
        <w:t>kas</w:t>
      </w:r>
      <w:proofErr w:type="spellEnd"/>
      <w:r w:rsidRPr="00FB6FA2">
        <w:t xml:space="preserve"> </w:t>
      </w:r>
      <w:proofErr w:type="spellStart"/>
      <w:r w:rsidRPr="00FB6FA2">
        <w:t>attiecas</w:t>
      </w:r>
      <w:proofErr w:type="spellEnd"/>
      <w:r w:rsidRPr="00FB6FA2">
        <w:t xml:space="preserve"> </w:t>
      </w:r>
      <w:proofErr w:type="spellStart"/>
      <w:r w:rsidRPr="00FB6FA2">
        <w:t>uz</w:t>
      </w:r>
      <w:proofErr w:type="spellEnd"/>
      <w:r w:rsidRPr="00FB6FA2">
        <w:t xml:space="preserve"> </w:t>
      </w:r>
      <w:proofErr w:type="spellStart"/>
      <w:r w:rsidRPr="00FB6FA2">
        <w:t>minētajām</w:t>
      </w:r>
      <w:proofErr w:type="spellEnd"/>
      <w:r w:rsidRPr="00FB6FA2">
        <w:t xml:space="preserve"> </w:t>
      </w:r>
      <w:proofErr w:type="spellStart"/>
      <w:r w:rsidRPr="00FB6FA2">
        <w:t>salām</w:t>
      </w:r>
      <w:proofErr w:type="spellEnd"/>
      <w:r w:rsidRPr="00FB6FA2">
        <w:t xml:space="preserve"> </w:t>
      </w:r>
      <w:proofErr w:type="spellStart"/>
      <w:r w:rsidRPr="00FB6FA2">
        <w:t>un</w:t>
      </w:r>
      <w:proofErr w:type="spellEnd"/>
      <w:r w:rsidRPr="00FB6FA2">
        <w:t xml:space="preserve"> </w:t>
      </w:r>
      <w:proofErr w:type="spellStart"/>
      <w:r w:rsidRPr="00FB6FA2">
        <w:t>ko</w:t>
      </w:r>
      <w:proofErr w:type="spellEnd"/>
      <w:r w:rsidRPr="00FB6FA2">
        <w:t xml:space="preserve"> </w:t>
      </w:r>
      <w:proofErr w:type="spellStart"/>
      <w:r w:rsidRPr="00FB6FA2">
        <w:t>paredz</w:t>
      </w:r>
      <w:proofErr w:type="spellEnd"/>
      <w:r w:rsidRPr="00FB6FA2">
        <w:t xml:space="preserve"> 1972. </w:t>
      </w:r>
      <w:proofErr w:type="spellStart"/>
      <w:r w:rsidRPr="00FB6FA2">
        <w:t>gada</w:t>
      </w:r>
      <w:proofErr w:type="spellEnd"/>
      <w:r w:rsidRPr="00FB6FA2">
        <w:t xml:space="preserve"> 22. </w:t>
      </w:r>
      <w:proofErr w:type="spellStart"/>
      <w:r w:rsidRPr="00FB6FA2">
        <w:t>janvārī</w:t>
      </w:r>
      <w:proofErr w:type="spellEnd"/>
      <w:r w:rsidRPr="00FB6FA2">
        <w:t xml:space="preserve"> </w:t>
      </w:r>
      <w:proofErr w:type="spellStart"/>
      <w:r w:rsidRPr="00FB6FA2">
        <w:t>parakstītais</w:t>
      </w:r>
      <w:proofErr w:type="spellEnd"/>
      <w:r w:rsidRPr="00FB6FA2">
        <w:t xml:space="preserve"> </w:t>
      </w:r>
      <w:proofErr w:type="spellStart"/>
      <w:r w:rsidRPr="00FB6FA2">
        <w:t>Līgums</w:t>
      </w:r>
      <w:proofErr w:type="spellEnd"/>
      <w:r w:rsidRPr="00FB6FA2">
        <w:t xml:space="preserve"> par </w:t>
      </w:r>
      <w:proofErr w:type="spellStart"/>
      <w:r w:rsidRPr="00FB6FA2">
        <w:t>jaunu</w:t>
      </w:r>
      <w:proofErr w:type="spellEnd"/>
      <w:r w:rsidRPr="00FB6FA2">
        <w:t xml:space="preserve"> </w:t>
      </w:r>
      <w:proofErr w:type="spellStart"/>
      <w:r w:rsidRPr="00FB6FA2">
        <w:t>dalībvalstu</w:t>
      </w:r>
      <w:proofErr w:type="spellEnd"/>
      <w:r w:rsidRPr="00FB6FA2">
        <w:t xml:space="preserve"> </w:t>
      </w:r>
      <w:proofErr w:type="spellStart"/>
      <w:r w:rsidRPr="00FB6FA2">
        <w:t>pievienošanos</w:t>
      </w:r>
      <w:proofErr w:type="spellEnd"/>
      <w:r w:rsidRPr="00FB6FA2">
        <w:t xml:space="preserve"> </w:t>
      </w:r>
      <w:proofErr w:type="spellStart"/>
      <w:r w:rsidRPr="00FB6FA2">
        <w:t>Eiropas</w:t>
      </w:r>
      <w:proofErr w:type="spellEnd"/>
      <w:r w:rsidRPr="00FB6FA2">
        <w:t xml:space="preserve"> </w:t>
      </w:r>
      <w:proofErr w:type="spellStart"/>
      <w:r w:rsidRPr="00FB6FA2">
        <w:t>Ekonomikas</w:t>
      </w:r>
      <w:proofErr w:type="spellEnd"/>
      <w:r w:rsidRPr="00FB6FA2">
        <w:t xml:space="preserve"> </w:t>
      </w:r>
      <w:proofErr w:type="spellStart"/>
      <w:r w:rsidRPr="00FB6FA2">
        <w:t>kopienai</w:t>
      </w:r>
      <w:proofErr w:type="spellEnd"/>
      <w:r w:rsidRPr="00FB6FA2">
        <w:t xml:space="preserve"> </w:t>
      </w:r>
      <w:proofErr w:type="spellStart"/>
      <w:r w:rsidRPr="00FB6FA2">
        <w:t>un</w:t>
      </w:r>
      <w:proofErr w:type="spellEnd"/>
      <w:r w:rsidRPr="00FB6FA2">
        <w:t xml:space="preserve"> </w:t>
      </w:r>
      <w:proofErr w:type="spellStart"/>
      <w:r w:rsidRPr="00FB6FA2">
        <w:t>Eiropas</w:t>
      </w:r>
      <w:proofErr w:type="spellEnd"/>
      <w:r w:rsidRPr="00FB6FA2">
        <w:t xml:space="preserve"> </w:t>
      </w:r>
      <w:proofErr w:type="spellStart"/>
      <w:r w:rsidRPr="00FB6FA2">
        <w:t>Atomenerģijas</w:t>
      </w:r>
      <w:proofErr w:type="spellEnd"/>
      <w:r w:rsidRPr="00FB6FA2">
        <w:t xml:space="preserve"> </w:t>
      </w:r>
      <w:proofErr w:type="spellStart"/>
      <w:r w:rsidRPr="00FB6FA2">
        <w:t>kopienai</w:t>
      </w:r>
      <w:proofErr w:type="spellEnd"/>
      <w:r w:rsidRPr="00FB6FA2">
        <w:t>“.</w:t>
      </w:r>
      <w:r>
        <w:t xml:space="preserve"> Tas </w:t>
      </w:r>
      <w:proofErr w:type="spellStart"/>
      <w:r>
        <w:t>nozīmē</w:t>
      </w:r>
      <w:proofErr w:type="spellEnd"/>
      <w:r>
        <w:t xml:space="preserve">, </w:t>
      </w:r>
      <w:proofErr w:type="spellStart"/>
      <w:r>
        <w:t>ka</w:t>
      </w:r>
      <w:proofErr w:type="spellEnd"/>
      <w:r>
        <w:t xml:space="preserve"> LESD 54.pants </w:t>
      </w:r>
      <w:proofErr w:type="spellStart"/>
      <w:r>
        <w:t>Normandijas</w:t>
      </w:r>
      <w:proofErr w:type="spellEnd"/>
      <w:r>
        <w:t xml:space="preserve"> </w:t>
      </w:r>
      <w:proofErr w:type="spellStart"/>
      <w:r>
        <w:t>salām</w:t>
      </w:r>
      <w:proofErr w:type="spellEnd"/>
      <w:r>
        <w:t xml:space="preserve"> </w:t>
      </w:r>
      <w:proofErr w:type="spellStart"/>
      <w:r>
        <w:t>un</w:t>
      </w:r>
      <w:proofErr w:type="spellEnd"/>
      <w:r>
        <w:t xml:space="preserve"> Menas </w:t>
      </w:r>
      <w:proofErr w:type="spellStart"/>
      <w:r>
        <w:t>salai</w:t>
      </w:r>
      <w:proofErr w:type="spellEnd"/>
      <w:r>
        <w:t xml:space="preserve"> </w:t>
      </w:r>
      <w:proofErr w:type="spellStart"/>
      <w:r>
        <w:t>nav</w:t>
      </w:r>
      <w:proofErr w:type="spellEnd"/>
      <w:r>
        <w:t xml:space="preserve"> </w:t>
      </w:r>
      <w:proofErr w:type="spellStart"/>
      <w:r>
        <w:t>piemērojams</w:t>
      </w:r>
      <w:proofErr w:type="spellEnd"/>
      <w:r>
        <w:t xml:space="preserve">, </w:t>
      </w:r>
      <w:proofErr w:type="spellStart"/>
      <w:r w:rsidRPr="000407F3">
        <w:t>tādēļ</w:t>
      </w:r>
      <w:proofErr w:type="spellEnd"/>
      <w:r w:rsidRPr="000407F3">
        <w:t xml:space="preserve"> </w:t>
      </w:r>
      <w:proofErr w:type="spellStart"/>
      <w:r w:rsidRPr="000407F3">
        <w:t>tajās</w:t>
      </w:r>
      <w:proofErr w:type="spellEnd"/>
      <w:r w:rsidRPr="000407F3">
        <w:t xml:space="preserve"> </w:t>
      </w:r>
      <w:proofErr w:type="spellStart"/>
      <w:r w:rsidRPr="000407F3">
        <w:t>reģistrēto</w:t>
      </w:r>
      <w:proofErr w:type="spellEnd"/>
      <w:r w:rsidRPr="000407F3">
        <w:t xml:space="preserve"> </w:t>
      </w:r>
      <w:proofErr w:type="spellStart"/>
      <w:r w:rsidRPr="00CA6703">
        <w:t>juridisko</w:t>
      </w:r>
      <w:proofErr w:type="spellEnd"/>
      <w:r w:rsidRPr="00CA6703">
        <w:t xml:space="preserve"> </w:t>
      </w:r>
      <w:proofErr w:type="spellStart"/>
      <w:r w:rsidRPr="00CA6703">
        <w:t>personu</w:t>
      </w:r>
      <w:proofErr w:type="spellEnd"/>
      <w:r w:rsidRPr="00CA6703">
        <w:t xml:space="preserve"> </w:t>
      </w:r>
      <w:proofErr w:type="spellStart"/>
      <w:r w:rsidRPr="00CA6703">
        <w:t>tiesībspēja</w:t>
      </w:r>
      <w:proofErr w:type="spellEnd"/>
      <w:r w:rsidRPr="00CA6703">
        <w:t xml:space="preserve"> </w:t>
      </w:r>
      <w:proofErr w:type="spellStart"/>
      <w:r w:rsidRPr="00CA6703">
        <w:t>un</w:t>
      </w:r>
      <w:proofErr w:type="spellEnd"/>
      <w:r w:rsidRPr="00CA6703">
        <w:t xml:space="preserve"> </w:t>
      </w:r>
      <w:proofErr w:type="spellStart"/>
      <w:r w:rsidRPr="00CA6703">
        <w:t>rīcībspēja</w:t>
      </w:r>
      <w:proofErr w:type="spellEnd"/>
      <w:r w:rsidRPr="00CA6703">
        <w:t xml:space="preserve"> </w:t>
      </w:r>
      <w:proofErr w:type="spellStart"/>
      <w:r w:rsidRPr="00CA6703">
        <w:t>Latvijā</w:t>
      </w:r>
      <w:proofErr w:type="spellEnd"/>
      <w:r w:rsidRPr="00CA6703">
        <w:t xml:space="preserve"> </w:t>
      </w:r>
      <w:proofErr w:type="spellStart"/>
      <w:r w:rsidRPr="00CA6703">
        <w:t>būtu</w:t>
      </w:r>
      <w:proofErr w:type="spellEnd"/>
      <w:r w:rsidRPr="00CA6703">
        <w:t xml:space="preserve"> </w:t>
      </w:r>
      <w:proofErr w:type="spellStart"/>
      <w:r w:rsidRPr="00CA6703">
        <w:t>nosakāma</w:t>
      </w:r>
      <w:proofErr w:type="spellEnd"/>
      <w:r w:rsidRPr="00CA6703">
        <w:t xml:space="preserve"> </w:t>
      </w:r>
      <w:proofErr w:type="spellStart"/>
      <w:r w:rsidRPr="00CA6703">
        <w:t>saskaņā</w:t>
      </w:r>
      <w:proofErr w:type="spellEnd"/>
      <w:r w:rsidRPr="00CA6703">
        <w:t xml:space="preserve"> </w:t>
      </w:r>
      <w:proofErr w:type="spellStart"/>
      <w:r w:rsidRPr="00CA6703">
        <w:t>ar</w:t>
      </w:r>
      <w:proofErr w:type="spellEnd"/>
      <w:r w:rsidRPr="00CA6703">
        <w:t xml:space="preserve"> CL </w:t>
      </w:r>
      <w:proofErr w:type="spellStart"/>
      <w:r w:rsidRPr="00CA6703">
        <w:t>Ievada</w:t>
      </w:r>
      <w:proofErr w:type="spellEnd"/>
      <w:r w:rsidRPr="00CA6703">
        <w:t xml:space="preserve"> 8.panta </w:t>
      </w:r>
      <w:proofErr w:type="spellStart"/>
      <w:r w:rsidRPr="00CA6703">
        <w:t>trešo</w:t>
      </w:r>
      <w:proofErr w:type="spellEnd"/>
      <w:r w:rsidRPr="00CA6703">
        <w:t xml:space="preserve"> </w:t>
      </w:r>
      <w:proofErr w:type="spellStart"/>
      <w:r w:rsidRPr="00CA6703">
        <w:t>daļu</w:t>
      </w:r>
      <w:proofErr w:type="spellEnd"/>
      <w:r w:rsidRPr="00CA6703">
        <w:t>.</w:t>
      </w:r>
    </w:p>
    <w:p w14:paraId="68F47C50" w14:textId="77777777" w:rsidR="00114953" w:rsidRPr="00364496" w:rsidRDefault="00114953" w:rsidP="00114953">
      <w:pPr>
        <w:widowControl w:val="0"/>
        <w:autoSpaceDE w:val="0"/>
        <w:autoSpaceDN w:val="0"/>
        <w:adjustRightInd w:val="0"/>
        <w:ind w:firstLine="708"/>
        <w:jc w:val="both"/>
        <w:rPr>
          <w:rFonts w:ascii="Times New Roman" w:hAnsi="Times New Roman" w:cs="Arial"/>
          <w:b/>
          <w:bCs/>
          <w:i/>
          <w:iCs/>
          <w:color w:val="323233"/>
          <w:lang w:val="lv-LV"/>
        </w:rPr>
      </w:pPr>
      <w:r w:rsidRPr="005E0D92">
        <w:rPr>
          <w:rFonts w:ascii="Times New Roman" w:hAnsi="Times New Roman" w:cs="Times New Roman"/>
          <w:lang w:val="lv-LV"/>
        </w:rPr>
        <w:t>Juridiskas personas tiesībspējas</w:t>
      </w:r>
      <w:r>
        <w:rPr>
          <w:rFonts w:ascii="Times New Roman" w:hAnsi="Times New Roman" w:cs="Times New Roman"/>
          <w:lang w:val="lv-LV"/>
        </w:rPr>
        <w:t>, rīcības apjoma</w:t>
      </w:r>
      <w:r w:rsidRPr="005E0D92">
        <w:rPr>
          <w:rFonts w:ascii="Times New Roman" w:hAnsi="Times New Roman" w:cs="Times New Roman"/>
          <w:lang w:val="lv-LV"/>
        </w:rPr>
        <w:t xml:space="preserve"> un pārstāvju pilnvaru</w:t>
      </w:r>
      <w:r>
        <w:rPr>
          <w:rFonts w:ascii="Times New Roman" w:hAnsi="Times New Roman" w:cs="Times New Roman"/>
          <w:lang w:val="lv-LV"/>
        </w:rPr>
        <w:t xml:space="preserve"> pārbaudes </w:t>
      </w:r>
      <w:r w:rsidRPr="005E0D92">
        <w:rPr>
          <w:rFonts w:ascii="Times New Roman" w:hAnsi="Times New Roman" w:cs="Times New Roman"/>
          <w:lang w:val="lv-LV"/>
        </w:rPr>
        <w:t xml:space="preserve"> </w:t>
      </w:r>
      <w:r w:rsidRPr="005E0D92">
        <w:rPr>
          <w:rFonts w:ascii="Times New Roman" w:hAnsi="Times New Roman" w:cs="Times New Roman"/>
          <w:b/>
          <w:lang w:val="lv-LV"/>
        </w:rPr>
        <w:t>procesuālā kārtība</w:t>
      </w:r>
      <w:r w:rsidRPr="005E0D92">
        <w:rPr>
          <w:rFonts w:ascii="Times New Roman" w:hAnsi="Times New Roman" w:cs="Times New Roman"/>
          <w:lang w:val="lv-LV"/>
        </w:rPr>
        <w:t xml:space="preserve"> Latvijā ir nosakāma saskaņā ar Latvijas likumu (</w:t>
      </w:r>
      <w:proofErr w:type="spellStart"/>
      <w:r w:rsidRPr="005E0D92">
        <w:rPr>
          <w:rFonts w:ascii="Times New Roman" w:hAnsi="Times New Roman" w:cs="Times New Roman"/>
          <w:i/>
          <w:lang w:val="lv-LV"/>
        </w:rPr>
        <w:t>lex</w:t>
      </w:r>
      <w:proofErr w:type="spellEnd"/>
      <w:r w:rsidRPr="005E0D92">
        <w:rPr>
          <w:rFonts w:ascii="Times New Roman" w:hAnsi="Times New Roman" w:cs="Times New Roman"/>
          <w:i/>
          <w:lang w:val="lv-LV"/>
        </w:rPr>
        <w:t xml:space="preserve"> </w:t>
      </w:r>
      <w:proofErr w:type="spellStart"/>
      <w:r w:rsidRPr="005E0D92">
        <w:rPr>
          <w:rFonts w:ascii="Times New Roman" w:hAnsi="Times New Roman" w:cs="Times New Roman"/>
          <w:i/>
          <w:lang w:val="lv-LV"/>
        </w:rPr>
        <w:t>fori</w:t>
      </w:r>
      <w:proofErr w:type="spellEnd"/>
      <w:r w:rsidRPr="005E0D92">
        <w:rPr>
          <w:rFonts w:ascii="Times New Roman" w:hAnsi="Times New Roman" w:cs="Times New Roman"/>
          <w:lang w:val="lv-LV"/>
        </w:rPr>
        <w:t xml:space="preserve">). </w:t>
      </w:r>
      <w:r w:rsidRPr="005E0D92">
        <w:rPr>
          <w:rFonts w:ascii="Times New Roman" w:hAnsi="Times New Roman" w:cs="Times New Roman"/>
          <w:color w:val="323233"/>
          <w:lang w:val="lv-LV"/>
        </w:rPr>
        <w:t xml:space="preserve">Saskaņā </w:t>
      </w:r>
      <w:r>
        <w:rPr>
          <w:rFonts w:ascii="Times New Roman" w:hAnsi="Times New Roman" w:cs="Arial"/>
          <w:color w:val="323233"/>
          <w:lang w:val="lv-LV"/>
        </w:rPr>
        <w:t xml:space="preserve">ar Notariāta likuma 77.pantu, </w:t>
      </w:r>
      <w:r w:rsidRPr="000C7C76">
        <w:rPr>
          <w:rFonts w:ascii="Times New Roman" w:hAnsi="Times New Roman" w:cs="Times New Roman"/>
          <w:color w:val="323233"/>
          <w:lang w:val="lv-LV"/>
        </w:rPr>
        <w:t>taisot aktus un apliecinājumus juridiskajām personām, jāpārbauda to tiesībspēja, darbības apjoms un pārstāvju pilnvaras. Savukārt Notariāta likuma</w:t>
      </w:r>
      <w:r>
        <w:rPr>
          <w:rFonts w:ascii="Times New Roman" w:hAnsi="Times New Roman" w:cs="Arial"/>
          <w:color w:val="323233"/>
          <w:lang w:val="lv-LV"/>
        </w:rPr>
        <w:t xml:space="preserve"> 83.panta otrā un trešā daļa nosaka: </w:t>
      </w:r>
      <w:r w:rsidRPr="008452A8">
        <w:rPr>
          <w:rFonts w:ascii="Times New Roman" w:hAnsi="Times New Roman" w:cs="Arial"/>
          <w:color w:val="323233"/>
          <w:lang w:val="lv-LV"/>
        </w:rPr>
        <w:t>„</w:t>
      </w:r>
      <w:r w:rsidRPr="000C7C76">
        <w:rPr>
          <w:rFonts w:ascii="Times New Roman" w:hAnsi="Times New Roman" w:cs="Arial"/>
          <w:i/>
          <w:iCs/>
          <w:color w:val="323233"/>
          <w:lang w:val="lv-LV"/>
        </w:rPr>
        <w:t xml:space="preserve">(2) Pārstāvības tiesības zvērināts notārs pārbauda pēc viņam iesniegtajiem </w:t>
      </w:r>
      <w:r w:rsidRPr="000C7C76">
        <w:rPr>
          <w:rFonts w:ascii="Times New Roman" w:hAnsi="Times New Roman" w:cs="Arial"/>
          <w:i/>
          <w:iCs/>
          <w:color w:val="323233"/>
          <w:u w:val="single"/>
          <w:lang w:val="lv-LV"/>
        </w:rPr>
        <w:t>publiskiem dokumentiem</w:t>
      </w:r>
      <w:r w:rsidRPr="000C7C76">
        <w:rPr>
          <w:rFonts w:ascii="Times New Roman" w:hAnsi="Times New Roman" w:cs="Arial"/>
          <w:i/>
          <w:iCs/>
          <w:color w:val="323233"/>
          <w:lang w:val="lv-LV"/>
        </w:rPr>
        <w:t xml:space="preserve"> </w:t>
      </w:r>
      <w:r w:rsidRPr="000C7C76">
        <w:rPr>
          <w:rFonts w:ascii="Times New Roman" w:hAnsi="Times New Roman" w:cs="Arial"/>
          <w:b/>
          <w:bCs/>
          <w:i/>
          <w:iCs/>
          <w:color w:val="323233"/>
          <w:lang w:val="lv-LV"/>
        </w:rPr>
        <w:t>vai</w:t>
      </w:r>
      <w:r w:rsidRPr="000C7C76">
        <w:rPr>
          <w:rFonts w:ascii="Times New Roman" w:hAnsi="Times New Roman" w:cs="Arial"/>
          <w:i/>
          <w:iCs/>
          <w:color w:val="323233"/>
          <w:lang w:val="lv-LV"/>
        </w:rPr>
        <w:t xml:space="preserve"> </w:t>
      </w:r>
      <w:r w:rsidRPr="000C7C76">
        <w:rPr>
          <w:rFonts w:ascii="Times New Roman" w:hAnsi="Times New Roman" w:cs="Arial"/>
          <w:i/>
          <w:iCs/>
          <w:color w:val="323233"/>
          <w:u w:val="single"/>
          <w:lang w:val="lv-LV"/>
        </w:rPr>
        <w:t>ierakstiem Komercreģistrā vai citos publiskos reģistros.</w:t>
      </w:r>
    </w:p>
    <w:p w14:paraId="0651EFB8" w14:textId="77777777" w:rsidR="00114953" w:rsidRPr="000C7C76" w:rsidRDefault="00114953" w:rsidP="00114953">
      <w:pPr>
        <w:widowControl w:val="0"/>
        <w:autoSpaceDE w:val="0"/>
        <w:autoSpaceDN w:val="0"/>
        <w:adjustRightInd w:val="0"/>
        <w:jc w:val="both"/>
        <w:rPr>
          <w:rFonts w:ascii="Times New Roman" w:hAnsi="Times New Roman" w:cs="Arial"/>
          <w:i/>
          <w:iCs/>
          <w:color w:val="323233"/>
          <w:lang w:val="lv-LV"/>
        </w:rPr>
      </w:pPr>
    </w:p>
    <w:p w14:paraId="10662A7B" w14:textId="77777777" w:rsidR="00114953" w:rsidRDefault="00114953" w:rsidP="00114953">
      <w:pPr>
        <w:widowControl w:val="0"/>
        <w:autoSpaceDE w:val="0"/>
        <w:autoSpaceDN w:val="0"/>
        <w:adjustRightInd w:val="0"/>
        <w:jc w:val="both"/>
        <w:rPr>
          <w:rFonts w:ascii="Times New Roman" w:hAnsi="Times New Roman" w:cs="Arial"/>
          <w:i/>
          <w:iCs/>
          <w:color w:val="323233"/>
          <w:lang w:val="de-DE"/>
        </w:rPr>
      </w:pPr>
      <w:r w:rsidRPr="000C7C76">
        <w:rPr>
          <w:rFonts w:ascii="Times New Roman" w:hAnsi="Times New Roman" w:cs="Arial"/>
          <w:i/>
          <w:iCs/>
          <w:color w:val="323233"/>
          <w:lang w:val="lv-LV"/>
        </w:rPr>
        <w:t xml:space="preserve">(3) Ja pārstāvības tiesības izriet no </w:t>
      </w:r>
      <w:r w:rsidRPr="000C7C76">
        <w:rPr>
          <w:rFonts w:ascii="Times New Roman" w:hAnsi="Times New Roman" w:cs="Arial"/>
          <w:b/>
          <w:bCs/>
          <w:i/>
          <w:iCs/>
          <w:color w:val="323233"/>
          <w:lang w:val="lv-LV"/>
        </w:rPr>
        <w:t>ieraksta</w:t>
      </w:r>
      <w:r w:rsidRPr="000C7C76">
        <w:rPr>
          <w:rFonts w:ascii="Times New Roman" w:hAnsi="Times New Roman" w:cs="Arial"/>
          <w:i/>
          <w:iCs/>
          <w:color w:val="323233"/>
          <w:lang w:val="lv-LV"/>
        </w:rPr>
        <w:t xml:space="preserve"> Komercreģistrā vai citā publiskā reģistrā, zvērināts notārs tās pārbauda, salīdzinot ar ziņām reģistrā ne agrāk kā 15 dienas pirms notariālā akta taisīšanas vai arī </w:t>
      </w:r>
      <w:r w:rsidRPr="000C7C76">
        <w:rPr>
          <w:rFonts w:ascii="Times New Roman" w:hAnsi="Times New Roman" w:cs="Arial"/>
          <w:b/>
          <w:bCs/>
          <w:i/>
          <w:iCs/>
          <w:color w:val="323233"/>
          <w:lang w:val="lv-LV"/>
        </w:rPr>
        <w:t>reģistra izrakstā</w:t>
      </w:r>
      <w:r w:rsidRPr="000C7C76">
        <w:rPr>
          <w:rFonts w:ascii="Times New Roman" w:hAnsi="Times New Roman" w:cs="Arial"/>
          <w:i/>
          <w:iCs/>
          <w:color w:val="323233"/>
          <w:lang w:val="lv-LV"/>
        </w:rPr>
        <w:t xml:space="preserve">, kuru ne agrāk kā 15 dienas pirms notariālā akta taisīšanas apliecinājusi attiecīgā reģistra iestāde. </w:t>
      </w:r>
      <w:r w:rsidRPr="000C7C76">
        <w:rPr>
          <w:rFonts w:ascii="Times New Roman" w:hAnsi="Times New Roman" w:cs="Arial"/>
          <w:i/>
          <w:iCs/>
          <w:color w:val="323233"/>
          <w:u w:val="single"/>
          <w:lang w:val="lv-LV"/>
        </w:rPr>
        <w:t>Ārvalstu reģistriem</w:t>
      </w:r>
      <w:r w:rsidRPr="000C7C76">
        <w:rPr>
          <w:rFonts w:ascii="Times New Roman" w:hAnsi="Times New Roman" w:cs="Arial"/>
          <w:i/>
          <w:iCs/>
          <w:color w:val="323233"/>
          <w:lang w:val="lv-LV"/>
        </w:rPr>
        <w:t xml:space="preserve"> piemērojams 30 dienu termiņš. Zvērināts notārs aktā norāda datumu, kad pārbaudījis ziņas, vai izraksta apliecināšanas datumu</w:t>
      </w:r>
      <w:r>
        <w:rPr>
          <w:rFonts w:ascii="Times New Roman" w:hAnsi="Times New Roman" w:cs="Arial"/>
          <w:i/>
          <w:iCs/>
          <w:color w:val="323233"/>
          <w:lang w:val="de-DE"/>
        </w:rPr>
        <w:t>“.</w:t>
      </w:r>
    </w:p>
    <w:p w14:paraId="3A7872D9" w14:textId="77777777" w:rsidR="00114953" w:rsidRDefault="00114953" w:rsidP="00114953">
      <w:pPr>
        <w:widowControl w:val="0"/>
        <w:autoSpaceDE w:val="0"/>
        <w:autoSpaceDN w:val="0"/>
        <w:adjustRightInd w:val="0"/>
        <w:jc w:val="both"/>
        <w:rPr>
          <w:rFonts w:ascii="Times New Roman" w:hAnsi="Times New Roman" w:cs="Arial"/>
          <w:iCs/>
          <w:color w:val="323233"/>
          <w:lang w:val="de-DE"/>
        </w:rPr>
      </w:pPr>
    </w:p>
    <w:p w14:paraId="39DAB138" w14:textId="77777777" w:rsidR="00114953" w:rsidRPr="00CD4311" w:rsidRDefault="00114953" w:rsidP="00114953">
      <w:pPr>
        <w:widowControl w:val="0"/>
        <w:autoSpaceDE w:val="0"/>
        <w:autoSpaceDN w:val="0"/>
        <w:adjustRightInd w:val="0"/>
        <w:jc w:val="both"/>
        <w:rPr>
          <w:rFonts w:ascii="Times New Roman" w:hAnsi="Times New Roman" w:cs="Arial"/>
          <w:iCs/>
          <w:lang w:val="de-DE"/>
        </w:rPr>
      </w:pPr>
      <w:r>
        <w:rPr>
          <w:rFonts w:ascii="Times New Roman" w:hAnsi="Times New Roman" w:cs="Arial"/>
          <w:iCs/>
          <w:color w:val="323233"/>
          <w:lang w:val="de-DE"/>
        </w:rPr>
        <w:tab/>
      </w:r>
      <w:proofErr w:type="spellStart"/>
      <w:r>
        <w:rPr>
          <w:rFonts w:ascii="Times New Roman" w:hAnsi="Times New Roman" w:cs="Arial"/>
          <w:iCs/>
          <w:color w:val="323233"/>
          <w:lang w:val="de-DE"/>
        </w:rPr>
        <w:t>Tātad</w:t>
      </w:r>
      <w:proofErr w:type="spellEnd"/>
      <w:r>
        <w:rPr>
          <w:rFonts w:ascii="Times New Roman" w:hAnsi="Times New Roman" w:cs="Arial"/>
          <w:iCs/>
          <w:color w:val="323233"/>
          <w:lang w:val="de-DE"/>
        </w:rPr>
        <w:t xml:space="preserve">, </w:t>
      </w:r>
      <w:proofErr w:type="spellStart"/>
      <w:r>
        <w:rPr>
          <w:rFonts w:ascii="Times New Roman" w:hAnsi="Times New Roman" w:cs="Arial"/>
          <w:iCs/>
          <w:color w:val="323233"/>
          <w:lang w:val="de-DE"/>
        </w:rPr>
        <w:t>pārbaudot</w:t>
      </w:r>
      <w:proofErr w:type="spellEnd"/>
      <w:r>
        <w:rPr>
          <w:rFonts w:ascii="Times New Roman" w:hAnsi="Times New Roman" w:cs="Arial"/>
          <w:iCs/>
          <w:color w:val="323233"/>
          <w:lang w:val="de-DE"/>
        </w:rPr>
        <w:t xml:space="preserve"> </w:t>
      </w:r>
      <w:proofErr w:type="spellStart"/>
      <w:r>
        <w:rPr>
          <w:rFonts w:ascii="Times New Roman" w:hAnsi="Times New Roman" w:cs="Arial"/>
          <w:iCs/>
          <w:color w:val="323233"/>
          <w:lang w:val="de-DE"/>
        </w:rPr>
        <w:t>ārvalstu</w:t>
      </w:r>
      <w:proofErr w:type="spellEnd"/>
      <w:r>
        <w:rPr>
          <w:rFonts w:ascii="Times New Roman" w:hAnsi="Times New Roman" w:cs="Arial"/>
          <w:iCs/>
          <w:color w:val="323233"/>
          <w:lang w:val="de-DE"/>
        </w:rPr>
        <w:t xml:space="preserve"> </w:t>
      </w:r>
      <w:proofErr w:type="spellStart"/>
      <w:r>
        <w:rPr>
          <w:rFonts w:ascii="Times New Roman" w:hAnsi="Times New Roman" w:cs="Arial"/>
          <w:iCs/>
          <w:color w:val="323233"/>
          <w:lang w:val="de-DE"/>
        </w:rPr>
        <w:t>juridisko</w:t>
      </w:r>
      <w:proofErr w:type="spellEnd"/>
      <w:r>
        <w:rPr>
          <w:rFonts w:ascii="Times New Roman" w:hAnsi="Times New Roman" w:cs="Arial"/>
          <w:iCs/>
          <w:color w:val="323233"/>
          <w:lang w:val="de-DE"/>
        </w:rPr>
        <w:t xml:space="preserve"> </w:t>
      </w:r>
      <w:proofErr w:type="spellStart"/>
      <w:r>
        <w:rPr>
          <w:rFonts w:ascii="Times New Roman" w:hAnsi="Times New Roman" w:cs="Arial"/>
          <w:iCs/>
          <w:color w:val="323233"/>
          <w:lang w:val="de-DE"/>
        </w:rPr>
        <w:t>personu</w:t>
      </w:r>
      <w:proofErr w:type="spellEnd"/>
      <w:r>
        <w:rPr>
          <w:rFonts w:ascii="Times New Roman" w:hAnsi="Times New Roman" w:cs="Arial"/>
          <w:iCs/>
          <w:color w:val="323233"/>
          <w:lang w:val="de-DE"/>
        </w:rPr>
        <w:t xml:space="preserve"> </w:t>
      </w:r>
      <w:proofErr w:type="spellStart"/>
      <w:r>
        <w:rPr>
          <w:rFonts w:ascii="Times New Roman" w:hAnsi="Times New Roman" w:cs="Arial"/>
          <w:iCs/>
          <w:color w:val="323233"/>
          <w:lang w:val="de-DE"/>
        </w:rPr>
        <w:t>tiesībspēju</w:t>
      </w:r>
      <w:proofErr w:type="spellEnd"/>
      <w:r>
        <w:rPr>
          <w:rFonts w:ascii="Times New Roman" w:hAnsi="Times New Roman" w:cs="Arial"/>
          <w:iCs/>
          <w:color w:val="323233"/>
          <w:lang w:val="de-DE"/>
        </w:rPr>
        <w:t xml:space="preserve">, </w:t>
      </w:r>
      <w:proofErr w:type="spellStart"/>
      <w:r>
        <w:rPr>
          <w:rFonts w:ascii="Times New Roman" w:hAnsi="Times New Roman" w:cs="Arial"/>
          <w:iCs/>
          <w:color w:val="323233"/>
          <w:lang w:val="de-DE"/>
        </w:rPr>
        <w:t>rīcības</w:t>
      </w:r>
      <w:proofErr w:type="spellEnd"/>
      <w:r>
        <w:rPr>
          <w:rFonts w:ascii="Times New Roman" w:hAnsi="Times New Roman" w:cs="Arial"/>
          <w:iCs/>
          <w:color w:val="323233"/>
          <w:lang w:val="de-DE"/>
        </w:rPr>
        <w:t xml:space="preserve"> </w:t>
      </w:r>
      <w:proofErr w:type="spellStart"/>
      <w:r>
        <w:rPr>
          <w:rFonts w:ascii="Times New Roman" w:hAnsi="Times New Roman" w:cs="Arial"/>
          <w:iCs/>
          <w:color w:val="323233"/>
          <w:lang w:val="de-DE"/>
        </w:rPr>
        <w:t>apjomu</w:t>
      </w:r>
      <w:proofErr w:type="spellEnd"/>
      <w:r>
        <w:rPr>
          <w:rFonts w:ascii="Times New Roman" w:hAnsi="Times New Roman" w:cs="Arial"/>
          <w:iCs/>
          <w:color w:val="323233"/>
          <w:lang w:val="de-DE"/>
        </w:rPr>
        <w:t xml:space="preserve"> </w:t>
      </w:r>
      <w:proofErr w:type="spellStart"/>
      <w:r>
        <w:rPr>
          <w:rFonts w:ascii="Times New Roman" w:hAnsi="Times New Roman" w:cs="Arial"/>
          <w:iCs/>
          <w:color w:val="323233"/>
          <w:lang w:val="de-DE"/>
        </w:rPr>
        <w:t>un</w:t>
      </w:r>
      <w:proofErr w:type="spellEnd"/>
      <w:r>
        <w:rPr>
          <w:rFonts w:ascii="Times New Roman" w:hAnsi="Times New Roman" w:cs="Arial"/>
          <w:iCs/>
          <w:color w:val="323233"/>
          <w:lang w:val="de-DE"/>
        </w:rPr>
        <w:t xml:space="preserve"> </w:t>
      </w:r>
      <w:proofErr w:type="spellStart"/>
      <w:r>
        <w:rPr>
          <w:rFonts w:ascii="Times New Roman" w:hAnsi="Times New Roman" w:cs="Arial"/>
          <w:iCs/>
          <w:color w:val="323233"/>
          <w:lang w:val="de-DE"/>
        </w:rPr>
        <w:t>pārstāvības</w:t>
      </w:r>
      <w:proofErr w:type="spellEnd"/>
      <w:r>
        <w:rPr>
          <w:rFonts w:ascii="Times New Roman" w:hAnsi="Times New Roman" w:cs="Arial"/>
          <w:iCs/>
          <w:color w:val="323233"/>
          <w:lang w:val="de-DE"/>
        </w:rPr>
        <w:t xml:space="preserve"> </w:t>
      </w:r>
      <w:proofErr w:type="spellStart"/>
      <w:r>
        <w:rPr>
          <w:rFonts w:ascii="Times New Roman" w:hAnsi="Times New Roman" w:cs="Arial"/>
          <w:iCs/>
          <w:color w:val="323233"/>
          <w:lang w:val="de-DE"/>
        </w:rPr>
        <w:t>tiesības</w:t>
      </w:r>
      <w:proofErr w:type="spellEnd"/>
      <w:r>
        <w:rPr>
          <w:rFonts w:ascii="Times New Roman" w:hAnsi="Times New Roman" w:cs="Arial"/>
          <w:iCs/>
          <w:color w:val="323233"/>
          <w:lang w:val="de-DE"/>
        </w:rPr>
        <w:t xml:space="preserve">, Latvijas </w:t>
      </w:r>
      <w:proofErr w:type="spellStart"/>
      <w:r>
        <w:rPr>
          <w:rFonts w:ascii="Times New Roman" w:hAnsi="Times New Roman" w:cs="Arial"/>
          <w:iCs/>
          <w:color w:val="323233"/>
          <w:lang w:val="de-DE"/>
        </w:rPr>
        <w:t>notārs</w:t>
      </w:r>
      <w:proofErr w:type="spellEnd"/>
      <w:r>
        <w:rPr>
          <w:rFonts w:ascii="Times New Roman" w:hAnsi="Times New Roman" w:cs="Arial"/>
          <w:iCs/>
          <w:color w:val="323233"/>
          <w:lang w:val="de-DE"/>
        </w:rPr>
        <w:t xml:space="preserve"> </w:t>
      </w:r>
      <w:proofErr w:type="spellStart"/>
      <w:r>
        <w:rPr>
          <w:rFonts w:ascii="Times New Roman" w:hAnsi="Times New Roman" w:cs="Arial"/>
          <w:iCs/>
          <w:color w:val="323233"/>
          <w:lang w:val="de-DE"/>
        </w:rPr>
        <w:t>piemēro</w:t>
      </w:r>
      <w:proofErr w:type="spellEnd"/>
      <w:r>
        <w:rPr>
          <w:rFonts w:ascii="Times New Roman" w:hAnsi="Times New Roman" w:cs="Arial"/>
          <w:iCs/>
          <w:color w:val="323233"/>
          <w:lang w:val="de-DE"/>
        </w:rPr>
        <w:t xml:space="preserve"> </w:t>
      </w:r>
      <w:proofErr w:type="spellStart"/>
      <w:r>
        <w:rPr>
          <w:rFonts w:ascii="Times New Roman" w:hAnsi="Times New Roman" w:cs="Arial"/>
          <w:iCs/>
          <w:color w:val="323233"/>
          <w:lang w:val="de-DE"/>
        </w:rPr>
        <w:t>minētās</w:t>
      </w:r>
      <w:proofErr w:type="spellEnd"/>
      <w:r>
        <w:rPr>
          <w:rFonts w:ascii="Times New Roman" w:hAnsi="Times New Roman" w:cs="Arial"/>
          <w:iCs/>
          <w:color w:val="323233"/>
          <w:lang w:val="de-DE"/>
        </w:rPr>
        <w:t xml:space="preserve"> </w:t>
      </w:r>
      <w:proofErr w:type="spellStart"/>
      <w:r>
        <w:rPr>
          <w:rFonts w:ascii="Times New Roman" w:hAnsi="Times New Roman" w:cs="Arial"/>
          <w:iCs/>
          <w:color w:val="323233"/>
          <w:lang w:val="de-DE"/>
        </w:rPr>
        <w:t>Notariāta</w:t>
      </w:r>
      <w:proofErr w:type="spellEnd"/>
      <w:r>
        <w:rPr>
          <w:rFonts w:ascii="Times New Roman" w:hAnsi="Times New Roman" w:cs="Arial"/>
          <w:iCs/>
          <w:color w:val="323233"/>
          <w:lang w:val="de-DE"/>
        </w:rPr>
        <w:t xml:space="preserve"> </w:t>
      </w:r>
      <w:proofErr w:type="spellStart"/>
      <w:r>
        <w:rPr>
          <w:rFonts w:ascii="Times New Roman" w:hAnsi="Times New Roman" w:cs="Arial"/>
          <w:iCs/>
          <w:color w:val="323233"/>
          <w:lang w:val="de-DE"/>
        </w:rPr>
        <w:t>likuma</w:t>
      </w:r>
      <w:proofErr w:type="spellEnd"/>
      <w:r>
        <w:rPr>
          <w:rFonts w:ascii="Times New Roman" w:hAnsi="Times New Roman" w:cs="Arial"/>
          <w:iCs/>
          <w:color w:val="323233"/>
          <w:lang w:val="de-DE"/>
        </w:rPr>
        <w:t xml:space="preserve"> </w:t>
      </w:r>
      <w:proofErr w:type="spellStart"/>
      <w:r>
        <w:rPr>
          <w:rFonts w:ascii="Times New Roman" w:hAnsi="Times New Roman" w:cs="Arial"/>
          <w:iCs/>
          <w:color w:val="323233"/>
          <w:lang w:val="de-DE"/>
        </w:rPr>
        <w:t>normas</w:t>
      </w:r>
      <w:proofErr w:type="spellEnd"/>
      <w:r>
        <w:rPr>
          <w:rFonts w:ascii="Times New Roman" w:hAnsi="Times New Roman" w:cs="Arial"/>
          <w:iCs/>
          <w:color w:val="323233"/>
          <w:lang w:val="de-DE"/>
        </w:rPr>
        <w:t xml:space="preserve">, </w:t>
      </w:r>
      <w:proofErr w:type="spellStart"/>
      <w:r>
        <w:rPr>
          <w:rFonts w:ascii="Times New Roman" w:hAnsi="Times New Roman" w:cs="Arial"/>
          <w:iCs/>
          <w:color w:val="323233"/>
          <w:lang w:val="de-DE"/>
        </w:rPr>
        <w:t>t.i</w:t>
      </w:r>
      <w:proofErr w:type="spellEnd"/>
      <w:r>
        <w:rPr>
          <w:rFonts w:ascii="Times New Roman" w:hAnsi="Times New Roman" w:cs="Arial"/>
          <w:iCs/>
          <w:color w:val="323233"/>
          <w:lang w:val="de-DE"/>
        </w:rPr>
        <w:t xml:space="preserve">., </w:t>
      </w:r>
      <w:proofErr w:type="spellStart"/>
      <w:r>
        <w:rPr>
          <w:rFonts w:ascii="Times New Roman" w:hAnsi="Times New Roman" w:cs="Arial"/>
          <w:iCs/>
          <w:color w:val="323233"/>
          <w:lang w:val="de-DE"/>
        </w:rPr>
        <w:t>tiek</w:t>
      </w:r>
      <w:proofErr w:type="spellEnd"/>
      <w:r>
        <w:rPr>
          <w:rFonts w:ascii="Times New Roman" w:hAnsi="Times New Roman" w:cs="Arial"/>
          <w:iCs/>
          <w:color w:val="323233"/>
          <w:lang w:val="de-DE"/>
        </w:rPr>
        <w:t xml:space="preserve"> </w:t>
      </w:r>
      <w:proofErr w:type="spellStart"/>
      <w:r>
        <w:rPr>
          <w:rFonts w:ascii="Times New Roman" w:hAnsi="Times New Roman" w:cs="Arial"/>
          <w:iCs/>
          <w:color w:val="323233"/>
          <w:lang w:val="de-DE"/>
        </w:rPr>
        <w:t>pieprasīts</w:t>
      </w:r>
      <w:proofErr w:type="spellEnd"/>
      <w:r>
        <w:rPr>
          <w:rFonts w:ascii="Times New Roman" w:hAnsi="Times New Roman" w:cs="Arial"/>
          <w:iCs/>
          <w:color w:val="323233"/>
          <w:lang w:val="de-DE"/>
        </w:rPr>
        <w:t xml:space="preserve"> </w:t>
      </w:r>
      <w:proofErr w:type="spellStart"/>
      <w:r>
        <w:rPr>
          <w:rFonts w:ascii="Times New Roman" w:hAnsi="Times New Roman" w:cs="Arial"/>
          <w:iCs/>
          <w:color w:val="323233"/>
          <w:lang w:val="de-DE"/>
        </w:rPr>
        <w:t>iesniegt</w:t>
      </w:r>
      <w:proofErr w:type="spellEnd"/>
      <w:r>
        <w:rPr>
          <w:rFonts w:ascii="Times New Roman" w:hAnsi="Times New Roman" w:cs="Arial"/>
          <w:iCs/>
          <w:color w:val="323233"/>
          <w:lang w:val="de-DE"/>
        </w:rPr>
        <w:t xml:space="preserve"> </w:t>
      </w:r>
      <w:proofErr w:type="spellStart"/>
      <w:r>
        <w:rPr>
          <w:rFonts w:ascii="Times New Roman" w:hAnsi="Times New Roman" w:cs="Arial"/>
          <w:iCs/>
          <w:color w:val="323233"/>
          <w:lang w:val="de-DE"/>
        </w:rPr>
        <w:t>publiskos</w:t>
      </w:r>
      <w:proofErr w:type="spellEnd"/>
      <w:r>
        <w:rPr>
          <w:rFonts w:ascii="Times New Roman" w:hAnsi="Times New Roman" w:cs="Arial"/>
          <w:iCs/>
          <w:color w:val="323233"/>
          <w:lang w:val="de-DE"/>
        </w:rPr>
        <w:t xml:space="preserve"> </w:t>
      </w:r>
      <w:proofErr w:type="spellStart"/>
      <w:r>
        <w:rPr>
          <w:rFonts w:ascii="Times New Roman" w:hAnsi="Times New Roman" w:cs="Arial"/>
          <w:iCs/>
          <w:color w:val="323233"/>
          <w:lang w:val="de-DE"/>
        </w:rPr>
        <w:t>dokumentus</w:t>
      </w:r>
      <w:proofErr w:type="spellEnd"/>
      <w:r>
        <w:rPr>
          <w:rFonts w:ascii="Times New Roman" w:hAnsi="Times New Roman" w:cs="Arial"/>
          <w:iCs/>
          <w:color w:val="323233"/>
          <w:lang w:val="de-DE"/>
        </w:rPr>
        <w:t xml:space="preserve"> (</w:t>
      </w:r>
      <w:proofErr w:type="spellStart"/>
      <w:r>
        <w:rPr>
          <w:rFonts w:ascii="Times New Roman" w:hAnsi="Times New Roman" w:cs="Arial"/>
          <w:iCs/>
          <w:color w:val="323233"/>
          <w:lang w:val="de-DE"/>
        </w:rPr>
        <w:t>arī</w:t>
      </w:r>
      <w:proofErr w:type="spellEnd"/>
      <w:r>
        <w:rPr>
          <w:rFonts w:ascii="Times New Roman" w:hAnsi="Times New Roman" w:cs="Arial"/>
          <w:iCs/>
          <w:color w:val="323233"/>
          <w:lang w:val="de-DE"/>
        </w:rPr>
        <w:t xml:space="preserve"> </w:t>
      </w:r>
      <w:proofErr w:type="spellStart"/>
      <w:r>
        <w:rPr>
          <w:rFonts w:ascii="Times New Roman" w:hAnsi="Times New Roman" w:cs="Arial"/>
          <w:iCs/>
          <w:color w:val="323233"/>
          <w:lang w:val="de-DE"/>
        </w:rPr>
        <w:t>ārvalstu</w:t>
      </w:r>
      <w:proofErr w:type="spellEnd"/>
      <w:r>
        <w:rPr>
          <w:rFonts w:ascii="Times New Roman" w:hAnsi="Times New Roman" w:cs="Arial"/>
          <w:iCs/>
          <w:color w:val="323233"/>
          <w:lang w:val="de-DE"/>
        </w:rPr>
        <w:t xml:space="preserve"> </w:t>
      </w:r>
      <w:proofErr w:type="spellStart"/>
      <w:r>
        <w:rPr>
          <w:rFonts w:ascii="Times New Roman" w:hAnsi="Times New Roman" w:cs="Arial"/>
          <w:iCs/>
          <w:color w:val="323233"/>
          <w:lang w:val="de-DE"/>
        </w:rPr>
        <w:t>publiskos</w:t>
      </w:r>
      <w:proofErr w:type="spellEnd"/>
      <w:r>
        <w:rPr>
          <w:rFonts w:ascii="Times New Roman" w:hAnsi="Times New Roman" w:cs="Arial"/>
          <w:iCs/>
          <w:color w:val="323233"/>
          <w:lang w:val="de-DE"/>
        </w:rPr>
        <w:t xml:space="preserve"> </w:t>
      </w:r>
      <w:proofErr w:type="spellStart"/>
      <w:r>
        <w:rPr>
          <w:rFonts w:ascii="Times New Roman" w:hAnsi="Times New Roman" w:cs="Arial"/>
          <w:iCs/>
          <w:color w:val="323233"/>
          <w:lang w:val="de-DE"/>
        </w:rPr>
        <w:t>dokumentus</w:t>
      </w:r>
      <w:proofErr w:type="spellEnd"/>
      <w:r>
        <w:rPr>
          <w:rFonts w:ascii="Times New Roman" w:hAnsi="Times New Roman" w:cs="Arial"/>
          <w:iCs/>
          <w:color w:val="323233"/>
          <w:lang w:val="de-DE"/>
        </w:rPr>
        <w:t xml:space="preserve">), </w:t>
      </w:r>
      <w:proofErr w:type="spellStart"/>
      <w:r>
        <w:rPr>
          <w:rFonts w:ascii="Times New Roman" w:hAnsi="Times New Roman" w:cs="Arial"/>
          <w:iCs/>
          <w:color w:val="323233"/>
          <w:lang w:val="de-DE"/>
        </w:rPr>
        <w:t>vai</w:t>
      </w:r>
      <w:proofErr w:type="spellEnd"/>
      <w:r>
        <w:rPr>
          <w:rFonts w:ascii="Times New Roman" w:hAnsi="Times New Roman" w:cs="Arial"/>
          <w:iCs/>
          <w:color w:val="323233"/>
          <w:lang w:val="de-DE"/>
        </w:rPr>
        <w:t xml:space="preserve"> </w:t>
      </w:r>
      <w:proofErr w:type="spellStart"/>
      <w:r>
        <w:rPr>
          <w:rFonts w:ascii="Times New Roman" w:hAnsi="Times New Roman" w:cs="Arial"/>
          <w:iCs/>
          <w:color w:val="323233"/>
          <w:lang w:val="de-DE"/>
        </w:rPr>
        <w:t>arī</w:t>
      </w:r>
      <w:proofErr w:type="spellEnd"/>
      <w:r>
        <w:rPr>
          <w:rFonts w:ascii="Times New Roman" w:hAnsi="Times New Roman" w:cs="Arial"/>
          <w:iCs/>
          <w:color w:val="323233"/>
          <w:lang w:val="de-DE"/>
        </w:rPr>
        <w:t xml:space="preserve"> </w:t>
      </w:r>
      <w:proofErr w:type="spellStart"/>
      <w:r>
        <w:rPr>
          <w:rFonts w:ascii="Times New Roman" w:hAnsi="Times New Roman" w:cs="Arial"/>
          <w:iCs/>
          <w:color w:val="323233"/>
          <w:lang w:val="de-DE"/>
        </w:rPr>
        <w:t>pārstāvības</w:t>
      </w:r>
      <w:proofErr w:type="spellEnd"/>
      <w:r>
        <w:rPr>
          <w:rFonts w:ascii="Times New Roman" w:hAnsi="Times New Roman" w:cs="Arial"/>
          <w:iCs/>
          <w:color w:val="323233"/>
          <w:lang w:val="de-DE"/>
        </w:rPr>
        <w:t xml:space="preserve"> </w:t>
      </w:r>
      <w:proofErr w:type="spellStart"/>
      <w:r>
        <w:rPr>
          <w:rFonts w:ascii="Times New Roman" w:hAnsi="Times New Roman" w:cs="Arial"/>
          <w:iCs/>
          <w:color w:val="323233"/>
          <w:lang w:val="de-DE"/>
        </w:rPr>
        <w:t>tiesībām</w:t>
      </w:r>
      <w:proofErr w:type="spellEnd"/>
      <w:r>
        <w:rPr>
          <w:rFonts w:ascii="Times New Roman" w:hAnsi="Times New Roman" w:cs="Arial"/>
          <w:iCs/>
          <w:color w:val="323233"/>
          <w:lang w:val="de-DE"/>
        </w:rPr>
        <w:t xml:space="preserve"> </w:t>
      </w:r>
      <w:proofErr w:type="spellStart"/>
      <w:r>
        <w:rPr>
          <w:rFonts w:ascii="Times New Roman" w:hAnsi="Times New Roman" w:cs="Arial"/>
          <w:iCs/>
          <w:color w:val="323233"/>
          <w:lang w:val="de-DE"/>
        </w:rPr>
        <w:t>ir</w:t>
      </w:r>
      <w:proofErr w:type="spellEnd"/>
      <w:r>
        <w:rPr>
          <w:rFonts w:ascii="Times New Roman" w:hAnsi="Times New Roman" w:cs="Arial"/>
          <w:iCs/>
          <w:color w:val="323233"/>
          <w:lang w:val="de-DE"/>
        </w:rPr>
        <w:t xml:space="preserve"> </w:t>
      </w:r>
      <w:proofErr w:type="spellStart"/>
      <w:r>
        <w:rPr>
          <w:rFonts w:ascii="Times New Roman" w:hAnsi="Times New Roman" w:cs="Arial"/>
          <w:iCs/>
          <w:color w:val="323233"/>
          <w:lang w:val="de-DE"/>
        </w:rPr>
        <w:t>jāizriet</w:t>
      </w:r>
      <w:proofErr w:type="spellEnd"/>
      <w:r>
        <w:rPr>
          <w:rFonts w:ascii="Times New Roman" w:hAnsi="Times New Roman" w:cs="Arial"/>
          <w:iCs/>
          <w:color w:val="323233"/>
          <w:lang w:val="de-DE"/>
        </w:rPr>
        <w:t xml:space="preserve"> </w:t>
      </w:r>
      <w:proofErr w:type="spellStart"/>
      <w:r>
        <w:rPr>
          <w:rFonts w:ascii="Times New Roman" w:hAnsi="Times New Roman" w:cs="Arial"/>
          <w:iCs/>
          <w:color w:val="323233"/>
          <w:lang w:val="de-DE"/>
        </w:rPr>
        <w:t>no</w:t>
      </w:r>
      <w:proofErr w:type="spellEnd"/>
      <w:r>
        <w:rPr>
          <w:rFonts w:ascii="Times New Roman" w:hAnsi="Times New Roman" w:cs="Arial"/>
          <w:iCs/>
          <w:color w:val="323233"/>
          <w:lang w:val="de-DE"/>
        </w:rPr>
        <w:t xml:space="preserve"> </w:t>
      </w:r>
      <w:proofErr w:type="spellStart"/>
      <w:r>
        <w:rPr>
          <w:rFonts w:ascii="Times New Roman" w:hAnsi="Times New Roman" w:cs="Arial"/>
          <w:iCs/>
          <w:color w:val="323233"/>
          <w:lang w:val="de-DE"/>
        </w:rPr>
        <w:t>ieraksta</w:t>
      </w:r>
      <w:proofErr w:type="spellEnd"/>
      <w:r>
        <w:rPr>
          <w:rFonts w:ascii="Times New Roman" w:hAnsi="Times New Roman" w:cs="Arial"/>
          <w:iCs/>
          <w:color w:val="323233"/>
          <w:lang w:val="de-DE"/>
        </w:rPr>
        <w:t xml:space="preserve"> </w:t>
      </w:r>
      <w:proofErr w:type="spellStart"/>
      <w:r>
        <w:rPr>
          <w:rFonts w:ascii="Times New Roman" w:hAnsi="Times New Roman" w:cs="Arial"/>
          <w:iCs/>
          <w:color w:val="323233"/>
          <w:lang w:val="de-DE"/>
        </w:rPr>
        <w:t>publiskā</w:t>
      </w:r>
      <w:proofErr w:type="spellEnd"/>
      <w:r>
        <w:rPr>
          <w:rFonts w:ascii="Times New Roman" w:hAnsi="Times New Roman" w:cs="Arial"/>
          <w:iCs/>
          <w:color w:val="323233"/>
          <w:lang w:val="de-DE"/>
        </w:rPr>
        <w:t xml:space="preserve"> </w:t>
      </w:r>
      <w:proofErr w:type="spellStart"/>
      <w:r>
        <w:rPr>
          <w:rFonts w:ascii="Times New Roman" w:hAnsi="Times New Roman" w:cs="Arial"/>
          <w:iCs/>
          <w:color w:val="323233"/>
          <w:lang w:val="de-DE"/>
        </w:rPr>
        <w:t>reģistrā</w:t>
      </w:r>
      <w:proofErr w:type="spellEnd"/>
      <w:r>
        <w:rPr>
          <w:rFonts w:ascii="Times New Roman" w:hAnsi="Times New Roman" w:cs="Arial"/>
          <w:iCs/>
          <w:color w:val="323233"/>
          <w:lang w:val="de-DE"/>
        </w:rPr>
        <w:t xml:space="preserve">. Latvijas </w:t>
      </w:r>
      <w:proofErr w:type="spellStart"/>
      <w:r>
        <w:rPr>
          <w:rFonts w:ascii="Times New Roman" w:hAnsi="Times New Roman" w:cs="Arial"/>
          <w:iCs/>
          <w:color w:val="323233"/>
          <w:lang w:val="de-DE"/>
        </w:rPr>
        <w:t>notāri</w:t>
      </w:r>
      <w:proofErr w:type="spellEnd"/>
      <w:r>
        <w:rPr>
          <w:rFonts w:ascii="Times New Roman" w:hAnsi="Times New Roman" w:cs="Arial"/>
          <w:iCs/>
          <w:color w:val="323233"/>
          <w:lang w:val="de-DE"/>
        </w:rPr>
        <w:t xml:space="preserve"> </w:t>
      </w:r>
      <w:proofErr w:type="spellStart"/>
      <w:r>
        <w:rPr>
          <w:rFonts w:ascii="Times New Roman" w:hAnsi="Times New Roman" w:cs="Arial"/>
          <w:iCs/>
          <w:color w:val="323233"/>
          <w:lang w:val="de-DE"/>
        </w:rPr>
        <w:t>var</w:t>
      </w:r>
      <w:proofErr w:type="spellEnd"/>
      <w:r>
        <w:rPr>
          <w:rFonts w:ascii="Times New Roman" w:hAnsi="Times New Roman" w:cs="Arial"/>
          <w:iCs/>
          <w:color w:val="323233"/>
          <w:lang w:val="de-DE"/>
        </w:rPr>
        <w:t xml:space="preserve"> </w:t>
      </w:r>
      <w:proofErr w:type="spellStart"/>
      <w:r>
        <w:rPr>
          <w:rFonts w:ascii="Times New Roman" w:hAnsi="Times New Roman" w:cs="Arial"/>
          <w:iCs/>
          <w:color w:val="323233"/>
          <w:lang w:val="de-DE"/>
        </w:rPr>
        <w:t>paši</w:t>
      </w:r>
      <w:proofErr w:type="spellEnd"/>
      <w:r>
        <w:rPr>
          <w:rFonts w:ascii="Times New Roman" w:hAnsi="Times New Roman" w:cs="Arial"/>
          <w:iCs/>
          <w:color w:val="323233"/>
          <w:lang w:val="de-DE"/>
        </w:rPr>
        <w:t xml:space="preserve"> </w:t>
      </w:r>
      <w:proofErr w:type="spellStart"/>
      <w:r>
        <w:rPr>
          <w:rFonts w:ascii="Times New Roman" w:hAnsi="Times New Roman" w:cs="Arial"/>
          <w:iCs/>
          <w:color w:val="323233"/>
          <w:lang w:val="de-DE"/>
        </w:rPr>
        <w:t>arī</w:t>
      </w:r>
      <w:proofErr w:type="spellEnd"/>
      <w:r>
        <w:rPr>
          <w:rFonts w:ascii="Times New Roman" w:hAnsi="Times New Roman" w:cs="Arial"/>
          <w:iCs/>
          <w:color w:val="323233"/>
          <w:lang w:val="de-DE"/>
        </w:rPr>
        <w:t xml:space="preserve"> </w:t>
      </w:r>
      <w:proofErr w:type="spellStart"/>
      <w:r>
        <w:rPr>
          <w:rFonts w:ascii="Times New Roman" w:hAnsi="Times New Roman" w:cs="Arial"/>
          <w:iCs/>
          <w:color w:val="323233"/>
          <w:lang w:val="de-DE"/>
        </w:rPr>
        <w:t>ieskatīties</w:t>
      </w:r>
      <w:proofErr w:type="spellEnd"/>
      <w:r>
        <w:rPr>
          <w:rFonts w:ascii="Times New Roman" w:hAnsi="Times New Roman" w:cs="Arial"/>
          <w:iCs/>
          <w:color w:val="323233"/>
          <w:lang w:val="de-DE"/>
        </w:rPr>
        <w:t xml:space="preserve"> </w:t>
      </w:r>
      <w:proofErr w:type="spellStart"/>
      <w:r>
        <w:rPr>
          <w:rFonts w:ascii="Times New Roman" w:hAnsi="Times New Roman" w:cs="Arial"/>
          <w:iCs/>
          <w:color w:val="323233"/>
          <w:lang w:val="de-DE"/>
        </w:rPr>
        <w:t>viņiem</w:t>
      </w:r>
      <w:proofErr w:type="spellEnd"/>
      <w:r>
        <w:rPr>
          <w:rFonts w:ascii="Times New Roman" w:hAnsi="Times New Roman" w:cs="Arial"/>
          <w:iCs/>
          <w:color w:val="323233"/>
          <w:lang w:val="de-DE"/>
        </w:rPr>
        <w:t xml:space="preserve"> </w:t>
      </w:r>
      <w:proofErr w:type="spellStart"/>
      <w:r>
        <w:rPr>
          <w:rFonts w:ascii="Times New Roman" w:hAnsi="Times New Roman" w:cs="Arial"/>
          <w:iCs/>
          <w:color w:val="323233"/>
          <w:lang w:val="de-DE"/>
        </w:rPr>
        <w:t>pieejamos</w:t>
      </w:r>
      <w:proofErr w:type="spellEnd"/>
      <w:r>
        <w:rPr>
          <w:rFonts w:ascii="Times New Roman" w:hAnsi="Times New Roman" w:cs="Arial"/>
          <w:iCs/>
          <w:color w:val="323233"/>
          <w:lang w:val="de-DE"/>
        </w:rPr>
        <w:t xml:space="preserve"> </w:t>
      </w:r>
      <w:proofErr w:type="spellStart"/>
      <w:r>
        <w:rPr>
          <w:rFonts w:ascii="Times New Roman" w:hAnsi="Times New Roman" w:cs="Arial"/>
          <w:iCs/>
          <w:color w:val="323233"/>
          <w:lang w:val="de-DE"/>
        </w:rPr>
        <w:t>ārvalstu</w:t>
      </w:r>
      <w:proofErr w:type="spellEnd"/>
      <w:r>
        <w:rPr>
          <w:rFonts w:ascii="Times New Roman" w:hAnsi="Times New Roman" w:cs="Arial"/>
          <w:iCs/>
          <w:color w:val="323233"/>
          <w:lang w:val="de-DE"/>
        </w:rPr>
        <w:t xml:space="preserve"> </w:t>
      </w:r>
      <w:proofErr w:type="spellStart"/>
      <w:r>
        <w:rPr>
          <w:rFonts w:ascii="Times New Roman" w:hAnsi="Times New Roman" w:cs="Arial"/>
          <w:iCs/>
          <w:color w:val="323233"/>
          <w:lang w:val="de-DE"/>
        </w:rPr>
        <w:t>publiskos</w:t>
      </w:r>
      <w:proofErr w:type="spellEnd"/>
      <w:r>
        <w:rPr>
          <w:rFonts w:ascii="Times New Roman" w:hAnsi="Times New Roman" w:cs="Arial"/>
          <w:iCs/>
          <w:color w:val="323233"/>
          <w:lang w:val="de-DE"/>
        </w:rPr>
        <w:t xml:space="preserve"> </w:t>
      </w:r>
      <w:proofErr w:type="spellStart"/>
      <w:r>
        <w:rPr>
          <w:rFonts w:ascii="Times New Roman" w:hAnsi="Times New Roman" w:cs="Arial"/>
          <w:iCs/>
          <w:color w:val="323233"/>
          <w:lang w:val="de-DE"/>
        </w:rPr>
        <w:t>reģistros</w:t>
      </w:r>
      <w:proofErr w:type="spellEnd"/>
      <w:r>
        <w:rPr>
          <w:rFonts w:ascii="Times New Roman" w:hAnsi="Times New Roman" w:cs="Arial"/>
          <w:iCs/>
          <w:color w:val="323233"/>
          <w:lang w:val="de-DE"/>
        </w:rPr>
        <w:t xml:space="preserve">, </w:t>
      </w:r>
      <w:proofErr w:type="spellStart"/>
      <w:r>
        <w:rPr>
          <w:rFonts w:ascii="Times New Roman" w:hAnsi="Times New Roman" w:cs="Arial"/>
          <w:iCs/>
          <w:color w:val="323233"/>
          <w:lang w:val="de-DE"/>
        </w:rPr>
        <w:t>kā</w:t>
      </w:r>
      <w:proofErr w:type="spellEnd"/>
      <w:r>
        <w:rPr>
          <w:rFonts w:ascii="Times New Roman" w:hAnsi="Times New Roman" w:cs="Arial"/>
          <w:iCs/>
          <w:color w:val="323233"/>
          <w:lang w:val="de-DE"/>
        </w:rPr>
        <w:t xml:space="preserve"> </w:t>
      </w:r>
      <w:proofErr w:type="spellStart"/>
      <w:r>
        <w:rPr>
          <w:rFonts w:ascii="Times New Roman" w:hAnsi="Times New Roman" w:cs="Arial"/>
          <w:iCs/>
          <w:color w:val="323233"/>
          <w:lang w:val="de-DE"/>
        </w:rPr>
        <w:t>to</w:t>
      </w:r>
      <w:proofErr w:type="spellEnd"/>
      <w:r>
        <w:rPr>
          <w:rFonts w:ascii="Times New Roman" w:hAnsi="Times New Roman" w:cs="Arial"/>
          <w:iCs/>
          <w:color w:val="323233"/>
          <w:lang w:val="de-DE"/>
        </w:rPr>
        <w:t xml:space="preserve"> </w:t>
      </w:r>
      <w:proofErr w:type="spellStart"/>
      <w:r>
        <w:rPr>
          <w:rFonts w:ascii="Times New Roman" w:hAnsi="Times New Roman" w:cs="Arial"/>
          <w:iCs/>
          <w:color w:val="323233"/>
          <w:lang w:val="de-DE"/>
        </w:rPr>
        <w:t>paredz</w:t>
      </w:r>
      <w:proofErr w:type="spellEnd"/>
      <w:r>
        <w:rPr>
          <w:rFonts w:ascii="Times New Roman" w:hAnsi="Times New Roman" w:cs="Arial"/>
          <w:iCs/>
          <w:color w:val="323233"/>
          <w:lang w:val="de-DE"/>
        </w:rPr>
        <w:t xml:space="preserve"> </w:t>
      </w:r>
      <w:proofErr w:type="spellStart"/>
      <w:r>
        <w:rPr>
          <w:rFonts w:ascii="Times New Roman" w:hAnsi="Times New Roman" w:cs="Arial"/>
          <w:iCs/>
          <w:color w:val="323233"/>
          <w:lang w:val="de-DE"/>
        </w:rPr>
        <w:t>Notariāta</w:t>
      </w:r>
      <w:proofErr w:type="spellEnd"/>
      <w:r>
        <w:rPr>
          <w:rFonts w:ascii="Times New Roman" w:hAnsi="Times New Roman" w:cs="Arial"/>
          <w:iCs/>
          <w:color w:val="323233"/>
          <w:lang w:val="de-DE"/>
        </w:rPr>
        <w:t xml:space="preserve"> </w:t>
      </w:r>
      <w:proofErr w:type="spellStart"/>
      <w:r>
        <w:rPr>
          <w:rFonts w:ascii="Times New Roman" w:hAnsi="Times New Roman" w:cs="Arial"/>
          <w:iCs/>
          <w:color w:val="323233"/>
          <w:lang w:val="de-DE"/>
        </w:rPr>
        <w:t>likuma</w:t>
      </w:r>
      <w:proofErr w:type="spellEnd"/>
      <w:r>
        <w:rPr>
          <w:rFonts w:ascii="Times New Roman" w:hAnsi="Times New Roman" w:cs="Arial"/>
          <w:iCs/>
          <w:color w:val="323233"/>
          <w:lang w:val="de-DE"/>
        </w:rPr>
        <w:t xml:space="preserve"> 83.panta </w:t>
      </w:r>
      <w:proofErr w:type="spellStart"/>
      <w:r>
        <w:rPr>
          <w:rFonts w:ascii="Times New Roman" w:hAnsi="Times New Roman" w:cs="Arial"/>
          <w:iCs/>
          <w:color w:val="323233"/>
          <w:lang w:val="de-DE"/>
        </w:rPr>
        <w:t>trešā</w:t>
      </w:r>
      <w:proofErr w:type="spellEnd"/>
      <w:r>
        <w:rPr>
          <w:rFonts w:ascii="Times New Roman" w:hAnsi="Times New Roman" w:cs="Arial"/>
          <w:iCs/>
          <w:color w:val="323233"/>
          <w:lang w:val="de-DE"/>
        </w:rPr>
        <w:t xml:space="preserve"> </w:t>
      </w:r>
      <w:proofErr w:type="spellStart"/>
      <w:r w:rsidRPr="00CD4311">
        <w:rPr>
          <w:rFonts w:ascii="Times New Roman" w:hAnsi="Times New Roman" w:cs="Arial"/>
          <w:iCs/>
          <w:lang w:val="de-DE"/>
        </w:rPr>
        <w:t>daļa</w:t>
      </w:r>
      <w:proofErr w:type="spellEnd"/>
      <w:r w:rsidRPr="00CD4311">
        <w:rPr>
          <w:rFonts w:ascii="Times New Roman" w:hAnsi="Times New Roman" w:cs="Arial"/>
          <w:iCs/>
          <w:lang w:val="de-DE"/>
        </w:rPr>
        <w:t xml:space="preserve"> (ja </w:t>
      </w:r>
      <w:proofErr w:type="spellStart"/>
      <w:r w:rsidRPr="00CD4311">
        <w:rPr>
          <w:rFonts w:ascii="Times New Roman" w:hAnsi="Times New Roman" w:cs="Arial"/>
          <w:iCs/>
          <w:lang w:val="de-DE"/>
        </w:rPr>
        <w:t>ārvalstu</w:t>
      </w:r>
      <w:proofErr w:type="spellEnd"/>
      <w:r w:rsidRPr="00CD4311">
        <w:rPr>
          <w:rFonts w:ascii="Times New Roman" w:hAnsi="Times New Roman" w:cs="Arial"/>
          <w:iCs/>
          <w:lang w:val="de-DE"/>
        </w:rPr>
        <w:t xml:space="preserve"> </w:t>
      </w:r>
      <w:proofErr w:type="spellStart"/>
      <w:r w:rsidRPr="00CD4311">
        <w:rPr>
          <w:rFonts w:ascii="Times New Roman" w:hAnsi="Times New Roman" w:cs="Arial"/>
          <w:iCs/>
          <w:lang w:val="de-DE"/>
        </w:rPr>
        <w:t>reģistri</w:t>
      </w:r>
      <w:proofErr w:type="spellEnd"/>
      <w:r w:rsidRPr="00CD4311">
        <w:rPr>
          <w:rFonts w:ascii="Times New Roman" w:hAnsi="Times New Roman" w:cs="Arial"/>
          <w:iCs/>
          <w:lang w:val="de-DE"/>
        </w:rPr>
        <w:t xml:space="preserve"> </w:t>
      </w:r>
      <w:proofErr w:type="spellStart"/>
      <w:r w:rsidRPr="00CD4311">
        <w:rPr>
          <w:rFonts w:ascii="Times New Roman" w:hAnsi="Times New Roman" w:cs="Arial"/>
          <w:iCs/>
          <w:lang w:val="de-DE"/>
        </w:rPr>
        <w:t>ir</w:t>
      </w:r>
      <w:proofErr w:type="spellEnd"/>
      <w:r w:rsidRPr="00CD4311">
        <w:rPr>
          <w:rFonts w:ascii="Times New Roman" w:hAnsi="Times New Roman" w:cs="Arial"/>
          <w:iCs/>
          <w:lang w:val="de-DE"/>
        </w:rPr>
        <w:t xml:space="preserve"> </w:t>
      </w:r>
      <w:proofErr w:type="spellStart"/>
      <w:r w:rsidRPr="00CD4311">
        <w:rPr>
          <w:rFonts w:ascii="Times New Roman" w:hAnsi="Times New Roman" w:cs="Arial"/>
          <w:iCs/>
          <w:lang w:val="de-DE"/>
        </w:rPr>
        <w:t>līdzvērtīgi</w:t>
      </w:r>
      <w:proofErr w:type="spellEnd"/>
      <w:r w:rsidRPr="00CD4311">
        <w:rPr>
          <w:rFonts w:ascii="Times New Roman" w:hAnsi="Times New Roman" w:cs="Arial"/>
          <w:iCs/>
          <w:lang w:val="de-DE"/>
        </w:rPr>
        <w:t xml:space="preserve"> Latvijas </w:t>
      </w:r>
      <w:proofErr w:type="spellStart"/>
      <w:r w:rsidRPr="00CD4311">
        <w:rPr>
          <w:rFonts w:ascii="Times New Roman" w:hAnsi="Times New Roman" w:cs="Arial"/>
          <w:iCs/>
          <w:lang w:val="de-DE"/>
        </w:rPr>
        <w:t>reģistriem</w:t>
      </w:r>
      <w:proofErr w:type="spellEnd"/>
      <w:r w:rsidRPr="00CD4311">
        <w:rPr>
          <w:rFonts w:ascii="Times New Roman" w:hAnsi="Times New Roman" w:cs="Arial"/>
          <w:iCs/>
          <w:lang w:val="de-DE"/>
        </w:rPr>
        <w:t xml:space="preserve"> </w:t>
      </w:r>
      <w:proofErr w:type="spellStart"/>
      <w:r w:rsidRPr="00CD4311">
        <w:rPr>
          <w:rFonts w:ascii="Times New Roman" w:hAnsi="Times New Roman" w:cs="Arial"/>
          <w:iCs/>
          <w:lang w:val="de-DE"/>
        </w:rPr>
        <w:t>un</w:t>
      </w:r>
      <w:proofErr w:type="spellEnd"/>
      <w:r w:rsidRPr="00CD4311">
        <w:rPr>
          <w:rFonts w:ascii="Times New Roman" w:hAnsi="Times New Roman" w:cs="Arial"/>
          <w:iCs/>
          <w:lang w:val="de-DE"/>
        </w:rPr>
        <w:t xml:space="preserve"> </w:t>
      </w:r>
      <w:proofErr w:type="spellStart"/>
      <w:r w:rsidRPr="00CD4311">
        <w:rPr>
          <w:rFonts w:ascii="Times New Roman" w:hAnsi="Times New Roman" w:cs="Arial"/>
          <w:iCs/>
          <w:lang w:val="de-DE"/>
        </w:rPr>
        <w:t>satur</w:t>
      </w:r>
      <w:proofErr w:type="spellEnd"/>
      <w:r w:rsidRPr="00CD4311">
        <w:rPr>
          <w:rFonts w:ascii="Times New Roman" w:hAnsi="Times New Roman" w:cs="Arial"/>
          <w:iCs/>
          <w:lang w:val="de-DE"/>
        </w:rPr>
        <w:t xml:space="preserve"> </w:t>
      </w:r>
      <w:proofErr w:type="spellStart"/>
      <w:r w:rsidRPr="00CD4311">
        <w:rPr>
          <w:rFonts w:ascii="Times New Roman" w:hAnsi="Times New Roman" w:cs="Arial"/>
          <w:iCs/>
          <w:lang w:val="de-DE"/>
        </w:rPr>
        <w:t>tādu</w:t>
      </w:r>
      <w:proofErr w:type="spellEnd"/>
      <w:r w:rsidRPr="00CD4311">
        <w:rPr>
          <w:rFonts w:ascii="Times New Roman" w:hAnsi="Times New Roman" w:cs="Arial"/>
          <w:iCs/>
          <w:lang w:val="de-DE"/>
        </w:rPr>
        <w:t xml:space="preserve"> </w:t>
      </w:r>
      <w:proofErr w:type="spellStart"/>
      <w:r w:rsidRPr="00CD4311">
        <w:rPr>
          <w:rFonts w:ascii="Times New Roman" w:hAnsi="Times New Roman" w:cs="Arial"/>
          <w:iCs/>
          <w:lang w:val="de-DE"/>
        </w:rPr>
        <w:t>pašu</w:t>
      </w:r>
      <w:proofErr w:type="spellEnd"/>
      <w:r w:rsidRPr="00CD4311">
        <w:rPr>
          <w:rFonts w:ascii="Times New Roman" w:hAnsi="Times New Roman" w:cs="Arial"/>
          <w:iCs/>
          <w:lang w:val="de-DE"/>
        </w:rPr>
        <w:t xml:space="preserve"> </w:t>
      </w:r>
      <w:proofErr w:type="spellStart"/>
      <w:r w:rsidRPr="00CD4311">
        <w:rPr>
          <w:rFonts w:ascii="Times New Roman" w:hAnsi="Times New Roman" w:cs="Arial"/>
          <w:iCs/>
          <w:lang w:val="de-DE"/>
        </w:rPr>
        <w:t>informāciju</w:t>
      </w:r>
      <w:proofErr w:type="spellEnd"/>
      <w:r w:rsidRPr="00CD4311">
        <w:rPr>
          <w:rFonts w:ascii="Times New Roman" w:hAnsi="Times New Roman" w:cs="Arial"/>
          <w:iCs/>
          <w:lang w:val="de-DE"/>
        </w:rPr>
        <w:t>).</w:t>
      </w:r>
    </w:p>
    <w:p w14:paraId="15CD88A3" w14:textId="77777777" w:rsidR="00114953" w:rsidRPr="00CD4311" w:rsidRDefault="00114953" w:rsidP="00114953">
      <w:pPr>
        <w:widowControl w:val="0"/>
        <w:autoSpaceDE w:val="0"/>
        <w:autoSpaceDN w:val="0"/>
        <w:adjustRightInd w:val="0"/>
        <w:jc w:val="both"/>
        <w:rPr>
          <w:rFonts w:ascii="Times New Roman" w:hAnsi="Times New Roman" w:cs="Arial"/>
          <w:iCs/>
          <w:lang w:val="de-DE"/>
        </w:rPr>
      </w:pPr>
    </w:p>
    <w:p w14:paraId="08FFA026" w14:textId="77777777" w:rsidR="00114953" w:rsidRDefault="00114953" w:rsidP="00114953">
      <w:pPr>
        <w:widowControl w:val="0"/>
        <w:autoSpaceDE w:val="0"/>
        <w:autoSpaceDN w:val="0"/>
        <w:adjustRightInd w:val="0"/>
        <w:jc w:val="both"/>
        <w:rPr>
          <w:rFonts w:ascii="Times New Roman" w:hAnsi="Times New Roman" w:cs="Arial"/>
          <w:iCs/>
          <w:color w:val="323233"/>
          <w:lang w:val="de-DE"/>
        </w:rPr>
      </w:pPr>
      <w:r w:rsidRPr="00CD4311">
        <w:rPr>
          <w:rFonts w:ascii="Times New Roman" w:hAnsi="Times New Roman" w:cs="Arial"/>
          <w:iCs/>
          <w:lang w:val="de-DE"/>
        </w:rPr>
        <w:tab/>
      </w:r>
      <w:proofErr w:type="spellStart"/>
      <w:r w:rsidRPr="00CD4311">
        <w:rPr>
          <w:rFonts w:ascii="Times New Roman" w:hAnsi="Times New Roman" w:cs="Arial"/>
          <w:iCs/>
          <w:lang w:val="de-DE"/>
        </w:rPr>
        <w:t>Visās</w:t>
      </w:r>
      <w:proofErr w:type="spellEnd"/>
      <w:r w:rsidRPr="00CD4311">
        <w:rPr>
          <w:rFonts w:ascii="Times New Roman" w:hAnsi="Times New Roman" w:cs="Arial"/>
          <w:iCs/>
          <w:lang w:val="de-DE"/>
        </w:rPr>
        <w:t xml:space="preserve"> ES </w:t>
      </w:r>
      <w:proofErr w:type="spellStart"/>
      <w:r w:rsidRPr="00CD4311">
        <w:rPr>
          <w:rFonts w:ascii="Times New Roman" w:hAnsi="Times New Roman" w:cs="Arial"/>
          <w:iCs/>
          <w:lang w:val="de-DE"/>
        </w:rPr>
        <w:t>dalībvalstīs</w:t>
      </w:r>
      <w:proofErr w:type="spellEnd"/>
      <w:r w:rsidRPr="00CD4311">
        <w:rPr>
          <w:rFonts w:ascii="Times New Roman" w:hAnsi="Times New Roman" w:cs="Arial"/>
          <w:iCs/>
          <w:lang w:val="de-DE"/>
        </w:rPr>
        <w:t xml:space="preserve">, </w:t>
      </w:r>
      <w:proofErr w:type="spellStart"/>
      <w:r w:rsidRPr="00CD4311">
        <w:rPr>
          <w:rFonts w:ascii="Times New Roman" w:hAnsi="Times New Roman" w:cs="Arial"/>
          <w:iCs/>
          <w:lang w:val="de-DE"/>
        </w:rPr>
        <w:t>kā</w:t>
      </w:r>
      <w:proofErr w:type="spellEnd"/>
      <w:r w:rsidRPr="00CD4311">
        <w:rPr>
          <w:rFonts w:ascii="Times New Roman" w:hAnsi="Times New Roman" w:cs="Arial"/>
          <w:iCs/>
          <w:lang w:val="de-DE"/>
        </w:rPr>
        <w:t xml:space="preserve"> </w:t>
      </w:r>
      <w:proofErr w:type="spellStart"/>
      <w:r w:rsidRPr="00CD4311">
        <w:rPr>
          <w:rFonts w:ascii="Times New Roman" w:hAnsi="Times New Roman" w:cs="Arial"/>
          <w:iCs/>
          <w:lang w:val="de-DE"/>
        </w:rPr>
        <w:t>arī</w:t>
      </w:r>
      <w:proofErr w:type="spellEnd"/>
      <w:r w:rsidRPr="00CD4311">
        <w:rPr>
          <w:rFonts w:ascii="Times New Roman" w:hAnsi="Times New Roman" w:cs="Arial"/>
          <w:iCs/>
          <w:lang w:val="de-DE"/>
        </w:rPr>
        <w:t xml:space="preserve"> </w:t>
      </w:r>
      <w:proofErr w:type="spellStart"/>
      <w:r w:rsidRPr="00CD4311">
        <w:rPr>
          <w:rFonts w:ascii="Times New Roman" w:hAnsi="Times New Roman" w:cs="Arial"/>
          <w:iCs/>
          <w:lang w:val="de-DE"/>
        </w:rPr>
        <w:t>Šveicē</w:t>
      </w:r>
      <w:proofErr w:type="spellEnd"/>
      <w:r w:rsidRPr="00CD4311">
        <w:rPr>
          <w:rFonts w:ascii="Times New Roman" w:hAnsi="Times New Roman" w:cs="Arial"/>
          <w:iCs/>
          <w:lang w:val="de-DE"/>
        </w:rPr>
        <w:t xml:space="preserve">, </w:t>
      </w:r>
      <w:proofErr w:type="spellStart"/>
      <w:r w:rsidRPr="00CD4311">
        <w:rPr>
          <w:rFonts w:ascii="Times New Roman" w:hAnsi="Times New Roman" w:cs="Arial"/>
          <w:iCs/>
          <w:lang w:val="de-DE"/>
        </w:rPr>
        <w:t>Krievijā</w:t>
      </w:r>
      <w:proofErr w:type="spellEnd"/>
      <w:r w:rsidRPr="00CD4311">
        <w:rPr>
          <w:rFonts w:ascii="Times New Roman" w:hAnsi="Times New Roman" w:cs="Arial"/>
          <w:iCs/>
          <w:lang w:val="de-DE"/>
        </w:rPr>
        <w:t xml:space="preserve">, </w:t>
      </w:r>
      <w:proofErr w:type="spellStart"/>
      <w:r w:rsidRPr="00CD4311">
        <w:rPr>
          <w:rFonts w:ascii="Times New Roman" w:hAnsi="Times New Roman" w:cs="Arial"/>
          <w:iCs/>
          <w:lang w:val="de-DE"/>
        </w:rPr>
        <w:t>Japānā</w:t>
      </w:r>
      <w:proofErr w:type="spellEnd"/>
      <w:r w:rsidRPr="00CD4311">
        <w:rPr>
          <w:rFonts w:ascii="Times New Roman" w:hAnsi="Times New Roman" w:cs="Arial"/>
          <w:iCs/>
          <w:lang w:val="de-DE"/>
        </w:rPr>
        <w:t xml:space="preserve">, </w:t>
      </w:r>
      <w:proofErr w:type="spellStart"/>
      <w:r w:rsidRPr="00CD4311">
        <w:rPr>
          <w:rFonts w:ascii="Times New Roman" w:hAnsi="Times New Roman" w:cs="Arial"/>
          <w:iCs/>
          <w:lang w:val="de-DE"/>
        </w:rPr>
        <w:t>Turcijā</w:t>
      </w:r>
      <w:proofErr w:type="spellEnd"/>
      <w:r w:rsidRPr="00CD4311">
        <w:rPr>
          <w:rFonts w:ascii="Times New Roman" w:hAnsi="Times New Roman" w:cs="Arial"/>
          <w:iCs/>
          <w:lang w:val="de-DE"/>
        </w:rPr>
        <w:t xml:space="preserve"> </w:t>
      </w:r>
      <w:proofErr w:type="spellStart"/>
      <w:r w:rsidRPr="00CD4311">
        <w:rPr>
          <w:rFonts w:ascii="Times New Roman" w:hAnsi="Times New Roman" w:cs="Arial"/>
          <w:iCs/>
          <w:lang w:val="de-DE"/>
        </w:rPr>
        <w:t>ir</w:t>
      </w:r>
      <w:proofErr w:type="spellEnd"/>
      <w:r w:rsidRPr="00CD4311">
        <w:rPr>
          <w:rFonts w:ascii="Times New Roman" w:hAnsi="Times New Roman" w:cs="Arial"/>
          <w:iCs/>
          <w:lang w:val="de-DE"/>
        </w:rPr>
        <w:t xml:space="preserve"> </w:t>
      </w:r>
      <w:proofErr w:type="spellStart"/>
      <w:r w:rsidRPr="00CD4311">
        <w:rPr>
          <w:rFonts w:ascii="Times New Roman" w:hAnsi="Times New Roman" w:cs="Arial"/>
          <w:iCs/>
          <w:lang w:val="de-DE"/>
        </w:rPr>
        <w:t>uzņēmumu</w:t>
      </w:r>
      <w:proofErr w:type="spellEnd"/>
      <w:r>
        <w:rPr>
          <w:rFonts w:ascii="Times New Roman" w:hAnsi="Times New Roman" w:cs="Arial"/>
          <w:iCs/>
          <w:color w:val="323233"/>
          <w:lang w:val="de-DE"/>
        </w:rPr>
        <w:t xml:space="preserve"> </w:t>
      </w:r>
      <w:proofErr w:type="spellStart"/>
      <w:r>
        <w:rPr>
          <w:rFonts w:ascii="Times New Roman" w:hAnsi="Times New Roman" w:cs="Arial"/>
          <w:iCs/>
          <w:color w:val="323233"/>
          <w:lang w:val="de-DE"/>
        </w:rPr>
        <w:t>vai</w:t>
      </w:r>
      <w:proofErr w:type="spellEnd"/>
      <w:r>
        <w:rPr>
          <w:rFonts w:ascii="Times New Roman" w:hAnsi="Times New Roman" w:cs="Arial"/>
          <w:iCs/>
          <w:color w:val="323233"/>
          <w:lang w:val="de-DE"/>
        </w:rPr>
        <w:t xml:space="preserve"> </w:t>
      </w:r>
      <w:proofErr w:type="spellStart"/>
      <w:r w:rsidRPr="00023816">
        <w:rPr>
          <w:rFonts w:ascii="Times New Roman" w:hAnsi="Times New Roman" w:cs="Arial"/>
          <w:b/>
          <w:iCs/>
          <w:color w:val="323233"/>
          <w:lang w:val="de-DE"/>
        </w:rPr>
        <w:t>komercreģistri</w:t>
      </w:r>
      <w:proofErr w:type="spellEnd"/>
      <w:r>
        <w:rPr>
          <w:rFonts w:ascii="Times New Roman" w:hAnsi="Times New Roman" w:cs="Arial"/>
          <w:iCs/>
          <w:color w:val="323233"/>
          <w:lang w:val="de-DE"/>
        </w:rPr>
        <w:t xml:space="preserve">, </w:t>
      </w:r>
      <w:proofErr w:type="spellStart"/>
      <w:r>
        <w:rPr>
          <w:rFonts w:ascii="Times New Roman" w:hAnsi="Times New Roman" w:cs="Arial"/>
          <w:iCs/>
          <w:color w:val="323233"/>
          <w:lang w:val="de-DE"/>
        </w:rPr>
        <w:t>kuros</w:t>
      </w:r>
      <w:proofErr w:type="spellEnd"/>
      <w:r>
        <w:rPr>
          <w:rFonts w:ascii="Times New Roman" w:hAnsi="Times New Roman" w:cs="Arial"/>
          <w:iCs/>
          <w:color w:val="323233"/>
          <w:lang w:val="de-DE"/>
        </w:rPr>
        <w:t xml:space="preserve"> </w:t>
      </w:r>
      <w:proofErr w:type="spellStart"/>
      <w:r>
        <w:rPr>
          <w:rFonts w:ascii="Times New Roman" w:hAnsi="Times New Roman" w:cs="Arial"/>
          <w:iCs/>
          <w:color w:val="323233"/>
          <w:lang w:val="de-DE"/>
        </w:rPr>
        <w:t>tiek</w:t>
      </w:r>
      <w:proofErr w:type="spellEnd"/>
      <w:r>
        <w:rPr>
          <w:rFonts w:ascii="Times New Roman" w:hAnsi="Times New Roman" w:cs="Arial"/>
          <w:iCs/>
          <w:color w:val="323233"/>
          <w:lang w:val="de-DE"/>
        </w:rPr>
        <w:t xml:space="preserve"> </w:t>
      </w:r>
      <w:proofErr w:type="spellStart"/>
      <w:r>
        <w:rPr>
          <w:rFonts w:ascii="Times New Roman" w:hAnsi="Times New Roman" w:cs="Arial"/>
          <w:iCs/>
          <w:color w:val="323233"/>
          <w:lang w:val="de-DE"/>
        </w:rPr>
        <w:t>iekļauta</w:t>
      </w:r>
      <w:proofErr w:type="spellEnd"/>
      <w:r>
        <w:rPr>
          <w:rFonts w:ascii="Times New Roman" w:hAnsi="Times New Roman" w:cs="Arial"/>
          <w:iCs/>
          <w:color w:val="323233"/>
          <w:lang w:val="de-DE"/>
        </w:rPr>
        <w:t xml:space="preserve"> </w:t>
      </w:r>
      <w:proofErr w:type="spellStart"/>
      <w:r>
        <w:rPr>
          <w:rFonts w:ascii="Times New Roman" w:hAnsi="Times New Roman" w:cs="Arial"/>
          <w:iCs/>
          <w:color w:val="323233"/>
          <w:lang w:val="de-DE"/>
        </w:rPr>
        <w:t>pamatinformācija</w:t>
      </w:r>
      <w:proofErr w:type="spellEnd"/>
      <w:r>
        <w:rPr>
          <w:rFonts w:ascii="Times New Roman" w:hAnsi="Times New Roman" w:cs="Arial"/>
          <w:iCs/>
          <w:color w:val="323233"/>
          <w:lang w:val="de-DE"/>
        </w:rPr>
        <w:t xml:space="preserve"> par </w:t>
      </w:r>
      <w:proofErr w:type="spellStart"/>
      <w:r>
        <w:rPr>
          <w:rFonts w:ascii="Times New Roman" w:hAnsi="Times New Roman" w:cs="Arial"/>
          <w:iCs/>
          <w:color w:val="323233"/>
          <w:lang w:val="de-DE"/>
        </w:rPr>
        <w:t>reģistrētajiem</w:t>
      </w:r>
      <w:proofErr w:type="spellEnd"/>
      <w:r>
        <w:rPr>
          <w:rFonts w:ascii="Times New Roman" w:hAnsi="Times New Roman" w:cs="Arial"/>
          <w:iCs/>
          <w:color w:val="323233"/>
          <w:lang w:val="de-DE"/>
        </w:rPr>
        <w:t xml:space="preserve"> </w:t>
      </w:r>
      <w:proofErr w:type="spellStart"/>
      <w:r>
        <w:rPr>
          <w:rFonts w:ascii="Times New Roman" w:hAnsi="Times New Roman" w:cs="Arial"/>
          <w:iCs/>
          <w:color w:val="323233"/>
          <w:lang w:val="de-DE"/>
        </w:rPr>
        <w:t>uzņēmumiem</w:t>
      </w:r>
      <w:proofErr w:type="spellEnd"/>
      <w:r>
        <w:rPr>
          <w:rFonts w:ascii="Times New Roman" w:hAnsi="Times New Roman" w:cs="Arial"/>
          <w:iCs/>
          <w:color w:val="323233"/>
          <w:lang w:val="de-DE"/>
        </w:rPr>
        <w:t xml:space="preserve">, </w:t>
      </w:r>
      <w:proofErr w:type="spellStart"/>
      <w:r>
        <w:rPr>
          <w:rFonts w:ascii="Times New Roman" w:hAnsi="Times New Roman" w:cs="Arial"/>
          <w:iCs/>
          <w:color w:val="323233"/>
          <w:lang w:val="de-DE"/>
        </w:rPr>
        <w:t>proti</w:t>
      </w:r>
      <w:proofErr w:type="spellEnd"/>
      <w:r>
        <w:rPr>
          <w:rFonts w:ascii="Times New Roman" w:hAnsi="Times New Roman" w:cs="Arial"/>
          <w:iCs/>
          <w:color w:val="323233"/>
          <w:lang w:val="de-DE"/>
        </w:rPr>
        <w:t xml:space="preserve">, </w:t>
      </w:r>
      <w:proofErr w:type="spellStart"/>
      <w:r>
        <w:rPr>
          <w:rFonts w:ascii="Times New Roman" w:hAnsi="Times New Roman" w:cs="Arial"/>
          <w:iCs/>
          <w:color w:val="323233"/>
          <w:lang w:val="de-DE"/>
        </w:rPr>
        <w:t>to</w:t>
      </w:r>
      <w:proofErr w:type="spellEnd"/>
      <w:r>
        <w:rPr>
          <w:rFonts w:ascii="Times New Roman" w:hAnsi="Times New Roman" w:cs="Arial"/>
          <w:iCs/>
          <w:color w:val="323233"/>
          <w:lang w:val="de-DE"/>
        </w:rPr>
        <w:t xml:space="preserve"> </w:t>
      </w:r>
      <w:proofErr w:type="spellStart"/>
      <w:r>
        <w:rPr>
          <w:rFonts w:ascii="Times New Roman" w:hAnsi="Times New Roman" w:cs="Arial"/>
          <w:iCs/>
          <w:color w:val="323233"/>
          <w:lang w:val="de-DE"/>
        </w:rPr>
        <w:t>tiesībspēja</w:t>
      </w:r>
      <w:proofErr w:type="spellEnd"/>
      <w:r>
        <w:rPr>
          <w:rFonts w:ascii="Times New Roman" w:hAnsi="Times New Roman" w:cs="Arial"/>
          <w:iCs/>
          <w:color w:val="323233"/>
          <w:lang w:val="de-DE"/>
        </w:rPr>
        <w:t xml:space="preserve">, </w:t>
      </w:r>
      <w:proofErr w:type="spellStart"/>
      <w:r>
        <w:rPr>
          <w:rFonts w:ascii="Times New Roman" w:hAnsi="Times New Roman" w:cs="Arial"/>
          <w:iCs/>
          <w:color w:val="323233"/>
          <w:lang w:val="de-DE"/>
        </w:rPr>
        <w:t>kā</w:t>
      </w:r>
      <w:proofErr w:type="spellEnd"/>
      <w:r>
        <w:rPr>
          <w:rFonts w:ascii="Times New Roman" w:hAnsi="Times New Roman" w:cs="Arial"/>
          <w:iCs/>
          <w:color w:val="323233"/>
          <w:lang w:val="de-DE"/>
        </w:rPr>
        <w:t xml:space="preserve"> </w:t>
      </w:r>
      <w:proofErr w:type="spellStart"/>
      <w:r>
        <w:rPr>
          <w:rFonts w:ascii="Times New Roman" w:hAnsi="Times New Roman" w:cs="Arial"/>
          <w:iCs/>
          <w:color w:val="323233"/>
          <w:lang w:val="de-DE"/>
        </w:rPr>
        <w:t>arī</w:t>
      </w:r>
      <w:proofErr w:type="spellEnd"/>
      <w:r>
        <w:rPr>
          <w:rFonts w:ascii="Times New Roman" w:hAnsi="Times New Roman" w:cs="Arial"/>
          <w:iCs/>
          <w:color w:val="323233"/>
          <w:lang w:val="de-DE"/>
        </w:rPr>
        <w:t xml:space="preserve"> </w:t>
      </w:r>
      <w:proofErr w:type="spellStart"/>
      <w:r>
        <w:rPr>
          <w:rFonts w:ascii="Times New Roman" w:hAnsi="Times New Roman" w:cs="Arial"/>
          <w:iCs/>
          <w:color w:val="323233"/>
          <w:lang w:val="de-DE"/>
        </w:rPr>
        <w:t>pārstāvības</w:t>
      </w:r>
      <w:proofErr w:type="spellEnd"/>
      <w:r>
        <w:rPr>
          <w:rFonts w:ascii="Times New Roman" w:hAnsi="Times New Roman" w:cs="Arial"/>
          <w:iCs/>
          <w:color w:val="323233"/>
          <w:lang w:val="de-DE"/>
        </w:rPr>
        <w:t xml:space="preserve"> </w:t>
      </w:r>
      <w:proofErr w:type="spellStart"/>
      <w:r>
        <w:rPr>
          <w:rFonts w:ascii="Times New Roman" w:hAnsi="Times New Roman" w:cs="Arial"/>
          <w:iCs/>
          <w:color w:val="323233"/>
          <w:lang w:val="de-DE"/>
        </w:rPr>
        <w:t>tiesības</w:t>
      </w:r>
      <w:proofErr w:type="spellEnd"/>
      <w:r>
        <w:rPr>
          <w:rFonts w:ascii="Times New Roman" w:hAnsi="Times New Roman" w:cs="Arial"/>
          <w:iCs/>
          <w:color w:val="323233"/>
          <w:lang w:val="de-DE"/>
        </w:rPr>
        <w:t xml:space="preserve">. </w:t>
      </w:r>
      <w:proofErr w:type="spellStart"/>
      <w:r>
        <w:rPr>
          <w:rFonts w:ascii="Times New Roman" w:hAnsi="Times New Roman" w:cs="Arial"/>
          <w:iCs/>
          <w:color w:val="323233"/>
          <w:lang w:val="de-DE"/>
        </w:rPr>
        <w:t>Izņēmums</w:t>
      </w:r>
      <w:proofErr w:type="spellEnd"/>
      <w:r>
        <w:rPr>
          <w:rFonts w:ascii="Times New Roman" w:hAnsi="Times New Roman" w:cs="Arial"/>
          <w:iCs/>
          <w:color w:val="323233"/>
          <w:lang w:val="de-DE"/>
        </w:rPr>
        <w:t xml:space="preserve"> </w:t>
      </w:r>
      <w:proofErr w:type="spellStart"/>
      <w:r>
        <w:rPr>
          <w:rFonts w:ascii="Times New Roman" w:hAnsi="Times New Roman" w:cs="Arial"/>
          <w:iCs/>
          <w:color w:val="323233"/>
          <w:lang w:val="de-DE"/>
        </w:rPr>
        <w:t>ir</w:t>
      </w:r>
      <w:proofErr w:type="spellEnd"/>
      <w:r>
        <w:rPr>
          <w:rFonts w:ascii="Times New Roman" w:hAnsi="Times New Roman" w:cs="Arial"/>
          <w:iCs/>
          <w:color w:val="323233"/>
          <w:lang w:val="de-DE"/>
        </w:rPr>
        <w:t xml:space="preserve"> </w:t>
      </w:r>
      <w:proofErr w:type="spellStart"/>
      <w:r w:rsidRPr="00077F40">
        <w:rPr>
          <w:rFonts w:ascii="Times New Roman" w:hAnsi="Times New Roman" w:cs="Arial"/>
          <w:b/>
          <w:iCs/>
          <w:color w:val="323233"/>
          <w:lang w:val="de-DE"/>
        </w:rPr>
        <w:t>Apvienotā</w:t>
      </w:r>
      <w:proofErr w:type="spellEnd"/>
      <w:r w:rsidRPr="00077F40">
        <w:rPr>
          <w:rFonts w:ascii="Times New Roman" w:hAnsi="Times New Roman" w:cs="Arial"/>
          <w:b/>
          <w:iCs/>
          <w:color w:val="323233"/>
          <w:lang w:val="de-DE"/>
        </w:rPr>
        <w:t xml:space="preserve"> </w:t>
      </w:r>
      <w:proofErr w:type="spellStart"/>
      <w:r w:rsidRPr="00077F40">
        <w:rPr>
          <w:rFonts w:ascii="Times New Roman" w:hAnsi="Times New Roman" w:cs="Arial"/>
          <w:b/>
          <w:iCs/>
          <w:color w:val="323233"/>
          <w:lang w:val="de-DE"/>
        </w:rPr>
        <w:t>Karaliste</w:t>
      </w:r>
      <w:proofErr w:type="spellEnd"/>
      <w:r>
        <w:rPr>
          <w:rFonts w:ascii="Times New Roman" w:hAnsi="Times New Roman" w:cs="Arial"/>
          <w:iCs/>
          <w:color w:val="323233"/>
          <w:lang w:val="de-DE"/>
        </w:rPr>
        <w:t xml:space="preserve">, </w:t>
      </w:r>
      <w:proofErr w:type="spellStart"/>
      <w:r>
        <w:rPr>
          <w:rFonts w:ascii="Times New Roman" w:hAnsi="Times New Roman" w:cs="Arial"/>
          <w:iCs/>
          <w:color w:val="323233"/>
          <w:lang w:val="de-DE"/>
        </w:rPr>
        <w:t>kurā</w:t>
      </w:r>
      <w:proofErr w:type="spellEnd"/>
      <w:r>
        <w:rPr>
          <w:rFonts w:ascii="Times New Roman" w:hAnsi="Times New Roman" w:cs="Arial"/>
          <w:iCs/>
          <w:color w:val="323233"/>
          <w:lang w:val="de-DE"/>
        </w:rPr>
        <w:t xml:space="preserve"> </w:t>
      </w:r>
      <w:proofErr w:type="spellStart"/>
      <w:r>
        <w:rPr>
          <w:rFonts w:ascii="Times New Roman" w:hAnsi="Times New Roman" w:cs="Arial"/>
          <w:iCs/>
          <w:color w:val="323233"/>
          <w:lang w:val="de-DE"/>
        </w:rPr>
        <w:t>gan</w:t>
      </w:r>
      <w:proofErr w:type="spellEnd"/>
      <w:r>
        <w:rPr>
          <w:rFonts w:ascii="Times New Roman" w:hAnsi="Times New Roman" w:cs="Arial"/>
          <w:iCs/>
          <w:color w:val="323233"/>
          <w:lang w:val="de-DE"/>
        </w:rPr>
        <w:t xml:space="preserve"> </w:t>
      </w:r>
      <w:proofErr w:type="spellStart"/>
      <w:r>
        <w:rPr>
          <w:rFonts w:ascii="Times New Roman" w:hAnsi="Times New Roman" w:cs="Arial"/>
          <w:iCs/>
          <w:color w:val="323233"/>
          <w:lang w:val="de-DE"/>
        </w:rPr>
        <w:t>ir</w:t>
      </w:r>
      <w:proofErr w:type="spellEnd"/>
      <w:r>
        <w:rPr>
          <w:rFonts w:ascii="Times New Roman" w:hAnsi="Times New Roman" w:cs="Arial"/>
          <w:iCs/>
          <w:color w:val="323233"/>
          <w:lang w:val="de-DE"/>
        </w:rPr>
        <w:t xml:space="preserve"> </w:t>
      </w:r>
      <w:proofErr w:type="spellStart"/>
      <w:r>
        <w:rPr>
          <w:rFonts w:ascii="Times New Roman" w:hAnsi="Times New Roman" w:cs="Arial"/>
          <w:iCs/>
          <w:color w:val="323233"/>
          <w:lang w:val="de-DE"/>
        </w:rPr>
        <w:t>Komercreģistrs</w:t>
      </w:r>
      <w:proofErr w:type="spellEnd"/>
      <w:r>
        <w:rPr>
          <w:rFonts w:ascii="Times New Roman" w:hAnsi="Times New Roman" w:cs="Arial"/>
          <w:iCs/>
          <w:color w:val="323233"/>
          <w:lang w:val="de-DE"/>
        </w:rPr>
        <w:t xml:space="preserve"> (</w:t>
      </w:r>
      <w:r w:rsidRPr="00023816">
        <w:rPr>
          <w:rFonts w:ascii="Times New Roman" w:hAnsi="Times New Roman" w:cs="Arial"/>
          <w:i/>
          <w:iCs/>
          <w:color w:val="323233"/>
          <w:lang w:val="de-DE"/>
        </w:rPr>
        <w:t>Companies House</w:t>
      </w:r>
      <w:r>
        <w:rPr>
          <w:rFonts w:ascii="Times New Roman" w:hAnsi="Times New Roman" w:cs="Arial"/>
          <w:iCs/>
          <w:color w:val="323233"/>
          <w:lang w:val="de-DE"/>
        </w:rPr>
        <w:t xml:space="preserve">), </w:t>
      </w:r>
      <w:proofErr w:type="spellStart"/>
      <w:r>
        <w:rPr>
          <w:rFonts w:ascii="Times New Roman" w:hAnsi="Times New Roman" w:cs="Arial"/>
          <w:iCs/>
          <w:color w:val="323233"/>
          <w:lang w:val="de-DE"/>
        </w:rPr>
        <w:t>taču</w:t>
      </w:r>
      <w:proofErr w:type="spellEnd"/>
      <w:r>
        <w:rPr>
          <w:rFonts w:ascii="Times New Roman" w:hAnsi="Times New Roman" w:cs="Arial"/>
          <w:iCs/>
          <w:color w:val="323233"/>
          <w:lang w:val="de-DE"/>
        </w:rPr>
        <w:t xml:space="preserve"> </w:t>
      </w:r>
      <w:proofErr w:type="spellStart"/>
      <w:r>
        <w:rPr>
          <w:rFonts w:ascii="Times New Roman" w:hAnsi="Times New Roman" w:cs="Arial"/>
          <w:iCs/>
          <w:color w:val="323233"/>
          <w:lang w:val="de-DE"/>
        </w:rPr>
        <w:t>tajā</w:t>
      </w:r>
      <w:proofErr w:type="spellEnd"/>
      <w:r>
        <w:rPr>
          <w:rFonts w:ascii="Times New Roman" w:hAnsi="Times New Roman" w:cs="Arial"/>
          <w:iCs/>
          <w:color w:val="323233"/>
          <w:lang w:val="de-DE"/>
        </w:rPr>
        <w:t xml:space="preserve"> </w:t>
      </w:r>
      <w:proofErr w:type="spellStart"/>
      <w:r>
        <w:rPr>
          <w:rFonts w:ascii="Times New Roman" w:hAnsi="Times New Roman" w:cs="Arial"/>
          <w:iCs/>
          <w:color w:val="323233"/>
          <w:lang w:val="de-DE"/>
        </w:rPr>
        <w:t>atrodama</w:t>
      </w:r>
      <w:proofErr w:type="spellEnd"/>
      <w:r>
        <w:rPr>
          <w:rFonts w:ascii="Times New Roman" w:hAnsi="Times New Roman" w:cs="Arial"/>
          <w:iCs/>
          <w:color w:val="323233"/>
          <w:lang w:val="de-DE"/>
        </w:rPr>
        <w:t xml:space="preserve"> </w:t>
      </w:r>
      <w:proofErr w:type="spellStart"/>
      <w:r>
        <w:rPr>
          <w:rFonts w:ascii="Times New Roman" w:hAnsi="Times New Roman" w:cs="Arial"/>
          <w:iCs/>
          <w:color w:val="323233"/>
          <w:lang w:val="de-DE"/>
        </w:rPr>
        <w:t>tikai</w:t>
      </w:r>
      <w:proofErr w:type="spellEnd"/>
      <w:r>
        <w:rPr>
          <w:rFonts w:ascii="Times New Roman" w:hAnsi="Times New Roman" w:cs="Arial"/>
          <w:iCs/>
          <w:color w:val="323233"/>
          <w:lang w:val="de-DE"/>
        </w:rPr>
        <w:t xml:space="preserve"> </w:t>
      </w:r>
      <w:proofErr w:type="spellStart"/>
      <w:r>
        <w:rPr>
          <w:rFonts w:ascii="Times New Roman" w:hAnsi="Times New Roman" w:cs="Arial"/>
          <w:iCs/>
          <w:color w:val="323233"/>
          <w:lang w:val="de-DE"/>
        </w:rPr>
        <w:t>informācija</w:t>
      </w:r>
      <w:proofErr w:type="spellEnd"/>
      <w:r>
        <w:rPr>
          <w:rFonts w:ascii="Times New Roman" w:hAnsi="Times New Roman" w:cs="Arial"/>
          <w:iCs/>
          <w:color w:val="323233"/>
          <w:lang w:val="de-DE"/>
        </w:rPr>
        <w:t xml:space="preserve"> par </w:t>
      </w:r>
      <w:proofErr w:type="spellStart"/>
      <w:r>
        <w:rPr>
          <w:rFonts w:ascii="Times New Roman" w:hAnsi="Times New Roman" w:cs="Arial"/>
          <w:iCs/>
          <w:color w:val="323233"/>
          <w:lang w:val="de-DE"/>
        </w:rPr>
        <w:t>juridisko</w:t>
      </w:r>
      <w:proofErr w:type="spellEnd"/>
      <w:r>
        <w:rPr>
          <w:rFonts w:ascii="Times New Roman" w:hAnsi="Times New Roman" w:cs="Arial"/>
          <w:iCs/>
          <w:color w:val="323233"/>
          <w:lang w:val="de-DE"/>
        </w:rPr>
        <w:t xml:space="preserve"> </w:t>
      </w:r>
      <w:proofErr w:type="spellStart"/>
      <w:r>
        <w:rPr>
          <w:rFonts w:ascii="Times New Roman" w:hAnsi="Times New Roman" w:cs="Arial"/>
          <w:iCs/>
          <w:color w:val="323233"/>
          <w:lang w:val="de-DE"/>
        </w:rPr>
        <w:t>personu</w:t>
      </w:r>
      <w:proofErr w:type="spellEnd"/>
      <w:r>
        <w:rPr>
          <w:rFonts w:ascii="Times New Roman" w:hAnsi="Times New Roman" w:cs="Arial"/>
          <w:iCs/>
          <w:color w:val="323233"/>
          <w:lang w:val="de-DE"/>
        </w:rPr>
        <w:t xml:space="preserve"> </w:t>
      </w:r>
      <w:proofErr w:type="spellStart"/>
      <w:r>
        <w:rPr>
          <w:rFonts w:ascii="Times New Roman" w:hAnsi="Times New Roman" w:cs="Arial"/>
          <w:iCs/>
          <w:color w:val="323233"/>
          <w:lang w:val="de-DE"/>
        </w:rPr>
        <w:t>tiesībspēju</w:t>
      </w:r>
      <w:proofErr w:type="spellEnd"/>
      <w:r>
        <w:rPr>
          <w:rFonts w:ascii="Times New Roman" w:hAnsi="Times New Roman" w:cs="Arial"/>
          <w:iCs/>
          <w:color w:val="323233"/>
          <w:lang w:val="de-DE"/>
        </w:rPr>
        <w:t xml:space="preserve"> (</w:t>
      </w:r>
      <w:proofErr w:type="spellStart"/>
      <w:r>
        <w:rPr>
          <w:rFonts w:ascii="Times New Roman" w:hAnsi="Times New Roman" w:cs="Arial"/>
          <w:iCs/>
          <w:color w:val="323233"/>
          <w:lang w:val="de-DE"/>
        </w:rPr>
        <w:t>juridisko</w:t>
      </w:r>
      <w:proofErr w:type="spellEnd"/>
      <w:r>
        <w:rPr>
          <w:rFonts w:ascii="Times New Roman" w:hAnsi="Times New Roman" w:cs="Arial"/>
          <w:iCs/>
          <w:color w:val="323233"/>
          <w:lang w:val="de-DE"/>
        </w:rPr>
        <w:t xml:space="preserve"> </w:t>
      </w:r>
      <w:proofErr w:type="spellStart"/>
      <w:r>
        <w:rPr>
          <w:rFonts w:ascii="Times New Roman" w:hAnsi="Times New Roman" w:cs="Arial"/>
          <w:iCs/>
          <w:color w:val="323233"/>
          <w:lang w:val="de-DE"/>
        </w:rPr>
        <w:t>personu</w:t>
      </w:r>
      <w:proofErr w:type="spellEnd"/>
      <w:r>
        <w:rPr>
          <w:rFonts w:ascii="Times New Roman" w:hAnsi="Times New Roman" w:cs="Arial"/>
          <w:iCs/>
          <w:color w:val="323233"/>
          <w:lang w:val="de-DE"/>
        </w:rPr>
        <w:t xml:space="preserve"> </w:t>
      </w:r>
      <w:proofErr w:type="spellStart"/>
      <w:r>
        <w:rPr>
          <w:rFonts w:ascii="Times New Roman" w:hAnsi="Times New Roman" w:cs="Arial"/>
          <w:iCs/>
          <w:color w:val="323233"/>
          <w:lang w:val="de-DE"/>
        </w:rPr>
        <w:t>eksistenci</w:t>
      </w:r>
      <w:proofErr w:type="spellEnd"/>
      <w:r>
        <w:rPr>
          <w:rFonts w:ascii="Times New Roman" w:hAnsi="Times New Roman" w:cs="Arial"/>
          <w:iCs/>
          <w:color w:val="323233"/>
          <w:lang w:val="de-DE"/>
        </w:rPr>
        <w:t xml:space="preserve"> </w:t>
      </w:r>
      <w:proofErr w:type="spellStart"/>
      <w:r>
        <w:rPr>
          <w:rFonts w:ascii="Times New Roman" w:hAnsi="Times New Roman" w:cs="Arial"/>
          <w:iCs/>
          <w:color w:val="323233"/>
          <w:lang w:val="de-DE"/>
        </w:rPr>
        <w:t>kā</w:t>
      </w:r>
      <w:proofErr w:type="spellEnd"/>
      <w:r>
        <w:rPr>
          <w:rFonts w:ascii="Times New Roman" w:hAnsi="Times New Roman" w:cs="Arial"/>
          <w:iCs/>
          <w:color w:val="323233"/>
          <w:lang w:val="de-DE"/>
        </w:rPr>
        <w:t xml:space="preserve"> </w:t>
      </w:r>
      <w:proofErr w:type="spellStart"/>
      <w:r>
        <w:rPr>
          <w:rFonts w:ascii="Times New Roman" w:hAnsi="Times New Roman" w:cs="Arial"/>
          <w:iCs/>
          <w:color w:val="323233"/>
          <w:lang w:val="de-DE"/>
        </w:rPr>
        <w:t>tādu</w:t>
      </w:r>
      <w:proofErr w:type="spellEnd"/>
      <w:r>
        <w:rPr>
          <w:rFonts w:ascii="Times New Roman" w:hAnsi="Times New Roman" w:cs="Arial"/>
          <w:iCs/>
          <w:color w:val="323233"/>
          <w:lang w:val="de-DE"/>
        </w:rPr>
        <w:t xml:space="preserve">), </w:t>
      </w:r>
      <w:proofErr w:type="spellStart"/>
      <w:r>
        <w:rPr>
          <w:rFonts w:ascii="Times New Roman" w:hAnsi="Times New Roman" w:cs="Arial"/>
          <w:iCs/>
          <w:color w:val="323233"/>
          <w:lang w:val="de-DE"/>
        </w:rPr>
        <w:t>kā</w:t>
      </w:r>
      <w:proofErr w:type="spellEnd"/>
      <w:r>
        <w:rPr>
          <w:rFonts w:ascii="Times New Roman" w:hAnsi="Times New Roman" w:cs="Arial"/>
          <w:iCs/>
          <w:color w:val="323233"/>
          <w:lang w:val="de-DE"/>
        </w:rPr>
        <w:t xml:space="preserve"> </w:t>
      </w:r>
      <w:proofErr w:type="spellStart"/>
      <w:r>
        <w:rPr>
          <w:rFonts w:ascii="Times New Roman" w:hAnsi="Times New Roman" w:cs="Arial"/>
          <w:iCs/>
          <w:color w:val="323233"/>
          <w:lang w:val="de-DE"/>
        </w:rPr>
        <w:t>arī</w:t>
      </w:r>
      <w:proofErr w:type="spellEnd"/>
      <w:r>
        <w:rPr>
          <w:rFonts w:ascii="Times New Roman" w:hAnsi="Times New Roman" w:cs="Arial"/>
          <w:iCs/>
          <w:color w:val="323233"/>
          <w:lang w:val="de-DE"/>
        </w:rPr>
        <w:t xml:space="preserve"> </w:t>
      </w:r>
      <w:proofErr w:type="spellStart"/>
      <w:r>
        <w:rPr>
          <w:rFonts w:ascii="Times New Roman" w:hAnsi="Times New Roman" w:cs="Arial"/>
          <w:iCs/>
          <w:color w:val="323233"/>
          <w:lang w:val="de-DE"/>
        </w:rPr>
        <w:t>vadītāju</w:t>
      </w:r>
      <w:proofErr w:type="spellEnd"/>
      <w:r>
        <w:rPr>
          <w:rFonts w:ascii="Times New Roman" w:hAnsi="Times New Roman" w:cs="Arial"/>
          <w:iCs/>
          <w:color w:val="323233"/>
          <w:lang w:val="de-DE"/>
        </w:rPr>
        <w:t xml:space="preserve"> (</w:t>
      </w:r>
      <w:proofErr w:type="spellStart"/>
      <w:r w:rsidRPr="00023816">
        <w:rPr>
          <w:rFonts w:ascii="Times New Roman" w:hAnsi="Times New Roman" w:cs="Arial"/>
          <w:i/>
          <w:iCs/>
          <w:color w:val="323233"/>
          <w:lang w:val="de-DE"/>
        </w:rPr>
        <w:t>directors</w:t>
      </w:r>
      <w:proofErr w:type="spellEnd"/>
      <w:r>
        <w:rPr>
          <w:rFonts w:ascii="Times New Roman" w:hAnsi="Times New Roman" w:cs="Arial"/>
          <w:iCs/>
          <w:color w:val="323233"/>
          <w:lang w:val="de-DE"/>
        </w:rPr>
        <w:t xml:space="preserve">) </w:t>
      </w:r>
      <w:proofErr w:type="spellStart"/>
      <w:r>
        <w:rPr>
          <w:rFonts w:ascii="Times New Roman" w:hAnsi="Times New Roman" w:cs="Arial"/>
          <w:iCs/>
          <w:color w:val="323233"/>
          <w:lang w:val="de-DE"/>
        </w:rPr>
        <w:t>identitāti</w:t>
      </w:r>
      <w:proofErr w:type="spellEnd"/>
      <w:r>
        <w:rPr>
          <w:rFonts w:ascii="Times New Roman" w:hAnsi="Times New Roman" w:cs="Arial"/>
          <w:iCs/>
          <w:color w:val="323233"/>
          <w:lang w:val="de-DE"/>
        </w:rPr>
        <w:t xml:space="preserve"> </w:t>
      </w:r>
      <w:proofErr w:type="spellStart"/>
      <w:r>
        <w:rPr>
          <w:rFonts w:ascii="Times New Roman" w:hAnsi="Times New Roman" w:cs="Arial"/>
          <w:iCs/>
          <w:color w:val="323233"/>
          <w:lang w:val="de-DE"/>
        </w:rPr>
        <w:t>un</w:t>
      </w:r>
      <w:proofErr w:type="spellEnd"/>
      <w:r>
        <w:rPr>
          <w:rFonts w:ascii="Times New Roman" w:hAnsi="Times New Roman" w:cs="Arial"/>
          <w:iCs/>
          <w:color w:val="323233"/>
          <w:lang w:val="de-DE"/>
        </w:rPr>
        <w:t xml:space="preserve"> </w:t>
      </w:r>
      <w:proofErr w:type="spellStart"/>
      <w:r>
        <w:rPr>
          <w:rFonts w:ascii="Times New Roman" w:hAnsi="Times New Roman" w:cs="Arial"/>
          <w:iCs/>
          <w:color w:val="323233"/>
          <w:lang w:val="de-DE"/>
        </w:rPr>
        <w:t>skaitu</w:t>
      </w:r>
      <w:proofErr w:type="spellEnd"/>
      <w:r>
        <w:rPr>
          <w:rFonts w:ascii="Times New Roman" w:hAnsi="Times New Roman" w:cs="Arial"/>
          <w:iCs/>
          <w:color w:val="323233"/>
          <w:lang w:val="de-DE"/>
        </w:rPr>
        <w:t xml:space="preserve">, </w:t>
      </w:r>
      <w:proofErr w:type="spellStart"/>
      <w:r>
        <w:rPr>
          <w:rFonts w:ascii="Times New Roman" w:hAnsi="Times New Roman" w:cs="Arial"/>
          <w:iCs/>
          <w:color w:val="323233"/>
          <w:lang w:val="de-DE"/>
        </w:rPr>
        <w:t>bet</w:t>
      </w:r>
      <w:proofErr w:type="spellEnd"/>
      <w:r>
        <w:rPr>
          <w:rFonts w:ascii="Times New Roman" w:hAnsi="Times New Roman" w:cs="Arial"/>
          <w:iCs/>
          <w:color w:val="323233"/>
          <w:lang w:val="de-DE"/>
        </w:rPr>
        <w:t xml:space="preserve"> </w:t>
      </w:r>
      <w:proofErr w:type="spellStart"/>
      <w:r>
        <w:rPr>
          <w:rFonts w:ascii="Times New Roman" w:hAnsi="Times New Roman" w:cs="Arial"/>
          <w:iCs/>
          <w:color w:val="323233"/>
          <w:lang w:val="de-DE"/>
        </w:rPr>
        <w:t>ne</w:t>
      </w:r>
      <w:proofErr w:type="spellEnd"/>
      <w:r>
        <w:rPr>
          <w:rFonts w:ascii="Times New Roman" w:hAnsi="Times New Roman" w:cs="Arial"/>
          <w:iCs/>
          <w:color w:val="323233"/>
          <w:lang w:val="de-DE"/>
        </w:rPr>
        <w:t xml:space="preserve"> par </w:t>
      </w:r>
      <w:proofErr w:type="spellStart"/>
      <w:r>
        <w:rPr>
          <w:rFonts w:ascii="Times New Roman" w:hAnsi="Times New Roman" w:cs="Arial"/>
          <w:iCs/>
          <w:color w:val="323233"/>
          <w:lang w:val="de-DE"/>
        </w:rPr>
        <w:t>pārstāvības</w:t>
      </w:r>
      <w:proofErr w:type="spellEnd"/>
      <w:r>
        <w:rPr>
          <w:rFonts w:ascii="Times New Roman" w:hAnsi="Times New Roman" w:cs="Arial"/>
          <w:iCs/>
          <w:color w:val="323233"/>
          <w:lang w:val="de-DE"/>
        </w:rPr>
        <w:t xml:space="preserve"> </w:t>
      </w:r>
      <w:proofErr w:type="spellStart"/>
      <w:r>
        <w:rPr>
          <w:rFonts w:ascii="Times New Roman" w:hAnsi="Times New Roman" w:cs="Arial"/>
          <w:iCs/>
          <w:color w:val="323233"/>
          <w:lang w:val="de-DE"/>
        </w:rPr>
        <w:t>tiesībām</w:t>
      </w:r>
      <w:proofErr w:type="spellEnd"/>
      <w:r>
        <w:rPr>
          <w:rFonts w:ascii="Times New Roman" w:hAnsi="Times New Roman" w:cs="Arial"/>
          <w:iCs/>
          <w:color w:val="323233"/>
          <w:lang w:val="de-DE"/>
        </w:rPr>
        <w:t>.</w:t>
      </w:r>
      <w:r>
        <w:rPr>
          <w:rStyle w:val="FootnoteReference"/>
          <w:rFonts w:ascii="Times New Roman" w:hAnsi="Times New Roman" w:cs="Arial"/>
          <w:iCs/>
          <w:color w:val="323233"/>
          <w:lang w:val="de-DE"/>
        </w:rPr>
        <w:footnoteReference w:id="154"/>
      </w:r>
      <w:r>
        <w:rPr>
          <w:rFonts w:ascii="Times New Roman" w:hAnsi="Times New Roman" w:cs="Arial"/>
          <w:iCs/>
          <w:color w:val="323233"/>
          <w:lang w:val="de-DE"/>
        </w:rPr>
        <w:t xml:space="preserve"> Tas </w:t>
      </w:r>
      <w:proofErr w:type="spellStart"/>
      <w:r>
        <w:rPr>
          <w:rFonts w:ascii="Times New Roman" w:hAnsi="Times New Roman" w:cs="Arial"/>
          <w:iCs/>
          <w:color w:val="323233"/>
          <w:lang w:val="de-DE"/>
        </w:rPr>
        <w:t>nozīmē</w:t>
      </w:r>
      <w:proofErr w:type="spellEnd"/>
      <w:r>
        <w:rPr>
          <w:rFonts w:ascii="Times New Roman" w:hAnsi="Times New Roman" w:cs="Arial"/>
          <w:iCs/>
          <w:color w:val="323233"/>
          <w:lang w:val="de-DE"/>
        </w:rPr>
        <w:t xml:space="preserve">, </w:t>
      </w:r>
      <w:proofErr w:type="spellStart"/>
      <w:r>
        <w:rPr>
          <w:rFonts w:ascii="Times New Roman" w:hAnsi="Times New Roman" w:cs="Arial"/>
          <w:iCs/>
          <w:color w:val="323233"/>
          <w:lang w:val="de-DE"/>
        </w:rPr>
        <w:t>ka</w:t>
      </w:r>
      <w:proofErr w:type="spellEnd"/>
      <w:r>
        <w:rPr>
          <w:rFonts w:ascii="Times New Roman" w:hAnsi="Times New Roman" w:cs="Arial"/>
          <w:iCs/>
          <w:color w:val="323233"/>
          <w:lang w:val="de-DE"/>
        </w:rPr>
        <w:t xml:space="preserve"> </w:t>
      </w:r>
      <w:proofErr w:type="spellStart"/>
      <w:r>
        <w:rPr>
          <w:rFonts w:ascii="Times New Roman" w:hAnsi="Times New Roman" w:cs="Arial"/>
          <w:iCs/>
          <w:color w:val="323233"/>
          <w:lang w:val="de-DE"/>
        </w:rPr>
        <w:t>Apvienotajā</w:t>
      </w:r>
      <w:proofErr w:type="spellEnd"/>
      <w:r>
        <w:rPr>
          <w:rFonts w:ascii="Times New Roman" w:hAnsi="Times New Roman" w:cs="Arial"/>
          <w:iCs/>
          <w:color w:val="323233"/>
          <w:lang w:val="de-DE"/>
        </w:rPr>
        <w:t xml:space="preserve"> </w:t>
      </w:r>
      <w:proofErr w:type="spellStart"/>
      <w:r>
        <w:rPr>
          <w:rFonts w:ascii="Times New Roman" w:hAnsi="Times New Roman" w:cs="Arial"/>
          <w:iCs/>
          <w:color w:val="323233"/>
          <w:lang w:val="de-DE"/>
        </w:rPr>
        <w:t>Karalistē</w:t>
      </w:r>
      <w:proofErr w:type="spellEnd"/>
      <w:r>
        <w:rPr>
          <w:rFonts w:ascii="Times New Roman" w:hAnsi="Times New Roman" w:cs="Arial"/>
          <w:iCs/>
          <w:color w:val="323233"/>
          <w:lang w:val="de-DE"/>
        </w:rPr>
        <w:t xml:space="preserve"> </w:t>
      </w:r>
      <w:proofErr w:type="spellStart"/>
      <w:r>
        <w:rPr>
          <w:rFonts w:ascii="Times New Roman" w:hAnsi="Times New Roman" w:cs="Arial"/>
          <w:iCs/>
          <w:color w:val="323233"/>
          <w:lang w:val="de-DE"/>
        </w:rPr>
        <w:t>reģistrētu</w:t>
      </w:r>
      <w:proofErr w:type="spellEnd"/>
      <w:r>
        <w:rPr>
          <w:rFonts w:ascii="Times New Roman" w:hAnsi="Times New Roman" w:cs="Arial"/>
          <w:iCs/>
          <w:color w:val="323233"/>
          <w:lang w:val="de-DE"/>
        </w:rPr>
        <w:t xml:space="preserve"> </w:t>
      </w:r>
      <w:proofErr w:type="spellStart"/>
      <w:r>
        <w:rPr>
          <w:rFonts w:ascii="Times New Roman" w:hAnsi="Times New Roman" w:cs="Arial"/>
          <w:iCs/>
          <w:color w:val="323233"/>
          <w:lang w:val="de-DE"/>
        </w:rPr>
        <w:t>juridisko</w:t>
      </w:r>
      <w:proofErr w:type="spellEnd"/>
      <w:r>
        <w:rPr>
          <w:rFonts w:ascii="Times New Roman" w:hAnsi="Times New Roman" w:cs="Arial"/>
          <w:iCs/>
          <w:color w:val="323233"/>
          <w:lang w:val="de-DE"/>
        </w:rPr>
        <w:t xml:space="preserve"> </w:t>
      </w:r>
      <w:proofErr w:type="spellStart"/>
      <w:r>
        <w:rPr>
          <w:rFonts w:ascii="Times New Roman" w:hAnsi="Times New Roman" w:cs="Arial"/>
          <w:iCs/>
          <w:color w:val="323233"/>
          <w:lang w:val="de-DE"/>
        </w:rPr>
        <w:t>personu</w:t>
      </w:r>
      <w:proofErr w:type="spellEnd"/>
      <w:r>
        <w:rPr>
          <w:rFonts w:ascii="Times New Roman" w:hAnsi="Times New Roman" w:cs="Arial"/>
          <w:iCs/>
          <w:color w:val="323233"/>
          <w:lang w:val="de-DE"/>
        </w:rPr>
        <w:t xml:space="preserve"> </w:t>
      </w:r>
      <w:proofErr w:type="spellStart"/>
      <w:r w:rsidRPr="009B42C6">
        <w:rPr>
          <w:rFonts w:ascii="Times New Roman" w:hAnsi="Times New Roman" w:cs="Arial"/>
          <w:b/>
          <w:iCs/>
          <w:color w:val="323233"/>
          <w:lang w:val="de-DE"/>
        </w:rPr>
        <w:t>tiesībspēju</w:t>
      </w:r>
      <w:proofErr w:type="spellEnd"/>
      <w:r w:rsidRPr="009B42C6">
        <w:rPr>
          <w:rFonts w:ascii="Times New Roman" w:hAnsi="Times New Roman" w:cs="Arial"/>
          <w:b/>
          <w:iCs/>
          <w:color w:val="323233"/>
          <w:lang w:val="de-DE"/>
        </w:rPr>
        <w:t xml:space="preserve"> </w:t>
      </w:r>
      <w:proofErr w:type="spellStart"/>
      <w:r>
        <w:rPr>
          <w:rFonts w:ascii="Times New Roman" w:hAnsi="Times New Roman" w:cs="Arial"/>
          <w:iCs/>
          <w:color w:val="323233"/>
          <w:lang w:val="de-DE"/>
        </w:rPr>
        <w:t>un</w:t>
      </w:r>
      <w:proofErr w:type="spellEnd"/>
      <w:r>
        <w:rPr>
          <w:rFonts w:ascii="Times New Roman" w:hAnsi="Times New Roman" w:cs="Arial"/>
          <w:iCs/>
          <w:color w:val="323233"/>
          <w:lang w:val="de-DE"/>
        </w:rPr>
        <w:t xml:space="preserve"> </w:t>
      </w:r>
      <w:proofErr w:type="spellStart"/>
      <w:r>
        <w:rPr>
          <w:rFonts w:ascii="Times New Roman" w:hAnsi="Times New Roman" w:cs="Arial"/>
          <w:iCs/>
          <w:color w:val="323233"/>
          <w:lang w:val="de-DE"/>
        </w:rPr>
        <w:t>šo</w:t>
      </w:r>
      <w:proofErr w:type="spellEnd"/>
      <w:r>
        <w:rPr>
          <w:rFonts w:ascii="Times New Roman" w:hAnsi="Times New Roman" w:cs="Arial"/>
          <w:iCs/>
          <w:color w:val="323233"/>
          <w:lang w:val="de-DE"/>
        </w:rPr>
        <w:t xml:space="preserve"> </w:t>
      </w:r>
      <w:proofErr w:type="spellStart"/>
      <w:r>
        <w:rPr>
          <w:rFonts w:ascii="Times New Roman" w:hAnsi="Times New Roman" w:cs="Arial"/>
          <w:iCs/>
          <w:color w:val="323233"/>
          <w:lang w:val="de-DE"/>
        </w:rPr>
        <w:t>juridisko</w:t>
      </w:r>
      <w:proofErr w:type="spellEnd"/>
      <w:r>
        <w:rPr>
          <w:rFonts w:ascii="Times New Roman" w:hAnsi="Times New Roman" w:cs="Arial"/>
          <w:iCs/>
          <w:color w:val="323233"/>
          <w:lang w:val="de-DE"/>
        </w:rPr>
        <w:t xml:space="preserve"> </w:t>
      </w:r>
      <w:proofErr w:type="spellStart"/>
      <w:r>
        <w:rPr>
          <w:rFonts w:ascii="Times New Roman" w:hAnsi="Times New Roman" w:cs="Arial"/>
          <w:iCs/>
          <w:color w:val="323233"/>
          <w:lang w:val="de-DE"/>
        </w:rPr>
        <w:t>personu</w:t>
      </w:r>
      <w:proofErr w:type="spellEnd"/>
      <w:r>
        <w:rPr>
          <w:rFonts w:ascii="Times New Roman" w:hAnsi="Times New Roman" w:cs="Arial"/>
          <w:iCs/>
          <w:color w:val="323233"/>
          <w:lang w:val="de-DE"/>
        </w:rPr>
        <w:t xml:space="preserve"> </w:t>
      </w:r>
      <w:proofErr w:type="spellStart"/>
      <w:r>
        <w:rPr>
          <w:rFonts w:ascii="Times New Roman" w:hAnsi="Times New Roman" w:cs="Arial"/>
          <w:iCs/>
          <w:color w:val="323233"/>
          <w:lang w:val="de-DE"/>
        </w:rPr>
        <w:t>vadītāju</w:t>
      </w:r>
      <w:proofErr w:type="spellEnd"/>
      <w:r>
        <w:rPr>
          <w:rFonts w:ascii="Times New Roman" w:hAnsi="Times New Roman" w:cs="Arial"/>
          <w:iCs/>
          <w:color w:val="323233"/>
          <w:lang w:val="de-DE"/>
        </w:rPr>
        <w:t xml:space="preserve"> </w:t>
      </w:r>
      <w:proofErr w:type="spellStart"/>
      <w:r>
        <w:rPr>
          <w:rFonts w:ascii="Times New Roman" w:hAnsi="Times New Roman" w:cs="Arial"/>
          <w:iCs/>
          <w:color w:val="323233"/>
          <w:lang w:val="de-DE"/>
        </w:rPr>
        <w:t>skaitu</w:t>
      </w:r>
      <w:proofErr w:type="spellEnd"/>
      <w:r>
        <w:rPr>
          <w:rFonts w:ascii="Times New Roman" w:hAnsi="Times New Roman" w:cs="Arial"/>
          <w:iCs/>
          <w:color w:val="323233"/>
          <w:lang w:val="de-DE"/>
        </w:rPr>
        <w:t xml:space="preserve"> </w:t>
      </w:r>
      <w:proofErr w:type="spellStart"/>
      <w:r>
        <w:rPr>
          <w:rFonts w:ascii="Times New Roman" w:hAnsi="Times New Roman" w:cs="Arial"/>
          <w:iCs/>
          <w:color w:val="323233"/>
          <w:lang w:val="de-DE"/>
        </w:rPr>
        <w:t>un</w:t>
      </w:r>
      <w:proofErr w:type="spellEnd"/>
      <w:r>
        <w:rPr>
          <w:rFonts w:ascii="Times New Roman" w:hAnsi="Times New Roman" w:cs="Arial"/>
          <w:iCs/>
          <w:color w:val="323233"/>
          <w:lang w:val="de-DE"/>
        </w:rPr>
        <w:t xml:space="preserve"> </w:t>
      </w:r>
      <w:proofErr w:type="spellStart"/>
      <w:r>
        <w:rPr>
          <w:rFonts w:ascii="Times New Roman" w:hAnsi="Times New Roman" w:cs="Arial"/>
          <w:iCs/>
          <w:color w:val="323233"/>
          <w:lang w:val="de-DE"/>
        </w:rPr>
        <w:t>identitāti</w:t>
      </w:r>
      <w:proofErr w:type="spellEnd"/>
      <w:r>
        <w:rPr>
          <w:rFonts w:ascii="Times New Roman" w:hAnsi="Times New Roman" w:cs="Arial"/>
          <w:iCs/>
          <w:color w:val="323233"/>
          <w:lang w:val="de-DE"/>
        </w:rPr>
        <w:t xml:space="preserve"> </w:t>
      </w:r>
      <w:proofErr w:type="spellStart"/>
      <w:r>
        <w:rPr>
          <w:rFonts w:ascii="Times New Roman" w:hAnsi="Times New Roman" w:cs="Arial"/>
          <w:iCs/>
          <w:color w:val="323233"/>
          <w:lang w:val="de-DE"/>
        </w:rPr>
        <w:t>var</w:t>
      </w:r>
      <w:proofErr w:type="spellEnd"/>
      <w:r>
        <w:rPr>
          <w:rFonts w:ascii="Times New Roman" w:hAnsi="Times New Roman" w:cs="Arial"/>
          <w:iCs/>
          <w:color w:val="323233"/>
          <w:lang w:val="de-DE"/>
        </w:rPr>
        <w:t xml:space="preserve"> </w:t>
      </w:r>
      <w:proofErr w:type="spellStart"/>
      <w:r>
        <w:rPr>
          <w:rFonts w:ascii="Times New Roman" w:hAnsi="Times New Roman" w:cs="Arial"/>
          <w:iCs/>
          <w:color w:val="323233"/>
          <w:lang w:val="de-DE"/>
        </w:rPr>
        <w:t>pierādīt</w:t>
      </w:r>
      <w:proofErr w:type="spellEnd"/>
      <w:r>
        <w:rPr>
          <w:rFonts w:ascii="Times New Roman" w:hAnsi="Times New Roman" w:cs="Arial"/>
          <w:iCs/>
          <w:color w:val="323233"/>
          <w:lang w:val="de-DE"/>
        </w:rPr>
        <w:t xml:space="preserve"> </w:t>
      </w:r>
      <w:proofErr w:type="spellStart"/>
      <w:r>
        <w:rPr>
          <w:rFonts w:ascii="Times New Roman" w:hAnsi="Times New Roman" w:cs="Arial"/>
          <w:iCs/>
          <w:color w:val="323233"/>
          <w:lang w:val="de-DE"/>
        </w:rPr>
        <w:t>vai</w:t>
      </w:r>
      <w:proofErr w:type="spellEnd"/>
      <w:r>
        <w:rPr>
          <w:rFonts w:ascii="Times New Roman" w:hAnsi="Times New Roman" w:cs="Arial"/>
          <w:iCs/>
          <w:color w:val="323233"/>
          <w:lang w:val="de-DE"/>
        </w:rPr>
        <w:t xml:space="preserve"> nu Latvijas </w:t>
      </w:r>
      <w:proofErr w:type="spellStart"/>
      <w:r>
        <w:rPr>
          <w:rFonts w:ascii="Times New Roman" w:hAnsi="Times New Roman" w:cs="Arial"/>
          <w:iCs/>
          <w:color w:val="323233"/>
          <w:lang w:val="de-DE"/>
        </w:rPr>
        <w:t>notāram</w:t>
      </w:r>
      <w:proofErr w:type="spellEnd"/>
      <w:r>
        <w:rPr>
          <w:rFonts w:ascii="Times New Roman" w:hAnsi="Times New Roman" w:cs="Arial"/>
          <w:iCs/>
          <w:color w:val="323233"/>
          <w:lang w:val="de-DE"/>
        </w:rPr>
        <w:t xml:space="preserve"> </w:t>
      </w:r>
      <w:proofErr w:type="spellStart"/>
      <w:r>
        <w:rPr>
          <w:rFonts w:ascii="Times New Roman" w:hAnsi="Times New Roman" w:cs="Arial"/>
          <w:iCs/>
          <w:color w:val="323233"/>
          <w:lang w:val="de-DE"/>
        </w:rPr>
        <w:t>ielūkojoties</w:t>
      </w:r>
      <w:proofErr w:type="spellEnd"/>
      <w:r>
        <w:rPr>
          <w:rFonts w:ascii="Times New Roman" w:hAnsi="Times New Roman" w:cs="Arial"/>
          <w:iCs/>
          <w:color w:val="323233"/>
          <w:lang w:val="de-DE"/>
        </w:rPr>
        <w:t xml:space="preserve"> </w:t>
      </w:r>
      <w:r w:rsidRPr="00023816">
        <w:rPr>
          <w:rFonts w:ascii="Times New Roman" w:hAnsi="Times New Roman" w:cs="Arial"/>
          <w:i/>
          <w:iCs/>
          <w:color w:val="323233"/>
          <w:lang w:val="de-DE"/>
        </w:rPr>
        <w:t>Companies House</w:t>
      </w:r>
      <w:r>
        <w:rPr>
          <w:rFonts w:ascii="Times New Roman" w:hAnsi="Times New Roman" w:cs="Arial"/>
          <w:i/>
          <w:iCs/>
          <w:color w:val="323233"/>
          <w:lang w:val="de-DE"/>
        </w:rPr>
        <w:t xml:space="preserve"> </w:t>
      </w:r>
      <w:proofErr w:type="spellStart"/>
      <w:r>
        <w:rPr>
          <w:rFonts w:ascii="Times New Roman" w:hAnsi="Times New Roman" w:cs="Arial"/>
          <w:iCs/>
          <w:color w:val="323233"/>
          <w:lang w:val="de-DE"/>
        </w:rPr>
        <w:t>reģistrā</w:t>
      </w:r>
      <w:proofErr w:type="spellEnd"/>
      <w:r>
        <w:rPr>
          <w:rFonts w:ascii="Times New Roman" w:hAnsi="Times New Roman" w:cs="Arial"/>
          <w:iCs/>
          <w:color w:val="323233"/>
          <w:lang w:val="de-DE"/>
        </w:rPr>
        <w:t xml:space="preserve">, </w:t>
      </w:r>
      <w:proofErr w:type="spellStart"/>
      <w:r>
        <w:rPr>
          <w:rFonts w:ascii="Times New Roman" w:hAnsi="Times New Roman" w:cs="Arial"/>
          <w:iCs/>
          <w:color w:val="323233"/>
          <w:lang w:val="de-DE"/>
        </w:rPr>
        <w:t>vai</w:t>
      </w:r>
      <w:proofErr w:type="spellEnd"/>
      <w:r>
        <w:rPr>
          <w:rFonts w:ascii="Times New Roman" w:hAnsi="Times New Roman" w:cs="Arial"/>
          <w:iCs/>
          <w:color w:val="323233"/>
          <w:lang w:val="de-DE"/>
        </w:rPr>
        <w:t xml:space="preserve"> </w:t>
      </w:r>
      <w:proofErr w:type="spellStart"/>
      <w:r>
        <w:rPr>
          <w:rFonts w:ascii="Times New Roman" w:hAnsi="Times New Roman" w:cs="Arial"/>
          <w:iCs/>
          <w:color w:val="323233"/>
          <w:lang w:val="de-DE"/>
        </w:rPr>
        <w:t>arī</w:t>
      </w:r>
      <w:proofErr w:type="spellEnd"/>
      <w:r>
        <w:rPr>
          <w:rFonts w:ascii="Times New Roman" w:hAnsi="Times New Roman" w:cs="Arial"/>
          <w:iCs/>
          <w:color w:val="323233"/>
          <w:lang w:val="de-DE"/>
        </w:rPr>
        <w:t xml:space="preserve"> </w:t>
      </w:r>
      <w:proofErr w:type="spellStart"/>
      <w:r>
        <w:rPr>
          <w:rFonts w:ascii="Times New Roman" w:hAnsi="Times New Roman" w:cs="Arial"/>
          <w:iCs/>
          <w:color w:val="323233"/>
          <w:lang w:val="de-DE"/>
        </w:rPr>
        <w:t>personai</w:t>
      </w:r>
      <w:proofErr w:type="spellEnd"/>
      <w:r>
        <w:rPr>
          <w:rFonts w:ascii="Times New Roman" w:hAnsi="Times New Roman" w:cs="Arial"/>
          <w:iCs/>
          <w:color w:val="323233"/>
          <w:lang w:val="de-DE"/>
        </w:rPr>
        <w:t xml:space="preserve"> </w:t>
      </w:r>
      <w:proofErr w:type="spellStart"/>
      <w:r>
        <w:rPr>
          <w:rFonts w:ascii="Times New Roman" w:hAnsi="Times New Roman" w:cs="Arial"/>
          <w:iCs/>
          <w:color w:val="323233"/>
          <w:lang w:val="de-DE"/>
        </w:rPr>
        <w:t>iesniedzot</w:t>
      </w:r>
      <w:proofErr w:type="spellEnd"/>
      <w:r>
        <w:rPr>
          <w:rFonts w:ascii="Times New Roman" w:hAnsi="Times New Roman" w:cs="Arial"/>
          <w:iCs/>
          <w:color w:val="323233"/>
          <w:lang w:val="de-DE"/>
        </w:rPr>
        <w:t xml:space="preserve"> Latvijas </w:t>
      </w:r>
      <w:proofErr w:type="spellStart"/>
      <w:r>
        <w:rPr>
          <w:rFonts w:ascii="Times New Roman" w:hAnsi="Times New Roman" w:cs="Arial"/>
          <w:iCs/>
          <w:color w:val="323233"/>
          <w:lang w:val="de-DE"/>
        </w:rPr>
        <w:t>notāram</w:t>
      </w:r>
      <w:proofErr w:type="spellEnd"/>
      <w:r>
        <w:rPr>
          <w:rFonts w:ascii="Times New Roman" w:hAnsi="Times New Roman" w:cs="Arial"/>
          <w:iCs/>
          <w:color w:val="323233"/>
          <w:lang w:val="de-DE"/>
        </w:rPr>
        <w:t xml:space="preserve"> </w:t>
      </w:r>
      <w:proofErr w:type="spellStart"/>
      <w:r>
        <w:rPr>
          <w:rFonts w:ascii="Times New Roman" w:hAnsi="Times New Roman" w:cs="Arial"/>
          <w:iCs/>
          <w:color w:val="323233"/>
          <w:lang w:val="de-DE"/>
        </w:rPr>
        <w:t>izrakstu</w:t>
      </w:r>
      <w:proofErr w:type="spellEnd"/>
      <w:r>
        <w:rPr>
          <w:rFonts w:ascii="Times New Roman" w:hAnsi="Times New Roman" w:cs="Arial"/>
          <w:iCs/>
          <w:color w:val="323233"/>
          <w:lang w:val="de-DE"/>
        </w:rPr>
        <w:t xml:space="preserve"> </w:t>
      </w:r>
      <w:proofErr w:type="spellStart"/>
      <w:r>
        <w:rPr>
          <w:rFonts w:ascii="Times New Roman" w:hAnsi="Times New Roman" w:cs="Arial"/>
          <w:iCs/>
          <w:color w:val="323233"/>
          <w:lang w:val="de-DE"/>
        </w:rPr>
        <w:t>no</w:t>
      </w:r>
      <w:proofErr w:type="spellEnd"/>
      <w:r>
        <w:rPr>
          <w:rFonts w:ascii="Times New Roman" w:hAnsi="Times New Roman" w:cs="Arial"/>
          <w:iCs/>
          <w:color w:val="323233"/>
          <w:lang w:val="de-DE"/>
        </w:rPr>
        <w:t xml:space="preserve"> </w:t>
      </w:r>
      <w:r w:rsidRPr="00023816">
        <w:rPr>
          <w:rFonts w:ascii="Times New Roman" w:hAnsi="Times New Roman" w:cs="Arial"/>
          <w:i/>
          <w:iCs/>
          <w:color w:val="323233"/>
          <w:lang w:val="de-DE"/>
        </w:rPr>
        <w:t>Companies House</w:t>
      </w:r>
      <w:r>
        <w:rPr>
          <w:rFonts w:ascii="Times New Roman" w:hAnsi="Times New Roman" w:cs="Arial"/>
          <w:iCs/>
          <w:color w:val="323233"/>
          <w:lang w:val="de-DE"/>
        </w:rPr>
        <w:t xml:space="preserve"> </w:t>
      </w:r>
      <w:proofErr w:type="spellStart"/>
      <w:r>
        <w:rPr>
          <w:rFonts w:ascii="Times New Roman" w:hAnsi="Times New Roman" w:cs="Arial"/>
          <w:iCs/>
          <w:color w:val="323233"/>
          <w:lang w:val="de-DE"/>
        </w:rPr>
        <w:t>reģistra</w:t>
      </w:r>
      <w:proofErr w:type="spellEnd"/>
      <w:r>
        <w:rPr>
          <w:rFonts w:ascii="Times New Roman" w:hAnsi="Times New Roman" w:cs="Arial"/>
          <w:iCs/>
          <w:color w:val="323233"/>
          <w:lang w:val="de-DE"/>
        </w:rPr>
        <w:t xml:space="preserve"> </w:t>
      </w:r>
      <w:proofErr w:type="spellStart"/>
      <w:r>
        <w:rPr>
          <w:rFonts w:ascii="Times New Roman" w:hAnsi="Times New Roman" w:cs="Arial"/>
          <w:iCs/>
          <w:color w:val="323233"/>
          <w:lang w:val="de-DE"/>
        </w:rPr>
        <w:t>ieraksta</w:t>
      </w:r>
      <w:proofErr w:type="spellEnd"/>
      <w:r>
        <w:rPr>
          <w:rFonts w:ascii="Times New Roman" w:hAnsi="Times New Roman" w:cs="Arial"/>
          <w:iCs/>
          <w:color w:val="323233"/>
          <w:lang w:val="de-DE"/>
        </w:rPr>
        <w:t xml:space="preserve">. </w:t>
      </w:r>
      <w:proofErr w:type="spellStart"/>
      <w:r>
        <w:rPr>
          <w:rFonts w:ascii="Times New Roman" w:hAnsi="Times New Roman" w:cs="Arial"/>
          <w:iCs/>
          <w:color w:val="323233"/>
          <w:lang w:val="de-DE"/>
        </w:rPr>
        <w:t>Tā</w:t>
      </w:r>
      <w:proofErr w:type="spellEnd"/>
      <w:r>
        <w:rPr>
          <w:rFonts w:ascii="Times New Roman" w:hAnsi="Times New Roman" w:cs="Arial"/>
          <w:iCs/>
          <w:color w:val="323233"/>
          <w:lang w:val="de-DE"/>
        </w:rPr>
        <w:t xml:space="preserve"> </w:t>
      </w:r>
      <w:proofErr w:type="spellStart"/>
      <w:r>
        <w:rPr>
          <w:rFonts w:ascii="Times New Roman" w:hAnsi="Times New Roman" w:cs="Arial"/>
          <w:iCs/>
          <w:color w:val="323233"/>
          <w:lang w:val="de-DE"/>
        </w:rPr>
        <w:t>kā</w:t>
      </w:r>
      <w:proofErr w:type="spellEnd"/>
      <w:r>
        <w:rPr>
          <w:rFonts w:ascii="Times New Roman" w:hAnsi="Times New Roman" w:cs="Arial"/>
          <w:iCs/>
          <w:color w:val="323233"/>
          <w:lang w:val="de-DE"/>
        </w:rPr>
        <w:t xml:space="preserve"> </w:t>
      </w:r>
      <w:proofErr w:type="spellStart"/>
      <w:r>
        <w:rPr>
          <w:rFonts w:ascii="Times New Roman" w:hAnsi="Times New Roman" w:cs="Arial"/>
          <w:iCs/>
          <w:color w:val="323233"/>
          <w:lang w:val="de-DE"/>
        </w:rPr>
        <w:t>izraksts</w:t>
      </w:r>
      <w:proofErr w:type="spellEnd"/>
      <w:r>
        <w:rPr>
          <w:rFonts w:ascii="Times New Roman" w:hAnsi="Times New Roman" w:cs="Arial"/>
          <w:iCs/>
          <w:color w:val="323233"/>
          <w:lang w:val="de-DE"/>
        </w:rPr>
        <w:t xml:space="preserve"> </w:t>
      </w:r>
      <w:proofErr w:type="spellStart"/>
      <w:r>
        <w:rPr>
          <w:rFonts w:ascii="Times New Roman" w:hAnsi="Times New Roman" w:cs="Arial"/>
          <w:iCs/>
          <w:color w:val="323233"/>
          <w:lang w:val="de-DE"/>
        </w:rPr>
        <w:t>no</w:t>
      </w:r>
      <w:proofErr w:type="spellEnd"/>
      <w:r>
        <w:rPr>
          <w:rFonts w:ascii="Times New Roman" w:hAnsi="Times New Roman" w:cs="Arial"/>
          <w:iCs/>
          <w:color w:val="323233"/>
          <w:lang w:val="de-DE"/>
        </w:rPr>
        <w:t xml:space="preserve"> </w:t>
      </w:r>
      <w:proofErr w:type="spellStart"/>
      <w:r>
        <w:rPr>
          <w:rFonts w:ascii="Times New Roman" w:hAnsi="Times New Roman" w:cs="Arial"/>
          <w:iCs/>
          <w:color w:val="323233"/>
          <w:lang w:val="de-DE"/>
        </w:rPr>
        <w:t>reģistra</w:t>
      </w:r>
      <w:proofErr w:type="spellEnd"/>
      <w:r>
        <w:rPr>
          <w:rFonts w:ascii="Times New Roman" w:hAnsi="Times New Roman" w:cs="Arial"/>
          <w:iCs/>
          <w:color w:val="323233"/>
          <w:lang w:val="de-DE"/>
        </w:rPr>
        <w:t xml:space="preserve"> </w:t>
      </w:r>
      <w:proofErr w:type="spellStart"/>
      <w:r>
        <w:rPr>
          <w:rFonts w:ascii="Times New Roman" w:hAnsi="Times New Roman" w:cs="Arial"/>
          <w:iCs/>
          <w:color w:val="323233"/>
          <w:lang w:val="de-DE"/>
        </w:rPr>
        <w:t>apliecina</w:t>
      </w:r>
      <w:proofErr w:type="spellEnd"/>
      <w:r>
        <w:rPr>
          <w:rFonts w:ascii="Times New Roman" w:hAnsi="Times New Roman" w:cs="Arial"/>
          <w:iCs/>
          <w:color w:val="323233"/>
          <w:lang w:val="de-DE"/>
        </w:rPr>
        <w:t xml:space="preserve"> </w:t>
      </w:r>
      <w:proofErr w:type="spellStart"/>
      <w:r>
        <w:rPr>
          <w:rFonts w:ascii="Times New Roman" w:hAnsi="Times New Roman" w:cs="Arial"/>
          <w:iCs/>
          <w:color w:val="323233"/>
          <w:lang w:val="de-DE"/>
        </w:rPr>
        <w:t>to</w:t>
      </w:r>
      <w:proofErr w:type="spellEnd"/>
      <w:r>
        <w:rPr>
          <w:rFonts w:ascii="Times New Roman" w:hAnsi="Times New Roman" w:cs="Arial"/>
          <w:iCs/>
          <w:color w:val="323233"/>
          <w:lang w:val="de-DE"/>
        </w:rPr>
        <w:t xml:space="preserve"> </w:t>
      </w:r>
      <w:proofErr w:type="spellStart"/>
      <w:r>
        <w:rPr>
          <w:rFonts w:ascii="Times New Roman" w:hAnsi="Times New Roman" w:cs="Arial"/>
          <w:iCs/>
          <w:color w:val="323233"/>
          <w:lang w:val="de-DE"/>
        </w:rPr>
        <w:t>situāciju</w:t>
      </w:r>
      <w:proofErr w:type="spellEnd"/>
      <w:r>
        <w:rPr>
          <w:rFonts w:ascii="Times New Roman" w:hAnsi="Times New Roman" w:cs="Arial"/>
          <w:iCs/>
          <w:color w:val="323233"/>
          <w:lang w:val="de-DE"/>
        </w:rPr>
        <w:t xml:space="preserve">, </w:t>
      </w:r>
      <w:proofErr w:type="spellStart"/>
      <w:r>
        <w:rPr>
          <w:rFonts w:ascii="Times New Roman" w:hAnsi="Times New Roman" w:cs="Arial"/>
          <w:iCs/>
          <w:color w:val="323233"/>
          <w:lang w:val="de-DE"/>
        </w:rPr>
        <w:t>kāda</w:t>
      </w:r>
      <w:proofErr w:type="spellEnd"/>
      <w:r>
        <w:rPr>
          <w:rFonts w:ascii="Times New Roman" w:hAnsi="Times New Roman" w:cs="Arial"/>
          <w:iCs/>
          <w:color w:val="323233"/>
          <w:lang w:val="de-DE"/>
        </w:rPr>
        <w:t xml:space="preserve"> </w:t>
      </w:r>
      <w:proofErr w:type="spellStart"/>
      <w:r>
        <w:rPr>
          <w:rFonts w:ascii="Times New Roman" w:hAnsi="Times New Roman" w:cs="Arial"/>
          <w:iCs/>
          <w:color w:val="323233"/>
          <w:lang w:val="de-DE"/>
        </w:rPr>
        <w:t>ir</w:t>
      </w:r>
      <w:proofErr w:type="spellEnd"/>
      <w:r>
        <w:rPr>
          <w:rFonts w:ascii="Times New Roman" w:hAnsi="Times New Roman" w:cs="Arial"/>
          <w:iCs/>
          <w:color w:val="323233"/>
          <w:lang w:val="de-DE"/>
        </w:rPr>
        <w:t xml:space="preserve"> </w:t>
      </w:r>
      <w:proofErr w:type="spellStart"/>
      <w:r>
        <w:rPr>
          <w:rFonts w:ascii="Times New Roman" w:hAnsi="Times New Roman" w:cs="Arial"/>
          <w:iCs/>
          <w:color w:val="323233"/>
          <w:lang w:val="de-DE"/>
        </w:rPr>
        <w:t>izraksta</w:t>
      </w:r>
      <w:proofErr w:type="spellEnd"/>
      <w:r>
        <w:rPr>
          <w:rFonts w:ascii="Times New Roman" w:hAnsi="Times New Roman" w:cs="Arial"/>
          <w:iCs/>
          <w:color w:val="323233"/>
          <w:lang w:val="de-DE"/>
        </w:rPr>
        <w:t xml:space="preserve"> </w:t>
      </w:r>
      <w:proofErr w:type="spellStart"/>
      <w:r>
        <w:rPr>
          <w:rFonts w:ascii="Times New Roman" w:hAnsi="Times New Roman" w:cs="Arial"/>
          <w:iCs/>
          <w:color w:val="323233"/>
          <w:lang w:val="de-DE"/>
        </w:rPr>
        <w:t>izdošanas</w:t>
      </w:r>
      <w:proofErr w:type="spellEnd"/>
      <w:r>
        <w:rPr>
          <w:rFonts w:ascii="Times New Roman" w:hAnsi="Times New Roman" w:cs="Arial"/>
          <w:iCs/>
          <w:color w:val="323233"/>
          <w:lang w:val="de-DE"/>
        </w:rPr>
        <w:t xml:space="preserve"> </w:t>
      </w:r>
      <w:proofErr w:type="spellStart"/>
      <w:r>
        <w:rPr>
          <w:rFonts w:ascii="Times New Roman" w:hAnsi="Times New Roman" w:cs="Arial"/>
          <w:iCs/>
          <w:color w:val="323233"/>
          <w:lang w:val="de-DE"/>
        </w:rPr>
        <w:t>brīdī</w:t>
      </w:r>
      <w:proofErr w:type="spellEnd"/>
      <w:r>
        <w:rPr>
          <w:rFonts w:ascii="Times New Roman" w:hAnsi="Times New Roman" w:cs="Arial"/>
          <w:iCs/>
          <w:color w:val="323233"/>
          <w:lang w:val="de-DE"/>
        </w:rPr>
        <w:t xml:space="preserve">, </w:t>
      </w:r>
      <w:proofErr w:type="spellStart"/>
      <w:r>
        <w:rPr>
          <w:rFonts w:ascii="Times New Roman" w:hAnsi="Times New Roman" w:cs="Arial"/>
          <w:iCs/>
          <w:color w:val="323233"/>
          <w:lang w:val="de-DE"/>
        </w:rPr>
        <w:t>tad</w:t>
      </w:r>
      <w:proofErr w:type="spellEnd"/>
      <w:r>
        <w:rPr>
          <w:rFonts w:ascii="Times New Roman" w:hAnsi="Times New Roman" w:cs="Arial"/>
          <w:iCs/>
          <w:color w:val="323233"/>
          <w:lang w:val="de-DE"/>
        </w:rPr>
        <w:t xml:space="preserve"> </w:t>
      </w:r>
      <w:proofErr w:type="spellStart"/>
      <w:r>
        <w:rPr>
          <w:rFonts w:ascii="Times New Roman" w:hAnsi="Times New Roman" w:cs="Arial"/>
          <w:iCs/>
          <w:color w:val="323233"/>
          <w:lang w:val="de-DE"/>
        </w:rPr>
        <w:t>izraksta</w:t>
      </w:r>
      <w:proofErr w:type="spellEnd"/>
      <w:r>
        <w:rPr>
          <w:rFonts w:ascii="Times New Roman" w:hAnsi="Times New Roman" w:cs="Arial"/>
          <w:iCs/>
          <w:color w:val="323233"/>
          <w:lang w:val="de-DE"/>
        </w:rPr>
        <w:t xml:space="preserve"> </w:t>
      </w:r>
      <w:proofErr w:type="spellStart"/>
      <w:r>
        <w:rPr>
          <w:rFonts w:ascii="Times New Roman" w:hAnsi="Times New Roman" w:cs="Arial"/>
          <w:iCs/>
          <w:color w:val="323233"/>
          <w:lang w:val="de-DE"/>
        </w:rPr>
        <w:t>iesniegšanas</w:t>
      </w:r>
      <w:proofErr w:type="spellEnd"/>
      <w:r>
        <w:rPr>
          <w:rFonts w:ascii="Times New Roman" w:hAnsi="Times New Roman" w:cs="Arial"/>
          <w:iCs/>
          <w:color w:val="323233"/>
          <w:lang w:val="de-DE"/>
        </w:rPr>
        <w:t xml:space="preserve"> </w:t>
      </w:r>
      <w:proofErr w:type="spellStart"/>
      <w:r>
        <w:rPr>
          <w:rFonts w:ascii="Times New Roman" w:hAnsi="Times New Roman" w:cs="Arial"/>
          <w:iCs/>
          <w:color w:val="323233"/>
          <w:lang w:val="de-DE"/>
        </w:rPr>
        <w:t>termiņam</w:t>
      </w:r>
      <w:proofErr w:type="spellEnd"/>
      <w:r>
        <w:rPr>
          <w:rFonts w:ascii="Times New Roman" w:hAnsi="Times New Roman" w:cs="Arial"/>
          <w:iCs/>
          <w:color w:val="323233"/>
          <w:lang w:val="de-DE"/>
        </w:rPr>
        <w:t xml:space="preserve"> </w:t>
      </w:r>
      <w:proofErr w:type="spellStart"/>
      <w:r>
        <w:rPr>
          <w:rFonts w:ascii="Times New Roman" w:hAnsi="Times New Roman" w:cs="Arial"/>
          <w:iCs/>
          <w:color w:val="323233"/>
          <w:lang w:val="de-DE"/>
        </w:rPr>
        <w:t>būtu</w:t>
      </w:r>
      <w:proofErr w:type="spellEnd"/>
      <w:r>
        <w:rPr>
          <w:rFonts w:ascii="Times New Roman" w:hAnsi="Times New Roman" w:cs="Arial"/>
          <w:iCs/>
          <w:color w:val="323233"/>
          <w:lang w:val="de-DE"/>
        </w:rPr>
        <w:t xml:space="preserve"> </w:t>
      </w:r>
      <w:proofErr w:type="spellStart"/>
      <w:r>
        <w:rPr>
          <w:rFonts w:ascii="Times New Roman" w:hAnsi="Times New Roman" w:cs="Arial"/>
          <w:iCs/>
          <w:color w:val="323233"/>
          <w:lang w:val="de-DE"/>
        </w:rPr>
        <w:t>jābūt</w:t>
      </w:r>
      <w:proofErr w:type="spellEnd"/>
      <w:r>
        <w:rPr>
          <w:rFonts w:ascii="Times New Roman" w:hAnsi="Times New Roman" w:cs="Arial"/>
          <w:iCs/>
          <w:color w:val="323233"/>
          <w:lang w:val="de-DE"/>
        </w:rPr>
        <w:t xml:space="preserve"> </w:t>
      </w:r>
      <w:proofErr w:type="spellStart"/>
      <w:r>
        <w:rPr>
          <w:rFonts w:ascii="Times New Roman" w:hAnsi="Times New Roman" w:cs="Arial"/>
          <w:iCs/>
          <w:color w:val="323233"/>
          <w:lang w:val="de-DE"/>
        </w:rPr>
        <w:t>tādam</w:t>
      </w:r>
      <w:proofErr w:type="spellEnd"/>
      <w:r>
        <w:rPr>
          <w:rFonts w:ascii="Times New Roman" w:hAnsi="Times New Roman" w:cs="Arial"/>
          <w:iCs/>
          <w:color w:val="323233"/>
          <w:lang w:val="de-DE"/>
        </w:rPr>
        <w:t xml:space="preserve">, </w:t>
      </w:r>
      <w:proofErr w:type="spellStart"/>
      <w:r>
        <w:rPr>
          <w:rFonts w:ascii="Times New Roman" w:hAnsi="Times New Roman" w:cs="Arial"/>
          <w:iCs/>
          <w:color w:val="323233"/>
          <w:lang w:val="de-DE"/>
        </w:rPr>
        <w:t>kādu</w:t>
      </w:r>
      <w:proofErr w:type="spellEnd"/>
      <w:r>
        <w:rPr>
          <w:rFonts w:ascii="Times New Roman" w:hAnsi="Times New Roman" w:cs="Arial"/>
          <w:iCs/>
          <w:color w:val="323233"/>
          <w:lang w:val="de-DE"/>
        </w:rPr>
        <w:t xml:space="preserve"> </w:t>
      </w:r>
      <w:proofErr w:type="spellStart"/>
      <w:r>
        <w:rPr>
          <w:rFonts w:ascii="Times New Roman" w:hAnsi="Times New Roman" w:cs="Arial"/>
          <w:iCs/>
          <w:color w:val="323233"/>
          <w:lang w:val="de-DE"/>
        </w:rPr>
        <w:t>to</w:t>
      </w:r>
      <w:proofErr w:type="spellEnd"/>
      <w:r>
        <w:rPr>
          <w:rFonts w:ascii="Times New Roman" w:hAnsi="Times New Roman" w:cs="Arial"/>
          <w:iCs/>
          <w:color w:val="323233"/>
          <w:lang w:val="de-DE"/>
        </w:rPr>
        <w:t xml:space="preserve"> </w:t>
      </w:r>
      <w:proofErr w:type="spellStart"/>
      <w:r>
        <w:rPr>
          <w:rFonts w:ascii="Times New Roman" w:hAnsi="Times New Roman" w:cs="Arial"/>
          <w:iCs/>
          <w:color w:val="323233"/>
          <w:lang w:val="de-DE"/>
        </w:rPr>
        <w:t>nosaka</w:t>
      </w:r>
      <w:proofErr w:type="spellEnd"/>
      <w:r>
        <w:rPr>
          <w:rFonts w:ascii="Times New Roman" w:hAnsi="Times New Roman" w:cs="Arial"/>
          <w:iCs/>
          <w:color w:val="323233"/>
          <w:lang w:val="de-DE"/>
        </w:rPr>
        <w:t xml:space="preserve"> Latvijas </w:t>
      </w:r>
      <w:proofErr w:type="spellStart"/>
      <w:r>
        <w:rPr>
          <w:rFonts w:ascii="Times New Roman" w:hAnsi="Times New Roman" w:cs="Arial"/>
          <w:iCs/>
          <w:color w:val="323233"/>
          <w:lang w:val="de-DE"/>
        </w:rPr>
        <w:t>normatīvie</w:t>
      </w:r>
      <w:proofErr w:type="spellEnd"/>
      <w:r>
        <w:rPr>
          <w:rFonts w:ascii="Times New Roman" w:hAnsi="Times New Roman" w:cs="Arial"/>
          <w:iCs/>
          <w:color w:val="323233"/>
          <w:lang w:val="de-DE"/>
        </w:rPr>
        <w:t xml:space="preserve"> </w:t>
      </w:r>
      <w:proofErr w:type="spellStart"/>
      <w:r>
        <w:rPr>
          <w:rFonts w:ascii="Times New Roman" w:hAnsi="Times New Roman" w:cs="Arial"/>
          <w:iCs/>
          <w:color w:val="323233"/>
          <w:lang w:val="de-DE"/>
        </w:rPr>
        <w:t>tiesību</w:t>
      </w:r>
      <w:proofErr w:type="spellEnd"/>
      <w:r>
        <w:rPr>
          <w:rFonts w:ascii="Times New Roman" w:hAnsi="Times New Roman" w:cs="Arial"/>
          <w:iCs/>
          <w:color w:val="323233"/>
          <w:lang w:val="de-DE"/>
        </w:rPr>
        <w:t xml:space="preserve"> </w:t>
      </w:r>
      <w:proofErr w:type="spellStart"/>
      <w:r>
        <w:rPr>
          <w:rFonts w:ascii="Times New Roman" w:hAnsi="Times New Roman" w:cs="Arial"/>
          <w:iCs/>
          <w:color w:val="323233"/>
          <w:lang w:val="de-DE"/>
        </w:rPr>
        <w:t>akti</w:t>
      </w:r>
      <w:proofErr w:type="spellEnd"/>
      <w:r>
        <w:rPr>
          <w:rFonts w:ascii="Times New Roman" w:hAnsi="Times New Roman" w:cs="Arial"/>
          <w:iCs/>
          <w:color w:val="323233"/>
          <w:lang w:val="de-DE"/>
        </w:rPr>
        <w:t xml:space="preserve"> – ne </w:t>
      </w:r>
      <w:proofErr w:type="spellStart"/>
      <w:r>
        <w:rPr>
          <w:rFonts w:ascii="Times New Roman" w:hAnsi="Times New Roman" w:cs="Arial"/>
          <w:iCs/>
          <w:color w:val="323233"/>
          <w:lang w:val="de-DE"/>
        </w:rPr>
        <w:t>vēlāk</w:t>
      </w:r>
      <w:proofErr w:type="spellEnd"/>
      <w:r>
        <w:rPr>
          <w:rFonts w:ascii="Times New Roman" w:hAnsi="Times New Roman" w:cs="Arial"/>
          <w:iCs/>
          <w:color w:val="323233"/>
          <w:lang w:val="de-DE"/>
        </w:rPr>
        <w:t xml:space="preserve"> </w:t>
      </w:r>
      <w:proofErr w:type="spellStart"/>
      <w:r>
        <w:rPr>
          <w:rFonts w:ascii="Times New Roman" w:hAnsi="Times New Roman" w:cs="Arial"/>
          <w:iCs/>
          <w:color w:val="323233"/>
          <w:lang w:val="de-DE"/>
        </w:rPr>
        <w:t>kā</w:t>
      </w:r>
      <w:proofErr w:type="spellEnd"/>
      <w:r>
        <w:rPr>
          <w:rFonts w:ascii="Times New Roman" w:hAnsi="Times New Roman" w:cs="Arial"/>
          <w:iCs/>
          <w:color w:val="323233"/>
          <w:lang w:val="de-DE"/>
        </w:rPr>
        <w:t xml:space="preserve"> 30 </w:t>
      </w:r>
      <w:proofErr w:type="spellStart"/>
      <w:r>
        <w:rPr>
          <w:rFonts w:ascii="Times New Roman" w:hAnsi="Times New Roman" w:cs="Arial"/>
          <w:iCs/>
          <w:color w:val="323233"/>
          <w:lang w:val="de-DE"/>
        </w:rPr>
        <w:t>dienas</w:t>
      </w:r>
      <w:proofErr w:type="spellEnd"/>
      <w:r>
        <w:rPr>
          <w:rFonts w:ascii="Times New Roman" w:hAnsi="Times New Roman" w:cs="Arial"/>
          <w:iCs/>
          <w:color w:val="323233"/>
          <w:lang w:val="de-DE"/>
        </w:rPr>
        <w:t xml:space="preserve"> </w:t>
      </w:r>
      <w:proofErr w:type="spellStart"/>
      <w:r>
        <w:rPr>
          <w:rFonts w:ascii="Times New Roman" w:hAnsi="Times New Roman" w:cs="Arial"/>
          <w:iCs/>
          <w:color w:val="323233"/>
          <w:lang w:val="de-DE"/>
        </w:rPr>
        <w:t>pirms</w:t>
      </w:r>
      <w:proofErr w:type="spellEnd"/>
      <w:r>
        <w:rPr>
          <w:rFonts w:ascii="Times New Roman" w:hAnsi="Times New Roman" w:cs="Arial"/>
          <w:iCs/>
          <w:color w:val="323233"/>
          <w:lang w:val="de-DE"/>
        </w:rPr>
        <w:t xml:space="preserve"> </w:t>
      </w:r>
      <w:proofErr w:type="spellStart"/>
      <w:r>
        <w:rPr>
          <w:rFonts w:ascii="Times New Roman" w:hAnsi="Times New Roman" w:cs="Arial"/>
          <w:iCs/>
          <w:color w:val="323233"/>
          <w:lang w:val="de-DE"/>
        </w:rPr>
        <w:t>notariālā</w:t>
      </w:r>
      <w:proofErr w:type="spellEnd"/>
      <w:r>
        <w:rPr>
          <w:rFonts w:ascii="Times New Roman" w:hAnsi="Times New Roman" w:cs="Arial"/>
          <w:iCs/>
          <w:color w:val="323233"/>
          <w:lang w:val="de-DE"/>
        </w:rPr>
        <w:t xml:space="preserve"> </w:t>
      </w:r>
      <w:proofErr w:type="spellStart"/>
      <w:r>
        <w:rPr>
          <w:rFonts w:ascii="Times New Roman" w:hAnsi="Times New Roman" w:cs="Arial"/>
          <w:iCs/>
          <w:color w:val="323233"/>
          <w:lang w:val="de-DE"/>
        </w:rPr>
        <w:t>akta</w:t>
      </w:r>
      <w:proofErr w:type="spellEnd"/>
      <w:r>
        <w:rPr>
          <w:rFonts w:ascii="Times New Roman" w:hAnsi="Times New Roman" w:cs="Arial"/>
          <w:iCs/>
          <w:color w:val="323233"/>
          <w:lang w:val="de-DE"/>
        </w:rPr>
        <w:t xml:space="preserve"> </w:t>
      </w:r>
      <w:proofErr w:type="spellStart"/>
      <w:r>
        <w:rPr>
          <w:rFonts w:ascii="Times New Roman" w:hAnsi="Times New Roman" w:cs="Arial"/>
          <w:iCs/>
          <w:color w:val="323233"/>
          <w:lang w:val="de-DE"/>
        </w:rPr>
        <w:t>taisīšanas</w:t>
      </w:r>
      <w:proofErr w:type="spellEnd"/>
      <w:r>
        <w:rPr>
          <w:rFonts w:ascii="Times New Roman" w:hAnsi="Times New Roman" w:cs="Arial"/>
          <w:iCs/>
          <w:color w:val="323233"/>
          <w:lang w:val="de-DE"/>
        </w:rPr>
        <w:t xml:space="preserve"> (</w:t>
      </w:r>
      <w:proofErr w:type="spellStart"/>
      <w:r>
        <w:rPr>
          <w:rFonts w:ascii="Times New Roman" w:hAnsi="Times New Roman" w:cs="Arial"/>
          <w:iCs/>
          <w:color w:val="323233"/>
          <w:lang w:val="de-DE"/>
        </w:rPr>
        <w:t>skat</w:t>
      </w:r>
      <w:proofErr w:type="spellEnd"/>
      <w:r>
        <w:rPr>
          <w:rFonts w:ascii="Times New Roman" w:hAnsi="Times New Roman" w:cs="Arial"/>
          <w:iCs/>
          <w:color w:val="323233"/>
          <w:lang w:val="de-DE"/>
        </w:rPr>
        <w:t xml:space="preserve">. </w:t>
      </w:r>
      <w:proofErr w:type="spellStart"/>
      <w:r>
        <w:rPr>
          <w:rFonts w:ascii="Times New Roman" w:hAnsi="Times New Roman" w:cs="Arial"/>
          <w:iCs/>
          <w:color w:val="323233"/>
          <w:lang w:val="de-DE"/>
        </w:rPr>
        <w:t>Notariāta</w:t>
      </w:r>
      <w:proofErr w:type="spellEnd"/>
      <w:r>
        <w:rPr>
          <w:rFonts w:ascii="Times New Roman" w:hAnsi="Times New Roman" w:cs="Arial"/>
          <w:iCs/>
          <w:color w:val="323233"/>
          <w:lang w:val="de-DE"/>
        </w:rPr>
        <w:t xml:space="preserve"> </w:t>
      </w:r>
      <w:proofErr w:type="spellStart"/>
      <w:r>
        <w:rPr>
          <w:rFonts w:ascii="Times New Roman" w:hAnsi="Times New Roman" w:cs="Arial"/>
          <w:iCs/>
          <w:color w:val="323233"/>
          <w:lang w:val="de-DE"/>
        </w:rPr>
        <w:t>likuma</w:t>
      </w:r>
      <w:proofErr w:type="spellEnd"/>
      <w:r>
        <w:rPr>
          <w:rFonts w:ascii="Times New Roman" w:hAnsi="Times New Roman" w:cs="Arial"/>
          <w:iCs/>
          <w:color w:val="323233"/>
          <w:lang w:val="de-DE"/>
        </w:rPr>
        <w:t xml:space="preserve"> 83.p. 3.d.).</w:t>
      </w:r>
    </w:p>
    <w:p w14:paraId="51AF777E" w14:textId="77777777" w:rsidR="00114953" w:rsidRDefault="00114953" w:rsidP="00114953">
      <w:pPr>
        <w:widowControl w:val="0"/>
        <w:autoSpaceDE w:val="0"/>
        <w:autoSpaceDN w:val="0"/>
        <w:adjustRightInd w:val="0"/>
        <w:jc w:val="both"/>
        <w:rPr>
          <w:rFonts w:ascii="Times New Roman" w:hAnsi="Times New Roman" w:cs="Arial"/>
          <w:iCs/>
          <w:color w:val="323233"/>
          <w:lang w:val="de-DE"/>
        </w:rPr>
      </w:pPr>
      <w:r>
        <w:rPr>
          <w:rFonts w:ascii="Times New Roman" w:hAnsi="Times New Roman" w:cs="Arial"/>
          <w:iCs/>
          <w:color w:val="323233"/>
          <w:lang w:val="de-DE"/>
        </w:rPr>
        <w:lastRenderedPageBreak/>
        <w:tab/>
      </w:r>
      <w:r w:rsidRPr="00023816">
        <w:rPr>
          <w:rFonts w:ascii="Times New Roman" w:hAnsi="Times New Roman" w:cs="Arial"/>
          <w:i/>
          <w:iCs/>
          <w:color w:val="323233"/>
          <w:lang w:val="de-DE"/>
        </w:rPr>
        <w:t>Companies House</w:t>
      </w:r>
      <w:r>
        <w:rPr>
          <w:rFonts w:ascii="Times New Roman" w:hAnsi="Times New Roman" w:cs="Arial"/>
          <w:i/>
          <w:iCs/>
          <w:color w:val="323233"/>
          <w:lang w:val="de-DE"/>
        </w:rPr>
        <w:t xml:space="preserve"> </w:t>
      </w:r>
      <w:proofErr w:type="spellStart"/>
      <w:r>
        <w:rPr>
          <w:rFonts w:ascii="Times New Roman" w:hAnsi="Times New Roman" w:cs="Arial"/>
          <w:iCs/>
          <w:color w:val="323233"/>
          <w:lang w:val="de-DE"/>
        </w:rPr>
        <w:t>reģistram</w:t>
      </w:r>
      <w:proofErr w:type="spellEnd"/>
      <w:r>
        <w:rPr>
          <w:rFonts w:ascii="Times New Roman" w:hAnsi="Times New Roman" w:cs="Arial"/>
          <w:iCs/>
          <w:color w:val="323233"/>
          <w:lang w:val="de-DE"/>
        </w:rPr>
        <w:t xml:space="preserve"> </w:t>
      </w:r>
      <w:proofErr w:type="spellStart"/>
      <w:r>
        <w:rPr>
          <w:rFonts w:ascii="Times New Roman" w:hAnsi="Times New Roman" w:cs="Arial"/>
          <w:iCs/>
          <w:color w:val="323233"/>
          <w:lang w:val="de-DE"/>
        </w:rPr>
        <w:t>ir</w:t>
      </w:r>
      <w:proofErr w:type="spellEnd"/>
      <w:r>
        <w:rPr>
          <w:rFonts w:ascii="Times New Roman" w:hAnsi="Times New Roman" w:cs="Arial"/>
          <w:iCs/>
          <w:color w:val="323233"/>
          <w:lang w:val="de-DE"/>
        </w:rPr>
        <w:t xml:space="preserve"> </w:t>
      </w:r>
      <w:proofErr w:type="spellStart"/>
      <w:r>
        <w:rPr>
          <w:rFonts w:ascii="Times New Roman" w:hAnsi="Times New Roman" w:cs="Arial"/>
          <w:iCs/>
          <w:color w:val="323233"/>
          <w:lang w:val="de-DE"/>
        </w:rPr>
        <w:t>trīs</w:t>
      </w:r>
      <w:proofErr w:type="spellEnd"/>
      <w:r>
        <w:rPr>
          <w:rFonts w:ascii="Times New Roman" w:hAnsi="Times New Roman" w:cs="Arial"/>
          <w:iCs/>
          <w:color w:val="323233"/>
          <w:lang w:val="de-DE"/>
        </w:rPr>
        <w:t xml:space="preserve"> </w:t>
      </w:r>
      <w:proofErr w:type="spellStart"/>
      <w:r>
        <w:rPr>
          <w:rFonts w:ascii="Times New Roman" w:hAnsi="Times New Roman" w:cs="Arial"/>
          <w:iCs/>
          <w:color w:val="323233"/>
          <w:lang w:val="de-DE"/>
        </w:rPr>
        <w:t>nodalījumi</w:t>
      </w:r>
      <w:proofErr w:type="spellEnd"/>
      <w:r>
        <w:rPr>
          <w:rFonts w:ascii="Times New Roman" w:hAnsi="Times New Roman" w:cs="Arial"/>
          <w:iCs/>
          <w:color w:val="323233"/>
          <w:lang w:val="de-DE"/>
        </w:rPr>
        <w:t xml:space="preserve">: </w:t>
      </w:r>
      <w:proofErr w:type="spellStart"/>
      <w:r>
        <w:rPr>
          <w:rFonts w:ascii="Times New Roman" w:hAnsi="Times New Roman" w:cs="Arial"/>
          <w:iCs/>
          <w:color w:val="323233"/>
          <w:lang w:val="de-DE"/>
        </w:rPr>
        <w:t>Anglijas</w:t>
      </w:r>
      <w:proofErr w:type="spellEnd"/>
      <w:r>
        <w:rPr>
          <w:rFonts w:ascii="Times New Roman" w:hAnsi="Times New Roman" w:cs="Arial"/>
          <w:iCs/>
          <w:color w:val="323233"/>
          <w:lang w:val="de-DE"/>
        </w:rPr>
        <w:t xml:space="preserve"> </w:t>
      </w:r>
      <w:proofErr w:type="spellStart"/>
      <w:r>
        <w:rPr>
          <w:rFonts w:ascii="Times New Roman" w:hAnsi="Times New Roman" w:cs="Arial"/>
          <w:iCs/>
          <w:color w:val="323233"/>
          <w:lang w:val="de-DE"/>
        </w:rPr>
        <w:t>un</w:t>
      </w:r>
      <w:proofErr w:type="spellEnd"/>
      <w:r>
        <w:rPr>
          <w:rFonts w:ascii="Times New Roman" w:hAnsi="Times New Roman" w:cs="Arial"/>
          <w:iCs/>
          <w:color w:val="323233"/>
          <w:lang w:val="de-DE"/>
        </w:rPr>
        <w:t xml:space="preserve"> </w:t>
      </w:r>
      <w:proofErr w:type="spellStart"/>
      <w:r>
        <w:rPr>
          <w:rFonts w:ascii="Times New Roman" w:hAnsi="Times New Roman" w:cs="Arial"/>
          <w:iCs/>
          <w:color w:val="323233"/>
          <w:lang w:val="de-DE"/>
        </w:rPr>
        <w:t>Velsas</w:t>
      </w:r>
      <w:proofErr w:type="spellEnd"/>
      <w:r>
        <w:rPr>
          <w:rFonts w:ascii="Times New Roman" w:hAnsi="Times New Roman" w:cs="Arial"/>
          <w:iCs/>
          <w:color w:val="323233"/>
          <w:lang w:val="de-DE"/>
        </w:rPr>
        <w:t xml:space="preserve"> </w:t>
      </w:r>
      <w:proofErr w:type="spellStart"/>
      <w:r>
        <w:rPr>
          <w:rFonts w:ascii="Times New Roman" w:hAnsi="Times New Roman" w:cs="Arial"/>
          <w:iCs/>
          <w:color w:val="323233"/>
          <w:lang w:val="de-DE"/>
        </w:rPr>
        <w:t>uzņēmumi</w:t>
      </w:r>
      <w:proofErr w:type="spellEnd"/>
      <w:r>
        <w:rPr>
          <w:rFonts w:ascii="Times New Roman" w:hAnsi="Times New Roman" w:cs="Arial"/>
          <w:iCs/>
          <w:color w:val="323233"/>
          <w:lang w:val="de-DE"/>
        </w:rPr>
        <w:t xml:space="preserve"> </w:t>
      </w:r>
      <w:proofErr w:type="spellStart"/>
      <w:r>
        <w:rPr>
          <w:rFonts w:ascii="Times New Roman" w:hAnsi="Times New Roman" w:cs="Arial"/>
          <w:iCs/>
          <w:color w:val="323233"/>
          <w:lang w:val="de-DE"/>
        </w:rPr>
        <w:t>tiek</w:t>
      </w:r>
      <w:proofErr w:type="spellEnd"/>
      <w:r>
        <w:rPr>
          <w:rFonts w:ascii="Times New Roman" w:hAnsi="Times New Roman" w:cs="Arial"/>
          <w:iCs/>
          <w:color w:val="323233"/>
          <w:lang w:val="de-DE"/>
        </w:rPr>
        <w:t xml:space="preserve"> </w:t>
      </w:r>
      <w:proofErr w:type="spellStart"/>
      <w:r>
        <w:rPr>
          <w:rFonts w:ascii="Times New Roman" w:hAnsi="Times New Roman" w:cs="Arial"/>
          <w:iCs/>
          <w:color w:val="323233"/>
          <w:lang w:val="de-DE"/>
        </w:rPr>
        <w:t>reģistrēti</w:t>
      </w:r>
      <w:proofErr w:type="spellEnd"/>
      <w:r>
        <w:rPr>
          <w:rFonts w:ascii="Times New Roman" w:hAnsi="Times New Roman" w:cs="Arial"/>
          <w:iCs/>
          <w:color w:val="323233"/>
          <w:lang w:val="de-DE"/>
        </w:rPr>
        <w:t xml:space="preserve"> </w:t>
      </w:r>
      <w:proofErr w:type="spellStart"/>
      <w:r>
        <w:rPr>
          <w:rFonts w:ascii="Times New Roman" w:hAnsi="Times New Roman" w:cs="Arial"/>
          <w:iCs/>
          <w:color w:val="323233"/>
          <w:lang w:val="de-DE"/>
        </w:rPr>
        <w:t>Kardifas</w:t>
      </w:r>
      <w:proofErr w:type="spellEnd"/>
      <w:r>
        <w:rPr>
          <w:rFonts w:ascii="Times New Roman" w:hAnsi="Times New Roman" w:cs="Arial"/>
          <w:iCs/>
          <w:color w:val="323233"/>
          <w:lang w:val="de-DE"/>
        </w:rPr>
        <w:t xml:space="preserve"> (</w:t>
      </w:r>
      <w:r w:rsidRPr="0089648E">
        <w:rPr>
          <w:rFonts w:ascii="Times New Roman" w:hAnsi="Times New Roman" w:cs="Arial"/>
          <w:i/>
          <w:iCs/>
          <w:color w:val="323233"/>
          <w:lang w:val="de-DE"/>
        </w:rPr>
        <w:t>Cardiff</w:t>
      </w:r>
      <w:r>
        <w:rPr>
          <w:rFonts w:ascii="Times New Roman" w:hAnsi="Times New Roman" w:cs="Arial"/>
          <w:iCs/>
          <w:color w:val="323233"/>
          <w:lang w:val="de-DE"/>
        </w:rPr>
        <w:t xml:space="preserve">) </w:t>
      </w:r>
      <w:proofErr w:type="spellStart"/>
      <w:r>
        <w:rPr>
          <w:rFonts w:ascii="Times New Roman" w:hAnsi="Times New Roman" w:cs="Arial"/>
          <w:iCs/>
          <w:color w:val="323233"/>
          <w:lang w:val="de-DE"/>
        </w:rPr>
        <w:t>nodalījumā</w:t>
      </w:r>
      <w:proofErr w:type="spellEnd"/>
      <w:r>
        <w:rPr>
          <w:rFonts w:ascii="Times New Roman" w:hAnsi="Times New Roman" w:cs="Arial"/>
          <w:iCs/>
          <w:color w:val="323233"/>
          <w:lang w:val="de-DE"/>
        </w:rPr>
        <w:t xml:space="preserve">, </w:t>
      </w:r>
      <w:proofErr w:type="spellStart"/>
      <w:r>
        <w:rPr>
          <w:rFonts w:ascii="Times New Roman" w:hAnsi="Times New Roman" w:cs="Arial"/>
          <w:iCs/>
          <w:color w:val="323233"/>
          <w:lang w:val="de-DE"/>
        </w:rPr>
        <w:t>Skotijas</w:t>
      </w:r>
      <w:proofErr w:type="spellEnd"/>
      <w:r>
        <w:rPr>
          <w:rFonts w:ascii="Times New Roman" w:hAnsi="Times New Roman" w:cs="Arial"/>
          <w:iCs/>
          <w:color w:val="323233"/>
          <w:lang w:val="de-DE"/>
        </w:rPr>
        <w:t xml:space="preserve"> </w:t>
      </w:r>
      <w:proofErr w:type="spellStart"/>
      <w:r>
        <w:rPr>
          <w:rFonts w:ascii="Times New Roman" w:hAnsi="Times New Roman" w:cs="Arial"/>
          <w:iCs/>
          <w:color w:val="323233"/>
          <w:lang w:val="de-DE"/>
        </w:rPr>
        <w:t>uzņēmumi</w:t>
      </w:r>
      <w:proofErr w:type="spellEnd"/>
      <w:r>
        <w:rPr>
          <w:rFonts w:ascii="Times New Roman" w:hAnsi="Times New Roman" w:cs="Arial"/>
          <w:iCs/>
          <w:color w:val="323233"/>
          <w:lang w:val="de-DE"/>
        </w:rPr>
        <w:t xml:space="preserve"> – </w:t>
      </w:r>
      <w:proofErr w:type="spellStart"/>
      <w:r>
        <w:rPr>
          <w:rFonts w:ascii="Times New Roman" w:hAnsi="Times New Roman" w:cs="Arial"/>
          <w:iCs/>
          <w:color w:val="323233"/>
          <w:lang w:val="de-DE"/>
        </w:rPr>
        <w:t>Edinburgas</w:t>
      </w:r>
      <w:proofErr w:type="spellEnd"/>
      <w:r>
        <w:rPr>
          <w:rFonts w:ascii="Times New Roman" w:hAnsi="Times New Roman" w:cs="Arial"/>
          <w:iCs/>
          <w:color w:val="323233"/>
          <w:lang w:val="de-DE"/>
        </w:rPr>
        <w:t xml:space="preserve"> (</w:t>
      </w:r>
      <w:r w:rsidRPr="0089648E">
        <w:rPr>
          <w:rFonts w:ascii="Times New Roman" w:hAnsi="Times New Roman" w:cs="Arial"/>
          <w:i/>
          <w:iCs/>
          <w:color w:val="323233"/>
          <w:lang w:val="de-DE"/>
        </w:rPr>
        <w:t>Edinburgh</w:t>
      </w:r>
      <w:r>
        <w:rPr>
          <w:rFonts w:ascii="Times New Roman" w:hAnsi="Times New Roman" w:cs="Arial"/>
          <w:iCs/>
          <w:color w:val="323233"/>
          <w:lang w:val="de-DE"/>
        </w:rPr>
        <w:t xml:space="preserve">) </w:t>
      </w:r>
      <w:proofErr w:type="spellStart"/>
      <w:r>
        <w:rPr>
          <w:rFonts w:ascii="Times New Roman" w:hAnsi="Times New Roman" w:cs="Arial"/>
          <w:iCs/>
          <w:color w:val="323233"/>
          <w:lang w:val="de-DE"/>
        </w:rPr>
        <w:t>nodalījumā</w:t>
      </w:r>
      <w:proofErr w:type="spellEnd"/>
      <w:r>
        <w:rPr>
          <w:rFonts w:ascii="Times New Roman" w:hAnsi="Times New Roman" w:cs="Arial"/>
          <w:iCs/>
          <w:color w:val="323233"/>
          <w:lang w:val="de-DE"/>
        </w:rPr>
        <w:t xml:space="preserve"> </w:t>
      </w:r>
      <w:proofErr w:type="spellStart"/>
      <w:r>
        <w:rPr>
          <w:rFonts w:ascii="Times New Roman" w:hAnsi="Times New Roman" w:cs="Arial"/>
          <w:iCs/>
          <w:color w:val="323233"/>
          <w:lang w:val="de-DE"/>
        </w:rPr>
        <w:t>un</w:t>
      </w:r>
      <w:proofErr w:type="spellEnd"/>
      <w:r>
        <w:rPr>
          <w:rFonts w:ascii="Times New Roman" w:hAnsi="Times New Roman" w:cs="Arial"/>
          <w:iCs/>
          <w:color w:val="323233"/>
          <w:lang w:val="de-DE"/>
        </w:rPr>
        <w:t xml:space="preserve"> </w:t>
      </w:r>
      <w:proofErr w:type="spellStart"/>
      <w:r>
        <w:rPr>
          <w:rFonts w:ascii="Times New Roman" w:hAnsi="Times New Roman" w:cs="Arial"/>
          <w:iCs/>
          <w:color w:val="323233"/>
          <w:lang w:val="de-DE"/>
        </w:rPr>
        <w:t>Ziemeļīrijas</w:t>
      </w:r>
      <w:proofErr w:type="spellEnd"/>
      <w:r>
        <w:rPr>
          <w:rFonts w:ascii="Times New Roman" w:hAnsi="Times New Roman" w:cs="Arial"/>
          <w:iCs/>
          <w:color w:val="323233"/>
          <w:lang w:val="de-DE"/>
        </w:rPr>
        <w:t xml:space="preserve"> </w:t>
      </w:r>
      <w:proofErr w:type="spellStart"/>
      <w:r>
        <w:rPr>
          <w:rFonts w:ascii="Times New Roman" w:hAnsi="Times New Roman" w:cs="Arial"/>
          <w:iCs/>
          <w:color w:val="323233"/>
          <w:lang w:val="de-DE"/>
        </w:rPr>
        <w:t>uzņēmumi</w:t>
      </w:r>
      <w:proofErr w:type="spellEnd"/>
      <w:r>
        <w:rPr>
          <w:rFonts w:ascii="Times New Roman" w:hAnsi="Times New Roman" w:cs="Arial"/>
          <w:iCs/>
          <w:color w:val="323233"/>
          <w:lang w:val="de-DE"/>
        </w:rPr>
        <w:t xml:space="preserve"> – </w:t>
      </w:r>
      <w:proofErr w:type="spellStart"/>
      <w:r>
        <w:rPr>
          <w:rFonts w:ascii="Times New Roman" w:hAnsi="Times New Roman" w:cs="Arial"/>
          <w:iCs/>
          <w:color w:val="323233"/>
          <w:lang w:val="de-DE"/>
        </w:rPr>
        <w:t>Belfāstas</w:t>
      </w:r>
      <w:proofErr w:type="spellEnd"/>
      <w:r>
        <w:rPr>
          <w:rFonts w:ascii="Times New Roman" w:hAnsi="Times New Roman" w:cs="Arial"/>
          <w:iCs/>
          <w:color w:val="323233"/>
          <w:lang w:val="de-DE"/>
        </w:rPr>
        <w:t xml:space="preserve"> (</w:t>
      </w:r>
      <w:r w:rsidRPr="0089648E">
        <w:rPr>
          <w:rFonts w:ascii="Times New Roman" w:hAnsi="Times New Roman" w:cs="Arial"/>
          <w:i/>
          <w:iCs/>
          <w:color w:val="323233"/>
          <w:lang w:val="de-DE"/>
        </w:rPr>
        <w:t>Belfast</w:t>
      </w:r>
      <w:r>
        <w:rPr>
          <w:rFonts w:ascii="Times New Roman" w:hAnsi="Times New Roman" w:cs="Arial"/>
          <w:iCs/>
          <w:color w:val="323233"/>
          <w:lang w:val="de-DE"/>
        </w:rPr>
        <w:t xml:space="preserve">) </w:t>
      </w:r>
      <w:proofErr w:type="spellStart"/>
      <w:r>
        <w:rPr>
          <w:rFonts w:ascii="Times New Roman" w:hAnsi="Times New Roman" w:cs="Arial"/>
          <w:iCs/>
          <w:color w:val="323233"/>
          <w:lang w:val="de-DE"/>
        </w:rPr>
        <w:t>nodalījumā</w:t>
      </w:r>
      <w:proofErr w:type="spellEnd"/>
      <w:r>
        <w:rPr>
          <w:rFonts w:ascii="Times New Roman" w:hAnsi="Times New Roman" w:cs="Arial"/>
          <w:iCs/>
          <w:color w:val="323233"/>
          <w:lang w:val="de-DE"/>
        </w:rPr>
        <w:t>.</w:t>
      </w:r>
      <w:r>
        <w:rPr>
          <w:rStyle w:val="FootnoteReference"/>
          <w:rFonts w:ascii="Times New Roman" w:hAnsi="Times New Roman" w:cs="Arial"/>
          <w:iCs/>
          <w:color w:val="323233"/>
          <w:lang w:val="de-DE"/>
        </w:rPr>
        <w:footnoteReference w:id="155"/>
      </w:r>
    </w:p>
    <w:p w14:paraId="538804A0" w14:textId="77777777" w:rsidR="00114953" w:rsidRDefault="00114953" w:rsidP="00114953">
      <w:pPr>
        <w:widowControl w:val="0"/>
        <w:autoSpaceDE w:val="0"/>
        <w:autoSpaceDN w:val="0"/>
        <w:adjustRightInd w:val="0"/>
        <w:jc w:val="both"/>
        <w:rPr>
          <w:rFonts w:ascii="Times New Roman" w:hAnsi="Times New Roman" w:cs="Arial"/>
          <w:iCs/>
          <w:color w:val="323233"/>
          <w:lang w:val="de-DE"/>
        </w:rPr>
      </w:pPr>
      <w:r>
        <w:rPr>
          <w:rFonts w:ascii="Times New Roman" w:hAnsi="Times New Roman" w:cs="Arial"/>
          <w:iCs/>
          <w:color w:val="323233"/>
          <w:lang w:val="de-DE"/>
        </w:rPr>
        <w:tab/>
      </w:r>
      <w:proofErr w:type="spellStart"/>
      <w:r>
        <w:rPr>
          <w:rFonts w:ascii="Times New Roman" w:hAnsi="Times New Roman" w:cs="Arial"/>
          <w:iCs/>
          <w:color w:val="323233"/>
          <w:lang w:val="de-DE"/>
        </w:rPr>
        <w:t>Apvienotajā</w:t>
      </w:r>
      <w:proofErr w:type="spellEnd"/>
      <w:r>
        <w:rPr>
          <w:rFonts w:ascii="Times New Roman" w:hAnsi="Times New Roman" w:cs="Arial"/>
          <w:iCs/>
          <w:color w:val="323233"/>
          <w:lang w:val="de-DE"/>
        </w:rPr>
        <w:t xml:space="preserve"> </w:t>
      </w:r>
      <w:proofErr w:type="spellStart"/>
      <w:r>
        <w:rPr>
          <w:rFonts w:ascii="Times New Roman" w:hAnsi="Times New Roman" w:cs="Arial"/>
          <w:iCs/>
          <w:color w:val="323233"/>
          <w:lang w:val="de-DE"/>
        </w:rPr>
        <w:t>Karalistē</w:t>
      </w:r>
      <w:proofErr w:type="spellEnd"/>
      <w:r>
        <w:rPr>
          <w:rFonts w:ascii="Times New Roman" w:hAnsi="Times New Roman" w:cs="Arial"/>
          <w:iCs/>
          <w:color w:val="323233"/>
          <w:lang w:val="de-DE"/>
        </w:rPr>
        <w:t xml:space="preserve"> </w:t>
      </w:r>
      <w:proofErr w:type="spellStart"/>
      <w:r>
        <w:rPr>
          <w:rFonts w:ascii="Times New Roman" w:hAnsi="Times New Roman" w:cs="Arial"/>
          <w:iCs/>
          <w:color w:val="323233"/>
          <w:lang w:val="de-DE"/>
        </w:rPr>
        <w:t>reģistrēto</w:t>
      </w:r>
      <w:proofErr w:type="spellEnd"/>
      <w:r>
        <w:rPr>
          <w:rFonts w:ascii="Times New Roman" w:hAnsi="Times New Roman" w:cs="Arial"/>
          <w:iCs/>
          <w:color w:val="323233"/>
          <w:lang w:val="de-DE"/>
        </w:rPr>
        <w:t xml:space="preserve"> </w:t>
      </w:r>
      <w:proofErr w:type="spellStart"/>
      <w:r>
        <w:rPr>
          <w:rFonts w:ascii="Times New Roman" w:hAnsi="Times New Roman" w:cs="Arial"/>
          <w:iCs/>
          <w:color w:val="323233"/>
          <w:lang w:val="de-DE"/>
        </w:rPr>
        <w:t>juridisko</w:t>
      </w:r>
      <w:proofErr w:type="spellEnd"/>
      <w:r>
        <w:rPr>
          <w:rFonts w:ascii="Times New Roman" w:hAnsi="Times New Roman" w:cs="Arial"/>
          <w:iCs/>
          <w:color w:val="323233"/>
          <w:lang w:val="de-DE"/>
        </w:rPr>
        <w:t xml:space="preserve"> </w:t>
      </w:r>
      <w:proofErr w:type="spellStart"/>
      <w:r>
        <w:rPr>
          <w:rFonts w:ascii="Times New Roman" w:hAnsi="Times New Roman" w:cs="Arial"/>
          <w:iCs/>
          <w:color w:val="323233"/>
          <w:lang w:val="de-DE"/>
        </w:rPr>
        <w:t>personu</w:t>
      </w:r>
      <w:proofErr w:type="spellEnd"/>
      <w:r>
        <w:rPr>
          <w:rFonts w:ascii="Times New Roman" w:hAnsi="Times New Roman" w:cs="Arial"/>
          <w:iCs/>
          <w:color w:val="323233"/>
          <w:lang w:val="de-DE"/>
        </w:rPr>
        <w:t xml:space="preserve"> </w:t>
      </w:r>
      <w:proofErr w:type="spellStart"/>
      <w:r w:rsidRPr="00DE6F46">
        <w:rPr>
          <w:rFonts w:ascii="Times New Roman" w:hAnsi="Times New Roman" w:cs="Arial"/>
          <w:b/>
          <w:iCs/>
          <w:color w:val="323233"/>
          <w:lang w:val="de-DE"/>
        </w:rPr>
        <w:t>pārstāvības</w:t>
      </w:r>
      <w:proofErr w:type="spellEnd"/>
      <w:r w:rsidRPr="00DE6F46">
        <w:rPr>
          <w:rFonts w:ascii="Times New Roman" w:hAnsi="Times New Roman" w:cs="Arial"/>
          <w:b/>
          <w:iCs/>
          <w:color w:val="323233"/>
          <w:lang w:val="de-DE"/>
        </w:rPr>
        <w:t xml:space="preserve"> </w:t>
      </w:r>
      <w:proofErr w:type="spellStart"/>
      <w:r w:rsidRPr="00DE6F46">
        <w:rPr>
          <w:rFonts w:ascii="Times New Roman" w:hAnsi="Times New Roman" w:cs="Arial"/>
          <w:b/>
          <w:iCs/>
          <w:color w:val="323233"/>
          <w:lang w:val="de-DE"/>
        </w:rPr>
        <w:t>tiesības</w:t>
      </w:r>
      <w:proofErr w:type="spellEnd"/>
      <w:r>
        <w:rPr>
          <w:rFonts w:ascii="Times New Roman" w:hAnsi="Times New Roman" w:cs="Arial"/>
          <w:iCs/>
          <w:color w:val="323233"/>
          <w:lang w:val="de-DE"/>
        </w:rPr>
        <w:t xml:space="preserve"> </w:t>
      </w:r>
      <w:proofErr w:type="spellStart"/>
      <w:r>
        <w:rPr>
          <w:rFonts w:ascii="Times New Roman" w:hAnsi="Times New Roman" w:cs="Arial"/>
          <w:iCs/>
          <w:color w:val="323233"/>
          <w:lang w:val="de-DE"/>
        </w:rPr>
        <w:t>Latvijā</w:t>
      </w:r>
      <w:proofErr w:type="spellEnd"/>
      <w:r>
        <w:rPr>
          <w:rFonts w:ascii="Times New Roman" w:hAnsi="Times New Roman" w:cs="Arial"/>
          <w:iCs/>
          <w:color w:val="323233"/>
          <w:lang w:val="de-DE"/>
        </w:rPr>
        <w:t xml:space="preserve"> </w:t>
      </w:r>
      <w:proofErr w:type="spellStart"/>
      <w:r>
        <w:rPr>
          <w:rFonts w:ascii="Times New Roman" w:hAnsi="Times New Roman" w:cs="Arial"/>
          <w:iCs/>
          <w:color w:val="323233"/>
          <w:lang w:val="de-DE"/>
        </w:rPr>
        <w:t>var</w:t>
      </w:r>
      <w:proofErr w:type="spellEnd"/>
      <w:r>
        <w:rPr>
          <w:rFonts w:ascii="Times New Roman" w:hAnsi="Times New Roman" w:cs="Arial"/>
          <w:iCs/>
          <w:color w:val="323233"/>
          <w:lang w:val="de-DE"/>
        </w:rPr>
        <w:t xml:space="preserve"> </w:t>
      </w:r>
      <w:proofErr w:type="spellStart"/>
      <w:r>
        <w:rPr>
          <w:rFonts w:ascii="Times New Roman" w:hAnsi="Times New Roman" w:cs="Arial"/>
          <w:iCs/>
          <w:color w:val="323233"/>
          <w:lang w:val="de-DE"/>
        </w:rPr>
        <w:t>pierādīt</w:t>
      </w:r>
      <w:proofErr w:type="spellEnd"/>
      <w:r>
        <w:rPr>
          <w:rFonts w:ascii="Times New Roman" w:hAnsi="Times New Roman" w:cs="Arial"/>
          <w:iCs/>
          <w:color w:val="323233"/>
          <w:lang w:val="de-DE"/>
        </w:rPr>
        <w:t xml:space="preserve"> </w:t>
      </w:r>
      <w:proofErr w:type="spellStart"/>
      <w:r>
        <w:rPr>
          <w:rFonts w:ascii="Times New Roman" w:hAnsi="Times New Roman" w:cs="Arial"/>
          <w:iCs/>
          <w:color w:val="323233"/>
          <w:lang w:val="de-DE"/>
        </w:rPr>
        <w:t>tikai</w:t>
      </w:r>
      <w:proofErr w:type="spellEnd"/>
      <w:r>
        <w:rPr>
          <w:rFonts w:ascii="Times New Roman" w:hAnsi="Times New Roman" w:cs="Arial"/>
          <w:iCs/>
          <w:color w:val="323233"/>
          <w:lang w:val="de-DE"/>
        </w:rPr>
        <w:t xml:space="preserve"> </w:t>
      </w:r>
      <w:proofErr w:type="spellStart"/>
      <w:r>
        <w:rPr>
          <w:rFonts w:ascii="Times New Roman" w:hAnsi="Times New Roman" w:cs="Arial"/>
          <w:iCs/>
          <w:color w:val="323233"/>
          <w:lang w:val="de-DE"/>
        </w:rPr>
        <w:t>ar</w:t>
      </w:r>
      <w:proofErr w:type="spellEnd"/>
      <w:r>
        <w:rPr>
          <w:rFonts w:ascii="Times New Roman" w:hAnsi="Times New Roman" w:cs="Arial"/>
          <w:iCs/>
          <w:color w:val="323233"/>
          <w:lang w:val="de-DE"/>
        </w:rPr>
        <w:t xml:space="preserve"> </w:t>
      </w:r>
      <w:proofErr w:type="spellStart"/>
      <w:r w:rsidRPr="00077F40">
        <w:rPr>
          <w:rFonts w:ascii="Times New Roman" w:hAnsi="Times New Roman" w:cs="Arial"/>
          <w:b/>
          <w:iCs/>
          <w:color w:val="323233"/>
          <w:lang w:val="de-DE"/>
        </w:rPr>
        <w:t>publiskiem</w:t>
      </w:r>
      <w:proofErr w:type="spellEnd"/>
      <w:r w:rsidRPr="00077F40">
        <w:rPr>
          <w:rFonts w:ascii="Times New Roman" w:hAnsi="Times New Roman" w:cs="Arial"/>
          <w:b/>
          <w:iCs/>
          <w:color w:val="323233"/>
          <w:lang w:val="de-DE"/>
        </w:rPr>
        <w:t xml:space="preserve"> </w:t>
      </w:r>
      <w:proofErr w:type="spellStart"/>
      <w:r w:rsidRPr="00077F40">
        <w:rPr>
          <w:rFonts w:ascii="Times New Roman" w:hAnsi="Times New Roman" w:cs="Arial"/>
          <w:b/>
          <w:iCs/>
          <w:color w:val="323233"/>
          <w:lang w:val="de-DE"/>
        </w:rPr>
        <w:t>dokumentiem</w:t>
      </w:r>
      <w:proofErr w:type="spellEnd"/>
      <w:r>
        <w:rPr>
          <w:rFonts w:ascii="Times New Roman" w:hAnsi="Times New Roman" w:cs="Arial"/>
          <w:iCs/>
          <w:color w:val="323233"/>
          <w:lang w:val="de-DE"/>
        </w:rPr>
        <w:t xml:space="preserve"> (</w:t>
      </w:r>
      <w:proofErr w:type="spellStart"/>
      <w:r>
        <w:rPr>
          <w:rFonts w:ascii="Times New Roman" w:hAnsi="Times New Roman" w:cs="Arial"/>
          <w:iCs/>
          <w:color w:val="323233"/>
          <w:lang w:val="de-DE"/>
        </w:rPr>
        <w:t>tiem</w:t>
      </w:r>
      <w:proofErr w:type="spellEnd"/>
      <w:r>
        <w:rPr>
          <w:rFonts w:ascii="Times New Roman" w:hAnsi="Times New Roman" w:cs="Arial"/>
          <w:iCs/>
          <w:color w:val="323233"/>
          <w:lang w:val="de-DE"/>
        </w:rPr>
        <w:t xml:space="preserve"> </w:t>
      </w:r>
      <w:proofErr w:type="spellStart"/>
      <w:r>
        <w:rPr>
          <w:rFonts w:ascii="Times New Roman" w:hAnsi="Times New Roman" w:cs="Arial"/>
          <w:iCs/>
          <w:color w:val="323233"/>
          <w:lang w:val="de-DE"/>
        </w:rPr>
        <w:t>jābūt</w:t>
      </w:r>
      <w:proofErr w:type="spellEnd"/>
      <w:r>
        <w:rPr>
          <w:rFonts w:ascii="Times New Roman" w:hAnsi="Times New Roman" w:cs="Arial"/>
          <w:iCs/>
          <w:color w:val="323233"/>
          <w:lang w:val="de-DE"/>
        </w:rPr>
        <w:t xml:space="preserve"> </w:t>
      </w:r>
      <w:proofErr w:type="spellStart"/>
      <w:r>
        <w:rPr>
          <w:rFonts w:ascii="Times New Roman" w:hAnsi="Times New Roman" w:cs="Arial"/>
          <w:iCs/>
          <w:color w:val="323233"/>
          <w:lang w:val="de-DE"/>
        </w:rPr>
        <w:t>publiskiem</w:t>
      </w:r>
      <w:proofErr w:type="spellEnd"/>
      <w:r>
        <w:rPr>
          <w:rFonts w:ascii="Times New Roman" w:hAnsi="Times New Roman" w:cs="Arial"/>
          <w:iCs/>
          <w:color w:val="323233"/>
          <w:lang w:val="de-DE"/>
        </w:rPr>
        <w:t xml:space="preserve"> </w:t>
      </w:r>
      <w:proofErr w:type="spellStart"/>
      <w:r>
        <w:rPr>
          <w:rFonts w:ascii="Times New Roman" w:hAnsi="Times New Roman" w:cs="Arial"/>
          <w:iCs/>
          <w:color w:val="323233"/>
          <w:lang w:val="de-DE"/>
        </w:rPr>
        <w:t>dokumentiem</w:t>
      </w:r>
      <w:proofErr w:type="spellEnd"/>
      <w:r>
        <w:rPr>
          <w:rFonts w:ascii="Times New Roman" w:hAnsi="Times New Roman" w:cs="Arial"/>
          <w:iCs/>
          <w:color w:val="323233"/>
          <w:lang w:val="de-DE"/>
        </w:rPr>
        <w:t xml:space="preserve"> Latvijas </w:t>
      </w:r>
      <w:proofErr w:type="spellStart"/>
      <w:r>
        <w:rPr>
          <w:rFonts w:ascii="Times New Roman" w:hAnsi="Times New Roman" w:cs="Arial"/>
          <w:iCs/>
          <w:color w:val="323233"/>
          <w:lang w:val="de-DE"/>
        </w:rPr>
        <w:t>likuma</w:t>
      </w:r>
      <w:proofErr w:type="spellEnd"/>
      <w:r>
        <w:rPr>
          <w:rFonts w:ascii="Times New Roman" w:hAnsi="Times New Roman" w:cs="Arial"/>
          <w:iCs/>
          <w:color w:val="323233"/>
          <w:lang w:val="de-DE"/>
        </w:rPr>
        <w:t xml:space="preserve"> </w:t>
      </w:r>
      <w:proofErr w:type="spellStart"/>
      <w:r>
        <w:rPr>
          <w:rFonts w:ascii="Times New Roman" w:hAnsi="Times New Roman" w:cs="Arial"/>
          <w:iCs/>
          <w:color w:val="323233"/>
          <w:lang w:val="de-DE"/>
        </w:rPr>
        <w:t>izpratnē</w:t>
      </w:r>
      <w:proofErr w:type="spellEnd"/>
      <w:r>
        <w:rPr>
          <w:rFonts w:ascii="Times New Roman" w:hAnsi="Times New Roman" w:cs="Arial"/>
          <w:iCs/>
          <w:color w:val="323233"/>
          <w:lang w:val="de-DE"/>
        </w:rPr>
        <w:t xml:space="preserve">). Tas </w:t>
      </w:r>
      <w:proofErr w:type="spellStart"/>
      <w:r>
        <w:rPr>
          <w:rFonts w:ascii="Times New Roman" w:hAnsi="Times New Roman" w:cs="Arial"/>
          <w:iCs/>
          <w:color w:val="323233"/>
          <w:lang w:val="de-DE"/>
        </w:rPr>
        <w:t>tādēļ</w:t>
      </w:r>
      <w:proofErr w:type="spellEnd"/>
      <w:r>
        <w:rPr>
          <w:rFonts w:ascii="Times New Roman" w:hAnsi="Times New Roman" w:cs="Arial"/>
          <w:iCs/>
          <w:color w:val="323233"/>
          <w:lang w:val="de-DE"/>
        </w:rPr>
        <w:t xml:space="preserve">, </w:t>
      </w:r>
      <w:proofErr w:type="spellStart"/>
      <w:r>
        <w:rPr>
          <w:rFonts w:ascii="Times New Roman" w:hAnsi="Times New Roman" w:cs="Arial"/>
          <w:iCs/>
          <w:color w:val="323233"/>
          <w:lang w:val="de-DE"/>
        </w:rPr>
        <w:t>ka</w:t>
      </w:r>
      <w:proofErr w:type="spellEnd"/>
      <w:r>
        <w:rPr>
          <w:rFonts w:ascii="Times New Roman" w:hAnsi="Times New Roman" w:cs="Arial"/>
          <w:iCs/>
          <w:color w:val="323233"/>
          <w:lang w:val="de-DE"/>
        </w:rPr>
        <w:t xml:space="preserve">, </w:t>
      </w:r>
      <w:proofErr w:type="spellStart"/>
      <w:r>
        <w:rPr>
          <w:rFonts w:ascii="Times New Roman" w:hAnsi="Times New Roman" w:cs="Arial"/>
          <w:iCs/>
          <w:color w:val="323233"/>
          <w:lang w:val="de-DE"/>
        </w:rPr>
        <w:t>kā</w:t>
      </w:r>
      <w:proofErr w:type="spellEnd"/>
      <w:r>
        <w:rPr>
          <w:rFonts w:ascii="Times New Roman" w:hAnsi="Times New Roman" w:cs="Arial"/>
          <w:iCs/>
          <w:color w:val="323233"/>
          <w:lang w:val="de-DE"/>
        </w:rPr>
        <w:t xml:space="preserve"> </w:t>
      </w:r>
      <w:proofErr w:type="spellStart"/>
      <w:r>
        <w:rPr>
          <w:rFonts w:ascii="Times New Roman" w:hAnsi="Times New Roman" w:cs="Arial"/>
          <w:iCs/>
          <w:color w:val="323233"/>
          <w:lang w:val="de-DE"/>
        </w:rPr>
        <w:t>jau</w:t>
      </w:r>
      <w:proofErr w:type="spellEnd"/>
      <w:r>
        <w:rPr>
          <w:rFonts w:ascii="Times New Roman" w:hAnsi="Times New Roman" w:cs="Arial"/>
          <w:iCs/>
          <w:color w:val="323233"/>
          <w:lang w:val="de-DE"/>
        </w:rPr>
        <w:t xml:space="preserve"> </w:t>
      </w:r>
      <w:proofErr w:type="spellStart"/>
      <w:r>
        <w:rPr>
          <w:rFonts w:ascii="Times New Roman" w:hAnsi="Times New Roman" w:cs="Arial"/>
          <w:iCs/>
          <w:color w:val="323233"/>
          <w:lang w:val="de-DE"/>
        </w:rPr>
        <w:t>iepriekš</w:t>
      </w:r>
      <w:proofErr w:type="spellEnd"/>
      <w:r>
        <w:rPr>
          <w:rFonts w:ascii="Times New Roman" w:hAnsi="Times New Roman" w:cs="Arial"/>
          <w:iCs/>
          <w:color w:val="323233"/>
          <w:lang w:val="de-DE"/>
        </w:rPr>
        <w:t xml:space="preserve"> </w:t>
      </w:r>
      <w:proofErr w:type="spellStart"/>
      <w:r>
        <w:rPr>
          <w:rFonts w:ascii="Times New Roman" w:hAnsi="Times New Roman" w:cs="Arial"/>
          <w:iCs/>
          <w:color w:val="323233"/>
          <w:lang w:val="de-DE"/>
        </w:rPr>
        <w:t>tika</w:t>
      </w:r>
      <w:proofErr w:type="spellEnd"/>
      <w:r>
        <w:rPr>
          <w:rFonts w:ascii="Times New Roman" w:hAnsi="Times New Roman" w:cs="Arial"/>
          <w:iCs/>
          <w:color w:val="323233"/>
          <w:lang w:val="de-DE"/>
        </w:rPr>
        <w:t xml:space="preserve"> </w:t>
      </w:r>
      <w:proofErr w:type="spellStart"/>
      <w:r>
        <w:rPr>
          <w:rFonts w:ascii="Times New Roman" w:hAnsi="Times New Roman" w:cs="Arial"/>
          <w:iCs/>
          <w:color w:val="323233"/>
          <w:lang w:val="de-DE"/>
        </w:rPr>
        <w:t>minēts</w:t>
      </w:r>
      <w:proofErr w:type="spellEnd"/>
      <w:r>
        <w:rPr>
          <w:rFonts w:ascii="Times New Roman" w:hAnsi="Times New Roman" w:cs="Arial"/>
          <w:iCs/>
          <w:color w:val="323233"/>
          <w:lang w:val="de-DE"/>
        </w:rPr>
        <w:t xml:space="preserve">, </w:t>
      </w:r>
      <w:proofErr w:type="spellStart"/>
      <w:r>
        <w:rPr>
          <w:rFonts w:ascii="Times New Roman" w:hAnsi="Times New Roman" w:cs="Arial"/>
          <w:iCs/>
          <w:color w:val="323233"/>
          <w:lang w:val="de-DE"/>
        </w:rPr>
        <w:t>šo</w:t>
      </w:r>
      <w:proofErr w:type="spellEnd"/>
      <w:r>
        <w:rPr>
          <w:rFonts w:ascii="Times New Roman" w:hAnsi="Times New Roman" w:cs="Arial"/>
          <w:iCs/>
          <w:color w:val="323233"/>
          <w:lang w:val="de-DE"/>
        </w:rPr>
        <w:t xml:space="preserve"> </w:t>
      </w:r>
      <w:proofErr w:type="spellStart"/>
      <w:r>
        <w:rPr>
          <w:rFonts w:ascii="Times New Roman" w:hAnsi="Times New Roman" w:cs="Arial"/>
          <w:iCs/>
          <w:color w:val="323233"/>
          <w:lang w:val="de-DE"/>
        </w:rPr>
        <w:t>juridisko</w:t>
      </w:r>
      <w:proofErr w:type="spellEnd"/>
      <w:r>
        <w:rPr>
          <w:rFonts w:ascii="Times New Roman" w:hAnsi="Times New Roman" w:cs="Arial"/>
          <w:iCs/>
          <w:color w:val="323233"/>
          <w:lang w:val="de-DE"/>
        </w:rPr>
        <w:t xml:space="preserve"> </w:t>
      </w:r>
      <w:proofErr w:type="spellStart"/>
      <w:r>
        <w:rPr>
          <w:rFonts w:ascii="Times New Roman" w:hAnsi="Times New Roman" w:cs="Arial"/>
          <w:iCs/>
          <w:color w:val="323233"/>
          <w:lang w:val="de-DE"/>
        </w:rPr>
        <w:t>personu</w:t>
      </w:r>
      <w:proofErr w:type="spellEnd"/>
      <w:r>
        <w:rPr>
          <w:rFonts w:ascii="Times New Roman" w:hAnsi="Times New Roman" w:cs="Arial"/>
          <w:iCs/>
          <w:color w:val="323233"/>
          <w:lang w:val="de-DE"/>
        </w:rPr>
        <w:t xml:space="preserve"> </w:t>
      </w:r>
      <w:proofErr w:type="spellStart"/>
      <w:r>
        <w:rPr>
          <w:rFonts w:ascii="Times New Roman" w:hAnsi="Times New Roman" w:cs="Arial"/>
          <w:iCs/>
          <w:color w:val="323233"/>
          <w:lang w:val="de-DE"/>
        </w:rPr>
        <w:t>pārstāvības</w:t>
      </w:r>
      <w:proofErr w:type="spellEnd"/>
      <w:r>
        <w:rPr>
          <w:rFonts w:ascii="Times New Roman" w:hAnsi="Times New Roman" w:cs="Arial"/>
          <w:iCs/>
          <w:color w:val="323233"/>
          <w:lang w:val="de-DE"/>
        </w:rPr>
        <w:t xml:space="preserve"> </w:t>
      </w:r>
      <w:proofErr w:type="spellStart"/>
      <w:r>
        <w:rPr>
          <w:rFonts w:ascii="Times New Roman" w:hAnsi="Times New Roman" w:cs="Arial"/>
          <w:iCs/>
          <w:color w:val="323233"/>
          <w:lang w:val="de-DE"/>
        </w:rPr>
        <w:t>tiesības</w:t>
      </w:r>
      <w:proofErr w:type="spellEnd"/>
      <w:r>
        <w:rPr>
          <w:rFonts w:ascii="Times New Roman" w:hAnsi="Times New Roman" w:cs="Arial"/>
          <w:iCs/>
          <w:color w:val="323233"/>
          <w:lang w:val="de-DE"/>
        </w:rPr>
        <w:t xml:space="preserve"> </w:t>
      </w:r>
      <w:proofErr w:type="spellStart"/>
      <w:r>
        <w:rPr>
          <w:rFonts w:ascii="Times New Roman" w:hAnsi="Times New Roman" w:cs="Arial"/>
          <w:iCs/>
          <w:color w:val="323233"/>
          <w:lang w:val="de-DE"/>
        </w:rPr>
        <w:t>nevar</w:t>
      </w:r>
      <w:proofErr w:type="spellEnd"/>
      <w:r>
        <w:rPr>
          <w:rFonts w:ascii="Times New Roman" w:hAnsi="Times New Roman" w:cs="Arial"/>
          <w:iCs/>
          <w:color w:val="323233"/>
          <w:lang w:val="de-DE"/>
        </w:rPr>
        <w:t xml:space="preserve"> </w:t>
      </w:r>
      <w:proofErr w:type="spellStart"/>
      <w:r>
        <w:rPr>
          <w:rFonts w:ascii="Times New Roman" w:hAnsi="Times New Roman" w:cs="Arial"/>
          <w:iCs/>
          <w:color w:val="323233"/>
          <w:lang w:val="de-DE"/>
        </w:rPr>
        <w:t>pierādīt</w:t>
      </w:r>
      <w:proofErr w:type="spellEnd"/>
      <w:r>
        <w:rPr>
          <w:rFonts w:ascii="Times New Roman" w:hAnsi="Times New Roman" w:cs="Arial"/>
          <w:iCs/>
          <w:color w:val="323233"/>
          <w:lang w:val="de-DE"/>
        </w:rPr>
        <w:t xml:space="preserve"> </w:t>
      </w:r>
      <w:proofErr w:type="spellStart"/>
      <w:r>
        <w:rPr>
          <w:rFonts w:ascii="Times New Roman" w:hAnsi="Times New Roman" w:cs="Arial"/>
          <w:iCs/>
          <w:color w:val="323233"/>
          <w:lang w:val="de-DE"/>
        </w:rPr>
        <w:t>ar</w:t>
      </w:r>
      <w:proofErr w:type="spellEnd"/>
      <w:r>
        <w:rPr>
          <w:rFonts w:ascii="Times New Roman" w:hAnsi="Times New Roman" w:cs="Arial"/>
          <w:iCs/>
          <w:color w:val="323233"/>
          <w:lang w:val="de-DE"/>
        </w:rPr>
        <w:t xml:space="preserve"> </w:t>
      </w:r>
      <w:proofErr w:type="spellStart"/>
      <w:r>
        <w:rPr>
          <w:rFonts w:ascii="Times New Roman" w:hAnsi="Times New Roman" w:cs="Arial"/>
          <w:iCs/>
          <w:color w:val="323233"/>
          <w:lang w:val="de-DE"/>
        </w:rPr>
        <w:t>ieskatīšanos</w:t>
      </w:r>
      <w:proofErr w:type="spellEnd"/>
      <w:r>
        <w:rPr>
          <w:rFonts w:ascii="Times New Roman" w:hAnsi="Times New Roman" w:cs="Arial"/>
          <w:iCs/>
          <w:color w:val="323233"/>
          <w:lang w:val="de-DE"/>
        </w:rPr>
        <w:t xml:space="preserve"> </w:t>
      </w:r>
      <w:r w:rsidRPr="00023816">
        <w:rPr>
          <w:rFonts w:ascii="Times New Roman" w:hAnsi="Times New Roman" w:cs="Arial"/>
          <w:i/>
          <w:iCs/>
          <w:color w:val="323233"/>
          <w:lang w:val="de-DE"/>
        </w:rPr>
        <w:t>Companies House</w:t>
      </w:r>
      <w:r>
        <w:rPr>
          <w:rFonts w:ascii="Times New Roman" w:hAnsi="Times New Roman" w:cs="Arial"/>
          <w:iCs/>
          <w:color w:val="323233"/>
          <w:lang w:val="de-DE"/>
        </w:rPr>
        <w:t xml:space="preserve"> </w:t>
      </w:r>
      <w:proofErr w:type="spellStart"/>
      <w:r>
        <w:rPr>
          <w:rFonts w:ascii="Times New Roman" w:hAnsi="Times New Roman" w:cs="Arial"/>
          <w:iCs/>
          <w:color w:val="323233"/>
          <w:lang w:val="de-DE"/>
        </w:rPr>
        <w:t>reģistrā</w:t>
      </w:r>
      <w:proofErr w:type="spellEnd"/>
      <w:r>
        <w:rPr>
          <w:rFonts w:ascii="Times New Roman" w:hAnsi="Times New Roman" w:cs="Arial"/>
          <w:iCs/>
          <w:color w:val="323233"/>
          <w:lang w:val="de-DE"/>
        </w:rPr>
        <w:t xml:space="preserve"> </w:t>
      </w:r>
      <w:proofErr w:type="spellStart"/>
      <w:r>
        <w:rPr>
          <w:rFonts w:ascii="Times New Roman" w:hAnsi="Times New Roman" w:cs="Arial"/>
          <w:iCs/>
          <w:color w:val="323233"/>
          <w:lang w:val="de-DE"/>
        </w:rPr>
        <w:t>vai</w:t>
      </w:r>
      <w:proofErr w:type="spellEnd"/>
      <w:r>
        <w:rPr>
          <w:rFonts w:ascii="Times New Roman" w:hAnsi="Times New Roman" w:cs="Arial"/>
          <w:iCs/>
          <w:color w:val="323233"/>
          <w:lang w:val="de-DE"/>
        </w:rPr>
        <w:t xml:space="preserve"> </w:t>
      </w:r>
      <w:proofErr w:type="spellStart"/>
      <w:r>
        <w:rPr>
          <w:rFonts w:ascii="Times New Roman" w:hAnsi="Times New Roman" w:cs="Arial"/>
          <w:iCs/>
          <w:color w:val="323233"/>
          <w:lang w:val="de-DE"/>
        </w:rPr>
        <w:t>arī</w:t>
      </w:r>
      <w:proofErr w:type="spellEnd"/>
      <w:r>
        <w:rPr>
          <w:rFonts w:ascii="Times New Roman" w:hAnsi="Times New Roman" w:cs="Arial"/>
          <w:iCs/>
          <w:color w:val="323233"/>
          <w:lang w:val="de-DE"/>
        </w:rPr>
        <w:t xml:space="preserve"> </w:t>
      </w:r>
      <w:proofErr w:type="spellStart"/>
      <w:r>
        <w:rPr>
          <w:rFonts w:ascii="Times New Roman" w:hAnsi="Times New Roman" w:cs="Arial"/>
          <w:iCs/>
          <w:color w:val="323233"/>
          <w:lang w:val="de-DE"/>
        </w:rPr>
        <w:t>ar</w:t>
      </w:r>
      <w:proofErr w:type="spellEnd"/>
      <w:r>
        <w:rPr>
          <w:rFonts w:ascii="Times New Roman" w:hAnsi="Times New Roman" w:cs="Arial"/>
          <w:iCs/>
          <w:color w:val="323233"/>
          <w:lang w:val="de-DE"/>
        </w:rPr>
        <w:t xml:space="preserve"> </w:t>
      </w:r>
      <w:proofErr w:type="spellStart"/>
      <w:r>
        <w:rPr>
          <w:rFonts w:ascii="Times New Roman" w:hAnsi="Times New Roman" w:cs="Arial"/>
          <w:iCs/>
          <w:color w:val="323233"/>
          <w:lang w:val="de-DE"/>
        </w:rPr>
        <w:t>šī</w:t>
      </w:r>
      <w:proofErr w:type="spellEnd"/>
      <w:r>
        <w:rPr>
          <w:rFonts w:ascii="Times New Roman" w:hAnsi="Times New Roman" w:cs="Arial"/>
          <w:iCs/>
          <w:color w:val="323233"/>
          <w:lang w:val="de-DE"/>
        </w:rPr>
        <w:t xml:space="preserve"> </w:t>
      </w:r>
      <w:proofErr w:type="spellStart"/>
      <w:r>
        <w:rPr>
          <w:rFonts w:ascii="Times New Roman" w:hAnsi="Times New Roman" w:cs="Arial"/>
          <w:iCs/>
          <w:color w:val="323233"/>
          <w:lang w:val="de-DE"/>
        </w:rPr>
        <w:t>reģistra</w:t>
      </w:r>
      <w:proofErr w:type="spellEnd"/>
      <w:r>
        <w:rPr>
          <w:rFonts w:ascii="Times New Roman" w:hAnsi="Times New Roman" w:cs="Arial"/>
          <w:iCs/>
          <w:color w:val="323233"/>
          <w:lang w:val="de-DE"/>
        </w:rPr>
        <w:t xml:space="preserve"> </w:t>
      </w:r>
      <w:proofErr w:type="spellStart"/>
      <w:r>
        <w:rPr>
          <w:rFonts w:ascii="Times New Roman" w:hAnsi="Times New Roman" w:cs="Arial"/>
          <w:iCs/>
          <w:color w:val="323233"/>
          <w:lang w:val="de-DE"/>
        </w:rPr>
        <w:t>izrakstu</w:t>
      </w:r>
      <w:proofErr w:type="spellEnd"/>
      <w:r>
        <w:rPr>
          <w:rFonts w:ascii="Times New Roman" w:hAnsi="Times New Roman" w:cs="Arial"/>
          <w:iCs/>
          <w:color w:val="323233"/>
          <w:lang w:val="de-DE"/>
        </w:rPr>
        <w:t xml:space="preserve">, </w:t>
      </w:r>
      <w:proofErr w:type="spellStart"/>
      <w:r>
        <w:rPr>
          <w:rFonts w:ascii="Times New Roman" w:hAnsi="Times New Roman" w:cs="Arial"/>
          <w:iCs/>
          <w:color w:val="323233"/>
          <w:lang w:val="de-DE"/>
        </w:rPr>
        <w:t>pat</w:t>
      </w:r>
      <w:proofErr w:type="spellEnd"/>
      <w:r>
        <w:rPr>
          <w:rFonts w:ascii="Times New Roman" w:hAnsi="Times New Roman" w:cs="Arial"/>
          <w:iCs/>
          <w:color w:val="323233"/>
          <w:lang w:val="de-DE"/>
        </w:rPr>
        <w:t xml:space="preserve"> ja </w:t>
      </w:r>
      <w:proofErr w:type="spellStart"/>
      <w:r>
        <w:rPr>
          <w:rFonts w:ascii="Times New Roman" w:hAnsi="Times New Roman" w:cs="Arial"/>
          <w:iCs/>
          <w:color w:val="323233"/>
          <w:lang w:val="de-DE"/>
        </w:rPr>
        <w:t>tas</w:t>
      </w:r>
      <w:proofErr w:type="spellEnd"/>
      <w:r>
        <w:rPr>
          <w:rFonts w:ascii="Times New Roman" w:hAnsi="Times New Roman" w:cs="Arial"/>
          <w:iCs/>
          <w:color w:val="323233"/>
          <w:lang w:val="de-DE"/>
        </w:rPr>
        <w:t xml:space="preserve"> </w:t>
      </w:r>
      <w:proofErr w:type="spellStart"/>
      <w:r>
        <w:rPr>
          <w:rFonts w:ascii="Times New Roman" w:hAnsi="Times New Roman" w:cs="Arial"/>
          <w:iCs/>
          <w:color w:val="323233"/>
          <w:lang w:val="de-DE"/>
        </w:rPr>
        <w:t>ir</w:t>
      </w:r>
      <w:proofErr w:type="spellEnd"/>
      <w:r>
        <w:rPr>
          <w:rFonts w:ascii="Times New Roman" w:hAnsi="Times New Roman" w:cs="Arial"/>
          <w:iCs/>
          <w:color w:val="323233"/>
          <w:lang w:val="de-DE"/>
        </w:rPr>
        <w:t xml:space="preserve"> </w:t>
      </w:r>
      <w:proofErr w:type="spellStart"/>
      <w:r w:rsidRPr="00077F40">
        <w:rPr>
          <w:rFonts w:ascii="Times New Roman" w:hAnsi="Times New Roman" w:cs="Arial"/>
          <w:i/>
          <w:iCs/>
          <w:color w:val="323233"/>
          <w:lang w:val="de-DE"/>
        </w:rPr>
        <w:t>notary</w:t>
      </w:r>
      <w:proofErr w:type="spellEnd"/>
      <w:r w:rsidRPr="00077F40">
        <w:rPr>
          <w:rFonts w:ascii="Times New Roman" w:hAnsi="Times New Roman" w:cs="Arial"/>
          <w:i/>
          <w:iCs/>
          <w:color w:val="323233"/>
          <w:lang w:val="de-DE"/>
        </w:rPr>
        <w:t xml:space="preserve"> </w:t>
      </w:r>
      <w:proofErr w:type="spellStart"/>
      <w:r w:rsidRPr="00077F40">
        <w:rPr>
          <w:rFonts w:ascii="Times New Roman" w:hAnsi="Times New Roman" w:cs="Arial"/>
          <w:i/>
          <w:iCs/>
          <w:color w:val="323233"/>
          <w:lang w:val="de-DE"/>
        </w:rPr>
        <w:t>public</w:t>
      </w:r>
      <w:proofErr w:type="spellEnd"/>
      <w:r>
        <w:rPr>
          <w:rFonts w:ascii="Times New Roman" w:hAnsi="Times New Roman" w:cs="Arial"/>
          <w:iCs/>
          <w:color w:val="323233"/>
          <w:lang w:val="de-DE"/>
        </w:rPr>
        <w:t xml:space="preserve"> </w:t>
      </w:r>
      <w:proofErr w:type="spellStart"/>
      <w:r>
        <w:rPr>
          <w:rFonts w:ascii="Times New Roman" w:hAnsi="Times New Roman" w:cs="Arial"/>
          <w:iCs/>
          <w:color w:val="323233"/>
          <w:lang w:val="de-DE"/>
        </w:rPr>
        <w:t>apliecināts</w:t>
      </w:r>
      <w:proofErr w:type="spellEnd"/>
      <w:r>
        <w:rPr>
          <w:rFonts w:ascii="Times New Roman" w:hAnsi="Times New Roman" w:cs="Arial"/>
          <w:iCs/>
          <w:color w:val="323233"/>
          <w:lang w:val="de-DE"/>
        </w:rPr>
        <w:t xml:space="preserve"> </w:t>
      </w:r>
      <w:proofErr w:type="spellStart"/>
      <w:r>
        <w:rPr>
          <w:rFonts w:ascii="Times New Roman" w:hAnsi="Times New Roman" w:cs="Arial"/>
          <w:iCs/>
          <w:color w:val="323233"/>
          <w:lang w:val="de-DE"/>
        </w:rPr>
        <w:t>izraksts</w:t>
      </w:r>
      <w:proofErr w:type="spellEnd"/>
      <w:r>
        <w:rPr>
          <w:rFonts w:ascii="Times New Roman" w:hAnsi="Times New Roman" w:cs="Arial"/>
          <w:iCs/>
          <w:color w:val="323233"/>
          <w:lang w:val="de-DE"/>
        </w:rPr>
        <w:t xml:space="preserve"> </w:t>
      </w:r>
      <w:proofErr w:type="spellStart"/>
      <w:r>
        <w:rPr>
          <w:rFonts w:ascii="Times New Roman" w:hAnsi="Times New Roman" w:cs="Arial"/>
          <w:iCs/>
          <w:color w:val="323233"/>
          <w:lang w:val="de-DE"/>
        </w:rPr>
        <w:t>vai</w:t>
      </w:r>
      <w:proofErr w:type="spellEnd"/>
      <w:r>
        <w:rPr>
          <w:rFonts w:ascii="Times New Roman" w:hAnsi="Times New Roman" w:cs="Arial"/>
          <w:iCs/>
          <w:color w:val="323233"/>
          <w:lang w:val="de-DE"/>
        </w:rPr>
        <w:t xml:space="preserve"> </w:t>
      </w:r>
      <w:proofErr w:type="spellStart"/>
      <w:r>
        <w:rPr>
          <w:rFonts w:ascii="Times New Roman" w:hAnsi="Times New Roman" w:cs="Arial"/>
          <w:iCs/>
          <w:color w:val="323233"/>
          <w:lang w:val="de-DE"/>
        </w:rPr>
        <w:t>izdots</w:t>
      </w:r>
      <w:proofErr w:type="spellEnd"/>
      <w:r>
        <w:rPr>
          <w:rFonts w:ascii="Times New Roman" w:hAnsi="Times New Roman" w:cs="Arial"/>
          <w:iCs/>
          <w:color w:val="323233"/>
          <w:lang w:val="de-DE"/>
        </w:rPr>
        <w:t xml:space="preserve"> </w:t>
      </w:r>
      <w:proofErr w:type="spellStart"/>
      <w:r>
        <w:rPr>
          <w:rFonts w:ascii="Times New Roman" w:hAnsi="Times New Roman" w:cs="Arial"/>
          <w:iCs/>
          <w:color w:val="323233"/>
          <w:lang w:val="de-DE"/>
        </w:rPr>
        <w:t>apliecinājums</w:t>
      </w:r>
      <w:proofErr w:type="spellEnd"/>
      <w:r>
        <w:rPr>
          <w:rFonts w:ascii="Times New Roman" w:hAnsi="Times New Roman" w:cs="Arial"/>
          <w:iCs/>
          <w:color w:val="323233"/>
          <w:lang w:val="de-DE"/>
        </w:rPr>
        <w:t>.</w:t>
      </w:r>
      <w:r>
        <w:rPr>
          <w:rStyle w:val="FootnoteReference"/>
          <w:rFonts w:ascii="Times New Roman" w:hAnsi="Times New Roman" w:cs="Arial"/>
          <w:iCs/>
          <w:color w:val="323233"/>
          <w:lang w:val="de-DE"/>
        </w:rPr>
        <w:footnoteReference w:id="156"/>
      </w:r>
      <w:r>
        <w:rPr>
          <w:rFonts w:ascii="Times New Roman" w:hAnsi="Times New Roman" w:cs="Arial"/>
          <w:iCs/>
          <w:color w:val="323233"/>
          <w:lang w:val="de-DE"/>
        </w:rPr>
        <w:t xml:space="preserve"> Par </w:t>
      </w:r>
      <w:proofErr w:type="spellStart"/>
      <w:r>
        <w:rPr>
          <w:rFonts w:ascii="Times New Roman" w:hAnsi="Times New Roman" w:cs="Arial"/>
          <w:iCs/>
          <w:color w:val="323233"/>
          <w:lang w:val="de-DE"/>
        </w:rPr>
        <w:t>publiskiem</w:t>
      </w:r>
      <w:proofErr w:type="spellEnd"/>
      <w:r>
        <w:rPr>
          <w:rFonts w:ascii="Times New Roman" w:hAnsi="Times New Roman" w:cs="Arial"/>
          <w:iCs/>
          <w:color w:val="323233"/>
          <w:lang w:val="de-DE"/>
        </w:rPr>
        <w:t xml:space="preserve"> </w:t>
      </w:r>
      <w:proofErr w:type="spellStart"/>
      <w:r>
        <w:rPr>
          <w:rFonts w:ascii="Times New Roman" w:hAnsi="Times New Roman" w:cs="Arial"/>
          <w:iCs/>
          <w:color w:val="323233"/>
          <w:lang w:val="de-DE"/>
        </w:rPr>
        <w:t>dokumentiem</w:t>
      </w:r>
      <w:proofErr w:type="spellEnd"/>
      <w:r>
        <w:rPr>
          <w:rFonts w:ascii="Times New Roman" w:hAnsi="Times New Roman" w:cs="Arial"/>
          <w:iCs/>
          <w:color w:val="323233"/>
          <w:lang w:val="de-DE"/>
        </w:rPr>
        <w:t xml:space="preserve"> </w:t>
      </w:r>
      <w:proofErr w:type="spellStart"/>
      <w:r>
        <w:rPr>
          <w:rFonts w:ascii="Times New Roman" w:hAnsi="Times New Roman" w:cs="Arial"/>
          <w:iCs/>
          <w:color w:val="323233"/>
          <w:lang w:val="de-DE"/>
        </w:rPr>
        <w:t>parasti</w:t>
      </w:r>
      <w:proofErr w:type="spellEnd"/>
      <w:r>
        <w:rPr>
          <w:rFonts w:ascii="Times New Roman" w:hAnsi="Times New Roman" w:cs="Arial"/>
          <w:iCs/>
          <w:color w:val="323233"/>
          <w:lang w:val="de-DE"/>
        </w:rPr>
        <w:t xml:space="preserve"> </w:t>
      </w:r>
      <w:proofErr w:type="spellStart"/>
      <w:r>
        <w:rPr>
          <w:rFonts w:ascii="Times New Roman" w:hAnsi="Times New Roman" w:cs="Arial"/>
          <w:iCs/>
          <w:color w:val="323233"/>
          <w:lang w:val="de-DE"/>
        </w:rPr>
        <w:t>tiek</w:t>
      </w:r>
      <w:proofErr w:type="spellEnd"/>
      <w:r>
        <w:rPr>
          <w:rFonts w:ascii="Times New Roman" w:hAnsi="Times New Roman" w:cs="Arial"/>
          <w:iCs/>
          <w:color w:val="323233"/>
          <w:lang w:val="de-DE"/>
        </w:rPr>
        <w:t xml:space="preserve"> </w:t>
      </w:r>
      <w:proofErr w:type="spellStart"/>
      <w:r>
        <w:rPr>
          <w:rFonts w:ascii="Times New Roman" w:hAnsi="Times New Roman" w:cs="Arial"/>
          <w:iCs/>
          <w:color w:val="323233"/>
          <w:lang w:val="de-DE"/>
        </w:rPr>
        <w:t>uzskatīti</w:t>
      </w:r>
      <w:proofErr w:type="spellEnd"/>
      <w:r>
        <w:rPr>
          <w:rFonts w:ascii="Times New Roman" w:hAnsi="Times New Roman" w:cs="Arial"/>
          <w:iCs/>
          <w:color w:val="323233"/>
          <w:lang w:val="de-DE"/>
        </w:rPr>
        <w:t xml:space="preserve"> </w:t>
      </w:r>
      <w:proofErr w:type="spellStart"/>
      <w:r>
        <w:rPr>
          <w:rFonts w:ascii="Times New Roman" w:hAnsi="Times New Roman" w:cs="Arial"/>
          <w:iCs/>
          <w:color w:val="323233"/>
          <w:lang w:val="de-DE"/>
        </w:rPr>
        <w:t>sekojoši</w:t>
      </w:r>
      <w:proofErr w:type="spellEnd"/>
      <w:r>
        <w:rPr>
          <w:rFonts w:ascii="Times New Roman" w:hAnsi="Times New Roman" w:cs="Arial"/>
          <w:iCs/>
          <w:color w:val="323233"/>
          <w:lang w:val="de-DE"/>
        </w:rPr>
        <w:t xml:space="preserve"> </w:t>
      </w:r>
      <w:proofErr w:type="spellStart"/>
      <w:r>
        <w:rPr>
          <w:rFonts w:ascii="Times New Roman" w:hAnsi="Times New Roman" w:cs="Arial"/>
          <w:iCs/>
          <w:color w:val="323233"/>
          <w:lang w:val="de-DE"/>
        </w:rPr>
        <w:t>Apvienotajā</w:t>
      </w:r>
      <w:proofErr w:type="spellEnd"/>
      <w:r>
        <w:rPr>
          <w:rFonts w:ascii="Times New Roman" w:hAnsi="Times New Roman" w:cs="Arial"/>
          <w:iCs/>
          <w:color w:val="323233"/>
          <w:lang w:val="de-DE"/>
        </w:rPr>
        <w:t xml:space="preserve"> </w:t>
      </w:r>
      <w:proofErr w:type="spellStart"/>
      <w:r>
        <w:rPr>
          <w:rFonts w:ascii="Times New Roman" w:hAnsi="Times New Roman" w:cs="Arial"/>
          <w:iCs/>
          <w:color w:val="323233"/>
          <w:lang w:val="de-DE"/>
        </w:rPr>
        <w:t>Karalistē</w:t>
      </w:r>
      <w:proofErr w:type="spellEnd"/>
      <w:r>
        <w:rPr>
          <w:rFonts w:ascii="Times New Roman" w:hAnsi="Times New Roman" w:cs="Arial"/>
          <w:iCs/>
          <w:color w:val="323233"/>
          <w:lang w:val="de-DE"/>
        </w:rPr>
        <w:t xml:space="preserve"> </w:t>
      </w:r>
      <w:proofErr w:type="spellStart"/>
      <w:r>
        <w:rPr>
          <w:rFonts w:ascii="Times New Roman" w:hAnsi="Times New Roman" w:cs="Arial"/>
          <w:iCs/>
          <w:color w:val="323233"/>
          <w:lang w:val="de-DE"/>
        </w:rPr>
        <w:t>izdoti</w:t>
      </w:r>
      <w:proofErr w:type="spellEnd"/>
      <w:r>
        <w:rPr>
          <w:rFonts w:ascii="Times New Roman" w:hAnsi="Times New Roman" w:cs="Arial"/>
          <w:iCs/>
          <w:color w:val="323233"/>
          <w:lang w:val="de-DE"/>
        </w:rPr>
        <w:t xml:space="preserve"> </w:t>
      </w:r>
      <w:proofErr w:type="spellStart"/>
      <w:r>
        <w:rPr>
          <w:rFonts w:ascii="Times New Roman" w:hAnsi="Times New Roman" w:cs="Arial"/>
          <w:iCs/>
          <w:color w:val="323233"/>
          <w:lang w:val="de-DE"/>
        </w:rPr>
        <w:t>dokumenti</w:t>
      </w:r>
      <w:proofErr w:type="spellEnd"/>
      <w:r>
        <w:rPr>
          <w:rFonts w:ascii="Times New Roman" w:hAnsi="Times New Roman" w:cs="Arial"/>
          <w:iCs/>
          <w:color w:val="323233"/>
          <w:lang w:val="de-DE"/>
        </w:rPr>
        <w:t>:</w:t>
      </w:r>
    </w:p>
    <w:p w14:paraId="24263E86" w14:textId="77777777" w:rsidR="00114953" w:rsidRDefault="00114953" w:rsidP="00114953">
      <w:pPr>
        <w:widowControl w:val="0"/>
        <w:autoSpaceDE w:val="0"/>
        <w:autoSpaceDN w:val="0"/>
        <w:adjustRightInd w:val="0"/>
        <w:jc w:val="both"/>
        <w:rPr>
          <w:rFonts w:ascii="Times New Roman" w:hAnsi="Times New Roman" w:cs="Arial"/>
          <w:iCs/>
          <w:color w:val="323233"/>
          <w:lang w:val="de-DE"/>
        </w:rPr>
      </w:pPr>
    </w:p>
    <w:p w14:paraId="6A3970B2" w14:textId="46E54E7C" w:rsidR="00114953" w:rsidRPr="000C7C76" w:rsidRDefault="00114953" w:rsidP="00114953">
      <w:pPr>
        <w:widowControl w:val="0"/>
        <w:autoSpaceDE w:val="0"/>
        <w:autoSpaceDN w:val="0"/>
        <w:adjustRightInd w:val="0"/>
        <w:jc w:val="both"/>
        <w:rPr>
          <w:rFonts w:ascii="Times New Roman" w:hAnsi="Times New Roman" w:cs="Arial"/>
          <w:iCs/>
          <w:color w:val="323233"/>
          <w:lang w:val="en-US"/>
        </w:rPr>
      </w:pPr>
      <w:r>
        <w:rPr>
          <w:rFonts w:ascii="Times New Roman" w:hAnsi="Times New Roman" w:cs="Arial"/>
          <w:iCs/>
          <w:color w:val="323233"/>
          <w:lang w:val="de-DE"/>
        </w:rPr>
        <w:t xml:space="preserve">- </w:t>
      </w:r>
      <w:proofErr w:type="spellStart"/>
      <w:r w:rsidRPr="001B5835">
        <w:rPr>
          <w:rFonts w:ascii="Times New Roman" w:hAnsi="Times New Roman" w:cs="Arial"/>
          <w:i/>
          <w:iCs/>
          <w:color w:val="323233"/>
          <w:lang w:val="de-DE"/>
        </w:rPr>
        <w:t>secretary</w:t>
      </w:r>
      <w:r w:rsidRPr="000C7C76">
        <w:rPr>
          <w:rFonts w:ascii="Times New Roman" w:hAnsi="Times New Roman" w:cs="Arial"/>
          <w:i/>
          <w:iCs/>
          <w:color w:val="323233"/>
          <w:lang w:val="de-DE"/>
        </w:rPr>
        <w:t>’s</w:t>
      </w:r>
      <w:proofErr w:type="spellEnd"/>
      <w:r w:rsidRPr="000C7C76">
        <w:rPr>
          <w:rFonts w:ascii="Times New Roman" w:hAnsi="Times New Roman" w:cs="Arial"/>
          <w:i/>
          <w:iCs/>
          <w:color w:val="323233"/>
          <w:lang w:val="de-DE"/>
        </w:rPr>
        <w:t xml:space="preserve"> </w:t>
      </w:r>
      <w:proofErr w:type="spellStart"/>
      <w:r w:rsidRPr="000C7C76">
        <w:rPr>
          <w:rFonts w:ascii="Times New Roman" w:hAnsi="Times New Roman" w:cs="Arial"/>
          <w:i/>
          <w:iCs/>
          <w:color w:val="323233"/>
          <w:lang w:val="de-DE"/>
        </w:rPr>
        <w:t>certificates</w:t>
      </w:r>
      <w:proofErr w:type="spellEnd"/>
      <w:r w:rsidRPr="000C7C76">
        <w:rPr>
          <w:rFonts w:ascii="Times New Roman" w:hAnsi="Times New Roman" w:cs="Arial"/>
          <w:iCs/>
          <w:color w:val="323233"/>
          <w:lang w:val="de-DE"/>
        </w:rPr>
        <w:t xml:space="preserve">: </w:t>
      </w:r>
      <w:proofErr w:type="spellStart"/>
      <w:r w:rsidRPr="000C7C76">
        <w:rPr>
          <w:rFonts w:ascii="Times New Roman" w:hAnsi="Times New Roman" w:cs="Arial"/>
          <w:iCs/>
          <w:color w:val="323233"/>
          <w:lang w:val="de-DE"/>
        </w:rPr>
        <w:t>tie</w:t>
      </w:r>
      <w:proofErr w:type="spellEnd"/>
      <w:r w:rsidRPr="000C7C76">
        <w:rPr>
          <w:rFonts w:ascii="Times New Roman" w:hAnsi="Times New Roman" w:cs="Arial"/>
          <w:iCs/>
          <w:color w:val="323233"/>
          <w:lang w:val="de-DE"/>
        </w:rPr>
        <w:t xml:space="preserve"> </w:t>
      </w:r>
      <w:proofErr w:type="spellStart"/>
      <w:r w:rsidRPr="000C7C76">
        <w:rPr>
          <w:rFonts w:ascii="Times New Roman" w:hAnsi="Times New Roman" w:cs="Arial"/>
          <w:iCs/>
          <w:color w:val="323233"/>
          <w:lang w:val="de-DE"/>
        </w:rPr>
        <w:t>ir</w:t>
      </w:r>
      <w:proofErr w:type="spellEnd"/>
      <w:r w:rsidRPr="000C7C76">
        <w:rPr>
          <w:rFonts w:ascii="Times New Roman" w:hAnsi="Times New Roman" w:cs="Arial"/>
          <w:iCs/>
          <w:color w:val="323233"/>
          <w:lang w:val="de-DE"/>
        </w:rPr>
        <w:t xml:space="preserve"> </w:t>
      </w:r>
      <w:proofErr w:type="spellStart"/>
      <w:r w:rsidRPr="000C7C76">
        <w:rPr>
          <w:rFonts w:ascii="Times New Roman" w:hAnsi="Times New Roman" w:cs="Arial"/>
          <w:iCs/>
          <w:color w:val="323233"/>
          <w:lang w:val="de-DE"/>
        </w:rPr>
        <w:t>dokumenti</w:t>
      </w:r>
      <w:proofErr w:type="spellEnd"/>
      <w:r w:rsidRPr="000C7C76">
        <w:rPr>
          <w:rFonts w:ascii="Times New Roman" w:hAnsi="Times New Roman" w:cs="Arial"/>
          <w:iCs/>
          <w:color w:val="323233"/>
          <w:lang w:val="de-DE"/>
        </w:rPr>
        <w:t xml:space="preserve">, </w:t>
      </w:r>
      <w:proofErr w:type="spellStart"/>
      <w:r w:rsidRPr="000C7C76">
        <w:rPr>
          <w:rFonts w:ascii="Times New Roman" w:hAnsi="Times New Roman" w:cs="Arial"/>
          <w:iCs/>
          <w:color w:val="323233"/>
          <w:lang w:val="de-DE"/>
        </w:rPr>
        <w:t>kurus</w:t>
      </w:r>
      <w:proofErr w:type="spellEnd"/>
      <w:r w:rsidRPr="000C7C76">
        <w:rPr>
          <w:rFonts w:ascii="Times New Roman" w:hAnsi="Times New Roman" w:cs="Arial"/>
          <w:iCs/>
          <w:color w:val="323233"/>
          <w:lang w:val="de-DE"/>
        </w:rPr>
        <w:t xml:space="preserve"> anglo-</w:t>
      </w:r>
      <w:proofErr w:type="spellStart"/>
      <w:r w:rsidRPr="000C7C76">
        <w:rPr>
          <w:rFonts w:ascii="Times New Roman" w:hAnsi="Times New Roman" w:cs="Arial"/>
          <w:iCs/>
          <w:color w:val="323233"/>
          <w:lang w:val="de-DE"/>
        </w:rPr>
        <w:t>amerikāņu</w:t>
      </w:r>
      <w:proofErr w:type="spellEnd"/>
      <w:r w:rsidRPr="000C7C76">
        <w:rPr>
          <w:rFonts w:ascii="Times New Roman" w:hAnsi="Times New Roman" w:cs="Arial"/>
          <w:iCs/>
          <w:color w:val="323233"/>
          <w:lang w:val="de-DE"/>
        </w:rPr>
        <w:t xml:space="preserve"> </w:t>
      </w:r>
      <w:proofErr w:type="spellStart"/>
      <w:r w:rsidRPr="000C7C76">
        <w:rPr>
          <w:rFonts w:ascii="Times New Roman" w:hAnsi="Times New Roman" w:cs="Arial"/>
          <w:iCs/>
          <w:color w:val="323233"/>
          <w:lang w:val="de-DE"/>
        </w:rPr>
        <w:t>tiesību</w:t>
      </w:r>
      <w:proofErr w:type="spellEnd"/>
      <w:r w:rsidRPr="000C7C76">
        <w:rPr>
          <w:rFonts w:ascii="Times New Roman" w:hAnsi="Times New Roman" w:cs="Arial"/>
          <w:iCs/>
          <w:color w:val="323233"/>
          <w:lang w:val="de-DE"/>
        </w:rPr>
        <w:t xml:space="preserve"> </w:t>
      </w:r>
      <w:proofErr w:type="spellStart"/>
      <w:r w:rsidRPr="000C7C76">
        <w:rPr>
          <w:rFonts w:ascii="Times New Roman" w:hAnsi="Times New Roman" w:cs="Arial"/>
          <w:iCs/>
          <w:color w:val="323233"/>
          <w:lang w:val="de-DE"/>
        </w:rPr>
        <w:t>sistēmā</w:t>
      </w:r>
      <w:proofErr w:type="spellEnd"/>
      <w:r w:rsidRPr="000C7C76">
        <w:rPr>
          <w:rFonts w:ascii="Times New Roman" w:hAnsi="Times New Roman" w:cs="Arial"/>
          <w:iCs/>
          <w:color w:val="323233"/>
          <w:lang w:val="de-DE"/>
        </w:rPr>
        <w:t xml:space="preserve"> </w:t>
      </w:r>
      <w:proofErr w:type="spellStart"/>
      <w:r w:rsidRPr="000C7C76">
        <w:rPr>
          <w:rFonts w:ascii="Times New Roman" w:hAnsi="Times New Roman" w:cs="Arial"/>
          <w:iCs/>
          <w:color w:val="323233"/>
          <w:lang w:val="de-DE"/>
        </w:rPr>
        <w:t>izdod</w:t>
      </w:r>
      <w:proofErr w:type="spellEnd"/>
      <w:r w:rsidRPr="000C7C76">
        <w:rPr>
          <w:rFonts w:ascii="Times New Roman" w:hAnsi="Times New Roman" w:cs="Arial"/>
          <w:iCs/>
          <w:color w:val="323233"/>
          <w:lang w:val="de-DE"/>
        </w:rPr>
        <w:t xml:space="preserve"> </w:t>
      </w:r>
      <w:proofErr w:type="spellStart"/>
      <w:r w:rsidRPr="000C7C76">
        <w:rPr>
          <w:rFonts w:ascii="Times New Roman" w:hAnsi="Times New Roman" w:cs="Arial"/>
          <w:i/>
          <w:iCs/>
          <w:color w:val="323233"/>
          <w:lang w:val="de-DE"/>
        </w:rPr>
        <w:t>company</w:t>
      </w:r>
      <w:proofErr w:type="spellEnd"/>
      <w:r w:rsidRPr="000C7C76">
        <w:rPr>
          <w:rFonts w:ascii="Times New Roman" w:hAnsi="Times New Roman" w:cs="Arial"/>
          <w:i/>
          <w:iCs/>
          <w:color w:val="323233"/>
          <w:lang w:val="de-DE"/>
        </w:rPr>
        <w:t xml:space="preserve"> </w:t>
      </w:r>
      <w:proofErr w:type="spellStart"/>
      <w:r w:rsidRPr="000C7C76">
        <w:rPr>
          <w:rFonts w:ascii="Times New Roman" w:hAnsi="Times New Roman" w:cs="Arial"/>
          <w:i/>
          <w:iCs/>
          <w:color w:val="323233"/>
          <w:lang w:val="de-DE"/>
        </w:rPr>
        <w:t>secretary</w:t>
      </w:r>
      <w:proofErr w:type="spellEnd"/>
      <w:r w:rsidRPr="000C7C76">
        <w:rPr>
          <w:rFonts w:ascii="Times New Roman" w:hAnsi="Times New Roman" w:cs="Arial"/>
          <w:iCs/>
          <w:color w:val="323233"/>
          <w:lang w:val="de-DE"/>
        </w:rPr>
        <w:t xml:space="preserve"> (</w:t>
      </w:r>
      <w:proofErr w:type="spellStart"/>
      <w:r w:rsidRPr="000C7C76">
        <w:rPr>
          <w:rFonts w:ascii="Times New Roman" w:hAnsi="Times New Roman" w:cs="Arial"/>
          <w:iCs/>
          <w:color w:val="323233"/>
          <w:lang w:val="de-DE"/>
        </w:rPr>
        <w:t>uzņēmuma</w:t>
      </w:r>
      <w:proofErr w:type="spellEnd"/>
      <w:r w:rsidRPr="000C7C76">
        <w:rPr>
          <w:rFonts w:ascii="Times New Roman" w:hAnsi="Times New Roman" w:cs="Arial"/>
          <w:iCs/>
          <w:color w:val="323233"/>
          <w:lang w:val="de-DE"/>
        </w:rPr>
        <w:t xml:space="preserve"> </w:t>
      </w:r>
      <w:proofErr w:type="spellStart"/>
      <w:r w:rsidRPr="000C7C76">
        <w:rPr>
          <w:rFonts w:ascii="Times New Roman" w:hAnsi="Times New Roman" w:cs="Arial"/>
          <w:iCs/>
          <w:color w:val="323233"/>
          <w:lang w:val="de-DE"/>
        </w:rPr>
        <w:t>sekretārs</w:t>
      </w:r>
      <w:proofErr w:type="spellEnd"/>
      <w:r w:rsidRPr="000C7C76">
        <w:rPr>
          <w:rFonts w:ascii="Times New Roman" w:hAnsi="Times New Roman" w:cs="Arial"/>
          <w:iCs/>
          <w:color w:val="323233"/>
          <w:lang w:val="de-DE"/>
        </w:rPr>
        <w:t xml:space="preserve"> </w:t>
      </w:r>
      <w:proofErr w:type="spellStart"/>
      <w:r w:rsidRPr="000C7C76">
        <w:rPr>
          <w:rFonts w:ascii="Times New Roman" w:hAnsi="Times New Roman" w:cs="Arial"/>
          <w:iCs/>
          <w:color w:val="323233"/>
          <w:lang w:val="de-DE"/>
        </w:rPr>
        <w:t>jeb</w:t>
      </w:r>
      <w:proofErr w:type="spellEnd"/>
      <w:r w:rsidRPr="000C7C76">
        <w:rPr>
          <w:rFonts w:ascii="Times New Roman" w:hAnsi="Times New Roman" w:cs="Arial"/>
          <w:iCs/>
          <w:color w:val="323233"/>
          <w:lang w:val="de-DE"/>
        </w:rPr>
        <w:t xml:space="preserve"> </w:t>
      </w:r>
      <w:proofErr w:type="spellStart"/>
      <w:r w:rsidRPr="000C7C76">
        <w:rPr>
          <w:rFonts w:ascii="Times New Roman" w:hAnsi="Times New Roman" w:cs="Arial"/>
          <w:iCs/>
          <w:color w:val="323233"/>
          <w:lang w:val="de-DE"/>
        </w:rPr>
        <w:t>rakstvedis</w:t>
      </w:r>
      <w:proofErr w:type="spellEnd"/>
      <w:r w:rsidRPr="000C7C76">
        <w:rPr>
          <w:rFonts w:ascii="Times New Roman" w:hAnsi="Times New Roman" w:cs="Arial"/>
          <w:iCs/>
          <w:color w:val="323233"/>
          <w:lang w:val="de-DE"/>
        </w:rPr>
        <w:t xml:space="preserve">). </w:t>
      </w:r>
      <w:proofErr w:type="spellStart"/>
      <w:r w:rsidRPr="000C7C76">
        <w:rPr>
          <w:rFonts w:ascii="Times New Roman" w:hAnsi="Times New Roman" w:cs="Arial"/>
          <w:iCs/>
          <w:color w:val="323233"/>
          <w:lang w:val="en-US"/>
        </w:rPr>
        <w:t>Apvienotajā</w:t>
      </w:r>
      <w:proofErr w:type="spellEnd"/>
      <w:r w:rsidRPr="000C7C76">
        <w:rPr>
          <w:rFonts w:ascii="Times New Roman" w:hAnsi="Times New Roman" w:cs="Arial"/>
          <w:iCs/>
          <w:color w:val="323233"/>
          <w:lang w:val="en-US"/>
        </w:rPr>
        <w:t xml:space="preserve"> </w:t>
      </w:r>
      <w:proofErr w:type="spellStart"/>
      <w:r w:rsidRPr="000C7C76">
        <w:rPr>
          <w:rFonts w:ascii="Times New Roman" w:hAnsi="Times New Roman" w:cs="Arial"/>
          <w:iCs/>
          <w:color w:val="323233"/>
          <w:lang w:val="en-US"/>
        </w:rPr>
        <w:t>Karalistē</w:t>
      </w:r>
      <w:proofErr w:type="spellEnd"/>
      <w:r w:rsidRPr="000C7C76">
        <w:rPr>
          <w:rFonts w:ascii="Times New Roman" w:hAnsi="Times New Roman" w:cs="Arial"/>
          <w:iCs/>
          <w:color w:val="323233"/>
          <w:lang w:val="en-US"/>
        </w:rPr>
        <w:t xml:space="preserve"> no 2006.gada </w:t>
      </w:r>
      <w:proofErr w:type="spellStart"/>
      <w:r w:rsidRPr="000C7C76">
        <w:rPr>
          <w:rFonts w:ascii="Times New Roman" w:hAnsi="Times New Roman" w:cs="Arial"/>
          <w:iCs/>
          <w:color w:val="323233"/>
          <w:lang w:val="en-US"/>
        </w:rPr>
        <w:t>šādi</w:t>
      </w:r>
      <w:proofErr w:type="spellEnd"/>
      <w:r w:rsidRPr="000C7C76">
        <w:rPr>
          <w:rFonts w:ascii="Times New Roman" w:hAnsi="Times New Roman" w:cs="Arial"/>
          <w:iCs/>
          <w:color w:val="323233"/>
          <w:lang w:val="en-US"/>
        </w:rPr>
        <w:t xml:space="preserve"> </w:t>
      </w:r>
      <w:r w:rsidRPr="000C7C76">
        <w:rPr>
          <w:rFonts w:ascii="Times New Roman" w:hAnsi="Times New Roman" w:cs="Arial"/>
          <w:i/>
          <w:iCs/>
          <w:color w:val="323233"/>
          <w:lang w:val="en-US"/>
        </w:rPr>
        <w:t xml:space="preserve">company secretary </w:t>
      </w:r>
      <w:proofErr w:type="spellStart"/>
      <w:r w:rsidRPr="000C7C76">
        <w:rPr>
          <w:rFonts w:ascii="Times New Roman" w:hAnsi="Times New Roman" w:cs="Arial"/>
          <w:iCs/>
          <w:color w:val="323233"/>
          <w:lang w:val="en-US"/>
        </w:rPr>
        <w:t>vairs</w:t>
      </w:r>
      <w:proofErr w:type="spellEnd"/>
      <w:r w:rsidRPr="000C7C76">
        <w:rPr>
          <w:rFonts w:ascii="Times New Roman" w:hAnsi="Times New Roman" w:cs="Arial"/>
          <w:iCs/>
          <w:color w:val="323233"/>
          <w:lang w:val="en-US"/>
        </w:rPr>
        <w:t xml:space="preserve"> nav </w:t>
      </w:r>
      <w:proofErr w:type="spellStart"/>
      <w:r w:rsidRPr="000C7C76">
        <w:rPr>
          <w:rFonts w:ascii="Times New Roman" w:hAnsi="Times New Roman" w:cs="Arial"/>
          <w:iCs/>
          <w:color w:val="323233"/>
          <w:lang w:val="en-US"/>
        </w:rPr>
        <w:t>paredzēti</w:t>
      </w:r>
      <w:proofErr w:type="spellEnd"/>
      <w:r w:rsidRPr="000C7C76">
        <w:rPr>
          <w:rFonts w:ascii="Times New Roman" w:hAnsi="Times New Roman" w:cs="Arial"/>
          <w:iCs/>
          <w:color w:val="323233"/>
          <w:lang w:val="en-US"/>
        </w:rPr>
        <w:t xml:space="preserve"> </w:t>
      </w:r>
      <w:proofErr w:type="spellStart"/>
      <w:r w:rsidRPr="000C7C76">
        <w:rPr>
          <w:rFonts w:ascii="Times New Roman" w:hAnsi="Times New Roman" w:cs="Arial"/>
          <w:iCs/>
          <w:color w:val="323233"/>
          <w:lang w:val="en-US"/>
        </w:rPr>
        <w:t>privātajās</w:t>
      </w:r>
      <w:proofErr w:type="spellEnd"/>
      <w:r w:rsidRPr="000C7C76">
        <w:rPr>
          <w:rFonts w:ascii="Times New Roman" w:hAnsi="Times New Roman" w:cs="Arial"/>
          <w:iCs/>
          <w:color w:val="323233"/>
          <w:lang w:val="en-US"/>
        </w:rPr>
        <w:t xml:space="preserve"> </w:t>
      </w:r>
      <w:proofErr w:type="spellStart"/>
      <w:r w:rsidRPr="000C7C76">
        <w:rPr>
          <w:rFonts w:ascii="Times New Roman" w:hAnsi="Times New Roman" w:cs="Arial"/>
          <w:iCs/>
          <w:color w:val="323233"/>
          <w:lang w:val="en-US"/>
        </w:rPr>
        <w:t>kompānijās</w:t>
      </w:r>
      <w:proofErr w:type="spellEnd"/>
      <w:r w:rsidRPr="000C7C76">
        <w:rPr>
          <w:rFonts w:ascii="Times New Roman" w:hAnsi="Times New Roman" w:cs="Arial"/>
          <w:iCs/>
          <w:color w:val="323233"/>
          <w:lang w:val="en-US"/>
        </w:rPr>
        <w:t xml:space="preserve"> (</w:t>
      </w:r>
      <w:r w:rsidRPr="000C7C76">
        <w:rPr>
          <w:rFonts w:ascii="Times New Roman" w:hAnsi="Times New Roman" w:cs="Arial"/>
          <w:i/>
          <w:iCs/>
          <w:color w:val="323233"/>
          <w:lang w:val="en-US"/>
        </w:rPr>
        <w:t>private limited company</w:t>
      </w:r>
      <w:r w:rsidRPr="000C7C76">
        <w:rPr>
          <w:rFonts w:ascii="Times New Roman" w:hAnsi="Times New Roman" w:cs="Arial"/>
          <w:iCs/>
          <w:color w:val="323233"/>
          <w:lang w:val="en-US"/>
        </w:rPr>
        <w:t>)</w:t>
      </w:r>
      <w:r>
        <w:rPr>
          <w:rStyle w:val="FootnoteReference"/>
          <w:rFonts w:ascii="Times New Roman" w:hAnsi="Times New Roman" w:cs="Arial"/>
          <w:iCs/>
          <w:color w:val="323233"/>
        </w:rPr>
        <w:footnoteReference w:id="157"/>
      </w:r>
      <w:r w:rsidRPr="000C7C76">
        <w:rPr>
          <w:rFonts w:ascii="Times New Roman" w:hAnsi="Times New Roman" w:cs="Arial"/>
          <w:iCs/>
          <w:color w:val="323233"/>
          <w:lang w:val="en-US"/>
        </w:rPr>
        <w:t xml:space="preserve">. </w:t>
      </w:r>
      <w:proofErr w:type="spellStart"/>
      <w:r>
        <w:rPr>
          <w:rFonts w:ascii="Times New Roman" w:hAnsi="Times New Roman" w:cs="Arial"/>
          <w:i/>
          <w:iCs/>
          <w:color w:val="323233"/>
          <w:lang w:val="de-DE"/>
        </w:rPr>
        <w:t>S</w:t>
      </w:r>
      <w:r w:rsidRPr="001B5835">
        <w:rPr>
          <w:rFonts w:ascii="Times New Roman" w:hAnsi="Times New Roman" w:cs="Arial"/>
          <w:i/>
          <w:iCs/>
          <w:color w:val="323233"/>
          <w:lang w:val="de-DE"/>
        </w:rPr>
        <w:t>ecretary</w:t>
      </w:r>
      <w:proofErr w:type="spellEnd"/>
      <w:r w:rsidRPr="000C7C76">
        <w:rPr>
          <w:rFonts w:ascii="Times New Roman" w:hAnsi="Times New Roman" w:cs="Arial"/>
          <w:i/>
          <w:iCs/>
          <w:color w:val="323233"/>
          <w:lang w:val="en-US"/>
        </w:rPr>
        <w:t>’s certificates</w:t>
      </w:r>
      <w:r w:rsidRPr="000C7C76">
        <w:rPr>
          <w:rFonts w:ascii="Times New Roman" w:hAnsi="Times New Roman" w:cs="Arial"/>
          <w:iCs/>
          <w:color w:val="323233"/>
          <w:lang w:val="en-US"/>
        </w:rPr>
        <w:t xml:space="preserve"> </w:t>
      </w:r>
      <w:proofErr w:type="spellStart"/>
      <w:r w:rsidRPr="000C7C76">
        <w:rPr>
          <w:rFonts w:ascii="Times New Roman" w:hAnsi="Times New Roman" w:cs="Arial"/>
          <w:iCs/>
          <w:color w:val="323233"/>
          <w:lang w:val="en-US"/>
        </w:rPr>
        <w:t>dokumentā</w:t>
      </w:r>
      <w:proofErr w:type="spellEnd"/>
      <w:r w:rsidRPr="000C7C76">
        <w:rPr>
          <w:rFonts w:ascii="Times New Roman" w:hAnsi="Times New Roman" w:cs="Arial"/>
          <w:iCs/>
          <w:color w:val="323233"/>
          <w:lang w:val="en-US"/>
        </w:rPr>
        <w:t xml:space="preserve"> </w:t>
      </w:r>
      <w:proofErr w:type="spellStart"/>
      <w:r w:rsidRPr="000C7C76">
        <w:rPr>
          <w:rFonts w:ascii="Times New Roman" w:hAnsi="Times New Roman" w:cs="Arial"/>
          <w:iCs/>
          <w:color w:val="323233"/>
          <w:lang w:val="en-US"/>
        </w:rPr>
        <w:t>tiek</w:t>
      </w:r>
      <w:proofErr w:type="spellEnd"/>
      <w:r w:rsidRPr="000C7C76">
        <w:rPr>
          <w:rFonts w:ascii="Times New Roman" w:hAnsi="Times New Roman" w:cs="Arial"/>
          <w:iCs/>
          <w:color w:val="323233"/>
          <w:lang w:val="en-US"/>
        </w:rPr>
        <w:t xml:space="preserve"> </w:t>
      </w:r>
      <w:proofErr w:type="spellStart"/>
      <w:r w:rsidRPr="000C7C76">
        <w:rPr>
          <w:rFonts w:ascii="Times New Roman" w:hAnsi="Times New Roman" w:cs="Arial"/>
          <w:iCs/>
          <w:color w:val="323233"/>
          <w:lang w:val="en-US"/>
        </w:rPr>
        <w:t>apliecināts</w:t>
      </w:r>
      <w:proofErr w:type="spellEnd"/>
      <w:r w:rsidRPr="000C7C76">
        <w:rPr>
          <w:rFonts w:ascii="Times New Roman" w:hAnsi="Times New Roman" w:cs="Arial"/>
          <w:iCs/>
          <w:color w:val="323233"/>
          <w:lang w:val="en-US"/>
        </w:rPr>
        <w:t xml:space="preserve"> </w:t>
      </w:r>
      <w:proofErr w:type="spellStart"/>
      <w:r w:rsidRPr="000C7C76">
        <w:rPr>
          <w:rFonts w:ascii="Times New Roman" w:hAnsi="Times New Roman" w:cs="Arial"/>
          <w:iCs/>
          <w:color w:val="323233"/>
          <w:lang w:val="en-US"/>
        </w:rPr>
        <w:t>sekojošais</w:t>
      </w:r>
      <w:proofErr w:type="spellEnd"/>
      <w:r w:rsidRPr="000C7C76">
        <w:rPr>
          <w:rFonts w:ascii="Times New Roman" w:hAnsi="Times New Roman" w:cs="Arial"/>
          <w:iCs/>
          <w:color w:val="323233"/>
          <w:lang w:val="en-US"/>
        </w:rPr>
        <w:t xml:space="preserve">: 1) ka </w:t>
      </w:r>
      <w:proofErr w:type="spellStart"/>
      <w:r w:rsidRPr="000C7C76">
        <w:rPr>
          <w:rFonts w:ascii="Times New Roman" w:hAnsi="Times New Roman" w:cs="Arial"/>
          <w:iCs/>
          <w:color w:val="323233"/>
          <w:lang w:val="en-US"/>
        </w:rPr>
        <w:t>attiecīgā</w:t>
      </w:r>
      <w:proofErr w:type="spellEnd"/>
      <w:r w:rsidRPr="000C7C76">
        <w:rPr>
          <w:rFonts w:ascii="Times New Roman" w:hAnsi="Times New Roman" w:cs="Arial"/>
          <w:iCs/>
          <w:color w:val="323233"/>
          <w:lang w:val="en-US"/>
        </w:rPr>
        <w:t xml:space="preserve"> persona </w:t>
      </w:r>
      <w:proofErr w:type="spellStart"/>
      <w:r w:rsidRPr="000C7C76">
        <w:rPr>
          <w:rFonts w:ascii="Times New Roman" w:hAnsi="Times New Roman" w:cs="Arial"/>
          <w:iCs/>
          <w:color w:val="323233"/>
          <w:lang w:val="en-US"/>
        </w:rPr>
        <w:t>ir</w:t>
      </w:r>
      <w:proofErr w:type="spellEnd"/>
      <w:r w:rsidRPr="000C7C76">
        <w:rPr>
          <w:rFonts w:ascii="Times New Roman" w:hAnsi="Times New Roman" w:cs="Arial"/>
          <w:iCs/>
          <w:color w:val="323233"/>
          <w:lang w:val="en-US"/>
        </w:rPr>
        <w:t xml:space="preserve"> </w:t>
      </w:r>
      <w:proofErr w:type="spellStart"/>
      <w:r w:rsidRPr="000C7C76">
        <w:rPr>
          <w:rFonts w:ascii="Times New Roman" w:hAnsi="Times New Roman" w:cs="Arial"/>
          <w:iCs/>
          <w:color w:val="323233"/>
          <w:lang w:val="en-US"/>
        </w:rPr>
        <w:t>konkrētā</w:t>
      </w:r>
      <w:proofErr w:type="spellEnd"/>
      <w:r w:rsidRPr="000C7C76">
        <w:rPr>
          <w:rFonts w:ascii="Times New Roman" w:hAnsi="Times New Roman" w:cs="Arial"/>
          <w:iCs/>
          <w:color w:val="323233"/>
          <w:lang w:val="en-US"/>
        </w:rPr>
        <w:t xml:space="preserve"> </w:t>
      </w:r>
      <w:proofErr w:type="spellStart"/>
      <w:r w:rsidRPr="000C7C76">
        <w:rPr>
          <w:rFonts w:ascii="Times New Roman" w:hAnsi="Times New Roman" w:cs="Arial"/>
          <w:iCs/>
          <w:color w:val="323233"/>
          <w:lang w:val="en-US"/>
        </w:rPr>
        <w:t>uzņēmuma</w:t>
      </w:r>
      <w:proofErr w:type="spellEnd"/>
      <w:r w:rsidRPr="000C7C76">
        <w:rPr>
          <w:rFonts w:ascii="Times New Roman" w:hAnsi="Times New Roman" w:cs="Arial"/>
          <w:iCs/>
          <w:color w:val="323233"/>
          <w:lang w:val="en-US"/>
        </w:rPr>
        <w:t xml:space="preserve"> </w:t>
      </w:r>
      <w:r w:rsidRPr="000C7C76">
        <w:rPr>
          <w:rFonts w:ascii="Times New Roman" w:hAnsi="Times New Roman" w:cs="Arial"/>
          <w:i/>
          <w:iCs/>
          <w:color w:val="323233"/>
          <w:lang w:val="en-US"/>
        </w:rPr>
        <w:t>company secretary</w:t>
      </w:r>
      <w:r w:rsidRPr="000C7C76">
        <w:rPr>
          <w:rFonts w:ascii="Times New Roman" w:hAnsi="Times New Roman" w:cs="Arial"/>
          <w:iCs/>
          <w:color w:val="323233"/>
          <w:lang w:val="en-US"/>
        </w:rPr>
        <w:t xml:space="preserve">; 2) ka </w:t>
      </w:r>
      <w:proofErr w:type="spellStart"/>
      <w:r w:rsidRPr="000C7C76">
        <w:rPr>
          <w:rFonts w:ascii="Times New Roman" w:hAnsi="Times New Roman" w:cs="Arial"/>
          <w:iCs/>
          <w:color w:val="323233"/>
          <w:lang w:val="en-US"/>
        </w:rPr>
        <w:t>uzņēmums</w:t>
      </w:r>
      <w:proofErr w:type="spellEnd"/>
      <w:r w:rsidRPr="000C7C76">
        <w:rPr>
          <w:rFonts w:ascii="Times New Roman" w:hAnsi="Times New Roman" w:cs="Arial"/>
          <w:iCs/>
          <w:color w:val="323233"/>
          <w:lang w:val="en-US"/>
        </w:rPr>
        <w:t xml:space="preserve"> </w:t>
      </w:r>
      <w:proofErr w:type="spellStart"/>
      <w:r w:rsidRPr="000C7C76">
        <w:rPr>
          <w:rFonts w:ascii="Times New Roman" w:hAnsi="Times New Roman" w:cs="Arial"/>
          <w:iCs/>
          <w:color w:val="323233"/>
          <w:lang w:val="en-US"/>
        </w:rPr>
        <w:t>ir</w:t>
      </w:r>
      <w:proofErr w:type="spellEnd"/>
      <w:r w:rsidRPr="000C7C76">
        <w:rPr>
          <w:rFonts w:ascii="Times New Roman" w:hAnsi="Times New Roman" w:cs="Arial"/>
          <w:iCs/>
          <w:color w:val="323233"/>
          <w:lang w:val="en-US"/>
        </w:rPr>
        <w:t xml:space="preserve"> </w:t>
      </w:r>
      <w:proofErr w:type="spellStart"/>
      <w:r w:rsidRPr="000C7C76">
        <w:rPr>
          <w:rFonts w:ascii="Times New Roman" w:hAnsi="Times New Roman" w:cs="Arial"/>
          <w:iCs/>
          <w:color w:val="323233"/>
          <w:lang w:val="en-US"/>
        </w:rPr>
        <w:t>izveidots</w:t>
      </w:r>
      <w:proofErr w:type="spellEnd"/>
      <w:r w:rsidRPr="000C7C76">
        <w:rPr>
          <w:rFonts w:ascii="Times New Roman" w:hAnsi="Times New Roman" w:cs="Arial"/>
          <w:iCs/>
          <w:color w:val="323233"/>
          <w:lang w:val="en-US"/>
        </w:rPr>
        <w:t xml:space="preserve"> </w:t>
      </w:r>
      <w:proofErr w:type="spellStart"/>
      <w:r w:rsidRPr="000C7C76">
        <w:rPr>
          <w:rFonts w:ascii="Times New Roman" w:hAnsi="Times New Roman" w:cs="Arial"/>
          <w:iCs/>
          <w:color w:val="323233"/>
          <w:lang w:val="en-US"/>
        </w:rPr>
        <w:t>atbils</w:t>
      </w:r>
      <w:r w:rsidR="00CA6703">
        <w:rPr>
          <w:rFonts w:ascii="Times New Roman" w:hAnsi="Times New Roman" w:cs="Arial"/>
          <w:iCs/>
          <w:color w:val="323233"/>
          <w:lang w:val="en-US"/>
        </w:rPr>
        <w:t>toši</w:t>
      </w:r>
      <w:proofErr w:type="spellEnd"/>
      <w:r w:rsidR="00CA6703">
        <w:rPr>
          <w:rFonts w:ascii="Times New Roman" w:hAnsi="Times New Roman" w:cs="Arial"/>
          <w:iCs/>
          <w:color w:val="323233"/>
          <w:lang w:val="en-US"/>
        </w:rPr>
        <w:t xml:space="preserve"> </w:t>
      </w:r>
      <w:proofErr w:type="spellStart"/>
      <w:r w:rsidR="00CA6703">
        <w:rPr>
          <w:rFonts w:ascii="Times New Roman" w:hAnsi="Times New Roman" w:cs="Arial"/>
          <w:iCs/>
          <w:color w:val="323233"/>
          <w:lang w:val="en-US"/>
        </w:rPr>
        <w:t>likumam</w:t>
      </w:r>
      <w:proofErr w:type="spellEnd"/>
      <w:r w:rsidR="00CA6703">
        <w:rPr>
          <w:rFonts w:ascii="Times New Roman" w:hAnsi="Times New Roman" w:cs="Arial"/>
          <w:iCs/>
          <w:color w:val="323233"/>
          <w:lang w:val="en-US"/>
        </w:rPr>
        <w:t xml:space="preserve"> un </w:t>
      </w:r>
      <w:proofErr w:type="spellStart"/>
      <w:r w:rsidR="00CA6703">
        <w:rPr>
          <w:rFonts w:ascii="Times New Roman" w:hAnsi="Times New Roman" w:cs="Arial"/>
          <w:iCs/>
          <w:color w:val="323233"/>
          <w:lang w:val="en-US"/>
        </w:rPr>
        <w:t>joprojām</w:t>
      </w:r>
      <w:proofErr w:type="spellEnd"/>
      <w:r w:rsidR="00CA6703">
        <w:rPr>
          <w:rFonts w:ascii="Times New Roman" w:hAnsi="Times New Roman" w:cs="Arial"/>
          <w:iCs/>
          <w:color w:val="323233"/>
          <w:lang w:val="en-US"/>
        </w:rPr>
        <w:t xml:space="preserve"> </w:t>
      </w:r>
      <w:proofErr w:type="spellStart"/>
      <w:r w:rsidR="00CA6703">
        <w:rPr>
          <w:rFonts w:ascii="Times New Roman" w:hAnsi="Times New Roman" w:cs="Arial"/>
          <w:iCs/>
          <w:color w:val="323233"/>
          <w:lang w:val="en-US"/>
        </w:rPr>
        <w:t>pastāv</w:t>
      </w:r>
      <w:proofErr w:type="spellEnd"/>
      <w:r w:rsidRPr="000C7C76">
        <w:rPr>
          <w:rFonts w:ascii="Times New Roman" w:hAnsi="Times New Roman" w:cs="Arial"/>
          <w:iCs/>
          <w:color w:val="323233"/>
          <w:lang w:val="en-US"/>
        </w:rPr>
        <w:t xml:space="preserve">; 3) </w:t>
      </w:r>
      <w:proofErr w:type="spellStart"/>
      <w:r w:rsidRPr="000C7C76">
        <w:rPr>
          <w:rFonts w:ascii="Times New Roman" w:hAnsi="Times New Roman" w:cs="Arial"/>
          <w:iCs/>
          <w:color w:val="323233"/>
          <w:lang w:val="en-US"/>
        </w:rPr>
        <w:t>konkrētas</w:t>
      </w:r>
      <w:proofErr w:type="spellEnd"/>
      <w:r w:rsidRPr="000C7C76">
        <w:rPr>
          <w:rFonts w:ascii="Times New Roman" w:hAnsi="Times New Roman" w:cs="Arial"/>
          <w:iCs/>
          <w:color w:val="323233"/>
          <w:lang w:val="en-US"/>
        </w:rPr>
        <w:t xml:space="preserve"> personas un to </w:t>
      </w:r>
      <w:proofErr w:type="spellStart"/>
      <w:r w:rsidRPr="000C7C76">
        <w:rPr>
          <w:rFonts w:ascii="Times New Roman" w:hAnsi="Times New Roman" w:cs="Arial"/>
          <w:iCs/>
          <w:color w:val="323233"/>
          <w:lang w:val="en-US"/>
        </w:rPr>
        <w:t>vārdi</w:t>
      </w:r>
      <w:proofErr w:type="spellEnd"/>
      <w:r w:rsidRPr="000C7C76">
        <w:rPr>
          <w:rFonts w:ascii="Times New Roman" w:hAnsi="Times New Roman" w:cs="Arial"/>
          <w:iCs/>
          <w:color w:val="323233"/>
          <w:lang w:val="en-US"/>
        </w:rPr>
        <w:t xml:space="preserve">, </w:t>
      </w:r>
      <w:proofErr w:type="spellStart"/>
      <w:r w:rsidRPr="000C7C76">
        <w:rPr>
          <w:rFonts w:ascii="Times New Roman" w:hAnsi="Times New Roman" w:cs="Arial"/>
          <w:iCs/>
          <w:color w:val="323233"/>
          <w:lang w:val="en-US"/>
        </w:rPr>
        <w:t>kuras</w:t>
      </w:r>
      <w:proofErr w:type="spellEnd"/>
      <w:r w:rsidRPr="000C7C76">
        <w:rPr>
          <w:rFonts w:ascii="Times New Roman" w:hAnsi="Times New Roman" w:cs="Arial"/>
          <w:iCs/>
          <w:color w:val="323233"/>
          <w:lang w:val="en-US"/>
        </w:rPr>
        <w:t xml:space="preserve"> var </w:t>
      </w:r>
      <w:proofErr w:type="spellStart"/>
      <w:r w:rsidRPr="000C7C76">
        <w:rPr>
          <w:rFonts w:ascii="Times New Roman" w:hAnsi="Times New Roman" w:cs="Arial"/>
          <w:iCs/>
          <w:color w:val="323233"/>
          <w:lang w:val="en-US"/>
        </w:rPr>
        <w:t>noteiktā</w:t>
      </w:r>
      <w:proofErr w:type="spellEnd"/>
      <w:r w:rsidRPr="000C7C76">
        <w:rPr>
          <w:rFonts w:ascii="Times New Roman" w:hAnsi="Times New Roman" w:cs="Arial"/>
          <w:iCs/>
          <w:color w:val="323233"/>
          <w:lang w:val="en-US"/>
        </w:rPr>
        <w:t xml:space="preserve"> </w:t>
      </w:r>
      <w:proofErr w:type="spellStart"/>
      <w:r w:rsidRPr="000C7C76">
        <w:rPr>
          <w:rFonts w:ascii="Times New Roman" w:hAnsi="Times New Roman" w:cs="Arial"/>
          <w:iCs/>
          <w:color w:val="323233"/>
          <w:lang w:val="en-US"/>
        </w:rPr>
        <w:t>formā</w:t>
      </w:r>
      <w:proofErr w:type="spellEnd"/>
      <w:r w:rsidRPr="000C7C76">
        <w:rPr>
          <w:rFonts w:ascii="Times New Roman" w:hAnsi="Times New Roman" w:cs="Arial"/>
          <w:iCs/>
          <w:color w:val="323233"/>
          <w:lang w:val="en-US"/>
        </w:rPr>
        <w:t xml:space="preserve"> </w:t>
      </w:r>
      <w:proofErr w:type="spellStart"/>
      <w:r w:rsidRPr="000C7C76">
        <w:rPr>
          <w:rFonts w:ascii="Times New Roman" w:hAnsi="Times New Roman" w:cs="Arial"/>
          <w:iCs/>
          <w:color w:val="323233"/>
          <w:lang w:val="en-US"/>
        </w:rPr>
        <w:t>pārstāvēt</w:t>
      </w:r>
      <w:proofErr w:type="spellEnd"/>
      <w:r w:rsidRPr="000C7C76">
        <w:rPr>
          <w:rFonts w:ascii="Times New Roman" w:hAnsi="Times New Roman" w:cs="Arial"/>
          <w:iCs/>
          <w:color w:val="323233"/>
          <w:lang w:val="en-US"/>
        </w:rPr>
        <w:t xml:space="preserve"> </w:t>
      </w:r>
      <w:proofErr w:type="spellStart"/>
      <w:r w:rsidRPr="000C7C76">
        <w:rPr>
          <w:rFonts w:ascii="Times New Roman" w:hAnsi="Times New Roman" w:cs="Arial"/>
          <w:iCs/>
          <w:color w:val="323233"/>
          <w:lang w:val="en-US"/>
        </w:rPr>
        <w:t>uzņēmumu</w:t>
      </w:r>
      <w:proofErr w:type="spellEnd"/>
      <w:r w:rsidRPr="000C7C76">
        <w:rPr>
          <w:rFonts w:ascii="Times New Roman" w:hAnsi="Times New Roman" w:cs="Arial"/>
          <w:iCs/>
          <w:color w:val="323233"/>
          <w:lang w:val="en-US"/>
        </w:rPr>
        <w:t xml:space="preserve"> (</w:t>
      </w:r>
      <w:proofErr w:type="spellStart"/>
      <w:r w:rsidRPr="000C7C76">
        <w:rPr>
          <w:rFonts w:ascii="Times New Roman" w:hAnsi="Times New Roman" w:cs="Arial"/>
          <w:iCs/>
          <w:color w:val="323233"/>
          <w:lang w:val="en-US"/>
        </w:rPr>
        <w:t>juridisko</w:t>
      </w:r>
      <w:proofErr w:type="spellEnd"/>
      <w:r w:rsidRPr="000C7C76">
        <w:rPr>
          <w:rFonts w:ascii="Times New Roman" w:hAnsi="Times New Roman" w:cs="Arial"/>
          <w:iCs/>
          <w:color w:val="323233"/>
          <w:lang w:val="en-US"/>
        </w:rPr>
        <w:t xml:space="preserve"> </w:t>
      </w:r>
      <w:proofErr w:type="spellStart"/>
      <w:r w:rsidRPr="000C7C76">
        <w:rPr>
          <w:rFonts w:ascii="Times New Roman" w:hAnsi="Times New Roman" w:cs="Arial"/>
          <w:iCs/>
          <w:color w:val="323233"/>
          <w:lang w:val="en-US"/>
        </w:rPr>
        <w:t>personu</w:t>
      </w:r>
      <w:proofErr w:type="spellEnd"/>
      <w:r w:rsidRPr="000C7C76">
        <w:rPr>
          <w:rFonts w:ascii="Times New Roman" w:hAnsi="Times New Roman" w:cs="Arial"/>
          <w:iCs/>
          <w:color w:val="323233"/>
          <w:lang w:val="en-US"/>
        </w:rPr>
        <w:t>)</w:t>
      </w:r>
      <w:r>
        <w:rPr>
          <w:rStyle w:val="FootnoteReference"/>
          <w:rFonts w:ascii="Times New Roman" w:hAnsi="Times New Roman" w:cs="Arial"/>
          <w:iCs/>
          <w:color w:val="323233"/>
        </w:rPr>
        <w:footnoteReference w:id="158"/>
      </w:r>
      <w:r w:rsidRPr="000C7C76">
        <w:rPr>
          <w:rFonts w:ascii="Times New Roman" w:hAnsi="Times New Roman" w:cs="Arial"/>
          <w:iCs/>
          <w:color w:val="323233"/>
          <w:lang w:val="en-US"/>
        </w:rPr>
        <w:t>;</w:t>
      </w:r>
    </w:p>
    <w:p w14:paraId="38A54A96" w14:textId="77777777" w:rsidR="00114953" w:rsidRDefault="00114953" w:rsidP="00114953">
      <w:pPr>
        <w:widowControl w:val="0"/>
        <w:autoSpaceDE w:val="0"/>
        <w:autoSpaceDN w:val="0"/>
        <w:adjustRightInd w:val="0"/>
        <w:jc w:val="both"/>
        <w:rPr>
          <w:rFonts w:ascii="Times New Roman" w:hAnsi="Times New Roman" w:cs="Arial"/>
          <w:iCs/>
          <w:color w:val="323233"/>
          <w:lang w:val="lv-LV"/>
        </w:rPr>
      </w:pPr>
    </w:p>
    <w:p w14:paraId="382B21E0" w14:textId="239E9DAF" w:rsidR="00114953" w:rsidRDefault="00114953" w:rsidP="00114953">
      <w:pPr>
        <w:widowControl w:val="0"/>
        <w:autoSpaceDE w:val="0"/>
        <w:autoSpaceDN w:val="0"/>
        <w:adjustRightInd w:val="0"/>
        <w:jc w:val="both"/>
        <w:rPr>
          <w:rFonts w:ascii="Times New Roman" w:hAnsi="Times New Roman" w:cs="Arial"/>
          <w:iCs/>
          <w:color w:val="323233"/>
          <w:lang w:val="de-DE"/>
        </w:rPr>
      </w:pPr>
      <w:r>
        <w:rPr>
          <w:rFonts w:ascii="Times New Roman" w:hAnsi="Times New Roman" w:cs="Arial"/>
          <w:iCs/>
          <w:color w:val="323233"/>
          <w:lang w:val="lv-LV"/>
        </w:rPr>
        <w:t xml:space="preserve">- </w:t>
      </w:r>
      <w:proofErr w:type="spellStart"/>
      <w:r w:rsidRPr="007648A0">
        <w:rPr>
          <w:rFonts w:ascii="Times New Roman" w:hAnsi="Times New Roman" w:cs="Arial"/>
          <w:i/>
          <w:iCs/>
          <w:color w:val="323233"/>
          <w:lang w:val="lv-LV"/>
        </w:rPr>
        <w:t>Registrar</w:t>
      </w:r>
      <w:proofErr w:type="spellEnd"/>
      <w:r w:rsidRPr="007648A0">
        <w:rPr>
          <w:rFonts w:ascii="Times New Roman" w:hAnsi="Times New Roman" w:cs="Arial"/>
          <w:i/>
          <w:iCs/>
          <w:color w:val="323233"/>
          <w:lang w:val="lv-LV"/>
        </w:rPr>
        <w:t xml:space="preserve"> </w:t>
      </w:r>
      <w:proofErr w:type="spellStart"/>
      <w:r w:rsidRPr="007648A0">
        <w:rPr>
          <w:rFonts w:ascii="Times New Roman" w:hAnsi="Times New Roman" w:cs="Arial"/>
          <w:i/>
          <w:iCs/>
          <w:color w:val="323233"/>
          <w:lang w:val="lv-LV"/>
        </w:rPr>
        <w:t>of</w:t>
      </w:r>
      <w:proofErr w:type="spellEnd"/>
      <w:r w:rsidRPr="007648A0">
        <w:rPr>
          <w:rFonts w:ascii="Times New Roman" w:hAnsi="Times New Roman" w:cs="Arial"/>
          <w:i/>
          <w:iCs/>
          <w:color w:val="323233"/>
          <w:lang w:val="lv-LV"/>
        </w:rPr>
        <w:t xml:space="preserve"> </w:t>
      </w:r>
      <w:proofErr w:type="spellStart"/>
      <w:r w:rsidRPr="007648A0">
        <w:rPr>
          <w:rFonts w:ascii="Times New Roman" w:hAnsi="Times New Roman" w:cs="Arial"/>
          <w:i/>
          <w:iCs/>
          <w:color w:val="323233"/>
          <w:lang w:val="lv-LV"/>
        </w:rPr>
        <w:t>Companies</w:t>
      </w:r>
      <w:proofErr w:type="spellEnd"/>
      <w:r>
        <w:rPr>
          <w:rFonts w:ascii="Times New Roman" w:hAnsi="Times New Roman" w:cs="Arial"/>
          <w:iCs/>
          <w:color w:val="323233"/>
          <w:lang w:val="lv-LV"/>
        </w:rPr>
        <w:t xml:space="preserve"> apliecinājums: tās juridiskās personas, kuras ir reģistrētas Apvienotās Karalistes </w:t>
      </w:r>
      <w:r w:rsidRPr="00023816">
        <w:rPr>
          <w:rFonts w:ascii="Times New Roman" w:hAnsi="Times New Roman" w:cs="Arial"/>
          <w:i/>
          <w:iCs/>
          <w:color w:val="323233"/>
          <w:lang w:val="de-DE"/>
        </w:rPr>
        <w:t>Companies House</w:t>
      </w:r>
      <w:r>
        <w:rPr>
          <w:rFonts w:ascii="Times New Roman" w:hAnsi="Times New Roman" w:cs="Arial"/>
          <w:i/>
          <w:iCs/>
          <w:color w:val="323233"/>
          <w:lang w:val="de-DE"/>
        </w:rPr>
        <w:t xml:space="preserve"> </w:t>
      </w:r>
      <w:proofErr w:type="spellStart"/>
      <w:r>
        <w:rPr>
          <w:rFonts w:ascii="Times New Roman" w:hAnsi="Times New Roman" w:cs="Arial"/>
          <w:iCs/>
          <w:color w:val="323233"/>
          <w:lang w:val="de-DE"/>
        </w:rPr>
        <w:t>reģistrā</w:t>
      </w:r>
      <w:proofErr w:type="spellEnd"/>
      <w:r>
        <w:rPr>
          <w:rFonts w:ascii="Times New Roman" w:hAnsi="Times New Roman" w:cs="Arial"/>
          <w:iCs/>
          <w:color w:val="323233"/>
          <w:lang w:val="de-DE"/>
        </w:rPr>
        <w:t xml:space="preserve">, </w:t>
      </w:r>
      <w:proofErr w:type="spellStart"/>
      <w:r>
        <w:rPr>
          <w:rFonts w:ascii="Times New Roman" w:hAnsi="Times New Roman" w:cs="Arial"/>
          <w:iCs/>
          <w:color w:val="323233"/>
          <w:lang w:val="de-DE"/>
        </w:rPr>
        <w:t>kā</w:t>
      </w:r>
      <w:proofErr w:type="spellEnd"/>
      <w:r>
        <w:rPr>
          <w:rFonts w:ascii="Times New Roman" w:hAnsi="Times New Roman" w:cs="Arial"/>
          <w:iCs/>
          <w:color w:val="323233"/>
          <w:lang w:val="de-DE"/>
        </w:rPr>
        <w:t xml:space="preserve"> </w:t>
      </w:r>
      <w:proofErr w:type="spellStart"/>
      <w:r>
        <w:rPr>
          <w:rFonts w:ascii="Times New Roman" w:hAnsi="Times New Roman" w:cs="Arial"/>
          <w:iCs/>
          <w:color w:val="323233"/>
          <w:lang w:val="de-DE"/>
        </w:rPr>
        <w:t>pārstāvības</w:t>
      </w:r>
      <w:proofErr w:type="spellEnd"/>
      <w:r>
        <w:rPr>
          <w:rFonts w:ascii="Times New Roman" w:hAnsi="Times New Roman" w:cs="Arial"/>
          <w:iCs/>
          <w:color w:val="323233"/>
          <w:lang w:val="de-DE"/>
        </w:rPr>
        <w:t xml:space="preserve"> </w:t>
      </w:r>
      <w:proofErr w:type="spellStart"/>
      <w:r>
        <w:rPr>
          <w:rFonts w:ascii="Times New Roman" w:hAnsi="Times New Roman" w:cs="Arial"/>
          <w:iCs/>
          <w:color w:val="323233"/>
          <w:lang w:val="de-DE"/>
        </w:rPr>
        <w:t>tiesību</w:t>
      </w:r>
      <w:proofErr w:type="spellEnd"/>
      <w:r>
        <w:rPr>
          <w:rFonts w:ascii="Times New Roman" w:hAnsi="Times New Roman" w:cs="Arial"/>
          <w:iCs/>
          <w:color w:val="323233"/>
          <w:lang w:val="de-DE"/>
        </w:rPr>
        <w:t xml:space="preserve"> </w:t>
      </w:r>
      <w:proofErr w:type="spellStart"/>
      <w:r>
        <w:rPr>
          <w:rFonts w:ascii="Times New Roman" w:hAnsi="Times New Roman" w:cs="Arial"/>
          <w:iCs/>
          <w:color w:val="323233"/>
          <w:lang w:val="de-DE"/>
        </w:rPr>
        <w:t>apliecinošu</w:t>
      </w:r>
      <w:proofErr w:type="spellEnd"/>
      <w:r>
        <w:rPr>
          <w:rFonts w:ascii="Times New Roman" w:hAnsi="Times New Roman" w:cs="Arial"/>
          <w:iCs/>
          <w:color w:val="323233"/>
          <w:lang w:val="de-DE"/>
        </w:rPr>
        <w:t xml:space="preserve"> </w:t>
      </w:r>
      <w:proofErr w:type="spellStart"/>
      <w:r>
        <w:rPr>
          <w:rFonts w:ascii="Times New Roman" w:hAnsi="Times New Roman" w:cs="Arial"/>
          <w:iCs/>
          <w:color w:val="323233"/>
          <w:lang w:val="de-DE"/>
        </w:rPr>
        <w:t>dokumentu</w:t>
      </w:r>
      <w:proofErr w:type="spellEnd"/>
      <w:r>
        <w:rPr>
          <w:rFonts w:ascii="Times New Roman" w:hAnsi="Times New Roman" w:cs="Arial"/>
          <w:iCs/>
          <w:color w:val="323233"/>
          <w:lang w:val="de-DE"/>
        </w:rPr>
        <w:t xml:space="preserve"> </w:t>
      </w:r>
      <w:proofErr w:type="spellStart"/>
      <w:r>
        <w:rPr>
          <w:rFonts w:ascii="Times New Roman" w:hAnsi="Times New Roman" w:cs="Arial"/>
          <w:iCs/>
          <w:color w:val="323233"/>
          <w:lang w:val="de-DE"/>
        </w:rPr>
        <w:t>var</w:t>
      </w:r>
      <w:proofErr w:type="spellEnd"/>
      <w:r>
        <w:rPr>
          <w:rFonts w:ascii="Times New Roman" w:hAnsi="Times New Roman" w:cs="Arial"/>
          <w:iCs/>
          <w:color w:val="323233"/>
          <w:lang w:val="de-DE"/>
        </w:rPr>
        <w:t xml:space="preserve"> </w:t>
      </w:r>
      <w:proofErr w:type="spellStart"/>
      <w:r>
        <w:rPr>
          <w:rFonts w:ascii="Times New Roman" w:hAnsi="Times New Roman" w:cs="Arial"/>
          <w:iCs/>
          <w:color w:val="323233"/>
          <w:lang w:val="de-DE"/>
        </w:rPr>
        <w:t>iesn</w:t>
      </w:r>
      <w:r w:rsidR="007D5283">
        <w:rPr>
          <w:rFonts w:ascii="Times New Roman" w:hAnsi="Times New Roman" w:cs="Arial"/>
          <w:iCs/>
          <w:color w:val="323233"/>
          <w:lang w:val="de-DE"/>
        </w:rPr>
        <w:t>iegt</w:t>
      </w:r>
      <w:proofErr w:type="spellEnd"/>
      <w:r w:rsidR="007D5283">
        <w:rPr>
          <w:rFonts w:ascii="Times New Roman" w:hAnsi="Times New Roman" w:cs="Arial"/>
          <w:iCs/>
          <w:color w:val="323233"/>
          <w:lang w:val="de-DE"/>
        </w:rPr>
        <w:t xml:space="preserve"> </w:t>
      </w:r>
      <w:proofErr w:type="spellStart"/>
      <w:r w:rsidR="007D5283">
        <w:rPr>
          <w:rFonts w:ascii="Times New Roman" w:hAnsi="Times New Roman" w:cs="Arial"/>
          <w:iCs/>
          <w:color w:val="323233"/>
          <w:lang w:val="de-DE"/>
        </w:rPr>
        <w:t>apliecinājumu</w:t>
      </w:r>
      <w:proofErr w:type="spellEnd"/>
      <w:r w:rsidR="007D5283">
        <w:rPr>
          <w:rFonts w:ascii="Times New Roman" w:hAnsi="Times New Roman" w:cs="Arial"/>
          <w:iCs/>
          <w:color w:val="323233"/>
          <w:lang w:val="de-DE"/>
        </w:rPr>
        <w:t xml:space="preserve">, </w:t>
      </w:r>
      <w:proofErr w:type="spellStart"/>
      <w:r w:rsidR="007D5283">
        <w:rPr>
          <w:rFonts w:ascii="Times New Roman" w:hAnsi="Times New Roman" w:cs="Arial"/>
          <w:iCs/>
          <w:color w:val="323233"/>
          <w:lang w:val="de-DE"/>
        </w:rPr>
        <w:t>kuru</w:t>
      </w:r>
      <w:proofErr w:type="spellEnd"/>
      <w:r w:rsidR="007D5283">
        <w:rPr>
          <w:rFonts w:ascii="Times New Roman" w:hAnsi="Times New Roman" w:cs="Arial"/>
          <w:iCs/>
          <w:color w:val="323233"/>
          <w:lang w:val="de-DE"/>
        </w:rPr>
        <w:t xml:space="preserve"> </w:t>
      </w:r>
      <w:proofErr w:type="spellStart"/>
      <w:r w:rsidR="007D5283">
        <w:rPr>
          <w:rFonts w:ascii="Times New Roman" w:hAnsi="Times New Roman" w:cs="Arial"/>
          <w:iCs/>
          <w:color w:val="323233"/>
          <w:lang w:val="de-DE"/>
        </w:rPr>
        <w:t>izdevus</w:t>
      </w:r>
      <w:r>
        <w:rPr>
          <w:rFonts w:ascii="Times New Roman" w:hAnsi="Times New Roman" w:cs="Arial"/>
          <w:iCs/>
          <w:color w:val="323233"/>
          <w:lang w:val="de-DE"/>
        </w:rPr>
        <w:t>i</w:t>
      </w:r>
      <w:proofErr w:type="spellEnd"/>
      <w:r>
        <w:rPr>
          <w:rFonts w:ascii="Times New Roman" w:hAnsi="Times New Roman" w:cs="Arial"/>
          <w:iCs/>
          <w:color w:val="323233"/>
          <w:lang w:val="de-DE"/>
        </w:rPr>
        <w:t xml:space="preserve"> </w:t>
      </w:r>
      <w:r w:rsidRPr="00023816">
        <w:rPr>
          <w:rFonts w:ascii="Times New Roman" w:hAnsi="Times New Roman" w:cs="Arial"/>
          <w:i/>
          <w:iCs/>
          <w:color w:val="323233"/>
          <w:lang w:val="de-DE"/>
        </w:rPr>
        <w:t>Companies House</w:t>
      </w:r>
      <w:r>
        <w:rPr>
          <w:rFonts w:ascii="Times New Roman" w:hAnsi="Times New Roman" w:cs="Arial"/>
          <w:i/>
          <w:iCs/>
          <w:color w:val="323233"/>
          <w:lang w:val="de-DE"/>
        </w:rPr>
        <w:t xml:space="preserve"> </w:t>
      </w:r>
      <w:proofErr w:type="spellStart"/>
      <w:r>
        <w:rPr>
          <w:rFonts w:ascii="Times New Roman" w:hAnsi="Times New Roman" w:cs="Arial"/>
          <w:iCs/>
          <w:color w:val="323233"/>
          <w:lang w:val="de-DE"/>
        </w:rPr>
        <w:t>reģistra</w:t>
      </w:r>
      <w:proofErr w:type="spellEnd"/>
      <w:r>
        <w:rPr>
          <w:rFonts w:ascii="Times New Roman" w:hAnsi="Times New Roman" w:cs="Arial"/>
          <w:iCs/>
          <w:color w:val="323233"/>
          <w:lang w:val="de-DE"/>
        </w:rPr>
        <w:t xml:space="preserve"> </w:t>
      </w:r>
      <w:proofErr w:type="spellStart"/>
      <w:r>
        <w:rPr>
          <w:rFonts w:ascii="Times New Roman" w:hAnsi="Times New Roman" w:cs="Arial"/>
          <w:iCs/>
          <w:color w:val="323233"/>
          <w:lang w:val="de-DE"/>
        </w:rPr>
        <w:t>amatpersona</w:t>
      </w:r>
      <w:proofErr w:type="spellEnd"/>
      <w:r>
        <w:rPr>
          <w:rFonts w:ascii="Times New Roman" w:hAnsi="Times New Roman" w:cs="Arial"/>
          <w:iCs/>
          <w:color w:val="323233"/>
          <w:lang w:val="de-DE"/>
        </w:rPr>
        <w:t>.</w:t>
      </w:r>
    </w:p>
    <w:p w14:paraId="69BF6FDB" w14:textId="77777777" w:rsidR="00114953" w:rsidRDefault="00114953" w:rsidP="00114953">
      <w:pPr>
        <w:widowControl w:val="0"/>
        <w:autoSpaceDE w:val="0"/>
        <w:autoSpaceDN w:val="0"/>
        <w:adjustRightInd w:val="0"/>
        <w:jc w:val="both"/>
        <w:rPr>
          <w:rFonts w:ascii="Times New Roman" w:hAnsi="Times New Roman" w:cs="Arial"/>
          <w:iCs/>
          <w:color w:val="323233"/>
          <w:lang w:val="de-DE"/>
        </w:rPr>
      </w:pPr>
    </w:p>
    <w:p w14:paraId="70330A75" w14:textId="77777777" w:rsidR="00114953" w:rsidRPr="00CD4311" w:rsidRDefault="00114953" w:rsidP="00114953">
      <w:pPr>
        <w:widowControl w:val="0"/>
        <w:autoSpaceDE w:val="0"/>
        <w:autoSpaceDN w:val="0"/>
        <w:adjustRightInd w:val="0"/>
        <w:jc w:val="both"/>
        <w:rPr>
          <w:rFonts w:ascii="Times New Roman" w:hAnsi="Times New Roman" w:cs="Arial"/>
          <w:iCs/>
          <w:lang w:val="lv-LV"/>
        </w:rPr>
      </w:pPr>
      <w:r>
        <w:rPr>
          <w:rFonts w:ascii="Times New Roman" w:hAnsi="Times New Roman" w:cs="Arial"/>
          <w:iCs/>
          <w:color w:val="323233"/>
          <w:lang w:val="de-DE"/>
        </w:rPr>
        <w:t xml:space="preserve"> - </w:t>
      </w:r>
      <w:proofErr w:type="spellStart"/>
      <w:r w:rsidRPr="007648A0">
        <w:rPr>
          <w:rFonts w:ascii="Times New Roman" w:hAnsi="Times New Roman" w:cs="Arial"/>
          <w:i/>
          <w:iCs/>
          <w:color w:val="323233"/>
          <w:lang w:val="lv-LV"/>
        </w:rPr>
        <w:t>Registrar</w:t>
      </w:r>
      <w:proofErr w:type="spellEnd"/>
      <w:r w:rsidRPr="007648A0">
        <w:rPr>
          <w:rFonts w:ascii="Times New Roman" w:hAnsi="Times New Roman" w:cs="Arial"/>
          <w:i/>
          <w:iCs/>
          <w:color w:val="323233"/>
          <w:lang w:val="lv-LV"/>
        </w:rPr>
        <w:t xml:space="preserve"> </w:t>
      </w:r>
      <w:proofErr w:type="spellStart"/>
      <w:r w:rsidRPr="007648A0">
        <w:rPr>
          <w:rFonts w:ascii="Times New Roman" w:hAnsi="Times New Roman" w:cs="Arial"/>
          <w:i/>
          <w:iCs/>
          <w:color w:val="323233"/>
          <w:lang w:val="lv-LV"/>
        </w:rPr>
        <w:t>of</w:t>
      </w:r>
      <w:proofErr w:type="spellEnd"/>
      <w:r w:rsidRPr="007648A0">
        <w:rPr>
          <w:rFonts w:ascii="Times New Roman" w:hAnsi="Times New Roman" w:cs="Arial"/>
          <w:i/>
          <w:iCs/>
          <w:color w:val="323233"/>
          <w:lang w:val="lv-LV"/>
        </w:rPr>
        <w:t xml:space="preserve"> </w:t>
      </w:r>
      <w:proofErr w:type="spellStart"/>
      <w:r w:rsidRPr="007648A0">
        <w:rPr>
          <w:rFonts w:ascii="Times New Roman" w:hAnsi="Times New Roman" w:cs="Arial"/>
          <w:i/>
          <w:iCs/>
          <w:color w:val="323233"/>
          <w:lang w:val="lv-LV"/>
        </w:rPr>
        <w:t>Companies</w:t>
      </w:r>
      <w:proofErr w:type="spellEnd"/>
      <w:r>
        <w:rPr>
          <w:rFonts w:ascii="Times New Roman" w:hAnsi="Times New Roman" w:cs="Arial"/>
          <w:i/>
          <w:iCs/>
          <w:color w:val="323233"/>
          <w:lang w:val="lv-LV"/>
        </w:rPr>
        <w:t xml:space="preserve">. </w:t>
      </w:r>
      <w:r>
        <w:rPr>
          <w:rFonts w:ascii="Times New Roman" w:hAnsi="Times New Roman" w:cs="Arial"/>
          <w:iCs/>
          <w:color w:val="323233"/>
          <w:lang w:val="lv-LV"/>
        </w:rPr>
        <w:t>Šī amatpersona ir tiesīga ieskatīties reģistrā iesniegtajā, bet nepubliskotajā informācijā par juridiskas personas dibināšanu, un statūtos. Šāds apliecinājums pēc sava satura un pierādījuma spēka ir pielīdzināms izrakstam no reģistra</w:t>
      </w:r>
      <w:r w:rsidRPr="00CD4311">
        <w:rPr>
          <w:rFonts w:ascii="Times New Roman" w:hAnsi="Times New Roman" w:cs="Arial"/>
          <w:iCs/>
          <w:lang w:val="lv-LV"/>
        </w:rPr>
        <w:t>.</w:t>
      </w:r>
      <w:r w:rsidRPr="00CD4311">
        <w:rPr>
          <w:rStyle w:val="FootnoteReference"/>
          <w:rFonts w:ascii="Times New Roman" w:hAnsi="Times New Roman" w:cs="Arial"/>
          <w:iCs/>
          <w:lang w:val="lv-LV"/>
        </w:rPr>
        <w:footnoteReference w:id="159"/>
      </w:r>
      <w:r w:rsidRPr="00CD4311">
        <w:rPr>
          <w:rFonts w:ascii="Times New Roman" w:hAnsi="Times New Roman" w:cs="Arial"/>
          <w:iCs/>
          <w:lang w:val="lv-LV"/>
        </w:rPr>
        <w:t xml:space="preserve"> Tomēr šeit ir katrā konkrētā gadījumā jāskatās, vai minētajā dokumentā ir ietverta arī informācija par uzņēmuma pārstāvju pilnvarām. Atsevišķu šādu dokumentu (kurus parakstījuši </w:t>
      </w:r>
      <w:proofErr w:type="spellStart"/>
      <w:r w:rsidRPr="00CD4311">
        <w:rPr>
          <w:rFonts w:ascii="Times New Roman" w:hAnsi="Times New Roman" w:cs="Arial"/>
          <w:i/>
          <w:iCs/>
          <w:lang w:val="lv-LV"/>
        </w:rPr>
        <w:t>Registrar</w:t>
      </w:r>
      <w:proofErr w:type="spellEnd"/>
      <w:r w:rsidRPr="00CD4311">
        <w:rPr>
          <w:rFonts w:ascii="Times New Roman" w:hAnsi="Times New Roman" w:cs="Arial"/>
          <w:i/>
          <w:iCs/>
          <w:lang w:val="lv-LV"/>
        </w:rPr>
        <w:t xml:space="preserve"> </w:t>
      </w:r>
      <w:proofErr w:type="spellStart"/>
      <w:r w:rsidRPr="00CD4311">
        <w:rPr>
          <w:rFonts w:ascii="Times New Roman" w:hAnsi="Times New Roman" w:cs="Arial"/>
          <w:i/>
          <w:iCs/>
          <w:lang w:val="lv-LV"/>
        </w:rPr>
        <w:t>of</w:t>
      </w:r>
      <w:proofErr w:type="spellEnd"/>
      <w:r w:rsidRPr="00CD4311">
        <w:rPr>
          <w:rFonts w:ascii="Times New Roman" w:hAnsi="Times New Roman" w:cs="Arial"/>
          <w:i/>
          <w:iCs/>
          <w:lang w:val="lv-LV"/>
        </w:rPr>
        <w:t xml:space="preserve"> </w:t>
      </w:r>
      <w:proofErr w:type="spellStart"/>
      <w:r w:rsidRPr="00CD4311">
        <w:rPr>
          <w:rFonts w:ascii="Times New Roman" w:hAnsi="Times New Roman" w:cs="Arial"/>
          <w:i/>
          <w:iCs/>
          <w:lang w:val="lv-LV"/>
        </w:rPr>
        <w:t>Companies</w:t>
      </w:r>
      <w:proofErr w:type="spellEnd"/>
      <w:r w:rsidRPr="00CD4311">
        <w:rPr>
          <w:rFonts w:ascii="Times New Roman" w:hAnsi="Times New Roman" w:cs="Arial"/>
          <w:iCs/>
          <w:lang w:val="lv-LV"/>
        </w:rPr>
        <w:t>) analīze liecina, ka tie mēdz saturēt tikai informāciju par uzņēmuma tiesībspēju.</w:t>
      </w:r>
    </w:p>
    <w:p w14:paraId="71252BE7" w14:textId="77777777" w:rsidR="00114953" w:rsidRPr="00CD4311" w:rsidRDefault="00114953" w:rsidP="00114953">
      <w:pPr>
        <w:widowControl w:val="0"/>
        <w:autoSpaceDE w:val="0"/>
        <w:autoSpaceDN w:val="0"/>
        <w:adjustRightInd w:val="0"/>
        <w:jc w:val="both"/>
        <w:rPr>
          <w:rFonts w:ascii="Times New Roman" w:hAnsi="Times New Roman" w:cs="Arial"/>
          <w:iCs/>
          <w:lang w:val="lv-LV"/>
        </w:rPr>
      </w:pPr>
    </w:p>
    <w:p w14:paraId="3A12316F" w14:textId="77777777" w:rsidR="00114953" w:rsidRPr="0089648E" w:rsidRDefault="00114953" w:rsidP="00114953">
      <w:pPr>
        <w:widowControl w:val="0"/>
        <w:autoSpaceDE w:val="0"/>
        <w:autoSpaceDN w:val="0"/>
        <w:adjustRightInd w:val="0"/>
        <w:ind w:firstLine="708"/>
        <w:jc w:val="both"/>
        <w:rPr>
          <w:rFonts w:ascii="Times New Roman" w:hAnsi="Times New Roman" w:cs="Arial"/>
          <w:iCs/>
          <w:color w:val="323233"/>
          <w:lang w:val="de-DE"/>
        </w:rPr>
      </w:pPr>
      <w:proofErr w:type="spellStart"/>
      <w:r>
        <w:rPr>
          <w:rFonts w:ascii="Times New Roman" w:hAnsi="Times New Roman" w:cs="Arial"/>
          <w:iCs/>
          <w:color w:val="323233"/>
          <w:lang w:val="de-DE"/>
        </w:rPr>
        <w:t>Attiecībā</w:t>
      </w:r>
      <w:proofErr w:type="spellEnd"/>
      <w:r w:rsidRPr="009543A7">
        <w:rPr>
          <w:rFonts w:ascii="Times New Roman" w:hAnsi="Times New Roman" w:cs="Arial"/>
          <w:iCs/>
          <w:color w:val="323233"/>
          <w:lang w:val="de-DE"/>
        </w:rPr>
        <w:t xml:space="preserve"> </w:t>
      </w:r>
      <w:proofErr w:type="spellStart"/>
      <w:r>
        <w:rPr>
          <w:rFonts w:ascii="Times New Roman" w:hAnsi="Times New Roman" w:cs="Arial"/>
          <w:iCs/>
          <w:color w:val="323233"/>
          <w:lang w:val="de-DE"/>
        </w:rPr>
        <w:t>uz</w:t>
      </w:r>
      <w:proofErr w:type="spellEnd"/>
      <w:r>
        <w:rPr>
          <w:rFonts w:ascii="Times New Roman" w:hAnsi="Times New Roman" w:cs="Arial"/>
          <w:b/>
          <w:iCs/>
          <w:color w:val="323233"/>
          <w:lang w:val="de-DE"/>
        </w:rPr>
        <w:t xml:space="preserve"> </w:t>
      </w:r>
      <w:r w:rsidRPr="00077F40">
        <w:rPr>
          <w:rFonts w:ascii="Times New Roman" w:hAnsi="Times New Roman" w:cs="Arial"/>
          <w:b/>
          <w:iCs/>
          <w:color w:val="323233"/>
          <w:lang w:val="de-DE"/>
        </w:rPr>
        <w:t>ASV</w:t>
      </w:r>
      <w:r>
        <w:rPr>
          <w:rFonts w:ascii="Times New Roman" w:hAnsi="Times New Roman" w:cs="Arial"/>
          <w:iCs/>
          <w:color w:val="323233"/>
          <w:lang w:val="de-DE"/>
        </w:rPr>
        <w:t xml:space="preserve"> </w:t>
      </w:r>
      <w:proofErr w:type="spellStart"/>
      <w:r>
        <w:rPr>
          <w:rFonts w:ascii="Times New Roman" w:hAnsi="Times New Roman" w:cs="Arial"/>
          <w:iCs/>
          <w:color w:val="323233"/>
          <w:lang w:val="de-DE"/>
        </w:rPr>
        <w:t>reģistrētajām</w:t>
      </w:r>
      <w:proofErr w:type="spellEnd"/>
      <w:r>
        <w:rPr>
          <w:rFonts w:ascii="Times New Roman" w:hAnsi="Times New Roman" w:cs="Arial"/>
          <w:iCs/>
          <w:color w:val="323233"/>
          <w:lang w:val="de-DE"/>
        </w:rPr>
        <w:t xml:space="preserve"> </w:t>
      </w:r>
      <w:proofErr w:type="spellStart"/>
      <w:r>
        <w:rPr>
          <w:rFonts w:ascii="Times New Roman" w:hAnsi="Times New Roman" w:cs="Arial"/>
          <w:iCs/>
          <w:color w:val="323233"/>
          <w:lang w:val="de-DE"/>
        </w:rPr>
        <w:t>juridiskajām</w:t>
      </w:r>
      <w:proofErr w:type="spellEnd"/>
      <w:r>
        <w:rPr>
          <w:rFonts w:ascii="Times New Roman" w:hAnsi="Times New Roman" w:cs="Arial"/>
          <w:iCs/>
          <w:color w:val="323233"/>
          <w:lang w:val="de-DE"/>
        </w:rPr>
        <w:t xml:space="preserve"> </w:t>
      </w:r>
      <w:proofErr w:type="spellStart"/>
      <w:r>
        <w:rPr>
          <w:rFonts w:ascii="Times New Roman" w:hAnsi="Times New Roman" w:cs="Arial"/>
          <w:iCs/>
          <w:color w:val="323233"/>
          <w:lang w:val="de-DE"/>
        </w:rPr>
        <w:t>personām</w:t>
      </w:r>
      <w:proofErr w:type="spellEnd"/>
      <w:r>
        <w:rPr>
          <w:rFonts w:ascii="Times New Roman" w:hAnsi="Times New Roman" w:cs="Arial"/>
          <w:iCs/>
          <w:color w:val="323233"/>
          <w:lang w:val="de-DE"/>
        </w:rPr>
        <w:t xml:space="preserve"> </w:t>
      </w:r>
      <w:proofErr w:type="spellStart"/>
      <w:r>
        <w:rPr>
          <w:rFonts w:ascii="Times New Roman" w:hAnsi="Times New Roman" w:cs="Arial"/>
          <w:iCs/>
          <w:color w:val="323233"/>
          <w:lang w:val="de-DE"/>
        </w:rPr>
        <w:t>situācija</w:t>
      </w:r>
      <w:proofErr w:type="spellEnd"/>
      <w:r>
        <w:rPr>
          <w:rFonts w:ascii="Times New Roman" w:hAnsi="Times New Roman" w:cs="Arial"/>
          <w:iCs/>
          <w:color w:val="323233"/>
          <w:lang w:val="de-DE"/>
        </w:rPr>
        <w:t xml:space="preserve"> </w:t>
      </w:r>
      <w:proofErr w:type="spellStart"/>
      <w:r>
        <w:rPr>
          <w:rFonts w:ascii="Times New Roman" w:hAnsi="Times New Roman" w:cs="Arial"/>
          <w:iCs/>
          <w:color w:val="323233"/>
          <w:lang w:val="de-DE"/>
        </w:rPr>
        <w:t>ir</w:t>
      </w:r>
      <w:proofErr w:type="spellEnd"/>
      <w:r>
        <w:rPr>
          <w:rFonts w:ascii="Times New Roman" w:hAnsi="Times New Roman" w:cs="Arial"/>
          <w:iCs/>
          <w:color w:val="323233"/>
          <w:lang w:val="de-DE"/>
        </w:rPr>
        <w:t xml:space="preserve"> </w:t>
      </w:r>
      <w:proofErr w:type="spellStart"/>
      <w:r>
        <w:rPr>
          <w:rFonts w:ascii="Times New Roman" w:hAnsi="Times New Roman" w:cs="Arial"/>
          <w:iCs/>
          <w:color w:val="323233"/>
          <w:lang w:val="de-DE"/>
        </w:rPr>
        <w:t>nedaudz</w:t>
      </w:r>
      <w:proofErr w:type="spellEnd"/>
      <w:r>
        <w:rPr>
          <w:rFonts w:ascii="Times New Roman" w:hAnsi="Times New Roman" w:cs="Arial"/>
          <w:iCs/>
          <w:color w:val="323233"/>
          <w:lang w:val="de-DE"/>
        </w:rPr>
        <w:t xml:space="preserve"> </w:t>
      </w:r>
      <w:proofErr w:type="spellStart"/>
      <w:r>
        <w:rPr>
          <w:rFonts w:ascii="Times New Roman" w:hAnsi="Times New Roman" w:cs="Arial"/>
          <w:iCs/>
          <w:color w:val="323233"/>
          <w:lang w:val="de-DE"/>
        </w:rPr>
        <w:t>savādāka</w:t>
      </w:r>
      <w:proofErr w:type="spellEnd"/>
      <w:r>
        <w:rPr>
          <w:rFonts w:ascii="Times New Roman" w:hAnsi="Times New Roman" w:cs="Arial"/>
          <w:iCs/>
          <w:color w:val="323233"/>
          <w:lang w:val="de-DE"/>
        </w:rPr>
        <w:t xml:space="preserve">. </w:t>
      </w:r>
      <w:proofErr w:type="spellStart"/>
      <w:r>
        <w:rPr>
          <w:rFonts w:ascii="Times New Roman" w:hAnsi="Times New Roman" w:cs="Arial"/>
          <w:iCs/>
          <w:color w:val="323233"/>
          <w:lang w:val="de-DE"/>
        </w:rPr>
        <w:t>Tā</w:t>
      </w:r>
      <w:proofErr w:type="spellEnd"/>
      <w:r>
        <w:rPr>
          <w:rFonts w:ascii="Times New Roman" w:hAnsi="Times New Roman" w:cs="Arial"/>
          <w:iCs/>
          <w:color w:val="323233"/>
          <w:lang w:val="de-DE"/>
        </w:rPr>
        <w:t xml:space="preserve"> </w:t>
      </w:r>
      <w:proofErr w:type="spellStart"/>
      <w:r>
        <w:rPr>
          <w:rFonts w:ascii="Times New Roman" w:hAnsi="Times New Roman" w:cs="Arial"/>
          <w:iCs/>
          <w:color w:val="323233"/>
          <w:lang w:val="de-DE"/>
        </w:rPr>
        <w:t>kā</w:t>
      </w:r>
      <w:proofErr w:type="spellEnd"/>
      <w:r>
        <w:rPr>
          <w:rFonts w:ascii="Times New Roman" w:hAnsi="Times New Roman" w:cs="Arial"/>
          <w:iCs/>
          <w:color w:val="323233"/>
          <w:lang w:val="de-DE"/>
        </w:rPr>
        <w:t xml:space="preserve"> ASV </w:t>
      </w:r>
      <w:proofErr w:type="spellStart"/>
      <w:r>
        <w:rPr>
          <w:rFonts w:ascii="Times New Roman" w:hAnsi="Times New Roman" w:cs="Arial"/>
          <w:iCs/>
          <w:color w:val="323233"/>
          <w:lang w:val="de-DE"/>
        </w:rPr>
        <w:t>nav</w:t>
      </w:r>
      <w:proofErr w:type="spellEnd"/>
      <w:r>
        <w:rPr>
          <w:rFonts w:ascii="Times New Roman" w:hAnsi="Times New Roman" w:cs="Arial"/>
          <w:iCs/>
          <w:color w:val="323233"/>
          <w:lang w:val="de-DE"/>
        </w:rPr>
        <w:t xml:space="preserve"> ne ES </w:t>
      </w:r>
      <w:proofErr w:type="spellStart"/>
      <w:r>
        <w:rPr>
          <w:rFonts w:ascii="Times New Roman" w:hAnsi="Times New Roman" w:cs="Arial"/>
          <w:iCs/>
          <w:color w:val="323233"/>
          <w:lang w:val="de-DE"/>
        </w:rPr>
        <w:t>dalībvalsts</w:t>
      </w:r>
      <w:proofErr w:type="spellEnd"/>
      <w:r>
        <w:rPr>
          <w:rFonts w:ascii="Times New Roman" w:hAnsi="Times New Roman" w:cs="Arial"/>
          <w:iCs/>
          <w:color w:val="323233"/>
          <w:lang w:val="de-DE"/>
        </w:rPr>
        <w:t xml:space="preserve">, </w:t>
      </w:r>
      <w:proofErr w:type="spellStart"/>
      <w:r>
        <w:rPr>
          <w:rFonts w:ascii="Times New Roman" w:hAnsi="Times New Roman" w:cs="Arial"/>
          <w:iCs/>
          <w:color w:val="323233"/>
          <w:lang w:val="de-DE"/>
        </w:rPr>
        <w:t>nedz</w:t>
      </w:r>
      <w:proofErr w:type="spellEnd"/>
      <w:r>
        <w:rPr>
          <w:rFonts w:ascii="Times New Roman" w:hAnsi="Times New Roman" w:cs="Arial"/>
          <w:iCs/>
          <w:color w:val="323233"/>
          <w:lang w:val="de-DE"/>
        </w:rPr>
        <w:t xml:space="preserve"> </w:t>
      </w:r>
      <w:proofErr w:type="spellStart"/>
      <w:r>
        <w:rPr>
          <w:rFonts w:ascii="Times New Roman" w:hAnsi="Times New Roman" w:cs="Arial"/>
          <w:iCs/>
          <w:color w:val="323233"/>
          <w:lang w:val="de-DE"/>
        </w:rPr>
        <w:t>arī</w:t>
      </w:r>
      <w:proofErr w:type="spellEnd"/>
      <w:r>
        <w:rPr>
          <w:rFonts w:ascii="Times New Roman" w:hAnsi="Times New Roman" w:cs="Arial"/>
          <w:iCs/>
          <w:color w:val="323233"/>
          <w:lang w:val="de-DE"/>
        </w:rPr>
        <w:t xml:space="preserve"> </w:t>
      </w:r>
      <w:proofErr w:type="spellStart"/>
      <w:r>
        <w:rPr>
          <w:rFonts w:ascii="Times New Roman" w:hAnsi="Times New Roman" w:cs="Arial"/>
          <w:iCs/>
          <w:color w:val="323233"/>
          <w:lang w:val="de-DE"/>
        </w:rPr>
        <w:t>Latvija</w:t>
      </w:r>
      <w:proofErr w:type="spellEnd"/>
      <w:r>
        <w:rPr>
          <w:rFonts w:ascii="Times New Roman" w:hAnsi="Times New Roman" w:cs="Arial"/>
          <w:iCs/>
          <w:color w:val="323233"/>
          <w:lang w:val="de-DE"/>
        </w:rPr>
        <w:t xml:space="preserve"> </w:t>
      </w:r>
      <w:proofErr w:type="spellStart"/>
      <w:r>
        <w:rPr>
          <w:rFonts w:ascii="Times New Roman" w:hAnsi="Times New Roman" w:cs="Arial"/>
          <w:iCs/>
          <w:color w:val="323233"/>
          <w:lang w:val="de-DE"/>
        </w:rPr>
        <w:t>ar</w:t>
      </w:r>
      <w:proofErr w:type="spellEnd"/>
      <w:r>
        <w:rPr>
          <w:rFonts w:ascii="Times New Roman" w:hAnsi="Times New Roman" w:cs="Arial"/>
          <w:iCs/>
          <w:color w:val="323233"/>
          <w:lang w:val="de-DE"/>
        </w:rPr>
        <w:t xml:space="preserve"> ASV </w:t>
      </w:r>
      <w:proofErr w:type="spellStart"/>
      <w:r>
        <w:rPr>
          <w:rFonts w:ascii="Times New Roman" w:hAnsi="Times New Roman" w:cs="Arial"/>
          <w:iCs/>
          <w:color w:val="323233"/>
          <w:lang w:val="de-DE"/>
        </w:rPr>
        <w:t>ir</w:t>
      </w:r>
      <w:proofErr w:type="spellEnd"/>
      <w:r>
        <w:rPr>
          <w:rFonts w:ascii="Times New Roman" w:hAnsi="Times New Roman" w:cs="Arial"/>
          <w:iCs/>
          <w:color w:val="323233"/>
          <w:lang w:val="de-DE"/>
        </w:rPr>
        <w:t xml:space="preserve"> </w:t>
      </w:r>
      <w:proofErr w:type="spellStart"/>
      <w:r>
        <w:rPr>
          <w:rFonts w:ascii="Times New Roman" w:hAnsi="Times New Roman" w:cs="Arial"/>
          <w:iCs/>
          <w:color w:val="323233"/>
          <w:lang w:val="de-DE"/>
        </w:rPr>
        <w:t>noslēgusi</w:t>
      </w:r>
      <w:proofErr w:type="spellEnd"/>
      <w:r>
        <w:rPr>
          <w:rFonts w:ascii="Times New Roman" w:hAnsi="Times New Roman" w:cs="Arial"/>
          <w:iCs/>
          <w:color w:val="323233"/>
          <w:lang w:val="de-DE"/>
        </w:rPr>
        <w:t xml:space="preserve"> </w:t>
      </w:r>
      <w:proofErr w:type="spellStart"/>
      <w:r>
        <w:rPr>
          <w:rFonts w:ascii="Times New Roman" w:hAnsi="Times New Roman" w:cs="Arial"/>
          <w:iCs/>
          <w:color w:val="323233"/>
          <w:lang w:val="de-DE"/>
        </w:rPr>
        <w:t>starptautisku</w:t>
      </w:r>
      <w:proofErr w:type="spellEnd"/>
      <w:r>
        <w:rPr>
          <w:rFonts w:ascii="Times New Roman" w:hAnsi="Times New Roman" w:cs="Arial"/>
          <w:iCs/>
          <w:color w:val="323233"/>
          <w:lang w:val="de-DE"/>
        </w:rPr>
        <w:t xml:space="preserve"> </w:t>
      </w:r>
      <w:proofErr w:type="spellStart"/>
      <w:r>
        <w:rPr>
          <w:rFonts w:ascii="Times New Roman" w:hAnsi="Times New Roman" w:cs="Arial"/>
          <w:iCs/>
          <w:color w:val="323233"/>
          <w:lang w:val="de-DE"/>
        </w:rPr>
        <w:t>līgumu</w:t>
      </w:r>
      <w:proofErr w:type="spellEnd"/>
      <w:r>
        <w:rPr>
          <w:rFonts w:ascii="Times New Roman" w:hAnsi="Times New Roman" w:cs="Arial"/>
          <w:iCs/>
          <w:color w:val="323233"/>
          <w:lang w:val="de-DE"/>
        </w:rPr>
        <w:t xml:space="preserve"> par </w:t>
      </w:r>
      <w:proofErr w:type="spellStart"/>
      <w:r>
        <w:rPr>
          <w:rFonts w:ascii="Times New Roman" w:hAnsi="Times New Roman" w:cs="Arial"/>
          <w:iCs/>
          <w:color w:val="323233"/>
          <w:lang w:val="de-DE"/>
        </w:rPr>
        <w:t>juridisku</w:t>
      </w:r>
      <w:proofErr w:type="spellEnd"/>
      <w:r>
        <w:rPr>
          <w:rFonts w:ascii="Times New Roman" w:hAnsi="Times New Roman" w:cs="Arial"/>
          <w:iCs/>
          <w:color w:val="323233"/>
          <w:lang w:val="de-DE"/>
        </w:rPr>
        <w:t xml:space="preserve"> </w:t>
      </w:r>
      <w:proofErr w:type="spellStart"/>
      <w:r>
        <w:rPr>
          <w:rFonts w:ascii="Times New Roman" w:hAnsi="Times New Roman" w:cs="Arial"/>
          <w:iCs/>
          <w:color w:val="323233"/>
          <w:lang w:val="de-DE"/>
        </w:rPr>
        <w:t>personu</w:t>
      </w:r>
      <w:proofErr w:type="spellEnd"/>
      <w:r>
        <w:rPr>
          <w:rFonts w:ascii="Times New Roman" w:hAnsi="Times New Roman" w:cs="Arial"/>
          <w:iCs/>
          <w:color w:val="323233"/>
          <w:lang w:val="de-DE"/>
        </w:rPr>
        <w:t xml:space="preserve"> </w:t>
      </w:r>
      <w:proofErr w:type="spellStart"/>
      <w:r>
        <w:rPr>
          <w:rFonts w:ascii="Times New Roman" w:hAnsi="Times New Roman" w:cs="Arial"/>
          <w:iCs/>
          <w:color w:val="323233"/>
          <w:lang w:val="de-DE"/>
        </w:rPr>
        <w:t>savstarpēju</w:t>
      </w:r>
      <w:proofErr w:type="spellEnd"/>
      <w:r>
        <w:rPr>
          <w:rFonts w:ascii="Times New Roman" w:hAnsi="Times New Roman" w:cs="Arial"/>
          <w:iCs/>
          <w:color w:val="323233"/>
          <w:lang w:val="de-DE"/>
        </w:rPr>
        <w:t xml:space="preserve"> </w:t>
      </w:r>
      <w:proofErr w:type="spellStart"/>
      <w:r>
        <w:rPr>
          <w:rFonts w:ascii="Times New Roman" w:hAnsi="Times New Roman" w:cs="Arial"/>
          <w:iCs/>
          <w:color w:val="323233"/>
          <w:lang w:val="de-DE"/>
        </w:rPr>
        <w:t>atzīšanu</w:t>
      </w:r>
      <w:proofErr w:type="spellEnd"/>
      <w:r>
        <w:rPr>
          <w:rFonts w:ascii="Times New Roman" w:hAnsi="Times New Roman" w:cs="Arial"/>
          <w:iCs/>
          <w:color w:val="323233"/>
          <w:lang w:val="de-DE"/>
        </w:rPr>
        <w:t xml:space="preserve"> </w:t>
      </w:r>
      <w:proofErr w:type="spellStart"/>
      <w:r>
        <w:rPr>
          <w:rFonts w:ascii="Times New Roman" w:hAnsi="Times New Roman" w:cs="Arial"/>
          <w:iCs/>
          <w:color w:val="323233"/>
          <w:lang w:val="de-DE"/>
        </w:rPr>
        <w:t>vai</w:t>
      </w:r>
      <w:proofErr w:type="spellEnd"/>
      <w:r>
        <w:rPr>
          <w:rFonts w:ascii="Times New Roman" w:hAnsi="Times New Roman" w:cs="Arial"/>
          <w:iCs/>
          <w:color w:val="323233"/>
          <w:lang w:val="de-DE"/>
        </w:rPr>
        <w:t xml:space="preserve"> </w:t>
      </w:r>
      <w:proofErr w:type="spellStart"/>
      <w:r>
        <w:rPr>
          <w:rFonts w:ascii="Times New Roman" w:hAnsi="Times New Roman" w:cs="Arial"/>
          <w:iCs/>
          <w:color w:val="323233"/>
          <w:lang w:val="de-DE"/>
        </w:rPr>
        <w:t>arī</w:t>
      </w:r>
      <w:proofErr w:type="spellEnd"/>
      <w:r>
        <w:rPr>
          <w:rFonts w:ascii="Times New Roman" w:hAnsi="Times New Roman" w:cs="Arial"/>
          <w:iCs/>
          <w:color w:val="323233"/>
          <w:lang w:val="de-DE"/>
        </w:rPr>
        <w:t xml:space="preserve"> </w:t>
      </w:r>
      <w:proofErr w:type="spellStart"/>
      <w:r>
        <w:rPr>
          <w:rFonts w:ascii="Times New Roman" w:hAnsi="Times New Roman" w:cs="Arial"/>
          <w:iCs/>
          <w:color w:val="323233"/>
          <w:lang w:val="de-DE"/>
        </w:rPr>
        <w:t>juridiskām</w:t>
      </w:r>
      <w:proofErr w:type="spellEnd"/>
      <w:r>
        <w:rPr>
          <w:rFonts w:ascii="Times New Roman" w:hAnsi="Times New Roman" w:cs="Arial"/>
          <w:iCs/>
          <w:color w:val="323233"/>
          <w:lang w:val="de-DE"/>
        </w:rPr>
        <w:t xml:space="preserve"> </w:t>
      </w:r>
      <w:proofErr w:type="spellStart"/>
      <w:r>
        <w:rPr>
          <w:rFonts w:ascii="Times New Roman" w:hAnsi="Times New Roman" w:cs="Arial"/>
          <w:iCs/>
          <w:color w:val="323233"/>
          <w:lang w:val="de-DE"/>
        </w:rPr>
        <w:t>personām</w:t>
      </w:r>
      <w:proofErr w:type="spellEnd"/>
      <w:r>
        <w:rPr>
          <w:rFonts w:ascii="Times New Roman" w:hAnsi="Times New Roman" w:cs="Arial"/>
          <w:iCs/>
          <w:color w:val="323233"/>
          <w:lang w:val="de-DE"/>
        </w:rPr>
        <w:t xml:space="preserve"> </w:t>
      </w:r>
      <w:proofErr w:type="spellStart"/>
      <w:r>
        <w:rPr>
          <w:rFonts w:ascii="Times New Roman" w:hAnsi="Times New Roman" w:cs="Arial"/>
          <w:iCs/>
          <w:color w:val="323233"/>
          <w:lang w:val="de-DE"/>
        </w:rPr>
        <w:t>piemērojamo</w:t>
      </w:r>
      <w:proofErr w:type="spellEnd"/>
      <w:r>
        <w:rPr>
          <w:rFonts w:ascii="Times New Roman" w:hAnsi="Times New Roman" w:cs="Arial"/>
          <w:iCs/>
          <w:color w:val="323233"/>
          <w:lang w:val="de-DE"/>
        </w:rPr>
        <w:t xml:space="preserve"> </w:t>
      </w:r>
      <w:proofErr w:type="spellStart"/>
      <w:r>
        <w:rPr>
          <w:rFonts w:ascii="Times New Roman" w:hAnsi="Times New Roman" w:cs="Arial"/>
          <w:iCs/>
          <w:color w:val="323233"/>
          <w:lang w:val="de-DE"/>
        </w:rPr>
        <w:t>likumu</w:t>
      </w:r>
      <w:proofErr w:type="spellEnd"/>
      <w:r>
        <w:rPr>
          <w:rFonts w:ascii="Times New Roman" w:hAnsi="Times New Roman" w:cs="Arial"/>
          <w:iCs/>
          <w:color w:val="323233"/>
          <w:lang w:val="de-DE"/>
        </w:rPr>
        <w:t xml:space="preserve">, </w:t>
      </w:r>
      <w:proofErr w:type="spellStart"/>
      <w:r>
        <w:rPr>
          <w:rFonts w:ascii="Times New Roman" w:hAnsi="Times New Roman" w:cs="Arial"/>
          <w:iCs/>
          <w:color w:val="323233"/>
          <w:lang w:val="de-DE"/>
        </w:rPr>
        <w:t>tad</w:t>
      </w:r>
      <w:proofErr w:type="spellEnd"/>
      <w:r>
        <w:rPr>
          <w:rFonts w:ascii="Times New Roman" w:hAnsi="Times New Roman" w:cs="Arial"/>
          <w:iCs/>
          <w:color w:val="323233"/>
          <w:lang w:val="de-DE"/>
        </w:rPr>
        <w:t xml:space="preserve"> </w:t>
      </w:r>
      <w:r w:rsidRPr="00CA6703">
        <w:rPr>
          <w:rFonts w:ascii="Times New Roman" w:hAnsi="Times New Roman" w:cs="Arial"/>
          <w:iCs/>
          <w:color w:val="323233"/>
          <w:lang w:val="de-DE"/>
        </w:rPr>
        <w:t xml:space="preserve">ASV </w:t>
      </w:r>
      <w:proofErr w:type="spellStart"/>
      <w:r w:rsidRPr="00CA6703">
        <w:rPr>
          <w:rFonts w:ascii="Times New Roman" w:hAnsi="Times New Roman" w:cs="Arial"/>
          <w:iCs/>
          <w:color w:val="323233"/>
          <w:lang w:val="de-DE"/>
        </w:rPr>
        <w:t>reģistrēto</w:t>
      </w:r>
      <w:proofErr w:type="spellEnd"/>
      <w:r w:rsidRPr="00CA6703">
        <w:rPr>
          <w:rFonts w:ascii="Times New Roman" w:hAnsi="Times New Roman" w:cs="Arial"/>
          <w:iCs/>
          <w:color w:val="323233"/>
          <w:lang w:val="de-DE"/>
        </w:rPr>
        <w:t xml:space="preserve"> </w:t>
      </w:r>
      <w:proofErr w:type="spellStart"/>
      <w:r w:rsidRPr="00CA6703">
        <w:rPr>
          <w:rFonts w:ascii="Times New Roman" w:hAnsi="Times New Roman" w:cs="Arial"/>
          <w:iCs/>
          <w:color w:val="323233"/>
          <w:lang w:val="de-DE"/>
        </w:rPr>
        <w:t>juridisko</w:t>
      </w:r>
      <w:proofErr w:type="spellEnd"/>
      <w:r w:rsidRPr="00CA6703">
        <w:rPr>
          <w:rFonts w:ascii="Times New Roman" w:hAnsi="Times New Roman" w:cs="Arial"/>
          <w:iCs/>
          <w:color w:val="323233"/>
          <w:lang w:val="de-DE"/>
        </w:rPr>
        <w:t xml:space="preserve"> </w:t>
      </w:r>
      <w:proofErr w:type="spellStart"/>
      <w:r w:rsidRPr="00CA6703">
        <w:rPr>
          <w:rFonts w:ascii="Times New Roman" w:hAnsi="Times New Roman" w:cs="Arial"/>
          <w:iCs/>
          <w:color w:val="323233"/>
          <w:lang w:val="de-DE"/>
        </w:rPr>
        <w:t>personu</w:t>
      </w:r>
      <w:proofErr w:type="spellEnd"/>
      <w:r w:rsidRPr="00CA6703">
        <w:rPr>
          <w:rFonts w:ascii="Times New Roman" w:hAnsi="Times New Roman" w:cs="Arial"/>
          <w:iCs/>
          <w:color w:val="323233"/>
          <w:lang w:val="de-DE"/>
        </w:rPr>
        <w:t xml:space="preserve"> </w:t>
      </w:r>
      <w:proofErr w:type="spellStart"/>
      <w:r w:rsidRPr="00CA6703">
        <w:rPr>
          <w:rFonts w:ascii="Times New Roman" w:hAnsi="Times New Roman" w:cs="Arial"/>
          <w:iCs/>
          <w:color w:val="323233"/>
          <w:lang w:val="de-DE"/>
        </w:rPr>
        <w:t>tiesībspējas</w:t>
      </w:r>
      <w:proofErr w:type="spellEnd"/>
      <w:r w:rsidRPr="00CA6703">
        <w:rPr>
          <w:rFonts w:ascii="Times New Roman" w:hAnsi="Times New Roman" w:cs="Arial"/>
          <w:iCs/>
          <w:color w:val="323233"/>
          <w:lang w:val="de-DE"/>
        </w:rPr>
        <w:t xml:space="preserve"> </w:t>
      </w:r>
      <w:proofErr w:type="spellStart"/>
      <w:r w:rsidRPr="00CA6703">
        <w:rPr>
          <w:rFonts w:ascii="Times New Roman" w:hAnsi="Times New Roman" w:cs="Arial"/>
          <w:iCs/>
          <w:color w:val="323233"/>
          <w:lang w:val="de-DE"/>
        </w:rPr>
        <w:t>un</w:t>
      </w:r>
      <w:proofErr w:type="spellEnd"/>
      <w:r w:rsidRPr="00CA6703">
        <w:rPr>
          <w:rFonts w:ascii="Times New Roman" w:hAnsi="Times New Roman" w:cs="Arial"/>
          <w:iCs/>
          <w:color w:val="323233"/>
          <w:lang w:val="de-DE"/>
        </w:rPr>
        <w:t xml:space="preserve"> </w:t>
      </w:r>
      <w:proofErr w:type="spellStart"/>
      <w:r w:rsidRPr="00CA6703">
        <w:rPr>
          <w:rFonts w:ascii="Times New Roman" w:hAnsi="Times New Roman" w:cs="Arial"/>
          <w:iCs/>
          <w:color w:val="323233"/>
          <w:lang w:val="de-DE"/>
        </w:rPr>
        <w:t>rīcībspējas</w:t>
      </w:r>
      <w:proofErr w:type="spellEnd"/>
      <w:r w:rsidRPr="00CA6703">
        <w:rPr>
          <w:rFonts w:ascii="Times New Roman" w:hAnsi="Times New Roman" w:cs="Arial"/>
          <w:iCs/>
          <w:color w:val="323233"/>
          <w:lang w:val="de-DE"/>
        </w:rPr>
        <w:t xml:space="preserve"> </w:t>
      </w:r>
      <w:proofErr w:type="spellStart"/>
      <w:r w:rsidRPr="00CA6703">
        <w:rPr>
          <w:rFonts w:ascii="Times New Roman" w:hAnsi="Times New Roman" w:cs="Arial"/>
          <w:iCs/>
          <w:color w:val="323233"/>
          <w:lang w:val="de-DE"/>
        </w:rPr>
        <w:t>noteikšanai</w:t>
      </w:r>
      <w:proofErr w:type="spellEnd"/>
      <w:r w:rsidRPr="00CA6703">
        <w:rPr>
          <w:rFonts w:ascii="Times New Roman" w:hAnsi="Times New Roman" w:cs="Arial"/>
          <w:iCs/>
          <w:color w:val="323233"/>
          <w:lang w:val="de-DE"/>
        </w:rPr>
        <w:t xml:space="preserve"> </w:t>
      </w:r>
      <w:proofErr w:type="spellStart"/>
      <w:r w:rsidRPr="00CA6703">
        <w:rPr>
          <w:rFonts w:ascii="Times New Roman" w:hAnsi="Times New Roman" w:cs="Arial"/>
          <w:iCs/>
          <w:color w:val="323233"/>
          <w:lang w:val="de-DE"/>
        </w:rPr>
        <w:t>piemērojamā</w:t>
      </w:r>
      <w:proofErr w:type="spellEnd"/>
      <w:r w:rsidRPr="00CA6703">
        <w:rPr>
          <w:rFonts w:ascii="Times New Roman" w:hAnsi="Times New Roman" w:cs="Arial"/>
          <w:iCs/>
          <w:color w:val="323233"/>
          <w:lang w:val="de-DE"/>
        </w:rPr>
        <w:t xml:space="preserve"> </w:t>
      </w:r>
      <w:proofErr w:type="spellStart"/>
      <w:r w:rsidRPr="00CA6703">
        <w:rPr>
          <w:rFonts w:ascii="Times New Roman" w:hAnsi="Times New Roman" w:cs="Arial"/>
          <w:iCs/>
          <w:color w:val="323233"/>
          <w:lang w:val="de-DE"/>
        </w:rPr>
        <w:t>kolīziju</w:t>
      </w:r>
      <w:proofErr w:type="spellEnd"/>
      <w:r w:rsidRPr="00CA6703">
        <w:rPr>
          <w:rFonts w:ascii="Times New Roman" w:hAnsi="Times New Roman" w:cs="Arial"/>
          <w:iCs/>
          <w:color w:val="323233"/>
          <w:lang w:val="de-DE"/>
        </w:rPr>
        <w:t xml:space="preserve"> </w:t>
      </w:r>
      <w:proofErr w:type="spellStart"/>
      <w:r w:rsidRPr="00CA6703">
        <w:rPr>
          <w:rFonts w:ascii="Times New Roman" w:hAnsi="Times New Roman" w:cs="Arial"/>
          <w:iCs/>
          <w:color w:val="323233"/>
          <w:lang w:val="de-DE"/>
        </w:rPr>
        <w:t>norma</w:t>
      </w:r>
      <w:proofErr w:type="spellEnd"/>
      <w:r w:rsidRPr="00CA6703">
        <w:rPr>
          <w:rFonts w:ascii="Times New Roman" w:hAnsi="Times New Roman" w:cs="Arial"/>
          <w:iCs/>
          <w:color w:val="323233"/>
          <w:lang w:val="de-DE"/>
        </w:rPr>
        <w:t xml:space="preserve"> </w:t>
      </w:r>
      <w:proofErr w:type="spellStart"/>
      <w:r w:rsidRPr="00CA6703">
        <w:rPr>
          <w:rFonts w:ascii="Times New Roman" w:hAnsi="Times New Roman" w:cs="Arial"/>
          <w:iCs/>
          <w:color w:val="323233"/>
          <w:lang w:val="de-DE"/>
        </w:rPr>
        <w:t>būs</w:t>
      </w:r>
      <w:proofErr w:type="spellEnd"/>
      <w:r w:rsidRPr="00CA6703">
        <w:rPr>
          <w:rFonts w:ascii="Times New Roman" w:hAnsi="Times New Roman" w:cs="Arial"/>
          <w:iCs/>
          <w:color w:val="323233"/>
          <w:lang w:val="de-DE"/>
        </w:rPr>
        <w:t xml:space="preserve"> CL </w:t>
      </w:r>
      <w:proofErr w:type="spellStart"/>
      <w:r w:rsidRPr="00CA6703">
        <w:rPr>
          <w:rFonts w:ascii="Times New Roman" w:hAnsi="Times New Roman" w:cs="Arial"/>
          <w:iCs/>
          <w:color w:val="323233"/>
          <w:lang w:val="de-DE"/>
        </w:rPr>
        <w:t>Ievada</w:t>
      </w:r>
      <w:proofErr w:type="spellEnd"/>
      <w:r w:rsidRPr="00CA6703">
        <w:rPr>
          <w:rFonts w:ascii="Times New Roman" w:hAnsi="Times New Roman" w:cs="Arial"/>
          <w:iCs/>
          <w:color w:val="323233"/>
          <w:lang w:val="de-DE"/>
        </w:rPr>
        <w:t xml:space="preserve"> 8.panta </w:t>
      </w:r>
      <w:proofErr w:type="spellStart"/>
      <w:r w:rsidRPr="00CA6703">
        <w:rPr>
          <w:rFonts w:ascii="Times New Roman" w:hAnsi="Times New Roman" w:cs="Arial"/>
          <w:iCs/>
          <w:color w:val="323233"/>
          <w:lang w:val="de-DE"/>
        </w:rPr>
        <w:t>trešā</w:t>
      </w:r>
      <w:proofErr w:type="spellEnd"/>
      <w:r w:rsidRPr="00CA6703">
        <w:rPr>
          <w:rFonts w:ascii="Times New Roman" w:hAnsi="Times New Roman" w:cs="Arial"/>
          <w:iCs/>
          <w:color w:val="323233"/>
          <w:lang w:val="de-DE"/>
        </w:rPr>
        <w:t xml:space="preserve"> </w:t>
      </w:r>
      <w:proofErr w:type="spellStart"/>
      <w:r w:rsidRPr="00CA6703">
        <w:rPr>
          <w:rFonts w:ascii="Times New Roman" w:hAnsi="Times New Roman" w:cs="Arial"/>
          <w:iCs/>
          <w:color w:val="323233"/>
          <w:lang w:val="de-DE"/>
        </w:rPr>
        <w:t>daļa</w:t>
      </w:r>
      <w:proofErr w:type="spellEnd"/>
      <w:r w:rsidRPr="00CA6703">
        <w:rPr>
          <w:rFonts w:ascii="Times New Roman" w:hAnsi="Times New Roman" w:cs="Arial"/>
          <w:iCs/>
          <w:color w:val="323233"/>
          <w:lang w:val="de-DE"/>
        </w:rPr>
        <w:t xml:space="preserve">. </w:t>
      </w:r>
      <w:proofErr w:type="spellStart"/>
      <w:r w:rsidRPr="00CA6703">
        <w:rPr>
          <w:rFonts w:ascii="Times New Roman" w:hAnsi="Times New Roman" w:cs="Arial"/>
          <w:iCs/>
          <w:color w:val="323233"/>
          <w:lang w:val="de-DE"/>
        </w:rPr>
        <w:t>Reģistrācijas</w:t>
      </w:r>
      <w:proofErr w:type="spellEnd"/>
      <w:r>
        <w:rPr>
          <w:rFonts w:ascii="Times New Roman" w:hAnsi="Times New Roman" w:cs="Arial"/>
          <w:iCs/>
          <w:color w:val="323233"/>
          <w:lang w:val="de-DE"/>
        </w:rPr>
        <w:t xml:space="preserve"> </w:t>
      </w:r>
      <w:proofErr w:type="spellStart"/>
      <w:r>
        <w:rPr>
          <w:rFonts w:ascii="Times New Roman" w:hAnsi="Times New Roman" w:cs="Arial"/>
          <w:iCs/>
          <w:color w:val="323233"/>
          <w:lang w:val="de-DE"/>
        </w:rPr>
        <w:t>vietas</w:t>
      </w:r>
      <w:proofErr w:type="spellEnd"/>
      <w:r>
        <w:rPr>
          <w:rFonts w:ascii="Times New Roman" w:hAnsi="Times New Roman" w:cs="Arial"/>
          <w:iCs/>
          <w:color w:val="323233"/>
          <w:lang w:val="de-DE"/>
        </w:rPr>
        <w:t xml:space="preserve"> </w:t>
      </w:r>
      <w:proofErr w:type="spellStart"/>
      <w:r>
        <w:rPr>
          <w:rFonts w:ascii="Times New Roman" w:hAnsi="Times New Roman" w:cs="Arial"/>
          <w:iCs/>
          <w:color w:val="323233"/>
          <w:lang w:val="de-DE"/>
        </w:rPr>
        <w:t>likums</w:t>
      </w:r>
      <w:proofErr w:type="spellEnd"/>
      <w:r>
        <w:rPr>
          <w:rFonts w:ascii="Times New Roman" w:hAnsi="Times New Roman" w:cs="Arial"/>
          <w:iCs/>
          <w:color w:val="323233"/>
          <w:lang w:val="de-DE"/>
        </w:rPr>
        <w:t xml:space="preserve"> </w:t>
      </w:r>
      <w:proofErr w:type="spellStart"/>
      <w:r>
        <w:rPr>
          <w:rFonts w:ascii="Times New Roman" w:hAnsi="Times New Roman" w:cs="Arial"/>
          <w:iCs/>
          <w:color w:val="323233"/>
          <w:lang w:val="de-DE"/>
        </w:rPr>
        <w:t>sakritīs</w:t>
      </w:r>
      <w:proofErr w:type="spellEnd"/>
      <w:r>
        <w:rPr>
          <w:rFonts w:ascii="Times New Roman" w:hAnsi="Times New Roman" w:cs="Arial"/>
          <w:iCs/>
          <w:color w:val="323233"/>
          <w:lang w:val="de-DE"/>
        </w:rPr>
        <w:t xml:space="preserve"> </w:t>
      </w:r>
      <w:proofErr w:type="spellStart"/>
      <w:r>
        <w:rPr>
          <w:rFonts w:ascii="Times New Roman" w:hAnsi="Times New Roman" w:cs="Arial"/>
          <w:iCs/>
          <w:color w:val="323233"/>
          <w:lang w:val="de-DE"/>
        </w:rPr>
        <w:t>ar</w:t>
      </w:r>
      <w:proofErr w:type="spellEnd"/>
      <w:r>
        <w:rPr>
          <w:rFonts w:ascii="Times New Roman" w:hAnsi="Times New Roman" w:cs="Arial"/>
          <w:iCs/>
          <w:color w:val="323233"/>
          <w:lang w:val="de-DE"/>
        </w:rPr>
        <w:t xml:space="preserve"> </w:t>
      </w:r>
      <w:proofErr w:type="spellStart"/>
      <w:r>
        <w:rPr>
          <w:rFonts w:ascii="Times New Roman" w:hAnsi="Times New Roman" w:cs="Arial"/>
          <w:iCs/>
          <w:color w:val="323233"/>
          <w:lang w:val="de-DE"/>
        </w:rPr>
        <w:t>valdes</w:t>
      </w:r>
      <w:proofErr w:type="spellEnd"/>
      <w:r>
        <w:rPr>
          <w:rFonts w:ascii="Times New Roman" w:hAnsi="Times New Roman" w:cs="Arial"/>
          <w:iCs/>
          <w:color w:val="323233"/>
          <w:lang w:val="de-DE"/>
        </w:rPr>
        <w:t xml:space="preserve"> </w:t>
      </w:r>
      <w:proofErr w:type="spellStart"/>
      <w:r>
        <w:rPr>
          <w:rFonts w:ascii="Times New Roman" w:hAnsi="Times New Roman" w:cs="Arial"/>
          <w:iCs/>
          <w:color w:val="323233"/>
          <w:lang w:val="de-DE"/>
        </w:rPr>
        <w:t>atrašanās</w:t>
      </w:r>
      <w:proofErr w:type="spellEnd"/>
      <w:r>
        <w:rPr>
          <w:rFonts w:ascii="Times New Roman" w:hAnsi="Times New Roman" w:cs="Arial"/>
          <w:iCs/>
          <w:color w:val="323233"/>
          <w:lang w:val="de-DE"/>
        </w:rPr>
        <w:t xml:space="preserve"> </w:t>
      </w:r>
      <w:proofErr w:type="spellStart"/>
      <w:r>
        <w:rPr>
          <w:rFonts w:ascii="Times New Roman" w:hAnsi="Times New Roman" w:cs="Arial"/>
          <w:iCs/>
          <w:color w:val="323233"/>
          <w:lang w:val="de-DE"/>
        </w:rPr>
        <w:t>vietas</w:t>
      </w:r>
      <w:proofErr w:type="spellEnd"/>
      <w:r>
        <w:rPr>
          <w:rFonts w:ascii="Times New Roman" w:hAnsi="Times New Roman" w:cs="Arial"/>
          <w:iCs/>
          <w:color w:val="323233"/>
          <w:lang w:val="de-DE"/>
        </w:rPr>
        <w:t xml:space="preserve"> </w:t>
      </w:r>
      <w:proofErr w:type="spellStart"/>
      <w:r>
        <w:rPr>
          <w:rFonts w:ascii="Times New Roman" w:hAnsi="Times New Roman" w:cs="Arial"/>
          <w:iCs/>
          <w:color w:val="323233"/>
          <w:lang w:val="de-DE"/>
        </w:rPr>
        <w:t>valsts</w:t>
      </w:r>
      <w:proofErr w:type="spellEnd"/>
      <w:r>
        <w:rPr>
          <w:rFonts w:ascii="Times New Roman" w:hAnsi="Times New Roman" w:cs="Arial"/>
          <w:iCs/>
          <w:color w:val="323233"/>
          <w:lang w:val="de-DE"/>
        </w:rPr>
        <w:t xml:space="preserve"> </w:t>
      </w:r>
      <w:proofErr w:type="spellStart"/>
      <w:r>
        <w:rPr>
          <w:rFonts w:ascii="Times New Roman" w:hAnsi="Times New Roman" w:cs="Arial"/>
          <w:iCs/>
          <w:color w:val="323233"/>
          <w:lang w:val="de-DE"/>
        </w:rPr>
        <w:t>likumu</w:t>
      </w:r>
      <w:proofErr w:type="spellEnd"/>
      <w:r>
        <w:rPr>
          <w:rFonts w:ascii="Times New Roman" w:hAnsi="Times New Roman" w:cs="Arial"/>
          <w:iCs/>
          <w:color w:val="323233"/>
          <w:lang w:val="de-DE"/>
        </w:rPr>
        <w:t xml:space="preserve"> </w:t>
      </w:r>
      <w:proofErr w:type="spellStart"/>
      <w:r>
        <w:rPr>
          <w:rFonts w:ascii="Times New Roman" w:hAnsi="Times New Roman" w:cs="Arial"/>
          <w:iCs/>
          <w:color w:val="323233"/>
          <w:lang w:val="de-DE"/>
        </w:rPr>
        <w:t>tad</w:t>
      </w:r>
      <w:proofErr w:type="spellEnd"/>
      <w:r>
        <w:rPr>
          <w:rFonts w:ascii="Times New Roman" w:hAnsi="Times New Roman" w:cs="Arial"/>
          <w:iCs/>
          <w:color w:val="323233"/>
          <w:lang w:val="de-DE"/>
        </w:rPr>
        <w:t xml:space="preserve">, ja </w:t>
      </w:r>
      <w:proofErr w:type="spellStart"/>
      <w:r>
        <w:rPr>
          <w:rFonts w:ascii="Times New Roman" w:hAnsi="Times New Roman" w:cs="Arial"/>
          <w:iCs/>
          <w:color w:val="323233"/>
          <w:lang w:val="de-DE"/>
        </w:rPr>
        <w:t>valdes</w:t>
      </w:r>
      <w:proofErr w:type="spellEnd"/>
      <w:r>
        <w:rPr>
          <w:rFonts w:ascii="Times New Roman" w:hAnsi="Times New Roman" w:cs="Arial"/>
          <w:iCs/>
          <w:color w:val="323233"/>
          <w:lang w:val="de-DE"/>
        </w:rPr>
        <w:t xml:space="preserve"> </w:t>
      </w:r>
      <w:proofErr w:type="spellStart"/>
      <w:r>
        <w:rPr>
          <w:rFonts w:ascii="Times New Roman" w:hAnsi="Times New Roman" w:cs="Arial"/>
          <w:iCs/>
          <w:color w:val="323233"/>
          <w:lang w:val="de-DE"/>
        </w:rPr>
        <w:t>atrašanās</w:t>
      </w:r>
      <w:proofErr w:type="spellEnd"/>
      <w:r>
        <w:rPr>
          <w:rFonts w:ascii="Times New Roman" w:hAnsi="Times New Roman" w:cs="Arial"/>
          <w:iCs/>
          <w:color w:val="323233"/>
          <w:lang w:val="de-DE"/>
        </w:rPr>
        <w:t xml:space="preserve"> </w:t>
      </w:r>
      <w:proofErr w:type="spellStart"/>
      <w:r>
        <w:rPr>
          <w:rFonts w:ascii="Times New Roman" w:hAnsi="Times New Roman" w:cs="Arial"/>
          <w:iCs/>
          <w:color w:val="323233"/>
          <w:lang w:val="de-DE"/>
        </w:rPr>
        <w:t>vieta</w:t>
      </w:r>
      <w:proofErr w:type="spellEnd"/>
      <w:r>
        <w:rPr>
          <w:rFonts w:ascii="Times New Roman" w:hAnsi="Times New Roman" w:cs="Arial"/>
          <w:iCs/>
          <w:color w:val="323233"/>
          <w:lang w:val="de-DE"/>
        </w:rPr>
        <w:t xml:space="preserve"> </w:t>
      </w:r>
      <w:proofErr w:type="spellStart"/>
      <w:r>
        <w:rPr>
          <w:rFonts w:ascii="Times New Roman" w:hAnsi="Times New Roman" w:cs="Arial"/>
          <w:iCs/>
          <w:color w:val="323233"/>
          <w:lang w:val="de-DE"/>
        </w:rPr>
        <w:t>arī</w:t>
      </w:r>
      <w:proofErr w:type="spellEnd"/>
      <w:r>
        <w:rPr>
          <w:rFonts w:ascii="Times New Roman" w:hAnsi="Times New Roman" w:cs="Arial"/>
          <w:iCs/>
          <w:color w:val="323233"/>
          <w:lang w:val="de-DE"/>
        </w:rPr>
        <w:t xml:space="preserve"> </w:t>
      </w:r>
      <w:proofErr w:type="spellStart"/>
      <w:r>
        <w:rPr>
          <w:rFonts w:ascii="Times New Roman" w:hAnsi="Times New Roman" w:cs="Arial"/>
          <w:iCs/>
          <w:color w:val="323233"/>
          <w:lang w:val="de-DE"/>
        </w:rPr>
        <w:t>ir</w:t>
      </w:r>
      <w:proofErr w:type="spellEnd"/>
      <w:r>
        <w:rPr>
          <w:rFonts w:ascii="Times New Roman" w:hAnsi="Times New Roman" w:cs="Arial"/>
          <w:iCs/>
          <w:color w:val="323233"/>
          <w:lang w:val="de-DE"/>
        </w:rPr>
        <w:t xml:space="preserve"> ASV.</w:t>
      </w:r>
    </w:p>
    <w:p w14:paraId="66FF342E" w14:textId="77777777" w:rsidR="00114953" w:rsidRDefault="00114953" w:rsidP="00114953">
      <w:pPr>
        <w:widowControl w:val="0"/>
        <w:autoSpaceDE w:val="0"/>
        <w:autoSpaceDN w:val="0"/>
        <w:adjustRightInd w:val="0"/>
        <w:jc w:val="both"/>
        <w:rPr>
          <w:rFonts w:ascii="Times New Roman" w:hAnsi="Times New Roman" w:cs="Arial"/>
          <w:iCs/>
          <w:color w:val="323233"/>
          <w:lang w:val="lv-LV"/>
        </w:rPr>
      </w:pPr>
    </w:p>
    <w:p w14:paraId="6781C624" w14:textId="77777777" w:rsidR="00114953" w:rsidRDefault="00114953" w:rsidP="00114953">
      <w:pPr>
        <w:widowControl w:val="0"/>
        <w:autoSpaceDE w:val="0"/>
        <w:autoSpaceDN w:val="0"/>
        <w:adjustRightInd w:val="0"/>
        <w:ind w:firstLine="708"/>
        <w:jc w:val="both"/>
        <w:rPr>
          <w:rFonts w:ascii="Times New Roman" w:hAnsi="Times New Roman" w:cs="Arial"/>
          <w:iCs/>
          <w:color w:val="323233"/>
          <w:lang w:val="lv-LV"/>
        </w:rPr>
      </w:pPr>
      <w:r>
        <w:rPr>
          <w:rFonts w:ascii="Times New Roman" w:hAnsi="Times New Roman" w:cs="Arial"/>
          <w:iCs/>
          <w:color w:val="323233"/>
          <w:lang w:val="lv-LV"/>
        </w:rPr>
        <w:t xml:space="preserve">ASV reģistrētas juridiskās personas </w:t>
      </w:r>
      <w:r w:rsidRPr="00C41FD5">
        <w:rPr>
          <w:rFonts w:ascii="Times New Roman" w:hAnsi="Times New Roman" w:cs="Arial"/>
          <w:b/>
          <w:iCs/>
          <w:color w:val="323233"/>
          <w:lang w:val="lv-LV"/>
        </w:rPr>
        <w:t>tiesībspēju</w:t>
      </w:r>
      <w:r>
        <w:rPr>
          <w:rFonts w:ascii="Times New Roman" w:hAnsi="Times New Roman" w:cs="Arial"/>
          <w:iCs/>
          <w:color w:val="323233"/>
          <w:lang w:val="lv-LV"/>
        </w:rPr>
        <w:t xml:space="preserve"> var pierādīt ar </w:t>
      </w:r>
      <w:proofErr w:type="spellStart"/>
      <w:r w:rsidRPr="007648A0">
        <w:rPr>
          <w:rFonts w:ascii="Times New Roman" w:hAnsi="Times New Roman" w:cs="Arial"/>
          <w:i/>
          <w:iCs/>
          <w:color w:val="323233"/>
          <w:lang w:val="lv-LV"/>
        </w:rPr>
        <w:t>certificate</w:t>
      </w:r>
      <w:proofErr w:type="spellEnd"/>
      <w:r w:rsidRPr="007648A0">
        <w:rPr>
          <w:rFonts w:ascii="Times New Roman" w:hAnsi="Times New Roman" w:cs="Arial"/>
          <w:i/>
          <w:iCs/>
          <w:color w:val="323233"/>
          <w:lang w:val="lv-LV"/>
        </w:rPr>
        <w:t xml:space="preserve"> </w:t>
      </w:r>
      <w:proofErr w:type="spellStart"/>
      <w:r w:rsidRPr="007648A0">
        <w:rPr>
          <w:rFonts w:ascii="Times New Roman" w:hAnsi="Times New Roman" w:cs="Arial"/>
          <w:i/>
          <w:iCs/>
          <w:color w:val="323233"/>
          <w:lang w:val="lv-LV"/>
        </w:rPr>
        <w:t>of</w:t>
      </w:r>
      <w:proofErr w:type="spellEnd"/>
      <w:r w:rsidRPr="007648A0">
        <w:rPr>
          <w:rFonts w:ascii="Times New Roman" w:hAnsi="Times New Roman" w:cs="Arial"/>
          <w:i/>
          <w:iCs/>
          <w:color w:val="323233"/>
          <w:lang w:val="lv-LV"/>
        </w:rPr>
        <w:t xml:space="preserve"> </w:t>
      </w:r>
      <w:proofErr w:type="spellStart"/>
      <w:r w:rsidRPr="007648A0">
        <w:rPr>
          <w:rFonts w:ascii="Times New Roman" w:hAnsi="Times New Roman" w:cs="Arial"/>
          <w:i/>
          <w:iCs/>
          <w:color w:val="323233"/>
          <w:lang w:val="lv-LV"/>
        </w:rPr>
        <w:t>incorporation</w:t>
      </w:r>
      <w:proofErr w:type="spellEnd"/>
      <w:r>
        <w:rPr>
          <w:rFonts w:ascii="Times New Roman" w:hAnsi="Times New Roman" w:cs="Arial"/>
          <w:iCs/>
          <w:color w:val="323233"/>
          <w:lang w:val="lv-LV"/>
        </w:rPr>
        <w:t xml:space="preserve"> vai </w:t>
      </w:r>
      <w:proofErr w:type="spellStart"/>
      <w:r w:rsidRPr="007648A0">
        <w:rPr>
          <w:rFonts w:ascii="Times New Roman" w:hAnsi="Times New Roman" w:cs="Arial"/>
          <w:i/>
          <w:iCs/>
          <w:color w:val="323233"/>
          <w:lang w:val="lv-LV"/>
        </w:rPr>
        <w:t>certificate</w:t>
      </w:r>
      <w:proofErr w:type="spellEnd"/>
      <w:r w:rsidRPr="007648A0">
        <w:rPr>
          <w:rFonts w:ascii="Times New Roman" w:hAnsi="Times New Roman" w:cs="Arial"/>
          <w:i/>
          <w:iCs/>
          <w:color w:val="323233"/>
          <w:lang w:val="lv-LV"/>
        </w:rPr>
        <w:t xml:space="preserve"> </w:t>
      </w:r>
      <w:proofErr w:type="spellStart"/>
      <w:r w:rsidRPr="007648A0">
        <w:rPr>
          <w:rFonts w:ascii="Times New Roman" w:hAnsi="Times New Roman" w:cs="Arial"/>
          <w:i/>
          <w:iCs/>
          <w:color w:val="323233"/>
          <w:lang w:val="lv-LV"/>
        </w:rPr>
        <w:t>of</w:t>
      </w:r>
      <w:proofErr w:type="spellEnd"/>
      <w:r w:rsidRPr="007648A0">
        <w:rPr>
          <w:rFonts w:ascii="Times New Roman" w:hAnsi="Times New Roman" w:cs="Arial"/>
          <w:i/>
          <w:iCs/>
          <w:color w:val="323233"/>
          <w:lang w:val="lv-LV"/>
        </w:rPr>
        <w:t xml:space="preserve"> </w:t>
      </w:r>
      <w:proofErr w:type="spellStart"/>
      <w:r w:rsidRPr="007648A0">
        <w:rPr>
          <w:rFonts w:ascii="Times New Roman" w:hAnsi="Times New Roman" w:cs="Arial"/>
          <w:i/>
          <w:iCs/>
          <w:color w:val="323233"/>
          <w:lang w:val="lv-LV"/>
        </w:rPr>
        <w:t>good</w:t>
      </w:r>
      <w:proofErr w:type="spellEnd"/>
      <w:r w:rsidRPr="007648A0">
        <w:rPr>
          <w:rFonts w:ascii="Times New Roman" w:hAnsi="Times New Roman" w:cs="Arial"/>
          <w:i/>
          <w:iCs/>
          <w:color w:val="323233"/>
          <w:lang w:val="lv-LV"/>
        </w:rPr>
        <w:t xml:space="preserve"> </w:t>
      </w:r>
      <w:proofErr w:type="spellStart"/>
      <w:r w:rsidRPr="007648A0">
        <w:rPr>
          <w:rFonts w:ascii="Times New Roman" w:hAnsi="Times New Roman" w:cs="Arial"/>
          <w:i/>
          <w:iCs/>
          <w:color w:val="323233"/>
          <w:lang w:val="lv-LV"/>
        </w:rPr>
        <w:t>standing</w:t>
      </w:r>
      <w:proofErr w:type="spellEnd"/>
      <w:r>
        <w:rPr>
          <w:rFonts w:ascii="Times New Roman" w:hAnsi="Times New Roman" w:cs="Arial"/>
          <w:iCs/>
          <w:color w:val="323233"/>
          <w:lang w:val="lv-LV"/>
        </w:rPr>
        <w:t xml:space="preserve">: tie arī ir publiski dokumenti, kurus ASV izdod attiecīgā štata Valsts </w:t>
      </w:r>
      <w:proofErr w:type="spellStart"/>
      <w:r>
        <w:rPr>
          <w:rFonts w:ascii="Times New Roman" w:hAnsi="Times New Roman" w:cs="Arial"/>
          <w:iCs/>
          <w:color w:val="323233"/>
          <w:lang w:val="lv-LV"/>
        </w:rPr>
        <w:t>sekretāts</w:t>
      </w:r>
      <w:proofErr w:type="spellEnd"/>
      <w:r>
        <w:rPr>
          <w:rFonts w:ascii="Times New Roman" w:hAnsi="Times New Roman" w:cs="Arial"/>
          <w:iCs/>
          <w:color w:val="323233"/>
          <w:lang w:val="lv-LV"/>
        </w:rPr>
        <w:t xml:space="preserve"> (</w:t>
      </w:r>
      <w:proofErr w:type="spellStart"/>
      <w:r w:rsidRPr="009543A7">
        <w:rPr>
          <w:rFonts w:ascii="Times New Roman" w:hAnsi="Times New Roman" w:cs="Arial"/>
          <w:i/>
          <w:iCs/>
          <w:color w:val="323233"/>
          <w:lang w:val="lv-LV"/>
        </w:rPr>
        <w:t>Secretary</w:t>
      </w:r>
      <w:proofErr w:type="spellEnd"/>
      <w:r w:rsidRPr="009543A7">
        <w:rPr>
          <w:rFonts w:ascii="Times New Roman" w:hAnsi="Times New Roman" w:cs="Arial"/>
          <w:i/>
          <w:iCs/>
          <w:color w:val="323233"/>
          <w:lang w:val="lv-LV"/>
        </w:rPr>
        <w:t xml:space="preserve"> </w:t>
      </w:r>
      <w:proofErr w:type="spellStart"/>
      <w:r w:rsidRPr="009543A7">
        <w:rPr>
          <w:rFonts w:ascii="Times New Roman" w:hAnsi="Times New Roman" w:cs="Arial"/>
          <w:i/>
          <w:iCs/>
          <w:color w:val="323233"/>
          <w:lang w:val="lv-LV"/>
        </w:rPr>
        <w:t>of</w:t>
      </w:r>
      <w:proofErr w:type="spellEnd"/>
      <w:r w:rsidRPr="009543A7">
        <w:rPr>
          <w:rFonts w:ascii="Times New Roman" w:hAnsi="Times New Roman" w:cs="Arial"/>
          <w:i/>
          <w:iCs/>
          <w:color w:val="323233"/>
          <w:lang w:val="lv-LV"/>
        </w:rPr>
        <w:t xml:space="preserve"> </w:t>
      </w:r>
      <w:proofErr w:type="spellStart"/>
      <w:r w:rsidRPr="009543A7">
        <w:rPr>
          <w:rFonts w:ascii="Times New Roman" w:hAnsi="Times New Roman" w:cs="Arial"/>
          <w:i/>
          <w:iCs/>
          <w:color w:val="323233"/>
          <w:lang w:val="lv-LV"/>
        </w:rPr>
        <w:t>State</w:t>
      </w:r>
      <w:proofErr w:type="spellEnd"/>
      <w:r>
        <w:rPr>
          <w:rFonts w:ascii="Times New Roman" w:hAnsi="Times New Roman" w:cs="Arial"/>
          <w:iCs/>
          <w:color w:val="323233"/>
          <w:lang w:val="lv-LV"/>
        </w:rPr>
        <w:t xml:space="preserve">) un tie apliecina juridiskas personas </w:t>
      </w:r>
      <w:r w:rsidRPr="00DD2718">
        <w:rPr>
          <w:rFonts w:ascii="Times New Roman" w:hAnsi="Times New Roman" w:cs="Arial"/>
          <w:iCs/>
          <w:color w:val="323233"/>
          <w:u w:val="single"/>
          <w:lang w:val="lv-LV"/>
        </w:rPr>
        <w:t xml:space="preserve">esamību </w:t>
      </w:r>
      <w:r w:rsidRPr="00C41FD5">
        <w:rPr>
          <w:rFonts w:ascii="Times New Roman" w:hAnsi="Times New Roman" w:cs="Arial"/>
          <w:iCs/>
          <w:color w:val="323233"/>
          <w:u w:val="single"/>
          <w:lang w:val="lv-LV"/>
        </w:rPr>
        <w:t>(tiesībspēju</w:t>
      </w:r>
      <w:r w:rsidRPr="00C41FD5">
        <w:rPr>
          <w:rFonts w:ascii="Times New Roman" w:hAnsi="Times New Roman" w:cs="Arial"/>
          <w:iCs/>
          <w:color w:val="323233"/>
          <w:lang w:val="lv-LV"/>
        </w:rPr>
        <w:t>).</w:t>
      </w:r>
      <w:r>
        <w:rPr>
          <w:rFonts w:ascii="Times New Roman" w:hAnsi="Times New Roman" w:cs="Arial"/>
          <w:iCs/>
          <w:color w:val="323233"/>
          <w:lang w:val="lv-LV"/>
        </w:rPr>
        <w:t xml:space="preserve"> Jāņem vērā, ka amerikāņu </w:t>
      </w:r>
      <w:proofErr w:type="spellStart"/>
      <w:r w:rsidRPr="00B36432">
        <w:rPr>
          <w:rFonts w:ascii="Times New Roman" w:hAnsi="Times New Roman" w:cs="Arial"/>
          <w:i/>
          <w:iCs/>
          <w:color w:val="323233"/>
          <w:lang w:val="lv-LV"/>
        </w:rPr>
        <w:t>notary</w:t>
      </w:r>
      <w:proofErr w:type="spellEnd"/>
      <w:r w:rsidRPr="00B36432">
        <w:rPr>
          <w:rFonts w:ascii="Times New Roman" w:hAnsi="Times New Roman" w:cs="Arial"/>
          <w:i/>
          <w:iCs/>
          <w:color w:val="323233"/>
          <w:lang w:val="lv-LV"/>
        </w:rPr>
        <w:t xml:space="preserve"> </w:t>
      </w:r>
      <w:proofErr w:type="spellStart"/>
      <w:r w:rsidRPr="00B36432">
        <w:rPr>
          <w:rFonts w:ascii="Times New Roman" w:hAnsi="Times New Roman" w:cs="Arial"/>
          <w:i/>
          <w:iCs/>
          <w:color w:val="323233"/>
          <w:lang w:val="lv-LV"/>
        </w:rPr>
        <w:t>public</w:t>
      </w:r>
      <w:proofErr w:type="spellEnd"/>
      <w:r>
        <w:rPr>
          <w:rFonts w:ascii="Times New Roman" w:hAnsi="Times New Roman" w:cs="Arial"/>
          <w:iCs/>
          <w:color w:val="323233"/>
          <w:lang w:val="lv-LV"/>
        </w:rPr>
        <w:t xml:space="preserve"> nav tiesīgi izdot apliecinājumus.</w:t>
      </w:r>
      <w:r>
        <w:rPr>
          <w:rStyle w:val="FootnoteReference"/>
          <w:rFonts w:ascii="Times New Roman" w:hAnsi="Times New Roman" w:cs="Arial"/>
          <w:iCs/>
          <w:color w:val="323233"/>
          <w:lang w:val="lv-LV"/>
        </w:rPr>
        <w:footnoteReference w:id="160"/>
      </w:r>
      <w:r>
        <w:rPr>
          <w:rFonts w:ascii="Times New Roman" w:hAnsi="Times New Roman" w:cs="Arial"/>
          <w:iCs/>
          <w:color w:val="323233"/>
          <w:lang w:val="lv-LV"/>
        </w:rPr>
        <w:t xml:space="preserve"> </w:t>
      </w:r>
    </w:p>
    <w:p w14:paraId="789B2F76" w14:textId="77777777" w:rsidR="00114953" w:rsidRDefault="00114953" w:rsidP="00114953">
      <w:pPr>
        <w:widowControl w:val="0"/>
        <w:autoSpaceDE w:val="0"/>
        <w:autoSpaceDN w:val="0"/>
        <w:adjustRightInd w:val="0"/>
        <w:ind w:firstLine="708"/>
        <w:jc w:val="both"/>
        <w:rPr>
          <w:rFonts w:ascii="Times New Roman" w:hAnsi="Times New Roman" w:cs="Arial"/>
          <w:iCs/>
          <w:color w:val="323233"/>
          <w:lang w:val="lv-LV"/>
        </w:rPr>
      </w:pPr>
      <w:r>
        <w:rPr>
          <w:rFonts w:ascii="Times New Roman" w:hAnsi="Times New Roman" w:cs="Arial"/>
          <w:iCs/>
          <w:color w:val="323233"/>
          <w:lang w:val="lv-LV"/>
        </w:rPr>
        <w:t xml:space="preserve">ASV reģistrētas juridiskās personas </w:t>
      </w:r>
      <w:r w:rsidRPr="00C41FD5">
        <w:rPr>
          <w:rFonts w:ascii="Times New Roman" w:hAnsi="Times New Roman" w:cs="Arial"/>
          <w:b/>
          <w:iCs/>
          <w:color w:val="323233"/>
          <w:lang w:val="lv-LV"/>
        </w:rPr>
        <w:t xml:space="preserve">tiesībspēju </w:t>
      </w:r>
      <w:r>
        <w:rPr>
          <w:rFonts w:ascii="Times New Roman" w:hAnsi="Times New Roman" w:cs="Arial"/>
          <w:iCs/>
          <w:color w:val="323233"/>
          <w:lang w:val="lv-LV"/>
        </w:rPr>
        <w:t xml:space="preserve">un </w:t>
      </w:r>
      <w:r w:rsidRPr="00C41FD5">
        <w:rPr>
          <w:rFonts w:ascii="Times New Roman" w:hAnsi="Times New Roman" w:cs="Arial"/>
          <w:b/>
          <w:iCs/>
          <w:color w:val="323233"/>
          <w:lang w:val="lv-LV"/>
        </w:rPr>
        <w:t>pārstāvības tiesības</w:t>
      </w:r>
      <w:r>
        <w:rPr>
          <w:rFonts w:ascii="Times New Roman" w:hAnsi="Times New Roman" w:cs="Arial"/>
          <w:iCs/>
          <w:color w:val="323233"/>
          <w:lang w:val="lv-LV"/>
        </w:rPr>
        <w:t xml:space="preserve"> var pierādīt ar uzņēmuma sekretāra jeb rakstveža (</w:t>
      </w:r>
      <w:proofErr w:type="spellStart"/>
      <w:r w:rsidRPr="00C41FD5">
        <w:rPr>
          <w:rFonts w:ascii="Times New Roman" w:hAnsi="Times New Roman" w:cs="Arial"/>
          <w:i/>
          <w:iCs/>
          <w:color w:val="323233"/>
          <w:lang w:val="lv-LV"/>
        </w:rPr>
        <w:t>company</w:t>
      </w:r>
      <w:proofErr w:type="spellEnd"/>
      <w:r w:rsidRPr="00C41FD5">
        <w:rPr>
          <w:rFonts w:ascii="Times New Roman" w:hAnsi="Times New Roman" w:cs="Arial"/>
          <w:i/>
          <w:iCs/>
          <w:color w:val="323233"/>
          <w:lang w:val="lv-LV"/>
        </w:rPr>
        <w:t xml:space="preserve"> </w:t>
      </w:r>
      <w:proofErr w:type="spellStart"/>
      <w:r w:rsidRPr="00C41FD5">
        <w:rPr>
          <w:rFonts w:ascii="Times New Roman" w:hAnsi="Times New Roman" w:cs="Arial"/>
          <w:i/>
          <w:iCs/>
          <w:color w:val="323233"/>
          <w:lang w:val="lv-LV"/>
        </w:rPr>
        <w:t>secretary</w:t>
      </w:r>
      <w:proofErr w:type="spellEnd"/>
      <w:r>
        <w:rPr>
          <w:rFonts w:ascii="Times New Roman" w:hAnsi="Times New Roman" w:cs="Arial"/>
          <w:iCs/>
          <w:color w:val="323233"/>
          <w:lang w:val="lv-LV"/>
        </w:rPr>
        <w:t xml:space="preserve">) izdotu </w:t>
      </w:r>
      <w:proofErr w:type="spellStart"/>
      <w:r w:rsidRPr="00C41FD5">
        <w:rPr>
          <w:rFonts w:ascii="Times New Roman" w:hAnsi="Times New Roman" w:cs="Arial"/>
          <w:i/>
          <w:iCs/>
          <w:color w:val="323233"/>
          <w:lang w:val="lv-LV"/>
        </w:rPr>
        <w:t>secretary</w:t>
      </w:r>
      <w:r w:rsidRPr="000C7C76">
        <w:rPr>
          <w:rFonts w:ascii="Times New Roman" w:hAnsi="Times New Roman" w:cs="Arial"/>
          <w:i/>
          <w:iCs/>
          <w:color w:val="323233"/>
          <w:lang w:val="lv-LV"/>
        </w:rPr>
        <w:t>’</w:t>
      </w:r>
      <w:r w:rsidRPr="00C41FD5">
        <w:rPr>
          <w:rFonts w:ascii="Times New Roman" w:hAnsi="Times New Roman" w:cs="Arial"/>
          <w:i/>
          <w:iCs/>
          <w:color w:val="323233"/>
          <w:lang w:val="lv-LV"/>
        </w:rPr>
        <w:t>s</w:t>
      </w:r>
      <w:proofErr w:type="spellEnd"/>
      <w:r w:rsidRPr="00C41FD5">
        <w:rPr>
          <w:rFonts w:ascii="Times New Roman" w:hAnsi="Times New Roman" w:cs="Arial"/>
          <w:i/>
          <w:iCs/>
          <w:color w:val="323233"/>
          <w:lang w:val="lv-LV"/>
        </w:rPr>
        <w:t xml:space="preserve"> </w:t>
      </w:r>
      <w:proofErr w:type="spellStart"/>
      <w:r w:rsidRPr="00C41FD5">
        <w:rPr>
          <w:rFonts w:ascii="Times New Roman" w:hAnsi="Times New Roman" w:cs="Arial"/>
          <w:i/>
          <w:iCs/>
          <w:color w:val="323233"/>
          <w:lang w:val="lv-LV"/>
        </w:rPr>
        <w:t>certificate</w:t>
      </w:r>
      <w:proofErr w:type="spellEnd"/>
      <w:r>
        <w:rPr>
          <w:rFonts w:ascii="Times New Roman" w:hAnsi="Times New Roman" w:cs="Arial"/>
          <w:iCs/>
          <w:color w:val="323233"/>
          <w:lang w:val="lv-LV"/>
        </w:rPr>
        <w:t xml:space="preserve">, kas ir </w:t>
      </w:r>
      <w:r>
        <w:rPr>
          <w:rFonts w:ascii="Times New Roman" w:hAnsi="Times New Roman" w:cs="Arial"/>
          <w:iCs/>
          <w:color w:val="323233"/>
          <w:lang w:val="lv-LV"/>
        </w:rPr>
        <w:lastRenderedPageBreak/>
        <w:t>uzskatāms par publisku dokumentu.</w:t>
      </w:r>
      <w:r>
        <w:rPr>
          <w:rStyle w:val="FootnoteReference"/>
          <w:rFonts w:ascii="Times New Roman" w:hAnsi="Times New Roman" w:cs="Arial"/>
          <w:iCs/>
          <w:color w:val="323233"/>
          <w:lang w:val="lv-LV"/>
        </w:rPr>
        <w:footnoteReference w:id="161"/>
      </w:r>
    </w:p>
    <w:p w14:paraId="7478C0A5" w14:textId="77777777" w:rsidR="00114953" w:rsidRPr="00686747" w:rsidRDefault="00114953" w:rsidP="00114953">
      <w:pPr>
        <w:widowControl w:val="0"/>
        <w:autoSpaceDE w:val="0"/>
        <w:autoSpaceDN w:val="0"/>
        <w:adjustRightInd w:val="0"/>
        <w:jc w:val="both"/>
        <w:rPr>
          <w:rFonts w:ascii="Times New Roman" w:hAnsi="Times New Roman" w:cs="Arial"/>
          <w:iCs/>
          <w:color w:val="323233"/>
          <w:lang w:val="lv-LV"/>
        </w:rPr>
      </w:pPr>
    </w:p>
    <w:p w14:paraId="66205B28" w14:textId="77777777" w:rsidR="00114953" w:rsidRPr="000C7C76" w:rsidRDefault="00114953" w:rsidP="00114953">
      <w:pPr>
        <w:jc w:val="both"/>
        <w:rPr>
          <w:rFonts w:ascii="Times New Roman" w:hAnsi="Times New Roman" w:cs="Times New Roman"/>
          <w:color w:val="323233"/>
          <w:lang w:val="lv-LV"/>
        </w:rPr>
      </w:pPr>
    </w:p>
    <w:p w14:paraId="025601F9" w14:textId="77777777" w:rsidR="00114953" w:rsidRPr="000C7C76" w:rsidRDefault="00114953" w:rsidP="00114953">
      <w:pPr>
        <w:jc w:val="both"/>
        <w:rPr>
          <w:rFonts w:ascii="Times New Roman" w:hAnsi="Times New Roman" w:cs="Times New Roman"/>
          <w:lang w:val="lv-LV"/>
        </w:rPr>
      </w:pPr>
    </w:p>
    <w:p w14:paraId="38966B46" w14:textId="77777777" w:rsidR="00114953" w:rsidRPr="000C7C76" w:rsidRDefault="00114953" w:rsidP="00114953">
      <w:pPr>
        <w:jc w:val="both"/>
        <w:rPr>
          <w:rFonts w:ascii="Times New Roman" w:hAnsi="Times New Roman" w:cs="Times New Roman"/>
          <w:lang w:val="lv-LV"/>
        </w:rPr>
      </w:pPr>
    </w:p>
    <w:tbl>
      <w:tblPr>
        <w:tblStyle w:val="TableGrid"/>
        <w:tblW w:w="0" w:type="auto"/>
        <w:tblLook w:val="04A0" w:firstRow="1" w:lastRow="0" w:firstColumn="1" w:lastColumn="0" w:noHBand="0" w:noVBand="1"/>
      </w:tblPr>
      <w:tblGrid>
        <w:gridCol w:w="9206"/>
      </w:tblGrid>
      <w:tr w:rsidR="00114953" w:rsidRPr="000C7C76" w14:paraId="506A8CB2" w14:textId="77777777" w:rsidTr="00BF3A72">
        <w:tc>
          <w:tcPr>
            <w:tcW w:w="9206" w:type="dxa"/>
            <w:shd w:val="clear" w:color="auto" w:fill="D9D9D9" w:themeFill="background1" w:themeFillShade="D9"/>
          </w:tcPr>
          <w:p w14:paraId="7D9E30A6" w14:textId="77777777" w:rsidR="00114953" w:rsidRPr="006C311A" w:rsidRDefault="00114953" w:rsidP="00BF3A72">
            <w:pPr>
              <w:jc w:val="both"/>
              <w:rPr>
                <w:b/>
              </w:rPr>
            </w:pPr>
            <w:r w:rsidRPr="006C311A">
              <w:rPr>
                <w:b/>
              </w:rPr>
              <w:t xml:space="preserve">9. </w:t>
            </w:r>
            <w:proofErr w:type="spellStart"/>
            <w:r w:rsidRPr="006C311A">
              <w:rPr>
                <w:b/>
              </w:rPr>
              <w:t>Kādām</w:t>
            </w:r>
            <w:proofErr w:type="spellEnd"/>
            <w:r w:rsidRPr="006C311A">
              <w:rPr>
                <w:b/>
              </w:rPr>
              <w:t xml:space="preserve"> </w:t>
            </w:r>
            <w:proofErr w:type="spellStart"/>
            <w:r w:rsidRPr="006C311A">
              <w:rPr>
                <w:b/>
              </w:rPr>
              <w:t>prasībām</w:t>
            </w:r>
            <w:proofErr w:type="spellEnd"/>
            <w:r w:rsidRPr="006C311A">
              <w:rPr>
                <w:b/>
              </w:rPr>
              <w:t xml:space="preserve"> (</w:t>
            </w:r>
            <w:proofErr w:type="spellStart"/>
            <w:r w:rsidRPr="006C311A">
              <w:rPr>
                <w:b/>
              </w:rPr>
              <w:t>izdev</w:t>
            </w:r>
            <w:r>
              <w:rPr>
                <w:b/>
              </w:rPr>
              <w:t>ējiestāde</w:t>
            </w:r>
            <w:proofErr w:type="spellEnd"/>
            <w:r>
              <w:rPr>
                <w:b/>
              </w:rPr>
              <w:t xml:space="preserve">, </w:t>
            </w:r>
            <w:proofErr w:type="spellStart"/>
            <w:r>
              <w:rPr>
                <w:b/>
              </w:rPr>
              <w:t>derīguma</w:t>
            </w:r>
            <w:proofErr w:type="spellEnd"/>
            <w:r>
              <w:rPr>
                <w:b/>
              </w:rPr>
              <w:t xml:space="preserve"> </w:t>
            </w:r>
            <w:proofErr w:type="spellStart"/>
            <w:r>
              <w:rPr>
                <w:b/>
              </w:rPr>
              <w:t>termiņi</w:t>
            </w:r>
            <w:proofErr w:type="spellEnd"/>
            <w:r>
              <w:rPr>
                <w:b/>
              </w:rPr>
              <w:t xml:space="preserve">, </w:t>
            </w:r>
            <w:proofErr w:type="spellStart"/>
            <w:r>
              <w:rPr>
                <w:b/>
              </w:rPr>
              <w:t>apl</w:t>
            </w:r>
            <w:r w:rsidRPr="006C311A">
              <w:rPr>
                <w:b/>
              </w:rPr>
              <w:t>ie</w:t>
            </w:r>
            <w:r>
              <w:rPr>
                <w:b/>
              </w:rPr>
              <w:t>c</w:t>
            </w:r>
            <w:r w:rsidRPr="006C311A">
              <w:rPr>
                <w:b/>
              </w:rPr>
              <w:t>inājumi</w:t>
            </w:r>
            <w:proofErr w:type="spellEnd"/>
            <w:r w:rsidRPr="006C311A">
              <w:rPr>
                <w:b/>
              </w:rPr>
              <w:t xml:space="preserve"> </w:t>
            </w:r>
            <w:proofErr w:type="spellStart"/>
            <w:r w:rsidRPr="006C311A">
              <w:rPr>
                <w:b/>
              </w:rPr>
              <w:t>u.tml</w:t>
            </w:r>
            <w:proofErr w:type="spellEnd"/>
            <w:r w:rsidRPr="006C311A">
              <w:rPr>
                <w:b/>
              </w:rPr>
              <w:t xml:space="preserve">.) </w:t>
            </w:r>
            <w:proofErr w:type="spellStart"/>
            <w:r w:rsidRPr="006C311A">
              <w:rPr>
                <w:b/>
              </w:rPr>
              <w:t>jāatbilst</w:t>
            </w:r>
            <w:proofErr w:type="spellEnd"/>
            <w:r w:rsidRPr="006C311A">
              <w:rPr>
                <w:b/>
              </w:rPr>
              <w:t xml:space="preserve"> ASV, </w:t>
            </w:r>
            <w:proofErr w:type="spellStart"/>
            <w:r w:rsidRPr="006C311A">
              <w:rPr>
                <w:b/>
              </w:rPr>
              <w:t>Lielbritānijā</w:t>
            </w:r>
            <w:proofErr w:type="spellEnd"/>
            <w:r w:rsidRPr="006C311A">
              <w:rPr>
                <w:b/>
              </w:rPr>
              <w:t xml:space="preserve"> </w:t>
            </w:r>
            <w:proofErr w:type="spellStart"/>
            <w:r w:rsidRPr="006C311A">
              <w:rPr>
                <w:b/>
              </w:rPr>
              <w:t>un</w:t>
            </w:r>
            <w:proofErr w:type="spellEnd"/>
            <w:r w:rsidRPr="006C311A">
              <w:rPr>
                <w:b/>
              </w:rPr>
              <w:t xml:space="preserve"> </w:t>
            </w:r>
            <w:proofErr w:type="spellStart"/>
            <w:r w:rsidRPr="006C311A">
              <w:rPr>
                <w:b/>
              </w:rPr>
              <w:t>citās</w:t>
            </w:r>
            <w:proofErr w:type="spellEnd"/>
            <w:r w:rsidRPr="006C311A">
              <w:rPr>
                <w:b/>
              </w:rPr>
              <w:t xml:space="preserve"> </w:t>
            </w:r>
            <w:proofErr w:type="spellStart"/>
            <w:r w:rsidRPr="006C311A">
              <w:rPr>
                <w:b/>
              </w:rPr>
              <w:t>anglosakšu</w:t>
            </w:r>
            <w:proofErr w:type="spellEnd"/>
            <w:r w:rsidRPr="006C311A">
              <w:rPr>
                <w:b/>
              </w:rPr>
              <w:t xml:space="preserve"> </w:t>
            </w:r>
            <w:proofErr w:type="spellStart"/>
            <w:r w:rsidRPr="006C311A">
              <w:rPr>
                <w:b/>
              </w:rPr>
              <w:t>valstīs</w:t>
            </w:r>
            <w:proofErr w:type="spellEnd"/>
            <w:r w:rsidRPr="006C311A">
              <w:rPr>
                <w:b/>
              </w:rPr>
              <w:t xml:space="preserve"> </w:t>
            </w:r>
            <w:proofErr w:type="spellStart"/>
            <w:r w:rsidRPr="006C311A">
              <w:rPr>
                <w:b/>
              </w:rPr>
              <w:t>izdotai</w:t>
            </w:r>
            <w:proofErr w:type="spellEnd"/>
            <w:r w:rsidRPr="006C311A">
              <w:rPr>
                <w:b/>
              </w:rPr>
              <w:t xml:space="preserve"> </w:t>
            </w:r>
            <w:proofErr w:type="spellStart"/>
            <w:r w:rsidRPr="00DF7476">
              <w:rPr>
                <w:b/>
                <w:u w:val="single"/>
              </w:rPr>
              <w:t>pilnvarai</w:t>
            </w:r>
            <w:proofErr w:type="spellEnd"/>
            <w:r w:rsidRPr="006C311A">
              <w:rPr>
                <w:b/>
              </w:rPr>
              <w:t xml:space="preserve">, </w:t>
            </w:r>
            <w:proofErr w:type="spellStart"/>
            <w:r w:rsidRPr="006C311A">
              <w:rPr>
                <w:b/>
              </w:rPr>
              <w:t>lai</w:t>
            </w:r>
            <w:proofErr w:type="spellEnd"/>
            <w:r w:rsidRPr="006C311A">
              <w:rPr>
                <w:b/>
              </w:rPr>
              <w:t xml:space="preserve"> </w:t>
            </w:r>
            <w:proofErr w:type="spellStart"/>
            <w:r w:rsidRPr="006C311A">
              <w:rPr>
                <w:b/>
              </w:rPr>
              <w:t>pēc</w:t>
            </w:r>
            <w:proofErr w:type="spellEnd"/>
            <w:r w:rsidRPr="006C311A">
              <w:rPr>
                <w:b/>
              </w:rPr>
              <w:t xml:space="preserve"> </w:t>
            </w:r>
            <w:proofErr w:type="spellStart"/>
            <w:r w:rsidRPr="006C311A">
              <w:rPr>
                <w:b/>
              </w:rPr>
              <w:t>tām</w:t>
            </w:r>
            <w:proofErr w:type="spellEnd"/>
            <w:r w:rsidRPr="006C311A">
              <w:rPr>
                <w:b/>
              </w:rPr>
              <w:t xml:space="preserve"> </w:t>
            </w:r>
            <w:proofErr w:type="spellStart"/>
            <w:r w:rsidRPr="006C311A">
              <w:rPr>
                <w:b/>
              </w:rPr>
              <w:t>Latvijā</w:t>
            </w:r>
            <w:proofErr w:type="spellEnd"/>
            <w:r w:rsidRPr="006C311A">
              <w:rPr>
                <w:b/>
              </w:rPr>
              <w:t xml:space="preserve"> </w:t>
            </w:r>
            <w:proofErr w:type="spellStart"/>
            <w:r w:rsidRPr="006C311A">
              <w:rPr>
                <w:b/>
              </w:rPr>
              <w:t>zvērināts</w:t>
            </w:r>
            <w:proofErr w:type="spellEnd"/>
            <w:r w:rsidRPr="006C311A">
              <w:rPr>
                <w:b/>
              </w:rPr>
              <w:t xml:space="preserve"> </w:t>
            </w:r>
            <w:proofErr w:type="spellStart"/>
            <w:r w:rsidRPr="006C311A">
              <w:rPr>
                <w:b/>
              </w:rPr>
              <w:t>notārs</w:t>
            </w:r>
            <w:proofErr w:type="spellEnd"/>
            <w:r w:rsidRPr="006C311A">
              <w:rPr>
                <w:b/>
              </w:rPr>
              <w:t xml:space="preserve"> </w:t>
            </w:r>
            <w:proofErr w:type="spellStart"/>
            <w:r w:rsidRPr="006C311A">
              <w:rPr>
                <w:b/>
              </w:rPr>
              <w:t>varētu</w:t>
            </w:r>
            <w:proofErr w:type="spellEnd"/>
            <w:r w:rsidRPr="006C311A">
              <w:rPr>
                <w:b/>
              </w:rPr>
              <w:t xml:space="preserve"> </w:t>
            </w:r>
            <w:proofErr w:type="spellStart"/>
            <w:r w:rsidRPr="006C311A">
              <w:rPr>
                <w:b/>
              </w:rPr>
              <w:t>pārbaudīt</w:t>
            </w:r>
            <w:proofErr w:type="spellEnd"/>
            <w:r w:rsidRPr="006C311A">
              <w:rPr>
                <w:b/>
              </w:rPr>
              <w:t xml:space="preserve"> </w:t>
            </w:r>
            <w:proofErr w:type="spellStart"/>
            <w:r w:rsidRPr="00DF7476">
              <w:rPr>
                <w:b/>
                <w:u w:val="single"/>
              </w:rPr>
              <w:t>pārstāvības</w:t>
            </w:r>
            <w:proofErr w:type="spellEnd"/>
            <w:r w:rsidRPr="00DF7476">
              <w:rPr>
                <w:b/>
                <w:u w:val="single"/>
              </w:rPr>
              <w:t xml:space="preserve"> </w:t>
            </w:r>
            <w:proofErr w:type="spellStart"/>
            <w:proofErr w:type="gramStart"/>
            <w:r w:rsidRPr="00DF7476">
              <w:rPr>
                <w:b/>
                <w:u w:val="single"/>
              </w:rPr>
              <w:t>tiesības</w:t>
            </w:r>
            <w:proofErr w:type="spellEnd"/>
            <w:r w:rsidRPr="006C311A">
              <w:rPr>
                <w:b/>
              </w:rPr>
              <w:t> ?</w:t>
            </w:r>
            <w:proofErr w:type="gramEnd"/>
          </w:p>
          <w:p w14:paraId="38BD4771" w14:textId="77777777" w:rsidR="00114953" w:rsidRDefault="00114953" w:rsidP="00BF3A72">
            <w:pPr>
              <w:jc w:val="both"/>
            </w:pPr>
          </w:p>
        </w:tc>
      </w:tr>
    </w:tbl>
    <w:p w14:paraId="22A46FEB" w14:textId="77777777" w:rsidR="00114953" w:rsidRPr="000C7C76" w:rsidRDefault="00114953" w:rsidP="00114953">
      <w:pPr>
        <w:jc w:val="both"/>
        <w:rPr>
          <w:rFonts w:ascii="Times New Roman" w:hAnsi="Times New Roman" w:cs="Times New Roman"/>
          <w:lang w:val="lv-LV"/>
        </w:rPr>
      </w:pPr>
    </w:p>
    <w:p w14:paraId="19664963" w14:textId="77777777" w:rsidR="00114953" w:rsidRPr="000C7C76" w:rsidRDefault="00114953" w:rsidP="00114953">
      <w:pPr>
        <w:jc w:val="both"/>
        <w:rPr>
          <w:rFonts w:ascii="Times New Roman" w:hAnsi="Times New Roman" w:cs="Times New Roman"/>
          <w:lang w:val="lv-LV"/>
        </w:rPr>
      </w:pPr>
    </w:p>
    <w:p w14:paraId="041A2B97" w14:textId="77777777" w:rsidR="00114953" w:rsidRPr="000C7C76" w:rsidRDefault="00114953" w:rsidP="00114953">
      <w:pPr>
        <w:widowControl w:val="0"/>
        <w:autoSpaceDE w:val="0"/>
        <w:autoSpaceDN w:val="0"/>
        <w:adjustRightInd w:val="0"/>
        <w:ind w:firstLine="708"/>
        <w:jc w:val="both"/>
        <w:rPr>
          <w:rFonts w:ascii="Times New Roman" w:hAnsi="Times New Roman" w:cs="Times New Roman"/>
          <w:color w:val="323233"/>
          <w:lang w:val="lv-LV"/>
        </w:rPr>
      </w:pPr>
    </w:p>
    <w:p w14:paraId="7B070469" w14:textId="77777777" w:rsidR="00114953" w:rsidRPr="000C7C76" w:rsidRDefault="00114953" w:rsidP="00114953">
      <w:pPr>
        <w:widowControl w:val="0"/>
        <w:autoSpaceDE w:val="0"/>
        <w:autoSpaceDN w:val="0"/>
        <w:adjustRightInd w:val="0"/>
        <w:ind w:firstLine="708"/>
        <w:jc w:val="both"/>
        <w:rPr>
          <w:rFonts w:ascii="Times New Roman" w:hAnsi="Times New Roman" w:cs="Times New Roman"/>
          <w:color w:val="323233"/>
          <w:lang w:val="lv-LV"/>
        </w:rPr>
      </w:pPr>
    </w:p>
    <w:p w14:paraId="57413810" w14:textId="77777777" w:rsidR="00114953" w:rsidRPr="000C7C76" w:rsidRDefault="00114953" w:rsidP="00114953">
      <w:pPr>
        <w:widowControl w:val="0"/>
        <w:autoSpaceDE w:val="0"/>
        <w:autoSpaceDN w:val="0"/>
        <w:adjustRightInd w:val="0"/>
        <w:jc w:val="both"/>
        <w:rPr>
          <w:rFonts w:ascii="Times New Roman" w:hAnsi="Times New Roman" w:cs="Times New Roman"/>
          <w:b/>
          <w:color w:val="323233"/>
          <w:lang w:val="lv-LV"/>
        </w:rPr>
      </w:pPr>
      <w:r w:rsidRPr="000C7C76">
        <w:rPr>
          <w:rFonts w:ascii="Times New Roman" w:hAnsi="Times New Roman" w:cs="Times New Roman"/>
          <w:b/>
          <w:color w:val="323233"/>
          <w:lang w:val="lv-LV"/>
        </w:rPr>
        <w:t>Normatīvais regulējums:</w:t>
      </w:r>
    </w:p>
    <w:p w14:paraId="7C10AAD4" w14:textId="77777777" w:rsidR="00114953" w:rsidRPr="000C7C76" w:rsidRDefault="00114953" w:rsidP="00114953">
      <w:pPr>
        <w:widowControl w:val="0"/>
        <w:autoSpaceDE w:val="0"/>
        <w:autoSpaceDN w:val="0"/>
        <w:adjustRightInd w:val="0"/>
        <w:ind w:firstLine="708"/>
        <w:jc w:val="both"/>
        <w:rPr>
          <w:rFonts w:ascii="Times New Roman" w:hAnsi="Times New Roman" w:cs="Times New Roman"/>
          <w:color w:val="323233"/>
          <w:lang w:val="lv-LV"/>
        </w:rPr>
      </w:pPr>
    </w:p>
    <w:p w14:paraId="2676923C" w14:textId="2E81F127" w:rsidR="00114953" w:rsidRPr="00CD4311" w:rsidRDefault="00114953" w:rsidP="00114953">
      <w:pPr>
        <w:widowControl w:val="0"/>
        <w:autoSpaceDE w:val="0"/>
        <w:autoSpaceDN w:val="0"/>
        <w:adjustRightInd w:val="0"/>
        <w:ind w:firstLine="708"/>
        <w:jc w:val="both"/>
        <w:rPr>
          <w:rFonts w:ascii="Times New Roman" w:hAnsi="Times New Roman" w:cs="Arial"/>
          <w:i/>
          <w:iCs/>
          <w:color w:val="323233"/>
          <w:u w:val="single"/>
          <w:lang w:val="de-DE"/>
        </w:rPr>
      </w:pPr>
      <w:proofErr w:type="spellStart"/>
      <w:r w:rsidRPr="00CD4311">
        <w:rPr>
          <w:rFonts w:ascii="Times New Roman" w:hAnsi="Times New Roman" w:cs="Times New Roman"/>
          <w:color w:val="323233"/>
          <w:lang w:val="de-DE"/>
        </w:rPr>
        <w:t>Saskaņā</w:t>
      </w:r>
      <w:proofErr w:type="spellEnd"/>
      <w:r w:rsidRPr="00CD4311">
        <w:rPr>
          <w:rFonts w:ascii="Times New Roman" w:hAnsi="Times New Roman" w:cs="Times New Roman"/>
          <w:color w:val="323233"/>
          <w:lang w:val="de-DE"/>
        </w:rPr>
        <w:t xml:space="preserve"> </w:t>
      </w:r>
      <w:proofErr w:type="spellStart"/>
      <w:r w:rsidRPr="00CD4311">
        <w:rPr>
          <w:rFonts w:ascii="Times New Roman" w:hAnsi="Times New Roman" w:cs="Times New Roman"/>
          <w:color w:val="323233"/>
          <w:lang w:val="de-DE"/>
        </w:rPr>
        <w:t>ar</w:t>
      </w:r>
      <w:proofErr w:type="spellEnd"/>
      <w:r w:rsidRPr="00CD4311">
        <w:rPr>
          <w:rFonts w:ascii="Times New Roman" w:hAnsi="Times New Roman" w:cs="Times New Roman"/>
          <w:color w:val="323233"/>
          <w:lang w:val="de-DE"/>
        </w:rPr>
        <w:t xml:space="preserve"> </w:t>
      </w:r>
      <w:proofErr w:type="spellStart"/>
      <w:r w:rsidRPr="00CD4311">
        <w:rPr>
          <w:rFonts w:ascii="Times New Roman" w:hAnsi="Times New Roman" w:cs="Times New Roman"/>
          <w:color w:val="323233"/>
          <w:lang w:val="de-DE"/>
        </w:rPr>
        <w:t>Notariā</w:t>
      </w:r>
      <w:r w:rsidR="00CD4311" w:rsidRPr="00CD4311">
        <w:rPr>
          <w:rFonts w:ascii="Times New Roman" w:hAnsi="Times New Roman" w:cs="Times New Roman"/>
          <w:color w:val="323233"/>
          <w:lang w:val="de-DE"/>
        </w:rPr>
        <w:t>ta</w:t>
      </w:r>
      <w:proofErr w:type="spellEnd"/>
      <w:r w:rsidR="00CD4311" w:rsidRPr="00CD4311">
        <w:rPr>
          <w:rFonts w:ascii="Times New Roman" w:hAnsi="Times New Roman" w:cs="Times New Roman"/>
          <w:color w:val="323233"/>
          <w:lang w:val="de-DE"/>
        </w:rPr>
        <w:t xml:space="preserve"> </w:t>
      </w:r>
      <w:proofErr w:type="spellStart"/>
      <w:r w:rsidR="00CD4311" w:rsidRPr="00CD4311">
        <w:rPr>
          <w:rFonts w:ascii="Times New Roman" w:hAnsi="Times New Roman" w:cs="Times New Roman"/>
          <w:color w:val="323233"/>
          <w:lang w:val="de-DE"/>
        </w:rPr>
        <w:t>likuma</w:t>
      </w:r>
      <w:proofErr w:type="spellEnd"/>
      <w:r w:rsidR="00CD4311" w:rsidRPr="00CD4311">
        <w:rPr>
          <w:rFonts w:ascii="Times New Roman" w:hAnsi="Times New Roman" w:cs="Times New Roman"/>
          <w:color w:val="323233"/>
          <w:lang w:val="de-DE"/>
        </w:rPr>
        <w:t xml:space="preserve"> 83.panta </w:t>
      </w:r>
      <w:proofErr w:type="spellStart"/>
      <w:r w:rsidR="00CD4311" w:rsidRPr="00CD4311">
        <w:rPr>
          <w:rFonts w:ascii="Times New Roman" w:hAnsi="Times New Roman" w:cs="Times New Roman"/>
          <w:color w:val="323233"/>
          <w:lang w:val="de-DE"/>
        </w:rPr>
        <w:t>otro</w:t>
      </w:r>
      <w:proofErr w:type="spellEnd"/>
      <w:r w:rsidR="00CD4311" w:rsidRPr="00CD4311">
        <w:rPr>
          <w:rFonts w:ascii="Times New Roman" w:hAnsi="Times New Roman" w:cs="Times New Roman"/>
          <w:color w:val="323233"/>
          <w:lang w:val="de-DE"/>
        </w:rPr>
        <w:t xml:space="preserve"> </w:t>
      </w:r>
      <w:proofErr w:type="spellStart"/>
      <w:proofErr w:type="gramStart"/>
      <w:r w:rsidR="00CD4311" w:rsidRPr="00CD4311">
        <w:rPr>
          <w:rFonts w:ascii="Times New Roman" w:hAnsi="Times New Roman" w:cs="Times New Roman"/>
          <w:color w:val="323233"/>
          <w:lang w:val="de-DE"/>
        </w:rPr>
        <w:t>daļu</w:t>
      </w:r>
      <w:proofErr w:type="spellEnd"/>
      <w:r w:rsidR="00CD4311" w:rsidRPr="00CD4311">
        <w:rPr>
          <w:rFonts w:ascii="Times New Roman" w:hAnsi="Times New Roman" w:cs="Times New Roman"/>
          <w:color w:val="323233"/>
          <w:lang w:val="de-DE"/>
        </w:rPr>
        <w:t> :</w:t>
      </w:r>
      <w:proofErr w:type="gramEnd"/>
      <w:r w:rsidR="00CD4311" w:rsidRPr="00CD4311">
        <w:rPr>
          <w:rFonts w:ascii="Times New Roman" w:hAnsi="Times New Roman" w:cs="Times New Roman"/>
          <w:color w:val="323233"/>
          <w:lang w:val="de-DE"/>
        </w:rPr>
        <w:t xml:space="preserve"> </w:t>
      </w:r>
      <w:r w:rsidR="00CD4311">
        <w:rPr>
          <w:rFonts w:ascii="Times New Roman" w:hAnsi="Times New Roman" w:cs="Times New Roman"/>
          <w:color w:val="323233"/>
          <w:lang w:val="de-DE"/>
        </w:rPr>
        <w:t>„</w:t>
      </w:r>
      <w:r w:rsidRPr="00CD4311">
        <w:rPr>
          <w:rFonts w:ascii="Times New Roman" w:hAnsi="Times New Roman" w:cs="Arial"/>
          <w:i/>
          <w:iCs/>
          <w:color w:val="323233"/>
          <w:lang w:val="de-DE"/>
        </w:rPr>
        <w:t xml:space="preserve">(2) </w:t>
      </w:r>
      <w:proofErr w:type="spellStart"/>
      <w:r w:rsidRPr="00CD4311">
        <w:rPr>
          <w:rFonts w:ascii="Times New Roman" w:hAnsi="Times New Roman" w:cs="Arial"/>
          <w:i/>
          <w:iCs/>
          <w:color w:val="323233"/>
          <w:lang w:val="de-DE"/>
        </w:rPr>
        <w:t>Pārstāvības</w:t>
      </w:r>
      <w:proofErr w:type="spellEnd"/>
      <w:r w:rsidRPr="00CD4311">
        <w:rPr>
          <w:rFonts w:ascii="Times New Roman" w:hAnsi="Times New Roman" w:cs="Arial"/>
          <w:i/>
          <w:iCs/>
          <w:color w:val="323233"/>
          <w:lang w:val="de-DE"/>
        </w:rPr>
        <w:t xml:space="preserve"> </w:t>
      </w:r>
      <w:proofErr w:type="spellStart"/>
      <w:r w:rsidRPr="00CD4311">
        <w:rPr>
          <w:rFonts w:ascii="Times New Roman" w:hAnsi="Times New Roman" w:cs="Arial"/>
          <w:i/>
          <w:iCs/>
          <w:color w:val="323233"/>
          <w:lang w:val="de-DE"/>
        </w:rPr>
        <w:t>tiesības</w:t>
      </w:r>
      <w:proofErr w:type="spellEnd"/>
      <w:r w:rsidRPr="00CD4311">
        <w:rPr>
          <w:rFonts w:ascii="Times New Roman" w:hAnsi="Times New Roman" w:cs="Arial"/>
          <w:i/>
          <w:iCs/>
          <w:color w:val="323233"/>
          <w:lang w:val="de-DE"/>
        </w:rPr>
        <w:t xml:space="preserve"> </w:t>
      </w:r>
      <w:proofErr w:type="spellStart"/>
      <w:r w:rsidRPr="00CD4311">
        <w:rPr>
          <w:rFonts w:ascii="Times New Roman" w:hAnsi="Times New Roman" w:cs="Arial"/>
          <w:i/>
          <w:iCs/>
          <w:color w:val="323233"/>
          <w:lang w:val="de-DE"/>
        </w:rPr>
        <w:t>zvērināts</w:t>
      </w:r>
      <w:proofErr w:type="spellEnd"/>
      <w:r w:rsidRPr="00CD4311">
        <w:rPr>
          <w:rFonts w:ascii="Times New Roman" w:hAnsi="Times New Roman" w:cs="Arial"/>
          <w:i/>
          <w:iCs/>
          <w:color w:val="323233"/>
          <w:lang w:val="de-DE"/>
        </w:rPr>
        <w:t xml:space="preserve"> </w:t>
      </w:r>
      <w:proofErr w:type="spellStart"/>
      <w:r w:rsidRPr="00CD4311">
        <w:rPr>
          <w:rFonts w:ascii="Times New Roman" w:hAnsi="Times New Roman" w:cs="Arial"/>
          <w:i/>
          <w:iCs/>
          <w:color w:val="323233"/>
          <w:lang w:val="de-DE"/>
        </w:rPr>
        <w:t>notārs</w:t>
      </w:r>
      <w:proofErr w:type="spellEnd"/>
      <w:r w:rsidRPr="00CD4311">
        <w:rPr>
          <w:rFonts w:ascii="Times New Roman" w:hAnsi="Times New Roman" w:cs="Arial"/>
          <w:i/>
          <w:iCs/>
          <w:color w:val="323233"/>
          <w:lang w:val="de-DE"/>
        </w:rPr>
        <w:t xml:space="preserve"> </w:t>
      </w:r>
      <w:proofErr w:type="spellStart"/>
      <w:r w:rsidRPr="00CD4311">
        <w:rPr>
          <w:rFonts w:ascii="Times New Roman" w:hAnsi="Times New Roman" w:cs="Arial"/>
          <w:i/>
          <w:iCs/>
          <w:color w:val="323233"/>
          <w:lang w:val="de-DE"/>
        </w:rPr>
        <w:t>pārbauda</w:t>
      </w:r>
      <w:proofErr w:type="spellEnd"/>
      <w:r w:rsidRPr="00CD4311">
        <w:rPr>
          <w:rFonts w:ascii="Times New Roman" w:hAnsi="Times New Roman" w:cs="Arial"/>
          <w:i/>
          <w:iCs/>
          <w:color w:val="323233"/>
          <w:lang w:val="de-DE"/>
        </w:rPr>
        <w:t xml:space="preserve"> </w:t>
      </w:r>
      <w:proofErr w:type="spellStart"/>
      <w:r w:rsidRPr="00CD4311">
        <w:rPr>
          <w:rFonts w:ascii="Times New Roman" w:hAnsi="Times New Roman" w:cs="Arial"/>
          <w:i/>
          <w:iCs/>
          <w:color w:val="323233"/>
          <w:lang w:val="de-DE"/>
        </w:rPr>
        <w:t>pēc</w:t>
      </w:r>
      <w:proofErr w:type="spellEnd"/>
      <w:r w:rsidRPr="00CD4311">
        <w:rPr>
          <w:rFonts w:ascii="Times New Roman" w:hAnsi="Times New Roman" w:cs="Arial"/>
          <w:i/>
          <w:iCs/>
          <w:color w:val="323233"/>
          <w:lang w:val="de-DE"/>
        </w:rPr>
        <w:t xml:space="preserve"> </w:t>
      </w:r>
      <w:proofErr w:type="spellStart"/>
      <w:r w:rsidRPr="00CD4311">
        <w:rPr>
          <w:rFonts w:ascii="Times New Roman" w:hAnsi="Times New Roman" w:cs="Arial"/>
          <w:i/>
          <w:iCs/>
          <w:color w:val="323233"/>
          <w:lang w:val="de-DE"/>
        </w:rPr>
        <w:t>viņam</w:t>
      </w:r>
      <w:proofErr w:type="spellEnd"/>
      <w:r w:rsidRPr="00CD4311">
        <w:rPr>
          <w:rFonts w:ascii="Times New Roman" w:hAnsi="Times New Roman" w:cs="Arial"/>
          <w:i/>
          <w:iCs/>
          <w:color w:val="323233"/>
          <w:lang w:val="de-DE"/>
        </w:rPr>
        <w:t xml:space="preserve"> </w:t>
      </w:r>
      <w:proofErr w:type="spellStart"/>
      <w:r w:rsidRPr="00CD4311">
        <w:rPr>
          <w:rFonts w:ascii="Times New Roman" w:hAnsi="Times New Roman" w:cs="Arial"/>
          <w:i/>
          <w:iCs/>
          <w:color w:val="323233"/>
          <w:lang w:val="de-DE"/>
        </w:rPr>
        <w:t>iesniegtajiem</w:t>
      </w:r>
      <w:proofErr w:type="spellEnd"/>
      <w:r w:rsidRPr="00CD4311">
        <w:rPr>
          <w:rFonts w:ascii="Times New Roman" w:hAnsi="Times New Roman" w:cs="Arial"/>
          <w:i/>
          <w:iCs/>
          <w:color w:val="323233"/>
          <w:lang w:val="de-DE"/>
        </w:rPr>
        <w:t xml:space="preserve"> </w:t>
      </w:r>
      <w:proofErr w:type="spellStart"/>
      <w:r w:rsidRPr="00CD4311">
        <w:rPr>
          <w:rFonts w:ascii="Times New Roman" w:hAnsi="Times New Roman" w:cs="Arial"/>
          <w:i/>
          <w:iCs/>
          <w:color w:val="323233"/>
          <w:u w:val="single"/>
          <w:lang w:val="de-DE"/>
        </w:rPr>
        <w:t>publiskiem</w:t>
      </w:r>
      <w:proofErr w:type="spellEnd"/>
      <w:r w:rsidRPr="00CD4311">
        <w:rPr>
          <w:rFonts w:ascii="Times New Roman" w:hAnsi="Times New Roman" w:cs="Arial"/>
          <w:i/>
          <w:iCs/>
          <w:color w:val="323233"/>
          <w:u w:val="single"/>
          <w:lang w:val="de-DE"/>
        </w:rPr>
        <w:t xml:space="preserve"> </w:t>
      </w:r>
      <w:proofErr w:type="spellStart"/>
      <w:r w:rsidRPr="00CD4311">
        <w:rPr>
          <w:rFonts w:ascii="Times New Roman" w:hAnsi="Times New Roman" w:cs="Arial"/>
          <w:i/>
          <w:iCs/>
          <w:color w:val="323233"/>
          <w:u w:val="single"/>
          <w:lang w:val="de-DE"/>
        </w:rPr>
        <w:t>dokumentiem</w:t>
      </w:r>
      <w:proofErr w:type="spellEnd"/>
      <w:r w:rsidRPr="00CD4311">
        <w:rPr>
          <w:rFonts w:ascii="Times New Roman" w:hAnsi="Times New Roman" w:cs="Arial"/>
          <w:i/>
          <w:iCs/>
          <w:color w:val="323233"/>
          <w:lang w:val="de-DE"/>
        </w:rPr>
        <w:t xml:space="preserve"> </w:t>
      </w:r>
      <w:proofErr w:type="spellStart"/>
      <w:r w:rsidRPr="00CD4311">
        <w:rPr>
          <w:rFonts w:ascii="Times New Roman" w:hAnsi="Times New Roman" w:cs="Arial"/>
          <w:b/>
          <w:bCs/>
          <w:i/>
          <w:iCs/>
          <w:color w:val="323233"/>
          <w:lang w:val="de-DE"/>
        </w:rPr>
        <w:t>vai</w:t>
      </w:r>
      <w:proofErr w:type="spellEnd"/>
      <w:r w:rsidRPr="00CD4311">
        <w:rPr>
          <w:rFonts w:ascii="Times New Roman" w:hAnsi="Times New Roman" w:cs="Arial"/>
          <w:i/>
          <w:iCs/>
          <w:color w:val="323233"/>
          <w:lang w:val="de-DE"/>
        </w:rPr>
        <w:t xml:space="preserve"> </w:t>
      </w:r>
      <w:proofErr w:type="spellStart"/>
      <w:r w:rsidRPr="00CD4311">
        <w:rPr>
          <w:rFonts w:ascii="Times New Roman" w:hAnsi="Times New Roman" w:cs="Arial"/>
          <w:i/>
          <w:iCs/>
          <w:color w:val="323233"/>
          <w:u w:val="single"/>
          <w:lang w:val="de-DE"/>
        </w:rPr>
        <w:t>ierakstiem</w:t>
      </w:r>
      <w:proofErr w:type="spellEnd"/>
      <w:r w:rsidRPr="00CD4311">
        <w:rPr>
          <w:rFonts w:ascii="Times New Roman" w:hAnsi="Times New Roman" w:cs="Arial"/>
          <w:i/>
          <w:iCs/>
          <w:color w:val="323233"/>
          <w:u w:val="single"/>
          <w:lang w:val="de-DE"/>
        </w:rPr>
        <w:t xml:space="preserve"> </w:t>
      </w:r>
      <w:proofErr w:type="spellStart"/>
      <w:r w:rsidRPr="00CD4311">
        <w:rPr>
          <w:rFonts w:ascii="Times New Roman" w:hAnsi="Times New Roman" w:cs="Arial"/>
          <w:i/>
          <w:iCs/>
          <w:color w:val="323233"/>
          <w:u w:val="single"/>
          <w:lang w:val="de-DE"/>
        </w:rPr>
        <w:t>Komercreģistrā</w:t>
      </w:r>
      <w:proofErr w:type="spellEnd"/>
      <w:r w:rsidRPr="00CD4311">
        <w:rPr>
          <w:rFonts w:ascii="Times New Roman" w:hAnsi="Times New Roman" w:cs="Arial"/>
          <w:i/>
          <w:iCs/>
          <w:color w:val="323233"/>
          <w:u w:val="single"/>
          <w:lang w:val="de-DE"/>
        </w:rPr>
        <w:t xml:space="preserve"> </w:t>
      </w:r>
      <w:proofErr w:type="spellStart"/>
      <w:r w:rsidRPr="00CD4311">
        <w:rPr>
          <w:rFonts w:ascii="Times New Roman" w:hAnsi="Times New Roman" w:cs="Arial"/>
          <w:i/>
          <w:iCs/>
          <w:color w:val="323233"/>
          <w:u w:val="single"/>
          <w:lang w:val="de-DE"/>
        </w:rPr>
        <w:t>vai</w:t>
      </w:r>
      <w:proofErr w:type="spellEnd"/>
      <w:r w:rsidRPr="00CD4311">
        <w:rPr>
          <w:rFonts w:ascii="Times New Roman" w:hAnsi="Times New Roman" w:cs="Arial"/>
          <w:i/>
          <w:iCs/>
          <w:color w:val="323233"/>
          <w:u w:val="single"/>
          <w:lang w:val="de-DE"/>
        </w:rPr>
        <w:t xml:space="preserve"> </w:t>
      </w:r>
      <w:proofErr w:type="spellStart"/>
      <w:r w:rsidRPr="00CD4311">
        <w:rPr>
          <w:rFonts w:ascii="Times New Roman" w:hAnsi="Times New Roman" w:cs="Arial"/>
          <w:i/>
          <w:iCs/>
          <w:color w:val="323233"/>
          <w:u w:val="single"/>
          <w:lang w:val="de-DE"/>
        </w:rPr>
        <w:t>citos</w:t>
      </w:r>
      <w:proofErr w:type="spellEnd"/>
      <w:r w:rsidRPr="00CD4311">
        <w:rPr>
          <w:rFonts w:ascii="Times New Roman" w:hAnsi="Times New Roman" w:cs="Arial"/>
          <w:i/>
          <w:iCs/>
          <w:color w:val="323233"/>
          <w:u w:val="single"/>
          <w:lang w:val="de-DE"/>
        </w:rPr>
        <w:t xml:space="preserve"> </w:t>
      </w:r>
      <w:proofErr w:type="spellStart"/>
      <w:r w:rsidRPr="00CD4311">
        <w:rPr>
          <w:rFonts w:ascii="Times New Roman" w:hAnsi="Times New Roman" w:cs="Arial"/>
          <w:i/>
          <w:iCs/>
          <w:color w:val="323233"/>
          <w:u w:val="single"/>
          <w:lang w:val="de-DE"/>
        </w:rPr>
        <w:t>publiskos</w:t>
      </w:r>
      <w:proofErr w:type="spellEnd"/>
      <w:r w:rsidRPr="00CD4311">
        <w:rPr>
          <w:rFonts w:ascii="Times New Roman" w:hAnsi="Times New Roman" w:cs="Arial"/>
          <w:i/>
          <w:iCs/>
          <w:color w:val="323233"/>
          <w:u w:val="single"/>
          <w:lang w:val="de-DE"/>
        </w:rPr>
        <w:t xml:space="preserve"> </w:t>
      </w:r>
      <w:proofErr w:type="spellStart"/>
      <w:r w:rsidRPr="00CD4311">
        <w:rPr>
          <w:rFonts w:ascii="Times New Roman" w:hAnsi="Times New Roman" w:cs="Arial"/>
          <w:i/>
          <w:iCs/>
          <w:color w:val="323233"/>
          <w:u w:val="single"/>
          <w:lang w:val="de-DE"/>
        </w:rPr>
        <w:t>reģistros</w:t>
      </w:r>
      <w:proofErr w:type="spellEnd"/>
      <w:r w:rsidR="00CD4311">
        <w:rPr>
          <w:rFonts w:ascii="Times New Roman" w:hAnsi="Times New Roman" w:cs="Arial"/>
          <w:i/>
          <w:iCs/>
          <w:color w:val="323233"/>
          <w:u w:val="single"/>
          <w:lang w:val="de-DE"/>
        </w:rPr>
        <w:t>“</w:t>
      </w:r>
      <w:r w:rsidRPr="00CD4311">
        <w:rPr>
          <w:rFonts w:ascii="Times New Roman" w:hAnsi="Times New Roman" w:cs="Arial"/>
          <w:i/>
          <w:iCs/>
          <w:color w:val="323233"/>
          <w:u w:val="single"/>
          <w:lang w:val="de-DE"/>
        </w:rPr>
        <w:t>.</w:t>
      </w:r>
    </w:p>
    <w:p w14:paraId="2DD4CE28" w14:textId="77777777" w:rsidR="00114953" w:rsidRPr="00CD4311" w:rsidRDefault="00114953" w:rsidP="00114953">
      <w:pPr>
        <w:jc w:val="both"/>
        <w:rPr>
          <w:rFonts w:ascii="Times New Roman" w:hAnsi="Times New Roman" w:cs="Times New Roman"/>
          <w:lang w:val="de-DE"/>
        </w:rPr>
      </w:pPr>
    </w:p>
    <w:p w14:paraId="57F59D83" w14:textId="77777777" w:rsidR="00114953" w:rsidRPr="00CD4311" w:rsidRDefault="00114953" w:rsidP="00114953">
      <w:pPr>
        <w:jc w:val="both"/>
        <w:rPr>
          <w:rFonts w:ascii="Times New Roman" w:hAnsi="Times New Roman" w:cs="Times New Roman"/>
          <w:lang w:val="de-DE"/>
        </w:rPr>
      </w:pPr>
    </w:p>
    <w:p w14:paraId="04A88149" w14:textId="77777777" w:rsidR="00114953" w:rsidRPr="00CD4311" w:rsidRDefault="00114953" w:rsidP="00114953">
      <w:pPr>
        <w:jc w:val="both"/>
        <w:rPr>
          <w:rFonts w:ascii="Times New Roman" w:hAnsi="Times New Roman" w:cs="Times New Roman"/>
          <w:b/>
          <w:lang w:val="de-DE"/>
        </w:rPr>
      </w:pPr>
      <w:proofErr w:type="spellStart"/>
      <w:r w:rsidRPr="00CD4311">
        <w:rPr>
          <w:rFonts w:ascii="Times New Roman" w:hAnsi="Times New Roman" w:cs="Times New Roman"/>
          <w:b/>
          <w:lang w:val="de-DE"/>
        </w:rPr>
        <w:t>Pārstāvības</w:t>
      </w:r>
      <w:proofErr w:type="spellEnd"/>
      <w:r w:rsidRPr="00CD4311">
        <w:rPr>
          <w:rFonts w:ascii="Times New Roman" w:hAnsi="Times New Roman" w:cs="Times New Roman"/>
          <w:b/>
          <w:lang w:val="de-DE"/>
        </w:rPr>
        <w:t xml:space="preserve"> </w:t>
      </w:r>
      <w:proofErr w:type="spellStart"/>
      <w:r w:rsidRPr="00CD4311">
        <w:rPr>
          <w:rFonts w:ascii="Times New Roman" w:hAnsi="Times New Roman" w:cs="Times New Roman"/>
          <w:b/>
          <w:lang w:val="de-DE"/>
        </w:rPr>
        <w:t>tiesības</w:t>
      </w:r>
      <w:proofErr w:type="spellEnd"/>
      <w:r w:rsidRPr="00CD4311">
        <w:rPr>
          <w:rFonts w:ascii="Times New Roman" w:hAnsi="Times New Roman" w:cs="Times New Roman"/>
          <w:b/>
          <w:lang w:val="de-DE"/>
        </w:rPr>
        <w:t>:</w:t>
      </w:r>
    </w:p>
    <w:p w14:paraId="4F748710" w14:textId="77777777" w:rsidR="00114953" w:rsidRPr="000C7C76" w:rsidRDefault="00114953" w:rsidP="00114953">
      <w:pPr>
        <w:jc w:val="both"/>
        <w:rPr>
          <w:rFonts w:ascii="Times New Roman" w:hAnsi="Times New Roman" w:cs="Times New Roman"/>
          <w:lang w:val="de-DE"/>
        </w:rPr>
      </w:pPr>
    </w:p>
    <w:p w14:paraId="446E5DD5" w14:textId="77777777" w:rsidR="00114953" w:rsidRPr="000C7C76" w:rsidRDefault="00114953" w:rsidP="00114953">
      <w:pPr>
        <w:jc w:val="both"/>
        <w:rPr>
          <w:rFonts w:ascii="Times New Roman" w:hAnsi="Times New Roman" w:cs="Times New Roman"/>
          <w:lang w:val="de-DE"/>
        </w:rPr>
      </w:pPr>
    </w:p>
    <w:p w14:paraId="5912993B" w14:textId="1D58DFEC" w:rsidR="00114953" w:rsidRPr="000C7C76" w:rsidRDefault="00114953" w:rsidP="00114953">
      <w:pPr>
        <w:ind w:firstLine="708"/>
        <w:jc w:val="both"/>
        <w:rPr>
          <w:rFonts w:ascii="Times New Roman" w:hAnsi="Times New Roman" w:cs="Times New Roman"/>
          <w:lang w:val="de-DE"/>
        </w:rPr>
      </w:pPr>
      <w:proofErr w:type="spellStart"/>
      <w:r w:rsidRPr="000C7C76">
        <w:rPr>
          <w:rFonts w:ascii="Times New Roman" w:hAnsi="Times New Roman" w:cs="Times New Roman"/>
          <w:lang w:val="de-DE"/>
        </w:rPr>
        <w:t>No</w:t>
      </w:r>
      <w:proofErr w:type="spellEnd"/>
      <w:r w:rsidRPr="000C7C76">
        <w:rPr>
          <w:rFonts w:ascii="Times New Roman" w:hAnsi="Times New Roman" w:cs="Times New Roman"/>
          <w:lang w:val="de-DE"/>
        </w:rPr>
        <w:t xml:space="preserve"> </w:t>
      </w:r>
      <w:proofErr w:type="spellStart"/>
      <w:r w:rsidRPr="000C7C76">
        <w:rPr>
          <w:rFonts w:ascii="Times New Roman" w:hAnsi="Times New Roman" w:cs="Times New Roman"/>
          <w:lang w:val="de-DE"/>
        </w:rPr>
        <w:t>Notariāta</w:t>
      </w:r>
      <w:proofErr w:type="spellEnd"/>
      <w:r w:rsidRPr="000C7C76">
        <w:rPr>
          <w:rFonts w:ascii="Times New Roman" w:hAnsi="Times New Roman" w:cs="Times New Roman"/>
          <w:lang w:val="de-DE"/>
        </w:rPr>
        <w:t xml:space="preserve"> </w:t>
      </w:r>
      <w:proofErr w:type="spellStart"/>
      <w:r w:rsidRPr="000C7C76">
        <w:rPr>
          <w:rFonts w:ascii="Times New Roman" w:hAnsi="Times New Roman" w:cs="Times New Roman"/>
          <w:lang w:val="de-DE"/>
        </w:rPr>
        <w:t>likuma</w:t>
      </w:r>
      <w:proofErr w:type="spellEnd"/>
      <w:r w:rsidRPr="000C7C76">
        <w:rPr>
          <w:rFonts w:ascii="Times New Roman" w:hAnsi="Times New Roman" w:cs="Times New Roman"/>
          <w:lang w:val="de-DE"/>
        </w:rPr>
        <w:t xml:space="preserve"> 83.panta </w:t>
      </w:r>
      <w:proofErr w:type="spellStart"/>
      <w:r w:rsidRPr="000C7C76">
        <w:rPr>
          <w:rFonts w:ascii="Times New Roman" w:hAnsi="Times New Roman" w:cs="Times New Roman"/>
          <w:lang w:val="de-DE"/>
        </w:rPr>
        <w:t>otrās</w:t>
      </w:r>
      <w:proofErr w:type="spellEnd"/>
      <w:r w:rsidRPr="000C7C76">
        <w:rPr>
          <w:rFonts w:ascii="Times New Roman" w:hAnsi="Times New Roman" w:cs="Times New Roman"/>
          <w:lang w:val="de-DE"/>
        </w:rPr>
        <w:t xml:space="preserve"> </w:t>
      </w:r>
      <w:proofErr w:type="spellStart"/>
      <w:r w:rsidRPr="000C7C76">
        <w:rPr>
          <w:rFonts w:ascii="Times New Roman" w:hAnsi="Times New Roman" w:cs="Times New Roman"/>
          <w:lang w:val="de-DE"/>
        </w:rPr>
        <w:t>daļas</w:t>
      </w:r>
      <w:proofErr w:type="spellEnd"/>
      <w:r w:rsidRPr="000C7C76">
        <w:rPr>
          <w:rFonts w:ascii="Times New Roman" w:hAnsi="Times New Roman" w:cs="Times New Roman"/>
          <w:lang w:val="de-DE"/>
        </w:rPr>
        <w:t xml:space="preserve"> </w:t>
      </w:r>
      <w:proofErr w:type="spellStart"/>
      <w:r w:rsidRPr="000C7C76">
        <w:rPr>
          <w:rFonts w:ascii="Times New Roman" w:hAnsi="Times New Roman" w:cs="Times New Roman"/>
          <w:lang w:val="de-DE"/>
        </w:rPr>
        <w:t>izriet</w:t>
      </w:r>
      <w:proofErr w:type="spellEnd"/>
      <w:r w:rsidRPr="000C7C76">
        <w:rPr>
          <w:rFonts w:ascii="Times New Roman" w:hAnsi="Times New Roman" w:cs="Times New Roman"/>
          <w:lang w:val="de-DE"/>
        </w:rPr>
        <w:t xml:space="preserve">, </w:t>
      </w:r>
      <w:proofErr w:type="spellStart"/>
      <w:r w:rsidRPr="000C7C76">
        <w:rPr>
          <w:rFonts w:ascii="Times New Roman" w:hAnsi="Times New Roman" w:cs="Times New Roman"/>
          <w:lang w:val="de-DE"/>
        </w:rPr>
        <w:t>ka</w:t>
      </w:r>
      <w:proofErr w:type="spellEnd"/>
      <w:r w:rsidRPr="000C7C76">
        <w:rPr>
          <w:rFonts w:ascii="Times New Roman" w:hAnsi="Times New Roman" w:cs="Times New Roman"/>
          <w:lang w:val="de-DE"/>
        </w:rPr>
        <w:t xml:space="preserve"> </w:t>
      </w:r>
      <w:proofErr w:type="spellStart"/>
      <w:r w:rsidRPr="000C7C76">
        <w:rPr>
          <w:rFonts w:ascii="Times New Roman" w:hAnsi="Times New Roman" w:cs="Times New Roman"/>
          <w:lang w:val="de-DE"/>
        </w:rPr>
        <w:t>pilnvarai</w:t>
      </w:r>
      <w:proofErr w:type="spellEnd"/>
      <w:r w:rsidRPr="000C7C76">
        <w:rPr>
          <w:rFonts w:ascii="Times New Roman" w:hAnsi="Times New Roman" w:cs="Times New Roman"/>
          <w:lang w:val="de-DE"/>
        </w:rPr>
        <w:t xml:space="preserve"> </w:t>
      </w:r>
      <w:proofErr w:type="spellStart"/>
      <w:r w:rsidRPr="000C7C76">
        <w:rPr>
          <w:rFonts w:ascii="Times New Roman" w:hAnsi="Times New Roman" w:cs="Times New Roman"/>
          <w:lang w:val="de-DE"/>
        </w:rPr>
        <w:t>ir</w:t>
      </w:r>
      <w:proofErr w:type="spellEnd"/>
      <w:r w:rsidRPr="000C7C76">
        <w:rPr>
          <w:rFonts w:ascii="Times New Roman" w:hAnsi="Times New Roman" w:cs="Times New Roman"/>
          <w:lang w:val="de-DE"/>
        </w:rPr>
        <w:t xml:space="preserve"> </w:t>
      </w:r>
      <w:proofErr w:type="spellStart"/>
      <w:r w:rsidRPr="000C7C76">
        <w:rPr>
          <w:rFonts w:ascii="Times New Roman" w:hAnsi="Times New Roman" w:cs="Times New Roman"/>
          <w:lang w:val="de-DE"/>
        </w:rPr>
        <w:t>jābūt</w:t>
      </w:r>
      <w:proofErr w:type="spellEnd"/>
      <w:r w:rsidRPr="000C7C76">
        <w:rPr>
          <w:rFonts w:ascii="Times New Roman" w:hAnsi="Times New Roman" w:cs="Times New Roman"/>
          <w:lang w:val="de-DE"/>
        </w:rPr>
        <w:t xml:space="preserve"> </w:t>
      </w:r>
      <w:proofErr w:type="spellStart"/>
      <w:r w:rsidRPr="000C7C76">
        <w:rPr>
          <w:rFonts w:ascii="Times New Roman" w:hAnsi="Times New Roman" w:cs="Times New Roman"/>
          <w:lang w:val="de-DE"/>
        </w:rPr>
        <w:t>tādai</w:t>
      </w:r>
      <w:proofErr w:type="spellEnd"/>
      <w:r w:rsidRPr="000C7C76">
        <w:rPr>
          <w:rFonts w:ascii="Times New Roman" w:hAnsi="Times New Roman" w:cs="Times New Roman"/>
          <w:lang w:val="de-DE"/>
        </w:rPr>
        <w:t xml:space="preserve">, </w:t>
      </w:r>
      <w:proofErr w:type="spellStart"/>
      <w:r w:rsidRPr="000C7C76">
        <w:rPr>
          <w:rFonts w:ascii="Times New Roman" w:hAnsi="Times New Roman" w:cs="Times New Roman"/>
          <w:lang w:val="de-DE"/>
        </w:rPr>
        <w:t>kuru</w:t>
      </w:r>
      <w:proofErr w:type="spellEnd"/>
      <w:r w:rsidRPr="000C7C76">
        <w:rPr>
          <w:rFonts w:ascii="Times New Roman" w:hAnsi="Times New Roman" w:cs="Times New Roman"/>
          <w:lang w:val="de-DE"/>
        </w:rPr>
        <w:t xml:space="preserve"> </w:t>
      </w:r>
      <w:proofErr w:type="spellStart"/>
      <w:r w:rsidRPr="000C7C76">
        <w:rPr>
          <w:rFonts w:ascii="Times New Roman" w:hAnsi="Times New Roman" w:cs="Times New Roman"/>
          <w:lang w:val="de-DE"/>
        </w:rPr>
        <w:t>var</w:t>
      </w:r>
      <w:proofErr w:type="spellEnd"/>
      <w:r w:rsidRPr="000C7C76">
        <w:rPr>
          <w:rFonts w:ascii="Times New Roman" w:hAnsi="Times New Roman" w:cs="Times New Roman"/>
          <w:lang w:val="de-DE"/>
        </w:rPr>
        <w:t xml:space="preserve"> Latvijas </w:t>
      </w:r>
      <w:proofErr w:type="spellStart"/>
      <w:r w:rsidRPr="000C7C76">
        <w:rPr>
          <w:rFonts w:ascii="Times New Roman" w:hAnsi="Times New Roman" w:cs="Times New Roman"/>
          <w:lang w:val="de-DE"/>
        </w:rPr>
        <w:t>likumu</w:t>
      </w:r>
      <w:proofErr w:type="spellEnd"/>
      <w:r w:rsidRPr="000C7C76">
        <w:rPr>
          <w:rFonts w:ascii="Times New Roman" w:hAnsi="Times New Roman" w:cs="Times New Roman"/>
          <w:lang w:val="de-DE"/>
        </w:rPr>
        <w:t xml:space="preserve"> </w:t>
      </w:r>
      <w:proofErr w:type="spellStart"/>
      <w:r w:rsidRPr="000C7C76">
        <w:rPr>
          <w:rFonts w:ascii="Times New Roman" w:hAnsi="Times New Roman" w:cs="Times New Roman"/>
          <w:lang w:val="de-DE"/>
        </w:rPr>
        <w:t>izpratnē</w:t>
      </w:r>
      <w:proofErr w:type="spellEnd"/>
      <w:r w:rsidRPr="000C7C76">
        <w:rPr>
          <w:rFonts w:ascii="Times New Roman" w:hAnsi="Times New Roman" w:cs="Times New Roman"/>
          <w:lang w:val="de-DE"/>
        </w:rPr>
        <w:t xml:space="preserve"> </w:t>
      </w:r>
      <w:proofErr w:type="spellStart"/>
      <w:r w:rsidRPr="000C7C76">
        <w:rPr>
          <w:rFonts w:ascii="Times New Roman" w:hAnsi="Times New Roman" w:cs="Times New Roman"/>
          <w:lang w:val="de-DE"/>
        </w:rPr>
        <w:t>uzskatīt</w:t>
      </w:r>
      <w:proofErr w:type="spellEnd"/>
      <w:r w:rsidRPr="000C7C76">
        <w:rPr>
          <w:rFonts w:ascii="Times New Roman" w:hAnsi="Times New Roman" w:cs="Times New Roman"/>
          <w:lang w:val="de-DE"/>
        </w:rPr>
        <w:t xml:space="preserve"> par </w:t>
      </w:r>
      <w:proofErr w:type="spellStart"/>
      <w:r w:rsidRPr="000C7C76">
        <w:rPr>
          <w:rFonts w:ascii="Times New Roman" w:hAnsi="Times New Roman" w:cs="Times New Roman"/>
          <w:lang w:val="de-DE"/>
        </w:rPr>
        <w:t>publisku</w:t>
      </w:r>
      <w:proofErr w:type="spellEnd"/>
      <w:r w:rsidRPr="000C7C76">
        <w:rPr>
          <w:rFonts w:ascii="Times New Roman" w:hAnsi="Times New Roman" w:cs="Times New Roman"/>
          <w:lang w:val="de-DE"/>
        </w:rPr>
        <w:t xml:space="preserve"> </w:t>
      </w:r>
      <w:proofErr w:type="spellStart"/>
      <w:r w:rsidRPr="000C7C76">
        <w:rPr>
          <w:rFonts w:ascii="Times New Roman" w:hAnsi="Times New Roman" w:cs="Times New Roman"/>
          <w:lang w:val="de-DE"/>
        </w:rPr>
        <w:t>dokumentu</w:t>
      </w:r>
      <w:proofErr w:type="spellEnd"/>
      <w:r w:rsidRPr="000C7C76">
        <w:rPr>
          <w:rFonts w:ascii="Times New Roman" w:hAnsi="Times New Roman" w:cs="Times New Roman"/>
          <w:lang w:val="de-DE"/>
        </w:rPr>
        <w:t xml:space="preserve">. </w:t>
      </w:r>
      <w:proofErr w:type="spellStart"/>
      <w:r w:rsidRPr="000C7C76">
        <w:rPr>
          <w:rFonts w:ascii="Times New Roman" w:hAnsi="Times New Roman" w:cs="Times New Roman"/>
          <w:lang w:val="de-DE"/>
        </w:rPr>
        <w:t>Ārvalstīs</w:t>
      </w:r>
      <w:proofErr w:type="spellEnd"/>
      <w:r w:rsidRPr="000C7C76">
        <w:rPr>
          <w:rFonts w:ascii="Times New Roman" w:hAnsi="Times New Roman" w:cs="Times New Roman"/>
          <w:lang w:val="de-DE"/>
        </w:rPr>
        <w:t xml:space="preserve"> </w:t>
      </w:r>
      <w:proofErr w:type="spellStart"/>
      <w:r w:rsidRPr="000C7C76">
        <w:rPr>
          <w:rFonts w:ascii="Times New Roman" w:hAnsi="Times New Roman" w:cs="Times New Roman"/>
          <w:lang w:val="de-DE"/>
        </w:rPr>
        <w:t>izdota</w:t>
      </w:r>
      <w:proofErr w:type="spellEnd"/>
      <w:r w:rsidRPr="000C7C76">
        <w:rPr>
          <w:rFonts w:ascii="Times New Roman" w:hAnsi="Times New Roman" w:cs="Times New Roman"/>
          <w:lang w:val="de-DE"/>
        </w:rPr>
        <w:t xml:space="preserve"> </w:t>
      </w:r>
      <w:proofErr w:type="spellStart"/>
      <w:r w:rsidRPr="000C7C76">
        <w:rPr>
          <w:rFonts w:ascii="Times New Roman" w:hAnsi="Times New Roman" w:cs="Times New Roman"/>
          <w:u w:val="single"/>
          <w:lang w:val="de-DE"/>
        </w:rPr>
        <w:t>pilnvara</w:t>
      </w:r>
      <w:proofErr w:type="spellEnd"/>
      <w:r w:rsidRPr="000C7C76">
        <w:rPr>
          <w:rFonts w:ascii="Times New Roman" w:hAnsi="Times New Roman" w:cs="Times New Roman"/>
          <w:lang w:val="de-DE"/>
        </w:rPr>
        <w:t xml:space="preserve"> </w:t>
      </w:r>
      <w:proofErr w:type="spellStart"/>
      <w:r w:rsidRPr="000C7C76">
        <w:rPr>
          <w:rFonts w:ascii="Times New Roman" w:hAnsi="Times New Roman" w:cs="Times New Roman"/>
          <w:lang w:val="de-DE"/>
        </w:rPr>
        <w:t>nedrīkst</w:t>
      </w:r>
      <w:proofErr w:type="spellEnd"/>
      <w:r w:rsidRPr="000C7C76">
        <w:rPr>
          <w:rFonts w:ascii="Times New Roman" w:hAnsi="Times New Roman" w:cs="Times New Roman"/>
          <w:lang w:val="de-DE"/>
        </w:rPr>
        <w:t xml:space="preserve"> </w:t>
      </w:r>
      <w:proofErr w:type="spellStart"/>
      <w:r w:rsidRPr="000C7C76">
        <w:rPr>
          <w:rFonts w:ascii="Times New Roman" w:hAnsi="Times New Roman" w:cs="Times New Roman"/>
          <w:lang w:val="de-DE"/>
        </w:rPr>
        <w:t>būt</w:t>
      </w:r>
      <w:proofErr w:type="spellEnd"/>
      <w:r w:rsidRPr="000C7C76">
        <w:rPr>
          <w:rFonts w:ascii="Times New Roman" w:hAnsi="Times New Roman" w:cs="Times New Roman"/>
          <w:lang w:val="de-DE"/>
        </w:rPr>
        <w:t xml:space="preserve"> </w:t>
      </w:r>
      <w:proofErr w:type="spellStart"/>
      <w:r w:rsidRPr="000C7C76">
        <w:rPr>
          <w:rFonts w:ascii="Times New Roman" w:hAnsi="Times New Roman" w:cs="Times New Roman"/>
          <w:lang w:val="de-DE"/>
        </w:rPr>
        <w:t>privāta</w:t>
      </w:r>
      <w:proofErr w:type="spellEnd"/>
      <w:r w:rsidRPr="000C7C76">
        <w:rPr>
          <w:rFonts w:ascii="Times New Roman" w:hAnsi="Times New Roman" w:cs="Times New Roman"/>
          <w:lang w:val="de-DE"/>
        </w:rPr>
        <w:t xml:space="preserve"> </w:t>
      </w:r>
      <w:proofErr w:type="spellStart"/>
      <w:r w:rsidRPr="000C7C76">
        <w:rPr>
          <w:rFonts w:ascii="Times New Roman" w:hAnsi="Times New Roman" w:cs="Times New Roman"/>
          <w:lang w:val="de-DE"/>
        </w:rPr>
        <w:t>dokumenta</w:t>
      </w:r>
      <w:proofErr w:type="spellEnd"/>
      <w:r w:rsidRPr="000C7C76">
        <w:rPr>
          <w:rFonts w:ascii="Times New Roman" w:hAnsi="Times New Roman" w:cs="Times New Roman"/>
          <w:lang w:val="de-DE"/>
        </w:rPr>
        <w:t xml:space="preserve"> </w:t>
      </w:r>
      <w:proofErr w:type="spellStart"/>
      <w:r w:rsidRPr="000C7C76">
        <w:rPr>
          <w:rFonts w:ascii="Times New Roman" w:hAnsi="Times New Roman" w:cs="Times New Roman"/>
          <w:lang w:val="de-DE"/>
        </w:rPr>
        <w:t>formā</w:t>
      </w:r>
      <w:proofErr w:type="spellEnd"/>
      <w:r w:rsidRPr="000C7C76">
        <w:rPr>
          <w:rFonts w:ascii="Times New Roman" w:hAnsi="Times New Roman" w:cs="Times New Roman"/>
          <w:lang w:val="de-DE"/>
        </w:rPr>
        <w:t xml:space="preserve">. </w:t>
      </w:r>
      <w:proofErr w:type="spellStart"/>
      <w:r w:rsidRPr="000C7C76">
        <w:rPr>
          <w:rFonts w:ascii="Times New Roman" w:hAnsi="Times New Roman" w:cs="Times New Roman"/>
          <w:lang w:val="de-DE"/>
        </w:rPr>
        <w:t>Savukārt</w:t>
      </w:r>
      <w:proofErr w:type="spellEnd"/>
      <w:r w:rsidRPr="000C7C76">
        <w:rPr>
          <w:rFonts w:ascii="Times New Roman" w:hAnsi="Times New Roman" w:cs="Times New Roman"/>
          <w:lang w:val="de-DE"/>
        </w:rPr>
        <w:t xml:space="preserve"> </w:t>
      </w:r>
      <w:proofErr w:type="spellStart"/>
      <w:r w:rsidRPr="000C7C76">
        <w:rPr>
          <w:rFonts w:ascii="Times New Roman" w:hAnsi="Times New Roman" w:cs="Times New Roman"/>
          <w:lang w:val="de-DE"/>
        </w:rPr>
        <w:t>no</w:t>
      </w:r>
      <w:proofErr w:type="spellEnd"/>
      <w:r w:rsidRPr="000C7C76">
        <w:rPr>
          <w:rFonts w:ascii="Times New Roman" w:hAnsi="Times New Roman" w:cs="Times New Roman"/>
          <w:lang w:val="de-DE"/>
        </w:rPr>
        <w:t xml:space="preserve"> </w:t>
      </w:r>
      <w:proofErr w:type="spellStart"/>
      <w:r w:rsidRPr="000C7C76">
        <w:rPr>
          <w:rFonts w:ascii="Times New Roman" w:hAnsi="Times New Roman" w:cs="Times New Roman"/>
          <w:lang w:val="de-DE"/>
        </w:rPr>
        <w:t>Notariāta</w:t>
      </w:r>
      <w:proofErr w:type="spellEnd"/>
      <w:r w:rsidRPr="000C7C76">
        <w:rPr>
          <w:rFonts w:ascii="Times New Roman" w:hAnsi="Times New Roman" w:cs="Times New Roman"/>
          <w:lang w:val="de-DE"/>
        </w:rPr>
        <w:t xml:space="preserve"> </w:t>
      </w:r>
      <w:proofErr w:type="spellStart"/>
      <w:r w:rsidRPr="000C7C76">
        <w:rPr>
          <w:rFonts w:ascii="Times New Roman" w:hAnsi="Times New Roman" w:cs="Times New Roman"/>
          <w:lang w:val="de-DE"/>
        </w:rPr>
        <w:t>likuma</w:t>
      </w:r>
      <w:proofErr w:type="spellEnd"/>
      <w:r w:rsidRPr="000C7C76">
        <w:rPr>
          <w:rFonts w:ascii="Times New Roman" w:hAnsi="Times New Roman" w:cs="Times New Roman"/>
          <w:lang w:val="de-DE"/>
        </w:rPr>
        <w:t xml:space="preserve"> 81.panta </w:t>
      </w:r>
      <w:proofErr w:type="spellStart"/>
      <w:r w:rsidRPr="000C7C76">
        <w:rPr>
          <w:rFonts w:ascii="Times New Roman" w:hAnsi="Times New Roman" w:cs="Times New Roman"/>
          <w:lang w:val="de-DE"/>
        </w:rPr>
        <w:t>tālāk</w:t>
      </w:r>
      <w:proofErr w:type="spellEnd"/>
      <w:r w:rsidRPr="000C7C76">
        <w:rPr>
          <w:rFonts w:ascii="Times New Roman" w:hAnsi="Times New Roman" w:cs="Times New Roman"/>
          <w:lang w:val="de-DE"/>
        </w:rPr>
        <w:t xml:space="preserve"> </w:t>
      </w:r>
      <w:proofErr w:type="spellStart"/>
      <w:r w:rsidRPr="000C7C76">
        <w:rPr>
          <w:rFonts w:ascii="Times New Roman" w:hAnsi="Times New Roman" w:cs="Times New Roman"/>
          <w:lang w:val="de-DE"/>
        </w:rPr>
        <w:t>izriet</w:t>
      </w:r>
      <w:proofErr w:type="spellEnd"/>
      <w:r w:rsidRPr="000C7C76">
        <w:rPr>
          <w:rFonts w:ascii="Times New Roman" w:hAnsi="Times New Roman" w:cs="Times New Roman"/>
          <w:lang w:val="de-DE"/>
        </w:rPr>
        <w:t xml:space="preserve">, </w:t>
      </w:r>
      <w:proofErr w:type="spellStart"/>
      <w:r w:rsidRPr="000C7C76">
        <w:rPr>
          <w:rFonts w:ascii="Times New Roman" w:hAnsi="Times New Roman" w:cs="Times New Roman"/>
          <w:lang w:val="de-DE"/>
        </w:rPr>
        <w:t>ka</w:t>
      </w:r>
      <w:proofErr w:type="spellEnd"/>
      <w:r w:rsidRPr="000C7C76">
        <w:rPr>
          <w:rFonts w:ascii="Times New Roman" w:hAnsi="Times New Roman" w:cs="Times New Roman"/>
          <w:lang w:val="de-DE"/>
        </w:rPr>
        <w:t xml:space="preserve"> </w:t>
      </w:r>
      <w:proofErr w:type="spellStart"/>
      <w:r w:rsidRPr="000C7C76">
        <w:rPr>
          <w:rFonts w:ascii="Times New Roman" w:hAnsi="Times New Roman" w:cs="Times New Roman"/>
          <w:lang w:val="de-DE"/>
        </w:rPr>
        <w:t>pilnvarai</w:t>
      </w:r>
      <w:proofErr w:type="spellEnd"/>
      <w:r w:rsidRPr="000C7C76">
        <w:rPr>
          <w:rFonts w:ascii="Times New Roman" w:hAnsi="Times New Roman" w:cs="Times New Roman"/>
          <w:lang w:val="de-DE"/>
        </w:rPr>
        <w:t xml:space="preserve">, </w:t>
      </w:r>
      <w:proofErr w:type="spellStart"/>
      <w:r w:rsidRPr="000C7C76">
        <w:rPr>
          <w:rFonts w:ascii="Times New Roman" w:hAnsi="Times New Roman" w:cs="Times New Roman"/>
          <w:lang w:val="de-DE"/>
        </w:rPr>
        <w:t>lai</w:t>
      </w:r>
      <w:proofErr w:type="spellEnd"/>
      <w:r w:rsidRPr="000C7C76">
        <w:rPr>
          <w:rFonts w:ascii="Times New Roman" w:hAnsi="Times New Roman" w:cs="Times New Roman"/>
          <w:lang w:val="de-DE"/>
        </w:rPr>
        <w:t xml:space="preserve"> </w:t>
      </w:r>
      <w:proofErr w:type="spellStart"/>
      <w:r w:rsidRPr="000C7C76">
        <w:rPr>
          <w:rFonts w:ascii="Times New Roman" w:hAnsi="Times New Roman" w:cs="Times New Roman"/>
          <w:lang w:val="de-DE"/>
        </w:rPr>
        <w:t>to</w:t>
      </w:r>
      <w:proofErr w:type="spellEnd"/>
      <w:r w:rsidRPr="000C7C76">
        <w:rPr>
          <w:rFonts w:ascii="Times New Roman" w:hAnsi="Times New Roman" w:cs="Times New Roman"/>
          <w:lang w:val="de-DE"/>
        </w:rPr>
        <w:t xml:space="preserve"> </w:t>
      </w:r>
      <w:proofErr w:type="spellStart"/>
      <w:r w:rsidRPr="000C7C76">
        <w:rPr>
          <w:rFonts w:ascii="Times New Roman" w:hAnsi="Times New Roman" w:cs="Times New Roman"/>
          <w:lang w:val="de-DE"/>
        </w:rPr>
        <w:t>atzītu</w:t>
      </w:r>
      <w:proofErr w:type="spellEnd"/>
      <w:r w:rsidRPr="000C7C76">
        <w:rPr>
          <w:rFonts w:ascii="Times New Roman" w:hAnsi="Times New Roman" w:cs="Times New Roman"/>
          <w:lang w:val="de-DE"/>
        </w:rPr>
        <w:t xml:space="preserve"> par </w:t>
      </w:r>
      <w:proofErr w:type="spellStart"/>
      <w:r w:rsidRPr="000C7C76">
        <w:rPr>
          <w:rFonts w:ascii="Times New Roman" w:hAnsi="Times New Roman" w:cs="Times New Roman"/>
          <w:lang w:val="de-DE"/>
        </w:rPr>
        <w:t>publisku</w:t>
      </w:r>
      <w:proofErr w:type="spellEnd"/>
      <w:r w:rsidRPr="000C7C76">
        <w:rPr>
          <w:rFonts w:ascii="Times New Roman" w:hAnsi="Times New Roman" w:cs="Times New Roman"/>
          <w:lang w:val="de-DE"/>
        </w:rPr>
        <w:t xml:space="preserve"> </w:t>
      </w:r>
      <w:proofErr w:type="spellStart"/>
      <w:r w:rsidRPr="000C7C76">
        <w:rPr>
          <w:rFonts w:ascii="Times New Roman" w:hAnsi="Times New Roman" w:cs="Times New Roman"/>
          <w:lang w:val="de-DE"/>
        </w:rPr>
        <w:t>dokumentu</w:t>
      </w:r>
      <w:proofErr w:type="spellEnd"/>
      <w:r w:rsidRPr="000C7C76">
        <w:rPr>
          <w:rFonts w:ascii="Times New Roman" w:hAnsi="Times New Roman" w:cs="Times New Roman"/>
          <w:lang w:val="de-DE"/>
        </w:rPr>
        <w:t xml:space="preserve">, </w:t>
      </w:r>
      <w:proofErr w:type="spellStart"/>
      <w:r w:rsidRPr="000C7C76">
        <w:rPr>
          <w:rFonts w:ascii="Times New Roman" w:hAnsi="Times New Roman" w:cs="Times New Roman"/>
          <w:lang w:val="de-DE"/>
        </w:rPr>
        <w:t>ir</w:t>
      </w:r>
      <w:proofErr w:type="spellEnd"/>
      <w:r w:rsidRPr="000C7C76">
        <w:rPr>
          <w:rFonts w:ascii="Times New Roman" w:hAnsi="Times New Roman" w:cs="Times New Roman"/>
          <w:lang w:val="de-DE"/>
        </w:rPr>
        <w:t xml:space="preserve"> </w:t>
      </w:r>
      <w:proofErr w:type="spellStart"/>
      <w:r w:rsidRPr="000C7C76">
        <w:rPr>
          <w:rFonts w:ascii="Times New Roman" w:hAnsi="Times New Roman" w:cs="Times New Roman"/>
          <w:lang w:val="de-DE"/>
        </w:rPr>
        <w:t>jābūt</w:t>
      </w:r>
      <w:proofErr w:type="spellEnd"/>
      <w:r w:rsidRPr="000C7C76">
        <w:rPr>
          <w:rFonts w:ascii="Times New Roman" w:hAnsi="Times New Roman" w:cs="Times New Roman"/>
          <w:lang w:val="de-DE"/>
        </w:rPr>
        <w:t xml:space="preserve"> </w:t>
      </w:r>
      <w:proofErr w:type="spellStart"/>
      <w:r w:rsidRPr="000C7C76">
        <w:rPr>
          <w:rFonts w:ascii="Times New Roman" w:hAnsi="Times New Roman" w:cs="Times New Roman"/>
          <w:lang w:val="de-DE"/>
        </w:rPr>
        <w:t>sastādītai</w:t>
      </w:r>
      <w:proofErr w:type="spellEnd"/>
      <w:r w:rsidRPr="000C7C76">
        <w:rPr>
          <w:rFonts w:ascii="Times New Roman" w:hAnsi="Times New Roman" w:cs="Times New Roman"/>
          <w:lang w:val="de-DE"/>
        </w:rPr>
        <w:t xml:space="preserve"> </w:t>
      </w:r>
      <w:proofErr w:type="spellStart"/>
      <w:r w:rsidRPr="000C7C76">
        <w:rPr>
          <w:rFonts w:ascii="Times New Roman" w:hAnsi="Times New Roman" w:cs="Times New Roman"/>
          <w:lang w:val="de-DE"/>
        </w:rPr>
        <w:t>notariālā</w:t>
      </w:r>
      <w:proofErr w:type="spellEnd"/>
      <w:r w:rsidRPr="000C7C76">
        <w:rPr>
          <w:rFonts w:ascii="Times New Roman" w:hAnsi="Times New Roman" w:cs="Times New Roman"/>
          <w:lang w:val="de-DE"/>
        </w:rPr>
        <w:t xml:space="preserve"> </w:t>
      </w:r>
      <w:proofErr w:type="spellStart"/>
      <w:r w:rsidRPr="000C7C76">
        <w:rPr>
          <w:rFonts w:ascii="Times New Roman" w:hAnsi="Times New Roman" w:cs="Times New Roman"/>
          <w:lang w:val="de-DE"/>
        </w:rPr>
        <w:t>akta</w:t>
      </w:r>
      <w:proofErr w:type="spellEnd"/>
      <w:r w:rsidRPr="000C7C76">
        <w:rPr>
          <w:rFonts w:ascii="Times New Roman" w:hAnsi="Times New Roman" w:cs="Times New Roman"/>
          <w:lang w:val="de-DE"/>
        </w:rPr>
        <w:t xml:space="preserve"> </w:t>
      </w:r>
      <w:proofErr w:type="spellStart"/>
      <w:r w:rsidRPr="000C7C76">
        <w:rPr>
          <w:rFonts w:ascii="Times New Roman" w:hAnsi="Times New Roman" w:cs="Times New Roman"/>
          <w:lang w:val="de-DE"/>
        </w:rPr>
        <w:t>formā</w:t>
      </w:r>
      <w:proofErr w:type="spellEnd"/>
      <w:r w:rsidRPr="000C7C76">
        <w:rPr>
          <w:rFonts w:ascii="Times New Roman" w:hAnsi="Times New Roman" w:cs="Times New Roman"/>
          <w:lang w:val="de-DE"/>
        </w:rPr>
        <w:t xml:space="preserve">. </w:t>
      </w:r>
      <w:proofErr w:type="spellStart"/>
      <w:r w:rsidRPr="000C7C76">
        <w:rPr>
          <w:rFonts w:ascii="Times New Roman" w:hAnsi="Times New Roman" w:cs="Times New Roman"/>
          <w:lang w:val="de-DE"/>
        </w:rPr>
        <w:t>Savukārt</w:t>
      </w:r>
      <w:proofErr w:type="spellEnd"/>
      <w:r w:rsidRPr="000C7C76">
        <w:rPr>
          <w:rFonts w:ascii="Times New Roman" w:hAnsi="Times New Roman" w:cs="Times New Roman"/>
          <w:lang w:val="de-DE"/>
        </w:rPr>
        <w:t xml:space="preserve"> </w:t>
      </w:r>
      <w:proofErr w:type="spellStart"/>
      <w:r w:rsidRPr="000C7C76">
        <w:rPr>
          <w:rFonts w:ascii="Times New Roman" w:hAnsi="Times New Roman" w:cs="Times New Roman"/>
          <w:lang w:val="de-DE"/>
        </w:rPr>
        <w:t>apliecinājumu</w:t>
      </w:r>
      <w:proofErr w:type="spellEnd"/>
      <w:r w:rsidRPr="000C7C76">
        <w:rPr>
          <w:rFonts w:ascii="Times New Roman" w:hAnsi="Times New Roman" w:cs="Times New Roman"/>
          <w:lang w:val="de-DE"/>
        </w:rPr>
        <w:t xml:space="preserve"> </w:t>
      </w:r>
      <w:proofErr w:type="spellStart"/>
      <w:r w:rsidRPr="000C7C76">
        <w:rPr>
          <w:rFonts w:ascii="Times New Roman" w:hAnsi="Times New Roman" w:cs="Times New Roman"/>
          <w:lang w:val="de-DE"/>
        </w:rPr>
        <w:t>veidā</w:t>
      </w:r>
      <w:proofErr w:type="spellEnd"/>
      <w:r w:rsidRPr="000C7C76">
        <w:rPr>
          <w:rFonts w:ascii="Times New Roman" w:hAnsi="Times New Roman" w:cs="Times New Roman"/>
          <w:lang w:val="de-DE"/>
        </w:rPr>
        <w:t xml:space="preserve"> (108.pants) </w:t>
      </w:r>
      <w:proofErr w:type="spellStart"/>
      <w:r w:rsidRPr="000C7C76">
        <w:rPr>
          <w:rFonts w:ascii="Times New Roman" w:hAnsi="Times New Roman" w:cs="Times New Roman"/>
          <w:lang w:val="de-DE"/>
        </w:rPr>
        <w:t>notāri</w:t>
      </w:r>
      <w:proofErr w:type="spellEnd"/>
      <w:r w:rsidRPr="000C7C76">
        <w:rPr>
          <w:rFonts w:ascii="Times New Roman" w:hAnsi="Times New Roman" w:cs="Times New Roman"/>
          <w:lang w:val="de-DE"/>
        </w:rPr>
        <w:t xml:space="preserve"> </w:t>
      </w:r>
      <w:proofErr w:type="spellStart"/>
      <w:r w:rsidRPr="000C7C76">
        <w:rPr>
          <w:rFonts w:ascii="Times New Roman" w:hAnsi="Times New Roman" w:cs="Times New Roman"/>
          <w:lang w:val="de-DE"/>
        </w:rPr>
        <w:t>pilnvaras</w:t>
      </w:r>
      <w:proofErr w:type="spellEnd"/>
      <w:r w:rsidRPr="000C7C76">
        <w:rPr>
          <w:rFonts w:ascii="Times New Roman" w:hAnsi="Times New Roman" w:cs="Times New Roman"/>
          <w:lang w:val="de-DE"/>
        </w:rPr>
        <w:t xml:space="preserve"> </w:t>
      </w:r>
      <w:proofErr w:type="spellStart"/>
      <w:r w:rsidRPr="000C7C76">
        <w:rPr>
          <w:rFonts w:ascii="Times New Roman" w:hAnsi="Times New Roman" w:cs="Times New Roman"/>
          <w:lang w:val="de-DE"/>
        </w:rPr>
        <w:t>neizdod</w:t>
      </w:r>
      <w:proofErr w:type="spellEnd"/>
      <w:r w:rsidRPr="000C7C76">
        <w:rPr>
          <w:rFonts w:ascii="Times New Roman" w:hAnsi="Times New Roman" w:cs="Times New Roman"/>
          <w:lang w:val="de-DE"/>
        </w:rPr>
        <w:t xml:space="preserve">, </w:t>
      </w:r>
      <w:proofErr w:type="spellStart"/>
      <w:r w:rsidRPr="000C7C76">
        <w:rPr>
          <w:rFonts w:ascii="Times New Roman" w:hAnsi="Times New Roman" w:cs="Times New Roman"/>
          <w:lang w:val="de-DE"/>
        </w:rPr>
        <w:t>bet</w:t>
      </w:r>
      <w:proofErr w:type="spellEnd"/>
      <w:r w:rsidRPr="000C7C76">
        <w:rPr>
          <w:rFonts w:ascii="Times New Roman" w:hAnsi="Times New Roman" w:cs="Times New Roman"/>
          <w:lang w:val="de-DE"/>
        </w:rPr>
        <w:t xml:space="preserve"> </w:t>
      </w:r>
      <w:proofErr w:type="spellStart"/>
      <w:r w:rsidRPr="000C7C76">
        <w:rPr>
          <w:rFonts w:ascii="Times New Roman" w:hAnsi="Times New Roman" w:cs="Times New Roman"/>
          <w:lang w:val="de-DE"/>
        </w:rPr>
        <w:t>gan</w:t>
      </w:r>
      <w:proofErr w:type="spellEnd"/>
      <w:r w:rsidRPr="000C7C76">
        <w:rPr>
          <w:rFonts w:ascii="Times New Roman" w:hAnsi="Times New Roman" w:cs="Times New Roman"/>
          <w:lang w:val="de-DE"/>
        </w:rPr>
        <w:t xml:space="preserve"> </w:t>
      </w:r>
      <w:proofErr w:type="spellStart"/>
      <w:r w:rsidRPr="000C7C76">
        <w:rPr>
          <w:rFonts w:ascii="Times New Roman" w:hAnsi="Times New Roman" w:cs="Times New Roman"/>
          <w:lang w:val="de-DE"/>
        </w:rPr>
        <w:t>tikai</w:t>
      </w:r>
      <w:proofErr w:type="spellEnd"/>
      <w:r w:rsidRPr="000C7C76">
        <w:rPr>
          <w:rFonts w:ascii="Times New Roman" w:hAnsi="Times New Roman" w:cs="Times New Roman"/>
          <w:lang w:val="de-DE"/>
        </w:rPr>
        <w:t xml:space="preserve"> </w:t>
      </w:r>
      <w:proofErr w:type="spellStart"/>
      <w:r w:rsidRPr="000C7C76">
        <w:rPr>
          <w:rFonts w:ascii="Times New Roman" w:hAnsi="Times New Roman" w:cs="Times New Roman"/>
          <w:lang w:val="de-DE"/>
        </w:rPr>
        <w:t>atsauc</w:t>
      </w:r>
      <w:proofErr w:type="spellEnd"/>
      <w:r w:rsidRPr="000C7C76">
        <w:rPr>
          <w:rFonts w:ascii="Times New Roman" w:hAnsi="Times New Roman" w:cs="Times New Roman"/>
          <w:lang w:val="de-DE"/>
        </w:rPr>
        <w:t xml:space="preserve"> (108.panta 11.punkts). </w:t>
      </w:r>
      <w:proofErr w:type="spellStart"/>
      <w:r w:rsidRPr="000C7C76">
        <w:rPr>
          <w:rFonts w:ascii="Times New Roman" w:hAnsi="Times New Roman" w:cs="Times New Roman"/>
          <w:lang w:val="de-DE"/>
        </w:rPr>
        <w:t>Pilnvaras</w:t>
      </w:r>
      <w:proofErr w:type="spellEnd"/>
      <w:r w:rsidRPr="000C7C76">
        <w:rPr>
          <w:rFonts w:ascii="Times New Roman" w:hAnsi="Times New Roman" w:cs="Times New Roman"/>
          <w:lang w:val="de-DE"/>
        </w:rPr>
        <w:t xml:space="preserve">, </w:t>
      </w:r>
      <w:proofErr w:type="spellStart"/>
      <w:r w:rsidRPr="000C7C76">
        <w:rPr>
          <w:rFonts w:ascii="Times New Roman" w:hAnsi="Times New Roman" w:cs="Times New Roman"/>
          <w:lang w:val="de-DE"/>
        </w:rPr>
        <w:t>kurās</w:t>
      </w:r>
      <w:proofErr w:type="spellEnd"/>
      <w:r w:rsidRPr="000C7C76">
        <w:rPr>
          <w:rFonts w:ascii="Times New Roman" w:hAnsi="Times New Roman" w:cs="Times New Roman"/>
          <w:lang w:val="de-DE"/>
        </w:rPr>
        <w:t xml:space="preserve"> </w:t>
      </w:r>
      <w:proofErr w:type="spellStart"/>
      <w:r w:rsidRPr="000C7C76">
        <w:rPr>
          <w:rFonts w:ascii="Times New Roman" w:hAnsi="Times New Roman" w:cs="Times New Roman"/>
          <w:lang w:val="de-DE"/>
        </w:rPr>
        <w:t>notārs</w:t>
      </w:r>
      <w:proofErr w:type="spellEnd"/>
      <w:r w:rsidRPr="000C7C76">
        <w:rPr>
          <w:rFonts w:ascii="Times New Roman" w:hAnsi="Times New Roman" w:cs="Times New Roman"/>
          <w:lang w:val="de-DE"/>
        </w:rPr>
        <w:t xml:space="preserve"> </w:t>
      </w:r>
      <w:proofErr w:type="spellStart"/>
      <w:r w:rsidRPr="000C7C76">
        <w:rPr>
          <w:rFonts w:ascii="Times New Roman" w:hAnsi="Times New Roman" w:cs="Times New Roman"/>
          <w:lang w:val="de-DE"/>
        </w:rPr>
        <w:t>ir</w:t>
      </w:r>
      <w:proofErr w:type="spellEnd"/>
      <w:r w:rsidRPr="000C7C76">
        <w:rPr>
          <w:rFonts w:ascii="Times New Roman" w:hAnsi="Times New Roman" w:cs="Times New Roman"/>
          <w:lang w:val="de-DE"/>
        </w:rPr>
        <w:t xml:space="preserve"> </w:t>
      </w:r>
      <w:proofErr w:type="spellStart"/>
      <w:r w:rsidRPr="000C7C76">
        <w:rPr>
          <w:rFonts w:ascii="Times New Roman" w:hAnsi="Times New Roman" w:cs="Times New Roman"/>
          <w:lang w:val="de-DE"/>
        </w:rPr>
        <w:t>apliecinājis</w:t>
      </w:r>
      <w:proofErr w:type="spellEnd"/>
      <w:r w:rsidRPr="000C7C76">
        <w:rPr>
          <w:rFonts w:ascii="Times New Roman" w:hAnsi="Times New Roman" w:cs="Times New Roman"/>
          <w:lang w:val="de-DE"/>
        </w:rPr>
        <w:t xml:space="preserve"> </w:t>
      </w:r>
      <w:proofErr w:type="spellStart"/>
      <w:r w:rsidRPr="000C7C76">
        <w:rPr>
          <w:rFonts w:ascii="Times New Roman" w:hAnsi="Times New Roman" w:cs="Times New Roman"/>
          <w:lang w:val="de-DE"/>
        </w:rPr>
        <w:t>tika</w:t>
      </w:r>
      <w:r w:rsidR="00ED3A4D" w:rsidRPr="000C7C76">
        <w:rPr>
          <w:rFonts w:ascii="Times New Roman" w:hAnsi="Times New Roman" w:cs="Times New Roman"/>
          <w:lang w:val="de-DE"/>
        </w:rPr>
        <w:t>i</w:t>
      </w:r>
      <w:proofErr w:type="spellEnd"/>
      <w:r w:rsidRPr="000C7C76">
        <w:rPr>
          <w:rFonts w:ascii="Times New Roman" w:hAnsi="Times New Roman" w:cs="Times New Roman"/>
          <w:lang w:val="de-DE"/>
        </w:rPr>
        <w:t xml:space="preserve"> </w:t>
      </w:r>
      <w:proofErr w:type="spellStart"/>
      <w:r w:rsidRPr="000C7C76">
        <w:rPr>
          <w:rFonts w:ascii="Times New Roman" w:hAnsi="Times New Roman" w:cs="Times New Roman"/>
          <w:lang w:val="de-DE"/>
        </w:rPr>
        <w:t>parakstu</w:t>
      </w:r>
      <w:proofErr w:type="spellEnd"/>
      <w:r w:rsidRPr="000C7C76">
        <w:rPr>
          <w:rFonts w:ascii="Times New Roman" w:hAnsi="Times New Roman" w:cs="Times New Roman"/>
          <w:lang w:val="de-DE"/>
        </w:rPr>
        <w:t xml:space="preserve"> </w:t>
      </w:r>
      <w:proofErr w:type="spellStart"/>
      <w:r w:rsidRPr="000C7C76">
        <w:rPr>
          <w:rFonts w:ascii="Times New Roman" w:hAnsi="Times New Roman" w:cs="Times New Roman"/>
          <w:lang w:val="de-DE"/>
        </w:rPr>
        <w:t>īstumu</w:t>
      </w:r>
      <w:proofErr w:type="spellEnd"/>
      <w:r w:rsidRPr="000C7C76">
        <w:rPr>
          <w:rFonts w:ascii="Times New Roman" w:hAnsi="Times New Roman" w:cs="Times New Roman"/>
          <w:lang w:val="de-DE"/>
        </w:rPr>
        <w:t xml:space="preserve">, </w:t>
      </w:r>
      <w:proofErr w:type="spellStart"/>
      <w:r w:rsidRPr="000C7C76">
        <w:rPr>
          <w:rFonts w:ascii="Times New Roman" w:hAnsi="Times New Roman" w:cs="Times New Roman"/>
          <w:lang w:val="de-DE"/>
        </w:rPr>
        <w:t>uzskatāmas</w:t>
      </w:r>
      <w:proofErr w:type="spellEnd"/>
      <w:r w:rsidRPr="000C7C76">
        <w:rPr>
          <w:rFonts w:ascii="Times New Roman" w:hAnsi="Times New Roman" w:cs="Times New Roman"/>
          <w:lang w:val="de-DE"/>
        </w:rPr>
        <w:t xml:space="preserve"> par </w:t>
      </w:r>
      <w:proofErr w:type="spellStart"/>
      <w:r w:rsidRPr="000C7C76">
        <w:rPr>
          <w:rFonts w:ascii="Times New Roman" w:hAnsi="Times New Roman" w:cs="Times New Roman"/>
          <w:lang w:val="de-DE"/>
        </w:rPr>
        <w:t>privātiem</w:t>
      </w:r>
      <w:proofErr w:type="spellEnd"/>
      <w:r w:rsidRPr="000C7C76">
        <w:rPr>
          <w:rFonts w:ascii="Times New Roman" w:hAnsi="Times New Roman" w:cs="Times New Roman"/>
          <w:lang w:val="de-DE"/>
        </w:rPr>
        <w:t xml:space="preserve"> </w:t>
      </w:r>
      <w:proofErr w:type="spellStart"/>
      <w:r w:rsidRPr="000C7C76">
        <w:rPr>
          <w:rFonts w:ascii="Times New Roman" w:hAnsi="Times New Roman" w:cs="Times New Roman"/>
          <w:lang w:val="de-DE"/>
        </w:rPr>
        <w:t>dokumentiem</w:t>
      </w:r>
      <w:proofErr w:type="spellEnd"/>
      <w:r w:rsidRPr="000C7C76">
        <w:rPr>
          <w:rFonts w:ascii="Times New Roman" w:hAnsi="Times New Roman" w:cs="Times New Roman"/>
          <w:lang w:val="de-DE"/>
        </w:rPr>
        <w:t xml:space="preserve"> (</w:t>
      </w:r>
      <w:proofErr w:type="spellStart"/>
      <w:r w:rsidRPr="000C7C76">
        <w:rPr>
          <w:rFonts w:ascii="Times New Roman" w:hAnsi="Times New Roman" w:cs="Times New Roman"/>
          <w:lang w:val="de-DE"/>
        </w:rPr>
        <w:t>Notariāta</w:t>
      </w:r>
      <w:proofErr w:type="spellEnd"/>
      <w:r w:rsidRPr="000C7C76">
        <w:rPr>
          <w:rFonts w:ascii="Times New Roman" w:hAnsi="Times New Roman" w:cs="Times New Roman"/>
          <w:lang w:val="de-DE"/>
        </w:rPr>
        <w:t xml:space="preserve"> </w:t>
      </w:r>
      <w:proofErr w:type="spellStart"/>
      <w:r w:rsidRPr="000C7C76">
        <w:rPr>
          <w:rFonts w:ascii="Times New Roman" w:hAnsi="Times New Roman" w:cs="Times New Roman"/>
          <w:lang w:val="de-DE"/>
        </w:rPr>
        <w:t>likuma</w:t>
      </w:r>
      <w:proofErr w:type="spellEnd"/>
      <w:r w:rsidRPr="000C7C76">
        <w:rPr>
          <w:rFonts w:ascii="Times New Roman" w:hAnsi="Times New Roman" w:cs="Times New Roman"/>
          <w:lang w:val="de-DE"/>
        </w:rPr>
        <w:t xml:space="preserve"> 116.p.). </w:t>
      </w:r>
      <w:proofErr w:type="spellStart"/>
      <w:r w:rsidRPr="000C7C76">
        <w:rPr>
          <w:rFonts w:ascii="Times New Roman" w:hAnsi="Times New Roman" w:cs="Times New Roman"/>
          <w:lang w:val="de-DE"/>
        </w:rPr>
        <w:t>Tulkojot</w:t>
      </w:r>
      <w:proofErr w:type="spellEnd"/>
      <w:r w:rsidRPr="000C7C76">
        <w:rPr>
          <w:rFonts w:ascii="Times New Roman" w:hAnsi="Times New Roman" w:cs="Times New Roman"/>
          <w:lang w:val="de-DE"/>
        </w:rPr>
        <w:t xml:space="preserve"> </w:t>
      </w:r>
      <w:proofErr w:type="spellStart"/>
      <w:r w:rsidRPr="000C7C76">
        <w:rPr>
          <w:rFonts w:ascii="Times New Roman" w:hAnsi="Times New Roman" w:cs="Times New Roman"/>
          <w:lang w:val="de-DE"/>
        </w:rPr>
        <w:t>sistēmiski</w:t>
      </w:r>
      <w:proofErr w:type="spellEnd"/>
      <w:r w:rsidRPr="000C7C76">
        <w:rPr>
          <w:rFonts w:ascii="Times New Roman" w:hAnsi="Times New Roman" w:cs="Times New Roman"/>
          <w:lang w:val="de-DE"/>
        </w:rPr>
        <w:t xml:space="preserve"> 83.panta </w:t>
      </w:r>
      <w:proofErr w:type="spellStart"/>
      <w:r w:rsidRPr="000C7C76">
        <w:rPr>
          <w:rFonts w:ascii="Times New Roman" w:hAnsi="Times New Roman" w:cs="Times New Roman"/>
          <w:lang w:val="de-DE"/>
        </w:rPr>
        <w:t>otro</w:t>
      </w:r>
      <w:proofErr w:type="spellEnd"/>
      <w:r w:rsidRPr="000C7C76">
        <w:rPr>
          <w:rFonts w:ascii="Times New Roman" w:hAnsi="Times New Roman" w:cs="Times New Roman"/>
          <w:lang w:val="de-DE"/>
        </w:rPr>
        <w:t xml:space="preserve"> </w:t>
      </w:r>
      <w:proofErr w:type="spellStart"/>
      <w:r w:rsidRPr="000C7C76">
        <w:rPr>
          <w:rFonts w:ascii="Times New Roman" w:hAnsi="Times New Roman" w:cs="Times New Roman"/>
          <w:lang w:val="de-DE"/>
        </w:rPr>
        <w:t>daļu</w:t>
      </w:r>
      <w:proofErr w:type="spellEnd"/>
      <w:r w:rsidRPr="000C7C76">
        <w:rPr>
          <w:rFonts w:ascii="Times New Roman" w:hAnsi="Times New Roman" w:cs="Times New Roman"/>
          <w:lang w:val="de-DE"/>
        </w:rPr>
        <w:t xml:space="preserve">, 81.pantu </w:t>
      </w:r>
      <w:proofErr w:type="spellStart"/>
      <w:r w:rsidRPr="000C7C76">
        <w:rPr>
          <w:rFonts w:ascii="Times New Roman" w:hAnsi="Times New Roman" w:cs="Times New Roman"/>
          <w:lang w:val="de-DE"/>
        </w:rPr>
        <w:t>un</w:t>
      </w:r>
      <w:proofErr w:type="spellEnd"/>
      <w:r w:rsidRPr="000C7C76">
        <w:rPr>
          <w:rFonts w:ascii="Times New Roman" w:hAnsi="Times New Roman" w:cs="Times New Roman"/>
          <w:lang w:val="de-DE"/>
        </w:rPr>
        <w:t xml:space="preserve"> 116.pantu, </w:t>
      </w:r>
      <w:proofErr w:type="spellStart"/>
      <w:r w:rsidRPr="000C7C76">
        <w:rPr>
          <w:rFonts w:ascii="Times New Roman" w:hAnsi="Times New Roman" w:cs="Times New Roman"/>
          <w:lang w:val="de-DE"/>
        </w:rPr>
        <w:t>jāsecina</w:t>
      </w:r>
      <w:proofErr w:type="spellEnd"/>
      <w:r w:rsidRPr="000C7C76">
        <w:rPr>
          <w:rFonts w:ascii="Times New Roman" w:hAnsi="Times New Roman" w:cs="Times New Roman"/>
          <w:lang w:val="de-DE"/>
        </w:rPr>
        <w:t xml:space="preserve">, </w:t>
      </w:r>
      <w:proofErr w:type="spellStart"/>
      <w:r w:rsidRPr="000C7C76">
        <w:rPr>
          <w:rFonts w:ascii="Times New Roman" w:hAnsi="Times New Roman" w:cs="Times New Roman"/>
          <w:lang w:val="de-DE"/>
        </w:rPr>
        <w:t>ka</w:t>
      </w:r>
      <w:proofErr w:type="spellEnd"/>
      <w:r w:rsidRPr="000C7C76">
        <w:rPr>
          <w:rFonts w:ascii="Times New Roman" w:hAnsi="Times New Roman" w:cs="Times New Roman"/>
          <w:lang w:val="de-DE"/>
        </w:rPr>
        <w:t xml:space="preserve"> Latvijas </w:t>
      </w:r>
      <w:proofErr w:type="spellStart"/>
      <w:r w:rsidRPr="000C7C76">
        <w:rPr>
          <w:rFonts w:ascii="Times New Roman" w:hAnsi="Times New Roman" w:cs="Times New Roman"/>
          <w:lang w:val="de-DE"/>
        </w:rPr>
        <w:t>notārs</w:t>
      </w:r>
      <w:proofErr w:type="spellEnd"/>
      <w:r w:rsidRPr="000C7C76">
        <w:rPr>
          <w:rFonts w:ascii="Times New Roman" w:hAnsi="Times New Roman" w:cs="Times New Roman"/>
          <w:lang w:val="de-DE"/>
        </w:rPr>
        <w:t xml:space="preserve"> </w:t>
      </w:r>
      <w:proofErr w:type="spellStart"/>
      <w:r w:rsidRPr="000C7C76">
        <w:rPr>
          <w:rFonts w:ascii="Times New Roman" w:hAnsi="Times New Roman" w:cs="Times New Roman"/>
          <w:lang w:val="de-DE"/>
        </w:rPr>
        <w:t>drīkst</w:t>
      </w:r>
      <w:proofErr w:type="spellEnd"/>
      <w:r w:rsidRPr="000C7C76">
        <w:rPr>
          <w:rFonts w:ascii="Times New Roman" w:hAnsi="Times New Roman" w:cs="Times New Roman"/>
          <w:lang w:val="de-DE"/>
        </w:rPr>
        <w:t xml:space="preserve"> </w:t>
      </w:r>
      <w:proofErr w:type="spellStart"/>
      <w:r w:rsidRPr="000C7C76">
        <w:rPr>
          <w:rFonts w:ascii="Times New Roman" w:hAnsi="Times New Roman" w:cs="Times New Roman"/>
          <w:lang w:val="de-DE"/>
        </w:rPr>
        <w:t>pārbaudīt</w:t>
      </w:r>
      <w:proofErr w:type="spellEnd"/>
      <w:r w:rsidRPr="000C7C76">
        <w:rPr>
          <w:rFonts w:ascii="Times New Roman" w:hAnsi="Times New Roman" w:cs="Times New Roman"/>
          <w:lang w:val="de-DE"/>
        </w:rPr>
        <w:t xml:space="preserve"> </w:t>
      </w:r>
      <w:proofErr w:type="spellStart"/>
      <w:r w:rsidRPr="000C7C76">
        <w:rPr>
          <w:rFonts w:ascii="Times New Roman" w:hAnsi="Times New Roman" w:cs="Times New Roman"/>
          <w:lang w:val="de-DE"/>
        </w:rPr>
        <w:t>pārstāvības</w:t>
      </w:r>
      <w:proofErr w:type="spellEnd"/>
      <w:r w:rsidRPr="000C7C76">
        <w:rPr>
          <w:rFonts w:ascii="Times New Roman" w:hAnsi="Times New Roman" w:cs="Times New Roman"/>
          <w:lang w:val="de-DE"/>
        </w:rPr>
        <w:t xml:space="preserve"> </w:t>
      </w:r>
      <w:proofErr w:type="spellStart"/>
      <w:r w:rsidRPr="000C7C76">
        <w:rPr>
          <w:rFonts w:ascii="Times New Roman" w:hAnsi="Times New Roman" w:cs="Times New Roman"/>
          <w:lang w:val="de-DE"/>
        </w:rPr>
        <w:t>tiesības</w:t>
      </w:r>
      <w:proofErr w:type="spellEnd"/>
      <w:r w:rsidRPr="000C7C76">
        <w:rPr>
          <w:rFonts w:ascii="Times New Roman" w:hAnsi="Times New Roman" w:cs="Times New Roman"/>
          <w:lang w:val="de-DE"/>
        </w:rPr>
        <w:t xml:space="preserve"> </w:t>
      </w:r>
      <w:proofErr w:type="spellStart"/>
      <w:r w:rsidRPr="000C7C76">
        <w:rPr>
          <w:rFonts w:ascii="Times New Roman" w:hAnsi="Times New Roman" w:cs="Times New Roman"/>
          <w:lang w:val="de-DE"/>
        </w:rPr>
        <w:t>tikai</w:t>
      </w:r>
      <w:proofErr w:type="spellEnd"/>
      <w:r w:rsidRPr="000C7C76">
        <w:rPr>
          <w:rFonts w:ascii="Times New Roman" w:hAnsi="Times New Roman" w:cs="Times New Roman"/>
          <w:lang w:val="de-DE"/>
        </w:rPr>
        <w:t xml:space="preserve"> </w:t>
      </w:r>
      <w:proofErr w:type="spellStart"/>
      <w:r w:rsidRPr="000C7C76">
        <w:rPr>
          <w:rFonts w:ascii="Times New Roman" w:hAnsi="Times New Roman" w:cs="Times New Roman"/>
          <w:lang w:val="de-DE"/>
        </w:rPr>
        <w:t>ar</w:t>
      </w:r>
      <w:proofErr w:type="spellEnd"/>
      <w:r w:rsidRPr="000C7C76">
        <w:rPr>
          <w:rFonts w:ascii="Times New Roman" w:hAnsi="Times New Roman" w:cs="Times New Roman"/>
          <w:lang w:val="de-DE"/>
        </w:rPr>
        <w:t xml:space="preserve"> </w:t>
      </w:r>
      <w:proofErr w:type="spellStart"/>
      <w:r w:rsidRPr="000C7C76">
        <w:rPr>
          <w:rFonts w:ascii="Times New Roman" w:hAnsi="Times New Roman" w:cs="Times New Roman"/>
          <w:lang w:val="de-DE"/>
        </w:rPr>
        <w:t>tādu</w:t>
      </w:r>
      <w:proofErr w:type="spellEnd"/>
      <w:r w:rsidRPr="000C7C76">
        <w:rPr>
          <w:rFonts w:ascii="Times New Roman" w:hAnsi="Times New Roman" w:cs="Times New Roman"/>
          <w:lang w:val="de-DE"/>
        </w:rPr>
        <w:t xml:space="preserve"> </w:t>
      </w:r>
      <w:proofErr w:type="spellStart"/>
      <w:r w:rsidRPr="000C7C76">
        <w:rPr>
          <w:rFonts w:ascii="Times New Roman" w:hAnsi="Times New Roman" w:cs="Times New Roman"/>
          <w:lang w:val="de-DE"/>
        </w:rPr>
        <w:t>pilnvaru</w:t>
      </w:r>
      <w:proofErr w:type="spellEnd"/>
      <w:r w:rsidRPr="000C7C76">
        <w:rPr>
          <w:rFonts w:ascii="Times New Roman" w:hAnsi="Times New Roman" w:cs="Times New Roman"/>
          <w:lang w:val="de-DE"/>
        </w:rPr>
        <w:t xml:space="preserve">, </w:t>
      </w:r>
      <w:proofErr w:type="spellStart"/>
      <w:r w:rsidRPr="000C7C76">
        <w:rPr>
          <w:rFonts w:ascii="Times New Roman" w:hAnsi="Times New Roman" w:cs="Times New Roman"/>
          <w:lang w:val="de-DE"/>
        </w:rPr>
        <w:t>kuru</w:t>
      </w:r>
      <w:proofErr w:type="spellEnd"/>
      <w:r w:rsidRPr="000C7C76">
        <w:rPr>
          <w:rFonts w:ascii="Times New Roman" w:hAnsi="Times New Roman" w:cs="Times New Roman"/>
          <w:lang w:val="de-DE"/>
        </w:rPr>
        <w:t xml:space="preserve"> </w:t>
      </w:r>
      <w:proofErr w:type="spellStart"/>
      <w:r w:rsidRPr="000C7C76">
        <w:rPr>
          <w:rFonts w:ascii="Times New Roman" w:hAnsi="Times New Roman" w:cs="Times New Roman"/>
          <w:lang w:val="de-DE"/>
        </w:rPr>
        <w:t>ārvalstīs</w:t>
      </w:r>
      <w:proofErr w:type="spellEnd"/>
      <w:r w:rsidRPr="000C7C76">
        <w:rPr>
          <w:rFonts w:ascii="Times New Roman" w:hAnsi="Times New Roman" w:cs="Times New Roman"/>
          <w:lang w:val="de-DE"/>
        </w:rPr>
        <w:t xml:space="preserve"> </w:t>
      </w:r>
      <w:proofErr w:type="spellStart"/>
      <w:r w:rsidRPr="000C7C76">
        <w:rPr>
          <w:rFonts w:ascii="Times New Roman" w:hAnsi="Times New Roman" w:cs="Times New Roman"/>
          <w:lang w:val="de-DE"/>
        </w:rPr>
        <w:t>nevis</w:t>
      </w:r>
      <w:proofErr w:type="spellEnd"/>
      <w:r w:rsidRPr="000C7C76">
        <w:rPr>
          <w:rFonts w:ascii="Times New Roman" w:hAnsi="Times New Roman" w:cs="Times New Roman"/>
          <w:lang w:val="de-DE"/>
        </w:rPr>
        <w:t xml:space="preserve"> </w:t>
      </w:r>
      <w:proofErr w:type="spellStart"/>
      <w:r w:rsidRPr="000C7C76">
        <w:rPr>
          <w:rFonts w:ascii="Times New Roman" w:hAnsi="Times New Roman" w:cs="Times New Roman"/>
          <w:lang w:val="de-DE"/>
        </w:rPr>
        <w:t>vienkārši</w:t>
      </w:r>
      <w:proofErr w:type="spellEnd"/>
      <w:r w:rsidRPr="000C7C76">
        <w:rPr>
          <w:rFonts w:ascii="Times New Roman" w:hAnsi="Times New Roman" w:cs="Times New Roman"/>
          <w:lang w:val="de-DE"/>
        </w:rPr>
        <w:t xml:space="preserve"> </w:t>
      </w:r>
      <w:proofErr w:type="spellStart"/>
      <w:r w:rsidRPr="000C7C76">
        <w:rPr>
          <w:rFonts w:ascii="Times New Roman" w:hAnsi="Times New Roman" w:cs="Times New Roman"/>
          <w:lang w:val="de-DE"/>
        </w:rPr>
        <w:t>apliecinājis</w:t>
      </w:r>
      <w:proofErr w:type="spellEnd"/>
      <w:r w:rsidRPr="000C7C76">
        <w:rPr>
          <w:rFonts w:ascii="Times New Roman" w:hAnsi="Times New Roman" w:cs="Times New Roman"/>
          <w:lang w:val="de-DE"/>
        </w:rPr>
        <w:t xml:space="preserve"> </w:t>
      </w:r>
      <w:proofErr w:type="spellStart"/>
      <w:r w:rsidRPr="000C7C76">
        <w:rPr>
          <w:rFonts w:ascii="Times New Roman" w:hAnsi="Times New Roman" w:cs="Times New Roman"/>
          <w:lang w:val="de-DE"/>
        </w:rPr>
        <w:t>notārs</w:t>
      </w:r>
      <w:proofErr w:type="spellEnd"/>
      <w:r w:rsidRPr="000C7C76">
        <w:rPr>
          <w:rFonts w:ascii="Times New Roman" w:hAnsi="Times New Roman" w:cs="Times New Roman"/>
          <w:lang w:val="de-DE"/>
        </w:rPr>
        <w:t xml:space="preserve">, </w:t>
      </w:r>
      <w:proofErr w:type="spellStart"/>
      <w:r w:rsidRPr="000C7C76">
        <w:rPr>
          <w:rFonts w:ascii="Times New Roman" w:hAnsi="Times New Roman" w:cs="Times New Roman"/>
          <w:lang w:val="de-DE"/>
        </w:rPr>
        <w:t>bet</w:t>
      </w:r>
      <w:proofErr w:type="spellEnd"/>
      <w:r w:rsidRPr="000C7C76">
        <w:rPr>
          <w:rFonts w:ascii="Times New Roman" w:hAnsi="Times New Roman" w:cs="Times New Roman"/>
          <w:lang w:val="de-DE"/>
        </w:rPr>
        <w:t xml:space="preserve"> </w:t>
      </w:r>
      <w:proofErr w:type="spellStart"/>
      <w:r w:rsidRPr="000C7C76">
        <w:rPr>
          <w:rFonts w:ascii="Times New Roman" w:hAnsi="Times New Roman" w:cs="Times New Roman"/>
          <w:lang w:val="de-DE"/>
        </w:rPr>
        <w:t>gan</w:t>
      </w:r>
      <w:proofErr w:type="spellEnd"/>
      <w:r w:rsidRPr="000C7C76">
        <w:rPr>
          <w:rFonts w:ascii="Times New Roman" w:hAnsi="Times New Roman" w:cs="Times New Roman"/>
          <w:lang w:val="de-DE"/>
        </w:rPr>
        <w:t xml:space="preserve"> </w:t>
      </w:r>
      <w:proofErr w:type="spellStart"/>
      <w:r w:rsidRPr="000C7C76">
        <w:rPr>
          <w:rFonts w:ascii="Times New Roman" w:hAnsi="Times New Roman" w:cs="Times New Roman"/>
          <w:lang w:val="de-DE"/>
        </w:rPr>
        <w:t>piedal</w:t>
      </w:r>
      <w:r w:rsidR="00ED3A4D" w:rsidRPr="000C7C76">
        <w:rPr>
          <w:rFonts w:ascii="Times New Roman" w:hAnsi="Times New Roman" w:cs="Times New Roman"/>
          <w:lang w:val="de-DE"/>
        </w:rPr>
        <w:t>ījies</w:t>
      </w:r>
      <w:proofErr w:type="spellEnd"/>
      <w:r w:rsidR="00ED3A4D" w:rsidRPr="000C7C76">
        <w:rPr>
          <w:rFonts w:ascii="Times New Roman" w:hAnsi="Times New Roman" w:cs="Times New Roman"/>
          <w:lang w:val="de-DE"/>
        </w:rPr>
        <w:t xml:space="preserve"> </w:t>
      </w:r>
      <w:proofErr w:type="spellStart"/>
      <w:r w:rsidR="00ED3A4D" w:rsidRPr="000C7C76">
        <w:rPr>
          <w:rFonts w:ascii="Times New Roman" w:hAnsi="Times New Roman" w:cs="Times New Roman"/>
          <w:lang w:val="de-DE"/>
        </w:rPr>
        <w:t>arī</w:t>
      </w:r>
      <w:proofErr w:type="spellEnd"/>
      <w:r w:rsidR="00ED3A4D" w:rsidRPr="000C7C76">
        <w:rPr>
          <w:rFonts w:ascii="Times New Roman" w:hAnsi="Times New Roman" w:cs="Times New Roman"/>
          <w:lang w:val="de-DE"/>
        </w:rPr>
        <w:t xml:space="preserve"> </w:t>
      </w:r>
      <w:proofErr w:type="spellStart"/>
      <w:r w:rsidR="00ED3A4D" w:rsidRPr="000C7C76">
        <w:rPr>
          <w:rFonts w:ascii="Times New Roman" w:hAnsi="Times New Roman" w:cs="Times New Roman"/>
          <w:lang w:val="de-DE"/>
        </w:rPr>
        <w:t>tās</w:t>
      </w:r>
      <w:proofErr w:type="spellEnd"/>
      <w:r w:rsidR="00ED3A4D" w:rsidRPr="000C7C76">
        <w:rPr>
          <w:rFonts w:ascii="Times New Roman" w:hAnsi="Times New Roman" w:cs="Times New Roman"/>
          <w:lang w:val="de-DE"/>
        </w:rPr>
        <w:t xml:space="preserve"> </w:t>
      </w:r>
      <w:proofErr w:type="spellStart"/>
      <w:r w:rsidR="00ED3A4D" w:rsidRPr="000C7C76">
        <w:rPr>
          <w:rFonts w:ascii="Times New Roman" w:hAnsi="Times New Roman" w:cs="Times New Roman"/>
          <w:lang w:val="de-DE"/>
        </w:rPr>
        <w:t>satura</w:t>
      </w:r>
      <w:proofErr w:type="spellEnd"/>
      <w:r w:rsidR="00ED3A4D" w:rsidRPr="000C7C76">
        <w:rPr>
          <w:rFonts w:ascii="Times New Roman" w:hAnsi="Times New Roman" w:cs="Times New Roman"/>
          <w:lang w:val="de-DE"/>
        </w:rPr>
        <w:t xml:space="preserve"> </w:t>
      </w:r>
      <w:proofErr w:type="spellStart"/>
      <w:r w:rsidR="00ED3A4D" w:rsidRPr="000C7C76">
        <w:rPr>
          <w:rFonts w:ascii="Times New Roman" w:hAnsi="Times New Roman" w:cs="Times New Roman"/>
          <w:lang w:val="de-DE"/>
        </w:rPr>
        <w:t>sastādīšanā</w:t>
      </w:r>
      <w:proofErr w:type="spellEnd"/>
      <w:r w:rsidRPr="000C7C76">
        <w:rPr>
          <w:rFonts w:ascii="Times New Roman" w:hAnsi="Times New Roman" w:cs="Times New Roman"/>
          <w:lang w:val="de-DE"/>
        </w:rPr>
        <w:t xml:space="preserve">, </w:t>
      </w:r>
      <w:proofErr w:type="spellStart"/>
      <w:r w:rsidRPr="000C7C76">
        <w:rPr>
          <w:rFonts w:ascii="Times New Roman" w:hAnsi="Times New Roman" w:cs="Times New Roman"/>
          <w:lang w:val="de-DE"/>
        </w:rPr>
        <w:t>taisot</w:t>
      </w:r>
      <w:proofErr w:type="spellEnd"/>
      <w:r w:rsidRPr="000C7C76">
        <w:rPr>
          <w:rFonts w:ascii="Times New Roman" w:hAnsi="Times New Roman" w:cs="Times New Roman"/>
          <w:lang w:val="de-DE"/>
        </w:rPr>
        <w:t xml:space="preserve"> </w:t>
      </w:r>
      <w:proofErr w:type="spellStart"/>
      <w:r w:rsidRPr="000C7C76">
        <w:rPr>
          <w:rFonts w:ascii="Times New Roman" w:hAnsi="Times New Roman" w:cs="Times New Roman"/>
          <w:lang w:val="de-DE"/>
        </w:rPr>
        <w:t>to</w:t>
      </w:r>
      <w:proofErr w:type="spellEnd"/>
      <w:r w:rsidRPr="000C7C76">
        <w:rPr>
          <w:rFonts w:ascii="Times New Roman" w:hAnsi="Times New Roman" w:cs="Times New Roman"/>
          <w:lang w:val="de-DE"/>
        </w:rPr>
        <w:t xml:space="preserve"> </w:t>
      </w:r>
      <w:proofErr w:type="spellStart"/>
      <w:r w:rsidRPr="000C7C76">
        <w:rPr>
          <w:rFonts w:ascii="Times New Roman" w:hAnsi="Times New Roman" w:cs="Times New Roman"/>
          <w:lang w:val="de-DE"/>
        </w:rPr>
        <w:t>tādā</w:t>
      </w:r>
      <w:proofErr w:type="spellEnd"/>
      <w:r w:rsidRPr="000C7C76">
        <w:rPr>
          <w:rFonts w:ascii="Times New Roman" w:hAnsi="Times New Roman" w:cs="Times New Roman"/>
          <w:lang w:val="de-DE"/>
        </w:rPr>
        <w:t xml:space="preserve"> </w:t>
      </w:r>
      <w:proofErr w:type="spellStart"/>
      <w:r w:rsidRPr="000C7C76">
        <w:rPr>
          <w:rFonts w:ascii="Times New Roman" w:hAnsi="Times New Roman" w:cs="Times New Roman"/>
          <w:lang w:val="de-DE"/>
        </w:rPr>
        <w:t>formā</w:t>
      </w:r>
      <w:proofErr w:type="spellEnd"/>
      <w:r w:rsidRPr="000C7C76">
        <w:rPr>
          <w:rFonts w:ascii="Times New Roman" w:hAnsi="Times New Roman" w:cs="Times New Roman"/>
          <w:lang w:val="de-DE"/>
        </w:rPr>
        <w:t xml:space="preserve">, </w:t>
      </w:r>
      <w:proofErr w:type="spellStart"/>
      <w:r w:rsidRPr="000C7C76">
        <w:rPr>
          <w:rFonts w:ascii="Times New Roman" w:hAnsi="Times New Roman" w:cs="Times New Roman"/>
          <w:lang w:val="de-DE"/>
        </w:rPr>
        <w:t>lai</w:t>
      </w:r>
      <w:proofErr w:type="spellEnd"/>
      <w:r w:rsidRPr="000C7C76">
        <w:rPr>
          <w:rFonts w:ascii="Times New Roman" w:hAnsi="Times New Roman" w:cs="Times New Roman"/>
          <w:lang w:val="de-DE"/>
        </w:rPr>
        <w:t xml:space="preserve"> </w:t>
      </w:r>
      <w:proofErr w:type="spellStart"/>
      <w:r w:rsidRPr="000C7C76">
        <w:rPr>
          <w:rFonts w:ascii="Times New Roman" w:hAnsi="Times New Roman" w:cs="Times New Roman"/>
          <w:lang w:val="de-DE"/>
        </w:rPr>
        <w:t>tas</w:t>
      </w:r>
      <w:proofErr w:type="spellEnd"/>
      <w:r w:rsidRPr="000C7C76">
        <w:rPr>
          <w:rFonts w:ascii="Times New Roman" w:hAnsi="Times New Roman" w:cs="Times New Roman"/>
          <w:lang w:val="de-DE"/>
        </w:rPr>
        <w:t xml:space="preserve"> </w:t>
      </w:r>
      <w:proofErr w:type="spellStart"/>
      <w:r w:rsidRPr="000C7C76">
        <w:rPr>
          <w:rFonts w:ascii="Times New Roman" w:hAnsi="Times New Roman" w:cs="Times New Roman"/>
          <w:lang w:val="de-DE"/>
        </w:rPr>
        <w:t>atbilstu</w:t>
      </w:r>
      <w:proofErr w:type="spellEnd"/>
      <w:r w:rsidRPr="000C7C76">
        <w:rPr>
          <w:rFonts w:ascii="Times New Roman" w:hAnsi="Times New Roman" w:cs="Times New Roman"/>
          <w:lang w:val="de-DE"/>
        </w:rPr>
        <w:t xml:space="preserve"> </w:t>
      </w:r>
      <w:proofErr w:type="spellStart"/>
      <w:r w:rsidRPr="000C7C76">
        <w:rPr>
          <w:rFonts w:ascii="Times New Roman" w:hAnsi="Times New Roman" w:cs="Times New Roman"/>
          <w:lang w:val="de-DE"/>
        </w:rPr>
        <w:t>prasībām</w:t>
      </w:r>
      <w:proofErr w:type="spellEnd"/>
      <w:r w:rsidRPr="000C7C76">
        <w:rPr>
          <w:rFonts w:ascii="Times New Roman" w:hAnsi="Times New Roman" w:cs="Times New Roman"/>
          <w:lang w:val="de-DE"/>
        </w:rPr>
        <w:t xml:space="preserve"> par </w:t>
      </w:r>
      <w:proofErr w:type="spellStart"/>
      <w:r w:rsidRPr="000C7C76">
        <w:rPr>
          <w:rFonts w:ascii="Times New Roman" w:hAnsi="Times New Roman" w:cs="Times New Roman"/>
          <w:lang w:val="de-DE"/>
        </w:rPr>
        <w:t>notariālo</w:t>
      </w:r>
      <w:proofErr w:type="spellEnd"/>
      <w:r w:rsidRPr="000C7C76">
        <w:rPr>
          <w:rFonts w:ascii="Times New Roman" w:hAnsi="Times New Roman" w:cs="Times New Roman"/>
          <w:lang w:val="de-DE"/>
        </w:rPr>
        <w:t xml:space="preserve"> </w:t>
      </w:r>
      <w:proofErr w:type="spellStart"/>
      <w:r w:rsidRPr="000C7C76">
        <w:rPr>
          <w:rFonts w:ascii="Times New Roman" w:hAnsi="Times New Roman" w:cs="Times New Roman"/>
          <w:lang w:val="de-DE"/>
        </w:rPr>
        <w:t>aktu</w:t>
      </w:r>
      <w:proofErr w:type="spellEnd"/>
      <w:r w:rsidRPr="000C7C76">
        <w:rPr>
          <w:rFonts w:ascii="Times New Roman" w:hAnsi="Times New Roman" w:cs="Times New Roman"/>
          <w:lang w:val="de-DE"/>
        </w:rPr>
        <w:t>.</w:t>
      </w:r>
    </w:p>
    <w:p w14:paraId="398D5901" w14:textId="77777777" w:rsidR="00114953" w:rsidRPr="000C7C76" w:rsidRDefault="00114953" w:rsidP="00114953">
      <w:pPr>
        <w:ind w:firstLine="708"/>
        <w:jc w:val="both"/>
        <w:rPr>
          <w:rFonts w:ascii="Times New Roman" w:hAnsi="Times New Roman" w:cs="Times New Roman"/>
          <w:lang w:val="de-DE"/>
        </w:rPr>
      </w:pPr>
      <w:proofErr w:type="spellStart"/>
      <w:r w:rsidRPr="000C7C76">
        <w:rPr>
          <w:rFonts w:ascii="Times New Roman" w:hAnsi="Times New Roman" w:cs="Times New Roman"/>
          <w:lang w:val="de-DE"/>
        </w:rPr>
        <w:t>Ņemot</w:t>
      </w:r>
      <w:proofErr w:type="spellEnd"/>
      <w:r w:rsidRPr="000C7C76">
        <w:rPr>
          <w:rFonts w:ascii="Times New Roman" w:hAnsi="Times New Roman" w:cs="Times New Roman"/>
          <w:lang w:val="de-DE"/>
        </w:rPr>
        <w:t xml:space="preserve"> </w:t>
      </w:r>
      <w:proofErr w:type="spellStart"/>
      <w:r w:rsidRPr="000C7C76">
        <w:rPr>
          <w:rFonts w:ascii="Times New Roman" w:hAnsi="Times New Roman" w:cs="Times New Roman"/>
          <w:lang w:val="de-DE"/>
        </w:rPr>
        <w:t>vērā</w:t>
      </w:r>
      <w:proofErr w:type="spellEnd"/>
      <w:r w:rsidRPr="000C7C76">
        <w:rPr>
          <w:rFonts w:ascii="Times New Roman" w:hAnsi="Times New Roman" w:cs="Times New Roman"/>
          <w:lang w:val="de-DE"/>
        </w:rPr>
        <w:t xml:space="preserve"> </w:t>
      </w:r>
      <w:proofErr w:type="spellStart"/>
      <w:r w:rsidRPr="000C7C76">
        <w:rPr>
          <w:rFonts w:ascii="Times New Roman" w:hAnsi="Times New Roman" w:cs="Times New Roman"/>
          <w:lang w:val="de-DE"/>
        </w:rPr>
        <w:t>Notariāta</w:t>
      </w:r>
      <w:proofErr w:type="spellEnd"/>
      <w:r w:rsidRPr="000C7C76">
        <w:rPr>
          <w:rFonts w:ascii="Times New Roman" w:hAnsi="Times New Roman" w:cs="Times New Roman"/>
          <w:lang w:val="de-DE"/>
        </w:rPr>
        <w:t xml:space="preserve"> </w:t>
      </w:r>
      <w:proofErr w:type="spellStart"/>
      <w:r w:rsidRPr="000C7C76">
        <w:rPr>
          <w:rFonts w:ascii="Times New Roman" w:hAnsi="Times New Roman" w:cs="Times New Roman"/>
          <w:lang w:val="de-DE"/>
        </w:rPr>
        <w:t>likuma</w:t>
      </w:r>
      <w:proofErr w:type="spellEnd"/>
      <w:r w:rsidRPr="000C7C76">
        <w:rPr>
          <w:rFonts w:ascii="Times New Roman" w:hAnsi="Times New Roman" w:cs="Times New Roman"/>
          <w:lang w:val="de-DE"/>
        </w:rPr>
        <w:t xml:space="preserve"> </w:t>
      </w:r>
      <w:proofErr w:type="spellStart"/>
      <w:r w:rsidRPr="000C7C76">
        <w:rPr>
          <w:rFonts w:ascii="Times New Roman" w:hAnsi="Times New Roman" w:cs="Times New Roman"/>
          <w:lang w:val="de-DE"/>
        </w:rPr>
        <w:t>stingrās</w:t>
      </w:r>
      <w:proofErr w:type="spellEnd"/>
      <w:r w:rsidRPr="000C7C76">
        <w:rPr>
          <w:rFonts w:ascii="Times New Roman" w:hAnsi="Times New Roman" w:cs="Times New Roman"/>
          <w:lang w:val="de-DE"/>
        </w:rPr>
        <w:t xml:space="preserve"> </w:t>
      </w:r>
      <w:proofErr w:type="spellStart"/>
      <w:r w:rsidRPr="000C7C76">
        <w:rPr>
          <w:rFonts w:ascii="Times New Roman" w:hAnsi="Times New Roman" w:cs="Times New Roman"/>
          <w:lang w:val="de-DE"/>
        </w:rPr>
        <w:t>prasības</w:t>
      </w:r>
      <w:proofErr w:type="spellEnd"/>
      <w:r w:rsidRPr="000C7C76">
        <w:rPr>
          <w:rFonts w:ascii="Times New Roman" w:hAnsi="Times New Roman" w:cs="Times New Roman"/>
          <w:lang w:val="de-DE"/>
        </w:rPr>
        <w:t xml:space="preserve">, </w:t>
      </w:r>
      <w:proofErr w:type="spellStart"/>
      <w:r w:rsidRPr="000C7C76">
        <w:rPr>
          <w:rFonts w:ascii="Times New Roman" w:hAnsi="Times New Roman" w:cs="Times New Roman"/>
          <w:b/>
          <w:lang w:val="de-DE"/>
        </w:rPr>
        <w:t>Apvietnotās</w:t>
      </w:r>
      <w:proofErr w:type="spellEnd"/>
      <w:r w:rsidRPr="000C7C76">
        <w:rPr>
          <w:rFonts w:ascii="Times New Roman" w:hAnsi="Times New Roman" w:cs="Times New Roman"/>
          <w:b/>
          <w:lang w:val="de-DE"/>
        </w:rPr>
        <w:t xml:space="preserve"> </w:t>
      </w:r>
      <w:proofErr w:type="spellStart"/>
      <w:r w:rsidRPr="000C7C76">
        <w:rPr>
          <w:rFonts w:ascii="Times New Roman" w:hAnsi="Times New Roman" w:cs="Times New Roman"/>
          <w:b/>
          <w:lang w:val="de-DE"/>
        </w:rPr>
        <w:t>Karalistes</w:t>
      </w:r>
      <w:proofErr w:type="spellEnd"/>
      <w:r w:rsidRPr="000C7C76">
        <w:rPr>
          <w:rFonts w:ascii="Times New Roman" w:hAnsi="Times New Roman" w:cs="Times New Roman"/>
          <w:lang w:val="de-DE"/>
        </w:rPr>
        <w:t xml:space="preserve"> </w:t>
      </w:r>
      <w:proofErr w:type="spellStart"/>
      <w:r w:rsidRPr="000C7C76">
        <w:rPr>
          <w:rFonts w:ascii="Times New Roman" w:hAnsi="Times New Roman" w:cs="Times New Roman"/>
          <w:i/>
          <w:lang w:val="de-DE"/>
        </w:rPr>
        <w:t>notary</w:t>
      </w:r>
      <w:proofErr w:type="spellEnd"/>
      <w:r w:rsidRPr="000C7C76">
        <w:rPr>
          <w:rFonts w:ascii="Times New Roman" w:hAnsi="Times New Roman" w:cs="Times New Roman"/>
          <w:i/>
          <w:lang w:val="de-DE"/>
        </w:rPr>
        <w:t xml:space="preserve"> </w:t>
      </w:r>
      <w:proofErr w:type="spellStart"/>
      <w:r w:rsidRPr="000C7C76">
        <w:rPr>
          <w:rFonts w:ascii="Times New Roman" w:hAnsi="Times New Roman" w:cs="Times New Roman"/>
          <w:i/>
          <w:lang w:val="de-DE"/>
        </w:rPr>
        <w:t>public</w:t>
      </w:r>
      <w:proofErr w:type="spellEnd"/>
      <w:r w:rsidRPr="000C7C76">
        <w:rPr>
          <w:rFonts w:ascii="Times New Roman" w:hAnsi="Times New Roman" w:cs="Times New Roman"/>
          <w:lang w:val="de-DE"/>
        </w:rPr>
        <w:t xml:space="preserve"> </w:t>
      </w:r>
      <w:proofErr w:type="spellStart"/>
      <w:r w:rsidRPr="000C7C76">
        <w:rPr>
          <w:rFonts w:ascii="Times New Roman" w:hAnsi="Times New Roman" w:cs="Times New Roman"/>
          <w:lang w:val="de-DE"/>
        </w:rPr>
        <w:t>apliecinātās</w:t>
      </w:r>
      <w:proofErr w:type="spellEnd"/>
      <w:r w:rsidRPr="000C7C76">
        <w:rPr>
          <w:rFonts w:ascii="Times New Roman" w:hAnsi="Times New Roman" w:cs="Times New Roman"/>
          <w:lang w:val="de-DE"/>
        </w:rPr>
        <w:t xml:space="preserve"> </w:t>
      </w:r>
      <w:proofErr w:type="spellStart"/>
      <w:r w:rsidRPr="000C7C76">
        <w:rPr>
          <w:rFonts w:ascii="Times New Roman" w:hAnsi="Times New Roman" w:cs="Times New Roman"/>
          <w:lang w:val="de-DE"/>
        </w:rPr>
        <w:t>pilnvaras</w:t>
      </w:r>
      <w:proofErr w:type="spellEnd"/>
      <w:r w:rsidRPr="000C7C76">
        <w:rPr>
          <w:rFonts w:ascii="Times New Roman" w:hAnsi="Times New Roman" w:cs="Times New Roman"/>
          <w:lang w:val="de-DE"/>
        </w:rPr>
        <w:t xml:space="preserve"> </w:t>
      </w:r>
      <w:proofErr w:type="spellStart"/>
      <w:r w:rsidRPr="000C7C76">
        <w:rPr>
          <w:rFonts w:ascii="Times New Roman" w:hAnsi="Times New Roman" w:cs="Times New Roman"/>
          <w:lang w:val="de-DE"/>
        </w:rPr>
        <w:t>nevarēs</w:t>
      </w:r>
      <w:proofErr w:type="spellEnd"/>
      <w:r w:rsidRPr="000C7C76">
        <w:rPr>
          <w:rFonts w:ascii="Times New Roman" w:hAnsi="Times New Roman" w:cs="Times New Roman"/>
          <w:lang w:val="de-DE"/>
        </w:rPr>
        <w:t xml:space="preserve"> </w:t>
      </w:r>
      <w:proofErr w:type="spellStart"/>
      <w:r w:rsidRPr="000C7C76">
        <w:rPr>
          <w:rFonts w:ascii="Times New Roman" w:hAnsi="Times New Roman" w:cs="Times New Roman"/>
          <w:lang w:val="de-DE"/>
        </w:rPr>
        <w:t>apliecināt</w:t>
      </w:r>
      <w:proofErr w:type="spellEnd"/>
      <w:r w:rsidRPr="000C7C76">
        <w:rPr>
          <w:rFonts w:ascii="Times New Roman" w:hAnsi="Times New Roman" w:cs="Times New Roman"/>
          <w:lang w:val="de-DE"/>
        </w:rPr>
        <w:t xml:space="preserve"> </w:t>
      </w:r>
      <w:proofErr w:type="spellStart"/>
      <w:r w:rsidRPr="000C7C76">
        <w:rPr>
          <w:rFonts w:ascii="Times New Roman" w:hAnsi="Times New Roman" w:cs="Times New Roman"/>
          <w:lang w:val="de-DE"/>
        </w:rPr>
        <w:t>pārstāvju</w:t>
      </w:r>
      <w:proofErr w:type="spellEnd"/>
      <w:r w:rsidRPr="000C7C76">
        <w:rPr>
          <w:rFonts w:ascii="Times New Roman" w:hAnsi="Times New Roman" w:cs="Times New Roman"/>
          <w:lang w:val="de-DE"/>
        </w:rPr>
        <w:t xml:space="preserve"> </w:t>
      </w:r>
      <w:proofErr w:type="spellStart"/>
      <w:r w:rsidRPr="000C7C76">
        <w:rPr>
          <w:rFonts w:ascii="Times New Roman" w:hAnsi="Times New Roman" w:cs="Times New Roman"/>
          <w:lang w:val="de-DE"/>
        </w:rPr>
        <w:t>pilnvaras</w:t>
      </w:r>
      <w:proofErr w:type="spellEnd"/>
      <w:r w:rsidRPr="000C7C76">
        <w:rPr>
          <w:rFonts w:ascii="Times New Roman" w:hAnsi="Times New Roman" w:cs="Times New Roman"/>
          <w:lang w:val="de-DE"/>
        </w:rPr>
        <w:t xml:space="preserve">, </w:t>
      </w:r>
      <w:proofErr w:type="spellStart"/>
      <w:r w:rsidRPr="000C7C76">
        <w:rPr>
          <w:rFonts w:ascii="Times New Roman" w:hAnsi="Times New Roman" w:cs="Times New Roman"/>
          <w:lang w:val="de-DE"/>
        </w:rPr>
        <w:t>jo</w:t>
      </w:r>
      <w:proofErr w:type="spellEnd"/>
      <w:r w:rsidRPr="000C7C76">
        <w:rPr>
          <w:rFonts w:ascii="Times New Roman" w:hAnsi="Times New Roman" w:cs="Times New Roman"/>
          <w:lang w:val="de-DE"/>
        </w:rPr>
        <w:t xml:space="preserve"> </w:t>
      </w:r>
      <w:proofErr w:type="spellStart"/>
      <w:r w:rsidRPr="000C7C76">
        <w:rPr>
          <w:rFonts w:ascii="Times New Roman" w:hAnsi="Times New Roman" w:cs="Times New Roman"/>
          <w:i/>
          <w:lang w:val="de-DE"/>
        </w:rPr>
        <w:t>notary</w:t>
      </w:r>
      <w:proofErr w:type="spellEnd"/>
      <w:r w:rsidRPr="000C7C76">
        <w:rPr>
          <w:rFonts w:ascii="Times New Roman" w:hAnsi="Times New Roman" w:cs="Times New Roman"/>
          <w:i/>
          <w:lang w:val="de-DE"/>
        </w:rPr>
        <w:t xml:space="preserve"> </w:t>
      </w:r>
      <w:proofErr w:type="spellStart"/>
      <w:r w:rsidRPr="000C7C76">
        <w:rPr>
          <w:rFonts w:ascii="Times New Roman" w:hAnsi="Times New Roman" w:cs="Times New Roman"/>
          <w:i/>
          <w:lang w:val="de-DE"/>
        </w:rPr>
        <w:t>public</w:t>
      </w:r>
      <w:proofErr w:type="spellEnd"/>
      <w:r w:rsidRPr="000C7C76">
        <w:rPr>
          <w:rFonts w:ascii="Times New Roman" w:hAnsi="Times New Roman" w:cs="Times New Roman"/>
          <w:lang w:val="de-DE"/>
        </w:rPr>
        <w:t xml:space="preserve"> </w:t>
      </w:r>
      <w:proofErr w:type="spellStart"/>
      <w:r w:rsidRPr="000C7C76">
        <w:rPr>
          <w:rFonts w:ascii="Times New Roman" w:hAnsi="Times New Roman" w:cs="Times New Roman"/>
          <w:lang w:val="de-DE"/>
        </w:rPr>
        <w:t>tikai</w:t>
      </w:r>
      <w:proofErr w:type="spellEnd"/>
      <w:r w:rsidRPr="000C7C76">
        <w:rPr>
          <w:rFonts w:ascii="Times New Roman" w:hAnsi="Times New Roman" w:cs="Times New Roman"/>
          <w:lang w:val="de-DE"/>
        </w:rPr>
        <w:t xml:space="preserve"> </w:t>
      </w:r>
      <w:proofErr w:type="spellStart"/>
      <w:r w:rsidRPr="000C7C76">
        <w:rPr>
          <w:rFonts w:ascii="Times New Roman" w:hAnsi="Times New Roman" w:cs="Times New Roman"/>
          <w:lang w:val="de-DE"/>
        </w:rPr>
        <w:t>apliecina</w:t>
      </w:r>
      <w:proofErr w:type="spellEnd"/>
      <w:r w:rsidRPr="000C7C76">
        <w:rPr>
          <w:rFonts w:ascii="Times New Roman" w:hAnsi="Times New Roman" w:cs="Times New Roman"/>
          <w:lang w:val="de-DE"/>
        </w:rPr>
        <w:t xml:space="preserve"> </w:t>
      </w:r>
      <w:proofErr w:type="spellStart"/>
      <w:r w:rsidRPr="000C7C76">
        <w:rPr>
          <w:rFonts w:ascii="Times New Roman" w:hAnsi="Times New Roman" w:cs="Times New Roman"/>
          <w:lang w:val="de-DE"/>
        </w:rPr>
        <w:t>personu</w:t>
      </w:r>
      <w:proofErr w:type="spellEnd"/>
      <w:r w:rsidRPr="000C7C76">
        <w:rPr>
          <w:rFonts w:ascii="Times New Roman" w:hAnsi="Times New Roman" w:cs="Times New Roman"/>
          <w:lang w:val="de-DE"/>
        </w:rPr>
        <w:t xml:space="preserve"> </w:t>
      </w:r>
      <w:proofErr w:type="spellStart"/>
      <w:r w:rsidRPr="000C7C76">
        <w:rPr>
          <w:rFonts w:ascii="Times New Roman" w:hAnsi="Times New Roman" w:cs="Times New Roman"/>
          <w:lang w:val="de-DE"/>
        </w:rPr>
        <w:t>identitāti</w:t>
      </w:r>
      <w:proofErr w:type="spellEnd"/>
      <w:r w:rsidRPr="000C7C76">
        <w:rPr>
          <w:rFonts w:ascii="Times New Roman" w:hAnsi="Times New Roman" w:cs="Times New Roman"/>
          <w:lang w:val="de-DE"/>
        </w:rPr>
        <w:t xml:space="preserve"> </w:t>
      </w:r>
      <w:proofErr w:type="spellStart"/>
      <w:r w:rsidRPr="000C7C76">
        <w:rPr>
          <w:rFonts w:ascii="Times New Roman" w:hAnsi="Times New Roman" w:cs="Times New Roman"/>
          <w:lang w:val="de-DE"/>
        </w:rPr>
        <w:t>un</w:t>
      </w:r>
      <w:proofErr w:type="spellEnd"/>
      <w:r w:rsidRPr="000C7C76">
        <w:rPr>
          <w:rFonts w:ascii="Times New Roman" w:hAnsi="Times New Roman" w:cs="Times New Roman"/>
          <w:lang w:val="de-DE"/>
        </w:rPr>
        <w:t xml:space="preserve"> </w:t>
      </w:r>
      <w:proofErr w:type="spellStart"/>
      <w:r w:rsidRPr="000C7C76">
        <w:rPr>
          <w:rFonts w:ascii="Times New Roman" w:hAnsi="Times New Roman" w:cs="Times New Roman"/>
          <w:lang w:val="de-DE"/>
        </w:rPr>
        <w:t>datumu</w:t>
      </w:r>
      <w:proofErr w:type="spellEnd"/>
      <w:r w:rsidRPr="000C7C76">
        <w:rPr>
          <w:rFonts w:ascii="Times New Roman" w:hAnsi="Times New Roman" w:cs="Times New Roman"/>
          <w:lang w:val="de-DE"/>
        </w:rPr>
        <w:t xml:space="preserve"> </w:t>
      </w:r>
      <w:proofErr w:type="spellStart"/>
      <w:r w:rsidRPr="000C7C76">
        <w:rPr>
          <w:rFonts w:ascii="Times New Roman" w:hAnsi="Times New Roman" w:cs="Times New Roman"/>
          <w:lang w:val="de-DE"/>
        </w:rPr>
        <w:t>uz</w:t>
      </w:r>
      <w:proofErr w:type="spellEnd"/>
      <w:r w:rsidRPr="000C7C76">
        <w:rPr>
          <w:rFonts w:ascii="Times New Roman" w:hAnsi="Times New Roman" w:cs="Times New Roman"/>
          <w:lang w:val="de-DE"/>
        </w:rPr>
        <w:t xml:space="preserve"> </w:t>
      </w:r>
      <w:proofErr w:type="spellStart"/>
      <w:r w:rsidRPr="000C7C76">
        <w:rPr>
          <w:rFonts w:ascii="Times New Roman" w:hAnsi="Times New Roman" w:cs="Times New Roman"/>
          <w:lang w:val="de-DE"/>
        </w:rPr>
        <w:t>pilnvaras</w:t>
      </w:r>
      <w:proofErr w:type="spellEnd"/>
      <w:r w:rsidRPr="000C7C76">
        <w:rPr>
          <w:rFonts w:ascii="Times New Roman" w:hAnsi="Times New Roman" w:cs="Times New Roman"/>
          <w:lang w:val="de-DE"/>
        </w:rPr>
        <w:t xml:space="preserve">. </w:t>
      </w:r>
      <w:proofErr w:type="spellStart"/>
      <w:r w:rsidRPr="000C7C76">
        <w:rPr>
          <w:rFonts w:ascii="Times New Roman" w:hAnsi="Times New Roman" w:cs="Times New Roman"/>
          <w:lang w:val="de-DE"/>
        </w:rPr>
        <w:t>Viņi</w:t>
      </w:r>
      <w:proofErr w:type="spellEnd"/>
      <w:r w:rsidRPr="000C7C76">
        <w:rPr>
          <w:rFonts w:ascii="Times New Roman" w:hAnsi="Times New Roman" w:cs="Times New Roman"/>
          <w:lang w:val="de-DE"/>
        </w:rPr>
        <w:t xml:space="preserve"> </w:t>
      </w:r>
      <w:proofErr w:type="spellStart"/>
      <w:r w:rsidRPr="000C7C76">
        <w:rPr>
          <w:rFonts w:ascii="Times New Roman" w:hAnsi="Times New Roman" w:cs="Times New Roman"/>
          <w:lang w:val="de-DE"/>
        </w:rPr>
        <w:t>nepiedalās</w:t>
      </w:r>
      <w:proofErr w:type="spellEnd"/>
      <w:r w:rsidRPr="000C7C76">
        <w:rPr>
          <w:rFonts w:ascii="Times New Roman" w:hAnsi="Times New Roman" w:cs="Times New Roman"/>
          <w:lang w:val="de-DE"/>
        </w:rPr>
        <w:t xml:space="preserve"> </w:t>
      </w:r>
      <w:proofErr w:type="spellStart"/>
      <w:r w:rsidRPr="000C7C76">
        <w:rPr>
          <w:rFonts w:ascii="Times New Roman" w:hAnsi="Times New Roman" w:cs="Times New Roman"/>
          <w:lang w:val="de-DE"/>
        </w:rPr>
        <w:t>dokumenta</w:t>
      </w:r>
      <w:proofErr w:type="spellEnd"/>
      <w:r w:rsidRPr="000C7C76">
        <w:rPr>
          <w:rFonts w:ascii="Times New Roman" w:hAnsi="Times New Roman" w:cs="Times New Roman"/>
          <w:lang w:val="de-DE"/>
        </w:rPr>
        <w:t xml:space="preserve"> </w:t>
      </w:r>
      <w:proofErr w:type="spellStart"/>
      <w:r w:rsidRPr="000C7C76">
        <w:rPr>
          <w:rFonts w:ascii="Times New Roman" w:hAnsi="Times New Roman" w:cs="Times New Roman"/>
          <w:lang w:val="de-DE"/>
        </w:rPr>
        <w:t>sastādīšanā</w:t>
      </w:r>
      <w:proofErr w:type="spellEnd"/>
      <w:r w:rsidRPr="000C7C76">
        <w:rPr>
          <w:rFonts w:ascii="Times New Roman" w:hAnsi="Times New Roman" w:cs="Times New Roman"/>
          <w:lang w:val="de-DE"/>
        </w:rPr>
        <w:t xml:space="preserve"> </w:t>
      </w:r>
      <w:proofErr w:type="spellStart"/>
      <w:r w:rsidRPr="000C7C76">
        <w:rPr>
          <w:rFonts w:ascii="Times New Roman" w:hAnsi="Times New Roman" w:cs="Times New Roman"/>
          <w:lang w:val="de-DE"/>
        </w:rPr>
        <w:t>un</w:t>
      </w:r>
      <w:proofErr w:type="spellEnd"/>
      <w:r w:rsidRPr="000C7C76">
        <w:rPr>
          <w:rFonts w:ascii="Times New Roman" w:hAnsi="Times New Roman" w:cs="Times New Roman"/>
          <w:lang w:val="de-DE"/>
        </w:rPr>
        <w:t xml:space="preserve"> </w:t>
      </w:r>
      <w:proofErr w:type="spellStart"/>
      <w:r w:rsidRPr="000C7C76">
        <w:rPr>
          <w:rFonts w:ascii="Times New Roman" w:hAnsi="Times New Roman" w:cs="Times New Roman"/>
          <w:lang w:val="de-DE"/>
        </w:rPr>
        <w:t>nesniedz</w:t>
      </w:r>
      <w:proofErr w:type="spellEnd"/>
      <w:r w:rsidRPr="000C7C76">
        <w:rPr>
          <w:rFonts w:ascii="Times New Roman" w:hAnsi="Times New Roman" w:cs="Times New Roman"/>
          <w:lang w:val="de-DE"/>
        </w:rPr>
        <w:t xml:space="preserve"> </w:t>
      </w:r>
      <w:proofErr w:type="spellStart"/>
      <w:r w:rsidRPr="000C7C76">
        <w:rPr>
          <w:rFonts w:ascii="Times New Roman" w:hAnsi="Times New Roman" w:cs="Times New Roman"/>
          <w:lang w:val="de-DE"/>
        </w:rPr>
        <w:t>personām</w:t>
      </w:r>
      <w:proofErr w:type="spellEnd"/>
      <w:r w:rsidRPr="000C7C76">
        <w:rPr>
          <w:rFonts w:ascii="Times New Roman" w:hAnsi="Times New Roman" w:cs="Times New Roman"/>
          <w:lang w:val="de-DE"/>
        </w:rPr>
        <w:t xml:space="preserve"> </w:t>
      </w:r>
      <w:proofErr w:type="spellStart"/>
      <w:r w:rsidRPr="000C7C76">
        <w:rPr>
          <w:rFonts w:ascii="Times New Roman" w:hAnsi="Times New Roman" w:cs="Times New Roman"/>
          <w:lang w:val="de-DE"/>
        </w:rPr>
        <w:t>nekādus</w:t>
      </w:r>
      <w:proofErr w:type="spellEnd"/>
      <w:r w:rsidRPr="000C7C76">
        <w:rPr>
          <w:rFonts w:ascii="Times New Roman" w:hAnsi="Times New Roman" w:cs="Times New Roman"/>
          <w:lang w:val="de-DE"/>
        </w:rPr>
        <w:t xml:space="preserve"> </w:t>
      </w:r>
      <w:proofErr w:type="spellStart"/>
      <w:r w:rsidRPr="000C7C76">
        <w:rPr>
          <w:rFonts w:ascii="Times New Roman" w:hAnsi="Times New Roman" w:cs="Times New Roman"/>
          <w:lang w:val="de-DE"/>
        </w:rPr>
        <w:t>juridiskos</w:t>
      </w:r>
      <w:proofErr w:type="spellEnd"/>
      <w:r w:rsidRPr="000C7C76">
        <w:rPr>
          <w:rFonts w:ascii="Times New Roman" w:hAnsi="Times New Roman" w:cs="Times New Roman"/>
          <w:lang w:val="de-DE"/>
        </w:rPr>
        <w:t xml:space="preserve"> </w:t>
      </w:r>
      <w:proofErr w:type="spellStart"/>
      <w:r w:rsidRPr="000C7C76">
        <w:rPr>
          <w:rFonts w:ascii="Times New Roman" w:hAnsi="Times New Roman" w:cs="Times New Roman"/>
          <w:lang w:val="de-DE"/>
        </w:rPr>
        <w:t>padomus</w:t>
      </w:r>
      <w:proofErr w:type="spellEnd"/>
      <w:r w:rsidRPr="000C7C76">
        <w:rPr>
          <w:rFonts w:ascii="Times New Roman" w:hAnsi="Times New Roman" w:cs="Times New Roman"/>
          <w:lang w:val="de-DE"/>
        </w:rPr>
        <w:t xml:space="preserve"> </w:t>
      </w:r>
      <w:proofErr w:type="spellStart"/>
      <w:r w:rsidRPr="000C7C76">
        <w:rPr>
          <w:rFonts w:ascii="Times New Roman" w:hAnsi="Times New Roman" w:cs="Times New Roman"/>
          <w:lang w:val="de-DE"/>
        </w:rPr>
        <w:t>dokumenta</w:t>
      </w:r>
      <w:proofErr w:type="spellEnd"/>
      <w:r w:rsidRPr="000C7C76">
        <w:rPr>
          <w:rFonts w:ascii="Times New Roman" w:hAnsi="Times New Roman" w:cs="Times New Roman"/>
          <w:lang w:val="de-DE"/>
        </w:rPr>
        <w:t xml:space="preserve"> </w:t>
      </w:r>
      <w:proofErr w:type="spellStart"/>
      <w:r w:rsidRPr="000C7C76">
        <w:rPr>
          <w:rFonts w:ascii="Times New Roman" w:hAnsi="Times New Roman" w:cs="Times New Roman"/>
          <w:lang w:val="de-DE"/>
        </w:rPr>
        <w:t>sastādīšanas</w:t>
      </w:r>
      <w:proofErr w:type="spellEnd"/>
      <w:r w:rsidRPr="000C7C76">
        <w:rPr>
          <w:rFonts w:ascii="Times New Roman" w:hAnsi="Times New Roman" w:cs="Times New Roman"/>
          <w:lang w:val="de-DE"/>
        </w:rPr>
        <w:t xml:space="preserve"> </w:t>
      </w:r>
      <w:proofErr w:type="spellStart"/>
      <w:r w:rsidRPr="000C7C76">
        <w:rPr>
          <w:rFonts w:ascii="Times New Roman" w:hAnsi="Times New Roman" w:cs="Times New Roman"/>
          <w:lang w:val="de-DE"/>
        </w:rPr>
        <w:t>procesā</w:t>
      </w:r>
      <w:proofErr w:type="spellEnd"/>
      <w:r w:rsidRPr="000C7C76">
        <w:rPr>
          <w:rFonts w:ascii="Times New Roman" w:hAnsi="Times New Roman" w:cs="Times New Roman"/>
          <w:lang w:val="de-DE"/>
        </w:rPr>
        <w:t>.</w:t>
      </w:r>
      <w:r w:rsidRPr="00CD4311">
        <w:rPr>
          <w:rStyle w:val="FootnoteReference"/>
          <w:rFonts w:ascii="Times New Roman" w:hAnsi="Times New Roman" w:cs="Times New Roman"/>
        </w:rPr>
        <w:footnoteReference w:id="162"/>
      </w:r>
      <w:r w:rsidRPr="000C7C76">
        <w:rPr>
          <w:rFonts w:ascii="Times New Roman" w:hAnsi="Times New Roman" w:cs="Times New Roman"/>
          <w:lang w:val="de-DE"/>
        </w:rPr>
        <w:t xml:space="preserve"> </w:t>
      </w:r>
    </w:p>
    <w:p w14:paraId="7E9C5CC4" w14:textId="75932E35" w:rsidR="00114953" w:rsidRPr="000C7C76" w:rsidRDefault="00114953" w:rsidP="00114953">
      <w:pPr>
        <w:ind w:firstLine="708"/>
        <w:jc w:val="both"/>
        <w:rPr>
          <w:rFonts w:ascii="Times New Roman" w:hAnsi="Times New Roman" w:cs="Times New Roman"/>
          <w:lang w:val="de-DE"/>
        </w:rPr>
      </w:pPr>
      <w:proofErr w:type="spellStart"/>
      <w:r w:rsidRPr="000C7C76">
        <w:rPr>
          <w:rFonts w:ascii="Times New Roman" w:hAnsi="Times New Roman" w:cs="Times New Roman"/>
          <w:lang w:val="de-DE"/>
        </w:rPr>
        <w:t>Taču</w:t>
      </w:r>
      <w:proofErr w:type="spellEnd"/>
      <w:r w:rsidRPr="000C7C76">
        <w:rPr>
          <w:rFonts w:ascii="Times New Roman" w:hAnsi="Times New Roman" w:cs="Times New Roman"/>
          <w:lang w:val="de-DE"/>
        </w:rPr>
        <w:t xml:space="preserve"> </w:t>
      </w:r>
      <w:proofErr w:type="spellStart"/>
      <w:r w:rsidRPr="000C7C76">
        <w:rPr>
          <w:rFonts w:ascii="Times New Roman" w:hAnsi="Times New Roman" w:cs="Times New Roman"/>
          <w:lang w:val="de-DE"/>
        </w:rPr>
        <w:t>pilnvaras</w:t>
      </w:r>
      <w:proofErr w:type="spellEnd"/>
      <w:r w:rsidRPr="000C7C76">
        <w:rPr>
          <w:rFonts w:ascii="Times New Roman" w:hAnsi="Times New Roman" w:cs="Times New Roman"/>
          <w:lang w:val="de-DE"/>
        </w:rPr>
        <w:t xml:space="preserve">, </w:t>
      </w:r>
      <w:proofErr w:type="spellStart"/>
      <w:r w:rsidRPr="000C7C76">
        <w:rPr>
          <w:rFonts w:ascii="Times New Roman" w:hAnsi="Times New Roman" w:cs="Times New Roman"/>
          <w:lang w:val="de-DE"/>
        </w:rPr>
        <w:t>kuras</w:t>
      </w:r>
      <w:proofErr w:type="spellEnd"/>
      <w:r w:rsidRPr="000C7C76">
        <w:rPr>
          <w:rFonts w:ascii="Times New Roman" w:hAnsi="Times New Roman" w:cs="Times New Roman"/>
          <w:lang w:val="de-DE"/>
        </w:rPr>
        <w:t xml:space="preserve"> </w:t>
      </w:r>
      <w:proofErr w:type="spellStart"/>
      <w:r w:rsidRPr="000C7C76">
        <w:rPr>
          <w:rFonts w:ascii="Times New Roman" w:hAnsi="Times New Roman" w:cs="Times New Roman"/>
          <w:lang w:val="de-DE"/>
        </w:rPr>
        <w:t>Apvienotajā</w:t>
      </w:r>
      <w:proofErr w:type="spellEnd"/>
      <w:r w:rsidRPr="000C7C76">
        <w:rPr>
          <w:rFonts w:ascii="Times New Roman" w:hAnsi="Times New Roman" w:cs="Times New Roman"/>
          <w:lang w:val="de-DE"/>
        </w:rPr>
        <w:t xml:space="preserve"> </w:t>
      </w:r>
      <w:proofErr w:type="spellStart"/>
      <w:r w:rsidRPr="000C7C76">
        <w:rPr>
          <w:rFonts w:ascii="Times New Roman" w:hAnsi="Times New Roman" w:cs="Times New Roman"/>
          <w:lang w:val="de-DE"/>
        </w:rPr>
        <w:t>Karalistē</w:t>
      </w:r>
      <w:proofErr w:type="spellEnd"/>
      <w:r w:rsidRPr="000C7C76">
        <w:rPr>
          <w:rFonts w:ascii="Times New Roman" w:hAnsi="Times New Roman" w:cs="Times New Roman"/>
          <w:lang w:val="de-DE"/>
        </w:rPr>
        <w:t xml:space="preserve"> </w:t>
      </w:r>
      <w:proofErr w:type="spellStart"/>
      <w:r w:rsidRPr="000C7C76">
        <w:rPr>
          <w:rFonts w:ascii="Times New Roman" w:hAnsi="Times New Roman" w:cs="Times New Roman"/>
          <w:lang w:val="de-DE"/>
        </w:rPr>
        <w:t>sastādījis</w:t>
      </w:r>
      <w:proofErr w:type="spellEnd"/>
      <w:r w:rsidRPr="000C7C76">
        <w:rPr>
          <w:rFonts w:ascii="Times New Roman" w:hAnsi="Times New Roman" w:cs="Times New Roman"/>
          <w:lang w:val="de-DE"/>
        </w:rPr>
        <w:t xml:space="preserve"> </w:t>
      </w:r>
      <w:proofErr w:type="spellStart"/>
      <w:r w:rsidRPr="000C7C76">
        <w:rPr>
          <w:rFonts w:ascii="Times New Roman" w:hAnsi="Times New Roman" w:cs="Times New Roman"/>
          <w:i/>
          <w:lang w:val="de-DE"/>
        </w:rPr>
        <w:t>scrivener</w:t>
      </w:r>
      <w:proofErr w:type="spellEnd"/>
      <w:r w:rsidRPr="000C7C76">
        <w:rPr>
          <w:rFonts w:ascii="Times New Roman" w:hAnsi="Times New Roman" w:cs="Times New Roman"/>
          <w:i/>
          <w:lang w:val="de-DE"/>
        </w:rPr>
        <w:t xml:space="preserve"> </w:t>
      </w:r>
      <w:proofErr w:type="spellStart"/>
      <w:r w:rsidRPr="000C7C76">
        <w:rPr>
          <w:rFonts w:ascii="Times New Roman" w:hAnsi="Times New Roman" w:cs="Times New Roman"/>
          <w:i/>
          <w:lang w:val="de-DE"/>
        </w:rPr>
        <w:t>notary</w:t>
      </w:r>
      <w:proofErr w:type="spellEnd"/>
      <w:r w:rsidRPr="000C7C76">
        <w:rPr>
          <w:rFonts w:ascii="Times New Roman" w:hAnsi="Times New Roman" w:cs="Times New Roman"/>
          <w:lang w:val="de-DE"/>
        </w:rPr>
        <w:t xml:space="preserve"> </w:t>
      </w:r>
      <w:proofErr w:type="spellStart"/>
      <w:r w:rsidRPr="000C7C76">
        <w:rPr>
          <w:rFonts w:ascii="Times New Roman" w:hAnsi="Times New Roman" w:cs="Times New Roman"/>
          <w:lang w:val="de-DE"/>
        </w:rPr>
        <w:t>vai</w:t>
      </w:r>
      <w:proofErr w:type="spellEnd"/>
      <w:r w:rsidRPr="000C7C76">
        <w:rPr>
          <w:rFonts w:ascii="Times New Roman" w:hAnsi="Times New Roman" w:cs="Times New Roman"/>
          <w:lang w:val="de-DE"/>
        </w:rPr>
        <w:t xml:space="preserve"> </w:t>
      </w:r>
      <w:proofErr w:type="spellStart"/>
      <w:r w:rsidRPr="000C7C76">
        <w:rPr>
          <w:rFonts w:ascii="Times New Roman" w:hAnsi="Times New Roman" w:cs="Times New Roman"/>
          <w:lang w:val="de-DE"/>
        </w:rPr>
        <w:t>arī</w:t>
      </w:r>
      <w:proofErr w:type="spellEnd"/>
      <w:r w:rsidRPr="000C7C76">
        <w:rPr>
          <w:rFonts w:ascii="Times New Roman" w:hAnsi="Times New Roman" w:cs="Times New Roman"/>
          <w:lang w:val="de-DE"/>
        </w:rPr>
        <w:t xml:space="preserve"> </w:t>
      </w:r>
      <w:proofErr w:type="spellStart"/>
      <w:r w:rsidRPr="000C7C76">
        <w:rPr>
          <w:rFonts w:ascii="Times New Roman" w:hAnsi="Times New Roman" w:cs="Times New Roman"/>
          <w:i/>
          <w:lang w:val="de-DE"/>
        </w:rPr>
        <w:t>notary</w:t>
      </w:r>
      <w:proofErr w:type="spellEnd"/>
      <w:r w:rsidRPr="000C7C76">
        <w:rPr>
          <w:rFonts w:ascii="Times New Roman" w:hAnsi="Times New Roman" w:cs="Times New Roman"/>
          <w:i/>
          <w:lang w:val="de-DE"/>
        </w:rPr>
        <w:t xml:space="preserve"> </w:t>
      </w:r>
      <w:proofErr w:type="spellStart"/>
      <w:r w:rsidRPr="000C7C76">
        <w:rPr>
          <w:rFonts w:ascii="Times New Roman" w:hAnsi="Times New Roman" w:cs="Times New Roman"/>
          <w:i/>
          <w:lang w:val="de-DE"/>
        </w:rPr>
        <w:t>public</w:t>
      </w:r>
      <w:proofErr w:type="spellEnd"/>
      <w:r w:rsidRPr="000C7C76">
        <w:rPr>
          <w:rFonts w:ascii="Times New Roman" w:hAnsi="Times New Roman" w:cs="Times New Roman"/>
          <w:lang w:val="de-DE"/>
        </w:rPr>
        <w:t xml:space="preserve">, </w:t>
      </w:r>
      <w:proofErr w:type="spellStart"/>
      <w:r w:rsidRPr="000C7C76">
        <w:rPr>
          <w:rFonts w:ascii="Times New Roman" w:hAnsi="Times New Roman" w:cs="Times New Roman"/>
          <w:lang w:val="de-DE"/>
        </w:rPr>
        <w:t>kurš</w:t>
      </w:r>
      <w:proofErr w:type="spellEnd"/>
      <w:r w:rsidRPr="000C7C76">
        <w:rPr>
          <w:rFonts w:ascii="Times New Roman" w:hAnsi="Times New Roman" w:cs="Times New Roman"/>
          <w:lang w:val="de-DE"/>
        </w:rPr>
        <w:t xml:space="preserve"> </w:t>
      </w:r>
      <w:proofErr w:type="spellStart"/>
      <w:r w:rsidRPr="000C7C76">
        <w:rPr>
          <w:rFonts w:ascii="Times New Roman" w:hAnsi="Times New Roman" w:cs="Times New Roman"/>
          <w:lang w:val="de-DE"/>
        </w:rPr>
        <w:t>vienlaicīgi</w:t>
      </w:r>
      <w:proofErr w:type="spellEnd"/>
      <w:r w:rsidRPr="000C7C76">
        <w:rPr>
          <w:rFonts w:ascii="Times New Roman" w:hAnsi="Times New Roman" w:cs="Times New Roman"/>
          <w:lang w:val="de-DE"/>
        </w:rPr>
        <w:t xml:space="preserve"> </w:t>
      </w:r>
      <w:proofErr w:type="spellStart"/>
      <w:r w:rsidRPr="000C7C76">
        <w:rPr>
          <w:rFonts w:ascii="Times New Roman" w:hAnsi="Times New Roman" w:cs="Times New Roman"/>
          <w:lang w:val="de-DE"/>
        </w:rPr>
        <w:t>ir</w:t>
      </w:r>
      <w:proofErr w:type="spellEnd"/>
      <w:r w:rsidRPr="000C7C76">
        <w:rPr>
          <w:rFonts w:ascii="Times New Roman" w:hAnsi="Times New Roman" w:cs="Times New Roman"/>
          <w:lang w:val="de-DE"/>
        </w:rPr>
        <w:t xml:space="preserve"> </w:t>
      </w:r>
      <w:proofErr w:type="spellStart"/>
      <w:r w:rsidRPr="000C7C76">
        <w:rPr>
          <w:rFonts w:ascii="Times New Roman" w:hAnsi="Times New Roman" w:cs="Times New Roman"/>
          <w:lang w:val="de-DE"/>
        </w:rPr>
        <w:t>arī</w:t>
      </w:r>
      <w:proofErr w:type="spellEnd"/>
      <w:r w:rsidRPr="000C7C76">
        <w:rPr>
          <w:rFonts w:ascii="Times New Roman" w:hAnsi="Times New Roman" w:cs="Times New Roman"/>
          <w:lang w:val="de-DE"/>
        </w:rPr>
        <w:t xml:space="preserve"> </w:t>
      </w:r>
      <w:proofErr w:type="spellStart"/>
      <w:r w:rsidRPr="000C7C76">
        <w:rPr>
          <w:rFonts w:ascii="Times New Roman" w:hAnsi="Times New Roman" w:cs="Times New Roman"/>
          <w:lang w:val="de-DE"/>
        </w:rPr>
        <w:t>advokāts</w:t>
      </w:r>
      <w:proofErr w:type="spellEnd"/>
      <w:r w:rsidRPr="000C7C76">
        <w:rPr>
          <w:rFonts w:ascii="Times New Roman" w:hAnsi="Times New Roman" w:cs="Times New Roman"/>
          <w:lang w:val="de-DE"/>
        </w:rPr>
        <w:t xml:space="preserve"> (</w:t>
      </w:r>
      <w:proofErr w:type="spellStart"/>
      <w:r w:rsidRPr="000C7C76">
        <w:rPr>
          <w:rFonts w:ascii="Times New Roman" w:hAnsi="Times New Roman" w:cs="Times New Roman"/>
          <w:i/>
          <w:lang w:val="de-DE"/>
        </w:rPr>
        <w:t>solicitor</w:t>
      </w:r>
      <w:proofErr w:type="spellEnd"/>
      <w:r w:rsidRPr="000C7C76">
        <w:rPr>
          <w:rFonts w:ascii="Times New Roman" w:hAnsi="Times New Roman" w:cs="Times New Roman"/>
          <w:lang w:val="de-DE"/>
        </w:rPr>
        <w:t xml:space="preserve">), </w:t>
      </w:r>
      <w:proofErr w:type="spellStart"/>
      <w:r w:rsidRPr="000C7C76">
        <w:rPr>
          <w:rFonts w:ascii="Times New Roman" w:hAnsi="Times New Roman" w:cs="Times New Roman"/>
          <w:lang w:val="de-DE"/>
        </w:rPr>
        <w:t>būs</w:t>
      </w:r>
      <w:proofErr w:type="spellEnd"/>
      <w:r w:rsidRPr="000C7C76">
        <w:rPr>
          <w:rFonts w:ascii="Times New Roman" w:hAnsi="Times New Roman" w:cs="Times New Roman"/>
          <w:lang w:val="de-DE"/>
        </w:rPr>
        <w:t xml:space="preserve"> </w:t>
      </w:r>
      <w:proofErr w:type="spellStart"/>
      <w:r w:rsidRPr="000C7C76">
        <w:rPr>
          <w:rFonts w:ascii="Times New Roman" w:hAnsi="Times New Roman" w:cs="Times New Roman"/>
          <w:lang w:val="de-DE"/>
        </w:rPr>
        <w:t>prin</w:t>
      </w:r>
      <w:r w:rsidRPr="00CD4311">
        <w:rPr>
          <w:rFonts w:ascii="Times New Roman" w:hAnsi="Times New Roman" w:cs="Times New Roman"/>
          <w:lang w:val="lv-LV"/>
        </w:rPr>
        <w:t>cipā</w:t>
      </w:r>
      <w:proofErr w:type="spellEnd"/>
      <w:r w:rsidRPr="00CD4311">
        <w:rPr>
          <w:rFonts w:ascii="Times New Roman" w:hAnsi="Times New Roman" w:cs="Times New Roman"/>
          <w:lang w:val="lv-LV"/>
        </w:rPr>
        <w:t xml:space="preserve"> </w:t>
      </w:r>
      <w:proofErr w:type="spellStart"/>
      <w:r w:rsidRPr="000C7C76">
        <w:rPr>
          <w:rFonts w:ascii="Times New Roman" w:hAnsi="Times New Roman" w:cs="Times New Roman"/>
          <w:lang w:val="de-DE"/>
        </w:rPr>
        <w:t>pielīdzināmas</w:t>
      </w:r>
      <w:proofErr w:type="spellEnd"/>
      <w:r w:rsidRPr="000C7C76">
        <w:rPr>
          <w:rFonts w:ascii="Times New Roman" w:hAnsi="Times New Roman" w:cs="Times New Roman"/>
          <w:lang w:val="de-DE"/>
        </w:rPr>
        <w:t xml:space="preserve"> </w:t>
      </w:r>
      <w:proofErr w:type="spellStart"/>
      <w:r w:rsidRPr="000C7C76">
        <w:rPr>
          <w:rFonts w:ascii="Times New Roman" w:hAnsi="Times New Roman" w:cs="Times New Roman"/>
          <w:lang w:val="de-DE"/>
        </w:rPr>
        <w:t>publiskiem</w:t>
      </w:r>
      <w:proofErr w:type="spellEnd"/>
      <w:r w:rsidRPr="000C7C76">
        <w:rPr>
          <w:rFonts w:ascii="Times New Roman" w:hAnsi="Times New Roman" w:cs="Times New Roman"/>
          <w:lang w:val="de-DE"/>
        </w:rPr>
        <w:t xml:space="preserve"> </w:t>
      </w:r>
      <w:proofErr w:type="spellStart"/>
      <w:r w:rsidRPr="000C7C76">
        <w:rPr>
          <w:rFonts w:ascii="Times New Roman" w:hAnsi="Times New Roman" w:cs="Times New Roman"/>
          <w:lang w:val="de-DE"/>
        </w:rPr>
        <w:t>dokumentiem</w:t>
      </w:r>
      <w:proofErr w:type="spellEnd"/>
      <w:r w:rsidRPr="000C7C76">
        <w:rPr>
          <w:rFonts w:ascii="Times New Roman" w:hAnsi="Times New Roman" w:cs="Times New Roman"/>
          <w:lang w:val="de-DE"/>
        </w:rPr>
        <w:t xml:space="preserve">, </w:t>
      </w:r>
      <w:proofErr w:type="spellStart"/>
      <w:r w:rsidRPr="000C7C76">
        <w:rPr>
          <w:rFonts w:ascii="Times New Roman" w:hAnsi="Times New Roman" w:cs="Times New Roman"/>
          <w:lang w:val="de-DE"/>
        </w:rPr>
        <w:t>jo</w:t>
      </w:r>
      <w:proofErr w:type="spellEnd"/>
      <w:r w:rsidRPr="000C7C76">
        <w:rPr>
          <w:rFonts w:ascii="Times New Roman" w:hAnsi="Times New Roman" w:cs="Times New Roman"/>
          <w:lang w:val="de-DE"/>
        </w:rPr>
        <w:t xml:space="preserve"> </w:t>
      </w:r>
      <w:proofErr w:type="spellStart"/>
      <w:r w:rsidRPr="000C7C76">
        <w:rPr>
          <w:rFonts w:ascii="Times New Roman" w:hAnsi="Times New Roman" w:cs="Times New Roman"/>
          <w:lang w:val="de-DE"/>
        </w:rPr>
        <w:t>kā</w:t>
      </w:r>
      <w:proofErr w:type="spellEnd"/>
      <w:r w:rsidRPr="000C7C76">
        <w:rPr>
          <w:rFonts w:ascii="Times New Roman" w:hAnsi="Times New Roman" w:cs="Times New Roman"/>
          <w:lang w:val="de-DE"/>
        </w:rPr>
        <w:t xml:space="preserve"> </w:t>
      </w:r>
      <w:proofErr w:type="spellStart"/>
      <w:r w:rsidRPr="000C7C76">
        <w:rPr>
          <w:rFonts w:ascii="Times New Roman" w:hAnsi="Times New Roman" w:cs="Times New Roman"/>
          <w:lang w:val="de-DE"/>
        </w:rPr>
        <w:t>jurists</w:t>
      </w:r>
      <w:proofErr w:type="spellEnd"/>
      <w:r w:rsidRPr="000C7C76">
        <w:rPr>
          <w:rFonts w:ascii="Times New Roman" w:hAnsi="Times New Roman" w:cs="Times New Roman"/>
          <w:lang w:val="de-DE"/>
        </w:rPr>
        <w:t xml:space="preserve"> </w:t>
      </w:r>
      <w:proofErr w:type="spellStart"/>
      <w:r w:rsidRPr="000C7C76">
        <w:rPr>
          <w:rFonts w:ascii="Times New Roman" w:hAnsi="Times New Roman" w:cs="Times New Roman"/>
          <w:lang w:val="de-DE"/>
        </w:rPr>
        <w:t>viņš</w:t>
      </w:r>
      <w:proofErr w:type="spellEnd"/>
      <w:r w:rsidRPr="000C7C76">
        <w:rPr>
          <w:rFonts w:ascii="Times New Roman" w:hAnsi="Times New Roman" w:cs="Times New Roman"/>
          <w:lang w:val="de-DE"/>
        </w:rPr>
        <w:t xml:space="preserve"> </w:t>
      </w:r>
      <w:proofErr w:type="spellStart"/>
      <w:r w:rsidRPr="000C7C76">
        <w:rPr>
          <w:rFonts w:ascii="Times New Roman" w:hAnsi="Times New Roman" w:cs="Times New Roman"/>
          <w:lang w:val="de-DE"/>
        </w:rPr>
        <w:t>var</w:t>
      </w:r>
      <w:proofErr w:type="spellEnd"/>
      <w:r w:rsidRPr="000C7C76">
        <w:rPr>
          <w:rFonts w:ascii="Times New Roman" w:hAnsi="Times New Roman" w:cs="Times New Roman"/>
          <w:lang w:val="de-DE"/>
        </w:rPr>
        <w:t xml:space="preserve"> </w:t>
      </w:r>
      <w:proofErr w:type="spellStart"/>
      <w:r w:rsidRPr="000C7C76">
        <w:rPr>
          <w:rFonts w:ascii="Times New Roman" w:hAnsi="Times New Roman" w:cs="Times New Roman"/>
          <w:lang w:val="de-DE"/>
        </w:rPr>
        <w:t>pusēm</w:t>
      </w:r>
      <w:proofErr w:type="spellEnd"/>
      <w:r w:rsidRPr="000C7C76">
        <w:rPr>
          <w:rFonts w:ascii="Times New Roman" w:hAnsi="Times New Roman" w:cs="Times New Roman"/>
          <w:lang w:val="de-DE"/>
        </w:rPr>
        <w:t xml:space="preserve"> </w:t>
      </w:r>
      <w:proofErr w:type="spellStart"/>
      <w:r w:rsidRPr="000C7C76">
        <w:rPr>
          <w:rFonts w:ascii="Times New Roman" w:hAnsi="Times New Roman" w:cs="Times New Roman"/>
          <w:lang w:val="de-DE"/>
        </w:rPr>
        <w:t>izskaidrot</w:t>
      </w:r>
      <w:proofErr w:type="spellEnd"/>
      <w:r w:rsidRPr="000C7C76">
        <w:rPr>
          <w:rFonts w:ascii="Times New Roman" w:hAnsi="Times New Roman" w:cs="Times New Roman"/>
          <w:lang w:val="de-DE"/>
        </w:rPr>
        <w:t xml:space="preserve"> </w:t>
      </w:r>
      <w:proofErr w:type="spellStart"/>
      <w:r w:rsidRPr="000C7C76">
        <w:rPr>
          <w:rFonts w:ascii="Times New Roman" w:hAnsi="Times New Roman" w:cs="Times New Roman"/>
          <w:lang w:val="de-DE"/>
        </w:rPr>
        <w:t>dokumenta</w:t>
      </w:r>
      <w:proofErr w:type="spellEnd"/>
      <w:r w:rsidRPr="000C7C76">
        <w:rPr>
          <w:rFonts w:ascii="Times New Roman" w:hAnsi="Times New Roman" w:cs="Times New Roman"/>
          <w:lang w:val="de-DE"/>
        </w:rPr>
        <w:t xml:space="preserve"> </w:t>
      </w:r>
      <w:proofErr w:type="spellStart"/>
      <w:r w:rsidRPr="000C7C76">
        <w:rPr>
          <w:rFonts w:ascii="Times New Roman" w:hAnsi="Times New Roman" w:cs="Times New Roman"/>
          <w:lang w:val="de-DE"/>
        </w:rPr>
        <w:t>saturu</w:t>
      </w:r>
      <w:proofErr w:type="spellEnd"/>
      <w:r w:rsidRPr="000C7C76">
        <w:rPr>
          <w:rFonts w:ascii="Times New Roman" w:hAnsi="Times New Roman" w:cs="Times New Roman"/>
          <w:lang w:val="de-DE"/>
        </w:rPr>
        <w:t xml:space="preserve"> </w:t>
      </w:r>
      <w:proofErr w:type="spellStart"/>
      <w:r w:rsidRPr="000C7C76">
        <w:rPr>
          <w:rFonts w:ascii="Times New Roman" w:hAnsi="Times New Roman" w:cs="Times New Roman"/>
          <w:lang w:val="de-DE"/>
        </w:rPr>
        <w:t>un</w:t>
      </w:r>
      <w:proofErr w:type="spellEnd"/>
      <w:r w:rsidRPr="000C7C76">
        <w:rPr>
          <w:rFonts w:ascii="Times New Roman" w:hAnsi="Times New Roman" w:cs="Times New Roman"/>
          <w:lang w:val="de-DE"/>
        </w:rPr>
        <w:t xml:space="preserve"> </w:t>
      </w:r>
      <w:proofErr w:type="spellStart"/>
      <w:r w:rsidRPr="000C7C76">
        <w:rPr>
          <w:rFonts w:ascii="Times New Roman" w:hAnsi="Times New Roman" w:cs="Times New Roman"/>
          <w:lang w:val="de-DE"/>
        </w:rPr>
        <w:t>pārbaudīt</w:t>
      </w:r>
      <w:proofErr w:type="spellEnd"/>
      <w:r w:rsidRPr="000C7C76">
        <w:rPr>
          <w:rFonts w:ascii="Times New Roman" w:hAnsi="Times New Roman" w:cs="Times New Roman"/>
          <w:lang w:val="de-DE"/>
        </w:rPr>
        <w:t xml:space="preserve"> </w:t>
      </w:r>
      <w:proofErr w:type="spellStart"/>
      <w:r w:rsidRPr="000C7C76">
        <w:rPr>
          <w:rFonts w:ascii="Times New Roman" w:hAnsi="Times New Roman" w:cs="Times New Roman"/>
          <w:lang w:val="de-DE"/>
        </w:rPr>
        <w:t>to</w:t>
      </w:r>
      <w:proofErr w:type="spellEnd"/>
      <w:r w:rsidRPr="000C7C76">
        <w:rPr>
          <w:rFonts w:ascii="Times New Roman" w:hAnsi="Times New Roman" w:cs="Times New Roman"/>
          <w:lang w:val="de-DE"/>
        </w:rPr>
        <w:t xml:space="preserve"> </w:t>
      </w:r>
      <w:proofErr w:type="spellStart"/>
      <w:r w:rsidRPr="000C7C76">
        <w:rPr>
          <w:rFonts w:ascii="Times New Roman" w:hAnsi="Times New Roman" w:cs="Times New Roman"/>
          <w:lang w:val="de-DE"/>
        </w:rPr>
        <w:t>tiesībspēju</w:t>
      </w:r>
      <w:proofErr w:type="spellEnd"/>
      <w:r w:rsidRPr="000C7C76">
        <w:rPr>
          <w:rFonts w:ascii="Times New Roman" w:hAnsi="Times New Roman" w:cs="Times New Roman"/>
          <w:lang w:val="de-DE"/>
        </w:rPr>
        <w:t xml:space="preserve"> </w:t>
      </w:r>
      <w:proofErr w:type="spellStart"/>
      <w:r w:rsidRPr="000C7C76">
        <w:rPr>
          <w:rFonts w:ascii="Times New Roman" w:hAnsi="Times New Roman" w:cs="Times New Roman"/>
          <w:lang w:val="de-DE"/>
        </w:rPr>
        <w:t>un</w:t>
      </w:r>
      <w:proofErr w:type="spellEnd"/>
      <w:r w:rsidRPr="000C7C76">
        <w:rPr>
          <w:rFonts w:ascii="Times New Roman" w:hAnsi="Times New Roman" w:cs="Times New Roman"/>
          <w:lang w:val="de-DE"/>
        </w:rPr>
        <w:t xml:space="preserve"> </w:t>
      </w:r>
      <w:proofErr w:type="spellStart"/>
      <w:r w:rsidRPr="000C7C76">
        <w:rPr>
          <w:rFonts w:ascii="Times New Roman" w:hAnsi="Times New Roman" w:cs="Times New Roman"/>
          <w:lang w:val="de-DE"/>
        </w:rPr>
        <w:t>rīcībspēju</w:t>
      </w:r>
      <w:proofErr w:type="spellEnd"/>
      <w:r w:rsidRPr="000C7C76">
        <w:rPr>
          <w:rFonts w:ascii="Times New Roman" w:hAnsi="Times New Roman" w:cs="Times New Roman"/>
          <w:lang w:val="de-DE"/>
        </w:rPr>
        <w:t>.</w:t>
      </w:r>
      <w:r w:rsidRPr="00CD4311">
        <w:rPr>
          <w:rStyle w:val="FootnoteReference"/>
          <w:rFonts w:ascii="Times New Roman" w:hAnsi="Times New Roman" w:cs="Times New Roman"/>
        </w:rPr>
        <w:footnoteReference w:id="163"/>
      </w:r>
      <w:r w:rsidRPr="000C7C76">
        <w:rPr>
          <w:rFonts w:ascii="Times New Roman" w:hAnsi="Times New Roman" w:cs="Times New Roman"/>
          <w:lang w:val="de-DE"/>
        </w:rPr>
        <w:t xml:space="preserve"> </w:t>
      </w:r>
      <w:proofErr w:type="spellStart"/>
      <w:r w:rsidRPr="000C7C76">
        <w:rPr>
          <w:rFonts w:ascii="Times New Roman" w:hAnsi="Times New Roman" w:cs="Times New Roman"/>
          <w:i/>
          <w:lang w:val="de-DE"/>
        </w:rPr>
        <w:t>Scrivener</w:t>
      </w:r>
      <w:proofErr w:type="spellEnd"/>
      <w:r w:rsidRPr="000C7C76">
        <w:rPr>
          <w:rFonts w:ascii="Times New Roman" w:hAnsi="Times New Roman" w:cs="Times New Roman"/>
          <w:i/>
          <w:lang w:val="de-DE"/>
        </w:rPr>
        <w:t xml:space="preserve"> </w:t>
      </w:r>
      <w:proofErr w:type="spellStart"/>
      <w:r w:rsidRPr="000C7C76">
        <w:rPr>
          <w:rFonts w:ascii="Times New Roman" w:hAnsi="Times New Roman" w:cs="Times New Roman"/>
          <w:i/>
          <w:lang w:val="de-DE"/>
        </w:rPr>
        <w:t>notary</w:t>
      </w:r>
      <w:proofErr w:type="spellEnd"/>
      <w:r w:rsidRPr="000C7C76">
        <w:rPr>
          <w:rFonts w:ascii="Times New Roman" w:hAnsi="Times New Roman" w:cs="Times New Roman"/>
          <w:lang w:val="de-DE"/>
        </w:rPr>
        <w:t xml:space="preserve"> </w:t>
      </w:r>
      <w:proofErr w:type="spellStart"/>
      <w:r w:rsidRPr="000C7C76">
        <w:rPr>
          <w:rFonts w:ascii="Times New Roman" w:hAnsi="Times New Roman" w:cs="Times New Roman"/>
          <w:lang w:val="de-DE"/>
        </w:rPr>
        <w:t>pārbauda</w:t>
      </w:r>
      <w:proofErr w:type="spellEnd"/>
      <w:r w:rsidRPr="000C7C76">
        <w:rPr>
          <w:rFonts w:ascii="Times New Roman" w:hAnsi="Times New Roman" w:cs="Times New Roman"/>
          <w:lang w:val="de-DE"/>
        </w:rPr>
        <w:t xml:space="preserve"> </w:t>
      </w:r>
      <w:proofErr w:type="spellStart"/>
      <w:r w:rsidRPr="000C7C76">
        <w:rPr>
          <w:rFonts w:ascii="Times New Roman" w:hAnsi="Times New Roman" w:cs="Times New Roman"/>
          <w:lang w:val="de-DE"/>
        </w:rPr>
        <w:t>un</w:t>
      </w:r>
      <w:proofErr w:type="spellEnd"/>
      <w:r w:rsidRPr="000C7C76">
        <w:rPr>
          <w:rFonts w:ascii="Times New Roman" w:hAnsi="Times New Roman" w:cs="Times New Roman"/>
          <w:lang w:val="de-DE"/>
        </w:rPr>
        <w:t xml:space="preserve"> </w:t>
      </w:r>
      <w:proofErr w:type="spellStart"/>
      <w:r w:rsidRPr="000C7C76">
        <w:rPr>
          <w:rFonts w:ascii="Times New Roman" w:hAnsi="Times New Roman" w:cs="Times New Roman"/>
          <w:lang w:val="de-DE"/>
        </w:rPr>
        <w:t>apliecina</w:t>
      </w:r>
      <w:proofErr w:type="spellEnd"/>
      <w:r w:rsidRPr="000C7C76">
        <w:rPr>
          <w:rFonts w:ascii="Times New Roman" w:hAnsi="Times New Roman" w:cs="Times New Roman"/>
          <w:lang w:val="de-DE"/>
        </w:rPr>
        <w:t xml:space="preserve"> </w:t>
      </w:r>
      <w:proofErr w:type="spellStart"/>
      <w:r w:rsidRPr="000C7C76">
        <w:rPr>
          <w:rFonts w:ascii="Times New Roman" w:hAnsi="Times New Roman" w:cs="Times New Roman"/>
          <w:lang w:val="de-DE"/>
        </w:rPr>
        <w:t>fizisko</w:t>
      </w:r>
      <w:proofErr w:type="spellEnd"/>
      <w:r w:rsidRPr="000C7C76">
        <w:rPr>
          <w:rFonts w:ascii="Times New Roman" w:hAnsi="Times New Roman" w:cs="Times New Roman"/>
          <w:lang w:val="de-DE"/>
        </w:rPr>
        <w:t xml:space="preserve"> </w:t>
      </w:r>
      <w:proofErr w:type="spellStart"/>
      <w:r w:rsidRPr="000C7C76">
        <w:rPr>
          <w:rFonts w:ascii="Times New Roman" w:hAnsi="Times New Roman" w:cs="Times New Roman"/>
          <w:lang w:val="de-DE"/>
        </w:rPr>
        <w:t>personu</w:t>
      </w:r>
      <w:proofErr w:type="spellEnd"/>
      <w:r w:rsidRPr="000C7C76">
        <w:rPr>
          <w:rFonts w:ascii="Times New Roman" w:hAnsi="Times New Roman" w:cs="Times New Roman"/>
          <w:lang w:val="de-DE"/>
        </w:rPr>
        <w:t xml:space="preserve"> </w:t>
      </w:r>
      <w:proofErr w:type="spellStart"/>
      <w:r w:rsidRPr="000C7C76">
        <w:rPr>
          <w:rFonts w:ascii="Times New Roman" w:hAnsi="Times New Roman" w:cs="Times New Roman"/>
          <w:lang w:val="de-DE"/>
        </w:rPr>
        <w:t>rīcībspēju</w:t>
      </w:r>
      <w:proofErr w:type="spellEnd"/>
      <w:r w:rsidRPr="000C7C76">
        <w:rPr>
          <w:rFonts w:ascii="Times New Roman" w:hAnsi="Times New Roman" w:cs="Times New Roman"/>
          <w:lang w:val="de-DE"/>
        </w:rPr>
        <w:t xml:space="preserve">, </w:t>
      </w:r>
      <w:proofErr w:type="spellStart"/>
      <w:r w:rsidRPr="000C7C76">
        <w:rPr>
          <w:rFonts w:ascii="Times New Roman" w:hAnsi="Times New Roman" w:cs="Times New Roman"/>
          <w:lang w:val="de-DE"/>
        </w:rPr>
        <w:t>kā</w:t>
      </w:r>
      <w:proofErr w:type="spellEnd"/>
      <w:r w:rsidRPr="000C7C76">
        <w:rPr>
          <w:rFonts w:ascii="Times New Roman" w:hAnsi="Times New Roman" w:cs="Times New Roman"/>
          <w:lang w:val="de-DE"/>
        </w:rPr>
        <w:t xml:space="preserve"> </w:t>
      </w:r>
      <w:proofErr w:type="spellStart"/>
      <w:r w:rsidRPr="000C7C76">
        <w:rPr>
          <w:rFonts w:ascii="Times New Roman" w:hAnsi="Times New Roman" w:cs="Times New Roman"/>
          <w:lang w:val="de-DE"/>
        </w:rPr>
        <w:t>arī</w:t>
      </w:r>
      <w:proofErr w:type="spellEnd"/>
      <w:r w:rsidRPr="000C7C76">
        <w:rPr>
          <w:rFonts w:ascii="Times New Roman" w:hAnsi="Times New Roman" w:cs="Times New Roman"/>
          <w:lang w:val="de-DE"/>
        </w:rPr>
        <w:t xml:space="preserve"> </w:t>
      </w:r>
      <w:proofErr w:type="spellStart"/>
      <w:r w:rsidRPr="000C7C76">
        <w:rPr>
          <w:rFonts w:ascii="Times New Roman" w:hAnsi="Times New Roman" w:cs="Times New Roman"/>
          <w:lang w:val="de-DE"/>
        </w:rPr>
        <w:t>apliecina</w:t>
      </w:r>
      <w:proofErr w:type="spellEnd"/>
      <w:r w:rsidRPr="000C7C76">
        <w:rPr>
          <w:rFonts w:ascii="Times New Roman" w:hAnsi="Times New Roman" w:cs="Times New Roman"/>
          <w:lang w:val="de-DE"/>
        </w:rPr>
        <w:t xml:space="preserve"> </w:t>
      </w:r>
      <w:proofErr w:type="spellStart"/>
      <w:r w:rsidRPr="000C7C76">
        <w:rPr>
          <w:rFonts w:ascii="Times New Roman" w:hAnsi="Times New Roman" w:cs="Times New Roman"/>
          <w:lang w:val="de-DE"/>
        </w:rPr>
        <w:t>dokumentus</w:t>
      </w:r>
      <w:proofErr w:type="spellEnd"/>
      <w:r w:rsidRPr="000C7C76">
        <w:rPr>
          <w:rFonts w:ascii="Times New Roman" w:hAnsi="Times New Roman" w:cs="Times New Roman"/>
          <w:lang w:val="de-DE"/>
        </w:rPr>
        <w:t xml:space="preserve">, </w:t>
      </w:r>
      <w:proofErr w:type="spellStart"/>
      <w:r w:rsidRPr="000C7C76">
        <w:rPr>
          <w:rFonts w:ascii="Times New Roman" w:hAnsi="Times New Roman" w:cs="Times New Roman"/>
          <w:lang w:val="de-DE"/>
        </w:rPr>
        <w:t>kuri</w:t>
      </w:r>
      <w:proofErr w:type="spellEnd"/>
      <w:r w:rsidRPr="000C7C76">
        <w:rPr>
          <w:rFonts w:ascii="Times New Roman" w:hAnsi="Times New Roman" w:cs="Times New Roman"/>
          <w:lang w:val="de-DE"/>
        </w:rPr>
        <w:t xml:space="preserve"> </w:t>
      </w:r>
      <w:proofErr w:type="spellStart"/>
      <w:r w:rsidRPr="000C7C76">
        <w:rPr>
          <w:rFonts w:ascii="Times New Roman" w:hAnsi="Times New Roman" w:cs="Times New Roman"/>
          <w:lang w:val="de-DE"/>
        </w:rPr>
        <w:t>jāizmanto</w:t>
      </w:r>
      <w:proofErr w:type="spellEnd"/>
      <w:r w:rsidRPr="000C7C76">
        <w:rPr>
          <w:rFonts w:ascii="Times New Roman" w:hAnsi="Times New Roman" w:cs="Times New Roman"/>
          <w:lang w:val="de-DE"/>
        </w:rPr>
        <w:t xml:space="preserve"> </w:t>
      </w:r>
      <w:proofErr w:type="spellStart"/>
      <w:r w:rsidRPr="000C7C76">
        <w:rPr>
          <w:rFonts w:ascii="Times New Roman" w:hAnsi="Times New Roman" w:cs="Times New Roman"/>
          <w:lang w:val="de-DE"/>
        </w:rPr>
        <w:t>ārpus</w:t>
      </w:r>
      <w:proofErr w:type="spellEnd"/>
      <w:r w:rsidRPr="000C7C76">
        <w:rPr>
          <w:rFonts w:ascii="Times New Roman" w:hAnsi="Times New Roman" w:cs="Times New Roman"/>
          <w:lang w:val="de-DE"/>
        </w:rPr>
        <w:t xml:space="preserve"> </w:t>
      </w:r>
      <w:proofErr w:type="spellStart"/>
      <w:r w:rsidRPr="000C7C76">
        <w:rPr>
          <w:rFonts w:ascii="Times New Roman" w:hAnsi="Times New Roman" w:cs="Times New Roman"/>
          <w:lang w:val="de-DE"/>
        </w:rPr>
        <w:t>Anglijas</w:t>
      </w:r>
      <w:proofErr w:type="spellEnd"/>
      <w:r w:rsidRPr="000C7C76">
        <w:rPr>
          <w:rFonts w:ascii="Times New Roman" w:hAnsi="Times New Roman" w:cs="Times New Roman"/>
          <w:lang w:val="de-DE"/>
        </w:rPr>
        <w:t xml:space="preserve">. </w:t>
      </w:r>
      <w:proofErr w:type="spellStart"/>
      <w:r w:rsidRPr="000C7C76">
        <w:rPr>
          <w:rFonts w:ascii="Times New Roman" w:hAnsi="Times New Roman" w:cs="Times New Roman"/>
          <w:lang w:val="de-DE"/>
        </w:rPr>
        <w:t>Tāpat</w:t>
      </w:r>
      <w:proofErr w:type="spellEnd"/>
      <w:r w:rsidRPr="000C7C76">
        <w:rPr>
          <w:rFonts w:ascii="Times New Roman" w:hAnsi="Times New Roman" w:cs="Times New Roman"/>
          <w:lang w:val="de-DE"/>
        </w:rPr>
        <w:t xml:space="preserve"> </w:t>
      </w:r>
      <w:proofErr w:type="spellStart"/>
      <w:r w:rsidRPr="000C7C76">
        <w:rPr>
          <w:rFonts w:ascii="Times New Roman" w:hAnsi="Times New Roman" w:cs="Times New Roman"/>
          <w:i/>
          <w:lang w:val="de-DE"/>
        </w:rPr>
        <w:t>scrivener</w:t>
      </w:r>
      <w:proofErr w:type="spellEnd"/>
      <w:r w:rsidRPr="000C7C76">
        <w:rPr>
          <w:rFonts w:ascii="Times New Roman" w:hAnsi="Times New Roman" w:cs="Times New Roman"/>
          <w:i/>
          <w:lang w:val="de-DE"/>
        </w:rPr>
        <w:t xml:space="preserve"> </w:t>
      </w:r>
      <w:proofErr w:type="spellStart"/>
      <w:r w:rsidRPr="000C7C76">
        <w:rPr>
          <w:rFonts w:ascii="Times New Roman" w:hAnsi="Times New Roman" w:cs="Times New Roman"/>
          <w:i/>
          <w:lang w:val="de-DE"/>
        </w:rPr>
        <w:t>notary</w:t>
      </w:r>
      <w:proofErr w:type="spellEnd"/>
      <w:r w:rsidRPr="000C7C76">
        <w:rPr>
          <w:rFonts w:ascii="Times New Roman" w:hAnsi="Times New Roman" w:cs="Times New Roman"/>
          <w:lang w:val="de-DE"/>
        </w:rPr>
        <w:t xml:space="preserve"> </w:t>
      </w:r>
      <w:proofErr w:type="spellStart"/>
      <w:r w:rsidRPr="000C7C76">
        <w:rPr>
          <w:rFonts w:ascii="Times New Roman" w:hAnsi="Times New Roman" w:cs="Times New Roman"/>
          <w:lang w:val="de-DE"/>
        </w:rPr>
        <w:t>izskaidro</w:t>
      </w:r>
      <w:proofErr w:type="spellEnd"/>
      <w:r w:rsidRPr="000C7C76">
        <w:rPr>
          <w:rFonts w:ascii="Times New Roman" w:hAnsi="Times New Roman" w:cs="Times New Roman"/>
          <w:lang w:val="de-DE"/>
        </w:rPr>
        <w:t xml:space="preserve"> </w:t>
      </w:r>
      <w:proofErr w:type="spellStart"/>
      <w:r w:rsidRPr="000C7C76">
        <w:rPr>
          <w:rFonts w:ascii="Times New Roman" w:hAnsi="Times New Roman" w:cs="Times New Roman"/>
          <w:lang w:val="de-DE"/>
        </w:rPr>
        <w:lastRenderedPageBreak/>
        <w:t>personām</w:t>
      </w:r>
      <w:proofErr w:type="spellEnd"/>
      <w:r w:rsidRPr="000C7C76">
        <w:rPr>
          <w:rFonts w:ascii="Times New Roman" w:hAnsi="Times New Roman" w:cs="Times New Roman"/>
          <w:lang w:val="de-DE"/>
        </w:rPr>
        <w:t xml:space="preserve"> </w:t>
      </w:r>
      <w:proofErr w:type="spellStart"/>
      <w:r w:rsidRPr="000C7C76">
        <w:rPr>
          <w:rFonts w:ascii="Times New Roman" w:hAnsi="Times New Roman" w:cs="Times New Roman"/>
          <w:lang w:val="de-DE"/>
        </w:rPr>
        <w:t>dokumenta</w:t>
      </w:r>
      <w:proofErr w:type="spellEnd"/>
      <w:r w:rsidRPr="000C7C76">
        <w:rPr>
          <w:rFonts w:ascii="Times New Roman" w:hAnsi="Times New Roman" w:cs="Times New Roman"/>
          <w:lang w:val="de-DE"/>
        </w:rPr>
        <w:t xml:space="preserve"> </w:t>
      </w:r>
      <w:proofErr w:type="spellStart"/>
      <w:r w:rsidRPr="000C7C76">
        <w:rPr>
          <w:rFonts w:ascii="Times New Roman" w:hAnsi="Times New Roman" w:cs="Times New Roman"/>
          <w:lang w:val="de-DE"/>
        </w:rPr>
        <w:t>saturu</w:t>
      </w:r>
      <w:proofErr w:type="spellEnd"/>
      <w:r w:rsidRPr="000C7C76">
        <w:rPr>
          <w:rFonts w:ascii="Times New Roman" w:hAnsi="Times New Roman" w:cs="Times New Roman"/>
          <w:lang w:val="de-DE"/>
        </w:rPr>
        <w:t>.</w:t>
      </w:r>
      <w:r w:rsidRPr="00CD4311">
        <w:rPr>
          <w:rStyle w:val="FootnoteReference"/>
          <w:rFonts w:ascii="Times New Roman" w:hAnsi="Times New Roman" w:cs="Times New Roman"/>
        </w:rPr>
        <w:footnoteReference w:id="164"/>
      </w:r>
      <w:r w:rsidRPr="000C7C76">
        <w:rPr>
          <w:rFonts w:ascii="Times New Roman" w:hAnsi="Times New Roman" w:cs="Times New Roman"/>
          <w:lang w:val="de-DE"/>
        </w:rPr>
        <w:t xml:space="preserve"> </w:t>
      </w:r>
      <w:proofErr w:type="spellStart"/>
      <w:r w:rsidRPr="000C7C76">
        <w:rPr>
          <w:rFonts w:ascii="Times New Roman" w:hAnsi="Times New Roman" w:cs="Times New Roman"/>
          <w:lang w:val="de-DE"/>
        </w:rPr>
        <w:t>Svarīgi</w:t>
      </w:r>
      <w:proofErr w:type="spellEnd"/>
      <w:r w:rsidRPr="000C7C76">
        <w:rPr>
          <w:rFonts w:ascii="Times New Roman" w:hAnsi="Times New Roman" w:cs="Times New Roman"/>
          <w:lang w:val="de-DE"/>
        </w:rPr>
        <w:t xml:space="preserve"> </w:t>
      </w:r>
      <w:proofErr w:type="spellStart"/>
      <w:r w:rsidRPr="000C7C76">
        <w:rPr>
          <w:rFonts w:ascii="Times New Roman" w:hAnsi="Times New Roman" w:cs="Times New Roman"/>
          <w:lang w:val="de-DE"/>
        </w:rPr>
        <w:t>atzīmēt</w:t>
      </w:r>
      <w:proofErr w:type="spellEnd"/>
      <w:r w:rsidRPr="000C7C76">
        <w:rPr>
          <w:rFonts w:ascii="Times New Roman" w:hAnsi="Times New Roman" w:cs="Times New Roman"/>
          <w:lang w:val="de-DE"/>
        </w:rPr>
        <w:t xml:space="preserve">, </w:t>
      </w:r>
      <w:proofErr w:type="spellStart"/>
      <w:r w:rsidRPr="000C7C76">
        <w:rPr>
          <w:rFonts w:ascii="Times New Roman" w:hAnsi="Times New Roman" w:cs="Times New Roman"/>
          <w:lang w:val="de-DE"/>
        </w:rPr>
        <w:t>ka</w:t>
      </w:r>
      <w:proofErr w:type="spellEnd"/>
      <w:r w:rsidRPr="000C7C76">
        <w:rPr>
          <w:rFonts w:ascii="Times New Roman" w:hAnsi="Times New Roman" w:cs="Times New Roman"/>
          <w:lang w:val="de-DE"/>
        </w:rPr>
        <w:t xml:space="preserve"> </w:t>
      </w:r>
      <w:proofErr w:type="spellStart"/>
      <w:r w:rsidRPr="000C7C76">
        <w:rPr>
          <w:rFonts w:ascii="Times New Roman" w:hAnsi="Times New Roman" w:cs="Times New Roman"/>
          <w:lang w:val="de-DE"/>
        </w:rPr>
        <w:t>Londonas</w:t>
      </w:r>
      <w:proofErr w:type="spellEnd"/>
      <w:r w:rsidRPr="000C7C76">
        <w:rPr>
          <w:rFonts w:ascii="Times New Roman" w:hAnsi="Times New Roman" w:cs="Times New Roman"/>
          <w:lang w:val="de-DE"/>
        </w:rPr>
        <w:t xml:space="preserve"> </w:t>
      </w:r>
      <w:proofErr w:type="spellStart"/>
      <w:r w:rsidRPr="000C7C76">
        <w:rPr>
          <w:rFonts w:ascii="Times New Roman" w:hAnsi="Times New Roman" w:cs="Times New Roman"/>
          <w:lang w:val="de-DE"/>
        </w:rPr>
        <w:t>pilsētas</w:t>
      </w:r>
      <w:proofErr w:type="spellEnd"/>
      <w:r w:rsidRPr="000C7C76">
        <w:rPr>
          <w:rFonts w:ascii="Times New Roman" w:hAnsi="Times New Roman" w:cs="Times New Roman"/>
          <w:lang w:val="de-DE"/>
        </w:rPr>
        <w:t xml:space="preserve"> (</w:t>
      </w:r>
      <w:r w:rsidRPr="000C7C76">
        <w:rPr>
          <w:rFonts w:ascii="Times New Roman" w:hAnsi="Times New Roman" w:cs="Times New Roman"/>
          <w:i/>
          <w:lang w:val="de-DE"/>
        </w:rPr>
        <w:t xml:space="preserve">City </w:t>
      </w:r>
      <w:proofErr w:type="spellStart"/>
      <w:r w:rsidRPr="000C7C76">
        <w:rPr>
          <w:rFonts w:ascii="Times New Roman" w:hAnsi="Times New Roman" w:cs="Times New Roman"/>
          <w:i/>
          <w:lang w:val="de-DE"/>
        </w:rPr>
        <w:t>of</w:t>
      </w:r>
      <w:proofErr w:type="spellEnd"/>
      <w:r w:rsidRPr="000C7C76">
        <w:rPr>
          <w:rFonts w:ascii="Times New Roman" w:hAnsi="Times New Roman" w:cs="Times New Roman"/>
          <w:i/>
          <w:lang w:val="de-DE"/>
        </w:rPr>
        <w:t xml:space="preserve"> London</w:t>
      </w:r>
      <w:r w:rsidRPr="000C7C76">
        <w:rPr>
          <w:rFonts w:ascii="Times New Roman" w:hAnsi="Times New Roman" w:cs="Times New Roman"/>
          <w:lang w:val="de-DE"/>
        </w:rPr>
        <w:t xml:space="preserve">) </w:t>
      </w:r>
      <w:proofErr w:type="spellStart"/>
      <w:r w:rsidRPr="000C7C76">
        <w:rPr>
          <w:rFonts w:ascii="Times New Roman" w:hAnsi="Times New Roman" w:cs="Times New Roman"/>
          <w:lang w:val="de-DE"/>
        </w:rPr>
        <w:t>notāri</w:t>
      </w:r>
      <w:proofErr w:type="spellEnd"/>
      <w:r w:rsidRPr="000C7C76">
        <w:rPr>
          <w:rFonts w:ascii="Times New Roman" w:hAnsi="Times New Roman" w:cs="Times New Roman"/>
          <w:lang w:val="de-DE"/>
        </w:rPr>
        <w:t xml:space="preserve"> (</w:t>
      </w:r>
      <w:proofErr w:type="spellStart"/>
      <w:r w:rsidRPr="000C7C76">
        <w:rPr>
          <w:rFonts w:ascii="Times New Roman" w:hAnsi="Times New Roman" w:cs="Times New Roman"/>
          <w:i/>
          <w:lang w:val="de-DE"/>
        </w:rPr>
        <w:t>london</w:t>
      </w:r>
      <w:proofErr w:type="spellEnd"/>
      <w:r w:rsidRPr="000C7C76">
        <w:rPr>
          <w:rFonts w:ascii="Times New Roman" w:hAnsi="Times New Roman" w:cs="Times New Roman"/>
          <w:i/>
          <w:lang w:val="de-DE"/>
        </w:rPr>
        <w:t xml:space="preserve"> </w:t>
      </w:r>
      <w:proofErr w:type="spellStart"/>
      <w:r w:rsidRPr="000C7C76">
        <w:rPr>
          <w:rFonts w:ascii="Times New Roman" w:hAnsi="Times New Roman" w:cs="Times New Roman"/>
          <w:i/>
          <w:lang w:val="de-DE"/>
        </w:rPr>
        <w:t>scriveners</w:t>
      </w:r>
      <w:proofErr w:type="spellEnd"/>
      <w:r w:rsidRPr="000C7C76">
        <w:rPr>
          <w:rFonts w:ascii="Times New Roman" w:hAnsi="Times New Roman" w:cs="Times New Roman"/>
          <w:lang w:val="de-DE"/>
        </w:rPr>
        <w:t xml:space="preserve">) </w:t>
      </w:r>
      <w:proofErr w:type="spellStart"/>
      <w:r w:rsidRPr="000C7C76">
        <w:rPr>
          <w:rFonts w:ascii="Times New Roman" w:hAnsi="Times New Roman" w:cs="Times New Roman"/>
          <w:lang w:val="de-DE"/>
        </w:rPr>
        <w:t>ietilpst</w:t>
      </w:r>
      <w:proofErr w:type="spellEnd"/>
      <w:r w:rsidRPr="000C7C76">
        <w:rPr>
          <w:rFonts w:ascii="Times New Roman" w:hAnsi="Times New Roman" w:cs="Times New Roman"/>
          <w:lang w:val="de-DE"/>
        </w:rPr>
        <w:t xml:space="preserve"> </w:t>
      </w:r>
      <w:proofErr w:type="spellStart"/>
      <w:r w:rsidRPr="000C7C76">
        <w:rPr>
          <w:rFonts w:ascii="Times New Roman" w:hAnsi="Times New Roman" w:cs="Times New Roman"/>
          <w:lang w:val="de-DE"/>
        </w:rPr>
        <w:t>Latīņu</w:t>
      </w:r>
      <w:proofErr w:type="spellEnd"/>
      <w:r w:rsidRPr="000C7C76">
        <w:rPr>
          <w:rFonts w:ascii="Times New Roman" w:hAnsi="Times New Roman" w:cs="Times New Roman"/>
          <w:lang w:val="de-DE"/>
        </w:rPr>
        <w:t xml:space="preserve"> </w:t>
      </w:r>
      <w:proofErr w:type="spellStart"/>
      <w:r w:rsidRPr="000C7C76">
        <w:rPr>
          <w:rFonts w:ascii="Times New Roman" w:hAnsi="Times New Roman" w:cs="Times New Roman"/>
          <w:lang w:val="de-DE"/>
        </w:rPr>
        <w:t>tipa</w:t>
      </w:r>
      <w:proofErr w:type="spellEnd"/>
      <w:r w:rsidRPr="000C7C76">
        <w:rPr>
          <w:rFonts w:ascii="Times New Roman" w:hAnsi="Times New Roman" w:cs="Times New Roman"/>
          <w:lang w:val="de-DE"/>
        </w:rPr>
        <w:t xml:space="preserve"> </w:t>
      </w:r>
      <w:proofErr w:type="spellStart"/>
      <w:r w:rsidRPr="000C7C76">
        <w:rPr>
          <w:rFonts w:ascii="Times New Roman" w:hAnsi="Times New Roman" w:cs="Times New Roman"/>
          <w:lang w:val="de-DE"/>
        </w:rPr>
        <w:t>notariātā</w:t>
      </w:r>
      <w:proofErr w:type="spellEnd"/>
      <w:r w:rsidRPr="000C7C76">
        <w:rPr>
          <w:rFonts w:ascii="Times New Roman" w:hAnsi="Times New Roman" w:cs="Times New Roman"/>
          <w:lang w:val="de-DE"/>
        </w:rPr>
        <w:t xml:space="preserve">, </w:t>
      </w:r>
      <w:proofErr w:type="spellStart"/>
      <w:r w:rsidRPr="000C7C76">
        <w:rPr>
          <w:rFonts w:ascii="Times New Roman" w:hAnsi="Times New Roman" w:cs="Times New Roman"/>
          <w:lang w:val="de-DE"/>
        </w:rPr>
        <w:t>kas</w:t>
      </w:r>
      <w:proofErr w:type="spellEnd"/>
      <w:r w:rsidRPr="000C7C76">
        <w:rPr>
          <w:rFonts w:ascii="Times New Roman" w:hAnsi="Times New Roman" w:cs="Times New Roman"/>
          <w:lang w:val="de-DE"/>
        </w:rPr>
        <w:t xml:space="preserve"> </w:t>
      </w:r>
      <w:proofErr w:type="spellStart"/>
      <w:r w:rsidRPr="000C7C76">
        <w:rPr>
          <w:rFonts w:ascii="Times New Roman" w:hAnsi="Times New Roman" w:cs="Times New Roman"/>
          <w:lang w:val="de-DE"/>
        </w:rPr>
        <w:t>ļauj</w:t>
      </w:r>
      <w:proofErr w:type="spellEnd"/>
      <w:r w:rsidRPr="000C7C76">
        <w:rPr>
          <w:rFonts w:ascii="Times New Roman" w:hAnsi="Times New Roman" w:cs="Times New Roman"/>
          <w:lang w:val="de-DE"/>
        </w:rPr>
        <w:t xml:space="preserve"> </w:t>
      </w:r>
      <w:proofErr w:type="spellStart"/>
      <w:r w:rsidRPr="000C7C76">
        <w:rPr>
          <w:rFonts w:ascii="Times New Roman" w:hAnsi="Times New Roman" w:cs="Times New Roman"/>
          <w:lang w:val="de-DE"/>
        </w:rPr>
        <w:t>se</w:t>
      </w:r>
      <w:r w:rsidR="00ED3A4D" w:rsidRPr="000C7C76">
        <w:rPr>
          <w:rFonts w:ascii="Times New Roman" w:hAnsi="Times New Roman" w:cs="Times New Roman"/>
          <w:lang w:val="de-DE"/>
        </w:rPr>
        <w:t>c</w:t>
      </w:r>
      <w:r w:rsidRPr="000C7C76">
        <w:rPr>
          <w:rFonts w:ascii="Times New Roman" w:hAnsi="Times New Roman" w:cs="Times New Roman"/>
          <w:lang w:val="de-DE"/>
        </w:rPr>
        <w:t>ināt</w:t>
      </w:r>
      <w:proofErr w:type="spellEnd"/>
      <w:r w:rsidRPr="000C7C76">
        <w:rPr>
          <w:rFonts w:ascii="Times New Roman" w:hAnsi="Times New Roman" w:cs="Times New Roman"/>
          <w:lang w:val="de-DE"/>
        </w:rPr>
        <w:t xml:space="preserve">, </w:t>
      </w:r>
      <w:proofErr w:type="spellStart"/>
      <w:r w:rsidRPr="000C7C76">
        <w:rPr>
          <w:rFonts w:ascii="Times New Roman" w:hAnsi="Times New Roman" w:cs="Times New Roman"/>
          <w:lang w:val="de-DE"/>
        </w:rPr>
        <w:t>ka</w:t>
      </w:r>
      <w:proofErr w:type="spellEnd"/>
      <w:r w:rsidRPr="000C7C76">
        <w:rPr>
          <w:rFonts w:ascii="Times New Roman" w:hAnsi="Times New Roman" w:cs="Times New Roman"/>
          <w:lang w:val="de-DE"/>
        </w:rPr>
        <w:t xml:space="preserve"> </w:t>
      </w:r>
      <w:proofErr w:type="spellStart"/>
      <w:r w:rsidRPr="000C7C76">
        <w:rPr>
          <w:rFonts w:ascii="Times New Roman" w:hAnsi="Times New Roman" w:cs="Times New Roman"/>
          <w:lang w:val="de-DE"/>
        </w:rPr>
        <w:t>viņu</w:t>
      </w:r>
      <w:proofErr w:type="spellEnd"/>
      <w:r w:rsidRPr="000C7C76">
        <w:rPr>
          <w:rFonts w:ascii="Times New Roman" w:hAnsi="Times New Roman" w:cs="Times New Roman"/>
          <w:lang w:val="de-DE"/>
        </w:rPr>
        <w:t xml:space="preserve"> </w:t>
      </w:r>
      <w:proofErr w:type="spellStart"/>
      <w:r w:rsidRPr="000C7C76">
        <w:rPr>
          <w:rFonts w:ascii="Times New Roman" w:hAnsi="Times New Roman" w:cs="Times New Roman"/>
          <w:lang w:val="de-DE"/>
        </w:rPr>
        <w:t>sastādītie</w:t>
      </w:r>
      <w:proofErr w:type="spellEnd"/>
      <w:r w:rsidRPr="000C7C76">
        <w:rPr>
          <w:rFonts w:ascii="Times New Roman" w:hAnsi="Times New Roman" w:cs="Times New Roman"/>
          <w:lang w:val="de-DE"/>
        </w:rPr>
        <w:t xml:space="preserve"> </w:t>
      </w:r>
      <w:proofErr w:type="spellStart"/>
      <w:r w:rsidRPr="000C7C76">
        <w:rPr>
          <w:rFonts w:ascii="Times New Roman" w:hAnsi="Times New Roman" w:cs="Times New Roman"/>
          <w:lang w:val="de-DE"/>
        </w:rPr>
        <w:t>dokumenti</w:t>
      </w:r>
      <w:proofErr w:type="spellEnd"/>
      <w:r w:rsidRPr="000C7C76">
        <w:rPr>
          <w:rFonts w:ascii="Times New Roman" w:hAnsi="Times New Roman" w:cs="Times New Roman"/>
          <w:lang w:val="de-DE"/>
        </w:rPr>
        <w:t xml:space="preserve"> </w:t>
      </w:r>
      <w:proofErr w:type="spellStart"/>
      <w:r w:rsidRPr="000C7C76">
        <w:rPr>
          <w:rFonts w:ascii="Times New Roman" w:hAnsi="Times New Roman" w:cs="Times New Roman"/>
          <w:lang w:val="de-DE"/>
        </w:rPr>
        <w:t>Latvijā</w:t>
      </w:r>
      <w:proofErr w:type="spellEnd"/>
      <w:r w:rsidRPr="000C7C76">
        <w:rPr>
          <w:rFonts w:ascii="Times New Roman" w:hAnsi="Times New Roman" w:cs="Times New Roman"/>
          <w:lang w:val="de-DE"/>
        </w:rPr>
        <w:t xml:space="preserve"> </w:t>
      </w:r>
      <w:proofErr w:type="spellStart"/>
      <w:r w:rsidRPr="000C7C76">
        <w:rPr>
          <w:rFonts w:ascii="Times New Roman" w:hAnsi="Times New Roman" w:cs="Times New Roman"/>
          <w:lang w:val="de-DE"/>
        </w:rPr>
        <w:t>var</w:t>
      </w:r>
      <w:proofErr w:type="spellEnd"/>
      <w:r w:rsidRPr="000C7C76">
        <w:rPr>
          <w:rFonts w:ascii="Times New Roman" w:hAnsi="Times New Roman" w:cs="Times New Roman"/>
          <w:lang w:val="de-DE"/>
        </w:rPr>
        <w:t xml:space="preserve"> </w:t>
      </w:r>
      <w:proofErr w:type="spellStart"/>
      <w:r w:rsidRPr="000C7C76">
        <w:rPr>
          <w:rFonts w:ascii="Times New Roman" w:hAnsi="Times New Roman" w:cs="Times New Roman"/>
          <w:lang w:val="de-DE"/>
        </w:rPr>
        <w:t>tikt</w:t>
      </w:r>
      <w:proofErr w:type="spellEnd"/>
      <w:r w:rsidRPr="000C7C76">
        <w:rPr>
          <w:rFonts w:ascii="Times New Roman" w:hAnsi="Times New Roman" w:cs="Times New Roman"/>
          <w:lang w:val="de-DE"/>
        </w:rPr>
        <w:t xml:space="preserve"> </w:t>
      </w:r>
      <w:proofErr w:type="spellStart"/>
      <w:r w:rsidRPr="000C7C76">
        <w:rPr>
          <w:rFonts w:ascii="Times New Roman" w:hAnsi="Times New Roman" w:cs="Times New Roman"/>
          <w:lang w:val="de-DE"/>
        </w:rPr>
        <w:t>pielīdzināti</w:t>
      </w:r>
      <w:proofErr w:type="spellEnd"/>
      <w:r w:rsidRPr="000C7C76">
        <w:rPr>
          <w:rFonts w:ascii="Times New Roman" w:hAnsi="Times New Roman" w:cs="Times New Roman"/>
          <w:lang w:val="de-DE"/>
        </w:rPr>
        <w:t xml:space="preserve"> Latvijas </w:t>
      </w:r>
      <w:proofErr w:type="spellStart"/>
      <w:r w:rsidRPr="000C7C76">
        <w:rPr>
          <w:rFonts w:ascii="Times New Roman" w:hAnsi="Times New Roman" w:cs="Times New Roman"/>
          <w:lang w:val="de-DE"/>
        </w:rPr>
        <w:t>zvērinātu</w:t>
      </w:r>
      <w:proofErr w:type="spellEnd"/>
      <w:r w:rsidRPr="000C7C76">
        <w:rPr>
          <w:rFonts w:ascii="Times New Roman" w:hAnsi="Times New Roman" w:cs="Times New Roman"/>
          <w:lang w:val="de-DE"/>
        </w:rPr>
        <w:t xml:space="preserve"> </w:t>
      </w:r>
      <w:proofErr w:type="spellStart"/>
      <w:r w:rsidRPr="000C7C76">
        <w:rPr>
          <w:rFonts w:ascii="Times New Roman" w:hAnsi="Times New Roman" w:cs="Times New Roman"/>
          <w:lang w:val="de-DE"/>
        </w:rPr>
        <w:t>notāru</w:t>
      </w:r>
      <w:proofErr w:type="spellEnd"/>
      <w:r w:rsidRPr="000C7C76">
        <w:rPr>
          <w:rFonts w:ascii="Times New Roman" w:hAnsi="Times New Roman" w:cs="Times New Roman"/>
          <w:lang w:val="de-DE"/>
        </w:rPr>
        <w:t xml:space="preserve"> </w:t>
      </w:r>
      <w:proofErr w:type="spellStart"/>
      <w:r w:rsidRPr="000C7C76">
        <w:rPr>
          <w:rFonts w:ascii="Times New Roman" w:hAnsi="Times New Roman" w:cs="Times New Roman"/>
          <w:lang w:val="de-DE"/>
        </w:rPr>
        <w:t>sastādītiem</w:t>
      </w:r>
      <w:proofErr w:type="spellEnd"/>
      <w:r w:rsidRPr="000C7C76">
        <w:rPr>
          <w:rFonts w:ascii="Times New Roman" w:hAnsi="Times New Roman" w:cs="Times New Roman"/>
          <w:lang w:val="de-DE"/>
        </w:rPr>
        <w:t xml:space="preserve"> </w:t>
      </w:r>
      <w:proofErr w:type="spellStart"/>
      <w:r w:rsidRPr="000C7C76">
        <w:rPr>
          <w:rFonts w:ascii="Times New Roman" w:hAnsi="Times New Roman" w:cs="Times New Roman"/>
          <w:lang w:val="de-DE"/>
        </w:rPr>
        <w:t>publiskiem</w:t>
      </w:r>
      <w:proofErr w:type="spellEnd"/>
      <w:r w:rsidRPr="000C7C76">
        <w:rPr>
          <w:rFonts w:ascii="Times New Roman" w:hAnsi="Times New Roman" w:cs="Times New Roman"/>
          <w:lang w:val="de-DE"/>
        </w:rPr>
        <w:t xml:space="preserve"> </w:t>
      </w:r>
      <w:proofErr w:type="spellStart"/>
      <w:r w:rsidRPr="000C7C76">
        <w:rPr>
          <w:rFonts w:ascii="Times New Roman" w:hAnsi="Times New Roman" w:cs="Times New Roman"/>
          <w:lang w:val="de-DE"/>
        </w:rPr>
        <w:t>dokumentiem</w:t>
      </w:r>
      <w:proofErr w:type="spellEnd"/>
      <w:r w:rsidRPr="000C7C76">
        <w:rPr>
          <w:rFonts w:ascii="Times New Roman" w:hAnsi="Times New Roman" w:cs="Times New Roman"/>
          <w:lang w:val="de-DE"/>
        </w:rPr>
        <w:t>.</w:t>
      </w:r>
      <w:r w:rsidRPr="00CD4311">
        <w:rPr>
          <w:rStyle w:val="FootnoteReference"/>
          <w:rFonts w:ascii="Times New Roman" w:hAnsi="Times New Roman" w:cs="Times New Roman"/>
        </w:rPr>
        <w:footnoteReference w:id="165"/>
      </w:r>
    </w:p>
    <w:p w14:paraId="4F9FD080" w14:textId="77777777" w:rsidR="00114953" w:rsidRPr="000C7C76" w:rsidRDefault="00114953" w:rsidP="00114953">
      <w:pPr>
        <w:ind w:firstLine="708"/>
        <w:jc w:val="both"/>
        <w:rPr>
          <w:rFonts w:ascii="Times New Roman" w:hAnsi="Times New Roman" w:cs="Times New Roman"/>
          <w:b/>
          <w:lang w:val="de-DE"/>
        </w:rPr>
      </w:pPr>
    </w:p>
    <w:p w14:paraId="410E9DBC" w14:textId="6693DFB7" w:rsidR="00114953" w:rsidRPr="000C7C76" w:rsidRDefault="00114953" w:rsidP="00114953">
      <w:pPr>
        <w:ind w:firstLine="708"/>
        <w:jc w:val="both"/>
        <w:rPr>
          <w:rFonts w:ascii="Times New Roman" w:hAnsi="Times New Roman" w:cs="Times New Roman"/>
          <w:lang w:val="en-US"/>
        </w:rPr>
      </w:pPr>
      <w:r w:rsidRPr="000C7C76">
        <w:rPr>
          <w:rFonts w:ascii="Times New Roman" w:hAnsi="Times New Roman" w:cs="Times New Roman"/>
          <w:b/>
          <w:lang w:val="de-DE"/>
        </w:rPr>
        <w:t>ASV</w:t>
      </w:r>
      <w:r w:rsidRPr="000C7C76">
        <w:rPr>
          <w:rFonts w:ascii="Times New Roman" w:hAnsi="Times New Roman" w:cs="Times New Roman"/>
          <w:lang w:val="de-DE"/>
        </w:rPr>
        <w:t xml:space="preserve"> </w:t>
      </w:r>
      <w:proofErr w:type="spellStart"/>
      <w:r w:rsidRPr="000C7C76">
        <w:rPr>
          <w:rFonts w:ascii="Times New Roman" w:hAnsi="Times New Roman" w:cs="Times New Roman"/>
          <w:lang w:val="de-DE"/>
        </w:rPr>
        <w:t>notāru</w:t>
      </w:r>
      <w:proofErr w:type="spellEnd"/>
      <w:r w:rsidRPr="000C7C76">
        <w:rPr>
          <w:rFonts w:ascii="Times New Roman" w:hAnsi="Times New Roman" w:cs="Times New Roman"/>
          <w:lang w:val="de-DE"/>
        </w:rPr>
        <w:t xml:space="preserve"> </w:t>
      </w:r>
      <w:proofErr w:type="spellStart"/>
      <w:r w:rsidRPr="000C7C76">
        <w:rPr>
          <w:rFonts w:ascii="Times New Roman" w:hAnsi="Times New Roman" w:cs="Times New Roman"/>
          <w:lang w:val="de-DE"/>
        </w:rPr>
        <w:t>funkcijām</w:t>
      </w:r>
      <w:proofErr w:type="spellEnd"/>
      <w:r w:rsidRPr="000C7C76">
        <w:rPr>
          <w:rFonts w:ascii="Times New Roman" w:hAnsi="Times New Roman" w:cs="Times New Roman"/>
          <w:lang w:val="de-DE"/>
        </w:rPr>
        <w:t xml:space="preserve"> </w:t>
      </w:r>
      <w:proofErr w:type="spellStart"/>
      <w:r w:rsidRPr="00CD4311">
        <w:rPr>
          <w:rFonts w:ascii="Times New Roman" w:hAnsi="Times New Roman" w:cs="Times New Roman"/>
          <w:lang w:val="de-DE"/>
        </w:rPr>
        <w:t>pielīdzināmas</w:t>
      </w:r>
      <w:proofErr w:type="spellEnd"/>
      <w:r w:rsidRPr="00CD4311">
        <w:rPr>
          <w:rFonts w:ascii="Times New Roman" w:hAnsi="Times New Roman" w:cs="Times New Roman"/>
          <w:lang w:val="de-DE"/>
        </w:rPr>
        <w:t xml:space="preserve"> </w:t>
      </w:r>
      <w:proofErr w:type="spellStart"/>
      <w:r w:rsidRPr="00CD4311">
        <w:rPr>
          <w:rFonts w:ascii="Times New Roman" w:hAnsi="Times New Roman" w:cs="Times New Roman"/>
          <w:lang w:val="de-DE"/>
        </w:rPr>
        <w:t>darbības</w:t>
      </w:r>
      <w:proofErr w:type="spellEnd"/>
      <w:r w:rsidRPr="00CD4311">
        <w:rPr>
          <w:rFonts w:ascii="Times New Roman" w:hAnsi="Times New Roman" w:cs="Times New Roman"/>
          <w:lang w:val="de-DE"/>
        </w:rPr>
        <w:t xml:space="preserve"> </w:t>
      </w:r>
      <w:proofErr w:type="spellStart"/>
      <w:r w:rsidRPr="00CD4311">
        <w:rPr>
          <w:rFonts w:ascii="Times New Roman" w:hAnsi="Times New Roman" w:cs="Times New Roman"/>
          <w:lang w:val="de-DE"/>
        </w:rPr>
        <w:t>veic</w:t>
      </w:r>
      <w:proofErr w:type="spellEnd"/>
      <w:r w:rsidRPr="00CD4311">
        <w:rPr>
          <w:rFonts w:ascii="Times New Roman" w:hAnsi="Times New Roman" w:cs="Times New Roman"/>
          <w:lang w:val="de-DE"/>
        </w:rPr>
        <w:t xml:space="preserve"> </w:t>
      </w:r>
      <w:proofErr w:type="spellStart"/>
      <w:r w:rsidRPr="00CD4311">
        <w:rPr>
          <w:rFonts w:ascii="Times New Roman" w:hAnsi="Times New Roman" w:cs="Times New Roman"/>
          <w:i/>
          <w:lang w:val="de-DE"/>
        </w:rPr>
        <w:t>lawyers</w:t>
      </w:r>
      <w:proofErr w:type="spellEnd"/>
      <w:r w:rsidRPr="00CD4311">
        <w:rPr>
          <w:rFonts w:ascii="Times New Roman" w:hAnsi="Times New Roman" w:cs="Times New Roman"/>
          <w:i/>
          <w:lang w:val="de-DE"/>
        </w:rPr>
        <w:t xml:space="preserve"> </w:t>
      </w:r>
      <w:proofErr w:type="spellStart"/>
      <w:r w:rsidRPr="00CD4311">
        <w:rPr>
          <w:rFonts w:ascii="Times New Roman" w:hAnsi="Times New Roman" w:cs="Times New Roman"/>
          <w:i/>
          <w:lang w:val="de-DE"/>
        </w:rPr>
        <w:t>attorneys</w:t>
      </w:r>
      <w:proofErr w:type="spellEnd"/>
      <w:r w:rsidRPr="00CD4311">
        <w:rPr>
          <w:rFonts w:ascii="Times New Roman" w:hAnsi="Times New Roman" w:cs="Times New Roman"/>
          <w:lang w:val="de-DE"/>
        </w:rPr>
        <w:t xml:space="preserve"> </w:t>
      </w:r>
      <w:proofErr w:type="spellStart"/>
      <w:r w:rsidRPr="00CD4311">
        <w:rPr>
          <w:rFonts w:ascii="Times New Roman" w:hAnsi="Times New Roman" w:cs="Times New Roman"/>
          <w:lang w:val="de-DE"/>
        </w:rPr>
        <w:t>un</w:t>
      </w:r>
      <w:proofErr w:type="spellEnd"/>
      <w:r w:rsidRPr="00CD4311">
        <w:rPr>
          <w:rFonts w:ascii="Times New Roman" w:hAnsi="Times New Roman" w:cs="Times New Roman"/>
          <w:lang w:val="de-DE"/>
        </w:rPr>
        <w:t xml:space="preserve"> </w:t>
      </w:r>
      <w:proofErr w:type="spellStart"/>
      <w:r w:rsidRPr="00CD4311">
        <w:rPr>
          <w:rFonts w:ascii="Times New Roman" w:hAnsi="Times New Roman" w:cs="Times New Roman"/>
          <w:lang w:val="de-DE"/>
        </w:rPr>
        <w:t>nevis</w:t>
      </w:r>
      <w:proofErr w:type="spellEnd"/>
      <w:r w:rsidRPr="00CD4311">
        <w:rPr>
          <w:rFonts w:ascii="Times New Roman" w:hAnsi="Times New Roman" w:cs="Times New Roman"/>
          <w:lang w:val="de-DE"/>
        </w:rPr>
        <w:t xml:space="preserve"> </w:t>
      </w:r>
      <w:proofErr w:type="spellStart"/>
      <w:r w:rsidRPr="00CD4311">
        <w:rPr>
          <w:rFonts w:ascii="Times New Roman" w:hAnsi="Times New Roman" w:cs="Times New Roman"/>
          <w:i/>
          <w:lang w:val="de-DE"/>
        </w:rPr>
        <w:t>notaries</w:t>
      </w:r>
      <w:proofErr w:type="spellEnd"/>
      <w:r w:rsidRPr="00CD4311">
        <w:rPr>
          <w:rFonts w:ascii="Times New Roman" w:hAnsi="Times New Roman" w:cs="Times New Roman"/>
          <w:i/>
          <w:lang w:val="de-DE"/>
        </w:rPr>
        <w:t xml:space="preserve"> </w:t>
      </w:r>
      <w:proofErr w:type="spellStart"/>
      <w:r w:rsidRPr="00CD4311">
        <w:rPr>
          <w:rFonts w:ascii="Times New Roman" w:hAnsi="Times New Roman" w:cs="Times New Roman"/>
          <w:i/>
          <w:lang w:val="de-DE"/>
        </w:rPr>
        <w:t>public</w:t>
      </w:r>
      <w:proofErr w:type="spellEnd"/>
      <w:r w:rsidRPr="00CD4311">
        <w:rPr>
          <w:rFonts w:ascii="Times New Roman" w:hAnsi="Times New Roman" w:cs="Times New Roman"/>
          <w:i/>
          <w:lang w:val="de-DE"/>
        </w:rPr>
        <w:t xml:space="preserve"> </w:t>
      </w:r>
      <w:r w:rsidRPr="00CD4311">
        <w:rPr>
          <w:rFonts w:ascii="Times New Roman" w:hAnsi="Times New Roman" w:cs="Times New Roman"/>
          <w:lang w:val="de-DE"/>
        </w:rPr>
        <w:t>(</w:t>
      </w:r>
      <w:proofErr w:type="spellStart"/>
      <w:r w:rsidRPr="00CD4311">
        <w:rPr>
          <w:rFonts w:ascii="Times New Roman" w:hAnsi="Times New Roman" w:cs="Times New Roman"/>
          <w:lang w:val="de-DE"/>
        </w:rPr>
        <w:t>kuri</w:t>
      </w:r>
      <w:proofErr w:type="spellEnd"/>
      <w:r w:rsidRPr="00CD4311">
        <w:rPr>
          <w:rFonts w:ascii="Times New Roman" w:hAnsi="Times New Roman" w:cs="Times New Roman"/>
          <w:lang w:val="de-DE"/>
        </w:rPr>
        <w:t xml:space="preserve"> </w:t>
      </w:r>
      <w:proofErr w:type="spellStart"/>
      <w:r w:rsidRPr="00CD4311">
        <w:rPr>
          <w:rFonts w:ascii="Times New Roman" w:hAnsi="Times New Roman" w:cs="Times New Roman"/>
          <w:lang w:val="de-DE"/>
        </w:rPr>
        <w:t>nemaz</w:t>
      </w:r>
      <w:proofErr w:type="spellEnd"/>
      <w:r w:rsidRPr="00CD4311">
        <w:rPr>
          <w:rFonts w:ascii="Times New Roman" w:hAnsi="Times New Roman" w:cs="Times New Roman"/>
          <w:lang w:val="de-DE"/>
        </w:rPr>
        <w:t xml:space="preserve"> </w:t>
      </w:r>
      <w:proofErr w:type="spellStart"/>
      <w:r w:rsidRPr="00CD4311">
        <w:rPr>
          <w:rFonts w:ascii="Times New Roman" w:hAnsi="Times New Roman" w:cs="Times New Roman"/>
          <w:lang w:val="de-DE"/>
        </w:rPr>
        <w:t>nav</w:t>
      </w:r>
      <w:proofErr w:type="spellEnd"/>
      <w:r w:rsidRPr="00CD4311">
        <w:rPr>
          <w:rFonts w:ascii="Times New Roman" w:hAnsi="Times New Roman" w:cs="Times New Roman"/>
          <w:lang w:val="de-DE"/>
        </w:rPr>
        <w:t xml:space="preserve"> </w:t>
      </w:r>
      <w:proofErr w:type="spellStart"/>
      <w:r w:rsidRPr="00CD4311">
        <w:rPr>
          <w:rFonts w:ascii="Times New Roman" w:hAnsi="Times New Roman" w:cs="Times New Roman"/>
          <w:lang w:val="de-DE"/>
        </w:rPr>
        <w:t>juristi</w:t>
      </w:r>
      <w:proofErr w:type="spellEnd"/>
      <w:r w:rsidRPr="00CD4311">
        <w:rPr>
          <w:rFonts w:ascii="Times New Roman" w:hAnsi="Times New Roman" w:cs="Times New Roman"/>
          <w:lang w:val="de-DE"/>
        </w:rPr>
        <w:t xml:space="preserve">). Lai </w:t>
      </w:r>
      <w:proofErr w:type="spellStart"/>
      <w:r w:rsidRPr="00CD4311">
        <w:rPr>
          <w:rFonts w:ascii="Times New Roman" w:hAnsi="Times New Roman" w:cs="Times New Roman"/>
          <w:lang w:val="de-DE"/>
        </w:rPr>
        <w:t>gan</w:t>
      </w:r>
      <w:proofErr w:type="spellEnd"/>
      <w:r w:rsidRPr="00CD4311">
        <w:rPr>
          <w:rFonts w:ascii="Times New Roman" w:hAnsi="Times New Roman" w:cs="Times New Roman"/>
          <w:lang w:val="de-DE"/>
        </w:rPr>
        <w:t xml:space="preserve"> ASV </w:t>
      </w:r>
      <w:proofErr w:type="spellStart"/>
      <w:r w:rsidRPr="00CD4311">
        <w:rPr>
          <w:rFonts w:ascii="Times New Roman" w:hAnsi="Times New Roman" w:cs="Times New Roman"/>
          <w:i/>
          <w:lang w:val="de-DE"/>
        </w:rPr>
        <w:t>notaries</w:t>
      </w:r>
      <w:proofErr w:type="spellEnd"/>
      <w:r w:rsidRPr="00CD4311">
        <w:rPr>
          <w:rFonts w:ascii="Times New Roman" w:hAnsi="Times New Roman" w:cs="Times New Roman"/>
          <w:i/>
          <w:lang w:val="de-DE"/>
        </w:rPr>
        <w:t xml:space="preserve"> </w:t>
      </w:r>
      <w:proofErr w:type="spellStart"/>
      <w:r w:rsidRPr="00CD4311">
        <w:rPr>
          <w:rFonts w:ascii="Times New Roman" w:hAnsi="Times New Roman" w:cs="Times New Roman"/>
          <w:i/>
          <w:lang w:val="de-DE"/>
        </w:rPr>
        <w:t>public</w:t>
      </w:r>
      <w:proofErr w:type="spellEnd"/>
      <w:r w:rsidRPr="00CD4311">
        <w:rPr>
          <w:rFonts w:ascii="Times New Roman" w:hAnsi="Times New Roman" w:cs="Times New Roman"/>
          <w:lang w:val="de-DE"/>
        </w:rPr>
        <w:t xml:space="preserve"> </w:t>
      </w:r>
      <w:proofErr w:type="spellStart"/>
      <w:r w:rsidRPr="00CD4311">
        <w:rPr>
          <w:rFonts w:ascii="Times New Roman" w:hAnsi="Times New Roman" w:cs="Times New Roman"/>
          <w:lang w:val="de-DE"/>
        </w:rPr>
        <w:t>nosaukumā</w:t>
      </w:r>
      <w:proofErr w:type="spellEnd"/>
      <w:r w:rsidRPr="00CD4311">
        <w:rPr>
          <w:rFonts w:ascii="Times New Roman" w:hAnsi="Times New Roman" w:cs="Times New Roman"/>
          <w:lang w:val="de-DE"/>
        </w:rPr>
        <w:t xml:space="preserve"> </w:t>
      </w:r>
      <w:proofErr w:type="spellStart"/>
      <w:r w:rsidRPr="00CD4311">
        <w:rPr>
          <w:rFonts w:ascii="Times New Roman" w:hAnsi="Times New Roman" w:cs="Times New Roman"/>
          <w:lang w:val="de-DE"/>
        </w:rPr>
        <w:t>ir</w:t>
      </w:r>
      <w:proofErr w:type="spellEnd"/>
      <w:r w:rsidRPr="00CD4311">
        <w:rPr>
          <w:rFonts w:ascii="Times New Roman" w:hAnsi="Times New Roman" w:cs="Times New Roman"/>
          <w:lang w:val="de-DE"/>
        </w:rPr>
        <w:t xml:space="preserve"> </w:t>
      </w:r>
      <w:proofErr w:type="spellStart"/>
      <w:r w:rsidRPr="00CD4311">
        <w:rPr>
          <w:rFonts w:ascii="Times New Roman" w:hAnsi="Times New Roman" w:cs="Times New Roman"/>
          <w:lang w:val="de-DE"/>
        </w:rPr>
        <w:t>vārds</w:t>
      </w:r>
      <w:proofErr w:type="spellEnd"/>
      <w:r w:rsidRPr="00CD4311">
        <w:rPr>
          <w:rFonts w:ascii="Times New Roman" w:hAnsi="Times New Roman" w:cs="Times New Roman"/>
          <w:lang w:val="de-DE"/>
        </w:rPr>
        <w:t xml:space="preserve"> „</w:t>
      </w:r>
      <w:proofErr w:type="spellStart"/>
      <w:r w:rsidRPr="00CD4311">
        <w:rPr>
          <w:rFonts w:ascii="Times New Roman" w:hAnsi="Times New Roman" w:cs="Times New Roman"/>
          <w:i/>
          <w:lang w:val="de-DE"/>
        </w:rPr>
        <w:t>notary</w:t>
      </w:r>
      <w:proofErr w:type="spellEnd"/>
      <w:r w:rsidRPr="00CD4311">
        <w:rPr>
          <w:rFonts w:ascii="Times New Roman" w:hAnsi="Times New Roman" w:cs="Times New Roman"/>
          <w:lang w:val="de-DE"/>
        </w:rPr>
        <w:t>“ (</w:t>
      </w:r>
      <w:proofErr w:type="spellStart"/>
      <w:r w:rsidRPr="00CD4311">
        <w:rPr>
          <w:rFonts w:ascii="Times New Roman" w:hAnsi="Times New Roman" w:cs="Times New Roman"/>
          <w:lang w:val="de-DE"/>
        </w:rPr>
        <w:t>kas</w:t>
      </w:r>
      <w:proofErr w:type="spellEnd"/>
      <w:r w:rsidRPr="00CD4311">
        <w:rPr>
          <w:rFonts w:ascii="Times New Roman" w:hAnsi="Times New Roman" w:cs="Times New Roman"/>
          <w:lang w:val="de-DE"/>
        </w:rPr>
        <w:t xml:space="preserve"> </w:t>
      </w:r>
      <w:proofErr w:type="spellStart"/>
      <w:r w:rsidRPr="00CD4311">
        <w:rPr>
          <w:rFonts w:ascii="Times New Roman" w:hAnsi="Times New Roman" w:cs="Times New Roman"/>
          <w:lang w:val="de-DE"/>
        </w:rPr>
        <w:t>it</w:t>
      </w:r>
      <w:proofErr w:type="spellEnd"/>
      <w:r w:rsidRPr="00CD4311">
        <w:rPr>
          <w:rFonts w:ascii="Times New Roman" w:hAnsi="Times New Roman" w:cs="Times New Roman"/>
          <w:lang w:val="de-DE"/>
        </w:rPr>
        <w:t xml:space="preserve"> </w:t>
      </w:r>
      <w:proofErr w:type="spellStart"/>
      <w:r w:rsidRPr="00CD4311">
        <w:rPr>
          <w:rFonts w:ascii="Times New Roman" w:hAnsi="Times New Roman" w:cs="Times New Roman"/>
          <w:lang w:val="de-DE"/>
        </w:rPr>
        <w:t>kā</w:t>
      </w:r>
      <w:proofErr w:type="spellEnd"/>
      <w:r w:rsidRPr="00CD4311">
        <w:rPr>
          <w:rFonts w:ascii="Times New Roman" w:hAnsi="Times New Roman" w:cs="Times New Roman"/>
          <w:lang w:val="de-DE"/>
        </w:rPr>
        <w:t xml:space="preserve"> </w:t>
      </w:r>
      <w:proofErr w:type="spellStart"/>
      <w:r w:rsidRPr="00CD4311">
        <w:rPr>
          <w:rFonts w:ascii="Times New Roman" w:hAnsi="Times New Roman" w:cs="Times New Roman"/>
          <w:lang w:val="de-DE"/>
        </w:rPr>
        <w:t>pirmšķietami</w:t>
      </w:r>
      <w:proofErr w:type="spellEnd"/>
      <w:r w:rsidRPr="00CD4311">
        <w:rPr>
          <w:rFonts w:ascii="Times New Roman" w:hAnsi="Times New Roman" w:cs="Times New Roman"/>
          <w:lang w:val="de-DE"/>
        </w:rPr>
        <w:t xml:space="preserve"> </w:t>
      </w:r>
      <w:proofErr w:type="spellStart"/>
      <w:r w:rsidRPr="00CD4311">
        <w:rPr>
          <w:rFonts w:ascii="Times New Roman" w:hAnsi="Times New Roman" w:cs="Times New Roman"/>
          <w:lang w:val="de-DE"/>
        </w:rPr>
        <w:t>norāda</w:t>
      </w:r>
      <w:proofErr w:type="spellEnd"/>
      <w:r w:rsidRPr="00CD4311">
        <w:rPr>
          <w:rFonts w:ascii="Times New Roman" w:hAnsi="Times New Roman" w:cs="Times New Roman"/>
          <w:lang w:val="de-DE"/>
        </w:rPr>
        <w:t xml:space="preserve"> </w:t>
      </w:r>
      <w:proofErr w:type="spellStart"/>
      <w:r w:rsidRPr="00CD4311">
        <w:rPr>
          <w:rFonts w:ascii="Times New Roman" w:hAnsi="Times New Roman" w:cs="Times New Roman"/>
          <w:lang w:val="de-DE"/>
        </w:rPr>
        <w:t>uz</w:t>
      </w:r>
      <w:proofErr w:type="spellEnd"/>
      <w:r w:rsidRPr="00CD4311">
        <w:rPr>
          <w:rFonts w:ascii="Times New Roman" w:hAnsi="Times New Roman" w:cs="Times New Roman"/>
          <w:lang w:val="de-DE"/>
        </w:rPr>
        <w:t xml:space="preserve"> </w:t>
      </w:r>
      <w:proofErr w:type="spellStart"/>
      <w:r w:rsidRPr="00CD4311">
        <w:rPr>
          <w:rFonts w:ascii="Times New Roman" w:hAnsi="Times New Roman" w:cs="Times New Roman"/>
          <w:lang w:val="de-DE"/>
        </w:rPr>
        <w:t>notāra</w:t>
      </w:r>
      <w:proofErr w:type="spellEnd"/>
      <w:r w:rsidRPr="00CD4311">
        <w:rPr>
          <w:rFonts w:ascii="Times New Roman" w:hAnsi="Times New Roman" w:cs="Times New Roman"/>
          <w:lang w:val="de-DE"/>
        </w:rPr>
        <w:t xml:space="preserve"> </w:t>
      </w:r>
      <w:proofErr w:type="spellStart"/>
      <w:r w:rsidRPr="00CD4311">
        <w:rPr>
          <w:rFonts w:ascii="Times New Roman" w:hAnsi="Times New Roman" w:cs="Times New Roman"/>
          <w:lang w:val="de-DE"/>
        </w:rPr>
        <w:t>funkcijām</w:t>
      </w:r>
      <w:proofErr w:type="spellEnd"/>
      <w:r w:rsidRPr="00CD4311">
        <w:rPr>
          <w:rFonts w:ascii="Times New Roman" w:hAnsi="Times New Roman" w:cs="Times New Roman"/>
          <w:lang w:val="de-DE"/>
        </w:rPr>
        <w:t xml:space="preserve">), </w:t>
      </w:r>
      <w:proofErr w:type="spellStart"/>
      <w:r w:rsidRPr="00CD4311">
        <w:rPr>
          <w:rFonts w:ascii="Times New Roman" w:hAnsi="Times New Roman" w:cs="Times New Roman"/>
          <w:lang w:val="de-DE"/>
        </w:rPr>
        <w:t>taču</w:t>
      </w:r>
      <w:proofErr w:type="spellEnd"/>
      <w:r w:rsidRPr="00CD4311">
        <w:rPr>
          <w:rFonts w:ascii="Times New Roman" w:hAnsi="Times New Roman" w:cs="Times New Roman"/>
          <w:lang w:val="de-DE"/>
        </w:rPr>
        <w:t xml:space="preserve"> </w:t>
      </w:r>
      <w:proofErr w:type="spellStart"/>
      <w:r w:rsidRPr="00CD4311">
        <w:rPr>
          <w:rFonts w:ascii="Times New Roman" w:hAnsi="Times New Roman" w:cs="Times New Roman"/>
          <w:lang w:val="de-DE"/>
        </w:rPr>
        <w:t>šie</w:t>
      </w:r>
      <w:proofErr w:type="spellEnd"/>
      <w:r w:rsidRPr="00CD4311">
        <w:rPr>
          <w:rFonts w:ascii="Times New Roman" w:hAnsi="Times New Roman" w:cs="Times New Roman"/>
          <w:lang w:val="de-DE"/>
        </w:rPr>
        <w:t xml:space="preserve"> </w:t>
      </w:r>
      <w:proofErr w:type="spellStart"/>
      <w:r w:rsidRPr="00CD4311">
        <w:rPr>
          <w:rFonts w:ascii="Times New Roman" w:hAnsi="Times New Roman" w:cs="Times New Roman"/>
          <w:i/>
          <w:lang w:val="de-DE"/>
        </w:rPr>
        <w:t>notaries</w:t>
      </w:r>
      <w:proofErr w:type="spellEnd"/>
      <w:r w:rsidRPr="00CD4311">
        <w:rPr>
          <w:rFonts w:ascii="Times New Roman" w:hAnsi="Times New Roman" w:cs="Times New Roman"/>
          <w:i/>
          <w:lang w:val="de-DE"/>
        </w:rPr>
        <w:t xml:space="preserve"> </w:t>
      </w:r>
      <w:proofErr w:type="spellStart"/>
      <w:r w:rsidRPr="00CD4311">
        <w:rPr>
          <w:rFonts w:ascii="Times New Roman" w:hAnsi="Times New Roman" w:cs="Times New Roman"/>
          <w:i/>
          <w:lang w:val="de-DE"/>
        </w:rPr>
        <w:t>public</w:t>
      </w:r>
      <w:proofErr w:type="spellEnd"/>
      <w:r w:rsidRPr="00CD4311">
        <w:rPr>
          <w:rFonts w:ascii="Times New Roman" w:hAnsi="Times New Roman" w:cs="Times New Roman"/>
          <w:i/>
          <w:lang w:val="de-DE"/>
        </w:rPr>
        <w:t xml:space="preserve"> </w:t>
      </w:r>
      <w:proofErr w:type="spellStart"/>
      <w:r w:rsidRPr="00CD4311">
        <w:rPr>
          <w:rFonts w:ascii="Times New Roman" w:hAnsi="Times New Roman" w:cs="Times New Roman"/>
          <w:lang w:val="de-DE"/>
        </w:rPr>
        <w:t>pēc</w:t>
      </w:r>
      <w:proofErr w:type="spellEnd"/>
      <w:r w:rsidRPr="00CD4311">
        <w:rPr>
          <w:rFonts w:ascii="Times New Roman" w:hAnsi="Times New Roman" w:cs="Times New Roman"/>
          <w:lang w:val="de-DE"/>
        </w:rPr>
        <w:t xml:space="preserve"> </w:t>
      </w:r>
      <w:proofErr w:type="spellStart"/>
      <w:r w:rsidRPr="00CD4311">
        <w:rPr>
          <w:rFonts w:ascii="Times New Roman" w:hAnsi="Times New Roman" w:cs="Times New Roman"/>
          <w:lang w:val="de-DE"/>
        </w:rPr>
        <w:t>savām</w:t>
      </w:r>
      <w:proofErr w:type="spellEnd"/>
      <w:r w:rsidRPr="00CD4311">
        <w:rPr>
          <w:rFonts w:ascii="Times New Roman" w:hAnsi="Times New Roman" w:cs="Times New Roman"/>
          <w:lang w:val="de-DE"/>
        </w:rPr>
        <w:t xml:space="preserve"> </w:t>
      </w:r>
      <w:proofErr w:type="spellStart"/>
      <w:r w:rsidRPr="00CD4311">
        <w:rPr>
          <w:rFonts w:ascii="Times New Roman" w:hAnsi="Times New Roman" w:cs="Times New Roman"/>
          <w:lang w:val="de-DE"/>
        </w:rPr>
        <w:t>funkcijām</w:t>
      </w:r>
      <w:proofErr w:type="spellEnd"/>
      <w:r w:rsidRPr="00CD4311">
        <w:rPr>
          <w:rFonts w:ascii="Times New Roman" w:hAnsi="Times New Roman" w:cs="Times New Roman"/>
          <w:lang w:val="de-DE"/>
        </w:rPr>
        <w:t xml:space="preserve"> </w:t>
      </w:r>
      <w:proofErr w:type="spellStart"/>
      <w:r w:rsidRPr="00CD4311">
        <w:rPr>
          <w:rFonts w:ascii="Times New Roman" w:hAnsi="Times New Roman" w:cs="Times New Roman"/>
          <w:lang w:val="de-DE"/>
        </w:rPr>
        <w:t>un</w:t>
      </w:r>
      <w:proofErr w:type="spellEnd"/>
      <w:r w:rsidRPr="00CD4311">
        <w:rPr>
          <w:rFonts w:ascii="Times New Roman" w:hAnsi="Times New Roman" w:cs="Times New Roman"/>
          <w:lang w:val="de-DE"/>
        </w:rPr>
        <w:t xml:space="preserve"> </w:t>
      </w:r>
      <w:proofErr w:type="spellStart"/>
      <w:r w:rsidRPr="00CD4311">
        <w:rPr>
          <w:rFonts w:ascii="Times New Roman" w:hAnsi="Times New Roman" w:cs="Times New Roman"/>
          <w:lang w:val="de-DE"/>
        </w:rPr>
        <w:t>statusa</w:t>
      </w:r>
      <w:proofErr w:type="spellEnd"/>
      <w:r w:rsidRPr="00CD4311">
        <w:rPr>
          <w:rFonts w:ascii="Times New Roman" w:hAnsi="Times New Roman" w:cs="Times New Roman"/>
          <w:lang w:val="de-DE"/>
        </w:rPr>
        <w:t xml:space="preserve"> </w:t>
      </w:r>
      <w:proofErr w:type="spellStart"/>
      <w:r w:rsidRPr="00CD4311">
        <w:rPr>
          <w:rFonts w:ascii="Times New Roman" w:hAnsi="Times New Roman" w:cs="Times New Roman"/>
          <w:b/>
          <w:lang w:val="de-DE"/>
        </w:rPr>
        <w:t>nevar</w:t>
      </w:r>
      <w:proofErr w:type="spellEnd"/>
      <w:r w:rsidRPr="00CD4311">
        <w:rPr>
          <w:rFonts w:ascii="Times New Roman" w:hAnsi="Times New Roman" w:cs="Times New Roman"/>
          <w:lang w:val="de-DE"/>
        </w:rPr>
        <w:t xml:space="preserve"> </w:t>
      </w:r>
      <w:proofErr w:type="spellStart"/>
      <w:r w:rsidRPr="00CD4311">
        <w:rPr>
          <w:rFonts w:ascii="Times New Roman" w:hAnsi="Times New Roman" w:cs="Times New Roman"/>
          <w:lang w:val="de-DE"/>
        </w:rPr>
        <w:t>tikt</w:t>
      </w:r>
      <w:proofErr w:type="spellEnd"/>
      <w:r w:rsidRPr="00CD4311">
        <w:rPr>
          <w:rFonts w:ascii="Times New Roman" w:hAnsi="Times New Roman" w:cs="Times New Roman"/>
          <w:lang w:val="de-DE"/>
        </w:rPr>
        <w:t xml:space="preserve"> </w:t>
      </w:r>
      <w:proofErr w:type="spellStart"/>
      <w:r w:rsidRPr="00CD4311">
        <w:rPr>
          <w:rFonts w:ascii="Times New Roman" w:hAnsi="Times New Roman" w:cs="Times New Roman"/>
          <w:lang w:val="de-DE"/>
        </w:rPr>
        <w:t>pielīdzināti</w:t>
      </w:r>
      <w:proofErr w:type="spellEnd"/>
      <w:r w:rsidRPr="00CD4311">
        <w:rPr>
          <w:rFonts w:ascii="Times New Roman" w:hAnsi="Times New Roman" w:cs="Times New Roman"/>
          <w:lang w:val="de-DE"/>
        </w:rPr>
        <w:t xml:space="preserve"> Latvijas </w:t>
      </w:r>
      <w:proofErr w:type="spellStart"/>
      <w:r w:rsidRPr="00CD4311">
        <w:rPr>
          <w:rFonts w:ascii="Times New Roman" w:hAnsi="Times New Roman" w:cs="Times New Roman"/>
          <w:lang w:val="de-DE"/>
        </w:rPr>
        <w:t>zvērinātiem</w:t>
      </w:r>
      <w:proofErr w:type="spellEnd"/>
      <w:r w:rsidRPr="00CD4311">
        <w:rPr>
          <w:rFonts w:ascii="Times New Roman" w:hAnsi="Times New Roman" w:cs="Times New Roman"/>
          <w:lang w:val="de-DE"/>
        </w:rPr>
        <w:t xml:space="preserve"> </w:t>
      </w:r>
      <w:proofErr w:type="spellStart"/>
      <w:r w:rsidRPr="00CD4311">
        <w:rPr>
          <w:rFonts w:ascii="Times New Roman" w:hAnsi="Times New Roman" w:cs="Times New Roman"/>
          <w:lang w:val="de-DE"/>
        </w:rPr>
        <w:t>notāriem</w:t>
      </w:r>
      <w:proofErr w:type="spellEnd"/>
      <w:r w:rsidRPr="00CD4311">
        <w:rPr>
          <w:rFonts w:ascii="Times New Roman" w:hAnsi="Times New Roman" w:cs="Times New Roman"/>
          <w:lang w:val="de-DE"/>
        </w:rPr>
        <w:t xml:space="preserve">, </w:t>
      </w:r>
      <w:proofErr w:type="spellStart"/>
      <w:r w:rsidRPr="00CD4311">
        <w:rPr>
          <w:rFonts w:ascii="Times New Roman" w:hAnsi="Times New Roman" w:cs="Times New Roman"/>
          <w:lang w:val="de-DE"/>
        </w:rPr>
        <w:t>kuri</w:t>
      </w:r>
      <w:proofErr w:type="spellEnd"/>
      <w:r w:rsidRPr="00CD4311">
        <w:rPr>
          <w:rFonts w:ascii="Times New Roman" w:hAnsi="Times New Roman" w:cs="Times New Roman"/>
          <w:lang w:val="de-DE"/>
        </w:rPr>
        <w:t xml:space="preserve"> </w:t>
      </w:r>
      <w:proofErr w:type="spellStart"/>
      <w:r w:rsidRPr="00CD4311">
        <w:rPr>
          <w:rFonts w:ascii="Times New Roman" w:hAnsi="Times New Roman" w:cs="Times New Roman"/>
          <w:lang w:val="de-DE"/>
        </w:rPr>
        <w:t>ir</w:t>
      </w:r>
      <w:proofErr w:type="spellEnd"/>
      <w:r w:rsidRPr="00CD4311">
        <w:rPr>
          <w:rFonts w:ascii="Times New Roman" w:hAnsi="Times New Roman" w:cs="Times New Roman"/>
          <w:lang w:val="de-DE"/>
        </w:rPr>
        <w:t xml:space="preserve"> </w:t>
      </w:r>
      <w:proofErr w:type="spellStart"/>
      <w:r w:rsidRPr="00CD4311">
        <w:rPr>
          <w:rFonts w:ascii="Times New Roman" w:hAnsi="Times New Roman" w:cs="Times New Roman"/>
          <w:lang w:val="de-DE"/>
        </w:rPr>
        <w:t>Latīņu</w:t>
      </w:r>
      <w:proofErr w:type="spellEnd"/>
      <w:r w:rsidRPr="00CD4311">
        <w:rPr>
          <w:rFonts w:ascii="Times New Roman" w:hAnsi="Times New Roman" w:cs="Times New Roman"/>
          <w:lang w:val="de-DE"/>
        </w:rPr>
        <w:t xml:space="preserve"> </w:t>
      </w:r>
      <w:proofErr w:type="spellStart"/>
      <w:r w:rsidRPr="00CD4311">
        <w:rPr>
          <w:rFonts w:ascii="Times New Roman" w:hAnsi="Times New Roman" w:cs="Times New Roman"/>
          <w:lang w:val="de-DE"/>
        </w:rPr>
        <w:t>tipa</w:t>
      </w:r>
      <w:proofErr w:type="spellEnd"/>
      <w:r w:rsidRPr="00CD4311">
        <w:rPr>
          <w:rFonts w:ascii="Times New Roman" w:hAnsi="Times New Roman" w:cs="Times New Roman"/>
          <w:lang w:val="de-DE"/>
        </w:rPr>
        <w:t xml:space="preserve"> </w:t>
      </w:r>
      <w:proofErr w:type="spellStart"/>
      <w:r w:rsidRPr="00CD4311">
        <w:rPr>
          <w:rFonts w:ascii="Times New Roman" w:hAnsi="Times New Roman" w:cs="Times New Roman"/>
          <w:lang w:val="de-DE"/>
        </w:rPr>
        <w:t>notariāta</w:t>
      </w:r>
      <w:proofErr w:type="spellEnd"/>
      <w:r w:rsidRPr="00CD4311">
        <w:rPr>
          <w:rFonts w:ascii="Times New Roman" w:hAnsi="Times New Roman" w:cs="Times New Roman"/>
          <w:lang w:val="de-DE"/>
        </w:rPr>
        <w:t xml:space="preserve"> </w:t>
      </w:r>
      <w:proofErr w:type="spellStart"/>
      <w:r w:rsidRPr="00CD4311">
        <w:rPr>
          <w:rFonts w:ascii="Times New Roman" w:hAnsi="Times New Roman" w:cs="Times New Roman"/>
          <w:lang w:val="de-DE"/>
        </w:rPr>
        <w:t>notāri</w:t>
      </w:r>
      <w:proofErr w:type="spellEnd"/>
      <w:r w:rsidRPr="00CD4311">
        <w:rPr>
          <w:rFonts w:ascii="Times New Roman" w:hAnsi="Times New Roman" w:cs="Times New Roman"/>
          <w:lang w:val="de-DE"/>
        </w:rPr>
        <w:t xml:space="preserve"> </w:t>
      </w:r>
      <w:proofErr w:type="spellStart"/>
      <w:r w:rsidRPr="00CD4311">
        <w:rPr>
          <w:rFonts w:ascii="Times New Roman" w:hAnsi="Times New Roman" w:cs="Times New Roman"/>
          <w:lang w:val="de-DE"/>
        </w:rPr>
        <w:t>un</w:t>
      </w:r>
      <w:proofErr w:type="spellEnd"/>
      <w:r w:rsidRPr="00CD4311">
        <w:rPr>
          <w:rFonts w:ascii="Times New Roman" w:hAnsi="Times New Roman" w:cs="Times New Roman"/>
          <w:lang w:val="de-DE"/>
        </w:rPr>
        <w:t xml:space="preserve"> </w:t>
      </w:r>
      <w:proofErr w:type="spellStart"/>
      <w:r w:rsidRPr="00CD4311">
        <w:rPr>
          <w:rFonts w:ascii="Times New Roman" w:hAnsi="Times New Roman" w:cs="Times New Roman"/>
          <w:lang w:val="de-DE"/>
        </w:rPr>
        <w:t>kuriem</w:t>
      </w:r>
      <w:proofErr w:type="spellEnd"/>
      <w:r w:rsidRPr="00CD4311">
        <w:rPr>
          <w:rFonts w:ascii="Times New Roman" w:hAnsi="Times New Roman" w:cs="Times New Roman"/>
          <w:lang w:val="de-DE"/>
        </w:rPr>
        <w:t xml:space="preserve"> </w:t>
      </w:r>
      <w:proofErr w:type="spellStart"/>
      <w:r w:rsidRPr="00CD4311">
        <w:rPr>
          <w:rFonts w:ascii="Times New Roman" w:hAnsi="Times New Roman" w:cs="Times New Roman"/>
          <w:lang w:val="de-DE"/>
        </w:rPr>
        <w:t>ir</w:t>
      </w:r>
      <w:proofErr w:type="spellEnd"/>
      <w:r w:rsidRPr="00CD4311">
        <w:rPr>
          <w:rFonts w:ascii="Times New Roman" w:hAnsi="Times New Roman" w:cs="Times New Roman"/>
          <w:lang w:val="de-DE"/>
        </w:rPr>
        <w:t xml:space="preserve"> </w:t>
      </w:r>
      <w:proofErr w:type="spellStart"/>
      <w:r w:rsidRPr="00CD4311">
        <w:rPr>
          <w:rFonts w:ascii="Times New Roman" w:hAnsi="Times New Roman" w:cs="Times New Roman"/>
          <w:lang w:val="de-DE"/>
        </w:rPr>
        <w:t>obligāta</w:t>
      </w:r>
      <w:proofErr w:type="spellEnd"/>
      <w:r w:rsidRPr="00CD4311">
        <w:rPr>
          <w:rFonts w:ascii="Times New Roman" w:hAnsi="Times New Roman" w:cs="Times New Roman"/>
          <w:lang w:val="de-DE"/>
        </w:rPr>
        <w:t xml:space="preserve"> </w:t>
      </w:r>
      <w:proofErr w:type="spellStart"/>
      <w:r w:rsidRPr="00CD4311">
        <w:rPr>
          <w:rFonts w:ascii="Times New Roman" w:hAnsi="Times New Roman" w:cs="Times New Roman"/>
          <w:lang w:val="de-DE"/>
        </w:rPr>
        <w:t>augstākā</w:t>
      </w:r>
      <w:proofErr w:type="spellEnd"/>
      <w:r w:rsidRPr="00CD4311">
        <w:rPr>
          <w:rFonts w:ascii="Times New Roman" w:hAnsi="Times New Roman" w:cs="Times New Roman"/>
          <w:lang w:val="de-DE"/>
        </w:rPr>
        <w:t xml:space="preserve"> </w:t>
      </w:r>
      <w:proofErr w:type="spellStart"/>
      <w:r w:rsidRPr="00CD4311">
        <w:rPr>
          <w:rFonts w:ascii="Times New Roman" w:hAnsi="Times New Roman" w:cs="Times New Roman"/>
          <w:lang w:val="de-DE"/>
        </w:rPr>
        <w:t>juridiskā</w:t>
      </w:r>
      <w:proofErr w:type="spellEnd"/>
      <w:r w:rsidRPr="00CD4311">
        <w:rPr>
          <w:rFonts w:ascii="Times New Roman" w:hAnsi="Times New Roman" w:cs="Times New Roman"/>
          <w:lang w:val="de-DE"/>
        </w:rPr>
        <w:t xml:space="preserve"> </w:t>
      </w:r>
      <w:proofErr w:type="spellStart"/>
      <w:r w:rsidRPr="00CD4311">
        <w:rPr>
          <w:rFonts w:ascii="Times New Roman" w:hAnsi="Times New Roman" w:cs="Times New Roman"/>
          <w:lang w:val="de-DE"/>
        </w:rPr>
        <w:t>izg</w:t>
      </w:r>
      <w:r w:rsidR="00ED3A4D">
        <w:rPr>
          <w:rFonts w:ascii="Times New Roman" w:hAnsi="Times New Roman" w:cs="Times New Roman"/>
          <w:lang w:val="de-DE"/>
        </w:rPr>
        <w:t>lītība</w:t>
      </w:r>
      <w:proofErr w:type="spellEnd"/>
      <w:r w:rsidR="00ED3A4D">
        <w:rPr>
          <w:rFonts w:ascii="Times New Roman" w:hAnsi="Times New Roman" w:cs="Times New Roman"/>
          <w:lang w:val="de-DE"/>
        </w:rPr>
        <w:t xml:space="preserve"> (</w:t>
      </w:r>
      <w:proofErr w:type="spellStart"/>
      <w:r w:rsidR="00ED3A4D">
        <w:rPr>
          <w:rFonts w:ascii="Times New Roman" w:hAnsi="Times New Roman" w:cs="Times New Roman"/>
          <w:lang w:val="de-DE"/>
        </w:rPr>
        <w:t>Notariāta</w:t>
      </w:r>
      <w:proofErr w:type="spellEnd"/>
      <w:r w:rsidR="00ED3A4D">
        <w:rPr>
          <w:rFonts w:ascii="Times New Roman" w:hAnsi="Times New Roman" w:cs="Times New Roman"/>
          <w:lang w:val="de-DE"/>
        </w:rPr>
        <w:t xml:space="preserve"> </w:t>
      </w:r>
      <w:proofErr w:type="spellStart"/>
      <w:r w:rsidR="00ED3A4D">
        <w:rPr>
          <w:rFonts w:ascii="Times New Roman" w:hAnsi="Times New Roman" w:cs="Times New Roman"/>
          <w:lang w:val="de-DE"/>
        </w:rPr>
        <w:t>likuma</w:t>
      </w:r>
      <w:proofErr w:type="spellEnd"/>
      <w:r w:rsidR="00ED3A4D">
        <w:rPr>
          <w:rFonts w:ascii="Times New Roman" w:hAnsi="Times New Roman" w:cs="Times New Roman"/>
          <w:lang w:val="de-DE"/>
        </w:rPr>
        <w:t xml:space="preserve"> 9.p.</w:t>
      </w:r>
      <w:r w:rsidRPr="00CD4311">
        <w:rPr>
          <w:rFonts w:ascii="Times New Roman" w:hAnsi="Times New Roman" w:cs="Times New Roman"/>
          <w:lang w:val="de-DE"/>
        </w:rPr>
        <w:t xml:space="preserve">), </w:t>
      </w:r>
      <w:proofErr w:type="spellStart"/>
      <w:r w:rsidRPr="00CD4311">
        <w:rPr>
          <w:rFonts w:ascii="Times New Roman" w:hAnsi="Times New Roman" w:cs="Times New Roman"/>
          <w:lang w:val="de-DE"/>
        </w:rPr>
        <w:t>un</w:t>
      </w:r>
      <w:proofErr w:type="spellEnd"/>
      <w:r w:rsidRPr="00CD4311">
        <w:rPr>
          <w:rFonts w:ascii="Times New Roman" w:hAnsi="Times New Roman" w:cs="Times New Roman"/>
          <w:lang w:val="de-DE"/>
        </w:rPr>
        <w:t xml:space="preserve"> </w:t>
      </w:r>
      <w:proofErr w:type="spellStart"/>
      <w:r w:rsidRPr="00CD4311">
        <w:rPr>
          <w:rFonts w:ascii="Times New Roman" w:hAnsi="Times New Roman" w:cs="Times New Roman"/>
          <w:lang w:val="de-DE"/>
        </w:rPr>
        <w:t>kuriem</w:t>
      </w:r>
      <w:proofErr w:type="spellEnd"/>
      <w:r w:rsidRPr="00CD4311">
        <w:rPr>
          <w:rFonts w:ascii="Times New Roman" w:hAnsi="Times New Roman" w:cs="Times New Roman"/>
          <w:lang w:val="de-DE"/>
        </w:rPr>
        <w:t xml:space="preserve"> </w:t>
      </w:r>
      <w:proofErr w:type="spellStart"/>
      <w:r w:rsidRPr="00CD4311">
        <w:rPr>
          <w:rFonts w:ascii="Times New Roman" w:hAnsi="Times New Roman" w:cs="Times New Roman"/>
          <w:lang w:val="de-DE"/>
        </w:rPr>
        <w:t>ir</w:t>
      </w:r>
      <w:proofErr w:type="spellEnd"/>
      <w:r w:rsidRPr="00CD4311">
        <w:rPr>
          <w:rFonts w:ascii="Times New Roman" w:hAnsi="Times New Roman" w:cs="Times New Roman"/>
          <w:lang w:val="de-DE"/>
        </w:rPr>
        <w:t xml:space="preserve"> Latvijas </w:t>
      </w:r>
      <w:proofErr w:type="spellStart"/>
      <w:r w:rsidRPr="00CD4311">
        <w:rPr>
          <w:rFonts w:ascii="Times New Roman" w:hAnsi="Times New Roman" w:cs="Times New Roman"/>
          <w:lang w:val="de-DE"/>
        </w:rPr>
        <w:t>normatīvajos</w:t>
      </w:r>
      <w:proofErr w:type="spellEnd"/>
      <w:r w:rsidRPr="00CD4311">
        <w:rPr>
          <w:rFonts w:ascii="Times New Roman" w:hAnsi="Times New Roman" w:cs="Times New Roman"/>
          <w:lang w:val="de-DE"/>
        </w:rPr>
        <w:t xml:space="preserve"> </w:t>
      </w:r>
      <w:proofErr w:type="spellStart"/>
      <w:r w:rsidRPr="00CD4311">
        <w:rPr>
          <w:rFonts w:ascii="Times New Roman" w:hAnsi="Times New Roman" w:cs="Times New Roman"/>
          <w:lang w:val="de-DE"/>
        </w:rPr>
        <w:t>tiesību</w:t>
      </w:r>
      <w:proofErr w:type="spellEnd"/>
      <w:r w:rsidRPr="00CD4311">
        <w:rPr>
          <w:rFonts w:ascii="Times New Roman" w:hAnsi="Times New Roman" w:cs="Times New Roman"/>
          <w:lang w:val="de-DE"/>
        </w:rPr>
        <w:t xml:space="preserve"> </w:t>
      </w:r>
      <w:proofErr w:type="spellStart"/>
      <w:r w:rsidRPr="00CD4311">
        <w:rPr>
          <w:rFonts w:ascii="Times New Roman" w:hAnsi="Times New Roman" w:cs="Times New Roman"/>
          <w:lang w:val="de-DE"/>
        </w:rPr>
        <w:t>aktos</w:t>
      </w:r>
      <w:proofErr w:type="spellEnd"/>
      <w:r w:rsidRPr="00CD4311">
        <w:rPr>
          <w:rFonts w:ascii="Times New Roman" w:hAnsi="Times New Roman" w:cs="Times New Roman"/>
          <w:lang w:val="de-DE"/>
        </w:rPr>
        <w:t xml:space="preserve"> </w:t>
      </w:r>
      <w:proofErr w:type="spellStart"/>
      <w:r w:rsidRPr="00CD4311">
        <w:rPr>
          <w:rFonts w:ascii="Times New Roman" w:hAnsi="Times New Roman" w:cs="Times New Roman"/>
          <w:lang w:val="de-DE"/>
        </w:rPr>
        <w:t>noteikta</w:t>
      </w:r>
      <w:proofErr w:type="spellEnd"/>
      <w:r w:rsidRPr="00CD4311">
        <w:rPr>
          <w:rFonts w:ascii="Times New Roman" w:hAnsi="Times New Roman" w:cs="Times New Roman"/>
          <w:lang w:val="de-DE"/>
        </w:rPr>
        <w:t xml:space="preserve"> </w:t>
      </w:r>
      <w:proofErr w:type="spellStart"/>
      <w:r w:rsidRPr="00CD4311">
        <w:rPr>
          <w:rFonts w:ascii="Times New Roman" w:hAnsi="Times New Roman" w:cs="Times New Roman"/>
          <w:lang w:val="de-DE"/>
        </w:rPr>
        <w:t>juridiskā</w:t>
      </w:r>
      <w:proofErr w:type="spellEnd"/>
      <w:r w:rsidRPr="00CD4311">
        <w:rPr>
          <w:rFonts w:ascii="Times New Roman" w:hAnsi="Times New Roman" w:cs="Times New Roman"/>
          <w:lang w:val="de-DE"/>
        </w:rPr>
        <w:t xml:space="preserve"> </w:t>
      </w:r>
      <w:proofErr w:type="spellStart"/>
      <w:r w:rsidRPr="00CD4311">
        <w:rPr>
          <w:rFonts w:ascii="Times New Roman" w:hAnsi="Times New Roman" w:cs="Times New Roman"/>
          <w:lang w:val="de-DE"/>
        </w:rPr>
        <w:t>atbildība</w:t>
      </w:r>
      <w:proofErr w:type="spellEnd"/>
      <w:r w:rsidRPr="00CD4311">
        <w:rPr>
          <w:rFonts w:ascii="Times New Roman" w:hAnsi="Times New Roman" w:cs="Times New Roman"/>
          <w:lang w:val="de-DE"/>
        </w:rPr>
        <w:t xml:space="preserve"> (</w:t>
      </w:r>
      <w:proofErr w:type="spellStart"/>
      <w:r w:rsidRPr="00CD4311">
        <w:rPr>
          <w:rFonts w:ascii="Times New Roman" w:hAnsi="Times New Roman" w:cs="Times New Roman"/>
          <w:lang w:val="de-DE"/>
        </w:rPr>
        <w:t>Notariāta</w:t>
      </w:r>
      <w:proofErr w:type="spellEnd"/>
      <w:r w:rsidRPr="00CD4311">
        <w:rPr>
          <w:rFonts w:ascii="Times New Roman" w:hAnsi="Times New Roman" w:cs="Times New Roman"/>
          <w:lang w:val="de-DE"/>
        </w:rPr>
        <w:t xml:space="preserve"> </w:t>
      </w:r>
      <w:proofErr w:type="spellStart"/>
      <w:r w:rsidRPr="00CD4311">
        <w:rPr>
          <w:rFonts w:ascii="Times New Roman" w:hAnsi="Times New Roman" w:cs="Times New Roman"/>
          <w:lang w:val="de-DE"/>
        </w:rPr>
        <w:t>l</w:t>
      </w:r>
      <w:r w:rsidR="00ED3A4D">
        <w:rPr>
          <w:rFonts w:ascii="Times New Roman" w:hAnsi="Times New Roman" w:cs="Times New Roman"/>
          <w:lang w:val="de-DE"/>
        </w:rPr>
        <w:t>ikuma</w:t>
      </w:r>
      <w:proofErr w:type="spellEnd"/>
      <w:r w:rsidR="00ED3A4D">
        <w:rPr>
          <w:rFonts w:ascii="Times New Roman" w:hAnsi="Times New Roman" w:cs="Times New Roman"/>
          <w:lang w:val="de-DE"/>
        </w:rPr>
        <w:t xml:space="preserve"> 179.p.</w:t>
      </w:r>
      <w:r w:rsidRPr="00CD4311">
        <w:rPr>
          <w:rFonts w:ascii="Times New Roman" w:hAnsi="Times New Roman" w:cs="Times New Roman"/>
          <w:lang w:val="de-DE"/>
        </w:rPr>
        <w:t xml:space="preserve">). </w:t>
      </w:r>
      <w:proofErr w:type="spellStart"/>
      <w:r w:rsidRPr="00CD4311">
        <w:rPr>
          <w:rFonts w:ascii="Times New Roman" w:hAnsi="Times New Roman" w:cs="Times New Roman"/>
          <w:lang w:val="de-DE"/>
        </w:rPr>
        <w:t>Izņēmums</w:t>
      </w:r>
      <w:proofErr w:type="spellEnd"/>
      <w:r w:rsidRPr="00CD4311">
        <w:rPr>
          <w:rFonts w:ascii="Times New Roman" w:hAnsi="Times New Roman" w:cs="Times New Roman"/>
          <w:lang w:val="de-DE"/>
        </w:rPr>
        <w:t xml:space="preserve"> </w:t>
      </w:r>
      <w:proofErr w:type="spellStart"/>
      <w:r w:rsidRPr="00CD4311">
        <w:rPr>
          <w:rFonts w:ascii="Times New Roman" w:hAnsi="Times New Roman" w:cs="Times New Roman"/>
          <w:lang w:val="de-DE"/>
        </w:rPr>
        <w:t>ir</w:t>
      </w:r>
      <w:proofErr w:type="spellEnd"/>
      <w:r w:rsidRPr="00CD4311">
        <w:rPr>
          <w:rFonts w:ascii="Times New Roman" w:hAnsi="Times New Roman" w:cs="Times New Roman"/>
          <w:lang w:val="de-DE"/>
        </w:rPr>
        <w:t xml:space="preserve"> ASV </w:t>
      </w:r>
      <w:proofErr w:type="spellStart"/>
      <w:r w:rsidRPr="00CD4311">
        <w:rPr>
          <w:rFonts w:ascii="Times New Roman" w:hAnsi="Times New Roman" w:cs="Times New Roman"/>
          <w:lang w:val="de-DE"/>
        </w:rPr>
        <w:t>Luiziānas</w:t>
      </w:r>
      <w:proofErr w:type="spellEnd"/>
      <w:r w:rsidRPr="00CD4311">
        <w:rPr>
          <w:rFonts w:ascii="Times New Roman" w:hAnsi="Times New Roman" w:cs="Times New Roman"/>
          <w:lang w:val="de-DE"/>
        </w:rPr>
        <w:t xml:space="preserve"> </w:t>
      </w:r>
      <w:proofErr w:type="spellStart"/>
      <w:r w:rsidRPr="00CD4311">
        <w:rPr>
          <w:rFonts w:ascii="Times New Roman" w:hAnsi="Times New Roman" w:cs="Times New Roman"/>
          <w:lang w:val="de-DE"/>
        </w:rPr>
        <w:t>štata</w:t>
      </w:r>
      <w:proofErr w:type="spellEnd"/>
      <w:r w:rsidRPr="00CD4311">
        <w:rPr>
          <w:rFonts w:ascii="Times New Roman" w:hAnsi="Times New Roman" w:cs="Times New Roman"/>
          <w:lang w:val="de-DE"/>
        </w:rPr>
        <w:t xml:space="preserve"> </w:t>
      </w:r>
      <w:proofErr w:type="spellStart"/>
      <w:r w:rsidRPr="00CD4311">
        <w:rPr>
          <w:rFonts w:ascii="Times New Roman" w:hAnsi="Times New Roman" w:cs="Times New Roman"/>
          <w:i/>
          <w:lang w:val="de-DE"/>
        </w:rPr>
        <w:t>notaries</w:t>
      </w:r>
      <w:proofErr w:type="spellEnd"/>
      <w:r w:rsidRPr="00CD4311">
        <w:rPr>
          <w:rFonts w:ascii="Times New Roman" w:hAnsi="Times New Roman" w:cs="Times New Roman"/>
          <w:i/>
          <w:lang w:val="de-DE"/>
        </w:rPr>
        <w:t xml:space="preserve"> </w:t>
      </w:r>
      <w:proofErr w:type="spellStart"/>
      <w:r w:rsidRPr="00CD4311">
        <w:rPr>
          <w:rFonts w:ascii="Times New Roman" w:hAnsi="Times New Roman" w:cs="Times New Roman"/>
          <w:i/>
          <w:lang w:val="de-DE"/>
        </w:rPr>
        <w:t>public</w:t>
      </w:r>
      <w:proofErr w:type="spellEnd"/>
      <w:r w:rsidRPr="00CD4311">
        <w:rPr>
          <w:rFonts w:ascii="Times New Roman" w:hAnsi="Times New Roman" w:cs="Times New Roman"/>
          <w:lang w:val="de-DE"/>
        </w:rPr>
        <w:t>.</w:t>
      </w:r>
      <w:r w:rsidRPr="00CD4311">
        <w:rPr>
          <w:rStyle w:val="FootnoteReference"/>
          <w:rFonts w:ascii="Times New Roman" w:hAnsi="Times New Roman" w:cs="Times New Roman"/>
          <w:lang w:val="de-DE"/>
        </w:rPr>
        <w:footnoteReference w:id="166"/>
      </w:r>
      <w:r w:rsidRPr="00CD4311">
        <w:rPr>
          <w:rFonts w:ascii="Times New Roman" w:hAnsi="Times New Roman" w:cs="Times New Roman"/>
          <w:lang w:val="de-DE"/>
        </w:rPr>
        <w:t xml:space="preserve"> </w:t>
      </w:r>
      <w:proofErr w:type="spellStart"/>
      <w:r w:rsidRPr="00CD4311">
        <w:rPr>
          <w:rFonts w:ascii="Times New Roman" w:hAnsi="Times New Roman" w:cs="Times New Roman"/>
          <w:lang w:val="de-DE"/>
        </w:rPr>
        <w:t>Ārvalstu</w:t>
      </w:r>
      <w:proofErr w:type="spellEnd"/>
      <w:r w:rsidRPr="00CD4311">
        <w:rPr>
          <w:rFonts w:ascii="Times New Roman" w:hAnsi="Times New Roman" w:cs="Times New Roman"/>
          <w:lang w:val="de-DE"/>
        </w:rPr>
        <w:t xml:space="preserve"> </w:t>
      </w:r>
      <w:proofErr w:type="spellStart"/>
      <w:r w:rsidRPr="000C7C76">
        <w:rPr>
          <w:rFonts w:ascii="Times New Roman" w:hAnsi="Times New Roman" w:cs="Times New Roman"/>
          <w:lang w:val="de-DE"/>
        </w:rPr>
        <w:t>juridiskajā</w:t>
      </w:r>
      <w:proofErr w:type="spellEnd"/>
      <w:r w:rsidRPr="000C7C76">
        <w:rPr>
          <w:rFonts w:ascii="Times New Roman" w:hAnsi="Times New Roman" w:cs="Times New Roman"/>
          <w:lang w:val="de-DE"/>
        </w:rPr>
        <w:t xml:space="preserve"> </w:t>
      </w:r>
      <w:proofErr w:type="spellStart"/>
      <w:r w:rsidRPr="000C7C76">
        <w:rPr>
          <w:rFonts w:ascii="Times New Roman" w:hAnsi="Times New Roman" w:cs="Times New Roman"/>
          <w:lang w:val="de-DE"/>
        </w:rPr>
        <w:t>literatūrā</w:t>
      </w:r>
      <w:proofErr w:type="spellEnd"/>
      <w:r w:rsidRPr="000C7C76">
        <w:rPr>
          <w:rFonts w:ascii="Times New Roman" w:hAnsi="Times New Roman" w:cs="Times New Roman"/>
          <w:lang w:val="de-DE"/>
        </w:rPr>
        <w:t xml:space="preserve"> (</w:t>
      </w:r>
      <w:proofErr w:type="spellStart"/>
      <w:r w:rsidRPr="000C7C76">
        <w:rPr>
          <w:rFonts w:ascii="Times New Roman" w:hAnsi="Times New Roman" w:cs="Times New Roman"/>
          <w:lang w:val="de-DE"/>
        </w:rPr>
        <w:t>kas</w:t>
      </w:r>
      <w:proofErr w:type="spellEnd"/>
      <w:r w:rsidRPr="000C7C76">
        <w:rPr>
          <w:rFonts w:ascii="Times New Roman" w:hAnsi="Times New Roman" w:cs="Times New Roman"/>
          <w:lang w:val="de-DE"/>
        </w:rPr>
        <w:t xml:space="preserve"> </w:t>
      </w:r>
      <w:proofErr w:type="spellStart"/>
      <w:r w:rsidRPr="000C7C76">
        <w:rPr>
          <w:rFonts w:ascii="Times New Roman" w:hAnsi="Times New Roman" w:cs="Times New Roman"/>
          <w:lang w:val="de-DE"/>
        </w:rPr>
        <w:t>izdota</w:t>
      </w:r>
      <w:proofErr w:type="spellEnd"/>
      <w:r w:rsidRPr="000C7C76">
        <w:rPr>
          <w:rFonts w:ascii="Times New Roman" w:hAnsi="Times New Roman" w:cs="Times New Roman"/>
          <w:lang w:val="de-DE"/>
        </w:rPr>
        <w:t xml:space="preserve"> 1991.gadā) </w:t>
      </w:r>
      <w:proofErr w:type="spellStart"/>
      <w:r w:rsidRPr="000C7C76">
        <w:rPr>
          <w:rFonts w:ascii="Times New Roman" w:hAnsi="Times New Roman" w:cs="Times New Roman"/>
          <w:lang w:val="de-DE"/>
        </w:rPr>
        <w:t>pat</w:t>
      </w:r>
      <w:proofErr w:type="spellEnd"/>
      <w:r w:rsidRPr="000C7C76">
        <w:rPr>
          <w:rFonts w:ascii="Times New Roman" w:hAnsi="Times New Roman" w:cs="Times New Roman"/>
          <w:lang w:val="de-DE"/>
        </w:rPr>
        <w:t xml:space="preserve"> </w:t>
      </w:r>
      <w:proofErr w:type="spellStart"/>
      <w:r w:rsidRPr="000C7C76">
        <w:rPr>
          <w:rFonts w:ascii="Times New Roman" w:hAnsi="Times New Roman" w:cs="Times New Roman"/>
          <w:lang w:val="de-DE"/>
        </w:rPr>
        <w:t>ir</w:t>
      </w:r>
      <w:proofErr w:type="spellEnd"/>
      <w:r w:rsidRPr="000C7C76">
        <w:rPr>
          <w:rFonts w:ascii="Times New Roman" w:hAnsi="Times New Roman" w:cs="Times New Roman"/>
          <w:lang w:val="de-DE"/>
        </w:rPr>
        <w:t xml:space="preserve"> </w:t>
      </w:r>
      <w:proofErr w:type="spellStart"/>
      <w:r w:rsidRPr="000C7C76">
        <w:rPr>
          <w:rFonts w:ascii="Times New Roman" w:hAnsi="Times New Roman" w:cs="Times New Roman"/>
          <w:lang w:val="de-DE"/>
        </w:rPr>
        <w:t>norādīts</w:t>
      </w:r>
      <w:proofErr w:type="spellEnd"/>
      <w:r w:rsidRPr="000C7C76">
        <w:rPr>
          <w:rFonts w:ascii="Times New Roman" w:hAnsi="Times New Roman" w:cs="Times New Roman"/>
          <w:lang w:val="de-DE"/>
        </w:rPr>
        <w:t xml:space="preserve">, </w:t>
      </w:r>
      <w:proofErr w:type="spellStart"/>
      <w:r w:rsidRPr="000C7C76">
        <w:rPr>
          <w:rFonts w:ascii="Times New Roman" w:hAnsi="Times New Roman" w:cs="Times New Roman"/>
          <w:lang w:val="de-DE"/>
        </w:rPr>
        <w:t>ka</w:t>
      </w:r>
      <w:proofErr w:type="spellEnd"/>
      <w:r w:rsidRPr="000C7C76">
        <w:rPr>
          <w:rFonts w:ascii="Times New Roman" w:hAnsi="Times New Roman" w:cs="Times New Roman"/>
          <w:lang w:val="de-DE"/>
        </w:rPr>
        <w:t xml:space="preserve"> </w:t>
      </w:r>
      <w:proofErr w:type="spellStart"/>
      <w:r w:rsidRPr="000C7C76">
        <w:rPr>
          <w:rFonts w:ascii="Times New Roman" w:hAnsi="Times New Roman" w:cs="Times New Roman"/>
          <w:lang w:val="de-DE"/>
        </w:rPr>
        <w:t>dažos</w:t>
      </w:r>
      <w:proofErr w:type="spellEnd"/>
      <w:r w:rsidRPr="000C7C76">
        <w:rPr>
          <w:rFonts w:ascii="Times New Roman" w:hAnsi="Times New Roman" w:cs="Times New Roman"/>
          <w:lang w:val="de-DE"/>
        </w:rPr>
        <w:t xml:space="preserve"> ASV </w:t>
      </w:r>
      <w:proofErr w:type="spellStart"/>
      <w:r w:rsidRPr="000C7C76">
        <w:rPr>
          <w:rFonts w:ascii="Times New Roman" w:hAnsi="Times New Roman" w:cs="Times New Roman"/>
          <w:lang w:val="de-DE"/>
        </w:rPr>
        <w:t>lielveikalos</w:t>
      </w:r>
      <w:proofErr w:type="spellEnd"/>
      <w:r w:rsidRPr="000C7C76">
        <w:rPr>
          <w:rFonts w:ascii="Times New Roman" w:hAnsi="Times New Roman" w:cs="Times New Roman"/>
          <w:lang w:val="de-DE"/>
        </w:rPr>
        <w:t xml:space="preserve"> </w:t>
      </w:r>
      <w:proofErr w:type="spellStart"/>
      <w:r w:rsidRPr="000C7C76">
        <w:rPr>
          <w:rFonts w:ascii="Times New Roman" w:hAnsi="Times New Roman" w:cs="Times New Roman"/>
          <w:i/>
          <w:lang w:val="de-DE"/>
        </w:rPr>
        <w:t>notary</w:t>
      </w:r>
      <w:proofErr w:type="spellEnd"/>
      <w:r w:rsidRPr="000C7C76">
        <w:rPr>
          <w:rFonts w:ascii="Times New Roman" w:hAnsi="Times New Roman" w:cs="Times New Roman"/>
          <w:i/>
          <w:lang w:val="de-DE"/>
        </w:rPr>
        <w:t xml:space="preserve"> </w:t>
      </w:r>
      <w:proofErr w:type="spellStart"/>
      <w:r w:rsidRPr="000C7C76">
        <w:rPr>
          <w:rFonts w:ascii="Times New Roman" w:hAnsi="Times New Roman" w:cs="Times New Roman"/>
          <w:i/>
          <w:lang w:val="de-DE"/>
        </w:rPr>
        <w:t>public</w:t>
      </w:r>
      <w:proofErr w:type="spellEnd"/>
      <w:r w:rsidRPr="000C7C76">
        <w:rPr>
          <w:rFonts w:ascii="Times New Roman" w:hAnsi="Times New Roman" w:cs="Times New Roman"/>
          <w:lang w:val="de-DE"/>
        </w:rPr>
        <w:t xml:space="preserve"> </w:t>
      </w:r>
      <w:proofErr w:type="spellStart"/>
      <w:r w:rsidRPr="000C7C76">
        <w:rPr>
          <w:rFonts w:ascii="Times New Roman" w:hAnsi="Times New Roman" w:cs="Times New Roman"/>
          <w:lang w:val="de-DE"/>
        </w:rPr>
        <w:t>dažreiz</w:t>
      </w:r>
      <w:proofErr w:type="spellEnd"/>
      <w:r w:rsidRPr="000C7C76">
        <w:rPr>
          <w:rFonts w:ascii="Times New Roman" w:hAnsi="Times New Roman" w:cs="Times New Roman"/>
          <w:lang w:val="de-DE"/>
        </w:rPr>
        <w:t xml:space="preserve"> </w:t>
      </w:r>
      <w:proofErr w:type="spellStart"/>
      <w:r w:rsidRPr="000C7C76">
        <w:rPr>
          <w:rFonts w:ascii="Times New Roman" w:hAnsi="Times New Roman" w:cs="Times New Roman"/>
          <w:lang w:val="de-DE"/>
        </w:rPr>
        <w:t>ir</w:t>
      </w:r>
      <w:proofErr w:type="spellEnd"/>
      <w:r w:rsidRPr="000C7C76">
        <w:rPr>
          <w:rFonts w:ascii="Times New Roman" w:hAnsi="Times New Roman" w:cs="Times New Roman"/>
          <w:lang w:val="de-DE"/>
        </w:rPr>
        <w:t xml:space="preserve"> </w:t>
      </w:r>
      <w:proofErr w:type="spellStart"/>
      <w:r w:rsidRPr="000C7C76">
        <w:rPr>
          <w:rFonts w:ascii="Times New Roman" w:hAnsi="Times New Roman" w:cs="Times New Roman"/>
          <w:lang w:val="de-DE"/>
        </w:rPr>
        <w:t>aizstāts</w:t>
      </w:r>
      <w:proofErr w:type="spellEnd"/>
      <w:r w:rsidRPr="000C7C76">
        <w:rPr>
          <w:rFonts w:ascii="Times New Roman" w:hAnsi="Times New Roman" w:cs="Times New Roman"/>
          <w:lang w:val="de-DE"/>
        </w:rPr>
        <w:t xml:space="preserve"> </w:t>
      </w:r>
      <w:proofErr w:type="spellStart"/>
      <w:r w:rsidRPr="000C7C76">
        <w:rPr>
          <w:rFonts w:ascii="Times New Roman" w:hAnsi="Times New Roman" w:cs="Times New Roman"/>
          <w:lang w:val="de-DE"/>
        </w:rPr>
        <w:t>ar</w:t>
      </w:r>
      <w:proofErr w:type="spellEnd"/>
      <w:r w:rsidRPr="000C7C76">
        <w:rPr>
          <w:rFonts w:ascii="Times New Roman" w:hAnsi="Times New Roman" w:cs="Times New Roman"/>
          <w:lang w:val="de-DE"/>
        </w:rPr>
        <w:t xml:space="preserve"> </w:t>
      </w:r>
      <w:proofErr w:type="spellStart"/>
      <w:r w:rsidRPr="000C7C76">
        <w:rPr>
          <w:rFonts w:ascii="Times New Roman" w:hAnsi="Times New Roman" w:cs="Times New Roman"/>
          <w:lang w:val="de-DE"/>
        </w:rPr>
        <w:t>speciālu</w:t>
      </w:r>
      <w:proofErr w:type="spellEnd"/>
      <w:r w:rsidRPr="000C7C76">
        <w:rPr>
          <w:rFonts w:ascii="Times New Roman" w:hAnsi="Times New Roman" w:cs="Times New Roman"/>
          <w:lang w:val="de-DE"/>
        </w:rPr>
        <w:t xml:space="preserve"> </w:t>
      </w:r>
      <w:proofErr w:type="spellStart"/>
      <w:r w:rsidRPr="000C7C76">
        <w:rPr>
          <w:rFonts w:ascii="Times New Roman" w:hAnsi="Times New Roman" w:cs="Times New Roman"/>
          <w:lang w:val="de-DE"/>
        </w:rPr>
        <w:t>automātu</w:t>
      </w:r>
      <w:proofErr w:type="spellEnd"/>
      <w:r w:rsidRPr="000C7C76">
        <w:rPr>
          <w:rFonts w:ascii="Times New Roman" w:hAnsi="Times New Roman" w:cs="Times New Roman"/>
          <w:lang w:val="de-DE"/>
        </w:rPr>
        <w:t xml:space="preserve">, </w:t>
      </w:r>
      <w:proofErr w:type="spellStart"/>
      <w:r w:rsidRPr="000C7C76">
        <w:rPr>
          <w:rFonts w:ascii="Times New Roman" w:hAnsi="Times New Roman" w:cs="Times New Roman"/>
          <w:lang w:val="de-DE"/>
        </w:rPr>
        <w:t>kurā</w:t>
      </w:r>
      <w:proofErr w:type="spellEnd"/>
      <w:r w:rsidRPr="000C7C76">
        <w:rPr>
          <w:rFonts w:ascii="Times New Roman" w:hAnsi="Times New Roman" w:cs="Times New Roman"/>
          <w:lang w:val="de-DE"/>
        </w:rPr>
        <w:t xml:space="preserve"> </w:t>
      </w:r>
      <w:proofErr w:type="spellStart"/>
      <w:r w:rsidRPr="000C7C76">
        <w:rPr>
          <w:rFonts w:ascii="Times New Roman" w:hAnsi="Times New Roman" w:cs="Times New Roman"/>
          <w:lang w:val="de-DE"/>
        </w:rPr>
        <w:t>tiek</w:t>
      </w:r>
      <w:proofErr w:type="spellEnd"/>
      <w:r w:rsidRPr="000C7C76">
        <w:rPr>
          <w:rFonts w:ascii="Times New Roman" w:hAnsi="Times New Roman" w:cs="Times New Roman"/>
          <w:lang w:val="de-DE"/>
        </w:rPr>
        <w:t xml:space="preserve"> </w:t>
      </w:r>
      <w:proofErr w:type="spellStart"/>
      <w:r w:rsidRPr="000C7C76">
        <w:rPr>
          <w:rFonts w:ascii="Times New Roman" w:hAnsi="Times New Roman" w:cs="Times New Roman"/>
          <w:lang w:val="de-DE"/>
        </w:rPr>
        <w:t>ievadītas</w:t>
      </w:r>
      <w:proofErr w:type="spellEnd"/>
      <w:r w:rsidRPr="000C7C76">
        <w:rPr>
          <w:rFonts w:ascii="Times New Roman" w:hAnsi="Times New Roman" w:cs="Times New Roman"/>
          <w:lang w:val="de-DE"/>
        </w:rPr>
        <w:t xml:space="preserve"> </w:t>
      </w:r>
      <w:proofErr w:type="spellStart"/>
      <w:r w:rsidRPr="000C7C76">
        <w:rPr>
          <w:rFonts w:ascii="Times New Roman" w:hAnsi="Times New Roman" w:cs="Times New Roman"/>
          <w:lang w:val="de-DE"/>
        </w:rPr>
        <w:t>apliecināmā</w:t>
      </w:r>
      <w:proofErr w:type="spellEnd"/>
      <w:r w:rsidRPr="000C7C76">
        <w:rPr>
          <w:rFonts w:ascii="Times New Roman" w:hAnsi="Times New Roman" w:cs="Times New Roman"/>
          <w:lang w:val="de-DE"/>
        </w:rPr>
        <w:t xml:space="preserve"> </w:t>
      </w:r>
      <w:proofErr w:type="spellStart"/>
      <w:r w:rsidRPr="000C7C76">
        <w:rPr>
          <w:rFonts w:ascii="Times New Roman" w:hAnsi="Times New Roman" w:cs="Times New Roman"/>
          <w:lang w:val="de-DE"/>
        </w:rPr>
        <w:t>dokumenta</w:t>
      </w:r>
      <w:proofErr w:type="spellEnd"/>
      <w:r w:rsidRPr="000C7C76">
        <w:rPr>
          <w:rFonts w:ascii="Times New Roman" w:hAnsi="Times New Roman" w:cs="Times New Roman"/>
          <w:lang w:val="de-DE"/>
        </w:rPr>
        <w:t xml:space="preserve"> </w:t>
      </w:r>
      <w:proofErr w:type="spellStart"/>
      <w:r w:rsidRPr="000C7C76">
        <w:rPr>
          <w:rFonts w:ascii="Times New Roman" w:hAnsi="Times New Roman" w:cs="Times New Roman"/>
          <w:lang w:val="de-DE"/>
        </w:rPr>
        <w:t>lapas</w:t>
      </w:r>
      <w:proofErr w:type="spellEnd"/>
      <w:r w:rsidRPr="000C7C76">
        <w:rPr>
          <w:rFonts w:ascii="Times New Roman" w:hAnsi="Times New Roman" w:cs="Times New Roman"/>
          <w:lang w:val="de-DE"/>
        </w:rPr>
        <w:t xml:space="preserve">. </w:t>
      </w:r>
      <w:proofErr w:type="spellStart"/>
      <w:r w:rsidRPr="000C7C76">
        <w:rPr>
          <w:rFonts w:ascii="Times New Roman" w:hAnsi="Times New Roman" w:cs="Times New Roman"/>
          <w:lang w:val="de-DE"/>
        </w:rPr>
        <w:t>Šīs</w:t>
      </w:r>
      <w:proofErr w:type="spellEnd"/>
      <w:r w:rsidRPr="000C7C76">
        <w:rPr>
          <w:rFonts w:ascii="Times New Roman" w:hAnsi="Times New Roman" w:cs="Times New Roman"/>
          <w:lang w:val="de-DE"/>
        </w:rPr>
        <w:t xml:space="preserve"> </w:t>
      </w:r>
      <w:proofErr w:type="spellStart"/>
      <w:r w:rsidRPr="000C7C76">
        <w:rPr>
          <w:rFonts w:ascii="Times New Roman" w:hAnsi="Times New Roman" w:cs="Times New Roman"/>
          <w:lang w:val="de-DE"/>
        </w:rPr>
        <w:t>lapas</w:t>
      </w:r>
      <w:proofErr w:type="spellEnd"/>
      <w:r w:rsidRPr="000C7C76">
        <w:rPr>
          <w:rFonts w:ascii="Times New Roman" w:hAnsi="Times New Roman" w:cs="Times New Roman"/>
          <w:lang w:val="de-DE"/>
        </w:rPr>
        <w:t xml:space="preserve"> </w:t>
      </w:r>
      <w:proofErr w:type="spellStart"/>
      <w:r w:rsidRPr="000C7C76">
        <w:rPr>
          <w:rFonts w:ascii="Times New Roman" w:hAnsi="Times New Roman" w:cs="Times New Roman"/>
          <w:lang w:val="de-DE"/>
        </w:rPr>
        <w:t>no</w:t>
      </w:r>
      <w:proofErr w:type="spellEnd"/>
      <w:r w:rsidRPr="000C7C76">
        <w:rPr>
          <w:rFonts w:ascii="Times New Roman" w:hAnsi="Times New Roman" w:cs="Times New Roman"/>
          <w:lang w:val="de-DE"/>
        </w:rPr>
        <w:t xml:space="preserve"> </w:t>
      </w:r>
      <w:proofErr w:type="spellStart"/>
      <w:r w:rsidRPr="000C7C76">
        <w:rPr>
          <w:rFonts w:ascii="Times New Roman" w:hAnsi="Times New Roman" w:cs="Times New Roman"/>
          <w:lang w:val="de-DE"/>
        </w:rPr>
        <w:t>automāta</w:t>
      </w:r>
      <w:proofErr w:type="spellEnd"/>
      <w:r w:rsidRPr="000C7C76">
        <w:rPr>
          <w:rFonts w:ascii="Times New Roman" w:hAnsi="Times New Roman" w:cs="Times New Roman"/>
          <w:lang w:val="de-DE"/>
        </w:rPr>
        <w:t xml:space="preserve"> </w:t>
      </w:r>
      <w:proofErr w:type="spellStart"/>
      <w:r w:rsidRPr="000C7C76">
        <w:rPr>
          <w:rFonts w:ascii="Times New Roman" w:hAnsi="Times New Roman" w:cs="Times New Roman"/>
          <w:lang w:val="de-DE"/>
        </w:rPr>
        <w:t>iznāk</w:t>
      </w:r>
      <w:proofErr w:type="spellEnd"/>
      <w:r w:rsidRPr="000C7C76">
        <w:rPr>
          <w:rFonts w:ascii="Times New Roman" w:hAnsi="Times New Roman" w:cs="Times New Roman"/>
          <w:lang w:val="de-DE"/>
        </w:rPr>
        <w:t xml:space="preserve"> </w:t>
      </w:r>
      <w:proofErr w:type="spellStart"/>
      <w:r w:rsidRPr="000C7C76">
        <w:rPr>
          <w:rFonts w:ascii="Times New Roman" w:hAnsi="Times New Roman" w:cs="Times New Roman"/>
          <w:lang w:val="de-DE"/>
        </w:rPr>
        <w:t>ar</w:t>
      </w:r>
      <w:proofErr w:type="spellEnd"/>
      <w:r w:rsidRPr="000C7C76">
        <w:rPr>
          <w:rFonts w:ascii="Times New Roman" w:hAnsi="Times New Roman" w:cs="Times New Roman"/>
          <w:lang w:val="de-DE"/>
        </w:rPr>
        <w:t xml:space="preserve"> </w:t>
      </w:r>
      <w:proofErr w:type="spellStart"/>
      <w:r w:rsidRPr="000C7C76">
        <w:rPr>
          <w:rFonts w:ascii="Times New Roman" w:hAnsi="Times New Roman" w:cs="Times New Roman"/>
          <w:lang w:val="de-DE"/>
        </w:rPr>
        <w:t>uzlīmi</w:t>
      </w:r>
      <w:proofErr w:type="spellEnd"/>
      <w:r w:rsidRPr="000C7C76">
        <w:rPr>
          <w:rFonts w:ascii="Times New Roman" w:hAnsi="Times New Roman" w:cs="Times New Roman"/>
          <w:lang w:val="de-DE"/>
        </w:rPr>
        <w:t xml:space="preserve">, </w:t>
      </w:r>
      <w:proofErr w:type="spellStart"/>
      <w:r w:rsidRPr="000C7C76">
        <w:rPr>
          <w:rFonts w:ascii="Times New Roman" w:hAnsi="Times New Roman" w:cs="Times New Roman"/>
          <w:lang w:val="de-DE"/>
        </w:rPr>
        <w:t>uz</w:t>
      </w:r>
      <w:proofErr w:type="spellEnd"/>
      <w:r w:rsidRPr="000C7C76">
        <w:rPr>
          <w:rFonts w:ascii="Times New Roman" w:hAnsi="Times New Roman" w:cs="Times New Roman"/>
          <w:lang w:val="de-DE"/>
        </w:rPr>
        <w:t xml:space="preserve"> </w:t>
      </w:r>
      <w:proofErr w:type="spellStart"/>
      <w:r w:rsidRPr="000C7C76">
        <w:rPr>
          <w:rFonts w:ascii="Times New Roman" w:hAnsi="Times New Roman" w:cs="Times New Roman"/>
          <w:lang w:val="de-DE"/>
        </w:rPr>
        <w:t>kuras</w:t>
      </w:r>
      <w:proofErr w:type="spellEnd"/>
      <w:r w:rsidRPr="000C7C76">
        <w:rPr>
          <w:rFonts w:ascii="Times New Roman" w:hAnsi="Times New Roman" w:cs="Times New Roman"/>
          <w:lang w:val="de-DE"/>
        </w:rPr>
        <w:t xml:space="preserve"> </w:t>
      </w:r>
      <w:proofErr w:type="spellStart"/>
      <w:r w:rsidRPr="000C7C76">
        <w:rPr>
          <w:rFonts w:ascii="Times New Roman" w:hAnsi="Times New Roman" w:cs="Times New Roman"/>
          <w:lang w:val="de-DE"/>
        </w:rPr>
        <w:t>ir</w:t>
      </w:r>
      <w:proofErr w:type="spellEnd"/>
      <w:r w:rsidRPr="000C7C76">
        <w:rPr>
          <w:rFonts w:ascii="Times New Roman" w:hAnsi="Times New Roman" w:cs="Times New Roman"/>
          <w:lang w:val="de-DE"/>
        </w:rPr>
        <w:t xml:space="preserve"> </w:t>
      </w:r>
      <w:proofErr w:type="spellStart"/>
      <w:r w:rsidRPr="000C7C76">
        <w:rPr>
          <w:rFonts w:ascii="Times New Roman" w:hAnsi="Times New Roman" w:cs="Times New Roman"/>
          <w:lang w:val="de-DE"/>
        </w:rPr>
        <w:t>norāde</w:t>
      </w:r>
      <w:proofErr w:type="spellEnd"/>
      <w:r w:rsidRPr="000C7C76">
        <w:rPr>
          <w:rFonts w:ascii="Times New Roman" w:hAnsi="Times New Roman" w:cs="Times New Roman"/>
          <w:lang w:val="de-DE"/>
        </w:rPr>
        <w:t xml:space="preserve"> par </w:t>
      </w:r>
      <w:proofErr w:type="spellStart"/>
      <w:r w:rsidRPr="000C7C76">
        <w:rPr>
          <w:rFonts w:ascii="Times New Roman" w:hAnsi="Times New Roman" w:cs="Times New Roman"/>
          <w:i/>
          <w:lang w:val="de-DE"/>
        </w:rPr>
        <w:t>notary</w:t>
      </w:r>
      <w:proofErr w:type="spellEnd"/>
      <w:r w:rsidRPr="000C7C76">
        <w:rPr>
          <w:rFonts w:ascii="Times New Roman" w:hAnsi="Times New Roman" w:cs="Times New Roman"/>
          <w:i/>
          <w:lang w:val="de-DE"/>
        </w:rPr>
        <w:t xml:space="preserve"> </w:t>
      </w:r>
      <w:proofErr w:type="spellStart"/>
      <w:r w:rsidRPr="000C7C76">
        <w:rPr>
          <w:rFonts w:ascii="Times New Roman" w:hAnsi="Times New Roman" w:cs="Times New Roman"/>
          <w:i/>
          <w:lang w:val="de-DE"/>
        </w:rPr>
        <w:t>public</w:t>
      </w:r>
      <w:proofErr w:type="spellEnd"/>
      <w:r w:rsidRPr="000C7C76">
        <w:rPr>
          <w:rFonts w:ascii="Times New Roman" w:hAnsi="Times New Roman" w:cs="Times New Roman"/>
          <w:lang w:val="de-DE"/>
        </w:rPr>
        <w:t xml:space="preserve"> </w:t>
      </w:r>
      <w:proofErr w:type="spellStart"/>
      <w:r w:rsidRPr="000C7C76">
        <w:rPr>
          <w:rFonts w:ascii="Times New Roman" w:hAnsi="Times New Roman" w:cs="Times New Roman"/>
          <w:lang w:val="de-DE"/>
        </w:rPr>
        <w:t>atlīdzības</w:t>
      </w:r>
      <w:proofErr w:type="spellEnd"/>
      <w:r w:rsidRPr="000C7C76">
        <w:rPr>
          <w:rFonts w:ascii="Times New Roman" w:hAnsi="Times New Roman" w:cs="Times New Roman"/>
          <w:lang w:val="de-DE"/>
        </w:rPr>
        <w:t xml:space="preserve"> </w:t>
      </w:r>
      <w:proofErr w:type="spellStart"/>
      <w:r w:rsidRPr="000C7C76">
        <w:rPr>
          <w:rFonts w:ascii="Times New Roman" w:hAnsi="Times New Roman" w:cs="Times New Roman"/>
          <w:lang w:val="de-DE"/>
        </w:rPr>
        <w:t>apmēru</w:t>
      </w:r>
      <w:proofErr w:type="spellEnd"/>
      <w:r w:rsidRPr="000C7C76">
        <w:rPr>
          <w:rFonts w:ascii="Times New Roman" w:hAnsi="Times New Roman" w:cs="Times New Roman"/>
          <w:lang w:val="de-DE"/>
        </w:rPr>
        <w:t xml:space="preserve">, </w:t>
      </w:r>
      <w:proofErr w:type="spellStart"/>
      <w:r w:rsidRPr="000C7C76">
        <w:rPr>
          <w:rFonts w:ascii="Times New Roman" w:hAnsi="Times New Roman" w:cs="Times New Roman"/>
          <w:lang w:val="de-DE"/>
        </w:rPr>
        <w:t>apliecinājuma</w:t>
      </w:r>
      <w:proofErr w:type="spellEnd"/>
      <w:r w:rsidRPr="000C7C76">
        <w:rPr>
          <w:rFonts w:ascii="Times New Roman" w:hAnsi="Times New Roman" w:cs="Times New Roman"/>
          <w:lang w:val="de-DE"/>
        </w:rPr>
        <w:t xml:space="preserve"> </w:t>
      </w:r>
      <w:proofErr w:type="spellStart"/>
      <w:r w:rsidRPr="000C7C76">
        <w:rPr>
          <w:rFonts w:ascii="Times New Roman" w:hAnsi="Times New Roman" w:cs="Times New Roman"/>
          <w:lang w:val="de-DE"/>
        </w:rPr>
        <w:t>uzlīmes</w:t>
      </w:r>
      <w:proofErr w:type="spellEnd"/>
      <w:r w:rsidRPr="000C7C76">
        <w:rPr>
          <w:rFonts w:ascii="Times New Roman" w:hAnsi="Times New Roman" w:cs="Times New Roman"/>
          <w:lang w:val="de-DE"/>
        </w:rPr>
        <w:t xml:space="preserve"> </w:t>
      </w:r>
      <w:proofErr w:type="spellStart"/>
      <w:r w:rsidRPr="000C7C76">
        <w:rPr>
          <w:rFonts w:ascii="Times New Roman" w:hAnsi="Times New Roman" w:cs="Times New Roman"/>
          <w:lang w:val="de-DE"/>
        </w:rPr>
        <w:t>derīguma</w:t>
      </w:r>
      <w:proofErr w:type="spellEnd"/>
      <w:r w:rsidRPr="000C7C76">
        <w:rPr>
          <w:rFonts w:ascii="Times New Roman" w:hAnsi="Times New Roman" w:cs="Times New Roman"/>
          <w:lang w:val="de-DE"/>
        </w:rPr>
        <w:t xml:space="preserve"> </w:t>
      </w:r>
      <w:proofErr w:type="spellStart"/>
      <w:r w:rsidRPr="000C7C76">
        <w:rPr>
          <w:rFonts w:ascii="Times New Roman" w:hAnsi="Times New Roman" w:cs="Times New Roman"/>
          <w:lang w:val="de-DE"/>
        </w:rPr>
        <w:t>termiņu</w:t>
      </w:r>
      <w:proofErr w:type="spellEnd"/>
      <w:r w:rsidRPr="000C7C76">
        <w:rPr>
          <w:rFonts w:ascii="Times New Roman" w:hAnsi="Times New Roman" w:cs="Times New Roman"/>
          <w:lang w:val="de-DE"/>
        </w:rPr>
        <w:t xml:space="preserve">, </w:t>
      </w:r>
      <w:proofErr w:type="spellStart"/>
      <w:r w:rsidRPr="000C7C76">
        <w:rPr>
          <w:rFonts w:ascii="Times New Roman" w:hAnsi="Times New Roman" w:cs="Times New Roman"/>
          <w:lang w:val="de-DE"/>
        </w:rPr>
        <w:t>kā</w:t>
      </w:r>
      <w:proofErr w:type="spellEnd"/>
      <w:r w:rsidRPr="000C7C76">
        <w:rPr>
          <w:rFonts w:ascii="Times New Roman" w:hAnsi="Times New Roman" w:cs="Times New Roman"/>
          <w:lang w:val="de-DE"/>
        </w:rPr>
        <w:t xml:space="preserve"> </w:t>
      </w:r>
      <w:proofErr w:type="spellStart"/>
      <w:r w:rsidRPr="000C7C76">
        <w:rPr>
          <w:rFonts w:ascii="Times New Roman" w:hAnsi="Times New Roman" w:cs="Times New Roman"/>
          <w:lang w:val="de-DE"/>
        </w:rPr>
        <w:t>arī</w:t>
      </w:r>
      <w:proofErr w:type="spellEnd"/>
      <w:r w:rsidRPr="000C7C76">
        <w:rPr>
          <w:rFonts w:ascii="Times New Roman" w:hAnsi="Times New Roman" w:cs="Times New Roman"/>
          <w:lang w:val="de-DE"/>
        </w:rPr>
        <w:t xml:space="preserve"> </w:t>
      </w:r>
      <w:proofErr w:type="spellStart"/>
      <w:r w:rsidRPr="000C7C76">
        <w:rPr>
          <w:rFonts w:ascii="Times New Roman" w:hAnsi="Times New Roman" w:cs="Times New Roman"/>
          <w:lang w:val="de-DE"/>
        </w:rPr>
        <w:t>apliecinājuma</w:t>
      </w:r>
      <w:proofErr w:type="spellEnd"/>
      <w:r w:rsidRPr="000C7C76">
        <w:rPr>
          <w:rFonts w:ascii="Times New Roman" w:hAnsi="Times New Roman" w:cs="Times New Roman"/>
          <w:lang w:val="de-DE"/>
        </w:rPr>
        <w:t xml:space="preserve"> </w:t>
      </w:r>
      <w:proofErr w:type="spellStart"/>
      <w:r w:rsidRPr="000C7C76">
        <w:rPr>
          <w:rFonts w:ascii="Times New Roman" w:hAnsi="Times New Roman" w:cs="Times New Roman"/>
          <w:lang w:val="de-DE"/>
        </w:rPr>
        <w:t>datumu</w:t>
      </w:r>
      <w:proofErr w:type="spellEnd"/>
      <w:r w:rsidRPr="000C7C76">
        <w:rPr>
          <w:rFonts w:ascii="Times New Roman" w:hAnsi="Times New Roman" w:cs="Times New Roman"/>
          <w:lang w:val="de-DE"/>
        </w:rPr>
        <w:t xml:space="preserve"> </w:t>
      </w:r>
      <w:proofErr w:type="spellStart"/>
      <w:r w:rsidRPr="000C7C76">
        <w:rPr>
          <w:rFonts w:ascii="Times New Roman" w:hAnsi="Times New Roman" w:cs="Times New Roman"/>
          <w:lang w:val="de-DE"/>
        </w:rPr>
        <w:t>un</w:t>
      </w:r>
      <w:proofErr w:type="spellEnd"/>
      <w:r w:rsidRPr="000C7C76">
        <w:rPr>
          <w:rFonts w:ascii="Times New Roman" w:hAnsi="Times New Roman" w:cs="Times New Roman"/>
          <w:lang w:val="de-DE"/>
        </w:rPr>
        <w:t xml:space="preserve"> </w:t>
      </w:r>
      <w:proofErr w:type="spellStart"/>
      <w:r w:rsidRPr="000C7C76">
        <w:rPr>
          <w:rFonts w:ascii="Times New Roman" w:hAnsi="Times New Roman" w:cs="Times New Roman"/>
          <w:lang w:val="de-DE"/>
        </w:rPr>
        <w:t>laiku</w:t>
      </w:r>
      <w:proofErr w:type="spellEnd"/>
      <w:r w:rsidRPr="000C7C76">
        <w:rPr>
          <w:rFonts w:ascii="Times New Roman" w:hAnsi="Times New Roman" w:cs="Times New Roman"/>
          <w:lang w:val="de-DE"/>
        </w:rPr>
        <w:t xml:space="preserve">. </w:t>
      </w:r>
      <w:proofErr w:type="spellStart"/>
      <w:r w:rsidRPr="000C7C76">
        <w:rPr>
          <w:rFonts w:ascii="Times New Roman" w:hAnsi="Times New Roman" w:cs="Times New Roman"/>
          <w:lang w:val="de-DE"/>
        </w:rPr>
        <w:t>Pietiek</w:t>
      </w:r>
      <w:proofErr w:type="spellEnd"/>
      <w:r w:rsidRPr="000C7C76">
        <w:rPr>
          <w:rFonts w:ascii="Times New Roman" w:hAnsi="Times New Roman" w:cs="Times New Roman"/>
          <w:lang w:val="de-DE"/>
        </w:rPr>
        <w:t xml:space="preserve"> </w:t>
      </w:r>
      <w:proofErr w:type="spellStart"/>
      <w:r w:rsidRPr="000C7C76">
        <w:rPr>
          <w:rFonts w:ascii="Times New Roman" w:hAnsi="Times New Roman" w:cs="Times New Roman"/>
          <w:lang w:val="de-DE"/>
        </w:rPr>
        <w:t>lielveikala</w:t>
      </w:r>
      <w:proofErr w:type="spellEnd"/>
      <w:r w:rsidRPr="000C7C76">
        <w:rPr>
          <w:rFonts w:ascii="Times New Roman" w:hAnsi="Times New Roman" w:cs="Times New Roman"/>
          <w:lang w:val="de-DE"/>
        </w:rPr>
        <w:t xml:space="preserve"> </w:t>
      </w:r>
      <w:proofErr w:type="spellStart"/>
      <w:r w:rsidRPr="000C7C76">
        <w:rPr>
          <w:rFonts w:ascii="Times New Roman" w:hAnsi="Times New Roman" w:cs="Times New Roman"/>
          <w:lang w:val="de-DE"/>
        </w:rPr>
        <w:t>kasē</w:t>
      </w:r>
      <w:proofErr w:type="spellEnd"/>
      <w:r w:rsidRPr="000C7C76">
        <w:rPr>
          <w:rFonts w:ascii="Times New Roman" w:hAnsi="Times New Roman" w:cs="Times New Roman"/>
          <w:lang w:val="de-DE"/>
        </w:rPr>
        <w:t xml:space="preserve"> </w:t>
      </w:r>
      <w:proofErr w:type="spellStart"/>
      <w:r w:rsidRPr="000C7C76">
        <w:rPr>
          <w:rFonts w:ascii="Times New Roman" w:hAnsi="Times New Roman" w:cs="Times New Roman"/>
          <w:lang w:val="de-DE"/>
        </w:rPr>
        <w:t>paņemt</w:t>
      </w:r>
      <w:proofErr w:type="spellEnd"/>
      <w:r w:rsidRPr="000C7C76">
        <w:rPr>
          <w:rFonts w:ascii="Times New Roman" w:hAnsi="Times New Roman" w:cs="Times New Roman"/>
          <w:lang w:val="de-DE"/>
        </w:rPr>
        <w:t xml:space="preserve"> </w:t>
      </w:r>
      <w:proofErr w:type="spellStart"/>
      <w:r w:rsidRPr="000C7C76">
        <w:rPr>
          <w:rFonts w:ascii="Times New Roman" w:hAnsi="Times New Roman" w:cs="Times New Roman"/>
          <w:lang w:val="de-DE"/>
        </w:rPr>
        <w:t>žetonu</w:t>
      </w:r>
      <w:proofErr w:type="spellEnd"/>
      <w:r w:rsidRPr="000C7C76">
        <w:rPr>
          <w:rFonts w:ascii="Times New Roman" w:hAnsi="Times New Roman" w:cs="Times New Roman"/>
          <w:lang w:val="de-DE"/>
        </w:rPr>
        <w:t xml:space="preserve"> </w:t>
      </w:r>
      <w:proofErr w:type="spellStart"/>
      <w:r w:rsidRPr="000C7C76">
        <w:rPr>
          <w:rFonts w:ascii="Times New Roman" w:hAnsi="Times New Roman" w:cs="Times New Roman"/>
          <w:lang w:val="de-DE"/>
        </w:rPr>
        <w:t>šī</w:t>
      </w:r>
      <w:proofErr w:type="spellEnd"/>
      <w:r w:rsidRPr="000C7C76">
        <w:rPr>
          <w:rFonts w:ascii="Times New Roman" w:hAnsi="Times New Roman" w:cs="Times New Roman"/>
          <w:lang w:val="de-DE"/>
        </w:rPr>
        <w:t xml:space="preserve"> </w:t>
      </w:r>
      <w:proofErr w:type="spellStart"/>
      <w:r w:rsidRPr="000C7C76">
        <w:rPr>
          <w:rFonts w:ascii="Times New Roman" w:hAnsi="Times New Roman" w:cs="Times New Roman"/>
          <w:lang w:val="de-DE"/>
        </w:rPr>
        <w:t>automāta</w:t>
      </w:r>
      <w:proofErr w:type="spellEnd"/>
      <w:r w:rsidRPr="000C7C76">
        <w:rPr>
          <w:rFonts w:ascii="Times New Roman" w:hAnsi="Times New Roman" w:cs="Times New Roman"/>
          <w:lang w:val="de-DE"/>
        </w:rPr>
        <w:t xml:space="preserve"> </w:t>
      </w:r>
      <w:proofErr w:type="spellStart"/>
      <w:r w:rsidRPr="000C7C76">
        <w:rPr>
          <w:rFonts w:ascii="Times New Roman" w:hAnsi="Times New Roman" w:cs="Times New Roman"/>
          <w:lang w:val="de-DE"/>
        </w:rPr>
        <w:t>lietošanai</w:t>
      </w:r>
      <w:proofErr w:type="spellEnd"/>
      <w:r w:rsidRPr="000C7C76">
        <w:rPr>
          <w:rFonts w:ascii="Times New Roman" w:hAnsi="Times New Roman" w:cs="Times New Roman"/>
          <w:lang w:val="de-DE"/>
        </w:rPr>
        <w:t>.</w:t>
      </w:r>
      <w:r w:rsidRPr="00CD4311">
        <w:rPr>
          <w:rStyle w:val="FootnoteReference"/>
          <w:rFonts w:ascii="Times New Roman" w:hAnsi="Times New Roman" w:cs="Times New Roman"/>
        </w:rPr>
        <w:footnoteReference w:id="167"/>
      </w:r>
      <w:r w:rsidRPr="000C7C76">
        <w:rPr>
          <w:rFonts w:ascii="Times New Roman" w:hAnsi="Times New Roman" w:cs="Times New Roman"/>
          <w:lang w:val="de-DE"/>
        </w:rPr>
        <w:t xml:space="preserve"> ASV </w:t>
      </w:r>
      <w:proofErr w:type="spellStart"/>
      <w:r w:rsidRPr="000C7C76">
        <w:rPr>
          <w:rFonts w:ascii="Times New Roman" w:hAnsi="Times New Roman" w:cs="Times New Roman"/>
          <w:i/>
          <w:lang w:val="de-DE"/>
        </w:rPr>
        <w:t>notaries</w:t>
      </w:r>
      <w:proofErr w:type="spellEnd"/>
      <w:r w:rsidRPr="000C7C76">
        <w:rPr>
          <w:rFonts w:ascii="Times New Roman" w:hAnsi="Times New Roman" w:cs="Times New Roman"/>
          <w:i/>
          <w:lang w:val="de-DE"/>
        </w:rPr>
        <w:t xml:space="preserve"> </w:t>
      </w:r>
      <w:proofErr w:type="spellStart"/>
      <w:r w:rsidRPr="000C7C76">
        <w:rPr>
          <w:rFonts w:ascii="Times New Roman" w:hAnsi="Times New Roman" w:cs="Times New Roman"/>
          <w:i/>
          <w:lang w:val="de-DE"/>
        </w:rPr>
        <w:t>public</w:t>
      </w:r>
      <w:proofErr w:type="spellEnd"/>
      <w:r w:rsidRPr="000C7C76">
        <w:rPr>
          <w:rFonts w:ascii="Times New Roman" w:hAnsi="Times New Roman" w:cs="Times New Roman"/>
          <w:lang w:val="de-DE"/>
        </w:rPr>
        <w:t xml:space="preserve"> </w:t>
      </w:r>
      <w:proofErr w:type="spellStart"/>
      <w:r w:rsidRPr="000C7C76">
        <w:rPr>
          <w:rFonts w:ascii="Times New Roman" w:hAnsi="Times New Roman" w:cs="Times New Roman"/>
          <w:lang w:val="de-DE"/>
        </w:rPr>
        <w:t>nav</w:t>
      </w:r>
      <w:proofErr w:type="spellEnd"/>
      <w:r w:rsidRPr="000C7C76">
        <w:rPr>
          <w:rFonts w:ascii="Times New Roman" w:hAnsi="Times New Roman" w:cs="Times New Roman"/>
          <w:lang w:val="de-DE"/>
        </w:rPr>
        <w:t xml:space="preserve"> </w:t>
      </w:r>
      <w:proofErr w:type="spellStart"/>
      <w:r w:rsidRPr="000C7C76">
        <w:rPr>
          <w:rFonts w:ascii="Times New Roman" w:hAnsi="Times New Roman" w:cs="Times New Roman"/>
          <w:lang w:val="de-DE"/>
        </w:rPr>
        <w:t>obligāta</w:t>
      </w:r>
      <w:proofErr w:type="spellEnd"/>
      <w:r w:rsidRPr="000C7C76">
        <w:rPr>
          <w:rFonts w:ascii="Times New Roman" w:hAnsi="Times New Roman" w:cs="Times New Roman"/>
          <w:lang w:val="de-DE"/>
        </w:rPr>
        <w:t xml:space="preserve"> </w:t>
      </w:r>
      <w:proofErr w:type="spellStart"/>
      <w:r w:rsidRPr="000C7C76">
        <w:rPr>
          <w:rFonts w:ascii="Times New Roman" w:hAnsi="Times New Roman" w:cs="Times New Roman"/>
          <w:lang w:val="de-DE"/>
        </w:rPr>
        <w:t>augstākā</w:t>
      </w:r>
      <w:proofErr w:type="spellEnd"/>
      <w:r w:rsidRPr="000C7C76">
        <w:rPr>
          <w:rFonts w:ascii="Times New Roman" w:hAnsi="Times New Roman" w:cs="Times New Roman"/>
          <w:lang w:val="de-DE"/>
        </w:rPr>
        <w:t xml:space="preserve"> </w:t>
      </w:r>
      <w:proofErr w:type="spellStart"/>
      <w:r w:rsidRPr="000C7C76">
        <w:rPr>
          <w:rFonts w:ascii="Times New Roman" w:hAnsi="Times New Roman" w:cs="Times New Roman"/>
          <w:lang w:val="de-DE"/>
        </w:rPr>
        <w:t>juridiskā</w:t>
      </w:r>
      <w:proofErr w:type="spellEnd"/>
      <w:r w:rsidRPr="000C7C76">
        <w:rPr>
          <w:rFonts w:ascii="Times New Roman" w:hAnsi="Times New Roman" w:cs="Times New Roman"/>
          <w:lang w:val="de-DE"/>
        </w:rPr>
        <w:t xml:space="preserve"> </w:t>
      </w:r>
      <w:proofErr w:type="spellStart"/>
      <w:r w:rsidRPr="000C7C76">
        <w:rPr>
          <w:rFonts w:ascii="Times New Roman" w:hAnsi="Times New Roman" w:cs="Times New Roman"/>
          <w:lang w:val="de-DE"/>
        </w:rPr>
        <w:t>izglītība</w:t>
      </w:r>
      <w:proofErr w:type="spellEnd"/>
      <w:r w:rsidRPr="000C7C76">
        <w:rPr>
          <w:rFonts w:ascii="Times New Roman" w:hAnsi="Times New Roman" w:cs="Times New Roman"/>
          <w:lang w:val="de-DE"/>
        </w:rPr>
        <w:t xml:space="preserve"> </w:t>
      </w:r>
      <w:proofErr w:type="spellStart"/>
      <w:r w:rsidRPr="000C7C76">
        <w:rPr>
          <w:rFonts w:ascii="Times New Roman" w:hAnsi="Times New Roman" w:cs="Times New Roman"/>
          <w:lang w:val="de-DE"/>
        </w:rPr>
        <w:t>un</w:t>
      </w:r>
      <w:proofErr w:type="spellEnd"/>
      <w:r w:rsidRPr="000C7C76">
        <w:rPr>
          <w:rFonts w:ascii="Times New Roman" w:hAnsi="Times New Roman" w:cs="Times New Roman"/>
          <w:lang w:val="de-DE"/>
        </w:rPr>
        <w:t xml:space="preserve"> </w:t>
      </w:r>
      <w:proofErr w:type="spellStart"/>
      <w:r w:rsidRPr="000C7C76">
        <w:rPr>
          <w:rFonts w:ascii="Times New Roman" w:hAnsi="Times New Roman" w:cs="Times New Roman"/>
          <w:lang w:val="de-DE"/>
        </w:rPr>
        <w:t>viņu</w:t>
      </w:r>
      <w:proofErr w:type="spellEnd"/>
      <w:r w:rsidRPr="000C7C76">
        <w:rPr>
          <w:rFonts w:ascii="Times New Roman" w:hAnsi="Times New Roman" w:cs="Times New Roman"/>
          <w:lang w:val="de-DE"/>
        </w:rPr>
        <w:t xml:space="preserve"> </w:t>
      </w:r>
      <w:proofErr w:type="spellStart"/>
      <w:r w:rsidRPr="000C7C76">
        <w:rPr>
          <w:rFonts w:ascii="Times New Roman" w:hAnsi="Times New Roman" w:cs="Times New Roman"/>
          <w:lang w:val="de-DE"/>
        </w:rPr>
        <w:t>funkcijas</w:t>
      </w:r>
      <w:proofErr w:type="spellEnd"/>
      <w:r w:rsidRPr="000C7C76">
        <w:rPr>
          <w:rFonts w:ascii="Times New Roman" w:hAnsi="Times New Roman" w:cs="Times New Roman"/>
          <w:lang w:val="de-DE"/>
        </w:rPr>
        <w:t xml:space="preserve"> </w:t>
      </w:r>
      <w:proofErr w:type="spellStart"/>
      <w:r w:rsidRPr="000C7C76">
        <w:rPr>
          <w:rFonts w:ascii="Times New Roman" w:hAnsi="Times New Roman" w:cs="Times New Roman"/>
          <w:lang w:val="de-DE"/>
        </w:rPr>
        <w:t>parasti</w:t>
      </w:r>
      <w:proofErr w:type="spellEnd"/>
      <w:r w:rsidRPr="000C7C76">
        <w:rPr>
          <w:rFonts w:ascii="Times New Roman" w:hAnsi="Times New Roman" w:cs="Times New Roman"/>
          <w:lang w:val="de-DE"/>
        </w:rPr>
        <w:t xml:space="preserve"> </w:t>
      </w:r>
      <w:proofErr w:type="spellStart"/>
      <w:r w:rsidRPr="000C7C76">
        <w:rPr>
          <w:rFonts w:ascii="Times New Roman" w:hAnsi="Times New Roman" w:cs="Times New Roman"/>
          <w:lang w:val="de-DE"/>
        </w:rPr>
        <w:t>aprobežojas</w:t>
      </w:r>
      <w:proofErr w:type="spellEnd"/>
      <w:r w:rsidRPr="000C7C76">
        <w:rPr>
          <w:rFonts w:ascii="Times New Roman" w:hAnsi="Times New Roman" w:cs="Times New Roman"/>
          <w:lang w:val="de-DE"/>
        </w:rPr>
        <w:t xml:space="preserve"> </w:t>
      </w:r>
      <w:proofErr w:type="spellStart"/>
      <w:r w:rsidRPr="000C7C76">
        <w:rPr>
          <w:rFonts w:ascii="Times New Roman" w:hAnsi="Times New Roman" w:cs="Times New Roman"/>
          <w:lang w:val="de-DE"/>
        </w:rPr>
        <w:t>tikai</w:t>
      </w:r>
      <w:proofErr w:type="spellEnd"/>
      <w:r w:rsidRPr="000C7C76">
        <w:rPr>
          <w:rFonts w:ascii="Times New Roman" w:hAnsi="Times New Roman" w:cs="Times New Roman"/>
          <w:lang w:val="de-DE"/>
        </w:rPr>
        <w:t xml:space="preserve"> </w:t>
      </w:r>
      <w:proofErr w:type="spellStart"/>
      <w:r w:rsidRPr="000C7C76">
        <w:rPr>
          <w:rFonts w:ascii="Times New Roman" w:hAnsi="Times New Roman" w:cs="Times New Roman"/>
          <w:lang w:val="de-DE"/>
        </w:rPr>
        <w:t>ar</w:t>
      </w:r>
      <w:proofErr w:type="spellEnd"/>
      <w:r w:rsidRPr="000C7C76">
        <w:rPr>
          <w:rFonts w:ascii="Times New Roman" w:hAnsi="Times New Roman" w:cs="Times New Roman"/>
          <w:lang w:val="de-DE"/>
        </w:rPr>
        <w:t xml:space="preserve"> </w:t>
      </w:r>
      <w:proofErr w:type="spellStart"/>
      <w:r w:rsidRPr="000C7C76">
        <w:rPr>
          <w:rFonts w:ascii="Times New Roman" w:hAnsi="Times New Roman" w:cs="Times New Roman"/>
          <w:lang w:val="de-DE"/>
        </w:rPr>
        <w:t>to</w:t>
      </w:r>
      <w:proofErr w:type="spellEnd"/>
      <w:r w:rsidRPr="000C7C76">
        <w:rPr>
          <w:rFonts w:ascii="Times New Roman" w:hAnsi="Times New Roman" w:cs="Times New Roman"/>
          <w:lang w:val="de-DE"/>
        </w:rPr>
        <w:t xml:space="preserve">, </w:t>
      </w:r>
      <w:proofErr w:type="spellStart"/>
      <w:r w:rsidRPr="000C7C76">
        <w:rPr>
          <w:rFonts w:ascii="Times New Roman" w:hAnsi="Times New Roman" w:cs="Times New Roman"/>
          <w:lang w:val="de-DE"/>
        </w:rPr>
        <w:t>ka</w:t>
      </w:r>
      <w:proofErr w:type="spellEnd"/>
      <w:r w:rsidRPr="000C7C76">
        <w:rPr>
          <w:rFonts w:ascii="Times New Roman" w:hAnsi="Times New Roman" w:cs="Times New Roman"/>
          <w:lang w:val="de-DE"/>
        </w:rPr>
        <w:t xml:space="preserve"> </w:t>
      </w:r>
      <w:proofErr w:type="spellStart"/>
      <w:r w:rsidRPr="000C7C76">
        <w:rPr>
          <w:rFonts w:ascii="Times New Roman" w:hAnsi="Times New Roman" w:cs="Times New Roman"/>
          <w:lang w:val="de-DE"/>
        </w:rPr>
        <w:t>uz</w:t>
      </w:r>
      <w:proofErr w:type="spellEnd"/>
      <w:r w:rsidRPr="000C7C76">
        <w:rPr>
          <w:rFonts w:ascii="Times New Roman" w:hAnsi="Times New Roman" w:cs="Times New Roman"/>
          <w:lang w:val="de-DE"/>
        </w:rPr>
        <w:t xml:space="preserve"> </w:t>
      </w:r>
      <w:proofErr w:type="spellStart"/>
      <w:r w:rsidRPr="000C7C76">
        <w:rPr>
          <w:rFonts w:ascii="Times New Roman" w:hAnsi="Times New Roman" w:cs="Times New Roman"/>
          <w:lang w:val="de-DE"/>
        </w:rPr>
        <w:t>privāta</w:t>
      </w:r>
      <w:proofErr w:type="spellEnd"/>
      <w:r w:rsidRPr="000C7C76">
        <w:rPr>
          <w:rFonts w:ascii="Times New Roman" w:hAnsi="Times New Roman" w:cs="Times New Roman"/>
          <w:lang w:val="de-DE"/>
        </w:rPr>
        <w:t xml:space="preserve"> </w:t>
      </w:r>
      <w:proofErr w:type="spellStart"/>
      <w:r w:rsidRPr="000C7C76">
        <w:rPr>
          <w:rFonts w:ascii="Times New Roman" w:hAnsi="Times New Roman" w:cs="Times New Roman"/>
          <w:lang w:val="de-DE"/>
        </w:rPr>
        <w:t>dokumenta</w:t>
      </w:r>
      <w:proofErr w:type="spellEnd"/>
      <w:r w:rsidRPr="000C7C76">
        <w:rPr>
          <w:rFonts w:ascii="Times New Roman" w:hAnsi="Times New Roman" w:cs="Times New Roman"/>
          <w:lang w:val="de-DE"/>
        </w:rPr>
        <w:t xml:space="preserve"> (</w:t>
      </w:r>
      <w:proofErr w:type="spellStart"/>
      <w:r w:rsidRPr="000C7C76">
        <w:rPr>
          <w:rFonts w:ascii="Times New Roman" w:hAnsi="Times New Roman" w:cs="Times New Roman"/>
          <w:lang w:val="de-DE"/>
        </w:rPr>
        <w:t>piemēram</w:t>
      </w:r>
      <w:proofErr w:type="spellEnd"/>
      <w:r w:rsidRPr="000C7C76">
        <w:rPr>
          <w:rFonts w:ascii="Times New Roman" w:hAnsi="Times New Roman" w:cs="Times New Roman"/>
          <w:lang w:val="de-DE"/>
        </w:rPr>
        <w:t xml:space="preserve">, </w:t>
      </w:r>
      <w:proofErr w:type="spellStart"/>
      <w:r w:rsidRPr="000C7C76">
        <w:rPr>
          <w:rFonts w:ascii="Times New Roman" w:hAnsi="Times New Roman" w:cs="Times New Roman"/>
          <w:lang w:val="de-DE"/>
        </w:rPr>
        <w:t>privāti</w:t>
      </w:r>
      <w:proofErr w:type="spellEnd"/>
      <w:r w:rsidRPr="000C7C76">
        <w:rPr>
          <w:rFonts w:ascii="Times New Roman" w:hAnsi="Times New Roman" w:cs="Times New Roman"/>
          <w:lang w:val="de-DE"/>
        </w:rPr>
        <w:t xml:space="preserve"> </w:t>
      </w:r>
      <w:proofErr w:type="spellStart"/>
      <w:r w:rsidRPr="000C7C76">
        <w:rPr>
          <w:rFonts w:ascii="Times New Roman" w:hAnsi="Times New Roman" w:cs="Times New Roman"/>
          <w:lang w:val="de-DE"/>
        </w:rPr>
        <w:t>sastādītas</w:t>
      </w:r>
      <w:proofErr w:type="spellEnd"/>
      <w:r w:rsidRPr="000C7C76">
        <w:rPr>
          <w:rFonts w:ascii="Times New Roman" w:hAnsi="Times New Roman" w:cs="Times New Roman"/>
          <w:lang w:val="de-DE"/>
        </w:rPr>
        <w:t xml:space="preserve"> </w:t>
      </w:r>
      <w:proofErr w:type="spellStart"/>
      <w:r w:rsidRPr="000C7C76">
        <w:rPr>
          <w:rFonts w:ascii="Times New Roman" w:hAnsi="Times New Roman" w:cs="Times New Roman"/>
          <w:lang w:val="de-DE"/>
        </w:rPr>
        <w:t>pilnvaras</w:t>
      </w:r>
      <w:proofErr w:type="spellEnd"/>
      <w:r w:rsidRPr="000C7C76">
        <w:rPr>
          <w:rFonts w:ascii="Times New Roman" w:hAnsi="Times New Roman" w:cs="Times New Roman"/>
          <w:lang w:val="de-DE"/>
        </w:rPr>
        <w:t xml:space="preserve">) </w:t>
      </w:r>
      <w:proofErr w:type="spellStart"/>
      <w:r w:rsidRPr="000C7C76">
        <w:rPr>
          <w:rFonts w:ascii="Times New Roman" w:hAnsi="Times New Roman" w:cs="Times New Roman"/>
          <w:lang w:val="de-DE"/>
        </w:rPr>
        <w:t>tiek</w:t>
      </w:r>
      <w:proofErr w:type="spellEnd"/>
      <w:r w:rsidRPr="000C7C76">
        <w:rPr>
          <w:rFonts w:ascii="Times New Roman" w:hAnsi="Times New Roman" w:cs="Times New Roman"/>
          <w:lang w:val="de-DE"/>
        </w:rPr>
        <w:t xml:space="preserve"> </w:t>
      </w:r>
      <w:proofErr w:type="spellStart"/>
      <w:r w:rsidRPr="000C7C76">
        <w:rPr>
          <w:rFonts w:ascii="Times New Roman" w:hAnsi="Times New Roman" w:cs="Times New Roman"/>
          <w:lang w:val="de-DE"/>
        </w:rPr>
        <w:t>izdarīta</w:t>
      </w:r>
      <w:proofErr w:type="spellEnd"/>
      <w:r w:rsidRPr="000C7C76">
        <w:rPr>
          <w:rFonts w:ascii="Times New Roman" w:hAnsi="Times New Roman" w:cs="Times New Roman"/>
          <w:lang w:val="de-DE"/>
        </w:rPr>
        <w:t xml:space="preserve"> </w:t>
      </w:r>
      <w:proofErr w:type="spellStart"/>
      <w:r w:rsidRPr="000C7C76">
        <w:rPr>
          <w:rFonts w:ascii="Times New Roman" w:hAnsi="Times New Roman" w:cs="Times New Roman"/>
          <w:lang w:val="de-DE"/>
        </w:rPr>
        <w:t>atzīme</w:t>
      </w:r>
      <w:proofErr w:type="spellEnd"/>
      <w:r w:rsidRPr="000C7C76">
        <w:rPr>
          <w:rFonts w:ascii="Times New Roman" w:hAnsi="Times New Roman" w:cs="Times New Roman"/>
          <w:lang w:val="de-DE"/>
        </w:rPr>
        <w:t xml:space="preserve"> par </w:t>
      </w:r>
      <w:proofErr w:type="spellStart"/>
      <w:r w:rsidRPr="000C7C76">
        <w:rPr>
          <w:rFonts w:ascii="Times New Roman" w:hAnsi="Times New Roman" w:cs="Times New Roman"/>
          <w:lang w:val="de-DE"/>
        </w:rPr>
        <w:t>tā</w:t>
      </w:r>
      <w:proofErr w:type="spellEnd"/>
      <w:r w:rsidRPr="000C7C76">
        <w:rPr>
          <w:rFonts w:ascii="Times New Roman" w:hAnsi="Times New Roman" w:cs="Times New Roman"/>
          <w:lang w:val="de-DE"/>
        </w:rPr>
        <w:t xml:space="preserve"> </w:t>
      </w:r>
      <w:proofErr w:type="spellStart"/>
      <w:r w:rsidRPr="000C7C76">
        <w:rPr>
          <w:rFonts w:ascii="Times New Roman" w:hAnsi="Times New Roman" w:cs="Times New Roman"/>
          <w:lang w:val="de-DE"/>
        </w:rPr>
        <w:t>parakstīšanas</w:t>
      </w:r>
      <w:proofErr w:type="spellEnd"/>
      <w:r w:rsidRPr="000C7C76">
        <w:rPr>
          <w:rFonts w:ascii="Times New Roman" w:hAnsi="Times New Roman" w:cs="Times New Roman"/>
          <w:lang w:val="de-DE"/>
        </w:rPr>
        <w:t xml:space="preserve"> </w:t>
      </w:r>
      <w:proofErr w:type="spellStart"/>
      <w:r w:rsidRPr="000C7C76">
        <w:rPr>
          <w:rFonts w:ascii="Times New Roman" w:hAnsi="Times New Roman" w:cs="Times New Roman"/>
          <w:lang w:val="de-DE"/>
        </w:rPr>
        <w:t>datumu</w:t>
      </w:r>
      <w:proofErr w:type="spellEnd"/>
      <w:r w:rsidRPr="000C7C76">
        <w:rPr>
          <w:rFonts w:ascii="Times New Roman" w:hAnsi="Times New Roman" w:cs="Times New Roman"/>
          <w:lang w:val="de-DE"/>
        </w:rPr>
        <w:t xml:space="preserve"> </w:t>
      </w:r>
      <w:proofErr w:type="spellStart"/>
      <w:r w:rsidRPr="000C7C76">
        <w:rPr>
          <w:rFonts w:ascii="Times New Roman" w:hAnsi="Times New Roman" w:cs="Times New Roman"/>
          <w:lang w:val="de-DE"/>
        </w:rPr>
        <w:t>šī</w:t>
      </w:r>
      <w:proofErr w:type="spellEnd"/>
      <w:r w:rsidRPr="000C7C76">
        <w:rPr>
          <w:rFonts w:ascii="Times New Roman" w:hAnsi="Times New Roman" w:cs="Times New Roman"/>
          <w:lang w:val="de-DE"/>
        </w:rPr>
        <w:t xml:space="preserve"> </w:t>
      </w:r>
      <w:proofErr w:type="spellStart"/>
      <w:r w:rsidRPr="000C7C76">
        <w:rPr>
          <w:rFonts w:ascii="Times New Roman" w:hAnsi="Times New Roman" w:cs="Times New Roman"/>
          <w:i/>
          <w:lang w:val="de-DE"/>
        </w:rPr>
        <w:t>notary</w:t>
      </w:r>
      <w:proofErr w:type="spellEnd"/>
      <w:r w:rsidRPr="000C7C76">
        <w:rPr>
          <w:rFonts w:ascii="Times New Roman" w:hAnsi="Times New Roman" w:cs="Times New Roman"/>
          <w:i/>
          <w:lang w:val="de-DE"/>
        </w:rPr>
        <w:t xml:space="preserve"> </w:t>
      </w:r>
      <w:proofErr w:type="spellStart"/>
      <w:r w:rsidRPr="000C7C76">
        <w:rPr>
          <w:rFonts w:ascii="Times New Roman" w:hAnsi="Times New Roman" w:cs="Times New Roman"/>
          <w:i/>
          <w:lang w:val="de-DE"/>
        </w:rPr>
        <w:t>public</w:t>
      </w:r>
      <w:proofErr w:type="spellEnd"/>
      <w:r w:rsidRPr="000C7C76">
        <w:rPr>
          <w:rFonts w:ascii="Times New Roman" w:hAnsi="Times New Roman" w:cs="Times New Roman"/>
          <w:lang w:val="de-DE"/>
        </w:rPr>
        <w:t xml:space="preserve"> </w:t>
      </w:r>
      <w:proofErr w:type="spellStart"/>
      <w:r w:rsidRPr="000C7C76">
        <w:rPr>
          <w:rFonts w:ascii="Times New Roman" w:hAnsi="Times New Roman" w:cs="Times New Roman"/>
          <w:lang w:val="de-DE"/>
        </w:rPr>
        <w:t>klātbūtnē</w:t>
      </w:r>
      <w:proofErr w:type="spellEnd"/>
      <w:r w:rsidRPr="000C7C76">
        <w:rPr>
          <w:rFonts w:ascii="Times New Roman" w:hAnsi="Times New Roman" w:cs="Times New Roman"/>
          <w:lang w:val="de-DE"/>
        </w:rPr>
        <w:t xml:space="preserve">. </w:t>
      </w:r>
      <w:proofErr w:type="spellStart"/>
      <w:r w:rsidRPr="000C7C76">
        <w:rPr>
          <w:rFonts w:ascii="Times New Roman" w:hAnsi="Times New Roman" w:cs="Times New Roman"/>
          <w:lang w:val="en-US"/>
        </w:rPr>
        <w:t>Nekādu</w:t>
      </w:r>
      <w:proofErr w:type="spellEnd"/>
      <w:r w:rsidRPr="000C7C76">
        <w:rPr>
          <w:rFonts w:ascii="Times New Roman" w:hAnsi="Times New Roman" w:cs="Times New Roman"/>
          <w:lang w:val="en-US"/>
        </w:rPr>
        <w:t xml:space="preserve"> </w:t>
      </w:r>
      <w:proofErr w:type="spellStart"/>
      <w:r w:rsidRPr="000C7C76">
        <w:rPr>
          <w:rFonts w:ascii="Times New Roman" w:hAnsi="Times New Roman" w:cs="Times New Roman"/>
          <w:lang w:val="en-US"/>
        </w:rPr>
        <w:t>juridisko</w:t>
      </w:r>
      <w:proofErr w:type="spellEnd"/>
      <w:r w:rsidRPr="000C7C76">
        <w:rPr>
          <w:rFonts w:ascii="Times New Roman" w:hAnsi="Times New Roman" w:cs="Times New Roman"/>
          <w:lang w:val="en-US"/>
        </w:rPr>
        <w:t xml:space="preserve"> </w:t>
      </w:r>
      <w:proofErr w:type="spellStart"/>
      <w:r w:rsidRPr="000C7C76">
        <w:rPr>
          <w:rFonts w:ascii="Times New Roman" w:hAnsi="Times New Roman" w:cs="Times New Roman"/>
          <w:lang w:val="en-US"/>
        </w:rPr>
        <w:t>padomu</w:t>
      </w:r>
      <w:proofErr w:type="spellEnd"/>
      <w:r w:rsidRPr="000C7C76">
        <w:rPr>
          <w:rFonts w:ascii="Times New Roman" w:hAnsi="Times New Roman" w:cs="Times New Roman"/>
          <w:lang w:val="en-US"/>
        </w:rPr>
        <w:t xml:space="preserve"> </w:t>
      </w:r>
      <w:proofErr w:type="spellStart"/>
      <w:r w:rsidRPr="000C7C76">
        <w:rPr>
          <w:rFonts w:ascii="Times New Roman" w:hAnsi="Times New Roman" w:cs="Times New Roman"/>
          <w:lang w:val="en-US"/>
        </w:rPr>
        <w:t>vienkāršs</w:t>
      </w:r>
      <w:proofErr w:type="spellEnd"/>
      <w:r w:rsidRPr="000C7C76">
        <w:rPr>
          <w:rFonts w:ascii="Times New Roman" w:hAnsi="Times New Roman" w:cs="Times New Roman"/>
          <w:lang w:val="en-US"/>
        </w:rPr>
        <w:t xml:space="preserve"> </w:t>
      </w:r>
      <w:r w:rsidRPr="000C7C76">
        <w:rPr>
          <w:rFonts w:ascii="Times New Roman" w:hAnsi="Times New Roman" w:cs="Times New Roman"/>
          <w:i/>
          <w:lang w:val="en-US"/>
        </w:rPr>
        <w:t>notary public</w:t>
      </w:r>
      <w:r w:rsidRPr="000C7C76">
        <w:rPr>
          <w:rFonts w:ascii="Times New Roman" w:hAnsi="Times New Roman" w:cs="Times New Roman"/>
          <w:lang w:val="en-US"/>
        </w:rPr>
        <w:t xml:space="preserve"> </w:t>
      </w:r>
      <w:proofErr w:type="spellStart"/>
      <w:r w:rsidRPr="000C7C76">
        <w:rPr>
          <w:rFonts w:ascii="Times New Roman" w:hAnsi="Times New Roman" w:cs="Times New Roman"/>
          <w:lang w:val="en-US"/>
        </w:rPr>
        <w:t>saviem</w:t>
      </w:r>
      <w:proofErr w:type="spellEnd"/>
      <w:r w:rsidRPr="000C7C76">
        <w:rPr>
          <w:rFonts w:ascii="Times New Roman" w:hAnsi="Times New Roman" w:cs="Times New Roman"/>
          <w:lang w:val="en-US"/>
        </w:rPr>
        <w:t xml:space="preserve"> </w:t>
      </w:r>
      <w:proofErr w:type="spellStart"/>
      <w:r w:rsidRPr="000C7C76">
        <w:rPr>
          <w:rFonts w:ascii="Times New Roman" w:hAnsi="Times New Roman" w:cs="Times New Roman"/>
          <w:lang w:val="en-US"/>
        </w:rPr>
        <w:t>klientiem</w:t>
      </w:r>
      <w:proofErr w:type="spellEnd"/>
      <w:r w:rsidRPr="000C7C76">
        <w:rPr>
          <w:rFonts w:ascii="Times New Roman" w:hAnsi="Times New Roman" w:cs="Times New Roman"/>
          <w:lang w:val="en-US"/>
        </w:rPr>
        <w:t xml:space="preserve"> </w:t>
      </w:r>
      <w:proofErr w:type="spellStart"/>
      <w:r w:rsidRPr="000C7C76">
        <w:rPr>
          <w:rFonts w:ascii="Times New Roman" w:hAnsi="Times New Roman" w:cs="Times New Roman"/>
          <w:lang w:val="en-US"/>
        </w:rPr>
        <w:t>sniegt</w:t>
      </w:r>
      <w:proofErr w:type="spellEnd"/>
      <w:r w:rsidRPr="000C7C76">
        <w:rPr>
          <w:rFonts w:ascii="Times New Roman" w:hAnsi="Times New Roman" w:cs="Times New Roman"/>
          <w:lang w:val="en-US"/>
        </w:rPr>
        <w:t xml:space="preserve"> </w:t>
      </w:r>
      <w:proofErr w:type="spellStart"/>
      <w:r w:rsidRPr="000C7C76">
        <w:rPr>
          <w:rFonts w:ascii="Times New Roman" w:hAnsi="Times New Roman" w:cs="Times New Roman"/>
          <w:lang w:val="en-US"/>
        </w:rPr>
        <w:t>nevar</w:t>
      </w:r>
      <w:proofErr w:type="spellEnd"/>
      <w:r w:rsidRPr="000C7C76">
        <w:rPr>
          <w:rFonts w:ascii="Times New Roman" w:hAnsi="Times New Roman" w:cs="Times New Roman"/>
          <w:lang w:val="en-US"/>
        </w:rPr>
        <w:t>.</w:t>
      </w:r>
      <w:r w:rsidRPr="00CD4311">
        <w:rPr>
          <w:rStyle w:val="FootnoteReference"/>
          <w:rFonts w:ascii="Times New Roman" w:hAnsi="Times New Roman" w:cs="Times New Roman"/>
        </w:rPr>
        <w:footnoteReference w:id="168"/>
      </w:r>
    </w:p>
    <w:p w14:paraId="68C609F7" w14:textId="77777777" w:rsidR="00114953" w:rsidRPr="000C7C76" w:rsidRDefault="00114953" w:rsidP="00114953">
      <w:pPr>
        <w:jc w:val="both"/>
        <w:rPr>
          <w:rFonts w:ascii="Times New Roman" w:hAnsi="Times New Roman" w:cs="Times New Roman"/>
          <w:lang w:val="en-US"/>
        </w:rPr>
      </w:pPr>
      <w:r w:rsidRPr="000C7C76">
        <w:rPr>
          <w:rFonts w:ascii="Times New Roman" w:hAnsi="Times New Roman" w:cs="Times New Roman"/>
          <w:lang w:val="en-US"/>
        </w:rPr>
        <w:tab/>
        <w:t xml:space="preserve">No </w:t>
      </w:r>
      <w:proofErr w:type="spellStart"/>
      <w:r w:rsidRPr="000C7C76">
        <w:rPr>
          <w:rFonts w:ascii="Times New Roman" w:hAnsi="Times New Roman" w:cs="Times New Roman"/>
          <w:lang w:val="en-US"/>
        </w:rPr>
        <w:t>Notariāta</w:t>
      </w:r>
      <w:proofErr w:type="spellEnd"/>
      <w:r w:rsidRPr="000C7C76">
        <w:rPr>
          <w:rFonts w:ascii="Times New Roman" w:hAnsi="Times New Roman" w:cs="Times New Roman"/>
          <w:lang w:val="en-US"/>
        </w:rPr>
        <w:t xml:space="preserve"> </w:t>
      </w:r>
      <w:proofErr w:type="spellStart"/>
      <w:r w:rsidRPr="000C7C76">
        <w:rPr>
          <w:rFonts w:ascii="Times New Roman" w:hAnsi="Times New Roman" w:cs="Times New Roman"/>
          <w:lang w:val="en-US"/>
        </w:rPr>
        <w:t>likuma</w:t>
      </w:r>
      <w:proofErr w:type="spellEnd"/>
      <w:r w:rsidRPr="000C7C76">
        <w:rPr>
          <w:rFonts w:ascii="Times New Roman" w:hAnsi="Times New Roman" w:cs="Times New Roman"/>
          <w:lang w:val="en-US"/>
        </w:rPr>
        <w:t xml:space="preserve"> </w:t>
      </w:r>
      <w:proofErr w:type="gramStart"/>
      <w:r w:rsidRPr="000C7C76">
        <w:rPr>
          <w:rFonts w:ascii="Times New Roman" w:hAnsi="Times New Roman" w:cs="Times New Roman"/>
          <w:lang w:val="en-US"/>
        </w:rPr>
        <w:t>83.panta</w:t>
      </w:r>
      <w:proofErr w:type="gramEnd"/>
      <w:r w:rsidRPr="000C7C76">
        <w:rPr>
          <w:rFonts w:ascii="Times New Roman" w:hAnsi="Times New Roman" w:cs="Times New Roman"/>
          <w:lang w:val="en-US"/>
        </w:rPr>
        <w:t xml:space="preserve"> </w:t>
      </w:r>
      <w:proofErr w:type="spellStart"/>
      <w:r w:rsidRPr="000C7C76">
        <w:rPr>
          <w:rFonts w:ascii="Times New Roman" w:hAnsi="Times New Roman" w:cs="Times New Roman"/>
          <w:lang w:val="en-US"/>
        </w:rPr>
        <w:t>otrās</w:t>
      </w:r>
      <w:proofErr w:type="spellEnd"/>
      <w:r w:rsidRPr="000C7C76">
        <w:rPr>
          <w:rFonts w:ascii="Times New Roman" w:hAnsi="Times New Roman" w:cs="Times New Roman"/>
          <w:lang w:val="en-US"/>
        </w:rPr>
        <w:t xml:space="preserve"> </w:t>
      </w:r>
      <w:proofErr w:type="spellStart"/>
      <w:r w:rsidRPr="000C7C76">
        <w:rPr>
          <w:rFonts w:ascii="Times New Roman" w:hAnsi="Times New Roman" w:cs="Times New Roman"/>
          <w:lang w:val="en-US"/>
        </w:rPr>
        <w:t>daļas</w:t>
      </w:r>
      <w:proofErr w:type="spellEnd"/>
      <w:r w:rsidRPr="000C7C76">
        <w:rPr>
          <w:rFonts w:ascii="Times New Roman" w:hAnsi="Times New Roman" w:cs="Times New Roman"/>
          <w:lang w:val="en-US"/>
        </w:rPr>
        <w:t xml:space="preserve"> </w:t>
      </w:r>
      <w:proofErr w:type="spellStart"/>
      <w:r w:rsidRPr="000C7C76">
        <w:rPr>
          <w:rFonts w:ascii="Times New Roman" w:hAnsi="Times New Roman" w:cs="Times New Roman"/>
          <w:lang w:val="en-US"/>
        </w:rPr>
        <w:t>izriet</w:t>
      </w:r>
      <w:proofErr w:type="spellEnd"/>
      <w:r w:rsidRPr="000C7C76">
        <w:rPr>
          <w:rFonts w:ascii="Times New Roman" w:hAnsi="Times New Roman" w:cs="Times New Roman"/>
          <w:lang w:val="en-US"/>
        </w:rPr>
        <w:t xml:space="preserve">, ka </w:t>
      </w:r>
      <w:proofErr w:type="spellStart"/>
      <w:r w:rsidRPr="000C7C76">
        <w:rPr>
          <w:rFonts w:ascii="Times New Roman" w:hAnsi="Times New Roman" w:cs="Times New Roman"/>
          <w:lang w:val="en-US"/>
        </w:rPr>
        <w:t>notariālā</w:t>
      </w:r>
      <w:proofErr w:type="spellEnd"/>
      <w:r w:rsidRPr="000C7C76">
        <w:rPr>
          <w:rFonts w:ascii="Times New Roman" w:hAnsi="Times New Roman" w:cs="Times New Roman"/>
          <w:lang w:val="en-US"/>
        </w:rPr>
        <w:t xml:space="preserve"> </w:t>
      </w:r>
      <w:proofErr w:type="spellStart"/>
      <w:r w:rsidRPr="000C7C76">
        <w:rPr>
          <w:rFonts w:ascii="Times New Roman" w:hAnsi="Times New Roman" w:cs="Times New Roman"/>
          <w:lang w:val="en-US"/>
        </w:rPr>
        <w:t>akta</w:t>
      </w:r>
      <w:proofErr w:type="spellEnd"/>
      <w:r w:rsidRPr="000C7C76">
        <w:rPr>
          <w:rFonts w:ascii="Times New Roman" w:hAnsi="Times New Roman" w:cs="Times New Roman"/>
          <w:lang w:val="en-US"/>
        </w:rPr>
        <w:t xml:space="preserve"> </w:t>
      </w:r>
      <w:proofErr w:type="spellStart"/>
      <w:r w:rsidRPr="000C7C76">
        <w:rPr>
          <w:rFonts w:ascii="Times New Roman" w:hAnsi="Times New Roman" w:cs="Times New Roman"/>
          <w:lang w:val="en-US"/>
        </w:rPr>
        <w:t>taisīšanas</w:t>
      </w:r>
      <w:proofErr w:type="spellEnd"/>
      <w:r w:rsidRPr="000C7C76">
        <w:rPr>
          <w:rFonts w:ascii="Times New Roman" w:hAnsi="Times New Roman" w:cs="Times New Roman"/>
          <w:lang w:val="en-US"/>
        </w:rPr>
        <w:t xml:space="preserve"> </w:t>
      </w:r>
      <w:proofErr w:type="spellStart"/>
      <w:r w:rsidRPr="000C7C76">
        <w:rPr>
          <w:rFonts w:ascii="Times New Roman" w:hAnsi="Times New Roman" w:cs="Times New Roman"/>
          <w:lang w:val="en-US"/>
        </w:rPr>
        <w:t>procesā</w:t>
      </w:r>
      <w:proofErr w:type="spellEnd"/>
      <w:r w:rsidRPr="000C7C76">
        <w:rPr>
          <w:rFonts w:ascii="Times New Roman" w:hAnsi="Times New Roman" w:cs="Times New Roman"/>
          <w:lang w:val="en-US"/>
        </w:rPr>
        <w:t xml:space="preserve"> Latvijas </w:t>
      </w:r>
      <w:proofErr w:type="spellStart"/>
      <w:r w:rsidRPr="000C7C76">
        <w:rPr>
          <w:rFonts w:ascii="Times New Roman" w:hAnsi="Times New Roman" w:cs="Times New Roman"/>
          <w:lang w:val="en-US"/>
        </w:rPr>
        <w:t>zvērināts</w:t>
      </w:r>
      <w:proofErr w:type="spellEnd"/>
      <w:r w:rsidRPr="000C7C76">
        <w:rPr>
          <w:rFonts w:ascii="Times New Roman" w:hAnsi="Times New Roman" w:cs="Times New Roman"/>
          <w:lang w:val="en-US"/>
        </w:rPr>
        <w:t xml:space="preserve"> </w:t>
      </w:r>
      <w:proofErr w:type="spellStart"/>
      <w:r w:rsidRPr="000C7C76">
        <w:rPr>
          <w:rFonts w:ascii="Times New Roman" w:hAnsi="Times New Roman" w:cs="Times New Roman"/>
          <w:lang w:val="en-US"/>
        </w:rPr>
        <w:t>notārs</w:t>
      </w:r>
      <w:proofErr w:type="spellEnd"/>
      <w:r w:rsidRPr="000C7C76">
        <w:rPr>
          <w:rFonts w:ascii="Times New Roman" w:hAnsi="Times New Roman" w:cs="Times New Roman"/>
          <w:lang w:val="en-US"/>
        </w:rPr>
        <w:t xml:space="preserve"> </w:t>
      </w:r>
      <w:proofErr w:type="spellStart"/>
      <w:r w:rsidRPr="000C7C76">
        <w:rPr>
          <w:rFonts w:ascii="Times New Roman" w:hAnsi="Times New Roman" w:cs="Times New Roman"/>
          <w:lang w:val="en-US"/>
        </w:rPr>
        <w:t>pārstāvības</w:t>
      </w:r>
      <w:proofErr w:type="spellEnd"/>
      <w:r w:rsidRPr="000C7C76">
        <w:rPr>
          <w:rFonts w:ascii="Times New Roman" w:hAnsi="Times New Roman" w:cs="Times New Roman"/>
          <w:lang w:val="en-US"/>
        </w:rPr>
        <w:t xml:space="preserve"> </w:t>
      </w:r>
      <w:proofErr w:type="spellStart"/>
      <w:r w:rsidRPr="000C7C76">
        <w:rPr>
          <w:rFonts w:ascii="Times New Roman" w:hAnsi="Times New Roman" w:cs="Times New Roman"/>
          <w:lang w:val="en-US"/>
        </w:rPr>
        <w:t>tiesības</w:t>
      </w:r>
      <w:proofErr w:type="spellEnd"/>
      <w:r w:rsidRPr="000C7C76">
        <w:rPr>
          <w:rFonts w:ascii="Times New Roman" w:hAnsi="Times New Roman" w:cs="Times New Roman"/>
          <w:lang w:val="en-US"/>
        </w:rPr>
        <w:t xml:space="preserve"> </w:t>
      </w:r>
      <w:proofErr w:type="spellStart"/>
      <w:r w:rsidRPr="000C7C76">
        <w:rPr>
          <w:rFonts w:ascii="Times New Roman" w:hAnsi="Times New Roman" w:cs="Times New Roman"/>
          <w:lang w:val="en-US"/>
        </w:rPr>
        <w:t>nevar</w:t>
      </w:r>
      <w:proofErr w:type="spellEnd"/>
      <w:r w:rsidRPr="000C7C76">
        <w:rPr>
          <w:rFonts w:ascii="Times New Roman" w:hAnsi="Times New Roman" w:cs="Times New Roman"/>
          <w:lang w:val="en-US"/>
        </w:rPr>
        <w:t xml:space="preserve"> </w:t>
      </w:r>
      <w:proofErr w:type="spellStart"/>
      <w:r w:rsidRPr="000C7C76">
        <w:rPr>
          <w:rFonts w:ascii="Times New Roman" w:hAnsi="Times New Roman" w:cs="Times New Roman"/>
          <w:lang w:val="en-US"/>
        </w:rPr>
        <w:t>pārbaudīt</w:t>
      </w:r>
      <w:proofErr w:type="spellEnd"/>
      <w:r w:rsidRPr="000C7C76">
        <w:rPr>
          <w:rFonts w:ascii="Times New Roman" w:hAnsi="Times New Roman" w:cs="Times New Roman"/>
          <w:lang w:val="en-US"/>
        </w:rPr>
        <w:t xml:space="preserve"> </w:t>
      </w:r>
      <w:proofErr w:type="spellStart"/>
      <w:r w:rsidRPr="000C7C76">
        <w:rPr>
          <w:rFonts w:ascii="Times New Roman" w:hAnsi="Times New Roman" w:cs="Times New Roman"/>
          <w:lang w:val="en-US"/>
        </w:rPr>
        <w:t>pēc</w:t>
      </w:r>
      <w:proofErr w:type="spellEnd"/>
      <w:r w:rsidRPr="000C7C76">
        <w:rPr>
          <w:rFonts w:ascii="Times New Roman" w:hAnsi="Times New Roman" w:cs="Times New Roman"/>
          <w:lang w:val="en-US"/>
        </w:rPr>
        <w:t xml:space="preserve"> </w:t>
      </w:r>
      <w:proofErr w:type="spellStart"/>
      <w:r w:rsidRPr="000C7C76">
        <w:rPr>
          <w:rFonts w:ascii="Times New Roman" w:hAnsi="Times New Roman" w:cs="Times New Roman"/>
          <w:lang w:val="en-US"/>
        </w:rPr>
        <w:t>privāta</w:t>
      </w:r>
      <w:proofErr w:type="spellEnd"/>
      <w:r w:rsidRPr="000C7C76">
        <w:rPr>
          <w:rFonts w:ascii="Times New Roman" w:hAnsi="Times New Roman" w:cs="Times New Roman"/>
          <w:lang w:val="en-US"/>
        </w:rPr>
        <w:t xml:space="preserve"> </w:t>
      </w:r>
      <w:proofErr w:type="spellStart"/>
      <w:r w:rsidRPr="000C7C76">
        <w:rPr>
          <w:rFonts w:ascii="Times New Roman" w:hAnsi="Times New Roman" w:cs="Times New Roman"/>
          <w:lang w:val="en-US"/>
        </w:rPr>
        <w:t>dokumenta</w:t>
      </w:r>
      <w:proofErr w:type="spellEnd"/>
      <w:r w:rsidRPr="000C7C76">
        <w:rPr>
          <w:rFonts w:ascii="Times New Roman" w:hAnsi="Times New Roman" w:cs="Times New Roman"/>
          <w:lang w:val="en-US"/>
        </w:rPr>
        <w:t xml:space="preserve">, </w:t>
      </w:r>
      <w:proofErr w:type="spellStart"/>
      <w:r w:rsidRPr="000C7C76">
        <w:rPr>
          <w:rFonts w:ascii="Times New Roman" w:hAnsi="Times New Roman" w:cs="Times New Roman"/>
          <w:lang w:val="en-US"/>
        </w:rPr>
        <w:t>proti</w:t>
      </w:r>
      <w:proofErr w:type="spellEnd"/>
      <w:r w:rsidRPr="000C7C76">
        <w:rPr>
          <w:rFonts w:ascii="Times New Roman" w:hAnsi="Times New Roman" w:cs="Times New Roman"/>
          <w:lang w:val="en-US"/>
        </w:rPr>
        <w:t xml:space="preserve">, </w:t>
      </w:r>
      <w:proofErr w:type="spellStart"/>
      <w:r w:rsidRPr="000C7C76">
        <w:rPr>
          <w:rFonts w:ascii="Times New Roman" w:hAnsi="Times New Roman" w:cs="Times New Roman"/>
          <w:lang w:val="en-US"/>
        </w:rPr>
        <w:t>pilnvaras</w:t>
      </w:r>
      <w:proofErr w:type="spellEnd"/>
      <w:r w:rsidRPr="000C7C76">
        <w:rPr>
          <w:rFonts w:ascii="Times New Roman" w:hAnsi="Times New Roman" w:cs="Times New Roman"/>
          <w:lang w:val="en-US"/>
        </w:rPr>
        <w:t xml:space="preserve">, </w:t>
      </w:r>
      <w:proofErr w:type="spellStart"/>
      <w:r w:rsidRPr="000C7C76">
        <w:rPr>
          <w:rFonts w:ascii="Times New Roman" w:hAnsi="Times New Roman" w:cs="Times New Roman"/>
          <w:lang w:val="en-US"/>
        </w:rPr>
        <w:t>uz</w:t>
      </w:r>
      <w:proofErr w:type="spellEnd"/>
      <w:r w:rsidRPr="000C7C76">
        <w:rPr>
          <w:rFonts w:ascii="Times New Roman" w:hAnsi="Times New Roman" w:cs="Times New Roman"/>
          <w:lang w:val="en-US"/>
        </w:rPr>
        <w:t xml:space="preserve"> </w:t>
      </w:r>
      <w:proofErr w:type="spellStart"/>
      <w:r w:rsidRPr="000C7C76">
        <w:rPr>
          <w:rFonts w:ascii="Times New Roman" w:hAnsi="Times New Roman" w:cs="Times New Roman"/>
          <w:lang w:val="en-US"/>
        </w:rPr>
        <w:t>kuras</w:t>
      </w:r>
      <w:proofErr w:type="spellEnd"/>
      <w:r w:rsidRPr="000C7C76">
        <w:rPr>
          <w:rFonts w:ascii="Times New Roman" w:hAnsi="Times New Roman" w:cs="Times New Roman"/>
          <w:lang w:val="en-US"/>
        </w:rPr>
        <w:t xml:space="preserve"> </w:t>
      </w:r>
      <w:proofErr w:type="spellStart"/>
      <w:r w:rsidRPr="000C7C76">
        <w:rPr>
          <w:rFonts w:ascii="Times New Roman" w:hAnsi="Times New Roman" w:cs="Times New Roman"/>
          <w:lang w:val="en-US"/>
        </w:rPr>
        <w:t>notārs</w:t>
      </w:r>
      <w:proofErr w:type="spellEnd"/>
      <w:r w:rsidRPr="000C7C76">
        <w:rPr>
          <w:rFonts w:ascii="Times New Roman" w:hAnsi="Times New Roman" w:cs="Times New Roman"/>
          <w:lang w:val="en-US"/>
        </w:rPr>
        <w:t xml:space="preserve"> (</w:t>
      </w:r>
      <w:proofErr w:type="spellStart"/>
      <w:r w:rsidRPr="000C7C76">
        <w:rPr>
          <w:rFonts w:ascii="Times New Roman" w:hAnsi="Times New Roman" w:cs="Times New Roman"/>
          <w:lang w:val="en-US"/>
        </w:rPr>
        <w:t>vai</w:t>
      </w:r>
      <w:proofErr w:type="spellEnd"/>
      <w:r w:rsidRPr="000C7C76">
        <w:rPr>
          <w:rFonts w:ascii="Times New Roman" w:hAnsi="Times New Roman" w:cs="Times New Roman"/>
          <w:lang w:val="en-US"/>
        </w:rPr>
        <w:t xml:space="preserve"> </w:t>
      </w:r>
      <w:proofErr w:type="spellStart"/>
      <w:r w:rsidRPr="000C7C76">
        <w:rPr>
          <w:rFonts w:ascii="Times New Roman" w:hAnsi="Times New Roman" w:cs="Times New Roman"/>
          <w:lang w:val="en-US"/>
        </w:rPr>
        <w:t>ārvalsts</w:t>
      </w:r>
      <w:proofErr w:type="spellEnd"/>
      <w:r w:rsidRPr="000C7C76">
        <w:rPr>
          <w:rFonts w:ascii="Times New Roman" w:hAnsi="Times New Roman" w:cs="Times New Roman"/>
          <w:lang w:val="en-US"/>
        </w:rPr>
        <w:t xml:space="preserve"> </w:t>
      </w:r>
      <w:proofErr w:type="spellStart"/>
      <w:r w:rsidRPr="000C7C76">
        <w:rPr>
          <w:rFonts w:ascii="Times New Roman" w:hAnsi="Times New Roman" w:cs="Times New Roman"/>
          <w:lang w:val="en-US"/>
        </w:rPr>
        <w:t>notārs</w:t>
      </w:r>
      <w:proofErr w:type="spellEnd"/>
      <w:r w:rsidRPr="000C7C76">
        <w:rPr>
          <w:rFonts w:ascii="Times New Roman" w:hAnsi="Times New Roman" w:cs="Times New Roman"/>
          <w:lang w:val="en-US"/>
        </w:rPr>
        <w:t xml:space="preserve">) </w:t>
      </w:r>
      <w:proofErr w:type="spellStart"/>
      <w:r w:rsidRPr="000C7C76">
        <w:rPr>
          <w:rFonts w:ascii="Times New Roman" w:hAnsi="Times New Roman" w:cs="Times New Roman"/>
          <w:lang w:val="en-US"/>
        </w:rPr>
        <w:t>ir</w:t>
      </w:r>
      <w:proofErr w:type="spellEnd"/>
      <w:r w:rsidRPr="000C7C76">
        <w:rPr>
          <w:rFonts w:ascii="Times New Roman" w:hAnsi="Times New Roman" w:cs="Times New Roman"/>
          <w:lang w:val="en-US"/>
        </w:rPr>
        <w:t xml:space="preserve"> </w:t>
      </w:r>
      <w:proofErr w:type="spellStart"/>
      <w:r w:rsidRPr="000C7C76">
        <w:rPr>
          <w:rFonts w:ascii="Times New Roman" w:hAnsi="Times New Roman" w:cs="Times New Roman"/>
          <w:lang w:val="en-US"/>
        </w:rPr>
        <w:t>apliecinājis</w:t>
      </w:r>
      <w:proofErr w:type="spellEnd"/>
      <w:r w:rsidRPr="000C7C76">
        <w:rPr>
          <w:rFonts w:ascii="Times New Roman" w:hAnsi="Times New Roman" w:cs="Times New Roman"/>
          <w:lang w:val="en-US"/>
        </w:rPr>
        <w:t xml:space="preserve"> </w:t>
      </w:r>
      <w:proofErr w:type="spellStart"/>
      <w:r w:rsidRPr="000C7C76">
        <w:rPr>
          <w:rFonts w:ascii="Times New Roman" w:hAnsi="Times New Roman" w:cs="Times New Roman"/>
          <w:lang w:val="en-US"/>
        </w:rPr>
        <w:t>tikai</w:t>
      </w:r>
      <w:proofErr w:type="spellEnd"/>
      <w:r w:rsidRPr="000C7C76">
        <w:rPr>
          <w:rFonts w:ascii="Times New Roman" w:hAnsi="Times New Roman" w:cs="Times New Roman"/>
          <w:lang w:val="en-US"/>
        </w:rPr>
        <w:t xml:space="preserve"> </w:t>
      </w:r>
      <w:proofErr w:type="spellStart"/>
      <w:r w:rsidRPr="000C7C76">
        <w:rPr>
          <w:rFonts w:ascii="Times New Roman" w:hAnsi="Times New Roman" w:cs="Times New Roman"/>
          <w:lang w:val="en-US"/>
        </w:rPr>
        <w:t>personu</w:t>
      </w:r>
      <w:proofErr w:type="spellEnd"/>
      <w:r w:rsidRPr="000C7C76">
        <w:rPr>
          <w:rFonts w:ascii="Times New Roman" w:hAnsi="Times New Roman" w:cs="Times New Roman"/>
          <w:lang w:val="en-US"/>
        </w:rPr>
        <w:t xml:space="preserve"> </w:t>
      </w:r>
      <w:proofErr w:type="spellStart"/>
      <w:r w:rsidRPr="000C7C76">
        <w:rPr>
          <w:rFonts w:ascii="Times New Roman" w:hAnsi="Times New Roman" w:cs="Times New Roman"/>
          <w:lang w:val="en-US"/>
        </w:rPr>
        <w:t>parakstu</w:t>
      </w:r>
      <w:proofErr w:type="spellEnd"/>
      <w:r w:rsidRPr="000C7C76">
        <w:rPr>
          <w:rFonts w:ascii="Times New Roman" w:hAnsi="Times New Roman" w:cs="Times New Roman"/>
          <w:lang w:val="en-US"/>
        </w:rPr>
        <w:t xml:space="preserve"> </w:t>
      </w:r>
      <w:proofErr w:type="spellStart"/>
      <w:r w:rsidRPr="000C7C76">
        <w:rPr>
          <w:rFonts w:ascii="Times New Roman" w:hAnsi="Times New Roman" w:cs="Times New Roman"/>
          <w:lang w:val="en-US"/>
        </w:rPr>
        <w:t>īstumu</w:t>
      </w:r>
      <w:proofErr w:type="spellEnd"/>
      <w:r w:rsidRPr="000C7C76">
        <w:rPr>
          <w:rFonts w:ascii="Times New Roman" w:hAnsi="Times New Roman" w:cs="Times New Roman"/>
          <w:lang w:val="en-US"/>
        </w:rPr>
        <w:t xml:space="preserve">. </w:t>
      </w:r>
      <w:proofErr w:type="spellStart"/>
      <w:r w:rsidRPr="000C7C76">
        <w:rPr>
          <w:rFonts w:ascii="Times New Roman" w:hAnsi="Times New Roman" w:cs="Times New Roman"/>
          <w:lang w:val="en-US"/>
        </w:rPr>
        <w:t>Piemēram</w:t>
      </w:r>
      <w:proofErr w:type="spellEnd"/>
      <w:r w:rsidRPr="000C7C76">
        <w:rPr>
          <w:rFonts w:ascii="Times New Roman" w:hAnsi="Times New Roman" w:cs="Times New Roman"/>
          <w:lang w:val="en-US"/>
        </w:rPr>
        <w:t xml:space="preserve">, </w:t>
      </w:r>
      <w:proofErr w:type="spellStart"/>
      <w:r w:rsidRPr="000C7C76">
        <w:rPr>
          <w:rFonts w:ascii="Times New Roman" w:hAnsi="Times New Roman" w:cs="Times New Roman"/>
          <w:lang w:val="en-US"/>
        </w:rPr>
        <w:t>Rīgā</w:t>
      </w:r>
      <w:proofErr w:type="spellEnd"/>
      <w:r w:rsidRPr="000C7C76">
        <w:rPr>
          <w:rFonts w:ascii="Times New Roman" w:hAnsi="Times New Roman" w:cs="Times New Roman"/>
          <w:lang w:val="en-US"/>
        </w:rPr>
        <w:t xml:space="preserve"> </w:t>
      </w:r>
      <w:proofErr w:type="spellStart"/>
      <w:r w:rsidRPr="000C7C76">
        <w:rPr>
          <w:rFonts w:ascii="Times New Roman" w:hAnsi="Times New Roman" w:cs="Times New Roman"/>
          <w:lang w:val="en-US"/>
        </w:rPr>
        <w:t>praktizējošs</w:t>
      </w:r>
      <w:proofErr w:type="spellEnd"/>
      <w:r w:rsidRPr="000C7C76">
        <w:rPr>
          <w:rFonts w:ascii="Times New Roman" w:hAnsi="Times New Roman" w:cs="Times New Roman"/>
          <w:lang w:val="en-US"/>
        </w:rPr>
        <w:t xml:space="preserve"> </w:t>
      </w:r>
      <w:proofErr w:type="spellStart"/>
      <w:r w:rsidRPr="000C7C76">
        <w:rPr>
          <w:rFonts w:ascii="Times New Roman" w:hAnsi="Times New Roman" w:cs="Times New Roman"/>
          <w:lang w:val="en-US"/>
        </w:rPr>
        <w:t>notārs</w:t>
      </w:r>
      <w:proofErr w:type="spellEnd"/>
      <w:r w:rsidRPr="000C7C76">
        <w:rPr>
          <w:rFonts w:ascii="Times New Roman" w:hAnsi="Times New Roman" w:cs="Times New Roman"/>
          <w:lang w:val="en-US"/>
        </w:rPr>
        <w:t xml:space="preserve"> </w:t>
      </w:r>
      <w:proofErr w:type="spellStart"/>
      <w:r w:rsidRPr="000C7C76">
        <w:rPr>
          <w:rFonts w:ascii="Times New Roman" w:hAnsi="Times New Roman" w:cs="Times New Roman"/>
          <w:lang w:val="en-US"/>
        </w:rPr>
        <w:t>pārstāvības</w:t>
      </w:r>
      <w:proofErr w:type="spellEnd"/>
      <w:r w:rsidRPr="000C7C76">
        <w:rPr>
          <w:rFonts w:ascii="Times New Roman" w:hAnsi="Times New Roman" w:cs="Times New Roman"/>
          <w:lang w:val="en-US"/>
        </w:rPr>
        <w:t xml:space="preserve"> </w:t>
      </w:r>
      <w:proofErr w:type="spellStart"/>
      <w:r w:rsidRPr="000C7C76">
        <w:rPr>
          <w:rFonts w:ascii="Times New Roman" w:hAnsi="Times New Roman" w:cs="Times New Roman"/>
          <w:lang w:val="en-US"/>
        </w:rPr>
        <w:t>tiesību</w:t>
      </w:r>
      <w:proofErr w:type="spellEnd"/>
      <w:r w:rsidRPr="000C7C76">
        <w:rPr>
          <w:rFonts w:ascii="Times New Roman" w:hAnsi="Times New Roman" w:cs="Times New Roman"/>
          <w:lang w:val="en-US"/>
        </w:rPr>
        <w:t xml:space="preserve"> </w:t>
      </w:r>
      <w:proofErr w:type="spellStart"/>
      <w:r w:rsidRPr="000C7C76">
        <w:rPr>
          <w:rFonts w:ascii="Times New Roman" w:hAnsi="Times New Roman" w:cs="Times New Roman"/>
          <w:lang w:val="en-US"/>
        </w:rPr>
        <w:t>pārbaudei</w:t>
      </w:r>
      <w:proofErr w:type="spellEnd"/>
      <w:r w:rsidRPr="000C7C76">
        <w:rPr>
          <w:rFonts w:ascii="Times New Roman" w:hAnsi="Times New Roman" w:cs="Times New Roman"/>
          <w:lang w:val="en-US"/>
        </w:rPr>
        <w:t xml:space="preserve"> </w:t>
      </w:r>
      <w:proofErr w:type="spellStart"/>
      <w:r w:rsidRPr="000C7C76">
        <w:rPr>
          <w:rFonts w:ascii="Times New Roman" w:hAnsi="Times New Roman" w:cs="Times New Roman"/>
          <w:lang w:val="en-US"/>
        </w:rPr>
        <w:t>nevarēs</w:t>
      </w:r>
      <w:proofErr w:type="spellEnd"/>
      <w:r w:rsidRPr="000C7C76">
        <w:rPr>
          <w:rFonts w:ascii="Times New Roman" w:hAnsi="Times New Roman" w:cs="Times New Roman"/>
          <w:lang w:val="en-US"/>
        </w:rPr>
        <w:t xml:space="preserve"> </w:t>
      </w:r>
      <w:proofErr w:type="spellStart"/>
      <w:r w:rsidRPr="000C7C76">
        <w:rPr>
          <w:rFonts w:ascii="Times New Roman" w:hAnsi="Times New Roman" w:cs="Times New Roman"/>
          <w:lang w:val="en-US"/>
        </w:rPr>
        <w:t>pieņemt</w:t>
      </w:r>
      <w:proofErr w:type="spellEnd"/>
      <w:r w:rsidRPr="000C7C76">
        <w:rPr>
          <w:rFonts w:ascii="Times New Roman" w:hAnsi="Times New Roman" w:cs="Times New Roman"/>
          <w:lang w:val="en-US"/>
        </w:rPr>
        <w:t xml:space="preserve"> </w:t>
      </w:r>
      <w:proofErr w:type="spellStart"/>
      <w:r w:rsidRPr="000C7C76">
        <w:rPr>
          <w:rFonts w:ascii="Times New Roman" w:hAnsi="Times New Roman" w:cs="Times New Roman"/>
          <w:lang w:val="en-US"/>
        </w:rPr>
        <w:t>sava</w:t>
      </w:r>
      <w:proofErr w:type="spellEnd"/>
      <w:r w:rsidRPr="000C7C76">
        <w:rPr>
          <w:rFonts w:ascii="Times New Roman" w:hAnsi="Times New Roman" w:cs="Times New Roman"/>
          <w:lang w:val="en-US"/>
        </w:rPr>
        <w:t xml:space="preserve"> </w:t>
      </w:r>
      <w:proofErr w:type="spellStart"/>
      <w:r w:rsidRPr="000C7C76">
        <w:rPr>
          <w:rFonts w:ascii="Times New Roman" w:hAnsi="Times New Roman" w:cs="Times New Roman"/>
          <w:lang w:val="en-US"/>
        </w:rPr>
        <w:t>kolēģa</w:t>
      </w:r>
      <w:proofErr w:type="spellEnd"/>
      <w:r w:rsidRPr="000C7C76">
        <w:rPr>
          <w:rFonts w:ascii="Times New Roman" w:hAnsi="Times New Roman" w:cs="Times New Roman"/>
          <w:lang w:val="en-US"/>
        </w:rPr>
        <w:t xml:space="preserve"> – </w:t>
      </w:r>
      <w:proofErr w:type="spellStart"/>
      <w:r w:rsidRPr="000C7C76">
        <w:rPr>
          <w:rFonts w:ascii="Times New Roman" w:hAnsi="Times New Roman" w:cs="Times New Roman"/>
          <w:lang w:val="en-US"/>
        </w:rPr>
        <w:t>Liepājā</w:t>
      </w:r>
      <w:proofErr w:type="spellEnd"/>
      <w:r w:rsidRPr="000C7C76">
        <w:rPr>
          <w:rFonts w:ascii="Times New Roman" w:hAnsi="Times New Roman" w:cs="Times New Roman"/>
          <w:lang w:val="en-US"/>
        </w:rPr>
        <w:t xml:space="preserve"> </w:t>
      </w:r>
      <w:proofErr w:type="spellStart"/>
      <w:r w:rsidRPr="000C7C76">
        <w:rPr>
          <w:rFonts w:ascii="Times New Roman" w:hAnsi="Times New Roman" w:cs="Times New Roman"/>
          <w:lang w:val="en-US"/>
        </w:rPr>
        <w:t>praktizējoša</w:t>
      </w:r>
      <w:proofErr w:type="spellEnd"/>
      <w:r w:rsidRPr="000C7C76">
        <w:rPr>
          <w:rFonts w:ascii="Times New Roman" w:hAnsi="Times New Roman" w:cs="Times New Roman"/>
          <w:lang w:val="en-US"/>
        </w:rPr>
        <w:t xml:space="preserve"> </w:t>
      </w:r>
      <w:proofErr w:type="spellStart"/>
      <w:r w:rsidRPr="000C7C76">
        <w:rPr>
          <w:rFonts w:ascii="Times New Roman" w:hAnsi="Times New Roman" w:cs="Times New Roman"/>
          <w:lang w:val="en-US"/>
        </w:rPr>
        <w:t>zvērināta</w:t>
      </w:r>
      <w:proofErr w:type="spellEnd"/>
      <w:r w:rsidRPr="000C7C76">
        <w:rPr>
          <w:rFonts w:ascii="Times New Roman" w:hAnsi="Times New Roman" w:cs="Times New Roman"/>
          <w:lang w:val="en-US"/>
        </w:rPr>
        <w:t xml:space="preserve"> </w:t>
      </w:r>
      <w:proofErr w:type="spellStart"/>
      <w:r w:rsidRPr="000C7C76">
        <w:rPr>
          <w:rFonts w:ascii="Times New Roman" w:hAnsi="Times New Roman" w:cs="Times New Roman"/>
          <w:lang w:val="en-US"/>
        </w:rPr>
        <w:t>notāra</w:t>
      </w:r>
      <w:proofErr w:type="spellEnd"/>
      <w:r w:rsidRPr="000C7C76">
        <w:rPr>
          <w:rFonts w:ascii="Times New Roman" w:hAnsi="Times New Roman" w:cs="Times New Roman"/>
          <w:lang w:val="en-US"/>
        </w:rPr>
        <w:t xml:space="preserve"> – </w:t>
      </w:r>
      <w:proofErr w:type="spellStart"/>
      <w:r w:rsidRPr="000C7C76">
        <w:rPr>
          <w:rFonts w:ascii="Times New Roman" w:hAnsi="Times New Roman" w:cs="Times New Roman"/>
          <w:lang w:val="en-US"/>
        </w:rPr>
        <w:t>apliecinātu</w:t>
      </w:r>
      <w:proofErr w:type="spellEnd"/>
      <w:r w:rsidRPr="000C7C76">
        <w:rPr>
          <w:rFonts w:ascii="Times New Roman" w:hAnsi="Times New Roman" w:cs="Times New Roman"/>
          <w:lang w:val="en-US"/>
        </w:rPr>
        <w:t xml:space="preserve"> </w:t>
      </w:r>
      <w:proofErr w:type="spellStart"/>
      <w:r w:rsidRPr="000C7C76">
        <w:rPr>
          <w:rFonts w:ascii="Times New Roman" w:hAnsi="Times New Roman" w:cs="Times New Roman"/>
          <w:lang w:val="en-US"/>
        </w:rPr>
        <w:t>pilnvaru</w:t>
      </w:r>
      <w:proofErr w:type="spellEnd"/>
      <w:r w:rsidRPr="000C7C76">
        <w:rPr>
          <w:rFonts w:ascii="Times New Roman" w:hAnsi="Times New Roman" w:cs="Times New Roman"/>
          <w:lang w:val="en-US"/>
        </w:rPr>
        <w:t xml:space="preserve"> (</w:t>
      </w:r>
      <w:proofErr w:type="spellStart"/>
      <w:r w:rsidRPr="000C7C76">
        <w:rPr>
          <w:rFonts w:ascii="Times New Roman" w:hAnsi="Times New Roman" w:cs="Times New Roman"/>
          <w:lang w:val="en-US"/>
        </w:rPr>
        <w:t>privātu</w:t>
      </w:r>
      <w:proofErr w:type="spellEnd"/>
      <w:r w:rsidRPr="000C7C76">
        <w:rPr>
          <w:rFonts w:ascii="Times New Roman" w:hAnsi="Times New Roman" w:cs="Times New Roman"/>
          <w:lang w:val="en-US"/>
        </w:rPr>
        <w:t xml:space="preserve"> </w:t>
      </w:r>
      <w:proofErr w:type="spellStart"/>
      <w:r w:rsidRPr="000C7C76">
        <w:rPr>
          <w:rFonts w:ascii="Times New Roman" w:hAnsi="Times New Roman" w:cs="Times New Roman"/>
          <w:lang w:val="en-US"/>
        </w:rPr>
        <w:t>dokumentu</w:t>
      </w:r>
      <w:proofErr w:type="spellEnd"/>
      <w:r w:rsidRPr="000C7C76">
        <w:rPr>
          <w:rFonts w:ascii="Times New Roman" w:hAnsi="Times New Roman" w:cs="Times New Roman"/>
          <w:lang w:val="en-US"/>
        </w:rPr>
        <w:t xml:space="preserve">). Tad </w:t>
      </w:r>
      <w:proofErr w:type="spellStart"/>
      <w:r w:rsidRPr="000C7C76">
        <w:rPr>
          <w:rFonts w:ascii="Times New Roman" w:hAnsi="Times New Roman" w:cs="Times New Roman"/>
          <w:lang w:val="en-US"/>
        </w:rPr>
        <w:t>kādēļ</w:t>
      </w:r>
      <w:proofErr w:type="spellEnd"/>
      <w:r w:rsidRPr="000C7C76">
        <w:rPr>
          <w:rFonts w:ascii="Times New Roman" w:hAnsi="Times New Roman" w:cs="Times New Roman"/>
          <w:lang w:val="en-US"/>
        </w:rPr>
        <w:t xml:space="preserve"> </w:t>
      </w:r>
      <w:proofErr w:type="spellStart"/>
      <w:r w:rsidRPr="000C7C76">
        <w:rPr>
          <w:rFonts w:ascii="Times New Roman" w:hAnsi="Times New Roman" w:cs="Times New Roman"/>
          <w:lang w:val="en-US"/>
        </w:rPr>
        <w:t>lai</w:t>
      </w:r>
      <w:proofErr w:type="spellEnd"/>
      <w:r w:rsidRPr="000C7C76">
        <w:rPr>
          <w:rFonts w:ascii="Times New Roman" w:hAnsi="Times New Roman" w:cs="Times New Roman"/>
          <w:lang w:val="en-US"/>
        </w:rPr>
        <w:t xml:space="preserve"> </w:t>
      </w:r>
      <w:proofErr w:type="spellStart"/>
      <w:r w:rsidRPr="000C7C76">
        <w:rPr>
          <w:rFonts w:ascii="Times New Roman" w:hAnsi="Times New Roman" w:cs="Times New Roman"/>
          <w:lang w:val="en-US"/>
        </w:rPr>
        <w:t>Rīgā</w:t>
      </w:r>
      <w:proofErr w:type="spellEnd"/>
      <w:r w:rsidRPr="000C7C76">
        <w:rPr>
          <w:rFonts w:ascii="Times New Roman" w:hAnsi="Times New Roman" w:cs="Times New Roman"/>
          <w:lang w:val="en-US"/>
        </w:rPr>
        <w:t xml:space="preserve"> </w:t>
      </w:r>
      <w:proofErr w:type="spellStart"/>
      <w:r w:rsidRPr="000C7C76">
        <w:rPr>
          <w:rFonts w:ascii="Times New Roman" w:hAnsi="Times New Roman" w:cs="Times New Roman"/>
          <w:lang w:val="en-US"/>
        </w:rPr>
        <w:t>praktizējošs</w:t>
      </w:r>
      <w:proofErr w:type="spellEnd"/>
      <w:r w:rsidRPr="000C7C76">
        <w:rPr>
          <w:rFonts w:ascii="Times New Roman" w:hAnsi="Times New Roman" w:cs="Times New Roman"/>
          <w:lang w:val="en-US"/>
        </w:rPr>
        <w:t xml:space="preserve"> </w:t>
      </w:r>
      <w:proofErr w:type="spellStart"/>
      <w:r w:rsidRPr="000C7C76">
        <w:rPr>
          <w:rFonts w:ascii="Times New Roman" w:hAnsi="Times New Roman" w:cs="Times New Roman"/>
          <w:lang w:val="en-US"/>
        </w:rPr>
        <w:t>zvērināts</w:t>
      </w:r>
      <w:proofErr w:type="spellEnd"/>
      <w:r w:rsidRPr="000C7C76">
        <w:rPr>
          <w:rFonts w:ascii="Times New Roman" w:hAnsi="Times New Roman" w:cs="Times New Roman"/>
          <w:lang w:val="en-US"/>
        </w:rPr>
        <w:t xml:space="preserve"> </w:t>
      </w:r>
      <w:proofErr w:type="spellStart"/>
      <w:r w:rsidRPr="000C7C76">
        <w:rPr>
          <w:rFonts w:ascii="Times New Roman" w:hAnsi="Times New Roman" w:cs="Times New Roman"/>
          <w:lang w:val="en-US"/>
        </w:rPr>
        <w:t>notārs</w:t>
      </w:r>
      <w:proofErr w:type="spellEnd"/>
      <w:r w:rsidRPr="000C7C76">
        <w:rPr>
          <w:rFonts w:ascii="Times New Roman" w:hAnsi="Times New Roman" w:cs="Times New Roman"/>
          <w:lang w:val="en-US"/>
        </w:rPr>
        <w:t xml:space="preserve"> </w:t>
      </w:r>
      <w:proofErr w:type="spellStart"/>
      <w:r w:rsidRPr="000C7C76">
        <w:rPr>
          <w:rFonts w:ascii="Times New Roman" w:hAnsi="Times New Roman" w:cs="Times New Roman"/>
          <w:lang w:val="en-US"/>
        </w:rPr>
        <w:t>pieņemtu</w:t>
      </w:r>
      <w:proofErr w:type="spellEnd"/>
      <w:r w:rsidRPr="000C7C76">
        <w:rPr>
          <w:rFonts w:ascii="Times New Roman" w:hAnsi="Times New Roman" w:cs="Times New Roman"/>
          <w:lang w:val="en-US"/>
        </w:rPr>
        <w:t xml:space="preserve"> ASV </w:t>
      </w:r>
      <w:r w:rsidRPr="000C7C76">
        <w:rPr>
          <w:rFonts w:ascii="Times New Roman" w:hAnsi="Times New Roman" w:cs="Times New Roman"/>
          <w:i/>
          <w:lang w:val="en-US"/>
        </w:rPr>
        <w:t>notary public</w:t>
      </w:r>
      <w:r w:rsidRPr="000C7C76">
        <w:rPr>
          <w:rFonts w:ascii="Times New Roman" w:hAnsi="Times New Roman" w:cs="Times New Roman"/>
          <w:lang w:val="en-US"/>
        </w:rPr>
        <w:t xml:space="preserve"> </w:t>
      </w:r>
      <w:proofErr w:type="spellStart"/>
      <w:r w:rsidRPr="000C7C76">
        <w:rPr>
          <w:rFonts w:ascii="Times New Roman" w:hAnsi="Times New Roman" w:cs="Times New Roman"/>
          <w:lang w:val="en-US"/>
        </w:rPr>
        <w:t>apliecinātu</w:t>
      </w:r>
      <w:proofErr w:type="spellEnd"/>
      <w:r w:rsidRPr="000C7C76">
        <w:rPr>
          <w:rFonts w:ascii="Times New Roman" w:hAnsi="Times New Roman" w:cs="Times New Roman"/>
          <w:lang w:val="en-US"/>
        </w:rPr>
        <w:t xml:space="preserve"> </w:t>
      </w:r>
      <w:proofErr w:type="spellStart"/>
      <w:r w:rsidRPr="000C7C76">
        <w:rPr>
          <w:rFonts w:ascii="Times New Roman" w:hAnsi="Times New Roman" w:cs="Times New Roman"/>
          <w:lang w:val="en-US"/>
        </w:rPr>
        <w:t>privātu</w:t>
      </w:r>
      <w:proofErr w:type="spellEnd"/>
      <w:r w:rsidRPr="000C7C76">
        <w:rPr>
          <w:rFonts w:ascii="Times New Roman" w:hAnsi="Times New Roman" w:cs="Times New Roman"/>
          <w:lang w:val="en-US"/>
        </w:rPr>
        <w:t xml:space="preserve"> </w:t>
      </w:r>
      <w:proofErr w:type="spellStart"/>
      <w:r w:rsidRPr="000C7C76">
        <w:rPr>
          <w:rFonts w:ascii="Times New Roman" w:hAnsi="Times New Roman" w:cs="Times New Roman"/>
          <w:lang w:val="en-US"/>
        </w:rPr>
        <w:t>dokumentu</w:t>
      </w:r>
      <w:proofErr w:type="spellEnd"/>
      <w:r w:rsidRPr="000C7C76">
        <w:rPr>
          <w:rFonts w:ascii="Times New Roman" w:hAnsi="Times New Roman" w:cs="Times New Roman"/>
          <w:lang w:val="en-US"/>
        </w:rPr>
        <w:t xml:space="preserve"> (</w:t>
      </w:r>
      <w:proofErr w:type="spellStart"/>
      <w:r w:rsidRPr="000C7C76">
        <w:rPr>
          <w:rFonts w:ascii="Times New Roman" w:hAnsi="Times New Roman" w:cs="Times New Roman"/>
          <w:lang w:val="en-US"/>
        </w:rPr>
        <w:t>pilnvaru</w:t>
      </w:r>
      <w:proofErr w:type="spellEnd"/>
      <w:proofErr w:type="gramStart"/>
      <w:r w:rsidRPr="000C7C76">
        <w:rPr>
          <w:rFonts w:ascii="Times New Roman" w:hAnsi="Times New Roman" w:cs="Times New Roman"/>
          <w:lang w:val="en-US"/>
        </w:rPr>
        <w:t>) ?</w:t>
      </w:r>
      <w:proofErr w:type="gramEnd"/>
      <w:r w:rsidRPr="000C7C76">
        <w:rPr>
          <w:rFonts w:ascii="Times New Roman" w:hAnsi="Times New Roman" w:cs="Times New Roman"/>
          <w:lang w:val="en-US"/>
        </w:rPr>
        <w:t xml:space="preserve">  </w:t>
      </w:r>
    </w:p>
    <w:p w14:paraId="10792C50" w14:textId="0B6B2E7D" w:rsidR="00114953" w:rsidRPr="00CD4311" w:rsidRDefault="00114953" w:rsidP="00114953">
      <w:pPr>
        <w:ind w:firstLine="708"/>
        <w:jc w:val="both"/>
        <w:rPr>
          <w:rFonts w:ascii="Times New Roman" w:hAnsi="Times New Roman" w:cs="Times New Roman"/>
          <w:lang w:val="lv-LV"/>
        </w:rPr>
      </w:pPr>
      <w:r w:rsidRPr="000C7C76">
        <w:rPr>
          <w:rFonts w:ascii="Times New Roman" w:hAnsi="Times New Roman" w:cs="Times New Roman"/>
          <w:lang w:val="en-US"/>
        </w:rPr>
        <w:t xml:space="preserve">Ja persona </w:t>
      </w:r>
      <w:proofErr w:type="spellStart"/>
      <w:r w:rsidRPr="000C7C76">
        <w:rPr>
          <w:rFonts w:ascii="Times New Roman" w:hAnsi="Times New Roman" w:cs="Times New Roman"/>
          <w:lang w:val="en-US"/>
        </w:rPr>
        <w:t>vēlas</w:t>
      </w:r>
      <w:proofErr w:type="spellEnd"/>
      <w:r w:rsidRPr="000C7C76">
        <w:rPr>
          <w:rFonts w:ascii="Times New Roman" w:hAnsi="Times New Roman" w:cs="Times New Roman"/>
          <w:lang w:val="en-US"/>
        </w:rPr>
        <w:t xml:space="preserve"> </w:t>
      </w:r>
      <w:proofErr w:type="spellStart"/>
      <w:r w:rsidRPr="000C7C76">
        <w:rPr>
          <w:rFonts w:ascii="Times New Roman" w:hAnsi="Times New Roman" w:cs="Times New Roman"/>
          <w:lang w:val="en-US"/>
        </w:rPr>
        <w:t>noslēgt</w:t>
      </w:r>
      <w:proofErr w:type="spellEnd"/>
      <w:r w:rsidRPr="000C7C76">
        <w:rPr>
          <w:rFonts w:ascii="Times New Roman" w:hAnsi="Times New Roman" w:cs="Times New Roman"/>
          <w:lang w:val="en-US"/>
        </w:rPr>
        <w:t xml:space="preserve"> </w:t>
      </w:r>
      <w:proofErr w:type="spellStart"/>
      <w:r w:rsidRPr="000C7C76">
        <w:rPr>
          <w:rFonts w:ascii="Times New Roman" w:hAnsi="Times New Roman" w:cs="Times New Roman"/>
          <w:lang w:val="en-US"/>
        </w:rPr>
        <w:t>darījumu</w:t>
      </w:r>
      <w:proofErr w:type="spellEnd"/>
      <w:r w:rsidRPr="000C7C76">
        <w:rPr>
          <w:rFonts w:ascii="Times New Roman" w:hAnsi="Times New Roman" w:cs="Times New Roman"/>
          <w:lang w:val="en-US"/>
        </w:rPr>
        <w:t xml:space="preserve"> pie Latvijas </w:t>
      </w:r>
      <w:proofErr w:type="spellStart"/>
      <w:r w:rsidRPr="000C7C76">
        <w:rPr>
          <w:rFonts w:ascii="Times New Roman" w:hAnsi="Times New Roman" w:cs="Times New Roman"/>
          <w:lang w:val="en-US"/>
        </w:rPr>
        <w:t>zvērināta</w:t>
      </w:r>
      <w:proofErr w:type="spellEnd"/>
      <w:r w:rsidRPr="000C7C76">
        <w:rPr>
          <w:rFonts w:ascii="Times New Roman" w:hAnsi="Times New Roman" w:cs="Times New Roman"/>
          <w:lang w:val="en-US"/>
        </w:rPr>
        <w:t xml:space="preserve"> </w:t>
      </w:r>
      <w:proofErr w:type="spellStart"/>
      <w:r w:rsidRPr="000C7C76">
        <w:rPr>
          <w:rFonts w:ascii="Times New Roman" w:hAnsi="Times New Roman" w:cs="Times New Roman"/>
          <w:lang w:val="en-US"/>
        </w:rPr>
        <w:t>notāra</w:t>
      </w:r>
      <w:proofErr w:type="spellEnd"/>
      <w:r w:rsidRPr="000C7C76">
        <w:rPr>
          <w:rFonts w:ascii="Times New Roman" w:hAnsi="Times New Roman" w:cs="Times New Roman"/>
          <w:lang w:val="en-US"/>
        </w:rPr>
        <w:t xml:space="preserve"> </w:t>
      </w:r>
      <w:proofErr w:type="spellStart"/>
      <w:r w:rsidRPr="000C7C76">
        <w:rPr>
          <w:rFonts w:ascii="Times New Roman" w:hAnsi="Times New Roman" w:cs="Times New Roman"/>
          <w:lang w:val="en-US"/>
        </w:rPr>
        <w:t>notariālā</w:t>
      </w:r>
      <w:proofErr w:type="spellEnd"/>
      <w:r w:rsidRPr="000C7C76">
        <w:rPr>
          <w:rFonts w:ascii="Times New Roman" w:hAnsi="Times New Roman" w:cs="Times New Roman"/>
          <w:lang w:val="en-US"/>
        </w:rPr>
        <w:t xml:space="preserve"> </w:t>
      </w:r>
      <w:proofErr w:type="spellStart"/>
      <w:r w:rsidRPr="000C7C76">
        <w:rPr>
          <w:rFonts w:ascii="Times New Roman" w:hAnsi="Times New Roman" w:cs="Times New Roman"/>
          <w:lang w:val="en-US"/>
        </w:rPr>
        <w:t>akta</w:t>
      </w:r>
      <w:proofErr w:type="spellEnd"/>
      <w:r w:rsidRPr="000C7C76">
        <w:rPr>
          <w:rFonts w:ascii="Times New Roman" w:hAnsi="Times New Roman" w:cs="Times New Roman"/>
          <w:lang w:val="en-US"/>
        </w:rPr>
        <w:t xml:space="preserve"> </w:t>
      </w:r>
      <w:proofErr w:type="spellStart"/>
      <w:r w:rsidRPr="000C7C76">
        <w:rPr>
          <w:rFonts w:ascii="Times New Roman" w:hAnsi="Times New Roman" w:cs="Times New Roman"/>
          <w:lang w:val="en-US"/>
        </w:rPr>
        <w:t>formā</w:t>
      </w:r>
      <w:proofErr w:type="spellEnd"/>
      <w:r w:rsidRPr="000C7C76">
        <w:rPr>
          <w:rFonts w:ascii="Times New Roman" w:hAnsi="Times New Roman" w:cs="Times New Roman"/>
          <w:lang w:val="en-US"/>
        </w:rPr>
        <w:t xml:space="preserve">, tad </w:t>
      </w:r>
      <w:proofErr w:type="spellStart"/>
      <w:r w:rsidRPr="000C7C76">
        <w:rPr>
          <w:rFonts w:ascii="Times New Roman" w:hAnsi="Times New Roman" w:cs="Times New Roman"/>
          <w:lang w:val="en-US"/>
        </w:rPr>
        <w:t>ir</w:t>
      </w:r>
      <w:proofErr w:type="spellEnd"/>
      <w:r w:rsidRPr="000C7C76">
        <w:rPr>
          <w:rFonts w:ascii="Times New Roman" w:hAnsi="Times New Roman" w:cs="Times New Roman"/>
          <w:lang w:val="en-US"/>
        </w:rPr>
        <w:t xml:space="preserve"> </w:t>
      </w:r>
      <w:proofErr w:type="spellStart"/>
      <w:r w:rsidRPr="000C7C76">
        <w:rPr>
          <w:rFonts w:ascii="Times New Roman" w:hAnsi="Times New Roman" w:cs="Times New Roman"/>
          <w:lang w:val="en-US"/>
        </w:rPr>
        <w:t>jārēķinās</w:t>
      </w:r>
      <w:proofErr w:type="spellEnd"/>
      <w:r w:rsidRPr="000C7C76">
        <w:rPr>
          <w:rFonts w:ascii="Times New Roman" w:hAnsi="Times New Roman" w:cs="Times New Roman"/>
          <w:lang w:val="en-US"/>
        </w:rPr>
        <w:t xml:space="preserve"> </w:t>
      </w:r>
      <w:proofErr w:type="spellStart"/>
      <w:r w:rsidRPr="000C7C76">
        <w:rPr>
          <w:rFonts w:ascii="Times New Roman" w:hAnsi="Times New Roman" w:cs="Times New Roman"/>
          <w:lang w:val="en-US"/>
        </w:rPr>
        <w:t>ar</w:t>
      </w:r>
      <w:proofErr w:type="spellEnd"/>
      <w:r w:rsidRPr="000C7C76">
        <w:rPr>
          <w:rFonts w:ascii="Times New Roman" w:hAnsi="Times New Roman" w:cs="Times New Roman"/>
          <w:lang w:val="en-US"/>
        </w:rPr>
        <w:t xml:space="preserve"> </w:t>
      </w:r>
      <w:proofErr w:type="spellStart"/>
      <w:r w:rsidRPr="000C7C76">
        <w:rPr>
          <w:rFonts w:ascii="Times New Roman" w:hAnsi="Times New Roman" w:cs="Times New Roman"/>
          <w:lang w:val="en-US"/>
        </w:rPr>
        <w:t>tām</w:t>
      </w:r>
      <w:proofErr w:type="spellEnd"/>
      <w:r w:rsidRPr="000C7C76">
        <w:rPr>
          <w:rFonts w:ascii="Times New Roman" w:hAnsi="Times New Roman" w:cs="Times New Roman"/>
          <w:lang w:val="en-US"/>
        </w:rPr>
        <w:t xml:space="preserve"> </w:t>
      </w:r>
      <w:proofErr w:type="spellStart"/>
      <w:r w:rsidRPr="000C7C76">
        <w:rPr>
          <w:rFonts w:ascii="Times New Roman" w:hAnsi="Times New Roman" w:cs="Times New Roman"/>
          <w:lang w:val="en-US"/>
        </w:rPr>
        <w:t>tiesiskajām</w:t>
      </w:r>
      <w:proofErr w:type="spellEnd"/>
      <w:r w:rsidRPr="000C7C76">
        <w:rPr>
          <w:rFonts w:ascii="Times New Roman" w:hAnsi="Times New Roman" w:cs="Times New Roman"/>
          <w:lang w:val="en-US"/>
        </w:rPr>
        <w:t xml:space="preserve"> </w:t>
      </w:r>
      <w:proofErr w:type="spellStart"/>
      <w:r w:rsidRPr="000C7C76">
        <w:rPr>
          <w:rFonts w:ascii="Times New Roman" w:hAnsi="Times New Roman" w:cs="Times New Roman"/>
          <w:lang w:val="en-US"/>
        </w:rPr>
        <w:t>prasībām</w:t>
      </w:r>
      <w:proofErr w:type="spellEnd"/>
      <w:r w:rsidRPr="000C7C76">
        <w:rPr>
          <w:rFonts w:ascii="Times New Roman" w:hAnsi="Times New Roman" w:cs="Times New Roman"/>
          <w:lang w:val="en-US"/>
        </w:rPr>
        <w:t xml:space="preserve">, </w:t>
      </w:r>
      <w:proofErr w:type="spellStart"/>
      <w:r w:rsidRPr="000C7C76">
        <w:rPr>
          <w:rFonts w:ascii="Times New Roman" w:hAnsi="Times New Roman" w:cs="Times New Roman"/>
          <w:lang w:val="en-US"/>
        </w:rPr>
        <w:t>kādas</w:t>
      </w:r>
      <w:proofErr w:type="spellEnd"/>
      <w:r w:rsidRPr="000C7C76">
        <w:rPr>
          <w:rFonts w:ascii="Times New Roman" w:hAnsi="Times New Roman" w:cs="Times New Roman"/>
          <w:lang w:val="en-US"/>
        </w:rPr>
        <w:t xml:space="preserve"> </w:t>
      </w:r>
      <w:proofErr w:type="spellStart"/>
      <w:r w:rsidRPr="000C7C76">
        <w:rPr>
          <w:rFonts w:ascii="Times New Roman" w:hAnsi="Times New Roman" w:cs="Times New Roman"/>
          <w:lang w:val="en-US"/>
        </w:rPr>
        <w:t>ir</w:t>
      </w:r>
      <w:proofErr w:type="spellEnd"/>
      <w:r w:rsidRPr="000C7C76">
        <w:rPr>
          <w:rFonts w:ascii="Times New Roman" w:hAnsi="Times New Roman" w:cs="Times New Roman"/>
          <w:lang w:val="en-US"/>
        </w:rPr>
        <w:t xml:space="preserve"> </w:t>
      </w:r>
      <w:proofErr w:type="spellStart"/>
      <w:r w:rsidRPr="000C7C76">
        <w:rPr>
          <w:rFonts w:ascii="Times New Roman" w:hAnsi="Times New Roman" w:cs="Times New Roman"/>
          <w:lang w:val="en-US"/>
        </w:rPr>
        <w:t>noteiktas</w:t>
      </w:r>
      <w:proofErr w:type="spellEnd"/>
      <w:r w:rsidRPr="000C7C76">
        <w:rPr>
          <w:rFonts w:ascii="Times New Roman" w:hAnsi="Times New Roman" w:cs="Times New Roman"/>
          <w:lang w:val="en-US"/>
        </w:rPr>
        <w:t xml:space="preserve"> </w:t>
      </w:r>
      <w:proofErr w:type="spellStart"/>
      <w:r w:rsidRPr="000C7C76">
        <w:rPr>
          <w:rFonts w:ascii="Times New Roman" w:hAnsi="Times New Roman" w:cs="Times New Roman"/>
          <w:lang w:val="en-US"/>
        </w:rPr>
        <w:t>Notariāta</w:t>
      </w:r>
      <w:proofErr w:type="spellEnd"/>
      <w:r w:rsidRPr="000C7C76">
        <w:rPr>
          <w:rFonts w:ascii="Times New Roman" w:hAnsi="Times New Roman" w:cs="Times New Roman"/>
          <w:lang w:val="en-US"/>
        </w:rPr>
        <w:t xml:space="preserve"> </w:t>
      </w:r>
      <w:proofErr w:type="spellStart"/>
      <w:r w:rsidRPr="000C7C76">
        <w:rPr>
          <w:rFonts w:ascii="Times New Roman" w:hAnsi="Times New Roman" w:cs="Times New Roman"/>
          <w:lang w:val="en-US"/>
        </w:rPr>
        <w:t>likumā</w:t>
      </w:r>
      <w:proofErr w:type="spellEnd"/>
      <w:r w:rsidRPr="000C7C76">
        <w:rPr>
          <w:rFonts w:ascii="Times New Roman" w:hAnsi="Times New Roman" w:cs="Times New Roman"/>
          <w:lang w:val="en-US"/>
        </w:rPr>
        <w:t xml:space="preserve">. </w:t>
      </w:r>
      <w:proofErr w:type="spellStart"/>
      <w:r w:rsidRPr="000C7C76">
        <w:rPr>
          <w:rFonts w:ascii="Times New Roman" w:hAnsi="Times New Roman" w:cs="Times New Roman"/>
          <w:lang w:val="en-US"/>
        </w:rPr>
        <w:t>Pretājā</w:t>
      </w:r>
      <w:proofErr w:type="spellEnd"/>
      <w:r w:rsidRPr="000C7C76">
        <w:rPr>
          <w:rFonts w:ascii="Times New Roman" w:hAnsi="Times New Roman" w:cs="Times New Roman"/>
          <w:lang w:val="en-US"/>
        </w:rPr>
        <w:t xml:space="preserve"> </w:t>
      </w:r>
      <w:proofErr w:type="spellStart"/>
      <w:r w:rsidRPr="000C7C76">
        <w:rPr>
          <w:rFonts w:ascii="Times New Roman" w:hAnsi="Times New Roman" w:cs="Times New Roman"/>
          <w:lang w:val="en-US"/>
        </w:rPr>
        <w:t>gadījumā</w:t>
      </w:r>
      <w:proofErr w:type="spellEnd"/>
      <w:r w:rsidRPr="000C7C76">
        <w:rPr>
          <w:rFonts w:ascii="Times New Roman" w:hAnsi="Times New Roman" w:cs="Times New Roman"/>
          <w:lang w:val="en-US"/>
        </w:rPr>
        <w:t xml:space="preserve"> </w:t>
      </w:r>
      <w:proofErr w:type="spellStart"/>
      <w:r w:rsidRPr="000C7C76">
        <w:rPr>
          <w:rFonts w:ascii="Times New Roman" w:hAnsi="Times New Roman" w:cs="Times New Roman"/>
          <w:lang w:val="en-US"/>
        </w:rPr>
        <w:t>nekas</w:t>
      </w:r>
      <w:proofErr w:type="spellEnd"/>
      <w:r w:rsidRPr="000C7C76">
        <w:rPr>
          <w:rFonts w:ascii="Times New Roman" w:hAnsi="Times New Roman" w:cs="Times New Roman"/>
          <w:lang w:val="en-US"/>
        </w:rPr>
        <w:t xml:space="preserve"> </w:t>
      </w:r>
      <w:proofErr w:type="spellStart"/>
      <w:r w:rsidRPr="000C7C76">
        <w:rPr>
          <w:rFonts w:ascii="Times New Roman" w:hAnsi="Times New Roman" w:cs="Times New Roman"/>
          <w:lang w:val="en-US"/>
        </w:rPr>
        <w:t>personām</w:t>
      </w:r>
      <w:proofErr w:type="spellEnd"/>
      <w:r w:rsidRPr="000C7C76">
        <w:rPr>
          <w:rFonts w:ascii="Times New Roman" w:hAnsi="Times New Roman" w:cs="Times New Roman"/>
          <w:lang w:val="en-US"/>
        </w:rPr>
        <w:t xml:space="preserve"> </w:t>
      </w:r>
      <w:proofErr w:type="spellStart"/>
      <w:r w:rsidRPr="000C7C76">
        <w:rPr>
          <w:rFonts w:ascii="Times New Roman" w:hAnsi="Times New Roman" w:cs="Times New Roman"/>
          <w:lang w:val="en-US"/>
        </w:rPr>
        <w:t>neliedz</w:t>
      </w:r>
      <w:proofErr w:type="spellEnd"/>
      <w:r w:rsidRPr="000C7C76">
        <w:rPr>
          <w:rFonts w:ascii="Times New Roman" w:hAnsi="Times New Roman" w:cs="Times New Roman"/>
          <w:lang w:val="en-US"/>
        </w:rPr>
        <w:t xml:space="preserve"> </w:t>
      </w:r>
      <w:proofErr w:type="spellStart"/>
      <w:r w:rsidRPr="000C7C76">
        <w:rPr>
          <w:rFonts w:ascii="Times New Roman" w:hAnsi="Times New Roman" w:cs="Times New Roman"/>
          <w:lang w:val="en-US"/>
        </w:rPr>
        <w:t>slēgt</w:t>
      </w:r>
      <w:proofErr w:type="spellEnd"/>
      <w:r w:rsidRPr="000C7C76">
        <w:rPr>
          <w:rFonts w:ascii="Times New Roman" w:hAnsi="Times New Roman" w:cs="Times New Roman"/>
          <w:lang w:val="en-US"/>
        </w:rPr>
        <w:t xml:space="preserve"> </w:t>
      </w:r>
      <w:proofErr w:type="spellStart"/>
      <w:r w:rsidRPr="000C7C76">
        <w:rPr>
          <w:rFonts w:ascii="Times New Roman" w:hAnsi="Times New Roman" w:cs="Times New Roman"/>
          <w:lang w:val="en-US"/>
        </w:rPr>
        <w:t>galveno</w:t>
      </w:r>
      <w:proofErr w:type="spellEnd"/>
      <w:r w:rsidRPr="000C7C76">
        <w:rPr>
          <w:rFonts w:ascii="Times New Roman" w:hAnsi="Times New Roman" w:cs="Times New Roman"/>
          <w:lang w:val="en-US"/>
        </w:rPr>
        <w:t xml:space="preserve"> </w:t>
      </w:r>
      <w:proofErr w:type="spellStart"/>
      <w:r w:rsidRPr="000C7C76">
        <w:rPr>
          <w:rFonts w:ascii="Times New Roman" w:hAnsi="Times New Roman" w:cs="Times New Roman"/>
          <w:lang w:val="en-US"/>
        </w:rPr>
        <w:t>darījumu</w:t>
      </w:r>
      <w:proofErr w:type="spellEnd"/>
      <w:r w:rsidRPr="000C7C76">
        <w:rPr>
          <w:rFonts w:ascii="Times New Roman" w:hAnsi="Times New Roman" w:cs="Times New Roman"/>
          <w:lang w:val="en-US"/>
        </w:rPr>
        <w:t xml:space="preserve"> </w:t>
      </w:r>
      <w:proofErr w:type="spellStart"/>
      <w:r w:rsidRPr="000C7C76">
        <w:rPr>
          <w:rFonts w:ascii="Times New Roman" w:hAnsi="Times New Roman" w:cs="Times New Roman"/>
          <w:lang w:val="en-US"/>
        </w:rPr>
        <w:t>privātā</w:t>
      </w:r>
      <w:proofErr w:type="spellEnd"/>
      <w:r w:rsidRPr="000C7C76">
        <w:rPr>
          <w:rFonts w:ascii="Times New Roman" w:hAnsi="Times New Roman" w:cs="Times New Roman"/>
          <w:lang w:val="en-US"/>
        </w:rPr>
        <w:t xml:space="preserve"> </w:t>
      </w:r>
      <w:proofErr w:type="spellStart"/>
      <w:r w:rsidRPr="000C7C76">
        <w:rPr>
          <w:rFonts w:ascii="Times New Roman" w:hAnsi="Times New Roman" w:cs="Times New Roman"/>
          <w:lang w:val="en-US"/>
        </w:rPr>
        <w:t>kārtībā</w:t>
      </w:r>
      <w:proofErr w:type="spellEnd"/>
      <w:r w:rsidRPr="000C7C76">
        <w:rPr>
          <w:rFonts w:ascii="Times New Roman" w:hAnsi="Times New Roman" w:cs="Times New Roman"/>
          <w:lang w:val="en-US"/>
        </w:rPr>
        <w:t xml:space="preserve"> (</w:t>
      </w:r>
      <w:proofErr w:type="spellStart"/>
      <w:r w:rsidRPr="000C7C76">
        <w:rPr>
          <w:rFonts w:ascii="Times New Roman" w:hAnsi="Times New Roman" w:cs="Times New Roman"/>
          <w:lang w:val="en-US"/>
        </w:rPr>
        <w:t>nevēršoties</w:t>
      </w:r>
      <w:proofErr w:type="spellEnd"/>
      <w:r w:rsidRPr="000C7C76">
        <w:rPr>
          <w:rFonts w:ascii="Times New Roman" w:hAnsi="Times New Roman" w:cs="Times New Roman"/>
          <w:lang w:val="en-US"/>
        </w:rPr>
        <w:t xml:space="preserve"> pie </w:t>
      </w:r>
      <w:proofErr w:type="spellStart"/>
      <w:r w:rsidRPr="000C7C76">
        <w:rPr>
          <w:rFonts w:ascii="Times New Roman" w:hAnsi="Times New Roman" w:cs="Times New Roman"/>
          <w:lang w:val="en-US"/>
        </w:rPr>
        <w:t>zvērināta</w:t>
      </w:r>
      <w:proofErr w:type="spellEnd"/>
      <w:r w:rsidRPr="000C7C76">
        <w:rPr>
          <w:rFonts w:ascii="Times New Roman" w:hAnsi="Times New Roman" w:cs="Times New Roman"/>
          <w:lang w:val="en-US"/>
        </w:rPr>
        <w:t xml:space="preserve"> </w:t>
      </w:r>
      <w:proofErr w:type="spellStart"/>
      <w:r w:rsidRPr="000C7C76">
        <w:rPr>
          <w:rFonts w:ascii="Times New Roman" w:hAnsi="Times New Roman" w:cs="Times New Roman"/>
          <w:lang w:val="en-US"/>
        </w:rPr>
        <w:t>notāra</w:t>
      </w:r>
      <w:proofErr w:type="spellEnd"/>
      <w:r w:rsidRPr="000C7C76">
        <w:rPr>
          <w:rFonts w:ascii="Times New Roman" w:hAnsi="Times New Roman" w:cs="Times New Roman"/>
          <w:lang w:val="en-US"/>
        </w:rPr>
        <w:t xml:space="preserve"> </w:t>
      </w:r>
      <w:proofErr w:type="spellStart"/>
      <w:r w:rsidRPr="000C7C76">
        <w:rPr>
          <w:rFonts w:ascii="Times New Roman" w:hAnsi="Times New Roman" w:cs="Times New Roman"/>
          <w:lang w:val="en-US"/>
        </w:rPr>
        <w:t>ar</w:t>
      </w:r>
      <w:proofErr w:type="spellEnd"/>
      <w:r w:rsidRPr="000C7C76">
        <w:rPr>
          <w:rFonts w:ascii="Times New Roman" w:hAnsi="Times New Roman" w:cs="Times New Roman"/>
          <w:lang w:val="en-US"/>
        </w:rPr>
        <w:t xml:space="preserve"> </w:t>
      </w:r>
      <w:proofErr w:type="spellStart"/>
      <w:r w:rsidRPr="000C7C76">
        <w:rPr>
          <w:rFonts w:ascii="Times New Roman" w:hAnsi="Times New Roman" w:cs="Times New Roman"/>
          <w:lang w:val="en-US"/>
        </w:rPr>
        <w:t>lūgumu</w:t>
      </w:r>
      <w:proofErr w:type="spellEnd"/>
      <w:r w:rsidRPr="000C7C76">
        <w:rPr>
          <w:rFonts w:ascii="Times New Roman" w:hAnsi="Times New Roman" w:cs="Times New Roman"/>
          <w:lang w:val="en-US"/>
        </w:rPr>
        <w:t xml:space="preserve"> to </w:t>
      </w:r>
      <w:proofErr w:type="spellStart"/>
      <w:r w:rsidRPr="000C7C76">
        <w:rPr>
          <w:rFonts w:ascii="Times New Roman" w:hAnsi="Times New Roman" w:cs="Times New Roman"/>
          <w:lang w:val="en-US"/>
        </w:rPr>
        <w:t>slēgt</w:t>
      </w:r>
      <w:proofErr w:type="spellEnd"/>
      <w:r w:rsidRPr="000C7C76">
        <w:rPr>
          <w:rFonts w:ascii="Times New Roman" w:hAnsi="Times New Roman" w:cs="Times New Roman"/>
          <w:lang w:val="en-US"/>
        </w:rPr>
        <w:t xml:space="preserve"> </w:t>
      </w:r>
      <w:proofErr w:type="spellStart"/>
      <w:r w:rsidRPr="000C7C76">
        <w:rPr>
          <w:rFonts w:ascii="Times New Roman" w:hAnsi="Times New Roman" w:cs="Times New Roman"/>
          <w:lang w:val="en-US"/>
        </w:rPr>
        <w:t>notariālā</w:t>
      </w:r>
      <w:proofErr w:type="spellEnd"/>
      <w:r w:rsidRPr="000C7C76">
        <w:rPr>
          <w:rFonts w:ascii="Times New Roman" w:hAnsi="Times New Roman" w:cs="Times New Roman"/>
          <w:lang w:val="en-US"/>
        </w:rPr>
        <w:t xml:space="preserve"> </w:t>
      </w:r>
      <w:proofErr w:type="spellStart"/>
      <w:r w:rsidRPr="000C7C76">
        <w:rPr>
          <w:rFonts w:ascii="Times New Roman" w:hAnsi="Times New Roman" w:cs="Times New Roman"/>
          <w:lang w:val="en-US"/>
        </w:rPr>
        <w:t>akta</w:t>
      </w:r>
      <w:proofErr w:type="spellEnd"/>
      <w:r w:rsidRPr="000C7C76">
        <w:rPr>
          <w:rFonts w:ascii="Times New Roman" w:hAnsi="Times New Roman" w:cs="Times New Roman"/>
          <w:lang w:val="en-US"/>
        </w:rPr>
        <w:t xml:space="preserve"> </w:t>
      </w:r>
      <w:proofErr w:type="spellStart"/>
      <w:r w:rsidRPr="000C7C76">
        <w:rPr>
          <w:rFonts w:ascii="Times New Roman" w:hAnsi="Times New Roman" w:cs="Times New Roman"/>
          <w:lang w:val="en-US"/>
        </w:rPr>
        <w:t>formā</w:t>
      </w:r>
      <w:proofErr w:type="spellEnd"/>
      <w:r w:rsidRPr="000C7C76">
        <w:rPr>
          <w:rFonts w:ascii="Times New Roman" w:hAnsi="Times New Roman" w:cs="Times New Roman"/>
          <w:lang w:val="en-US"/>
        </w:rPr>
        <w:t xml:space="preserve">). </w:t>
      </w:r>
      <w:proofErr w:type="spellStart"/>
      <w:r w:rsidRPr="000C7C76">
        <w:rPr>
          <w:rFonts w:ascii="Times New Roman" w:hAnsi="Times New Roman" w:cs="Times New Roman"/>
          <w:lang w:val="en-US"/>
        </w:rPr>
        <w:t>Šeit</w:t>
      </w:r>
      <w:proofErr w:type="spellEnd"/>
      <w:r w:rsidRPr="000C7C76">
        <w:rPr>
          <w:rFonts w:ascii="Times New Roman" w:hAnsi="Times New Roman" w:cs="Times New Roman"/>
          <w:lang w:val="en-US"/>
        </w:rPr>
        <w:t xml:space="preserve"> </w:t>
      </w:r>
      <w:proofErr w:type="spellStart"/>
      <w:r w:rsidRPr="000C7C76">
        <w:rPr>
          <w:rFonts w:ascii="Times New Roman" w:hAnsi="Times New Roman" w:cs="Times New Roman"/>
          <w:lang w:val="en-US"/>
        </w:rPr>
        <w:t>svarīgi</w:t>
      </w:r>
      <w:proofErr w:type="spellEnd"/>
      <w:r w:rsidRPr="000C7C76">
        <w:rPr>
          <w:rFonts w:ascii="Times New Roman" w:hAnsi="Times New Roman" w:cs="Times New Roman"/>
          <w:lang w:val="en-US"/>
        </w:rPr>
        <w:t xml:space="preserve"> </w:t>
      </w:r>
      <w:proofErr w:type="spellStart"/>
      <w:r w:rsidRPr="000C7C76">
        <w:rPr>
          <w:rFonts w:ascii="Times New Roman" w:hAnsi="Times New Roman" w:cs="Times New Roman"/>
          <w:lang w:val="en-US"/>
        </w:rPr>
        <w:t>atzīmēt</w:t>
      </w:r>
      <w:proofErr w:type="spellEnd"/>
      <w:r w:rsidRPr="000C7C76">
        <w:rPr>
          <w:rFonts w:ascii="Times New Roman" w:hAnsi="Times New Roman" w:cs="Times New Roman"/>
          <w:lang w:val="en-US"/>
        </w:rPr>
        <w:t xml:space="preserve">, ka </w:t>
      </w:r>
      <w:proofErr w:type="spellStart"/>
      <w:r w:rsidRPr="000C7C76">
        <w:rPr>
          <w:rFonts w:ascii="Times New Roman" w:hAnsi="Times New Roman" w:cs="Times New Roman"/>
          <w:lang w:val="en-US"/>
        </w:rPr>
        <w:t>civiltiesisks</w:t>
      </w:r>
      <w:proofErr w:type="spellEnd"/>
      <w:r w:rsidRPr="000C7C76">
        <w:rPr>
          <w:rFonts w:ascii="Times New Roman" w:hAnsi="Times New Roman" w:cs="Times New Roman"/>
          <w:lang w:val="en-US"/>
        </w:rPr>
        <w:t xml:space="preserve"> </w:t>
      </w:r>
      <w:proofErr w:type="spellStart"/>
      <w:r w:rsidRPr="000C7C76">
        <w:rPr>
          <w:rFonts w:ascii="Times New Roman" w:hAnsi="Times New Roman" w:cs="Times New Roman"/>
          <w:lang w:val="en-US"/>
        </w:rPr>
        <w:t>līgums</w:t>
      </w:r>
      <w:proofErr w:type="spellEnd"/>
      <w:r w:rsidRPr="000C7C76">
        <w:rPr>
          <w:rFonts w:ascii="Times New Roman" w:hAnsi="Times New Roman" w:cs="Times New Roman"/>
          <w:lang w:val="en-US"/>
        </w:rPr>
        <w:t xml:space="preserve"> (</w:t>
      </w:r>
      <w:proofErr w:type="spellStart"/>
      <w:r w:rsidRPr="000C7C76">
        <w:rPr>
          <w:rFonts w:ascii="Times New Roman" w:hAnsi="Times New Roman" w:cs="Times New Roman"/>
          <w:lang w:val="en-US"/>
        </w:rPr>
        <w:t>piemēram</w:t>
      </w:r>
      <w:proofErr w:type="spellEnd"/>
      <w:r w:rsidRPr="000C7C76">
        <w:rPr>
          <w:rFonts w:ascii="Times New Roman" w:hAnsi="Times New Roman" w:cs="Times New Roman"/>
          <w:lang w:val="en-US"/>
        </w:rPr>
        <w:t xml:space="preserve">, </w:t>
      </w:r>
      <w:proofErr w:type="spellStart"/>
      <w:r w:rsidRPr="000C7C76">
        <w:rPr>
          <w:rFonts w:ascii="Times New Roman" w:hAnsi="Times New Roman" w:cs="Times New Roman"/>
          <w:lang w:val="en-US"/>
        </w:rPr>
        <w:t>pirkuma</w:t>
      </w:r>
      <w:proofErr w:type="spellEnd"/>
      <w:r w:rsidRPr="000C7C76">
        <w:rPr>
          <w:rFonts w:ascii="Times New Roman" w:hAnsi="Times New Roman" w:cs="Times New Roman"/>
          <w:lang w:val="en-US"/>
        </w:rPr>
        <w:t xml:space="preserve"> </w:t>
      </w:r>
      <w:proofErr w:type="spellStart"/>
      <w:r w:rsidRPr="000C7C76">
        <w:rPr>
          <w:rFonts w:ascii="Times New Roman" w:hAnsi="Times New Roman" w:cs="Times New Roman"/>
          <w:lang w:val="en-US"/>
        </w:rPr>
        <w:t>līgums</w:t>
      </w:r>
      <w:proofErr w:type="spellEnd"/>
      <w:r w:rsidRPr="000C7C76">
        <w:rPr>
          <w:rFonts w:ascii="Times New Roman" w:hAnsi="Times New Roman" w:cs="Times New Roman"/>
          <w:lang w:val="en-US"/>
        </w:rPr>
        <w:t xml:space="preserve">), kas </w:t>
      </w:r>
      <w:proofErr w:type="spellStart"/>
      <w:r w:rsidRPr="000C7C76">
        <w:rPr>
          <w:rFonts w:ascii="Times New Roman" w:hAnsi="Times New Roman" w:cs="Times New Roman"/>
          <w:lang w:val="en-US"/>
        </w:rPr>
        <w:t>Latvijā</w:t>
      </w:r>
      <w:proofErr w:type="spellEnd"/>
      <w:r w:rsidRPr="000C7C76">
        <w:rPr>
          <w:rFonts w:ascii="Times New Roman" w:hAnsi="Times New Roman" w:cs="Times New Roman"/>
          <w:lang w:val="en-US"/>
        </w:rPr>
        <w:t xml:space="preserve"> </w:t>
      </w:r>
      <w:proofErr w:type="spellStart"/>
      <w:r w:rsidRPr="000C7C76">
        <w:rPr>
          <w:rFonts w:ascii="Times New Roman" w:hAnsi="Times New Roman" w:cs="Times New Roman"/>
          <w:lang w:val="en-US"/>
        </w:rPr>
        <w:t>sastādīts</w:t>
      </w:r>
      <w:proofErr w:type="spellEnd"/>
      <w:r w:rsidRPr="000C7C76">
        <w:rPr>
          <w:rFonts w:ascii="Times New Roman" w:hAnsi="Times New Roman" w:cs="Times New Roman"/>
          <w:lang w:val="en-US"/>
        </w:rPr>
        <w:t xml:space="preserve"> </w:t>
      </w:r>
      <w:proofErr w:type="spellStart"/>
      <w:r w:rsidRPr="000C7C76">
        <w:rPr>
          <w:rFonts w:ascii="Times New Roman" w:hAnsi="Times New Roman" w:cs="Times New Roman"/>
          <w:lang w:val="en-US"/>
        </w:rPr>
        <w:t>notariālā</w:t>
      </w:r>
      <w:proofErr w:type="spellEnd"/>
      <w:r w:rsidRPr="000C7C76">
        <w:rPr>
          <w:rFonts w:ascii="Times New Roman" w:hAnsi="Times New Roman" w:cs="Times New Roman"/>
          <w:lang w:val="en-US"/>
        </w:rPr>
        <w:t xml:space="preserve"> </w:t>
      </w:r>
      <w:proofErr w:type="spellStart"/>
      <w:r w:rsidRPr="000C7C76">
        <w:rPr>
          <w:rFonts w:ascii="Times New Roman" w:hAnsi="Times New Roman" w:cs="Times New Roman"/>
          <w:lang w:val="en-US"/>
        </w:rPr>
        <w:t>akta</w:t>
      </w:r>
      <w:proofErr w:type="spellEnd"/>
      <w:r w:rsidRPr="000C7C76">
        <w:rPr>
          <w:rFonts w:ascii="Times New Roman" w:hAnsi="Times New Roman" w:cs="Times New Roman"/>
          <w:lang w:val="en-US"/>
        </w:rPr>
        <w:t xml:space="preserve"> </w:t>
      </w:r>
      <w:proofErr w:type="spellStart"/>
      <w:r w:rsidRPr="000C7C76">
        <w:rPr>
          <w:rFonts w:ascii="Times New Roman" w:hAnsi="Times New Roman" w:cs="Times New Roman"/>
          <w:lang w:val="en-US"/>
        </w:rPr>
        <w:t>formā</w:t>
      </w:r>
      <w:proofErr w:type="spellEnd"/>
      <w:r w:rsidRPr="000C7C76">
        <w:rPr>
          <w:rFonts w:ascii="Times New Roman" w:hAnsi="Times New Roman" w:cs="Times New Roman"/>
          <w:lang w:val="en-US"/>
        </w:rPr>
        <w:t xml:space="preserve">, </w:t>
      </w:r>
      <w:proofErr w:type="spellStart"/>
      <w:r w:rsidRPr="000C7C76">
        <w:rPr>
          <w:rFonts w:ascii="Times New Roman" w:hAnsi="Times New Roman" w:cs="Times New Roman"/>
          <w:lang w:val="en-US"/>
        </w:rPr>
        <w:t>ir</w:t>
      </w:r>
      <w:proofErr w:type="spellEnd"/>
      <w:r w:rsidRPr="000C7C76">
        <w:rPr>
          <w:rFonts w:ascii="Times New Roman" w:hAnsi="Times New Roman" w:cs="Times New Roman"/>
          <w:lang w:val="en-US"/>
        </w:rPr>
        <w:t xml:space="preserve"> </w:t>
      </w:r>
      <w:proofErr w:type="spellStart"/>
      <w:r w:rsidRPr="000C7C76">
        <w:rPr>
          <w:rFonts w:ascii="Times New Roman" w:hAnsi="Times New Roman" w:cs="Times New Roman"/>
          <w:lang w:val="en-US"/>
        </w:rPr>
        <w:t>ar</w:t>
      </w:r>
      <w:proofErr w:type="spellEnd"/>
      <w:r w:rsidRPr="000C7C76">
        <w:rPr>
          <w:rFonts w:ascii="Times New Roman" w:hAnsi="Times New Roman" w:cs="Times New Roman"/>
          <w:lang w:val="en-US"/>
        </w:rPr>
        <w:t xml:space="preserve"> </w:t>
      </w:r>
      <w:proofErr w:type="spellStart"/>
      <w:r w:rsidRPr="000C7C76">
        <w:rPr>
          <w:rFonts w:ascii="Times New Roman" w:hAnsi="Times New Roman" w:cs="Times New Roman"/>
          <w:lang w:val="en-US"/>
        </w:rPr>
        <w:t>notariālu</w:t>
      </w:r>
      <w:proofErr w:type="spellEnd"/>
      <w:r w:rsidRPr="000C7C76">
        <w:rPr>
          <w:rFonts w:ascii="Times New Roman" w:hAnsi="Times New Roman" w:cs="Times New Roman"/>
          <w:lang w:val="en-US"/>
        </w:rPr>
        <w:t xml:space="preserve"> </w:t>
      </w:r>
      <w:proofErr w:type="spellStart"/>
      <w:r w:rsidRPr="000C7C76">
        <w:rPr>
          <w:rFonts w:ascii="Times New Roman" w:hAnsi="Times New Roman" w:cs="Times New Roman"/>
          <w:lang w:val="en-US"/>
        </w:rPr>
        <w:t>spēku</w:t>
      </w:r>
      <w:proofErr w:type="spellEnd"/>
      <w:r w:rsidRPr="000C7C76">
        <w:rPr>
          <w:rFonts w:ascii="Times New Roman" w:hAnsi="Times New Roman" w:cs="Times New Roman"/>
          <w:lang w:val="en-US"/>
        </w:rPr>
        <w:t xml:space="preserve"> </w:t>
      </w:r>
      <w:proofErr w:type="spellStart"/>
      <w:r w:rsidRPr="000C7C76">
        <w:rPr>
          <w:rFonts w:ascii="Times New Roman" w:hAnsi="Times New Roman" w:cs="Times New Roman"/>
          <w:lang w:val="en-US"/>
        </w:rPr>
        <w:t>apveltīts</w:t>
      </w:r>
      <w:proofErr w:type="spellEnd"/>
      <w:r w:rsidRPr="000C7C76">
        <w:rPr>
          <w:rFonts w:ascii="Times New Roman" w:hAnsi="Times New Roman" w:cs="Times New Roman"/>
          <w:lang w:val="en-US"/>
        </w:rPr>
        <w:t xml:space="preserve"> </w:t>
      </w:r>
      <w:proofErr w:type="spellStart"/>
      <w:r w:rsidRPr="000C7C76">
        <w:rPr>
          <w:rFonts w:ascii="Times New Roman" w:hAnsi="Times New Roman" w:cs="Times New Roman"/>
          <w:lang w:val="en-US"/>
        </w:rPr>
        <w:t>doku</w:t>
      </w:r>
      <w:r w:rsidR="00ED3A4D" w:rsidRPr="000C7C76">
        <w:rPr>
          <w:rFonts w:ascii="Times New Roman" w:hAnsi="Times New Roman" w:cs="Times New Roman"/>
          <w:lang w:val="en-US"/>
        </w:rPr>
        <w:t>ments</w:t>
      </w:r>
      <w:proofErr w:type="spellEnd"/>
      <w:r w:rsidR="00ED3A4D" w:rsidRPr="000C7C76">
        <w:rPr>
          <w:rFonts w:ascii="Times New Roman" w:hAnsi="Times New Roman" w:cs="Times New Roman"/>
          <w:lang w:val="en-US"/>
        </w:rPr>
        <w:t xml:space="preserve"> (</w:t>
      </w:r>
      <w:proofErr w:type="spellStart"/>
      <w:r w:rsidR="00ED3A4D" w:rsidRPr="000C7C76">
        <w:rPr>
          <w:rFonts w:ascii="Times New Roman" w:hAnsi="Times New Roman" w:cs="Times New Roman"/>
          <w:lang w:val="en-US"/>
        </w:rPr>
        <w:t>Notariāta</w:t>
      </w:r>
      <w:proofErr w:type="spellEnd"/>
      <w:r w:rsidR="00ED3A4D" w:rsidRPr="000C7C76">
        <w:rPr>
          <w:rFonts w:ascii="Times New Roman" w:hAnsi="Times New Roman" w:cs="Times New Roman"/>
          <w:lang w:val="en-US"/>
        </w:rPr>
        <w:t xml:space="preserve"> </w:t>
      </w:r>
      <w:proofErr w:type="spellStart"/>
      <w:r w:rsidR="00ED3A4D" w:rsidRPr="000C7C76">
        <w:rPr>
          <w:rFonts w:ascii="Times New Roman" w:hAnsi="Times New Roman" w:cs="Times New Roman"/>
          <w:lang w:val="en-US"/>
        </w:rPr>
        <w:t>likuma</w:t>
      </w:r>
      <w:proofErr w:type="spellEnd"/>
      <w:r w:rsidR="00ED3A4D" w:rsidRPr="000C7C76">
        <w:rPr>
          <w:rFonts w:ascii="Times New Roman" w:hAnsi="Times New Roman" w:cs="Times New Roman"/>
          <w:lang w:val="en-US"/>
        </w:rPr>
        <w:t xml:space="preserve"> 93.p.</w:t>
      </w:r>
      <w:r w:rsidRPr="000C7C76">
        <w:rPr>
          <w:rFonts w:ascii="Times New Roman" w:hAnsi="Times New Roman" w:cs="Times New Roman"/>
          <w:lang w:val="en-US"/>
        </w:rPr>
        <w:t xml:space="preserve">). </w:t>
      </w:r>
      <w:proofErr w:type="spellStart"/>
      <w:r w:rsidRPr="000C7C76">
        <w:rPr>
          <w:rFonts w:ascii="Times New Roman" w:hAnsi="Times New Roman" w:cs="Times New Roman"/>
          <w:lang w:val="en-US"/>
        </w:rPr>
        <w:t>Piemēram</w:t>
      </w:r>
      <w:proofErr w:type="spellEnd"/>
      <w:r w:rsidRPr="000C7C76">
        <w:rPr>
          <w:rFonts w:ascii="Times New Roman" w:hAnsi="Times New Roman" w:cs="Times New Roman"/>
          <w:lang w:val="en-US"/>
        </w:rPr>
        <w:t xml:space="preserve">, </w:t>
      </w:r>
      <w:proofErr w:type="spellStart"/>
      <w:r w:rsidRPr="000C7C76">
        <w:rPr>
          <w:rFonts w:ascii="Times New Roman" w:hAnsi="Times New Roman" w:cs="Times New Roman"/>
          <w:lang w:val="en-US"/>
        </w:rPr>
        <w:t>atsevišķi</w:t>
      </w:r>
      <w:proofErr w:type="spellEnd"/>
      <w:r w:rsidRPr="000C7C76">
        <w:rPr>
          <w:rFonts w:ascii="Times New Roman" w:hAnsi="Times New Roman" w:cs="Times New Roman"/>
          <w:lang w:val="en-US"/>
        </w:rPr>
        <w:t xml:space="preserve"> </w:t>
      </w:r>
      <w:proofErr w:type="spellStart"/>
      <w:r w:rsidRPr="000C7C76">
        <w:rPr>
          <w:rFonts w:ascii="Times New Roman" w:hAnsi="Times New Roman" w:cs="Times New Roman"/>
          <w:lang w:val="en-US"/>
        </w:rPr>
        <w:t>likumā</w:t>
      </w:r>
      <w:proofErr w:type="spellEnd"/>
      <w:r w:rsidRPr="000C7C76">
        <w:rPr>
          <w:rFonts w:ascii="Times New Roman" w:hAnsi="Times New Roman" w:cs="Times New Roman"/>
          <w:lang w:val="en-US"/>
        </w:rPr>
        <w:t xml:space="preserve"> </w:t>
      </w:r>
      <w:proofErr w:type="spellStart"/>
      <w:r w:rsidRPr="000C7C76">
        <w:rPr>
          <w:rFonts w:ascii="Times New Roman" w:hAnsi="Times New Roman" w:cs="Times New Roman"/>
          <w:lang w:val="en-US"/>
        </w:rPr>
        <w:t>norādītie</w:t>
      </w:r>
      <w:proofErr w:type="spellEnd"/>
      <w:r w:rsidRPr="000C7C76">
        <w:rPr>
          <w:rFonts w:ascii="Times New Roman" w:hAnsi="Times New Roman" w:cs="Times New Roman"/>
          <w:lang w:val="en-US"/>
        </w:rPr>
        <w:t xml:space="preserve"> </w:t>
      </w:r>
      <w:proofErr w:type="spellStart"/>
      <w:r w:rsidRPr="000C7C76">
        <w:rPr>
          <w:rFonts w:ascii="Times New Roman" w:hAnsi="Times New Roman" w:cs="Times New Roman"/>
          <w:lang w:val="en-US"/>
        </w:rPr>
        <w:t>notariālie</w:t>
      </w:r>
      <w:proofErr w:type="spellEnd"/>
      <w:r w:rsidRPr="000C7C76">
        <w:rPr>
          <w:rFonts w:ascii="Times New Roman" w:hAnsi="Times New Roman" w:cs="Times New Roman"/>
          <w:lang w:val="en-US"/>
        </w:rPr>
        <w:t xml:space="preserve"> </w:t>
      </w:r>
      <w:proofErr w:type="spellStart"/>
      <w:r w:rsidRPr="000C7C76">
        <w:rPr>
          <w:rFonts w:ascii="Times New Roman" w:hAnsi="Times New Roman" w:cs="Times New Roman"/>
          <w:lang w:val="en-US"/>
        </w:rPr>
        <w:t>akti</w:t>
      </w:r>
      <w:proofErr w:type="spellEnd"/>
      <w:r w:rsidRPr="000C7C76">
        <w:rPr>
          <w:rFonts w:ascii="Times New Roman" w:hAnsi="Times New Roman" w:cs="Times New Roman"/>
          <w:lang w:val="en-US"/>
        </w:rPr>
        <w:t xml:space="preserve"> </w:t>
      </w:r>
      <w:proofErr w:type="spellStart"/>
      <w:r w:rsidRPr="000C7C76">
        <w:rPr>
          <w:rFonts w:ascii="Times New Roman" w:hAnsi="Times New Roman" w:cs="Times New Roman"/>
          <w:lang w:val="en-US"/>
        </w:rPr>
        <w:t>ir</w:t>
      </w:r>
      <w:proofErr w:type="spellEnd"/>
      <w:r w:rsidRPr="000C7C76">
        <w:rPr>
          <w:rFonts w:ascii="Times New Roman" w:hAnsi="Times New Roman" w:cs="Times New Roman"/>
          <w:lang w:val="en-US"/>
        </w:rPr>
        <w:t xml:space="preserve"> </w:t>
      </w:r>
      <w:proofErr w:type="spellStart"/>
      <w:r w:rsidRPr="000C7C76">
        <w:rPr>
          <w:rFonts w:ascii="Times New Roman" w:hAnsi="Times New Roman" w:cs="Times New Roman"/>
          <w:lang w:val="en-US"/>
        </w:rPr>
        <w:t>izpildāmi</w:t>
      </w:r>
      <w:proofErr w:type="spellEnd"/>
      <w:r w:rsidRPr="000C7C76">
        <w:rPr>
          <w:rFonts w:ascii="Times New Roman" w:hAnsi="Times New Roman" w:cs="Times New Roman"/>
          <w:lang w:val="en-US"/>
        </w:rPr>
        <w:t xml:space="preserve"> </w:t>
      </w:r>
      <w:proofErr w:type="spellStart"/>
      <w:r w:rsidRPr="000C7C76">
        <w:rPr>
          <w:rFonts w:ascii="Times New Roman" w:hAnsi="Times New Roman" w:cs="Times New Roman"/>
          <w:lang w:val="en-US"/>
        </w:rPr>
        <w:t>tiesas</w:t>
      </w:r>
      <w:proofErr w:type="spellEnd"/>
      <w:r w:rsidRPr="000C7C76">
        <w:rPr>
          <w:rFonts w:ascii="Times New Roman" w:hAnsi="Times New Roman" w:cs="Times New Roman"/>
          <w:lang w:val="en-US"/>
        </w:rPr>
        <w:t xml:space="preserve"> </w:t>
      </w:r>
      <w:proofErr w:type="spellStart"/>
      <w:r w:rsidRPr="000C7C76">
        <w:rPr>
          <w:rFonts w:ascii="Times New Roman" w:hAnsi="Times New Roman" w:cs="Times New Roman"/>
          <w:lang w:val="en-US"/>
        </w:rPr>
        <w:t>sprieduma</w:t>
      </w:r>
      <w:proofErr w:type="spellEnd"/>
      <w:r w:rsidRPr="000C7C76">
        <w:rPr>
          <w:rFonts w:ascii="Times New Roman" w:hAnsi="Times New Roman" w:cs="Times New Roman"/>
          <w:lang w:val="en-US"/>
        </w:rPr>
        <w:t xml:space="preserve"> </w:t>
      </w:r>
      <w:proofErr w:type="spellStart"/>
      <w:r w:rsidRPr="000C7C76">
        <w:rPr>
          <w:rFonts w:ascii="Times New Roman" w:hAnsi="Times New Roman" w:cs="Times New Roman"/>
          <w:lang w:val="en-US"/>
        </w:rPr>
        <w:t>izpildes</w:t>
      </w:r>
      <w:proofErr w:type="spellEnd"/>
      <w:r w:rsidRPr="000C7C76">
        <w:rPr>
          <w:rFonts w:ascii="Times New Roman" w:hAnsi="Times New Roman" w:cs="Times New Roman"/>
          <w:lang w:val="en-US"/>
        </w:rPr>
        <w:t xml:space="preserve"> </w:t>
      </w:r>
      <w:proofErr w:type="spellStart"/>
      <w:r w:rsidRPr="000C7C76">
        <w:rPr>
          <w:rFonts w:ascii="Times New Roman" w:hAnsi="Times New Roman" w:cs="Times New Roman"/>
          <w:lang w:val="en-US"/>
        </w:rPr>
        <w:t>kārtībā</w:t>
      </w:r>
      <w:proofErr w:type="spellEnd"/>
      <w:r w:rsidRPr="000C7C76">
        <w:rPr>
          <w:rFonts w:ascii="Times New Roman" w:hAnsi="Times New Roman" w:cs="Times New Roman"/>
          <w:lang w:val="en-US"/>
        </w:rPr>
        <w:t xml:space="preserve"> (skat. </w:t>
      </w:r>
      <w:proofErr w:type="spellStart"/>
      <w:r w:rsidRPr="000C7C76">
        <w:rPr>
          <w:rFonts w:ascii="Times New Roman" w:hAnsi="Times New Roman" w:cs="Times New Roman"/>
          <w:lang w:val="en-US"/>
        </w:rPr>
        <w:t>Notariāta</w:t>
      </w:r>
      <w:proofErr w:type="spellEnd"/>
      <w:r w:rsidRPr="000C7C76">
        <w:rPr>
          <w:rFonts w:ascii="Times New Roman" w:hAnsi="Times New Roman" w:cs="Times New Roman"/>
          <w:lang w:val="en-US"/>
        </w:rPr>
        <w:t xml:space="preserve"> </w:t>
      </w:r>
      <w:proofErr w:type="spellStart"/>
      <w:r w:rsidRPr="000C7C76">
        <w:rPr>
          <w:rFonts w:ascii="Times New Roman" w:hAnsi="Times New Roman" w:cs="Times New Roman"/>
          <w:lang w:val="en-US"/>
        </w:rPr>
        <w:t>likuma</w:t>
      </w:r>
      <w:proofErr w:type="spellEnd"/>
      <w:r w:rsidRPr="000C7C76">
        <w:rPr>
          <w:rFonts w:ascii="Times New Roman" w:hAnsi="Times New Roman" w:cs="Times New Roman"/>
          <w:lang w:val="en-US"/>
        </w:rPr>
        <w:t xml:space="preserve"> D</w:t>
      </w:r>
      <w:r w:rsidRPr="000C7C76">
        <w:rPr>
          <w:rFonts w:ascii="Times New Roman" w:hAnsi="Times New Roman" w:cs="Times New Roman"/>
          <w:vertAlign w:val="superscript"/>
          <w:lang w:val="en-US"/>
        </w:rPr>
        <w:t>1</w:t>
      </w:r>
      <w:r w:rsidRPr="000C7C76">
        <w:rPr>
          <w:rFonts w:ascii="Times New Roman" w:hAnsi="Times New Roman" w:cs="Times New Roman"/>
          <w:lang w:val="en-US"/>
        </w:rPr>
        <w:t xml:space="preserve"> </w:t>
      </w:r>
      <w:proofErr w:type="spellStart"/>
      <w:r w:rsidRPr="000C7C76">
        <w:rPr>
          <w:rFonts w:ascii="Times New Roman" w:hAnsi="Times New Roman" w:cs="Times New Roman"/>
          <w:lang w:val="en-US"/>
        </w:rPr>
        <w:t>sadaļu</w:t>
      </w:r>
      <w:proofErr w:type="spellEnd"/>
      <w:r w:rsidRPr="000C7C76">
        <w:rPr>
          <w:rFonts w:ascii="Times New Roman" w:hAnsi="Times New Roman" w:cs="Times New Roman"/>
          <w:lang w:val="en-US"/>
        </w:rPr>
        <w:t xml:space="preserve">; </w:t>
      </w:r>
      <w:proofErr w:type="spellStart"/>
      <w:r w:rsidRPr="000C7C76">
        <w:rPr>
          <w:rFonts w:ascii="Times New Roman" w:hAnsi="Times New Roman" w:cs="Times New Roman"/>
          <w:lang w:val="en-US"/>
        </w:rPr>
        <w:t>Civilprocesa</w:t>
      </w:r>
      <w:proofErr w:type="spellEnd"/>
      <w:r w:rsidRPr="000C7C76">
        <w:rPr>
          <w:rFonts w:ascii="Times New Roman" w:hAnsi="Times New Roman" w:cs="Times New Roman"/>
          <w:lang w:val="en-US"/>
        </w:rPr>
        <w:t xml:space="preserve"> </w:t>
      </w:r>
      <w:proofErr w:type="spellStart"/>
      <w:r w:rsidRPr="000C7C76">
        <w:rPr>
          <w:rFonts w:ascii="Times New Roman" w:hAnsi="Times New Roman" w:cs="Times New Roman"/>
          <w:lang w:val="en-US"/>
        </w:rPr>
        <w:t>likuma</w:t>
      </w:r>
      <w:proofErr w:type="spellEnd"/>
      <w:r w:rsidRPr="000C7C76">
        <w:rPr>
          <w:rFonts w:ascii="Times New Roman" w:hAnsi="Times New Roman" w:cs="Times New Roman"/>
          <w:lang w:val="en-US"/>
        </w:rPr>
        <w:t xml:space="preserve"> </w:t>
      </w:r>
      <w:proofErr w:type="gramStart"/>
      <w:r w:rsidRPr="000C7C76">
        <w:rPr>
          <w:rFonts w:ascii="Times New Roman" w:hAnsi="Times New Roman" w:cs="Times New Roman"/>
          <w:lang w:val="en-US"/>
        </w:rPr>
        <w:t>540.p.</w:t>
      </w:r>
      <w:proofErr w:type="gramEnd"/>
      <w:r w:rsidRPr="000C7C76">
        <w:rPr>
          <w:rFonts w:ascii="Times New Roman" w:hAnsi="Times New Roman" w:cs="Times New Roman"/>
          <w:lang w:val="en-US"/>
        </w:rPr>
        <w:t xml:space="preserve"> 16.punktu); Latvijas </w:t>
      </w:r>
      <w:proofErr w:type="spellStart"/>
      <w:r w:rsidRPr="000C7C76">
        <w:rPr>
          <w:rFonts w:ascii="Times New Roman" w:hAnsi="Times New Roman" w:cs="Times New Roman"/>
          <w:lang w:val="en-US"/>
        </w:rPr>
        <w:t>civilprocesā</w:t>
      </w:r>
      <w:proofErr w:type="spellEnd"/>
      <w:r w:rsidRPr="000C7C76">
        <w:rPr>
          <w:rFonts w:ascii="Times New Roman" w:hAnsi="Times New Roman" w:cs="Times New Roman"/>
          <w:lang w:val="en-US"/>
        </w:rPr>
        <w:t xml:space="preserve"> (</w:t>
      </w:r>
      <w:proofErr w:type="spellStart"/>
      <w:r w:rsidRPr="000C7C76">
        <w:rPr>
          <w:rFonts w:ascii="Times New Roman" w:hAnsi="Times New Roman" w:cs="Times New Roman"/>
          <w:lang w:val="en-US"/>
        </w:rPr>
        <w:t>civillietas</w:t>
      </w:r>
      <w:proofErr w:type="spellEnd"/>
      <w:r w:rsidRPr="000C7C76">
        <w:rPr>
          <w:rFonts w:ascii="Times New Roman" w:hAnsi="Times New Roman" w:cs="Times New Roman"/>
          <w:lang w:val="en-US"/>
        </w:rPr>
        <w:t xml:space="preserve"> </w:t>
      </w:r>
      <w:proofErr w:type="spellStart"/>
      <w:r w:rsidRPr="000C7C76">
        <w:rPr>
          <w:rFonts w:ascii="Times New Roman" w:hAnsi="Times New Roman" w:cs="Times New Roman"/>
          <w:lang w:val="en-US"/>
        </w:rPr>
        <w:t>izskatīšanā</w:t>
      </w:r>
      <w:proofErr w:type="spellEnd"/>
      <w:r w:rsidRPr="000C7C76">
        <w:rPr>
          <w:rFonts w:ascii="Times New Roman" w:hAnsi="Times New Roman" w:cs="Times New Roman"/>
          <w:lang w:val="en-US"/>
        </w:rPr>
        <w:t xml:space="preserve"> </w:t>
      </w:r>
      <w:proofErr w:type="spellStart"/>
      <w:r w:rsidRPr="000C7C76">
        <w:rPr>
          <w:rFonts w:ascii="Times New Roman" w:hAnsi="Times New Roman" w:cs="Times New Roman"/>
          <w:lang w:val="en-US"/>
        </w:rPr>
        <w:t>tiesā</w:t>
      </w:r>
      <w:proofErr w:type="spellEnd"/>
      <w:r w:rsidRPr="000C7C76">
        <w:rPr>
          <w:rFonts w:ascii="Times New Roman" w:hAnsi="Times New Roman" w:cs="Times New Roman"/>
          <w:lang w:val="en-US"/>
        </w:rPr>
        <w:t xml:space="preserve">) </w:t>
      </w:r>
      <w:proofErr w:type="spellStart"/>
      <w:r w:rsidRPr="000C7C76">
        <w:rPr>
          <w:rFonts w:ascii="Times New Roman" w:hAnsi="Times New Roman" w:cs="Times New Roman"/>
          <w:lang w:val="en-US"/>
        </w:rPr>
        <w:t>nevar</w:t>
      </w:r>
      <w:proofErr w:type="spellEnd"/>
      <w:r w:rsidRPr="000C7C76">
        <w:rPr>
          <w:rFonts w:ascii="Times New Roman" w:hAnsi="Times New Roman" w:cs="Times New Roman"/>
          <w:lang w:val="en-US"/>
        </w:rPr>
        <w:t xml:space="preserve"> </w:t>
      </w:r>
      <w:proofErr w:type="spellStart"/>
      <w:r w:rsidRPr="000C7C76">
        <w:rPr>
          <w:rFonts w:ascii="Times New Roman" w:hAnsi="Times New Roman" w:cs="Times New Roman"/>
          <w:lang w:val="en-US"/>
        </w:rPr>
        <w:t>apšaubīt</w:t>
      </w:r>
      <w:proofErr w:type="spellEnd"/>
      <w:r w:rsidRPr="000C7C76">
        <w:rPr>
          <w:rFonts w:ascii="Times New Roman" w:hAnsi="Times New Roman" w:cs="Times New Roman"/>
          <w:lang w:val="en-US"/>
        </w:rPr>
        <w:t xml:space="preserve"> </w:t>
      </w:r>
      <w:proofErr w:type="spellStart"/>
      <w:r w:rsidRPr="000C7C76">
        <w:rPr>
          <w:rFonts w:ascii="Times New Roman" w:hAnsi="Times New Roman" w:cs="Times New Roman"/>
          <w:lang w:val="en-US"/>
        </w:rPr>
        <w:t>notariālo</w:t>
      </w:r>
      <w:proofErr w:type="spellEnd"/>
      <w:r w:rsidRPr="000C7C76">
        <w:rPr>
          <w:rFonts w:ascii="Times New Roman" w:hAnsi="Times New Roman" w:cs="Times New Roman"/>
          <w:lang w:val="en-US"/>
        </w:rPr>
        <w:t xml:space="preserve"> </w:t>
      </w:r>
      <w:proofErr w:type="spellStart"/>
      <w:r w:rsidRPr="000C7C76">
        <w:rPr>
          <w:rFonts w:ascii="Times New Roman" w:hAnsi="Times New Roman" w:cs="Times New Roman"/>
          <w:lang w:val="en-US"/>
        </w:rPr>
        <w:t>aktu</w:t>
      </w:r>
      <w:proofErr w:type="spellEnd"/>
      <w:r w:rsidRPr="000C7C76">
        <w:rPr>
          <w:rFonts w:ascii="Times New Roman" w:hAnsi="Times New Roman" w:cs="Times New Roman"/>
          <w:lang w:val="en-US"/>
        </w:rPr>
        <w:t xml:space="preserve"> </w:t>
      </w:r>
      <w:proofErr w:type="spellStart"/>
      <w:r w:rsidRPr="000C7C76">
        <w:rPr>
          <w:rFonts w:ascii="Times New Roman" w:hAnsi="Times New Roman" w:cs="Times New Roman"/>
          <w:lang w:val="en-US"/>
        </w:rPr>
        <w:t>patiesīgumu</w:t>
      </w:r>
      <w:proofErr w:type="spellEnd"/>
      <w:r w:rsidRPr="000C7C76">
        <w:rPr>
          <w:rFonts w:ascii="Times New Roman" w:hAnsi="Times New Roman" w:cs="Times New Roman"/>
          <w:lang w:val="en-US"/>
        </w:rPr>
        <w:t xml:space="preserve">. </w:t>
      </w:r>
      <w:proofErr w:type="spellStart"/>
      <w:r w:rsidRPr="000C7C76">
        <w:rPr>
          <w:rFonts w:ascii="Times New Roman" w:hAnsi="Times New Roman" w:cs="Times New Roman"/>
          <w:lang w:val="en-US"/>
        </w:rPr>
        <w:t>Notariālos</w:t>
      </w:r>
      <w:proofErr w:type="spellEnd"/>
      <w:r w:rsidRPr="000C7C76">
        <w:rPr>
          <w:rFonts w:ascii="Times New Roman" w:hAnsi="Times New Roman" w:cs="Times New Roman"/>
          <w:lang w:val="en-US"/>
        </w:rPr>
        <w:t xml:space="preserve"> </w:t>
      </w:r>
      <w:proofErr w:type="spellStart"/>
      <w:r w:rsidRPr="000C7C76">
        <w:rPr>
          <w:rFonts w:ascii="Times New Roman" w:hAnsi="Times New Roman" w:cs="Times New Roman"/>
          <w:lang w:val="en-US"/>
        </w:rPr>
        <w:t>aktus</w:t>
      </w:r>
      <w:proofErr w:type="spellEnd"/>
      <w:r w:rsidRPr="000C7C76">
        <w:rPr>
          <w:rFonts w:ascii="Times New Roman" w:hAnsi="Times New Roman" w:cs="Times New Roman"/>
          <w:lang w:val="en-US"/>
        </w:rPr>
        <w:t xml:space="preserve"> var </w:t>
      </w:r>
      <w:proofErr w:type="spellStart"/>
      <w:r w:rsidRPr="000C7C76">
        <w:rPr>
          <w:rFonts w:ascii="Times New Roman" w:hAnsi="Times New Roman" w:cs="Times New Roman"/>
          <w:lang w:val="en-US"/>
        </w:rPr>
        <w:t>apstrīdēt</w:t>
      </w:r>
      <w:proofErr w:type="spellEnd"/>
      <w:r w:rsidRPr="000C7C76">
        <w:rPr>
          <w:rFonts w:ascii="Times New Roman" w:hAnsi="Times New Roman" w:cs="Times New Roman"/>
          <w:lang w:val="en-US"/>
        </w:rPr>
        <w:t xml:space="preserve">, </w:t>
      </w:r>
      <w:proofErr w:type="spellStart"/>
      <w:r w:rsidRPr="000C7C76">
        <w:rPr>
          <w:rFonts w:ascii="Times New Roman" w:hAnsi="Times New Roman" w:cs="Times New Roman"/>
          <w:lang w:val="en-US"/>
        </w:rPr>
        <w:t>ceļot</w:t>
      </w:r>
      <w:proofErr w:type="spellEnd"/>
      <w:r w:rsidRPr="000C7C76">
        <w:rPr>
          <w:rFonts w:ascii="Times New Roman" w:hAnsi="Times New Roman" w:cs="Times New Roman"/>
          <w:lang w:val="en-US"/>
        </w:rPr>
        <w:t xml:space="preserve"> </w:t>
      </w:r>
      <w:proofErr w:type="spellStart"/>
      <w:r w:rsidRPr="000C7C76">
        <w:rPr>
          <w:rFonts w:ascii="Times New Roman" w:hAnsi="Times New Roman" w:cs="Times New Roman"/>
          <w:lang w:val="en-US"/>
        </w:rPr>
        <w:t>atsevišķu</w:t>
      </w:r>
      <w:proofErr w:type="spellEnd"/>
      <w:r w:rsidRPr="000C7C76">
        <w:rPr>
          <w:rFonts w:ascii="Times New Roman" w:hAnsi="Times New Roman" w:cs="Times New Roman"/>
          <w:color w:val="008000"/>
          <w:lang w:val="en-US"/>
        </w:rPr>
        <w:t xml:space="preserve"> </w:t>
      </w:r>
      <w:proofErr w:type="spellStart"/>
      <w:r w:rsidRPr="000C7C76">
        <w:rPr>
          <w:rFonts w:ascii="Times New Roman" w:hAnsi="Times New Roman" w:cs="Times New Roman"/>
          <w:lang w:val="en-US"/>
        </w:rPr>
        <w:t>prasību</w:t>
      </w:r>
      <w:proofErr w:type="spellEnd"/>
      <w:r w:rsidRPr="000C7C76">
        <w:rPr>
          <w:rFonts w:ascii="Times New Roman" w:hAnsi="Times New Roman" w:cs="Times New Roman"/>
          <w:lang w:val="en-US"/>
        </w:rPr>
        <w:t xml:space="preserve"> </w:t>
      </w:r>
      <w:proofErr w:type="spellStart"/>
      <w:r w:rsidRPr="000C7C76">
        <w:rPr>
          <w:rFonts w:ascii="Times New Roman" w:hAnsi="Times New Roman" w:cs="Times New Roman"/>
          <w:lang w:val="en-US"/>
        </w:rPr>
        <w:t>tiesā</w:t>
      </w:r>
      <w:proofErr w:type="spellEnd"/>
      <w:r w:rsidRPr="000C7C76">
        <w:rPr>
          <w:rFonts w:ascii="Times New Roman" w:hAnsi="Times New Roman" w:cs="Times New Roman"/>
          <w:lang w:val="en-US"/>
        </w:rPr>
        <w:t xml:space="preserve"> (skat. </w:t>
      </w:r>
      <w:proofErr w:type="spellStart"/>
      <w:r w:rsidRPr="000C7C76">
        <w:rPr>
          <w:rFonts w:ascii="Times New Roman" w:hAnsi="Times New Roman" w:cs="Times New Roman"/>
          <w:lang w:val="en-US"/>
        </w:rPr>
        <w:t>Civilprocesa</w:t>
      </w:r>
      <w:proofErr w:type="spellEnd"/>
      <w:r w:rsidRPr="000C7C76">
        <w:rPr>
          <w:rFonts w:ascii="Times New Roman" w:hAnsi="Times New Roman" w:cs="Times New Roman"/>
          <w:lang w:val="en-US"/>
        </w:rPr>
        <w:t xml:space="preserve"> </w:t>
      </w:r>
      <w:proofErr w:type="spellStart"/>
      <w:r w:rsidRPr="000C7C76">
        <w:rPr>
          <w:rFonts w:ascii="Times New Roman" w:hAnsi="Times New Roman" w:cs="Times New Roman"/>
          <w:lang w:val="en-US"/>
        </w:rPr>
        <w:t>likuma</w:t>
      </w:r>
      <w:proofErr w:type="spellEnd"/>
      <w:r w:rsidRPr="000C7C76">
        <w:rPr>
          <w:rFonts w:ascii="Times New Roman" w:hAnsi="Times New Roman" w:cs="Times New Roman"/>
          <w:lang w:val="en-US"/>
        </w:rPr>
        <w:t xml:space="preserve"> 178.p. </w:t>
      </w:r>
      <w:proofErr w:type="gramStart"/>
      <w:r w:rsidRPr="000C7C76">
        <w:rPr>
          <w:rFonts w:ascii="Times New Roman" w:hAnsi="Times New Roman" w:cs="Times New Roman"/>
          <w:lang w:val="en-US"/>
        </w:rPr>
        <w:t>3.d.</w:t>
      </w:r>
      <w:proofErr w:type="gramEnd"/>
      <w:r w:rsidRPr="000C7C76">
        <w:rPr>
          <w:rFonts w:ascii="Times New Roman" w:hAnsi="Times New Roman" w:cs="Times New Roman"/>
          <w:lang w:val="en-US"/>
        </w:rPr>
        <w:t xml:space="preserve">; </w:t>
      </w:r>
      <w:proofErr w:type="spellStart"/>
      <w:r w:rsidRPr="000C7C76">
        <w:rPr>
          <w:rFonts w:ascii="Times New Roman" w:hAnsi="Times New Roman" w:cs="Times New Roman"/>
          <w:lang w:val="en-US"/>
        </w:rPr>
        <w:t>Notariāta</w:t>
      </w:r>
      <w:proofErr w:type="spellEnd"/>
      <w:r w:rsidRPr="000C7C76">
        <w:rPr>
          <w:rFonts w:ascii="Times New Roman" w:hAnsi="Times New Roman" w:cs="Times New Roman"/>
          <w:lang w:val="en-US"/>
        </w:rPr>
        <w:t xml:space="preserve"> </w:t>
      </w:r>
      <w:proofErr w:type="spellStart"/>
      <w:r w:rsidRPr="000C7C76">
        <w:rPr>
          <w:rFonts w:ascii="Times New Roman" w:hAnsi="Times New Roman" w:cs="Times New Roman"/>
          <w:lang w:val="en-US"/>
        </w:rPr>
        <w:t>likuma</w:t>
      </w:r>
      <w:proofErr w:type="spellEnd"/>
      <w:r w:rsidRPr="000C7C76">
        <w:rPr>
          <w:rFonts w:ascii="Times New Roman" w:hAnsi="Times New Roman" w:cs="Times New Roman"/>
          <w:lang w:val="en-US"/>
        </w:rPr>
        <w:t xml:space="preserve"> 208.p.). </w:t>
      </w:r>
      <w:proofErr w:type="spellStart"/>
      <w:r w:rsidRPr="000C7C76">
        <w:rPr>
          <w:rFonts w:ascii="Times New Roman" w:hAnsi="Times New Roman" w:cs="Times New Roman"/>
          <w:lang w:val="en-US"/>
        </w:rPr>
        <w:t>Šī</w:t>
      </w:r>
      <w:proofErr w:type="spellEnd"/>
      <w:r w:rsidRPr="000C7C76">
        <w:rPr>
          <w:rFonts w:ascii="Times New Roman" w:hAnsi="Times New Roman" w:cs="Times New Roman"/>
          <w:lang w:val="en-US"/>
        </w:rPr>
        <w:t xml:space="preserve"> </w:t>
      </w:r>
      <w:proofErr w:type="spellStart"/>
      <w:r w:rsidRPr="000C7C76">
        <w:rPr>
          <w:rFonts w:ascii="Times New Roman" w:hAnsi="Times New Roman" w:cs="Times New Roman"/>
          <w:lang w:val="en-US"/>
        </w:rPr>
        <w:t>iemesla</w:t>
      </w:r>
      <w:proofErr w:type="spellEnd"/>
      <w:r w:rsidRPr="000C7C76">
        <w:rPr>
          <w:rFonts w:ascii="Times New Roman" w:hAnsi="Times New Roman" w:cs="Times New Roman"/>
          <w:lang w:val="en-US"/>
        </w:rPr>
        <w:t xml:space="preserve"> </w:t>
      </w:r>
      <w:proofErr w:type="spellStart"/>
      <w:r w:rsidRPr="000C7C76">
        <w:rPr>
          <w:rFonts w:ascii="Times New Roman" w:hAnsi="Times New Roman" w:cs="Times New Roman"/>
          <w:lang w:val="en-US"/>
        </w:rPr>
        <w:t>dēļ</w:t>
      </w:r>
      <w:proofErr w:type="spellEnd"/>
      <w:r w:rsidRPr="000C7C76">
        <w:rPr>
          <w:rFonts w:ascii="Times New Roman" w:hAnsi="Times New Roman" w:cs="Times New Roman"/>
          <w:lang w:val="en-US"/>
        </w:rPr>
        <w:t xml:space="preserve"> </w:t>
      </w:r>
      <w:proofErr w:type="spellStart"/>
      <w:r w:rsidRPr="000C7C76">
        <w:rPr>
          <w:rFonts w:ascii="Times New Roman" w:hAnsi="Times New Roman" w:cs="Times New Roman"/>
          <w:lang w:val="en-US"/>
        </w:rPr>
        <w:t>Latvijā</w:t>
      </w:r>
      <w:proofErr w:type="spellEnd"/>
      <w:r w:rsidRPr="000C7C76">
        <w:rPr>
          <w:rFonts w:ascii="Times New Roman" w:hAnsi="Times New Roman" w:cs="Times New Roman"/>
          <w:lang w:val="en-US"/>
        </w:rPr>
        <w:t xml:space="preserve"> </w:t>
      </w:r>
      <w:proofErr w:type="spellStart"/>
      <w:r w:rsidRPr="000C7C76">
        <w:rPr>
          <w:rFonts w:ascii="Times New Roman" w:hAnsi="Times New Roman" w:cs="Times New Roman"/>
          <w:lang w:val="en-US"/>
        </w:rPr>
        <w:t>likumdevējs</w:t>
      </w:r>
      <w:proofErr w:type="spellEnd"/>
      <w:r w:rsidRPr="000C7C76">
        <w:rPr>
          <w:rFonts w:ascii="Times New Roman" w:hAnsi="Times New Roman" w:cs="Times New Roman"/>
          <w:lang w:val="en-US"/>
        </w:rPr>
        <w:t xml:space="preserve"> </w:t>
      </w:r>
      <w:proofErr w:type="spellStart"/>
      <w:r w:rsidRPr="000C7C76">
        <w:rPr>
          <w:rFonts w:ascii="Times New Roman" w:hAnsi="Times New Roman" w:cs="Times New Roman"/>
          <w:lang w:val="en-US"/>
        </w:rPr>
        <w:t>ir</w:t>
      </w:r>
      <w:proofErr w:type="spellEnd"/>
      <w:r w:rsidRPr="000C7C76">
        <w:rPr>
          <w:rFonts w:ascii="Times New Roman" w:hAnsi="Times New Roman" w:cs="Times New Roman"/>
          <w:lang w:val="en-US"/>
        </w:rPr>
        <w:t xml:space="preserve"> </w:t>
      </w:r>
      <w:proofErr w:type="spellStart"/>
      <w:r w:rsidRPr="000C7C76">
        <w:rPr>
          <w:rFonts w:ascii="Times New Roman" w:hAnsi="Times New Roman" w:cs="Times New Roman"/>
          <w:lang w:val="en-US"/>
        </w:rPr>
        <w:t>noteicis</w:t>
      </w:r>
      <w:proofErr w:type="spellEnd"/>
      <w:r w:rsidRPr="000C7C76">
        <w:rPr>
          <w:rFonts w:ascii="Times New Roman" w:hAnsi="Times New Roman" w:cs="Times New Roman"/>
          <w:lang w:val="en-US"/>
        </w:rPr>
        <w:t xml:space="preserve"> </w:t>
      </w:r>
      <w:proofErr w:type="spellStart"/>
      <w:r w:rsidRPr="000C7C76">
        <w:rPr>
          <w:rFonts w:ascii="Times New Roman" w:hAnsi="Times New Roman" w:cs="Times New Roman"/>
          <w:lang w:val="en-US"/>
        </w:rPr>
        <w:t>stingras</w:t>
      </w:r>
      <w:proofErr w:type="spellEnd"/>
      <w:r w:rsidRPr="000C7C76">
        <w:rPr>
          <w:rFonts w:ascii="Times New Roman" w:hAnsi="Times New Roman" w:cs="Times New Roman"/>
          <w:lang w:val="en-US"/>
        </w:rPr>
        <w:t xml:space="preserve"> </w:t>
      </w:r>
      <w:proofErr w:type="spellStart"/>
      <w:r w:rsidRPr="000C7C76">
        <w:rPr>
          <w:rFonts w:ascii="Times New Roman" w:hAnsi="Times New Roman" w:cs="Times New Roman"/>
          <w:lang w:val="en-US"/>
        </w:rPr>
        <w:t>prasības</w:t>
      </w:r>
      <w:proofErr w:type="spellEnd"/>
      <w:r w:rsidRPr="000C7C76">
        <w:rPr>
          <w:rFonts w:ascii="Times New Roman" w:hAnsi="Times New Roman" w:cs="Times New Roman"/>
          <w:lang w:val="en-US"/>
        </w:rPr>
        <w:t xml:space="preserve"> (</w:t>
      </w:r>
      <w:proofErr w:type="spellStart"/>
      <w:r w:rsidRPr="000C7C76">
        <w:rPr>
          <w:rFonts w:ascii="Times New Roman" w:hAnsi="Times New Roman" w:cs="Times New Roman"/>
          <w:lang w:val="en-US"/>
        </w:rPr>
        <w:t>stingrākas</w:t>
      </w:r>
      <w:proofErr w:type="spellEnd"/>
      <w:r w:rsidRPr="000C7C76">
        <w:rPr>
          <w:rFonts w:ascii="Times New Roman" w:hAnsi="Times New Roman" w:cs="Times New Roman"/>
          <w:lang w:val="en-US"/>
        </w:rPr>
        <w:t xml:space="preserve">, </w:t>
      </w:r>
      <w:proofErr w:type="spellStart"/>
      <w:r w:rsidRPr="000C7C76">
        <w:rPr>
          <w:rFonts w:ascii="Times New Roman" w:hAnsi="Times New Roman" w:cs="Times New Roman"/>
          <w:lang w:val="en-US"/>
        </w:rPr>
        <w:t>nekā</w:t>
      </w:r>
      <w:proofErr w:type="spellEnd"/>
      <w:r w:rsidRPr="000C7C76">
        <w:rPr>
          <w:rFonts w:ascii="Times New Roman" w:hAnsi="Times New Roman" w:cs="Times New Roman"/>
          <w:lang w:val="en-US"/>
        </w:rPr>
        <w:t xml:space="preserve">, </w:t>
      </w:r>
      <w:proofErr w:type="spellStart"/>
      <w:r w:rsidRPr="000C7C76">
        <w:rPr>
          <w:rFonts w:ascii="Times New Roman" w:hAnsi="Times New Roman" w:cs="Times New Roman"/>
          <w:lang w:val="en-US"/>
        </w:rPr>
        <w:t>piemēram</w:t>
      </w:r>
      <w:proofErr w:type="spellEnd"/>
      <w:r w:rsidRPr="000C7C76">
        <w:rPr>
          <w:rFonts w:ascii="Times New Roman" w:hAnsi="Times New Roman" w:cs="Times New Roman"/>
          <w:lang w:val="en-US"/>
        </w:rPr>
        <w:t xml:space="preserve">, </w:t>
      </w:r>
      <w:proofErr w:type="spellStart"/>
      <w:r w:rsidRPr="000C7C76">
        <w:rPr>
          <w:rFonts w:ascii="Times New Roman" w:hAnsi="Times New Roman" w:cs="Times New Roman"/>
          <w:lang w:val="en-US"/>
        </w:rPr>
        <w:t>Vācijas</w:t>
      </w:r>
      <w:proofErr w:type="spellEnd"/>
      <w:r w:rsidRPr="000C7C76">
        <w:rPr>
          <w:rFonts w:ascii="Times New Roman" w:hAnsi="Times New Roman" w:cs="Times New Roman"/>
          <w:lang w:val="en-US"/>
        </w:rPr>
        <w:t xml:space="preserve"> </w:t>
      </w:r>
      <w:proofErr w:type="spellStart"/>
      <w:r w:rsidRPr="000C7C76">
        <w:rPr>
          <w:rFonts w:ascii="Times New Roman" w:hAnsi="Times New Roman" w:cs="Times New Roman"/>
          <w:lang w:val="en-US"/>
        </w:rPr>
        <w:t>likumdevējs</w:t>
      </w:r>
      <w:proofErr w:type="spellEnd"/>
      <w:r w:rsidRPr="000C7C76">
        <w:rPr>
          <w:rFonts w:ascii="Times New Roman" w:hAnsi="Times New Roman" w:cs="Times New Roman"/>
          <w:lang w:val="en-US"/>
        </w:rPr>
        <w:t xml:space="preserve">) </w:t>
      </w:r>
      <w:proofErr w:type="spellStart"/>
      <w:r w:rsidRPr="000C7C76">
        <w:rPr>
          <w:rFonts w:ascii="Times New Roman" w:hAnsi="Times New Roman" w:cs="Times New Roman"/>
          <w:lang w:val="en-US"/>
        </w:rPr>
        <w:t>notariālā</w:t>
      </w:r>
      <w:proofErr w:type="spellEnd"/>
      <w:r w:rsidRPr="000C7C76">
        <w:rPr>
          <w:rFonts w:ascii="Times New Roman" w:hAnsi="Times New Roman" w:cs="Times New Roman"/>
          <w:lang w:val="en-US"/>
        </w:rPr>
        <w:t xml:space="preserve"> </w:t>
      </w:r>
      <w:proofErr w:type="spellStart"/>
      <w:r w:rsidRPr="000C7C76">
        <w:rPr>
          <w:rFonts w:ascii="Times New Roman" w:hAnsi="Times New Roman" w:cs="Times New Roman"/>
          <w:lang w:val="en-US"/>
        </w:rPr>
        <w:t>akta</w:t>
      </w:r>
      <w:proofErr w:type="spellEnd"/>
      <w:r w:rsidRPr="000C7C76">
        <w:rPr>
          <w:rFonts w:ascii="Times New Roman" w:hAnsi="Times New Roman" w:cs="Times New Roman"/>
          <w:lang w:val="en-US"/>
        </w:rPr>
        <w:t xml:space="preserve"> </w:t>
      </w:r>
      <w:proofErr w:type="spellStart"/>
      <w:r w:rsidRPr="000C7C76">
        <w:rPr>
          <w:rFonts w:ascii="Times New Roman" w:hAnsi="Times New Roman" w:cs="Times New Roman"/>
          <w:lang w:val="en-US"/>
        </w:rPr>
        <w:t>taisīšanas</w:t>
      </w:r>
      <w:proofErr w:type="spellEnd"/>
      <w:r w:rsidRPr="000C7C76">
        <w:rPr>
          <w:rFonts w:ascii="Times New Roman" w:hAnsi="Times New Roman" w:cs="Times New Roman"/>
          <w:lang w:val="en-US"/>
        </w:rPr>
        <w:t xml:space="preserve"> </w:t>
      </w:r>
      <w:proofErr w:type="spellStart"/>
      <w:r w:rsidRPr="000C7C76">
        <w:rPr>
          <w:rFonts w:ascii="Times New Roman" w:hAnsi="Times New Roman" w:cs="Times New Roman"/>
          <w:lang w:val="en-US"/>
        </w:rPr>
        <w:t>procesam</w:t>
      </w:r>
      <w:proofErr w:type="spellEnd"/>
      <w:r w:rsidRPr="000C7C76">
        <w:rPr>
          <w:rFonts w:ascii="Times New Roman" w:hAnsi="Times New Roman" w:cs="Times New Roman"/>
          <w:lang w:val="en-US"/>
        </w:rPr>
        <w:t xml:space="preserve">, </w:t>
      </w:r>
      <w:proofErr w:type="spellStart"/>
      <w:r w:rsidRPr="000C7C76">
        <w:rPr>
          <w:rFonts w:ascii="Times New Roman" w:hAnsi="Times New Roman" w:cs="Times New Roman"/>
          <w:lang w:val="en-US"/>
        </w:rPr>
        <w:t>ieskaitot</w:t>
      </w:r>
      <w:proofErr w:type="spellEnd"/>
      <w:r w:rsidRPr="000C7C76">
        <w:rPr>
          <w:rFonts w:ascii="Times New Roman" w:hAnsi="Times New Roman" w:cs="Times New Roman"/>
          <w:lang w:val="en-US"/>
        </w:rPr>
        <w:t xml:space="preserve"> </w:t>
      </w:r>
      <w:proofErr w:type="spellStart"/>
      <w:r w:rsidRPr="000C7C76">
        <w:rPr>
          <w:rFonts w:ascii="Times New Roman" w:hAnsi="Times New Roman" w:cs="Times New Roman"/>
          <w:lang w:val="en-US"/>
        </w:rPr>
        <w:t>arī</w:t>
      </w:r>
      <w:proofErr w:type="spellEnd"/>
      <w:r w:rsidRPr="000C7C76">
        <w:rPr>
          <w:rFonts w:ascii="Times New Roman" w:hAnsi="Times New Roman" w:cs="Times New Roman"/>
          <w:lang w:val="en-US"/>
        </w:rPr>
        <w:t xml:space="preserve"> </w:t>
      </w:r>
      <w:proofErr w:type="spellStart"/>
      <w:r w:rsidRPr="000C7C76">
        <w:rPr>
          <w:rFonts w:ascii="Times New Roman" w:hAnsi="Times New Roman" w:cs="Times New Roman"/>
          <w:lang w:val="en-US"/>
        </w:rPr>
        <w:t>pārstāvības</w:t>
      </w:r>
      <w:proofErr w:type="spellEnd"/>
      <w:r w:rsidRPr="000C7C76">
        <w:rPr>
          <w:rFonts w:ascii="Times New Roman" w:hAnsi="Times New Roman" w:cs="Times New Roman"/>
          <w:lang w:val="en-US"/>
        </w:rPr>
        <w:t xml:space="preserve"> </w:t>
      </w:r>
      <w:proofErr w:type="spellStart"/>
      <w:r w:rsidRPr="000C7C76">
        <w:rPr>
          <w:rFonts w:ascii="Times New Roman" w:hAnsi="Times New Roman" w:cs="Times New Roman"/>
          <w:lang w:val="en-US"/>
        </w:rPr>
        <w:t>tiesību</w:t>
      </w:r>
      <w:proofErr w:type="spellEnd"/>
      <w:r w:rsidRPr="000C7C76">
        <w:rPr>
          <w:rFonts w:ascii="Times New Roman" w:hAnsi="Times New Roman" w:cs="Times New Roman"/>
          <w:lang w:val="en-US"/>
        </w:rPr>
        <w:t xml:space="preserve"> </w:t>
      </w:r>
      <w:proofErr w:type="spellStart"/>
      <w:r w:rsidRPr="000C7C76">
        <w:rPr>
          <w:rFonts w:ascii="Times New Roman" w:hAnsi="Times New Roman" w:cs="Times New Roman"/>
          <w:lang w:val="en-US"/>
        </w:rPr>
        <w:t>pārbaudei</w:t>
      </w:r>
      <w:proofErr w:type="spellEnd"/>
      <w:r w:rsidRPr="000C7C76">
        <w:rPr>
          <w:rFonts w:ascii="Times New Roman" w:hAnsi="Times New Roman" w:cs="Times New Roman"/>
          <w:lang w:val="en-US"/>
        </w:rPr>
        <w:t xml:space="preserve">. </w:t>
      </w:r>
      <w:r w:rsidRPr="00CD4311">
        <w:rPr>
          <w:rFonts w:ascii="Times New Roman" w:hAnsi="Times New Roman" w:cs="Times New Roman"/>
          <w:lang w:val="lv-LV"/>
        </w:rPr>
        <w:t xml:space="preserve">Tādēļ Latvijas zvērināti notāri nedrīkst pielīdzināt šādas ASV </w:t>
      </w:r>
      <w:proofErr w:type="spellStart"/>
      <w:r w:rsidRPr="00CD4311">
        <w:rPr>
          <w:rFonts w:ascii="Times New Roman" w:hAnsi="Times New Roman" w:cs="Times New Roman"/>
          <w:i/>
          <w:lang w:val="lv-LV"/>
        </w:rPr>
        <w:t>notaries</w:t>
      </w:r>
      <w:proofErr w:type="spellEnd"/>
      <w:r w:rsidRPr="00CD4311">
        <w:rPr>
          <w:rFonts w:ascii="Times New Roman" w:hAnsi="Times New Roman" w:cs="Times New Roman"/>
          <w:i/>
          <w:lang w:val="lv-LV"/>
        </w:rPr>
        <w:t xml:space="preserve"> </w:t>
      </w:r>
      <w:proofErr w:type="spellStart"/>
      <w:r w:rsidRPr="00CD4311">
        <w:rPr>
          <w:rFonts w:ascii="Times New Roman" w:hAnsi="Times New Roman" w:cs="Times New Roman"/>
          <w:i/>
          <w:lang w:val="lv-LV"/>
        </w:rPr>
        <w:t>public</w:t>
      </w:r>
      <w:proofErr w:type="spellEnd"/>
      <w:r w:rsidRPr="00CD4311">
        <w:rPr>
          <w:rFonts w:ascii="Times New Roman" w:hAnsi="Times New Roman" w:cs="Times New Roman"/>
          <w:lang w:val="lv-LV"/>
        </w:rPr>
        <w:t xml:space="preserve"> apliecinātas pilnvaras “publiskiem dokumentiem” un ar to palīdzību pārliecināties par pārstāvības tiesībām Notariāta likuma 83.panta izpratnē. Šādi apliecinātas pilnvaras Notariāta likuma izpratnē ir </w:t>
      </w:r>
      <w:r w:rsidRPr="00CD4311">
        <w:rPr>
          <w:rFonts w:ascii="Times New Roman" w:hAnsi="Times New Roman" w:cs="Times New Roman"/>
          <w:lang w:val="lv-LV"/>
        </w:rPr>
        <w:lastRenderedPageBreak/>
        <w:t>privāti dokumenti (Notariāta likuma 81. un 116.p.) un tādēļ nav izmantojami pārstāvības tiesību pārbaudē notariālā akta taisīšanas procesā.</w:t>
      </w:r>
    </w:p>
    <w:p w14:paraId="13A5BBE7" w14:textId="77777777" w:rsidR="00114953" w:rsidRPr="00CD4311" w:rsidRDefault="00114953" w:rsidP="00114953">
      <w:pPr>
        <w:ind w:firstLine="708"/>
        <w:jc w:val="both"/>
        <w:rPr>
          <w:rFonts w:ascii="Times New Roman" w:hAnsi="Times New Roman" w:cs="Times New Roman"/>
          <w:lang w:val="lv-LV"/>
        </w:rPr>
      </w:pPr>
    </w:p>
    <w:p w14:paraId="5826414B" w14:textId="77777777" w:rsidR="00114953" w:rsidRPr="00CD4311" w:rsidRDefault="00114953" w:rsidP="00114953">
      <w:pPr>
        <w:ind w:firstLine="708"/>
        <w:jc w:val="both"/>
        <w:rPr>
          <w:rFonts w:ascii="Times New Roman" w:hAnsi="Times New Roman" w:cs="Times New Roman"/>
          <w:lang w:val="lv-LV"/>
        </w:rPr>
      </w:pPr>
      <w:r w:rsidRPr="00CD4311">
        <w:rPr>
          <w:rFonts w:ascii="Times New Roman" w:hAnsi="Times New Roman" w:cs="Times New Roman"/>
          <w:lang w:val="lv-LV"/>
        </w:rPr>
        <w:t xml:space="preserve">Risinājums būtu meklējams starptautiskajās privāttiesībās izstrādātajā un piemērotajā </w:t>
      </w:r>
      <w:r w:rsidRPr="00CD4311">
        <w:rPr>
          <w:rFonts w:ascii="Times New Roman" w:hAnsi="Times New Roman" w:cs="Times New Roman"/>
          <w:b/>
          <w:lang w:val="lv-LV"/>
        </w:rPr>
        <w:t>ekvivalences jeb substitūcijas teorijā</w:t>
      </w:r>
      <w:r w:rsidRPr="00CD4311">
        <w:rPr>
          <w:rFonts w:ascii="Times New Roman" w:hAnsi="Times New Roman" w:cs="Times New Roman"/>
          <w:lang w:val="lv-LV"/>
        </w:rPr>
        <w:t xml:space="preserve">, konkrēti, </w:t>
      </w:r>
      <w:r w:rsidRPr="00CD4311">
        <w:rPr>
          <w:rFonts w:ascii="Times New Roman" w:hAnsi="Times New Roman" w:cs="Times New Roman"/>
          <w:i/>
          <w:lang w:val="lv-LV"/>
        </w:rPr>
        <w:t>funkcionālajā ekvivalencē</w:t>
      </w:r>
      <w:r w:rsidRPr="00CD4311">
        <w:rPr>
          <w:rFonts w:ascii="Times New Roman" w:hAnsi="Times New Roman" w:cs="Times New Roman"/>
          <w:lang w:val="lv-LV"/>
        </w:rPr>
        <w:t>.</w:t>
      </w:r>
      <w:r w:rsidRPr="00CD4311">
        <w:rPr>
          <w:rStyle w:val="FootnoteReference"/>
          <w:rFonts w:ascii="Times New Roman" w:hAnsi="Times New Roman" w:cs="Times New Roman"/>
          <w:lang w:val="lv-LV"/>
        </w:rPr>
        <w:footnoteReference w:id="169"/>
      </w:r>
      <w:r w:rsidRPr="00CD4311">
        <w:rPr>
          <w:rFonts w:ascii="Times New Roman" w:hAnsi="Times New Roman" w:cs="Times New Roman"/>
          <w:lang w:val="lv-LV"/>
        </w:rPr>
        <w:t xml:space="preserve"> Notariālo funkciju veikšanas gadījumā ne vienmēr ir iespējams </w:t>
      </w:r>
      <w:proofErr w:type="spellStart"/>
      <w:r w:rsidRPr="00CD4311">
        <w:rPr>
          <w:rFonts w:ascii="Times New Roman" w:hAnsi="Times New Roman" w:cs="Times New Roman"/>
          <w:lang w:val="lv-LV"/>
        </w:rPr>
        <w:t>prezumēt</w:t>
      </w:r>
      <w:proofErr w:type="spellEnd"/>
      <w:r w:rsidRPr="00CD4311">
        <w:rPr>
          <w:rFonts w:ascii="Times New Roman" w:hAnsi="Times New Roman" w:cs="Times New Roman"/>
          <w:lang w:val="lv-LV"/>
        </w:rPr>
        <w:t xml:space="preserve"> šo funkcionālo ekvivalenci</w:t>
      </w:r>
      <w:r w:rsidRPr="00CD4311">
        <w:rPr>
          <w:rStyle w:val="FootnoteReference"/>
          <w:rFonts w:ascii="Times New Roman" w:hAnsi="Times New Roman" w:cs="Times New Roman"/>
          <w:lang w:val="lv-LV"/>
        </w:rPr>
        <w:footnoteReference w:id="170"/>
      </w:r>
      <w:r w:rsidRPr="00CD4311">
        <w:rPr>
          <w:rFonts w:ascii="Times New Roman" w:hAnsi="Times New Roman" w:cs="Times New Roman"/>
          <w:lang w:val="lv-LV"/>
        </w:rPr>
        <w:t xml:space="preserve"> (to parasti </w:t>
      </w:r>
      <w:proofErr w:type="spellStart"/>
      <w:r w:rsidRPr="00CD4311">
        <w:rPr>
          <w:rFonts w:ascii="Times New Roman" w:hAnsi="Times New Roman" w:cs="Times New Roman"/>
          <w:lang w:val="lv-LV"/>
        </w:rPr>
        <w:t>prezumē</w:t>
      </w:r>
      <w:proofErr w:type="spellEnd"/>
      <w:r w:rsidRPr="00CD4311">
        <w:rPr>
          <w:rFonts w:ascii="Times New Roman" w:hAnsi="Times New Roman" w:cs="Times New Roman"/>
          <w:lang w:val="lv-LV"/>
        </w:rPr>
        <w:t xml:space="preserve"> Latīņu tipa notariāta ietvaros). Funkcionālā ekvivalence nozīmē salīdzināt dokumenta sastādītāja (apliecinātāja) funkciju ar viņa kolēģa funkcijām valstī, kurā dokuments ir izmantojams (iesniedzams, uzrādāms). Citiem vārdiem sakot, ASV </w:t>
      </w:r>
      <w:proofErr w:type="spellStart"/>
      <w:r w:rsidRPr="00CD4311">
        <w:rPr>
          <w:rFonts w:ascii="Times New Roman" w:hAnsi="Times New Roman" w:cs="Times New Roman"/>
          <w:i/>
          <w:lang w:val="lv-LV"/>
        </w:rPr>
        <w:t>notary</w:t>
      </w:r>
      <w:proofErr w:type="spellEnd"/>
      <w:r w:rsidRPr="00CD4311">
        <w:rPr>
          <w:rFonts w:ascii="Times New Roman" w:hAnsi="Times New Roman" w:cs="Times New Roman"/>
          <w:i/>
          <w:lang w:val="lv-LV"/>
        </w:rPr>
        <w:t xml:space="preserve"> </w:t>
      </w:r>
      <w:proofErr w:type="spellStart"/>
      <w:r w:rsidRPr="00CD4311">
        <w:rPr>
          <w:rFonts w:ascii="Times New Roman" w:hAnsi="Times New Roman" w:cs="Times New Roman"/>
          <w:i/>
          <w:lang w:val="lv-LV"/>
        </w:rPr>
        <w:t>public</w:t>
      </w:r>
      <w:proofErr w:type="spellEnd"/>
      <w:r w:rsidRPr="00CD4311">
        <w:rPr>
          <w:rFonts w:ascii="Times New Roman" w:hAnsi="Times New Roman" w:cs="Times New Roman"/>
          <w:lang w:val="lv-LV"/>
        </w:rPr>
        <w:t xml:space="preserve"> funkcijām dokumenta sastādīšanā būtu jābūt funkcionāli atbilstošām Latvijas zvērinātu notāru funkcijām publiska dokumenta (notariālā akta) sastādīšanā. Diemžēl, funkcionālā ekvivalence starp ASV </w:t>
      </w:r>
      <w:proofErr w:type="spellStart"/>
      <w:r w:rsidRPr="00CD4311">
        <w:rPr>
          <w:rFonts w:ascii="Times New Roman" w:hAnsi="Times New Roman" w:cs="Times New Roman"/>
          <w:i/>
          <w:lang w:val="lv-LV"/>
        </w:rPr>
        <w:t>notary</w:t>
      </w:r>
      <w:proofErr w:type="spellEnd"/>
      <w:r w:rsidRPr="00CD4311">
        <w:rPr>
          <w:rFonts w:ascii="Times New Roman" w:hAnsi="Times New Roman" w:cs="Times New Roman"/>
          <w:i/>
          <w:lang w:val="lv-LV"/>
        </w:rPr>
        <w:t xml:space="preserve"> </w:t>
      </w:r>
      <w:proofErr w:type="spellStart"/>
      <w:r w:rsidRPr="00CD4311">
        <w:rPr>
          <w:rFonts w:ascii="Times New Roman" w:hAnsi="Times New Roman" w:cs="Times New Roman"/>
          <w:i/>
          <w:lang w:val="lv-LV"/>
        </w:rPr>
        <w:t>public</w:t>
      </w:r>
      <w:proofErr w:type="spellEnd"/>
      <w:r w:rsidRPr="00CD4311">
        <w:rPr>
          <w:rFonts w:ascii="Times New Roman" w:hAnsi="Times New Roman" w:cs="Times New Roman"/>
          <w:lang w:val="lv-LV"/>
        </w:rPr>
        <w:t xml:space="preserve"> (izņemot Luiziānas štatu) un Latvijas zvērinātiem notāriem ir vērojama tikai tajā funkcijā, kas attiecas uz paraksta apliecināšanu; Latvijā šādi sastādīts zvērināta notāra dokuments ir privāts dokuments, tādēļ arī ASV </w:t>
      </w:r>
      <w:proofErr w:type="spellStart"/>
      <w:r w:rsidRPr="00CD4311">
        <w:rPr>
          <w:rFonts w:ascii="Times New Roman" w:hAnsi="Times New Roman" w:cs="Times New Roman"/>
          <w:i/>
          <w:lang w:val="lv-LV"/>
        </w:rPr>
        <w:t>notary</w:t>
      </w:r>
      <w:proofErr w:type="spellEnd"/>
      <w:r w:rsidRPr="00CD4311">
        <w:rPr>
          <w:rFonts w:ascii="Times New Roman" w:hAnsi="Times New Roman" w:cs="Times New Roman"/>
          <w:i/>
          <w:lang w:val="lv-LV"/>
        </w:rPr>
        <w:t xml:space="preserve"> </w:t>
      </w:r>
      <w:proofErr w:type="spellStart"/>
      <w:r w:rsidRPr="00CD4311">
        <w:rPr>
          <w:rFonts w:ascii="Times New Roman" w:hAnsi="Times New Roman" w:cs="Times New Roman"/>
          <w:i/>
          <w:lang w:val="lv-LV"/>
        </w:rPr>
        <w:t>public</w:t>
      </w:r>
      <w:proofErr w:type="spellEnd"/>
      <w:r w:rsidRPr="00CD4311">
        <w:rPr>
          <w:rFonts w:ascii="Times New Roman" w:hAnsi="Times New Roman" w:cs="Times New Roman"/>
          <w:lang w:val="lv-LV"/>
        </w:rPr>
        <w:t xml:space="preserve"> šādi apliecināts dokuments Latvijā tiks uzskatīts par privātu dokumentu.  </w:t>
      </w:r>
    </w:p>
    <w:p w14:paraId="4EA3B2D0" w14:textId="77777777" w:rsidR="00114953" w:rsidRPr="00CD4311" w:rsidRDefault="00114953" w:rsidP="00114953">
      <w:pPr>
        <w:ind w:firstLine="708"/>
        <w:jc w:val="both"/>
        <w:rPr>
          <w:rFonts w:ascii="Times New Roman" w:hAnsi="Times New Roman" w:cs="Times New Roman"/>
          <w:lang w:val="lv-LV"/>
        </w:rPr>
      </w:pPr>
      <w:r w:rsidRPr="00CD4311">
        <w:rPr>
          <w:rFonts w:ascii="Times New Roman" w:hAnsi="Times New Roman" w:cs="Times New Roman"/>
          <w:lang w:val="lv-LV"/>
        </w:rPr>
        <w:t>Lai ASV sastādītu Latvijas zvērināta notāra sastādītai pilnvarai (notariālā akta formā) ekvivalentu dokumentu (t.i. tādu, kas aizsargā tās pašas intereses</w:t>
      </w:r>
      <w:r w:rsidRPr="00CD4311">
        <w:rPr>
          <w:rStyle w:val="FootnoteReference"/>
          <w:rFonts w:ascii="Times New Roman" w:hAnsi="Times New Roman" w:cs="Times New Roman"/>
          <w:lang w:val="lv-LV"/>
        </w:rPr>
        <w:footnoteReference w:id="171"/>
      </w:r>
      <w:r w:rsidRPr="00CD4311">
        <w:rPr>
          <w:rFonts w:ascii="Times New Roman" w:hAnsi="Times New Roman" w:cs="Times New Roman"/>
          <w:lang w:val="lv-LV"/>
        </w:rPr>
        <w:t>), ir jāvēršas ASV pie jurista (parasti tas ir</w:t>
      </w:r>
      <w:r w:rsidRPr="00CD4311">
        <w:rPr>
          <w:rFonts w:ascii="Times New Roman" w:hAnsi="Times New Roman" w:cs="Times New Roman"/>
          <w:i/>
          <w:lang w:val="lv-LV"/>
        </w:rPr>
        <w:t xml:space="preserve"> </w:t>
      </w:r>
      <w:proofErr w:type="spellStart"/>
      <w:r w:rsidRPr="00CD4311">
        <w:rPr>
          <w:rFonts w:ascii="Times New Roman" w:hAnsi="Times New Roman" w:cs="Times New Roman"/>
          <w:i/>
          <w:lang w:val="lv-LV"/>
        </w:rPr>
        <w:t>lawyer</w:t>
      </w:r>
      <w:proofErr w:type="spellEnd"/>
      <w:r w:rsidRPr="00CD4311">
        <w:rPr>
          <w:rFonts w:ascii="Times New Roman" w:hAnsi="Times New Roman" w:cs="Times New Roman"/>
          <w:i/>
          <w:lang w:val="lv-LV"/>
        </w:rPr>
        <w:t xml:space="preserve"> </w:t>
      </w:r>
      <w:proofErr w:type="spellStart"/>
      <w:r w:rsidRPr="00CD4311">
        <w:rPr>
          <w:rFonts w:ascii="Times New Roman" w:hAnsi="Times New Roman" w:cs="Times New Roman"/>
          <w:i/>
          <w:lang w:val="lv-LV"/>
        </w:rPr>
        <w:t>attorney</w:t>
      </w:r>
      <w:proofErr w:type="spellEnd"/>
      <w:r w:rsidRPr="00CD4311">
        <w:rPr>
          <w:rFonts w:ascii="Times New Roman" w:hAnsi="Times New Roman" w:cs="Times New Roman"/>
          <w:lang w:val="lv-LV"/>
        </w:rPr>
        <w:t>), kurš, būdams jurists, ir spējīgs sastādīt pilnvaru, kas pašos būtiskākajos aspektos atbilstu satura un formas ziņā Latvijas zvērinātu notāru sastādītām pilnvarām (kuras Latvijā tiek uzskatītas par publiskiem dokumentiem). Līdz ar to šeit nav runa par to, vai amatpersonas nosaukumā ir vārds “notārs” (“</w:t>
      </w:r>
      <w:proofErr w:type="spellStart"/>
      <w:r w:rsidRPr="00CD4311">
        <w:rPr>
          <w:rFonts w:ascii="Times New Roman" w:hAnsi="Times New Roman" w:cs="Times New Roman"/>
          <w:i/>
          <w:lang w:val="lv-LV"/>
        </w:rPr>
        <w:t>notary</w:t>
      </w:r>
      <w:proofErr w:type="spellEnd"/>
      <w:r w:rsidRPr="00CD4311">
        <w:rPr>
          <w:rFonts w:ascii="Times New Roman" w:hAnsi="Times New Roman" w:cs="Times New Roman"/>
          <w:lang w:val="lv-LV"/>
        </w:rPr>
        <w:t>”), bet gan par funkciju ekvivalenci. No Notariāta likuma 82.</w:t>
      </w:r>
      <w:r w:rsidRPr="00CD4311">
        <w:rPr>
          <w:rFonts w:ascii="Times New Roman" w:hAnsi="Times New Roman" w:cs="Times New Roman"/>
          <w:vertAlign w:val="superscript"/>
          <w:lang w:val="lv-LV"/>
        </w:rPr>
        <w:t>1</w:t>
      </w:r>
      <w:r w:rsidRPr="00CD4311">
        <w:rPr>
          <w:rFonts w:ascii="Times New Roman" w:hAnsi="Times New Roman" w:cs="Times New Roman"/>
          <w:lang w:val="lv-LV"/>
        </w:rPr>
        <w:t xml:space="preserve">, 83. panta izriet, ka pilnvarai (lai to atzītu par “publisku dokumentu”) ir jābūt sastādītai tā, lai būtu pārbaudīts pilnvaras devēja: 1) gribas īstums izdot tieši šādu pilnvaru, 2) rīcībspēja (juridiskai personai – tiesībspēja); 3) identitāte. </w:t>
      </w:r>
    </w:p>
    <w:p w14:paraId="790FA3DC" w14:textId="77777777" w:rsidR="00114953" w:rsidRPr="00CD4311" w:rsidRDefault="00114953" w:rsidP="00114953">
      <w:pPr>
        <w:ind w:firstLine="708"/>
        <w:jc w:val="both"/>
        <w:rPr>
          <w:rFonts w:ascii="Times New Roman" w:hAnsi="Times New Roman" w:cs="Times New Roman"/>
          <w:lang w:val="lv-LV"/>
        </w:rPr>
      </w:pPr>
      <w:r w:rsidRPr="00CD4311">
        <w:rPr>
          <w:rFonts w:ascii="Times New Roman" w:hAnsi="Times New Roman" w:cs="Times New Roman"/>
          <w:lang w:val="lv-LV"/>
        </w:rPr>
        <w:t>Ārvalstu juridiskajā literatūrā</w:t>
      </w:r>
      <w:r w:rsidRPr="00CD4311">
        <w:rPr>
          <w:rStyle w:val="FootnoteReference"/>
          <w:rFonts w:ascii="Times New Roman" w:hAnsi="Times New Roman" w:cs="Times New Roman"/>
          <w:lang w:val="lv-LV"/>
        </w:rPr>
        <w:footnoteReference w:id="172"/>
      </w:r>
      <w:r w:rsidRPr="00CD4311">
        <w:rPr>
          <w:rFonts w:ascii="Times New Roman" w:hAnsi="Times New Roman" w:cs="Times New Roman"/>
          <w:lang w:val="lv-LV"/>
        </w:rPr>
        <w:t xml:space="preserve"> ir norādīts, ka šādas </w:t>
      </w:r>
      <w:proofErr w:type="spellStart"/>
      <w:r w:rsidRPr="00CD4311">
        <w:rPr>
          <w:rFonts w:ascii="Times New Roman" w:hAnsi="Times New Roman" w:cs="Times New Roman"/>
          <w:lang w:val="lv-LV"/>
        </w:rPr>
        <w:t>funckijas</w:t>
      </w:r>
      <w:proofErr w:type="spellEnd"/>
      <w:r w:rsidRPr="00CD4311">
        <w:rPr>
          <w:rFonts w:ascii="Times New Roman" w:hAnsi="Times New Roman" w:cs="Times New Roman"/>
          <w:lang w:val="lv-LV"/>
        </w:rPr>
        <w:t xml:space="preserve"> ASV štatos veic:</w:t>
      </w:r>
    </w:p>
    <w:p w14:paraId="680E2801" w14:textId="77777777" w:rsidR="00114953" w:rsidRPr="00CD4311" w:rsidRDefault="00114953" w:rsidP="00114953">
      <w:pPr>
        <w:jc w:val="both"/>
        <w:rPr>
          <w:rFonts w:ascii="Times New Roman" w:hAnsi="Times New Roman" w:cs="Times New Roman"/>
          <w:lang w:val="lv-LV"/>
        </w:rPr>
      </w:pPr>
      <w:r w:rsidRPr="00CD4311">
        <w:rPr>
          <w:rFonts w:ascii="Times New Roman" w:hAnsi="Times New Roman" w:cs="Times New Roman"/>
          <w:lang w:val="lv-LV"/>
        </w:rPr>
        <w:t xml:space="preserve">- </w:t>
      </w:r>
      <w:proofErr w:type="spellStart"/>
      <w:r w:rsidRPr="00CD4311">
        <w:rPr>
          <w:rFonts w:ascii="Times New Roman" w:hAnsi="Times New Roman" w:cs="Times New Roman"/>
          <w:i/>
          <w:lang w:val="lv-LV"/>
        </w:rPr>
        <w:t>lawyers</w:t>
      </w:r>
      <w:proofErr w:type="spellEnd"/>
      <w:r w:rsidRPr="00CD4311">
        <w:rPr>
          <w:rFonts w:ascii="Times New Roman" w:hAnsi="Times New Roman" w:cs="Times New Roman"/>
          <w:i/>
          <w:lang w:val="lv-LV"/>
        </w:rPr>
        <w:t xml:space="preserve"> </w:t>
      </w:r>
      <w:proofErr w:type="spellStart"/>
      <w:r w:rsidRPr="00CD4311">
        <w:rPr>
          <w:rFonts w:ascii="Times New Roman" w:hAnsi="Times New Roman" w:cs="Times New Roman"/>
          <w:i/>
          <w:lang w:val="lv-LV"/>
        </w:rPr>
        <w:t>attorneys</w:t>
      </w:r>
      <w:proofErr w:type="spellEnd"/>
      <w:r w:rsidRPr="00CD4311">
        <w:rPr>
          <w:rFonts w:ascii="Times New Roman" w:hAnsi="Times New Roman" w:cs="Times New Roman"/>
          <w:lang w:val="lv-LV"/>
        </w:rPr>
        <w:t>;</w:t>
      </w:r>
    </w:p>
    <w:p w14:paraId="02219C96" w14:textId="77777777" w:rsidR="00114953" w:rsidRPr="00CD4311" w:rsidRDefault="00114953" w:rsidP="00114953">
      <w:pPr>
        <w:jc w:val="both"/>
        <w:rPr>
          <w:rFonts w:ascii="Times New Roman" w:hAnsi="Times New Roman" w:cs="Times New Roman"/>
          <w:lang w:val="lv-LV"/>
        </w:rPr>
      </w:pPr>
      <w:r w:rsidRPr="00CD4311">
        <w:rPr>
          <w:rFonts w:ascii="Times New Roman" w:hAnsi="Times New Roman" w:cs="Times New Roman"/>
          <w:lang w:val="lv-LV"/>
        </w:rPr>
        <w:t xml:space="preserve">- </w:t>
      </w:r>
      <w:proofErr w:type="spellStart"/>
      <w:r w:rsidRPr="00CD4311">
        <w:rPr>
          <w:rFonts w:ascii="Times New Roman" w:hAnsi="Times New Roman" w:cs="Times New Roman"/>
          <w:i/>
          <w:lang w:val="lv-LV"/>
        </w:rPr>
        <w:t>lawyer</w:t>
      </w:r>
      <w:proofErr w:type="spellEnd"/>
      <w:r w:rsidRPr="00CD4311">
        <w:rPr>
          <w:rFonts w:ascii="Times New Roman" w:hAnsi="Times New Roman" w:cs="Times New Roman"/>
          <w:lang w:val="lv-LV"/>
        </w:rPr>
        <w:t xml:space="preserve">, kura sastādīto dokumentu pēc tam apliecinājis </w:t>
      </w:r>
      <w:proofErr w:type="spellStart"/>
      <w:r w:rsidRPr="00CD4311">
        <w:rPr>
          <w:rFonts w:ascii="Times New Roman" w:hAnsi="Times New Roman" w:cs="Times New Roman"/>
          <w:i/>
          <w:lang w:val="lv-LV"/>
        </w:rPr>
        <w:t>notary</w:t>
      </w:r>
      <w:proofErr w:type="spellEnd"/>
      <w:r w:rsidRPr="00CD4311">
        <w:rPr>
          <w:rFonts w:ascii="Times New Roman" w:hAnsi="Times New Roman" w:cs="Times New Roman"/>
          <w:i/>
          <w:lang w:val="lv-LV"/>
        </w:rPr>
        <w:t xml:space="preserve"> </w:t>
      </w:r>
      <w:proofErr w:type="spellStart"/>
      <w:r w:rsidRPr="00CD4311">
        <w:rPr>
          <w:rFonts w:ascii="Times New Roman" w:hAnsi="Times New Roman" w:cs="Times New Roman"/>
          <w:i/>
          <w:lang w:val="lv-LV"/>
        </w:rPr>
        <w:t>public</w:t>
      </w:r>
      <w:proofErr w:type="spellEnd"/>
      <w:r w:rsidRPr="00CD4311">
        <w:rPr>
          <w:rFonts w:ascii="Times New Roman" w:hAnsi="Times New Roman" w:cs="Times New Roman"/>
          <w:lang w:val="lv-LV"/>
        </w:rPr>
        <w:t>;</w:t>
      </w:r>
    </w:p>
    <w:p w14:paraId="5E80E162" w14:textId="77777777" w:rsidR="00114953" w:rsidRPr="00CD4311" w:rsidRDefault="00114953" w:rsidP="00114953">
      <w:pPr>
        <w:jc w:val="both"/>
        <w:rPr>
          <w:rFonts w:ascii="Times New Roman" w:hAnsi="Times New Roman" w:cs="Times New Roman"/>
          <w:lang w:val="lv-LV"/>
        </w:rPr>
      </w:pPr>
      <w:r w:rsidRPr="00CD4311">
        <w:rPr>
          <w:rFonts w:ascii="Times New Roman" w:hAnsi="Times New Roman" w:cs="Times New Roman"/>
          <w:lang w:val="lv-LV"/>
        </w:rPr>
        <w:t xml:space="preserve">- </w:t>
      </w:r>
      <w:proofErr w:type="spellStart"/>
      <w:r w:rsidRPr="00CD4311">
        <w:rPr>
          <w:rFonts w:ascii="Times New Roman" w:hAnsi="Times New Roman" w:cs="Times New Roman"/>
          <w:i/>
          <w:lang w:val="lv-LV"/>
        </w:rPr>
        <w:t>notary</w:t>
      </w:r>
      <w:proofErr w:type="spellEnd"/>
      <w:r w:rsidRPr="00CD4311">
        <w:rPr>
          <w:rFonts w:ascii="Times New Roman" w:hAnsi="Times New Roman" w:cs="Times New Roman"/>
          <w:i/>
          <w:lang w:val="lv-LV"/>
        </w:rPr>
        <w:t xml:space="preserve"> </w:t>
      </w:r>
      <w:proofErr w:type="spellStart"/>
      <w:r w:rsidRPr="00CD4311">
        <w:rPr>
          <w:rFonts w:ascii="Times New Roman" w:hAnsi="Times New Roman" w:cs="Times New Roman"/>
          <w:i/>
          <w:lang w:val="lv-LV"/>
        </w:rPr>
        <w:t>public</w:t>
      </w:r>
      <w:proofErr w:type="spellEnd"/>
      <w:r w:rsidRPr="00CD4311">
        <w:rPr>
          <w:rFonts w:ascii="Times New Roman" w:hAnsi="Times New Roman" w:cs="Times New Roman"/>
          <w:lang w:val="lv-LV"/>
        </w:rPr>
        <w:t xml:space="preserve">, kurš pats vienlaicīgi ir </w:t>
      </w:r>
      <w:proofErr w:type="spellStart"/>
      <w:r w:rsidRPr="00CD4311">
        <w:rPr>
          <w:rFonts w:ascii="Times New Roman" w:hAnsi="Times New Roman" w:cs="Times New Roman"/>
          <w:i/>
          <w:lang w:val="lv-LV"/>
        </w:rPr>
        <w:t>lawyer</w:t>
      </w:r>
      <w:proofErr w:type="spellEnd"/>
      <w:r w:rsidRPr="00CD4311">
        <w:rPr>
          <w:rFonts w:ascii="Times New Roman" w:hAnsi="Times New Roman" w:cs="Times New Roman"/>
          <w:i/>
          <w:lang w:val="lv-LV"/>
        </w:rPr>
        <w:t xml:space="preserve"> </w:t>
      </w:r>
      <w:r w:rsidRPr="00CD4311">
        <w:rPr>
          <w:rFonts w:ascii="Times New Roman" w:hAnsi="Times New Roman" w:cs="Times New Roman"/>
          <w:lang w:val="lv-LV"/>
        </w:rPr>
        <w:t xml:space="preserve">un ir piedalījies dokumenta (pilnvaras) sastādīšanā (par ko izdarīta atzīme dokumentā).  </w:t>
      </w:r>
    </w:p>
    <w:p w14:paraId="115363F8" w14:textId="4A0D40CE" w:rsidR="00114953" w:rsidRPr="000C7C76" w:rsidRDefault="00114953" w:rsidP="00CD4311">
      <w:pPr>
        <w:ind w:firstLine="708"/>
        <w:jc w:val="both"/>
        <w:rPr>
          <w:rFonts w:ascii="Times New Roman" w:hAnsi="Times New Roman" w:cs="Times New Roman"/>
          <w:lang w:val="lv-LV"/>
        </w:rPr>
      </w:pPr>
      <w:r w:rsidRPr="000C7C76">
        <w:rPr>
          <w:rFonts w:ascii="Times New Roman" w:hAnsi="Times New Roman" w:cs="Times New Roman"/>
          <w:lang w:val="lv-LV"/>
        </w:rPr>
        <w:t xml:space="preserve">Šāda attieksme ir arī Francijā, kur ASV </w:t>
      </w:r>
      <w:proofErr w:type="spellStart"/>
      <w:r w:rsidRPr="000C7C76">
        <w:rPr>
          <w:rFonts w:ascii="Times New Roman" w:hAnsi="Times New Roman" w:cs="Times New Roman"/>
          <w:i/>
          <w:lang w:val="lv-LV"/>
        </w:rPr>
        <w:t>notaries</w:t>
      </w:r>
      <w:proofErr w:type="spellEnd"/>
      <w:r w:rsidRPr="000C7C76">
        <w:rPr>
          <w:rFonts w:ascii="Times New Roman" w:hAnsi="Times New Roman" w:cs="Times New Roman"/>
          <w:i/>
          <w:lang w:val="lv-LV"/>
        </w:rPr>
        <w:t xml:space="preserve"> </w:t>
      </w:r>
      <w:proofErr w:type="spellStart"/>
      <w:r w:rsidRPr="000C7C76">
        <w:rPr>
          <w:rFonts w:ascii="Times New Roman" w:hAnsi="Times New Roman" w:cs="Times New Roman"/>
          <w:i/>
          <w:lang w:val="lv-LV"/>
        </w:rPr>
        <w:t>public</w:t>
      </w:r>
      <w:proofErr w:type="spellEnd"/>
      <w:r w:rsidRPr="000C7C76">
        <w:rPr>
          <w:rFonts w:ascii="Times New Roman" w:hAnsi="Times New Roman" w:cs="Times New Roman"/>
          <w:lang w:val="lv-LV"/>
        </w:rPr>
        <w:t xml:space="preserve"> izdotos dokumentus nepielīdzina Francijas notāru izdotajiem dokumentiem.</w:t>
      </w:r>
      <w:r w:rsidRPr="00CD4311">
        <w:rPr>
          <w:rStyle w:val="FootnoteReference"/>
          <w:rFonts w:ascii="Times New Roman" w:hAnsi="Times New Roman" w:cs="Times New Roman"/>
        </w:rPr>
        <w:footnoteReference w:id="173"/>
      </w:r>
    </w:p>
    <w:p w14:paraId="68DD5021" w14:textId="797BFE4B" w:rsidR="00114953" w:rsidRPr="000C7C76" w:rsidRDefault="00114953" w:rsidP="00CD4311">
      <w:pPr>
        <w:jc w:val="both"/>
        <w:rPr>
          <w:rFonts w:ascii="Times New Roman" w:hAnsi="Times New Roman" w:cs="Times New Roman"/>
          <w:color w:val="008000"/>
          <w:lang w:val="lv-LV"/>
        </w:rPr>
      </w:pPr>
      <w:r w:rsidRPr="000C7C76">
        <w:rPr>
          <w:rFonts w:ascii="Times New Roman" w:hAnsi="Times New Roman" w:cs="Times New Roman"/>
          <w:lang w:val="lv-LV"/>
        </w:rPr>
        <w:tab/>
      </w:r>
      <w:r w:rsidRPr="000C7C76">
        <w:rPr>
          <w:rFonts w:ascii="Times New Roman" w:hAnsi="Times New Roman" w:cs="Times New Roman"/>
          <w:b/>
          <w:lang w:val="lv-LV"/>
        </w:rPr>
        <w:t xml:space="preserve">Ekvivalences jeb substitūcijas teorijā </w:t>
      </w:r>
      <w:r w:rsidRPr="000C7C76">
        <w:rPr>
          <w:rFonts w:ascii="Times New Roman" w:hAnsi="Times New Roman" w:cs="Times New Roman"/>
          <w:lang w:val="lv-LV"/>
        </w:rPr>
        <w:t>ar ekvivalenci saprot nevis pilnīgi to pašu, bet gan pašos būtiskākajos pamatos to pašu.</w:t>
      </w:r>
      <w:r w:rsidRPr="00CD4311">
        <w:rPr>
          <w:rStyle w:val="FootnoteReference"/>
          <w:rFonts w:ascii="Times New Roman" w:hAnsi="Times New Roman" w:cs="Times New Roman"/>
        </w:rPr>
        <w:footnoteReference w:id="174"/>
      </w:r>
      <w:r w:rsidRPr="000C7C76">
        <w:rPr>
          <w:rFonts w:ascii="Times New Roman" w:hAnsi="Times New Roman" w:cs="Times New Roman"/>
          <w:lang w:val="lv-LV"/>
        </w:rPr>
        <w:t xml:space="preserve"> Šo teoriju nesen savā 2016.gada 14.aprīļa</w:t>
      </w:r>
      <w:r w:rsidRPr="000C7C76">
        <w:rPr>
          <w:rFonts w:ascii="Times New Roman" w:hAnsi="Times New Roman" w:cs="Times New Roman"/>
          <w:color w:val="008000"/>
          <w:lang w:val="lv-LV"/>
        </w:rPr>
        <w:t xml:space="preserve"> </w:t>
      </w:r>
      <w:r w:rsidRPr="000C7C76">
        <w:rPr>
          <w:rFonts w:ascii="Times New Roman" w:hAnsi="Times New Roman" w:cs="Times New Roman"/>
          <w:lang w:val="lv-LV"/>
        </w:rPr>
        <w:t>spriedumā</w:t>
      </w:r>
      <w:r w:rsidRPr="00CD4311">
        <w:rPr>
          <w:rStyle w:val="FootnoteReference"/>
          <w:rFonts w:ascii="Times New Roman" w:hAnsi="Times New Roman" w:cs="Times New Roman"/>
        </w:rPr>
        <w:footnoteReference w:id="175"/>
      </w:r>
      <w:r w:rsidRPr="000C7C76">
        <w:rPr>
          <w:rFonts w:ascii="Times New Roman" w:hAnsi="Times New Roman" w:cs="Times New Roman"/>
          <w:lang w:val="lv-LV"/>
        </w:rPr>
        <w:t xml:space="preserve"> piemēroja </w:t>
      </w:r>
      <w:r w:rsidRPr="000C7C76">
        <w:rPr>
          <w:rFonts w:ascii="Times New Roman" w:hAnsi="Times New Roman" w:cs="Times New Roman"/>
          <w:b/>
          <w:lang w:val="lv-LV"/>
        </w:rPr>
        <w:t>Francijas Kasācijas tiesa</w:t>
      </w:r>
      <w:r w:rsidRPr="000C7C76">
        <w:rPr>
          <w:rFonts w:ascii="Times New Roman" w:hAnsi="Times New Roman" w:cs="Times New Roman"/>
          <w:lang w:val="lv-LV"/>
        </w:rPr>
        <w:t xml:space="preserve">, izskatot jautājumu par </w:t>
      </w:r>
      <w:r w:rsidRPr="000C7C76">
        <w:rPr>
          <w:rFonts w:ascii="Times New Roman" w:hAnsi="Times New Roman" w:cs="Times New Roman"/>
          <w:b/>
          <w:lang w:val="lv-LV"/>
        </w:rPr>
        <w:t>Austrālijas</w:t>
      </w:r>
      <w:r w:rsidRPr="000C7C76">
        <w:rPr>
          <w:rFonts w:ascii="Times New Roman" w:hAnsi="Times New Roman" w:cs="Times New Roman"/>
          <w:lang w:val="lv-LV"/>
        </w:rPr>
        <w:t xml:space="preserve"> </w:t>
      </w:r>
      <w:proofErr w:type="spellStart"/>
      <w:r w:rsidRPr="000C7C76">
        <w:rPr>
          <w:rFonts w:ascii="Times New Roman" w:hAnsi="Times New Roman" w:cs="Times New Roman"/>
          <w:i/>
          <w:lang w:val="lv-LV"/>
        </w:rPr>
        <w:t>notary</w:t>
      </w:r>
      <w:proofErr w:type="spellEnd"/>
      <w:r w:rsidRPr="000C7C76">
        <w:rPr>
          <w:rFonts w:ascii="Times New Roman" w:hAnsi="Times New Roman" w:cs="Times New Roman"/>
          <w:i/>
          <w:lang w:val="lv-LV"/>
        </w:rPr>
        <w:t xml:space="preserve"> </w:t>
      </w:r>
      <w:proofErr w:type="spellStart"/>
      <w:r w:rsidRPr="000C7C76">
        <w:rPr>
          <w:rFonts w:ascii="Times New Roman" w:hAnsi="Times New Roman" w:cs="Times New Roman"/>
          <w:i/>
          <w:lang w:val="lv-LV"/>
        </w:rPr>
        <w:t>public</w:t>
      </w:r>
      <w:proofErr w:type="spellEnd"/>
      <w:r w:rsidRPr="000C7C76">
        <w:rPr>
          <w:rFonts w:ascii="Times New Roman" w:hAnsi="Times New Roman" w:cs="Times New Roman"/>
          <w:lang w:val="lv-LV"/>
        </w:rPr>
        <w:t xml:space="preserve"> apliecinātas pilnvaras pielīdzināšanu vai nepielīdzināšanu Francijas notāru izdotajām pilnvarām – publiskiem dokumentiem. Austrālijā izdotā pilnvara bija jāizmanto tālāk Francijā cita darījuma noslēgšanai, līdz ar to bija jānoskaidro, vai Austrālijas </w:t>
      </w:r>
      <w:proofErr w:type="spellStart"/>
      <w:r w:rsidRPr="000C7C76">
        <w:rPr>
          <w:rFonts w:ascii="Times New Roman" w:hAnsi="Times New Roman" w:cs="Times New Roman"/>
          <w:i/>
          <w:lang w:val="lv-LV"/>
        </w:rPr>
        <w:t>notary</w:t>
      </w:r>
      <w:proofErr w:type="spellEnd"/>
      <w:r w:rsidRPr="000C7C76">
        <w:rPr>
          <w:rFonts w:ascii="Times New Roman" w:hAnsi="Times New Roman" w:cs="Times New Roman"/>
          <w:i/>
          <w:lang w:val="lv-LV"/>
        </w:rPr>
        <w:t xml:space="preserve"> </w:t>
      </w:r>
      <w:proofErr w:type="spellStart"/>
      <w:r w:rsidRPr="000C7C76">
        <w:rPr>
          <w:rFonts w:ascii="Times New Roman" w:hAnsi="Times New Roman" w:cs="Times New Roman"/>
          <w:i/>
          <w:lang w:val="lv-LV"/>
        </w:rPr>
        <w:t>public</w:t>
      </w:r>
      <w:proofErr w:type="spellEnd"/>
      <w:r w:rsidRPr="000C7C76">
        <w:rPr>
          <w:rFonts w:ascii="Times New Roman" w:hAnsi="Times New Roman" w:cs="Times New Roman"/>
          <w:lang w:val="lv-LV"/>
        </w:rPr>
        <w:t xml:space="preserve"> bija ekvivalentas funkcijas Francijas notāra funkcijām.</w:t>
      </w:r>
      <w:r w:rsidRPr="00CD4311">
        <w:rPr>
          <w:rStyle w:val="FootnoteReference"/>
          <w:rFonts w:ascii="Times New Roman" w:hAnsi="Times New Roman" w:cs="Times New Roman"/>
        </w:rPr>
        <w:footnoteReference w:id="176"/>
      </w:r>
      <w:r w:rsidRPr="000C7C76">
        <w:rPr>
          <w:rFonts w:ascii="Times New Roman" w:hAnsi="Times New Roman" w:cs="Times New Roman"/>
          <w:lang w:val="lv-LV"/>
        </w:rPr>
        <w:t xml:space="preserve"> Tā kā ekvivalence sevī ietver tieši </w:t>
      </w:r>
      <w:r w:rsidRPr="000C7C76">
        <w:rPr>
          <w:rFonts w:ascii="Times New Roman" w:hAnsi="Times New Roman" w:cs="Times New Roman"/>
          <w:lang w:val="lv-LV"/>
        </w:rPr>
        <w:lastRenderedPageBreak/>
        <w:t xml:space="preserve">salīdzināšanas metodi, tad bija arī jāsalīdzina Austrālijā izdotās pilnvaras ekvivalenci (Austrālijā esošās dokumenta formas prasības) ar Francijā izdotām tādām pašām pilnvarām (to formas prasībām Francijas normatīvajos tiesību aktos) – to dēvē par rezultātu ekvivalenci. Citiem vārdiem sakot, jāraugās, lai Francijas likumā noteiktās prasības būtu sasniegtas, piemērojot Austrālijas likuma prasības pilnvaras formai. Līdz ko Francijas likums pilnvarai prasa publiskā dokumenta formu, ārvalstī sastādītai pilnvarai ir jāatbilst tādām pašām prasībām. Pārbaudot šos kritērijus, Francijas tiesa nonāca pie secinājuma, ka Austrālijas </w:t>
      </w:r>
      <w:proofErr w:type="spellStart"/>
      <w:r w:rsidRPr="000C7C76">
        <w:rPr>
          <w:rFonts w:ascii="Times New Roman" w:hAnsi="Times New Roman" w:cs="Times New Roman"/>
          <w:i/>
          <w:lang w:val="lv-LV"/>
        </w:rPr>
        <w:t>notary</w:t>
      </w:r>
      <w:proofErr w:type="spellEnd"/>
      <w:r w:rsidRPr="000C7C76">
        <w:rPr>
          <w:rFonts w:ascii="Times New Roman" w:hAnsi="Times New Roman" w:cs="Times New Roman"/>
          <w:i/>
          <w:lang w:val="lv-LV"/>
        </w:rPr>
        <w:t xml:space="preserve"> </w:t>
      </w:r>
      <w:proofErr w:type="spellStart"/>
      <w:r w:rsidRPr="000C7C76">
        <w:rPr>
          <w:rFonts w:ascii="Times New Roman" w:hAnsi="Times New Roman" w:cs="Times New Roman"/>
          <w:i/>
          <w:lang w:val="lv-LV"/>
        </w:rPr>
        <w:t>public</w:t>
      </w:r>
      <w:proofErr w:type="spellEnd"/>
      <w:r w:rsidRPr="000C7C76">
        <w:rPr>
          <w:rFonts w:ascii="Times New Roman" w:hAnsi="Times New Roman" w:cs="Times New Roman"/>
          <w:lang w:val="lv-LV"/>
        </w:rPr>
        <w:t xml:space="preserve"> personai neizskaidro dokumenta saturu un iespējamās tiesiskās sekas, līdz ar to šāds dokuments nevar tikt atzīts par ekvivalentu Francijas notāru sastādītiem publiskiem dokumentiem.</w:t>
      </w:r>
      <w:r w:rsidRPr="00CD4311">
        <w:rPr>
          <w:rStyle w:val="FootnoteReference"/>
          <w:rFonts w:ascii="Times New Roman" w:hAnsi="Times New Roman" w:cs="Times New Roman"/>
        </w:rPr>
        <w:footnoteReference w:id="177"/>
      </w:r>
      <w:r w:rsidRPr="000C7C76">
        <w:rPr>
          <w:rFonts w:ascii="Times New Roman" w:hAnsi="Times New Roman" w:cs="Times New Roman"/>
          <w:lang w:val="lv-LV"/>
        </w:rPr>
        <w:t xml:space="preserve"> Svarīgi atzīmēt, ka Francijas Kasācijas tiesa nenoteica, ka šeit nepieciešamas identiskas formas prasības, bet gan tikai prasīja, lai Austrālijā izdotā pilnvara aizsargātu tās pašas intereses un tādā pašā apmērā, kā tas tiek darīts Francijas notāru sastādītajās pilnvarās publiskā dokumenta formā, tādējādi nodrošinot Francijas normatīvajos tiesību aktos noteikto dokumenta sastādīšanas formas mērķi.</w:t>
      </w:r>
      <w:r w:rsidRPr="00CD4311">
        <w:rPr>
          <w:rStyle w:val="FootnoteReference"/>
          <w:rFonts w:ascii="Times New Roman" w:hAnsi="Times New Roman" w:cs="Times New Roman"/>
        </w:rPr>
        <w:footnoteReference w:id="178"/>
      </w:r>
      <w:r w:rsidRPr="000C7C76">
        <w:rPr>
          <w:rFonts w:ascii="Times New Roman" w:hAnsi="Times New Roman" w:cs="Times New Roman"/>
          <w:lang w:val="lv-LV"/>
        </w:rPr>
        <w:t xml:space="preserve"> Austrālijas </w:t>
      </w:r>
      <w:proofErr w:type="spellStart"/>
      <w:r w:rsidRPr="000C7C76">
        <w:rPr>
          <w:rFonts w:ascii="Times New Roman" w:hAnsi="Times New Roman" w:cs="Times New Roman"/>
          <w:i/>
          <w:lang w:val="lv-LV"/>
        </w:rPr>
        <w:t>notary</w:t>
      </w:r>
      <w:proofErr w:type="spellEnd"/>
      <w:r w:rsidRPr="000C7C76">
        <w:rPr>
          <w:rFonts w:ascii="Times New Roman" w:hAnsi="Times New Roman" w:cs="Times New Roman"/>
          <w:i/>
          <w:lang w:val="lv-LV"/>
        </w:rPr>
        <w:t xml:space="preserve"> </w:t>
      </w:r>
      <w:proofErr w:type="spellStart"/>
      <w:r w:rsidRPr="000C7C76">
        <w:rPr>
          <w:rFonts w:ascii="Times New Roman" w:hAnsi="Times New Roman" w:cs="Times New Roman"/>
          <w:i/>
          <w:lang w:val="lv-LV"/>
        </w:rPr>
        <w:t>public</w:t>
      </w:r>
      <w:proofErr w:type="spellEnd"/>
      <w:r w:rsidRPr="000C7C76">
        <w:rPr>
          <w:rFonts w:ascii="Times New Roman" w:hAnsi="Times New Roman" w:cs="Times New Roman"/>
          <w:lang w:val="lv-LV"/>
        </w:rPr>
        <w:t xml:space="preserve"> apliecinātā pilnvara šo mērķi nenodrošināja, tādēļ tiesa to atzina par tādu, kuru nevar pielīdzināt Francijas notāru publiskā dokumenta formā sastādītajām pilnvarām.</w:t>
      </w:r>
      <w:r w:rsidRPr="00CD4311">
        <w:rPr>
          <w:rStyle w:val="FootnoteReference"/>
          <w:rFonts w:ascii="Times New Roman" w:hAnsi="Times New Roman" w:cs="Times New Roman"/>
        </w:rPr>
        <w:footnoteReference w:id="179"/>
      </w:r>
    </w:p>
    <w:p w14:paraId="0D57ED97" w14:textId="77777777" w:rsidR="00114953" w:rsidRPr="000C7C76" w:rsidRDefault="00114953" w:rsidP="00114953">
      <w:pPr>
        <w:jc w:val="both"/>
        <w:rPr>
          <w:rFonts w:ascii="Times New Roman" w:hAnsi="Times New Roman" w:cs="Times New Roman"/>
          <w:color w:val="FF0000"/>
          <w:lang w:val="lv-LV"/>
        </w:rPr>
      </w:pPr>
    </w:p>
    <w:p w14:paraId="0142670B" w14:textId="77777777" w:rsidR="00114953" w:rsidRPr="00CD4311" w:rsidRDefault="00114953" w:rsidP="00114953">
      <w:pPr>
        <w:ind w:firstLine="708"/>
        <w:jc w:val="both"/>
        <w:rPr>
          <w:rFonts w:ascii="Times New Roman" w:hAnsi="Times New Roman" w:cs="Times New Roman"/>
          <w:lang w:val="de-DE"/>
        </w:rPr>
      </w:pPr>
      <w:r w:rsidRPr="000C7C76">
        <w:rPr>
          <w:rFonts w:ascii="Times New Roman" w:hAnsi="Times New Roman" w:cs="Times New Roman"/>
          <w:lang w:val="lv-LV"/>
        </w:rPr>
        <w:t xml:space="preserve">Pie šī jautājuma jāatzīmē, ka </w:t>
      </w:r>
      <w:r w:rsidRPr="000C7C76">
        <w:rPr>
          <w:rFonts w:ascii="Times New Roman" w:hAnsi="Times New Roman" w:cs="Times New Roman"/>
          <w:b/>
          <w:lang w:val="lv-LV"/>
        </w:rPr>
        <w:t>Igaunijas tieslietu ministrs</w:t>
      </w:r>
      <w:r w:rsidRPr="000C7C76">
        <w:rPr>
          <w:rFonts w:ascii="Times New Roman" w:hAnsi="Times New Roman" w:cs="Times New Roman"/>
          <w:lang w:val="lv-LV"/>
        </w:rPr>
        <w:t xml:space="preserve"> 2001.gada 14.decembrī izdeva rīkojumu (kas izdots saskaņā ar Igaunijas </w:t>
      </w:r>
      <w:r w:rsidRPr="00CD4311">
        <w:rPr>
          <w:rFonts w:ascii="Times New Roman" w:hAnsi="Times New Roman" w:cs="Times New Roman"/>
          <w:lang w:val="de-DE"/>
        </w:rPr>
        <w:t>„</w:t>
      </w:r>
      <w:proofErr w:type="spellStart"/>
      <w:r w:rsidRPr="00CD4311">
        <w:rPr>
          <w:rFonts w:ascii="Times New Roman" w:hAnsi="Times New Roman" w:cs="Times New Roman"/>
          <w:lang w:val="de-DE"/>
        </w:rPr>
        <w:t>Notariālā</w:t>
      </w:r>
      <w:proofErr w:type="spellEnd"/>
      <w:r w:rsidRPr="00CD4311">
        <w:rPr>
          <w:rFonts w:ascii="Times New Roman" w:hAnsi="Times New Roman" w:cs="Times New Roman"/>
          <w:lang w:val="de-DE"/>
        </w:rPr>
        <w:t xml:space="preserve"> </w:t>
      </w:r>
      <w:proofErr w:type="spellStart"/>
      <w:r w:rsidRPr="00CD4311">
        <w:rPr>
          <w:rFonts w:ascii="Times New Roman" w:hAnsi="Times New Roman" w:cs="Times New Roman"/>
          <w:lang w:val="de-DE"/>
        </w:rPr>
        <w:t>likuma</w:t>
      </w:r>
      <w:proofErr w:type="spellEnd"/>
      <w:r w:rsidRPr="00CD4311">
        <w:rPr>
          <w:rFonts w:ascii="Times New Roman" w:hAnsi="Times New Roman" w:cs="Times New Roman"/>
          <w:lang w:val="de-DE"/>
        </w:rPr>
        <w:t>“</w:t>
      </w:r>
      <w:r w:rsidRPr="00CD4311">
        <w:rPr>
          <w:rStyle w:val="FootnoteReference"/>
          <w:rFonts w:ascii="Times New Roman" w:hAnsi="Times New Roman" w:cs="Times New Roman"/>
          <w:lang w:val="de-DE"/>
        </w:rPr>
        <w:footnoteReference w:id="180"/>
      </w:r>
      <w:r w:rsidRPr="00CD4311">
        <w:rPr>
          <w:rFonts w:ascii="Times New Roman" w:hAnsi="Times New Roman" w:cs="Times New Roman"/>
          <w:lang w:val="de-DE"/>
        </w:rPr>
        <w:t xml:space="preserve"> 57.p. 1.d.) „</w:t>
      </w:r>
      <w:proofErr w:type="spellStart"/>
      <w:r w:rsidRPr="00CD4311">
        <w:rPr>
          <w:rFonts w:ascii="Times New Roman" w:hAnsi="Times New Roman" w:cs="Times New Roman"/>
          <w:i/>
          <w:lang w:val="de-DE"/>
        </w:rPr>
        <w:t>Ārvalstu</w:t>
      </w:r>
      <w:proofErr w:type="spellEnd"/>
      <w:r w:rsidRPr="00CD4311">
        <w:rPr>
          <w:rFonts w:ascii="Times New Roman" w:hAnsi="Times New Roman" w:cs="Times New Roman"/>
          <w:i/>
          <w:lang w:val="de-DE"/>
        </w:rPr>
        <w:t xml:space="preserve"> </w:t>
      </w:r>
      <w:proofErr w:type="spellStart"/>
      <w:r w:rsidRPr="00CD4311">
        <w:rPr>
          <w:rFonts w:ascii="Times New Roman" w:hAnsi="Times New Roman" w:cs="Times New Roman"/>
          <w:i/>
          <w:lang w:val="de-DE"/>
        </w:rPr>
        <w:t>amatpersonu</w:t>
      </w:r>
      <w:proofErr w:type="spellEnd"/>
      <w:r w:rsidRPr="00CD4311">
        <w:rPr>
          <w:rFonts w:ascii="Times New Roman" w:hAnsi="Times New Roman" w:cs="Times New Roman"/>
          <w:i/>
          <w:lang w:val="de-DE"/>
        </w:rPr>
        <w:t xml:space="preserve"> </w:t>
      </w:r>
      <w:proofErr w:type="spellStart"/>
      <w:r w:rsidRPr="00CD4311">
        <w:rPr>
          <w:rFonts w:ascii="Times New Roman" w:hAnsi="Times New Roman" w:cs="Times New Roman"/>
          <w:i/>
          <w:lang w:val="de-DE"/>
        </w:rPr>
        <w:t>saraksts</w:t>
      </w:r>
      <w:proofErr w:type="spellEnd"/>
      <w:r w:rsidRPr="00CD4311">
        <w:rPr>
          <w:rFonts w:ascii="Times New Roman" w:hAnsi="Times New Roman" w:cs="Times New Roman"/>
          <w:i/>
          <w:lang w:val="de-DE"/>
        </w:rPr>
        <w:t xml:space="preserve">, </w:t>
      </w:r>
      <w:proofErr w:type="spellStart"/>
      <w:r w:rsidRPr="00CD4311">
        <w:rPr>
          <w:rFonts w:ascii="Times New Roman" w:hAnsi="Times New Roman" w:cs="Times New Roman"/>
          <w:i/>
          <w:lang w:val="de-DE"/>
        </w:rPr>
        <w:t>kuru</w:t>
      </w:r>
      <w:proofErr w:type="spellEnd"/>
      <w:r w:rsidRPr="00CD4311">
        <w:rPr>
          <w:rFonts w:ascii="Times New Roman" w:hAnsi="Times New Roman" w:cs="Times New Roman"/>
          <w:i/>
          <w:lang w:val="de-DE"/>
        </w:rPr>
        <w:t xml:space="preserve"> </w:t>
      </w:r>
      <w:proofErr w:type="spellStart"/>
      <w:r w:rsidRPr="00CD4311">
        <w:rPr>
          <w:rFonts w:ascii="Times New Roman" w:hAnsi="Times New Roman" w:cs="Times New Roman"/>
          <w:i/>
          <w:lang w:val="de-DE"/>
        </w:rPr>
        <w:t>apliecināta</w:t>
      </w:r>
      <w:proofErr w:type="spellEnd"/>
      <w:r w:rsidRPr="00CD4311">
        <w:rPr>
          <w:rFonts w:ascii="Times New Roman" w:hAnsi="Times New Roman" w:cs="Times New Roman"/>
          <w:i/>
          <w:lang w:val="de-DE"/>
        </w:rPr>
        <w:t xml:space="preserve"> </w:t>
      </w:r>
      <w:proofErr w:type="spellStart"/>
      <w:r w:rsidRPr="00CD4311">
        <w:rPr>
          <w:rFonts w:ascii="Times New Roman" w:hAnsi="Times New Roman" w:cs="Times New Roman"/>
          <w:i/>
          <w:lang w:val="de-DE"/>
        </w:rPr>
        <w:t>pilnvara</w:t>
      </w:r>
      <w:proofErr w:type="spellEnd"/>
      <w:r w:rsidRPr="00CD4311">
        <w:rPr>
          <w:rFonts w:ascii="Times New Roman" w:hAnsi="Times New Roman" w:cs="Times New Roman"/>
          <w:i/>
          <w:lang w:val="de-DE"/>
        </w:rPr>
        <w:t xml:space="preserve"> </w:t>
      </w:r>
      <w:proofErr w:type="spellStart"/>
      <w:r w:rsidRPr="00CD4311">
        <w:rPr>
          <w:rFonts w:ascii="Times New Roman" w:hAnsi="Times New Roman" w:cs="Times New Roman"/>
          <w:i/>
          <w:lang w:val="de-DE"/>
        </w:rPr>
        <w:t>ir</w:t>
      </w:r>
      <w:proofErr w:type="spellEnd"/>
      <w:r w:rsidRPr="00CD4311">
        <w:rPr>
          <w:rFonts w:ascii="Times New Roman" w:hAnsi="Times New Roman" w:cs="Times New Roman"/>
          <w:i/>
          <w:lang w:val="de-DE"/>
        </w:rPr>
        <w:t xml:space="preserve"> </w:t>
      </w:r>
      <w:proofErr w:type="spellStart"/>
      <w:r w:rsidRPr="00CD4311">
        <w:rPr>
          <w:rFonts w:ascii="Times New Roman" w:hAnsi="Times New Roman" w:cs="Times New Roman"/>
          <w:i/>
          <w:lang w:val="de-DE"/>
        </w:rPr>
        <w:t>pielīdzināma</w:t>
      </w:r>
      <w:proofErr w:type="spellEnd"/>
      <w:r w:rsidRPr="00CD4311">
        <w:rPr>
          <w:rFonts w:ascii="Times New Roman" w:hAnsi="Times New Roman" w:cs="Times New Roman"/>
          <w:i/>
          <w:lang w:val="de-DE"/>
        </w:rPr>
        <w:t xml:space="preserve"> </w:t>
      </w:r>
      <w:proofErr w:type="spellStart"/>
      <w:r w:rsidRPr="00CD4311">
        <w:rPr>
          <w:rFonts w:ascii="Times New Roman" w:hAnsi="Times New Roman" w:cs="Times New Roman"/>
          <w:i/>
          <w:lang w:val="de-DE"/>
        </w:rPr>
        <w:t>Igaunijas</w:t>
      </w:r>
      <w:proofErr w:type="spellEnd"/>
      <w:r w:rsidRPr="00CD4311">
        <w:rPr>
          <w:rFonts w:ascii="Times New Roman" w:hAnsi="Times New Roman" w:cs="Times New Roman"/>
          <w:i/>
          <w:lang w:val="de-DE"/>
        </w:rPr>
        <w:t xml:space="preserve"> </w:t>
      </w:r>
      <w:proofErr w:type="spellStart"/>
      <w:r w:rsidRPr="00CD4311">
        <w:rPr>
          <w:rFonts w:ascii="Times New Roman" w:hAnsi="Times New Roman" w:cs="Times New Roman"/>
          <w:i/>
          <w:lang w:val="de-DE"/>
        </w:rPr>
        <w:t>notāra</w:t>
      </w:r>
      <w:proofErr w:type="spellEnd"/>
      <w:r w:rsidRPr="00CD4311">
        <w:rPr>
          <w:rFonts w:ascii="Times New Roman" w:hAnsi="Times New Roman" w:cs="Times New Roman"/>
          <w:i/>
          <w:lang w:val="de-DE"/>
        </w:rPr>
        <w:t xml:space="preserve"> </w:t>
      </w:r>
      <w:proofErr w:type="spellStart"/>
      <w:r w:rsidRPr="00CD4311">
        <w:rPr>
          <w:rFonts w:ascii="Times New Roman" w:hAnsi="Times New Roman" w:cs="Times New Roman"/>
          <w:i/>
          <w:lang w:val="de-DE"/>
        </w:rPr>
        <w:t>apliecinātai</w:t>
      </w:r>
      <w:proofErr w:type="spellEnd"/>
      <w:r w:rsidRPr="00CD4311">
        <w:rPr>
          <w:rFonts w:ascii="Times New Roman" w:hAnsi="Times New Roman" w:cs="Times New Roman"/>
          <w:i/>
          <w:lang w:val="de-DE"/>
        </w:rPr>
        <w:t xml:space="preserve"> </w:t>
      </w:r>
      <w:proofErr w:type="spellStart"/>
      <w:r w:rsidRPr="00CD4311">
        <w:rPr>
          <w:rFonts w:ascii="Times New Roman" w:hAnsi="Times New Roman" w:cs="Times New Roman"/>
          <w:i/>
          <w:lang w:val="de-DE"/>
        </w:rPr>
        <w:t>pilnvarai</w:t>
      </w:r>
      <w:proofErr w:type="spellEnd"/>
      <w:r w:rsidRPr="00CD4311">
        <w:rPr>
          <w:rFonts w:ascii="Times New Roman" w:hAnsi="Times New Roman" w:cs="Times New Roman"/>
          <w:lang w:val="de-DE"/>
        </w:rPr>
        <w:t>“.</w:t>
      </w:r>
      <w:r w:rsidRPr="00CD4311">
        <w:rPr>
          <w:rStyle w:val="FootnoteReference"/>
          <w:rFonts w:ascii="Times New Roman" w:hAnsi="Times New Roman" w:cs="Times New Roman"/>
          <w:lang w:val="de-DE"/>
        </w:rPr>
        <w:footnoteReference w:id="181"/>
      </w:r>
      <w:r w:rsidRPr="00CD4311">
        <w:rPr>
          <w:rFonts w:ascii="Times New Roman" w:hAnsi="Times New Roman" w:cs="Times New Roman"/>
          <w:lang w:val="de-DE"/>
        </w:rPr>
        <w:t xml:space="preserve"> </w:t>
      </w:r>
      <w:proofErr w:type="spellStart"/>
      <w:r w:rsidRPr="00CD4311">
        <w:rPr>
          <w:rFonts w:ascii="Times New Roman" w:hAnsi="Times New Roman" w:cs="Times New Roman"/>
          <w:lang w:val="de-DE"/>
        </w:rPr>
        <w:t>Tajā</w:t>
      </w:r>
      <w:proofErr w:type="spellEnd"/>
      <w:r w:rsidRPr="00CD4311">
        <w:rPr>
          <w:rFonts w:ascii="Times New Roman" w:hAnsi="Times New Roman" w:cs="Times New Roman"/>
          <w:lang w:val="de-DE"/>
        </w:rPr>
        <w:t xml:space="preserve"> </w:t>
      </w:r>
      <w:proofErr w:type="spellStart"/>
      <w:r w:rsidRPr="00CD4311">
        <w:rPr>
          <w:rFonts w:ascii="Times New Roman" w:hAnsi="Times New Roman" w:cs="Times New Roman"/>
          <w:lang w:val="de-DE"/>
        </w:rPr>
        <w:t>ārvalstu</w:t>
      </w:r>
      <w:proofErr w:type="spellEnd"/>
      <w:r w:rsidRPr="00CD4311">
        <w:rPr>
          <w:rFonts w:ascii="Times New Roman" w:hAnsi="Times New Roman" w:cs="Times New Roman"/>
          <w:lang w:val="de-DE"/>
        </w:rPr>
        <w:t xml:space="preserve"> </w:t>
      </w:r>
      <w:proofErr w:type="spellStart"/>
      <w:r w:rsidRPr="00CD4311">
        <w:rPr>
          <w:rFonts w:ascii="Times New Roman" w:hAnsi="Times New Roman" w:cs="Times New Roman"/>
          <w:lang w:val="de-DE"/>
        </w:rPr>
        <w:t>amatpersonas</w:t>
      </w:r>
      <w:proofErr w:type="spellEnd"/>
      <w:r w:rsidRPr="00CD4311">
        <w:rPr>
          <w:rFonts w:ascii="Times New Roman" w:hAnsi="Times New Roman" w:cs="Times New Roman"/>
          <w:lang w:val="de-DE"/>
        </w:rPr>
        <w:t xml:space="preserve"> (</w:t>
      </w:r>
      <w:proofErr w:type="spellStart"/>
      <w:r w:rsidRPr="00CD4311">
        <w:rPr>
          <w:rFonts w:ascii="Times New Roman" w:hAnsi="Times New Roman" w:cs="Times New Roman"/>
          <w:lang w:val="de-DE"/>
        </w:rPr>
        <w:t>kuras</w:t>
      </w:r>
      <w:proofErr w:type="spellEnd"/>
      <w:r w:rsidRPr="00CD4311">
        <w:rPr>
          <w:rFonts w:ascii="Times New Roman" w:hAnsi="Times New Roman" w:cs="Times New Roman"/>
          <w:lang w:val="de-DE"/>
        </w:rPr>
        <w:t xml:space="preserve"> </w:t>
      </w:r>
      <w:proofErr w:type="spellStart"/>
      <w:r w:rsidRPr="00CD4311">
        <w:rPr>
          <w:rFonts w:ascii="Times New Roman" w:hAnsi="Times New Roman" w:cs="Times New Roman"/>
          <w:lang w:val="de-DE"/>
        </w:rPr>
        <w:t>savās</w:t>
      </w:r>
      <w:proofErr w:type="spellEnd"/>
      <w:r w:rsidRPr="00CD4311">
        <w:rPr>
          <w:rFonts w:ascii="Times New Roman" w:hAnsi="Times New Roman" w:cs="Times New Roman"/>
          <w:lang w:val="de-DE"/>
        </w:rPr>
        <w:t xml:space="preserve"> </w:t>
      </w:r>
      <w:proofErr w:type="spellStart"/>
      <w:r w:rsidRPr="00CD4311">
        <w:rPr>
          <w:rFonts w:ascii="Times New Roman" w:hAnsi="Times New Roman" w:cs="Times New Roman"/>
          <w:lang w:val="de-DE"/>
        </w:rPr>
        <w:t>valstīs</w:t>
      </w:r>
      <w:proofErr w:type="spellEnd"/>
      <w:r w:rsidRPr="00CD4311">
        <w:rPr>
          <w:rFonts w:ascii="Times New Roman" w:hAnsi="Times New Roman" w:cs="Times New Roman"/>
          <w:lang w:val="de-DE"/>
        </w:rPr>
        <w:t xml:space="preserve"> </w:t>
      </w:r>
      <w:proofErr w:type="spellStart"/>
      <w:r w:rsidRPr="00CD4311">
        <w:rPr>
          <w:rFonts w:ascii="Times New Roman" w:hAnsi="Times New Roman" w:cs="Times New Roman"/>
          <w:lang w:val="de-DE"/>
        </w:rPr>
        <w:t>apliecina</w:t>
      </w:r>
      <w:proofErr w:type="spellEnd"/>
      <w:r w:rsidRPr="00CD4311">
        <w:rPr>
          <w:rFonts w:ascii="Times New Roman" w:hAnsi="Times New Roman" w:cs="Times New Roman"/>
          <w:lang w:val="de-DE"/>
        </w:rPr>
        <w:t xml:space="preserve"> </w:t>
      </w:r>
      <w:proofErr w:type="spellStart"/>
      <w:r w:rsidRPr="00CD4311">
        <w:rPr>
          <w:rFonts w:ascii="Times New Roman" w:hAnsi="Times New Roman" w:cs="Times New Roman"/>
          <w:lang w:val="de-DE"/>
        </w:rPr>
        <w:t>pilnvaras</w:t>
      </w:r>
      <w:proofErr w:type="spellEnd"/>
      <w:r w:rsidRPr="00CD4311">
        <w:rPr>
          <w:rFonts w:ascii="Times New Roman" w:hAnsi="Times New Roman" w:cs="Times New Roman"/>
          <w:lang w:val="de-DE"/>
        </w:rPr>
        <w:t xml:space="preserve">) </w:t>
      </w:r>
      <w:proofErr w:type="spellStart"/>
      <w:r w:rsidRPr="00CD4311">
        <w:rPr>
          <w:rFonts w:ascii="Times New Roman" w:hAnsi="Times New Roman" w:cs="Times New Roman"/>
          <w:lang w:val="de-DE"/>
        </w:rPr>
        <w:t>ir</w:t>
      </w:r>
      <w:proofErr w:type="spellEnd"/>
      <w:r w:rsidRPr="00CD4311">
        <w:rPr>
          <w:rFonts w:ascii="Times New Roman" w:hAnsi="Times New Roman" w:cs="Times New Roman"/>
          <w:lang w:val="de-DE"/>
        </w:rPr>
        <w:t xml:space="preserve"> </w:t>
      </w:r>
      <w:proofErr w:type="spellStart"/>
      <w:r w:rsidRPr="00CD4311">
        <w:rPr>
          <w:rFonts w:ascii="Times New Roman" w:hAnsi="Times New Roman" w:cs="Times New Roman"/>
          <w:lang w:val="de-DE"/>
        </w:rPr>
        <w:t>iedalītas</w:t>
      </w:r>
      <w:proofErr w:type="spellEnd"/>
      <w:r w:rsidRPr="00CD4311">
        <w:rPr>
          <w:rFonts w:ascii="Times New Roman" w:hAnsi="Times New Roman" w:cs="Times New Roman"/>
          <w:lang w:val="de-DE"/>
        </w:rPr>
        <w:t xml:space="preserve"> </w:t>
      </w:r>
      <w:proofErr w:type="spellStart"/>
      <w:r w:rsidRPr="00CD4311">
        <w:rPr>
          <w:rFonts w:ascii="Times New Roman" w:hAnsi="Times New Roman" w:cs="Times New Roman"/>
          <w:lang w:val="de-DE"/>
        </w:rPr>
        <w:t>trīs</w:t>
      </w:r>
      <w:proofErr w:type="spellEnd"/>
      <w:r w:rsidRPr="00CD4311">
        <w:rPr>
          <w:rFonts w:ascii="Times New Roman" w:hAnsi="Times New Roman" w:cs="Times New Roman"/>
          <w:lang w:val="de-DE"/>
        </w:rPr>
        <w:t xml:space="preserve"> </w:t>
      </w:r>
      <w:proofErr w:type="spellStart"/>
      <w:r w:rsidRPr="00CD4311">
        <w:rPr>
          <w:rFonts w:ascii="Times New Roman" w:hAnsi="Times New Roman" w:cs="Times New Roman"/>
          <w:lang w:val="de-DE"/>
        </w:rPr>
        <w:t>grupās</w:t>
      </w:r>
      <w:proofErr w:type="spellEnd"/>
      <w:r w:rsidRPr="00CD4311">
        <w:rPr>
          <w:rFonts w:ascii="Times New Roman" w:hAnsi="Times New Roman" w:cs="Times New Roman"/>
          <w:lang w:val="de-DE"/>
        </w:rPr>
        <w:t>:</w:t>
      </w:r>
    </w:p>
    <w:p w14:paraId="6B77B269" w14:textId="77777777" w:rsidR="00114953" w:rsidRPr="00CD4311" w:rsidRDefault="00114953" w:rsidP="00114953">
      <w:pPr>
        <w:ind w:firstLine="708"/>
        <w:jc w:val="both"/>
        <w:rPr>
          <w:rFonts w:ascii="Times New Roman" w:hAnsi="Times New Roman" w:cs="Times New Roman"/>
          <w:lang w:val="de-DE"/>
        </w:rPr>
      </w:pPr>
    </w:p>
    <w:p w14:paraId="6A0466CC" w14:textId="77777777" w:rsidR="00114953" w:rsidRPr="00CD4311" w:rsidRDefault="00114953" w:rsidP="00114953">
      <w:pPr>
        <w:jc w:val="both"/>
        <w:rPr>
          <w:rFonts w:ascii="Times New Roman" w:hAnsi="Times New Roman" w:cs="Times New Roman"/>
          <w:lang w:val="de-DE"/>
        </w:rPr>
      </w:pPr>
      <w:r w:rsidRPr="00CD4311">
        <w:rPr>
          <w:rFonts w:ascii="Times New Roman" w:hAnsi="Times New Roman" w:cs="Times New Roman"/>
          <w:lang w:val="de-DE"/>
        </w:rPr>
        <w:t xml:space="preserve">1) </w:t>
      </w:r>
      <w:proofErr w:type="spellStart"/>
      <w:r w:rsidRPr="00CD4311">
        <w:rPr>
          <w:rFonts w:ascii="Times New Roman" w:hAnsi="Times New Roman" w:cs="Times New Roman"/>
          <w:lang w:val="de-DE"/>
        </w:rPr>
        <w:t>Ārvalstu</w:t>
      </w:r>
      <w:proofErr w:type="spellEnd"/>
      <w:r w:rsidRPr="00CD4311">
        <w:rPr>
          <w:rFonts w:ascii="Times New Roman" w:hAnsi="Times New Roman" w:cs="Times New Roman"/>
          <w:lang w:val="de-DE"/>
        </w:rPr>
        <w:t xml:space="preserve"> </w:t>
      </w:r>
      <w:proofErr w:type="spellStart"/>
      <w:r w:rsidRPr="00CD4311">
        <w:rPr>
          <w:rFonts w:ascii="Times New Roman" w:hAnsi="Times New Roman" w:cs="Times New Roman"/>
          <w:lang w:val="de-DE"/>
        </w:rPr>
        <w:t>notāri</w:t>
      </w:r>
      <w:proofErr w:type="spellEnd"/>
      <w:r w:rsidRPr="00CD4311">
        <w:rPr>
          <w:rFonts w:ascii="Times New Roman" w:hAnsi="Times New Roman" w:cs="Times New Roman"/>
          <w:lang w:val="de-DE"/>
        </w:rPr>
        <w:t xml:space="preserve">, </w:t>
      </w:r>
      <w:proofErr w:type="spellStart"/>
      <w:r w:rsidRPr="00CD4311">
        <w:rPr>
          <w:rFonts w:ascii="Times New Roman" w:hAnsi="Times New Roman" w:cs="Times New Roman"/>
          <w:lang w:val="de-DE"/>
        </w:rPr>
        <w:t>kuru</w:t>
      </w:r>
      <w:proofErr w:type="spellEnd"/>
      <w:r w:rsidRPr="00CD4311">
        <w:rPr>
          <w:rFonts w:ascii="Times New Roman" w:hAnsi="Times New Roman" w:cs="Times New Roman"/>
          <w:lang w:val="de-DE"/>
        </w:rPr>
        <w:t xml:space="preserve"> </w:t>
      </w:r>
      <w:proofErr w:type="spellStart"/>
      <w:r w:rsidRPr="00CD4311">
        <w:rPr>
          <w:rFonts w:ascii="Times New Roman" w:hAnsi="Times New Roman" w:cs="Times New Roman"/>
          <w:lang w:val="de-DE"/>
        </w:rPr>
        <w:t>apliecināta</w:t>
      </w:r>
      <w:proofErr w:type="spellEnd"/>
      <w:r w:rsidRPr="00CD4311">
        <w:rPr>
          <w:rFonts w:ascii="Times New Roman" w:hAnsi="Times New Roman" w:cs="Times New Roman"/>
          <w:lang w:val="de-DE"/>
        </w:rPr>
        <w:t xml:space="preserve"> </w:t>
      </w:r>
      <w:proofErr w:type="spellStart"/>
      <w:r w:rsidRPr="00CD4311">
        <w:rPr>
          <w:rFonts w:ascii="Times New Roman" w:hAnsi="Times New Roman" w:cs="Times New Roman"/>
          <w:lang w:val="de-DE"/>
        </w:rPr>
        <w:t>pilnvara</w:t>
      </w:r>
      <w:proofErr w:type="spellEnd"/>
      <w:r w:rsidRPr="00CD4311">
        <w:rPr>
          <w:rFonts w:ascii="Times New Roman" w:hAnsi="Times New Roman" w:cs="Times New Roman"/>
          <w:lang w:val="de-DE"/>
        </w:rPr>
        <w:t xml:space="preserve"> </w:t>
      </w:r>
      <w:proofErr w:type="spellStart"/>
      <w:r w:rsidRPr="00CD4311">
        <w:rPr>
          <w:rFonts w:ascii="Times New Roman" w:hAnsi="Times New Roman" w:cs="Times New Roman"/>
          <w:lang w:val="de-DE"/>
        </w:rPr>
        <w:t>ir</w:t>
      </w:r>
      <w:proofErr w:type="spellEnd"/>
      <w:r w:rsidRPr="00CD4311">
        <w:rPr>
          <w:rFonts w:ascii="Times New Roman" w:hAnsi="Times New Roman" w:cs="Times New Roman"/>
          <w:lang w:val="de-DE"/>
        </w:rPr>
        <w:t xml:space="preserve"> </w:t>
      </w:r>
      <w:proofErr w:type="spellStart"/>
      <w:r w:rsidRPr="00CD4311">
        <w:rPr>
          <w:rFonts w:ascii="Times New Roman" w:hAnsi="Times New Roman" w:cs="Times New Roman"/>
          <w:lang w:val="de-DE"/>
        </w:rPr>
        <w:t>līdzvērtīga</w:t>
      </w:r>
      <w:proofErr w:type="spellEnd"/>
      <w:r w:rsidRPr="00CD4311">
        <w:rPr>
          <w:rFonts w:ascii="Times New Roman" w:hAnsi="Times New Roman" w:cs="Times New Roman"/>
          <w:lang w:val="de-DE"/>
        </w:rPr>
        <w:t xml:space="preserve"> </w:t>
      </w:r>
      <w:proofErr w:type="spellStart"/>
      <w:r w:rsidRPr="00CD4311">
        <w:rPr>
          <w:rFonts w:ascii="Times New Roman" w:hAnsi="Times New Roman" w:cs="Times New Roman"/>
          <w:lang w:val="de-DE"/>
        </w:rPr>
        <w:t>Igaunijas</w:t>
      </w:r>
      <w:proofErr w:type="spellEnd"/>
      <w:r w:rsidRPr="00CD4311">
        <w:rPr>
          <w:rFonts w:ascii="Times New Roman" w:hAnsi="Times New Roman" w:cs="Times New Roman"/>
          <w:lang w:val="de-DE"/>
        </w:rPr>
        <w:t xml:space="preserve"> </w:t>
      </w:r>
      <w:proofErr w:type="spellStart"/>
      <w:r w:rsidRPr="00CD4311">
        <w:rPr>
          <w:rFonts w:ascii="Times New Roman" w:hAnsi="Times New Roman" w:cs="Times New Roman"/>
          <w:lang w:val="de-DE"/>
        </w:rPr>
        <w:t>notāra</w:t>
      </w:r>
      <w:proofErr w:type="spellEnd"/>
      <w:r w:rsidRPr="00CD4311">
        <w:rPr>
          <w:rFonts w:ascii="Times New Roman" w:hAnsi="Times New Roman" w:cs="Times New Roman"/>
          <w:lang w:val="de-DE"/>
        </w:rPr>
        <w:t xml:space="preserve"> </w:t>
      </w:r>
      <w:proofErr w:type="spellStart"/>
      <w:r w:rsidRPr="00CD4311">
        <w:rPr>
          <w:rFonts w:ascii="Times New Roman" w:hAnsi="Times New Roman" w:cs="Times New Roman"/>
          <w:lang w:val="de-DE"/>
        </w:rPr>
        <w:t>apliecinātai</w:t>
      </w:r>
      <w:proofErr w:type="spellEnd"/>
      <w:r w:rsidRPr="00CD4311">
        <w:rPr>
          <w:rFonts w:ascii="Times New Roman" w:hAnsi="Times New Roman" w:cs="Times New Roman"/>
          <w:lang w:val="de-DE"/>
        </w:rPr>
        <w:t xml:space="preserve"> </w:t>
      </w:r>
      <w:proofErr w:type="spellStart"/>
      <w:r w:rsidRPr="00CD4311">
        <w:rPr>
          <w:rFonts w:ascii="Times New Roman" w:hAnsi="Times New Roman" w:cs="Times New Roman"/>
          <w:lang w:val="de-DE"/>
        </w:rPr>
        <w:t>pilnvarai</w:t>
      </w:r>
      <w:proofErr w:type="spellEnd"/>
      <w:r w:rsidRPr="00CD4311">
        <w:rPr>
          <w:rFonts w:ascii="Times New Roman" w:hAnsi="Times New Roman" w:cs="Times New Roman"/>
          <w:lang w:val="de-DE"/>
        </w:rPr>
        <w:t xml:space="preserve">. </w:t>
      </w:r>
      <w:proofErr w:type="spellStart"/>
      <w:r w:rsidRPr="00CD4311">
        <w:rPr>
          <w:rFonts w:ascii="Times New Roman" w:hAnsi="Times New Roman" w:cs="Times New Roman"/>
          <w:lang w:val="de-DE"/>
        </w:rPr>
        <w:t>Šeit</w:t>
      </w:r>
      <w:proofErr w:type="spellEnd"/>
      <w:r w:rsidRPr="00CD4311">
        <w:rPr>
          <w:rFonts w:ascii="Times New Roman" w:hAnsi="Times New Roman" w:cs="Times New Roman"/>
          <w:lang w:val="de-DE"/>
        </w:rPr>
        <w:t xml:space="preserve"> </w:t>
      </w:r>
      <w:proofErr w:type="spellStart"/>
      <w:r w:rsidRPr="00CD4311">
        <w:rPr>
          <w:rFonts w:ascii="Times New Roman" w:hAnsi="Times New Roman" w:cs="Times New Roman"/>
          <w:lang w:val="de-DE"/>
        </w:rPr>
        <w:t>iekļauta</w:t>
      </w:r>
      <w:proofErr w:type="spellEnd"/>
      <w:r w:rsidRPr="00CD4311">
        <w:rPr>
          <w:rFonts w:ascii="Times New Roman" w:hAnsi="Times New Roman" w:cs="Times New Roman"/>
          <w:lang w:val="de-DE"/>
        </w:rPr>
        <w:t xml:space="preserve"> </w:t>
      </w:r>
      <w:proofErr w:type="spellStart"/>
      <w:r w:rsidRPr="00CD4311">
        <w:rPr>
          <w:rFonts w:ascii="Times New Roman" w:hAnsi="Times New Roman" w:cs="Times New Roman"/>
          <w:lang w:val="de-DE"/>
        </w:rPr>
        <w:t>Latvija</w:t>
      </w:r>
      <w:proofErr w:type="spellEnd"/>
      <w:r w:rsidRPr="00CD4311">
        <w:rPr>
          <w:rFonts w:ascii="Times New Roman" w:hAnsi="Times New Roman" w:cs="Times New Roman"/>
          <w:lang w:val="de-DE"/>
        </w:rPr>
        <w:t xml:space="preserve">, </w:t>
      </w:r>
      <w:proofErr w:type="spellStart"/>
      <w:r w:rsidRPr="00CD4311">
        <w:rPr>
          <w:rFonts w:ascii="Times New Roman" w:hAnsi="Times New Roman" w:cs="Times New Roman"/>
          <w:lang w:val="de-DE"/>
        </w:rPr>
        <w:t>Francija</w:t>
      </w:r>
      <w:proofErr w:type="spellEnd"/>
      <w:r w:rsidRPr="00CD4311">
        <w:rPr>
          <w:rFonts w:ascii="Times New Roman" w:hAnsi="Times New Roman" w:cs="Times New Roman"/>
          <w:lang w:val="de-DE"/>
        </w:rPr>
        <w:t xml:space="preserve">, </w:t>
      </w:r>
      <w:proofErr w:type="spellStart"/>
      <w:r w:rsidRPr="00CD4311">
        <w:rPr>
          <w:rFonts w:ascii="Times New Roman" w:hAnsi="Times New Roman" w:cs="Times New Roman"/>
          <w:lang w:val="de-DE"/>
        </w:rPr>
        <w:t>Polija</w:t>
      </w:r>
      <w:proofErr w:type="spellEnd"/>
      <w:r w:rsidRPr="00CD4311">
        <w:rPr>
          <w:rFonts w:ascii="Times New Roman" w:hAnsi="Times New Roman" w:cs="Times New Roman"/>
          <w:lang w:val="de-DE"/>
        </w:rPr>
        <w:t xml:space="preserve">, </w:t>
      </w:r>
      <w:proofErr w:type="spellStart"/>
      <w:r w:rsidRPr="00CD4311">
        <w:rPr>
          <w:rFonts w:ascii="Times New Roman" w:hAnsi="Times New Roman" w:cs="Times New Roman"/>
          <w:lang w:val="de-DE"/>
        </w:rPr>
        <w:t>Vācija</w:t>
      </w:r>
      <w:proofErr w:type="spellEnd"/>
      <w:r w:rsidRPr="00CD4311">
        <w:rPr>
          <w:rFonts w:ascii="Times New Roman" w:hAnsi="Times New Roman" w:cs="Times New Roman"/>
          <w:lang w:val="de-DE"/>
        </w:rPr>
        <w:t xml:space="preserve">, </w:t>
      </w:r>
      <w:proofErr w:type="spellStart"/>
      <w:r w:rsidRPr="00CD4311">
        <w:rPr>
          <w:rFonts w:ascii="Times New Roman" w:hAnsi="Times New Roman" w:cs="Times New Roman"/>
          <w:lang w:val="de-DE"/>
        </w:rPr>
        <w:t>Šveice</w:t>
      </w:r>
      <w:proofErr w:type="spellEnd"/>
      <w:r w:rsidRPr="00CD4311">
        <w:rPr>
          <w:rFonts w:ascii="Times New Roman" w:hAnsi="Times New Roman" w:cs="Times New Roman"/>
          <w:lang w:val="de-DE"/>
        </w:rPr>
        <w:t xml:space="preserve">, </w:t>
      </w:r>
      <w:proofErr w:type="spellStart"/>
      <w:r w:rsidRPr="00CD4311">
        <w:rPr>
          <w:rFonts w:ascii="Times New Roman" w:hAnsi="Times New Roman" w:cs="Times New Roman"/>
          <w:lang w:val="de-DE"/>
        </w:rPr>
        <w:t>Krievija</w:t>
      </w:r>
      <w:proofErr w:type="spellEnd"/>
      <w:r w:rsidRPr="00CD4311">
        <w:rPr>
          <w:rFonts w:ascii="Times New Roman" w:hAnsi="Times New Roman" w:cs="Times New Roman"/>
          <w:lang w:val="de-DE"/>
        </w:rPr>
        <w:t xml:space="preserve"> </w:t>
      </w:r>
      <w:proofErr w:type="spellStart"/>
      <w:r w:rsidRPr="00CD4311">
        <w:rPr>
          <w:rFonts w:ascii="Times New Roman" w:hAnsi="Times New Roman" w:cs="Times New Roman"/>
          <w:lang w:val="de-DE"/>
        </w:rPr>
        <w:t>u.c</w:t>
      </w:r>
      <w:proofErr w:type="spellEnd"/>
      <w:r w:rsidRPr="00CD4311">
        <w:rPr>
          <w:rFonts w:ascii="Times New Roman" w:hAnsi="Times New Roman" w:cs="Times New Roman"/>
          <w:lang w:val="de-DE"/>
        </w:rPr>
        <w:t xml:space="preserve">. </w:t>
      </w:r>
      <w:proofErr w:type="spellStart"/>
      <w:r w:rsidRPr="00CD4311">
        <w:rPr>
          <w:rFonts w:ascii="Times New Roman" w:hAnsi="Times New Roman" w:cs="Times New Roman"/>
          <w:lang w:val="de-DE"/>
        </w:rPr>
        <w:t>valstis</w:t>
      </w:r>
      <w:proofErr w:type="spellEnd"/>
      <w:r w:rsidRPr="00CD4311">
        <w:rPr>
          <w:rFonts w:ascii="Times New Roman" w:hAnsi="Times New Roman" w:cs="Times New Roman"/>
          <w:lang w:val="de-DE"/>
        </w:rPr>
        <w:t xml:space="preserve"> (§ 1).</w:t>
      </w:r>
    </w:p>
    <w:p w14:paraId="45E880D7" w14:textId="77777777" w:rsidR="00114953" w:rsidRPr="00CD4311" w:rsidRDefault="00114953" w:rsidP="00114953">
      <w:pPr>
        <w:pStyle w:val="ListParagraph"/>
        <w:jc w:val="both"/>
        <w:rPr>
          <w:rFonts w:ascii="Times New Roman" w:hAnsi="Times New Roman" w:cs="Times New Roman"/>
          <w:lang w:val="de-DE"/>
        </w:rPr>
      </w:pPr>
    </w:p>
    <w:p w14:paraId="03A3A50E" w14:textId="77777777" w:rsidR="00114953" w:rsidRPr="00CD4311" w:rsidRDefault="00114953" w:rsidP="00114953">
      <w:pPr>
        <w:jc w:val="both"/>
        <w:rPr>
          <w:rFonts w:ascii="Times New Roman" w:hAnsi="Times New Roman" w:cs="Times New Roman"/>
          <w:lang w:val="de-DE"/>
        </w:rPr>
      </w:pPr>
      <w:r w:rsidRPr="00CD4311">
        <w:rPr>
          <w:rFonts w:ascii="Times New Roman" w:hAnsi="Times New Roman" w:cs="Times New Roman"/>
          <w:lang w:val="de-DE"/>
        </w:rPr>
        <w:t xml:space="preserve">2) </w:t>
      </w:r>
      <w:proofErr w:type="spellStart"/>
      <w:r w:rsidRPr="00CD4311">
        <w:rPr>
          <w:rFonts w:ascii="Times New Roman" w:hAnsi="Times New Roman" w:cs="Times New Roman"/>
          <w:lang w:val="de-DE"/>
        </w:rPr>
        <w:t>Citu</w:t>
      </w:r>
      <w:proofErr w:type="spellEnd"/>
      <w:r w:rsidRPr="00CD4311">
        <w:rPr>
          <w:rFonts w:ascii="Times New Roman" w:hAnsi="Times New Roman" w:cs="Times New Roman"/>
          <w:lang w:val="de-DE"/>
        </w:rPr>
        <w:t xml:space="preserve"> </w:t>
      </w:r>
      <w:proofErr w:type="spellStart"/>
      <w:r w:rsidRPr="00CD4311">
        <w:rPr>
          <w:rFonts w:ascii="Times New Roman" w:hAnsi="Times New Roman" w:cs="Times New Roman"/>
          <w:lang w:val="de-DE"/>
        </w:rPr>
        <w:t>teritoriju</w:t>
      </w:r>
      <w:proofErr w:type="spellEnd"/>
      <w:r w:rsidRPr="00CD4311">
        <w:rPr>
          <w:rFonts w:ascii="Times New Roman" w:hAnsi="Times New Roman" w:cs="Times New Roman"/>
          <w:lang w:val="de-DE"/>
        </w:rPr>
        <w:t xml:space="preserve"> </w:t>
      </w:r>
      <w:proofErr w:type="spellStart"/>
      <w:r w:rsidRPr="00CD4311">
        <w:rPr>
          <w:rFonts w:ascii="Times New Roman" w:hAnsi="Times New Roman" w:cs="Times New Roman"/>
          <w:lang w:val="de-DE"/>
        </w:rPr>
        <w:t>notāri</w:t>
      </w:r>
      <w:proofErr w:type="spellEnd"/>
      <w:r w:rsidRPr="00CD4311">
        <w:rPr>
          <w:rFonts w:ascii="Times New Roman" w:hAnsi="Times New Roman" w:cs="Times New Roman"/>
          <w:lang w:val="de-DE"/>
        </w:rPr>
        <w:t xml:space="preserve">, </w:t>
      </w:r>
      <w:proofErr w:type="spellStart"/>
      <w:r w:rsidRPr="00CD4311">
        <w:rPr>
          <w:rFonts w:ascii="Times New Roman" w:hAnsi="Times New Roman" w:cs="Times New Roman"/>
          <w:lang w:val="de-DE"/>
        </w:rPr>
        <w:t>kuru</w:t>
      </w:r>
      <w:proofErr w:type="spellEnd"/>
      <w:r w:rsidRPr="00CD4311">
        <w:rPr>
          <w:rFonts w:ascii="Times New Roman" w:hAnsi="Times New Roman" w:cs="Times New Roman"/>
          <w:lang w:val="de-DE"/>
        </w:rPr>
        <w:t xml:space="preserve"> </w:t>
      </w:r>
      <w:proofErr w:type="spellStart"/>
      <w:r w:rsidRPr="00CD4311">
        <w:rPr>
          <w:rFonts w:ascii="Times New Roman" w:hAnsi="Times New Roman" w:cs="Times New Roman"/>
          <w:lang w:val="de-DE"/>
        </w:rPr>
        <w:t>apliecināta</w:t>
      </w:r>
      <w:proofErr w:type="spellEnd"/>
      <w:r w:rsidRPr="00CD4311">
        <w:rPr>
          <w:rFonts w:ascii="Times New Roman" w:hAnsi="Times New Roman" w:cs="Times New Roman"/>
          <w:lang w:val="de-DE"/>
        </w:rPr>
        <w:t xml:space="preserve"> </w:t>
      </w:r>
      <w:proofErr w:type="spellStart"/>
      <w:r w:rsidRPr="00CD4311">
        <w:rPr>
          <w:rFonts w:ascii="Times New Roman" w:hAnsi="Times New Roman" w:cs="Times New Roman"/>
          <w:lang w:val="de-DE"/>
        </w:rPr>
        <w:t>pilnvara</w:t>
      </w:r>
      <w:proofErr w:type="spellEnd"/>
      <w:r w:rsidRPr="00CD4311">
        <w:rPr>
          <w:rFonts w:ascii="Times New Roman" w:hAnsi="Times New Roman" w:cs="Times New Roman"/>
          <w:lang w:val="de-DE"/>
        </w:rPr>
        <w:t xml:space="preserve"> </w:t>
      </w:r>
      <w:proofErr w:type="spellStart"/>
      <w:r w:rsidRPr="00CD4311">
        <w:rPr>
          <w:rFonts w:ascii="Times New Roman" w:hAnsi="Times New Roman" w:cs="Times New Roman"/>
          <w:lang w:val="de-DE"/>
        </w:rPr>
        <w:t>ir</w:t>
      </w:r>
      <w:proofErr w:type="spellEnd"/>
      <w:r w:rsidRPr="00CD4311">
        <w:rPr>
          <w:rFonts w:ascii="Times New Roman" w:hAnsi="Times New Roman" w:cs="Times New Roman"/>
          <w:lang w:val="de-DE"/>
        </w:rPr>
        <w:t xml:space="preserve"> </w:t>
      </w:r>
      <w:proofErr w:type="spellStart"/>
      <w:r w:rsidRPr="00CD4311">
        <w:rPr>
          <w:rFonts w:ascii="Times New Roman" w:hAnsi="Times New Roman" w:cs="Times New Roman"/>
          <w:lang w:val="de-DE"/>
        </w:rPr>
        <w:t>līdzvērtīga</w:t>
      </w:r>
      <w:proofErr w:type="spellEnd"/>
      <w:r w:rsidRPr="00CD4311">
        <w:rPr>
          <w:rFonts w:ascii="Times New Roman" w:hAnsi="Times New Roman" w:cs="Times New Roman"/>
          <w:lang w:val="de-DE"/>
        </w:rPr>
        <w:t xml:space="preserve"> </w:t>
      </w:r>
      <w:proofErr w:type="spellStart"/>
      <w:r w:rsidRPr="00CD4311">
        <w:rPr>
          <w:rFonts w:ascii="Times New Roman" w:hAnsi="Times New Roman" w:cs="Times New Roman"/>
          <w:lang w:val="de-DE"/>
        </w:rPr>
        <w:t>Igaunijas</w:t>
      </w:r>
      <w:proofErr w:type="spellEnd"/>
      <w:r w:rsidRPr="00CD4311">
        <w:rPr>
          <w:rFonts w:ascii="Times New Roman" w:hAnsi="Times New Roman" w:cs="Times New Roman"/>
          <w:lang w:val="de-DE"/>
        </w:rPr>
        <w:t xml:space="preserve"> </w:t>
      </w:r>
      <w:proofErr w:type="spellStart"/>
      <w:r w:rsidRPr="00CD4311">
        <w:rPr>
          <w:rFonts w:ascii="Times New Roman" w:hAnsi="Times New Roman" w:cs="Times New Roman"/>
          <w:lang w:val="de-DE"/>
        </w:rPr>
        <w:t>notāra</w:t>
      </w:r>
      <w:proofErr w:type="spellEnd"/>
      <w:r w:rsidRPr="00CD4311">
        <w:rPr>
          <w:rFonts w:ascii="Times New Roman" w:hAnsi="Times New Roman" w:cs="Times New Roman"/>
          <w:lang w:val="de-DE"/>
        </w:rPr>
        <w:t xml:space="preserve"> </w:t>
      </w:r>
      <w:proofErr w:type="spellStart"/>
      <w:r w:rsidRPr="00CD4311">
        <w:rPr>
          <w:rFonts w:ascii="Times New Roman" w:hAnsi="Times New Roman" w:cs="Times New Roman"/>
          <w:lang w:val="de-DE"/>
        </w:rPr>
        <w:t>apliecinātai</w:t>
      </w:r>
      <w:proofErr w:type="spellEnd"/>
      <w:r w:rsidRPr="00CD4311">
        <w:rPr>
          <w:rFonts w:ascii="Times New Roman" w:hAnsi="Times New Roman" w:cs="Times New Roman"/>
          <w:lang w:val="de-DE"/>
        </w:rPr>
        <w:t xml:space="preserve"> </w:t>
      </w:r>
      <w:proofErr w:type="spellStart"/>
      <w:r w:rsidRPr="00CD4311">
        <w:rPr>
          <w:rFonts w:ascii="Times New Roman" w:hAnsi="Times New Roman" w:cs="Times New Roman"/>
          <w:lang w:val="de-DE"/>
        </w:rPr>
        <w:t>pilnvarai</w:t>
      </w:r>
      <w:proofErr w:type="spellEnd"/>
      <w:r w:rsidRPr="00CD4311">
        <w:rPr>
          <w:rFonts w:ascii="Times New Roman" w:hAnsi="Times New Roman" w:cs="Times New Roman"/>
          <w:lang w:val="de-DE"/>
        </w:rPr>
        <w:t xml:space="preserve">. </w:t>
      </w:r>
      <w:proofErr w:type="spellStart"/>
      <w:r w:rsidRPr="00CD4311">
        <w:rPr>
          <w:rFonts w:ascii="Times New Roman" w:hAnsi="Times New Roman" w:cs="Times New Roman"/>
          <w:lang w:val="de-DE"/>
        </w:rPr>
        <w:t>Šajā</w:t>
      </w:r>
      <w:proofErr w:type="spellEnd"/>
      <w:r w:rsidRPr="00CD4311">
        <w:rPr>
          <w:rFonts w:ascii="Times New Roman" w:hAnsi="Times New Roman" w:cs="Times New Roman"/>
          <w:lang w:val="de-DE"/>
        </w:rPr>
        <w:t xml:space="preserve"> </w:t>
      </w:r>
      <w:proofErr w:type="spellStart"/>
      <w:r w:rsidRPr="00CD4311">
        <w:rPr>
          <w:rFonts w:ascii="Times New Roman" w:hAnsi="Times New Roman" w:cs="Times New Roman"/>
          <w:lang w:val="de-DE"/>
        </w:rPr>
        <w:t>sarakstā</w:t>
      </w:r>
      <w:proofErr w:type="spellEnd"/>
      <w:r w:rsidRPr="00CD4311">
        <w:rPr>
          <w:rFonts w:ascii="Times New Roman" w:hAnsi="Times New Roman" w:cs="Times New Roman"/>
          <w:lang w:val="de-DE"/>
        </w:rPr>
        <w:t xml:space="preserve"> </w:t>
      </w:r>
      <w:proofErr w:type="spellStart"/>
      <w:r w:rsidRPr="00CD4311">
        <w:rPr>
          <w:rFonts w:ascii="Times New Roman" w:hAnsi="Times New Roman" w:cs="Times New Roman"/>
          <w:lang w:val="de-DE"/>
        </w:rPr>
        <w:t>iekļauti</w:t>
      </w:r>
      <w:proofErr w:type="spellEnd"/>
      <w:r w:rsidRPr="00CD4311">
        <w:rPr>
          <w:rFonts w:ascii="Times New Roman" w:hAnsi="Times New Roman" w:cs="Times New Roman"/>
          <w:lang w:val="de-DE"/>
        </w:rPr>
        <w:t xml:space="preserve"> </w:t>
      </w:r>
      <w:proofErr w:type="spellStart"/>
      <w:r w:rsidRPr="00CD4311">
        <w:rPr>
          <w:rFonts w:ascii="Times New Roman" w:hAnsi="Times New Roman" w:cs="Times New Roman"/>
          <w:lang w:val="de-DE"/>
        </w:rPr>
        <w:t>četru</w:t>
      </w:r>
      <w:proofErr w:type="spellEnd"/>
      <w:r w:rsidRPr="00CD4311">
        <w:rPr>
          <w:rFonts w:ascii="Times New Roman" w:hAnsi="Times New Roman" w:cs="Times New Roman"/>
          <w:lang w:val="de-DE"/>
        </w:rPr>
        <w:t xml:space="preserve"> </w:t>
      </w:r>
      <w:proofErr w:type="spellStart"/>
      <w:r w:rsidRPr="00CD4311">
        <w:rPr>
          <w:rFonts w:ascii="Times New Roman" w:hAnsi="Times New Roman" w:cs="Times New Roman"/>
          <w:lang w:val="de-DE"/>
        </w:rPr>
        <w:t>valstu</w:t>
      </w:r>
      <w:proofErr w:type="spellEnd"/>
      <w:r w:rsidRPr="00CD4311">
        <w:rPr>
          <w:rFonts w:ascii="Times New Roman" w:hAnsi="Times New Roman" w:cs="Times New Roman"/>
          <w:lang w:val="de-DE"/>
        </w:rPr>
        <w:t xml:space="preserve"> </w:t>
      </w:r>
      <w:proofErr w:type="spellStart"/>
      <w:r w:rsidRPr="00CD4311">
        <w:rPr>
          <w:rFonts w:ascii="Times New Roman" w:hAnsi="Times New Roman" w:cs="Times New Roman"/>
          <w:lang w:val="de-DE"/>
        </w:rPr>
        <w:t>notāri</w:t>
      </w:r>
      <w:proofErr w:type="spellEnd"/>
      <w:r w:rsidRPr="00CD4311">
        <w:rPr>
          <w:rFonts w:ascii="Times New Roman" w:hAnsi="Times New Roman" w:cs="Times New Roman"/>
          <w:lang w:val="de-DE"/>
        </w:rPr>
        <w:t xml:space="preserve"> (§ 2):</w:t>
      </w:r>
    </w:p>
    <w:p w14:paraId="37FFC19C" w14:textId="77777777" w:rsidR="00114953" w:rsidRPr="00CD4311" w:rsidRDefault="00114953" w:rsidP="00114953">
      <w:pPr>
        <w:jc w:val="both"/>
        <w:rPr>
          <w:rFonts w:ascii="Times New Roman" w:hAnsi="Times New Roman" w:cs="Times New Roman"/>
          <w:lang w:val="de-DE"/>
        </w:rPr>
      </w:pPr>
      <w:r w:rsidRPr="00CD4311">
        <w:rPr>
          <w:rFonts w:ascii="Times New Roman" w:hAnsi="Times New Roman" w:cs="Times New Roman"/>
          <w:lang w:val="de-DE"/>
        </w:rPr>
        <w:t xml:space="preserve">- ASV </w:t>
      </w:r>
      <w:proofErr w:type="spellStart"/>
      <w:r w:rsidRPr="00CD4311">
        <w:rPr>
          <w:rFonts w:ascii="Times New Roman" w:hAnsi="Times New Roman" w:cs="Times New Roman"/>
          <w:lang w:val="de-DE"/>
        </w:rPr>
        <w:t>Luiziānas</w:t>
      </w:r>
      <w:proofErr w:type="spellEnd"/>
      <w:r w:rsidRPr="00CD4311">
        <w:rPr>
          <w:rFonts w:ascii="Times New Roman" w:hAnsi="Times New Roman" w:cs="Times New Roman"/>
          <w:lang w:val="de-DE"/>
        </w:rPr>
        <w:t xml:space="preserve"> </w:t>
      </w:r>
      <w:proofErr w:type="spellStart"/>
      <w:r w:rsidRPr="00CD4311">
        <w:rPr>
          <w:rFonts w:ascii="Times New Roman" w:hAnsi="Times New Roman" w:cs="Times New Roman"/>
          <w:lang w:val="de-DE"/>
        </w:rPr>
        <w:t>štata</w:t>
      </w:r>
      <w:proofErr w:type="spellEnd"/>
      <w:r w:rsidRPr="00CD4311">
        <w:rPr>
          <w:rFonts w:ascii="Times New Roman" w:hAnsi="Times New Roman" w:cs="Times New Roman"/>
          <w:lang w:val="de-DE"/>
        </w:rPr>
        <w:t xml:space="preserve"> </w:t>
      </w:r>
      <w:proofErr w:type="spellStart"/>
      <w:r w:rsidRPr="00CD4311">
        <w:rPr>
          <w:rFonts w:ascii="Times New Roman" w:hAnsi="Times New Roman" w:cs="Times New Roman"/>
          <w:lang w:val="de-DE"/>
        </w:rPr>
        <w:t>publiskais</w:t>
      </w:r>
      <w:proofErr w:type="spellEnd"/>
      <w:r w:rsidRPr="00CD4311">
        <w:rPr>
          <w:rFonts w:ascii="Times New Roman" w:hAnsi="Times New Roman" w:cs="Times New Roman"/>
          <w:lang w:val="de-DE"/>
        </w:rPr>
        <w:t xml:space="preserve"> </w:t>
      </w:r>
      <w:proofErr w:type="spellStart"/>
      <w:r w:rsidRPr="00CD4311">
        <w:rPr>
          <w:rFonts w:ascii="Times New Roman" w:hAnsi="Times New Roman" w:cs="Times New Roman"/>
          <w:lang w:val="de-DE"/>
        </w:rPr>
        <w:t>notārs</w:t>
      </w:r>
      <w:proofErr w:type="spellEnd"/>
      <w:r w:rsidRPr="00CD4311">
        <w:rPr>
          <w:rFonts w:ascii="Times New Roman" w:hAnsi="Times New Roman" w:cs="Times New Roman"/>
          <w:lang w:val="de-DE"/>
        </w:rPr>
        <w:t xml:space="preserve"> (</w:t>
      </w:r>
      <w:proofErr w:type="spellStart"/>
      <w:r w:rsidRPr="00CD4311">
        <w:rPr>
          <w:rFonts w:ascii="Times New Roman" w:hAnsi="Times New Roman" w:cs="Times New Roman"/>
          <w:i/>
          <w:lang w:val="de-DE"/>
        </w:rPr>
        <w:t>notary</w:t>
      </w:r>
      <w:proofErr w:type="spellEnd"/>
      <w:r w:rsidRPr="00CD4311">
        <w:rPr>
          <w:rFonts w:ascii="Times New Roman" w:hAnsi="Times New Roman" w:cs="Times New Roman"/>
          <w:i/>
          <w:lang w:val="de-DE"/>
        </w:rPr>
        <w:t xml:space="preserve"> </w:t>
      </w:r>
      <w:proofErr w:type="spellStart"/>
      <w:r w:rsidRPr="00CD4311">
        <w:rPr>
          <w:rFonts w:ascii="Times New Roman" w:hAnsi="Times New Roman" w:cs="Times New Roman"/>
          <w:i/>
          <w:lang w:val="de-DE"/>
        </w:rPr>
        <w:t>public</w:t>
      </w:r>
      <w:proofErr w:type="spellEnd"/>
      <w:r w:rsidRPr="00CD4311">
        <w:rPr>
          <w:rFonts w:ascii="Times New Roman" w:hAnsi="Times New Roman" w:cs="Times New Roman"/>
          <w:lang w:val="de-DE"/>
        </w:rPr>
        <w:t>);</w:t>
      </w:r>
    </w:p>
    <w:p w14:paraId="69B34800" w14:textId="77777777" w:rsidR="00114953" w:rsidRPr="00CD4311" w:rsidRDefault="00114953" w:rsidP="00114953">
      <w:pPr>
        <w:jc w:val="both"/>
        <w:rPr>
          <w:rFonts w:ascii="Times New Roman" w:hAnsi="Times New Roman" w:cs="Times New Roman"/>
          <w:lang w:val="de-DE"/>
        </w:rPr>
      </w:pPr>
      <w:r w:rsidRPr="00CD4311">
        <w:rPr>
          <w:rFonts w:ascii="Times New Roman" w:hAnsi="Times New Roman" w:cs="Times New Roman"/>
          <w:lang w:val="de-DE"/>
        </w:rPr>
        <w:t xml:space="preserve">- </w:t>
      </w:r>
      <w:proofErr w:type="spellStart"/>
      <w:r w:rsidRPr="00CD4311">
        <w:rPr>
          <w:rFonts w:ascii="Times New Roman" w:hAnsi="Times New Roman" w:cs="Times New Roman"/>
          <w:lang w:val="de-DE"/>
        </w:rPr>
        <w:t>Kanādas</w:t>
      </w:r>
      <w:proofErr w:type="spellEnd"/>
      <w:r w:rsidRPr="00CD4311">
        <w:rPr>
          <w:rFonts w:ascii="Times New Roman" w:hAnsi="Times New Roman" w:cs="Times New Roman"/>
          <w:lang w:val="de-DE"/>
        </w:rPr>
        <w:t xml:space="preserve"> </w:t>
      </w:r>
      <w:proofErr w:type="spellStart"/>
      <w:r w:rsidRPr="00CD4311">
        <w:rPr>
          <w:rFonts w:ascii="Times New Roman" w:hAnsi="Times New Roman" w:cs="Times New Roman"/>
          <w:lang w:val="de-DE"/>
        </w:rPr>
        <w:t>Kvebekas</w:t>
      </w:r>
      <w:proofErr w:type="spellEnd"/>
      <w:r w:rsidRPr="00CD4311">
        <w:rPr>
          <w:rFonts w:ascii="Times New Roman" w:hAnsi="Times New Roman" w:cs="Times New Roman"/>
          <w:lang w:val="de-DE"/>
        </w:rPr>
        <w:t xml:space="preserve"> </w:t>
      </w:r>
      <w:proofErr w:type="spellStart"/>
      <w:r w:rsidRPr="00CD4311">
        <w:rPr>
          <w:rFonts w:ascii="Times New Roman" w:hAnsi="Times New Roman" w:cs="Times New Roman"/>
          <w:lang w:val="de-DE"/>
        </w:rPr>
        <w:t>provinces</w:t>
      </w:r>
      <w:proofErr w:type="spellEnd"/>
      <w:r w:rsidRPr="00CD4311">
        <w:rPr>
          <w:rFonts w:ascii="Times New Roman" w:hAnsi="Times New Roman" w:cs="Times New Roman"/>
          <w:lang w:val="de-DE"/>
        </w:rPr>
        <w:t xml:space="preserve"> </w:t>
      </w:r>
      <w:proofErr w:type="spellStart"/>
      <w:r w:rsidRPr="00CD4311">
        <w:rPr>
          <w:rFonts w:ascii="Times New Roman" w:hAnsi="Times New Roman" w:cs="Times New Roman"/>
          <w:lang w:val="de-DE"/>
        </w:rPr>
        <w:t>notārs</w:t>
      </w:r>
      <w:proofErr w:type="spellEnd"/>
      <w:r w:rsidRPr="00CD4311">
        <w:rPr>
          <w:rFonts w:ascii="Times New Roman" w:hAnsi="Times New Roman" w:cs="Times New Roman"/>
          <w:lang w:val="de-DE"/>
        </w:rPr>
        <w:t xml:space="preserve"> (</w:t>
      </w:r>
      <w:proofErr w:type="spellStart"/>
      <w:r w:rsidRPr="00CD4311">
        <w:rPr>
          <w:rFonts w:ascii="Times New Roman" w:hAnsi="Times New Roman" w:cs="Times New Roman"/>
          <w:i/>
          <w:lang w:val="de-DE"/>
        </w:rPr>
        <w:t>notaire</w:t>
      </w:r>
      <w:proofErr w:type="spellEnd"/>
      <w:r w:rsidRPr="00CD4311">
        <w:rPr>
          <w:rFonts w:ascii="Times New Roman" w:hAnsi="Times New Roman" w:cs="Times New Roman"/>
          <w:i/>
          <w:lang w:val="de-DE"/>
        </w:rPr>
        <w:t xml:space="preserve">, </w:t>
      </w:r>
      <w:proofErr w:type="spellStart"/>
      <w:r w:rsidRPr="00CD4311">
        <w:rPr>
          <w:rFonts w:ascii="Times New Roman" w:hAnsi="Times New Roman" w:cs="Times New Roman"/>
          <w:i/>
          <w:lang w:val="de-DE"/>
        </w:rPr>
        <w:t>notary</w:t>
      </w:r>
      <w:proofErr w:type="spellEnd"/>
      <w:r w:rsidRPr="00CD4311">
        <w:rPr>
          <w:rFonts w:ascii="Times New Roman" w:hAnsi="Times New Roman" w:cs="Times New Roman"/>
          <w:lang w:val="de-DE"/>
        </w:rPr>
        <w:t>);</w:t>
      </w:r>
    </w:p>
    <w:p w14:paraId="1DDE0909" w14:textId="77777777" w:rsidR="00114953" w:rsidRPr="00CD4311" w:rsidRDefault="00114953" w:rsidP="00114953">
      <w:pPr>
        <w:jc w:val="both"/>
        <w:rPr>
          <w:rFonts w:ascii="Times New Roman" w:hAnsi="Times New Roman" w:cs="Times New Roman"/>
          <w:lang w:val="de-DE"/>
        </w:rPr>
      </w:pPr>
      <w:r w:rsidRPr="00CD4311">
        <w:rPr>
          <w:rFonts w:ascii="Times New Roman" w:hAnsi="Times New Roman" w:cs="Times New Roman"/>
          <w:lang w:val="de-DE"/>
        </w:rPr>
        <w:t xml:space="preserve">- </w:t>
      </w:r>
      <w:proofErr w:type="spellStart"/>
      <w:r w:rsidRPr="00CD4311">
        <w:rPr>
          <w:rFonts w:ascii="Times New Roman" w:hAnsi="Times New Roman" w:cs="Times New Roman"/>
          <w:lang w:val="de-DE"/>
        </w:rPr>
        <w:t>Londonas</w:t>
      </w:r>
      <w:proofErr w:type="spellEnd"/>
      <w:r w:rsidRPr="00CD4311">
        <w:rPr>
          <w:rFonts w:ascii="Times New Roman" w:hAnsi="Times New Roman" w:cs="Times New Roman"/>
          <w:lang w:val="de-DE"/>
        </w:rPr>
        <w:t xml:space="preserve"> </w:t>
      </w:r>
      <w:proofErr w:type="spellStart"/>
      <w:r w:rsidRPr="00CD4311">
        <w:rPr>
          <w:rFonts w:ascii="Times New Roman" w:hAnsi="Times New Roman" w:cs="Times New Roman"/>
          <w:lang w:val="de-DE"/>
        </w:rPr>
        <w:t>pilsētas</w:t>
      </w:r>
      <w:proofErr w:type="spellEnd"/>
      <w:r w:rsidRPr="00CD4311">
        <w:rPr>
          <w:rFonts w:ascii="Times New Roman" w:hAnsi="Times New Roman" w:cs="Times New Roman"/>
          <w:lang w:val="de-DE"/>
        </w:rPr>
        <w:t xml:space="preserve"> </w:t>
      </w:r>
      <w:proofErr w:type="spellStart"/>
      <w:r w:rsidRPr="00CD4311">
        <w:rPr>
          <w:rFonts w:ascii="Times New Roman" w:hAnsi="Times New Roman" w:cs="Times New Roman"/>
          <w:lang w:val="de-DE"/>
        </w:rPr>
        <w:t>notārs</w:t>
      </w:r>
      <w:proofErr w:type="spellEnd"/>
      <w:r w:rsidRPr="00CD4311">
        <w:rPr>
          <w:rFonts w:ascii="Times New Roman" w:hAnsi="Times New Roman" w:cs="Times New Roman"/>
          <w:lang w:val="de-DE"/>
        </w:rPr>
        <w:t xml:space="preserve"> </w:t>
      </w:r>
      <w:proofErr w:type="spellStart"/>
      <w:r w:rsidRPr="00CD4311">
        <w:rPr>
          <w:rFonts w:ascii="Times New Roman" w:hAnsi="Times New Roman" w:cs="Times New Roman"/>
          <w:lang w:val="de-DE"/>
        </w:rPr>
        <w:t>rakstvedis</w:t>
      </w:r>
      <w:proofErr w:type="spellEnd"/>
      <w:r w:rsidRPr="00CD4311">
        <w:rPr>
          <w:rFonts w:ascii="Times New Roman" w:hAnsi="Times New Roman" w:cs="Times New Roman"/>
          <w:lang w:val="de-DE"/>
        </w:rPr>
        <w:t xml:space="preserve"> (</w:t>
      </w:r>
      <w:proofErr w:type="spellStart"/>
      <w:r w:rsidRPr="00CD4311">
        <w:rPr>
          <w:rFonts w:ascii="Times New Roman" w:hAnsi="Times New Roman" w:cs="Times New Roman"/>
          <w:i/>
          <w:lang w:val="de-DE"/>
        </w:rPr>
        <w:t>scrivener</w:t>
      </w:r>
      <w:proofErr w:type="spellEnd"/>
      <w:r w:rsidRPr="00CD4311">
        <w:rPr>
          <w:rFonts w:ascii="Times New Roman" w:hAnsi="Times New Roman" w:cs="Times New Roman"/>
          <w:i/>
          <w:lang w:val="de-DE"/>
        </w:rPr>
        <w:t xml:space="preserve"> </w:t>
      </w:r>
      <w:proofErr w:type="spellStart"/>
      <w:r w:rsidRPr="00CD4311">
        <w:rPr>
          <w:rFonts w:ascii="Times New Roman" w:hAnsi="Times New Roman" w:cs="Times New Roman"/>
          <w:i/>
          <w:lang w:val="de-DE"/>
        </w:rPr>
        <w:t>notary</w:t>
      </w:r>
      <w:proofErr w:type="spellEnd"/>
      <w:r w:rsidRPr="00CD4311">
        <w:rPr>
          <w:rFonts w:ascii="Times New Roman" w:hAnsi="Times New Roman" w:cs="Times New Roman"/>
          <w:lang w:val="de-DE"/>
        </w:rPr>
        <w:t>);</w:t>
      </w:r>
    </w:p>
    <w:p w14:paraId="6A0D5A5C" w14:textId="77777777" w:rsidR="00114953" w:rsidRPr="00CD4311" w:rsidRDefault="00114953" w:rsidP="00114953">
      <w:pPr>
        <w:jc w:val="both"/>
        <w:rPr>
          <w:rFonts w:ascii="Times New Roman" w:hAnsi="Times New Roman" w:cs="Times New Roman"/>
          <w:lang w:val="de-DE"/>
        </w:rPr>
      </w:pPr>
      <w:r w:rsidRPr="00CD4311">
        <w:rPr>
          <w:rFonts w:ascii="Times New Roman" w:hAnsi="Times New Roman" w:cs="Times New Roman"/>
          <w:lang w:val="de-DE"/>
        </w:rPr>
        <w:t xml:space="preserve">- </w:t>
      </w:r>
      <w:proofErr w:type="spellStart"/>
      <w:r w:rsidRPr="00CD4311">
        <w:rPr>
          <w:rFonts w:ascii="Times New Roman" w:hAnsi="Times New Roman" w:cs="Times New Roman"/>
          <w:lang w:val="de-DE"/>
        </w:rPr>
        <w:t>Puertoriko</w:t>
      </w:r>
      <w:proofErr w:type="spellEnd"/>
      <w:r w:rsidRPr="00CD4311">
        <w:rPr>
          <w:rFonts w:ascii="Times New Roman" w:hAnsi="Times New Roman" w:cs="Times New Roman"/>
          <w:lang w:val="de-DE"/>
        </w:rPr>
        <w:t xml:space="preserve"> </w:t>
      </w:r>
      <w:proofErr w:type="spellStart"/>
      <w:r w:rsidRPr="00CD4311">
        <w:rPr>
          <w:rFonts w:ascii="Times New Roman" w:hAnsi="Times New Roman" w:cs="Times New Roman"/>
          <w:lang w:val="de-DE"/>
        </w:rPr>
        <w:t>notārs</w:t>
      </w:r>
      <w:proofErr w:type="spellEnd"/>
      <w:r w:rsidRPr="00CD4311">
        <w:rPr>
          <w:rFonts w:ascii="Times New Roman" w:hAnsi="Times New Roman" w:cs="Times New Roman"/>
          <w:lang w:val="de-DE"/>
        </w:rPr>
        <w:t xml:space="preserve"> (</w:t>
      </w:r>
      <w:proofErr w:type="spellStart"/>
      <w:r w:rsidRPr="00CD4311">
        <w:rPr>
          <w:rFonts w:ascii="Times New Roman" w:hAnsi="Times New Roman" w:cs="Times New Roman"/>
          <w:i/>
          <w:lang w:val="de-DE"/>
        </w:rPr>
        <w:t>notario</w:t>
      </w:r>
      <w:proofErr w:type="spellEnd"/>
      <w:r w:rsidRPr="00CD4311">
        <w:rPr>
          <w:rFonts w:ascii="Times New Roman" w:hAnsi="Times New Roman" w:cs="Times New Roman"/>
          <w:i/>
          <w:lang w:val="de-DE"/>
        </w:rPr>
        <w:t xml:space="preserve">, </w:t>
      </w:r>
      <w:proofErr w:type="spellStart"/>
      <w:r w:rsidRPr="00CD4311">
        <w:rPr>
          <w:rFonts w:ascii="Times New Roman" w:hAnsi="Times New Roman" w:cs="Times New Roman"/>
          <w:i/>
          <w:lang w:val="de-DE"/>
        </w:rPr>
        <w:t>notary</w:t>
      </w:r>
      <w:proofErr w:type="spellEnd"/>
      <w:r w:rsidRPr="00CD4311">
        <w:rPr>
          <w:rFonts w:ascii="Times New Roman" w:hAnsi="Times New Roman" w:cs="Times New Roman"/>
          <w:lang w:val="de-DE"/>
        </w:rPr>
        <w:t>).</w:t>
      </w:r>
    </w:p>
    <w:p w14:paraId="1D506F30" w14:textId="77777777" w:rsidR="00114953" w:rsidRPr="00CD4311" w:rsidRDefault="00114953" w:rsidP="00114953">
      <w:pPr>
        <w:jc w:val="both"/>
        <w:rPr>
          <w:rFonts w:ascii="Times New Roman" w:hAnsi="Times New Roman" w:cs="Times New Roman"/>
          <w:lang w:val="de-DE"/>
        </w:rPr>
      </w:pPr>
    </w:p>
    <w:p w14:paraId="31C65044" w14:textId="77777777" w:rsidR="00114953" w:rsidRPr="00CD4311" w:rsidRDefault="00114953" w:rsidP="00114953">
      <w:pPr>
        <w:jc w:val="both"/>
        <w:rPr>
          <w:rFonts w:ascii="Times New Roman" w:hAnsi="Times New Roman" w:cs="Times New Roman"/>
          <w:lang w:val="de-DE"/>
        </w:rPr>
      </w:pPr>
      <w:r w:rsidRPr="00CD4311">
        <w:rPr>
          <w:rFonts w:ascii="Times New Roman" w:hAnsi="Times New Roman" w:cs="Times New Roman"/>
          <w:lang w:val="de-DE"/>
        </w:rPr>
        <w:t xml:space="preserve">3) </w:t>
      </w:r>
      <w:proofErr w:type="spellStart"/>
      <w:r w:rsidRPr="00CD4311">
        <w:rPr>
          <w:rFonts w:ascii="Times New Roman" w:hAnsi="Times New Roman" w:cs="Times New Roman"/>
          <w:lang w:val="de-DE"/>
        </w:rPr>
        <w:t>Citas</w:t>
      </w:r>
      <w:proofErr w:type="spellEnd"/>
      <w:r w:rsidRPr="00CD4311">
        <w:rPr>
          <w:rFonts w:ascii="Times New Roman" w:hAnsi="Times New Roman" w:cs="Times New Roman"/>
          <w:lang w:val="de-DE"/>
        </w:rPr>
        <w:t xml:space="preserve"> </w:t>
      </w:r>
      <w:proofErr w:type="spellStart"/>
      <w:r w:rsidRPr="00CD4311">
        <w:rPr>
          <w:rFonts w:ascii="Times New Roman" w:hAnsi="Times New Roman" w:cs="Times New Roman"/>
          <w:lang w:val="de-DE"/>
        </w:rPr>
        <w:t>amatpersonas</w:t>
      </w:r>
      <w:proofErr w:type="spellEnd"/>
      <w:r w:rsidRPr="00CD4311">
        <w:rPr>
          <w:rFonts w:ascii="Times New Roman" w:hAnsi="Times New Roman" w:cs="Times New Roman"/>
          <w:lang w:val="de-DE"/>
        </w:rPr>
        <w:t xml:space="preserve">, </w:t>
      </w:r>
      <w:proofErr w:type="spellStart"/>
      <w:r w:rsidRPr="00CD4311">
        <w:rPr>
          <w:rFonts w:ascii="Times New Roman" w:hAnsi="Times New Roman" w:cs="Times New Roman"/>
          <w:lang w:val="de-DE"/>
        </w:rPr>
        <w:t>kuru</w:t>
      </w:r>
      <w:proofErr w:type="spellEnd"/>
      <w:r w:rsidRPr="00CD4311">
        <w:rPr>
          <w:rFonts w:ascii="Times New Roman" w:hAnsi="Times New Roman" w:cs="Times New Roman"/>
          <w:lang w:val="de-DE"/>
        </w:rPr>
        <w:t xml:space="preserve"> </w:t>
      </w:r>
      <w:proofErr w:type="spellStart"/>
      <w:r w:rsidRPr="00CD4311">
        <w:rPr>
          <w:rFonts w:ascii="Times New Roman" w:hAnsi="Times New Roman" w:cs="Times New Roman"/>
          <w:lang w:val="de-DE"/>
        </w:rPr>
        <w:t>apliecināta</w:t>
      </w:r>
      <w:proofErr w:type="spellEnd"/>
      <w:r w:rsidRPr="00CD4311">
        <w:rPr>
          <w:rFonts w:ascii="Times New Roman" w:hAnsi="Times New Roman" w:cs="Times New Roman"/>
          <w:lang w:val="de-DE"/>
        </w:rPr>
        <w:t xml:space="preserve"> </w:t>
      </w:r>
      <w:proofErr w:type="spellStart"/>
      <w:r w:rsidRPr="00CD4311">
        <w:rPr>
          <w:rFonts w:ascii="Times New Roman" w:hAnsi="Times New Roman" w:cs="Times New Roman"/>
          <w:lang w:val="de-DE"/>
        </w:rPr>
        <w:t>pilnvara</w:t>
      </w:r>
      <w:proofErr w:type="spellEnd"/>
      <w:r w:rsidRPr="00CD4311">
        <w:rPr>
          <w:rFonts w:ascii="Times New Roman" w:hAnsi="Times New Roman" w:cs="Times New Roman"/>
          <w:lang w:val="de-DE"/>
        </w:rPr>
        <w:t xml:space="preserve"> </w:t>
      </w:r>
      <w:proofErr w:type="spellStart"/>
      <w:r w:rsidRPr="00CD4311">
        <w:rPr>
          <w:rFonts w:ascii="Times New Roman" w:hAnsi="Times New Roman" w:cs="Times New Roman"/>
          <w:lang w:val="de-DE"/>
        </w:rPr>
        <w:t>ir</w:t>
      </w:r>
      <w:proofErr w:type="spellEnd"/>
      <w:r w:rsidRPr="00CD4311">
        <w:rPr>
          <w:rFonts w:ascii="Times New Roman" w:hAnsi="Times New Roman" w:cs="Times New Roman"/>
          <w:lang w:val="de-DE"/>
        </w:rPr>
        <w:t xml:space="preserve"> </w:t>
      </w:r>
      <w:proofErr w:type="spellStart"/>
      <w:r w:rsidRPr="00CD4311">
        <w:rPr>
          <w:rFonts w:ascii="Times New Roman" w:hAnsi="Times New Roman" w:cs="Times New Roman"/>
          <w:lang w:val="de-DE"/>
        </w:rPr>
        <w:t>līdzvērtīga</w:t>
      </w:r>
      <w:proofErr w:type="spellEnd"/>
      <w:r w:rsidRPr="00CD4311">
        <w:rPr>
          <w:rFonts w:ascii="Times New Roman" w:hAnsi="Times New Roman" w:cs="Times New Roman"/>
          <w:lang w:val="de-DE"/>
        </w:rPr>
        <w:t xml:space="preserve"> </w:t>
      </w:r>
      <w:proofErr w:type="spellStart"/>
      <w:r w:rsidRPr="00CD4311">
        <w:rPr>
          <w:rFonts w:ascii="Times New Roman" w:hAnsi="Times New Roman" w:cs="Times New Roman"/>
          <w:lang w:val="de-DE"/>
        </w:rPr>
        <w:t>Igaunijas</w:t>
      </w:r>
      <w:proofErr w:type="spellEnd"/>
      <w:r w:rsidRPr="00CD4311">
        <w:rPr>
          <w:rFonts w:ascii="Times New Roman" w:hAnsi="Times New Roman" w:cs="Times New Roman"/>
          <w:lang w:val="de-DE"/>
        </w:rPr>
        <w:t xml:space="preserve"> </w:t>
      </w:r>
      <w:proofErr w:type="spellStart"/>
      <w:r w:rsidRPr="00CD4311">
        <w:rPr>
          <w:rFonts w:ascii="Times New Roman" w:hAnsi="Times New Roman" w:cs="Times New Roman"/>
          <w:lang w:val="de-DE"/>
        </w:rPr>
        <w:t>notāra</w:t>
      </w:r>
      <w:proofErr w:type="spellEnd"/>
      <w:r w:rsidRPr="00CD4311">
        <w:rPr>
          <w:rFonts w:ascii="Times New Roman" w:hAnsi="Times New Roman" w:cs="Times New Roman"/>
          <w:lang w:val="de-DE"/>
        </w:rPr>
        <w:t xml:space="preserve"> </w:t>
      </w:r>
      <w:proofErr w:type="spellStart"/>
      <w:r w:rsidRPr="00CD4311">
        <w:rPr>
          <w:rFonts w:ascii="Times New Roman" w:hAnsi="Times New Roman" w:cs="Times New Roman"/>
          <w:lang w:val="de-DE"/>
        </w:rPr>
        <w:t>apliecinātai</w:t>
      </w:r>
      <w:proofErr w:type="spellEnd"/>
      <w:r w:rsidRPr="00CD4311">
        <w:rPr>
          <w:rFonts w:ascii="Times New Roman" w:hAnsi="Times New Roman" w:cs="Times New Roman"/>
          <w:lang w:val="de-DE"/>
        </w:rPr>
        <w:t xml:space="preserve"> </w:t>
      </w:r>
      <w:proofErr w:type="spellStart"/>
      <w:r w:rsidRPr="00CD4311">
        <w:rPr>
          <w:rFonts w:ascii="Times New Roman" w:hAnsi="Times New Roman" w:cs="Times New Roman"/>
          <w:lang w:val="de-DE"/>
        </w:rPr>
        <w:t>pilnvarai</w:t>
      </w:r>
      <w:proofErr w:type="spellEnd"/>
      <w:r w:rsidRPr="00CD4311">
        <w:rPr>
          <w:rFonts w:ascii="Times New Roman" w:hAnsi="Times New Roman" w:cs="Times New Roman"/>
          <w:lang w:val="de-DE"/>
        </w:rPr>
        <w:t xml:space="preserve">. </w:t>
      </w:r>
      <w:proofErr w:type="spellStart"/>
      <w:r w:rsidRPr="00CD4311">
        <w:rPr>
          <w:rFonts w:ascii="Times New Roman" w:hAnsi="Times New Roman" w:cs="Times New Roman"/>
          <w:lang w:val="de-DE"/>
        </w:rPr>
        <w:t>Šajā</w:t>
      </w:r>
      <w:proofErr w:type="spellEnd"/>
      <w:r w:rsidRPr="00CD4311">
        <w:rPr>
          <w:rFonts w:ascii="Times New Roman" w:hAnsi="Times New Roman" w:cs="Times New Roman"/>
          <w:lang w:val="de-DE"/>
        </w:rPr>
        <w:t xml:space="preserve"> </w:t>
      </w:r>
      <w:proofErr w:type="spellStart"/>
      <w:r w:rsidRPr="00CD4311">
        <w:rPr>
          <w:rFonts w:ascii="Times New Roman" w:hAnsi="Times New Roman" w:cs="Times New Roman"/>
          <w:lang w:val="de-DE"/>
        </w:rPr>
        <w:t>sarakstā</w:t>
      </w:r>
      <w:proofErr w:type="spellEnd"/>
      <w:r w:rsidRPr="00CD4311">
        <w:rPr>
          <w:rFonts w:ascii="Times New Roman" w:hAnsi="Times New Roman" w:cs="Times New Roman"/>
          <w:lang w:val="de-DE"/>
        </w:rPr>
        <w:t xml:space="preserve"> </w:t>
      </w:r>
      <w:proofErr w:type="spellStart"/>
      <w:r w:rsidRPr="00CD4311">
        <w:rPr>
          <w:rFonts w:ascii="Times New Roman" w:hAnsi="Times New Roman" w:cs="Times New Roman"/>
          <w:lang w:val="de-DE"/>
        </w:rPr>
        <w:t>cita</w:t>
      </w:r>
      <w:proofErr w:type="spellEnd"/>
      <w:r w:rsidRPr="00CD4311">
        <w:rPr>
          <w:rFonts w:ascii="Times New Roman" w:hAnsi="Times New Roman" w:cs="Times New Roman"/>
          <w:lang w:val="de-DE"/>
        </w:rPr>
        <w:t xml:space="preserve"> </w:t>
      </w:r>
      <w:proofErr w:type="spellStart"/>
      <w:r w:rsidRPr="00CD4311">
        <w:rPr>
          <w:rFonts w:ascii="Times New Roman" w:hAnsi="Times New Roman" w:cs="Times New Roman"/>
          <w:lang w:val="de-DE"/>
        </w:rPr>
        <w:t>starpā</w:t>
      </w:r>
      <w:proofErr w:type="spellEnd"/>
      <w:r w:rsidRPr="00CD4311">
        <w:rPr>
          <w:rFonts w:ascii="Times New Roman" w:hAnsi="Times New Roman" w:cs="Times New Roman"/>
          <w:lang w:val="de-DE"/>
        </w:rPr>
        <w:t xml:space="preserve"> </w:t>
      </w:r>
      <w:proofErr w:type="spellStart"/>
      <w:r w:rsidRPr="00CD4311">
        <w:rPr>
          <w:rFonts w:ascii="Times New Roman" w:hAnsi="Times New Roman" w:cs="Times New Roman"/>
          <w:lang w:val="de-DE"/>
        </w:rPr>
        <w:t>atrodami</w:t>
      </w:r>
      <w:proofErr w:type="spellEnd"/>
      <w:r w:rsidRPr="00CD4311">
        <w:rPr>
          <w:rFonts w:ascii="Times New Roman" w:hAnsi="Times New Roman" w:cs="Times New Roman"/>
          <w:lang w:val="de-DE"/>
        </w:rPr>
        <w:t xml:space="preserve"> (§ 4):</w:t>
      </w:r>
    </w:p>
    <w:p w14:paraId="200213A7" w14:textId="24D76CD2" w:rsidR="00114953" w:rsidRPr="00CD4311" w:rsidRDefault="00114953" w:rsidP="00114953">
      <w:pPr>
        <w:jc w:val="both"/>
        <w:rPr>
          <w:rFonts w:ascii="Times New Roman" w:hAnsi="Times New Roman" w:cs="Times New Roman"/>
          <w:lang w:val="de-DE"/>
        </w:rPr>
      </w:pPr>
      <w:r w:rsidRPr="00CD4311">
        <w:rPr>
          <w:rFonts w:ascii="Times New Roman" w:hAnsi="Times New Roman" w:cs="Times New Roman"/>
          <w:lang w:val="de-DE"/>
        </w:rPr>
        <w:t>-</w:t>
      </w:r>
      <w:r w:rsidR="00CD4311" w:rsidRPr="00CD4311">
        <w:rPr>
          <w:rFonts w:ascii="Times New Roman" w:hAnsi="Times New Roman" w:cs="Times New Roman"/>
          <w:lang w:val="de-DE"/>
        </w:rPr>
        <w:t xml:space="preserve"> </w:t>
      </w:r>
      <w:r w:rsidRPr="00CD4311">
        <w:rPr>
          <w:rFonts w:ascii="Times New Roman" w:hAnsi="Times New Roman" w:cs="Times New Roman"/>
          <w:lang w:val="de-DE"/>
        </w:rPr>
        <w:t xml:space="preserve">ASV, </w:t>
      </w:r>
      <w:proofErr w:type="spellStart"/>
      <w:r w:rsidRPr="00CD4311">
        <w:rPr>
          <w:rFonts w:ascii="Times New Roman" w:hAnsi="Times New Roman" w:cs="Times New Roman"/>
          <w:lang w:val="de-DE"/>
        </w:rPr>
        <w:t>izņemot</w:t>
      </w:r>
      <w:proofErr w:type="spellEnd"/>
      <w:r w:rsidRPr="00CD4311">
        <w:rPr>
          <w:rFonts w:ascii="Times New Roman" w:hAnsi="Times New Roman" w:cs="Times New Roman"/>
          <w:lang w:val="de-DE"/>
        </w:rPr>
        <w:t xml:space="preserve"> Amerikas Samoa, </w:t>
      </w:r>
      <w:proofErr w:type="spellStart"/>
      <w:r w:rsidRPr="00CD4311">
        <w:rPr>
          <w:rFonts w:ascii="Times New Roman" w:hAnsi="Times New Roman" w:cs="Times New Roman"/>
          <w:lang w:val="de-DE"/>
        </w:rPr>
        <w:t>Guāmu</w:t>
      </w:r>
      <w:proofErr w:type="spellEnd"/>
      <w:r w:rsidRPr="00CD4311">
        <w:rPr>
          <w:rFonts w:ascii="Times New Roman" w:hAnsi="Times New Roman" w:cs="Times New Roman"/>
          <w:lang w:val="de-DE"/>
        </w:rPr>
        <w:t xml:space="preserve">, </w:t>
      </w:r>
      <w:proofErr w:type="spellStart"/>
      <w:r w:rsidRPr="00CD4311">
        <w:rPr>
          <w:rFonts w:ascii="Times New Roman" w:hAnsi="Times New Roman" w:cs="Times New Roman"/>
          <w:lang w:val="de-DE"/>
        </w:rPr>
        <w:t>Savienoto</w:t>
      </w:r>
      <w:proofErr w:type="spellEnd"/>
      <w:r w:rsidRPr="00CD4311">
        <w:rPr>
          <w:rFonts w:ascii="Times New Roman" w:hAnsi="Times New Roman" w:cs="Times New Roman"/>
          <w:lang w:val="de-DE"/>
        </w:rPr>
        <w:t xml:space="preserve"> </w:t>
      </w:r>
      <w:proofErr w:type="spellStart"/>
      <w:r w:rsidRPr="00CD4311">
        <w:rPr>
          <w:rFonts w:ascii="Times New Roman" w:hAnsi="Times New Roman" w:cs="Times New Roman"/>
          <w:lang w:val="de-DE"/>
        </w:rPr>
        <w:t>Valstu</w:t>
      </w:r>
      <w:proofErr w:type="spellEnd"/>
      <w:r w:rsidRPr="00CD4311">
        <w:rPr>
          <w:rFonts w:ascii="Times New Roman" w:hAnsi="Times New Roman" w:cs="Times New Roman"/>
          <w:lang w:val="de-DE"/>
        </w:rPr>
        <w:t xml:space="preserve"> </w:t>
      </w:r>
      <w:proofErr w:type="spellStart"/>
      <w:r w:rsidRPr="00CD4311">
        <w:rPr>
          <w:rFonts w:ascii="Times New Roman" w:hAnsi="Times New Roman" w:cs="Times New Roman"/>
          <w:lang w:val="de-DE"/>
        </w:rPr>
        <w:t>Virdžīnu</w:t>
      </w:r>
      <w:proofErr w:type="spellEnd"/>
      <w:r w:rsidRPr="00CD4311">
        <w:rPr>
          <w:rFonts w:ascii="Times New Roman" w:hAnsi="Times New Roman" w:cs="Times New Roman"/>
          <w:lang w:val="de-DE"/>
        </w:rPr>
        <w:t xml:space="preserve"> </w:t>
      </w:r>
      <w:proofErr w:type="spellStart"/>
      <w:r w:rsidRPr="00CD4311">
        <w:rPr>
          <w:rFonts w:ascii="Times New Roman" w:hAnsi="Times New Roman" w:cs="Times New Roman"/>
          <w:lang w:val="de-DE"/>
        </w:rPr>
        <w:t>salas</w:t>
      </w:r>
      <w:proofErr w:type="spellEnd"/>
      <w:r w:rsidRPr="00CD4311">
        <w:rPr>
          <w:rFonts w:ascii="Times New Roman" w:hAnsi="Times New Roman" w:cs="Times New Roman"/>
          <w:lang w:val="de-DE"/>
        </w:rPr>
        <w:t xml:space="preserve"> (</w:t>
      </w:r>
      <w:r w:rsidRPr="00CD4311">
        <w:rPr>
          <w:rFonts w:ascii="Times New Roman" w:hAnsi="Times New Roman" w:cs="Times New Roman"/>
          <w:i/>
          <w:lang w:val="de-DE"/>
        </w:rPr>
        <w:t>United States Virgin Islands</w:t>
      </w:r>
      <w:r w:rsidRPr="00CD4311">
        <w:rPr>
          <w:rFonts w:ascii="Times New Roman" w:hAnsi="Times New Roman" w:cs="Times New Roman"/>
          <w:lang w:val="de-DE"/>
        </w:rPr>
        <w:t xml:space="preserve">) </w:t>
      </w:r>
      <w:proofErr w:type="spellStart"/>
      <w:r w:rsidRPr="00CD4311">
        <w:rPr>
          <w:rFonts w:ascii="Times New Roman" w:hAnsi="Times New Roman" w:cs="Times New Roman"/>
          <w:lang w:val="de-DE"/>
        </w:rPr>
        <w:t>un</w:t>
      </w:r>
      <w:proofErr w:type="spellEnd"/>
      <w:r w:rsidRPr="00CD4311">
        <w:rPr>
          <w:rFonts w:ascii="Times New Roman" w:hAnsi="Times New Roman" w:cs="Times New Roman"/>
          <w:lang w:val="de-DE"/>
        </w:rPr>
        <w:t xml:space="preserve"> </w:t>
      </w:r>
      <w:proofErr w:type="spellStart"/>
      <w:r w:rsidRPr="00CD4311">
        <w:rPr>
          <w:rFonts w:ascii="Times New Roman" w:hAnsi="Times New Roman" w:cs="Times New Roman"/>
          <w:lang w:val="de-DE"/>
        </w:rPr>
        <w:t>Ziemeļmariānas</w:t>
      </w:r>
      <w:proofErr w:type="spellEnd"/>
      <w:r w:rsidRPr="00CD4311">
        <w:rPr>
          <w:rFonts w:ascii="Times New Roman" w:hAnsi="Times New Roman" w:cs="Times New Roman"/>
          <w:lang w:val="de-DE"/>
        </w:rPr>
        <w:t xml:space="preserve"> </w:t>
      </w:r>
      <w:proofErr w:type="spellStart"/>
      <w:r w:rsidRPr="00CD4311">
        <w:rPr>
          <w:rFonts w:ascii="Times New Roman" w:hAnsi="Times New Roman" w:cs="Times New Roman"/>
          <w:lang w:val="de-DE"/>
        </w:rPr>
        <w:t>salas</w:t>
      </w:r>
      <w:proofErr w:type="spellEnd"/>
      <w:r w:rsidRPr="00CD4311">
        <w:rPr>
          <w:rFonts w:ascii="Times New Roman" w:hAnsi="Times New Roman" w:cs="Times New Roman"/>
          <w:lang w:val="de-DE"/>
        </w:rPr>
        <w:t xml:space="preserve"> (</w:t>
      </w:r>
      <w:r w:rsidRPr="00CD4311">
        <w:rPr>
          <w:rFonts w:ascii="Times New Roman" w:hAnsi="Times New Roman" w:cs="Times New Roman"/>
          <w:i/>
          <w:lang w:val="de-DE"/>
        </w:rPr>
        <w:t>Northern Mariana Islands</w:t>
      </w:r>
      <w:r w:rsidRPr="00CD4311">
        <w:rPr>
          <w:rFonts w:ascii="Times New Roman" w:hAnsi="Times New Roman" w:cs="Times New Roman"/>
          <w:lang w:val="de-DE"/>
        </w:rPr>
        <w:t>);</w:t>
      </w:r>
    </w:p>
    <w:p w14:paraId="0AB8A412" w14:textId="77777777" w:rsidR="00114953" w:rsidRPr="00CD4311" w:rsidRDefault="00114953" w:rsidP="00114953">
      <w:pPr>
        <w:jc w:val="both"/>
        <w:rPr>
          <w:rFonts w:ascii="Times New Roman" w:hAnsi="Times New Roman" w:cs="Times New Roman"/>
          <w:lang w:val="de-DE"/>
        </w:rPr>
      </w:pPr>
      <w:r w:rsidRPr="00CD4311">
        <w:rPr>
          <w:rFonts w:ascii="Times New Roman" w:hAnsi="Times New Roman" w:cs="Times New Roman"/>
          <w:lang w:val="de-DE"/>
        </w:rPr>
        <w:t xml:space="preserve">- </w:t>
      </w:r>
      <w:proofErr w:type="spellStart"/>
      <w:r w:rsidRPr="00CD4311">
        <w:rPr>
          <w:rFonts w:ascii="Times New Roman" w:hAnsi="Times New Roman" w:cs="Times New Roman"/>
          <w:lang w:val="de-DE"/>
        </w:rPr>
        <w:t>Austrālija</w:t>
      </w:r>
      <w:proofErr w:type="spellEnd"/>
      <w:r w:rsidRPr="00CD4311">
        <w:rPr>
          <w:rFonts w:ascii="Times New Roman" w:hAnsi="Times New Roman" w:cs="Times New Roman"/>
          <w:lang w:val="de-DE"/>
        </w:rPr>
        <w:t xml:space="preserve">, </w:t>
      </w:r>
      <w:proofErr w:type="spellStart"/>
      <w:r w:rsidRPr="00CD4311">
        <w:rPr>
          <w:rFonts w:ascii="Times New Roman" w:hAnsi="Times New Roman" w:cs="Times New Roman"/>
          <w:lang w:val="de-DE"/>
        </w:rPr>
        <w:t>izņemot</w:t>
      </w:r>
      <w:proofErr w:type="spellEnd"/>
      <w:r w:rsidRPr="00CD4311">
        <w:rPr>
          <w:rFonts w:ascii="Times New Roman" w:hAnsi="Times New Roman" w:cs="Times New Roman"/>
          <w:lang w:val="de-DE"/>
        </w:rPr>
        <w:t xml:space="preserve"> </w:t>
      </w:r>
      <w:proofErr w:type="spellStart"/>
      <w:r w:rsidRPr="00CD4311">
        <w:rPr>
          <w:rFonts w:ascii="Times New Roman" w:hAnsi="Times New Roman" w:cs="Times New Roman"/>
          <w:lang w:val="de-DE"/>
        </w:rPr>
        <w:t>Ziemassvētku</w:t>
      </w:r>
      <w:proofErr w:type="spellEnd"/>
      <w:r w:rsidRPr="00CD4311">
        <w:rPr>
          <w:rFonts w:ascii="Times New Roman" w:hAnsi="Times New Roman" w:cs="Times New Roman"/>
          <w:lang w:val="de-DE"/>
        </w:rPr>
        <w:t xml:space="preserve"> </w:t>
      </w:r>
      <w:proofErr w:type="spellStart"/>
      <w:r w:rsidRPr="00CD4311">
        <w:rPr>
          <w:rFonts w:ascii="Times New Roman" w:hAnsi="Times New Roman" w:cs="Times New Roman"/>
          <w:lang w:val="de-DE"/>
        </w:rPr>
        <w:t>salas</w:t>
      </w:r>
      <w:proofErr w:type="spellEnd"/>
      <w:r w:rsidRPr="00CD4311">
        <w:rPr>
          <w:rFonts w:ascii="Times New Roman" w:hAnsi="Times New Roman" w:cs="Times New Roman"/>
          <w:lang w:val="de-DE"/>
        </w:rPr>
        <w:t xml:space="preserve"> (</w:t>
      </w:r>
      <w:r w:rsidRPr="00CD4311">
        <w:rPr>
          <w:rFonts w:ascii="Times New Roman" w:hAnsi="Times New Roman" w:cs="Times New Roman"/>
          <w:i/>
          <w:lang w:val="de-DE"/>
        </w:rPr>
        <w:t>Christmas Island</w:t>
      </w:r>
      <w:r w:rsidRPr="00CD4311">
        <w:rPr>
          <w:rFonts w:ascii="Times New Roman" w:hAnsi="Times New Roman" w:cs="Times New Roman"/>
          <w:lang w:val="de-DE"/>
        </w:rPr>
        <w:t xml:space="preserve">), </w:t>
      </w:r>
      <w:proofErr w:type="spellStart"/>
      <w:r w:rsidRPr="00CD4311">
        <w:rPr>
          <w:rFonts w:ascii="Times New Roman" w:hAnsi="Times New Roman" w:cs="Times New Roman"/>
          <w:lang w:val="de-DE"/>
        </w:rPr>
        <w:t>Kokosa</w:t>
      </w:r>
      <w:proofErr w:type="spellEnd"/>
      <w:r w:rsidRPr="00CD4311">
        <w:rPr>
          <w:rFonts w:ascii="Times New Roman" w:hAnsi="Times New Roman" w:cs="Times New Roman"/>
          <w:lang w:val="de-DE"/>
        </w:rPr>
        <w:t xml:space="preserve"> </w:t>
      </w:r>
      <w:proofErr w:type="spellStart"/>
      <w:r w:rsidRPr="00CD4311">
        <w:rPr>
          <w:rFonts w:ascii="Times New Roman" w:hAnsi="Times New Roman" w:cs="Times New Roman"/>
          <w:lang w:val="de-DE"/>
        </w:rPr>
        <w:t>salas</w:t>
      </w:r>
      <w:proofErr w:type="spellEnd"/>
      <w:r w:rsidRPr="00CD4311">
        <w:rPr>
          <w:rFonts w:ascii="Times New Roman" w:hAnsi="Times New Roman" w:cs="Times New Roman"/>
          <w:lang w:val="de-DE"/>
        </w:rPr>
        <w:t xml:space="preserve"> (</w:t>
      </w:r>
      <w:r w:rsidRPr="00CD4311">
        <w:rPr>
          <w:rFonts w:ascii="Times New Roman" w:hAnsi="Times New Roman" w:cs="Times New Roman"/>
          <w:i/>
          <w:lang w:val="de-DE"/>
        </w:rPr>
        <w:t>Cocos Islands</w:t>
      </w:r>
      <w:r w:rsidRPr="00CD4311">
        <w:rPr>
          <w:rFonts w:ascii="Times New Roman" w:hAnsi="Times New Roman" w:cs="Times New Roman"/>
          <w:lang w:val="de-DE"/>
        </w:rPr>
        <w:t xml:space="preserve">) </w:t>
      </w:r>
      <w:proofErr w:type="spellStart"/>
      <w:r w:rsidRPr="00CD4311">
        <w:rPr>
          <w:rFonts w:ascii="Times New Roman" w:hAnsi="Times New Roman" w:cs="Times New Roman"/>
          <w:lang w:val="de-DE"/>
        </w:rPr>
        <w:t>un</w:t>
      </w:r>
      <w:proofErr w:type="spellEnd"/>
      <w:r w:rsidRPr="00CD4311">
        <w:rPr>
          <w:rFonts w:ascii="Times New Roman" w:hAnsi="Times New Roman" w:cs="Times New Roman"/>
          <w:lang w:val="de-DE"/>
        </w:rPr>
        <w:t xml:space="preserve"> </w:t>
      </w:r>
      <w:proofErr w:type="spellStart"/>
      <w:r w:rsidRPr="00CD4311">
        <w:rPr>
          <w:rFonts w:ascii="Times New Roman" w:hAnsi="Times New Roman" w:cs="Times New Roman"/>
          <w:lang w:val="de-DE"/>
        </w:rPr>
        <w:t>Norfolkas</w:t>
      </w:r>
      <w:proofErr w:type="spellEnd"/>
      <w:r w:rsidRPr="00CD4311">
        <w:rPr>
          <w:rFonts w:ascii="Times New Roman" w:hAnsi="Times New Roman" w:cs="Times New Roman"/>
          <w:lang w:val="de-DE"/>
        </w:rPr>
        <w:t xml:space="preserve"> </w:t>
      </w:r>
      <w:proofErr w:type="spellStart"/>
      <w:r w:rsidRPr="00CD4311">
        <w:rPr>
          <w:rFonts w:ascii="Times New Roman" w:hAnsi="Times New Roman" w:cs="Times New Roman"/>
          <w:lang w:val="de-DE"/>
        </w:rPr>
        <w:t>salu</w:t>
      </w:r>
      <w:proofErr w:type="spellEnd"/>
      <w:r w:rsidRPr="00CD4311">
        <w:rPr>
          <w:rFonts w:ascii="Times New Roman" w:hAnsi="Times New Roman" w:cs="Times New Roman"/>
          <w:lang w:val="de-DE"/>
        </w:rPr>
        <w:t>;</w:t>
      </w:r>
    </w:p>
    <w:p w14:paraId="687AF511" w14:textId="77777777" w:rsidR="00114953" w:rsidRPr="00CD4311" w:rsidRDefault="00114953" w:rsidP="00114953">
      <w:pPr>
        <w:jc w:val="both"/>
        <w:rPr>
          <w:rFonts w:ascii="Times New Roman" w:hAnsi="Times New Roman" w:cs="Times New Roman"/>
          <w:lang w:val="de-DE"/>
        </w:rPr>
      </w:pPr>
      <w:r w:rsidRPr="00CD4311">
        <w:rPr>
          <w:rFonts w:ascii="Times New Roman" w:hAnsi="Times New Roman" w:cs="Times New Roman"/>
          <w:lang w:val="de-DE"/>
        </w:rPr>
        <w:t xml:space="preserve">- </w:t>
      </w:r>
      <w:proofErr w:type="spellStart"/>
      <w:r w:rsidRPr="00CD4311">
        <w:rPr>
          <w:rFonts w:ascii="Times New Roman" w:hAnsi="Times New Roman" w:cs="Times New Roman"/>
          <w:lang w:val="de-DE"/>
        </w:rPr>
        <w:t>Kanāda</w:t>
      </w:r>
      <w:proofErr w:type="spellEnd"/>
      <w:r w:rsidRPr="00CD4311">
        <w:rPr>
          <w:rFonts w:ascii="Times New Roman" w:hAnsi="Times New Roman" w:cs="Times New Roman"/>
          <w:lang w:val="de-DE"/>
        </w:rPr>
        <w:t>;</w:t>
      </w:r>
    </w:p>
    <w:p w14:paraId="501885A9" w14:textId="77777777" w:rsidR="00114953" w:rsidRPr="00CD4311" w:rsidRDefault="00114953" w:rsidP="00114953">
      <w:pPr>
        <w:jc w:val="both"/>
        <w:rPr>
          <w:rFonts w:ascii="Times New Roman" w:hAnsi="Times New Roman" w:cs="Times New Roman"/>
          <w:lang w:val="de-DE"/>
        </w:rPr>
      </w:pPr>
      <w:r w:rsidRPr="00CD4311">
        <w:rPr>
          <w:rFonts w:ascii="Times New Roman" w:hAnsi="Times New Roman" w:cs="Times New Roman"/>
          <w:lang w:val="de-DE"/>
        </w:rPr>
        <w:t xml:space="preserve">- </w:t>
      </w:r>
      <w:proofErr w:type="spellStart"/>
      <w:r w:rsidRPr="00CD4311">
        <w:rPr>
          <w:rFonts w:ascii="Times New Roman" w:hAnsi="Times New Roman" w:cs="Times New Roman"/>
          <w:lang w:val="de-DE"/>
        </w:rPr>
        <w:t>Lielbritānijas</w:t>
      </w:r>
      <w:proofErr w:type="spellEnd"/>
      <w:r w:rsidRPr="00CD4311">
        <w:rPr>
          <w:rFonts w:ascii="Times New Roman" w:hAnsi="Times New Roman" w:cs="Times New Roman"/>
          <w:lang w:val="de-DE"/>
        </w:rPr>
        <w:t xml:space="preserve"> </w:t>
      </w:r>
      <w:proofErr w:type="spellStart"/>
      <w:r w:rsidRPr="00CD4311">
        <w:rPr>
          <w:rFonts w:ascii="Times New Roman" w:hAnsi="Times New Roman" w:cs="Times New Roman"/>
          <w:lang w:val="de-DE"/>
        </w:rPr>
        <w:t>un</w:t>
      </w:r>
      <w:proofErr w:type="spellEnd"/>
      <w:r w:rsidRPr="00CD4311">
        <w:rPr>
          <w:rFonts w:ascii="Times New Roman" w:hAnsi="Times New Roman" w:cs="Times New Roman"/>
          <w:lang w:val="de-DE"/>
        </w:rPr>
        <w:t xml:space="preserve"> </w:t>
      </w:r>
      <w:proofErr w:type="spellStart"/>
      <w:r w:rsidRPr="00CD4311">
        <w:rPr>
          <w:rFonts w:ascii="Times New Roman" w:hAnsi="Times New Roman" w:cs="Times New Roman"/>
          <w:lang w:val="de-DE"/>
        </w:rPr>
        <w:t>Ziemeļīrijas</w:t>
      </w:r>
      <w:proofErr w:type="spellEnd"/>
      <w:r w:rsidRPr="00CD4311">
        <w:rPr>
          <w:rFonts w:ascii="Times New Roman" w:hAnsi="Times New Roman" w:cs="Times New Roman"/>
          <w:lang w:val="de-DE"/>
        </w:rPr>
        <w:t xml:space="preserve"> </w:t>
      </w:r>
      <w:proofErr w:type="spellStart"/>
      <w:r w:rsidRPr="00CD4311">
        <w:rPr>
          <w:rFonts w:ascii="Times New Roman" w:hAnsi="Times New Roman" w:cs="Times New Roman"/>
          <w:lang w:val="de-DE"/>
        </w:rPr>
        <w:t>Apvienotā</w:t>
      </w:r>
      <w:proofErr w:type="spellEnd"/>
      <w:r w:rsidRPr="00CD4311">
        <w:rPr>
          <w:rFonts w:ascii="Times New Roman" w:hAnsi="Times New Roman" w:cs="Times New Roman"/>
          <w:lang w:val="de-DE"/>
        </w:rPr>
        <w:t xml:space="preserve"> </w:t>
      </w:r>
      <w:proofErr w:type="spellStart"/>
      <w:r w:rsidRPr="00CD4311">
        <w:rPr>
          <w:rFonts w:ascii="Times New Roman" w:hAnsi="Times New Roman" w:cs="Times New Roman"/>
          <w:lang w:val="de-DE"/>
        </w:rPr>
        <w:t>Karaliste</w:t>
      </w:r>
      <w:proofErr w:type="spellEnd"/>
      <w:r w:rsidRPr="00CD4311">
        <w:rPr>
          <w:rFonts w:ascii="Times New Roman" w:hAnsi="Times New Roman" w:cs="Times New Roman"/>
          <w:lang w:val="de-DE"/>
        </w:rPr>
        <w:t xml:space="preserve">, </w:t>
      </w:r>
      <w:proofErr w:type="spellStart"/>
      <w:r w:rsidRPr="00CD4311">
        <w:rPr>
          <w:rFonts w:ascii="Times New Roman" w:hAnsi="Times New Roman" w:cs="Times New Roman"/>
          <w:lang w:val="de-DE"/>
        </w:rPr>
        <w:t>izņemot</w:t>
      </w:r>
      <w:proofErr w:type="spellEnd"/>
      <w:r w:rsidRPr="00CD4311">
        <w:rPr>
          <w:rFonts w:ascii="Times New Roman" w:hAnsi="Times New Roman" w:cs="Times New Roman"/>
          <w:lang w:val="de-DE"/>
        </w:rPr>
        <w:t xml:space="preserve">, </w:t>
      </w:r>
      <w:proofErr w:type="spellStart"/>
      <w:r w:rsidRPr="00CD4311">
        <w:rPr>
          <w:rFonts w:ascii="Times New Roman" w:hAnsi="Times New Roman" w:cs="Times New Roman"/>
          <w:lang w:val="de-DE"/>
        </w:rPr>
        <w:t>piemēram</w:t>
      </w:r>
      <w:proofErr w:type="spellEnd"/>
      <w:r w:rsidRPr="00CD4311">
        <w:rPr>
          <w:rFonts w:ascii="Times New Roman" w:hAnsi="Times New Roman" w:cs="Times New Roman"/>
          <w:lang w:val="de-DE"/>
        </w:rPr>
        <w:t xml:space="preserve">, Menas </w:t>
      </w:r>
      <w:proofErr w:type="spellStart"/>
      <w:r w:rsidRPr="00CD4311">
        <w:rPr>
          <w:rFonts w:ascii="Times New Roman" w:hAnsi="Times New Roman" w:cs="Times New Roman"/>
          <w:lang w:val="de-DE"/>
        </w:rPr>
        <w:t>salu</w:t>
      </w:r>
      <w:proofErr w:type="spellEnd"/>
      <w:r w:rsidRPr="00CD4311">
        <w:rPr>
          <w:rFonts w:ascii="Times New Roman" w:hAnsi="Times New Roman" w:cs="Times New Roman"/>
          <w:lang w:val="de-DE"/>
        </w:rPr>
        <w:t xml:space="preserve">, </w:t>
      </w:r>
      <w:proofErr w:type="spellStart"/>
      <w:r w:rsidRPr="00CD4311">
        <w:rPr>
          <w:rFonts w:ascii="Times New Roman" w:hAnsi="Times New Roman" w:cs="Times New Roman"/>
          <w:lang w:val="de-DE"/>
        </w:rPr>
        <w:t>Gibraltāru</w:t>
      </w:r>
      <w:proofErr w:type="spellEnd"/>
      <w:r w:rsidRPr="00CD4311">
        <w:rPr>
          <w:rFonts w:ascii="Times New Roman" w:hAnsi="Times New Roman" w:cs="Times New Roman"/>
          <w:lang w:val="de-DE"/>
        </w:rPr>
        <w:t xml:space="preserve">, </w:t>
      </w:r>
      <w:proofErr w:type="spellStart"/>
      <w:r w:rsidRPr="00CD4311">
        <w:rPr>
          <w:rFonts w:ascii="Times New Roman" w:hAnsi="Times New Roman" w:cs="Times New Roman"/>
          <w:lang w:val="de-DE"/>
        </w:rPr>
        <w:t>Britu</w:t>
      </w:r>
      <w:proofErr w:type="spellEnd"/>
      <w:r w:rsidRPr="00CD4311">
        <w:rPr>
          <w:rFonts w:ascii="Times New Roman" w:hAnsi="Times New Roman" w:cs="Times New Roman"/>
          <w:lang w:val="de-DE"/>
        </w:rPr>
        <w:t xml:space="preserve"> </w:t>
      </w:r>
      <w:proofErr w:type="spellStart"/>
      <w:r w:rsidRPr="00CD4311">
        <w:rPr>
          <w:rFonts w:ascii="Times New Roman" w:hAnsi="Times New Roman" w:cs="Times New Roman"/>
          <w:lang w:val="de-DE"/>
        </w:rPr>
        <w:t>Virdžīnu</w:t>
      </w:r>
      <w:proofErr w:type="spellEnd"/>
      <w:r w:rsidRPr="00CD4311">
        <w:rPr>
          <w:rFonts w:ascii="Times New Roman" w:hAnsi="Times New Roman" w:cs="Times New Roman"/>
          <w:lang w:val="de-DE"/>
        </w:rPr>
        <w:t xml:space="preserve"> </w:t>
      </w:r>
      <w:proofErr w:type="spellStart"/>
      <w:r w:rsidRPr="00CD4311">
        <w:rPr>
          <w:rFonts w:ascii="Times New Roman" w:hAnsi="Times New Roman" w:cs="Times New Roman"/>
          <w:lang w:val="de-DE"/>
        </w:rPr>
        <w:t>salas</w:t>
      </w:r>
      <w:proofErr w:type="spellEnd"/>
      <w:r w:rsidRPr="00CD4311">
        <w:rPr>
          <w:rFonts w:ascii="Times New Roman" w:hAnsi="Times New Roman" w:cs="Times New Roman"/>
          <w:lang w:val="de-DE"/>
        </w:rPr>
        <w:t xml:space="preserve">, </w:t>
      </w:r>
      <w:proofErr w:type="spellStart"/>
      <w:r w:rsidRPr="00CD4311">
        <w:rPr>
          <w:rFonts w:ascii="Times New Roman" w:hAnsi="Times New Roman" w:cs="Times New Roman"/>
          <w:lang w:val="de-DE"/>
        </w:rPr>
        <w:t>u.c</w:t>
      </w:r>
      <w:proofErr w:type="spellEnd"/>
      <w:r w:rsidRPr="00CD4311">
        <w:rPr>
          <w:rFonts w:ascii="Times New Roman" w:hAnsi="Times New Roman" w:cs="Times New Roman"/>
          <w:lang w:val="de-DE"/>
        </w:rPr>
        <w:t>.</w:t>
      </w:r>
    </w:p>
    <w:p w14:paraId="57CC813B" w14:textId="77777777" w:rsidR="00114953" w:rsidRPr="00CD4311" w:rsidRDefault="00114953" w:rsidP="00114953">
      <w:pPr>
        <w:jc w:val="both"/>
        <w:rPr>
          <w:rFonts w:ascii="Times New Roman" w:hAnsi="Times New Roman" w:cs="Times New Roman"/>
          <w:lang w:val="de-DE"/>
        </w:rPr>
      </w:pPr>
      <w:proofErr w:type="spellStart"/>
      <w:r w:rsidRPr="00CD4311">
        <w:rPr>
          <w:rFonts w:ascii="Times New Roman" w:hAnsi="Times New Roman" w:cs="Times New Roman"/>
          <w:lang w:val="de-DE"/>
        </w:rPr>
        <w:t>Amatpersonu</w:t>
      </w:r>
      <w:proofErr w:type="spellEnd"/>
      <w:r w:rsidRPr="00CD4311">
        <w:rPr>
          <w:rFonts w:ascii="Times New Roman" w:hAnsi="Times New Roman" w:cs="Times New Roman"/>
          <w:lang w:val="de-DE"/>
        </w:rPr>
        <w:t xml:space="preserve"> </w:t>
      </w:r>
      <w:proofErr w:type="spellStart"/>
      <w:r w:rsidRPr="00CD4311">
        <w:rPr>
          <w:rFonts w:ascii="Times New Roman" w:hAnsi="Times New Roman" w:cs="Times New Roman"/>
          <w:lang w:val="de-DE"/>
        </w:rPr>
        <w:t>izdoto</w:t>
      </w:r>
      <w:proofErr w:type="spellEnd"/>
      <w:r w:rsidRPr="00CD4311">
        <w:rPr>
          <w:rFonts w:ascii="Times New Roman" w:hAnsi="Times New Roman" w:cs="Times New Roman"/>
          <w:lang w:val="de-DE"/>
        </w:rPr>
        <w:t xml:space="preserve"> </w:t>
      </w:r>
      <w:proofErr w:type="spellStart"/>
      <w:r w:rsidRPr="00CD4311">
        <w:rPr>
          <w:rFonts w:ascii="Times New Roman" w:hAnsi="Times New Roman" w:cs="Times New Roman"/>
          <w:lang w:val="de-DE"/>
        </w:rPr>
        <w:t>pilnvaru</w:t>
      </w:r>
      <w:proofErr w:type="spellEnd"/>
      <w:r w:rsidRPr="00CD4311">
        <w:rPr>
          <w:rFonts w:ascii="Times New Roman" w:hAnsi="Times New Roman" w:cs="Times New Roman"/>
          <w:lang w:val="de-DE"/>
        </w:rPr>
        <w:t xml:space="preserve"> </w:t>
      </w:r>
      <w:proofErr w:type="spellStart"/>
      <w:r w:rsidRPr="00CD4311">
        <w:rPr>
          <w:rFonts w:ascii="Times New Roman" w:hAnsi="Times New Roman" w:cs="Times New Roman"/>
          <w:lang w:val="de-DE"/>
        </w:rPr>
        <w:t>pielīdzināšana</w:t>
      </w:r>
      <w:proofErr w:type="spellEnd"/>
      <w:r w:rsidRPr="00CD4311">
        <w:rPr>
          <w:rFonts w:ascii="Times New Roman" w:hAnsi="Times New Roman" w:cs="Times New Roman"/>
          <w:lang w:val="de-DE"/>
        </w:rPr>
        <w:t xml:space="preserve"> </w:t>
      </w:r>
      <w:proofErr w:type="spellStart"/>
      <w:r w:rsidRPr="00CD4311">
        <w:rPr>
          <w:rFonts w:ascii="Times New Roman" w:hAnsi="Times New Roman" w:cs="Times New Roman"/>
          <w:lang w:val="de-DE"/>
        </w:rPr>
        <w:t>ir</w:t>
      </w:r>
      <w:proofErr w:type="spellEnd"/>
      <w:r w:rsidRPr="00CD4311">
        <w:rPr>
          <w:rFonts w:ascii="Times New Roman" w:hAnsi="Times New Roman" w:cs="Times New Roman"/>
          <w:lang w:val="de-DE"/>
        </w:rPr>
        <w:t xml:space="preserve"> </w:t>
      </w:r>
      <w:proofErr w:type="spellStart"/>
      <w:r w:rsidRPr="00CD4311">
        <w:rPr>
          <w:rFonts w:ascii="Times New Roman" w:hAnsi="Times New Roman" w:cs="Times New Roman"/>
          <w:lang w:val="de-DE"/>
        </w:rPr>
        <w:t>atkarīga</w:t>
      </w:r>
      <w:proofErr w:type="spellEnd"/>
      <w:r w:rsidRPr="00CD4311">
        <w:rPr>
          <w:rFonts w:ascii="Times New Roman" w:hAnsi="Times New Roman" w:cs="Times New Roman"/>
          <w:lang w:val="de-DE"/>
        </w:rPr>
        <w:t xml:space="preserve"> </w:t>
      </w:r>
      <w:proofErr w:type="spellStart"/>
      <w:r w:rsidRPr="00CD4311">
        <w:rPr>
          <w:rFonts w:ascii="Times New Roman" w:hAnsi="Times New Roman" w:cs="Times New Roman"/>
          <w:lang w:val="de-DE"/>
        </w:rPr>
        <w:t>no</w:t>
      </w:r>
      <w:proofErr w:type="spellEnd"/>
      <w:r w:rsidRPr="00CD4311">
        <w:rPr>
          <w:rFonts w:ascii="Times New Roman" w:hAnsi="Times New Roman" w:cs="Times New Roman"/>
          <w:lang w:val="de-DE"/>
        </w:rPr>
        <w:t xml:space="preserve"> </w:t>
      </w:r>
      <w:proofErr w:type="spellStart"/>
      <w:r w:rsidRPr="00CD4311">
        <w:rPr>
          <w:rFonts w:ascii="Times New Roman" w:hAnsi="Times New Roman" w:cs="Times New Roman"/>
          <w:lang w:val="de-DE"/>
        </w:rPr>
        <w:t>dokumenta</w:t>
      </w:r>
      <w:proofErr w:type="spellEnd"/>
      <w:r w:rsidRPr="00CD4311">
        <w:rPr>
          <w:rFonts w:ascii="Times New Roman" w:hAnsi="Times New Roman" w:cs="Times New Roman"/>
          <w:lang w:val="de-DE"/>
        </w:rPr>
        <w:t xml:space="preserve"> </w:t>
      </w:r>
      <w:proofErr w:type="spellStart"/>
      <w:r w:rsidRPr="00CD4311">
        <w:rPr>
          <w:rFonts w:ascii="Times New Roman" w:hAnsi="Times New Roman" w:cs="Times New Roman"/>
          <w:lang w:val="de-DE"/>
        </w:rPr>
        <w:t>legalizācijas</w:t>
      </w:r>
      <w:proofErr w:type="spellEnd"/>
      <w:r w:rsidRPr="00CD4311">
        <w:rPr>
          <w:rFonts w:ascii="Times New Roman" w:hAnsi="Times New Roman" w:cs="Times New Roman"/>
          <w:lang w:val="de-DE"/>
        </w:rPr>
        <w:t xml:space="preserve"> </w:t>
      </w:r>
      <w:proofErr w:type="spellStart"/>
      <w:r w:rsidRPr="00CD4311">
        <w:rPr>
          <w:rFonts w:ascii="Times New Roman" w:hAnsi="Times New Roman" w:cs="Times New Roman"/>
          <w:lang w:val="de-DE"/>
        </w:rPr>
        <w:t>veida</w:t>
      </w:r>
      <w:proofErr w:type="spellEnd"/>
      <w:r w:rsidRPr="00CD4311">
        <w:rPr>
          <w:rFonts w:ascii="Times New Roman" w:hAnsi="Times New Roman" w:cs="Times New Roman"/>
          <w:lang w:val="de-DE"/>
        </w:rPr>
        <w:t>.</w:t>
      </w:r>
    </w:p>
    <w:p w14:paraId="5B86904B" w14:textId="77777777" w:rsidR="00114953" w:rsidRPr="00CD4311" w:rsidRDefault="00114953" w:rsidP="00114953">
      <w:pPr>
        <w:jc w:val="both"/>
        <w:rPr>
          <w:rFonts w:ascii="Times New Roman" w:hAnsi="Times New Roman" w:cs="Times New Roman"/>
          <w:lang w:val="de-DE"/>
        </w:rPr>
      </w:pPr>
    </w:p>
    <w:p w14:paraId="545A819C" w14:textId="27DDDED2" w:rsidR="00114953" w:rsidRPr="00CD4311" w:rsidRDefault="00114953" w:rsidP="00114953">
      <w:pPr>
        <w:ind w:firstLine="708"/>
        <w:jc w:val="both"/>
        <w:rPr>
          <w:rFonts w:ascii="Times New Roman" w:hAnsi="Times New Roman" w:cs="Times New Roman"/>
          <w:lang w:val="de-DE"/>
        </w:rPr>
      </w:pPr>
      <w:proofErr w:type="spellStart"/>
      <w:r w:rsidRPr="00CD4311">
        <w:rPr>
          <w:rFonts w:ascii="Times New Roman" w:hAnsi="Times New Roman" w:cs="Times New Roman"/>
          <w:lang w:val="de-DE"/>
        </w:rPr>
        <w:t>Igaunijas</w:t>
      </w:r>
      <w:proofErr w:type="spellEnd"/>
      <w:r w:rsidRPr="00CD4311">
        <w:rPr>
          <w:rFonts w:ascii="Times New Roman" w:hAnsi="Times New Roman" w:cs="Times New Roman"/>
          <w:lang w:val="de-DE"/>
        </w:rPr>
        <w:t xml:space="preserve"> </w:t>
      </w:r>
      <w:proofErr w:type="spellStart"/>
      <w:r w:rsidRPr="00CD4311">
        <w:rPr>
          <w:rFonts w:ascii="Times New Roman" w:hAnsi="Times New Roman" w:cs="Times New Roman"/>
          <w:lang w:val="de-DE"/>
        </w:rPr>
        <w:t>tieslietu</w:t>
      </w:r>
      <w:proofErr w:type="spellEnd"/>
      <w:r w:rsidRPr="00CD4311">
        <w:rPr>
          <w:rFonts w:ascii="Times New Roman" w:hAnsi="Times New Roman" w:cs="Times New Roman"/>
          <w:lang w:val="de-DE"/>
        </w:rPr>
        <w:t xml:space="preserve"> </w:t>
      </w:r>
      <w:proofErr w:type="spellStart"/>
      <w:r w:rsidRPr="00CD4311">
        <w:rPr>
          <w:rFonts w:ascii="Times New Roman" w:hAnsi="Times New Roman" w:cs="Times New Roman"/>
          <w:lang w:val="de-DE"/>
        </w:rPr>
        <w:t>ministram</w:t>
      </w:r>
      <w:proofErr w:type="spellEnd"/>
      <w:r w:rsidRPr="00CD4311">
        <w:rPr>
          <w:rFonts w:ascii="Times New Roman" w:hAnsi="Times New Roman" w:cs="Times New Roman"/>
          <w:lang w:val="de-DE"/>
        </w:rPr>
        <w:t xml:space="preserve"> </w:t>
      </w:r>
      <w:proofErr w:type="spellStart"/>
      <w:r w:rsidRPr="00CD4311">
        <w:rPr>
          <w:rFonts w:ascii="Times New Roman" w:hAnsi="Times New Roman" w:cs="Times New Roman"/>
          <w:lang w:val="de-DE"/>
        </w:rPr>
        <w:t>Igaunijas</w:t>
      </w:r>
      <w:proofErr w:type="spellEnd"/>
      <w:r w:rsidRPr="00CD4311">
        <w:rPr>
          <w:rFonts w:ascii="Times New Roman" w:hAnsi="Times New Roman" w:cs="Times New Roman"/>
          <w:lang w:val="de-DE"/>
        </w:rPr>
        <w:t xml:space="preserve"> </w:t>
      </w:r>
      <w:proofErr w:type="spellStart"/>
      <w:r w:rsidRPr="00CD4311">
        <w:rPr>
          <w:rFonts w:ascii="Times New Roman" w:hAnsi="Times New Roman" w:cs="Times New Roman"/>
          <w:lang w:val="de-DE"/>
        </w:rPr>
        <w:t>Notariālā</w:t>
      </w:r>
      <w:proofErr w:type="spellEnd"/>
      <w:r w:rsidRPr="00CD4311">
        <w:rPr>
          <w:rFonts w:ascii="Times New Roman" w:hAnsi="Times New Roman" w:cs="Times New Roman"/>
          <w:lang w:val="de-DE"/>
        </w:rPr>
        <w:t xml:space="preserve"> </w:t>
      </w:r>
      <w:proofErr w:type="spellStart"/>
      <w:r w:rsidRPr="00CD4311">
        <w:rPr>
          <w:rFonts w:ascii="Times New Roman" w:hAnsi="Times New Roman" w:cs="Times New Roman"/>
          <w:lang w:val="de-DE"/>
        </w:rPr>
        <w:t>likuma</w:t>
      </w:r>
      <w:proofErr w:type="spellEnd"/>
      <w:r w:rsidRPr="00CD4311">
        <w:rPr>
          <w:rFonts w:ascii="Times New Roman" w:hAnsi="Times New Roman" w:cs="Times New Roman"/>
          <w:lang w:val="de-DE"/>
        </w:rPr>
        <w:t xml:space="preserve"> 57.panta </w:t>
      </w:r>
      <w:proofErr w:type="spellStart"/>
      <w:r w:rsidRPr="00CD4311">
        <w:rPr>
          <w:rFonts w:ascii="Times New Roman" w:hAnsi="Times New Roman" w:cs="Times New Roman"/>
          <w:lang w:val="de-DE"/>
        </w:rPr>
        <w:t>pirmā</w:t>
      </w:r>
      <w:proofErr w:type="spellEnd"/>
      <w:r w:rsidRPr="00CD4311">
        <w:rPr>
          <w:rFonts w:ascii="Times New Roman" w:hAnsi="Times New Roman" w:cs="Times New Roman"/>
          <w:lang w:val="de-DE"/>
        </w:rPr>
        <w:t xml:space="preserve"> </w:t>
      </w:r>
      <w:proofErr w:type="spellStart"/>
      <w:r w:rsidRPr="00CD4311">
        <w:rPr>
          <w:rFonts w:ascii="Times New Roman" w:hAnsi="Times New Roman" w:cs="Times New Roman"/>
          <w:lang w:val="de-DE"/>
        </w:rPr>
        <w:t>daļa</w:t>
      </w:r>
      <w:proofErr w:type="spellEnd"/>
      <w:r w:rsidRPr="00CD4311">
        <w:rPr>
          <w:rFonts w:ascii="Times New Roman" w:hAnsi="Times New Roman" w:cs="Times New Roman"/>
          <w:lang w:val="de-DE"/>
        </w:rPr>
        <w:t xml:space="preserve"> </w:t>
      </w:r>
      <w:proofErr w:type="spellStart"/>
      <w:r w:rsidRPr="00CD4311">
        <w:rPr>
          <w:rFonts w:ascii="Times New Roman" w:hAnsi="Times New Roman" w:cs="Times New Roman"/>
          <w:lang w:val="de-DE"/>
        </w:rPr>
        <w:t>deleģē</w:t>
      </w:r>
      <w:proofErr w:type="spellEnd"/>
      <w:r w:rsidRPr="00CD4311">
        <w:rPr>
          <w:rFonts w:ascii="Times New Roman" w:hAnsi="Times New Roman" w:cs="Times New Roman"/>
          <w:lang w:val="de-DE"/>
        </w:rPr>
        <w:t xml:space="preserve"> </w:t>
      </w:r>
      <w:proofErr w:type="spellStart"/>
      <w:r w:rsidRPr="00CD4311">
        <w:rPr>
          <w:rFonts w:ascii="Times New Roman" w:hAnsi="Times New Roman" w:cs="Times New Roman"/>
          <w:lang w:val="de-DE"/>
        </w:rPr>
        <w:t>tiesības</w:t>
      </w:r>
      <w:proofErr w:type="spellEnd"/>
      <w:r w:rsidRPr="00CD4311">
        <w:rPr>
          <w:rFonts w:ascii="Times New Roman" w:hAnsi="Times New Roman" w:cs="Times New Roman"/>
          <w:lang w:val="de-DE"/>
        </w:rPr>
        <w:t xml:space="preserve"> „</w:t>
      </w:r>
      <w:proofErr w:type="spellStart"/>
      <w:r w:rsidRPr="00CD4311">
        <w:rPr>
          <w:rFonts w:ascii="Times New Roman" w:hAnsi="Times New Roman" w:cs="Times New Roman"/>
          <w:lang w:val="de-DE"/>
        </w:rPr>
        <w:t>apstiprināt</w:t>
      </w:r>
      <w:proofErr w:type="spellEnd"/>
      <w:r w:rsidRPr="00CD4311">
        <w:rPr>
          <w:rFonts w:ascii="Times New Roman" w:hAnsi="Times New Roman" w:cs="Times New Roman"/>
          <w:lang w:val="de-DE"/>
        </w:rPr>
        <w:t xml:space="preserve"> </w:t>
      </w:r>
      <w:proofErr w:type="spellStart"/>
      <w:r w:rsidRPr="00CD4311">
        <w:rPr>
          <w:rFonts w:ascii="Times New Roman" w:hAnsi="Times New Roman" w:cs="Times New Roman"/>
          <w:lang w:val="de-DE"/>
        </w:rPr>
        <w:t>to</w:t>
      </w:r>
      <w:proofErr w:type="spellEnd"/>
      <w:r w:rsidRPr="00CD4311">
        <w:rPr>
          <w:rFonts w:ascii="Times New Roman" w:hAnsi="Times New Roman" w:cs="Times New Roman"/>
          <w:lang w:val="de-DE"/>
        </w:rPr>
        <w:t xml:space="preserve"> </w:t>
      </w:r>
      <w:proofErr w:type="spellStart"/>
      <w:r w:rsidRPr="00CD4311">
        <w:rPr>
          <w:rFonts w:ascii="Times New Roman" w:hAnsi="Times New Roman" w:cs="Times New Roman"/>
          <w:lang w:val="de-DE"/>
        </w:rPr>
        <w:t>ārvalstu</w:t>
      </w:r>
      <w:proofErr w:type="spellEnd"/>
      <w:r w:rsidRPr="00CD4311">
        <w:rPr>
          <w:rFonts w:ascii="Times New Roman" w:hAnsi="Times New Roman" w:cs="Times New Roman"/>
          <w:lang w:val="de-DE"/>
        </w:rPr>
        <w:t xml:space="preserve"> </w:t>
      </w:r>
      <w:proofErr w:type="spellStart"/>
      <w:r w:rsidRPr="00CD4311">
        <w:rPr>
          <w:rFonts w:ascii="Times New Roman" w:hAnsi="Times New Roman" w:cs="Times New Roman"/>
          <w:lang w:val="de-DE"/>
        </w:rPr>
        <w:t>oficiālo</w:t>
      </w:r>
      <w:proofErr w:type="spellEnd"/>
      <w:r w:rsidRPr="00CD4311">
        <w:rPr>
          <w:rFonts w:ascii="Times New Roman" w:hAnsi="Times New Roman" w:cs="Times New Roman"/>
          <w:lang w:val="de-DE"/>
        </w:rPr>
        <w:t xml:space="preserve"> </w:t>
      </w:r>
      <w:proofErr w:type="spellStart"/>
      <w:r w:rsidRPr="00CD4311">
        <w:rPr>
          <w:rFonts w:ascii="Times New Roman" w:hAnsi="Times New Roman" w:cs="Times New Roman"/>
          <w:lang w:val="de-DE"/>
        </w:rPr>
        <w:t>personu</w:t>
      </w:r>
      <w:proofErr w:type="spellEnd"/>
      <w:r w:rsidRPr="00CD4311">
        <w:rPr>
          <w:rFonts w:ascii="Times New Roman" w:hAnsi="Times New Roman" w:cs="Times New Roman"/>
          <w:lang w:val="de-DE"/>
        </w:rPr>
        <w:t xml:space="preserve"> </w:t>
      </w:r>
      <w:proofErr w:type="spellStart"/>
      <w:r w:rsidRPr="00CD4311">
        <w:rPr>
          <w:rFonts w:ascii="Times New Roman" w:hAnsi="Times New Roman" w:cs="Times New Roman"/>
          <w:lang w:val="de-DE"/>
        </w:rPr>
        <w:t>sarakstu</w:t>
      </w:r>
      <w:proofErr w:type="spellEnd"/>
      <w:r w:rsidRPr="00CD4311">
        <w:rPr>
          <w:rFonts w:ascii="Times New Roman" w:hAnsi="Times New Roman" w:cs="Times New Roman"/>
          <w:lang w:val="de-DE"/>
        </w:rPr>
        <w:t xml:space="preserve">, </w:t>
      </w:r>
      <w:proofErr w:type="spellStart"/>
      <w:r w:rsidRPr="00CD4311">
        <w:rPr>
          <w:rFonts w:ascii="Times New Roman" w:hAnsi="Times New Roman" w:cs="Times New Roman"/>
          <w:lang w:val="de-DE"/>
        </w:rPr>
        <w:t>kuru</w:t>
      </w:r>
      <w:proofErr w:type="spellEnd"/>
      <w:r w:rsidRPr="00CD4311">
        <w:rPr>
          <w:rFonts w:ascii="Times New Roman" w:hAnsi="Times New Roman" w:cs="Times New Roman"/>
          <w:lang w:val="de-DE"/>
        </w:rPr>
        <w:t xml:space="preserve"> </w:t>
      </w:r>
      <w:proofErr w:type="spellStart"/>
      <w:r w:rsidRPr="00CD4311">
        <w:rPr>
          <w:rFonts w:ascii="Times New Roman" w:hAnsi="Times New Roman" w:cs="Times New Roman"/>
          <w:lang w:val="de-DE"/>
        </w:rPr>
        <w:t>darbībā</w:t>
      </w:r>
      <w:proofErr w:type="spellEnd"/>
      <w:r w:rsidRPr="00CD4311">
        <w:rPr>
          <w:rFonts w:ascii="Times New Roman" w:hAnsi="Times New Roman" w:cs="Times New Roman"/>
          <w:lang w:val="de-DE"/>
        </w:rPr>
        <w:t xml:space="preserve"> </w:t>
      </w:r>
      <w:proofErr w:type="spellStart"/>
      <w:r w:rsidRPr="00CD4311">
        <w:rPr>
          <w:rFonts w:ascii="Times New Roman" w:hAnsi="Times New Roman" w:cs="Times New Roman"/>
          <w:lang w:val="de-DE"/>
        </w:rPr>
        <w:t>var</w:t>
      </w:r>
      <w:proofErr w:type="spellEnd"/>
      <w:r w:rsidRPr="00CD4311">
        <w:rPr>
          <w:rFonts w:ascii="Times New Roman" w:hAnsi="Times New Roman" w:cs="Times New Roman"/>
          <w:lang w:val="de-DE"/>
        </w:rPr>
        <w:t xml:space="preserve"> </w:t>
      </w:r>
      <w:proofErr w:type="spellStart"/>
      <w:r w:rsidRPr="00CD4311">
        <w:rPr>
          <w:rFonts w:ascii="Times New Roman" w:hAnsi="Times New Roman" w:cs="Times New Roman"/>
          <w:lang w:val="de-DE"/>
        </w:rPr>
        <w:t>prezumēt</w:t>
      </w:r>
      <w:proofErr w:type="spellEnd"/>
      <w:r w:rsidRPr="00CD4311">
        <w:rPr>
          <w:rFonts w:ascii="Times New Roman" w:hAnsi="Times New Roman" w:cs="Times New Roman"/>
          <w:lang w:val="de-DE"/>
        </w:rPr>
        <w:t xml:space="preserve">, </w:t>
      </w:r>
      <w:proofErr w:type="spellStart"/>
      <w:r w:rsidRPr="00CD4311">
        <w:rPr>
          <w:rFonts w:ascii="Times New Roman" w:hAnsi="Times New Roman" w:cs="Times New Roman"/>
          <w:lang w:val="de-DE"/>
        </w:rPr>
        <w:t>ka</w:t>
      </w:r>
      <w:proofErr w:type="spellEnd"/>
      <w:r w:rsidRPr="00CD4311">
        <w:rPr>
          <w:rFonts w:ascii="Times New Roman" w:hAnsi="Times New Roman" w:cs="Times New Roman"/>
          <w:lang w:val="de-DE"/>
        </w:rPr>
        <w:t xml:space="preserve"> </w:t>
      </w:r>
      <w:proofErr w:type="spellStart"/>
      <w:r w:rsidRPr="00CD4311">
        <w:rPr>
          <w:rFonts w:ascii="Times New Roman" w:hAnsi="Times New Roman" w:cs="Times New Roman"/>
          <w:lang w:val="de-DE"/>
        </w:rPr>
        <w:t>viņi</w:t>
      </w:r>
      <w:proofErr w:type="spellEnd"/>
      <w:r w:rsidRPr="00CD4311">
        <w:rPr>
          <w:rFonts w:ascii="Times New Roman" w:hAnsi="Times New Roman" w:cs="Times New Roman"/>
          <w:lang w:val="de-DE"/>
        </w:rPr>
        <w:t xml:space="preserve">, </w:t>
      </w:r>
      <w:proofErr w:type="spellStart"/>
      <w:r w:rsidRPr="00CD4311">
        <w:rPr>
          <w:rFonts w:ascii="Times New Roman" w:hAnsi="Times New Roman" w:cs="Times New Roman"/>
          <w:lang w:val="de-DE"/>
        </w:rPr>
        <w:t>sastādot</w:t>
      </w:r>
      <w:proofErr w:type="spellEnd"/>
      <w:r w:rsidRPr="00CD4311">
        <w:rPr>
          <w:rFonts w:ascii="Times New Roman" w:hAnsi="Times New Roman" w:cs="Times New Roman"/>
          <w:lang w:val="de-DE"/>
        </w:rPr>
        <w:t xml:space="preserve"> </w:t>
      </w:r>
      <w:proofErr w:type="spellStart"/>
      <w:r w:rsidRPr="00CD4311">
        <w:rPr>
          <w:rFonts w:ascii="Times New Roman" w:hAnsi="Times New Roman" w:cs="Times New Roman"/>
          <w:lang w:val="de-DE"/>
        </w:rPr>
        <w:t>dokumentu</w:t>
      </w:r>
      <w:proofErr w:type="spellEnd"/>
      <w:r w:rsidRPr="00CD4311">
        <w:rPr>
          <w:rFonts w:ascii="Times New Roman" w:hAnsi="Times New Roman" w:cs="Times New Roman"/>
          <w:lang w:val="de-DE"/>
        </w:rPr>
        <w:t xml:space="preserve">, </w:t>
      </w:r>
      <w:proofErr w:type="spellStart"/>
      <w:r w:rsidRPr="00CD4311">
        <w:rPr>
          <w:rFonts w:ascii="Times New Roman" w:hAnsi="Times New Roman" w:cs="Times New Roman"/>
          <w:lang w:val="de-DE"/>
        </w:rPr>
        <w:t>ir</w:t>
      </w:r>
      <w:proofErr w:type="spellEnd"/>
      <w:r w:rsidRPr="00CD4311">
        <w:rPr>
          <w:rFonts w:ascii="Times New Roman" w:hAnsi="Times New Roman" w:cs="Times New Roman"/>
          <w:lang w:val="de-DE"/>
        </w:rPr>
        <w:t xml:space="preserve"> </w:t>
      </w:r>
      <w:proofErr w:type="spellStart"/>
      <w:r w:rsidRPr="00CD4311">
        <w:rPr>
          <w:rFonts w:ascii="Times New Roman" w:hAnsi="Times New Roman" w:cs="Times New Roman"/>
          <w:lang w:val="de-DE"/>
        </w:rPr>
        <w:t>pārbaudījuši</w:t>
      </w:r>
      <w:proofErr w:type="spellEnd"/>
      <w:r w:rsidRPr="00CD4311">
        <w:rPr>
          <w:rFonts w:ascii="Times New Roman" w:hAnsi="Times New Roman" w:cs="Times New Roman"/>
          <w:lang w:val="de-DE"/>
        </w:rPr>
        <w:t xml:space="preserve"> personas </w:t>
      </w:r>
      <w:proofErr w:type="spellStart"/>
      <w:r w:rsidRPr="00CD4311">
        <w:rPr>
          <w:rFonts w:ascii="Times New Roman" w:hAnsi="Times New Roman" w:cs="Times New Roman"/>
          <w:lang w:val="de-DE"/>
        </w:rPr>
        <w:t>identitāti</w:t>
      </w:r>
      <w:proofErr w:type="spellEnd"/>
      <w:r w:rsidRPr="00CD4311">
        <w:rPr>
          <w:rFonts w:ascii="Times New Roman" w:hAnsi="Times New Roman" w:cs="Times New Roman"/>
          <w:lang w:val="de-DE"/>
        </w:rPr>
        <w:t xml:space="preserve"> </w:t>
      </w:r>
      <w:proofErr w:type="spellStart"/>
      <w:r w:rsidRPr="00CD4311">
        <w:rPr>
          <w:rFonts w:ascii="Times New Roman" w:hAnsi="Times New Roman" w:cs="Times New Roman"/>
          <w:lang w:val="de-DE"/>
        </w:rPr>
        <w:t>un</w:t>
      </w:r>
      <w:proofErr w:type="spellEnd"/>
      <w:r w:rsidRPr="00CD4311">
        <w:rPr>
          <w:rFonts w:ascii="Times New Roman" w:hAnsi="Times New Roman" w:cs="Times New Roman"/>
          <w:lang w:val="de-DE"/>
        </w:rPr>
        <w:t xml:space="preserve"> </w:t>
      </w:r>
      <w:proofErr w:type="spellStart"/>
      <w:r w:rsidRPr="00CD4311">
        <w:rPr>
          <w:rFonts w:ascii="Times New Roman" w:hAnsi="Times New Roman" w:cs="Times New Roman"/>
          <w:lang w:val="de-DE"/>
        </w:rPr>
        <w:t>tiesībspēju</w:t>
      </w:r>
      <w:proofErr w:type="spellEnd"/>
      <w:r w:rsidRPr="00CD4311">
        <w:rPr>
          <w:rFonts w:ascii="Times New Roman" w:hAnsi="Times New Roman" w:cs="Times New Roman"/>
          <w:lang w:val="de-DE"/>
        </w:rPr>
        <w:t xml:space="preserve"> </w:t>
      </w:r>
      <w:proofErr w:type="spellStart"/>
      <w:r w:rsidRPr="00CD4311">
        <w:rPr>
          <w:rFonts w:ascii="Times New Roman" w:hAnsi="Times New Roman" w:cs="Times New Roman"/>
          <w:lang w:val="de-DE"/>
        </w:rPr>
        <w:t>un</w:t>
      </w:r>
      <w:proofErr w:type="spellEnd"/>
      <w:r w:rsidRPr="00CD4311">
        <w:rPr>
          <w:rFonts w:ascii="Times New Roman" w:hAnsi="Times New Roman" w:cs="Times New Roman"/>
          <w:lang w:val="de-DE"/>
        </w:rPr>
        <w:t>/</w:t>
      </w:r>
      <w:proofErr w:type="spellStart"/>
      <w:r w:rsidRPr="00CD4311">
        <w:rPr>
          <w:rFonts w:ascii="Times New Roman" w:hAnsi="Times New Roman" w:cs="Times New Roman"/>
          <w:lang w:val="de-DE"/>
        </w:rPr>
        <w:t>vai</w:t>
      </w:r>
      <w:proofErr w:type="spellEnd"/>
      <w:r w:rsidRPr="00CD4311">
        <w:rPr>
          <w:rFonts w:ascii="Times New Roman" w:hAnsi="Times New Roman" w:cs="Times New Roman"/>
          <w:lang w:val="de-DE"/>
        </w:rPr>
        <w:t xml:space="preserve"> </w:t>
      </w:r>
      <w:proofErr w:type="spellStart"/>
      <w:r w:rsidRPr="00CD4311">
        <w:rPr>
          <w:rFonts w:ascii="Times New Roman" w:hAnsi="Times New Roman" w:cs="Times New Roman"/>
          <w:lang w:val="de-DE"/>
        </w:rPr>
        <w:t>rīcībspēju</w:t>
      </w:r>
      <w:proofErr w:type="spellEnd"/>
      <w:r w:rsidRPr="00CD4311">
        <w:rPr>
          <w:rFonts w:ascii="Times New Roman" w:hAnsi="Times New Roman" w:cs="Times New Roman"/>
          <w:lang w:val="de-DE"/>
        </w:rPr>
        <w:t xml:space="preserve">. </w:t>
      </w:r>
      <w:proofErr w:type="spellStart"/>
      <w:r w:rsidRPr="00CD4311">
        <w:rPr>
          <w:rFonts w:ascii="Times New Roman" w:hAnsi="Times New Roman" w:cs="Times New Roman"/>
          <w:lang w:val="de-DE"/>
        </w:rPr>
        <w:t>Šādu</w:t>
      </w:r>
      <w:proofErr w:type="spellEnd"/>
      <w:r w:rsidRPr="00CD4311">
        <w:rPr>
          <w:rFonts w:ascii="Times New Roman" w:hAnsi="Times New Roman" w:cs="Times New Roman"/>
          <w:lang w:val="de-DE"/>
        </w:rPr>
        <w:t xml:space="preserve"> </w:t>
      </w:r>
      <w:proofErr w:type="spellStart"/>
      <w:r w:rsidRPr="00CD4311">
        <w:rPr>
          <w:rFonts w:ascii="Times New Roman" w:hAnsi="Times New Roman" w:cs="Times New Roman"/>
          <w:lang w:val="de-DE"/>
        </w:rPr>
        <w:t>ārvalsts</w:t>
      </w:r>
      <w:proofErr w:type="spellEnd"/>
      <w:r w:rsidRPr="00CD4311">
        <w:rPr>
          <w:rFonts w:ascii="Times New Roman" w:hAnsi="Times New Roman" w:cs="Times New Roman"/>
          <w:lang w:val="de-DE"/>
        </w:rPr>
        <w:t xml:space="preserve"> </w:t>
      </w:r>
      <w:proofErr w:type="spellStart"/>
      <w:r w:rsidRPr="00CD4311">
        <w:rPr>
          <w:rFonts w:ascii="Times New Roman" w:hAnsi="Times New Roman" w:cs="Times New Roman"/>
          <w:lang w:val="de-DE"/>
        </w:rPr>
        <w:t>oficiālo</w:t>
      </w:r>
      <w:proofErr w:type="spellEnd"/>
      <w:r w:rsidRPr="00CD4311">
        <w:rPr>
          <w:rFonts w:ascii="Times New Roman" w:hAnsi="Times New Roman" w:cs="Times New Roman"/>
          <w:lang w:val="de-DE"/>
        </w:rPr>
        <w:t xml:space="preserve"> </w:t>
      </w:r>
      <w:proofErr w:type="spellStart"/>
      <w:r w:rsidRPr="00CD4311">
        <w:rPr>
          <w:rFonts w:ascii="Times New Roman" w:hAnsi="Times New Roman" w:cs="Times New Roman"/>
          <w:lang w:val="de-DE"/>
        </w:rPr>
        <w:t>personu</w:t>
      </w:r>
      <w:proofErr w:type="spellEnd"/>
      <w:r w:rsidRPr="00CD4311">
        <w:rPr>
          <w:rFonts w:ascii="Times New Roman" w:hAnsi="Times New Roman" w:cs="Times New Roman"/>
          <w:lang w:val="de-DE"/>
        </w:rPr>
        <w:t xml:space="preserve"> </w:t>
      </w:r>
      <w:proofErr w:type="spellStart"/>
      <w:r w:rsidRPr="00CD4311">
        <w:rPr>
          <w:rFonts w:ascii="Times New Roman" w:hAnsi="Times New Roman" w:cs="Times New Roman"/>
          <w:lang w:val="de-DE"/>
        </w:rPr>
        <w:t>apliecinātas</w:t>
      </w:r>
      <w:proofErr w:type="spellEnd"/>
      <w:r w:rsidRPr="00CD4311">
        <w:rPr>
          <w:rFonts w:ascii="Times New Roman" w:hAnsi="Times New Roman" w:cs="Times New Roman"/>
          <w:lang w:val="de-DE"/>
        </w:rPr>
        <w:t xml:space="preserve"> </w:t>
      </w:r>
      <w:proofErr w:type="spellStart"/>
      <w:r w:rsidRPr="00CD4311">
        <w:rPr>
          <w:rFonts w:ascii="Times New Roman" w:hAnsi="Times New Roman" w:cs="Times New Roman"/>
          <w:lang w:val="de-DE"/>
        </w:rPr>
        <w:t>pilnvaras</w:t>
      </w:r>
      <w:proofErr w:type="spellEnd"/>
      <w:r w:rsidRPr="00CD4311">
        <w:rPr>
          <w:rFonts w:ascii="Times New Roman" w:hAnsi="Times New Roman" w:cs="Times New Roman"/>
          <w:lang w:val="de-DE"/>
        </w:rPr>
        <w:t xml:space="preserve"> </w:t>
      </w:r>
      <w:proofErr w:type="spellStart"/>
      <w:r w:rsidRPr="00CD4311">
        <w:rPr>
          <w:rFonts w:ascii="Times New Roman" w:hAnsi="Times New Roman" w:cs="Times New Roman"/>
          <w:lang w:val="de-DE"/>
        </w:rPr>
        <w:t>ir</w:t>
      </w:r>
      <w:proofErr w:type="spellEnd"/>
      <w:r w:rsidRPr="00CD4311">
        <w:rPr>
          <w:rFonts w:ascii="Times New Roman" w:hAnsi="Times New Roman" w:cs="Times New Roman"/>
          <w:lang w:val="de-DE"/>
        </w:rPr>
        <w:t xml:space="preserve"> </w:t>
      </w:r>
      <w:proofErr w:type="spellStart"/>
      <w:r w:rsidRPr="00CD4311">
        <w:rPr>
          <w:rFonts w:ascii="Times New Roman" w:hAnsi="Times New Roman" w:cs="Times New Roman"/>
          <w:lang w:val="de-DE"/>
        </w:rPr>
        <w:t>līdzvērtīgas</w:t>
      </w:r>
      <w:proofErr w:type="spellEnd"/>
      <w:r w:rsidRPr="00CD4311">
        <w:rPr>
          <w:rFonts w:ascii="Times New Roman" w:hAnsi="Times New Roman" w:cs="Times New Roman"/>
          <w:lang w:val="de-DE"/>
        </w:rPr>
        <w:t xml:space="preserve"> </w:t>
      </w:r>
      <w:proofErr w:type="spellStart"/>
      <w:r w:rsidRPr="00CD4311">
        <w:rPr>
          <w:rFonts w:ascii="Times New Roman" w:hAnsi="Times New Roman" w:cs="Times New Roman"/>
          <w:lang w:val="de-DE"/>
        </w:rPr>
        <w:t>Igaunijas</w:t>
      </w:r>
      <w:proofErr w:type="spellEnd"/>
      <w:r w:rsidRPr="00CD4311">
        <w:rPr>
          <w:rFonts w:ascii="Times New Roman" w:hAnsi="Times New Roman" w:cs="Times New Roman"/>
          <w:lang w:val="de-DE"/>
        </w:rPr>
        <w:t xml:space="preserve"> </w:t>
      </w:r>
      <w:proofErr w:type="spellStart"/>
      <w:r w:rsidRPr="00CD4311">
        <w:rPr>
          <w:rFonts w:ascii="Times New Roman" w:hAnsi="Times New Roman" w:cs="Times New Roman"/>
          <w:lang w:val="de-DE"/>
        </w:rPr>
        <w:t>notāru</w:t>
      </w:r>
      <w:proofErr w:type="spellEnd"/>
      <w:r w:rsidRPr="00CD4311">
        <w:rPr>
          <w:rFonts w:ascii="Times New Roman" w:hAnsi="Times New Roman" w:cs="Times New Roman"/>
          <w:lang w:val="de-DE"/>
        </w:rPr>
        <w:t xml:space="preserve"> </w:t>
      </w:r>
      <w:proofErr w:type="spellStart"/>
      <w:r w:rsidRPr="00CD4311">
        <w:rPr>
          <w:rFonts w:ascii="Times New Roman" w:hAnsi="Times New Roman" w:cs="Times New Roman"/>
          <w:lang w:val="de-DE"/>
        </w:rPr>
        <w:t>apliecinātām</w:t>
      </w:r>
      <w:proofErr w:type="spellEnd"/>
      <w:r w:rsidRPr="00CD4311">
        <w:rPr>
          <w:rFonts w:ascii="Times New Roman" w:hAnsi="Times New Roman" w:cs="Times New Roman"/>
          <w:lang w:val="de-DE"/>
        </w:rPr>
        <w:t xml:space="preserve"> </w:t>
      </w:r>
      <w:proofErr w:type="spellStart"/>
      <w:r w:rsidRPr="00CD4311">
        <w:rPr>
          <w:rFonts w:ascii="Times New Roman" w:hAnsi="Times New Roman" w:cs="Times New Roman"/>
          <w:lang w:val="de-DE"/>
        </w:rPr>
        <w:t>pilnvarā</w:t>
      </w:r>
      <w:r w:rsidR="00E20A5E">
        <w:rPr>
          <w:rFonts w:ascii="Times New Roman" w:hAnsi="Times New Roman" w:cs="Times New Roman"/>
          <w:lang w:val="de-DE"/>
        </w:rPr>
        <w:t>m</w:t>
      </w:r>
      <w:proofErr w:type="spellEnd"/>
      <w:r w:rsidRPr="00CD4311">
        <w:rPr>
          <w:rFonts w:ascii="Times New Roman" w:hAnsi="Times New Roman" w:cs="Times New Roman"/>
          <w:lang w:val="de-DE"/>
        </w:rPr>
        <w:t xml:space="preserve">, </w:t>
      </w:r>
      <w:proofErr w:type="spellStart"/>
      <w:r w:rsidRPr="00CD4311">
        <w:rPr>
          <w:rFonts w:ascii="Times New Roman" w:hAnsi="Times New Roman" w:cs="Times New Roman"/>
          <w:lang w:val="de-DE"/>
        </w:rPr>
        <w:t>ar</w:t>
      </w:r>
      <w:proofErr w:type="spellEnd"/>
      <w:r w:rsidRPr="00CD4311">
        <w:rPr>
          <w:rFonts w:ascii="Times New Roman" w:hAnsi="Times New Roman" w:cs="Times New Roman"/>
          <w:lang w:val="de-DE"/>
        </w:rPr>
        <w:t xml:space="preserve"> </w:t>
      </w:r>
      <w:proofErr w:type="spellStart"/>
      <w:r w:rsidRPr="00CD4311">
        <w:rPr>
          <w:rFonts w:ascii="Times New Roman" w:hAnsi="Times New Roman" w:cs="Times New Roman"/>
          <w:lang w:val="de-DE"/>
        </w:rPr>
        <w:t>nosacījumu</w:t>
      </w:r>
      <w:proofErr w:type="spellEnd"/>
      <w:r w:rsidRPr="00CD4311">
        <w:rPr>
          <w:rFonts w:ascii="Times New Roman" w:hAnsi="Times New Roman" w:cs="Times New Roman"/>
          <w:lang w:val="de-DE"/>
        </w:rPr>
        <w:t xml:space="preserve">, </w:t>
      </w:r>
      <w:proofErr w:type="spellStart"/>
      <w:r w:rsidRPr="00CD4311">
        <w:rPr>
          <w:rFonts w:ascii="Times New Roman" w:hAnsi="Times New Roman" w:cs="Times New Roman"/>
          <w:lang w:val="de-DE"/>
        </w:rPr>
        <w:t>ka</w:t>
      </w:r>
      <w:proofErr w:type="spellEnd"/>
      <w:r w:rsidRPr="00CD4311">
        <w:rPr>
          <w:rFonts w:ascii="Times New Roman" w:hAnsi="Times New Roman" w:cs="Times New Roman"/>
          <w:lang w:val="de-DE"/>
        </w:rPr>
        <w:t xml:space="preserve"> </w:t>
      </w:r>
      <w:proofErr w:type="spellStart"/>
      <w:r w:rsidRPr="00CD4311">
        <w:rPr>
          <w:rFonts w:ascii="Times New Roman" w:hAnsi="Times New Roman" w:cs="Times New Roman"/>
          <w:lang w:val="de-DE"/>
        </w:rPr>
        <w:t>ārvalsts</w:t>
      </w:r>
      <w:proofErr w:type="spellEnd"/>
      <w:r w:rsidRPr="00CD4311">
        <w:rPr>
          <w:rFonts w:ascii="Times New Roman" w:hAnsi="Times New Roman" w:cs="Times New Roman"/>
          <w:lang w:val="de-DE"/>
        </w:rPr>
        <w:t xml:space="preserve"> </w:t>
      </w:r>
      <w:proofErr w:type="spellStart"/>
      <w:r w:rsidRPr="00CD4311">
        <w:rPr>
          <w:rFonts w:ascii="Times New Roman" w:hAnsi="Times New Roman" w:cs="Times New Roman"/>
          <w:lang w:val="de-DE"/>
        </w:rPr>
        <w:t>izdotā</w:t>
      </w:r>
      <w:proofErr w:type="spellEnd"/>
      <w:r w:rsidRPr="00CD4311">
        <w:rPr>
          <w:rFonts w:ascii="Times New Roman" w:hAnsi="Times New Roman" w:cs="Times New Roman"/>
          <w:lang w:val="de-DE"/>
        </w:rPr>
        <w:t xml:space="preserve"> </w:t>
      </w:r>
      <w:proofErr w:type="spellStart"/>
      <w:r w:rsidRPr="00CD4311">
        <w:rPr>
          <w:rFonts w:ascii="Times New Roman" w:hAnsi="Times New Roman" w:cs="Times New Roman"/>
          <w:lang w:val="de-DE"/>
        </w:rPr>
        <w:t>pilnvara</w:t>
      </w:r>
      <w:proofErr w:type="spellEnd"/>
      <w:r w:rsidRPr="00CD4311">
        <w:rPr>
          <w:rFonts w:ascii="Times New Roman" w:hAnsi="Times New Roman" w:cs="Times New Roman"/>
          <w:lang w:val="de-DE"/>
        </w:rPr>
        <w:t xml:space="preserve"> </w:t>
      </w:r>
      <w:proofErr w:type="spellStart"/>
      <w:r w:rsidRPr="00CD4311">
        <w:rPr>
          <w:rFonts w:ascii="Times New Roman" w:hAnsi="Times New Roman" w:cs="Times New Roman"/>
          <w:lang w:val="de-DE"/>
        </w:rPr>
        <w:t>ir</w:t>
      </w:r>
      <w:proofErr w:type="spellEnd"/>
      <w:r w:rsidRPr="00CD4311">
        <w:rPr>
          <w:rFonts w:ascii="Times New Roman" w:hAnsi="Times New Roman" w:cs="Times New Roman"/>
          <w:lang w:val="de-DE"/>
        </w:rPr>
        <w:t xml:space="preserve"> </w:t>
      </w:r>
      <w:proofErr w:type="spellStart"/>
      <w:r w:rsidRPr="00CD4311">
        <w:rPr>
          <w:rFonts w:ascii="Times New Roman" w:hAnsi="Times New Roman" w:cs="Times New Roman"/>
          <w:lang w:val="de-DE"/>
        </w:rPr>
        <w:t>legalizēta</w:t>
      </w:r>
      <w:proofErr w:type="spellEnd"/>
      <w:r w:rsidRPr="00CD4311">
        <w:rPr>
          <w:rFonts w:ascii="Times New Roman" w:hAnsi="Times New Roman" w:cs="Times New Roman"/>
          <w:lang w:val="de-DE"/>
        </w:rPr>
        <w:t xml:space="preserve"> </w:t>
      </w:r>
      <w:proofErr w:type="spellStart"/>
      <w:r w:rsidRPr="00CD4311">
        <w:rPr>
          <w:rFonts w:ascii="Times New Roman" w:hAnsi="Times New Roman" w:cs="Times New Roman"/>
          <w:lang w:val="de-DE"/>
        </w:rPr>
        <w:t>vai</w:t>
      </w:r>
      <w:proofErr w:type="spellEnd"/>
      <w:r w:rsidRPr="00CD4311">
        <w:rPr>
          <w:rFonts w:ascii="Times New Roman" w:hAnsi="Times New Roman" w:cs="Times New Roman"/>
          <w:lang w:val="de-DE"/>
        </w:rPr>
        <w:t xml:space="preserve"> </w:t>
      </w:r>
      <w:proofErr w:type="spellStart"/>
      <w:r w:rsidRPr="00CD4311">
        <w:rPr>
          <w:rFonts w:ascii="Times New Roman" w:hAnsi="Times New Roman" w:cs="Times New Roman"/>
          <w:lang w:val="de-DE"/>
        </w:rPr>
        <w:t>apliecināta</w:t>
      </w:r>
      <w:proofErr w:type="spellEnd"/>
      <w:r w:rsidRPr="00CD4311">
        <w:rPr>
          <w:rFonts w:ascii="Times New Roman" w:hAnsi="Times New Roman" w:cs="Times New Roman"/>
          <w:lang w:val="de-DE"/>
        </w:rPr>
        <w:t xml:space="preserve"> </w:t>
      </w:r>
      <w:proofErr w:type="spellStart"/>
      <w:r w:rsidRPr="00CD4311">
        <w:rPr>
          <w:rFonts w:ascii="Times New Roman" w:hAnsi="Times New Roman" w:cs="Times New Roman"/>
          <w:lang w:val="de-DE"/>
        </w:rPr>
        <w:t>ar</w:t>
      </w:r>
      <w:proofErr w:type="spellEnd"/>
      <w:r w:rsidRPr="00CD4311">
        <w:rPr>
          <w:rFonts w:ascii="Times New Roman" w:hAnsi="Times New Roman" w:cs="Times New Roman"/>
          <w:lang w:val="de-DE"/>
        </w:rPr>
        <w:t xml:space="preserve"> </w:t>
      </w:r>
      <w:proofErr w:type="spellStart"/>
      <w:r w:rsidRPr="00CD4311">
        <w:rPr>
          <w:rFonts w:ascii="Times New Roman" w:hAnsi="Times New Roman" w:cs="Times New Roman"/>
          <w:i/>
          <w:lang w:val="de-DE"/>
        </w:rPr>
        <w:t>apostille</w:t>
      </w:r>
      <w:proofErr w:type="spellEnd"/>
      <w:r w:rsidRPr="00CD4311">
        <w:rPr>
          <w:rFonts w:ascii="Times New Roman" w:hAnsi="Times New Roman" w:cs="Times New Roman"/>
          <w:lang w:val="de-DE"/>
        </w:rPr>
        <w:t xml:space="preserve">.“ Latvijas </w:t>
      </w:r>
      <w:proofErr w:type="spellStart"/>
      <w:r w:rsidRPr="00CD4311">
        <w:rPr>
          <w:rFonts w:ascii="Times New Roman" w:hAnsi="Times New Roman" w:cs="Times New Roman"/>
          <w:lang w:val="de-DE"/>
        </w:rPr>
        <w:t>tieslietu</w:t>
      </w:r>
      <w:proofErr w:type="spellEnd"/>
      <w:r w:rsidRPr="00CD4311">
        <w:rPr>
          <w:rFonts w:ascii="Times New Roman" w:hAnsi="Times New Roman" w:cs="Times New Roman"/>
          <w:lang w:val="de-DE"/>
        </w:rPr>
        <w:t xml:space="preserve"> </w:t>
      </w:r>
      <w:proofErr w:type="spellStart"/>
      <w:r w:rsidRPr="00CD4311">
        <w:rPr>
          <w:rFonts w:ascii="Times New Roman" w:hAnsi="Times New Roman" w:cs="Times New Roman"/>
          <w:lang w:val="de-DE"/>
        </w:rPr>
        <w:t>ministram</w:t>
      </w:r>
      <w:proofErr w:type="spellEnd"/>
      <w:r w:rsidRPr="00CD4311">
        <w:rPr>
          <w:rFonts w:ascii="Times New Roman" w:hAnsi="Times New Roman" w:cs="Times New Roman"/>
          <w:lang w:val="de-DE"/>
        </w:rPr>
        <w:t xml:space="preserve"> </w:t>
      </w:r>
      <w:proofErr w:type="spellStart"/>
      <w:r w:rsidRPr="00CD4311">
        <w:rPr>
          <w:rFonts w:ascii="Times New Roman" w:hAnsi="Times New Roman" w:cs="Times New Roman"/>
          <w:lang w:val="de-DE"/>
        </w:rPr>
        <w:t>nav</w:t>
      </w:r>
      <w:proofErr w:type="spellEnd"/>
      <w:r w:rsidRPr="00CD4311">
        <w:rPr>
          <w:rFonts w:ascii="Times New Roman" w:hAnsi="Times New Roman" w:cs="Times New Roman"/>
          <w:lang w:val="de-DE"/>
        </w:rPr>
        <w:t xml:space="preserve"> </w:t>
      </w:r>
      <w:proofErr w:type="spellStart"/>
      <w:r w:rsidRPr="00CD4311">
        <w:rPr>
          <w:rFonts w:ascii="Times New Roman" w:hAnsi="Times New Roman" w:cs="Times New Roman"/>
          <w:lang w:val="de-DE"/>
        </w:rPr>
        <w:t>šāda</w:t>
      </w:r>
      <w:proofErr w:type="spellEnd"/>
      <w:r w:rsidRPr="00CD4311">
        <w:rPr>
          <w:rFonts w:ascii="Times New Roman" w:hAnsi="Times New Roman" w:cs="Times New Roman"/>
          <w:lang w:val="de-DE"/>
        </w:rPr>
        <w:t xml:space="preserve"> </w:t>
      </w:r>
      <w:proofErr w:type="spellStart"/>
      <w:r w:rsidRPr="00CD4311">
        <w:rPr>
          <w:rFonts w:ascii="Times New Roman" w:hAnsi="Times New Roman" w:cs="Times New Roman"/>
          <w:lang w:val="de-DE"/>
        </w:rPr>
        <w:t>deleģējuma</w:t>
      </w:r>
      <w:proofErr w:type="spellEnd"/>
      <w:r w:rsidRPr="00CD4311">
        <w:rPr>
          <w:rFonts w:ascii="Times New Roman" w:hAnsi="Times New Roman" w:cs="Times New Roman"/>
          <w:lang w:val="de-DE"/>
        </w:rPr>
        <w:t xml:space="preserve"> </w:t>
      </w:r>
      <w:proofErr w:type="spellStart"/>
      <w:r w:rsidRPr="00CD4311">
        <w:rPr>
          <w:rFonts w:ascii="Times New Roman" w:hAnsi="Times New Roman" w:cs="Times New Roman"/>
          <w:lang w:val="de-DE"/>
        </w:rPr>
        <w:t>nevienā</w:t>
      </w:r>
      <w:proofErr w:type="spellEnd"/>
      <w:r w:rsidRPr="00CD4311">
        <w:rPr>
          <w:rFonts w:ascii="Times New Roman" w:hAnsi="Times New Roman" w:cs="Times New Roman"/>
          <w:lang w:val="de-DE"/>
        </w:rPr>
        <w:t xml:space="preserve"> </w:t>
      </w:r>
      <w:proofErr w:type="spellStart"/>
      <w:r w:rsidRPr="00CD4311">
        <w:rPr>
          <w:rFonts w:ascii="Times New Roman" w:hAnsi="Times New Roman" w:cs="Times New Roman"/>
          <w:lang w:val="de-DE"/>
        </w:rPr>
        <w:t>no</w:t>
      </w:r>
      <w:proofErr w:type="spellEnd"/>
      <w:r w:rsidRPr="00CD4311">
        <w:rPr>
          <w:rFonts w:ascii="Times New Roman" w:hAnsi="Times New Roman" w:cs="Times New Roman"/>
          <w:lang w:val="de-DE"/>
        </w:rPr>
        <w:t xml:space="preserve"> Latvijas </w:t>
      </w:r>
      <w:proofErr w:type="spellStart"/>
      <w:r w:rsidRPr="00CD4311">
        <w:rPr>
          <w:rFonts w:ascii="Times New Roman" w:hAnsi="Times New Roman" w:cs="Times New Roman"/>
          <w:lang w:val="de-DE"/>
        </w:rPr>
        <w:t>normatīvajiem</w:t>
      </w:r>
      <w:proofErr w:type="spellEnd"/>
      <w:r w:rsidRPr="00CD4311">
        <w:rPr>
          <w:rFonts w:ascii="Times New Roman" w:hAnsi="Times New Roman" w:cs="Times New Roman"/>
          <w:lang w:val="de-DE"/>
        </w:rPr>
        <w:t xml:space="preserve"> </w:t>
      </w:r>
      <w:proofErr w:type="spellStart"/>
      <w:r w:rsidRPr="00CD4311">
        <w:rPr>
          <w:rFonts w:ascii="Times New Roman" w:hAnsi="Times New Roman" w:cs="Times New Roman"/>
          <w:lang w:val="de-DE"/>
        </w:rPr>
        <w:t>tiesību</w:t>
      </w:r>
      <w:proofErr w:type="spellEnd"/>
      <w:r w:rsidRPr="00CD4311">
        <w:rPr>
          <w:rFonts w:ascii="Times New Roman" w:hAnsi="Times New Roman" w:cs="Times New Roman"/>
          <w:lang w:val="de-DE"/>
        </w:rPr>
        <w:t xml:space="preserve"> </w:t>
      </w:r>
      <w:proofErr w:type="spellStart"/>
      <w:r w:rsidRPr="00CD4311">
        <w:rPr>
          <w:rFonts w:ascii="Times New Roman" w:hAnsi="Times New Roman" w:cs="Times New Roman"/>
          <w:lang w:val="de-DE"/>
        </w:rPr>
        <w:t>aktiem</w:t>
      </w:r>
      <w:proofErr w:type="spellEnd"/>
      <w:r w:rsidRPr="00CD4311">
        <w:rPr>
          <w:rFonts w:ascii="Times New Roman" w:hAnsi="Times New Roman" w:cs="Times New Roman"/>
          <w:lang w:val="de-DE"/>
        </w:rPr>
        <w:t xml:space="preserve">, </w:t>
      </w:r>
      <w:proofErr w:type="spellStart"/>
      <w:r w:rsidRPr="00CD4311">
        <w:rPr>
          <w:rFonts w:ascii="Times New Roman" w:hAnsi="Times New Roman" w:cs="Times New Roman"/>
          <w:lang w:val="de-DE"/>
        </w:rPr>
        <w:t>tādēļ</w:t>
      </w:r>
      <w:proofErr w:type="spellEnd"/>
      <w:r w:rsidRPr="00CD4311">
        <w:rPr>
          <w:rFonts w:ascii="Times New Roman" w:hAnsi="Times New Roman" w:cs="Times New Roman"/>
          <w:lang w:val="de-DE"/>
        </w:rPr>
        <w:t xml:space="preserve"> </w:t>
      </w:r>
      <w:proofErr w:type="spellStart"/>
      <w:r w:rsidRPr="00CD4311">
        <w:rPr>
          <w:rFonts w:ascii="Times New Roman" w:hAnsi="Times New Roman" w:cs="Times New Roman"/>
          <w:lang w:val="de-DE"/>
        </w:rPr>
        <w:t>Latvijā</w:t>
      </w:r>
      <w:proofErr w:type="spellEnd"/>
      <w:r w:rsidRPr="00CD4311">
        <w:rPr>
          <w:rFonts w:ascii="Times New Roman" w:hAnsi="Times New Roman" w:cs="Times New Roman"/>
          <w:lang w:val="de-DE"/>
        </w:rPr>
        <w:t xml:space="preserve"> </w:t>
      </w:r>
      <w:proofErr w:type="spellStart"/>
      <w:r w:rsidRPr="00CD4311">
        <w:rPr>
          <w:rFonts w:ascii="Times New Roman" w:hAnsi="Times New Roman" w:cs="Times New Roman"/>
          <w:lang w:val="de-DE"/>
        </w:rPr>
        <w:t>šāda</w:t>
      </w:r>
      <w:proofErr w:type="spellEnd"/>
      <w:r w:rsidRPr="00CD4311">
        <w:rPr>
          <w:rFonts w:ascii="Times New Roman" w:hAnsi="Times New Roman" w:cs="Times New Roman"/>
          <w:lang w:val="de-DE"/>
        </w:rPr>
        <w:t xml:space="preserve"> </w:t>
      </w:r>
      <w:proofErr w:type="spellStart"/>
      <w:r w:rsidRPr="00CD4311">
        <w:rPr>
          <w:rFonts w:ascii="Times New Roman" w:hAnsi="Times New Roman" w:cs="Times New Roman"/>
          <w:lang w:val="de-DE"/>
        </w:rPr>
        <w:t>ārvalstu</w:t>
      </w:r>
      <w:proofErr w:type="spellEnd"/>
      <w:r w:rsidRPr="00CD4311">
        <w:rPr>
          <w:rFonts w:ascii="Times New Roman" w:hAnsi="Times New Roman" w:cs="Times New Roman"/>
          <w:lang w:val="de-DE"/>
        </w:rPr>
        <w:t xml:space="preserve"> </w:t>
      </w:r>
      <w:proofErr w:type="spellStart"/>
      <w:r w:rsidRPr="00CD4311">
        <w:rPr>
          <w:rFonts w:ascii="Times New Roman" w:hAnsi="Times New Roman" w:cs="Times New Roman"/>
          <w:lang w:val="de-DE"/>
        </w:rPr>
        <w:t>oficiālo</w:t>
      </w:r>
      <w:proofErr w:type="spellEnd"/>
      <w:r w:rsidRPr="00CD4311">
        <w:rPr>
          <w:rFonts w:ascii="Times New Roman" w:hAnsi="Times New Roman" w:cs="Times New Roman"/>
          <w:lang w:val="de-DE"/>
        </w:rPr>
        <w:t xml:space="preserve"> </w:t>
      </w:r>
      <w:proofErr w:type="spellStart"/>
      <w:r w:rsidRPr="00CD4311">
        <w:rPr>
          <w:rFonts w:ascii="Times New Roman" w:hAnsi="Times New Roman" w:cs="Times New Roman"/>
          <w:lang w:val="de-DE"/>
        </w:rPr>
        <w:t>amatpersonu</w:t>
      </w:r>
      <w:proofErr w:type="spellEnd"/>
      <w:r w:rsidRPr="00CD4311">
        <w:rPr>
          <w:rFonts w:ascii="Times New Roman" w:hAnsi="Times New Roman" w:cs="Times New Roman"/>
          <w:lang w:val="de-DE"/>
        </w:rPr>
        <w:t xml:space="preserve"> </w:t>
      </w:r>
      <w:proofErr w:type="spellStart"/>
      <w:r w:rsidRPr="00CD4311">
        <w:rPr>
          <w:rFonts w:ascii="Times New Roman" w:hAnsi="Times New Roman" w:cs="Times New Roman"/>
          <w:lang w:val="de-DE"/>
        </w:rPr>
        <w:t>saraksta</w:t>
      </w:r>
      <w:proofErr w:type="spellEnd"/>
      <w:r w:rsidRPr="00CD4311">
        <w:rPr>
          <w:rFonts w:ascii="Times New Roman" w:hAnsi="Times New Roman" w:cs="Times New Roman"/>
          <w:lang w:val="de-DE"/>
        </w:rPr>
        <w:t xml:space="preserve"> </w:t>
      </w:r>
      <w:proofErr w:type="spellStart"/>
      <w:r w:rsidRPr="00CD4311">
        <w:rPr>
          <w:rFonts w:ascii="Times New Roman" w:hAnsi="Times New Roman" w:cs="Times New Roman"/>
          <w:lang w:val="de-DE"/>
        </w:rPr>
        <w:t>izveidošana</w:t>
      </w:r>
      <w:proofErr w:type="spellEnd"/>
      <w:r w:rsidRPr="00CD4311">
        <w:rPr>
          <w:rFonts w:ascii="Times New Roman" w:hAnsi="Times New Roman" w:cs="Times New Roman"/>
          <w:lang w:val="de-DE"/>
        </w:rPr>
        <w:t xml:space="preserve"> </w:t>
      </w:r>
      <w:proofErr w:type="spellStart"/>
      <w:r w:rsidRPr="00CD4311">
        <w:rPr>
          <w:rFonts w:ascii="Times New Roman" w:hAnsi="Times New Roman" w:cs="Times New Roman"/>
          <w:lang w:val="de-DE"/>
        </w:rPr>
        <w:t>un</w:t>
      </w:r>
      <w:proofErr w:type="spellEnd"/>
      <w:r w:rsidRPr="00CD4311">
        <w:rPr>
          <w:rFonts w:ascii="Times New Roman" w:hAnsi="Times New Roman" w:cs="Times New Roman"/>
          <w:lang w:val="de-DE"/>
        </w:rPr>
        <w:t xml:space="preserve"> </w:t>
      </w:r>
      <w:proofErr w:type="spellStart"/>
      <w:r w:rsidRPr="00CD4311">
        <w:rPr>
          <w:rFonts w:ascii="Times New Roman" w:hAnsi="Times New Roman" w:cs="Times New Roman"/>
          <w:lang w:val="de-DE"/>
        </w:rPr>
        <w:t>apstiprināšana</w:t>
      </w:r>
      <w:proofErr w:type="spellEnd"/>
      <w:r w:rsidRPr="00CD4311">
        <w:rPr>
          <w:rFonts w:ascii="Times New Roman" w:hAnsi="Times New Roman" w:cs="Times New Roman"/>
          <w:lang w:val="de-DE"/>
        </w:rPr>
        <w:t xml:space="preserve"> </w:t>
      </w:r>
      <w:proofErr w:type="spellStart"/>
      <w:r w:rsidRPr="00CD4311">
        <w:rPr>
          <w:rFonts w:ascii="Times New Roman" w:hAnsi="Times New Roman" w:cs="Times New Roman"/>
          <w:lang w:val="de-DE"/>
        </w:rPr>
        <w:t>šobrīd</w:t>
      </w:r>
      <w:proofErr w:type="spellEnd"/>
      <w:r w:rsidRPr="00CD4311">
        <w:rPr>
          <w:rFonts w:ascii="Times New Roman" w:hAnsi="Times New Roman" w:cs="Times New Roman"/>
          <w:lang w:val="de-DE"/>
        </w:rPr>
        <w:t xml:space="preserve"> </w:t>
      </w:r>
      <w:proofErr w:type="spellStart"/>
      <w:r w:rsidRPr="00CD4311">
        <w:rPr>
          <w:rFonts w:ascii="Times New Roman" w:hAnsi="Times New Roman" w:cs="Times New Roman"/>
          <w:lang w:val="de-DE"/>
        </w:rPr>
        <w:t>nav</w:t>
      </w:r>
      <w:proofErr w:type="spellEnd"/>
      <w:r w:rsidRPr="00CD4311">
        <w:rPr>
          <w:rFonts w:ascii="Times New Roman" w:hAnsi="Times New Roman" w:cs="Times New Roman"/>
          <w:lang w:val="de-DE"/>
        </w:rPr>
        <w:t xml:space="preserve"> </w:t>
      </w:r>
      <w:proofErr w:type="spellStart"/>
      <w:r w:rsidRPr="00CD4311">
        <w:rPr>
          <w:rFonts w:ascii="Times New Roman" w:hAnsi="Times New Roman" w:cs="Times New Roman"/>
          <w:lang w:val="de-DE"/>
        </w:rPr>
        <w:t>juridiski</w:t>
      </w:r>
      <w:proofErr w:type="spellEnd"/>
      <w:r w:rsidRPr="00CD4311">
        <w:rPr>
          <w:rFonts w:ascii="Times New Roman" w:hAnsi="Times New Roman" w:cs="Times New Roman"/>
          <w:lang w:val="de-DE"/>
        </w:rPr>
        <w:t xml:space="preserve"> </w:t>
      </w:r>
      <w:proofErr w:type="spellStart"/>
      <w:r w:rsidRPr="00CD4311">
        <w:rPr>
          <w:rFonts w:ascii="Times New Roman" w:hAnsi="Times New Roman" w:cs="Times New Roman"/>
          <w:lang w:val="de-DE"/>
        </w:rPr>
        <w:t>iespējama</w:t>
      </w:r>
      <w:proofErr w:type="spellEnd"/>
      <w:r w:rsidRPr="00CD4311">
        <w:rPr>
          <w:rFonts w:ascii="Times New Roman" w:hAnsi="Times New Roman" w:cs="Times New Roman"/>
          <w:lang w:val="de-DE"/>
        </w:rPr>
        <w:t xml:space="preserve">. </w:t>
      </w:r>
      <w:proofErr w:type="spellStart"/>
      <w:r w:rsidRPr="00CD4311">
        <w:rPr>
          <w:rFonts w:ascii="Times New Roman" w:hAnsi="Times New Roman" w:cs="Times New Roman"/>
          <w:lang w:val="de-DE"/>
        </w:rPr>
        <w:t>Interesanti</w:t>
      </w:r>
      <w:proofErr w:type="spellEnd"/>
      <w:r w:rsidRPr="00CD4311">
        <w:rPr>
          <w:rFonts w:ascii="Times New Roman" w:hAnsi="Times New Roman" w:cs="Times New Roman"/>
          <w:lang w:val="de-DE"/>
        </w:rPr>
        <w:t xml:space="preserve"> </w:t>
      </w:r>
      <w:proofErr w:type="spellStart"/>
      <w:r w:rsidRPr="00CD4311">
        <w:rPr>
          <w:rFonts w:ascii="Times New Roman" w:hAnsi="Times New Roman" w:cs="Times New Roman"/>
          <w:lang w:val="de-DE"/>
        </w:rPr>
        <w:t>arī</w:t>
      </w:r>
      <w:proofErr w:type="spellEnd"/>
      <w:r w:rsidRPr="00CD4311">
        <w:rPr>
          <w:rFonts w:ascii="Times New Roman" w:hAnsi="Times New Roman" w:cs="Times New Roman"/>
          <w:lang w:val="de-DE"/>
        </w:rPr>
        <w:t xml:space="preserve"> </w:t>
      </w:r>
      <w:proofErr w:type="spellStart"/>
      <w:r w:rsidRPr="00CD4311">
        <w:rPr>
          <w:rFonts w:ascii="Times New Roman" w:hAnsi="Times New Roman" w:cs="Times New Roman"/>
          <w:lang w:val="de-DE"/>
        </w:rPr>
        <w:t>atzīmēt</w:t>
      </w:r>
      <w:proofErr w:type="spellEnd"/>
      <w:r w:rsidRPr="00CD4311">
        <w:rPr>
          <w:rFonts w:ascii="Times New Roman" w:hAnsi="Times New Roman" w:cs="Times New Roman"/>
          <w:lang w:val="de-DE"/>
        </w:rPr>
        <w:t xml:space="preserve">, </w:t>
      </w:r>
      <w:proofErr w:type="spellStart"/>
      <w:r w:rsidRPr="00CD4311">
        <w:rPr>
          <w:rFonts w:ascii="Times New Roman" w:hAnsi="Times New Roman" w:cs="Times New Roman"/>
          <w:lang w:val="de-DE"/>
        </w:rPr>
        <w:t>ka</w:t>
      </w:r>
      <w:proofErr w:type="spellEnd"/>
      <w:r w:rsidRPr="00CD4311">
        <w:rPr>
          <w:rFonts w:ascii="Times New Roman" w:hAnsi="Times New Roman" w:cs="Times New Roman"/>
          <w:lang w:val="de-DE"/>
        </w:rPr>
        <w:t xml:space="preserve"> </w:t>
      </w:r>
      <w:proofErr w:type="spellStart"/>
      <w:r w:rsidRPr="00CD4311">
        <w:rPr>
          <w:rFonts w:ascii="Times New Roman" w:hAnsi="Times New Roman" w:cs="Times New Roman"/>
          <w:lang w:val="de-DE"/>
        </w:rPr>
        <w:t>Igaunijas</w:t>
      </w:r>
      <w:proofErr w:type="spellEnd"/>
      <w:r w:rsidRPr="00CD4311">
        <w:rPr>
          <w:rFonts w:ascii="Times New Roman" w:hAnsi="Times New Roman" w:cs="Times New Roman"/>
          <w:lang w:val="de-DE"/>
        </w:rPr>
        <w:t xml:space="preserve"> </w:t>
      </w:r>
      <w:proofErr w:type="spellStart"/>
      <w:r w:rsidRPr="00CD4311">
        <w:rPr>
          <w:rFonts w:ascii="Times New Roman" w:hAnsi="Times New Roman" w:cs="Times New Roman"/>
          <w:lang w:val="de-DE"/>
        </w:rPr>
        <w:t>Notariālajā</w:t>
      </w:r>
      <w:proofErr w:type="spellEnd"/>
      <w:r w:rsidRPr="00CD4311">
        <w:rPr>
          <w:rFonts w:ascii="Times New Roman" w:hAnsi="Times New Roman" w:cs="Times New Roman"/>
          <w:lang w:val="de-DE"/>
        </w:rPr>
        <w:t xml:space="preserve"> </w:t>
      </w:r>
      <w:proofErr w:type="spellStart"/>
      <w:r w:rsidRPr="00CD4311">
        <w:rPr>
          <w:rFonts w:ascii="Times New Roman" w:hAnsi="Times New Roman" w:cs="Times New Roman"/>
          <w:lang w:val="de-DE"/>
        </w:rPr>
        <w:t>likumā</w:t>
      </w:r>
      <w:proofErr w:type="spellEnd"/>
      <w:r w:rsidRPr="00CD4311">
        <w:rPr>
          <w:rFonts w:ascii="Times New Roman" w:hAnsi="Times New Roman" w:cs="Times New Roman"/>
          <w:lang w:val="de-DE"/>
        </w:rPr>
        <w:t xml:space="preserve"> </w:t>
      </w:r>
      <w:proofErr w:type="spellStart"/>
      <w:r w:rsidRPr="00CD4311">
        <w:rPr>
          <w:rFonts w:ascii="Times New Roman" w:hAnsi="Times New Roman" w:cs="Times New Roman"/>
          <w:lang w:val="de-DE"/>
        </w:rPr>
        <w:t>cita</w:t>
      </w:r>
      <w:proofErr w:type="spellEnd"/>
      <w:r w:rsidRPr="00CD4311">
        <w:rPr>
          <w:rFonts w:ascii="Times New Roman" w:hAnsi="Times New Roman" w:cs="Times New Roman"/>
          <w:lang w:val="de-DE"/>
        </w:rPr>
        <w:t xml:space="preserve"> </w:t>
      </w:r>
      <w:proofErr w:type="spellStart"/>
      <w:r w:rsidRPr="00CD4311">
        <w:rPr>
          <w:rFonts w:ascii="Times New Roman" w:hAnsi="Times New Roman" w:cs="Times New Roman"/>
          <w:lang w:val="de-DE"/>
        </w:rPr>
        <w:t>starpā</w:t>
      </w:r>
      <w:proofErr w:type="spellEnd"/>
      <w:r w:rsidRPr="00CD4311">
        <w:rPr>
          <w:rFonts w:ascii="Times New Roman" w:hAnsi="Times New Roman" w:cs="Times New Roman"/>
          <w:lang w:val="de-DE"/>
        </w:rPr>
        <w:t xml:space="preserve"> </w:t>
      </w:r>
      <w:proofErr w:type="spellStart"/>
      <w:r w:rsidRPr="00CD4311">
        <w:rPr>
          <w:rFonts w:ascii="Times New Roman" w:hAnsi="Times New Roman" w:cs="Times New Roman"/>
          <w:lang w:val="de-DE"/>
        </w:rPr>
        <w:t>ir</w:t>
      </w:r>
      <w:proofErr w:type="spellEnd"/>
      <w:r w:rsidRPr="00CD4311">
        <w:rPr>
          <w:rFonts w:ascii="Times New Roman" w:hAnsi="Times New Roman" w:cs="Times New Roman"/>
          <w:lang w:val="de-DE"/>
        </w:rPr>
        <w:t xml:space="preserve"> </w:t>
      </w:r>
      <w:proofErr w:type="spellStart"/>
      <w:r w:rsidRPr="00CD4311">
        <w:rPr>
          <w:rFonts w:ascii="Times New Roman" w:hAnsi="Times New Roman" w:cs="Times New Roman"/>
          <w:lang w:val="de-DE"/>
        </w:rPr>
        <w:t>noteikts</w:t>
      </w:r>
      <w:proofErr w:type="spellEnd"/>
      <w:r w:rsidRPr="00CD4311">
        <w:rPr>
          <w:rFonts w:ascii="Times New Roman" w:hAnsi="Times New Roman" w:cs="Times New Roman"/>
          <w:lang w:val="de-DE"/>
        </w:rPr>
        <w:t xml:space="preserve">, </w:t>
      </w:r>
      <w:proofErr w:type="spellStart"/>
      <w:r w:rsidRPr="00CD4311">
        <w:rPr>
          <w:rFonts w:ascii="Times New Roman" w:hAnsi="Times New Roman" w:cs="Times New Roman"/>
          <w:lang w:val="de-DE"/>
        </w:rPr>
        <w:t>ka</w:t>
      </w:r>
      <w:proofErr w:type="spellEnd"/>
      <w:r w:rsidRPr="00CD4311">
        <w:rPr>
          <w:rFonts w:ascii="Times New Roman" w:hAnsi="Times New Roman" w:cs="Times New Roman"/>
          <w:lang w:val="de-DE"/>
        </w:rPr>
        <w:t xml:space="preserve">, ja </w:t>
      </w:r>
      <w:proofErr w:type="spellStart"/>
      <w:r w:rsidRPr="00CD4311">
        <w:rPr>
          <w:rFonts w:ascii="Times New Roman" w:hAnsi="Times New Roman" w:cs="Times New Roman"/>
          <w:lang w:val="de-DE"/>
        </w:rPr>
        <w:t>attiecīgās</w:t>
      </w:r>
      <w:proofErr w:type="spellEnd"/>
      <w:r w:rsidRPr="00CD4311">
        <w:rPr>
          <w:rFonts w:ascii="Times New Roman" w:hAnsi="Times New Roman" w:cs="Times New Roman"/>
          <w:lang w:val="de-DE"/>
        </w:rPr>
        <w:t xml:space="preserve"> </w:t>
      </w:r>
      <w:proofErr w:type="spellStart"/>
      <w:r w:rsidRPr="00CD4311">
        <w:rPr>
          <w:rFonts w:ascii="Times New Roman" w:hAnsi="Times New Roman" w:cs="Times New Roman"/>
          <w:lang w:val="de-DE"/>
        </w:rPr>
        <w:t>ārvalsts</w:t>
      </w:r>
      <w:proofErr w:type="spellEnd"/>
      <w:r w:rsidRPr="00CD4311">
        <w:rPr>
          <w:rFonts w:ascii="Times New Roman" w:hAnsi="Times New Roman" w:cs="Times New Roman"/>
          <w:lang w:val="de-DE"/>
        </w:rPr>
        <w:t xml:space="preserve"> </w:t>
      </w:r>
      <w:proofErr w:type="spellStart"/>
      <w:r w:rsidRPr="00CD4311">
        <w:rPr>
          <w:rFonts w:ascii="Times New Roman" w:hAnsi="Times New Roman" w:cs="Times New Roman"/>
          <w:lang w:val="de-DE"/>
        </w:rPr>
        <w:t>amatpersona</w:t>
      </w:r>
      <w:proofErr w:type="spellEnd"/>
      <w:r w:rsidRPr="00CD4311">
        <w:rPr>
          <w:rFonts w:ascii="Times New Roman" w:hAnsi="Times New Roman" w:cs="Times New Roman"/>
          <w:lang w:val="de-DE"/>
        </w:rPr>
        <w:t xml:space="preserve"> </w:t>
      </w:r>
      <w:proofErr w:type="spellStart"/>
      <w:r w:rsidRPr="00CD4311">
        <w:rPr>
          <w:rFonts w:ascii="Times New Roman" w:hAnsi="Times New Roman" w:cs="Times New Roman"/>
          <w:lang w:val="de-DE"/>
        </w:rPr>
        <w:t>nav</w:t>
      </w:r>
      <w:proofErr w:type="spellEnd"/>
      <w:r w:rsidRPr="00CD4311">
        <w:rPr>
          <w:rFonts w:ascii="Times New Roman" w:hAnsi="Times New Roman" w:cs="Times New Roman"/>
          <w:lang w:val="de-DE"/>
        </w:rPr>
        <w:t xml:space="preserve"> </w:t>
      </w:r>
      <w:proofErr w:type="spellStart"/>
      <w:r w:rsidRPr="00CD4311">
        <w:rPr>
          <w:rFonts w:ascii="Times New Roman" w:hAnsi="Times New Roman" w:cs="Times New Roman"/>
          <w:lang w:val="de-DE"/>
        </w:rPr>
        <w:t>minēta</w:t>
      </w:r>
      <w:proofErr w:type="spellEnd"/>
      <w:r w:rsidRPr="00CD4311">
        <w:rPr>
          <w:rFonts w:ascii="Times New Roman" w:hAnsi="Times New Roman" w:cs="Times New Roman"/>
          <w:lang w:val="de-DE"/>
        </w:rPr>
        <w:t xml:space="preserve"> </w:t>
      </w:r>
      <w:proofErr w:type="spellStart"/>
      <w:r w:rsidRPr="00CD4311">
        <w:rPr>
          <w:rFonts w:ascii="Times New Roman" w:hAnsi="Times New Roman" w:cs="Times New Roman"/>
          <w:lang w:val="de-DE"/>
        </w:rPr>
        <w:t>tieslietu</w:t>
      </w:r>
      <w:proofErr w:type="spellEnd"/>
      <w:r w:rsidRPr="00CD4311">
        <w:rPr>
          <w:rFonts w:ascii="Times New Roman" w:hAnsi="Times New Roman" w:cs="Times New Roman"/>
          <w:lang w:val="de-DE"/>
        </w:rPr>
        <w:t xml:space="preserve"> </w:t>
      </w:r>
      <w:proofErr w:type="spellStart"/>
      <w:r w:rsidRPr="00CD4311">
        <w:rPr>
          <w:rFonts w:ascii="Times New Roman" w:hAnsi="Times New Roman" w:cs="Times New Roman"/>
          <w:lang w:val="de-DE"/>
        </w:rPr>
        <w:t>ministra</w:t>
      </w:r>
      <w:proofErr w:type="spellEnd"/>
      <w:r w:rsidRPr="00CD4311">
        <w:rPr>
          <w:rFonts w:ascii="Times New Roman" w:hAnsi="Times New Roman" w:cs="Times New Roman"/>
          <w:lang w:val="de-DE"/>
        </w:rPr>
        <w:t xml:space="preserve"> </w:t>
      </w:r>
      <w:proofErr w:type="spellStart"/>
      <w:r w:rsidRPr="00CD4311">
        <w:rPr>
          <w:rFonts w:ascii="Times New Roman" w:hAnsi="Times New Roman" w:cs="Times New Roman"/>
          <w:lang w:val="de-DE"/>
        </w:rPr>
        <w:t>apstiprinātajā</w:t>
      </w:r>
      <w:proofErr w:type="spellEnd"/>
      <w:r w:rsidRPr="00CD4311">
        <w:rPr>
          <w:rFonts w:ascii="Times New Roman" w:hAnsi="Times New Roman" w:cs="Times New Roman"/>
          <w:lang w:val="de-DE"/>
        </w:rPr>
        <w:t xml:space="preserve"> </w:t>
      </w:r>
      <w:proofErr w:type="spellStart"/>
      <w:r w:rsidRPr="00CD4311">
        <w:rPr>
          <w:rFonts w:ascii="Times New Roman" w:hAnsi="Times New Roman" w:cs="Times New Roman"/>
          <w:lang w:val="de-DE"/>
        </w:rPr>
        <w:t>sarakstā</w:t>
      </w:r>
      <w:proofErr w:type="spellEnd"/>
      <w:r w:rsidRPr="00CD4311">
        <w:rPr>
          <w:rFonts w:ascii="Times New Roman" w:hAnsi="Times New Roman" w:cs="Times New Roman"/>
          <w:lang w:val="de-DE"/>
        </w:rPr>
        <w:t xml:space="preserve">, </w:t>
      </w:r>
      <w:proofErr w:type="spellStart"/>
      <w:r w:rsidRPr="00CD4311">
        <w:rPr>
          <w:rFonts w:ascii="Times New Roman" w:hAnsi="Times New Roman" w:cs="Times New Roman"/>
          <w:lang w:val="de-DE"/>
        </w:rPr>
        <w:t>tad</w:t>
      </w:r>
      <w:proofErr w:type="spellEnd"/>
      <w:r w:rsidRPr="00CD4311">
        <w:rPr>
          <w:rFonts w:ascii="Times New Roman" w:hAnsi="Times New Roman" w:cs="Times New Roman"/>
          <w:lang w:val="de-DE"/>
        </w:rPr>
        <w:t xml:space="preserve"> </w:t>
      </w:r>
      <w:proofErr w:type="spellStart"/>
      <w:r w:rsidRPr="00CD4311">
        <w:rPr>
          <w:rFonts w:ascii="Times New Roman" w:hAnsi="Times New Roman" w:cs="Times New Roman"/>
          <w:lang w:val="de-DE"/>
        </w:rPr>
        <w:t>ieinteresētajai</w:t>
      </w:r>
      <w:proofErr w:type="spellEnd"/>
      <w:r w:rsidRPr="00CD4311">
        <w:rPr>
          <w:rFonts w:ascii="Times New Roman" w:hAnsi="Times New Roman" w:cs="Times New Roman"/>
          <w:lang w:val="de-DE"/>
        </w:rPr>
        <w:t xml:space="preserve"> </w:t>
      </w:r>
      <w:proofErr w:type="spellStart"/>
      <w:r w:rsidRPr="00CD4311">
        <w:rPr>
          <w:rFonts w:ascii="Times New Roman" w:hAnsi="Times New Roman" w:cs="Times New Roman"/>
          <w:lang w:val="de-DE"/>
        </w:rPr>
        <w:t>personai</w:t>
      </w:r>
      <w:proofErr w:type="spellEnd"/>
      <w:r w:rsidRPr="00CD4311">
        <w:rPr>
          <w:rFonts w:ascii="Times New Roman" w:hAnsi="Times New Roman" w:cs="Times New Roman"/>
          <w:lang w:val="de-DE"/>
        </w:rPr>
        <w:t xml:space="preserve"> </w:t>
      </w:r>
      <w:proofErr w:type="spellStart"/>
      <w:r w:rsidRPr="00CD4311">
        <w:rPr>
          <w:rFonts w:ascii="Times New Roman" w:hAnsi="Times New Roman" w:cs="Times New Roman"/>
          <w:lang w:val="de-DE"/>
        </w:rPr>
        <w:t>ir</w:t>
      </w:r>
      <w:proofErr w:type="spellEnd"/>
      <w:r w:rsidRPr="00CD4311">
        <w:rPr>
          <w:rFonts w:ascii="Times New Roman" w:hAnsi="Times New Roman" w:cs="Times New Roman"/>
          <w:lang w:val="de-DE"/>
        </w:rPr>
        <w:t xml:space="preserve"> </w:t>
      </w:r>
      <w:proofErr w:type="spellStart"/>
      <w:r w:rsidRPr="00CD4311">
        <w:rPr>
          <w:rFonts w:ascii="Times New Roman" w:hAnsi="Times New Roman" w:cs="Times New Roman"/>
          <w:lang w:val="de-DE"/>
        </w:rPr>
        <w:t>tiesības</w:t>
      </w:r>
      <w:proofErr w:type="spellEnd"/>
      <w:r w:rsidRPr="00CD4311">
        <w:rPr>
          <w:rFonts w:ascii="Times New Roman" w:hAnsi="Times New Roman" w:cs="Times New Roman"/>
          <w:lang w:val="de-DE"/>
        </w:rPr>
        <w:t xml:space="preserve"> </w:t>
      </w:r>
      <w:proofErr w:type="spellStart"/>
      <w:r w:rsidRPr="00CD4311">
        <w:rPr>
          <w:rFonts w:ascii="Times New Roman" w:hAnsi="Times New Roman" w:cs="Times New Roman"/>
          <w:lang w:val="de-DE"/>
        </w:rPr>
        <w:t>vērsties</w:t>
      </w:r>
      <w:proofErr w:type="spellEnd"/>
      <w:r w:rsidRPr="00CD4311">
        <w:rPr>
          <w:rFonts w:ascii="Times New Roman" w:hAnsi="Times New Roman" w:cs="Times New Roman"/>
          <w:lang w:val="de-DE"/>
        </w:rPr>
        <w:t xml:space="preserve"> </w:t>
      </w:r>
      <w:proofErr w:type="spellStart"/>
      <w:r w:rsidRPr="00CD4311">
        <w:rPr>
          <w:rFonts w:ascii="Times New Roman" w:hAnsi="Times New Roman" w:cs="Times New Roman"/>
          <w:lang w:val="de-DE"/>
        </w:rPr>
        <w:t>Igaunijas</w:t>
      </w:r>
      <w:proofErr w:type="spellEnd"/>
      <w:r w:rsidRPr="00CD4311">
        <w:rPr>
          <w:rFonts w:ascii="Times New Roman" w:hAnsi="Times New Roman" w:cs="Times New Roman"/>
          <w:lang w:val="de-DE"/>
        </w:rPr>
        <w:t xml:space="preserve"> </w:t>
      </w:r>
      <w:proofErr w:type="spellStart"/>
      <w:r w:rsidRPr="00CD4311">
        <w:rPr>
          <w:rFonts w:ascii="Times New Roman" w:hAnsi="Times New Roman" w:cs="Times New Roman"/>
          <w:lang w:val="de-DE"/>
        </w:rPr>
        <w:t>tiesā</w:t>
      </w:r>
      <w:proofErr w:type="spellEnd"/>
      <w:r w:rsidRPr="00CD4311">
        <w:rPr>
          <w:rFonts w:ascii="Times New Roman" w:hAnsi="Times New Roman" w:cs="Times New Roman"/>
          <w:lang w:val="de-DE"/>
        </w:rPr>
        <w:t xml:space="preserve"> </w:t>
      </w:r>
      <w:proofErr w:type="spellStart"/>
      <w:r w:rsidRPr="00CD4311">
        <w:rPr>
          <w:rFonts w:ascii="Times New Roman" w:hAnsi="Times New Roman" w:cs="Times New Roman"/>
          <w:lang w:val="de-DE"/>
        </w:rPr>
        <w:t>ar</w:t>
      </w:r>
      <w:proofErr w:type="spellEnd"/>
      <w:r w:rsidRPr="00CD4311">
        <w:rPr>
          <w:rFonts w:ascii="Times New Roman" w:hAnsi="Times New Roman" w:cs="Times New Roman"/>
          <w:lang w:val="de-DE"/>
        </w:rPr>
        <w:t xml:space="preserve"> </w:t>
      </w:r>
      <w:proofErr w:type="spellStart"/>
      <w:r w:rsidRPr="00CD4311">
        <w:rPr>
          <w:rFonts w:ascii="Times New Roman" w:hAnsi="Times New Roman" w:cs="Times New Roman"/>
          <w:lang w:val="de-DE"/>
        </w:rPr>
        <w:t>lūgumu</w:t>
      </w:r>
      <w:proofErr w:type="spellEnd"/>
      <w:r w:rsidRPr="00CD4311">
        <w:rPr>
          <w:rFonts w:ascii="Times New Roman" w:hAnsi="Times New Roman" w:cs="Times New Roman"/>
          <w:lang w:val="de-DE"/>
        </w:rPr>
        <w:t xml:space="preserve"> </w:t>
      </w:r>
      <w:proofErr w:type="spellStart"/>
      <w:r w:rsidRPr="00CD4311">
        <w:rPr>
          <w:rFonts w:ascii="Times New Roman" w:hAnsi="Times New Roman" w:cs="Times New Roman"/>
          <w:lang w:val="de-DE"/>
        </w:rPr>
        <w:t>atzīt</w:t>
      </w:r>
      <w:proofErr w:type="spellEnd"/>
      <w:r w:rsidRPr="00CD4311">
        <w:rPr>
          <w:rFonts w:ascii="Times New Roman" w:hAnsi="Times New Roman" w:cs="Times New Roman"/>
          <w:lang w:val="de-DE"/>
        </w:rPr>
        <w:t xml:space="preserve"> </w:t>
      </w:r>
      <w:proofErr w:type="spellStart"/>
      <w:r w:rsidRPr="00CD4311">
        <w:rPr>
          <w:rFonts w:ascii="Times New Roman" w:hAnsi="Times New Roman" w:cs="Times New Roman"/>
          <w:lang w:val="de-DE"/>
        </w:rPr>
        <w:t>Igaunijas</w:t>
      </w:r>
      <w:proofErr w:type="spellEnd"/>
      <w:r w:rsidRPr="00CD4311">
        <w:rPr>
          <w:rFonts w:ascii="Times New Roman" w:hAnsi="Times New Roman" w:cs="Times New Roman"/>
          <w:lang w:val="de-DE"/>
        </w:rPr>
        <w:t xml:space="preserve"> </w:t>
      </w:r>
      <w:proofErr w:type="spellStart"/>
      <w:r w:rsidRPr="00CD4311">
        <w:rPr>
          <w:rFonts w:ascii="Times New Roman" w:hAnsi="Times New Roman" w:cs="Times New Roman"/>
          <w:lang w:val="de-DE"/>
        </w:rPr>
        <w:t>teritorijā</w:t>
      </w:r>
      <w:proofErr w:type="spellEnd"/>
      <w:r w:rsidRPr="00CD4311">
        <w:rPr>
          <w:rFonts w:ascii="Times New Roman" w:hAnsi="Times New Roman" w:cs="Times New Roman"/>
          <w:lang w:val="de-DE"/>
        </w:rPr>
        <w:t xml:space="preserve"> </w:t>
      </w:r>
      <w:proofErr w:type="spellStart"/>
      <w:r w:rsidRPr="00CD4311">
        <w:rPr>
          <w:rFonts w:ascii="Times New Roman" w:hAnsi="Times New Roman" w:cs="Times New Roman"/>
          <w:lang w:val="de-DE"/>
        </w:rPr>
        <w:t>konkrēto</w:t>
      </w:r>
      <w:proofErr w:type="spellEnd"/>
      <w:r w:rsidRPr="00CD4311">
        <w:rPr>
          <w:rFonts w:ascii="Times New Roman" w:hAnsi="Times New Roman" w:cs="Times New Roman"/>
          <w:lang w:val="de-DE"/>
        </w:rPr>
        <w:t xml:space="preserve"> </w:t>
      </w:r>
      <w:proofErr w:type="spellStart"/>
      <w:r w:rsidRPr="00CD4311">
        <w:rPr>
          <w:rFonts w:ascii="Times New Roman" w:hAnsi="Times New Roman" w:cs="Times New Roman"/>
          <w:lang w:val="de-DE"/>
        </w:rPr>
        <w:t>pilnvaru</w:t>
      </w:r>
      <w:proofErr w:type="spellEnd"/>
      <w:r w:rsidRPr="00CD4311">
        <w:rPr>
          <w:rFonts w:ascii="Times New Roman" w:hAnsi="Times New Roman" w:cs="Times New Roman"/>
          <w:lang w:val="de-DE"/>
        </w:rPr>
        <w:t xml:space="preserve"> (</w:t>
      </w:r>
      <w:proofErr w:type="spellStart"/>
      <w:r w:rsidRPr="00CD4311">
        <w:rPr>
          <w:rFonts w:ascii="Times New Roman" w:hAnsi="Times New Roman" w:cs="Times New Roman"/>
          <w:lang w:val="de-DE"/>
        </w:rPr>
        <w:t>Notariālā</w:t>
      </w:r>
      <w:proofErr w:type="spellEnd"/>
      <w:r w:rsidRPr="00CD4311">
        <w:rPr>
          <w:rFonts w:ascii="Times New Roman" w:hAnsi="Times New Roman" w:cs="Times New Roman"/>
          <w:lang w:val="de-DE"/>
        </w:rPr>
        <w:t xml:space="preserve"> </w:t>
      </w:r>
      <w:proofErr w:type="spellStart"/>
      <w:r w:rsidRPr="00CD4311">
        <w:rPr>
          <w:rFonts w:ascii="Times New Roman" w:hAnsi="Times New Roman" w:cs="Times New Roman"/>
          <w:lang w:val="de-DE"/>
        </w:rPr>
        <w:t>likuma</w:t>
      </w:r>
      <w:proofErr w:type="spellEnd"/>
      <w:r w:rsidRPr="00CD4311">
        <w:rPr>
          <w:rFonts w:ascii="Times New Roman" w:hAnsi="Times New Roman" w:cs="Times New Roman"/>
          <w:lang w:val="de-DE"/>
        </w:rPr>
        <w:t xml:space="preserve"> 57.p. 2.d.). </w:t>
      </w:r>
      <w:proofErr w:type="spellStart"/>
      <w:r w:rsidRPr="00CD4311">
        <w:rPr>
          <w:rFonts w:ascii="Times New Roman" w:hAnsi="Times New Roman" w:cs="Times New Roman"/>
          <w:lang w:val="de-DE"/>
        </w:rPr>
        <w:t>Igaunijas</w:t>
      </w:r>
      <w:proofErr w:type="spellEnd"/>
      <w:r w:rsidRPr="00CD4311">
        <w:rPr>
          <w:rFonts w:ascii="Times New Roman" w:hAnsi="Times New Roman" w:cs="Times New Roman"/>
          <w:lang w:val="de-DE"/>
        </w:rPr>
        <w:t xml:space="preserve"> </w:t>
      </w:r>
      <w:proofErr w:type="spellStart"/>
      <w:r w:rsidRPr="00CD4311">
        <w:rPr>
          <w:rFonts w:ascii="Times New Roman" w:hAnsi="Times New Roman" w:cs="Times New Roman"/>
          <w:lang w:val="de-DE"/>
        </w:rPr>
        <w:t>tiesa</w:t>
      </w:r>
      <w:proofErr w:type="spellEnd"/>
      <w:r w:rsidRPr="00CD4311">
        <w:rPr>
          <w:rFonts w:ascii="Times New Roman" w:hAnsi="Times New Roman" w:cs="Times New Roman"/>
          <w:lang w:val="de-DE"/>
        </w:rPr>
        <w:t xml:space="preserve"> </w:t>
      </w:r>
      <w:proofErr w:type="spellStart"/>
      <w:r w:rsidRPr="00CD4311">
        <w:rPr>
          <w:rFonts w:ascii="Times New Roman" w:hAnsi="Times New Roman" w:cs="Times New Roman"/>
          <w:lang w:val="de-DE"/>
        </w:rPr>
        <w:t>šādu</w:t>
      </w:r>
      <w:proofErr w:type="spellEnd"/>
      <w:r w:rsidRPr="00CD4311">
        <w:rPr>
          <w:rFonts w:ascii="Times New Roman" w:hAnsi="Times New Roman" w:cs="Times New Roman"/>
          <w:lang w:val="de-DE"/>
        </w:rPr>
        <w:t xml:space="preserve"> </w:t>
      </w:r>
      <w:proofErr w:type="spellStart"/>
      <w:r w:rsidRPr="00CD4311">
        <w:rPr>
          <w:rFonts w:ascii="Times New Roman" w:hAnsi="Times New Roman" w:cs="Times New Roman"/>
          <w:lang w:val="de-DE"/>
        </w:rPr>
        <w:t>ārvalstī</w:t>
      </w:r>
      <w:proofErr w:type="spellEnd"/>
      <w:r w:rsidRPr="00CD4311">
        <w:rPr>
          <w:rFonts w:ascii="Times New Roman" w:hAnsi="Times New Roman" w:cs="Times New Roman"/>
          <w:lang w:val="de-DE"/>
        </w:rPr>
        <w:t xml:space="preserve"> </w:t>
      </w:r>
      <w:proofErr w:type="spellStart"/>
      <w:r w:rsidRPr="00CD4311">
        <w:rPr>
          <w:rFonts w:ascii="Times New Roman" w:hAnsi="Times New Roman" w:cs="Times New Roman"/>
          <w:lang w:val="de-DE"/>
        </w:rPr>
        <w:t>izdotu</w:t>
      </w:r>
      <w:proofErr w:type="spellEnd"/>
      <w:r w:rsidRPr="00CD4311">
        <w:rPr>
          <w:rFonts w:ascii="Times New Roman" w:hAnsi="Times New Roman" w:cs="Times New Roman"/>
          <w:lang w:val="de-DE"/>
        </w:rPr>
        <w:t xml:space="preserve"> </w:t>
      </w:r>
      <w:proofErr w:type="spellStart"/>
      <w:r w:rsidRPr="00CD4311">
        <w:rPr>
          <w:rFonts w:ascii="Times New Roman" w:hAnsi="Times New Roman" w:cs="Times New Roman"/>
          <w:lang w:val="de-DE"/>
        </w:rPr>
        <w:t>pilnvaru</w:t>
      </w:r>
      <w:proofErr w:type="spellEnd"/>
      <w:r w:rsidRPr="00CD4311">
        <w:rPr>
          <w:rFonts w:ascii="Times New Roman" w:hAnsi="Times New Roman" w:cs="Times New Roman"/>
          <w:lang w:val="de-DE"/>
        </w:rPr>
        <w:t xml:space="preserve"> </w:t>
      </w:r>
      <w:proofErr w:type="spellStart"/>
      <w:r w:rsidRPr="00CD4311">
        <w:rPr>
          <w:rFonts w:ascii="Times New Roman" w:hAnsi="Times New Roman" w:cs="Times New Roman"/>
          <w:lang w:val="de-DE"/>
        </w:rPr>
        <w:t>var</w:t>
      </w:r>
      <w:proofErr w:type="spellEnd"/>
      <w:r w:rsidRPr="00CD4311">
        <w:rPr>
          <w:rFonts w:ascii="Times New Roman" w:hAnsi="Times New Roman" w:cs="Times New Roman"/>
          <w:lang w:val="de-DE"/>
        </w:rPr>
        <w:t xml:space="preserve"> </w:t>
      </w:r>
      <w:proofErr w:type="spellStart"/>
      <w:r w:rsidRPr="00CD4311">
        <w:rPr>
          <w:rFonts w:ascii="Times New Roman" w:hAnsi="Times New Roman" w:cs="Times New Roman"/>
          <w:lang w:val="de-DE"/>
        </w:rPr>
        <w:t>atzīt</w:t>
      </w:r>
      <w:proofErr w:type="spellEnd"/>
      <w:r w:rsidRPr="00CD4311">
        <w:rPr>
          <w:rFonts w:ascii="Times New Roman" w:hAnsi="Times New Roman" w:cs="Times New Roman"/>
          <w:lang w:val="de-DE"/>
        </w:rPr>
        <w:t xml:space="preserve">, ja </w:t>
      </w:r>
      <w:proofErr w:type="spellStart"/>
      <w:r w:rsidRPr="00CD4311">
        <w:rPr>
          <w:rFonts w:ascii="Times New Roman" w:hAnsi="Times New Roman" w:cs="Times New Roman"/>
          <w:lang w:val="de-DE"/>
        </w:rPr>
        <w:t>ārvalsts</w:t>
      </w:r>
      <w:proofErr w:type="spellEnd"/>
      <w:r w:rsidRPr="00CD4311">
        <w:rPr>
          <w:rFonts w:ascii="Times New Roman" w:hAnsi="Times New Roman" w:cs="Times New Roman"/>
          <w:lang w:val="de-DE"/>
        </w:rPr>
        <w:t xml:space="preserve"> </w:t>
      </w:r>
      <w:proofErr w:type="spellStart"/>
      <w:r w:rsidRPr="00CD4311">
        <w:rPr>
          <w:rFonts w:ascii="Times New Roman" w:hAnsi="Times New Roman" w:cs="Times New Roman"/>
          <w:lang w:val="de-DE"/>
        </w:rPr>
        <w:t>oficiālās</w:t>
      </w:r>
      <w:proofErr w:type="spellEnd"/>
      <w:r w:rsidRPr="00CD4311">
        <w:rPr>
          <w:rFonts w:ascii="Times New Roman" w:hAnsi="Times New Roman" w:cs="Times New Roman"/>
          <w:lang w:val="de-DE"/>
        </w:rPr>
        <w:t xml:space="preserve"> </w:t>
      </w:r>
      <w:proofErr w:type="spellStart"/>
      <w:r w:rsidRPr="00CD4311">
        <w:rPr>
          <w:rFonts w:ascii="Times New Roman" w:hAnsi="Times New Roman" w:cs="Times New Roman"/>
          <w:lang w:val="de-DE"/>
        </w:rPr>
        <w:t>amatpersonas</w:t>
      </w:r>
      <w:proofErr w:type="spellEnd"/>
      <w:r w:rsidRPr="00CD4311">
        <w:rPr>
          <w:rFonts w:ascii="Times New Roman" w:hAnsi="Times New Roman" w:cs="Times New Roman"/>
          <w:lang w:val="de-DE"/>
        </w:rPr>
        <w:t xml:space="preserve"> </w:t>
      </w:r>
      <w:proofErr w:type="spellStart"/>
      <w:r w:rsidRPr="00CD4311">
        <w:rPr>
          <w:rFonts w:ascii="Times New Roman" w:hAnsi="Times New Roman" w:cs="Times New Roman"/>
          <w:lang w:val="de-DE"/>
        </w:rPr>
        <w:t>profesionālā</w:t>
      </w:r>
      <w:proofErr w:type="spellEnd"/>
      <w:r w:rsidRPr="00CD4311">
        <w:rPr>
          <w:rFonts w:ascii="Times New Roman" w:hAnsi="Times New Roman" w:cs="Times New Roman"/>
          <w:lang w:val="de-DE"/>
        </w:rPr>
        <w:t xml:space="preserve"> </w:t>
      </w:r>
      <w:proofErr w:type="spellStart"/>
      <w:r w:rsidRPr="00CD4311">
        <w:rPr>
          <w:rFonts w:ascii="Times New Roman" w:hAnsi="Times New Roman" w:cs="Times New Roman"/>
          <w:lang w:val="de-DE"/>
        </w:rPr>
        <w:t>izglītība</w:t>
      </w:r>
      <w:proofErr w:type="spellEnd"/>
      <w:r w:rsidRPr="00CD4311">
        <w:rPr>
          <w:rFonts w:ascii="Times New Roman" w:hAnsi="Times New Roman" w:cs="Times New Roman"/>
          <w:lang w:val="de-DE"/>
        </w:rPr>
        <w:t xml:space="preserve"> </w:t>
      </w:r>
      <w:proofErr w:type="spellStart"/>
      <w:r w:rsidRPr="00CD4311">
        <w:rPr>
          <w:rFonts w:ascii="Times New Roman" w:hAnsi="Times New Roman" w:cs="Times New Roman"/>
          <w:lang w:val="de-DE"/>
        </w:rPr>
        <w:t>un</w:t>
      </w:r>
      <w:proofErr w:type="spellEnd"/>
      <w:r w:rsidRPr="00CD4311">
        <w:rPr>
          <w:rFonts w:ascii="Times New Roman" w:hAnsi="Times New Roman" w:cs="Times New Roman"/>
          <w:lang w:val="de-DE"/>
        </w:rPr>
        <w:t xml:space="preserve"> </w:t>
      </w:r>
      <w:proofErr w:type="spellStart"/>
      <w:r w:rsidRPr="00CD4311">
        <w:rPr>
          <w:rFonts w:ascii="Times New Roman" w:hAnsi="Times New Roman" w:cs="Times New Roman"/>
          <w:lang w:val="de-DE"/>
        </w:rPr>
        <w:t>statuss</w:t>
      </w:r>
      <w:proofErr w:type="spellEnd"/>
      <w:r w:rsidRPr="00CD4311">
        <w:rPr>
          <w:rFonts w:ascii="Times New Roman" w:hAnsi="Times New Roman" w:cs="Times New Roman"/>
          <w:lang w:val="de-DE"/>
        </w:rPr>
        <w:t xml:space="preserve"> </w:t>
      </w:r>
      <w:proofErr w:type="spellStart"/>
      <w:r w:rsidRPr="00CD4311">
        <w:rPr>
          <w:rFonts w:ascii="Times New Roman" w:hAnsi="Times New Roman" w:cs="Times New Roman"/>
          <w:lang w:val="de-DE"/>
        </w:rPr>
        <w:t>atbilst</w:t>
      </w:r>
      <w:proofErr w:type="spellEnd"/>
      <w:r w:rsidRPr="00CD4311">
        <w:rPr>
          <w:rFonts w:ascii="Times New Roman" w:hAnsi="Times New Roman" w:cs="Times New Roman"/>
          <w:lang w:val="de-DE"/>
        </w:rPr>
        <w:t xml:space="preserve"> </w:t>
      </w:r>
      <w:proofErr w:type="spellStart"/>
      <w:r w:rsidRPr="00CD4311">
        <w:rPr>
          <w:rFonts w:ascii="Times New Roman" w:hAnsi="Times New Roman" w:cs="Times New Roman"/>
          <w:lang w:val="de-DE"/>
        </w:rPr>
        <w:t>Igaunijas</w:t>
      </w:r>
      <w:proofErr w:type="spellEnd"/>
      <w:r w:rsidRPr="00CD4311">
        <w:rPr>
          <w:rFonts w:ascii="Times New Roman" w:hAnsi="Times New Roman" w:cs="Times New Roman"/>
          <w:lang w:val="de-DE"/>
        </w:rPr>
        <w:t xml:space="preserve"> </w:t>
      </w:r>
      <w:proofErr w:type="spellStart"/>
      <w:r w:rsidRPr="00CD4311">
        <w:rPr>
          <w:rFonts w:ascii="Times New Roman" w:hAnsi="Times New Roman" w:cs="Times New Roman"/>
          <w:lang w:val="de-DE"/>
        </w:rPr>
        <w:t>notāru</w:t>
      </w:r>
      <w:proofErr w:type="spellEnd"/>
      <w:r w:rsidRPr="00CD4311">
        <w:rPr>
          <w:rFonts w:ascii="Times New Roman" w:hAnsi="Times New Roman" w:cs="Times New Roman"/>
          <w:lang w:val="de-DE"/>
        </w:rPr>
        <w:t xml:space="preserve"> </w:t>
      </w:r>
      <w:proofErr w:type="spellStart"/>
      <w:r w:rsidRPr="00CD4311">
        <w:rPr>
          <w:rFonts w:ascii="Times New Roman" w:hAnsi="Times New Roman" w:cs="Times New Roman"/>
          <w:lang w:val="de-DE"/>
        </w:rPr>
        <w:t>profesionālajai</w:t>
      </w:r>
      <w:proofErr w:type="spellEnd"/>
      <w:r w:rsidRPr="00CD4311">
        <w:rPr>
          <w:rFonts w:ascii="Times New Roman" w:hAnsi="Times New Roman" w:cs="Times New Roman"/>
          <w:lang w:val="de-DE"/>
        </w:rPr>
        <w:t xml:space="preserve"> </w:t>
      </w:r>
      <w:proofErr w:type="spellStart"/>
      <w:r w:rsidRPr="00CD4311">
        <w:rPr>
          <w:rFonts w:ascii="Times New Roman" w:hAnsi="Times New Roman" w:cs="Times New Roman"/>
          <w:lang w:val="de-DE"/>
        </w:rPr>
        <w:t>izglītībai</w:t>
      </w:r>
      <w:proofErr w:type="spellEnd"/>
      <w:r w:rsidRPr="00CD4311">
        <w:rPr>
          <w:rFonts w:ascii="Times New Roman" w:hAnsi="Times New Roman" w:cs="Times New Roman"/>
          <w:lang w:val="de-DE"/>
        </w:rPr>
        <w:t xml:space="preserve"> </w:t>
      </w:r>
      <w:proofErr w:type="spellStart"/>
      <w:r w:rsidRPr="00CD4311">
        <w:rPr>
          <w:rFonts w:ascii="Times New Roman" w:hAnsi="Times New Roman" w:cs="Times New Roman"/>
          <w:lang w:val="de-DE"/>
        </w:rPr>
        <w:t>un</w:t>
      </w:r>
      <w:proofErr w:type="spellEnd"/>
      <w:r w:rsidRPr="00CD4311">
        <w:rPr>
          <w:rFonts w:ascii="Times New Roman" w:hAnsi="Times New Roman" w:cs="Times New Roman"/>
          <w:lang w:val="de-DE"/>
        </w:rPr>
        <w:t xml:space="preserve"> </w:t>
      </w:r>
      <w:proofErr w:type="spellStart"/>
      <w:r w:rsidRPr="00CD4311">
        <w:rPr>
          <w:rFonts w:ascii="Times New Roman" w:hAnsi="Times New Roman" w:cs="Times New Roman"/>
          <w:lang w:val="de-DE"/>
        </w:rPr>
        <w:t>statusam</w:t>
      </w:r>
      <w:proofErr w:type="spellEnd"/>
      <w:r w:rsidRPr="00CD4311">
        <w:rPr>
          <w:rFonts w:ascii="Times New Roman" w:hAnsi="Times New Roman" w:cs="Times New Roman"/>
          <w:lang w:val="de-DE"/>
        </w:rPr>
        <w:t xml:space="preserve">, </w:t>
      </w:r>
      <w:proofErr w:type="spellStart"/>
      <w:r w:rsidRPr="00CD4311">
        <w:rPr>
          <w:rFonts w:ascii="Times New Roman" w:hAnsi="Times New Roman" w:cs="Times New Roman"/>
          <w:lang w:val="de-DE"/>
        </w:rPr>
        <w:t>kā</w:t>
      </w:r>
      <w:proofErr w:type="spellEnd"/>
      <w:r w:rsidRPr="00CD4311">
        <w:rPr>
          <w:rFonts w:ascii="Times New Roman" w:hAnsi="Times New Roman" w:cs="Times New Roman"/>
          <w:lang w:val="de-DE"/>
        </w:rPr>
        <w:t xml:space="preserve"> </w:t>
      </w:r>
      <w:proofErr w:type="spellStart"/>
      <w:r w:rsidRPr="00CD4311">
        <w:rPr>
          <w:rFonts w:ascii="Times New Roman" w:hAnsi="Times New Roman" w:cs="Times New Roman"/>
          <w:lang w:val="de-DE"/>
        </w:rPr>
        <w:t>arī</w:t>
      </w:r>
      <w:proofErr w:type="spellEnd"/>
      <w:r w:rsidRPr="00CD4311">
        <w:rPr>
          <w:rFonts w:ascii="Times New Roman" w:hAnsi="Times New Roman" w:cs="Times New Roman"/>
          <w:lang w:val="de-DE"/>
        </w:rPr>
        <w:t xml:space="preserve"> ja </w:t>
      </w:r>
      <w:proofErr w:type="spellStart"/>
      <w:r w:rsidRPr="00CD4311">
        <w:rPr>
          <w:rFonts w:ascii="Times New Roman" w:hAnsi="Times New Roman" w:cs="Times New Roman"/>
          <w:lang w:val="de-DE"/>
        </w:rPr>
        <w:t>pilnvaras</w:t>
      </w:r>
      <w:proofErr w:type="spellEnd"/>
      <w:r w:rsidRPr="00CD4311">
        <w:rPr>
          <w:rFonts w:ascii="Times New Roman" w:hAnsi="Times New Roman" w:cs="Times New Roman"/>
          <w:lang w:val="de-DE"/>
        </w:rPr>
        <w:t xml:space="preserve"> </w:t>
      </w:r>
      <w:proofErr w:type="spellStart"/>
      <w:r w:rsidRPr="00CD4311">
        <w:rPr>
          <w:rFonts w:ascii="Times New Roman" w:hAnsi="Times New Roman" w:cs="Times New Roman"/>
          <w:lang w:val="de-DE"/>
        </w:rPr>
        <w:t>apliecināšanas</w:t>
      </w:r>
      <w:proofErr w:type="spellEnd"/>
      <w:r w:rsidRPr="00CD4311">
        <w:rPr>
          <w:rFonts w:ascii="Times New Roman" w:hAnsi="Times New Roman" w:cs="Times New Roman"/>
          <w:lang w:val="de-DE"/>
        </w:rPr>
        <w:t xml:space="preserve"> </w:t>
      </w:r>
      <w:proofErr w:type="spellStart"/>
      <w:r w:rsidRPr="00CD4311">
        <w:rPr>
          <w:rFonts w:ascii="Times New Roman" w:hAnsi="Times New Roman" w:cs="Times New Roman"/>
          <w:lang w:val="de-DE"/>
        </w:rPr>
        <w:t>principi</w:t>
      </w:r>
      <w:proofErr w:type="spellEnd"/>
      <w:r w:rsidRPr="00CD4311">
        <w:rPr>
          <w:rFonts w:ascii="Times New Roman" w:hAnsi="Times New Roman" w:cs="Times New Roman"/>
          <w:lang w:val="de-DE"/>
        </w:rPr>
        <w:t xml:space="preserve"> </w:t>
      </w:r>
      <w:proofErr w:type="spellStart"/>
      <w:r w:rsidRPr="00CD4311">
        <w:rPr>
          <w:rFonts w:ascii="Times New Roman" w:hAnsi="Times New Roman" w:cs="Times New Roman"/>
          <w:lang w:val="de-DE"/>
        </w:rPr>
        <w:t>atbilst</w:t>
      </w:r>
      <w:proofErr w:type="spellEnd"/>
      <w:r w:rsidRPr="00CD4311">
        <w:rPr>
          <w:rFonts w:ascii="Times New Roman" w:hAnsi="Times New Roman" w:cs="Times New Roman"/>
          <w:lang w:val="de-DE"/>
        </w:rPr>
        <w:t xml:space="preserve"> </w:t>
      </w:r>
      <w:proofErr w:type="spellStart"/>
      <w:r w:rsidR="00E20A5E">
        <w:rPr>
          <w:rFonts w:ascii="Times New Roman" w:hAnsi="Times New Roman" w:cs="Times New Roman"/>
          <w:lang w:val="de-DE"/>
        </w:rPr>
        <w:t>Notariālā</w:t>
      </w:r>
      <w:proofErr w:type="spellEnd"/>
      <w:r w:rsidR="00E20A5E">
        <w:rPr>
          <w:rFonts w:ascii="Times New Roman" w:hAnsi="Times New Roman" w:cs="Times New Roman"/>
          <w:lang w:val="de-DE"/>
        </w:rPr>
        <w:t xml:space="preserve"> </w:t>
      </w:r>
      <w:proofErr w:type="spellStart"/>
      <w:r w:rsidRPr="00CD4311">
        <w:rPr>
          <w:rFonts w:ascii="Times New Roman" w:hAnsi="Times New Roman" w:cs="Times New Roman"/>
          <w:lang w:val="de-DE"/>
        </w:rPr>
        <w:t>likuma</w:t>
      </w:r>
      <w:proofErr w:type="spellEnd"/>
      <w:r w:rsidRPr="00CD4311">
        <w:rPr>
          <w:rFonts w:ascii="Times New Roman" w:hAnsi="Times New Roman" w:cs="Times New Roman"/>
          <w:lang w:val="de-DE"/>
        </w:rPr>
        <w:t xml:space="preserve"> </w:t>
      </w:r>
      <w:proofErr w:type="spellStart"/>
      <w:r w:rsidRPr="00CD4311">
        <w:rPr>
          <w:rFonts w:ascii="Times New Roman" w:hAnsi="Times New Roman" w:cs="Times New Roman"/>
          <w:lang w:val="de-DE"/>
        </w:rPr>
        <w:t>noteikumiem</w:t>
      </w:r>
      <w:proofErr w:type="spellEnd"/>
      <w:r w:rsidRPr="00CD4311">
        <w:rPr>
          <w:rFonts w:ascii="Times New Roman" w:hAnsi="Times New Roman" w:cs="Times New Roman"/>
          <w:lang w:val="de-DE"/>
        </w:rPr>
        <w:t xml:space="preserve"> (</w:t>
      </w:r>
      <w:proofErr w:type="spellStart"/>
      <w:r w:rsidRPr="00CD4311">
        <w:rPr>
          <w:rFonts w:ascii="Times New Roman" w:hAnsi="Times New Roman" w:cs="Times New Roman"/>
          <w:lang w:val="de-DE"/>
        </w:rPr>
        <w:t>Notariālā</w:t>
      </w:r>
      <w:proofErr w:type="spellEnd"/>
      <w:r w:rsidRPr="00CD4311">
        <w:rPr>
          <w:rFonts w:ascii="Times New Roman" w:hAnsi="Times New Roman" w:cs="Times New Roman"/>
          <w:lang w:val="de-DE"/>
        </w:rPr>
        <w:t xml:space="preserve"> </w:t>
      </w:r>
      <w:proofErr w:type="spellStart"/>
      <w:r w:rsidRPr="00CD4311">
        <w:rPr>
          <w:rFonts w:ascii="Times New Roman" w:hAnsi="Times New Roman" w:cs="Times New Roman"/>
          <w:lang w:val="de-DE"/>
        </w:rPr>
        <w:t>likuma</w:t>
      </w:r>
      <w:proofErr w:type="spellEnd"/>
      <w:r w:rsidRPr="00CD4311">
        <w:rPr>
          <w:rFonts w:ascii="Times New Roman" w:hAnsi="Times New Roman" w:cs="Times New Roman"/>
          <w:lang w:val="de-DE"/>
        </w:rPr>
        <w:t xml:space="preserve"> 57.p. 2.d.). </w:t>
      </w:r>
      <w:proofErr w:type="spellStart"/>
      <w:r w:rsidRPr="00CD4311">
        <w:rPr>
          <w:rFonts w:ascii="Times New Roman" w:hAnsi="Times New Roman" w:cs="Times New Roman"/>
          <w:lang w:val="de-DE"/>
        </w:rPr>
        <w:t>Kā</w:t>
      </w:r>
      <w:proofErr w:type="spellEnd"/>
      <w:r w:rsidRPr="00CD4311">
        <w:rPr>
          <w:rFonts w:ascii="Times New Roman" w:hAnsi="Times New Roman" w:cs="Times New Roman"/>
          <w:lang w:val="de-DE"/>
        </w:rPr>
        <w:t xml:space="preserve"> </w:t>
      </w:r>
      <w:proofErr w:type="spellStart"/>
      <w:r w:rsidRPr="00CD4311">
        <w:rPr>
          <w:rFonts w:ascii="Times New Roman" w:hAnsi="Times New Roman" w:cs="Times New Roman"/>
          <w:lang w:val="de-DE"/>
        </w:rPr>
        <w:t>redzams</w:t>
      </w:r>
      <w:proofErr w:type="spellEnd"/>
      <w:r w:rsidRPr="00CD4311">
        <w:rPr>
          <w:rFonts w:ascii="Times New Roman" w:hAnsi="Times New Roman" w:cs="Times New Roman"/>
          <w:lang w:val="de-DE"/>
        </w:rPr>
        <w:t xml:space="preserve">, </w:t>
      </w:r>
      <w:proofErr w:type="spellStart"/>
      <w:r w:rsidRPr="00CD4311">
        <w:rPr>
          <w:rFonts w:ascii="Times New Roman" w:hAnsi="Times New Roman" w:cs="Times New Roman"/>
          <w:lang w:val="de-DE"/>
        </w:rPr>
        <w:t>Igaunijā</w:t>
      </w:r>
      <w:proofErr w:type="spellEnd"/>
      <w:r w:rsidRPr="00CD4311">
        <w:rPr>
          <w:rFonts w:ascii="Times New Roman" w:hAnsi="Times New Roman" w:cs="Times New Roman"/>
          <w:lang w:val="de-DE"/>
        </w:rPr>
        <w:t xml:space="preserve"> </w:t>
      </w:r>
      <w:proofErr w:type="spellStart"/>
      <w:r w:rsidRPr="00CD4311">
        <w:rPr>
          <w:rFonts w:ascii="Times New Roman" w:hAnsi="Times New Roman" w:cs="Times New Roman"/>
          <w:lang w:val="de-DE"/>
        </w:rPr>
        <w:t>arī</w:t>
      </w:r>
      <w:proofErr w:type="spellEnd"/>
      <w:r w:rsidRPr="00CD4311">
        <w:rPr>
          <w:rFonts w:ascii="Times New Roman" w:hAnsi="Times New Roman" w:cs="Times New Roman"/>
          <w:lang w:val="de-DE"/>
        </w:rPr>
        <w:t xml:space="preserve"> </w:t>
      </w:r>
      <w:proofErr w:type="spellStart"/>
      <w:r w:rsidRPr="00CD4311">
        <w:rPr>
          <w:rFonts w:ascii="Times New Roman" w:hAnsi="Times New Roman" w:cs="Times New Roman"/>
          <w:lang w:val="de-DE"/>
        </w:rPr>
        <w:t>tiek</w:t>
      </w:r>
      <w:proofErr w:type="spellEnd"/>
      <w:r w:rsidRPr="00CD4311">
        <w:rPr>
          <w:rFonts w:ascii="Times New Roman" w:hAnsi="Times New Roman" w:cs="Times New Roman"/>
          <w:lang w:val="de-DE"/>
        </w:rPr>
        <w:t xml:space="preserve"> </w:t>
      </w:r>
      <w:proofErr w:type="spellStart"/>
      <w:r w:rsidRPr="00CD4311">
        <w:rPr>
          <w:rFonts w:ascii="Times New Roman" w:hAnsi="Times New Roman" w:cs="Times New Roman"/>
          <w:lang w:val="de-DE"/>
        </w:rPr>
        <w:t>pielietota</w:t>
      </w:r>
      <w:proofErr w:type="spellEnd"/>
      <w:r w:rsidRPr="00CD4311">
        <w:rPr>
          <w:rFonts w:ascii="Times New Roman" w:hAnsi="Times New Roman" w:cs="Times New Roman"/>
          <w:lang w:val="de-DE"/>
        </w:rPr>
        <w:t xml:space="preserve"> </w:t>
      </w:r>
      <w:proofErr w:type="spellStart"/>
      <w:r w:rsidRPr="00CD4311">
        <w:rPr>
          <w:rFonts w:ascii="Times New Roman" w:hAnsi="Times New Roman" w:cs="Times New Roman"/>
          <w:lang w:val="de-DE"/>
        </w:rPr>
        <w:t>ekvivalences</w:t>
      </w:r>
      <w:proofErr w:type="spellEnd"/>
      <w:r w:rsidRPr="00CD4311">
        <w:rPr>
          <w:rFonts w:ascii="Times New Roman" w:hAnsi="Times New Roman" w:cs="Times New Roman"/>
          <w:lang w:val="de-DE"/>
        </w:rPr>
        <w:t xml:space="preserve"> </w:t>
      </w:r>
      <w:proofErr w:type="spellStart"/>
      <w:r w:rsidRPr="00CD4311">
        <w:rPr>
          <w:rFonts w:ascii="Times New Roman" w:hAnsi="Times New Roman" w:cs="Times New Roman"/>
          <w:lang w:val="de-DE"/>
        </w:rPr>
        <w:t>teorija</w:t>
      </w:r>
      <w:proofErr w:type="spellEnd"/>
      <w:r w:rsidRPr="00CD4311">
        <w:rPr>
          <w:rFonts w:ascii="Times New Roman" w:hAnsi="Times New Roman" w:cs="Times New Roman"/>
          <w:lang w:val="de-DE"/>
        </w:rPr>
        <w:t xml:space="preserve"> </w:t>
      </w:r>
      <w:proofErr w:type="spellStart"/>
      <w:r w:rsidRPr="00CD4311">
        <w:rPr>
          <w:rFonts w:ascii="Times New Roman" w:hAnsi="Times New Roman" w:cs="Times New Roman"/>
          <w:lang w:val="de-DE"/>
        </w:rPr>
        <w:t>attiecībā</w:t>
      </w:r>
      <w:proofErr w:type="spellEnd"/>
      <w:r w:rsidRPr="00CD4311">
        <w:rPr>
          <w:rFonts w:ascii="Times New Roman" w:hAnsi="Times New Roman" w:cs="Times New Roman"/>
          <w:lang w:val="de-DE"/>
        </w:rPr>
        <w:t xml:space="preserve"> </w:t>
      </w:r>
      <w:proofErr w:type="spellStart"/>
      <w:r w:rsidRPr="00CD4311">
        <w:rPr>
          <w:rFonts w:ascii="Times New Roman" w:hAnsi="Times New Roman" w:cs="Times New Roman"/>
          <w:lang w:val="de-DE"/>
        </w:rPr>
        <w:t>uz</w:t>
      </w:r>
      <w:proofErr w:type="spellEnd"/>
      <w:r w:rsidRPr="00CD4311">
        <w:rPr>
          <w:rFonts w:ascii="Times New Roman" w:hAnsi="Times New Roman" w:cs="Times New Roman"/>
          <w:lang w:val="de-DE"/>
        </w:rPr>
        <w:t xml:space="preserve"> </w:t>
      </w:r>
      <w:proofErr w:type="spellStart"/>
      <w:r w:rsidRPr="00CD4311">
        <w:rPr>
          <w:rFonts w:ascii="Times New Roman" w:hAnsi="Times New Roman" w:cs="Times New Roman"/>
          <w:lang w:val="de-DE"/>
        </w:rPr>
        <w:t>ārvalstu</w:t>
      </w:r>
      <w:proofErr w:type="spellEnd"/>
      <w:r w:rsidRPr="00CD4311">
        <w:rPr>
          <w:rFonts w:ascii="Times New Roman" w:hAnsi="Times New Roman" w:cs="Times New Roman"/>
          <w:lang w:val="de-DE"/>
        </w:rPr>
        <w:t xml:space="preserve"> </w:t>
      </w:r>
      <w:proofErr w:type="spellStart"/>
      <w:r w:rsidRPr="00CD4311">
        <w:rPr>
          <w:rFonts w:ascii="Times New Roman" w:hAnsi="Times New Roman" w:cs="Times New Roman"/>
          <w:lang w:val="de-DE"/>
        </w:rPr>
        <w:t>notāru</w:t>
      </w:r>
      <w:proofErr w:type="spellEnd"/>
      <w:r w:rsidRPr="00CD4311">
        <w:rPr>
          <w:rFonts w:ascii="Times New Roman" w:hAnsi="Times New Roman" w:cs="Times New Roman"/>
          <w:lang w:val="de-DE"/>
        </w:rPr>
        <w:t xml:space="preserve"> </w:t>
      </w:r>
      <w:proofErr w:type="spellStart"/>
      <w:r w:rsidRPr="00CD4311">
        <w:rPr>
          <w:rFonts w:ascii="Times New Roman" w:hAnsi="Times New Roman" w:cs="Times New Roman"/>
          <w:lang w:val="de-DE"/>
        </w:rPr>
        <w:t>un</w:t>
      </w:r>
      <w:proofErr w:type="spellEnd"/>
      <w:r w:rsidRPr="00CD4311">
        <w:rPr>
          <w:rFonts w:ascii="Times New Roman" w:hAnsi="Times New Roman" w:cs="Times New Roman"/>
          <w:lang w:val="de-DE"/>
        </w:rPr>
        <w:t xml:space="preserve"> </w:t>
      </w:r>
      <w:proofErr w:type="spellStart"/>
      <w:r w:rsidRPr="00CD4311">
        <w:rPr>
          <w:rFonts w:ascii="Times New Roman" w:hAnsi="Times New Roman" w:cs="Times New Roman"/>
          <w:lang w:val="de-DE"/>
        </w:rPr>
        <w:t>viņu</w:t>
      </w:r>
      <w:proofErr w:type="spellEnd"/>
      <w:r w:rsidRPr="00CD4311">
        <w:rPr>
          <w:rFonts w:ascii="Times New Roman" w:hAnsi="Times New Roman" w:cs="Times New Roman"/>
          <w:lang w:val="de-DE"/>
        </w:rPr>
        <w:t xml:space="preserve"> </w:t>
      </w:r>
      <w:proofErr w:type="spellStart"/>
      <w:r w:rsidRPr="00CD4311">
        <w:rPr>
          <w:rFonts w:ascii="Times New Roman" w:hAnsi="Times New Roman" w:cs="Times New Roman"/>
          <w:lang w:val="de-DE"/>
        </w:rPr>
        <w:t>sastādīto</w:t>
      </w:r>
      <w:proofErr w:type="spellEnd"/>
      <w:r w:rsidRPr="00CD4311">
        <w:rPr>
          <w:rFonts w:ascii="Times New Roman" w:hAnsi="Times New Roman" w:cs="Times New Roman"/>
          <w:lang w:val="de-DE"/>
        </w:rPr>
        <w:t xml:space="preserve"> </w:t>
      </w:r>
      <w:proofErr w:type="spellStart"/>
      <w:r w:rsidRPr="00CD4311">
        <w:rPr>
          <w:rFonts w:ascii="Times New Roman" w:hAnsi="Times New Roman" w:cs="Times New Roman"/>
          <w:lang w:val="de-DE"/>
        </w:rPr>
        <w:t>pilnvaru</w:t>
      </w:r>
      <w:proofErr w:type="spellEnd"/>
      <w:r w:rsidRPr="00CD4311">
        <w:rPr>
          <w:rFonts w:ascii="Times New Roman" w:hAnsi="Times New Roman" w:cs="Times New Roman"/>
          <w:lang w:val="de-DE"/>
        </w:rPr>
        <w:t xml:space="preserve"> </w:t>
      </w:r>
      <w:proofErr w:type="spellStart"/>
      <w:r w:rsidRPr="00CD4311">
        <w:rPr>
          <w:rFonts w:ascii="Times New Roman" w:hAnsi="Times New Roman" w:cs="Times New Roman"/>
          <w:lang w:val="de-DE"/>
        </w:rPr>
        <w:t>pielīdzināšanu</w:t>
      </w:r>
      <w:proofErr w:type="spellEnd"/>
      <w:r w:rsidRPr="00CD4311">
        <w:rPr>
          <w:rFonts w:ascii="Times New Roman" w:hAnsi="Times New Roman" w:cs="Times New Roman"/>
          <w:lang w:val="de-DE"/>
        </w:rPr>
        <w:t xml:space="preserve"> </w:t>
      </w:r>
      <w:proofErr w:type="spellStart"/>
      <w:r w:rsidRPr="00CD4311">
        <w:rPr>
          <w:rFonts w:ascii="Times New Roman" w:hAnsi="Times New Roman" w:cs="Times New Roman"/>
          <w:lang w:val="de-DE"/>
        </w:rPr>
        <w:t>Igaunijas</w:t>
      </w:r>
      <w:proofErr w:type="spellEnd"/>
      <w:r w:rsidRPr="00CD4311">
        <w:rPr>
          <w:rFonts w:ascii="Times New Roman" w:hAnsi="Times New Roman" w:cs="Times New Roman"/>
          <w:lang w:val="de-DE"/>
        </w:rPr>
        <w:t xml:space="preserve"> </w:t>
      </w:r>
      <w:proofErr w:type="spellStart"/>
      <w:r w:rsidRPr="00CD4311">
        <w:rPr>
          <w:rFonts w:ascii="Times New Roman" w:hAnsi="Times New Roman" w:cs="Times New Roman"/>
          <w:lang w:val="de-DE"/>
        </w:rPr>
        <w:t>teritorijā</w:t>
      </w:r>
      <w:proofErr w:type="spellEnd"/>
      <w:r w:rsidRPr="00CD4311">
        <w:rPr>
          <w:rFonts w:ascii="Times New Roman" w:hAnsi="Times New Roman" w:cs="Times New Roman"/>
          <w:lang w:val="de-DE"/>
        </w:rPr>
        <w:t xml:space="preserve">. </w:t>
      </w:r>
      <w:proofErr w:type="spellStart"/>
      <w:r w:rsidRPr="00CD4311">
        <w:rPr>
          <w:rFonts w:ascii="Times New Roman" w:hAnsi="Times New Roman" w:cs="Times New Roman"/>
          <w:lang w:val="de-DE"/>
        </w:rPr>
        <w:t>No</w:t>
      </w:r>
      <w:proofErr w:type="spellEnd"/>
      <w:r w:rsidRPr="00CD4311">
        <w:rPr>
          <w:rFonts w:ascii="Times New Roman" w:hAnsi="Times New Roman" w:cs="Times New Roman"/>
          <w:lang w:val="de-DE"/>
        </w:rPr>
        <w:t xml:space="preserve"> </w:t>
      </w:r>
      <w:proofErr w:type="spellStart"/>
      <w:r w:rsidRPr="00CD4311">
        <w:rPr>
          <w:rFonts w:ascii="Times New Roman" w:hAnsi="Times New Roman" w:cs="Times New Roman"/>
          <w:lang w:val="de-DE"/>
        </w:rPr>
        <w:t>vienas</w:t>
      </w:r>
      <w:proofErr w:type="spellEnd"/>
      <w:r w:rsidRPr="00CD4311">
        <w:rPr>
          <w:rFonts w:ascii="Times New Roman" w:hAnsi="Times New Roman" w:cs="Times New Roman"/>
          <w:lang w:val="de-DE"/>
        </w:rPr>
        <w:t xml:space="preserve"> </w:t>
      </w:r>
      <w:proofErr w:type="spellStart"/>
      <w:r w:rsidRPr="00CD4311">
        <w:rPr>
          <w:rFonts w:ascii="Times New Roman" w:hAnsi="Times New Roman" w:cs="Times New Roman"/>
          <w:lang w:val="de-DE"/>
        </w:rPr>
        <w:t>puses</w:t>
      </w:r>
      <w:proofErr w:type="spellEnd"/>
      <w:r w:rsidRPr="00CD4311">
        <w:rPr>
          <w:rFonts w:ascii="Times New Roman" w:hAnsi="Times New Roman" w:cs="Times New Roman"/>
          <w:lang w:val="de-DE"/>
        </w:rPr>
        <w:t xml:space="preserve">, </w:t>
      </w:r>
      <w:proofErr w:type="spellStart"/>
      <w:r w:rsidRPr="00CD4311">
        <w:rPr>
          <w:rFonts w:ascii="Times New Roman" w:hAnsi="Times New Roman" w:cs="Times New Roman"/>
          <w:lang w:val="de-DE"/>
        </w:rPr>
        <w:t>šo</w:t>
      </w:r>
      <w:proofErr w:type="spellEnd"/>
      <w:r w:rsidRPr="00CD4311">
        <w:rPr>
          <w:rFonts w:ascii="Times New Roman" w:hAnsi="Times New Roman" w:cs="Times New Roman"/>
          <w:lang w:val="de-DE"/>
        </w:rPr>
        <w:t xml:space="preserve"> </w:t>
      </w:r>
      <w:proofErr w:type="spellStart"/>
      <w:r w:rsidRPr="00CD4311">
        <w:rPr>
          <w:rFonts w:ascii="Times New Roman" w:hAnsi="Times New Roman" w:cs="Times New Roman"/>
          <w:lang w:val="de-DE"/>
        </w:rPr>
        <w:t>ekvivalences</w:t>
      </w:r>
      <w:proofErr w:type="spellEnd"/>
      <w:r w:rsidRPr="00CD4311">
        <w:rPr>
          <w:rFonts w:ascii="Times New Roman" w:hAnsi="Times New Roman" w:cs="Times New Roman"/>
          <w:lang w:val="de-DE"/>
        </w:rPr>
        <w:t xml:space="preserve"> </w:t>
      </w:r>
      <w:proofErr w:type="spellStart"/>
      <w:r w:rsidRPr="00CD4311">
        <w:rPr>
          <w:rFonts w:ascii="Times New Roman" w:hAnsi="Times New Roman" w:cs="Times New Roman"/>
          <w:lang w:val="de-DE"/>
        </w:rPr>
        <w:t>pielietošanu</w:t>
      </w:r>
      <w:proofErr w:type="spellEnd"/>
      <w:r w:rsidRPr="00CD4311">
        <w:rPr>
          <w:rFonts w:ascii="Times New Roman" w:hAnsi="Times New Roman" w:cs="Times New Roman"/>
          <w:lang w:val="de-DE"/>
        </w:rPr>
        <w:t xml:space="preserve"> </w:t>
      </w:r>
      <w:proofErr w:type="spellStart"/>
      <w:r w:rsidRPr="00CD4311">
        <w:rPr>
          <w:rFonts w:ascii="Times New Roman" w:hAnsi="Times New Roman" w:cs="Times New Roman"/>
          <w:lang w:val="de-DE"/>
        </w:rPr>
        <w:t>atvieglo</w:t>
      </w:r>
      <w:proofErr w:type="spellEnd"/>
      <w:r w:rsidRPr="00CD4311">
        <w:rPr>
          <w:rFonts w:ascii="Times New Roman" w:hAnsi="Times New Roman" w:cs="Times New Roman"/>
          <w:lang w:val="de-DE"/>
        </w:rPr>
        <w:t xml:space="preserve"> </w:t>
      </w:r>
      <w:proofErr w:type="spellStart"/>
      <w:r w:rsidRPr="00CD4311">
        <w:rPr>
          <w:rFonts w:ascii="Times New Roman" w:hAnsi="Times New Roman" w:cs="Times New Roman"/>
          <w:lang w:val="de-DE"/>
        </w:rPr>
        <w:t>Igaunijas</w:t>
      </w:r>
      <w:proofErr w:type="spellEnd"/>
      <w:r w:rsidRPr="00CD4311">
        <w:rPr>
          <w:rFonts w:ascii="Times New Roman" w:hAnsi="Times New Roman" w:cs="Times New Roman"/>
          <w:lang w:val="de-DE"/>
        </w:rPr>
        <w:t xml:space="preserve"> </w:t>
      </w:r>
      <w:proofErr w:type="spellStart"/>
      <w:r w:rsidRPr="00CD4311">
        <w:rPr>
          <w:rFonts w:ascii="Times New Roman" w:hAnsi="Times New Roman" w:cs="Times New Roman"/>
          <w:lang w:val="de-DE"/>
        </w:rPr>
        <w:t>tieslietu</w:t>
      </w:r>
      <w:proofErr w:type="spellEnd"/>
      <w:r w:rsidRPr="00CD4311">
        <w:rPr>
          <w:rFonts w:ascii="Times New Roman" w:hAnsi="Times New Roman" w:cs="Times New Roman"/>
          <w:lang w:val="de-DE"/>
        </w:rPr>
        <w:t xml:space="preserve"> </w:t>
      </w:r>
      <w:proofErr w:type="spellStart"/>
      <w:r w:rsidRPr="00CD4311">
        <w:rPr>
          <w:rFonts w:ascii="Times New Roman" w:hAnsi="Times New Roman" w:cs="Times New Roman"/>
          <w:lang w:val="de-DE"/>
        </w:rPr>
        <w:t>ministra</w:t>
      </w:r>
      <w:proofErr w:type="spellEnd"/>
      <w:r w:rsidRPr="00CD4311">
        <w:rPr>
          <w:rFonts w:ascii="Times New Roman" w:hAnsi="Times New Roman" w:cs="Times New Roman"/>
          <w:lang w:val="de-DE"/>
        </w:rPr>
        <w:t xml:space="preserve"> </w:t>
      </w:r>
      <w:proofErr w:type="spellStart"/>
      <w:r w:rsidRPr="00CD4311">
        <w:rPr>
          <w:rFonts w:ascii="Times New Roman" w:hAnsi="Times New Roman" w:cs="Times New Roman"/>
          <w:lang w:val="de-DE"/>
        </w:rPr>
        <w:t>izdotais</w:t>
      </w:r>
      <w:proofErr w:type="spellEnd"/>
      <w:r w:rsidRPr="00CD4311">
        <w:rPr>
          <w:rFonts w:ascii="Times New Roman" w:hAnsi="Times New Roman" w:cs="Times New Roman"/>
          <w:lang w:val="de-DE"/>
        </w:rPr>
        <w:t xml:space="preserve"> </w:t>
      </w:r>
      <w:proofErr w:type="spellStart"/>
      <w:r w:rsidRPr="00CD4311">
        <w:rPr>
          <w:rFonts w:ascii="Times New Roman" w:hAnsi="Times New Roman" w:cs="Times New Roman"/>
          <w:lang w:val="de-DE"/>
        </w:rPr>
        <w:t>un</w:t>
      </w:r>
      <w:proofErr w:type="spellEnd"/>
      <w:r w:rsidRPr="00CD4311">
        <w:rPr>
          <w:rFonts w:ascii="Times New Roman" w:hAnsi="Times New Roman" w:cs="Times New Roman"/>
          <w:lang w:val="de-DE"/>
        </w:rPr>
        <w:t xml:space="preserve"> </w:t>
      </w:r>
      <w:proofErr w:type="spellStart"/>
      <w:r w:rsidRPr="00CD4311">
        <w:rPr>
          <w:rFonts w:ascii="Times New Roman" w:hAnsi="Times New Roman" w:cs="Times New Roman"/>
          <w:lang w:val="de-DE"/>
        </w:rPr>
        <w:t>apstiprinātais</w:t>
      </w:r>
      <w:proofErr w:type="spellEnd"/>
      <w:r w:rsidRPr="00CD4311">
        <w:rPr>
          <w:rFonts w:ascii="Times New Roman" w:hAnsi="Times New Roman" w:cs="Times New Roman"/>
          <w:lang w:val="de-DE"/>
        </w:rPr>
        <w:t xml:space="preserve"> </w:t>
      </w:r>
      <w:proofErr w:type="spellStart"/>
      <w:r w:rsidRPr="00CD4311">
        <w:rPr>
          <w:rFonts w:ascii="Times New Roman" w:hAnsi="Times New Roman" w:cs="Times New Roman"/>
          <w:lang w:val="de-DE"/>
        </w:rPr>
        <w:t>saraksts</w:t>
      </w:r>
      <w:proofErr w:type="spellEnd"/>
      <w:r w:rsidRPr="00CD4311">
        <w:rPr>
          <w:rFonts w:ascii="Times New Roman" w:hAnsi="Times New Roman" w:cs="Times New Roman"/>
          <w:lang w:val="de-DE"/>
        </w:rPr>
        <w:t xml:space="preserve">, </w:t>
      </w:r>
      <w:proofErr w:type="spellStart"/>
      <w:r w:rsidRPr="00CD4311">
        <w:rPr>
          <w:rFonts w:ascii="Times New Roman" w:hAnsi="Times New Roman" w:cs="Times New Roman"/>
          <w:lang w:val="de-DE"/>
        </w:rPr>
        <w:t>taču</w:t>
      </w:r>
      <w:proofErr w:type="spellEnd"/>
      <w:r w:rsidRPr="00CD4311">
        <w:rPr>
          <w:rFonts w:ascii="Times New Roman" w:hAnsi="Times New Roman" w:cs="Times New Roman"/>
          <w:lang w:val="de-DE"/>
        </w:rPr>
        <w:t xml:space="preserve">, </w:t>
      </w:r>
      <w:proofErr w:type="spellStart"/>
      <w:r w:rsidRPr="00CD4311">
        <w:rPr>
          <w:rFonts w:ascii="Times New Roman" w:hAnsi="Times New Roman" w:cs="Times New Roman"/>
          <w:lang w:val="de-DE"/>
        </w:rPr>
        <w:t>no</w:t>
      </w:r>
      <w:proofErr w:type="spellEnd"/>
      <w:r w:rsidRPr="00CD4311">
        <w:rPr>
          <w:rFonts w:ascii="Times New Roman" w:hAnsi="Times New Roman" w:cs="Times New Roman"/>
          <w:lang w:val="de-DE"/>
        </w:rPr>
        <w:t xml:space="preserve"> </w:t>
      </w:r>
      <w:proofErr w:type="spellStart"/>
      <w:r w:rsidRPr="00CD4311">
        <w:rPr>
          <w:rFonts w:ascii="Times New Roman" w:hAnsi="Times New Roman" w:cs="Times New Roman"/>
          <w:lang w:val="de-DE"/>
        </w:rPr>
        <w:t>otras</w:t>
      </w:r>
      <w:proofErr w:type="spellEnd"/>
      <w:r w:rsidRPr="00CD4311">
        <w:rPr>
          <w:rFonts w:ascii="Times New Roman" w:hAnsi="Times New Roman" w:cs="Times New Roman"/>
          <w:lang w:val="de-DE"/>
        </w:rPr>
        <w:t xml:space="preserve"> </w:t>
      </w:r>
      <w:proofErr w:type="spellStart"/>
      <w:r w:rsidRPr="00CD4311">
        <w:rPr>
          <w:rFonts w:ascii="Times New Roman" w:hAnsi="Times New Roman" w:cs="Times New Roman"/>
          <w:lang w:val="de-DE"/>
        </w:rPr>
        <w:t>puses</w:t>
      </w:r>
      <w:proofErr w:type="spellEnd"/>
      <w:r w:rsidRPr="00CD4311">
        <w:rPr>
          <w:rFonts w:ascii="Times New Roman" w:hAnsi="Times New Roman" w:cs="Times New Roman"/>
          <w:lang w:val="de-DE"/>
        </w:rPr>
        <w:t xml:space="preserve"> (ja </w:t>
      </w:r>
      <w:proofErr w:type="spellStart"/>
      <w:r w:rsidRPr="00CD4311">
        <w:rPr>
          <w:rFonts w:ascii="Times New Roman" w:hAnsi="Times New Roman" w:cs="Times New Roman"/>
          <w:lang w:val="de-DE"/>
        </w:rPr>
        <w:t>attiecīgā</w:t>
      </w:r>
      <w:proofErr w:type="spellEnd"/>
      <w:r w:rsidRPr="00CD4311">
        <w:rPr>
          <w:rFonts w:ascii="Times New Roman" w:hAnsi="Times New Roman" w:cs="Times New Roman"/>
          <w:lang w:val="de-DE"/>
        </w:rPr>
        <w:t xml:space="preserve"> </w:t>
      </w:r>
      <w:proofErr w:type="spellStart"/>
      <w:r w:rsidRPr="00CD4311">
        <w:rPr>
          <w:rFonts w:ascii="Times New Roman" w:hAnsi="Times New Roman" w:cs="Times New Roman"/>
          <w:lang w:val="de-DE"/>
        </w:rPr>
        <w:t>valsts</w:t>
      </w:r>
      <w:proofErr w:type="spellEnd"/>
      <w:r w:rsidRPr="00CD4311">
        <w:rPr>
          <w:rFonts w:ascii="Times New Roman" w:hAnsi="Times New Roman" w:cs="Times New Roman"/>
          <w:lang w:val="de-DE"/>
        </w:rPr>
        <w:t xml:space="preserve"> </w:t>
      </w:r>
      <w:proofErr w:type="spellStart"/>
      <w:r w:rsidRPr="00CD4311">
        <w:rPr>
          <w:rFonts w:ascii="Times New Roman" w:hAnsi="Times New Roman" w:cs="Times New Roman"/>
          <w:lang w:val="de-DE"/>
        </w:rPr>
        <w:t>nav</w:t>
      </w:r>
      <w:proofErr w:type="spellEnd"/>
      <w:r w:rsidRPr="00CD4311">
        <w:rPr>
          <w:rFonts w:ascii="Times New Roman" w:hAnsi="Times New Roman" w:cs="Times New Roman"/>
          <w:lang w:val="de-DE"/>
        </w:rPr>
        <w:t xml:space="preserve"> </w:t>
      </w:r>
      <w:proofErr w:type="spellStart"/>
      <w:r w:rsidRPr="00CD4311">
        <w:rPr>
          <w:rFonts w:ascii="Times New Roman" w:hAnsi="Times New Roman" w:cs="Times New Roman"/>
          <w:lang w:val="de-DE"/>
        </w:rPr>
        <w:t>norādīta</w:t>
      </w:r>
      <w:proofErr w:type="spellEnd"/>
      <w:r w:rsidRPr="00CD4311">
        <w:rPr>
          <w:rFonts w:ascii="Times New Roman" w:hAnsi="Times New Roman" w:cs="Times New Roman"/>
          <w:lang w:val="de-DE"/>
        </w:rPr>
        <w:t xml:space="preserve"> </w:t>
      </w:r>
      <w:proofErr w:type="spellStart"/>
      <w:r w:rsidRPr="00CD4311">
        <w:rPr>
          <w:rFonts w:ascii="Times New Roman" w:hAnsi="Times New Roman" w:cs="Times New Roman"/>
          <w:lang w:val="de-DE"/>
        </w:rPr>
        <w:t>šajā</w:t>
      </w:r>
      <w:proofErr w:type="spellEnd"/>
      <w:r w:rsidRPr="00CD4311">
        <w:rPr>
          <w:rFonts w:ascii="Times New Roman" w:hAnsi="Times New Roman" w:cs="Times New Roman"/>
          <w:lang w:val="de-DE"/>
        </w:rPr>
        <w:t xml:space="preserve"> </w:t>
      </w:r>
      <w:proofErr w:type="spellStart"/>
      <w:r w:rsidRPr="00CD4311">
        <w:rPr>
          <w:rFonts w:ascii="Times New Roman" w:hAnsi="Times New Roman" w:cs="Times New Roman"/>
          <w:lang w:val="de-DE"/>
        </w:rPr>
        <w:t>sarakstā</w:t>
      </w:r>
      <w:proofErr w:type="spellEnd"/>
      <w:r w:rsidRPr="00CD4311">
        <w:rPr>
          <w:rFonts w:ascii="Times New Roman" w:hAnsi="Times New Roman" w:cs="Times New Roman"/>
          <w:lang w:val="de-DE"/>
        </w:rPr>
        <w:t xml:space="preserve">), par </w:t>
      </w:r>
      <w:proofErr w:type="spellStart"/>
      <w:r w:rsidRPr="00CD4311">
        <w:rPr>
          <w:rFonts w:ascii="Times New Roman" w:hAnsi="Times New Roman" w:cs="Times New Roman"/>
          <w:lang w:val="de-DE"/>
        </w:rPr>
        <w:t>notāru</w:t>
      </w:r>
      <w:proofErr w:type="spellEnd"/>
      <w:r w:rsidRPr="00CD4311">
        <w:rPr>
          <w:rFonts w:ascii="Times New Roman" w:hAnsi="Times New Roman" w:cs="Times New Roman"/>
          <w:lang w:val="de-DE"/>
        </w:rPr>
        <w:t xml:space="preserve"> </w:t>
      </w:r>
      <w:proofErr w:type="spellStart"/>
      <w:r w:rsidRPr="00CD4311">
        <w:rPr>
          <w:rFonts w:ascii="Times New Roman" w:hAnsi="Times New Roman" w:cs="Times New Roman"/>
          <w:lang w:val="de-DE"/>
        </w:rPr>
        <w:t>un</w:t>
      </w:r>
      <w:proofErr w:type="spellEnd"/>
      <w:r w:rsidRPr="00CD4311">
        <w:rPr>
          <w:rFonts w:ascii="Times New Roman" w:hAnsi="Times New Roman" w:cs="Times New Roman"/>
          <w:lang w:val="de-DE"/>
        </w:rPr>
        <w:t xml:space="preserve"> </w:t>
      </w:r>
      <w:proofErr w:type="spellStart"/>
      <w:r w:rsidRPr="00CD4311">
        <w:rPr>
          <w:rFonts w:ascii="Times New Roman" w:hAnsi="Times New Roman" w:cs="Times New Roman"/>
          <w:lang w:val="de-DE"/>
        </w:rPr>
        <w:t>viņu</w:t>
      </w:r>
      <w:proofErr w:type="spellEnd"/>
      <w:r w:rsidRPr="00CD4311">
        <w:rPr>
          <w:rFonts w:ascii="Times New Roman" w:hAnsi="Times New Roman" w:cs="Times New Roman"/>
          <w:lang w:val="de-DE"/>
        </w:rPr>
        <w:t xml:space="preserve"> </w:t>
      </w:r>
      <w:proofErr w:type="spellStart"/>
      <w:r w:rsidRPr="00CD4311">
        <w:rPr>
          <w:rFonts w:ascii="Times New Roman" w:hAnsi="Times New Roman" w:cs="Times New Roman"/>
          <w:lang w:val="de-DE"/>
        </w:rPr>
        <w:t>sastādīto</w:t>
      </w:r>
      <w:proofErr w:type="spellEnd"/>
      <w:r w:rsidRPr="00CD4311">
        <w:rPr>
          <w:rFonts w:ascii="Times New Roman" w:hAnsi="Times New Roman" w:cs="Times New Roman"/>
          <w:lang w:val="de-DE"/>
        </w:rPr>
        <w:t xml:space="preserve"> </w:t>
      </w:r>
      <w:proofErr w:type="spellStart"/>
      <w:r w:rsidRPr="00CD4311">
        <w:rPr>
          <w:rFonts w:ascii="Times New Roman" w:hAnsi="Times New Roman" w:cs="Times New Roman"/>
          <w:lang w:val="de-DE"/>
        </w:rPr>
        <w:t>pilnvaru</w:t>
      </w:r>
      <w:proofErr w:type="spellEnd"/>
      <w:r w:rsidRPr="00CD4311">
        <w:rPr>
          <w:rFonts w:ascii="Times New Roman" w:hAnsi="Times New Roman" w:cs="Times New Roman"/>
          <w:lang w:val="de-DE"/>
        </w:rPr>
        <w:t xml:space="preserve"> </w:t>
      </w:r>
      <w:proofErr w:type="spellStart"/>
      <w:r w:rsidRPr="00CD4311">
        <w:rPr>
          <w:rFonts w:ascii="Times New Roman" w:hAnsi="Times New Roman" w:cs="Times New Roman"/>
          <w:lang w:val="de-DE"/>
        </w:rPr>
        <w:t>ekvivalenci</w:t>
      </w:r>
      <w:proofErr w:type="spellEnd"/>
      <w:r w:rsidR="00E20A5E">
        <w:rPr>
          <w:rFonts w:ascii="Times New Roman" w:hAnsi="Times New Roman" w:cs="Times New Roman"/>
          <w:lang w:val="de-DE"/>
        </w:rPr>
        <w:t xml:space="preserve"> </w:t>
      </w:r>
      <w:proofErr w:type="spellStart"/>
      <w:r w:rsidR="00E20A5E">
        <w:rPr>
          <w:rFonts w:ascii="Times New Roman" w:hAnsi="Times New Roman" w:cs="Times New Roman"/>
          <w:lang w:val="de-DE"/>
        </w:rPr>
        <w:t>un</w:t>
      </w:r>
      <w:proofErr w:type="spellEnd"/>
      <w:r w:rsidR="00E20A5E">
        <w:rPr>
          <w:rFonts w:ascii="Times New Roman" w:hAnsi="Times New Roman" w:cs="Times New Roman"/>
          <w:lang w:val="de-DE"/>
        </w:rPr>
        <w:t xml:space="preserve"> </w:t>
      </w:r>
      <w:proofErr w:type="spellStart"/>
      <w:r w:rsidR="00E20A5E">
        <w:rPr>
          <w:rFonts w:ascii="Times New Roman" w:hAnsi="Times New Roman" w:cs="Times New Roman"/>
          <w:lang w:val="de-DE"/>
        </w:rPr>
        <w:t>pilnvaras</w:t>
      </w:r>
      <w:proofErr w:type="spellEnd"/>
      <w:r w:rsidR="00E20A5E">
        <w:rPr>
          <w:rFonts w:ascii="Times New Roman" w:hAnsi="Times New Roman" w:cs="Times New Roman"/>
          <w:lang w:val="de-DE"/>
        </w:rPr>
        <w:t xml:space="preserve"> </w:t>
      </w:r>
      <w:proofErr w:type="spellStart"/>
      <w:r w:rsidR="00E20A5E">
        <w:rPr>
          <w:rFonts w:ascii="Times New Roman" w:hAnsi="Times New Roman" w:cs="Times New Roman"/>
          <w:lang w:val="de-DE"/>
        </w:rPr>
        <w:t>atzīšanu</w:t>
      </w:r>
      <w:proofErr w:type="spellEnd"/>
      <w:r w:rsidRPr="00CD4311">
        <w:rPr>
          <w:rFonts w:ascii="Times New Roman" w:hAnsi="Times New Roman" w:cs="Times New Roman"/>
          <w:lang w:val="de-DE"/>
        </w:rPr>
        <w:t xml:space="preserve"> </w:t>
      </w:r>
      <w:proofErr w:type="spellStart"/>
      <w:r w:rsidRPr="00CD4311">
        <w:rPr>
          <w:rFonts w:ascii="Times New Roman" w:hAnsi="Times New Roman" w:cs="Times New Roman"/>
          <w:lang w:val="de-DE"/>
        </w:rPr>
        <w:t>lemj</w:t>
      </w:r>
      <w:proofErr w:type="spellEnd"/>
      <w:r w:rsidRPr="00CD4311">
        <w:rPr>
          <w:rFonts w:ascii="Times New Roman" w:hAnsi="Times New Roman" w:cs="Times New Roman"/>
          <w:lang w:val="de-DE"/>
        </w:rPr>
        <w:t xml:space="preserve"> </w:t>
      </w:r>
      <w:proofErr w:type="spellStart"/>
      <w:r w:rsidRPr="00CD4311">
        <w:rPr>
          <w:rFonts w:ascii="Times New Roman" w:hAnsi="Times New Roman" w:cs="Times New Roman"/>
          <w:lang w:val="de-DE"/>
        </w:rPr>
        <w:t>Igaunijas</w:t>
      </w:r>
      <w:proofErr w:type="spellEnd"/>
      <w:r w:rsidRPr="00CD4311">
        <w:rPr>
          <w:rFonts w:ascii="Times New Roman" w:hAnsi="Times New Roman" w:cs="Times New Roman"/>
          <w:lang w:val="de-DE"/>
        </w:rPr>
        <w:t xml:space="preserve"> </w:t>
      </w:r>
      <w:proofErr w:type="spellStart"/>
      <w:r w:rsidRPr="00CD4311">
        <w:rPr>
          <w:rFonts w:ascii="Times New Roman" w:hAnsi="Times New Roman" w:cs="Times New Roman"/>
          <w:lang w:val="de-DE"/>
        </w:rPr>
        <w:t>tiesas</w:t>
      </w:r>
      <w:proofErr w:type="spellEnd"/>
      <w:r w:rsidRPr="00CD4311">
        <w:rPr>
          <w:rFonts w:ascii="Times New Roman" w:hAnsi="Times New Roman" w:cs="Times New Roman"/>
          <w:lang w:val="de-DE"/>
        </w:rPr>
        <w:t>.</w:t>
      </w:r>
    </w:p>
    <w:p w14:paraId="2F2B1AE2" w14:textId="77777777" w:rsidR="00114953" w:rsidRPr="00CD4311" w:rsidRDefault="00114953" w:rsidP="00114953">
      <w:pPr>
        <w:ind w:firstLine="708"/>
        <w:jc w:val="both"/>
        <w:rPr>
          <w:rFonts w:ascii="Times New Roman" w:hAnsi="Times New Roman" w:cs="Times New Roman"/>
          <w:lang w:val="de-DE"/>
        </w:rPr>
      </w:pPr>
      <w:proofErr w:type="spellStart"/>
      <w:r w:rsidRPr="00CD4311">
        <w:rPr>
          <w:rFonts w:ascii="Times New Roman" w:hAnsi="Times New Roman" w:cs="Times New Roman"/>
          <w:lang w:val="de-DE"/>
        </w:rPr>
        <w:t>Vēl</w:t>
      </w:r>
      <w:proofErr w:type="spellEnd"/>
      <w:r w:rsidRPr="00CD4311">
        <w:rPr>
          <w:rFonts w:ascii="Times New Roman" w:hAnsi="Times New Roman" w:cs="Times New Roman"/>
          <w:lang w:val="de-DE"/>
        </w:rPr>
        <w:t xml:space="preserve"> </w:t>
      </w:r>
      <w:proofErr w:type="spellStart"/>
      <w:r w:rsidRPr="00CD4311">
        <w:rPr>
          <w:rFonts w:ascii="Times New Roman" w:hAnsi="Times New Roman" w:cs="Times New Roman"/>
          <w:lang w:val="de-DE"/>
        </w:rPr>
        <w:t>ir</w:t>
      </w:r>
      <w:proofErr w:type="spellEnd"/>
      <w:r w:rsidRPr="00CD4311">
        <w:rPr>
          <w:rFonts w:ascii="Times New Roman" w:hAnsi="Times New Roman" w:cs="Times New Roman"/>
          <w:lang w:val="de-DE"/>
        </w:rPr>
        <w:t xml:space="preserve"> </w:t>
      </w:r>
      <w:proofErr w:type="spellStart"/>
      <w:r w:rsidRPr="00CD4311">
        <w:rPr>
          <w:rFonts w:ascii="Times New Roman" w:hAnsi="Times New Roman" w:cs="Times New Roman"/>
          <w:lang w:val="de-DE"/>
        </w:rPr>
        <w:t>svarīgi</w:t>
      </w:r>
      <w:proofErr w:type="spellEnd"/>
      <w:r w:rsidRPr="00CD4311">
        <w:rPr>
          <w:rFonts w:ascii="Times New Roman" w:hAnsi="Times New Roman" w:cs="Times New Roman"/>
          <w:lang w:val="de-DE"/>
        </w:rPr>
        <w:t xml:space="preserve"> </w:t>
      </w:r>
      <w:proofErr w:type="spellStart"/>
      <w:r w:rsidRPr="00CD4311">
        <w:rPr>
          <w:rFonts w:ascii="Times New Roman" w:hAnsi="Times New Roman" w:cs="Times New Roman"/>
          <w:lang w:val="de-DE"/>
        </w:rPr>
        <w:t>atzīmēt</w:t>
      </w:r>
      <w:proofErr w:type="spellEnd"/>
      <w:r w:rsidRPr="00CD4311">
        <w:rPr>
          <w:rFonts w:ascii="Times New Roman" w:hAnsi="Times New Roman" w:cs="Times New Roman"/>
          <w:lang w:val="de-DE"/>
        </w:rPr>
        <w:t xml:space="preserve">, </w:t>
      </w:r>
      <w:proofErr w:type="spellStart"/>
      <w:r w:rsidRPr="00CD4311">
        <w:rPr>
          <w:rFonts w:ascii="Times New Roman" w:hAnsi="Times New Roman" w:cs="Times New Roman"/>
          <w:lang w:val="de-DE"/>
        </w:rPr>
        <w:t>ka</w:t>
      </w:r>
      <w:proofErr w:type="spellEnd"/>
      <w:r w:rsidRPr="00CD4311">
        <w:rPr>
          <w:rFonts w:ascii="Times New Roman" w:hAnsi="Times New Roman" w:cs="Times New Roman"/>
          <w:lang w:val="de-DE"/>
        </w:rPr>
        <w:t xml:space="preserve"> </w:t>
      </w:r>
      <w:proofErr w:type="spellStart"/>
      <w:r w:rsidRPr="00CD4311">
        <w:rPr>
          <w:rFonts w:ascii="Times New Roman" w:hAnsi="Times New Roman" w:cs="Times New Roman"/>
          <w:lang w:val="de-DE"/>
        </w:rPr>
        <w:t>Igaunijas</w:t>
      </w:r>
      <w:proofErr w:type="spellEnd"/>
      <w:r w:rsidRPr="00CD4311">
        <w:rPr>
          <w:rFonts w:ascii="Times New Roman" w:hAnsi="Times New Roman" w:cs="Times New Roman"/>
          <w:lang w:val="de-DE"/>
        </w:rPr>
        <w:t xml:space="preserve"> </w:t>
      </w:r>
      <w:proofErr w:type="spellStart"/>
      <w:r w:rsidRPr="00CD4311">
        <w:rPr>
          <w:rFonts w:ascii="Times New Roman" w:hAnsi="Times New Roman" w:cs="Times New Roman"/>
          <w:lang w:val="de-DE"/>
        </w:rPr>
        <w:t>Notariālā</w:t>
      </w:r>
      <w:proofErr w:type="spellEnd"/>
      <w:r w:rsidRPr="00CD4311">
        <w:rPr>
          <w:rFonts w:ascii="Times New Roman" w:hAnsi="Times New Roman" w:cs="Times New Roman"/>
          <w:lang w:val="de-DE"/>
        </w:rPr>
        <w:t xml:space="preserve"> </w:t>
      </w:r>
      <w:proofErr w:type="spellStart"/>
      <w:r w:rsidRPr="00CD4311">
        <w:rPr>
          <w:rFonts w:ascii="Times New Roman" w:hAnsi="Times New Roman" w:cs="Times New Roman"/>
          <w:lang w:val="de-DE"/>
        </w:rPr>
        <w:t>likuma</w:t>
      </w:r>
      <w:proofErr w:type="spellEnd"/>
      <w:r w:rsidRPr="00CD4311">
        <w:rPr>
          <w:rFonts w:ascii="Times New Roman" w:hAnsi="Times New Roman" w:cs="Times New Roman"/>
          <w:lang w:val="de-DE"/>
        </w:rPr>
        <w:t xml:space="preserve"> 56.panta </w:t>
      </w:r>
      <w:proofErr w:type="spellStart"/>
      <w:r w:rsidRPr="00CD4311">
        <w:rPr>
          <w:rFonts w:ascii="Times New Roman" w:hAnsi="Times New Roman" w:cs="Times New Roman"/>
          <w:lang w:val="de-DE"/>
        </w:rPr>
        <w:t>ceturtā</w:t>
      </w:r>
      <w:proofErr w:type="spellEnd"/>
      <w:r w:rsidRPr="00CD4311">
        <w:rPr>
          <w:rFonts w:ascii="Times New Roman" w:hAnsi="Times New Roman" w:cs="Times New Roman"/>
          <w:lang w:val="de-DE"/>
        </w:rPr>
        <w:t xml:space="preserve"> </w:t>
      </w:r>
      <w:proofErr w:type="spellStart"/>
      <w:r w:rsidRPr="00CD4311">
        <w:rPr>
          <w:rFonts w:ascii="Times New Roman" w:hAnsi="Times New Roman" w:cs="Times New Roman"/>
          <w:lang w:val="de-DE"/>
        </w:rPr>
        <w:t>daļa</w:t>
      </w:r>
      <w:proofErr w:type="spellEnd"/>
      <w:r w:rsidRPr="00CD4311">
        <w:rPr>
          <w:rFonts w:ascii="Times New Roman" w:hAnsi="Times New Roman" w:cs="Times New Roman"/>
          <w:lang w:val="de-DE"/>
        </w:rPr>
        <w:t xml:space="preserve"> </w:t>
      </w:r>
      <w:proofErr w:type="spellStart"/>
      <w:r w:rsidRPr="00CD4311">
        <w:rPr>
          <w:rFonts w:ascii="Times New Roman" w:hAnsi="Times New Roman" w:cs="Times New Roman"/>
          <w:lang w:val="de-DE"/>
        </w:rPr>
        <w:t>arī</w:t>
      </w:r>
      <w:proofErr w:type="spellEnd"/>
      <w:r w:rsidRPr="00CD4311">
        <w:rPr>
          <w:rFonts w:ascii="Times New Roman" w:hAnsi="Times New Roman" w:cs="Times New Roman"/>
          <w:lang w:val="de-DE"/>
        </w:rPr>
        <w:t xml:space="preserve"> </w:t>
      </w:r>
      <w:proofErr w:type="spellStart"/>
      <w:r w:rsidRPr="00CD4311">
        <w:rPr>
          <w:rFonts w:ascii="Times New Roman" w:hAnsi="Times New Roman" w:cs="Times New Roman"/>
          <w:lang w:val="de-DE"/>
        </w:rPr>
        <w:t>nosaka</w:t>
      </w:r>
      <w:proofErr w:type="spellEnd"/>
      <w:r w:rsidRPr="00CD4311">
        <w:rPr>
          <w:rFonts w:ascii="Times New Roman" w:hAnsi="Times New Roman" w:cs="Times New Roman"/>
          <w:lang w:val="de-DE"/>
        </w:rPr>
        <w:t xml:space="preserve">, </w:t>
      </w:r>
      <w:proofErr w:type="spellStart"/>
      <w:r w:rsidRPr="00CD4311">
        <w:rPr>
          <w:rFonts w:ascii="Times New Roman" w:hAnsi="Times New Roman" w:cs="Times New Roman"/>
          <w:lang w:val="de-DE"/>
        </w:rPr>
        <w:t>ka</w:t>
      </w:r>
      <w:proofErr w:type="spellEnd"/>
      <w:r w:rsidRPr="00CD4311">
        <w:rPr>
          <w:rFonts w:ascii="Times New Roman" w:hAnsi="Times New Roman" w:cs="Times New Roman"/>
          <w:lang w:val="de-DE"/>
        </w:rPr>
        <w:t xml:space="preserve"> </w:t>
      </w:r>
      <w:proofErr w:type="spellStart"/>
      <w:r w:rsidRPr="00CD4311">
        <w:rPr>
          <w:rFonts w:ascii="Times New Roman" w:hAnsi="Times New Roman" w:cs="Times New Roman"/>
          <w:lang w:val="de-DE"/>
        </w:rPr>
        <w:t>ārvalsts</w:t>
      </w:r>
      <w:proofErr w:type="spellEnd"/>
      <w:r w:rsidRPr="00CD4311">
        <w:rPr>
          <w:rFonts w:ascii="Times New Roman" w:hAnsi="Times New Roman" w:cs="Times New Roman"/>
          <w:lang w:val="de-DE"/>
        </w:rPr>
        <w:t xml:space="preserve"> </w:t>
      </w:r>
      <w:proofErr w:type="spellStart"/>
      <w:r w:rsidRPr="00CD4311">
        <w:rPr>
          <w:rFonts w:ascii="Times New Roman" w:hAnsi="Times New Roman" w:cs="Times New Roman"/>
          <w:lang w:val="de-DE"/>
        </w:rPr>
        <w:t>oficiālās</w:t>
      </w:r>
      <w:proofErr w:type="spellEnd"/>
      <w:r w:rsidRPr="00CD4311">
        <w:rPr>
          <w:rFonts w:ascii="Times New Roman" w:hAnsi="Times New Roman" w:cs="Times New Roman"/>
          <w:lang w:val="de-DE"/>
        </w:rPr>
        <w:t xml:space="preserve"> </w:t>
      </w:r>
      <w:proofErr w:type="spellStart"/>
      <w:r w:rsidRPr="00CD4311">
        <w:rPr>
          <w:rFonts w:ascii="Times New Roman" w:hAnsi="Times New Roman" w:cs="Times New Roman"/>
          <w:lang w:val="de-DE"/>
        </w:rPr>
        <w:t>amatpersonas</w:t>
      </w:r>
      <w:proofErr w:type="spellEnd"/>
      <w:r w:rsidRPr="00CD4311">
        <w:rPr>
          <w:rFonts w:ascii="Times New Roman" w:hAnsi="Times New Roman" w:cs="Times New Roman"/>
          <w:lang w:val="de-DE"/>
        </w:rPr>
        <w:t xml:space="preserve"> </w:t>
      </w:r>
      <w:proofErr w:type="spellStart"/>
      <w:r w:rsidRPr="00CD4311">
        <w:rPr>
          <w:rFonts w:ascii="Times New Roman" w:hAnsi="Times New Roman" w:cs="Times New Roman"/>
          <w:lang w:val="de-DE"/>
        </w:rPr>
        <w:t>apliecinājums</w:t>
      </w:r>
      <w:proofErr w:type="spellEnd"/>
      <w:r w:rsidRPr="00CD4311">
        <w:rPr>
          <w:rFonts w:ascii="Times New Roman" w:hAnsi="Times New Roman" w:cs="Times New Roman"/>
          <w:lang w:val="de-DE"/>
        </w:rPr>
        <w:t xml:space="preserve"> </w:t>
      </w:r>
      <w:proofErr w:type="spellStart"/>
      <w:r w:rsidRPr="00CD4311">
        <w:rPr>
          <w:rFonts w:ascii="Times New Roman" w:hAnsi="Times New Roman" w:cs="Times New Roman"/>
          <w:lang w:val="de-DE"/>
        </w:rPr>
        <w:t>un</w:t>
      </w:r>
      <w:proofErr w:type="spellEnd"/>
      <w:r w:rsidRPr="00CD4311">
        <w:rPr>
          <w:rFonts w:ascii="Times New Roman" w:hAnsi="Times New Roman" w:cs="Times New Roman"/>
          <w:lang w:val="de-DE"/>
        </w:rPr>
        <w:t xml:space="preserve"> </w:t>
      </w:r>
      <w:proofErr w:type="spellStart"/>
      <w:r w:rsidRPr="00CD4311">
        <w:rPr>
          <w:rFonts w:ascii="Times New Roman" w:hAnsi="Times New Roman" w:cs="Times New Roman"/>
          <w:lang w:val="de-DE"/>
        </w:rPr>
        <w:t>tā</w:t>
      </w:r>
      <w:proofErr w:type="spellEnd"/>
      <w:r w:rsidRPr="00CD4311">
        <w:rPr>
          <w:rFonts w:ascii="Times New Roman" w:hAnsi="Times New Roman" w:cs="Times New Roman"/>
          <w:lang w:val="de-DE"/>
        </w:rPr>
        <w:t xml:space="preserve"> </w:t>
      </w:r>
      <w:proofErr w:type="spellStart"/>
      <w:r w:rsidRPr="00CD4311">
        <w:rPr>
          <w:rFonts w:ascii="Times New Roman" w:hAnsi="Times New Roman" w:cs="Times New Roman"/>
          <w:lang w:val="de-DE"/>
        </w:rPr>
        <w:t>legalizācija</w:t>
      </w:r>
      <w:proofErr w:type="spellEnd"/>
      <w:r w:rsidRPr="00CD4311">
        <w:rPr>
          <w:rFonts w:ascii="Times New Roman" w:hAnsi="Times New Roman" w:cs="Times New Roman"/>
          <w:lang w:val="de-DE"/>
        </w:rPr>
        <w:t xml:space="preserve"> </w:t>
      </w:r>
      <w:proofErr w:type="spellStart"/>
      <w:r w:rsidRPr="00CD4311">
        <w:rPr>
          <w:rFonts w:ascii="Times New Roman" w:hAnsi="Times New Roman" w:cs="Times New Roman"/>
          <w:lang w:val="de-DE"/>
        </w:rPr>
        <w:t>nav</w:t>
      </w:r>
      <w:proofErr w:type="spellEnd"/>
      <w:r w:rsidRPr="00CD4311">
        <w:rPr>
          <w:rFonts w:ascii="Times New Roman" w:hAnsi="Times New Roman" w:cs="Times New Roman"/>
          <w:lang w:val="de-DE"/>
        </w:rPr>
        <w:t xml:space="preserve"> </w:t>
      </w:r>
      <w:proofErr w:type="spellStart"/>
      <w:r w:rsidRPr="00CD4311">
        <w:rPr>
          <w:rFonts w:ascii="Times New Roman" w:hAnsi="Times New Roman" w:cs="Times New Roman"/>
          <w:lang w:val="de-DE"/>
        </w:rPr>
        <w:t>pietiekami</w:t>
      </w:r>
      <w:proofErr w:type="spellEnd"/>
      <w:r w:rsidRPr="00CD4311">
        <w:rPr>
          <w:rFonts w:ascii="Times New Roman" w:hAnsi="Times New Roman" w:cs="Times New Roman"/>
          <w:lang w:val="de-DE"/>
        </w:rPr>
        <w:t xml:space="preserve">, ja </w:t>
      </w:r>
      <w:proofErr w:type="spellStart"/>
      <w:r w:rsidRPr="00CD4311">
        <w:rPr>
          <w:rFonts w:ascii="Times New Roman" w:hAnsi="Times New Roman" w:cs="Times New Roman"/>
          <w:lang w:val="de-DE"/>
        </w:rPr>
        <w:t>Igaunijas</w:t>
      </w:r>
      <w:proofErr w:type="spellEnd"/>
      <w:r w:rsidRPr="00CD4311">
        <w:rPr>
          <w:rFonts w:ascii="Times New Roman" w:hAnsi="Times New Roman" w:cs="Times New Roman"/>
          <w:lang w:val="de-DE"/>
        </w:rPr>
        <w:t xml:space="preserve"> </w:t>
      </w:r>
      <w:proofErr w:type="spellStart"/>
      <w:r w:rsidRPr="00CD4311">
        <w:rPr>
          <w:rFonts w:ascii="Times New Roman" w:hAnsi="Times New Roman" w:cs="Times New Roman"/>
          <w:lang w:val="de-DE"/>
        </w:rPr>
        <w:t>likums</w:t>
      </w:r>
      <w:proofErr w:type="spellEnd"/>
      <w:r w:rsidRPr="00CD4311">
        <w:rPr>
          <w:rFonts w:ascii="Times New Roman" w:hAnsi="Times New Roman" w:cs="Times New Roman"/>
          <w:lang w:val="de-DE"/>
        </w:rPr>
        <w:t xml:space="preserve"> </w:t>
      </w:r>
      <w:proofErr w:type="spellStart"/>
      <w:r w:rsidRPr="00CD4311">
        <w:rPr>
          <w:rFonts w:ascii="Times New Roman" w:hAnsi="Times New Roman" w:cs="Times New Roman"/>
          <w:lang w:val="de-DE"/>
        </w:rPr>
        <w:t>prasa</w:t>
      </w:r>
      <w:proofErr w:type="spellEnd"/>
      <w:r w:rsidRPr="00CD4311">
        <w:rPr>
          <w:rFonts w:ascii="Times New Roman" w:hAnsi="Times New Roman" w:cs="Times New Roman"/>
          <w:lang w:val="de-DE"/>
        </w:rPr>
        <w:t xml:space="preserve"> </w:t>
      </w:r>
      <w:proofErr w:type="spellStart"/>
      <w:r w:rsidRPr="00CD4311">
        <w:rPr>
          <w:rFonts w:ascii="Times New Roman" w:hAnsi="Times New Roman" w:cs="Times New Roman"/>
          <w:b/>
          <w:lang w:val="de-DE"/>
        </w:rPr>
        <w:t>notariālu</w:t>
      </w:r>
      <w:proofErr w:type="spellEnd"/>
      <w:r w:rsidRPr="00CD4311">
        <w:rPr>
          <w:rFonts w:ascii="Times New Roman" w:hAnsi="Times New Roman" w:cs="Times New Roman"/>
          <w:b/>
          <w:lang w:val="de-DE"/>
        </w:rPr>
        <w:t xml:space="preserve"> </w:t>
      </w:r>
      <w:proofErr w:type="spellStart"/>
      <w:r w:rsidRPr="00CD4311">
        <w:rPr>
          <w:rFonts w:ascii="Times New Roman" w:hAnsi="Times New Roman" w:cs="Times New Roman"/>
          <w:lang w:val="de-DE"/>
        </w:rPr>
        <w:t>apliecinājumu</w:t>
      </w:r>
      <w:proofErr w:type="spellEnd"/>
      <w:r w:rsidRPr="00CD4311">
        <w:rPr>
          <w:rFonts w:ascii="Times New Roman" w:hAnsi="Times New Roman" w:cs="Times New Roman"/>
          <w:lang w:val="de-DE"/>
        </w:rPr>
        <w:t xml:space="preserve">. </w:t>
      </w:r>
      <w:proofErr w:type="spellStart"/>
      <w:r w:rsidRPr="00CD4311">
        <w:rPr>
          <w:rFonts w:ascii="Times New Roman" w:hAnsi="Times New Roman" w:cs="Times New Roman"/>
          <w:lang w:val="de-DE"/>
        </w:rPr>
        <w:t>Tātad</w:t>
      </w:r>
      <w:proofErr w:type="spellEnd"/>
      <w:r w:rsidRPr="00CD4311">
        <w:rPr>
          <w:rFonts w:ascii="Times New Roman" w:hAnsi="Times New Roman" w:cs="Times New Roman"/>
          <w:lang w:val="de-DE"/>
        </w:rPr>
        <w:t xml:space="preserve">, </w:t>
      </w:r>
      <w:proofErr w:type="spellStart"/>
      <w:r w:rsidRPr="00CD4311">
        <w:rPr>
          <w:rFonts w:ascii="Times New Roman" w:hAnsi="Times New Roman" w:cs="Times New Roman"/>
          <w:lang w:val="de-DE"/>
        </w:rPr>
        <w:t>arī</w:t>
      </w:r>
      <w:proofErr w:type="spellEnd"/>
      <w:r w:rsidRPr="00CD4311">
        <w:rPr>
          <w:rFonts w:ascii="Times New Roman" w:hAnsi="Times New Roman" w:cs="Times New Roman"/>
          <w:lang w:val="de-DE"/>
        </w:rPr>
        <w:t xml:space="preserve"> </w:t>
      </w:r>
      <w:proofErr w:type="spellStart"/>
      <w:r w:rsidRPr="00CD4311">
        <w:rPr>
          <w:rFonts w:ascii="Times New Roman" w:hAnsi="Times New Roman" w:cs="Times New Roman"/>
          <w:lang w:val="de-DE"/>
        </w:rPr>
        <w:t>šajos</w:t>
      </w:r>
      <w:proofErr w:type="spellEnd"/>
      <w:r w:rsidRPr="00CD4311">
        <w:rPr>
          <w:rFonts w:ascii="Times New Roman" w:hAnsi="Times New Roman" w:cs="Times New Roman"/>
          <w:lang w:val="de-DE"/>
        </w:rPr>
        <w:t xml:space="preserve"> </w:t>
      </w:r>
      <w:proofErr w:type="spellStart"/>
      <w:r w:rsidRPr="00CD4311">
        <w:rPr>
          <w:rFonts w:ascii="Times New Roman" w:hAnsi="Times New Roman" w:cs="Times New Roman"/>
          <w:lang w:val="de-DE"/>
        </w:rPr>
        <w:t>gadījumos</w:t>
      </w:r>
      <w:proofErr w:type="spellEnd"/>
      <w:r w:rsidRPr="00CD4311">
        <w:rPr>
          <w:rFonts w:ascii="Times New Roman" w:hAnsi="Times New Roman" w:cs="Times New Roman"/>
          <w:lang w:val="de-DE"/>
        </w:rPr>
        <w:t xml:space="preserve"> </w:t>
      </w:r>
      <w:proofErr w:type="spellStart"/>
      <w:r w:rsidRPr="00CD4311">
        <w:rPr>
          <w:rFonts w:ascii="Times New Roman" w:hAnsi="Times New Roman" w:cs="Times New Roman"/>
          <w:lang w:val="de-DE"/>
        </w:rPr>
        <w:t>Igaunijā</w:t>
      </w:r>
      <w:proofErr w:type="spellEnd"/>
      <w:r w:rsidRPr="00CD4311">
        <w:rPr>
          <w:rFonts w:ascii="Times New Roman" w:hAnsi="Times New Roman" w:cs="Times New Roman"/>
          <w:lang w:val="de-DE"/>
        </w:rPr>
        <w:t xml:space="preserve"> </w:t>
      </w:r>
      <w:proofErr w:type="spellStart"/>
      <w:r w:rsidRPr="00CD4311">
        <w:rPr>
          <w:rFonts w:ascii="Times New Roman" w:hAnsi="Times New Roman" w:cs="Times New Roman"/>
          <w:lang w:val="de-DE"/>
        </w:rPr>
        <w:t>pielieto</w:t>
      </w:r>
      <w:proofErr w:type="spellEnd"/>
      <w:r w:rsidRPr="00CD4311">
        <w:rPr>
          <w:rFonts w:ascii="Times New Roman" w:hAnsi="Times New Roman" w:cs="Times New Roman"/>
          <w:lang w:val="de-DE"/>
        </w:rPr>
        <w:t xml:space="preserve"> </w:t>
      </w:r>
      <w:proofErr w:type="spellStart"/>
      <w:r w:rsidRPr="00CD4311">
        <w:rPr>
          <w:rFonts w:ascii="Times New Roman" w:hAnsi="Times New Roman" w:cs="Times New Roman"/>
          <w:lang w:val="de-DE"/>
        </w:rPr>
        <w:t>ekvivalenci</w:t>
      </w:r>
      <w:proofErr w:type="spellEnd"/>
      <w:r w:rsidRPr="00CD4311">
        <w:rPr>
          <w:rFonts w:ascii="Times New Roman" w:hAnsi="Times New Roman" w:cs="Times New Roman"/>
          <w:lang w:val="de-DE"/>
        </w:rPr>
        <w:t xml:space="preserve"> </w:t>
      </w:r>
      <w:proofErr w:type="spellStart"/>
      <w:r w:rsidRPr="00CD4311">
        <w:rPr>
          <w:rFonts w:ascii="Times New Roman" w:hAnsi="Times New Roman" w:cs="Times New Roman"/>
          <w:lang w:val="de-DE"/>
        </w:rPr>
        <w:t>un</w:t>
      </w:r>
      <w:proofErr w:type="spellEnd"/>
      <w:r w:rsidRPr="00CD4311">
        <w:rPr>
          <w:rFonts w:ascii="Times New Roman" w:hAnsi="Times New Roman" w:cs="Times New Roman"/>
          <w:lang w:val="de-DE"/>
        </w:rPr>
        <w:t xml:space="preserve"> </w:t>
      </w:r>
      <w:proofErr w:type="spellStart"/>
      <w:r w:rsidRPr="00CD4311">
        <w:rPr>
          <w:rFonts w:ascii="Times New Roman" w:hAnsi="Times New Roman" w:cs="Times New Roman"/>
          <w:i/>
          <w:lang w:val="de-DE"/>
        </w:rPr>
        <w:t>lex</w:t>
      </w:r>
      <w:proofErr w:type="spellEnd"/>
      <w:r w:rsidRPr="00CD4311">
        <w:rPr>
          <w:rFonts w:ascii="Times New Roman" w:hAnsi="Times New Roman" w:cs="Times New Roman"/>
          <w:i/>
          <w:lang w:val="de-DE"/>
        </w:rPr>
        <w:t xml:space="preserve"> </w:t>
      </w:r>
      <w:proofErr w:type="spellStart"/>
      <w:r w:rsidRPr="00CD4311">
        <w:rPr>
          <w:rFonts w:ascii="Times New Roman" w:hAnsi="Times New Roman" w:cs="Times New Roman"/>
          <w:i/>
          <w:lang w:val="de-DE"/>
        </w:rPr>
        <w:t>fori</w:t>
      </w:r>
      <w:proofErr w:type="spellEnd"/>
      <w:r w:rsidRPr="00CD4311">
        <w:rPr>
          <w:rFonts w:ascii="Times New Roman" w:hAnsi="Times New Roman" w:cs="Times New Roman"/>
          <w:lang w:val="de-DE"/>
        </w:rPr>
        <w:t xml:space="preserve"> </w:t>
      </w:r>
      <w:proofErr w:type="spellStart"/>
      <w:r w:rsidRPr="00CD4311">
        <w:rPr>
          <w:rFonts w:ascii="Times New Roman" w:hAnsi="Times New Roman" w:cs="Times New Roman"/>
          <w:lang w:val="de-DE"/>
        </w:rPr>
        <w:t>noteiktās</w:t>
      </w:r>
      <w:proofErr w:type="spellEnd"/>
      <w:r w:rsidRPr="00CD4311">
        <w:rPr>
          <w:rFonts w:ascii="Times New Roman" w:hAnsi="Times New Roman" w:cs="Times New Roman"/>
          <w:lang w:val="de-DE"/>
        </w:rPr>
        <w:t xml:space="preserve"> </w:t>
      </w:r>
      <w:proofErr w:type="spellStart"/>
      <w:r w:rsidRPr="00CD4311">
        <w:rPr>
          <w:rFonts w:ascii="Times New Roman" w:hAnsi="Times New Roman" w:cs="Times New Roman"/>
          <w:lang w:val="de-DE"/>
        </w:rPr>
        <w:t>prasības</w:t>
      </w:r>
      <w:proofErr w:type="spellEnd"/>
      <w:r w:rsidRPr="00CD4311">
        <w:rPr>
          <w:rFonts w:ascii="Times New Roman" w:hAnsi="Times New Roman" w:cs="Times New Roman"/>
          <w:lang w:val="de-DE"/>
        </w:rPr>
        <w:t>.</w:t>
      </w:r>
    </w:p>
    <w:p w14:paraId="23B32872" w14:textId="77777777" w:rsidR="00114953" w:rsidRPr="00CD4311" w:rsidRDefault="00114953" w:rsidP="00114953">
      <w:pPr>
        <w:ind w:firstLine="708"/>
        <w:jc w:val="both"/>
        <w:rPr>
          <w:rFonts w:ascii="Times New Roman" w:hAnsi="Times New Roman" w:cs="Times New Roman"/>
          <w:lang w:val="de-DE"/>
        </w:rPr>
      </w:pPr>
      <w:proofErr w:type="spellStart"/>
      <w:r w:rsidRPr="00CD4311">
        <w:rPr>
          <w:rFonts w:ascii="Times New Roman" w:hAnsi="Times New Roman" w:cs="Times New Roman"/>
          <w:lang w:val="de-DE"/>
        </w:rPr>
        <w:t>Autoresprāt</w:t>
      </w:r>
      <w:proofErr w:type="spellEnd"/>
      <w:r w:rsidRPr="00CD4311">
        <w:rPr>
          <w:rFonts w:ascii="Times New Roman" w:hAnsi="Times New Roman" w:cs="Times New Roman"/>
          <w:lang w:val="de-DE"/>
        </w:rPr>
        <w:t xml:space="preserve">, </w:t>
      </w:r>
      <w:proofErr w:type="spellStart"/>
      <w:r w:rsidRPr="00CD4311">
        <w:rPr>
          <w:rFonts w:ascii="Times New Roman" w:hAnsi="Times New Roman" w:cs="Times New Roman"/>
          <w:lang w:val="de-DE"/>
        </w:rPr>
        <w:t>Igaunijas</w:t>
      </w:r>
      <w:proofErr w:type="spellEnd"/>
      <w:r w:rsidRPr="00CD4311">
        <w:rPr>
          <w:rFonts w:ascii="Times New Roman" w:hAnsi="Times New Roman" w:cs="Times New Roman"/>
          <w:lang w:val="de-DE"/>
        </w:rPr>
        <w:t xml:space="preserve"> </w:t>
      </w:r>
      <w:proofErr w:type="spellStart"/>
      <w:r w:rsidRPr="00CD4311">
        <w:rPr>
          <w:rFonts w:ascii="Times New Roman" w:hAnsi="Times New Roman" w:cs="Times New Roman"/>
          <w:lang w:val="de-DE"/>
        </w:rPr>
        <w:t>tieslietu</w:t>
      </w:r>
      <w:proofErr w:type="spellEnd"/>
      <w:r w:rsidRPr="00CD4311">
        <w:rPr>
          <w:rFonts w:ascii="Times New Roman" w:hAnsi="Times New Roman" w:cs="Times New Roman"/>
          <w:lang w:val="de-DE"/>
        </w:rPr>
        <w:t xml:space="preserve"> </w:t>
      </w:r>
      <w:proofErr w:type="spellStart"/>
      <w:r w:rsidRPr="00CD4311">
        <w:rPr>
          <w:rFonts w:ascii="Times New Roman" w:hAnsi="Times New Roman" w:cs="Times New Roman"/>
          <w:lang w:val="de-DE"/>
        </w:rPr>
        <w:t>ministra</w:t>
      </w:r>
      <w:proofErr w:type="spellEnd"/>
      <w:r w:rsidRPr="00CD4311">
        <w:rPr>
          <w:rFonts w:ascii="Times New Roman" w:hAnsi="Times New Roman" w:cs="Times New Roman"/>
          <w:lang w:val="de-DE"/>
        </w:rPr>
        <w:t xml:space="preserve"> </w:t>
      </w:r>
      <w:proofErr w:type="spellStart"/>
      <w:r w:rsidRPr="00CD4311">
        <w:rPr>
          <w:rFonts w:ascii="Times New Roman" w:hAnsi="Times New Roman" w:cs="Times New Roman"/>
          <w:lang w:val="de-DE"/>
        </w:rPr>
        <w:t>rīkojumā</w:t>
      </w:r>
      <w:proofErr w:type="spellEnd"/>
      <w:r w:rsidRPr="00CD4311">
        <w:rPr>
          <w:rFonts w:ascii="Times New Roman" w:hAnsi="Times New Roman" w:cs="Times New Roman"/>
          <w:lang w:val="de-DE"/>
        </w:rPr>
        <w:t xml:space="preserve"> </w:t>
      </w:r>
      <w:proofErr w:type="spellStart"/>
      <w:r w:rsidRPr="00CD4311">
        <w:rPr>
          <w:rFonts w:ascii="Times New Roman" w:hAnsi="Times New Roman" w:cs="Times New Roman"/>
          <w:lang w:val="de-DE"/>
        </w:rPr>
        <w:t>tomēr</w:t>
      </w:r>
      <w:proofErr w:type="spellEnd"/>
      <w:r w:rsidRPr="00CD4311">
        <w:rPr>
          <w:rFonts w:ascii="Times New Roman" w:hAnsi="Times New Roman" w:cs="Times New Roman"/>
          <w:lang w:val="de-DE"/>
        </w:rPr>
        <w:t xml:space="preserve"> </w:t>
      </w:r>
      <w:proofErr w:type="spellStart"/>
      <w:r w:rsidRPr="00CD4311">
        <w:rPr>
          <w:rFonts w:ascii="Times New Roman" w:hAnsi="Times New Roman" w:cs="Times New Roman"/>
          <w:lang w:val="de-DE"/>
        </w:rPr>
        <w:t>nav</w:t>
      </w:r>
      <w:proofErr w:type="spellEnd"/>
      <w:r w:rsidRPr="00CD4311">
        <w:rPr>
          <w:rFonts w:ascii="Times New Roman" w:hAnsi="Times New Roman" w:cs="Times New Roman"/>
          <w:lang w:val="de-DE"/>
        </w:rPr>
        <w:t xml:space="preserve"> </w:t>
      </w:r>
      <w:proofErr w:type="spellStart"/>
      <w:r w:rsidRPr="00CD4311">
        <w:rPr>
          <w:rFonts w:ascii="Times New Roman" w:hAnsi="Times New Roman" w:cs="Times New Roman"/>
          <w:lang w:val="de-DE"/>
        </w:rPr>
        <w:t>konkretizēts</w:t>
      </w:r>
      <w:proofErr w:type="spellEnd"/>
      <w:r w:rsidRPr="00CD4311">
        <w:rPr>
          <w:rFonts w:ascii="Times New Roman" w:hAnsi="Times New Roman" w:cs="Times New Roman"/>
          <w:lang w:val="de-DE"/>
        </w:rPr>
        <w:t xml:space="preserve">, </w:t>
      </w:r>
      <w:proofErr w:type="spellStart"/>
      <w:r w:rsidRPr="00CD4311">
        <w:rPr>
          <w:rFonts w:ascii="Times New Roman" w:hAnsi="Times New Roman" w:cs="Times New Roman"/>
          <w:lang w:val="de-DE"/>
        </w:rPr>
        <w:t>vai</w:t>
      </w:r>
      <w:proofErr w:type="spellEnd"/>
      <w:r w:rsidRPr="00CD4311">
        <w:rPr>
          <w:rFonts w:ascii="Times New Roman" w:hAnsi="Times New Roman" w:cs="Times New Roman"/>
          <w:lang w:val="de-DE"/>
        </w:rPr>
        <w:t xml:space="preserve">, </w:t>
      </w:r>
      <w:proofErr w:type="spellStart"/>
      <w:r w:rsidRPr="00CD4311">
        <w:rPr>
          <w:rFonts w:ascii="Times New Roman" w:hAnsi="Times New Roman" w:cs="Times New Roman"/>
          <w:lang w:val="de-DE"/>
        </w:rPr>
        <w:t>piemēram</w:t>
      </w:r>
      <w:proofErr w:type="spellEnd"/>
      <w:r w:rsidRPr="00CD4311">
        <w:rPr>
          <w:rFonts w:ascii="Times New Roman" w:hAnsi="Times New Roman" w:cs="Times New Roman"/>
          <w:lang w:val="de-DE"/>
        </w:rPr>
        <w:t xml:space="preserve">, </w:t>
      </w:r>
      <w:proofErr w:type="spellStart"/>
      <w:r w:rsidRPr="00CD4311">
        <w:rPr>
          <w:rFonts w:ascii="Times New Roman" w:hAnsi="Times New Roman" w:cs="Times New Roman"/>
          <w:lang w:val="de-DE"/>
        </w:rPr>
        <w:t>ar</w:t>
      </w:r>
      <w:proofErr w:type="spellEnd"/>
      <w:r w:rsidRPr="00CD4311">
        <w:rPr>
          <w:rFonts w:ascii="Times New Roman" w:hAnsi="Times New Roman" w:cs="Times New Roman"/>
          <w:lang w:val="de-DE"/>
        </w:rPr>
        <w:t xml:space="preserve"> „</w:t>
      </w:r>
      <w:proofErr w:type="spellStart"/>
      <w:r w:rsidRPr="00CD4311">
        <w:rPr>
          <w:rFonts w:ascii="Times New Roman" w:hAnsi="Times New Roman" w:cs="Times New Roman"/>
          <w:lang w:val="de-DE"/>
        </w:rPr>
        <w:t>citu</w:t>
      </w:r>
      <w:proofErr w:type="spellEnd"/>
      <w:r w:rsidRPr="00CD4311">
        <w:rPr>
          <w:rFonts w:ascii="Times New Roman" w:hAnsi="Times New Roman" w:cs="Times New Roman"/>
          <w:lang w:val="de-DE"/>
        </w:rPr>
        <w:t xml:space="preserve"> </w:t>
      </w:r>
      <w:proofErr w:type="spellStart"/>
      <w:r w:rsidRPr="00CD4311">
        <w:rPr>
          <w:rFonts w:ascii="Times New Roman" w:hAnsi="Times New Roman" w:cs="Times New Roman"/>
          <w:lang w:val="de-DE"/>
        </w:rPr>
        <w:t>amatpersonu</w:t>
      </w:r>
      <w:proofErr w:type="spellEnd"/>
      <w:r w:rsidRPr="00CD4311">
        <w:rPr>
          <w:rFonts w:ascii="Times New Roman" w:hAnsi="Times New Roman" w:cs="Times New Roman"/>
          <w:lang w:val="de-DE"/>
        </w:rPr>
        <w:t xml:space="preserve">“ ASV </w:t>
      </w:r>
      <w:proofErr w:type="spellStart"/>
      <w:r w:rsidRPr="00CD4311">
        <w:rPr>
          <w:rFonts w:ascii="Times New Roman" w:hAnsi="Times New Roman" w:cs="Times New Roman"/>
          <w:lang w:val="de-DE"/>
        </w:rPr>
        <w:t>ir</w:t>
      </w:r>
      <w:proofErr w:type="spellEnd"/>
      <w:r w:rsidRPr="00CD4311">
        <w:rPr>
          <w:rFonts w:ascii="Times New Roman" w:hAnsi="Times New Roman" w:cs="Times New Roman"/>
          <w:lang w:val="de-DE"/>
        </w:rPr>
        <w:t xml:space="preserve"> </w:t>
      </w:r>
      <w:proofErr w:type="spellStart"/>
      <w:r w:rsidRPr="00CD4311">
        <w:rPr>
          <w:rFonts w:ascii="Times New Roman" w:hAnsi="Times New Roman" w:cs="Times New Roman"/>
          <w:lang w:val="de-DE"/>
        </w:rPr>
        <w:t>jāsaprot</w:t>
      </w:r>
      <w:proofErr w:type="spellEnd"/>
      <w:r w:rsidRPr="00CD4311">
        <w:rPr>
          <w:rFonts w:ascii="Times New Roman" w:hAnsi="Times New Roman" w:cs="Times New Roman"/>
          <w:lang w:val="de-DE"/>
        </w:rPr>
        <w:t xml:space="preserve"> </w:t>
      </w:r>
      <w:proofErr w:type="spellStart"/>
      <w:r w:rsidRPr="00CD4311">
        <w:rPr>
          <w:rFonts w:ascii="Times New Roman" w:hAnsi="Times New Roman" w:cs="Times New Roman"/>
          <w:lang w:val="de-DE"/>
        </w:rPr>
        <w:t>tikai</w:t>
      </w:r>
      <w:proofErr w:type="spellEnd"/>
      <w:r w:rsidRPr="00CD4311">
        <w:rPr>
          <w:rFonts w:ascii="Times New Roman" w:hAnsi="Times New Roman" w:cs="Times New Roman"/>
          <w:lang w:val="de-DE"/>
        </w:rPr>
        <w:t xml:space="preserve"> </w:t>
      </w:r>
      <w:proofErr w:type="spellStart"/>
      <w:r w:rsidRPr="000C7C76">
        <w:rPr>
          <w:rFonts w:ascii="Times New Roman" w:hAnsi="Times New Roman" w:cs="Times New Roman"/>
          <w:i/>
          <w:lang w:val="de-DE"/>
        </w:rPr>
        <w:t>lawyers</w:t>
      </w:r>
      <w:proofErr w:type="spellEnd"/>
      <w:r w:rsidRPr="000C7C76">
        <w:rPr>
          <w:rFonts w:ascii="Times New Roman" w:hAnsi="Times New Roman" w:cs="Times New Roman"/>
          <w:i/>
          <w:lang w:val="de-DE"/>
        </w:rPr>
        <w:t xml:space="preserve"> </w:t>
      </w:r>
      <w:proofErr w:type="spellStart"/>
      <w:r w:rsidRPr="000C7C76">
        <w:rPr>
          <w:rFonts w:ascii="Times New Roman" w:hAnsi="Times New Roman" w:cs="Times New Roman"/>
          <w:i/>
          <w:lang w:val="de-DE"/>
        </w:rPr>
        <w:t>attorneys</w:t>
      </w:r>
      <w:proofErr w:type="spellEnd"/>
      <w:r w:rsidRPr="000C7C76">
        <w:rPr>
          <w:rFonts w:ascii="Times New Roman" w:hAnsi="Times New Roman" w:cs="Times New Roman"/>
          <w:i/>
          <w:lang w:val="de-DE"/>
        </w:rPr>
        <w:t xml:space="preserve"> </w:t>
      </w:r>
      <w:proofErr w:type="spellStart"/>
      <w:r w:rsidRPr="000C7C76">
        <w:rPr>
          <w:rFonts w:ascii="Times New Roman" w:hAnsi="Times New Roman" w:cs="Times New Roman"/>
          <w:lang w:val="de-DE"/>
        </w:rPr>
        <w:t>vai</w:t>
      </w:r>
      <w:proofErr w:type="spellEnd"/>
      <w:r w:rsidRPr="000C7C76">
        <w:rPr>
          <w:rFonts w:ascii="Times New Roman" w:hAnsi="Times New Roman" w:cs="Times New Roman"/>
          <w:lang w:val="de-DE"/>
        </w:rPr>
        <w:t xml:space="preserve"> </w:t>
      </w:r>
      <w:proofErr w:type="spellStart"/>
      <w:r w:rsidRPr="000C7C76">
        <w:rPr>
          <w:rFonts w:ascii="Times New Roman" w:hAnsi="Times New Roman" w:cs="Times New Roman"/>
          <w:lang w:val="de-DE"/>
        </w:rPr>
        <w:t>arī</w:t>
      </w:r>
      <w:proofErr w:type="spellEnd"/>
      <w:r w:rsidRPr="000C7C76">
        <w:rPr>
          <w:rFonts w:ascii="Times New Roman" w:hAnsi="Times New Roman" w:cs="Times New Roman"/>
          <w:lang w:val="de-DE"/>
        </w:rPr>
        <w:t xml:space="preserve"> </w:t>
      </w:r>
      <w:proofErr w:type="spellStart"/>
      <w:r w:rsidRPr="000C7C76">
        <w:rPr>
          <w:rFonts w:ascii="Times New Roman" w:hAnsi="Times New Roman" w:cs="Times New Roman"/>
          <w:i/>
          <w:lang w:val="de-DE"/>
        </w:rPr>
        <w:t>notaries</w:t>
      </w:r>
      <w:proofErr w:type="spellEnd"/>
      <w:r w:rsidRPr="000C7C76">
        <w:rPr>
          <w:rFonts w:ascii="Times New Roman" w:hAnsi="Times New Roman" w:cs="Times New Roman"/>
          <w:i/>
          <w:lang w:val="de-DE"/>
        </w:rPr>
        <w:t xml:space="preserve"> </w:t>
      </w:r>
      <w:proofErr w:type="spellStart"/>
      <w:r w:rsidRPr="000C7C76">
        <w:rPr>
          <w:rFonts w:ascii="Times New Roman" w:hAnsi="Times New Roman" w:cs="Times New Roman"/>
          <w:i/>
          <w:lang w:val="de-DE"/>
        </w:rPr>
        <w:t>public</w:t>
      </w:r>
      <w:proofErr w:type="spellEnd"/>
      <w:r w:rsidRPr="000C7C76">
        <w:rPr>
          <w:rFonts w:ascii="Times New Roman" w:hAnsi="Times New Roman" w:cs="Times New Roman"/>
          <w:i/>
          <w:lang w:val="de-DE"/>
        </w:rPr>
        <w:t xml:space="preserve">. </w:t>
      </w:r>
      <w:proofErr w:type="spellStart"/>
      <w:r w:rsidRPr="000C7C76">
        <w:rPr>
          <w:rFonts w:ascii="Times New Roman" w:hAnsi="Times New Roman" w:cs="Times New Roman"/>
          <w:lang w:val="de-DE"/>
        </w:rPr>
        <w:t>Otrs</w:t>
      </w:r>
      <w:proofErr w:type="spellEnd"/>
      <w:r w:rsidRPr="000C7C76">
        <w:rPr>
          <w:rFonts w:ascii="Times New Roman" w:hAnsi="Times New Roman" w:cs="Times New Roman"/>
          <w:lang w:val="de-DE"/>
        </w:rPr>
        <w:t xml:space="preserve"> </w:t>
      </w:r>
      <w:proofErr w:type="spellStart"/>
      <w:r w:rsidRPr="000C7C76">
        <w:rPr>
          <w:rFonts w:ascii="Times New Roman" w:hAnsi="Times New Roman" w:cs="Times New Roman"/>
          <w:lang w:val="de-DE"/>
        </w:rPr>
        <w:t>svarīgs</w:t>
      </w:r>
      <w:proofErr w:type="spellEnd"/>
      <w:r w:rsidRPr="000C7C76">
        <w:rPr>
          <w:rFonts w:ascii="Times New Roman" w:hAnsi="Times New Roman" w:cs="Times New Roman"/>
          <w:lang w:val="de-DE"/>
        </w:rPr>
        <w:t xml:space="preserve"> </w:t>
      </w:r>
      <w:proofErr w:type="spellStart"/>
      <w:r w:rsidRPr="000C7C76">
        <w:rPr>
          <w:rFonts w:ascii="Times New Roman" w:hAnsi="Times New Roman" w:cs="Times New Roman"/>
          <w:lang w:val="de-DE"/>
        </w:rPr>
        <w:t>aspekts</w:t>
      </w:r>
      <w:proofErr w:type="spellEnd"/>
      <w:r w:rsidRPr="000C7C76">
        <w:rPr>
          <w:rFonts w:ascii="Times New Roman" w:hAnsi="Times New Roman" w:cs="Times New Roman"/>
          <w:lang w:val="de-DE"/>
        </w:rPr>
        <w:t xml:space="preserve">, </w:t>
      </w:r>
      <w:proofErr w:type="spellStart"/>
      <w:r w:rsidRPr="000C7C76">
        <w:rPr>
          <w:rFonts w:ascii="Times New Roman" w:hAnsi="Times New Roman" w:cs="Times New Roman"/>
          <w:lang w:val="de-DE"/>
        </w:rPr>
        <w:t>kas</w:t>
      </w:r>
      <w:proofErr w:type="spellEnd"/>
      <w:r w:rsidRPr="000C7C76">
        <w:rPr>
          <w:rFonts w:ascii="Times New Roman" w:hAnsi="Times New Roman" w:cs="Times New Roman"/>
          <w:lang w:val="de-DE"/>
        </w:rPr>
        <w:t xml:space="preserve"> </w:t>
      </w:r>
      <w:proofErr w:type="spellStart"/>
      <w:r w:rsidRPr="000C7C76">
        <w:rPr>
          <w:rFonts w:ascii="Times New Roman" w:hAnsi="Times New Roman" w:cs="Times New Roman"/>
          <w:lang w:val="de-DE"/>
        </w:rPr>
        <w:t>jāņem</w:t>
      </w:r>
      <w:proofErr w:type="spellEnd"/>
      <w:r w:rsidRPr="000C7C76">
        <w:rPr>
          <w:rFonts w:ascii="Times New Roman" w:hAnsi="Times New Roman" w:cs="Times New Roman"/>
          <w:lang w:val="de-DE"/>
        </w:rPr>
        <w:t xml:space="preserve"> </w:t>
      </w:r>
      <w:proofErr w:type="spellStart"/>
      <w:r w:rsidRPr="000C7C76">
        <w:rPr>
          <w:rFonts w:ascii="Times New Roman" w:hAnsi="Times New Roman" w:cs="Times New Roman"/>
          <w:lang w:val="de-DE"/>
        </w:rPr>
        <w:t>vērā</w:t>
      </w:r>
      <w:proofErr w:type="spellEnd"/>
      <w:r w:rsidRPr="000C7C76">
        <w:rPr>
          <w:rFonts w:ascii="Times New Roman" w:hAnsi="Times New Roman" w:cs="Times New Roman"/>
          <w:lang w:val="de-DE"/>
        </w:rPr>
        <w:t xml:space="preserve">, </w:t>
      </w:r>
      <w:proofErr w:type="spellStart"/>
      <w:r w:rsidRPr="000C7C76">
        <w:rPr>
          <w:rFonts w:ascii="Times New Roman" w:hAnsi="Times New Roman" w:cs="Times New Roman"/>
          <w:lang w:val="de-DE"/>
        </w:rPr>
        <w:t>ir</w:t>
      </w:r>
      <w:proofErr w:type="spellEnd"/>
      <w:r w:rsidRPr="000C7C76">
        <w:rPr>
          <w:rFonts w:ascii="Times New Roman" w:hAnsi="Times New Roman" w:cs="Times New Roman"/>
          <w:lang w:val="de-DE"/>
        </w:rPr>
        <w:t xml:space="preserve"> </w:t>
      </w:r>
      <w:proofErr w:type="spellStart"/>
      <w:r w:rsidRPr="000C7C76">
        <w:rPr>
          <w:rFonts w:ascii="Times New Roman" w:hAnsi="Times New Roman" w:cs="Times New Roman"/>
          <w:lang w:val="de-DE"/>
        </w:rPr>
        <w:t>tas</w:t>
      </w:r>
      <w:proofErr w:type="spellEnd"/>
      <w:r w:rsidRPr="000C7C76">
        <w:rPr>
          <w:rFonts w:ascii="Times New Roman" w:hAnsi="Times New Roman" w:cs="Times New Roman"/>
          <w:lang w:val="de-DE"/>
        </w:rPr>
        <w:t xml:space="preserve">, </w:t>
      </w:r>
      <w:proofErr w:type="spellStart"/>
      <w:r w:rsidRPr="000C7C76">
        <w:rPr>
          <w:rFonts w:ascii="Times New Roman" w:hAnsi="Times New Roman" w:cs="Times New Roman"/>
          <w:lang w:val="de-DE"/>
        </w:rPr>
        <w:t>ka</w:t>
      </w:r>
      <w:proofErr w:type="spellEnd"/>
      <w:r w:rsidRPr="000C7C76">
        <w:rPr>
          <w:rFonts w:ascii="Times New Roman" w:hAnsi="Times New Roman" w:cs="Times New Roman"/>
          <w:lang w:val="de-DE"/>
        </w:rPr>
        <w:t xml:space="preserve"> </w:t>
      </w:r>
      <w:proofErr w:type="spellStart"/>
      <w:r w:rsidRPr="000C7C76">
        <w:rPr>
          <w:rFonts w:ascii="Times New Roman" w:hAnsi="Times New Roman" w:cs="Times New Roman"/>
          <w:lang w:val="de-DE"/>
        </w:rPr>
        <w:t>Latvijā</w:t>
      </w:r>
      <w:proofErr w:type="spellEnd"/>
      <w:r w:rsidRPr="000C7C76">
        <w:rPr>
          <w:rFonts w:ascii="Times New Roman" w:hAnsi="Times New Roman" w:cs="Times New Roman"/>
          <w:lang w:val="de-DE"/>
        </w:rPr>
        <w:t xml:space="preserve"> </w:t>
      </w:r>
      <w:proofErr w:type="spellStart"/>
      <w:r w:rsidRPr="000C7C76">
        <w:rPr>
          <w:rFonts w:ascii="Times New Roman" w:hAnsi="Times New Roman" w:cs="Times New Roman"/>
          <w:lang w:val="de-DE"/>
        </w:rPr>
        <w:t>spēkā</w:t>
      </w:r>
      <w:proofErr w:type="spellEnd"/>
      <w:r w:rsidRPr="000C7C76">
        <w:rPr>
          <w:rFonts w:ascii="Times New Roman" w:hAnsi="Times New Roman" w:cs="Times New Roman"/>
          <w:lang w:val="de-DE"/>
        </w:rPr>
        <w:t xml:space="preserve"> </w:t>
      </w:r>
      <w:proofErr w:type="spellStart"/>
      <w:r w:rsidRPr="000C7C76">
        <w:rPr>
          <w:rFonts w:ascii="Times New Roman" w:hAnsi="Times New Roman" w:cs="Times New Roman"/>
          <w:lang w:val="de-DE"/>
        </w:rPr>
        <w:t>esošais</w:t>
      </w:r>
      <w:proofErr w:type="spellEnd"/>
      <w:r w:rsidRPr="000C7C76">
        <w:rPr>
          <w:rFonts w:ascii="Times New Roman" w:hAnsi="Times New Roman" w:cs="Times New Roman"/>
          <w:lang w:val="de-DE"/>
        </w:rPr>
        <w:t xml:space="preserve"> </w:t>
      </w:r>
      <w:proofErr w:type="spellStart"/>
      <w:r w:rsidRPr="000C7C76">
        <w:rPr>
          <w:rFonts w:ascii="Times New Roman" w:hAnsi="Times New Roman" w:cs="Times New Roman"/>
          <w:lang w:val="de-DE"/>
        </w:rPr>
        <w:t>Dokumentu</w:t>
      </w:r>
      <w:proofErr w:type="spellEnd"/>
      <w:r w:rsidRPr="000C7C76">
        <w:rPr>
          <w:rFonts w:ascii="Times New Roman" w:hAnsi="Times New Roman" w:cs="Times New Roman"/>
          <w:lang w:val="de-DE"/>
        </w:rPr>
        <w:t xml:space="preserve"> </w:t>
      </w:r>
      <w:proofErr w:type="spellStart"/>
      <w:r w:rsidRPr="000C7C76">
        <w:rPr>
          <w:rFonts w:ascii="Times New Roman" w:hAnsi="Times New Roman" w:cs="Times New Roman"/>
          <w:lang w:val="de-DE"/>
        </w:rPr>
        <w:t>legalizācijas</w:t>
      </w:r>
      <w:proofErr w:type="spellEnd"/>
      <w:r w:rsidRPr="000C7C76">
        <w:rPr>
          <w:rFonts w:ascii="Times New Roman" w:hAnsi="Times New Roman" w:cs="Times New Roman"/>
          <w:lang w:val="de-DE"/>
        </w:rPr>
        <w:t xml:space="preserve"> </w:t>
      </w:r>
      <w:proofErr w:type="spellStart"/>
      <w:r w:rsidRPr="000C7C76">
        <w:rPr>
          <w:rFonts w:ascii="Times New Roman" w:hAnsi="Times New Roman" w:cs="Times New Roman"/>
          <w:lang w:val="de-DE"/>
        </w:rPr>
        <w:t>likums</w:t>
      </w:r>
      <w:proofErr w:type="spellEnd"/>
      <w:r w:rsidRPr="000C7C76">
        <w:rPr>
          <w:rFonts w:ascii="Times New Roman" w:hAnsi="Times New Roman" w:cs="Times New Roman"/>
          <w:lang w:val="de-DE"/>
        </w:rPr>
        <w:t xml:space="preserve"> </w:t>
      </w:r>
      <w:proofErr w:type="spellStart"/>
      <w:r w:rsidRPr="000C7C76">
        <w:rPr>
          <w:rFonts w:ascii="Times New Roman" w:hAnsi="Times New Roman" w:cs="Times New Roman"/>
          <w:lang w:val="de-DE"/>
        </w:rPr>
        <w:t>ir</w:t>
      </w:r>
      <w:proofErr w:type="spellEnd"/>
      <w:r w:rsidRPr="000C7C76">
        <w:rPr>
          <w:rFonts w:ascii="Times New Roman" w:hAnsi="Times New Roman" w:cs="Times New Roman"/>
          <w:lang w:val="de-DE"/>
        </w:rPr>
        <w:t xml:space="preserve"> </w:t>
      </w:r>
      <w:proofErr w:type="spellStart"/>
      <w:r w:rsidRPr="000C7C76">
        <w:rPr>
          <w:rFonts w:ascii="Times New Roman" w:hAnsi="Times New Roman" w:cs="Times New Roman"/>
          <w:lang w:val="de-DE"/>
        </w:rPr>
        <w:t>atcēlis</w:t>
      </w:r>
      <w:proofErr w:type="spellEnd"/>
      <w:r w:rsidRPr="000C7C76">
        <w:rPr>
          <w:rFonts w:ascii="Times New Roman" w:hAnsi="Times New Roman" w:cs="Times New Roman"/>
          <w:lang w:val="de-DE"/>
        </w:rPr>
        <w:t xml:space="preserve"> </w:t>
      </w:r>
      <w:proofErr w:type="spellStart"/>
      <w:r w:rsidRPr="000C7C76">
        <w:rPr>
          <w:rFonts w:ascii="Times New Roman" w:hAnsi="Times New Roman" w:cs="Times New Roman"/>
          <w:lang w:val="de-DE"/>
        </w:rPr>
        <w:t>publisko</w:t>
      </w:r>
      <w:proofErr w:type="spellEnd"/>
      <w:r w:rsidRPr="000C7C76">
        <w:rPr>
          <w:rFonts w:ascii="Times New Roman" w:hAnsi="Times New Roman" w:cs="Times New Roman"/>
          <w:lang w:val="de-DE"/>
        </w:rPr>
        <w:t xml:space="preserve"> </w:t>
      </w:r>
      <w:proofErr w:type="spellStart"/>
      <w:r w:rsidRPr="000C7C76">
        <w:rPr>
          <w:rFonts w:ascii="Times New Roman" w:hAnsi="Times New Roman" w:cs="Times New Roman"/>
          <w:lang w:val="de-DE"/>
        </w:rPr>
        <w:t>dokumentu</w:t>
      </w:r>
      <w:proofErr w:type="spellEnd"/>
      <w:r w:rsidRPr="000C7C76">
        <w:rPr>
          <w:rFonts w:ascii="Times New Roman" w:hAnsi="Times New Roman" w:cs="Times New Roman"/>
          <w:lang w:val="de-DE"/>
        </w:rPr>
        <w:t xml:space="preserve"> </w:t>
      </w:r>
      <w:proofErr w:type="spellStart"/>
      <w:r w:rsidRPr="000C7C76">
        <w:rPr>
          <w:rFonts w:ascii="Times New Roman" w:hAnsi="Times New Roman" w:cs="Times New Roman"/>
          <w:lang w:val="de-DE"/>
        </w:rPr>
        <w:t>legalizāciju</w:t>
      </w:r>
      <w:proofErr w:type="spellEnd"/>
      <w:r w:rsidRPr="000C7C76">
        <w:rPr>
          <w:rFonts w:ascii="Times New Roman" w:hAnsi="Times New Roman" w:cs="Times New Roman"/>
          <w:lang w:val="de-DE"/>
        </w:rPr>
        <w:t xml:space="preserve"> </w:t>
      </w:r>
      <w:proofErr w:type="spellStart"/>
      <w:r w:rsidRPr="000C7C76">
        <w:rPr>
          <w:rFonts w:ascii="Times New Roman" w:hAnsi="Times New Roman" w:cs="Times New Roman"/>
          <w:lang w:val="de-DE"/>
        </w:rPr>
        <w:t>tiem</w:t>
      </w:r>
      <w:proofErr w:type="spellEnd"/>
      <w:r w:rsidRPr="000C7C76">
        <w:rPr>
          <w:rFonts w:ascii="Times New Roman" w:hAnsi="Times New Roman" w:cs="Times New Roman"/>
          <w:lang w:val="de-DE"/>
        </w:rPr>
        <w:t xml:space="preserve"> </w:t>
      </w:r>
      <w:proofErr w:type="spellStart"/>
      <w:r w:rsidRPr="000C7C76">
        <w:rPr>
          <w:rFonts w:ascii="Times New Roman" w:hAnsi="Times New Roman" w:cs="Times New Roman"/>
          <w:lang w:val="de-DE"/>
        </w:rPr>
        <w:t>dokumentiem</w:t>
      </w:r>
      <w:proofErr w:type="spellEnd"/>
      <w:r w:rsidRPr="000C7C76">
        <w:rPr>
          <w:rFonts w:ascii="Times New Roman" w:hAnsi="Times New Roman" w:cs="Times New Roman"/>
          <w:lang w:val="de-DE"/>
        </w:rPr>
        <w:t xml:space="preserve">, </w:t>
      </w:r>
      <w:proofErr w:type="spellStart"/>
      <w:r w:rsidRPr="000C7C76">
        <w:rPr>
          <w:rFonts w:ascii="Times New Roman" w:hAnsi="Times New Roman" w:cs="Times New Roman"/>
          <w:lang w:val="de-DE"/>
        </w:rPr>
        <w:t>kas</w:t>
      </w:r>
      <w:proofErr w:type="spellEnd"/>
      <w:r w:rsidRPr="000C7C76">
        <w:rPr>
          <w:rFonts w:ascii="Times New Roman" w:hAnsi="Times New Roman" w:cs="Times New Roman"/>
          <w:lang w:val="de-DE"/>
        </w:rPr>
        <w:t xml:space="preserve"> </w:t>
      </w:r>
      <w:proofErr w:type="spellStart"/>
      <w:r w:rsidRPr="000C7C76">
        <w:rPr>
          <w:rFonts w:ascii="Times New Roman" w:hAnsi="Times New Roman" w:cs="Times New Roman"/>
          <w:lang w:val="de-DE"/>
        </w:rPr>
        <w:t>izsniegti</w:t>
      </w:r>
      <w:proofErr w:type="spellEnd"/>
      <w:r w:rsidRPr="000C7C76">
        <w:rPr>
          <w:rFonts w:ascii="Times New Roman" w:hAnsi="Times New Roman" w:cs="Times New Roman"/>
          <w:lang w:val="de-DE"/>
        </w:rPr>
        <w:t xml:space="preserve"> ES, </w:t>
      </w:r>
      <w:proofErr w:type="spellStart"/>
      <w:r w:rsidRPr="000C7C76">
        <w:rPr>
          <w:rFonts w:ascii="Times New Roman" w:hAnsi="Times New Roman" w:cs="Times New Roman"/>
          <w:lang w:val="de-DE"/>
        </w:rPr>
        <w:t>Eiropas</w:t>
      </w:r>
      <w:proofErr w:type="spellEnd"/>
      <w:r w:rsidRPr="000C7C76">
        <w:rPr>
          <w:rFonts w:ascii="Times New Roman" w:hAnsi="Times New Roman" w:cs="Times New Roman"/>
          <w:lang w:val="de-DE"/>
        </w:rPr>
        <w:t xml:space="preserve"> </w:t>
      </w:r>
      <w:proofErr w:type="spellStart"/>
      <w:r w:rsidRPr="000C7C76">
        <w:rPr>
          <w:rFonts w:ascii="Times New Roman" w:hAnsi="Times New Roman" w:cs="Times New Roman"/>
          <w:lang w:val="de-DE"/>
        </w:rPr>
        <w:t>Ekonomikas</w:t>
      </w:r>
      <w:proofErr w:type="spellEnd"/>
      <w:r w:rsidRPr="000C7C76">
        <w:rPr>
          <w:rFonts w:ascii="Times New Roman" w:hAnsi="Times New Roman" w:cs="Times New Roman"/>
          <w:lang w:val="de-DE"/>
        </w:rPr>
        <w:t xml:space="preserve"> </w:t>
      </w:r>
      <w:proofErr w:type="spellStart"/>
      <w:r w:rsidRPr="000C7C76">
        <w:rPr>
          <w:rFonts w:ascii="Times New Roman" w:hAnsi="Times New Roman" w:cs="Times New Roman"/>
          <w:lang w:val="de-DE"/>
        </w:rPr>
        <w:t>zonas</w:t>
      </w:r>
      <w:proofErr w:type="spellEnd"/>
      <w:r w:rsidRPr="000C7C76">
        <w:rPr>
          <w:rFonts w:ascii="Times New Roman" w:hAnsi="Times New Roman" w:cs="Times New Roman"/>
          <w:lang w:val="de-DE"/>
        </w:rPr>
        <w:t xml:space="preserve"> </w:t>
      </w:r>
      <w:proofErr w:type="spellStart"/>
      <w:r w:rsidRPr="000C7C76">
        <w:rPr>
          <w:rFonts w:ascii="Times New Roman" w:hAnsi="Times New Roman" w:cs="Times New Roman"/>
          <w:lang w:val="de-DE"/>
        </w:rPr>
        <w:t>valstī</w:t>
      </w:r>
      <w:proofErr w:type="spellEnd"/>
      <w:r w:rsidRPr="000C7C76">
        <w:rPr>
          <w:rFonts w:ascii="Times New Roman" w:hAnsi="Times New Roman" w:cs="Times New Roman"/>
          <w:lang w:val="de-DE"/>
        </w:rPr>
        <w:t xml:space="preserve"> </w:t>
      </w:r>
      <w:proofErr w:type="spellStart"/>
      <w:r w:rsidRPr="000C7C76">
        <w:rPr>
          <w:rFonts w:ascii="Times New Roman" w:hAnsi="Times New Roman" w:cs="Times New Roman"/>
          <w:lang w:val="de-DE"/>
        </w:rPr>
        <w:t>vai</w:t>
      </w:r>
      <w:proofErr w:type="spellEnd"/>
      <w:r w:rsidRPr="000C7C76">
        <w:rPr>
          <w:rFonts w:ascii="Times New Roman" w:hAnsi="Times New Roman" w:cs="Times New Roman"/>
          <w:lang w:val="de-DE"/>
        </w:rPr>
        <w:t xml:space="preserve"> </w:t>
      </w:r>
      <w:proofErr w:type="spellStart"/>
      <w:r w:rsidRPr="000C7C76">
        <w:rPr>
          <w:rFonts w:ascii="Times New Roman" w:hAnsi="Times New Roman" w:cs="Times New Roman"/>
          <w:lang w:val="de-DE"/>
        </w:rPr>
        <w:t>Šveices</w:t>
      </w:r>
      <w:proofErr w:type="spellEnd"/>
      <w:r w:rsidRPr="000C7C76">
        <w:rPr>
          <w:rFonts w:ascii="Times New Roman" w:hAnsi="Times New Roman" w:cs="Times New Roman"/>
          <w:lang w:val="de-DE"/>
        </w:rPr>
        <w:t xml:space="preserve"> </w:t>
      </w:r>
      <w:proofErr w:type="spellStart"/>
      <w:r w:rsidRPr="000C7C76">
        <w:rPr>
          <w:rFonts w:ascii="Times New Roman" w:hAnsi="Times New Roman" w:cs="Times New Roman"/>
          <w:lang w:val="de-DE"/>
        </w:rPr>
        <w:t>Konferedācijā</w:t>
      </w:r>
      <w:proofErr w:type="spellEnd"/>
      <w:r w:rsidRPr="000C7C76">
        <w:rPr>
          <w:rFonts w:ascii="Times New Roman" w:hAnsi="Times New Roman" w:cs="Times New Roman"/>
          <w:lang w:val="de-DE"/>
        </w:rPr>
        <w:t xml:space="preserve">. </w:t>
      </w:r>
      <w:proofErr w:type="spellStart"/>
      <w:r w:rsidRPr="000C7C76">
        <w:rPr>
          <w:rFonts w:ascii="Times New Roman" w:hAnsi="Times New Roman" w:cs="Times New Roman"/>
          <w:lang w:val="de-DE"/>
        </w:rPr>
        <w:t>Tādēļ</w:t>
      </w:r>
      <w:proofErr w:type="spellEnd"/>
      <w:r w:rsidRPr="000C7C76">
        <w:rPr>
          <w:rFonts w:ascii="Times New Roman" w:hAnsi="Times New Roman" w:cs="Times New Roman"/>
          <w:lang w:val="de-DE"/>
        </w:rPr>
        <w:t xml:space="preserve"> </w:t>
      </w:r>
      <w:proofErr w:type="spellStart"/>
      <w:r w:rsidRPr="000C7C76">
        <w:rPr>
          <w:rFonts w:ascii="Times New Roman" w:hAnsi="Times New Roman" w:cs="Times New Roman"/>
          <w:lang w:val="de-DE"/>
        </w:rPr>
        <w:t>Igaunijas</w:t>
      </w:r>
      <w:proofErr w:type="spellEnd"/>
      <w:r w:rsidRPr="000C7C76">
        <w:rPr>
          <w:rFonts w:ascii="Times New Roman" w:hAnsi="Times New Roman" w:cs="Times New Roman"/>
          <w:lang w:val="de-DE"/>
        </w:rPr>
        <w:t xml:space="preserve"> </w:t>
      </w:r>
      <w:proofErr w:type="spellStart"/>
      <w:r w:rsidRPr="000C7C76">
        <w:rPr>
          <w:rFonts w:ascii="Times New Roman" w:hAnsi="Times New Roman" w:cs="Times New Roman"/>
          <w:lang w:val="de-DE"/>
        </w:rPr>
        <w:t>un</w:t>
      </w:r>
      <w:proofErr w:type="spellEnd"/>
      <w:r w:rsidRPr="000C7C76">
        <w:rPr>
          <w:rFonts w:ascii="Times New Roman" w:hAnsi="Times New Roman" w:cs="Times New Roman"/>
          <w:lang w:val="de-DE"/>
        </w:rPr>
        <w:t xml:space="preserve"> Latvijas </w:t>
      </w:r>
      <w:proofErr w:type="spellStart"/>
      <w:r w:rsidRPr="000C7C76">
        <w:rPr>
          <w:rFonts w:ascii="Times New Roman" w:hAnsi="Times New Roman" w:cs="Times New Roman"/>
          <w:lang w:val="de-DE"/>
        </w:rPr>
        <w:t>situācija</w:t>
      </w:r>
      <w:proofErr w:type="spellEnd"/>
      <w:r w:rsidRPr="000C7C76">
        <w:rPr>
          <w:rFonts w:ascii="Times New Roman" w:hAnsi="Times New Roman" w:cs="Times New Roman"/>
          <w:lang w:val="de-DE"/>
        </w:rPr>
        <w:t xml:space="preserve"> </w:t>
      </w:r>
      <w:proofErr w:type="spellStart"/>
      <w:r w:rsidRPr="000C7C76">
        <w:rPr>
          <w:rFonts w:ascii="Times New Roman" w:hAnsi="Times New Roman" w:cs="Times New Roman"/>
          <w:lang w:val="de-DE"/>
        </w:rPr>
        <w:t>dokumentu</w:t>
      </w:r>
      <w:proofErr w:type="spellEnd"/>
      <w:r w:rsidRPr="000C7C76">
        <w:rPr>
          <w:rFonts w:ascii="Times New Roman" w:hAnsi="Times New Roman" w:cs="Times New Roman"/>
          <w:lang w:val="de-DE"/>
        </w:rPr>
        <w:t xml:space="preserve"> </w:t>
      </w:r>
      <w:proofErr w:type="spellStart"/>
      <w:r w:rsidRPr="000C7C76">
        <w:rPr>
          <w:rFonts w:ascii="Times New Roman" w:hAnsi="Times New Roman" w:cs="Times New Roman"/>
          <w:lang w:val="de-DE"/>
        </w:rPr>
        <w:t>legalizācijā</w:t>
      </w:r>
      <w:proofErr w:type="spellEnd"/>
      <w:r w:rsidRPr="000C7C76">
        <w:rPr>
          <w:rFonts w:ascii="Times New Roman" w:hAnsi="Times New Roman" w:cs="Times New Roman"/>
          <w:lang w:val="de-DE"/>
        </w:rPr>
        <w:t xml:space="preserve"> </w:t>
      </w:r>
      <w:proofErr w:type="spellStart"/>
      <w:r w:rsidRPr="000C7C76">
        <w:rPr>
          <w:rFonts w:ascii="Times New Roman" w:hAnsi="Times New Roman" w:cs="Times New Roman"/>
          <w:lang w:val="de-DE"/>
        </w:rPr>
        <w:t>šobrīd</w:t>
      </w:r>
      <w:proofErr w:type="spellEnd"/>
      <w:r w:rsidRPr="000C7C76">
        <w:rPr>
          <w:rFonts w:ascii="Times New Roman" w:hAnsi="Times New Roman" w:cs="Times New Roman"/>
          <w:lang w:val="de-DE"/>
        </w:rPr>
        <w:t xml:space="preserve"> </w:t>
      </w:r>
      <w:proofErr w:type="spellStart"/>
      <w:r w:rsidRPr="000C7C76">
        <w:rPr>
          <w:rFonts w:ascii="Times New Roman" w:hAnsi="Times New Roman" w:cs="Times New Roman"/>
          <w:lang w:val="de-DE"/>
        </w:rPr>
        <w:t>atšķiras</w:t>
      </w:r>
      <w:proofErr w:type="spellEnd"/>
      <w:r w:rsidRPr="000C7C76">
        <w:rPr>
          <w:rFonts w:ascii="Times New Roman" w:hAnsi="Times New Roman" w:cs="Times New Roman"/>
          <w:lang w:val="de-DE"/>
        </w:rPr>
        <w:t xml:space="preserve"> – </w:t>
      </w:r>
      <w:proofErr w:type="spellStart"/>
      <w:r w:rsidRPr="000C7C76">
        <w:rPr>
          <w:rFonts w:ascii="Times New Roman" w:hAnsi="Times New Roman" w:cs="Times New Roman"/>
          <w:lang w:val="de-DE"/>
        </w:rPr>
        <w:t>izskatās</w:t>
      </w:r>
      <w:proofErr w:type="spellEnd"/>
      <w:r w:rsidRPr="000C7C76">
        <w:rPr>
          <w:rFonts w:ascii="Times New Roman" w:hAnsi="Times New Roman" w:cs="Times New Roman"/>
          <w:lang w:val="de-DE"/>
        </w:rPr>
        <w:t xml:space="preserve">, </w:t>
      </w:r>
      <w:proofErr w:type="spellStart"/>
      <w:r w:rsidRPr="000C7C76">
        <w:rPr>
          <w:rFonts w:ascii="Times New Roman" w:hAnsi="Times New Roman" w:cs="Times New Roman"/>
          <w:lang w:val="de-DE"/>
        </w:rPr>
        <w:t>ka</w:t>
      </w:r>
      <w:proofErr w:type="spellEnd"/>
      <w:r w:rsidRPr="000C7C76">
        <w:rPr>
          <w:rFonts w:ascii="Times New Roman" w:hAnsi="Times New Roman" w:cs="Times New Roman"/>
          <w:lang w:val="de-DE"/>
        </w:rPr>
        <w:t xml:space="preserve"> </w:t>
      </w:r>
      <w:proofErr w:type="spellStart"/>
      <w:r w:rsidRPr="000C7C76">
        <w:rPr>
          <w:rFonts w:ascii="Times New Roman" w:hAnsi="Times New Roman" w:cs="Times New Roman"/>
          <w:lang w:val="de-DE"/>
        </w:rPr>
        <w:t>Latvijā</w:t>
      </w:r>
      <w:proofErr w:type="spellEnd"/>
      <w:r w:rsidRPr="000C7C76">
        <w:rPr>
          <w:rFonts w:ascii="Times New Roman" w:hAnsi="Times New Roman" w:cs="Times New Roman"/>
          <w:lang w:val="de-DE"/>
        </w:rPr>
        <w:t xml:space="preserve"> </w:t>
      </w:r>
      <w:proofErr w:type="spellStart"/>
      <w:r w:rsidRPr="000C7C76">
        <w:rPr>
          <w:rFonts w:ascii="Times New Roman" w:hAnsi="Times New Roman" w:cs="Times New Roman"/>
          <w:lang w:val="de-DE"/>
        </w:rPr>
        <w:t>prasības</w:t>
      </w:r>
      <w:proofErr w:type="spellEnd"/>
      <w:r w:rsidRPr="000C7C76">
        <w:rPr>
          <w:rFonts w:ascii="Times New Roman" w:hAnsi="Times New Roman" w:cs="Times New Roman"/>
          <w:lang w:val="de-DE"/>
        </w:rPr>
        <w:t xml:space="preserve"> </w:t>
      </w:r>
      <w:proofErr w:type="spellStart"/>
      <w:r w:rsidRPr="000C7C76">
        <w:rPr>
          <w:rFonts w:ascii="Times New Roman" w:hAnsi="Times New Roman" w:cs="Times New Roman"/>
          <w:lang w:val="de-DE"/>
        </w:rPr>
        <w:t>dokumentu</w:t>
      </w:r>
      <w:proofErr w:type="spellEnd"/>
      <w:r w:rsidRPr="000C7C76">
        <w:rPr>
          <w:rFonts w:ascii="Times New Roman" w:hAnsi="Times New Roman" w:cs="Times New Roman"/>
          <w:lang w:val="de-DE"/>
        </w:rPr>
        <w:t xml:space="preserve"> </w:t>
      </w:r>
      <w:proofErr w:type="spellStart"/>
      <w:proofErr w:type="gramStart"/>
      <w:r w:rsidRPr="000C7C76">
        <w:rPr>
          <w:rFonts w:ascii="Times New Roman" w:hAnsi="Times New Roman" w:cs="Times New Roman"/>
          <w:lang w:val="de-DE"/>
        </w:rPr>
        <w:t>legalizācijā</w:t>
      </w:r>
      <w:proofErr w:type="spellEnd"/>
      <w:r w:rsidRPr="000C7C76">
        <w:rPr>
          <w:rFonts w:ascii="Times New Roman" w:hAnsi="Times New Roman" w:cs="Times New Roman"/>
          <w:lang w:val="de-DE"/>
        </w:rPr>
        <w:t xml:space="preserve">  </w:t>
      </w:r>
      <w:proofErr w:type="spellStart"/>
      <w:r w:rsidRPr="000C7C76">
        <w:rPr>
          <w:rFonts w:ascii="Times New Roman" w:hAnsi="Times New Roman" w:cs="Times New Roman"/>
          <w:lang w:val="de-DE"/>
        </w:rPr>
        <w:t>ir</w:t>
      </w:r>
      <w:proofErr w:type="spellEnd"/>
      <w:proofErr w:type="gramEnd"/>
      <w:r w:rsidRPr="000C7C76">
        <w:rPr>
          <w:rFonts w:ascii="Times New Roman" w:hAnsi="Times New Roman" w:cs="Times New Roman"/>
          <w:lang w:val="de-DE"/>
        </w:rPr>
        <w:t xml:space="preserve"> </w:t>
      </w:r>
      <w:proofErr w:type="spellStart"/>
      <w:r w:rsidRPr="000C7C76">
        <w:rPr>
          <w:rFonts w:ascii="Times New Roman" w:hAnsi="Times New Roman" w:cs="Times New Roman"/>
          <w:lang w:val="de-DE"/>
        </w:rPr>
        <w:t>daudz</w:t>
      </w:r>
      <w:proofErr w:type="spellEnd"/>
      <w:r w:rsidRPr="000C7C76">
        <w:rPr>
          <w:rFonts w:ascii="Times New Roman" w:hAnsi="Times New Roman" w:cs="Times New Roman"/>
          <w:lang w:val="de-DE"/>
        </w:rPr>
        <w:t xml:space="preserve"> </w:t>
      </w:r>
      <w:proofErr w:type="spellStart"/>
      <w:r w:rsidRPr="000C7C76">
        <w:rPr>
          <w:rFonts w:ascii="Times New Roman" w:hAnsi="Times New Roman" w:cs="Times New Roman"/>
          <w:lang w:val="de-DE"/>
        </w:rPr>
        <w:t>liberālākas</w:t>
      </w:r>
      <w:proofErr w:type="spellEnd"/>
      <w:r w:rsidRPr="000C7C76">
        <w:rPr>
          <w:rFonts w:ascii="Times New Roman" w:hAnsi="Times New Roman" w:cs="Times New Roman"/>
          <w:lang w:val="de-DE"/>
        </w:rPr>
        <w:t>.</w:t>
      </w:r>
    </w:p>
    <w:p w14:paraId="2B2356D0" w14:textId="77777777" w:rsidR="00114953" w:rsidRPr="000C7C76" w:rsidRDefault="00114953" w:rsidP="00114953">
      <w:pPr>
        <w:jc w:val="both"/>
        <w:rPr>
          <w:rFonts w:ascii="Times New Roman" w:hAnsi="Times New Roman" w:cs="Arial"/>
          <w:strike/>
          <w:lang w:val="de-DE"/>
        </w:rPr>
      </w:pPr>
    </w:p>
    <w:p w14:paraId="05C62249" w14:textId="77777777" w:rsidR="00114953" w:rsidRPr="000C7C76" w:rsidRDefault="00114953" w:rsidP="00114953">
      <w:pPr>
        <w:ind w:firstLine="708"/>
        <w:jc w:val="both"/>
        <w:rPr>
          <w:rFonts w:ascii="Times New Roman" w:hAnsi="Times New Roman" w:cs="Arial"/>
          <w:lang w:val="de-DE"/>
        </w:rPr>
      </w:pPr>
      <w:proofErr w:type="spellStart"/>
      <w:r w:rsidRPr="000C7C76">
        <w:rPr>
          <w:rFonts w:ascii="Times New Roman" w:hAnsi="Times New Roman" w:cs="Arial"/>
          <w:color w:val="323233"/>
          <w:lang w:val="de-DE"/>
        </w:rPr>
        <w:t>Saskaņā</w:t>
      </w:r>
      <w:proofErr w:type="spellEnd"/>
      <w:r w:rsidRPr="000C7C76">
        <w:rPr>
          <w:rFonts w:ascii="Times New Roman" w:hAnsi="Times New Roman" w:cs="Arial"/>
          <w:color w:val="323233"/>
          <w:lang w:val="de-DE"/>
        </w:rPr>
        <w:t xml:space="preserve"> </w:t>
      </w:r>
      <w:proofErr w:type="spellStart"/>
      <w:r w:rsidRPr="000C7C76">
        <w:rPr>
          <w:rFonts w:ascii="Times New Roman" w:hAnsi="Times New Roman" w:cs="Arial"/>
          <w:color w:val="323233"/>
          <w:lang w:val="de-DE"/>
        </w:rPr>
        <w:t>ar</w:t>
      </w:r>
      <w:proofErr w:type="spellEnd"/>
      <w:r w:rsidRPr="000C7C76">
        <w:rPr>
          <w:rFonts w:ascii="Times New Roman" w:hAnsi="Times New Roman" w:cs="Arial"/>
          <w:color w:val="323233"/>
          <w:lang w:val="de-DE"/>
        </w:rPr>
        <w:t xml:space="preserve"> 2008.gada 21.aprīļa </w:t>
      </w:r>
      <w:proofErr w:type="spellStart"/>
      <w:r w:rsidRPr="000C7C76">
        <w:rPr>
          <w:rFonts w:ascii="Times New Roman" w:hAnsi="Times New Roman" w:cs="Arial"/>
          <w:color w:val="323233"/>
          <w:lang w:val="de-DE"/>
        </w:rPr>
        <w:t>Ministru</w:t>
      </w:r>
      <w:proofErr w:type="spellEnd"/>
      <w:r w:rsidRPr="000C7C76">
        <w:rPr>
          <w:rFonts w:ascii="Times New Roman" w:hAnsi="Times New Roman" w:cs="Arial"/>
          <w:color w:val="323233"/>
          <w:lang w:val="de-DE"/>
        </w:rPr>
        <w:t xml:space="preserve"> </w:t>
      </w:r>
      <w:proofErr w:type="spellStart"/>
      <w:r w:rsidRPr="000C7C76">
        <w:rPr>
          <w:rFonts w:ascii="Times New Roman" w:hAnsi="Times New Roman" w:cs="Arial"/>
          <w:color w:val="323233"/>
          <w:lang w:val="de-DE"/>
        </w:rPr>
        <w:t>kabineta</w:t>
      </w:r>
      <w:proofErr w:type="spellEnd"/>
      <w:r w:rsidRPr="000C7C76">
        <w:rPr>
          <w:rFonts w:ascii="Times New Roman" w:hAnsi="Times New Roman" w:cs="Arial"/>
          <w:color w:val="323233"/>
          <w:lang w:val="de-DE"/>
        </w:rPr>
        <w:t xml:space="preserve"> </w:t>
      </w:r>
      <w:proofErr w:type="spellStart"/>
      <w:r w:rsidRPr="000C7C76">
        <w:rPr>
          <w:rFonts w:ascii="Times New Roman" w:hAnsi="Times New Roman" w:cs="Arial"/>
          <w:color w:val="323233"/>
          <w:lang w:val="de-DE"/>
        </w:rPr>
        <w:t>noteikumu</w:t>
      </w:r>
      <w:proofErr w:type="spellEnd"/>
      <w:r w:rsidRPr="000C7C76">
        <w:rPr>
          <w:rFonts w:ascii="Times New Roman" w:hAnsi="Times New Roman" w:cs="Arial"/>
          <w:color w:val="323233"/>
          <w:lang w:val="de-DE"/>
        </w:rPr>
        <w:t xml:space="preserve"> Nr. 283 </w:t>
      </w:r>
      <w:r w:rsidRPr="00840A20">
        <w:rPr>
          <w:rFonts w:ascii="Times New Roman" w:hAnsi="Times New Roman" w:cs="Arial"/>
          <w:color w:val="323233"/>
          <w:lang w:val="de-DE"/>
        </w:rPr>
        <w:t>„</w:t>
      </w:r>
      <w:proofErr w:type="spellStart"/>
      <w:r w:rsidRPr="000C7C76">
        <w:rPr>
          <w:rFonts w:ascii="Times New Roman" w:hAnsi="Times New Roman" w:cs="Arial"/>
          <w:color w:val="323233"/>
          <w:lang w:val="de-DE"/>
        </w:rPr>
        <w:t>Noteikumi</w:t>
      </w:r>
      <w:proofErr w:type="spellEnd"/>
      <w:r w:rsidRPr="000C7C76">
        <w:rPr>
          <w:rFonts w:ascii="Times New Roman" w:hAnsi="Times New Roman" w:cs="Arial"/>
          <w:color w:val="323233"/>
          <w:lang w:val="de-DE"/>
        </w:rPr>
        <w:t xml:space="preserve"> par </w:t>
      </w:r>
      <w:proofErr w:type="spellStart"/>
      <w:r w:rsidRPr="000C7C76">
        <w:rPr>
          <w:rFonts w:ascii="Times New Roman" w:hAnsi="Times New Roman" w:cs="Arial"/>
          <w:color w:val="323233"/>
          <w:lang w:val="de-DE"/>
        </w:rPr>
        <w:t>notariālo</w:t>
      </w:r>
      <w:proofErr w:type="spellEnd"/>
      <w:r w:rsidRPr="000C7C76">
        <w:rPr>
          <w:rFonts w:ascii="Times New Roman" w:hAnsi="Times New Roman" w:cs="Arial"/>
          <w:color w:val="323233"/>
          <w:lang w:val="de-DE"/>
        </w:rPr>
        <w:t xml:space="preserve"> </w:t>
      </w:r>
      <w:proofErr w:type="spellStart"/>
      <w:r w:rsidRPr="000C7C76">
        <w:rPr>
          <w:rFonts w:ascii="Times New Roman" w:hAnsi="Times New Roman" w:cs="Arial"/>
          <w:color w:val="323233"/>
          <w:lang w:val="de-DE"/>
        </w:rPr>
        <w:t>funkciju</w:t>
      </w:r>
      <w:proofErr w:type="spellEnd"/>
      <w:r w:rsidRPr="000C7C76">
        <w:rPr>
          <w:rFonts w:ascii="Times New Roman" w:hAnsi="Times New Roman" w:cs="Arial"/>
          <w:color w:val="323233"/>
          <w:lang w:val="de-DE"/>
        </w:rPr>
        <w:t xml:space="preserve"> </w:t>
      </w:r>
      <w:proofErr w:type="spellStart"/>
      <w:r w:rsidRPr="000C7C76">
        <w:rPr>
          <w:rFonts w:ascii="Times New Roman" w:hAnsi="Times New Roman" w:cs="Arial"/>
          <w:color w:val="323233"/>
          <w:lang w:val="de-DE"/>
        </w:rPr>
        <w:t>veikšanu</w:t>
      </w:r>
      <w:proofErr w:type="spellEnd"/>
      <w:r w:rsidRPr="000C7C76">
        <w:rPr>
          <w:rFonts w:ascii="Times New Roman" w:hAnsi="Times New Roman" w:cs="Arial"/>
          <w:color w:val="323233"/>
          <w:lang w:val="de-DE"/>
        </w:rPr>
        <w:t xml:space="preserve"> Latvijas </w:t>
      </w:r>
      <w:proofErr w:type="spellStart"/>
      <w:r w:rsidRPr="000C7C76">
        <w:rPr>
          <w:rFonts w:ascii="Times New Roman" w:hAnsi="Times New Roman" w:cs="Arial"/>
          <w:color w:val="323233"/>
          <w:lang w:val="de-DE"/>
        </w:rPr>
        <w:t>Republikas</w:t>
      </w:r>
      <w:proofErr w:type="spellEnd"/>
      <w:r w:rsidRPr="000C7C76">
        <w:rPr>
          <w:rFonts w:ascii="Times New Roman" w:hAnsi="Times New Roman" w:cs="Arial"/>
          <w:color w:val="323233"/>
          <w:lang w:val="de-DE"/>
        </w:rPr>
        <w:t xml:space="preserve"> </w:t>
      </w:r>
      <w:proofErr w:type="spellStart"/>
      <w:r w:rsidRPr="000C7C76">
        <w:rPr>
          <w:rFonts w:ascii="Times New Roman" w:hAnsi="Times New Roman" w:cs="Arial"/>
          <w:color w:val="323233"/>
          <w:lang w:val="de-DE"/>
        </w:rPr>
        <w:t>diplomātiskajās</w:t>
      </w:r>
      <w:proofErr w:type="spellEnd"/>
      <w:r w:rsidRPr="000C7C76">
        <w:rPr>
          <w:rFonts w:ascii="Times New Roman" w:hAnsi="Times New Roman" w:cs="Arial"/>
          <w:color w:val="323233"/>
          <w:lang w:val="de-DE"/>
        </w:rPr>
        <w:t xml:space="preserve"> </w:t>
      </w:r>
      <w:proofErr w:type="spellStart"/>
      <w:r w:rsidRPr="000C7C76">
        <w:rPr>
          <w:rFonts w:ascii="Times New Roman" w:hAnsi="Times New Roman" w:cs="Arial"/>
          <w:color w:val="323233"/>
          <w:lang w:val="de-DE"/>
        </w:rPr>
        <w:t>un</w:t>
      </w:r>
      <w:proofErr w:type="spellEnd"/>
      <w:r w:rsidRPr="000C7C76">
        <w:rPr>
          <w:rFonts w:ascii="Times New Roman" w:hAnsi="Times New Roman" w:cs="Arial"/>
          <w:color w:val="323233"/>
          <w:lang w:val="de-DE"/>
        </w:rPr>
        <w:t xml:space="preserve"> </w:t>
      </w:r>
      <w:proofErr w:type="spellStart"/>
      <w:r w:rsidRPr="000C7C76">
        <w:rPr>
          <w:rFonts w:ascii="Times New Roman" w:hAnsi="Times New Roman" w:cs="Arial"/>
          <w:color w:val="323233"/>
          <w:lang w:val="de-DE"/>
        </w:rPr>
        <w:t>konsulārajās</w:t>
      </w:r>
      <w:proofErr w:type="spellEnd"/>
      <w:r w:rsidRPr="000C7C76">
        <w:rPr>
          <w:rFonts w:ascii="Times New Roman" w:hAnsi="Times New Roman" w:cs="Arial"/>
          <w:color w:val="323233"/>
          <w:lang w:val="de-DE"/>
        </w:rPr>
        <w:t xml:space="preserve"> </w:t>
      </w:r>
      <w:proofErr w:type="spellStart"/>
      <w:r w:rsidRPr="000C7C76">
        <w:rPr>
          <w:rFonts w:ascii="Times New Roman" w:hAnsi="Times New Roman" w:cs="Arial"/>
          <w:color w:val="323233"/>
          <w:lang w:val="de-DE"/>
        </w:rPr>
        <w:t>pārstāvniecībās</w:t>
      </w:r>
      <w:proofErr w:type="spellEnd"/>
      <w:r w:rsidRPr="00840A20">
        <w:rPr>
          <w:rFonts w:ascii="Times New Roman" w:hAnsi="Times New Roman" w:cs="Arial"/>
          <w:color w:val="323233"/>
          <w:lang w:val="de-DE"/>
        </w:rPr>
        <w:t>“</w:t>
      </w:r>
      <w:r w:rsidRPr="000C7C76">
        <w:rPr>
          <w:rFonts w:ascii="Times New Roman" w:hAnsi="Times New Roman" w:cs="Arial"/>
          <w:color w:val="323233"/>
          <w:lang w:val="de-DE"/>
        </w:rPr>
        <w:t xml:space="preserve"> 7.punktu: </w:t>
      </w:r>
      <w:proofErr w:type="spellStart"/>
      <w:r w:rsidRPr="000C7C76">
        <w:rPr>
          <w:rFonts w:ascii="Times New Roman" w:hAnsi="Times New Roman" w:cs="Arial"/>
          <w:color w:val="323233"/>
          <w:lang w:val="de-DE"/>
        </w:rPr>
        <w:t>Konsulārā</w:t>
      </w:r>
      <w:proofErr w:type="spellEnd"/>
      <w:r w:rsidRPr="000C7C76">
        <w:rPr>
          <w:rFonts w:ascii="Times New Roman" w:hAnsi="Times New Roman" w:cs="Arial"/>
          <w:color w:val="323233"/>
          <w:lang w:val="de-DE"/>
        </w:rPr>
        <w:t xml:space="preserve"> </w:t>
      </w:r>
      <w:proofErr w:type="spellStart"/>
      <w:r w:rsidRPr="000C7C76">
        <w:rPr>
          <w:rFonts w:ascii="Times New Roman" w:hAnsi="Times New Roman" w:cs="Arial"/>
          <w:color w:val="323233"/>
          <w:lang w:val="de-DE"/>
        </w:rPr>
        <w:t>amatpersona</w:t>
      </w:r>
      <w:proofErr w:type="spellEnd"/>
      <w:r w:rsidRPr="000C7C76">
        <w:rPr>
          <w:rFonts w:ascii="Times New Roman" w:hAnsi="Times New Roman" w:cs="Arial"/>
          <w:color w:val="323233"/>
          <w:lang w:val="de-DE"/>
        </w:rPr>
        <w:t xml:space="preserve"> </w:t>
      </w:r>
      <w:proofErr w:type="spellStart"/>
      <w:r w:rsidRPr="000C7C76">
        <w:rPr>
          <w:rFonts w:ascii="Times New Roman" w:hAnsi="Times New Roman" w:cs="Arial"/>
          <w:color w:val="323233"/>
          <w:lang w:val="de-DE"/>
        </w:rPr>
        <w:t>notariālās</w:t>
      </w:r>
      <w:proofErr w:type="spellEnd"/>
      <w:r w:rsidRPr="000C7C76">
        <w:rPr>
          <w:rFonts w:ascii="Times New Roman" w:hAnsi="Times New Roman" w:cs="Arial"/>
          <w:color w:val="323233"/>
          <w:lang w:val="de-DE"/>
        </w:rPr>
        <w:t xml:space="preserve"> </w:t>
      </w:r>
      <w:proofErr w:type="spellStart"/>
      <w:r w:rsidRPr="000C7C76">
        <w:rPr>
          <w:rFonts w:ascii="Times New Roman" w:hAnsi="Times New Roman" w:cs="Arial"/>
          <w:color w:val="323233"/>
          <w:lang w:val="de-DE"/>
        </w:rPr>
        <w:t>funkcijas</w:t>
      </w:r>
      <w:proofErr w:type="spellEnd"/>
      <w:r w:rsidRPr="000C7C76">
        <w:rPr>
          <w:rFonts w:ascii="Times New Roman" w:hAnsi="Times New Roman" w:cs="Arial"/>
          <w:color w:val="323233"/>
          <w:lang w:val="de-DE"/>
        </w:rPr>
        <w:t xml:space="preserve"> </w:t>
      </w:r>
      <w:proofErr w:type="spellStart"/>
      <w:r w:rsidRPr="000C7C76">
        <w:rPr>
          <w:rFonts w:ascii="Times New Roman" w:hAnsi="Times New Roman" w:cs="Arial"/>
          <w:b/>
          <w:color w:val="323233"/>
          <w:lang w:val="de-DE"/>
        </w:rPr>
        <w:t>ārzemniekam</w:t>
      </w:r>
      <w:proofErr w:type="spellEnd"/>
      <w:r w:rsidRPr="000C7C76">
        <w:rPr>
          <w:rFonts w:ascii="Times New Roman" w:hAnsi="Times New Roman" w:cs="Arial"/>
          <w:color w:val="323233"/>
          <w:lang w:val="de-DE"/>
        </w:rPr>
        <w:t xml:space="preserve"> </w:t>
      </w:r>
      <w:proofErr w:type="spellStart"/>
      <w:r w:rsidRPr="000C7C76">
        <w:rPr>
          <w:rFonts w:ascii="Times New Roman" w:hAnsi="Times New Roman" w:cs="Arial"/>
          <w:color w:val="323233"/>
          <w:lang w:val="de-DE"/>
        </w:rPr>
        <w:t>veic</w:t>
      </w:r>
      <w:proofErr w:type="spellEnd"/>
      <w:r w:rsidRPr="000C7C76">
        <w:rPr>
          <w:rFonts w:ascii="Times New Roman" w:hAnsi="Times New Roman" w:cs="Arial"/>
          <w:color w:val="323233"/>
          <w:lang w:val="de-DE"/>
        </w:rPr>
        <w:t xml:space="preserve"> </w:t>
      </w:r>
      <w:proofErr w:type="spellStart"/>
      <w:r w:rsidRPr="000C7C76">
        <w:rPr>
          <w:rFonts w:ascii="Times New Roman" w:hAnsi="Times New Roman" w:cs="Arial"/>
          <w:color w:val="323233"/>
          <w:lang w:val="de-DE"/>
        </w:rPr>
        <w:t>izņēmuma</w:t>
      </w:r>
      <w:proofErr w:type="spellEnd"/>
      <w:r w:rsidRPr="000C7C76">
        <w:rPr>
          <w:rFonts w:ascii="Times New Roman" w:hAnsi="Times New Roman" w:cs="Arial"/>
          <w:color w:val="323233"/>
          <w:lang w:val="de-DE"/>
        </w:rPr>
        <w:t xml:space="preserve"> </w:t>
      </w:r>
      <w:proofErr w:type="spellStart"/>
      <w:r w:rsidRPr="000C7C76">
        <w:rPr>
          <w:rFonts w:ascii="Times New Roman" w:hAnsi="Times New Roman" w:cs="Arial"/>
          <w:color w:val="323233"/>
          <w:lang w:val="de-DE"/>
        </w:rPr>
        <w:t>gadījumā</w:t>
      </w:r>
      <w:proofErr w:type="spellEnd"/>
      <w:r w:rsidRPr="000C7C76">
        <w:rPr>
          <w:rFonts w:ascii="Times New Roman" w:hAnsi="Times New Roman" w:cs="Arial"/>
          <w:color w:val="323233"/>
          <w:lang w:val="de-DE"/>
        </w:rPr>
        <w:t xml:space="preserve">, ja </w:t>
      </w:r>
      <w:proofErr w:type="spellStart"/>
      <w:r w:rsidRPr="000C7C76">
        <w:rPr>
          <w:rFonts w:ascii="Times New Roman" w:hAnsi="Times New Roman" w:cs="Arial"/>
          <w:color w:val="323233"/>
          <w:lang w:val="de-DE"/>
        </w:rPr>
        <w:t>saskaņā</w:t>
      </w:r>
      <w:proofErr w:type="spellEnd"/>
      <w:r w:rsidRPr="000C7C76">
        <w:rPr>
          <w:rFonts w:ascii="Times New Roman" w:hAnsi="Times New Roman" w:cs="Arial"/>
          <w:color w:val="323233"/>
          <w:lang w:val="de-DE"/>
        </w:rPr>
        <w:t xml:space="preserve"> </w:t>
      </w:r>
      <w:proofErr w:type="spellStart"/>
      <w:r w:rsidRPr="000C7C76">
        <w:rPr>
          <w:rFonts w:ascii="Times New Roman" w:hAnsi="Times New Roman" w:cs="Arial"/>
          <w:color w:val="323233"/>
          <w:lang w:val="de-DE"/>
        </w:rPr>
        <w:t>ar</w:t>
      </w:r>
      <w:proofErr w:type="spellEnd"/>
      <w:r w:rsidRPr="000C7C76">
        <w:rPr>
          <w:rFonts w:ascii="Times New Roman" w:hAnsi="Times New Roman" w:cs="Arial"/>
          <w:color w:val="323233"/>
          <w:lang w:val="de-DE"/>
        </w:rPr>
        <w:t xml:space="preserve"> Latvijas </w:t>
      </w:r>
      <w:proofErr w:type="spellStart"/>
      <w:r w:rsidRPr="000C7C76">
        <w:rPr>
          <w:rFonts w:ascii="Times New Roman" w:hAnsi="Times New Roman" w:cs="Arial"/>
          <w:color w:val="323233"/>
          <w:lang w:val="de-DE"/>
        </w:rPr>
        <w:t>normatīvajiem</w:t>
      </w:r>
      <w:proofErr w:type="spellEnd"/>
      <w:r w:rsidRPr="000C7C76">
        <w:rPr>
          <w:rFonts w:ascii="Times New Roman" w:hAnsi="Times New Roman" w:cs="Arial"/>
          <w:color w:val="323233"/>
          <w:lang w:val="de-DE"/>
        </w:rPr>
        <w:t xml:space="preserve"> </w:t>
      </w:r>
      <w:proofErr w:type="spellStart"/>
      <w:r w:rsidRPr="000C7C76">
        <w:rPr>
          <w:rFonts w:ascii="Times New Roman" w:hAnsi="Times New Roman" w:cs="Arial"/>
          <w:color w:val="323233"/>
          <w:lang w:val="de-DE"/>
        </w:rPr>
        <w:t>aktiem</w:t>
      </w:r>
      <w:proofErr w:type="spellEnd"/>
      <w:r w:rsidRPr="000C7C76">
        <w:rPr>
          <w:rFonts w:ascii="Times New Roman" w:hAnsi="Times New Roman" w:cs="Arial"/>
          <w:color w:val="323233"/>
          <w:lang w:val="de-DE"/>
        </w:rPr>
        <w:t xml:space="preserve"> </w:t>
      </w:r>
      <w:proofErr w:type="spellStart"/>
      <w:r w:rsidRPr="000C7C76">
        <w:rPr>
          <w:rFonts w:ascii="Times New Roman" w:hAnsi="Times New Roman" w:cs="Arial"/>
          <w:color w:val="323233"/>
          <w:lang w:val="de-DE"/>
        </w:rPr>
        <w:t>nepieciešama</w:t>
      </w:r>
      <w:proofErr w:type="spellEnd"/>
      <w:r w:rsidRPr="000C7C76">
        <w:rPr>
          <w:rFonts w:ascii="Times New Roman" w:hAnsi="Times New Roman" w:cs="Arial"/>
          <w:color w:val="323233"/>
          <w:lang w:val="de-DE"/>
        </w:rPr>
        <w:t xml:space="preserve"> </w:t>
      </w:r>
      <w:proofErr w:type="spellStart"/>
      <w:r w:rsidRPr="000C7C76">
        <w:rPr>
          <w:rFonts w:ascii="Times New Roman" w:hAnsi="Times New Roman" w:cs="Arial"/>
          <w:color w:val="323233"/>
          <w:lang w:val="de-DE"/>
        </w:rPr>
        <w:t>notariālā</w:t>
      </w:r>
      <w:proofErr w:type="spellEnd"/>
      <w:r w:rsidRPr="000C7C76">
        <w:rPr>
          <w:rFonts w:ascii="Times New Roman" w:hAnsi="Times New Roman" w:cs="Arial"/>
          <w:color w:val="323233"/>
          <w:lang w:val="de-DE"/>
        </w:rPr>
        <w:t xml:space="preserve"> </w:t>
      </w:r>
      <w:proofErr w:type="spellStart"/>
      <w:r w:rsidRPr="000C7C76">
        <w:rPr>
          <w:rFonts w:ascii="Times New Roman" w:hAnsi="Times New Roman" w:cs="Arial"/>
          <w:color w:val="323233"/>
          <w:lang w:val="de-DE"/>
        </w:rPr>
        <w:t>akta</w:t>
      </w:r>
      <w:proofErr w:type="spellEnd"/>
      <w:r w:rsidRPr="000C7C76">
        <w:rPr>
          <w:rFonts w:ascii="Times New Roman" w:hAnsi="Times New Roman" w:cs="Arial"/>
          <w:color w:val="323233"/>
          <w:lang w:val="de-DE"/>
        </w:rPr>
        <w:t xml:space="preserve"> forma, </w:t>
      </w:r>
      <w:proofErr w:type="spellStart"/>
      <w:r w:rsidRPr="000C7C76">
        <w:rPr>
          <w:rFonts w:ascii="Times New Roman" w:hAnsi="Times New Roman" w:cs="Arial"/>
          <w:color w:val="323233"/>
          <w:lang w:val="de-DE"/>
        </w:rPr>
        <w:t>kādu</w:t>
      </w:r>
      <w:proofErr w:type="spellEnd"/>
      <w:r w:rsidRPr="000C7C76">
        <w:rPr>
          <w:rFonts w:ascii="Times New Roman" w:hAnsi="Times New Roman" w:cs="Arial"/>
          <w:color w:val="323233"/>
          <w:lang w:val="de-DE"/>
        </w:rPr>
        <w:t xml:space="preserve"> </w:t>
      </w:r>
      <w:proofErr w:type="spellStart"/>
      <w:r w:rsidRPr="000C7C76">
        <w:rPr>
          <w:rFonts w:ascii="Times New Roman" w:hAnsi="Times New Roman" w:cs="Arial"/>
          <w:color w:val="323233"/>
          <w:lang w:val="de-DE"/>
        </w:rPr>
        <w:t>neparedz</w:t>
      </w:r>
      <w:proofErr w:type="spellEnd"/>
      <w:r w:rsidRPr="000C7C76">
        <w:rPr>
          <w:rFonts w:ascii="Times New Roman" w:hAnsi="Times New Roman" w:cs="Arial"/>
          <w:color w:val="323233"/>
          <w:lang w:val="de-DE"/>
        </w:rPr>
        <w:t xml:space="preserve"> </w:t>
      </w:r>
      <w:proofErr w:type="spellStart"/>
      <w:r w:rsidRPr="000C7C76">
        <w:rPr>
          <w:rFonts w:ascii="Times New Roman" w:hAnsi="Times New Roman" w:cs="Arial"/>
          <w:color w:val="323233"/>
          <w:lang w:val="de-DE"/>
        </w:rPr>
        <w:t>attiecīgās</w:t>
      </w:r>
      <w:proofErr w:type="spellEnd"/>
      <w:r w:rsidRPr="000C7C76">
        <w:rPr>
          <w:rFonts w:ascii="Times New Roman" w:hAnsi="Times New Roman" w:cs="Arial"/>
          <w:color w:val="323233"/>
          <w:lang w:val="de-DE"/>
        </w:rPr>
        <w:t xml:space="preserve"> </w:t>
      </w:r>
      <w:proofErr w:type="spellStart"/>
      <w:r w:rsidRPr="000C7C76">
        <w:rPr>
          <w:rFonts w:ascii="Times New Roman" w:hAnsi="Times New Roman" w:cs="Arial"/>
          <w:color w:val="323233"/>
          <w:lang w:val="de-DE"/>
        </w:rPr>
        <w:t>ārvalsts</w:t>
      </w:r>
      <w:proofErr w:type="spellEnd"/>
      <w:r w:rsidRPr="000C7C76">
        <w:rPr>
          <w:rFonts w:ascii="Times New Roman" w:hAnsi="Times New Roman" w:cs="Arial"/>
          <w:color w:val="323233"/>
          <w:lang w:val="de-DE"/>
        </w:rPr>
        <w:t xml:space="preserve"> </w:t>
      </w:r>
      <w:proofErr w:type="spellStart"/>
      <w:r w:rsidRPr="000C7C76">
        <w:rPr>
          <w:rFonts w:ascii="Times New Roman" w:hAnsi="Times New Roman" w:cs="Arial"/>
          <w:color w:val="323233"/>
          <w:lang w:val="de-DE"/>
        </w:rPr>
        <w:t>normatīvie</w:t>
      </w:r>
      <w:proofErr w:type="spellEnd"/>
      <w:r w:rsidRPr="000C7C76">
        <w:rPr>
          <w:rFonts w:ascii="Times New Roman" w:hAnsi="Times New Roman" w:cs="Arial"/>
          <w:color w:val="323233"/>
          <w:lang w:val="de-DE"/>
        </w:rPr>
        <w:t xml:space="preserve"> </w:t>
      </w:r>
      <w:proofErr w:type="spellStart"/>
      <w:r w:rsidRPr="000C7C76">
        <w:rPr>
          <w:rFonts w:ascii="Times New Roman" w:hAnsi="Times New Roman" w:cs="Arial"/>
          <w:color w:val="323233"/>
          <w:lang w:val="de-DE"/>
        </w:rPr>
        <w:t>akti</w:t>
      </w:r>
      <w:proofErr w:type="spellEnd"/>
      <w:r w:rsidRPr="000C7C76">
        <w:rPr>
          <w:rFonts w:ascii="Times New Roman" w:hAnsi="Times New Roman" w:cs="Arial"/>
          <w:color w:val="323233"/>
          <w:lang w:val="de-DE"/>
        </w:rPr>
        <w:t xml:space="preserve">, </w:t>
      </w:r>
      <w:proofErr w:type="spellStart"/>
      <w:r w:rsidRPr="000C7C76">
        <w:rPr>
          <w:rFonts w:ascii="Times New Roman" w:hAnsi="Times New Roman" w:cs="Arial"/>
          <w:color w:val="323233"/>
          <w:lang w:val="de-DE"/>
        </w:rPr>
        <w:t>vai</w:t>
      </w:r>
      <w:proofErr w:type="spellEnd"/>
      <w:r w:rsidRPr="000C7C76">
        <w:rPr>
          <w:rFonts w:ascii="Times New Roman" w:hAnsi="Times New Roman" w:cs="Arial"/>
          <w:color w:val="323233"/>
          <w:lang w:val="de-DE"/>
        </w:rPr>
        <w:t xml:space="preserve"> ja </w:t>
      </w:r>
      <w:proofErr w:type="spellStart"/>
      <w:r w:rsidRPr="000C7C76">
        <w:rPr>
          <w:rFonts w:ascii="Times New Roman" w:hAnsi="Times New Roman" w:cs="Arial"/>
          <w:color w:val="323233"/>
          <w:lang w:val="de-DE"/>
        </w:rPr>
        <w:t>notariālo</w:t>
      </w:r>
      <w:proofErr w:type="spellEnd"/>
      <w:r w:rsidRPr="000C7C76">
        <w:rPr>
          <w:rFonts w:ascii="Times New Roman" w:hAnsi="Times New Roman" w:cs="Arial"/>
          <w:color w:val="323233"/>
          <w:lang w:val="de-DE"/>
        </w:rPr>
        <w:t xml:space="preserve"> </w:t>
      </w:r>
      <w:proofErr w:type="spellStart"/>
      <w:r w:rsidRPr="000C7C76">
        <w:rPr>
          <w:rFonts w:ascii="Times New Roman" w:hAnsi="Times New Roman" w:cs="Arial"/>
          <w:color w:val="323233"/>
          <w:lang w:val="de-DE"/>
        </w:rPr>
        <w:t>aktu</w:t>
      </w:r>
      <w:proofErr w:type="spellEnd"/>
      <w:r w:rsidRPr="000C7C76">
        <w:rPr>
          <w:rFonts w:ascii="Times New Roman" w:hAnsi="Times New Roman" w:cs="Arial"/>
          <w:color w:val="323233"/>
          <w:lang w:val="de-DE"/>
        </w:rPr>
        <w:t xml:space="preserve"> </w:t>
      </w:r>
      <w:proofErr w:type="spellStart"/>
      <w:r w:rsidRPr="000C7C76">
        <w:rPr>
          <w:rFonts w:ascii="Times New Roman" w:hAnsi="Times New Roman" w:cs="Arial"/>
          <w:color w:val="323233"/>
          <w:lang w:val="de-DE"/>
        </w:rPr>
        <w:t>ir</w:t>
      </w:r>
      <w:proofErr w:type="spellEnd"/>
      <w:r w:rsidRPr="000C7C76">
        <w:rPr>
          <w:rFonts w:ascii="Times New Roman" w:hAnsi="Times New Roman" w:cs="Arial"/>
          <w:color w:val="323233"/>
          <w:lang w:val="de-DE"/>
        </w:rPr>
        <w:t xml:space="preserve"> </w:t>
      </w:r>
      <w:proofErr w:type="spellStart"/>
      <w:r w:rsidRPr="000C7C76">
        <w:rPr>
          <w:rFonts w:ascii="Times New Roman" w:hAnsi="Times New Roman" w:cs="Arial"/>
          <w:color w:val="323233"/>
          <w:lang w:val="de-DE"/>
        </w:rPr>
        <w:t>paredzēts</w:t>
      </w:r>
      <w:proofErr w:type="spellEnd"/>
      <w:r w:rsidRPr="000C7C76">
        <w:rPr>
          <w:rFonts w:ascii="Times New Roman" w:hAnsi="Times New Roman" w:cs="Arial"/>
          <w:color w:val="323233"/>
          <w:lang w:val="de-DE"/>
        </w:rPr>
        <w:t xml:space="preserve"> </w:t>
      </w:r>
      <w:proofErr w:type="spellStart"/>
      <w:r w:rsidRPr="000C7C76">
        <w:rPr>
          <w:rFonts w:ascii="Times New Roman" w:hAnsi="Times New Roman" w:cs="Arial"/>
          <w:color w:val="323233"/>
          <w:lang w:val="de-DE"/>
        </w:rPr>
        <w:t>izmantot</w:t>
      </w:r>
      <w:proofErr w:type="spellEnd"/>
      <w:r w:rsidRPr="000C7C76">
        <w:rPr>
          <w:rFonts w:ascii="Times New Roman" w:hAnsi="Times New Roman" w:cs="Arial"/>
          <w:color w:val="323233"/>
          <w:lang w:val="de-DE"/>
        </w:rPr>
        <w:t xml:space="preserve"> Latvijas </w:t>
      </w:r>
      <w:proofErr w:type="spellStart"/>
      <w:r w:rsidRPr="000C7C76">
        <w:rPr>
          <w:rFonts w:ascii="Times New Roman" w:hAnsi="Times New Roman" w:cs="Arial"/>
          <w:color w:val="323233"/>
          <w:lang w:val="de-DE"/>
        </w:rPr>
        <w:t>Republikā</w:t>
      </w:r>
      <w:proofErr w:type="spellEnd"/>
      <w:r w:rsidRPr="000C7C76">
        <w:rPr>
          <w:rFonts w:ascii="Times New Roman" w:hAnsi="Times New Roman" w:cs="Arial"/>
          <w:color w:val="323233"/>
          <w:lang w:val="de-DE"/>
        </w:rPr>
        <w:t xml:space="preserve">. Tas </w:t>
      </w:r>
      <w:proofErr w:type="spellStart"/>
      <w:r w:rsidRPr="000C7C76">
        <w:rPr>
          <w:rFonts w:ascii="Times New Roman" w:hAnsi="Times New Roman" w:cs="Arial"/>
          <w:color w:val="323233"/>
          <w:lang w:val="de-DE"/>
        </w:rPr>
        <w:t>nozīmē</w:t>
      </w:r>
      <w:proofErr w:type="spellEnd"/>
      <w:r w:rsidRPr="000C7C76">
        <w:rPr>
          <w:rFonts w:ascii="Times New Roman" w:hAnsi="Times New Roman" w:cs="Arial"/>
          <w:color w:val="323233"/>
          <w:lang w:val="de-DE"/>
        </w:rPr>
        <w:t xml:space="preserve">, </w:t>
      </w:r>
      <w:proofErr w:type="spellStart"/>
      <w:r w:rsidRPr="000C7C76">
        <w:rPr>
          <w:rFonts w:ascii="Times New Roman" w:hAnsi="Times New Roman" w:cs="Arial"/>
          <w:color w:val="323233"/>
          <w:lang w:val="de-DE"/>
        </w:rPr>
        <w:t>ka</w:t>
      </w:r>
      <w:proofErr w:type="spellEnd"/>
      <w:r w:rsidRPr="000C7C76">
        <w:rPr>
          <w:rFonts w:ascii="Times New Roman" w:hAnsi="Times New Roman" w:cs="Arial"/>
          <w:color w:val="323233"/>
          <w:lang w:val="de-DE"/>
        </w:rPr>
        <w:t xml:space="preserve"> </w:t>
      </w:r>
      <w:proofErr w:type="spellStart"/>
      <w:r w:rsidRPr="000C7C76">
        <w:rPr>
          <w:rFonts w:ascii="Times New Roman" w:hAnsi="Times New Roman" w:cs="Arial"/>
          <w:color w:val="323233"/>
          <w:lang w:val="de-DE"/>
        </w:rPr>
        <w:t>ārvalstnieki</w:t>
      </w:r>
      <w:proofErr w:type="spellEnd"/>
      <w:r w:rsidRPr="000C7C76">
        <w:rPr>
          <w:rFonts w:ascii="Times New Roman" w:hAnsi="Times New Roman" w:cs="Arial"/>
          <w:color w:val="323233"/>
          <w:lang w:val="de-DE"/>
        </w:rPr>
        <w:t xml:space="preserve"> </w:t>
      </w:r>
      <w:proofErr w:type="spellStart"/>
      <w:r w:rsidRPr="000C7C76">
        <w:rPr>
          <w:rFonts w:ascii="Times New Roman" w:hAnsi="Times New Roman" w:cs="Arial"/>
          <w:color w:val="323233"/>
          <w:lang w:val="de-DE"/>
        </w:rPr>
        <w:t>var</w:t>
      </w:r>
      <w:proofErr w:type="spellEnd"/>
      <w:r w:rsidRPr="000C7C76">
        <w:rPr>
          <w:rFonts w:ascii="Times New Roman" w:hAnsi="Times New Roman" w:cs="Arial"/>
          <w:color w:val="323233"/>
          <w:lang w:val="de-DE"/>
        </w:rPr>
        <w:t xml:space="preserve"> </w:t>
      </w:r>
      <w:proofErr w:type="spellStart"/>
      <w:r w:rsidRPr="000C7C76">
        <w:rPr>
          <w:rFonts w:ascii="Times New Roman" w:hAnsi="Times New Roman" w:cs="Arial"/>
          <w:color w:val="323233"/>
          <w:lang w:val="de-DE"/>
        </w:rPr>
        <w:t>vērsties</w:t>
      </w:r>
      <w:proofErr w:type="spellEnd"/>
      <w:r w:rsidRPr="000C7C76">
        <w:rPr>
          <w:rFonts w:ascii="Times New Roman" w:hAnsi="Times New Roman" w:cs="Arial"/>
          <w:color w:val="323233"/>
          <w:lang w:val="de-DE"/>
        </w:rPr>
        <w:t xml:space="preserve"> </w:t>
      </w:r>
      <w:proofErr w:type="spellStart"/>
      <w:r w:rsidRPr="000C7C76">
        <w:rPr>
          <w:rFonts w:ascii="Times New Roman" w:hAnsi="Times New Roman" w:cs="Arial"/>
          <w:color w:val="323233"/>
          <w:lang w:val="de-DE"/>
        </w:rPr>
        <w:t>arī</w:t>
      </w:r>
      <w:proofErr w:type="spellEnd"/>
      <w:r w:rsidRPr="000C7C76">
        <w:rPr>
          <w:rFonts w:ascii="Times New Roman" w:hAnsi="Times New Roman" w:cs="Arial"/>
          <w:color w:val="323233"/>
          <w:lang w:val="de-DE"/>
        </w:rPr>
        <w:t xml:space="preserve"> </w:t>
      </w:r>
      <w:proofErr w:type="spellStart"/>
      <w:r w:rsidRPr="000C7C76">
        <w:rPr>
          <w:rFonts w:ascii="Times New Roman" w:hAnsi="Times New Roman" w:cs="Arial"/>
          <w:color w:val="323233"/>
          <w:lang w:val="de-DE"/>
        </w:rPr>
        <w:t>pie</w:t>
      </w:r>
      <w:proofErr w:type="spellEnd"/>
      <w:r w:rsidRPr="000C7C76">
        <w:rPr>
          <w:rFonts w:ascii="Times New Roman" w:hAnsi="Times New Roman" w:cs="Arial"/>
          <w:color w:val="323233"/>
          <w:lang w:val="de-DE"/>
        </w:rPr>
        <w:t xml:space="preserve"> Latvijas </w:t>
      </w:r>
      <w:proofErr w:type="spellStart"/>
      <w:r w:rsidRPr="000C7C76">
        <w:rPr>
          <w:rFonts w:ascii="Times New Roman" w:hAnsi="Times New Roman" w:cs="Arial"/>
          <w:color w:val="323233"/>
          <w:lang w:val="de-DE"/>
        </w:rPr>
        <w:t>konsulārajām</w:t>
      </w:r>
      <w:proofErr w:type="spellEnd"/>
      <w:r w:rsidRPr="000C7C76">
        <w:rPr>
          <w:rFonts w:ascii="Times New Roman" w:hAnsi="Times New Roman" w:cs="Arial"/>
          <w:color w:val="323233"/>
          <w:lang w:val="de-DE"/>
        </w:rPr>
        <w:t xml:space="preserve"> </w:t>
      </w:r>
      <w:proofErr w:type="spellStart"/>
      <w:r w:rsidRPr="000C7C76">
        <w:rPr>
          <w:rFonts w:ascii="Times New Roman" w:hAnsi="Times New Roman" w:cs="Arial"/>
          <w:color w:val="323233"/>
          <w:lang w:val="de-DE"/>
        </w:rPr>
        <w:t>amatpersonām</w:t>
      </w:r>
      <w:proofErr w:type="spellEnd"/>
      <w:r w:rsidRPr="000C7C76">
        <w:rPr>
          <w:rFonts w:ascii="Times New Roman" w:hAnsi="Times New Roman" w:cs="Arial"/>
          <w:color w:val="323233"/>
          <w:lang w:val="de-DE"/>
        </w:rPr>
        <w:t xml:space="preserve"> </w:t>
      </w:r>
      <w:proofErr w:type="spellStart"/>
      <w:r w:rsidRPr="000C7C76">
        <w:rPr>
          <w:rFonts w:ascii="Times New Roman" w:hAnsi="Times New Roman" w:cs="Arial"/>
          <w:color w:val="323233"/>
          <w:lang w:val="de-DE"/>
        </w:rPr>
        <w:t>Apvienotajā</w:t>
      </w:r>
      <w:proofErr w:type="spellEnd"/>
      <w:r w:rsidRPr="000C7C76">
        <w:rPr>
          <w:rFonts w:ascii="Times New Roman" w:hAnsi="Times New Roman" w:cs="Arial"/>
          <w:color w:val="323233"/>
          <w:lang w:val="de-DE"/>
        </w:rPr>
        <w:t xml:space="preserve"> </w:t>
      </w:r>
      <w:proofErr w:type="spellStart"/>
      <w:r w:rsidRPr="000C7C76">
        <w:rPr>
          <w:rFonts w:ascii="Times New Roman" w:hAnsi="Times New Roman" w:cs="Arial"/>
          <w:color w:val="323233"/>
          <w:lang w:val="de-DE"/>
        </w:rPr>
        <w:t>Karalistē</w:t>
      </w:r>
      <w:proofErr w:type="spellEnd"/>
      <w:r w:rsidRPr="000C7C76">
        <w:rPr>
          <w:rFonts w:ascii="Times New Roman" w:hAnsi="Times New Roman" w:cs="Arial"/>
          <w:color w:val="323233"/>
          <w:lang w:val="de-DE"/>
        </w:rPr>
        <w:t xml:space="preserve">, </w:t>
      </w:r>
      <w:proofErr w:type="spellStart"/>
      <w:r w:rsidRPr="000C7C76">
        <w:rPr>
          <w:rFonts w:ascii="Times New Roman" w:hAnsi="Times New Roman" w:cs="Arial"/>
          <w:color w:val="323233"/>
          <w:lang w:val="de-DE"/>
        </w:rPr>
        <w:t>Kanādā</w:t>
      </w:r>
      <w:proofErr w:type="spellEnd"/>
      <w:r w:rsidRPr="000C7C76">
        <w:rPr>
          <w:rFonts w:ascii="Times New Roman" w:hAnsi="Times New Roman" w:cs="Arial"/>
          <w:color w:val="323233"/>
          <w:lang w:val="de-DE"/>
        </w:rPr>
        <w:t xml:space="preserve"> </w:t>
      </w:r>
      <w:proofErr w:type="spellStart"/>
      <w:r w:rsidRPr="000C7C76">
        <w:rPr>
          <w:rFonts w:ascii="Times New Roman" w:hAnsi="Times New Roman" w:cs="Arial"/>
          <w:color w:val="323233"/>
          <w:lang w:val="de-DE"/>
        </w:rPr>
        <w:t>vai</w:t>
      </w:r>
      <w:proofErr w:type="spellEnd"/>
      <w:r w:rsidRPr="000C7C76">
        <w:rPr>
          <w:rFonts w:ascii="Times New Roman" w:hAnsi="Times New Roman" w:cs="Arial"/>
          <w:color w:val="323233"/>
          <w:lang w:val="de-DE"/>
        </w:rPr>
        <w:t xml:space="preserve"> ASV, ja </w:t>
      </w:r>
      <w:proofErr w:type="spellStart"/>
      <w:r w:rsidRPr="000C7C76">
        <w:rPr>
          <w:rFonts w:ascii="Times New Roman" w:hAnsi="Times New Roman" w:cs="Arial"/>
          <w:color w:val="323233"/>
          <w:lang w:val="de-DE"/>
        </w:rPr>
        <w:t>jau</w:t>
      </w:r>
      <w:proofErr w:type="spellEnd"/>
      <w:r w:rsidRPr="000C7C76">
        <w:rPr>
          <w:rFonts w:ascii="Times New Roman" w:hAnsi="Times New Roman" w:cs="Arial"/>
          <w:color w:val="323233"/>
          <w:lang w:val="de-DE"/>
        </w:rPr>
        <w:t xml:space="preserve"> </w:t>
      </w:r>
      <w:proofErr w:type="spellStart"/>
      <w:r w:rsidRPr="000C7C76">
        <w:rPr>
          <w:rFonts w:ascii="Times New Roman" w:hAnsi="Times New Roman" w:cs="Arial"/>
          <w:color w:val="323233"/>
          <w:lang w:val="de-DE"/>
        </w:rPr>
        <w:t>iepriekš</w:t>
      </w:r>
      <w:proofErr w:type="spellEnd"/>
      <w:r w:rsidRPr="000C7C76">
        <w:rPr>
          <w:rFonts w:ascii="Times New Roman" w:hAnsi="Times New Roman" w:cs="Arial"/>
          <w:color w:val="323233"/>
          <w:lang w:val="de-DE"/>
        </w:rPr>
        <w:t xml:space="preserve"> </w:t>
      </w:r>
      <w:proofErr w:type="spellStart"/>
      <w:r w:rsidRPr="000C7C76">
        <w:rPr>
          <w:rFonts w:ascii="Times New Roman" w:hAnsi="Times New Roman" w:cs="Arial"/>
          <w:color w:val="323233"/>
          <w:lang w:val="de-DE"/>
        </w:rPr>
        <w:t>zin</w:t>
      </w:r>
      <w:proofErr w:type="spellEnd"/>
      <w:r w:rsidRPr="000C7C76">
        <w:rPr>
          <w:rFonts w:ascii="Times New Roman" w:hAnsi="Times New Roman" w:cs="Arial"/>
          <w:color w:val="323233"/>
          <w:lang w:val="de-DE"/>
        </w:rPr>
        <w:t xml:space="preserve">, </w:t>
      </w:r>
      <w:proofErr w:type="spellStart"/>
      <w:r w:rsidRPr="000C7C76">
        <w:rPr>
          <w:rFonts w:ascii="Times New Roman" w:hAnsi="Times New Roman" w:cs="Arial"/>
          <w:color w:val="323233"/>
          <w:lang w:val="de-DE"/>
        </w:rPr>
        <w:t>ka</w:t>
      </w:r>
      <w:proofErr w:type="spellEnd"/>
      <w:r w:rsidRPr="000C7C76">
        <w:rPr>
          <w:rFonts w:ascii="Times New Roman" w:hAnsi="Times New Roman" w:cs="Arial"/>
          <w:color w:val="323233"/>
          <w:lang w:val="de-DE"/>
        </w:rPr>
        <w:t xml:space="preserve"> </w:t>
      </w:r>
      <w:proofErr w:type="spellStart"/>
      <w:r w:rsidRPr="000C7C76">
        <w:rPr>
          <w:rFonts w:ascii="Times New Roman" w:hAnsi="Times New Roman" w:cs="Arial"/>
          <w:color w:val="323233"/>
          <w:lang w:val="de-DE"/>
        </w:rPr>
        <w:t>pilnvaru</w:t>
      </w:r>
      <w:proofErr w:type="spellEnd"/>
      <w:r w:rsidRPr="000C7C76">
        <w:rPr>
          <w:rFonts w:ascii="Times New Roman" w:hAnsi="Times New Roman" w:cs="Arial"/>
          <w:color w:val="323233"/>
          <w:lang w:val="de-DE"/>
        </w:rPr>
        <w:t xml:space="preserve"> </w:t>
      </w:r>
      <w:proofErr w:type="spellStart"/>
      <w:r w:rsidRPr="000C7C76">
        <w:rPr>
          <w:rFonts w:ascii="Times New Roman" w:hAnsi="Times New Roman" w:cs="Arial"/>
          <w:color w:val="323233"/>
          <w:lang w:val="de-DE"/>
        </w:rPr>
        <w:t>būs</w:t>
      </w:r>
      <w:proofErr w:type="spellEnd"/>
      <w:r w:rsidRPr="000C7C76">
        <w:rPr>
          <w:rFonts w:ascii="Times New Roman" w:hAnsi="Times New Roman" w:cs="Arial"/>
          <w:color w:val="323233"/>
          <w:lang w:val="de-DE"/>
        </w:rPr>
        <w:t xml:space="preserve"> </w:t>
      </w:r>
      <w:proofErr w:type="spellStart"/>
      <w:r w:rsidRPr="000C7C76">
        <w:rPr>
          <w:rFonts w:ascii="Times New Roman" w:hAnsi="Times New Roman" w:cs="Arial"/>
          <w:color w:val="323233"/>
          <w:lang w:val="de-DE"/>
        </w:rPr>
        <w:t>paredzēts</w:t>
      </w:r>
      <w:proofErr w:type="spellEnd"/>
      <w:r w:rsidRPr="000C7C76">
        <w:rPr>
          <w:rFonts w:ascii="Times New Roman" w:hAnsi="Times New Roman" w:cs="Arial"/>
          <w:color w:val="323233"/>
          <w:lang w:val="de-DE"/>
        </w:rPr>
        <w:t xml:space="preserve"> </w:t>
      </w:r>
      <w:proofErr w:type="spellStart"/>
      <w:r w:rsidRPr="000C7C76">
        <w:rPr>
          <w:rFonts w:ascii="Times New Roman" w:hAnsi="Times New Roman" w:cs="Arial"/>
          <w:color w:val="323233"/>
          <w:lang w:val="de-DE"/>
        </w:rPr>
        <w:t>izmantot</w:t>
      </w:r>
      <w:proofErr w:type="spellEnd"/>
      <w:r w:rsidRPr="000C7C76">
        <w:rPr>
          <w:rFonts w:ascii="Times New Roman" w:hAnsi="Times New Roman" w:cs="Arial"/>
          <w:color w:val="323233"/>
          <w:lang w:val="de-DE"/>
        </w:rPr>
        <w:t xml:space="preserve"> </w:t>
      </w:r>
      <w:proofErr w:type="spellStart"/>
      <w:r w:rsidRPr="000C7C76">
        <w:rPr>
          <w:rFonts w:ascii="Times New Roman" w:hAnsi="Times New Roman" w:cs="Arial"/>
          <w:color w:val="323233"/>
          <w:lang w:val="de-DE"/>
        </w:rPr>
        <w:t>Latvijā</w:t>
      </w:r>
      <w:proofErr w:type="spellEnd"/>
      <w:r w:rsidRPr="000C7C76">
        <w:rPr>
          <w:rFonts w:ascii="Times New Roman" w:hAnsi="Times New Roman" w:cs="Arial"/>
          <w:color w:val="323233"/>
          <w:lang w:val="de-DE"/>
        </w:rPr>
        <w:t xml:space="preserve">. </w:t>
      </w:r>
      <w:r w:rsidRPr="000C7C76">
        <w:rPr>
          <w:rFonts w:ascii="Times New Roman" w:hAnsi="Times New Roman" w:cs="Arial"/>
          <w:lang w:val="de-DE"/>
        </w:rPr>
        <w:t xml:space="preserve">Tas, </w:t>
      </w:r>
      <w:proofErr w:type="spellStart"/>
      <w:r w:rsidRPr="000C7C76">
        <w:rPr>
          <w:rFonts w:ascii="Times New Roman" w:hAnsi="Times New Roman" w:cs="Arial"/>
          <w:lang w:val="de-DE"/>
        </w:rPr>
        <w:t>ka</w:t>
      </w:r>
      <w:proofErr w:type="spellEnd"/>
      <w:r w:rsidRPr="000C7C76">
        <w:rPr>
          <w:rFonts w:ascii="Times New Roman" w:hAnsi="Times New Roman" w:cs="Arial"/>
          <w:lang w:val="de-DE"/>
        </w:rPr>
        <w:t xml:space="preserve"> </w:t>
      </w:r>
      <w:proofErr w:type="spellStart"/>
      <w:r w:rsidRPr="000C7C76">
        <w:rPr>
          <w:rFonts w:ascii="Times New Roman" w:hAnsi="Times New Roman" w:cs="Arial"/>
          <w:lang w:val="de-DE"/>
        </w:rPr>
        <w:t>Latvija</w:t>
      </w:r>
      <w:proofErr w:type="spellEnd"/>
      <w:r w:rsidRPr="000C7C76">
        <w:rPr>
          <w:rFonts w:ascii="Times New Roman" w:hAnsi="Times New Roman" w:cs="Arial"/>
          <w:lang w:val="de-DE"/>
        </w:rPr>
        <w:t xml:space="preserve"> </w:t>
      </w:r>
      <w:proofErr w:type="spellStart"/>
      <w:r w:rsidRPr="000C7C76">
        <w:rPr>
          <w:rFonts w:ascii="Times New Roman" w:hAnsi="Times New Roman" w:cs="Arial"/>
          <w:lang w:val="de-DE"/>
        </w:rPr>
        <w:t>dod</w:t>
      </w:r>
      <w:proofErr w:type="spellEnd"/>
      <w:r w:rsidRPr="000C7C76">
        <w:rPr>
          <w:rFonts w:ascii="Times New Roman" w:hAnsi="Times New Roman" w:cs="Arial"/>
          <w:lang w:val="de-DE"/>
        </w:rPr>
        <w:t xml:space="preserve"> </w:t>
      </w:r>
      <w:proofErr w:type="spellStart"/>
      <w:r w:rsidRPr="000C7C76">
        <w:rPr>
          <w:rFonts w:ascii="Times New Roman" w:hAnsi="Times New Roman" w:cs="Arial"/>
          <w:lang w:val="de-DE"/>
        </w:rPr>
        <w:t>ārvalstniekiem</w:t>
      </w:r>
      <w:proofErr w:type="spellEnd"/>
      <w:r w:rsidRPr="000C7C76">
        <w:rPr>
          <w:rFonts w:ascii="Times New Roman" w:hAnsi="Times New Roman" w:cs="Arial"/>
          <w:lang w:val="de-DE"/>
        </w:rPr>
        <w:t xml:space="preserve"> </w:t>
      </w:r>
      <w:proofErr w:type="spellStart"/>
      <w:r w:rsidRPr="000C7C76">
        <w:rPr>
          <w:rFonts w:ascii="Times New Roman" w:hAnsi="Times New Roman" w:cs="Arial"/>
          <w:lang w:val="de-DE"/>
        </w:rPr>
        <w:t>šādas</w:t>
      </w:r>
      <w:proofErr w:type="spellEnd"/>
      <w:r w:rsidRPr="000C7C76">
        <w:rPr>
          <w:rFonts w:ascii="Times New Roman" w:hAnsi="Times New Roman" w:cs="Arial"/>
          <w:lang w:val="de-DE"/>
        </w:rPr>
        <w:t xml:space="preserve"> </w:t>
      </w:r>
      <w:proofErr w:type="spellStart"/>
      <w:r w:rsidRPr="000C7C76">
        <w:rPr>
          <w:rFonts w:ascii="Times New Roman" w:hAnsi="Times New Roman" w:cs="Arial"/>
          <w:lang w:val="de-DE"/>
        </w:rPr>
        <w:t>tiesības</w:t>
      </w:r>
      <w:proofErr w:type="spellEnd"/>
      <w:r w:rsidRPr="000C7C76">
        <w:rPr>
          <w:rFonts w:ascii="Times New Roman" w:hAnsi="Times New Roman" w:cs="Arial"/>
          <w:lang w:val="de-DE"/>
        </w:rPr>
        <w:t xml:space="preserve">, </w:t>
      </w:r>
      <w:proofErr w:type="spellStart"/>
      <w:r w:rsidRPr="000C7C76">
        <w:rPr>
          <w:rFonts w:ascii="Times New Roman" w:hAnsi="Times New Roman" w:cs="Arial"/>
          <w:lang w:val="de-DE"/>
        </w:rPr>
        <w:t>nozīmē</w:t>
      </w:r>
      <w:proofErr w:type="spellEnd"/>
      <w:r w:rsidRPr="000C7C76">
        <w:rPr>
          <w:rFonts w:ascii="Times New Roman" w:hAnsi="Times New Roman" w:cs="Arial"/>
          <w:lang w:val="de-DE"/>
        </w:rPr>
        <w:t xml:space="preserve">, </w:t>
      </w:r>
      <w:proofErr w:type="spellStart"/>
      <w:r w:rsidRPr="000C7C76">
        <w:rPr>
          <w:rFonts w:ascii="Times New Roman" w:hAnsi="Times New Roman" w:cs="Arial"/>
          <w:lang w:val="de-DE"/>
        </w:rPr>
        <w:t>ka</w:t>
      </w:r>
      <w:proofErr w:type="spellEnd"/>
      <w:r w:rsidRPr="000C7C76">
        <w:rPr>
          <w:rFonts w:ascii="Times New Roman" w:hAnsi="Times New Roman" w:cs="Arial"/>
          <w:lang w:val="de-DE"/>
        </w:rPr>
        <w:t xml:space="preserve"> ne </w:t>
      </w:r>
      <w:proofErr w:type="spellStart"/>
      <w:r w:rsidRPr="000C7C76">
        <w:rPr>
          <w:rFonts w:ascii="Times New Roman" w:hAnsi="Times New Roman" w:cs="Arial"/>
          <w:lang w:val="de-DE"/>
        </w:rPr>
        <w:t>visās</w:t>
      </w:r>
      <w:proofErr w:type="spellEnd"/>
      <w:r w:rsidRPr="000C7C76">
        <w:rPr>
          <w:rFonts w:ascii="Times New Roman" w:hAnsi="Times New Roman" w:cs="Arial"/>
          <w:lang w:val="de-DE"/>
        </w:rPr>
        <w:t xml:space="preserve"> </w:t>
      </w:r>
      <w:proofErr w:type="spellStart"/>
      <w:r w:rsidRPr="000C7C76">
        <w:rPr>
          <w:rFonts w:ascii="Times New Roman" w:hAnsi="Times New Roman" w:cs="Arial"/>
          <w:lang w:val="de-DE"/>
        </w:rPr>
        <w:t>ārvalstīs</w:t>
      </w:r>
      <w:proofErr w:type="spellEnd"/>
      <w:r w:rsidRPr="000C7C76">
        <w:rPr>
          <w:rFonts w:ascii="Times New Roman" w:hAnsi="Times New Roman" w:cs="Arial"/>
          <w:lang w:val="de-DE"/>
        </w:rPr>
        <w:t xml:space="preserve"> </w:t>
      </w:r>
      <w:proofErr w:type="spellStart"/>
      <w:r w:rsidRPr="000C7C76">
        <w:rPr>
          <w:rFonts w:ascii="Times New Roman" w:hAnsi="Times New Roman" w:cs="Arial"/>
          <w:lang w:val="de-DE"/>
        </w:rPr>
        <w:t>izdotie</w:t>
      </w:r>
      <w:proofErr w:type="spellEnd"/>
      <w:r w:rsidRPr="000C7C76">
        <w:rPr>
          <w:rFonts w:ascii="Times New Roman" w:hAnsi="Times New Roman" w:cs="Arial"/>
          <w:lang w:val="de-DE"/>
        </w:rPr>
        <w:t xml:space="preserve"> </w:t>
      </w:r>
      <w:proofErr w:type="spellStart"/>
      <w:r w:rsidRPr="000C7C76">
        <w:rPr>
          <w:rFonts w:ascii="Times New Roman" w:hAnsi="Times New Roman" w:cs="Arial"/>
          <w:lang w:val="de-DE"/>
        </w:rPr>
        <w:t>dokumenti</w:t>
      </w:r>
      <w:proofErr w:type="spellEnd"/>
      <w:r w:rsidRPr="000C7C76">
        <w:rPr>
          <w:rFonts w:ascii="Times New Roman" w:hAnsi="Times New Roman" w:cs="Arial"/>
          <w:lang w:val="de-DE"/>
        </w:rPr>
        <w:t xml:space="preserve"> </w:t>
      </w:r>
      <w:proofErr w:type="spellStart"/>
      <w:r w:rsidRPr="000C7C76">
        <w:rPr>
          <w:rFonts w:ascii="Times New Roman" w:hAnsi="Times New Roman" w:cs="Arial"/>
          <w:lang w:val="de-DE"/>
        </w:rPr>
        <w:t>Latvijā</w:t>
      </w:r>
      <w:proofErr w:type="spellEnd"/>
      <w:r w:rsidRPr="000C7C76">
        <w:rPr>
          <w:rFonts w:ascii="Times New Roman" w:hAnsi="Times New Roman" w:cs="Arial"/>
          <w:lang w:val="de-DE"/>
        </w:rPr>
        <w:t xml:space="preserve"> </w:t>
      </w:r>
      <w:proofErr w:type="spellStart"/>
      <w:r w:rsidRPr="000C7C76">
        <w:rPr>
          <w:rFonts w:ascii="Times New Roman" w:hAnsi="Times New Roman" w:cs="Arial"/>
          <w:lang w:val="de-DE"/>
        </w:rPr>
        <w:t>varēs</w:t>
      </w:r>
      <w:proofErr w:type="spellEnd"/>
      <w:r w:rsidRPr="000C7C76">
        <w:rPr>
          <w:rFonts w:ascii="Times New Roman" w:hAnsi="Times New Roman" w:cs="Arial"/>
          <w:lang w:val="de-DE"/>
        </w:rPr>
        <w:t xml:space="preserve"> </w:t>
      </w:r>
      <w:proofErr w:type="spellStart"/>
      <w:r w:rsidRPr="000C7C76">
        <w:rPr>
          <w:rFonts w:ascii="Times New Roman" w:hAnsi="Times New Roman" w:cs="Arial"/>
          <w:lang w:val="de-DE"/>
        </w:rPr>
        <w:t>tikt</w:t>
      </w:r>
      <w:proofErr w:type="spellEnd"/>
      <w:r w:rsidRPr="000C7C76">
        <w:rPr>
          <w:rFonts w:ascii="Times New Roman" w:hAnsi="Times New Roman" w:cs="Arial"/>
          <w:lang w:val="de-DE"/>
        </w:rPr>
        <w:t xml:space="preserve"> </w:t>
      </w:r>
      <w:proofErr w:type="spellStart"/>
      <w:r w:rsidRPr="000C7C76">
        <w:rPr>
          <w:rFonts w:ascii="Times New Roman" w:hAnsi="Times New Roman" w:cs="Arial"/>
          <w:lang w:val="de-DE"/>
        </w:rPr>
        <w:t>izmantoti</w:t>
      </w:r>
      <w:proofErr w:type="spellEnd"/>
      <w:r w:rsidRPr="000C7C76">
        <w:rPr>
          <w:rFonts w:ascii="Times New Roman" w:hAnsi="Times New Roman" w:cs="Arial"/>
          <w:lang w:val="de-DE"/>
        </w:rPr>
        <w:t xml:space="preserve"> </w:t>
      </w:r>
      <w:proofErr w:type="spellStart"/>
      <w:r w:rsidRPr="000C7C76">
        <w:rPr>
          <w:rFonts w:ascii="Times New Roman" w:hAnsi="Times New Roman" w:cs="Arial"/>
          <w:lang w:val="de-DE"/>
        </w:rPr>
        <w:t>notariālām</w:t>
      </w:r>
      <w:proofErr w:type="spellEnd"/>
      <w:r w:rsidRPr="000C7C76">
        <w:rPr>
          <w:rFonts w:ascii="Times New Roman" w:hAnsi="Times New Roman" w:cs="Arial"/>
          <w:lang w:val="de-DE"/>
        </w:rPr>
        <w:t xml:space="preserve"> </w:t>
      </w:r>
      <w:proofErr w:type="spellStart"/>
      <w:r w:rsidRPr="000C7C76">
        <w:rPr>
          <w:rFonts w:ascii="Times New Roman" w:hAnsi="Times New Roman" w:cs="Arial"/>
          <w:lang w:val="de-DE"/>
        </w:rPr>
        <w:t>vajadzībām</w:t>
      </w:r>
      <w:proofErr w:type="spellEnd"/>
      <w:r w:rsidRPr="000C7C76">
        <w:rPr>
          <w:rFonts w:ascii="Times New Roman" w:hAnsi="Times New Roman" w:cs="Arial"/>
          <w:lang w:val="de-DE"/>
        </w:rPr>
        <w:t xml:space="preserve">. </w:t>
      </w:r>
    </w:p>
    <w:p w14:paraId="1D1E1141" w14:textId="77777777" w:rsidR="00114953" w:rsidRPr="00CD4311" w:rsidRDefault="00114953" w:rsidP="00114953">
      <w:pPr>
        <w:ind w:firstLine="708"/>
        <w:jc w:val="both"/>
        <w:rPr>
          <w:rFonts w:ascii="Times New Roman" w:hAnsi="Times New Roman" w:cs="Arial"/>
          <w:lang w:val="de-DE"/>
        </w:rPr>
      </w:pPr>
      <w:r w:rsidRPr="00CD4311">
        <w:rPr>
          <w:rFonts w:ascii="Times New Roman" w:hAnsi="Times New Roman" w:cs="Arial"/>
          <w:lang w:val="de-DE"/>
        </w:rPr>
        <w:t xml:space="preserve">Latvijas </w:t>
      </w:r>
      <w:proofErr w:type="spellStart"/>
      <w:r w:rsidRPr="00CD4311">
        <w:rPr>
          <w:rFonts w:ascii="Times New Roman" w:hAnsi="Times New Roman" w:cs="Arial"/>
          <w:lang w:val="de-DE"/>
        </w:rPr>
        <w:t>Republikas</w:t>
      </w:r>
      <w:proofErr w:type="spellEnd"/>
      <w:r w:rsidRPr="00CD4311">
        <w:rPr>
          <w:rFonts w:ascii="Times New Roman" w:hAnsi="Times New Roman" w:cs="Arial"/>
          <w:lang w:val="de-DE"/>
        </w:rPr>
        <w:t xml:space="preserve"> </w:t>
      </w:r>
      <w:proofErr w:type="spellStart"/>
      <w:r w:rsidRPr="00CD4311">
        <w:rPr>
          <w:rFonts w:ascii="Times New Roman" w:hAnsi="Times New Roman" w:cs="Arial"/>
          <w:lang w:val="de-DE"/>
        </w:rPr>
        <w:t>Ārlietu</w:t>
      </w:r>
      <w:proofErr w:type="spellEnd"/>
      <w:r w:rsidRPr="00CD4311">
        <w:rPr>
          <w:rFonts w:ascii="Times New Roman" w:hAnsi="Times New Roman" w:cs="Arial"/>
          <w:lang w:val="de-DE"/>
        </w:rPr>
        <w:t xml:space="preserve"> </w:t>
      </w:r>
      <w:proofErr w:type="spellStart"/>
      <w:r w:rsidRPr="00CD4311">
        <w:rPr>
          <w:rFonts w:ascii="Times New Roman" w:hAnsi="Times New Roman" w:cs="Arial"/>
          <w:lang w:val="de-DE"/>
        </w:rPr>
        <w:t>ministrija</w:t>
      </w:r>
      <w:proofErr w:type="spellEnd"/>
      <w:r w:rsidRPr="00CD4311">
        <w:rPr>
          <w:rFonts w:ascii="Times New Roman" w:hAnsi="Times New Roman" w:cs="Arial"/>
          <w:lang w:val="de-DE"/>
        </w:rPr>
        <w:t xml:space="preserve"> (</w:t>
      </w:r>
      <w:proofErr w:type="spellStart"/>
      <w:r w:rsidRPr="00CD4311">
        <w:rPr>
          <w:rFonts w:ascii="Times New Roman" w:hAnsi="Times New Roman" w:cs="Arial"/>
          <w:lang w:val="de-DE"/>
        </w:rPr>
        <w:t>turpmāk</w:t>
      </w:r>
      <w:proofErr w:type="spellEnd"/>
      <w:r w:rsidRPr="00CD4311">
        <w:rPr>
          <w:rFonts w:ascii="Times New Roman" w:hAnsi="Times New Roman" w:cs="Arial"/>
          <w:lang w:val="de-DE"/>
        </w:rPr>
        <w:t xml:space="preserve"> – </w:t>
      </w:r>
      <w:proofErr w:type="spellStart"/>
      <w:r w:rsidRPr="00CD4311">
        <w:rPr>
          <w:rFonts w:ascii="Times New Roman" w:hAnsi="Times New Roman" w:cs="Arial"/>
          <w:lang w:val="de-DE"/>
        </w:rPr>
        <w:t>Ārlietu</w:t>
      </w:r>
      <w:proofErr w:type="spellEnd"/>
      <w:r w:rsidRPr="00CD4311">
        <w:rPr>
          <w:rFonts w:ascii="Times New Roman" w:hAnsi="Times New Roman" w:cs="Arial"/>
          <w:lang w:val="de-DE"/>
        </w:rPr>
        <w:t xml:space="preserve"> </w:t>
      </w:r>
      <w:proofErr w:type="spellStart"/>
      <w:r w:rsidRPr="00CD4311">
        <w:rPr>
          <w:rFonts w:ascii="Times New Roman" w:hAnsi="Times New Roman" w:cs="Arial"/>
          <w:lang w:val="de-DE"/>
        </w:rPr>
        <w:t>ministrija</w:t>
      </w:r>
      <w:proofErr w:type="spellEnd"/>
      <w:r w:rsidRPr="00CD4311">
        <w:rPr>
          <w:rFonts w:ascii="Times New Roman" w:hAnsi="Times New Roman" w:cs="Arial"/>
          <w:lang w:val="de-DE"/>
        </w:rPr>
        <w:t xml:space="preserve">) </w:t>
      </w:r>
      <w:proofErr w:type="spellStart"/>
      <w:r w:rsidRPr="00CD4311">
        <w:rPr>
          <w:rFonts w:ascii="Times New Roman" w:hAnsi="Times New Roman" w:cs="Arial"/>
          <w:lang w:val="de-DE"/>
        </w:rPr>
        <w:t>savā</w:t>
      </w:r>
      <w:proofErr w:type="spellEnd"/>
      <w:r w:rsidRPr="00CD4311">
        <w:rPr>
          <w:rFonts w:ascii="Times New Roman" w:hAnsi="Times New Roman" w:cs="Arial"/>
          <w:lang w:val="de-DE"/>
        </w:rPr>
        <w:t xml:space="preserve"> 2017.gada 28.marta </w:t>
      </w:r>
      <w:proofErr w:type="spellStart"/>
      <w:r w:rsidRPr="00CD4311">
        <w:rPr>
          <w:rFonts w:ascii="Times New Roman" w:hAnsi="Times New Roman" w:cs="Arial"/>
          <w:lang w:val="de-DE"/>
        </w:rPr>
        <w:t>atbildes</w:t>
      </w:r>
      <w:proofErr w:type="spellEnd"/>
      <w:r w:rsidRPr="00CD4311">
        <w:rPr>
          <w:rFonts w:ascii="Times New Roman" w:hAnsi="Times New Roman" w:cs="Arial"/>
          <w:lang w:val="de-DE"/>
        </w:rPr>
        <w:t xml:space="preserve"> </w:t>
      </w:r>
      <w:proofErr w:type="spellStart"/>
      <w:r w:rsidRPr="00CD4311">
        <w:rPr>
          <w:rFonts w:ascii="Times New Roman" w:hAnsi="Times New Roman" w:cs="Arial"/>
          <w:lang w:val="de-DE"/>
        </w:rPr>
        <w:t>vēstulē</w:t>
      </w:r>
      <w:proofErr w:type="spellEnd"/>
      <w:r w:rsidRPr="00CD4311">
        <w:rPr>
          <w:rFonts w:ascii="Times New Roman" w:hAnsi="Times New Roman" w:cs="Arial"/>
          <w:lang w:val="de-DE"/>
        </w:rPr>
        <w:t xml:space="preserve"> Nr. 43-8202</w:t>
      </w:r>
      <w:r w:rsidRPr="00CD4311">
        <w:rPr>
          <w:rStyle w:val="FootnoteReference"/>
          <w:rFonts w:ascii="Times New Roman" w:hAnsi="Times New Roman" w:cs="Arial"/>
          <w:lang w:val="de-DE"/>
        </w:rPr>
        <w:footnoteReference w:id="182"/>
      </w:r>
      <w:r w:rsidRPr="00CD4311">
        <w:rPr>
          <w:rFonts w:ascii="Times New Roman" w:hAnsi="Times New Roman" w:cs="Arial"/>
          <w:lang w:val="de-DE"/>
        </w:rPr>
        <w:t xml:space="preserve"> Latvijas </w:t>
      </w:r>
      <w:proofErr w:type="spellStart"/>
      <w:r w:rsidRPr="00CD4311">
        <w:rPr>
          <w:rFonts w:ascii="Times New Roman" w:hAnsi="Times New Roman" w:cs="Arial"/>
          <w:lang w:val="de-DE"/>
        </w:rPr>
        <w:t>Zvērinātu</w:t>
      </w:r>
      <w:proofErr w:type="spellEnd"/>
      <w:r w:rsidRPr="00CD4311">
        <w:rPr>
          <w:rFonts w:ascii="Times New Roman" w:hAnsi="Times New Roman" w:cs="Arial"/>
          <w:lang w:val="de-DE"/>
        </w:rPr>
        <w:t xml:space="preserve"> </w:t>
      </w:r>
      <w:proofErr w:type="spellStart"/>
      <w:r w:rsidRPr="00CD4311">
        <w:rPr>
          <w:rFonts w:ascii="Times New Roman" w:hAnsi="Times New Roman" w:cs="Arial"/>
          <w:lang w:val="de-DE"/>
        </w:rPr>
        <w:t>notāru</w:t>
      </w:r>
      <w:proofErr w:type="spellEnd"/>
      <w:r w:rsidRPr="00CD4311">
        <w:rPr>
          <w:rFonts w:ascii="Times New Roman" w:hAnsi="Times New Roman" w:cs="Arial"/>
          <w:lang w:val="de-DE"/>
        </w:rPr>
        <w:t xml:space="preserve"> </w:t>
      </w:r>
      <w:proofErr w:type="spellStart"/>
      <w:r w:rsidRPr="00CD4311">
        <w:rPr>
          <w:rFonts w:ascii="Times New Roman" w:hAnsi="Times New Roman" w:cs="Arial"/>
          <w:lang w:val="de-DE"/>
        </w:rPr>
        <w:t>padomei</w:t>
      </w:r>
      <w:proofErr w:type="spellEnd"/>
      <w:r w:rsidRPr="00CD4311">
        <w:rPr>
          <w:rFonts w:ascii="Times New Roman" w:hAnsi="Times New Roman" w:cs="Arial"/>
          <w:lang w:val="de-DE"/>
        </w:rPr>
        <w:t xml:space="preserve"> </w:t>
      </w:r>
      <w:proofErr w:type="spellStart"/>
      <w:r w:rsidRPr="00CD4311">
        <w:rPr>
          <w:rFonts w:ascii="Times New Roman" w:hAnsi="Times New Roman" w:cs="Arial"/>
          <w:lang w:val="de-DE"/>
        </w:rPr>
        <w:t>sniedza</w:t>
      </w:r>
      <w:proofErr w:type="spellEnd"/>
      <w:r w:rsidRPr="00CD4311">
        <w:rPr>
          <w:rFonts w:ascii="Times New Roman" w:hAnsi="Times New Roman" w:cs="Arial"/>
          <w:lang w:val="de-DE"/>
        </w:rPr>
        <w:t xml:space="preserve"> </w:t>
      </w:r>
      <w:proofErr w:type="spellStart"/>
      <w:r w:rsidRPr="00CD4311">
        <w:rPr>
          <w:rFonts w:ascii="Times New Roman" w:hAnsi="Times New Roman" w:cs="Arial"/>
          <w:lang w:val="de-DE"/>
        </w:rPr>
        <w:t>šādas</w:t>
      </w:r>
      <w:proofErr w:type="spellEnd"/>
      <w:r w:rsidRPr="00CD4311">
        <w:rPr>
          <w:rFonts w:ascii="Times New Roman" w:hAnsi="Times New Roman" w:cs="Arial"/>
          <w:lang w:val="de-DE"/>
        </w:rPr>
        <w:t xml:space="preserve"> </w:t>
      </w:r>
      <w:proofErr w:type="spellStart"/>
      <w:r w:rsidRPr="00CD4311">
        <w:rPr>
          <w:rFonts w:ascii="Times New Roman" w:hAnsi="Times New Roman" w:cs="Arial"/>
          <w:lang w:val="de-DE"/>
        </w:rPr>
        <w:t>norādes</w:t>
      </w:r>
      <w:proofErr w:type="spellEnd"/>
      <w:r w:rsidRPr="00CD4311">
        <w:rPr>
          <w:rFonts w:ascii="Times New Roman" w:hAnsi="Times New Roman" w:cs="Arial"/>
          <w:lang w:val="de-DE"/>
        </w:rPr>
        <w:t>:</w:t>
      </w:r>
    </w:p>
    <w:p w14:paraId="2588B013" w14:textId="77777777" w:rsidR="00114953" w:rsidRPr="00CD4311" w:rsidRDefault="00114953" w:rsidP="00114953">
      <w:pPr>
        <w:ind w:left="708"/>
        <w:jc w:val="both"/>
        <w:rPr>
          <w:rFonts w:ascii="Times New Roman" w:hAnsi="Times New Roman" w:cs="Arial"/>
          <w:i/>
          <w:lang w:val="de-DE"/>
        </w:rPr>
      </w:pPr>
      <w:r w:rsidRPr="00CD4311">
        <w:rPr>
          <w:rFonts w:ascii="Times New Roman" w:hAnsi="Times New Roman" w:cs="Arial"/>
          <w:lang w:val="de-DE"/>
        </w:rPr>
        <w:t>„</w:t>
      </w:r>
      <w:r w:rsidRPr="00CD4311">
        <w:rPr>
          <w:rFonts w:ascii="Times New Roman" w:hAnsi="Times New Roman" w:cs="Arial"/>
          <w:i/>
          <w:lang w:val="de-DE"/>
        </w:rPr>
        <w:t xml:space="preserve">1.[..] </w:t>
      </w:r>
      <w:proofErr w:type="spellStart"/>
      <w:r w:rsidRPr="00CD4311">
        <w:rPr>
          <w:rFonts w:ascii="Times New Roman" w:hAnsi="Times New Roman" w:cs="Arial"/>
          <w:i/>
          <w:lang w:val="de-DE"/>
        </w:rPr>
        <w:t>ārvalstu</w:t>
      </w:r>
      <w:proofErr w:type="spellEnd"/>
      <w:r w:rsidRPr="00CD4311">
        <w:rPr>
          <w:rFonts w:ascii="Times New Roman" w:hAnsi="Times New Roman" w:cs="Arial"/>
          <w:i/>
          <w:lang w:val="de-DE"/>
        </w:rPr>
        <w:t xml:space="preserve"> </w:t>
      </w:r>
      <w:proofErr w:type="spellStart"/>
      <w:r w:rsidRPr="00CD4311">
        <w:rPr>
          <w:rFonts w:ascii="Times New Roman" w:hAnsi="Times New Roman" w:cs="Arial"/>
          <w:i/>
          <w:lang w:val="de-DE"/>
        </w:rPr>
        <w:t>notāru</w:t>
      </w:r>
      <w:proofErr w:type="spellEnd"/>
      <w:r w:rsidRPr="00CD4311">
        <w:rPr>
          <w:rFonts w:ascii="Times New Roman" w:hAnsi="Times New Roman" w:cs="Arial"/>
          <w:i/>
          <w:lang w:val="de-DE"/>
        </w:rPr>
        <w:t xml:space="preserve"> </w:t>
      </w:r>
      <w:proofErr w:type="spellStart"/>
      <w:r w:rsidRPr="00CD4311">
        <w:rPr>
          <w:rFonts w:ascii="Times New Roman" w:hAnsi="Times New Roman" w:cs="Arial"/>
          <w:i/>
          <w:lang w:val="de-DE"/>
        </w:rPr>
        <w:t>sastādīti</w:t>
      </w:r>
      <w:proofErr w:type="spellEnd"/>
      <w:r w:rsidRPr="00CD4311">
        <w:rPr>
          <w:rFonts w:ascii="Times New Roman" w:hAnsi="Times New Roman" w:cs="Arial"/>
          <w:i/>
          <w:lang w:val="de-DE"/>
        </w:rPr>
        <w:t xml:space="preserve"> </w:t>
      </w:r>
      <w:proofErr w:type="spellStart"/>
      <w:r w:rsidRPr="00CD4311">
        <w:rPr>
          <w:rFonts w:ascii="Times New Roman" w:hAnsi="Times New Roman" w:cs="Arial"/>
          <w:i/>
          <w:lang w:val="de-DE"/>
        </w:rPr>
        <w:t>dokumenti</w:t>
      </w:r>
      <w:proofErr w:type="spellEnd"/>
      <w:r w:rsidRPr="00CD4311">
        <w:rPr>
          <w:rFonts w:ascii="Times New Roman" w:hAnsi="Times New Roman" w:cs="Arial"/>
          <w:i/>
          <w:lang w:val="de-DE"/>
        </w:rPr>
        <w:t xml:space="preserve"> </w:t>
      </w:r>
      <w:proofErr w:type="spellStart"/>
      <w:r w:rsidRPr="00CD4311">
        <w:rPr>
          <w:rFonts w:ascii="Times New Roman" w:hAnsi="Times New Roman" w:cs="Arial"/>
          <w:i/>
          <w:lang w:val="de-DE"/>
        </w:rPr>
        <w:t>neatkarīgi</w:t>
      </w:r>
      <w:proofErr w:type="spellEnd"/>
      <w:r w:rsidRPr="00CD4311">
        <w:rPr>
          <w:rFonts w:ascii="Times New Roman" w:hAnsi="Times New Roman" w:cs="Arial"/>
          <w:i/>
          <w:lang w:val="de-DE"/>
        </w:rPr>
        <w:t xml:space="preserve"> </w:t>
      </w:r>
      <w:proofErr w:type="spellStart"/>
      <w:r w:rsidRPr="00CD4311">
        <w:rPr>
          <w:rFonts w:ascii="Times New Roman" w:hAnsi="Times New Roman" w:cs="Arial"/>
          <w:i/>
          <w:lang w:val="de-DE"/>
        </w:rPr>
        <w:t>no</w:t>
      </w:r>
      <w:proofErr w:type="spellEnd"/>
      <w:r w:rsidRPr="00CD4311">
        <w:rPr>
          <w:rFonts w:ascii="Times New Roman" w:hAnsi="Times New Roman" w:cs="Arial"/>
          <w:i/>
          <w:lang w:val="de-DE"/>
        </w:rPr>
        <w:t xml:space="preserve"> </w:t>
      </w:r>
      <w:proofErr w:type="spellStart"/>
      <w:r w:rsidRPr="00CD4311">
        <w:rPr>
          <w:rFonts w:ascii="Times New Roman" w:hAnsi="Times New Roman" w:cs="Arial"/>
          <w:i/>
          <w:lang w:val="de-DE"/>
        </w:rPr>
        <w:t>ārvalsts</w:t>
      </w:r>
      <w:proofErr w:type="spellEnd"/>
      <w:r w:rsidRPr="00CD4311">
        <w:rPr>
          <w:rFonts w:ascii="Times New Roman" w:hAnsi="Times New Roman" w:cs="Arial"/>
          <w:i/>
          <w:lang w:val="de-DE"/>
        </w:rPr>
        <w:t xml:space="preserve"> </w:t>
      </w:r>
      <w:proofErr w:type="spellStart"/>
      <w:r w:rsidRPr="00CD4311">
        <w:rPr>
          <w:rFonts w:ascii="Times New Roman" w:hAnsi="Times New Roman" w:cs="Arial"/>
          <w:i/>
          <w:lang w:val="de-DE"/>
        </w:rPr>
        <w:t>tiesību</w:t>
      </w:r>
      <w:proofErr w:type="spellEnd"/>
      <w:r w:rsidRPr="00CD4311">
        <w:rPr>
          <w:rFonts w:ascii="Times New Roman" w:hAnsi="Times New Roman" w:cs="Arial"/>
          <w:i/>
          <w:lang w:val="de-DE"/>
        </w:rPr>
        <w:t xml:space="preserve"> </w:t>
      </w:r>
      <w:proofErr w:type="spellStart"/>
      <w:r w:rsidRPr="00CD4311">
        <w:rPr>
          <w:rFonts w:ascii="Times New Roman" w:hAnsi="Times New Roman" w:cs="Arial"/>
          <w:i/>
          <w:lang w:val="de-DE"/>
        </w:rPr>
        <w:t>sistēmas</w:t>
      </w:r>
      <w:proofErr w:type="spellEnd"/>
      <w:r w:rsidRPr="00CD4311">
        <w:rPr>
          <w:rFonts w:ascii="Times New Roman" w:hAnsi="Times New Roman" w:cs="Arial"/>
          <w:i/>
          <w:lang w:val="de-DE"/>
        </w:rPr>
        <w:t xml:space="preserve"> </w:t>
      </w:r>
      <w:proofErr w:type="spellStart"/>
      <w:r w:rsidRPr="00CD4311">
        <w:rPr>
          <w:rFonts w:ascii="Times New Roman" w:hAnsi="Times New Roman" w:cs="Arial"/>
          <w:i/>
          <w:lang w:val="de-DE"/>
        </w:rPr>
        <w:t>ir</w:t>
      </w:r>
      <w:proofErr w:type="spellEnd"/>
      <w:r w:rsidRPr="00CD4311">
        <w:rPr>
          <w:rFonts w:ascii="Times New Roman" w:hAnsi="Times New Roman" w:cs="Arial"/>
          <w:i/>
          <w:lang w:val="de-DE"/>
        </w:rPr>
        <w:t xml:space="preserve"> </w:t>
      </w:r>
      <w:proofErr w:type="spellStart"/>
      <w:r w:rsidRPr="00CD4311">
        <w:rPr>
          <w:rFonts w:ascii="Times New Roman" w:hAnsi="Times New Roman" w:cs="Arial"/>
          <w:i/>
          <w:lang w:val="de-DE"/>
        </w:rPr>
        <w:t>derīgi</w:t>
      </w:r>
      <w:proofErr w:type="spellEnd"/>
      <w:r w:rsidRPr="00CD4311">
        <w:rPr>
          <w:rFonts w:ascii="Times New Roman" w:hAnsi="Times New Roman" w:cs="Arial"/>
          <w:i/>
          <w:lang w:val="de-DE"/>
        </w:rPr>
        <w:t xml:space="preserve"> </w:t>
      </w:r>
      <w:proofErr w:type="spellStart"/>
      <w:r w:rsidRPr="00CD4311">
        <w:rPr>
          <w:rFonts w:ascii="Times New Roman" w:hAnsi="Times New Roman" w:cs="Arial"/>
          <w:i/>
          <w:lang w:val="de-DE"/>
        </w:rPr>
        <w:t>un</w:t>
      </w:r>
      <w:proofErr w:type="spellEnd"/>
      <w:r w:rsidRPr="00CD4311">
        <w:rPr>
          <w:rFonts w:ascii="Times New Roman" w:hAnsi="Times New Roman" w:cs="Arial"/>
          <w:i/>
          <w:lang w:val="de-DE"/>
        </w:rPr>
        <w:t xml:space="preserve"> </w:t>
      </w:r>
      <w:proofErr w:type="spellStart"/>
      <w:r w:rsidRPr="00CD4311">
        <w:rPr>
          <w:rFonts w:ascii="Times New Roman" w:hAnsi="Times New Roman" w:cs="Arial"/>
          <w:i/>
          <w:lang w:val="de-DE"/>
        </w:rPr>
        <w:t>izmantojami</w:t>
      </w:r>
      <w:proofErr w:type="spellEnd"/>
      <w:r w:rsidRPr="00CD4311">
        <w:rPr>
          <w:rFonts w:ascii="Times New Roman" w:hAnsi="Times New Roman" w:cs="Arial"/>
          <w:i/>
          <w:lang w:val="de-DE"/>
        </w:rPr>
        <w:t xml:space="preserve"> </w:t>
      </w:r>
      <w:proofErr w:type="spellStart"/>
      <w:r w:rsidRPr="00CD4311">
        <w:rPr>
          <w:rFonts w:ascii="Times New Roman" w:hAnsi="Times New Roman" w:cs="Arial"/>
          <w:i/>
          <w:lang w:val="de-DE"/>
        </w:rPr>
        <w:t>Latvijā</w:t>
      </w:r>
      <w:proofErr w:type="spellEnd"/>
      <w:r w:rsidRPr="00CD4311">
        <w:rPr>
          <w:rFonts w:ascii="Times New Roman" w:hAnsi="Times New Roman" w:cs="Arial"/>
          <w:i/>
          <w:lang w:val="de-DE"/>
        </w:rPr>
        <w:t xml:space="preserve">, ja </w:t>
      </w:r>
      <w:proofErr w:type="spellStart"/>
      <w:r w:rsidRPr="00CD4311">
        <w:rPr>
          <w:rFonts w:ascii="Times New Roman" w:hAnsi="Times New Roman" w:cs="Arial"/>
          <w:i/>
          <w:lang w:val="de-DE"/>
        </w:rPr>
        <w:t>tie</w:t>
      </w:r>
      <w:proofErr w:type="spellEnd"/>
      <w:r w:rsidRPr="00CD4311">
        <w:rPr>
          <w:rFonts w:ascii="Times New Roman" w:hAnsi="Times New Roman" w:cs="Arial"/>
          <w:i/>
          <w:lang w:val="de-DE"/>
        </w:rPr>
        <w:t xml:space="preserve"> </w:t>
      </w:r>
      <w:proofErr w:type="spellStart"/>
      <w:r w:rsidRPr="00CD4311">
        <w:rPr>
          <w:rFonts w:ascii="Times New Roman" w:hAnsi="Times New Roman" w:cs="Arial"/>
          <w:i/>
          <w:lang w:val="de-DE"/>
        </w:rPr>
        <w:t>ir</w:t>
      </w:r>
      <w:proofErr w:type="spellEnd"/>
      <w:r w:rsidRPr="00CD4311">
        <w:rPr>
          <w:rFonts w:ascii="Times New Roman" w:hAnsi="Times New Roman" w:cs="Arial"/>
          <w:i/>
          <w:lang w:val="de-DE"/>
        </w:rPr>
        <w:t xml:space="preserve"> </w:t>
      </w:r>
      <w:proofErr w:type="spellStart"/>
      <w:r w:rsidRPr="00CD4311">
        <w:rPr>
          <w:rFonts w:ascii="Times New Roman" w:hAnsi="Times New Roman" w:cs="Arial"/>
          <w:i/>
          <w:lang w:val="de-DE"/>
        </w:rPr>
        <w:t>taisīti</w:t>
      </w:r>
      <w:proofErr w:type="spellEnd"/>
      <w:r w:rsidRPr="00CD4311">
        <w:rPr>
          <w:rFonts w:ascii="Times New Roman" w:hAnsi="Times New Roman" w:cs="Arial"/>
          <w:i/>
          <w:lang w:val="de-DE"/>
        </w:rPr>
        <w:t xml:space="preserve"> </w:t>
      </w:r>
      <w:proofErr w:type="spellStart"/>
      <w:r w:rsidRPr="00CD4311">
        <w:rPr>
          <w:rFonts w:ascii="Times New Roman" w:hAnsi="Times New Roman" w:cs="Arial"/>
          <w:i/>
          <w:lang w:val="de-DE"/>
        </w:rPr>
        <w:t>atbilstoši</w:t>
      </w:r>
      <w:proofErr w:type="spellEnd"/>
      <w:r w:rsidRPr="00CD4311">
        <w:rPr>
          <w:rFonts w:ascii="Times New Roman" w:hAnsi="Times New Roman" w:cs="Arial"/>
          <w:i/>
          <w:lang w:val="de-DE"/>
        </w:rPr>
        <w:t xml:space="preserve"> </w:t>
      </w:r>
      <w:proofErr w:type="spellStart"/>
      <w:r w:rsidRPr="00CD4311">
        <w:rPr>
          <w:rFonts w:ascii="Times New Roman" w:hAnsi="Times New Roman" w:cs="Arial"/>
          <w:i/>
          <w:lang w:val="de-DE"/>
        </w:rPr>
        <w:t>to</w:t>
      </w:r>
      <w:proofErr w:type="spellEnd"/>
      <w:r w:rsidRPr="00CD4311">
        <w:rPr>
          <w:rFonts w:ascii="Times New Roman" w:hAnsi="Times New Roman" w:cs="Arial"/>
          <w:i/>
          <w:lang w:val="de-DE"/>
        </w:rPr>
        <w:t xml:space="preserve"> </w:t>
      </w:r>
      <w:proofErr w:type="spellStart"/>
      <w:r w:rsidRPr="00CD4311">
        <w:rPr>
          <w:rFonts w:ascii="Times New Roman" w:hAnsi="Times New Roman" w:cs="Arial"/>
          <w:i/>
          <w:lang w:val="de-DE"/>
        </w:rPr>
        <w:t>sastādīšanas</w:t>
      </w:r>
      <w:proofErr w:type="spellEnd"/>
      <w:r w:rsidRPr="00CD4311">
        <w:rPr>
          <w:rFonts w:ascii="Times New Roman" w:hAnsi="Times New Roman" w:cs="Arial"/>
          <w:i/>
          <w:lang w:val="de-DE"/>
        </w:rPr>
        <w:t xml:space="preserve"> </w:t>
      </w:r>
      <w:proofErr w:type="spellStart"/>
      <w:r w:rsidRPr="00CD4311">
        <w:rPr>
          <w:rFonts w:ascii="Times New Roman" w:hAnsi="Times New Roman" w:cs="Arial"/>
          <w:i/>
          <w:lang w:val="de-DE"/>
        </w:rPr>
        <w:t>valsts</w:t>
      </w:r>
      <w:proofErr w:type="spellEnd"/>
      <w:r w:rsidRPr="00CD4311">
        <w:rPr>
          <w:rFonts w:ascii="Times New Roman" w:hAnsi="Times New Roman" w:cs="Arial"/>
          <w:i/>
          <w:lang w:val="de-DE"/>
        </w:rPr>
        <w:t xml:space="preserve"> </w:t>
      </w:r>
      <w:proofErr w:type="spellStart"/>
      <w:r w:rsidRPr="00CD4311">
        <w:rPr>
          <w:rFonts w:ascii="Times New Roman" w:hAnsi="Times New Roman" w:cs="Arial"/>
          <w:i/>
          <w:lang w:val="de-DE"/>
        </w:rPr>
        <w:t>normatīvajiem</w:t>
      </w:r>
      <w:proofErr w:type="spellEnd"/>
      <w:r w:rsidRPr="00CD4311">
        <w:rPr>
          <w:rFonts w:ascii="Times New Roman" w:hAnsi="Times New Roman" w:cs="Arial"/>
          <w:i/>
          <w:lang w:val="de-DE"/>
        </w:rPr>
        <w:t xml:space="preserve"> </w:t>
      </w:r>
      <w:proofErr w:type="spellStart"/>
      <w:r w:rsidRPr="00CD4311">
        <w:rPr>
          <w:rFonts w:ascii="Times New Roman" w:hAnsi="Times New Roman" w:cs="Arial"/>
          <w:i/>
          <w:lang w:val="de-DE"/>
        </w:rPr>
        <w:t>aktiem</w:t>
      </w:r>
      <w:proofErr w:type="spellEnd"/>
      <w:r w:rsidRPr="00CD4311">
        <w:rPr>
          <w:rFonts w:ascii="Times New Roman" w:hAnsi="Times New Roman" w:cs="Arial"/>
          <w:i/>
          <w:lang w:val="de-DE"/>
        </w:rPr>
        <w:t xml:space="preserve">. </w:t>
      </w:r>
      <w:proofErr w:type="spellStart"/>
      <w:r w:rsidRPr="00CD4311">
        <w:rPr>
          <w:rFonts w:ascii="Times New Roman" w:hAnsi="Times New Roman" w:cs="Arial"/>
          <w:i/>
          <w:lang w:val="de-DE"/>
        </w:rPr>
        <w:t>Ārvalstu</w:t>
      </w:r>
      <w:proofErr w:type="spellEnd"/>
      <w:r w:rsidRPr="00CD4311">
        <w:rPr>
          <w:rFonts w:ascii="Times New Roman" w:hAnsi="Times New Roman" w:cs="Arial"/>
          <w:i/>
          <w:lang w:val="de-DE"/>
        </w:rPr>
        <w:t xml:space="preserve"> </w:t>
      </w:r>
      <w:proofErr w:type="spellStart"/>
      <w:r w:rsidRPr="00CD4311">
        <w:rPr>
          <w:rFonts w:ascii="Times New Roman" w:hAnsi="Times New Roman" w:cs="Arial"/>
          <w:i/>
          <w:lang w:val="de-DE"/>
        </w:rPr>
        <w:t>dokumentu</w:t>
      </w:r>
      <w:proofErr w:type="spellEnd"/>
      <w:r w:rsidRPr="00CD4311">
        <w:rPr>
          <w:rFonts w:ascii="Times New Roman" w:hAnsi="Times New Roman" w:cs="Arial"/>
          <w:i/>
          <w:lang w:val="de-DE"/>
        </w:rPr>
        <w:t xml:space="preserve"> </w:t>
      </w:r>
      <w:proofErr w:type="spellStart"/>
      <w:r w:rsidRPr="00CD4311">
        <w:rPr>
          <w:rFonts w:ascii="Times New Roman" w:hAnsi="Times New Roman" w:cs="Arial"/>
          <w:i/>
          <w:lang w:val="de-DE"/>
        </w:rPr>
        <w:t>izmantošanai</w:t>
      </w:r>
      <w:proofErr w:type="spellEnd"/>
      <w:r w:rsidRPr="00CD4311">
        <w:rPr>
          <w:rFonts w:ascii="Times New Roman" w:hAnsi="Times New Roman" w:cs="Arial"/>
          <w:i/>
          <w:lang w:val="de-DE"/>
        </w:rPr>
        <w:t xml:space="preserve"> </w:t>
      </w:r>
      <w:proofErr w:type="spellStart"/>
      <w:r w:rsidRPr="00CD4311">
        <w:rPr>
          <w:rFonts w:ascii="Times New Roman" w:hAnsi="Times New Roman" w:cs="Arial"/>
          <w:i/>
          <w:lang w:val="de-DE"/>
        </w:rPr>
        <w:t>Latvijā</w:t>
      </w:r>
      <w:proofErr w:type="spellEnd"/>
      <w:r w:rsidRPr="00CD4311">
        <w:rPr>
          <w:rFonts w:ascii="Times New Roman" w:hAnsi="Times New Roman" w:cs="Arial"/>
          <w:i/>
          <w:lang w:val="de-DE"/>
        </w:rPr>
        <w:t xml:space="preserve"> </w:t>
      </w:r>
      <w:proofErr w:type="spellStart"/>
      <w:r w:rsidRPr="00CD4311">
        <w:rPr>
          <w:rFonts w:ascii="Times New Roman" w:hAnsi="Times New Roman" w:cs="Arial"/>
          <w:i/>
          <w:lang w:val="de-DE"/>
        </w:rPr>
        <w:t>ir</w:t>
      </w:r>
      <w:proofErr w:type="spellEnd"/>
      <w:r w:rsidRPr="00CD4311">
        <w:rPr>
          <w:rFonts w:ascii="Times New Roman" w:hAnsi="Times New Roman" w:cs="Arial"/>
          <w:i/>
          <w:lang w:val="de-DE"/>
        </w:rPr>
        <w:t xml:space="preserve"> </w:t>
      </w:r>
      <w:proofErr w:type="spellStart"/>
      <w:r w:rsidRPr="00CD4311">
        <w:rPr>
          <w:rFonts w:ascii="Times New Roman" w:hAnsi="Times New Roman" w:cs="Arial"/>
          <w:i/>
          <w:lang w:val="de-DE"/>
        </w:rPr>
        <w:t>attiecināmi</w:t>
      </w:r>
      <w:proofErr w:type="spellEnd"/>
      <w:r w:rsidRPr="00CD4311">
        <w:rPr>
          <w:rFonts w:ascii="Times New Roman" w:hAnsi="Times New Roman" w:cs="Arial"/>
          <w:i/>
          <w:lang w:val="de-DE"/>
        </w:rPr>
        <w:t xml:space="preserve"> </w:t>
      </w:r>
      <w:proofErr w:type="spellStart"/>
      <w:r w:rsidRPr="00CD4311">
        <w:rPr>
          <w:rFonts w:ascii="Times New Roman" w:hAnsi="Times New Roman" w:cs="Arial"/>
          <w:i/>
          <w:lang w:val="de-DE"/>
        </w:rPr>
        <w:lastRenderedPageBreak/>
        <w:t>Dokumentu</w:t>
      </w:r>
      <w:proofErr w:type="spellEnd"/>
      <w:r w:rsidRPr="00CD4311">
        <w:rPr>
          <w:rFonts w:ascii="Times New Roman" w:hAnsi="Times New Roman" w:cs="Arial"/>
          <w:i/>
          <w:lang w:val="de-DE"/>
        </w:rPr>
        <w:t xml:space="preserve"> </w:t>
      </w:r>
      <w:proofErr w:type="spellStart"/>
      <w:r w:rsidRPr="00CD4311">
        <w:rPr>
          <w:rFonts w:ascii="Times New Roman" w:hAnsi="Times New Roman" w:cs="Arial"/>
          <w:i/>
          <w:lang w:val="de-DE"/>
        </w:rPr>
        <w:t>legalizācijas</w:t>
      </w:r>
      <w:proofErr w:type="spellEnd"/>
      <w:r w:rsidRPr="00CD4311">
        <w:rPr>
          <w:rFonts w:ascii="Times New Roman" w:hAnsi="Times New Roman" w:cs="Arial"/>
          <w:i/>
          <w:lang w:val="de-DE"/>
        </w:rPr>
        <w:t xml:space="preserve"> </w:t>
      </w:r>
      <w:proofErr w:type="spellStart"/>
      <w:r w:rsidRPr="00CD4311">
        <w:rPr>
          <w:rFonts w:ascii="Times New Roman" w:hAnsi="Times New Roman" w:cs="Arial"/>
          <w:i/>
          <w:lang w:val="de-DE"/>
        </w:rPr>
        <w:t>likuma</w:t>
      </w:r>
      <w:proofErr w:type="spellEnd"/>
      <w:r w:rsidRPr="00CD4311">
        <w:rPr>
          <w:rFonts w:ascii="Times New Roman" w:hAnsi="Times New Roman" w:cs="Arial"/>
          <w:i/>
          <w:lang w:val="de-DE"/>
        </w:rPr>
        <w:t xml:space="preserve"> </w:t>
      </w:r>
      <w:proofErr w:type="spellStart"/>
      <w:r w:rsidRPr="00CD4311">
        <w:rPr>
          <w:rFonts w:ascii="Times New Roman" w:hAnsi="Times New Roman" w:cs="Arial"/>
          <w:i/>
          <w:lang w:val="de-DE"/>
        </w:rPr>
        <w:t>nosacījumi</w:t>
      </w:r>
      <w:proofErr w:type="spellEnd"/>
      <w:r w:rsidRPr="00CD4311">
        <w:rPr>
          <w:rFonts w:ascii="Times New Roman" w:hAnsi="Times New Roman" w:cs="Arial"/>
          <w:i/>
          <w:lang w:val="de-DE"/>
        </w:rPr>
        <w:t xml:space="preserve"> </w:t>
      </w:r>
      <w:proofErr w:type="spellStart"/>
      <w:r w:rsidRPr="00CD4311">
        <w:rPr>
          <w:rFonts w:ascii="Times New Roman" w:hAnsi="Times New Roman" w:cs="Arial"/>
          <w:i/>
          <w:lang w:val="de-DE"/>
        </w:rPr>
        <w:t>un</w:t>
      </w:r>
      <w:proofErr w:type="spellEnd"/>
      <w:r w:rsidRPr="00CD4311">
        <w:rPr>
          <w:rFonts w:ascii="Times New Roman" w:hAnsi="Times New Roman" w:cs="Arial"/>
          <w:i/>
          <w:lang w:val="de-DE"/>
        </w:rPr>
        <w:t xml:space="preserve">, </w:t>
      </w:r>
      <w:proofErr w:type="spellStart"/>
      <w:r w:rsidRPr="00CD4311">
        <w:rPr>
          <w:rFonts w:ascii="Times New Roman" w:hAnsi="Times New Roman" w:cs="Arial"/>
          <w:i/>
          <w:lang w:val="de-DE"/>
        </w:rPr>
        <w:t>legalizējot</w:t>
      </w:r>
      <w:proofErr w:type="spellEnd"/>
      <w:r w:rsidRPr="00CD4311">
        <w:rPr>
          <w:rFonts w:ascii="Times New Roman" w:hAnsi="Times New Roman" w:cs="Arial"/>
          <w:i/>
          <w:lang w:val="de-DE"/>
        </w:rPr>
        <w:t xml:space="preserve"> </w:t>
      </w:r>
      <w:proofErr w:type="spellStart"/>
      <w:r w:rsidRPr="00CD4311">
        <w:rPr>
          <w:rFonts w:ascii="Times New Roman" w:hAnsi="Times New Roman" w:cs="Arial"/>
          <w:i/>
          <w:lang w:val="de-DE"/>
        </w:rPr>
        <w:t>ārvalstu</w:t>
      </w:r>
      <w:proofErr w:type="spellEnd"/>
      <w:r w:rsidRPr="00CD4311">
        <w:rPr>
          <w:rFonts w:ascii="Times New Roman" w:hAnsi="Times New Roman" w:cs="Arial"/>
          <w:i/>
          <w:lang w:val="de-DE"/>
        </w:rPr>
        <w:t xml:space="preserve"> </w:t>
      </w:r>
      <w:proofErr w:type="spellStart"/>
      <w:r w:rsidRPr="00CD4311">
        <w:rPr>
          <w:rFonts w:ascii="Times New Roman" w:hAnsi="Times New Roman" w:cs="Arial"/>
          <w:i/>
          <w:lang w:val="de-DE"/>
        </w:rPr>
        <w:t>notāru</w:t>
      </w:r>
      <w:proofErr w:type="spellEnd"/>
      <w:r w:rsidRPr="00CD4311">
        <w:rPr>
          <w:rFonts w:ascii="Times New Roman" w:hAnsi="Times New Roman" w:cs="Arial"/>
          <w:i/>
          <w:lang w:val="de-DE"/>
        </w:rPr>
        <w:t xml:space="preserve"> </w:t>
      </w:r>
      <w:proofErr w:type="spellStart"/>
      <w:r w:rsidRPr="00CD4311">
        <w:rPr>
          <w:rFonts w:ascii="Times New Roman" w:hAnsi="Times New Roman" w:cs="Arial"/>
          <w:i/>
          <w:lang w:val="de-DE"/>
        </w:rPr>
        <w:t>sastādītus</w:t>
      </w:r>
      <w:proofErr w:type="spellEnd"/>
      <w:r w:rsidRPr="00CD4311">
        <w:rPr>
          <w:rFonts w:ascii="Times New Roman" w:hAnsi="Times New Roman" w:cs="Arial"/>
          <w:i/>
          <w:lang w:val="de-DE"/>
        </w:rPr>
        <w:t xml:space="preserve"> </w:t>
      </w:r>
      <w:proofErr w:type="spellStart"/>
      <w:r w:rsidRPr="00CD4311">
        <w:rPr>
          <w:rFonts w:ascii="Times New Roman" w:hAnsi="Times New Roman" w:cs="Arial"/>
          <w:i/>
          <w:lang w:val="de-DE"/>
        </w:rPr>
        <w:t>dokumentus</w:t>
      </w:r>
      <w:proofErr w:type="spellEnd"/>
      <w:r w:rsidRPr="00CD4311">
        <w:rPr>
          <w:rFonts w:ascii="Times New Roman" w:hAnsi="Times New Roman" w:cs="Arial"/>
          <w:i/>
          <w:lang w:val="de-DE"/>
        </w:rPr>
        <w:t xml:space="preserve">, </w:t>
      </w:r>
      <w:proofErr w:type="spellStart"/>
      <w:r w:rsidRPr="00CD4311">
        <w:rPr>
          <w:rFonts w:ascii="Times New Roman" w:hAnsi="Times New Roman" w:cs="Arial"/>
          <w:i/>
          <w:lang w:val="de-DE"/>
        </w:rPr>
        <w:t>tie</w:t>
      </w:r>
      <w:proofErr w:type="spellEnd"/>
      <w:r w:rsidRPr="00CD4311">
        <w:rPr>
          <w:rFonts w:ascii="Times New Roman" w:hAnsi="Times New Roman" w:cs="Arial"/>
          <w:i/>
          <w:lang w:val="de-DE"/>
        </w:rPr>
        <w:t xml:space="preserve"> </w:t>
      </w:r>
      <w:proofErr w:type="spellStart"/>
      <w:r w:rsidRPr="00CD4311">
        <w:rPr>
          <w:rFonts w:ascii="Times New Roman" w:hAnsi="Times New Roman" w:cs="Arial"/>
          <w:i/>
          <w:lang w:val="de-DE"/>
        </w:rPr>
        <w:t>iegūst</w:t>
      </w:r>
      <w:proofErr w:type="spellEnd"/>
      <w:r w:rsidRPr="00CD4311">
        <w:rPr>
          <w:rFonts w:ascii="Times New Roman" w:hAnsi="Times New Roman" w:cs="Arial"/>
          <w:i/>
          <w:lang w:val="de-DE"/>
        </w:rPr>
        <w:t xml:space="preserve"> </w:t>
      </w:r>
      <w:proofErr w:type="spellStart"/>
      <w:r w:rsidRPr="00CD4311">
        <w:rPr>
          <w:rFonts w:ascii="Times New Roman" w:hAnsi="Times New Roman" w:cs="Arial"/>
          <w:i/>
          <w:lang w:val="de-DE"/>
        </w:rPr>
        <w:t>juridisku</w:t>
      </w:r>
      <w:proofErr w:type="spellEnd"/>
      <w:r w:rsidRPr="00CD4311">
        <w:rPr>
          <w:rFonts w:ascii="Times New Roman" w:hAnsi="Times New Roman" w:cs="Arial"/>
          <w:i/>
          <w:lang w:val="de-DE"/>
        </w:rPr>
        <w:t xml:space="preserve"> </w:t>
      </w:r>
      <w:proofErr w:type="spellStart"/>
      <w:r w:rsidRPr="00CD4311">
        <w:rPr>
          <w:rFonts w:ascii="Times New Roman" w:hAnsi="Times New Roman" w:cs="Arial"/>
          <w:i/>
          <w:lang w:val="de-DE"/>
        </w:rPr>
        <w:t>spēku</w:t>
      </w:r>
      <w:proofErr w:type="spellEnd"/>
      <w:r w:rsidRPr="00CD4311">
        <w:rPr>
          <w:rFonts w:ascii="Times New Roman" w:hAnsi="Times New Roman" w:cs="Arial"/>
          <w:i/>
          <w:lang w:val="de-DE"/>
        </w:rPr>
        <w:t xml:space="preserve"> </w:t>
      </w:r>
      <w:proofErr w:type="spellStart"/>
      <w:r w:rsidRPr="00CD4311">
        <w:rPr>
          <w:rFonts w:ascii="Times New Roman" w:hAnsi="Times New Roman" w:cs="Arial"/>
          <w:i/>
          <w:lang w:val="de-DE"/>
        </w:rPr>
        <w:t>arī</w:t>
      </w:r>
      <w:proofErr w:type="spellEnd"/>
      <w:r w:rsidRPr="00CD4311">
        <w:rPr>
          <w:rFonts w:ascii="Times New Roman" w:hAnsi="Times New Roman" w:cs="Arial"/>
          <w:i/>
          <w:lang w:val="de-DE"/>
        </w:rPr>
        <w:t xml:space="preserve"> </w:t>
      </w:r>
      <w:proofErr w:type="spellStart"/>
      <w:r w:rsidRPr="00CD4311">
        <w:rPr>
          <w:rFonts w:ascii="Times New Roman" w:hAnsi="Times New Roman" w:cs="Arial"/>
          <w:i/>
          <w:lang w:val="de-DE"/>
        </w:rPr>
        <w:t>Latvijā</w:t>
      </w:r>
      <w:proofErr w:type="spellEnd"/>
      <w:r w:rsidRPr="00CD4311">
        <w:rPr>
          <w:rFonts w:ascii="Times New Roman" w:hAnsi="Times New Roman" w:cs="Arial"/>
          <w:i/>
          <w:lang w:val="de-DE"/>
        </w:rPr>
        <w:t xml:space="preserve">. </w:t>
      </w:r>
      <w:proofErr w:type="spellStart"/>
      <w:r w:rsidRPr="00CD4311">
        <w:rPr>
          <w:rFonts w:ascii="Times New Roman" w:hAnsi="Times New Roman" w:cs="Arial"/>
          <w:i/>
          <w:lang w:val="de-DE"/>
        </w:rPr>
        <w:t>Dokumentu</w:t>
      </w:r>
      <w:proofErr w:type="spellEnd"/>
      <w:r w:rsidRPr="00CD4311">
        <w:rPr>
          <w:rFonts w:ascii="Times New Roman" w:hAnsi="Times New Roman" w:cs="Arial"/>
          <w:i/>
          <w:lang w:val="de-DE"/>
        </w:rPr>
        <w:t xml:space="preserve"> </w:t>
      </w:r>
      <w:proofErr w:type="spellStart"/>
      <w:r w:rsidRPr="00CD4311">
        <w:rPr>
          <w:rFonts w:ascii="Times New Roman" w:hAnsi="Times New Roman" w:cs="Arial"/>
          <w:i/>
          <w:lang w:val="de-DE"/>
        </w:rPr>
        <w:t>legalizācijas</w:t>
      </w:r>
      <w:proofErr w:type="spellEnd"/>
      <w:r w:rsidRPr="00CD4311">
        <w:rPr>
          <w:rFonts w:ascii="Times New Roman" w:hAnsi="Times New Roman" w:cs="Arial"/>
          <w:i/>
          <w:lang w:val="de-DE"/>
        </w:rPr>
        <w:t xml:space="preserve"> </w:t>
      </w:r>
      <w:proofErr w:type="spellStart"/>
      <w:r w:rsidRPr="00CD4311">
        <w:rPr>
          <w:rFonts w:ascii="Times New Roman" w:hAnsi="Times New Roman" w:cs="Arial"/>
          <w:i/>
          <w:lang w:val="de-DE"/>
        </w:rPr>
        <w:t>likuma</w:t>
      </w:r>
      <w:proofErr w:type="spellEnd"/>
      <w:r w:rsidRPr="00CD4311">
        <w:rPr>
          <w:rFonts w:ascii="Times New Roman" w:hAnsi="Times New Roman" w:cs="Arial"/>
          <w:i/>
          <w:lang w:val="de-DE"/>
        </w:rPr>
        <w:t xml:space="preserve"> 3.panta </w:t>
      </w:r>
      <w:proofErr w:type="spellStart"/>
      <w:r w:rsidRPr="00CD4311">
        <w:rPr>
          <w:rFonts w:ascii="Times New Roman" w:hAnsi="Times New Roman" w:cs="Arial"/>
          <w:i/>
          <w:lang w:val="de-DE"/>
        </w:rPr>
        <w:t>otrā</w:t>
      </w:r>
      <w:proofErr w:type="spellEnd"/>
      <w:r w:rsidRPr="00CD4311">
        <w:rPr>
          <w:rFonts w:ascii="Times New Roman" w:hAnsi="Times New Roman" w:cs="Arial"/>
          <w:i/>
          <w:lang w:val="de-DE"/>
        </w:rPr>
        <w:t xml:space="preserve"> </w:t>
      </w:r>
      <w:proofErr w:type="spellStart"/>
      <w:r w:rsidRPr="00CD4311">
        <w:rPr>
          <w:rFonts w:ascii="Times New Roman" w:hAnsi="Times New Roman" w:cs="Arial"/>
          <w:i/>
          <w:lang w:val="de-DE"/>
        </w:rPr>
        <w:t>daļa</w:t>
      </w:r>
      <w:proofErr w:type="spellEnd"/>
      <w:r w:rsidRPr="00CD4311">
        <w:rPr>
          <w:rFonts w:ascii="Times New Roman" w:hAnsi="Times New Roman" w:cs="Arial"/>
          <w:i/>
          <w:lang w:val="de-DE"/>
        </w:rPr>
        <w:t xml:space="preserve"> </w:t>
      </w:r>
      <w:proofErr w:type="spellStart"/>
      <w:r w:rsidRPr="00CD4311">
        <w:rPr>
          <w:rFonts w:ascii="Times New Roman" w:hAnsi="Times New Roman" w:cs="Arial"/>
          <w:i/>
          <w:lang w:val="de-DE"/>
        </w:rPr>
        <w:t>paredz</w:t>
      </w:r>
      <w:proofErr w:type="spellEnd"/>
      <w:r w:rsidRPr="00CD4311">
        <w:rPr>
          <w:rFonts w:ascii="Times New Roman" w:hAnsi="Times New Roman" w:cs="Arial"/>
          <w:i/>
          <w:lang w:val="de-DE"/>
        </w:rPr>
        <w:t xml:space="preserve"> </w:t>
      </w:r>
      <w:proofErr w:type="spellStart"/>
      <w:r w:rsidRPr="00CD4311">
        <w:rPr>
          <w:rFonts w:ascii="Times New Roman" w:hAnsi="Times New Roman" w:cs="Arial"/>
          <w:i/>
          <w:lang w:val="de-DE"/>
        </w:rPr>
        <w:t>nepiemērot</w:t>
      </w:r>
      <w:proofErr w:type="spellEnd"/>
      <w:r w:rsidRPr="00CD4311">
        <w:rPr>
          <w:rFonts w:ascii="Times New Roman" w:hAnsi="Times New Roman" w:cs="Arial"/>
          <w:i/>
          <w:lang w:val="de-DE"/>
        </w:rPr>
        <w:t xml:space="preserve"> </w:t>
      </w:r>
      <w:proofErr w:type="spellStart"/>
      <w:r w:rsidRPr="00CD4311">
        <w:rPr>
          <w:rFonts w:ascii="Times New Roman" w:hAnsi="Times New Roman" w:cs="Arial"/>
          <w:i/>
          <w:lang w:val="de-DE"/>
        </w:rPr>
        <w:t>legalizācijas</w:t>
      </w:r>
      <w:proofErr w:type="spellEnd"/>
      <w:r w:rsidRPr="00CD4311">
        <w:rPr>
          <w:rFonts w:ascii="Times New Roman" w:hAnsi="Times New Roman" w:cs="Arial"/>
          <w:i/>
          <w:lang w:val="de-DE"/>
        </w:rPr>
        <w:t xml:space="preserve"> </w:t>
      </w:r>
      <w:proofErr w:type="spellStart"/>
      <w:r w:rsidRPr="00CD4311">
        <w:rPr>
          <w:rFonts w:ascii="Times New Roman" w:hAnsi="Times New Roman" w:cs="Arial"/>
          <w:i/>
          <w:lang w:val="de-DE"/>
        </w:rPr>
        <w:t>prasības</w:t>
      </w:r>
      <w:proofErr w:type="spellEnd"/>
      <w:r w:rsidRPr="00CD4311">
        <w:rPr>
          <w:rFonts w:ascii="Times New Roman" w:hAnsi="Times New Roman" w:cs="Arial"/>
          <w:i/>
          <w:lang w:val="de-DE"/>
        </w:rPr>
        <w:t xml:space="preserve">, ja </w:t>
      </w:r>
      <w:proofErr w:type="spellStart"/>
      <w:r w:rsidRPr="00CD4311">
        <w:rPr>
          <w:rFonts w:ascii="Times New Roman" w:hAnsi="Times New Roman" w:cs="Arial"/>
          <w:i/>
          <w:lang w:val="de-DE"/>
        </w:rPr>
        <w:t>publisks</w:t>
      </w:r>
      <w:proofErr w:type="spellEnd"/>
      <w:r w:rsidRPr="00CD4311">
        <w:rPr>
          <w:rFonts w:ascii="Times New Roman" w:hAnsi="Times New Roman" w:cs="Arial"/>
          <w:i/>
          <w:lang w:val="de-DE"/>
        </w:rPr>
        <w:t xml:space="preserve"> </w:t>
      </w:r>
      <w:proofErr w:type="spellStart"/>
      <w:r w:rsidRPr="00CD4311">
        <w:rPr>
          <w:rFonts w:ascii="Times New Roman" w:hAnsi="Times New Roman" w:cs="Arial"/>
          <w:i/>
          <w:lang w:val="de-DE"/>
        </w:rPr>
        <w:t>dokuments</w:t>
      </w:r>
      <w:proofErr w:type="spellEnd"/>
      <w:r w:rsidRPr="00CD4311">
        <w:rPr>
          <w:rFonts w:ascii="Times New Roman" w:hAnsi="Times New Roman" w:cs="Arial"/>
          <w:i/>
          <w:lang w:val="de-DE"/>
        </w:rPr>
        <w:t xml:space="preserve"> </w:t>
      </w:r>
      <w:proofErr w:type="spellStart"/>
      <w:r w:rsidRPr="00CD4311">
        <w:rPr>
          <w:rFonts w:ascii="Times New Roman" w:hAnsi="Times New Roman" w:cs="Arial"/>
          <w:i/>
          <w:lang w:val="de-DE"/>
        </w:rPr>
        <w:t>ir</w:t>
      </w:r>
      <w:proofErr w:type="spellEnd"/>
      <w:r w:rsidRPr="00CD4311">
        <w:rPr>
          <w:rFonts w:ascii="Times New Roman" w:hAnsi="Times New Roman" w:cs="Arial"/>
          <w:i/>
          <w:lang w:val="de-DE"/>
        </w:rPr>
        <w:t xml:space="preserve"> </w:t>
      </w:r>
      <w:proofErr w:type="spellStart"/>
      <w:r w:rsidRPr="00CD4311">
        <w:rPr>
          <w:rFonts w:ascii="Times New Roman" w:hAnsi="Times New Roman" w:cs="Arial"/>
          <w:i/>
          <w:lang w:val="de-DE"/>
        </w:rPr>
        <w:t>izsniegts</w:t>
      </w:r>
      <w:proofErr w:type="spellEnd"/>
      <w:r w:rsidRPr="00CD4311">
        <w:rPr>
          <w:rFonts w:ascii="Times New Roman" w:hAnsi="Times New Roman" w:cs="Arial"/>
          <w:i/>
          <w:lang w:val="de-DE"/>
        </w:rPr>
        <w:t xml:space="preserve"> </w:t>
      </w:r>
      <w:proofErr w:type="spellStart"/>
      <w:r w:rsidRPr="00CD4311">
        <w:rPr>
          <w:rFonts w:ascii="Times New Roman" w:hAnsi="Times New Roman" w:cs="Arial"/>
          <w:i/>
          <w:lang w:val="de-DE"/>
        </w:rPr>
        <w:t>Eiropas</w:t>
      </w:r>
      <w:proofErr w:type="spellEnd"/>
      <w:r w:rsidRPr="00CD4311">
        <w:rPr>
          <w:rFonts w:ascii="Times New Roman" w:hAnsi="Times New Roman" w:cs="Arial"/>
          <w:i/>
          <w:lang w:val="de-DE"/>
        </w:rPr>
        <w:t xml:space="preserve"> </w:t>
      </w:r>
      <w:proofErr w:type="spellStart"/>
      <w:r w:rsidRPr="00CD4311">
        <w:rPr>
          <w:rFonts w:ascii="Times New Roman" w:hAnsi="Times New Roman" w:cs="Arial"/>
          <w:i/>
          <w:lang w:val="de-DE"/>
        </w:rPr>
        <w:t>Savienības</w:t>
      </w:r>
      <w:proofErr w:type="spellEnd"/>
      <w:r w:rsidRPr="00CD4311">
        <w:rPr>
          <w:rFonts w:ascii="Times New Roman" w:hAnsi="Times New Roman" w:cs="Arial"/>
          <w:i/>
          <w:lang w:val="de-DE"/>
        </w:rPr>
        <w:t xml:space="preserve">, </w:t>
      </w:r>
      <w:proofErr w:type="spellStart"/>
      <w:r w:rsidRPr="00CD4311">
        <w:rPr>
          <w:rFonts w:ascii="Times New Roman" w:hAnsi="Times New Roman" w:cs="Arial"/>
          <w:i/>
          <w:lang w:val="de-DE"/>
        </w:rPr>
        <w:t>Eiropas</w:t>
      </w:r>
      <w:proofErr w:type="spellEnd"/>
      <w:r w:rsidRPr="00CD4311">
        <w:rPr>
          <w:rFonts w:ascii="Times New Roman" w:hAnsi="Times New Roman" w:cs="Arial"/>
          <w:i/>
          <w:lang w:val="de-DE"/>
        </w:rPr>
        <w:t xml:space="preserve"> </w:t>
      </w:r>
      <w:proofErr w:type="spellStart"/>
      <w:r w:rsidRPr="00CD4311">
        <w:rPr>
          <w:rFonts w:ascii="Times New Roman" w:hAnsi="Times New Roman" w:cs="Arial"/>
          <w:i/>
          <w:lang w:val="de-DE"/>
        </w:rPr>
        <w:t>Ekonomikas</w:t>
      </w:r>
      <w:proofErr w:type="spellEnd"/>
      <w:r w:rsidRPr="00CD4311">
        <w:rPr>
          <w:rFonts w:ascii="Times New Roman" w:hAnsi="Times New Roman" w:cs="Arial"/>
          <w:i/>
          <w:lang w:val="de-DE"/>
        </w:rPr>
        <w:t xml:space="preserve"> </w:t>
      </w:r>
      <w:proofErr w:type="spellStart"/>
      <w:r w:rsidRPr="00CD4311">
        <w:rPr>
          <w:rFonts w:ascii="Times New Roman" w:hAnsi="Times New Roman" w:cs="Arial"/>
          <w:i/>
          <w:lang w:val="de-DE"/>
        </w:rPr>
        <w:t>zonas</w:t>
      </w:r>
      <w:proofErr w:type="spellEnd"/>
      <w:r w:rsidRPr="00CD4311">
        <w:rPr>
          <w:rFonts w:ascii="Times New Roman" w:hAnsi="Times New Roman" w:cs="Arial"/>
          <w:i/>
          <w:lang w:val="de-DE"/>
        </w:rPr>
        <w:t xml:space="preserve"> </w:t>
      </w:r>
      <w:proofErr w:type="spellStart"/>
      <w:r w:rsidRPr="00CD4311">
        <w:rPr>
          <w:rFonts w:ascii="Times New Roman" w:hAnsi="Times New Roman" w:cs="Arial"/>
          <w:i/>
          <w:lang w:val="de-DE"/>
        </w:rPr>
        <w:t>valstī</w:t>
      </w:r>
      <w:proofErr w:type="spellEnd"/>
      <w:r w:rsidRPr="00CD4311">
        <w:rPr>
          <w:rFonts w:ascii="Times New Roman" w:hAnsi="Times New Roman" w:cs="Arial"/>
          <w:i/>
          <w:lang w:val="de-DE"/>
        </w:rPr>
        <w:t xml:space="preserve"> </w:t>
      </w:r>
      <w:proofErr w:type="spellStart"/>
      <w:r w:rsidRPr="00CD4311">
        <w:rPr>
          <w:rFonts w:ascii="Times New Roman" w:hAnsi="Times New Roman" w:cs="Arial"/>
          <w:i/>
          <w:lang w:val="de-DE"/>
        </w:rPr>
        <w:t>vai</w:t>
      </w:r>
      <w:proofErr w:type="spellEnd"/>
      <w:r w:rsidRPr="00CD4311">
        <w:rPr>
          <w:rFonts w:ascii="Times New Roman" w:hAnsi="Times New Roman" w:cs="Arial"/>
          <w:i/>
          <w:lang w:val="de-DE"/>
        </w:rPr>
        <w:t xml:space="preserve"> </w:t>
      </w:r>
      <w:proofErr w:type="spellStart"/>
      <w:r w:rsidRPr="00CD4311">
        <w:rPr>
          <w:rFonts w:ascii="Times New Roman" w:hAnsi="Times New Roman" w:cs="Arial"/>
          <w:i/>
          <w:lang w:val="de-DE"/>
        </w:rPr>
        <w:t>Šveices</w:t>
      </w:r>
      <w:proofErr w:type="spellEnd"/>
      <w:r w:rsidRPr="00CD4311">
        <w:rPr>
          <w:rFonts w:ascii="Times New Roman" w:hAnsi="Times New Roman" w:cs="Arial"/>
          <w:i/>
          <w:lang w:val="de-DE"/>
        </w:rPr>
        <w:t xml:space="preserve"> </w:t>
      </w:r>
      <w:proofErr w:type="spellStart"/>
      <w:r w:rsidRPr="00CD4311">
        <w:rPr>
          <w:rFonts w:ascii="Times New Roman" w:hAnsi="Times New Roman" w:cs="Arial"/>
          <w:i/>
          <w:lang w:val="de-DE"/>
        </w:rPr>
        <w:t>Konfederācijā</w:t>
      </w:r>
      <w:proofErr w:type="spellEnd"/>
      <w:r w:rsidRPr="00CD4311">
        <w:rPr>
          <w:rFonts w:ascii="Times New Roman" w:hAnsi="Times New Roman" w:cs="Arial"/>
          <w:i/>
          <w:lang w:val="de-DE"/>
        </w:rPr>
        <w:t xml:space="preserve">. </w:t>
      </w:r>
      <w:proofErr w:type="spellStart"/>
      <w:r w:rsidRPr="00CD4311">
        <w:rPr>
          <w:rFonts w:ascii="Times New Roman" w:hAnsi="Times New Roman" w:cs="Arial"/>
          <w:i/>
          <w:lang w:val="de-DE"/>
        </w:rPr>
        <w:t>Šādu</w:t>
      </w:r>
      <w:proofErr w:type="spellEnd"/>
      <w:r w:rsidRPr="00CD4311">
        <w:rPr>
          <w:rFonts w:ascii="Times New Roman" w:hAnsi="Times New Roman" w:cs="Arial"/>
          <w:i/>
          <w:lang w:val="de-DE"/>
        </w:rPr>
        <w:t xml:space="preserve"> </w:t>
      </w:r>
      <w:proofErr w:type="spellStart"/>
      <w:r w:rsidRPr="00CD4311">
        <w:rPr>
          <w:rFonts w:ascii="Times New Roman" w:hAnsi="Times New Roman" w:cs="Arial"/>
          <w:i/>
          <w:lang w:val="de-DE"/>
        </w:rPr>
        <w:t>dokumentu</w:t>
      </w:r>
      <w:proofErr w:type="spellEnd"/>
      <w:r w:rsidRPr="00CD4311">
        <w:rPr>
          <w:rFonts w:ascii="Times New Roman" w:hAnsi="Times New Roman" w:cs="Arial"/>
          <w:i/>
          <w:lang w:val="de-DE"/>
        </w:rPr>
        <w:t xml:space="preserve"> </w:t>
      </w:r>
      <w:proofErr w:type="spellStart"/>
      <w:r w:rsidRPr="00CD4311">
        <w:rPr>
          <w:rFonts w:ascii="Times New Roman" w:hAnsi="Times New Roman" w:cs="Arial"/>
          <w:i/>
          <w:lang w:val="de-DE"/>
        </w:rPr>
        <w:t>autentiskumu</w:t>
      </w:r>
      <w:proofErr w:type="spellEnd"/>
      <w:r w:rsidRPr="00CD4311">
        <w:rPr>
          <w:rFonts w:ascii="Times New Roman" w:hAnsi="Times New Roman" w:cs="Arial"/>
          <w:i/>
          <w:lang w:val="de-DE"/>
        </w:rPr>
        <w:t xml:space="preserve"> </w:t>
      </w:r>
      <w:proofErr w:type="spellStart"/>
      <w:r w:rsidRPr="00CD4311">
        <w:rPr>
          <w:rFonts w:ascii="Times New Roman" w:hAnsi="Times New Roman" w:cs="Arial"/>
          <w:i/>
          <w:lang w:val="de-DE"/>
        </w:rPr>
        <w:t>šaubu</w:t>
      </w:r>
      <w:proofErr w:type="spellEnd"/>
      <w:r w:rsidRPr="00CD4311">
        <w:rPr>
          <w:rFonts w:ascii="Times New Roman" w:hAnsi="Times New Roman" w:cs="Arial"/>
          <w:i/>
          <w:lang w:val="de-DE"/>
        </w:rPr>
        <w:t xml:space="preserve"> </w:t>
      </w:r>
      <w:proofErr w:type="spellStart"/>
      <w:r w:rsidRPr="00CD4311">
        <w:rPr>
          <w:rFonts w:ascii="Times New Roman" w:hAnsi="Times New Roman" w:cs="Arial"/>
          <w:i/>
          <w:lang w:val="de-DE"/>
        </w:rPr>
        <w:t>gadījumos</w:t>
      </w:r>
      <w:proofErr w:type="spellEnd"/>
      <w:r w:rsidRPr="00CD4311">
        <w:rPr>
          <w:rFonts w:ascii="Times New Roman" w:hAnsi="Times New Roman" w:cs="Arial"/>
          <w:i/>
          <w:lang w:val="de-DE"/>
        </w:rPr>
        <w:t xml:space="preserve"> </w:t>
      </w:r>
      <w:proofErr w:type="spellStart"/>
      <w:r w:rsidRPr="00CD4311">
        <w:rPr>
          <w:rFonts w:ascii="Times New Roman" w:hAnsi="Times New Roman" w:cs="Arial"/>
          <w:i/>
          <w:lang w:val="de-DE"/>
        </w:rPr>
        <w:t>ir</w:t>
      </w:r>
      <w:proofErr w:type="spellEnd"/>
      <w:r w:rsidRPr="00CD4311">
        <w:rPr>
          <w:rFonts w:ascii="Times New Roman" w:hAnsi="Times New Roman" w:cs="Arial"/>
          <w:i/>
          <w:lang w:val="de-DE"/>
        </w:rPr>
        <w:t xml:space="preserve"> </w:t>
      </w:r>
      <w:proofErr w:type="spellStart"/>
      <w:r w:rsidRPr="00CD4311">
        <w:rPr>
          <w:rFonts w:ascii="Times New Roman" w:hAnsi="Times New Roman" w:cs="Arial"/>
          <w:i/>
          <w:lang w:val="de-DE"/>
        </w:rPr>
        <w:t>iespējams</w:t>
      </w:r>
      <w:proofErr w:type="spellEnd"/>
      <w:r w:rsidRPr="00CD4311">
        <w:rPr>
          <w:rFonts w:ascii="Times New Roman" w:hAnsi="Times New Roman" w:cs="Arial"/>
          <w:i/>
          <w:lang w:val="de-DE"/>
        </w:rPr>
        <w:t xml:space="preserve"> </w:t>
      </w:r>
      <w:proofErr w:type="spellStart"/>
      <w:r w:rsidRPr="00CD4311">
        <w:rPr>
          <w:rFonts w:ascii="Times New Roman" w:hAnsi="Times New Roman" w:cs="Arial"/>
          <w:i/>
          <w:lang w:val="de-DE"/>
        </w:rPr>
        <w:t>pārbaudīt</w:t>
      </w:r>
      <w:proofErr w:type="spellEnd"/>
      <w:r w:rsidRPr="00CD4311">
        <w:rPr>
          <w:rFonts w:ascii="Times New Roman" w:hAnsi="Times New Roman" w:cs="Arial"/>
          <w:i/>
          <w:lang w:val="de-DE"/>
        </w:rPr>
        <w:t xml:space="preserve">, </w:t>
      </w:r>
      <w:proofErr w:type="spellStart"/>
      <w:r w:rsidRPr="00CD4311">
        <w:rPr>
          <w:rFonts w:ascii="Times New Roman" w:hAnsi="Times New Roman" w:cs="Arial"/>
          <w:i/>
          <w:lang w:val="de-DE"/>
        </w:rPr>
        <w:t>rakstiski</w:t>
      </w:r>
      <w:proofErr w:type="spellEnd"/>
      <w:r w:rsidRPr="00CD4311">
        <w:rPr>
          <w:rFonts w:ascii="Times New Roman" w:hAnsi="Times New Roman" w:cs="Arial"/>
          <w:i/>
          <w:lang w:val="de-DE"/>
        </w:rPr>
        <w:t xml:space="preserve"> </w:t>
      </w:r>
      <w:proofErr w:type="spellStart"/>
      <w:r w:rsidRPr="00CD4311">
        <w:rPr>
          <w:rFonts w:ascii="Times New Roman" w:hAnsi="Times New Roman" w:cs="Arial"/>
          <w:i/>
          <w:lang w:val="de-DE"/>
        </w:rPr>
        <w:t>sazinoties</w:t>
      </w:r>
      <w:proofErr w:type="spellEnd"/>
      <w:r w:rsidRPr="00CD4311">
        <w:rPr>
          <w:rFonts w:ascii="Times New Roman" w:hAnsi="Times New Roman" w:cs="Arial"/>
          <w:i/>
          <w:lang w:val="de-DE"/>
        </w:rPr>
        <w:t xml:space="preserve"> </w:t>
      </w:r>
      <w:proofErr w:type="spellStart"/>
      <w:r w:rsidRPr="00CD4311">
        <w:rPr>
          <w:rFonts w:ascii="Times New Roman" w:hAnsi="Times New Roman" w:cs="Arial"/>
          <w:i/>
          <w:lang w:val="de-DE"/>
        </w:rPr>
        <w:t>ar</w:t>
      </w:r>
      <w:proofErr w:type="spellEnd"/>
      <w:r w:rsidRPr="00CD4311">
        <w:rPr>
          <w:rFonts w:ascii="Times New Roman" w:hAnsi="Times New Roman" w:cs="Arial"/>
          <w:i/>
          <w:lang w:val="de-DE"/>
        </w:rPr>
        <w:t xml:space="preserve"> </w:t>
      </w:r>
      <w:proofErr w:type="spellStart"/>
      <w:r w:rsidRPr="00CD4311">
        <w:rPr>
          <w:rFonts w:ascii="Times New Roman" w:hAnsi="Times New Roman" w:cs="Arial"/>
          <w:i/>
          <w:lang w:val="de-DE"/>
        </w:rPr>
        <w:t>attiecīgo</w:t>
      </w:r>
      <w:proofErr w:type="spellEnd"/>
      <w:r w:rsidRPr="00CD4311">
        <w:rPr>
          <w:rFonts w:ascii="Times New Roman" w:hAnsi="Times New Roman" w:cs="Arial"/>
          <w:i/>
          <w:lang w:val="de-DE"/>
        </w:rPr>
        <w:t xml:space="preserve"> </w:t>
      </w:r>
      <w:proofErr w:type="spellStart"/>
      <w:r w:rsidRPr="00CD4311">
        <w:rPr>
          <w:rFonts w:ascii="Times New Roman" w:hAnsi="Times New Roman" w:cs="Arial"/>
          <w:i/>
          <w:lang w:val="de-DE"/>
        </w:rPr>
        <w:t>ārvalsts</w:t>
      </w:r>
      <w:proofErr w:type="spellEnd"/>
      <w:r w:rsidRPr="00CD4311">
        <w:rPr>
          <w:rFonts w:ascii="Times New Roman" w:hAnsi="Times New Roman" w:cs="Arial"/>
          <w:i/>
          <w:lang w:val="de-DE"/>
        </w:rPr>
        <w:t xml:space="preserve"> </w:t>
      </w:r>
      <w:proofErr w:type="spellStart"/>
      <w:r w:rsidRPr="00CD4311">
        <w:rPr>
          <w:rFonts w:ascii="Times New Roman" w:hAnsi="Times New Roman" w:cs="Arial"/>
          <w:i/>
          <w:lang w:val="de-DE"/>
        </w:rPr>
        <w:t>iestādi</w:t>
      </w:r>
      <w:proofErr w:type="spellEnd"/>
      <w:r w:rsidRPr="00CD4311">
        <w:rPr>
          <w:rFonts w:ascii="Times New Roman" w:hAnsi="Times New Roman" w:cs="Arial"/>
          <w:i/>
          <w:lang w:val="de-DE"/>
        </w:rPr>
        <w:t xml:space="preserve">. </w:t>
      </w:r>
      <w:proofErr w:type="spellStart"/>
      <w:r w:rsidRPr="00CD4311">
        <w:rPr>
          <w:rFonts w:ascii="Times New Roman" w:hAnsi="Times New Roman" w:cs="Arial"/>
          <w:i/>
          <w:lang w:val="de-DE"/>
        </w:rPr>
        <w:t>Aicinām</w:t>
      </w:r>
      <w:proofErr w:type="spellEnd"/>
      <w:r w:rsidRPr="00CD4311">
        <w:rPr>
          <w:rFonts w:ascii="Times New Roman" w:hAnsi="Times New Roman" w:cs="Arial"/>
          <w:i/>
          <w:lang w:val="de-DE"/>
        </w:rPr>
        <w:t xml:space="preserve"> Latvijas </w:t>
      </w:r>
      <w:proofErr w:type="spellStart"/>
      <w:r w:rsidRPr="00CD4311">
        <w:rPr>
          <w:rFonts w:ascii="Times New Roman" w:hAnsi="Times New Roman" w:cs="Arial"/>
          <w:i/>
          <w:lang w:val="de-DE"/>
        </w:rPr>
        <w:t>Zvērinātu</w:t>
      </w:r>
      <w:proofErr w:type="spellEnd"/>
      <w:r w:rsidRPr="00CD4311">
        <w:rPr>
          <w:rFonts w:ascii="Times New Roman" w:hAnsi="Times New Roman" w:cs="Arial"/>
          <w:i/>
          <w:lang w:val="de-DE"/>
        </w:rPr>
        <w:t xml:space="preserve"> </w:t>
      </w:r>
      <w:proofErr w:type="spellStart"/>
      <w:r w:rsidRPr="00CD4311">
        <w:rPr>
          <w:rFonts w:ascii="Times New Roman" w:hAnsi="Times New Roman" w:cs="Arial"/>
          <w:i/>
          <w:lang w:val="de-DE"/>
        </w:rPr>
        <w:t>notāru</w:t>
      </w:r>
      <w:proofErr w:type="spellEnd"/>
      <w:r w:rsidRPr="00CD4311">
        <w:rPr>
          <w:rFonts w:ascii="Times New Roman" w:hAnsi="Times New Roman" w:cs="Arial"/>
          <w:i/>
          <w:lang w:val="de-DE"/>
        </w:rPr>
        <w:t xml:space="preserve"> </w:t>
      </w:r>
      <w:proofErr w:type="spellStart"/>
      <w:r w:rsidRPr="00CD4311">
        <w:rPr>
          <w:rFonts w:ascii="Times New Roman" w:hAnsi="Times New Roman" w:cs="Arial"/>
          <w:i/>
          <w:lang w:val="de-DE"/>
        </w:rPr>
        <w:t>padomi</w:t>
      </w:r>
      <w:proofErr w:type="spellEnd"/>
      <w:r w:rsidRPr="00CD4311">
        <w:rPr>
          <w:rFonts w:ascii="Times New Roman" w:hAnsi="Times New Roman" w:cs="Arial"/>
          <w:i/>
          <w:lang w:val="de-DE"/>
        </w:rPr>
        <w:t xml:space="preserve"> </w:t>
      </w:r>
      <w:proofErr w:type="spellStart"/>
      <w:r w:rsidRPr="00CD4311">
        <w:rPr>
          <w:rFonts w:ascii="Times New Roman" w:hAnsi="Times New Roman" w:cs="Arial"/>
          <w:i/>
          <w:lang w:val="de-DE"/>
        </w:rPr>
        <w:t>vērst</w:t>
      </w:r>
      <w:proofErr w:type="spellEnd"/>
      <w:r w:rsidRPr="00CD4311">
        <w:rPr>
          <w:rFonts w:ascii="Times New Roman" w:hAnsi="Times New Roman" w:cs="Arial"/>
          <w:i/>
          <w:lang w:val="de-DE"/>
        </w:rPr>
        <w:t xml:space="preserve"> </w:t>
      </w:r>
      <w:proofErr w:type="spellStart"/>
      <w:r w:rsidRPr="00CD4311">
        <w:rPr>
          <w:rFonts w:ascii="Times New Roman" w:hAnsi="Times New Roman" w:cs="Arial"/>
          <w:i/>
          <w:lang w:val="de-DE"/>
        </w:rPr>
        <w:t>notāru</w:t>
      </w:r>
      <w:proofErr w:type="spellEnd"/>
      <w:r w:rsidRPr="00CD4311">
        <w:rPr>
          <w:rFonts w:ascii="Times New Roman" w:hAnsi="Times New Roman" w:cs="Arial"/>
          <w:i/>
          <w:lang w:val="de-DE"/>
        </w:rPr>
        <w:t xml:space="preserve"> </w:t>
      </w:r>
      <w:proofErr w:type="spellStart"/>
      <w:r w:rsidRPr="00CD4311">
        <w:rPr>
          <w:rFonts w:ascii="Times New Roman" w:hAnsi="Times New Roman" w:cs="Arial"/>
          <w:i/>
          <w:lang w:val="de-DE"/>
        </w:rPr>
        <w:t>uzmanību</w:t>
      </w:r>
      <w:proofErr w:type="spellEnd"/>
      <w:r w:rsidRPr="00CD4311">
        <w:rPr>
          <w:rFonts w:ascii="Times New Roman" w:hAnsi="Times New Roman" w:cs="Arial"/>
          <w:i/>
          <w:lang w:val="de-DE"/>
        </w:rPr>
        <w:t xml:space="preserve"> </w:t>
      </w:r>
      <w:proofErr w:type="spellStart"/>
      <w:r w:rsidRPr="00CD4311">
        <w:rPr>
          <w:rFonts w:ascii="Times New Roman" w:hAnsi="Times New Roman" w:cs="Arial"/>
          <w:i/>
          <w:lang w:val="de-DE"/>
        </w:rPr>
        <w:t>uz</w:t>
      </w:r>
      <w:proofErr w:type="spellEnd"/>
      <w:r w:rsidRPr="00CD4311">
        <w:rPr>
          <w:rFonts w:ascii="Times New Roman" w:hAnsi="Times New Roman" w:cs="Arial"/>
          <w:i/>
          <w:lang w:val="de-DE"/>
        </w:rPr>
        <w:t xml:space="preserve"> </w:t>
      </w:r>
      <w:proofErr w:type="spellStart"/>
      <w:r w:rsidRPr="00CD4311">
        <w:rPr>
          <w:rFonts w:ascii="Times New Roman" w:hAnsi="Times New Roman" w:cs="Arial"/>
          <w:i/>
          <w:lang w:val="de-DE"/>
        </w:rPr>
        <w:t>šo</w:t>
      </w:r>
      <w:proofErr w:type="spellEnd"/>
      <w:r w:rsidRPr="00CD4311">
        <w:rPr>
          <w:rFonts w:ascii="Times New Roman" w:hAnsi="Times New Roman" w:cs="Arial"/>
          <w:i/>
          <w:lang w:val="de-DE"/>
        </w:rPr>
        <w:t xml:space="preserve"> </w:t>
      </w:r>
      <w:proofErr w:type="spellStart"/>
      <w:r w:rsidRPr="00CD4311">
        <w:rPr>
          <w:rFonts w:ascii="Times New Roman" w:hAnsi="Times New Roman" w:cs="Arial"/>
          <w:i/>
          <w:lang w:val="de-DE"/>
        </w:rPr>
        <w:t>tiesību</w:t>
      </w:r>
      <w:proofErr w:type="spellEnd"/>
      <w:r w:rsidRPr="00CD4311">
        <w:rPr>
          <w:rFonts w:ascii="Times New Roman" w:hAnsi="Times New Roman" w:cs="Arial"/>
          <w:i/>
          <w:lang w:val="de-DE"/>
        </w:rPr>
        <w:t xml:space="preserve"> </w:t>
      </w:r>
      <w:proofErr w:type="spellStart"/>
      <w:r w:rsidRPr="00CD4311">
        <w:rPr>
          <w:rFonts w:ascii="Times New Roman" w:hAnsi="Times New Roman" w:cs="Arial"/>
          <w:i/>
          <w:lang w:val="de-DE"/>
        </w:rPr>
        <w:t>izmantošanas</w:t>
      </w:r>
      <w:proofErr w:type="spellEnd"/>
      <w:r w:rsidRPr="00CD4311">
        <w:rPr>
          <w:rFonts w:ascii="Times New Roman" w:hAnsi="Times New Roman" w:cs="Arial"/>
          <w:i/>
          <w:lang w:val="de-DE"/>
        </w:rPr>
        <w:t xml:space="preserve"> </w:t>
      </w:r>
      <w:proofErr w:type="spellStart"/>
      <w:r w:rsidRPr="00CD4311">
        <w:rPr>
          <w:rFonts w:ascii="Times New Roman" w:hAnsi="Times New Roman" w:cs="Arial"/>
          <w:i/>
          <w:lang w:val="de-DE"/>
        </w:rPr>
        <w:t>iespēju</w:t>
      </w:r>
      <w:proofErr w:type="spellEnd"/>
      <w:r w:rsidRPr="00CD4311">
        <w:rPr>
          <w:rFonts w:ascii="Times New Roman" w:hAnsi="Times New Roman" w:cs="Arial"/>
          <w:i/>
          <w:lang w:val="de-DE"/>
        </w:rPr>
        <w:t xml:space="preserve">. </w:t>
      </w:r>
      <w:proofErr w:type="spellStart"/>
      <w:r w:rsidRPr="00CD4311">
        <w:rPr>
          <w:rFonts w:ascii="Times New Roman" w:hAnsi="Times New Roman" w:cs="Arial"/>
          <w:i/>
          <w:lang w:val="de-DE"/>
        </w:rPr>
        <w:t>Papildus</w:t>
      </w:r>
      <w:proofErr w:type="spellEnd"/>
      <w:r w:rsidRPr="00CD4311">
        <w:rPr>
          <w:rFonts w:ascii="Times New Roman" w:hAnsi="Times New Roman" w:cs="Arial"/>
          <w:i/>
          <w:lang w:val="de-DE"/>
        </w:rPr>
        <w:t xml:space="preserve"> </w:t>
      </w:r>
      <w:proofErr w:type="spellStart"/>
      <w:r w:rsidRPr="00CD4311">
        <w:rPr>
          <w:rFonts w:ascii="Times New Roman" w:hAnsi="Times New Roman" w:cs="Arial"/>
          <w:i/>
          <w:lang w:val="de-DE"/>
        </w:rPr>
        <w:t>vēlamies</w:t>
      </w:r>
      <w:proofErr w:type="spellEnd"/>
      <w:r w:rsidRPr="00CD4311">
        <w:rPr>
          <w:rFonts w:ascii="Times New Roman" w:hAnsi="Times New Roman" w:cs="Arial"/>
          <w:i/>
          <w:lang w:val="de-DE"/>
        </w:rPr>
        <w:t xml:space="preserve"> </w:t>
      </w:r>
      <w:proofErr w:type="spellStart"/>
      <w:r w:rsidRPr="00CD4311">
        <w:rPr>
          <w:rFonts w:ascii="Times New Roman" w:hAnsi="Times New Roman" w:cs="Arial"/>
          <w:i/>
          <w:lang w:val="de-DE"/>
        </w:rPr>
        <w:t>informēt</w:t>
      </w:r>
      <w:proofErr w:type="spellEnd"/>
      <w:r w:rsidRPr="00CD4311">
        <w:rPr>
          <w:rFonts w:ascii="Times New Roman" w:hAnsi="Times New Roman" w:cs="Arial"/>
          <w:i/>
          <w:lang w:val="de-DE"/>
        </w:rPr>
        <w:t xml:space="preserve">, </w:t>
      </w:r>
      <w:proofErr w:type="spellStart"/>
      <w:r w:rsidRPr="00CD4311">
        <w:rPr>
          <w:rFonts w:ascii="Times New Roman" w:hAnsi="Times New Roman" w:cs="Arial"/>
          <w:i/>
          <w:lang w:val="de-DE"/>
        </w:rPr>
        <w:t>ka</w:t>
      </w:r>
      <w:proofErr w:type="spellEnd"/>
      <w:r w:rsidRPr="00CD4311">
        <w:rPr>
          <w:rFonts w:ascii="Times New Roman" w:hAnsi="Times New Roman" w:cs="Arial"/>
          <w:i/>
          <w:lang w:val="de-DE"/>
        </w:rPr>
        <w:t xml:space="preserve"> </w:t>
      </w:r>
      <w:proofErr w:type="spellStart"/>
      <w:r w:rsidRPr="00CD4311">
        <w:rPr>
          <w:rFonts w:ascii="Times New Roman" w:hAnsi="Times New Roman" w:cs="Arial"/>
          <w:i/>
          <w:lang w:val="de-DE"/>
        </w:rPr>
        <w:t>saskaņā</w:t>
      </w:r>
      <w:proofErr w:type="spellEnd"/>
      <w:r w:rsidRPr="00CD4311">
        <w:rPr>
          <w:rFonts w:ascii="Times New Roman" w:hAnsi="Times New Roman" w:cs="Arial"/>
          <w:i/>
          <w:lang w:val="de-DE"/>
        </w:rPr>
        <w:t xml:space="preserve"> </w:t>
      </w:r>
      <w:proofErr w:type="spellStart"/>
      <w:r w:rsidRPr="00CD4311">
        <w:rPr>
          <w:rFonts w:ascii="Times New Roman" w:hAnsi="Times New Roman" w:cs="Arial"/>
          <w:i/>
          <w:lang w:val="de-DE"/>
        </w:rPr>
        <w:t>ar</w:t>
      </w:r>
      <w:proofErr w:type="spellEnd"/>
      <w:r w:rsidRPr="00CD4311">
        <w:rPr>
          <w:rFonts w:ascii="Times New Roman" w:hAnsi="Times New Roman" w:cs="Arial"/>
          <w:i/>
          <w:lang w:val="de-DE"/>
        </w:rPr>
        <w:t xml:space="preserve"> </w:t>
      </w:r>
      <w:proofErr w:type="spellStart"/>
      <w:r w:rsidRPr="00CD4311">
        <w:rPr>
          <w:rFonts w:ascii="Times New Roman" w:hAnsi="Times New Roman" w:cs="Arial"/>
          <w:i/>
          <w:lang w:val="de-DE"/>
        </w:rPr>
        <w:t>Ārlietu</w:t>
      </w:r>
      <w:proofErr w:type="spellEnd"/>
      <w:r w:rsidRPr="00CD4311">
        <w:rPr>
          <w:rFonts w:ascii="Times New Roman" w:hAnsi="Times New Roman" w:cs="Arial"/>
          <w:i/>
          <w:lang w:val="de-DE"/>
        </w:rPr>
        <w:t xml:space="preserve"> </w:t>
      </w:r>
      <w:proofErr w:type="spellStart"/>
      <w:r w:rsidRPr="00CD4311">
        <w:rPr>
          <w:rFonts w:ascii="Times New Roman" w:hAnsi="Times New Roman" w:cs="Arial"/>
          <w:i/>
          <w:lang w:val="de-DE"/>
        </w:rPr>
        <w:t>ministrijas</w:t>
      </w:r>
      <w:proofErr w:type="spellEnd"/>
      <w:r w:rsidRPr="00CD4311">
        <w:rPr>
          <w:rFonts w:ascii="Times New Roman" w:hAnsi="Times New Roman" w:cs="Arial"/>
          <w:i/>
          <w:lang w:val="de-DE"/>
        </w:rPr>
        <w:t xml:space="preserve"> </w:t>
      </w:r>
      <w:proofErr w:type="spellStart"/>
      <w:r w:rsidRPr="00CD4311">
        <w:rPr>
          <w:rFonts w:ascii="Times New Roman" w:hAnsi="Times New Roman" w:cs="Arial"/>
          <w:i/>
          <w:lang w:val="de-DE"/>
        </w:rPr>
        <w:t>pieredzi</w:t>
      </w:r>
      <w:proofErr w:type="spellEnd"/>
      <w:r w:rsidRPr="00CD4311">
        <w:rPr>
          <w:rFonts w:ascii="Times New Roman" w:hAnsi="Times New Roman" w:cs="Arial"/>
          <w:i/>
          <w:lang w:val="de-DE"/>
        </w:rPr>
        <w:t xml:space="preserve"> Latvijas </w:t>
      </w:r>
      <w:proofErr w:type="spellStart"/>
      <w:r w:rsidRPr="00CD4311">
        <w:rPr>
          <w:rFonts w:ascii="Times New Roman" w:hAnsi="Times New Roman" w:cs="Arial"/>
          <w:i/>
          <w:lang w:val="de-DE"/>
        </w:rPr>
        <w:t>iestādes</w:t>
      </w:r>
      <w:proofErr w:type="spellEnd"/>
      <w:r w:rsidRPr="00CD4311">
        <w:rPr>
          <w:rFonts w:ascii="Times New Roman" w:hAnsi="Times New Roman" w:cs="Arial"/>
          <w:i/>
          <w:lang w:val="de-DE"/>
        </w:rPr>
        <w:t xml:space="preserve"> </w:t>
      </w:r>
      <w:proofErr w:type="spellStart"/>
      <w:r w:rsidRPr="00CD4311">
        <w:rPr>
          <w:rFonts w:ascii="Times New Roman" w:hAnsi="Times New Roman" w:cs="Arial"/>
          <w:i/>
          <w:lang w:val="de-DE"/>
        </w:rPr>
        <w:t>pieņem</w:t>
      </w:r>
      <w:proofErr w:type="spellEnd"/>
      <w:r w:rsidRPr="00CD4311">
        <w:rPr>
          <w:rFonts w:ascii="Times New Roman" w:hAnsi="Times New Roman" w:cs="Arial"/>
          <w:i/>
          <w:lang w:val="de-DE"/>
        </w:rPr>
        <w:t xml:space="preserve"> </w:t>
      </w:r>
      <w:proofErr w:type="spellStart"/>
      <w:r w:rsidRPr="00CD4311">
        <w:rPr>
          <w:rFonts w:ascii="Times New Roman" w:hAnsi="Times New Roman" w:cs="Arial"/>
          <w:i/>
          <w:lang w:val="de-DE"/>
        </w:rPr>
        <w:t>ārvalstu</w:t>
      </w:r>
      <w:proofErr w:type="spellEnd"/>
      <w:r w:rsidRPr="00CD4311">
        <w:rPr>
          <w:rFonts w:ascii="Times New Roman" w:hAnsi="Times New Roman" w:cs="Arial"/>
          <w:i/>
          <w:lang w:val="de-DE"/>
        </w:rPr>
        <w:t xml:space="preserve"> </w:t>
      </w:r>
      <w:proofErr w:type="spellStart"/>
      <w:r w:rsidRPr="00CD4311">
        <w:rPr>
          <w:rFonts w:ascii="Times New Roman" w:hAnsi="Times New Roman" w:cs="Arial"/>
          <w:i/>
          <w:lang w:val="de-DE"/>
        </w:rPr>
        <w:t>notāru</w:t>
      </w:r>
      <w:proofErr w:type="spellEnd"/>
      <w:r w:rsidRPr="00CD4311">
        <w:rPr>
          <w:rFonts w:ascii="Times New Roman" w:hAnsi="Times New Roman" w:cs="Arial"/>
          <w:i/>
          <w:lang w:val="de-DE"/>
        </w:rPr>
        <w:t xml:space="preserve"> </w:t>
      </w:r>
      <w:proofErr w:type="spellStart"/>
      <w:r w:rsidRPr="00CD4311">
        <w:rPr>
          <w:rFonts w:ascii="Times New Roman" w:hAnsi="Times New Roman" w:cs="Arial"/>
          <w:i/>
          <w:lang w:val="de-DE"/>
        </w:rPr>
        <w:t>sastādītas</w:t>
      </w:r>
      <w:proofErr w:type="spellEnd"/>
      <w:r w:rsidRPr="00CD4311">
        <w:rPr>
          <w:rFonts w:ascii="Times New Roman" w:hAnsi="Times New Roman" w:cs="Arial"/>
          <w:i/>
          <w:lang w:val="de-DE"/>
        </w:rPr>
        <w:t xml:space="preserve"> </w:t>
      </w:r>
      <w:proofErr w:type="spellStart"/>
      <w:r w:rsidRPr="00CD4311">
        <w:rPr>
          <w:rFonts w:ascii="Times New Roman" w:hAnsi="Times New Roman" w:cs="Arial"/>
          <w:i/>
          <w:lang w:val="de-DE"/>
        </w:rPr>
        <w:t>pilnvaras</w:t>
      </w:r>
      <w:proofErr w:type="spellEnd"/>
      <w:r w:rsidRPr="00CD4311">
        <w:rPr>
          <w:rFonts w:ascii="Times New Roman" w:hAnsi="Times New Roman" w:cs="Arial"/>
          <w:i/>
          <w:lang w:val="de-DE"/>
        </w:rPr>
        <w:t xml:space="preserve">, ja </w:t>
      </w:r>
      <w:proofErr w:type="spellStart"/>
      <w:r w:rsidRPr="00CD4311">
        <w:rPr>
          <w:rFonts w:ascii="Times New Roman" w:hAnsi="Times New Roman" w:cs="Arial"/>
          <w:i/>
          <w:lang w:val="de-DE"/>
        </w:rPr>
        <w:t>tās</w:t>
      </w:r>
      <w:proofErr w:type="spellEnd"/>
      <w:r w:rsidRPr="00CD4311">
        <w:rPr>
          <w:rFonts w:ascii="Times New Roman" w:hAnsi="Times New Roman" w:cs="Arial"/>
          <w:i/>
          <w:lang w:val="de-DE"/>
        </w:rPr>
        <w:t xml:space="preserve"> </w:t>
      </w:r>
      <w:proofErr w:type="spellStart"/>
      <w:r w:rsidRPr="00CD4311">
        <w:rPr>
          <w:rFonts w:ascii="Times New Roman" w:hAnsi="Times New Roman" w:cs="Arial"/>
          <w:i/>
          <w:lang w:val="de-DE"/>
        </w:rPr>
        <w:t>nav</w:t>
      </w:r>
      <w:proofErr w:type="spellEnd"/>
      <w:r w:rsidRPr="00CD4311">
        <w:rPr>
          <w:rFonts w:ascii="Times New Roman" w:hAnsi="Times New Roman" w:cs="Arial"/>
          <w:i/>
          <w:lang w:val="de-DE"/>
        </w:rPr>
        <w:t xml:space="preserve"> </w:t>
      </w:r>
      <w:proofErr w:type="spellStart"/>
      <w:r w:rsidRPr="00CD4311">
        <w:rPr>
          <w:rFonts w:ascii="Times New Roman" w:hAnsi="Times New Roman" w:cs="Arial"/>
          <w:i/>
          <w:lang w:val="de-DE"/>
        </w:rPr>
        <w:t>sastādītas</w:t>
      </w:r>
      <w:proofErr w:type="spellEnd"/>
      <w:r w:rsidRPr="00CD4311">
        <w:rPr>
          <w:rFonts w:ascii="Times New Roman" w:hAnsi="Times New Roman" w:cs="Arial"/>
          <w:i/>
          <w:lang w:val="de-DE"/>
        </w:rPr>
        <w:t xml:space="preserve"> </w:t>
      </w:r>
      <w:proofErr w:type="spellStart"/>
      <w:r w:rsidRPr="00CD4311">
        <w:rPr>
          <w:rFonts w:ascii="Times New Roman" w:hAnsi="Times New Roman" w:cs="Arial"/>
          <w:i/>
          <w:lang w:val="de-DE"/>
        </w:rPr>
        <w:t>notariāla</w:t>
      </w:r>
      <w:proofErr w:type="spellEnd"/>
      <w:r w:rsidRPr="00CD4311">
        <w:rPr>
          <w:rFonts w:ascii="Times New Roman" w:hAnsi="Times New Roman" w:cs="Arial"/>
          <w:i/>
          <w:lang w:val="de-DE"/>
        </w:rPr>
        <w:t xml:space="preserve"> </w:t>
      </w:r>
      <w:proofErr w:type="spellStart"/>
      <w:r w:rsidRPr="00CD4311">
        <w:rPr>
          <w:rFonts w:ascii="Times New Roman" w:hAnsi="Times New Roman" w:cs="Arial"/>
          <w:i/>
          <w:lang w:val="de-DE"/>
        </w:rPr>
        <w:t>akta</w:t>
      </w:r>
      <w:proofErr w:type="spellEnd"/>
      <w:r w:rsidRPr="00CD4311">
        <w:rPr>
          <w:rFonts w:ascii="Times New Roman" w:hAnsi="Times New Roman" w:cs="Arial"/>
          <w:i/>
          <w:lang w:val="de-DE"/>
        </w:rPr>
        <w:t xml:space="preserve"> </w:t>
      </w:r>
      <w:proofErr w:type="spellStart"/>
      <w:r w:rsidRPr="00CD4311">
        <w:rPr>
          <w:rFonts w:ascii="Times New Roman" w:hAnsi="Times New Roman" w:cs="Arial"/>
          <w:i/>
          <w:lang w:val="de-DE"/>
        </w:rPr>
        <w:t>formā</w:t>
      </w:r>
      <w:proofErr w:type="spellEnd"/>
      <w:r w:rsidRPr="00CD4311">
        <w:rPr>
          <w:rFonts w:ascii="Times New Roman" w:hAnsi="Times New Roman" w:cs="Arial"/>
          <w:i/>
          <w:lang w:val="de-DE"/>
        </w:rPr>
        <w:t>.</w:t>
      </w:r>
    </w:p>
    <w:p w14:paraId="07D78AFE" w14:textId="77777777" w:rsidR="00114953" w:rsidRPr="00CD4311" w:rsidRDefault="00114953" w:rsidP="00114953">
      <w:pPr>
        <w:jc w:val="both"/>
        <w:rPr>
          <w:rFonts w:ascii="Times New Roman" w:hAnsi="Times New Roman" w:cs="Arial"/>
          <w:i/>
          <w:lang w:val="de-DE"/>
        </w:rPr>
      </w:pPr>
    </w:p>
    <w:p w14:paraId="72FBEDB0" w14:textId="77777777" w:rsidR="00114953" w:rsidRPr="00CD4311" w:rsidRDefault="00114953" w:rsidP="00114953">
      <w:pPr>
        <w:ind w:left="708"/>
        <w:jc w:val="both"/>
        <w:rPr>
          <w:rFonts w:ascii="Times New Roman" w:hAnsi="Times New Roman" w:cs="Arial"/>
          <w:lang w:val="de-DE"/>
        </w:rPr>
      </w:pPr>
      <w:r w:rsidRPr="00CD4311">
        <w:rPr>
          <w:rFonts w:ascii="Times New Roman" w:hAnsi="Times New Roman" w:cs="Arial"/>
          <w:i/>
          <w:lang w:val="de-DE"/>
        </w:rPr>
        <w:t xml:space="preserve">2.Ministru </w:t>
      </w:r>
      <w:proofErr w:type="spellStart"/>
      <w:r w:rsidRPr="00CD4311">
        <w:rPr>
          <w:rFonts w:ascii="Times New Roman" w:hAnsi="Times New Roman" w:cs="Arial"/>
          <w:i/>
          <w:lang w:val="de-DE"/>
        </w:rPr>
        <w:t>kabineta</w:t>
      </w:r>
      <w:proofErr w:type="spellEnd"/>
      <w:r w:rsidRPr="00CD4311">
        <w:rPr>
          <w:rFonts w:ascii="Times New Roman" w:hAnsi="Times New Roman" w:cs="Arial"/>
          <w:i/>
          <w:lang w:val="de-DE"/>
        </w:rPr>
        <w:t xml:space="preserve"> 2008.gada 21.aprīļa </w:t>
      </w:r>
      <w:proofErr w:type="spellStart"/>
      <w:r w:rsidRPr="00CD4311">
        <w:rPr>
          <w:rFonts w:ascii="Times New Roman" w:hAnsi="Times New Roman" w:cs="Arial"/>
          <w:i/>
          <w:lang w:val="de-DE"/>
        </w:rPr>
        <w:t>noteikumu</w:t>
      </w:r>
      <w:proofErr w:type="spellEnd"/>
      <w:r w:rsidRPr="00CD4311">
        <w:rPr>
          <w:rFonts w:ascii="Times New Roman" w:hAnsi="Times New Roman" w:cs="Arial"/>
          <w:i/>
          <w:lang w:val="de-DE"/>
        </w:rPr>
        <w:t xml:space="preserve"> Nr.283 „</w:t>
      </w:r>
      <w:proofErr w:type="spellStart"/>
      <w:r w:rsidRPr="00CD4311">
        <w:rPr>
          <w:rFonts w:ascii="Times New Roman" w:hAnsi="Times New Roman" w:cs="Arial"/>
          <w:i/>
          <w:lang w:val="de-DE"/>
        </w:rPr>
        <w:t>Noteikumi</w:t>
      </w:r>
      <w:proofErr w:type="spellEnd"/>
      <w:r w:rsidRPr="00CD4311">
        <w:rPr>
          <w:rFonts w:ascii="Times New Roman" w:hAnsi="Times New Roman" w:cs="Arial"/>
          <w:i/>
          <w:lang w:val="de-DE"/>
        </w:rPr>
        <w:t xml:space="preserve"> par </w:t>
      </w:r>
      <w:proofErr w:type="spellStart"/>
      <w:r w:rsidRPr="00CD4311">
        <w:rPr>
          <w:rFonts w:ascii="Times New Roman" w:hAnsi="Times New Roman" w:cs="Arial"/>
          <w:i/>
          <w:lang w:val="de-DE"/>
        </w:rPr>
        <w:t>notariālo</w:t>
      </w:r>
      <w:proofErr w:type="spellEnd"/>
      <w:r w:rsidRPr="00CD4311">
        <w:rPr>
          <w:rFonts w:ascii="Times New Roman" w:hAnsi="Times New Roman" w:cs="Arial"/>
          <w:i/>
          <w:lang w:val="de-DE"/>
        </w:rPr>
        <w:t xml:space="preserve"> </w:t>
      </w:r>
      <w:proofErr w:type="spellStart"/>
      <w:r w:rsidRPr="000C7C76">
        <w:rPr>
          <w:rFonts w:ascii="Times New Roman" w:hAnsi="Times New Roman" w:cs="Arial"/>
          <w:i/>
          <w:lang w:val="de-DE"/>
        </w:rPr>
        <w:t>funkciju</w:t>
      </w:r>
      <w:proofErr w:type="spellEnd"/>
      <w:r w:rsidRPr="000C7C76">
        <w:rPr>
          <w:rFonts w:ascii="Times New Roman" w:hAnsi="Times New Roman" w:cs="Arial"/>
          <w:i/>
          <w:lang w:val="de-DE"/>
        </w:rPr>
        <w:t xml:space="preserve"> </w:t>
      </w:r>
      <w:proofErr w:type="spellStart"/>
      <w:r w:rsidRPr="000C7C76">
        <w:rPr>
          <w:rFonts w:ascii="Times New Roman" w:hAnsi="Times New Roman" w:cs="Arial"/>
          <w:i/>
          <w:lang w:val="de-DE"/>
        </w:rPr>
        <w:t>veikšanu</w:t>
      </w:r>
      <w:proofErr w:type="spellEnd"/>
      <w:r w:rsidRPr="000C7C76">
        <w:rPr>
          <w:rFonts w:ascii="Times New Roman" w:hAnsi="Times New Roman" w:cs="Arial"/>
          <w:i/>
          <w:lang w:val="de-DE"/>
        </w:rPr>
        <w:t xml:space="preserve"> Latvijas </w:t>
      </w:r>
      <w:proofErr w:type="spellStart"/>
      <w:r w:rsidRPr="000C7C76">
        <w:rPr>
          <w:rFonts w:ascii="Times New Roman" w:hAnsi="Times New Roman" w:cs="Arial"/>
          <w:i/>
          <w:lang w:val="de-DE"/>
        </w:rPr>
        <w:t>Republikas</w:t>
      </w:r>
      <w:proofErr w:type="spellEnd"/>
      <w:r w:rsidRPr="000C7C76">
        <w:rPr>
          <w:rFonts w:ascii="Times New Roman" w:hAnsi="Times New Roman" w:cs="Arial"/>
          <w:i/>
          <w:lang w:val="de-DE"/>
        </w:rPr>
        <w:t xml:space="preserve"> </w:t>
      </w:r>
      <w:proofErr w:type="spellStart"/>
      <w:r w:rsidRPr="000C7C76">
        <w:rPr>
          <w:rFonts w:ascii="Times New Roman" w:hAnsi="Times New Roman" w:cs="Arial"/>
          <w:i/>
          <w:lang w:val="de-DE"/>
        </w:rPr>
        <w:t>diplomātiskajās</w:t>
      </w:r>
      <w:proofErr w:type="spellEnd"/>
      <w:r w:rsidRPr="000C7C76">
        <w:rPr>
          <w:rFonts w:ascii="Times New Roman" w:hAnsi="Times New Roman" w:cs="Arial"/>
          <w:i/>
          <w:lang w:val="de-DE"/>
        </w:rPr>
        <w:t xml:space="preserve"> </w:t>
      </w:r>
      <w:proofErr w:type="spellStart"/>
      <w:r w:rsidRPr="000C7C76">
        <w:rPr>
          <w:rFonts w:ascii="Times New Roman" w:hAnsi="Times New Roman" w:cs="Arial"/>
          <w:i/>
          <w:lang w:val="de-DE"/>
        </w:rPr>
        <w:t>un</w:t>
      </w:r>
      <w:proofErr w:type="spellEnd"/>
      <w:r w:rsidRPr="000C7C76">
        <w:rPr>
          <w:rFonts w:ascii="Times New Roman" w:hAnsi="Times New Roman" w:cs="Arial"/>
          <w:i/>
          <w:lang w:val="de-DE"/>
        </w:rPr>
        <w:t xml:space="preserve"> </w:t>
      </w:r>
      <w:proofErr w:type="spellStart"/>
      <w:r w:rsidRPr="000C7C76">
        <w:rPr>
          <w:rFonts w:ascii="Times New Roman" w:hAnsi="Times New Roman" w:cs="Arial"/>
          <w:i/>
          <w:lang w:val="de-DE"/>
        </w:rPr>
        <w:t>konsulārajās</w:t>
      </w:r>
      <w:proofErr w:type="spellEnd"/>
      <w:r w:rsidRPr="000C7C76">
        <w:rPr>
          <w:rFonts w:ascii="Times New Roman" w:hAnsi="Times New Roman" w:cs="Arial"/>
          <w:i/>
          <w:lang w:val="de-DE"/>
        </w:rPr>
        <w:t xml:space="preserve"> </w:t>
      </w:r>
      <w:proofErr w:type="spellStart"/>
      <w:r w:rsidRPr="000C7C76">
        <w:rPr>
          <w:rFonts w:ascii="Times New Roman" w:hAnsi="Times New Roman" w:cs="Arial"/>
          <w:i/>
          <w:lang w:val="de-DE"/>
        </w:rPr>
        <w:t>pārstāvniecībās</w:t>
      </w:r>
      <w:proofErr w:type="spellEnd"/>
      <w:r w:rsidRPr="00CD4311">
        <w:rPr>
          <w:rFonts w:ascii="Times New Roman" w:hAnsi="Times New Roman" w:cs="Arial"/>
          <w:i/>
          <w:lang w:val="de-DE"/>
        </w:rPr>
        <w:t xml:space="preserve">“ 9.1.apakšpunkta </w:t>
      </w:r>
      <w:proofErr w:type="spellStart"/>
      <w:r w:rsidRPr="00CD4311">
        <w:rPr>
          <w:rFonts w:ascii="Times New Roman" w:hAnsi="Times New Roman" w:cs="Arial"/>
          <w:i/>
          <w:lang w:val="de-DE"/>
        </w:rPr>
        <w:t>otrajā</w:t>
      </w:r>
      <w:proofErr w:type="spellEnd"/>
      <w:r w:rsidRPr="00CD4311">
        <w:rPr>
          <w:rFonts w:ascii="Times New Roman" w:hAnsi="Times New Roman" w:cs="Arial"/>
          <w:i/>
          <w:lang w:val="de-DE"/>
        </w:rPr>
        <w:t xml:space="preserve"> </w:t>
      </w:r>
      <w:proofErr w:type="spellStart"/>
      <w:r w:rsidRPr="00CD4311">
        <w:rPr>
          <w:rFonts w:ascii="Times New Roman" w:hAnsi="Times New Roman" w:cs="Arial"/>
          <w:i/>
          <w:lang w:val="de-DE"/>
        </w:rPr>
        <w:t>teikumā</w:t>
      </w:r>
      <w:proofErr w:type="spellEnd"/>
      <w:r w:rsidRPr="00CD4311">
        <w:rPr>
          <w:rFonts w:ascii="Times New Roman" w:hAnsi="Times New Roman" w:cs="Arial"/>
          <w:i/>
          <w:lang w:val="de-DE"/>
        </w:rPr>
        <w:t xml:space="preserve"> </w:t>
      </w:r>
      <w:proofErr w:type="spellStart"/>
      <w:r w:rsidRPr="00CD4311">
        <w:rPr>
          <w:rFonts w:ascii="Times New Roman" w:hAnsi="Times New Roman" w:cs="Arial"/>
          <w:i/>
          <w:lang w:val="de-DE"/>
        </w:rPr>
        <w:t>noteiktā</w:t>
      </w:r>
      <w:proofErr w:type="spellEnd"/>
      <w:r w:rsidRPr="00CD4311">
        <w:rPr>
          <w:rFonts w:ascii="Times New Roman" w:hAnsi="Times New Roman" w:cs="Arial"/>
          <w:i/>
          <w:lang w:val="de-DE"/>
        </w:rPr>
        <w:t xml:space="preserve"> </w:t>
      </w:r>
      <w:proofErr w:type="spellStart"/>
      <w:r w:rsidRPr="00CD4311">
        <w:rPr>
          <w:rFonts w:ascii="Times New Roman" w:hAnsi="Times New Roman" w:cs="Arial"/>
          <w:i/>
          <w:lang w:val="de-DE"/>
        </w:rPr>
        <w:t>iespēja</w:t>
      </w:r>
      <w:proofErr w:type="spellEnd"/>
      <w:r w:rsidRPr="00CD4311">
        <w:rPr>
          <w:rFonts w:ascii="Times New Roman" w:hAnsi="Times New Roman" w:cs="Arial"/>
          <w:i/>
          <w:lang w:val="de-DE"/>
        </w:rPr>
        <w:t xml:space="preserve"> </w:t>
      </w:r>
      <w:proofErr w:type="spellStart"/>
      <w:r w:rsidRPr="00CD4311">
        <w:rPr>
          <w:rFonts w:ascii="Times New Roman" w:hAnsi="Times New Roman" w:cs="Arial"/>
          <w:i/>
          <w:lang w:val="de-DE"/>
        </w:rPr>
        <w:t>konsulārajai</w:t>
      </w:r>
      <w:proofErr w:type="spellEnd"/>
      <w:r w:rsidRPr="00CD4311">
        <w:rPr>
          <w:rFonts w:ascii="Times New Roman" w:hAnsi="Times New Roman" w:cs="Arial"/>
          <w:i/>
          <w:lang w:val="de-DE"/>
        </w:rPr>
        <w:t xml:space="preserve"> </w:t>
      </w:r>
      <w:proofErr w:type="spellStart"/>
      <w:r w:rsidRPr="00CD4311">
        <w:rPr>
          <w:rFonts w:ascii="Times New Roman" w:hAnsi="Times New Roman" w:cs="Arial"/>
          <w:i/>
          <w:lang w:val="de-DE"/>
        </w:rPr>
        <w:t>amatpersonai</w:t>
      </w:r>
      <w:proofErr w:type="spellEnd"/>
      <w:r w:rsidRPr="00CD4311">
        <w:rPr>
          <w:rFonts w:ascii="Times New Roman" w:hAnsi="Times New Roman" w:cs="Arial"/>
          <w:i/>
          <w:lang w:val="de-DE"/>
        </w:rPr>
        <w:t xml:space="preserve"> </w:t>
      </w:r>
      <w:proofErr w:type="spellStart"/>
      <w:r w:rsidRPr="00CD4311">
        <w:rPr>
          <w:rFonts w:ascii="Times New Roman" w:hAnsi="Times New Roman" w:cs="Arial"/>
          <w:i/>
          <w:lang w:val="de-DE"/>
        </w:rPr>
        <w:t>atsevišķos</w:t>
      </w:r>
      <w:proofErr w:type="spellEnd"/>
      <w:r w:rsidRPr="00CD4311">
        <w:rPr>
          <w:rFonts w:ascii="Times New Roman" w:hAnsi="Times New Roman" w:cs="Arial"/>
          <w:i/>
          <w:lang w:val="de-DE"/>
        </w:rPr>
        <w:t xml:space="preserve"> </w:t>
      </w:r>
      <w:proofErr w:type="spellStart"/>
      <w:r w:rsidRPr="00CD4311">
        <w:rPr>
          <w:rFonts w:ascii="Times New Roman" w:hAnsi="Times New Roman" w:cs="Arial"/>
          <w:i/>
          <w:lang w:val="de-DE"/>
        </w:rPr>
        <w:t>gadījumos</w:t>
      </w:r>
      <w:proofErr w:type="spellEnd"/>
      <w:r w:rsidRPr="00CD4311">
        <w:rPr>
          <w:rFonts w:ascii="Times New Roman" w:hAnsi="Times New Roman" w:cs="Arial"/>
          <w:i/>
          <w:lang w:val="de-DE"/>
        </w:rPr>
        <w:t xml:space="preserve"> </w:t>
      </w:r>
      <w:proofErr w:type="spellStart"/>
      <w:r w:rsidRPr="00CD4311">
        <w:rPr>
          <w:rFonts w:ascii="Times New Roman" w:hAnsi="Times New Roman" w:cs="Arial"/>
          <w:i/>
          <w:lang w:val="de-DE"/>
        </w:rPr>
        <w:t>taisīt</w:t>
      </w:r>
      <w:proofErr w:type="spellEnd"/>
      <w:r w:rsidRPr="00CD4311">
        <w:rPr>
          <w:rFonts w:ascii="Times New Roman" w:hAnsi="Times New Roman" w:cs="Arial"/>
          <w:i/>
          <w:lang w:val="de-DE"/>
        </w:rPr>
        <w:t xml:space="preserve"> </w:t>
      </w:r>
      <w:proofErr w:type="spellStart"/>
      <w:r w:rsidRPr="00CD4311">
        <w:rPr>
          <w:rFonts w:ascii="Times New Roman" w:hAnsi="Times New Roman" w:cs="Arial"/>
          <w:i/>
          <w:lang w:val="de-DE"/>
        </w:rPr>
        <w:t>pilnvaras</w:t>
      </w:r>
      <w:proofErr w:type="spellEnd"/>
      <w:r w:rsidRPr="00CD4311">
        <w:rPr>
          <w:rFonts w:ascii="Times New Roman" w:hAnsi="Times New Roman" w:cs="Arial"/>
          <w:i/>
          <w:lang w:val="de-DE"/>
        </w:rPr>
        <w:t xml:space="preserve"> </w:t>
      </w:r>
      <w:proofErr w:type="spellStart"/>
      <w:r w:rsidRPr="00CD4311">
        <w:rPr>
          <w:rFonts w:ascii="Times New Roman" w:hAnsi="Times New Roman" w:cs="Arial"/>
          <w:i/>
          <w:lang w:val="de-DE"/>
        </w:rPr>
        <w:t>un</w:t>
      </w:r>
      <w:proofErr w:type="spellEnd"/>
      <w:r w:rsidRPr="00CD4311">
        <w:rPr>
          <w:rFonts w:ascii="Times New Roman" w:hAnsi="Times New Roman" w:cs="Arial"/>
          <w:i/>
          <w:lang w:val="de-DE"/>
        </w:rPr>
        <w:t xml:space="preserve"> </w:t>
      </w:r>
      <w:proofErr w:type="spellStart"/>
      <w:r w:rsidRPr="00CD4311">
        <w:rPr>
          <w:rFonts w:ascii="Times New Roman" w:hAnsi="Times New Roman" w:cs="Arial"/>
          <w:i/>
          <w:lang w:val="de-DE"/>
        </w:rPr>
        <w:t>piekrišanas</w:t>
      </w:r>
      <w:proofErr w:type="spellEnd"/>
      <w:r w:rsidRPr="00CD4311">
        <w:rPr>
          <w:rFonts w:ascii="Times New Roman" w:hAnsi="Times New Roman" w:cs="Arial"/>
          <w:i/>
          <w:lang w:val="de-DE"/>
        </w:rPr>
        <w:t xml:space="preserve"> </w:t>
      </w:r>
      <w:proofErr w:type="spellStart"/>
      <w:r w:rsidRPr="00CD4311">
        <w:rPr>
          <w:rFonts w:ascii="Times New Roman" w:hAnsi="Times New Roman" w:cs="Arial"/>
          <w:i/>
          <w:lang w:val="de-DE"/>
        </w:rPr>
        <w:t>notariālā</w:t>
      </w:r>
      <w:proofErr w:type="spellEnd"/>
      <w:r w:rsidRPr="00CD4311">
        <w:rPr>
          <w:rFonts w:ascii="Times New Roman" w:hAnsi="Times New Roman" w:cs="Arial"/>
          <w:i/>
          <w:lang w:val="de-DE"/>
        </w:rPr>
        <w:t xml:space="preserve"> </w:t>
      </w:r>
      <w:proofErr w:type="spellStart"/>
      <w:r w:rsidRPr="00CD4311">
        <w:rPr>
          <w:rFonts w:ascii="Times New Roman" w:hAnsi="Times New Roman" w:cs="Arial"/>
          <w:i/>
          <w:lang w:val="de-DE"/>
        </w:rPr>
        <w:t>akta</w:t>
      </w:r>
      <w:proofErr w:type="spellEnd"/>
      <w:r w:rsidRPr="00CD4311">
        <w:rPr>
          <w:rFonts w:ascii="Times New Roman" w:hAnsi="Times New Roman" w:cs="Arial"/>
          <w:i/>
          <w:lang w:val="de-DE"/>
        </w:rPr>
        <w:t xml:space="preserve"> </w:t>
      </w:r>
      <w:proofErr w:type="spellStart"/>
      <w:r w:rsidRPr="00CD4311">
        <w:rPr>
          <w:rFonts w:ascii="Times New Roman" w:hAnsi="Times New Roman" w:cs="Arial"/>
          <w:i/>
          <w:lang w:val="de-DE"/>
        </w:rPr>
        <w:t>formā</w:t>
      </w:r>
      <w:proofErr w:type="spellEnd"/>
      <w:r w:rsidRPr="00CD4311">
        <w:rPr>
          <w:rFonts w:ascii="Times New Roman" w:hAnsi="Times New Roman" w:cs="Arial"/>
          <w:i/>
          <w:lang w:val="de-DE"/>
        </w:rPr>
        <w:t xml:space="preserve"> </w:t>
      </w:r>
      <w:proofErr w:type="spellStart"/>
      <w:r w:rsidRPr="00CD4311">
        <w:rPr>
          <w:rFonts w:ascii="Times New Roman" w:hAnsi="Times New Roman" w:cs="Arial"/>
          <w:i/>
          <w:lang w:val="de-DE"/>
        </w:rPr>
        <w:t>ir</w:t>
      </w:r>
      <w:proofErr w:type="spellEnd"/>
      <w:r w:rsidRPr="00CD4311">
        <w:rPr>
          <w:rFonts w:ascii="Times New Roman" w:hAnsi="Times New Roman" w:cs="Arial"/>
          <w:i/>
          <w:lang w:val="de-DE"/>
        </w:rPr>
        <w:t xml:space="preserve"> </w:t>
      </w:r>
      <w:proofErr w:type="spellStart"/>
      <w:r w:rsidRPr="00CD4311">
        <w:rPr>
          <w:rFonts w:ascii="Times New Roman" w:hAnsi="Times New Roman" w:cs="Arial"/>
          <w:i/>
          <w:lang w:val="de-DE"/>
        </w:rPr>
        <w:t>piemērojama</w:t>
      </w:r>
      <w:proofErr w:type="spellEnd"/>
      <w:r w:rsidRPr="00CD4311">
        <w:rPr>
          <w:rFonts w:ascii="Times New Roman" w:hAnsi="Times New Roman" w:cs="Arial"/>
          <w:i/>
          <w:lang w:val="de-DE"/>
        </w:rPr>
        <w:t xml:space="preserve"> </w:t>
      </w:r>
      <w:proofErr w:type="spellStart"/>
      <w:r w:rsidRPr="00CD4311">
        <w:rPr>
          <w:rFonts w:ascii="Times New Roman" w:hAnsi="Times New Roman" w:cs="Arial"/>
          <w:i/>
          <w:lang w:val="de-DE"/>
        </w:rPr>
        <w:t>izņēmuma</w:t>
      </w:r>
      <w:proofErr w:type="spellEnd"/>
      <w:r w:rsidRPr="00CD4311">
        <w:rPr>
          <w:rFonts w:ascii="Times New Roman" w:hAnsi="Times New Roman" w:cs="Arial"/>
          <w:i/>
          <w:lang w:val="de-DE"/>
        </w:rPr>
        <w:t xml:space="preserve"> </w:t>
      </w:r>
      <w:proofErr w:type="spellStart"/>
      <w:r w:rsidRPr="00CD4311">
        <w:rPr>
          <w:rFonts w:ascii="Times New Roman" w:hAnsi="Times New Roman" w:cs="Arial"/>
          <w:i/>
          <w:lang w:val="de-DE"/>
        </w:rPr>
        <w:t>gadījumos</w:t>
      </w:r>
      <w:proofErr w:type="spellEnd"/>
      <w:r w:rsidRPr="00CD4311">
        <w:rPr>
          <w:rFonts w:ascii="Times New Roman" w:hAnsi="Times New Roman" w:cs="Arial"/>
          <w:i/>
          <w:lang w:val="de-DE"/>
        </w:rPr>
        <w:t xml:space="preserve">. </w:t>
      </w:r>
      <w:proofErr w:type="spellStart"/>
      <w:r w:rsidRPr="00CD4311">
        <w:rPr>
          <w:rFonts w:ascii="Times New Roman" w:hAnsi="Times New Roman" w:cs="Arial"/>
          <w:i/>
          <w:lang w:val="de-DE"/>
        </w:rPr>
        <w:t>Pie</w:t>
      </w:r>
      <w:proofErr w:type="spellEnd"/>
      <w:r w:rsidRPr="00CD4311">
        <w:rPr>
          <w:rFonts w:ascii="Times New Roman" w:hAnsi="Times New Roman" w:cs="Arial"/>
          <w:i/>
          <w:lang w:val="de-DE"/>
        </w:rPr>
        <w:t xml:space="preserve"> </w:t>
      </w:r>
      <w:proofErr w:type="spellStart"/>
      <w:r w:rsidRPr="00CD4311">
        <w:rPr>
          <w:rFonts w:ascii="Times New Roman" w:hAnsi="Times New Roman" w:cs="Arial"/>
          <w:i/>
          <w:lang w:val="de-DE"/>
        </w:rPr>
        <w:t>tādiem</w:t>
      </w:r>
      <w:proofErr w:type="spellEnd"/>
      <w:r w:rsidRPr="00CD4311">
        <w:rPr>
          <w:rFonts w:ascii="Times New Roman" w:hAnsi="Times New Roman" w:cs="Arial"/>
          <w:i/>
          <w:lang w:val="de-DE"/>
        </w:rPr>
        <w:t xml:space="preserve"> </w:t>
      </w:r>
      <w:proofErr w:type="spellStart"/>
      <w:r w:rsidRPr="00CD4311">
        <w:rPr>
          <w:rFonts w:ascii="Times New Roman" w:hAnsi="Times New Roman" w:cs="Arial"/>
          <w:i/>
          <w:lang w:val="de-DE"/>
        </w:rPr>
        <w:t>pieskaitāmi</w:t>
      </w:r>
      <w:proofErr w:type="spellEnd"/>
      <w:r w:rsidRPr="00CD4311">
        <w:rPr>
          <w:rFonts w:ascii="Times New Roman" w:hAnsi="Times New Roman" w:cs="Arial"/>
          <w:i/>
          <w:lang w:val="de-DE"/>
        </w:rPr>
        <w:t xml:space="preserve"> </w:t>
      </w:r>
      <w:proofErr w:type="spellStart"/>
      <w:r w:rsidRPr="00CD4311">
        <w:rPr>
          <w:rFonts w:ascii="Times New Roman" w:hAnsi="Times New Roman" w:cs="Arial"/>
          <w:i/>
          <w:lang w:val="de-DE"/>
        </w:rPr>
        <w:t>gadījumi</w:t>
      </w:r>
      <w:proofErr w:type="spellEnd"/>
      <w:r w:rsidRPr="00CD4311">
        <w:rPr>
          <w:rFonts w:ascii="Times New Roman" w:hAnsi="Times New Roman" w:cs="Arial"/>
          <w:i/>
          <w:lang w:val="de-DE"/>
        </w:rPr>
        <w:t xml:space="preserve">, </w:t>
      </w:r>
      <w:proofErr w:type="spellStart"/>
      <w:r w:rsidRPr="00CD4311">
        <w:rPr>
          <w:rFonts w:ascii="Times New Roman" w:hAnsi="Times New Roman" w:cs="Arial"/>
          <w:i/>
          <w:lang w:val="de-DE"/>
        </w:rPr>
        <w:t>kad</w:t>
      </w:r>
      <w:proofErr w:type="spellEnd"/>
      <w:r w:rsidRPr="00CD4311">
        <w:rPr>
          <w:rFonts w:ascii="Times New Roman" w:hAnsi="Times New Roman" w:cs="Arial"/>
          <w:i/>
          <w:lang w:val="de-DE"/>
        </w:rPr>
        <w:t xml:space="preserve"> </w:t>
      </w:r>
      <w:proofErr w:type="spellStart"/>
      <w:r w:rsidRPr="00CD4311">
        <w:rPr>
          <w:rFonts w:ascii="Times New Roman" w:hAnsi="Times New Roman" w:cs="Arial"/>
          <w:i/>
          <w:lang w:val="de-DE"/>
        </w:rPr>
        <w:t>personai</w:t>
      </w:r>
      <w:proofErr w:type="spellEnd"/>
      <w:r w:rsidRPr="00CD4311">
        <w:rPr>
          <w:rFonts w:ascii="Times New Roman" w:hAnsi="Times New Roman" w:cs="Arial"/>
          <w:i/>
          <w:lang w:val="de-DE"/>
        </w:rPr>
        <w:t xml:space="preserve"> </w:t>
      </w:r>
      <w:proofErr w:type="spellStart"/>
      <w:r w:rsidRPr="00CD4311">
        <w:rPr>
          <w:rFonts w:ascii="Times New Roman" w:hAnsi="Times New Roman" w:cs="Arial"/>
          <w:i/>
          <w:lang w:val="de-DE"/>
        </w:rPr>
        <w:t>ir</w:t>
      </w:r>
      <w:proofErr w:type="spellEnd"/>
      <w:r w:rsidRPr="00CD4311">
        <w:rPr>
          <w:rFonts w:ascii="Times New Roman" w:hAnsi="Times New Roman" w:cs="Arial"/>
          <w:i/>
          <w:lang w:val="de-DE"/>
        </w:rPr>
        <w:t xml:space="preserve"> </w:t>
      </w:r>
      <w:proofErr w:type="spellStart"/>
      <w:r w:rsidRPr="00CD4311">
        <w:rPr>
          <w:rFonts w:ascii="Times New Roman" w:hAnsi="Times New Roman" w:cs="Arial"/>
          <w:i/>
          <w:lang w:val="de-DE"/>
        </w:rPr>
        <w:t>ierobežotas</w:t>
      </w:r>
      <w:proofErr w:type="spellEnd"/>
      <w:r w:rsidRPr="00CD4311">
        <w:rPr>
          <w:rFonts w:ascii="Times New Roman" w:hAnsi="Times New Roman" w:cs="Arial"/>
          <w:i/>
          <w:lang w:val="de-DE"/>
        </w:rPr>
        <w:t xml:space="preserve"> </w:t>
      </w:r>
      <w:proofErr w:type="spellStart"/>
      <w:r w:rsidRPr="00CD4311">
        <w:rPr>
          <w:rFonts w:ascii="Times New Roman" w:hAnsi="Times New Roman" w:cs="Arial"/>
          <w:i/>
          <w:lang w:val="de-DE"/>
        </w:rPr>
        <w:t>tiesības</w:t>
      </w:r>
      <w:proofErr w:type="spellEnd"/>
      <w:r w:rsidRPr="00CD4311">
        <w:rPr>
          <w:rFonts w:ascii="Times New Roman" w:hAnsi="Times New Roman" w:cs="Arial"/>
          <w:i/>
          <w:lang w:val="de-DE"/>
        </w:rPr>
        <w:t xml:space="preserve"> </w:t>
      </w:r>
      <w:proofErr w:type="spellStart"/>
      <w:r w:rsidRPr="00CD4311">
        <w:rPr>
          <w:rFonts w:ascii="Times New Roman" w:hAnsi="Times New Roman" w:cs="Arial"/>
          <w:i/>
          <w:lang w:val="de-DE"/>
        </w:rPr>
        <w:t>saņemt</w:t>
      </w:r>
      <w:proofErr w:type="spellEnd"/>
      <w:r w:rsidRPr="00CD4311">
        <w:rPr>
          <w:rFonts w:ascii="Times New Roman" w:hAnsi="Times New Roman" w:cs="Arial"/>
          <w:i/>
          <w:lang w:val="de-DE"/>
        </w:rPr>
        <w:t xml:space="preserve"> </w:t>
      </w:r>
      <w:proofErr w:type="spellStart"/>
      <w:r w:rsidRPr="00CD4311">
        <w:rPr>
          <w:rFonts w:ascii="Times New Roman" w:hAnsi="Times New Roman" w:cs="Arial"/>
          <w:i/>
          <w:lang w:val="de-DE"/>
        </w:rPr>
        <w:t>nepieciešamo</w:t>
      </w:r>
      <w:proofErr w:type="spellEnd"/>
      <w:r w:rsidRPr="00CD4311">
        <w:rPr>
          <w:rFonts w:ascii="Times New Roman" w:hAnsi="Times New Roman" w:cs="Arial"/>
          <w:i/>
          <w:lang w:val="de-DE"/>
        </w:rPr>
        <w:t xml:space="preserve"> </w:t>
      </w:r>
      <w:proofErr w:type="spellStart"/>
      <w:r w:rsidRPr="00CD4311">
        <w:rPr>
          <w:rFonts w:ascii="Times New Roman" w:hAnsi="Times New Roman" w:cs="Arial"/>
          <w:i/>
          <w:lang w:val="de-DE"/>
        </w:rPr>
        <w:t>pakalpojumu</w:t>
      </w:r>
      <w:proofErr w:type="spellEnd"/>
      <w:r w:rsidRPr="00CD4311">
        <w:rPr>
          <w:rFonts w:ascii="Times New Roman" w:hAnsi="Times New Roman" w:cs="Arial"/>
          <w:i/>
          <w:lang w:val="de-DE"/>
        </w:rPr>
        <w:t xml:space="preserve"> </w:t>
      </w:r>
      <w:proofErr w:type="spellStart"/>
      <w:r w:rsidRPr="00CD4311">
        <w:rPr>
          <w:rFonts w:ascii="Times New Roman" w:hAnsi="Times New Roman" w:cs="Arial"/>
          <w:i/>
          <w:lang w:val="de-DE"/>
        </w:rPr>
        <w:t>ārvalstī</w:t>
      </w:r>
      <w:proofErr w:type="spellEnd"/>
      <w:r w:rsidRPr="00CD4311">
        <w:rPr>
          <w:rFonts w:ascii="Times New Roman" w:hAnsi="Times New Roman" w:cs="Arial"/>
          <w:i/>
          <w:lang w:val="de-DE"/>
        </w:rPr>
        <w:t xml:space="preserve"> </w:t>
      </w:r>
      <w:proofErr w:type="spellStart"/>
      <w:r w:rsidRPr="00CD4311">
        <w:rPr>
          <w:rFonts w:ascii="Times New Roman" w:hAnsi="Times New Roman" w:cs="Arial"/>
          <w:i/>
          <w:lang w:val="de-DE"/>
        </w:rPr>
        <w:t>vai</w:t>
      </w:r>
      <w:proofErr w:type="spellEnd"/>
      <w:r w:rsidRPr="00CD4311">
        <w:rPr>
          <w:rFonts w:ascii="Times New Roman" w:hAnsi="Times New Roman" w:cs="Arial"/>
          <w:i/>
          <w:lang w:val="de-DE"/>
        </w:rPr>
        <w:t xml:space="preserve"> </w:t>
      </w:r>
      <w:proofErr w:type="spellStart"/>
      <w:r w:rsidRPr="00CD4311">
        <w:rPr>
          <w:rFonts w:ascii="Times New Roman" w:hAnsi="Times New Roman" w:cs="Arial"/>
          <w:i/>
          <w:lang w:val="de-DE"/>
        </w:rPr>
        <w:t>no</w:t>
      </w:r>
      <w:proofErr w:type="spellEnd"/>
      <w:r w:rsidRPr="00CD4311">
        <w:rPr>
          <w:rFonts w:ascii="Times New Roman" w:hAnsi="Times New Roman" w:cs="Arial"/>
          <w:i/>
          <w:lang w:val="de-DE"/>
        </w:rPr>
        <w:t xml:space="preserve"> personas </w:t>
      </w:r>
      <w:proofErr w:type="spellStart"/>
      <w:r w:rsidRPr="00CD4311">
        <w:rPr>
          <w:rFonts w:ascii="Times New Roman" w:hAnsi="Times New Roman" w:cs="Arial"/>
          <w:i/>
          <w:lang w:val="de-DE"/>
        </w:rPr>
        <w:t>neatkarīgos</w:t>
      </w:r>
      <w:proofErr w:type="spellEnd"/>
      <w:r w:rsidRPr="00CD4311">
        <w:rPr>
          <w:rFonts w:ascii="Times New Roman" w:hAnsi="Times New Roman" w:cs="Arial"/>
          <w:i/>
          <w:lang w:val="de-DE"/>
        </w:rPr>
        <w:t xml:space="preserve"> </w:t>
      </w:r>
      <w:proofErr w:type="spellStart"/>
      <w:r w:rsidRPr="00CD4311">
        <w:rPr>
          <w:rFonts w:ascii="Times New Roman" w:hAnsi="Times New Roman" w:cs="Arial"/>
          <w:i/>
          <w:lang w:val="de-DE"/>
        </w:rPr>
        <w:t>ārkārtas</w:t>
      </w:r>
      <w:proofErr w:type="spellEnd"/>
      <w:r w:rsidRPr="00CD4311">
        <w:rPr>
          <w:rFonts w:ascii="Times New Roman" w:hAnsi="Times New Roman" w:cs="Arial"/>
          <w:i/>
          <w:lang w:val="de-DE"/>
        </w:rPr>
        <w:t xml:space="preserve"> </w:t>
      </w:r>
      <w:proofErr w:type="spellStart"/>
      <w:r w:rsidRPr="00CD4311">
        <w:rPr>
          <w:rFonts w:ascii="Times New Roman" w:hAnsi="Times New Roman" w:cs="Arial"/>
          <w:i/>
          <w:lang w:val="de-DE"/>
        </w:rPr>
        <w:t>gadījumos</w:t>
      </w:r>
      <w:proofErr w:type="spellEnd"/>
      <w:r w:rsidRPr="00CD4311">
        <w:rPr>
          <w:rFonts w:ascii="Times New Roman" w:hAnsi="Times New Roman" w:cs="Arial"/>
          <w:lang w:val="de-DE"/>
        </w:rPr>
        <w:t>“.</w:t>
      </w:r>
    </w:p>
    <w:p w14:paraId="45DA7AB7" w14:textId="77777777" w:rsidR="00114953" w:rsidRPr="00CD4311" w:rsidRDefault="00114953" w:rsidP="00114953">
      <w:pPr>
        <w:jc w:val="both"/>
        <w:rPr>
          <w:rFonts w:ascii="Times New Roman" w:hAnsi="Times New Roman" w:cs="Arial"/>
          <w:lang w:val="de-DE"/>
        </w:rPr>
      </w:pPr>
    </w:p>
    <w:p w14:paraId="69A28908" w14:textId="77777777" w:rsidR="00114953" w:rsidRPr="00CD4311" w:rsidRDefault="00114953" w:rsidP="00114953">
      <w:pPr>
        <w:ind w:firstLine="708"/>
        <w:jc w:val="both"/>
        <w:rPr>
          <w:rFonts w:ascii="Times New Roman" w:hAnsi="Times New Roman" w:cs="Arial"/>
          <w:lang w:val="de-DE"/>
        </w:rPr>
      </w:pPr>
      <w:proofErr w:type="spellStart"/>
      <w:r w:rsidRPr="00CD4311">
        <w:rPr>
          <w:rFonts w:ascii="Times New Roman" w:hAnsi="Times New Roman" w:cs="Arial"/>
          <w:lang w:val="de-DE"/>
        </w:rPr>
        <w:t>Attiecībā</w:t>
      </w:r>
      <w:proofErr w:type="spellEnd"/>
      <w:r w:rsidRPr="00CD4311">
        <w:rPr>
          <w:rFonts w:ascii="Times New Roman" w:hAnsi="Times New Roman" w:cs="Arial"/>
          <w:lang w:val="de-DE"/>
        </w:rPr>
        <w:t xml:space="preserve"> </w:t>
      </w:r>
      <w:proofErr w:type="spellStart"/>
      <w:r w:rsidRPr="00CD4311">
        <w:rPr>
          <w:rFonts w:ascii="Times New Roman" w:hAnsi="Times New Roman" w:cs="Arial"/>
          <w:lang w:val="de-DE"/>
        </w:rPr>
        <w:t>uz</w:t>
      </w:r>
      <w:proofErr w:type="spellEnd"/>
      <w:r w:rsidRPr="00CD4311">
        <w:rPr>
          <w:rFonts w:ascii="Times New Roman" w:hAnsi="Times New Roman" w:cs="Arial"/>
          <w:lang w:val="de-DE"/>
        </w:rPr>
        <w:t xml:space="preserve"> </w:t>
      </w:r>
      <w:proofErr w:type="spellStart"/>
      <w:r w:rsidRPr="00CD4311">
        <w:rPr>
          <w:rFonts w:ascii="Times New Roman" w:hAnsi="Times New Roman" w:cs="Arial"/>
          <w:lang w:val="de-DE"/>
        </w:rPr>
        <w:t>vēstulē</w:t>
      </w:r>
      <w:proofErr w:type="spellEnd"/>
      <w:r w:rsidRPr="00CD4311">
        <w:rPr>
          <w:rFonts w:ascii="Times New Roman" w:hAnsi="Times New Roman" w:cs="Arial"/>
          <w:lang w:val="de-DE"/>
        </w:rPr>
        <w:t xml:space="preserve"> </w:t>
      </w:r>
      <w:proofErr w:type="spellStart"/>
      <w:r w:rsidRPr="00CD4311">
        <w:rPr>
          <w:rFonts w:ascii="Times New Roman" w:hAnsi="Times New Roman" w:cs="Arial"/>
          <w:lang w:val="de-DE"/>
        </w:rPr>
        <w:t>minēto</w:t>
      </w:r>
      <w:proofErr w:type="spellEnd"/>
      <w:r w:rsidRPr="00CD4311">
        <w:rPr>
          <w:rFonts w:ascii="Times New Roman" w:hAnsi="Times New Roman" w:cs="Arial"/>
          <w:lang w:val="de-DE"/>
        </w:rPr>
        <w:t xml:space="preserve"> 1.punktu </w:t>
      </w:r>
      <w:proofErr w:type="spellStart"/>
      <w:r w:rsidRPr="00CD4311">
        <w:rPr>
          <w:rFonts w:ascii="Times New Roman" w:hAnsi="Times New Roman" w:cs="Arial"/>
          <w:lang w:val="de-DE"/>
        </w:rPr>
        <w:t>jānorāda</w:t>
      </w:r>
      <w:proofErr w:type="spellEnd"/>
      <w:r w:rsidRPr="00CD4311">
        <w:rPr>
          <w:rFonts w:ascii="Times New Roman" w:hAnsi="Times New Roman" w:cs="Arial"/>
          <w:lang w:val="de-DE"/>
        </w:rPr>
        <w:t xml:space="preserve">, </w:t>
      </w:r>
      <w:proofErr w:type="spellStart"/>
      <w:r w:rsidRPr="00CD4311">
        <w:rPr>
          <w:rFonts w:ascii="Times New Roman" w:hAnsi="Times New Roman" w:cs="Arial"/>
          <w:lang w:val="de-DE"/>
        </w:rPr>
        <w:t>ka</w:t>
      </w:r>
      <w:proofErr w:type="spellEnd"/>
      <w:r w:rsidRPr="00CD4311">
        <w:rPr>
          <w:rFonts w:ascii="Times New Roman" w:hAnsi="Times New Roman" w:cs="Arial"/>
          <w:lang w:val="de-DE"/>
        </w:rPr>
        <w:t xml:space="preserve"> Latvijas </w:t>
      </w:r>
      <w:proofErr w:type="spellStart"/>
      <w:r w:rsidRPr="00CD4311">
        <w:rPr>
          <w:rFonts w:ascii="Times New Roman" w:hAnsi="Times New Roman" w:cs="Arial"/>
          <w:lang w:val="de-DE"/>
        </w:rPr>
        <w:t>Zvērinātu</w:t>
      </w:r>
      <w:proofErr w:type="spellEnd"/>
      <w:r w:rsidRPr="00CD4311">
        <w:rPr>
          <w:rFonts w:ascii="Times New Roman" w:hAnsi="Times New Roman" w:cs="Arial"/>
          <w:lang w:val="de-DE"/>
        </w:rPr>
        <w:t xml:space="preserve"> </w:t>
      </w:r>
      <w:proofErr w:type="spellStart"/>
      <w:r w:rsidRPr="00CD4311">
        <w:rPr>
          <w:rFonts w:ascii="Times New Roman" w:hAnsi="Times New Roman" w:cs="Arial"/>
          <w:lang w:val="de-DE"/>
        </w:rPr>
        <w:t>notāru</w:t>
      </w:r>
      <w:proofErr w:type="spellEnd"/>
      <w:r w:rsidRPr="00CD4311">
        <w:rPr>
          <w:rFonts w:ascii="Times New Roman" w:hAnsi="Times New Roman" w:cs="Arial"/>
          <w:lang w:val="de-DE"/>
        </w:rPr>
        <w:t xml:space="preserve"> </w:t>
      </w:r>
      <w:proofErr w:type="spellStart"/>
      <w:r w:rsidRPr="00CD4311">
        <w:rPr>
          <w:rFonts w:ascii="Times New Roman" w:hAnsi="Times New Roman" w:cs="Arial"/>
          <w:lang w:val="de-DE"/>
        </w:rPr>
        <w:t>padomi</w:t>
      </w:r>
      <w:proofErr w:type="spellEnd"/>
      <w:r w:rsidRPr="00CD4311">
        <w:rPr>
          <w:rFonts w:ascii="Times New Roman" w:hAnsi="Times New Roman" w:cs="Arial"/>
          <w:lang w:val="de-DE"/>
        </w:rPr>
        <w:t xml:space="preserve"> </w:t>
      </w:r>
      <w:proofErr w:type="spellStart"/>
      <w:r w:rsidRPr="00CD4311">
        <w:rPr>
          <w:rFonts w:ascii="Times New Roman" w:hAnsi="Times New Roman" w:cs="Arial"/>
          <w:lang w:val="de-DE"/>
        </w:rPr>
        <w:t>patiesībā</w:t>
      </w:r>
      <w:proofErr w:type="spellEnd"/>
      <w:r w:rsidRPr="00CD4311">
        <w:rPr>
          <w:rFonts w:ascii="Times New Roman" w:hAnsi="Times New Roman" w:cs="Arial"/>
          <w:lang w:val="de-DE"/>
        </w:rPr>
        <w:t xml:space="preserve"> </w:t>
      </w:r>
      <w:proofErr w:type="spellStart"/>
      <w:r w:rsidRPr="00CD4311">
        <w:rPr>
          <w:rFonts w:ascii="Times New Roman" w:hAnsi="Times New Roman" w:cs="Arial"/>
          <w:lang w:val="de-DE"/>
        </w:rPr>
        <w:t>interesē</w:t>
      </w:r>
      <w:proofErr w:type="spellEnd"/>
      <w:r w:rsidRPr="00CD4311">
        <w:rPr>
          <w:rFonts w:ascii="Times New Roman" w:hAnsi="Times New Roman" w:cs="Arial"/>
          <w:lang w:val="de-DE"/>
        </w:rPr>
        <w:t xml:space="preserve"> </w:t>
      </w:r>
      <w:proofErr w:type="spellStart"/>
      <w:r w:rsidRPr="00CD4311">
        <w:rPr>
          <w:rFonts w:ascii="Times New Roman" w:hAnsi="Times New Roman" w:cs="Arial"/>
          <w:lang w:val="de-DE"/>
        </w:rPr>
        <w:t>nevis</w:t>
      </w:r>
      <w:proofErr w:type="spellEnd"/>
      <w:r w:rsidRPr="00CD4311">
        <w:rPr>
          <w:rFonts w:ascii="Times New Roman" w:hAnsi="Times New Roman" w:cs="Arial"/>
          <w:lang w:val="de-DE"/>
        </w:rPr>
        <w:t xml:space="preserve"> </w:t>
      </w:r>
      <w:proofErr w:type="spellStart"/>
      <w:r w:rsidRPr="00CD4311">
        <w:rPr>
          <w:rFonts w:ascii="Times New Roman" w:hAnsi="Times New Roman" w:cs="Arial"/>
          <w:lang w:val="de-DE"/>
        </w:rPr>
        <w:t>tas</w:t>
      </w:r>
      <w:proofErr w:type="spellEnd"/>
      <w:r w:rsidRPr="00CD4311">
        <w:rPr>
          <w:rFonts w:ascii="Times New Roman" w:hAnsi="Times New Roman" w:cs="Arial"/>
          <w:lang w:val="de-DE"/>
        </w:rPr>
        <w:t xml:space="preserve">, </w:t>
      </w:r>
      <w:proofErr w:type="spellStart"/>
      <w:r w:rsidRPr="00CD4311">
        <w:rPr>
          <w:rFonts w:ascii="Times New Roman" w:hAnsi="Times New Roman" w:cs="Arial"/>
          <w:lang w:val="de-DE"/>
        </w:rPr>
        <w:t>kā</w:t>
      </w:r>
      <w:proofErr w:type="spellEnd"/>
      <w:r w:rsidRPr="00CD4311">
        <w:rPr>
          <w:rFonts w:ascii="Times New Roman" w:hAnsi="Times New Roman" w:cs="Arial"/>
          <w:lang w:val="de-DE"/>
        </w:rPr>
        <w:t xml:space="preserve"> </w:t>
      </w:r>
      <w:proofErr w:type="spellStart"/>
      <w:r w:rsidRPr="00CD4311">
        <w:rPr>
          <w:rFonts w:ascii="Times New Roman" w:hAnsi="Times New Roman" w:cs="Arial"/>
          <w:lang w:val="de-DE"/>
        </w:rPr>
        <w:t>un</w:t>
      </w:r>
      <w:proofErr w:type="spellEnd"/>
      <w:r w:rsidRPr="00CD4311">
        <w:rPr>
          <w:rFonts w:ascii="Times New Roman" w:hAnsi="Times New Roman" w:cs="Arial"/>
          <w:lang w:val="de-DE"/>
        </w:rPr>
        <w:t xml:space="preserve"> kur </w:t>
      </w:r>
      <w:proofErr w:type="spellStart"/>
      <w:r w:rsidRPr="00CD4311">
        <w:rPr>
          <w:rFonts w:ascii="Times New Roman" w:hAnsi="Times New Roman" w:cs="Arial"/>
          <w:lang w:val="de-DE"/>
        </w:rPr>
        <w:t>apšaubīt</w:t>
      </w:r>
      <w:proofErr w:type="spellEnd"/>
      <w:r w:rsidRPr="00CD4311">
        <w:rPr>
          <w:rFonts w:ascii="Times New Roman" w:hAnsi="Times New Roman" w:cs="Arial"/>
          <w:lang w:val="de-DE"/>
        </w:rPr>
        <w:t xml:space="preserve"> ES, EEZ </w:t>
      </w:r>
      <w:proofErr w:type="spellStart"/>
      <w:r w:rsidRPr="00CD4311">
        <w:rPr>
          <w:rFonts w:ascii="Times New Roman" w:hAnsi="Times New Roman" w:cs="Arial"/>
          <w:lang w:val="de-DE"/>
        </w:rPr>
        <w:t>vai</w:t>
      </w:r>
      <w:proofErr w:type="spellEnd"/>
      <w:r w:rsidRPr="00CD4311">
        <w:rPr>
          <w:rFonts w:ascii="Times New Roman" w:hAnsi="Times New Roman" w:cs="Arial"/>
          <w:lang w:val="de-DE"/>
        </w:rPr>
        <w:t xml:space="preserve"> </w:t>
      </w:r>
      <w:proofErr w:type="spellStart"/>
      <w:r w:rsidRPr="00CD4311">
        <w:rPr>
          <w:rFonts w:ascii="Times New Roman" w:hAnsi="Times New Roman" w:cs="Arial"/>
          <w:lang w:val="de-DE"/>
        </w:rPr>
        <w:t>Šveices</w:t>
      </w:r>
      <w:proofErr w:type="spellEnd"/>
      <w:r w:rsidRPr="00CD4311">
        <w:rPr>
          <w:rFonts w:ascii="Times New Roman" w:hAnsi="Times New Roman" w:cs="Arial"/>
          <w:lang w:val="de-DE"/>
        </w:rPr>
        <w:t xml:space="preserve"> </w:t>
      </w:r>
      <w:proofErr w:type="spellStart"/>
      <w:r w:rsidRPr="00CD4311">
        <w:rPr>
          <w:rFonts w:ascii="Times New Roman" w:hAnsi="Times New Roman" w:cs="Arial"/>
          <w:lang w:val="de-DE"/>
        </w:rPr>
        <w:t>Konfederācijā</w:t>
      </w:r>
      <w:proofErr w:type="spellEnd"/>
      <w:r w:rsidRPr="00CD4311">
        <w:rPr>
          <w:rFonts w:ascii="Times New Roman" w:hAnsi="Times New Roman" w:cs="Arial"/>
          <w:lang w:val="de-DE"/>
        </w:rPr>
        <w:t xml:space="preserve"> </w:t>
      </w:r>
      <w:proofErr w:type="spellStart"/>
      <w:r w:rsidRPr="00CD4311">
        <w:rPr>
          <w:rFonts w:ascii="Times New Roman" w:hAnsi="Times New Roman" w:cs="Arial"/>
          <w:lang w:val="de-DE"/>
        </w:rPr>
        <w:t>izsniegtu</w:t>
      </w:r>
      <w:proofErr w:type="spellEnd"/>
      <w:r w:rsidRPr="00CD4311">
        <w:rPr>
          <w:rFonts w:ascii="Times New Roman" w:hAnsi="Times New Roman" w:cs="Arial"/>
          <w:lang w:val="de-DE"/>
        </w:rPr>
        <w:t xml:space="preserve"> </w:t>
      </w:r>
      <w:proofErr w:type="spellStart"/>
      <w:r w:rsidRPr="00CD4311">
        <w:rPr>
          <w:rFonts w:ascii="Times New Roman" w:hAnsi="Times New Roman" w:cs="Arial"/>
          <w:lang w:val="de-DE"/>
        </w:rPr>
        <w:t>dokumentu</w:t>
      </w:r>
      <w:proofErr w:type="spellEnd"/>
      <w:r w:rsidRPr="00CD4311">
        <w:rPr>
          <w:rFonts w:ascii="Times New Roman" w:hAnsi="Times New Roman" w:cs="Arial"/>
          <w:lang w:val="de-DE"/>
        </w:rPr>
        <w:t xml:space="preserve"> </w:t>
      </w:r>
      <w:proofErr w:type="spellStart"/>
      <w:r w:rsidRPr="00CD4311">
        <w:rPr>
          <w:rFonts w:ascii="Times New Roman" w:hAnsi="Times New Roman" w:cs="Arial"/>
          <w:lang w:val="de-DE"/>
        </w:rPr>
        <w:t>autentiskumu</w:t>
      </w:r>
      <w:proofErr w:type="spellEnd"/>
      <w:r w:rsidRPr="00CD4311">
        <w:rPr>
          <w:rFonts w:ascii="Times New Roman" w:hAnsi="Times New Roman" w:cs="Arial"/>
          <w:lang w:val="de-DE"/>
        </w:rPr>
        <w:t xml:space="preserve">. </w:t>
      </w:r>
      <w:proofErr w:type="spellStart"/>
      <w:r w:rsidRPr="00CD4311">
        <w:rPr>
          <w:rFonts w:ascii="Times New Roman" w:hAnsi="Times New Roman" w:cs="Arial"/>
          <w:lang w:val="de-DE"/>
        </w:rPr>
        <w:t>Tāpat</w:t>
      </w:r>
      <w:proofErr w:type="spellEnd"/>
      <w:r w:rsidRPr="00CD4311">
        <w:rPr>
          <w:rFonts w:ascii="Times New Roman" w:hAnsi="Times New Roman" w:cs="Arial"/>
          <w:lang w:val="de-DE"/>
        </w:rPr>
        <w:t xml:space="preserve"> Latvijas </w:t>
      </w:r>
      <w:proofErr w:type="spellStart"/>
      <w:r w:rsidRPr="00CD4311">
        <w:rPr>
          <w:rFonts w:ascii="Times New Roman" w:hAnsi="Times New Roman" w:cs="Arial"/>
          <w:lang w:val="de-DE"/>
        </w:rPr>
        <w:t>Zvērinātu</w:t>
      </w:r>
      <w:proofErr w:type="spellEnd"/>
      <w:r w:rsidRPr="00CD4311">
        <w:rPr>
          <w:rFonts w:ascii="Times New Roman" w:hAnsi="Times New Roman" w:cs="Arial"/>
          <w:lang w:val="de-DE"/>
        </w:rPr>
        <w:t xml:space="preserve"> </w:t>
      </w:r>
      <w:proofErr w:type="spellStart"/>
      <w:r w:rsidRPr="00CD4311">
        <w:rPr>
          <w:rFonts w:ascii="Times New Roman" w:hAnsi="Times New Roman" w:cs="Arial"/>
          <w:lang w:val="de-DE"/>
        </w:rPr>
        <w:t>notāru</w:t>
      </w:r>
      <w:proofErr w:type="spellEnd"/>
      <w:r w:rsidRPr="00CD4311">
        <w:rPr>
          <w:rFonts w:ascii="Times New Roman" w:hAnsi="Times New Roman" w:cs="Arial"/>
          <w:lang w:val="de-DE"/>
        </w:rPr>
        <w:t xml:space="preserve"> </w:t>
      </w:r>
      <w:proofErr w:type="spellStart"/>
      <w:r w:rsidRPr="00CD4311">
        <w:rPr>
          <w:rFonts w:ascii="Times New Roman" w:hAnsi="Times New Roman" w:cs="Arial"/>
          <w:lang w:val="de-DE"/>
        </w:rPr>
        <w:t>padome</w:t>
      </w:r>
      <w:proofErr w:type="spellEnd"/>
      <w:r w:rsidRPr="00CD4311">
        <w:rPr>
          <w:rFonts w:ascii="Times New Roman" w:hAnsi="Times New Roman" w:cs="Arial"/>
          <w:lang w:val="de-DE"/>
        </w:rPr>
        <w:t xml:space="preserve"> </w:t>
      </w:r>
      <w:proofErr w:type="spellStart"/>
      <w:r w:rsidRPr="00CD4311">
        <w:rPr>
          <w:rFonts w:ascii="Times New Roman" w:hAnsi="Times New Roman" w:cs="Arial"/>
          <w:lang w:val="de-DE"/>
        </w:rPr>
        <w:t>neapstrīd</w:t>
      </w:r>
      <w:proofErr w:type="spellEnd"/>
      <w:r w:rsidRPr="00CD4311">
        <w:rPr>
          <w:rFonts w:ascii="Times New Roman" w:hAnsi="Times New Roman" w:cs="Arial"/>
          <w:lang w:val="de-DE"/>
        </w:rPr>
        <w:t xml:space="preserve"> </w:t>
      </w:r>
      <w:proofErr w:type="spellStart"/>
      <w:r w:rsidRPr="00CD4311">
        <w:rPr>
          <w:rFonts w:ascii="Times New Roman" w:hAnsi="Times New Roman" w:cs="Arial"/>
          <w:lang w:val="de-DE"/>
        </w:rPr>
        <w:t>to</w:t>
      </w:r>
      <w:proofErr w:type="spellEnd"/>
      <w:r w:rsidRPr="00CD4311">
        <w:rPr>
          <w:rFonts w:ascii="Times New Roman" w:hAnsi="Times New Roman" w:cs="Arial"/>
          <w:lang w:val="de-DE"/>
        </w:rPr>
        <w:t xml:space="preserve">, </w:t>
      </w:r>
      <w:proofErr w:type="spellStart"/>
      <w:r w:rsidRPr="00CD4311">
        <w:rPr>
          <w:rFonts w:ascii="Times New Roman" w:hAnsi="Times New Roman" w:cs="Arial"/>
          <w:lang w:val="de-DE"/>
        </w:rPr>
        <w:t>ka</w:t>
      </w:r>
      <w:proofErr w:type="spellEnd"/>
      <w:r w:rsidRPr="00CD4311">
        <w:rPr>
          <w:rFonts w:ascii="Times New Roman" w:hAnsi="Times New Roman" w:cs="Arial"/>
          <w:lang w:val="de-DE"/>
        </w:rPr>
        <w:t xml:space="preserve"> </w:t>
      </w:r>
      <w:proofErr w:type="spellStart"/>
      <w:r w:rsidRPr="00CD4311">
        <w:rPr>
          <w:rFonts w:ascii="Times New Roman" w:hAnsi="Times New Roman" w:cs="Arial"/>
          <w:lang w:val="de-DE"/>
        </w:rPr>
        <w:t>ārvalstu</w:t>
      </w:r>
      <w:proofErr w:type="spellEnd"/>
      <w:r w:rsidRPr="00CD4311">
        <w:rPr>
          <w:rFonts w:ascii="Times New Roman" w:hAnsi="Times New Roman" w:cs="Arial"/>
          <w:lang w:val="de-DE"/>
        </w:rPr>
        <w:t xml:space="preserve"> </w:t>
      </w:r>
      <w:proofErr w:type="spellStart"/>
      <w:r w:rsidRPr="00CD4311">
        <w:rPr>
          <w:rFonts w:ascii="Times New Roman" w:hAnsi="Times New Roman" w:cs="Arial"/>
          <w:lang w:val="de-DE"/>
        </w:rPr>
        <w:t>notāru</w:t>
      </w:r>
      <w:proofErr w:type="spellEnd"/>
      <w:r w:rsidRPr="00CD4311">
        <w:rPr>
          <w:rFonts w:ascii="Times New Roman" w:hAnsi="Times New Roman" w:cs="Arial"/>
          <w:lang w:val="de-DE"/>
        </w:rPr>
        <w:t xml:space="preserve"> </w:t>
      </w:r>
      <w:proofErr w:type="spellStart"/>
      <w:r w:rsidRPr="00CD4311">
        <w:rPr>
          <w:rFonts w:ascii="Times New Roman" w:hAnsi="Times New Roman" w:cs="Arial"/>
          <w:lang w:val="de-DE"/>
        </w:rPr>
        <w:t>sastādīti</w:t>
      </w:r>
      <w:proofErr w:type="spellEnd"/>
      <w:r w:rsidRPr="00CD4311">
        <w:rPr>
          <w:rFonts w:ascii="Times New Roman" w:hAnsi="Times New Roman" w:cs="Arial"/>
          <w:lang w:val="de-DE"/>
        </w:rPr>
        <w:t xml:space="preserve"> </w:t>
      </w:r>
      <w:proofErr w:type="spellStart"/>
      <w:r w:rsidRPr="00CD4311">
        <w:rPr>
          <w:rFonts w:ascii="Times New Roman" w:hAnsi="Times New Roman" w:cs="Arial"/>
          <w:lang w:val="de-DE"/>
        </w:rPr>
        <w:t>dokumenti</w:t>
      </w:r>
      <w:proofErr w:type="spellEnd"/>
      <w:r w:rsidRPr="00CD4311">
        <w:rPr>
          <w:rFonts w:ascii="Times New Roman" w:hAnsi="Times New Roman" w:cs="Arial"/>
          <w:lang w:val="de-DE"/>
        </w:rPr>
        <w:t xml:space="preserve"> </w:t>
      </w:r>
      <w:proofErr w:type="spellStart"/>
      <w:r w:rsidRPr="00CD4311">
        <w:rPr>
          <w:rFonts w:ascii="Times New Roman" w:hAnsi="Times New Roman" w:cs="Arial"/>
          <w:lang w:val="de-DE"/>
        </w:rPr>
        <w:t>neatkarīgi</w:t>
      </w:r>
      <w:proofErr w:type="spellEnd"/>
      <w:r w:rsidRPr="00CD4311">
        <w:rPr>
          <w:rFonts w:ascii="Times New Roman" w:hAnsi="Times New Roman" w:cs="Arial"/>
          <w:lang w:val="de-DE"/>
        </w:rPr>
        <w:t xml:space="preserve"> </w:t>
      </w:r>
      <w:proofErr w:type="spellStart"/>
      <w:r w:rsidRPr="00CD4311">
        <w:rPr>
          <w:rFonts w:ascii="Times New Roman" w:hAnsi="Times New Roman" w:cs="Arial"/>
          <w:lang w:val="de-DE"/>
        </w:rPr>
        <w:t>no</w:t>
      </w:r>
      <w:proofErr w:type="spellEnd"/>
      <w:r w:rsidRPr="00CD4311">
        <w:rPr>
          <w:rFonts w:ascii="Times New Roman" w:hAnsi="Times New Roman" w:cs="Arial"/>
          <w:lang w:val="de-DE"/>
        </w:rPr>
        <w:t xml:space="preserve"> </w:t>
      </w:r>
      <w:proofErr w:type="spellStart"/>
      <w:r w:rsidRPr="00CD4311">
        <w:rPr>
          <w:rFonts w:ascii="Times New Roman" w:hAnsi="Times New Roman" w:cs="Arial"/>
          <w:lang w:val="de-DE"/>
        </w:rPr>
        <w:t>ārvalsts</w:t>
      </w:r>
      <w:proofErr w:type="spellEnd"/>
      <w:r w:rsidRPr="00CD4311">
        <w:rPr>
          <w:rFonts w:ascii="Times New Roman" w:hAnsi="Times New Roman" w:cs="Arial"/>
          <w:lang w:val="de-DE"/>
        </w:rPr>
        <w:t xml:space="preserve"> </w:t>
      </w:r>
      <w:proofErr w:type="spellStart"/>
      <w:r w:rsidRPr="00CD4311">
        <w:rPr>
          <w:rFonts w:ascii="Times New Roman" w:hAnsi="Times New Roman" w:cs="Arial"/>
          <w:lang w:val="de-DE"/>
        </w:rPr>
        <w:t>tiesību</w:t>
      </w:r>
      <w:proofErr w:type="spellEnd"/>
      <w:r w:rsidRPr="00CD4311">
        <w:rPr>
          <w:rFonts w:ascii="Times New Roman" w:hAnsi="Times New Roman" w:cs="Arial"/>
          <w:lang w:val="de-DE"/>
        </w:rPr>
        <w:t xml:space="preserve"> </w:t>
      </w:r>
      <w:proofErr w:type="spellStart"/>
      <w:r w:rsidRPr="00CD4311">
        <w:rPr>
          <w:rFonts w:ascii="Times New Roman" w:hAnsi="Times New Roman" w:cs="Arial"/>
          <w:lang w:val="de-DE"/>
        </w:rPr>
        <w:t>sistēmas</w:t>
      </w:r>
      <w:proofErr w:type="spellEnd"/>
      <w:r w:rsidRPr="00CD4311">
        <w:rPr>
          <w:rFonts w:ascii="Times New Roman" w:hAnsi="Times New Roman" w:cs="Arial"/>
          <w:lang w:val="de-DE"/>
        </w:rPr>
        <w:t xml:space="preserve"> </w:t>
      </w:r>
      <w:proofErr w:type="spellStart"/>
      <w:r w:rsidRPr="00CD4311">
        <w:rPr>
          <w:rFonts w:ascii="Times New Roman" w:hAnsi="Times New Roman" w:cs="Arial"/>
          <w:lang w:val="de-DE"/>
        </w:rPr>
        <w:t>principā</w:t>
      </w:r>
      <w:proofErr w:type="spellEnd"/>
      <w:r w:rsidRPr="00CD4311">
        <w:rPr>
          <w:rFonts w:ascii="Times New Roman" w:hAnsi="Times New Roman" w:cs="Arial"/>
          <w:lang w:val="de-DE"/>
        </w:rPr>
        <w:t xml:space="preserve"> </w:t>
      </w:r>
      <w:proofErr w:type="spellStart"/>
      <w:r w:rsidRPr="00CD4311">
        <w:rPr>
          <w:rFonts w:ascii="Times New Roman" w:hAnsi="Times New Roman" w:cs="Arial"/>
          <w:lang w:val="de-DE"/>
        </w:rPr>
        <w:t>ir</w:t>
      </w:r>
      <w:proofErr w:type="spellEnd"/>
      <w:r w:rsidRPr="00CD4311">
        <w:rPr>
          <w:rFonts w:ascii="Times New Roman" w:hAnsi="Times New Roman" w:cs="Arial"/>
          <w:lang w:val="de-DE"/>
        </w:rPr>
        <w:t xml:space="preserve"> </w:t>
      </w:r>
      <w:proofErr w:type="spellStart"/>
      <w:r w:rsidRPr="00CD4311">
        <w:rPr>
          <w:rFonts w:ascii="Times New Roman" w:hAnsi="Times New Roman" w:cs="Arial"/>
          <w:lang w:val="de-DE"/>
        </w:rPr>
        <w:t>derīgi</w:t>
      </w:r>
      <w:proofErr w:type="spellEnd"/>
      <w:r w:rsidRPr="00CD4311">
        <w:rPr>
          <w:rFonts w:ascii="Times New Roman" w:hAnsi="Times New Roman" w:cs="Arial"/>
          <w:lang w:val="de-DE"/>
        </w:rPr>
        <w:t xml:space="preserve"> </w:t>
      </w:r>
      <w:proofErr w:type="spellStart"/>
      <w:r w:rsidRPr="00CD4311">
        <w:rPr>
          <w:rFonts w:ascii="Times New Roman" w:hAnsi="Times New Roman" w:cs="Arial"/>
          <w:lang w:val="de-DE"/>
        </w:rPr>
        <w:t>izmantošanai</w:t>
      </w:r>
      <w:proofErr w:type="spellEnd"/>
      <w:r w:rsidRPr="00CD4311">
        <w:rPr>
          <w:rFonts w:ascii="Times New Roman" w:hAnsi="Times New Roman" w:cs="Arial"/>
          <w:lang w:val="de-DE"/>
        </w:rPr>
        <w:t xml:space="preserve"> </w:t>
      </w:r>
      <w:proofErr w:type="spellStart"/>
      <w:r w:rsidRPr="00CD4311">
        <w:rPr>
          <w:rFonts w:ascii="Times New Roman" w:hAnsi="Times New Roman" w:cs="Arial"/>
          <w:lang w:val="de-DE"/>
        </w:rPr>
        <w:t>Latvijā</w:t>
      </w:r>
      <w:proofErr w:type="spellEnd"/>
      <w:r w:rsidRPr="00CD4311">
        <w:rPr>
          <w:rFonts w:ascii="Times New Roman" w:hAnsi="Times New Roman" w:cs="Arial"/>
          <w:lang w:val="de-DE"/>
        </w:rPr>
        <w:t xml:space="preserve">. </w:t>
      </w:r>
      <w:proofErr w:type="spellStart"/>
      <w:r w:rsidRPr="00CD4311">
        <w:rPr>
          <w:rFonts w:ascii="Times New Roman" w:hAnsi="Times New Roman" w:cs="Arial"/>
          <w:lang w:val="de-DE"/>
        </w:rPr>
        <w:t>Šeit</w:t>
      </w:r>
      <w:proofErr w:type="spellEnd"/>
      <w:r w:rsidRPr="00CD4311">
        <w:rPr>
          <w:rFonts w:ascii="Times New Roman" w:hAnsi="Times New Roman" w:cs="Arial"/>
          <w:lang w:val="de-DE"/>
        </w:rPr>
        <w:t xml:space="preserve"> </w:t>
      </w:r>
      <w:proofErr w:type="spellStart"/>
      <w:r w:rsidRPr="00CD4311">
        <w:rPr>
          <w:rFonts w:ascii="Times New Roman" w:hAnsi="Times New Roman" w:cs="Arial"/>
          <w:lang w:val="de-DE"/>
        </w:rPr>
        <w:t>tomēr</w:t>
      </w:r>
      <w:proofErr w:type="spellEnd"/>
      <w:r w:rsidRPr="00CD4311">
        <w:rPr>
          <w:rFonts w:ascii="Times New Roman" w:hAnsi="Times New Roman" w:cs="Arial"/>
          <w:lang w:val="de-DE"/>
        </w:rPr>
        <w:t xml:space="preserve"> </w:t>
      </w:r>
      <w:proofErr w:type="spellStart"/>
      <w:r w:rsidRPr="00CD4311">
        <w:rPr>
          <w:rFonts w:ascii="Times New Roman" w:hAnsi="Times New Roman" w:cs="Arial"/>
          <w:lang w:val="de-DE"/>
        </w:rPr>
        <w:t>jānorāda</w:t>
      </w:r>
      <w:proofErr w:type="spellEnd"/>
      <w:r w:rsidRPr="00CD4311">
        <w:rPr>
          <w:rFonts w:ascii="Times New Roman" w:hAnsi="Times New Roman" w:cs="Arial"/>
          <w:lang w:val="de-DE"/>
        </w:rPr>
        <w:t xml:space="preserve">, </w:t>
      </w:r>
      <w:proofErr w:type="spellStart"/>
      <w:r w:rsidRPr="00CD4311">
        <w:rPr>
          <w:rFonts w:ascii="Times New Roman" w:hAnsi="Times New Roman" w:cs="Arial"/>
          <w:lang w:val="de-DE"/>
        </w:rPr>
        <w:t>ka</w:t>
      </w:r>
      <w:proofErr w:type="spellEnd"/>
      <w:r w:rsidRPr="00CD4311">
        <w:rPr>
          <w:rFonts w:ascii="Times New Roman" w:hAnsi="Times New Roman" w:cs="Arial"/>
          <w:lang w:val="de-DE"/>
        </w:rPr>
        <w:t xml:space="preserve"> Latvijas </w:t>
      </w:r>
      <w:proofErr w:type="spellStart"/>
      <w:r w:rsidRPr="00CD4311">
        <w:rPr>
          <w:rFonts w:ascii="Times New Roman" w:hAnsi="Times New Roman" w:cs="Arial"/>
          <w:lang w:val="de-DE"/>
        </w:rPr>
        <w:t>notāri</w:t>
      </w:r>
      <w:proofErr w:type="spellEnd"/>
      <w:r w:rsidRPr="00CD4311">
        <w:rPr>
          <w:rFonts w:ascii="Times New Roman" w:hAnsi="Times New Roman" w:cs="Arial"/>
          <w:lang w:val="de-DE"/>
        </w:rPr>
        <w:t xml:space="preserve"> </w:t>
      </w:r>
      <w:proofErr w:type="spellStart"/>
      <w:r w:rsidRPr="00CD4311">
        <w:rPr>
          <w:rFonts w:ascii="Times New Roman" w:hAnsi="Times New Roman" w:cs="Arial"/>
          <w:lang w:val="de-DE"/>
        </w:rPr>
        <w:t>saskaņā</w:t>
      </w:r>
      <w:proofErr w:type="spellEnd"/>
      <w:r w:rsidRPr="00CD4311">
        <w:rPr>
          <w:rFonts w:ascii="Times New Roman" w:hAnsi="Times New Roman" w:cs="Arial"/>
          <w:lang w:val="de-DE"/>
        </w:rPr>
        <w:t xml:space="preserve"> </w:t>
      </w:r>
      <w:proofErr w:type="spellStart"/>
      <w:r w:rsidRPr="00CD4311">
        <w:rPr>
          <w:rFonts w:ascii="Times New Roman" w:hAnsi="Times New Roman" w:cs="Arial"/>
          <w:lang w:val="de-DE"/>
        </w:rPr>
        <w:t>ar</w:t>
      </w:r>
      <w:proofErr w:type="spellEnd"/>
      <w:r w:rsidRPr="00CD4311">
        <w:rPr>
          <w:rFonts w:ascii="Times New Roman" w:hAnsi="Times New Roman" w:cs="Arial"/>
          <w:lang w:val="de-DE"/>
        </w:rPr>
        <w:t xml:space="preserve"> </w:t>
      </w:r>
      <w:proofErr w:type="spellStart"/>
      <w:r w:rsidRPr="00CD4311">
        <w:rPr>
          <w:rFonts w:ascii="Times New Roman" w:hAnsi="Times New Roman" w:cs="Arial"/>
          <w:lang w:val="de-DE"/>
        </w:rPr>
        <w:t>Notariāta</w:t>
      </w:r>
      <w:proofErr w:type="spellEnd"/>
      <w:r w:rsidRPr="00CD4311">
        <w:rPr>
          <w:rFonts w:ascii="Times New Roman" w:hAnsi="Times New Roman" w:cs="Arial"/>
          <w:lang w:val="de-DE"/>
        </w:rPr>
        <w:t xml:space="preserve"> </w:t>
      </w:r>
      <w:proofErr w:type="spellStart"/>
      <w:r w:rsidRPr="00CD4311">
        <w:rPr>
          <w:rFonts w:ascii="Times New Roman" w:hAnsi="Times New Roman" w:cs="Arial"/>
          <w:lang w:val="de-DE"/>
        </w:rPr>
        <w:t>likuma</w:t>
      </w:r>
      <w:proofErr w:type="spellEnd"/>
      <w:r w:rsidRPr="00CD4311">
        <w:rPr>
          <w:rFonts w:ascii="Times New Roman" w:hAnsi="Times New Roman" w:cs="Arial"/>
          <w:lang w:val="de-DE"/>
        </w:rPr>
        <w:t xml:space="preserve"> 83.panta </w:t>
      </w:r>
      <w:proofErr w:type="spellStart"/>
      <w:r w:rsidRPr="00CD4311">
        <w:rPr>
          <w:rFonts w:ascii="Times New Roman" w:hAnsi="Times New Roman" w:cs="Arial"/>
          <w:lang w:val="de-DE"/>
        </w:rPr>
        <w:t>otro</w:t>
      </w:r>
      <w:proofErr w:type="spellEnd"/>
      <w:r w:rsidRPr="00CD4311">
        <w:rPr>
          <w:rFonts w:ascii="Times New Roman" w:hAnsi="Times New Roman" w:cs="Arial"/>
          <w:lang w:val="de-DE"/>
        </w:rPr>
        <w:t xml:space="preserve"> </w:t>
      </w:r>
      <w:proofErr w:type="spellStart"/>
      <w:r w:rsidRPr="00CD4311">
        <w:rPr>
          <w:rFonts w:ascii="Times New Roman" w:hAnsi="Times New Roman" w:cs="Arial"/>
          <w:lang w:val="de-DE"/>
        </w:rPr>
        <w:t>daļu</w:t>
      </w:r>
      <w:proofErr w:type="spellEnd"/>
      <w:r w:rsidRPr="00CD4311">
        <w:rPr>
          <w:rFonts w:ascii="Times New Roman" w:hAnsi="Times New Roman" w:cs="Arial"/>
          <w:lang w:val="de-DE"/>
        </w:rPr>
        <w:t xml:space="preserve"> </w:t>
      </w:r>
      <w:proofErr w:type="spellStart"/>
      <w:r w:rsidRPr="00CD4311">
        <w:rPr>
          <w:rFonts w:ascii="Times New Roman" w:hAnsi="Times New Roman" w:cs="Arial"/>
          <w:lang w:val="de-DE"/>
        </w:rPr>
        <w:t>pārstāvības</w:t>
      </w:r>
      <w:proofErr w:type="spellEnd"/>
      <w:r w:rsidRPr="00CD4311">
        <w:rPr>
          <w:rFonts w:ascii="Times New Roman" w:hAnsi="Times New Roman" w:cs="Arial"/>
          <w:lang w:val="de-DE"/>
        </w:rPr>
        <w:t xml:space="preserve"> </w:t>
      </w:r>
      <w:proofErr w:type="spellStart"/>
      <w:r w:rsidRPr="00CD4311">
        <w:rPr>
          <w:rFonts w:ascii="Times New Roman" w:hAnsi="Times New Roman" w:cs="Arial"/>
          <w:lang w:val="de-DE"/>
        </w:rPr>
        <w:t>tiesības</w:t>
      </w:r>
      <w:proofErr w:type="spellEnd"/>
      <w:r w:rsidRPr="00CD4311">
        <w:rPr>
          <w:rFonts w:ascii="Times New Roman" w:hAnsi="Times New Roman" w:cs="Arial"/>
          <w:lang w:val="de-DE"/>
        </w:rPr>
        <w:t xml:space="preserve"> </w:t>
      </w:r>
      <w:proofErr w:type="spellStart"/>
      <w:r w:rsidRPr="00CD4311">
        <w:rPr>
          <w:rFonts w:ascii="Times New Roman" w:hAnsi="Times New Roman" w:cs="Arial"/>
          <w:iCs/>
          <w:lang w:val="de-DE"/>
        </w:rPr>
        <w:t>drīkst</w:t>
      </w:r>
      <w:proofErr w:type="spellEnd"/>
      <w:r w:rsidRPr="00CD4311">
        <w:rPr>
          <w:rFonts w:ascii="Times New Roman" w:hAnsi="Times New Roman" w:cs="Arial"/>
          <w:iCs/>
          <w:lang w:val="de-DE"/>
        </w:rPr>
        <w:t xml:space="preserve"> </w:t>
      </w:r>
      <w:proofErr w:type="spellStart"/>
      <w:r w:rsidRPr="00CD4311">
        <w:rPr>
          <w:rFonts w:ascii="Times New Roman" w:hAnsi="Times New Roman" w:cs="Arial"/>
          <w:iCs/>
          <w:lang w:val="de-DE"/>
        </w:rPr>
        <w:t>pārbaudīt</w:t>
      </w:r>
      <w:proofErr w:type="spellEnd"/>
      <w:r w:rsidRPr="00CD4311">
        <w:rPr>
          <w:rFonts w:ascii="Times New Roman" w:hAnsi="Times New Roman" w:cs="Arial"/>
          <w:iCs/>
          <w:lang w:val="de-DE"/>
        </w:rPr>
        <w:t xml:space="preserve"> </w:t>
      </w:r>
      <w:proofErr w:type="spellStart"/>
      <w:r w:rsidRPr="00CD4311">
        <w:rPr>
          <w:rFonts w:ascii="Times New Roman" w:hAnsi="Times New Roman" w:cs="Arial"/>
          <w:iCs/>
          <w:lang w:val="de-DE"/>
        </w:rPr>
        <w:t>tikai</w:t>
      </w:r>
      <w:proofErr w:type="spellEnd"/>
      <w:r w:rsidRPr="00CD4311">
        <w:rPr>
          <w:rFonts w:ascii="Times New Roman" w:hAnsi="Times New Roman" w:cs="Arial"/>
          <w:iCs/>
          <w:lang w:val="de-DE"/>
        </w:rPr>
        <w:t xml:space="preserve"> </w:t>
      </w:r>
      <w:proofErr w:type="spellStart"/>
      <w:r w:rsidRPr="00CD4311">
        <w:rPr>
          <w:rFonts w:ascii="Times New Roman" w:hAnsi="Times New Roman" w:cs="Arial"/>
          <w:iCs/>
          <w:lang w:val="de-DE"/>
        </w:rPr>
        <w:t>pēc</w:t>
      </w:r>
      <w:proofErr w:type="spellEnd"/>
      <w:r w:rsidRPr="00CD4311">
        <w:rPr>
          <w:rFonts w:ascii="Times New Roman" w:hAnsi="Times New Roman" w:cs="Arial"/>
          <w:iCs/>
          <w:lang w:val="de-DE"/>
        </w:rPr>
        <w:t xml:space="preserve"> </w:t>
      </w:r>
      <w:proofErr w:type="spellStart"/>
      <w:r w:rsidRPr="00CD4311">
        <w:rPr>
          <w:rFonts w:ascii="Times New Roman" w:hAnsi="Times New Roman" w:cs="Arial"/>
          <w:iCs/>
          <w:lang w:val="de-DE"/>
        </w:rPr>
        <w:t>viņam</w:t>
      </w:r>
      <w:proofErr w:type="spellEnd"/>
      <w:r w:rsidRPr="00CD4311">
        <w:rPr>
          <w:rFonts w:ascii="Times New Roman" w:hAnsi="Times New Roman" w:cs="Arial"/>
          <w:iCs/>
          <w:lang w:val="de-DE"/>
        </w:rPr>
        <w:t xml:space="preserve"> </w:t>
      </w:r>
      <w:proofErr w:type="spellStart"/>
      <w:r w:rsidRPr="00CD4311">
        <w:rPr>
          <w:rFonts w:ascii="Times New Roman" w:hAnsi="Times New Roman" w:cs="Arial"/>
          <w:iCs/>
          <w:lang w:val="de-DE"/>
        </w:rPr>
        <w:t>iesniegtajiem</w:t>
      </w:r>
      <w:proofErr w:type="spellEnd"/>
      <w:r w:rsidRPr="00CD4311">
        <w:rPr>
          <w:rFonts w:ascii="Times New Roman" w:hAnsi="Times New Roman" w:cs="Arial"/>
          <w:iCs/>
          <w:lang w:val="de-DE"/>
        </w:rPr>
        <w:t xml:space="preserve"> </w:t>
      </w:r>
      <w:proofErr w:type="spellStart"/>
      <w:r w:rsidRPr="00CD4311">
        <w:rPr>
          <w:rFonts w:ascii="Times New Roman" w:hAnsi="Times New Roman" w:cs="Arial"/>
          <w:iCs/>
          <w:u w:val="single"/>
          <w:lang w:val="de-DE"/>
        </w:rPr>
        <w:t>publiskiem</w:t>
      </w:r>
      <w:proofErr w:type="spellEnd"/>
      <w:r w:rsidRPr="00CD4311">
        <w:rPr>
          <w:rFonts w:ascii="Times New Roman" w:hAnsi="Times New Roman" w:cs="Arial"/>
          <w:iCs/>
          <w:u w:val="single"/>
          <w:lang w:val="de-DE"/>
        </w:rPr>
        <w:t xml:space="preserve"> </w:t>
      </w:r>
      <w:proofErr w:type="spellStart"/>
      <w:r w:rsidRPr="00CD4311">
        <w:rPr>
          <w:rFonts w:ascii="Times New Roman" w:hAnsi="Times New Roman" w:cs="Arial"/>
          <w:iCs/>
          <w:u w:val="single"/>
          <w:lang w:val="de-DE"/>
        </w:rPr>
        <w:t>dokumentiem</w:t>
      </w:r>
      <w:proofErr w:type="spellEnd"/>
      <w:r w:rsidRPr="00CD4311">
        <w:rPr>
          <w:rFonts w:ascii="Times New Roman" w:hAnsi="Times New Roman" w:cs="Arial"/>
          <w:iCs/>
          <w:u w:val="single"/>
          <w:lang w:val="de-DE"/>
        </w:rPr>
        <w:t>.</w:t>
      </w:r>
      <w:r w:rsidRPr="00CD4311">
        <w:rPr>
          <w:rFonts w:ascii="Times New Roman" w:hAnsi="Times New Roman" w:cs="Arial"/>
          <w:iCs/>
          <w:lang w:val="de-DE"/>
        </w:rPr>
        <w:t xml:space="preserve">  </w:t>
      </w:r>
      <w:proofErr w:type="spellStart"/>
      <w:r w:rsidRPr="00CD4311">
        <w:rPr>
          <w:rFonts w:ascii="Times New Roman" w:hAnsi="Times New Roman" w:cs="Arial"/>
          <w:iCs/>
          <w:lang w:val="de-DE"/>
        </w:rPr>
        <w:t>Kā</w:t>
      </w:r>
      <w:proofErr w:type="spellEnd"/>
      <w:r w:rsidRPr="00CD4311">
        <w:rPr>
          <w:rFonts w:ascii="Times New Roman" w:hAnsi="Times New Roman" w:cs="Arial"/>
          <w:iCs/>
          <w:lang w:val="de-DE"/>
        </w:rPr>
        <w:t xml:space="preserve"> </w:t>
      </w:r>
      <w:proofErr w:type="spellStart"/>
      <w:r w:rsidRPr="00CD4311">
        <w:rPr>
          <w:rFonts w:ascii="Times New Roman" w:hAnsi="Times New Roman" w:cs="Arial"/>
          <w:iCs/>
          <w:lang w:val="de-DE"/>
        </w:rPr>
        <w:t>iepriekš</w:t>
      </w:r>
      <w:proofErr w:type="spellEnd"/>
      <w:r w:rsidRPr="00CD4311">
        <w:rPr>
          <w:rFonts w:ascii="Times New Roman" w:hAnsi="Times New Roman" w:cs="Arial"/>
          <w:iCs/>
          <w:lang w:val="de-DE"/>
        </w:rPr>
        <w:t xml:space="preserve"> </w:t>
      </w:r>
      <w:proofErr w:type="spellStart"/>
      <w:r w:rsidRPr="00CD4311">
        <w:rPr>
          <w:rFonts w:ascii="Times New Roman" w:hAnsi="Times New Roman" w:cs="Arial"/>
          <w:iCs/>
          <w:lang w:val="de-DE"/>
        </w:rPr>
        <w:t>jau</w:t>
      </w:r>
      <w:proofErr w:type="spellEnd"/>
      <w:r w:rsidRPr="00CD4311">
        <w:rPr>
          <w:rFonts w:ascii="Times New Roman" w:hAnsi="Times New Roman" w:cs="Arial"/>
          <w:iCs/>
          <w:lang w:val="de-DE"/>
        </w:rPr>
        <w:t xml:space="preserve"> </w:t>
      </w:r>
      <w:proofErr w:type="spellStart"/>
      <w:r w:rsidRPr="00CD4311">
        <w:rPr>
          <w:rFonts w:ascii="Times New Roman" w:hAnsi="Times New Roman" w:cs="Arial"/>
          <w:iCs/>
          <w:lang w:val="de-DE"/>
        </w:rPr>
        <w:t>ticis</w:t>
      </w:r>
      <w:proofErr w:type="spellEnd"/>
      <w:r w:rsidRPr="00CD4311">
        <w:rPr>
          <w:rFonts w:ascii="Times New Roman" w:hAnsi="Times New Roman" w:cs="Arial"/>
          <w:iCs/>
          <w:lang w:val="de-DE"/>
        </w:rPr>
        <w:t xml:space="preserve"> </w:t>
      </w:r>
      <w:proofErr w:type="spellStart"/>
      <w:r w:rsidRPr="00CD4311">
        <w:rPr>
          <w:rFonts w:ascii="Times New Roman" w:hAnsi="Times New Roman" w:cs="Arial"/>
          <w:iCs/>
          <w:lang w:val="de-DE"/>
        </w:rPr>
        <w:t>norādīts</w:t>
      </w:r>
      <w:proofErr w:type="spellEnd"/>
      <w:r w:rsidRPr="00CD4311">
        <w:rPr>
          <w:rFonts w:ascii="Times New Roman" w:hAnsi="Times New Roman" w:cs="Arial"/>
          <w:iCs/>
          <w:lang w:val="de-DE"/>
        </w:rPr>
        <w:t xml:space="preserve">, </w:t>
      </w:r>
      <w:proofErr w:type="spellStart"/>
      <w:r w:rsidRPr="00CD4311">
        <w:rPr>
          <w:rFonts w:ascii="Times New Roman" w:hAnsi="Times New Roman" w:cs="Arial"/>
          <w:iCs/>
          <w:lang w:val="de-DE"/>
        </w:rPr>
        <w:t>jēdziens</w:t>
      </w:r>
      <w:proofErr w:type="spellEnd"/>
      <w:r w:rsidRPr="00CD4311">
        <w:rPr>
          <w:rFonts w:ascii="Times New Roman" w:hAnsi="Times New Roman" w:cs="Arial"/>
          <w:iCs/>
          <w:lang w:val="de-DE"/>
        </w:rPr>
        <w:t xml:space="preserve"> „</w:t>
      </w:r>
      <w:proofErr w:type="spellStart"/>
      <w:r w:rsidRPr="00CD4311">
        <w:rPr>
          <w:rFonts w:ascii="Times New Roman" w:hAnsi="Times New Roman" w:cs="Arial"/>
          <w:iCs/>
          <w:lang w:val="de-DE"/>
        </w:rPr>
        <w:t>publisks</w:t>
      </w:r>
      <w:proofErr w:type="spellEnd"/>
      <w:r w:rsidRPr="00CD4311">
        <w:rPr>
          <w:rFonts w:ascii="Times New Roman" w:hAnsi="Times New Roman" w:cs="Arial"/>
          <w:iCs/>
          <w:lang w:val="de-DE"/>
        </w:rPr>
        <w:t xml:space="preserve"> </w:t>
      </w:r>
      <w:proofErr w:type="spellStart"/>
      <w:r w:rsidRPr="00CD4311">
        <w:rPr>
          <w:rFonts w:ascii="Times New Roman" w:hAnsi="Times New Roman" w:cs="Arial"/>
          <w:iCs/>
          <w:lang w:val="de-DE"/>
        </w:rPr>
        <w:t>dokuments</w:t>
      </w:r>
      <w:proofErr w:type="spellEnd"/>
      <w:r w:rsidRPr="00CD4311">
        <w:rPr>
          <w:rFonts w:ascii="Times New Roman" w:hAnsi="Times New Roman" w:cs="Arial"/>
          <w:iCs/>
          <w:lang w:val="de-DE"/>
        </w:rPr>
        <w:t xml:space="preserve">“ </w:t>
      </w:r>
      <w:proofErr w:type="spellStart"/>
      <w:r w:rsidRPr="00CD4311">
        <w:rPr>
          <w:rFonts w:ascii="Times New Roman" w:hAnsi="Times New Roman" w:cs="Arial"/>
          <w:iCs/>
          <w:lang w:val="de-DE"/>
        </w:rPr>
        <w:t>notāru</w:t>
      </w:r>
      <w:proofErr w:type="spellEnd"/>
      <w:r w:rsidRPr="00CD4311">
        <w:rPr>
          <w:rFonts w:ascii="Times New Roman" w:hAnsi="Times New Roman" w:cs="Arial"/>
          <w:iCs/>
          <w:lang w:val="de-DE"/>
        </w:rPr>
        <w:t xml:space="preserve"> </w:t>
      </w:r>
      <w:proofErr w:type="spellStart"/>
      <w:r w:rsidRPr="00CD4311">
        <w:rPr>
          <w:rFonts w:ascii="Times New Roman" w:hAnsi="Times New Roman" w:cs="Arial"/>
          <w:iCs/>
          <w:lang w:val="de-DE"/>
        </w:rPr>
        <w:t>procesos</w:t>
      </w:r>
      <w:proofErr w:type="spellEnd"/>
      <w:r w:rsidRPr="00CD4311">
        <w:rPr>
          <w:rFonts w:ascii="Times New Roman" w:hAnsi="Times New Roman" w:cs="Arial"/>
          <w:iCs/>
          <w:lang w:val="de-DE"/>
        </w:rPr>
        <w:t xml:space="preserve"> </w:t>
      </w:r>
      <w:proofErr w:type="spellStart"/>
      <w:r w:rsidRPr="00CD4311">
        <w:rPr>
          <w:rFonts w:ascii="Times New Roman" w:hAnsi="Times New Roman" w:cs="Arial"/>
          <w:iCs/>
          <w:lang w:val="de-DE"/>
        </w:rPr>
        <w:t>ir</w:t>
      </w:r>
      <w:proofErr w:type="spellEnd"/>
      <w:r w:rsidRPr="00CD4311">
        <w:rPr>
          <w:rFonts w:ascii="Times New Roman" w:hAnsi="Times New Roman" w:cs="Arial"/>
          <w:iCs/>
          <w:lang w:val="de-DE"/>
        </w:rPr>
        <w:t xml:space="preserve"> </w:t>
      </w:r>
      <w:proofErr w:type="spellStart"/>
      <w:r w:rsidRPr="00CD4311">
        <w:rPr>
          <w:rFonts w:ascii="Times New Roman" w:hAnsi="Times New Roman" w:cs="Arial"/>
          <w:iCs/>
          <w:lang w:val="de-DE"/>
        </w:rPr>
        <w:t>interpretējams</w:t>
      </w:r>
      <w:proofErr w:type="spellEnd"/>
      <w:r w:rsidRPr="00CD4311">
        <w:rPr>
          <w:rFonts w:ascii="Times New Roman" w:hAnsi="Times New Roman" w:cs="Arial"/>
          <w:iCs/>
          <w:lang w:val="de-DE"/>
        </w:rPr>
        <w:t xml:space="preserve"> </w:t>
      </w:r>
      <w:proofErr w:type="spellStart"/>
      <w:r w:rsidRPr="00CD4311">
        <w:rPr>
          <w:rFonts w:ascii="Times New Roman" w:hAnsi="Times New Roman" w:cs="Arial"/>
          <w:iCs/>
          <w:lang w:val="de-DE"/>
        </w:rPr>
        <w:t>Notariāta</w:t>
      </w:r>
      <w:proofErr w:type="spellEnd"/>
      <w:r w:rsidRPr="00CD4311">
        <w:rPr>
          <w:rFonts w:ascii="Times New Roman" w:hAnsi="Times New Roman" w:cs="Arial"/>
          <w:iCs/>
          <w:lang w:val="de-DE"/>
        </w:rPr>
        <w:t xml:space="preserve"> </w:t>
      </w:r>
      <w:proofErr w:type="spellStart"/>
      <w:r w:rsidRPr="00CD4311">
        <w:rPr>
          <w:rFonts w:ascii="Times New Roman" w:hAnsi="Times New Roman" w:cs="Arial"/>
          <w:iCs/>
          <w:lang w:val="de-DE"/>
        </w:rPr>
        <w:t>likuma</w:t>
      </w:r>
      <w:proofErr w:type="spellEnd"/>
      <w:r w:rsidRPr="00CD4311">
        <w:rPr>
          <w:rFonts w:ascii="Times New Roman" w:hAnsi="Times New Roman" w:cs="Arial"/>
          <w:iCs/>
          <w:lang w:val="de-DE"/>
        </w:rPr>
        <w:t xml:space="preserve"> </w:t>
      </w:r>
      <w:proofErr w:type="spellStart"/>
      <w:r w:rsidRPr="00CD4311">
        <w:rPr>
          <w:rFonts w:ascii="Times New Roman" w:hAnsi="Times New Roman" w:cs="Arial"/>
          <w:iCs/>
          <w:lang w:val="de-DE"/>
        </w:rPr>
        <w:t>gaismā</w:t>
      </w:r>
      <w:proofErr w:type="spellEnd"/>
      <w:r w:rsidRPr="00CD4311">
        <w:rPr>
          <w:rFonts w:ascii="Times New Roman" w:hAnsi="Times New Roman" w:cs="Arial"/>
          <w:iCs/>
          <w:lang w:val="de-DE"/>
        </w:rPr>
        <w:t xml:space="preserve">. Tas </w:t>
      </w:r>
      <w:proofErr w:type="spellStart"/>
      <w:r w:rsidRPr="00CD4311">
        <w:rPr>
          <w:rFonts w:ascii="Times New Roman" w:hAnsi="Times New Roman" w:cs="Arial"/>
          <w:iCs/>
          <w:lang w:val="de-DE"/>
        </w:rPr>
        <w:t>nozīmē</w:t>
      </w:r>
      <w:proofErr w:type="spellEnd"/>
      <w:r w:rsidRPr="00CD4311">
        <w:rPr>
          <w:rFonts w:ascii="Times New Roman" w:hAnsi="Times New Roman" w:cs="Arial"/>
          <w:iCs/>
          <w:lang w:val="de-DE"/>
        </w:rPr>
        <w:t xml:space="preserve">, </w:t>
      </w:r>
      <w:proofErr w:type="spellStart"/>
      <w:r w:rsidRPr="00CD4311">
        <w:rPr>
          <w:rFonts w:ascii="Times New Roman" w:hAnsi="Times New Roman" w:cs="Arial"/>
          <w:iCs/>
          <w:lang w:val="de-DE"/>
        </w:rPr>
        <w:t>ka</w:t>
      </w:r>
      <w:proofErr w:type="spellEnd"/>
      <w:r w:rsidRPr="00CD4311">
        <w:rPr>
          <w:rFonts w:ascii="Times New Roman" w:hAnsi="Times New Roman" w:cs="Arial"/>
          <w:iCs/>
          <w:lang w:val="de-DE"/>
        </w:rPr>
        <w:t xml:space="preserve"> Latvijas </w:t>
      </w:r>
      <w:proofErr w:type="spellStart"/>
      <w:r w:rsidRPr="00CD4311">
        <w:rPr>
          <w:rFonts w:ascii="Times New Roman" w:hAnsi="Times New Roman" w:cs="Arial"/>
          <w:iCs/>
          <w:lang w:val="de-DE"/>
        </w:rPr>
        <w:t>notāri</w:t>
      </w:r>
      <w:proofErr w:type="spellEnd"/>
      <w:r w:rsidRPr="00CD4311">
        <w:rPr>
          <w:rFonts w:ascii="Times New Roman" w:hAnsi="Times New Roman" w:cs="Arial"/>
          <w:iCs/>
          <w:lang w:val="de-DE"/>
        </w:rPr>
        <w:t xml:space="preserve"> </w:t>
      </w:r>
      <w:proofErr w:type="spellStart"/>
      <w:r w:rsidRPr="00CD4311">
        <w:rPr>
          <w:rFonts w:ascii="Times New Roman" w:hAnsi="Times New Roman" w:cs="Arial"/>
          <w:iCs/>
          <w:lang w:val="de-DE"/>
        </w:rPr>
        <w:t>tomēr</w:t>
      </w:r>
      <w:proofErr w:type="spellEnd"/>
      <w:r w:rsidRPr="00CD4311">
        <w:rPr>
          <w:rFonts w:ascii="Times New Roman" w:hAnsi="Times New Roman" w:cs="Arial"/>
          <w:iCs/>
          <w:lang w:val="de-DE"/>
        </w:rPr>
        <w:t xml:space="preserve"> </w:t>
      </w:r>
      <w:proofErr w:type="spellStart"/>
      <w:r w:rsidRPr="00CD4311">
        <w:rPr>
          <w:rFonts w:ascii="Times New Roman" w:hAnsi="Times New Roman" w:cs="Arial"/>
          <w:iCs/>
          <w:lang w:val="de-DE"/>
        </w:rPr>
        <w:t>nav</w:t>
      </w:r>
      <w:proofErr w:type="spellEnd"/>
      <w:r w:rsidRPr="00CD4311">
        <w:rPr>
          <w:rFonts w:ascii="Times New Roman" w:hAnsi="Times New Roman" w:cs="Arial"/>
          <w:iCs/>
          <w:lang w:val="de-DE"/>
        </w:rPr>
        <w:t xml:space="preserve"> </w:t>
      </w:r>
      <w:proofErr w:type="spellStart"/>
      <w:r w:rsidRPr="00CD4311">
        <w:rPr>
          <w:rFonts w:ascii="Times New Roman" w:hAnsi="Times New Roman" w:cs="Arial"/>
          <w:iCs/>
          <w:lang w:val="de-DE"/>
        </w:rPr>
        <w:t>tiesīgi</w:t>
      </w:r>
      <w:proofErr w:type="spellEnd"/>
      <w:r w:rsidRPr="00CD4311">
        <w:rPr>
          <w:rFonts w:ascii="Times New Roman" w:hAnsi="Times New Roman" w:cs="Arial"/>
          <w:iCs/>
          <w:lang w:val="de-DE"/>
        </w:rPr>
        <w:t xml:space="preserve"> </w:t>
      </w:r>
      <w:proofErr w:type="spellStart"/>
      <w:r w:rsidRPr="00CD4311">
        <w:rPr>
          <w:rFonts w:ascii="Times New Roman" w:hAnsi="Times New Roman" w:cs="Arial"/>
          <w:iCs/>
          <w:lang w:val="de-DE"/>
        </w:rPr>
        <w:t>pieņemt</w:t>
      </w:r>
      <w:proofErr w:type="spellEnd"/>
      <w:r w:rsidRPr="00CD4311">
        <w:rPr>
          <w:rFonts w:ascii="Times New Roman" w:hAnsi="Times New Roman" w:cs="Arial"/>
          <w:iCs/>
          <w:lang w:val="de-DE"/>
        </w:rPr>
        <w:t xml:space="preserve"> </w:t>
      </w:r>
      <w:proofErr w:type="spellStart"/>
      <w:r w:rsidRPr="00CD4311">
        <w:rPr>
          <w:rFonts w:ascii="Times New Roman" w:hAnsi="Times New Roman" w:cs="Arial"/>
          <w:iCs/>
          <w:lang w:val="de-DE"/>
        </w:rPr>
        <w:t>jebkuru</w:t>
      </w:r>
      <w:proofErr w:type="spellEnd"/>
      <w:r w:rsidRPr="00CD4311">
        <w:rPr>
          <w:rFonts w:ascii="Times New Roman" w:hAnsi="Times New Roman" w:cs="Arial"/>
          <w:iCs/>
          <w:lang w:val="de-DE"/>
        </w:rPr>
        <w:t xml:space="preserve"> </w:t>
      </w:r>
      <w:proofErr w:type="spellStart"/>
      <w:r w:rsidRPr="00CD4311">
        <w:rPr>
          <w:rFonts w:ascii="Times New Roman" w:hAnsi="Times New Roman" w:cs="Arial"/>
          <w:iCs/>
          <w:lang w:val="de-DE"/>
        </w:rPr>
        <w:t>dokumentu</w:t>
      </w:r>
      <w:proofErr w:type="spellEnd"/>
      <w:r w:rsidRPr="00CD4311">
        <w:rPr>
          <w:rFonts w:ascii="Times New Roman" w:hAnsi="Times New Roman" w:cs="Arial"/>
          <w:iCs/>
          <w:lang w:val="de-DE"/>
        </w:rPr>
        <w:t xml:space="preserve">, </w:t>
      </w:r>
      <w:proofErr w:type="spellStart"/>
      <w:r w:rsidRPr="00CD4311">
        <w:rPr>
          <w:rFonts w:ascii="Times New Roman" w:hAnsi="Times New Roman" w:cs="Arial"/>
          <w:iCs/>
          <w:lang w:val="de-DE"/>
        </w:rPr>
        <w:t>kuru</w:t>
      </w:r>
      <w:proofErr w:type="spellEnd"/>
      <w:r w:rsidRPr="00CD4311">
        <w:rPr>
          <w:rFonts w:ascii="Times New Roman" w:hAnsi="Times New Roman" w:cs="Arial"/>
          <w:iCs/>
          <w:lang w:val="de-DE"/>
        </w:rPr>
        <w:t xml:space="preserve"> </w:t>
      </w:r>
      <w:proofErr w:type="spellStart"/>
      <w:r w:rsidRPr="00CD4311">
        <w:rPr>
          <w:rFonts w:ascii="Times New Roman" w:hAnsi="Times New Roman" w:cs="Arial"/>
          <w:iCs/>
          <w:lang w:val="de-DE"/>
        </w:rPr>
        <w:t>sastādījis</w:t>
      </w:r>
      <w:proofErr w:type="spellEnd"/>
      <w:r w:rsidRPr="00CD4311">
        <w:rPr>
          <w:rFonts w:ascii="Times New Roman" w:hAnsi="Times New Roman" w:cs="Arial"/>
          <w:iCs/>
          <w:lang w:val="de-DE"/>
        </w:rPr>
        <w:t xml:space="preserve"> </w:t>
      </w:r>
      <w:proofErr w:type="spellStart"/>
      <w:r w:rsidRPr="00CD4311">
        <w:rPr>
          <w:rFonts w:ascii="Times New Roman" w:hAnsi="Times New Roman" w:cs="Arial"/>
          <w:iCs/>
          <w:lang w:val="de-DE"/>
        </w:rPr>
        <w:t>ārvalsts</w:t>
      </w:r>
      <w:proofErr w:type="spellEnd"/>
      <w:r w:rsidRPr="00CD4311">
        <w:rPr>
          <w:rFonts w:ascii="Times New Roman" w:hAnsi="Times New Roman" w:cs="Arial"/>
          <w:iCs/>
          <w:lang w:val="de-DE"/>
        </w:rPr>
        <w:t xml:space="preserve"> </w:t>
      </w:r>
      <w:proofErr w:type="spellStart"/>
      <w:r w:rsidRPr="00CD4311">
        <w:rPr>
          <w:rFonts w:ascii="Times New Roman" w:hAnsi="Times New Roman" w:cs="Arial"/>
          <w:iCs/>
          <w:lang w:val="de-DE"/>
        </w:rPr>
        <w:t>notārs</w:t>
      </w:r>
      <w:proofErr w:type="spellEnd"/>
      <w:r w:rsidRPr="00CD4311">
        <w:rPr>
          <w:rFonts w:ascii="Times New Roman" w:hAnsi="Times New Roman" w:cs="Arial"/>
          <w:iCs/>
          <w:lang w:val="de-DE"/>
        </w:rPr>
        <w:t xml:space="preserve"> </w:t>
      </w:r>
      <w:proofErr w:type="spellStart"/>
      <w:r w:rsidRPr="00CD4311">
        <w:rPr>
          <w:rFonts w:ascii="Times New Roman" w:hAnsi="Times New Roman" w:cs="Arial"/>
          <w:iCs/>
          <w:lang w:val="de-DE"/>
        </w:rPr>
        <w:t>un</w:t>
      </w:r>
      <w:proofErr w:type="spellEnd"/>
      <w:r w:rsidRPr="00CD4311">
        <w:rPr>
          <w:rFonts w:ascii="Times New Roman" w:hAnsi="Times New Roman" w:cs="Arial"/>
          <w:iCs/>
          <w:lang w:val="de-DE"/>
        </w:rPr>
        <w:t xml:space="preserve"> </w:t>
      </w:r>
      <w:proofErr w:type="spellStart"/>
      <w:r w:rsidRPr="00CD4311">
        <w:rPr>
          <w:rFonts w:ascii="Times New Roman" w:hAnsi="Times New Roman" w:cs="Arial"/>
          <w:iCs/>
          <w:lang w:val="de-DE"/>
        </w:rPr>
        <w:t>kas</w:t>
      </w:r>
      <w:proofErr w:type="spellEnd"/>
      <w:r w:rsidRPr="00CD4311">
        <w:rPr>
          <w:rFonts w:ascii="Times New Roman" w:hAnsi="Times New Roman" w:cs="Arial"/>
          <w:iCs/>
          <w:lang w:val="de-DE"/>
        </w:rPr>
        <w:t xml:space="preserve"> </w:t>
      </w:r>
      <w:proofErr w:type="spellStart"/>
      <w:r w:rsidRPr="00CD4311">
        <w:rPr>
          <w:rFonts w:ascii="Times New Roman" w:hAnsi="Times New Roman" w:cs="Arial"/>
          <w:iCs/>
          <w:lang w:val="de-DE"/>
        </w:rPr>
        <w:t>ir</w:t>
      </w:r>
      <w:proofErr w:type="spellEnd"/>
      <w:r w:rsidRPr="00CD4311">
        <w:rPr>
          <w:rFonts w:ascii="Times New Roman" w:hAnsi="Times New Roman" w:cs="Arial"/>
          <w:iCs/>
          <w:lang w:val="de-DE"/>
        </w:rPr>
        <w:t xml:space="preserve"> </w:t>
      </w:r>
      <w:proofErr w:type="spellStart"/>
      <w:r w:rsidRPr="00CD4311">
        <w:rPr>
          <w:rFonts w:ascii="Times New Roman" w:hAnsi="Times New Roman" w:cs="Arial"/>
          <w:iCs/>
          <w:lang w:val="de-DE"/>
        </w:rPr>
        <w:t>ticis</w:t>
      </w:r>
      <w:proofErr w:type="spellEnd"/>
      <w:r w:rsidRPr="00CD4311">
        <w:rPr>
          <w:rFonts w:ascii="Times New Roman" w:hAnsi="Times New Roman" w:cs="Arial"/>
          <w:iCs/>
          <w:lang w:val="de-DE"/>
        </w:rPr>
        <w:t xml:space="preserve"> </w:t>
      </w:r>
      <w:proofErr w:type="spellStart"/>
      <w:r w:rsidRPr="00CD4311">
        <w:rPr>
          <w:rFonts w:ascii="Times New Roman" w:hAnsi="Times New Roman" w:cs="Arial"/>
          <w:iCs/>
          <w:lang w:val="de-DE"/>
        </w:rPr>
        <w:t>legalizēts</w:t>
      </w:r>
      <w:proofErr w:type="spellEnd"/>
      <w:r w:rsidRPr="00CD4311">
        <w:rPr>
          <w:rFonts w:ascii="Times New Roman" w:hAnsi="Times New Roman" w:cs="Arial"/>
          <w:iCs/>
          <w:lang w:val="de-DE"/>
        </w:rPr>
        <w:t xml:space="preserve">. </w:t>
      </w:r>
      <w:proofErr w:type="spellStart"/>
      <w:r w:rsidRPr="00CD4311">
        <w:rPr>
          <w:rFonts w:ascii="Times New Roman" w:hAnsi="Times New Roman" w:cs="Arial"/>
          <w:iCs/>
          <w:lang w:val="de-DE"/>
        </w:rPr>
        <w:t>Notāru</w:t>
      </w:r>
      <w:proofErr w:type="spellEnd"/>
      <w:r w:rsidRPr="00CD4311">
        <w:rPr>
          <w:rFonts w:ascii="Times New Roman" w:hAnsi="Times New Roman" w:cs="Arial"/>
          <w:iCs/>
          <w:lang w:val="de-DE"/>
        </w:rPr>
        <w:t xml:space="preserve"> </w:t>
      </w:r>
      <w:proofErr w:type="spellStart"/>
      <w:r w:rsidRPr="00CD4311">
        <w:rPr>
          <w:rFonts w:ascii="Times New Roman" w:hAnsi="Times New Roman" w:cs="Arial"/>
          <w:iCs/>
          <w:lang w:val="de-DE"/>
        </w:rPr>
        <w:t>process</w:t>
      </w:r>
      <w:proofErr w:type="spellEnd"/>
      <w:r w:rsidRPr="00CD4311">
        <w:rPr>
          <w:rFonts w:ascii="Times New Roman" w:hAnsi="Times New Roman" w:cs="Arial"/>
          <w:iCs/>
          <w:lang w:val="de-DE"/>
        </w:rPr>
        <w:t xml:space="preserve"> </w:t>
      </w:r>
      <w:proofErr w:type="spellStart"/>
      <w:r w:rsidRPr="00CD4311">
        <w:rPr>
          <w:rFonts w:ascii="Times New Roman" w:hAnsi="Times New Roman" w:cs="Arial"/>
          <w:iCs/>
          <w:lang w:val="de-DE"/>
        </w:rPr>
        <w:t>ir</w:t>
      </w:r>
      <w:proofErr w:type="spellEnd"/>
      <w:r w:rsidRPr="00CD4311">
        <w:rPr>
          <w:rFonts w:ascii="Times New Roman" w:hAnsi="Times New Roman" w:cs="Arial"/>
          <w:iCs/>
          <w:lang w:val="de-DE"/>
        </w:rPr>
        <w:t xml:space="preserve"> </w:t>
      </w:r>
      <w:proofErr w:type="spellStart"/>
      <w:r w:rsidRPr="00CD4311">
        <w:rPr>
          <w:rFonts w:ascii="Times New Roman" w:hAnsi="Times New Roman" w:cs="Arial"/>
          <w:iCs/>
          <w:lang w:val="de-DE"/>
        </w:rPr>
        <w:t>īpašs</w:t>
      </w:r>
      <w:proofErr w:type="spellEnd"/>
      <w:r w:rsidRPr="00CD4311">
        <w:rPr>
          <w:rFonts w:ascii="Times New Roman" w:hAnsi="Times New Roman" w:cs="Arial"/>
          <w:iCs/>
          <w:lang w:val="de-DE"/>
        </w:rPr>
        <w:t xml:space="preserve"> </w:t>
      </w:r>
      <w:proofErr w:type="spellStart"/>
      <w:r w:rsidRPr="00CD4311">
        <w:rPr>
          <w:rFonts w:ascii="Times New Roman" w:hAnsi="Times New Roman" w:cs="Arial"/>
          <w:iCs/>
          <w:lang w:val="de-DE"/>
        </w:rPr>
        <w:t>process</w:t>
      </w:r>
      <w:proofErr w:type="spellEnd"/>
      <w:r w:rsidRPr="00CD4311">
        <w:rPr>
          <w:rFonts w:ascii="Times New Roman" w:hAnsi="Times New Roman" w:cs="Arial"/>
          <w:iCs/>
          <w:lang w:val="de-DE"/>
        </w:rPr>
        <w:t xml:space="preserve">, </w:t>
      </w:r>
      <w:proofErr w:type="spellStart"/>
      <w:r w:rsidRPr="00CD4311">
        <w:rPr>
          <w:rFonts w:ascii="Times New Roman" w:hAnsi="Times New Roman" w:cs="Arial"/>
          <w:iCs/>
          <w:lang w:val="de-DE"/>
        </w:rPr>
        <w:t>kura</w:t>
      </w:r>
      <w:proofErr w:type="spellEnd"/>
      <w:r w:rsidRPr="00CD4311">
        <w:rPr>
          <w:rFonts w:ascii="Times New Roman" w:hAnsi="Times New Roman" w:cs="Arial"/>
          <w:iCs/>
          <w:lang w:val="de-DE"/>
        </w:rPr>
        <w:t xml:space="preserve"> </w:t>
      </w:r>
      <w:proofErr w:type="spellStart"/>
      <w:r w:rsidRPr="00CD4311">
        <w:rPr>
          <w:rFonts w:ascii="Times New Roman" w:hAnsi="Times New Roman" w:cs="Arial"/>
          <w:iCs/>
          <w:lang w:val="de-DE"/>
        </w:rPr>
        <w:t>norisi</w:t>
      </w:r>
      <w:proofErr w:type="spellEnd"/>
      <w:r w:rsidRPr="00CD4311">
        <w:rPr>
          <w:rFonts w:ascii="Times New Roman" w:hAnsi="Times New Roman" w:cs="Arial"/>
          <w:iCs/>
          <w:lang w:val="de-DE"/>
        </w:rPr>
        <w:t xml:space="preserve"> </w:t>
      </w:r>
      <w:proofErr w:type="spellStart"/>
      <w:r w:rsidRPr="00CD4311">
        <w:rPr>
          <w:rFonts w:ascii="Times New Roman" w:hAnsi="Times New Roman" w:cs="Arial"/>
          <w:iCs/>
          <w:lang w:val="de-DE"/>
        </w:rPr>
        <w:t>nosaka</w:t>
      </w:r>
      <w:proofErr w:type="spellEnd"/>
      <w:r w:rsidRPr="00CD4311">
        <w:rPr>
          <w:rFonts w:ascii="Times New Roman" w:hAnsi="Times New Roman" w:cs="Arial"/>
          <w:iCs/>
          <w:lang w:val="de-DE"/>
        </w:rPr>
        <w:t xml:space="preserve"> </w:t>
      </w:r>
      <w:proofErr w:type="spellStart"/>
      <w:r w:rsidRPr="00CD4311">
        <w:rPr>
          <w:rFonts w:ascii="Times New Roman" w:hAnsi="Times New Roman" w:cs="Arial"/>
          <w:iCs/>
          <w:lang w:val="de-DE"/>
        </w:rPr>
        <w:t>Notariāta</w:t>
      </w:r>
      <w:proofErr w:type="spellEnd"/>
      <w:r w:rsidRPr="00CD4311">
        <w:rPr>
          <w:rFonts w:ascii="Times New Roman" w:hAnsi="Times New Roman" w:cs="Arial"/>
          <w:iCs/>
          <w:lang w:val="de-DE"/>
        </w:rPr>
        <w:t xml:space="preserve"> </w:t>
      </w:r>
      <w:proofErr w:type="spellStart"/>
      <w:r w:rsidRPr="00CD4311">
        <w:rPr>
          <w:rFonts w:ascii="Times New Roman" w:hAnsi="Times New Roman" w:cs="Arial"/>
          <w:iCs/>
          <w:lang w:val="de-DE"/>
        </w:rPr>
        <w:t>likums</w:t>
      </w:r>
      <w:proofErr w:type="spellEnd"/>
      <w:r w:rsidRPr="00CD4311">
        <w:rPr>
          <w:rFonts w:ascii="Times New Roman" w:hAnsi="Times New Roman" w:cs="Arial"/>
          <w:iCs/>
          <w:lang w:val="de-DE"/>
        </w:rPr>
        <w:t xml:space="preserve"> (</w:t>
      </w:r>
      <w:proofErr w:type="spellStart"/>
      <w:r w:rsidRPr="00CD4311">
        <w:rPr>
          <w:rFonts w:ascii="Times New Roman" w:hAnsi="Times New Roman" w:cs="Arial"/>
          <w:iCs/>
          <w:lang w:val="de-DE"/>
        </w:rPr>
        <w:t>un</w:t>
      </w:r>
      <w:proofErr w:type="spellEnd"/>
      <w:r w:rsidRPr="00CD4311">
        <w:rPr>
          <w:rFonts w:ascii="Times New Roman" w:hAnsi="Times New Roman" w:cs="Arial"/>
          <w:iCs/>
          <w:lang w:val="de-DE"/>
        </w:rPr>
        <w:t xml:space="preserve"> </w:t>
      </w:r>
      <w:proofErr w:type="spellStart"/>
      <w:r w:rsidRPr="00CD4311">
        <w:rPr>
          <w:rFonts w:ascii="Times New Roman" w:hAnsi="Times New Roman" w:cs="Arial"/>
          <w:iCs/>
          <w:lang w:val="de-DE"/>
        </w:rPr>
        <w:t>nevis</w:t>
      </w:r>
      <w:proofErr w:type="spellEnd"/>
      <w:r w:rsidRPr="00CD4311">
        <w:rPr>
          <w:rFonts w:ascii="Times New Roman" w:hAnsi="Times New Roman" w:cs="Arial"/>
          <w:iCs/>
          <w:lang w:val="de-DE"/>
        </w:rPr>
        <w:t xml:space="preserve"> </w:t>
      </w:r>
      <w:proofErr w:type="spellStart"/>
      <w:r w:rsidRPr="00CD4311">
        <w:rPr>
          <w:rFonts w:ascii="Times New Roman" w:hAnsi="Times New Roman" w:cs="Arial"/>
          <w:iCs/>
          <w:lang w:val="de-DE"/>
        </w:rPr>
        <w:t>Dokumentu</w:t>
      </w:r>
      <w:proofErr w:type="spellEnd"/>
      <w:r w:rsidRPr="00CD4311">
        <w:rPr>
          <w:rFonts w:ascii="Times New Roman" w:hAnsi="Times New Roman" w:cs="Arial"/>
          <w:iCs/>
          <w:lang w:val="de-DE"/>
        </w:rPr>
        <w:t xml:space="preserve"> </w:t>
      </w:r>
      <w:proofErr w:type="spellStart"/>
      <w:r w:rsidRPr="00CD4311">
        <w:rPr>
          <w:rFonts w:ascii="Times New Roman" w:hAnsi="Times New Roman" w:cs="Arial"/>
          <w:iCs/>
          <w:lang w:val="de-DE"/>
        </w:rPr>
        <w:t>legalizācijas</w:t>
      </w:r>
      <w:proofErr w:type="spellEnd"/>
      <w:r w:rsidRPr="00CD4311">
        <w:rPr>
          <w:rFonts w:ascii="Times New Roman" w:hAnsi="Times New Roman" w:cs="Arial"/>
          <w:iCs/>
          <w:lang w:val="de-DE"/>
        </w:rPr>
        <w:t xml:space="preserve"> </w:t>
      </w:r>
      <w:proofErr w:type="spellStart"/>
      <w:r w:rsidRPr="00CD4311">
        <w:rPr>
          <w:rFonts w:ascii="Times New Roman" w:hAnsi="Times New Roman" w:cs="Arial"/>
          <w:iCs/>
          <w:lang w:val="de-DE"/>
        </w:rPr>
        <w:t>likums</w:t>
      </w:r>
      <w:proofErr w:type="spellEnd"/>
      <w:r w:rsidRPr="00CD4311">
        <w:rPr>
          <w:rFonts w:ascii="Times New Roman" w:hAnsi="Times New Roman" w:cs="Arial"/>
          <w:iCs/>
          <w:lang w:val="de-DE"/>
        </w:rPr>
        <w:t xml:space="preserve">). </w:t>
      </w:r>
      <w:proofErr w:type="spellStart"/>
      <w:r w:rsidRPr="00CD4311">
        <w:rPr>
          <w:rFonts w:ascii="Times New Roman" w:hAnsi="Times New Roman" w:cs="Arial"/>
          <w:iCs/>
          <w:lang w:val="de-DE"/>
        </w:rPr>
        <w:t>Līdzīgi</w:t>
      </w:r>
      <w:proofErr w:type="spellEnd"/>
      <w:r w:rsidRPr="00CD4311">
        <w:rPr>
          <w:rFonts w:ascii="Times New Roman" w:hAnsi="Times New Roman" w:cs="Arial"/>
          <w:iCs/>
          <w:lang w:val="de-DE"/>
        </w:rPr>
        <w:t xml:space="preserve"> </w:t>
      </w:r>
      <w:proofErr w:type="spellStart"/>
      <w:r w:rsidRPr="00CD4311">
        <w:rPr>
          <w:rFonts w:ascii="Times New Roman" w:hAnsi="Times New Roman" w:cs="Arial"/>
          <w:iCs/>
          <w:lang w:val="de-DE"/>
        </w:rPr>
        <w:t>kā</w:t>
      </w:r>
      <w:proofErr w:type="spellEnd"/>
      <w:r w:rsidRPr="00CD4311">
        <w:rPr>
          <w:rFonts w:ascii="Times New Roman" w:hAnsi="Times New Roman" w:cs="Arial"/>
          <w:iCs/>
          <w:lang w:val="de-DE"/>
        </w:rPr>
        <w:t xml:space="preserve"> </w:t>
      </w:r>
      <w:proofErr w:type="spellStart"/>
      <w:r w:rsidRPr="00CD4311">
        <w:rPr>
          <w:rFonts w:ascii="Times New Roman" w:hAnsi="Times New Roman" w:cs="Arial"/>
          <w:iCs/>
          <w:lang w:val="de-DE"/>
        </w:rPr>
        <w:t>civillietu</w:t>
      </w:r>
      <w:proofErr w:type="spellEnd"/>
      <w:r w:rsidRPr="00CD4311">
        <w:rPr>
          <w:rFonts w:ascii="Times New Roman" w:hAnsi="Times New Roman" w:cs="Arial"/>
          <w:iCs/>
          <w:lang w:val="de-DE"/>
        </w:rPr>
        <w:t xml:space="preserve"> </w:t>
      </w:r>
      <w:proofErr w:type="spellStart"/>
      <w:r w:rsidRPr="00CD4311">
        <w:rPr>
          <w:rFonts w:ascii="Times New Roman" w:hAnsi="Times New Roman" w:cs="Arial"/>
          <w:iCs/>
          <w:lang w:val="de-DE"/>
        </w:rPr>
        <w:t>izskatīšanas</w:t>
      </w:r>
      <w:proofErr w:type="spellEnd"/>
      <w:r w:rsidRPr="00CD4311">
        <w:rPr>
          <w:rFonts w:ascii="Times New Roman" w:hAnsi="Times New Roman" w:cs="Arial"/>
          <w:iCs/>
          <w:lang w:val="de-DE"/>
        </w:rPr>
        <w:t xml:space="preserve"> </w:t>
      </w:r>
      <w:proofErr w:type="spellStart"/>
      <w:r w:rsidRPr="00CD4311">
        <w:rPr>
          <w:rFonts w:ascii="Times New Roman" w:hAnsi="Times New Roman" w:cs="Arial"/>
          <w:iCs/>
          <w:lang w:val="de-DE"/>
        </w:rPr>
        <w:t>procesuālo</w:t>
      </w:r>
      <w:proofErr w:type="spellEnd"/>
      <w:r w:rsidRPr="00CD4311">
        <w:rPr>
          <w:rFonts w:ascii="Times New Roman" w:hAnsi="Times New Roman" w:cs="Arial"/>
          <w:iCs/>
          <w:lang w:val="de-DE"/>
        </w:rPr>
        <w:t xml:space="preserve"> </w:t>
      </w:r>
      <w:proofErr w:type="spellStart"/>
      <w:r w:rsidRPr="00CD4311">
        <w:rPr>
          <w:rFonts w:ascii="Times New Roman" w:hAnsi="Times New Roman" w:cs="Arial"/>
          <w:iCs/>
          <w:lang w:val="de-DE"/>
        </w:rPr>
        <w:t>kārtību</w:t>
      </w:r>
      <w:proofErr w:type="spellEnd"/>
      <w:r w:rsidRPr="00CD4311">
        <w:rPr>
          <w:rFonts w:ascii="Times New Roman" w:hAnsi="Times New Roman" w:cs="Arial"/>
          <w:iCs/>
          <w:lang w:val="de-DE"/>
        </w:rPr>
        <w:t xml:space="preserve"> </w:t>
      </w:r>
      <w:proofErr w:type="spellStart"/>
      <w:r w:rsidRPr="00CD4311">
        <w:rPr>
          <w:rFonts w:ascii="Times New Roman" w:hAnsi="Times New Roman" w:cs="Arial"/>
          <w:iCs/>
          <w:lang w:val="de-DE"/>
        </w:rPr>
        <w:t>Latvijā</w:t>
      </w:r>
      <w:proofErr w:type="spellEnd"/>
      <w:r w:rsidRPr="00CD4311">
        <w:rPr>
          <w:rFonts w:ascii="Times New Roman" w:hAnsi="Times New Roman" w:cs="Arial"/>
          <w:iCs/>
          <w:lang w:val="de-DE"/>
        </w:rPr>
        <w:t xml:space="preserve"> </w:t>
      </w:r>
      <w:proofErr w:type="spellStart"/>
      <w:r w:rsidRPr="00CD4311">
        <w:rPr>
          <w:rFonts w:ascii="Times New Roman" w:hAnsi="Times New Roman" w:cs="Arial"/>
          <w:iCs/>
          <w:lang w:val="de-DE"/>
        </w:rPr>
        <w:t>nosaka</w:t>
      </w:r>
      <w:proofErr w:type="spellEnd"/>
      <w:r w:rsidRPr="00CD4311">
        <w:rPr>
          <w:rFonts w:ascii="Times New Roman" w:hAnsi="Times New Roman" w:cs="Arial"/>
          <w:iCs/>
          <w:lang w:val="de-DE"/>
        </w:rPr>
        <w:t xml:space="preserve"> </w:t>
      </w:r>
      <w:proofErr w:type="spellStart"/>
      <w:r w:rsidRPr="00CD4311">
        <w:rPr>
          <w:rFonts w:ascii="Times New Roman" w:hAnsi="Times New Roman" w:cs="Arial"/>
          <w:iCs/>
          <w:lang w:val="de-DE"/>
        </w:rPr>
        <w:t>Civilprocesa</w:t>
      </w:r>
      <w:proofErr w:type="spellEnd"/>
      <w:r w:rsidRPr="00CD4311">
        <w:rPr>
          <w:rFonts w:ascii="Times New Roman" w:hAnsi="Times New Roman" w:cs="Arial"/>
          <w:iCs/>
          <w:lang w:val="de-DE"/>
        </w:rPr>
        <w:t xml:space="preserve"> </w:t>
      </w:r>
      <w:proofErr w:type="spellStart"/>
      <w:r w:rsidRPr="00CD4311">
        <w:rPr>
          <w:rFonts w:ascii="Times New Roman" w:hAnsi="Times New Roman" w:cs="Arial"/>
          <w:iCs/>
          <w:lang w:val="de-DE"/>
        </w:rPr>
        <w:t>likums</w:t>
      </w:r>
      <w:proofErr w:type="spellEnd"/>
      <w:r w:rsidRPr="00CD4311">
        <w:rPr>
          <w:rFonts w:ascii="Times New Roman" w:hAnsi="Times New Roman" w:cs="Arial"/>
          <w:iCs/>
          <w:lang w:val="de-DE"/>
        </w:rPr>
        <w:t xml:space="preserve">, </w:t>
      </w:r>
      <w:proofErr w:type="spellStart"/>
      <w:r w:rsidRPr="00CD4311">
        <w:rPr>
          <w:rFonts w:ascii="Times New Roman" w:hAnsi="Times New Roman" w:cs="Arial"/>
          <w:iCs/>
          <w:lang w:val="de-DE"/>
        </w:rPr>
        <w:t>kura</w:t>
      </w:r>
      <w:proofErr w:type="spellEnd"/>
      <w:r w:rsidRPr="00CD4311">
        <w:rPr>
          <w:rFonts w:ascii="Times New Roman" w:hAnsi="Times New Roman" w:cs="Arial"/>
          <w:iCs/>
          <w:lang w:val="de-DE"/>
        </w:rPr>
        <w:t xml:space="preserve"> </w:t>
      </w:r>
      <w:proofErr w:type="spellStart"/>
      <w:r w:rsidRPr="00CD4311">
        <w:rPr>
          <w:rFonts w:ascii="Times New Roman" w:hAnsi="Times New Roman" w:cs="Arial"/>
          <w:iCs/>
          <w:lang w:val="de-DE"/>
        </w:rPr>
        <w:t>ievērošana</w:t>
      </w:r>
      <w:proofErr w:type="spellEnd"/>
      <w:r w:rsidRPr="00CD4311">
        <w:rPr>
          <w:rFonts w:ascii="Times New Roman" w:hAnsi="Times New Roman" w:cs="Arial"/>
          <w:iCs/>
          <w:lang w:val="de-DE"/>
        </w:rPr>
        <w:t xml:space="preserve"> </w:t>
      </w:r>
      <w:proofErr w:type="spellStart"/>
      <w:r w:rsidRPr="00CD4311">
        <w:rPr>
          <w:rFonts w:ascii="Times New Roman" w:hAnsi="Times New Roman" w:cs="Arial"/>
          <w:iCs/>
          <w:lang w:val="de-DE"/>
        </w:rPr>
        <w:t>tiesnešiem</w:t>
      </w:r>
      <w:proofErr w:type="spellEnd"/>
      <w:r w:rsidRPr="00CD4311">
        <w:rPr>
          <w:rFonts w:ascii="Times New Roman" w:hAnsi="Times New Roman" w:cs="Arial"/>
          <w:iCs/>
          <w:lang w:val="de-DE"/>
        </w:rPr>
        <w:t xml:space="preserve"> </w:t>
      </w:r>
      <w:proofErr w:type="spellStart"/>
      <w:r w:rsidRPr="00CD4311">
        <w:rPr>
          <w:rFonts w:ascii="Times New Roman" w:hAnsi="Times New Roman" w:cs="Arial"/>
          <w:iCs/>
          <w:lang w:val="de-DE"/>
        </w:rPr>
        <w:t>un</w:t>
      </w:r>
      <w:proofErr w:type="spellEnd"/>
      <w:r w:rsidRPr="00CD4311">
        <w:rPr>
          <w:rFonts w:ascii="Times New Roman" w:hAnsi="Times New Roman" w:cs="Arial"/>
          <w:iCs/>
          <w:lang w:val="de-DE"/>
        </w:rPr>
        <w:t xml:space="preserve"> </w:t>
      </w:r>
      <w:proofErr w:type="spellStart"/>
      <w:r w:rsidRPr="00CD4311">
        <w:rPr>
          <w:rFonts w:ascii="Times New Roman" w:hAnsi="Times New Roman" w:cs="Arial"/>
          <w:iCs/>
          <w:lang w:val="de-DE"/>
        </w:rPr>
        <w:t>lietas</w:t>
      </w:r>
      <w:proofErr w:type="spellEnd"/>
      <w:r w:rsidRPr="00CD4311">
        <w:rPr>
          <w:rFonts w:ascii="Times New Roman" w:hAnsi="Times New Roman" w:cs="Arial"/>
          <w:iCs/>
          <w:lang w:val="de-DE"/>
        </w:rPr>
        <w:t xml:space="preserve"> </w:t>
      </w:r>
      <w:proofErr w:type="spellStart"/>
      <w:r w:rsidRPr="00CD4311">
        <w:rPr>
          <w:rFonts w:ascii="Times New Roman" w:hAnsi="Times New Roman" w:cs="Arial"/>
          <w:iCs/>
          <w:lang w:val="de-DE"/>
        </w:rPr>
        <w:t>dalībniekiem</w:t>
      </w:r>
      <w:proofErr w:type="spellEnd"/>
      <w:r w:rsidRPr="00CD4311">
        <w:rPr>
          <w:rFonts w:ascii="Times New Roman" w:hAnsi="Times New Roman" w:cs="Arial"/>
          <w:iCs/>
          <w:lang w:val="de-DE"/>
        </w:rPr>
        <w:t xml:space="preserve"> </w:t>
      </w:r>
      <w:proofErr w:type="spellStart"/>
      <w:r w:rsidRPr="00CD4311">
        <w:rPr>
          <w:rFonts w:ascii="Times New Roman" w:hAnsi="Times New Roman" w:cs="Arial"/>
          <w:iCs/>
          <w:lang w:val="de-DE"/>
        </w:rPr>
        <w:t>ir</w:t>
      </w:r>
      <w:proofErr w:type="spellEnd"/>
      <w:r w:rsidRPr="00CD4311">
        <w:rPr>
          <w:rFonts w:ascii="Times New Roman" w:hAnsi="Times New Roman" w:cs="Arial"/>
          <w:iCs/>
          <w:lang w:val="de-DE"/>
        </w:rPr>
        <w:t xml:space="preserve"> </w:t>
      </w:r>
      <w:proofErr w:type="spellStart"/>
      <w:r w:rsidRPr="00CD4311">
        <w:rPr>
          <w:rFonts w:ascii="Times New Roman" w:hAnsi="Times New Roman" w:cs="Arial"/>
          <w:iCs/>
          <w:lang w:val="de-DE"/>
        </w:rPr>
        <w:t>obligāta</w:t>
      </w:r>
      <w:proofErr w:type="spellEnd"/>
      <w:r w:rsidRPr="00CD4311">
        <w:rPr>
          <w:rFonts w:ascii="Times New Roman" w:hAnsi="Times New Roman" w:cs="Arial"/>
          <w:iCs/>
          <w:lang w:val="de-DE"/>
        </w:rPr>
        <w:t xml:space="preserve">. Latvijas </w:t>
      </w:r>
      <w:proofErr w:type="spellStart"/>
      <w:r w:rsidRPr="00CD4311">
        <w:rPr>
          <w:rFonts w:ascii="Times New Roman" w:hAnsi="Times New Roman" w:cs="Arial"/>
          <w:lang w:val="de-DE"/>
        </w:rPr>
        <w:t>Zvērinātu</w:t>
      </w:r>
      <w:proofErr w:type="spellEnd"/>
      <w:r w:rsidRPr="00CD4311">
        <w:rPr>
          <w:rFonts w:ascii="Times New Roman" w:hAnsi="Times New Roman" w:cs="Arial"/>
          <w:lang w:val="de-DE"/>
        </w:rPr>
        <w:t xml:space="preserve"> </w:t>
      </w:r>
      <w:proofErr w:type="spellStart"/>
      <w:r w:rsidRPr="00CD4311">
        <w:rPr>
          <w:rFonts w:ascii="Times New Roman" w:hAnsi="Times New Roman" w:cs="Arial"/>
          <w:lang w:val="de-DE"/>
        </w:rPr>
        <w:t>notāru</w:t>
      </w:r>
      <w:proofErr w:type="spellEnd"/>
      <w:r w:rsidRPr="00CD4311">
        <w:rPr>
          <w:rFonts w:ascii="Times New Roman" w:hAnsi="Times New Roman" w:cs="Arial"/>
          <w:lang w:val="de-DE"/>
        </w:rPr>
        <w:t xml:space="preserve"> </w:t>
      </w:r>
      <w:proofErr w:type="spellStart"/>
      <w:r w:rsidRPr="00CD4311">
        <w:rPr>
          <w:rFonts w:ascii="Times New Roman" w:hAnsi="Times New Roman" w:cs="Arial"/>
          <w:lang w:val="de-DE"/>
        </w:rPr>
        <w:t>padomi</w:t>
      </w:r>
      <w:proofErr w:type="spellEnd"/>
      <w:r w:rsidRPr="00CD4311">
        <w:rPr>
          <w:rFonts w:ascii="Times New Roman" w:hAnsi="Times New Roman" w:cs="Arial"/>
          <w:lang w:val="de-DE"/>
        </w:rPr>
        <w:t xml:space="preserve"> </w:t>
      </w:r>
      <w:proofErr w:type="spellStart"/>
      <w:r w:rsidRPr="00CD4311">
        <w:rPr>
          <w:rFonts w:ascii="Times New Roman" w:hAnsi="Times New Roman" w:cs="Arial"/>
          <w:lang w:val="de-DE"/>
        </w:rPr>
        <w:t>interesē</w:t>
      </w:r>
      <w:proofErr w:type="spellEnd"/>
      <w:r w:rsidRPr="00CD4311">
        <w:rPr>
          <w:rFonts w:ascii="Times New Roman" w:hAnsi="Times New Roman" w:cs="Arial"/>
          <w:lang w:val="de-DE"/>
        </w:rPr>
        <w:t xml:space="preserve"> </w:t>
      </w:r>
      <w:proofErr w:type="spellStart"/>
      <w:r w:rsidRPr="00CD4311">
        <w:rPr>
          <w:rFonts w:ascii="Times New Roman" w:hAnsi="Times New Roman" w:cs="Arial"/>
          <w:lang w:val="de-DE"/>
        </w:rPr>
        <w:t>tieši</w:t>
      </w:r>
      <w:proofErr w:type="spellEnd"/>
      <w:r w:rsidRPr="00CD4311">
        <w:rPr>
          <w:rFonts w:ascii="Times New Roman" w:hAnsi="Times New Roman" w:cs="Arial"/>
          <w:lang w:val="de-DE"/>
        </w:rPr>
        <w:t xml:space="preserve"> </w:t>
      </w:r>
      <w:proofErr w:type="spellStart"/>
      <w:r w:rsidRPr="00CD4311">
        <w:rPr>
          <w:rFonts w:ascii="Times New Roman" w:hAnsi="Times New Roman" w:cs="Arial"/>
          <w:lang w:val="de-DE"/>
        </w:rPr>
        <w:t>jautājums</w:t>
      </w:r>
      <w:proofErr w:type="spellEnd"/>
      <w:r w:rsidRPr="00CD4311">
        <w:rPr>
          <w:rFonts w:ascii="Times New Roman" w:hAnsi="Times New Roman" w:cs="Arial"/>
          <w:lang w:val="de-DE"/>
        </w:rPr>
        <w:t xml:space="preserve"> par </w:t>
      </w:r>
      <w:proofErr w:type="spellStart"/>
      <w:r w:rsidRPr="00CD4311">
        <w:rPr>
          <w:rFonts w:ascii="Times New Roman" w:hAnsi="Times New Roman" w:cs="Arial"/>
          <w:lang w:val="de-DE"/>
        </w:rPr>
        <w:t>ārvalsts</w:t>
      </w:r>
      <w:proofErr w:type="spellEnd"/>
      <w:r w:rsidRPr="00CD4311">
        <w:rPr>
          <w:rFonts w:ascii="Times New Roman" w:hAnsi="Times New Roman" w:cs="Arial"/>
          <w:lang w:val="de-DE"/>
        </w:rPr>
        <w:t xml:space="preserve"> </w:t>
      </w:r>
      <w:proofErr w:type="spellStart"/>
      <w:r w:rsidRPr="00CD4311">
        <w:rPr>
          <w:rFonts w:ascii="Times New Roman" w:hAnsi="Times New Roman" w:cs="Arial"/>
          <w:lang w:val="de-DE"/>
        </w:rPr>
        <w:t>notāru</w:t>
      </w:r>
      <w:proofErr w:type="spellEnd"/>
      <w:r w:rsidRPr="00CD4311">
        <w:rPr>
          <w:rFonts w:ascii="Times New Roman" w:hAnsi="Times New Roman" w:cs="Arial"/>
          <w:lang w:val="de-DE"/>
        </w:rPr>
        <w:t xml:space="preserve"> </w:t>
      </w:r>
      <w:proofErr w:type="spellStart"/>
      <w:r w:rsidRPr="00CD4311">
        <w:rPr>
          <w:rFonts w:ascii="Times New Roman" w:hAnsi="Times New Roman" w:cs="Arial"/>
          <w:lang w:val="de-DE"/>
        </w:rPr>
        <w:t>izdoto</w:t>
      </w:r>
      <w:proofErr w:type="spellEnd"/>
      <w:r w:rsidRPr="00CD4311">
        <w:rPr>
          <w:rFonts w:ascii="Times New Roman" w:hAnsi="Times New Roman" w:cs="Arial"/>
          <w:lang w:val="de-DE"/>
        </w:rPr>
        <w:t xml:space="preserve"> </w:t>
      </w:r>
      <w:proofErr w:type="spellStart"/>
      <w:r w:rsidRPr="00CD4311">
        <w:rPr>
          <w:rFonts w:ascii="Times New Roman" w:hAnsi="Times New Roman" w:cs="Arial"/>
          <w:lang w:val="de-DE"/>
        </w:rPr>
        <w:t>pilnvaru</w:t>
      </w:r>
      <w:proofErr w:type="spellEnd"/>
      <w:r w:rsidRPr="00CD4311">
        <w:rPr>
          <w:rFonts w:ascii="Times New Roman" w:hAnsi="Times New Roman" w:cs="Arial"/>
          <w:lang w:val="de-DE"/>
        </w:rPr>
        <w:t xml:space="preserve"> </w:t>
      </w:r>
      <w:proofErr w:type="spellStart"/>
      <w:r w:rsidRPr="00CD4311">
        <w:rPr>
          <w:rFonts w:ascii="Times New Roman" w:hAnsi="Times New Roman" w:cs="Arial"/>
          <w:lang w:val="de-DE"/>
        </w:rPr>
        <w:t>izmantošanu</w:t>
      </w:r>
      <w:proofErr w:type="spellEnd"/>
      <w:r w:rsidRPr="00CD4311">
        <w:rPr>
          <w:rFonts w:ascii="Times New Roman" w:hAnsi="Times New Roman" w:cs="Arial"/>
          <w:lang w:val="de-DE"/>
        </w:rPr>
        <w:t xml:space="preserve"> </w:t>
      </w:r>
      <w:proofErr w:type="spellStart"/>
      <w:r w:rsidRPr="00CD4311">
        <w:rPr>
          <w:rFonts w:ascii="Times New Roman" w:hAnsi="Times New Roman" w:cs="Arial"/>
          <w:lang w:val="de-DE"/>
        </w:rPr>
        <w:t>notāru</w:t>
      </w:r>
      <w:proofErr w:type="spellEnd"/>
      <w:r w:rsidRPr="00CD4311">
        <w:rPr>
          <w:rFonts w:ascii="Times New Roman" w:hAnsi="Times New Roman" w:cs="Arial"/>
          <w:lang w:val="de-DE"/>
        </w:rPr>
        <w:t xml:space="preserve"> </w:t>
      </w:r>
      <w:proofErr w:type="spellStart"/>
      <w:r w:rsidRPr="00CD4311">
        <w:rPr>
          <w:rFonts w:ascii="Times New Roman" w:hAnsi="Times New Roman" w:cs="Arial"/>
          <w:lang w:val="de-DE"/>
        </w:rPr>
        <w:t>procesos</w:t>
      </w:r>
      <w:proofErr w:type="spellEnd"/>
      <w:r w:rsidRPr="00CD4311">
        <w:rPr>
          <w:rFonts w:ascii="Times New Roman" w:hAnsi="Times New Roman" w:cs="Arial"/>
          <w:lang w:val="de-DE"/>
        </w:rPr>
        <w:t xml:space="preserve">, ja </w:t>
      </w:r>
      <w:proofErr w:type="spellStart"/>
      <w:r w:rsidRPr="00CD4311">
        <w:rPr>
          <w:rFonts w:ascii="Times New Roman" w:hAnsi="Times New Roman" w:cs="Arial"/>
          <w:lang w:val="de-DE"/>
        </w:rPr>
        <w:t>Notariāta</w:t>
      </w:r>
      <w:proofErr w:type="spellEnd"/>
      <w:r w:rsidRPr="00CD4311">
        <w:rPr>
          <w:rFonts w:ascii="Times New Roman" w:hAnsi="Times New Roman" w:cs="Arial"/>
          <w:lang w:val="de-DE"/>
        </w:rPr>
        <w:t xml:space="preserve"> </w:t>
      </w:r>
      <w:proofErr w:type="spellStart"/>
      <w:r w:rsidRPr="00CD4311">
        <w:rPr>
          <w:rFonts w:ascii="Times New Roman" w:hAnsi="Times New Roman" w:cs="Arial"/>
          <w:lang w:val="de-DE"/>
        </w:rPr>
        <w:t>likums</w:t>
      </w:r>
      <w:proofErr w:type="spellEnd"/>
      <w:r w:rsidRPr="00CD4311">
        <w:rPr>
          <w:rFonts w:ascii="Times New Roman" w:hAnsi="Times New Roman" w:cs="Arial"/>
          <w:lang w:val="de-DE"/>
        </w:rPr>
        <w:t xml:space="preserve"> </w:t>
      </w:r>
      <w:proofErr w:type="spellStart"/>
      <w:r w:rsidRPr="00CD4311">
        <w:rPr>
          <w:rFonts w:ascii="Times New Roman" w:hAnsi="Times New Roman" w:cs="Arial"/>
          <w:lang w:val="de-DE"/>
        </w:rPr>
        <w:t>skaidri</w:t>
      </w:r>
      <w:proofErr w:type="spellEnd"/>
      <w:r w:rsidRPr="00CD4311">
        <w:rPr>
          <w:rFonts w:ascii="Times New Roman" w:hAnsi="Times New Roman" w:cs="Arial"/>
          <w:lang w:val="de-DE"/>
        </w:rPr>
        <w:t xml:space="preserve"> </w:t>
      </w:r>
      <w:proofErr w:type="spellStart"/>
      <w:r w:rsidRPr="00CD4311">
        <w:rPr>
          <w:rFonts w:ascii="Times New Roman" w:hAnsi="Times New Roman" w:cs="Arial"/>
          <w:lang w:val="de-DE"/>
        </w:rPr>
        <w:t>nosaka</w:t>
      </w:r>
      <w:proofErr w:type="spellEnd"/>
      <w:r w:rsidRPr="00CD4311">
        <w:rPr>
          <w:rFonts w:ascii="Times New Roman" w:hAnsi="Times New Roman" w:cs="Arial"/>
          <w:lang w:val="de-DE"/>
        </w:rPr>
        <w:t xml:space="preserve">, </w:t>
      </w:r>
      <w:proofErr w:type="spellStart"/>
      <w:r w:rsidRPr="00CD4311">
        <w:rPr>
          <w:rFonts w:ascii="Times New Roman" w:hAnsi="Times New Roman" w:cs="Arial"/>
          <w:lang w:val="de-DE"/>
        </w:rPr>
        <w:t>ka</w:t>
      </w:r>
      <w:proofErr w:type="spellEnd"/>
      <w:r w:rsidRPr="00CD4311">
        <w:rPr>
          <w:rFonts w:ascii="Times New Roman" w:hAnsi="Times New Roman" w:cs="Arial"/>
          <w:lang w:val="de-DE"/>
        </w:rPr>
        <w:t xml:space="preserve"> </w:t>
      </w:r>
      <w:proofErr w:type="spellStart"/>
      <w:r w:rsidRPr="00CD4311">
        <w:rPr>
          <w:rFonts w:ascii="Times New Roman" w:hAnsi="Times New Roman" w:cs="Arial"/>
          <w:lang w:val="de-DE"/>
        </w:rPr>
        <w:t>pārstāvības</w:t>
      </w:r>
      <w:proofErr w:type="spellEnd"/>
      <w:r w:rsidRPr="00CD4311">
        <w:rPr>
          <w:rFonts w:ascii="Times New Roman" w:hAnsi="Times New Roman" w:cs="Arial"/>
          <w:lang w:val="de-DE"/>
        </w:rPr>
        <w:t xml:space="preserve"> </w:t>
      </w:r>
      <w:proofErr w:type="spellStart"/>
      <w:r w:rsidRPr="00CD4311">
        <w:rPr>
          <w:rFonts w:ascii="Times New Roman" w:hAnsi="Times New Roman" w:cs="Arial"/>
          <w:lang w:val="de-DE"/>
        </w:rPr>
        <w:t>tiesības</w:t>
      </w:r>
      <w:proofErr w:type="spellEnd"/>
      <w:r w:rsidRPr="00CD4311">
        <w:rPr>
          <w:rFonts w:ascii="Times New Roman" w:hAnsi="Times New Roman" w:cs="Arial"/>
          <w:lang w:val="de-DE"/>
        </w:rPr>
        <w:t xml:space="preserve"> </w:t>
      </w:r>
      <w:proofErr w:type="spellStart"/>
      <w:r w:rsidRPr="00CD4311">
        <w:rPr>
          <w:rFonts w:ascii="Times New Roman" w:hAnsi="Times New Roman" w:cs="Arial"/>
          <w:lang w:val="de-DE"/>
        </w:rPr>
        <w:t>var</w:t>
      </w:r>
      <w:proofErr w:type="spellEnd"/>
      <w:r w:rsidRPr="00CD4311">
        <w:rPr>
          <w:rFonts w:ascii="Times New Roman" w:hAnsi="Times New Roman" w:cs="Arial"/>
          <w:lang w:val="de-DE"/>
        </w:rPr>
        <w:t xml:space="preserve"> </w:t>
      </w:r>
      <w:proofErr w:type="spellStart"/>
      <w:r w:rsidRPr="00CD4311">
        <w:rPr>
          <w:rFonts w:ascii="Times New Roman" w:hAnsi="Times New Roman" w:cs="Arial"/>
          <w:lang w:val="de-DE"/>
        </w:rPr>
        <w:t>pierādīt</w:t>
      </w:r>
      <w:proofErr w:type="spellEnd"/>
      <w:r w:rsidRPr="00CD4311">
        <w:rPr>
          <w:rFonts w:ascii="Times New Roman" w:hAnsi="Times New Roman" w:cs="Arial"/>
          <w:lang w:val="de-DE"/>
        </w:rPr>
        <w:t xml:space="preserve"> </w:t>
      </w:r>
      <w:proofErr w:type="spellStart"/>
      <w:r w:rsidRPr="00CD4311">
        <w:rPr>
          <w:rFonts w:ascii="Times New Roman" w:hAnsi="Times New Roman" w:cs="Arial"/>
          <w:lang w:val="de-DE"/>
        </w:rPr>
        <w:t>ar</w:t>
      </w:r>
      <w:proofErr w:type="spellEnd"/>
      <w:r w:rsidRPr="00CD4311">
        <w:rPr>
          <w:rFonts w:ascii="Times New Roman" w:hAnsi="Times New Roman" w:cs="Arial"/>
          <w:lang w:val="de-DE"/>
        </w:rPr>
        <w:t xml:space="preserve"> </w:t>
      </w:r>
      <w:proofErr w:type="spellStart"/>
      <w:r w:rsidRPr="00CD4311">
        <w:rPr>
          <w:rFonts w:ascii="Times New Roman" w:hAnsi="Times New Roman" w:cs="Arial"/>
          <w:lang w:val="de-DE"/>
        </w:rPr>
        <w:t>publiskiem</w:t>
      </w:r>
      <w:proofErr w:type="spellEnd"/>
      <w:r w:rsidRPr="00CD4311">
        <w:rPr>
          <w:rFonts w:ascii="Times New Roman" w:hAnsi="Times New Roman" w:cs="Arial"/>
          <w:lang w:val="de-DE"/>
        </w:rPr>
        <w:t xml:space="preserve"> </w:t>
      </w:r>
      <w:proofErr w:type="spellStart"/>
      <w:r w:rsidRPr="00CD4311">
        <w:rPr>
          <w:rFonts w:ascii="Times New Roman" w:hAnsi="Times New Roman" w:cs="Arial"/>
          <w:lang w:val="de-DE"/>
        </w:rPr>
        <w:t>dokumentiem</w:t>
      </w:r>
      <w:proofErr w:type="spellEnd"/>
      <w:r w:rsidRPr="00CD4311">
        <w:rPr>
          <w:rFonts w:ascii="Times New Roman" w:hAnsi="Times New Roman" w:cs="Arial"/>
          <w:lang w:val="de-DE"/>
        </w:rPr>
        <w:t xml:space="preserve">. </w:t>
      </w:r>
      <w:proofErr w:type="spellStart"/>
      <w:r w:rsidRPr="00CD4311">
        <w:rPr>
          <w:rFonts w:ascii="Times New Roman" w:hAnsi="Times New Roman" w:cs="Arial"/>
          <w:lang w:val="de-DE"/>
        </w:rPr>
        <w:t>Kā</w:t>
      </w:r>
      <w:proofErr w:type="spellEnd"/>
      <w:r w:rsidRPr="00CD4311">
        <w:rPr>
          <w:rFonts w:ascii="Times New Roman" w:hAnsi="Times New Roman" w:cs="Arial"/>
          <w:lang w:val="de-DE"/>
        </w:rPr>
        <w:t xml:space="preserve"> </w:t>
      </w:r>
      <w:proofErr w:type="spellStart"/>
      <w:r w:rsidRPr="00CD4311">
        <w:rPr>
          <w:rFonts w:ascii="Times New Roman" w:hAnsi="Times New Roman" w:cs="Arial"/>
          <w:lang w:val="de-DE"/>
        </w:rPr>
        <w:t>iepriekš</w:t>
      </w:r>
      <w:proofErr w:type="spellEnd"/>
      <w:r w:rsidRPr="00CD4311">
        <w:rPr>
          <w:rFonts w:ascii="Times New Roman" w:hAnsi="Times New Roman" w:cs="Arial"/>
          <w:lang w:val="de-DE"/>
        </w:rPr>
        <w:t xml:space="preserve"> </w:t>
      </w:r>
      <w:proofErr w:type="spellStart"/>
      <w:r w:rsidRPr="00CD4311">
        <w:rPr>
          <w:rFonts w:ascii="Times New Roman" w:hAnsi="Times New Roman" w:cs="Arial"/>
          <w:lang w:val="de-DE"/>
        </w:rPr>
        <w:t>jau</w:t>
      </w:r>
      <w:proofErr w:type="spellEnd"/>
      <w:r w:rsidRPr="00CD4311">
        <w:rPr>
          <w:rFonts w:ascii="Times New Roman" w:hAnsi="Times New Roman" w:cs="Arial"/>
          <w:lang w:val="de-DE"/>
        </w:rPr>
        <w:t xml:space="preserve"> </w:t>
      </w:r>
      <w:proofErr w:type="spellStart"/>
      <w:r w:rsidRPr="00CD4311">
        <w:rPr>
          <w:rFonts w:ascii="Times New Roman" w:hAnsi="Times New Roman" w:cs="Arial"/>
          <w:lang w:val="de-DE"/>
        </w:rPr>
        <w:t>tika</w:t>
      </w:r>
      <w:proofErr w:type="spellEnd"/>
      <w:r w:rsidRPr="00CD4311">
        <w:rPr>
          <w:rFonts w:ascii="Times New Roman" w:hAnsi="Times New Roman" w:cs="Arial"/>
          <w:lang w:val="de-DE"/>
        </w:rPr>
        <w:t xml:space="preserve"> </w:t>
      </w:r>
      <w:proofErr w:type="spellStart"/>
      <w:r w:rsidRPr="00CD4311">
        <w:rPr>
          <w:rFonts w:ascii="Times New Roman" w:hAnsi="Times New Roman" w:cs="Arial"/>
          <w:lang w:val="de-DE"/>
        </w:rPr>
        <w:t>norādīts</w:t>
      </w:r>
      <w:proofErr w:type="spellEnd"/>
      <w:r w:rsidRPr="00CD4311">
        <w:rPr>
          <w:rFonts w:ascii="Times New Roman" w:hAnsi="Times New Roman" w:cs="Arial"/>
          <w:lang w:val="de-DE"/>
        </w:rPr>
        <w:t xml:space="preserve">, </w:t>
      </w:r>
      <w:proofErr w:type="spellStart"/>
      <w:r w:rsidRPr="00CD4311">
        <w:rPr>
          <w:rFonts w:ascii="Times New Roman" w:hAnsi="Times New Roman" w:cs="Arial"/>
          <w:lang w:val="de-DE"/>
        </w:rPr>
        <w:t>piemēram</w:t>
      </w:r>
      <w:proofErr w:type="spellEnd"/>
      <w:r w:rsidRPr="00CD4311">
        <w:rPr>
          <w:rFonts w:ascii="Times New Roman" w:hAnsi="Times New Roman" w:cs="Arial"/>
          <w:lang w:val="de-DE"/>
        </w:rPr>
        <w:t xml:space="preserve">, </w:t>
      </w:r>
      <w:proofErr w:type="spellStart"/>
      <w:r w:rsidRPr="00CD4311">
        <w:rPr>
          <w:rFonts w:ascii="Times New Roman" w:hAnsi="Times New Roman" w:cs="Arial"/>
          <w:i/>
          <w:lang w:val="de-DE"/>
        </w:rPr>
        <w:t>notary</w:t>
      </w:r>
      <w:proofErr w:type="spellEnd"/>
      <w:r w:rsidRPr="00CD4311">
        <w:rPr>
          <w:rFonts w:ascii="Times New Roman" w:hAnsi="Times New Roman" w:cs="Arial"/>
          <w:i/>
          <w:lang w:val="de-DE"/>
        </w:rPr>
        <w:t xml:space="preserve"> </w:t>
      </w:r>
      <w:proofErr w:type="spellStart"/>
      <w:r w:rsidRPr="00CD4311">
        <w:rPr>
          <w:rFonts w:ascii="Times New Roman" w:hAnsi="Times New Roman" w:cs="Arial"/>
          <w:i/>
          <w:lang w:val="de-DE"/>
        </w:rPr>
        <w:t>public</w:t>
      </w:r>
      <w:proofErr w:type="spellEnd"/>
      <w:r w:rsidRPr="00CD4311">
        <w:rPr>
          <w:rFonts w:ascii="Times New Roman" w:hAnsi="Times New Roman" w:cs="Arial"/>
          <w:lang w:val="de-DE"/>
        </w:rPr>
        <w:t xml:space="preserve"> </w:t>
      </w:r>
      <w:proofErr w:type="spellStart"/>
      <w:r w:rsidRPr="00CD4311">
        <w:rPr>
          <w:rFonts w:ascii="Times New Roman" w:hAnsi="Times New Roman" w:cs="Arial"/>
          <w:lang w:val="de-DE"/>
        </w:rPr>
        <w:t>apliecinātās</w:t>
      </w:r>
      <w:proofErr w:type="spellEnd"/>
      <w:r w:rsidRPr="00CD4311">
        <w:rPr>
          <w:rFonts w:ascii="Times New Roman" w:hAnsi="Times New Roman" w:cs="Arial"/>
          <w:lang w:val="de-DE"/>
        </w:rPr>
        <w:t xml:space="preserve"> </w:t>
      </w:r>
      <w:proofErr w:type="spellStart"/>
      <w:r w:rsidRPr="00CD4311">
        <w:rPr>
          <w:rFonts w:ascii="Times New Roman" w:hAnsi="Times New Roman" w:cs="Arial"/>
          <w:lang w:val="de-DE"/>
        </w:rPr>
        <w:t>pilnvaras</w:t>
      </w:r>
      <w:proofErr w:type="spellEnd"/>
      <w:r w:rsidRPr="00CD4311">
        <w:rPr>
          <w:rFonts w:ascii="Times New Roman" w:hAnsi="Times New Roman" w:cs="Arial"/>
          <w:lang w:val="de-DE"/>
        </w:rPr>
        <w:t xml:space="preserve"> </w:t>
      </w:r>
      <w:proofErr w:type="spellStart"/>
      <w:r w:rsidRPr="00CD4311">
        <w:rPr>
          <w:rFonts w:ascii="Times New Roman" w:hAnsi="Times New Roman" w:cs="Arial"/>
          <w:lang w:val="de-DE"/>
        </w:rPr>
        <w:t>Latvijā</w:t>
      </w:r>
      <w:proofErr w:type="spellEnd"/>
      <w:r w:rsidRPr="00CD4311">
        <w:rPr>
          <w:rFonts w:ascii="Times New Roman" w:hAnsi="Times New Roman" w:cs="Arial"/>
          <w:lang w:val="de-DE"/>
        </w:rPr>
        <w:t xml:space="preserve"> </w:t>
      </w:r>
      <w:proofErr w:type="spellStart"/>
      <w:r w:rsidRPr="00CD4311">
        <w:rPr>
          <w:rFonts w:ascii="Times New Roman" w:hAnsi="Times New Roman" w:cs="Arial"/>
          <w:lang w:val="de-DE"/>
        </w:rPr>
        <w:t>nevar</w:t>
      </w:r>
      <w:proofErr w:type="spellEnd"/>
      <w:r w:rsidRPr="00CD4311">
        <w:rPr>
          <w:rFonts w:ascii="Times New Roman" w:hAnsi="Times New Roman" w:cs="Arial"/>
          <w:lang w:val="de-DE"/>
        </w:rPr>
        <w:t xml:space="preserve"> </w:t>
      </w:r>
      <w:proofErr w:type="spellStart"/>
      <w:r w:rsidRPr="00CD4311">
        <w:rPr>
          <w:rFonts w:ascii="Times New Roman" w:hAnsi="Times New Roman" w:cs="Arial"/>
          <w:lang w:val="de-DE"/>
        </w:rPr>
        <w:t>tikt</w:t>
      </w:r>
      <w:proofErr w:type="spellEnd"/>
      <w:r w:rsidRPr="00CD4311">
        <w:rPr>
          <w:rFonts w:ascii="Times New Roman" w:hAnsi="Times New Roman" w:cs="Arial"/>
          <w:lang w:val="de-DE"/>
        </w:rPr>
        <w:t xml:space="preserve"> </w:t>
      </w:r>
      <w:proofErr w:type="spellStart"/>
      <w:r w:rsidRPr="00CD4311">
        <w:rPr>
          <w:rFonts w:ascii="Times New Roman" w:hAnsi="Times New Roman" w:cs="Arial"/>
          <w:lang w:val="de-DE"/>
        </w:rPr>
        <w:t>uzskatītas</w:t>
      </w:r>
      <w:proofErr w:type="spellEnd"/>
      <w:r w:rsidRPr="00CD4311">
        <w:rPr>
          <w:rFonts w:ascii="Times New Roman" w:hAnsi="Times New Roman" w:cs="Arial"/>
          <w:lang w:val="de-DE"/>
        </w:rPr>
        <w:t xml:space="preserve"> par </w:t>
      </w:r>
      <w:proofErr w:type="spellStart"/>
      <w:r w:rsidRPr="00CD4311">
        <w:rPr>
          <w:rFonts w:ascii="Times New Roman" w:hAnsi="Times New Roman" w:cs="Arial"/>
          <w:lang w:val="de-DE"/>
        </w:rPr>
        <w:t>publiskiem</w:t>
      </w:r>
      <w:proofErr w:type="spellEnd"/>
      <w:r w:rsidRPr="00CD4311">
        <w:rPr>
          <w:rFonts w:ascii="Times New Roman" w:hAnsi="Times New Roman" w:cs="Arial"/>
          <w:lang w:val="de-DE"/>
        </w:rPr>
        <w:t xml:space="preserve"> </w:t>
      </w:r>
      <w:proofErr w:type="spellStart"/>
      <w:r w:rsidRPr="00CD4311">
        <w:rPr>
          <w:rFonts w:ascii="Times New Roman" w:hAnsi="Times New Roman" w:cs="Arial"/>
          <w:lang w:val="de-DE"/>
        </w:rPr>
        <w:t>dokumentiem</w:t>
      </w:r>
      <w:proofErr w:type="spellEnd"/>
      <w:r w:rsidRPr="00CD4311">
        <w:rPr>
          <w:rFonts w:ascii="Times New Roman" w:hAnsi="Times New Roman" w:cs="Arial"/>
          <w:lang w:val="de-DE"/>
        </w:rPr>
        <w:t xml:space="preserve">. </w:t>
      </w:r>
      <w:proofErr w:type="spellStart"/>
      <w:r w:rsidRPr="00CD4311">
        <w:rPr>
          <w:rFonts w:ascii="Times New Roman" w:hAnsi="Times New Roman" w:cs="Arial"/>
          <w:lang w:val="de-DE"/>
        </w:rPr>
        <w:t>Autoresprāt</w:t>
      </w:r>
      <w:proofErr w:type="spellEnd"/>
      <w:r w:rsidRPr="00CD4311">
        <w:rPr>
          <w:rFonts w:ascii="Times New Roman" w:hAnsi="Times New Roman" w:cs="Arial"/>
          <w:lang w:val="de-DE"/>
        </w:rPr>
        <w:t xml:space="preserve">, </w:t>
      </w:r>
      <w:proofErr w:type="spellStart"/>
      <w:r w:rsidRPr="00CD4311">
        <w:rPr>
          <w:rFonts w:ascii="Times New Roman" w:hAnsi="Times New Roman" w:cs="Arial"/>
          <w:lang w:val="de-DE"/>
        </w:rPr>
        <w:t>Ārlietu</w:t>
      </w:r>
      <w:proofErr w:type="spellEnd"/>
      <w:r w:rsidRPr="00CD4311">
        <w:rPr>
          <w:rFonts w:ascii="Times New Roman" w:hAnsi="Times New Roman" w:cs="Arial"/>
          <w:lang w:val="de-DE"/>
        </w:rPr>
        <w:t xml:space="preserve"> </w:t>
      </w:r>
      <w:proofErr w:type="spellStart"/>
      <w:r w:rsidRPr="00CD4311">
        <w:rPr>
          <w:rFonts w:ascii="Times New Roman" w:hAnsi="Times New Roman" w:cs="Arial"/>
          <w:lang w:val="de-DE"/>
        </w:rPr>
        <w:t>ministrijas</w:t>
      </w:r>
      <w:proofErr w:type="spellEnd"/>
      <w:r w:rsidRPr="00CD4311">
        <w:rPr>
          <w:rFonts w:ascii="Times New Roman" w:hAnsi="Times New Roman" w:cs="Arial"/>
          <w:lang w:val="de-DE"/>
        </w:rPr>
        <w:t xml:space="preserve"> </w:t>
      </w:r>
      <w:proofErr w:type="spellStart"/>
      <w:r w:rsidRPr="00CD4311">
        <w:rPr>
          <w:rFonts w:ascii="Times New Roman" w:hAnsi="Times New Roman" w:cs="Arial"/>
          <w:lang w:val="de-DE"/>
        </w:rPr>
        <w:t>atbildes</w:t>
      </w:r>
      <w:proofErr w:type="spellEnd"/>
      <w:r w:rsidRPr="00CD4311">
        <w:rPr>
          <w:rFonts w:ascii="Times New Roman" w:hAnsi="Times New Roman" w:cs="Arial"/>
          <w:lang w:val="de-DE"/>
        </w:rPr>
        <w:t xml:space="preserve"> </w:t>
      </w:r>
      <w:proofErr w:type="spellStart"/>
      <w:r w:rsidRPr="00CD4311">
        <w:rPr>
          <w:rFonts w:ascii="Times New Roman" w:hAnsi="Times New Roman" w:cs="Arial"/>
          <w:lang w:val="de-DE"/>
        </w:rPr>
        <w:t>vēstulē</w:t>
      </w:r>
      <w:proofErr w:type="spellEnd"/>
      <w:r w:rsidRPr="00CD4311">
        <w:rPr>
          <w:rFonts w:ascii="Times New Roman" w:hAnsi="Times New Roman" w:cs="Arial"/>
          <w:lang w:val="de-DE"/>
        </w:rPr>
        <w:t xml:space="preserve"> </w:t>
      </w:r>
      <w:proofErr w:type="spellStart"/>
      <w:r w:rsidRPr="00CD4311">
        <w:rPr>
          <w:rFonts w:ascii="Times New Roman" w:hAnsi="Times New Roman" w:cs="Arial"/>
          <w:lang w:val="de-DE"/>
        </w:rPr>
        <w:t>atbilde</w:t>
      </w:r>
      <w:proofErr w:type="spellEnd"/>
      <w:r w:rsidRPr="00CD4311">
        <w:rPr>
          <w:rFonts w:ascii="Times New Roman" w:hAnsi="Times New Roman" w:cs="Arial"/>
          <w:lang w:val="de-DE"/>
        </w:rPr>
        <w:t xml:space="preserve"> </w:t>
      </w:r>
      <w:proofErr w:type="spellStart"/>
      <w:r w:rsidRPr="00CD4311">
        <w:rPr>
          <w:rFonts w:ascii="Times New Roman" w:hAnsi="Times New Roman" w:cs="Arial"/>
          <w:lang w:val="de-DE"/>
        </w:rPr>
        <w:t>uz</w:t>
      </w:r>
      <w:proofErr w:type="spellEnd"/>
      <w:r w:rsidRPr="00CD4311">
        <w:rPr>
          <w:rFonts w:ascii="Times New Roman" w:hAnsi="Times New Roman" w:cs="Arial"/>
          <w:lang w:val="de-DE"/>
        </w:rPr>
        <w:t xml:space="preserve"> </w:t>
      </w:r>
      <w:proofErr w:type="spellStart"/>
      <w:r w:rsidRPr="00CD4311">
        <w:rPr>
          <w:rFonts w:ascii="Times New Roman" w:hAnsi="Times New Roman" w:cs="Arial"/>
          <w:lang w:val="de-DE"/>
        </w:rPr>
        <w:t>šo</w:t>
      </w:r>
      <w:proofErr w:type="spellEnd"/>
      <w:r w:rsidRPr="00CD4311">
        <w:rPr>
          <w:rFonts w:ascii="Times New Roman" w:hAnsi="Times New Roman" w:cs="Arial"/>
          <w:lang w:val="de-DE"/>
        </w:rPr>
        <w:t xml:space="preserve"> </w:t>
      </w:r>
      <w:proofErr w:type="spellStart"/>
      <w:r w:rsidRPr="00CD4311">
        <w:rPr>
          <w:rFonts w:ascii="Times New Roman" w:hAnsi="Times New Roman" w:cs="Arial"/>
          <w:lang w:val="de-DE"/>
        </w:rPr>
        <w:t>specifisko</w:t>
      </w:r>
      <w:proofErr w:type="spellEnd"/>
      <w:r w:rsidRPr="00CD4311">
        <w:rPr>
          <w:rFonts w:ascii="Times New Roman" w:hAnsi="Times New Roman" w:cs="Arial"/>
          <w:lang w:val="de-DE"/>
        </w:rPr>
        <w:t xml:space="preserve"> </w:t>
      </w:r>
      <w:proofErr w:type="spellStart"/>
      <w:r w:rsidRPr="00CD4311">
        <w:rPr>
          <w:rFonts w:ascii="Times New Roman" w:hAnsi="Times New Roman" w:cs="Arial"/>
          <w:lang w:val="de-DE"/>
        </w:rPr>
        <w:t>jautājumu</w:t>
      </w:r>
      <w:proofErr w:type="spellEnd"/>
      <w:r w:rsidRPr="00CD4311">
        <w:rPr>
          <w:rFonts w:ascii="Times New Roman" w:hAnsi="Times New Roman" w:cs="Arial"/>
          <w:lang w:val="de-DE"/>
        </w:rPr>
        <w:t xml:space="preserve"> </w:t>
      </w:r>
      <w:proofErr w:type="spellStart"/>
      <w:r w:rsidRPr="00CD4311">
        <w:rPr>
          <w:rFonts w:ascii="Times New Roman" w:hAnsi="Times New Roman" w:cs="Arial"/>
          <w:lang w:val="de-DE"/>
        </w:rPr>
        <w:t>pēc</w:t>
      </w:r>
      <w:proofErr w:type="spellEnd"/>
      <w:r w:rsidRPr="00CD4311">
        <w:rPr>
          <w:rFonts w:ascii="Times New Roman" w:hAnsi="Times New Roman" w:cs="Arial"/>
          <w:lang w:val="de-DE"/>
        </w:rPr>
        <w:t xml:space="preserve"> </w:t>
      </w:r>
      <w:proofErr w:type="spellStart"/>
      <w:r w:rsidRPr="00CD4311">
        <w:rPr>
          <w:rFonts w:ascii="Times New Roman" w:hAnsi="Times New Roman" w:cs="Arial"/>
          <w:lang w:val="de-DE"/>
        </w:rPr>
        <w:t>būtības</w:t>
      </w:r>
      <w:proofErr w:type="spellEnd"/>
      <w:r w:rsidRPr="00CD4311">
        <w:rPr>
          <w:rFonts w:ascii="Times New Roman" w:hAnsi="Times New Roman" w:cs="Arial"/>
          <w:lang w:val="de-DE"/>
        </w:rPr>
        <w:t xml:space="preserve"> </w:t>
      </w:r>
      <w:proofErr w:type="spellStart"/>
      <w:r w:rsidRPr="00CD4311">
        <w:rPr>
          <w:rFonts w:ascii="Times New Roman" w:hAnsi="Times New Roman" w:cs="Arial"/>
          <w:lang w:val="de-DE"/>
        </w:rPr>
        <w:t>nav</w:t>
      </w:r>
      <w:proofErr w:type="spellEnd"/>
      <w:r w:rsidRPr="00CD4311">
        <w:rPr>
          <w:rFonts w:ascii="Times New Roman" w:hAnsi="Times New Roman" w:cs="Arial"/>
          <w:lang w:val="de-DE"/>
        </w:rPr>
        <w:t xml:space="preserve"> </w:t>
      </w:r>
      <w:proofErr w:type="spellStart"/>
      <w:r w:rsidRPr="00CD4311">
        <w:rPr>
          <w:rFonts w:ascii="Times New Roman" w:hAnsi="Times New Roman" w:cs="Arial"/>
          <w:lang w:val="de-DE"/>
        </w:rPr>
        <w:t>sniegta</w:t>
      </w:r>
      <w:proofErr w:type="spellEnd"/>
      <w:r w:rsidRPr="00CD4311">
        <w:rPr>
          <w:rFonts w:ascii="Times New Roman" w:hAnsi="Times New Roman" w:cs="Arial"/>
          <w:lang w:val="de-DE"/>
        </w:rPr>
        <w:t>.</w:t>
      </w:r>
    </w:p>
    <w:p w14:paraId="1B6FEDD9" w14:textId="77777777" w:rsidR="00114953" w:rsidRPr="00CD4311" w:rsidRDefault="00114953" w:rsidP="00114953">
      <w:pPr>
        <w:ind w:firstLine="708"/>
        <w:jc w:val="both"/>
        <w:rPr>
          <w:rFonts w:ascii="Times New Roman" w:hAnsi="Times New Roman" w:cs="Arial"/>
          <w:lang w:val="de-DE"/>
        </w:rPr>
      </w:pPr>
      <w:proofErr w:type="spellStart"/>
      <w:r w:rsidRPr="00CD4311">
        <w:rPr>
          <w:rFonts w:ascii="Times New Roman" w:hAnsi="Times New Roman" w:cs="Arial"/>
          <w:lang w:val="de-DE"/>
        </w:rPr>
        <w:t>Attiecībā</w:t>
      </w:r>
      <w:proofErr w:type="spellEnd"/>
      <w:r w:rsidRPr="00CD4311">
        <w:rPr>
          <w:rFonts w:ascii="Times New Roman" w:hAnsi="Times New Roman" w:cs="Arial"/>
          <w:lang w:val="de-DE"/>
        </w:rPr>
        <w:t xml:space="preserve"> </w:t>
      </w:r>
      <w:proofErr w:type="spellStart"/>
      <w:r w:rsidRPr="00CD4311">
        <w:rPr>
          <w:rFonts w:ascii="Times New Roman" w:hAnsi="Times New Roman" w:cs="Arial"/>
          <w:lang w:val="de-DE"/>
        </w:rPr>
        <w:t>uz</w:t>
      </w:r>
      <w:proofErr w:type="spellEnd"/>
      <w:r w:rsidRPr="00CD4311">
        <w:rPr>
          <w:rFonts w:ascii="Times New Roman" w:hAnsi="Times New Roman" w:cs="Arial"/>
          <w:lang w:val="de-DE"/>
        </w:rPr>
        <w:t xml:space="preserve"> </w:t>
      </w:r>
      <w:proofErr w:type="spellStart"/>
      <w:r w:rsidRPr="00CD4311">
        <w:rPr>
          <w:rFonts w:ascii="Times New Roman" w:hAnsi="Times New Roman" w:cs="Arial"/>
          <w:lang w:val="de-DE"/>
        </w:rPr>
        <w:t>vēstulē</w:t>
      </w:r>
      <w:proofErr w:type="spellEnd"/>
      <w:r w:rsidRPr="00CD4311">
        <w:rPr>
          <w:rFonts w:ascii="Times New Roman" w:hAnsi="Times New Roman" w:cs="Arial"/>
          <w:lang w:val="de-DE"/>
        </w:rPr>
        <w:t xml:space="preserve"> </w:t>
      </w:r>
      <w:proofErr w:type="spellStart"/>
      <w:r w:rsidRPr="00CD4311">
        <w:rPr>
          <w:rFonts w:ascii="Times New Roman" w:hAnsi="Times New Roman" w:cs="Arial"/>
          <w:lang w:val="de-DE"/>
        </w:rPr>
        <w:t>minēto</w:t>
      </w:r>
      <w:proofErr w:type="spellEnd"/>
      <w:r w:rsidRPr="00CD4311">
        <w:rPr>
          <w:rFonts w:ascii="Times New Roman" w:hAnsi="Times New Roman" w:cs="Arial"/>
          <w:lang w:val="de-DE"/>
        </w:rPr>
        <w:t xml:space="preserve"> 2.punktu </w:t>
      </w:r>
      <w:proofErr w:type="spellStart"/>
      <w:r w:rsidRPr="00CD4311">
        <w:rPr>
          <w:rFonts w:ascii="Times New Roman" w:hAnsi="Times New Roman" w:cs="Arial"/>
          <w:lang w:val="de-DE"/>
        </w:rPr>
        <w:t>jāsecina</w:t>
      </w:r>
      <w:proofErr w:type="spellEnd"/>
      <w:r w:rsidRPr="00CD4311">
        <w:rPr>
          <w:rFonts w:ascii="Times New Roman" w:hAnsi="Times New Roman" w:cs="Arial"/>
          <w:lang w:val="de-DE"/>
        </w:rPr>
        <w:t xml:space="preserve">, </w:t>
      </w:r>
      <w:proofErr w:type="spellStart"/>
      <w:r w:rsidRPr="00CD4311">
        <w:rPr>
          <w:rFonts w:ascii="Times New Roman" w:hAnsi="Times New Roman" w:cs="Arial"/>
          <w:lang w:val="de-DE"/>
        </w:rPr>
        <w:t>ka</w:t>
      </w:r>
      <w:proofErr w:type="spellEnd"/>
      <w:r w:rsidRPr="00CD4311">
        <w:rPr>
          <w:rFonts w:ascii="Times New Roman" w:hAnsi="Times New Roman" w:cs="Arial"/>
          <w:lang w:val="de-DE"/>
        </w:rPr>
        <w:t xml:space="preserve"> MK </w:t>
      </w:r>
      <w:proofErr w:type="spellStart"/>
      <w:r w:rsidRPr="00CD4311">
        <w:rPr>
          <w:rFonts w:ascii="Times New Roman" w:hAnsi="Times New Roman" w:cs="Arial"/>
          <w:lang w:val="de-DE"/>
        </w:rPr>
        <w:t>noteikumu</w:t>
      </w:r>
      <w:proofErr w:type="spellEnd"/>
      <w:r w:rsidRPr="00CD4311">
        <w:rPr>
          <w:rFonts w:ascii="Times New Roman" w:hAnsi="Times New Roman" w:cs="Arial"/>
          <w:lang w:val="de-DE"/>
        </w:rPr>
        <w:t xml:space="preserve"> Nr.283 9.1.punkta </w:t>
      </w:r>
      <w:proofErr w:type="spellStart"/>
      <w:r w:rsidRPr="00CD4311">
        <w:rPr>
          <w:rFonts w:ascii="Times New Roman" w:hAnsi="Times New Roman" w:cs="Arial"/>
          <w:lang w:val="de-DE"/>
        </w:rPr>
        <w:t>otrais</w:t>
      </w:r>
      <w:proofErr w:type="spellEnd"/>
      <w:r w:rsidRPr="00CD4311">
        <w:rPr>
          <w:rFonts w:ascii="Times New Roman" w:hAnsi="Times New Roman" w:cs="Arial"/>
          <w:lang w:val="de-DE"/>
        </w:rPr>
        <w:t xml:space="preserve"> </w:t>
      </w:r>
      <w:proofErr w:type="spellStart"/>
      <w:r w:rsidRPr="00CD4311">
        <w:rPr>
          <w:rFonts w:ascii="Times New Roman" w:hAnsi="Times New Roman" w:cs="Arial"/>
          <w:lang w:val="de-DE"/>
        </w:rPr>
        <w:t>teikums</w:t>
      </w:r>
      <w:proofErr w:type="spellEnd"/>
      <w:r w:rsidRPr="00CD4311">
        <w:rPr>
          <w:rFonts w:ascii="Times New Roman" w:hAnsi="Times New Roman" w:cs="Arial"/>
          <w:lang w:val="de-DE"/>
        </w:rPr>
        <w:t xml:space="preserve"> </w:t>
      </w:r>
      <w:proofErr w:type="spellStart"/>
      <w:r w:rsidRPr="00CD4311">
        <w:rPr>
          <w:rFonts w:ascii="Times New Roman" w:hAnsi="Times New Roman" w:cs="Arial"/>
          <w:lang w:val="de-DE"/>
        </w:rPr>
        <w:t>ir</w:t>
      </w:r>
      <w:proofErr w:type="spellEnd"/>
      <w:r w:rsidRPr="00CD4311">
        <w:rPr>
          <w:rFonts w:ascii="Times New Roman" w:hAnsi="Times New Roman" w:cs="Arial"/>
          <w:lang w:val="de-DE"/>
        </w:rPr>
        <w:t xml:space="preserve"> </w:t>
      </w:r>
      <w:proofErr w:type="spellStart"/>
      <w:r w:rsidRPr="00CD4311">
        <w:rPr>
          <w:rFonts w:ascii="Times New Roman" w:hAnsi="Times New Roman" w:cs="Arial"/>
          <w:lang w:val="de-DE"/>
        </w:rPr>
        <w:t>citēts</w:t>
      </w:r>
      <w:proofErr w:type="spellEnd"/>
      <w:r w:rsidRPr="00CD4311">
        <w:rPr>
          <w:rFonts w:ascii="Times New Roman" w:hAnsi="Times New Roman" w:cs="Arial"/>
          <w:lang w:val="de-DE"/>
        </w:rPr>
        <w:t xml:space="preserve"> </w:t>
      </w:r>
      <w:proofErr w:type="spellStart"/>
      <w:r w:rsidRPr="00CD4311">
        <w:rPr>
          <w:rFonts w:ascii="Times New Roman" w:hAnsi="Times New Roman" w:cs="Arial"/>
          <w:lang w:val="de-DE"/>
        </w:rPr>
        <w:t>neprecīzi</w:t>
      </w:r>
      <w:proofErr w:type="spellEnd"/>
      <w:r w:rsidRPr="00CD4311">
        <w:rPr>
          <w:rFonts w:ascii="Times New Roman" w:hAnsi="Times New Roman" w:cs="Arial"/>
          <w:lang w:val="de-DE"/>
        </w:rPr>
        <w:t xml:space="preserve">. </w:t>
      </w:r>
      <w:proofErr w:type="spellStart"/>
      <w:r w:rsidRPr="00CD4311">
        <w:rPr>
          <w:rFonts w:ascii="Times New Roman" w:hAnsi="Times New Roman" w:cs="Arial"/>
          <w:lang w:val="de-DE"/>
        </w:rPr>
        <w:t>Saskaņā</w:t>
      </w:r>
      <w:proofErr w:type="spellEnd"/>
      <w:r w:rsidRPr="00CD4311">
        <w:rPr>
          <w:rFonts w:ascii="Times New Roman" w:hAnsi="Times New Roman" w:cs="Arial"/>
          <w:lang w:val="de-DE"/>
        </w:rPr>
        <w:t xml:space="preserve"> </w:t>
      </w:r>
      <w:proofErr w:type="spellStart"/>
      <w:r w:rsidRPr="00CD4311">
        <w:rPr>
          <w:rFonts w:ascii="Times New Roman" w:hAnsi="Times New Roman" w:cs="Arial"/>
          <w:lang w:val="de-DE"/>
        </w:rPr>
        <w:t>ar</w:t>
      </w:r>
      <w:proofErr w:type="spellEnd"/>
      <w:r w:rsidRPr="00CD4311">
        <w:rPr>
          <w:rFonts w:ascii="Times New Roman" w:hAnsi="Times New Roman" w:cs="Arial"/>
          <w:lang w:val="de-DE"/>
        </w:rPr>
        <w:t xml:space="preserve"> 9.1.punktu: </w:t>
      </w:r>
    </w:p>
    <w:p w14:paraId="30044D90" w14:textId="77777777" w:rsidR="00114953" w:rsidRPr="00CD4311" w:rsidRDefault="00114953" w:rsidP="00114953">
      <w:pPr>
        <w:ind w:left="708"/>
        <w:jc w:val="both"/>
        <w:rPr>
          <w:rFonts w:ascii="Times New Roman" w:hAnsi="Times New Roman" w:cs="Arial"/>
          <w:lang w:val="de-DE"/>
        </w:rPr>
      </w:pPr>
      <w:r w:rsidRPr="00CD4311">
        <w:rPr>
          <w:rFonts w:ascii="Times New Roman" w:hAnsi="Times New Roman" w:cs="Arial"/>
          <w:lang w:val="de-DE"/>
        </w:rPr>
        <w:t>„</w:t>
      </w:r>
      <w:proofErr w:type="spellStart"/>
      <w:r w:rsidRPr="00CD4311">
        <w:rPr>
          <w:rFonts w:ascii="Times New Roman" w:hAnsi="Times New Roman" w:cs="Arial"/>
          <w:i/>
          <w:lang w:val="de-DE"/>
        </w:rPr>
        <w:t>notariālo</w:t>
      </w:r>
      <w:proofErr w:type="spellEnd"/>
      <w:r w:rsidRPr="00CD4311">
        <w:rPr>
          <w:rFonts w:ascii="Times New Roman" w:hAnsi="Times New Roman" w:cs="Arial"/>
          <w:i/>
          <w:lang w:val="de-DE"/>
        </w:rPr>
        <w:t xml:space="preserve"> </w:t>
      </w:r>
      <w:proofErr w:type="spellStart"/>
      <w:r w:rsidRPr="00CD4311">
        <w:rPr>
          <w:rFonts w:ascii="Times New Roman" w:hAnsi="Times New Roman" w:cs="Arial"/>
          <w:i/>
          <w:lang w:val="de-DE"/>
        </w:rPr>
        <w:t>aktu</w:t>
      </w:r>
      <w:proofErr w:type="spellEnd"/>
      <w:r w:rsidRPr="00CD4311">
        <w:rPr>
          <w:rFonts w:ascii="Times New Roman" w:hAnsi="Times New Roman" w:cs="Arial"/>
          <w:i/>
          <w:lang w:val="de-DE"/>
        </w:rPr>
        <w:t xml:space="preserve"> </w:t>
      </w:r>
      <w:proofErr w:type="spellStart"/>
      <w:r w:rsidRPr="00CD4311">
        <w:rPr>
          <w:rFonts w:ascii="Times New Roman" w:hAnsi="Times New Roman" w:cs="Arial"/>
          <w:i/>
          <w:lang w:val="de-DE"/>
        </w:rPr>
        <w:t>formā</w:t>
      </w:r>
      <w:proofErr w:type="spellEnd"/>
      <w:r w:rsidRPr="00CD4311">
        <w:rPr>
          <w:rFonts w:ascii="Times New Roman" w:hAnsi="Times New Roman" w:cs="Arial"/>
          <w:i/>
          <w:lang w:val="de-DE"/>
        </w:rPr>
        <w:t xml:space="preserve"> </w:t>
      </w:r>
      <w:proofErr w:type="spellStart"/>
      <w:r w:rsidRPr="00CD4311">
        <w:rPr>
          <w:rFonts w:ascii="Times New Roman" w:hAnsi="Times New Roman" w:cs="Arial"/>
          <w:i/>
          <w:lang w:val="de-DE"/>
        </w:rPr>
        <w:t>taisa</w:t>
      </w:r>
      <w:proofErr w:type="spellEnd"/>
      <w:r w:rsidRPr="00CD4311">
        <w:rPr>
          <w:rFonts w:ascii="Times New Roman" w:hAnsi="Times New Roman" w:cs="Arial"/>
          <w:i/>
          <w:lang w:val="de-DE"/>
        </w:rPr>
        <w:t xml:space="preserve"> </w:t>
      </w:r>
      <w:proofErr w:type="spellStart"/>
      <w:r w:rsidRPr="00CD4311">
        <w:rPr>
          <w:rFonts w:ascii="Times New Roman" w:hAnsi="Times New Roman" w:cs="Arial"/>
          <w:i/>
          <w:lang w:val="de-DE"/>
        </w:rPr>
        <w:t>pilnvaras</w:t>
      </w:r>
      <w:proofErr w:type="spellEnd"/>
      <w:r w:rsidRPr="00CD4311">
        <w:rPr>
          <w:rFonts w:ascii="Times New Roman" w:hAnsi="Times New Roman" w:cs="Arial"/>
          <w:i/>
          <w:lang w:val="de-DE"/>
        </w:rPr>
        <w:t xml:space="preserve"> </w:t>
      </w:r>
      <w:proofErr w:type="spellStart"/>
      <w:r w:rsidRPr="00CD4311">
        <w:rPr>
          <w:rFonts w:ascii="Times New Roman" w:hAnsi="Times New Roman" w:cs="Arial"/>
          <w:i/>
          <w:lang w:val="de-DE"/>
        </w:rPr>
        <w:t>un</w:t>
      </w:r>
      <w:proofErr w:type="spellEnd"/>
      <w:r w:rsidRPr="00CD4311">
        <w:rPr>
          <w:rFonts w:ascii="Times New Roman" w:hAnsi="Times New Roman" w:cs="Arial"/>
          <w:i/>
          <w:lang w:val="de-DE"/>
        </w:rPr>
        <w:t xml:space="preserve"> </w:t>
      </w:r>
      <w:proofErr w:type="spellStart"/>
      <w:r w:rsidRPr="00CD4311">
        <w:rPr>
          <w:rFonts w:ascii="Times New Roman" w:hAnsi="Times New Roman" w:cs="Arial"/>
          <w:i/>
          <w:lang w:val="de-DE"/>
        </w:rPr>
        <w:t>piekrišanu</w:t>
      </w:r>
      <w:proofErr w:type="spellEnd"/>
      <w:r w:rsidRPr="00CD4311">
        <w:rPr>
          <w:rFonts w:ascii="Times New Roman" w:hAnsi="Times New Roman" w:cs="Arial"/>
          <w:i/>
          <w:lang w:val="de-DE"/>
        </w:rPr>
        <w:t xml:space="preserve"> </w:t>
      </w:r>
      <w:proofErr w:type="spellStart"/>
      <w:r w:rsidRPr="00CD4311">
        <w:rPr>
          <w:rFonts w:ascii="Times New Roman" w:hAnsi="Times New Roman" w:cs="Arial"/>
          <w:i/>
          <w:lang w:val="de-DE"/>
        </w:rPr>
        <w:t>bērnu</w:t>
      </w:r>
      <w:proofErr w:type="spellEnd"/>
      <w:r w:rsidRPr="00CD4311">
        <w:rPr>
          <w:rFonts w:ascii="Times New Roman" w:hAnsi="Times New Roman" w:cs="Arial"/>
          <w:i/>
          <w:lang w:val="de-DE"/>
        </w:rPr>
        <w:t xml:space="preserve"> </w:t>
      </w:r>
      <w:proofErr w:type="spellStart"/>
      <w:r w:rsidRPr="00CD4311">
        <w:rPr>
          <w:rFonts w:ascii="Times New Roman" w:hAnsi="Times New Roman" w:cs="Arial"/>
          <w:i/>
          <w:lang w:val="de-DE"/>
        </w:rPr>
        <w:t>un</w:t>
      </w:r>
      <w:proofErr w:type="spellEnd"/>
      <w:r w:rsidRPr="00CD4311">
        <w:rPr>
          <w:rFonts w:ascii="Times New Roman" w:hAnsi="Times New Roman" w:cs="Arial"/>
          <w:i/>
          <w:lang w:val="de-DE"/>
        </w:rPr>
        <w:t xml:space="preserve"> </w:t>
      </w:r>
      <w:proofErr w:type="spellStart"/>
      <w:r w:rsidRPr="00CD4311">
        <w:rPr>
          <w:rFonts w:ascii="Times New Roman" w:hAnsi="Times New Roman" w:cs="Arial"/>
          <w:i/>
          <w:lang w:val="de-DE"/>
        </w:rPr>
        <w:t>personu</w:t>
      </w:r>
      <w:proofErr w:type="spellEnd"/>
      <w:r w:rsidRPr="00CD4311">
        <w:rPr>
          <w:rFonts w:ascii="Times New Roman" w:hAnsi="Times New Roman" w:cs="Arial"/>
          <w:i/>
          <w:lang w:val="de-DE"/>
        </w:rPr>
        <w:t xml:space="preserve"> </w:t>
      </w:r>
      <w:proofErr w:type="spellStart"/>
      <w:r w:rsidRPr="00CD4311">
        <w:rPr>
          <w:rFonts w:ascii="Times New Roman" w:hAnsi="Times New Roman" w:cs="Arial"/>
          <w:i/>
          <w:lang w:val="de-DE"/>
        </w:rPr>
        <w:t>ar</w:t>
      </w:r>
      <w:proofErr w:type="spellEnd"/>
      <w:r w:rsidRPr="00CD4311">
        <w:rPr>
          <w:rFonts w:ascii="Times New Roman" w:hAnsi="Times New Roman" w:cs="Arial"/>
          <w:i/>
          <w:lang w:val="de-DE"/>
        </w:rPr>
        <w:t xml:space="preserve"> </w:t>
      </w:r>
      <w:proofErr w:type="spellStart"/>
      <w:r w:rsidRPr="00CD4311">
        <w:rPr>
          <w:rFonts w:ascii="Times New Roman" w:hAnsi="Times New Roman" w:cs="Arial"/>
          <w:i/>
          <w:lang w:val="de-DE"/>
        </w:rPr>
        <w:t>ierobežotu</w:t>
      </w:r>
      <w:proofErr w:type="spellEnd"/>
      <w:r w:rsidRPr="00CD4311">
        <w:rPr>
          <w:rFonts w:ascii="Times New Roman" w:hAnsi="Times New Roman" w:cs="Arial"/>
          <w:i/>
          <w:lang w:val="de-DE"/>
        </w:rPr>
        <w:t xml:space="preserve"> </w:t>
      </w:r>
      <w:proofErr w:type="spellStart"/>
      <w:r w:rsidRPr="00CD4311">
        <w:rPr>
          <w:rFonts w:ascii="Times New Roman" w:hAnsi="Times New Roman" w:cs="Arial"/>
          <w:i/>
          <w:lang w:val="de-DE"/>
        </w:rPr>
        <w:t>rīcībspēju</w:t>
      </w:r>
      <w:proofErr w:type="spellEnd"/>
      <w:r w:rsidRPr="00CD4311">
        <w:rPr>
          <w:rFonts w:ascii="Times New Roman" w:hAnsi="Times New Roman" w:cs="Arial"/>
          <w:i/>
          <w:lang w:val="de-DE"/>
        </w:rPr>
        <w:t xml:space="preserve"> </w:t>
      </w:r>
      <w:proofErr w:type="spellStart"/>
      <w:r w:rsidRPr="00CD4311">
        <w:rPr>
          <w:rFonts w:ascii="Times New Roman" w:hAnsi="Times New Roman" w:cs="Arial"/>
          <w:i/>
          <w:lang w:val="de-DE"/>
        </w:rPr>
        <w:t>interešu</w:t>
      </w:r>
      <w:proofErr w:type="spellEnd"/>
      <w:r w:rsidRPr="00CD4311">
        <w:rPr>
          <w:rFonts w:ascii="Times New Roman" w:hAnsi="Times New Roman" w:cs="Arial"/>
          <w:i/>
          <w:lang w:val="de-DE"/>
        </w:rPr>
        <w:t xml:space="preserve"> </w:t>
      </w:r>
      <w:proofErr w:type="spellStart"/>
      <w:r w:rsidRPr="00CD4311">
        <w:rPr>
          <w:rFonts w:ascii="Times New Roman" w:hAnsi="Times New Roman" w:cs="Arial"/>
          <w:i/>
          <w:lang w:val="de-DE"/>
        </w:rPr>
        <w:t>pārstāvībai</w:t>
      </w:r>
      <w:proofErr w:type="spellEnd"/>
      <w:r w:rsidRPr="00CD4311">
        <w:rPr>
          <w:rFonts w:ascii="Times New Roman" w:hAnsi="Times New Roman" w:cs="Arial"/>
          <w:i/>
          <w:lang w:val="de-DE"/>
        </w:rPr>
        <w:t xml:space="preserve">. </w:t>
      </w:r>
      <w:proofErr w:type="spellStart"/>
      <w:r w:rsidRPr="00CD4311">
        <w:rPr>
          <w:rFonts w:ascii="Times New Roman" w:hAnsi="Times New Roman" w:cs="Arial"/>
          <w:i/>
          <w:lang w:val="de-DE"/>
        </w:rPr>
        <w:t>Minētie</w:t>
      </w:r>
      <w:proofErr w:type="spellEnd"/>
      <w:r w:rsidRPr="00CD4311">
        <w:rPr>
          <w:rFonts w:ascii="Times New Roman" w:hAnsi="Times New Roman" w:cs="Arial"/>
          <w:i/>
          <w:lang w:val="de-DE"/>
        </w:rPr>
        <w:t xml:space="preserve"> </w:t>
      </w:r>
      <w:proofErr w:type="spellStart"/>
      <w:r w:rsidRPr="00CD4311">
        <w:rPr>
          <w:rFonts w:ascii="Times New Roman" w:hAnsi="Times New Roman" w:cs="Arial"/>
          <w:i/>
          <w:lang w:val="de-DE"/>
        </w:rPr>
        <w:t>dokumenti</w:t>
      </w:r>
      <w:proofErr w:type="spellEnd"/>
      <w:r w:rsidRPr="00CD4311">
        <w:rPr>
          <w:rFonts w:ascii="Times New Roman" w:hAnsi="Times New Roman" w:cs="Arial"/>
          <w:i/>
          <w:lang w:val="de-DE"/>
        </w:rPr>
        <w:t xml:space="preserve"> </w:t>
      </w:r>
      <w:proofErr w:type="spellStart"/>
      <w:r w:rsidRPr="00CD4311">
        <w:rPr>
          <w:rFonts w:ascii="Times New Roman" w:hAnsi="Times New Roman" w:cs="Arial"/>
          <w:i/>
          <w:lang w:val="de-DE"/>
        </w:rPr>
        <w:t>notariālo</w:t>
      </w:r>
      <w:proofErr w:type="spellEnd"/>
      <w:r w:rsidRPr="00CD4311">
        <w:rPr>
          <w:rFonts w:ascii="Times New Roman" w:hAnsi="Times New Roman" w:cs="Arial"/>
          <w:i/>
          <w:lang w:val="de-DE"/>
        </w:rPr>
        <w:t xml:space="preserve"> </w:t>
      </w:r>
      <w:proofErr w:type="spellStart"/>
      <w:r w:rsidRPr="00CD4311">
        <w:rPr>
          <w:rFonts w:ascii="Times New Roman" w:hAnsi="Times New Roman" w:cs="Arial"/>
          <w:i/>
          <w:lang w:val="de-DE"/>
        </w:rPr>
        <w:t>aktu</w:t>
      </w:r>
      <w:proofErr w:type="spellEnd"/>
      <w:r w:rsidRPr="00CD4311">
        <w:rPr>
          <w:rFonts w:ascii="Times New Roman" w:hAnsi="Times New Roman" w:cs="Arial"/>
          <w:i/>
          <w:lang w:val="de-DE"/>
        </w:rPr>
        <w:t xml:space="preserve"> </w:t>
      </w:r>
      <w:proofErr w:type="spellStart"/>
      <w:r w:rsidRPr="00CD4311">
        <w:rPr>
          <w:rFonts w:ascii="Times New Roman" w:hAnsi="Times New Roman" w:cs="Arial"/>
          <w:i/>
          <w:lang w:val="de-DE"/>
        </w:rPr>
        <w:t>formā</w:t>
      </w:r>
      <w:proofErr w:type="spellEnd"/>
      <w:r w:rsidRPr="00CD4311">
        <w:rPr>
          <w:rFonts w:ascii="Times New Roman" w:hAnsi="Times New Roman" w:cs="Arial"/>
          <w:i/>
          <w:lang w:val="de-DE"/>
        </w:rPr>
        <w:t xml:space="preserve"> </w:t>
      </w:r>
      <w:proofErr w:type="spellStart"/>
      <w:r w:rsidRPr="00CD4311">
        <w:rPr>
          <w:rFonts w:ascii="Times New Roman" w:hAnsi="Times New Roman" w:cs="Arial"/>
          <w:i/>
          <w:lang w:val="de-DE"/>
        </w:rPr>
        <w:t>citos</w:t>
      </w:r>
      <w:proofErr w:type="spellEnd"/>
      <w:r w:rsidRPr="00CD4311">
        <w:rPr>
          <w:rFonts w:ascii="Times New Roman" w:hAnsi="Times New Roman" w:cs="Arial"/>
          <w:i/>
          <w:lang w:val="de-DE"/>
        </w:rPr>
        <w:t xml:space="preserve"> </w:t>
      </w:r>
      <w:proofErr w:type="spellStart"/>
      <w:r w:rsidRPr="00CD4311">
        <w:rPr>
          <w:rFonts w:ascii="Times New Roman" w:hAnsi="Times New Roman" w:cs="Arial"/>
          <w:i/>
          <w:lang w:val="de-DE"/>
        </w:rPr>
        <w:t>gadījumos</w:t>
      </w:r>
      <w:proofErr w:type="spellEnd"/>
      <w:r w:rsidRPr="00CD4311">
        <w:rPr>
          <w:rFonts w:ascii="Times New Roman" w:hAnsi="Times New Roman" w:cs="Arial"/>
          <w:i/>
          <w:lang w:val="de-DE"/>
        </w:rPr>
        <w:t xml:space="preserve"> </w:t>
      </w:r>
      <w:proofErr w:type="spellStart"/>
      <w:r w:rsidRPr="00CD4311">
        <w:rPr>
          <w:rFonts w:ascii="Times New Roman" w:hAnsi="Times New Roman" w:cs="Arial"/>
          <w:i/>
          <w:lang w:val="de-DE"/>
        </w:rPr>
        <w:t>tiek</w:t>
      </w:r>
      <w:proofErr w:type="spellEnd"/>
      <w:r w:rsidRPr="00CD4311">
        <w:rPr>
          <w:rFonts w:ascii="Times New Roman" w:hAnsi="Times New Roman" w:cs="Arial"/>
          <w:i/>
          <w:lang w:val="de-DE"/>
        </w:rPr>
        <w:t xml:space="preserve"> </w:t>
      </w:r>
      <w:proofErr w:type="spellStart"/>
      <w:r w:rsidRPr="00CD4311">
        <w:rPr>
          <w:rFonts w:ascii="Times New Roman" w:hAnsi="Times New Roman" w:cs="Arial"/>
          <w:i/>
          <w:lang w:val="de-DE"/>
        </w:rPr>
        <w:t>taisīti</w:t>
      </w:r>
      <w:proofErr w:type="spellEnd"/>
      <w:r w:rsidRPr="00CD4311">
        <w:rPr>
          <w:rFonts w:ascii="Times New Roman" w:hAnsi="Times New Roman" w:cs="Arial"/>
          <w:i/>
          <w:lang w:val="de-DE"/>
        </w:rPr>
        <w:t xml:space="preserve"> </w:t>
      </w:r>
      <w:proofErr w:type="spellStart"/>
      <w:r w:rsidRPr="00CD4311">
        <w:rPr>
          <w:rFonts w:ascii="Times New Roman" w:hAnsi="Times New Roman" w:cs="Arial"/>
          <w:i/>
          <w:lang w:val="de-DE"/>
        </w:rPr>
        <w:t>tikai</w:t>
      </w:r>
      <w:proofErr w:type="spellEnd"/>
      <w:r w:rsidRPr="00CD4311">
        <w:rPr>
          <w:rFonts w:ascii="Times New Roman" w:hAnsi="Times New Roman" w:cs="Arial"/>
          <w:i/>
          <w:lang w:val="de-DE"/>
        </w:rPr>
        <w:t xml:space="preserve"> </w:t>
      </w:r>
      <w:proofErr w:type="spellStart"/>
      <w:r w:rsidRPr="00CD4311">
        <w:rPr>
          <w:rFonts w:ascii="Times New Roman" w:hAnsi="Times New Roman" w:cs="Arial"/>
          <w:i/>
          <w:lang w:val="de-DE"/>
        </w:rPr>
        <w:t>tad</w:t>
      </w:r>
      <w:proofErr w:type="spellEnd"/>
      <w:r w:rsidRPr="00CD4311">
        <w:rPr>
          <w:rFonts w:ascii="Times New Roman" w:hAnsi="Times New Roman" w:cs="Arial"/>
          <w:i/>
          <w:lang w:val="de-DE"/>
        </w:rPr>
        <w:t xml:space="preserve">, ja </w:t>
      </w:r>
      <w:proofErr w:type="spellStart"/>
      <w:r w:rsidRPr="00CD4311">
        <w:rPr>
          <w:rFonts w:ascii="Times New Roman" w:hAnsi="Times New Roman" w:cs="Arial"/>
          <w:i/>
          <w:lang w:val="de-DE"/>
        </w:rPr>
        <w:t>tas</w:t>
      </w:r>
      <w:proofErr w:type="spellEnd"/>
      <w:r w:rsidRPr="00CD4311">
        <w:rPr>
          <w:rFonts w:ascii="Times New Roman" w:hAnsi="Times New Roman" w:cs="Arial"/>
          <w:i/>
          <w:lang w:val="de-DE"/>
        </w:rPr>
        <w:t xml:space="preserve"> </w:t>
      </w:r>
      <w:proofErr w:type="spellStart"/>
      <w:r w:rsidRPr="00CD4311">
        <w:rPr>
          <w:rFonts w:ascii="Times New Roman" w:hAnsi="Times New Roman" w:cs="Arial"/>
          <w:i/>
          <w:lang w:val="de-DE"/>
        </w:rPr>
        <w:t>ir</w:t>
      </w:r>
      <w:proofErr w:type="spellEnd"/>
      <w:r w:rsidRPr="00CD4311">
        <w:rPr>
          <w:rFonts w:ascii="Times New Roman" w:hAnsi="Times New Roman" w:cs="Arial"/>
          <w:i/>
          <w:lang w:val="de-DE"/>
        </w:rPr>
        <w:t xml:space="preserve"> </w:t>
      </w:r>
      <w:proofErr w:type="spellStart"/>
      <w:r w:rsidRPr="00CD4311">
        <w:rPr>
          <w:rFonts w:ascii="Times New Roman" w:hAnsi="Times New Roman" w:cs="Arial"/>
          <w:i/>
          <w:lang w:val="de-DE"/>
        </w:rPr>
        <w:t>nepieciešams</w:t>
      </w:r>
      <w:proofErr w:type="spellEnd"/>
      <w:r w:rsidRPr="00CD4311">
        <w:rPr>
          <w:rFonts w:ascii="Times New Roman" w:hAnsi="Times New Roman" w:cs="Arial"/>
          <w:i/>
          <w:lang w:val="de-DE"/>
        </w:rPr>
        <w:t xml:space="preserve"> </w:t>
      </w:r>
      <w:proofErr w:type="spellStart"/>
      <w:r w:rsidRPr="00CD4311">
        <w:rPr>
          <w:rFonts w:ascii="Times New Roman" w:hAnsi="Times New Roman" w:cs="Arial"/>
          <w:i/>
          <w:lang w:val="de-DE"/>
        </w:rPr>
        <w:t>konsulārās</w:t>
      </w:r>
      <w:proofErr w:type="spellEnd"/>
      <w:r w:rsidRPr="00CD4311">
        <w:rPr>
          <w:rFonts w:ascii="Times New Roman" w:hAnsi="Times New Roman" w:cs="Arial"/>
          <w:i/>
          <w:lang w:val="de-DE"/>
        </w:rPr>
        <w:t xml:space="preserve"> </w:t>
      </w:r>
      <w:proofErr w:type="spellStart"/>
      <w:r w:rsidRPr="00CD4311">
        <w:rPr>
          <w:rFonts w:ascii="Times New Roman" w:hAnsi="Times New Roman" w:cs="Arial"/>
          <w:i/>
          <w:lang w:val="de-DE"/>
        </w:rPr>
        <w:t>palīdzības</w:t>
      </w:r>
      <w:proofErr w:type="spellEnd"/>
      <w:r w:rsidRPr="00CD4311">
        <w:rPr>
          <w:rFonts w:ascii="Times New Roman" w:hAnsi="Times New Roman" w:cs="Arial"/>
          <w:i/>
          <w:lang w:val="de-DE"/>
        </w:rPr>
        <w:t xml:space="preserve"> </w:t>
      </w:r>
      <w:proofErr w:type="spellStart"/>
      <w:r w:rsidRPr="00CD4311">
        <w:rPr>
          <w:rFonts w:ascii="Times New Roman" w:hAnsi="Times New Roman" w:cs="Arial"/>
          <w:i/>
          <w:lang w:val="de-DE"/>
        </w:rPr>
        <w:t>ietvaros</w:t>
      </w:r>
      <w:proofErr w:type="spellEnd"/>
      <w:r w:rsidRPr="00CD4311">
        <w:rPr>
          <w:rFonts w:ascii="Times New Roman" w:hAnsi="Times New Roman" w:cs="Arial"/>
          <w:i/>
          <w:lang w:val="de-DE"/>
        </w:rPr>
        <w:t xml:space="preserve"> </w:t>
      </w:r>
      <w:proofErr w:type="spellStart"/>
      <w:r w:rsidRPr="007B02D0">
        <w:rPr>
          <w:rFonts w:ascii="Times New Roman" w:hAnsi="Times New Roman" w:cs="Arial"/>
          <w:b/>
          <w:i/>
          <w:lang w:val="de-DE"/>
        </w:rPr>
        <w:t>vai</w:t>
      </w:r>
      <w:proofErr w:type="spellEnd"/>
      <w:r w:rsidRPr="00CD4311">
        <w:rPr>
          <w:rFonts w:ascii="Times New Roman" w:hAnsi="Times New Roman" w:cs="Arial"/>
          <w:i/>
          <w:lang w:val="de-DE"/>
        </w:rPr>
        <w:t xml:space="preserve"> ja </w:t>
      </w:r>
      <w:proofErr w:type="spellStart"/>
      <w:r w:rsidRPr="00CD4311">
        <w:rPr>
          <w:rFonts w:ascii="Times New Roman" w:hAnsi="Times New Roman" w:cs="Arial"/>
          <w:i/>
          <w:lang w:val="de-DE"/>
        </w:rPr>
        <w:t>saskaņā</w:t>
      </w:r>
      <w:proofErr w:type="spellEnd"/>
      <w:r w:rsidRPr="00CD4311">
        <w:rPr>
          <w:rFonts w:ascii="Times New Roman" w:hAnsi="Times New Roman" w:cs="Arial"/>
          <w:i/>
          <w:lang w:val="de-DE"/>
        </w:rPr>
        <w:t xml:space="preserve"> </w:t>
      </w:r>
      <w:proofErr w:type="spellStart"/>
      <w:r w:rsidRPr="00CD4311">
        <w:rPr>
          <w:rFonts w:ascii="Times New Roman" w:hAnsi="Times New Roman" w:cs="Arial"/>
          <w:i/>
          <w:lang w:val="de-DE"/>
        </w:rPr>
        <w:t>ar</w:t>
      </w:r>
      <w:proofErr w:type="spellEnd"/>
      <w:r w:rsidRPr="00CD4311">
        <w:rPr>
          <w:rFonts w:ascii="Times New Roman" w:hAnsi="Times New Roman" w:cs="Arial"/>
          <w:i/>
          <w:lang w:val="de-DE"/>
        </w:rPr>
        <w:t xml:space="preserve"> Latvijas </w:t>
      </w:r>
      <w:proofErr w:type="spellStart"/>
      <w:r w:rsidRPr="00CD4311">
        <w:rPr>
          <w:rFonts w:ascii="Times New Roman" w:hAnsi="Times New Roman" w:cs="Arial"/>
          <w:i/>
          <w:lang w:val="de-DE"/>
        </w:rPr>
        <w:t>Republikas</w:t>
      </w:r>
      <w:proofErr w:type="spellEnd"/>
      <w:r w:rsidRPr="00CD4311">
        <w:rPr>
          <w:rFonts w:ascii="Times New Roman" w:hAnsi="Times New Roman" w:cs="Arial"/>
          <w:i/>
          <w:lang w:val="de-DE"/>
        </w:rPr>
        <w:t xml:space="preserve"> </w:t>
      </w:r>
      <w:proofErr w:type="spellStart"/>
      <w:r w:rsidRPr="00CD4311">
        <w:rPr>
          <w:rFonts w:ascii="Times New Roman" w:hAnsi="Times New Roman" w:cs="Arial"/>
          <w:i/>
          <w:lang w:val="de-DE"/>
        </w:rPr>
        <w:t>normatīvajiem</w:t>
      </w:r>
      <w:proofErr w:type="spellEnd"/>
      <w:r w:rsidRPr="00CD4311">
        <w:rPr>
          <w:rFonts w:ascii="Times New Roman" w:hAnsi="Times New Roman" w:cs="Arial"/>
          <w:i/>
          <w:lang w:val="de-DE"/>
        </w:rPr>
        <w:t xml:space="preserve"> </w:t>
      </w:r>
      <w:proofErr w:type="spellStart"/>
      <w:r w:rsidRPr="00CD4311">
        <w:rPr>
          <w:rFonts w:ascii="Times New Roman" w:hAnsi="Times New Roman" w:cs="Arial"/>
          <w:i/>
          <w:lang w:val="de-DE"/>
        </w:rPr>
        <w:t>aktiem</w:t>
      </w:r>
      <w:proofErr w:type="spellEnd"/>
      <w:r w:rsidRPr="00CD4311">
        <w:rPr>
          <w:rFonts w:ascii="Times New Roman" w:hAnsi="Times New Roman" w:cs="Arial"/>
          <w:i/>
          <w:lang w:val="de-DE"/>
        </w:rPr>
        <w:t xml:space="preserve"> </w:t>
      </w:r>
      <w:proofErr w:type="spellStart"/>
      <w:r w:rsidRPr="00CD4311">
        <w:rPr>
          <w:rFonts w:ascii="Times New Roman" w:hAnsi="Times New Roman" w:cs="Arial"/>
          <w:i/>
          <w:lang w:val="de-DE"/>
        </w:rPr>
        <w:t>nepieciešama</w:t>
      </w:r>
      <w:proofErr w:type="spellEnd"/>
      <w:r w:rsidRPr="00CD4311">
        <w:rPr>
          <w:rFonts w:ascii="Times New Roman" w:hAnsi="Times New Roman" w:cs="Arial"/>
          <w:i/>
          <w:lang w:val="de-DE"/>
        </w:rPr>
        <w:t xml:space="preserve"> </w:t>
      </w:r>
      <w:proofErr w:type="spellStart"/>
      <w:r w:rsidRPr="00CD4311">
        <w:rPr>
          <w:rFonts w:ascii="Times New Roman" w:hAnsi="Times New Roman" w:cs="Arial"/>
          <w:i/>
          <w:lang w:val="de-DE"/>
        </w:rPr>
        <w:t>notariālā</w:t>
      </w:r>
      <w:proofErr w:type="spellEnd"/>
      <w:r w:rsidRPr="00CD4311">
        <w:rPr>
          <w:rFonts w:ascii="Times New Roman" w:hAnsi="Times New Roman" w:cs="Arial"/>
          <w:i/>
          <w:lang w:val="de-DE"/>
        </w:rPr>
        <w:t xml:space="preserve"> </w:t>
      </w:r>
      <w:proofErr w:type="spellStart"/>
      <w:r w:rsidRPr="00CD4311">
        <w:rPr>
          <w:rFonts w:ascii="Times New Roman" w:hAnsi="Times New Roman" w:cs="Arial"/>
          <w:i/>
          <w:lang w:val="de-DE"/>
        </w:rPr>
        <w:t>akta</w:t>
      </w:r>
      <w:proofErr w:type="spellEnd"/>
      <w:r w:rsidRPr="00CD4311">
        <w:rPr>
          <w:rFonts w:ascii="Times New Roman" w:hAnsi="Times New Roman" w:cs="Arial"/>
          <w:i/>
          <w:lang w:val="de-DE"/>
        </w:rPr>
        <w:t xml:space="preserve"> forma, </w:t>
      </w:r>
      <w:proofErr w:type="spellStart"/>
      <w:r w:rsidRPr="00CD4311">
        <w:rPr>
          <w:rFonts w:ascii="Times New Roman" w:hAnsi="Times New Roman" w:cs="Arial"/>
          <w:i/>
          <w:lang w:val="de-DE"/>
        </w:rPr>
        <w:t>kādu</w:t>
      </w:r>
      <w:proofErr w:type="spellEnd"/>
      <w:r w:rsidRPr="00CD4311">
        <w:rPr>
          <w:rFonts w:ascii="Times New Roman" w:hAnsi="Times New Roman" w:cs="Arial"/>
          <w:i/>
          <w:lang w:val="de-DE"/>
        </w:rPr>
        <w:t xml:space="preserve"> </w:t>
      </w:r>
      <w:proofErr w:type="spellStart"/>
      <w:r w:rsidRPr="00CD4311">
        <w:rPr>
          <w:rFonts w:ascii="Times New Roman" w:hAnsi="Times New Roman" w:cs="Arial"/>
          <w:i/>
          <w:lang w:val="de-DE"/>
        </w:rPr>
        <w:t>neparedz</w:t>
      </w:r>
      <w:proofErr w:type="spellEnd"/>
      <w:r w:rsidRPr="00CD4311">
        <w:rPr>
          <w:rFonts w:ascii="Times New Roman" w:hAnsi="Times New Roman" w:cs="Arial"/>
          <w:i/>
          <w:lang w:val="de-DE"/>
        </w:rPr>
        <w:t xml:space="preserve"> </w:t>
      </w:r>
      <w:proofErr w:type="spellStart"/>
      <w:r w:rsidRPr="00CD4311">
        <w:rPr>
          <w:rFonts w:ascii="Times New Roman" w:hAnsi="Times New Roman" w:cs="Arial"/>
          <w:i/>
          <w:lang w:val="de-DE"/>
        </w:rPr>
        <w:t>attiecīgās</w:t>
      </w:r>
      <w:proofErr w:type="spellEnd"/>
      <w:r w:rsidRPr="00CD4311">
        <w:rPr>
          <w:rFonts w:ascii="Times New Roman" w:hAnsi="Times New Roman" w:cs="Arial"/>
          <w:i/>
          <w:lang w:val="de-DE"/>
        </w:rPr>
        <w:t xml:space="preserve"> </w:t>
      </w:r>
      <w:proofErr w:type="spellStart"/>
      <w:r w:rsidRPr="00CD4311">
        <w:rPr>
          <w:rFonts w:ascii="Times New Roman" w:hAnsi="Times New Roman" w:cs="Arial"/>
          <w:i/>
          <w:lang w:val="de-DE"/>
        </w:rPr>
        <w:t>ārvalsts</w:t>
      </w:r>
      <w:proofErr w:type="spellEnd"/>
      <w:r w:rsidRPr="00CD4311">
        <w:rPr>
          <w:rFonts w:ascii="Times New Roman" w:hAnsi="Times New Roman" w:cs="Arial"/>
          <w:i/>
          <w:lang w:val="de-DE"/>
        </w:rPr>
        <w:t xml:space="preserve"> </w:t>
      </w:r>
      <w:proofErr w:type="spellStart"/>
      <w:r w:rsidRPr="00CD4311">
        <w:rPr>
          <w:rFonts w:ascii="Times New Roman" w:hAnsi="Times New Roman" w:cs="Arial"/>
          <w:i/>
          <w:lang w:val="de-DE"/>
        </w:rPr>
        <w:t>normatīvie</w:t>
      </w:r>
      <w:proofErr w:type="spellEnd"/>
      <w:r w:rsidRPr="00CD4311">
        <w:rPr>
          <w:rFonts w:ascii="Times New Roman" w:hAnsi="Times New Roman" w:cs="Arial"/>
          <w:i/>
          <w:lang w:val="de-DE"/>
        </w:rPr>
        <w:t xml:space="preserve"> </w:t>
      </w:r>
      <w:proofErr w:type="spellStart"/>
      <w:r w:rsidRPr="00CD4311">
        <w:rPr>
          <w:rFonts w:ascii="Times New Roman" w:hAnsi="Times New Roman" w:cs="Arial"/>
          <w:i/>
          <w:lang w:val="de-DE"/>
        </w:rPr>
        <w:t>akti</w:t>
      </w:r>
      <w:proofErr w:type="spellEnd"/>
      <w:r w:rsidRPr="00CD4311">
        <w:rPr>
          <w:rFonts w:ascii="Times New Roman" w:hAnsi="Times New Roman" w:cs="Arial"/>
          <w:i/>
          <w:lang w:val="de-DE"/>
        </w:rPr>
        <w:t>“.</w:t>
      </w:r>
    </w:p>
    <w:p w14:paraId="30205BD7" w14:textId="77777777" w:rsidR="00114953" w:rsidRPr="00CD4311" w:rsidRDefault="00114953" w:rsidP="00114953">
      <w:pPr>
        <w:jc w:val="both"/>
        <w:rPr>
          <w:rFonts w:ascii="Times New Roman" w:hAnsi="Times New Roman" w:cs="Arial"/>
          <w:lang w:val="de-DE"/>
        </w:rPr>
      </w:pPr>
    </w:p>
    <w:p w14:paraId="6470085E" w14:textId="7AAAAD38" w:rsidR="00114953" w:rsidRPr="00CD4311" w:rsidRDefault="00114953" w:rsidP="00114953">
      <w:pPr>
        <w:ind w:firstLine="708"/>
        <w:jc w:val="both"/>
        <w:rPr>
          <w:rFonts w:ascii="Times New Roman" w:hAnsi="Times New Roman" w:cs="Arial"/>
          <w:lang w:val="de-DE"/>
        </w:rPr>
      </w:pPr>
      <w:proofErr w:type="spellStart"/>
      <w:r w:rsidRPr="00CD4311">
        <w:rPr>
          <w:rFonts w:ascii="Times New Roman" w:hAnsi="Times New Roman" w:cs="Arial"/>
          <w:lang w:val="de-DE"/>
        </w:rPr>
        <w:t>No</w:t>
      </w:r>
      <w:proofErr w:type="spellEnd"/>
      <w:r w:rsidRPr="00CD4311">
        <w:rPr>
          <w:rFonts w:ascii="Times New Roman" w:hAnsi="Times New Roman" w:cs="Arial"/>
          <w:lang w:val="de-DE"/>
        </w:rPr>
        <w:t xml:space="preserve"> </w:t>
      </w:r>
      <w:proofErr w:type="spellStart"/>
      <w:r w:rsidRPr="00CD4311">
        <w:rPr>
          <w:rFonts w:ascii="Times New Roman" w:hAnsi="Times New Roman" w:cs="Arial"/>
          <w:lang w:val="de-DE"/>
        </w:rPr>
        <w:t>iepriekš</w:t>
      </w:r>
      <w:proofErr w:type="spellEnd"/>
      <w:r w:rsidRPr="00CD4311">
        <w:rPr>
          <w:rFonts w:ascii="Times New Roman" w:hAnsi="Times New Roman" w:cs="Arial"/>
          <w:lang w:val="de-DE"/>
        </w:rPr>
        <w:t xml:space="preserve"> </w:t>
      </w:r>
      <w:proofErr w:type="spellStart"/>
      <w:r w:rsidRPr="00CD4311">
        <w:rPr>
          <w:rFonts w:ascii="Times New Roman" w:hAnsi="Times New Roman" w:cs="Arial"/>
          <w:lang w:val="de-DE"/>
        </w:rPr>
        <w:t>veiktās</w:t>
      </w:r>
      <w:proofErr w:type="spellEnd"/>
      <w:r w:rsidRPr="00CD4311">
        <w:rPr>
          <w:rFonts w:ascii="Times New Roman" w:hAnsi="Times New Roman" w:cs="Arial"/>
          <w:lang w:val="de-DE"/>
        </w:rPr>
        <w:t xml:space="preserve"> </w:t>
      </w:r>
      <w:proofErr w:type="spellStart"/>
      <w:r w:rsidRPr="00CD4311">
        <w:rPr>
          <w:rFonts w:ascii="Times New Roman" w:hAnsi="Times New Roman" w:cs="Arial"/>
          <w:lang w:val="de-DE"/>
        </w:rPr>
        <w:t>analīzes</w:t>
      </w:r>
      <w:proofErr w:type="spellEnd"/>
      <w:r w:rsidRPr="00CD4311">
        <w:rPr>
          <w:rFonts w:ascii="Times New Roman" w:hAnsi="Times New Roman" w:cs="Arial"/>
          <w:lang w:val="de-DE"/>
        </w:rPr>
        <w:t xml:space="preserve"> </w:t>
      </w:r>
      <w:proofErr w:type="spellStart"/>
      <w:r w:rsidRPr="00CD4311">
        <w:rPr>
          <w:rFonts w:ascii="Times New Roman" w:hAnsi="Times New Roman" w:cs="Arial"/>
          <w:lang w:val="de-DE"/>
        </w:rPr>
        <w:t>var</w:t>
      </w:r>
      <w:proofErr w:type="spellEnd"/>
      <w:r w:rsidRPr="00CD4311">
        <w:rPr>
          <w:rFonts w:ascii="Times New Roman" w:hAnsi="Times New Roman" w:cs="Arial"/>
          <w:lang w:val="de-DE"/>
        </w:rPr>
        <w:t xml:space="preserve"> </w:t>
      </w:r>
      <w:proofErr w:type="spellStart"/>
      <w:r w:rsidRPr="00CD4311">
        <w:rPr>
          <w:rFonts w:ascii="Times New Roman" w:hAnsi="Times New Roman" w:cs="Arial"/>
          <w:lang w:val="de-DE"/>
        </w:rPr>
        <w:t>secināt</w:t>
      </w:r>
      <w:proofErr w:type="spellEnd"/>
      <w:r w:rsidRPr="00CD4311">
        <w:rPr>
          <w:rFonts w:ascii="Times New Roman" w:hAnsi="Times New Roman" w:cs="Arial"/>
          <w:lang w:val="de-DE"/>
        </w:rPr>
        <w:t xml:space="preserve">, </w:t>
      </w:r>
      <w:proofErr w:type="spellStart"/>
      <w:r w:rsidRPr="00CD4311">
        <w:rPr>
          <w:rFonts w:ascii="Times New Roman" w:hAnsi="Times New Roman" w:cs="Arial"/>
          <w:lang w:val="de-DE"/>
        </w:rPr>
        <w:t>ka</w:t>
      </w:r>
      <w:proofErr w:type="spellEnd"/>
      <w:r w:rsidRPr="00CD4311">
        <w:rPr>
          <w:rFonts w:ascii="Times New Roman" w:hAnsi="Times New Roman" w:cs="Arial"/>
          <w:lang w:val="de-DE"/>
        </w:rPr>
        <w:t xml:space="preserve"> </w:t>
      </w:r>
      <w:r w:rsidRPr="00CD4311">
        <w:rPr>
          <w:rFonts w:ascii="Times New Roman" w:hAnsi="Times New Roman" w:cs="Arial"/>
          <w:i/>
          <w:lang w:val="de-DE"/>
        </w:rPr>
        <w:t>Common Law</w:t>
      </w:r>
      <w:r w:rsidRPr="00CD4311">
        <w:rPr>
          <w:rFonts w:ascii="Times New Roman" w:hAnsi="Times New Roman" w:cs="Arial"/>
          <w:lang w:val="de-DE"/>
        </w:rPr>
        <w:t xml:space="preserve"> </w:t>
      </w:r>
      <w:proofErr w:type="spellStart"/>
      <w:r w:rsidRPr="00CD4311">
        <w:rPr>
          <w:rFonts w:ascii="Times New Roman" w:hAnsi="Times New Roman" w:cs="Arial"/>
          <w:lang w:val="de-DE"/>
        </w:rPr>
        <w:t>tiesību</w:t>
      </w:r>
      <w:proofErr w:type="spellEnd"/>
      <w:r w:rsidRPr="00CD4311">
        <w:rPr>
          <w:rFonts w:ascii="Times New Roman" w:hAnsi="Times New Roman" w:cs="Arial"/>
          <w:lang w:val="de-DE"/>
        </w:rPr>
        <w:t xml:space="preserve"> </w:t>
      </w:r>
      <w:proofErr w:type="spellStart"/>
      <w:r w:rsidRPr="00CD4311">
        <w:rPr>
          <w:rFonts w:ascii="Times New Roman" w:hAnsi="Times New Roman" w:cs="Arial"/>
          <w:lang w:val="de-DE"/>
        </w:rPr>
        <w:t>sistēmas</w:t>
      </w:r>
      <w:proofErr w:type="spellEnd"/>
      <w:r w:rsidRPr="00CD4311">
        <w:rPr>
          <w:rFonts w:ascii="Times New Roman" w:hAnsi="Times New Roman" w:cs="Arial"/>
          <w:lang w:val="de-DE"/>
        </w:rPr>
        <w:t xml:space="preserve"> </w:t>
      </w:r>
      <w:proofErr w:type="spellStart"/>
      <w:r w:rsidRPr="00CD4311">
        <w:rPr>
          <w:rFonts w:ascii="Times New Roman" w:hAnsi="Times New Roman" w:cs="Arial"/>
          <w:lang w:val="de-DE"/>
        </w:rPr>
        <w:t>valstīs</w:t>
      </w:r>
      <w:proofErr w:type="spellEnd"/>
      <w:r w:rsidRPr="00CD4311">
        <w:rPr>
          <w:rFonts w:ascii="Times New Roman" w:hAnsi="Times New Roman" w:cs="Arial"/>
          <w:lang w:val="de-DE"/>
        </w:rPr>
        <w:t xml:space="preserve"> </w:t>
      </w:r>
      <w:proofErr w:type="spellStart"/>
      <w:r w:rsidRPr="00CD4311">
        <w:rPr>
          <w:rFonts w:ascii="Times New Roman" w:hAnsi="Times New Roman" w:cs="Arial"/>
          <w:lang w:val="de-DE"/>
        </w:rPr>
        <w:t>principā</w:t>
      </w:r>
      <w:proofErr w:type="spellEnd"/>
      <w:r w:rsidRPr="00CD4311">
        <w:rPr>
          <w:rFonts w:ascii="Times New Roman" w:hAnsi="Times New Roman" w:cs="Arial"/>
          <w:lang w:val="de-DE"/>
        </w:rPr>
        <w:t xml:space="preserve"> </w:t>
      </w:r>
      <w:proofErr w:type="spellStart"/>
      <w:r w:rsidRPr="00CD4311">
        <w:rPr>
          <w:rFonts w:ascii="Times New Roman" w:hAnsi="Times New Roman" w:cs="Arial"/>
          <w:lang w:val="de-DE"/>
        </w:rPr>
        <w:t>šādu</w:t>
      </w:r>
      <w:proofErr w:type="spellEnd"/>
      <w:r w:rsidRPr="00CD4311">
        <w:rPr>
          <w:rFonts w:ascii="Times New Roman" w:hAnsi="Times New Roman" w:cs="Arial"/>
          <w:lang w:val="de-DE"/>
        </w:rPr>
        <w:t xml:space="preserve"> </w:t>
      </w:r>
      <w:proofErr w:type="spellStart"/>
      <w:r w:rsidRPr="00CD4311">
        <w:rPr>
          <w:rFonts w:ascii="Times New Roman" w:hAnsi="Times New Roman" w:cs="Arial"/>
          <w:lang w:val="de-DE"/>
        </w:rPr>
        <w:t>notariālā</w:t>
      </w:r>
      <w:proofErr w:type="spellEnd"/>
      <w:r w:rsidRPr="00CD4311">
        <w:rPr>
          <w:rFonts w:ascii="Times New Roman" w:hAnsi="Times New Roman" w:cs="Arial"/>
          <w:lang w:val="de-DE"/>
        </w:rPr>
        <w:t xml:space="preserve"> </w:t>
      </w:r>
      <w:proofErr w:type="spellStart"/>
      <w:r w:rsidRPr="00CD4311">
        <w:rPr>
          <w:rFonts w:ascii="Times New Roman" w:hAnsi="Times New Roman" w:cs="Arial"/>
          <w:lang w:val="de-DE"/>
        </w:rPr>
        <w:t>akta</w:t>
      </w:r>
      <w:proofErr w:type="spellEnd"/>
      <w:r w:rsidRPr="00CD4311">
        <w:rPr>
          <w:rFonts w:ascii="Times New Roman" w:hAnsi="Times New Roman" w:cs="Arial"/>
          <w:lang w:val="de-DE"/>
        </w:rPr>
        <w:t xml:space="preserve"> </w:t>
      </w:r>
      <w:proofErr w:type="spellStart"/>
      <w:r w:rsidRPr="00CD4311">
        <w:rPr>
          <w:rFonts w:ascii="Times New Roman" w:hAnsi="Times New Roman" w:cs="Arial"/>
          <w:lang w:val="de-DE"/>
        </w:rPr>
        <w:t>formā</w:t>
      </w:r>
      <w:proofErr w:type="spellEnd"/>
      <w:r w:rsidRPr="00CD4311">
        <w:rPr>
          <w:rFonts w:ascii="Times New Roman" w:hAnsi="Times New Roman" w:cs="Arial"/>
          <w:lang w:val="de-DE"/>
        </w:rPr>
        <w:t xml:space="preserve"> </w:t>
      </w:r>
      <w:proofErr w:type="spellStart"/>
      <w:r w:rsidRPr="00CD4311">
        <w:rPr>
          <w:rFonts w:ascii="Times New Roman" w:hAnsi="Times New Roman" w:cs="Arial"/>
          <w:lang w:val="de-DE"/>
        </w:rPr>
        <w:t>sastādītu</w:t>
      </w:r>
      <w:proofErr w:type="spellEnd"/>
      <w:r w:rsidRPr="00CD4311">
        <w:rPr>
          <w:rFonts w:ascii="Times New Roman" w:hAnsi="Times New Roman" w:cs="Arial"/>
          <w:lang w:val="de-DE"/>
        </w:rPr>
        <w:t xml:space="preserve"> </w:t>
      </w:r>
      <w:proofErr w:type="spellStart"/>
      <w:r w:rsidRPr="00CD4311">
        <w:rPr>
          <w:rFonts w:ascii="Times New Roman" w:hAnsi="Times New Roman" w:cs="Arial"/>
          <w:lang w:val="de-DE"/>
        </w:rPr>
        <w:t>pilnvaru</w:t>
      </w:r>
      <w:proofErr w:type="spellEnd"/>
      <w:r w:rsidRPr="00CD4311">
        <w:rPr>
          <w:rFonts w:ascii="Times New Roman" w:hAnsi="Times New Roman" w:cs="Arial"/>
          <w:lang w:val="de-DE"/>
        </w:rPr>
        <w:t xml:space="preserve"> </w:t>
      </w:r>
      <w:proofErr w:type="spellStart"/>
      <w:r w:rsidRPr="00CD4311">
        <w:rPr>
          <w:rFonts w:ascii="Times New Roman" w:hAnsi="Times New Roman" w:cs="Arial"/>
          <w:lang w:val="de-DE"/>
        </w:rPr>
        <w:t>izdošanu</w:t>
      </w:r>
      <w:proofErr w:type="spellEnd"/>
      <w:r w:rsidRPr="00CD4311">
        <w:rPr>
          <w:rFonts w:ascii="Times New Roman" w:hAnsi="Times New Roman" w:cs="Arial"/>
          <w:lang w:val="de-DE"/>
        </w:rPr>
        <w:t xml:space="preserve"> </w:t>
      </w:r>
      <w:proofErr w:type="spellStart"/>
      <w:r w:rsidRPr="00CD4311">
        <w:rPr>
          <w:rFonts w:ascii="Times New Roman" w:hAnsi="Times New Roman" w:cs="Arial"/>
          <w:lang w:val="de-DE"/>
        </w:rPr>
        <w:t>normatīvie</w:t>
      </w:r>
      <w:proofErr w:type="spellEnd"/>
      <w:r w:rsidRPr="00CD4311">
        <w:rPr>
          <w:rFonts w:ascii="Times New Roman" w:hAnsi="Times New Roman" w:cs="Arial"/>
          <w:lang w:val="de-DE"/>
        </w:rPr>
        <w:t xml:space="preserve"> </w:t>
      </w:r>
      <w:proofErr w:type="spellStart"/>
      <w:r w:rsidRPr="00CD4311">
        <w:rPr>
          <w:rFonts w:ascii="Times New Roman" w:hAnsi="Times New Roman" w:cs="Arial"/>
          <w:lang w:val="de-DE"/>
        </w:rPr>
        <w:t>akti</w:t>
      </w:r>
      <w:proofErr w:type="spellEnd"/>
      <w:r w:rsidRPr="00CD4311">
        <w:rPr>
          <w:rFonts w:ascii="Times New Roman" w:hAnsi="Times New Roman" w:cs="Arial"/>
          <w:lang w:val="de-DE"/>
        </w:rPr>
        <w:t xml:space="preserve"> </w:t>
      </w:r>
      <w:proofErr w:type="spellStart"/>
      <w:r w:rsidRPr="00CD4311">
        <w:rPr>
          <w:rFonts w:ascii="Times New Roman" w:hAnsi="Times New Roman" w:cs="Arial"/>
          <w:lang w:val="de-DE"/>
        </w:rPr>
        <w:t>neparedz</w:t>
      </w:r>
      <w:proofErr w:type="spellEnd"/>
      <w:r w:rsidRPr="00CD4311">
        <w:rPr>
          <w:rFonts w:ascii="Times New Roman" w:hAnsi="Times New Roman" w:cs="Arial"/>
          <w:lang w:val="de-DE"/>
        </w:rPr>
        <w:t xml:space="preserve">. </w:t>
      </w:r>
      <w:proofErr w:type="spellStart"/>
      <w:r w:rsidRPr="00CD4311">
        <w:rPr>
          <w:rFonts w:ascii="Times New Roman" w:hAnsi="Times New Roman" w:cs="Arial"/>
          <w:lang w:val="de-DE"/>
        </w:rPr>
        <w:t>Vienīgā</w:t>
      </w:r>
      <w:proofErr w:type="spellEnd"/>
      <w:r w:rsidRPr="00CD4311">
        <w:rPr>
          <w:rFonts w:ascii="Times New Roman" w:hAnsi="Times New Roman" w:cs="Arial"/>
          <w:lang w:val="de-DE"/>
        </w:rPr>
        <w:t xml:space="preserve"> </w:t>
      </w:r>
      <w:proofErr w:type="spellStart"/>
      <w:r w:rsidRPr="00CD4311">
        <w:rPr>
          <w:rFonts w:ascii="Times New Roman" w:hAnsi="Times New Roman" w:cs="Arial"/>
          <w:lang w:val="de-DE"/>
        </w:rPr>
        <w:t>izeja</w:t>
      </w:r>
      <w:proofErr w:type="spellEnd"/>
      <w:r w:rsidRPr="00CD4311">
        <w:rPr>
          <w:rFonts w:ascii="Times New Roman" w:hAnsi="Times New Roman" w:cs="Arial"/>
          <w:lang w:val="de-DE"/>
        </w:rPr>
        <w:t xml:space="preserve"> </w:t>
      </w:r>
      <w:proofErr w:type="spellStart"/>
      <w:r w:rsidRPr="00CD4311">
        <w:rPr>
          <w:rFonts w:ascii="Times New Roman" w:hAnsi="Times New Roman" w:cs="Arial"/>
          <w:lang w:val="de-DE"/>
        </w:rPr>
        <w:t>ir</w:t>
      </w:r>
      <w:proofErr w:type="spellEnd"/>
      <w:r w:rsidRPr="00CD4311">
        <w:rPr>
          <w:rFonts w:ascii="Times New Roman" w:hAnsi="Times New Roman" w:cs="Arial"/>
          <w:lang w:val="de-DE"/>
        </w:rPr>
        <w:t xml:space="preserve"> </w:t>
      </w:r>
      <w:proofErr w:type="spellStart"/>
      <w:r w:rsidRPr="00CD4311">
        <w:rPr>
          <w:rFonts w:ascii="Times New Roman" w:hAnsi="Times New Roman" w:cs="Arial"/>
          <w:lang w:val="de-DE"/>
        </w:rPr>
        <w:t>tad</w:t>
      </w:r>
      <w:proofErr w:type="spellEnd"/>
      <w:r w:rsidRPr="00CD4311">
        <w:rPr>
          <w:rFonts w:ascii="Times New Roman" w:hAnsi="Times New Roman" w:cs="Arial"/>
          <w:lang w:val="de-DE"/>
        </w:rPr>
        <w:t xml:space="preserve">, ja </w:t>
      </w:r>
      <w:proofErr w:type="spellStart"/>
      <w:r w:rsidRPr="00CD4311">
        <w:rPr>
          <w:rFonts w:ascii="Times New Roman" w:hAnsi="Times New Roman" w:cs="Arial"/>
          <w:lang w:val="de-DE"/>
        </w:rPr>
        <w:t>pilnvaru</w:t>
      </w:r>
      <w:proofErr w:type="spellEnd"/>
      <w:r w:rsidRPr="00CD4311">
        <w:rPr>
          <w:rFonts w:ascii="Times New Roman" w:hAnsi="Times New Roman" w:cs="Arial"/>
          <w:lang w:val="de-DE"/>
        </w:rPr>
        <w:t xml:space="preserve"> </w:t>
      </w:r>
      <w:proofErr w:type="spellStart"/>
      <w:r w:rsidRPr="00CD4311">
        <w:rPr>
          <w:rFonts w:ascii="Times New Roman" w:hAnsi="Times New Roman" w:cs="Arial"/>
          <w:lang w:val="de-DE"/>
        </w:rPr>
        <w:t>sastāda</w:t>
      </w:r>
      <w:proofErr w:type="spellEnd"/>
      <w:r w:rsidRPr="00CD4311">
        <w:rPr>
          <w:rFonts w:ascii="Times New Roman" w:hAnsi="Times New Roman" w:cs="Arial"/>
          <w:lang w:val="de-DE"/>
        </w:rPr>
        <w:t xml:space="preserve"> </w:t>
      </w:r>
      <w:proofErr w:type="spellStart"/>
      <w:r w:rsidRPr="00CD4311">
        <w:rPr>
          <w:rFonts w:ascii="Times New Roman" w:hAnsi="Times New Roman" w:cs="Arial"/>
          <w:lang w:val="de-DE"/>
        </w:rPr>
        <w:t>šo</w:t>
      </w:r>
      <w:proofErr w:type="spellEnd"/>
      <w:r w:rsidRPr="00CD4311">
        <w:rPr>
          <w:rFonts w:ascii="Times New Roman" w:hAnsi="Times New Roman" w:cs="Arial"/>
          <w:lang w:val="de-DE"/>
        </w:rPr>
        <w:t xml:space="preserve"> </w:t>
      </w:r>
      <w:proofErr w:type="spellStart"/>
      <w:r w:rsidRPr="00CD4311">
        <w:rPr>
          <w:rFonts w:ascii="Times New Roman" w:hAnsi="Times New Roman" w:cs="Arial"/>
          <w:lang w:val="de-DE"/>
        </w:rPr>
        <w:t>valstu</w:t>
      </w:r>
      <w:proofErr w:type="spellEnd"/>
      <w:r w:rsidRPr="00CD4311">
        <w:rPr>
          <w:rFonts w:ascii="Times New Roman" w:hAnsi="Times New Roman" w:cs="Arial"/>
          <w:lang w:val="de-DE"/>
        </w:rPr>
        <w:t xml:space="preserve"> </w:t>
      </w:r>
      <w:proofErr w:type="spellStart"/>
      <w:r w:rsidRPr="00CD4311">
        <w:rPr>
          <w:rFonts w:ascii="Times New Roman" w:hAnsi="Times New Roman" w:cs="Arial"/>
          <w:lang w:val="de-DE"/>
        </w:rPr>
        <w:t>juristi</w:t>
      </w:r>
      <w:proofErr w:type="spellEnd"/>
      <w:r w:rsidRPr="00CD4311">
        <w:rPr>
          <w:rFonts w:ascii="Times New Roman" w:hAnsi="Times New Roman" w:cs="Arial"/>
          <w:lang w:val="de-DE"/>
        </w:rPr>
        <w:t xml:space="preserve">, </w:t>
      </w:r>
      <w:proofErr w:type="spellStart"/>
      <w:r w:rsidRPr="00CD4311">
        <w:rPr>
          <w:rFonts w:ascii="Times New Roman" w:hAnsi="Times New Roman" w:cs="Arial"/>
          <w:lang w:val="de-DE"/>
        </w:rPr>
        <w:t>piemērojot</w:t>
      </w:r>
      <w:proofErr w:type="spellEnd"/>
      <w:r w:rsidRPr="00CD4311">
        <w:rPr>
          <w:rFonts w:ascii="Times New Roman" w:hAnsi="Times New Roman" w:cs="Arial"/>
          <w:lang w:val="de-DE"/>
        </w:rPr>
        <w:t xml:space="preserve"> </w:t>
      </w:r>
      <w:proofErr w:type="spellStart"/>
      <w:r w:rsidRPr="00CD4311">
        <w:rPr>
          <w:rFonts w:ascii="Times New Roman" w:hAnsi="Times New Roman" w:cs="Arial"/>
          <w:lang w:val="de-DE"/>
        </w:rPr>
        <w:t>lielos</w:t>
      </w:r>
      <w:proofErr w:type="spellEnd"/>
      <w:r w:rsidRPr="00CD4311">
        <w:rPr>
          <w:rFonts w:ascii="Times New Roman" w:hAnsi="Times New Roman" w:cs="Arial"/>
          <w:lang w:val="de-DE"/>
        </w:rPr>
        <w:t xml:space="preserve"> </w:t>
      </w:r>
      <w:proofErr w:type="spellStart"/>
      <w:r w:rsidRPr="00CD4311">
        <w:rPr>
          <w:rFonts w:ascii="Times New Roman" w:hAnsi="Times New Roman" w:cs="Arial"/>
          <w:lang w:val="de-DE"/>
        </w:rPr>
        <w:t>vilcienos</w:t>
      </w:r>
      <w:proofErr w:type="spellEnd"/>
      <w:r w:rsidRPr="00CD4311">
        <w:rPr>
          <w:rFonts w:ascii="Times New Roman" w:hAnsi="Times New Roman" w:cs="Arial"/>
          <w:lang w:val="de-DE"/>
        </w:rPr>
        <w:t xml:space="preserve"> </w:t>
      </w:r>
      <w:proofErr w:type="spellStart"/>
      <w:r w:rsidRPr="00CD4311">
        <w:rPr>
          <w:rFonts w:ascii="Times New Roman" w:hAnsi="Times New Roman" w:cs="Arial"/>
          <w:lang w:val="de-DE"/>
        </w:rPr>
        <w:t>tās</w:t>
      </w:r>
      <w:proofErr w:type="spellEnd"/>
      <w:r w:rsidRPr="00CD4311">
        <w:rPr>
          <w:rFonts w:ascii="Times New Roman" w:hAnsi="Times New Roman" w:cs="Arial"/>
          <w:lang w:val="de-DE"/>
        </w:rPr>
        <w:t xml:space="preserve"> </w:t>
      </w:r>
      <w:proofErr w:type="spellStart"/>
      <w:r w:rsidRPr="00CD4311">
        <w:rPr>
          <w:rFonts w:ascii="Times New Roman" w:hAnsi="Times New Roman" w:cs="Arial"/>
          <w:lang w:val="de-DE"/>
        </w:rPr>
        <w:t>prasības</w:t>
      </w:r>
      <w:proofErr w:type="spellEnd"/>
      <w:r w:rsidRPr="00CD4311">
        <w:rPr>
          <w:rFonts w:ascii="Times New Roman" w:hAnsi="Times New Roman" w:cs="Arial"/>
          <w:lang w:val="de-DE"/>
        </w:rPr>
        <w:t xml:space="preserve">, </w:t>
      </w:r>
      <w:proofErr w:type="spellStart"/>
      <w:r w:rsidRPr="00CD4311">
        <w:rPr>
          <w:rFonts w:ascii="Times New Roman" w:hAnsi="Times New Roman" w:cs="Arial"/>
          <w:lang w:val="de-DE"/>
        </w:rPr>
        <w:t>kas</w:t>
      </w:r>
      <w:proofErr w:type="spellEnd"/>
      <w:r w:rsidRPr="00CD4311">
        <w:rPr>
          <w:rFonts w:ascii="Times New Roman" w:hAnsi="Times New Roman" w:cs="Arial"/>
          <w:lang w:val="de-DE"/>
        </w:rPr>
        <w:t xml:space="preserve"> </w:t>
      </w:r>
      <w:proofErr w:type="spellStart"/>
      <w:r w:rsidRPr="00CD4311">
        <w:rPr>
          <w:rFonts w:ascii="Times New Roman" w:hAnsi="Times New Roman" w:cs="Arial"/>
          <w:lang w:val="de-DE"/>
        </w:rPr>
        <w:t>ir</w:t>
      </w:r>
      <w:proofErr w:type="spellEnd"/>
      <w:r w:rsidRPr="00CD4311">
        <w:rPr>
          <w:rFonts w:ascii="Times New Roman" w:hAnsi="Times New Roman" w:cs="Arial"/>
          <w:lang w:val="de-DE"/>
        </w:rPr>
        <w:t xml:space="preserve"> </w:t>
      </w:r>
      <w:proofErr w:type="spellStart"/>
      <w:r w:rsidRPr="00CD4311">
        <w:rPr>
          <w:rFonts w:ascii="Times New Roman" w:hAnsi="Times New Roman" w:cs="Arial"/>
          <w:lang w:val="de-DE"/>
        </w:rPr>
        <w:t>noteiktas</w:t>
      </w:r>
      <w:proofErr w:type="spellEnd"/>
      <w:r w:rsidRPr="00CD4311">
        <w:rPr>
          <w:rFonts w:ascii="Times New Roman" w:hAnsi="Times New Roman" w:cs="Arial"/>
          <w:lang w:val="de-DE"/>
        </w:rPr>
        <w:t xml:space="preserve"> Latvijas </w:t>
      </w:r>
      <w:proofErr w:type="spellStart"/>
      <w:r w:rsidRPr="00CD4311">
        <w:rPr>
          <w:rFonts w:ascii="Times New Roman" w:hAnsi="Times New Roman" w:cs="Arial"/>
          <w:lang w:val="de-DE"/>
        </w:rPr>
        <w:t>Notariāta</w:t>
      </w:r>
      <w:proofErr w:type="spellEnd"/>
      <w:r w:rsidRPr="00CD4311">
        <w:rPr>
          <w:rFonts w:ascii="Times New Roman" w:hAnsi="Times New Roman" w:cs="Arial"/>
          <w:lang w:val="de-DE"/>
        </w:rPr>
        <w:t xml:space="preserve"> </w:t>
      </w:r>
      <w:proofErr w:type="spellStart"/>
      <w:r w:rsidRPr="00CD4311">
        <w:rPr>
          <w:rFonts w:ascii="Times New Roman" w:hAnsi="Times New Roman" w:cs="Arial"/>
          <w:lang w:val="de-DE"/>
        </w:rPr>
        <w:t>likumā</w:t>
      </w:r>
      <w:proofErr w:type="spellEnd"/>
      <w:r w:rsidRPr="00CD4311">
        <w:rPr>
          <w:rFonts w:ascii="Times New Roman" w:hAnsi="Times New Roman" w:cs="Arial"/>
          <w:lang w:val="de-DE"/>
        </w:rPr>
        <w:t xml:space="preserve"> </w:t>
      </w:r>
      <w:proofErr w:type="spellStart"/>
      <w:r w:rsidRPr="00CD4311">
        <w:rPr>
          <w:rFonts w:ascii="Times New Roman" w:hAnsi="Times New Roman" w:cs="Arial"/>
          <w:lang w:val="de-DE"/>
        </w:rPr>
        <w:t>attiecībā</w:t>
      </w:r>
      <w:proofErr w:type="spellEnd"/>
      <w:r w:rsidRPr="00CD4311">
        <w:rPr>
          <w:rFonts w:ascii="Times New Roman" w:hAnsi="Times New Roman" w:cs="Arial"/>
          <w:lang w:val="de-DE"/>
        </w:rPr>
        <w:t xml:space="preserve"> </w:t>
      </w:r>
      <w:proofErr w:type="spellStart"/>
      <w:r w:rsidRPr="00CD4311">
        <w:rPr>
          <w:rFonts w:ascii="Times New Roman" w:hAnsi="Times New Roman" w:cs="Arial"/>
          <w:lang w:val="de-DE"/>
        </w:rPr>
        <w:t>uz</w:t>
      </w:r>
      <w:proofErr w:type="spellEnd"/>
      <w:r w:rsidRPr="00CD4311">
        <w:rPr>
          <w:rFonts w:ascii="Times New Roman" w:hAnsi="Times New Roman" w:cs="Arial"/>
          <w:lang w:val="de-DE"/>
        </w:rPr>
        <w:t xml:space="preserve"> </w:t>
      </w:r>
      <w:proofErr w:type="spellStart"/>
      <w:r w:rsidRPr="00CD4311">
        <w:rPr>
          <w:rFonts w:ascii="Times New Roman" w:hAnsi="Times New Roman" w:cs="Arial"/>
          <w:lang w:val="de-DE"/>
        </w:rPr>
        <w:t>notariālā</w:t>
      </w:r>
      <w:proofErr w:type="spellEnd"/>
      <w:r w:rsidRPr="00CD4311">
        <w:rPr>
          <w:rFonts w:ascii="Times New Roman" w:hAnsi="Times New Roman" w:cs="Arial"/>
          <w:lang w:val="de-DE"/>
        </w:rPr>
        <w:t xml:space="preserve"> </w:t>
      </w:r>
      <w:proofErr w:type="spellStart"/>
      <w:r w:rsidRPr="00CD4311">
        <w:rPr>
          <w:rFonts w:ascii="Times New Roman" w:hAnsi="Times New Roman" w:cs="Arial"/>
          <w:lang w:val="de-DE"/>
        </w:rPr>
        <w:t>akta</w:t>
      </w:r>
      <w:proofErr w:type="spellEnd"/>
      <w:r w:rsidRPr="00CD4311">
        <w:rPr>
          <w:rFonts w:ascii="Times New Roman" w:hAnsi="Times New Roman" w:cs="Arial"/>
          <w:lang w:val="de-DE"/>
        </w:rPr>
        <w:t xml:space="preserve"> </w:t>
      </w:r>
      <w:proofErr w:type="spellStart"/>
      <w:r w:rsidRPr="00CD4311">
        <w:rPr>
          <w:rFonts w:ascii="Times New Roman" w:hAnsi="Times New Roman" w:cs="Arial"/>
          <w:lang w:val="de-DE"/>
        </w:rPr>
        <w:t>formu</w:t>
      </w:r>
      <w:proofErr w:type="spellEnd"/>
      <w:r w:rsidRPr="00CD4311">
        <w:rPr>
          <w:rFonts w:ascii="Times New Roman" w:hAnsi="Times New Roman" w:cs="Arial"/>
          <w:lang w:val="de-DE"/>
        </w:rPr>
        <w:t xml:space="preserve">. </w:t>
      </w:r>
      <w:proofErr w:type="spellStart"/>
      <w:r w:rsidRPr="00CD4311">
        <w:rPr>
          <w:rFonts w:ascii="Times New Roman" w:hAnsi="Times New Roman" w:cs="Arial"/>
          <w:lang w:val="de-DE"/>
        </w:rPr>
        <w:t>Tādēļ</w:t>
      </w:r>
      <w:proofErr w:type="spellEnd"/>
      <w:r w:rsidRPr="00CD4311">
        <w:rPr>
          <w:rFonts w:ascii="Times New Roman" w:hAnsi="Times New Roman" w:cs="Arial"/>
          <w:lang w:val="de-DE"/>
        </w:rPr>
        <w:t xml:space="preserve"> </w:t>
      </w:r>
      <w:proofErr w:type="spellStart"/>
      <w:r w:rsidR="007B02D0" w:rsidRPr="007B02D0">
        <w:rPr>
          <w:rFonts w:ascii="Times New Roman" w:hAnsi="Times New Roman" w:cs="Arial"/>
          <w:highlight w:val="red"/>
          <w:lang w:val="de-DE"/>
        </w:rPr>
        <w:t>formāli</w:t>
      </w:r>
      <w:proofErr w:type="spellEnd"/>
      <w:r w:rsidR="007B02D0">
        <w:rPr>
          <w:rFonts w:ascii="Times New Roman" w:hAnsi="Times New Roman" w:cs="Arial"/>
          <w:lang w:val="de-DE"/>
        </w:rPr>
        <w:t xml:space="preserve"> </w:t>
      </w:r>
      <w:proofErr w:type="spellStart"/>
      <w:r w:rsidRPr="00CD4311">
        <w:rPr>
          <w:rFonts w:ascii="Times New Roman" w:hAnsi="Times New Roman" w:cs="Arial"/>
          <w:lang w:val="de-DE"/>
        </w:rPr>
        <w:t>šie</w:t>
      </w:r>
      <w:proofErr w:type="spellEnd"/>
      <w:r w:rsidRPr="00CD4311">
        <w:rPr>
          <w:rFonts w:ascii="Times New Roman" w:hAnsi="Times New Roman" w:cs="Arial"/>
          <w:lang w:val="de-DE"/>
        </w:rPr>
        <w:t xml:space="preserve"> </w:t>
      </w:r>
      <w:proofErr w:type="spellStart"/>
      <w:r w:rsidRPr="00CD4311">
        <w:rPr>
          <w:rFonts w:ascii="Times New Roman" w:hAnsi="Times New Roman" w:cs="Arial"/>
          <w:lang w:val="de-DE"/>
        </w:rPr>
        <w:t>gadījumi</w:t>
      </w:r>
      <w:proofErr w:type="spellEnd"/>
      <w:r w:rsidRPr="00CD4311">
        <w:rPr>
          <w:rFonts w:ascii="Times New Roman" w:hAnsi="Times New Roman" w:cs="Arial"/>
          <w:lang w:val="de-DE"/>
        </w:rPr>
        <w:t xml:space="preserve"> </w:t>
      </w:r>
      <w:proofErr w:type="spellStart"/>
      <w:r w:rsidRPr="00CD4311">
        <w:rPr>
          <w:rFonts w:ascii="Times New Roman" w:hAnsi="Times New Roman" w:cs="Arial"/>
          <w:lang w:val="de-DE"/>
        </w:rPr>
        <w:t>tomēr</w:t>
      </w:r>
      <w:proofErr w:type="spellEnd"/>
      <w:r w:rsidRPr="00CD4311">
        <w:rPr>
          <w:rFonts w:ascii="Times New Roman" w:hAnsi="Times New Roman" w:cs="Arial"/>
          <w:lang w:val="de-DE"/>
        </w:rPr>
        <w:t xml:space="preserve"> </w:t>
      </w:r>
      <w:proofErr w:type="spellStart"/>
      <w:r w:rsidRPr="00CD4311">
        <w:rPr>
          <w:rFonts w:ascii="Times New Roman" w:hAnsi="Times New Roman" w:cs="Arial"/>
          <w:lang w:val="de-DE"/>
        </w:rPr>
        <w:t>ietilpst</w:t>
      </w:r>
      <w:proofErr w:type="spellEnd"/>
      <w:r w:rsidRPr="00CD4311">
        <w:rPr>
          <w:rFonts w:ascii="Times New Roman" w:hAnsi="Times New Roman" w:cs="Arial"/>
          <w:lang w:val="de-DE"/>
        </w:rPr>
        <w:t xml:space="preserve"> MK </w:t>
      </w:r>
      <w:proofErr w:type="spellStart"/>
      <w:r w:rsidRPr="00CD4311">
        <w:rPr>
          <w:rFonts w:ascii="Times New Roman" w:hAnsi="Times New Roman" w:cs="Arial"/>
          <w:lang w:val="de-DE"/>
        </w:rPr>
        <w:t>noteikumu</w:t>
      </w:r>
      <w:proofErr w:type="spellEnd"/>
      <w:r w:rsidRPr="00CD4311">
        <w:rPr>
          <w:rFonts w:ascii="Times New Roman" w:hAnsi="Times New Roman" w:cs="Arial"/>
          <w:lang w:val="de-DE"/>
        </w:rPr>
        <w:t xml:space="preserve"> Nr.283 9.1.punktā </w:t>
      </w:r>
      <w:proofErr w:type="spellStart"/>
      <w:r w:rsidRPr="00CD4311">
        <w:rPr>
          <w:rFonts w:ascii="Times New Roman" w:hAnsi="Times New Roman" w:cs="Arial"/>
          <w:lang w:val="de-DE"/>
        </w:rPr>
        <w:t>norādītajos</w:t>
      </w:r>
      <w:proofErr w:type="spellEnd"/>
      <w:r w:rsidRPr="00CD4311">
        <w:rPr>
          <w:rFonts w:ascii="Times New Roman" w:hAnsi="Times New Roman" w:cs="Arial"/>
          <w:lang w:val="de-DE"/>
        </w:rPr>
        <w:t xml:space="preserve"> </w:t>
      </w:r>
      <w:proofErr w:type="spellStart"/>
      <w:r w:rsidRPr="00CD4311">
        <w:rPr>
          <w:rFonts w:ascii="Times New Roman" w:hAnsi="Times New Roman" w:cs="Arial"/>
          <w:lang w:val="de-DE"/>
        </w:rPr>
        <w:t>izņēmuma</w:t>
      </w:r>
      <w:proofErr w:type="spellEnd"/>
      <w:r w:rsidRPr="00CD4311">
        <w:rPr>
          <w:rFonts w:ascii="Times New Roman" w:hAnsi="Times New Roman" w:cs="Arial"/>
          <w:lang w:val="de-DE"/>
        </w:rPr>
        <w:t xml:space="preserve"> </w:t>
      </w:r>
      <w:proofErr w:type="spellStart"/>
      <w:r w:rsidRPr="00CD4311">
        <w:rPr>
          <w:rFonts w:ascii="Times New Roman" w:hAnsi="Times New Roman" w:cs="Arial"/>
          <w:lang w:val="de-DE"/>
        </w:rPr>
        <w:t>gadījumos</w:t>
      </w:r>
      <w:proofErr w:type="spellEnd"/>
      <w:r w:rsidRPr="00CD4311">
        <w:rPr>
          <w:rFonts w:ascii="Times New Roman" w:hAnsi="Times New Roman" w:cs="Arial"/>
          <w:lang w:val="de-DE"/>
        </w:rPr>
        <w:t xml:space="preserve">, </w:t>
      </w:r>
      <w:proofErr w:type="spellStart"/>
      <w:r w:rsidRPr="00CD4311">
        <w:rPr>
          <w:rFonts w:ascii="Times New Roman" w:hAnsi="Times New Roman" w:cs="Arial"/>
          <w:lang w:val="de-DE"/>
        </w:rPr>
        <w:t>jo</w:t>
      </w:r>
      <w:proofErr w:type="spellEnd"/>
      <w:r w:rsidRPr="00CD4311">
        <w:rPr>
          <w:rFonts w:ascii="Times New Roman" w:hAnsi="Times New Roman" w:cs="Arial"/>
          <w:lang w:val="de-DE"/>
        </w:rPr>
        <w:t xml:space="preserve"> </w:t>
      </w:r>
      <w:proofErr w:type="spellStart"/>
      <w:r w:rsidRPr="00CD4311">
        <w:rPr>
          <w:rFonts w:ascii="Times New Roman" w:hAnsi="Times New Roman" w:cs="Arial"/>
          <w:lang w:val="de-DE"/>
        </w:rPr>
        <w:t>sevišķi</w:t>
      </w:r>
      <w:proofErr w:type="spellEnd"/>
      <w:r w:rsidRPr="00CD4311">
        <w:rPr>
          <w:rFonts w:ascii="Times New Roman" w:hAnsi="Times New Roman" w:cs="Arial"/>
          <w:lang w:val="de-DE"/>
        </w:rPr>
        <w:t xml:space="preserve"> </w:t>
      </w:r>
      <w:proofErr w:type="spellStart"/>
      <w:r w:rsidRPr="00CD4311">
        <w:rPr>
          <w:rFonts w:ascii="Times New Roman" w:hAnsi="Times New Roman" w:cs="Arial"/>
          <w:lang w:val="de-DE"/>
        </w:rPr>
        <w:t>tad</w:t>
      </w:r>
      <w:proofErr w:type="spellEnd"/>
      <w:r w:rsidRPr="00CD4311">
        <w:rPr>
          <w:rFonts w:ascii="Times New Roman" w:hAnsi="Times New Roman" w:cs="Arial"/>
          <w:lang w:val="de-DE"/>
        </w:rPr>
        <w:t xml:space="preserve">, ja </w:t>
      </w:r>
      <w:r w:rsidRPr="00CD4311">
        <w:rPr>
          <w:rFonts w:ascii="Times New Roman" w:hAnsi="Times New Roman" w:cs="Arial"/>
          <w:i/>
          <w:lang w:val="de-DE"/>
        </w:rPr>
        <w:t>Common Law</w:t>
      </w:r>
      <w:r w:rsidRPr="00CD4311">
        <w:rPr>
          <w:rFonts w:ascii="Times New Roman" w:hAnsi="Times New Roman" w:cs="Arial"/>
          <w:lang w:val="de-DE"/>
        </w:rPr>
        <w:t xml:space="preserve"> </w:t>
      </w:r>
      <w:proofErr w:type="spellStart"/>
      <w:r w:rsidRPr="00CD4311">
        <w:rPr>
          <w:rFonts w:ascii="Times New Roman" w:hAnsi="Times New Roman" w:cs="Arial"/>
          <w:lang w:val="de-DE"/>
        </w:rPr>
        <w:t>tiesību</w:t>
      </w:r>
      <w:proofErr w:type="spellEnd"/>
      <w:r w:rsidRPr="00CD4311">
        <w:rPr>
          <w:rFonts w:ascii="Times New Roman" w:hAnsi="Times New Roman" w:cs="Arial"/>
          <w:lang w:val="de-DE"/>
        </w:rPr>
        <w:t xml:space="preserve"> </w:t>
      </w:r>
      <w:proofErr w:type="spellStart"/>
      <w:r w:rsidRPr="00CD4311">
        <w:rPr>
          <w:rFonts w:ascii="Times New Roman" w:hAnsi="Times New Roman" w:cs="Arial"/>
          <w:lang w:val="de-DE"/>
        </w:rPr>
        <w:t>sistēmas</w:t>
      </w:r>
      <w:proofErr w:type="spellEnd"/>
      <w:r w:rsidRPr="00CD4311">
        <w:rPr>
          <w:rFonts w:ascii="Times New Roman" w:hAnsi="Times New Roman" w:cs="Arial"/>
          <w:lang w:val="de-DE"/>
        </w:rPr>
        <w:t xml:space="preserve"> </w:t>
      </w:r>
      <w:proofErr w:type="spellStart"/>
      <w:r w:rsidRPr="00CD4311">
        <w:rPr>
          <w:rFonts w:ascii="Times New Roman" w:hAnsi="Times New Roman" w:cs="Arial"/>
          <w:lang w:val="de-DE"/>
        </w:rPr>
        <w:t>valstī</w:t>
      </w:r>
      <w:proofErr w:type="spellEnd"/>
      <w:r w:rsidRPr="00CD4311">
        <w:rPr>
          <w:rFonts w:ascii="Times New Roman" w:hAnsi="Times New Roman" w:cs="Arial"/>
          <w:lang w:val="de-DE"/>
        </w:rPr>
        <w:t xml:space="preserve"> </w:t>
      </w:r>
      <w:proofErr w:type="spellStart"/>
      <w:r w:rsidRPr="00CD4311">
        <w:rPr>
          <w:rFonts w:ascii="Times New Roman" w:hAnsi="Times New Roman" w:cs="Arial"/>
          <w:lang w:val="de-DE"/>
        </w:rPr>
        <w:t>pilnvara</w:t>
      </w:r>
      <w:proofErr w:type="spellEnd"/>
      <w:r w:rsidRPr="00CD4311">
        <w:rPr>
          <w:rFonts w:ascii="Times New Roman" w:hAnsi="Times New Roman" w:cs="Arial"/>
          <w:lang w:val="de-DE"/>
        </w:rPr>
        <w:t xml:space="preserve"> </w:t>
      </w:r>
      <w:proofErr w:type="spellStart"/>
      <w:r w:rsidRPr="00CD4311">
        <w:rPr>
          <w:rFonts w:ascii="Times New Roman" w:hAnsi="Times New Roman" w:cs="Arial"/>
          <w:lang w:val="de-DE"/>
        </w:rPr>
        <w:t>tiek</w:t>
      </w:r>
      <w:proofErr w:type="spellEnd"/>
      <w:r w:rsidRPr="00CD4311">
        <w:rPr>
          <w:rFonts w:ascii="Times New Roman" w:hAnsi="Times New Roman" w:cs="Arial"/>
          <w:lang w:val="de-DE"/>
        </w:rPr>
        <w:t xml:space="preserve"> </w:t>
      </w:r>
      <w:proofErr w:type="spellStart"/>
      <w:r w:rsidRPr="00CD4311">
        <w:rPr>
          <w:rFonts w:ascii="Times New Roman" w:hAnsi="Times New Roman" w:cs="Arial"/>
          <w:lang w:val="de-DE"/>
        </w:rPr>
        <w:t>izdota</w:t>
      </w:r>
      <w:proofErr w:type="spellEnd"/>
      <w:r w:rsidRPr="00CD4311">
        <w:rPr>
          <w:rFonts w:ascii="Times New Roman" w:hAnsi="Times New Roman" w:cs="Arial"/>
          <w:lang w:val="de-DE"/>
        </w:rPr>
        <w:t xml:space="preserve"> </w:t>
      </w:r>
      <w:proofErr w:type="spellStart"/>
      <w:r w:rsidRPr="00CD4311">
        <w:rPr>
          <w:rFonts w:ascii="Times New Roman" w:hAnsi="Times New Roman" w:cs="Arial"/>
          <w:lang w:val="de-DE"/>
        </w:rPr>
        <w:lastRenderedPageBreak/>
        <w:t>darbībām</w:t>
      </w:r>
      <w:proofErr w:type="spellEnd"/>
      <w:r w:rsidRPr="00CD4311">
        <w:rPr>
          <w:rFonts w:ascii="Times New Roman" w:hAnsi="Times New Roman" w:cs="Arial"/>
          <w:lang w:val="de-DE"/>
        </w:rPr>
        <w:t xml:space="preserve"> </w:t>
      </w:r>
      <w:proofErr w:type="spellStart"/>
      <w:r w:rsidRPr="00CD4311">
        <w:rPr>
          <w:rFonts w:ascii="Times New Roman" w:hAnsi="Times New Roman" w:cs="Arial"/>
          <w:lang w:val="de-DE"/>
        </w:rPr>
        <w:t>ar</w:t>
      </w:r>
      <w:proofErr w:type="spellEnd"/>
      <w:r w:rsidRPr="00CD4311">
        <w:rPr>
          <w:rFonts w:ascii="Times New Roman" w:hAnsi="Times New Roman" w:cs="Arial"/>
          <w:lang w:val="de-DE"/>
        </w:rPr>
        <w:t xml:space="preserve"> </w:t>
      </w:r>
      <w:proofErr w:type="spellStart"/>
      <w:r w:rsidRPr="00CD4311">
        <w:rPr>
          <w:rFonts w:ascii="Times New Roman" w:hAnsi="Times New Roman" w:cs="Arial"/>
          <w:lang w:val="de-DE"/>
        </w:rPr>
        <w:t>Latvijā</w:t>
      </w:r>
      <w:proofErr w:type="spellEnd"/>
      <w:r w:rsidRPr="00CD4311">
        <w:rPr>
          <w:rFonts w:ascii="Times New Roman" w:hAnsi="Times New Roman" w:cs="Arial"/>
          <w:lang w:val="de-DE"/>
        </w:rPr>
        <w:t xml:space="preserve"> </w:t>
      </w:r>
      <w:proofErr w:type="spellStart"/>
      <w:r w:rsidRPr="00CD4311">
        <w:rPr>
          <w:rFonts w:ascii="Times New Roman" w:hAnsi="Times New Roman" w:cs="Arial"/>
          <w:lang w:val="de-DE"/>
        </w:rPr>
        <w:t>esošu</w:t>
      </w:r>
      <w:proofErr w:type="spellEnd"/>
      <w:r w:rsidRPr="00CD4311">
        <w:rPr>
          <w:rFonts w:ascii="Times New Roman" w:hAnsi="Times New Roman" w:cs="Arial"/>
          <w:lang w:val="de-DE"/>
        </w:rPr>
        <w:t xml:space="preserve"> </w:t>
      </w:r>
      <w:proofErr w:type="spellStart"/>
      <w:r w:rsidRPr="00CD4311">
        <w:rPr>
          <w:rFonts w:ascii="Times New Roman" w:hAnsi="Times New Roman" w:cs="Arial"/>
          <w:lang w:val="de-DE"/>
        </w:rPr>
        <w:t>nekustamo</w:t>
      </w:r>
      <w:proofErr w:type="spellEnd"/>
      <w:r w:rsidRPr="00CD4311">
        <w:rPr>
          <w:rFonts w:ascii="Times New Roman" w:hAnsi="Times New Roman" w:cs="Arial"/>
          <w:lang w:val="de-DE"/>
        </w:rPr>
        <w:t xml:space="preserve"> </w:t>
      </w:r>
      <w:proofErr w:type="spellStart"/>
      <w:r w:rsidRPr="00CD4311">
        <w:rPr>
          <w:rFonts w:ascii="Times New Roman" w:hAnsi="Times New Roman" w:cs="Arial"/>
          <w:lang w:val="de-DE"/>
        </w:rPr>
        <w:t>īpašumu</w:t>
      </w:r>
      <w:proofErr w:type="spellEnd"/>
      <w:r w:rsidRPr="00CD4311">
        <w:rPr>
          <w:rFonts w:ascii="Times New Roman" w:hAnsi="Times New Roman" w:cs="Arial"/>
          <w:lang w:val="de-DE"/>
        </w:rPr>
        <w:t xml:space="preserve"> (</w:t>
      </w:r>
      <w:proofErr w:type="spellStart"/>
      <w:r w:rsidRPr="00CD4311">
        <w:rPr>
          <w:rFonts w:ascii="Times New Roman" w:hAnsi="Times New Roman" w:cs="Arial"/>
          <w:lang w:val="de-DE"/>
        </w:rPr>
        <w:t>skat</w:t>
      </w:r>
      <w:proofErr w:type="spellEnd"/>
      <w:r w:rsidRPr="00CD4311">
        <w:rPr>
          <w:rFonts w:ascii="Times New Roman" w:hAnsi="Times New Roman" w:cs="Arial"/>
          <w:lang w:val="de-DE"/>
        </w:rPr>
        <w:t xml:space="preserve">. CL </w:t>
      </w:r>
      <w:proofErr w:type="spellStart"/>
      <w:r w:rsidRPr="00CD4311">
        <w:rPr>
          <w:rFonts w:ascii="Times New Roman" w:hAnsi="Times New Roman" w:cs="Arial"/>
          <w:lang w:val="de-DE"/>
        </w:rPr>
        <w:t>Ievada</w:t>
      </w:r>
      <w:proofErr w:type="spellEnd"/>
      <w:r w:rsidRPr="00CD4311">
        <w:rPr>
          <w:rFonts w:ascii="Times New Roman" w:hAnsi="Times New Roman" w:cs="Arial"/>
          <w:lang w:val="de-DE"/>
        </w:rPr>
        <w:t xml:space="preserve"> 21.p. 2.d. </w:t>
      </w:r>
      <w:proofErr w:type="spellStart"/>
      <w:r w:rsidRPr="00CD4311">
        <w:rPr>
          <w:rFonts w:ascii="Times New Roman" w:hAnsi="Times New Roman" w:cs="Arial"/>
          <w:lang w:val="de-DE"/>
        </w:rPr>
        <w:t>un</w:t>
      </w:r>
      <w:proofErr w:type="spellEnd"/>
      <w:r w:rsidRPr="00CD4311">
        <w:rPr>
          <w:rFonts w:ascii="Times New Roman" w:hAnsi="Times New Roman" w:cs="Arial"/>
          <w:lang w:val="de-DE"/>
        </w:rPr>
        <w:t xml:space="preserve"> 18.p. 4.d.) </w:t>
      </w:r>
      <w:proofErr w:type="spellStart"/>
      <w:r w:rsidRPr="00CD4311">
        <w:rPr>
          <w:rFonts w:ascii="Times New Roman" w:hAnsi="Times New Roman" w:cs="Arial"/>
          <w:lang w:val="de-DE"/>
        </w:rPr>
        <w:t>un</w:t>
      </w:r>
      <w:proofErr w:type="spellEnd"/>
      <w:r w:rsidRPr="00CD4311">
        <w:rPr>
          <w:rFonts w:ascii="Times New Roman" w:hAnsi="Times New Roman" w:cs="Arial"/>
          <w:lang w:val="de-DE"/>
        </w:rPr>
        <w:t>/</w:t>
      </w:r>
      <w:proofErr w:type="spellStart"/>
      <w:r w:rsidRPr="00CD4311">
        <w:rPr>
          <w:rFonts w:ascii="Times New Roman" w:hAnsi="Times New Roman" w:cs="Arial"/>
          <w:lang w:val="de-DE"/>
        </w:rPr>
        <w:t>vai</w:t>
      </w:r>
      <w:proofErr w:type="spellEnd"/>
      <w:r w:rsidRPr="00CD4311">
        <w:rPr>
          <w:rFonts w:ascii="Times New Roman" w:hAnsi="Times New Roman" w:cs="Arial"/>
          <w:lang w:val="de-DE"/>
        </w:rPr>
        <w:t xml:space="preserve"> </w:t>
      </w:r>
      <w:proofErr w:type="spellStart"/>
      <w:r w:rsidRPr="00CD4311">
        <w:rPr>
          <w:rFonts w:ascii="Times New Roman" w:hAnsi="Times New Roman" w:cs="Arial"/>
          <w:lang w:val="de-DE"/>
        </w:rPr>
        <w:t>darbībām</w:t>
      </w:r>
      <w:proofErr w:type="spellEnd"/>
      <w:r w:rsidRPr="00CD4311">
        <w:rPr>
          <w:rFonts w:ascii="Times New Roman" w:hAnsi="Times New Roman" w:cs="Arial"/>
          <w:lang w:val="de-DE"/>
        </w:rPr>
        <w:t xml:space="preserve">, </w:t>
      </w:r>
      <w:proofErr w:type="spellStart"/>
      <w:r w:rsidRPr="00CD4311">
        <w:rPr>
          <w:rFonts w:ascii="Times New Roman" w:hAnsi="Times New Roman" w:cs="Arial"/>
          <w:lang w:val="de-DE"/>
        </w:rPr>
        <w:t>kas</w:t>
      </w:r>
      <w:proofErr w:type="spellEnd"/>
      <w:r w:rsidRPr="00CD4311">
        <w:rPr>
          <w:rFonts w:ascii="Times New Roman" w:hAnsi="Times New Roman" w:cs="Arial"/>
          <w:lang w:val="de-DE"/>
        </w:rPr>
        <w:t xml:space="preserve"> </w:t>
      </w:r>
      <w:proofErr w:type="spellStart"/>
      <w:r w:rsidRPr="00CD4311">
        <w:rPr>
          <w:rFonts w:ascii="Times New Roman" w:hAnsi="Times New Roman" w:cs="Arial"/>
          <w:lang w:val="de-DE"/>
        </w:rPr>
        <w:t>saistītas</w:t>
      </w:r>
      <w:proofErr w:type="spellEnd"/>
      <w:r w:rsidRPr="00CD4311">
        <w:rPr>
          <w:rFonts w:ascii="Times New Roman" w:hAnsi="Times New Roman" w:cs="Arial"/>
          <w:lang w:val="de-DE"/>
        </w:rPr>
        <w:t xml:space="preserve"> </w:t>
      </w:r>
      <w:proofErr w:type="spellStart"/>
      <w:r w:rsidRPr="00CD4311">
        <w:rPr>
          <w:rFonts w:ascii="Times New Roman" w:hAnsi="Times New Roman" w:cs="Arial"/>
          <w:lang w:val="de-DE"/>
        </w:rPr>
        <w:t>ar</w:t>
      </w:r>
      <w:proofErr w:type="spellEnd"/>
      <w:r w:rsidRPr="00CD4311">
        <w:rPr>
          <w:rFonts w:ascii="Times New Roman" w:hAnsi="Times New Roman" w:cs="Arial"/>
          <w:lang w:val="de-DE"/>
        </w:rPr>
        <w:t xml:space="preserve"> </w:t>
      </w:r>
      <w:proofErr w:type="spellStart"/>
      <w:r w:rsidRPr="00CD4311">
        <w:rPr>
          <w:rFonts w:ascii="Times New Roman" w:hAnsi="Times New Roman" w:cs="Arial"/>
          <w:lang w:val="de-DE"/>
        </w:rPr>
        <w:t>ierakstu</w:t>
      </w:r>
      <w:proofErr w:type="spellEnd"/>
      <w:r w:rsidRPr="00CD4311">
        <w:rPr>
          <w:rFonts w:ascii="Times New Roman" w:hAnsi="Times New Roman" w:cs="Arial"/>
          <w:lang w:val="de-DE"/>
        </w:rPr>
        <w:t xml:space="preserve"> </w:t>
      </w:r>
      <w:proofErr w:type="spellStart"/>
      <w:r w:rsidRPr="00CD4311">
        <w:rPr>
          <w:rFonts w:ascii="Times New Roman" w:hAnsi="Times New Roman" w:cs="Arial"/>
          <w:lang w:val="de-DE"/>
        </w:rPr>
        <w:t>izdarīšanu</w:t>
      </w:r>
      <w:proofErr w:type="spellEnd"/>
      <w:r w:rsidRPr="00CD4311">
        <w:rPr>
          <w:rFonts w:ascii="Times New Roman" w:hAnsi="Times New Roman" w:cs="Arial"/>
          <w:lang w:val="de-DE"/>
        </w:rPr>
        <w:t xml:space="preserve"> Latvijas </w:t>
      </w:r>
      <w:proofErr w:type="spellStart"/>
      <w:r w:rsidRPr="00CD4311">
        <w:rPr>
          <w:rFonts w:ascii="Times New Roman" w:hAnsi="Times New Roman" w:cs="Arial"/>
          <w:lang w:val="de-DE"/>
        </w:rPr>
        <w:t>publiskajos</w:t>
      </w:r>
      <w:proofErr w:type="spellEnd"/>
      <w:r w:rsidRPr="00CD4311">
        <w:rPr>
          <w:rFonts w:ascii="Times New Roman" w:hAnsi="Times New Roman" w:cs="Arial"/>
          <w:lang w:val="de-DE"/>
        </w:rPr>
        <w:t xml:space="preserve"> </w:t>
      </w:r>
      <w:proofErr w:type="spellStart"/>
      <w:r w:rsidRPr="00CD4311">
        <w:rPr>
          <w:rFonts w:ascii="Times New Roman" w:hAnsi="Times New Roman" w:cs="Arial"/>
          <w:lang w:val="de-DE"/>
        </w:rPr>
        <w:t>reģistros</w:t>
      </w:r>
      <w:proofErr w:type="spellEnd"/>
      <w:r w:rsidRPr="00CD4311">
        <w:rPr>
          <w:rFonts w:ascii="Times New Roman" w:hAnsi="Times New Roman" w:cs="Arial"/>
          <w:lang w:val="de-DE"/>
        </w:rPr>
        <w:t>.</w:t>
      </w:r>
    </w:p>
    <w:p w14:paraId="38FDE001" w14:textId="77777777" w:rsidR="00114953" w:rsidRPr="000C7C76" w:rsidRDefault="00114953" w:rsidP="00114953">
      <w:pPr>
        <w:jc w:val="both"/>
        <w:rPr>
          <w:rFonts w:ascii="Times New Roman" w:hAnsi="Times New Roman" w:cs="Times New Roman"/>
          <w:lang w:val="de-DE"/>
        </w:rPr>
      </w:pPr>
    </w:p>
    <w:p w14:paraId="7E8768BE" w14:textId="77777777" w:rsidR="00114953" w:rsidRPr="000C7C76" w:rsidRDefault="00114953" w:rsidP="00114953">
      <w:pPr>
        <w:jc w:val="both"/>
        <w:rPr>
          <w:rFonts w:ascii="Times New Roman" w:hAnsi="Times New Roman" w:cs="Times New Roman"/>
          <w:lang w:val="de-DE"/>
        </w:rPr>
      </w:pPr>
    </w:p>
    <w:p w14:paraId="2BCA2DD2" w14:textId="77777777" w:rsidR="00114953" w:rsidRPr="000C7C76" w:rsidRDefault="00114953" w:rsidP="00114953">
      <w:pPr>
        <w:jc w:val="both"/>
        <w:rPr>
          <w:rFonts w:ascii="Times New Roman" w:hAnsi="Times New Roman" w:cs="Times New Roman"/>
          <w:lang w:val="de-DE"/>
        </w:rPr>
      </w:pPr>
    </w:p>
    <w:p w14:paraId="064CA13E" w14:textId="77777777" w:rsidR="00114953" w:rsidRPr="000C7C76" w:rsidRDefault="00114953" w:rsidP="00114953">
      <w:pPr>
        <w:jc w:val="center"/>
        <w:rPr>
          <w:rFonts w:ascii="Times New Roman" w:hAnsi="Times New Roman" w:cs="Times New Roman"/>
          <w:b/>
          <w:sz w:val="28"/>
          <w:szCs w:val="28"/>
          <w:lang w:val="de-DE"/>
        </w:rPr>
      </w:pPr>
    </w:p>
    <w:p w14:paraId="44D273BB" w14:textId="77777777" w:rsidR="00114953" w:rsidRPr="000C7C76" w:rsidRDefault="00114953" w:rsidP="00114953">
      <w:pPr>
        <w:jc w:val="center"/>
        <w:rPr>
          <w:rFonts w:ascii="Times New Roman" w:hAnsi="Times New Roman" w:cs="Times New Roman"/>
          <w:b/>
          <w:sz w:val="28"/>
          <w:szCs w:val="28"/>
          <w:lang w:val="de-DE"/>
        </w:rPr>
      </w:pPr>
      <w:proofErr w:type="spellStart"/>
      <w:r w:rsidRPr="000C7C76">
        <w:rPr>
          <w:rFonts w:ascii="Times New Roman" w:hAnsi="Times New Roman" w:cs="Times New Roman"/>
          <w:b/>
          <w:sz w:val="28"/>
          <w:szCs w:val="28"/>
          <w:lang w:val="de-DE"/>
        </w:rPr>
        <w:t>Galvenie</w:t>
      </w:r>
      <w:proofErr w:type="spellEnd"/>
      <w:r w:rsidRPr="000C7C76">
        <w:rPr>
          <w:rFonts w:ascii="Times New Roman" w:hAnsi="Times New Roman" w:cs="Times New Roman"/>
          <w:b/>
          <w:sz w:val="28"/>
          <w:szCs w:val="28"/>
          <w:lang w:val="de-DE"/>
        </w:rPr>
        <w:t xml:space="preserve"> </w:t>
      </w:r>
      <w:proofErr w:type="spellStart"/>
      <w:r w:rsidRPr="000C7C76">
        <w:rPr>
          <w:rFonts w:ascii="Times New Roman" w:hAnsi="Times New Roman" w:cs="Times New Roman"/>
          <w:b/>
          <w:sz w:val="28"/>
          <w:szCs w:val="28"/>
          <w:lang w:val="de-DE"/>
        </w:rPr>
        <w:t>ieteikumi</w:t>
      </w:r>
      <w:proofErr w:type="spellEnd"/>
      <w:r w:rsidRPr="000C7C76">
        <w:rPr>
          <w:rFonts w:ascii="Times New Roman" w:hAnsi="Times New Roman" w:cs="Times New Roman"/>
          <w:b/>
          <w:sz w:val="28"/>
          <w:szCs w:val="28"/>
          <w:lang w:val="de-DE"/>
        </w:rPr>
        <w:t> </w:t>
      </w:r>
    </w:p>
    <w:p w14:paraId="58AEAD37" w14:textId="77777777" w:rsidR="00114953" w:rsidRPr="000C7C76" w:rsidRDefault="00114953" w:rsidP="00114953">
      <w:pPr>
        <w:jc w:val="center"/>
        <w:rPr>
          <w:rFonts w:ascii="Times New Roman" w:hAnsi="Times New Roman" w:cs="Times New Roman"/>
          <w:lang w:val="de-DE"/>
        </w:rPr>
      </w:pPr>
    </w:p>
    <w:p w14:paraId="4038007B" w14:textId="77777777" w:rsidR="00114953" w:rsidRPr="000C7C76" w:rsidRDefault="00114953" w:rsidP="00114953">
      <w:pPr>
        <w:jc w:val="both"/>
        <w:rPr>
          <w:rFonts w:ascii="Times New Roman" w:hAnsi="Times New Roman" w:cs="Times New Roman"/>
          <w:lang w:val="de-DE"/>
        </w:rPr>
      </w:pPr>
    </w:p>
    <w:p w14:paraId="3F773EEF" w14:textId="77777777" w:rsidR="00114953" w:rsidRPr="000C7C76" w:rsidRDefault="00114953" w:rsidP="00114953">
      <w:pPr>
        <w:jc w:val="both"/>
        <w:rPr>
          <w:rFonts w:ascii="Times New Roman" w:hAnsi="Times New Roman" w:cs="Times New Roman"/>
          <w:lang w:val="de-DE"/>
        </w:rPr>
      </w:pPr>
      <w:r w:rsidRPr="000C7C76">
        <w:rPr>
          <w:rFonts w:ascii="Times New Roman" w:hAnsi="Times New Roman" w:cs="Times New Roman"/>
          <w:lang w:val="de-DE"/>
        </w:rPr>
        <w:t xml:space="preserve">1. </w:t>
      </w:r>
      <w:proofErr w:type="spellStart"/>
      <w:r w:rsidRPr="000C7C76">
        <w:rPr>
          <w:rFonts w:ascii="Times New Roman" w:hAnsi="Times New Roman" w:cs="Times New Roman"/>
          <w:lang w:val="de-DE"/>
        </w:rPr>
        <w:t>Tā</w:t>
      </w:r>
      <w:proofErr w:type="spellEnd"/>
      <w:r w:rsidRPr="000C7C76">
        <w:rPr>
          <w:rFonts w:ascii="Times New Roman" w:hAnsi="Times New Roman" w:cs="Times New Roman"/>
          <w:lang w:val="de-DE"/>
        </w:rPr>
        <w:t xml:space="preserve"> </w:t>
      </w:r>
      <w:proofErr w:type="spellStart"/>
      <w:r w:rsidRPr="000C7C76">
        <w:rPr>
          <w:rFonts w:ascii="Times New Roman" w:hAnsi="Times New Roman" w:cs="Times New Roman"/>
          <w:lang w:val="de-DE"/>
        </w:rPr>
        <w:t>kā</w:t>
      </w:r>
      <w:proofErr w:type="spellEnd"/>
      <w:r w:rsidRPr="000C7C76">
        <w:rPr>
          <w:rFonts w:ascii="Times New Roman" w:hAnsi="Times New Roman" w:cs="Times New Roman"/>
          <w:lang w:val="de-DE"/>
        </w:rPr>
        <w:t xml:space="preserve"> Latvijas </w:t>
      </w:r>
      <w:proofErr w:type="spellStart"/>
      <w:r w:rsidRPr="000C7C76">
        <w:rPr>
          <w:rFonts w:ascii="Times New Roman" w:hAnsi="Times New Roman" w:cs="Times New Roman"/>
          <w:lang w:val="de-DE"/>
        </w:rPr>
        <w:t>tieslietu</w:t>
      </w:r>
      <w:proofErr w:type="spellEnd"/>
      <w:r w:rsidRPr="000C7C76">
        <w:rPr>
          <w:rFonts w:ascii="Times New Roman" w:hAnsi="Times New Roman" w:cs="Times New Roman"/>
          <w:lang w:val="de-DE"/>
        </w:rPr>
        <w:t xml:space="preserve"> </w:t>
      </w:r>
      <w:proofErr w:type="spellStart"/>
      <w:r w:rsidRPr="000C7C76">
        <w:rPr>
          <w:rFonts w:ascii="Times New Roman" w:hAnsi="Times New Roman" w:cs="Times New Roman"/>
          <w:lang w:val="de-DE"/>
        </w:rPr>
        <w:t>ministram</w:t>
      </w:r>
      <w:proofErr w:type="spellEnd"/>
      <w:r w:rsidRPr="000C7C76">
        <w:rPr>
          <w:rFonts w:ascii="Times New Roman" w:hAnsi="Times New Roman" w:cs="Times New Roman"/>
          <w:lang w:val="de-DE"/>
        </w:rPr>
        <w:t xml:space="preserve"> (</w:t>
      </w:r>
      <w:proofErr w:type="spellStart"/>
      <w:r w:rsidRPr="000C7C76">
        <w:rPr>
          <w:rFonts w:ascii="Times New Roman" w:hAnsi="Times New Roman" w:cs="Times New Roman"/>
          <w:lang w:val="de-DE"/>
        </w:rPr>
        <w:t>atšķirībā</w:t>
      </w:r>
      <w:proofErr w:type="spellEnd"/>
      <w:r w:rsidRPr="000C7C76">
        <w:rPr>
          <w:rFonts w:ascii="Times New Roman" w:hAnsi="Times New Roman" w:cs="Times New Roman"/>
          <w:lang w:val="de-DE"/>
        </w:rPr>
        <w:t xml:space="preserve"> </w:t>
      </w:r>
      <w:proofErr w:type="spellStart"/>
      <w:r w:rsidRPr="000C7C76">
        <w:rPr>
          <w:rFonts w:ascii="Times New Roman" w:hAnsi="Times New Roman" w:cs="Times New Roman"/>
          <w:lang w:val="de-DE"/>
        </w:rPr>
        <w:t>no</w:t>
      </w:r>
      <w:proofErr w:type="spellEnd"/>
      <w:r w:rsidRPr="000C7C76">
        <w:rPr>
          <w:rFonts w:ascii="Times New Roman" w:hAnsi="Times New Roman" w:cs="Times New Roman"/>
          <w:lang w:val="de-DE"/>
        </w:rPr>
        <w:t xml:space="preserve"> </w:t>
      </w:r>
      <w:proofErr w:type="spellStart"/>
      <w:r w:rsidRPr="000C7C76">
        <w:rPr>
          <w:rFonts w:ascii="Times New Roman" w:hAnsi="Times New Roman" w:cs="Times New Roman"/>
          <w:lang w:val="de-DE"/>
        </w:rPr>
        <w:t>Igaunijas</w:t>
      </w:r>
      <w:proofErr w:type="spellEnd"/>
      <w:r w:rsidRPr="000C7C76">
        <w:rPr>
          <w:rFonts w:ascii="Times New Roman" w:hAnsi="Times New Roman" w:cs="Times New Roman"/>
          <w:lang w:val="de-DE"/>
        </w:rPr>
        <w:t xml:space="preserve"> </w:t>
      </w:r>
      <w:proofErr w:type="spellStart"/>
      <w:r w:rsidRPr="000C7C76">
        <w:rPr>
          <w:rFonts w:ascii="Times New Roman" w:hAnsi="Times New Roman" w:cs="Times New Roman"/>
          <w:lang w:val="de-DE"/>
        </w:rPr>
        <w:t>tieslietu</w:t>
      </w:r>
      <w:proofErr w:type="spellEnd"/>
      <w:r w:rsidRPr="000C7C76">
        <w:rPr>
          <w:rFonts w:ascii="Times New Roman" w:hAnsi="Times New Roman" w:cs="Times New Roman"/>
          <w:lang w:val="de-DE"/>
        </w:rPr>
        <w:t xml:space="preserve"> </w:t>
      </w:r>
      <w:proofErr w:type="spellStart"/>
      <w:r w:rsidRPr="000C7C76">
        <w:rPr>
          <w:rFonts w:ascii="Times New Roman" w:hAnsi="Times New Roman" w:cs="Times New Roman"/>
          <w:lang w:val="de-DE"/>
        </w:rPr>
        <w:t>ministra</w:t>
      </w:r>
      <w:proofErr w:type="spellEnd"/>
      <w:r w:rsidRPr="000C7C76">
        <w:rPr>
          <w:rFonts w:ascii="Times New Roman" w:hAnsi="Times New Roman" w:cs="Times New Roman"/>
          <w:lang w:val="de-DE"/>
        </w:rPr>
        <w:t xml:space="preserve">) </w:t>
      </w:r>
      <w:proofErr w:type="spellStart"/>
      <w:r w:rsidRPr="000C7C76">
        <w:rPr>
          <w:rFonts w:ascii="Times New Roman" w:hAnsi="Times New Roman" w:cs="Times New Roman"/>
          <w:lang w:val="de-DE"/>
        </w:rPr>
        <w:t>nav</w:t>
      </w:r>
      <w:proofErr w:type="spellEnd"/>
      <w:r w:rsidRPr="000C7C76">
        <w:rPr>
          <w:rFonts w:ascii="Times New Roman" w:hAnsi="Times New Roman" w:cs="Times New Roman"/>
          <w:lang w:val="de-DE"/>
        </w:rPr>
        <w:t xml:space="preserve"> </w:t>
      </w:r>
      <w:proofErr w:type="spellStart"/>
      <w:r w:rsidRPr="000C7C76">
        <w:rPr>
          <w:rFonts w:ascii="Times New Roman" w:hAnsi="Times New Roman" w:cs="Times New Roman"/>
          <w:lang w:val="de-DE"/>
        </w:rPr>
        <w:t>likumā</w:t>
      </w:r>
      <w:proofErr w:type="spellEnd"/>
      <w:r w:rsidRPr="000C7C76">
        <w:rPr>
          <w:rFonts w:ascii="Times New Roman" w:hAnsi="Times New Roman" w:cs="Times New Roman"/>
          <w:lang w:val="de-DE"/>
        </w:rPr>
        <w:t xml:space="preserve"> </w:t>
      </w:r>
      <w:proofErr w:type="spellStart"/>
      <w:r w:rsidRPr="000C7C76">
        <w:rPr>
          <w:rFonts w:ascii="Times New Roman" w:hAnsi="Times New Roman" w:cs="Times New Roman"/>
          <w:lang w:val="de-DE"/>
        </w:rPr>
        <w:t>ietverts</w:t>
      </w:r>
      <w:proofErr w:type="spellEnd"/>
      <w:r w:rsidRPr="000C7C76">
        <w:rPr>
          <w:rFonts w:ascii="Times New Roman" w:hAnsi="Times New Roman" w:cs="Times New Roman"/>
          <w:lang w:val="de-DE"/>
        </w:rPr>
        <w:t xml:space="preserve"> </w:t>
      </w:r>
      <w:proofErr w:type="spellStart"/>
      <w:r w:rsidRPr="000C7C76">
        <w:rPr>
          <w:rFonts w:ascii="Times New Roman" w:hAnsi="Times New Roman" w:cs="Times New Roman"/>
          <w:lang w:val="de-DE"/>
        </w:rPr>
        <w:t>deleģējums</w:t>
      </w:r>
      <w:proofErr w:type="spellEnd"/>
      <w:r w:rsidRPr="000C7C76">
        <w:rPr>
          <w:rFonts w:ascii="Times New Roman" w:hAnsi="Times New Roman" w:cs="Times New Roman"/>
          <w:lang w:val="de-DE"/>
        </w:rPr>
        <w:t xml:space="preserve"> </w:t>
      </w:r>
      <w:proofErr w:type="spellStart"/>
      <w:r w:rsidRPr="000C7C76">
        <w:rPr>
          <w:rFonts w:ascii="Times New Roman" w:hAnsi="Times New Roman" w:cs="Times New Roman"/>
          <w:lang w:val="de-DE"/>
        </w:rPr>
        <w:t>apstiprināt</w:t>
      </w:r>
      <w:proofErr w:type="spellEnd"/>
      <w:r w:rsidRPr="000C7C76">
        <w:rPr>
          <w:rFonts w:ascii="Times New Roman" w:hAnsi="Times New Roman" w:cs="Times New Roman"/>
          <w:lang w:val="de-DE"/>
        </w:rPr>
        <w:t xml:space="preserve"> </w:t>
      </w:r>
      <w:proofErr w:type="spellStart"/>
      <w:r w:rsidRPr="000C7C76">
        <w:rPr>
          <w:rFonts w:ascii="Times New Roman" w:hAnsi="Times New Roman" w:cs="Times New Roman"/>
          <w:lang w:val="de-DE"/>
        </w:rPr>
        <w:t>to</w:t>
      </w:r>
      <w:proofErr w:type="spellEnd"/>
      <w:r w:rsidRPr="000C7C76">
        <w:rPr>
          <w:rFonts w:ascii="Times New Roman" w:hAnsi="Times New Roman" w:cs="Times New Roman"/>
          <w:lang w:val="de-DE"/>
        </w:rPr>
        <w:t xml:space="preserve"> </w:t>
      </w:r>
      <w:proofErr w:type="spellStart"/>
      <w:r w:rsidRPr="000C7C76">
        <w:rPr>
          <w:rFonts w:ascii="Times New Roman" w:hAnsi="Times New Roman" w:cs="Times New Roman"/>
          <w:lang w:val="de-DE"/>
        </w:rPr>
        <w:t>ārvalstu</w:t>
      </w:r>
      <w:proofErr w:type="spellEnd"/>
      <w:r w:rsidRPr="000C7C76">
        <w:rPr>
          <w:rFonts w:ascii="Times New Roman" w:hAnsi="Times New Roman" w:cs="Times New Roman"/>
          <w:lang w:val="de-DE"/>
        </w:rPr>
        <w:t xml:space="preserve"> </w:t>
      </w:r>
      <w:proofErr w:type="spellStart"/>
      <w:r w:rsidRPr="000C7C76">
        <w:rPr>
          <w:rFonts w:ascii="Times New Roman" w:hAnsi="Times New Roman" w:cs="Times New Roman"/>
          <w:lang w:val="de-DE"/>
        </w:rPr>
        <w:t>oficiālo</w:t>
      </w:r>
      <w:proofErr w:type="spellEnd"/>
      <w:r w:rsidRPr="000C7C76">
        <w:rPr>
          <w:rFonts w:ascii="Times New Roman" w:hAnsi="Times New Roman" w:cs="Times New Roman"/>
          <w:lang w:val="de-DE"/>
        </w:rPr>
        <w:t xml:space="preserve"> </w:t>
      </w:r>
      <w:proofErr w:type="spellStart"/>
      <w:r w:rsidRPr="000C7C76">
        <w:rPr>
          <w:rFonts w:ascii="Times New Roman" w:hAnsi="Times New Roman" w:cs="Times New Roman"/>
          <w:lang w:val="de-DE"/>
        </w:rPr>
        <w:t>amatpersonu</w:t>
      </w:r>
      <w:proofErr w:type="spellEnd"/>
      <w:r w:rsidRPr="000C7C76">
        <w:rPr>
          <w:rFonts w:ascii="Times New Roman" w:hAnsi="Times New Roman" w:cs="Times New Roman"/>
          <w:lang w:val="de-DE"/>
        </w:rPr>
        <w:t xml:space="preserve"> </w:t>
      </w:r>
      <w:proofErr w:type="spellStart"/>
      <w:r w:rsidRPr="000C7C76">
        <w:rPr>
          <w:rFonts w:ascii="Times New Roman" w:hAnsi="Times New Roman" w:cs="Times New Roman"/>
          <w:lang w:val="de-DE"/>
        </w:rPr>
        <w:t>sarakstu</w:t>
      </w:r>
      <w:proofErr w:type="spellEnd"/>
      <w:r w:rsidRPr="000C7C76">
        <w:rPr>
          <w:rFonts w:ascii="Times New Roman" w:hAnsi="Times New Roman" w:cs="Times New Roman"/>
          <w:lang w:val="de-DE"/>
        </w:rPr>
        <w:t xml:space="preserve">, </w:t>
      </w:r>
      <w:proofErr w:type="spellStart"/>
      <w:r w:rsidRPr="000C7C76">
        <w:rPr>
          <w:rFonts w:ascii="Times New Roman" w:hAnsi="Times New Roman" w:cs="Times New Roman"/>
          <w:lang w:val="de-DE"/>
        </w:rPr>
        <w:t>kuru</w:t>
      </w:r>
      <w:proofErr w:type="spellEnd"/>
      <w:r w:rsidRPr="000C7C76">
        <w:rPr>
          <w:rFonts w:ascii="Times New Roman" w:hAnsi="Times New Roman" w:cs="Times New Roman"/>
          <w:lang w:val="de-DE"/>
        </w:rPr>
        <w:t xml:space="preserve"> </w:t>
      </w:r>
      <w:proofErr w:type="spellStart"/>
      <w:r w:rsidRPr="000C7C76">
        <w:rPr>
          <w:rFonts w:ascii="Times New Roman" w:hAnsi="Times New Roman" w:cs="Times New Roman"/>
          <w:lang w:val="de-DE"/>
        </w:rPr>
        <w:t>izdotās</w:t>
      </w:r>
      <w:proofErr w:type="spellEnd"/>
      <w:r w:rsidRPr="000C7C76">
        <w:rPr>
          <w:rFonts w:ascii="Times New Roman" w:hAnsi="Times New Roman" w:cs="Times New Roman"/>
          <w:lang w:val="de-DE"/>
        </w:rPr>
        <w:t xml:space="preserve"> </w:t>
      </w:r>
      <w:proofErr w:type="spellStart"/>
      <w:r w:rsidRPr="000C7C76">
        <w:rPr>
          <w:rFonts w:ascii="Times New Roman" w:hAnsi="Times New Roman" w:cs="Times New Roman"/>
          <w:lang w:val="de-DE"/>
        </w:rPr>
        <w:t>un</w:t>
      </w:r>
      <w:proofErr w:type="spellEnd"/>
      <w:r w:rsidRPr="000C7C76">
        <w:rPr>
          <w:rFonts w:ascii="Times New Roman" w:hAnsi="Times New Roman" w:cs="Times New Roman"/>
          <w:lang w:val="de-DE"/>
        </w:rPr>
        <w:t xml:space="preserve"> </w:t>
      </w:r>
      <w:proofErr w:type="spellStart"/>
      <w:r w:rsidRPr="000C7C76">
        <w:rPr>
          <w:rFonts w:ascii="Times New Roman" w:hAnsi="Times New Roman" w:cs="Times New Roman"/>
          <w:lang w:val="de-DE"/>
        </w:rPr>
        <w:t>apliecinātās</w:t>
      </w:r>
      <w:proofErr w:type="spellEnd"/>
      <w:r w:rsidRPr="000C7C76">
        <w:rPr>
          <w:rFonts w:ascii="Times New Roman" w:hAnsi="Times New Roman" w:cs="Times New Roman"/>
          <w:lang w:val="de-DE"/>
        </w:rPr>
        <w:t xml:space="preserve"> </w:t>
      </w:r>
      <w:proofErr w:type="spellStart"/>
      <w:r w:rsidRPr="000C7C76">
        <w:rPr>
          <w:rFonts w:ascii="Times New Roman" w:hAnsi="Times New Roman" w:cs="Times New Roman"/>
          <w:lang w:val="de-DE"/>
        </w:rPr>
        <w:t>pilnvaras</w:t>
      </w:r>
      <w:proofErr w:type="spellEnd"/>
      <w:r w:rsidRPr="000C7C76">
        <w:rPr>
          <w:rFonts w:ascii="Times New Roman" w:hAnsi="Times New Roman" w:cs="Times New Roman"/>
          <w:lang w:val="de-DE"/>
        </w:rPr>
        <w:t xml:space="preserve"> </w:t>
      </w:r>
      <w:proofErr w:type="spellStart"/>
      <w:r w:rsidRPr="000C7C76">
        <w:rPr>
          <w:rFonts w:ascii="Times New Roman" w:hAnsi="Times New Roman" w:cs="Times New Roman"/>
          <w:lang w:val="de-DE"/>
        </w:rPr>
        <w:t>būtu</w:t>
      </w:r>
      <w:proofErr w:type="spellEnd"/>
      <w:r w:rsidRPr="000C7C76">
        <w:rPr>
          <w:rFonts w:ascii="Times New Roman" w:hAnsi="Times New Roman" w:cs="Times New Roman"/>
          <w:lang w:val="de-DE"/>
        </w:rPr>
        <w:t xml:space="preserve"> </w:t>
      </w:r>
      <w:proofErr w:type="spellStart"/>
      <w:r w:rsidRPr="000C7C76">
        <w:rPr>
          <w:rFonts w:ascii="Times New Roman" w:hAnsi="Times New Roman" w:cs="Times New Roman"/>
          <w:lang w:val="de-DE"/>
        </w:rPr>
        <w:t>pielīdzināmas</w:t>
      </w:r>
      <w:proofErr w:type="spellEnd"/>
      <w:r w:rsidRPr="000C7C76">
        <w:rPr>
          <w:rFonts w:ascii="Times New Roman" w:hAnsi="Times New Roman" w:cs="Times New Roman"/>
          <w:lang w:val="de-DE"/>
        </w:rPr>
        <w:t xml:space="preserve"> Latvijas </w:t>
      </w:r>
      <w:proofErr w:type="spellStart"/>
      <w:r w:rsidRPr="000C7C76">
        <w:rPr>
          <w:rFonts w:ascii="Times New Roman" w:hAnsi="Times New Roman" w:cs="Times New Roman"/>
          <w:lang w:val="de-DE"/>
        </w:rPr>
        <w:t>notāru</w:t>
      </w:r>
      <w:proofErr w:type="spellEnd"/>
      <w:r w:rsidRPr="000C7C76">
        <w:rPr>
          <w:rFonts w:ascii="Times New Roman" w:hAnsi="Times New Roman" w:cs="Times New Roman"/>
          <w:lang w:val="de-DE"/>
        </w:rPr>
        <w:t xml:space="preserve"> </w:t>
      </w:r>
      <w:proofErr w:type="spellStart"/>
      <w:r w:rsidRPr="000C7C76">
        <w:rPr>
          <w:rFonts w:ascii="Times New Roman" w:hAnsi="Times New Roman" w:cs="Times New Roman"/>
          <w:lang w:val="de-DE"/>
        </w:rPr>
        <w:t>sastādītajām</w:t>
      </w:r>
      <w:proofErr w:type="spellEnd"/>
      <w:r w:rsidRPr="000C7C76">
        <w:rPr>
          <w:rFonts w:ascii="Times New Roman" w:hAnsi="Times New Roman" w:cs="Times New Roman"/>
          <w:lang w:val="de-DE"/>
        </w:rPr>
        <w:t xml:space="preserve"> </w:t>
      </w:r>
      <w:proofErr w:type="spellStart"/>
      <w:r w:rsidRPr="000C7C76">
        <w:rPr>
          <w:rFonts w:ascii="Times New Roman" w:hAnsi="Times New Roman" w:cs="Times New Roman"/>
          <w:lang w:val="de-DE"/>
        </w:rPr>
        <w:t>un</w:t>
      </w:r>
      <w:proofErr w:type="spellEnd"/>
      <w:r w:rsidRPr="000C7C76">
        <w:rPr>
          <w:rFonts w:ascii="Times New Roman" w:hAnsi="Times New Roman" w:cs="Times New Roman"/>
          <w:lang w:val="de-DE"/>
        </w:rPr>
        <w:t xml:space="preserve"> </w:t>
      </w:r>
      <w:proofErr w:type="spellStart"/>
      <w:r w:rsidRPr="000C7C76">
        <w:rPr>
          <w:rFonts w:ascii="Times New Roman" w:hAnsi="Times New Roman" w:cs="Times New Roman"/>
          <w:lang w:val="de-DE"/>
        </w:rPr>
        <w:t>apliecinātajām</w:t>
      </w:r>
      <w:proofErr w:type="spellEnd"/>
      <w:r w:rsidRPr="000C7C76">
        <w:rPr>
          <w:rFonts w:ascii="Times New Roman" w:hAnsi="Times New Roman" w:cs="Times New Roman"/>
          <w:lang w:val="de-DE"/>
        </w:rPr>
        <w:t xml:space="preserve"> </w:t>
      </w:r>
      <w:proofErr w:type="spellStart"/>
      <w:r w:rsidRPr="000C7C76">
        <w:rPr>
          <w:rFonts w:ascii="Times New Roman" w:hAnsi="Times New Roman" w:cs="Times New Roman"/>
          <w:lang w:val="de-DE"/>
        </w:rPr>
        <w:t>pilnvarām</w:t>
      </w:r>
      <w:proofErr w:type="spellEnd"/>
      <w:r w:rsidRPr="000C7C76">
        <w:rPr>
          <w:rFonts w:ascii="Times New Roman" w:hAnsi="Times New Roman" w:cs="Times New Roman"/>
          <w:lang w:val="de-DE"/>
        </w:rPr>
        <w:t xml:space="preserve"> (t.sk. </w:t>
      </w:r>
      <w:proofErr w:type="spellStart"/>
      <w:r w:rsidRPr="000C7C76">
        <w:rPr>
          <w:rFonts w:ascii="Times New Roman" w:hAnsi="Times New Roman" w:cs="Times New Roman"/>
          <w:lang w:val="de-DE"/>
        </w:rPr>
        <w:t>notariālā</w:t>
      </w:r>
      <w:proofErr w:type="spellEnd"/>
      <w:r w:rsidRPr="000C7C76">
        <w:rPr>
          <w:rFonts w:ascii="Times New Roman" w:hAnsi="Times New Roman" w:cs="Times New Roman"/>
          <w:lang w:val="de-DE"/>
        </w:rPr>
        <w:t xml:space="preserve"> </w:t>
      </w:r>
      <w:proofErr w:type="spellStart"/>
      <w:r w:rsidRPr="000C7C76">
        <w:rPr>
          <w:rFonts w:ascii="Times New Roman" w:hAnsi="Times New Roman" w:cs="Times New Roman"/>
          <w:lang w:val="de-DE"/>
        </w:rPr>
        <w:t>akta</w:t>
      </w:r>
      <w:proofErr w:type="spellEnd"/>
      <w:r w:rsidRPr="000C7C76">
        <w:rPr>
          <w:rFonts w:ascii="Times New Roman" w:hAnsi="Times New Roman" w:cs="Times New Roman"/>
          <w:lang w:val="de-DE"/>
        </w:rPr>
        <w:t xml:space="preserve"> </w:t>
      </w:r>
      <w:proofErr w:type="spellStart"/>
      <w:r w:rsidRPr="000C7C76">
        <w:rPr>
          <w:rFonts w:ascii="Times New Roman" w:hAnsi="Times New Roman" w:cs="Times New Roman"/>
          <w:lang w:val="de-DE"/>
        </w:rPr>
        <w:t>formā</w:t>
      </w:r>
      <w:proofErr w:type="spellEnd"/>
      <w:r w:rsidRPr="000C7C76">
        <w:rPr>
          <w:rFonts w:ascii="Times New Roman" w:hAnsi="Times New Roman" w:cs="Times New Roman"/>
          <w:lang w:val="de-DE"/>
        </w:rPr>
        <w:t xml:space="preserve">), </w:t>
      </w:r>
      <w:proofErr w:type="spellStart"/>
      <w:r w:rsidRPr="000C7C76">
        <w:rPr>
          <w:rFonts w:ascii="Times New Roman" w:hAnsi="Times New Roman" w:cs="Times New Roman"/>
          <w:lang w:val="de-DE"/>
        </w:rPr>
        <w:t>tad</w:t>
      </w:r>
      <w:proofErr w:type="spellEnd"/>
      <w:r w:rsidRPr="000C7C76">
        <w:rPr>
          <w:rFonts w:ascii="Times New Roman" w:hAnsi="Times New Roman" w:cs="Times New Roman"/>
          <w:lang w:val="de-DE"/>
        </w:rPr>
        <w:t xml:space="preserve"> </w:t>
      </w:r>
      <w:proofErr w:type="spellStart"/>
      <w:r w:rsidRPr="000C7C76">
        <w:rPr>
          <w:rFonts w:ascii="Times New Roman" w:hAnsi="Times New Roman" w:cs="Times New Roman"/>
          <w:lang w:val="de-DE"/>
        </w:rPr>
        <w:t>būtu</w:t>
      </w:r>
      <w:proofErr w:type="spellEnd"/>
      <w:r w:rsidRPr="000C7C76">
        <w:rPr>
          <w:rFonts w:ascii="Times New Roman" w:hAnsi="Times New Roman" w:cs="Times New Roman"/>
          <w:lang w:val="de-DE"/>
        </w:rPr>
        <w:t xml:space="preserve"> </w:t>
      </w:r>
      <w:proofErr w:type="spellStart"/>
      <w:r w:rsidRPr="000C7C76">
        <w:rPr>
          <w:rFonts w:ascii="Times New Roman" w:hAnsi="Times New Roman" w:cs="Times New Roman"/>
          <w:lang w:val="de-DE"/>
        </w:rPr>
        <w:t>ieteicams</w:t>
      </w:r>
      <w:proofErr w:type="spellEnd"/>
      <w:r w:rsidRPr="000C7C76">
        <w:rPr>
          <w:rFonts w:ascii="Times New Roman" w:hAnsi="Times New Roman" w:cs="Times New Roman"/>
          <w:lang w:val="de-DE"/>
        </w:rPr>
        <w:t xml:space="preserve"> </w:t>
      </w:r>
      <w:proofErr w:type="spellStart"/>
      <w:r w:rsidRPr="000C7C76">
        <w:rPr>
          <w:rFonts w:ascii="Times New Roman" w:hAnsi="Times New Roman" w:cs="Times New Roman"/>
          <w:lang w:val="de-DE"/>
        </w:rPr>
        <w:t>izstrādāt</w:t>
      </w:r>
      <w:proofErr w:type="spellEnd"/>
      <w:r w:rsidRPr="000C7C76">
        <w:rPr>
          <w:rFonts w:ascii="Times New Roman" w:hAnsi="Times New Roman" w:cs="Times New Roman"/>
          <w:lang w:val="de-DE"/>
        </w:rPr>
        <w:t xml:space="preserve"> Latvijas </w:t>
      </w:r>
      <w:proofErr w:type="spellStart"/>
      <w:r w:rsidRPr="000C7C76">
        <w:rPr>
          <w:rFonts w:ascii="Times New Roman" w:hAnsi="Times New Roman" w:cs="Times New Roman"/>
          <w:lang w:val="de-DE"/>
        </w:rPr>
        <w:t>notāriem</w:t>
      </w:r>
      <w:proofErr w:type="spellEnd"/>
      <w:r w:rsidRPr="000C7C76">
        <w:rPr>
          <w:rFonts w:ascii="Times New Roman" w:hAnsi="Times New Roman" w:cs="Times New Roman"/>
          <w:lang w:val="de-DE"/>
        </w:rPr>
        <w:t xml:space="preserve"> </w:t>
      </w:r>
      <w:proofErr w:type="spellStart"/>
      <w:r w:rsidRPr="000C7C76">
        <w:rPr>
          <w:rFonts w:ascii="Times New Roman" w:hAnsi="Times New Roman" w:cs="Times New Roman"/>
          <w:lang w:val="de-DE"/>
        </w:rPr>
        <w:t>rokasgrāmatu</w:t>
      </w:r>
      <w:proofErr w:type="spellEnd"/>
      <w:r w:rsidRPr="000C7C76">
        <w:rPr>
          <w:rFonts w:ascii="Times New Roman" w:hAnsi="Times New Roman" w:cs="Times New Roman"/>
          <w:lang w:val="de-DE"/>
        </w:rPr>
        <w:t xml:space="preserve">, </w:t>
      </w:r>
      <w:proofErr w:type="spellStart"/>
      <w:r w:rsidRPr="000C7C76">
        <w:rPr>
          <w:rFonts w:ascii="Times New Roman" w:hAnsi="Times New Roman" w:cs="Times New Roman"/>
          <w:lang w:val="de-DE"/>
        </w:rPr>
        <w:t>kurā</w:t>
      </w:r>
      <w:proofErr w:type="spellEnd"/>
      <w:r w:rsidRPr="000C7C76">
        <w:rPr>
          <w:rFonts w:ascii="Times New Roman" w:hAnsi="Times New Roman" w:cs="Times New Roman"/>
          <w:lang w:val="de-DE"/>
        </w:rPr>
        <w:t xml:space="preserve"> </w:t>
      </w:r>
      <w:proofErr w:type="spellStart"/>
      <w:r w:rsidRPr="000C7C76">
        <w:rPr>
          <w:rFonts w:ascii="Times New Roman" w:hAnsi="Times New Roman" w:cs="Times New Roman"/>
          <w:lang w:val="de-DE"/>
        </w:rPr>
        <w:t>viņi</w:t>
      </w:r>
      <w:proofErr w:type="spellEnd"/>
      <w:r w:rsidRPr="000C7C76">
        <w:rPr>
          <w:rFonts w:ascii="Times New Roman" w:hAnsi="Times New Roman" w:cs="Times New Roman"/>
          <w:lang w:val="de-DE"/>
        </w:rPr>
        <w:t xml:space="preserve"> </w:t>
      </w:r>
      <w:proofErr w:type="spellStart"/>
      <w:r w:rsidRPr="000C7C76">
        <w:rPr>
          <w:rFonts w:ascii="Times New Roman" w:hAnsi="Times New Roman" w:cs="Times New Roman"/>
          <w:lang w:val="de-DE"/>
        </w:rPr>
        <w:t>varētu</w:t>
      </w:r>
      <w:proofErr w:type="spellEnd"/>
      <w:r w:rsidRPr="000C7C76">
        <w:rPr>
          <w:rFonts w:ascii="Times New Roman" w:hAnsi="Times New Roman" w:cs="Times New Roman"/>
          <w:lang w:val="de-DE"/>
        </w:rPr>
        <w:t xml:space="preserve"> </w:t>
      </w:r>
      <w:proofErr w:type="spellStart"/>
      <w:r w:rsidRPr="000C7C76">
        <w:rPr>
          <w:rFonts w:ascii="Times New Roman" w:hAnsi="Times New Roman" w:cs="Times New Roman"/>
          <w:lang w:val="de-DE"/>
        </w:rPr>
        <w:t>ātri</w:t>
      </w:r>
      <w:proofErr w:type="spellEnd"/>
      <w:r w:rsidRPr="000C7C76">
        <w:rPr>
          <w:rFonts w:ascii="Times New Roman" w:hAnsi="Times New Roman" w:cs="Times New Roman"/>
          <w:lang w:val="de-DE"/>
        </w:rPr>
        <w:t xml:space="preserve"> </w:t>
      </w:r>
      <w:proofErr w:type="spellStart"/>
      <w:r w:rsidRPr="000C7C76">
        <w:rPr>
          <w:rFonts w:ascii="Times New Roman" w:hAnsi="Times New Roman" w:cs="Times New Roman"/>
          <w:lang w:val="de-DE"/>
        </w:rPr>
        <w:t>ielūkoties</w:t>
      </w:r>
      <w:proofErr w:type="spellEnd"/>
      <w:r w:rsidRPr="000C7C76">
        <w:rPr>
          <w:rFonts w:ascii="Times New Roman" w:hAnsi="Times New Roman" w:cs="Times New Roman"/>
          <w:lang w:val="de-DE"/>
        </w:rPr>
        <w:t xml:space="preserve"> </w:t>
      </w:r>
      <w:proofErr w:type="spellStart"/>
      <w:r w:rsidRPr="000C7C76">
        <w:rPr>
          <w:rFonts w:ascii="Times New Roman" w:hAnsi="Times New Roman" w:cs="Times New Roman"/>
          <w:lang w:val="de-DE"/>
        </w:rPr>
        <w:t>un</w:t>
      </w:r>
      <w:proofErr w:type="spellEnd"/>
      <w:r w:rsidRPr="000C7C76">
        <w:rPr>
          <w:rFonts w:ascii="Times New Roman" w:hAnsi="Times New Roman" w:cs="Times New Roman"/>
          <w:lang w:val="de-DE"/>
        </w:rPr>
        <w:t xml:space="preserve"> </w:t>
      </w:r>
      <w:proofErr w:type="spellStart"/>
      <w:r w:rsidRPr="000C7C76">
        <w:rPr>
          <w:rFonts w:ascii="Times New Roman" w:hAnsi="Times New Roman" w:cs="Times New Roman"/>
          <w:lang w:val="de-DE"/>
        </w:rPr>
        <w:t>noskaidrot</w:t>
      </w:r>
      <w:proofErr w:type="spellEnd"/>
      <w:r w:rsidRPr="000C7C76">
        <w:rPr>
          <w:rFonts w:ascii="Times New Roman" w:hAnsi="Times New Roman" w:cs="Times New Roman"/>
          <w:lang w:val="de-DE"/>
        </w:rPr>
        <w:t xml:space="preserve">, </w:t>
      </w:r>
      <w:proofErr w:type="spellStart"/>
      <w:r w:rsidRPr="000C7C76">
        <w:rPr>
          <w:rFonts w:ascii="Times New Roman" w:hAnsi="Times New Roman" w:cs="Times New Roman"/>
          <w:lang w:val="de-DE"/>
        </w:rPr>
        <w:t>no</w:t>
      </w:r>
      <w:proofErr w:type="spellEnd"/>
      <w:r w:rsidRPr="000C7C76">
        <w:rPr>
          <w:rFonts w:ascii="Times New Roman" w:hAnsi="Times New Roman" w:cs="Times New Roman"/>
          <w:lang w:val="de-DE"/>
        </w:rPr>
        <w:t xml:space="preserve"> </w:t>
      </w:r>
      <w:proofErr w:type="spellStart"/>
      <w:r w:rsidRPr="000C7C76">
        <w:rPr>
          <w:rFonts w:ascii="Times New Roman" w:hAnsi="Times New Roman" w:cs="Times New Roman"/>
          <w:lang w:val="de-DE"/>
        </w:rPr>
        <w:t>kurām</w:t>
      </w:r>
      <w:proofErr w:type="spellEnd"/>
      <w:r w:rsidRPr="000C7C76">
        <w:rPr>
          <w:rFonts w:ascii="Times New Roman" w:hAnsi="Times New Roman" w:cs="Times New Roman"/>
          <w:lang w:val="de-DE"/>
        </w:rPr>
        <w:t xml:space="preserve"> </w:t>
      </w:r>
      <w:proofErr w:type="spellStart"/>
      <w:r w:rsidRPr="000C7C76">
        <w:rPr>
          <w:rFonts w:ascii="Times New Roman" w:hAnsi="Times New Roman" w:cs="Times New Roman"/>
          <w:lang w:val="de-DE"/>
        </w:rPr>
        <w:t>valstīm</w:t>
      </w:r>
      <w:proofErr w:type="spellEnd"/>
      <w:r w:rsidRPr="000C7C76">
        <w:rPr>
          <w:rFonts w:ascii="Times New Roman" w:hAnsi="Times New Roman" w:cs="Times New Roman"/>
          <w:lang w:val="de-DE"/>
        </w:rPr>
        <w:t xml:space="preserve"> </w:t>
      </w:r>
      <w:proofErr w:type="spellStart"/>
      <w:r w:rsidRPr="000C7C76">
        <w:rPr>
          <w:rFonts w:ascii="Times New Roman" w:hAnsi="Times New Roman" w:cs="Times New Roman"/>
          <w:lang w:val="de-DE"/>
        </w:rPr>
        <w:t>un</w:t>
      </w:r>
      <w:proofErr w:type="spellEnd"/>
      <w:r w:rsidRPr="000C7C76">
        <w:rPr>
          <w:rFonts w:ascii="Times New Roman" w:hAnsi="Times New Roman" w:cs="Times New Roman"/>
          <w:lang w:val="de-DE"/>
        </w:rPr>
        <w:t xml:space="preserve"> </w:t>
      </w:r>
      <w:proofErr w:type="spellStart"/>
      <w:r w:rsidRPr="000C7C76">
        <w:rPr>
          <w:rFonts w:ascii="Times New Roman" w:hAnsi="Times New Roman" w:cs="Times New Roman"/>
          <w:lang w:val="de-DE"/>
        </w:rPr>
        <w:t>kādu</w:t>
      </w:r>
      <w:proofErr w:type="spellEnd"/>
      <w:r w:rsidRPr="000C7C76">
        <w:rPr>
          <w:rFonts w:ascii="Times New Roman" w:hAnsi="Times New Roman" w:cs="Times New Roman"/>
          <w:lang w:val="de-DE"/>
        </w:rPr>
        <w:t xml:space="preserve"> </w:t>
      </w:r>
      <w:proofErr w:type="spellStart"/>
      <w:r w:rsidRPr="000C7C76">
        <w:rPr>
          <w:rFonts w:ascii="Times New Roman" w:hAnsi="Times New Roman" w:cs="Times New Roman"/>
          <w:lang w:val="de-DE"/>
        </w:rPr>
        <w:t>konkrēti</w:t>
      </w:r>
      <w:proofErr w:type="spellEnd"/>
      <w:r w:rsidRPr="000C7C76">
        <w:rPr>
          <w:rFonts w:ascii="Times New Roman" w:hAnsi="Times New Roman" w:cs="Times New Roman"/>
          <w:lang w:val="de-DE"/>
        </w:rPr>
        <w:t xml:space="preserve"> </w:t>
      </w:r>
      <w:proofErr w:type="spellStart"/>
      <w:r w:rsidRPr="000C7C76">
        <w:rPr>
          <w:rFonts w:ascii="Times New Roman" w:hAnsi="Times New Roman" w:cs="Times New Roman"/>
          <w:lang w:val="de-DE"/>
        </w:rPr>
        <w:t>amatpersonu</w:t>
      </w:r>
      <w:proofErr w:type="spellEnd"/>
      <w:r w:rsidRPr="000C7C76">
        <w:rPr>
          <w:rFonts w:ascii="Times New Roman" w:hAnsi="Times New Roman" w:cs="Times New Roman"/>
          <w:lang w:val="de-DE"/>
        </w:rPr>
        <w:t xml:space="preserve"> </w:t>
      </w:r>
      <w:proofErr w:type="spellStart"/>
      <w:r w:rsidRPr="000C7C76">
        <w:rPr>
          <w:rFonts w:ascii="Times New Roman" w:hAnsi="Times New Roman" w:cs="Times New Roman"/>
          <w:lang w:val="de-DE"/>
        </w:rPr>
        <w:t>izdotās</w:t>
      </w:r>
      <w:proofErr w:type="spellEnd"/>
      <w:r w:rsidRPr="000C7C76">
        <w:rPr>
          <w:rFonts w:ascii="Times New Roman" w:hAnsi="Times New Roman" w:cs="Times New Roman"/>
          <w:lang w:val="de-DE"/>
        </w:rPr>
        <w:t xml:space="preserve"> </w:t>
      </w:r>
      <w:proofErr w:type="spellStart"/>
      <w:r w:rsidRPr="000C7C76">
        <w:rPr>
          <w:rFonts w:ascii="Times New Roman" w:hAnsi="Times New Roman" w:cs="Times New Roman"/>
          <w:lang w:val="de-DE"/>
        </w:rPr>
        <w:t>pilnvaras</w:t>
      </w:r>
      <w:proofErr w:type="spellEnd"/>
      <w:r w:rsidRPr="000C7C76">
        <w:rPr>
          <w:rFonts w:ascii="Times New Roman" w:hAnsi="Times New Roman" w:cs="Times New Roman"/>
          <w:lang w:val="de-DE"/>
        </w:rPr>
        <w:t xml:space="preserve"> </w:t>
      </w:r>
      <w:proofErr w:type="spellStart"/>
      <w:r w:rsidRPr="000C7C76">
        <w:rPr>
          <w:rFonts w:ascii="Times New Roman" w:hAnsi="Times New Roman" w:cs="Times New Roman"/>
          <w:lang w:val="de-DE"/>
        </w:rPr>
        <w:t>ir</w:t>
      </w:r>
      <w:proofErr w:type="spellEnd"/>
      <w:r w:rsidRPr="000C7C76">
        <w:rPr>
          <w:rFonts w:ascii="Times New Roman" w:hAnsi="Times New Roman" w:cs="Times New Roman"/>
          <w:lang w:val="de-DE"/>
        </w:rPr>
        <w:t xml:space="preserve"> </w:t>
      </w:r>
      <w:proofErr w:type="spellStart"/>
      <w:r w:rsidRPr="000C7C76">
        <w:rPr>
          <w:rFonts w:ascii="Times New Roman" w:hAnsi="Times New Roman" w:cs="Times New Roman"/>
          <w:lang w:val="de-DE"/>
        </w:rPr>
        <w:t>pielīdzināmas</w:t>
      </w:r>
      <w:proofErr w:type="spellEnd"/>
      <w:r w:rsidRPr="000C7C76">
        <w:rPr>
          <w:rFonts w:ascii="Times New Roman" w:hAnsi="Times New Roman" w:cs="Times New Roman"/>
          <w:lang w:val="de-DE"/>
        </w:rPr>
        <w:t xml:space="preserve"> Latvijas </w:t>
      </w:r>
      <w:proofErr w:type="spellStart"/>
      <w:r w:rsidRPr="000C7C76">
        <w:rPr>
          <w:rFonts w:ascii="Times New Roman" w:hAnsi="Times New Roman" w:cs="Times New Roman"/>
          <w:lang w:val="de-DE"/>
        </w:rPr>
        <w:t>notāru</w:t>
      </w:r>
      <w:proofErr w:type="spellEnd"/>
      <w:r w:rsidRPr="000C7C76">
        <w:rPr>
          <w:rFonts w:ascii="Times New Roman" w:hAnsi="Times New Roman" w:cs="Times New Roman"/>
          <w:lang w:val="de-DE"/>
        </w:rPr>
        <w:t xml:space="preserve"> </w:t>
      </w:r>
      <w:proofErr w:type="spellStart"/>
      <w:r w:rsidRPr="000C7C76">
        <w:rPr>
          <w:rFonts w:ascii="Times New Roman" w:hAnsi="Times New Roman" w:cs="Times New Roman"/>
          <w:lang w:val="de-DE"/>
        </w:rPr>
        <w:t>sastādītajām</w:t>
      </w:r>
      <w:proofErr w:type="spellEnd"/>
      <w:r w:rsidRPr="000C7C76">
        <w:rPr>
          <w:rFonts w:ascii="Times New Roman" w:hAnsi="Times New Roman" w:cs="Times New Roman"/>
          <w:lang w:val="de-DE"/>
        </w:rPr>
        <w:t xml:space="preserve"> </w:t>
      </w:r>
      <w:proofErr w:type="spellStart"/>
      <w:r w:rsidRPr="000C7C76">
        <w:rPr>
          <w:rFonts w:ascii="Times New Roman" w:hAnsi="Times New Roman" w:cs="Times New Roman"/>
          <w:lang w:val="de-DE"/>
        </w:rPr>
        <w:t>un</w:t>
      </w:r>
      <w:proofErr w:type="spellEnd"/>
      <w:r w:rsidRPr="000C7C76">
        <w:rPr>
          <w:rFonts w:ascii="Times New Roman" w:hAnsi="Times New Roman" w:cs="Times New Roman"/>
          <w:lang w:val="de-DE"/>
        </w:rPr>
        <w:t xml:space="preserve"> </w:t>
      </w:r>
      <w:proofErr w:type="spellStart"/>
      <w:r w:rsidRPr="000C7C76">
        <w:rPr>
          <w:rFonts w:ascii="Times New Roman" w:hAnsi="Times New Roman" w:cs="Times New Roman"/>
          <w:lang w:val="de-DE"/>
        </w:rPr>
        <w:t>apliecinātajām</w:t>
      </w:r>
      <w:proofErr w:type="spellEnd"/>
      <w:r w:rsidRPr="000C7C76">
        <w:rPr>
          <w:rFonts w:ascii="Times New Roman" w:hAnsi="Times New Roman" w:cs="Times New Roman"/>
          <w:lang w:val="de-DE"/>
        </w:rPr>
        <w:t xml:space="preserve"> </w:t>
      </w:r>
      <w:proofErr w:type="spellStart"/>
      <w:r w:rsidRPr="000C7C76">
        <w:rPr>
          <w:rFonts w:ascii="Times New Roman" w:hAnsi="Times New Roman" w:cs="Times New Roman"/>
          <w:lang w:val="de-DE"/>
        </w:rPr>
        <w:t>pilnvarām</w:t>
      </w:r>
      <w:proofErr w:type="spellEnd"/>
      <w:r w:rsidRPr="000C7C76">
        <w:rPr>
          <w:rFonts w:ascii="Times New Roman" w:hAnsi="Times New Roman" w:cs="Times New Roman"/>
          <w:lang w:val="de-DE"/>
        </w:rPr>
        <w:t xml:space="preserve"> (t.sk. </w:t>
      </w:r>
      <w:proofErr w:type="spellStart"/>
      <w:r w:rsidRPr="000C7C76">
        <w:rPr>
          <w:rFonts w:ascii="Times New Roman" w:hAnsi="Times New Roman" w:cs="Times New Roman"/>
          <w:lang w:val="de-DE"/>
        </w:rPr>
        <w:t>notariālā</w:t>
      </w:r>
      <w:proofErr w:type="spellEnd"/>
      <w:r w:rsidRPr="000C7C76">
        <w:rPr>
          <w:rFonts w:ascii="Times New Roman" w:hAnsi="Times New Roman" w:cs="Times New Roman"/>
          <w:lang w:val="de-DE"/>
        </w:rPr>
        <w:t xml:space="preserve"> </w:t>
      </w:r>
      <w:proofErr w:type="spellStart"/>
      <w:r w:rsidRPr="000C7C76">
        <w:rPr>
          <w:rFonts w:ascii="Times New Roman" w:hAnsi="Times New Roman" w:cs="Times New Roman"/>
          <w:lang w:val="de-DE"/>
        </w:rPr>
        <w:t>akta</w:t>
      </w:r>
      <w:proofErr w:type="spellEnd"/>
      <w:r w:rsidRPr="000C7C76">
        <w:rPr>
          <w:rFonts w:ascii="Times New Roman" w:hAnsi="Times New Roman" w:cs="Times New Roman"/>
          <w:lang w:val="de-DE"/>
        </w:rPr>
        <w:t xml:space="preserve"> </w:t>
      </w:r>
      <w:proofErr w:type="spellStart"/>
      <w:r w:rsidRPr="000C7C76">
        <w:rPr>
          <w:rFonts w:ascii="Times New Roman" w:hAnsi="Times New Roman" w:cs="Times New Roman"/>
          <w:lang w:val="de-DE"/>
        </w:rPr>
        <w:t>formā</w:t>
      </w:r>
      <w:proofErr w:type="spellEnd"/>
      <w:r w:rsidRPr="000C7C76">
        <w:rPr>
          <w:rFonts w:ascii="Times New Roman" w:hAnsi="Times New Roman" w:cs="Times New Roman"/>
          <w:lang w:val="de-DE"/>
        </w:rPr>
        <w:t xml:space="preserve">), </w:t>
      </w:r>
      <w:proofErr w:type="spellStart"/>
      <w:r w:rsidRPr="000C7C76">
        <w:rPr>
          <w:rFonts w:ascii="Times New Roman" w:hAnsi="Times New Roman" w:cs="Times New Roman"/>
          <w:lang w:val="de-DE"/>
        </w:rPr>
        <w:t>un</w:t>
      </w:r>
      <w:proofErr w:type="spellEnd"/>
      <w:r w:rsidRPr="000C7C76">
        <w:rPr>
          <w:rFonts w:ascii="Times New Roman" w:hAnsi="Times New Roman" w:cs="Times New Roman"/>
          <w:lang w:val="de-DE"/>
        </w:rPr>
        <w:t xml:space="preserve"> </w:t>
      </w:r>
      <w:proofErr w:type="spellStart"/>
      <w:r w:rsidRPr="000C7C76">
        <w:rPr>
          <w:rFonts w:ascii="Times New Roman" w:hAnsi="Times New Roman" w:cs="Times New Roman"/>
          <w:lang w:val="de-DE"/>
        </w:rPr>
        <w:t>kuras</w:t>
      </w:r>
      <w:proofErr w:type="spellEnd"/>
      <w:r w:rsidRPr="000C7C76">
        <w:rPr>
          <w:rFonts w:ascii="Times New Roman" w:hAnsi="Times New Roman" w:cs="Times New Roman"/>
          <w:lang w:val="de-DE"/>
        </w:rPr>
        <w:t xml:space="preserve"> par </w:t>
      </w:r>
      <w:proofErr w:type="spellStart"/>
      <w:r w:rsidRPr="000C7C76">
        <w:rPr>
          <w:rFonts w:ascii="Times New Roman" w:hAnsi="Times New Roman" w:cs="Times New Roman"/>
          <w:lang w:val="de-DE"/>
        </w:rPr>
        <w:t>tādām</w:t>
      </w:r>
      <w:proofErr w:type="spellEnd"/>
      <w:r w:rsidRPr="000C7C76">
        <w:rPr>
          <w:rFonts w:ascii="Times New Roman" w:hAnsi="Times New Roman" w:cs="Times New Roman"/>
          <w:lang w:val="de-DE"/>
        </w:rPr>
        <w:t xml:space="preserve"> </w:t>
      </w:r>
      <w:proofErr w:type="spellStart"/>
      <w:r w:rsidRPr="000C7C76">
        <w:rPr>
          <w:rFonts w:ascii="Times New Roman" w:hAnsi="Times New Roman" w:cs="Times New Roman"/>
          <w:lang w:val="de-DE"/>
        </w:rPr>
        <w:t>nevar</w:t>
      </w:r>
      <w:proofErr w:type="spellEnd"/>
      <w:r w:rsidRPr="000C7C76">
        <w:rPr>
          <w:rFonts w:ascii="Times New Roman" w:hAnsi="Times New Roman" w:cs="Times New Roman"/>
          <w:lang w:val="de-DE"/>
        </w:rPr>
        <w:t xml:space="preserve"> </w:t>
      </w:r>
      <w:proofErr w:type="spellStart"/>
      <w:r w:rsidRPr="000C7C76">
        <w:rPr>
          <w:rFonts w:ascii="Times New Roman" w:hAnsi="Times New Roman" w:cs="Times New Roman"/>
          <w:lang w:val="de-DE"/>
        </w:rPr>
        <w:t>uzskatīt</w:t>
      </w:r>
      <w:proofErr w:type="spellEnd"/>
      <w:r w:rsidRPr="000C7C76">
        <w:rPr>
          <w:rFonts w:ascii="Times New Roman" w:hAnsi="Times New Roman" w:cs="Times New Roman"/>
          <w:lang w:val="de-DE"/>
        </w:rPr>
        <w:t>.</w:t>
      </w:r>
    </w:p>
    <w:p w14:paraId="5CB61EE7" w14:textId="77777777" w:rsidR="00114953" w:rsidRPr="000C7C76" w:rsidRDefault="00114953" w:rsidP="00114953">
      <w:pPr>
        <w:jc w:val="both"/>
        <w:rPr>
          <w:rFonts w:ascii="Times New Roman" w:hAnsi="Times New Roman" w:cs="Times New Roman"/>
          <w:lang w:val="de-DE"/>
        </w:rPr>
      </w:pPr>
    </w:p>
    <w:p w14:paraId="51CC7A14" w14:textId="00355C65" w:rsidR="00114953" w:rsidRPr="000C7C76" w:rsidRDefault="002E65A8" w:rsidP="00114953">
      <w:pPr>
        <w:jc w:val="both"/>
        <w:rPr>
          <w:rFonts w:ascii="Times New Roman" w:hAnsi="Times New Roman" w:cs="Times New Roman"/>
          <w:lang w:val="de-DE"/>
        </w:rPr>
      </w:pPr>
      <w:r w:rsidRPr="000C7C76">
        <w:rPr>
          <w:rFonts w:ascii="Times New Roman" w:hAnsi="Times New Roman" w:cs="Times New Roman"/>
          <w:lang w:val="de-DE"/>
        </w:rPr>
        <w:t xml:space="preserve">2. Tas </w:t>
      </w:r>
      <w:proofErr w:type="spellStart"/>
      <w:r w:rsidRPr="000C7C76">
        <w:rPr>
          <w:rFonts w:ascii="Times New Roman" w:hAnsi="Times New Roman" w:cs="Times New Roman"/>
          <w:lang w:val="de-DE"/>
        </w:rPr>
        <w:t>pats</w:t>
      </w:r>
      <w:proofErr w:type="spellEnd"/>
      <w:r w:rsidRPr="000C7C76">
        <w:rPr>
          <w:rFonts w:ascii="Times New Roman" w:hAnsi="Times New Roman" w:cs="Times New Roman"/>
          <w:lang w:val="de-DE"/>
        </w:rPr>
        <w:t xml:space="preserve"> </w:t>
      </w:r>
      <w:proofErr w:type="spellStart"/>
      <w:r w:rsidRPr="000C7C76">
        <w:rPr>
          <w:rFonts w:ascii="Times New Roman" w:hAnsi="Times New Roman" w:cs="Times New Roman"/>
          <w:lang w:val="de-DE"/>
        </w:rPr>
        <w:t>attiecas</w:t>
      </w:r>
      <w:proofErr w:type="spellEnd"/>
      <w:r w:rsidR="00114953" w:rsidRPr="000C7C76">
        <w:rPr>
          <w:rFonts w:ascii="Times New Roman" w:hAnsi="Times New Roman" w:cs="Times New Roman"/>
          <w:lang w:val="de-DE"/>
        </w:rPr>
        <w:t xml:space="preserve"> </w:t>
      </w:r>
      <w:proofErr w:type="spellStart"/>
      <w:r w:rsidR="00114953" w:rsidRPr="000C7C76">
        <w:rPr>
          <w:rFonts w:ascii="Times New Roman" w:hAnsi="Times New Roman" w:cs="Times New Roman"/>
          <w:lang w:val="de-DE"/>
        </w:rPr>
        <w:t>arī</w:t>
      </w:r>
      <w:proofErr w:type="spellEnd"/>
      <w:r w:rsidR="00114953" w:rsidRPr="000C7C76">
        <w:rPr>
          <w:rFonts w:ascii="Times New Roman" w:hAnsi="Times New Roman" w:cs="Times New Roman"/>
          <w:lang w:val="de-DE"/>
        </w:rPr>
        <w:t xml:space="preserve"> </w:t>
      </w:r>
      <w:proofErr w:type="spellStart"/>
      <w:r w:rsidR="00114953" w:rsidRPr="000C7C76">
        <w:rPr>
          <w:rFonts w:ascii="Times New Roman" w:hAnsi="Times New Roman" w:cs="Times New Roman"/>
          <w:lang w:val="de-DE"/>
        </w:rPr>
        <w:t>uz</w:t>
      </w:r>
      <w:proofErr w:type="spellEnd"/>
      <w:r w:rsidR="00114953" w:rsidRPr="000C7C76">
        <w:rPr>
          <w:rFonts w:ascii="Times New Roman" w:hAnsi="Times New Roman" w:cs="Times New Roman"/>
          <w:lang w:val="de-DE"/>
        </w:rPr>
        <w:t xml:space="preserve"> </w:t>
      </w:r>
      <w:proofErr w:type="spellStart"/>
      <w:r w:rsidR="00114953" w:rsidRPr="000C7C76">
        <w:rPr>
          <w:rFonts w:ascii="Times New Roman" w:hAnsi="Times New Roman" w:cs="Times New Roman"/>
          <w:lang w:val="de-DE"/>
        </w:rPr>
        <w:t>ieteikumu</w:t>
      </w:r>
      <w:proofErr w:type="spellEnd"/>
      <w:r w:rsidR="00114953" w:rsidRPr="000C7C76">
        <w:rPr>
          <w:rFonts w:ascii="Times New Roman" w:hAnsi="Times New Roman" w:cs="Times New Roman"/>
          <w:lang w:val="de-DE"/>
        </w:rPr>
        <w:t xml:space="preserve"> </w:t>
      </w:r>
      <w:proofErr w:type="spellStart"/>
      <w:r w:rsidR="00114953" w:rsidRPr="000C7C76">
        <w:rPr>
          <w:rFonts w:ascii="Times New Roman" w:hAnsi="Times New Roman" w:cs="Times New Roman"/>
          <w:lang w:val="de-DE"/>
        </w:rPr>
        <w:t>izstrādāt</w:t>
      </w:r>
      <w:proofErr w:type="spellEnd"/>
      <w:r w:rsidR="00114953" w:rsidRPr="000C7C76">
        <w:rPr>
          <w:rFonts w:ascii="Times New Roman" w:hAnsi="Times New Roman" w:cs="Times New Roman"/>
          <w:lang w:val="de-DE"/>
        </w:rPr>
        <w:t xml:space="preserve"> Latvijas </w:t>
      </w:r>
      <w:proofErr w:type="spellStart"/>
      <w:r w:rsidR="00114953" w:rsidRPr="000C7C76">
        <w:rPr>
          <w:rFonts w:ascii="Times New Roman" w:hAnsi="Times New Roman" w:cs="Times New Roman"/>
          <w:lang w:val="de-DE"/>
        </w:rPr>
        <w:t>notāriem</w:t>
      </w:r>
      <w:proofErr w:type="spellEnd"/>
      <w:r w:rsidR="00114953" w:rsidRPr="000C7C76">
        <w:rPr>
          <w:rFonts w:ascii="Times New Roman" w:hAnsi="Times New Roman" w:cs="Times New Roman"/>
          <w:lang w:val="de-DE"/>
        </w:rPr>
        <w:t xml:space="preserve"> </w:t>
      </w:r>
      <w:proofErr w:type="spellStart"/>
      <w:r w:rsidRPr="000C7C76">
        <w:rPr>
          <w:rFonts w:ascii="Times New Roman" w:hAnsi="Times New Roman" w:cs="Times New Roman"/>
          <w:lang w:val="de-DE"/>
        </w:rPr>
        <w:t>rokasgrāmatu</w:t>
      </w:r>
      <w:proofErr w:type="spellEnd"/>
      <w:r w:rsidRPr="000C7C76">
        <w:rPr>
          <w:rFonts w:ascii="Times New Roman" w:hAnsi="Times New Roman" w:cs="Times New Roman"/>
          <w:lang w:val="de-DE"/>
        </w:rPr>
        <w:t xml:space="preserve"> par </w:t>
      </w:r>
      <w:proofErr w:type="spellStart"/>
      <w:r w:rsidRPr="000C7C76">
        <w:rPr>
          <w:rFonts w:ascii="Times New Roman" w:hAnsi="Times New Roman" w:cs="Times New Roman"/>
          <w:lang w:val="de-DE"/>
        </w:rPr>
        <w:t>ārvalstu</w:t>
      </w:r>
      <w:proofErr w:type="spellEnd"/>
      <w:r w:rsidRPr="000C7C76">
        <w:rPr>
          <w:rFonts w:ascii="Times New Roman" w:hAnsi="Times New Roman" w:cs="Times New Roman"/>
          <w:lang w:val="de-DE"/>
        </w:rPr>
        <w:t xml:space="preserve"> </w:t>
      </w:r>
      <w:proofErr w:type="spellStart"/>
      <w:r w:rsidR="00114953" w:rsidRPr="000C7C76">
        <w:rPr>
          <w:rFonts w:ascii="Times New Roman" w:hAnsi="Times New Roman" w:cs="Times New Roman"/>
          <w:lang w:val="de-DE"/>
        </w:rPr>
        <w:t>reģistriem</w:t>
      </w:r>
      <w:proofErr w:type="spellEnd"/>
      <w:r w:rsidR="00114953" w:rsidRPr="000C7C76">
        <w:rPr>
          <w:rFonts w:ascii="Times New Roman" w:hAnsi="Times New Roman" w:cs="Times New Roman"/>
          <w:lang w:val="de-DE"/>
        </w:rPr>
        <w:t xml:space="preserve"> </w:t>
      </w:r>
      <w:proofErr w:type="spellStart"/>
      <w:r w:rsidR="00114953" w:rsidRPr="000C7C76">
        <w:rPr>
          <w:rFonts w:ascii="Times New Roman" w:hAnsi="Times New Roman" w:cs="Times New Roman"/>
          <w:lang w:val="de-DE"/>
        </w:rPr>
        <w:t>un</w:t>
      </w:r>
      <w:proofErr w:type="spellEnd"/>
      <w:r w:rsidR="00114953" w:rsidRPr="000C7C76">
        <w:rPr>
          <w:rFonts w:ascii="Times New Roman" w:hAnsi="Times New Roman" w:cs="Times New Roman"/>
          <w:lang w:val="de-DE"/>
        </w:rPr>
        <w:t xml:space="preserve"> </w:t>
      </w:r>
      <w:proofErr w:type="spellStart"/>
      <w:r w:rsidR="00114953" w:rsidRPr="000C7C76">
        <w:rPr>
          <w:rFonts w:ascii="Times New Roman" w:hAnsi="Times New Roman" w:cs="Times New Roman"/>
          <w:lang w:val="de-DE"/>
        </w:rPr>
        <w:t>to</w:t>
      </w:r>
      <w:proofErr w:type="spellEnd"/>
      <w:r w:rsidR="00114953" w:rsidRPr="000C7C76">
        <w:rPr>
          <w:rFonts w:ascii="Times New Roman" w:hAnsi="Times New Roman" w:cs="Times New Roman"/>
          <w:lang w:val="de-DE"/>
        </w:rPr>
        <w:t xml:space="preserve"> </w:t>
      </w:r>
      <w:proofErr w:type="spellStart"/>
      <w:r w:rsidR="00114953" w:rsidRPr="000C7C76">
        <w:rPr>
          <w:rFonts w:ascii="Times New Roman" w:hAnsi="Times New Roman" w:cs="Times New Roman"/>
          <w:lang w:val="de-DE"/>
        </w:rPr>
        <w:t>pielīdzināšanu</w:t>
      </w:r>
      <w:proofErr w:type="spellEnd"/>
      <w:r w:rsidR="00114953" w:rsidRPr="000C7C76">
        <w:rPr>
          <w:rFonts w:ascii="Times New Roman" w:hAnsi="Times New Roman" w:cs="Times New Roman"/>
          <w:lang w:val="de-DE"/>
        </w:rPr>
        <w:t xml:space="preserve"> Latvijas </w:t>
      </w:r>
      <w:proofErr w:type="spellStart"/>
      <w:r w:rsidR="00114953" w:rsidRPr="000C7C76">
        <w:rPr>
          <w:rFonts w:ascii="Times New Roman" w:hAnsi="Times New Roman" w:cs="Times New Roman"/>
          <w:lang w:val="de-DE"/>
        </w:rPr>
        <w:t>Komercreģistram</w:t>
      </w:r>
      <w:proofErr w:type="spellEnd"/>
      <w:r w:rsidR="00114953" w:rsidRPr="000C7C76">
        <w:rPr>
          <w:rFonts w:ascii="Times New Roman" w:hAnsi="Times New Roman" w:cs="Times New Roman"/>
          <w:lang w:val="de-DE"/>
        </w:rPr>
        <w:t xml:space="preserve">. Tas </w:t>
      </w:r>
      <w:proofErr w:type="spellStart"/>
      <w:r w:rsidR="00114953" w:rsidRPr="000C7C76">
        <w:rPr>
          <w:rFonts w:ascii="Times New Roman" w:hAnsi="Times New Roman" w:cs="Times New Roman"/>
          <w:lang w:val="de-DE"/>
        </w:rPr>
        <w:t>atvieglotu</w:t>
      </w:r>
      <w:proofErr w:type="spellEnd"/>
      <w:r w:rsidR="00114953" w:rsidRPr="000C7C76">
        <w:rPr>
          <w:rFonts w:ascii="Times New Roman" w:hAnsi="Times New Roman" w:cs="Times New Roman"/>
          <w:lang w:val="de-DE"/>
        </w:rPr>
        <w:t xml:space="preserve"> Latvijas </w:t>
      </w:r>
      <w:proofErr w:type="spellStart"/>
      <w:r w:rsidR="00114953" w:rsidRPr="000C7C76">
        <w:rPr>
          <w:rFonts w:ascii="Times New Roman" w:hAnsi="Times New Roman" w:cs="Times New Roman"/>
          <w:lang w:val="de-DE"/>
        </w:rPr>
        <w:t>notāru</w:t>
      </w:r>
      <w:proofErr w:type="spellEnd"/>
      <w:r w:rsidR="00114953" w:rsidRPr="000C7C76">
        <w:rPr>
          <w:rFonts w:ascii="Times New Roman" w:hAnsi="Times New Roman" w:cs="Times New Roman"/>
          <w:lang w:val="de-DE"/>
        </w:rPr>
        <w:t xml:space="preserve"> </w:t>
      </w:r>
      <w:proofErr w:type="spellStart"/>
      <w:r w:rsidR="00114953" w:rsidRPr="000C7C76">
        <w:rPr>
          <w:rFonts w:ascii="Times New Roman" w:hAnsi="Times New Roman" w:cs="Times New Roman"/>
          <w:lang w:val="de-DE"/>
        </w:rPr>
        <w:t>darbu</w:t>
      </w:r>
      <w:proofErr w:type="spellEnd"/>
      <w:r w:rsidR="00114953" w:rsidRPr="000C7C76">
        <w:rPr>
          <w:rFonts w:ascii="Times New Roman" w:hAnsi="Times New Roman" w:cs="Times New Roman"/>
          <w:lang w:val="de-DE"/>
        </w:rPr>
        <w:t>.</w:t>
      </w:r>
    </w:p>
    <w:p w14:paraId="2C743C44" w14:textId="77777777" w:rsidR="00114953" w:rsidRPr="000C7C76" w:rsidRDefault="00114953" w:rsidP="00114953">
      <w:pPr>
        <w:jc w:val="both"/>
        <w:rPr>
          <w:rFonts w:ascii="Times New Roman" w:hAnsi="Times New Roman" w:cs="Times New Roman"/>
          <w:highlight w:val="yellow"/>
          <w:lang w:val="de-DE"/>
        </w:rPr>
      </w:pPr>
    </w:p>
    <w:p w14:paraId="0238BEDE" w14:textId="4A3A3E1E" w:rsidR="00114953" w:rsidRPr="00CD4311" w:rsidRDefault="002E65A8" w:rsidP="00114953">
      <w:pPr>
        <w:jc w:val="both"/>
        <w:rPr>
          <w:rFonts w:ascii="Times New Roman" w:hAnsi="Times New Roman" w:cs="Times New Roman"/>
          <w:lang w:val="de-DE"/>
        </w:rPr>
      </w:pPr>
      <w:r>
        <w:rPr>
          <w:rFonts w:ascii="Times New Roman" w:hAnsi="Times New Roman" w:cs="Times New Roman"/>
          <w:lang w:val="de-DE"/>
        </w:rPr>
        <w:t xml:space="preserve">3. </w:t>
      </w:r>
      <w:proofErr w:type="spellStart"/>
      <w:r>
        <w:rPr>
          <w:rFonts w:ascii="Times New Roman" w:hAnsi="Times New Roman" w:cs="Times New Roman"/>
          <w:lang w:val="de-DE"/>
        </w:rPr>
        <w:t>S</w:t>
      </w:r>
      <w:r w:rsidR="00114953" w:rsidRPr="00CD4311">
        <w:rPr>
          <w:rFonts w:ascii="Times New Roman" w:hAnsi="Times New Roman" w:cs="Times New Roman"/>
          <w:lang w:val="de-DE"/>
        </w:rPr>
        <w:t>adarbībā</w:t>
      </w:r>
      <w:proofErr w:type="spellEnd"/>
      <w:r w:rsidR="00114953" w:rsidRPr="00CD4311">
        <w:rPr>
          <w:rFonts w:ascii="Times New Roman" w:hAnsi="Times New Roman" w:cs="Times New Roman"/>
          <w:lang w:val="de-DE"/>
        </w:rPr>
        <w:t xml:space="preserve"> </w:t>
      </w:r>
      <w:proofErr w:type="spellStart"/>
      <w:r w:rsidR="00114953" w:rsidRPr="00CD4311">
        <w:rPr>
          <w:rFonts w:ascii="Times New Roman" w:hAnsi="Times New Roman" w:cs="Times New Roman"/>
          <w:lang w:val="de-DE"/>
        </w:rPr>
        <w:t>ar</w:t>
      </w:r>
      <w:proofErr w:type="spellEnd"/>
      <w:r w:rsidR="00114953" w:rsidRPr="00CD4311">
        <w:rPr>
          <w:rFonts w:ascii="Times New Roman" w:hAnsi="Times New Roman" w:cs="Times New Roman"/>
          <w:lang w:val="de-DE"/>
        </w:rPr>
        <w:t xml:space="preserve"> </w:t>
      </w:r>
      <w:proofErr w:type="spellStart"/>
      <w:r w:rsidR="00114953" w:rsidRPr="00CD4311">
        <w:rPr>
          <w:rFonts w:ascii="Times New Roman" w:hAnsi="Times New Roman" w:cs="Times New Roman"/>
          <w:lang w:val="de-DE"/>
        </w:rPr>
        <w:t>angļu</w:t>
      </w:r>
      <w:proofErr w:type="spellEnd"/>
      <w:r w:rsidR="00114953" w:rsidRPr="00CD4311">
        <w:rPr>
          <w:rFonts w:ascii="Times New Roman" w:hAnsi="Times New Roman" w:cs="Times New Roman"/>
          <w:lang w:val="de-DE"/>
        </w:rPr>
        <w:t xml:space="preserve"> </w:t>
      </w:r>
      <w:proofErr w:type="spellStart"/>
      <w:r w:rsidR="00114953" w:rsidRPr="00CD4311">
        <w:rPr>
          <w:rFonts w:ascii="Times New Roman" w:hAnsi="Times New Roman" w:cs="Times New Roman"/>
          <w:lang w:val="de-DE"/>
        </w:rPr>
        <w:t>valodas</w:t>
      </w:r>
      <w:proofErr w:type="spellEnd"/>
      <w:r w:rsidR="00114953" w:rsidRPr="00CD4311">
        <w:rPr>
          <w:rFonts w:ascii="Times New Roman" w:hAnsi="Times New Roman" w:cs="Times New Roman"/>
          <w:lang w:val="de-DE"/>
        </w:rPr>
        <w:t xml:space="preserve"> </w:t>
      </w:r>
      <w:proofErr w:type="spellStart"/>
      <w:r w:rsidR="00114953" w:rsidRPr="00CD4311">
        <w:rPr>
          <w:rFonts w:ascii="Times New Roman" w:hAnsi="Times New Roman" w:cs="Times New Roman"/>
          <w:lang w:val="de-DE"/>
        </w:rPr>
        <w:t>filologiem</w:t>
      </w:r>
      <w:proofErr w:type="spellEnd"/>
      <w:r w:rsidR="00114953" w:rsidRPr="00CD4311">
        <w:rPr>
          <w:rFonts w:ascii="Times New Roman" w:hAnsi="Times New Roman" w:cs="Times New Roman"/>
          <w:lang w:val="de-DE"/>
        </w:rPr>
        <w:t xml:space="preserve"> </w:t>
      </w:r>
      <w:proofErr w:type="spellStart"/>
      <w:r w:rsidR="00E20A5E">
        <w:rPr>
          <w:rFonts w:ascii="Times New Roman" w:hAnsi="Times New Roman" w:cs="Times New Roman"/>
          <w:lang w:val="de-DE"/>
        </w:rPr>
        <w:t>un</w:t>
      </w:r>
      <w:proofErr w:type="spellEnd"/>
      <w:r w:rsidR="00E20A5E">
        <w:rPr>
          <w:rFonts w:ascii="Times New Roman" w:hAnsi="Times New Roman" w:cs="Times New Roman"/>
          <w:lang w:val="de-DE"/>
        </w:rPr>
        <w:t xml:space="preserve"> </w:t>
      </w:r>
      <w:proofErr w:type="spellStart"/>
      <w:r w:rsidR="00E20A5E">
        <w:rPr>
          <w:rFonts w:ascii="Times New Roman" w:hAnsi="Times New Roman" w:cs="Times New Roman"/>
          <w:lang w:val="de-DE"/>
        </w:rPr>
        <w:t>terminoloģijas</w:t>
      </w:r>
      <w:proofErr w:type="spellEnd"/>
      <w:r w:rsidR="00E20A5E">
        <w:rPr>
          <w:rFonts w:ascii="Times New Roman" w:hAnsi="Times New Roman" w:cs="Times New Roman"/>
          <w:lang w:val="de-DE"/>
        </w:rPr>
        <w:t xml:space="preserve"> </w:t>
      </w:r>
      <w:proofErr w:type="spellStart"/>
      <w:r w:rsidR="00E20A5E">
        <w:rPr>
          <w:rFonts w:ascii="Times New Roman" w:hAnsi="Times New Roman" w:cs="Times New Roman"/>
          <w:lang w:val="de-DE"/>
        </w:rPr>
        <w:t>speciālistiem</w:t>
      </w:r>
      <w:proofErr w:type="spellEnd"/>
      <w:r w:rsidR="00114953" w:rsidRPr="00CD4311">
        <w:rPr>
          <w:rFonts w:ascii="Times New Roman" w:hAnsi="Times New Roman" w:cs="Times New Roman"/>
          <w:lang w:val="de-DE"/>
        </w:rPr>
        <w:t xml:space="preserve"> </w:t>
      </w:r>
      <w:proofErr w:type="spellStart"/>
      <w:r w:rsidR="00114953" w:rsidRPr="00CD4311">
        <w:rPr>
          <w:rFonts w:ascii="Times New Roman" w:hAnsi="Times New Roman" w:cs="Times New Roman"/>
          <w:lang w:val="de-DE"/>
        </w:rPr>
        <w:t>būtu</w:t>
      </w:r>
      <w:proofErr w:type="spellEnd"/>
      <w:r w:rsidR="00114953" w:rsidRPr="00CD4311">
        <w:rPr>
          <w:rFonts w:ascii="Times New Roman" w:hAnsi="Times New Roman" w:cs="Times New Roman"/>
          <w:lang w:val="de-DE"/>
        </w:rPr>
        <w:t xml:space="preserve"> </w:t>
      </w:r>
      <w:proofErr w:type="spellStart"/>
      <w:r w:rsidR="00114953" w:rsidRPr="00CD4311">
        <w:rPr>
          <w:rFonts w:ascii="Times New Roman" w:hAnsi="Times New Roman" w:cs="Times New Roman"/>
          <w:lang w:val="de-DE"/>
        </w:rPr>
        <w:t>ieteicams</w:t>
      </w:r>
      <w:proofErr w:type="spellEnd"/>
      <w:r w:rsidR="00114953" w:rsidRPr="00CD4311">
        <w:rPr>
          <w:rFonts w:ascii="Times New Roman" w:hAnsi="Times New Roman" w:cs="Times New Roman"/>
          <w:lang w:val="de-DE"/>
        </w:rPr>
        <w:t xml:space="preserve"> </w:t>
      </w:r>
      <w:proofErr w:type="spellStart"/>
      <w:r w:rsidR="00114953" w:rsidRPr="00CD4311">
        <w:rPr>
          <w:rFonts w:ascii="Times New Roman" w:hAnsi="Times New Roman" w:cs="Times New Roman"/>
          <w:lang w:val="de-DE"/>
        </w:rPr>
        <w:t>atrast</w:t>
      </w:r>
      <w:proofErr w:type="spellEnd"/>
      <w:r w:rsidR="00114953" w:rsidRPr="00CD4311">
        <w:rPr>
          <w:rFonts w:ascii="Times New Roman" w:hAnsi="Times New Roman" w:cs="Times New Roman"/>
          <w:lang w:val="de-DE"/>
        </w:rPr>
        <w:t xml:space="preserve"> </w:t>
      </w:r>
      <w:proofErr w:type="spellStart"/>
      <w:r w:rsidR="00114953" w:rsidRPr="00CD4311">
        <w:rPr>
          <w:rFonts w:ascii="Times New Roman" w:hAnsi="Times New Roman" w:cs="Times New Roman"/>
          <w:lang w:val="de-DE"/>
        </w:rPr>
        <w:t>un</w:t>
      </w:r>
      <w:proofErr w:type="spellEnd"/>
      <w:r w:rsidR="00114953" w:rsidRPr="00CD4311">
        <w:rPr>
          <w:rFonts w:ascii="Times New Roman" w:hAnsi="Times New Roman" w:cs="Times New Roman"/>
          <w:lang w:val="de-DE"/>
        </w:rPr>
        <w:t xml:space="preserve"> </w:t>
      </w:r>
      <w:proofErr w:type="spellStart"/>
      <w:r w:rsidR="00114953" w:rsidRPr="00CD4311">
        <w:rPr>
          <w:rFonts w:ascii="Times New Roman" w:hAnsi="Times New Roman" w:cs="Times New Roman"/>
          <w:lang w:val="de-DE"/>
        </w:rPr>
        <w:t>apstiprināt</w:t>
      </w:r>
      <w:proofErr w:type="spellEnd"/>
      <w:r w:rsidR="00114953" w:rsidRPr="00CD4311">
        <w:rPr>
          <w:rFonts w:ascii="Times New Roman" w:hAnsi="Times New Roman" w:cs="Times New Roman"/>
          <w:lang w:val="de-DE"/>
        </w:rPr>
        <w:t xml:space="preserve"> </w:t>
      </w:r>
      <w:proofErr w:type="spellStart"/>
      <w:r w:rsidR="00114953" w:rsidRPr="00CD4311">
        <w:rPr>
          <w:rFonts w:ascii="Times New Roman" w:hAnsi="Times New Roman" w:cs="Times New Roman"/>
          <w:lang w:val="de-DE"/>
        </w:rPr>
        <w:t>funkcionāli</w:t>
      </w:r>
      <w:proofErr w:type="spellEnd"/>
      <w:r w:rsidR="00114953" w:rsidRPr="00CD4311">
        <w:rPr>
          <w:rFonts w:ascii="Times New Roman" w:hAnsi="Times New Roman" w:cs="Times New Roman"/>
          <w:lang w:val="de-DE"/>
        </w:rPr>
        <w:t xml:space="preserve"> </w:t>
      </w:r>
      <w:proofErr w:type="spellStart"/>
      <w:r w:rsidR="00114953" w:rsidRPr="00CD4311">
        <w:rPr>
          <w:rFonts w:ascii="Times New Roman" w:hAnsi="Times New Roman" w:cs="Times New Roman"/>
          <w:lang w:val="de-DE"/>
        </w:rPr>
        <w:t>precīzu</w:t>
      </w:r>
      <w:proofErr w:type="spellEnd"/>
      <w:r w:rsidR="00114953" w:rsidRPr="00CD4311">
        <w:rPr>
          <w:rFonts w:ascii="Times New Roman" w:hAnsi="Times New Roman" w:cs="Times New Roman"/>
          <w:lang w:val="de-DE"/>
        </w:rPr>
        <w:t xml:space="preserve"> </w:t>
      </w:r>
      <w:proofErr w:type="spellStart"/>
      <w:r w:rsidR="00114953" w:rsidRPr="00CD4311">
        <w:rPr>
          <w:rFonts w:ascii="Times New Roman" w:hAnsi="Times New Roman" w:cs="Times New Roman"/>
          <w:lang w:val="de-DE"/>
        </w:rPr>
        <w:t>angļu</w:t>
      </w:r>
      <w:proofErr w:type="spellEnd"/>
      <w:r w:rsidR="00114953" w:rsidRPr="00CD4311">
        <w:rPr>
          <w:rFonts w:ascii="Times New Roman" w:hAnsi="Times New Roman" w:cs="Times New Roman"/>
          <w:lang w:val="de-DE"/>
        </w:rPr>
        <w:t xml:space="preserve"> </w:t>
      </w:r>
      <w:proofErr w:type="spellStart"/>
      <w:r w:rsidR="00114953" w:rsidRPr="00CD4311">
        <w:rPr>
          <w:rFonts w:ascii="Times New Roman" w:hAnsi="Times New Roman" w:cs="Times New Roman"/>
          <w:lang w:val="de-DE"/>
        </w:rPr>
        <w:t>valodas</w:t>
      </w:r>
      <w:proofErr w:type="spellEnd"/>
      <w:r w:rsidR="00114953" w:rsidRPr="00CD4311">
        <w:rPr>
          <w:rFonts w:ascii="Times New Roman" w:hAnsi="Times New Roman" w:cs="Times New Roman"/>
          <w:lang w:val="de-DE"/>
        </w:rPr>
        <w:t xml:space="preserve"> </w:t>
      </w:r>
      <w:proofErr w:type="spellStart"/>
      <w:r w:rsidR="00114953" w:rsidRPr="00CD4311">
        <w:rPr>
          <w:rFonts w:ascii="Times New Roman" w:hAnsi="Times New Roman" w:cs="Times New Roman"/>
          <w:lang w:val="de-DE"/>
        </w:rPr>
        <w:t>termina</w:t>
      </w:r>
      <w:proofErr w:type="spellEnd"/>
      <w:r w:rsidR="00114953" w:rsidRPr="00CD4311">
        <w:rPr>
          <w:rFonts w:ascii="Times New Roman" w:hAnsi="Times New Roman" w:cs="Times New Roman"/>
          <w:lang w:val="de-DE"/>
        </w:rPr>
        <w:t xml:space="preserve"> </w:t>
      </w:r>
      <w:r w:rsidR="00114953" w:rsidRPr="00CD4311">
        <w:rPr>
          <w:rFonts w:ascii="Times New Roman" w:hAnsi="Times New Roman" w:cs="Times New Roman"/>
          <w:i/>
          <w:lang w:val="de-DE"/>
        </w:rPr>
        <w:t>„</w:t>
      </w:r>
      <w:proofErr w:type="spellStart"/>
      <w:r w:rsidR="00114953" w:rsidRPr="00CD4311">
        <w:rPr>
          <w:rFonts w:ascii="Times New Roman" w:hAnsi="Times New Roman" w:cs="Times New Roman"/>
          <w:i/>
          <w:lang w:val="de-DE"/>
        </w:rPr>
        <w:t>notary</w:t>
      </w:r>
      <w:proofErr w:type="spellEnd"/>
      <w:r w:rsidR="00114953" w:rsidRPr="00CD4311">
        <w:rPr>
          <w:rFonts w:ascii="Times New Roman" w:hAnsi="Times New Roman" w:cs="Times New Roman"/>
          <w:i/>
          <w:lang w:val="de-DE"/>
        </w:rPr>
        <w:t xml:space="preserve"> </w:t>
      </w:r>
      <w:proofErr w:type="spellStart"/>
      <w:r w:rsidR="00114953" w:rsidRPr="00CD4311">
        <w:rPr>
          <w:rFonts w:ascii="Times New Roman" w:hAnsi="Times New Roman" w:cs="Times New Roman"/>
          <w:i/>
          <w:lang w:val="de-DE"/>
        </w:rPr>
        <w:t>public</w:t>
      </w:r>
      <w:proofErr w:type="spellEnd"/>
      <w:r w:rsidR="00114953" w:rsidRPr="00CD4311">
        <w:rPr>
          <w:rFonts w:ascii="Times New Roman" w:hAnsi="Times New Roman" w:cs="Times New Roman"/>
          <w:i/>
          <w:lang w:val="de-DE"/>
        </w:rPr>
        <w:t xml:space="preserve">“ </w:t>
      </w:r>
      <w:proofErr w:type="spellStart"/>
      <w:r w:rsidR="00114953" w:rsidRPr="00CD4311">
        <w:rPr>
          <w:rFonts w:ascii="Times New Roman" w:hAnsi="Times New Roman" w:cs="Times New Roman"/>
          <w:lang w:val="de-DE"/>
        </w:rPr>
        <w:t>tulkojumu</w:t>
      </w:r>
      <w:proofErr w:type="spellEnd"/>
      <w:r w:rsidR="00114953" w:rsidRPr="00CD4311">
        <w:rPr>
          <w:rFonts w:ascii="Times New Roman" w:hAnsi="Times New Roman" w:cs="Times New Roman"/>
          <w:lang w:val="de-DE"/>
        </w:rPr>
        <w:t xml:space="preserve"> </w:t>
      </w:r>
      <w:proofErr w:type="spellStart"/>
      <w:r w:rsidR="00114953" w:rsidRPr="00CD4311">
        <w:rPr>
          <w:rFonts w:ascii="Times New Roman" w:hAnsi="Times New Roman" w:cs="Times New Roman"/>
          <w:lang w:val="de-DE"/>
        </w:rPr>
        <w:t>latviešu</w:t>
      </w:r>
      <w:proofErr w:type="spellEnd"/>
      <w:r w:rsidR="00114953" w:rsidRPr="00CD4311">
        <w:rPr>
          <w:rFonts w:ascii="Times New Roman" w:hAnsi="Times New Roman" w:cs="Times New Roman"/>
          <w:lang w:val="de-DE"/>
        </w:rPr>
        <w:t xml:space="preserve"> </w:t>
      </w:r>
      <w:proofErr w:type="spellStart"/>
      <w:r w:rsidR="00114953" w:rsidRPr="00CD4311">
        <w:rPr>
          <w:rFonts w:ascii="Times New Roman" w:hAnsi="Times New Roman" w:cs="Times New Roman"/>
          <w:lang w:val="de-DE"/>
        </w:rPr>
        <w:t>valodā</w:t>
      </w:r>
      <w:proofErr w:type="spellEnd"/>
      <w:r w:rsidR="00114953" w:rsidRPr="00CD4311">
        <w:rPr>
          <w:rFonts w:ascii="Times New Roman" w:hAnsi="Times New Roman" w:cs="Times New Roman"/>
          <w:lang w:val="de-DE"/>
        </w:rPr>
        <w:t xml:space="preserve">. </w:t>
      </w:r>
      <w:proofErr w:type="spellStart"/>
      <w:r w:rsidR="00114953" w:rsidRPr="00CD4311">
        <w:rPr>
          <w:rFonts w:ascii="Times New Roman" w:hAnsi="Times New Roman" w:cs="Times New Roman"/>
          <w:lang w:val="de-DE"/>
        </w:rPr>
        <w:t>Pašreizējais</w:t>
      </w:r>
      <w:proofErr w:type="spellEnd"/>
      <w:r w:rsidR="00114953" w:rsidRPr="00CD4311">
        <w:rPr>
          <w:rFonts w:ascii="Times New Roman" w:hAnsi="Times New Roman" w:cs="Times New Roman"/>
          <w:lang w:val="de-DE"/>
        </w:rPr>
        <w:t xml:space="preserve"> </w:t>
      </w:r>
      <w:proofErr w:type="spellStart"/>
      <w:r w:rsidR="00114953" w:rsidRPr="00CD4311">
        <w:rPr>
          <w:rFonts w:ascii="Times New Roman" w:hAnsi="Times New Roman" w:cs="Times New Roman"/>
          <w:lang w:val="de-DE"/>
        </w:rPr>
        <w:t>tulkojums</w:t>
      </w:r>
      <w:proofErr w:type="spellEnd"/>
      <w:r w:rsidR="00114953" w:rsidRPr="00CD4311">
        <w:rPr>
          <w:rFonts w:ascii="Times New Roman" w:hAnsi="Times New Roman" w:cs="Times New Roman"/>
          <w:lang w:val="de-DE"/>
        </w:rPr>
        <w:t xml:space="preserve"> „</w:t>
      </w:r>
      <w:proofErr w:type="spellStart"/>
      <w:r w:rsidR="00114953" w:rsidRPr="00CD4311">
        <w:rPr>
          <w:rFonts w:ascii="Times New Roman" w:hAnsi="Times New Roman" w:cs="Times New Roman"/>
          <w:lang w:val="de-DE"/>
        </w:rPr>
        <w:t>publisks</w:t>
      </w:r>
      <w:proofErr w:type="spellEnd"/>
      <w:r w:rsidR="00114953" w:rsidRPr="00CD4311">
        <w:rPr>
          <w:rFonts w:ascii="Times New Roman" w:hAnsi="Times New Roman" w:cs="Times New Roman"/>
          <w:lang w:val="de-DE"/>
        </w:rPr>
        <w:t xml:space="preserve"> </w:t>
      </w:r>
      <w:proofErr w:type="spellStart"/>
      <w:r w:rsidR="00114953" w:rsidRPr="00CD4311">
        <w:rPr>
          <w:rFonts w:ascii="Times New Roman" w:hAnsi="Times New Roman" w:cs="Times New Roman"/>
          <w:lang w:val="de-DE"/>
        </w:rPr>
        <w:t>notārs</w:t>
      </w:r>
      <w:proofErr w:type="spellEnd"/>
      <w:r w:rsidR="00114953" w:rsidRPr="00CD4311">
        <w:rPr>
          <w:rFonts w:ascii="Times New Roman" w:hAnsi="Times New Roman" w:cs="Times New Roman"/>
          <w:lang w:val="de-DE"/>
        </w:rPr>
        <w:t xml:space="preserve">“ </w:t>
      </w:r>
      <w:proofErr w:type="spellStart"/>
      <w:r w:rsidR="00114953" w:rsidRPr="00CD4311">
        <w:rPr>
          <w:rFonts w:ascii="Times New Roman" w:hAnsi="Times New Roman" w:cs="Times New Roman"/>
          <w:lang w:val="de-DE"/>
        </w:rPr>
        <w:t>mēdz</w:t>
      </w:r>
      <w:proofErr w:type="spellEnd"/>
      <w:r w:rsidR="00114953" w:rsidRPr="00CD4311">
        <w:rPr>
          <w:rFonts w:ascii="Times New Roman" w:hAnsi="Times New Roman" w:cs="Times New Roman"/>
          <w:lang w:val="de-DE"/>
        </w:rPr>
        <w:t xml:space="preserve"> </w:t>
      </w:r>
      <w:proofErr w:type="spellStart"/>
      <w:r w:rsidR="00114953" w:rsidRPr="00CD4311">
        <w:rPr>
          <w:rFonts w:ascii="Times New Roman" w:hAnsi="Times New Roman" w:cs="Times New Roman"/>
          <w:lang w:val="de-DE"/>
        </w:rPr>
        <w:t>būt</w:t>
      </w:r>
      <w:proofErr w:type="spellEnd"/>
      <w:r w:rsidR="00114953" w:rsidRPr="00CD4311">
        <w:rPr>
          <w:rFonts w:ascii="Times New Roman" w:hAnsi="Times New Roman" w:cs="Times New Roman"/>
          <w:lang w:val="de-DE"/>
        </w:rPr>
        <w:t xml:space="preserve"> </w:t>
      </w:r>
      <w:proofErr w:type="spellStart"/>
      <w:r w:rsidR="00114953" w:rsidRPr="00CD4311">
        <w:rPr>
          <w:rFonts w:ascii="Times New Roman" w:hAnsi="Times New Roman" w:cs="Times New Roman"/>
          <w:lang w:val="de-DE"/>
        </w:rPr>
        <w:t>maldinošs</w:t>
      </w:r>
      <w:proofErr w:type="spellEnd"/>
      <w:r w:rsidR="00114953" w:rsidRPr="00CD4311">
        <w:rPr>
          <w:rFonts w:ascii="Times New Roman" w:hAnsi="Times New Roman" w:cs="Times New Roman"/>
          <w:lang w:val="de-DE"/>
        </w:rPr>
        <w:t xml:space="preserve">, </w:t>
      </w:r>
      <w:proofErr w:type="spellStart"/>
      <w:r w:rsidR="00114953" w:rsidRPr="00CD4311">
        <w:rPr>
          <w:rFonts w:ascii="Times New Roman" w:hAnsi="Times New Roman" w:cs="Times New Roman"/>
          <w:lang w:val="de-DE"/>
        </w:rPr>
        <w:t>jo</w:t>
      </w:r>
      <w:proofErr w:type="spellEnd"/>
      <w:r w:rsidR="00114953" w:rsidRPr="00CD4311">
        <w:rPr>
          <w:rFonts w:ascii="Times New Roman" w:hAnsi="Times New Roman" w:cs="Times New Roman"/>
          <w:lang w:val="de-DE"/>
        </w:rPr>
        <w:t xml:space="preserve"> </w:t>
      </w:r>
      <w:proofErr w:type="spellStart"/>
      <w:r w:rsidR="00114953" w:rsidRPr="00CD4311">
        <w:rPr>
          <w:rFonts w:ascii="Times New Roman" w:hAnsi="Times New Roman" w:cs="Times New Roman"/>
          <w:lang w:val="de-DE"/>
        </w:rPr>
        <w:t>īpaši</w:t>
      </w:r>
      <w:proofErr w:type="spellEnd"/>
      <w:r w:rsidR="00114953" w:rsidRPr="00CD4311">
        <w:rPr>
          <w:rFonts w:ascii="Times New Roman" w:hAnsi="Times New Roman" w:cs="Times New Roman"/>
          <w:lang w:val="de-DE"/>
        </w:rPr>
        <w:t xml:space="preserve"> </w:t>
      </w:r>
      <w:proofErr w:type="spellStart"/>
      <w:r w:rsidR="00114953" w:rsidRPr="00CD4311">
        <w:rPr>
          <w:rFonts w:ascii="Times New Roman" w:hAnsi="Times New Roman" w:cs="Times New Roman"/>
          <w:lang w:val="de-DE"/>
        </w:rPr>
        <w:t>tad</w:t>
      </w:r>
      <w:proofErr w:type="spellEnd"/>
      <w:r w:rsidR="00114953" w:rsidRPr="00CD4311">
        <w:rPr>
          <w:rFonts w:ascii="Times New Roman" w:hAnsi="Times New Roman" w:cs="Times New Roman"/>
          <w:lang w:val="de-DE"/>
        </w:rPr>
        <w:t xml:space="preserve">, ja </w:t>
      </w:r>
      <w:proofErr w:type="spellStart"/>
      <w:r w:rsidR="00114953" w:rsidRPr="00CD4311">
        <w:rPr>
          <w:rFonts w:ascii="Times New Roman" w:hAnsi="Times New Roman" w:cs="Times New Roman"/>
          <w:i/>
          <w:lang w:val="de-DE"/>
        </w:rPr>
        <w:t>notary</w:t>
      </w:r>
      <w:proofErr w:type="spellEnd"/>
      <w:r w:rsidR="00114953" w:rsidRPr="00CD4311">
        <w:rPr>
          <w:rFonts w:ascii="Times New Roman" w:hAnsi="Times New Roman" w:cs="Times New Roman"/>
          <w:i/>
          <w:lang w:val="de-DE"/>
        </w:rPr>
        <w:t xml:space="preserve"> </w:t>
      </w:r>
      <w:proofErr w:type="spellStart"/>
      <w:r w:rsidR="00114953" w:rsidRPr="00CD4311">
        <w:rPr>
          <w:rFonts w:ascii="Times New Roman" w:hAnsi="Times New Roman" w:cs="Times New Roman"/>
          <w:i/>
          <w:lang w:val="de-DE"/>
        </w:rPr>
        <w:t>public</w:t>
      </w:r>
      <w:proofErr w:type="spellEnd"/>
      <w:r w:rsidR="00114953" w:rsidRPr="00CD4311">
        <w:rPr>
          <w:rFonts w:ascii="Times New Roman" w:hAnsi="Times New Roman" w:cs="Times New Roman"/>
          <w:lang w:val="de-DE"/>
        </w:rPr>
        <w:t xml:space="preserve"> </w:t>
      </w:r>
      <w:proofErr w:type="spellStart"/>
      <w:r w:rsidR="00114953" w:rsidRPr="00CD4311">
        <w:rPr>
          <w:rFonts w:ascii="Times New Roman" w:hAnsi="Times New Roman" w:cs="Times New Roman"/>
          <w:lang w:val="de-DE"/>
        </w:rPr>
        <w:t>pēc</w:t>
      </w:r>
      <w:proofErr w:type="spellEnd"/>
      <w:r w:rsidR="00114953" w:rsidRPr="00CD4311">
        <w:rPr>
          <w:rFonts w:ascii="Times New Roman" w:hAnsi="Times New Roman" w:cs="Times New Roman"/>
          <w:lang w:val="de-DE"/>
        </w:rPr>
        <w:t xml:space="preserve"> </w:t>
      </w:r>
      <w:proofErr w:type="spellStart"/>
      <w:r w:rsidR="00114953" w:rsidRPr="00CD4311">
        <w:rPr>
          <w:rFonts w:ascii="Times New Roman" w:hAnsi="Times New Roman" w:cs="Times New Roman"/>
          <w:lang w:val="de-DE"/>
        </w:rPr>
        <w:t>profesijas</w:t>
      </w:r>
      <w:proofErr w:type="spellEnd"/>
      <w:r w:rsidR="00114953" w:rsidRPr="00CD4311">
        <w:rPr>
          <w:rFonts w:ascii="Times New Roman" w:hAnsi="Times New Roman" w:cs="Times New Roman"/>
          <w:lang w:val="de-DE"/>
        </w:rPr>
        <w:t xml:space="preserve"> </w:t>
      </w:r>
      <w:proofErr w:type="spellStart"/>
      <w:r w:rsidR="00114953" w:rsidRPr="00CD4311">
        <w:rPr>
          <w:rFonts w:ascii="Times New Roman" w:hAnsi="Times New Roman" w:cs="Times New Roman"/>
          <w:lang w:val="de-DE"/>
        </w:rPr>
        <w:t>nav</w:t>
      </w:r>
      <w:proofErr w:type="spellEnd"/>
      <w:r w:rsidR="00114953" w:rsidRPr="00CD4311">
        <w:rPr>
          <w:rFonts w:ascii="Times New Roman" w:hAnsi="Times New Roman" w:cs="Times New Roman"/>
          <w:lang w:val="de-DE"/>
        </w:rPr>
        <w:t xml:space="preserve"> </w:t>
      </w:r>
      <w:proofErr w:type="spellStart"/>
      <w:r w:rsidR="00114953" w:rsidRPr="00CD4311">
        <w:rPr>
          <w:rFonts w:ascii="Times New Roman" w:hAnsi="Times New Roman" w:cs="Times New Roman"/>
          <w:lang w:val="de-DE"/>
        </w:rPr>
        <w:t>jurists</w:t>
      </w:r>
      <w:proofErr w:type="spellEnd"/>
      <w:r w:rsidR="00114953" w:rsidRPr="00CD4311">
        <w:rPr>
          <w:rFonts w:ascii="Times New Roman" w:hAnsi="Times New Roman" w:cs="Times New Roman"/>
          <w:lang w:val="de-DE"/>
        </w:rPr>
        <w:t xml:space="preserve"> (</w:t>
      </w:r>
      <w:proofErr w:type="spellStart"/>
      <w:r w:rsidR="00114953" w:rsidRPr="00CD4311">
        <w:rPr>
          <w:rFonts w:ascii="Times New Roman" w:hAnsi="Times New Roman" w:cs="Times New Roman"/>
          <w:lang w:val="de-DE"/>
        </w:rPr>
        <w:t>kā</w:t>
      </w:r>
      <w:proofErr w:type="spellEnd"/>
      <w:r w:rsidR="00114953" w:rsidRPr="00CD4311">
        <w:rPr>
          <w:rFonts w:ascii="Times New Roman" w:hAnsi="Times New Roman" w:cs="Times New Roman"/>
          <w:lang w:val="de-DE"/>
        </w:rPr>
        <w:t xml:space="preserve"> </w:t>
      </w:r>
      <w:proofErr w:type="spellStart"/>
      <w:r w:rsidR="00114953" w:rsidRPr="00CD4311">
        <w:rPr>
          <w:rFonts w:ascii="Times New Roman" w:hAnsi="Times New Roman" w:cs="Times New Roman"/>
          <w:lang w:val="de-DE"/>
        </w:rPr>
        <w:t>tas</w:t>
      </w:r>
      <w:proofErr w:type="spellEnd"/>
      <w:r w:rsidR="00114953" w:rsidRPr="00CD4311">
        <w:rPr>
          <w:rFonts w:ascii="Times New Roman" w:hAnsi="Times New Roman" w:cs="Times New Roman"/>
          <w:lang w:val="de-DE"/>
        </w:rPr>
        <w:t xml:space="preserve"> </w:t>
      </w:r>
      <w:proofErr w:type="spellStart"/>
      <w:r w:rsidR="00114953" w:rsidRPr="00CD4311">
        <w:rPr>
          <w:rFonts w:ascii="Times New Roman" w:hAnsi="Times New Roman" w:cs="Times New Roman"/>
          <w:lang w:val="de-DE"/>
        </w:rPr>
        <w:t>ir</w:t>
      </w:r>
      <w:proofErr w:type="spellEnd"/>
      <w:r w:rsidR="00114953" w:rsidRPr="00CD4311">
        <w:rPr>
          <w:rFonts w:ascii="Times New Roman" w:hAnsi="Times New Roman" w:cs="Times New Roman"/>
          <w:lang w:val="de-DE"/>
        </w:rPr>
        <w:t xml:space="preserve"> ASV). </w:t>
      </w:r>
    </w:p>
    <w:p w14:paraId="55FF0D09" w14:textId="77777777" w:rsidR="00114953" w:rsidRPr="00CD4311" w:rsidRDefault="00114953" w:rsidP="00114953">
      <w:pPr>
        <w:jc w:val="both"/>
        <w:rPr>
          <w:rFonts w:ascii="Times New Roman" w:hAnsi="Times New Roman" w:cs="Times New Roman"/>
          <w:lang w:val="de-DE"/>
        </w:rPr>
      </w:pPr>
    </w:p>
    <w:p w14:paraId="34A3E990" w14:textId="7E9C1D1B" w:rsidR="00114953" w:rsidRPr="00CD4311" w:rsidRDefault="00114953" w:rsidP="00114953">
      <w:pPr>
        <w:jc w:val="both"/>
        <w:rPr>
          <w:rFonts w:ascii="Times New Roman" w:hAnsi="Times New Roman" w:cs="Times New Roman"/>
          <w:lang w:val="de-DE"/>
        </w:rPr>
      </w:pPr>
      <w:r w:rsidRPr="00CD4311">
        <w:rPr>
          <w:rFonts w:ascii="Times New Roman" w:hAnsi="Times New Roman" w:cs="Times New Roman"/>
          <w:lang w:val="de-DE"/>
        </w:rPr>
        <w:t xml:space="preserve">4. </w:t>
      </w:r>
      <w:proofErr w:type="spellStart"/>
      <w:r w:rsidRPr="00CD4311">
        <w:rPr>
          <w:rFonts w:ascii="Times New Roman" w:hAnsi="Times New Roman" w:cs="Times New Roman"/>
          <w:lang w:val="de-DE"/>
        </w:rPr>
        <w:t>Latvijā</w:t>
      </w:r>
      <w:proofErr w:type="spellEnd"/>
      <w:r w:rsidRPr="00CD4311">
        <w:rPr>
          <w:rFonts w:ascii="Times New Roman" w:hAnsi="Times New Roman" w:cs="Times New Roman"/>
          <w:lang w:val="de-DE"/>
        </w:rPr>
        <w:t xml:space="preserve"> </w:t>
      </w:r>
      <w:proofErr w:type="spellStart"/>
      <w:r w:rsidRPr="00CD4311">
        <w:rPr>
          <w:rFonts w:ascii="Times New Roman" w:hAnsi="Times New Roman" w:cs="Times New Roman"/>
          <w:lang w:val="de-DE"/>
        </w:rPr>
        <w:t>būtu</w:t>
      </w:r>
      <w:proofErr w:type="spellEnd"/>
      <w:r w:rsidRPr="00CD4311">
        <w:rPr>
          <w:rFonts w:ascii="Times New Roman" w:hAnsi="Times New Roman" w:cs="Times New Roman"/>
          <w:lang w:val="de-DE"/>
        </w:rPr>
        <w:t xml:space="preserve"> </w:t>
      </w:r>
      <w:proofErr w:type="spellStart"/>
      <w:r w:rsidRPr="00CD4311">
        <w:rPr>
          <w:rFonts w:ascii="Times New Roman" w:hAnsi="Times New Roman" w:cs="Times New Roman"/>
          <w:lang w:val="de-DE"/>
        </w:rPr>
        <w:t>nepieciešams</w:t>
      </w:r>
      <w:proofErr w:type="spellEnd"/>
      <w:r w:rsidRPr="00CD4311">
        <w:rPr>
          <w:rFonts w:ascii="Times New Roman" w:hAnsi="Times New Roman" w:cs="Times New Roman"/>
          <w:lang w:val="de-DE"/>
        </w:rPr>
        <w:t xml:space="preserve"> </w:t>
      </w:r>
      <w:proofErr w:type="spellStart"/>
      <w:r w:rsidRPr="00CD4311">
        <w:rPr>
          <w:rFonts w:ascii="Times New Roman" w:hAnsi="Times New Roman" w:cs="Times New Roman"/>
          <w:lang w:val="de-DE"/>
        </w:rPr>
        <w:t>izstrādāt</w:t>
      </w:r>
      <w:proofErr w:type="spellEnd"/>
      <w:r w:rsidRPr="00CD4311">
        <w:rPr>
          <w:rFonts w:ascii="Times New Roman" w:hAnsi="Times New Roman" w:cs="Times New Roman"/>
          <w:lang w:val="de-DE"/>
        </w:rPr>
        <w:t xml:space="preserve"> </w:t>
      </w:r>
      <w:proofErr w:type="spellStart"/>
      <w:r w:rsidRPr="00CD4311">
        <w:rPr>
          <w:rFonts w:ascii="Times New Roman" w:hAnsi="Times New Roman" w:cs="Times New Roman"/>
          <w:lang w:val="de-DE"/>
        </w:rPr>
        <w:t>kolīziju</w:t>
      </w:r>
      <w:proofErr w:type="spellEnd"/>
      <w:r w:rsidRPr="00CD4311">
        <w:rPr>
          <w:rFonts w:ascii="Times New Roman" w:hAnsi="Times New Roman" w:cs="Times New Roman"/>
          <w:lang w:val="de-DE"/>
        </w:rPr>
        <w:t xml:space="preserve"> </w:t>
      </w:r>
      <w:proofErr w:type="spellStart"/>
      <w:r w:rsidRPr="00CD4311">
        <w:rPr>
          <w:rFonts w:ascii="Times New Roman" w:hAnsi="Times New Roman" w:cs="Times New Roman"/>
          <w:lang w:val="de-DE"/>
        </w:rPr>
        <w:t>normas</w:t>
      </w:r>
      <w:proofErr w:type="spellEnd"/>
      <w:r w:rsidRPr="00CD4311">
        <w:rPr>
          <w:rFonts w:ascii="Times New Roman" w:hAnsi="Times New Roman" w:cs="Times New Roman"/>
          <w:lang w:val="de-DE"/>
        </w:rPr>
        <w:t xml:space="preserve"> </w:t>
      </w:r>
      <w:proofErr w:type="spellStart"/>
      <w:r w:rsidRPr="00CD4311">
        <w:rPr>
          <w:rFonts w:ascii="Times New Roman" w:hAnsi="Times New Roman" w:cs="Times New Roman"/>
          <w:lang w:val="de-DE"/>
        </w:rPr>
        <w:t>pilnvarām</w:t>
      </w:r>
      <w:proofErr w:type="spellEnd"/>
      <w:r w:rsidRPr="00CD4311">
        <w:rPr>
          <w:rFonts w:ascii="Times New Roman" w:hAnsi="Times New Roman" w:cs="Times New Roman"/>
          <w:lang w:val="de-DE"/>
        </w:rPr>
        <w:t xml:space="preserve">, </w:t>
      </w:r>
      <w:proofErr w:type="spellStart"/>
      <w:r w:rsidRPr="00CD4311">
        <w:rPr>
          <w:rFonts w:ascii="Times New Roman" w:hAnsi="Times New Roman" w:cs="Times New Roman"/>
          <w:lang w:val="de-DE"/>
        </w:rPr>
        <w:t>kā</w:t>
      </w:r>
      <w:proofErr w:type="spellEnd"/>
      <w:r w:rsidRPr="00CD4311">
        <w:rPr>
          <w:rFonts w:ascii="Times New Roman" w:hAnsi="Times New Roman" w:cs="Times New Roman"/>
          <w:lang w:val="de-DE"/>
        </w:rPr>
        <w:t xml:space="preserve"> </w:t>
      </w:r>
      <w:proofErr w:type="spellStart"/>
      <w:r w:rsidRPr="00CD4311">
        <w:rPr>
          <w:rFonts w:ascii="Times New Roman" w:hAnsi="Times New Roman" w:cs="Times New Roman"/>
          <w:lang w:val="de-DE"/>
        </w:rPr>
        <w:t>arī</w:t>
      </w:r>
      <w:proofErr w:type="spellEnd"/>
      <w:r w:rsidRPr="00CD4311">
        <w:rPr>
          <w:rFonts w:ascii="Times New Roman" w:hAnsi="Times New Roman" w:cs="Times New Roman"/>
          <w:lang w:val="de-DE"/>
        </w:rPr>
        <w:t xml:space="preserve"> </w:t>
      </w:r>
      <w:proofErr w:type="spellStart"/>
      <w:r w:rsidRPr="00CD4311">
        <w:rPr>
          <w:rFonts w:ascii="Times New Roman" w:hAnsi="Times New Roman" w:cs="Times New Roman"/>
          <w:lang w:val="de-DE"/>
        </w:rPr>
        <w:t>pilnvarojuma</w:t>
      </w:r>
      <w:proofErr w:type="spellEnd"/>
      <w:r w:rsidRPr="00CD4311">
        <w:rPr>
          <w:rFonts w:ascii="Times New Roman" w:hAnsi="Times New Roman" w:cs="Times New Roman"/>
          <w:lang w:val="de-DE"/>
        </w:rPr>
        <w:t xml:space="preserve"> </w:t>
      </w:r>
      <w:proofErr w:type="spellStart"/>
      <w:r w:rsidRPr="00CD4311">
        <w:rPr>
          <w:rFonts w:ascii="Times New Roman" w:hAnsi="Times New Roman" w:cs="Times New Roman"/>
          <w:lang w:val="de-DE"/>
        </w:rPr>
        <w:t>līgumiem</w:t>
      </w:r>
      <w:proofErr w:type="spellEnd"/>
      <w:r w:rsidRPr="00CD4311">
        <w:rPr>
          <w:rFonts w:ascii="Times New Roman" w:hAnsi="Times New Roman" w:cs="Times New Roman"/>
          <w:lang w:val="de-DE"/>
        </w:rPr>
        <w:t xml:space="preserve">. </w:t>
      </w:r>
      <w:proofErr w:type="spellStart"/>
      <w:r w:rsidRPr="00CD4311">
        <w:rPr>
          <w:rFonts w:ascii="Times New Roman" w:hAnsi="Times New Roman" w:cs="Times New Roman"/>
          <w:lang w:val="de-DE"/>
        </w:rPr>
        <w:t>Vislabāk</w:t>
      </w:r>
      <w:proofErr w:type="spellEnd"/>
      <w:r w:rsidRPr="00CD4311">
        <w:rPr>
          <w:rFonts w:ascii="Times New Roman" w:hAnsi="Times New Roman" w:cs="Times New Roman"/>
          <w:lang w:val="de-DE"/>
        </w:rPr>
        <w:t xml:space="preserve"> </w:t>
      </w:r>
      <w:proofErr w:type="spellStart"/>
      <w:r w:rsidRPr="00CD4311">
        <w:rPr>
          <w:rFonts w:ascii="Times New Roman" w:hAnsi="Times New Roman" w:cs="Times New Roman"/>
          <w:lang w:val="de-DE"/>
        </w:rPr>
        <w:t>tas</w:t>
      </w:r>
      <w:proofErr w:type="spellEnd"/>
      <w:r w:rsidRPr="00CD4311">
        <w:rPr>
          <w:rFonts w:ascii="Times New Roman" w:hAnsi="Times New Roman" w:cs="Times New Roman"/>
          <w:lang w:val="de-DE"/>
        </w:rPr>
        <w:t xml:space="preserve"> </w:t>
      </w:r>
      <w:proofErr w:type="spellStart"/>
      <w:r w:rsidRPr="00CD4311">
        <w:rPr>
          <w:rFonts w:ascii="Times New Roman" w:hAnsi="Times New Roman" w:cs="Times New Roman"/>
          <w:lang w:val="de-DE"/>
        </w:rPr>
        <w:t>būtu</w:t>
      </w:r>
      <w:proofErr w:type="spellEnd"/>
      <w:r w:rsidRPr="00CD4311">
        <w:rPr>
          <w:rFonts w:ascii="Times New Roman" w:hAnsi="Times New Roman" w:cs="Times New Roman"/>
          <w:lang w:val="de-DE"/>
        </w:rPr>
        <w:t xml:space="preserve"> </w:t>
      </w:r>
      <w:proofErr w:type="spellStart"/>
      <w:r w:rsidRPr="00CD4311">
        <w:rPr>
          <w:rFonts w:ascii="Times New Roman" w:hAnsi="Times New Roman" w:cs="Times New Roman"/>
          <w:lang w:val="de-DE"/>
        </w:rPr>
        <w:t>izdarāms</w:t>
      </w:r>
      <w:proofErr w:type="spellEnd"/>
      <w:r w:rsidRPr="00CD4311">
        <w:rPr>
          <w:rFonts w:ascii="Times New Roman" w:hAnsi="Times New Roman" w:cs="Times New Roman"/>
          <w:lang w:val="de-DE"/>
        </w:rPr>
        <w:t xml:space="preserve"> </w:t>
      </w:r>
      <w:proofErr w:type="spellStart"/>
      <w:r w:rsidRPr="00CD4311">
        <w:rPr>
          <w:rFonts w:ascii="Times New Roman" w:hAnsi="Times New Roman" w:cs="Times New Roman"/>
          <w:lang w:val="de-DE"/>
        </w:rPr>
        <w:t>Starptautisko</w:t>
      </w:r>
      <w:proofErr w:type="spellEnd"/>
      <w:r w:rsidRPr="00CD4311">
        <w:rPr>
          <w:rFonts w:ascii="Times New Roman" w:hAnsi="Times New Roman" w:cs="Times New Roman"/>
          <w:lang w:val="de-DE"/>
        </w:rPr>
        <w:t xml:space="preserve"> </w:t>
      </w:r>
      <w:proofErr w:type="spellStart"/>
      <w:r w:rsidRPr="00CD4311">
        <w:rPr>
          <w:rFonts w:ascii="Times New Roman" w:hAnsi="Times New Roman" w:cs="Times New Roman"/>
          <w:lang w:val="de-DE"/>
        </w:rPr>
        <w:t>privāttiesību</w:t>
      </w:r>
      <w:proofErr w:type="spellEnd"/>
      <w:r w:rsidRPr="00CD4311">
        <w:rPr>
          <w:rFonts w:ascii="Times New Roman" w:hAnsi="Times New Roman" w:cs="Times New Roman"/>
          <w:lang w:val="de-DE"/>
        </w:rPr>
        <w:t xml:space="preserve"> </w:t>
      </w:r>
      <w:proofErr w:type="spellStart"/>
      <w:r w:rsidRPr="00CD4311">
        <w:rPr>
          <w:rFonts w:ascii="Times New Roman" w:hAnsi="Times New Roman" w:cs="Times New Roman"/>
          <w:lang w:val="de-DE"/>
        </w:rPr>
        <w:t>likumā</w:t>
      </w:r>
      <w:proofErr w:type="spellEnd"/>
      <w:r w:rsidRPr="00CD4311">
        <w:rPr>
          <w:rFonts w:ascii="Times New Roman" w:hAnsi="Times New Roman" w:cs="Times New Roman"/>
          <w:lang w:val="de-DE"/>
        </w:rPr>
        <w:t xml:space="preserve">, ja </w:t>
      </w:r>
      <w:proofErr w:type="spellStart"/>
      <w:r w:rsidRPr="00CD4311">
        <w:rPr>
          <w:rFonts w:ascii="Times New Roman" w:hAnsi="Times New Roman" w:cs="Times New Roman"/>
          <w:lang w:val="de-DE"/>
        </w:rPr>
        <w:t>darbs</w:t>
      </w:r>
      <w:proofErr w:type="spellEnd"/>
      <w:r w:rsidRPr="00CD4311">
        <w:rPr>
          <w:rFonts w:ascii="Times New Roman" w:hAnsi="Times New Roman" w:cs="Times New Roman"/>
          <w:lang w:val="de-DE"/>
        </w:rPr>
        <w:t xml:space="preserve"> </w:t>
      </w:r>
      <w:proofErr w:type="spellStart"/>
      <w:r w:rsidRPr="00CD4311">
        <w:rPr>
          <w:rFonts w:ascii="Times New Roman" w:hAnsi="Times New Roman" w:cs="Times New Roman"/>
          <w:lang w:val="de-DE"/>
        </w:rPr>
        <w:t>pie</w:t>
      </w:r>
      <w:proofErr w:type="spellEnd"/>
      <w:r w:rsidRPr="00CD4311">
        <w:rPr>
          <w:rFonts w:ascii="Times New Roman" w:hAnsi="Times New Roman" w:cs="Times New Roman"/>
          <w:lang w:val="de-DE"/>
        </w:rPr>
        <w:t xml:space="preserve"> </w:t>
      </w:r>
      <w:proofErr w:type="spellStart"/>
      <w:r w:rsidRPr="00CD4311">
        <w:rPr>
          <w:rFonts w:ascii="Times New Roman" w:hAnsi="Times New Roman" w:cs="Times New Roman"/>
          <w:lang w:val="de-DE"/>
        </w:rPr>
        <w:t>tā</w:t>
      </w:r>
      <w:proofErr w:type="spellEnd"/>
      <w:r w:rsidRPr="00CD4311">
        <w:rPr>
          <w:rFonts w:ascii="Times New Roman" w:hAnsi="Times New Roman" w:cs="Times New Roman"/>
          <w:lang w:val="de-DE"/>
        </w:rPr>
        <w:t xml:space="preserve"> </w:t>
      </w:r>
      <w:proofErr w:type="spellStart"/>
      <w:r w:rsidRPr="00CD4311">
        <w:rPr>
          <w:rFonts w:ascii="Times New Roman" w:hAnsi="Times New Roman" w:cs="Times New Roman"/>
          <w:lang w:val="de-DE"/>
        </w:rPr>
        <w:t>tiktu</w:t>
      </w:r>
      <w:proofErr w:type="spellEnd"/>
      <w:r w:rsidRPr="00CD4311">
        <w:rPr>
          <w:rFonts w:ascii="Times New Roman" w:hAnsi="Times New Roman" w:cs="Times New Roman"/>
          <w:lang w:val="de-DE"/>
        </w:rPr>
        <w:t xml:space="preserve"> </w:t>
      </w:r>
      <w:proofErr w:type="spellStart"/>
      <w:r w:rsidRPr="00CD4311">
        <w:rPr>
          <w:rFonts w:ascii="Times New Roman" w:hAnsi="Times New Roman" w:cs="Times New Roman"/>
          <w:lang w:val="de-DE"/>
        </w:rPr>
        <w:t>atsākts</w:t>
      </w:r>
      <w:proofErr w:type="spellEnd"/>
      <w:r w:rsidR="002E65A8">
        <w:rPr>
          <w:rStyle w:val="FootnoteReference"/>
          <w:rFonts w:ascii="Times New Roman" w:hAnsi="Times New Roman" w:cs="Times New Roman"/>
          <w:lang w:val="de-DE"/>
        </w:rPr>
        <w:footnoteReference w:id="183"/>
      </w:r>
      <w:r w:rsidRPr="00CD4311">
        <w:rPr>
          <w:rFonts w:ascii="Times New Roman" w:hAnsi="Times New Roman" w:cs="Times New Roman"/>
          <w:lang w:val="de-DE"/>
        </w:rPr>
        <w:t xml:space="preserve">. </w:t>
      </w:r>
      <w:proofErr w:type="spellStart"/>
      <w:r w:rsidR="007B02D0" w:rsidRPr="007B02D0">
        <w:rPr>
          <w:rFonts w:ascii="Times New Roman" w:hAnsi="Times New Roman" w:cs="Times New Roman"/>
          <w:highlight w:val="red"/>
          <w:lang w:val="de-DE"/>
        </w:rPr>
        <w:t>Tomēr</w:t>
      </w:r>
      <w:proofErr w:type="spellEnd"/>
      <w:r w:rsidR="007B02D0" w:rsidRPr="007B02D0">
        <w:rPr>
          <w:rFonts w:ascii="Times New Roman" w:hAnsi="Times New Roman" w:cs="Times New Roman"/>
          <w:highlight w:val="red"/>
          <w:lang w:val="de-DE"/>
        </w:rPr>
        <w:t xml:space="preserve">, ja </w:t>
      </w:r>
      <w:proofErr w:type="spellStart"/>
      <w:r w:rsidR="007B02D0" w:rsidRPr="007B02D0">
        <w:rPr>
          <w:rFonts w:ascii="Times New Roman" w:hAnsi="Times New Roman" w:cs="Times New Roman"/>
          <w:highlight w:val="red"/>
          <w:lang w:val="de-DE"/>
        </w:rPr>
        <w:t>ir</w:t>
      </w:r>
      <w:proofErr w:type="spellEnd"/>
      <w:r w:rsidR="007B02D0" w:rsidRPr="007B02D0">
        <w:rPr>
          <w:rFonts w:ascii="Times New Roman" w:hAnsi="Times New Roman" w:cs="Times New Roman"/>
          <w:highlight w:val="red"/>
          <w:lang w:val="de-DE"/>
        </w:rPr>
        <w:t xml:space="preserve"> </w:t>
      </w:r>
      <w:proofErr w:type="spellStart"/>
      <w:r w:rsidR="007B02D0" w:rsidRPr="007B02D0">
        <w:rPr>
          <w:rFonts w:ascii="Times New Roman" w:hAnsi="Times New Roman" w:cs="Times New Roman"/>
          <w:highlight w:val="red"/>
          <w:lang w:val="de-DE"/>
        </w:rPr>
        <w:t>nepieciešamība</w:t>
      </w:r>
      <w:proofErr w:type="spellEnd"/>
      <w:r w:rsidR="007B02D0" w:rsidRPr="007B02D0">
        <w:rPr>
          <w:rFonts w:ascii="Times New Roman" w:hAnsi="Times New Roman" w:cs="Times New Roman"/>
          <w:highlight w:val="red"/>
          <w:lang w:val="de-DE"/>
        </w:rPr>
        <w:t xml:space="preserve"> </w:t>
      </w:r>
      <w:proofErr w:type="spellStart"/>
      <w:r w:rsidR="007B02D0" w:rsidRPr="007B02D0">
        <w:rPr>
          <w:rFonts w:ascii="Times New Roman" w:hAnsi="Times New Roman" w:cs="Times New Roman"/>
          <w:highlight w:val="red"/>
          <w:lang w:val="de-DE"/>
        </w:rPr>
        <w:t>to</w:t>
      </w:r>
      <w:proofErr w:type="spellEnd"/>
      <w:r w:rsidR="007B02D0" w:rsidRPr="007B02D0">
        <w:rPr>
          <w:rFonts w:ascii="Times New Roman" w:hAnsi="Times New Roman" w:cs="Times New Roman"/>
          <w:highlight w:val="red"/>
          <w:lang w:val="de-DE"/>
        </w:rPr>
        <w:t xml:space="preserve"> </w:t>
      </w:r>
      <w:proofErr w:type="spellStart"/>
      <w:r w:rsidR="007B02D0" w:rsidRPr="007B02D0">
        <w:rPr>
          <w:rFonts w:ascii="Times New Roman" w:hAnsi="Times New Roman" w:cs="Times New Roman"/>
          <w:highlight w:val="red"/>
          <w:lang w:val="de-DE"/>
        </w:rPr>
        <w:t>paveikt</w:t>
      </w:r>
      <w:proofErr w:type="spellEnd"/>
      <w:r w:rsidR="007B02D0" w:rsidRPr="007B02D0">
        <w:rPr>
          <w:rFonts w:ascii="Times New Roman" w:hAnsi="Times New Roman" w:cs="Times New Roman"/>
          <w:highlight w:val="red"/>
          <w:lang w:val="de-DE"/>
        </w:rPr>
        <w:t xml:space="preserve"> </w:t>
      </w:r>
      <w:proofErr w:type="spellStart"/>
      <w:r w:rsidR="007B02D0" w:rsidRPr="007B02D0">
        <w:rPr>
          <w:rFonts w:ascii="Times New Roman" w:hAnsi="Times New Roman" w:cs="Times New Roman"/>
          <w:highlight w:val="red"/>
          <w:lang w:val="de-DE"/>
        </w:rPr>
        <w:t>ātrāk</w:t>
      </w:r>
      <w:proofErr w:type="spellEnd"/>
      <w:r w:rsidR="007B02D0" w:rsidRPr="007B02D0">
        <w:rPr>
          <w:rFonts w:ascii="Times New Roman" w:hAnsi="Times New Roman" w:cs="Times New Roman"/>
          <w:highlight w:val="red"/>
          <w:lang w:val="de-DE"/>
        </w:rPr>
        <w:t xml:space="preserve">, </w:t>
      </w:r>
      <w:proofErr w:type="spellStart"/>
      <w:r w:rsidR="007B02D0" w:rsidRPr="007B02D0">
        <w:rPr>
          <w:rFonts w:ascii="Times New Roman" w:hAnsi="Times New Roman" w:cs="Times New Roman"/>
          <w:highlight w:val="red"/>
          <w:lang w:val="de-DE"/>
        </w:rPr>
        <w:t>tad</w:t>
      </w:r>
      <w:proofErr w:type="spellEnd"/>
      <w:r w:rsidR="007B02D0" w:rsidRPr="007B02D0">
        <w:rPr>
          <w:rFonts w:ascii="Times New Roman" w:hAnsi="Times New Roman" w:cs="Times New Roman"/>
          <w:highlight w:val="red"/>
          <w:lang w:val="de-DE"/>
        </w:rPr>
        <w:t xml:space="preserve"> </w:t>
      </w:r>
      <w:proofErr w:type="spellStart"/>
      <w:r w:rsidR="007B02D0" w:rsidRPr="007B02D0">
        <w:rPr>
          <w:rFonts w:ascii="Times New Roman" w:hAnsi="Times New Roman" w:cs="Times New Roman"/>
          <w:highlight w:val="red"/>
          <w:lang w:val="de-DE"/>
        </w:rPr>
        <w:t>šādi</w:t>
      </w:r>
      <w:proofErr w:type="spellEnd"/>
      <w:r w:rsidR="007B02D0" w:rsidRPr="007B02D0">
        <w:rPr>
          <w:rFonts w:ascii="Times New Roman" w:hAnsi="Times New Roman" w:cs="Times New Roman"/>
          <w:highlight w:val="red"/>
          <w:lang w:val="de-DE"/>
        </w:rPr>
        <w:t xml:space="preserve"> </w:t>
      </w:r>
      <w:proofErr w:type="spellStart"/>
      <w:r w:rsidR="007B02D0" w:rsidRPr="007B02D0">
        <w:rPr>
          <w:rFonts w:ascii="Times New Roman" w:hAnsi="Times New Roman" w:cs="Times New Roman"/>
          <w:highlight w:val="red"/>
          <w:lang w:val="de-DE"/>
        </w:rPr>
        <w:t>grozījumi</w:t>
      </w:r>
      <w:proofErr w:type="spellEnd"/>
      <w:r w:rsidR="007B02D0" w:rsidRPr="007B02D0">
        <w:rPr>
          <w:rFonts w:ascii="Times New Roman" w:hAnsi="Times New Roman" w:cs="Times New Roman"/>
          <w:highlight w:val="red"/>
          <w:lang w:val="de-DE"/>
        </w:rPr>
        <w:t xml:space="preserve"> </w:t>
      </w:r>
      <w:proofErr w:type="spellStart"/>
      <w:r w:rsidR="007B02D0" w:rsidRPr="007B02D0">
        <w:rPr>
          <w:rFonts w:ascii="Times New Roman" w:hAnsi="Times New Roman" w:cs="Times New Roman"/>
          <w:highlight w:val="red"/>
          <w:lang w:val="de-DE"/>
        </w:rPr>
        <w:t>un</w:t>
      </w:r>
      <w:proofErr w:type="spellEnd"/>
      <w:r w:rsidR="007B02D0" w:rsidRPr="007B02D0">
        <w:rPr>
          <w:rFonts w:ascii="Times New Roman" w:hAnsi="Times New Roman" w:cs="Times New Roman"/>
          <w:highlight w:val="red"/>
          <w:lang w:val="de-DE"/>
        </w:rPr>
        <w:t xml:space="preserve"> </w:t>
      </w:r>
      <w:proofErr w:type="spellStart"/>
      <w:r w:rsidR="007B02D0" w:rsidRPr="007B02D0">
        <w:rPr>
          <w:rFonts w:ascii="Times New Roman" w:hAnsi="Times New Roman" w:cs="Times New Roman"/>
          <w:highlight w:val="red"/>
          <w:lang w:val="de-DE"/>
        </w:rPr>
        <w:t>papildinājumi</w:t>
      </w:r>
      <w:proofErr w:type="spellEnd"/>
      <w:r w:rsidR="007B02D0" w:rsidRPr="007B02D0">
        <w:rPr>
          <w:rFonts w:ascii="Times New Roman" w:hAnsi="Times New Roman" w:cs="Times New Roman"/>
          <w:highlight w:val="red"/>
          <w:lang w:val="de-DE"/>
        </w:rPr>
        <w:t xml:space="preserve"> </w:t>
      </w:r>
      <w:proofErr w:type="spellStart"/>
      <w:r w:rsidR="007B02D0" w:rsidRPr="007B02D0">
        <w:rPr>
          <w:rFonts w:ascii="Times New Roman" w:hAnsi="Times New Roman" w:cs="Times New Roman"/>
          <w:highlight w:val="red"/>
          <w:lang w:val="de-DE"/>
        </w:rPr>
        <w:t>būtu</w:t>
      </w:r>
      <w:proofErr w:type="spellEnd"/>
      <w:r w:rsidR="007B02D0" w:rsidRPr="007B02D0">
        <w:rPr>
          <w:rFonts w:ascii="Times New Roman" w:hAnsi="Times New Roman" w:cs="Times New Roman"/>
          <w:highlight w:val="red"/>
          <w:lang w:val="de-DE"/>
        </w:rPr>
        <w:t xml:space="preserve"> </w:t>
      </w:r>
      <w:proofErr w:type="spellStart"/>
      <w:r w:rsidR="007B02D0" w:rsidRPr="007B02D0">
        <w:rPr>
          <w:rFonts w:ascii="Times New Roman" w:hAnsi="Times New Roman" w:cs="Times New Roman"/>
          <w:highlight w:val="red"/>
          <w:lang w:val="de-DE"/>
        </w:rPr>
        <w:t>izdarāmi</w:t>
      </w:r>
      <w:proofErr w:type="spellEnd"/>
      <w:r w:rsidR="007B02D0" w:rsidRPr="007B02D0">
        <w:rPr>
          <w:rFonts w:ascii="Times New Roman" w:hAnsi="Times New Roman" w:cs="Times New Roman"/>
          <w:highlight w:val="red"/>
          <w:lang w:val="de-DE"/>
        </w:rPr>
        <w:t xml:space="preserve"> </w:t>
      </w:r>
      <w:proofErr w:type="spellStart"/>
      <w:r w:rsidR="007B02D0" w:rsidRPr="007B02D0">
        <w:rPr>
          <w:rFonts w:ascii="Times New Roman" w:hAnsi="Times New Roman" w:cs="Times New Roman"/>
          <w:highlight w:val="red"/>
          <w:lang w:val="de-DE"/>
        </w:rPr>
        <w:t>Civillikuma</w:t>
      </w:r>
      <w:proofErr w:type="spellEnd"/>
      <w:r w:rsidR="007B02D0" w:rsidRPr="007B02D0">
        <w:rPr>
          <w:rFonts w:ascii="Times New Roman" w:hAnsi="Times New Roman" w:cs="Times New Roman"/>
          <w:highlight w:val="red"/>
          <w:lang w:val="de-DE"/>
        </w:rPr>
        <w:t xml:space="preserve"> </w:t>
      </w:r>
      <w:proofErr w:type="spellStart"/>
      <w:r w:rsidR="007B02D0" w:rsidRPr="007B02D0">
        <w:rPr>
          <w:rFonts w:ascii="Times New Roman" w:hAnsi="Times New Roman" w:cs="Times New Roman"/>
          <w:highlight w:val="red"/>
          <w:lang w:val="de-DE"/>
        </w:rPr>
        <w:t>Ievadā</w:t>
      </w:r>
      <w:proofErr w:type="spellEnd"/>
      <w:r w:rsidR="007B02D0" w:rsidRPr="007B02D0">
        <w:rPr>
          <w:rFonts w:ascii="Times New Roman" w:hAnsi="Times New Roman" w:cs="Times New Roman"/>
          <w:highlight w:val="red"/>
          <w:lang w:val="de-DE"/>
        </w:rPr>
        <w:t>.</w:t>
      </w:r>
    </w:p>
    <w:p w14:paraId="0F441B3F" w14:textId="77777777" w:rsidR="00114953" w:rsidRPr="00CD4311" w:rsidRDefault="00114953" w:rsidP="00114953">
      <w:pPr>
        <w:jc w:val="both"/>
        <w:rPr>
          <w:rFonts w:ascii="Times New Roman" w:hAnsi="Times New Roman" w:cs="Times New Roman"/>
          <w:lang w:val="de-DE"/>
        </w:rPr>
      </w:pPr>
    </w:p>
    <w:p w14:paraId="42D602DF" w14:textId="75EE5F31" w:rsidR="00114953" w:rsidRPr="00CD4311" w:rsidRDefault="00114953" w:rsidP="00114953">
      <w:pPr>
        <w:jc w:val="both"/>
        <w:rPr>
          <w:rFonts w:ascii="Times New Roman" w:hAnsi="Times New Roman" w:cs="Times New Roman"/>
          <w:lang w:val="de-DE"/>
        </w:rPr>
      </w:pPr>
      <w:r w:rsidRPr="00CD4311">
        <w:rPr>
          <w:rFonts w:ascii="Times New Roman" w:hAnsi="Times New Roman" w:cs="Times New Roman"/>
          <w:lang w:val="de-DE"/>
        </w:rPr>
        <w:t xml:space="preserve">5. </w:t>
      </w:r>
      <w:proofErr w:type="spellStart"/>
      <w:r w:rsidRPr="00CD4311">
        <w:rPr>
          <w:rFonts w:ascii="Times New Roman" w:hAnsi="Times New Roman" w:cs="Times New Roman"/>
          <w:lang w:val="de-DE"/>
        </w:rPr>
        <w:t>Dokumentu</w:t>
      </w:r>
      <w:proofErr w:type="spellEnd"/>
      <w:r w:rsidRPr="00CD4311">
        <w:rPr>
          <w:rFonts w:ascii="Times New Roman" w:hAnsi="Times New Roman" w:cs="Times New Roman"/>
          <w:lang w:val="de-DE"/>
        </w:rPr>
        <w:t xml:space="preserve"> </w:t>
      </w:r>
      <w:proofErr w:type="spellStart"/>
      <w:r w:rsidRPr="00CD4311">
        <w:rPr>
          <w:rFonts w:ascii="Times New Roman" w:hAnsi="Times New Roman" w:cs="Times New Roman"/>
          <w:lang w:val="de-DE"/>
        </w:rPr>
        <w:t>legalizācijas</w:t>
      </w:r>
      <w:proofErr w:type="spellEnd"/>
      <w:r w:rsidRPr="00CD4311">
        <w:rPr>
          <w:rFonts w:ascii="Times New Roman" w:hAnsi="Times New Roman" w:cs="Times New Roman"/>
          <w:lang w:val="de-DE"/>
        </w:rPr>
        <w:t xml:space="preserve"> </w:t>
      </w:r>
      <w:proofErr w:type="spellStart"/>
      <w:r w:rsidRPr="00CD4311">
        <w:rPr>
          <w:rFonts w:ascii="Times New Roman" w:hAnsi="Times New Roman" w:cs="Times New Roman"/>
          <w:lang w:val="de-DE"/>
        </w:rPr>
        <w:t>likuma</w:t>
      </w:r>
      <w:proofErr w:type="spellEnd"/>
      <w:r w:rsidRPr="00CD4311">
        <w:rPr>
          <w:rFonts w:ascii="Times New Roman" w:hAnsi="Times New Roman" w:cs="Times New Roman"/>
          <w:lang w:val="de-DE"/>
        </w:rPr>
        <w:t xml:space="preserve"> 10.panta </w:t>
      </w:r>
      <w:proofErr w:type="spellStart"/>
      <w:r w:rsidRPr="00CD4311">
        <w:rPr>
          <w:rFonts w:ascii="Times New Roman" w:hAnsi="Times New Roman" w:cs="Times New Roman"/>
          <w:lang w:val="de-DE"/>
        </w:rPr>
        <w:t>otrās</w:t>
      </w:r>
      <w:proofErr w:type="spellEnd"/>
      <w:r w:rsidRPr="00CD4311">
        <w:rPr>
          <w:rFonts w:ascii="Times New Roman" w:hAnsi="Times New Roman" w:cs="Times New Roman"/>
          <w:lang w:val="de-DE"/>
        </w:rPr>
        <w:t xml:space="preserve"> </w:t>
      </w:r>
      <w:proofErr w:type="spellStart"/>
      <w:r w:rsidRPr="00CD4311">
        <w:rPr>
          <w:rFonts w:ascii="Times New Roman" w:hAnsi="Times New Roman" w:cs="Times New Roman"/>
          <w:lang w:val="de-DE"/>
        </w:rPr>
        <w:t>daļas</w:t>
      </w:r>
      <w:proofErr w:type="spellEnd"/>
      <w:r w:rsidRPr="00CD4311">
        <w:rPr>
          <w:rFonts w:ascii="Times New Roman" w:hAnsi="Times New Roman" w:cs="Times New Roman"/>
          <w:lang w:val="de-DE"/>
        </w:rPr>
        <w:t xml:space="preserve"> </w:t>
      </w:r>
      <w:proofErr w:type="spellStart"/>
      <w:r w:rsidRPr="00CD4311">
        <w:rPr>
          <w:rFonts w:ascii="Times New Roman" w:hAnsi="Times New Roman" w:cs="Times New Roman"/>
          <w:lang w:val="de-DE"/>
        </w:rPr>
        <w:t>redakcija</w:t>
      </w:r>
      <w:proofErr w:type="spellEnd"/>
      <w:r w:rsidRPr="00CD4311">
        <w:rPr>
          <w:rFonts w:ascii="Times New Roman" w:hAnsi="Times New Roman" w:cs="Times New Roman"/>
          <w:lang w:val="de-DE"/>
        </w:rPr>
        <w:t xml:space="preserve"> </w:t>
      </w:r>
      <w:proofErr w:type="spellStart"/>
      <w:r w:rsidRPr="00CD4311">
        <w:rPr>
          <w:rFonts w:ascii="Times New Roman" w:hAnsi="Times New Roman" w:cs="Times New Roman"/>
          <w:lang w:val="de-DE"/>
        </w:rPr>
        <w:t>būtu</w:t>
      </w:r>
      <w:proofErr w:type="spellEnd"/>
      <w:r w:rsidRPr="00CD4311">
        <w:rPr>
          <w:rFonts w:ascii="Times New Roman" w:hAnsi="Times New Roman" w:cs="Times New Roman"/>
          <w:lang w:val="de-DE"/>
        </w:rPr>
        <w:t xml:space="preserve"> </w:t>
      </w:r>
      <w:proofErr w:type="spellStart"/>
      <w:r w:rsidRPr="00CD4311">
        <w:rPr>
          <w:rFonts w:ascii="Times New Roman" w:hAnsi="Times New Roman" w:cs="Times New Roman"/>
          <w:lang w:val="de-DE"/>
        </w:rPr>
        <w:t>izsakāma</w:t>
      </w:r>
      <w:proofErr w:type="spellEnd"/>
      <w:r w:rsidRPr="00CD4311">
        <w:rPr>
          <w:rFonts w:ascii="Times New Roman" w:hAnsi="Times New Roman" w:cs="Times New Roman"/>
          <w:lang w:val="de-DE"/>
        </w:rPr>
        <w:t xml:space="preserve"> </w:t>
      </w:r>
      <w:proofErr w:type="spellStart"/>
      <w:r w:rsidRPr="00CD4311">
        <w:rPr>
          <w:rFonts w:ascii="Times New Roman" w:hAnsi="Times New Roman" w:cs="Times New Roman"/>
          <w:lang w:val="de-DE"/>
        </w:rPr>
        <w:t>skaidrāk</w:t>
      </w:r>
      <w:proofErr w:type="spellEnd"/>
      <w:r w:rsidRPr="00CD4311">
        <w:rPr>
          <w:rFonts w:ascii="Times New Roman" w:hAnsi="Times New Roman" w:cs="Times New Roman"/>
          <w:lang w:val="de-DE"/>
        </w:rPr>
        <w:t xml:space="preserve">, </w:t>
      </w:r>
      <w:proofErr w:type="spellStart"/>
      <w:r w:rsidRPr="00CD4311">
        <w:rPr>
          <w:rFonts w:ascii="Times New Roman" w:hAnsi="Times New Roman" w:cs="Times New Roman"/>
          <w:lang w:val="de-DE"/>
        </w:rPr>
        <w:t>proti</w:t>
      </w:r>
      <w:proofErr w:type="spellEnd"/>
      <w:r w:rsidRPr="00CD4311">
        <w:rPr>
          <w:rFonts w:ascii="Times New Roman" w:hAnsi="Times New Roman" w:cs="Times New Roman"/>
          <w:lang w:val="de-DE"/>
        </w:rPr>
        <w:t xml:space="preserve">, </w:t>
      </w:r>
      <w:proofErr w:type="spellStart"/>
      <w:r w:rsidRPr="00CD4311">
        <w:rPr>
          <w:rFonts w:ascii="Times New Roman" w:hAnsi="Times New Roman" w:cs="Times New Roman"/>
          <w:lang w:val="de-DE"/>
        </w:rPr>
        <w:t>nemaldinot</w:t>
      </w:r>
      <w:proofErr w:type="spellEnd"/>
      <w:r w:rsidRPr="00CD4311">
        <w:rPr>
          <w:rFonts w:ascii="Times New Roman" w:hAnsi="Times New Roman" w:cs="Times New Roman"/>
          <w:lang w:val="de-DE"/>
        </w:rPr>
        <w:t xml:space="preserve"> </w:t>
      </w:r>
      <w:proofErr w:type="spellStart"/>
      <w:r w:rsidRPr="00CD4311">
        <w:rPr>
          <w:rFonts w:ascii="Times New Roman" w:hAnsi="Times New Roman" w:cs="Times New Roman"/>
          <w:lang w:val="de-DE"/>
        </w:rPr>
        <w:t>šī</w:t>
      </w:r>
      <w:proofErr w:type="spellEnd"/>
      <w:r w:rsidRPr="00CD4311">
        <w:rPr>
          <w:rFonts w:ascii="Times New Roman" w:hAnsi="Times New Roman" w:cs="Times New Roman"/>
          <w:lang w:val="de-DE"/>
        </w:rPr>
        <w:t xml:space="preserve"> </w:t>
      </w:r>
      <w:proofErr w:type="spellStart"/>
      <w:r w:rsidRPr="00CD4311">
        <w:rPr>
          <w:rFonts w:ascii="Times New Roman" w:hAnsi="Times New Roman" w:cs="Times New Roman"/>
          <w:lang w:val="de-DE"/>
        </w:rPr>
        <w:t>likuma</w:t>
      </w:r>
      <w:proofErr w:type="spellEnd"/>
      <w:r w:rsidRPr="00CD4311">
        <w:rPr>
          <w:rFonts w:ascii="Times New Roman" w:hAnsi="Times New Roman" w:cs="Times New Roman"/>
          <w:lang w:val="de-DE"/>
        </w:rPr>
        <w:t xml:space="preserve"> </w:t>
      </w:r>
      <w:proofErr w:type="spellStart"/>
      <w:r w:rsidRPr="00CD4311">
        <w:rPr>
          <w:rFonts w:ascii="Times New Roman" w:hAnsi="Times New Roman" w:cs="Times New Roman"/>
          <w:lang w:val="de-DE"/>
        </w:rPr>
        <w:t>piemērotājus</w:t>
      </w:r>
      <w:proofErr w:type="spellEnd"/>
      <w:r w:rsidRPr="00CD4311">
        <w:rPr>
          <w:rFonts w:ascii="Times New Roman" w:hAnsi="Times New Roman" w:cs="Times New Roman"/>
          <w:lang w:val="de-DE"/>
        </w:rPr>
        <w:t xml:space="preserve"> par </w:t>
      </w:r>
      <w:proofErr w:type="spellStart"/>
      <w:r w:rsidRPr="00CD4311">
        <w:rPr>
          <w:rFonts w:ascii="Times New Roman" w:hAnsi="Times New Roman" w:cs="Times New Roman"/>
          <w:lang w:val="de-DE"/>
        </w:rPr>
        <w:t>to</w:t>
      </w:r>
      <w:proofErr w:type="spellEnd"/>
      <w:r w:rsidRPr="00CD4311">
        <w:rPr>
          <w:rFonts w:ascii="Times New Roman" w:hAnsi="Times New Roman" w:cs="Times New Roman"/>
          <w:lang w:val="de-DE"/>
        </w:rPr>
        <w:t xml:space="preserve">, </w:t>
      </w:r>
      <w:proofErr w:type="spellStart"/>
      <w:r w:rsidRPr="00CD4311">
        <w:rPr>
          <w:rFonts w:ascii="Times New Roman" w:hAnsi="Times New Roman" w:cs="Times New Roman"/>
          <w:lang w:val="de-DE"/>
        </w:rPr>
        <w:t>ka</w:t>
      </w:r>
      <w:proofErr w:type="spellEnd"/>
      <w:r w:rsidRPr="00CD4311">
        <w:rPr>
          <w:rFonts w:ascii="Times New Roman" w:hAnsi="Times New Roman" w:cs="Times New Roman"/>
          <w:lang w:val="de-DE"/>
        </w:rPr>
        <w:t>, „</w:t>
      </w:r>
      <w:proofErr w:type="spellStart"/>
      <w:r w:rsidRPr="00CD4311">
        <w:rPr>
          <w:rFonts w:ascii="Times New Roman" w:hAnsi="Times New Roman" w:cs="Times New Roman"/>
          <w:i/>
          <w:lang w:val="de-DE"/>
        </w:rPr>
        <w:t>lai</w:t>
      </w:r>
      <w:proofErr w:type="spellEnd"/>
      <w:r w:rsidRPr="00CD4311">
        <w:rPr>
          <w:rFonts w:ascii="Times New Roman" w:hAnsi="Times New Roman" w:cs="Times New Roman"/>
          <w:i/>
          <w:lang w:val="de-DE"/>
        </w:rPr>
        <w:t xml:space="preserve"> </w:t>
      </w:r>
      <w:proofErr w:type="spellStart"/>
      <w:r w:rsidRPr="00CD4311">
        <w:rPr>
          <w:rFonts w:ascii="Times New Roman" w:hAnsi="Times New Roman" w:cs="Times New Roman"/>
          <w:i/>
          <w:lang w:val="de-DE"/>
        </w:rPr>
        <w:t>ārvalstī</w:t>
      </w:r>
      <w:proofErr w:type="spellEnd"/>
      <w:r w:rsidRPr="00CD4311">
        <w:rPr>
          <w:rFonts w:ascii="Times New Roman" w:hAnsi="Times New Roman" w:cs="Times New Roman"/>
          <w:i/>
          <w:lang w:val="de-DE"/>
        </w:rPr>
        <w:t xml:space="preserve"> </w:t>
      </w:r>
      <w:proofErr w:type="spellStart"/>
      <w:r w:rsidRPr="00CD4311">
        <w:rPr>
          <w:rFonts w:ascii="Times New Roman" w:hAnsi="Times New Roman" w:cs="Times New Roman"/>
          <w:i/>
          <w:lang w:val="de-DE"/>
        </w:rPr>
        <w:t>izsniegtam</w:t>
      </w:r>
      <w:proofErr w:type="spellEnd"/>
      <w:r w:rsidRPr="00CD4311">
        <w:rPr>
          <w:rFonts w:ascii="Times New Roman" w:hAnsi="Times New Roman" w:cs="Times New Roman"/>
          <w:i/>
          <w:lang w:val="de-DE"/>
        </w:rPr>
        <w:t xml:space="preserve"> </w:t>
      </w:r>
      <w:proofErr w:type="spellStart"/>
      <w:r w:rsidRPr="00CD4311">
        <w:rPr>
          <w:rFonts w:ascii="Times New Roman" w:hAnsi="Times New Roman" w:cs="Times New Roman"/>
          <w:i/>
          <w:lang w:val="de-DE"/>
        </w:rPr>
        <w:t>publiskam</w:t>
      </w:r>
      <w:proofErr w:type="spellEnd"/>
      <w:r w:rsidRPr="00CD4311">
        <w:rPr>
          <w:rFonts w:ascii="Times New Roman" w:hAnsi="Times New Roman" w:cs="Times New Roman"/>
          <w:i/>
          <w:lang w:val="de-DE"/>
        </w:rPr>
        <w:t xml:space="preserve"> </w:t>
      </w:r>
      <w:proofErr w:type="spellStart"/>
      <w:r w:rsidRPr="00CD4311">
        <w:rPr>
          <w:rFonts w:ascii="Times New Roman" w:hAnsi="Times New Roman" w:cs="Times New Roman"/>
          <w:i/>
          <w:lang w:val="de-DE"/>
        </w:rPr>
        <w:t>dokumentam</w:t>
      </w:r>
      <w:proofErr w:type="spellEnd"/>
      <w:r w:rsidRPr="00CD4311">
        <w:rPr>
          <w:rFonts w:ascii="Times New Roman" w:hAnsi="Times New Roman" w:cs="Times New Roman"/>
          <w:i/>
          <w:lang w:val="de-DE"/>
        </w:rPr>
        <w:t xml:space="preserve"> </w:t>
      </w:r>
      <w:proofErr w:type="spellStart"/>
      <w:r w:rsidRPr="00CD4311">
        <w:rPr>
          <w:rFonts w:ascii="Times New Roman" w:hAnsi="Times New Roman" w:cs="Times New Roman"/>
          <w:i/>
          <w:lang w:val="de-DE"/>
        </w:rPr>
        <w:t>būtu</w:t>
      </w:r>
      <w:proofErr w:type="spellEnd"/>
      <w:r w:rsidRPr="00CD4311">
        <w:rPr>
          <w:rFonts w:ascii="Times New Roman" w:hAnsi="Times New Roman" w:cs="Times New Roman"/>
          <w:i/>
          <w:lang w:val="de-DE"/>
        </w:rPr>
        <w:t xml:space="preserve"> </w:t>
      </w:r>
      <w:proofErr w:type="spellStart"/>
      <w:r w:rsidRPr="00CD4311">
        <w:rPr>
          <w:rFonts w:ascii="Times New Roman" w:hAnsi="Times New Roman" w:cs="Times New Roman"/>
          <w:i/>
          <w:lang w:val="de-DE"/>
        </w:rPr>
        <w:t>publiska</w:t>
      </w:r>
      <w:proofErr w:type="spellEnd"/>
      <w:r w:rsidRPr="00CD4311">
        <w:rPr>
          <w:rFonts w:ascii="Times New Roman" w:hAnsi="Times New Roman" w:cs="Times New Roman"/>
          <w:i/>
          <w:lang w:val="de-DE"/>
        </w:rPr>
        <w:t xml:space="preserve"> </w:t>
      </w:r>
      <w:proofErr w:type="spellStart"/>
      <w:r w:rsidRPr="00CD4311">
        <w:rPr>
          <w:rFonts w:ascii="Times New Roman" w:hAnsi="Times New Roman" w:cs="Times New Roman"/>
          <w:i/>
          <w:lang w:val="de-DE"/>
        </w:rPr>
        <w:t>dokumenta</w:t>
      </w:r>
      <w:proofErr w:type="spellEnd"/>
      <w:r w:rsidRPr="00CD4311">
        <w:rPr>
          <w:rFonts w:ascii="Times New Roman" w:hAnsi="Times New Roman" w:cs="Times New Roman"/>
          <w:i/>
          <w:lang w:val="de-DE"/>
        </w:rPr>
        <w:t xml:space="preserve"> </w:t>
      </w:r>
      <w:proofErr w:type="spellStart"/>
      <w:r w:rsidRPr="00CD4311">
        <w:rPr>
          <w:rFonts w:ascii="Times New Roman" w:hAnsi="Times New Roman" w:cs="Times New Roman"/>
          <w:i/>
          <w:lang w:val="de-DE"/>
        </w:rPr>
        <w:t>spēks</w:t>
      </w:r>
      <w:proofErr w:type="spellEnd"/>
      <w:r w:rsidRPr="00CD4311">
        <w:rPr>
          <w:rFonts w:ascii="Times New Roman" w:hAnsi="Times New Roman" w:cs="Times New Roman"/>
          <w:i/>
          <w:lang w:val="de-DE"/>
        </w:rPr>
        <w:t xml:space="preserve"> </w:t>
      </w:r>
      <w:proofErr w:type="spellStart"/>
      <w:r w:rsidRPr="00CD4311">
        <w:rPr>
          <w:rFonts w:ascii="Times New Roman" w:hAnsi="Times New Roman" w:cs="Times New Roman"/>
          <w:i/>
          <w:lang w:val="de-DE"/>
        </w:rPr>
        <w:t>Latvijā</w:t>
      </w:r>
      <w:proofErr w:type="spellEnd"/>
      <w:r w:rsidRPr="00CD4311">
        <w:rPr>
          <w:rFonts w:ascii="Times New Roman" w:hAnsi="Times New Roman" w:cs="Times New Roman"/>
          <w:i/>
          <w:lang w:val="de-DE"/>
        </w:rPr>
        <w:t xml:space="preserve">, </w:t>
      </w:r>
      <w:proofErr w:type="spellStart"/>
      <w:r w:rsidRPr="00CD4311">
        <w:rPr>
          <w:rFonts w:ascii="Times New Roman" w:hAnsi="Times New Roman" w:cs="Times New Roman"/>
          <w:i/>
          <w:lang w:val="de-DE"/>
        </w:rPr>
        <w:t>tas</w:t>
      </w:r>
      <w:proofErr w:type="spellEnd"/>
      <w:r w:rsidRPr="00CD4311">
        <w:rPr>
          <w:rFonts w:ascii="Times New Roman" w:hAnsi="Times New Roman" w:cs="Times New Roman"/>
          <w:i/>
          <w:lang w:val="de-DE"/>
        </w:rPr>
        <w:t xml:space="preserve"> </w:t>
      </w:r>
      <w:proofErr w:type="spellStart"/>
      <w:r w:rsidRPr="00CD4311">
        <w:rPr>
          <w:rFonts w:ascii="Times New Roman" w:hAnsi="Times New Roman" w:cs="Times New Roman"/>
          <w:i/>
          <w:lang w:val="de-DE"/>
        </w:rPr>
        <w:t>ir</w:t>
      </w:r>
      <w:proofErr w:type="spellEnd"/>
      <w:r w:rsidRPr="00CD4311">
        <w:rPr>
          <w:rFonts w:ascii="Times New Roman" w:hAnsi="Times New Roman" w:cs="Times New Roman"/>
          <w:i/>
          <w:lang w:val="de-DE"/>
        </w:rPr>
        <w:t xml:space="preserve"> </w:t>
      </w:r>
      <w:proofErr w:type="spellStart"/>
      <w:r w:rsidRPr="00CD4311">
        <w:rPr>
          <w:rFonts w:ascii="Times New Roman" w:hAnsi="Times New Roman" w:cs="Times New Roman"/>
          <w:i/>
          <w:lang w:val="de-DE"/>
        </w:rPr>
        <w:t>legalizējams</w:t>
      </w:r>
      <w:proofErr w:type="spellEnd"/>
      <w:r w:rsidRPr="00CD4311">
        <w:rPr>
          <w:rFonts w:ascii="Times New Roman" w:hAnsi="Times New Roman" w:cs="Times New Roman"/>
          <w:lang w:val="de-DE"/>
        </w:rPr>
        <w:t>“.</w:t>
      </w:r>
      <w:r w:rsidR="007B02D0">
        <w:rPr>
          <w:rFonts w:ascii="Times New Roman" w:hAnsi="Times New Roman" w:cs="Times New Roman"/>
          <w:lang w:val="de-DE"/>
        </w:rPr>
        <w:t xml:space="preserve"> </w:t>
      </w:r>
      <w:proofErr w:type="spellStart"/>
      <w:r w:rsidR="007B02D0" w:rsidRPr="007B02D0">
        <w:rPr>
          <w:rFonts w:ascii="Times New Roman" w:hAnsi="Times New Roman" w:cs="Times New Roman"/>
          <w:highlight w:val="red"/>
          <w:lang w:val="de-DE"/>
        </w:rPr>
        <w:t>Otrs</w:t>
      </w:r>
      <w:proofErr w:type="spellEnd"/>
      <w:r w:rsidR="007B02D0" w:rsidRPr="007B02D0">
        <w:rPr>
          <w:rFonts w:ascii="Times New Roman" w:hAnsi="Times New Roman" w:cs="Times New Roman"/>
          <w:highlight w:val="red"/>
          <w:lang w:val="de-DE"/>
        </w:rPr>
        <w:t xml:space="preserve"> </w:t>
      </w:r>
      <w:proofErr w:type="spellStart"/>
      <w:r w:rsidR="007B02D0" w:rsidRPr="007B02D0">
        <w:rPr>
          <w:rFonts w:ascii="Times New Roman" w:hAnsi="Times New Roman" w:cs="Times New Roman"/>
          <w:highlight w:val="red"/>
          <w:lang w:val="de-DE"/>
        </w:rPr>
        <w:t>variants</w:t>
      </w:r>
      <w:proofErr w:type="spellEnd"/>
      <w:r w:rsidR="007B02D0" w:rsidRPr="007B02D0">
        <w:rPr>
          <w:rFonts w:ascii="Times New Roman" w:hAnsi="Times New Roman" w:cs="Times New Roman"/>
          <w:highlight w:val="red"/>
          <w:lang w:val="de-DE"/>
        </w:rPr>
        <w:t xml:space="preserve"> – </w:t>
      </w:r>
      <w:proofErr w:type="spellStart"/>
      <w:r w:rsidR="007B02D0" w:rsidRPr="007B02D0">
        <w:rPr>
          <w:rFonts w:ascii="Times New Roman" w:hAnsi="Times New Roman" w:cs="Times New Roman"/>
          <w:highlight w:val="red"/>
          <w:lang w:val="de-DE"/>
        </w:rPr>
        <w:t>lai</w:t>
      </w:r>
      <w:proofErr w:type="spellEnd"/>
      <w:r w:rsidR="007B02D0" w:rsidRPr="007B02D0">
        <w:rPr>
          <w:rFonts w:ascii="Times New Roman" w:hAnsi="Times New Roman" w:cs="Times New Roman"/>
          <w:highlight w:val="red"/>
          <w:lang w:val="de-DE"/>
        </w:rPr>
        <w:t xml:space="preserve"> </w:t>
      </w:r>
      <w:proofErr w:type="spellStart"/>
      <w:r w:rsidR="007B02D0" w:rsidRPr="007B02D0">
        <w:rPr>
          <w:rFonts w:ascii="Times New Roman" w:hAnsi="Times New Roman" w:cs="Times New Roman"/>
          <w:highlight w:val="red"/>
          <w:lang w:val="de-DE"/>
        </w:rPr>
        <w:t>negrozītu</w:t>
      </w:r>
      <w:proofErr w:type="spellEnd"/>
      <w:r w:rsidR="007B02D0" w:rsidRPr="007B02D0">
        <w:rPr>
          <w:rFonts w:ascii="Times New Roman" w:hAnsi="Times New Roman" w:cs="Times New Roman"/>
          <w:highlight w:val="red"/>
          <w:lang w:val="de-DE"/>
        </w:rPr>
        <w:t xml:space="preserve"> </w:t>
      </w:r>
      <w:proofErr w:type="spellStart"/>
      <w:r w:rsidR="007B02D0" w:rsidRPr="007B02D0">
        <w:rPr>
          <w:rFonts w:ascii="Times New Roman" w:hAnsi="Times New Roman" w:cs="Times New Roman"/>
          <w:highlight w:val="red"/>
          <w:lang w:val="de-DE"/>
        </w:rPr>
        <w:t>likumu</w:t>
      </w:r>
      <w:proofErr w:type="spellEnd"/>
      <w:r w:rsidR="007B02D0" w:rsidRPr="007B02D0">
        <w:rPr>
          <w:rFonts w:ascii="Times New Roman" w:hAnsi="Times New Roman" w:cs="Times New Roman"/>
          <w:highlight w:val="red"/>
          <w:lang w:val="de-DE"/>
        </w:rPr>
        <w:t xml:space="preserve"> </w:t>
      </w:r>
      <w:proofErr w:type="gramStart"/>
      <w:r w:rsidR="007B02D0" w:rsidRPr="007B02D0">
        <w:rPr>
          <w:rFonts w:ascii="Times New Roman" w:hAnsi="Times New Roman" w:cs="Times New Roman"/>
          <w:highlight w:val="red"/>
          <w:lang w:val="de-DE"/>
        </w:rPr>
        <w:t xml:space="preserve">-  </w:t>
      </w:r>
      <w:proofErr w:type="spellStart"/>
      <w:r w:rsidR="007B02D0" w:rsidRPr="007B02D0">
        <w:rPr>
          <w:rFonts w:ascii="Times New Roman" w:hAnsi="Times New Roman" w:cs="Times New Roman"/>
          <w:highlight w:val="red"/>
          <w:lang w:val="de-DE"/>
        </w:rPr>
        <w:t>būtu</w:t>
      </w:r>
      <w:proofErr w:type="spellEnd"/>
      <w:proofErr w:type="gramEnd"/>
      <w:r w:rsidR="007B02D0" w:rsidRPr="007B02D0">
        <w:rPr>
          <w:rFonts w:ascii="Times New Roman" w:hAnsi="Times New Roman" w:cs="Times New Roman"/>
          <w:highlight w:val="red"/>
          <w:lang w:val="de-DE"/>
        </w:rPr>
        <w:t xml:space="preserve"> </w:t>
      </w:r>
      <w:proofErr w:type="spellStart"/>
      <w:r w:rsidR="007B02D0" w:rsidRPr="007B02D0">
        <w:rPr>
          <w:rFonts w:ascii="Times New Roman" w:hAnsi="Times New Roman" w:cs="Times New Roman"/>
          <w:highlight w:val="red"/>
          <w:lang w:val="de-DE"/>
        </w:rPr>
        <w:t>publiskajā</w:t>
      </w:r>
      <w:proofErr w:type="spellEnd"/>
      <w:r w:rsidR="007B02D0" w:rsidRPr="007B02D0">
        <w:rPr>
          <w:rFonts w:ascii="Times New Roman" w:hAnsi="Times New Roman" w:cs="Times New Roman"/>
          <w:highlight w:val="red"/>
          <w:lang w:val="de-DE"/>
        </w:rPr>
        <w:t xml:space="preserve"> </w:t>
      </w:r>
      <w:proofErr w:type="spellStart"/>
      <w:r w:rsidR="007B02D0" w:rsidRPr="007B02D0">
        <w:rPr>
          <w:rFonts w:ascii="Times New Roman" w:hAnsi="Times New Roman" w:cs="Times New Roman"/>
          <w:highlight w:val="red"/>
          <w:lang w:val="de-DE"/>
        </w:rPr>
        <w:t>telpā</w:t>
      </w:r>
      <w:proofErr w:type="spellEnd"/>
      <w:r w:rsidR="007B02D0" w:rsidRPr="007B02D0">
        <w:rPr>
          <w:rFonts w:ascii="Times New Roman" w:hAnsi="Times New Roman" w:cs="Times New Roman"/>
          <w:highlight w:val="red"/>
          <w:lang w:val="de-DE"/>
        </w:rPr>
        <w:t xml:space="preserve"> </w:t>
      </w:r>
      <w:proofErr w:type="spellStart"/>
      <w:r w:rsidR="007B02D0" w:rsidRPr="007B02D0">
        <w:rPr>
          <w:rFonts w:ascii="Times New Roman" w:hAnsi="Times New Roman" w:cs="Times New Roman"/>
          <w:highlight w:val="red"/>
          <w:lang w:val="de-DE"/>
        </w:rPr>
        <w:t>aktīvi</w:t>
      </w:r>
      <w:proofErr w:type="spellEnd"/>
      <w:r w:rsidR="007B02D0" w:rsidRPr="007B02D0">
        <w:rPr>
          <w:rFonts w:ascii="Times New Roman" w:hAnsi="Times New Roman" w:cs="Times New Roman"/>
          <w:highlight w:val="red"/>
          <w:lang w:val="de-DE"/>
        </w:rPr>
        <w:t xml:space="preserve"> </w:t>
      </w:r>
      <w:proofErr w:type="spellStart"/>
      <w:r w:rsidR="007B02D0" w:rsidRPr="007B02D0">
        <w:rPr>
          <w:rFonts w:ascii="Times New Roman" w:hAnsi="Times New Roman" w:cs="Times New Roman"/>
          <w:highlight w:val="red"/>
          <w:lang w:val="de-DE"/>
        </w:rPr>
        <w:t>skaidrot</w:t>
      </w:r>
      <w:proofErr w:type="spellEnd"/>
      <w:r w:rsidR="007B02D0" w:rsidRPr="007B02D0">
        <w:rPr>
          <w:rFonts w:ascii="Times New Roman" w:hAnsi="Times New Roman" w:cs="Times New Roman"/>
          <w:highlight w:val="red"/>
          <w:lang w:val="de-DE"/>
        </w:rPr>
        <w:t xml:space="preserve"> </w:t>
      </w:r>
      <w:proofErr w:type="spellStart"/>
      <w:r w:rsidR="007B02D0" w:rsidRPr="007B02D0">
        <w:rPr>
          <w:rFonts w:ascii="Times New Roman" w:hAnsi="Times New Roman" w:cs="Times New Roman"/>
          <w:highlight w:val="red"/>
          <w:lang w:val="de-DE"/>
        </w:rPr>
        <w:t>minētās</w:t>
      </w:r>
      <w:proofErr w:type="spellEnd"/>
      <w:r w:rsidR="007B02D0" w:rsidRPr="007B02D0">
        <w:rPr>
          <w:rFonts w:ascii="Times New Roman" w:hAnsi="Times New Roman" w:cs="Times New Roman"/>
          <w:highlight w:val="red"/>
          <w:lang w:val="de-DE"/>
        </w:rPr>
        <w:t xml:space="preserve"> </w:t>
      </w:r>
      <w:proofErr w:type="spellStart"/>
      <w:r w:rsidR="007B02D0" w:rsidRPr="007B02D0">
        <w:rPr>
          <w:rFonts w:ascii="Times New Roman" w:hAnsi="Times New Roman" w:cs="Times New Roman"/>
          <w:highlight w:val="red"/>
          <w:lang w:val="de-DE"/>
        </w:rPr>
        <w:t>tiesību</w:t>
      </w:r>
      <w:proofErr w:type="spellEnd"/>
      <w:r w:rsidR="007B02D0" w:rsidRPr="007B02D0">
        <w:rPr>
          <w:rFonts w:ascii="Times New Roman" w:hAnsi="Times New Roman" w:cs="Times New Roman"/>
          <w:highlight w:val="red"/>
          <w:lang w:val="de-DE"/>
        </w:rPr>
        <w:t xml:space="preserve"> </w:t>
      </w:r>
      <w:proofErr w:type="spellStart"/>
      <w:r w:rsidR="007B02D0" w:rsidRPr="007B02D0">
        <w:rPr>
          <w:rFonts w:ascii="Times New Roman" w:hAnsi="Times New Roman" w:cs="Times New Roman"/>
          <w:highlight w:val="red"/>
          <w:lang w:val="de-DE"/>
        </w:rPr>
        <w:t>normas</w:t>
      </w:r>
      <w:proofErr w:type="spellEnd"/>
      <w:r w:rsidR="007B02D0" w:rsidRPr="007B02D0">
        <w:rPr>
          <w:rFonts w:ascii="Times New Roman" w:hAnsi="Times New Roman" w:cs="Times New Roman"/>
          <w:highlight w:val="red"/>
          <w:lang w:val="de-DE"/>
        </w:rPr>
        <w:t xml:space="preserve"> </w:t>
      </w:r>
      <w:proofErr w:type="spellStart"/>
      <w:r w:rsidR="007B02D0" w:rsidRPr="007B02D0">
        <w:rPr>
          <w:rFonts w:ascii="Times New Roman" w:hAnsi="Times New Roman" w:cs="Times New Roman"/>
          <w:highlight w:val="red"/>
          <w:lang w:val="de-DE"/>
        </w:rPr>
        <w:t>interpretāciju</w:t>
      </w:r>
      <w:proofErr w:type="spellEnd"/>
      <w:r w:rsidR="007B02D0" w:rsidRPr="007B02D0">
        <w:rPr>
          <w:rFonts w:ascii="Times New Roman" w:hAnsi="Times New Roman" w:cs="Times New Roman"/>
          <w:highlight w:val="red"/>
          <w:lang w:val="de-DE"/>
        </w:rPr>
        <w:t xml:space="preserve">. Tas </w:t>
      </w:r>
      <w:proofErr w:type="spellStart"/>
      <w:r w:rsidR="007B02D0" w:rsidRPr="007B02D0">
        <w:rPr>
          <w:rFonts w:ascii="Times New Roman" w:hAnsi="Times New Roman" w:cs="Times New Roman"/>
          <w:highlight w:val="red"/>
          <w:lang w:val="de-DE"/>
        </w:rPr>
        <w:t>būtu</w:t>
      </w:r>
      <w:proofErr w:type="spellEnd"/>
      <w:r w:rsidR="007B02D0" w:rsidRPr="007B02D0">
        <w:rPr>
          <w:rFonts w:ascii="Times New Roman" w:hAnsi="Times New Roman" w:cs="Times New Roman"/>
          <w:highlight w:val="red"/>
          <w:lang w:val="de-DE"/>
        </w:rPr>
        <w:t xml:space="preserve"> </w:t>
      </w:r>
      <w:proofErr w:type="spellStart"/>
      <w:r w:rsidR="007B02D0" w:rsidRPr="007B02D0">
        <w:rPr>
          <w:rFonts w:ascii="Times New Roman" w:hAnsi="Times New Roman" w:cs="Times New Roman"/>
          <w:highlight w:val="red"/>
          <w:lang w:val="de-DE"/>
        </w:rPr>
        <w:t>izdarāms</w:t>
      </w:r>
      <w:proofErr w:type="spellEnd"/>
      <w:r w:rsidR="007B02D0" w:rsidRPr="007B02D0">
        <w:rPr>
          <w:rFonts w:ascii="Times New Roman" w:hAnsi="Times New Roman" w:cs="Times New Roman"/>
          <w:highlight w:val="red"/>
          <w:lang w:val="de-DE"/>
        </w:rPr>
        <w:t xml:space="preserve"> </w:t>
      </w:r>
      <w:proofErr w:type="spellStart"/>
      <w:r w:rsidR="007B02D0" w:rsidRPr="007B02D0">
        <w:rPr>
          <w:rFonts w:ascii="Times New Roman" w:hAnsi="Times New Roman" w:cs="Times New Roman"/>
          <w:highlight w:val="red"/>
          <w:lang w:val="de-DE"/>
        </w:rPr>
        <w:t>gan</w:t>
      </w:r>
      <w:proofErr w:type="spellEnd"/>
      <w:r w:rsidR="007B02D0" w:rsidRPr="007B02D0">
        <w:rPr>
          <w:rFonts w:ascii="Times New Roman" w:hAnsi="Times New Roman" w:cs="Times New Roman"/>
          <w:highlight w:val="red"/>
          <w:lang w:val="de-DE"/>
        </w:rPr>
        <w:t xml:space="preserve"> </w:t>
      </w:r>
      <w:proofErr w:type="spellStart"/>
      <w:r w:rsidR="007B02D0" w:rsidRPr="007B02D0">
        <w:rPr>
          <w:rFonts w:ascii="Times New Roman" w:hAnsi="Times New Roman" w:cs="Times New Roman"/>
          <w:highlight w:val="red"/>
          <w:lang w:val="de-DE"/>
        </w:rPr>
        <w:t>Ārlietu</w:t>
      </w:r>
      <w:proofErr w:type="spellEnd"/>
      <w:r w:rsidR="007B02D0" w:rsidRPr="007B02D0">
        <w:rPr>
          <w:rFonts w:ascii="Times New Roman" w:hAnsi="Times New Roman" w:cs="Times New Roman"/>
          <w:highlight w:val="red"/>
          <w:lang w:val="de-DE"/>
        </w:rPr>
        <w:t xml:space="preserve"> </w:t>
      </w:r>
      <w:proofErr w:type="spellStart"/>
      <w:r w:rsidR="007B02D0" w:rsidRPr="007B02D0">
        <w:rPr>
          <w:rFonts w:ascii="Times New Roman" w:hAnsi="Times New Roman" w:cs="Times New Roman"/>
          <w:highlight w:val="red"/>
          <w:lang w:val="de-DE"/>
        </w:rPr>
        <w:t>ministrijas</w:t>
      </w:r>
      <w:proofErr w:type="spellEnd"/>
      <w:r w:rsidR="007B02D0" w:rsidRPr="007B02D0">
        <w:rPr>
          <w:rFonts w:ascii="Times New Roman" w:hAnsi="Times New Roman" w:cs="Times New Roman"/>
          <w:highlight w:val="red"/>
          <w:lang w:val="de-DE"/>
        </w:rPr>
        <w:t xml:space="preserve"> </w:t>
      </w:r>
      <w:proofErr w:type="spellStart"/>
      <w:r w:rsidR="007B02D0" w:rsidRPr="007B02D0">
        <w:rPr>
          <w:rFonts w:ascii="Times New Roman" w:hAnsi="Times New Roman" w:cs="Times New Roman"/>
          <w:highlight w:val="red"/>
          <w:lang w:val="de-DE"/>
        </w:rPr>
        <w:t>mājas</w:t>
      </w:r>
      <w:proofErr w:type="spellEnd"/>
      <w:r w:rsidR="007B02D0" w:rsidRPr="007B02D0">
        <w:rPr>
          <w:rFonts w:ascii="Times New Roman" w:hAnsi="Times New Roman" w:cs="Times New Roman"/>
          <w:highlight w:val="red"/>
          <w:lang w:val="de-DE"/>
        </w:rPr>
        <w:t xml:space="preserve"> </w:t>
      </w:r>
      <w:proofErr w:type="spellStart"/>
      <w:r w:rsidR="007B02D0" w:rsidRPr="007B02D0">
        <w:rPr>
          <w:rFonts w:ascii="Times New Roman" w:hAnsi="Times New Roman" w:cs="Times New Roman"/>
          <w:highlight w:val="red"/>
          <w:lang w:val="de-DE"/>
        </w:rPr>
        <w:t>lapā</w:t>
      </w:r>
      <w:proofErr w:type="spellEnd"/>
      <w:r w:rsidR="007B02D0" w:rsidRPr="007B02D0">
        <w:rPr>
          <w:rFonts w:ascii="Times New Roman" w:hAnsi="Times New Roman" w:cs="Times New Roman"/>
          <w:highlight w:val="red"/>
          <w:lang w:val="de-DE"/>
        </w:rPr>
        <w:t xml:space="preserve">, </w:t>
      </w:r>
      <w:proofErr w:type="spellStart"/>
      <w:r w:rsidR="007B02D0" w:rsidRPr="007B02D0">
        <w:rPr>
          <w:rFonts w:ascii="Times New Roman" w:hAnsi="Times New Roman" w:cs="Times New Roman"/>
          <w:highlight w:val="red"/>
          <w:lang w:val="de-DE"/>
        </w:rPr>
        <w:t>gan</w:t>
      </w:r>
      <w:proofErr w:type="spellEnd"/>
      <w:r w:rsidR="007B02D0" w:rsidRPr="007B02D0">
        <w:rPr>
          <w:rFonts w:ascii="Times New Roman" w:hAnsi="Times New Roman" w:cs="Times New Roman"/>
          <w:highlight w:val="red"/>
          <w:lang w:val="de-DE"/>
        </w:rPr>
        <w:t xml:space="preserve"> </w:t>
      </w:r>
      <w:proofErr w:type="spellStart"/>
      <w:r w:rsidR="007B02D0" w:rsidRPr="007B02D0">
        <w:rPr>
          <w:rFonts w:ascii="Times New Roman" w:hAnsi="Times New Roman" w:cs="Times New Roman"/>
          <w:highlight w:val="red"/>
          <w:lang w:val="de-DE"/>
        </w:rPr>
        <w:t>juristu</w:t>
      </w:r>
      <w:proofErr w:type="spellEnd"/>
      <w:r w:rsidR="007B02D0" w:rsidRPr="007B02D0">
        <w:rPr>
          <w:rFonts w:ascii="Times New Roman" w:hAnsi="Times New Roman" w:cs="Times New Roman"/>
          <w:highlight w:val="red"/>
          <w:lang w:val="de-DE"/>
        </w:rPr>
        <w:t xml:space="preserve"> </w:t>
      </w:r>
      <w:proofErr w:type="spellStart"/>
      <w:r w:rsidR="007B02D0" w:rsidRPr="007B02D0">
        <w:rPr>
          <w:rFonts w:ascii="Times New Roman" w:hAnsi="Times New Roman" w:cs="Times New Roman"/>
          <w:highlight w:val="red"/>
          <w:lang w:val="de-DE"/>
        </w:rPr>
        <w:t>publikācijās</w:t>
      </w:r>
      <w:proofErr w:type="spellEnd"/>
      <w:r w:rsidR="007B02D0" w:rsidRPr="007B02D0">
        <w:rPr>
          <w:rFonts w:ascii="Times New Roman" w:hAnsi="Times New Roman" w:cs="Times New Roman"/>
          <w:highlight w:val="red"/>
          <w:lang w:val="de-DE"/>
        </w:rPr>
        <w:t>.</w:t>
      </w:r>
    </w:p>
    <w:p w14:paraId="27390DB0" w14:textId="77777777" w:rsidR="00114953" w:rsidRPr="00CD4311" w:rsidRDefault="00114953" w:rsidP="00114953">
      <w:pPr>
        <w:jc w:val="both"/>
        <w:rPr>
          <w:rFonts w:ascii="Times New Roman" w:hAnsi="Times New Roman" w:cs="Times New Roman"/>
          <w:lang w:val="de-DE"/>
        </w:rPr>
      </w:pPr>
    </w:p>
    <w:p w14:paraId="52CEE943" w14:textId="36D42E7F" w:rsidR="00114953" w:rsidRPr="00CD4311" w:rsidRDefault="00114953" w:rsidP="00114953">
      <w:pPr>
        <w:jc w:val="both"/>
        <w:rPr>
          <w:rFonts w:ascii="Times New Roman" w:hAnsi="Times New Roman" w:cs="Times New Roman"/>
          <w:lang w:val="de-DE"/>
        </w:rPr>
      </w:pPr>
      <w:r w:rsidRPr="00CD4311">
        <w:rPr>
          <w:rFonts w:ascii="Times New Roman" w:hAnsi="Times New Roman" w:cs="Times New Roman"/>
          <w:lang w:val="de-DE"/>
        </w:rPr>
        <w:t xml:space="preserve">6. </w:t>
      </w:r>
      <w:proofErr w:type="spellStart"/>
      <w:r w:rsidRPr="00CD4311">
        <w:rPr>
          <w:rFonts w:ascii="Times New Roman" w:hAnsi="Times New Roman" w:cs="Times New Roman"/>
          <w:lang w:val="de-DE"/>
        </w:rPr>
        <w:t>Būtu</w:t>
      </w:r>
      <w:proofErr w:type="spellEnd"/>
      <w:r w:rsidRPr="00CD4311">
        <w:rPr>
          <w:rFonts w:ascii="Times New Roman" w:hAnsi="Times New Roman" w:cs="Times New Roman"/>
          <w:lang w:val="de-DE"/>
        </w:rPr>
        <w:t xml:space="preserve"> </w:t>
      </w:r>
      <w:proofErr w:type="spellStart"/>
      <w:r w:rsidRPr="00CD4311">
        <w:rPr>
          <w:rFonts w:ascii="Times New Roman" w:hAnsi="Times New Roman" w:cs="Times New Roman"/>
          <w:lang w:val="de-DE"/>
        </w:rPr>
        <w:t>apsverama</w:t>
      </w:r>
      <w:proofErr w:type="spellEnd"/>
      <w:r w:rsidRPr="00CD4311">
        <w:rPr>
          <w:rFonts w:ascii="Times New Roman" w:hAnsi="Times New Roman" w:cs="Times New Roman"/>
          <w:lang w:val="de-DE"/>
        </w:rPr>
        <w:t xml:space="preserve"> </w:t>
      </w:r>
      <w:proofErr w:type="spellStart"/>
      <w:r w:rsidRPr="00CD4311">
        <w:rPr>
          <w:rFonts w:ascii="Times New Roman" w:hAnsi="Times New Roman" w:cs="Times New Roman"/>
          <w:lang w:val="de-DE"/>
        </w:rPr>
        <w:t>iespēja</w:t>
      </w:r>
      <w:proofErr w:type="spellEnd"/>
      <w:r w:rsidRPr="00CD4311">
        <w:rPr>
          <w:rFonts w:ascii="Times New Roman" w:hAnsi="Times New Roman" w:cs="Times New Roman"/>
          <w:lang w:val="de-DE"/>
        </w:rPr>
        <w:t xml:space="preserve"> </w:t>
      </w:r>
      <w:proofErr w:type="spellStart"/>
      <w:r w:rsidRPr="00CD4311">
        <w:rPr>
          <w:rFonts w:ascii="Times New Roman" w:hAnsi="Times New Roman" w:cs="Times New Roman"/>
          <w:lang w:val="de-DE"/>
        </w:rPr>
        <w:t>Notariāta</w:t>
      </w:r>
      <w:proofErr w:type="spellEnd"/>
      <w:r w:rsidRPr="00CD4311">
        <w:rPr>
          <w:rFonts w:ascii="Times New Roman" w:hAnsi="Times New Roman" w:cs="Times New Roman"/>
          <w:lang w:val="de-DE"/>
        </w:rPr>
        <w:t xml:space="preserve"> </w:t>
      </w:r>
      <w:proofErr w:type="spellStart"/>
      <w:r w:rsidRPr="00CD4311">
        <w:rPr>
          <w:rFonts w:ascii="Times New Roman" w:hAnsi="Times New Roman" w:cs="Times New Roman"/>
          <w:lang w:val="de-DE"/>
        </w:rPr>
        <w:t>likumā</w:t>
      </w:r>
      <w:proofErr w:type="spellEnd"/>
      <w:r w:rsidRPr="00CD4311">
        <w:rPr>
          <w:rFonts w:ascii="Times New Roman" w:hAnsi="Times New Roman" w:cs="Times New Roman"/>
          <w:lang w:val="de-DE"/>
        </w:rPr>
        <w:t xml:space="preserve"> </w:t>
      </w:r>
      <w:proofErr w:type="spellStart"/>
      <w:r w:rsidRPr="00CD4311">
        <w:rPr>
          <w:rFonts w:ascii="Times New Roman" w:hAnsi="Times New Roman" w:cs="Times New Roman"/>
          <w:lang w:val="de-DE"/>
        </w:rPr>
        <w:t>iestrādāt</w:t>
      </w:r>
      <w:proofErr w:type="spellEnd"/>
      <w:r w:rsidRPr="00CD4311">
        <w:rPr>
          <w:rFonts w:ascii="Times New Roman" w:hAnsi="Times New Roman" w:cs="Times New Roman"/>
          <w:lang w:val="de-DE"/>
        </w:rPr>
        <w:t xml:space="preserve"> </w:t>
      </w:r>
      <w:proofErr w:type="spellStart"/>
      <w:r w:rsidRPr="00CD4311">
        <w:rPr>
          <w:rFonts w:ascii="Times New Roman" w:hAnsi="Times New Roman" w:cs="Times New Roman"/>
          <w:lang w:val="de-DE"/>
        </w:rPr>
        <w:t>speciālas</w:t>
      </w:r>
      <w:proofErr w:type="spellEnd"/>
      <w:r w:rsidRPr="00CD4311">
        <w:rPr>
          <w:rFonts w:ascii="Times New Roman" w:hAnsi="Times New Roman" w:cs="Times New Roman"/>
          <w:lang w:val="de-DE"/>
        </w:rPr>
        <w:t xml:space="preserve"> </w:t>
      </w:r>
      <w:proofErr w:type="spellStart"/>
      <w:r w:rsidRPr="00CD4311">
        <w:rPr>
          <w:rFonts w:ascii="Times New Roman" w:hAnsi="Times New Roman" w:cs="Times New Roman"/>
          <w:lang w:val="de-DE"/>
        </w:rPr>
        <w:t>tiesību</w:t>
      </w:r>
      <w:proofErr w:type="spellEnd"/>
      <w:r w:rsidRPr="00CD4311">
        <w:rPr>
          <w:rFonts w:ascii="Times New Roman" w:hAnsi="Times New Roman" w:cs="Times New Roman"/>
          <w:lang w:val="de-DE"/>
        </w:rPr>
        <w:t xml:space="preserve"> </w:t>
      </w:r>
      <w:proofErr w:type="spellStart"/>
      <w:r w:rsidRPr="00CD4311">
        <w:rPr>
          <w:rFonts w:ascii="Times New Roman" w:hAnsi="Times New Roman" w:cs="Times New Roman"/>
          <w:lang w:val="de-DE"/>
        </w:rPr>
        <w:t>normas</w:t>
      </w:r>
      <w:proofErr w:type="spellEnd"/>
      <w:r w:rsidRPr="00CD4311">
        <w:rPr>
          <w:rFonts w:ascii="Times New Roman" w:hAnsi="Times New Roman" w:cs="Times New Roman"/>
          <w:lang w:val="de-DE"/>
        </w:rPr>
        <w:t xml:space="preserve"> </w:t>
      </w:r>
      <w:proofErr w:type="spellStart"/>
      <w:r w:rsidRPr="00CD4311">
        <w:rPr>
          <w:rFonts w:ascii="Times New Roman" w:hAnsi="Times New Roman" w:cs="Times New Roman"/>
          <w:lang w:val="de-DE"/>
        </w:rPr>
        <w:t>notāru</w:t>
      </w:r>
      <w:proofErr w:type="spellEnd"/>
      <w:r w:rsidRPr="00CD4311">
        <w:rPr>
          <w:rFonts w:ascii="Times New Roman" w:hAnsi="Times New Roman" w:cs="Times New Roman"/>
          <w:lang w:val="de-DE"/>
        </w:rPr>
        <w:t xml:space="preserve"> </w:t>
      </w:r>
      <w:proofErr w:type="spellStart"/>
      <w:r w:rsidRPr="00CD4311">
        <w:rPr>
          <w:rFonts w:ascii="Times New Roman" w:hAnsi="Times New Roman" w:cs="Times New Roman"/>
          <w:lang w:val="de-DE"/>
        </w:rPr>
        <w:t>rīcībai</w:t>
      </w:r>
      <w:proofErr w:type="spellEnd"/>
      <w:r w:rsidRPr="00CD4311">
        <w:rPr>
          <w:rFonts w:ascii="Times New Roman" w:hAnsi="Times New Roman" w:cs="Times New Roman"/>
          <w:lang w:val="de-DE"/>
        </w:rPr>
        <w:t xml:space="preserve"> </w:t>
      </w:r>
      <w:proofErr w:type="spellStart"/>
      <w:r w:rsidRPr="00CD4311">
        <w:rPr>
          <w:rFonts w:ascii="Times New Roman" w:hAnsi="Times New Roman" w:cs="Times New Roman"/>
          <w:lang w:val="de-DE"/>
        </w:rPr>
        <w:t>ar</w:t>
      </w:r>
      <w:proofErr w:type="spellEnd"/>
      <w:r w:rsidRPr="00CD4311">
        <w:rPr>
          <w:rFonts w:ascii="Times New Roman" w:hAnsi="Times New Roman" w:cs="Times New Roman"/>
          <w:lang w:val="de-DE"/>
        </w:rPr>
        <w:t xml:space="preserve"> </w:t>
      </w:r>
      <w:proofErr w:type="spellStart"/>
      <w:r w:rsidRPr="00CD4311">
        <w:rPr>
          <w:rFonts w:ascii="Times New Roman" w:hAnsi="Times New Roman" w:cs="Times New Roman"/>
          <w:lang w:val="de-DE"/>
        </w:rPr>
        <w:t>ārvalstīs</w:t>
      </w:r>
      <w:proofErr w:type="spellEnd"/>
      <w:r w:rsidRPr="00CD4311">
        <w:rPr>
          <w:rFonts w:ascii="Times New Roman" w:hAnsi="Times New Roman" w:cs="Times New Roman"/>
          <w:lang w:val="de-DE"/>
        </w:rPr>
        <w:t xml:space="preserve"> </w:t>
      </w:r>
      <w:proofErr w:type="spellStart"/>
      <w:r w:rsidRPr="00CD4311">
        <w:rPr>
          <w:rFonts w:ascii="Times New Roman" w:hAnsi="Times New Roman" w:cs="Times New Roman"/>
          <w:lang w:val="de-DE"/>
        </w:rPr>
        <w:t>izdotiem</w:t>
      </w:r>
      <w:proofErr w:type="spellEnd"/>
      <w:r w:rsidRPr="00CD4311">
        <w:rPr>
          <w:rFonts w:ascii="Times New Roman" w:hAnsi="Times New Roman" w:cs="Times New Roman"/>
          <w:lang w:val="de-DE"/>
        </w:rPr>
        <w:t xml:space="preserve"> </w:t>
      </w:r>
      <w:proofErr w:type="spellStart"/>
      <w:r w:rsidRPr="00CD4311">
        <w:rPr>
          <w:rFonts w:ascii="Times New Roman" w:hAnsi="Times New Roman" w:cs="Times New Roman"/>
          <w:lang w:val="de-DE"/>
        </w:rPr>
        <w:t>dokumentiem</w:t>
      </w:r>
      <w:proofErr w:type="spellEnd"/>
      <w:r w:rsidRPr="00CD4311">
        <w:rPr>
          <w:rFonts w:ascii="Times New Roman" w:hAnsi="Times New Roman" w:cs="Times New Roman"/>
          <w:lang w:val="de-DE"/>
        </w:rPr>
        <w:t xml:space="preserve"> </w:t>
      </w:r>
      <w:proofErr w:type="spellStart"/>
      <w:r w:rsidRPr="00CD4311">
        <w:rPr>
          <w:rFonts w:ascii="Times New Roman" w:hAnsi="Times New Roman" w:cs="Times New Roman"/>
          <w:lang w:val="de-DE"/>
        </w:rPr>
        <w:t>un</w:t>
      </w:r>
      <w:proofErr w:type="spellEnd"/>
      <w:r w:rsidRPr="00CD4311">
        <w:rPr>
          <w:rFonts w:ascii="Times New Roman" w:hAnsi="Times New Roman" w:cs="Times New Roman"/>
          <w:lang w:val="de-DE"/>
        </w:rPr>
        <w:t xml:space="preserve"> </w:t>
      </w:r>
      <w:proofErr w:type="spellStart"/>
      <w:r w:rsidRPr="00CD4311">
        <w:rPr>
          <w:rFonts w:ascii="Times New Roman" w:hAnsi="Times New Roman" w:cs="Times New Roman"/>
          <w:lang w:val="de-DE"/>
        </w:rPr>
        <w:t>to</w:t>
      </w:r>
      <w:proofErr w:type="spellEnd"/>
      <w:r w:rsidRPr="00CD4311">
        <w:rPr>
          <w:rFonts w:ascii="Times New Roman" w:hAnsi="Times New Roman" w:cs="Times New Roman"/>
          <w:lang w:val="de-DE"/>
        </w:rPr>
        <w:t xml:space="preserve"> </w:t>
      </w:r>
      <w:proofErr w:type="spellStart"/>
      <w:r w:rsidRPr="00CD4311">
        <w:rPr>
          <w:rFonts w:ascii="Times New Roman" w:hAnsi="Times New Roman" w:cs="Times New Roman"/>
          <w:lang w:val="de-DE"/>
        </w:rPr>
        <w:t>izmantošanas</w:t>
      </w:r>
      <w:proofErr w:type="spellEnd"/>
      <w:r w:rsidRPr="00CD4311">
        <w:rPr>
          <w:rFonts w:ascii="Times New Roman" w:hAnsi="Times New Roman" w:cs="Times New Roman"/>
          <w:lang w:val="de-DE"/>
        </w:rPr>
        <w:t xml:space="preserve"> </w:t>
      </w:r>
      <w:proofErr w:type="spellStart"/>
      <w:r w:rsidRPr="00CD4311">
        <w:rPr>
          <w:rFonts w:ascii="Times New Roman" w:hAnsi="Times New Roman" w:cs="Times New Roman"/>
          <w:lang w:val="de-DE"/>
        </w:rPr>
        <w:t>iespējām</w:t>
      </w:r>
      <w:proofErr w:type="spellEnd"/>
      <w:r w:rsidRPr="00CD4311">
        <w:rPr>
          <w:rFonts w:ascii="Times New Roman" w:hAnsi="Times New Roman" w:cs="Times New Roman"/>
          <w:lang w:val="de-DE"/>
        </w:rPr>
        <w:t xml:space="preserve"> </w:t>
      </w:r>
      <w:proofErr w:type="spellStart"/>
      <w:r w:rsidRPr="00CD4311">
        <w:rPr>
          <w:rFonts w:ascii="Times New Roman" w:hAnsi="Times New Roman" w:cs="Times New Roman"/>
          <w:lang w:val="de-DE"/>
        </w:rPr>
        <w:t>notāru</w:t>
      </w:r>
      <w:proofErr w:type="spellEnd"/>
      <w:r w:rsidRPr="00CD4311">
        <w:rPr>
          <w:rFonts w:ascii="Times New Roman" w:hAnsi="Times New Roman" w:cs="Times New Roman"/>
          <w:lang w:val="de-DE"/>
        </w:rPr>
        <w:t xml:space="preserve"> </w:t>
      </w:r>
      <w:proofErr w:type="spellStart"/>
      <w:r w:rsidRPr="00CD4311">
        <w:rPr>
          <w:rFonts w:ascii="Times New Roman" w:hAnsi="Times New Roman" w:cs="Times New Roman"/>
          <w:lang w:val="de-DE"/>
        </w:rPr>
        <w:t>procesos</w:t>
      </w:r>
      <w:proofErr w:type="spellEnd"/>
      <w:r w:rsidRPr="00CD4311">
        <w:rPr>
          <w:rFonts w:ascii="Times New Roman" w:hAnsi="Times New Roman" w:cs="Times New Roman"/>
          <w:lang w:val="de-DE"/>
        </w:rPr>
        <w:t>.</w:t>
      </w:r>
      <w:r w:rsidR="007B02D0">
        <w:rPr>
          <w:rFonts w:ascii="Times New Roman" w:hAnsi="Times New Roman" w:cs="Times New Roman"/>
          <w:lang w:val="de-DE"/>
        </w:rPr>
        <w:t xml:space="preserve"> </w:t>
      </w:r>
      <w:proofErr w:type="spellStart"/>
      <w:r w:rsidR="007B02D0" w:rsidRPr="007B02D0">
        <w:rPr>
          <w:rFonts w:ascii="Times New Roman" w:hAnsi="Times New Roman" w:cs="Times New Roman"/>
          <w:highlight w:val="red"/>
          <w:lang w:val="de-DE"/>
        </w:rPr>
        <w:t>Vienlaicīgi</w:t>
      </w:r>
      <w:proofErr w:type="spellEnd"/>
      <w:r w:rsidR="007B02D0" w:rsidRPr="007B02D0">
        <w:rPr>
          <w:rFonts w:ascii="Times New Roman" w:hAnsi="Times New Roman" w:cs="Times New Roman"/>
          <w:highlight w:val="red"/>
          <w:lang w:val="de-DE"/>
        </w:rPr>
        <w:t xml:space="preserve"> </w:t>
      </w:r>
      <w:proofErr w:type="spellStart"/>
      <w:r w:rsidR="007B02D0" w:rsidRPr="007B02D0">
        <w:rPr>
          <w:rFonts w:ascii="Times New Roman" w:hAnsi="Times New Roman" w:cs="Times New Roman"/>
          <w:highlight w:val="red"/>
          <w:lang w:val="de-DE"/>
        </w:rPr>
        <w:t>būtu</w:t>
      </w:r>
      <w:proofErr w:type="spellEnd"/>
      <w:r w:rsidR="007B02D0" w:rsidRPr="007B02D0">
        <w:rPr>
          <w:rFonts w:ascii="Times New Roman" w:hAnsi="Times New Roman" w:cs="Times New Roman"/>
          <w:highlight w:val="red"/>
          <w:lang w:val="de-DE"/>
        </w:rPr>
        <w:t xml:space="preserve"> </w:t>
      </w:r>
      <w:proofErr w:type="spellStart"/>
      <w:r w:rsidR="007B02D0" w:rsidRPr="007B02D0">
        <w:rPr>
          <w:rFonts w:ascii="Times New Roman" w:hAnsi="Times New Roman" w:cs="Times New Roman"/>
          <w:highlight w:val="red"/>
          <w:lang w:val="de-DE"/>
        </w:rPr>
        <w:t>vēlams</w:t>
      </w:r>
      <w:proofErr w:type="spellEnd"/>
      <w:r w:rsidR="007B02D0" w:rsidRPr="007B02D0">
        <w:rPr>
          <w:rFonts w:ascii="Times New Roman" w:hAnsi="Times New Roman" w:cs="Times New Roman"/>
          <w:highlight w:val="red"/>
          <w:lang w:val="de-DE"/>
        </w:rPr>
        <w:t xml:space="preserve"> </w:t>
      </w:r>
      <w:proofErr w:type="spellStart"/>
      <w:r w:rsidR="007B02D0" w:rsidRPr="007B02D0">
        <w:rPr>
          <w:rFonts w:ascii="Times New Roman" w:hAnsi="Times New Roman" w:cs="Times New Roman"/>
          <w:highlight w:val="red"/>
          <w:lang w:val="de-DE"/>
        </w:rPr>
        <w:t>apsvērt</w:t>
      </w:r>
      <w:proofErr w:type="spellEnd"/>
      <w:r w:rsidR="007B02D0" w:rsidRPr="007B02D0">
        <w:rPr>
          <w:rFonts w:ascii="Times New Roman" w:hAnsi="Times New Roman" w:cs="Times New Roman"/>
          <w:highlight w:val="red"/>
          <w:lang w:val="de-DE"/>
        </w:rPr>
        <w:t xml:space="preserve"> </w:t>
      </w:r>
      <w:proofErr w:type="spellStart"/>
      <w:r w:rsidR="007B02D0" w:rsidRPr="007B02D0">
        <w:rPr>
          <w:rFonts w:ascii="Times New Roman" w:hAnsi="Times New Roman" w:cs="Times New Roman"/>
          <w:highlight w:val="red"/>
          <w:lang w:val="de-DE"/>
        </w:rPr>
        <w:t>Igaunijas</w:t>
      </w:r>
      <w:proofErr w:type="spellEnd"/>
      <w:r w:rsidR="007B02D0" w:rsidRPr="007B02D0">
        <w:rPr>
          <w:rFonts w:ascii="Times New Roman" w:hAnsi="Times New Roman" w:cs="Times New Roman"/>
          <w:highlight w:val="red"/>
          <w:lang w:val="de-DE"/>
        </w:rPr>
        <w:t xml:space="preserve"> </w:t>
      </w:r>
      <w:proofErr w:type="spellStart"/>
      <w:r w:rsidR="007B02D0" w:rsidRPr="007B02D0">
        <w:rPr>
          <w:rFonts w:ascii="Times New Roman" w:hAnsi="Times New Roman" w:cs="Times New Roman"/>
          <w:highlight w:val="red"/>
          <w:lang w:val="de-DE"/>
        </w:rPr>
        <w:t>pieredzi</w:t>
      </w:r>
      <w:proofErr w:type="spellEnd"/>
      <w:r w:rsidR="007B02D0" w:rsidRPr="007B02D0">
        <w:rPr>
          <w:rFonts w:ascii="Times New Roman" w:hAnsi="Times New Roman" w:cs="Times New Roman"/>
          <w:highlight w:val="red"/>
          <w:lang w:val="de-DE"/>
        </w:rPr>
        <w:t xml:space="preserve"> </w:t>
      </w:r>
      <w:proofErr w:type="spellStart"/>
      <w:r w:rsidR="007B02D0" w:rsidRPr="007B02D0">
        <w:rPr>
          <w:rFonts w:ascii="Times New Roman" w:hAnsi="Times New Roman" w:cs="Times New Roman"/>
          <w:highlight w:val="red"/>
          <w:lang w:val="de-DE"/>
        </w:rPr>
        <w:t>un</w:t>
      </w:r>
      <w:proofErr w:type="spellEnd"/>
      <w:r w:rsidR="007B02D0" w:rsidRPr="007B02D0">
        <w:rPr>
          <w:rFonts w:ascii="Times New Roman" w:hAnsi="Times New Roman" w:cs="Times New Roman"/>
          <w:highlight w:val="red"/>
          <w:lang w:val="de-DE"/>
        </w:rPr>
        <w:t xml:space="preserve"> </w:t>
      </w:r>
      <w:proofErr w:type="spellStart"/>
      <w:r w:rsidR="007B02D0" w:rsidRPr="007B02D0">
        <w:rPr>
          <w:rFonts w:ascii="Times New Roman" w:hAnsi="Times New Roman" w:cs="Times New Roman"/>
          <w:highlight w:val="red"/>
          <w:lang w:val="de-DE"/>
        </w:rPr>
        <w:t>izstrādāt</w:t>
      </w:r>
      <w:proofErr w:type="spellEnd"/>
      <w:r w:rsidR="007B02D0" w:rsidRPr="007B02D0">
        <w:rPr>
          <w:rFonts w:ascii="Times New Roman" w:hAnsi="Times New Roman" w:cs="Times New Roman"/>
          <w:highlight w:val="red"/>
          <w:lang w:val="de-DE"/>
        </w:rPr>
        <w:t xml:space="preserve"> </w:t>
      </w:r>
      <w:proofErr w:type="spellStart"/>
      <w:r w:rsidR="007B02D0" w:rsidRPr="007B02D0">
        <w:rPr>
          <w:rFonts w:ascii="Times New Roman" w:hAnsi="Times New Roman" w:cs="Times New Roman"/>
          <w:highlight w:val="red"/>
          <w:lang w:val="de-DE"/>
        </w:rPr>
        <w:t>speciālu</w:t>
      </w:r>
      <w:proofErr w:type="spellEnd"/>
      <w:r w:rsidR="007B02D0" w:rsidRPr="007B02D0">
        <w:rPr>
          <w:rFonts w:ascii="Times New Roman" w:hAnsi="Times New Roman" w:cs="Times New Roman"/>
          <w:highlight w:val="red"/>
          <w:lang w:val="de-DE"/>
        </w:rPr>
        <w:t xml:space="preserve"> </w:t>
      </w:r>
      <w:proofErr w:type="spellStart"/>
      <w:r w:rsidR="007B02D0">
        <w:rPr>
          <w:rFonts w:ascii="Times New Roman" w:hAnsi="Times New Roman" w:cs="Times New Roman"/>
          <w:highlight w:val="red"/>
          <w:lang w:val="de-DE"/>
        </w:rPr>
        <w:t>tiesas</w:t>
      </w:r>
      <w:proofErr w:type="spellEnd"/>
      <w:r w:rsidR="007B02D0">
        <w:rPr>
          <w:rFonts w:ascii="Times New Roman" w:hAnsi="Times New Roman" w:cs="Times New Roman"/>
          <w:highlight w:val="red"/>
          <w:lang w:val="de-DE"/>
        </w:rPr>
        <w:t xml:space="preserve"> </w:t>
      </w:r>
      <w:proofErr w:type="spellStart"/>
      <w:r w:rsidR="007B02D0" w:rsidRPr="007B02D0">
        <w:rPr>
          <w:rFonts w:ascii="Times New Roman" w:hAnsi="Times New Roman" w:cs="Times New Roman"/>
          <w:highlight w:val="red"/>
          <w:lang w:val="de-DE"/>
        </w:rPr>
        <w:t>procesu</w:t>
      </w:r>
      <w:proofErr w:type="spellEnd"/>
      <w:r w:rsidR="007B02D0">
        <w:rPr>
          <w:rFonts w:ascii="Times New Roman" w:hAnsi="Times New Roman" w:cs="Times New Roman"/>
          <w:highlight w:val="red"/>
          <w:lang w:val="de-DE"/>
        </w:rPr>
        <w:t xml:space="preserve"> </w:t>
      </w:r>
      <w:proofErr w:type="spellStart"/>
      <w:r w:rsidR="007B02D0" w:rsidRPr="007B02D0">
        <w:rPr>
          <w:rFonts w:ascii="Times New Roman" w:hAnsi="Times New Roman" w:cs="Times New Roman"/>
          <w:highlight w:val="red"/>
          <w:lang w:val="de-DE"/>
        </w:rPr>
        <w:t>nolūkā</w:t>
      </w:r>
      <w:proofErr w:type="spellEnd"/>
      <w:r w:rsidR="007B02D0" w:rsidRPr="007B02D0">
        <w:rPr>
          <w:rFonts w:ascii="Times New Roman" w:hAnsi="Times New Roman" w:cs="Times New Roman"/>
          <w:highlight w:val="red"/>
          <w:lang w:val="de-DE"/>
        </w:rPr>
        <w:t xml:space="preserve"> </w:t>
      </w:r>
      <w:proofErr w:type="spellStart"/>
      <w:r w:rsidR="007B02D0" w:rsidRPr="007B02D0">
        <w:rPr>
          <w:rFonts w:ascii="Times New Roman" w:hAnsi="Times New Roman" w:cs="Times New Roman"/>
          <w:highlight w:val="red"/>
          <w:lang w:val="de-DE"/>
        </w:rPr>
        <w:t>izlemt</w:t>
      </w:r>
      <w:proofErr w:type="spellEnd"/>
      <w:r w:rsidR="007B02D0" w:rsidRPr="007B02D0">
        <w:rPr>
          <w:rFonts w:ascii="Times New Roman" w:hAnsi="Times New Roman" w:cs="Times New Roman"/>
          <w:highlight w:val="red"/>
          <w:lang w:val="de-DE"/>
        </w:rPr>
        <w:t xml:space="preserve"> par </w:t>
      </w:r>
      <w:proofErr w:type="spellStart"/>
      <w:r w:rsidR="007B02D0" w:rsidRPr="007B02D0">
        <w:rPr>
          <w:rFonts w:ascii="Times New Roman" w:hAnsi="Times New Roman" w:cs="Times New Roman"/>
          <w:highlight w:val="red"/>
          <w:lang w:val="de-DE"/>
        </w:rPr>
        <w:t>tādu</w:t>
      </w:r>
      <w:proofErr w:type="spellEnd"/>
      <w:r w:rsidR="007B02D0" w:rsidRPr="007B02D0">
        <w:rPr>
          <w:rFonts w:ascii="Times New Roman" w:hAnsi="Times New Roman" w:cs="Times New Roman"/>
          <w:highlight w:val="red"/>
          <w:lang w:val="de-DE"/>
        </w:rPr>
        <w:t xml:space="preserve"> </w:t>
      </w:r>
      <w:proofErr w:type="spellStart"/>
      <w:r w:rsidR="007B02D0" w:rsidRPr="007B02D0">
        <w:rPr>
          <w:rFonts w:ascii="Times New Roman" w:hAnsi="Times New Roman" w:cs="Times New Roman"/>
          <w:highlight w:val="red"/>
          <w:lang w:val="de-DE"/>
        </w:rPr>
        <w:t>ārvalstu</w:t>
      </w:r>
      <w:proofErr w:type="spellEnd"/>
      <w:r w:rsidR="007B02D0" w:rsidRPr="007B02D0">
        <w:rPr>
          <w:rFonts w:ascii="Times New Roman" w:hAnsi="Times New Roman" w:cs="Times New Roman"/>
          <w:highlight w:val="red"/>
          <w:lang w:val="de-DE"/>
        </w:rPr>
        <w:t xml:space="preserve"> </w:t>
      </w:r>
      <w:proofErr w:type="spellStart"/>
      <w:r w:rsidR="007B02D0" w:rsidRPr="007B02D0">
        <w:rPr>
          <w:rFonts w:ascii="Times New Roman" w:hAnsi="Times New Roman" w:cs="Times New Roman"/>
          <w:highlight w:val="red"/>
          <w:lang w:val="de-DE"/>
        </w:rPr>
        <w:t>pilnvaru</w:t>
      </w:r>
      <w:proofErr w:type="spellEnd"/>
      <w:r w:rsidR="007B02D0" w:rsidRPr="007B02D0">
        <w:rPr>
          <w:rFonts w:ascii="Times New Roman" w:hAnsi="Times New Roman" w:cs="Times New Roman"/>
          <w:highlight w:val="red"/>
          <w:lang w:val="de-DE"/>
        </w:rPr>
        <w:t xml:space="preserve"> </w:t>
      </w:r>
      <w:proofErr w:type="spellStart"/>
      <w:r w:rsidR="007B02D0" w:rsidRPr="007B02D0">
        <w:rPr>
          <w:rFonts w:ascii="Times New Roman" w:hAnsi="Times New Roman" w:cs="Times New Roman"/>
          <w:highlight w:val="red"/>
          <w:lang w:val="de-DE"/>
        </w:rPr>
        <w:t>atzīšanu</w:t>
      </w:r>
      <w:proofErr w:type="spellEnd"/>
      <w:r w:rsidR="007B02D0" w:rsidRPr="007B02D0">
        <w:rPr>
          <w:rFonts w:ascii="Times New Roman" w:hAnsi="Times New Roman" w:cs="Times New Roman"/>
          <w:highlight w:val="red"/>
          <w:lang w:val="de-DE"/>
        </w:rPr>
        <w:t xml:space="preserve"> </w:t>
      </w:r>
      <w:proofErr w:type="spellStart"/>
      <w:r w:rsidR="007B02D0" w:rsidRPr="007B02D0">
        <w:rPr>
          <w:rFonts w:ascii="Times New Roman" w:hAnsi="Times New Roman" w:cs="Times New Roman"/>
          <w:highlight w:val="red"/>
          <w:lang w:val="de-DE"/>
        </w:rPr>
        <w:t>Latvijā</w:t>
      </w:r>
      <w:proofErr w:type="spellEnd"/>
      <w:r w:rsidR="007B02D0" w:rsidRPr="007B02D0">
        <w:rPr>
          <w:rFonts w:ascii="Times New Roman" w:hAnsi="Times New Roman" w:cs="Times New Roman"/>
          <w:highlight w:val="red"/>
          <w:lang w:val="de-DE"/>
        </w:rPr>
        <w:t xml:space="preserve">, par </w:t>
      </w:r>
      <w:proofErr w:type="spellStart"/>
      <w:r w:rsidR="007B02D0" w:rsidRPr="007B02D0">
        <w:rPr>
          <w:rFonts w:ascii="Times New Roman" w:hAnsi="Times New Roman" w:cs="Times New Roman"/>
          <w:highlight w:val="red"/>
          <w:lang w:val="de-DE"/>
        </w:rPr>
        <w:t>kurā</w:t>
      </w:r>
      <w:r w:rsidR="007B02D0">
        <w:rPr>
          <w:rFonts w:ascii="Times New Roman" w:hAnsi="Times New Roman" w:cs="Times New Roman"/>
          <w:highlight w:val="red"/>
          <w:lang w:val="de-DE"/>
        </w:rPr>
        <w:t>m</w:t>
      </w:r>
      <w:proofErr w:type="spellEnd"/>
      <w:r w:rsidR="007B02D0">
        <w:rPr>
          <w:rFonts w:ascii="Times New Roman" w:hAnsi="Times New Roman" w:cs="Times New Roman"/>
          <w:highlight w:val="red"/>
          <w:lang w:val="de-DE"/>
        </w:rPr>
        <w:t xml:space="preserve"> Latvijas </w:t>
      </w:r>
      <w:proofErr w:type="spellStart"/>
      <w:r w:rsidR="007B02D0" w:rsidRPr="007B02D0">
        <w:rPr>
          <w:rFonts w:ascii="Times New Roman" w:hAnsi="Times New Roman" w:cs="Times New Roman"/>
          <w:highlight w:val="red"/>
          <w:lang w:val="de-DE"/>
        </w:rPr>
        <w:t>zvērinātiem</w:t>
      </w:r>
      <w:proofErr w:type="spellEnd"/>
      <w:r w:rsidR="007B02D0" w:rsidRPr="007B02D0">
        <w:rPr>
          <w:rFonts w:ascii="Times New Roman" w:hAnsi="Times New Roman" w:cs="Times New Roman"/>
          <w:highlight w:val="red"/>
          <w:lang w:val="de-DE"/>
        </w:rPr>
        <w:t xml:space="preserve"> </w:t>
      </w:r>
      <w:proofErr w:type="spellStart"/>
      <w:r w:rsidR="007B02D0" w:rsidRPr="007B02D0">
        <w:rPr>
          <w:rFonts w:ascii="Times New Roman" w:hAnsi="Times New Roman" w:cs="Times New Roman"/>
          <w:highlight w:val="red"/>
          <w:lang w:val="de-DE"/>
        </w:rPr>
        <w:t>notāriem</w:t>
      </w:r>
      <w:proofErr w:type="spellEnd"/>
      <w:r w:rsidR="007B02D0" w:rsidRPr="007B02D0">
        <w:rPr>
          <w:rFonts w:ascii="Times New Roman" w:hAnsi="Times New Roman" w:cs="Times New Roman"/>
          <w:highlight w:val="red"/>
          <w:lang w:val="de-DE"/>
        </w:rPr>
        <w:t xml:space="preserve"> </w:t>
      </w:r>
      <w:proofErr w:type="spellStart"/>
      <w:r w:rsidR="007B02D0" w:rsidRPr="007B02D0">
        <w:rPr>
          <w:rFonts w:ascii="Times New Roman" w:hAnsi="Times New Roman" w:cs="Times New Roman"/>
          <w:highlight w:val="red"/>
          <w:lang w:val="de-DE"/>
        </w:rPr>
        <w:t>nav</w:t>
      </w:r>
      <w:proofErr w:type="spellEnd"/>
      <w:r w:rsidR="007B02D0" w:rsidRPr="007B02D0">
        <w:rPr>
          <w:rFonts w:ascii="Times New Roman" w:hAnsi="Times New Roman" w:cs="Times New Roman"/>
          <w:highlight w:val="red"/>
          <w:lang w:val="de-DE"/>
        </w:rPr>
        <w:t xml:space="preserve"> </w:t>
      </w:r>
      <w:proofErr w:type="spellStart"/>
      <w:r w:rsidR="007B02D0" w:rsidRPr="007B02D0">
        <w:rPr>
          <w:rFonts w:ascii="Times New Roman" w:hAnsi="Times New Roman" w:cs="Times New Roman"/>
          <w:highlight w:val="red"/>
          <w:lang w:val="de-DE"/>
        </w:rPr>
        <w:t>pietiekamas</w:t>
      </w:r>
      <w:proofErr w:type="spellEnd"/>
      <w:r w:rsidR="007B02D0" w:rsidRPr="007B02D0">
        <w:rPr>
          <w:rFonts w:ascii="Times New Roman" w:hAnsi="Times New Roman" w:cs="Times New Roman"/>
          <w:highlight w:val="red"/>
          <w:lang w:val="de-DE"/>
        </w:rPr>
        <w:t xml:space="preserve"> </w:t>
      </w:r>
      <w:proofErr w:type="spellStart"/>
      <w:r w:rsidR="007B02D0" w:rsidRPr="007B02D0">
        <w:rPr>
          <w:rFonts w:ascii="Times New Roman" w:hAnsi="Times New Roman" w:cs="Times New Roman"/>
          <w:highlight w:val="red"/>
          <w:lang w:val="de-DE"/>
        </w:rPr>
        <w:t>informācijas</w:t>
      </w:r>
      <w:proofErr w:type="spellEnd"/>
      <w:r w:rsidR="007B02D0" w:rsidRPr="007B02D0">
        <w:rPr>
          <w:rFonts w:ascii="Times New Roman" w:hAnsi="Times New Roman" w:cs="Times New Roman"/>
          <w:highlight w:val="red"/>
          <w:lang w:val="de-DE"/>
        </w:rPr>
        <w:t xml:space="preserve"> par </w:t>
      </w:r>
      <w:proofErr w:type="spellStart"/>
      <w:r w:rsidR="007B02D0" w:rsidRPr="007B02D0">
        <w:rPr>
          <w:rFonts w:ascii="Times New Roman" w:hAnsi="Times New Roman" w:cs="Times New Roman"/>
          <w:highlight w:val="red"/>
          <w:lang w:val="de-DE"/>
        </w:rPr>
        <w:t>to</w:t>
      </w:r>
      <w:proofErr w:type="spellEnd"/>
      <w:r w:rsidR="007B02D0" w:rsidRPr="007B02D0">
        <w:rPr>
          <w:rFonts w:ascii="Times New Roman" w:hAnsi="Times New Roman" w:cs="Times New Roman"/>
          <w:highlight w:val="red"/>
          <w:lang w:val="de-DE"/>
        </w:rPr>
        <w:t xml:space="preserve"> </w:t>
      </w:r>
      <w:proofErr w:type="spellStart"/>
      <w:r w:rsidR="007B02D0" w:rsidRPr="007B02D0">
        <w:rPr>
          <w:rFonts w:ascii="Times New Roman" w:hAnsi="Times New Roman" w:cs="Times New Roman"/>
          <w:highlight w:val="red"/>
          <w:lang w:val="de-DE"/>
        </w:rPr>
        <w:t>ticamību</w:t>
      </w:r>
      <w:proofErr w:type="spellEnd"/>
      <w:r w:rsidR="007B02D0">
        <w:rPr>
          <w:rFonts w:ascii="Times New Roman" w:hAnsi="Times New Roman" w:cs="Times New Roman"/>
          <w:highlight w:val="red"/>
          <w:lang w:val="de-DE"/>
        </w:rPr>
        <w:t xml:space="preserve"> </w:t>
      </w:r>
      <w:proofErr w:type="spellStart"/>
      <w:r w:rsidR="007B02D0">
        <w:rPr>
          <w:rFonts w:ascii="Times New Roman" w:hAnsi="Times New Roman" w:cs="Times New Roman"/>
          <w:highlight w:val="red"/>
          <w:lang w:val="de-DE"/>
        </w:rPr>
        <w:t>un</w:t>
      </w:r>
      <w:proofErr w:type="spellEnd"/>
      <w:r w:rsidR="007B02D0">
        <w:rPr>
          <w:rFonts w:ascii="Times New Roman" w:hAnsi="Times New Roman" w:cs="Times New Roman"/>
          <w:highlight w:val="red"/>
          <w:lang w:val="de-DE"/>
        </w:rPr>
        <w:t xml:space="preserve"> </w:t>
      </w:r>
      <w:proofErr w:type="spellStart"/>
      <w:r w:rsidR="007B02D0">
        <w:rPr>
          <w:rFonts w:ascii="Times New Roman" w:hAnsi="Times New Roman" w:cs="Times New Roman"/>
          <w:highlight w:val="red"/>
          <w:lang w:val="de-DE"/>
        </w:rPr>
        <w:t>ekvivalenci</w:t>
      </w:r>
      <w:proofErr w:type="spellEnd"/>
      <w:r w:rsidR="007B02D0">
        <w:rPr>
          <w:rFonts w:ascii="Times New Roman" w:hAnsi="Times New Roman" w:cs="Times New Roman"/>
          <w:highlight w:val="red"/>
          <w:lang w:val="de-DE"/>
        </w:rPr>
        <w:t xml:space="preserve"> Latvijas </w:t>
      </w:r>
      <w:proofErr w:type="spellStart"/>
      <w:r w:rsidR="007B02D0">
        <w:rPr>
          <w:rFonts w:ascii="Times New Roman" w:hAnsi="Times New Roman" w:cs="Times New Roman"/>
          <w:highlight w:val="red"/>
          <w:lang w:val="de-DE"/>
        </w:rPr>
        <w:t>notāru</w:t>
      </w:r>
      <w:proofErr w:type="spellEnd"/>
      <w:r w:rsidR="007B02D0">
        <w:rPr>
          <w:rFonts w:ascii="Times New Roman" w:hAnsi="Times New Roman" w:cs="Times New Roman"/>
          <w:highlight w:val="red"/>
          <w:lang w:val="de-DE"/>
        </w:rPr>
        <w:t xml:space="preserve"> </w:t>
      </w:r>
      <w:proofErr w:type="spellStart"/>
      <w:r w:rsidR="007B02D0">
        <w:rPr>
          <w:rFonts w:ascii="Times New Roman" w:hAnsi="Times New Roman" w:cs="Times New Roman"/>
          <w:highlight w:val="red"/>
          <w:lang w:val="de-DE"/>
        </w:rPr>
        <w:t>izdotajām</w:t>
      </w:r>
      <w:proofErr w:type="spellEnd"/>
      <w:r w:rsidR="007B02D0">
        <w:rPr>
          <w:rFonts w:ascii="Times New Roman" w:hAnsi="Times New Roman" w:cs="Times New Roman"/>
          <w:highlight w:val="red"/>
          <w:lang w:val="de-DE"/>
        </w:rPr>
        <w:t xml:space="preserve"> </w:t>
      </w:r>
      <w:proofErr w:type="spellStart"/>
      <w:r w:rsidR="007B02D0">
        <w:rPr>
          <w:rFonts w:ascii="Times New Roman" w:hAnsi="Times New Roman" w:cs="Times New Roman"/>
          <w:highlight w:val="red"/>
          <w:lang w:val="de-DE"/>
        </w:rPr>
        <w:t>pilnvarām</w:t>
      </w:r>
      <w:proofErr w:type="spellEnd"/>
      <w:r w:rsidR="007B02D0" w:rsidRPr="007B02D0">
        <w:rPr>
          <w:rFonts w:ascii="Times New Roman" w:hAnsi="Times New Roman" w:cs="Times New Roman"/>
          <w:highlight w:val="red"/>
          <w:lang w:val="de-DE"/>
        </w:rPr>
        <w:t>.</w:t>
      </w:r>
    </w:p>
    <w:p w14:paraId="66D77E63" w14:textId="77777777" w:rsidR="00114953" w:rsidRPr="00CD4311" w:rsidRDefault="00114953" w:rsidP="00114953">
      <w:pPr>
        <w:jc w:val="both"/>
        <w:rPr>
          <w:rFonts w:ascii="Times New Roman" w:hAnsi="Times New Roman" w:cs="Times New Roman"/>
          <w:lang w:val="de-DE"/>
        </w:rPr>
      </w:pPr>
    </w:p>
    <w:p w14:paraId="74188E01" w14:textId="372DF2CF" w:rsidR="00114953" w:rsidRDefault="00114953" w:rsidP="00114953">
      <w:pPr>
        <w:jc w:val="both"/>
        <w:rPr>
          <w:rFonts w:ascii="Times New Roman" w:hAnsi="Times New Roman" w:cs="Times New Roman"/>
          <w:lang w:val="lv-LV"/>
        </w:rPr>
      </w:pPr>
      <w:r w:rsidRPr="00CD4311">
        <w:rPr>
          <w:rFonts w:ascii="Times New Roman" w:hAnsi="Times New Roman" w:cs="Times New Roman"/>
          <w:lang w:val="lv-LV"/>
        </w:rPr>
        <w:t>7.</w:t>
      </w:r>
      <w:r w:rsidR="00F409A4">
        <w:rPr>
          <w:rFonts w:ascii="Times New Roman" w:hAnsi="Times New Roman" w:cs="Times New Roman"/>
          <w:lang w:val="lv-LV"/>
        </w:rPr>
        <w:t xml:space="preserve"> </w:t>
      </w:r>
      <w:r w:rsidRPr="00CD4311">
        <w:rPr>
          <w:rFonts w:ascii="Times New Roman" w:hAnsi="Times New Roman" w:cs="Times New Roman"/>
          <w:lang w:val="lv-LV"/>
        </w:rPr>
        <w:t>Būtu ap</w:t>
      </w:r>
      <w:r w:rsidR="007B02D0">
        <w:rPr>
          <w:rFonts w:ascii="Times New Roman" w:hAnsi="Times New Roman" w:cs="Times New Roman"/>
          <w:lang w:val="lv-LV"/>
        </w:rPr>
        <w:t>sverama ideja</w:t>
      </w:r>
      <w:r w:rsidRPr="00CD4311">
        <w:rPr>
          <w:rFonts w:ascii="Times New Roman" w:hAnsi="Times New Roman" w:cs="Times New Roman"/>
          <w:lang w:val="lv-LV"/>
        </w:rPr>
        <w:t xml:space="preserve"> attiecībā uz Latīņu tipa notariāta valstīm izmantot iespēju Starptautiskās Latīņu notariāta savienības mājas lapā izstrādāt un izvietot </w:t>
      </w:r>
      <w:proofErr w:type="spellStart"/>
      <w:r w:rsidRPr="00CD4311">
        <w:rPr>
          <w:rFonts w:ascii="Times New Roman" w:hAnsi="Times New Roman" w:cs="Times New Roman"/>
          <w:lang w:val="lv-LV"/>
        </w:rPr>
        <w:t>divvalodu</w:t>
      </w:r>
      <w:proofErr w:type="spellEnd"/>
      <w:r w:rsidRPr="00CD4311">
        <w:rPr>
          <w:rFonts w:ascii="Times New Roman" w:hAnsi="Times New Roman" w:cs="Times New Roman"/>
          <w:lang w:val="lv-LV"/>
        </w:rPr>
        <w:t xml:space="preserve"> pilnvaru formas, kas atbilst notariālā akta prasībām. Tādējādi ārvalstu Latīņu tipa notāri varētu šīs jau </w:t>
      </w:r>
      <w:r w:rsidRPr="00CD4311">
        <w:rPr>
          <w:rFonts w:ascii="Times New Roman" w:hAnsi="Times New Roman" w:cs="Times New Roman"/>
          <w:lang w:val="lv-LV"/>
        </w:rPr>
        <w:lastRenderedPageBreak/>
        <w:t xml:space="preserve">gatavās pilnvaru formas attiecīgi apliecināt, izdarot nepieciešamās darbības. Tas aiztaupītu arī pilnvaru tulkošanas izmaksas. Francijas notariāts šādu praksi veic attiecībā uz </w:t>
      </w:r>
      <w:proofErr w:type="spellStart"/>
      <w:r w:rsidRPr="00CD4311">
        <w:rPr>
          <w:rFonts w:ascii="Times New Roman" w:hAnsi="Times New Roman" w:cs="Times New Roman"/>
          <w:lang w:val="lv-LV"/>
        </w:rPr>
        <w:t>divvalodu</w:t>
      </w:r>
      <w:proofErr w:type="spellEnd"/>
      <w:r w:rsidR="00F409A4">
        <w:rPr>
          <w:rFonts w:ascii="Times New Roman" w:hAnsi="Times New Roman" w:cs="Times New Roman"/>
          <w:lang w:val="lv-LV"/>
        </w:rPr>
        <w:t xml:space="preserve"> (franču-angļu)</w:t>
      </w:r>
      <w:r w:rsidRPr="00CD4311">
        <w:rPr>
          <w:rFonts w:ascii="Times New Roman" w:hAnsi="Times New Roman" w:cs="Times New Roman"/>
          <w:lang w:val="lv-LV"/>
        </w:rPr>
        <w:t xml:space="preserve"> pilnvaru formām.</w:t>
      </w:r>
      <w:r w:rsidRPr="00CD4311">
        <w:rPr>
          <w:rStyle w:val="FootnoteReference"/>
          <w:rFonts w:ascii="Times New Roman" w:hAnsi="Times New Roman" w:cs="Times New Roman"/>
          <w:lang w:val="lv-LV"/>
        </w:rPr>
        <w:footnoteReference w:id="184"/>
      </w:r>
    </w:p>
    <w:p w14:paraId="0E55B69F" w14:textId="77777777" w:rsidR="00603127" w:rsidRDefault="00603127" w:rsidP="00114953">
      <w:pPr>
        <w:jc w:val="both"/>
        <w:rPr>
          <w:rFonts w:ascii="Times New Roman" w:hAnsi="Times New Roman" w:cs="Times New Roman"/>
          <w:lang w:val="lv-LV"/>
        </w:rPr>
      </w:pPr>
    </w:p>
    <w:p w14:paraId="0DE21F36" w14:textId="16D7C40F" w:rsidR="00603127" w:rsidRPr="00C761DB" w:rsidRDefault="00603127" w:rsidP="00114953">
      <w:pPr>
        <w:jc w:val="both"/>
        <w:rPr>
          <w:rFonts w:ascii="Times New Roman" w:hAnsi="Times New Roman" w:cs="Times New Roman"/>
          <w:lang w:val="lv-LV"/>
        </w:rPr>
      </w:pPr>
      <w:r w:rsidRPr="00C761DB">
        <w:rPr>
          <w:rFonts w:ascii="Times New Roman" w:hAnsi="Times New Roman" w:cs="Times New Roman"/>
          <w:lang w:val="lv-LV"/>
        </w:rPr>
        <w:t xml:space="preserve">8. Notāru </w:t>
      </w:r>
      <w:proofErr w:type="spellStart"/>
      <w:r w:rsidRPr="00C761DB">
        <w:rPr>
          <w:rFonts w:ascii="Times New Roman" w:hAnsi="Times New Roman" w:cs="Times New Roman"/>
          <w:lang w:val="lv-LV"/>
        </w:rPr>
        <w:t>prakstiskā</w:t>
      </w:r>
      <w:proofErr w:type="spellEnd"/>
      <w:r w:rsidRPr="00C761DB">
        <w:rPr>
          <w:rFonts w:ascii="Times New Roman" w:hAnsi="Times New Roman" w:cs="Times New Roman"/>
          <w:lang w:val="lv-LV"/>
        </w:rPr>
        <w:t xml:space="preserve"> darba vajadzībām būtu nepieciešams izstrādāt metodoloģiju </w:t>
      </w:r>
      <w:r w:rsidRPr="00C761DB">
        <w:rPr>
          <w:rFonts w:ascii="Times New Roman" w:hAnsi="Times New Roman" w:cs="Times New Roman"/>
          <w:b/>
          <w:lang w:val="lv-LV"/>
        </w:rPr>
        <w:t>ekvivalences teorijas</w:t>
      </w:r>
      <w:r w:rsidRPr="00C761DB">
        <w:rPr>
          <w:rFonts w:ascii="Times New Roman" w:hAnsi="Times New Roman" w:cs="Times New Roman"/>
          <w:lang w:val="lv-LV"/>
        </w:rPr>
        <w:t xml:space="preserve"> piemērošanai ārvalstu publiskajiem dokumentiem (jo īpaši – pilnvarām).</w:t>
      </w:r>
    </w:p>
    <w:p w14:paraId="7BAB63D2" w14:textId="77777777" w:rsidR="00114953" w:rsidRPr="00C761DB" w:rsidRDefault="00114953" w:rsidP="00114953">
      <w:pPr>
        <w:jc w:val="both"/>
        <w:rPr>
          <w:rFonts w:ascii="Times New Roman" w:hAnsi="Times New Roman" w:cs="Times New Roman"/>
          <w:lang w:val="lv-LV"/>
        </w:rPr>
      </w:pPr>
    </w:p>
    <w:p w14:paraId="79217196" w14:textId="77777777" w:rsidR="00114953" w:rsidRPr="00C761DB" w:rsidRDefault="00114953" w:rsidP="00114953">
      <w:pPr>
        <w:jc w:val="both"/>
        <w:rPr>
          <w:rFonts w:ascii="Times New Roman" w:hAnsi="Times New Roman" w:cs="Times New Roman"/>
          <w:lang w:val="lv-LV"/>
        </w:rPr>
      </w:pPr>
    </w:p>
    <w:p w14:paraId="130F82E7" w14:textId="77777777" w:rsidR="00114953" w:rsidRPr="00C761DB" w:rsidRDefault="00114953" w:rsidP="00114953">
      <w:pPr>
        <w:jc w:val="both"/>
        <w:rPr>
          <w:rFonts w:ascii="Times New Roman" w:hAnsi="Times New Roman" w:cs="Times New Roman"/>
          <w:lang w:val="lv-LV"/>
        </w:rPr>
      </w:pPr>
    </w:p>
    <w:p w14:paraId="551D91B0" w14:textId="77777777" w:rsidR="00114953" w:rsidRPr="00C761DB" w:rsidRDefault="00114953" w:rsidP="00114953">
      <w:pPr>
        <w:jc w:val="both"/>
        <w:rPr>
          <w:rFonts w:ascii="Times New Roman" w:hAnsi="Times New Roman" w:cs="Times New Roman"/>
          <w:lang w:val="lv-LV"/>
        </w:rPr>
      </w:pPr>
    </w:p>
    <w:p w14:paraId="6A6AE87F" w14:textId="77777777" w:rsidR="00114953" w:rsidRPr="00C761DB" w:rsidRDefault="00114953" w:rsidP="00114953">
      <w:pPr>
        <w:jc w:val="both"/>
        <w:rPr>
          <w:rFonts w:ascii="Times New Roman" w:hAnsi="Times New Roman" w:cs="Times New Roman"/>
          <w:lang w:val="lv-LV"/>
        </w:rPr>
      </w:pPr>
      <w:r w:rsidRPr="00C761DB">
        <w:rPr>
          <w:rFonts w:ascii="Times New Roman" w:hAnsi="Times New Roman" w:cs="Times New Roman"/>
          <w:i/>
          <w:lang w:val="lv-LV"/>
        </w:rPr>
        <w:t xml:space="preserve">Dr.iur. </w:t>
      </w:r>
      <w:r w:rsidRPr="00C761DB">
        <w:rPr>
          <w:rFonts w:ascii="Times New Roman" w:hAnsi="Times New Roman" w:cs="Times New Roman"/>
          <w:lang w:val="lv-LV"/>
        </w:rPr>
        <w:t xml:space="preserve">Baiba </w:t>
      </w:r>
      <w:proofErr w:type="spellStart"/>
      <w:r w:rsidRPr="00C761DB">
        <w:rPr>
          <w:rFonts w:ascii="Times New Roman" w:hAnsi="Times New Roman" w:cs="Times New Roman"/>
          <w:lang w:val="lv-LV"/>
        </w:rPr>
        <w:t>Rudevska</w:t>
      </w:r>
      <w:proofErr w:type="spellEnd"/>
      <w:r w:rsidRPr="00C761DB">
        <w:rPr>
          <w:rFonts w:ascii="Times New Roman" w:hAnsi="Times New Roman" w:cs="Times New Roman"/>
          <w:lang w:val="lv-LV"/>
        </w:rPr>
        <w:t>: __________________________</w:t>
      </w:r>
    </w:p>
    <w:p w14:paraId="22664EFE" w14:textId="77777777" w:rsidR="00114953" w:rsidRPr="00C761DB" w:rsidRDefault="00114953" w:rsidP="00114953">
      <w:pPr>
        <w:jc w:val="both"/>
        <w:rPr>
          <w:rFonts w:ascii="Times New Roman" w:hAnsi="Times New Roman" w:cs="Times New Roman"/>
          <w:lang w:val="lv-LV"/>
        </w:rPr>
      </w:pPr>
    </w:p>
    <w:p w14:paraId="49F12D9B" w14:textId="77777777" w:rsidR="00114953" w:rsidRPr="00C761DB" w:rsidRDefault="00114953" w:rsidP="00114953">
      <w:pPr>
        <w:jc w:val="both"/>
        <w:rPr>
          <w:rFonts w:ascii="Times New Roman" w:hAnsi="Times New Roman" w:cs="Times New Roman"/>
          <w:lang w:val="lv-LV"/>
        </w:rPr>
      </w:pPr>
    </w:p>
    <w:p w14:paraId="488DE7A0" w14:textId="77777777" w:rsidR="007B02D0" w:rsidRPr="00C761DB" w:rsidRDefault="0063246F" w:rsidP="00114953">
      <w:pPr>
        <w:jc w:val="both"/>
        <w:rPr>
          <w:rFonts w:ascii="Times New Roman" w:hAnsi="Times New Roman" w:cs="Times New Roman"/>
          <w:lang w:val="lv-LV"/>
        </w:rPr>
      </w:pPr>
      <w:r w:rsidRPr="00C761DB">
        <w:rPr>
          <w:rFonts w:ascii="Times New Roman" w:hAnsi="Times New Roman" w:cs="Times New Roman"/>
          <w:lang w:val="lv-LV"/>
        </w:rPr>
        <w:t>2017.gada 4</w:t>
      </w:r>
      <w:r w:rsidR="00ED3A4D" w:rsidRPr="00C761DB">
        <w:rPr>
          <w:rFonts w:ascii="Times New Roman" w:hAnsi="Times New Roman" w:cs="Times New Roman"/>
          <w:lang w:val="lv-LV"/>
        </w:rPr>
        <w:t>.augustā</w:t>
      </w:r>
      <w:r w:rsidR="00114953" w:rsidRPr="00C761DB">
        <w:rPr>
          <w:rFonts w:ascii="Times New Roman" w:hAnsi="Times New Roman" w:cs="Times New Roman"/>
          <w:lang w:val="lv-LV"/>
        </w:rPr>
        <w:t xml:space="preserve">, </w:t>
      </w:r>
      <w:proofErr w:type="spellStart"/>
      <w:r w:rsidR="00114953" w:rsidRPr="00C761DB">
        <w:rPr>
          <w:rFonts w:ascii="Times New Roman" w:hAnsi="Times New Roman" w:cs="Times New Roman"/>
          <w:lang w:val="lv-LV"/>
        </w:rPr>
        <w:t>Kēlē</w:t>
      </w:r>
      <w:proofErr w:type="spellEnd"/>
      <w:r w:rsidR="00114953" w:rsidRPr="00C761DB">
        <w:rPr>
          <w:rFonts w:ascii="Times New Roman" w:hAnsi="Times New Roman" w:cs="Times New Roman"/>
          <w:lang w:val="lv-LV"/>
        </w:rPr>
        <w:t xml:space="preserve"> (Vācija)</w:t>
      </w:r>
      <w:r w:rsidR="007B02D0" w:rsidRPr="00C761DB">
        <w:rPr>
          <w:rFonts w:ascii="Times New Roman" w:hAnsi="Times New Roman" w:cs="Times New Roman"/>
          <w:lang w:val="lv-LV"/>
        </w:rPr>
        <w:t xml:space="preserve">, </w:t>
      </w:r>
    </w:p>
    <w:p w14:paraId="446F6A27" w14:textId="784AE850" w:rsidR="00114953" w:rsidRPr="000C7C76" w:rsidRDefault="007B02D0" w:rsidP="00114953">
      <w:pPr>
        <w:jc w:val="both"/>
        <w:rPr>
          <w:rFonts w:ascii="Times New Roman" w:hAnsi="Times New Roman" w:cs="Times New Roman"/>
          <w:lang w:val="lv-LV"/>
        </w:rPr>
      </w:pPr>
      <w:r w:rsidRPr="00C761DB">
        <w:rPr>
          <w:rFonts w:ascii="Times New Roman" w:hAnsi="Times New Roman" w:cs="Times New Roman"/>
          <w:lang w:val="lv-LV"/>
        </w:rPr>
        <w:t xml:space="preserve">ar </w:t>
      </w:r>
      <w:r w:rsidR="00603127" w:rsidRPr="00C761DB">
        <w:rPr>
          <w:rFonts w:ascii="Times New Roman" w:hAnsi="Times New Roman" w:cs="Times New Roman"/>
          <w:lang w:val="lv-LV"/>
        </w:rPr>
        <w:t xml:space="preserve">ieteikumu </w:t>
      </w:r>
      <w:r w:rsidRPr="00C761DB">
        <w:rPr>
          <w:rFonts w:ascii="Times New Roman" w:hAnsi="Times New Roman" w:cs="Times New Roman"/>
          <w:lang w:val="lv-LV"/>
        </w:rPr>
        <w:t>papildinājumiem, kas izdarīti pēc 2017.gada 24.augusta sanāksmes</w:t>
      </w:r>
      <w:r w:rsidR="00114953" w:rsidRPr="00C761DB">
        <w:rPr>
          <w:rFonts w:ascii="Times New Roman" w:hAnsi="Times New Roman" w:cs="Times New Roman"/>
          <w:lang w:val="lv-LV"/>
        </w:rPr>
        <w:t>.</w:t>
      </w:r>
    </w:p>
    <w:p w14:paraId="014821A7" w14:textId="77777777" w:rsidR="0005036E" w:rsidRDefault="0005036E">
      <w:pPr>
        <w:rPr>
          <w:lang w:val="lv-LV"/>
        </w:rPr>
      </w:pPr>
    </w:p>
    <w:p w14:paraId="007CFA00" w14:textId="77777777" w:rsidR="00C761DB" w:rsidRDefault="00C761DB">
      <w:pPr>
        <w:rPr>
          <w:lang w:val="lv-LV"/>
        </w:rPr>
      </w:pPr>
    </w:p>
    <w:p w14:paraId="7CFAD6C2" w14:textId="3E0DD314" w:rsidR="00C761DB" w:rsidRDefault="00C761DB">
      <w:pPr>
        <w:rPr>
          <w:lang w:val="lv-LV"/>
        </w:rPr>
      </w:pPr>
      <w:r>
        <w:rPr>
          <w:lang w:val="lv-LV"/>
        </w:rPr>
        <w:br w:type="page"/>
      </w:r>
    </w:p>
    <w:p w14:paraId="0E56E14F" w14:textId="77777777" w:rsidR="00C761DB" w:rsidRPr="00AC29FE" w:rsidRDefault="00C761DB" w:rsidP="00C761DB">
      <w:pPr>
        <w:rPr>
          <w:rFonts w:ascii="Times New Roman" w:hAnsi="Times New Roman" w:cs="Times New Roman"/>
          <w:i/>
          <w:sz w:val="22"/>
          <w:szCs w:val="22"/>
          <w:lang w:val="de-DE"/>
        </w:rPr>
      </w:pPr>
      <w:proofErr w:type="spellStart"/>
      <w:r w:rsidRPr="00AC29FE">
        <w:rPr>
          <w:rFonts w:ascii="Times New Roman" w:hAnsi="Times New Roman" w:cs="Times New Roman"/>
          <w:i/>
          <w:sz w:val="22"/>
          <w:szCs w:val="22"/>
          <w:lang w:val="de-DE"/>
        </w:rPr>
        <w:lastRenderedPageBreak/>
        <w:t>Pielikums</w:t>
      </w:r>
      <w:proofErr w:type="spellEnd"/>
      <w:r w:rsidRPr="00AC29FE">
        <w:rPr>
          <w:rFonts w:ascii="Times New Roman" w:hAnsi="Times New Roman" w:cs="Times New Roman"/>
          <w:i/>
          <w:sz w:val="22"/>
          <w:szCs w:val="22"/>
          <w:lang w:val="de-DE"/>
        </w:rPr>
        <w:t xml:space="preserve"> Nr. 1 </w:t>
      </w:r>
      <w:proofErr w:type="spellStart"/>
      <w:r w:rsidRPr="00AC29FE">
        <w:rPr>
          <w:rFonts w:ascii="Times New Roman" w:hAnsi="Times New Roman" w:cs="Times New Roman"/>
          <w:i/>
          <w:sz w:val="22"/>
          <w:szCs w:val="22"/>
          <w:lang w:val="de-DE"/>
        </w:rPr>
        <w:t>pētījumam</w:t>
      </w:r>
      <w:proofErr w:type="spellEnd"/>
      <w:r w:rsidRPr="00AC29FE">
        <w:rPr>
          <w:rFonts w:ascii="Times New Roman" w:hAnsi="Times New Roman" w:cs="Times New Roman"/>
          <w:i/>
          <w:sz w:val="22"/>
          <w:szCs w:val="22"/>
          <w:lang w:val="de-DE"/>
        </w:rPr>
        <w:t xml:space="preserve"> </w:t>
      </w:r>
      <w:r>
        <w:rPr>
          <w:rFonts w:ascii="Times New Roman" w:hAnsi="Times New Roman" w:cs="Times New Roman"/>
          <w:i/>
          <w:sz w:val="22"/>
          <w:szCs w:val="22"/>
          <w:lang w:val="de-DE"/>
        </w:rPr>
        <w:t>„</w:t>
      </w:r>
      <w:r w:rsidRPr="00AC29FE">
        <w:rPr>
          <w:rFonts w:ascii="Times New Roman" w:hAnsi="Times New Roman" w:cs="Times New Roman"/>
          <w:i/>
          <w:sz w:val="22"/>
          <w:szCs w:val="22"/>
          <w:lang w:val="de-DE"/>
        </w:rPr>
        <w:t xml:space="preserve">Par </w:t>
      </w:r>
      <w:proofErr w:type="spellStart"/>
      <w:r w:rsidRPr="00AC29FE">
        <w:rPr>
          <w:rFonts w:ascii="Times New Roman" w:hAnsi="Times New Roman" w:cs="Times New Roman"/>
          <w:i/>
          <w:sz w:val="22"/>
          <w:szCs w:val="22"/>
          <w:lang w:val="de-DE"/>
        </w:rPr>
        <w:t>atsevišķu</w:t>
      </w:r>
      <w:proofErr w:type="spellEnd"/>
      <w:r w:rsidRPr="00AC29FE">
        <w:rPr>
          <w:rFonts w:ascii="Times New Roman" w:hAnsi="Times New Roman" w:cs="Times New Roman"/>
          <w:i/>
          <w:sz w:val="22"/>
          <w:szCs w:val="22"/>
          <w:lang w:val="de-DE"/>
        </w:rPr>
        <w:t xml:space="preserve"> </w:t>
      </w:r>
      <w:proofErr w:type="spellStart"/>
      <w:r w:rsidRPr="00AC29FE">
        <w:rPr>
          <w:rFonts w:ascii="Times New Roman" w:hAnsi="Times New Roman" w:cs="Times New Roman"/>
          <w:i/>
          <w:sz w:val="22"/>
          <w:szCs w:val="22"/>
          <w:lang w:val="de-DE"/>
        </w:rPr>
        <w:t>dokumentu</w:t>
      </w:r>
      <w:proofErr w:type="spellEnd"/>
      <w:r w:rsidRPr="00AC29FE">
        <w:rPr>
          <w:rFonts w:ascii="Times New Roman" w:hAnsi="Times New Roman" w:cs="Times New Roman"/>
          <w:i/>
          <w:sz w:val="22"/>
          <w:szCs w:val="22"/>
          <w:lang w:val="de-DE"/>
        </w:rPr>
        <w:t xml:space="preserve"> </w:t>
      </w:r>
      <w:proofErr w:type="spellStart"/>
      <w:r w:rsidRPr="00AC29FE">
        <w:rPr>
          <w:rFonts w:ascii="Times New Roman" w:hAnsi="Times New Roman" w:cs="Times New Roman"/>
          <w:i/>
          <w:sz w:val="22"/>
          <w:szCs w:val="22"/>
          <w:lang w:val="de-DE"/>
        </w:rPr>
        <w:t>veidiem</w:t>
      </w:r>
      <w:proofErr w:type="spellEnd"/>
    </w:p>
    <w:p w14:paraId="360E5470" w14:textId="77777777" w:rsidR="00C761DB" w:rsidRPr="00AC29FE" w:rsidRDefault="00C761DB" w:rsidP="00C761DB">
      <w:pPr>
        <w:rPr>
          <w:sz w:val="22"/>
          <w:szCs w:val="22"/>
          <w:lang w:val="de-DE"/>
        </w:rPr>
      </w:pPr>
      <w:proofErr w:type="spellStart"/>
      <w:r>
        <w:rPr>
          <w:rFonts w:ascii="Times New Roman" w:hAnsi="Times New Roman" w:cs="Times New Roman"/>
          <w:i/>
          <w:sz w:val="22"/>
          <w:szCs w:val="22"/>
          <w:lang w:val="de-DE"/>
        </w:rPr>
        <w:t>n</w:t>
      </w:r>
      <w:r w:rsidRPr="00AC29FE">
        <w:rPr>
          <w:rFonts w:ascii="Times New Roman" w:hAnsi="Times New Roman" w:cs="Times New Roman"/>
          <w:i/>
          <w:sz w:val="22"/>
          <w:szCs w:val="22"/>
          <w:lang w:val="de-DE"/>
        </w:rPr>
        <w:t>otāru</w:t>
      </w:r>
      <w:proofErr w:type="spellEnd"/>
      <w:r w:rsidRPr="00AC29FE">
        <w:rPr>
          <w:rFonts w:ascii="Times New Roman" w:hAnsi="Times New Roman" w:cs="Times New Roman"/>
          <w:i/>
          <w:sz w:val="22"/>
          <w:szCs w:val="22"/>
          <w:lang w:val="de-DE"/>
        </w:rPr>
        <w:t xml:space="preserve"> </w:t>
      </w:r>
      <w:proofErr w:type="spellStart"/>
      <w:r w:rsidRPr="00AC29FE">
        <w:rPr>
          <w:rFonts w:ascii="Times New Roman" w:hAnsi="Times New Roman" w:cs="Times New Roman"/>
          <w:i/>
          <w:sz w:val="22"/>
          <w:szCs w:val="22"/>
          <w:lang w:val="de-DE"/>
        </w:rPr>
        <w:t>darbā</w:t>
      </w:r>
      <w:proofErr w:type="spellEnd"/>
      <w:r w:rsidRPr="00AC29FE">
        <w:rPr>
          <w:rFonts w:ascii="Times New Roman" w:hAnsi="Times New Roman" w:cs="Times New Roman"/>
          <w:i/>
          <w:sz w:val="22"/>
          <w:szCs w:val="22"/>
          <w:lang w:val="de-DE"/>
        </w:rPr>
        <w:t xml:space="preserve"> </w:t>
      </w:r>
      <w:proofErr w:type="spellStart"/>
      <w:r w:rsidRPr="00AC29FE">
        <w:rPr>
          <w:rFonts w:ascii="Times New Roman" w:hAnsi="Times New Roman" w:cs="Times New Roman"/>
          <w:i/>
          <w:sz w:val="22"/>
          <w:szCs w:val="22"/>
          <w:lang w:val="de-DE"/>
        </w:rPr>
        <w:t>starptautisko</w:t>
      </w:r>
      <w:proofErr w:type="spellEnd"/>
      <w:r w:rsidRPr="00AC29FE">
        <w:rPr>
          <w:rFonts w:ascii="Times New Roman" w:hAnsi="Times New Roman" w:cs="Times New Roman"/>
          <w:i/>
          <w:sz w:val="22"/>
          <w:szCs w:val="22"/>
          <w:lang w:val="de-DE"/>
        </w:rPr>
        <w:t xml:space="preserve"> </w:t>
      </w:r>
      <w:proofErr w:type="spellStart"/>
      <w:r w:rsidRPr="00AC29FE">
        <w:rPr>
          <w:rFonts w:ascii="Times New Roman" w:hAnsi="Times New Roman" w:cs="Times New Roman"/>
          <w:i/>
          <w:sz w:val="22"/>
          <w:szCs w:val="22"/>
          <w:lang w:val="de-DE"/>
        </w:rPr>
        <w:t>privāttiesību</w:t>
      </w:r>
      <w:proofErr w:type="spellEnd"/>
      <w:r w:rsidRPr="00AC29FE">
        <w:rPr>
          <w:rFonts w:ascii="Times New Roman" w:hAnsi="Times New Roman" w:cs="Times New Roman"/>
          <w:i/>
          <w:sz w:val="22"/>
          <w:szCs w:val="22"/>
          <w:lang w:val="de-DE"/>
        </w:rPr>
        <w:t xml:space="preserve"> </w:t>
      </w:r>
      <w:proofErr w:type="spellStart"/>
      <w:r w:rsidRPr="00AC29FE">
        <w:rPr>
          <w:rFonts w:ascii="Times New Roman" w:hAnsi="Times New Roman" w:cs="Times New Roman"/>
          <w:i/>
          <w:sz w:val="22"/>
          <w:szCs w:val="22"/>
          <w:lang w:val="de-DE"/>
        </w:rPr>
        <w:t>kontekstā</w:t>
      </w:r>
      <w:proofErr w:type="spellEnd"/>
      <w:r>
        <w:rPr>
          <w:rFonts w:ascii="Times New Roman" w:hAnsi="Times New Roman" w:cs="Times New Roman"/>
          <w:i/>
          <w:sz w:val="22"/>
          <w:szCs w:val="22"/>
          <w:lang w:val="de-DE"/>
        </w:rPr>
        <w:t>“</w:t>
      </w:r>
    </w:p>
    <w:p w14:paraId="5ECA2421" w14:textId="77777777" w:rsidR="00C761DB" w:rsidRDefault="00C761DB" w:rsidP="00C761DB"/>
    <w:p w14:paraId="0BD8DEDB" w14:textId="77777777" w:rsidR="00C761DB" w:rsidRDefault="00C761DB" w:rsidP="00C761DB"/>
    <w:tbl>
      <w:tblPr>
        <w:tblStyle w:val="TableGrid"/>
        <w:tblW w:w="10456" w:type="dxa"/>
        <w:tblLook w:val="04A0" w:firstRow="1" w:lastRow="0" w:firstColumn="1" w:lastColumn="0" w:noHBand="0" w:noVBand="1"/>
      </w:tblPr>
      <w:tblGrid>
        <w:gridCol w:w="1670"/>
        <w:gridCol w:w="2549"/>
        <w:gridCol w:w="2835"/>
        <w:gridCol w:w="3402"/>
      </w:tblGrid>
      <w:tr w:rsidR="00C761DB" w:rsidRPr="00C6325C" w14:paraId="4123281B" w14:textId="77777777" w:rsidTr="00F574AC">
        <w:tc>
          <w:tcPr>
            <w:tcW w:w="10456" w:type="dxa"/>
            <w:gridSpan w:val="4"/>
          </w:tcPr>
          <w:p w14:paraId="19EA3B5F" w14:textId="77777777" w:rsidR="00C761DB" w:rsidRPr="00B07DAE" w:rsidRDefault="00C761DB" w:rsidP="00F574AC">
            <w:pPr>
              <w:jc w:val="center"/>
              <w:rPr>
                <w:b/>
                <w:bCs/>
                <w:color w:val="FF0000"/>
                <w:lang w:val="lv-LV"/>
              </w:rPr>
            </w:pPr>
            <w:r w:rsidRPr="00B07DAE">
              <w:rPr>
                <w:b/>
                <w:bCs/>
                <w:color w:val="FF0000"/>
                <w:lang w:val="lv-LV"/>
              </w:rPr>
              <w:t>Pilnvarojuma līgums / pilnvara / galvenais darījums SPT kontekstā</w:t>
            </w:r>
          </w:p>
          <w:p w14:paraId="49F46DC0" w14:textId="77777777" w:rsidR="00C761DB" w:rsidRPr="00B07DAE" w:rsidRDefault="00C761DB" w:rsidP="00F574AC">
            <w:pPr>
              <w:jc w:val="center"/>
              <w:rPr>
                <w:b/>
                <w:bCs/>
                <w:lang w:val="lv-LV"/>
              </w:rPr>
            </w:pPr>
          </w:p>
        </w:tc>
      </w:tr>
      <w:tr w:rsidR="00C761DB" w:rsidRPr="00C6325C" w14:paraId="1E288438" w14:textId="77777777" w:rsidTr="00F574AC">
        <w:trPr>
          <w:trHeight w:val="601"/>
        </w:trPr>
        <w:tc>
          <w:tcPr>
            <w:tcW w:w="1670" w:type="dxa"/>
          </w:tcPr>
          <w:p w14:paraId="7CC666FA" w14:textId="77777777" w:rsidR="00C761DB" w:rsidRPr="00C6325C" w:rsidRDefault="00C761DB" w:rsidP="00F574AC">
            <w:pPr>
              <w:jc w:val="center"/>
              <w:rPr>
                <w:b/>
                <w:bCs/>
                <w:lang w:val="lv-LV"/>
              </w:rPr>
            </w:pPr>
          </w:p>
        </w:tc>
        <w:tc>
          <w:tcPr>
            <w:tcW w:w="2549" w:type="dxa"/>
            <w:vAlign w:val="center"/>
          </w:tcPr>
          <w:p w14:paraId="6269767C" w14:textId="77777777" w:rsidR="00C761DB" w:rsidRPr="00B07DAE" w:rsidRDefault="00C761DB" w:rsidP="00F574AC">
            <w:pPr>
              <w:jc w:val="center"/>
              <w:rPr>
                <w:b/>
                <w:bCs/>
                <w:lang w:val="lv-LV"/>
              </w:rPr>
            </w:pPr>
            <w:r w:rsidRPr="00B07DAE">
              <w:rPr>
                <w:b/>
                <w:bCs/>
                <w:lang w:val="lv-LV"/>
              </w:rPr>
              <w:t>Pilnvarojuma līgums</w:t>
            </w:r>
          </w:p>
        </w:tc>
        <w:tc>
          <w:tcPr>
            <w:tcW w:w="2835" w:type="dxa"/>
            <w:vAlign w:val="center"/>
          </w:tcPr>
          <w:p w14:paraId="02F36205" w14:textId="77777777" w:rsidR="00C761DB" w:rsidRPr="00B07DAE" w:rsidRDefault="00C761DB" w:rsidP="00F574AC">
            <w:pPr>
              <w:jc w:val="center"/>
              <w:rPr>
                <w:b/>
                <w:bCs/>
                <w:lang w:val="lv-LV"/>
              </w:rPr>
            </w:pPr>
            <w:r w:rsidRPr="00B07DAE">
              <w:rPr>
                <w:b/>
                <w:bCs/>
                <w:lang w:val="lv-LV"/>
              </w:rPr>
              <w:t>Pilnvara</w:t>
            </w:r>
          </w:p>
        </w:tc>
        <w:tc>
          <w:tcPr>
            <w:tcW w:w="3402" w:type="dxa"/>
            <w:vAlign w:val="center"/>
          </w:tcPr>
          <w:p w14:paraId="4E040DAB" w14:textId="77777777" w:rsidR="00C761DB" w:rsidRPr="00B07DAE" w:rsidRDefault="00C761DB" w:rsidP="00F574AC">
            <w:pPr>
              <w:jc w:val="center"/>
              <w:rPr>
                <w:b/>
                <w:bCs/>
                <w:lang w:val="lv-LV"/>
              </w:rPr>
            </w:pPr>
            <w:r w:rsidRPr="00B07DAE">
              <w:rPr>
                <w:b/>
                <w:bCs/>
                <w:lang w:val="lv-LV"/>
              </w:rPr>
              <w:t>Galvenais darījums</w:t>
            </w:r>
          </w:p>
          <w:p w14:paraId="0C8D2747" w14:textId="77777777" w:rsidR="00C761DB" w:rsidRPr="00B07DAE" w:rsidRDefault="00C761DB" w:rsidP="00F574AC">
            <w:pPr>
              <w:jc w:val="center"/>
              <w:rPr>
                <w:b/>
                <w:bCs/>
                <w:lang w:val="lv-LV"/>
              </w:rPr>
            </w:pPr>
            <w:r w:rsidRPr="00B07DAE">
              <w:rPr>
                <w:b/>
                <w:bCs/>
                <w:lang w:val="lv-LV"/>
              </w:rPr>
              <w:t>(ar pilnvarnieku starpniecību)</w:t>
            </w:r>
          </w:p>
        </w:tc>
      </w:tr>
      <w:tr w:rsidR="00C761DB" w:rsidRPr="00C6325C" w14:paraId="228DB825" w14:textId="77777777" w:rsidTr="00F574AC">
        <w:tc>
          <w:tcPr>
            <w:tcW w:w="1670" w:type="dxa"/>
            <w:vAlign w:val="center"/>
          </w:tcPr>
          <w:p w14:paraId="13651F61" w14:textId="77777777" w:rsidR="00C761DB" w:rsidRPr="00B07DAE" w:rsidRDefault="00C761DB" w:rsidP="00F574AC">
            <w:pPr>
              <w:jc w:val="center"/>
              <w:rPr>
                <w:b/>
                <w:bCs/>
                <w:lang w:val="lv-LV"/>
              </w:rPr>
            </w:pPr>
            <w:r w:rsidRPr="00B07DAE">
              <w:rPr>
                <w:b/>
                <w:bCs/>
                <w:lang w:val="lv-LV"/>
              </w:rPr>
              <w:t>Tiesisko attiecību dalībnieki</w:t>
            </w:r>
          </w:p>
        </w:tc>
        <w:tc>
          <w:tcPr>
            <w:tcW w:w="2549" w:type="dxa"/>
            <w:vAlign w:val="center"/>
          </w:tcPr>
          <w:p w14:paraId="29718735" w14:textId="77777777" w:rsidR="00C761DB" w:rsidRPr="00B07DAE" w:rsidRDefault="00C761DB" w:rsidP="00F574AC">
            <w:pPr>
              <w:jc w:val="center"/>
              <w:rPr>
                <w:lang w:val="lv-LV"/>
              </w:rPr>
            </w:pPr>
            <w:r w:rsidRPr="00B07DAE">
              <w:rPr>
                <w:lang w:val="lv-LV"/>
              </w:rPr>
              <w:t>Attiecības starp pilnvaras devēju un pilnvarnieku</w:t>
            </w:r>
          </w:p>
          <w:p w14:paraId="035CD439" w14:textId="77777777" w:rsidR="00C761DB" w:rsidRPr="00B07DAE" w:rsidRDefault="00C761DB" w:rsidP="00F574AC">
            <w:pPr>
              <w:jc w:val="center"/>
              <w:rPr>
                <w:lang w:val="lv-LV"/>
              </w:rPr>
            </w:pPr>
            <w:r w:rsidRPr="00B07DAE">
              <w:rPr>
                <w:lang w:val="lv-LV"/>
              </w:rPr>
              <w:t>(iekšējās attiecības).</w:t>
            </w:r>
          </w:p>
        </w:tc>
        <w:tc>
          <w:tcPr>
            <w:tcW w:w="2835" w:type="dxa"/>
            <w:vAlign w:val="center"/>
          </w:tcPr>
          <w:p w14:paraId="1B464BA0" w14:textId="77777777" w:rsidR="00C761DB" w:rsidRPr="00B07DAE" w:rsidRDefault="00C761DB" w:rsidP="00F574AC">
            <w:pPr>
              <w:jc w:val="center"/>
              <w:rPr>
                <w:lang w:val="lv-LV"/>
              </w:rPr>
            </w:pPr>
            <w:r w:rsidRPr="00B07DAE">
              <w:rPr>
                <w:lang w:val="lv-LV"/>
              </w:rPr>
              <w:t>Pilnvarnieka tiesiskās attiecības ar trešajām personām. No pilnvaras atkarīga galvenā darījuma spēkā esamība</w:t>
            </w:r>
          </w:p>
          <w:p w14:paraId="72D00673" w14:textId="77777777" w:rsidR="00C761DB" w:rsidRPr="00B07DAE" w:rsidRDefault="00C761DB" w:rsidP="00F574AC">
            <w:pPr>
              <w:jc w:val="center"/>
              <w:rPr>
                <w:lang w:val="lv-LV"/>
              </w:rPr>
            </w:pPr>
            <w:r w:rsidRPr="00B07DAE">
              <w:rPr>
                <w:lang w:val="lv-LV"/>
              </w:rPr>
              <w:t>(ārējās attiecības).</w:t>
            </w:r>
          </w:p>
        </w:tc>
        <w:tc>
          <w:tcPr>
            <w:tcW w:w="3402" w:type="dxa"/>
            <w:vAlign w:val="center"/>
          </w:tcPr>
          <w:p w14:paraId="31945500" w14:textId="77777777" w:rsidR="00C761DB" w:rsidRPr="00B07DAE" w:rsidRDefault="00C761DB" w:rsidP="00F574AC">
            <w:pPr>
              <w:jc w:val="center"/>
              <w:rPr>
                <w:lang w:val="lv-LV"/>
              </w:rPr>
            </w:pPr>
            <w:r w:rsidRPr="00B07DAE">
              <w:rPr>
                <w:lang w:val="lv-LV"/>
              </w:rPr>
              <w:t>Darījums, kuru pilnvaras devēja vārdā noslēdz pilnvarnieks ar trešo personu (piemēram, pirkuma līgums).</w:t>
            </w:r>
          </w:p>
        </w:tc>
      </w:tr>
      <w:tr w:rsidR="00C761DB" w:rsidRPr="00C6325C" w14:paraId="5688696A" w14:textId="77777777" w:rsidTr="00F574AC">
        <w:trPr>
          <w:trHeight w:val="320"/>
        </w:trPr>
        <w:tc>
          <w:tcPr>
            <w:tcW w:w="1670" w:type="dxa"/>
            <w:vAlign w:val="center"/>
          </w:tcPr>
          <w:p w14:paraId="31DE206F" w14:textId="77777777" w:rsidR="00C761DB" w:rsidRPr="00B07DAE" w:rsidRDefault="00C761DB" w:rsidP="00F574AC">
            <w:pPr>
              <w:jc w:val="center"/>
              <w:rPr>
                <w:b/>
                <w:bCs/>
                <w:lang w:val="lv-LV"/>
              </w:rPr>
            </w:pPr>
            <w:r w:rsidRPr="00B07DAE">
              <w:rPr>
                <w:b/>
                <w:bCs/>
                <w:lang w:val="lv-LV"/>
              </w:rPr>
              <w:t>Tiesisko attiecību statūts</w:t>
            </w:r>
          </w:p>
        </w:tc>
        <w:tc>
          <w:tcPr>
            <w:tcW w:w="2549" w:type="dxa"/>
            <w:vAlign w:val="center"/>
          </w:tcPr>
          <w:p w14:paraId="318F169F" w14:textId="77777777" w:rsidR="00C761DB" w:rsidRPr="00B07DAE" w:rsidRDefault="00C761DB" w:rsidP="00F574AC">
            <w:pPr>
              <w:jc w:val="center"/>
              <w:rPr>
                <w:b/>
                <w:bCs/>
                <w:i/>
                <w:iCs/>
                <w:lang w:val="lv-LV"/>
              </w:rPr>
            </w:pPr>
            <w:r w:rsidRPr="00B07DAE">
              <w:rPr>
                <w:b/>
                <w:bCs/>
                <w:i/>
                <w:iCs/>
                <w:lang w:val="lv-LV"/>
              </w:rPr>
              <w:t>Iekšējais statūts</w:t>
            </w:r>
          </w:p>
        </w:tc>
        <w:tc>
          <w:tcPr>
            <w:tcW w:w="2835" w:type="dxa"/>
            <w:vAlign w:val="center"/>
          </w:tcPr>
          <w:p w14:paraId="59639280" w14:textId="77777777" w:rsidR="00C761DB" w:rsidRPr="00B07DAE" w:rsidRDefault="00C761DB" w:rsidP="00F574AC">
            <w:pPr>
              <w:jc w:val="center"/>
              <w:rPr>
                <w:b/>
                <w:bCs/>
                <w:i/>
                <w:iCs/>
                <w:lang w:val="lv-LV"/>
              </w:rPr>
            </w:pPr>
            <w:r w:rsidRPr="00B07DAE">
              <w:rPr>
                <w:b/>
                <w:bCs/>
                <w:i/>
                <w:iCs/>
                <w:lang w:val="lv-LV"/>
              </w:rPr>
              <w:t>Pilnvaras statūts</w:t>
            </w:r>
          </w:p>
        </w:tc>
        <w:tc>
          <w:tcPr>
            <w:tcW w:w="3402" w:type="dxa"/>
            <w:vAlign w:val="center"/>
          </w:tcPr>
          <w:p w14:paraId="5BF80FF1" w14:textId="77777777" w:rsidR="00C761DB" w:rsidRPr="00B07DAE" w:rsidRDefault="00C761DB" w:rsidP="00F574AC">
            <w:pPr>
              <w:jc w:val="center"/>
              <w:rPr>
                <w:b/>
                <w:bCs/>
                <w:i/>
                <w:iCs/>
                <w:lang w:val="lv-LV"/>
              </w:rPr>
            </w:pPr>
            <w:r w:rsidRPr="00B07DAE">
              <w:rPr>
                <w:b/>
                <w:bCs/>
                <w:i/>
                <w:iCs/>
                <w:lang w:val="lv-LV"/>
              </w:rPr>
              <w:t>Darījuma statūts</w:t>
            </w:r>
          </w:p>
        </w:tc>
      </w:tr>
      <w:tr w:rsidR="00C761DB" w:rsidRPr="00C6325C" w14:paraId="2E8E7DCD" w14:textId="77777777" w:rsidTr="00F574AC">
        <w:trPr>
          <w:trHeight w:val="292"/>
        </w:trPr>
        <w:tc>
          <w:tcPr>
            <w:tcW w:w="1670" w:type="dxa"/>
            <w:vAlign w:val="center"/>
          </w:tcPr>
          <w:p w14:paraId="4A40F1AE" w14:textId="77777777" w:rsidR="00C761DB" w:rsidRPr="00B07DAE" w:rsidRDefault="00C761DB" w:rsidP="00F574AC">
            <w:pPr>
              <w:jc w:val="center"/>
              <w:rPr>
                <w:b/>
                <w:bCs/>
                <w:lang w:val="lv-LV"/>
              </w:rPr>
            </w:pPr>
            <w:r w:rsidRPr="00B07DAE">
              <w:rPr>
                <w:b/>
                <w:bCs/>
                <w:lang w:val="lv-LV"/>
              </w:rPr>
              <w:t>Statūta izpausme</w:t>
            </w:r>
          </w:p>
        </w:tc>
        <w:tc>
          <w:tcPr>
            <w:tcW w:w="2549" w:type="dxa"/>
            <w:vAlign w:val="center"/>
          </w:tcPr>
          <w:p w14:paraId="388488D0" w14:textId="77777777" w:rsidR="00C761DB" w:rsidRPr="00B07DAE" w:rsidRDefault="00C761DB" w:rsidP="00F574AC">
            <w:pPr>
              <w:jc w:val="center"/>
              <w:rPr>
                <w:lang w:val="lv-LV"/>
              </w:rPr>
            </w:pPr>
            <w:r w:rsidRPr="00B07DAE">
              <w:rPr>
                <w:lang w:val="lv-LV"/>
              </w:rPr>
              <w:t>Savstarpējām attiecībām starp pilnvaras devēju un pilnvarnieku (pilnvarojuma līgumam) piemērojamais likums.</w:t>
            </w:r>
          </w:p>
        </w:tc>
        <w:tc>
          <w:tcPr>
            <w:tcW w:w="2835" w:type="dxa"/>
            <w:vAlign w:val="center"/>
          </w:tcPr>
          <w:p w14:paraId="4F815CEB" w14:textId="77777777" w:rsidR="00C761DB" w:rsidRPr="00B07DAE" w:rsidRDefault="00C761DB" w:rsidP="00F574AC">
            <w:pPr>
              <w:jc w:val="center"/>
              <w:rPr>
                <w:lang w:val="lv-LV"/>
              </w:rPr>
            </w:pPr>
            <w:r w:rsidRPr="00B07DAE">
              <w:rPr>
                <w:lang w:val="lv-LV"/>
              </w:rPr>
              <w:t>Pilnvarai piemērojamais likums.</w:t>
            </w:r>
          </w:p>
        </w:tc>
        <w:tc>
          <w:tcPr>
            <w:tcW w:w="3402" w:type="dxa"/>
            <w:vAlign w:val="center"/>
          </w:tcPr>
          <w:p w14:paraId="30D6768B" w14:textId="77777777" w:rsidR="00C761DB" w:rsidRPr="00B07DAE" w:rsidRDefault="00C761DB" w:rsidP="00F574AC">
            <w:pPr>
              <w:jc w:val="center"/>
              <w:rPr>
                <w:lang w:val="lv-LV"/>
              </w:rPr>
            </w:pPr>
            <w:r w:rsidRPr="00B07DAE">
              <w:rPr>
                <w:lang w:val="lv-LV"/>
              </w:rPr>
              <w:t>Galvenajam darījumam (piem., pirkuma līgumam starp pilnvaras devēju un trešo personu) piemērojamais likums.</w:t>
            </w:r>
          </w:p>
        </w:tc>
      </w:tr>
      <w:tr w:rsidR="00C761DB" w14:paraId="6132B86F" w14:textId="77777777" w:rsidTr="00F574AC">
        <w:tc>
          <w:tcPr>
            <w:tcW w:w="1670" w:type="dxa"/>
          </w:tcPr>
          <w:p w14:paraId="2B7CEA01" w14:textId="77777777" w:rsidR="00C761DB" w:rsidRDefault="00C761DB" w:rsidP="00F574AC">
            <w:pPr>
              <w:jc w:val="center"/>
              <w:rPr>
                <w:b/>
                <w:lang w:val="lv-LV"/>
              </w:rPr>
            </w:pPr>
            <w:r w:rsidRPr="0009380E">
              <w:rPr>
                <w:b/>
                <w:lang w:val="lv-LV"/>
              </w:rPr>
              <w:t>Formai piemērojamās kolīziju normas</w:t>
            </w:r>
          </w:p>
          <w:p w14:paraId="7229FB9B" w14:textId="77777777" w:rsidR="00C761DB" w:rsidRPr="0009380E" w:rsidRDefault="00C761DB" w:rsidP="00F574AC">
            <w:pPr>
              <w:jc w:val="center"/>
              <w:rPr>
                <w:b/>
                <w:lang w:val="lv-LV"/>
              </w:rPr>
            </w:pPr>
          </w:p>
        </w:tc>
        <w:tc>
          <w:tcPr>
            <w:tcW w:w="2549" w:type="dxa"/>
          </w:tcPr>
          <w:p w14:paraId="4FA661F1" w14:textId="77777777" w:rsidR="00C761DB" w:rsidRDefault="00C761DB" w:rsidP="00F574AC">
            <w:pPr>
              <w:jc w:val="center"/>
              <w:rPr>
                <w:lang w:val="lv-LV"/>
              </w:rPr>
            </w:pPr>
          </w:p>
          <w:p w14:paraId="3D084579" w14:textId="77777777" w:rsidR="00C761DB" w:rsidRPr="0009380E" w:rsidRDefault="00C761DB" w:rsidP="00F574AC">
            <w:pPr>
              <w:jc w:val="center"/>
              <w:rPr>
                <w:lang w:val="lv-LV"/>
              </w:rPr>
            </w:pPr>
            <w:r>
              <w:rPr>
                <w:lang w:val="lv-LV"/>
              </w:rPr>
              <w:t>Roma I Regulas 11.pants.</w:t>
            </w:r>
          </w:p>
        </w:tc>
        <w:tc>
          <w:tcPr>
            <w:tcW w:w="2835" w:type="dxa"/>
          </w:tcPr>
          <w:p w14:paraId="015E1485" w14:textId="77777777" w:rsidR="00C761DB" w:rsidRDefault="00C761DB" w:rsidP="00F574AC">
            <w:pPr>
              <w:jc w:val="center"/>
              <w:rPr>
                <w:lang w:val="lv-LV"/>
              </w:rPr>
            </w:pPr>
          </w:p>
          <w:p w14:paraId="1145D277" w14:textId="77777777" w:rsidR="00C761DB" w:rsidRPr="0009380E" w:rsidRDefault="00C761DB" w:rsidP="00F574AC">
            <w:pPr>
              <w:jc w:val="center"/>
              <w:rPr>
                <w:lang w:val="lv-LV"/>
              </w:rPr>
            </w:pPr>
            <w:r>
              <w:rPr>
                <w:lang w:val="lv-LV"/>
              </w:rPr>
              <w:t>CL Ievada 21.pants vai attiecīgais starptautiskais līgums.</w:t>
            </w:r>
          </w:p>
        </w:tc>
        <w:tc>
          <w:tcPr>
            <w:tcW w:w="3402" w:type="dxa"/>
          </w:tcPr>
          <w:p w14:paraId="3EA7CFC9" w14:textId="77777777" w:rsidR="00C761DB" w:rsidRDefault="00C761DB" w:rsidP="00F574AC">
            <w:pPr>
              <w:jc w:val="center"/>
              <w:rPr>
                <w:lang w:val="lv-LV"/>
              </w:rPr>
            </w:pPr>
          </w:p>
          <w:p w14:paraId="46DB2BF9" w14:textId="77777777" w:rsidR="00C761DB" w:rsidRPr="0009380E" w:rsidRDefault="00C761DB" w:rsidP="00F574AC">
            <w:pPr>
              <w:jc w:val="center"/>
              <w:rPr>
                <w:lang w:val="lv-LV"/>
              </w:rPr>
            </w:pPr>
            <w:r>
              <w:rPr>
                <w:lang w:val="lv-LV"/>
              </w:rPr>
              <w:t>Roma I Regulas 11.pants.</w:t>
            </w:r>
          </w:p>
        </w:tc>
      </w:tr>
      <w:tr w:rsidR="00C761DB" w14:paraId="34FEFCB9" w14:textId="77777777" w:rsidTr="00F574AC">
        <w:tc>
          <w:tcPr>
            <w:tcW w:w="1670" w:type="dxa"/>
          </w:tcPr>
          <w:p w14:paraId="71DA7760" w14:textId="77777777" w:rsidR="00C761DB" w:rsidRDefault="00C761DB" w:rsidP="00F574AC">
            <w:pPr>
              <w:jc w:val="center"/>
              <w:rPr>
                <w:lang w:val="lv-LV"/>
              </w:rPr>
            </w:pPr>
            <w:r>
              <w:rPr>
                <w:b/>
                <w:lang w:val="lv-LV"/>
              </w:rPr>
              <w:t>Saturam</w:t>
            </w:r>
            <w:r w:rsidRPr="0009380E">
              <w:rPr>
                <w:b/>
                <w:lang w:val="lv-LV"/>
              </w:rPr>
              <w:t xml:space="preserve"> piemērojamās kolīziju normas</w:t>
            </w:r>
          </w:p>
        </w:tc>
        <w:tc>
          <w:tcPr>
            <w:tcW w:w="2549" w:type="dxa"/>
          </w:tcPr>
          <w:p w14:paraId="6522A425" w14:textId="77777777" w:rsidR="00C761DB" w:rsidRDefault="00C761DB" w:rsidP="00F574AC">
            <w:pPr>
              <w:jc w:val="center"/>
              <w:rPr>
                <w:lang w:val="lv-LV"/>
              </w:rPr>
            </w:pPr>
          </w:p>
          <w:p w14:paraId="7D000C75" w14:textId="77777777" w:rsidR="00C761DB" w:rsidRPr="0009380E" w:rsidRDefault="00C761DB" w:rsidP="00F574AC">
            <w:pPr>
              <w:jc w:val="center"/>
              <w:rPr>
                <w:lang w:val="lv-LV"/>
              </w:rPr>
            </w:pPr>
            <w:r>
              <w:rPr>
                <w:lang w:val="lv-LV"/>
              </w:rPr>
              <w:t>Roma I Regulas 3. vai 4.pants.</w:t>
            </w:r>
          </w:p>
        </w:tc>
        <w:tc>
          <w:tcPr>
            <w:tcW w:w="2835" w:type="dxa"/>
          </w:tcPr>
          <w:p w14:paraId="05EAEFB9" w14:textId="77777777" w:rsidR="00C761DB" w:rsidRPr="0009380E" w:rsidRDefault="00C761DB" w:rsidP="00F574AC">
            <w:pPr>
              <w:jc w:val="center"/>
              <w:rPr>
                <w:lang w:val="lv-LV"/>
              </w:rPr>
            </w:pPr>
            <w:r>
              <w:rPr>
                <w:lang w:val="lv-LV"/>
              </w:rPr>
              <w:t>CL Ievada 19.pants (nekustamo īpašumu lietās – 18.p. 4.d.) vai attiecīgais starptautiskais līgums.</w:t>
            </w:r>
          </w:p>
        </w:tc>
        <w:tc>
          <w:tcPr>
            <w:tcW w:w="3402" w:type="dxa"/>
          </w:tcPr>
          <w:p w14:paraId="20FB5291" w14:textId="77777777" w:rsidR="00C761DB" w:rsidRDefault="00C761DB" w:rsidP="00F574AC">
            <w:pPr>
              <w:jc w:val="center"/>
              <w:rPr>
                <w:lang w:val="lv-LV"/>
              </w:rPr>
            </w:pPr>
          </w:p>
          <w:p w14:paraId="649B4DA7" w14:textId="77777777" w:rsidR="00C761DB" w:rsidRPr="0009380E" w:rsidRDefault="00C761DB" w:rsidP="00F574AC">
            <w:pPr>
              <w:jc w:val="center"/>
              <w:rPr>
                <w:lang w:val="lv-LV"/>
              </w:rPr>
            </w:pPr>
            <w:r>
              <w:rPr>
                <w:lang w:val="lv-LV"/>
              </w:rPr>
              <w:t>Roma I Regulas 3.-10.pants, 12.pants u.c.</w:t>
            </w:r>
          </w:p>
        </w:tc>
      </w:tr>
    </w:tbl>
    <w:p w14:paraId="3532251E" w14:textId="77777777" w:rsidR="00C761DB" w:rsidRDefault="00C761DB" w:rsidP="00C761DB">
      <w:pPr>
        <w:jc w:val="both"/>
        <w:rPr>
          <w:lang w:val="lv-LV"/>
        </w:rPr>
      </w:pPr>
    </w:p>
    <w:p w14:paraId="336770D2" w14:textId="77777777" w:rsidR="00C761DB" w:rsidRDefault="00C761DB">
      <w:pPr>
        <w:rPr>
          <w:lang w:val="lv-LV"/>
        </w:rPr>
      </w:pPr>
    </w:p>
    <w:p w14:paraId="1FFEF3F5" w14:textId="77777777" w:rsidR="00C761DB" w:rsidRPr="00AC29FE" w:rsidRDefault="00C761DB" w:rsidP="00C761DB">
      <w:pPr>
        <w:rPr>
          <w:rFonts w:ascii="Times New Roman" w:hAnsi="Times New Roman" w:cs="Times New Roman"/>
          <w:i/>
          <w:sz w:val="22"/>
          <w:szCs w:val="22"/>
          <w:lang w:val="de-DE"/>
        </w:rPr>
      </w:pPr>
      <w:proofErr w:type="spellStart"/>
      <w:r>
        <w:rPr>
          <w:rFonts w:ascii="Times New Roman" w:hAnsi="Times New Roman" w:cs="Times New Roman"/>
          <w:i/>
          <w:sz w:val="22"/>
          <w:szCs w:val="22"/>
          <w:lang w:val="de-DE"/>
        </w:rPr>
        <w:t>Pielikums</w:t>
      </w:r>
      <w:proofErr w:type="spellEnd"/>
      <w:r>
        <w:rPr>
          <w:rFonts w:ascii="Times New Roman" w:hAnsi="Times New Roman" w:cs="Times New Roman"/>
          <w:i/>
          <w:sz w:val="22"/>
          <w:szCs w:val="22"/>
          <w:lang w:val="de-DE"/>
        </w:rPr>
        <w:t xml:space="preserve"> Nr. 2</w:t>
      </w:r>
      <w:r w:rsidRPr="00AC29FE">
        <w:rPr>
          <w:rFonts w:ascii="Times New Roman" w:hAnsi="Times New Roman" w:cs="Times New Roman"/>
          <w:i/>
          <w:sz w:val="22"/>
          <w:szCs w:val="22"/>
          <w:lang w:val="de-DE"/>
        </w:rPr>
        <w:t xml:space="preserve"> </w:t>
      </w:r>
      <w:proofErr w:type="spellStart"/>
      <w:r w:rsidRPr="00AC29FE">
        <w:rPr>
          <w:rFonts w:ascii="Times New Roman" w:hAnsi="Times New Roman" w:cs="Times New Roman"/>
          <w:i/>
          <w:sz w:val="22"/>
          <w:szCs w:val="22"/>
          <w:lang w:val="de-DE"/>
        </w:rPr>
        <w:t>pētījumam</w:t>
      </w:r>
      <w:proofErr w:type="spellEnd"/>
      <w:r w:rsidRPr="00AC29FE">
        <w:rPr>
          <w:rFonts w:ascii="Times New Roman" w:hAnsi="Times New Roman" w:cs="Times New Roman"/>
          <w:i/>
          <w:sz w:val="22"/>
          <w:szCs w:val="22"/>
          <w:lang w:val="de-DE"/>
        </w:rPr>
        <w:t xml:space="preserve"> </w:t>
      </w:r>
      <w:r>
        <w:rPr>
          <w:rFonts w:ascii="Times New Roman" w:hAnsi="Times New Roman" w:cs="Times New Roman"/>
          <w:i/>
          <w:sz w:val="22"/>
          <w:szCs w:val="22"/>
          <w:lang w:val="de-DE"/>
        </w:rPr>
        <w:t>„</w:t>
      </w:r>
      <w:r w:rsidRPr="00AC29FE">
        <w:rPr>
          <w:rFonts w:ascii="Times New Roman" w:hAnsi="Times New Roman" w:cs="Times New Roman"/>
          <w:i/>
          <w:sz w:val="22"/>
          <w:szCs w:val="22"/>
          <w:lang w:val="de-DE"/>
        </w:rPr>
        <w:t xml:space="preserve">Par </w:t>
      </w:r>
      <w:proofErr w:type="spellStart"/>
      <w:r w:rsidRPr="00AC29FE">
        <w:rPr>
          <w:rFonts w:ascii="Times New Roman" w:hAnsi="Times New Roman" w:cs="Times New Roman"/>
          <w:i/>
          <w:sz w:val="22"/>
          <w:szCs w:val="22"/>
          <w:lang w:val="de-DE"/>
        </w:rPr>
        <w:t>atsevišķu</w:t>
      </w:r>
      <w:proofErr w:type="spellEnd"/>
      <w:r w:rsidRPr="00AC29FE">
        <w:rPr>
          <w:rFonts w:ascii="Times New Roman" w:hAnsi="Times New Roman" w:cs="Times New Roman"/>
          <w:i/>
          <w:sz w:val="22"/>
          <w:szCs w:val="22"/>
          <w:lang w:val="de-DE"/>
        </w:rPr>
        <w:t xml:space="preserve"> </w:t>
      </w:r>
      <w:proofErr w:type="spellStart"/>
      <w:r w:rsidRPr="00AC29FE">
        <w:rPr>
          <w:rFonts w:ascii="Times New Roman" w:hAnsi="Times New Roman" w:cs="Times New Roman"/>
          <w:i/>
          <w:sz w:val="22"/>
          <w:szCs w:val="22"/>
          <w:lang w:val="de-DE"/>
        </w:rPr>
        <w:t>dokumentu</w:t>
      </w:r>
      <w:proofErr w:type="spellEnd"/>
      <w:r w:rsidRPr="00AC29FE">
        <w:rPr>
          <w:rFonts w:ascii="Times New Roman" w:hAnsi="Times New Roman" w:cs="Times New Roman"/>
          <w:i/>
          <w:sz w:val="22"/>
          <w:szCs w:val="22"/>
          <w:lang w:val="de-DE"/>
        </w:rPr>
        <w:t xml:space="preserve"> </w:t>
      </w:r>
      <w:proofErr w:type="spellStart"/>
      <w:r w:rsidRPr="00AC29FE">
        <w:rPr>
          <w:rFonts w:ascii="Times New Roman" w:hAnsi="Times New Roman" w:cs="Times New Roman"/>
          <w:i/>
          <w:sz w:val="22"/>
          <w:szCs w:val="22"/>
          <w:lang w:val="de-DE"/>
        </w:rPr>
        <w:t>veidiem</w:t>
      </w:r>
      <w:proofErr w:type="spellEnd"/>
    </w:p>
    <w:p w14:paraId="12E1D393" w14:textId="77777777" w:rsidR="00C761DB" w:rsidRPr="00AC29FE" w:rsidRDefault="00C761DB" w:rsidP="00C761DB">
      <w:pPr>
        <w:rPr>
          <w:sz w:val="22"/>
          <w:szCs w:val="22"/>
          <w:lang w:val="de-DE"/>
        </w:rPr>
      </w:pPr>
      <w:proofErr w:type="spellStart"/>
      <w:r>
        <w:rPr>
          <w:rFonts w:ascii="Times New Roman" w:hAnsi="Times New Roman" w:cs="Times New Roman"/>
          <w:i/>
          <w:sz w:val="22"/>
          <w:szCs w:val="22"/>
          <w:lang w:val="de-DE"/>
        </w:rPr>
        <w:t>n</w:t>
      </w:r>
      <w:r w:rsidRPr="00AC29FE">
        <w:rPr>
          <w:rFonts w:ascii="Times New Roman" w:hAnsi="Times New Roman" w:cs="Times New Roman"/>
          <w:i/>
          <w:sz w:val="22"/>
          <w:szCs w:val="22"/>
          <w:lang w:val="de-DE"/>
        </w:rPr>
        <w:t>otāru</w:t>
      </w:r>
      <w:proofErr w:type="spellEnd"/>
      <w:r w:rsidRPr="00AC29FE">
        <w:rPr>
          <w:rFonts w:ascii="Times New Roman" w:hAnsi="Times New Roman" w:cs="Times New Roman"/>
          <w:i/>
          <w:sz w:val="22"/>
          <w:szCs w:val="22"/>
          <w:lang w:val="de-DE"/>
        </w:rPr>
        <w:t xml:space="preserve"> </w:t>
      </w:r>
      <w:proofErr w:type="spellStart"/>
      <w:r w:rsidRPr="00AC29FE">
        <w:rPr>
          <w:rFonts w:ascii="Times New Roman" w:hAnsi="Times New Roman" w:cs="Times New Roman"/>
          <w:i/>
          <w:sz w:val="22"/>
          <w:szCs w:val="22"/>
          <w:lang w:val="de-DE"/>
        </w:rPr>
        <w:t>darbā</w:t>
      </w:r>
      <w:proofErr w:type="spellEnd"/>
      <w:r w:rsidRPr="00AC29FE">
        <w:rPr>
          <w:rFonts w:ascii="Times New Roman" w:hAnsi="Times New Roman" w:cs="Times New Roman"/>
          <w:i/>
          <w:sz w:val="22"/>
          <w:szCs w:val="22"/>
          <w:lang w:val="de-DE"/>
        </w:rPr>
        <w:t xml:space="preserve"> </w:t>
      </w:r>
      <w:proofErr w:type="spellStart"/>
      <w:r w:rsidRPr="00AC29FE">
        <w:rPr>
          <w:rFonts w:ascii="Times New Roman" w:hAnsi="Times New Roman" w:cs="Times New Roman"/>
          <w:i/>
          <w:sz w:val="22"/>
          <w:szCs w:val="22"/>
          <w:lang w:val="de-DE"/>
        </w:rPr>
        <w:t>starptautisko</w:t>
      </w:r>
      <w:proofErr w:type="spellEnd"/>
      <w:r w:rsidRPr="00AC29FE">
        <w:rPr>
          <w:rFonts w:ascii="Times New Roman" w:hAnsi="Times New Roman" w:cs="Times New Roman"/>
          <w:i/>
          <w:sz w:val="22"/>
          <w:szCs w:val="22"/>
          <w:lang w:val="de-DE"/>
        </w:rPr>
        <w:t xml:space="preserve"> </w:t>
      </w:r>
      <w:proofErr w:type="spellStart"/>
      <w:r w:rsidRPr="00AC29FE">
        <w:rPr>
          <w:rFonts w:ascii="Times New Roman" w:hAnsi="Times New Roman" w:cs="Times New Roman"/>
          <w:i/>
          <w:sz w:val="22"/>
          <w:szCs w:val="22"/>
          <w:lang w:val="de-DE"/>
        </w:rPr>
        <w:t>privāttiesību</w:t>
      </w:r>
      <w:proofErr w:type="spellEnd"/>
      <w:r w:rsidRPr="00AC29FE">
        <w:rPr>
          <w:rFonts w:ascii="Times New Roman" w:hAnsi="Times New Roman" w:cs="Times New Roman"/>
          <w:i/>
          <w:sz w:val="22"/>
          <w:szCs w:val="22"/>
          <w:lang w:val="de-DE"/>
        </w:rPr>
        <w:t xml:space="preserve"> </w:t>
      </w:r>
      <w:proofErr w:type="spellStart"/>
      <w:r w:rsidRPr="00AC29FE">
        <w:rPr>
          <w:rFonts w:ascii="Times New Roman" w:hAnsi="Times New Roman" w:cs="Times New Roman"/>
          <w:i/>
          <w:sz w:val="22"/>
          <w:szCs w:val="22"/>
          <w:lang w:val="de-DE"/>
        </w:rPr>
        <w:t>kontekstā</w:t>
      </w:r>
      <w:proofErr w:type="spellEnd"/>
      <w:r>
        <w:rPr>
          <w:rFonts w:ascii="Times New Roman" w:hAnsi="Times New Roman" w:cs="Times New Roman"/>
          <w:i/>
          <w:sz w:val="22"/>
          <w:szCs w:val="22"/>
          <w:lang w:val="de-DE"/>
        </w:rPr>
        <w:t>“</w:t>
      </w:r>
    </w:p>
    <w:p w14:paraId="7C7E7282" w14:textId="77777777" w:rsidR="00C761DB" w:rsidRDefault="00C761DB" w:rsidP="00C761DB">
      <w:pPr>
        <w:rPr>
          <w:b/>
          <w:bCs/>
          <w:lang w:val="lv-LV"/>
        </w:rPr>
      </w:pPr>
    </w:p>
    <w:p w14:paraId="19FBE9B4" w14:textId="77777777" w:rsidR="00C761DB" w:rsidRDefault="00C761DB" w:rsidP="00C761DB">
      <w:pPr>
        <w:rPr>
          <w:b/>
          <w:bCs/>
          <w:lang w:val="lv-LV"/>
        </w:rPr>
      </w:pPr>
    </w:p>
    <w:p w14:paraId="70415742" w14:textId="77777777" w:rsidR="00C761DB" w:rsidRDefault="00C761DB" w:rsidP="00C761DB">
      <w:pPr>
        <w:jc w:val="center"/>
        <w:rPr>
          <w:b/>
          <w:bCs/>
          <w:sz w:val="28"/>
          <w:szCs w:val="28"/>
          <w:lang w:val="lv-LV"/>
        </w:rPr>
      </w:pPr>
    </w:p>
    <w:p w14:paraId="15BD7A03" w14:textId="77777777" w:rsidR="00C761DB" w:rsidRDefault="00C761DB" w:rsidP="00C761DB">
      <w:pPr>
        <w:jc w:val="center"/>
        <w:rPr>
          <w:b/>
          <w:bCs/>
          <w:sz w:val="28"/>
          <w:szCs w:val="28"/>
          <w:lang w:val="lv-LV"/>
        </w:rPr>
      </w:pPr>
    </w:p>
    <w:p w14:paraId="20FE8275" w14:textId="77777777" w:rsidR="00C761DB" w:rsidRPr="00AC62C5" w:rsidRDefault="00C761DB" w:rsidP="00C761DB">
      <w:pPr>
        <w:jc w:val="center"/>
        <w:rPr>
          <w:rFonts w:ascii="Times New Roman" w:hAnsi="Times New Roman" w:cs="Times New Roman"/>
          <w:b/>
          <w:bCs/>
          <w:sz w:val="28"/>
          <w:szCs w:val="28"/>
          <w:lang w:val="lv-LV"/>
        </w:rPr>
      </w:pPr>
      <w:r w:rsidRPr="00AC62C5">
        <w:rPr>
          <w:rFonts w:ascii="Times New Roman" w:hAnsi="Times New Roman" w:cs="Times New Roman"/>
          <w:b/>
          <w:bCs/>
          <w:sz w:val="28"/>
          <w:szCs w:val="28"/>
          <w:lang w:val="lv-LV"/>
        </w:rPr>
        <w:t>Latīņu juridiskie termini notāriem</w:t>
      </w:r>
    </w:p>
    <w:p w14:paraId="5EDF9346" w14:textId="77777777" w:rsidR="00C761DB" w:rsidRPr="00AC62C5" w:rsidRDefault="00C761DB" w:rsidP="00C761DB">
      <w:pPr>
        <w:rPr>
          <w:rFonts w:ascii="Times New Roman" w:hAnsi="Times New Roman" w:cs="Times New Roman"/>
          <w:b/>
          <w:bCs/>
          <w:sz w:val="28"/>
          <w:szCs w:val="28"/>
          <w:lang w:val="lv-LV"/>
        </w:rPr>
      </w:pPr>
    </w:p>
    <w:p w14:paraId="4221DD4A" w14:textId="77777777" w:rsidR="00C761DB" w:rsidRPr="00AC62C5" w:rsidRDefault="00C761DB" w:rsidP="00C761DB">
      <w:pPr>
        <w:rPr>
          <w:rFonts w:ascii="Times New Roman" w:hAnsi="Times New Roman" w:cs="Times New Roman"/>
          <w:lang w:val="lv-LV"/>
        </w:rPr>
      </w:pPr>
    </w:p>
    <w:p w14:paraId="28333933" w14:textId="77777777" w:rsidR="00C761DB" w:rsidRDefault="00C761DB" w:rsidP="00C761DB">
      <w:pPr>
        <w:rPr>
          <w:rFonts w:ascii="Times New Roman" w:hAnsi="Times New Roman" w:cs="Times New Roman"/>
          <w:lang w:val="lv-LV"/>
        </w:rPr>
      </w:pPr>
      <w:r w:rsidRPr="00AC62C5">
        <w:rPr>
          <w:rFonts w:ascii="Times New Roman" w:hAnsi="Times New Roman" w:cs="Times New Roman"/>
          <w:i/>
          <w:iCs/>
          <w:lang w:val="lv-LV"/>
        </w:rPr>
        <w:t xml:space="preserve">A </w:t>
      </w:r>
      <w:proofErr w:type="spellStart"/>
      <w:r w:rsidRPr="00AC62C5">
        <w:rPr>
          <w:rFonts w:ascii="Times New Roman" w:hAnsi="Times New Roman" w:cs="Times New Roman"/>
          <w:i/>
          <w:iCs/>
          <w:lang w:val="lv-LV"/>
        </w:rPr>
        <w:t>priori</w:t>
      </w:r>
      <w:proofErr w:type="spellEnd"/>
      <w:r w:rsidRPr="00AC62C5">
        <w:rPr>
          <w:rFonts w:ascii="Times New Roman" w:hAnsi="Times New Roman" w:cs="Times New Roman"/>
          <w:i/>
          <w:iCs/>
          <w:lang w:val="lv-LV"/>
        </w:rPr>
        <w:t xml:space="preserve"> </w:t>
      </w:r>
      <w:r>
        <w:rPr>
          <w:rFonts w:ascii="Times New Roman" w:hAnsi="Times New Roman" w:cs="Times New Roman"/>
          <w:lang w:val="lv-LV"/>
        </w:rPr>
        <w:t xml:space="preserve">– sākotnēji; </w:t>
      </w:r>
      <w:proofErr w:type="spellStart"/>
      <w:r>
        <w:rPr>
          <w:rFonts w:ascii="Times New Roman" w:hAnsi="Times New Roman" w:cs="Times New Roman"/>
          <w:lang w:val="lv-LV"/>
        </w:rPr>
        <w:t>pirmšķietami</w:t>
      </w:r>
      <w:proofErr w:type="spellEnd"/>
      <w:r>
        <w:rPr>
          <w:rFonts w:ascii="Times New Roman" w:hAnsi="Times New Roman" w:cs="Times New Roman"/>
          <w:lang w:val="lv-LV"/>
        </w:rPr>
        <w:t>;</w:t>
      </w:r>
      <w:r w:rsidRPr="00AC62C5">
        <w:rPr>
          <w:rFonts w:ascii="Times New Roman" w:hAnsi="Times New Roman" w:cs="Times New Roman"/>
          <w:lang w:val="lv-LV"/>
        </w:rPr>
        <w:t xml:space="preserve"> kā izejas punkts.</w:t>
      </w:r>
    </w:p>
    <w:p w14:paraId="502620C9" w14:textId="77777777" w:rsidR="00C761DB" w:rsidRDefault="00C761DB" w:rsidP="00C761DB">
      <w:pPr>
        <w:rPr>
          <w:rFonts w:ascii="Times New Roman" w:hAnsi="Times New Roman" w:cs="Times New Roman"/>
          <w:lang w:val="lv-LV"/>
        </w:rPr>
      </w:pPr>
    </w:p>
    <w:p w14:paraId="61C48EE4" w14:textId="77777777" w:rsidR="00C761DB" w:rsidRDefault="00C761DB" w:rsidP="00C761DB">
      <w:pPr>
        <w:rPr>
          <w:rFonts w:ascii="Times New Roman" w:hAnsi="Times New Roman" w:cs="Times New Roman"/>
          <w:lang w:val="lv-LV"/>
        </w:rPr>
      </w:pPr>
      <w:proofErr w:type="spellStart"/>
      <w:r w:rsidRPr="004E1D11">
        <w:rPr>
          <w:rFonts w:ascii="Times New Roman" w:hAnsi="Times New Roman" w:cs="Times New Roman"/>
          <w:i/>
          <w:lang w:val="lv-LV"/>
        </w:rPr>
        <w:t>Auctor</w:t>
      </w:r>
      <w:proofErr w:type="spellEnd"/>
      <w:r w:rsidRPr="004E1D11">
        <w:rPr>
          <w:rFonts w:ascii="Times New Roman" w:hAnsi="Times New Roman" w:cs="Times New Roman"/>
          <w:i/>
          <w:lang w:val="lv-LV"/>
        </w:rPr>
        <w:t xml:space="preserve"> </w:t>
      </w:r>
      <w:proofErr w:type="spellStart"/>
      <w:r w:rsidRPr="004E1D11">
        <w:rPr>
          <w:rFonts w:ascii="Times New Roman" w:hAnsi="Times New Roman" w:cs="Times New Roman"/>
          <w:i/>
          <w:lang w:val="lv-LV"/>
        </w:rPr>
        <w:t>regit</w:t>
      </w:r>
      <w:proofErr w:type="spellEnd"/>
      <w:r w:rsidRPr="004E1D11">
        <w:rPr>
          <w:rFonts w:ascii="Times New Roman" w:hAnsi="Times New Roman" w:cs="Times New Roman"/>
          <w:i/>
          <w:lang w:val="lv-LV"/>
        </w:rPr>
        <w:t xml:space="preserve"> </w:t>
      </w:r>
      <w:proofErr w:type="spellStart"/>
      <w:r w:rsidRPr="004E1D11">
        <w:rPr>
          <w:rFonts w:ascii="Times New Roman" w:hAnsi="Times New Roman" w:cs="Times New Roman"/>
          <w:i/>
          <w:lang w:val="lv-LV"/>
        </w:rPr>
        <w:t>actum</w:t>
      </w:r>
      <w:proofErr w:type="spellEnd"/>
      <w:r>
        <w:rPr>
          <w:rFonts w:ascii="Times New Roman" w:hAnsi="Times New Roman" w:cs="Times New Roman"/>
          <w:lang w:val="lv-LV"/>
        </w:rPr>
        <w:t xml:space="preserve"> – publiskā dokumenta sastādīšanas vieta. Nosaka publiskā dokumenta formas un tiesisko seku pakļaušanu tās valsts likumam, kuras publiskās varas orgāns (piem., notārs) dokumentu sastāda.</w:t>
      </w:r>
    </w:p>
    <w:p w14:paraId="4CAAB2CB" w14:textId="77777777" w:rsidR="00C761DB" w:rsidRPr="00AC62C5" w:rsidRDefault="00C761DB" w:rsidP="00C761DB">
      <w:pPr>
        <w:rPr>
          <w:rFonts w:ascii="Times New Roman" w:hAnsi="Times New Roman" w:cs="Times New Roman"/>
          <w:lang w:val="lv-LV"/>
        </w:rPr>
      </w:pPr>
    </w:p>
    <w:p w14:paraId="4B99FA26" w14:textId="77777777" w:rsidR="00C761DB" w:rsidRDefault="00C761DB" w:rsidP="00C761DB">
      <w:pPr>
        <w:rPr>
          <w:rFonts w:ascii="Times New Roman" w:hAnsi="Times New Roman" w:cs="Times New Roman"/>
          <w:lang w:val="lv-LV"/>
        </w:rPr>
      </w:pPr>
      <w:proofErr w:type="spellStart"/>
      <w:r w:rsidRPr="00AC62C5">
        <w:rPr>
          <w:rFonts w:ascii="Times New Roman" w:hAnsi="Times New Roman" w:cs="Times New Roman"/>
          <w:i/>
          <w:iCs/>
          <w:lang w:val="lv-LV"/>
        </w:rPr>
        <w:t>Decisoria</w:t>
      </w:r>
      <w:proofErr w:type="spellEnd"/>
      <w:r w:rsidRPr="00AC62C5">
        <w:rPr>
          <w:rFonts w:ascii="Times New Roman" w:hAnsi="Times New Roman" w:cs="Times New Roman"/>
          <w:i/>
          <w:iCs/>
          <w:lang w:val="lv-LV"/>
        </w:rPr>
        <w:t xml:space="preserve"> </w:t>
      </w:r>
      <w:proofErr w:type="spellStart"/>
      <w:r w:rsidRPr="00AC62C5">
        <w:rPr>
          <w:rFonts w:ascii="Times New Roman" w:hAnsi="Times New Roman" w:cs="Times New Roman"/>
          <w:i/>
          <w:iCs/>
          <w:lang w:val="lv-LV"/>
        </w:rPr>
        <w:t>litis</w:t>
      </w:r>
      <w:proofErr w:type="spellEnd"/>
      <w:r w:rsidRPr="00AC62C5">
        <w:rPr>
          <w:rFonts w:ascii="Times New Roman" w:hAnsi="Times New Roman" w:cs="Times New Roman"/>
          <w:lang w:val="lv-LV"/>
        </w:rPr>
        <w:t xml:space="preserve"> – materiālās tiesību normas.</w:t>
      </w:r>
    </w:p>
    <w:p w14:paraId="6D1E6CED" w14:textId="77777777" w:rsidR="00C761DB" w:rsidRPr="00AC62C5" w:rsidRDefault="00C761DB" w:rsidP="00C761DB">
      <w:pPr>
        <w:rPr>
          <w:rFonts w:ascii="Times New Roman" w:hAnsi="Times New Roman" w:cs="Times New Roman"/>
          <w:lang w:val="lv-LV"/>
        </w:rPr>
      </w:pPr>
    </w:p>
    <w:p w14:paraId="4345BA3B" w14:textId="77777777" w:rsidR="00C761DB" w:rsidRDefault="00C761DB" w:rsidP="00C761DB">
      <w:pPr>
        <w:rPr>
          <w:rFonts w:ascii="Times New Roman" w:hAnsi="Times New Roman" w:cs="Times New Roman"/>
          <w:lang w:val="lv-LV"/>
        </w:rPr>
      </w:pPr>
      <w:proofErr w:type="spellStart"/>
      <w:r w:rsidRPr="00AC62C5">
        <w:rPr>
          <w:rFonts w:ascii="Times New Roman" w:hAnsi="Times New Roman" w:cs="Times New Roman"/>
          <w:i/>
          <w:iCs/>
          <w:lang w:val="lv-LV"/>
        </w:rPr>
        <w:t>Ex</w:t>
      </w:r>
      <w:proofErr w:type="spellEnd"/>
      <w:r w:rsidRPr="00AC62C5">
        <w:rPr>
          <w:rFonts w:ascii="Times New Roman" w:hAnsi="Times New Roman" w:cs="Times New Roman"/>
          <w:i/>
          <w:iCs/>
          <w:lang w:val="lv-LV"/>
        </w:rPr>
        <w:t xml:space="preserve"> </w:t>
      </w:r>
      <w:proofErr w:type="spellStart"/>
      <w:r w:rsidRPr="00AC62C5">
        <w:rPr>
          <w:rFonts w:ascii="Times New Roman" w:hAnsi="Times New Roman" w:cs="Times New Roman"/>
          <w:i/>
          <w:iCs/>
          <w:lang w:val="lv-LV"/>
        </w:rPr>
        <w:t>officio</w:t>
      </w:r>
      <w:proofErr w:type="spellEnd"/>
      <w:r w:rsidRPr="00AC62C5">
        <w:rPr>
          <w:rFonts w:ascii="Times New Roman" w:hAnsi="Times New Roman" w:cs="Times New Roman"/>
          <w:lang w:val="lv-LV"/>
        </w:rPr>
        <w:t xml:space="preserve"> – pēc savas iniciatīvas (</w:t>
      </w:r>
      <w:proofErr w:type="spellStart"/>
      <w:r w:rsidRPr="00AC62C5">
        <w:rPr>
          <w:rFonts w:ascii="Times New Roman" w:hAnsi="Times New Roman" w:cs="Times New Roman"/>
          <w:lang w:val="lv-LV"/>
        </w:rPr>
        <w:t>sin</w:t>
      </w:r>
      <w:proofErr w:type="spellEnd"/>
      <w:r w:rsidRPr="00AC62C5">
        <w:rPr>
          <w:rFonts w:ascii="Times New Roman" w:hAnsi="Times New Roman" w:cs="Times New Roman"/>
          <w:lang w:val="lv-LV"/>
        </w:rPr>
        <w:t xml:space="preserve">. </w:t>
      </w:r>
      <w:proofErr w:type="spellStart"/>
      <w:r w:rsidRPr="00AC62C5">
        <w:rPr>
          <w:rFonts w:ascii="Times New Roman" w:hAnsi="Times New Roman" w:cs="Times New Roman"/>
          <w:i/>
          <w:iCs/>
          <w:lang w:val="lv-LV"/>
        </w:rPr>
        <w:t>motu</w:t>
      </w:r>
      <w:proofErr w:type="spellEnd"/>
      <w:r w:rsidRPr="00AC62C5">
        <w:rPr>
          <w:rFonts w:ascii="Times New Roman" w:hAnsi="Times New Roman" w:cs="Times New Roman"/>
          <w:i/>
          <w:iCs/>
          <w:lang w:val="lv-LV"/>
        </w:rPr>
        <w:t xml:space="preserve"> </w:t>
      </w:r>
      <w:proofErr w:type="spellStart"/>
      <w:r w:rsidRPr="00AC62C5">
        <w:rPr>
          <w:rFonts w:ascii="Times New Roman" w:hAnsi="Times New Roman" w:cs="Times New Roman"/>
          <w:i/>
          <w:iCs/>
          <w:lang w:val="lv-LV"/>
        </w:rPr>
        <w:t>proprio</w:t>
      </w:r>
      <w:proofErr w:type="spellEnd"/>
      <w:r w:rsidRPr="00AC62C5">
        <w:rPr>
          <w:rFonts w:ascii="Times New Roman" w:hAnsi="Times New Roman" w:cs="Times New Roman"/>
          <w:lang w:val="lv-LV"/>
        </w:rPr>
        <w:t>).</w:t>
      </w:r>
    </w:p>
    <w:p w14:paraId="65064645" w14:textId="77777777" w:rsidR="00C761DB" w:rsidRDefault="00C761DB" w:rsidP="00C761DB">
      <w:pPr>
        <w:rPr>
          <w:rFonts w:ascii="Times New Roman" w:hAnsi="Times New Roman" w:cs="Times New Roman"/>
          <w:lang w:val="lv-LV"/>
        </w:rPr>
      </w:pPr>
    </w:p>
    <w:p w14:paraId="3CC2A0EE" w14:textId="77777777" w:rsidR="00C761DB" w:rsidRDefault="00C761DB" w:rsidP="00C761DB">
      <w:pPr>
        <w:rPr>
          <w:rFonts w:ascii="Times New Roman" w:hAnsi="Times New Roman" w:cs="Times New Roman"/>
          <w:lang w:val="lv-LV"/>
        </w:rPr>
      </w:pPr>
      <w:proofErr w:type="spellStart"/>
      <w:r w:rsidRPr="0078120F">
        <w:rPr>
          <w:rFonts w:ascii="Times New Roman" w:hAnsi="Times New Roman" w:cs="Times New Roman"/>
          <w:i/>
          <w:lang w:val="lv-LV"/>
        </w:rPr>
        <w:t>Instrumentum</w:t>
      </w:r>
      <w:proofErr w:type="spellEnd"/>
      <w:r>
        <w:rPr>
          <w:rFonts w:ascii="Times New Roman" w:hAnsi="Times New Roman" w:cs="Times New Roman"/>
          <w:lang w:val="lv-LV"/>
        </w:rPr>
        <w:t xml:space="preserve"> – pats dokuments kā </w:t>
      </w:r>
      <w:r w:rsidRPr="0078120F">
        <w:rPr>
          <w:rFonts w:ascii="Times New Roman" w:hAnsi="Times New Roman" w:cs="Times New Roman"/>
          <w:lang w:val="lv-LV"/>
        </w:rPr>
        <w:t>tāds.</w:t>
      </w:r>
    </w:p>
    <w:p w14:paraId="11A49877" w14:textId="77777777" w:rsidR="00C761DB" w:rsidRDefault="00C761DB" w:rsidP="00C761DB">
      <w:pPr>
        <w:rPr>
          <w:rFonts w:ascii="Times New Roman" w:hAnsi="Times New Roman" w:cs="Times New Roman"/>
          <w:lang w:val="lv-LV"/>
        </w:rPr>
      </w:pPr>
    </w:p>
    <w:p w14:paraId="7279C413" w14:textId="77777777" w:rsidR="00C761DB" w:rsidRDefault="00C761DB" w:rsidP="00C761DB">
      <w:pPr>
        <w:rPr>
          <w:rFonts w:ascii="Times New Roman" w:hAnsi="Times New Roman" w:cs="Times New Roman"/>
          <w:lang w:val="lv-LV"/>
        </w:rPr>
      </w:pPr>
      <w:proofErr w:type="spellStart"/>
      <w:r w:rsidRPr="0078120F">
        <w:rPr>
          <w:rFonts w:ascii="Times New Roman" w:hAnsi="Times New Roman" w:cs="Times New Roman"/>
          <w:i/>
          <w:lang w:val="lv-LV"/>
        </w:rPr>
        <w:t>Negotium</w:t>
      </w:r>
      <w:proofErr w:type="spellEnd"/>
      <w:r>
        <w:rPr>
          <w:rFonts w:ascii="Times New Roman" w:hAnsi="Times New Roman" w:cs="Times New Roman"/>
          <w:lang w:val="lv-LV"/>
        </w:rPr>
        <w:t xml:space="preserve"> – dokumentā ietvertās tiesiskās attiecības (dokumenta saturs).</w:t>
      </w:r>
    </w:p>
    <w:p w14:paraId="44640B9B" w14:textId="77777777" w:rsidR="00C761DB" w:rsidRPr="00AC62C5" w:rsidRDefault="00C761DB" w:rsidP="00C761DB">
      <w:pPr>
        <w:rPr>
          <w:rFonts w:ascii="Times New Roman" w:hAnsi="Times New Roman" w:cs="Times New Roman"/>
          <w:lang w:val="lv-LV"/>
        </w:rPr>
      </w:pPr>
    </w:p>
    <w:p w14:paraId="4D1E1924" w14:textId="77777777" w:rsidR="00C761DB" w:rsidRDefault="00C761DB" w:rsidP="00C761DB">
      <w:pPr>
        <w:rPr>
          <w:rFonts w:ascii="Times New Roman" w:hAnsi="Times New Roman" w:cs="Times New Roman"/>
          <w:lang w:val="lv-LV"/>
        </w:rPr>
      </w:pPr>
      <w:proofErr w:type="spellStart"/>
      <w:r w:rsidRPr="00AC62C5">
        <w:rPr>
          <w:rFonts w:ascii="Times New Roman" w:hAnsi="Times New Roman" w:cs="Times New Roman"/>
          <w:i/>
          <w:iCs/>
          <w:lang w:val="lv-LV"/>
        </w:rPr>
        <w:t>Lex</w:t>
      </w:r>
      <w:proofErr w:type="spellEnd"/>
      <w:r w:rsidRPr="00AC62C5">
        <w:rPr>
          <w:rFonts w:ascii="Times New Roman" w:hAnsi="Times New Roman" w:cs="Times New Roman"/>
          <w:i/>
          <w:iCs/>
          <w:lang w:val="lv-LV"/>
        </w:rPr>
        <w:t xml:space="preserve"> </w:t>
      </w:r>
      <w:proofErr w:type="spellStart"/>
      <w:r w:rsidRPr="00AC62C5">
        <w:rPr>
          <w:rFonts w:ascii="Times New Roman" w:hAnsi="Times New Roman" w:cs="Times New Roman"/>
          <w:i/>
          <w:iCs/>
          <w:lang w:val="lv-LV"/>
        </w:rPr>
        <w:t>auctoris</w:t>
      </w:r>
      <w:proofErr w:type="spellEnd"/>
      <w:r w:rsidRPr="00AC62C5">
        <w:rPr>
          <w:rFonts w:ascii="Times New Roman" w:hAnsi="Times New Roman" w:cs="Times New Roman"/>
          <w:i/>
          <w:iCs/>
          <w:lang w:val="lv-LV"/>
        </w:rPr>
        <w:t xml:space="preserve"> </w:t>
      </w:r>
      <w:proofErr w:type="spellStart"/>
      <w:r w:rsidRPr="00AC62C5">
        <w:rPr>
          <w:rFonts w:ascii="Times New Roman" w:hAnsi="Times New Roman" w:cs="Times New Roman"/>
          <w:i/>
          <w:iCs/>
          <w:lang w:val="lv-LV"/>
        </w:rPr>
        <w:t>regit</w:t>
      </w:r>
      <w:proofErr w:type="spellEnd"/>
      <w:r w:rsidRPr="00AC62C5">
        <w:rPr>
          <w:rFonts w:ascii="Times New Roman" w:hAnsi="Times New Roman" w:cs="Times New Roman"/>
          <w:i/>
          <w:iCs/>
          <w:lang w:val="lv-LV"/>
        </w:rPr>
        <w:t xml:space="preserve"> </w:t>
      </w:r>
      <w:proofErr w:type="spellStart"/>
      <w:r w:rsidRPr="00AC62C5">
        <w:rPr>
          <w:rFonts w:ascii="Times New Roman" w:hAnsi="Times New Roman" w:cs="Times New Roman"/>
          <w:i/>
          <w:iCs/>
          <w:lang w:val="lv-LV"/>
        </w:rPr>
        <w:t>processum</w:t>
      </w:r>
      <w:proofErr w:type="spellEnd"/>
      <w:r w:rsidRPr="00AC62C5">
        <w:rPr>
          <w:rFonts w:ascii="Times New Roman" w:hAnsi="Times New Roman" w:cs="Times New Roman"/>
          <w:lang w:val="lv-LV"/>
        </w:rPr>
        <w:t xml:space="preserve"> – procesuālo kārtību nosaka tās valsts </w:t>
      </w:r>
      <w:r>
        <w:rPr>
          <w:rFonts w:ascii="Times New Roman" w:hAnsi="Times New Roman" w:cs="Times New Roman"/>
          <w:lang w:val="lv-LV"/>
        </w:rPr>
        <w:t xml:space="preserve">tiesību </w:t>
      </w:r>
      <w:r w:rsidRPr="00AC62C5">
        <w:rPr>
          <w:rFonts w:ascii="Times New Roman" w:hAnsi="Times New Roman" w:cs="Times New Roman"/>
          <w:lang w:val="lv-LV"/>
        </w:rPr>
        <w:t>normas, kurā darbojas attiecīgā amatpersona.</w:t>
      </w:r>
    </w:p>
    <w:p w14:paraId="16B76022" w14:textId="77777777" w:rsidR="00C761DB" w:rsidRDefault="00C761DB" w:rsidP="00C761DB">
      <w:pPr>
        <w:rPr>
          <w:rFonts w:ascii="Times New Roman" w:hAnsi="Times New Roman" w:cs="Times New Roman"/>
          <w:lang w:val="lv-LV"/>
        </w:rPr>
      </w:pPr>
    </w:p>
    <w:p w14:paraId="13EFBAF7" w14:textId="77777777" w:rsidR="00C761DB" w:rsidRDefault="00C761DB" w:rsidP="00C761DB">
      <w:pPr>
        <w:rPr>
          <w:rFonts w:ascii="Times New Roman" w:hAnsi="Times New Roman" w:cs="Times New Roman"/>
          <w:lang w:val="lv-LV"/>
        </w:rPr>
      </w:pPr>
      <w:proofErr w:type="spellStart"/>
      <w:r>
        <w:rPr>
          <w:rFonts w:ascii="Times New Roman" w:hAnsi="Times New Roman" w:cs="Times New Roman"/>
          <w:i/>
          <w:lang w:val="lv-LV"/>
        </w:rPr>
        <w:t>Lex</w:t>
      </w:r>
      <w:proofErr w:type="spellEnd"/>
      <w:r>
        <w:rPr>
          <w:rFonts w:ascii="Times New Roman" w:hAnsi="Times New Roman" w:cs="Times New Roman"/>
          <w:i/>
          <w:lang w:val="lv-LV"/>
        </w:rPr>
        <w:t xml:space="preserve"> </w:t>
      </w:r>
      <w:proofErr w:type="spellStart"/>
      <w:r>
        <w:rPr>
          <w:rFonts w:ascii="Times New Roman" w:hAnsi="Times New Roman" w:cs="Times New Roman"/>
          <w:i/>
          <w:lang w:val="lv-LV"/>
        </w:rPr>
        <w:t>auctoris</w:t>
      </w:r>
      <w:proofErr w:type="spellEnd"/>
      <w:r>
        <w:rPr>
          <w:rFonts w:ascii="Times New Roman" w:hAnsi="Times New Roman" w:cs="Times New Roman"/>
          <w:i/>
          <w:lang w:val="lv-LV"/>
        </w:rPr>
        <w:t xml:space="preserve"> – </w:t>
      </w:r>
      <w:r>
        <w:rPr>
          <w:rFonts w:ascii="Times New Roman" w:hAnsi="Times New Roman" w:cs="Times New Roman"/>
          <w:lang w:val="lv-LV"/>
        </w:rPr>
        <w:t>valsts varas orgāna (piem., notāra, civilstāvokļa aktu reģistrācijas iestādes u.tml.) vietas (kur sastādīts publiskais dokuments) likums.</w:t>
      </w:r>
    </w:p>
    <w:p w14:paraId="6EE45B90" w14:textId="77777777" w:rsidR="00C761DB" w:rsidRDefault="00C761DB" w:rsidP="00C761DB">
      <w:pPr>
        <w:rPr>
          <w:rFonts w:ascii="Times New Roman" w:hAnsi="Times New Roman" w:cs="Times New Roman"/>
          <w:lang w:val="lv-LV"/>
        </w:rPr>
      </w:pPr>
    </w:p>
    <w:p w14:paraId="4999883E" w14:textId="77777777" w:rsidR="00C761DB" w:rsidRPr="0078120F" w:rsidRDefault="00C761DB" w:rsidP="00C761DB">
      <w:pPr>
        <w:rPr>
          <w:rFonts w:ascii="Times New Roman" w:hAnsi="Times New Roman" w:cs="Times New Roman"/>
          <w:lang w:val="lv-LV"/>
        </w:rPr>
      </w:pPr>
      <w:proofErr w:type="spellStart"/>
      <w:r w:rsidRPr="0078120F">
        <w:rPr>
          <w:rFonts w:ascii="Times New Roman" w:hAnsi="Times New Roman" w:cs="Times New Roman"/>
          <w:i/>
          <w:lang w:val="lv-LV"/>
        </w:rPr>
        <w:t>Lex</w:t>
      </w:r>
      <w:proofErr w:type="spellEnd"/>
      <w:r w:rsidRPr="0078120F">
        <w:rPr>
          <w:rFonts w:ascii="Times New Roman" w:hAnsi="Times New Roman" w:cs="Times New Roman"/>
          <w:i/>
          <w:lang w:val="lv-LV"/>
        </w:rPr>
        <w:t xml:space="preserve"> </w:t>
      </w:r>
      <w:proofErr w:type="spellStart"/>
      <w:r w:rsidRPr="0078120F">
        <w:rPr>
          <w:rFonts w:ascii="Times New Roman" w:hAnsi="Times New Roman" w:cs="Times New Roman"/>
          <w:i/>
          <w:lang w:val="lv-LV"/>
        </w:rPr>
        <w:t>auctoris</w:t>
      </w:r>
      <w:proofErr w:type="spellEnd"/>
      <w:r w:rsidRPr="0078120F">
        <w:rPr>
          <w:rFonts w:ascii="Times New Roman" w:hAnsi="Times New Roman" w:cs="Times New Roman"/>
          <w:i/>
          <w:lang w:val="lv-LV"/>
        </w:rPr>
        <w:t xml:space="preserve"> </w:t>
      </w:r>
      <w:proofErr w:type="spellStart"/>
      <w:r w:rsidRPr="0078120F">
        <w:rPr>
          <w:rFonts w:ascii="Times New Roman" w:hAnsi="Times New Roman" w:cs="Times New Roman"/>
          <w:i/>
          <w:lang w:val="lv-LV"/>
        </w:rPr>
        <w:t>regit</w:t>
      </w:r>
      <w:proofErr w:type="spellEnd"/>
      <w:r w:rsidRPr="0078120F">
        <w:rPr>
          <w:rFonts w:ascii="Times New Roman" w:hAnsi="Times New Roman" w:cs="Times New Roman"/>
          <w:i/>
          <w:lang w:val="lv-LV"/>
        </w:rPr>
        <w:t xml:space="preserve"> </w:t>
      </w:r>
      <w:proofErr w:type="spellStart"/>
      <w:r w:rsidRPr="0078120F">
        <w:rPr>
          <w:rFonts w:ascii="Times New Roman" w:hAnsi="Times New Roman" w:cs="Times New Roman"/>
          <w:i/>
          <w:lang w:val="lv-LV"/>
        </w:rPr>
        <w:t>processum</w:t>
      </w:r>
      <w:proofErr w:type="spellEnd"/>
      <w:r>
        <w:rPr>
          <w:rFonts w:ascii="Times New Roman" w:hAnsi="Times New Roman" w:cs="Times New Roman"/>
          <w:lang w:val="lv-LV"/>
        </w:rPr>
        <w:t xml:space="preserve"> – </w:t>
      </w:r>
      <w:r w:rsidRPr="004E1D11">
        <w:rPr>
          <w:rFonts w:ascii="Times New Roman" w:hAnsi="Times New Roman" w:cs="Times New Roman"/>
          <w:lang w:val="lv-LV"/>
        </w:rPr>
        <w:t>valsts varas</w:t>
      </w:r>
      <w:r>
        <w:rPr>
          <w:rFonts w:ascii="Times New Roman" w:hAnsi="Times New Roman" w:cs="Times New Roman"/>
          <w:lang w:val="lv-LV"/>
        </w:rPr>
        <w:t xml:space="preserve"> orgāna (piem., notāra) atrašanās vietas valsts likums nosaka procesu.</w:t>
      </w:r>
    </w:p>
    <w:p w14:paraId="220C7FC7" w14:textId="77777777" w:rsidR="00C761DB" w:rsidRDefault="00C761DB" w:rsidP="00C761DB">
      <w:pPr>
        <w:rPr>
          <w:rFonts w:ascii="Times New Roman" w:hAnsi="Times New Roman" w:cs="Times New Roman"/>
          <w:lang w:val="lv-LV"/>
        </w:rPr>
      </w:pPr>
    </w:p>
    <w:p w14:paraId="548EB32F" w14:textId="77777777" w:rsidR="00C761DB" w:rsidRDefault="00C761DB" w:rsidP="00C761DB">
      <w:pPr>
        <w:rPr>
          <w:rFonts w:ascii="Times New Roman" w:hAnsi="Times New Roman" w:cs="Times New Roman"/>
          <w:lang w:val="lv-LV"/>
        </w:rPr>
      </w:pPr>
      <w:proofErr w:type="spellStart"/>
      <w:r w:rsidRPr="00AC62C5">
        <w:rPr>
          <w:rFonts w:ascii="Times New Roman" w:hAnsi="Times New Roman" w:cs="Times New Roman"/>
          <w:i/>
          <w:lang w:val="lv-LV"/>
        </w:rPr>
        <w:t>Lex</w:t>
      </w:r>
      <w:proofErr w:type="spellEnd"/>
      <w:r w:rsidRPr="00AC62C5">
        <w:rPr>
          <w:rFonts w:ascii="Times New Roman" w:hAnsi="Times New Roman" w:cs="Times New Roman"/>
          <w:i/>
          <w:lang w:val="lv-LV"/>
        </w:rPr>
        <w:t xml:space="preserve"> </w:t>
      </w:r>
      <w:proofErr w:type="spellStart"/>
      <w:r w:rsidRPr="00AC62C5">
        <w:rPr>
          <w:rFonts w:ascii="Times New Roman" w:hAnsi="Times New Roman" w:cs="Times New Roman"/>
          <w:i/>
          <w:lang w:val="lv-LV"/>
        </w:rPr>
        <w:t>auctoritatis</w:t>
      </w:r>
      <w:proofErr w:type="spellEnd"/>
      <w:r>
        <w:rPr>
          <w:rFonts w:ascii="Times New Roman" w:hAnsi="Times New Roman" w:cs="Times New Roman"/>
          <w:lang w:val="lv-LV"/>
        </w:rPr>
        <w:t xml:space="preserve"> – pilnvarai piemērojamais likums.</w:t>
      </w:r>
    </w:p>
    <w:p w14:paraId="017CED44" w14:textId="77777777" w:rsidR="00C761DB" w:rsidRPr="00AC62C5" w:rsidRDefault="00C761DB" w:rsidP="00C761DB">
      <w:pPr>
        <w:rPr>
          <w:rFonts w:ascii="Times New Roman" w:hAnsi="Times New Roman" w:cs="Times New Roman"/>
          <w:lang w:val="lv-LV"/>
        </w:rPr>
      </w:pPr>
    </w:p>
    <w:p w14:paraId="30A6FF5A" w14:textId="77777777" w:rsidR="00C761DB" w:rsidRDefault="00C761DB" w:rsidP="00C761DB">
      <w:pPr>
        <w:rPr>
          <w:rFonts w:ascii="Times New Roman" w:hAnsi="Times New Roman" w:cs="Times New Roman"/>
          <w:lang w:val="lv-LV"/>
        </w:rPr>
      </w:pPr>
      <w:proofErr w:type="spellStart"/>
      <w:r w:rsidRPr="00AC62C5">
        <w:rPr>
          <w:rFonts w:ascii="Times New Roman" w:hAnsi="Times New Roman" w:cs="Times New Roman"/>
          <w:i/>
          <w:iCs/>
          <w:lang w:val="lv-LV"/>
        </w:rPr>
        <w:t>Lex</w:t>
      </w:r>
      <w:proofErr w:type="spellEnd"/>
      <w:r w:rsidRPr="00AC62C5">
        <w:rPr>
          <w:rFonts w:ascii="Times New Roman" w:hAnsi="Times New Roman" w:cs="Times New Roman"/>
          <w:i/>
          <w:iCs/>
          <w:lang w:val="lv-LV"/>
        </w:rPr>
        <w:t xml:space="preserve"> </w:t>
      </w:r>
      <w:proofErr w:type="spellStart"/>
      <w:r w:rsidRPr="00AC62C5">
        <w:rPr>
          <w:rFonts w:ascii="Times New Roman" w:hAnsi="Times New Roman" w:cs="Times New Roman"/>
          <w:i/>
          <w:iCs/>
          <w:lang w:val="lv-LV"/>
        </w:rPr>
        <w:t>fori</w:t>
      </w:r>
      <w:proofErr w:type="spellEnd"/>
      <w:r w:rsidRPr="00AC62C5">
        <w:rPr>
          <w:rFonts w:ascii="Times New Roman" w:hAnsi="Times New Roman" w:cs="Times New Roman"/>
          <w:lang w:val="lv-LV"/>
        </w:rPr>
        <w:t xml:space="preserve"> – tiesas valsts likums.</w:t>
      </w:r>
    </w:p>
    <w:p w14:paraId="119EFBA3" w14:textId="77777777" w:rsidR="00C761DB" w:rsidRDefault="00C761DB" w:rsidP="00C761DB">
      <w:pPr>
        <w:rPr>
          <w:rFonts w:ascii="Times New Roman" w:hAnsi="Times New Roman" w:cs="Times New Roman"/>
          <w:lang w:val="lv-LV"/>
        </w:rPr>
      </w:pPr>
    </w:p>
    <w:p w14:paraId="1B285653" w14:textId="77777777" w:rsidR="00C761DB" w:rsidRDefault="00C761DB" w:rsidP="00C761DB">
      <w:pPr>
        <w:rPr>
          <w:rFonts w:ascii="Times New Roman" w:hAnsi="Times New Roman" w:cs="Times New Roman"/>
          <w:lang w:val="lv-LV"/>
        </w:rPr>
      </w:pPr>
      <w:proofErr w:type="spellStart"/>
      <w:r w:rsidRPr="0078120F">
        <w:rPr>
          <w:rFonts w:ascii="Times New Roman" w:hAnsi="Times New Roman" w:cs="Times New Roman"/>
          <w:i/>
          <w:lang w:val="lv-LV"/>
        </w:rPr>
        <w:t>Lex</w:t>
      </w:r>
      <w:proofErr w:type="spellEnd"/>
      <w:r w:rsidRPr="0078120F">
        <w:rPr>
          <w:rFonts w:ascii="Times New Roman" w:hAnsi="Times New Roman" w:cs="Times New Roman"/>
          <w:i/>
          <w:lang w:val="lv-LV"/>
        </w:rPr>
        <w:t xml:space="preserve"> </w:t>
      </w:r>
      <w:proofErr w:type="spellStart"/>
      <w:r w:rsidRPr="0078120F">
        <w:rPr>
          <w:rFonts w:ascii="Times New Roman" w:hAnsi="Times New Roman" w:cs="Times New Roman"/>
          <w:i/>
          <w:lang w:val="lv-LV"/>
        </w:rPr>
        <w:t>fori</w:t>
      </w:r>
      <w:proofErr w:type="spellEnd"/>
      <w:r w:rsidRPr="0078120F">
        <w:rPr>
          <w:rFonts w:ascii="Times New Roman" w:hAnsi="Times New Roman" w:cs="Times New Roman"/>
          <w:i/>
          <w:lang w:val="lv-LV"/>
        </w:rPr>
        <w:t xml:space="preserve"> </w:t>
      </w:r>
      <w:proofErr w:type="spellStart"/>
      <w:r w:rsidRPr="0078120F">
        <w:rPr>
          <w:rFonts w:ascii="Times New Roman" w:hAnsi="Times New Roman" w:cs="Times New Roman"/>
          <w:i/>
          <w:lang w:val="lv-LV"/>
        </w:rPr>
        <w:t>regit</w:t>
      </w:r>
      <w:proofErr w:type="spellEnd"/>
      <w:r w:rsidRPr="0078120F">
        <w:rPr>
          <w:rFonts w:ascii="Times New Roman" w:hAnsi="Times New Roman" w:cs="Times New Roman"/>
          <w:i/>
          <w:lang w:val="lv-LV"/>
        </w:rPr>
        <w:t xml:space="preserve"> </w:t>
      </w:r>
      <w:proofErr w:type="spellStart"/>
      <w:r w:rsidRPr="0078120F">
        <w:rPr>
          <w:rFonts w:ascii="Times New Roman" w:hAnsi="Times New Roman" w:cs="Times New Roman"/>
          <w:i/>
          <w:lang w:val="lv-LV"/>
        </w:rPr>
        <w:t>processum</w:t>
      </w:r>
      <w:proofErr w:type="spellEnd"/>
      <w:r>
        <w:rPr>
          <w:rFonts w:ascii="Times New Roman" w:hAnsi="Times New Roman" w:cs="Times New Roman"/>
          <w:lang w:val="lv-LV"/>
        </w:rPr>
        <w:t xml:space="preserve"> – tiesas valsts likums nosaka procesu.</w:t>
      </w:r>
    </w:p>
    <w:p w14:paraId="75846F86" w14:textId="77777777" w:rsidR="00C761DB" w:rsidRDefault="00C761DB" w:rsidP="00C761DB">
      <w:pPr>
        <w:rPr>
          <w:rFonts w:ascii="Times New Roman" w:hAnsi="Times New Roman" w:cs="Times New Roman"/>
          <w:lang w:val="lv-LV"/>
        </w:rPr>
      </w:pPr>
    </w:p>
    <w:p w14:paraId="74B7672B" w14:textId="77777777" w:rsidR="00C761DB" w:rsidRDefault="00C761DB" w:rsidP="00C761DB">
      <w:pPr>
        <w:rPr>
          <w:rFonts w:ascii="Times New Roman" w:hAnsi="Times New Roman" w:cs="Times New Roman"/>
          <w:lang w:val="lv-LV"/>
        </w:rPr>
      </w:pPr>
      <w:proofErr w:type="spellStart"/>
      <w:r w:rsidRPr="00AC62C5">
        <w:rPr>
          <w:rFonts w:ascii="Times New Roman" w:hAnsi="Times New Roman" w:cs="Times New Roman"/>
          <w:i/>
          <w:lang w:val="lv-LV"/>
        </w:rPr>
        <w:t>Lex</w:t>
      </w:r>
      <w:proofErr w:type="spellEnd"/>
      <w:r w:rsidRPr="00AC62C5">
        <w:rPr>
          <w:rFonts w:ascii="Times New Roman" w:hAnsi="Times New Roman" w:cs="Times New Roman"/>
          <w:i/>
          <w:lang w:val="lv-LV"/>
        </w:rPr>
        <w:t xml:space="preserve"> loci </w:t>
      </w:r>
      <w:proofErr w:type="spellStart"/>
      <w:r w:rsidRPr="00AC62C5">
        <w:rPr>
          <w:rFonts w:ascii="Times New Roman" w:hAnsi="Times New Roman" w:cs="Times New Roman"/>
          <w:i/>
          <w:lang w:val="lv-LV"/>
        </w:rPr>
        <w:t>actus</w:t>
      </w:r>
      <w:proofErr w:type="spellEnd"/>
      <w:r>
        <w:rPr>
          <w:rFonts w:ascii="Times New Roman" w:hAnsi="Times New Roman" w:cs="Times New Roman"/>
          <w:lang w:val="lv-LV"/>
        </w:rPr>
        <w:t xml:space="preserve"> – akta (dokumenta) vietas likums.</w:t>
      </w:r>
    </w:p>
    <w:p w14:paraId="3AFDCC0A" w14:textId="77777777" w:rsidR="00C761DB" w:rsidRPr="00AC62C5" w:rsidRDefault="00C761DB" w:rsidP="00C761DB">
      <w:pPr>
        <w:rPr>
          <w:rFonts w:ascii="Times New Roman" w:hAnsi="Times New Roman" w:cs="Times New Roman"/>
          <w:lang w:val="lv-LV"/>
        </w:rPr>
      </w:pPr>
    </w:p>
    <w:p w14:paraId="3589795E" w14:textId="77777777" w:rsidR="00C761DB" w:rsidRDefault="00C761DB" w:rsidP="00C761DB">
      <w:pPr>
        <w:rPr>
          <w:rFonts w:ascii="Times New Roman" w:hAnsi="Times New Roman" w:cs="Times New Roman"/>
          <w:lang w:val="lv-LV"/>
        </w:rPr>
      </w:pPr>
      <w:proofErr w:type="spellStart"/>
      <w:r w:rsidRPr="00AC62C5">
        <w:rPr>
          <w:rFonts w:ascii="Times New Roman" w:hAnsi="Times New Roman" w:cs="Times New Roman"/>
          <w:i/>
          <w:iCs/>
          <w:lang w:val="lv-LV"/>
        </w:rPr>
        <w:t>Lex</w:t>
      </w:r>
      <w:proofErr w:type="spellEnd"/>
      <w:r w:rsidRPr="00AC62C5">
        <w:rPr>
          <w:rFonts w:ascii="Times New Roman" w:hAnsi="Times New Roman" w:cs="Times New Roman"/>
          <w:i/>
          <w:iCs/>
          <w:lang w:val="lv-LV"/>
        </w:rPr>
        <w:t xml:space="preserve"> loci </w:t>
      </w:r>
      <w:proofErr w:type="spellStart"/>
      <w:r w:rsidRPr="00AC62C5">
        <w:rPr>
          <w:rFonts w:ascii="Times New Roman" w:hAnsi="Times New Roman" w:cs="Times New Roman"/>
          <w:i/>
          <w:iCs/>
          <w:lang w:val="lv-LV"/>
        </w:rPr>
        <w:t>contractus</w:t>
      </w:r>
      <w:proofErr w:type="spellEnd"/>
      <w:r w:rsidRPr="00AC62C5">
        <w:rPr>
          <w:rFonts w:ascii="Times New Roman" w:hAnsi="Times New Roman" w:cs="Times New Roman"/>
          <w:i/>
          <w:iCs/>
          <w:lang w:val="lv-LV"/>
        </w:rPr>
        <w:t xml:space="preserve"> </w:t>
      </w:r>
      <w:r w:rsidRPr="00AC62C5">
        <w:rPr>
          <w:rFonts w:ascii="Times New Roman" w:hAnsi="Times New Roman" w:cs="Times New Roman"/>
          <w:lang w:val="lv-LV"/>
        </w:rPr>
        <w:t>– līguma noslēgšanas vietas likums.</w:t>
      </w:r>
    </w:p>
    <w:p w14:paraId="7601EDE7" w14:textId="77777777" w:rsidR="00C761DB" w:rsidRDefault="00C761DB" w:rsidP="00C761DB">
      <w:pPr>
        <w:rPr>
          <w:rFonts w:ascii="Times New Roman" w:hAnsi="Times New Roman" w:cs="Times New Roman"/>
          <w:lang w:val="lv-LV"/>
        </w:rPr>
      </w:pPr>
    </w:p>
    <w:p w14:paraId="4310A031" w14:textId="77777777" w:rsidR="00C761DB" w:rsidRDefault="00C761DB" w:rsidP="00C761DB">
      <w:pPr>
        <w:rPr>
          <w:rFonts w:ascii="Times New Roman" w:hAnsi="Times New Roman" w:cs="Times New Roman"/>
          <w:iCs/>
          <w:lang w:val="lv-LV"/>
        </w:rPr>
      </w:pPr>
      <w:proofErr w:type="spellStart"/>
      <w:r w:rsidRPr="00AC62C5">
        <w:rPr>
          <w:rFonts w:ascii="Times New Roman" w:hAnsi="Times New Roman" w:cs="Times New Roman"/>
          <w:i/>
          <w:iCs/>
          <w:lang w:val="lv-LV"/>
        </w:rPr>
        <w:t>lex</w:t>
      </w:r>
      <w:proofErr w:type="spellEnd"/>
      <w:r w:rsidRPr="00AC62C5">
        <w:rPr>
          <w:rFonts w:ascii="Times New Roman" w:hAnsi="Times New Roman" w:cs="Times New Roman"/>
          <w:i/>
          <w:iCs/>
          <w:lang w:val="lv-LV"/>
        </w:rPr>
        <w:t xml:space="preserve"> loci </w:t>
      </w:r>
      <w:proofErr w:type="spellStart"/>
      <w:r w:rsidRPr="00AC62C5">
        <w:rPr>
          <w:rFonts w:ascii="Times New Roman" w:hAnsi="Times New Roman" w:cs="Times New Roman"/>
          <w:i/>
          <w:iCs/>
          <w:lang w:val="lv-LV"/>
        </w:rPr>
        <w:t>conventionis</w:t>
      </w:r>
      <w:proofErr w:type="spellEnd"/>
      <w:r>
        <w:rPr>
          <w:rFonts w:ascii="Times New Roman" w:hAnsi="Times New Roman" w:cs="Times New Roman"/>
          <w:iCs/>
          <w:lang w:val="lv-LV"/>
        </w:rPr>
        <w:t xml:space="preserve"> – vienošanās noslēgšanas vietas likums.</w:t>
      </w:r>
    </w:p>
    <w:p w14:paraId="6FDE5994" w14:textId="77777777" w:rsidR="00C761DB" w:rsidRPr="00AC62C5" w:rsidRDefault="00C761DB" w:rsidP="00C761DB">
      <w:pPr>
        <w:rPr>
          <w:rFonts w:ascii="Times New Roman" w:hAnsi="Times New Roman" w:cs="Times New Roman"/>
          <w:lang w:val="lv-LV"/>
        </w:rPr>
      </w:pPr>
    </w:p>
    <w:p w14:paraId="401F848B" w14:textId="77777777" w:rsidR="00C761DB" w:rsidRDefault="00C761DB" w:rsidP="00C761DB">
      <w:pPr>
        <w:rPr>
          <w:rFonts w:ascii="Times New Roman" w:hAnsi="Times New Roman" w:cs="Times New Roman"/>
          <w:lang w:val="lv-LV"/>
        </w:rPr>
      </w:pPr>
      <w:proofErr w:type="spellStart"/>
      <w:r w:rsidRPr="00AC62C5">
        <w:rPr>
          <w:rFonts w:ascii="Times New Roman" w:hAnsi="Times New Roman" w:cs="Times New Roman"/>
          <w:i/>
          <w:iCs/>
          <w:lang w:val="lv-LV"/>
        </w:rPr>
        <w:t>Lex</w:t>
      </w:r>
      <w:proofErr w:type="spellEnd"/>
      <w:r w:rsidRPr="00AC62C5">
        <w:rPr>
          <w:rFonts w:ascii="Times New Roman" w:hAnsi="Times New Roman" w:cs="Times New Roman"/>
          <w:i/>
          <w:iCs/>
          <w:lang w:val="lv-LV"/>
        </w:rPr>
        <w:t xml:space="preserve"> loci </w:t>
      </w:r>
      <w:proofErr w:type="spellStart"/>
      <w:r w:rsidRPr="00AC62C5">
        <w:rPr>
          <w:rFonts w:ascii="Times New Roman" w:hAnsi="Times New Roman" w:cs="Times New Roman"/>
          <w:i/>
          <w:iCs/>
          <w:lang w:val="lv-LV"/>
        </w:rPr>
        <w:t>solutionis</w:t>
      </w:r>
      <w:proofErr w:type="spellEnd"/>
      <w:r w:rsidRPr="00AC62C5">
        <w:rPr>
          <w:rFonts w:ascii="Times New Roman" w:hAnsi="Times New Roman" w:cs="Times New Roman"/>
          <w:i/>
          <w:iCs/>
          <w:lang w:val="lv-LV"/>
        </w:rPr>
        <w:t xml:space="preserve"> </w:t>
      </w:r>
      <w:r w:rsidRPr="00AC62C5">
        <w:rPr>
          <w:rFonts w:ascii="Times New Roman" w:hAnsi="Times New Roman" w:cs="Times New Roman"/>
          <w:lang w:val="lv-LV"/>
        </w:rPr>
        <w:t>– saistības izpildes vietas likums.</w:t>
      </w:r>
    </w:p>
    <w:p w14:paraId="142C930E" w14:textId="77777777" w:rsidR="00C761DB" w:rsidRPr="00AC62C5" w:rsidRDefault="00C761DB" w:rsidP="00C761DB">
      <w:pPr>
        <w:rPr>
          <w:rFonts w:ascii="Times New Roman" w:hAnsi="Times New Roman" w:cs="Times New Roman"/>
          <w:lang w:val="lv-LV"/>
        </w:rPr>
      </w:pPr>
    </w:p>
    <w:p w14:paraId="0D12294D" w14:textId="77777777" w:rsidR="00C761DB" w:rsidRDefault="00C761DB" w:rsidP="00C761DB">
      <w:pPr>
        <w:rPr>
          <w:rFonts w:ascii="Times New Roman" w:hAnsi="Times New Roman" w:cs="Times New Roman"/>
          <w:lang w:val="lv-LV"/>
        </w:rPr>
      </w:pPr>
      <w:proofErr w:type="spellStart"/>
      <w:r w:rsidRPr="00AC62C5">
        <w:rPr>
          <w:rFonts w:ascii="Times New Roman" w:hAnsi="Times New Roman" w:cs="Times New Roman"/>
          <w:i/>
          <w:iCs/>
          <w:lang w:val="lv-LV"/>
        </w:rPr>
        <w:t>Lex</w:t>
      </w:r>
      <w:proofErr w:type="spellEnd"/>
      <w:r w:rsidRPr="00AC62C5">
        <w:rPr>
          <w:rFonts w:ascii="Times New Roman" w:hAnsi="Times New Roman" w:cs="Times New Roman"/>
          <w:i/>
          <w:iCs/>
          <w:lang w:val="lv-LV"/>
        </w:rPr>
        <w:t xml:space="preserve"> </w:t>
      </w:r>
      <w:proofErr w:type="spellStart"/>
      <w:r w:rsidRPr="00AC62C5">
        <w:rPr>
          <w:rFonts w:ascii="Times New Roman" w:hAnsi="Times New Roman" w:cs="Times New Roman"/>
          <w:i/>
          <w:iCs/>
          <w:lang w:val="lv-LV"/>
        </w:rPr>
        <w:t>personalis</w:t>
      </w:r>
      <w:proofErr w:type="spellEnd"/>
      <w:r w:rsidRPr="00AC62C5">
        <w:rPr>
          <w:rFonts w:ascii="Times New Roman" w:hAnsi="Times New Roman" w:cs="Times New Roman"/>
          <w:lang w:val="lv-LV"/>
        </w:rPr>
        <w:t xml:space="preserve"> – darījuma vai procesa dalībnieka valsts likums, kas var būt domicila jeb dzīvesvietas valsts likums (</w:t>
      </w:r>
      <w:proofErr w:type="spellStart"/>
      <w:r w:rsidRPr="00AC62C5">
        <w:rPr>
          <w:rFonts w:ascii="Times New Roman" w:hAnsi="Times New Roman" w:cs="Times New Roman"/>
          <w:i/>
          <w:iCs/>
          <w:lang w:val="lv-LV"/>
        </w:rPr>
        <w:t>lex</w:t>
      </w:r>
      <w:proofErr w:type="spellEnd"/>
      <w:r w:rsidRPr="00AC62C5">
        <w:rPr>
          <w:rFonts w:ascii="Times New Roman" w:hAnsi="Times New Roman" w:cs="Times New Roman"/>
          <w:i/>
          <w:iCs/>
          <w:lang w:val="lv-LV"/>
        </w:rPr>
        <w:t xml:space="preserve"> </w:t>
      </w:r>
      <w:proofErr w:type="spellStart"/>
      <w:r w:rsidRPr="00AC62C5">
        <w:rPr>
          <w:rFonts w:ascii="Times New Roman" w:hAnsi="Times New Roman" w:cs="Times New Roman"/>
          <w:i/>
          <w:iCs/>
          <w:lang w:val="lv-LV"/>
        </w:rPr>
        <w:t>domicilii</w:t>
      </w:r>
      <w:proofErr w:type="spellEnd"/>
      <w:r w:rsidRPr="00AC62C5">
        <w:rPr>
          <w:rFonts w:ascii="Times New Roman" w:hAnsi="Times New Roman" w:cs="Times New Roman"/>
          <w:lang w:val="lv-LV"/>
        </w:rPr>
        <w:t>) vai pilsonības/</w:t>
      </w:r>
      <w:proofErr w:type="spellStart"/>
      <w:r w:rsidRPr="00AC62C5">
        <w:rPr>
          <w:rFonts w:ascii="Times New Roman" w:hAnsi="Times New Roman" w:cs="Times New Roman"/>
          <w:lang w:val="lv-LV"/>
        </w:rPr>
        <w:t>pavalstsniecības</w:t>
      </w:r>
      <w:proofErr w:type="spellEnd"/>
      <w:r w:rsidRPr="00AC62C5">
        <w:rPr>
          <w:rFonts w:ascii="Times New Roman" w:hAnsi="Times New Roman" w:cs="Times New Roman"/>
          <w:lang w:val="lv-LV"/>
        </w:rPr>
        <w:t xml:space="preserve"> valsts likums (</w:t>
      </w:r>
      <w:proofErr w:type="spellStart"/>
      <w:r w:rsidRPr="00AC62C5">
        <w:rPr>
          <w:rFonts w:ascii="Times New Roman" w:hAnsi="Times New Roman" w:cs="Times New Roman"/>
          <w:i/>
          <w:iCs/>
          <w:lang w:val="lv-LV"/>
        </w:rPr>
        <w:t>lex</w:t>
      </w:r>
      <w:proofErr w:type="spellEnd"/>
      <w:r w:rsidRPr="00AC62C5">
        <w:rPr>
          <w:rFonts w:ascii="Times New Roman" w:hAnsi="Times New Roman" w:cs="Times New Roman"/>
          <w:i/>
          <w:iCs/>
          <w:lang w:val="lv-LV"/>
        </w:rPr>
        <w:t xml:space="preserve"> </w:t>
      </w:r>
      <w:proofErr w:type="spellStart"/>
      <w:r w:rsidRPr="00AC62C5">
        <w:rPr>
          <w:rFonts w:ascii="Times New Roman" w:hAnsi="Times New Roman" w:cs="Times New Roman"/>
          <w:i/>
          <w:iCs/>
          <w:lang w:val="lv-LV"/>
        </w:rPr>
        <w:t>patriae</w:t>
      </w:r>
      <w:proofErr w:type="spellEnd"/>
      <w:r w:rsidRPr="00AC62C5">
        <w:rPr>
          <w:rFonts w:ascii="Times New Roman" w:hAnsi="Times New Roman" w:cs="Times New Roman"/>
          <w:lang w:val="lv-LV"/>
        </w:rPr>
        <w:t>)</w:t>
      </w:r>
    </w:p>
    <w:p w14:paraId="0CC71EB5" w14:textId="77777777" w:rsidR="00C761DB" w:rsidRPr="00AC62C5" w:rsidRDefault="00C761DB" w:rsidP="00C761DB">
      <w:pPr>
        <w:rPr>
          <w:rFonts w:ascii="Times New Roman" w:hAnsi="Times New Roman" w:cs="Times New Roman"/>
          <w:lang w:val="lv-LV"/>
        </w:rPr>
      </w:pPr>
    </w:p>
    <w:p w14:paraId="4DF1ADEA" w14:textId="77777777" w:rsidR="00C761DB" w:rsidRDefault="00C761DB" w:rsidP="00C761DB">
      <w:pPr>
        <w:rPr>
          <w:rFonts w:ascii="Times New Roman" w:hAnsi="Times New Roman" w:cs="Times New Roman"/>
          <w:lang w:val="lv-LV"/>
        </w:rPr>
      </w:pPr>
      <w:proofErr w:type="spellStart"/>
      <w:r w:rsidRPr="00AC62C5">
        <w:rPr>
          <w:rFonts w:ascii="Times New Roman" w:hAnsi="Times New Roman" w:cs="Times New Roman"/>
          <w:i/>
          <w:iCs/>
          <w:lang w:val="lv-LV"/>
        </w:rPr>
        <w:t>Lex</w:t>
      </w:r>
      <w:proofErr w:type="spellEnd"/>
      <w:r w:rsidRPr="00AC62C5">
        <w:rPr>
          <w:rFonts w:ascii="Times New Roman" w:hAnsi="Times New Roman" w:cs="Times New Roman"/>
          <w:i/>
          <w:iCs/>
          <w:lang w:val="lv-LV"/>
        </w:rPr>
        <w:t xml:space="preserve"> </w:t>
      </w:r>
      <w:proofErr w:type="spellStart"/>
      <w:r w:rsidRPr="00AC62C5">
        <w:rPr>
          <w:rFonts w:ascii="Times New Roman" w:hAnsi="Times New Roman" w:cs="Times New Roman"/>
          <w:i/>
          <w:iCs/>
          <w:lang w:val="lv-LV"/>
        </w:rPr>
        <w:t>rei</w:t>
      </w:r>
      <w:proofErr w:type="spellEnd"/>
      <w:r w:rsidRPr="00AC62C5">
        <w:rPr>
          <w:rFonts w:ascii="Times New Roman" w:hAnsi="Times New Roman" w:cs="Times New Roman"/>
          <w:i/>
          <w:iCs/>
          <w:lang w:val="lv-LV"/>
        </w:rPr>
        <w:t xml:space="preserve"> </w:t>
      </w:r>
      <w:proofErr w:type="spellStart"/>
      <w:r w:rsidRPr="00AC62C5">
        <w:rPr>
          <w:rFonts w:ascii="Times New Roman" w:hAnsi="Times New Roman" w:cs="Times New Roman"/>
          <w:i/>
          <w:iCs/>
          <w:lang w:val="lv-LV"/>
        </w:rPr>
        <w:t>sitae</w:t>
      </w:r>
      <w:proofErr w:type="spellEnd"/>
      <w:r w:rsidRPr="00AC62C5">
        <w:rPr>
          <w:rFonts w:ascii="Times New Roman" w:hAnsi="Times New Roman" w:cs="Times New Roman"/>
          <w:i/>
          <w:iCs/>
          <w:lang w:val="lv-LV"/>
        </w:rPr>
        <w:t xml:space="preserve"> </w:t>
      </w:r>
      <w:r w:rsidRPr="00AC62C5">
        <w:rPr>
          <w:rFonts w:ascii="Times New Roman" w:hAnsi="Times New Roman" w:cs="Times New Roman"/>
          <w:lang w:val="lv-LV"/>
        </w:rPr>
        <w:t>– nekustamā īpašuma atrašanās vietas likums.</w:t>
      </w:r>
    </w:p>
    <w:p w14:paraId="4BA9D1A2" w14:textId="77777777" w:rsidR="00C761DB" w:rsidRPr="00AC62C5" w:rsidRDefault="00C761DB" w:rsidP="00C761DB">
      <w:pPr>
        <w:rPr>
          <w:rFonts w:ascii="Times New Roman" w:hAnsi="Times New Roman" w:cs="Times New Roman"/>
          <w:lang w:val="lv-LV"/>
        </w:rPr>
      </w:pPr>
    </w:p>
    <w:p w14:paraId="4CDC15B5" w14:textId="77777777" w:rsidR="00C761DB" w:rsidRDefault="00C761DB" w:rsidP="00C761DB">
      <w:pPr>
        <w:rPr>
          <w:rFonts w:ascii="Times New Roman" w:hAnsi="Times New Roman" w:cs="Times New Roman"/>
          <w:lang w:val="lv-LV"/>
        </w:rPr>
      </w:pPr>
      <w:proofErr w:type="spellStart"/>
      <w:r w:rsidRPr="00AC62C5">
        <w:rPr>
          <w:rFonts w:ascii="Times New Roman" w:hAnsi="Times New Roman" w:cs="Times New Roman"/>
          <w:i/>
          <w:iCs/>
          <w:lang w:val="lv-LV"/>
        </w:rPr>
        <w:t>Lex</w:t>
      </w:r>
      <w:proofErr w:type="spellEnd"/>
      <w:r w:rsidRPr="00AC62C5">
        <w:rPr>
          <w:rFonts w:ascii="Times New Roman" w:hAnsi="Times New Roman" w:cs="Times New Roman"/>
          <w:i/>
          <w:iCs/>
          <w:lang w:val="lv-LV"/>
        </w:rPr>
        <w:t xml:space="preserve"> </w:t>
      </w:r>
      <w:proofErr w:type="spellStart"/>
      <w:r w:rsidRPr="00AC62C5">
        <w:rPr>
          <w:rFonts w:ascii="Times New Roman" w:hAnsi="Times New Roman" w:cs="Times New Roman"/>
          <w:i/>
          <w:iCs/>
          <w:lang w:val="lv-LV"/>
        </w:rPr>
        <w:t>societatis</w:t>
      </w:r>
      <w:proofErr w:type="spellEnd"/>
      <w:r w:rsidRPr="00AC62C5">
        <w:rPr>
          <w:rFonts w:ascii="Times New Roman" w:hAnsi="Times New Roman" w:cs="Times New Roman"/>
          <w:i/>
          <w:iCs/>
          <w:lang w:val="lv-LV"/>
        </w:rPr>
        <w:t xml:space="preserve"> </w:t>
      </w:r>
      <w:r w:rsidRPr="00AC62C5">
        <w:rPr>
          <w:rFonts w:ascii="Times New Roman" w:hAnsi="Times New Roman" w:cs="Times New Roman"/>
          <w:lang w:val="lv-LV"/>
        </w:rPr>
        <w:t>– juridiskās personas personīgais likums.</w:t>
      </w:r>
    </w:p>
    <w:p w14:paraId="3239A323" w14:textId="77777777" w:rsidR="00C761DB" w:rsidRPr="00AC62C5" w:rsidRDefault="00C761DB" w:rsidP="00C761DB">
      <w:pPr>
        <w:rPr>
          <w:rFonts w:ascii="Times New Roman" w:hAnsi="Times New Roman" w:cs="Times New Roman"/>
          <w:lang w:val="lv-LV"/>
        </w:rPr>
      </w:pPr>
    </w:p>
    <w:p w14:paraId="68343C25" w14:textId="77777777" w:rsidR="00C761DB" w:rsidRDefault="00C761DB" w:rsidP="00C761DB">
      <w:pPr>
        <w:rPr>
          <w:rFonts w:ascii="Times New Roman" w:hAnsi="Times New Roman" w:cs="Times New Roman"/>
          <w:lang w:val="lv-LV"/>
        </w:rPr>
      </w:pPr>
      <w:proofErr w:type="spellStart"/>
      <w:r w:rsidRPr="00AC62C5">
        <w:rPr>
          <w:rFonts w:ascii="Times New Roman" w:hAnsi="Times New Roman" w:cs="Times New Roman"/>
          <w:i/>
          <w:iCs/>
          <w:lang w:val="lv-LV"/>
        </w:rPr>
        <w:t>Lex</w:t>
      </w:r>
      <w:proofErr w:type="spellEnd"/>
      <w:r w:rsidRPr="00AC62C5">
        <w:rPr>
          <w:rFonts w:ascii="Times New Roman" w:hAnsi="Times New Roman" w:cs="Times New Roman"/>
          <w:i/>
          <w:iCs/>
          <w:lang w:val="lv-LV"/>
        </w:rPr>
        <w:t xml:space="preserve"> </w:t>
      </w:r>
      <w:proofErr w:type="spellStart"/>
      <w:r w:rsidRPr="00AC62C5">
        <w:rPr>
          <w:rFonts w:ascii="Times New Roman" w:hAnsi="Times New Roman" w:cs="Times New Roman"/>
          <w:i/>
          <w:iCs/>
          <w:lang w:val="lv-LV"/>
        </w:rPr>
        <w:t>voluntatis</w:t>
      </w:r>
      <w:proofErr w:type="spellEnd"/>
      <w:r w:rsidRPr="00AC62C5">
        <w:rPr>
          <w:rFonts w:ascii="Times New Roman" w:hAnsi="Times New Roman" w:cs="Times New Roman"/>
          <w:i/>
          <w:iCs/>
          <w:lang w:val="lv-LV"/>
        </w:rPr>
        <w:t xml:space="preserve"> </w:t>
      </w:r>
      <w:r w:rsidRPr="00AC62C5">
        <w:rPr>
          <w:rFonts w:ascii="Times New Roman" w:hAnsi="Times New Roman" w:cs="Times New Roman"/>
          <w:lang w:val="lv-LV"/>
        </w:rPr>
        <w:t>– pušu izvēlētais piemērojamais likums.</w:t>
      </w:r>
    </w:p>
    <w:p w14:paraId="36F44DC1" w14:textId="77777777" w:rsidR="00C761DB" w:rsidRDefault="00C761DB" w:rsidP="00C761DB">
      <w:pPr>
        <w:rPr>
          <w:rFonts w:ascii="Times New Roman" w:hAnsi="Times New Roman" w:cs="Times New Roman"/>
          <w:lang w:val="lv-LV"/>
        </w:rPr>
      </w:pPr>
    </w:p>
    <w:p w14:paraId="5557B7AF" w14:textId="77777777" w:rsidR="00C761DB" w:rsidRDefault="00C761DB" w:rsidP="00C761DB">
      <w:pPr>
        <w:rPr>
          <w:rFonts w:ascii="Times New Roman" w:hAnsi="Times New Roman" w:cs="Times New Roman"/>
          <w:lang w:val="lv-LV"/>
        </w:rPr>
      </w:pPr>
      <w:proofErr w:type="spellStart"/>
      <w:r w:rsidRPr="00AC62C5">
        <w:rPr>
          <w:rFonts w:ascii="Times New Roman" w:hAnsi="Times New Roman" w:cs="Times New Roman"/>
          <w:i/>
          <w:lang w:val="lv-LV"/>
        </w:rPr>
        <w:t>Locus</w:t>
      </w:r>
      <w:proofErr w:type="spellEnd"/>
      <w:r w:rsidRPr="00AC62C5">
        <w:rPr>
          <w:rFonts w:ascii="Times New Roman" w:hAnsi="Times New Roman" w:cs="Times New Roman"/>
          <w:i/>
          <w:lang w:val="lv-LV"/>
        </w:rPr>
        <w:t xml:space="preserve"> </w:t>
      </w:r>
      <w:proofErr w:type="spellStart"/>
      <w:r w:rsidRPr="00AC62C5">
        <w:rPr>
          <w:rFonts w:ascii="Times New Roman" w:hAnsi="Times New Roman" w:cs="Times New Roman"/>
          <w:i/>
          <w:lang w:val="lv-LV"/>
        </w:rPr>
        <w:t>regit</w:t>
      </w:r>
      <w:proofErr w:type="spellEnd"/>
      <w:r w:rsidRPr="00AC62C5">
        <w:rPr>
          <w:rFonts w:ascii="Times New Roman" w:hAnsi="Times New Roman" w:cs="Times New Roman"/>
          <w:i/>
          <w:lang w:val="lv-LV"/>
        </w:rPr>
        <w:t xml:space="preserve"> </w:t>
      </w:r>
      <w:proofErr w:type="spellStart"/>
      <w:r w:rsidRPr="00AC62C5">
        <w:rPr>
          <w:rFonts w:ascii="Times New Roman" w:hAnsi="Times New Roman" w:cs="Times New Roman"/>
          <w:i/>
          <w:lang w:val="lv-LV"/>
        </w:rPr>
        <w:t>actum</w:t>
      </w:r>
      <w:proofErr w:type="spellEnd"/>
      <w:r>
        <w:rPr>
          <w:rFonts w:ascii="Times New Roman" w:hAnsi="Times New Roman" w:cs="Times New Roman"/>
          <w:lang w:val="lv-LV"/>
        </w:rPr>
        <w:t xml:space="preserve"> – akta noslēgšanas / parakstīšanas vieta (piemēro dokumentu formai, bet ne saturam)</w:t>
      </w:r>
    </w:p>
    <w:p w14:paraId="212E94DC" w14:textId="77777777" w:rsidR="00C761DB" w:rsidRPr="00AC62C5" w:rsidRDefault="00C761DB" w:rsidP="00C761DB">
      <w:pPr>
        <w:rPr>
          <w:rFonts w:ascii="Times New Roman" w:hAnsi="Times New Roman" w:cs="Times New Roman"/>
          <w:lang w:val="lv-LV"/>
        </w:rPr>
      </w:pPr>
    </w:p>
    <w:p w14:paraId="13117F10" w14:textId="77777777" w:rsidR="00C761DB" w:rsidRDefault="00C761DB" w:rsidP="00C761DB">
      <w:pPr>
        <w:rPr>
          <w:rFonts w:ascii="Times New Roman" w:hAnsi="Times New Roman" w:cs="Times New Roman"/>
          <w:lang w:val="lv-LV"/>
        </w:rPr>
      </w:pPr>
      <w:proofErr w:type="spellStart"/>
      <w:r w:rsidRPr="00AC62C5">
        <w:rPr>
          <w:rFonts w:ascii="Times New Roman" w:hAnsi="Times New Roman" w:cs="Times New Roman"/>
          <w:i/>
          <w:iCs/>
          <w:lang w:val="lv-LV"/>
        </w:rPr>
        <w:t>Ordinatoria</w:t>
      </w:r>
      <w:proofErr w:type="spellEnd"/>
      <w:r w:rsidRPr="00AC62C5">
        <w:rPr>
          <w:rFonts w:ascii="Times New Roman" w:hAnsi="Times New Roman" w:cs="Times New Roman"/>
          <w:i/>
          <w:iCs/>
          <w:lang w:val="lv-LV"/>
        </w:rPr>
        <w:t xml:space="preserve"> </w:t>
      </w:r>
      <w:proofErr w:type="spellStart"/>
      <w:r w:rsidRPr="00AC62C5">
        <w:rPr>
          <w:rFonts w:ascii="Times New Roman" w:hAnsi="Times New Roman" w:cs="Times New Roman"/>
          <w:i/>
          <w:iCs/>
          <w:lang w:val="lv-LV"/>
        </w:rPr>
        <w:t>litis</w:t>
      </w:r>
      <w:proofErr w:type="spellEnd"/>
      <w:r w:rsidRPr="00AC62C5">
        <w:rPr>
          <w:rFonts w:ascii="Times New Roman" w:hAnsi="Times New Roman" w:cs="Times New Roman"/>
          <w:lang w:val="lv-LV"/>
        </w:rPr>
        <w:t xml:space="preserve"> – procesuālās tiesību normas.</w:t>
      </w:r>
    </w:p>
    <w:p w14:paraId="214432B3" w14:textId="77777777" w:rsidR="00C761DB" w:rsidRPr="00AC62C5" w:rsidRDefault="00C761DB" w:rsidP="00C761DB">
      <w:pPr>
        <w:rPr>
          <w:rFonts w:ascii="Times New Roman" w:hAnsi="Times New Roman" w:cs="Times New Roman"/>
          <w:lang w:val="lv-LV"/>
        </w:rPr>
      </w:pPr>
    </w:p>
    <w:p w14:paraId="5059C51C" w14:textId="77777777" w:rsidR="00C761DB" w:rsidRDefault="00C761DB" w:rsidP="00C761DB">
      <w:pPr>
        <w:rPr>
          <w:rFonts w:ascii="Times New Roman" w:hAnsi="Times New Roman" w:cs="Times New Roman"/>
          <w:lang w:val="lv-LV"/>
        </w:rPr>
      </w:pPr>
      <w:proofErr w:type="spellStart"/>
      <w:r w:rsidRPr="00AC62C5">
        <w:rPr>
          <w:rFonts w:ascii="Times New Roman" w:hAnsi="Times New Roman" w:cs="Times New Roman"/>
          <w:i/>
          <w:iCs/>
          <w:lang w:val="lv-LV"/>
        </w:rPr>
        <w:t>Praeter</w:t>
      </w:r>
      <w:proofErr w:type="spellEnd"/>
      <w:r w:rsidRPr="00AC62C5">
        <w:rPr>
          <w:rFonts w:ascii="Times New Roman" w:hAnsi="Times New Roman" w:cs="Times New Roman"/>
          <w:i/>
          <w:iCs/>
          <w:lang w:val="lv-LV"/>
        </w:rPr>
        <w:t xml:space="preserve"> </w:t>
      </w:r>
      <w:proofErr w:type="spellStart"/>
      <w:r w:rsidRPr="00AC62C5">
        <w:rPr>
          <w:rFonts w:ascii="Times New Roman" w:hAnsi="Times New Roman" w:cs="Times New Roman"/>
          <w:i/>
          <w:iCs/>
          <w:lang w:val="lv-LV"/>
        </w:rPr>
        <w:t>legem</w:t>
      </w:r>
      <w:proofErr w:type="spellEnd"/>
      <w:r w:rsidRPr="00AC62C5">
        <w:rPr>
          <w:rFonts w:ascii="Times New Roman" w:hAnsi="Times New Roman" w:cs="Times New Roman"/>
          <w:i/>
          <w:iCs/>
          <w:lang w:val="lv-LV"/>
        </w:rPr>
        <w:t xml:space="preserve"> </w:t>
      </w:r>
      <w:r w:rsidRPr="00AC62C5">
        <w:rPr>
          <w:rFonts w:ascii="Times New Roman" w:hAnsi="Times New Roman" w:cs="Times New Roman"/>
          <w:lang w:val="lv-LV"/>
        </w:rPr>
        <w:t>– ar likumu nenoregulētā jomā.</w:t>
      </w:r>
    </w:p>
    <w:p w14:paraId="1EEB92F9" w14:textId="77777777" w:rsidR="00C761DB" w:rsidRPr="00AC62C5" w:rsidRDefault="00C761DB" w:rsidP="00C761DB">
      <w:pPr>
        <w:rPr>
          <w:rFonts w:ascii="Times New Roman" w:hAnsi="Times New Roman" w:cs="Times New Roman"/>
          <w:lang w:val="lv-LV"/>
        </w:rPr>
      </w:pPr>
    </w:p>
    <w:p w14:paraId="4E721F17" w14:textId="77777777" w:rsidR="00C761DB" w:rsidRPr="00AC62C5" w:rsidRDefault="00C761DB" w:rsidP="00C761DB">
      <w:pPr>
        <w:rPr>
          <w:rFonts w:ascii="Times New Roman" w:hAnsi="Times New Roman" w:cs="Times New Roman"/>
          <w:lang w:val="lv-LV"/>
        </w:rPr>
      </w:pPr>
      <w:proofErr w:type="spellStart"/>
      <w:r w:rsidRPr="00AC62C5">
        <w:rPr>
          <w:rFonts w:ascii="Times New Roman" w:hAnsi="Times New Roman" w:cs="Times New Roman"/>
          <w:i/>
          <w:iCs/>
          <w:lang w:val="lv-LV"/>
        </w:rPr>
        <w:lastRenderedPageBreak/>
        <w:t>Scripta</w:t>
      </w:r>
      <w:proofErr w:type="spellEnd"/>
      <w:r w:rsidRPr="00AC62C5">
        <w:rPr>
          <w:rFonts w:ascii="Times New Roman" w:hAnsi="Times New Roman" w:cs="Times New Roman"/>
          <w:i/>
          <w:iCs/>
          <w:lang w:val="lv-LV"/>
        </w:rPr>
        <w:t xml:space="preserve"> </w:t>
      </w:r>
      <w:proofErr w:type="spellStart"/>
      <w:r w:rsidRPr="00AC62C5">
        <w:rPr>
          <w:rFonts w:ascii="Times New Roman" w:hAnsi="Times New Roman" w:cs="Times New Roman"/>
          <w:i/>
          <w:iCs/>
          <w:lang w:val="lv-LV"/>
        </w:rPr>
        <w:t>publica</w:t>
      </w:r>
      <w:proofErr w:type="spellEnd"/>
      <w:r w:rsidRPr="00AC62C5">
        <w:rPr>
          <w:rFonts w:ascii="Times New Roman" w:hAnsi="Times New Roman" w:cs="Times New Roman"/>
          <w:i/>
          <w:iCs/>
          <w:lang w:val="lv-LV"/>
        </w:rPr>
        <w:t xml:space="preserve"> </w:t>
      </w:r>
      <w:proofErr w:type="spellStart"/>
      <w:r w:rsidRPr="00AC62C5">
        <w:rPr>
          <w:rFonts w:ascii="Times New Roman" w:hAnsi="Times New Roman" w:cs="Times New Roman"/>
          <w:i/>
          <w:iCs/>
          <w:lang w:val="lv-LV"/>
        </w:rPr>
        <w:t>probant</w:t>
      </w:r>
      <w:proofErr w:type="spellEnd"/>
      <w:r w:rsidRPr="00AC62C5">
        <w:rPr>
          <w:rFonts w:ascii="Times New Roman" w:hAnsi="Times New Roman" w:cs="Times New Roman"/>
          <w:i/>
          <w:iCs/>
          <w:lang w:val="lv-LV"/>
        </w:rPr>
        <w:t xml:space="preserve"> se </w:t>
      </w:r>
      <w:proofErr w:type="spellStart"/>
      <w:r w:rsidRPr="00AC62C5">
        <w:rPr>
          <w:rFonts w:ascii="Times New Roman" w:hAnsi="Times New Roman" w:cs="Times New Roman"/>
          <w:i/>
          <w:iCs/>
          <w:lang w:val="lv-LV"/>
        </w:rPr>
        <w:t>ipsa</w:t>
      </w:r>
      <w:proofErr w:type="spellEnd"/>
      <w:r w:rsidRPr="00AC62C5">
        <w:rPr>
          <w:rFonts w:ascii="Times New Roman" w:hAnsi="Times New Roman" w:cs="Times New Roman"/>
          <w:i/>
          <w:iCs/>
          <w:lang w:val="lv-LV"/>
        </w:rPr>
        <w:t xml:space="preserve"> </w:t>
      </w:r>
      <w:r w:rsidRPr="00AC62C5">
        <w:rPr>
          <w:rFonts w:ascii="Times New Roman" w:hAnsi="Times New Roman" w:cs="Times New Roman"/>
          <w:lang w:val="lv-LV"/>
        </w:rPr>
        <w:t>– publiskiem ierakstiem (aktiem) pašiem par sevi ir pierādījuma spēks.</w:t>
      </w:r>
    </w:p>
    <w:p w14:paraId="0F21D542" w14:textId="77777777" w:rsidR="00C761DB" w:rsidRPr="000C7C76" w:rsidRDefault="00C761DB">
      <w:pPr>
        <w:rPr>
          <w:lang w:val="lv-LV"/>
        </w:rPr>
      </w:pPr>
    </w:p>
    <w:sectPr w:rsidR="00C761DB" w:rsidRPr="000C7C76" w:rsidSect="00D6379C">
      <w:headerReference w:type="default" r:id="rId13"/>
      <w:footerReference w:type="even" r:id="rId14"/>
      <w:footerReference w:type="default" r:id="rId15"/>
      <w:headerReference w:type="first" r:id="rId16"/>
      <w:pgSz w:w="11900" w:h="16840"/>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E10DAC" w14:textId="77777777" w:rsidR="00706D6C" w:rsidRDefault="00706D6C" w:rsidP="00114953">
      <w:r>
        <w:separator/>
      </w:r>
    </w:p>
  </w:endnote>
  <w:endnote w:type="continuationSeparator" w:id="0">
    <w:p w14:paraId="5A23736C" w14:textId="77777777" w:rsidR="00706D6C" w:rsidRDefault="00706D6C" w:rsidP="001149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4E"/>
    <w:family w:val="auto"/>
    <w:pitch w:val="variable"/>
    <w:sig w:usb0="00000001"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F7BBFA" w14:textId="77777777" w:rsidR="000C7C76" w:rsidRDefault="000C7C76" w:rsidP="00BF3A7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EF31806" w14:textId="77777777" w:rsidR="000C7C76" w:rsidRDefault="000C7C76" w:rsidP="00D6379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677D68" w14:textId="77777777" w:rsidR="000C7C76" w:rsidRDefault="000C7C76" w:rsidP="00BF3A7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603127">
      <w:rPr>
        <w:rStyle w:val="PageNumber"/>
        <w:noProof/>
      </w:rPr>
      <w:t>59</w:t>
    </w:r>
    <w:r>
      <w:rPr>
        <w:rStyle w:val="PageNumber"/>
      </w:rPr>
      <w:fldChar w:fldCharType="end"/>
    </w:r>
  </w:p>
  <w:p w14:paraId="5E42C6A3" w14:textId="77777777" w:rsidR="000C7C76" w:rsidRDefault="000C7C76" w:rsidP="00D6379C">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BA62A4" w14:textId="77777777" w:rsidR="00706D6C" w:rsidRDefault="00706D6C" w:rsidP="00114953">
      <w:r>
        <w:separator/>
      </w:r>
    </w:p>
  </w:footnote>
  <w:footnote w:type="continuationSeparator" w:id="0">
    <w:p w14:paraId="496CD565" w14:textId="77777777" w:rsidR="00706D6C" w:rsidRDefault="00706D6C" w:rsidP="00114953">
      <w:r>
        <w:continuationSeparator/>
      </w:r>
    </w:p>
  </w:footnote>
  <w:footnote w:id="1">
    <w:p w14:paraId="73868AA8" w14:textId="174C00AA" w:rsidR="000C7C76" w:rsidRPr="000C7C76" w:rsidRDefault="000C7C76" w:rsidP="00114953">
      <w:pPr>
        <w:pStyle w:val="FootnoteText"/>
        <w:jc w:val="both"/>
        <w:rPr>
          <w:lang w:val="en-US"/>
        </w:rPr>
      </w:pPr>
      <w:r w:rsidRPr="005F6CA9">
        <w:rPr>
          <w:rStyle w:val="FootnoteReference"/>
        </w:rPr>
        <w:footnoteRef/>
      </w:r>
      <w:r w:rsidRPr="005F6CA9">
        <w:t xml:space="preserve"> </w:t>
      </w:r>
      <w:proofErr w:type="spellStart"/>
      <w:r w:rsidRPr="005F6CA9">
        <w:rPr>
          <w:lang w:val="lv-LV"/>
        </w:rPr>
        <w:t>Call</w:t>
      </w:r>
      <w:proofErr w:type="spellEnd"/>
      <w:r w:rsidRPr="005F6CA9">
        <w:rPr>
          <w:lang w:val="fr-FR"/>
        </w:rPr>
        <w:t>é P. L’acte public en d</w:t>
      </w:r>
      <w:r>
        <w:rPr>
          <w:lang w:val="fr-FR"/>
        </w:rPr>
        <w:t xml:space="preserve">roit international privé. </w:t>
      </w:r>
      <w:r w:rsidRPr="000C7C76">
        <w:rPr>
          <w:lang w:val="en-US"/>
        </w:rPr>
        <w:t xml:space="preserve">Paris: </w:t>
      </w:r>
      <w:proofErr w:type="spellStart"/>
      <w:r w:rsidRPr="000C7C76">
        <w:rPr>
          <w:lang w:val="en-US"/>
        </w:rPr>
        <w:t>Economica</w:t>
      </w:r>
      <w:proofErr w:type="spellEnd"/>
      <w:r w:rsidRPr="000C7C76">
        <w:rPr>
          <w:lang w:val="en-US"/>
        </w:rPr>
        <w:t>, 2004, p. 39, 44.</w:t>
      </w:r>
    </w:p>
  </w:footnote>
  <w:footnote w:id="2">
    <w:p w14:paraId="0B823AB5" w14:textId="77777777" w:rsidR="000C7C76" w:rsidRPr="000C7C76" w:rsidRDefault="000C7C76" w:rsidP="00114953">
      <w:pPr>
        <w:pStyle w:val="FootnoteText"/>
        <w:jc w:val="both"/>
        <w:rPr>
          <w:lang w:val="en-US"/>
        </w:rPr>
      </w:pPr>
      <w:r w:rsidRPr="005F6CA9">
        <w:rPr>
          <w:rStyle w:val="FootnoteReference"/>
        </w:rPr>
        <w:footnoteRef/>
      </w:r>
      <w:r w:rsidRPr="005F6CA9">
        <w:t xml:space="preserve"> </w:t>
      </w:r>
      <w:r w:rsidRPr="000C7C76">
        <w:rPr>
          <w:i/>
          <w:lang w:val="en-US"/>
        </w:rPr>
        <w:t>Ibid</w:t>
      </w:r>
      <w:r w:rsidRPr="000C7C76">
        <w:rPr>
          <w:lang w:val="en-US"/>
        </w:rPr>
        <w:t>., p. 44, 58.</w:t>
      </w:r>
    </w:p>
  </w:footnote>
  <w:footnote w:id="3">
    <w:p w14:paraId="1E12E5FB" w14:textId="77777777" w:rsidR="000C7C76" w:rsidRPr="000C7C76" w:rsidRDefault="000C7C76" w:rsidP="00114953">
      <w:pPr>
        <w:pStyle w:val="FootnoteText"/>
        <w:jc w:val="both"/>
        <w:rPr>
          <w:lang w:val="en-US"/>
        </w:rPr>
      </w:pPr>
      <w:r w:rsidRPr="005F6CA9">
        <w:rPr>
          <w:rStyle w:val="FootnoteReference"/>
        </w:rPr>
        <w:footnoteRef/>
      </w:r>
      <w:r w:rsidRPr="005F6CA9">
        <w:t xml:space="preserve"> </w:t>
      </w:r>
      <w:proofErr w:type="spellStart"/>
      <w:r w:rsidRPr="005F6CA9">
        <w:rPr>
          <w:lang w:val="lv-LV"/>
        </w:rPr>
        <w:t>Kropholler</w:t>
      </w:r>
      <w:proofErr w:type="spellEnd"/>
      <w:r w:rsidRPr="005F6CA9">
        <w:rPr>
          <w:lang w:val="lv-LV"/>
        </w:rPr>
        <w:t xml:space="preserve"> J. </w:t>
      </w:r>
      <w:proofErr w:type="spellStart"/>
      <w:r w:rsidRPr="005F6CA9">
        <w:rPr>
          <w:lang w:val="lv-LV"/>
        </w:rPr>
        <w:t>Internationales</w:t>
      </w:r>
      <w:proofErr w:type="spellEnd"/>
      <w:r w:rsidRPr="005F6CA9">
        <w:rPr>
          <w:lang w:val="lv-LV"/>
        </w:rPr>
        <w:t xml:space="preserve"> </w:t>
      </w:r>
      <w:proofErr w:type="spellStart"/>
      <w:r w:rsidRPr="005F6CA9">
        <w:rPr>
          <w:lang w:val="lv-LV"/>
        </w:rPr>
        <w:t>Privatrecht</w:t>
      </w:r>
      <w:proofErr w:type="spellEnd"/>
      <w:r w:rsidRPr="005F6CA9">
        <w:rPr>
          <w:lang w:val="lv-LV"/>
        </w:rPr>
        <w:t>. 5.Auflage. T</w:t>
      </w:r>
      <w:proofErr w:type="spellStart"/>
      <w:r w:rsidRPr="000C7C76">
        <w:rPr>
          <w:lang w:val="en-US"/>
        </w:rPr>
        <w:t>übingen</w:t>
      </w:r>
      <w:proofErr w:type="spellEnd"/>
      <w:r w:rsidRPr="000C7C76">
        <w:rPr>
          <w:lang w:val="en-US"/>
        </w:rPr>
        <w:t xml:space="preserve">: Mohr </w:t>
      </w:r>
      <w:proofErr w:type="spellStart"/>
      <w:r w:rsidRPr="000C7C76">
        <w:rPr>
          <w:lang w:val="en-US"/>
        </w:rPr>
        <w:t>Siebeck</w:t>
      </w:r>
      <w:proofErr w:type="spellEnd"/>
      <w:r w:rsidRPr="000C7C76">
        <w:rPr>
          <w:lang w:val="en-US"/>
        </w:rPr>
        <w:t xml:space="preserve"> Verlag, 2004, S. 129.-132; Heinz N. Das </w:t>
      </w:r>
      <w:proofErr w:type="spellStart"/>
      <w:r w:rsidRPr="000C7C76">
        <w:rPr>
          <w:lang w:val="en-US"/>
        </w:rPr>
        <w:t>Vollmachtstatut</w:t>
      </w:r>
      <w:proofErr w:type="spellEnd"/>
      <w:r w:rsidRPr="000C7C76">
        <w:rPr>
          <w:lang w:val="en-US"/>
        </w:rPr>
        <w:t xml:space="preserve">. </w:t>
      </w:r>
      <w:r w:rsidRPr="005F6CA9">
        <w:rPr>
          <w:lang w:val="lv-LV"/>
        </w:rPr>
        <w:t>T</w:t>
      </w:r>
      <w:proofErr w:type="spellStart"/>
      <w:r w:rsidRPr="000C7C76">
        <w:rPr>
          <w:lang w:val="en-US"/>
        </w:rPr>
        <w:t>übingen</w:t>
      </w:r>
      <w:proofErr w:type="spellEnd"/>
      <w:r w:rsidRPr="000C7C76">
        <w:rPr>
          <w:lang w:val="en-US"/>
        </w:rPr>
        <w:t xml:space="preserve">: Mohr </w:t>
      </w:r>
      <w:proofErr w:type="spellStart"/>
      <w:r w:rsidRPr="000C7C76">
        <w:rPr>
          <w:lang w:val="en-US"/>
        </w:rPr>
        <w:t>Siebeck</w:t>
      </w:r>
      <w:proofErr w:type="spellEnd"/>
      <w:r w:rsidRPr="000C7C76">
        <w:rPr>
          <w:lang w:val="en-US"/>
        </w:rPr>
        <w:t xml:space="preserve"> Verlag, 2011, S. 35.</w:t>
      </w:r>
    </w:p>
  </w:footnote>
  <w:footnote w:id="4">
    <w:p w14:paraId="560D98D0" w14:textId="77777777" w:rsidR="000C7C76" w:rsidRPr="000C7C76" w:rsidRDefault="000C7C76" w:rsidP="00114953">
      <w:pPr>
        <w:pStyle w:val="FootnoteText"/>
        <w:jc w:val="both"/>
        <w:rPr>
          <w:lang w:val="en-US"/>
        </w:rPr>
      </w:pPr>
      <w:r w:rsidRPr="005F6CA9">
        <w:rPr>
          <w:rStyle w:val="FootnoteReference"/>
        </w:rPr>
        <w:footnoteRef/>
      </w:r>
      <w:r w:rsidRPr="005F6CA9">
        <w:t xml:space="preserve"> </w:t>
      </w:r>
      <w:proofErr w:type="spellStart"/>
      <w:r w:rsidRPr="005F6CA9">
        <w:rPr>
          <w:lang w:val="lv-LV"/>
        </w:rPr>
        <w:t>Giardina</w:t>
      </w:r>
      <w:proofErr w:type="spellEnd"/>
      <w:r w:rsidRPr="005F6CA9">
        <w:rPr>
          <w:lang w:val="lv-LV"/>
        </w:rPr>
        <w:t xml:space="preserve"> A. Les </w:t>
      </w:r>
      <w:proofErr w:type="spellStart"/>
      <w:r w:rsidRPr="005F6CA9">
        <w:rPr>
          <w:lang w:val="lv-LV"/>
        </w:rPr>
        <w:t>contrats</w:t>
      </w:r>
      <w:proofErr w:type="spellEnd"/>
      <w:r w:rsidRPr="005F6CA9">
        <w:rPr>
          <w:lang w:val="lv-LV"/>
        </w:rPr>
        <w:t xml:space="preserve"> </w:t>
      </w:r>
      <w:r w:rsidRPr="005F6CA9">
        <w:rPr>
          <w:lang w:val="fr-FR"/>
        </w:rPr>
        <w:t xml:space="preserve">liés </w:t>
      </w:r>
      <w:r>
        <w:rPr>
          <w:lang w:val="fr-FR"/>
        </w:rPr>
        <w:t xml:space="preserve">en droit international privé. </w:t>
      </w:r>
      <w:proofErr w:type="gramStart"/>
      <w:r>
        <w:rPr>
          <w:lang w:val="fr-FR"/>
        </w:rPr>
        <w:t>In</w:t>
      </w:r>
      <w:r w:rsidRPr="005F6CA9">
        <w:rPr>
          <w:lang w:val="lv-LV"/>
        </w:rPr>
        <w:t>:</w:t>
      </w:r>
      <w:proofErr w:type="gramEnd"/>
      <w:r w:rsidRPr="005F6CA9">
        <w:rPr>
          <w:lang w:val="lv-LV"/>
        </w:rPr>
        <w:t xml:space="preserve"> </w:t>
      </w:r>
      <w:proofErr w:type="spellStart"/>
      <w:r w:rsidRPr="005F6CA9">
        <w:rPr>
          <w:lang w:val="lv-LV"/>
        </w:rPr>
        <w:t>Droit</w:t>
      </w:r>
      <w:proofErr w:type="spellEnd"/>
      <w:r w:rsidRPr="005F6CA9">
        <w:rPr>
          <w:lang w:val="lv-LV"/>
        </w:rPr>
        <w:t xml:space="preserve"> </w:t>
      </w:r>
      <w:proofErr w:type="spellStart"/>
      <w:r w:rsidRPr="005F6CA9">
        <w:rPr>
          <w:lang w:val="lv-LV"/>
        </w:rPr>
        <w:t>international</w:t>
      </w:r>
      <w:proofErr w:type="spellEnd"/>
      <w:r w:rsidRPr="005F6CA9">
        <w:rPr>
          <w:lang w:val="lv-LV"/>
        </w:rPr>
        <w:t xml:space="preserve"> </w:t>
      </w:r>
      <w:proofErr w:type="spellStart"/>
      <w:r w:rsidRPr="005F6CA9">
        <w:rPr>
          <w:lang w:val="lv-LV"/>
        </w:rPr>
        <w:t>priv</w:t>
      </w:r>
      <w:proofErr w:type="spellEnd"/>
      <w:r w:rsidRPr="005F6CA9">
        <w:rPr>
          <w:lang w:val="fr-FR"/>
        </w:rPr>
        <w:t xml:space="preserve">é. Travaux du Comité Français de droit international privé. </w:t>
      </w:r>
      <w:proofErr w:type="spellStart"/>
      <w:r w:rsidRPr="000C7C76">
        <w:rPr>
          <w:lang w:val="en-US"/>
        </w:rPr>
        <w:t>Années</w:t>
      </w:r>
      <w:proofErr w:type="spellEnd"/>
      <w:r w:rsidRPr="000C7C76">
        <w:rPr>
          <w:lang w:val="en-US"/>
        </w:rPr>
        <w:t xml:space="preserve"> 1995-1998. </w:t>
      </w:r>
      <w:proofErr w:type="gramStart"/>
      <w:r w:rsidRPr="000C7C76">
        <w:rPr>
          <w:lang w:val="en-US"/>
        </w:rPr>
        <w:t>Paris :</w:t>
      </w:r>
      <w:proofErr w:type="gramEnd"/>
      <w:r w:rsidRPr="000C7C76">
        <w:rPr>
          <w:lang w:val="en-US"/>
        </w:rPr>
        <w:t xml:space="preserve"> </w:t>
      </w:r>
      <w:proofErr w:type="spellStart"/>
      <w:r w:rsidRPr="000C7C76">
        <w:rPr>
          <w:lang w:val="en-US"/>
        </w:rPr>
        <w:t>A.Pedone</w:t>
      </w:r>
      <w:proofErr w:type="spellEnd"/>
      <w:r w:rsidRPr="000C7C76">
        <w:rPr>
          <w:lang w:val="en-US"/>
        </w:rPr>
        <w:t>, 2000, p. 102.</w:t>
      </w:r>
    </w:p>
  </w:footnote>
  <w:footnote w:id="5">
    <w:p w14:paraId="62AC3A1A" w14:textId="77777777" w:rsidR="000C7C76" w:rsidRPr="000C7C76" w:rsidRDefault="000C7C76" w:rsidP="00114953">
      <w:pPr>
        <w:pStyle w:val="FootnoteText"/>
        <w:jc w:val="both"/>
        <w:rPr>
          <w:lang w:val="en-US"/>
        </w:rPr>
      </w:pPr>
      <w:r w:rsidRPr="005F6CA9">
        <w:rPr>
          <w:rStyle w:val="FootnoteReference"/>
        </w:rPr>
        <w:footnoteRef/>
      </w:r>
      <w:r w:rsidRPr="005F6CA9">
        <w:t xml:space="preserve"> </w:t>
      </w:r>
      <w:r w:rsidRPr="005F6CA9">
        <w:rPr>
          <w:lang w:val="lv-LV"/>
        </w:rPr>
        <w:t>Ferrari F. (</w:t>
      </w:r>
      <w:proofErr w:type="spellStart"/>
      <w:r w:rsidRPr="005F6CA9">
        <w:rPr>
          <w:lang w:val="lv-LV"/>
        </w:rPr>
        <w:t>ed</w:t>
      </w:r>
      <w:proofErr w:type="spellEnd"/>
      <w:r w:rsidRPr="005F6CA9">
        <w:rPr>
          <w:lang w:val="lv-LV"/>
        </w:rPr>
        <w:t>.) / L</w:t>
      </w:r>
      <w:r w:rsidRPr="000C7C76">
        <w:rPr>
          <w:lang w:val="en-US"/>
        </w:rPr>
        <w:t>ü</w:t>
      </w:r>
      <w:proofErr w:type="spellStart"/>
      <w:r w:rsidRPr="005F6CA9">
        <w:rPr>
          <w:lang w:val="lv-LV"/>
        </w:rPr>
        <w:t>ttringhaus</w:t>
      </w:r>
      <w:proofErr w:type="spellEnd"/>
      <w:r w:rsidRPr="005F6CA9">
        <w:rPr>
          <w:lang w:val="lv-LV"/>
        </w:rPr>
        <w:t xml:space="preserve"> J.D. </w:t>
      </w:r>
      <w:proofErr w:type="spellStart"/>
      <w:r w:rsidRPr="005F6CA9">
        <w:rPr>
          <w:lang w:val="lv-LV"/>
        </w:rPr>
        <w:t>Rome</w:t>
      </w:r>
      <w:proofErr w:type="spellEnd"/>
      <w:r w:rsidRPr="005F6CA9">
        <w:rPr>
          <w:lang w:val="lv-LV"/>
        </w:rPr>
        <w:t xml:space="preserve"> I </w:t>
      </w:r>
      <w:proofErr w:type="spellStart"/>
      <w:r w:rsidRPr="005F6CA9">
        <w:rPr>
          <w:lang w:val="lv-LV"/>
        </w:rPr>
        <w:t>Regulation</w:t>
      </w:r>
      <w:proofErr w:type="spellEnd"/>
      <w:r w:rsidRPr="005F6CA9">
        <w:rPr>
          <w:lang w:val="lv-LV"/>
        </w:rPr>
        <w:t xml:space="preserve">. </w:t>
      </w:r>
      <w:proofErr w:type="spellStart"/>
      <w:r w:rsidRPr="005F6CA9">
        <w:rPr>
          <w:lang w:val="lv-LV"/>
        </w:rPr>
        <w:t>Pocket</w:t>
      </w:r>
      <w:proofErr w:type="spellEnd"/>
      <w:r w:rsidRPr="005F6CA9">
        <w:rPr>
          <w:lang w:val="lv-LV"/>
        </w:rPr>
        <w:t xml:space="preserve"> </w:t>
      </w:r>
      <w:proofErr w:type="spellStart"/>
      <w:r w:rsidRPr="005F6CA9">
        <w:rPr>
          <w:lang w:val="lv-LV"/>
        </w:rPr>
        <w:t>Commentary</w:t>
      </w:r>
      <w:proofErr w:type="spellEnd"/>
      <w:r w:rsidRPr="005F6CA9">
        <w:rPr>
          <w:lang w:val="lv-LV"/>
        </w:rPr>
        <w:t xml:space="preserve">. Munich: </w:t>
      </w:r>
      <w:proofErr w:type="spellStart"/>
      <w:r w:rsidRPr="005F6CA9">
        <w:rPr>
          <w:lang w:val="lv-LV"/>
        </w:rPr>
        <w:t>Sellier</w:t>
      </w:r>
      <w:proofErr w:type="spellEnd"/>
      <w:r w:rsidRPr="005F6CA9">
        <w:rPr>
          <w:lang w:val="lv-LV"/>
        </w:rPr>
        <w:t xml:space="preserve">, 2015, Art. 1(2)(b), p. 43 (§ 43); </w:t>
      </w:r>
      <w:proofErr w:type="spellStart"/>
      <w:r w:rsidRPr="005F6CA9">
        <w:rPr>
          <w:lang w:val="lv-LV"/>
        </w:rPr>
        <w:t>Cheshire</w:t>
      </w:r>
      <w:proofErr w:type="spellEnd"/>
      <w:r w:rsidRPr="005F6CA9">
        <w:rPr>
          <w:lang w:val="lv-LV"/>
        </w:rPr>
        <w:t>/North/</w:t>
      </w:r>
      <w:proofErr w:type="spellStart"/>
      <w:r w:rsidRPr="005F6CA9">
        <w:rPr>
          <w:lang w:val="lv-LV"/>
        </w:rPr>
        <w:t>Fawcett</w:t>
      </w:r>
      <w:proofErr w:type="spellEnd"/>
      <w:r w:rsidRPr="005F6CA9">
        <w:rPr>
          <w:lang w:val="lv-LV"/>
        </w:rPr>
        <w:t xml:space="preserve">. </w:t>
      </w:r>
      <w:proofErr w:type="spellStart"/>
      <w:r w:rsidRPr="005F6CA9">
        <w:rPr>
          <w:lang w:val="lv-LV"/>
        </w:rPr>
        <w:t>Private</w:t>
      </w:r>
      <w:proofErr w:type="spellEnd"/>
      <w:r w:rsidRPr="005F6CA9">
        <w:rPr>
          <w:lang w:val="lv-LV"/>
        </w:rPr>
        <w:t xml:space="preserve"> </w:t>
      </w:r>
      <w:proofErr w:type="spellStart"/>
      <w:r w:rsidRPr="005F6CA9">
        <w:rPr>
          <w:lang w:val="lv-LV"/>
        </w:rPr>
        <w:t>International</w:t>
      </w:r>
      <w:proofErr w:type="spellEnd"/>
      <w:r w:rsidRPr="005F6CA9">
        <w:rPr>
          <w:lang w:val="lv-LV"/>
        </w:rPr>
        <w:t xml:space="preserve"> </w:t>
      </w:r>
      <w:proofErr w:type="spellStart"/>
      <w:r w:rsidRPr="005F6CA9">
        <w:rPr>
          <w:lang w:val="lv-LV"/>
        </w:rPr>
        <w:t>Law</w:t>
      </w:r>
      <w:proofErr w:type="spellEnd"/>
      <w:r w:rsidRPr="005F6CA9">
        <w:rPr>
          <w:lang w:val="lv-LV"/>
        </w:rPr>
        <w:t xml:space="preserve">. 14th </w:t>
      </w:r>
      <w:proofErr w:type="spellStart"/>
      <w:r w:rsidRPr="005F6CA9">
        <w:rPr>
          <w:lang w:val="lv-LV"/>
        </w:rPr>
        <w:t>edition</w:t>
      </w:r>
      <w:proofErr w:type="spellEnd"/>
      <w:r w:rsidRPr="005F6CA9">
        <w:rPr>
          <w:lang w:val="lv-LV"/>
        </w:rPr>
        <w:t xml:space="preserve">. </w:t>
      </w:r>
      <w:proofErr w:type="spellStart"/>
      <w:r w:rsidRPr="005F6CA9">
        <w:rPr>
          <w:lang w:val="lv-LV"/>
        </w:rPr>
        <w:t>Oxford</w:t>
      </w:r>
      <w:proofErr w:type="spellEnd"/>
      <w:r w:rsidRPr="005F6CA9">
        <w:rPr>
          <w:lang w:val="lv-LV"/>
        </w:rPr>
        <w:t xml:space="preserve">: </w:t>
      </w:r>
      <w:proofErr w:type="spellStart"/>
      <w:r w:rsidRPr="005F6CA9">
        <w:rPr>
          <w:lang w:val="lv-LV"/>
        </w:rPr>
        <w:t>Oxford</w:t>
      </w:r>
      <w:proofErr w:type="spellEnd"/>
      <w:r w:rsidRPr="005F6CA9">
        <w:rPr>
          <w:lang w:val="lv-LV"/>
        </w:rPr>
        <w:t xml:space="preserve"> </w:t>
      </w:r>
      <w:proofErr w:type="spellStart"/>
      <w:r w:rsidRPr="005F6CA9">
        <w:rPr>
          <w:lang w:val="lv-LV"/>
        </w:rPr>
        <w:t>University</w:t>
      </w:r>
      <w:proofErr w:type="spellEnd"/>
      <w:r w:rsidRPr="005F6CA9">
        <w:rPr>
          <w:lang w:val="lv-LV"/>
        </w:rPr>
        <w:t xml:space="preserve"> </w:t>
      </w:r>
      <w:proofErr w:type="spellStart"/>
      <w:r w:rsidRPr="005F6CA9">
        <w:rPr>
          <w:lang w:val="lv-LV"/>
        </w:rPr>
        <w:t>Press</w:t>
      </w:r>
      <w:proofErr w:type="spellEnd"/>
      <w:r w:rsidRPr="005F6CA9">
        <w:rPr>
          <w:lang w:val="lv-LV"/>
        </w:rPr>
        <w:t>, 2008, p. 681.</w:t>
      </w:r>
    </w:p>
  </w:footnote>
  <w:footnote w:id="6">
    <w:p w14:paraId="043DEFC9" w14:textId="77777777" w:rsidR="000C7C76" w:rsidRPr="000C7C76" w:rsidRDefault="000C7C76" w:rsidP="00114953">
      <w:pPr>
        <w:pStyle w:val="FootnoteText"/>
        <w:jc w:val="both"/>
        <w:rPr>
          <w:lang w:val="en-US"/>
        </w:rPr>
      </w:pPr>
      <w:r w:rsidRPr="005F6CA9">
        <w:rPr>
          <w:rStyle w:val="FootnoteReference"/>
        </w:rPr>
        <w:footnoteRef/>
      </w:r>
      <w:r w:rsidRPr="005F6CA9">
        <w:t xml:space="preserve"> </w:t>
      </w:r>
      <w:r w:rsidRPr="005F6CA9">
        <w:rPr>
          <w:lang w:val="lv-LV"/>
        </w:rPr>
        <w:t xml:space="preserve">Stone P. EU </w:t>
      </w:r>
      <w:proofErr w:type="spellStart"/>
      <w:r w:rsidRPr="005F6CA9">
        <w:rPr>
          <w:lang w:val="lv-LV"/>
        </w:rPr>
        <w:t>Private</w:t>
      </w:r>
      <w:proofErr w:type="spellEnd"/>
      <w:r w:rsidRPr="005F6CA9">
        <w:rPr>
          <w:lang w:val="lv-LV"/>
        </w:rPr>
        <w:t xml:space="preserve"> </w:t>
      </w:r>
      <w:proofErr w:type="spellStart"/>
      <w:r w:rsidRPr="005F6CA9">
        <w:rPr>
          <w:lang w:val="lv-LV"/>
        </w:rPr>
        <w:t>International</w:t>
      </w:r>
      <w:proofErr w:type="spellEnd"/>
      <w:r w:rsidRPr="005F6CA9">
        <w:rPr>
          <w:lang w:val="lv-LV"/>
        </w:rPr>
        <w:t xml:space="preserve"> </w:t>
      </w:r>
      <w:proofErr w:type="spellStart"/>
      <w:r w:rsidRPr="005F6CA9">
        <w:rPr>
          <w:lang w:val="lv-LV"/>
        </w:rPr>
        <w:t>Law</w:t>
      </w:r>
      <w:proofErr w:type="spellEnd"/>
      <w:r w:rsidRPr="005F6CA9">
        <w:rPr>
          <w:lang w:val="lv-LV"/>
        </w:rPr>
        <w:t xml:space="preserve">. 2nd </w:t>
      </w:r>
      <w:proofErr w:type="spellStart"/>
      <w:r w:rsidRPr="005F6CA9">
        <w:rPr>
          <w:lang w:val="lv-LV"/>
        </w:rPr>
        <w:t>edition</w:t>
      </w:r>
      <w:proofErr w:type="spellEnd"/>
      <w:r w:rsidRPr="005F6CA9">
        <w:rPr>
          <w:lang w:val="lv-LV"/>
        </w:rPr>
        <w:t xml:space="preserve">. </w:t>
      </w:r>
      <w:proofErr w:type="spellStart"/>
      <w:r w:rsidRPr="005F6CA9">
        <w:rPr>
          <w:lang w:val="lv-LV"/>
        </w:rPr>
        <w:t>Cheltenham</w:t>
      </w:r>
      <w:proofErr w:type="spellEnd"/>
      <w:r w:rsidRPr="005F6CA9">
        <w:rPr>
          <w:lang w:val="lv-LV"/>
        </w:rPr>
        <w:t xml:space="preserve"> (UK): </w:t>
      </w:r>
      <w:proofErr w:type="spellStart"/>
      <w:r w:rsidRPr="005F6CA9">
        <w:rPr>
          <w:lang w:val="lv-LV"/>
        </w:rPr>
        <w:t>Edward</w:t>
      </w:r>
      <w:proofErr w:type="spellEnd"/>
      <w:r w:rsidRPr="005F6CA9">
        <w:rPr>
          <w:lang w:val="lv-LV"/>
        </w:rPr>
        <w:t xml:space="preserve"> Elgar, 2010, p. 329.</w:t>
      </w:r>
    </w:p>
    <w:p w14:paraId="57249A8E" w14:textId="77777777" w:rsidR="000C7C76" w:rsidRPr="005F6CA9" w:rsidRDefault="000C7C76" w:rsidP="00114953">
      <w:pPr>
        <w:pStyle w:val="FootnoteText"/>
        <w:rPr>
          <w:lang w:val="lv-LV"/>
        </w:rPr>
      </w:pPr>
    </w:p>
  </w:footnote>
  <w:footnote w:id="7">
    <w:p w14:paraId="324A1DB1" w14:textId="77777777" w:rsidR="000C7C76" w:rsidRPr="000C7C76" w:rsidRDefault="000C7C76" w:rsidP="00114953">
      <w:pPr>
        <w:pStyle w:val="FootnoteText"/>
        <w:jc w:val="both"/>
        <w:rPr>
          <w:lang w:val="en-US"/>
        </w:rPr>
      </w:pPr>
      <w:r w:rsidRPr="005F6CA9">
        <w:rPr>
          <w:rStyle w:val="FootnoteReference"/>
        </w:rPr>
        <w:footnoteRef/>
      </w:r>
      <w:r w:rsidRPr="005F6CA9">
        <w:t xml:space="preserve"> </w:t>
      </w:r>
      <w:r w:rsidRPr="000C7C76">
        <w:rPr>
          <w:lang w:val="en-US"/>
        </w:rPr>
        <w:t xml:space="preserve">Heinz N. Das </w:t>
      </w:r>
      <w:proofErr w:type="spellStart"/>
      <w:r w:rsidRPr="000C7C76">
        <w:rPr>
          <w:lang w:val="en-US"/>
        </w:rPr>
        <w:t>Vollmachtstatut</w:t>
      </w:r>
      <w:proofErr w:type="spellEnd"/>
      <w:r w:rsidRPr="000C7C76">
        <w:rPr>
          <w:lang w:val="en-US"/>
        </w:rPr>
        <w:t xml:space="preserve">. </w:t>
      </w:r>
      <w:r w:rsidRPr="005F6CA9">
        <w:rPr>
          <w:lang w:val="lv-LV"/>
        </w:rPr>
        <w:t>T</w:t>
      </w:r>
      <w:proofErr w:type="spellStart"/>
      <w:r w:rsidRPr="000C7C76">
        <w:rPr>
          <w:lang w:val="en-US"/>
        </w:rPr>
        <w:t>übingen</w:t>
      </w:r>
      <w:proofErr w:type="spellEnd"/>
      <w:r w:rsidRPr="000C7C76">
        <w:rPr>
          <w:lang w:val="en-US"/>
        </w:rPr>
        <w:t xml:space="preserve">: Mohr </w:t>
      </w:r>
      <w:proofErr w:type="spellStart"/>
      <w:r w:rsidRPr="000C7C76">
        <w:rPr>
          <w:lang w:val="en-US"/>
        </w:rPr>
        <w:t>Siebeck</w:t>
      </w:r>
      <w:proofErr w:type="spellEnd"/>
      <w:r w:rsidRPr="000C7C76">
        <w:rPr>
          <w:lang w:val="en-US"/>
        </w:rPr>
        <w:t xml:space="preserve"> Verlag, 2011, S. 59.</w:t>
      </w:r>
    </w:p>
  </w:footnote>
  <w:footnote w:id="8">
    <w:p w14:paraId="6061DC8D" w14:textId="77777777" w:rsidR="000C7C76" w:rsidRPr="005F6CA9" w:rsidRDefault="000C7C76" w:rsidP="00114953">
      <w:pPr>
        <w:pStyle w:val="FootnoteText"/>
        <w:jc w:val="both"/>
        <w:rPr>
          <w:lang w:val="lv-LV"/>
        </w:rPr>
      </w:pPr>
      <w:r w:rsidRPr="005F6CA9">
        <w:rPr>
          <w:rStyle w:val="FootnoteReference"/>
        </w:rPr>
        <w:footnoteRef/>
      </w:r>
      <w:r w:rsidRPr="005F6CA9">
        <w:t xml:space="preserve"> </w:t>
      </w:r>
      <w:proofErr w:type="spellStart"/>
      <w:r w:rsidRPr="005F6CA9">
        <w:t>Eiropas</w:t>
      </w:r>
      <w:proofErr w:type="spellEnd"/>
      <w:r w:rsidRPr="005F6CA9">
        <w:t xml:space="preserve"> </w:t>
      </w:r>
      <w:proofErr w:type="spellStart"/>
      <w:r w:rsidRPr="005F6CA9">
        <w:t>Parlamenta</w:t>
      </w:r>
      <w:proofErr w:type="spellEnd"/>
      <w:r w:rsidRPr="005F6CA9">
        <w:t xml:space="preserve"> </w:t>
      </w:r>
      <w:proofErr w:type="spellStart"/>
      <w:r w:rsidRPr="005F6CA9">
        <w:t>un</w:t>
      </w:r>
      <w:proofErr w:type="spellEnd"/>
      <w:r w:rsidRPr="005F6CA9">
        <w:t xml:space="preserve"> </w:t>
      </w:r>
      <w:proofErr w:type="spellStart"/>
      <w:r w:rsidRPr="005F6CA9">
        <w:t>Padomes</w:t>
      </w:r>
      <w:proofErr w:type="spellEnd"/>
      <w:r w:rsidRPr="005F6CA9">
        <w:t xml:space="preserve"> Regulas (EK) Nr.593/2008 (2008.gada 17.jūnijs), par </w:t>
      </w:r>
      <w:proofErr w:type="spellStart"/>
      <w:r w:rsidRPr="005F6CA9">
        <w:t>tiesību</w:t>
      </w:r>
      <w:proofErr w:type="spellEnd"/>
      <w:r w:rsidRPr="005F6CA9">
        <w:t xml:space="preserve"> </w:t>
      </w:r>
      <w:proofErr w:type="spellStart"/>
      <w:r w:rsidRPr="005F6CA9">
        <w:t>aktiem</w:t>
      </w:r>
      <w:proofErr w:type="spellEnd"/>
      <w:r w:rsidRPr="005F6CA9">
        <w:t xml:space="preserve">, </w:t>
      </w:r>
      <w:proofErr w:type="spellStart"/>
      <w:r w:rsidRPr="005F6CA9">
        <w:t>kas</w:t>
      </w:r>
      <w:proofErr w:type="spellEnd"/>
      <w:r w:rsidRPr="005F6CA9">
        <w:t xml:space="preserve"> </w:t>
      </w:r>
      <w:proofErr w:type="spellStart"/>
      <w:r w:rsidRPr="005F6CA9">
        <w:t>piemērojami</w:t>
      </w:r>
      <w:proofErr w:type="spellEnd"/>
      <w:r w:rsidRPr="005F6CA9">
        <w:t xml:space="preserve"> </w:t>
      </w:r>
      <w:proofErr w:type="spellStart"/>
      <w:r w:rsidRPr="005F6CA9">
        <w:t>līgumsaistībām</w:t>
      </w:r>
      <w:proofErr w:type="spellEnd"/>
      <w:r w:rsidRPr="005F6CA9">
        <w:t xml:space="preserve"> (Roma I). OV L 177, 04.07.2008., 6.-16.lpp.</w:t>
      </w:r>
    </w:p>
  </w:footnote>
  <w:footnote w:id="9">
    <w:p w14:paraId="2556F17B" w14:textId="77777777" w:rsidR="000C7C76" w:rsidRPr="005F6CA9" w:rsidRDefault="000C7C76" w:rsidP="00114953">
      <w:pPr>
        <w:pStyle w:val="FootnoteText"/>
        <w:jc w:val="both"/>
        <w:rPr>
          <w:lang w:val="lv-LV"/>
        </w:rPr>
      </w:pPr>
      <w:r w:rsidRPr="005F6CA9">
        <w:rPr>
          <w:rStyle w:val="FootnoteReference"/>
        </w:rPr>
        <w:footnoteRef/>
      </w:r>
      <w:r w:rsidRPr="005F6CA9">
        <w:t xml:space="preserve"> </w:t>
      </w:r>
      <w:r>
        <w:rPr>
          <w:lang w:val="lv-LV"/>
        </w:rPr>
        <w:t>Roma I Regulu nepiemēro Dānijā</w:t>
      </w:r>
      <w:r w:rsidRPr="005F6CA9">
        <w:rPr>
          <w:lang w:val="lv-LV"/>
        </w:rPr>
        <w:t xml:space="preserve"> (skat. Roma I Regulas preambulas 46.apsvērumu). Saskaņā ar Komisijas 22.12.2008. Lēmumu 2009/26/EK par Apvienotās Karalistes lūgumu pieņemt </w:t>
      </w:r>
      <w:proofErr w:type="spellStart"/>
      <w:r w:rsidRPr="005F6CA9">
        <w:t>Eiropas</w:t>
      </w:r>
      <w:proofErr w:type="spellEnd"/>
      <w:r w:rsidRPr="005F6CA9">
        <w:t xml:space="preserve"> </w:t>
      </w:r>
      <w:proofErr w:type="spellStart"/>
      <w:r w:rsidRPr="005F6CA9">
        <w:t>Parlamenta</w:t>
      </w:r>
      <w:proofErr w:type="spellEnd"/>
      <w:r w:rsidRPr="005F6CA9">
        <w:t xml:space="preserve"> </w:t>
      </w:r>
      <w:proofErr w:type="spellStart"/>
      <w:r w:rsidRPr="005F6CA9">
        <w:t>un</w:t>
      </w:r>
      <w:proofErr w:type="spellEnd"/>
      <w:r w:rsidRPr="005F6CA9">
        <w:t xml:space="preserve"> </w:t>
      </w:r>
      <w:proofErr w:type="spellStart"/>
      <w:r w:rsidRPr="005F6CA9">
        <w:t>Padomes</w:t>
      </w:r>
      <w:proofErr w:type="spellEnd"/>
      <w:r w:rsidRPr="005F6CA9">
        <w:t xml:space="preserve"> </w:t>
      </w:r>
      <w:proofErr w:type="spellStart"/>
      <w:r w:rsidRPr="005F6CA9">
        <w:t>Regulu</w:t>
      </w:r>
      <w:proofErr w:type="spellEnd"/>
      <w:r w:rsidRPr="005F6CA9">
        <w:t xml:space="preserve"> (EK) Nr.593/2008 par </w:t>
      </w:r>
      <w:proofErr w:type="spellStart"/>
      <w:r w:rsidRPr="005F6CA9">
        <w:t>tiesību</w:t>
      </w:r>
      <w:proofErr w:type="spellEnd"/>
      <w:r w:rsidRPr="005F6CA9">
        <w:t xml:space="preserve"> </w:t>
      </w:r>
      <w:proofErr w:type="spellStart"/>
      <w:r w:rsidRPr="005F6CA9">
        <w:t>aktiem</w:t>
      </w:r>
      <w:proofErr w:type="spellEnd"/>
      <w:r w:rsidRPr="005F6CA9">
        <w:t xml:space="preserve">, </w:t>
      </w:r>
      <w:proofErr w:type="spellStart"/>
      <w:r w:rsidRPr="005F6CA9">
        <w:t>kas</w:t>
      </w:r>
      <w:proofErr w:type="spellEnd"/>
      <w:r w:rsidRPr="005F6CA9">
        <w:t xml:space="preserve"> </w:t>
      </w:r>
      <w:proofErr w:type="spellStart"/>
      <w:r w:rsidRPr="005F6CA9">
        <w:t>piemērojami</w:t>
      </w:r>
      <w:proofErr w:type="spellEnd"/>
      <w:r w:rsidRPr="005F6CA9">
        <w:t xml:space="preserve"> </w:t>
      </w:r>
      <w:proofErr w:type="spellStart"/>
      <w:r w:rsidRPr="005F6CA9">
        <w:t>līgumsaistībām</w:t>
      </w:r>
      <w:proofErr w:type="spellEnd"/>
      <w:r w:rsidRPr="005F6CA9">
        <w:t xml:space="preserve"> (Roma I) </w:t>
      </w:r>
      <w:proofErr w:type="spellStart"/>
      <w:r w:rsidRPr="005F6CA9">
        <w:t>šī</w:t>
      </w:r>
      <w:proofErr w:type="spellEnd"/>
      <w:r w:rsidRPr="005F6CA9">
        <w:t xml:space="preserve"> Regula </w:t>
      </w:r>
      <w:proofErr w:type="spellStart"/>
      <w:r w:rsidRPr="005F6CA9">
        <w:t>stājas</w:t>
      </w:r>
      <w:proofErr w:type="spellEnd"/>
      <w:r w:rsidRPr="005F6CA9">
        <w:t xml:space="preserve"> </w:t>
      </w:r>
      <w:proofErr w:type="spellStart"/>
      <w:r w:rsidRPr="005F6CA9">
        <w:t>spēkā</w:t>
      </w:r>
      <w:proofErr w:type="spellEnd"/>
      <w:r w:rsidRPr="005F6CA9">
        <w:t xml:space="preserve"> </w:t>
      </w:r>
      <w:proofErr w:type="spellStart"/>
      <w:r w:rsidRPr="005F6CA9">
        <w:t>Apvienotajā</w:t>
      </w:r>
      <w:proofErr w:type="spellEnd"/>
      <w:r w:rsidRPr="005F6CA9">
        <w:t xml:space="preserve"> </w:t>
      </w:r>
      <w:proofErr w:type="spellStart"/>
      <w:r w:rsidRPr="005F6CA9">
        <w:t>Karalistē</w:t>
      </w:r>
      <w:proofErr w:type="spellEnd"/>
      <w:r w:rsidRPr="005F6CA9">
        <w:t xml:space="preserve"> </w:t>
      </w:r>
      <w:proofErr w:type="spellStart"/>
      <w:r w:rsidRPr="005F6CA9">
        <w:t>no</w:t>
      </w:r>
      <w:proofErr w:type="spellEnd"/>
      <w:r w:rsidRPr="005F6CA9">
        <w:t xml:space="preserve"> 22.12.2008. </w:t>
      </w:r>
      <w:proofErr w:type="spellStart"/>
      <w:r w:rsidRPr="005F6CA9">
        <w:t>To</w:t>
      </w:r>
      <w:proofErr w:type="spellEnd"/>
      <w:r w:rsidRPr="005F6CA9">
        <w:t xml:space="preserve"> </w:t>
      </w:r>
      <w:proofErr w:type="spellStart"/>
      <w:r w:rsidRPr="005F6CA9">
        <w:t>piemēro</w:t>
      </w:r>
      <w:proofErr w:type="spellEnd"/>
      <w:r w:rsidRPr="005F6CA9">
        <w:t xml:space="preserve"> </w:t>
      </w:r>
      <w:proofErr w:type="spellStart"/>
      <w:r w:rsidRPr="005F6CA9">
        <w:t>no</w:t>
      </w:r>
      <w:proofErr w:type="spellEnd"/>
      <w:r w:rsidRPr="005F6CA9">
        <w:t xml:space="preserve"> 17.12.2009., </w:t>
      </w:r>
      <w:proofErr w:type="spellStart"/>
      <w:r w:rsidRPr="005F6CA9">
        <w:t>izņemot</w:t>
      </w:r>
      <w:proofErr w:type="spellEnd"/>
      <w:r w:rsidRPr="005F6CA9">
        <w:t xml:space="preserve"> 26.pantu, </w:t>
      </w:r>
      <w:proofErr w:type="spellStart"/>
      <w:r w:rsidRPr="005F6CA9">
        <w:t>kuru</w:t>
      </w:r>
      <w:proofErr w:type="spellEnd"/>
      <w:r w:rsidRPr="005F6CA9">
        <w:t xml:space="preserve"> </w:t>
      </w:r>
      <w:proofErr w:type="spellStart"/>
      <w:r w:rsidRPr="005F6CA9">
        <w:t>piemēro</w:t>
      </w:r>
      <w:proofErr w:type="spellEnd"/>
      <w:r w:rsidRPr="005F6CA9">
        <w:t xml:space="preserve"> </w:t>
      </w:r>
      <w:proofErr w:type="spellStart"/>
      <w:r w:rsidRPr="005F6CA9">
        <w:t>no</w:t>
      </w:r>
      <w:proofErr w:type="spellEnd"/>
      <w:r w:rsidRPr="005F6CA9">
        <w:t xml:space="preserve"> 17.06.2009. OV L 10, 15.01.2009., 22.lpp.</w:t>
      </w:r>
    </w:p>
  </w:footnote>
  <w:footnote w:id="10">
    <w:p w14:paraId="137AB083" w14:textId="77777777" w:rsidR="000C7C76" w:rsidRPr="000C7C76" w:rsidRDefault="000C7C76" w:rsidP="00114953">
      <w:pPr>
        <w:pStyle w:val="FootnoteText"/>
        <w:jc w:val="both"/>
        <w:rPr>
          <w:lang w:val="lv-LV"/>
        </w:rPr>
      </w:pPr>
      <w:r w:rsidRPr="005F6CA9">
        <w:rPr>
          <w:rStyle w:val="FootnoteReference"/>
        </w:rPr>
        <w:footnoteRef/>
      </w:r>
      <w:r w:rsidRPr="005F6CA9">
        <w:t xml:space="preserve"> </w:t>
      </w:r>
      <w:proofErr w:type="spellStart"/>
      <w:r w:rsidRPr="005F6CA9">
        <w:rPr>
          <w:lang w:val="lv-LV"/>
        </w:rPr>
        <w:t>Cheshire</w:t>
      </w:r>
      <w:proofErr w:type="spellEnd"/>
      <w:r w:rsidRPr="005F6CA9">
        <w:rPr>
          <w:lang w:val="lv-LV"/>
        </w:rPr>
        <w:t>/North/</w:t>
      </w:r>
      <w:proofErr w:type="spellStart"/>
      <w:r w:rsidRPr="005F6CA9">
        <w:rPr>
          <w:lang w:val="lv-LV"/>
        </w:rPr>
        <w:t>Fawcett</w:t>
      </w:r>
      <w:proofErr w:type="spellEnd"/>
      <w:r w:rsidRPr="005F6CA9">
        <w:rPr>
          <w:lang w:val="lv-LV"/>
        </w:rPr>
        <w:t xml:space="preserve">. </w:t>
      </w:r>
      <w:proofErr w:type="spellStart"/>
      <w:r w:rsidRPr="005F6CA9">
        <w:rPr>
          <w:lang w:val="lv-LV"/>
        </w:rPr>
        <w:t>Private</w:t>
      </w:r>
      <w:proofErr w:type="spellEnd"/>
      <w:r w:rsidRPr="005F6CA9">
        <w:rPr>
          <w:lang w:val="lv-LV"/>
        </w:rPr>
        <w:t xml:space="preserve"> </w:t>
      </w:r>
      <w:proofErr w:type="spellStart"/>
      <w:r w:rsidRPr="005F6CA9">
        <w:rPr>
          <w:lang w:val="lv-LV"/>
        </w:rPr>
        <w:t>International</w:t>
      </w:r>
      <w:proofErr w:type="spellEnd"/>
      <w:r w:rsidRPr="005F6CA9">
        <w:rPr>
          <w:lang w:val="lv-LV"/>
        </w:rPr>
        <w:t xml:space="preserve"> </w:t>
      </w:r>
      <w:proofErr w:type="spellStart"/>
      <w:r w:rsidRPr="005F6CA9">
        <w:rPr>
          <w:lang w:val="lv-LV"/>
        </w:rPr>
        <w:t>Law</w:t>
      </w:r>
      <w:proofErr w:type="spellEnd"/>
      <w:r w:rsidRPr="005F6CA9">
        <w:rPr>
          <w:lang w:val="lv-LV"/>
        </w:rPr>
        <w:t xml:space="preserve">. 14th </w:t>
      </w:r>
      <w:proofErr w:type="spellStart"/>
      <w:r w:rsidRPr="005F6CA9">
        <w:rPr>
          <w:lang w:val="lv-LV"/>
        </w:rPr>
        <w:t>edition</w:t>
      </w:r>
      <w:proofErr w:type="spellEnd"/>
      <w:r w:rsidRPr="005F6CA9">
        <w:rPr>
          <w:lang w:val="lv-LV"/>
        </w:rPr>
        <w:t xml:space="preserve">. </w:t>
      </w:r>
      <w:proofErr w:type="spellStart"/>
      <w:r w:rsidRPr="005F6CA9">
        <w:rPr>
          <w:lang w:val="lv-LV"/>
        </w:rPr>
        <w:t>Oxford</w:t>
      </w:r>
      <w:proofErr w:type="spellEnd"/>
      <w:r w:rsidRPr="005F6CA9">
        <w:rPr>
          <w:lang w:val="lv-LV"/>
        </w:rPr>
        <w:t xml:space="preserve">: </w:t>
      </w:r>
      <w:proofErr w:type="spellStart"/>
      <w:r w:rsidRPr="005F6CA9">
        <w:rPr>
          <w:lang w:val="lv-LV"/>
        </w:rPr>
        <w:t>Oxford</w:t>
      </w:r>
      <w:proofErr w:type="spellEnd"/>
      <w:r w:rsidRPr="005F6CA9">
        <w:rPr>
          <w:lang w:val="lv-LV"/>
        </w:rPr>
        <w:t xml:space="preserve"> </w:t>
      </w:r>
      <w:proofErr w:type="spellStart"/>
      <w:r w:rsidRPr="005F6CA9">
        <w:rPr>
          <w:lang w:val="lv-LV"/>
        </w:rPr>
        <w:t>University</w:t>
      </w:r>
      <w:proofErr w:type="spellEnd"/>
      <w:r w:rsidRPr="005F6CA9">
        <w:rPr>
          <w:lang w:val="lv-LV"/>
        </w:rPr>
        <w:t xml:space="preserve"> </w:t>
      </w:r>
      <w:proofErr w:type="spellStart"/>
      <w:r w:rsidRPr="005F6CA9">
        <w:rPr>
          <w:lang w:val="lv-LV"/>
        </w:rPr>
        <w:t>Press</w:t>
      </w:r>
      <w:proofErr w:type="spellEnd"/>
      <w:r w:rsidRPr="005F6CA9">
        <w:rPr>
          <w:lang w:val="lv-LV"/>
        </w:rPr>
        <w:t xml:space="preserve">, 2008, p. 682; Stone P. EU </w:t>
      </w:r>
      <w:proofErr w:type="spellStart"/>
      <w:r w:rsidRPr="005F6CA9">
        <w:rPr>
          <w:lang w:val="lv-LV"/>
        </w:rPr>
        <w:t>Private</w:t>
      </w:r>
      <w:proofErr w:type="spellEnd"/>
      <w:r w:rsidRPr="005F6CA9">
        <w:rPr>
          <w:lang w:val="lv-LV"/>
        </w:rPr>
        <w:t xml:space="preserve"> </w:t>
      </w:r>
      <w:proofErr w:type="spellStart"/>
      <w:r w:rsidRPr="005F6CA9">
        <w:rPr>
          <w:lang w:val="lv-LV"/>
        </w:rPr>
        <w:t>International</w:t>
      </w:r>
      <w:proofErr w:type="spellEnd"/>
      <w:r w:rsidRPr="005F6CA9">
        <w:rPr>
          <w:lang w:val="lv-LV"/>
        </w:rPr>
        <w:t xml:space="preserve"> </w:t>
      </w:r>
      <w:proofErr w:type="spellStart"/>
      <w:r w:rsidRPr="005F6CA9">
        <w:rPr>
          <w:lang w:val="lv-LV"/>
        </w:rPr>
        <w:t>Law</w:t>
      </w:r>
      <w:proofErr w:type="spellEnd"/>
      <w:r w:rsidRPr="005F6CA9">
        <w:rPr>
          <w:lang w:val="lv-LV"/>
        </w:rPr>
        <w:t xml:space="preserve">. 2nd </w:t>
      </w:r>
      <w:proofErr w:type="spellStart"/>
      <w:r w:rsidRPr="005F6CA9">
        <w:rPr>
          <w:lang w:val="lv-LV"/>
        </w:rPr>
        <w:t>edition</w:t>
      </w:r>
      <w:proofErr w:type="spellEnd"/>
      <w:r w:rsidRPr="005F6CA9">
        <w:rPr>
          <w:lang w:val="lv-LV"/>
        </w:rPr>
        <w:t xml:space="preserve">. </w:t>
      </w:r>
      <w:proofErr w:type="spellStart"/>
      <w:r w:rsidRPr="005F6CA9">
        <w:rPr>
          <w:lang w:val="lv-LV"/>
        </w:rPr>
        <w:t>Cheltenham</w:t>
      </w:r>
      <w:proofErr w:type="spellEnd"/>
      <w:r w:rsidRPr="005F6CA9">
        <w:rPr>
          <w:lang w:val="lv-LV"/>
        </w:rPr>
        <w:t xml:space="preserve"> (</w:t>
      </w:r>
      <w:r>
        <w:rPr>
          <w:lang w:val="lv-LV"/>
        </w:rPr>
        <w:t xml:space="preserve">UK): </w:t>
      </w:r>
      <w:proofErr w:type="spellStart"/>
      <w:r>
        <w:rPr>
          <w:lang w:val="lv-LV"/>
        </w:rPr>
        <w:t>Edward</w:t>
      </w:r>
      <w:proofErr w:type="spellEnd"/>
      <w:r>
        <w:rPr>
          <w:lang w:val="lv-LV"/>
        </w:rPr>
        <w:t xml:space="preserve"> Elgar, 2010, p. 328; </w:t>
      </w:r>
      <w:proofErr w:type="spellStart"/>
      <w:r w:rsidRPr="00BF3A72">
        <w:rPr>
          <w:lang w:val="lv-LV"/>
        </w:rPr>
        <w:t>Dregelies</w:t>
      </w:r>
      <w:proofErr w:type="spellEnd"/>
      <w:r w:rsidRPr="00BF3A72">
        <w:rPr>
          <w:lang w:val="lv-LV"/>
        </w:rPr>
        <w:t xml:space="preserve"> M. </w:t>
      </w:r>
      <w:proofErr w:type="spellStart"/>
      <w:r w:rsidRPr="000C7C76">
        <w:rPr>
          <w:lang w:val="lv-LV"/>
        </w:rPr>
        <w:t>Das</w:t>
      </w:r>
      <w:proofErr w:type="spellEnd"/>
      <w:r w:rsidRPr="000C7C76">
        <w:rPr>
          <w:lang w:val="lv-LV"/>
        </w:rPr>
        <w:t xml:space="preserve"> </w:t>
      </w:r>
      <w:proofErr w:type="spellStart"/>
      <w:r w:rsidRPr="000C7C76">
        <w:rPr>
          <w:lang w:val="lv-LV"/>
        </w:rPr>
        <w:t>Vollmachtstatut</w:t>
      </w:r>
      <w:proofErr w:type="spellEnd"/>
      <w:r w:rsidRPr="000C7C76">
        <w:rPr>
          <w:lang w:val="lv-LV"/>
        </w:rPr>
        <w:t xml:space="preserve"> </w:t>
      </w:r>
      <w:proofErr w:type="spellStart"/>
      <w:r w:rsidRPr="000C7C76">
        <w:rPr>
          <w:lang w:val="lv-LV"/>
        </w:rPr>
        <w:t>im</w:t>
      </w:r>
      <w:proofErr w:type="spellEnd"/>
      <w:r w:rsidRPr="000C7C76">
        <w:rPr>
          <w:lang w:val="lv-LV"/>
        </w:rPr>
        <w:t xml:space="preserve"> </w:t>
      </w:r>
      <w:proofErr w:type="spellStart"/>
      <w:r w:rsidRPr="000C7C76">
        <w:rPr>
          <w:lang w:val="lv-LV"/>
        </w:rPr>
        <w:t>polnischen</w:t>
      </w:r>
      <w:proofErr w:type="spellEnd"/>
      <w:r w:rsidRPr="000C7C76">
        <w:rPr>
          <w:lang w:val="lv-LV"/>
        </w:rPr>
        <w:t xml:space="preserve"> </w:t>
      </w:r>
      <w:proofErr w:type="spellStart"/>
      <w:r w:rsidRPr="000C7C76">
        <w:rPr>
          <w:lang w:val="lv-LV"/>
        </w:rPr>
        <w:t>und</w:t>
      </w:r>
      <w:proofErr w:type="spellEnd"/>
      <w:r w:rsidRPr="000C7C76">
        <w:rPr>
          <w:lang w:val="lv-LV"/>
        </w:rPr>
        <w:t xml:space="preserve"> </w:t>
      </w:r>
      <w:proofErr w:type="spellStart"/>
      <w:r w:rsidRPr="000C7C76">
        <w:rPr>
          <w:lang w:val="lv-LV"/>
        </w:rPr>
        <w:t>deutschen</w:t>
      </w:r>
      <w:proofErr w:type="spellEnd"/>
      <w:r w:rsidRPr="000C7C76">
        <w:rPr>
          <w:lang w:val="lv-LV"/>
        </w:rPr>
        <w:t xml:space="preserve"> </w:t>
      </w:r>
      <w:proofErr w:type="spellStart"/>
      <w:r w:rsidRPr="000C7C76">
        <w:rPr>
          <w:lang w:val="lv-LV"/>
        </w:rPr>
        <w:t>Recht</w:t>
      </w:r>
      <w:proofErr w:type="spellEnd"/>
      <w:r w:rsidRPr="000C7C76">
        <w:rPr>
          <w:lang w:val="lv-LV"/>
        </w:rPr>
        <w:t xml:space="preserve"> // </w:t>
      </w:r>
      <w:proofErr w:type="spellStart"/>
      <w:r w:rsidRPr="000C7C76">
        <w:rPr>
          <w:lang w:val="lv-LV"/>
        </w:rPr>
        <w:t>Praxis</w:t>
      </w:r>
      <w:proofErr w:type="spellEnd"/>
      <w:r w:rsidRPr="000C7C76">
        <w:rPr>
          <w:lang w:val="lv-LV"/>
        </w:rPr>
        <w:t xml:space="preserve"> </w:t>
      </w:r>
      <w:proofErr w:type="spellStart"/>
      <w:r w:rsidRPr="000C7C76">
        <w:rPr>
          <w:lang w:val="lv-LV"/>
        </w:rPr>
        <w:t>des</w:t>
      </w:r>
      <w:proofErr w:type="spellEnd"/>
      <w:r w:rsidRPr="000C7C76">
        <w:rPr>
          <w:lang w:val="lv-LV"/>
        </w:rPr>
        <w:t xml:space="preserve"> </w:t>
      </w:r>
      <w:proofErr w:type="spellStart"/>
      <w:r w:rsidRPr="000C7C76">
        <w:rPr>
          <w:lang w:val="lv-LV"/>
        </w:rPr>
        <w:t>Internationalen</w:t>
      </w:r>
      <w:proofErr w:type="spellEnd"/>
      <w:r w:rsidRPr="000C7C76">
        <w:rPr>
          <w:lang w:val="lv-LV"/>
        </w:rPr>
        <w:t xml:space="preserve"> </w:t>
      </w:r>
      <w:proofErr w:type="spellStart"/>
      <w:r w:rsidRPr="000C7C76">
        <w:rPr>
          <w:lang w:val="lv-LV"/>
        </w:rPr>
        <w:t>Privat</w:t>
      </w:r>
      <w:proofErr w:type="spellEnd"/>
      <w:r w:rsidRPr="000C7C76">
        <w:rPr>
          <w:lang w:val="lv-LV"/>
        </w:rPr>
        <w:t xml:space="preserve">- </w:t>
      </w:r>
      <w:proofErr w:type="spellStart"/>
      <w:r w:rsidRPr="000C7C76">
        <w:rPr>
          <w:lang w:val="lv-LV"/>
        </w:rPr>
        <w:t>und</w:t>
      </w:r>
      <w:proofErr w:type="spellEnd"/>
      <w:r w:rsidRPr="000C7C76">
        <w:rPr>
          <w:lang w:val="lv-LV"/>
        </w:rPr>
        <w:t xml:space="preserve"> </w:t>
      </w:r>
      <w:proofErr w:type="spellStart"/>
      <w:r w:rsidRPr="000C7C76">
        <w:rPr>
          <w:lang w:val="lv-LV"/>
        </w:rPr>
        <w:t>Verfahrensrechts</w:t>
      </w:r>
      <w:proofErr w:type="spellEnd"/>
      <w:r w:rsidRPr="000C7C76">
        <w:rPr>
          <w:lang w:val="lv-LV"/>
        </w:rPr>
        <w:t xml:space="preserve"> (</w:t>
      </w:r>
      <w:proofErr w:type="spellStart"/>
      <w:r w:rsidRPr="000C7C76">
        <w:rPr>
          <w:lang w:val="lv-LV"/>
        </w:rPr>
        <w:t>IPRax</w:t>
      </w:r>
      <w:proofErr w:type="spellEnd"/>
      <w:r w:rsidRPr="000C7C76">
        <w:rPr>
          <w:lang w:val="lv-LV"/>
        </w:rPr>
        <w:t xml:space="preserve">), 2016, </w:t>
      </w:r>
      <w:proofErr w:type="spellStart"/>
      <w:r w:rsidRPr="000C7C76">
        <w:rPr>
          <w:lang w:val="lv-LV"/>
        </w:rPr>
        <w:t>Heft</w:t>
      </w:r>
      <w:proofErr w:type="spellEnd"/>
      <w:r w:rsidRPr="000C7C76">
        <w:rPr>
          <w:lang w:val="lv-LV"/>
        </w:rPr>
        <w:t xml:space="preserve"> 2, </w:t>
      </w:r>
      <w:r w:rsidRPr="00BF3A72">
        <w:rPr>
          <w:lang w:val="lv-LV"/>
        </w:rPr>
        <w:t>S.189.</w:t>
      </w:r>
    </w:p>
  </w:footnote>
  <w:footnote w:id="11">
    <w:p w14:paraId="64D2473D" w14:textId="77777777" w:rsidR="000C7C76" w:rsidRPr="005F6CA9" w:rsidRDefault="000C7C76" w:rsidP="00114953">
      <w:pPr>
        <w:pStyle w:val="FootnoteText"/>
        <w:jc w:val="both"/>
        <w:rPr>
          <w:lang w:val="fr-FR"/>
        </w:rPr>
      </w:pPr>
      <w:r w:rsidRPr="005F6CA9">
        <w:rPr>
          <w:rStyle w:val="FootnoteReference"/>
        </w:rPr>
        <w:footnoteRef/>
      </w:r>
      <w:r w:rsidRPr="005F6CA9">
        <w:t xml:space="preserve"> Cour de </w:t>
      </w:r>
      <w:proofErr w:type="spellStart"/>
      <w:r w:rsidRPr="005F6CA9">
        <w:t>cassation</w:t>
      </w:r>
      <w:proofErr w:type="spellEnd"/>
      <w:r w:rsidRPr="005F6CA9">
        <w:t xml:space="preserve"> (</w:t>
      </w:r>
      <w:proofErr w:type="spellStart"/>
      <w:r w:rsidRPr="005F6CA9">
        <w:t>Ch.req</w:t>
      </w:r>
      <w:proofErr w:type="spellEnd"/>
      <w:r w:rsidRPr="005F6CA9">
        <w:t xml:space="preserve">.). </w:t>
      </w:r>
      <w:r w:rsidRPr="005F6CA9">
        <w:rPr>
          <w:lang w:val="fr-FR"/>
        </w:rPr>
        <w:t xml:space="preserve">16 janvier 1861., </w:t>
      </w:r>
      <w:proofErr w:type="spellStart"/>
      <w:r w:rsidRPr="005F6CA9">
        <w:rPr>
          <w:i/>
          <w:lang w:val="fr-FR"/>
        </w:rPr>
        <w:t>Lizardi</w:t>
      </w:r>
      <w:proofErr w:type="spellEnd"/>
      <w:r w:rsidRPr="005F6CA9">
        <w:rPr>
          <w:i/>
          <w:lang w:val="fr-FR"/>
        </w:rPr>
        <w:t xml:space="preserve"> c. Chaize et autres </w:t>
      </w:r>
      <w:r w:rsidRPr="005F6CA9">
        <w:rPr>
          <w:lang w:val="fr-FR"/>
        </w:rPr>
        <w:t>(note Massé). Skat</w:t>
      </w:r>
      <w:proofErr w:type="gramStart"/>
      <w:r w:rsidRPr="005F6CA9">
        <w:rPr>
          <w:lang w:val="fr-FR"/>
        </w:rPr>
        <w:t>.:</w:t>
      </w:r>
      <w:proofErr w:type="gramEnd"/>
      <w:r w:rsidRPr="005F6CA9">
        <w:rPr>
          <w:lang w:val="fr-FR"/>
        </w:rPr>
        <w:t xml:space="preserve"> Ancel B., Lequette Y. Les grands arrêts de la jurisprudence française de droit international privé. 4</w:t>
      </w:r>
      <w:r w:rsidRPr="005F6CA9">
        <w:rPr>
          <w:vertAlign w:val="superscript"/>
          <w:lang w:val="fr-FR"/>
        </w:rPr>
        <w:t>e</w:t>
      </w:r>
      <w:r w:rsidRPr="005F6CA9">
        <w:rPr>
          <w:lang w:val="fr-FR"/>
        </w:rPr>
        <w:t xml:space="preserve"> édition. Paris : Dalloz, p. 40-48. </w:t>
      </w:r>
    </w:p>
  </w:footnote>
  <w:footnote w:id="12">
    <w:p w14:paraId="7203CB18" w14:textId="77777777" w:rsidR="000C7C76" w:rsidRPr="005F6CA9" w:rsidRDefault="000C7C76" w:rsidP="00114953">
      <w:pPr>
        <w:pStyle w:val="FootnoteText"/>
        <w:jc w:val="both"/>
        <w:rPr>
          <w:lang w:val="fr-FR"/>
        </w:rPr>
      </w:pPr>
      <w:r w:rsidRPr="005F6CA9">
        <w:rPr>
          <w:rStyle w:val="FootnoteReference"/>
        </w:rPr>
        <w:footnoteRef/>
      </w:r>
      <w:r w:rsidRPr="005F6CA9">
        <w:t xml:space="preserve"> </w:t>
      </w:r>
      <w:proofErr w:type="spellStart"/>
      <w:r w:rsidRPr="005F6CA9">
        <w:rPr>
          <w:lang w:val="lv-LV"/>
        </w:rPr>
        <w:t>Vignal</w:t>
      </w:r>
      <w:proofErr w:type="spellEnd"/>
      <w:r w:rsidRPr="005F6CA9">
        <w:rPr>
          <w:lang w:val="lv-LV"/>
        </w:rPr>
        <w:t xml:space="preserve"> T. </w:t>
      </w:r>
      <w:proofErr w:type="spellStart"/>
      <w:r w:rsidRPr="005F6CA9">
        <w:rPr>
          <w:lang w:val="lv-LV"/>
        </w:rPr>
        <w:t>Droit</w:t>
      </w:r>
      <w:proofErr w:type="spellEnd"/>
      <w:r w:rsidRPr="005F6CA9">
        <w:rPr>
          <w:lang w:val="lv-LV"/>
        </w:rPr>
        <w:t xml:space="preserve"> </w:t>
      </w:r>
      <w:proofErr w:type="spellStart"/>
      <w:r w:rsidRPr="005F6CA9">
        <w:rPr>
          <w:lang w:val="lv-LV"/>
        </w:rPr>
        <w:t>international</w:t>
      </w:r>
      <w:proofErr w:type="spellEnd"/>
      <w:r w:rsidRPr="005F6CA9">
        <w:rPr>
          <w:lang w:val="lv-LV"/>
        </w:rPr>
        <w:t xml:space="preserve"> </w:t>
      </w:r>
      <w:proofErr w:type="spellStart"/>
      <w:r w:rsidRPr="005F6CA9">
        <w:rPr>
          <w:lang w:val="lv-LV"/>
        </w:rPr>
        <w:t>pri</w:t>
      </w:r>
      <w:proofErr w:type="spellEnd"/>
      <w:r w:rsidRPr="005F6CA9">
        <w:rPr>
          <w:lang w:val="fr-FR"/>
        </w:rPr>
        <w:t>vé. 2</w:t>
      </w:r>
      <w:r w:rsidRPr="005F6CA9">
        <w:rPr>
          <w:vertAlign w:val="superscript"/>
          <w:lang w:val="fr-FR"/>
        </w:rPr>
        <w:t>e</w:t>
      </w:r>
      <w:r w:rsidRPr="005F6CA9">
        <w:rPr>
          <w:lang w:val="fr-FR"/>
        </w:rPr>
        <w:t xml:space="preserve"> édition. </w:t>
      </w:r>
      <w:proofErr w:type="gramStart"/>
      <w:r w:rsidRPr="005F6CA9">
        <w:rPr>
          <w:lang w:val="fr-FR"/>
        </w:rPr>
        <w:t>Paris:</w:t>
      </w:r>
      <w:proofErr w:type="gramEnd"/>
      <w:r w:rsidRPr="005F6CA9">
        <w:rPr>
          <w:lang w:val="fr-FR"/>
        </w:rPr>
        <w:t xml:space="preserve"> SIREY, 2011, p. 144, 145.</w:t>
      </w:r>
    </w:p>
  </w:footnote>
  <w:footnote w:id="13">
    <w:p w14:paraId="1693530E" w14:textId="77777777" w:rsidR="000C7C76" w:rsidRPr="005F6CA9" w:rsidRDefault="000C7C76" w:rsidP="00114953">
      <w:pPr>
        <w:pStyle w:val="FootnoteText"/>
        <w:jc w:val="both"/>
        <w:rPr>
          <w:lang w:val="lv-LV"/>
        </w:rPr>
      </w:pPr>
      <w:r w:rsidRPr="005F6CA9">
        <w:rPr>
          <w:rStyle w:val="FootnoteReference"/>
        </w:rPr>
        <w:footnoteRef/>
      </w:r>
      <w:r w:rsidRPr="005F6CA9">
        <w:t xml:space="preserve"> </w:t>
      </w:r>
      <w:r w:rsidRPr="005F6CA9">
        <w:rPr>
          <w:lang w:val="lv-LV"/>
        </w:rPr>
        <w:t xml:space="preserve">Ozoliņš O. Jaunā </w:t>
      </w:r>
      <w:proofErr w:type="spellStart"/>
      <w:r w:rsidRPr="005F6CA9">
        <w:rPr>
          <w:lang w:val="lv-LV"/>
        </w:rPr>
        <w:t>Civīllikuma</w:t>
      </w:r>
      <w:proofErr w:type="spellEnd"/>
      <w:r w:rsidRPr="005F6CA9">
        <w:rPr>
          <w:lang w:val="lv-LV"/>
        </w:rPr>
        <w:t xml:space="preserve"> ievads. Jurista Vārds, 2000. 25.maijs, nr. 21, 7.-8.lpp. Pirmpublicējums: Tieslietu Ministrijas Vēstnesis, 1938.g., 309-325.lpp.</w:t>
      </w:r>
    </w:p>
  </w:footnote>
  <w:footnote w:id="14">
    <w:p w14:paraId="2CE5F2F7" w14:textId="77777777" w:rsidR="000C7C76" w:rsidRPr="005F6CA9" w:rsidRDefault="000C7C76" w:rsidP="00114953">
      <w:pPr>
        <w:pStyle w:val="FootnoteText"/>
        <w:jc w:val="both"/>
        <w:rPr>
          <w:lang w:val="fr-FR"/>
        </w:rPr>
      </w:pPr>
      <w:r w:rsidRPr="005F6CA9">
        <w:rPr>
          <w:rStyle w:val="FootnoteReference"/>
        </w:rPr>
        <w:footnoteRef/>
      </w:r>
      <w:r w:rsidRPr="005F6CA9">
        <w:t xml:space="preserve"> </w:t>
      </w:r>
      <w:proofErr w:type="spellStart"/>
      <w:r w:rsidRPr="005F6CA9">
        <w:rPr>
          <w:lang w:val="fr-FR"/>
        </w:rPr>
        <w:t>Torgāns</w:t>
      </w:r>
      <w:proofErr w:type="spellEnd"/>
      <w:r w:rsidRPr="005F6CA9">
        <w:rPr>
          <w:lang w:val="fr-FR"/>
        </w:rPr>
        <w:t xml:space="preserve"> K. </w:t>
      </w:r>
      <w:proofErr w:type="spellStart"/>
      <w:r w:rsidRPr="005F6CA9">
        <w:rPr>
          <w:lang w:val="fr-FR"/>
        </w:rPr>
        <w:t>Saistību</w:t>
      </w:r>
      <w:proofErr w:type="spellEnd"/>
      <w:r w:rsidRPr="005F6CA9">
        <w:rPr>
          <w:lang w:val="fr-FR"/>
        </w:rPr>
        <w:t xml:space="preserve"> </w:t>
      </w:r>
      <w:proofErr w:type="spellStart"/>
      <w:r w:rsidRPr="005F6CA9">
        <w:rPr>
          <w:lang w:val="fr-FR"/>
        </w:rPr>
        <w:t>tiesības</w:t>
      </w:r>
      <w:proofErr w:type="spellEnd"/>
      <w:r w:rsidRPr="005F6CA9">
        <w:rPr>
          <w:lang w:val="fr-FR"/>
        </w:rPr>
        <w:t xml:space="preserve">. II </w:t>
      </w:r>
      <w:proofErr w:type="spellStart"/>
      <w:r w:rsidRPr="005F6CA9">
        <w:rPr>
          <w:lang w:val="fr-FR"/>
        </w:rPr>
        <w:t>daļa</w:t>
      </w:r>
      <w:proofErr w:type="spellEnd"/>
      <w:r w:rsidRPr="005F6CA9">
        <w:rPr>
          <w:lang w:val="fr-FR"/>
        </w:rPr>
        <w:t xml:space="preserve">. </w:t>
      </w:r>
      <w:proofErr w:type="spellStart"/>
      <w:proofErr w:type="gramStart"/>
      <w:r w:rsidRPr="005F6CA9">
        <w:rPr>
          <w:lang w:val="fr-FR"/>
        </w:rPr>
        <w:t>Rīga</w:t>
      </w:r>
      <w:proofErr w:type="spellEnd"/>
      <w:r w:rsidRPr="005F6CA9">
        <w:rPr>
          <w:lang w:val="fr-FR"/>
        </w:rPr>
        <w:t>:</w:t>
      </w:r>
      <w:proofErr w:type="gramEnd"/>
      <w:r w:rsidRPr="005F6CA9">
        <w:rPr>
          <w:lang w:val="fr-FR"/>
        </w:rPr>
        <w:t xml:space="preserve"> TNA, 2008., 192.lpp.</w:t>
      </w:r>
    </w:p>
  </w:footnote>
  <w:footnote w:id="15">
    <w:p w14:paraId="0CA6AE06" w14:textId="77777777" w:rsidR="000C7C76" w:rsidRPr="005F6CA9" w:rsidRDefault="000C7C76" w:rsidP="00114953">
      <w:pPr>
        <w:pStyle w:val="FootnoteText"/>
        <w:jc w:val="both"/>
        <w:rPr>
          <w:lang w:val="lv-LV"/>
        </w:rPr>
      </w:pPr>
      <w:r w:rsidRPr="005F6CA9">
        <w:rPr>
          <w:rStyle w:val="FootnoteReference"/>
        </w:rPr>
        <w:footnoteRef/>
      </w:r>
      <w:r w:rsidRPr="005F6CA9">
        <w:t xml:space="preserve"> </w:t>
      </w:r>
      <w:r w:rsidRPr="005F6CA9">
        <w:rPr>
          <w:lang w:val="lv-LV"/>
        </w:rPr>
        <w:t xml:space="preserve">Civillikuma komentāri. Saistību tiesības (1401.-2400.p.). Autoru kolektīvs prof. </w:t>
      </w:r>
      <w:proofErr w:type="spellStart"/>
      <w:r w:rsidRPr="005F6CA9">
        <w:rPr>
          <w:lang w:val="lv-LV"/>
        </w:rPr>
        <w:t>K.Torgāna</w:t>
      </w:r>
      <w:proofErr w:type="spellEnd"/>
      <w:r w:rsidRPr="005F6CA9">
        <w:rPr>
          <w:lang w:val="lv-LV"/>
        </w:rPr>
        <w:t xml:space="preserve"> vispārīgā zinātniskā redakcijā. Rīga: Mans Īpašums, 1998., 25.lpp.</w:t>
      </w:r>
    </w:p>
  </w:footnote>
  <w:footnote w:id="16">
    <w:p w14:paraId="716EC9CF" w14:textId="77777777" w:rsidR="000C7C76" w:rsidRPr="00BF3A72" w:rsidRDefault="000C7C76" w:rsidP="00114953">
      <w:pPr>
        <w:pStyle w:val="FootnoteText"/>
        <w:jc w:val="both"/>
        <w:rPr>
          <w:lang w:val="lv-LV"/>
        </w:rPr>
      </w:pPr>
      <w:r>
        <w:rPr>
          <w:rStyle w:val="FootnoteReference"/>
        </w:rPr>
        <w:footnoteRef/>
      </w:r>
      <w:r>
        <w:t xml:space="preserve"> </w:t>
      </w:r>
      <w:r w:rsidRPr="000C7C76">
        <w:rPr>
          <w:lang w:val="lv-LV"/>
        </w:rPr>
        <w:t>Torgāns K. Saistību tiesības. Mācību grāmata. Rīga: TNA, 2014, 419.lpp.</w:t>
      </w:r>
    </w:p>
  </w:footnote>
  <w:footnote w:id="17">
    <w:p w14:paraId="4240FBCA" w14:textId="77777777" w:rsidR="000C7C76" w:rsidRPr="00BF3A72" w:rsidRDefault="000C7C76" w:rsidP="00114953">
      <w:pPr>
        <w:pStyle w:val="FootnoteText"/>
        <w:jc w:val="both"/>
        <w:rPr>
          <w:lang w:val="lv-LV"/>
        </w:rPr>
      </w:pPr>
      <w:r w:rsidRPr="00BF3A72">
        <w:rPr>
          <w:rStyle w:val="FootnoteReference"/>
        </w:rPr>
        <w:footnoteRef/>
      </w:r>
      <w:r w:rsidRPr="00BF3A72">
        <w:t xml:space="preserve"> </w:t>
      </w:r>
      <w:r w:rsidRPr="00BF3A72">
        <w:rPr>
          <w:lang w:val="lv-LV"/>
        </w:rPr>
        <w:t>Turpat, 420., 424.lpp.</w:t>
      </w:r>
    </w:p>
  </w:footnote>
  <w:footnote w:id="18">
    <w:p w14:paraId="52085C4F" w14:textId="77777777" w:rsidR="000C7C76" w:rsidRPr="00BF3A72" w:rsidRDefault="000C7C76" w:rsidP="00114953">
      <w:pPr>
        <w:pStyle w:val="FootnoteText"/>
        <w:jc w:val="both"/>
        <w:rPr>
          <w:lang w:val="lv-LV"/>
        </w:rPr>
      </w:pPr>
      <w:r w:rsidRPr="00BF3A72">
        <w:rPr>
          <w:rStyle w:val="FootnoteReference"/>
        </w:rPr>
        <w:footnoteRef/>
      </w:r>
      <w:r w:rsidRPr="00BF3A72">
        <w:t xml:space="preserve"> </w:t>
      </w:r>
      <w:r w:rsidRPr="00BF3A72">
        <w:rPr>
          <w:lang w:val="lv-LV"/>
        </w:rPr>
        <w:t>Turpat, 420.lpp.</w:t>
      </w:r>
    </w:p>
  </w:footnote>
  <w:footnote w:id="19">
    <w:p w14:paraId="25CA1A11" w14:textId="77777777" w:rsidR="000C7C76" w:rsidRPr="00BF3A72" w:rsidRDefault="000C7C76" w:rsidP="00114953">
      <w:pPr>
        <w:pStyle w:val="FootnoteText"/>
        <w:jc w:val="both"/>
        <w:rPr>
          <w:lang w:val="lv-LV"/>
        </w:rPr>
      </w:pPr>
      <w:r>
        <w:rPr>
          <w:rStyle w:val="FootnoteReference"/>
        </w:rPr>
        <w:footnoteRef/>
      </w:r>
      <w:r>
        <w:t xml:space="preserve"> </w:t>
      </w:r>
      <w:r w:rsidRPr="00BF3A72">
        <w:rPr>
          <w:lang w:val="lv-LV"/>
        </w:rPr>
        <w:t>Turpat., 422.lpp.</w:t>
      </w:r>
    </w:p>
  </w:footnote>
  <w:footnote w:id="20">
    <w:p w14:paraId="5556D012" w14:textId="77777777" w:rsidR="000C7C76" w:rsidRPr="00BF3A72" w:rsidRDefault="000C7C76" w:rsidP="00114953">
      <w:pPr>
        <w:pStyle w:val="FootnoteText"/>
        <w:jc w:val="both"/>
        <w:rPr>
          <w:lang w:val="lv-LV"/>
        </w:rPr>
      </w:pPr>
      <w:r w:rsidRPr="00BF3A72">
        <w:rPr>
          <w:rStyle w:val="FootnoteReference"/>
        </w:rPr>
        <w:footnoteRef/>
      </w:r>
      <w:r w:rsidRPr="00BF3A72">
        <w:t xml:space="preserve"> </w:t>
      </w:r>
      <w:r w:rsidRPr="00BF3A72">
        <w:rPr>
          <w:lang w:val="lv-LV"/>
        </w:rPr>
        <w:t>Turpat., 419.lpp.</w:t>
      </w:r>
    </w:p>
  </w:footnote>
  <w:footnote w:id="21">
    <w:p w14:paraId="7E7930D4" w14:textId="77777777" w:rsidR="000C7C76" w:rsidRPr="00BF3A72" w:rsidRDefault="000C7C76" w:rsidP="00114953">
      <w:pPr>
        <w:pStyle w:val="FootnoteText"/>
        <w:jc w:val="both"/>
        <w:rPr>
          <w:lang w:val="lv-LV"/>
        </w:rPr>
      </w:pPr>
      <w:r w:rsidRPr="00BF3A72">
        <w:rPr>
          <w:rStyle w:val="FootnoteReference"/>
        </w:rPr>
        <w:footnoteRef/>
      </w:r>
      <w:r w:rsidRPr="00BF3A72">
        <w:t xml:space="preserve"> </w:t>
      </w:r>
      <w:r w:rsidRPr="00BF3A72">
        <w:rPr>
          <w:lang w:val="lv-LV"/>
        </w:rPr>
        <w:t>Turpat., 421.lpp.</w:t>
      </w:r>
    </w:p>
  </w:footnote>
  <w:footnote w:id="22">
    <w:p w14:paraId="0A53439C" w14:textId="77777777" w:rsidR="000C7C76" w:rsidRPr="000C7C76" w:rsidRDefault="000C7C76" w:rsidP="00114953">
      <w:pPr>
        <w:pStyle w:val="FootnoteText"/>
        <w:jc w:val="both"/>
        <w:rPr>
          <w:lang w:val="lv-LV"/>
        </w:rPr>
      </w:pPr>
      <w:r w:rsidRPr="00BF3A72">
        <w:rPr>
          <w:rStyle w:val="FootnoteReference"/>
        </w:rPr>
        <w:footnoteRef/>
      </w:r>
      <w:r w:rsidRPr="00BF3A72">
        <w:t xml:space="preserve"> </w:t>
      </w:r>
      <w:proofErr w:type="spellStart"/>
      <w:r w:rsidRPr="00BF3A72">
        <w:rPr>
          <w:lang w:val="lv-LV"/>
        </w:rPr>
        <w:t>Dregelies</w:t>
      </w:r>
      <w:proofErr w:type="spellEnd"/>
      <w:r w:rsidRPr="00BF3A72">
        <w:rPr>
          <w:lang w:val="lv-LV"/>
        </w:rPr>
        <w:t xml:space="preserve"> M. </w:t>
      </w:r>
      <w:proofErr w:type="spellStart"/>
      <w:r w:rsidRPr="000C7C76">
        <w:rPr>
          <w:lang w:val="lv-LV"/>
        </w:rPr>
        <w:t>Das</w:t>
      </w:r>
      <w:proofErr w:type="spellEnd"/>
      <w:r w:rsidRPr="000C7C76">
        <w:rPr>
          <w:lang w:val="lv-LV"/>
        </w:rPr>
        <w:t xml:space="preserve"> </w:t>
      </w:r>
      <w:proofErr w:type="spellStart"/>
      <w:r w:rsidRPr="000C7C76">
        <w:rPr>
          <w:lang w:val="lv-LV"/>
        </w:rPr>
        <w:t>Vollmachtstatut</w:t>
      </w:r>
      <w:proofErr w:type="spellEnd"/>
      <w:r w:rsidRPr="000C7C76">
        <w:rPr>
          <w:lang w:val="lv-LV"/>
        </w:rPr>
        <w:t xml:space="preserve"> </w:t>
      </w:r>
      <w:proofErr w:type="spellStart"/>
      <w:r w:rsidRPr="000C7C76">
        <w:rPr>
          <w:lang w:val="lv-LV"/>
        </w:rPr>
        <w:t>im</w:t>
      </w:r>
      <w:proofErr w:type="spellEnd"/>
      <w:r w:rsidRPr="000C7C76">
        <w:rPr>
          <w:lang w:val="lv-LV"/>
        </w:rPr>
        <w:t xml:space="preserve"> </w:t>
      </w:r>
      <w:proofErr w:type="spellStart"/>
      <w:r w:rsidRPr="000C7C76">
        <w:rPr>
          <w:lang w:val="lv-LV"/>
        </w:rPr>
        <w:t>polnischen</w:t>
      </w:r>
      <w:proofErr w:type="spellEnd"/>
      <w:r w:rsidRPr="000C7C76">
        <w:rPr>
          <w:lang w:val="lv-LV"/>
        </w:rPr>
        <w:t xml:space="preserve"> </w:t>
      </w:r>
      <w:proofErr w:type="spellStart"/>
      <w:r w:rsidRPr="000C7C76">
        <w:rPr>
          <w:lang w:val="lv-LV"/>
        </w:rPr>
        <w:t>und</w:t>
      </w:r>
      <w:proofErr w:type="spellEnd"/>
      <w:r w:rsidRPr="000C7C76">
        <w:rPr>
          <w:lang w:val="lv-LV"/>
        </w:rPr>
        <w:t xml:space="preserve"> </w:t>
      </w:r>
      <w:proofErr w:type="spellStart"/>
      <w:r w:rsidRPr="000C7C76">
        <w:rPr>
          <w:lang w:val="lv-LV"/>
        </w:rPr>
        <w:t>deutschen</w:t>
      </w:r>
      <w:proofErr w:type="spellEnd"/>
      <w:r w:rsidRPr="000C7C76">
        <w:rPr>
          <w:lang w:val="lv-LV"/>
        </w:rPr>
        <w:t xml:space="preserve"> </w:t>
      </w:r>
      <w:proofErr w:type="spellStart"/>
      <w:r w:rsidRPr="000C7C76">
        <w:rPr>
          <w:lang w:val="lv-LV"/>
        </w:rPr>
        <w:t>Recht</w:t>
      </w:r>
      <w:proofErr w:type="spellEnd"/>
      <w:r w:rsidRPr="000C7C76">
        <w:rPr>
          <w:lang w:val="lv-LV"/>
        </w:rPr>
        <w:t xml:space="preserve"> // </w:t>
      </w:r>
      <w:proofErr w:type="spellStart"/>
      <w:r w:rsidRPr="000C7C76">
        <w:rPr>
          <w:lang w:val="lv-LV"/>
        </w:rPr>
        <w:t>Praxis</w:t>
      </w:r>
      <w:proofErr w:type="spellEnd"/>
      <w:r w:rsidRPr="000C7C76">
        <w:rPr>
          <w:lang w:val="lv-LV"/>
        </w:rPr>
        <w:t xml:space="preserve"> </w:t>
      </w:r>
      <w:proofErr w:type="spellStart"/>
      <w:r w:rsidRPr="000C7C76">
        <w:rPr>
          <w:lang w:val="lv-LV"/>
        </w:rPr>
        <w:t>des</w:t>
      </w:r>
      <w:proofErr w:type="spellEnd"/>
      <w:r w:rsidRPr="000C7C76">
        <w:rPr>
          <w:lang w:val="lv-LV"/>
        </w:rPr>
        <w:t xml:space="preserve"> </w:t>
      </w:r>
      <w:proofErr w:type="spellStart"/>
      <w:r w:rsidRPr="000C7C76">
        <w:rPr>
          <w:lang w:val="lv-LV"/>
        </w:rPr>
        <w:t>Internationalen</w:t>
      </w:r>
      <w:proofErr w:type="spellEnd"/>
      <w:r w:rsidRPr="000C7C76">
        <w:rPr>
          <w:lang w:val="lv-LV"/>
        </w:rPr>
        <w:t xml:space="preserve"> </w:t>
      </w:r>
      <w:proofErr w:type="spellStart"/>
      <w:r w:rsidRPr="000C7C76">
        <w:rPr>
          <w:lang w:val="lv-LV"/>
        </w:rPr>
        <w:t>Privat</w:t>
      </w:r>
      <w:proofErr w:type="spellEnd"/>
      <w:r w:rsidRPr="000C7C76">
        <w:rPr>
          <w:lang w:val="lv-LV"/>
        </w:rPr>
        <w:t xml:space="preserve">- </w:t>
      </w:r>
      <w:proofErr w:type="spellStart"/>
      <w:r w:rsidRPr="000C7C76">
        <w:rPr>
          <w:lang w:val="lv-LV"/>
        </w:rPr>
        <w:t>und</w:t>
      </w:r>
      <w:proofErr w:type="spellEnd"/>
      <w:r w:rsidRPr="000C7C76">
        <w:rPr>
          <w:lang w:val="lv-LV"/>
        </w:rPr>
        <w:t xml:space="preserve"> </w:t>
      </w:r>
      <w:proofErr w:type="spellStart"/>
      <w:r w:rsidRPr="000C7C76">
        <w:rPr>
          <w:lang w:val="lv-LV"/>
        </w:rPr>
        <w:t>Verfahrensrechts</w:t>
      </w:r>
      <w:proofErr w:type="spellEnd"/>
      <w:r w:rsidRPr="000C7C76">
        <w:rPr>
          <w:lang w:val="lv-LV"/>
        </w:rPr>
        <w:t xml:space="preserve"> (</w:t>
      </w:r>
      <w:proofErr w:type="spellStart"/>
      <w:r w:rsidRPr="000C7C76">
        <w:rPr>
          <w:lang w:val="lv-LV"/>
        </w:rPr>
        <w:t>IPRax</w:t>
      </w:r>
      <w:proofErr w:type="spellEnd"/>
      <w:r w:rsidRPr="000C7C76">
        <w:rPr>
          <w:lang w:val="lv-LV"/>
        </w:rPr>
        <w:t xml:space="preserve">), 2016, </w:t>
      </w:r>
      <w:proofErr w:type="spellStart"/>
      <w:r w:rsidRPr="000C7C76">
        <w:rPr>
          <w:lang w:val="lv-LV"/>
        </w:rPr>
        <w:t>Heft</w:t>
      </w:r>
      <w:proofErr w:type="spellEnd"/>
      <w:r w:rsidRPr="000C7C76">
        <w:rPr>
          <w:lang w:val="lv-LV"/>
        </w:rPr>
        <w:t xml:space="preserve"> 2, </w:t>
      </w:r>
      <w:r w:rsidRPr="00BF3A72">
        <w:rPr>
          <w:lang w:val="lv-LV"/>
        </w:rPr>
        <w:t>S.188.</w:t>
      </w:r>
    </w:p>
  </w:footnote>
  <w:footnote w:id="23">
    <w:p w14:paraId="37555E43" w14:textId="77777777" w:rsidR="000C7C76" w:rsidRPr="00BF3A72" w:rsidRDefault="000C7C76" w:rsidP="00114953">
      <w:pPr>
        <w:pStyle w:val="FootnoteText"/>
        <w:jc w:val="both"/>
        <w:rPr>
          <w:lang w:val="lv-LV"/>
        </w:rPr>
      </w:pPr>
      <w:r w:rsidRPr="00BF3A72">
        <w:rPr>
          <w:rStyle w:val="FootnoteReference"/>
        </w:rPr>
        <w:footnoteRef/>
      </w:r>
      <w:r w:rsidRPr="00BF3A72">
        <w:t xml:space="preserve"> </w:t>
      </w:r>
      <w:r w:rsidRPr="00BF3A72">
        <w:rPr>
          <w:lang w:val="lv-LV"/>
        </w:rPr>
        <w:t xml:space="preserve">Civillikuma komentāri. Saistību tiesības (1401.-2400.p.). Autoru kolektīvs prof. </w:t>
      </w:r>
      <w:proofErr w:type="spellStart"/>
      <w:r w:rsidRPr="00BF3A72">
        <w:rPr>
          <w:lang w:val="lv-LV"/>
        </w:rPr>
        <w:t>K.Torgāna</w:t>
      </w:r>
      <w:proofErr w:type="spellEnd"/>
      <w:r w:rsidRPr="00BF3A72">
        <w:rPr>
          <w:lang w:val="lv-LV"/>
        </w:rPr>
        <w:t xml:space="preserve"> vispārīgā zinātniskā redakcijā. Rīga: Mans Īpašums, 1998., 25.lpp.</w:t>
      </w:r>
    </w:p>
  </w:footnote>
  <w:footnote w:id="24">
    <w:p w14:paraId="610DF8B8" w14:textId="77777777" w:rsidR="000C7C76" w:rsidRPr="00BF3A72" w:rsidRDefault="000C7C76" w:rsidP="00114953">
      <w:pPr>
        <w:pStyle w:val="FootnoteText"/>
        <w:jc w:val="both"/>
        <w:rPr>
          <w:lang w:val="lv-LV"/>
        </w:rPr>
      </w:pPr>
      <w:r w:rsidRPr="00BF3A72">
        <w:rPr>
          <w:rStyle w:val="FootnoteReference"/>
        </w:rPr>
        <w:footnoteRef/>
      </w:r>
      <w:r w:rsidRPr="00BF3A72">
        <w:t xml:space="preserve"> </w:t>
      </w:r>
      <w:r w:rsidRPr="00BF3A72">
        <w:rPr>
          <w:lang w:val="lv-LV"/>
        </w:rPr>
        <w:t>Turpat.</w:t>
      </w:r>
    </w:p>
  </w:footnote>
  <w:footnote w:id="25">
    <w:p w14:paraId="700B9683" w14:textId="77777777" w:rsidR="000C7C76" w:rsidRPr="00BF3A72" w:rsidRDefault="000C7C76" w:rsidP="00114953">
      <w:pPr>
        <w:pStyle w:val="FootnoteText"/>
        <w:jc w:val="both"/>
        <w:rPr>
          <w:lang w:val="lv-LV"/>
        </w:rPr>
      </w:pPr>
      <w:r w:rsidRPr="00BF3A72">
        <w:rPr>
          <w:rStyle w:val="FootnoteReference"/>
        </w:rPr>
        <w:footnoteRef/>
      </w:r>
      <w:r w:rsidRPr="00BF3A72">
        <w:t xml:space="preserve"> </w:t>
      </w:r>
      <w:r w:rsidRPr="000C7C76">
        <w:rPr>
          <w:lang w:val="lv-LV"/>
        </w:rPr>
        <w:t>Torgāns K. Saistību tiesības. Mācību grāmata. Rīga: TNA, 2014, 421.lpp.</w:t>
      </w:r>
    </w:p>
  </w:footnote>
  <w:footnote w:id="26">
    <w:p w14:paraId="079A2078" w14:textId="77777777" w:rsidR="000C7C76" w:rsidRPr="00BF3A72" w:rsidRDefault="000C7C76" w:rsidP="00114953">
      <w:pPr>
        <w:pStyle w:val="FootnoteText"/>
        <w:jc w:val="both"/>
        <w:rPr>
          <w:lang w:val="lv-LV"/>
        </w:rPr>
      </w:pPr>
      <w:r w:rsidRPr="00BF3A72">
        <w:rPr>
          <w:rStyle w:val="FootnoteReference"/>
        </w:rPr>
        <w:footnoteRef/>
      </w:r>
      <w:r w:rsidRPr="00BF3A72">
        <w:t xml:space="preserve"> </w:t>
      </w:r>
      <w:r w:rsidRPr="00BF3A72">
        <w:rPr>
          <w:lang w:val="lv-LV"/>
        </w:rPr>
        <w:t>Turpat.</w:t>
      </w:r>
    </w:p>
  </w:footnote>
  <w:footnote w:id="27">
    <w:p w14:paraId="3EDC5F41" w14:textId="77777777" w:rsidR="000C7C76" w:rsidRPr="000C7C76" w:rsidRDefault="000C7C76" w:rsidP="00114953">
      <w:pPr>
        <w:pStyle w:val="FootnoteText"/>
        <w:jc w:val="both"/>
        <w:rPr>
          <w:lang w:val="lv-LV"/>
        </w:rPr>
      </w:pPr>
      <w:r w:rsidRPr="005F6CA9">
        <w:rPr>
          <w:rStyle w:val="FootnoteReference"/>
        </w:rPr>
        <w:footnoteRef/>
      </w:r>
      <w:r w:rsidRPr="005F6CA9">
        <w:t xml:space="preserve"> </w:t>
      </w:r>
      <w:r w:rsidRPr="000C7C76">
        <w:rPr>
          <w:lang w:val="lv-LV"/>
        </w:rPr>
        <w:t>Torgāns K. Saistību tiesības. II daļa. Rīga: TNA, 2008., 194.lpp.</w:t>
      </w:r>
    </w:p>
  </w:footnote>
  <w:footnote w:id="28">
    <w:p w14:paraId="273F1B47" w14:textId="77777777" w:rsidR="000C7C76" w:rsidRPr="000C7C76" w:rsidRDefault="000C7C76" w:rsidP="00114953">
      <w:pPr>
        <w:pStyle w:val="FootnoteText"/>
        <w:jc w:val="both"/>
        <w:rPr>
          <w:lang w:val="en-US"/>
        </w:rPr>
      </w:pPr>
      <w:r w:rsidRPr="005F6CA9">
        <w:rPr>
          <w:rStyle w:val="FootnoteReference"/>
        </w:rPr>
        <w:footnoteRef/>
      </w:r>
      <w:r w:rsidRPr="005F6CA9">
        <w:t xml:space="preserve"> </w:t>
      </w:r>
      <w:proofErr w:type="spellStart"/>
      <w:r w:rsidRPr="000C7C76">
        <w:rPr>
          <w:lang w:val="en-US"/>
        </w:rPr>
        <w:t>Turpat</w:t>
      </w:r>
      <w:proofErr w:type="spellEnd"/>
      <w:r w:rsidRPr="000C7C76">
        <w:rPr>
          <w:lang w:val="en-US"/>
        </w:rPr>
        <w:t>, 194., 197.lpp.</w:t>
      </w:r>
    </w:p>
  </w:footnote>
  <w:footnote w:id="29">
    <w:p w14:paraId="3B064464" w14:textId="77777777" w:rsidR="000C7C76" w:rsidRPr="000C7C76" w:rsidRDefault="000C7C76" w:rsidP="00114953">
      <w:pPr>
        <w:pStyle w:val="FootnoteText"/>
        <w:jc w:val="both"/>
        <w:rPr>
          <w:lang w:val="en-US"/>
        </w:rPr>
      </w:pPr>
      <w:r w:rsidRPr="005F6CA9">
        <w:rPr>
          <w:rStyle w:val="FootnoteReference"/>
        </w:rPr>
        <w:footnoteRef/>
      </w:r>
      <w:r w:rsidRPr="005F6CA9">
        <w:t xml:space="preserve"> </w:t>
      </w:r>
      <w:r w:rsidRPr="000C7C76">
        <w:rPr>
          <w:lang w:val="en-US"/>
        </w:rPr>
        <w:t>Convention on the Law Applicable to Agency. Explanatory Report by I.G.F. Karsten. Hague Conference on Private International Law, 1979, p. 381.</w:t>
      </w:r>
    </w:p>
  </w:footnote>
  <w:footnote w:id="30">
    <w:p w14:paraId="7A7A82BF" w14:textId="77777777" w:rsidR="000C7C76" w:rsidRPr="005F6CA9" w:rsidRDefault="000C7C76" w:rsidP="00114953">
      <w:pPr>
        <w:pStyle w:val="FootnoteText"/>
        <w:jc w:val="both"/>
        <w:rPr>
          <w:lang w:val="lv-LV"/>
        </w:rPr>
      </w:pPr>
      <w:r w:rsidRPr="005F6CA9">
        <w:rPr>
          <w:rStyle w:val="FootnoteReference"/>
        </w:rPr>
        <w:footnoteRef/>
      </w:r>
      <w:r w:rsidRPr="005F6CA9">
        <w:t xml:space="preserve"> Heinz N. Das </w:t>
      </w:r>
      <w:proofErr w:type="spellStart"/>
      <w:r w:rsidRPr="005F6CA9">
        <w:t>Vollmachtsstatut</w:t>
      </w:r>
      <w:proofErr w:type="spellEnd"/>
      <w:r w:rsidRPr="005F6CA9">
        <w:t>. T</w:t>
      </w:r>
      <w:proofErr w:type="spellStart"/>
      <w:r w:rsidRPr="000C7C76">
        <w:rPr>
          <w:lang w:val="en-US"/>
        </w:rPr>
        <w:t>übingen</w:t>
      </w:r>
      <w:proofErr w:type="spellEnd"/>
      <w:r w:rsidRPr="000C7C76">
        <w:rPr>
          <w:lang w:val="en-US"/>
        </w:rPr>
        <w:t xml:space="preserve">: Mohr </w:t>
      </w:r>
      <w:proofErr w:type="spellStart"/>
      <w:r w:rsidRPr="000C7C76">
        <w:rPr>
          <w:lang w:val="en-US"/>
        </w:rPr>
        <w:t>Siebeck</w:t>
      </w:r>
      <w:proofErr w:type="spellEnd"/>
      <w:r w:rsidRPr="000C7C76">
        <w:rPr>
          <w:lang w:val="en-US"/>
        </w:rPr>
        <w:t xml:space="preserve"> Verlag. </w:t>
      </w:r>
      <w:r w:rsidRPr="005F6CA9">
        <w:rPr>
          <w:lang w:val="fr-FR"/>
        </w:rPr>
        <w:t xml:space="preserve">2011, S. 9. </w:t>
      </w:r>
    </w:p>
  </w:footnote>
  <w:footnote w:id="31">
    <w:p w14:paraId="48F6D219" w14:textId="77777777" w:rsidR="000C7C76" w:rsidRPr="000C7C76" w:rsidRDefault="000C7C76" w:rsidP="00114953">
      <w:pPr>
        <w:pStyle w:val="FootnoteText"/>
        <w:rPr>
          <w:lang w:val="en-US"/>
        </w:rPr>
      </w:pPr>
      <w:r w:rsidRPr="005F6CA9">
        <w:rPr>
          <w:rStyle w:val="FootnoteReference"/>
        </w:rPr>
        <w:footnoteRef/>
      </w:r>
      <w:r w:rsidRPr="005F6CA9">
        <w:t xml:space="preserve"> </w:t>
      </w:r>
      <w:proofErr w:type="spellStart"/>
      <w:r w:rsidRPr="005F6CA9">
        <w:rPr>
          <w:lang w:val="fr-FR"/>
        </w:rPr>
        <w:t>Kropholler</w:t>
      </w:r>
      <w:proofErr w:type="spellEnd"/>
      <w:r w:rsidRPr="005F6CA9">
        <w:rPr>
          <w:lang w:val="fr-FR"/>
        </w:rPr>
        <w:t xml:space="preserve"> J. Internationales </w:t>
      </w:r>
      <w:proofErr w:type="spellStart"/>
      <w:r w:rsidRPr="005F6CA9">
        <w:rPr>
          <w:lang w:val="fr-FR"/>
        </w:rPr>
        <w:t>Privatrecht</w:t>
      </w:r>
      <w:proofErr w:type="spellEnd"/>
      <w:r w:rsidRPr="005F6CA9">
        <w:rPr>
          <w:lang w:val="fr-FR"/>
        </w:rPr>
        <w:t xml:space="preserve">. </w:t>
      </w:r>
      <w:r w:rsidRPr="000C7C76">
        <w:rPr>
          <w:lang w:val="en-US"/>
        </w:rPr>
        <w:t xml:space="preserve">5.Auflage. Tübingen: Mohr </w:t>
      </w:r>
      <w:proofErr w:type="spellStart"/>
      <w:r w:rsidRPr="000C7C76">
        <w:rPr>
          <w:lang w:val="en-US"/>
        </w:rPr>
        <w:t>Siebeck</w:t>
      </w:r>
      <w:proofErr w:type="spellEnd"/>
      <w:r w:rsidRPr="000C7C76">
        <w:rPr>
          <w:lang w:val="en-US"/>
        </w:rPr>
        <w:t xml:space="preserve"> Verlag, 2004, S. 300. </w:t>
      </w:r>
    </w:p>
  </w:footnote>
  <w:footnote w:id="32">
    <w:p w14:paraId="3FE6D489" w14:textId="77777777" w:rsidR="000C7C76" w:rsidRPr="005F6CA9" w:rsidRDefault="000C7C76" w:rsidP="00114953">
      <w:pPr>
        <w:pStyle w:val="FootnoteText"/>
        <w:jc w:val="both"/>
        <w:rPr>
          <w:lang w:val="fr-FR"/>
        </w:rPr>
      </w:pPr>
      <w:r w:rsidRPr="005F6CA9">
        <w:rPr>
          <w:rStyle w:val="FootnoteReference"/>
        </w:rPr>
        <w:footnoteRef/>
      </w:r>
      <w:r w:rsidRPr="005F6CA9">
        <w:t xml:space="preserve"> </w:t>
      </w:r>
      <w:r w:rsidRPr="000C7C76">
        <w:rPr>
          <w:lang w:val="en-US"/>
        </w:rPr>
        <w:t xml:space="preserve">Convention on the Law Applicable to Agency (concluded 14 March 1978). </w:t>
      </w:r>
      <w:proofErr w:type="spellStart"/>
      <w:r w:rsidRPr="005F6CA9">
        <w:rPr>
          <w:lang w:val="fr-FR"/>
        </w:rPr>
        <w:t>Pieejama</w:t>
      </w:r>
      <w:proofErr w:type="spellEnd"/>
      <w:r w:rsidRPr="005F6CA9">
        <w:rPr>
          <w:lang w:val="fr-FR"/>
        </w:rPr>
        <w:t xml:space="preserve"> </w:t>
      </w:r>
      <w:proofErr w:type="spellStart"/>
      <w:r w:rsidRPr="005F6CA9">
        <w:rPr>
          <w:lang w:val="fr-FR"/>
        </w:rPr>
        <w:t>šeit</w:t>
      </w:r>
      <w:proofErr w:type="spellEnd"/>
      <w:r w:rsidRPr="005F6CA9">
        <w:rPr>
          <w:lang w:val="fr-FR"/>
        </w:rPr>
        <w:t xml:space="preserve"> </w:t>
      </w:r>
      <w:proofErr w:type="spellStart"/>
      <w:r w:rsidRPr="005F6CA9">
        <w:rPr>
          <w:lang w:val="fr-FR"/>
        </w:rPr>
        <w:t>angļu</w:t>
      </w:r>
      <w:proofErr w:type="spellEnd"/>
      <w:r w:rsidRPr="005F6CA9">
        <w:rPr>
          <w:lang w:val="fr-FR"/>
        </w:rPr>
        <w:t xml:space="preserve"> un </w:t>
      </w:r>
      <w:proofErr w:type="spellStart"/>
      <w:r w:rsidRPr="005F6CA9">
        <w:rPr>
          <w:lang w:val="fr-FR"/>
        </w:rPr>
        <w:t>franču</w:t>
      </w:r>
      <w:proofErr w:type="spellEnd"/>
      <w:r w:rsidRPr="005F6CA9">
        <w:rPr>
          <w:lang w:val="fr-FR"/>
        </w:rPr>
        <w:t xml:space="preserve"> </w:t>
      </w:r>
      <w:proofErr w:type="spellStart"/>
      <w:proofErr w:type="gramStart"/>
      <w:r w:rsidRPr="005F6CA9">
        <w:rPr>
          <w:lang w:val="fr-FR"/>
        </w:rPr>
        <w:t>valodās</w:t>
      </w:r>
      <w:proofErr w:type="spellEnd"/>
      <w:r w:rsidRPr="005F6CA9">
        <w:rPr>
          <w:lang w:val="fr-FR"/>
        </w:rPr>
        <w:t>:</w:t>
      </w:r>
      <w:proofErr w:type="gramEnd"/>
      <w:r w:rsidRPr="005F6CA9">
        <w:rPr>
          <w:lang w:val="fr-FR"/>
        </w:rPr>
        <w:t xml:space="preserve"> </w:t>
      </w:r>
      <w:hyperlink r:id="rId1" w:history="1">
        <w:r w:rsidRPr="005F6CA9">
          <w:rPr>
            <w:rStyle w:val="Hyperlink"/>
            <w:lang w:val="fr-FR"/>
          </w:rPr>
          <w:t>www.hcch.net</w:t>
        </w:r>
      </w:hyperlink>
      <w:r w:rsidRPr="005F6CA9">
        <w:rPr>
          <w:lang w:val="fr-FR"/>
        </w:rPr>
        <w:t xml:space="preserve"> [</w:t>
      </w:r>
      <w:proofErr w:type="spellStart"/>
      <w:r w:rsidRPr="005F6CA9">
        <w:rPr>
          <w:lang w:val="fr-FR"/>
        </w:rPr>
        <w:t>aplūkots</w:t>
      </w:r>
      <w:proofErr w:type="spellEnd"/>
      <w:r w:rsidRPr="005F6CA9">
        <w:rPr>
          <w:lang w:val="fr-FR"/>
        </w:rPr>
        <w:t xml:space="preserve"> 22.12.2015.]. </w:t>
      </w:r>
      <w:proofErr w:type="spellStart"/>
      <w:r w:rsidRPr="005F6CA9">
        <w:rPr>
          <w:lang w:val="fr-FR"/>
        </w:rPr>
        <w:t>Konvencija</w:t>
      </w:r>
      <w:proofErr w:type="spellEnd"/>
      <w:r w:rsidRPr="005F6CA9">
        <w:rPr>
          <w:lang w:val="fr-FR"/>
        </w:rPr>
        <w:t xml:space="preserve"> </w:t>
      </w:r>
      <w:proofErr w:type="spellStart"/>
      <w:r w:rsidRPr="005F6CA9">
        <w:rPr>
          <w:lang w:val="fr-FR"/>
        </w:rPr>
        <w:t>ir</w:t>
      </w:r>
      <w:proofErr w:type="spellEnd"/>
      <w:r w:rsidRPr="005F6CA9">
        <w:rPr>
          <w:lang w:val="fr-FR"/>
        </w:rPr>
        <w:t xml:space="preserve"> </w:t>
      </w:r>
      <w:proofErr w:type="spellStart"/>
      <w:r w:rsidRPr="005F6CA9">
        <w:rPr>
          <w:lang w:val="fr-FR"/>
        </w:rPr>
        <w:t>spēkā</w:t>
      </w:r>
      <w:proofErr w:type="spellEnd"/>
      <w:r w:rsidRPr="005F6CA9">
        <w:rPr>
          <w:lang w:val="fr-FR"/>
        </w:rPr>
        <w:t xml:space="preserve"> </w:t>
      </w:r>
      <w:proofErr w:type="spellStart"/>
      <w:r w:rsidRPr="005F6CA9">
        <w:rPr>
          <w:lang w:val="fr-FR"/>
        </w:rPr>
        <w:t>šādās</w:t>
      </w:r>
      <w:proofErr w:type="spellEnd"/>
      <w:r w:rsidRPr="005F6CA9">
        <w:rPr>
          <w:lang w:val="fr-FR"/>
        </w:rPr>
        <w:t xml:space="preserve"> </w:t>
      </w:r>
      <w:proofErr w:type="spellStart"/>
      <w:proofErr w:type="gramStart"/>
      <w:r w:rsidRPr="005F6CA9">
        <w:rPr>
          <w:lang w:val="fr-FR"/>
        </w:rPr>
        <w:t>valstīs</w:t>
      </w:r>
      <w:proofErr w:type="spellEnd"/>
      <w:r w:rsidRPr="005F6CA9">
        <w:rPr>
          <w:lang w:val="fr-FR"/>
        </w:rPr>
        <w:t>:</w:t>
      </w:r>
      <w:proofErr w:type="gramEnd"/>
      <w:r w:rsidRPr="005F6CA9">
        <w:rPr>
          <w:lang w:val="fr-FR"/>
        </w:rPr>
        <w:t xml:space="preserve"> </w:t>
      </w:r>
      <w:proofErr w:type="spellStart"/>
      <w:r w:rsidRPr="005F6CA9">
        <w:rPr>
          <w:lang w:val="fr-FR"/>
        </w:rPr>
        <w:t>Francijā</w:t>
      </w:r>
      <w:proofErr w:type="spellEnd"/>
      <w:r w:rsidRPr="005F6CA9">
        <w:rPr>
          <w:lang w:val="fr-FR"/>
        </w:rPr>
        <w:t xml:space="preserve">, </w:t>
      </w:r>
      <w:proofErr w:type="spellStart"/>
      <w:r w:rsidRPr="005F6CA9">
        <w:rPr>
          <w:lang w:val="fr-FR"/>
        </w:rPr>
        <w:t>Portugālē</w:t>
      </w:r>
      <w:proofErr w:type="spellEnd"/>
      <w:r w:rsidRPr="005F6CA9">
        <w:rPr>
          <w:lang w:val="fr-FR"/>
        </w:rPr>
        <w:t xml:space="preserve">, </w:t>
      </w:r>
      <w:proofErr w:type="spellStart"/>
      <w:r w:rsidRPr="005F6CA9">
        <w:rPr>
          <w:lang w:val="fr-FR"/>
        </w:rPr>
        <w:t>Nīderlandē</w:t>
      </w:r>
      <w:proofErr w:type="spellEnd"/>
      <w:r w:rsidRPr="005F6CA9">
        <w:rPr>
          <w:lang w:val="fr-FR"/>
        </w:rPr>
        <w:t xml:space="preserve"> un </w:t>
      </w:r>
      <w:proofErr w:type="spellStart"/>
      <w:r w:rsidRPr="005F6CA9">
        <w:rPr>
          <w:lang w:val="fr-FR"/>
        </w:rPr>
        <w:t>Argentīnā</w:t>
      </w:r>
      <w:proofErr w:type="spellEnd"/>
      <w:r w:rsidRPr="005F6CA9">
        <w:rPr>
          <w:lang w:val="fr-FR"/>
        </w:rPr>
        <w:t xml:space="preserve">. </w:t>
      </w:r>
      <w:proofErr w:type="spellStart"/>
      <w:r w:rsidRPr="005F6CA9">
        <w:rPr>
          <w:lang w:val="fr-FR"/>
        </w:rPr>
        <w:t>Latvija</w:t>
      </w:r>
      <w:proofErr w:type="spellEnd"/>
      <w:r w:rsidRPr="005F6CA9">
        <w:rPr>
          <w:lang w:val="fr-FR"/>
        </w:rPr>
        <w:t xml:space="preserve"> </w:t>
      </w:r>
      <w:proofErr w:type="spellStart"/>
      <w:r w:rsidRPr="005F6CA9">
        <w:rPr>
          <w:lang w:val="fr-FR"/>
        </w:rPr>
        <w:t>nav</w:t>
      </w:r>
      <w:proofErr w:type="spellEnd"/>
      <w:r w:rsidRPr="005F6CA9">
        <w:rPr>
          <w:lang w:val="fr-FR"/>
        </w:rPr>
        <w:t xml:space="preserve"> </w:t>
      </w:r>
      <w:proofErr w:type="spellStart"/>
      <w:r w:rsidRPr="005F6CA9">
        <w:rPr>
          <w:lang w:val="fr-FR"/>
        </w:rPr>
        <w:t>šīs</w:t>
      </w:r>
      <w:proofErr w:type="spellEnd"/>
      <w:r w:rsidRPr="005F6CA9">
        <w:rPr>
          <w:lang w:val="fr-FR"/>
        </w:rPr>
        <w:t xml:space="preserve"> </w:t>
      </w:r>
      <w:proofErr w:type="spellStart"/>
      <w:r w:rsidRPr="005F6CA9">
        <w:rPr>
          <w:lang w:val="fr-FR"/>
        </w:rPr>
        <w:t>Konvencijas</w:t>
      </w:r>
      <w:proofErr w:type="spellEnd"/>
      <w:r w:rsidRPr="005F6CA9">
        <w:rPr>
          <w:lang w:val="fr-FR"/>
        </w:rPr>
        <w:t xml:space="preserve"> </w:t>
      </w:r>
      <w:proofErr w:type="spellStart"/>
      <w:r w:rsidRPr="005F6CA9">
        <w:rPr>
          <w:lang w:val="fr-FR"/>
        </w:rPr>
        <w:t>dalībvalsts</w:t>
      </w:r>
      <w:proofErr w:type="spellEnd"/>
      <w:r w:rsidRPr="005F6CA9">
        <w:rPr>
          <w:lang w:val="fr-FR"/>
        </w:rPr>
        <w:t xml:space="preserve">, </w:t>
      </w:r>
      <w:proofErr w:type="spellStart"/>
      <w:r w:rsidRPr="005F6CA9">
        <w:rPr>
          <w:lang w:val="fr-FR"/>
        </w:rPr>
        <w:t>tādēļ</w:t>
      </w:r>
      <w:proofErr w:type="spellEnd"/>
      <w:r w:rsidRPr="005F6CA9">
        <w:rPr>
          <w:lang w:val="fr-FR"/>
        </w:rPr>
        <w:t xml:space="preserve"> </w:t>
      </w:r>
      <w:proofErr w:type="spellStart"/>
      <w:r w:rsidRPr="005F6CA9">
        <w:rPr>
          <w:lang w:val="fr-FR"/>
        </w:rPr>
        <w:t>Latvijā</w:t>
      </w:r>
      <w:proofErr w:type="spellEnd"/>
      <w:r w:rsidRPr="005F6CA9">
        <w:rPr>
          <w:lang w:val="fr-FR"/>
        </w:rPr>
        <w:t xml:space="preserve"> </w:t>
      </w:r>
      <w:proofErr w:type="spellStart"/>
      <w:r w:rsidRPr="005F6CA9">
        <w:rPr>
          <w:lang w:val="fr-FR"/>
        </w:rPr>
        <w:t>tā</w:t>
      </w:r>
      <w:proofErr w:type="spellEnd"/>
      <w:r w:rsidRPr="005F6CA9">
        <w:rPr>
          <w:lang w:val="fr-FR"/>
        </w:rPr>
        <w:t xml:space="preserve"> </w:t>
      </w:r>
      <w:proofErr w:type="spellStart"/>
      <w:r w:rsidRPr="005F6CA9">
        <w:rPr>
          <w:lang w:val="fr-FR"/>
        </w:rPr>
        <w:t>nav</w:t>
      </w:r>
      <w:proofErr w:type="spellEnd"/>
      <w:r w:rsidRPr="005F6CA9">
        <w:rPr>
          <w:lang w:val="fr-FR"/>
        </w:rPr>
        <w:t xml:space="preserve"> </w:t>
      </w:r>
      <w:proofErr w:type="spellStart"/>
      <w:r w:rsidRPr="005F6CA9">
        <w:rPr>
          <w:lang w:val="fr-FR"/>
        </w:rPr>
        <w:t>piemērojama</w:t>
      </w:r>
      <w:proofErr w:type="spellEnd"/>
      <w:r w:rsidRPr="005F6CA9">
        <w:rPr>
          <w:lang w:val="fr-FR"/>
        </w:rPr>
        <w:t>.</w:t>
      </w:r>
    </w:p>
  </w:footnote>
  <w:footnote w:id="33">
    <w:p w14:paraId="1574623D" w14:textId="77777777" w:rsidR="000C7C76" w:rsidRPr="005F6CA9" w:rsidRDefault="000C7C76" w:rsidP="00114953">
      <w:pPr>
        <w:pStyle w:val="FootnoteText"/>
        <w:jc w:val="both"/>
        <w:rPr>
          <w:lang w:val="lv-LV"/>
        </w:rPr>
      </w:pPr>
      <w:r w:rsidRPr="005F6CA9">
        <w:rPr>
          <w:rStyle w:val="FootnoteReference"/>
        </w:rPr>
        <w:footnoteRef/>
      </w:r>
      <w:r w:rsidRPr="005F6CA9">
        <w:t xml:space="preserve"> Heinz N. Das </w:t>
      </w:r>
      <w:proofErr w:type="spellStart"/>
      <w:r w:rsidRPr="005F6CA9">
        <w:t>Vollmachtsstatut</w:t>
      </w:r>
      <w:proofErr w:type="spellEnd"/>
      <w:r w:rsidRPr="005F6CA9">
        <w:t>. T</w:t>
      </w:r>
      <w:proofErr w:type="spellStart"/>
      <w:r w:rsidRPr="000C7C76">
        <w:rPr>
          <w:lang w:val="en-US"/>
        </w:rPr>
        <w:t>übingen</w:t>
      </w:r>
      <w:proofErr w:type="spellEnd"/>
      <w:r w:rsidRPr="000C7C76">
        <w:rPr>
          <w:lang w:val="en-US"/>
        </w:rPr>
        <w:t xml:space="preserve">: Mohr </w:t>
      </w:r>
      <w:proofErr w:type="spellStart"/>
      <w:r w:rsidRPr="000C7C76">
        <w:rPr>
          <w:lang w:val="en-US"/>
        </w:rPr>
        <w:t>Siebeck</w:t>
      </w:r>
      <w:proofErr w:type="spellEnd"/>
      <w:r w:rsidRPr="000C7C76">
        <w:rPr>
          <w:lang w:val="en-US"/>
        </w:rPr>
        <w:t xml:space="preserve"> Verlag. 2011, S. 10. </w:t>
      </w:r>
    </w:p>
  </w:footnote>
  <w:footnote w:id="34">
    <w:p w14:paraId="2CE9892A" w14:textId="77777777" w:rsidR="000C7C76" w:rsidRPr="00BF3A72" w:rsidRDefault="000C7C76" w:rsidP="00114953">
      <w:pPr>
        <w:pStyle w:val="FootnoteText"/>
        <w:jc w:val="both"/>
        <w:rPr>
          <w:lang w:val="lv-LV"/>
        </w:rPr>
      </w:pPr>
      <w:r>
        <w:rPr>
          <w:rStyle w:val="FootnoteReference"/>
        </w:rPr>
        <w:footnoteRef/>
      </w:r>
      <w:r>
        <w:t xml:space="preserve"> </w:t>
      </w:r>
      <w:r w:rsidRPr="00BF3A72">
        <w:rPr>
          <w:lang w:val="lv-LV"/>
        </w:rPr>
        <w:t xml:space="preserve">BGH 7.Zivilsenat, 26.04.1990, VII ZR 218/89, § 13-14. Pieejams: </w:t>
      </w:r>
      <w:hyperlink r:id="rId2" w:history="1">
        <w:r w:rsidRPr="00BF3A72">
          <w:rPr>
            <w:rStyle w:val="Hyperlink"/>
            <w:color w:val="auto"/>
            <w:lang w:val="lv-LV"/>
          </w:rPr>
          <w:t>www.juris.de</w:t>
        </w:r>
      </w:hyperlink>
      <w:r w:rsidRPr="00BF3A72">
        <w:rPr>
          <w:lang w:val="lv-LV"/>
        </w:rPr>
        <w:t xml:space="preserve">  </w:t>
      </w:r>
    </w:p>
  </w:footnote>
  <w:footnote w:id="35">
    <w:p w14:paraId="163FE348" w14:textId="77777777" w:rsidR="000C7C76" w:rsidRPr="000C7C76" w:rsidRDefault="000C7C76" w:rsidP="00114953">
      <w:pPr>
        <w:pStyle w:val="FootnoteText"/>
        <w:jc w:val="both"/>
        <w:rPr>
          <w:lang w:val="en-US"/>
        </w:rPr>
      </w:pPr>
      <w:r w:rsidRPr="00BF3A72">
        <w:rPr>
          <w:rStyle w:val="FootnoteReference"/>
        </w:rPr>
        <w:footnoteRef/>
      </w:r>
      <w:r w:rsidRPr="00BF3A72">
        <w:t xml:space="preserve"> Heinz N., </w:t>
      </w:r>
      <w:proofErr w:type="spellStart"/>
      <w:r w:rsidRPr="00BF3A72">
        <w:rPr>
          <w:lang w:val="lv-LV"/>
        </w:rPr>
        <w:t>Ibid</w:t>
      </w:r>
      <w:proofErr w:type="spellEnd"/>
      <w:r w:rsidRPr="00BF3A72">
        <w:rPr>
          <w:lang w:val="lv-LV"/>
        </w:rPr>
        <w:t xml:space="preserve">., S. 13, 14; </w:t>
      </w:r>
      <w:proofErr w:type="spellStart"/>
      <w:r w:rsidRPr="000C7C76">
        <w:rPr>
          <w:lang w:val="en-US"/>
        </w:rPr>
        <w:t>Sü</w:t>
      </w:r>
      <w:proofErr w:type="spellEnd"/>
      <w:r w:rsidRPr="00BF3A72">
        <w:rPr>
          <w:lang w:val="fr-FR"/>
        </w:rPr>
        <w:sym w:font="Symbol" w:char="F062"/>
      </w:r>
      <w:r w:rsidRPr="000C7C76">
        <w:rPr>
          <w:lang w:val="en-US"/>
        </w:rPr>
        <w:t xml:space="preserve"> </w:t>
      </w:r>
      <w:proofErr w:type="gramStart"/>
      <w:r w:rsidRPr="000C7C76">
        <w:rPr>
          <w:lang w:val="en-US"/>
        </w:rPr>
        <w:t>in :</w:t>
      </w:r>
      <w:proofErr w:type="gramEnd"/>
      <w:r w:rsidRPr="000C7C76">
        <w:rPr>
          <w:lang w:val="en-US"/>
        </w:rPr>
        <w:t xml:space="preserve"> Herberger/Martinek/</w:t>
      </w:r>
      <w:proofErr w:type="spellStart"/>
      <w:r w:rsidRPr="000C7C76">
        <w:rPr>
          <w:lang w:val="en-US"/>
        </w:rPr>
        <w:t>Rü</w:t>
      </w:r>
      <w:proofErr w:type="spellEnd"/>
      <w:r w:rsidRPr="00BF3A72">
        <w:rPr>
          <w:lang w:val="fr-FR"/>
        </w:rPr>
        <w:sym w:font="Symbol" w:char="F062"/>
      </w:r>
      <w:proofErr w:type="spellStart"/>
      <w:r w:rsidRPr="000C7C76">
        <w:rPr>
          <w:lang w:val="en-US"/>
        </w:rPr>
        <w:t>mann</w:t>
      </w:r>
      <w:proofErr w:type="spellEnd"/>
      <w:r w:rsidRPr="000C7C76">
        <w:rPr>
          <w:lang w:val="en-US"/>
        </w:rPr>
        <w:t xml:space="preserve"> </w:t>
      </w:r>
      <w:proofErr w:type="spellStart"/>
      <w:r w:rsidRPr="000C7C76">
        <w:rPr>
          <w:lang w:val="en-US"/>
        </w:rPr>
        <w:t>u.a.</w:t>
      </w:r>
      <w:proofErr w:type="spellEnd"/>
      <w:r w:rsidRPr="000C7C76">
        <w:rPr>
          <w:lang w:val="en-US"/>
        </w:rPr>
        <w:t xml:space="preserve">, </w:t>
      </w:r>
      <w:proofErr w:type="spellStart"/>
      <w:r w:rsidRPr="000C7C76">
        <w:rPr>
          <w:lang w:val="en-US"/>
        </w:rPr>
        <w:t>jurisPK</w:t>
      </w:r>
      <w:proofErr w:type="spellEnd"/>
      <w:r w:rsidRPr="000C7C76">
        <w:rPr>
          <w:lang w:val="en-US"/>
        </w:rPr>
        <w:t xml:space="preserve">-BGB, 8.Aufl., Band 6, 2017, Anh. </w:t>
      </w:r>
      <w:proofErr w:type="spellStart"/>
      <w:r w:rsidRPr="000C7C76">
        <w:rPr>
          <w:lang w:val="en-US"/>
        </w:rPr>
        <w:t>zu</w:t>
      </w:r>
      <w:proofErr w:type="spellEnd"/>
      <w:r w:rsidRPr="000C7C76">
        <w:rPr>
          <w:lang w:val="en-US"/>
        </w:rPr>
        <w:t xml:space="preserve"> Art. 11.</w:t>
      </w:r>
    </w:p>
  </w:footnote>
  <w:footnote w:id="36">
    <w:p w14:paraId="2BFEFE86" w14:textId="77777777" w:rsidR="000C7C76" w:rsidRPr="005F6CA9" w:rsidRDefault="000C7C76" w:rsidP="00114953">
      <w:pPr>
        <w:pStyle w:val="FootnoteText"/>
        <w:jc w:val="both"/>
        <w:rPr>
          <w:lang w:val="lv-LV"/>
        </w:rPr>
      </w:pPr>
      <w:r w:rsidRPr="005F6CA9">
        <w:rPr>
          <w:rStyle w:val="FootnoteReference"/>
        </w:rPr>
        <w:footnoteRef/>
      </w:r>
      <w:r w:rsidRPr="005F6CA9">
        <w:t xml:space="preserve"> </w:t>
      </w:r>
      <w:r w:rsidRPr="005F6CA9">
        <w:rPr>
          <w:lang w:val="lv-LV"/>
        </w:rPr>
        <w:t xml:space="preserve">Stone P. EU </w:t>
      </w:r>
      <w:proofErr w:type="spellStart"/>
      <w:r w:rsidRPr="005F6CA9">
        <w:rPr>
          <w:lang w:val="lv-LV"/>
        </w:rPr>
        <w:t>Private</w:t>
      </w:r>
      <w:proofErr w:type="spellEnd"/>
      <w:r w:rsidRPr="005F6CA9">
        <w:rPr>
          <w:lang w:val="lv-LV"/>
        </w:rPr>
        <w:t xml:space="preserve"> </w:t>
      </w:r>
      <w:proofErr w:type="spellStart"/>
      <w:r w:rsidRPr="005F6CA9">
        <w:rPr>
          <w:lang w:val="lv-LV"/>
        </w:rPr>
        <w:t>International</w:t>
      </w:r>
      <w:proofErr w:type="spellEnd"/>
      <w:r w:rsidRPr="005F6CA9">
        <w:rPr>
          <w:lang w:val="lv-LV"/>
        </w:rPr>
        <w:t xml:space="preserve"> </w:t>
      </w:r>
      <w:proofErr w:type="spellStart"/>
      <w:r w:rsidRPr="005F6CA9">
        <w:rPr>
          <w:lang w:val="lv-LV"/>
        </w:rPr>
        <w:t>Law</w:t>
      </w:r>
      <w:proofErr w:type="spellEnd"/>
      <w:r w:rsidRPr="005F6CA9">
        <w:rPr>
          <w:lang w:val="lv-LV"/>
        </w:rPr>
        <w:t xml:space="preserve">. 2nd </w:t>
      </w:r>
      <w:proofErr w:type="spellStart"/>
      <w:r w:rsidRPr="005F6CA9">
        <w:rPr>
          <w:lang w:val="lv-LV"/>
        </w:rPr>
        <w:t>edition</w:t>
      </w:r>
      <w:proofErr w:type="spellEnd"/>
      <w:r w:rsidRPr="005F6CA9">
        <w:rPr>
          <w:lang w:val="lv-LV"/>
        </w:rPr>
        <w:t xml:space="preserve">. </w:t>
      </w:r>
      <w:proofErr w:type="spellStart"/>
      <w:r w:rsidRPr="005F6CA9">
        <w:rPr>
          <w:lang w:val="lv-LV"/>
        </w:rPr>
        <w:t>Cheltenham</w:t>
      </w:r>
      <w:proofErr w:type="spellEnd"/>
      <w:r w:rsidRPr="005F6CA9">
        <w:rPr>
          <w:lang w:val="lv-LV"/>
        </w:rPr>
        <w:t xml:space="preserve"> (UK): </w:t>
      </w:r>
      <w:proofErr w:type="spellStart"/>
      <w:r w:rsidRPr="005F6CA9">
        <w:rPr>
          <w:lang w:val="lv-LV"/>
        </w:rPr>
        <w:t>Edward</w:t>
      </w:r>
      <w:proofErr w:type="spellEnd"/>
      <w:r w:rsidRPr="005F6CA9">
        <w:rPr>
          <w:lang w:val="lv-LV"/>
        </w:rPr>
        <w:t xml:space="preserve"> Elgar, 2010, p. 330.</w:t>
      </w:r>
    </w:p>
  </w:footnote>
  <w:footnote w:id="37">
    <w:p w14:paraId="70772B73" w14:textId="77777777" w:rsidR="000C7C76" w:rsidRPr="005F6CA9" w:rsidRDefault="000C7C76" w:rsidP="00114953">
      <w:pPr>
        <w:pStyle w:val="FootnoteText"/>
        <w:jc w:val="both"/>
        <w:rPr>
          <w:lang w:val="lv-LV"/>
        </w:rPr>
      </w:pPr>
      <w:r w:rsidRPr="005F6CA9">
        <w:rPr>
          <w:rStyle w:val="FootnoteReference"/>
        </w:rPr>
        <w:footnoteRef/>
      </w:r>
      <w:r w:rsidRPr="005F6CA9">
        <w:t xml:space="preserve"> </w:t>
      </w:r>
      <w:r w:rsidRPr="005F6CA9">
        <w:rPr>
          <w:lang w:val="lv-LV"/>
        </w:rPr>
        <w:t>Ferrari F. (</w:t>
      </w:r>
      <w:proofErr w:type="spellStart"/>
      <w:r w:rsidRPr="005F6CA9">
        <w:rPr>
          <w:lang w:val="lv-LV"/>
        </w:rPr>
        <w:t>ed</w:t>
      </w:r>
      <w:proofErr w:type="spellEnd"/>
      <w:r w:rsidRPr="005F6CA9">
        <w:rPr>
          <w:lang w:val="lv-LV"/>
        </w:rPr>
        <w:t>.) / L</w:t>
      </w:r>
      <w:r w:rsidRPr="000C7C76">
        <w:rPr>
          <w:lang w:val="en-US"/>
        </w:rPr>
        <w:t>ü</w:t>
      </w:r>
      <w:proofErr w:type="spellStart"/>
      <w:r w:rsidRPr="005F6CA9">
        <w:rPr>
          <w:lang w:val="lv-LV"/>
        </w:rPr>
        <w:t>ttringhaus</w:t>
      </w:r>
      <w:proofErr w:type="spellEnd"/>
      <w:r w:rsidRPr="005F6CA9">
        <w:rPr>
          <w:lang w:val="lv-LV"/>
        </w:rPr>
        <w:t xml:space="preserve"> J.D. </w:t>
      </w:r>
      <w:proofErr w:type="spellStart"/>
      <w:r w:rsidRPr="005F6CA9">
        <w:rPr>
          <w:lang w:val="lv-LV"/>
        </w:rPr>
        <w:t>Rome</w:t>
      </w:r>
      <w:proofErr w:type="spellEnd"/>
      <w:r w:rsidRPr="005F6CA9">
        <w:rPr>
          <w:lang w:val="lv-LV"/>
        </w:rPr>
        <w:t xml:space="preserve"> I </w:t>
      </w:r>
      <w:proofErr w:type="spellStart"/>
      <w:r w:rsidRPr="005F6CA9">
        <w:rPr>
          <w:lang w:val="lv-LV"/>
        </w:rPr>
        <w:t>Regulation</w:t>
      </w:r>
      <w:proofErr w:type="spellEnd"/>
      <w:r w:rsidRPr="005F6CA9">
        <w:rPr>
          <w:lang w:val="lv-LV"/>
        </w:rPr>
        <w:t xml:space="preserve">. </w:t>
      </w:r>
      <w:proofErr w:type="spellStart"/>
      <w:r w:rsidRPr="005F6CA9">
        <w:rPr>
          <w:lang w:val="lv-LV"/>
        </w:rPr>
        <w:t>Pocket</w:t>
      </w:r>
      <w:proofErr w:type="spellEnd"/>
      <w:r w:rsidRPr="005F6CA9">
        <w:rPr>
          <w:lang w:val="lv-LV"/>
        </w:rPr>
        <w:t xml:space="preserve"> </w:t>
      </w:r>
      <w:proofErr w:type="spellStart"/>
      <w:r w:rsidRPr="005F6CA9">
        <w:rPr>
          <w:lang w:val="lv-LV"/>
        </w:rPr>
        <w:t>Commentary</w:t>
      </w:r>
      <w:proofErr w:type="spellEnd"/>
      <w:r w:rsidRPr="005F6CA9">
        <w:rPr>
          <w:lang w:val="lv-LV"/>
        </w:rPr>
        <w:t xml:space="preserve">. Munich: </w:t>
      </w:r>
      <w:proofErr w:type="spellStart"/>
      <w:r w:rsidRPr="005F6CA9">
        <w:rPr>
          <w:lang w:val="lv-LV"/>
        </w:rPr>
        <w:t>Sellier</w:t>
      </w:r>
      <w:proofErr w:type="spellEnd"/>
      <w:r w:rsidRPr="005F6CA9">
        <w:rPr>
          <w:lang w:val="lv-LV"/>
        </w:rPr>
        <w:t>, 2015, Art. 1(2)(g), p. 59 (§ 78).</w:t>
      </w:r>
    </w:p>
  </w:footnote>
  <w:footnote w:id="38">
    <w:p w14:paraId="26CAD3A3" w14:textId="77777777" w:rsidR="000C7C76" w:rsidRPr="005F6CA9" w:rsidRDefault="000C7C76" w:rsidP="00114953">
      <w:pPr>
        <w:pStyle w:val="FootnoteText"/>
        <w:jc w:val="both"/>
        <w:rPr>
          <w:lang w:val="lv-LV"/>
        </w:rPr>
      </w:pPr>
      <w:r w:rsidRPr="005F6CA9">
        <w:rPr>
          <w:rStyle w:val="FootnoteReference"/>
        </w:rPr>
        <w:footnoteRef/>
      </w:r>
      <w:r w:rsidRPr="005F6CA9">
        <w:t xml:space="preserve"> </w:t>
      </w:r>
      <w:proofErr w:type="spellStart"/>
      <w:r w:rsidRPr="005F6CA9">
        <w:rPr>
          <w:lang w:val="lv-LV"/>
        </w:rPr>
        <w:t>Cheshire</w:t>
      </w:r>
      <w:proofErr w:type="spellEnd"/>
      <w:r w:rsidRPr="005F6CA9">
        <w:rPr>
          <w:lang w:val="lv-LV"/>
        </w:rPr>
        <w:t>/North/</w:t>
      </w:r>
      <w:proofErr w:type="spellStart"/>
      <w:r w:rsidRPr="005F6CA9">
        <w:rPr>
          <w:lang w:val="lv-LV"/>
        </w:rPr>
        <w:t>Fawcett</w:t>
      </w:r>
      <w:proofErr w:type="spellEnd"/>
      <w:r w:rsidRPr="005F6CA9">
        <w:rPr>
          <w:lang w:val="lv-LV"/>
        </w:rPr>
        <w:t xml:space="preserve">. </w:t>
      </w:r>
      <w:proofErr w:type="spellStart"/>
      <w:r w:rsidRPr="005F6CA9">
        <w:rPr>
          <w:lang w:val="lv-LV"/>
        </w:rPr>
        <w:t>Private</w:t>
      </w:r>
      <w:proofErr w:type="spellEnd"/>
      <w:r w:rsidRPr="005F6CA9">
        <w:rPr>
          <w:lang w:val="lv-LV"/>
        </w:rPr>
        <w:t xml:space="preserve"> </w:t>
      </w:r>
      <w:proofErr w:type="spellStart"/>
      <w:r w:rsidRPr="005F6CA9">
        <w:rPr>
          <w:lang w:val="lv-LV"/>
        </w:rPr>
        <w:t>International</w:t>
      </w:r>
      <w:proofErr w:type="spellEnd"/>
      <w:r w:rsidRPr="005F6CA9">
        <w:rPr>
          <w:lang w:val="lv-LV"/>
        </w:rPr>
        <w:t xml:space="preserve"> </w:t>
      </w:r>
      <w:proofErr w:type="spellStart"/>
      <w:r w:rsidRPr="005F6CA9">
        <w:rPr>
          <w:lang w:val="lv-LV"/>
        </w:rPr>
        <w:t>Law</w:t>
      </w:r>
      <w:proofErr w:type="spellEnd"/>
      <w:r w:rsidRPr="005F6CA9">
        <w:rPr>
          <w:lang w:val="lv-LV"/>
        </w:rPr>
        <w:t xml:space="preserve">. 14th </w:t>
      </w:r>
      <w:proofErr w:type="spellStart"/>
      <w:r w:rsidRPr="005F6CA9">
        <w:rPr>
          <w:lang w:val="lv-LV"/>
        </w:rPr>
        <w:t>edition</w:t>
      </w:r>
      <w:proofErr w:type="spellEnd"/>
      <w:r w:rsidRPr="005F6CA9">
        <w:rPr>
          <w:lang w:val="lv-LV"/>
        </w:rPr>
        <w:t xml:space="preserve">. </w:t>
      </w:r>
      <w:proofErr w:type="spellStart"/>
      <w:r w:rsidRPr="005F6CA9">
        <w:rPr>
          <w:lang w:val="lv-LV"/>
        </w:rPr>
        <w:t>Oxford</w:t>
      </w:r>
      <w:proofErr w:type="spellEnd"/>
      <w:r w:rsidRPr="005F6CA9">
        <w:rPr>
          <w:lang w:val="lv-LV"/>
        </w:rPr>
        <w:t xml:space="preserve">: </w:t>
      </w:r>
      <w:proofErr w:type="spellStart"/>
      <w:r w:rsidRPr="005F6CA9">
        <w:rPr>
          <w:lang w:val="lv-LV"/>
        </w:rPr>
        <w:t>Oxford</w:t>
      </w:r>
      <w:proofErr w:type="spellEnd"/>
      <w:r w:rsidRPr="005F6CA9">
        <w:rPr>
          <w:lang w:val="lv-LV"/>
        </w:rPr>
        <w:t xml:space="preserve"> </w:t>
      </w:r>
      <w:proofErr w:type="spellStart"/>
      <w:r w:rsidRPr="005F6CA9">
        <w:rPr>
          <w:lang w:val="lv-LV"/>
        </w:rPr>
        <w:t>University</w:t>
      </w:r>
      <w:proofErr w:type="spellEnd"/>
      <w:r w:rsidRPr="005F6CA9">
        <w:rPr>
          <w:lang w:val="lv-LV"/>
        </w:rPr>
        <w:t xml:space="preserve"> </w:t>
      </w:r>
      <w:proofErr w:type="spellStart"/>
      <w:r w:rsidRPr="005F6CA9">
        <w:rPr>
          <w:lang w:val="lv-LV"/>
        </w:rPr>
        <w:t>Press</w:t>
      </w:r>
      <w:proofErr w:type="spellEnd"/>
      <w:r w:rsidRPr="005F6CA9">
        <w:rPr>
          <w:lang w:val="lv-LV"/>
        </w:rPr>
        <w:t>, 2008, p. 686.</w:t>
      </w:r>
    </w:p>
  </w:footnote>
  <w:footnote w:id="39">
    <w:p w14:paraId="4E25ED9B" w14:textId="77777777" w:rsidR="000C7C76" w:rsidRPr="00BF3A72" w:rsidRDefault="000C7C76" w:rsidP="00114953">
      <w:pPr>
        <w:pStyle w:val="FootnoteText"/>
        <w:jc w:val="both"/>
        <w:rPr>
          <w:lang w:val="lv-LV"/>
        </w:rPr>
      </w:pPr>
      <w:r>
        <w:rPr>
          <w:rStyle w:val="FootnoteReference"/>
        </w:rPr>
        <w:footnoteRef/>
      </w:r>
      <w:r>
        <w:t xml:space="preserve"> </w:t>
      </w:r>
      <w:r w:rsidRPr="00BF3A72">
        <w:rPr>
          <w:lang w:val="lv-LV"/>
        </w:rPr>
        <w:t>Ferrari F. (</w:t>
      </w:r>
      <w:proofErr w:type="spellStart"/>
      <w:r w:rsidRPr="00BF3A72">
        <w:rPr>
          <w:lang w:val="lv-LV"/>
        </w:rPr>
        <w:t>ed</w:t>
      </w:r>
      <w:proofErr w:type="spellEnd"/>
      <w:r w:rsidRPr="00BF3A72">
        <w:rPr>
          <w:lang w:val="lv-LV"/>
        </w:rPr>
        <w:t>.) / L</w:t>
      </w:r>
      <w:r w:rsidRPr="000C7C76">
        <w:rPr>
          <w:lang w:val="en-US"/>
        </w:rPr>
        <w:t>ü</w:t>
      </w:r>
      <w:proofErr w:type="spellStart"/>
      <w:r w:rsidRPr="00BF3A72">
        <w:rPr>
          <w:lang w:val="lv-LV"/>
        </w:rPr>
        <w:t>ttringhaus</w:t>
      </w:r>
      <w:proofErr w:type="spellEnd"/>
      <w:r w:rsidRPr="00BF3A72">
        <w:rPr>
          <w:lang w:val="lv-LV"/>
        </w:rPr>
        <w:t xml:space="preserve"> J.D. </w:t>
      </w:r>
      <w:proofErr w:type="spellStart"/>
      <w:r w:rsidRPr="00BF3A72">
        <w:rPr>
          <w:lang w:val="lv-LV"/>
        </w:rPr>
        <w:t>Rome</w:t>
      </w:r>
      <w:proofErr w:type="spellEnd"/>
      <w:r w:rsidRPr="00BF3A72">
        <w:rPr>
          <w:lang w:val="lv-LV"/>
        </w:rPr>
        <w:t xml:space="preserve"> I </w:t>
      </w:r>
      <w:proofErr w:type="spellStart"/>
      <w:r w:rsidRPr="00BF3A72">
        <w:rPr>
          <w:lang w:val="lv-LV"/>
        </w:rPr>
        <w:t>Regulation</w:t>
      </w:r>
      <w:proofErr w:type="spellEnd"/>
      <w:r w:rsidRPr="00BF3A72">
        <w:rPr>
          <w:lang w:val="lv-LV"/>
        </w:rPr>
        <w:t xml:space="preserve">. </w:t>
      </w:r>
      <w:proofErr w:type="spellStart"/>
      <w:r w:rsidRPr="00BF3A72">
        <w:rPr>
          <w:lang w:val="lv-LV"/>
        </w:rPr>
        <w:t>Pocket</w:t>
      </w:r>
      <w:proofErr w:type="spellEnd"/>
      <w:r w:rsidRPr="00BF3A72">
        <w:rPr>
          <w:lang w:val="lv-LV"/>
        </w:rPr>
        <w:t xml:space="preserve"> </w:t>
      </w:r>
      <w:proofErr w:type="spellStart"/>
      <w:r w:rsidRPr="00BF3A72">
        <w:rPr>
          <w:lang w:val="lv-LV"/>
        </w:rPr>
        <w:t>Commentary</w:t>
      </w:r>
      <w:proofErr w:type="spellEnd"/>
      <w:r w:rsidRPr="00BF3A72">
        <w:rPr>
          <w:lang w:val="lv-LV"/>
        </w:rPr>
        <w:t xml:space="preserve">. Munich: </w:t>
      </w:r>
      <w:proofErr w:type="spellStart"/>
      <w:r w:rsidRPr="00BF3A72">
        <w:rPr>
          <w:lang w:val="lv-LV"/>
        </w:rPr>
        <w:t>Sellier</w:t>
      </w:r>
      <w:proofErr w:type="spellEnd"/>
      <w:r w:rsidRPr="00BF3A72">
        <w:rPr>
          <w:lang w:val="lv-LV"/>
        </w:rPr>
        <w:t>, 2015, Art. 1(2)(g), p. 59 (§ 77).</w:t>
      </w:r>
    </w:p>
  </w:footnote>
  <w:footnote w:id="40">
    <w:p w14:paraId="20192189" w14:textId="46D14AEF" w:rsidR="000C7C76" w:rsidRPr="00BF3A72" w:rsidRDefault="000C7C76" w:rsidP="00114953">
      <w:pPr>
        <w:pStyle w:val="FootnoteText"/>
        <w:jc w:val="both"/>
        <w:rPr>
          <w:lang w:val="lv-LV"/>
        </w:rPr>
      </w:pPr>
      <w:r w:rsidRPr="00BF3A72">
        <w:rPr>
          <w:rStyle w:val="FootnoteReference"/>
        </w:rPr>
        <w:footnoteRef/>
      </w:r>
      <w:r w:rsidRPr="00BF3A72">
        <w:t xml:space="preserve"> </w:t>
      </w:r>
      <w:proofErr w:type="spellStart"/>
      <w:r w:rsidR="00297B46" w:rsidRPr="00297B46">
        <w:rPr>
          <w:i/>
          <w:lang w:val="lv-LV"/>
        </w:rPr>
        <w:t>Ibid</w:t>
      </w:r>
      <w:proofErr w:type="spellEnd"/>
      <w:r w:rsidRPr="00BF3A72">
        <w:rPr>
          <w:lang w:val="lv-LV"/>
        </w:rPr>
        <w:t>.</w:t>
      </w:r>
    </w:p>
  </w:footnote>
  <w:footnote w:id="41">
    <w:p w14:paraId="7F285085" w14:textId="77777777" w:rsidR="000C7C76" w:rsidRPr="00BF3A72" w:rsidRDefault="000C7C76" w:rsidP="00114953">
      <w:pPr>
        <w:pStyle w:val="FootnoteText"/>
        <w:jc w:val="both"/>
        <w:rPr>
          <w:lang w:val="lv-LV"/>
        </w:rPr>
      </w:pPr>
      <w:r w:rsidRPr="00BF3A72">
        <w:rPr>
          <w:rStyle w:val="FootnoteReference"/>
        </w:rPr>
        <w:footnoteRef/>
      </w:r>
      <w:r w:rsidRPr="00BF3A72">
        <w:t xml:space="preserve"> </w:t>
      </w:r>
      <w:proofErr w:type="spellStart"/>
      <w:r w:rsidRPr="000C7C76">
        <w:rPr>
          <w:lang w:val="lv-LV"/>
        </w:rPr>
        <w:t>Referentenentwurf</w:t>
      </w:r>
      <w:proofErr w:type="spellEnd"/>
      <w:r w:rsidRPr="000C7C76">
        <w:rPr>
          <w:lang w:val="lv-LV"/>
        </w:rPr>
        <w:t xml:space="preserve"> </w:t>
      </w:r>
      <w:proofErr w:type="spellStart"/>
      <w:r w:rsidRPr="000C7C76">
        <w:rPr>
          <w:lang w:val="lv-LV"/>
        </w:rPr>
        <w:t>des</w:t>
      </w:r>
      <w:proofErr w:type="spellEnd"/>
      <w:r w:rsidRPr="000C7C76">
        <w:rPr>
          <w:lang w:val="lv-LV"/>
        </w:rPr>
        <w:t xml:space="preserve"> </w:t>
      </w:r>
      <w:proofErr w:type="spellStart"/>
      <w:r w:rsidRPr="000C7C76">
        <w:rPr>
          <w:lang w:val="lv-LV"/>
        </w:rPr>
        <w:t>Bundesministeriums</w:t>
      </w:r>
      <w:proofErr w:type="spellEnd"/>
      <w:r w:rsidRPr="000C7C76">
        <w:rPr>
          <w:lang w:val="lv-LV"/>
        </w:rPr>
        <w:t xml:space="preserve"> der </w:t>
      </w:r>
      <w:proofErr w:type="spellStart"/>
      <w:r w:rsidRPr="000C7C76">
        <w:rPr>
          <w:lang w:val="lv-LV"/>
        </w:rPr>
        <w:t>Justiz</w:t>
      </w:r>
      <w:proofErr w:type="spellEnd"/>
      <w:r w:rsidRPr="000C7C76">
        <w:rPr>
          <w:lang w:val="lv-LV"/>
        </w:rPr>
        <w:t xml:space="preserve"> </w:t>
      </w:r>
      <w:proofErr w:type="spellStart"/>
      <w:r w:rsidRPr="000C7C76">
        <w:rPr>
          <w:lang w:val="lv-LV"/>
        </w:rPr>
        <w:t>und</w:t>
      </w:r>
      <w:proofErr w:type="spellEnd"/>
      <w:r w:rsidRPr="000C7C76">
        <w:rPr>
          <w:lang w:val="lv-LV"/>
        </w:rPr>
        <w:t xml:space="preserve"> </w:t>
      </w:r>
      <w:proofErr w:type="spellStart"/>
      <w:r w:rsidRPr="000C7C76">
        <w:rPr>
          <w:lang w:val="lv-LV"/>
        </w:rPr>
        <w:t>für</w:t>
      </w:r>
      <w:proofErr w:type="spellEnd"/>
      <w:r w:rsidRPr="000C7C76">
        <w:rPr>
          <w:lang w:val="lv-LV"/>
        </w:rPr>
        <w:t xml:space="preserve"> </w:t>
      </w:r>
      <w:proofErr w:type="spellStart"/>
      <w:r w:rsidRPr="000C7C76">
        <w:rPr>
          <w:lang w:val="lv-LV"/>
        </w:rPr>
        <w:t>Verbrqucherschutz</w:t>
      </w:r>
      <w:proofErr w:type="spellEnd"/>
      <w:r w:rsidRPr="000C7C76">
        <w:rPr>
          <w:lang w:val="lv-LV"/>
        </w:rPr>
        <w:t xml:space="preserve">. </w:t>
      </w:r>
      <w:proofErr w:type="spellStart"/>
      <w:r w:rsidRPr="000C7C76">
        <w:rPr>
          <w:lang w:val="lv-LV"/>
        </w:rPr>
        <w:t>Entwurf</w:t>
      </w:r>
      <w:proofErr w:type="spellEnd"/>
      <w:r w:rsidRPr="000C7C76">
        <w:rPr>
          <w:lang w:val="lv-LV"/>
        </w:rPr>
        <w:t xml:space="preserve"> </w:t>
      </w:r>
      <w:proofErr w:type="spellStart"/>
      <w:r w:rsidRPr="000C7C76">
        <w:rPr>
          <w:lang w:val="lv-LV"/>
        </w:rPr>
        <w:t>eines</w:t>
      </w:r>
      <w:proofErr w:type="spellEnd"/>
      <w:r w:rsidRPr="000C7C76">
        <w:rPr>
          <w:lang w:val="lv-LV"/>
        </w:rPr>
        <w:t xml:space="preserve"> </w:t>
      </w:r>
      <w:proofErr w:type="spellStart"/>
      <w:r w:rsidRPr="000C7C76">
        <w:rPr>
          <w:lang w:val="lv-LV"/>
        </w:rPr>
        <w:t>Gesetzes</w:t>
      </w:r>
      <w:proofErr w:type="spellEnd"/>
      <w:r w:rsidRPr="000C7C76">
        <w:rPr>
          <w:lang w:val="lv-LV"/>
        </w:rPr>
        <w:t xml:space="preserve"> </w:t>
      </w:r>
      <w:proofErr w:type="spellStart"/>
      <w:r w:rsidRPr="000C7C76">
        <w:rPr>
          <w:lang w:val="lv-LV"/>
        </w:rPr>
        <w:t>zur</w:t>
      </w:r>
      <w:proofErr w:type="spellEnd"/>
      <w:r w:rsidRPr="000C7C76">
        <w:rPr>
          <w:lang w:val="lv-LV"/>
        </w:rPr>
        <w:t xml:space="preserve"> </w:t>
      </w:r>
      <w:proofErr w:type="spellStart"/>
      <w:r w:rsidRPr="000C7C76">
        <w:rPr>
          <w:lang w:val="lv-LV"/>
        </w:rPr>
        <w:t>Änderung</w:t>
      </w:r>
      <w:proofErr w:type="spellEnd"/>
      <w:r w:rsidRPr="000C7C76">
        <w:rPr>
          <w:lang w:val="lv-LV"/>
        </w:rPr>
        <w:t xml:space="preserve"> von </w:t>
      </w:r>
      <w:proofErr w:type="spellStart"/>
      <w:r w:rsidRPr="000C7C76">
        <w:rPr>
          <w:lang w:val="lv-LV"/>
        </w:rPr>
        <w:t>Vorschriften</w:t>
      </w:r>
      <w:proofErr w:type="spellEnd"/>
      <w:r w:rsidRPr="000C7C76">
        <w:rPr>
          <w:lang w:val="lv-LV"/>
        </w:rPr>
        <w:t xml:space="preserve"> </w:t>
      </w:r>
      <w:proofErr w:type="spellStart"/>
      <w:r w:rsidRPr="000C7C76">
        <w:rPr>
          <w:lang w:val="lv-LV"/>
        </w:rPr>
        <w:t>im</w:t>
      </w:r>
      <w:proofErr w:type="spellEnd"/>
      <w:r w:rsidRPr="000C7C76">
        <w:rPr>
          <w:lang w:val="lv-LV"/>
        </w:rPr>
        <w:t xml:space="preserve"> </w:t>
      </w:r>
      <w:proofErr w:type="spellStart"/>
      <w:r w:rsidRPr="000C7C76">
        <w:rPr>
          <w:lang w:val="lv-LV"/>
        </w:rPr>
        <w:t>Bereich</w:t>
      </w:r>
      <w:proofErr w:type="spellEnd"/>
      <w:r w:rsidRPr="000C7C76">
        <w:rPr>
          <w:lang w:val="lv-LV"/>
        </w:rPr>
        <w:t xml:space="preserve"> </w:t>
      </w:r>
      <w:proofErr w:type="spellStart"/>
      <w:r w:rsidRPr="000C7C76">
        <w:rPr>
          <w:lang w:val="lv-LV"/>
        </w:rPr>
        <w:t>des</w:t>
      </w:r>
      <w:proofErr w:type="spellEnd"/>
      <w:r w:rsidRPr="000C7C76">
        <w:rPr>
          <w:lang w:val="lv-LV"/>
        </w:rPr>
        <w:t xml:space="preserve"> </w:t>
      </w:r>
      <w:proofErr w:type="spellStart"/>
      <w:r w:rsidRPr="000C7C76">
        <w:rPr>
          <w:lang w:val="lv-LV"/>
        </w:rPr>
        <w:t>Internationalen</w:t>
      </w:r>
      <w:proofErr w:type="spellEnd"/>
      <w:r w:rsidRPr="000C7C76">
        <w:rPr>
          <w:lang w:val="lv-LV"/>
        </w:rPr>
        <w:t xml:space="preserve"> </w:t>
      </w:r>
      <w:proofErr w:type="spellStart"/>
      <w:r w:rsidRPr="000C7C76">
        <w:rPr>
          <w:lang w:val="lv-LV"/>
        </w:rPr>
        <w:t>Privat</w:t>
      </w:r>
      <w:proofErr w:type="spellEnd"/>
      <w:r w:rsidRPr="000C7C76">
        <w:rPr>
          <w:lang w:val="lv-LV"/>
        </w:rPr>
        <w:t xml:space="preserve">- </w:t>
      </w:r>
      <w:proofErr w:type="spellStart"/>
      <w:r w:rsidRPr="000C7C76">
        <w:rPr>
          <w:lang w:val="lv-LV"/>
        </w:rPr>
        <w:t>und</w:t>
      </w:r>
      <w:proofErr w:type="spellEnd"/>
      <w:r w:rsidRPr="000C7C76">
        <w:rPr>
          <w:lang w:val="lv-LV"/>
        </w:rPr>
        <w:t xml:space="preserve"> </w:t>
      </w:r>
      <w:proofErr w:type="spellStart"/>
      <w:r w:rsidRPr="000C7C76">
        <w:rPr>
          <w:lang w:val="lv-LV"/>
        </w:rPr>
        <w:t>Zivilverfahrensrechts</w:t>
      </w:r>
      <w:proofErr w:type="spellEnd"/>
      <w:r w:rsidRPr="000C7C76">
        <w:rPr>
          <w:lang w:val="lv-LV"/>
        </w:rPr>
        <w:t xml:space="preserve">. Pieejams  </w:t>
      </w:r>
      <w:r w:rsidRPr="00BF3A72">
        <w:rPr>
          <w:lang w:val="lv-LV"/>
        </w:rPr>
        <w:t xml:space="preserve">šeit: </w:t>
      </w:r>
      <w:hyperlink r:id="rId3" w:history="1">
        <w:r w:rsidRPr="00BF3A72">
          <w:rPr>
            <w:rStyle w:val="Hyperlink"/>
            <w:color w:val="auto"/>
            <w:lang w:val="lv-LV"/>
          </w:rPr>
          <w:t>www.bmjv.de</w:t>
        </w:r>
      </w:hyperlink>
      <w:r w:rsidRPr="00BF3A72">
        <w:rPr>
          <w:lang w:val="lv-LV"/>
        </w:rPr>
        <w:t xml:space="preserve"> [aplūkots 14.03.2017.].</w:t>
      </w:r>
    </w:p>
  </w:footnote>
  <w:footnote w:id="42">
    <w:p w14:paraId="48A5F0A8" w14:textId="77777777" w:rsidR="000C7C76" w:rsidRPr="000C7C76" w:rsidRDefault="000C7C76" w:rsidP="00114953">
      <w:pPr>
        <w:pStyle w:val="FootnoteText"/>
        <w:jc w:val="both"/>
        <w:rPr>
          <w:lang w:val="lv-LV"/>
        </w:rPr>
      </w:pPr>
      <w:r w:rsidRPr="00BF3A72">
        <w:rPr>
          <w:rStyle w:val="FootnoteReference"/>
        </w:rPr>
        <w:footnoteRef/>
      </w:r>
      <w:r w:rsidRPr="00BF3A72">
        <w:t xml:space="preserve"> </w:t>
      </w:r>
      <w:proofErr w:type="spellStart"/>
      <w:r w:rsidRPr="000C7C76">
        <w:rPr>
          <w:lang w:val="lv-LV"/>
        </w:rPr>
        <w:t>Rademacher</w:t>
      </w:r>
      <w:proofErr w:type="spellEnd"/>
      <w:r w:rsidRPr="000C7C76">
        <w:rPr>
          <w:lang w:val="lv-LV"/>
        </w:rPr>
        <w:t xml:space="preserve"> L. </w:t>
      </w:r>
      <w:proofErr w:type="spellStart"/>
      <w:r w:rsidRPr="000C7C76">
        <w:rPr>
          <w:lang w:val="lv-LV"/>
        </w:rPr>
        <w:t>Kodifikation</w:t>
      </w:r>
      <w:proofErr w:type="spellEnd"/>
      <w:r w:rsidRPr="000C7C76">
        <w:rPr>
          <w:lang w:val="lv-LV"/>
        </w:rPr>
        <w:t xml:space="preserve"> </w:t>
      </w:r>
      <w:proofErr w:type="spellStart"/>
      <w:r w:rsidRPr="000C7C76">
        <w:rPr>
          <w:lang w:val="lv-LV"/>
        </w:rPr>
        <w:t>des</w:t>
      </w:r>
      <w:proofErr w:type="spellEnd"/>
      <w:r w:rsidRPr="000C7C76">
        <w:rPr>
          <w:lang w:val="lv-LV"/>
        </w:rPr>
        <w:t xml:space="preserve"> </w:t>
      </w:r>
      <w:proofErr w:type="spellStart"/>
      <w:r w:rsidRPr="000C7C76">
        <w:rPr>
          <w:lang w:val="lv-LV"/>
        </w:rPr>
        <w:t>internationalen</w:t>
      </w:r>
      <w:proofErr w:type="spellEnd"/>
      <w:r w:rsidRPr="000C7C76">
        <w:rPr>
          <w:lang w:val="lv-LV"/>
        </w:rPr>
        <w:t xml:space="preserve"> </w:t>
      </w:r>
      <w:proofErr w:type="spellStart"/>
      <w:r w:rsidRPr="000C7C76">
        <w:rPr>
          <w:lang w:val="lv-LV"/>
        </w:rPr>
        <w:t>Stellvertretungsrechts</w:t>
      </w:r>
      <w:proofErr w:type="spellEnd"/>
      <w:r w:rsidRPr="000C7C76">
        <w:rPr>
          <w:lang w:val="lv-LV"/>
        </w:rPr>
        <w:t xml:space="preserve"> – Zum </w:t>
      </w:r>
      <w:proofErr w:type="spellStart"/>
      <w:r w:rsidRPr="000C7C76">
        <w:rPr>
          <w:lang w:val="lv-LV"/>
        </w:rPr>
        <w:t>Referentenentwurf</w:t>
      </w:r>
      <w:proofErr w:type="spellEnd"/>
      <w:r w:rsidRPr="000C7C76">
        <w:rPr>
          <w:lang w:val="lv-LV"/>
        </w:rPr>
        <w:t xml:space="preserve"> </w:t>
      </w:r>
      <w:proofErr w:type="spellStart"/>
      <w:r w:rsidRPr="000C7C76">
        <w:rPr>
          <w:lang w:val="lv-LV"/>
        </w:rPr>
        <w:t>des</w:t>
      </w:r>
      <w:proofErr w:type="spellEnd"/>
      <w:r w:rsidRPr="000C7C76">
        <w:rPr>
          <w:lang w:val="lv-LV"/>
        </w:rPr>
        <w:t xml:space="preserve"> </w:t>
      </w:r>
      <w:proofErr w:type="spellStart"/>
      <w:r w:rsidRPr="000C7C76">
        <w:rPr>
          <w:lang w:val="lv-LV"/>
        </w:rPr>
        <w:t>Bundesjustizministeriums</w:t>
      </w:r>
      <w:proofErr w:type="spellEnd"/>
      <w:r w:rsidRPr="000C7C76">
        <w:rPr>
          <w:lang w:val="lv-LV"/>
        </w:rPr>
        <w:t xml:space="preserve"> // </w:t>
      </w:r>
      <w:proofErr w:type="spellStart"/>
      <w:r w:rsidRPr="000C7C76">
        <w:rPr>
          <w:lang w:val="lv-LV"/>
        </w:rPr>
        <w:t>Praxis</w:t>
      </w:r>
      <w:proofErr w:type="spellEnd"/>
      <w:r w:rsidRPr="000C7C76">
        <w:rPr>
          <w:lang w:val="lv-LV"/>
        </w:rPr>
        <w:t xml:space="preserve"> </w:t>
      </w:r>
      <w:proofErr w:type="spellStart"/>
      <w:r w:rsidRPr="000C7C76">
        <w:rPr>
          <w:lang w:val="lv-LV"/>
        </w:rPr>
        <w:t>des</w:t>
      </w:r>
      <w:proofErr w:type="spellEnd"/>
      <w:r w:rsidRPr="000C7C76">
        <w:rPr>
          <w:lang w:val="lv-LV"/>
        </w:rPr>
        <w:t xml:space="preserve"> </w:t>
      </w:r>
      <w:proofErr w:type="spellStart"/>
      <w:r w:rsidRPr="000C7C76">
        <w:rPr>
          <w:lang w:val="lv-LV"/>
        </w:rPr>
        <w:t>Internationalen</w:t>
      </w:r>
      <w:proofErr w:type="spellEnd"/>
      <w:r w:rsidRPr="000C7C76">
        <w:rPr>
          <w:lang w:val="lv-LV"/>
        </w:rPr>
        <w:t xml:space="preserve"> </w:t>
      </w:r>
      <w:proofErr w:type="spellStart"/>
      <w:r w:rsidRPr="000C7C76">
        <w:rPr>
          <w:lang w:val="lv-LV"/>
        </w:rPr>
        <w:t>Privat</w:t>
      </w:r>
      <w:proofErr w:type="spellEnd"/>
      <w:r w:rsidRPr="000C7C76">
        <w:rPr>
          <w:lang w:val="lv-LV"/>
        </w:rPr>
        <w:t xml:space="preserve">- </w:t>
      </w:r>
      <w:proofErr w:type="spellStart"/>
      <w:r w:rsidRPr="000C7C76">
        <w:rPr>
          <w:lang w:val="lv-LV"/>
        </w:rPr>
        <w:t>und</w:t>
      </w:r>
      <w:proofErr w:type="spellEnd"/>
      <w:r w:rsidRPr="000C7C76">
        <w:rPr>
          <w:lang w:val="lv-LV"/>
        </w:rPr>
        <w:t xml:space="preserve"> </w:t>
      </w:r>
      <w:proofErr w:type="spellStart"/>
      <w:r w:rsidRPr="000C7C76">
        <w:rPr>
          <w:lang w:val="lv-LV"/>
        </w:rPr>
        <w:t>Verfahrensrechts</w:t>
      </w:r>
      <w:proofErr w:type="spellEnd"/>
      <w:r w:rsidRPr="000C7C76">
        <w:rPr>
          <w:lang w:val="lv-LV"/>
        </w:rPr>
        <w:t xml:space="preserve"> (</w:t>
      </w:r>
      <w:proofErr w:type="spellStart"/>
      <w:r w:rsidRPr="000C7C76">
        <w:rPr>
          <w:lang w:val="lv-LV"/>
        </w:rPr>
        <w:t>IPRax</w:t>
      </w:r>
      <w:proofErr w:type="spellEnd"/>
      <w:r w:rsidRPr="000C7C76">
        <w:rPr>
          <w:lang w:val="lv-LV"/>
        </w:rPr>
        <w:t xml:space="preserve">), 2017, </w:t>
      </w:r>
      <w:proofErr w:type="spellStart"/>
      <w:r w:rsidRPr="000C7C76">
        <w:rPr>
          <w:lang w:val="lv-LV"/>
        </w:rPr>
        <w:t>Heft</w:t>
      </w:r>
      <w:proofErr w:type="spellEnd"/>
      <w:r w:rsidRPr="000C7C76">
        <w:rPr>
          <w:lang w:val="lv-LV"/>
        </w:rPr>
        <w:t xml:space="preserve"> 1, </w:t>
      </w:r>
      <w:r w:rsidRPr="00BF3A72">
        <w:rPr>
          <w:lang w:val="lv-LV"/>
        </w:rPr>
        <w:t>S.56, 57.</w:t>
      </w:r>
    </w:p>
  </w:footnote>
  <w:footnote w:id="43">
    <w:p w14:paraId="210E3E11" w14:textId="77777777" w:rsidR="000C7C76" w:rsidRPr="00BA7F97" w:rsidRDefault="000C7C76" w:rsidP="00114953">
      <w:pPr>
        <w:pStyle w:val="FootnoteText"/>
        <w:jc w:val="both"/>
        <w:rPr>
          <w:lang w:val="lv-LV"/>
        </w:rPr>
      </w:pPr>
      <w:r w:rsidRPr="00BA7F97">
        <w:rPr>
          <w:rStyle w:val="FootnoteReference"/>
        </w:rPr>
        <w:footnoteRef/>
      </w:r>
      <w:r w:rsidRPr="00BA7F97">
        <w:t xml:space="preserve"> </w:t>
      </w:r>
      <w:proofErr w:type="spellStart"/>
      <w:r w:rsidRPr="00BA7F97">
        <w:rPr>
          <w:lang w:val="fr-FR"/>
        </w:rPr>
        <w:t>Gesetz</w:t>
      </w:r>
      <w:proofErr w:type="spellEnd"/>
      <w:r w:rsidRPr="00BA7F97">
        <w:rPr>
          <w:lang w:val="fr-FR"/>
        </w:rPr>
        <w:t xml:space="preserve"> </w:t>
      </w:r>
      <w:proofErr w:type="spellStart"/>
      <w:r w:rsidRPr="00BA7F97">
        <w:rPr>
          <w:lang w:val="fr-FR"/>
        </w:rPr>
        <w:t>vom</w:t>
      </w:r>
      <w:proofErr w:type="spellEnd"/>
      <w:r w:rsidRPr="00BA7F97">
        <w:rPr>
          <w:lang w:val="fr-FR"/>
        </w:rPr>
        <w:t xml:space="preserve"> </w:t>
      </w:r>
      <w:proofErr w:type="gramStart"/>
      <w:r w:rsidRPr="00BA7F97">
        <w:rPr>
          <w:lang w:val="fr-FR"/>
        </w:rPr>
        <w:t>4.Februar</w:t>
      </w:r>
      <w:proofErr w:type="gramEnd"/>
      <w:r w:rsidRPr="00BA7F97">
        <w:rPr>
          <w:lang w:val="fr-FR"/>
        </w:rPr>
        <w:t xml:space="preserve"> 2011: Internationales </w:t>
      </w:r>
      <w:proofErr w:type="spellStart"/>
      <w:r w:rsidRPr="00BA7F97">
        <w:rPr>
          <w:lang w:val="fr-FR"/>
        </w:rPr>
        <w:t>Privatrecht</w:t>
      </w:r>
      <w:proofErr w:type="spellEnd"/>
      <w:r w:rsidRPr="00BA7F97">
        <w:rPr>
          <w:lang w:val="fr-FR"/>
        </w:rPr>
        <w:t>.</w:t>
      </w:r>
      <w:r w:rsidRPr="00BA7F97">
        <w:rPr>
          <w:lang w:val="lv-LV"/>
        </w:rPr>
        <w:t xml:space="preserve"> Publicēts Polijā: </w:t>
      </w:r>
      <w:proofErr w:type="spellStart"/>
      <w:r w:rsidRPr="00BA7F97">
        <w:rPr>
          <w:lang w:val="lv-LV"/>
        </w:rPr>
        <w:t>Dziennik</w:t>
      </w:r>
      <w:proofErr w:type="spellEnd"/>
      <w:r w:rsidRPr="00BA7F97">
        <w:rPr>
          <w:lang w:val="lv-LV"/>
        </w:rPr>
        <w:t xml:space="preserve"> </w:t>
      </w:r>
      <w:proofErr w:type="spellStart"/>
      <w:r w:rsidRPr="00BA7F97">
        <w:rPr>
          <w:lang w:val="lv-LV"/>
        </w:rPr>
        <w:t>Ustaw</w:t>
      </w:r>
      <w:proofErr w:type="spellEnd"/>
      <w:r w:rsidRPr="00BA7F97">
        <w:rPr>
          <w:lang w:val="lv-LV"/>
        </w:rPr>
        <w:t xml:space="preserve"> Nr. 80, Pos. 432, 15.04.2011. Neoficiāls tulkojums vācu valodā publicēts šeit: </w:t>
      </w:r>
      <w:proofErr w:type="spellStart"/>
      <w:r w:rsidRPr="00BA7F97">
        <w:rPr>
          <w:lang w:val="lv-LV"/>
        </w:rPr>
        <w:t>Rabels</w:t>
      </w:r>
      <w:proofErr w:type="spellEnd"/>
      <w:r w:rsidRPr="00BA7F97">
        <w:rPr>
          <w:lang w:val="lv-LV"/>
        </w:rPr>
        <w:t xml:space="preserve"> </w:t>
      </w:r>
      <w:proofErr w:type="spellStart"/>
      <w:r w:rsidRPr="00BA7F97">
        <w:rPr>
          <w:lang w:val="lv-LV"/>
        </w:rPr>
        <w:t>Zeitschrift</w:t>
      </w:r>
      <w:proofErr w:type="spellEnd"/>
      <w:r w:rsidRPr="00BA7F97">
        <w:rPr>
          <w:lang w:val="lv-LV"/>
        </w:rPr>
        <w:t xml:space="preserve">, 2012, </w:t>
      </w:r>
      <w:proofErr w:type="spellStart"/>
      <w:r w:rsidRPr="00BA7F97">
        <w:rPr>
          <w:lang w:val="lv-LV"/>
        </w:rPr>
        <w:t>Heft</w:t>
      </w:r>
      <w:proofErr w:type="spellEnd"/>
      <w:r w:rsidRPr="00BA7F97">
        <w:rPr>
          <w:lang w:val="lv-LV"/>
        </w:rPr>
        <w:t xml:space="preserve"> 3, S. 639-653.</w:t>
      </w:r>
    </w:p>
  </w:footnote>
  <w:footnote w:id="44">
    <w:p w14:paraId="3A6FCE45" w14:textId="77777777" w:rsidR="000C7C76" w:rsidRPr="00BA7F97" w:rsidRDefault="000C7C76" w:rsidP="00114953">
      <w:pPr>
        <w:pStyle w:val="FootnoteText"/>
        <w:jc w:val="both"/>
        <w:rPr>
          <w:lang w:val="fr-FR"/>
        </w:rPr>
      </w:pPr>
      <w:r w:rsidRPr="00BA7F97">
        <w:rPr>
          <w:rStyle w:val="FootnoteReference"/>
        </w:rPr>
        <w:footnoteRef/>
      </w:r>
      <w:r w:rsidRPr="00BA7F97">
        <w:t xml:space="preserve"> </w:t>
      </w:r>
      <w:r w:rsidRPr="00BA7F97">
        <w:rPr>
          <w:rStyle w:val="FootnoteReference"/>
        </w:rPr>
        <w:footnoteRef/>
      </w:r>
      <w:r w:rsidRPr="00BA7F97">
        <w:t xml:space="preserve"> </w:t>
      </w:r>
      <w:proofErr w:type="spellStart"/>
      <w:r w:rsidRPr="00BA7F97">
        <w:rPr>
          <w:lang w:val="lv-LV"/>
        </w:rPr>
        <w:t>Dregelies</w:t>
      </w:r>
      <w:proofErr w:type="spellEnd"/>
      <w:r w:rsidRPr="00BA7F97">
        <w:rPr>
          <w:lang w:val="lv-LV"/>
        </w:rPr>
        <w:t xml:space="preserve"> M. </w:t>
      </w:r>
      <w:r w:rsidRPr="00BA7F97">
        <w:rPr>
          <w:lang w:val="fr-FR"/>
        </w:rPr>
        <w:t xml:space="preserve">Das </w:t>
      </w:r>
      <w:proofErr w:type="spellStart"/>
      <w:r w:rsidRPr="00BA7F97">
        <w:rPr>
          <w:lang w:val="fr-FR"/>
        </w:rPr>
        <w:t>Vollmachtstatut</w:t>
      </w:r>
      <w:proofErr w:type="spellEnd"/>
      <w:r w:rsidRPr="00BA7F97">
        <w:rPr>
          <w:lang w:val="fr-FR"/>
        </w:rPr>
        <w:t xml:space="preserve"> </w:t>
      </w:r>
      <w:proofErr w:type="spellStart"/>
      <w:r w:rsidRPr="00BA7F97">
        <w:rPr>
          <w:lang w:val="fr-FR"/>
        </w:rPr>
        <w:t>im</w:t>
      </w:r>
      <w:proofErr w:type="spellEnd"/>
      <w:r w:rsidRPr="00BA7F97">
        <w:rPr>
          <w:lang w:val="fr-FR"/>
        </w:rPr>
        <w:t xml:space="preserve"> </w:t>
      </w:r>
      <w:proofErr w:type="spellStart"/>
      <w:r w:rsidRPr="00BA7F97">
        <w:rPr>
          <w:lang w:val="fr-FR"/>
        </w:rPr>
        <w:t>polnischen</w:t>
      </w:r>
      <w:proofErr w:type="spellEnd"/>
      <w:r w:rsidRPr="00BA7F97">
        <w:rPr>
          <w:lang w:val="fr-FR"/>
        </w:rPr>
        <w:t xml:space="preserve"> </w:t>
      </w:r>
      <w:proofErr w:type="spellStart"/>
      <w:r w:rsidRPr="00BA7F97">
        <w:rPr>
          <w:lang w:val="fr-FR"/>
        </w:rPr>
        <w:t>und</w:t>
      </w:r>
      <w:proofErr w:type="spellEnd"/>
      <w:r w:rsidRPr="00BA7F97">
        <w:rPr>
          <w:lang w:val="fr-FR"/>
        </w:rPr>
        <w:t xml:space="preserve"> </w:t>
      </w:r>
      <w:proofErr w:type="spellStart"/>
      <w:r w:rsidRPr="00BA7F97">
        <w:rPr>
          <w:lang w:val="fr-FR"/>
        </w:rPr>
        <w:t>deutschen</w:t>
      </w:r>
      <w:proofErr w:type="spellEnd"/>
      <w:r w:rsidRPr="00BA7F97">
        <w:rPr>
          <w:lang w:val="fr-FR"/>
        </w:rPr>
        <w:t xml:space="preserve"> </w:t>
      </w:r>
      <w:proofErr w:type="spellStart"/>
      <w:r w:rsidRPr="00BA7F97">
        <w:rPr>
          <w:lang w:val="fr-FR"/>
        </w:rPr>
        <w:t>Recht</w:t>
      </w:r>
      <w:proofErr w:type="spellEnd"/>
      <w:r w:rsidRPr="00BA7F97">
        <w:rPr>
          <w:lang w:val="fr-FR"/>
        </w:rPr>
        <w:t xml:space="preserve"> // Praxis des </w:t>
      </w:r>
      <w:proofErr w:type="spellStart"/>
      <w:r w:rsidRPr="00BA7F97">
        <w:rPr>
          <w:lang w:val="fr-FR"/>
        </w:rPr>
        <w:t>Internationalen</w:t>
      </w:r>
      <w:proofErr w:type="spellEnd"/>
      <w:r w:rsidRPr="00BA7F97">
        <w:rPr>
          <w:lang w:val="fr-FR"/>
        </w:rPr>
        <w:t xml:space="preserve"> Privat- </w:t>
      </w:r>
      <w:proofErr w:type="spellStart"/>
      <w:r w:rsidRPr="00BA7F97">
        <w:rPr>
          <w:lang w:val="fr-FR"/>
        </w:rPr>
        <w:t>und</w:t>
      </w:r>
      <w:proofErr w:type="spellEnd"/>
      <w:r w:rsidRPr="00BA7F97">
        <w:rPr>
          <w:lang w:val="fr-FR"/>
        </w:rPr>
        <w:t xml:space="preserve"> </w:t>
      </w:r>
      <w:proofErr w:type="spellStart"/>
      <w:r w:rsidRPr="00BA7F97">
        <w:rPr>
          <w:lang w:val="fr-FR"/>
        </w:rPr>
        <w:t>Verfahrensrechts</w:t>
      </w:r>
      <w:proofErr w:type="spellEnd"/>
      <w:r w:rsidRPr="00BA7F97">
        <w:rPr>
          <w:lang w:val="fr-FR"/>
        </w:rPr>
        <w:t xml:space="preserve"> (</w:t>
      </w:r>
      <w:proofErr w:type="spellStart"/>
      <w:r w:rsidRPr="00BA7F97">
        <w:rPr>
          <w:lang w:val="fr-FR"/>
        </w:rPr>
        <w:t>IPRax</w:t>
      </w:r>
      <w:proofErr w:type="spellEnd"/>
      <w:r w:rsidRPr="00BA7F97">
        <w:rPr>
          <w:lang w:val="fr-FR"/>
        </w:rPr>
        <w:t xml:space="preserve">), 2016, </w:t>
      </w:r>
      <w:proofErr w:type="spellStart"/>
      <w:r w:rsidRPr="00BA7F97">
        <w:rPr>
          <w:lang w:val="fr-FR"/>
        </w:rPr>
        <w:t>Heft</w:t>
      </w:r>
      <w:proofErr w:type="spellEnd"/>
      <w:r w:rsidRPr="00BA7F97">
        <w:rPr>
          <w:lang w:val="fr-FR"/>
        </w:rPr>
        <w:t xml:space="preserve"> 2, </w:t>
      </w:r>
      <w:r w:rsidRPr="00BA7F97">
        <w:rPr>
          <w:lang w:val="lv-LV"/>
        </w:rPr>
        <w:t>S.192.</w:t>
      </w:r>
    </w:p>
  </w:footnote>
  <w:footnote w:id="45">
    <w:p w14:paraId="6E48FA77" w14:textId="77777777" w:rsidR="000C7C76" w:rsidRPr="000C7C76" w:rsidRDefault="000C7C76" w:rsidP="00114953">
      <w:pPr>
        <w:pStyle w:val="FootnoteText"/>
        <w:jc w:val="both"/>
        <w:rPr>
          <w:lang w:val="en-US"/>
        </w:rPr>
      </w:pPr>
      <w:r w:rsidRPr="00BA7F97">
        <w:rPr>
          <w:rStyle w:val="FootnoteReference"/>
        </w:rPr>
        <w:footnoteRef/>
      </w:r>
      <w:r w:rsidRPr="00BA7F97">
        <w:t xml:space="preserve"> </w:t>
      </w:r>
      <w:proofErr w:type="spellStart"/>
      <w:r w:rsidRPr="00BA7F97">
        <w:rPr>
          <w:lang w:val="lv-LV"/>
        </w:rPr>
        <w:t>Loi</w:t>
      </w:r>
      <w:proofErr w:type="spellEnd"/>
      <w:r w:rsidRPr="00BA7F97">
        <w:rPr>
          <w:lang w:val="lv-LV"/>
        </w:rPr>
        <w:t xml:space="preserve"> </w:t>
      </w:r>
      <w:proofErr w:type="spellStart"/>
      <w:r w:rsidRPr="00BA7F97">
        <w:rPr>
          <w:lang w:val="lv-LV"/>
        </w:rPr>
        <w:t>du</w:t>
      </w:r>
      <w:proofErr w:type="spellEnd"/>
      <w:r w:rsidRPr="00BA7F97">
        <w:rPr>
          <w:lang w:val="lv-LV"/>
        </w:rPr>
        <w:t xml:space="preserve"> </w:t>
      </w:r>
      <w:r w:rsidRPr="00BA7F97">
        <w:rPr>
          <w:lang w:val="fr-FR"/>
        </w:rPr>
        <w:t>16 juillet 2004 portant  le Code de droit international privé (</w:t>
      </w:r>
      <w:r w:rsidRPr="00BA7F97">
        <w:rPr>
          <w:i/>
          <w:lang w:val="fr-FR"/>
        </w:rPr>
        <w:t>Moniteur belge</w:t>
      </w:r>
      <w:r w:rsidRPr="00BA7F97">
        <w:rPr>
          <w:lang w:val="fr-FR"/>
        </w:rPr>
        <w:t xml:space="preserve">, 27 juillet 2004) // Revue critique de droit international privé. </w:t>
      </w:r>
      <w:proofErr w:type="gramStart"/>
      <w:r w:rsidRPr="000C7C76">
        <w:rPr>
          <w:lang w:val="en-US"/>
        </w:rPr>
        <w:t>Paris :</w:t>
      </w:r>
      <w:proofErr w:type="gramEnd"/>
      <w:r w:rsidRPr="000C7C76">
        <w:rPr>
          <w:lang w:val="en-US"/>
        </w:rPr>
        <w:t xml:space="preserve"> </w:t>
      </w:r>
      <w:proofErr w:type="spellStart"/>
      <w:r w:rsidRPr="000C7C76">
        <w:rPr>
          <w:lang w:val="en-US"/>
        </w:rPr>
        <w:t>Dalloz</w:t>
      </w:r>
      <w:proofErr w:type="spellEnd"/>
      <w:r w:rsidRPr="000C7C76">
        <w:rPr>
          <w:lang w:val="en-US"/>
        </w:rPr>
        <w:t>, 2005, n° 1, p. 154-187.</w:t>
      </w:r>
    </w:p>
  </w:footnote>
  <w:footnote w:id="46">
    <w:p w14:paraId="00BD996D" w14:textId="77777777" w:rsidR="000C7C76" w:rsidRPr="005F6CA9" w:rsidRDefault="000C7C76" w:rsidP="00114953">
      <w:pPr>
        <w:pStyle w:val="FootnoteText"/>
        <w:jc w:val="both"/>
        <w:rPr>
          <w:lang w:val="lv-LV"/>
        </w:rPr>
      </w:pPr>
      <w:r w:rsidRPr="005F6CA9">
        <w:rPr>
          <w:rStyle w:val="FootnoteReference"/>
        </w:rPr>
        <w:footnoteRef/>
      </w:r>
      <w:r w:rsidRPr="005F6CA9">
        <w:t xml:space="preserve"> Heinz N. Das </w:t>
      </w:r>
      <w:proofErr w:type="spellStart"/>
      <w:r w:rsidRPr="005F6CA9">
        <w:t>Vollmachtsstatut</w:t>
      </w:r>
      <w:proofErr w:type="spellEnd"/>
      <w:r w:rsidRPr="005F6CA9">
        <w:t>. T</w:t>
      </w:r>
      <w:proofErr w:type="spellStart"/>
      <w:r w:rsidRPr="000C7C76">
        <w:rPr>
          <w:lang w:val="en-US"/>
        </w:rPr>
        <w:t>übingen</w:t>
      </w:r>
      <w:proofErr w:type="spellEnd"/>
      <w:r w:rsidRPr="000C7C76">
        <w:rPr>
          <w:lang w:val="en-US"/>
        </w:rPr>
        <w:t xml:space="preserve">: Mohr </w:t>
      </w:r>
      <w:proofErr w:type="spellStart"/>
      <w:r w:rsidRPr="000C7C76">
        <w:rPr>
          <w:lang w:val="en-US"/>
        </w:rPr>
        <w:t>Siebeck</w:t>
      </w:r>
      <w:proofErr w:type="spellEnd"/>
      <w:r w:rsidRPr="000C7C76">
        <w:rPr>
          <w:lang w:val="en-US"/>
        </w:rPr>
        <w:t xml:space="preserve"> Verlag. 2011, S. 14, 15. </w:t>
      </w:r>
    </w:p>
  </w:footnote>
  <w:footnote w:id="47">
    <w:p w14:paraId="04B3972F" w14:textId="77777777" w:rsidR="000C7C76" w:rsidRPr="005F6CA9" w:rsidRDefault="000C7C76" w:rsidP="00114953">
      <w:pPr>
        <w:pStyle w:val="FootnoteText"/>
        <w:jc w:val="both"/>
        <w:rPr>
          <w:lang w:val="lv-LV"/>
        </w:rPr>
      </w:pPr>
      <w:r w:rsidRPr="005F6CA9">
        <w:rPr>
          <w:rStyle w:val="FootnoteReference"/>
        </w:rPr>
        <w:footnoteRef/>
      </w:r>
      <w:r w:rsidRPr="005F6CA9">
        <w:t xml:space="preserve"> </w:t>
      </w:r>
      <w:r w:rsidRPr="005F6CA9">
        <w:rPr>
          <w:i/>
        </w:rPr>
        <w:t>Ibid</w:t>
      </w:r>
      <w:r w:rsidRPr="005F6CA9">
        <w:t>., S.16-22.</w:t>
      </w:r>
    </w:p>
  </w:footnote>
  <w:footnote w:id="48">
    <w:p w14:paraId="506EAE59" w14:textId="77777777" w:rsidR="000C7C76" w:rsidRPr="00BA7F97" w:rsidRDefault="000C7C76" w:rsidP="00114953">
      <w:pPr>
        <w:pStyle w:val="FootnoteText"/>
        <w:jc w:val="both"/>
        <w:rPr>
          <w:lang w:val="lv-LV"/>
        </w:rPr>
      </w:pPr>
      <w:r>
        <w:rPr>
          <w:rStyle w:val="FootnoteReference"/>
        </w:rPr>
        <w:footnoteRef/>
      </w:r>
      <w:r>
        <w:t xml:space="preserve"> </w:t>
      </w:r>
      <w:proofErr w:type="spellStart"/>
      <w:r w:rsidRPr="000C7C76">
        <w:rPr>
          <w:lang w:val="en-US"/>
        </w:rPr>
        <w:t>Torgāns</w:t>
      </w:r>
      <w:proofErr w:type="spellEnd"/>
      <w:r w:rsidRPr="000C7C76">
        <w:rPr>
          <w:lang w:val="en-US"/>
        </w:rPr>
        <w:t xml:space="preserve"> K. </w:t>
      </w:r>
      <w:proofErr w:type="spellStart"/>
      <w:r w:rsidRPr="000C7C76">
        <w:rPr>
          <w:lang w:val="en-US"/>
        </w:rPr>
        <w:t>Saistību</w:t>
      </w:r>
      <w:proofErr w:type="spellEnd"/>
      <w:r w:rsidRPr="000C7C76">
        <w:rPr>
          <w:lang w:val="en-US"/>
        </w:rPr>
        <w:t xml:space="preserve"> </w:t>
      </w:r>
      <w:proofErr w:type="spellStart"/>
      <w:r w:rsidRPr="000C7C76">
        <w:rPr>
          <w:lang w:val="en-US"/>
        </w:rPr>
        <w:t>tiesības</w:t>
      </w:r>
      <w:proofErr w:type="spellEnd"/>
      <w:r w:rsidRPr="000C7C76">
        <w:rPr>
          <w:lang w:val="en-US"/>
        </w:rPr>
        <w:t xml:space="preserve">. </w:t>
      </w:r>
      <w:proofErr w:type="spellStart"/>
      <w:r w:rsidRPr="000C7C76">
        <w:rPr>
          <w:lang w:val="en-US"/>
        </w:rPr>
        <w:t>Mācību</w:t>
      </w:r>
      <w:proofErr w:type="spellEnd"/>
      <w:r w:rsidRPr="000C7C76">
        <w:rPr>
          <w:lang w:val="en-US"/>
        </w:rPr>
        <w:t xml:space="preserve"> </w:t>
      </w:r>
      <w:proofErr w:type="spellStart"/>
      <w:r w:rsidRPr="000C7C76">
        <w:rPr>
          <w:lang w:val="en-US"/>
        </w:rPr>
        <w:t>grāmata</w:t>
      </w:r>
      <w:proofErr w:type="spellEnd"/>
      <w:r w:rsidRPr="000C7C76">
        <w:rPr>
          <w:lang w:val="en-US"/>
        </w:rPr>
        <w:t xml:space="preserve">. </w:t>
      </w:r>
      <w:proofErr w:type="spellStart"/>
      <w:proofErr w:type="gramStart"/>
      <w:r w:rsidRPr="00BA7F97">
        <w:rPr>
          <w:lang w:val="fr-FR"/>
        </w:rPr>
        <w:t>Rīga</w:t>
      </w:r>
      <w:proofErr w:type="spellEnd"/>
      <w:r w:rsidRPr="00BA7F97">
        <w:rPr>
          <w:lang w:val="fr-FR"/>
        </w:rPr>
        <w:t>:</w:t>
      </w:r>
      <w:proofErr w:type="gramEnd"/>
      <w:r w:rsidRPr="00BA7F97">
        <w:rPr>
          <w:lang w:val="fr-FR"/>
        </w:rPr>
        <w:t xml:space="preserve"> TNA, 2014, </w:t>
      </w:r>
      <w:r w:rsidRPr="00BA7F97">
        <w:rPr>
          <w:lang w:val="lv-LV"/>
        </w:rPr>
        <w:t>419.lpp.</w:t>
      </w:r>
    </w:p>
  </w:footnote>
  <w:footnote w:id="49">
    <w:p w14:paraId="41236592" w14:textId="77777777" w:rsidR="000C7C76" w:rsidRPr="000C7C76" w:rsidRDefault="000C7C76" w:rsidP="00114953">
      <w:pPr>
        <w:pStyle w:val="FootnoteText"/>
        <w:jc w:val="both"/>
        <w:rPr>
          <w:lang w:val="en-US"/>
        </w:rPr>
      </w:pPr>
      <w:r w:rsidRPr="005F6CA9">
        <w:rPr>
          <w:rStyle w:val="FootnoteReference"/>
        </w:rPr>
        <w:footnoteRef/>
      </w:r>
      <w:r w:rsidRPr="005F6CA9">
        <w:t xml:space="preserve"> </w:t>
      </w:r>
      <w:proofErr w:type="spellStart"/>
      <w:r w:rsidRPr="005F6CA9">
        <w:rPr>
          <w:lang w:val="fr-FR"/>
        </w:rPr>
        <w:t>Kropholler</w:t>
      </w:r>
      <w:proofErr w:type="spellEnd"/>
      <w:r w:rsidRPr="005F6CA9">
        <w:rPr>
          <w:lang w:val="fr-FR"/>
        </w:rPr>
        <w:t xml:space="preserve"> J. Internationales </w:t>
      </w:r>
      <w:proofErr w:type="spellStart"/>
      <w:r w:rsidRPr="005F6CA9">
        <w:rPr>
          <w:lang w:val="fr-FR"/>
        </w:rPr>
        <w:t>Privatrecht</w:t>
      </w:r>
      <w:proofErr w:type="spellEnd"/>
      <w:r w:rsidRPr="005F6CA9">
        <w:rPr>
          <w:lang w:val="fr-FR"/>
        </w:rPr>
        <w:t xml:space="preserve">. </w:t>
      </w:r>
      <w:r w:rsidRPr="000C7C76">
        <w:rPr>
          <w:lang w:val="en-US"/>
        </w:rPr>
        <w:t xml:space="preserve">5.Auflage. Tübingen: Mohr </w:t>
      </w:r>
      <w:proofErr w:type="spellStart"/>
      <w:r w:rsidRPr="000C7C76">
        <w:rPr>
          <w:lang w:val="en-US"/>
        </w:rPr>
        <w:t>Siebeck</w:t>
      </w:r>
      <w:proofErr w:type="spellEnd"/>
      <w:r w:rsidRPr="000C7C76">
        <w:rPr>
          <w:lang w:val="en-US"/>
        </w:rPr>
        <w:t xml:space="preserve"> Verlag, 2004, S. 302.</w:t>
      </w:r>
    </w:p>
  </w:footnote>
  <w:footnote w:id="50">
    <w:p w14:paraId="05FC78B2" w14:textId="77777777" w:rsidR="000C7C76" w:rsidRPr="000C7C76" w:rsidRDefault="000C7C76" w:rsidP="00114953">
      <w:pPr>
        <w:pStyle w:val="FootnoteText"/>
        <w:jc w:val="both"/>
        <w:rPr>
          <w:lang w:val="en-US"/>
        </w:rPr>
      </w:pPr>
      <w:r w:rsidRPr="005F6CA9">
        <w:rPr>
          <w:rStyle w:val="FootnoteReference"/>
        </w:rPr>
        <w:footnoteRef/>
      </w:r>
      <w:r w:rsidRPr="005F6CA9">
        <w:t xml:space="preserve"> </w:t>
      </w:r>
      <w:r w:rsidRPr="000C7C76">
        <w:rPr>
          <w:lang w:val="en-US"/>
        </w:rPr>
        <w:t>Convention on the Law Applicable to Agency. Explanatory Report by I.G.F. Karsten. Hague Conference on Private International Law, 1979, p. 391.</w:t>
      </w:r>
    </w:p>
  </w:footnote>
  <w:footnote w:id="51">
    <w:p w14:paraId="41AEF24C" w14:textId="77777777" w:rsidR="000C7C76" w:rsidRPr="005F6CA9" w:rsidRDefault="000C7C76" w:rsidP="00114953">
      <w:pPr>
        <w:pStyle w:val="FootnoteText"/>
        <w:jc w:val="both"/>
        <w:rPr>
          <w:lang w:val="lv-LV"/>
        </w:rPr>
      </w:pPr>
      <w:r w:rsidRPr="005F6CA9">
        <w:rPr>
          <w:rStyle w:val="FootnoteReference"/>
        </w:rPr>
        <w:footnoteRef/>
      </w:r>
      <w:r w:rsidRPr="005F6CA9">
        <w:t xml:space="preserve"> </w:t>
      </w:r>
      <w:proofErr w:type="spellStart"/>
      <w:r w:rsidRPr="000C7C76">
        <w:rPr>
          <w:lang w:val="en-US"/>
        </w:rPr>
        <w:t>Kropholler</w:t>
      </w:r>
      <w:proofErr w:type="spellEnd"/>
      <w:r w:rsidRPr="000C7C76">
        <w:rPr>
          <w:lang w:val="en-US"/>
        </w:rPr>
        <w:t xml:space="preserve"> J. </w:t>
      </w:r>
      <w:proofErr w:type="spellStart"/>
      <w:r w:rsidRPr="000C7C76">
        <w:rPr>
          <w:lang w:val="en-US"/>
        </w:rPr>
        <w:t>Internationales</w:t>
      </w:r>
      <w:proofErr w:type="spellEnd"/>
      <w:r w:rsidRPr="000C7C76">
        <w:rPr>
          <w:lang w:val="en-US"/>
        </w:rPr>
        <w:t xml:space="preserve"> </w:t>
      </w:r>
      <w:proofErr w:type="spellStart"/>
      <w:r w:rsidRPr="000C7C76">
        <w:rPr>
          <w:lang w:val="en-US"/>
        </w:rPr>
        <w:t>Privatrecht</w:t>
      </w:r>
      <w:proofErr w:type="spellEnd"/>
      <w:r w:rsidRPr="000C7C76">
        <w:rPr>
          <w:lang w:val="en-US"/>
        </w:rPr>
        <w:t xml:space="preserve">. 5.Auflage. Tübingen: Mohr </w:t>
      </w:r>
      <w:proofErr w:type="spellStart"/>
      <w:r w:rsidRPr="000C7C76">
        <w:rPr>
          <w:lang w:val="en-US"/>
        </w:rPr>
        <w:t>Siebeck</w:t>
      </w:r>
      <w:proofErr w:type="spellEnd"/>
      <w:r w:rsidRPr="000C7C76">
        <w:rPr>
          <w:lang w:val="en-US"/>
        </w:rPr>
        <w:t xml:space="preserve"> Verlag, 2004, S. 303; </w:t>
      </w:r>
      <w:r w:rsidRPr="005F6CA9">
        <w:t xml:space="preserve">Heinz N. Das </w:t>
      </w:r>
      <w:proofErr w:type="spellStart"/>
      <w:r w:rsidRPr="005F6CA9">
        <w:t>Vollmachtsstatut</w:t>
      </w:r>
      <w:proofErr w:type="spellEnd"/>
      <w:r w:rsidRPr="005F6CA9">
        <w:t>. T</w:t>
      </w:r>
      <w:proofErr w:type="spellStart"/>
      <w:r w:rsidRPr="000C7C76">
        <w:rPr>
          <w:lang w:val="en-US"/>
        </w:rPr>
        <w:t>übingen</w:t>
      </w:r>
      <w:proofErr w:type="spellEnd"/>
      <w:r w:rsidRPr="000C7C76">
        <w:rPr>
          <w:lang w:val="en-US"/>
        </w:rPr>
        <w:t xml:space="preserve">: Mohr </w:t>
      </w:r>
      <w:proofErr w:type="spellStart"/>
      <w:r w:rsidRPr="000C7C76">
        <w:rPr>
          <w:lang w:val="en-US"/>
        </w:rPr>
        <w:t>Siebeck</w:t>
      </w:r>
      <w:proofErr w:type="spellEnd"/>
      <w:r w:rsidRPr="000C7C76">
        <w:rPr>
          <w:lang w:val="en-US"/>
        </w:rPr>
        <w:t xml:space="preserve"> Verlag. 2011, S. 22, 23.</w:t>
      </w:r>
    </w:p>
  </w:footnote>
  <w:footnote w:id="52">
    <w:p w14:paraId="6F9218D6" w14:textId="77777777" w:rsidR="000C7C76" w:rsidRPr="005F6CA9" w:rsidRDefault="000C7C76" w:rsidP="00114953">
      <w:pPr>
        <w:pStyle w:val="FootnoteText"/>
        <w:jc w:val="both"/>
        <w:rPr>
          <w:lang w:val="lv-LV"/>
        </w:rPr>
      </w:pPr>
      <w:r w:rsidRPr="005F6CA9">
        <w:rPr>
          <w:rStyle w:val="FootnoteReference"/>
        </w:rPr>
        <w:footnoteRef/>
      </w:r>
      <w:r w:rsidRPr="005F6CA9">
        <w:t xml:space="preserve"> Heinz N. Das </w:t>
      </w:r>
      <w:proofErr w:type="spellStart"/>
      <w:r w:rsidRPr="005F6CA9">
        <w:t>Vollmachtsstatut</w:t>
      </w:r>
      <w:proofErr w:type="spellEnd"/>
      <w:r w:rsidRPr="005F6CA9">
        <w:t>. T</w:t>
      </w:r>
      <w:proofErr w:type="spellStart"/>
      <w:r w:rsidRPr="000C7C76">
        <w:rPr>
          <w:lang w:val="en-US"/>
        </w:rPr>
        <w:t>übingen</w:t>
      </w:r>
      <w:proofErr w:type="spellEnd"/>
      <w:r w:rsidRPr="000C7C76">
        <w:rPr>
          <w:lang w:val="en-US"/>
        </w:rPr>
        <w:t xml:space="preserve">: Mohr </w:t>
      </w:r>
      <w:proofErr w:type="spellStart"/>
      <w:r w:rsidRPr="000C7C76">
        <w:rPr>
          <w:lang w:val="en-US"/>
        </w:rPr>
        <w:t>Siebeck</w:t>
      </w:r>
      <w:proofErr w:type="spellEnd"/>
      <w:r w:rsidRPr="000C7C76">
        <w:rPr>
          <w:lang w:val="en-US"/>
        </w:rPr>
        <w:t xml:space="preserve"> Verlag. 2011, S. 23.</w:t>
      </w:r>
    </w:p>
  </w:footnote>
  <w:footnote w:id="53">
    <w:p w14:paraId="52CFB1AB" w14:textId="77777777" w:rsidR="000C7C76" w:rsidRPr="005F6CA9" w:rsidRDefault="000C7C76" w:rsidP="00114953">
      <w:pPr>
        <w:pStyle w:val="FootnoteText"/>
        <w:jc w:val="both"/>
        <w:rPr>
          <w:lang w:val="lv-LV"/>
        </w:rPr>
      </w:pPr>
      <w:r w:rsidRPr="005F6CA9">
        <w:rPr>
          <w:rStyle w:val="FootnoteReference"/>
        </w:rPr>
        <w:footnoteRef/>
      </w:r>
      <w:r w:rsidRPr="005F6CA9">
        <w:t xml:space="preserve"> 1992.gada 11.novembra </w:t>
      </w:r>
      <w:proofErr w:type="spellStart"/>
      <w:r w:rsidRPr="005F6CA9">
        <w:t>Līgums</w:t>
      </w:r>
      <w:proofErr w:type="spellEnd"/>
      <w:r w:rsidRPr="005F6CA9">
        <w:t xml:space="preserve"> par </w:t>
      </w:r>
      <w:proofErr w:type="spellStart"/>
      <w:r w:rsidRPr="005F6CA9">
        <w:t>tiesisko</w:t>
      </w:r>
      <w:proofErr w:type="spellEnd"/>
      <w:r w:rsidRPr="005F6CA9">
        <w:t xml:space="preserve"> </w:t>
      </w:r>
      <w:proofErr w:type="spellStart"/>
      <w:r w:rsidRPr="005F6CA9">
        <w:t>palīdzību</w:t>
      </w:r>
      <w:proofErr w:type="spellEnd"/>
      <w:r w:rsidRPr="005F6CA9">
        <w:t xml:space="preserve"> </w:t>
      </w:r>
      <w:proofErr w:type="spellStart"/>
      <w:r w:rsidRPr="005F6CA9">
        <w:t>un</w:t>
      </w:r>
      <w:proofErr w:type="spellEnd"/>
      <w:r w:rsidRPr="005F6CA9">
        <w:t xml:space="preserve"> </w:t>
      </w:r>
      <w:proofErr w:type="spellStart"/>
      <w:r w:rsidRPr="005F6CA9">
        <w:t>tiesiskajām</w:t>
      </w:r>
      <w:proofErr w:type="spellEnd"/>
      <w:r w:rsidRPr="005F6CA9">
        <w:t xml:space="preserve"> </w:t>
      </w:r>
      <w:proofErr w:type="spellStart"/>
      <w:r w:rsidRPr="005F6CA9">
        <w:t>attiecībām</w:t>
      </w:r>
      <w:proofErr w:type="spellEnd"/>
      <w:r w:rsidRPr="005F6CA9">
        <w:t xml:space="preserve"> </w:t>
      </w:r>
      <w:proofErr w:type="spellStart"/>
      <w:r w:rsidRPr="005F6CA9">
        <w:t>starp</w:t>
      </w:r>
      <w:proofErr w:type="spellEnd"/>
      <w:r w:rsidRPr="005F6CA9">
        <w:t xml:space="preserve"> Latvijas </w:t>
      </w:r>
      <w:proofErr w:type="spellStart"/>
      <w:r w:rsidRPr="005F6CA9">
        <w:t>Republiku</w:t>
      </w:r>
      <w:proofErr w:type="spellEnd"/>
      <w:r w:rsidRPr="005F6CA9">
        <w:t xml:space="preserve">, </w:t>
      </w:r>
      <w:proofErr w:type="spellStart"/>
      <w:r w:rsidRPr="005F6CA9">
        <w:t>Igaunijas</w:t>
      </w:r>
      <w:proofErr w:type="spellEnd"/>
      <w:r w:rsidRPr="005F6CA9">
        <w:t xml:space="preserve"> </w:t>
      </w:r>
      <w:proofErr w:type="spellStart"/>
      <w:r w:rsidRPr="005F6CA9">
        <w:t>Republiku</w:t>
      </w:r>
      <w:proofErr w:type="spellEnd"/>
      <w:r w:rsidRPr="005F6CA9">
        <w:t xml:space="preserve"> </w:t>
      </w:r>
      <w:proofErr w:type="spellStart"/>
      <w:r w:rsidRPr="005F6CA9">
        <w:t>un</w:t>
      </w:r>
      <w:proofErr w:type="spellEnd"/>
      <w:r w:rsidRPr="005F6CA9">
        <w:t xml:space="preserve"> </w:t>
      </w:r>
      <w:proofErr w:type="spellStart"/>
      <w:r w:rsidRPr="005F6CA9">
        <w:t>Lietuvas</w:t>
      </w:r>
      <w:proofErr w:type="spellEnd"/>
      <w:r w:rsidRPr="005F6CA9">
        <w:t xml:space="preserve"> </w:t>
      </w:r>
      <w:proofErr w:type="spellStart"/>
      <w:r w:rsidRPr="005F6CA9">
        <w:t>Republiku</w:t>
      </w:r>
      <w:proofErr w:type="spellEnd"/>
      <w:r w:rsidRPr="005F6CA9">
        <w:t xml:space="preserve">: LR </w:t>
      </w:r>
      <w:proofErr w:type="spellStart"/>
      <w:r w:rsidRPr="005F6CA9">
        <w:t>starptautisks</w:t>
      </w:r>
      <w:proofErr w:type="spellEnd"/>
      <w:r w:rsidRPr="005F6CA9">
        <w:t xml:space="preserve"> </w:t>
      </w:r>
      <w:proofErr w:type="spellStart"/>
      <w:r w:rsidRPr="005F6CA9">
        <w:t>līgums</w:t>
      </w:r>
      <w:proofErr w:type="spellEnd"/>
      <w:r w:rsidRPr="005F6CA9">
        <w:t xml:space="preserve">. Latvijas </w:t>
      </w:r>
      <w:proofErr w:type="spellStart"/>
      <w:r w:rsidRPr="005F6CA9">
        <w:t>Vēstnesis</w:t>
      </w:r>
      <w:proofErr w:type="spellEnd"/>
      <w:r w:rsidRPr="005F6CA9">
        <w:t xml:space="preserve">, 2000. 14.jūlijs, </w:t>
      </w:r>
      <w:proofErr w:type="spellStart"/>
      <w:r w:rsidRPr="005F6CA9">
        <w:t>nr.</w:t>
      </w:r>
      <w:proofErr w:type="spellEnd"/>
      <w:r w:rsidRPr="005F6CA9">
        <w:t xml:space="preserve"> 259/261. </w:t>
      </w:r>
    </w:p>
  </w:footnote>
  <w:footnote w:id="54">
    <w:p w14:paraId="04DFC491" w14:textId="66349BA6" w:rsidR="000C7C76" w:rsidRPr="005F6CA9" w:rsidRDefault="000C7C76" w:rsidP="00114953">
      <w:pPr>
        <w:pStyle w:val="FootnoteText"/>
        <w:jc w:val="both"/>
        <w:rPr>
          <w:lang w:val="lv-LV"/>
        </w:rPr>
      </w:pPr>
      <w:r w:rsidRPr="005F6CA9">
        <w:rPr>
          <w:rStyle w:val="FootnoteReference"/>
        </w:rPr>
        <w:footnoteRef/>
      </w:r>
      <w:r w:rsidRPr="005F6CA9">
        <w:t xml:space="preserve"> </w:t>
      </w:r>
      <w:r w:rsidRPr="005F6CA9">
        <w:rPr>
          <w:lang w:val="lv-LV"/>
        </w:rPr>
        <w:t>Sk</w:t>
      </w:r>
      <w:r w:rsidR="00297B46">
        <w:rPr>
          <w:lang w:val="lv-LV"/>
        </w:rPr>
        <w:t>at</w:t>
      </w:r>
      <w:r w:rsidRPr="005F6CA9">
        <w:rPr>
          <w:lang w:val="lv-LV"/>
        </w:rPr>
        <w:t>., piemēram, Roma I Regulas 25.panta otro daļu, kā arī Paziņojumus saskaņā ar 26.panta 1.punktu Eiropas Parlamenta un Padomes Regulā (EK) Nr. 593/2008 par tiesību aktiem, kas piemērojami līgumsaistībām (Roma I) (2010/C 343/04). OV C 343, 17.12.2010., 3.-6.lpp.</w:t>
      </w:r>
    </w:p>
  </w:footnote>
  <w:footnote w:id="55">
    <w:p w14:paraId="1784A12E" w14:textId="77777777" w:rsidR="000C7C76" w:rsidRPr="005F6CA9" w:rsidRDefault="000C7C76" w:rsidP="00114953">
      <w:pPr>
        <w:pStyle w:val="FootnoteText"/>
        <w:jc w:val="both"/>
        <w:rPr>
          <w:lang w:val="lv-LV"/>
        </w:rPr>
      </w:pPr>
      <w:r w:rsidRPr="005F6CA9">
        <w:rPr>
          <w:rStyle w:val="FootnoteReference"/>
        </w:rPr>
        <w:footnoteRef/>
      </w:r>
      <w:r w:rsidRPr="005F6CA9">
        <w:t xml:space="preserve"> 1993.gada 3.februāra </w:t>
      </w:r>
      <w:proofErr w:type="spellStart"/>
      <w:r w:rsidRPr="005F6CA9">
        <w:t>Līgums</w:t>
      </w:r>
      <w:proofErr w:type="spellEnd"/>
      <w:r w:rsidRPr="005F6CA9">
        <w:t xml:space="preserve"> </w:t>
      </w:r>
      <w:proofErr w:type="spellStart"/>
      <w:r w:rsidRPr="005F6CA9">
        <w:t>starp</w:t>
      </w:r>
      <w:proofErr w:type="spellEnd"/>
      <w:r w:rsidRPr="005F6CA9">
        <w:t xml:space="preserve"> Latvijas </w:t>
      </w:r>
      <w:proofErr w:type="spellStart"/>
      <w:r w:rsidRPr="005F6CA9">
        <w:t>Republiku</w:t>
      </w:r>
      <w:proofErr w:type="spellEnd"/>
      <w:r w:rsidRPr="005F6CA9">
        <w:t xml:space="preserve"> </w:t>
      </w:r>
      <w:proofErr w:type="spellStart"/>
      <w:r w:rsidRPr="005F6CA9">
        <w:t>un</w:t>
      </w:r>
      <w:proofErr w:type="spellEnd"/>
      <w:r w:rsidRPr="005F6CA9">
        <w:t xml:space="preserve"> </w:t>
      </w:r>
      <w:proofErr w:type="spellStart"/>
      <w:r w:rsidRPr="005F6CA9">
        <w:t>Krievijas</w:t>
      </w:r>
      <w:proofErr w:type="spellEnd"/>
      <w:r w:rsidRPr="005F6CA9">
        <w:t xml:space="preserve"> </w:t>
      </w:r>
      <w:proofErr w:type="spellStart"/>
      <w:r w:rsidRPr="005F6CA9">
        <w:t>Federāciju</w:t>
      </w:r>
      <w:proofErr w:type="spellEnd"/>
      <w:r w:rsidRPr="005F6CA9">
        <w:t xml:space="preserve"> par </w:t>
      </w:r>
      <w:proofErr w:type="spellStart"/>
      <w:r w:rsidRPr="005F6CA9">
        <w:t>tiesisko</w:t>
      </w:r>
      <w:proofErr w:type="spellEnd"/>
      <w:r w:rsidRPr="005F6CA9">
        <w:t xml:space="preserve"> </w:t>
      </w:r>
      <w:proofErr w:type="spellStart"/>
      <w:r w:rsidRPr="005F6CA9">
        <w:t>palīdzību</w:t>
      </w:r>
      <w:proofErr w:type="spellEnd"/>
      <w:r w:rsidRPr="005F6CA9">
        <w:t xml:space="preserve"> </w:t>
      </w:r>
      <w:proofErr w:type="spellStart"/>
      <w:r w:rsidRPr="005F6CA9">
        <w:t>un</w:t>
      </w:r>
      <w:proofErr w:type="spellEnd"/>
      <w:r w:rsidRPr="005F6CA9">
        <w:t xml:space="preserve"> </w:t>
      </w:r>
      <w:proofErr w:type="spellStart"/>
      <w:r w:rsidRPr="005F6CA9">
        <w:t>tiesiskajām</w:t>
      </w:r>
      <w:proofErr w:type="spellEnd"/>
      <w:r w:rsidRPr="005F6CA9">
        <w:t xml:space="preserve"> </w:t>
      </w:r>
      <w:proofErr w:type="spellStart"/>
      <w:r w:rsidRPr="005F6CA9">
        <w:t>attiecībām</w:t>
      </w:r>
      <w:proofErr w:type="spellEnd"/>
      <w:r w:rsidRPr="005F6CA9">
        <w:t xml:space="preserve"> </w:t>
      </w:r>
      <w:proofErr w:type="spellStart"/>
      <w:r w:rsidRPr="005F6CA9">
        <w:t>civilajās</w:t>
      </w:r>
      <w:proofErr w:type="spellEnd"/>
      <w:r w:rsidRPr="005F6CA9">
        <w:t xml:space="preserve">, </w:t>
      </w:r>
      <w:proofErr w:type="spellStart"/>
      <w:r w:rsidRPr="005F6CA9">
        <w:t>ģimenes</w:t>
      </w:r>
      <w:proofErr w:type="spellEnd"/>
      <w:r w:rsidRPr="005F6CA9">
        <w:t xml:space="preserve">, </w:t>
      </w:r>
      <w:proofErr w:type="spellStart"/>
      <w:r w:rsidRPr="005F6CA9">
        <w:t>darba</w:t>
      </w:r>
      <w:proofErr w:type="spellEnd"/>
      <w:r w:rsidRPr="005F6CA9">
        <w:t xml:space="preserve"> </w:t>
      </w:r>
      <w:proofErr w:type="spellStart"/>
      <w:r w:rsidRPr="005F6CA9">
        <w:t>un</w:t>
      </w:r>
      <w:proofErr w:type="spellEnd"/>
      <w:r w:rsidRPr="005F6CA9">
        <w:t xml:space="preserve"> </w:t>
      </w:r>
      <w:proofErr w:type="spellStart"/>
      <w:r w:rsidRPr="005F6CA9">
        <w:t>krimināllietās</w:t>
      </w:r>
      <w:proofErr w:type="spellEnd"/>
      <w:r w:rsidRPr="005F6CA9">
        <w:t xml:space="preserve">: LR </w:t>
      </w:r>
      <w:proofErr w:type="spellStart"/>
      <w:r w:rsidRPr="005F6CA9">
        <w:t>starptautisks</w:t>
      </w:r>
      <w:proofErr w:type="spellEnd"/>
      <w:r w:rsidRPr="005F6CA9">
        <w:t xml:space="preserve"> </w:t>
      </w:r>
      <w:proofErr w:type="spellStart"/>
      <w:r w:rsidRPr="005F6CA9">
        <w:t>līgums</w:t>
      </w:r>
      <w:proofErr w:type="spellEnd"/>
      <w:r w:rsidRPr="005F6CA9">
        <w:t xml:space="preserve">. Latvijas </w:t>
      </w:r>
      <w:proofErr w:type="spellStart"/>
      <w:r w:rsidRPr="005F6CA9">
        <w:t>Vēstnesis</w:t>
      </w:r>
      <w:proofErr w:type="spellEnd"/>
      <w:r w:rsidRPr="005F6CA9">
        <w:t xml:space="preserve">, 1999. 30.novembris, </w:t>
      </w:r>
      <w:proofErr w:type="spellStart"/>
      <w:r w:rsidRPr="005F6CA9">
        <w:t>nr.</w:t>
      </w:r>
      <w:proofErr w:type="spellEnd"/>
      <w:r w:rsidRPr="005F6CA9">
        <w:t xml:space="preserve"> 394/396. </w:t>
      </w:r>
    </w:p>
  </w:footnote>
  <w:footnote w:id="56">
    <w:p w14:paraId="56282585" w14:textId="77777777" w:rsidR="000C7C76" w:rsidRPr="005F6CA9" w:rsidRDefault="000C7C76" w:rsidP="00114953">
      <w:pPr>
        <w:pStyle w:val="FootnoteText"/>
        <w:jc w:val="both"/>
        <w:rPr>
          <w:lang w:val="lv-LV"/>
        </w:rPr>
      </w:pPr>
      <w:r w:rsidRPr="005F6CA9">
        <w:rPr>
          <w:rStyle w:val="FootnoteReference"/>
        </w:rPr>
        <w:footnoteRef/>
      </w:r>
      <w:r w:rsidRPr="005F6CA9">
        <w:t xml:space="preserve"> 1993.gada 14.aprīļa </w:t>
      </w:r>
      <w:proofErr w:type="spellStart"/>
      <w:r w:rsidRPr="005F6CA9">
        <w:t>Līgums</w:t>
      </w:r>
      <w:proofErr w:type="spellEnd"/>
      <w:r w:rsidRPr="005F6CA9">
        <w:t xml:space="preserve"> </w:t>
      </w:r>
      <w:proofErr w:type="spellStart"/>
      <w:r w:rsidRPr="005F6CA9">
        <w:t>starp</w:t>
      </w:r>
      <w:proofErr w:type="spellEnd"/>
      <w:r w:rsidRPr="005F6CA9">
        <w:t xml:space="preserve"> Latvijas </w:t>
      </w:r>
      <w:proofErr w:type="spellStart"/>
      <w:r w:rsidRPr="005F6CA9">
        <w:t>Republiku</w:t>
      </w:r>
      <w:proofErr w:type="spellEnd"/>
      <w:r w:rsidRPr="005F6CA9">
        <w:t xml:space="preserve"> </w:t>
      </w:r>
      <w:proofErr w:type="spellStart"/>
      <w:r w:rsidRPr="005F6CA9">
        <w:t>un</w:t>
      </w:r>
      <w:proofErr w:type="spellEnd"/>
      <w:r w:rsidRPr="005F6CA9">
        <w:t xml:space="preserve"> </w:t>
      </w:r>
      <w:proofErr w:type="spellStart"/>
      <w:r w:rsidRPr="005F6CA9">
        <w:t>Moldovas</w:t>
      </w:r>
      <w:proofErr w:type="spellEnd"/>
      <w:r w:rsidRPr="005F6CA9">
        <w:t xml:space="preserve"> </w:t>
      </w:r>
      <w:proofErr w:type="spellStart"/>
      <w:r w:rsidRPr="005F6CA9">
        <w:t>Republiku</w:t>
      </w:r>
      <w:proofErr w:type="spellEnd"/>
      <w:r w:rsidRPr="005F6CA9">
        <w:t xml:space="preserve"> par </w:t>
      </w:r>
      <w:proofErr w:type="spellStart"/>
      <w:r w:rsidRPr="005F6CA9">
        <w:t>tiesisko</w:t>
      </w:r>
      <w:proofErr w:type="spellEnd"/>
      <w:r w:rsidRPr="005F6CA9">
        <w:t xml:space="preserve"> </w:t>
      </w:r>
      <w:proofErr w:type="spellStart"/>
      <w:r w:rsidRPr="005F6CA9">
        <w:t>palīdzību</w:t>
      </w:r>
      <w:proofErr w:type="spellEnd"/>
      <w:r w:rsidRPr="005F6CA9">
        <w:t xml:space="preserve"> </w:t>
      </w:r>
      <w:proofErr w:type="spellStart"/>
      <w:r w:rsidRPr="005F6CA9">
        <w:t>un</w:t>
      </w:r>
      <w:proofErr w:type="spellEnd"/>
      <w:r w:rsidRPr="005F6CA9">
        <w:t xml:space="preserve"> </w:t>
      </w:r>
      <w:proofErr w:type="spellStart"/>
      <w:r w:rsidRPr="005F6CA9">
        <w:t>tiesiskajām</w:t>
      </w:r>
      <w:proofErr w:type="spellEnd"/>
      <w:r w:rsidRPr="005F6CA9">
        <w:t xml:space="preserve"> </w:t>
      </w:r>
      <w:proofErr w:type="spellStart"/>
      <w:r w:rsidRPr="005F6CA9">
        <w:t>attiecībām</w:t>
      </w:r>
      <w:proofErr w:type="spellEnd"/>
      <w:r w:rsidRPr="005F6CA9">
        <w:t xml:space="preserve"> </w:t>
      </w:r>
      <w:proofErr w:type="spellStart"/>
      <w:r w:rsidRPr="005F6CA9">
        <w:t>civilajās</w:t>
      </w:r>
      <w:proofErr w:type="spellEnd"/>
      <w:r w:rsidRPr="005F6CA9">
        <w:t xml:space="preserve">, </w:t>
      </w:r>
      <w:proofErr w:type="spellStart"/>
      <w:r w:rsidRPr="005F6CA9">
        <w:t>ģimenes</w:t>
      </w:r>
      <w:proofErr w:type="spellEnd"/>
      <w:r w:rsidRPr="005F6CA9">
        <w:t xml:space="preserve">, </w:t>
      </w:r>
      <w:proofErr w:type="spellStart"/>
      <w:r w:rsidRPr="005F6CA9">
        <w:t>darba</w:t>
      </w:r>
      <w:proofErr w:type="spellEnd"/>
      <w:r w:rsidRPr="005F6CA9">
        <w:t xml:space="preserve"> </w:t>
      </w:r>
      <w:proofErr w:type="spellStart"/>
      <w:r w:rsidRPr="005F6CA9">
        <w:t>un</w:t>
      </w:r>
      <w:proofErr w:type="spellEnd"/>
      <w:r w:rsidRPr="005F6CA9">
        <w:t xml:space="preserve"> </w:t>
      </w:r>
      <w:proofErr w:type="spellStart"/>
      <w:r w:rsidRPr="005F6CA9">
        <w:t>krimināllietās</w:t>
      </w:r>
      <w:proofErr w:type="spellEnd"/>
      <w:r w:rsidRPr="005F6CA9">
        <w:t xml:space="preserve">: LR </w:t>
      </w:r>
      <w:proofErr w:type="spellStart"/>
      <w:r w:rsidRPr="005F6CA9">
        <w:t>starptautisks</w:t>
      </w:r>
      <w:proofErr w:type="spellEnd"/>
      <w:r w:rsidRPr="005F6CA9">
        <w:t xml:space="preserve"> </w:t>
      </w:r>
      <w:proofErr w:type="spellStart"/>
      <w:r w:rsidRPr="005F6CA9">
        <w:t>līgums</w:t>
      </w:r>
      <w:proofErr w:type="spellEnd"/>
      <w:r w:rsidRPr="005F6CA9">
        <w:t xml:space="preserve">. Latvijas </w:t>
      </w:r>
      <w:proofErr w:type="spellStart"/>
      <w:r w:rsidRPr="005F6CA9">
        <w:t>Vēstnesis</w:t>
      </w:r>
      <w:proofErr w:type="spellEnd"/>
      <w:r w:rsidRPr="005F6CA9">
        <w:t xml:space="preserve">, 1995. 4.oktobris, </w:t>
      </w:r>
      <w:proofErr w:type="spellStart"/>
      <w:r w:rsidRPr="005F6CA9">
        <w:t>nr.</w:t>
      </w:r>
      <w:proofErr w:type="spellEnd"/>
      <w:r w:rsidRPr="005F6CA9">
        <w:t xml:space="preserve"> 152. </w:t>
      </w:r>
    </w:p>
  </w:footnote>
  <w:footnote w:id="57">
    <w:p w14:paraId="5D3447EA" w14:textId="77777777" w:rsidR="000C7C76" w:rsidRPr="005F6CA9" w:rsidRDefault="000C7C76" w:rsidP="00114953">
      <w:pPr>
        <w:pStyle w:val="FootnoteText"/>
        <w:jc w:val="both"/>
        <w:rPr>
          <w:lang w:val="lv-LV"/>
        </w:rPr>
      </w:pPr>
      <w:r w:rsidRPr="005F6CA9">
        <w:rPr>
          <w:rStyle w:val="FootnoteReference"/>
        </w:rPr>
        <w:footnoteRef/>
      </w:r>
      <w:r w:rsidRPr="005F6CA9">
        <w:t xml:space="preserve"> 1994.gada 21.februāra </w:t>
      </w:r>
      <w:proofErr w:type="spellStart"/>
      <w:r w:rsidRPr="005F6CA9">
        <w:t>Līgums</w:t>
      </w:r>
      <w:proofErr w:type="spellEnd"/>
      <w:r w:rsidRPr="005F6CA9">
        <w:t xml:space="preserve"> </w:t>
      </w:r>
      <w:proofErr w:type="spellStart"/>
      <w:r w:rsidRPr="005F6CA9">
        <w:t>starp</w:t>
      </w:r>
      <w:proofErr w:type="spellEnd"/>
      <w:r w:rsidRPr="005F6CA9">
        <w:t xml:space="preserve"> Latvijas </w:t>
      </w:r>
      <w:proofErr w:type="spellStart"/>
      <w:r w:rsidRPr="005F6CA9">
        <w:t>Republiku</w:t>
      </w:r>
      <w:proofErr w:type="spellEnd"/>
      <w:r w:rsidRPr="005F6CA9">
        <w:t xml:space="preserve"> </w:t>
      </w:r>
      <w:proofErr w:type="spellStart"/>
      <w:r w:rsidRPr="005F6CA9">
        <w:t>un</w:t>
      </w:r>
      <w:proofErr w:type="spellEnd"/>
      <w:r w:rsidRPr="005F6CA9">
        <w:t xml:space="preserve"> </w:t>
      </w:r>
      <w:proofErr w:type="spellStart"/>
      <w:r w:rsidRPr="005F6CA9">
        <w:t>Baltkrievijas</w:t>
      </w:r>
      <w:proofErr w:type="spellEnd"/>
      <w:r w:rsidRPr="005F6CA9">
        <w:t xml:space="preserve"> </w:t>
      </w:r>
      <w:proofErr w:type="spellStart"/>
      <w:r w:rsidRPr="005F6CA9">
        <w:t>Republiku</w:t>
      </w:r>
      <w:proofErr w:type="spellEnd"/>
      <w:r w:rsidRPr="005F6CA9">
        <w:t xml:space="preserve"> par </w:t>
      </w:r>
      <w:proofErr w:type="spellStart"/>
      <w:r w:rsidRPr="005F6CA9">
        <w:t>tiesisko</w:t>
      </w:r>
      <w:proofErr w:type="spellEnd"/>
      <w:r w:rsidRPr="005F6CA9">
        <w:t xml:space="preserve"> </w:t>
      </w:r>
      <w:proofErr w:type="spellStart"/>
      <w:r w:rsidRPr="005F6CA9">
        <w:t>palīdzību</w:t>
      </w:r>
      <w:proofErr w:type="spellEnd"/>
      <w:r w:rsidRPr="005F6CA9">
        <w:t xml:space="preserve"> </w:t>
      </w:r>
      <w:proofErr w:type="spellStart"/>
      <w:r w:rsidRPr="005F6CA9">
        <w:t>un</w:t>
      </w:r>
      <w:proofErr w:type="spellEnd"/>
      <w:r w:rsidRPr="005F6CA9">
        <w:t xml:space="preserve"> </w:t>
      </w:r>
      <w:proofErr w:type="spellStart"/>
      <w:r w:rsidRPr="005F6CA9">
        <w:t>tiesiskajām</w:t>
      </w:r>
      <w:proofErr w:type="spellEnd"/>
      <w:r w:rsidRPr="005F6CA9">
        <w:t xml:space="preserve"> </w:t>
      </w:r>
      <w:proofErr w:type="spellStart"/>
      <w:r w:rsidRPr="005F6CA9">
        <w:t>attiecībām</w:t>
      </w:r>
      <w:proofErr w:type="spellEnd"/>
      <w:r w:rsidRPr="005F6CA9">
        <w:t xml:space="preserve"> </w:t>
      </w:r>
      <w:proofErr w:type="spellStart"/>
      <w:r w:rsidRPr="005F6CA9">
        <w:t>civilajās</w:t>
      </w:r>
      <w:proofErr w:type="spellEnd"/>
      <w:r w:rsidRPr="005F6CA9">
        <w:t xml:space="preserve">, </w:t>
      </w:r>
      <w:proofErr w:type="spellStart"/>
      <w:r w:rsidRPr="005F6CA9">
        <w:t>ģimenes</w:t>
      </w:r>
      <w:proofErr w:type="spellEnd"/>
      <w:r w:rsidRPr="005F6CA9">
        <w:t xml:space="preserve">, </w:t>
      </w:r>
      <w:proofErr w:type="spellStart"/>
      <w:r w:rsidRPr="005F6CA9">
        <w:t>darba</w:t>
      </w:r>
      <w:proofErr w:type="spellEnd"/>
      <w:r w:rsidRPr="005F6CA9">
        <w:t xml:space="preserve"> </w:t>
      </w:r>
      <w:proofErr w:type="spellStart"/>
      <w:r w:rsidRPr="005F6CA9">
        <w:t>un</w:t>
      </w:r>
      <w:proofErr w:type="spellEnd"/>
      <w:r w:rsidRPr="005F6CA9">
        <w:t xml:space="preserve"> </w:t>
      </w:r>
      <w:proofErr w:type="spellStart"/>
      <w:r w:rsidRPr="005F6CA9">
        <w:t>krimināllietās</w:t>
      </w:r>
      <w:proofErr w:type="spellEnd"/>
      <w:r w:rsidRPr="005F6CA9">
        <w:t xml:space="preserve">: LR </w:t>
      </w:r>
      <w:proofErr w:type="spellStart"/>
      <w:r w:rsidRPr="005F6CA9">
        <w:t>starptautisks</w:t>
      </w:r>
      <w:proofErr w:type="spellEnd"/>
      <w:r w:rsidRPr="005F6CA9">
        <w:t xml:space="preserve"> </w:t>
      </w:r>
      <w:proofErr w:type="spellStart"/>
      <w:r w:rsidRPr="005F6CA9">
        <w:t>līgums</w:t>
      </w:r>
      <w:proofErr w:type="spellEnd"/>
      <w:r w:rsidRPr="005F6CA9">
        <w:t xml:space="preserve">. Latvijas </w:t>
      </w:r>
      <w:proofErr w:type="spellStart"/>
      <w:r w:rsidRPr="005F6CA9">
        <w:t>Vēstnesis</w:t>
      </w:r>
      <w:proofErr w:type="spellEnd"/>
      <w:r w:rsidRPr="005F6CA9">
        <w:t xml:space="preserve">, 1995. 7.februāris, </w:t>
      </w:r>
      <w:proofErr w:type="spellStart"/>
      <w:r w:rsidRPr="005F6CA9">
        <w:t>nr.</w:t>
      </w:r>
      <w:proofErr w:type="spellEnd"/>
      <w:r w:rsidRPr="005F6CA9">
        <w:t xml:space="preserve"> 19. </w:t>
      </w:r>
    </w:p>
  </w:footnote>
  <w:footnote w:id="58">
    <w:p w14:paraId="39B7CBBA" w14:textId="77777777" w:rsidR="000C7C76" w:rsidRPr="005F6CA9" w:rsidRDefault="000C7C76" w:rsidP="00114953">
      <w:pPr>
        <w:pStyle w:val="FootnoteText"/>
        <w:jc w:val="both"/>
        <w:rPr>
          <w:lang w:val="lv-LV"/>
        </w:rPr>
      </w:pPr>
      <w:r w:rsidRPr="005F6CA9">
        <w:rPr>
          <w:rStyle w:val="FootnoteReference"/>
        </w:rPr>
        <w:footnoteRef/>
      </w:r>
      <w:r w:rsidRPr="005F6CA9">
        <w:t xml:space="preserve"> 1994.gada 23.februāra </w:t>
      </w:r>
      <w:proofErr w:type="spellStart"/>
      <w:r w:rsidRPr="005F6CA9">
        <w:t>Līgums</w:t>
      </w:r>
      <w:proofErr w:type="spellEnd"/>
      <w:r w:rsidRPr="005F6CA9">
        <w:t xml:space="preserve"> </w:t>
      </w:r>
      <w:proofErr w:type="spellStart"/>
      <w:r w:rsidRPr="005F6CA9">
        <w:t>starp</w:t>
      </w:r>
      <w:proofErr w:type="spellEnd"/>
      <w:r w:rsidRPr="005F6CA9">
        <w:t xml:space="preserve"> Latvijas </w:t>
      </w:r>
      <w:proofErr w:type="spellStart"/>
      <w:r w:rsidRPr="005F6CA9">
        <w:t>Republiku</w:t>
      </w:r>
      <w:proofErr w:type="spellEnd"/>
      <w:r w:rsidRPr="005F6CA9">
        <w:t xml:space="preserve"> </w:t>
      </w:r>
      <w:proofErr w:type="spellStart"/>
      <w:r w:rsidRPr="005F6CA9">
        <w:t>un</w:t>
      </w:r>
      <w:proofErr w:type="spellEnd"/>
      <w:r w:rsidRPr="005F6CA9">
        <w:t xml:space="preserve"> </w:t>
      </w:r>
      <w:proofErr w:type="spellStart"/>
      <w:r w:rsidRPr="005F6CA9">
        <w:t>Polijas</w:t>
      </w:r>
      <w:proofErr w:type="spellEnd"/>
      <w:r w:rsidRPr="005F6CA9">
        <w:t xml:space="preserve"> </w:t>
      </w:r>
      <w:proofErr w:type="spellStart"/>
      <w:r w:rsidRPr="005F6CA9">
        <w:t>Republiku</w:t>
      </w:r>
      <w:proofErr w:type="spellEnd"/>
      <w:r w:rsidRPr="005F6CA9">
        <w:t xml:space="preserve"> par </w:t>
      </w:r>
      <w:proofErr w:type="spellStart"/>
      <w:r w:rsidRPr="005F6CA9">
        <w:t>tiesisko</w:t>
      </w:r>
      <w:proofErr w:type="spellEnd"/>
      <w:r w:rsidRPr="005F6CA9">
        <w:t xml:space="preserve"> </w:t>
      </w:r>
      <w:proofErr w:type="spellStart"/>
      <w:r w:rsidRPr="005F6CA9">
        <w:t>palīdzību</w:t>
      </w:r>
      <w:proofErr w:type="spellEnd"/>
      <w:r w:rsidRPr="005F6CA9">
        <w:t xml:space="preserve"> </w:t>
      </w:r>
      <w:proofErr w:type="spellStart"/>
      <w:r w:rsidRPr="005F6CA9">
        <w:t>un</w:t>
      </w:r>
      <w:proofErr w:type="spellEnd"/>
      <w:r w:rsidRPr="005F6CA9">
        <w:t xml:space="preserve"> </w:t>
      </w:r>
      <w:proofErr w:type="spellStart"/>
      <w:r w:rsidRPr="005F6CA9">
        <w:t>tiesiskajām</w:t>
      </w:r>
      <w:proofErr w:type="spellEnd"/>
      <w:r w:rsidRPr="005F6CA9">
        <w:t xml:space="preserve"> </w:t>
      </w:r>
      <w:proofErr w:type="spellStart"/>
      <w:r w:rsidRPr="005F6CA9">
        <w:t>attiecībām</w:t>
      </w:r>
      <w:proofErr w:type="spellEnd"/>
      <w:r w:rsidRPr="005F6CA9">
        <w:t xml:space="preserve"> </w:t>
      </w:r>
      <w:proofErr w:type="spellStart"/>
      <w:r w:rsidRPr="005F6CA9">
        <w:t>civilajās</w:t>
      </w:r>
      <w:proofErr w:type="spellEnd"/>
      <w:r w:rsidRPr="005F6CA9">
        <w:t xml:space="preserve">, </w:t>
      </w:r>
      <w:proofErr w:type="spellStart"/>
      <w:r w:rsidRPr="005F6CA9">
        <w:t>ģimenes</w:t>
      </w:r>
      <w:proofErr w:type="spellEnd"/>
      <w:r w:rsidRPr="005F6CA9">
        <w:t xml:space="preserve">, </w:t>
      </w:r>
      <w:proofErr w:type="spellStart"/>
      <w:r w:rsidRPr="005F6CA9">
        <w:t>darba</w:t>
      </w:r>
      <w:proofErr w:type="spellEnd"/>
      <w:r w:rsidRPr="005F6CA9">
        <w:t xml:space="preserve"> </w:t>
      </w:r>
      <w:proofErr w:type="spellStart"/>
      <w:r w:rsidRPr="005F6CA9">
        <w:t>un</w:t>
      </w:r>
      <w:proofErr w:type="spellEnd"/>
      <w:r w:rsidRPr="005F6CA9">
        <w:t xml:space="preserve"> </w:t>
      </w:r>
      <w:proofErr w:type="spellStart"/>
      <w:r w:rsidRPr="005F6CA9">
        <w:t>krimināllietās</w:t>
      </w:r>
      <w:proofErr w:type="spellEnd"/>
      <w:r w:rsidRPr="005F6CA9">
        <w:t xml:space="preserve">: LR </w:t>
      </w:r>
      <w:proofErr w:type="spellStart"/>
      <w:r w:rsidRPr="005F6CA9">
        <w:t>starptautisks</w:t>
      </w:r>
      <w:proofErr w:type="spellEnd"/>
      <w:r w:rsidRPr="005F6CA9">
        <w:t xml:space="preserve"> </w:t>
      </w:r>
      <w:proofErr w:type="spellStart"/>
      <w:r w:rsidRPr="005F6CA9">
        <w:t>līgums</w:t>
      </w:r>
      <w:proofErr w:type="spellEnd"/>
      <w:r w:rsidRPr="005F6CA9">
        <w:t xml:space="preserve">. Latvijas </w:t>
      </w:r>
      <w:proofErr w:type="spellStart"/>
      <w:r w:rsidRPr="005F6CA9">
        <w:t>Vēstnesis</w:t>
      </w:r>
      <w:proofErr w:type="spellEnd"/>
      <w:r w:rsidRPr="005F6CA9">
        <w:t xml:space="preserve">, 1995. 7.februāris, </w:t>
      </w:r>
      <w:proofErr w:type="spellStart"/>
      <w:r w:rsidRPr="005F6CA9">
        <w:t>nr.</w:t>
      </w:r>
      <w:proofErr w:type="spellEnd"/>
      <w:r w:rsidRPr="005F6CA9">
        <w:t xml:space="preserve"> 19. </w:t>
      </w:r>
    </w:p>
  </w:footnote>
  <w:footnote w:id="59">
    <w:p w14:paraId="5B0F71BD" w14:textId="112E4E1F" w:rsidR="000C7C76" w:rsidRPr="005F6CA9" w:rsidRDefault="000C7C76" w:rsidP="00114953">
      <w:pPr>
        <w:pStyle w:val="FootnoteText"/>
        <w:jc w:val="both"/>
        <w:rPr>
          <w:lang w:val="lv-LV"/>
        </w:rPr>
      </w:pPr>
      <w:r w:rsidRPr="005F6CA9">
        <w:rPr>
          <w:rStyle w:val="FootnoteReference"/>
        </w:rPr>
        <w:footnoteRef/>
      </w:r>
      <w:r w:rsidRPr="005F6CA9">
        <w:t xml:space="preserve"> </w:t>
      </w:r>
      <w:r w:rsidRPr="005F6CA9">
        <w:rPr>
          <w:lang w:val="lv-LV"/>
        </w:rPr>
        <w:t>Sk</w:t>
      </w:r>
      <w:r>
        <w:rPr>
          <w:lang w:val="lv-LV"/>
        </w:rPr>
        <w:t>at</w:t>
      </w:r>
      <w:r w:rsidRPr="005F6CA9">
        <w:rPr>
          <w:lang w:val="lv-LV"/>
        </w:rPr>
        <w:t>., piemēram, Roma I Regulas 25.panta otro daļu, kā arī Paziņojumus saskaņā ar 26.panta 1.punktu Eiropas Parlamenta un Padomes Regulā (EK) Nr. 593/2008 par tiesību aktiem, kas piemērojami līgumsaistībām (Roma I) (2010/C 343/04). OV C 343, 17.12.2010., 3.-6.lpp.</w:t>
      </w:r>
    </w:p>
  </w:footnote>
  <w:footnote w:id="60">
    <w:p w14:paraId="7A8B5153" w14:textId="77777777" w:rsidR="000C7C76" w:rsidRPr="005F6CA9" w:rsidRDefault="000C7C76" w:rsidP="00114953">
      <w:pPr>
        <w:pStyle w:val="FootnoteText"/>
        <w:jc w:val="both"/>
        <w:rPr>
          <w:lang w:val="lv-LV"/>
        </w:rPr>
      </w:pPr>
      <w:r w:rsidRPr="005F6CA9">
        <w:rPr>
          <w:rStyle w:val="FootnoteReference"/>
        </w:rPr>
        <w:footnoteRef/>
      </w:r>
      <w:r w:rsidRPr="005F6CA9">
        <w:t xml:space="preserve"> 1995.gada 23.maija Latvijas </w:t>
      </w:r>
      <w:proofErr w:type="spellStart"/>
      <w:r w:rsidRPr="005F6CA9">
        <w:t>Republikas</w:t>
      </w:r>
      <w:proofErr w:type="spellEnd"/>
      <w:r w:rsidRPr="005F6CA9">
        <w:t xml:space="preserve"> </w:t>
      </w:r>
      <w:proofErr w:type="spellStart"/>
      <w:r w:rsidRPr="005F6CA9">
        <w:t>un</w:t>
      </w:r>
      <w:proofErr w:type="spellEnd"/>
      <w:r w:rsidRPr="005F6CA9">
        <w:t xml:space="preserve"> </w:t>
      </w:r>
      <w:proofErr w:type="spellStart"/>
      <w:r w:rsidRPr="005F6CA9">
        <w:t>Ukrainas</w:t>
      </w:r>
      <w:proofErr w:type="spellEnd"/>
      <w:r w:rsidRPr="005F6CA9">
        <w:t xml:space="preserve"> </w:t>
      </w:r>
      <w:proofErr w:type="spellStart"/>
      <w:r w:rsidRPr="005F6CA9">
        <w:t>līgums</w:t>
      </w:r>
      <w:proofErr w:type="spellEnd"/>
      <w:r w:rsidRPr="005F6CA9">
        <w:t xml:space="preserve"> par </w:t>
      </w:r>
      <w:proofErr w:type="spellStart"/>
      <w:r w:rsidRPr="005F6CA9">
        <w:t>tiesisko</w:t>
      </w:r>
      <w:proofErr w:type="spellEnd"/>
      <w:r w:rsidRPr="005F6CA9">
        <w:t xml:space="preserve"> </w:t>
      </w:r>
      <w:proofErr w:type="spellStart"/>
      <w:r w:rsidRPr="005F6CA9">
        <w:t>palīdzību</w:t>
      </w:r>
      <w:proofErr w:type="spellEnd"/>
      <w:r w:rsidRPr="005F6CA9">
        <w:t xml:space="preserve"> </w:t>
      </w:r>
      <w:proofErr w:type="spellStart"/>
      <w:r w:rsidRPr="005F6CA9">
        <w:t>un</w:t>
      </w:r>
      <w:proofErr w:type="spellEnd"/>
      <w:r w:rsidRPr="005F6CA9">
        <w:t xml:space="preserve"> </w:t>
      </w:r>
      <w:proofErr w:type="spellStart"/>
      <w:r w:rsidRPr="005F6CA9">
        <w:t>tiesiskajām</w:t>
      </w:r>
      <w:proofErr w:type="spellEnd"/>
      <w:r w:rsidRPr="005F6CA9">
        <w:t xml:space="preserve"> </w:t>
      </w:r>
      <w:proofErr w:type="spellStart"/>
      <w:r w:rsidRPr="005F6CA9">
        <w:t>attiecībām</w:t>
      </w:r>
      <w:proofErr w:type="spellEnd"/>
      <w:r w:rsidRPr="005F6CA9">
        <w:t xml:space="preserve"> </w:t>
      </w:r>
      <w:proofErr w:type="spellStart"/>
      <w:r w:rsidRPr="005F6CA9">
        <w:t>civilajās</w:t>
      </w:r>
      <w:proofErr w:type="spellEnd"/>
      <w:r w:rsidRPr="005F6CA9">
        <w:t xml:space="preserve">, </w:t>
      </w:r>
      <w:proofErr w:type="spellStart"/>
      <w:r w:rsidRPr="005F6CA9">
        <w:t>ģimenes</w:t>
      </w:r>
      <w:proofErr w:type="spellEnd"/>
      <w:r w:rsidRPr="005F6CA9">
        <w:t xml:space="preserve">, </w:t>
      </w:r>
      <w:proofErr w:type="spellStart"/>
      <w:r w:rsidRPr="005F6CA9">
        <w:t>darba</w:t>
      </w:r>
      <w:proofErr w:type="spellEnd"/>
      <w:r w:rsidRPr="005F6CA9">
        <w:t xml:space="preserve"> </w:t>
      </w:r>
      <w:proofErr w:type="spellStart"/>
      <w:r w:rsidRPr="005F6CA9">
        <w:t>un</w:t>
      </w:r>
      <w:proofErr w:type="spellEnd"/>
      <w:r w:rsidRPr="005F6CA9">
        <w:t xml:space="preserve"> </w:t>
      </w:r>
      <w:proofErr w:type="spellStart"/>
      <w:r w:rsidRPr="005F6CA9">
        <w:t>krimināllietās</w:t>
      </w:r>
      <w:proofErr w:type="spellEnd"/>
      <w:r w:rsidRPr="005F6CA9">
        <w:t xml:space="preserve">: LR </w:t>
      </w:r>
      <w:proofErr w:type="spellStart"/>
      <w:r w:rsidRPr="005F6CA9">
        <w:t>starptautisks</w:t>
      </w:r>
      <w:proofErr w:type="spellEnd"/>
      <w:r w:rsidRPr="005F6CA9">
        <w:t xml:space="preserve"> </w:t>
      </w:r>
      <w:proofErr w:type="spellStart"/>
      <w:r w:rsidRPr="005F6CA9">
        <w:t>līgums</w:t>
      </w:r>
      <w:proofErr w:type="spellEnd"/>
      <w:r w:rsidRPr="005F6CA9">
        <w:t xml:space="preserve">. Latvijas </w:t>
      </w:r>
      <w:proofErr w:type="spellStart"/>
      <w:r w:rsidRPr="005F6CA9">
        <w:t>Vēstnesis</w:t>
      </w:r>
      <w:proofErr w:type="spellEnd"/>
      <w:r w:rsidRPr="005F6CA9">
        <w:t xml:space="preserve">, 1995. 1.novembris, </w:t>
      </w:r>
      <w:proofErr w:type="spellStart"/>
      <w:r w:rsidRPr="005F6CA9">
        <w:t>nr.</w:t>
      </w:r>
      <w:proofErr w:type="spellEnd"/>
      <w:r w:rsidRPr="005F6CA9">
        <w:t xml:space="preserve"> 169. </w:t>
      </w:r>
    </w:p>
  </w:footnote>
  <w:footnote w:id="61">
    <w:p w14:paraId="4DBBCC0C" w14:textId="77777777" w:rsidR="000C7C76" w:rsidRPr="005F6CA9" w:rsidRDefault="000C7C76" w:rsidP="00114953">
      <w:pPr>
        <w:pStyle w:val="FootnoteText"/>
        <w:jc w:val="both"/>
        <w:rPr>
          <w:lang w:val="lv-LV"/>
        </w:rPr>
      </w:pPr>
      <w:r w:rsidRPr="005F6CA9">
        <w:rPr>
          <w:rStyle w:val="FootnoteReference"/>
        </w:rPr>
        <w:footnoteRef/>
      </w:r>
      <w:r w:rsidRPr="005F6CA9">
        <w:t xml:space="preserve"> 1996.gada 23.maija </w:t>
      </w:r>
      <w:proofErr w:type="spellStart"/>
      <w:r w:rsidRPr="005F6CA9">
        <w:t>Līgums</w:t>
      </w:r>
      <w:proofErr w:type="spellEnd"/>
      <w:r w:rsidRPr="005F6CA9">
        <w:t xml:space="preserve"> </w:t>
      </w:r>
      <w:proofErr w:type="spellStart"/>
      <w:r w:rsidRPr="005F6CA9">
        <w:t>starp</w:t>
      </w:r>
      <w:proofErr w:type="spellEnd"/>
      <w:r w:rsidRPr="005F6CA9">
        <w:t xml:space="preserve"> Latvijas </w:t>
      </w:r>
      <w:proofErr w:type="spellStart"/>
      <w:r w:rsidRPr="005F6CA9">
        <w:t>Republiku</w:t>
      </w:r>
      <w:proofErr w:type="spellEnd"/>
      <w:r w:rsidRPr="005F6CA9">
        <w:t xml:space="preserve"> </w:t>
      </w:r>
      <w:proofErr w:type="spellStart"/>
      <w:r w:rsidRPr="005F6CA9">
        <w:t>un</w:t>
      </w:r>
      <w:proofErr w:type="spellEnd"/>
      <w:r w:rsidRPr="005F6CA9">
        <w:t xml:space="preserve"> </w:t>
      </w:r>
      <w:proofErr w:type="spellStart"/>
      <w:r w:rsidRPr="005F6CA9">
        <w:t>Uzbekistānas</w:t>
      </w:r>
      <w:proofErr w:type="spellEnd"/>
      <w:r w:rsidRPr="005F6CA9">
        <w:t xml:space="preserve"> </w:t>
      </w:r>
      <w:proofErr w:type="spellStart"/>
      <w:r w:rsidRPr="005F6CA9">
        <w:t>Republiku</w:t>
      </w:r>
      <w:proofErr w:type="spellEnd"/>
      <w:r w:rsidRPr="005F6CA9">
        <w:t xml:space="preserve"> par </w:t>
      </w:r>
      <w:proofErr w:type="spellStart"/>
      <w:r w:rsidRPr="005F6CA9">
        <w:t>tiesisko</w:t>
      </w:r>
      <w:proofErr w:type="spellEnd"/>
      <w:r w:rsidRPr="005F6CA9">
        <w:t xml:space="preserve"> </w:t>
      </w:r>
      <w:proofErr w:type="spellStart"/>
      <w:r w:rsidRPr="005F6CA9">
        <w:t>palīdzību</w:t>
      </w:r>
      <w:proofErr w:type="spellEnd"/>
      <w:r w:rsidRPr="005F6CA9">
        <w:t xml:space="preserve"> </w:t>
      </w:r>
      <w:proofErr w:type="spellStart"/>
      <w:r w:rsidRPr="005F6CA9">
        <w:t>un</w:t>
      </w:r>
      <w:proofErr w:type="spellEnd"/>
      <w:r w:rsidRPr="005F6CA9">
        <w:t xml:space="preserve"> </w:t>
      </w:r>
      <w:proofErr w:type="spellStart"/>
      <w:r w:rsidRPr="005F6CA9">
        <w:t>tiesiskajām</w:t>
      </w:r>
      <w:proofErr w:type="spellEnd"/>
      <w:r w:rsidRPr="005F6CA9">
        <w:t xml:space="preserve"> </w:t>
      </w:r>
      <w:proofErr w:type="spellStart"/>
      <w:r w:rsidRPr="005F6CA9">
        <w:t>attiecībām</w:t>
      </w:r>
      <w:proofErr w:type="spellEnd"/>
      <w:r w:rsidRPr="005F6CA9">
        <w:t xml:space="preserve"> </w:t>
      </w:r>
      <w:proofErr w:type="spellStart"/>
      <w:r w:rsidRPr="005F6CA9">
        <w:t>civilajās</w:t>
      </w:r>
      <w:proofErr w:type="spellEnd"/>
      <w:r w:rsidRPr="005F6CA9">
        <w:t xml:space="preserve">, </w:t>
      </w:r>
      <w:proofErr w:type="spellStart"/>
      <w:r w:rsidRPr="005F6CA9">
        <w:t>ģimenes</w:t>
      </w:r>
      <w:proofErr w:type="spellEnd"/>
      <w:r w:rsidRPr="005F6CA9">
        <w:t xml:space="preserve">, </w:t>
      </w:r>
      <w:proofErr w:type="spellStart"/>
      <w:r w:rsidRPr="005F6CA9">
        <w:t>darba</w:t>
      </w:r>
      <w:proofErr w:type="spellEnd"/>
      <w:r w:rsidRPr="005F6CA9">
        <w:t xml:space="preserve"> </w:t>
      </w:r>
      <w:proofErr w:type="spellStart"/>
      <w:r w:rsidRPr="005F6CA9">
        <w:t>un</w:t>
      </w:r>
      <w:proofErr w:type="spellEnd"/>
      <w:r w:rsidRPr="005F6CA9">
        <w:t xml:space="preserve"> </w:t>
      </w:r>
      <w:proofErr w:type="spellStart"/>
      <w:r w:rsidRPr="005F6CA9">
        <w:t>krimināllietās</w:t>
      </w:r>
      <w:proofErr w:type="spellEnd"/>
      <w:r w:rsidRPr="005F6CA9">
        <w:t xml:space="preserve">: LR </w:t>
      </w:r>
      <w:proofErr w:type="spellStart"/>
      <w:r w:rsidRPr="005F6CA9">
        <w:t>starptautisks</w:t>
      </w:r>
      <w:proofErr w:type="spellEnd"/>
      <w:r w:rsidRPr="005F6CA9">
        <w:t xml:space="preserve"> </w:t>
      </w:r>
      <w:proofErr w:type="spellStart"/>
      <w:r w:rsidRPr="005F6CA9">
        <w:t>līgums</w:t>
      </w:r>
      <w:proofErr w:type="spellEnd"/>
      <w:r w:rsidRPr="005F6CA9">
        <w:t xml:space="preserve">. Latvijas </w:t>
      </w:r>
      <w:proofErr w:type="spellStart"/>
      <w:r w:rsidRPr="005F6CA9">
        <w:t>Vēstnesis</w:t>
      </w:r>
      <w:proofErr w:type="spellEnd"/>
      <w:r w:rsidRPr="005F6CA9">
        <w:t xml:space="preserve">, 1996. 27.septembris, </w:t>
      </w:r>
      <w:proofErr w:type="spellStart"/>
      <w:r w:rsidRPr="005F6CA9">
        <w:t>nr.</w:t>
      </w:r>
      <w:proofErr w:type="spellEnd"/>
      <w:r w:rsidRPr="005F6CA9">
        <w:t xml:space="preserve"> 162/163. </w:t>
      </w:r>
    </w:p>
  </w:footnote>
  <w:footnote w:id="62">
    <w:p w14:paraId="388FBB9B" w14:textId="77777777" w:rsidR="000C7C76" w:rsidRPr="005F6CA9" w:rsidRDefault="000C7C76" w:rsidP="00114953">
      <w:pPr>
        <w:pStyle w:val="FootnoteText"/>
        <w:jc w:val="both"/>
        <w:rPr>
          <w:lang w:val="lv-LV"/>
        </w:rPr>
      </w:pPr>
      <w:r w:rsidRPr="005F6CA9">
        <w:rPr>
          <w:rStyle w:val="FootnoteReference"/>
        </w:rPr>
        <w:footnoteRef/>
      </w:r>
      <w:r w:rsidRPr="005F6CA9">
        <w:t xml:space="preserve"> 1997.gada 10.aprīļa </w:t>
      </w:r>
      <w:proofErr w:type="spellStart"/>
      <w:r w:rsidRPr="005F6CA9">
        <w:t>Līgums</w:t>
      </w:r>
      <w:proofErr w:type="spellEnd"/>
      <w:r w:rsidRPr="005F6CA9">
        <w:t xml:space="preserve"> </w:t>
      </w:r>
      <w:proofErr w:type="spellStart"/>
      <w:r w:rsidRPr="005F6CA9">
        <w:t>starp</w:t>
      </w:r>
      <w:proofErr w:type="spellEnd"/>
      <w:r w:rsidRPr="005F6CA9">
        <w:t xml:space="preserve"> Latvijas </w:t>
      </w:r>
      <w:proofErr w:type="spellStart"/>
      <w:r w:rsidRPr="005F6CA9">
        <w:t>Republiku</w:t>
      </w:r>
      <w:proofErr w:type="spellEnd"/>
      <w:r w:rsidRPr="005F6CA9">
        <w:t xml:space="preserve"> </w:t>
      </w:r>
      <w:proofErr w:type="spellStart"/>
      <w:r w:rsidRPr="005F6CA9">
        <w:t>un</w:t>
      </w:r>
      <w:proofErr w:type="spellEnd"/>
      <w:r w:rsidRPr="005F6CA9">
        <w:t xml:space="preserve"> </w:t>
      </w:r>
      <w:proofErr w:type="spellStart"/>
      <w:r w:rsidRPr="005F6CA9">
        <w:t>Kirgizstānas</w:t>
      </w:r>
      <w:proofErr w:type="spellEnd"/>
      <w:r w:rsidRPr="005F6CA9">
        <w:t xml:space="preserve"> </w:t>
      </w:r>
      <w:proofErr w:type="spellStart"/>
      <w:r w:rsidRPr="005F6CA9">
        <w:t>Republiku</w:t>
      </w:r>
      <w:proofErr w:type="spellEnd"/>
      <w:r w:rsidRPr="005F6CA9">
        <w:t xml:space="preserve"> par </w:t>
      </w:r>
      <w:proofErr w:type="spellStart"/>
      <w:r w:rsidRPr="005F6CA9">
        <w:t>tiesisko</w:t>
      </w:r>
      <w:proofErr w:type="spellEnd"/>
      <w:r w:rsidRPr="005F6CA9">
        <w:t xml:space="preserve"> </w:t>
      </w:r>
      <w:proofErr w:type="spellStart"/>
      <w:r w:rsidRPr="005F6CA9">
        <w:t>palīdzību</w:t>
      </w:r>
      <w:proofErr w:type="spellEnd"/>
      <w:r w:rsidRPr="005F6CA9">
        <w:t xml:space="preserve"> </w:t>
      </w:r>
      <w:proofErr w:type="spellStart"/>
      <w:r w:rsidRPr="005F6CA9">
        <w:t>un</w:t>
      </w:r>
      <w:proofErr w:type="spellEnd"/>
      <w:r w:rsidRPr="005F6CA9">
        <w:t xml:space="preserve"> </w:t>
      </w:r>
      <w:proofErr w:type="spellStart"/>
      <w:r w:rsidRPr="005F6CA9">
        <w:t>tiesiskajām</w:t>
      </w:r>
      <w:proofErr w:type="spellEnd"/>
      <w:r w:rsidRPr="005F6CA9">
        <w:t xml:space="preserve"> </w:t>
      </w:r>
      <w:proofErr w:type="spellStart"/>
      <w:r w:rsidRPr="005F6CA9">
        <w:t>attiecībām</w:t>
      </w:r>
      <w:proofErr w:type="spellEnd"/>
      <w:r w:rsidRPr="005F6CA9">
        <w:t xml:space="preserve"> </w:t>
      </w:r>
      <w:proofErr w:type="spellStart"/>
      <w:r w:rsidRPr="005F6CA9">
        <w:t>civilajās</w:t>
      </w:r>
      <w:proofErr w:type="spellEnd"/>
      <w:r w:rsidRPr="005F6CA9">
        <w:t xml:space="preserve">, </w:t>
      </w:r>
      <w:proofErr w:type="spellStart"/>
      <w:r w:rsidRPr="005F6CA9">
        <w:t>ģimenes</w:t>
      </w:r>
      <w:proofErr w:type="spellEnd"/>
      <w:r w:rsidRPr="005F6CA9">
        <w:t xml:space="preserve">, </w:t>
      </w:r>
      <w:proofErr w:type="spellStart"/>
      <w:r w:rsidRPr="005F6CA9">
        <w:t>darba</w:t>
      </w:r>
      <w:proofErr w:type="spellEnd"/>
      <w:r w:rsidRPr="005F6CA9">
        <w:t xml:space="preserve"> </w:t>
      </w:r>
      <w:proofErr w:type="spellStart"/>
      <w:r w:rsidRPr="005F6CA9">
        <w:t>un</w:t>
      </w:r>
      <w:proofErr w:type="spellEnd"/>
      <w:r w:rsidRPr="005F6CA9">
        <w:t xml:space="preserve"> </w:t>
      </w:r>
      <w:proofErr w:type="spellStart"/>
      <w:r w:rsidRPr="005F6CA9">
        <w:t>krimināllietās</w:t>
      </w:r>
      <w:proofErr w:type="spellEnd"/>
      <w:r w:rsidRPr="005F6CA9">
        <w:t xml:space="preserve">: LR </w:t>
      </w:r>
      <w:proofErr w:type="spellStart"/>
      <w:r w:rsidRPr="005F6CA9">
        <w:t>starptautisks</w:t>
      </w:r>
      <w:proofErr w:type="spellEnd"/>
      <w:r w:rsidRPr="005F6CA9">
        <w:t xml:space="preserve"> </w:t>
      </w:r>
      <w:proofErr w:type="spellStart"/>
      <w:r w:rsidRPr="005F6CA9">
        <w:t>līgums</w:t>
      </w:r>
      <w:proofErr w:type="spellEnd"/>
      <w:r w:rsidRPr="005F6CA9">
        <w:t xml:space="preserve">. Latvijas </w:t>
      </w:r>
      <w:proofErr w:type="spellStart"/>
      <w:r w:rsidRPr="005F6CA9">
        <w:t>Vēstnesis</w:t>
      </w:r>
      <w:proofErr w:type="spellEnd"/>
      <w:r w:rsidRPr="005F6CA9">
        <w:t xml:space="preserve">, 1998. 2.jūnijs, </w:t>
      </w:r>
      <w:proofErr w:type="spellStart"/>
      <w:r w:rsidRPr="005F6CA9">
        <w:t>nr.</w:t>
      </w:r>
      <w:proofErr w:type="spellEnd"/>
      <w:r w:rsidRPr="005F6CA9">
        <w:t xml:space="preserve"> 159/161. </w:t>
      </w:r>
    </w:p>
    <w:p w14:paraId="7D1CFB94" w14:textId="77777777" w:rsidR="000C7C76" w:rsidRPr="005F6CA9" w:rsidRDefault="000C7C76" w:rsidP="00114953">
      <w:pPr>
        <w:pStyle w:val="FootnoteText"/>
        <w:rPr>
          <w:lang w:val="lv-LV"/>
        </w:rPr>
      </w:pPr>
    </w:p>
  </w:footnote>
  <w:footnote w:id="63">
    <w:p w14:paraId="5BEC4789" w14:textId="77777777" w:rsidR="000C7C76" w:rsidRPr="000C7C76" w:rsidRDefault="000C7C76" w:rsidP="00114953">
      <w:pPr>
        <w:pStyle w:val="FootnoteText"/>
        <w:jc w:val="both"/>
        <w:rPr>
          <w:lang w:val="en-US"/>
        </w:rPr>
      </w:pPr>
      <w:r w:rsidRPr="005F6CA9">
        <w:rPr>
          <w:rStyle w:val="FootnoteReference"/>
        </w:rPr>
        <w:footnoteRef/>
      </w:r>
      <w:r w:rsidRPr="005F6CA9">
        <w:t xml:space="preserve"> </w:t>
      </w:r>
      <w:proofErr w:type="spellStart"/>
      <w:r w:rsidRPr="005F6CA9">
        <w:rPr>
          <w:lang w:val="lv-LV"/>
        </w:rPr>
        <w:t>Kropholler</w:t>
      </w:r>
      <w:proofErr w:type="spellEnd"/>
      <w:r w:rsidRPr="005F6CA9">
        <w:rPr>
          <w:lang w:val="lv-LV"/>
        </w:rPr>
        <w:t xml:space="preserve"> J. </w:t>
      </w:r>
      <w:proofErr w:type="spellStart"/>
      <w:r w:rsidRPr="005F6CA9">
        <w:rPr>
          <w:lang w:val="lv-LV"/>
        </w:rPr>
        <w:t>Internationales</w:t>
      </w:r>
      <w:proofErr w:type="spellEnd"/>
      <w:r w:rsidRPr="005F6CA9">
        <w:rPr>
          <w:lang w:val="lv-LV"/>
        </w:rPr>
        <w:t xml:space="preserve"> </w:t>
      </w:r>
      <w:proofErr w:type="spellStart"/>
      <w:r w:rsidRPr="005F6CA9">
        <w:rPr>
          <w:lang w:val="lv-LV"/>
        </w:rPr>
        <w:t>Privatrecht</w:t>
      </w:r>
      <w:proofErr w:type="spellEnd"/>
      <w:r w:rsidRPr="005F6CA9">
        <w:rPr>
          <w:lang w:val="lv-LV"/>
        </w:rPr>
        <w:t>. 5.Auflage. T</w:t>
      </w:r>
      <w:proofErr w:type="spellStart"/>
      <w:r w:rsidRPr="000C7C76">
        <w:t>übingen</w:t>
      </w:r>
      <w:proofErr w:type="spellEnd"/>
      <w:r w:rsidRPr="000C7C76">
        <w:t xml:space="preserve">: Mohr Siebeck Verlag, 2004, S. 129.-132; Heinz N. Das Vollmachtstatut. </w:t>
      </w:r>
      <w:r w:rsidRPr="005F6CA9">
        <w:rPr>
          <w:lang w:val="lv-LV"/>
        </w:rPr>
        <w:t>T</w:t>
      </w:r>
      <w:proofErr w:type="spellStart"/>
      <w:r w:rsidRPr="000C7C76">
        <w:rPr>
          <w:lang w:val="en-US"/>
        </w:rPr>
        <w:t>übingen</w:t>
      </w:r>
      <w:proofErr w:type="spellEnd"/>
      <w:r w:rsidRPr="000C7C76">
        <w:rPr>
          <w:lang w:val="en-US"/>
        </w:rPr>
        <w:t xml:space="preserve">: Mohr </w:t>
      </w:r>
      <w:proofErr w:type="spellStart"/>
      <w:r w:rsidRPr="000C7C76">
        <w:rPr>
          <w:lang w:val="en-US"/>
        </w:rPr>
        <w:t>Siebeck</w:t>
      </w:r>
      <w:proofErr w:type="spellEnd"/>
      <w:r w:rsidRPr="000C7C76">
        <w:rPr>
          <w:lang w:val="en-US"/>
        </w:rPr>
        <w:t xml:space="preserve"> Verlag, 2011, S. 35.</w:t>
      </w:r>
    </w:p>
  </w:footnote>
  <w:footnote w:id="64">
    <w:p w14:paraId="12814CD5" w14:textId="77777777" w:rsidR="000C7C76" w:rsidRPr="000C7C76" w:rsidRDefault="000C7C76" w:rsidP="00114953">
      <w:pPr>
        <w:pStyle w:val="FootnoteText"/>
        <w:jc w:val="both"/>
        <w:rPr>
          <w:lang w:val="en-US"/>
        </w:rPr>
      </w:pPr>
      <w:r w:rsidRPr="005F6CA9">
        <w:rPr>
          <w:rStyle w:val="FootnoteReference"/>
        </w:rPr>
        <w:footnoteRef/>
      </w:r>
      <w:r w:rsidRPr="005F6CA9">
        <w:t xml:space="preserve"> </w:t>
      </w:r>
      <w:r w:rsidRPr="005F6CA9">
        <w:rPr>
          <w:lang w:val="lv-LV"/>
        </w:rPr>
        <w:t>Ferrari F. (</w:t>
      </w:r>
      <w:proofErr w:type="spellStart"/>
      <w:r w:rsidRPr="005F6CA9">
        <w:rPr>
          <w:lang w:val="lv-LV"/>
        </w:rPr>
        <w:t>ed</w:t>
      </w:r>
      <w:proofErr w:type="spellEnd"/>
      <w:r w:rsidRPr="005F6CA9">
        <w:rPr>
          <w:lang w:val="lv-LV"/>
        </w:rPr>
        <w:t>.) / L</w:t>
      </w:r>
      <w:r w:rsidRPr="000C7C76">
        <w:rPr>
          <w:lang w:val="en-US"/>
        </w:rPr>
        <w:t>ü</w:t>
      </w:r>
      <w:proofErr w:type="spellStart"/>
      <w:r w:rsidRPr="005F6CA9">
        <w:rPr>
          <w:lang w:val="lv-LV"/>
        </w:rPr>
        <w:t>ttringhaus</w:t>
      </w:r>
      <w:proofErr w:type="spellEnd"/>
      <w:r w:rsidRPr="005F6CA9">
        <w:rPr>
          <w:lang w:val="lv-LV"/>
        </w:rPr>
        <w:t xml:space="preserve"> J.D. </w:t>
      </w:r>
      <w:proofErr w:type="spellStart"/>
      <w:r w:rsidRPr="005F6CA9">
        <w:rPr>
          <w:lang w:val="lv-LV"/>
        </w:rPr>
        <w:t>Rome</w:t>
      </w:r>
      <w:proofErr w:type="spellEnd"/>
      <w:r w:rsidRPr="005F6CA9">
        <w:rPr>
          <w:lang w:val="lv-LV"/>
        </w:rPr>
        <w:t xml:space="preserve"> I </w:t>
      </w:r>
      <w:proofErr w:type="spellStart"/>
      <w:r w:rsidRPr="005F6CA9">
        <w:rPr>
          <w:lang w:val="lv-LV"/>
        </w:rPr>
        <w:t>Regulation</w:t>
      </w:r>
      <w:proofErr w:type="spellEnd"/>
      <w:r w:rsidRPr="005F6CA9">
        <w:rPr>
          <w:lang w:val="lv-LV"/>
        </w:rPr>
        <w:t xml:space="preserve">. </w:t>
      </w:r>
      <w:proofErr w:type="spellStart"/>
      <w:r w:rsidRPr="005F6CA9">
        <w:rPr>
          <w:lang w:val="lv-LV"/>
        </w:rPr>
        <w:t>Pocket</w:t>
      </w:r>
      <w:proofErr w:type="spellEnd"/>
      <w:r w:rsidRPr="005F6CA9">
        <w:rPr>
          <w:lang w:val="lv-LV"/>
        </w:rPr>
        <w:t xml:space="preserve"> </w:t>
      </w:r>
      <w:proofErr w:type="spellStart"/>
      <w:r w:rsidRPr="005F6CA9">
        <w:rPr>
          <w:lang w:val="lv-LV"/>
        </w:rPr>
        <w:t>Commentary</w:t>
      </w:r>
      <w:proofErr w:type="spellEnd"/>
      <w:r w:rsidRPr="005F6CA9">
        <w:rPr>
          <w:lang w:val="lv-LV"/>
        </w:rPr>
        <w:t xml:space="preserve">. Munich: </w:t>
      </w:r>
      <w:proofErr w:type="spellStart"/>
      <w:r w:rsidRPr="005F6CA9">
        <w:rPr>
          <w:lang w:val="lv-LV"/>
        </w:rPr>
        <w:t>Sellier</w:t>
      </w:r>
      <w:proofErr w:type="spellEnd"/>
      <w:r w:rsidRPr="005F6CA9">
        <w:rPr>
          <w:lang w:val="lv-LV"/>
        </w:rPr>
        <w:t xml:space="preserve">, 2015, Art. 1(2)(b), p. 43 (§ 43); </w:t>
      </w:r>
      <w:proofErr w:type="spellStart"/>
      <w:r w:rsidRPr="005F6CA9">
        <w:rPr>
          <w:lang w:val="lv-LV"/>
        </w:rPr>
        <w:t>Cheshire</w:t>
      </w:r>
      <w:proofErr w:type="spellEnd"/>
      <w:r w:rsidRPr="005F6CA9">
        <w:rPr>
          <w:lang w:val="lv-LV"/>
        </w:rPr>
        <w:t>/North/</w:t>
      </w:r>
      <w:proofErr w:type="spellStart"/>
      <w:r w:rsidRPr="005F6CA9">
        <w:rPr>
          <w:lang w:val="lv-LV"/>
        </w:rPr>
        <w:t>Fawcett</w:t>
      </w:r>
      <w:proofErr w:type="spellEnd"/>
      <w:r w:rsidRPr="005F6CA9">
        <w:rPr>
          <w:lang w:val="lv-LV"/>
        </w:rPr>
        <w:t xml:space="preserve">. </w:t>
      </w:r>
      <w:proofErr w:type="spellStart"/>
      <w:r w:rsidRPr="005F6CA9">
        <w:rPr>
          <w:lang w:val="lv-LV"/>
        </w:rPr>
        <w:t>Private</w:t>
      </w:r>
      <w:proofErr w:type="spellEnd"/>
      <w:r w:rsidRPr="005F6CA9">
        <w:rPr>
          <w:lang w:val="lv-LV"/>
        </w:rPr>
        <w:t xml:space="preserve"> </w:t>
      </w:r>
      <w:proofErr w:type="spellStart"/>
      <w:r w:rsidRPr="005F6CA9">
        <w:rPr>
          <w:lang w:val="lv-LV"/>
        </w:rPr>
        <w:t>International</w:t>
      </w:r>
      <w:proofErr w:type="spellEnd"/>
      <w:r w:rsidRPr="005F6CA9">
        <w:rPr>
          <w:lang w:val="lv-LV"/>
        </w:rPr>
        <w:t xml:space="preserve"> </w:t>
      </w:r>
      <w:proofErr w:type="spellStart"/>
      <w:r w:rsidRPr="005F6CA9">
        <w:rPr>
          <w:lang w:val="lv-LV"/>
        </w:rPr>
        <w:t>Law</w:t>
      </w:r>
      <w:proofErr w:type="spellEnd"/>
      <w:r w:rsidRPr="005F6CA9">
        <w:rPr>
          <w:lang w:val="lv-LV"/>
        </w:rPr>
        <w:t xml:space="preserve">. 14th </w:t>
      </w:r>
      <w:proofErr w:type="spellStart"/>
      <w:r w:rsidRPr="005F6CA9">
        <w:rPr>
          <w:lang w:val="lv-LV"/>
        </w:rPr>
        <w:t>edition</w:t>
      </w:r>
      <w:proofErr w:type="spellEnd"/>
      <w:r w:rsidRPr="005F6CA9">
        <w:rPr>
          <w:lang w:val="lv-LV"/>
        </w:rPr>
        <w:t xml:space="preserve">. </w:t>
      </w:r>
      <w:proofErr w:type="spellStart"/>
      <w:r w:rsidRPr="005F6CA9">
        <w:rPr>
          <w:lang w:val="lv-LV"/>
        </w:rPr>
        <w:t>Oxford</w:t>
      </w:r>
      <w:proofErr w:type="spellEnd"/>
      <w:r w:rsidRPr="005F6CA9">
        <w:rPr>
          <w:lang w:val="lv-LV"/>
        </w:rPr>
        <w:t xml:space="preserve">: </w:t>
      </w:r>
      <w:proofErr w:type="spellStart"/>
      <w:r w:rsidRPr="005F6CA9">
        <w:rPr>
          <w:lang w:val="lv-LV"/>
        </w:rPr>
        <w:t>Oxford</w:t>
      </w:r>
      <w:proofErr w:type="spellEnd"/>
      <w:r w:rsidRPr="005F6CA9">
        <w:rPr>
          <w:lang w:val="lv-LV"/>
        </w:rPr>
        <w:t xml:space="preserve"> </w:t>
      </w:r>
      <w:proofErr w:type="spellStart"/>
      <w:r w:rsidRPr="005F6CA9">
        <w:rPr>
          <w:lang w:val="lv-LV"/>
        </w:rPr>
        <w:t>University</w:t>
      </w:r>
      <w:proofErr w:type="spellEnd"/>
      <w:r w:rsidRPr="005F6CA9">
        <w:rPr>
          <w:lang w:val="lv-LV"/>
        </w:rPr>
        <w:t xml:space="preserve"> </w:t>
      </w:r>
      <w:proofErr w:type="spellStart"/>
      <w:r w:rsidRPr="005F6CA9">
        <w:rPr>
          <w:lang w:val="lv-LV"/>
        </w:rPr>
        <w:t>Press</w:t>
      </w:r>
      <w:proofErr w:type="spellEnd"/>
      <w:r w:rsidRPr="005F6CA9">
        <w:rPr>
          <w:lang w:val="lv-LV"/>
        </w:rPr>
        <w:t>, 2008, p. 681.</w:t>
      </w:r>
    </w:p>
  </w:footnote>
  <w:footnote w:id="65">
    <w:p w14:paraId="056D36BD" w14:textId="77777777" w:rsidR="000C7C76" w:rsidRPr="005F6CA9" w:rsidRDefault="000C7C76" w:rsidP="00114953">
      <w:pPr>
        <w:pStyle w:val="FootnoteText"/>
        <w:jc w:val="both"/>
        <w:rPr>
          <w:lang w:val="lv-LV"/>
        </w:rPr>
      </w:pPr>
      <w:r w:rsidRPr="005F6CA9">
        <w:rPr>
          <w:rStyle w:val="FootnoteReference"/>
        </w:rPr>
        <w:footnoteRef/>
      </w:r>
      <w:r w:rsidRPr="005F6CA9">
        <w:t xml:space="preserve"> </w:t>
      </w:r>
      <w:r w:rsidRPr="005F6CA9">
        <w:rPr>
          <w:lang w:val="lv-LV"/>
        </w:rPr>
        <w:t xml:space="preserve">Stone P. EU </w:t>
      </w:r>
      <w:proofErr w:type="spellStart"/>
      <w:r w:rsidRPr="005F6CA9">
        <w:rPr>
          <w:lang w:val="lv-LV"/>
        </w:rPr>
        <w:t>Private</w:t>
      </w:r>
      <w:proofErr w:type="spellEnd"/>
      <w:r w:rsidRPr="005F6CA9">
        <w:rPr>
          <w:lang w:val="lv-LV"/>
        </w:rPr>
        <w:t xml:space="preserve"> </w:t>
      </w:r>
      <w:proofErr w:type="spellStart"/>
      <w:r w:rsidRPr="005F6CA9">
        <w:rPr>
          <w:lang w:val="lv-LV"/>
        </w:rPr>
        <w:t>International</w:t>
      </w:r>
      <w:proofErr w:type="spellEnd"/>
      <w:r w:rsidRPr="005F6CA9">
        <w:rPr>
          <w:lang w:val="lv-LV"/>
        </w:rPr>
        <w:t xml:space="preserve"> </w:t>
      </w:r>
      <w:proofErr w:type="spellStart"/>
      <w:r w:rsidRPr="005F6CA9">
        <w:rPr>
          <w:lang w:val="lv-LV"/>
        </w:rPr>
        <w:t>Law</w:t>
      </w:r>
      <w:proofErr w:type="spellEnd"/>
      <w:r w:rsidRPr="005F6CA9">
        <w:rPr>
          <w:lang w:val="lv-LV"/>
        </w:rPr>
        <w:t xml:space="preserve">. 2nd </w:t>
      </w:r>
      <w:proofErr w:type="spellStart"/>
      <w:r w:rsidRPr="005F6CA9">
        <w:rPr>
          <w:lang w:val="lv-LV"/>
        </w:rPr>
        <w:t>edition</w:t>
      </w:r>
      <w:proofErr w:type="spellEnd"/>
      <w:r w:rsidRPr="005F6CA9">
        <w:rPr>
          <w:lang w:val="lv-LV"/>
        </w:rPr>
        <w:t xml:space="preserve">. </w:t>
      </w:r>
      <w:proofErr w:type="spellStart"/>
      <w:r w:rsidRPr="005F6CA9">
        <w:rPr>
          <w:lang w:val="lv-LV"/>
        </w:rPr>
        <w:t>Cheltenham</w:t>
      </w:r>
      <w:proofErr w:type="spellEnd"/>
      <w:r w:rsidRPr="005F6CA9">
        <w:rPr>
          <w:lang w:val="lv-LV"/>
        </w:rPr>
        <w:t xml:space="preserve"> (UK): </w:t>
      </w:r>
      <w:proofErr w:type="spellStart"/>
      <w:r w:rsidRPr="005F6CA9">
        <w:rPr>
          <w:lang w:val="lv-LV"/>
        </w:rPr>
        <w:t>Edward</w:t>
      </w:r>
      <w:proofErr w:type="spellEnd"/>
      <w:r w:rsidRPr="005F6CA9">
        <w:rPr>
          <w:lang w:val="lv-LV"/>
        </w:rPr>
        <w:t xml:space="preserve"> Elgar, 2010, p. 329.</w:t>
      </w:r>
    </w:p>
  </w:footnote>
  <w:footnote w:id="66">
    <w:p w14:paraId="49D99C58" w14:textId="77777777" w:rsidR="000C7C76" w:rsidRPr="005F6CA9" w:rsidRDefault="000C7C76" w:rsidP="00114953">
      <w:pPr>
        <w:pStyle w:val="FootnoteText"/>
        <w:jc w:val="both"/>
        <w:rPr>
          <w:lang w:val="lv-LV"/>
        </w:rPr>
      </w:pPr>
      <w:r w:rsidRPr="005F6CA9">
        <w:rPr>
          <w:rStyle w:val="FootnoteReference"/>
        </w:rPr>
        <w:footnoteRef/>
      </w:r>
      <w:r w:rsidRPr="005F6CA9">
        <w:t xml:space="preserve"> </w:t>
      </w:r>
      <w:r w:rsidRPr="005F6CA9">
        <w:rPr>
          <w:lang w:val="lv-LV"/>
        </w:rPr>
        <w:t>Ferrari F. (</w:t>
      </w:r>
      <w:proofErr w:type="spellStart"/>
      <w:r w:rsidRPr="005F6CA9">
        <w:rPr>
          <w:lang w:val="lv-LV"/>
        </w:rPr>
        <w:t>ed</w:t>
      </w:r>
      <w:proofErr w:type="spellEnd"/>
      <w:r w:rsidRPr="005F6CA9">
        <w:rPr>
          <w:lang w:val="lv-LV"/>
        </w:rPr>
        <w:t>.) / L</w:t>
      </w:r>
      <w:r w:rsidRPr="000C7C76">
        <w:rPr>
          <w:lang w:val="en-US"/>
        </w:rPr>
        <w:t>ü</w:t>
      </w:r>
      <w:proofErr w:type="spellStart"/>
      <w:r w:rsidRPr="005F6CA9">
        <w:rPr>
          <w:lang w:val="lv-LV"/>
        </w:rPr>
        <w:t>ttringhaus</w:t>
      </w:r>
      <w:proofErr w:type="spellEnd"/>
      <w:r w:rsidRPr="005F6CA9">
        <w:rPr>
          <w:lang w:val="lv-LV"/>
        </w:rPr>
        <w:t xml:space="preserve"> J.D. </w:t>
      </w:r>
      <w:proofErr w:type="spellStart"/>
      <w:r w:rsidRPr="005F6CA9">
        <w:rPr>
          <w:lang w:val="lv-LV"/>
        </w:rPr>
        <w:t>Rome</w:t>
      </w:r>
      <w:proofErr w:type="spellEnd"/>
      <w:r w:rsidRPr="005F6CA9">
        <w:rPr>
          <w:lang w:val="lv-LV"/>
        </w:rPr>
        <w:t xml:space="preserve"> I </w:t>
      </w:r>
      <w:proofErr w:type="spellStart"/>
      <w:r w:rsidRPr="005F6CA9">
        <w:rPr>
          <w:lang w:val="lv-LV"/>
        </w:rPr>
        <w:t>Regulation</w:t>
      </w:r>
      <w:proofErr w:type="spellEnd"/>
      <w:r w:rsidRPr="005F6CA9">
        <w:rPr>
          <w:lang w:val="lv-LV"/>
        </w:rPr>
        <w:t xml:space="preserve">. </w:t>
      </w:r>
      <w:proofErr w:type="spellStart"/>
      <w:r w:rsidRPr="005F6CA9">
        <w:rPr>
          <w:lang w:val="lv-LV"/>
        </w:rPr>
        <w:t>Pocket</w:t>
      </w:r>
      <w:proofErr w:type="spellEnd"/>
      <w:r w:rsidRPr="005F6CA9">
        <w:rPr>
          <w:lang w:val="lv-LV"/>
        </w:rPr>
        <w:t xml:space="preserve"> </w:t>
      </w:r>
      <w:proofErr w:type="spellStart"/>
      <w:r w:rsidRPr="005F6CA9">
        <w:rPr>
          <w:lang w:val="lv-LV"/>
        </w:rPr>
        <w:t>Commentary</w:t>
      </w:r>
      <w:proofErr w:type="spellEnd"/>
      <w:r w:rsidRPr="005F6CA9">
        <w:rPr>
          <w:lang w:val="lv-LV"/>
        </w:rPr>
        <w:t xml:space="preserve">. Munich: </w:t>
      </w:r>
      <w:proofErr w:type="spellStart"/>
      <w:r w:rsidRPr="005F6CA9">
        <w:rPr>
          <w:lang w:val="lv-LV"/>
        </w:rPr>
        <w:t>Sellier</w:t>
      </w:r>
      <w:proofErr w:type="spellEnd"/>
      <w:r w:rsidRPr="005F6CA9">
        <w:rPr>
          <w:lang w:val="lv-LV"/>
        </w:rPr>
        <w:t>, 2015, Art. 1(2)(f), p. 56 (§ 70).</w:t>
      </w:r>
    </w:p>
  </w:footnote>
  <w:footnote w:id="67">
    <w:p w14:paraId="3C4FB1D6" w14:textId="77777777" w:rsidR="000C7C76" w:rsidRPr="005F6CA9" w:rsidRDefault="000C7C76" w:rsidP="00114953">
      <w:pPr>
        <w:pStyle w:val="FootnoteText"/>
        <w:jc w:val="both"/>
        <w:rPr>
          <w:lang w:val="fr-FR"/>
        </w:rPr>
      </w:pPr>
      <w:r w:rsidRPr="005F6CA9">
        <w:rPr>
          <w:rStyle w:val="FootnoteReference"/>
        </w:rPr>
        <w:footnoteRef/>
      </w:r>
      <w:r w:rsidRPr="005F6CA9">
        <w:t xml:space="preserve"> </w:t>
      </w:r>
      <w:proofErr w:type="spellStart"/>
      <w:r w:rsidRPr="005F6CA9">
        <w:rPr>
          <w:lang w:val="lv-LV"/>
        </w:rPr>
        <w:t>Vignal</w:t>
      </w:r>
      <w:proofErr w:type="spellEnd"/>
      <w:r w:rsidRPr="005F6CA9">
        <w:rPr>
          <w:lang w:val="lv-LV"/>
        </w:rPr>
        <w:t xml:space="preserve"> T. </w:t>
      </w:r>
      <w:r w:rsidRPr="005F6CA9">
        <w:rPr>
          <w:lang w:val="fr-FR"/>
        </w:rPr>
        <w:t>Droit international privé. 2</w:t>
      </w:r>
      <w:r w:rsidRPr="005F6CA9">
        <w:rPr>
          <w:vertAlign w:val="superscript"/>
          <w:lang w:val="fr-FR"/>
        </w:rPr>
        <w:t>e</w:t>
      </w:r>
      <w:r w:rsidRPr="005F6CA9">
        <w:rPr>
          <w:lang w:val="fr-FR"/>
        </w:rPr>
        <w:t xml:space="preserve"> édition. </w:t>
      </w:r>
      <w:proofErr w:type="gramStart"/>
      <w:r w:rsidRPr="005F6CA9">
        <w:rPr>
          <w:lang w:val="fr-FR"/>
        </w:rPr>
        <w:t>Paris:</w:t>
      </w:r>
      <w:proofErr w:type="gramEnd"/>
      <w:r w:rsidRPr="005F6CA9">
        <w:rPr>
          <w:lang w:val="fr-FR"/>
        </w:rPr>
        <w:t xml:space="preserve"> SIREY, 2011, p. 488, 489.</w:t>
      </w:r>
    </w:p>
  </w:footnote>
  <w:footnote w:id="68">
    <w:p w14:paraId="58663EB9" w14:textId="77777777" w:rsidR="000C7C76" w:rsidRPr="005F6CA9" w:rsidRDefault="000C7C76" w:rsidP="00114953">
      <w:pPr>
        <w:pStyle w:val="FootnoteText"/>
        <w:jc w:val="both"/>
        <w:rPr>
          <w:lang w:val="lv-LV"/>
        </w:rPr>
      </w:pPr>
      <w:r w:rsidRPr="005F6CA9">
        <w:rPr>
          <w:rStyle w:val="FootnoteReference"/>
        </w:rPr>
        <w:footnoteRef/>
      </w:r>
      <w:r w:rsidRPr="005F6CA9">
        <w:t xml:space="preserve"> </w:t>
      </w:r>
      <w:proofErr w:type="spellStart"/>
      <w:r w:rsidRPr="005F6CA9">
        <w:t>Līgums</w:t>
      </w:r>
      <w:proofErr w:type="spellEnd"/>
      <w:r w:rsidRPr="005F6CA9">
        <w:t xml:space="preserve"> par </w:t>
      </w:r>
      <w:proofErr w:type="spellStart"/>
      <w:r w:rsidRPr="005F6CA9">
        <w:t>Eiropas</w:t>
      </w:r>
      <w:proofErr w:type="spellEnd"/>
      <w:r w:rsidRPr="005F6CA9">
        <w:t xml:space="preserve"> </w:t>
      </w:r>
      <w:proofErr w:type="spellStart"/>
      <w:r w:rsidRPr="005F6CA9">
        <w:t>Savienības</w:t>
      </w:r>
      <w:proofErr w:type="spellEnd"/>
      <w:r w:rsidRPr="005F6CA9">
        <w:t xml:space="preserve"> </w:t>
      </w:r>
      <w:proofErr w:type="spellStart"/>
      <w:r w:rsidRPr="005F6CA9">
        <w:t>darbību</w:t>
      </w:r>
      <w:proofErr w:type="spellEnd"/>
      <w:r w:rsidRPr="005F6CA9">
        <w:t xml:space="preserve">. OV C 326, 26.10.2012., 1.-390. </w:t>
      </w:r>
      <w:proofErr w:type="spellStart"/>
      <w:r w:rsidRPr="005F6CA9">
        <w:t>lpp</w:t>
      </w:r>
      <w:proofErr w:type="spellEnd"/>
      <w:r w:rsidRPr="005F6CA9">
        <w:t>.</w:t>
      </w:r>
    </w:p>
  </w:footnote>
  <w:footnote w:id="69">
    <w:p w14:paraId="65813332" w14:textId="77777777" w:rsidR="000C7C76" w:rsidRPr="005F6CA9" w:rsidRDefault="000C7C76" w:rsidP="00114953">
      <w:pPr>
        <w:pStyle w:val="FootnoteText"/>
        <w:jc w:val="both"/>
        <w:rPr>
          <w:lang w:val="lv-LV"/>
        </w:rPr>
      </w:pPr>
      <w:r w:rsidRPr="005F6CA9">
        <w:rPr>
          <w:rStyle w:val="FootnoteReference"/>
        </w:rPr>
        <w:footnoteRef/>
      </w:r>
      <w:r w:rsidRPr="005F6CA9">
        <w:t xml:space="preserve"> </w:t>
      </w:r>
      <w:r w:rsidRPr="005F6CA9">
        <w:rPr>
          <w:lang w:val="lv-LV"/>
        </w:rPr>
        <w:t xml:space="preserve">Civillikuma komentāri. Saistību tiesības (1401.-2400.p.). Autoru kolektīvs prof. </w:t>
      </w:r>
      <w:proofErr w:type="spellStart"/>
      <w:r w:rsidRPr="005F6CA9">
        <w:rPr>
          <w:lang w:val="lv-LV"/>
        </w:rPr>
        <w:t>K.Torgāna</w:t>
      </w:r>
      <w:proofErr w:type="spellEnd"/>
      <w:r w:rsidRPr="005F6CA9">
        <w:rPr>
          <w:lang w:val="lv-LV"/>
        </w:rPr>
        <w:t xml:space="preserve"> vispārīgā zinātniskā redakcijā. Rīga: Mans Īpašums, 1998., 25.-26.lpp.</w:t>
      </w:r>
    </w:p>
  </w:footnote>
  <w:footnote w:id="70">
    <w:p w14:paraId="2895E5E6" w14:textId="77777777" w:rsidR="000C7C76" w:rsidRPr="000C7C76" w:rsidRDefault="000C7C76" w:rsidP="00114953">
      <w:pPr>
        <w:pStyle w:val="FootnoteText"/>
        <w:jc w:val="both"/>
        <w:rPr>
          <w:lang w:val="lv-LV"/>
        </w:rPr>
      </w:pPr>
      <w:r w:rsidRPr="005F6CA9">
        <w:rPr>
          <w:rStyle w:val="FootnoteReference"/>
        </w:rPr>
        <w:footnoteRef/>
      </w:r>
      <w:r w:rsidRPr="005F6CA9">
        <w:t xml:space="preserve"> </w:t>
      </w:r>
      <w:r w:rsidRPr="000C7C76">
        <w:rPr>
          <w:lang w:val="lv-LV"/>
        </w:rPr>
        <w:t>Torgāns K. Saistību tiesības. II daļa. Rīga: TNA, 2008., 199.lpp.</w:t>
      </w:r>
    </w:p>
  </w:footnote>
  <w:footnote w:id="71">
    <w:p w14:paraId="19A16F24" w14:textId="77777777" w:rsidR="000C7C76" w:rsidRPr="005F6CA9" w:rsidRDefault="000C7C76" w:rsidP="00114953">
      <w:pPr>
        <w:pStyle w:val="FootnoteText"/>
        <w:jc w:val="both"/>
        <w:rPr>
          <w:lang w:val="lv-LV"/>
        </w:rPr>
      </w:pPr>
      <w:r w:rsidRPr="005F6CA9">
        <w:rPr>
          <w:rStyle w:val="FootnoteReference"/>
        </w:rPr>
        <w:footnoteRef/>
      </w:r>
      <w:r w:rsidRPr="005F6CA9">
        <w:t xml:space="preserve"> </w:t>
      </w:r>
      <w:r w:rsidRPr="005F6CA9">
        <w:rPr>
          <w:lang w:val="lv-LV"/>
        </w:rPr>
        <w:t xml:space="preserve">Saskaņā ar Komerclikuma 34.panta pirmo daļu </w:t>
      </w:r>
      <w:proofErr w:type="spellStart"/>
      <w:r w:rsidRPr="005F6CA9">
        <w:rPr>
          <w:b/>
          <w:lang w:val="lv-LV"/>
        </w:rPr>
        <w:t>prokūra</w:t>
      </w:r>
      <w:proofErr w:type="spellEnd"/>
      <w:r w:rsidRPr="005F6CA9">
        <w:rPr>
          <w:lang w:val="lv-LV"/>
        </w:rPr>
        <w:t xml:space="preserve"> ir </w:t>
      </w:r>
      <w:proofErr w:type="spellStart"/>
      <w:r w:rsidRPr="005F6CA9">
        <w:rPr>
          <w:color w:val="323233"/>
        </w:rPr>
        <w:t>komercpilnvara</w:t>
      </w:r>
      <w:proofErr w:type="spellEnd"/>
      <w:r w:rsidRPr="005F6CA9">
        <w:rPr>
          <w:color w:val="323233"/>
        </w:rPr>
        <w:t xml:space="preserve">, </w:t>
      </w:r>
      <w:proofErr w:type="spellStart"/>
      <w:r w:rsidRPr="005F6CA9">
        <w:rPr>
          <w:color w:val="323233"/>
        </w:rPr>
        <w:t>kas</w:t>
      </w:r>
      <w:proofErr w:type="spellEnd"/>
      <w:r w:rsidRPr="005F6CA9">
        <w:rPr>
          <w:color w:val="323233"/>
        </w:rPr>
        <w:t xml:space="preserve"> </w:t>
      </w:r>
      <w:proofErr w:type="spellStart"/>
      <w:r w:rsidRPr="005F6CA9">
        <w:rPr>
          <w:color w:val="323233"/>
        </w:rPr>
        <w:t>piešķir</w:t>
      </w:r>
      <w:proofErr w:type="spellEnd"/>
      <w:r w:rsidRPr="005F6CA9">
        <w:rPr>
          <w:color w:val="323233"/>
        </w:rPr>
        <w:t xml:space="preserve"> </w:t>
      </w:r>
      <w:proofErr w:type="spellStart"/>
      <w:r w:rsidRPr="005F6CA9">
        <w:rPr>
          <w:color w:val="323233"/>
        </w:rPr>
        <w:t>prokūristam</w:t>
      </w:r>
      <w:proofErr w:type="spellEnd"/>
      <w:r w:rsidRPr="005F6CA9">
        <w:rPr>
          <w:color w:val="323233"/>
        </w:rPr>
        <w:t xml:space="preserve"> </w:t>
      </w:r>
      <w:proofErr w:type="spellStart"/>
      <w:r w:rsidRPr="005F6CA9">
        <w:rPr>
          <w:color w:val="323233"/>
        </w:rPr>
        <w:t>tiesības</w:t>
      </w:r>
      <w:proofErr w:type="spellEnd"/>
      <w:r w:rsidRPr="005F6CA9">
        <w:rPr>
          <w:color w:val="323233"/>
        </w:rPr>
        <w:t xml:space="preserve"> </w:t>
      </w:r>
      <w:proofErr w:type="spellStart"/>
      <w:r w:rsidRPr="005F6CA9">
        <w:rPr>
          <w:color w:val="323233"/>
        </w:rPr>
        <w:t>komersanta</w:t>
      </w:r>
      <w:proofErr w:type="spellEnd"/>
      <w:r w:rsidRPr="005F6CA9">
        <w:rPr>
          <w:color w:val="323233"/>
        </w:rPr>
        <w:t xml:space="preserve"> </w:t>
      </w:r>
      <w:proofErr w:type="spellStart"/>
      <w:r w:rsidRPr="005F6CA9">
        <w:rPr>
          <w:color w:val="323233"/>
        </w:rPr>
        <w:t>vārdā</w:t>
      </w:r>
      <w:proofErr w:type="spellEnd"/>
      <w:r w:rsidRPr="005F6CA9">
        <w:rPr>
          <w:color w:val="323233"/>
        </w:rPr>
        <w:t xml:space="preserve"> </w:t>
      </w:r>
      <w:proofErr w:type="spellStart"/>
      <w:r w:rsidRPr="005F6CA9">
        <w:rPr>
          <w:color w:val="323233"/>
        </w:rPr>
        <w:t>slēgt</w:t>
      </w:r>
      <w:proofErr w:type="spellEnd"/>
      <w:r w:rsidRPr="005F6CA9">
        <w:rPr>
          <w:color w:val="323233"/>
        </w:rPr>
        <w:t xml:space="preserve"> </w:t>
      </w:r>
      <w:proofErr w:type="spellStart"/>
      <w:r w:rsidRPr="005F6CA9">
        <w:rPr>
          <w:color w:val="323233"/>
        </w:rPr>
        <w:t>darījumus</w:t>
      </w:r>
      <w:proofErr w:type="spellEnd"/>
      <w:r w:rsidRPr="005F6CA9">
        <w:rPr>
          <w:color w:val="323233"/>
        </w:rPr>
        <w:t xml:space="preserve"> </w:t>
      </w:r>
      <w:proofErr w:type="spellStart"/>
      <w:r w:rsidRPr="005F6CA9">
        <w:rPr>
          <w:color w:val="323233"/>
        </w:rPr>
        <w:t>un</w:t>
      </w:r>
      <w:proofErr w:type="spellEnd"/>
      <w:r w:rsidRPr="005F6CA9">
        <w:rPr>
          <w:color w:val="323233"/>
        </w:rPr>
        <w:t xml:space="preserve"> </w:t>
      </w:r>
      <w:proofErr w:type="spellStart"/>
      <w:r w:rsidRPr="005F6CA9">
        <w:rPr>
          <w:color w:val="323233"/>
        </w:rPr>
        <w:t>veikt</w:t>
      </w:r>
      <w:proofErr w:type="spellEnd"/>
      <w:r w:rsidRPr="005F6CA9">
        <w:rPr>
          <w:color w:val="323233"/>
        </w:rPr>
        <w:t xml:space="preserve"> </w:t>
      </w:r>
      <w:proofErr w:type="spellStart"/>
      <w:r w:rsidRPr="005F6CA9">
        <w:rPr>
          <w:color w:val="323233"/>
        </w:rPr>
        <w:t>citas</w:t>
      </w:r>
      <w:proofErr w:type="spellEnd"/>
      <w:r w:rsidRPr="005F6CA9">
        <w:rPr>
          <w:color w:val="323233"/>
        </w:rPr>
        <w:t xml:space="preserve"> </w:t>
      </w:r>
      <w:proofErr w:type="spellStart"/>
      <w:r w:rsidRPr="005F6CA9">
        <w:rPr>
          <w:color w:val="323233"/>
        </w:rPr>
        <w:t>ar</w:t>
      </w:r>
      <w:proofErr w:type="spellEnd"/>
      <w:r w:rsidRPr="005F6CA9">
        <w:rPr>
          <w:color w:val="323233"/>
        </w:rPr>
        <w:t xml:space="preserve"> </w:t>
      </w:r>
      <w:proofErr w:type="spellStart"/>
      <w:r w:rsidRPr="005F6CA9">
        <w:rPr>
          <w:color w:val="323233"/>
        </w:rPr>
        <w:t>jebkuru</w:t>
      </w:r>
      <w:proofErr w:type="spellEnd"/>
      <w:r w:rsidRPr="005F6CA9">
        <w:rPr>
          <w:color w:val="323233"/>
        </w:rPr>
        <w:t xml:space="preserve"> </w:t>
      </w:r>
      <w:proofErr w:type="spellStart"/>
      <w:r w:rsidRPr="005F6CA9">
        <w:rPr>
          <w:color w:val="323233"/>
        </w:rPr>
        <w:t>komercdarbību</w:t>
      </w:r>
      <w:proofErr w:type="spellEnd"/>
      <w:r w:rsidRPr="005F6CA9">
        <w:rPr>
          <w:color w:val="323233"/>
        </w:rPr>
        <w:t xml:space="preserve"> </w:t>
      </w:r>
      <w:proofErr w:type="spellStart"/>
      <w:r w:rsidRPr="005F6CA9">
        <w:rPr>
          <w:color w:val="323233"/>
        </w:rPr>
        <w:t>saistītas</w:t>
      </w:r>
      <w:proofErr w:type="spellEnd"/>
      <w:r w:rsidRPr="005F6CA9">
        <w:rPr>
          <w:color w:val="323233"/>
        </w:rPr>
        <w:t xml:space="preserve"> </w:t>
      </w:r>
      <w:proofErr w:type="spellStart"/>
      <w:r w:rsidRPr="005F6CA9">
        <w:rPr>
          <w:color w:val="323233"/>
        </w:rPr>
        <w:t>tiesiskās</w:t>
      </w:r>
      <w:proofErr w:type="spellEnd"/>
      <w:r w:rsidRPr="005F6CA9">
        <w:rPr>
          <w:color w:val="323233"/>
        </w:rPr>
        <w:t xml:space="preserve"> </w:t>
      </w:r>
      <w:proofErr w:type="spellStart"/>
      <w:r w:rsidRPr="005F6CA9">
        <w:rPr>
          <w:color w:val="323233"/>
        </w:rPr>
        <w:t>darbības</w:t>
      </w:r>
      <w:proofErr w:type="spellEnd"/>
      <w:r w:rsidRPr="005F6CA9">
        <w:rPr>
          <w:color w:val="323233"/>
        </w:rPr>
        <w:t xml:space="preserve">, </w:t>
      </w:r>
      <w:proofErr w:type="spellStart"/>
      <w:r w:rsidRPr="005F6CA9">
        <w:rPr>
          <w:color w:val="323233"/>
        </w:rPr>
        <w:t>ieskaitot</w:t>
      </w:r>
      <w:proofErr w:type="spellEnd"/>
      <w:r w:rsidRPr="005F6CA9">
        <w:rPr>
          <w:color w:val="323233"/>
        </w:rPr>
        <w:t xml:space="preserve"> </w:t>
      </w:r>
      <w:proofErr w:type="spellStart"/>
      <w:r w:rsidRPr="005F6CA9">
        <w:rPr>
          <w:color w:val="323233"/>
        </w:rPr>
        <w:t>visas</w:t>
      </w:r>
      <w:proofErr w:type="spellEnd"/>
      <w:r w:rsidRPr="005F6CA9">
        <w:rPr>
          <w:color w:val="323233"/>
        </w:rPr>
        <w:t xml:space="preserve"> </w:t>
      </w:r>
      <w:proofErr w:type="spellStart"/>
      <w:r w:rsidRPr="005F6CA9">
        <w:rPr>
          <w:color w:val="323233"/>
        </w:rPr>
        <w:t>procesuālās</w:t>
      </w:r>
      <w:proofErr w:type="spellEnd"/>
      <w:r w:rsidRPr="005F6CA9">
        <w:rPr>
          <w:color w:val="323233"/>
        </w:rPr>
        <w:t xml:space="preserve"> </w:t>
      </w:r>
      <w:proofErr w:type="spellStart"/>
      <w:r w:rsidRPr="005F6CA9">
        <w:rPr>
          <w:color w:val="323233"/>
        </w:rPr>
        <w:t>darbības</w:t>
      </w:r>
      <w:proofErr w:type="spellEnd"/>
      <w:r w:rsidRPr="005F6CA9">
        <w:rPr>
          <w:color w:val="323233"/>
        </w:rPr>
        <w:t xml:space="preserve"> </w:t>
      </w:r>
      <w:proofErr w:type="spellStart"/>
      <w:r w:rsidRPr="005F6CA9">
        <w:rPr>
          <w:color w:val="323233"/>
        </w:rPr>
        <w:t>tiesvedības</w:t>
      </w:r>
      <w:proofErr w:type="spellEnd"/>
      <w:r w:rsidRPr="005F6CA9">
        <w:rPr>
          <w:color w:val="323233"/>
        </w:rPr>
        <w:t xml:space="preserve"> </w:t>
      </w:r>
      <w:proofErr w:type="spellStart"/>
      <w:r w:rsidRPr="005F6CA9">
        <w:rPr>
          <w:color w:val="323233"/>
        </w:rPr>
        <w:t>gaitā</w:t>
      </w:r>
      <w:proofErr w:type="spellEnd"/>
      <w:r w:rsidRPr="005F6CA9">
        <w:rPr>
          <w:color w:val="323233"/>
        </w:rPr>
        <w:t xml:space="preserve"> (</w:t>
      </w:r>
      <w:proofErr w:type="spellStart"/>
      <w:r w:rsidRPr="005F6CA9">
        <w:rPr>
          <w:color w:val="323233"/>
        </w:rPr>
        <w:t>prasības</w:t>
      </w:r>
      <w:proofErr w:type="spellEnd"/>
      <w:r w:rsidRPr="005F6CA9">
        <w:rPr>
          <w:color w:val="323233"/>
        </w:rPr>
        <w:t xml:space="preserve"> </w:t>
      </w:r>
      <w:proofErr w:type="spellStart"/>
      <w:r w:rsidRPr="005F6CA9">
        <w:rPr>
          <w:color w:val="323233"/>
        </w:rPr>
        <w:t>celšana</w:t>
      </w:r>
      <w:proofErr w:type="spellEnd"/>
      <w:r w:rsidRPr="005F6CA9">
        <w:rPr>
          <w:color w:val="323233"/>
        </w:rPr>
        <w:t xml:space="preserve">, </w:t>
      </w:r>
      <w:proofErr w:type="spellStart"/>
      <w:r w:rsidRPr="005F6CA9">
        <w:rPr>
          <w:color w:val="323233"/>
        </w:rPr>
        <w:t>izlīgums</w:t>
      </w:r>
      <w:proofErr w:type="spellEnd"/>
      <w:r w:rsidRPr="005F6CA9">
        <w:rPr>
          <w:color w:val="323233"/>
        </w:rPr>
        <w:t xml:space="preserve">, </w:t>
      </w:r>
      <w:proofErr w:type="spellStart"/>
      <w:r w:rsidRPr="005F6CA9">
        <w:rPr>
          <w:color w:val="323233"/>
        </w:rPr>
        <w:t>tiesas</w:t>
      </w:r>
      <w:proofErr w:type="spellEnd"/>
      <w:r w:rsidRPr="005F6CA9">
        <w:rPr>
          <w:color w:val="323233"/>
        </w:rPr>
        <w:t xml:space="preserve"> </w:t>
      </w:r>
      <w:proofErr w:type="spellStart"/>
      <w:r w:rsidRPr="005F6CA9">
        <w:rPr>
          <w:color w:val="323233"/>
        </w:rPr>
        <w:t>nolēmumu</w:t>
      </w:r>
      <w:proofErr w:type="spellEnd"/>
      <w:r w:rsidRPr="005F6CA9">
        <w:rPr>
          <w:color w:val="323233"/>
        </w:rPr>
        <w:t xml:space="preserve"> </w:t>
      </w:r>
      <w:proofErr w:type="spellStart"/>
      <w:r w:rsidRPr="005F6CA9">
        <w:rPr>
          <w:color w:val="323233"/>
        </w:rPr>
        <w:t>pārsūdzēšana</w:t>
      </w:r>
      <w:proofErr w:type="spellEnd"/>
      <w:r w:rsidRPr="005F6CA9">
        <w:rPr>
          <w:color w:val="323233"/>
        </w:rPr>
        <w:t xml:space="preserve"> </w:t>
      </w:r>
      <w:proofErr w:type="spellStart"/>
      <w:r w:rsidRPr="005F6CA9">
        <w:rPr>
          <w:color w:val="323233"/>
        </w:rPr>
        <w:t>u.tml</w:t>
      </w:r>
      <w:proofErr w:type="spellEnd"/>
      <w:r w:rsidRPr="005F6CA9">
        <w:rPr>
          <w:color w:val="323233"/>
        </w:rPr>
        <w:t>.).</w:t>
      </w:r>
    </w:p>
  </w:footnote>
  <w:footnote w:id="72">
    <w:p w14:paraId="61316F99" w14:textId="77777777" w:rsidR="000C7C76" w:rsidRPr="000C7C76" w:rsidRDefault="000C7C76" w:rsidP="00114953">
      <w:pPr>
        <w:widowControl w:val="0"/>
        <w:autoSpaceDE w:val="0"/>
        <w:autoSpaceDN w:val="0"/>
        <w:adjustRightInd w:val="0"/>
        <w:jc w:val="both"/>
        <w:rPr>
          <w:rFonts w:ascii="Times New Roman" w:hAnsi="Times New Roman" w:cs="Times New Roman"/>
          <w:color w:val="323233"/>
          <w:sz w:val="20"/>
          <w:szCs w:val="20"/>
          <w:lang w:val="lv-LV"/>
        </w:rPr>
      </w:pPr>
      <w:r w:rsidRPr="005F6CA9">
        <w:rPr>
          <w:rStyle w:val="FootnoteReference"/>
          <w:rFonts w:ascii="Times New Roman" w:hAnsi="Times New Roman" w:cs="Times New Roman"/>
          <w:sz w:val="20"/>
          <w:szCs w:val="20"/>
        </w:rPr>
        <w:footnoteRef/>
      </w:r>
      <w:r w:rsidRPr="000C7C76">
        <w:rPr>
          <w:rFonts w:ascii="Times New Roman" w:hAnsi="Times New Roman" w:cs="Times New Roman"/>
          <w:sz w:val="20"/>
          <w:szCs w:val="20"/>
          <w:lang w:val="lv-LV"/>
        </w:rPr>
        <w:t xml:space="preserve"> </w:t>
      </w:r>
      <w:r w:rsidRPr="005F6CA9">
        <w:rPr>
          <w:rFonts w:ascii="Times New Roman" w:hAnsi="Times New Roman" w:cs="Times New Roman"/>
          <w:sz w:val="20"/>
          <w:szCs w:val="20"/>
          <w:lang w:val="lv-LV"/>
        </w:rPr>
        <w:t xml:space="preserve">Saskaņā ar Komerclikuma 40.panta pirmo daļu </w:t>
      </w:r>
      <w:r w:rsidRPr="000C7C76">
        <w:rPr>
          <w:rFonts w:ascii="Times New Roman" w:hAnsi="Times New Roman" w:cs="Times New Roman"/>
          <w:color w:val="323233"/>
          <w:sz w:val="20"/>
          <w:szCs w:val="20"/>
          <w:lang w:val="lv-LV"/>
        </w:rPr>
        <w:t xml:space="preserve">ja komersants, neizdodot </w:t>
      </w:r>
      <w:proofErr w:type="spellStart"/>
      <w:r w:rsidRPr="000C7C76">
        <w:rPr>
          <w:rFonts w:ascii="Times New Roman" w:hAnsi="Times New Roman" w:cs="Times New Roman"/>
          <w:color w:val="323233"/>
          <w:sz w:val="20"/>
          <w:szCs w:val="20"/>
          <w:lang w:val="lv-LV"/>
        </w:rPr>
        <w:t>prokūru</w:t>
      </w:r>
      <w:proofErr w:type="spellEnd"/>
      <w:r w:rsidRPr="000C7C76">
        <w:rPr>
          <w:rFonts w:ascii="Times New Roman" w:hAnsi="Times New Roman" w:cs="Times New Roman"/>
          <w:color w:val="323233"/>
          <w:sz w:val="20"/>
          <w:szCs w:val="20"/>
          <w:lang w:val="lv-LV"/>
        </w:rPr>
        <w:t>, pilnvaro kādu citu personu viņa vārdā veikt komercdarbību, slēgt ar komersanta veikto komercdarbību saistītus noteikta veida darījumus vai arī slēgt ar komersanta veikto komercdarbību saistītus atsevišķus darījumus, tāda pilnvara (</w:t>
      </w:r>
      <w:r w:rsidRPr="000C7C76">
        <w:rPr>
          <w:rFonts w:ascii="Times New Roman" w:hAnsi="Times New Roman" w:cs="Times New Roman"/>
          <w:b/>
          <w:color w:val="323233"/>
          <w:sz w:val="20"/>
          <w:szCs w:val="20"/>
          <w:lang w:val="lv-LV"/>
        </w:rPr>
        <w:t xml:space="preserve">parastā </w:t>
      </w:r>
      <w:proofErr w:type="spellStart"/>
      <w:r w:rsidRPr="000C7C76">
        <w:rPr>
          <w:rFonts w:ascii="Times New Roman" w:hAnsi="Times New Roman" w:cs="Times New Roman"/>
          <w:b/>
          <w:color w:val="323233"/>
          <w:sz w:val="20"/>
          <w:szCs w:val="20"/>
          <w:lang w:val="lv-LV"/>
        </w:rPr>
        <w:t>komercpilnvara</w:t>
      </w:r>
      <w:proofErr w:type="spellEnd"/>
      <w:r w:rsidRPr="000C7C76">
        <w:rPr>
          <w:rFonts w:ascii="Times New Roman" w:hAnsi="Times New Roman" w:cs="Times New Roman"/>
          <w:color w:val="323233"/>
          <w:sz w:val="20"/>
          <w:szCs w:val="20"/>
          <w:lang w:val="lv-LV"/>
        </w:rPr>
        <w:t>) attiecas uz visām tiesiskajām darbībām, kas parasti ir vērstas uz šādas komercdarbības veikšanu vai šādu darījumu slēgšanu.</w:t>
      </w:r>
    </w:p>
  </w:footnote>
  <w:footnote w:id="73">
    <w:p w14:paraId="35862D05" w14:textId="26A2DA3D" w:rsidR="000C7C76" w:rsidRPr="000C7C76" w:rsidRDefault="000C7C76" w:rsidP="003200B6">
      <w:pPr>
        <w:pStyle w:val="FootnoteText"/>
        <w:jc w:val="both"/>
        <w:rPr>
          <w:lang w:val="en-US"/>
        </w:rPr>
      </w:pPr>
      <w:r>
        <w:rPr>
          <w:rStyle w:val="FootnoteReference"/>
        </w:rPr>
        <w:footnoteRef/>
      </w:r>
      <w:r>
        <w:t xml:space="preserve"> </w:t>
      </w:r>
      <w:proofErr w:type="spellStart"/>
      <w:r w:rsidRPr="000C7C76">
        <w:rPr>
          <w:lang w:val="en-US"/>
        </w:rPr>
        <w:t>Reithmann</w:t>
      </w:r>
      <w:proofErr w:type="spellEnd"/>
      <w:r w:rsidRPr="000C7C76">
        <w:rPr>
          <w:lang w:val="en-US"/>
        </w:rPr>
        <w:t xml:space="preserve"> Ch. </w:t>
      </w:r>
      <w:proofErr w:type="spellStart"/>
      <w:r w:rsidRPr="000C7C76">
        <w:rPr>
          <w:lang w:val="en-US"/>
        </w:rPr>
        <w:t>Vertretungsbescheinigungen</w:t>
      </w:r>
      <w:proofErr w:type="spellEnd"/>
      <w:r w:rsidRPr="000C7C76">
        <w:rPr>
          <w:lang w:val="en-US"/>
        </w:rPr>
        <w:t xml:space="preserve"> </w:t>
      </w:r>
      <w:proofErr w:type="spellStart"/>
      <w:r w:rsidRPr="000C7C76">
        <w:rPr>
          <w:lang w:val="en-US"/>
        </w:rPr>
        <w:t>ausländischer</w:t>
      </w:r>
      <w:proofErr w:type="spellEnd"/>
      <w:r w:rsidRPr="000C7C76">
        <w:rPr>
          <w:lang w:val="en-US"/>
        </w:rPr>
        <w:t xml:space="preserve"> </w:t>
      </w:r>
      <w:proofErr w:type="spellStart"/>
      <w:r w:rsidRPr="000C7C76">
        <w:rPr>
          <w:lang w:val="en-US"/>
        </w:rPr>
        <w:t>Notare</w:t>
      </w:r>
      <w:proofErr w:type="spellEnd"/>
      <w:r w:rsidRPr="000C7C76">
        <w:rPr>
          <w:lang w:val="en-US"/>
        </w:rPr>
        <w:t xml:space="preserve"> // </w:t>
      </w:r>
      <w:proofErr w:type="spellStart"/>
      <w:r w:rsidRPr="000C7C76">
        <w:rPr>
          <w:lang w:val="en-US"/>
        </w:rPr>
        <w:t>NotBZ</w:t>
      </w:r>
      <w:proofErr w:type="spellEnd"/>
      <w:r w:rsidRPr="000C7C76">
        <w:rPr>
          <w:lang w:val="en-US"/>
        </w:rPr>
        <w:t xml:space="preserve"> 2016, Köln, S. 129,130.</w:t>
      </w:r>
    </w:p>
  </w:footnote>
  <w:footnote w:id="74">
    <w:p w14:paraId="40933146" w14:textId="77777777" w:rsidR="000C7C76" w:rsidRPr="000C7C76" w:rsidRDefault="000C7C76" w:rsidP="00114953">
      <w:pPr>
        <w:pStyle w:val="FootnoteText"/>
        <w:jc w:val="both"/>
        <w:rPr>
          <w:lang w:val="en-US"/>
        </w:rPr>
      </w:pPr>
      <w:r w:rsidRPr="005F6CA9">
        <w:rPr>
          <w:rStyle w:val="FootnoteReference"/>
        </w:rPr>
        <w:footnoteRef/>
      </w:r>
      <w:r w:rsidRPr="005F6CA9">
        <w:t xml:space="preserve"> </w:t>
      </w:r>
      <w:r w:rsidRPr="000C7C76">
        <w:rPr>
          <w:lang w:val="en-US"/>
        </w:rPr>
        <w:t xml:space="preserve">Heinz N. Das </w:t>
      </w:r>
      <w:proofErr w:type="spellStart"/>
      <w:r w:rsidRPr="000C7C76">
        <w:rPr>
          <w:lang w:val="en-US"/>
        </w:rPr>
        <w:t>Vollmachtstatut</w:t>
      </w:r>
      <w:proofErr w:type="spellEnd"/>
      <w:r w:rsidRPr="000C7C76">
        <w:rPr>
          <w:lang w:val="en-US"/>
        </w:rPr>
        <w:t xml:space="preserve">. </w:t>
      </w:r>
      <w:r w:rsidRPr="005F6CA9">
        <w:rPr>
          <w:lang w:val="lv-LV"/>
        </w:rPr>
        <w:t>T</w:t>
      </w:r>
      <w:proofErr w:type="spellStart"/>
      <w:r w:rsidRPr="000C7C76">
        <w:rPr>
          <w:lang w:val="en-US"/>
        </w:rPr>
        <w:t>übingen</w:t>
      </w:r>
      <w:proofErr w:type="spellEnd"/>
      <w:r w:rsidRPr="000C7C76">
        <w:rPr>
          <w:lang w:val="en-US"/>
        </w:rPr>
        <w:t xml:space="preserve">: Mohr </w:t>
      </w:r>
      <w:proofErr w:type="spellStart"/>
      <w:r w:rsidRPr="000C7C76">
        <w:rPr>
          <w:lang w:val="en-US"/>
        </w:rPr>
        <w:t>Siebeck</w:t>
      </w:r>
      <w:proofErr w:type="spellEnd"/>
      <w:r w:rsidRPr="000C7C76">
        <w:rPr>
          <w:lang w:val="en-US"/>
        </w:rPr>
        <w:t xml:space="preserve"> Verlag, 2011, S. 20-22.</w:t>
      </w:r>
    </w:p>
    <w:p w14:paraId="69D62B76" w14:textId="77777777" w:rsidR="000C7C76" w:rsidRPr="005F6CA9" w:rsidRDefault="000C7C76" w:rsidP="00114953">
      <w:pPr>
        <w:pStyle w:val="FootnoteText"/>
        <w:rPr>
          <w:lang w:val="lv-LV"/>
        </w:rPr>
      </w:pPr>
    </w:p>
  </w:footnote>
  <w:footnote w:id="75">
    <w:p w14:paraId="584E3052" w14:textId="77777777" w:rsidR="000C7C76" w:rsidRPr="000C7C76" w:rsidRDefault="000C7C76" w:rsidP="00114953">
      <w:pPr>
        <w:pStyle w:val="FootnoteText"/>
        <w:jc w:val="both"/>
        <w:rPr>
          <w:lang w:val="en-US"/>
        </w:rPr>
      </w:pPr>
      <w:r w:rsidRPr="005F6CA9">
        <w:rPr>
          <w:rStyle w:val="FootnoteReference"/>
        </w:rPr>
        <w:footnoteRef/>
      </w:r>
      <w:r w:rsidRPr="005F6CA9">
        <w:t xml:space="preserve"> </w:t>
      </w:r>
      <w:proofErr w:type="spellStart"/>
      <w:r w:rsidRPr="000C7C76">
        <w:rPr>
          <w:lang w:val="en-US"/>
        </w:rPr>
        <w:t>Reithmann</w:t>
      </w:r>
      <w:proofErr w:type="spellEnd"/>
      <w:r w:rsidRPr="000C7C76">
        <w:rPr>
          <w:lang w:val="en-US"/>
        </w:rPr>
        <w:t xml:space="preserve"> Ch. </w:t>
      </w:r>
      <w:proofErr w:type="spellStart"/>
      <w:r w:rsidRPr="000C7C76">
        <w:rPr>
          <w:lang w:val="en-US"/>
        </w:rPr>
        <w:t>Urkunden</w:t>
      </w:r>
      <w:proofErr w:type="spellEnd"/>
      <w:r w:rsidRPr="000C7C76">
        <w:rPr>
          <w:lang w:val="en-US"/>
        </w:rPr>
        <w:t xml:space="preserve"> </w:t>
      </w:r>
      <w:proofErr w:type="spellStart"/>
      <w:r w:rsidRPr="000C7C76">
        <w:rPr>
          <w:lang w:val="en-US"/>
        </w:rPr>
        <w:t>ausländischer</w:t>
      </w:r>
      <w:proofErr w:type="spellEnd"/>
      <w:r w:rsidRPr="000C7C76">
        <w:rPr>
          <w:lang w:val="en-US"/>
        </w:rPr>
        <w:t xml:space="preserve"> </w:t>
      </w:r>
      <w:proofErr w:type="spellStart"/>
      <w:r w:rsidRPr="000C7C76">
        <w:rPr>
          <w:lang w:val="en-US"/>
        </w:rPr>
        <w:t>Notare</w:t>
      </w:r>
      <w:proofErr w:type="spellEnd"/>
      <w:r w:rsidRPr="000C7C76">
        <w:rPr>
          <w:lang w:val="en-US"/>
        </w:rPr>
        <w:t xml:space="preserve"> in </w:t>
      </w:r>
      <w:proofErr w:type="spellStart"/>
      <w:r w:rsidRPr="000C7C76">
        <w:rPr>
          <w:lang w:val="en-US"/>
        </w:rPr>
        <w:t>inländischen</w:t>
      </w:r>
      <w:proofErr w:type="spellEnd"/>
      <w:r w:rsidRPr="000C7C76">
        <w:rPr>
          <w:lang w:val="en-US"/>
        </w:rPr>
        <w:t xml:space="preserve"> </w:t>
      </w:r>
      <w:proofErr w:type="spellStart"/>
      <w:r w:rsidRPr="000C7C76">
        <w:rPr>
          <w:lang w:val="en-US"/>
        </w:rPr>
        <w:t>Verfahren</w:t>
      </w:r>
      <w:proofErr w:type="spellEnd"/>
      <w:r w:rsidRPr="000C7C76">
        <w:rPr>
          <w:lang w:val="en-US"/>
        </w:rPr>
        <w:t xml:space="preserve">. Praxis des Internationalen Privat- und </w:t>
      </w:r>
      <w:proofErr w:type="spellStart"/>
      <w:r w:rsidRPr="000C7C76">
        <w:rPr>
          <w:lang w:val="en-US"/>
        </w:rPr>
        <w:t>Verfahrensrechts</w:t>
      </w:r>
      <w:proofErr w:type="spellEnd"/>
      <w:r w:rsidRPr="000C7C76">
        <w:rPr>
          <w:lang w:val="en-US"/>
        </w:rPr>
        <w:t xml:space="preserve"> (</w:t>
      </w:r>
      <w:proofErr w:type="spellStart"/>
      <w:r w:rsidRPr="000C7C76">
        <w:rPr>
          <w:lang w:val="en-US"/>
        </w:rPr>
        <w:t>IPRax</w:t>
      </w:r>
      <w:proofErr w:type="spellEnd"/>
      <w:r w:rsidRPr="000C7C76">
        <w:rPr>
          <w:lang w:val="en-US"/>
        </w:rPr>
        <w:t>), 2012, Nr. 2, S. 133.</w:t>
      </w:r>
    </w:p>
  </w:footnote>
  <w:footnote w:id="76">
    <w:p w14:paraId="66E9FBEF" w14:textId="751F1643" w:rsidR="000C7C76" w:rsidRPr="000C7C76" w:rsidRDefault="000C7C76" w:rsidP="00070724">
      <w:pPr>
        <w:pStyle w:val="FootnoteText"/>
        <w:jc w:val="both"/>
        <w:rPr>
          <w:lang w:val="en-US"/>
        </w:rPr>
      </w:pPr>
      <w:r w:rsidRPr="003F4A22">
        <w:rPr>
          <w:rStyle w:val="FootnoteReference"/>
        </w:rPr>
        <w:footnoteRef/>
      </w:r>
      <w:r w:rsidRPr="003F4A22">
        <w:t xml:space="preserve"> </w:t>
      </w:r>
      <w:proofErr w:type="spellStart"/>
      <w:r w:rsidRPr="000C7C76">
        <w:rPr>
          <w:lang w:val="en-US"/>
        </w:rPr>
        <w:t>Bundesnotarordnung</w:t>
      </w:r>
      <w:proofErr w:type="spellEnd"/>
      <w:r w:rsidRPr="000C7C76">
        <w:rPr>
          <w:lang w:val="en-US"/>
        </w:rPr>
        <w:t xml:space="preserve"> (</w:t>
      </w:r>
      <w:proofErr w:type="spellStart"/>
      <w:r w:rsidRPr="000C7C76">
        <w:rPr>
          <w:lang w:val="en-US"/>
        </w:rPr>
        <w:t>BNotO</w:t>
      </w:r>
      <w:proofErr w:type="spellEnd"/>
      <w:r w:rsidRPr="000C7C76">
        <w:rPr>
          <w:lang w:val="en-US"/>
        </w:rPr>
        <w:t xml:space="preserve">). 13.02.1937. </w:t>
      </w:r>
      <w:proofErr w:type="spellStart"/>
      <w:r w:rsidRPr="000C7C76">
        <w:rPr>
          <w:lang w:val="en-US"/>
        </w:rPr>
        <w:t>Pieejams</w:t>
      </w:r>
      <w:proofErr w:type="spellEnd"/>
      <w:r w:rsidRPr="000C7C76">
        <w:rPr>
          <w:lang w:val="en-US"/>
        </w:rPr>
        <w:t xml:space="preserve"> </w:t>
      </w:r>
      <w:proofErr w:type="spellStart"/>
      <w:r w:rsidRPr="000C7C76">
        <w:rPr>
          <w:lang w:val="en-US"/>
        </w:rPr>
        <w:t>šeit</w:t>
      </w:r>
      <w:proofErr w:type="spellEnd"/>
      <w:r w:rsidRPr="000C7C76">
        <w:rPr>
          <w:lang w:val="en-US"/>
        </w:rPr>
        <w:t xml:space="preserve">: </w:t>
      </w:r>
      <w:hyperlink r:id="rId4" w:history="1">
        <w:r w:rsidRPr="000C7C76">
          <w:rPr>
            <w:rStyle w:val="Hyperlink"/>
            <w:lang w:val="en-US"/>
          </w:rPr>
          <w:t>www.gesetze-im-internet.de</w:t>
        </w:r>
      </w:hyperlink>
      <w:r w:rsidRPr="000C7C76">
        <w:rPr>
          <w:lang w:val="en-US"/>
        </w:rPr>
        <w:t xml:space="preserve">k </w:t>
      </w:r>
    </w:p>
  </w:footnote>
  <w:footnote w:id="77">
    <w:p w14:paraId="7424E9CE" w14:textId="73493B49" w:rsidR="000C7C76" w:rsidRPr="003C2166" w:rsidRDefault="000C7C76">
      <w:pPr>
        <w:pStyle w:val="FootnoteText"/>
        <w:rPr>
          <w:lang w:val="lv-LV"/>
        </w:rPr>
      </w:pPr>
      <w:r>
        <w:rPr>
          <w:rStyle w:val="FootnoteReference"/>
        </w:rPr>
        <w:footnoteRef/>
      </w:r>
      <w:r>
        <w:t xml:space="preserve"> </w:t>
      </w:r>
      <w:r>
        <w:rPr>
          <w:lang w:val="lv-LV"/>
        </w:rPr>
        <w:t xml:space="preserve">OLG </w:t>
      </w:r>
      <w:proofErr w:type="spellStart"/>
      <w:r>
        <w:rPr>
          <w:lang w:val="lv-LV"/>
        </w:rPr>
        <w:t>Nürnberg</w:t>
      </w:r>
      <w:proofErr w:type="spellEnd"/>
      <w:r>
        <w:rPr>
          <w:lang w:val="lv-LV"/>
        </w:rPr>
        <w:t xml:space="preserve"> 15. </w:t>
      </w:r>
      <w:proofErr w:type="spellStart"/>
      <w:r>
        <w:rPr>
          <w:lang w:val="lv-LV"/>
        </w:rPr>
        <w:t>Zivilsenat</w:t>
      </w:r>
      <w:proofErr w:type="spellEnd"/>
      <w:r>
        <w:rPr>
          <w:lang w:val="lv-LV"/>
        </w:rPr>
        <w:t xml:space="preserve">, 25.03.2014, 15 W 381/14, </w:t>
      </w:r>
      <w:proofErr w:type="spellStart"/>
      <w:r>
        <w:rPr>
          <w:lang w:val="lv-LV"/>
        </w:rPr>
        <w:t>Beschluss</w:t>
      </w:r>
      <w:proofErr w:type="spellEnd"/>
      <w:r>
        <w:rPr>
          <w:lang w:val="lv-LV"/>
        </w:rPr>
        <w:t>, § 21</w:t>
      </w:r>
      <w:r w:rsidRPr="005F6CA9">
        <w:rPr>
          <w:lang w:val="lv-LV"/>
        </w:rPr>
        <w:t xml:space="preserve">. Pieejams: </w:t>
      </w:r>
      <w:hyperlink r:id="rId5" w:history="1">
        <w:r w:rsidRPr="005F6CA9">
          <w:rPr>
            <w:rStyle w:val="Hyperlink"/>
            <w:lang w:val="lv-LV"/>
          </w:rPr>
          <w:t>www.juris.de</w:t>
        </w:r>
      </w:hyperlink>
    </w:p>
  </w:footnote>
  <w:footnote w:id="78">
    <w:p w14:paraId="4AA0AD8E" w14:textId="77777777" w:rsidR="000C7C76" w:rsidRPr="000C7C76" w:rsidRDefault="000C7C76" w:rsidP="00114953">
      <w:pPr>
        <w:pStyle w:val="FootnoteText"/>
        <w:jc w:val="both"/>
        <w:rPr>
          <w:lang w:val="lv-LV"/>
        </w:rPr>
      </w:pPr>
      <w:r w:rsidRPr="005F6CA9">
        <w:rPr>
          <w:rStyle w:val="FootnoteReference"/>
        </w:rPr>
        <w:footnoteRef/>
      </w:r>
      <w:r w:rsidRPr="005F6CA9">
        <w:t xml:space="preserve"> „</w:t>
      </w:r>
      <w:r w:rsidRPr="000C7C76">
        <w:rPr>
          <w:lang w:val="lv-LV"/>
        </w:rPr>
        <w:t>Individuāls raksturs</w:t>
      </w:r>
      <w:r w:rsidRPr="005F6CA9">
        <w:t>“</w:t>
      </w:r>
      <w:r w:rsidRPr="000C7C76">
        <w:rPr>
          <w:lang w:val="lv-LV"/>
        </w:rPr>
        <w:t xml:space="preserve"> nozīmē to, ka publisks dokuments attiecas uz konkrētu personu, nevis uz abstraktu personu loku.</w:t>
      </w:r>
    </w:p>
  </w:footnote>
  <w:footnote w:id="79">
    <w:p w14:paraId="112EEC6B" w14:textId="77777777" w:rsidR="000C7C76" w:rsidRPr="005F6CA9" w:rsidRDefault="000C7C76" w:rsidP="00114953">
      <w:pPr>
        <w:pStyle w:val="FootnoteText"/>
        <w:jc w:val="both"/>
        <w:rPr>
          <w:lang w:val="fr-FR"/>
        </w:rPr>
      </w:pPr>
      <w:r w:rsidRPr="005F6CA9">
        <w:rPr>
          <w:rStyle w:val="FootnoteReference"/>
        </w:rPr>
        <w:footnoteRef/>
      </w:r>
      <w:r w:rsidRPr="005F6CA9">
        <w:t xml:space="preserve"> </w:t>
      </w:r>
      <w:r w:rsidRPr="005F6CA9">
        <w:rPr>
          <w:lang w:val="fr-FR"/>
        </w:rPr>
        <w:t xml:space="preserve">Callé P. L’acte public en droit international privé. </w:t>
      </w:r>
      <w:proofErr w:type="gramStart"/>
      <w:r w:rsidRPr="005F6CA9">
        <w:rPr>
          <w:lang w:val="fr-FR"/>
        </w:rPr>
        <w:t>Paris:</w:t>
      </w:r>
      <w:proofErr w:type="gramEnd"/>
      <w:r w:rsidRPr="005F6CA9">
        <w:rPr>
          <w:lang w:val="fr-FR"/>
        </w:rPr>
        <w:t xml:space="preserve"> Economica, 2004, p. 3.</w:t>
      </w:r>
    </w:p>
  </w:footnote>
  <w:footnote w:id="80">
    <w:p w14:paraId="7C7CF89D" w14:textId="2215D335" w:rsidR="000C7C76" w:rsidRPr="006F7E38" w:rsidRDefault="000C7C76" w:rsidP="006F7E38">
      <w:pPr>
        <w:pStyle w:val="FootnoteText"/>
        <w:jc w:val="both"/>
      </w:pPr>
      <w:r>
        <w:rPr>
          <w:rStyle w:val="FootnoteReference"/>
        </w:rPr>
        <w:footnoteRef/>
      </w:r>
      <w:r>
        <w:t xml:space="preserve"> </w:t>
      </w:r>
      <w:r w:rsidRPr="006F7E38">
        <w:t xml:space="preserve">Kohler M., Buschbaum M. Die </w:t>
      </w:r>
      <w:r>
        <w:t>„</w:t>
      </w:r>
      <w:r w:rsidRPr="006F7E38">
        <w:t>Anerkennung</w:t>
      </w:r>
      <w:r>
        <w:t>“</w:t>
      </w:r>
      <w:r w:rsidRPr="006F7E38">
        <w:t xml:space="preserve"> öffentlicher </w:t>
      </w:r>
      <w:proofErr w:type="gramStart"/>
      <w:r w:rsidRPr="006F7E38">
        <w:t>Urkunden ?</w:t>
      </w:r>
      <w:proofErr w:type="gramEnd"/>
      <w:r w:rsidRPr="006F7E38">
        <w:t xml:space="preserve"> – Kritische Gedanken über einen zweifelhaften Ansatz in der EU-Kollisionsrechtsvereinheitlichung // </w:t>
      </w:r>
      <w:proofErr w:type="spellStart"/>
      <w:r w:rsidRPr="006F7E38">
        <w:t>IPRax</w:t>
      </w:r>
      <w:proofErr w:type="spellEnd"/>
      <w:r w:rsidRPr="006F7E38">
        <w:t>, 2010, S. 314.</w:t>
      </w:r>
    </w:p>
  </w:footnote>
  <w:footnote w:id="81">
    <w:p w14:paraId="1EC1E0A3" w14:textId="7ABB5063" w:rsidR="000C7C76" w:rsidRPr="00BF783F" w:rsidRDefault="000C7C76" w:rsidP="00BF783F">
      <w:pPr>
        <w:pStyle w:val="FootnoteText"/>
        <w:jc w:val="both"/>
        <w:rPr>
          <w:lang w:val="fr-FR"/>
        </w:rPr>
      </w:pPr>
      <w:r>
        <w:rPr>
          <w:rStyle w:val="FootnoteReference"/>
        </w:rPr>
        <w:footnoteRef/>
      </w:r>
      <w:r>
        <w:t xml:space="preserve"> </w:t>
      </w:r>
      <w:proofErr w:type="spellStart"/>
      <w:r>
        <w:rPr>
          <w:lang w:val="fr-FR"/>
        </w:rPr>
        <w:t>Cannata</w:t>
      </w:r>
      <w:proofErr w:type="spellEnd"/>
      <w:r>
        <w:rPr>
          <w:lang w:val="fr-FR"/>
        </w:rPr>
        <w:t xml:space="preserve"> C.A. Aperçu historique du notariat européen // Revue Suisse du Notariat et du Registre foncier. 1986, n° 4, p. 205.</w:t>
      </w:r>
    </w:p>
  </w:footnote>
  <w:footnote w:id="82">
    <w:p w14:paraId="50307174" w14:textId="77777777" w:rsidR="000C7C76" w:rsidRPr="00565D81" w:rsidRDefault="000C7C76" w:rsidP="00114953">
      <w:pPr>
        <w:pStyle w:val="FootnoteText"/>
        <w:rPr>
          <w:lang w:val="lv-LV"/>
        </w:rPr>
      </w:pPr>
      <w:r w:rsidRPr="00565D81">
        <w:rPr>
          <w:rStyle w:val="FootnoteReference"/>
        </w:rPr>
        <w:footnoteRef/>
      </w:r>
      <w:r w:rsidRPr="00565D81">
        <w:t xml:space="preserve"> </w:t>
      </w:r>
      <w:r w:rsidRPr="00565D81">
        <w:rPr>
          <w:lang w:val="lv-LV"/>
        </w:rPr>
        <w:t>Šādu legalizācijas skaidrojumu sniedz Latvijas Republikas Ārlietu ministrija. Skat.: Dokumentu apliecināšana ar “</w:t>
      </w:r>
      <w:proofErr w:type="spellStart"/>
      <w:r w:rsidRPr="00565D81">
        <w:rPr>
          <w:lang w:val="lv-LV"/>
        </w:rPr>
        <w:t>Apostille</w:t>
      </w:r>
      <w:proofErr w:type="spellEnd"/>
      <w:r w:rsidRPr="00565D81">
        <w:rPr>
          <w:lang w:val="lv-LV"/>
        </w:rPr>
        <w:t xml:space="preserve">” un legalizācija. </w:t>
      </w:r>
      <w:r w:rsidR="00000000">
        <w:fldChar w:fldCharType="begin"/>
      </w:r>
      <w:r w:rsidR="00000000">
        <w:instrText>HYPERLINK "http://www.am.gov.lv"</w:instrText>
      </w:r>
      <w:r w:rsidR="00000000">
        <w:fldChar w:fldCharType="separate"/>
      </w:r>
      <w:r w:rsidRPr="00565D81">
        <w:rPr>
          <w:rStyle w:val="Hyperlink"/>
          <w:color w:val="auto"/>
          <w:lang w:val="lv-LV"/>
        </w:rPr>
        <w:t>www.am.gov.lv</w:t>
      </w:r>
      <w:r w:rsidR="00000000">
        <w:rPr>
          <w:rStyle w:val="Hyperlink"/>
          <w:color w:val="auto"/>
          <w:lang w:val="lv-LV"/>
        </w:rPr>
        <w:fldChar w:fldCharType="end"/>
      </w:r>
      <w:r w:rsidRPr="00565D81">
        <w:rPr>
          <w:lang w:val="lv-LV"/>
        </w:rPr>
        <w:t xml:space="preserve"> [aplūkots 2017.gada 9.jūlijā].</w:t>
      </w:r>
    </w:p>
  </w:footnote>
  <w:footnote w:id="83">
    <w:p w14:paraId="6D7D4BE6" w14:textId="77777777" w:rsidR="000C7C76" w:rsidRPr="000C7C76" w:rsidRDefault="000C7C76" w:rsidP="00114953">
      <w:pPr>
        <w:pStyle w:val="FootnoteText"/>
        <w:jc w:val="both"/>
        <w:rPr>
          <w:lang w:val="en-US"/>
        </w:rPr>
      </w:pPr>
      <w:r w:rsidRPr="00565D81">
        <w:rPr>
          <w:rStyle w:val="FootnoteReference"/>
        </w:rPr>
        <w:footnoteRef/>
      </w:r>
      <w:r w:rsidRPr="00565D81">
        <w:t xml:space="preserve"> </w:t>
      </w:r>
      <w:r w:rsidRPr="000C7C76">
        <w:rPr>
          <w:lang w:val="en-US"/>
        </w:rPr>
        <w:t xml:space="preserve">The ABCs of Apostilles. How to Ensure that your Public Documents will be </w:t>
      </w:r>
      <w:proofErr w:type="spellStart"/>
      <w:r w:rsidRPr="000C7C76">
        <w:rPr>
          <w:lang w:val="en-US"/>
        </w:rPr>
        <w:t>Recognised</w:t>
      </w:r>
      <w:proofErr w:type="spellEnd"/>
      <w:r w:rsidRPr="000C7C76">
        <w:rPr>
          <w:lang w:val="en-US"/>
        </w:rPr>
        <w:t xml:space="preserve"> Abroad. The Hague: Permanent Bureau, 2010, p. 23. </w:t>
      </w:r>
    </w:p>
  </w:footnote>
  <w:footnote w:id="84">
    <w:p w14:paraId="7AD5B1CF" w14:textId="77777777" w:rsidR="000C7C76" w:rsidRPr="000C7C76" w:rsidRDefault="000C7C76" w:rsidP="00114953">
      <w:pPr>
        <w:pStyle w:val="FootnoteText"/>
        <w:jc w:val="both"/>
        <w:rPr>
          <w:lang w:val="en-US"/>
        </w:rPr>
      </w:pPr>
      <w:r w:rsidRPr="00565D81">
        <w:rPr>
          <w:rStyle w:val="FootnoteReference"/>
        </w:rPr>
        <w:footnoteRef/>
      </w:r>
      <w:r w:rsidRPr="00565D81">
        <w:t xml:space="preserve"> </w:t>
      </w:r>
      <w:r w:rsidRPr="000C7C76">
        <w:rPr>
          <w:i/>
          <w:iCs/>
          <w:lang w:val="en-US"/>
        </w:rPr>
        <w:t>Ibid</w:t>
      </w:r>
      <w:r w:rsidRPr="000C7C76">
        <w:rPr>
          <w:lang w:val="en-US"/>
        </w:rPr>
        <w:t>., p. 23.</w:t>
      </w:r>
    </w:p>
  </w:footnote>
  <w:footnote w:id="85">
    <w:p w14:paraId="73134AC2" w14:textId="77777777" w:rsidR="000C7C76" w:rsidRPr="00565D81" w:rsidRDefault="000C7C76" w:rsidP="00114953">
      <w:pPr>
        <w:pStyle w:val="FootnoteText"/>
        <w:jc w:val="both"/>
        <w:rPr>
          <w:lang w:val="lv-LV"/>
        </w:rPr>
      </w:pPr>
      <w:r w:rsidRPr="00565D81">
        <w:rPr>
          <w:rStyle w:val="FootnoteReference"/>
        </w:rPr>
        <w:footnoteRef/>
      </w:r>
      <w:r w:rsidRPr="00565D81">
        <w:t xml:space="preserve"> </w:t>
      </w:r>
      <w:r w:rsidRPr="000C7C76">
        <w:rPr>
          <w:lang w:val="en-US"/>
        </w:rPr>
        <w:t xml:space="preserve">Conclusions and Recommendations of the Special Commission on the Practical Operation of the Apostille Convention (6-9 </w:t>
      </w:r>
      <w:proofErr w:type="gramStart"/>
      <w:r w:rsidRPr="000C7C76">
        <w:rPr>
          <w:lang w:val="en-US"/>
        </w:rPr>
        <w:t>November,</w:t>
      </w:r>
      <w:proofErr w:type="gramEnd"/>
      <w:r w:rsidRPr="000C7C76">
        <w:rPr>
          <w:lang w:val="en-US"/>
        </w:rPr>
        <w:t xml:space="preserve"> 2012). The Hague: Permanent Bureau, 2012, </w:t>
      </w:r>
      <w:r w:rsidRPr="00565D81">
        <w:rPr>
          <w:lang w:val="lv-LV"/>
        </w:rPr>
        <w:t>p. 5.</w:t>
      </w:r>
    </w:p>
  </w:footnote>
  <w:footnote w:id="86">
    <w:p w14:paraId="4627D85B" w14:textId="77777777" w:rsidR="000C7C76" w:rsidRPr="00565D81" w:rsidRDefault="000C7C76" w:rsidP="00114953">
      <w:pPr>
        <w:pStyle w:val="FootnoteText"/>
        <w:jc w:val="both"/>
        <w:rPr>
          <w:lang w:val="lv-LV"/>
        </w:rPr>
      </w:pPr>
      <w:r w:rsidRPr="00565D81">
        <w:rPr>
          <w:rStyle w:val="FootnoteReference"/>
        </w:rPr>
        <w:footnoteRef/>
      </w:r>
      <w:r w:rsidRPr="00565D81">
        <w:t xml:space="preserve"> </w:t>
      </w:r>
      <w:r w:rsidRPr="00565D81">
        <w:rPr>
          <w:rFonts w:cs="Arial"/>
        </w:rPr>
        <w:t xml:space="preserve">1961.gada 5.oktobra </w:t>
      </w:r>
      <w:proofErr w:type="spellStart"/>
      <w:r w:rsidRPr="00565D81">
        <w:rPr>
          <w:rFonts w:cs="Arial"/>
        </w:rPr>
        <w:t>Hāgas</w:t>
      </w:r>
      <w:proofErr w:type="spellEnd"/>
      <w:r w:rsidRPr="00565D81">
        <w:rPr>
          <w:rFonts w:cs="Arial"/>
        </w:rPr>
        <w:t xml:space="preserve"> </w:t>
      </w:r>
      <w:proofErr w:type="spellStart"/>
      <w:r w:rsidRPr="00565D81">
        <w:rPr>
          <w:rFonts w:cs="Arial"/>
        </w:rPr>
        <w:t>konvencija</w:t>
      </w:r>
      <w:proofErr w:type="spellEnd"/>
      <w:r w:rsidRPr="00565D81">
        <w:rPr>
          <w:rFonts w:cs="Arial"/>
        </w:rPr>
        <w:t xml:space="preserve"> </w:t>
      </w:r>
      <w:r w:rsidRPr="00565D81">
        <w:rPr>
          <w:rFonts w:asciiTheme="majorBidi" w:hAnsiTheme="majorBidi" w:cstheme="majorBidi"/>
          <w:bCs/>
        </w:rPr>
        <w:t xml:space="preserve">par </w:t>
      </w:r>
      <w:proofErr w:type="spellStart"/>
      <w:r w:rsidRPr="00565D81">
        <w:rPr>
          <w:rFonts w:asciiTheme="majorBidi" w:hAnsiTheme="majorBidi" w:cstheme="majorBidi"/>
          <w:bCs/>
        </w:rPr>
        <w:t>ārvalstu</w:t>
      </w:r>
      <w:proofErr w:type="spellEnd"/>
      <w:r w:rsidRPr="00565D81">
        <w:rPr>
          <w:rFonts w:asciiTheme="majorBidi" w:hAnsiTheme="majorBidi" w:cstheme="majorBidi"/>
          <w:bCs/>
        </w:rPr>
        <w:t xml:space="preserve"> </w:t>
      </w:r>
      <w:proofErr w:type="spellStart"/>
      <w:r w:rsidRPr="00565D81">
        <w:rPr>
          <w:rFonts w:asciiTheme="majorBidi" w:hAnsiTheme="majorBidi" w:cstheme="majorBidi"/>
          <w:bCs/>
        </w:rPr>
        <w:t>publisko</w:t>
      </w:r>
      <w:proofErr w:type="spellEnd"/>
      <w:r w:rsidRPr="00565D81">
        <w:rPr>
          <w:rFonts w:asciiTheme="majorBidi" w:hAnsiTheme="majorBidi" w:cstheme="majorBidi"/>
          <w:bCs/>
        </w:rPr>
        <w:t xml:space="preserve"> </w:t>
      </w:r>
      <w:proofErr w:type="spellStart"/>
      <w:r w:rsidRPr="00565D81">
        <w:rPr>
          <w:rFonts w:asciiTheme="majorBidi" w:hAnsiTheme="majorBidi" w:cstheme="majorBidi"/>
          <w:bCs/>
        </w:rPr>
        <w:t>dokumentu</w:t>
      </w:r>
      <w:proofErr w:type="spellEnd"/>
      <w:r w:rsidRPr="00565D81">
        <w:rPr>
          <w:rFonts w:asciiTheme="majorBidi" w:hAnsiTheme="majorBidi" w:cstheme="majorBidi"/>
          <w:bCs/>
        </w:rPr>
        <w:t xml:space="preserve"> </w:t>
      </w:r>
      <w:proofErr w:type="spellStart"/>
      <w:r w:rsidRPr="00565D81">
        <w:rPr>
          <w:rFonts w:asciiTheme="majorBidi" w:hAnsiTheme="majorBidi" w:cstheme="majorBidi"/>
          <w:bCs/>
        </w:rPr>
        <w:t>legalizācijas</w:t>
      </w:r>
      <w:proofErr w:type="spellEnd"/>
      <w:r w:rsidRPr="00565D81">
        <w:rPr>
          <w:rFonts w:asciiTheme="majorBidi" w:hAnsiTheme="majorBidi" w:cstheme="majorBidi"/>
          <w:bCs/>
        </w:rPr>
        <w:t xml:space="preserve"> </w:t>
      </w:r>
      <w:proofErr w:type="spellStart"/>
      <w:r w:rsidRPr="00565D81">
        <w:rPr>
          <w:rFonts w:asciiTheme="majorBidi" w:hAnsiTheme="majorBidi" w:cstheme="majorBidi"/>
          <w:bCs/>
        </w:rPr>
        <w:t>prasības</w:t>
      </w:r>
      <w:proofErr w:type="spellEnd"/>
      <w:r w:rsidRPr="00565D81">
        <w:rPr>
          <w:rFonts w:asciiTheme="majorBidi" w:hAnsiTheme="majorBidi" w:cstheme="majorBidi"/>
          <w:bCs/>
        </w:rPr>
        <w:t xml:space="preserve"> </w:t>
      </w:r>
      <w:proofErr w:type="spellStart"/>
      <w:r w:rsidRPr="00565D81">
        <w:rPr>
          <w:rFonts w:asciiTheme="majorBidi" w:hAnsiTheme="majorBidi" w:cstheme="majorBidi"/>
          <w:bCs/>
        </w:rPr>
        <w:t>atcelšanu</w:t>
      </w:r>
      <w:proofErr w:type="spellEnd"/>
      <w:r w:rsidRPr="00565D81">
        <w:rPr>
          <w:rFonts w:asciiTheme="majorBidi" w:hAnsiTheme="majorBidi" w:cstheme="majorBidi"/>
          <w:bCs/>
        </w:rPr>
        <w:t xml:space="preserve">: LR </w:t>
      </w:r>
      <w:proofErr w:type="spellStart"/>
      <w:r w:rsidRPr="00565D81">
        <w:rPr>
          <w:rFonts w:asciiTheme="majorBidi" w:hAnsiTheme="majorBidi" w:cstheme="majorBidi"/>
          <w:bCs/>
        </w:rPr>
        <w:t>starptautisks</w:t>
      </w:r>
      <w:proofErr w:type="spellEnd"/>
      <w:r w:rsidRPr="00565D81">
        <w:rPr>
          <w:rFonts w:asciiTheme="majorBidi" w:hAnsiTheme="majorBidi" w:cstheme="majorBidi"/>
          <w:bCs/>
        </w:rPr>
        <w:t xml:space="preserve"> </w:t>
      </w:r>
      <w:proofErr w:type="spellStart"/>
      <w:r w:rsidRPr="00565D81">
        <w:rPr>
          <w:rFonts w:asciiTheme="majorBidi" w:hAnsiTheme="majorBidi" w:cstheme="majorBidi"/>
          <w:bCs/>
        </w:rPr>
        <w:t>līgums</w:t>
      </w:r>
      <w:proofErr w:type="spellEnd"/>
      <w:r w:rsidRPr="00565D81">
        <w:rPr>
          <w:rFonts w:asciiTheme="majorBidi" w:hAnsiTheme="majorBidi" w:cstheme="majorBidi"/>
          <w:bCs/>
        </w:rPr>
        <w:t xml:space="preserve">. Latvijas </w:t>
      </w:r>
      <w:proofErr w:type="spellStart"/>
      <w:r w:rsidRPr="00565D81">
        <w:rPr>
          <w:rFonts w:asciiTheme="majorBidi" w:hAnsiTheme="majorBidi" w:cstheme="majorBidi"/>
          <w:bCs/>
        </w:rPr>
        <w:t>Vēstnesis</w:t>
      </w:r>
      <w:proofErr w:type="spellEnd"/>
      <w:r w:rsidRPr="00565D81">
        <w:rPr>
          <w:rFonts w:asciiTheme="majorBidi" w:hAnsiTheme="majorBidi" w:cstheme="majorBidi"/>
          <w:bCs/>
        </w:rPr>
        <w:t xml:space="preserve">, 1996. 30.janvāris, </w:t>
      </w:r>
      <w:proofErr w:type="spellStart"/>
      <w:r w:rsidRPr="00565D81">
        <w:rPr>
          <w:rFonts w:asciiTheme="majorBidi" w:hAnsiTheme="majorBidi" w:cstheme="majorBidi"/>
          <w:bCs/>
        </w:rPr>
        <w:t>nr.</w:t>
      </w:r>
      <w:proofErr w:type="spellEnd"/>
      <w:r w:rsidRPr="00565D81">
        <w:rPr>
          <w:rFonts w:asciiTheme="majorBidi" w:hAnsiTheme="majorBidi" w:cstheme="majorBidi"/>
          <w:bCs/>
        </w:rPr>
        <w:t xml:space="preserve"> 26.</w:t>
      </w:r>
    </w:p>
  </w:footnote>
  <w:footnote w:id="87">
    <w:p w14:paraId="01A3F9D9" w14:textId="77777777" w:rsidR="000C7C76" w:rsidRPr="00565D81" w:rsidRDefault="000C7C76" w:rsidP="00114953">
      <w:pPr>
        <w:pStyle w:val="FootnoteText"/>
        <w:rPr>
          <w:lang w:val="lv-LV"/>
        </w:rPr>
      </w:pPr>
      <w:r w:rsidRPr="00565D81">
        <w:rPr>
          <w:rStyle w:val="FootnoteReference"/>
        </w:rPr>
        <w:footnoteRef/>
      </w:r>
      <w:r w:rsidRPr="00565D81">
        <w:t xml:space="preserve"> </w:t>
      </w:r>
      <w:r w:rsidRPr="00565D81">
        <w:rPr>
          <w:lang w:val="lv-LV"/>
        </w:rPr>
        <w:t>Hāgas Dokumentu legalizācijas atcelšanas konvencijas 2.panta 1.teikums nosaka: “Katra līgumslēdzēja valsts atbrīvos no legalizācijas dokumentus, kuriem piemērojama šī Konvencija un kurus jāuzrāda tās teritorijā.”</w:t>
      </w:r>
    </w:p>
  </w:footnote>
  <w:footnote w:id="88">
    <w:p w14:paraId="0AB4A4B2" w14:textId="77777777" w:rsidR="000C7C76" w:rsidRPr="00565D81" w:rsidRDefault="000C7C76" w:rsidP="00114953">
      <w:pPr>
        <w:pStyle w:val="FootnoteText"/>
        <w:jc w:val="both"/>
        <w:rPr>
          <w:lang w:val="lv-LV"/>
        </w:rPr>
      </w:pPr>
      <w:r w:rsidRPr="00565D81">
        <w:rPr>
          <w:rStyle w:val="FootnoteReference"/>
        </w:rPr>
        <w:footnoteRef/>
      </w:r>
      <w:r w:rsidRPr="00565D81">
        <w:t xml:space="preserve"> </w:t>
      </w:r>
      <w:proofErr w:type="spellStart"/>
      <w:r w:rsidRPr="00565D81">
        <w:rPr>
          <w:lang w:val="fr-FR"/>
        </w:rPr>
        <w:t>Loussouarn</w:t>
      </w:r>
      <w:proofErr w:type="spellEnd"/>
      <w:r w:rsidRPr="00565D81">
        <w:rPr>
          <w:lang w:val="fr-FR"/>
        </w:rPr>
        <w:t xml:space="preserve"> Y. Rapport explicatif. Convention de La Haye supprimant l’exigence de la légalisation des actes publics étrangers. 1961. Actes et documents de la Neuvième session (1960), t. II, Légalisation. Publications de la HCCH, p. 3, 4.</w:t>
      </w:r>
    </w:p>
  </w:footnote>
  <w:footnote w:id="89">
    <w:p w14:paraId="4F1EF03E" w14:textId="77777777" w:rsidR="000C7C76" w:rsidRPr="00565D81" w:rsidRDefault="000C7C76" w:rsidP="00114953">
      <w:pPr>
        <w:pStyle w:val="FootnoteText"/>
        <w:rPr>
          <w:lang w:val="lv-LV"/>
        </w:rPr>
      </w:pPr>
      <w:r w:rsidRPr="00565D81">
        <w:rPr>
          <w:rStyle w:val="FootnoteReference"/>
        </w:rPr>
        <w:footnoteRef/>
      </w:r>
      <w:r w:rsidRPr="00565D81">
        <w:t xml:space="preserve"> </w:t>
      </w:r>
      <w:proofErr w:type="spellStart"/>
      <w:r w:rsidRPr="003B0C82">
        <w:rPr>
          <w:i/>
          <w:lang w:val="lv-LV"/>
        </w:rPr>
        <w:t>Ibid</w:t>
      </w:r>
      <w:proofErr w:type="spellEnd"/>
      <w:r w:rsidRPr="003B0C82">
        <w:rPr>
          <w:i/>
          <w:lang w:val="lv-LV"/>
        </w:rPr>
        <w:t>.</w:t>
      </w:r>
      <w:r w:rsidRPr="00565D81">
        <w:rPr>
          <w:lang w:val="lv-LV"/>
        </w:rPr>
        <w:t>, p. 4.</w:t>
      </w:r>
    </w:p>
  </w:footnote>
  <w:footnote w:id="90">
    <w:p w14:paraId="70F36CF9" w14:textId="54976FB9" w:rsidR="000C7C76" w:rsidRPr="00565D81" w:rsidRDefault="000C7C76" w:rsidP="00114953">
      <w:pPr>
        <w:pStyle w:val="FootnoteText"/>
        <w:rPr>
          <w:lang w:val="lv-LV"/>
        </w:rPr>
      </w:pPr>
      <w:r w:rsidRPr="00565D81">
        <w:rPr>
          <w:rStyle w:val="FootnoteReference"/>
        </w:rPr>
        <w:footnoteRef/>
      </w:r>
      <w:r w:rsidRPr="00565D81">
        <w:t xml:space="preserve"> </w:t>
      </w:r>
      <w:proofErr w:type="spellStart"/>
      <w:r w:rsidRPr="003B0C82">
        <w:rPr>
          <w:i/>
          <w:lang w:val="lv-LV"/>
        </w:rPr>
        <w:t>Ibid</w:t>
      </w:r>
      <w:proofErr w:type="spellEnd"/>
      <w:r w:rsidRPr="00565D81">
        <w:rPr>
          <w:lang w:val="lv-LV"/>
        </w:rPr>
        <w:t>., p.</w:t>
      </w:r>
      <w:r>
        <w:rPr>
          <w:lang w:val="lv-LV"/>
        </w:rPr>
        <w:t xml:space="preserve"> </w:t>
      </w:r>
      <w:r w:rsidRPr="00565D81">
        <w:rPr>
          <w:lang w:val="lv-LV"/>
        </w:rPr>
        <w:t>4.</w:t>
      </w:r>
    </w:p>
  </w:footnote>
  <w:footnote w:id="91">
    <w:p w14:paraId="45A88AF0" w14:textId="403BE39A" w:rsidR="000C7C76" w:rsidRPr="005F6CA9" w:rsidRDefault="000C7C76" w:rsidP="00114953">
      <w:pPr>
        <w:pStyle w:val="FootnoteText"/>
        <w:jc w:val="both"/>
        <w:rPr>
          <w:lang w:val="fr-FR"/>
        </w:rPr>
      </w:pPr>
      <w:r w:rsidRPr="00565D81">
        <w:rPr>
          <w:rStyle w:val="FootnoteReference"/>
        </w:rPr>
        <w:footnoteRef/>
      </w:r>
      <w:r w:rsidRPr="00565D81">
        <w:t xml:space="preserve"> </w:t>
      </w:r>
      <w:proofErr w:type="spellStart"/>
      <w:r w:rsidRPr="00565D81">
        <w:rPr>
          <w:lang w:val="fr-FR"/>
        </w:rPr>
        <w:t>Reithmann</w:t>
      </w:r>
      <w:proofErr w:type="spellEnd"/>
      <w:r w:rsidRPr="00565D81">
        <w:rPr>
          <w:lang w:val="fr-FR"/>
        </w:rPr>
        <w:t xml:space="preserve"> Ch. </w:t>
      </w:r>
      <w:proofErr w:type="spellStart"/>
      <w:r w:rsidRPr="00565D81">
        <w:rPr>
          <w:lang w:val="fr-FR"/>
        </w:rPr>
        <w:t>Urkunden</w:t>
      </w:r>
      <w:proofErr w:type="spellEnd"/>
      <w:r w:rsidRPr="005F6CA9">
        <w:rPr>
          <w:lang w:val="fr-FR"/>
        </w:rPr>
        <w:t xml:space="preserve"> </w:t>
      </w:r>
      <w:proofErr w:type="spellStart"/>
      <w:r w:rsidRPr="005F6CA9">
        <w:rPr>
          <w:lang w:val="fr-FR"/>
        </w:rPr>
        <w:t>ausländischer</w:t>
      </w:r>
      <w:proofErr w:type="spellEnd"/>
      <w:r w:rsidRPr="005F6CA9">
        <w:rPr>
          <w:lang w:val="fr-FR"/>
        </w:rPr>
        <w:t xml:space="preserve"> </w:t>
      </w:r>
      <w:proofErr w:type="spellStart"/>
      <w:r w:rsidRPr="005F6CA9">
        <w:rPr>
          <w:lang w:val="fr-FR"/>
        </w:rPr>
        <w:t>N</w:t>
      </w:r>
      <w:r>
        <w:rPr>
          <w:lang w:val="fr-FR"/>
        </w:rPr>
        <w:t>otare</w:t>
      </w:r>
      <w:proofErr w:type="spellEnd"/>
      <w:r>
        <w:rPr>
          <w:lang w:val="fr-FR"/>
        </w:rPr>
        <w:t xml:space="preserve"> in </w:t>
      </w:r>
      <w:proofErr w:type="spellStart"/>
      <w:r>
        <w:rPr>
          <w:lang w:val="fr-FR"/>
        </w:rPr>
        <w:t>inländischen</w:t>
      </w:r>
      <w:proofErr w:type="spellEnd"/>
      <w:r>
        <w:rPr>
          <w:lang w:val="fr-FR"/>
        </w:rPr>
        <w:t xml:space="preserve"> </w:t>
      </w:r>
      <w:proofErr w:type="spellStart"/>
      <w:r>
        <w:rPr>
          <w:lang w:val="fr-FR"/>
        </w:rPr>
        <w:t>Verfahren</w:t>
      </w:r>
      <w:proofErr w:type="spellEnd"/>
      <w:r>
        <w:rPr>
          <w:lang w:val="fr-FR"/>
        </w:rPr>
        <w:t xml:space="preserve"> //</w:t>
      </w:r>
      <w:r w:rsidRPr="005F6CA9">
        <w:rPr>
          <w:lang w:val="fr-FR"/>
        </w:rPr>
        <w:t xml:space="preserve"> Praxis des </w:t>
      </w:r>
      <w:proofErr w:type="spellStart"/>
      <w:r w:rsidRPr="005F6CA9">
        <w:rPr>
          <w:lang w:val="fr-FR"/>
        </w:rPr>
        <w:t>Internationalen</w:t>
      </w:r>
      <w:proofErr w:type="spellEnd"/>
      <w:r w:rsidRPr="005F6CA9">
        <w:rPr>
          <w:lang w:val="fr-FR"/>
        </w:rPr>
        <w:t xml:space="preserve"> Privat- </w:t>
      </w:r>
      <w:proofErr w:type="spellStart"/>
      <w:r w:rsidRPr="005F6CA9">
        <w:rPr>
          <w:lang w:val="fr-FR"/>
        </w:rPr>
        <w:t>und</w:t>
      </w:r>
      <w:proofErr w:type="spellEnd"/>
      <w:r w:rsidRPr="005F6CA9">
        <w:rPr>
          <w:lang w:val="fr-FR"/>
        </w:rPr>
        <w:t xml:space="preserve"> </w:t>
      </w:r>
      <w:proofErr w:type="spellStart"/>
      <w:r w:rsidRPr="005F6CA9">
        <w:rPr>
          <w:lang w:val="fr-FR"/>
        </w:rPr>
        <w:t>Verfahrensrechts</w:t>
      </w:r>
      <w:proofErr w:type="spellEnd"/>
      <w:r w:rsidRPr="005F6CA9">
        <w:rPr>
          <w:lang w:val="fr-FR"/>
        </w:rPr>
        <w:t xml:space="preserve"> (</w:t>
      </w:r>
      <w:proofErr w:type="spellStart"/>
      <w:r w:rsidRPr="005F6CA9">
        <w:rPr>
          <w:lang w:val="fr-FR"/>
        </w:rPr>
        <w:t>IPRax</w:t>
      </w:r>
      <w:proofErr w:type="spellEnd"/>
      <w:r w:rsidRPr="005F6CA9">
        <w:rPr>
          <w:lang w:val="fr-FR"/>
        </w:rPr>
        <w:t>), 2012, Nr. 2, S. 133, 134.</w:t>
      </w:r>
    </w:p>
  </w:footnote>
  <w:footnote w:id="92">
    <w:p w14:paraId="30D64ED4" w14:textId="6151A98D" w:rsidR="000C7C76" w:rsidRPr="000C7C76" w:rsidRDefault="000C7C76" w:rsidP="00044C64">
      <w:pPr>
        <w:pStyle w:val="FootnoteText"/>
        <w:jc w:val="both"/>
        <w:rPr>
          <w:lang w:val="en-US"/>
        </w:rPr>
      </w:pPr>
      <w:r>
        <w:rPr>
          <w:rStyle w:val="FootnoteReference"/>
        </w:rPr>
        <w:footnoteRef/>
      </w:r>
      <w:r>
        <w:t xml:space="preserve"> </w:t>
      </w:r>
      <w:proofErr w:type="spellStart"/>
      <w:r w:rsidRPr="000C7C76">
        <w:rPr>
          <w:lang w:val="en-US"/>
        </w:rPr>
        <w:t>Reithmann</w:t>
      </w:r>
      <w:proofErr w:type="spellEnd"/>
      <w:r w:rsidRPr="000C7C76">
        <w:rPr>
          <w:lang w:val="en-US"/>
        </w:rPr>
        <w:t xml:space="preserve"> Ch. </w:t>
      </w:r>
      <w:proofErr w:type="spellStart"/>
      <w:r w:rsidRPr="000C7C76">
        <w:rPr>
          <w:lang w:val="en-US"/>
        </w:rPr>
        <w:t>Vertretungsbescheinigungen</w:t>
      </w:r>
      <w:proofErr w:type="spellEnd"/>
      <w:r w:rsidRPr="000C7C76">
        <w:rPr>
          <w:lang w:val="en-US"/>
        </w:rPr>
        <w:t xml:space="preserve"> </w:t>
      </w:r>
      <w:proofErr w:type="spellStart"/>
      <w:r w:rsidRPr="000C7C76">
        <w:rPr>
          <w:lang w:val="en-US"/>
        </w:rPr>
        <w:t>ausländischer</w:t>
      </w:r>
      <w:proofErr w:type="spellEnd"/>
      <w:r w:rsidRPr="000C7C76">
        <w:rPr>
          <w:lang w:val="en-US"/>
        </w:rPr>
        <w:t xml:space="preserve"> </w:t>
      </w:r>
      <w:proofErr w:type="spellStart"/>
      <w:r w:rsidRPr="000C7C76">
        <w:rPr>
          <w:lang w:val="en-US"/>
        </w:rPr>
        <w:t>Notare</w:t>
      </w:r>
      <w:proofErr w:type="spellEnd"/>
      <w:r w:rsidRPr="000C7C76">
        <w:rPr>
          <w:lang w:val="en-US"/>
        </w:rPr>
        <w:t xml:space="preserve"> // </w:t>
      </w:r>
      <w:proofErr w:type="spellStart"/>
      <w:r w:rsidRPr="000C7C76">
        <w:rPr>
          <w:lang w:val="en-US"/>
        </w:rPr>
        <w:t>NotBZ</w:t>
      </w:r>
      <w:proofErr w:type="spellEnd"/>
      <w:r w:rsidRPr="000C7C76">
        <w:rPr>
          <w:lang w:val="en-US"/>
        </w:rPr>
        <w:t xml:space="preserve"> 2016, Köln, S. 129.</w:t>
      </w:r>
    </w:p>
  </w:footnote>
  <w:footnote w:id="93">
    <w:p w14:paraId="1C54EC31" w14:textId="670194E9" w:rsidR="000C7C76" w:rsidRPr="00044C64" w:rsidRDefault="000C7C76" w:rsidP="00044C64">
      <w:pPr>
        <w:pStyle w:val="FootnoteText"/>
        <w:jc w:val="both"/>
        <w:rPr>
          <w:lang w:val="lv-LV"/>
        </w:rPr>
      </w:pPr>
      <w:r>
        <w:rPr>
          <w:rStyle w:val="FootnoteReference"/>
        </w:rPr>
        <w:footnoteRef/>
      </w:r>
      <w:r>
        <w:t xml:space="preserve"> </w:t>
      </w:r>
      <w:r>
        <w:rPr>
          <w:lang w:val="lv-LV"/>
        </w:rPr>
        <w:t>Šī prasība izriet no Dokumentu legalizācijas likuma 10.panta otrās daļas un 3.panta.</w:t>
      </w:r>
    </w:p>
  </w:footnote>
  <w:footnote w:id="94">
    <w:p w14:paraId="14E400CC" w14:textId="20BCC9EF" w:rsidR="000C7C76" w:rsidRPr="003D75B3" w:rsidRDefault="000C7C76" w:rsidP="003D75B3">
      <w:pPr>
        <w:pStyle w:val="FootnoteText"/>
        <w:jc w:val="both"/>
        <w:rPr>
          <w:lang w:val="lv-LV"/>
        </w:rPr>
      </w:pPr>
      <w:r>
        <w:rPr>
          <w:rStyle w:val="FootnoteReference"/>
        </w:rPr>
        <w:footnoteRef/>
      </w:r>
      <w:r>
        <w:t xml:space="preserve"> </w:t>
      </w:r>
      <w:proofErr w:type="spellStart"/>
      <w:r w:rsidRPr="000C7C76">
        <w:rPr>
          <w:lang w:val="en-US"/>
        </w:rPr>
        <w:t>Reithmann</w:t>
      </w:r>
      <w:proofErr w:type="spellEnd"/>
      <w:r w:rsidRPr="000C7C76">
        <w:rPr>
          <w:lang w:val="en-US"/>
        </w:rPr>
        <w:t xml:space="preserve"> Ch. </w:t>
      </w:r>
      <w:proofErr w:type="spellStart"/>
      <w:r w:rsidRPr="000C7C76">
        <w:rPr>
          <w:lang w:val="en-US"/>
        </w:rPr>
        <w:t>Urkunden</w:t>
      </w:r>
      <w:proofErr w:type="spellEnd"/>
      <w:r w:rsidRPr="000C7C76">
        <w:rPr>
          <w:lang w:val="en-US"/>
        </w:rPr>
        <w:t xml:space="preserve"> </w:t>
      </w:r>
      <w:proofErr w:type="spellStart"/>
      <w:r w:rsidRPr="000C7C76">
        <w:rPr>
          <w:lang w:val="en-US"/>
        </w:rPr>
        <w:t>ausländischer</w:t>
      </w:r>
      <w:proofErr w:type="spellEnd"/>
      <w:r w:rsidRPr="000C7C76">
        <w:rPr>
          <w:lang w:val="en-US"/>
        </w:rPr>
        <w:t xml:space="preserve"> </w:t>
      </w:r>
      <w:proofErr w:type="spellStart"/>
      <w:r w:rsidRPr="000C7C76">
        <w:rPr>
          <w:lang w:val="en-US"/>
        </w:rPr>
        <w:t>Notare</w:t>
      </w:r>
      <w:proofErr w:type="spellEnd"/>
      <w:r w:rsidRPr="000C7C76">
        <w:rPr>
          <w:lang w:val="en-US"/>
        </w:rPr>
        <w:t xml:space="preserve"> in </w:t>
      </w:r>
      <w:proofErr w:type="spellStart"/>
      <w:r w:rsidRPr="000C7C76">
        <w:rPr>
          <w:lang w:val="en-US"/>
        </w:rPr>
        <w:t>inländischen</w:t>
      </w:r>
      <w:proofErr w:type="spellEnd"/>
      <w:r w:rsidRPr="000C7C76">
        <w:rPr>
          <w:lang w:val="en-US"/>
        </w:rPr>
        <w:t xml:space="preserve"> </w:t>
      </w:r>
      <w:proofErr w:type="spellStart"/>
      <w:r w:rsidRPr="000C7C76">
        <w:rPr>
          <w:lang w:val="en-US"/>
        </w:rPr>
        <w:t>Verfahren</w:t>
      </w:r>
      <w:proofErr w:type="spellEnd"/>
      <w:r w:rsidRPr="000C7C76">
        <w:rPr>
          <w:lang w:val="en-US"/>
        </w:rPr>
        <w:t xml:space="preserve"> // Praxis des Internationalen Privat- und </w:t>
      </w:r>
      <w:proofErr w:type="spellStart"/>
      <w:r w:rsidRPr="000C7C76">
        <w:rPr>
          <w:lang w:val="en-US"/>
        </w:rPr>
        <w:t>Verfahrensrechts</w:t>
      </w:r>
      <w:proofErr w:type="spellEnd"/>
      <w:r w:rsidRPr="000C7C76">
        <w:rPr>
          <w:lang w:val="en-US"/>
        </w:rPr>
        <w:t xml:space="preserve"> (</w:t>
      </w:r>
      <w:proofErr w:type="spellStart"/>
      <w:r w:rsidRPr="000C7C76">
        <w:rPr>
          <w:lang w:val="en-US"/>
        </w:rPr>
        <w:t>IPRax</w:t>
      </w:r>
      <w:proofErr w:type="spellEnd"/>
      <w:r w:rsidRPr="000C7C76">
        <w:rPr>
          <w:lang w:val="en-US"/>
        </w:rPr>
        <w:t>), 2012, Nr. 2, S. 133.</w:t>
      </w:r>
    </w:p>
  </w:footnote>
  <w:footnote w:id="95">
    <w:p w14:paraId="21B4E656" w14:textId="05726D86" w:rsidR="000C7C76" w:rsidRPr="00791AB8" w:rsidRDefault="000C7C76" w:rsidP="00C40495">
      <w:pPr>
        <w:pStyle w:val="FootnoteText"/>
        <w:jc w:val="both"/>
        <w:rPr>
          <w:lang w:val="lv-LV"/>
        </w:rPr>
      </w:pPr>
      <w:r>
        <w:rPr>
          <w:rStyle w:val="FootnoteReference"/>
        </w:rPr>
        <w:footnoteRef/>
      </w:r>
      <w:r>
        <w:t xml:space="preserve"> </w:t>
      </w:r>
      <w:proofErr w:type="spellStart"/>
      <w:r w:rsidRPr="000C7C76">
        <w:rPr>
          <w:lang w:val="en-US"/>
        </w:rPr>
        <w:t>Reithmann</w:t>
      </w:r>
      <w:proofErr w:type="spellEnd"/>
      <w:r w:rsidRPr="000C7C76">
        <w:rPr>
          <w:lang w:val="en-US"/>
        </w:rPr>
        <w:t xml:space="preserve"> Ch. </w:t>
      </w:r>
      <w:proofErr w:type="spellStart"/>
      <w:r w:rsidRPr="000C7C76">
        <w:rPr>
          <w:lang w:val="en-US"/>
        </w:rPr>
        <w:t>Vertretungsbescheinigungen</w:t>
      </w:r>
      <w:proofErr w:type="spellEnd"/>
      <w:r w:rsidRPr="000C7C76">
        <w:rPr>
          <w:lang w:val="en-US"/>
        </w:rPr>
        <w:t xml:space="preserve"> </w:t>
      </w:r>
      <w:proofErr w:type="spellStart"/>
      <w:r w:rsidRPr="000C7C76">
        <w:rPr>
          <w:lang w:val="en-US"/>
        </w:rPr>
        <w:t>ausländischer</w:t>
      </w:r>
      <w:proofErr w:type="spellEnd"/>
      <w:r w:rsidRPr="000C7C76">
        <w:rPr>
          <w:lang w:val="en-US"/>
        </w:rPr>
        <w:t xml:space="preserve"> </w:t>
      </w:r>
      <w:proofErr w:type="spellStart"/>
      <w:r w:rsidRPr="000C7C76">
        <w:rPr>
          <w:lang w:val="en-US"/>
        </w:rPr>
        <w:t>Notare</w:t>
      </w:r>
      <w:proofErr w:type="spellEnd"/>
      <w:r w:rsidRPr="000C7C76">
        <w:rPr>
          <w:lang w:val="en-US"/>
        </w:rPr>
        <w:t xml:space="preserve"> // </w:t>
      </w:r>
      <w:proofErr w:type="spellStart"/>
      <w:r w:rsidRPr="000C7C76">
        <w:rPr>
          <w:lang w:val="en-US"/>
        </w:rPr>
        <w:t>NotBZ</w:t>
      </w:r>
      <w:proofErr w:type="spellEnd"/>
      <w:r w:rsidRPr="000C7C76">
        <w:rPr>
          <w:lang w:val="en-US"/>
        </w:rPr>
        <w:t xml:space="preserve"> 2016, Köln, S. 130; </w:t>
      </w:r>
      <w:proofErr w:type="spellStart"/>
      <w:r w:rsidRPr="000C7C76">
        <w:rPr>
          <w:lang w:val="en-US"/>
        </w:rPr>
        <w:t>Reithmann</w:t>
      </w:r>
      <w:proofErr w:type="spellEnd"/>
      <w:r w:rsidRPr="000C7C76">
        <w:rPr>
          <w:lang w:val="en-US"/>
        </w:rPr>
        <w:t xml:space="preserve"> Ch. </w:t>
      </w:r>
      <w:proofErr w:type="spellStart"/>
      <w:r w:rsidRPr="000C7C76">
        <w:rPr>
          <w:lang w:val="en-US"/>
        </w:rPr>
        <w:t>Urkunden</w:t>
      </w:r>
      <w:proofErr w:type="spellEnd"/>
      <w:r w:rsidRPr="000C7C76">
        <w:rPr>
          <w:lang w:val="en-US"/>
        </w:rPr>
        <w:t xml:space="preserve"> </w:t>
      </w:r>
      <w:proofErr w:type="spellStart"/>
      <w:r w:rsidRPr="000C7C76">
        <w:rPr>
          <w:lang w:val="en-US"/>
        </w:rPr>
        <w:t>ausländischer</w:t>
      </w:r>
      <w:proofErr w:type="spellEnd"/>
      <w:r w:rsidRPr="000C7C76">
        <w:rPr>
          <w:lang w:val="en-US"/>
        </w:rPr>
        <w:t xml:space="preserve"> </w:t>
      </w:r>
      <w:proofErr w:type="spellStart"/>
      <w:r w:rsidRPr="000C7C76">
        <w:rPr>
          <w:lang w:val="en-US"/>
        </w:rPr>
        <w:t>Notare</w:t>
      </w:r>
      <w:proofErr w:type="spellEnd"/>
      <w:r w:rsidRPr="000C7C76">
        <w:rPr>
          <w:lang w:val="en-US"/>
        </w:rPr>
        <w:t xml:space="preserve"> in </w:t>
      </w:r>
      <w:proofErr w:type="spellStart"/>
      <w:r w:rsidRPr="000C7C76">
        <w:rPr>
          <w:lang w:val="en-US"/>
        </w:rPr>
        <w:t>inländischen</w:t>
      </w:r>
      <w:proofErr w:type="spellEnd"/>
      <w:r w:rsidRPr="000C7C76">
        <w:rPr>
          <w:lang w:val="en-US"/>
        </w:rPr>
        <w:t xml:space="preserve"> </w:t>
      </w:r>
      <w:proofErr w:type="spellStart"/>
      <w:r w:rsidRPr="000C7C76">
        <w:rPr>
          <w:lang w:val="en-US"/>
        </w:rPr>
        <w:t>Verfahren</w:t>
      </w:r>
      <w:proofErr w:type="spellEnd"/>
      <w:r w:rsidRPr="000C7C76">
        <w:rPr>
          <w:lang w:val="en-US"/>
        </w:rPr>
        <w:t xml:space="preserve"> // Praxis des Internationalen Privat- und </w:t>
      </w:r>
      <w:proofErr w:type="spellStart"/>
      <w:r w:rsidRPr="000C7C76">
        <w:rPr>
          <w:lang w:val="en-US"/>
        </w:rPr>
        <w:t>Verfahrensrechts</w:t>
      </w:r>
      <w:proofErr w:type="spellEnd"/>
      <w:r w:rsidRPr="000C7C76">
        <w:rPr>
          <w:lang w:val="en-US"/>
        </w:rPr>
        <w:t xml:space="preserve"> (</w:t>
      </w:r>
      <w:proofErr w:type="spellStart"/>
      <w:r w:rsidRPr="000C7C76">
        <w:rPr>
          <w:lang w:val="en-US"/>
        </w:rPr>
        <w:t>IPRax</w:t>
      </w:r>
      <w:proofErr w:type="spellEnd"/>
      <w:r w:rsidRPr="000C7C76">
        <w:rPr>
          <w:lang w:val="en-US"/>
        </w:rPr>
        <w:t>), 2012, Nr. 2, S. 134.</w:t>
      </w:r>
    </w:p>
  </w:footnote>
  <w:footnote w:id="96">
    <w:p w14:paraId="0436B045" w14:textId="27B016FC" w:rsidR="00791AB8" w:rsidRPr="00791AB8" w:rsidRDefault="00791AB8" w:rsidP="00791AB8">
      <w:pPr>
        <w:pStyle w:val="FootnoteText"/>
        <w:jc w:val="both"/>
        <w:rPr>
          <w:lang w:val="lv-LV"/>
        </w:rPr>
      </w:pPr>
      <w:r>
        <w:rPr>
          <w:rStyle w:val="FootnoteReference"/>
        </w:rPr>
        <w:footnoteRef/>
      </w:r>
      <w:r>
        <w:t xml:space="preserve"> </w:t>
      </w:r>
      <w:proofErr w:type="spellStart"/>
      <w:r>
        <w:t>Eiropas</w:t>
      </w:r>
      <w:proofErr w:type="spellEnd"/>
      <w:r>
        <w:t xml:space="preserve"> </w:t>
      </w:r>
      <w:proofErr w:type="spellStart"/>
      <w:r>
        <w:t>Parlamenta</w:t>
      </w:r>
      <w:proofErr w:type="spellEnd"/>
      <w:r>
        <w:t xml:space="preserve"> </w:t>
      </w:r>
      <w:proofErr w:type="spellStart"/>
      <w:r>
        <w:t>un</w:t>
      </w:r>
      <w:proofErr w:type="spellEnd"/>
      <w:r>
        <w:t xml:space="preserve"> </w:t>
      </w:r>
      <w:proofErr w:type="spellStart"/>
      <w:r>
        <w:t>Padomes</w:t>
      </w:r>
      <w:proofErr w:type="spellEnd"/>
      <w:r>
        <w:t xml:space="preserve"> Regulas (ES) Nr. 650/2012 (2012.gada 4.jūlijs) par </w:t>
      </w:r>
      <w:proofErr w:type="spellStart"/>
      <w:r>
        <w:t>jurisdikciju</w:t>
      </w:r>
      <w:proofErr w:type="spellEnd"/>
      <w:r>
        <w:t xml:space="preserve">, </w:t>
      </w:r>
      <w:proofErr w:type="spellStart"/>
      <w:r>
        <w:t>piemērojamiem</w:t>
      </w:r>
      <w:proofErr w:type="spellEnd"/>
      <w:r>
        <w:t xml:space="preserve"> </w:t>
      </w:r>
      <w:proofErr w:type="spellStart"/>
      <w:r>
        <w:t>tiesību</w:t>
      </w:r>
      <w:proofErr w:type="spellEnd"/>
      <w:r>
        <w:t xml:space="preserve"> </w:t>
      </w:r>
      <w:proofErr w:type="spellStart"/>
      <w:r>
        <w:t>aktiem</w:t>
      </w:r>
      <w:proofErr w:type="spellEnd"/>
      <w:r>
        <w:t xml:space="preserve">, </w:t>
      </w:r>
      <w:proofErr w:type="spellStart"/>
      <w:r>
        <w:t>nolēmumu</w:t>
      </w:r>
      <w:proofErr w:type="spellEnd"/>
      <w:r>
        <w:t xml:space="preserve"> </w:t>
      </w:r>
      <w:proofErr w:type="spellStart"/>
      <w:r>
        <w:t>atzīšanu</w:t>
      </w:r>
      <w:proofErr w:type="spellEnd"/>
      <w:r>
        <w:t xml:space="preserve"> </w:t>
      </w:r>
      <w:proofErr w:type="spellStart"/>
      <w:r>
        <w:t>un</w:t>
      </w:r>
      <w:proofErr w:type="spellEnd"/>
      <w:r>
        <w:t xml:space="preserve"> </w:t>
      </w:r>
      <w:proofErr w:type="spellStart"/>
      <w:r>
        <w:t>izpildi</w:t>
      </w:r>
      <w:proofErr w:type="spellEnd"/>
      <w:r>
        <w:t xml:space="preserve"> </w:t>
      </w:r>
      <w:proofErr w:type="spellStart"/>
      <w:r>
        <w:t>un</w:t>
      </w:r>
      <w:proofErr w:type="spellEnd"/>
      <w:r>
        <w:t xml:space="preserve"> </w:t>
      </w:r>
      <w:proofErr w:type="spellStart"/>
      <w:r>
        <w:t>publisku</w:t>
      </w:r>
      <w:proofErr w:type="spellEnd"/>
      <w:r>
        <w:t xml:space="preserve"> </w:t>
      </w:r>
      <w:proofErr w:type="spellStart"/>
      <w:r>
        <w:t>aktu</w:t>
      </w:r>
      <w:proofErr w:type="spellEnd"/>
      <w:r>
        <w:t xml:space="preserve"> </w:t>
      </w:r>
      <w:proofErr w:type="spellStart"/>
      <w:r>
        <w:t>akceptēšanu</w:t>
      </w:r>
      <w:proofErr w:type="spellEnd"/>
      <w:r>
        <w:t xml:space="preserve"> </w:t>
      </w:r>
      <w:proofErr w:type="spellStart"/>
      <w:r>
        <w:t>un</w:t>
      </w:r>
      <w:proofErr w:type="spellEnd"/>
      <w:r>
        <w:t xml:space="preserve"> </w:t>
      </w:r>
      <w:proofErr w:type="spellStart"/>
      <w:r>
        <w:t>izpildi</w:t>
      </w:r>
      <w:proofErr w:type="spellEnd"/>
      <w:r>
        <w:t xml:space="preserve"> </w:t>
      </w:r>
      <w:proofErr w:type="spellStart"/>
      <w:r>
        <w:t>mantošanas</w:t>
      </w:r>
      <w:proofErr w:type="spellEnd"/>
      <w:r>
        <w:t xml:space="preserve"> </w:t>
      </w:r>
      <w:proofErr w:type="spellStart"/>
      <w:r>
        <w:t>lietās</w:t>
      </w:r>
      <w:proofErr w:type="spellEnd"/>
      <w:r>
        <w:t xml:space="preserve"> </w:t>
      </w:r>
      <w:proofErr w:type="spellStart"/>
      <w:r>
        <w:t>un</w:t>
      </w:r>
      <w:proofErr w:type="spellEnd"/>
      <w:r>
        <w:t xml:space="preserve"> par </w:t>
      </w:r>
      <w:proofErr w:type="spellStart"/>
      <w:r>
        <w:t>Eiropas</w:t>
      </w:r>
      <w:proofErr w:type="spellEnd"/>
      <w:r>
        <w:t xml:space="preserve"> </w:t>
      </w:r>
      <w:proofErr w:type="spellStart"/>
      <w:r>
        <w:t>mantošanas</w:t>
      </w:r>
      <w:proofErr w:type="spellEnd"/>
      <w:r>
        <w:t xml:space="preserve"> </w:t>
      </w:r>
      <w:proofErr w:type="spellStart"/>
      <w:r>
        <w:t>apliecības</w:t>
      </w:r>
      <w:proofErr w:type="spellEnd"/>
      <w:r>
        <w:t xml:space="preserve"> </w:t>
      </w:r>
      <w:proofErr w:type="spellStart"/>
      <w:r>
        <w:t>izveidi</w:t>
      </w:r>
      <w:proofErr w:type="spellEnd"/>
      <w:r>
        <w:t xml:space="preserve"> 59.pantā </w:t>
      </w:r>
      <w:proofErr w:type="spellStart"/>
      <w:r>
        <w:t>ir</w:t>
      </w:r>
      <w:proofErr w:type="spellEnd"/>
      <w:r>
        <w:t xml:space="preserve"> </w:t>
      </w:r>
      <w:proofErr w:type="spellStart"/>
      <w:r>
        <w:t>runa</w:t>
      </w:r>
      <w:proofErr w:type="spellEnd"/>
      <w:r>
        <w:t xml:space="preserve"> </w:t>
      </w:r>
      <w:proofErr w:type="spellStart"/>
      <w:r>
        <w:t>tieši</w:t>
      </w:r>
      <w:proofErr w:type="spellEnd"/>
      <w:r>
        <w:t xml:space="preserve"> par </w:t>
      </w:r>
      <w:proofErr w:type="spellStart"/>
      <w:r>
        <w:t>publisku</w:t>
      </w:r>
      <w:proofErr w:type="spellEnd"/>
      <w:r>
        <w:t xml:space="preserve"> </w:t>
      </w:r>
      <w:proofErr w:type="spellStart"/>
      <w:r>
        <w:t>aktu</w:t>
      </w:r>
      <w:proofErr w:type="spellEnd"/>
      <w:r>
        <w:t xml:space="preserve"> </w:t>
      </w:r>
      <w:proofErr w:type="spellStart"/>
      <w:r>
        <w:t>akceptēšanu</w:t>
      </w:r>
      <w:proofErr w:type="spellEnd"/>
      <w:r>
        <w:t>.</w:t>
      </w:r>
    </w:p>
  </w:footnote>
  <w:footnote w:id="97">
    <w:p w14:paraId="6DE6E40A" w14:textId="7CCA6D13" w:rsidR="000C7C76" w:rsidRPr="000C7C76" w:rsidRDefault="000C7C76" w:rsidP="00114953">
      <w:pPr>
        <w:pStyle w:val="FootnoteText"/>
        <w:jc w:val="both"/>
        <w:rPr>
          <w:lang w:val="en-US"/>
        </w:rPr>
      </w:pPr>
      <w:r w:rsidRPr="005F6CA9">
        <w:rPr>
          <w:rStyle w:val="FootnoteReference"/>
        </w:rPr>
        <w:footnoteRef/>
      </w:r>
      <w:r w:rsidRPr="005F6CA9">
        <w:t xml:space="preserve"> </w:t>
      </w:r>
      <w:proofErr w:type="spellStart"/>
      <w:r w:rsidRPr="000C7C76">
        <w:rPr>
          <w:lang w:val="en-US"/>
        </w:rPr>
        <w:t>Reithmann</w:t>
      </w:r>
      <w:proofErr w:type="spellEnd"/>
      <w:r w:rsidRPr="000C7C76">
        <w:rPr>
          <w:lang w:val="en-US"/>
        </w:rPr>
        <w:t xml:space="preserve"> Ch. </w:t>
      </w:r>
      <w:proofErr w:type="spellStart"/>
      <w:r w:rsidRPr="000C7C76">
        <w:rPr>
          <w:lang w:val="en-US"/>
        </w:rPr>
        <w:t>Urkunden</w:t>
      </w:r>
      <w:proofErr w:type="spellEnd"/>
      <w:r w:rsidRPr="000C7C76">
        <w:rPr>
          <w:lang w:val="en-US"/>
        </w:rPr>
        <w:t xml:space="preserve"> </w:t>
      </w:r>
      <w:proofErr w:type="spellStart"/>
      <w:r w:rsidRPr="000C7C76">
        <w:rPr>
          <w:lang w:val="en-US"/>
        </w:rPr>
        <w:t>ausländischer</w:t>
      </w:r>
      <w:proofErr w:type="spellEnd"/>
      <w:r w:rsidRPr="000C7C76">
        <w:rPr>
          <w:lang w:val="en-US"/>
        </w:rPr>
        <w:t xml:space="preserve"> </w:t>
      </w:r>
      <w:proofErr w:type="spellStart"/>
      <w:r w:rsidRPr="000C7C76">
        <w:rPr>
          <w:lang w:val="en-US"/>
        </w:rPr>
        <w:t>Notare</w:t>
      </w:r>
      <w:proofErr w:type="spellEnd"/>
      <w:r w:rsidRPr="000C7C76">
        <w:rPr>
          <w:lang w:val="en-US"/>
        </w:rPr>
        <w:t xml:space="preserve"> in </w:t>
      </w:r>
      <w:proofErr w:type="spellStart"/>
      <w:r w:rsidRPr="000C7C76">
        <w:rPr>
          <w:lang w:val="en-US"/>
        </w:rPr>
        <w:t>inländischen</w:t>
      </w:r>
      <w:proofErr w:type="spellEnd"/>
      <w:r w:rsidRPr="000C7C76">
        <w:rPr>
          <w:lang w:val="en-US"/>
        </w:rPr>
        <w:t xml:space="preserve"> </w:t>
      </w:r>
      <w:proofErr w:type="spellStart"/>
      <w:r w:rsidRPr="000C7C76">
        <w:rPr>
          <w:lang w:val="en-US"/>
        </w:rPr>
        <w:t>Verfahren</w:t>
      </w:r>
      <w:proofErr w:type="spellEnd"/>
      <w:r w:rsidRPr="000C7C76">
        <w:rPr>
          <w:lang w:val="en-US"/>
        </w:rPr>
        <w:t xml:space="preserve"> // Praxis des Internationalen Privat- und </w:t>
      </w:r>
      <w:proofErr w:type="spellStart"/>
      <w:r w:rsidRPr="000C7C76">
        <w:rPr>
          <w:lang w:val="en-US"/>
        </w:rPr>
        <w:t>Verfahrensrechts</w:t>
      </w:r>
      <w:proofErr w:type="spellEnd"/>
      <w:r w:rsidRPr="000C7C76">
        <w:rPr>
          <w:lang w:val="en-US"/>
        </w:rPr>
        <w:t xml:space="preserve"> (</w:t>
      </w:r>
      <w:proofErr w:type="spellStart"/>
      <w:r w:rsidRPr="000C7C76">
        <w:rPr>
          <w:lang w:val="en-US"/>
        </w:rPr>
        <w:t>IPRax</w:t>
      </w:r>
      <w:proofErr w:type="spellEnd"/>
      <w:r w:rsidRPr="000C7C76">
        <w:rPr>
          <w:lang w:val="en-US"/>
        </w:rPr>
        <w:t>), 2012, Nr. 2</w:t>
      </w:r>
      <w:r w:rsidRPr="005F6CA9">
        <w:t>, S. 134.</w:t>
      </w:r>
    </w:p>
  </w:footnote>
  <w:footnote w:id="98">
    <w:p w14:paraId="09966073" w14:textId="58FA8151" w:rsidR="000C7C76" w:rsidRPr="007463DB" w:rsidRDefault="000C7C76" w:rsidP="007463DB">
      <w:pPr>
        <w:pStyle w:val="FootnoteText"/>
        <w:jc w:val="both"/>
        <w:rPr>
          <w:lang w:val="lv-LV"/>
        </w:rPr>
      </w:pPr>
      <w:r>
        <w:rPr>
          <w:rStyle w:val="FootnoteReference"/>
        </w:rPr>
        <w:footnoteRef/>
      </w:r>
      <w:r>
        <w:t xml:space="preserve"> </w:t>
      </w:r>
      <w:r w:rsidRPr="000C7C76">
        <w:rPr>
          <w:i/>
          <w:lang w:val="en-US"/>
        </w:rPr>
        <w:t>Ibid</w:t>
      </w:r>
      <w:r w:rsidRPr="000C7C76">
        <w:rPr>
          <w:lang w:val="en-US"/>
        </w:rPr>
        <w:t>., S. 133.</w:t>
      </w:r>
    </w:p>
  </w:footnote>
  <w:footnote w:id="99">
    <w:p w14:paraId="4DC73F14" w14:textId="77777777" w:rsidR="000C7C76" w:rsidRPr="00E778AC" w:rsidRDefault="000C7C76" w:rsidP="00114953">
      <w:pPr>
        <w:pStyle w:val="tv213"/>
        <w:spacing w:before="0" w:beforeAutospacing="0" w:after="0" w:afterAutospacing="0"/>
        <w:jc w:val="both"/>
        <w:rPr>
          <w:sz w:val="20"/>
          <w:szCs w:val="20"/>
        </w:rPr>
      </w:pPr>
      <w:r w:rsidRPr="005F6CA9">
        <w:rPr>
          <w:rStyle w:val="FootnoteReference"/>
          <w:sz w:val="20"/>
          <w:szCs w:val="20"/>
        </w:rPr>
        <w:footnoteRef/>
      </w:r>
      <w:r w:rsidRPr="005F6CA9">
        <w:rPr>
          <w:sz w:val="20"/>
          <w:szCs w:val="20"/>
        </w:rPr>
        <w:t xml:space="preserve"> </w:t>
      </w:r>
      <w:proofErr w:type="spellStart"/>
      <w:r w:rsidRPr="005F6CA9">
        <w:rPr>
          <w:sz w:val="20"/>
          <w:szCs w:val="20"/>
        </w:rPr>
        <w:t>Saskaņā</w:t>
      </w:r>
      <w:proofErr w:type="spellEnd"/>
      <w:r w:rsidRPr="005F6CA9">
        <w:rPr>
          <w:sz w:val="20"/>
          <w:szCs w:val="20"/>
        </w:rPr>
        <w:t xml:space="preserve"> </w:t>
      </w:r>
      <w:proofErr w:type="spellStart"/>
      <w:r w:rsidRPr="005F6CA9">
        <w:rPr>
          <w:sz w:val="20"/>
          <w:szCs w:val="20"/>
        </w:rPr>
        <w:t>ar</w:t>
      </w:r>
      <w:proofErr w:type="spellEnd"/>
      <w:r w:rsidRPr="005F6CA9">
        <w:rPr>
          <w:sz w:val="20"/>
          <w:szCs w:val="20"/>
        </w:rPr>
        <w:t xml:space="preserve"> </w:t>
      </w:r>
      <w:proofErr w:type="spellStart"/>
      <w:r w:rsidRPr="005F6CA9">
        <w:rPr>
          <w:sz w:val="20"/>
          <w:szCs w:val="20"/>
        </w:rPr>
        <w:t>Notariāta</w:t>
      </w:r>
      <w:proofErr w:type="spellEnd"/>
      <w:r w:rsidRPr="005F6CA9">
        <w:rPr>
          <w:sz w:val="20"/>
          <w:szCs w:val="20"/>
        </w:rPr>
        <w:t xml:space="preserve"> </w:t>
      </w:r>
      <w:proofErr w:type="spellStart"/>
      <w:r w:rsidRPr="005F6CA9">
        <w:rPr>
          <w:sz w:val="20"/>
          <w:szCs w:val="20"/>
        </w:rPr>
        <w:t>likuma</w:t>
      </w:r>
      <w:proofErr w:type="spellEnd"/>
      <w:r w:rsidRPr="005F6CA9">
        <w:rPr>
          <w:sz w:val="20"/>
          <w:szCs w:val="20"/>
        </w:rPr>
        <w:t xml:space="preserve"> 108.pantu </w:t>
      </w:r>
      <w:proofErr w:type="spellStart"/>
      <w:r w:rsidRPr="005F6CA9">
        <w:rPr>
          <w:sz w:val="20"/>
          <w:szCs w:val="20"/>
        </w:rPr>
        <w:t>Latvijā</w:t>
      </w:r>
      <w:proofErr w:type="spellEnd"/>
      <w:r w:rsidRPr="005F6CA9">
        <w:rPr>
          <w:sz w:val="20"/>
          <w:szCs w:val="20"/>
        </w:rPr>
        <w:t xml:space="preserve"> </w:t>
      </w:r>
      <w:proofErr w:type="spellStart"/>
      <w:r w:rsidRPr="005F6CA9">
        <w:rPr>
          <w:sz w:val="20"/>
          <w:szCs w:val="20"/>
        </w:rPr>
        <w:t>zvērināti</w:t>
      </w:r>
      <w:proofErr w:type="spellEnd"/>
      <w:r w:rsidRPr="005F6CA9">
        <w:rPr>
          <w:sz w:val="20"/>
          <w:szCs w:val="20"/>
        </w:rPr>
        <w:t xml:space="preserve"> </w:t>
      </w:r>
      <w:proofErr w:type="spellStart"/>
      <w:r w:rsidRPr="005F6CA9">
        <w:rPr>
          <w:b/>
          <w:bCs/>
          <w:sz w:val="20"/>
          <w:szCs w:val="20"/>
        </w:rPr>
        <w:t>notāri</w:t>
      </w:r>
      <w:proofErr w:type="spellEnd"/>
      <w:r w:rsidRPr="005F6CA9">
        <w:rPr>
          <w:b/>
          <w:bCs/>
          <w:sz w:val="20"/>
          <w:szCs w:val="20"/>
        </w:rPr>
        <w:t xml:space="preserve"> </w:t>
      </w:r>
      <w:proofErr w:type="spellStart"/>
      <w:r w:rsidRPr="005F6CA9">
        <w:rPr>
          <w:b/>
          <w:bCs/>
          <w:sz w:val="20"/>
          <w:szCs w:val="20"/>
        </w:rPr>
        <w:t>apliecina</w:t>
      </w:r>
      <w:proofErr w:type="spellEnd"/>
      <w:r w:rsidRPr="005F6CA9">
        <w:rPr>
          <w:sz w:val="20"/>
          <w:szCs w:val="20"/>
        </w:rPr>
        <w:t xml:space="preserve">: 1) </w:t>
      </w:r>
      <w:proofErr w:type="spellStart"/>
      <w:r w:rsidRPr="005F6CA9">
        <w:rPr>
          <w:sz w:val="20"/>
          <w:szCs w:val="20"/>
        </w:rPr>
        <w:t>notariālo</w:t>
      </w:r>
      <w:proofErr w:type="spellEnd"/>
      <w:r w:rsidRPr="005F6CA9">
        <w:rPr>
          <w:sz w:val="20"/>
          <w:szCs w:val="20"/>
        </w:rPr>
        <w:t xml:space="preserve"> </w:t>
      </w:r>
      <w:proofErr w:type="spellStart"/>
      <w:r w:rsidRPr="005F6CA9">
        <w:rPr>
          <w:sz w:val="20"/>
          <w:szCs w:val="20"/>
        </w:rPr>
        <w:t>aktu</w:t>
      </w:r>
      <w:proofErr w:type="spellEnd"/>
      <w:r w:rsidRPr="005F6CA9">
        <w:rPr>
          <w:sz w:val="20"/>
          <w:szCs w:val="20"/>
        </w:rPr>
        <w:t xml:space="preserve"> </w:t>
      </w:r>
      <w:proofErr w:type="spellStart"/>
      <w:r w:rsidRPr="005F6CA9">
        <w:rPr>
          <w:sz w:val="20"/>
          <w:szCs w:val="20"/>
        </w:rPr>
        <w:t>grāmatas</w:t>
      </w:r>
      <w:proofErr w:type="spellEnd"/>
      <w:r w:rsidRPr="005F6CA9">
        <w:rPr>
          <w:sz w:val="20"/>
          <w:szCs w:val="20"/>
        </w:rPr>
        <w:t xml:space="preserve"> </w:t>
      </w:r>
      <w:proofErr w:type="spellStart"/>
      <w:r w:rsidRPr="005F6CA9">
        <w:rPr>
          <w:sz w:val="20"/>
          <w:szCs w:val="20"/>
        </w:rPr>
        <w:t>izrakstus</w:t>
      </w:r>
      <w:proofErr w:type="spellEnd"/>
      <w:r w:rsidRPr="005F6CA9">
        <w:rPr>
          <w:sz w:val="20"/>
          <w:szCs w:val="20"/>
        </w:rPr>
        <w:t xml:space="preserve"> </w:t>
      </w:r>
      <w:proofErr w:type="spellStart"/>
      <w:r w:rsidRPr="005F6CA9">
        <w:rPr>
          <w:sz w:val="20"/>
          <w:szCs w:val="20"/>
        </w:rPr>
        <w:t>un</w:t>
      </w:r>
      <w:proofErr w:type="spellEnd"/>
      <w:r w:rsidRPr="005F6CA9">
        <w:rPr>
          <w:sz w:val="20"/>
          <w:szCs w:val="20"/>
        </w:rPr>
        <w:t xml:space="preserve"> </w:t>
      </w:r>
      <w:proofErr w:type="spellStart"/>
      <w:r w:rsidRPr="005F6CA9">
        <w:rPr>
          <w:sz w:val="20"/>
          <w:szCs w:val="20"/>
        </w:rPr>
        <w:t>notariālo</w:t>
      </w:r>
      <w:proofErr w:type="spellEnd"/>
      <w:r w:rsidRPr="005F6CA9">
        <w:rPr>
          <w:sz w:val="20"/>
          <w:szCs w:val="20"/>
        </w:rPr>
        <w:t xml:space="preserve"> </w:t>
      </w:r>
      <w:proofErr w:type="spellStart"/>
      <w:r w:rsidRPr="005F6CA9">
        <w:rPr>
          <w:sz w:val="20"/>
          <w:szCs w:val="20"/>
        </w:rPr>
        <w:t>aktu</w:t>
      </w:r>
      <w:proofErr w:type="spellEnd"/>
      <w:r w:rsidRPr="005F6CA9">
        <w:rPr>
          <w:sz w:val="20"/>
          <w:szCs w:val="20"/>
        </w:rPr>
        <w:t xml:space="preserve"> </w:t>
      </w:r>
      <w:proofErr w:type="spellStart"/>
      <w:r w:rsidRPr="005F6CA9">
        <w:rPr>
          <w:sz w:val="20"/>
          <w:szCs w:val="20"/>
        </w:rPr>
        <w:t>norakstus</w:t>
      </w:r>
      <w:proofErr w:type="spellEnd"/>
      <w:r w:rsidRPr="005F6CA9">
        <w:rPr>
          <w:sz w:val="20"/>
          <w:szCs w:val="20"/>
        </w:rPr>
        <w:t xml:space="preserve">; 2) </w:t>
      </w:r>
      <w:proofErr w:type="spellStart"/>
      <w:r w:rsidRPr="005F6CA9">
        <w:rPr>
          <w:sz w:val="20"/>
          <w:szCs w:val="20"/>
        </w:rPr>
        <w:t>parakstu</w:t>
      </w:r>
      <w:proofErr w:type="spellEnd"/>
      <w:r w:rsidRPr="005F6CA9">
        <w:rPr>
          <w:sz w:val="20"/>
          <w:szCs w:val="20"/>
        </w:rPr>
        <w:t xml:space="preserve"> </w:t>
      </w:r>
      <w:proofErr w:type="spellStart"/>
      <w:r w:rsidRPr="005F6CA9">
        <w:rPr>
          <w:sz w:val="20"/>
          <w:szCs w:val="20"/>
        </w:rPr>
        <w:t>īstumu</w:t>
      </w:r>
      <w:proofErr w:type="spellEnd"/>
      <w:r w:rsidRPr="005F6CA9">
        <w:rPr>
          <w:sz w:val="20"/>
          <w:szCs w:val="20"/>
        </w:rPr>
        <w:t xml:space="preserve">; 3) </w:t>
      </w:r>
      <w:proofErr w:type="spellStart"/>
      <w:r w:rsidRPr="005F6CA9">
        <w:rPr>
          <w:sz w:val="20"/>
          <w:szCs w:val="20"/>
        </w:rPr>
        <w:t>to</w:t>
      </w:r>
      <w:proofErr w:type="spellEnd"/>
      <w:r w:rsidRPr="005F6CA9">
        <w:rPr>
          <w:sz w:val="20"/>
          <w:szCs w:val="20"/>
        </w:rPr>
        <w:t xml:space="preserve">, </w:t>
      </w:r>
      <w:proofErr w:type="spellStart"/>
      <w:r w:rsidRPr="005F6CA9">
        <w:rPr>
          <w:sz w:val="20"/>
          <w:szCs w:val="20"/>
        </w:rPr>
        <w:t>ka</w:t>
      </w:r>
      <w:proofErr w:type="spellEnd"/>
      <w:r w:rsidRPr="005F6CA9">
        <w:rPr>
          <w:sz w:val="20"/>
          <w:szCs w:val="20"/>
        </w:rPr>
        <w:t xml:space="preserve"> </w:t>
      </w:r>
      <w:proofErr w:type="spellStart"/>
      <w:r w:rsidRPr="005F6CA9">
        <w:rPr>
          <w:sz w:val="20"/>
          <w:szCs w:val="20"/>
        </w:rPr>
        <w:t>persona</w:t>
      </w:r>
      <w:proofErr w:type="spellEnd"/>
      <w:r w:rsidRPr="005F6CA9">
        <w:rPr>
          <w:sz w:val="20"/>
          <w:szCs w:val="20"/>
        </w:rPr>
        <w:t xml:space="preserve"> </w:t>
      </w:r>
      <w:proofErr w:type="spellStart"/>
      <w:r w:rsidRPr="005F6CA9">
        <w:rPr>
          <w:sz w:val="20"/>
          <w:szCs w:val="20"/>
        </w:rPr>
        <w:t>ir</w:t>
      </w:r>
      <w:proofErr w:type="spellEnd"/>
      <w:r w:rsidRPr="005F6CA9">
        <w:rPr>
          <w:sz w:val="20"/>
          <w:szCs w:val="20"/>
        </w:rPr>
        <w:t xml:space="preserve"> </w:t>
      </w:r>
      <w:proofErr w:type="spellStart"/>
      <w:r w:rsidRPr="005F6CA9">
        <w:rPr>
          <w:sz w:val="20"/>
          <w:szCs w:val="20"/>
        </w:rPr>
        <w:t>dzīva</w:t>
      </w:r>
      <w:proofErr w:type="spellEnd"/>
      <w:r w:rsidRPr="005F6CA9">
        <w:rPr>
          <w:sz w:val="20"/>
          <w:szCs w:val="20"/>
        </w:rPr>
        <w:t xml:space="preserve">; 4) </w:t>
      </w:r>
      <w:proofErr w:type="spellStart"/>
      <w:r w:rsidRPr="005F6CA9">
        <w:rPr>
          <w:sz w:val="20"/>
          <w:szCs w:val="20"/>
        </w:rPr>
        <w:t>norakstus</w:t>
      </w:r>
      <w:proofErr w:type="spellEnd"/>
      <w:r w:rsidRPr="005F6CA9">
        <w:rPr>
          <w:sz w:val="20"/>
          <w:szCs w:val="20"/>
        </w:rPr>
        <w:t xml:space="preserve"> </w:t>
      </w:r>
      <w:proofErr w:type="spellStart"/>
      <w:r w:rsidRPr="005F6CA9">
        <w:rPr>
          <w:sz w:val="20"/>
          <w:szCs w:val="20"/>
        </w:rPr>
        <w:t>un</w:t>
      </w:r>
      <w:proofErr w:type="spellEnd"/>
      <w:r w:rsidRPr="005F6CA9">
        <w:rPr>
          <w:sz w:val="20"/>
          <w:szCs w:val="20"/>
        </w:rPr>
        <w:t xml:space="preserve"> </w:t>
      </w:r>
      <w:proofErr w:type="spellStart"/>
      <w:r w:rsidRPr="005F6CA9">
        <w:rPr>
          <w:sz w:val="20"/>
          <w:szCs w:val="20"/>
        </w:rPr>
        <w:t>tulkojumus</w:t>
      </w:r>
      <w:proofErr w:type="spellEnd"/>
      <w:r w:rsidRPr="005F6CA9">
        <w:rPr>
          <w:sz w:val="20"/>
          <w:szCs w:val="20"/>
        </w:rPr>
        <w:t xml:space="preserve">; 5) </w:t>
      </w:r>
      <w:proofErr w:type="spellStart"/>
      <w:r w:rsidRPr="005F6CA9">
        <w:rPr>
          <w:sz w:val="20"/>
          <w:szCs w:val="20"/>
        </w:rPr>
        <w:t>līdzēju</w:t>
      </w:r>
      <w:proofErr w:type="spellEnd"/>
      <w:r w:rsidRPr="005F6CA9">
        <w:rPr>
          <w:sz w:val="20"/>
          <w:szCs w:val="20"/>
        </w:rPr>
        <w:t xml:space="preserve"> </w:t>
      </w:r>
      <w:proofErr w:type="spellStart"/>
      <w:r w:rsidRPr="005F6CA9">
        <w:rPr>
          <w:sz w:val="20"/>
          <w:szCs w:val="20"/>
        </w:rPr>
        <w:t>ierašanos</w:t>
      </w:r>
      <w:proofErr w:type="spellEnd"/>
      <w:r w:rsidRPr="005F6CA9">
        <w:rPr>
          <w:sz w:val="20"/>
          <w:szCs w:val="20"/>
        </w:rPr>
        <w:t xml:space="preserve"> </w:t>
      </w:r>
      <w:proofErr w:type="spellStart"/>
      <w:r w:rsidRPr="005F6CA9">
        <w:rPr>
          <w:sz w:val="20"/>
          <w:szCs w:val="20"/>
        </w:rPr>
        <w:t>vai</w:t>
      </w:r>
      <w:proofErr w:type="spellEnd"/>
      <w:r w:rsidRPr="005F6CA9">
        <w:rPr>
          <w:sz w:val="20"/>
          <w:szCs w:val="20"/>
        </w:rPr>
        <w:t xml:space="preserve"> </w:t>
      </w:r>
      <w:proofErr w:type="spellStart"/>
      <w:r w:rsidRPr="005F6CA9">
        <w:rPr>
          <w:sz w:val="20"/>
          <w:szCs w:val="20"/>
        </w:rPr>
        <w:t>neierašanos</w:t>
      </w:r>
      <w:proofErr w:type="spellEnd"/>
      <w:r w:rsidRPr="005F6CA9">
        <w:rPr>
          <w:sz w:val="20"/>
          <w:szCs w:val="20"/>
        </w:rPr>
        <w:t xml:space="preserve"> </w:t>
      </w:r>
      <w:proofErr w:type="spellStart"/>
      <w:r w:rsidRPr="005F6CA9">
        <w:rPr>
          <w:sz w:val="20"/>
          <w:szCs w:val="20"/>
        </w:rPr>
        <w:t>tiesisku</w:t>
      </w:r>
      <w:proofErr w:type="spellEnd"/>
      <w:r w:rsidRPr="005F6CA9">
        <w:rPr>
          <w:sz w:val="20"/>
          <w:szCs w:val="20"/>
        </w:rPr>
        <w:t xml:space="preserve"> </w:t>
      </w:r>
      <w:proofErr w:type="spellStart"/>
      <w:r w:rsidRPr="005F6CA9">
        <w:rPr>
          <w:sz w:val="20"/>
          <w:szCs w:val="20"/>
        </w:rPr>
        <w:t>darījumu</w:t>
      </w:r>
      <w:proofErr w:type="spellEnd"/>
      <w:r w:rsidRPr="005F6CA9">
        <w:rPr>
          <w:sz w:val="20"/>
          <w:szCs w:val="20"/>
        </w:rPr>
        <w:t xml:space="preserve"> </w:t>
      </w:r>
      <w:proofErr w:type="spellStart"/>
      <w:r w:rsidRPr="005F6CA9">
        <w:rPr>
          <w:sz w:val="20"/>
          <w:szCs w:val="20"/>
        </w:rPr>
        <w:t>noslēgšanai</w:t>
      </w:r>
      <w:proofErr w:type="spellEnd"/>
      <w:r w:rsidRPr="005F6CA9">
        <w:rPr>
          <w:sz w:val="20"/>
          <w:szCs w:val="20"/>
        </w:rPr>
        <w:t xml:space="preserve"> </w:t>
      </w:r>
      <w:proofErr w:type="spellStart"/>
      <w:r w:rsidRPr="005F6CA9">
        <w:rPr>
          <w:sz w:val="20"/>
          <w:szCs w:val="20"/>
        </w:rPr>
        <w:t>vai</w:t>
      </w:r>
      <w:proofErr w:type="spellEnd"/>
      <w:r w:rsidRPr="005F6CA9">
        <w:rPr>
          <w:sz w:val="20"/>
          <w:szCs w:val="20"/>
        </w:rPr>
        <w:t xml:space="preserve"> </w:t>
      </w:r>
      <w:proofErr w:type="spellStart"/>
      <w:r w:rsidRPr="005F6CA9">
        <w:rPr>
          <w:sz w:val="20"/>
          <w:szCs w:val="20"/>
        </w:rPr>
        <w:t>citu</w:t>
      </w:r>
      <w:proofErr w:type="spellEnd"/>
      <w:r w:rsidRPr="005F6CA9">
        <w:rPr>
          <w:sz w:val="20"/>
          <w:szCs w:val="20"/>
        </w:rPr>
        <w:t xml:space="preserve"> </w:t>
      </w:r>
      <w:proofErr w:type="spellStart"/>
      <w:r w:rsidRPr="005F6CA9">
        <w:rPr>
          <w:sz w:val="20"/>
          <w:szCs w:val="20"/>
        </w:rPr>
        <w:t>pienākumu</w:t>
      </w:r>
      <w:proofErr w:type="spellEnd"/>
      <w:r w:rsidRPr="005F6CA9">
        <w:rPr>
          <w:sz w:val="20"/>
          <w:szCs w:val="20"/>
        </w:rPr>
        <w:t xml:space="preserve"> </w:t>
      </w:r>
      <w:proofErr w:type="spellStart"/>
      <w:r w:rsidRPr="005F6CA9">
        <w:rPr>
          <w:sz w:val="20"/>
          <w:szCs w:val="20"/>
        </w:rPr>
        <w:t>izpildīšanai</w:t>
      </w:r>
      <w:proofErr w:type="spellEnd"/>
      <w:r w:rsidRPr="005F6CA9">
        <w:rPr>
          <w:sz w:val="20"/>
          <w:szCs w:val="20"/>
        </w:rPr>
        <w:t xml:space="preserve">; 6) </w:t>
      </w:r>
      <w:proofErr w:type="spellStart"/>
      <w:r w:rsidRPr="005F6CA9">
        <w:rPr>
          <w:sz w:val="20"/>
          <w:szCs w:val="20"/>
        </w:rPr>
        <w:t>seifu</w:t>
      </w:r>
      <w:proofErr w:type="spellEnd"/>
      <w:r w:rsidRPr="005F6CA9">
        <w:rPr>
          <w:sz w:val="20"/>
          <w:szCs w:val="20"/>
        </w:rPr>
        <w:t xml:space="preserve"> </w:t>
      </w:r>
      <w:proofErr w:type="spellStart"/>
      <w:r w:rsidRPr="005F6CA9">
        <w:rPr>
          <w:sz w:val="20"/>
          <w:szCs w:val="20"/>
        </w:rPr>
        <w:t>un</w:t>
      </w:r>
      <w:proofErr w:type="spellEnd"/>
      <w:r w:rsidRPr="005F6CA9">
        <w:rPr>
          <w:sz w:val="20"/>
          <w:szCs w:val="20"/>
        </w:rPr>
        <w:t xml:space="preserve"> </w:t>
      </w:r>
      <w:proofErr w:type="spellStart"/>
      <w:r w:rsidRPr="005F6CA9">
        <w:rPr>
          <w:sz w:val="20"/>
          <w:szCs w:val="20"/>
        </w:rPr>
        <w:t>citu</w:t>
      </w:r>
      <w:proofErr w:type="spellEnd"/>
      <w:r w:rsidRPr="005F6CA9">
        <w:rPr>
          <w:sz w:val="20"/>
          <w:szCs w:val="20"/>
        </w:rPr>
        <w:t xml:space="preserve"> </w:t>
      </w:r>
      <w:proofErr w:type="spellStart"/>
      <w:r w:rsidRPr="005F6CA9">
        <w:rPr>
          <w:sz w:val="20"/>
          <w:szCs w:val="20"/>
        </w:rPr>
        <w:t>glabātavu</w:t>
      </w:r>
      <w:proofErr w:type="spellEnd"/>
      <w:r w:rsidRPr="005F6CA9">
        <w:rPr>
          <w:sz w:val="20"/>
          <w:szCs w:val="20"/>
        </w:rPr>
        <w:t xml:space="preserve"> </w:t>
      </w:r>
      <w:proofErr w:type="spellStart"/>
      <w:r w:rsidRPr="005F6CA9">
        <w:rPr>
          <w:sz w:val="20"/>
          <w:szCs w:val="20"/>
        </w:rPr>
        <w:t>saturu</w:t>
      </w:r>
      <w:proofErr w:type="spellEnd"/>
      <w:r w:rsidRPr="005F6CA9">
        <w:rPr>
          <w:sz w:val="20"/>
          <w:szCs w:val="20"/>
        </w:rPr>
        <w:t xml:space="preserve">; 7) </w:t>
      </w:r>
      <w:proofErr w:type="spellStart"/>
      <w:r w:rsidRPr="005F6CA9">
        <w:rPr>
          <w:sz w:val="20"/>
          <w:szCs w:val="20"/>
        </w:rPr>
        <w:t>dokumentu</w:t>
      </w:r>
      <w:proofErr w:type="spellEnd"/>
      <w:r w:rsidRPr="005F6CA9">
        <w:rPr>
          <w:sz w:val="20"/>
          <w:szCs w:val="20"/>
        </w:rPr>
        <w:t xml:space="preserve"> </w:t>
      </w:r>
      <w:proofErr w:type="spellStart"/>
      <w:r w:rsidRPr="005F6CA9">
        <w:rPr>
          <w:sz w:val="20"/>
          <w:szCs w:val="20"/>
        </w:rPr>
        <w:t>uzrādīšanas</w:t>
      </w:r>
      <w:proofErr w:type="spellEnd"/>
      <w:r w:rsidRPr="005F6CA9">
        <w:rPr>
          <w:sz w:val="20"/>
          <w:szCs w:val="20"/>
        </w:rPr>
        <w:t xml:space="preserve"> </w:t>
      </w:r>
      <w:proofErr w:type="spellStart"/>
      <w:r w:rsidRPr="005F6CA9">
        <w:rPr>
          <w:sz w:val="20"/>
          <w:szCs w:val="20"/>
        </w:rPr>
        <w:t>laiku</w:t>
      </w:r>
      <w:proofErr w:type="spellEnd"/>
      <w:r w:rsidRPr="005F6CA9">
        <w:rPr>
          <w:sz w:val="20"/>
          <w:szCs w:val="20"/>
        </w:rPr>
        <w:t xml:space="preserve">; 8) </w:t>
      </w:r>
      <w:proofErr w:type="spellStart"/>
      <w:r w:rsidRPr="005F6CA9">
        <w:rPr>
          <w:sz w:val="20"/>
          <w:szCs w:val="20"/>
        </w:rPr>
        <w:t>valsts</w:t>
      </w:r>
      <w:proofErr w:type="spellEnd"/>
      <w:r w:rsidRPr="005F6CA9">
        <w:rPr>
          <w:sz w:val="20"/>
          <w:szCs w:val="20"/>
        </w:rPr>
        <w:t xml:space="preserve"> </w:t>
      </w:r>
      <w:proofErr w:type="spellStart"/>
      <w:r w:rsidRPr="005F6CA9">
        <w:rPr>
          <w:sz w:val="20"/>
          <w:szCs w:val="20"/>
        </w:rPr>
        <w:t>nodevas</w:t>
      </w:r>
      <w:proofErr w:type="spellEnd"/>
      <w:r w:rsidRPr="005F6CA9">
        <w:rPr>
          <w:sz w:val="20"/>
          <w:szCs w:val="20"/>
        </w:rPr>
        <w:t xml:space="preserve"> </w:t>
      </w:r>
      <w:proofErr w:type="spellStart"/>
      <w:r w:rsidRPr="005F6CA9">
        <w:rPr>
          <w:sz w:val="20"/>
          <w:szCs w:val="20"/>
        </w:rPr>
        <w:t>samaksu</w:t>
      </w:r>
      <w:proofErr w:type="spellEnd"/>
      <w:r w:rsidRPr="005F6CA9">
        <w:rPr>
          <w:sz w:val="20"/>
          <w:szCs w:val="20"/>
        </w:rPr>
        <w:t xml:space="preserve">; 9) </w:t>
      </w:r>
      <w:proofErr w:type="spellStart"/>
      <w:r w:rsidRPr="005F6CA9">
        <w:rPr>
          <w:sz w:val="20"/>
          <w:szCs w:val="20"/>
        </w:rPr>
        <w:t>protestus</w:t>
      </w:r>
      <w:proofErr w:type="spellEnd"/>
      <w:r w:rsidRPr="005F6CA9">
        <w:rPr>
          <w:sz w:val="20"/>
          <w:szCs w:val="20"/>
        </w:rPr>
        <w:t xml:space="preserve">; 10) </w:t>
      </w:r>
      <w:proofErr w:type="spellStart"/>
      <w:r w:rsidRPr="005F6CA9">
        <w:rPr>
          <w:sz w:val="20"/>
          <w:szCs w:val="20"/>
        </w:rPr>
        <w:t>pilnvarojumu</w:t>
      </w:r>
      <w:proofErr w:type="spellEnd"/>
      <w:r w:rsidRPr="005F6CA9">
        <w:rPr>
          <w:sz w:val="20"/>
          <w:szCs w:val="20"/>
        </w:rPr>
        <w:t xml:space="preserve"> </w:t>
      </w:r>
      <w:proofErr w:type="spellStart"/>
      <w:r w:rsidRPr="005F6CA9">
        <w:rPr>
          <w:sz w:val="20"/>
          <w:szCs w:val="20"/>
        </w:rPr>
        <w:t>atsaukšanu</w:t>
      </w:r>
      <w:proofErr w:type="spellEnd"/>
      <w:r w:rsidRPr="005F6CA9">
        <w:rPr>
          <w:sz w:val="20"/>
          <w:szCs w:val="20"/>
        </w:rPr>
        <w:t xml:space="preserve">; 11) </w:t>
      </w:r>
      <w:proofErr w:type="spellStart"/>
      <w:r w:rsidRPr="005F6CA9">
        <w:rPr>
          <w:sz w:val="20"/>
          <w:szCs w:val="20"/>
        </w:rPr>
        <w:t>paziņojumu</w:t>
      </w:r>
      <w:proofErr w:type="spellEnd"/>
      <w:r w:rsidRPr="005F6CA9">
        <w:rPr>
          <w:sz w:val="20"/>
          <w:szCs w:val="20"/>
        </w:rPr>
        <w:t xml:space="preserve"> </w:t>
      </w:r>
      <w:proofErr w:type="spellStart"/>
      <w:r w:rsidRPr="005F6CA9">
        <w:rPr>
          <w:sz w:val="20"/>
          <w:szCs w:val="20"/>
        </w:rPr>
        <w:t>nodošanu</w:t>
      </w:r>
      <w:proofErr w:type="spellEnd"/>
      <w:r w:rsidRPr="005F6CA9">
        <w:rPr>
          <w:sz w:val="20"/>
          <w:szCs w:val="20"/>
        </w:rPr>
        <w:t xml:space="preserve">; 12) </w:t>
      </w:r>
      <w:proofErr w:type="spellStart"/>
      <w:r w:rsidRPr="005F6CA9">
        <w:rPr>
          <w:sz w:val="20"/>
          <w:szCs w:val="20"/>
        </w:rPr>
        <w:t>sapulču</w:t>
      </w:r>
      <w:proofErr w:type="spellEnd"/>
      <w:r w:rsidRPr="005F6CA9">
        <w:rPr>
          <w:sz w:val="20"/>
          <w:szCs w:val="20"/>
        </w:rPr>
        <w:t xml:space="preserve">, </w:t>
      </w:r>
      <w:proofErr w:type="spellStart"/>
      <w:r w:rsidRPr="005F6CA9">
        <w:rPr>
          <w:sz w:val="20"/>
          <w:szCs w:val="20"/>
        </w:rPr>
        <w:t>darbību</w:t>
      </w:r>
      <w:proofErr w:type="spellEnd"/>
      <w:r w:rsidRPr="005F6CA9">
        <w:rPr>
          <w:sz w:val="20"/>
          <w:szCs w:val="20"/>
        </w:rPr>
        <w:t xml:space="preserve"> </w:t>
      </w:r>
      <w:proofErr w:type="spellStart"/>
      <w:r w:rsidRPr="005F6CA9">
        <w:rPr>
          <w:sz w:val="20"/>
          <w:szCs w:val="20"/>
        </w:rPr>
        <w:t>un</w:t>
      </w:r>
      <w:proofErr w:type="spellEnd"/>
      <w:r w:rsidRPr="005F6CA9">
        <w:rPr>
          <w:sz w:val="20"/>
          <w:szCs w:val="20"/>
        </w:rPr>
        <w:t xml:space="preserve"> </w:t>
      </w:r>
      <w:proofErr w:type="spellStart"/>
      <w:r w:rsidRPr="005F6CA9">
        <w:rPr>
          <w:sz w:val="20"/>
          <w:szCs w:val="20"/>
        </w:rPr>
        <w:t>notikumu</w:t>
      </w:r>
      <w:proofErr w:type="spellEnd"/>
      <w:r w:rsidRPr="005F6CA9">
        <w:rPr>
          <w:sz w:val="20"/>
          <w:szCs w:val="20"/>
        </w:rPr>
        <w:t xml:space="preserve"> </w:t>
      </w:r>
      <w:proofErr w:type="spellStart"/>
      <w:r w:rsidRPr="005F6CA9">
        <w:rPr>
          <w:sz w:val="20"/>
          <w:szCs w:val="20"/>
        </w:rPr>
        <w:t>norisi</w:t>
      </w:r>
      <w:proofErr w:type="spellEnd"/>
      <w:r w:rsidRPr="005F6CA9">
        <w:rPr>
          <w:sz w:val="20"/>
          <w:szCs w:val="20"/>
        </w:rPr>
        <w:t xml:space="preserve">; 13) </w:t>
      </w:r>
      <w:proofErr w:type="spellStart"/>
      <w:r w:rsidRPr="005F6CA9">
        <w:rPr>
          <w:sz w:val="20"/>
          <w:szCs w:val="20"/>
        </w:rPr>
        <w:t>iesniegumu</w:t>
      </w:r>
      <w:proofErr w:type="spellEnd"/>
      <w:r w:rsidRPr="005F6CA9">
        <w:rPr>
          <w:sz w:val="20"/>
          <w:szCs w:val="20"/>
        </w:rPr>
        <w:t xml:space="preserve">, </w:t>
      </w:r>
      <w:proofErr w:type="spellStart"/>
      <w:r w:rsidRPr="005F6CA9">
        <w:rPr>
          <w:sz w:val="20"/>
          <w:szCs w:val="20"/>
        </w:rPr>
        <w:t>paziņojumu</w:t>
      </w:r>
      <w:proofErr w:type="spellEnd"/>
      <w:r w:rsidRPr="005F6CA9">
        <w:rPr>
          <w:sz w:val="20"/>
          <w:szCs w:val="20"/>
        </w:rPr>
        <w:t xml:space="preserve"> (</w:t>
      </w:r>
      <w:proofErr w:type="spellStart"/>
      <w:r w:rsidRPr="005F6CA9">
        <w:rPr>
          <w:sz w:val="20"/>
          <w:szCs w:val="20"/>
        </w:rPr>
        <w:t>deklarāciju</w:t>
      </w:r>
      <w:proofErr w:type="spellEnd"/>
      <w:r w:rsidRPr="005F6CA9">
        <w:rPr>
          <w:sz w:val="20"/>
          <w:szCs w:val="20"/>
        </w:rPr>
        <w:t xml:space="preserve">) </w:t>
      </w:r>
      <w:proofErr w:type="spellStart"/>
      <w:r w:rsidRPr="005F6CA9">
        <w:rPr>
          <w:sz w:val="20"/>
          <w:szCs w:val="20"/>
        </w:rPr>
        <w:t>un</w:t>
      </w:r>
      <w:proofErr w:type="spellEnd"/>
      <w:r w:rsidRPr="005F6CA9">
        <w:rPr>
          <w:sz w:val="20"/>
          <w:szCs w:val="20"/>
        </w:rPr>
        <w:t xml:space="preserve"> </w:t>
      </w:r>
      <w:proofErr w:type="spellStart"/>
      <w:r w:rsidRPr="005F6CA9">
        <w:rPr>
          <w:sz w:val="20"/>
          <w:szCs w:val="20"/>
        </w:rPr>
        <w:t>liecību</w:t>
      </w:r>
      <w:proofErr w:type="spellEnd"/>
      <w:r w:rsidRPr="005F6CA9">
        <w:rPr>
          <w:sz w:val="20"/>
          <w:szCs w:val="20"/>
        </w:rPr>
        <w:t xml:space="preserve"> </w:t>
      </w:r>
      <w:proofErr w:type="spellStart"/>
      <w:r w:rsidRPr="005F6CA9">
        <w:rPr>
          <w:sz w:val="20"/>
          <w:szCs w:val="20"/>
        </w:rPr>
        <w:t>sniegšanu</w:t>
      </w:r>
      <w:proofErr w:type="spellEnd"/>
      <w:r w:rsidRPr="005F6CA9">
        <w:rPr>
          <w:sz w:val="20"/>
          <w:szCs w:val="20"/>
        </w:rPr>
        <w:t xml:space="preserve">; 14) </w:t>
      </w:r>
      <w:proofErr w:type="spellStart"/>
      <w:r w:rsidRPr="005F6CA9">
        <w:rPr>
          <w:sz w:val="20"/>
          <w:szCs w:val="20"/>
        </w:rPr>
        <w:t>citus</w:t>
      </w:r>
      <w:proofErr w:type="spellEnd"/>
      <w:r w:rsidRPr="005F6CA9">
        <w:rPr>
          <w:sz w:val="20"/>
          <w:szCs w:val="20"/>
        </w:rPr>
        <w:t xml:space="preserve"> </w:t>
      </w:r>
      <w:proofErr w:type="spellStart"/>
      <w:r w:rsidRPr="005F6CA9">
        <w:rPr>
          <w:sz w:val="20"/>
          <w:szCs w:val="20"/>
        </w:rPr>
        <w:t>likumos</w:t>
      </w:r>
      <w:proofErr w:type="spellEnd"/>
      <w:r w:rsidRPr="005F6CA9">
        <w:rPr>
          <w:sz w:val="20"/>
          <w:szCs w:val="20"/>
        </w:rPr>
        <w:t xml:space="preserve"> </w:t>
      </w:r>
      <w:proofErr w:type="spellStart"/>
      <w:r w:rsidRPr="005F6CA9">
        <w:rPr>
          <w:sz w:val="20"/>
          <w:szCs w:val="20"/>
        </w:rPr>
        <w:t>paredzētos</w:t>
      </w:r>
      <w:proofErr w:type="spellEnd"/>
      <w:r w:rsidRPr="005F6CA9">
        <w:rPr>
          <w:sz w:val="20"/>
          <w:szCs w:val="20"/>
        </w:rPr>
        <w:t xml:space="preserve"> </w:t>
      </w:r>
      <w:proofErr w:type="spellStart"/>
      <w:r w:rsidRPr="005F6CA9">
        <w:rPr>
          <w:sz w:val="20"/>
          <w:szCs w:val="20"/>
        </w:rPr>
        <w:t>faktus</w:t>
      </w:r>
      <w:proofErr w:type="spellEnd"/>
      <w:r w:rsidRPr="005F6CA9">
        <w:rPr>
          <w:sz w:val="20"/>
          <w:szCs w:val="20"/>
        </w:rPr>
        <w:t xml:space="preserve"> </w:t>
      </w:r>
      <w:proofErr w:type="spellStart"/>
      <w:r w:rsidRPr="005F6CA9">
        <w:rPr>
          <w:sz w:val="20"/>
          <w:szCs w:val="20"/>
        </w:rPr>
        <w:t>un</w:t>
      </w:r>
      <w:proofErr w:type="spellEnd"/>
      <w:r w:rsidRPr="005F6CA9">
        <w:rPr>
          <w:sz w:val="20"/>
          <w:szCs w:val="20"/>
        </w:rPr>
        <w:t xml:space="preserve"> </w:t>
      </w:r>
      <w:proofErr w:type="spellStart"/>
      <w:r w:rsidRPr="005F6CA9">
        <w:rPr>
          <w:sz w:val="20"/>
          <w:szCs w:val="20"/>
        </w:rPr>
        <w:t>dokumentus</w:t>
      </w:r>
      <w:proofErr w:type="spellEnd"/>
      <w:r w:rsidRPr="005F6CA9">
        <w:rPr>
          <w:sz w:val="20"/>
          <w:szCs w:val="20"/>
        </w:rPr>
        <w:t>.</w:t>
      </w:r>
    </w:p>
  </w:footnote>
  <w:footnote w:id="100">
    <w:p w14:paraId="7A69D102" w14:textId="0518FB73" w:rsidR="000C7C76" w:rsidRPr="000C7C76" w:rsidRDefault="000C7C76" w:rsidP="00CB1F8C">
      <w:pPr>
        <w:pStyle w:val="FootnoteText"/>
        <w:jc w:val="both"/>
        <w:rPr>
          <w:lang w:val="en-US"/>
        </w:rPr>
      </w:pPr>
      <w:r>
        <w:rPr>
          <w:rStyle w:val="FootnoteReference"/>
        </w:rPr>
        <w:footnoteRef/>
      </w:r>
      <w:r>
        <w:t xml:space="preserve"> Skat., </w:t>
      </w:r>
      <w:proofErr w:type="spellStart"/>
      <w:r>
        <w:t>piemēram</w:t>
      </w:r>
      <w:proofErr w:type="spellEnd"/>
      <w:r>
        <w:t xml:space="preserve">: </w:t>
      </w:r>
      <w:proofErr w:type="spellStart"/>
      <w:r w:rsidRPr="000C7C76">
        <w:rPr>
          <w:lang w:val="en-US"/>
        </w:rPr>
        <w:t>Reithmann</w:t>
      </w:r>
      <w:proofErr w:type="spellEnd"/>
      <w:r w:rsidRPr="000C7C76">
        <w:rPr>
          <w:lang w:val="en-US"/>
        </w:rPr>
        <w:t xml:space="preserve"> Ch. </w:t>
      </w:r>
      <w:proofErr w:type="spellStart"/>
      <w:r w:rsidRPr="000C7C76">
        <w:rPr>
          <w:lang w:val="en-US"/>
        </w:rPr>
        <w:t>Vertretungsbescheinigungen</w:t>
      </w:r>
      <w:proofErr w:type="spellEnd"/>
      <w:r w:rsidRPr="000C7C76">
        <w:rPr>
          <w:lang w:val="en-US"/>
        </w:rPr>
        <w:t xml:space="preserve"> </w:t>
      </w:r>
      <w:proofErr w:type="spellStart"/>
      <w:r w:rsidRPr="000C7C76">
        <w:rPr>
          <w:lang w:val="en-US"/>
        </w:rPr>
        <w:t>ausländischer</w:t>
      </w:r>
      <w:proofErr w:type="spellEnd"/>
      <w:r w:rsidRPr="000C7C76">
        <w:rPr>
          <w:lang w:val="en-US"/>
        </w:rPr>
        <w:t xml:space="preserve"> </w:t>
      </w:r>
      <w:proofErr w:type="spellStart"/>
      <w:r w:rsidRPr="000C7C76">
        <w:rPr>
          <w:lang w:val="en-US"/>
        </w:rPr>
        <w:t>Notare</w:t>
      </w:r>
      <w:proofErr w:type="spellEnd"/>
      <w:r w:rsidRPr="000C7C76">
        <w:rPr>
          <w:lang w:val="en-US"/>
        </w:rPr>
        <w:t xml:space="preserve"> // </w:t>
      </w:r>
      <w:proofErr w:type="spellStart"/>
      <w:r w:rsidRPr="000C7C76">
        <w:rPr>
          <w:lang w:val="en-US"/>
        </w:rPr>
        <w:t>NotBZ</w:t>
      </w:r>
      <w:proofErr w:type="spellEnd"/>
      <w:r w:rsidRPr="000C7C76">
        <w:rPr>
          <w:lang w:val="en-US"/>
        </w:rPr>
        <w:t xml:space="preserve"> 2016, Köln, S. 130.</w:t>
      </w:r>
    </w:p>
  </w:footnote>
  <w:footnote w:id="101">
    <w:p w14:paraId="4C9F9D70" w14:textId="1B2C61A7" w:rsidR="000C7C76" w:rsidRPr="00721DDA" w:rsidRDefault="000C7C76" w:rsidP="00721DDA">
      <w:pPr>
        <w:pStyle w:val="FootnoteText"/>
        <w:jc w:val="both"/>
      </w:pPr>
      <w:r>
        <w:rPr>
          <w:rStyle w:val="FootnoteReference"/>
        </w:rPr>
        <w:footnoteRef/>
      </w:r>
      <w:r>
        <w:t xml:space="preserve"> </w:t>
      </w:r>
      <w:proofErr w:type="spellStart"/>
      <w:r>
        <w:t>Callé</w:t>
      </w:r>
      <w:proofErr w:type="spellEnd"/>
      <w:r>
        <w:t xml:space="preserve"> P. </w:t>
      </w:r>
      <w:proofErr w:type="spellStart"/>
      <w:r>
        <w:t>L’acte</w:t>
      </w:r>
      <w:proofErr w:type="spellEnd"/>
      <w:r>
        <w:t xml:space="preserve"> </w:t>
      </w:r>
      <w:proofErr w:type="spellStart"/>
      <w:r>
        <w:t>public</w:t>
      </w:r>
      <w:proofErr w:type="spellEnd"/>
      <w:r>
        <w:t xml:space="preserve"> en </w:t>
      </w:r>
      <w:proofErr w:type="spellStart"/>
      <w:r>
        <w:t>droit</w:t>
      </w:r>
      <w:proofErr w:type="spellEnd"/>
      <w:r>
        <w:t xml:space="preserve"> international </w:t>
      </w:r>
      <w:proofErr w:type="spellStart"/>
      <w:r>
        <w:t>privé</w:t>
      </w:r>
      <w:proofErr w:type="spellEnd"/>
      <w:r>
        <w:t xml:space="preserve">. Paris: </w:t>
      </w:r>
      <w:proofErr w:type="spellStart"/>
      <w:r>
        <w:t>Economica</w:t>
      </w:r>
      <w:proofErr w:type="spellEnd"/>
      <w:r>
        <w:t xml:space="preserve">, 2004, p. 292-311; </w:t>
      </w:r>
      <w:proofErr w:type="spellStart"/>
      <w:r w:rsidRPr="00794473">
        <w:t>Fohrer-Dedeurwaerder</w:t>
      </w:r>
      <w:proofErr w:type="spellEnd"/>
      <w:r w:rsidRPr="00794473">
        <w:t xml:space="preserve"> E. La </w:t>
      </w:r>
      <w:proofErr w:type="spellStart"/>
      <w:r w:rsidRPr="00794473">
        <w:t>prise</w:t>
      </w:r>
      <w:proofErr w:type="spellEnd"/>
      <w:r w:rsidRPr="00794473">
        <w:t xml:space="preserve"> en </w:t>
      </w:r>
      <w:proofErr w:type="spellStart"/>
      <w:r w:rsidRPr="00794473">
        <w:t>considération</w:t>
      </w:r>
      <w:proofErr w:type="spellEnd"/>
      <w:r w:rsidRPr="00794473">
        <w:t xml:space="preserve"> des </w:t>
      </w:r>
      <w:proofErr w:type="spellStart"/>
      <w:r w:rsidRPr="00794473">
        <w:t>normes</w:t>
      </w:r>
      <w:proofErr w:type="spellEnd"/>
      <w:r w:rsidRPr="00794473">
        <w:t xml:space="preserve"> </w:t>
      </w:r>
      <w:proofErr w:type="spellStart"/>
      <w:r w:rsidRPr="00794473">
        <w:t>étrangères</w:t>
      </w:r>
      <w:proofErr w:type="spellEnd"/>
      <w:r w:rsidRPr="00794473">
        <w:t>.</w:t>
      </w:r>
      <w:r>
        <w:t xml:space="preserve"> Paris: L.G.D.J., 2008, p. 490-503.</w:t>
      </w:r>
    </w:p>
  </w:footnote>
  <w:footnote w:id="102">
    <w:p w14:paraId="6FCBCE62" w14:textId="5FCDD708" w:rsidR="000C7C76" w:rsidRPr="000C7C76" w:rsidRDefault="000C7C76" w:rsidP="00114953">
      <w:pPr>
        <w:pStyle w:val="FootnoteText"/>
        <w:jc w:val="both"/>
        <w:rPr>
          <w:lang w:val="en-US"/>
        </w:rPr>
      </w:pPr>
      <w:r w:rsidRPr="005F6CA9">
        <w:rPr>
          <w:rStyle w:val="FootnoteReference"/>
        </w:rPr>
        <w:footnoteRef/>
      </w:r>
      <w:r w:rsidRPr="005F6CA9">
        <w:t xml:space="preserve"> </w:t>
      </w:r>
      <w:proofErr w:type="spellStart"/>
      <w:r w:rsidRPr="000C7C76">
        <w:rPr>
          <w:lang w:val="en-US"/>
        </w:rPr>
        <w:t>Reithmann</w:t>
      </w:r>
      <w:proofErr w:type="spellEnd"/>
      <w:r w:rsidRPr="000C7C76">
        <w:rPr>
          <w:lang w:val="en-US"/>
        </w:rPr>
        <w:t xml:space="preserve"> Ch. </w:t>
      </w:r>
      <w:proofErr w:type="spellStart"/>
      <w:r w:rsidRPr="000C7C76">
        <w:rPr>
          <w:lang w:val="en-US"/>
        </w:rPr>
        <w:t>Urkunden</w:t>
      </w:r>
      <w:proofErr w:type="spellEnd"/>
      <w:r w:rsidRPr="000C7C76">
        <w:rPr>
          <w:lang w:val="en-US"/>
        </w:rPr>
        <w:t xml:space="preserve"> </w:t>
      </w:r>
      <w:proofErr w:type="spellStart"/>
      <w:r w:rsidRPr="000C7C76">
        <w:rPr>
          <w:lang w:val="en-US"/>
        </w:rPr>
        <w:t>ausländischer</w:t>
      </w:r>
      <w:proofErr w:type="spellEnd"/>
      <w:r w:rsidRPr="000C7C76">
        <w:rPr>
          <w:lang w:val="en-US"/>
        </w:rPr>
        <w:t xml:space="preserve"> </w:t>
      </w:r>
      <w:proofErr w:type="spellStart"/>
      <w:r w:rsidRPr="000C7C76">
        <w:rPr>
          <w:lang w:val="en-US"/>
        </w:rPr>
        <w:t>Notare</w:t>
      </w:r>
      <w:proofErr w:type="spellEnd"/>
      <w:r w:rsidRPr="000C7C76">
        <w:rPr>
          <w:lang w:val="en-US"/>
        </w:rPr>
        <w:t xml:space="preserve"> in </w:t>
      </w:r>
      <w:proofErr w:type="spellStart"/>
      <w:r w:rsidRPr="000C7C76">
        <w:rPr>
          <w:lang w:val="en-US"/>
        </w:rPr>
        <w:t>inländischen</w:t>
      </w:r>
      <w:proofErr w:type="spellEnd"/>
      <w:r w:rsidRPr="000C7C76">
        <w:rPr>
          <w:lang w:val="en-US"/>
        </w:rPr>
        <w:t xml:space="preserve"> </w:t>
      </w:r>
      <w:proofErr w:type="spellStart"/>
      <w:r w:rsidRPr="000C7C76">
        <w:rPr>
          <w:lang w:val="en-US"/>
        </w:rPr>
        <w:t>Verfahren</w:t>
      </w:r>
      <w:proofErr w:type="spellEnd"/>
      <w:r w:rsidRPr="000C7C76">
        <w:rPr>
          <w:lang w:val="en-US"/>
        </w:rPr>
        <w:t xml:space="preserve"> // Praxis des Internationalen Privat- und </w:t>
      </w:r>
      <w:proofErr w:type="spellStart"/>
      <w:r w:rsidRPr="000C7C76">
        <w:rPr>
          <w:lang w:val="en-US"/>
        </w:rPr>
        <w:t>Verfahrensrechts</w:t>
      </w:r>
      <w:proofErr w:type="spellEnd"/>
      <w:r w:rsidRPr="000C7C76">
        <w:rPr>
          <w:lang w:val="en-US"/>
        </w:rPr>
        <w:t xml:space="preserve"> (</w:t>
      </w:r>
      <w:proofErr w:type="spellStart"/>
      <w:r w:rsidRPr="000C7C76">
        <w:rPr>
          <w:lang w:val="en-US"/>
        </w:rPr>
        <w:t>IPRax</w:t>
      </w:r>
      <w:proofErr w:type="spellEnd"/>
      <w:r w:rsidRPr="000C7C76">
        <w:rPr>
          <w:lang w:val="en-US"/>
        </w:rPr>
        <w:t>), 2012, Nr. 2, S. 134.</w:t>
      </w:r>
    </w:p>
  </w:footnote>
  <w:footnote w:id="103">
    <w:p w14:paraId="78B989EC" w14:textId="77777777" w:rsidR="000C7C76" w:rsidRPr="005F6CA9" w:rsidRDefault="000C7C76" w:rsidP="00114953">
      <w:pPr>
        <w:pStyle w:val="FootnoteText"/>
        <w:jc w:val="both"/>
        <w:rPr>
          <w:lang w:val="lv-LV"/>
        </w:rPr>
      </w:pPr>
      <w:r w:rsidRPr="005F6CA9">
        <w:rPr>
          <w:rStyle w:val="FootnoteReference"/>
        </w:rPr>
        <w:footnoteRef/>
      </w:r>
      <w:r w:rsidRPr="005F6CA9">
        <w:t xml:space="preserve"> </w:t>
      </w:r>
      <w:r w:rsidRPr="005F6CA9">
        <w:rPr>
          <w:lang w:val="lv-LV"/>
        </w:rPr>
        <w:t xml:space="preserve">BGH 2. </w:t>
      </w:r>
      <w:proofErr w:type="spellStart"/>
      <w:r w:rsidRPr="005F6CA9">
        <w:rPr>
          <w:lang w:val="lv-LV"/>
        </w:rPr>
        <w:t>Zivilsenat</w:t>
      </w:r>
      <w:proofErr w:type="spellEnd"/>
      <w:r w:rsidRPr="005F6CA9">
        <w:rPr>
          <w:lang w:val="lv-LV"/>
        </w:rPr>
        <w:t xml:space="preserve">, 17.12.2013, II ZB 6/13, </w:t>
      </w:r>
      <w:proofErr w:type="spellStart"/>
      <w:r w:rsidRPr="005F6CA9">
        <w:rPr>
          <w:lang w:val="lv-LV"/>
        </w:rPr>
        <w:t>Beschluss</w:t>
      </w:r>
      <w:proofErr w:type="spellEnd"/>
      <w:r w:rsidRPr="005F6CA9">
        <w:rPr>
          <w:lang w:val="lv-LV"/>
        </w:rPr>
        <w:t xml:space="preserve">, § 1-3, 12-14, 23. Pieejams: </w:t>
      </w:r>
      <w:hyperlink r:id="rId6" w:history="1">
        <w:r w:rsidRPr="005F6CA9">
          <w:rPr>
            <w:rStyle w:val="Hyperlink"/>
            <w:lang w:val="lv-LV"/>
          </w:rPr>
          <w:t>www.juris.de</w:t>
        </w:r>
      </w:hyperlink>
      <w:r w:rsidRPr="005F6CA9">
        <w:rPr>
          <w:lang w:val="lv-LV"/>
        </w:rPr>
        <w:t xml:space="preserve"> Iepriekšējā līdzīga lieta, kuru skatīja Vācijas Augstākā Federālā tiesa, ir: BGH 2. </w:t>
      </w:r>
      <w:proofErr w:type="spellStart"/>
      <w:r w:rsidRPr="005F6CA9">
        <w:rPr>
          <w:lang w:val="lv-LV"/>
        </w:rPr>
        <w:t>Zivilsenat</w:t>
      </w:r>
      <w:proofErr w:type="spellEnd"/>
      <w:r w:rsidRPr="005F6CA9">
        <w:rPr>
          <w:lang w:val="lv-LV"/>
        </w:rPr>
        <w:t xml:space="preserve">, 16.02.1981., II ZB 8/80. Pieejams: </w:t>
      </w:r>
      <w:hyperlink r:id="rId7" w:history="1">
        <w:r w:rsidRPr="005F6CA9">
          <w:rPr>
            <w:rStyle w:val="Hyperlink"/>
            <w:lang w:val="lv-LV"/>
          </w:rPr>
          <w:t>www.juris.de</w:t>
        </w:r>
      </w:hyperlink>
      <w:r w:rsidRPr="005F6CA9">
        <w:rPr>
          <w:lang w:val="lv-LV"/>
        </w:rPr>
        <w:t xml:space="preserve"> </w:t>
      </w:r>
    </w:p>
  </w:footnote>
  <w:footnote w:id="104">
    <w:p w14:paraId="00ED1A8D" w14:textId="77777777" w:rsidR="000C7C76" w:rsidRPr="000C7C76" w:rsidRDefault="000C7C76" w:rsidP="00114953">
      <w:pPr>
        <w:pStyle w:val="FootnoteText"/>
        <w:jc w:val="both"/>
        <w:rPr>
          <w:lang w:val="en-US"/>
        </w:rPr>
      </w:pPr>
      <w:r w:rsidRPr="005F6CA9">
        <w:rPr>
          <w:rStyle w:val="FootnoteReference"/>
        </w:rPr>
        <w:footnoteRef/>
      </w:r>
      <w:r w:rsidRPr="005F6CA9">
        <w:t xml:space="preserve"> </w:t>
      </w:r>
      <w:r w:rsidRPr="005F6CA9">
        <w:rPr>
          <w:lang w:val="lv-LV"/>
        </w:rPr>
        <w:t>Klaus J. M</w:t>
      </w:r>
      <w:proofErr w:type="spellStart"/>
      <w:r w:rsidRPr="000C7C76">
        <w:rPr>
          <w:lang w:val="en-US"/>
        </w:rPr>
        <w:t>üller</w:t>
      </w:r>
      <w:proofErr w:type="spellEnd"/>
      <w:r w:rsidRPr="000C7C76">
        <w:rPr>
          <w:lang w:val="en-US"/>
        </w:rPr>
        <w:t xml:space="preserve">. </w:t>
      </w:r>
      <w:proofErr w:type="spellStart"/>
      <w:r w:rsidRPr="000C7C76">
        <w:rPr>
          <w:lang w:val="en-US"/>
        </w:rPr>
        <w:t>Auslandsbeurkundung</w:t>
      </w:r>
      <w:proofErr w:type="spellEnd"/>
      <w:r w:rsidRPr="000C7C76">
        <w:rPr>
          <w:lang w:val="en-US"/>
        </w:rPr>
        <w:t xml:space="preserve"> von </w:t>
      </w:r>
      <w:proofErr w:type="spellStart"/>
      <w:r w:rsidRPr="000C7C76">
        <w:rPr>
          <w:lang w:val="en-US"/>
        </w:rPr>
        <w:t>Abtretungen</w:t>
      </w:r>
      <w:proofErr w:type="spellEnd"/>
      <w:r w:rsidRPr="000C7C76">
        <w:rPr>
          <w:lang w:val="en-US"/>
        </w:rPr>
        <w:t xml:space="preserve"> </w:t>
      </w:r>
      <w:proofErr w:type="spellStart"/>
      <w:r w:rsidRPr="000C7C76">
        <w:rPr>
          <w:lang w:val="en-US"/>
        </w:rPr>
        <w:t>deutscher</w:t>
      </w:r>
      <w:proofErr w:type="spellEnd"/>
      <w:r w:rsidRPr="000C7C76">
        <w:rPr>
          <w:lang w:val="en-US"/>
        </w:rPr>
        <w:t xml:space="preserve"> GmbH-</w:t>
      </w:r>
      <w:proofErr w:type="spellStart"/>
      <w:r w:rsidRPr="000C7C76">
        <w:rPr>
          <w:lang w:val="en-US"/>
        </w:rPr>
        <w:t>Geschäftsanteile</w:t>
      </w:r>
      <w:proofErr w:type="spellEnd"/>
      <w:r w:rsidRPr="000C7C76">
        <w:rPr>
          <w:lang w:val="en-US"/>
        </w:rPr>
        <w:t xml:space="preserve"> in der Schweiz. Neue </w:t>
      </w:r>
      <w:proofErr w:type="spellStart"/>
      <w:r w:rsidRPr="000C7C76">
        <w:rPr>
          <w:lang w:val="en-US"/>
        </w:rPr>
        <w:t>Juristische</w:t>
      </w:r>
      <w:proofErr w:type="spellEnd"/>
      <w:r w:rsidRPr="000C7C76">
        <w:rPr>
          <w:lang w:val="en-US"/>
        </w:rPr>
        <w:t xml:space="preserve"> </w:t>
      </w:r>
      <w:proofErr w:type="spellStart"/>
      <w:r w:rsidRPr="000C7C76">
        <w:rPr>
          <w:lang w:val="en-US"/>
        </w:rPr>
        <w:t>Wochenschrift</w:t>
      </w:r>
      <w:proofErr w:type="spellEnd"/>
      <w:r w:rsidRPr="000C7C76">
        <w:rPr>
          <w:lang w:val="en-US"/>
        </w:rPr>
        <w:t xml:space="preserve"> (NJW), 2014, Nr. 28, S.1999. </w:t>
      </w:r>
    </w:p>
  </w:footnote>
  <w:footnote w:id="105">
    <w:p w14:paraId="2320316C" w14:textId="77777777" w:rsidR="000C7C76" w:rsidRPr="000C7C76" w:rsidRDefault="000C7C76" w:rsidP="00114953">
      <w:pPr>
        <w:pStyle w:val="FootnoteText"/>
        <w:jc w:val="both"/>
        <w:rPr>
          <w:lang w:val="en-US"/>
        </w:rPr>
      </w:pPr>
      <w:r w:rsidRPr="005F6CA9">
        <w:rPr>
          <w:rStyle w:val="FootnoteReference"/>
        </w:rPr>
        <w:footnoteRef/>
      </w:r>
      <w:r w:rsidRPr="005F6CA9">
        <w:t xml:space="preserve"> </w:t>
      </w:r>
      <w:proofErr w:type="spellStart"/>
      <w:r w:rsidRPr="00F63FC2">
        <w:rPr>
          <w:i/>
          <w:lang w:val="lv-LV"/>
        </w:rPr>
        <w:t>Ibid</w:t>
      </w:r>
      <w:proofErr w:type="spellEnd"/>
      <w:r w:rsidRPr="005F6CA9">
        <w:rPr>
          <w:lang w:val="lv-LV"/>
        </w:rPr>
        <w:t xml:space="preserve">., </w:t>
      </w:r>
      <w:r w:rsidRPr="000C7C76">
        <w:rPr>
          <w:lang w:val="en-US"/>
        </w:rPr>
        <w:t xml:space="preserve">S.1996. </w:t>
      </w:r>
    </w:p>
  </w:footnote>
  <w:footnote w:id="106">
    <w:p w14:paraId="2514B76E" w14:textId="77777777" w:rsidR="000C7C76" w:rsidRPr="000C7C76" w:rsidRDefault="000C7C76" w:rsidP="00114953">
      <w:pPr>
        <w:pStyle w:val="FootnoteText"/>
        <w:jc w:val="both"/>
        <w:rPr>
          <w:lang w:val="en-US"/>
        </w:rPr>
      </w:pPr>
      <w:r w:rsidRPr="005F6CA9">
        <w:rPr>
          <w:rStyle w:val="FootnoteReference"/>
        </w:rPr>
        <w:footnoteRef/>
      </w:r>
      <w:r w:rsidRPr="005F6CA9">
        <w:t xml:space="preserve"> </w:t>
      </w:r>
      <w:proofErr w:type="spellStart"/>
      <w:r w:rsidRPr="005F6CA9">
        <w:rPr>
          <w:lang w:val="lv-LV"/>
        </w:rPr>
        <w:t>Geimer</w:t>
      </w:r>
      <w:proofErr w:type="spellEnd"/>
      <w:r w:rsidRPr="005F6CA9">
        <w:rPr>
          <w:lang w:val="lv-LV"/>
        </w:rPr>
        <w:t xml:space="preserve"> R. </w:t>
      </w:r>
      <w:proofErr w:type="spellStart"/>
      <w:r w:rsidRPr="005F6CA9">
        <w:rPr>
          <w:lang w:val="lv-LV"/>
        </w:rPr>
        <w:t>Eintragungsf</w:t>
      </w:r>
      <w:r w:rsidRPr="000C7C76">
        <w:rPr>
          <w:lang w:val="en-US"/>
        </w:rPr>
        <w:t>ähigkeit</w:t>
      </w:r>
      <w:proofErr w:type="spellEnd"/>
      <w:r w:rsidRPr="000C7C76">
        <w:rPr>
          <w:lang w:val="en-US"/>
        </w:rPr>
        <w:t xml:space="preserve"> </w:t>
      </w:r>
      <w:proofErr w:type="spellStart"/>
      <w:r w:rsidRPr="000C7C76">
        <w:rPr>
          <w:lang w:val="en-US"/>
        </w:rPr>
        <w:t>einer</w:t>
      </w:r>
      <w:proofErr w:type="spellEnd"/>
      <w:r w:rsidRPr="000C7C76">
        <w:rPr>
          <w:lang w:val="en-US"/>
        </w:rPr>
        <w:t xml:space="preserve"> von </w:t>
      </w:r>
      <w:proofErr w:type="spellStart"/>
      <w:r w:rsidRPr="000C7C76">
        <w:rPr>
          <w:lang w:val="en-US"/>
        </w:rPr>
        <w:t>einem</w:t>
      </w:r>
      <w:proofErr w:type="spellEnd"/>
      <w:r w:rsidRPr="000C7C76">
        <w:rPr>
          <w:lang w:val="en-US"/>
        </w:rPr>
        <w:t xml:space="preserve"> </w:t>
      </w:r>
      <w:proofErr w:type="spellStart"/>
      <w:r w:rsidRPr="000C7C76">
        <w:rPr>
          <w:lang w:val="en-US"/>
        </w:rPr>
        <w:t>deutschen</w:t>
      </w:r>
      <w:proofErr w:type="spellEnd"/>
      <w:r w:rsidRPr="000C7C76">
        <w:rPr>
          <w:lang w:val="en-US"/>
        </w:rPr>
        <w:t xml:space="preserve"> Notar </w:t>
      </w:r>
      <w:proofErr w:type="spellStart"/>
      <w:r w:rsidRPr="000C7C76">
        <w:rPr>
          <w:lang w:val="en-US"/>
        </w:rPr>
        <w:t>errichteten</w:t>
      </w:r>
      <w:proofErr w:type="spellEnd"/>
      <w:r w:rsidRPr="000C7C76">
        <w:rPr>
          <w:lang w:val="en-US"/>
        </w:rPr>
        <w:t xml:space="preserve"> </w:t>
      </w:r>
      <w:proofErr w:type="spellStart"/>
      <w:r w:rsidRPr="000C7C76">
        <w:rPr>
          <w:lang w:val="en-US"/>
        </w:rPr>
        <w:t>Kaufvertragsurkunde</w:t>
      </w:r>
      <w:proofErr w:type="spellEnd"/>
      <w:r w:rsidRPr="000C7C76">
        <w:rPr>
          <w:lang w:val="en-US"/>
        </w:rPr>
        <w:t xml:space="preserve"> </w:t>
      </w:r>
      <w:proofErr w:type="spellStart"/>
      <w:r w:rsidRPr="000C7C76">
        <w:rPr>
          <w:lang w:val="en-US"/>
        </w:rPr>
        <w:t>im</w:t>
      </w:r>
      <w:proofErr w:type="spellEnd"/>
      <w:r w:rsidRPr="000C7C76">
        <w:rPr>
          <w:lang w:val="en-US"/>
        </w:rPr>
        <w:t xml:space="preserve"> </w:t>
      </w:r>
      <w:proofErr w:type="spellStart"/>
      <w:r w:rsidRPr="000C7C76">
        <w:rPr>
          <w:lang w:val="en-US"/>
        </w:rPr>
        <w:t>spanischen</w:t>
      </w:r>
      <w:proofErr w:type="spellEnd"/>
      <w:r w:rsidRPr="000C7C76">
        <w:rPr>
          <w:lang w:val="en-US"/>
        </w:rPr>
        <w:t xml:space="preserve"> </w:t>
      </w:r>
      <w:proofErr w:type="spellStart"/>
      <w:r w:rsidRPr="000C7C76">
        <w:rPr>
          <w:lang w:val="en-US"/>
        </w:rPr>
        <w:t>Eigentumsregister</w:t>
      </w:r>
      <w:proofErr w:type="spellEnd"/>
      <w:r w:rsidRPr="000C7C76">
        <w:rPr>
          <w:lang w:val="en-US"/>
        </w:rPr>
        <w:t xml:space="preserve">. Praxis des Internationalen Privat- und </w:t>
      </w:r>
      <w:proofErr w:type="spellStart"/>
      <w:r w:rsidRPr="000C7C76">
        <w:rPr>
          <w:lang w:val="en-US"/>
        </w:rPr>
        <w:t>Verfahrensrechts</w:t>
      </w:r>
      <w:proofErr w:type="spellEnd"/>
      <w:r w:rsidRPr="000C7C76">
        <w:rPr>
          <w:lang w:val="en-US"/>
        </w:rPr>
        <w:t xml:space="preserve"> (</w:t>
      </w:r>
      <w:proofErr w:type="spellStart"/>
      <w:r w:rsidRPr="000C7C76">
        <w:rPr>
          <w:lang w:val="en-US"/>
        </w:rPr>
        <w:t>IPRax</w:t>
      </w:r>
      <w:proofErr w:type="spellEnd"/>
      <w:r w:rsidRPr="000C7C76">
        <w:rPr>
          <w:lang w:val="en-US"/>
        </w:rPr>
        <w:t>), 2013, Heft 5, S. 479.</w:t>
      </w:r>
    </w:p>
  </w:footnote>
  <w:footnote w:id="107">
    <w:p w14:paraId="26CDC8F9" w14:textId="77777777" w:rsidR="000C7C76" w:rsidRPr="005F6CA9" w:rsidRDefault="000C7C76" w:rsidP="00114953">
      <w:pPr>
        <w:pStyle w:val="FootnoteText"/>
        <w:rPr>
          <w:lang w:val="lv-LV"/>
        </w:rPr>
      </w:pPr>
      <w:r w:rsidRPr="005F6CA9">
        <w:rPr>
          <w:rStyle w:val="FootnoteReference"/>
        </w:rPr>
        <w:footnoteRef/>
      </w:r>
      <w:r w:rsidRPr="005F6CA9">
        <w:t xml:space="preserve"> </w:t>
      </w:r>
      <w:proofErr w:type="spellStart"/>
      <w:r w:rsidRPr="005F6CA9">
        <w:rPr>
          <w:i/>
          <w:lang w:val="lv-LV"/>
        </w:rPr>
        <w:t>Ibid</w:t>
      </w:r>
      <w:proofErr w:type="spellEnd"/>
      <w:r w:rsidRPr="005F6CA9">
        <w:rPr>
          <w:lang w:val="lv-LV"/>
        </w:rPr>
        <w:t>.</w:t>
      </w:r>
    </w:p>
  </w:footnote>
  <w:footnote w:id="108">
    <w:p w14:paraId="3FA3B7A9" w14:textId="77777777" w:rsidR="000C7C76" w:rsidRPr="005F6CA9" w:rsidRDefault="000C7C76" w:rsidP="00114953">
      <w:pPr>
        <w:pStyle w:val="FootnoteText"/>
        <w:jc w:val="both"/>
        <w:rPr>
          <w:lang w:val="lv-LV"/>
        </w:rPr>
      </w:pPr>
      <w:r w:rsidRPr="005F6CA9">
        <w:rPr>
          <w:rStyle w:val="FootnoteReference"/>
        </w:rPr>
        <w:footnoteRef/>
      </w:r>
      <w:r w:rsidRPr="005F6CA9">
        <w:t xml:space="preserve"> </w:t>
      </w:r>
      <w:proofErr w:type="spellStart"/>
      <w:r w:rsidRPr="005F6CA9">
        <w:rPr>
          <w:i/>
          <w:lang w:val="lv-LV"/>
        </w:rPr>
        <w:t>Ibid</w:t>
      </w:r>
      <w:proofErr w:type="spellEnd"/>
      <w:r w:rsidRPr="005F6CA9">
        <w:rPr>
          <w:lang w:val="lv-LV"/>
        </w:rPr>
        <w:t>., S. 479, 480.</w:t>
      </w:r>
    </w:p>
  </w:footnote>
  <w:footnote w:id="109">
    <w:p w14:paraId="06C99D43" w14:textId="77777777" w:rsidR="000C7C76" w:rsidRPr="005F6CA9" w:rsidRDefault="000C7C76" w:rsidP="00114953">
      <w:pPr>
        <w:pStyle w:val="FootnoteText"/>
        <w:jc w:val="both"/>
        <w:rPr>
          <w:lang w:val="lv-LV"/>
        </w:rPr>
      </w:pPr>
      <w:r w:rsidRPr="005F6CA9">
        <w:rPr>
          <w:rStyle w:val="FootnoteReference"/>
        </w:rPr>
        <w:footnoteRef/>
      </w:r>
      <w:r w:rsidRPr="005F6CA9">
        <w:t xml:space="preserve"> </w:t>
      </w:r>
      <w:proofErr w:type="spellStart"/>
      <w:r w:rsidRPr="005F6CA9">
        <w:rPr>
          <w:i/>
          <w:lang w:val="lv-LV"/>
        </w:rPr>
        <w:t>Ibid</w:t>
      </w:r>
      <w:proofErr w:type="spellEnd"/>
      <w:r w:rsidRPr="005F6CA9">
        <w:rPr>
          <w:lang w:val="lv-LV"/>
        </w:rPr>
        <w:t>.,  S. 481.</w:t>
      </w:r>
    </w:p>
  </w:footnote>
  <w:footnote w:id="110">
    <w:p w14:paraId="7FA2BA73" w14:textId="77777777" w:rsidR="000C7C76" w:rsidRPr="00E132AD" w:rsidRDefault="000C7C76" w:rsidP="00114953">
      <w:pPr>
        <w:pStyle w:val="FootnoteText"/>
        <w:jc w:val="both"/>
        <w:rPr>
          <w:lang w:val="lv-LV"/>
        </w:rPr>
      </w:pPr>
      <w:r>
        <w:rPr>
          <w:rStyle w:val="FootnoteReference"/>
        </w:rPr>
        <w:footnoteRef/>
      </w:r>
      <w:r>
        <w:t xml:space="preserve"> </w:t>
      </w:r>
      <w:r>
        <w:rPr>
          <w:lang w:val="lv-LV"/>
        </w:rPr>
        <w:t xml:space="preserve">Eiropas Padomes un Parlamenta Regula (ES) Nr. 650/2012 (2012.gada 4.jūlijs) </w:t>
      </w:r>
      <w:r w:rsidRPr="00E132AD">
        <w:rPr>
          <w:lang w:val="lv-LV"/>
        </w:rPr>
        <w:t>par jurisdikciju, piemērojamiem tiesību aktiem, nolēmumu atzīšanu un izpildi un publisku aktu akceptēšanu un izpildi mantošanas lietās un par Eiropas mantošanas apliecības izveidi</w:t>
      </w:r>
      <w:r>
        <w:rPr>
          <w:lang w:val="lv-LV"/>
        </w:rPr>
        <w:t>. ES Oficiālais Vēstnesis L 201, 27.07.2012., 107.-134.lpp.</w:t>
      </w:r>
    </w:p>
  </w:footnote>
  <w:footnote w:id="111">
    <w:p w14:paraId="20D7C6F0" w14:textId="77777777" w:rsidR="000C7C76" w:rsidRPr="005F6CA9" w:rsidRDefault="000C7C76" w:rsidP="00114953">
      <w:pPr>
        <w:pStyle w:val="FootnoteText"/>
        <w:jc w:val="both"/>
        <w:rPr>
          <w:lang w:val="fr-FR"/>
        </w:rPr>
      </w:pPr>
      <w:r w:rsidRPr="005F6CA9">
        <w:rPr>
          <w:rStyle w:val="FootnoteReference"/>
        </w:rPr>
        <w:footnoteRef/>
      </w:r>
      <w:r w:rsidRPr="005F6CA9">
        <w:t xml:space="preserve"> </w:t>
      </w:r>
      <w:r w:rsidRPr="005F6CA9">
        <w:rPr>
          <w:lang w:val="lv-LV"/>
        </w:rPr>
        <w:t xml:space="preserve">Deklaratīvas sekas ir Beļģijā, Francijā, Luksemburgā, Itālijā. Skat.: </w:t>
      </w:r>
      <w:proofErr w:type="spellStart"/>
      <w:r w:rsidRPr="005F6CA9">
        <w:rPr>
          <w:lang w:val="lv-LV"/>
        </w:rPr>
        <w:t>Bonomi</w:t>
      </w:r>
      <w:proofErr w:type="spellEnd"/>
      <w:r w:rsidRPr="005F6CA9">
        <w:rPr>
          <w:lang w:val="lv-LV"/>
        </w:rPr>
        <w:t xml:space="preserve"> A., </w:t>
      </w:r>
      <w:proofErr w:type="spellStart"/>
      <w:r w:rsidRPr="005F6CA9">
        <w:rPr>
          <w:lang w:val="lv-LV"/>
        </w:rPr>
        <w:t>Wautelet</w:t>
      </w:r>
      <w:proofErr w:type="spellEnd"/>
      <w:r w:rsidRPr="005F6CA9">
        <w:rPr>
          <w:lang w:val="lv-LV"/>
        </w:rPr>
        <w:t xml:space="preserve"> P. </w:t>
      </w:r>
      <w:proofErr w:type="spellStart"/>
      <w:r w:rsidRPr="005F6CA9">
        <w:rPr>
          <w:lang w:val="lv-LV"/>
        </w:rPr>
        <w:t>Le</w:t>
      </w:r>
      <w:proofErr w:type="spellEnd"/>
      <w:r w:rsidRPr="005F6CA9">
        <w:rPr>
          <w:lang w:val="lv-LV"/>
        </w:rPr>
        <w:t xml:space="preserve"> </w:t>
      </w:r>
      <w:proofErr w:type="spellStart"/>
      <w:r w:rsidRPr="005F6CA9">
        <w:rPr>
          <w:lang w:val="lv-LV"/>
        </w:rPr>
        <w:t>droit</w:t>
      </w:r>
      <w:proofErr w:type="spellEnd"/>
      <w:r w:rsidRPr="005F6CA9">
        <w:rPr>
          <w:lang w:val="lv-LV"/>
        </w:rPr>
        <w:t xml:space="preserve"> </w:t>
      </w:r>
      <w:proofErr w:type="spellStart"/>
      <w:r w:rsidRPr="005F6CA9">
        <w:rPr>
          <w:lang w:val="lv-LV"/>
        </w:rPr>
        <w:t>europ</w:t>
      </w:r>
      <w:r w:rsidRPr="005F6CA9">
        <w:rPr>
          <w:lang w:val="fr-FR"/>
        </w:rPr>
        <w:t>éen</w:t>
      </w:r>
      <w:proofErr w:type="spellEnd"/>
      <w:r w:rsidRPr="005F6CA9">
        <w:rPr>
          <w:lang w:val="fr-FR"/>
        </w:rPr>
        <w:t xml:space="preserve"> des successions. </w:t>
      </w:r>
      <w:proofErr w:type="gramStart"/>
      <w:r w:rsidRPr="005F6CA9">
        <w:rPr>
          <w:lang w:val="fr-FR"/>
        </w:rPr>
        <w:t>Bruxelles:</w:t>
      </w:r>
      <w:proofErr w:type="gramEnd"/>
      <w:r w:rsidRPr="005F6CA9">
        <w:rPr>
          <w:lang w:val="fr-FR"/>
        </w:rPr>
        <w:t xml:space="preserve"> Bruylant, 2013, p. 129.</w:t>
      </w:r>
    </w:p>
  </w:footnote>
  <w:footnote w:id="112">
    <w:p w14:paraId="10F7B417" w14:textId="77777777" w:rsidR="000C7C76" w:rsidRPr="005F6CA9" w:rsidRDefault="000C7C76" w:rsidP="00114953">
      <w:pPr>
        <w:pStyle w:val="FootnoteText"/>
        <w:jc w:val="both"/>
        <w:rPr>
          <w:lang w:val="lv-LV"/>
        </w:rPr>
      </w:pPr>
      <w:r w:rsidRPr="005F6CA9">
        <w:rPr>
          <w:rStyle w:val="FootnoteReference"/>
        </w:rPr>
        <w:footnoteRef/>
      </w:r>
      <w:r w:rsidRPr="005F6CA9">
        <w:t xml:space="preserve"> </w:t>
      </w:r>
      <w:proofErr w:type="spellStart"/>
      <w:r w:rsidRPr="005F6CA9">
        <w:rPr>
          <w:lang w:val="lv-LV"/>
        </w:rPr>
        <w:t>Konstitutīvas</w:t>
      </w:r>
      <w:proofErr w:type="spellEnd"/>
      <w:r w:rsidRPr="005F6CA9">
        <w:rPr>
          <w:lang w:val="lv-LV"/>
        </w:rPr>
        <w:t xml:space="preserve"> sekas ir Vācijā, Nīderlandē. Skat.: </w:t>
      </w:r>
      <w:proofErr w:type="spellStart"/>
      <w:r w:rsidRPr="005F6CA9">
        <w:rPr>
          <w:i/>
          <w:lang w:val="lv-LV"/>
        </w:rPr>
        <w:t>Ibid</w:t>
      </w:r>
      <w:proofErr w:type="spellEnd"/>
      <w:r w:rsidRPr="005F6CA9">
        <w:rPr>
          <w:lang w:val="lv-LV"/>
        </w:rPr>
        <w:t>.</w:t>
      </w:r>
    </w:p>
  </w:footnote>
  <w:footnote w:id="113">
    <w:p w14:paraId="09C4941A" w14:textId="77777777" w:rsidR="000C7C76" w:rsidRPr="005F6CA9" w:rsidRDefault="000C7C76" w:rsidP="00114953">
      <w:pPr>
        <w:pStyle w:val="FootnoteText"/>
        <w:jc w:val="both"/>
        <w:rPr>
          <w:lang w:val="lv-LV"/>
        </w:rPr>
      </w:pPr>
      <w:r w:rsidRPr="005F6CA9">
        <w:rPr>
          <w:rStyle w:val="FootnoteReference"/>
        </w:rPr>
        <w:footnoteRef/>
      </w:r>
      <w:r w:rsidRPr="005F6CA9">
        <w:t xml:space="preserve"> </w:t>
      </w:r>
      <w:proofErr w:type="spellStart"/>
      <w:r w:rsidRPr="005F6CA9">
        <w:rPr>
          <w:lang w:val="lv-LV"/>
        </w:rPr>
        <w:t>Pfeiffer</w:t>
      </w:r>
      <w:proofErr w:type="spellEnd"/>
      <w:r w:rsidRPr="005F6CA9">
        <w:rPr>
          <w:lang w:val="lv-LV"/>
        </w:rPr>
        <w:t xml:space="preserve"> G. </w:t>
      </w:r>
      <w:proofErr w:type="spellStart"/>
      <w:r w:rsidRPr="005F6CA9">
        <w:rPr>
          <w:lang w:val="lv-LV"/>
        </w:rPr>
        <w:t>Vollmacht</w:t>
      </w:r>
      <w:proofErr w:type="spellEnd"/>
      <w:r w:rsidRPr="005F6CA9">
        <w:rPr>
          <w:lang w:val="lv-LV"/>
        </w:rPr>
        <w:t xml:space="preserve"> </w:t>
      </w:r>
      <w:proofErr w:type="spellStart"/>
      <w:r w:rsidRPr="005F6CA9">
        <w:rPr>
          <w:lang w:val="lv-LV"/>
        </w:rPr>
        <w:t>und</w:t>
      </w:r>
      <w:proofErr w:type="spellEnd"/>
      <w:r w:rsidRPr="005F6CA9">
        <w:rPr>
          <w:lang w:val="lv-LV"/>
        </w:rPr>
        <w:t xml:space="preserve"> </w:t>
      </w:r>
      <w:proofErr w:type="spellStart"/>
      <w:r w:rsidRPr="005F6CA9">
        <w:rPr>
          <w:lang w:val="lv-LV"/>
        </w:rPr>
        <w:t>Vertretungsnachweis</w:t>
      </w:r>
      <w:proofErr w:type="spellEnd"/>
      <w:r w:rsidRPr="005F6CA9">
        <w:rPr>
          <w:lang w:val="lv-LV"/>
        </w:rPr>
        <w:t xml:space="preserve"> </w:t>
      </w:r>
      <w:proofErr w:type="spellStart"/>
      <w:r w:rsidRPr="005F6CA9">
        <w:rPr>
          <w:lang w:val="lv-LV"/>
        </w:rPr>
        <w:t>bei</w:t>
      </w:r>
      <w:proofErr w:type="spellEnd"/>
      <w:r w:rsidRPr="005F6CA9">
        <w:rPr>
          <w:lang w:val="lv-LV"/>
        </w:rPr>
        <w:t xml:space="preserve"> </w:t>
      </w:r>
      <w:proofErr w:type="spellStart"/>
      <w:r w:rsidRPr="005F6CA9">
        <w:rPr>
          <w:lang w:val="lv-LV"/>
        </w:rPr>
        <w:t>Auslandsbezug</w:t>
      </w:r>
      <w:proofErr w:type="spellEnd"/>
      <w:r w:rsidRPr="005F6CA9">
        <w:rPr>
          <w:lang w:val="lv-LV"/>
        </w:rPr>
        <w:t xml:space="preserve"> </w:t>
      </w:r>
      <w:proofErr w:type="spellStart"/>
      <w:r w:rsidRPr="005F6CA9">
        <w:rPr>
          <w:lang w:val="lv-LV"/>
        </w:rPr>
        <w:t>im</w:t>
      </w:r>
      <w:proofErr w:type="spellEnd"/>
      <w:r w:rsidRPr="005F6CA9">
        <w:rPr>
          <w:lang w:val="lv-LV"/>
        </w:rPr>
        <w:t xml:space="preserve"> </w:t>
      </w:r>
      <w:proofErr w:type="spellStart"/>
      <w:r w:rsidRPr="005F6CA9">
        <w:rPr>
          <w:lang w:val="lv-LV"/>
        </w:rPr>
        <w:t>deutschen</w:t>
      </w:r>
      <w:proofErr w:type="spellEnd"/>
      <w:r w:rsidRPr="005F6CA9">
        <w:rPr>
          <w:lang w:val="lv-LV"/>
        </w:rPr>
        <w:t xml:space="preserve"> </w:t>
      </w:r>
      <w:proofErr w:type="spellStart"/>
      <w:r w:rsidRPr="005F6CA9">
        <w:rPr>
          <w:lang w:val="lv-LV"/>
        </w:rPr>
        <w:t>Handelsregisterverfahren</w:t>
      </w:r>
      <w:proofErr w:type="spellEnd"/>
      <w:r w:rsidRPr="005F6CA9">
        <w:rPr>
          <w:lang w:val="lv-LV"/>
        </w:rPr>
        <w:t xml:space="preserve">. </w:t>
      </w:r>
      <w:proofErr w:type="spellStart"/>
      <w:r w:rsidRPr="005F6CA9">
        <w:rPr>
          <w:lang w:val="lv-LV"/>
        </w:rPr>
        <w:t>Rpfleger</w:t>
      </w:r>
      <w:proofErr w:type="spellEnd"/>
      <w:r w:rsidRPr="005F6CA9">
        <w:rPr>
          <w:lang w:val="lv-LV"/>
        </w:rPr>
        <w:t xml:space="preserve">, </w:t>
      </w:r>
      <w:proofErr w:type="spellStart"/>
      <w:r w:rsidRPr="005F6CA9">
        <w:rPr>
          <w:lang w:val="lv-LV"/>
        </w:rPr>
        <w:t>Bielefeld</w:t>
      </w:r>
      <w:proofErr w:type="spellEnd"/>
      <w:r w:rsidRPr="005F6CA9">
        <w:rPr>
          <w:lang w:val="lv-LV"/>
        </w:rPr>
        <w:t xml:space="preserve">: </w:t>
      </w:r>
      <w:proofErr w:type="spellStart"/>
      <w:r w:rsidRPr="005F6CA9">
        <w:rPr>
          <w:lang w:val="lv-LV"/>
        </w:rPr>
        <w:t>Verlag</w:t>
      </w:r>
      <w:proofErr w:type="spellEnd"/>
      <w:r w:rsidRPr="005F6CA9">
        <w:rPr>
          <w:lang w:val="lv-LV"/>
        </w:rPr>
        <w:t xml:space="preserve"> </w:t>
      </w:r>
      <w:proofErr w:type="spellStart"/>
      <w:r w:rsidRPr="005F6CA9">
        <w:rPr>
          <w:lang w:val="lv-LV"/>
        </w:rPr>
        <w:t>Gieseking</w:t>
      </w:r>
      <w:proofErr w:type="spellEnd"/>
      <w:r w:rsidRPr="005F6CA9">
        <w:rPr>
          <w:lang w:val="lv-LV"/>
        </w:rPr>
        <w:t>, 2012, S. 240.</w:t>
      </w:r>
    </w:p>
  </w:footnote>
  <w:footnote w:id="114">
    <w:p w14:paraId="55725055" w14:textId="77777777" w:rsidR="000C7C76" w:rsidRPr="005F6CA9" w:rsidRDefault="000C7C76" w:rsidP="00114953">
      <w:pPr>
        <w:pStyle w:val="FootnoteText"/>
        <w:jc w:val="both"/>
        <w:rPr>
          <w:lang w:val="lv-LV"/>
        </w:rPr>
      </w:pPr>
      <w:r w:rsidRPr="005F6CA9">
        <w:rPr>
          <w:rStyle w:val="FootnoteReference"/>
        </w:rPr>
        <w:footnoteRef/>
      </w:r>
      <w:r w:rsidRPr="005F6CA9">
        <w:t xml:space="preserve"> </w:t>
      </w:r>
      <w:proofErr w:type="spellStart"/>
      <w:r w:rsidRPr="005F6CA9">
        <w:rPr>
          <w:color w:val="323233"/>
        </w:rPr>
        <w:t>Noteikumi</w:t>
      </w:r>
      <w:proofErr w:type="spellEnd"/>
      <w:r w:rsidRPr="005F6CA9">
        <w:rPr>
          <w:color w:val="323233"/>
        </w:rPr>
        <w:t xml:space="preserve"> par </w:t>
      </w:r>
      <w:proofErr w:type="spellStart"/>
      <w:r w:rsidRPr="005F6CA9">
        <w:rPr>
          <w:color w:val="323233"/>
        </w:rPr>
        <w:t>notariālo</w:t>
      </w:r>
      <w:proofErr w:type="spellEnd"/>
      <w:r w:rsidRPr="005F6CA9">
        <w:rPr>
          <w:color w:val="323233"/>
        </w:rPr>
        <w:t xml:space="preserve"> </w:t>
      </w:r>
      <w:proofErr w:type="spellStart"/>
      <w:r w:rsidRPr="005F6CA9">
        <w:rPr>
          <w:color w:val="323233"/>
        </w:rPr>
        <w:t>funkciju</w:t>
      </w:r>
      <w:proofErr w:type="spellEnd"/>
      <w:r w:rsidRPr="005F6CA9">
        <w:rPr>
          <w:color w:val="323233"/>
        </w:rPr>
        <w:t xml:space="preserve"> </w:t>
      </w:r>
      <w:proofErr w:type="spellStart"/>
      <w:r w:rsidRPr="005F6CA9">
        <w:rPr>
          <w:color w:val="323233"/>
        </w:rPr>
        <w:t>veikšanu</w:t>
      </w:r>
      <w:proofErr w:type="spellEnd"/>
      <w:r w:rsidRPr="005F6CA9">
        <w:rPr>
          <w:color w:val="323233"/>
        </w:rPr>
        <w:t xml:space="preserve"> Latvijas </w:t>
      </w:r>
      <w:proofErr w:type="spellStart"/>
      <w:r w:rsidRPr="005F6CA9">
        <w:rPr>
          <w:color w:val="323233"/>
        </w:rPr>
        <w:t>Republikas</w:t>
      </w:r>
      <w:proofErr w:type="spellEnd"/>
      <w:r w:rsidRPr="005F6CA9">
        <w:rPr>
          <w:color w:val="323233"/>
        </w:rPr>
        <w:t xml:space="preserve"> </w:t>
      </w:r>
      <w:proofErr w:type="spellStart"/>
      <w:r w:rsidRPr="005F6CA9">
        <w:rPr>
          <w:color w:val="323233"/>
        </w:rPr>
        <w:t>diplomātiskajās</w:t>
      </w:r>
      <w:proofErr w:type="spellEnd"/>
      <w:r w:rsidRPr="005F6CA9">
        <w:rPr>
          <w:color w:val="323233"/>
        </w:rPr>
        <w:t xml:space="preserve"> </w:t>
      </w:r>
      <w:proofErr w:type="spellStart"/>
      <w:r w:rsidRPr="005F6CA9">
        <w:rPr>
          <w:color w:val="323233"/>
        </w:rPr>
        <w:t>un</w:t>
      </w:r>
      <w:proofErr w:type="spellEnd"/>
      <w:r w:rsidRPr="005F6CA9">
        <w:rPr>
          <w:color w:val="323233"/>
        </w:rPr>
        <w:t xml:space="preserve"> </w:t>
      </w:r>
      <w:proofErr w:type="spellStart"/>
      <w:r w:rsidRPr="005F6CA9">
        <w:rPr>
          <w:color w:val="323233"/>
        </w:rPr>
        <w:t>konsulārajās</w:t>
      </w:r>
      <w:proofErr w:type="spellEnd"/>
      <w:r w:rsidRPr="005F6CA9">
        <w:rPr>
          <w:color w:val="323233"/>
        </w:rPr>
        <w:t xml:space="preserve"> </w:t>
      </w:r>
      <w:proofErr w:type="spellStart"/>
      <w:r w:rsidRPr="005F6CA9">
        <w:rPr>
          <w:color w:val="323233"/>
        </w:rPr>
        <w:t>pārstāvniecībās</w:t>
      </w:r>
      <w:proofErr w:type="spellEnd"/>
      <w:r w:rsidRPr="005F6CA9">
        <w:rPr>
          <w:color w:val="323233"/>
        </w:rPr>
        <w:t xml:space="preserve">: MK </w:t>
      </w:r>
      <w:proofErr w:type="spellStart"/>
      <w:r w:rsidRPr="005F6CA9">
        <w:rPr>
          <w:color w:val="323233"/>
        </w:rPr>
        <w:t>noteikumi</w:t>
      </w:r>
      <w:proofErr w:type="spellEnd"/>
      <w:r w:rsidRPr="005F6CA9">
        <w:rPr>
          <w:color w:val="323233"/>
        </w:rPr>
        <w:t xml:space="preserve"> </w:t>
      </w:r>
      <w:proofErr w:type="spellStart"/>
      <w:r w:rsidRPr="005F6CA9">
        <w:rPr>
          <w:color w:val="323233"/>
        </w:rPr>
        <w:t>nr.</w:t>
      </w:r>
      <w:proofErr w:type="spellEnd"/>
      <w:r w:rsidRPr="005F6CA9">
        <w:rPr>
          <w:color w:val="323233"/>
        </w:rPr>
        <w:t xml:space="preserve"> 283. Latvijas </w:t>
      </w:r>
      <w:proofErr w:type="spellStart"/>
      <w:r w:rsidRPr="005F6CA9">
        <w:rPr>
          <w:color w:val="323233"/>
        </w:rPr>
        <w:t>Vēstnesis</w:t>
      </w:r>
      <w:proofErr w:type="spellEnd"/>
      <w:r w:rsidRPr="005F6CA9">
        <w:rPr>
          <w:color w:val="323233"/>
        </w:rPr>
        <w:t xml:space="preserve">, 2008. 24.aprīlis, </w:t>
      </w:r>
      <w:proofErr w:type="spellStart"/>
      <w:r w:rsidRPr="005F6CA9">
        <w:rPr>
          <w:color w:val="323233"/>
        </w:rPr>
        <w:t>nr.</w:t>
      </w:r>
      <w:proofErr w:type="spellEnd"/>
      <w:r w:rsidRPr="005F6CA9">
        <w:rPr>
          <w:color w:val="323233"/>
        </w:rPr>
        <w:t xml:space="preserve"> 63. </w:t>
      </w:r>
    </w:p>
  </w:footnote>
  <w:footnote w:id="115">
    <w:p w14:paraId="2F6201E8" w14:textId="21D1730A" w:rsidR="000C7C76" w:rsidRPr="00146330" w:rsidRDefault="000C7C76" w:rsidP="00146330">
      <w:pPr>
        <w:pStyle w:val="FootnoteText"/>
        <w:jc w:val="both"/>
        <w:rPr>
          <w:lang w:val="fr-FR"/>
        </w:rPr>
      </w:pPr>
      <w:r>
        <w:rPr>
          <w:rStyle w:val="FootnoteReference"/>
        </w:rPr>
        <w:footnoteRef/>
      </w:r>
      <w:r>
        <w:t xml:space="preserve"> </w:t>
      </w:r>
      <w:proofErr w:type="spellStart"/>
      <w:r w:rsidRPr="000C7C76">
        <w:rPr>
          <w:lang w:val="en-US"/>
        </w:rPr>
        <w:t>Reithmann</w:t>
      </w:r>
      <w:proofErr w:type="spellEnd"/>
      <w:r w:rsidRPr="000C7C76">
        <w:rPr>
          <w:lang w:val="en-US"/>
        </w:rPr>
        <w:t xml:space="preserve"> Ch. </w:t>
      </w:r>
      <w:proofErr w:type="spellStart"/>
      <w:r w:rsidRPr="000C7C76">
        <w:rPr>
          <w:lang w:val="en-US"/>
        </w:rPr>
        <w:t>Urkunden</w:t>
      </w:r>
      <w:proofErr w:type="spellEnd"/>
      <w:r w:rsidRPr="000C7C76">
        <w:rPr>
          <w:lang w:val="en-US"/>
        </w:rPr>
        <w:t xml:space="preserve"> </w:t>
      </w:r>
      <w:proofErr w:type="spellStart"/>
      <w:r w:rsidRPr="000C7C76">
        <w:rPr>
          <w:lang w:val="en-US"/>
        </w:rPr>
        <w:t>ausländischer</w:t>
      </w:r>
      <w:proofErr w:type="spellEnd"/>
      <w:r w:rsidRPr="000C7C76">
        <w:rPr>
          <w:lang w:val="en-US"/>
        </w:rPr>
        <w:t xml:space="preserve"> </w:t>
      </w:r>
      <w:proofErr w:type="spellStart"/>
      <w:r w:rsidRPr="000C7C76">
        <w:rPr>
          <w:lang w:val="en-US"/>
        </w:rPr>
        <w:t>Notare</w:t>
      </w:r>
      <w:proofErr w:type="spellEnd"/>
      <w:r w:rsidRPr="000C7C76">
        <w:rPr>
          <w:lang w:val="en-US"/>
        </w:rPr>
        <w:t xml:space="preserve"> in </w:t>
      </w:r>
      <w:proofErr w:type="spellStart"/>
      <w:r w:rsidRPr="000C7C76">
        <w:rPr>
          <w:lang w:val="en-US"/>
        </w:rPr>
        <w:t>inländischen</w:t>
      </w:r>
      <w:proofErr w:type="spellEnd"/>
      <w:r w:rsidRPr="000C7C76">
        <w:rPr>
          <w:lang w:val="en-US"/>
        </w:rPr>
        <w:t xml:space="preserve"> </w:t>
      </w:r>
      <w:proofErr w:type="spellStart"/>
      <w:r w:rsidRPr="000C7C76">
        <w:rPr>
          <w:lang w:val="en-US"/>
        </w:rPr>
        <w:t>Verfahren</w:t>
      </w:r>
      <w:proofErr w:type="spellEnd"/>
      <w:r w:rsidRPr="000C7C76">
        <w:rPr>
          <w:lang w:val="en-US"/>
        </w:rPr>
        <w:t xml:space="preserve"> // </w:t>
      </w:r>
      <w:proofErr w:type="spellStart"/>
      <w:r w:rsidRPr="000C7C76">
        <w:rPr>
          <w:lang w:val="en-US"/>
        </w:rPr>
        <w:t>IPRax</w:t>
      </w:r>
      <w:proofErr w:type="spellEnd"/>
      <w:r w:rsidRPr="000C7C76">
        <w:rPr>
          <w:lang w:val="en-US"/>
        </w:rPr>
        <w:t>, 2012, Nr. 2, S. </w:t>
      </w:r>
      <w:proofErr w:type="gramStart"/>
      <w:r w:rsidRPr="000C7C76">
        <w:rPr>
          <w:lang w:val="en-US"/>
        </w:rPr>
        <w:t>134 ;</w:t>
      </w:r>
      <w:proofErr w:type="gramEnd"/>
      <w:r w:rsidRPr="000C7C76">
        <w:rPr>
          <w:lang w:val="en-US"/>
        </w:rPr>
        <w:t xml:space="preserve"> </w:t>
      </w:r>
      <w:proofErr w:type="spellStart"/>
      <w:r w:rsidRPr="000C7C76">
        <w:rPr>
          <w:lang w:val="en-US"/>
        </w:rPr>
        <w:t>Reithmann</w:t>
      </w:r>
      <w:proofErr w:type="spellEnd"/>
      <w:r w:rsidRPr="000C7C76">
        <w:rPr>
          <w:lang w:val="en-US"/>
        </w:rPr>
        <w:t xml:space="preserve"> Ch. </w:t>
      </w:r>
      <w:proofErr w:type="spellStart"/>
      <w:r>
        <w:rPr>
          <w:lang w:val="fr-FR"/>
        </w:rPr>
        <w:t>Vertretungsbescheinigungen</w:t>
      </w:r>
      <w:proofErr w:type="spellEnd"/>
      <w:r>
        <w:rPr>
          <w:lang w:val="fr-FR"/>
        </w:rPr>
        <w:t xml:space="preserve"> </w:t>
      </w:r>
      <w:proofErr w:type="spellStart"/>
      <w:r>
        <w:rPr>
          <w:lang w:val="fr-FR"/>
        </w:rPr>
        <w:t>ausländischer</w:t>
      </w:r>
      <w:proofErr w:type="spellEnd"/>
      <w:r>
        <w:rPr>
          <w:lang w:val="fr-FR"/>
        </w:rPr>
        <w:t xml:space="preserve"> </w:t>
      </w:r>
      <w:proofErr w:type="spellStart"/>
      <w:r>
        <w:rPr>
          <w:lang w:val="fr-FR"/>
        </w:rPr>
        <w:t>Notare</w:t>
      </w:r>
      <w:proofErr w:type="spellEnd"/>
      <w:r>
        <w:rPr>
          <w:lang w:val="fr-FR"/>
        </w:rPr>
        <w:t xml:space="preserve"> // </w:t>
      </w:r>
      <w:proofErr w:type="spellStart"/>
      <w:r>
        <w:rPr>
          <w:lang w:val="fr-FR"/>
        </w:rPr>
        <w:t>NotBZ</w:t>
      </w:r>
      <w:proofErr w:type="spellEnd"/>
      <w:r>
        <w:rPr>
          <w:lang w:val="fr-FR"/>
        </w:rPr>
        <w:t xml:space="preserve"> 2016, </w:t>
      </w:r>
      <w:proofErr w:type="spellStart"/>
      <w:r>
        <w:rPr>
          <w:lang w:val="fr-FR"/>
        </w:rPr>
        <w:t>Köln</w:t>
      </w:r>
      <w:proofErr w:type="spellEnd"/>
      <w:r>
        <w:rPr>
          <w:lang w:val="fr-FR"/>
        </w:rPr>
        <w:t xml:space="preserve">, S. 130 ; </w:t>
      </w:r>
      <w:proofErr w:type="spellStart"/>
      <w:r w:rsidRPr="00CD4311">
        <w:rPr>
          <w:lang w:val="fr-FR"/>
        </w:rPr>
        <w:t>Fongaro</w:t>
      </w:r>
      <w:proofErr w:type="spellEnd"/>
      <w:r w:rsidRPr="00CD4311">
        <w:rPr>
          <w:lang w:val="fr-FR"/>
        </w:rPr>
        <w:t xml:space="preserve"> E. </w:t>
      </w:r>
      <w:proofErr w:type="spellStart"/>
      <w:r w:rsidRPr="00CD4311">
        <w:rPr>
          <w:lang w:val="fr-FR"/>
        </w:rPr>
        <w:t>Comm</w:t>
      </w:r>
      <w:proofErr w:type="spellEnd"/>
      <w:r w:rsidRPr="00CD4311">
        <w:rPr>
          <w:lang w:val="fr-FR"/>
        </w:rPr>
        <w:t xml:space="preserve">. De l’arrêt </w:t>
      </w:r>
      <w:proofErr w:type="spellStart"/>
      <w:r w:rsidRPr="00CD4311">
        <w:rPr>
          <w:lang w:val="fr-FR"/>
        </w:rPr>
        <w:t>cass</w:t>
      </w:r>
      <w:proofErr w:type="spellEnd"/>
      <w:r w:rsidRPr="00CD4311">
        <w:rPr>
          <w:lang w:val="fr-FR"/>
        </w:rPr>
        <w:t xml:space="preserve">. civ. 14 avril 2016, n° 15-18.157 « Sté Monte </w:t>
      </w:r>
      <w:proofErr w:type="spellStart"/>
      <w:r w:rsidRPr="00CD4311">
        <w:rPr>
          <w:lang w:val="fr-FR"/>
        </w:rPr>
        <w:t>Paschi</w:t>
      </w:r>
      <w:proofErr w:type="spellEnd"/>
      <w:r w:rsidRPr="00CD4311">
        <w:rPr>
          <w:lang w:val="fr-FR"/>
        </w:rPr>
        <w:t xml:space="preserve"> Banque » // Journal du droit international, n° 1, 2017. Paris, p. 169</w:t>
      </w:r>
      <w:r>
        <w:rPr>
          <w:lang w:val="fr-FR"/>
        </w:rPr>
        <w:t>, 170.</w:t>
      </w:r>
    </w:p>
  </w:footnote>
  <w:footnote w:id="116">
    <w:p w14:paraId="70C75EF2" w14:textId="178B4749" w:rsidR="000C7C76" w:rsidRPr="0043629E" w:rsidRDefault="000C7C76" w:rsidP="004D1E51">
      <w:pPr>
        <w:pStyle w:val="FootnoteText"/>
        <w:jc w:val="both"/>
        <w:rPr>
          <w:lang w:val="lv-LV"/>
        </w:rPr>
      </w:pPr>
      <w:r>
        <w:rPr>
          <w:rStyle w:val="FootnoteReference"/>
        </w:rPr>
        <w:footnoteRef/>
      </w:r>
      <w:r>
        <w:t xml:space="preserve"> </w:t>
      </w:r>
      <w:proofErr w:type="spellStart"/>
      <w:r>
        <w:rPr>
          <w:lang w:val="fr-FR"/>
        </w:rPr>
        <w:t>Fongaro</w:t>
      </w:r>
      <w:proofErr w:type="spellEnd"/>
      <w:r>
        <w:rPr>
          <w:lang w:val="fr-FR"/>
        </w:rPr>
        <w:t xml:space="preserve"> E., </w:t>
      </w:r>
      <w:r w:rsidRPr="004D1E51">
        <w:rPr>
          <w:i/>
          <w:lang w:val="fr-FR"/>
        </w:rPr>
        <w:t>ibid</w:t>
      </w:r>
      <w:r>
        <w:rPr>
          <w:lang w:val="fr-FR"/>
        </w:rPr>
        <w:t>., p. 170 </w:t>
      </w:r>
      <w:proofErr w:type="gramStart"/>
      <w:r>
        <w:rPr>
          <w:lang w:val="fr-FR"/>
        </w:rPr>
        <w:t xml:space="preserve">; </w:t>
      </w:r>
      <w:r>
        <w:t xml:space="preserve"> </w:t>
      </w:r>
      <w:proofErr w:type="spellStart"/>
      <w:r w:rsidRPr="005F6CA9">
        <w:rPr>
          <w:lang w:val="lv-LV"/>
        </w:rPr>
        <w:t>Call</w:t>
      </w:r>
      <w:proofErr w:type="spellEnd"/>
      <w:r w:rsidRPr="005F6CA9">
        <w:rPr>
          <w:lang w:val="fr-FR"/>
        </w:rPr>
        <w:t>é</w:t>
      </w:r>
      <w:proofErr w:type="gramEnd"/>
      <w:r w:rsidRPr="005F6CA9">
        <w:rPr>
          <w:lang w:val="fr-FR"/>
        </w:rPr>
        <w:t xml:space="preserve"> P. L’acte public en droit international privé. </w:t>
      </w:r>
      <w:r w:rsidRPr="000C7C76">
        <w:rPr>
          <w:lang w:val="en-US"/>
        </w:rPr>
        <w:t xml:space="preserve">Paris: </w:t>
      </w:r>
      <w:proofErr w:type="spellStart"/>
      <w:r w:rsidRPr="000C7C76">
        <w:rPr>
          <w:lang w:val="en-US"/>
        </w:rPr>
        <w:t>Economica</w:t>
      </w:r>
      <w:proofErr w:type="spellEnd"/>
      <w:r w:rsidRPr="000C7C76">
        <w:rPr>
          <w:lang w:val="en-US"/>
        </w:rPr>
        <w:t>, 2004, p. 294.</w:t>
      </w:r>
    </w:p>
  </w:footnote>
  <w:footnote w:id="117">
    <w:p w14:paraId="179D9BDF" w14:textId="71DD91C0" w:rsidR="000C7C76" w:rsidRPr="004D1E51" w:rsidRDefault="000C7C76" w:rsidP="004D1E51">
      <w:pPr>
        <w:pStyle w:val="FootnoteText"/>
        <w:jc w:val="both"/>
        <w:rPr>
          <w:lang w:val="lv-LV"/>
        </w:rPr>
      </w:pPr>
      <w:r>
        <w:rPr>
          <w:rStyle w:val="FootnoteReference"/>
        </w:rPr>
        <w:footnoteRef/>
      </w:r>
      <w:r>
        <w:t xml:space="preserve"> </w:t>
      </w:r>
      <w:proofErr w:type="spellStart"/>
      <w:r w:rsidRPr="005F6CA9">
        <w:rPr>
          <w:lang w:val="lv-LV"/>
        </w:rPr>
        <w:t>Call</w:t>
      </w:r>
      <w:proofErr w:type="spellEnd"/>
      <w:r w:rsidRPr="000C7C76">
        <w:rPr>
          <w:lang w:val="en-US"/>
        </w:rPr>
        <w:t xml:space="preserve">é P., </w:t>
      </w:r>
      <w:r w:rsidRPr="000C7C76">
        <w:rPr>
          <w:i/>
          <w:lang w:val="en-US"/>
        </w:rPr>
        <w:t>ibid</w:t>
      </w:r>
      <w:r w:rsidRPr="000C7C76">
        <w:rPr>
          <w:lang w:val="en-US"/>
        </w:rPr>
        <w:t>., p. 294.</w:t>
      </w:r>
    </w:p>
  </w:footnote>
  <w:footnote w:id="118">
    <w:p w14:paraId="023112FE" w14:textId="6F4EC48D" w:rsidR="000C7C76" w:rsidRPr="005D77AB" w:rsidRDefault="000C7C76" w:rsidP="005D77AB">
      <w:pPr>
        <w:pStyle w:val="FootnoteText"/>
        <w:jc w:val="both"/>
        <w:rPr>
          <w:lang w:val="lv-LV"/>
        </w:rPr>
      </w:pPr>
      <w:r>
        <w:rPr>
          <w:rStyle w:val="FootnoteReference"/>
        </w:rPr>
        <w:footnoteRef/>
      </w:r>
      <w:r>
        <w:t xml:space="preserve"> </w:t>
      </w:r>
      <w:proofErr w:type="spellStart"/>
      <w:r w:rsidRPr="005D77AB">
        <w:rPr>
          <w:i/>
          <w:lang w:val="lv-LV"/>
        </w:rPr>
        <w:t>Ibid</w:t>
      </w:r>
      <w:proofErr w:type="spellEnd"/>
      <w:r>
        <w:rPr>
          <w:lang w:val="lv-LV"/>
        </w:rPr>
        <w:t>., p. 292.</w:t>
      </w:r>
    </w:p>
  </w:footnote>
  <w:footnote w:id="119">
    <w:p w14:paraId="2D55004C" w14:textId="05BB2185" w:rsidR="000C7C76" w:rsidRPr="005118DE" w:rsidRDefault="000C7C76" w:rsidP="005118DE">
      <w:pPr>
        <w:pStyle w:val="FootnoteText"/>
        <w:jc w:val="both"/>
        <w:rPr>
          <w:lang w:val="lv-LV"/>
        </w:rPr>
      </w:pPr>
      <w:r>
        <w:rPr>
          <w:rStyle w:val="FootnoteReference"/>
        </w:rPr>
        <w:footnoteRef/>
      </w:r>
      <w:r>
        <w:t xml:space="preserve"> </w:t>
      </w:r>
      <w:proofErr w:type="spellStart"/>
      <w:r w:rsidRPr="005D77AB">
        <w:rPr>
          <w:i/>
          <w:lang w:val="lv-LV"/>
        </w:rPr>
        <w:t>Ibid</w:t>
      </w:r>
      <w:proofErr w:type="spellEnd"/>
      <w:r>
        <w:rPr>
          <w:lang w:val="lv-LV"/>
        </w:rPr>
        <w:t>.</w:t>
      </w:r>
    </w:p>
  </w:footnote>
  <w:footnote w:id="120">
    <w:p w14:paraId="1D80B123" w14:textId="77777777" w:rsidR="000C7C76" w:rsidRPr="000C7C76" w:rsidRDefault="000C7C76" w:rsidP="00114953">
      <w:pPr>
        <w:pStyle w:val="FootnoteText"/>
        <w:jc w:val="both"/>
        <w:rPr>
          <w:lang w:val="en-US"/>
        </w:rPr>
      </w:pPr>
      <w:r w:rsidRPr="005F6CA9">
        <w:rPr>
          <w:rStyle w:val="FootnoteReference"/>
        </w:rPr>
        <w:footnoteRef/>
      </w:r>
      <w:r w:rsidRPr="005F6CA9">
        <w:t xml:space="preserve"> </w:t>
      </w:r>
      <w:r w:rsidRPr="000C7C76">
        <w:rPr>
          <w:lang w:val="lv-LV"/>
        </w:rPr>
        <w:t xml:space="preserve">Jāatzīmē, ka Hāgas Dokumentu legalizācijas konvencijas 1.panta otrajā daļā esošais publisko dokumentu grupu uzskaitījums nav izsmeļošs. </w:t>
      </w:r>
      <w:r w:rsidRPr="000C7C76">
        <w:rPr>
          <w:lang w:val="en-US"/>
        </w:rPr>
        <w:t xml:space="preserve">Skat.: Conclusions and Recommendations of the Special Commission on the Practical Operation of the Apostille Convention (6-9 </w:t>
      </w:r>
      <w:proofErr w:type="gramStart"/>
      <w:r w:rsidRPr="000C7C76">
        <w:rPr>
          <w:lang w:val="en-US"/>
        </w:rPr>
        <w:t>November,</w:t>
      </w:r>
      <w:proofErr w:type="gramEnd"/>
      <w:r w:rsidRPr="000C7C76">
        <w:rPr>
          <w:lang w:val="en-US"/>
        </w:rPr>
        <w:t xml:space="preserve"> 2012). The Hague: Permanent Bureau, 2012, p. 5.</w:t>
      </w:r>
    </w:p>
  </w:footnote>
  <w:footnote w:id="121">
    <w:p w14:paraId="6D184089" w14:textId="77777777" w:rsidR="000C7C76" w:rsidRPr="000C7C76" w:rsidRDefault="000C7C76" w:rsidP="00114953">
      <w:pPr>
        <w:pStyle w:val="FootnoteText"/>
        <w:jc w:val="both"/>
        <w:rPr>
          <w:lang w:val="en-US"/>
        </w:rPr>
      </w:pPr>
      <w:r w:rsidRPr="005F6CA9">
        <w:rPr>
          <w:rStyle w:val="FootnoteReference"/>
        </w:rPr>
        <w:footnoteRef/>
      </w:r>
      <w:r w:rsidRPr="005F6CA9">
        <w:t xml:space="preserve"> </w:t>
      </w:r>
      <w:r w:rsidRPr="005F6CA9">
        <w:rPr>
          <w:i/>
          <w:iCs/>
        </w:rPr>
        <w:t>Ibid</w:t>
      </w:r>
      <w:r w:rsidRPr="005F6CA9">
        <w:t>., p. 5.</w:t>
      </w:r>
    </w:p>
  </w:footnote>
  <w:footnote w:id="122">
    <w:p w14:paraId="5670CA25" w14:textId="77777777" w:rsidR="000C7C76" w:rsidRPr="00FF7F07" w:rsidRDefault="000C7C76" w:rsidP="00114953">
      <w:pPr>
        <w:pStyle w:val="FootnoteText"/>
        <w:jc w:val="both"/>
        <w:rPr>
          <w:color w:val="FF0000"/>
          <w:lang w:val="lv-LV"/>
        </w:rPr>
      </w:pPr>
      <w:r>
        <w:rPr>
          <w:rStyle w:val="FootnoteReference"/>
        </w:rPr>
        <w:footnoteRef/>
      </w:r>
      <w:r>
        <w:t xml:space="preserve"> </w:t>
      </w:r>
      <w:r w:rsidRPr="00565D81">
        <w:rPr>
          <w:lang w:val="lv-LV"/>
        </w:rPr>
        <w:t>Rīgas apgabaltiesas 2016.gada 20.jūnija lēmums civillietā Nr. C04258014. Nav publicēts.</w:t>
      </w:r>
    </w:p>
  </w:footnote>
  <w:footnote w:id="123">
    <w:p w14:paraId="05C56336" w14:textId="77777777" w:rsidR="000C7C76" w:rsidRPr="000C7C76" w:rsidRDefault="000C7C76" w:rsidP="00114953">
      <w:pPr>
        <w:pStyle w:val="FootnoteText"/>
        <w:jc w:val="both"/>
        <w:rPr>
          <w:lang w:val="en-US"/>
        </w:rPr>
      </w:pPr>
      <w:r w:rsidRPr="005F6CA9">
        <w:rPr>
          <w:rStyle w:val="FootnoteReference"/>
        </w:rPr>
        <w:footnoteRef/>
      </w:r>
      <w:r w:rsidRPr="005F6CA9">
        <w:t xml:space="preserve"> </w:t>
      </w:r>
      <w:r w:rsidRPr="000C7C76">
        <w:rPr>
          <w:lang w:val="en-US"/>
        </w:rPr>
        <w:t xml:space="preserve">Skat. How to join and implement the Hague Apostille Convention. </w:t>
      </w:r>
      <w:proofErr w:type="gramStart"/>
      <w:r w:rsidRPr="000C7C76">
        <w:rPr>
          <w:lang w:val="en-US"/>
        </w:rPr>
        <w:t>Hague :</w:t>
      </w:r>
      <w:proofErr w:type="gramEnd"/>
      <w:r w:rsidRPr="000C7C76">
        <w:rPr>
          <w:lang w:val="en-US"/>
        </w:rPr>
        <w:t xml:space="preserve"> Hague Conference on Private International Law. p. 7, § 21.  </w:t>
      </w:r>
      <w:proofErr w:type="spellStart"/>
      <w:r w:rsidRPr="000C7C76">
        <w:rPr>
          <w:lang w:val="en-US"/>
        </w:rPr>
        <w:t>Pieejams</w:t>
      </w:r>
      <w:proofErr w:type="spellEnd"/>
      <w:r w:rsidRPr="000C7C76">
        <w:rPr>
          <w:lang w:val="en-US"/>
        </w:rPr>
        <w:t xml:space="preserve"> </w:t>
      </w:r>
      <w:proofErr w:type="spellStart"/>
      <w:proofErr w:type="gramStart"/>
      <w:r w:rsidRPr="000C7C76">
        <w:rPr>
          <w:lang w:val="en-US"/>
        </w:rPr>
        <w:t>šeit</w:t>
      </w:r>
      <w:proofErr w:type="spellEnd"/>
      <w:r w:rsidRPr="000C7C76">
        <w:rPr>
          <w:lang w:val="en-US"/>
        </w:rPr>
        <w:t> :</w:t>
      </w:r>
      <w:proofErr w:type="gramEnd"/>
      <w:r w:rsidRPr="000C7C76">
        <w:rPr>
          <w:lang w:val="en-US"/>
        </w:rPr>
        <w:t xml:space="preserve"> </w:t>
      </w:r>
      <w:hyperlink r:id="rId8" w:history="1">
        <w:r w:rsidRPr="000C7C76">
          <w:rPr>
            <w:rStyle w:val="Hyperlink"/>
            <w:lang w:val="en-US"/>
          </w:rPr>
          <w:t>http://www.hcch.net/upload/guide12e.pdf</w:t>
        </w:r>
      </w:hyperlink>
      <w:r w:rsidRPr="000C7C76">
        <w:rPr>
          <w:lang w:val="en-US"/>
        </w:rPr>
        <w:t xml:space="preserve"> [</w:t>
      </w:r>
      <w:proofErr w:type="spellStart"/>
      <w:r w:rsidRPr="000C7C76">
        <w:rPr>
          <w:lang w:val="en-US"/>
        </w:rPr>
        <w:t>aplūkots</w:t>
      </w:r>
      <w:proofErr w:type="spellEnd"/>
      <w:r w:rsidRPr="000C7C76">
        <w:rPr>
          <w:lang w:val="en-US"/>
        </w:rPr>
        <w:t xml:space="preserve"> 2016.gada 19.martā].</w:t>
      </w:r>
    </w:p>
  </w:footnote>
  <w:footnote w:id="124">
    <w:p w14:paraId="007BC159" w14:textId="77777777" w:rsidR="000C7C76" w:rsidRPr="000C7C76" w:rsidRDefault="000C7C76" w:rsidP="00114953">
      <w:pPr>
        <w:pStyle w:val="FootnoteText"/>
        <w:jc w:val="both"/>
        <w:rPr>
          <w:lang w:val="en-US"/>
        </w:rPr>
      </w:pPr>
      <w:r w:rsidRPr="005F6CA9">
        <w:rPr>
          <w:rStyle w:val="FootnoteReference"/>
        </w:rPr>
        <w:footnoteRef/>
      </w:r>
      <w:r w:rsidRPr="005F6CA9">
        <w:t xml:space="preserve"> </w:t>
      </w:r>
      <w:r w:rsidRPr="000C7C76">
        <w:rPr>
          <w:lang w:val="en-US"/>
        </w:rPr>
        <w:t xml:space="preserve">Skat. </w:t>
      </w:r>
      <w:r w:rsidRPr="005F6CA9">
        <w:t xml:space="preserve">1961.gada 5.oktobra </w:t>
      </w:r>
      <w:proofErr w:type="spellStart"/>
      <w:r w:rsidRPr="005F6CA9">
        <w:t>Hāgas</w:t>
      </w:r>
      <w:proofErr w:type="spellEnd"/>
      <w:r w:rsidRPr="005F6CA9">
        <w:t xml:space="preserve"> </w:t>
      </w:r>
      <w:proofErr w:type="spellStart"/>
      <w:r w:rsidRPr="005F6CA9">
        <w:t>konvencijas</w:t>
      </w:r>
      <w:proofErr w:type="spellEnd"/>
      <w:r w:rsidRPr="005F6CA9">
        <w:t xml:space="preserve"> par </w:t>
      </w:r>
      <w:proofErr w:type="spellStart"/>
      <w:r w:rsidRPr="005F6CA9">
        <w:t>ārvalstu</w:t>
      </w:r>
      <w:proofErr w:type="spellEnd"/>
      <w:r w:rsidRPr="005F6CA9">
        <w:t xml:space="preserve"> </w:t>
      </w:r>
      <w:proofErr w:type="spellStart"/>
      <w:r w:rsidRPr="005F6CA9">
        <w:t>publisko</w:t>
      </w:r>
      <w:proofErr w:type="spellEnd"/>
      <w:r w:rsidRPr="005F6CA9">
        <w:t xml:space="preserve"> </w:t>
      </w:r>
      <w:proofErr w:type="spellStart"/>
      <w:r w:rsidRPr="005F6CA9">
        <w:t>dokumentu</w:t>
      </w:r>
      <w:proofErr w:type="spellEnd"/>
      <w:r w:rsidRPr="005F6CA9">
        <w:t xml:space="preserve"> </w:t>
      </w:r>
      <w:proofErr w:type="spellStart"/>
      <w:r w:rsidRPr="005F6CA9">
        <w:t>legalizācijas</w:t>
      </w:r>
      <w:proofErr w:type="spellEnd"/>
      <w:r w:rsidRPr="005F6CA9">
        <w:t xml:space="preserve"> </w:t>
      </w:r>
      <w:proofErr w:type="spellStart"/>
      <w:r w:rsidRPr="005F6CA9">
        <w:t>prasības</w:t>
      </w:r>
      <w:proofErr w:type="spellEnd"/>
      <w:r w:rsidRPr="005F6CA9">
        <w:t xml:space="preserve"> </w:t>
      </w:r>
      <w:proofErr w:type="spellStart"/>
      <w:r w:rsidRPr="005F6CA9">
        <w:t>atcelšanu</w:t>
      </w:r>
      <w:proofErr w:type="spellEnd"/>
      <w:r w:rsidRPr="005F6CA9">
        <w:t xml:space="preserve"> 1.panta </w:t>
      </w:r>
      <w:proofErr w:type="spellStart"/>
      <w:r w:rsidRPr="005F6CA9">
        <w:t>trešo</w:t>
      </w:r>
      <w:proofErr w:type="spellEnd"/>
      <w:r w:rsidRPr="005F6CA9">
        <w:t xml:space="preserve"> </w:t>
      </w:r>
      <w:proofErr w:type="spellStart"/>
      <w:r w:rsidRPr="005F6CA9">
        <w:t>daļu</w:t>
      </w:r>
      <w:proofErr w:type="spellEnd"/>
      <w:r w:rsidRPr="005F6CA9">
        <w:t>.</w:t>
      </w:r>
    </w:p>
  </w:footnote>
  <w:footnote w:id="125">
    <w:p w14:paraId="26B525B0" w14:textId="45B34DD7" w:rsidR="000C7C76" w:rsidRPr="000C7C76" w:rsidRDefault="000C7C76" w:rsidP="00114953">
      <w:pPr>
        <w:pStyle w:val="FootnoteText"/>
        <w:jc w:val="both"/>
        <w:rPr>
          <w:lang w:val="en-US"/>
        </w:rPr>
      </w:pPr>
      <w:r w:rsidRPr="005F6CA9">
        <w:rPr>
          <w:rStyle w:val="FootnoteReference"/>
        </w:rPr>
        <w:footnoteRef/>
      </w:r>
      <w:r w:rsidRPr="005F6CA9">
        <w:t xml:space="preserve"> </w:t>
      </w:r>
      <w:r w:rsidRPr="000C7C76">
        <w:rPr>
          <w:lang w:val="en-US"/>
        </w:rPr>
        <w:t xml:space="preserve">Ja </w:t>
      </w:r>
      <w:proofErr w:type="spellStart"/>
      <w:r w:rsidRPr="000C7C76">
        <w:rPr>
          <w:lang w:val="en-US"/>
        </w:rPr>
        <w:t>Hāgas</w:t>
      </w:r>
      <w:proofErr w:type="spellEnd"/>
      <w:r w:rsidRPr="000C7C76">
        <w:rPr>
          <w:lang w:val="en-US"/>
        </w:rPr>
        <w:t xml:space="preserve"> </w:t>
      </w:r>
      <w:proofErr w:type="spellStart"/>
      <w:r w:rsidRPr="000C7C76">
        <w:rPr>
          <w:lang w:val="en-US"/>
        </w:rPr>
        <w:t>Dokumentu</w:t>
      </w:r>
      <w:proofErr w:type="spellEnd"/>
      <w:r w:rsidRPr="000C7C76">
        <w:rPr>
          <w:lang w:val="en-US"/>
        </w:rPr>
        <w:t xml:space="preserve"> </w:t>
      </w:r>
      <w:proofErr w:type="spellStart"/>
      <w:r w:rsidRPr="000C7C76">
        <w:rPr>
          <w:lang w:val="en-US"/>
        </w:rPr>
        <w:t>legalizācijas</w:t>
      </w:r>
      <w:proofErr w:type="spellEnd"/>
      <w:r w:rsidRPr="000C7C76">
        <w:rPr>
          <w:lang w:val="en-US"/>
        </w:rPr>
        <w:t xml:space="preserve"> </w:t>
      </w:r>
      <w:proofErr w:type="spellStart"/>
      <w:r w:rsidRPr="000C7C76">
        <w:rPr>
          <w:lang w:val="en-US"/>
        </w:rPr>
        <w:t>konvencijas</w:t>
      </w:r>
      <w:proofErr w:type="spellEnd"/>
      <w:r w:rsidRPr="000C7C76">
        <w:rPr>
          <w:lang w:val="en-US"/>
        </w:rPr>
        <w:t xml:space="preserve"> </w:t>
      </w:r>
      <w:proofErr w:type="gramStart"/>
      <w:r w:rsidRPr="000C7C76">
        <w:rPr>
          <w:lang w:val="en-US"/>
        </w:rPr>
        <w:t>1.panta</w:t>
      </w:r>
      <w:proofErr w:type="gramEnd"/>
      <w:r w:rsidRPr="000C7C76">
        <w:rPr>
          <w:lang w:val="en-US"/>
        </w:rPr>
        <w:t xml:space="preserve"> </w:t>
      </w:r>
      <w:proofErr w:type="spellStart"/>
      <w:r w:rsidRPr="000C7C76">
        <w:rPr>
          <w:lang w:val="en-US"/>
        </w:rPr>
        <w:t>otrajā</w:t>
      </w:r>
      <w:proofErr w:type="spellEnd"/>
      <w:r w:rsidRPr="000C7C76">
        <w:rPr>
          <w:lang w:val="en-US"/>
        </w:rPr>
        <w:t xml:space="preserve"> </w:t>
      </w:r>
      <w:proofErr w:type="spellStart"/>
      <w:r w:rsidRPr="000C7C76">
        <w:rPr>
          <w:lang w:val="en-US"/>
        </w:rPr>
        <w:t>daļā</w:t>
      </w:r>
      <w:proofErr w:type="spellEnd"/>
      <w:r w:rsidRPr="000C7C76">
        <w:rPr>
          <w:lang w:val="en-US"/>
        </w:rPr>
        <w:t xml:space="preserve">  </w:t>
      </w:r>
      <w:proofErr w:type="spellStart"/>
      <w:r w:rsidRPr="000C7C76">
        <w:rPr>
          <w:lang w:val="en-US"/>
        </w:rPr>
        <w:t>esošajā</w:t>
      </w:r>
      <w:proofErr w:type="spellEnd"/>
      <w:r w:rsidRPr="000C7C76">
        <w:rPr>
          <w:lang w:val="en-US"/>
        </w:rPr>
        <w:t xml:space="preserve"> </w:t>
      </w:r>
      <w:proofErr w:type="spellStart"/>
      <w:r w:rsidRPr="000C7C76">
        <w:rPr>
          <w:lang w:val="en-US"/>
        </w:rPr>
        <w:t>publisko</w:t>
      </w:r>
      <w:proofErr w:type="spellEnd"/>
      <w:r w:rsidRPr="000C7C76">
        <w:rPr>
          <w:lang w:val="en-US"/>
        </w:rPr>
        <w:t xml:space="preserve"> </w:t>
      </w:r>
      <w:proofErr w:type="spellStart"/>
      <w:r w:rsidRPr="000C7C76">
        <w:rPr>
          <w:lang w:val="en-US"/>
        </w:rPr>
        <w:t>dokumentu</w:t>
      </w:r>
      <w:proofErr w:type="spellEnd"/>
      <w:r w:rsidRPr="000C7C76">
        <w:rPr>
          <w:lang w:val="en-US"/>
        </w:rPr>
        <w:t xml:space="preserve"> </w:t>
      </w:r>
      <w:proofErr w:type="spellStart"/>
      <w:r w:rsidRPr="000C7C76">
        <w:rPr>
          <w:lang w:val="en-US"/>
        </w:rPr>
        <w:t>uzskaitījumā</w:t>
      </w:r>
      <w:proofErr w:type="spellEnd"/>
      <w:r w:rsidRPr="000C7C76">
        <w:rPr>
          <w:lang w:val="en-US"/>
        </w:rPr>
        <w:t xml:space="preserve">  </w:t>
      </w:r>
      <w:proofErr w:type="spellStart"/>
      <w:r w:rsidRPr="000C7C76">
        <w:rPr>
          <w:lang w:val="en-US"/>
        </w:rPr>
        <w:t>konkrētā</w:t>
      </w:r>
      <w:proofErr w:type="spellEnd"/>
      <w:r w:rsidRPr="000C7C76">
        <w:rPr>
          <w:lang w:val="en-US"/>
        </w:rPr>
        <w:t xml:space="preserve"> </w:t>
      </w:r>
      <w:proofErr w:type="spellStart"/>
      <w:r w:rsidRPr="000C7C76">
        <w:rPr>
          <w:lang w:val="en-US"/>
        </w:rPr>
        <w:t>dokumenta</w:t>
      </w:r>
      <w:proofErr w:type="spellEnd"/>
      <w:r w:rsidRPr="000C7C76">
        <w:rPr>
          <w:lang w:val="en-US"/>
        </w:rPr>
        <w:t xml:space="preserve"> </w:t>
      </w:r>
      <w:proofErr w:type="spellStart"/>
      <w:r w:rsidRPr="000C7C76">
        <w:rPr>
          <w:lang w:val="en-US"/>
        </w:rPr>
        <w:t>veids</w:t>
      </w:r>
      <w:proofErr w:type="spellEnd"/>
      <w:r w:rsidRPr="000C7C76">
        <w:rPr>
          <w:lang w:val="en-US"/>
        </w:rPr>
        <w:t xml:space="preserve"> nav </w:t>
      </w:r>
      <w:proofErr w:type="spellStart"/>
      <w:r w:rsidRPr="000C7C76">
        <w:rPr>
          <w:lang w:val="en-US"/>
        </w:rPr>
        <w:t>atrodams</w:t>
      </w:r>
      <w:proofErr w:type="spellEnd"/>
      <w:r w:rsidRPr="000C7C76">
        <w:rPr>
          <w:lang w:val="en-US"/>
        </w:rPr>
        <w:t xml:space="preserve">, </w:t>
      </w:r>
      <w:proofErr w:type="spellStart"/>
      <w:r w:rsidRPr="000C7C76">
        <w:rPr>
          <w:lang w:val="en-US"/>
        </w:rPr>
        <w:t>taču</w:t>
      </w:r>
      <w:proofErr w:type="spellEnd"/>
      <w:r w:rsidRPr="000C7C76">
        <w:rPr>
          <w:lang w:val="en-US"/>
        </w:rPr>
        <w:t xml:space="preserve"> </w:t>
      </w:r>
      <w:proofErr w:type="spellStart"/>
      <w:r w:rsidRPr="000C7C76">
        <w:rPr>
          <w:lang w:val="en-US"/>
        </w:rPr>
        <w:t>saskaņā</w:t>
      </w:r>
      <w:proofErr w:type="spellEnd"/>
      <w:r w:rsidRPr="000C7C76">
        <w:rPr>
          <w:lang w:val="en-US"/>
        </w:rPr>
        <w:t xml:space="preserve"> </w:t>
      </w:r>
      <w:proofErr w:type="spellStart"/>
      <w:r w:rsidRPr="000C7C76">
        <w:rPr>
          <w:lang w:val="en-US"/>
        </w:rPr>
        <w:t>ar</w:t>
      </w:r>
      <w:proofErr w:type="spellEnd"/>
      <w:r w:rsidRPr="000C7C76">
        <w:rPr>
          <w:lang w:val="en-US"/>
        </w:rPr>
        <w:t xml:space="preserve"> </w:t>
      </w:r>
      <w:proofErr w:type="spellStart"/>
      <w:r w:rsidRPr="000C7C76">
        <w:rPr>
          <w:lang w:val="en-US"/>
        </w:rPr>
        <w:t>dokumentu</w:t>
      </w:r>
      <w:proofErr w:type="spellEnd"/>
      <w:r w:rsidRPr="000C7C76">
        <w:rPr>
          <w:lang w:val="en-US"/>
        </w:rPr>
        <w:t xml:space="preserve"> </w:t>
      </w:r>
      <w:proofErr w:type="spellStart"/>
      <w:r w:rsidRPr="000C7C76">
        <w:rPr>
          <w:lang w:val="en-US"/>
        </w:rPr>
        <w:t>izcelsmes</w:t>
      </w:r>
      <w:proofErr w:type="spellEnd"/>
      <w:r w:rsidRPr="000C7C76">
        <w:rPr>
          <w:lang w:val="en-US"/>
        </w:rPr>
        <w:t xml:space="preserve"> </w:t>
      </w:r>
      <w:proofErr w:type="spellStart"/>
      <w:r w:rsidRPr="000C7C76">
        <w:rPr>
          <w:lang w:val="en-US"/>
        </w:rPr>
        <w:t>valsts</w:t>
      </w:r>
      <w:proofErr w:type="spellEnd"/>
      <w:r w:rsidRPr="000C7C76">
        <w:rPr>
          <w:lang w:val="en-US"/>
        </w:rPr>
        <w:t xml:space="preserve"> </w:t>
      </w:r>
      <w:proofErr w:type="spellStart"/>
      <w:r w:rsidRPr="000C7C76">
        <w:rPr>
          <w:lang w:val="en-US"/>
        </w:rPr>
        <w:t>tiesību</w:t>
      </w:r>
      <w:proofErr w:type="spellEnd"/>
      <w:r w:rsidRPr="000C7C76">
        <w:rPr>
          <w:lang w:val="en-US"/>
        </w:rPr>
        <w:t xml:space="preserve"> </w:t>
      </w:r>
      <w:proofErr w:type="spellStart"/>
      <w:r w:rsidRPr="000C7C76">
        <w:rPr>
          <w:lang w:val="en-US"/>
        </w:rPr>
        <w:t>normām</w:t>
      </w:r>
      <w:proofErr w:type="spellEnd"/>
      <w:r w:rsidRPr="000C7C76">
        <w:rPr>
          <w:lang w:val="en-US"/>
        </w:rPr>
        <w:t xml:space="preserve"> </w:t>
      </w:r>
      <w:proofErr w:type="spellStart"/>
      <w:r w:rsidRPr="000C7C76">
        <w:rPr>
          <w:lang w:val="en-US"/>
        </w:rPr>
        <w:t>tas</w:t>
      </w:r>
      <w:proofErr w:type="spellEnd"/>
      <w:r w:rsidRPr="000C7C76">
        <w:rPr>
          <w:lang w:val="en-US"/>
        </w:rPr>
        <w:t xml:space="preserve"> </w:t>
      </w:r>
      <w:proofErr w:type="spellStart"/>
      <w:r w:rsidRPr="000C7C76">
        <w:rPr>
          <w:lang w:val="en-US"/>
        </w:rPr>
        <w:t>ir</w:t>
      </w:r>
      <w:proofErr w:type="spellEnd"/>
      <w:r w:rsidRPr="000C7C76">
        <w:rPr>
          <w:lang w:val="en-US"/>
        </w:rPr>
        <w:t xml:space="preserve"> </w:t>
      </w:r>
      <w:proofErr w:type="spellStart"/>
      <w:r w:rsidRPr="000C7C76">
        <w:rPr>
          <w:lang w:val="en-US"/>
        </w:rPr>
        <w:t>publisks</w:t>
      </w:r>
      <w:proofErr w:type="spellEnd"/>
      <w:r w:rsidRPr="000C7C76">
        <w:rPr>
          <w:lang w:val="en-US"/>
        </w:rPr>
        <w:t xml:space="preserve"> </w:t>
      </w:r>
      <w:proofErr w:type="spellStart"/>
      <w:r w:rsidRPr="000C7C76">
        <w:rPr>
          <w:lang w:val="en-US"/>
        </w:rPr>
        <w:t>dokuments</w:t>
      </w:r>
      <w:proofErr w:type="spellEnd"/>
      <w:r w:rsidRPr="000C7C76">
        <w:rPr>
          <w:lang w:val="en-US"/>
        </w:rPr>
        <w:t xml:space="preserve">, tad </w:t>
      </w:r>
      <w:proofErr w:type="spellStart"/>
      <w:r w:rsidRPr="000C7C76">
        <w:rPr>
          <w:lang w:val="en-US"/>
        </w:rPr>
        <w:t>Konvencijas</w:t>
      </w:r>
      <w:proofErr w:type="spellEnd"/>
      <w:r w:rsidRPr="000C7C76">
        <w:rPr>
          <w:lang w:val="en-US"/>
        </w:rPr>
        <w:t xml:space="preserve"> </w:t>
      </w:r>
      <w:proofErr w:type="spellStart"/>
      <w:r w:rsidRPr="000C7C76">
        <w:rPr>
          <w:lang w:val="en-US"/>
        </w:rPr>
        <w:t>izpratnē</w:t>
      </w:r>
      <w:proofErr w:type="spellEnd"/>
      <w:r w:rsidRPr="000C7C76">
        <w:rPr>
          <w:lang w:val="en-US"/>
        </w:rPr>
        <w:t xml:space="preserve"> </w:t>
      </w:r>
      <w:proofErr w:type="spellStart"/>
      <w:r w:rsidRPr="000C7C76">
        <w:rPr>
          <w:lang w:val="en-US"/>
        </w:rPr>
        <w:t>tas</w:t>
      </w:r>
      <w:proofErr w:type="spellEnd"/>
      <w:r w:rsidRPr="000C7C76">
        <w:rPr>
          <w:lang w:val="en-US"/>
        </w:rPr>
        <w:t xml:space="preserve"> </w:t>
      </w:r>
      <w:proofErr w:type="spellStart"/>
      <w:r w:rsidRPr="000C7C76">
        <w:rPr>
          <w:lang w:val="en-US"/>
        </w:rPr>
        <w:t>ir</w:t>
      </w:r>
      <w:proofErr w:type="spellEnd"/>
      <w:r w:rsidRPr="000C7C76">
        <w:rPr>
          <w:lang w:val="en-US"/>
        </w:rPr>
        <w:t xml:space="preserve"> </w:t>
      </w:r>
      <w:proofErr w:type="spellStart"/>
      <w:r w:rsidRPr="000C7C76">
        <w:rPr>
          <w:lang w:val="en-US"/>
        </w:rPr>
        <w:t>uzskatāms</w:t>
      </w:r>
      <w:proofErr w:type="spellEnd"/>
      <w:r w:rsidRPr="000C7C76">
        <w:rPr>
          <w:lang w:val="en-US"/>
        </w:rPr>
        <w:t xml:space="preserve"> par </w:t>
      </w:r>
      <w:proofErr w:type="spellStart"/>
      <w:r w:rsidRPr="000C7C76">
        <w:rPr>
          <w:lang w:val="en-US"/>
        </w:rPr>
        <w:t>publisku</w:t>
      </w:r>
      <w:proofErr w:type="spellEnd"/>
      <w:r w:rsidRPr="000C7C76">
        <w:rPr>
          <w:lang w:val="en-US"/>
        </w:rPr>
        <w:t xml:space="preserve"> </w:t>
      </w:r>
      <w:proofErr w:type="spellStart"/>
      <w:r w:rsidRPr="000C7C76">
        <w:rPr>
          <w:lang w:val="en-US"/>
        </w:rPr>
        <w:t>dokumentu</w:t>
      </w:r>
      <w:proofErr w:type="spellEnd"/>
      <w:r w:rsidRPr="000C7C76">
        <w:rPr>
          <w:lang w:val="en-US"/>
        </w:rPr>
        <w:t xml:space="preserve"> un to var </w:t>
      </w:r>
      <w:proofErr w:type="spellStart"/>
      <w:r w:rsidRPr="000C7C76">
        <w:rPr>
          <w:lang w:val="en-US"/>
        </w:rPr>
        <w:t>legalizēt</w:t>
      </w:r>
      <w:proofErr w:type="spellEnd"/>
      <w:r w:rsidRPr="000C7C76">
        <w:rPr>
          <w:lang w:val="en-US"/>
        </w:rPr>
        <w:t xml:space="preserve"> </w:t>
      </w:r>
      <w:proofErr w:type="spellStart"/>
      <w:r w:rsidRPr="000C7C76">
        <w:rPr>
          <w:lang w:val="en-US"/>
        </w:rPr>
        <w:t>ar</w:t>
      </w:r>
      <w:proofErr w:type="spellEnd"/>
      <w:r w:rsidRPr="000C7C76">
        <w:rPr>
          <w:lang w:val="en-US"/>
        </w:rPr>
        <w:t xml:space="preserve"> </w:t>
      </w:r>
      <w:r w:rsidRPr="000C7C76">
        <w:rPr>
          <w:i/>
          <w:iCs/>
          <w:lang w:val="en-US"/>
        </w:rPr>
        <w:t>Apostille</w:t>
      </w:r>
      <w:r w:rsidRPr="000C7C76">
        <w:rPr>
          <w:lang w:val="en-US"/>
        </w:rPr>
        <w:t>. Skat. Apostille Handbook. A Handbook on the Practical Operation of the Apostille Convention. The Hague: Permanent Bureau, 2013, p. 31. </w:t>
      </w:r>
    </w:p>
  </w:footnote>
  <w:footnote w:id="126">
    <w:p w14:paraId="0E7386D1" w14:textId="77777777" w:rsidR="000C7C76" w:rsidRPr="005F6CA9" w:rsidRDefault="000C7C76" w:rsidP="00114953">
      <w:pPr>
        <w:pStyle w:val="FootnoteText"/>
        <w:jc w:val="both"/>
        <w:rPr>
          <w:lang w:val="fr-FR"/>
        </w:rPr>
      </w:pPr>
      <w:r w:rsidRPr="005F6CA9">
        <w:rPr>
          <w:rStyle w:val="FootnoteReference"/>
        </w:rPr>
        <w:footnoteRef/>
      </w:r>
      <w:r w:rsidRPr="005F6CA9">
        <w:t xml:space="preserve"> </w:t>
      </w:r>
      <w:r w:rsidRPr="000C7C76">
        <w:rPr>
          <w:lang w:val="en-US"/>
        </w:rPr>
        <w:t xml:space="preserve">Apostille Handbook. A Handbook on the Practical Operation of the Apostille Convention. The Hague: Permanent Bureau, 2013, p. 29; The ABCs of Apostilles. How to Ensure that your Public Documents will be </w:t>
      </w:r>
      <w:proofErr w:type="spellStart"/>
      <w:r w:rsidRPr="000C7C76">
        <w:rPr>
          <w:lang w:val="en-US"/>
        </w:rPr>
        <w:t>Recognised</w:t>
      </w:r>
      <w:proofErr w:type="spellEnd"/>
      <w:r w:rsidRPr="000C7C76">
        <w:rPr>
          <w:lang w:val="en-US"/>
        </w:rPr>
        <w:t xml:space="preserve"> Abroad. </w:t>
      </w:r>
      <w:r w:rsidRPr="005F6CA9">
        <w:rPr>
          <w:lang w:val="fr-FR"/>
        </w:rPr>
        <w:t xml:space="preserve">The </w:t>
      </w:r>
      <w:proofErr w:type="gramStart"/>
      <w:r w:rsidRPr="005F6CA9">
        <w:rPr>
          <w:lang w:val="fr-FR"/>
        </w:rPr>
        <w:t>Hague:</w:t>
      </w:r>
      <w:proofErr w:type="gramEnd"/>
      <w:r w:rsidRPr="005F6CA9">
        <w:rPr>
          <w:lang w:val="fr-FR"/>
        </w:rPr>
        <w:t xml:space="preserve"> Permanent Bureau, 2010, p. 11. </w:t>
      </w:r>
    </w:p>
  </w:footnote>
  <w:footnote w:id="127">
    <w:p w14:paraId="0107AF8C" w14:textId="77777777" w:rsidR="000C7C76" w:rsidRPr="00CD4311" w:rsidRDefault="000C7C76" w:rsidP="00114953">
      <w:pPr>
        <w:pStyle w:val="FootnoteText"/>
        <w:jc w:val="both"/>
        <w:rPr>
          <w:lang w:val="lv-LV"/>
        </w:rPr>
      </w:pPr>
      <w:r w:rsidRPr="00CD4311">
        <w:rPr>
          <w:rStyle w:val="FootnoteReference"/>
        </w:rPr>
        <w:footnoteRef/>
      </w:r>
      <w:r w:rsidRPr="00CD4311">
        <w:t xml:space="preserve"> </w:t>
      </w:r>
      <w:proofErr w:type="spellStart"/>
      <w:r w:rsidRPr="00CD4311">
        <w:rPr>
          <w:lang w:val="fr-FR"/>
        </w:rPr>
        <w:t>Loussouarn</w:t>
      </w:r>
      <w:proofErr w:type="spellEnd"/>
      <w:r w:rsidRPr="00CD4311">
        <w:rPr>
          <w:lang w:val="fr-FR"/>
        </w:rPr>
        <w:t xml:space="preserve"> Y. Rapport explicatif. Convention de La Haye supprimant l’exigence de la légalisation des actes publics étrangers. 1961. Actes et documents de la Neuvième session (1960), t. II, Légalisation. </w:t>
      </w:r>
      <w:r w:rsidRPr="000C7C76">
        <w:rPr>
          <w:lang w:val="en-US"/>
        </w:rPr>
        <w:t>Publications de la HCCH, p. 2.</w:t>
      </w:r>
    </w:p>
  </w:footnote>
  <w:footnote w:id="128">
    <w:p w14:paraId="1EE63EC1" w14:textId="77777777" w:rsidR="000C7C76" w:rsidRPr="00CD4311" w:rsidRDefault="000C7C76" w:rsidP="00114953">
      <w:pPr>
        <w:pStyle w:val="FootnoteText"/>
        <w:jc w:val="both"/>
        <w:rPr>
          <w:lang w:val="lv-LV"/>
        </w:rPr>
      </w:pPr>
      <w:r w:rsidRPr="00CD4311">
        <w:rPr>
          <w:rStyle w:val="FootnoteReference"/>
        </w:rPr>
        <w:footnoteRef/>
      </w:r>
      <w:r w:rsidRPr="00CD4311">
        <w:t xml:space="preserve"> </w:t>
      </w:r>
      <w:r w:rsidRPr="000C7C76">
        <w:rPr>
          <w:lang w:val="en-US"/>
        </w:rPr>
        <w:t>Apostille Handbook. A Handbook on the Practical Operation of the Apostille Convention. The Hague: Permanent Bureau, 2013, p. 32.</w:t>
      </w:r>
    </w:p>
  </w:footnote>
  <w:footnote w:id="129">
    <w:p w14:paraId="02022662" w14:textId="48F667AA" w:rsidR="000C7C76" w:rsidRPr="00CD4311" w:rsidRDefault="000C7C76" w:rsidP="00114953">
      <w:pPr>
        <w:pStyle w:val="FootnoteText"/>
        <w:jc w:val="both"/>
        <w:rPr>
          <w:lang w:val="lv-LV"/>
        </w:rPr>
      </w:pPr>
      <w:r w:rsidRPr="00CD4311">
        <w:rPr>
          <w:rStyle w:val="FootnoteReference"/>
        </w:rPr>
        <w:footnoteRef/>
      </w:r>
      <w:r w:rsidRPr="00CD4311">
        <w:t xml:space="preserve"> </w:t>
      </w:r>
      <w:r w:rsidRPr="000C7C76">
        <w:rPr>
          <w:i/>
          <w:lang w:val="en-US"/>
        </w:rPr>
        <w:t>Ibid</w:t>
      </w:r>
      <w:r w:rsidRPr="000C7C76">
        <w:rPr>
          <w:lang w:val="en-US"/>
        </w:rPr>
        <w:t>., p. 10 (§ 27).</w:t>
      </w:r>
    </w:p>
  </w:footnote>
  <w:footnote w:id="130">
    <w:p w14:paraId="27871DAC" w14:textId="77777777" w:rsidR="000C7C76" w:rsidRPr="00CD4311" w:rsidRDefault="000C7C76" w:rsidP="00114953">
      <w:pPr>
        <w:pStyle w:val="FootnoteText"/>
        <w:jc w:val="both"/>
        <w:rPr>
          <w:lang w:val="lv-LV"/>
        </w:rPr>
      </w:pPr>
      <w:r w:rsidRPr="00CD4311">
        <w:rPr>
          <w:rStyle w:val="FootnoteReference"/>
        </w:rPr>
        <w:footnoteRef/>
      </w:r>
      <w:r w:rsidRPr="00CD4311">
        <w:t xml:space="preserve"> </w:t>
      </w:r>
      <w:proofErr w:type="spellStart"/>
      <w:r w:rsidRPr="004D1E51">
        <w:rPr>
          <w:i/>
          <w:lang w:val="lv-LV"/>
        </w:rPr>
        <w:t>Ibid</w:t>
      </w:r>
      <w:proofErr w:type="spellEnd"/>
      <w:r w:rsidRPr="004D1E51">
        <w:rPr>
          <w:i/>
          <w:lang w:val="lv-LV"/>
        </w:rPr>
        <w:t>.</w:t>
      </w:r>
      <w:r w:rsidRPr="00CD4311">
        <w:rPr>
          <w:lang w:val="lv-LV"/>
        </w:rPr>
        <w:t>, p. 33 (skat. informāciju sarkanajā kvadrātā).</w:t>
      </w:r>
    </w:p>
  </w:footnote>
  <w:footnote w:id="131">
    <w:p w14:paraId="058A1F70" w14:textId="77777777" w:rsidR="000C7C76" w:rsidRPr="000C7C76" w:rsidRDefault="000C7C76" w:rsidP="00114953">
      <w:pPr>
        <w:pStyle w:val="FootnoteText"/>
        <w:rPr>
          <w:lang w:val="en-US"/>
        </w:rPr>
      </w:pPr>
      <w:r w:rsidRPr="005F6CA9">
        <w:rPr>
          <w:rStyle w:val="FootnoteReference"/>
        </w:rPr>
        <w:footnoteRef/>
      </w:r>
      <w:r w:rsidRPr="005F6CA9">
        <w:t xml:space="preserve"> </w:t>
      </w:r>
      <w:proofErr w:type="spellStart"/>
      <w:r w:rsidRPr="000C7C76">
        <w:rPr>
          <w:lang w:val="en-US"/>
        </w:rPr>
        <w:t>Latvijā</w:t>
      </w:r>
      <w:proofErr w:type="spellEnd"/>
      <w:r w:rsidRPr="000C7C76">
        <w:rPr>
          <w:lang w:val="en-US"/>
        </w:rPr>
        <w:t xml:space="preserve"> </w:t>
      </w:r>
      <w:proofErr w:type="spellStart"/>
      <w:r w:rsidRPr="000C7C76">
        <w:rPr>
          <w:lang w:val="en-US"/>
        </w:rPr>
        <w:t>spēkā</w:t>
      </w:r>
      <w:proofErr w:type="spellEnd"/>
      <w:r w:rsidRPr="000C7C76">
        <w:rPr>
          <w:lang w:val="en-US"/>
        </w:rPr>
        <w:t xml:space="preserve"> no 31.10.2010., </w:t>
      </w:r>
      <w:proofErr w:type="spellStart"/>
      <w:r w:rsidRPr="000C7C76">
        <w:rPr>
          <w:lang w:val="en-US"/>
        </w:rPr>
        <w:t>publicēta</w:t>
      </w:r>
      <w:proofErr w:type="spellEnd"/>
      <w:r w:rsidRPr="000C7C76">
        <w:rPr>
          <w:lang w:val="en-US"/>
        </w:rPr>
        <w:t xml:space="preserve">: Latvijas </w:t>
      </w:r>
      <w:proofErr w:type="spellStart"/>
      <w:r w:rsidRPr="000C7C76">
        <w:rPr>
          <w:lang w:val="en-US"/>
        </w:rPr>
        <w:t>Vēstnesis</w:t>
      </w:r>
      <w:proofErr w:type="spellEnd"/>
      <w:r w:rsidRPr="000C7C76">
        <w:rPr>
          <w:lang w:val="en-US"/>
        </w:rPr>
        <w:t>, 09.10.2002., Nr. 145.</w:t>
      </w:r>
    </w:p>
  </w:footnote>
  <w:footnote w:id="132">
    <w:p w14:paraId="1EE4CEE7" w14:textId="77777777" w:rsidR="000C7C76" w:rsidRPr="000C7C76" w:rsidRDefault="000C7C76" w:rsidP="00114953">
      <w:pPr>
        <w:pStyle w:val="FootnoteText"/>
        <w:jc w:val="both"/>
      </w:pPr>
      <w:r w:rsidRPr="005F6CA9">
        <w:rPr>
          <w:rStyle w:val="FootnoteReference"/>
        </w:rPr>
        <w:footnoteRef/>
      </w:r>
      <w:r w:rsidRPr="005F6CA9">
        <w:t xml:space="preserve">1987.gada 25.maija </w:t>
      </w:r>
      <w:proofErr w:type="spellStart"/>
      <w:r w:rsidRPr="005F6CA9">
        <w:t>Konvencija</w:t>
      </w:r>
      <w:proofErr w:type="spellEnd"/>
      <w:r w:rsidRPr="005F6CA9">
        <w:t xml:space="preserve"> par </w:t>
      </w:r>
      <w:proofErr w:type="spellStart"/>
      <w:r w:rsidRPr="005F6CA9">
        <w:t>dokumentu</w:t>
      </w:r>
      <w:proofErr w:type="spellEnd"/>
      <w:r w:rsidRPr="005F6CA9">
        <w:t xml:space="preserve"> </w:t>
      </w:r>
      <w:proofErr w:type="spellStart"/>
      <w:r w:rsidRPr="005F6CA9">
        <w:t>legalizācijas</w:t>
      </w:r>
      <w:proofErr w:type="spellEnd"/>
      <w:r w:rsidRPr="005F6CA9">
        <w:t xml:space="preserve"> </w:t>
      </w:r>
      <w:proofErr w:type="spellStart"/>
      <w:r w:rsidRPr="005F6CA9">
        <w:t>atcelšanu</w:t>
      </w:r>
      <w:proofErr w:type="spellEnd"/>
      <w:r w:rsidRPr="005F6CA9">
        <w:t xml:space="preserve"> </w:t>
      </w:r>
      <w:proofErr w:type="spellStart"/>
      <w:r w:rsidRPr="005F6CA9">
        <w:t>Eiropas</w:t>
      </w:r>
      <w:proofErr w:type="spellEnd"/>
      <w:r w:rsidRPr="005F6CA9">
        <w:t xml:space="preserve"> </w:t>
      </w:r>
      <w:proofErr w:type="spellStart"/>
      <w:r w:rsidRPr="005F6CA9">
        <w:t>Kopienu</w:t>
      </w:r>
      <w:proofErr w:type="spellEnd"/>
      <w:r w:rsidRPr="005F6CA9">
        <w:t xml:space="preserve"> </w:t>
      </w:r>
      <w:proofErr w:type="spellStart"/>
      <w:r w:rsidRPr="005F6CA9">
        <w:t>dalībvalstu</w:t>
      </w:r>
      <w:proofErr w:type="spellEnd"/>
      <w:r w:rsidRPr="005F6CA9">
        <w:t xml:space="preserve"> </w:t>
      </w:r>
      <w:proofErr w:type="spellStart"/>
      <w:r w:rsidRPr="005F6CA9">
        <w:t>starpā</w:t>
      </w:r>
      <w:proofErr w:type="spellEnd"/>
      <w:r w:rsidRPr="005F6CA9">
        <w:t xml:space="preserve">: LR </w:t>
      </w:r>
      <w:proofErr w:type="spellStart"/>
      <w:r w:rsidRPr="005F6CA9">
        <w:t>starptautisks</w:t>
      </w:r>
      <w:proofErr w:type="spellEnd"/>
      <w:r w:rsidRPr="005F6CA9">
        <w:t xml:space="preserve"> </w:t>
      </w:r>
      <w:proofErr w:type="spellStart"/>
      <w:r w:rsidRPr="005F6CA9">
        <w:t>līgums</w:t>
      </w:r>
      <w:proofErr w:type="spellEnd"/>
      <w:r w:rsidRPr="005F6CA9">
        <w:t xml:space="preserve">. Latvijas </w:t>
      </w:r>
      <w:proofErr w:type="spellStart"/>
      <w:r w:rsidRPr="005F6CA9">
        <w:t>Vēstnesis</w:t>
      </w:r>
      <w:proofErr w:type="spellEnd"/>
      <w:r w:rsidRPr="005F6CA9">
        <w:t xml:space="preserve">, </w:t>
      </w:r>
      <w:proofErr w:type="spellStart"/>
      <w:r w:rsidRPr="005F6CA9">
        <w:t>nr.</w:t>
      </w:r>
      <w:proofErr w:type="spellEnd"/>
      <w:r w:rsidRPr="005F6CA9">
        <w:t> 145, 2002. 9.oktobris.</w:t>
      </w:r>
    </w:p>
  </w:footnote>
  <w:footnote w:id="133">
    <w:p w14:paraId="4AE224C5" w14:textId="77777777" w:rsidR="000C7C76" w:rsidRPr="000C7C76" w:rsidRDefault="000C7C76" w:rsidP="00114953">
      <w:pPr>
        <w:pStyle w:val="FootnoteText"/>
        <w:jc w:val="both"/>
      </w:pPr>
      <w:r w:rsidRPr="005F6CA9">
        <w:rPr>
          <w:rStyle w:val="FootnoteReference"/>
        </w:rPr>
        <w:footnoteRef/>
      </w:r>
      <w:r w:rsidRPr="005F6CA9">
        <w:t xml:space="preserve"> </w:t>
      </w:r>
      <w:r w:rsidRPr="000C7C76">
        <w:t xml:space="preserve">EST 1997.gada 2.decembra </w:t>
      </w:r>
      <w:proofErr w:type="spellStart"/>
      <w:r w:rsidRPr="000C7C76">
        <w:t>spriedums</w:t>
      </w:r>
      <w:proofErr w:type="spellEnd"/>
      <w:r w:rsidRPr="000C7C76">
        <w:t xml:space="preserve"> </w:t>
      </w:r>
      <w:proofErr w:type="spellStart"/>
      <w:r w:rsidRPr="000C7C76">
        <w:t>lietā</w:t>
      </w:r>
      <w:proofErr w:type="spellEnd"/>
      <w:r w:rsidRPr="000C7C76">
        <w:t xml:space="preserve"> C-336/94 </w:t>
      </w:r>
      <w:proofErr w:type="spellStart"/>
      <w:r w:rsidRPr="000C7C76">
        <w:rPr>
          <w:i/>
          <w:iCs/>
        </w:rPr>
        <w:t>Dafeki</w:t>
      </w:r>
      <w:proofErr w:type="spellEnd"/>
      <w:r w:rsidRPr="000C7C76">
        <w:t xml:space="preserve">, 21.punkts. </w:t>
      </w:r>
      <w:proofErr w:type="spellStart"/>
      <w:r w:rsidRPr="000C7C76">
        <w:t>Judikatūras</w:t>
      </w:r>
      <w:proofErr w:type="spellEnd"/>
      <w:r w:rsidRPr="000C7C76">
        <w:t xml:space="preserve"> </w:t>
      </w:r>
      <w:proofErr w:type="spellStart"/>
      <w:r w:rsidRPr="000C7C76">
        <w:t>Krājums</w:t>
      </w:r>
      <w:proofErr w:type="spellEnd"/>
      <w:r w:rsidRPr="000C7C76">
        <w:t xml:space="preserve">, 1997, I-06761 </w:t>
      </w:r>
      <w:proofErr w:type="spellStart"/>
      <w:r w:rsidRPr="000C7C76">
        <w:t>lpp</w:t>
      </w:r>
      <w:proofErr w:type="spellEnd"/>
      <w:r w:rsidRPr="000C7C76">
        <w:t>.</w:t>
      </w:r>
    </w:p>
  </w:footnote>
  <w:footnote w:id="134">
    <w:p w14:paraId="60A983E3" w14:textId="77777777" w:rsidR="000C7C76" w:rsidRPr="005F6CA9" w:rsidRDefault="000C7C76" w:rsidP="00114953">
      <w:pPr>
        <w:pStyle w:val="FootnoteText"/>
        <w:jc w:val="both"/>
      </w:pPr>
      <w:r w:rsidRPr="005F6CA9">
        <w:rPr>
          <w:rStyle w:val="FootnoteReference"/>
        </w:rPr>
        <w:footnoteRef/>
      </w:r>
      <w:r w:rsidRPr="005F6CA9">
        <w:t xml:space="preserve"> </w:t>
      </w:r>
      <w:r w:rsidRPr="000C7C76">
        <w:t>Skat</w:t>
      </w:r>
      <w:proofErr w:type="gramStart"/>
      <w:r w:rsidRPr="000C7C76">
        <w:t>. :</w:t>
      </w:r>
      <w:proofErr w:type="gramEnd"/>
      <w:r w:rsidRPr="000C7C76">
        <w:t xml:space="preserve"> </w:t>
      </w:r>
      <w:hyperlink r:id="rId9" w:anchor="2" w:history="1">
        <w:r w:rsidRPr="000C7C76">
          <w:rPr>
            <w:rStyle w:val="Hyperlink"/>
          </w:rPr>
          <w:t>http://www.am.gov.lv/lv/KonsularaInformacija/pakalpojumi/legalizacija/#2</w:t>
        </w:r>
      </w:hyperlink>
      <w:r w:rsidRPr="000C7C76">
        <w:t xml:space="preserve"> [</w:t>
      </w:r>
      <w:proofErr w:type="spellStart"/>
      <w:r w:rsidRPr="000C7C76">
        <w:t>aplūkots</w:t>
      </w:r>
      <w:proofErr w:type="spellEnd"/>
      <w:r w:rsidRPr="000C7C76">
        <w:t xml:space="preserve"> 2016.gada 19.martā]. Skat. </w:t>
      </w:r>
      <w:proofErr w:type="spellStart"/>
      <w:proofErr w:type="gramStart"/>
      <w:r w:rsidRPr="000C7C76">
        <w:t>arī</w:t>
      </w:r>
      <w:proofErr w:type="spellEnd"/>
      <w:r w:rsidRPr="000C7C76">
        <w:t> :</w:t>
      </w:r>
      <w:proofErr w:type="gramEnd"/>
      <w:r w:rsidRPr="000C7C76">
        <w:t xml:space="preserve"> </w:t>
      </w:r>
      <w:proofErr w:type="spellStart"/>
      <w:r w:rsidRPr="000C7C76">
        <w:t>Dokumentu</w:t>
      </w:r>
      <w:proofErr w:type="spellEnd"/>
      <w:r w:rsidRPr="000C7C76">
        <w:t xml:space="preserve"> </w:t>
      </w:r>
      <w:proofErr w:type="spellStart"/>
      <w:r w:rsidRPr="000C7C76">
        <w:t>legalizācijas</w:t>
      </w:r>
      <w:proofErr w:type="spellEnd"/>
      <w:r w:rsidRPr="000C7C76">
        <w:t xml:space="preserve"> </w:t>
      </w:r>
      <w:proofErr w:type="spellStart"/>
      <w:r w:rsidRPr="000C7C76">
        <w:t>likuma</w:t>
      </w:r>
      <w:proofErr w:type="spellEnd"/>
      <w:r w:rsidRPr="000C7C76">
        <w:t xml:space="preserve"> 12.pantu </w:t>
      </w:r>
      <w:proofErr w:type="spellStart"/>
      <w:r w:rsidRPr="000C7C76">
        <w:t>un</w:t>
      </w:r>
      <w:proofErr w:type="spellEnd"/>
      <w:r w:rsidRPr="000C7C76">
        <w:t xml:space="preserve"> 2012.gada 20.marta </w:t>
      </w:r>
      <w:proofErr w:type="spellStart"/>
      <w:r w:rsidRPr="000C7C76">
        <w:t>Ministru</w:t>
      </w:r>
      <w:proofErr w:type="spellEnd"/>
      <w:r w:rsidRPr="000C7C76">
        <w:t xml:space="preserve"> </w:t>
      </w:r>
      <w:proofErr w:type="spellStart"/>
      <w:r w:rsidRPr="000C7C76">
        <w:t>kabineta</w:t>
      </w:r>
      <w:proofErr w:type="spellEnd"/>
      <w:r w:rsidRPr="000C7C76">
        <w:t xml:space="preserve"> </w:t>
      </w:r>
      <w:proofErr w:type="spellStart"/>
      <w:r w:rsidRPr="000C7C76">
        <w:t>noteikumu</w:t>
      </w:r>
      <w:proofErr w:type="spellEnd"/>
      <w:r w:rsidRPr="000C7C76">
        <w:t xml:space="preserve"> Nr. 186 </w:t>
      </w:r>
      <w:r w:rsidRPr="005F6CA9">
        <w:t>„</w:t>
      </w:r>
      <w:proofErr w:type="spellStart"/>
      <w:r w:rsidRPr="005F6CA9">
        <w:t>Publisku</w:t>
      </w:r>
      <w:proofErr w:type="spellEnd"/>
      <w:r w:rsidRPr="005F6CA9">
        <w:t xml:space="preserve"> </w:t>
      </w:r>
      <w:proofErr w:type="spellStart"/>
      <w:r w:rsidRPr="005F6CA9">
        <w:t>dokumentu</w:t>
      </w:r>
      <w:proofErr w:type="spellEnd"/>
      <w:r w:rsidRPr="005F6CA9">
        <w:t xml:space="preserve"> </w:t>
      </w:r>
      <w:proofErr w:type="spellStart"/>
      <w:r w:rsidRPr="005F6CA9">
        <w:t>legalizācijas</w:t>
      </w:r>
      <w:proofErr w:type="spellEnd"/>
      <w:r w:rsidRPr="005F6CA9">
        <w:t xml:space="preserve"> </w:t>
      </w:r>
      <w:proofErr w:type="spellStart"/>
      <w:r w:rsidRPr="005F6CA9">
        <w:t>noteikumi</w:t>
      </w:r>
      <w:proofErr w:type="spellEnd"/>
      <w:r w:rsidRPr="005F6CA9">
        <w:t xml:space="preserve">“ 5.punktu (Latvijas </w:t>
      </w:r>
      <w:proofErr w:type="spellStart"/>
      <w:r w:rsidRPr="005F6CA9">
        <w:t>Vēstnesis</w:t>
      </w:r>
      <w:proofErr w:type="spellEnd"/>
      <w:r w:rsidRPr="005F6CA9">
        <w:t xml:space="preserve">, </w:t>
      </w:r>
      <w:proofErr w:type="spellStart"/>
      <w:r w:rsidRPr="005F6CA9">
        <w:t>nr.</w:t>
      </w:r>
      <w:proofErr w:type="spellEnd"/>
      <w:r w:rsidRPr="005F6CA9">
        <w:t> 47, 2012. 22.marts).</w:t>
      </w:r>
    </w:p>
  </w:footnote>
  <w:footnote w:id="135">
    <w:p w14:paraId="62359200" w14:textId="682493DF" w:rsidR="000C7C76" w:rsidRPr="000C7C76" w:rsidRDefault="000C7C76" w:rsidP="00114953">
      <w:pPr>
        <w:pStyle w:val="FootnoteText"/>
        <w:jc w:val="both"/>
      </w:pPr>
      <w:r w:rsidRPr="005F6CA9">
        <w:rPr>
          <w:rStyle w:val="FootnoteReference"/>
        </w:rPr>
        <w:footnoteRef/>
      </w:r>
      <w:r w:rsidRPr="005F6CA9">
        <w:t xml:space="preserve"> </w:t>
      </w:r>
      <w:r w:rsidRPr="000C7C76">
        <w:t xml:space="preserve">Skat. </w:t>
      </w:r>
      <w:proofErr w:type="spellStart"/>
      <w:r w:rsidRPr="000C7C76">
        <w:t>Hāgas</w:t>
      </w:r>
      <w:proofErr w:type="spellEnd"/>
      <w:r w:rsidRPr="000C7C76">
        <w:t xml:space="preserve"> </w:t>
      </w:r>
      <w:proofErr w:type="spellStart"/>
      <w:r w:rsidRPr="000C7C76">
        <w:t>Starptautisko</w:t>
      </w:r>
      <w:proofErr w:type="spellEnd"/>
      <w:r w:rsidRPr="000C7C76">
        <w:t xml:space="preserve"> </w:t>
      </w:r>
      <w:proofErr w:type="spellStart"/>
      <w:r w:rsidRPr="000C7C76">
        <w:t>privāttiesību</w:t>
      </w:r>
      <w:proofErr w:type="spellEnd"/>
      <w:r w:rsidRPr="000C7C76">
        <w:t xml:space="preserve"> </w:t>
      </w:r>
      <w:proofErr w:type="spellStart"/>
      <w:r w:rsidRPr="000C7C76">
        <w:t>konferences</w:t>
      </w:r>
      <w:proofErr w:type="spellEnd"/>
      <w:r w:rsidRPr="000C7C76">
        <w:t xml:space="preserve"> </w:t>
      </w:r>
      <w:proofErr w:type="spellStart"/>
      <w:r w:rsidRPr="000C7C76">
        <w:t>mājas</w:t>
      </w:r>
      <w:proofErr w:type="spellEnd"/>
      <w:r w:rsidRPr="000C7C76">
        <w:t xml:space="preserve"> </w:t>
      </w:r>
      <w:proofErr w:type="spellStart"/>
      <w:proofErr w:type="gramStart"/>
      <w:r w:rsidRPr="000C7C76">
        <w:t>lapā</w:t>
      </w:r>
      <w:proofErr w:type="spellEnd"/>
      <w:r w:rsidRPr="000C7C76">
        <w:t> :</w:t>
      </w:r>
      <w:proofErr w:type="gramEnd"/>
      <w:r w:rsidRPr="000C7C76">
        <w:t xml:space="preserve"> </w:t>
      </w:r>
      <w:hyperlink r:id="rId10" w:history="1">
        <w:r w:rsidRPr="000C7C76">
          <w:rPr>
            <w:rStyle w:val="Hyperlink"/>
          </w:rPr>
          <w:t>http://www.hcch.net/en/instruments/conventions/</w:t>
        </w:r>
      </w:hyperlink>
      <w:r w:rsidRPr="000C7C76">
        <w:t xml:space="preserve"> [</w:t>
      </w:r>
      <w:proofErr w:type="spellStart"/>
      <w:r w:rsidRPr="000C7C76">
        <w:t>aplūkots</w:t>
      </w:r>
      <w:proofErr w:type="spellEnd"/>
      <w:r w:rsidRPr="000C7C76">
        <w:t xml:space="preserve"> 2017.gada 2.augustā].</w:t>
      </w:r>
    </w:p>
  </w:footnote>
  <w:footnote w:id="136">
    <w:p w14:paraId="3C2EF17A" w14:textId="41A961AB" w:rsidR="000C7C76" w:rsidRPr="000C7C76" w:rsidRDefault="000C7C76" w:rsidP="00114953">
      <w:pPr>
        <w:pStyle w:val="FootnoteText"/>
        <w:jc w:val="both"/>
      </w:pPr>
      <w:r w:rsidRPr="005F6CA9">
        <w:rPr>
          <w:rStyle w:val="FootnoteReference"/>
        </w:rPr>
        <w:footnoteRef/>
      </w:r>
      <w:r w:rsidRPr="005F6CA9">
        <w:t xml:space="preserve"> </w:t>
      </w:r>
      <w:proofErr w:type="spellStart"/>
      <w:r w:rsidRPr="000C7C76">
        <w:t>Lielbritānijas</w:t>
      </w:r>
      <w:proofErr w:type="spellEnd"/>
      <w:r w:rsidRPr="000C7C76">
        <w:t xml:space="preserve"> </w:t>
      </w:r>
      <w:proofErr w:type="spellStart"/>
      <w:r w:rsidRPr="000C7C76">
        <w:t>un</w:t>
      </w:r>
      <w:proofErr w:type="spellEnd"/>
      <w:r w:rsidRPr="000C7C76">
        <w:t xml:space="preserve"> </w:t>
      </w:r>
      <w:proofErr w:type="spellStart"/>
      <w:r w:rsidRPr="000C7C76">
        <w:t>Ziemeļīrijas</w:t>
      </w:r>
      <w:proofErr w:type="spellEnd"/>
      <w:r w:rsidRPr="000C7C76">
        <w:t xml:space="preserve"> </w:t>
      </w:r>
      <w:proofErr w:type="spellStart"/>
      <w:r w:rsidRPr="000C7C76">
        <w:t>Apvienotā</w:t>
      </w:r>
      <w:proofErr w:type="spellEnd"/>
      <w:r w:rsidRPr="000C7C76">
        <w:t xml:space="preserve"> </w:t>
      </w:r>
      <w:proofErr w:type="spellStart"/>
      <w:r w:rsidRPr="000C7C76">
        <w:t>Karaliste</w:t>
      </w:r>
      <w:proofErr w:type="spellEnd"/>
      <w:r w:rsidRPr="000C7C76">
        <w:t xml:space="preserve"> </w:t>
      </w:r>
      <w:proofErr w:type="spellStart"/>
      <w:r w:rsidRPr="000C7C76">
        <w:t>izplatījusi</w:t>
      </w:r>
      <w:proofErr w:type="spellEnd"/>
      <w:r w:rsidRPr="000C7C76">
        <w:t xml:space="preserve"> </w:t>
      </w:r>
      <w:proofErr w:type="spellStart"/>
      <w:r w:rsidRPr="000C7C76">
        <w:t>Konvencijas</w:t>
      </w:r>
      <w:proofErr w:type="spellEnd"/>
      <w:r w:rsidRPr="000C7C76">
        <w:t xml:space="preserve"> </w:t>
      </w:r>
      <w:proofErr w:type="spellStart"/>
      <w:r w:rsidRPr="000C7C76">
        <w:t>darbību</w:t>
      </w:r>
      <w:proofErr w:type="spellEnd"/>
      <w:r w:rsidRPr="000C7C76">
        <w:t xml:space="preserve"> </w:t>
      </w:r>
      <w:proofErr w:type="spellStart"/>
      <w:r w:rsidRPr="000C7C76">
        <w:t>arī</w:t>
      </w:r>
      <w:proofErr w:type="spellEnd"/>
      <w:r w:rsidRPr="000C7C76">
        <w:t xml:space="preserve"> </w:t>
      </w:r>
      <w:proofErr w:type="spellStart"/>
      <w:r w:rsidRPr="000C7C76">
        <w:t>šādās</w:t>
      </w:r>
      <w:proofErr w:type="spellEnd"/>
      <w:r w:rsidRPr="000C7C76">
        <w:t xml:space="preserve"> </w:t>
      </w:r>
      <w:proofErr w:type="spellStart"/>
      <w:r w:rsidRPr="000C7C76">
        <w:t>teritoriālajās</w:t>
      </w:r>
      <w:proofErr w:type="spellEnd"/>
      <w:r w:rsidRPr="000C7C76">
        <w:t xml:space="preserve"> </w:t>
      </w:r>
      <w:proofErr w:type="spellStart"/>
      <w:r w:rsidRPr="000C7C76">
        <w:t>vienībās</w:t>
      </w:r>
      <w:proofErr w:type="spellEnd"/>
      <w:r w:rsidRPr="000C7C76">
        <w:t xml:space="preserve">: </w:t>
      </w:r>
      <w:proofErr w:type="spellStart"/>
      <w:r w:rsidRPr="000C7C76">
        <w:t>Angilja</w:t>
      </w:r>
      <w:proofErr w:type="spellEnd"/>
      <w:r w:rsidRPr="000C7C76">
        <w:t xml:space="preserve">, </w:t>
      </w:r>
      <w:proofErr w:type="spellStart"/>
      <w:r w:rsidRPr="000C7C76">
        <w:t>Bermudu</w:t>
      </w:r>
      <w:proofErr w:type="spellEnd"/>
      <w:r w:rsidRPr="000C7C76">
        <w:t xml:space="preserve"> </w:t>
      </w:r>
      <w:proofErr w:type="spellStart"/>
      <w:r w:rsidRPr="000C7C76">
        <w:t>salas</w:t>
      </w:r>
      <w:proofErr w:type="spellEnd"/>
      <w:r w:rsidRPr="000C7C76">
        <w:t xml:space="preserve">, </w:t>
      </w:r>
      <w:proofErr w:type="spellStart"/>
      <w:r w:rsidRPr="000C7C76">
        <w:t>Britu</w:t>
      </w:r>
      <w:proofErr w:type="spellEnd"/>
      <w:r w:rsidRPr="000C7C76">
        <w:t xml:space="preserve"> </w:t>
      </w:r>
      <w:proofErr w:type="spellStart"/>
      <w:r w:rsidRPr="000C7C76">
        <w:t>Virdžīnu</w:t>
      </w:r>
      <w:proofErr w:type="spellEnd"/>
      <w:r w:rsidRPr="000C7C76">
        <w:t xml:space="preserve"> </w:t>
      </w:r>
      <w:proofErr w:type="spellStart"/>
      <w:r w:rsidRPr="000C7C76">
        <w:t>salas</w:t>
      </w:r>
      <w:proofErr w:type="spellEnd"/>
      <w:r w:rsidRPr="000C7C76">
        <w:t xml:space="preserve">, </w:t>
      </w:r>
      <w:proofErr w:type="spellStart"/>
      <w:r w:rsidRPr="000C7C76">
        <w:t>Britu</w:t>
      </w:r>
      <w:proofErr w:type="spellEnd"/>
      <w:r w:rsidRPr="000C7C76">
        <w:t xml:space="preserve"> </w:t>
      </w:r>
      <w:proofErr w:type="spellStart"/>
      <w:r w:rsidRPr="000C7C76">
        <w:t>Antarktiskās</w:t>
      </w:r>
      <w:proofErr w:type="spellEnd"/>
      <w:r w:rsidRPr="000C7C76">
        <w:t xml:space="preserve"> </w:t>
      </w:r>
      <w:proofErr w:type="spellStart"/>
      <w:r w:rsidRPr="000C7C76">
        <w:t>teritorijas</w:t>
      </w:r>
      <w:proofErr w:type="spellEnd"/>
      <w:r w:rsidRPr="000C7C76">
        <w:t xml:space="preserve">, </w:t>
      </w:r>
      <w:proofErr w:type="spellStart"/>
      <w:r w:rsidRPr="000C7C76">
        <w:t>Kaimanu</w:t>
      </w:r>
      <w:proofErr w:type="spellEnd"/>
      <w:r w:rsidRPr="000C7C76">
        <w:t xml:space="preserve"> </w:t>
      </w:r>
      <w:proofErr w:type="spellStart"/>
      <w:r w:rsidRPr="000C7C76">
        <w:t>salas</w:t>
      </w:r>
      <w:proofErr w:type="spellEnd"/>
      <w:r w:rsidRPr="000C7C76">
        <w:t xml:space="preserve">, </w:t>
      </w:r>
      <w:proofErr w:type="spellStart"/>
      <w:r w:rsidRPr="000C7C76">
        <w:t>Folklenda</w:t>
      </w:r>
      <w:proofErr w:type="spellEnd"/>
      <w:r w:rsidRPr="000C7C76">
        <w:t xml:space="preserve"> (</w:t>
      </w:r>
      <w:proofErr w:type="spellStart"/>
      <w:r w:rsidRPr="000C7C76">
        <w:t>Malvinu</w:t>
      </w:r>
      <w:proofErr w:type="spellEnd"/>
      <w:r w:rsidRPr="000C7C76">
        <w:t xml:space="preserve">) </w:t>
      </w:r>
      <w:proofErr w:type="spellStart"/>
      <w:r w:rsidRPr="000C7C76">
        <w:t>salas</w:t>
      </w:r>
      <w:proofErr w:type="spellEnd"/>
      <w:r w:rsidRPr="000C7C76">
        <w:t xml:space="preserve">, </w:t>
      </w:r>
      <w:proofErr w:type="spellStart"/>
      <w:r w:rsidRPr="000C7C76">
        <w:t>Gibraltārs</w:t>
      </w:r>
      <w:proofErr w:type="spellEnd"/>
      <w:r w:rsidRPr="000C7C76">
        <w:t xml:space="preserve">, </w:t>
      </w:r>
      <w:proofErr w:type="spellStart"/>
      <w:r w:rsidRPr="000C7C76">
        <w:t>Gērnsija</w:t>
      </w:r>
      <w:proofErr w:type="spellEnd"/>
      <w:r w:rsidRPr="000C7C76">
        <w:t xml:space="preserve">, Menas </w:t>
      </w:r>
      <w:proofErr w:type="spellStart"/>
      <w:r w:rsidRPr="000C7C76">
        <w:t>sala</w:t>
      </w:r>
      <w:proofErr w:type="spellEnd"/>
      <w:r w:rsidRPr="000C7C76">
        <w:t xml:space="preserve">, </w:t>
      </w:r>
      <w:proofErr w:type="spellStart"/>
      <w:r w:rsidRPr="000C7C76">
        <w:t>Džērsija</w:t>
      </w:r>
      <w:proofErr w:type="spellEnd"/>
      <w:r w:rsidRPr="000C7C76">
        <w:t xml:space="preserve">, </w:t>
      </w:r>
      <w:proofErr w:type="spellStart"/>
      <w:r w:rsidRPr="000C7C76">
        <w:t>Montserrata</w:t>
      </w:r>
      <w:proofErr w:type="spellEnd"/>
      <w:r w:rsidRPr="000C7C76">
        <w:t xml:space="preserve">, </w:t>
      </w:r>
      <w:proofErr w:type="spellStart"/>
      <w:r w:rsidRPr="000C7C76">
        <w:t>Sv.Helēnas</w:t>
      </w:r>
      <w:proofErr w:type="spellEnd"/>
      <w:r w:rsidRPr="000C7C76">
        <w:t xml:space="preserve"> </w:t>
      </w:r>
      <w:proofErr w:type="spellStart"/>
      <w:r w:rsidRPr="000C7C76">
        <w:t>sala</w:t>
      </w:r>
      <w:proofErr w:type="spellEnd"/>
      <w:r w:rsidRPr="000C7C76">
        <w:t xml:space="preserve">, </w:t>
      </w:r>
      <w:proofErr w:type="spellStart"/>
      <w:r w:rsidRPr="000C7C76">
        <w:t>Tē</w:t>
      </w:r>
      <w:r w:rsidR="00CA6703">
        <w:t>rksas</w:t>
      </w:r>
      <w:proofErr w:type="spellEnd"/>
      <w:r w:rsidR="00CA6703">
        <w:t xml:space="preserve"> </w:t>
      </w:r>
      <w:proofErr w:type="spellStart"/>
      <w:r w:rsidR="00CA6703">
        <w:t>un</w:t>
      </w:r>
      <w:proofErr w:type="spellEnd"/>
      <w:r w:rsidR="00CA6703">
        <w:t xml:space="preserve"> </w:t>
      </w:r>
      <w:proofErr w:type="spellStart"/>
      <w:r w:rsidR="00CA6703">
        <w:t>Kaikosas</w:t>
      </w:r>
      <w:proofErr w:type="spellEnd"/>
      <w:r w:rsidR="00CA6703">
        <w:t xml:space="preserve"> </w:t>
      </w:r>
      <w:proofErr w:type="spellStart"/>
      <w:r w:rsidR="00CA6703">
        <w:t>salas</w:t>
      </w:r>
      <w:proofErr w:type="spellEnd"/>
      <w:r w:rsidR="00CA6703">
        <w:t>.  Skat.</w:t>
      </w:r>
      <w:r w:rsidRPr="000C7C76">
        <w:t xml:space="preserve">: </w:t>
      </w:r>
      <w:hyperlink r:id="rId11" w:history="1">
        <w:r w:rsidRPr="000C7C76">
          <w:rPr>
            <w:rStyle w:val="Hyperlink"/>
          </w:rPr>
          <w:t>www.hcch.net</w:t>
        </w:r>
      </w:hyperlink>
      <w:r w:rsidRPr="000C7C76">
        <w:t xml:space="preserve"> [</w:t>
      </w:r>
      <w:proofErr w:type="spellStart"/>
      <w:r w:rsidRPr="000C7C76">
        <w:t>aplūkots</w:t>
      </w:r>
      <w:proofErr w:type="spellEnd"/>
      <w:r w:rsidRPr="000C7C76">
        <w:t xml:space="preserve"> 2016.gada 15.janvārī].</w:t>
      </w:r>
    </w:p>
  </w:footnote>
  <w:footnote w:id="137">
    <w:p w14:paraId="6FF2A93D" w14:textId="7B1A4996" w:rsidR="000C7C76" w:rsidRPr="000C7C76" w:rsidRDefault="000C7C76" w:rsidP="00114953">
      <w:pPr>
        <w:pStyle w:val="FootnoteText"/>
        <w:jc w:val="both"/>
        <w:rPr>
          <w:lang w:val="en-US"/>
        </w:rPr>
      </w:pPr>
      <w:r w:rsidRPr="005F6CA9">
        <w:rPr>
          <w:rStyle w:val="FootnoteReference"/>
        </w:rPr>
        <w:footnoteRef/>
      </w:r>
      <w:r w:rsidRPr="005F6CA9">
        <w:t xml:space="preserve"> </w:t>
      </w:r>
      <w:proofErr w:type="spellStart"/>
      <w:r w:rsidRPr="000C7C76">
        <w:t>Nīderlande</w:t>
      </w:r>
      <w:proofErr w:type="spellEnd"/>
      <w:r w:rsidRPr="000C7C76">
        <w:t xml:space="preserve"> </w:t>
      </w:r>
      <w:proofErr w:type="spellStart"/>
      <w:r w:rsidRPr="000C7C76">
        <w:t>izplatījusi</w:t>
      </w:r>
      <w:proofErr w:type="spellEnd"/>
      <w:r w:rsidRPr="000C7C76">
        <w:t xml:space="preserve"> </w:t>
      </w:r>
      <w:proofErr w:type="spellStart"/>
      <w:r w:rsidRPr="000C7C76">
        <w:t>Konvencijas</w:t>
      </w:r>
      <w:proofErr w:type="spellEnd"/>
      <w:r w:rsidRPr="000C7C76">
        <w:t xml:space="preserve"> </w:t>
      </w:r>
      <w:proofErr w:type="spellStart"/>
      <w:r w:rsidRPr="000C7C76">
        <w:t>darbību</w:t>
      </w:r>
      <w:proofErr w:type="spellEnd"/>
      <w:r w:rsidRPr="000C7C76">
        <w:t xml:space="preserve"> </w:t>
      </w:r>
      <w:proofErr w:type="spellStart"/>
      <w:r w:rsidRPr="000C7C76">
        <w:t>arī</w:t>
      </w:r>
      <w:proofErr w:type="spellEnd"/>
      <w:r w:rsidRPr="000C7C76">
        <w:t xml:space="preserve"> </w:t>
      </w:r>
      <w:proofErr w:type="spellStart"/>
      <w:r w:rsidRPr="000C7C76">
        <w:t>šādās</w:t>
      </w:r>
      <w:proofErr w:type="spellEnd"/>
      <w:r w:rsidRPr="000C7C76">
        <w:t xml:space="preserve"> </w:t>
      </w:r>
      <w:proofErr w:type="spellStart"/>
      <w:r w:rsidRPr="000C7C76">
        <w:t>teritoriālajās</w:t>
      </w:r>
      <w:proofErr w:type="spellEnd"/>
      <w:r w:rsidRPr="000C7C76">
        <w:t xml:space="preserve"> </w:t>
      </w:r>
      <w:proofErr w:type="spellStart"/>
      <w:r w:rsidRPr="000C7C76">
        <w:t>vienībās</w:t>
      </w:r>
      <w:proofErr w:type="spellEnd"/>
      <w:r w:rsidRPr="000C7C76">
        <w:t xml:space="preserve">: Aruba, </w:t>
      </w:r>
      <w:proofErr w:type="spellStart"/>
      <w:r w:rsidRPr="000C7C76">
        <w:t>Kurasao</w:t>
      </w:r>
      <w:proofErr w:type="spellEnd"/>
      <w:r w:rsidRPr="000C7C76">
        <w:t xml:space="preserve">, </w:t>
      </w:r>
      <w:proofErr w:type="spellStart"/>
      <w:r w:rsidRPr="000C7C76">
        <w:t>Sintmārtena</w:t>
      </w:r>
      <w:proofErr w:type="spellEnd"/>
      <w:r w:rsidRPr="000C7C76">
        <w:t xml:space="preserve">, </w:t>
      </w:r>
      <w:proofErr w:type="spellStart"/>
      <w:r w:rsidRPr="000C7C76">
        <w:t>Bonaire</w:t>
      </w:r>
      <w:proofErr w:type="spellEnd"/>
      <w:r w:rsidRPr="000C7C76">
        <w:t xml:space="preserve">, Saba, </w:t>
      </w:r>
      <w:proofErr w:type="spellStart"/>
      <w:r w:rsidRPr="000C7C76">
        <w:t>Sintēstatiusa</w:t>
      </w:r>
      <w:proofErr w:type="spellEnd"/>
      <w:r w:rsidRPr="000C7C76">
        <w:t xml:space="preserve">. </w:t>
      </w:r>
      <w:r w:rsidR="00CA6703">
        <w:rPr>
          <w:lang w:val="en-US"/>
        </w:rPr>
        <w:t>Skat.</w:t>
      </w:r>
      <w:r w:rsidRPr="000C7C76">
        <w:rPr>
          <w:lang w:val="en-US"/>
        </w:rPr>
        <w:t xml:space="preserve">: </w:t>
      </w:r>
      <w:hyperlink r:id="rId12" w:history="1">
        <w:r w:rsidRPr="000C7C76">
          <w:rPr>
            <w:rStyle w:val="Hyperlink"/>
            <w:lang w:val="en-US"/>
          </w:rPr>
          <w:t>www.hcch.net</w:t>
        </w:r>
      </w:hyperlink>
      <w:r w:rsidRPr="000C7C76">
        <w:rPr>
          <w:lang w:val="en-US"/>
        </w:rPr>
        <w:t xml:space="preserve"> [</w:t>
      </w:r>
      <w:proofErr w:type="spellStart"/>
      <w:r w:rsidRPr="000C7C76">
        <w:rPr>
          <w:lang w:val="en-US"/>
        </w:rPr>
        <w:t>aplūkots</w:t>
      </w:r>
      <w:proofErr w:type="spellEnd"/>
      <w:r w:rsidRPr="000C7C76">
        <w:rPr>
          <w:lang w:val="en-US"/>
        </w:rPr>
        <w:t xml:space="preserve"> 2016.gada </w:t>
      </w:r>
      <w:proofErr w:type="gramStart"/>
      <w:r w:rsidRPr="000C7C76">
        <w:rPr>
          <w:lang w:val="en-US"/>
        </w:rPr>
        <w:t>15.janvārī</w:t>
      </w:r>
      <w:proofErr w:type="gramEnd"/>
      <w:r w:rsidRPr="000C7C76">
        <w:rPr>
          <w:lang w:val="en-US"/>
        </w:rPr>
        <w:t>].</w:t>
      </w:r>
    </w:p>
  </w:footnote>
  <w:footnote w:id="138">
    <w:p w14:paraId="4B5373C8" w14:textId="079E97E4" w:rsidR="000C7C76" w:rsidRPr="00CD4311" w:rsidRDefault="000C7C76" w:rsidP="00114953">
      <w:pPr>
        <w:pStyle w:val="FootnoteText"/>
        <w:jc w:val="both"/>
        <w:rPr>
          <w:lang w:val="lv-LV"/>
        </w:rPr>
      </w:pPr>
      <w:r>
        <w:rPr>
          <w:rStyle w:val="FootnoteReference"/>
        </w:rPr>
        <w:footnoteRef/>
      </w:r>
      <w:r>
        <w:t xml:space="preserve"> </w:t>
      </w:r>
      <w:r w:rsidRPr="00CD4311">
        <w:rPr>
          <w:lang w:val="lv-LV"/>
        </w:rPr>
        <w:t xml:space="preserve">Skat.: </w:t>
      </w:r>
      <w:proofErr w:type="spellStart"/>
      <w:r w:rsidRPr="00CD4311">
        <w:rPr>
          <w:lang w:val="lv-LV"/>
        </w:rPr>
        <w:t>Conclusions</w:t>
      </w:r>
      <w:proofErr w:type="spellEnd"/>
      <w:r w:rsidRPr="00CD4311">
        <w:rPr>
          <w:lang w:val="lv-LV"/>
        </w:rPr>
        <w:t xml:space="preserve"> </w:t>
      </w:r>
      <w:proofErr w:type="spellStart"/>
      <w:r w:rsidRPr="00CD4311">
        <w:rPr>
          <w:lang w:val="lv-LV"/>
        </w:rPr>
        <w:t>and</w:t>
      </w:r>
      <w:proofErr w:type="spellEnd"/>
      <w:r w:rsidRPr="00CD4311">
        <w:rPr>
          <w:lang w:val="lv-LV"/>
        </w:rPr>
        <w:t xml:space="preserve"> </w:t>
      </w:r>
      <w:proofErr w:type="spellStart"/>
      <w:r w:rsidRPr="00CD4311">
        <w:rPr>
          <w:lang w:val="lv-LV"/>
        </w:rPr>
        <w:t>R</w:t>
      </w:r>
      <w:r>
        <w:rPr>
          <w:lang w:val="lv-LV"/>
        </w:rPr>
        <w:t>ecommendations</w:t>
      </w:r>
      <w:proofErr w:type="spellEnd"/>
      <w:r>
        <w:rPr>
          <w:lang w:val="lv-LV"/>
        </w:rPr>
        <w:t xml:space="preserve"> </w:t>
      </w:r>
      <w:proofErr w:type="spellStart"/>
      <w:r>
        <w:rPr>
          <w:lang w:val="lv-LV"/>
        </w:rPr>
        <w:t>of</w:t>
      </w:r>
      <w:proofErr w:type="spellEnd"/>
      <w:r>
        <w:rPr>
          <w:lang w:val="lv-LV"/>
        </w:rPr>
        <w:t xml:space="preserve"> </w:t>
      </w:r>
      <w:proofErr w:type="spellStart"/>
      <w:r>
        <w:rPr>
          <w:lang w:val="lv-LV"/>
        </w:rPr>
        <w:t>the</w:t>
      </w:r>
      <w:proofErr w:type="spellEnd"/>
      <w:r>
        <w:rPr>
          <w:lang w:val="lv-LV"/>
        </w:rPr>
        <w:t xml:space="preserve"> </w:t>
      </w:r>
      <w:proofErr w:type="spellStart"/>
      <w:r>
        <w:rPr>
          <w:lang w:val="lv-LV"/>
        </w:rPr>
        <w:t>Special</w:t>
      </w:r>
      <w:proofErr w:type="spellEnd"/>
      <w:r>
        <w:rPr>
          <w:lang w:val="lv-LV"/>
        </w:rPr>
        <w:t xml:space="preserve"> </w:t>
      </w:r>
      <w:proofErr w:type="spellStart"/>
      <w:r>
        <w:rPr>
          <w:lang w:val="lv-LV"/>
        </w:rPr>
        <w:t>Co</w:t>
      </w:r>
      <w:r w:rsidRPr="00CD4311">
        <w:rPr>
          <w:lang w:val="lv-LV"/>
        </w:rPr>
        <w:t>mmission</w:t>
      </w:r>
      <w:proofErr w:type="spellEnd"/>
      <w:r w:rsidRPr="00CD4311">
        <w:rPr>
          <w:lang w:val="lv-LV"/>
        </w:rPr>
        <w:t xml:space="preserve"> </w:t>
      </w:r>
      <w:proofErr w:type="spellStart"/>
      <w:r w:rsidRPr="00CD4311">
        <w:rPr>
          <w:lang w:val="lv-LV"/>
        </w:rPr>
        <w:t>on</w:t>
      </w:r>
      <w:proofErr w:type="spellEnd"/>
      <w:r w:rsidRPr="00CD4311">
        <w:rPr>
          <w:lang w:val="lv-LV"/>
        </w:rPr>
        <w:t xml:space="preserve"> </w:t>
      </w:r>
      <w:proofErr w:type="spellStart"/>
      <w:r w:rsidRPr="00CD4311">
        <w:rPr>
          <w:lang w:val="lv-LV"/>
        </w:rPr>
        <w:t>the</w:t>
      </w:r>
      <w:proofErr w:type="spellEnd"/>
      <w:r w:rsidRPr="00CD4311">
        <w:rPr>
          <w:lang w:val="lv-LV"/>
        </w:rPr>
        <w:t xml:space="preserve"> </w:t>
      </w:r>
      <w:proofErr w:type="spellStart"/>
      <w:r w:rsidRPr="00CD4311">
        <w:rPr>
          <w:lang w:val="lv-LV"/>
        </w:rPr>
        <w:t>Practical</w:t>
      </w:r>
      <w:proofErr w:type="spellEnd"/>
      <w:r w:rsidRPr="00CD4311">
        <w:rPr>
          <w:lang w:val="lv-LV"/>
        </w:rPr>
        <w:t xml:space="preserve"> </w:t>
      </w:r>
      <w:proofErr w:type="spellStart"/>
      <w:r w:rsidRPr="00CD4311">
        <w:rPr>
          <w:lang w:val="lv-LV"/>
        </w:rPr>
        <w:t>Operation</w:t>
      </w:r>
      <w:proofErr w:type="spellEnd"/>
      <w:r w:rsidRPr="00CD4311">
        <w:rPr>
          <w:lang w:val="lv-LV"/>
        </w:rPr>
        <w:t xml:space="preserve"> </w:t>
      </w:r>
      <w:proofErr w:type="spellStart"/>
      <w:r w:rsidRPr="00CD4311">
        <w:rPr>
          <w:lang w:val="lv-LV"/>
        </w:rPr>
        <w:t>of</w:t>
      </w:r>
      <w:proofErr w:type="spellEnd"/>
      <w:r w:rsidRPr="00CD4311">
        <w:rPr>
          <w:lang w:val="lv-LV"/>
        </w:rPr>
        <w:t xml:space="preserve"> </w:t>
      </w:r>
      <w:proofErr w:type="spellStart"/>
      <w:r w:rsidRPr="00CD4311">
        <w:rPr>
          <w:lang w:val="lv-LV"/>
        </w:rPr>
        <w:t>the</w:t>
      </w:r>
      <w:proofErr w:type="spellEnd"/>
      <w:r w:rsidRPr="00CD4311">
        <w:rPr>
          <w:lang w:val="lv-LV"/>
        </w:rPr>
        <w:t xml:space="preserve"> </w:t>
      </w:r>
      <w:proofErr w:type="spellStart"/>
      <w:r w:rsidRPr="00CD4311">
        <w:rPr>
          <w:lang w:val="lv-LV"/>
        </w:rPr>
        <w:t>Apostille</w:t>
      </w:r>
      <w:proofErr w:type="spellEnd"/>
      <w:r w:rsidRPr="00CD4311">
        <w:rPr>
          <w:lang w:val="lv-LV"/>
        </w:rPr>
        <w:t xml:space="preserve"> </w:t>
      </w:r>
      <w:proofErr w:type="spellStart"/>
      <w:r w:rsidRPr="00CD4311">
        <w:rPr>
          <w:lang w:val="lv-LV"/>
        </w:rPr>
        <w:t>Convention</w:t>
      </w:r>
      <w:proofErr w:type="spellEnd"/>
      <w:r w:rsidRPr="00CD4311">
        <w:rPr>
          <w:lang w:val="lv-LV"/>
        </w:rPr>
        <w:t xml:space="preserve"> (2-4 </w:t>
      </w:r>
      <w:proofErr w:type="spellStart"/>
      <w:r w:rsidRPr="00CD4311">
        <w:rPr>
          <w:lang w:val="lv-LV"/>
        </w:rPr>
        <w:t>November</w:t>
      </w:r>
      <w:proofErr w:type="spellEnd"/>
      <w:r w:rsidRPr="00CD4311">
        <w:rPr>
          <w:lang w:val="lv-LV"/>
        </w:rPr>
        <w:t xml:space="preserve"> 2016), p.2. Pieejams šeit: </w:t>
      </w:r>
      <w:hyperlink r:id="rId13" w:history="1">
        <w:r w:rsidRPr="00CD4311">
          <w:rPr>
            <w:rStyle w:val="Hyperlink"/>
            <w:color w:val="auto"/>
            <w:lang w:val="lv-LV"/>
          </w:rPr>
          <w:t>www.hcch.net</w:t>
        </w:r>
      </w:hyperlink>
      <w:r w:rsidRPr="00CD4311">
        <w:rPr>
          <w:lang w:val="lv-LV"/>
        </w:rPr>
        <w:t xml:space="preserve"> [aplūkots 2017.gada 14.martā].</w:t>
      </w:r>
    </w:p>
  </w:footnote>
  <w:footnote w:id="139">
    <w:p w14:paraId="5B8DABC7" w14:textId="77777777" w:rsidR="000C7C76" w:rsidRPr="000C7C76" w:rsidRDefault="000C7C76" w:rsidP="00114953">
      <w:pPr>
        <w:pStyle w:val="FootnoteText"/>
        <w:jc w:val="both"/>
      </w:pPr>
      <w:r w:rsidRPr="00CD4311">
        <w:rPr>
          <w:rStyle w:val="FootnoteReference"/>
        </w:rPr>
        <w:footnoteRef/>
      </w:r>
      <w:r w:rsidRPr="00CD4311">
        <w:t xml:space="preserve"> </w:t>
      </w:r>
      <w:proofErr w:type="spellStart"/>
      <w:r w:rsidRPr="00CD4311">
        <w:t>Līgums</w:t>
      </w:r>
      <w:proofErr w:type="spellEnd"/>
      <w:r w:rsidRPr="00CD4311">
        <w:t xml:space="preserve"> </w:t>
      </w:r>
      <w:proofErr w:type="spellStart"/>
      <w:r w:rsidRPr="00CD4311">
        <w:t>starp</w:t>
      </w:r>
      <w:proofErr w:type="spellEnd"/>
      <w:r w:rsidRPr="00CD4311">
        <w:t xml:space="preserve"> Latvijas </w:t>
      </w:r>
      <w:proofErr w:type="spellStart"/>
      <w:r w:rsidRPr="00CD4311">
        <w:t>Republiku</w:t>
      </w:r>
      <w:proofErr w:type="spellEnd"/>
      <w:r w:rsidRPr="00CD4311">
        <w:t xml:space="preserve"> </w:t>
      </w:r>
      <w:proofErr w:type="spellStart"/>
      <w:r w:rsidRPr="00CD4311">
        <w:t>un</w:t>
      </w:r>
      <w:proofErr w:type="spellEnd"/>
      <w:r w:rsidRPr="00CD4311">
        <w:t xml:space="preserve"> </w:t>
      </w:r>
      <w:proofErr w:type="spellStart"/>
      <w:r w:rsidRPr="00CD4311">
        <w:t>Uzbekistānas</w:t>
      </w:r>
      <w:proofErr w:type="spellEnd"/>
      <w:r w:rsidRPr="00CD4311">
        <w:t xml:space="preserve"> </w:t>
      </w:r>
      <w:proofErr w:type="spellStart"/>
      <w:r w:rsidRPr="00CD4311">
        <w:t>Republiku</w:t>
      </w:r>
      <w:proofErr w:type="spellEnd"/>
      <w:r w:rsidRPr="00CD4311">
        <w:t xml:space="preserve"> par </w:t>
      </w:r>
      <w:proofErr w:type="spellStart"/>
      <w:r w:rsidRPr="00CD4311">
        <w:t>tiesisko</w:t>
      </w:r>
      <w:proofErr w:type="spellEnd"/>
      <w:r w:rsidRPr="00CD4311">
        <w:t xml:space="preserve"> </w:t>
      </w:r>
      <w:proofErr w:type="spellStart"/>
      <w:r w:rsidRPr="00CD4311">
        <w:t>palīdzību</w:t>
      </w:r>
      <w:proofErr w:type="spellEnd"/>
      <w:r w:rsidRPr="00CD4311">
        <w:t xml:space="preserve"> </w:t>
      </w:r>
      <w:proofErr w:type="spellStart"/>
      <w:r w:rsidRPr="00CD4311">
        <w:t>un</w:t>
      </w:r>
      <w:proofErr w:type="spellEnd"/>
      <w:r w:rsidRPr="00CD4311">
        <w:t xml:space="preserve"> </w:t>
      </w:r>
      <w:proofErr w:type="spellStart"/>
      <w:r w:rsidRPr="00CD4311">
        <w:t>tiesiskajām</w:t>
      </w:r>
      <w:proofErr w:type="spellEnd"/>
      <w:r w:rsidRPr="00CD4311">
        <w:t xml:space="preserve"> </w:t>
      </w:r>
      <w:proofErr w:type="spellStart"/>
      <w:r w:rsidRPr="00CD4311">
        <w:t>attiecībām</w:t>
      </w:r>
      <w:proofErr w:type="spellEnd"/>
      <w:r w:rsidRPr="005F6CA9">
        <w:t xml:space="preserve"> </w:t>
      </w:r>
      <w:proofErr w:type="spellStart"/>
      <w:r w:rsidRPr="005F6CA9">
        <w:t>civilajās</w:t>
      </w:r>
      <w:proofErr w:type="spellEnd"/>
      <w:r w:rsidRPr="005F6CA9">
        <w:t xml:space="preserve">, </w:t>
      </w:r>
      <w:proofErr w:type="spellStart"/>
      <w:r w:rsidRPr="005F6CA9">
        <w:t>ģimenes</w:t>
      </w:r>
      <w:proofErr w:type="spellEnd"/>
      <w:r w:rsidRPr="005F6CA9">
        <w:t xml:space="preserve">, </w:t>
      </w:r>
      <w:proofErr w:type="spellStart"/>
      <w:r w:rsidRPr="005F6CA9">
        <w:t>darba</w:t>
      </w:r>
      <w:proofErr w:type="spellEnd"/>
      <w:r w:rsidRPr="005F6CA9">
        <w:t xml:space="preserve"> </w:t>
      </w:r>
      <w:proofErr w:type="spellStart"/>
      <w:r w:rsidRPr="005F6CA9">
        <w:t>un</w:t>
      </w:r>
      <w:proofErr w:type="spellEnd"/>
      <w:r w:rsidRPr="005F6CA9">
        <w:t xml:space="preserve"> </w:t>
      </w:r>
      <w:proofErr w:type="spellStart"/>
      <w:r w:rsidRPr="005F6CA9">
        <w:t>krimināllietās</w:t>
      </w:r>
      <w:proofErr w:type="spellEnd"/>
      <w:r w:rsidRPr="005F6CA9">
        <w:t xml:space="preserve">: LR </w:t>
      </w:r>
      <w:proofErr w:type="spellStart"/>
      <w:r w:rsidRPr="005F6CA9">
        <w:t>starptautisks</w:t>
      </w:r>
      <w:proofErr w:type="spellEnd"/>
      <w:r w:rsidRPr="005F6CA9">
        <w:t xml:space="preserve"> </w:t>
      </w:r>
      <w:proofErr w:type="spellStart"/>
      <w:r w:rsidRPr="005F6CA9">
        <w:t>līgums</w:t>
      </w:r>
      <w:proofErr w:type="spellEnd"/>
      <w:r w:rsidRPr="005F6CA9">
        <w:t xml:space="preserve">. </w:t>
      </w:r>
      <w:proofErr w:type="spellStart"/>
      <w:r w:rsidRPr="005F6CA9">
        <w:t>Ziņotājs</w:t>
      </w:r>
      <w:proofErr w:type="spellEnd"/>
      <w:r w:rsidRPr="005F6CA9">
        <w:t xml:space="preserve"> </w:t>
      </w:r>
      <w:proofErr w:type="spellStart"/>
      <w:r w:rsidRPr="005F6CA9">
        <w:t>nr.</w:t>
      </w:r>
      <w:proofErr w:type="spellEnd"/>
      <w:r w:rsidRPr="005F6CA9">
        <w:t> 20, 1996. 24.oktobris.</w:t>
      </w:r>
    </w:p>
  </w:footnote>
  <w:footnote w:id="140">
    <w:p w14:paraId="6503CF40" w14:textId="77777777" w:rsidR="000C7C76" w:rsidRPr="00FD1D1F" w:rsidRDefault="000C7C76" w:rsidP="00114953">
      <w:pPr>
        <w:pStyle w:val="FootnoteText"/>
        <w:jc w:val="both"/>
        <w:rPr>
          <w:lang w:val="lv-LV"/>
        </w:rPr>
      </w:pPr>
      <w:r>
        <w:rPr>
          <w:rStyle w:val="FootnoteReference"/>
        </w:rPr>
        <w:footnoteRef/>
      </w:r>
      <w:r>
        <w:t xml:space="preserve"> </w:t>
      </w:r>
      <w:proofErr w:type="spellStart"/>
      <w:r>
        <w:rPr>
          <w:rFonts w:asciiTheme="majorBidi" w:hAnsiTheme="majorBidi" w:cstheme="majorBidi"/>
        </w:rPr>
        <w:t>Eiropas</w:t>
      </w:r>
      <w:proofErr w:type="spellEnd"/>
      <w:r>
        <w:rPr>
          <w:rFonts w:asciiTheme="majorBidi" w:hAnsiTheme="majorBidi" w:cstheme="majorBidi"/>
        </w:rPr>
        <w:t xml:space="preserve"> </w:t>
      </w:r>
      <w:proofErr w:type="spellStart"/>
      <w:r>
        <w:rPr>
          <w:rFonts w:asciiTheme="majorBidi" w:hAnsiTheme="majorBidi" w:cstheme="majorBidi"/>
        </w:rPr>
        <w:t>Parlamenta</w:t>
      </w:r>
      <w:proofErr w:type="spellEnd"/>
      <w:r>
        <w:rPr>
          <w:rFonts w:asciiTheme="majorBidi" w:hAnsiTheme="majorBidi" w:cstheme="majorBidi"/>
        </w:rPr>
        <w:t xml:space="preserve"> </w:t>
      </w:r>
      <w:proofErr w:type="spellStart"/>
      <w:r>
        <w:rPr>
          <w:rFonts w:asciiTheme="majorBidi" w:hAnsiTheme="majorBidi" w:cstheme="majorBidi"/>
        </w:rPr>
        <w:t>un</w:t>
      </w:r>
      <w:proofErr w:type="spellEnd"/>
      <w:r>
        <w:rPr>
          <w:rFonts w:asciiTheme="majorBidi" w:hAnsiTheme="majorBidi" w:cstheme="majorBidi"/>
        </w:rPr>
        <w:t xml:space="preserve"> </w:t>
      </w:r>
      <w:proofErr w:type="spellStart"/>
      <w:r>
        <w:rPr>
          <w:rFonts w:asciiTheme="majorBidi" w:hAnsiTheme="majorBidi" w:cstheme="majorBidi"/>
        </w:rPr>
        <w:t>Padomes</w:t>
      </w:r>
      <w:proofErr w:type="spellEnd"/>
      <w:r>
        <w:rPr>
          <w:rFonts w:asciiTheme="majorBidi" w:hAnsiTheme="majorBidi" w:cstheme="majorBidi"/>
        </w:rPr>
        <w:t xml:space="preserve"> </w:t>
      </w:r>
      <w:r w:rsidRPr="00F136EA">
        <w:rPr>
          <w:rFonts w:asciiTheme="majorBidi" w:hAnsiTheme="majorBidi" w:cstheme="majorBidi"/>
        </w:rPr>
        <w:t>Regulas (ES) Nr. 1215/2012</w:t>
      </w:r>
      <w:r>
        <w:rPr>
          <w:rFonts w:asciiTheme="majorBidi" w:hAnsiTheme="majorBidi" w:cstheme="majorBidi"/>
        </w:rPr>
        <w:t xml:space="preserve"> (2012.gada 12.decembris) par </w:t>
      </w:r>
      <w:proofErr w:type="spellStart"/>
      <w:r>
        <w:rPr>
          <w:rFonts w:asciiTheme="majorBidi" w:hAnsiTheme="majorBidi" w:cstheme="majorBidi"/>
        </w:rPr>
        <w:t>jurisdikciju</w:t>
      </w:r>
      <w:proofErr w:type="spellEnd"/>
      <w:r>
        <w:rPr>
          <w:rFonts w:asciiTheme="majorBidi" w:hAnsiTheme="majorBidi" w:cstheme="majorBidi"/>
        </w:rPr>
        <w:t xml:space="preserve"> </w:t>
      </w:r>
      <w:proofErr w:type="spellStart"/>
      <w:r>
        <w:rPr>
          <w:rFonts w:asciiTheme="majorBidi" w:hAnsiTheme="majorBidi" w:cstheme="majorBidi"/>
        </w:rPr>
        <w:t>un</w:t>
      </w:r>
      <w:proofErr w:type="spellEnd"/>
      <w:r>
        <w:rPr>
          <w:rFonts w:asciiTheme="majorBidi" w:hAnsiTheme="majorBidi" w:cstheme="majorBidi"/>
        </w:rPr>
        <w:t xml:space="preserve"> </w:t>
      </w:r>
      <w:proofErr w:type="spellStart"/>
      <w:r>
        <w:rPr>
          <w:rFonts w:asciiTheme="majorBidi" w:hAnsiTheme="majorBidi" w:cstheme="majorBidi"/>
        </w:rPr>
        <w:t>spriedumu</w:t>
      </w:r>
      <w:proofErr w:type="spellEnd"/>
      <w:r>
        <w:rPr>
          <w:rFonts w:asciiTheme="majorBidi" w:hAnsiTheme="majorBidi" w:cstheme="majorBidi"/>
        </w:rPr>
        <w:t xml:space="preserve"> </w:t>
      </w:r>
      <w:proofErr w:type="spellStart"/>
      <w:r>
        <w:rPr>
          <w:rFonts w:asciiTheme="majorBidi" w:hAnsiTheme="majorBidi" w:cstheme="majorBidi"/>
        </w:rPr>
        <w:t>atzīšanu</w:t>
      </w:r>
      <w:proofErr w:type="spellEnd"/>
      <w:r>
        <w:rPr>
          <w:rFonts w:asciiTheme="majorBidi" w:hAnsiTheme="majorBidi" w:cstheme="majorBidi"/>
        </w:rPr>
        <w:t xml:space="preserve"> </w:t>
      </w:r>
      <w:proofErr w:type="spellStart"/>
      <w:r>
        <w:rPr>
          <w:rFonts w:asciiTheme="majorBidi" w:hAnsiTheme="majorBidi" w:cstheme="majorBidi"/>
        </w:rPr>
        <w:t>un</w:t>
      </w:r>
      <w:proofErr w:type="spellEnd"/>
      <w:r>
        <w:rPr>
          <w:rFonts w:asciiTheme="majorBidi" w:hAnsiTheme="majorBidi" w:cstheme="majorBidi"/>
        </w:rPr>
        <w:t xml:space="preserve"> </w:t>
      </w:r>
      <w:proofErr w:type="spellStart"/>
      <w:r>
        <w:rPr>
          <w:rFonts w:asciiTheme="majorBidi" w:hAnsiTheme="majorBidi" w:cstheme="majorBidi"/>
        </w:rPr>
        <w:t>izpildi</w:t>
      </w:r>
      <w:proofErr w:type="spellEnd"/>
      <w:r>
        <w:rPr>
          <w:rFonts w:asciiTheme="majorBidi" w:hAnsiTheme="majorBidi" w:cstheme="majorBidi"/>
        </w:rPr>
        <w:t xml:space="preserve"> </w:t>
      </w:r>
      <w:proofErr w:type="spellStart"/>
      <w:r>
        <w:rPr>
          <w:rFonts w:asciiTheme="majorBidi" w:hAnsiTheme="majorBidi" w:cstheme="majorBidi"/>
        </w:rPr>
        <w:t>civillietās</w:t>
      </w:r>
      <w:proofErr w:type="spellEnd"/>
      <w:r>
        <w:rPr>
          <w:rFonts w:asciiTheme="majorBidi" w:hAnsiTheme="majorBidi" w:cstheme="majorBidi"/>
        </w:rPr>
        <w:t xml:space="preserve"> </w:t>
      </w:r>
      <w:proofErr w:type="spellStart"/>
      <w:r>
        <w:rPr>
          <w:rFonts w:asciiTheme="majorBidi" w:hAnsiTheme="majorBidi" w:cstheme="majorBidi"/>
        </w:rPr>
        <w:t>un</w:t>
      </w:r>
      <w:proofErr w:type="spellEnd"/>
      <w:r>
        <w:rPr>
          <w:rFonts w:asciiTheme="majorBidi" w:hAnsiTheme="majorBidi" w:cstheme="majorBidi"/>
        </w:rPr>
        <w:t xml:space="preserve"> </w:t>
      </w:r>
      <w:proofErr w:type="spellStart"/>
      <w:r>
        <w:rPr>
          <w:rFonts w:asciiTheme="majorBidi" w:hAnsiTheme="majorBidi" w:cstheme="majorBidi"/>
        </w:rPr>
        <w:t>komerclietās</w:t>
      </w:r>
      <w:proofErr w:type="spellEnd"/>
      <w:r>
        <w:rPr>
          <w:rFonts w:asciiTheme="majorBidi" w:hAnsiTheme="majorBidi" w:cstheme="majorBidi"/>
        </w:rPr>
        <w:t xml:space="preserve">. OV L 351, 20.12.2012., 1.-32. </w:t>
      </w:r>
      <w:proofErr w:type="spellStart"/>
      <w:r>
        <w:rPr>
          <w:rFonts w:asciiTheme="majorBidi" w:hAnsiTheme="majorBidi" w:cstheme="majorBidi"/>
        </w:rPr>
        <w:t>lpp</w:t>
      </w:r>
      <w:proofErr w:type="spellEnd"/>
      <w:r>
        <w:rPr>
          <w:rFonts w:asciiTheme="majorBidi" w:hAnsiTheme="majorBidi" w:cstheme="majorBidi"/>
        </w:rPr>
        <w:t>.</w:t>
      </w:r>
    </w:p>
  </w:footnote>
  <w:footnote w:id="141">
    <w:p w14:paraId="5E32C1E9" w14:textId="77777777" w:rsidR="000C7C76" w:rsidRPr="00FD1D1F" w:rsidRDefault="000C7C76" w:rsidP="00114953">
      <w:pPr>
        <w:pStyle w:val="FootnoteText"/>
        <w:jc w:val="both"/>
        <w:rPr>
          <w:lang w:val="lv-LV"/>
        </w:rPr>
      </w:pPr>
      <w:r>
        <w:rPr>
          <w:rStyle w:val="FootnoteReference"/>
        </w:rPr>
        <w:footnoteRef/>
      </w:r>
      <w:r>
        <w:t xml:space="preserve"> </w:t>
      </w:r>
      <w:proofErr w:type="spellStart"/>
      <w:r w:rsidRPr="00FD1D1F">
        <w:rPr>
          <w:rFonts w:asciiTheme="majorBidi" w:hAnsiTheme="majorBidi" w:cstheme="majorBidi"/>
        </w:rPr>
        <w:t>Padomes</w:t>
      </w:r>
      <w:proofErr w:type="spellEnd"/>
      <w:r w:rsidRPr="00FD1D1F">
        <w:rPr>
          <w:rFonts w:asciiTheme="majorBidi" w:hAnsiTheme="majorBidi" w:cstheme="majorBidi"/>
        </w:rPr>
        <w:t xml:space="preserve"> Regulas (EK) Nr. 4/2009 (2008.gada 18.decembris) par </w:t>
      </w:r>
      <w:proofErr w:type="spellStart"/>
      <w:r w:rsidRPr="00FD1D1F">
        <w:rPr>
          <w:rFonts w:asciiTheme="majorBidi" w:hAnsiTheme="majorBidi" w:cstheme="majorBidi"/>
        </w:rPr>
        <w:t>jurisdikciju</w:t>
      </w:r>
      <w:proofErr w:type="spellEnd"/>
      <w:r w:rsidRPr="00FD1D1F">
        <w:rPr>
          <w:rFonts w:asciiTheme="majorBidi" w:hAnsiTheme="majorBidi" w:cstheme="majorBidi"/>
        </w:rPr>
        <w:t xml:space="preserve">, </w:t>
      </w:r>
      <w:proofErr w:type="spellStart"/>
      <w:r w:rsidRPr="00FD1D1F">
        <w:rPr>
          <w:rFonts w:asciiTheme="majorBidi" w:hAnsiTheme="majorBidi" w:cstheme="majorBidi"/>
        </w:rPr>
        <w:t>piemērojamiem</w:t>
      </w:r>
      <w:proofErr w:type="spellEnd"/>
      <w:r w:rsidRPr="00FD1D1F">
        <w:rPr>
          <w:rFonts w:asciiTheme="majorBidi" w:hAnsiTheme="majorBidi" w:cstheme="majorBidi"/>
        </w:rPr>
        <w:t xml:space="preserve"> </w:t>
      </w:r>
      <w:proofErr w:type="spellStart"/>
      <w:r w:rsidRPr="00FD1D1F">
        <w:rPr>
          <w:rFonts w:asciiTheme="majorBidi" w:hAnsiTheme="majorBidi" w:cstheme="majorBidi"/>
        </w:rPr>
        <w:t>tiesību</w:t>
      </w:r>
      <w:proofErr w:type="spellEnd"/>
      <w:r w:rsidRPr="00FD1D1F">
        <w:rPr>
          <w:rFonts w:asciiTheme="majorBidi" w:hAnsiTheme="majorBidi" w:cstheme="majorBidi"/>
        </w:rPr>
        <w:t xml:space="preserve"> </w:t>
      </w:r>
      <w:proofErr w:type="spellStart"/>
      <w:r w:rsidRPr="00FD1D1F">
        <w:rPr>
          <w:rFonts w:asciiTheme="majorBidi" w:hAnsiTheme="majorBidi" w:cstheme="majorBidi"/>
        </w:rPr>
        <w:t>aktiem</w:t>
      </w:r>
      <w:proofErr w:type="spellEnd"/>
      <w:r w:rsidRPr="00FD1D1F">
        <w:rPr>
          <w:rFonts w:asciiTheme="majorBidi" w:hAnsiTheme="majorBidi" w:cstheme="majorBidi"/>
        </w:rPr>
        <w:t xml:space="preserve">, </w:t>
      </w:r>
      <w:proofErr w:type="spellStart"/>
      <w:r w:rsidRPr="00FD1D1F">
        <w:rPr>
          <w:rFonts w:asciiTheme="majorBidi" w:hAnsiTheme="majorBidi" w:cstheme="majorBidi"/>
        </w:rPr>
        <w:t>nolēmumu</w:t>
      </w:r>
      <w:proofErr w:type="spellEnd"/>
      <w:r w:rsidRPr="00FD1D1F">
        <w:rPr>
          <w:rFonts w:asciiTheme="majorBidi" w:hAnsiTheme="majorBidi" w:cstheme="majorBidi"/>
        </w:rPr>
        <w:t xml:space="preserve"> </w:t>
      </w:r>
      <w:proofErr w:type="spellStart"/>
      <w:r w:rsidRPr="00FD1D1F">
        <w:rPr>
          <w:rFonts w:asciiTheme="majorBidi" w:hAnsiTheme="majorBidi" w:cstheme="majorBidi"/>
        </w:rPr>
        <w:t>atzīšanu</w:t>
      </w:r>
      <w:proofErr w:type="spellEnd"/>
      <w:r w:rsidRPr="00FD1D1F">
        <w:rPr>
          <w:rFonts w:asciiTheme="majorBidi" w:hAnsiTheme="majorBidi" w:cstheme="majorBidi"/>
        </w:rPr>
        <w:t xml:space="preserve"> </w:t>
      </w:r>
      <w:proofErr w:type="spellStart"/>
      <w:r w:rsidRPr="00FD1D1F">
        <w:rPr>
          <w:rFonts w:asciiTheme="majorBidi" w:hAnsiTheme="majorBidi" w:cstheme="majorBidi"/>
        </w:rPr>
        <w:t>un</w:t>
      </w:r>
      <w:proofErr w:type="spellEnd"/>
      <w:r w:rsidRPr="00FD1D1F">
        <w:rPr>
          <w:rFonts w:asciiTheme="majorBidi" w:hAnsiTheme="majorBidi" w:cstheme="majorBidi"/>
        </w:rPr>
        <w:t xml:space="preserve"> </w:t>
      </w:r>
      <w:proofErr w:type="spellStart"/>
      <w:r w:rsidRPr="00FD1D1F">
        <w:rPr>
          <w:rFonts w:asciiTheme="majorBidi" w:hAnsiTheme="majorBidi" w:cstheme="majorBidi"/>
        </w:rPr>
        <w:t>izpildi</w:t>
      </w:r>
      <w:proofErr w:type="spellEnd"/>
      <w:r w:rsidRPr="00FD1D1F">
        <w:rPr>
          <w:rFonts w:asciiTheme="majorBidi" w:hAnsiTheme="majorBidi" w:cstheme="majorBidi"/>
        </w:rPr>
        <w:t xml:space="preserve"> </w:t>
      </w:r>
      <w:proofErr w:type="spellStart"/>
      <w:r w:rsidRPr="00FD1D1F">
        <w:rPr>
          <w:rFonts w:asciiTheme="majorBidi" w:hAnsiTheme="majorBidi" w:cstheme="majorBidi"/>
        </w:rPr>
        <w:t>un</w:t>
      </w:r>
      <w:proofErr w:type="spellEnd"/>
      <w:r w:rsidRPr="00FD1D1F">
        <w:rPr>
          <w:rFonts w:asciiTheme="majorBidi" w:hAnsiTheme="majorBidi" w:cstheme="majorBidi"/>
        </w:rPr>
        <w:t xml:space="preserve"> </w:t>
      </w:r>
      <w:proofErr w:type="spellStart"/>
      <w:r w:rsidRPr="00FD1D1F">
        <w:rPr>
          <w:rFonts w:asciiTheme="majorBidi" w:hAnsiTheme="majorBidi" w:cstheme="majorBidi"/>
        </w:rPr>
        <w:t>sadarbību</w:t>
      </w:r>
      <w:proofErr w:type="spellEnd"/>
      <w:r w:rsidRPr="00FD1D1F">
        <w:rPr>
          <w:rFonts w:asciiTheme="majorBidi" w:hAnsiTheme="majorBidi" w:cstheme="majorBidi"/>
        </w:rPr>
        <w:t xml:space="preserve"> </w:t>
      </w:r>
      <w:proofErr w:type="spellStart"/>
      <w:r w:rsidRPr="00FD1D1F">
        <w:rPr>
          <w:rFonts w:asciiTheme="majorBidi" w:hAnsiTheme="majorBidi" w:cstheme="majorBidi"/>
        </w:rPr>
        <w:t>uzturēšanas</w:t>
      </w:r>
      <w:proofErr w:type="spellEnd"/>
      <w:r w:rsidRPr="00FD1D1F">
        <w:rPr>
          <w:rFonts w:asciiTheme="majorBidi" w:hAnsiTheme="majorBidi" w:cstheme="majorBidi"/>
        </w:rPr>
        <w:t xml:space="preserve"> </w:t>
      </w:r>
      <w:proofErr w:type="spellStart"/>
      <w:r w:rsidRPr="00FD1D1F">
        <w:rPr>
          <w:rFonts w:asciiTheme="majorBidi" w:hAnsiTheme="majorBidi" w:cstheme="majorBidi"/>
        </w:rPr>
        <w:t>saistību</w:t>
      </w:r>
      <w:proofErr w:type="spellEnd"/>
      <w:r w:rsidRPr="00FD1D1F">
        <w:rPr>
          <w:rFonts w:asciiTheme="majorBidi" w:hAnsiTheme="majorBidi" w:cstheme="majorBidi"/>
        </w:rPr>
        <w:t xml:space="preserve"> </w:t>
      </w:r>
      <w:proofErr w:type="spellStart"/>
      <w:r w:rsidRPr="00FD1D1F">
        <w:rPr>
          <w:rFonts w:asciiTheme="majorBidi" w:hAnsiTheme="majorBidi" w:cstheme="majorBidi"/>
        </w:rPr>
        <w:t>lietās</w:t>
      </w:r>
      <w:proofErr w:type="spellEnd"/>
      <w:r>
        <w:rPr>
          <w:rFonts w:asciiTheme="majorBidi" w:hAnsiTheme="majorBidi" w:cstheme="majorBidi"/>
        </w:rPr>
        <w:t>. OV L 7, 10.01.2009., 1.-79.lpp.</w:t>
      </w:r>
    </w:p>
  </w:footnote>
  <w:footnote w:id="142">
    <w:p w14:paraId="5C45E48E" w14:textId="77777777" w:rsidR="000C7C76" w:rsidRPr="001A5586" w:rsidRDefault="000C7C76" w:rsidP="00114953">
      <w:pPr>
        <w:pStyle w:val="FootnoteText"/>
        <w:jc w:val="both"/>
        <w:rPr>
          <w:lang w:val="lv-LV"/>
        </w:rPr>
      </w:pPr>
      <w:r>
        <w:rPr>
          <w:rStyle w:val="FootnoteReference"/>
        </w:rPr>
        <w:footnoteRef/>
      </w:r>
      <w:r>
        <w:t xml:space="preserve"> </w:t>
      </w:r>
      <w:proofErr w:type="spellStart"/>
      <w:r>
        <w:rPr>
          <w:rFonts w:asciiTheme="majorBidi" w:hAnsiTheme="majorBidi" w:cstheme="majorBidi"/>
        </w:rPr>
        <w:t>Eiropas</w:t>
      </w:r>
      <w:proofErr w:type="spellEnd"/>
      <w:r>
        <w:rPr>
          <w:rFonts w:asciiTheme="majorBidi" w:hAnsiTheme="majorBidi" w:cstheme="majorBidi"/>
        </w:rPr>
        <w:t xml:space="preserve"> </w:t>
      </w:r>
      <w:proofErr w:type="spellStart"/>
      <w:r>
        <w:rPr>
          <w:rFonts w:asciiTheme="majorBidi" w:hAnsiTheme="majorBidi" w:cstheme="majorBidi"/>
        </w:rPr>
        <w:t>Parlamenta</w:t>
      </w:r>
      <w:proofErr w:type="spellEnd"/>
      <w:r>
        <w:rPr>
          <w:rFonts w:asciiTheme="majorBidi" w:hAnsiTheme="majorBidi" w:cstheme="majorBidi"/>
        </w:rPr>
        <w:t xml:space="preserve"> </w:t>
      </w:r>
      <w:proofErr w:type="spellStart"/>
      <w:r>
        <w:rPr>
          <w:rFonts w:asciiTheme="majorBidi" w:hAnsiTheme="majorBidi" w:cstheme="majorBidi"/>
        </w:rPr>
        <w:t>un</w:t>
      </w:r>
      <w:proofErr w:type="spellEnd"/>
      <w:r>
        <w:rPr>
          <w:rFonts w:asciiTheme="majorBidi" w:hAnsiTheme="majorBidi" w:cstheme="majorBidi"/>
        </w:rPr>
        <w:t xml:space="preserve"> </w:t>
      </w:r>
      <w:proofErr w:type="spellStart"/>
      <w:r>
        <w:rPr>
          <w:rFonts w:asciiTheme="majorBidi" w:hAnsiTheme="majorBidi" w:cstheme="majorBidi"/>
        </w:rPr>
        <w:t>Padomes</w:t>
      </w:r>
      <w:proofErr w:type="spellEnd"/>
      <w:r>
        <w:rPr>
          <w:rFonts w:asciiTheme="majorBidi" w:hAnsiTheme="majorBidi" w:cstheme="majorBidi"/>
        </w:rPr>
        <w:t xml:space="preserve"> </w:t>
      </w:r>
      <w:r w:rsidRPr="00F136EA">
        <w:rPr>
          <w:rFonts w:asciiTheme="majorBidi" w:hAnsiTheme="majorBidi" w:cstheme="majorBidi"/>
        </w:rPr>
        <w:t>Regulas (ES) Nr. </w:t>
      </w:r>
      <w:r>
        <w:rPr>
          <w:rFonts w:asciiTheme="majorBidi" w:hAnsiTheme="majorBidi" w:cstheme="majorBidi"/>
        </w:rPr>
        <w:t xml:space="preserve">650/2012 (2012.gada 4.jūlijs) </w:t>
      </w:r>
      <w:r w:rsidRPr="00FD1D1F">
        <w:rPr>
          <w:rFonts w:asciiTheme="majorBidi" w:hAnsiTheme="majorBidi" w:cstheme="majorBidi"/>
        </w:rPr>
        <w:t xml:space="preserve">par </w:t>
      </w:r>
      <w:proofErr w:type="spellStart"/>
      <w:r w:rsidRPr="00FD1D1F">
        <w:rPr>
          <w:rFonts w:asciiTheme="majorBidi" w:hAnsiTheme="majorBidi" w:cstheme="majorBidi"/>
        </w:rPr>
        <w:t>jurisdikciju</w:t>
      </w:r>
      <w:proofErr w:type="spellEnd"/>
      <w:r w:rsidRPr="00FD1D1F">
        <w:rPr>
          <w:rFonts w:asciiTheme="majorBidi" w:hAnsiTheme="majorBidi" w:cstheme="majorBidi"/>
        </w:rPr>
        <w:t xml:space="preserve">, </w:t>
      </w:r>
      <w:proofErr w:type="spellStart"/>
      <w:r w:rsidRPr="00FD1D1F">
        <w:rPr>
          <w:rFonts w:asciiTheme="majorBidi" w:hAnsiTheme="majorBidi" w:cstheme="majorBidi"/>
        </w:rPr>
        <w:t>piemērojamiem</w:t>
      </w:r>
      <w:proofErr w:type="spellEnd"/>
      <w:r w:rsidRPr="00FD1D1F">
        <w:rPr>
          <w:rFonts w:asciiTheme="majorBidi" w:hAnsiTheme="majorBidi" w:cstheme="majorBidi"/>
        </w:rPr>
        <w:t xml:space="preserve"> </w:t>
      </w:r>
      <w:proofErr w:type="spellStart"/>
      <w:r w:rsidRPr="00FD1D1F">
        <w:rPr>
          <w:rFonts w:asciiTheme="majorBidi" w:hAnsiTheme="majorBidi" w:cstheme="majorBidi"/>
        </w:rPr>
        <w:t>tiesību</w:t>
      </w:r>
      <w:proofErr w:type="spellEnd"/>
      <w:r w:rsidRPr="00FD1D1F">
        <w:rPr>
          <w:rFonts w:asciiTheme="majorBidi" w:hAnsiTheme="majorBidi" w:cstheme="majorBidi"/>
        </w:rPr>
        <w:t xml:space="preserve"> </w:t>
      </w:r>
      <w:proofErr w:type="spellStart"/>
      <w:r w:rsidRPr="00FD1D1F">
        <w:rPr>
          <w:rFonts w:asciiTheme="majorBidi" w:hAnsiTheme="majorBidi" w:cstheme="majorBidi"/>
        </w:rPr>
        <w:t>aktiem</w:t>
      </w:r>
      <w:proofErr w:type="spellEnd"/>
      <w:r w:rsidRPr="00FD1D1F">
        <w:rPr>
          <w:rFonts w:asciiTheme="majorBidi" w:hAnsiTheme="majorBidi" w:cstheme="majorBidi"/>
        </w:rPr>
        <w:t xml:space="preserve">, </w:t>
      </w:r>
      <w:proofErr w:type="spellStart"/>
      <w:r w:rsidRPr="00FD1D1F">
        <w:rPr>
          <w:rFonts w:asciiTheme="majorBidi" w:hAnsiTheme="majorBidi" w:cstheme="majorBidi"/>
        </w:rPr>
        <w:t>nolēmumu</w:t>
      </w:r>
      <w:proofErr w:type="spellEnd"/>
      <w:r w:rsidRPr="00FD1D1F">
        <w:rPr>
          <w:rFonts w:asciiTheme="majorBidi" w:hAnsiTheme="majorBidi" w:cstheme="majorBidi"/>
        </w:rPr>
        <w:t xml:space="preserve"> </w:t>
      </w:r>
      <w:proofErr w:type="spellStart"/>
      <w:r w:rsidRPr="00FD1D1F">
        <w:rPr>
          <w:rFonts w:asciiTheme="majorBidi" w:hAnsiTheme="majorBidi" w:cstheme="majorBidi"/>
        </w:rPr>
        <w:t>atzīšanu</w:t>
      </w:r>
      <w:proofErr w:type="spellEnd"/>
      <w:r w:rsidRPr="00FD1D1F">
        <w:rPr>
          <w:rFonts w:asciiTheme="majorBidi" w:hAnsiTheme="majorBidi" w:cstheme="majorBidi"/>
        </w:rPr>
        <w:t xml:space="preserve"> </w:t>
      </w:r>
      <w:proofErr w:type="spellStart"/>
      <w:r w:rsidRPr="00FD1D1F">
        <w:rPr>
          <w:rFonts w:asciiTheme="majorBidi" w:hAnsiTheme="majorBidi" w:cstheme="majorBidi"/>
        </w:rPr>
        <w:t>un</w:t>
      </w:r>
      <w:proofErr w:type="spellEnd"/>
      <w:r w:rsidRPr="00FD1D1F">
        <w:rPr>
          <w:rFonts w:asciiTheme="majorBidi" w:hAnsiTheme="majorBidi" w:cstheme="majorBidi"/>
        </w:rPr>
        <w:t xml:space="preserve"> </w:t>
      </w:r>
      <w:proofErr w:type="spellStart"/>
      <w:r w:rsidRPr="00FD1D1F">
        <w:rPr>
          <w:rFonts w:asciiTheme="majorBidi" w:hAnsiTheme="majorBidi" w:cstheme="majorBidi"/>
        </w:rPr>
        <w:t>izpildi</w:t>
      </w:r>
      <w:proofErr w:type="spellEnd"/>
      <w:r>
        <w:rPr>
          <w:rFonts w:asciiTheme="majorBidi" w:hAnsiTheme="majorBidi" w:cstheme="majorBidi"/>
        </w:rPr>
        <w:t xml:space="preserve"> </w:t>
      </w:r>
      <w:proofErr w:type="spellStart"/>
      <w:r>
        <w:rPr>
          <w:rFonts w:asciiTheme="majorBidi" w:hAnsiTheme="majorBidi" w:cstheme="majorBidi"/>
        </w:rPr>
        <w:t>un</w:t>
      </w:r>
      <w:proofErr w:type="spellEnd"/>
      <w:r>
        <w:rPr>
          <w:rFonts w:asciiTheme="majorBidi" w:hAnsiTheme="majorBidi" w:cstheme="majorBidi"/>
        </w:rPr>
        <w:t xml:space="preserve"> </w:t>
      </w:r>
      <w:proofErr w:type="spellStart"/>
      <w:r>
        <w:rPr>
          <w:rFonts w:asciiTheme="majorBidi" w:hAnsiTheme="majorBidi" w:cstheme="majorBidi"/>
        </w:rPr>
        <w:t>publisku</w:t>
      </w:r>
      <w:proofErr w:type="spellEnd"/>
      <w:r>
        <w:rPr>
          <w:rFonts w:asciiTheme="majorBidi" w:hAnsiTheme="majorBidi" w:cstheme="majorBidi"/>
        </w:rPr>
        <w:t xml:space="preserve"> </w:t>
      </w:r>
      <w:proofErr w:type="spellStart"/>
      <w:r>
        <w:rPr>
          <w:rFonts w:asciiTheme="majorBidi" w:hAnsiTheme="majorBidi" w:cstheme="majorBidi"/>
        </w:rPr>
        <w:t>aktu</w:t>
      </w:r>
      <w:proofErr w:type="spellEnd"/>
      <w:r>
        <w:rPr>
          <w:rFonts w:asciiTheme="majorBidi" w:hAnsiTheme="majorBidi" w:cstheme="majorBidi"/>
        </w:rPr>
        <w:t xml:space="preserve"> </w:t>
      </w:r>
      <w:proofErr w:type="spellStart"/>
      <w:r>
        <w:rPr>
          <w:rFonts w:asciiTheme="majorBidi" w:hAnsiTheme="majorBidi" w:cstheme="majorBidi"/>
        </w:rPr>
        <w:t>akceptēšanu</w:t>
      </w:r>
      <w:proofErr w:type="spellEnd"/>
      <w:r>
        <w:rPr>
          <w:rFonts w:asciiTheme="majorBidi" w:hAnsiTheme="majorBidi" w:cstheme="majorBidi"/>
        </w:rPr>
        <w:t xml:space="preserve"> </w:t>
      </w:r>
      <w:proofErr w:type="spellStart"/>
      <w:r>
        <w:rPr>
          <w:rFonts w:asciiTheme="majorBidi" w:hAnsiTheme="majorBidi" w:cstheme="majorBidi"/>
        </w:rPr>
        <w:t>un</w:t>
      </w:r>
      <w:proofErr w:type="spellEnd"/>
      <w:r>
        <w:rPr>
          <w:rFonts w:asciiTheme="majorBidi" w:hAnsiTheme="majorBidi" w:cstheme="majorBidi"/>
        </w:rPr>
        <w:t xml:space="preserve"> </w:t>
      </w:r>
      <w:proofErr w:type="spellStart"/>
      <w:r>
        <w:rPr>
          <w:rFonts w:asciiTheme="majorBidi" w:hAnsiTheme="majorBidi" w:cstheme="majorBidi"/>
        </w:rPr>
        <w:t>izpildi</w:t>
      </w:r>
      <w:proofErr w:type="spellEnd"/>
      <w:r>
        <w:rPr>
          <w:rFonts w:asciiTheme="majorBidi" w:hAnsiTheme="majorBidi" w:cstheme="majorBidi"/>
        </w:rPr>
        <w:t xml:space="preserve"> </w:t>
      </w:r>
      <w:proofErr w:type="spellStart"/>
      <w:r>
        <w:rPr>
          <w:rFonts w:asciiTheme="majorBidi" w:hAnsiTheme="majorBidi" w:cstheme="majorBidi"/>
        </w:rPr>
        <w:t>mantošanas</w:t>
      </w:r>
      <w:proofErr w:type="spellEnd"/>
      <w:r>
        <w:rPr>
          <w:rFonts w:asciiTheme="majorBidi" w:hAnsiTheme="majorBidi" w:cstheme="majorBidi"/>
        </w:rPr>
        <w:t xml:space="preserve"> </w:t>
      </w:r>
      <w:proofErr w:type="spellStart"/>
      <w:r>
        <w:rPr>
          <w:rFonts w:asciiTheme="majorBidi" w:hAnsiTheme="majorBidi" w:cstheme="majorBidi"/>
        </w:rPr>
        <w:t>lietās</w:t>
      </w:r>
      <w:proofErr w:type="spellEnd"/>
      <w:r>
        <w:rPr>
          <w:rFonts w:asciiTheme="majorBidi" w:hAnsiTheme="majorBidi" w:cstheme="majorBidi"/>
        </w:rPr>
        <w:t xml:space="preserve"> </w:t>
      </w:r>
      <w:proofErr w:type="spellStart"/>
      <w:r>
        <w:rPr>
          <w:rFonts w:asciiTheme="majorBidi" w:hAnsiTheme="majorBidi" w:cstheme="majorBidi"/>
        </w:rPr>
        <w:t>un</w:t>
      </w:r>
      <w:proofErr w:type="spellEnd"/>
      <w:r>
        <w:rPr>
          <w:rFonts w:asciiTheme="majorBidi" w:hAnsiTheme="majorBidi" w:cstheme="majorBidi"/>
        </w:rPr>
        <w:t xml:space="preserve"> par </w:t>
      </w:r>
      <w:proofErr w:type="spellStart"/>
      <w:r>
        <w:rPr>
          <w:rFonts w:asciiTheme="majorBidi" w:hAnsiTheme="majorBidi" w:cstheme="majorBidi"/>
        </w:rPr>
        <w:t>Eiropas</w:t>
      </w:r>
      <w:proofErr w:type="spellEnd"/>
      <w:r>
        <w:rPr>
          <w:rFonts w:asciiTheme="majorBidi" w:hAnsiTheme="majorBidi" w:cstheme="majorBidi"/>
        </w:rPr>
        <w:t xml:space="preserve"> </w:t>
      </w:r>
      <w:proofErr w:type="spellStart"/>
      <w:r>
        <w:rPr>
          <w:rFonts w:asciiTheme="majorBidi" w:hAnsiTheme="majorBidi" w:cstheme="majorBidi"/>
        </w:rPr>
        <w:t>mantošanas</w:t>
      </w:r>
      <w:proofErr w:type="spellEnd"/>
      <w:r>
        <w:rPr>
          <w:rFonts w:asciiTheme="majorBidi" w:hAnsiTheme="majorBidi" w:cstheme="majorBidi"/>
        </w:rPr>
        <w:t xml:space="preserve"> </w:t>
      </w:r>
      <w:proofErr w:type="spellStart"/>
      <w:r>
        <w:rPr>
          <w:rFonts w:asciiTheme="majorBidi" w:hAnsiTheme="majorBidi" w:cstheme="majorBidi"/>
        </w:rPr>
        <w:t>apliecības</w:t>
      </w:r>
      <w:proofErr w:type="spellEnd"/>
      <w:r>
        <w:rPr>
          <w:rFonts w:asciiTheme="majorBidi" w:hAnsiTheme="majorBidi" w:cstheme="majorBidi"/>
        </w:rPr>
        <w:t xml:space="preserve"> </w:t>
      </w:r>
      <w:proofErr w:type="spellStart"/>
      <w:r>
        <w:rPr>
          <w:rFonts w:asciiTheme="majorBidi" w:hAnsiTheme="majorBidi" w:cstheme="majorBidi"/>
        </w:rPr>
        <w:t>izveidi</w:t>
      </w:r>
      <w:proofErr w:type="spellEnd"/>
      <w:r>
        <w:rPr>
          <w:rFonts w:asciiTheme="majorBidi" w:hAnsiTheme="majorBidi" w:cstheme="majorBidi"/>
        </w:rPr>
        <w:t>. OV L 201, 27.07.2012., 107.-134.lpp.</w:t>
      </w:r>
    </w:p>
  </w:footnote>
  <w:footnote w:id="143">
    <w:p w14:paraId="005DFE6C" w14:textId="77777777" w:rsidR="000C7C76" w:rsidRPr="000C7C76" w:rsidRDefault="000C7C76" w:rsidP="00114953">
      <w:pPr>
        <w:pStyle w:val="FootnoteText"/>
        <w:jc w:val="both"/>
      </w:pPr>
      <w:r w:rsidRPr="005F6CA9">
        <w:rPr>
          <w:rStyle w:val="FootnoteReference"/>
        </w:rPr>
        <w:footnoteRef/>
      </w:r>
      <w:r w:rsidRPr="005F6CA9">
        <w:t xml:space="preserve"> </w:t>
      </w:r>
      <w:r w:rsidRPr="000C7C76">
        <w:t xml:space="preserve">Skat. </w:t>
      </w:r>
      <w:proofErr w:type="spellStart"/>
      <w:proofErr w:type="gramStart"/>
      <w:r w:rsidRPr="000C7C76">
        <w:t>arī</w:t>
      </w:r>
      <w:proofErr w:type="spellEnd"/>
      <w:r w:rsidRPr="000C7C76">
        <w:t> :</w:t>
      </w:r>
      <w:proofErr w:type="gramEnd"/>
      <w:r w:rsidRPr="000C7C76">
        <w:t xml:space="preserve"> </w:t>
      </w:r>
      <w:hyperlink r:id="rId14" w:history="1">
        <w:r w:rsidRPr="000C7C76">
          <w:rPr>
            <w:rStyle w:val="Hyperlink"/>
          </w:rPr>
          <w:t>http://www.am.gov.lv/lv/KonsularaInformacija/pakalpojumi/apostille/</w:t>
        </w:r>
      </w:hyperlink>
      <w:r w:rsidRPr="000C7C76">
        <w:t xml:space="preserve"> [</w:t>
      </w:r>
      <w:proofErr w:type="spellStart"/>
      <w:r w:rsidRPr="000C7C76">
        <w:t>aplūkots</w:t>
      </w:r>
      <w:proofErr w:type="spellEnd"/>
      <w:r w:rsidRPr="000C7C76">
        <w:t xml:space="preserve"> 2016.gada 19.martā].</w:t>
      </w:r>
    </w:p>
  </w:footnote>
  <w:footnote w:id="144">
    <w:p w14:paraId="30F618C0" w14:textId="77777777" w:rsidR="000C7C76" w:rsidRPr="000C7C76" w:rsidRDefault="000C7C76" w:rsidP="00114953">
      <w:pPr>
        <w:widowControl w:val="0"/>
        <w:autoSpaceDE w:val="0"/>
        <w:autoSpaceDN w:val="0"/>
        <w:adjustRightInd w:val="0"/>
        <w:jc w:val="both"/>
        <w:rPr>
          <w:rFonts w:ascii="Times New Roman" w:hAnsi="Times New Roman" w:cs="Times New Roman"/>
          <w:bCs/>
          <w:sz w:val="20"/>
          <w:szCs w:val="20"/>
          <w:lang w:val="en-US"/>
        </w:rPr>
      </w:pPr>
      <w:r w:rsidRPr="005F6CA9">
        <w:rPr>
          <w:rStyle w:val="FootnoteReference"/>
          <w:rFonts w:ascii="Times New Roman" w:hAnsi="Times New Roman" w:cs="Times New Roman"/>
          <w:sz w:val="20"/>
          <w:szCs w:val="20"/>
        </w:rPr>
        <w:footnoteRef/>
      </w:r>
      <w:r w:rsidRPr="000C7C76">
        <w:rPr>
          <w:rFonts w:ascii="Times New Roman" w:hAnsi="Times New Roman" w:cs="Times New Roman"/>
          <w:sz w:val="20"/>
          <w:szCs w:val="20"/>
          <w:lang w:val="de-DE"/>
        </w:rPr>
        <w:t xml:space="preserve"> </w:t>
      </w:r>
      <w:proofErr w:type="spellStart"/>
      <w:r w:rsidRPr="000C7C76">
        <w:rPr>
          <w:rFonts w:ascii="Times New Roman" w:hAnsi="Times New Roman" w:cs="Times New Roman"/>
          <w:sz w:val="20"/>
          <w:szCs w:val="20"/>
          <w:lang w:val="de-DE"/>
        </w:rPr>
        <w:t>Eiropas</w:t>
      </w:r>
      <w:proofErr w:type="spellEnd"/>
      <w:r w:rsidRPr="000C7C76">
        <w:rPr>
          <w:rFonts w:ascii="Times New Roman" w:hAnsi="Times New Roman" w:cs="Times New Roman"/>
          <w:sz w:val="20"/>
          <w:szCs w:val="20"/>
          <w:lang w:val="de-DE"/>
        </w:rPr>
        <w:t xml:space="preserve"> </w:t>
      </w:r>
      <w:proofErr w:type="spellStart"/>
      <w:r w:rsidRPr="000C7C76">
        <w:rPr>
          <w:rFonts w:ascii="Times New Roman" w:hAnsi="Times New Roman" w:cs="Times New Roman"/>
          <w:sz w:val="20"/>
          <w:szCs w:val="20"/>
          <w:lang w:val="de-DE"/>
        </w:rPr>
        <w:t>Parlamenta</w:t>
      </w:r>
      <w:proofErr w:type="spellEnd"/>
      <w:r w:rsidRPr="000C7C76">
        <w:rPr>
          <w:rFonts w:ascii="Times New Roman" w:hAnsi="Times New Roman" w:cs="Times New Roman"/>
          <w:sz w:val="20"/>
          <w:szCs w:val="20"/>
          <w:lang w:val="de-DE"/>
        </w:rPr>
        <w:t xml:space="preserve"> </w:t>
      </w:r>
      <w:proofErr w:type="spellStart"/>
      <w:r w:rsidRPr="000C7C76">
        <w:rPr>
          <w:rFonts w:ascii="Times New Roman" w:hAnsi="Times New Roman" w:cs="Times New Roman"/>
          <w:sz w:val="20"/>
          <w:szCs w:val="20"/>
          <w:lang w:val="de-DE"/>
        </w:rPr>
        <w:t>un</w:t>
      </w:r>
      <w:proofErr w:type="spellEnd"/>
      <w:r w:rsidRPr="000C7C76">
        <w:rPr>
          <w:rFonts w:ascii="Times New Roman" w:hAnsi="Times New Roman" w:cs="Times New Roman"/>
          <w:sz w:val="20"/>
          <w:szCs w:val="20"/>
          <w:lang w:val="de-DE"/>
        </w:rPr>
        <w:t xml:space="preserve"> </w:t>
      </w:r>
      <w:proofErr w:type="spellStart"/>
      <w:r w:rsidRPr="000C7C76">
        <w:rPr>
          <w:rFonts w:ascii="Times New Roman" w:hAnsi="Times New Roman" w:cs="Times New Roman"/>
          <w:sz w:val="20"/>
          <w:szCs w:val="20"/>
          <w:lang w:val="de-DE"/>
        </w:rPr>
        <w:t>Padomes</w:t>
      </w:r>
      <w:proofErr w:type="spellEnd"/>
      <w:r w:rsidRPr="000C7C76">
        <w:rPr>
          <w:rFonts w:ascii="Times New Roman" w:hAnsi="Times New Roman" w:cs="Times New Roman"/>
          <w:sz w:val="20"/>
          <w:szCs w:val="20"/>
          <w:lang w:val="de-DE"/>
        </w:rPr>
        <w:t xml:space="preserve"> Regula (ES) Nr. 2016/1191 (2016.gada 6.jūlijs) par </w:t>
      </w:r>
      <w:proofErr w:type="spellStart"/>
      <w:r w:rsidRPr="000C7C76">
        <w:rPr>
          <w:rFonts w:ascii="Times New Roman" w:hAnsi="Times New Roman" w:cs="Times New Roman"/>
          <w:sz w:val="20"/>
          <w:szCs w:val="20"/>
          <w:lang w:val="de-DE"/>
        </w:rPr>
        <w:t>iedzīvotāju</w:t>
      </w:r>
      <w:proofErr w:type="spellEnd"/>
      <w:r w:rsidRPr="000C7C76">
        <w:rPr>
          <w:rFonts w:ascii="Times New Roman" w:hAnsi="Times New Roman" w:cs="Times New Roman"/>
          <w:sz w:val="20"/>
          <w:szCs w:val="20"/>
          <w:lang w:val="de-DE"/>
        </w:rPr>
        <w:t xml:space="preserve"> </w:t>
      </w:r>
      <w:proofErr w:type="spellStart"/>
      <w:r w:rsidRPr="000C7C76">
        <w:rPr>
          <w:rFonts w:ascii="Times New Roman" w:hAnsi="Times New Roman" w:cs="Times New Roman"/>
          <w:sz w:val="20"/>
          <w:szCs w:val="20"/>
          <w:lang w:val="de-DE"/>
        </w:rPr>
        <w:t>brīvas</w:t>
      </w:r>
      <w:proofErr w:type="spellEnd"/>
      <w:r w:rsidRPr="000C7C76">
        <w:rPr>
          <w:rFonts w:ascii="Times New Roman" w:hAnsi="Times New Roman" w:cs="Times New Roman"/>
          <w:sz w:val="20"/>
          <w:szCs w:val="20"/>
          <w:lang w:val="de-DE"/>
        </w:rPr>
        <w:t xml:space="preserve"> </w:t>
      </w:r>
      <w:proofErr w:type="spellStart"/>
      <w:r w:rsidRPr="000C7C76">
        <w:rPr>
          <w:rFonts w:ascii="Times New Roman" w:hAnsi="Times New Roman" w:cs="Times New Roman"/>
          <w:sz w:val="20"/>
          <w:szCs w:val="20"/>
          <w:lang w:val="de-DE"/>
        </w:rPr>
        <w:t>pārvietošanās</w:t>
      </w:r>
      <w:proofErr w:type="spellEnd"/>
      <w:r w:rsidRPr="000C7C76">
        <w:rPr>
          <w:rFonts w:ascii="Times New Roman" w:hAnsi="Times New Roman" w:cs="Times New Roman"/>
          <w:sz w:val="20"/>
          <w:szCs w:val="20"/>
          <w:lang w:val="de-DE"/>
        </w:rPr>
        <w:t xml:space="preserve"> </w:t>
      </w:r>
      <w:proofErr w:type="spellStart"/>
      <w:r w:rsidRPr="000C7C76">
        <w:rPr>
          <w:rFonts w:ascii="Times New Roman" w:hAnsi="Times New Roman" w:cs="Times New Roman"/>
          <w:sz w:val="20"/>
          <w:szCs w:val="20"/>
          <w:lang w:val="de-DE"/>
        </w:rPr>
        <w:t>veicināšanu</w:t>
      </w:r>
      <w:proofErr w:type="spellEnd"/>
      <w:r w:rsidRPr="000C7C76">
        <w:rPr>
          <w:rFonts w:ascii="Times New Roman" w:hAnsi="Times New Roman" w:cs="Times New Roman"/>
          <w:sz w:val="20"/>
          <w:szCs w:val="20"/>
          <w:lang w:val="de-DE"/>
        </w:rPr>
        <w:t xml:space="preserve">, </w:t>
      </w:r>
      <w:proofErr w:type="spellStart"/>
      <w:r w:rsidRPr="000C7C76">
        <w:rPr>
          <w:rFonts w:ascii="Times New Roman" w:hAnsi="Times New Roman" w:cs="Times New Roman"/>
          <w:sz w:val="20"/>
          <w:szCs w:val="20"/>
          <w:lang w:val="de-DE"/>
        </w:rPr>
        <w:t>vienkāršojot</w:t>
      </w:r>
      <w:proofErr w:type="spellEnd"/>
      <w:r w:rsidRPr="000C7C76">
        <w:rPr>
          <w:rFonts w:ascii="Times New Roman" w:hAnsi="Times New Roman" w:cs="Times New Roman"/>
          <w:sz w:val="20"/>
          <w:szCs w:val="20"/>
          <w:lang w:val="de-DE"/>
        </w:rPr>
        <w:t xml:space="preserve"> </w:t>
      </w:r>
      <w:proofErr w:type="spellStart"/>
      <w:r w:rsidRPr="000C7C76">
        <w:rPr>
          <w:rFonts w:ascii="Times New Roman" w:hAnsi="Times New Roman" w:cs="Times New Roman"/>
          <w:sz w:val="20"/>
          <w:szCs w:val="20"/>
          <w:lang w:val="de-DE"/>
        </w:rPr>
        <w:t>dažu</w:t>
      </w:r>
      <w:proofErr w:type="spellEnd"/>
      <w:r w:rsidRPr="000C7C76">
        <w:rPr>
          <w:rFonts w:ascii="Times New Roman" w:hAnsi="Times New Roman" w:cs="Times New Roman"/>
          <w:sz w:val="20"/>
          <w:szCs w:val="20"/>
          <w:lang w:val="de-DE"/>
        </w:rPr>
        <w:t xml:space="preserve"> </w:t>
      </w:r>
      <w:proofErr w:type="spellStart"/>
      <w:r w:rsidRPr="000C7C76">
        <w:rPr>
          <w:rFonts w:ascii="Times New Roman" w:hAnsi="Times New Roman" w:cs="Times New Roman"/>
          <w:sz w:val="20"/>
          <w:szCs w:val="20"/>
          <w:lang w:val="de-DE"/>
        </w:rPr>
        <w:t>publisko</w:t>
      </w:r>
      <w:proofErr w:type="spellEnd"/>
      <w:r w:rsidRPr="000C7C76">
        <w:rPr>
          <w:rFonts w:ascii="Times New Roman" w:hAnsi="Times New Roman" w:cs="Times New Roman"/>
          <w:sz w:val="20"/>
          <w:szCs w:val="20"/>
          <w:lang w:val="de-DE"/>
        </w:rPr>
        <w:t xml:space="preserve"> </w:t>
      </w:r>
      <w:proofErr w:type="spellStart"/>
      <w:r w:rsidRPr="000C7C76">
        <w:rPr>
          <w:rFonts w:ascii="Times New Roman" w:hAnsi="Times New Roman" w:cs="Times New Roman"/>
          <w:sz w:val="20"/>
          <w:szCs w:val="20"/>
          <w:lang w:val="de-DE"/>
        </w:rPr>
        <w:t>dokumentu</w:t>
      </w:r>
      <w:proofErr w:type="spellEnd"/>
      <w:r w:rsidRPr="000C7C76">
        <w:rPr>
          <w:rFonts w:ascii="Times New Roman" w:hAnsi="Times New Roman" w:cs="Times New Roman"/>
          <w:sz w:val="20"/>
          <w:szCs w:val="20"/>
          <w:lang w:val="de-DE"/>
        </w:rPr>
        <w:t xml:space="preserve"> </w:t>
      </w:r>
      <w:proofErr w:type="spellStart"/>
      <w:r w:rsidRPr="000C7C76">
        <w:rPr>
          <w:rFonts w:ascii="Times New Roman" w:hAnsi="Times New Roman" w:cs="Times New Roman"/>
          <w:sz w:val="20"/>
          <w:szCs w:val="20"/>
          <w:lang w:val="de-DE"/>
        </w:rPr>
        <w:t>uzrādīšanas</w:t>
      </w:r>
      <w:proofErr w:type="spellEnd"/>
      <w:r w:rsidRPr="000C7C76">
        <w:rPr>
          <w:rFonts w:ascii="Times New Roman" w:hAnsi="Times New Roman" w:cs="Times New Roman"/>
          <w:sz w:val="20"/>
          <w:szCs w:val="20"/>
          <w:lang w:val="de-DE"/>
        </w:rPr>
        <w:t xml:space="preserve"> </w:t>
      </w:r>
      <w:proofErr w:type="spellStart"/>
      <w:r w:rsidRPr="000C7C76">
        <w:rPr>
          <w:rFonts w:ascii="Times New Roman" w:hAnsi="Times New Roman" w:cs="Times New Roman"/>
          <w:sz w:val="20"/>
          <w:szCs w:val="20"/>
          <w:lang w:val="de-DE"/>
        </w:rPr>
        <w:t>prasības</w:t>
      </w:r>
      <w:proofErr w:type="spellEnd"/>
      <w:r w:rsidRPr="000C7C76">
        <w:rPr>
          <w:rFonts w:ascii="Times New Roman" w:hAnsi="Times New Roman" w:cs="Times New Roman"/>
          <w:sz w:val="20"/>
          <w:szCs w:val="20"/>
          <w:lang w:val="de-DE"/>
        </w:rPr>
        <w:t xml:space="preserve"> </w:t>
      </w:r>
      <w:proofErr w:type="spellStart"/>
      <w:r w:rsidRPr="000C7C76">
        <w:rPr>
          <w:rFonts w:ascii="Times New Roman" w:hAnsi="Times New Roman" w:cs="Times New Roman"/>
          <w:sz w:val="20"/>
          <w:szCs w:val="20"/>
          <w:lang w:val="de-DE"/>
        </w:rPr>
        <w:t>Eiropas</w:t>
      </w:r>
      <w:proofErr w:type="spellEnd"/>
      <w:r w:rsidRPr="000C7C76">
        <w:rPr>
          <w:rFonts w:ascii="Times New Roman" w:hAnsi="Times New Roman" w:cs="Times New Roman"/>
          <w:sz w:val="20"/>
          <w:szCs w:val="20"/>
          <w:lang w:val="de-DE"/>
        </w:rPr>
        <w:t xml:space="preserve"> </w:t>
      </w:r>
      <w:proofErr w:type="spellStart"/>
      <w:r w:rsidRPr="000C7C76">
        <w:rPr>
          <w:rFonts w:ascii="Times New Roman" w:hAnsi="Times New Roman" w:cs="Times New Roman"/>
          <w:sz w:val="20"/>
          <w:szCs w:val="20"/>
          <w:lang w:val="de-DE"/>
        </w:rPr>
        <w:t>Savienībā</w:t>
      </w:r>
      <w:proofErr w:type="spellEnd"/>
      <w:r w:rsidRPr="000C7C76">
        <w:rPr>
          <w:rFonts w:ascii="Times New Roman" w:hAnsi="Times New Roman" w:cs="Times New Roman"/>
          <w:sz w:val="20"/>
          <w:szCs w:val="20"/>
          <w:lang w:val="de-DE"/>
        </w:rPr>
        <w:t xml:space="preserve">, </w:t>
      </w:r>
      <w:proofErr w:type="spellStart"/>
      <w:r w:rsidRPr="000C7C76">
        <w:rPr>
          <w:rFonts w:ascii="Times New Roman" w:hAnsi="Times New Roman" w:cs="Times New Roman"/>
          <w:sz w:val="20"/>
          <w:szCs w:val="20"/>
          <w:lang w:val="de-DE"/>
        </w:rPr>
        <w:t>un</w:t>
      </w:r>
      <w:proofErr w:type="spellEnd"/>
      <w:r w:rsidRPr="000C7C76">
        <w:rPr>
          <w:rFonts w:ascii="Times New Roman" w:hAnsi="Times New Roman" w:cs="Times New Roman"/>
          <w:sz w:val="20"/>
          <w:szCs w:val="20"/>
          <w:lang w:val="de-DE"/>
        </w:rPr>
        <w:t xml:space="preserve"> </w:t>
      </w:r>
      <w:proofErr w:type="spellStart"/>
      <w:r w:rsidRPr="000C7C76">
        <w:rPr>
          <w:rFonts w:ascii="Times New Roman" w:hAnsi="Times New Roman" w:cs="Times New Roman"/>
          <w:sz w:val="20"/>
          <w:szCs w:val="20"/>
          <w:lang w:val="de-DE"/>
        </w:rPr>
        <w:t>grozījumiem</w:t>
      </w:r>
      <w:proofErr w:type="spellEnd"/>
      <w:r w:rsidRPr="000C7C76">
        <w:rPr>
          <w:rFonts w:ascii="Times New Roman" w:hAnsi="Times New Roman" w:cs="Times New Roman"/>
          <w:sz w:val="20"/>
          <w:szCs w:val="20"/>
          <w:lang w:val="de-DE"/>
        </w:rPr>
        <w:t xml:space="preserve"> </w:t>
      </w:r>
      <w:proofErr w:type="spellStart"/>
      <w:r w:rsidRPr="000C7C76">
        <w:rPr>
          <w:rFonts w:ascii="Times New Roman" w:hAnsi="Times New Roman" w:cs="Times New Roman"/>
          <w:sz w:val="20"/>
          <w:szCs w:val="20"/>
          <w:lang w:val="de-DE"/>
        </w:rPr>
        <w:t>Regulā</w:t>
      </w:r>
      <w:proofErr w:type="spellEnd"/>
      <w:r w:rsidRPr="000C7C76">
        <w:rPr>
          <w:rFonts w:ascii="Times New Roman" w:hAnsi="Times New Roman" w:cs="Times New Roman"/>
          <w:sz w:val="20"/>
          <w:szCs w:val="20"/>
          <w:lang w:val="de-DE"/>
        </w:rPr>
        <w:t xml:space="preserve"> (ES) Nr. 1024/2012. </w:t>
      </w:r>
      <w:r w:rsidRPr="000C7C76">
        <w:rPr>
          <w:rFonts w:ascii="Times New Roman" w:hAnsi="Times New Roman" w:cs="Times New Roman"/>
          <w:sz w:val="20"/>
          <w:szCs w:val="20"/>
          <w:lang w:val="en-US"/>
        </w:rPr>
        <w:t>ES OV L 200, 26.07.2016., 1.-136.lpp.</w:t>
      </w:r>
    </w:p>
  </w:footnote>
  <w:footnote w:id="145">
    <w:p w14:paraId="6C205B56" w14:textId="77777777" w:rsidR="000C7C76" w:rsidRPr="00CD4311" w:rsidRDefault="000C7C76" w:rsidP="00114953">
      <w:pPr>
        <w:pStyle w:val="FootnoteText"/>
        <w:jc w:val="both"/>
        <w:rPr>
          <w:lang w:val="lv-LV"/>
        </w:rPr>
      </w:pPr>
      <w:r w:rsidRPr="00CD4311">
        <w:rPr>
          <w:rStyle w:val="FootnoteReference"/>
        </w:rPr>
        <w:footnoteRef/>
      </w:r>
      <w:r w:rsidRPr="00CD4311">
        <w:t xml:space="preserve"> </w:t>
      </w:r>
      <w:r w:rsidRPr="00CD4311">
        <w:rPr>
          <w:lang w:val="lv-LV"/>
        </w:rPr>
        <w:t>Skat. Regulas Nr. 2016/1191 preambulas 17.apsvērumu un 2.panta 3.punktu.</w:t>
      </w:r>
    </w:p>
  </w:footnote>
  <w:footnote w:id="146">
    <w:p w14:paraId="305CD573" w14:textId="77777777" w:rsidR="000C7C76" w:rsidRPr="000C7C76" w:rsidRDefault="000C7C76" w:rsidP="00114953">
      <w:pPr>
        <w:pStyle w:val="FootnoteText"/>
        <w:jc w:val="both"/>
        <w:rPr>
          <w:lang w:val="en-US"/>
        </w:rPr>
      </w:pPr>
      <w:r w:rsidRPr="005F6CA9">
        <w:rPr>
          <w:rStyle w:val="FootnoteReference"/>
        </w:rPr>
        <w:footnoteRef/>
      </w:r>
      <w:r w:rsidRPr="005F6CA9">
        <w:t xml:space="preserve"> </w:t>
      </w:r>
      <w:r w:rsidRPr="000C7C76">
        <w:rPr>
          <w:lang w:val="en-US"/>
        </w:rPr>
        <w:t>Apostille Handbook. A Handbook on the Practical Operation of the Apostille Convention. The Hague: Permanent Bureau, 2013, p. 32.</w:t>
      </w:r>
    </w:p>
  </w:footnote>
  <w:footnote w:id="147">
    <w:p w14:paraId="74756322" w14:textId="77777777" w:rsidR="000C7C76" w:rsidRPr="000C7C76" w:rsidRDefault="000C7C76" w:rsidP="00114953">
      <w:pPr>
        <w:pStyle w:val="FootnoteText"/>
        <w:jc w:val="both"/>
        <w:rPr>
          <w:lang w:val="en-US"/>
        </w:rPr>
      </w:pPr>
      <w:r w:rsidRPr="005F6CA9">
        <w:rPr>
          <w:rStyle w:val="FootnoteReference"/>
        </w:rPr>
        <w:footnoteRef/>
      </w:r>
      <w:r w:rsidRPr="005F6CA9">
        <w:t xml:space="preserve"> </w:t>
      </w:r>
      <w:r w:rsidRPr="000C7C76">
        <w:rPr>
          <w:i/>
          <w:iCs/>
          <w:lang w:val="en-US"/>
        </w:rPr>
        <w:t>Ibid</w:t>
      </w:r>
      <w:r w:rsidRPr="000C7C76">
        <w:rPr>
          <w:lang w:val="en-US"/>
        </w:rPr>
        <w:t>., p. 31.</w:t>
      </w:r>
    </w:p>
  </w:footnote>
  <w:footnote w:id="148">
    <w:p w14:paraId="5668FEB2" w14:textId="77777777" w:rsidR="000C7C76" w:rsidRPr="005F6CA9" w:rsidRDefault="000C7C76" w:rsidP="00114953">
      <w:pPr>
        <w:pStyle w:val="FootnoteText"/>
        <w:jc w:val="both"/>
        <w:rPr>
          <w:lang w:val="lv-LV"/>
        </w:rPr>
      </w:pPr>
      <w:r w:rsidRPr="005F6CA9">
        <w:rPr>
          <w:rStyle w:val="FootnoteReference"/>
        </w:rPr>
        <w:footnoteRef/>
      </w:r>
      <w:r w:rsidRPr="005F6CA9">
        <w:t xml:space="preserve"> </w:t>
      </w:r>
      <w:proofErr w:type="spellStart"/>
      <w:r w:rsidRPr="005F6CA9">
        <w:rPr>
          <w:lang w:val="lv-LV"/>
        </w:rPr>
        <w:t>Rozenfelds</w:t>
      </w:r>
      <w:proofErr w:type="spellEnd"/>
      <w:r w:rsidRPr="005F6CA9">
        <w:rPr>
          <w:lang w:val="lv-LV"/>
        </w:rPr>
        <w:t xml:space="preserve"> J. Lietu tiesības. Rīga: Zvaigzne ABC, 2004., 25.lpp.</w:t>
      </w:r>
    </w:p>
  </w:footnote>
  <w:footnote w:id="149">
    <w:p w14:paraId="14FFC982" w14:textId="77777777" w:rsidR="000C7C76" w:rsidRPr="000C7C76" w:rsidRDefault="000C7C76" w:rsidP="00114953">
      <w:pPr>
        <w:pStyle w:val="FootnoteText"/>
        <w:jc w:val="both"/>
        <w:rPr>
          <w:lang w:val="en-US"/>
        </w:rPr>
      </w:pPr>
      <w:r w:rsidRPr="005F6CA9">
        <w:rPr>
          <w:rStyle w:val="FootnoteReference"/>
        </w:rPr>
        <w:footnoteRef/>
      </w:r>
      <w:r w:rsidRPr="005F6CA9">
        <w:t xml:space="preserve"> </w:t>
      </w:r>
      <w:r w:rsidRPr="00C761DB">
        <w:rPr>
          <w:lang w:val="lv-LV"/>
        </w:rPr>
        <w:t xml:space="preserve">Dokumentu izstrādāšanas un noformēšanas kārtība: MK noteikumi nr. 916. </w:t>
      </w:r>
      <w:r w:rsidRPr="000C7C76">
        <w:rPr>
          <w:lang w:val="en-US"/>
        </w:rPr>
        <w:t xml:space="preserve">Latvijas </w:t>
      </w:r>
      <w:proofErr w:type="spellStart"/>
      <w:r w:rsidRPr="000C7C76">
        <w:rPr>
          <w:lang w:val="en-US"/>
        </w:rPr>
        <w:t>Vēstnesis</w:t>
      </w:r>
      <w:proofErr w:type="spellEnd"/>
      <w:r w:rsidRPr="000C7C76">
        <w:rPr>
          <w:lang w:val="en-US"/>
        </w:rPr>
        <w:t>, 2010. 14.oktobris, nr. 163.</w:t>
      </w:r>
    </w:p>
  </w:footnote>
  <w:footnote w:id="150">
    <w:p w14:paraId="33E247B6" w14:textId="77777777" w:rsidR="000C7C76" w:rsidRPr="000C7C76" w:rsidRDefault="000C7C76" w:rsidP="00114953">
      <w:pPr>
        <w:pStyle w:val="FootnoteText"/>
        <w:jc w:val="both"/>
        <w:rPr>
          <w:lang w:val="en-US"/>
        </w:rPr>
      </w:pPr>
      <w:r w:rsidRPr="005F6CA9">
        <w:rPr>
          <w:rStyle w:val="FootnoteReference"/>
        </w:rPr>
        <w:footnoteRef/>
      </w:r>
      <w:r w:rsidRPr="005F6CA9">
        <w:t xml:space="preserve"> </w:t>
      </w:r>
      <w:proofErr w:type="spellStart"/>
      <w:r w:rsidRPr="005F6CA9">
        <w:rPr>
          <w:lang w:val="lv-LV"/>
        </w:rPr>
        <w:t>Kropholler</w:t>
      </w:r>
      <w:proofErr w:type="spellEnd"/>
      <w:r w:rsidRPr="005F6CA9">
        <w:rPr>
          <w:lang w:val="lv-LV"/>
        </w:rPr>
        <w:t xml:space="preserve"> J. </w:t>
      </w:r>
      <w:proofErr w:type="spellStart"/>
      <w:r w:rsidRPr="005F6CA9">
        <w:rPr>
          <w:lang w:val="lv-LV"/>
        </w:rPr>
        <w:t>Internationales</w:t>
      </w:r>
      <w:proofErr w:type="spellEnd"/>
      <w:r w:rsidRPr="005F6CA9">
        <w:rPr>
          <w:lang w:val="lv-LV"/>
        </w:rPr>
        <w:t xml:space="preserve"> </w:t>
      </w:r>
      <w:proofErr w:type="spellStart"/>
      <w:r w:rsidRPr="005F6CA9">
        <w:rPr>
          <w:lang w:val="lv-LV"/>
        </w:rPr>
        <w:t>Privatrecht</w:t>
      </w:r>
      <w:proofErr w:type="spellEnd"/>
      <w:r w:rsidRPr="005F6CA9">
        <w:rPr>
          <w:lang w:val="lv-LV"/>
        </w:rPr>
        <w:t>. 5.Auflage. T</w:t>
      </w:r>
      <w:proofErr w:type="spellStart"/>
      <w:r w:rsidRPr="000C7C76">
        <w:rPr>
          <w:lang w:val="en-US"/>
        </w:rPr>
        <w:t>übingen</w:t>
      </w:r>
      <w:proofErr w:type="spellEnd"/>
      <w:r w:rsidRPr="000C7C76">
        <w:rPr>
          <w:lang w:val="en-US"/>
        </w:rPr>
        <w:t xml:space="preserve">: Mohr </w:t>
      </w:r>
      <w:proofErr w:type="spellStart"/>
      <w:r w:rsidRPr="000C7C76">
        <w:rPr>
          <w:lang w:val="en-US"/>
        </w:rPr>
        <w:t>Siebeck</w:t>
      </w:r>
      <w:proofErr w:type="spellEnd"/>
      <w:r w:rsidRPr="000C7C76">
        <w:rPr>
          <w:lang w:val="en-US"/>
        </w:rPr>
        <w:t xml:space="preserve"> Verlag, 2004, S. 129.-132; Heinz N. Das </w:t>
      </w:r>
      <w:proofErr w:type="spellStart"/>
      <w:r w:rsidRPr="000C7C76">
        <w:rPr>
          <w:lang w:val="en-US"/>
        </w:rPr>
        <w:t>Vollmachtstatut</w:t>
      </w:r>
      <w:proofErr w:type="spellEnd"/>
      <w:r w:rsidRPr="000C7C76">
        <w:rPr>
          <w:lang w:val="en-US"/>
        </w:rPr>
        <w:t xml:space="preserve">. </w:t>
      </w:r>
      <w:r w:rsidRPr="005F6CA9">
        <w:rPr>
          <w:lang w:val="lv-LV"/>
        </w:rPr>
        <w:t>T</w:t>
      </w:r>
      <w:proofErr w:type="spellStart"/>
      <w:r w:rsidRPr="000C7C76">
        <w:rPr>
          <w:lang w:val="en-US"/>
        </w:rPr>
        <w:t>übingen</w:t>
      </w:r>
      <w:proofErr w:type="spellEnd"/>
      <w:r w:rsidRPr="000C7C76">
        <w:rPr>
          <w:lang w:val="en-US"/>
        </w:rPr>
        <w:t xml:space="preserve">: Mohr </w:t>
      </w:r>
      <w:proofErr w:type="spellStart"/>
      <w:r w:rsidRPr="000C7C76">
        <w:rPr>
          <w:lang w:val="en-US"/>
        </w:rPr>
        <w:t>Siebeck</w:t>
      </w:r>
      <w:proofErr w:type="spellEnd"/>
      <w:r w:rsidRPr="000C7C76">
        <w:rPr>
          <w:lang w:val="en-US"/>
        </w:rPr>
        <w:t xml:space="preserve"> Verlag, 2011, S. 35.</w:t>
      </w:r>
    </w:p>
  </w:footnote>
  <w:footnote w:id="151">
    <w:p w14:paraId="0AE5CF89" w14:textId="77777777" w:rsidR="000C7C76" w:rsidRPr="000C7C76" w:rsidRDefault="000C7C76" w:rsidP="00114953">
      <w:pPr>
        <w:pStyle w:val="FootnoteText"/>
        <w:jc w:val="both"/>
        <w:rPr>
          <w:lang w:val="en-US"/>
        </w:rPr>
      </w:pPr>
      <w:r w:rsidRPr="005F6CA9">
        <w:rPr>
          <w:rStyle w:val="FootnoteReference"/>
        </w:rPr>
        <w:footnoteRef/>
      </w:r>
      <w:r w:rsidRPr="005F6CA9">
        <w:t xml:space="preserve"> </w:t>
      </w:r>
      <w:r w:rsidRPr="005F6CA9">
        <w:rPr>
          <w:lang w:val="lv-LV"/>
        </w:rPr>
        <w:t>Ferrari F. (</w:t>
      </w:r>
      <w:proofErr w:type="spellStart"/>
      <w:r w:rsidRPr="005F6CA9">
        <w:rPr>
          <w:lang w:val="lv-LV"/>
        </w:rPr>
        <w:t>ed</w:t>
      </w:r>
      <w:proofErr w:type="spellEnd"/>
      <w:r w:rsidRPr="005F6CA9">
        <w:rPr>
          <w:lang w:val="lv-LV"/>
        </w:rPr>
        <w:t>.) / L</w:t>
      </w:r>
      <w:r w:rsidRPr="000C7C76">
        <w:rPr>
          <w:lang w:val="en-US"/>
        </w:rPr>
        <w:t>ü</w:t>
      </w:r>
      <w:proofErr w:type="spellStart"/>
      <w:r w:rsidRPr="005F6CA9">
        <w:rPr>
          <w:lang w:val="lv-LV"/>
        </w:rPr>
        <w:t>ttringhaus</w:t>
      </w:r>
      <w:proofErr w:type="spellEnd"/>
      <w:r w:rsidRPr="005F6CA9">
        <w:rPr>
          <w:lang w:val="lv-LV"/>
        </w:rPr>
        <w:t xml:space="preserve"> J.D. </w:t>
      </w:r>
      <w:proofErr w:type="spellStart"/>
      <w:r w:rsidRPr="005F6CA9">
        <w:rPr>
          <w:lang w:val="lv-LV"/>
        </w:rPr>
        <w:t>Rome</w:t>
      </w:r>
      <w:proofErr w:type="spellEnd"/>
      <w:r w:rsidRPr="005F6CA9">
        <w:rPr>
          <w:lang w:val="lv-LV"/>
        </w:rPr>
        <w:t xml:space="preserve"> I </w:t>
      </w:r>
      <w:proofErr w:type="spellStart"/>
      <w:r w:rsidRPr="005F6CA9">
        <w:rPr>
          <w:lang w:val="lv-LV"/>
        </w:rPr>
        <w:t>Regulation</w:t>
      </w:r>
      <w:proofErr w:type="spellEnd"/>
      <w:r w:rsidRPr="005F6CA9">
        <w:rPr>
          <w:lang w:val="lv-LV"/>
        </w:rPr>
        <w:t xml:space="preserve">. </w:t>
      </w:r>
      <w:proofErr w:type="spellStart"/>
      <w:r w:rsidRPr="005F6CA9">
        <w:rPr>
          <w:lang w:val="lv-LV"/>
        </w:rPr>
        <w:t>Pocket</w:t>
      </w:r>
      <w:proofErr w:type="spellEnd"/>
      <w:r w:rsidRPr="005F6CA9">
        <w:rPr>
          <w:lang w:val="lv-LV"/>
        </w:rPr>
        <w:t xml:space="preserve"> </w:t>
      </w:r>
      <w:proofErr w:type="spellStart"/>
      <w:r w:rsidRPr="005F6CA9">
        <w:rPr>
          <w:lang w:val="lv-LV"/>
        </w:rPr>
        <w:t>Commentary</w:t>
      </w:r>
      <w:proofErr w:type="spellEnd"/>
      <w:r w:rsidRPr="005F6CA9">
        <w:rPr>
          <w:lang w:val="lv-LV"/>
        </w:rPr>
        <w:t xml:space="preserve">. Munich: </w:t>
      </w:r>
      <w:proofErr w:type="spellStart"/>
      <w:r w:rsidRPr="005F6CA9">
        <w:rPr>
          <w:lang w:val="lv-LV"/>
        </w:rPr>
        <w:t>Sellier</w:t>
      </w:r>
      <w:proofErr w:type="spellEnd"/>
      <w:r w:rsidRPr="005F6CA9">
        <w:rPr>
          <w:lang w:val="lv-LV"/>
        </w:rPr>
        <w:t xml:space="preserve">, 2015, Art. 1(2)(b), p. 43 (§ 43); </w:t>
      </w:r>
      <w:proofErr w:type="spellStart"/>
      <w:r w:rsidRPr="005F6CA9">
        <w:rPr>
          <w:lang w:val="lv-LV"/>
        </w:rPr>
        <w:t>Cheshire</w:t>
      </w:r>
      <w:proofErr w:type="spellEnd"/>
      <w:r w:rsidRPr="005F6CA9">
        <w:rPr>
          <w:lang w:val="lv-LV"/>
        </w:rPr>
        <w:t>/North/</w:t>
      </w:r>
      <w:proofErr w:type="spellStart"/>
      <w:r w:rsidRPr="005F6CA9">
        <w:rPr>
          <w:lang w:val="lv-LV"/>
        </w:rPr>
        <w:t>Fawcett</w:t>
      </w:r>
      <w:proofErr w:type="spellEnd"/>
      <w:r w:rsidRPr="005F6CA9">
        <w:rPr>
          <w:lang w:val="lv-LV"/>
        </w:rPr>
        <w:t xml:space="preserve">. </w:t>
      </w:r>
      <w:proofErr w:type="spellStart"/>
      <w:r w:rsidRPr="005F6CA9">
        <w:rPr>
          <w:lang w:val="lv-LV"/>
        </w:rPr>
        <w:t>Private</w:t>
      </w:r>
      <w:proofErr w:type="spellEnd"/>
      <w:r w:rsidRPr="005F6CA9">
        <w:rPr>
          <w:lang w:val="lv-LV"/>
        </w:rPr>
        <w:t xml:space="preserve"> </w:t>
      </w:r>
      <w:proofErr w:type="spellStart"/>
      <w:r w:rsidRPr="005F6CA9">
        <w:rPr>
          <w:lang w:val="lv-LV"/>
        </w:rPr>
        <w:t>International</w:t>
      </w:r>
      <w:proofErr w:type="spellEnd"/>
      <w:r w:rsidRPr="005F6CA9">
        <w:rPr>
          <w:lang w:val="lv-LV"/>
        </w:rPr>
        <w:t xml:space="preserve"> </w:t>
      </w:r>
      <w:proofErr w:type="spellStart"/>
      <w:r w:rsidRPr="005F6CA9">
        <w:rPr>
          <w:lang w:val="lv-LV"/>
        </w:rPr>
        <w:t>Law</w:t>
      </w:r>
      <w:proofErr w:type="spellEnd"/>
      <w:r w:rsidRPr="005F6CA9">
        <w:rPr>
          <w:lang w:val="lv-LV"/>
        </w:rPr>
        <w:t xml:space="preserve">. 14th </w:t>
      </w:r>
      <w:proofErr w:type="spellStart"/>
      <w:r w:rsidRPr="005F6CA9">
        <w:rPr>
          <w:lang w:val="lv-LV"/>
        </w:rPr>
        <w:t>edition</w:t>
      </w:r>
      <w:proofErr w:type="spellEnd"/>
      <w:r w:rsidRPr="005F6CA9">
        <w:rPr>
          <w:lang w:val="lv-LV"/>
        </w:rPr>
        <w:t xml:space="preserve">. </w:t>
      </w:r>
      <w:proofErr w:type="spellStart"/>
      <w:r w:rsidRPr="005F6CA9">
        <w:rPr>
          <w:lang w:val="lv-LV"/>
        </w:rPr>
        <w:t>Oxford</w:t>
      </w:r>
      <w:proofErr w:type="spellEnd"/>
      <w:r w:rsidRPr="005F6CA9">
        <w:rPr>
          <w:lang w:val="lv-LV"/>
        </w:rPr>
        <w:t xml:space="preserve">: </w:t>
      </w:r>
      <w:proofErr w:type="spellStart"/>
      <w:r w:rsidRPr="005F6CA9">
        <w:rPr>
          <w:lang w:val="lv-LV"/>
        </w:rPr>
        <w:t>Oxford</w:t>
      </w:r>
      <w:proofErr w:type="spellEnd"/>
      <w:r w:rsidRPr="005F6CA9">
        <w:rPr>
          <w:lang w:val="lv-LV"/>
        </w:rPr>
        <w:t xml:space="preserve"> </w:t>
      </w:r>
      <w:proofErr w:type="spellStart"/>
      <w:r w:rsidRPr="005F6CA9">
        <w:rPr>
          <w:lang w:val="lv-LV"/>
        </w:rPr>
        <w:t>University</w:t>
      </w:r>
      <w:proofErr w:type="spellEnd"/>
      <w:r w:rsidRPr="005F6CA9">
        <w:rPr>
          <w:lang w:val="lv-LV"/>
        </w:rPr>
        <w:t xml:space="preserve"> </w:t>
      </w:r>
      <w:proofErr w:type="spellStart"/>
      <w:r w:rsidRPr="005F6CA9">
        <w:rPr>
          <w:lang w:val="lv-LV"/>
        </w:rPr>
        <w:t>Press</w:t>
      </w:r>
      <w:proofErr w:type="spellEnd"/>
      <w:r w:rsidRPr="005F6CA9">
        <w:rPr>
          <w:lang w:val="lv-LV"/>
        </w:rPr>
        <w:t>, 2008, p. 681.</w:t>
      </w:r>
    </w:p>
  </w:footnote>
  <w:footnote w:id="152">
    <w:p w14:paraId="2D577A03" w14:textId="77777777" w:rsidR="000C7C76" w:rsidRPr="005F6CA9" w:rsidRDefault="000C7C76" w:rsidP="00114953">
      <w:pPr>
        <w:pStyle w:val="FootnoteText"/>
        <w:jc w:val="both"/>
        <w:rPr>
          <w:lang w:val="lv-LV"/>
        </w:rPr>
      </w:pPr>
      <w:r w:rsidRPr="005F6CA9">
        <w:rPr>
          <w:rStyle w:val="FootnoteReference"/>
        </w:rPr>
        <w:footnoteRef/>
      </w:r>
      <w:r w:rsidRPr="005F6CA9">
        <w:t xml:space="preserve"> </w:t>
      </w:r>
      <w:r w:rsidRPr="005F6CA9">
        <w:rPr>
          <w:lang w:val="lv-LV"/>
        </w:rPr>
        <w:t xml:space="preserve">Stone P. EU </w:t>
      </w:r>
      <w:proofErr w:type="spellStart"/>
      <w:r w:rsidRPr="005F6CA9">
        <w:rPr>
          <w:lang w:val="lv-LV"/>
        </w:rPr>
        <w:t>Private</w:t>
      </w:r>
      <w:proofErr w:type="spellEnd"/>
      <w:r w:rsidRPr="005F6CA9">
        <w:rPr>
          <w:lang w:val="lv-LV"/>
        </w:rPr>
        <w:t xml:space="preserve"> </w:t>
      </w:r>
      <w:proofErr w:type="spellStart"/>
      <w:r w:rsidRPr="005F6CA9">
        <w:rPr>
          <w:lang w:val="lv-LV"/>
        </w:rPr>
        <w:t>International</w:t>
      </w:r>
      <w:proofErr w:type="spellEnd"/>
      <w:r w:rsidRPr="005F6CA9">
        <w:rPr>
          <w:lang w:val="lv-LV"/>
        </w:rPr>
        <w:t xml:space="preserve"> </w:t>
      </w:r>
      <w:proofErr w:type="spellStart"/>
      <w:r w:rsidRPr="005F6CA9">
        <w:rPr>
          <w:lang w:val="lv-LV"/>
        </w:rPr>
        <w:t>Law</w:t>
      </w:r>
      <w:proofErr w:type="spellEnd"/>
      <w:r w:rsidRPr="005F6CA9">
        <w:rPr>
          <w:lang w:val="lv-LV"/>
        </w:rPr>
        <w:t xml:space="preserve">. 2nd </w:t>
      </w:r>
      <w:proofErr w:type="spellStart"/>
      <w:r w:rsidRPr="005F6CA9">
        <w:rPr>
          <w:lang w:val="lv-LV"/>
        </w:rPr>
        <w:t>edition</w:t>
      </w:r>
      <w:proofErr w:type="spellEnd"/>
      <w:r w:rsidRPr="005F6CA9">
        <w:rPr>
          <w:lang w:val="lv-LV"/>
        </w:rPr>
        <w:t xml:space="preserve">. </w:t>
      </w:r>
      <w:proofErr w:type="spellStart"/>
      <w:r w:rsidRPr="005F6CA9">
        <w:rPr>
          <w:lang w:val="lv-LV"/>
        </w:rPr>
        <w:t>Cheltenham</w:t>
      </w:r>
      <w:proofErr w:type="spellEnd"/>
      <w:r w:rsidRPr="005F6CA9">
        <w:rPr>
          <w:lang w:val="lv-LV"/>
        </w:rPr>
        <w:t xml:space="preserve"> (UK): </w:t>
      </w:r>
      <w:proofErr w:type="spellStart"/>
      <w:r w:rsidRPr="005F6CA9">
        <w:rPr>
          <w:lang w:val="lv-LV"/>
        </w:rPr>
        <w:t>Edward</w:t>
      </w:r>
      <w:proofErr w:type="spellEnd"/>
      <w:r w:rsidRPr="005F6CA9">
        <w:rPr>
          <w:lang w:val="lv-LV"/>
        </w:rPr>
        <w:t xml:space="preserve"> Elgar, 2010, p. 329.</w:t>
      </w:r>
    </w:p>
  </w:footnote>
  <w:footnote w:id="153">
    <w:p w14:paraId="0FF08442" w14:textId="77777777" w:rsidR="000C7C76" w:rsidRPr="005F6CA9" w:rsidRDefault="000C7C76" w:rsidP="00114953">
      <w:pPr>
        <w:pStyle w:val="FootnoteText"/>
        <w:jc w:val="both"/>
        <w:rPr>
          <w:lang w:val="lv-LV"/>
        </w:rPr>
      </w:pPr>
      <w:r w:rsidRPr="005F6CA9">
        <w:rPr>
          <w:rStyle w:val="FootnoteReference"/>
        </w:rPr>
        <w:footnoteRef/>
      </w:r>
      <w:r w:rsidRPr="005F6CA9">
        <w:t xml:space="preserve"> </w:t>
      </w:r>
      <w:r w:rsidRPr="005F6CA9">
        <w:rPr>
          <w:lang w:val="lv-LV"/>
        </w:rPr>
        <w:t>Ferrari F. (</w:t>
      </w:r>
      <w:proofErr w:type="spellStart"/>
      <w:r w:rsidRPr="005F6CA9">
        <w:rPr>
          <w:lang w:val="lv-LV"/>
        </w:rPr>
        <w:t>ed</w:t>
      </w:r>
      <w:proofErr w:type="spellEnd"/>
      <w:r w:rsidRPr="005F6CA9">
        <w:rPr>
          <w:lang w:val="lv-LV"/>
        </w:rPr>
        <w:t>.) / L</w:t>
      </w:r>
      <w:r w:rsidRPr="000C7C76">
        <w:rPr>
          <w:lang w:val="en-US"/>
        </w:rPr>
        <w:t>ü</w:t>
      </w:r>
      <w:proofErr w:type="spellStart"/>
      <w:r w:rsidRPr="005F6CA9">
        <w:rPr>
          <w:lang w:val="lv-LV"/>
        </w:rPr>
        <w:t>ttringhaus</w:t>
      </w:r>
      <w:proofErr w:type="spellEnd"/>
      <w:r w:rsidRPr="005F6CA9">
        <w:rPr>
          <w:lang w:val="lv-LV"/>
        </w:rPr>
        <w:t xml:space="preserve"> J.D. </w:t>
      </w:r>
      <w:proofErr w:type="spellStart"/>
      <w:r w:rsidRPr="005F6CA9">
        <w:rPr>
          <w:lang w:val="lv-LV"/>
        </w:rPr>
        <w:t>Rome</w:t>
      </w:r>
      <w:proofErr w:type="spellEnd"/>
      <w:r w:rsidRPr="005F6CA9">
        <w:rPr>
          <w:lang w:val="lv-LV"/>
        </w:rPr>
        <w:t xml:space="preserve"> I </w:t>
      </w:r>
      <w:proofErr w:type="spellStart"/>
      <w:r w:rsidRPr="005F6CA9">
        <w:rPr>
          <w:lang w:val="lv-LV"/>
        </w:rPr>
        <w:t>Regulation</w:t>
      </w:r>
      <w:proofErr w:type="spellEnd"/>
      <w:r w:rsidRPr="005F6CA9">
        <w:rPr>
          <w:lang w:val="lv-LV"/>
        </w:rPr>
        <w:t xml:space="preserve">. </w:t>
      </w:r>
      <w:proofErr w:type="spellStart"/>
      <w:r w:rsidRPr="005F6CA9">
        <w:rPr>
          <w:lang w:val="lv-LV"/>
        </w:rPr>
        <w:t>Pocket</w:t>
      </w:r>
      <w:proofErr w:type="spellEnd"/>
      <w:r w:rsidRPr="005F6CA9">
        <w:rPr>
          <w:lang w:val="lv-LV"/>
        </w:rPr>
        <w:t xml:space="preserve"> </w:t>
      </w:r>
      <w:proofErr w:type="spellStart"/>
      <w:r w:rsidRPr="005F6CA9">
        <w:rPr>
          <w:lang w:val="lv-LV"/>
        </w:rPr>
        <w:t>Commentary</w:t>
      </w:r>
      <w:proofErr w:type="spellEnd"/>
      <w:r w:rsidRPr="005F6CA9">
        <w:rPr>
          <w:lang w:val="lv-LV"/>
        </w:rPr>
        <w:t xml:space="preserve">. Munich: </w:t>
      </w:r>
      <w:proofErr w:type="spellStart"/>
      <w:r w:rsidRPr="005F6CA9">
        <w:rPr>
          <w:lang w:val="lv-LV"/>
        </w:rPr>
        <w:t>Sellier</w:t>
      </w:r>
      <w:proofErr w:type="spellEnd"/>
      <w:r w:rsidRPr="005F6CA9">
        <w:rPr>
          <w:lang w:val="lv-LV"/>
        </w:rPr>
        <w:t>, 2015, Art. 1(2)(f), p. 56 (§ 70).</w:t>
      </w:r>
    </w:p>
  </w:footnote>
  <w:footnote w:id="154">
    <w:p w14:paraId="190E902D" w14:textId="77777777" w:rsidR="000C7C76" w:rsidRPr="005F6CA9" w:rsidRDefault="000C7C76" w:rsidP="00114953">
      <w:pPr>
        <w:pStyle w:val="FootnoteText"/>
        <w:jc w:val="both"/>
        <w:rPr>
          <w:lang w:val="lv-LV"/>
        </w:rPr>
      </w:pPr>
      <w:r w:rsidRPr="005F6CA9">
        <w:rPr>
          <w:rStyle w:val="FootnoteReference"/>
        </w:rPr>
        <w:footnoteRef/>
      </w:r>
      <w:r w:rsidRPr="005F6CA9">
        <w:t xml:space="preserve"> </w:t>
      </w:r>
      <w:proofErr w:type="spellStart"/>
      <w:r w:rsidRPr="005F6CA9">
        <w:rPr>
          <w:lang w:val="lv-LV"/>
        </w:rPr>
        <w:t>Pfeiffer</w:t>
      </w:r>
      <w:proofErr w:type="spellEnd"/>
      <w:r w:rsidRPr="005F6CA9">
        <w:rPr>
          <w:lang w:val="lv-LV"/>
        </w:rPr>
        <w:t xml:space="preserve"> G. </w:t>
      </w:r>
      <w:proofErr w:type="spellStart"/>
      <w:r w:rsidRPr="005F6CA9">
        <w:rPr>
          <w:lang w:val="lv-LV"/>
        </w:rPr>
        <w:t>Vollmacht</w:t>
      </w:r>
      <w:proofErr w:type="spellEnd"/>
      <w:r w:rsidRPr="005F6CA9">
        <w:rPr>
          <w:lang w:val="lv-LV"/>
        </w:rPr>
        <w:t xml:space="preserve"> </w:t>
      </w:r>
      <w:proofErr w:type="spellStart"/>
      <w:r w:rsidRPr="005F6CA9">
        <w:rPr>
          <w:lang w:val="lv-LV"/>
        </w:rPr>
        <w:t>und</w:t>
      </w:r>
      <w:proofErr w:type="spellEnd"/>
      <w:r w:rsidRPr="005F6CA9">
        <w:rPr>
          <w:lang w:val="lv-LV"/>
        </w:rPr>
        <w:t xml:space="preserve"> </w:t>
      </w:r>
      <w:proofErr w:type="spellStart"/>
      <w:r w:rsidRPr="005F6CA9">
        <w:rPr>
          <w:lang w:val="lv-LV"/>
        </w:rPr>
        <w:t>Vertretungsnachweis</w:t>
      </w:r>
      <w:proofErr w:type="spellEnd"/>
      <w:r w:rsidRPr="005F6CA9">
        <w:rPr>
          <w:lang w:val="lv-LV"/>
        </w:rPr>
        <w:t xml:space="preserve"> </w:t>
      </w:r>
      <w:proofErr w:type="spellStart"/>
      <w:r w:rsidRPr="005F6CA9">
        <w:rPr>
          <w:lang w:val="lv-LV"/>
        </w:rPr>
        <w:t>bei</w:t>
      </w:r>
      <w:proofErr w:type="spellEnd"/>
      <w:r w:rsidRPr="005F6CA9">
        <w:rPr>
          <w:lang w:val="lv-LV"/>
        </w:rPr>
        <w:t xml:space="preserve"> </w:t>
      </w:r>
      <w:proofErr w:type="spellStart"/>
      <w:r w:rsidRPr="005F6CA9">
        <w:rPr>
          <w:lang w:val="lv-LV"/>
        </w:rPr>
        <w:t>Auslandsbezug</w:t>
      </w:r>
      <w:proofErr w:type="spellEnd"/>
      <w:r w:rsidRPr="005F6CA9">
        <w:rPr>
          <w:lang w:val="lv-LV"/>
        </w:rPr>
        <w:t xml:space="preserve"> </w:t>
      </w:r>
      <w:proofErr w:type="spellStart"/>
      <w:r w:rsidRPr="005F6CA9">
        <w:rPr>
          <w:lang w:val="lv-LV"/>
        </w:rPr>
        <w:t>im</w:t>
      </w:r>
      <w:proofErr w:type="spellEnd"/>
      <w:r w:rsidRPr="005F6CA9">
        <w:rPr>
          <w:lang w:val="lv-LV"/>
        </w:rPr>
        <w:t xml:space="preserve"> </w:t>
      </w:r>
      <w:proofErr w:type="spellStart"/>
      <w:r w:rsidRPr="005F6CA9">
        <w:rPr>
          <w:lang w:val="lv-LV"/>
        </w:rPr>
        <w:t>deutschen</w:t>
      </w:r>
      <w:proofErr w:type="spellEnd"/>
      <w:r w:rsidRPr="005F6CA9">
        <w:rPr>
          <w:lang w:val="lv-LV"/>
        </w:rPr>
        <w:t xml:space="preserve"> </w:t>
      </w:r>
      <w:proofErr w:type="spellStart"/>
      <w:r w:rsidRPr="005F6CA9">
        <w:rPr>
          <w:lang w:val="lv-LV"/>
        </w:rPr>
        <w:t>Handelsregisterverfahren</w:t>
      </w:r>
      <w:proofErr w:type="spellEnd"/>
      <w:r w:rsidRPr="005F6CA9">
        <w:rPr>
          <w:lang w:val="lv-LV"/>
        </w:rPr>
        <w:t xml:space="preserve">. </w:t>
      </w:r>
      <w:proofErr w:type="spellStart"/>
      <w:r w:rsidRPr="005F6CA9">
        <w:rPr>
          <w:lang w:val="lv-LV"/>
        </w:rPr>
        <w:t>Rpfleger</w:t>
      </w:r>
      <w:proofErr w:type="spellEnd"/>
      <w:r w:rsidRPr="005F6CA9">
        <w:rPr>
          <w:lang w:val="lv-LV"/>
        </w:rPr>
        <w:t xml:space="preserve">, </w:t>
      </w:r>
      <w:proofErr w:type="spellStart"/>
      <w:r w:rsidRPr="005F6CA9">
        <w:rPr>
          <w:lang w:val="lv-LV"/>
        </w:rPr>
        <w:t>Bielefeld</w:t>
      </w:r>
      <w:proofErr w:type="spellEnd"/>
      <w:r w:rsidRPr="005F6CA9">
        <w:rPr>
          <w:lang w:val="lv-LV"/>
        </w:rPr>
        <w:t xml:space="preserve">: </w:t>
      </w:r>
      <w:proofErr w:type="spellStart"/>
      <w:r w:rsidRPr="005F6CA9">
        <w:rPr>
          <w:lang w:val="lv-LV"/>
        </w:rPr>
        <w:t>Verlag</w:t>
      </w:r>
      <w:proofErr w:type="spellEnd"/>
      <w:r w:rsidRPr="005F6CA9">
        <w:rPr>
          <w:lang w:val="lv-LV"/>
        </w:rPr>
        <w:t xml:space="preserve"> </w:t>
      </w:r>
      <w:proofErr w:type="spellStart"/>
      <w:r w:rsidRPr="005F6CA9">
        <w:rPr>
          <w:lang w:val="lv-LV"/>
        </w:rPr>
        <w:t>Gieseking</w:t>
      </w:r>
      <w:proofErr w:type="spellEnd"/>
      <w:r w:rsidRPr="005F6CA9">
        <w:rPr>
          <w:lang w:val="lv-LV"/>
        </w:rPr>
        <w:t>, 2012, S. 243.</w:t>
      </w:r>
    </w:p>
  </w:footnote>
  <w:footnote w:id="155">
    <w:p w14:paraId="5EBDCAAA" w14:textId="77777777" w:rsidR="000C7C76" w:rsidRPr="005F6CA9" w:rsidRDefault="000C7C76" w:rsidP="00114953">
      <w:pPr>
        <w:pStyle w:val="FootnoteText"/>
        <w:rPr>
          <w:lang w:val="lv-LV"/>
        </w:rPr>
      </w:pPr>
      <w:r w:rsidRPr="005F6CA9">
        <w:rPr>
          <w:rStyle w:val="FootnoteReference"/>
        </w:rPr>
        <w:footnoteRef/>
      </w:r>
      <w:r w:rsidRPr="005F6CA9">
        <w:t xml:space="preserve"> </w:t>
      </w:r>
      <w:proofErr w:type="spellStart"/>
      <w:r w:rsidRPr="005F6CA9">
        <w:rPr>
          <w:i/>
          <w:lang w:val="lv-LV"/>
        </w:rPr>
        <w:t>Ibid</w:t>
      </w:r>
      <w:proofErr w:type="spellEnd"/>
      <w:r w:rsidRPr="005F6CA9">
        <w:rPr>
          <w:lang w:val="lv-LV"/>
        </w:rPr>
        <w:t>., 41.atsauce.</w:t>
      </w:r>
    </w:p>
  </w:footnote>
  <w:footnote w:id="156">
    <w:p w14:paraId="3214BE11" w14:textId="77777777" w:rsidR="000C7C76" w:rsidRPr="000C7C76" w:rsidRDefault="000C7C76" w:rsidP="00114953">
      <w:pPr>
        <w:pStyle w:val="FootnoteText"/>
        <w:jc w:val="both"/>
        <w:rPr>
          <w:lang w:val="en-US"/>
        </w:rPr>
      </w:pPr>
      <w:r w:rsidRPr="005F6CA9">
        <w:rPr>
          <w:rStyle w:val="FootnoteReference"/>
        </w:rPr>
        <w:footnoteRef/>
      </w:r>
      <w:r w:rsidRPr="005F6CA9">
        <w:t xml:space="preserve"> </w:t>
      </w:r>
      <w:r w:rsidRPr="005F6CA9">
        <w:rPr>
          <w:lang w:val="lv-LV"/>
        </w:rPr>
        <w:t xml:space="preserve">OLG </w:t>
      </w:r>
      <w:r w:rsidRPr="000C7C76">
        <w:rPr>
          <w:lang w:val="en-US"/>
        </w:rPr>
        <w:t xml:space="preserve">Nürnberg 15.Zivilsenat. 25.03.2014., 15 W 381/14. </w:t>
      </w:r>
      <w:proofErr w:type="spellStart"/>
      <w:proofErr w:type="gramStart"/>
      <w:r w:rsidRPr="000C7C76">
        <w:rPr>
          <w:lang w:val="en-US"/>
        </w:rPr>
        <w:t>Pieejams</w:t>
      </w:r>
      <w:proofErr w:type="spellEnd"/>
      <w:r w:rsidRPr="000C7C76">
        <w:rPr>
          <w:lang w:val="en-US"/>
        </w:rPr>
        <w:t> :</w:t>
      </w:r>
      <w:proofErr w:type="gramEnd"/>
      <w:r w:rsidRPr="000C7C76">
        <w:rPr>
          <w:lang w:val="en-US"/>
        </w:rPr>
        <w:t xml:space="preserve"> </w:t>
      </w:r>
      <w:hyperlink r:id="rId15" w:history="1">
        <w:r w:rsidRPr="000C7C76">
          <w:rPr>
            <w:rStyle w:val="Hyperlink"/>
            <w:lang w:val="en-US"/>
          </w:rPr>
          <w:t>www.juris.de</w:t>
        </w:r>
      </w:hyperlink>
      <w:r w:rsidRPr="000C7C76">
        <w:rPr>
          <w:lang w:val="en-US"/>
        </w:rPr>
        <w:t xml:space="preserve"> </w:t>
      </w:r>
    </w:p>
  </w:footnote>
  <w:footnote w:id="157">
    <w:p w14:paraId="60CC51A3" w14:textId="77777777" w:rsidR="000C7C76" w:rsidRPr="005F6CA9" w:rsidRDefault="000C7C76" w:rsidP="00114953">
      <w:pPr>
        <w:pStyle w:val="FootnoteText"/>
        <w:jc w:val="both"/>
        <w:rPr>
          <w:lang w:val="lv-LV"/>
        </w:rPr>
      </w:pPr>
      <w:r w:rsidRPr="005F6CA9">
        <w:rPr>
          <w:rStyle w:val="FootnoteReference"/>
        </w:rPr>
        <w:footnoteRef/>
      </w:r>
      <w:r w:rsidRPr="005F6CA9">
        <w:t xml:space="preserve"> </w:t>
      </w:r>
      <w:r w:rsidRPr="005F6CA9">
        <w:rPr>
          <w:lang w:val="lv-LV"/>
        </w:rPr>
        <w:t xml:space="preserve">Skat. </w:t>
      </w:r>
      <w:proofErr w:type="spellStart"/>
      <w:r w:rsidRPr="005F6CA9">
        <w:rPr>
          <w:lang w:val="lv-LV"/>
        </w:rPr>
        <w:t>Companies</w:t>
      </w:r>
      <w:proofErr w:type="spellEnd"/>
      <w:r w:rsidRPr="005F6CA9">
        <w:rPr>
          <w:lang w:val="lv-LV"/>
        </w:rPr>
        <w:t xml:space="preserve"> </w:t>
      </w:r>
      <w:proofErr w:type="spellStart"/>
      <w:r w:rsidRPr="005F6CA9">
        <w:rPr>
          <w:lang w:val="lv-LV"/>
        </w:rPr>
        <w:t>Act</w:t>
      </w:r>
      <w:proofErr w:type="spellEnd"/>
      <w:r w:rsidRPr="005F6CA9">
        <w:rPr>
          <w:lang w:val="lv-LV"/>
        </w:rPr>
        <w:t xml:space="preserve"> 2006, § 270. Pieejams: </w:t>
      </w:r>
      <w:hyperlink r:id="rId16" w:history="1">
        <w:r w:rsidRPr="005F6CA9">
          <w:rPr>
            <w:rStyle w:val="Hyperlink"/>
            <w:lang w:val="lv-LV"/>
          </w:rPr>
          <w:t>http://www.legislation.gov.uk/ukpga/2006/46/contents</w:t>
        </w:r>
      </w:hyperlink>
      <w:r w:rsidRPr="005F6CA9">
        <w:rPr>
          <w:lang w:val="lv-LV"/>
        </w:rPr>
        <w:t xml:space="preserve"> [aplūkots 29.05.2016.].</w:t>
      </w:r>
    </w:p>
  </w:footnote>
  <w:footnote w:id="158">
    <w:p w14:paraId="1964D4A6" w14:textId="77777777" w:rsidR="000C7C76" w:rsidRPr="005F6CA9" w:rsidRDefault="000C7C76" w:rsidP="00114953">
      <w:pPr>
        <w:pStyle w:val="FootnoteText"/>
        <w:jc w:val="both"/>
        <w:rPr>
          <w:lang w:val="lv-LV"/>
        </w:rPr>
      </w:pPr>
      <w:r w:rsidRPr="005F6CA9">
        <w:rPr>
          <w:rStyle w:val="FootnoteReference"/>
        </w:rPr>
        <w:footnoteRef/>
      </w:r>
      <w:r w:rsidRPr="005F6CA9">
        <w:t xml:space="preserve"> </w:t>
      </w:r>
      <w:proofErr w:type="spellStart"/>
      <w:r w:rsidRPr="005F6CA9">
        <w:rPr>
          <w:lang w:val="lv-LV"/>
        </w:rPr>
        <w:t>Pfeiffer</w:t>
      </w:r>
      <w:proofErr w:type="spellEnd"/>
      <w:r w:rsidRPr="005F6CA9">
        <w:rPr>
          <w:lang w:val="lv-LV"/>
        </w:rPr>
        <w:t xml:space="preserve"> G. </w:t>
      </w:r>
      <w:proofErr w:type="spellStart"/>
      <w:r w:rsidRPr="005F6CA9">
        <w:rPr>
          <w:lang w:val="lv-LV"/>
        </w:rPr>
        <w:t>Vollmacht</w:t>
      </w:r>
      <w:proofErr w:type="spellEnd"/>
      <w:r w:rsidRPr="005F6CA9">
        <w:rPr>
          <w:lang w:val="lv-LV"/>
        </w:rPr>
        <w:t xml:space="preserve"> </w:t>
      </w:r>
      <w:proofErr w:type="spellStart"/>
      <w:r w:rsidRPr="005F6CA9">
        <w:rPr>
          <w:lang w:val="lv-LV"/>
        </w:rPr>
        <w:t>und</w:t>
      </w:r>
      <w:proofErr w:type="spellEnd"/>
      <w:r w:rsidRPr="005F6CA9">
        <w:rPr>
          <w:lang w:val="lv-LV"/>
        </w:rPr>
        <w:t xml:space="preserve"> </w:t>
      </w:r>
      <w:proofErr w:type="spellStart"/>
      <w:r w:rsidRPr="005F6CA9">
        <w:rPr>
          <w:lang w:val="lv-LV"/>
        </w:rPr>
        <w:t>Vertretungsnachweis</w:t>
      </w:r>
      <w:proofErr w:type="spellEnd"/>
      <w:r w:rsidRPr="005F6CA9">
        <w:rPr>
          <w:lang w:val="lv-LV"/>
        </w:rPr>
        <w:t xml:space="preserve"> </w:t>
      </w:r>
      <w:proofErr w:type="spellStart"/>
      <w:r w:rsidRPr="005F6CA9">
        <w:rPr>
          <w:lang w:val="lv-LV"/>
        </w:rPr>
        <w:t>bei</w:t>
      </w:r>
      <w:proofErr w:type="spellEnd"/>
      <w:r w:rsidRPr="005F6CA9">
        <w:rPr>
          <w:lang w:val="lv-LV"/>
        </w:rPr>
        <w:t xml:space="preserve"> </w:t>
      </w:r>
      <w:proofErr w:type="spellStart"/>
      <w:r w:rsidRPr="005F6CA9">
        <w:rPr>
          <w:lang w:val="lv-LV"/>
        </w:rPr>
        <w:t>Auslandsbezug</w:t>
      </w:r>
      <w:proofErr w:type="spellEnd"/>
      <w:r w:rsidRPr="005F6CA9">
        <w:rPr>
          <w:lang w:val="lv-LV"/>
        </w:rPr>
        <w:t xml:space="preserve"> </w:t>
      </w:r>
      <w:proofErr w:type="spellStart"/>
      <w:r w:rsidRPr="005F6CA9">
        <w:rPr>
          <w:lang w:val="lv-LV"/>
        </w:rPr>
        <w:t>im</w:t>
      </w:r>
      <w:proofErr w:type="spellEnd"/>
      <w:r w:rsidRPr="005F6CA9">
        <w:rPr>
          <w:lang w:val="lv-LV"/>
        </w:rPr>
        <w:t xml:space="preserve"> </w:t>
      </w:r>
      <w:proofErr w:type="spellStart"/>
      <w:r w:rsidRPr="005F6CA9">
        <w:rPr>
          <w:lang w:val="lv-LV"/>
        </w:rPr>
        <w:t>deutschen</w:t>
      </w:r>
      <w:proofErr w:type="spellEnd"/>
      <w:r w:rsidRPr="005F6CA9">
        <w:rPr>
          <w:lang w:val="lv-LV"/>
        </w:rPr>
        <w:t xml:space="preserve"> </w:t>
      </w:r>
      <w:proofErr w:type="spellStart"/>
      <w:r w:rsidRPr="005F6CA9">
        <w:rPr>
          <w:lang w:val="lv-LV"/>
        </w:rPr>
        <w:t>Handelsregisterverfahren</w:t>
      </w:r>
      <w:proofErr w:type="spellEnd"/>
      <w:r w:rsidRPr="005F6CA9">
        <w:rPr>
          <w:lang w:val="lv-LV"/>
        </w:rPr>
        <w:t xml:space="preserve">. </w:t>
      </w:r>
      <w:proofErr w:type="spellStart"/>
      <w:r w:rsidRPr="005F6CA9">
        <w:rPr>
          <w:lang w:val="lv-LV"/>
        </w:rPr>
        <w:t>Rpfleger</w:t>
      </w:r>
      <w:proofErr w:type="spellEnd"/>
      <w:r w:rsidRPr="005F6CA9">
        <w:rPr>
          <w:lang w:val="lv-LV"/>
        </w:rPr>
        <w:t xml:space="preserve">, </w:t>
      </w:r>
      <w:proofErr w:type="spellStart"/>
      <w:r w:rsidRPr="005F6CA9">
        <w:rPr>
          <w:lang w:val="lv-LV"/>
        </w:rPr>
        <w:t>Bielefeld</w:t>
      </w:r>
      <w:proofErr w:type="spellEnd"/>
      <w:r w:rsidRPr="005F6CA9">
        <w:rPr>
          <w:lang w:val="lv-LV"/>
        </w:rPr>
        <w:t xml:space="preserve">: </w:t>
      </w:r>
      <w:proofErr w:type="spellStart"/>
      <w:r w:rsidRPr="005F6CA9">
        <w:rPr>
          <w:lang w:val="lv-LV"/>
        </w:rPr>
        <w:t>Verlag</w:t>
      </w:r>
      <w:proofErr w:type="spellEnd"/>
      <w:r w:rsidRPr="005F6CA9">
        <w:rPr>
          <w:lang w:val="lv-LV"/>
        </w:rPr>
        <w:t xml:space="preserve"> </w:t>
      </w:r>
      <w:proofErr w:type="spellStart"/>
      <w:r w:rsidRPr="005F6CA9">
        <w:rPr>
          <w:lang w:val="lv-LV"/>
        </w:rPr>
        <w:t>Gieseking</w:t>
      </w:r>
      <w:proofErr w:type="spellEnd"/>
      <w:r w:rsidRPr="005F6CA9">
        <w:rPr>
          <w:lang w:val="lv-LV"/>
        </w:rPr>
        <w:t>, 2012, S. 245.</w:t>
      </w:r>
    </w:p>
  </w:footnote>
  <w:footnote w:id="159">
    <w:p w14:paraId="4C3EB680" w14:textId="77777777" w:rsidR="000C7C76" w:rsidRPr="005F6CA9" w:rsidRDefault="000C7C76" w:rsidP="00114953">
      <w:pPr>
        <w:pStyle w:val="FootnoteText"/>
        <w:rPr>
          <w:lang w:val="lv-LV"/>
        </w:rPr>
      </w:pPr>
      <w:r w:rsidRPr="005F6CA9">
        <w:rPr>
          <w:rStyle w:val="FootnoteReference"/>
        </w:rPr>
        <w:footnoteRef/>
      </w:r>
      <w:r w:rsidRPr="005F6CA9">
        <w:t xml:space="preserve"> </w:t>
      </w:r>
      <w:r w:rsidRPr="005F6CA9">
        <w:rPr>
          <w:i/>
        </w:rPr>
        <w:t>Ibid</w:t>
      </w:r>
      <w:r w:rsidRPr="005F6CA9">
        <w:t>.</w:t>
      </w:r>
    </w:p>
  </w:footnote>
  <w:footnote w:id="160">
    <w:p w14:paraId="1CEC304F" w14:textId="77777777" w:rsidR="000C7C76" w:rsidRPr="005F6CA9" w:rsidRDefault="000C7C76" w:rsidP="00114953">
      <w:pPr>
        <w:pStyle w:val="FootnoteText"/>
        <w:rPr>
          <w:lang w:val="lv-LV"/>
        </w:rPr>
      </w:pPr>
      <w:r w:rsidRPr="005F6CA9">
        <w:rPr>
          <w:rStyle w:val="FootnoteReference"/>
        </w:rPr>
        <w:footnoteRef/>
      </w:r>
      <w:r w:rsidRPr="005F6CA9">
        <w:t xml:space="preserve"> </w:t>
      </w:r>
      <w:proofErr w:type="spellStart"/>
      <w:r w:rsidRPr="005F6CA9">
        <w:rPr>
          <w:i/>
          <w:lang w:val="lv-LV"/>
        </w:rPr>
        <w:t>Ibid</w:t>
      </w:r>
      <w:proofErr w:type="spellEnd"/>
      <w:r w:rsidRPr="005F6CA9">
        <w:rPr>
          <w:i/>
          <w:lang w:val="lv-LV"/>
        </w:rPr>
        <w:t>.</w:t>
      </w:r>
      <w:r w:rsidRPr="005F6CA9">
        <w:rPr>
          <w:lang w:val="lv-LV"/>
        </w:rPr>
        <w:t>, S. 244, 245.</w:t>
      </w:r>
    </w:p>
  </w:footnote>
  <w:footnote w:id="161">
    <w:p w14:paraId="2C05F814" w14:textId="77777777" w:rsidR="000C7C76" w:rsidRPr="005F6CA9" w:rsidRDefault="000C7C76" w:rsidP="00114953">
      <w:pPr>
        <w:pStyle w:val="FootnoteText"/>
        <w:jc w:val="both"/>
        <w:rPr>
          <w:lang w:val="lv-LV"/>
        </w:rPr>
      </w:pPr>
      <w:r w:rsidRPr="005F6CA9">
        <w:rPr>
          <w:rStyle w:val="FootnoteReference"/>
        </w:rPr>
        <w:footnoteRef/>
      </w:r>
      <w:r w:rsidRPr="005F6CA9">
        <w:t xml:space="preserve"> </w:t>
      </w:r>
      <w:proofErr w:type="spellStart"/>
      <w:r w:rsidRPr="005F6CA9">
        <w:rPr>
          <w:i/>
          <w:lang w:val="lv-LV"/>
        </w:rPr>
        <w:t>Ibid</w:t>
      </w:r>
      <w:proofErr w:type="spellEnd"/>
      <w:r w:rsidRPr="005F6CA9">
        <w:rPr>
          <w:i/>
          <w:lang w:val="lv-LV"/>
        </w:rPr>
        <w:t>.</w:t>
      </w:r>
      <w:r w:rsidRPr="005F6CA9">
        <w:rPr>
          <w:lang w:val="lv-LV"/>
        </w:rPr>
        <w:t>, S. 245.</w:t>
      </w:r>
    </w:p>
  </w:footnote>
  <w:footnote w:id="162">
    <w:p w14:paraId="7C0AE5A3" w14:textId="77777777" w:rsidR="000C7C76" w:rsidRPr="00CD4311" w:rsidRDefault="000C7C76" w:rsidP="00114953">
      <w:pPr>
        <w:pStyle w:val="FootnoteText"/>
        <w:rPr>
          <w:lang w:val="lv-LV"/>
        </w:rPr>
      </w:pPr>
      <w:r w:rsidRPr="00CD4311">
        <w:rPr>
          <w:rStyle w:val="FootnoteReference"/>
        </w:rPr>
        <w:footnoteRef/>
      </w:r>
      <w:r w:rsidRPr="00CD4311">
        <w:t xml:space="preserve"> </w:t>
      </w:r>
      <w:proofErr w:type="spellStart"/>
      <w:r w:rsidRPr="00CD4311">
        <w:rPr>
          <w:lang w:val="fr-FR"/>
        </w:rPr>
        <w:t>Fongaro</w:t>
      </w:r>
      <w:proofErr w:type="spellEnd"/>
      <w:r w:rsidRPr="00CD4311">
        <w:rPr>
          <w:lang w:val="fr-FR"/>
        </w:rPr>
        <w:t xml:space="preserve"> E. </w:t>
      </w:r>
      <w:proofErr w:type="spellStart"/>
      <w:r w:rsidRPr="00CD4311">
        <w:rPr>
          <w:lang w:val="fr-FR"/>
        </w:rPr>
        <w:t>Comm</w:t>
      </w:r>
      <w:proofErr w:type="spellEnd"/>
      <w:r w:rsidRPr="00CD4311">
        <w:rPr>
          <w:lang w:val="fr-FR"/>
        </w:rPr>
        <w:t xml:space="preserve">. De l’arrêt </w:t>
      </w:r>
      <w:proofErr w:type="spellStart"/>
      <w:r w:rsidRPr="00CD4311">
        <w:rPr>
          <w:lang w:val="fr-FR"/>
        </w:rPr>
        <w:t>cass</w:t>
      </w:r>
      <w:proofErr w:type="spellEnd"/>
      <w:r w:rsidRPr="00CD4311">
        <w:rPr>
          <w:lang w:val="fr-FR"/>
        </w:rPr>
        <w:t xml:space="preserve">. civ. 14 avril 2016, n° 15-18.157 « Sté Monte </w:t>
      </w:r>
      <w:proofErr w:type="spellStart"/>
      <w:r w:rsidRPr="00CD4311">
        <w:rPr>
          <w:lang w:val="fr-FR"/>
        </w:rPr>
        <w:t>Paschi</w:t>
      </w:r>
      <w:proofErr w:type="spellEnd"/>
      <w:r w:rsidRPr="00CD4311">
        <w:rPr>
          <w:lang w:val="fr-FR"/>
        </w:rPr>
        <w:t xml:space="preserve"> Banque » // Journal du droit international, n° 1, 2017. Paris, p. 172.</w:t>
      </w:r>
    </w:p>
  </w:footnote>
  <w:footnote w:id="163">
    <w:p w14:paraId="49189E44" w14:textId="77777777" w:rsidR="000C7C76" w:rsidRPr="00CD4311" w:rsidRDefault="000C7C76" w:rsidP="00CD4311">
      <w:pPr>
        <w:pStyle w:val="FootnoteText"/>
        <w:jc w:val="both"/>
        <w:rPr>
          <w:lang w:val="lv-LV"/>
        </w:rPr>
      </w:pPr>
      <w:r w:rsidRPr="005F6CA9">
        <w:rPr>
          <w:rStyle w:val="FootnoteReference"/>
        </w:rPr>
        <w:footnoteRef/>
      </w:r>
      <w:r w:rsidRPr="005F6CA9">
        <w:t xml:space="preserve"> </w:t>
      </w:r>
      <w:proofErr w:type="spellStart"/>
      <w:r w:rsidRPr="005F6CA9">
        <w:rPr>
          <w:lang w:val="lv-LV"/>
        </w:rPr>
        <w:t>Call</w:t>
      </w:r>
      <w:proofErr w:type="spellEnd"/>
      <w:r w:rsidRPr="005F6CA9">
        <w:rPr>
          <w:lang w:val="fr-FR"/>
        </w:rPr>
        <w:t>é P. L’acte public en droit international privé. Paris</w:t>
      </w:r>
      <w:r>
        <w:rPr>
          <w:lang w:val="fr-FR"/>
        </w:rPr>
        <w:t> : Economica, 2004, p. 298, 299 </w:t>
      </w:r>
      <w:r w:rsidRPr="00CD4311">
        <w:rPr>
          <w:lang w:val="fr-FR"/>
        </w:rPr>
        <w:t xml:space="preserve">; </w:t>
      </w:r>
      <w:proofErr w:type="spellStart"/>
      <w:r w:rsidRPr="00CD4311">
        <w:rPr>
          <w:lang w:val="fr-FR"/>
        </w:rPr>
        <w:t>Fongaro</w:t>
      </w:r>
      <w:proofErr w:type="spellEnd"/>
      <w:r w:rsidRPr="00CD4311">
        <w:rPr>
          <w:lang w:val="fr-FR"/>
        </w:rPr>
        <w:t xml:space="preserve"> E. </w:t>
      </w:r>
      <w:proofErr w:type="spellStart"/>
      <w:r w:rsidRPr="00CD4311">
        <w:rPr>
          <w:lang w:val="fr-FR"/>
        </w:rPr>
        <w:t>Comm</w:t>
      </w:r>
      <w:proofErr w:type="spellEnd"/>
      <w:r w:rsidRPr="00CD4311">
        <w:rPr>
          <w:lang w:val="fr-FR"/>
        </w:rPr>
        <w:t xml:space="preserve">. De l’arrêt </w:t>
      </w:r>
      <w:proofErr w:type="spellStart"/>
      <w:r w:rsidRPr="00CD4311">
        <w:rPr>
          <w:lang w:val="fr-FR"/>
        </w:rPr>
        <w:t>cass</w:t>
      </w:r>
      <w:proofErr w:type="spellEnd"/>
      <w:r w:rsidRPr="00CD4311">
        <w:rPr>
          <w:lang w:val="fr-FR"/>
        </w:rPr>
        <w:t xml:space="preserve">. civ. 14 avril 2016, n° 15-18.157 « Sté Monte </w:t>
      </w:r>
      <w:proofErr w:type="spellStart"/>
      <w:r w:rsidRPr="00CD4311">
        <w:rPr>
          <w:lang w:val="fr-FR"/>
        </w:rPr>
        <w:t>Paschi</w:t>
      </w:r>
      <w:proofErr w:type="spellEnd"/>
      <w:r w:rsidRPr="00CD4311">
        <w:rPr>
          <w:lang w:val="fr-FR"/>
        </w:rPr>
        <w:t xml:space="preserve"> Banque » // Journal du droit international, n° 1, 2017. Paris, p. 172.</w:t>
      </w:r>
    </w:p>
  </w:footnote>
  <w:footnote w:id="164">
    <w:p w14:paraId="507C80E0" w14:textId="77777777" w:rsidR="000C7C76" w:rsidRPr="00CD4311" w:rsidRDefault="000C7C76" w:rsidP="00CD4311">
      <w:pPr>
        <w:pStyle w:val="FootnoteText"/>
        <w:jc w:val="both"/>
        <w:rPr>
          <w:lang w:val="lv-LV"/>
        </w:rPr>
      </w:pPr>
      <w:r w:rsidRPr="00CD4311">
        <w:rPr>
          <w:rStyle w:val="FootnoteReference"/>
        </w:rPr>
        <w:footnoteRef/>
      </w:r>
      <w:r w:rsidRPr="00CD4311">
        <w:t xml:space="preserve"> </w:t>
      </w:r>
      <w:proofErr w:type="spellStart"/>
      <w:r w:rsidRPr="00CD4311">
        <w:rPr>
          <w:lang w:val="fr-FR"/>
        </w:rPr>
        <w:t>Fongaro</w:t>
      </w:r>
      <w:proofErr w:type="spellEnd"/>
      <w:r w:rsidRPr="00CD4311">
        <w:rPr>
          <w:lang w:val="fr-FR"/>
        </w:rPr>
        <w:t xml:space="preserve"> E. </w:t>
      </w:r>
      <w:proofErr w:type="spellStart"/>
      <w:r w:rsidRPr="00CD4311">
        <w:rPr>
          <w:lang w:val="fr-FR"/>
        </w:rPr>
        <w:t>Comm</w:t>
      </w:r>
      <w:proofErr w:type="spellEnd"/>
      <w:r w:rsidRPr="00CD4311">
        <w:rPr>
          <w:lang w:val="fr-FR"/>
        </w:rPr>
        <w:t xml:space="preserve">. De l’arrêt </w:t>
      </w:r>
      <w:proofErr w:type="spellStart"/>
      <w:r w:rsidRPr="00CD4311">
        <w:rPr>
          <w:lang w:val="fr-FR"/>
        </w:rPr>
        <w:t>cass</w:t>
      </w:r>
      <w:proofErr w:type="spellEnd"/>
      <w:r w:rsidRPr="00CD4311">
        <w:rPr>
          <w:lang w:val="fr-FR"/>
        </w:rPr>
        <w:t xml:space="preserve">. civ. 14 avril 2016, n° 15-18.157 « Sté Monte </w:t>
      </w:r>
      <w:proofErr w:type="spellStart"/>
      <w:r w:rsidRPr="00CD4311">
        <w:rPr>
          <w:lang w:val="fr-FR"/>
        </w:rPr>
        <w:t>Paschi</w:t>
      </w:r>
      <w:proofErr w:type="spellEnd"/>
      <w:r w:rsidRPr="00CD4311">
        <w:rPr>
          <w:lang w:val="fr-FR"/>
        </w:rPr>
        <w:t xml:space="preserve"> Banque » // Journal du droit international, n° 1, 2017. </w:t>
      </w:r>
      <w:r w:rsidRPr="000C7C76">
        <w:rPr>
          <w:lang w:val="en-US"/>
        </w:rPr>
        <w:t>Paris, p. 171.</w:t>
      </w:r>
    </w:p>
  </w:footnote>
  <w:footnote w:id="165">
    <w:p w14:paraId="5368F9F9" w14:textId="77777777" w:rsidR="000C7C76" w:rsidRPr="005F6CA9" w:rsidRDefault="000C7C76" w:rsidP="00CD4311">
      <w:pPr>
        <w:pStyle w:val="FootnoteText"/>
        <w:jc w:val="both"/>
        <w:rPr>
          <w:lang w:val="lv-LV"/>
        </w:rPr>
      </w:pPr>
      <w:r w:rsidRPr="005F6CA9">
        <w:rPr>
          <w:rStyle w:val="FootnoteReference"/>
        </w:rPr>
        <w:footnoteRef/>
      </w:r>
      <w:r w:rsidRPr="005F6CA9">
        <w:t xml:space="preserve"> </w:t>
      </w:r>
      <w:proofErr w:type="spellStart"/>
      <w:r w:rsidRPr="005F6CA9">
        <w:rPr>
          <w:lang w:val="lv-LV"/>
        </w:rPr>
        <w:t>Pfeiffer</w:t>
      </w:r>
      <w:proofErr w:type="spellEnd"/>
      <w:r w:rsidRPr="005F6CA9">
        <w:rPr>
          <w:lang w:val="lv-LV"/>
        </w:rPr>
        <w:t xml:space="preserve"> G. </w:t>
      </w:r>
      <w:proofErr w:type="spellStart"/>
      <w:r w:rsidRPr="005F6CA9">
        <w:rPr>
          <w:lang w:val="lv-LV"/>
        </w:rPr>
        <w:t>Vollmacht</w:t>
      </w:r>
      <w:proofErr w:type="spellEnd"/>
      <w:r w:rsidRPr="005F6CA9">
        <w:rPr>
          <w:lang w:val="lv-LV"/>
        </w:rPr>
        <w:t xml:space="preserve"> </w:t>
      </w:r>
      <w:proofErr w:type="spellStart"/>
      <w:r w:rsidRPr="005F6CA9">
        <w:rPr>
          <w:lang w:val="lv-LV"/>
        </w:rPr>
        <w:t>und</w:t>
      </w:r>
      <w:proofErr w:type="spellEnd"/>
      <w:r w:rsidRPr="005F6CA9">
        <w:rPr>
          <w:lang w:val="lv-LV"/>
        </w:rPr>
        <w:t xml:space="preserve"> </w:t>
      </w:r>
      <w:proofErr w:type="spellStart"/>
      <w:r w:rsidRPr="005F6CA9">
        <w:rPr>
          <w:lang w:val="lv-LV"/>
        </w:rPr>
        <w:t>Vertretungsnachweis</w:t>
      </w:r>
      <w:proofErr w:type="spellEnd"/>
      <w:r w:rsidRPr="005F6CA9">
        <w:rPr>
          <w:lang w:val="lv-LV"/>
        </w:rPr>
        <w:t xml:space="preserve"> </w:t>
      </w:r>
      <w:proofErr w:type="spellStart"/>
      <w:r w:rsidRPr="005F6CA9">
        <w:rPr>
          <w:lang w:val="lv-LV"/>
        </w:rPr>
        <w:t>bei</w:t>
      </w:r>
      <w:proofErr w:type="spellEnd"/>
      <w:r w:rsidRPr="005F6CA9">
        <w:rPr>
          <w:lang w:val="lv-LV"/>
        </w:rPr>
        <w:t xml:space="preserve"> </w:t>
      </w:r>
      <w:proofErr w:type="spellStart"/>
      <w:r w:rsidRPr="005F6CA9">
        <w:rPr>
          <w:lang w:val="lv-LV"/>
        </w:rPr>
        <w:t>Auslandsbezug</w:t>
      </w:r>
      <w:proofErr w:type="spellEnd"/>
      <w:r w:rsidRPr="005F6CA9">
        <w:rPr>
          <w:lang w:val="lv-LV"/>
        </w:rPr>
        <w:t xml:space="preserve"> </w:t>
      </w:r>
      <w:proofErr w:type="spellStart"/>
      <w:r w:rsidRPr="005F6CA9">
        <w:rPr>
          <w:lang w:val="lv-LV"/>
        </w:rPr>
        <w:t>im</w:t>
      </w:r>
      <w:proofErr w:type="spellEnd"/>
      <w:r w:rsidRPr="005F6CA9">
        <w:rPr>
          <w:lang w:val="lv-LV"/>
        </w:rPr>
        <w:t xml:space="preserve"> </w:t>
      </w:r>
      <w:proofErr w:type="spellStart"/>
      <w:r w:rsidRPr="005F6CA9">
        <w:rPr>
          <w:lang w:val="lv-LV"/>
        </w:rPr>
        <w:t>deutschen</w:t>
      </w:r>
      <w:proofErr w:type="spellEnd"/>
      <w:r w:rsidRPr="005F6CA9">
        <w:rPr>
          <w:lang w:val="lv-LV"/>
        </w:rPr>
        <w:t xml:space="preserve"> </w:t>
      </w:r>
      <w:proofErr w:type="spellStart"/>
      <w:r w:rsidRPr="005F6CA9">
        <w:rPr>
          <w:lang w:val="lv-LV"/>
        </w:rPr>
        <w:t>Handelsregisterverfahren</w:t>
      </w:r>
      <w:proofErr w:type="spellEnd"/>
      <w:r w:rsidRPr="005F6CA9">
        <w:rPr>
          <w:lang w:val="lv-LV"/>
        </w:rPr>
        <w:t xml:space="preserve">. </w:t>
      </w:r>
      <w:proofErr w:type="spellStart"/>
      <w:r w:rsidRPr="005F6CA9">
        <w:rPr>
          <w:lang w:val="lv-LV"/>
        </w:rPr>
        <w:t>Rpfleger</w:t>
      </w:r>
      <w:proofErr w:type="spellEnd"/>
      <w:r w:rsidRPr="005F6CA9">
        <w:rPr>
          <w:lang w:val="lv-LV"/>
        </w:rPr>
        <w:t xml:space="preserve">, </w:t>
      </w:r>
      <w:proofErr w:type="spellStart"/>
      <w:r w:rsidRPr="005F6CA9">
        <w:rPr>
          <w:lang w:val="lv-LV"/>
        </w:rPr>
        <w:t>Bielefeld</w:t>
      </w:r>
      <w:proofErr w:type="spellEnd"/>
      <w:r w:rsidRPr="005F6CA9">
        <w:rPr>
          <w:lang w:val="lv-LV"/>
        </w:rPr>
        <w:t xml:space="preserve">: </w:t>
      </w:r>
      <w:proofErr w:type="spellStart"/>
      <w:r w:rsidRPr="005F6CA9">
        <w:rPr>
          <w:lang w:val="lv-LV"/>
        </w:rPr>
        <w:t>Verlag</w:t>
      </w:r>
      <w:proofErr w:type="spellEnd"/>
      <w:r w:rsidRPr="005F6CA9">
        <w:rPr>
          <w:lang w:val="lv-LV"/>
        </w:rPr>
        <w:t xml:space="preserve"> </w:t>
      </w:r>
      <w:proofErr w:type="spellStart"/>
      <w:r w:rsidRPr="005F6CA9">
        <w:rPr>
          <w:lang w:val="lv-LV"/>
        </w:rPr>
        <w:t>Gieseking</w:t>
      </w:r>
      <w:proofErr w:type="spellEnd"/>
      <w:r w:rsidRPr="005F6CA9">
        <w:rPr>
          <w:lang w:val="lv-LV"/>
        </w:rPr>
        <w:t>, 2012, S. 244.</w:t>
      </w:r>
    </w:p>
  </w:footnote>
  <w:footnote w:id="166">
    <w:p w14:paraId="7D4AB52C" w14:textId="77777777" w:rsidR="000C7C76" w:rsidRPr="00794473" w:rsidRDefault="000C7C76" w:rsidP="00CD4311">
      <w:pPr>
        <w:pStyle w:val="FootnoteText"/>
        <w:jc w:val="both"/>
      </w:pPr>
      <w:r w:rsidRPr="00794473">
        <w:rPr>
          <w:rStyle w:val="FootnoteReference"/>
        </w:rPr>
        <w:footnoteRef/>
      </w:r>
      <w:r w:rsidRPr="00794473">
        <w:t xml:space="preserve"> </w:t>
      </w:r>
      <w:proofErr w:type="spellStart"/>
      <w:r w:rsidRPr="00794473">
        <w:t>Fohrer-Dedeurwaerder</w:t>
      </w:r>
      <w:proofErr w:type="spellEnd"/>
      <w:r w:rsidRPr="00794473">
        <w:t xml:space="preserve"> E. La </w:t>
      </w:r>
      <w:proofErr w:type="spellStart"/>
      <w:r w:rsidRPr="00794473">
        <w:t>prise</w:t>
      </w:r>
      <w:proofErr w:type="spellEnd"/>
      <w:r w:rsidRPr="00794473">
        <w:t xml:space="preserve"> en </w:t>
      </w:r>
      <w:proofErr w:type="spellStart"/>
      <w:r w:rsidRPr="00794473">
        <w:t>considération</w:t>
      </w:r>
      <w:proofErr w:type="spellEnd"/>
      <w:r w:rsidRPr="00794473">
        <w:t xml:space="preserve"> des </w:t>
      </w:r>
      <w:proofErr w:type="spellStart"/>
      <w:r w:rsidRPr="00794473">
        <w:t>normes</w:t>
      </w:r>
      <w:proofErr w:type="spellEnd"/>
      <w:r w:rsidRPr="00794473">
        <w:t xml:space="preserve"> </w:t>
      </w:r>
      <w:proofErr w:type="spellStart"/>
      <w:r w:rsidRPr="00794473">
        <w:t>étrangères</w:t>
      </w:r>
      <w:proofErr w:type="spellEnd"/>
      <w:r w:rsidRPr="00794473">
        <w:t>. Paris: L.G.D.J., 2008, p. 393.</w:t>
      </w:r>
    </w:p>
  </w:footnote>
  <w:footnote w:id="167">
    <w:p w14:paraId="36155285" w14:textId="77777777" w:rsidR="000C7C76" w:rsidRPr="00256EF2" w:rsidRDefault="000C7C76" w:rsidP="00CD4311">
      <w:pPr>
        <w:pStyle w:val="FootnoteText"/>
        <w:jc w:val="both"/>
      </w:pPr>
      <w:r w:rsidRPr="00256EF2">
        <w:rPr>
          <w:rStyle w:val="FootnoteReference"/>
        </w:rPr>
        <w:footnoteRef/>
      </w:r>
      <w:r w:rsidRPr="00256EF2">
        <w:t xml:space="preserve"> </w:t>
      </w:r>
      <w:proofErr w:type="spellStart"/>
      <w:r w:rsidRPr="00256EF2">
        <w:rPr>
          <w:lang w:val="lv-LV"/>
        </w:rPr>
        <w:t>Droz</w:t>
      </w:r>
      <w:proofErr w:type="spellEnd"/>
      <w:r w:rsidRPr="00256EF2">
        <w:rPr>
          <w:lang w:val="lv-LV"/>
        </w:rPr>
        <w:t xml:space="preserve"> </w:t>
      </w:r>
      <w:r>
        <w:t xml:space="preserve">G.A.L. </w:t>
      </w:r>
      <w:proofErr w:type="spellStart"/>
      <w:r>
        <w:t>Regards</w:t>
      </w:r>
      <w:proofErr w:type="spellEnd"/>
      <w:r>
        <w:t xml:space="preserve"> </w:t>
      </w:r>
      <w:proofErr w:type="spellStart"/>
      <w:r>
        <w:t>sur</w:t>
      </w:r>
      <w:proofErr w:type="spellEnd"/>
      <w:r>
        <w:t xml:space="preserve"> le </w:t>
      </w:r>
      <w:proofErr w:type="spellStart"/>
      <w:r>
        <w:t>droit</w:t>
      </w:r>
      <w:proofErr w:type="spellEnd"/>
      <w:r>
        <w:t xml:space="preserve"> international </w:t>
      </w:r>
      <w:proofErr w:type="spellStart"/>
      <w:r>
        <w:t>privé</w:t>
      </w:r>
      <w:proofErr w:type="spellEnd"/>
      <w:r>
        <w:t xml:space="preserve"> </w:t>
      </w:r>
      <w:proofErr w:type="spellStart"/>
      <w:r>
        <w:t>comparé</w:t>
      </w:r>
      <w:proofErr w:type="spellEnd"/>
      <w:r>
        <w:t xml:space="preserve">. Cours </w:t>
      </w:r>
      <w:proofErr w:type="spellStart"/>
      <w:r>
        <w:t>général</w:t>
      </w:r>
      <w:proofErr w:type="spellEnd"/>
      <w:r>
        <w:t xml:space="preserve"> de </w:t>
      </w:r>
      <w:proofErr w:type="spellStart"/>
      <w:r>
        <w:t>droit</w:t>
      </w:r>
      <w:proofErr w:type="spellEnd"/>
      <w:r>
        <w:t xml:space="preserve"> international </w:t>
      </w:r>
      <w:proofErr w:type="spellStart"/>
      <w:r>
        <w:t>privé</w:t>
      </w:r>
      <w:proofErr w:type="spellEnd"/>
      <w:r>
        <w:t xml:space="preserve"> // Rec. </w:t>
      </w:r>
      <w:proofErr w:type="spellStart"/>
      <w:r>
        <w:t>Acad</w:t>
      </w:r>
      <w:proofErr w:type="spellEnd"/>
      <w:r>
        <w:t>. La Haye 1991, IV, t. 229, p. 9.</w:t>
      </w:r>
      <w:r>
        <w:rPr>
          <w:lang w:val="lv-LV"/>
        </w:rPr>
        <w:t xml:space="preserve">Citēts pēc: </w:t>
      </w:r>
      <w:proofErr w:type="spellStart"/>
      <w:r>
        <w:t>Callé</w:t>
      </w:r>
      <w:proofErr w:type="spellEnd"/>
      <w:r>
        <w:t xml:space="preserve"> P. </w:t>
      </w:r>
      <w:proofErr w:type="spellStart"/>
      <w:r>
        <w:t>L’acte</w:t>
      </w:r>
      <w:proofErr w:type="spellEnd"/>
      <w:r>
        <w:t xml:space="preserve"> </w:t>
      </w:r>
      <w:proofErr w:type="spellStart"/>
      <w:r>
        <w:t>public</w:t>
      </w:r>
      <w:proofErr w:type="spellEnd"/>
      <w:r>
        <w:t xml:space="preserve"> en </w:t>
      </w:r>
      <w:proofErr w:type="spellStart"/>
      <w:r>
        <w:t>droit</w:t>
      </w:r>
      <w:proofErr w:type="spellEnd"/>
      <w:r>
        <w:t xml:space="preserve"> international </w:t>
      </w:r>
      <w:proofErr w:type="spellStart"/>
      <w:r>
        <w:t>privé</w:t>
      </w:r>
      <w:proofErr w:type="spellEnd"/>
      <w:r>
        <w:t xml:space="preserve">. Paris: </w:t>
      </w:r>
      <w:proofErr w:type="spellStart"/>
      <w:r>
        <w:t>Economica</w:t>
      </w:r>
      <w:proofErr w:type="spellEnd"/>
      <w:r>
        <w:t>, 2004, p. 299.</w:t>
      </w:r>
    </w:p>
  </w:footnote>
  <w:footnote w:id="168">
    <w:p w14:paraId="33CAF309" w14:textId="0C14FA06" w:rsidR="000C7C76" w:rsidRPr="0043629E" w:rsidRDefault="000C7C76" w:rsidP="00CD4311">
      <w:pPr>
        <w:pStyle w:val="FootnoteText"/>
        <w:jc w:val="both"/>
      </w:pPr>
      <w:r w:rsidRPr="00007B43">
        <w:rPr>
          <w:rStyle w:val="FootnoteReference"/>
        </w:rPr>
        <w:footnoteRef/>
      </w:r>
      <w:r w:rsidRPr="00007B43">
        <w:t xml:space="preserve"> </w:t>
      </w:r>
      <w:proofErr w:type="spellStart"/>
      <w:r>
        <w:t>Callé</w:t>
      </w:r>
      <w:proofErr w:type="spellEnd"/>
      <w:r>
        <w:t xml:space="preserve"> P. </w:t>
      </w:r>
      <w:proofErr w:type="spellStart"/>
      <w:r>
        <w:t>L’acte</w:t>
      </w:r>
      <w:proofErr w:type="spellEnd"/>
      <w:r>
        <w:t xml:space="preserve"> </w:t>
      </w:r>
      <w:proofErr w:type="spellStart"/>
      <w:r>
        <w:t>public</w:t>
      </w:r>
      <w:proofErr w:type="spellEnd"/>
      <w:r>
        <w:t xml:space="preserve"> en </w:t>
      </w:r>
      <w:proofErr w:type="spellStart"/>
      <w:r>
        <w:t>droit</w:t>
      </w:r>
      <w:proofErr w:type="spellEnd"/>
      <w:r>
        <w:t xml:space="preserve"> international </w:t>
      </w:r>
      <w:proofErr w:type="spellStart"/>
      <w:r>
        <w:t>privé</w:t>
      </w:r>
      <w:proofErr w:type="spellEnd"/>
      <w:r>
        <w:t xml:space="preserve">. Paris: </w:t>
      </w:r>
      <w:proofErr w:type="spellStart"/>
      <w:r>
        <w:t>Economica</w:t>
      </w:r>
      <w:proofErr w:type="spellEnd"/>
      <w:r>
        <w:t>, 2004, p. 299.</w:t>
      </w:r>
    </w:p>
  </w:footnote>
  <w:footnote w:id="169">
    <w:p w14:paraId="0BDA6B6D" w14:textId="77777777" w:rsidR="000C7C76" w:rsidRPr="0056419C" w:rsidRDefault="000C7C76" w:rsidP="00114953">
      <w:pPr>
        <w:pStyle w:val="FootnoteText"/>
        <w:jc w:val="both"/>
      </w:pPr>
      <w:r w:rsidRPr="0056419C">
        <w:rPr>
          <w:rStyle w:val="FootnoteReference"/>
        </w:rPr>
        <w:footnoteRef/>
      </w:r>
      <w:r w:rsidRPr="0056419C">
        <w:t xml:space="preserve"> </w:t>
      </w:r>
      <w:proofErr w:type="spellStart"/>
      <w:r w:rsidRPr="0056419C">
        <w:t>Fohrer-Dedeurwaerder</w:t>
      </w:r>
      <w:proofErr w:type="spellEnd"/>
      <w:r w:rsidRPr="0056419C">
        <w:t xml:space="preserve"> E. La </w:t>
      </w:r>
      <w:proofErr w:type="spellStart"/>
      <w:r w:rsidRPr="0056419C">
        <w:t>prise</w:t>
      </w:r>
      <w:proofErr w:type="spellEnd"/>
      <w:r w:rsidRPr="0056419C">
        <w:t xml:space="preserve"> en </w:t>
      </w:r>
      <w:proofErr w:type="spellStart"/>
      <w:r w:rsidRPr="0056419C">
        <w:t>considération</w:t>
      </w:r>
      <w:proofErr w:type="spellEnd"/>
      <w:r w:rsidRPr="0056419C">
        <w:t xml:space="preserve"> des </w:t>
      </w:r>
      <w:proofErr w:type="spellStart"/>
      <w:r w:rsidRPr="0056419C">
        <w:t>normes</w:t>
      </w:r>
      <w:proofErr w:type="spellEnd"/>
      <w:r w:rsidRPr="0056419C">
        <w:t xml:space="preserve"> </w:t>
      </w:r>
      <w:proofErr w:type="spellStart"/>
      <w:r w:rsidRPr="0056419C">
        <w:t>étrangères</w:t>
      </w:r>
      <w:proofErr w:type="spellEnd"/>
      <w:r w:rsidRPr="0056419C">
        <w:t>. Par</w:t>
      </w:r>
      <w:r>
        <w:t xml:space="preserve">is: L.G.D.J., 2008, p. 498, </w:t>
      </w:r>
      <w:proofErr w:type="gramStart"/>
      <w:r>
        <w:t>499 ;</w:t>
      </w:r>
      <w:proofErr w:type="gramEnd"/>
      <w:r>
        <w:t xml:space="preserve"> Pfeiffer G. Vollmacht und </w:t>
      </w:r>
      <w:proofErr w:type="spellStart"/>
      <w:r>
        <w:t>Vertetungsnachweis</w:t>
      </w:r>
      <w:proofErr w:type="spellEnd"/>
      <w:r>
        <w:t xml:space="preserve"> bei Auslandsbezug im deutschen Handelsregisterverfahren // </w:t>
      </w:r>
      <w:proofErr w:type="spellStart"/>
      <w:r>
        <w:t>Rpfleger</w:t>
      </w:r>
      <w:proofErr w:type="spellEnd"/>
      <w:r>
        <w:t>, 2012, S. 244.</w:t>
      </w:r>
    </w:p>
  </w:footnote>
  <w:footnote w:id="170">
    <w:p w14:paraId="5557EF31" w14:textId="77777777" w:rsidR="000C7C76" w:rsidRPr="0056419C" w:rsidRDefault="000C7C76" w:rsidP="00114953">
      <w:pPr>
        <w:pStyle w:val="FootnoteText"/>
        <w:jc w:val="both"/>
        <w:rPr>
          <w:lang w:val="lv-LV"/>
        </w:rPr>
      </w:pPr>
      <w:r w:rsidRPr="0056419C">
        <w:rPr>
          <w:rStyle w:val="FootnoteReference"/>
        </w:rPr>
        <w:footnoteRef/>
      </w:r>
      <w:r w:rsidRPr="0056419C">
        <w:t xml:space="preserve"> </w:t>
      </w:r>
      <w:proofErr w:type="spellStart"/>
      <w:r w:rsidRPr="0056419C">
        <w:t>Fohrer-Dedeurwaerder</w:t>
      </w:r>
      <w:proofErr w:type="spellEnd"/>
      <w:r w:rsidRPr="0056419C">
        <w:t xml:space="preserve"> E.</w:t>
      </w:r>
      <w:r>
        <w:t>,</w:t>
      </w:r>
      <w:r w:rsidRPr="0056419C">
        <w:t xml:space="preserve"> </w:t>
      </w:r>
      <w:r w:rsidRPr="00297B46">
        <w:rPr>
          <w:i/>
        </w:rPr>
        <w:t>ibid</w:t>
      </w:r>
      <w:r w:rsidRPr="0056419C">
        <w:t>., p. 499</w:t>
      </w:r>
      <w:r>
        <w:t>, 500</w:t>
      </w:r>
      <w:r w:rsidRPr="0056419C">
        <w:t>.</w:t>
      </w:r>
    </w:p>
  </w:footnote>
  <w:footnote w:id="171">
    <w:p w14:paraId="2980064A" w14:textId="77777777" w:rsidR="000C7C76" w:rsidRPr="00971599" w:rsidRDefault="000C7C76" w:rsidP="00114953">
      <w:pPr>
        <w:pStyle w:val="FootnoteText"/>
        <w:jc w:val="both"/>
      </w:pPr>
      <w:r w:rsidRPr="00D27511">
        <w:rPr>
          <w:rStyle w:val="FootnoteReference"/>
        </w:rPr>
        <w:footnoteRef/>
      </w:r>
      <w:r w:rsidRPr="00D27511">
        <w:t xml:space="preserve"> </w:t>
      </w:r>
      <w:proofErr w:type="spellStart"/>
      <w:r w:rsidRPr="0056419C">
        <w:t>Fohrer-Dedeurwaerder</w:t>
      </w:r>
      <w:proofErr w:type="spellEnd"/>
      <w:r w:rsidRPr="0056419C">
        <w:t xml:space="preserve"> E.</w:t>
      </w:r>
      <w:r>
        <w:t>,</w:t>
      </w:r>
      <w:r w:rsidRPr="0056419C">
        <w:t xml:space="preserve"> </w:t>
      </w:r>
      <w:proofErr w:type="spellStart"/>
      <w:r w:rsidRPr="00297B46">
        <w:rPr>
          <w:i/>
          <w:lang w:val="lv-LV"/>
        </w:rPr>
        <w:t>ibid</w:t>
      </w:r>
      <w:proofErr w:type="spellEnd"/>
      <w:r>
        <w:rPr>
          <w:lang w:val="lv-LV"/>
        </w:rPr>
        <w:t xml:space="preserve">., p. 501, 502; </w:t>
      </w:r>
      <w:proofErr w:type="spellStart"/>
      <w:r>
        <w:t>Callé</w:t>
      </w:r>
      <w:proofErr w:type="spellEnd"/>
      <w:r>
        <w:t xml:space="preserve"> P. </w:t>
      </w:r>
      <w:proofErr w:type="spellStart"/>
      <w:r>
        <w:t>L’acte</w:t>
      </w:r>
      <w:proofErr w:type="spellEnd"/>
      <w:r>
        <w:t xml:space="preserve"> </w:t>
      </w:r>
      <w:proofErr w:type="spellStart"/>
      <w:r>
        <w:t>public</w:t>
      </w:r>
      <w:proofErr w:type="spellEnd"/>
      <w:r>
        <w:t xml:space="preserve"> en </w:t>
      </w:r>
      <w:proofErr w:type="spellStart"/>
      <w:r>
        <w:t>droit</w:t>
      </w:r>
      <w:proofErr w:type="spellEnd"/>
      <w:r>
        <w:t xml:space="preserve"> international </w:t>
      </w:r>
      <w:proofErr w:type="spellStart"/>
      <w:r>
        <w:t>privé</w:t>
      </w:r>
      <w:proofErr w:type="spellEnd"/>
      <w:r>
        <w:t xml:space="preserve">. Paris: </w:t>
      </w:r>
      <w:proofErr w:type="spellStart"/>
      <w:r>
        <w:t>Economica</w:t>
      </w:r>
      <w:proofErr w:type="spellEnd"/>
      <w:r>
        <w:t>, 2004, p. 298.</w:t>
      </w:r>
    </w:p>
  </w:footnote>
  <w:footnote w:id="172">
    <w:p w14:paraId="2F7E1668" w14:textId="019931C3" w:rsidR="000C7C76" w:rsidRPr="00F47388" w:rsidRDefault="000C7C76" w:rsidP="00114953">
      <w:pPr>
        <w:pStyle w:val="FootnoteText"/>
        <w:jc w:val="both"/>
      </w:pPr>
      <w:r w:rsidRPr="00971599">
        <w:rPr>
          <w:rStyle w:val="FootnoteReference"/>
        </w:rPr>
        <w:footnoteRef/>
      </w:r>
      <w:r w:rsidRPr="00971599">
        <w:t xml:space="preserve"> </w:t>
      </w:r>
      <w:proofErr w:type="spellStart"/>
      <w:r w:rsidR="00297B46">
        <w:t>Callé</w:t>
      </w:r>
      <w:proofErr w:type="spellEnd"/>
      <w:r w:rsidR="00297B46">
        <w:t xml:space="preserve"> P., </w:t>
      </w:r>
      <w:r w:rsidR="00297B46" w:rsidRPr="00297B46">
        <w:rPr>
          <w:i/>
        </w:rPr>
        <w:t>ibid</w:t>
      </w:r>
      <w:r w:rsidR="00297B46">
        <w:t>.</w:t>
      </w:r>
      <w:r>
        <w:t xml:space="preserve">, p. </w:t>
      </w:r>
      <w:proofErr w:type="gramStart"/>
      <w:r>
        <w:t>299 ;</w:t>
      </w:r>
      <w:proofErr w:type="gramEnd"/>
      <w:r>
        <w:t xml:space="preserve"> Pfeiffer G. Vollmacht und </w:t>
      </w:r>
      <w:proofErr w:type="spellStart"/>
      <w:r>
        <w:t>Vertetungsnachweis</w:t>
      </w:r>
      <w:proofErr w:type="spellEnd"/>
      <w:r>
        <w:t xml:space="preserve"> bei Auslandsbezug im deutschen Handelsregisterverfahren // </w:t>
      </w:r>
      <w:proofErr w:type="spellStart"/>
      <w:r>
        <w:t>Rpfleger</w:t>
      </w:r>
      <w:proofErr w:type="spellEnd"/>
      <w:r>
        <w:t>, 2012, S. 244.</w:t>
      </w:r>
    </w:p>
  </w:footnote>
  <w:footnote w:id="173">
    <w:p w14:paraId="75085743" w14:textId="1DFC0DB1" w:rsidR="000C7C76" w:rsidRPr="00CD4311" w:rsidRDefault="000C7C76" w:rsidP="00114953">
      <w:pPr>
        <w:pStyle w:val="FootnoteText"/>
        <w:rPr>
          <w:lang w:val="lv-LV"/>
        </w:rPr>
      </w:pPr>
      <w:r w:rsidRPr="00CD4311">
        <w:rPr>
          <w:rStyle w:val="FootnoteReference"/>
        </w:rPr>
        <w:footnoteRef/>
      </w:r>
      <w:r w:rsidRPr="00CD4311">
        <w:t xml:space="preserve"> </w:t>
      </w:r>
      <w:proofErr w:type="spellStart"/>
      <w:r w:rsidR="00297B46">
        <w:t>Callé</w:t>
      </w:r>
      <w:proofErr w:type="spellEnd"/>
      <w:r w:rsidR="00297B46">
        <w:t xml:space="preserve"> P., </w:t>
      </w:r>
      <w:proofErr w:type="spellStart"/>
      <w:r w:rsidR="00297B46">
        <w:rPr>
          <w:i/>
          <w:lang w:val="lv-LV"/>
        </w:rPr>
        <w:t>i</w:t>
      </w:r>
      <w:r w:rsidRPr="00297B46">
        <w:rPr>
          <w:i/>
          <w:lang w:val="lv-LV"/>
        </w:rPr>
        <w:t>bid</w:t>
      </w:r>
      <w:proofErr w:type="spellEnd"/>
      <w:r w:rsidRPr="00CD4311">
        <w:rPr>
          <w:lang w:val="lv-LV"/>
        </w:rPr>
        <w:t>.</w:t>
      </w:r>
    </w:p>
  </w:footnote>
  <w:footnote w:id="174">
    <w:p w14:paraId="5C0896B4" w14:textId="77777777" w:rsidR="000C7C76" w:rsidRPr="00CD4311" w:rsidRDefault="000C7C76" w:rsidP="00114953">
      <w:pPr>
        <w:pStyle w:val="FootnoteText"/>
        <w:jc w:val="both"/>
        <w:rPr>
          <w:lang w:val="lv-LV"/>
        </w:rPr>
      </w:pPr>
      <w:r w:rsidRPr="00CD4311">
        <w:rPr>
          <w:rStyle w:val="FootnoteReference"/>
        </w:rPr>
        <w:footnoteRef/>
      </w:r>
      <w:r w:rsidRPr="00CD4311">
        <w:t xml:space="preserve"> </w:t>
      </w:r>
      <w:r w:rsidRPr="00CD4311">
        <w:rPr>
          <w:lang w:val="fr-FR"/>
        </w:rPr>
        <w:t xml:space="preserve">Gaudemet-Tallon H. De nouvelles fonctions pour l’équivalence en droit international privé ? </w:t>
      </w:r>
      <w:proofErr w:type="gramStart"/>
      <w:r w:rsidRPr="00CD4311">
        <w:rPr>
          <w:lang w:val="fr-FR"/>
        </w:rPr>
        <w:t>In:</w:t>
      </w:r>
      <w:proofErr w:type="gramEnd"/>
      <w:r w:rsidRPr="00CD4311">
        <w:rPr>
          <w:lang w:val="fr-FR"/>
        </w:rPr>
        <w:t xml:space="preserve"> Le droit international privé : esprit et méthodes (Mélanges en l’honneur de Paul Lagarde). Paris : Dalloz, 2005, p. 304.</w:t>
      </w:r>
    </w:p>
  </w:footnote>
  <w:footnote w:id="175">
    <w:p w14:paraId="508A70D9" w14:textId="77777777" w:rsidR="000C7C76" w:rsidRPr="00CD4311" w:rsidRDefault="000C7C76" w:rsidP="00114953">
      <w:pPr>
        <w:pStyle w:val="FootnoteText"/>
        <w:jc w:val="both"/>
        <w:rPr>
          <w:lang w:val="fr-FR"/>
        </w:rPr>
      </w:pPr>
      <w:r w:rsidRPr="00CD4311">
        <w:rPr>
          <w:rStyle w:val="FootnoteReference"/>
        </w:rPr>
        <w:footnoteRef/>
      </w:r>
      <w:r w:rsidRPr="00CD4311">
        <w:t xml:space="preserve"> </w:t>
      </w:r>
      <w:r w:rsidRPr="00CD4311">
        <w:rPr>
          <w:lang w:val="fr-FR"/>
        </w:rPr>
        <w:t xml:space="preserve">Cass. 1re civ. 14 avril, 2016, n° 15-18.157, 441 « Sté Monte </w:t>
      </w:r>
      <w:proofErr w:type="spellStart"/>
      <w:r w:rsidRPr="00CD4311">
        <w:rPr>
          <w:lang w:val="fr-FR"/>
        </w:rPr>
        <w:t>Paschi</w:t>
      </w:r>
      <w:proofErr w:type="spellEnd"/>
      <w:r w:rsidRPr="00CD4311">
        <w:rPr>
          <w:lang w:val="fr-FR"/>
        </w:rPr>
        <w:t xml:space="preserve"> Banque ».</w:t>
      </w:r>
    </w:p>
  </w:footnote>
  <w:footnote w:id="176">
    <w:p w14:paraId="6A181F87" w14:textId="77777777" w:rsidR="000C7C76" w:rsidRPr="000C7C76" w:rsidRDefault="000C7C76" w:rsidP="00114953">
      <w:pPr>
        <w:pStyle w:val="FootnoteText"/>
        <w:jc w:val="both"/>
        <w:rPr>
          <w:lang w:val="en-US"/>
        </w:rPr>
      </w:pPr>
      <w:r w:rsidRPr="00CD4311">
        <w:rPr>
          <w:rStyle w:val="FootnoteReference"/>
        </w:rPr>
        <w:footnoteRef/>
      </w:r>
      <w:r w:rsidRPr="00CD4311">
        <w:t xml:space="preserve"> </w:t>
      </w:r>
      <w:proofErr w:type="spellStart"/>
      <w:r w:rsidRPr="00CD4311">
        <w:rPr>
          <w:lang w:val="fr-FR"/>
        </w:rPr>
        <w:t>Fongaro</w:t>
      </w:r>
      <w:proofErr w:type="spellEnd"/>
      <w:r w:rsidRPr="00CD4311">
        <w:rPr>
          <w:lang w:val="fr-FR"/>
        </w:rPr>
        <w:t xml:space="preserve"> E. </w:t>
      </w:r>
      <w:proofErr w:type="spellStart"/>
      <w:r w:rsidRPr="00CD4311">
        <w:rPr>
          <w:lang w:val="fr-FR"/>
        </w:rPr>
        <w:t>Comm</w:t>
      </w:r>
      <w:proofErr w:type="spellEnd"/>
      <w:r w:rsidRPr="00CD4311">
        <w:rPr>
          <w:lang w:val="fr-FR"/>
        </w:rPr>
        <w:t xml:space="preserve">. De l’arrêt </w:t>
      </w:r>
      <w:proofErr w:type="spellStart"/>
      <w:r w:rsidRPr="00CD4311">
        <w:rPr>
          <w:lang w:val="fr-FR"/>
        </w:rPr>
        <w:t>cass</w:t>
      </w:r>
      <w:proofErr w:type="spellEnd"/>
      <w:r w:rsidRPr="00CD4311">
        <w:rPr>
          <w:lang w:val="fr-FR"/>
        </w:rPr>
        <w:t xml:space="preserve">. civ. 14 avril 2016, n° 15-18.157 « Sté Monte </w:t>
      </w:r>
      <w:proofErr w:type="spellStart"/>
      <w:r w:rsidRPr="00CD4311">
        <w:rPr>
          <w:lang w:val="fr-FR"/>
        </w:rPr>
        <w:t>Paschi</w:t>
      </w:r>
      <w:proofErr w:type="spellEnd"/>
      <w:r w:rsidRPr="00CD4311">
        <w:rPr>
          <w:lang w:val="fr-FR"/>
        </w:rPr>
        <w:t xml:space="preserve"> Banque » // Journal du droit international, n° 1, 2017. </w:t>
      </w:r>
      <w:r w:rsidRPr="000C7C76">
        <w:rPr>
          <w:lang w:val="en-US"/>
        </w:rPr>
        <w:t>Paris, p. 169.</w:t>
      </w:r>
    </w:p>
  </w:footnote>
  <w:footnote w:id="177">
    <w:p w14:paraId="3A7E710F" w14:textId="77777777" w:rsidR="000C7C76" w:rsidRPr="00CD4311" w:rsidRDefault="000C7C76" w:rsidP="00114953">
      <w:pPr>
        <w:pStyle w:val="FootnoteText"/>
        <w:jc w:val="both"/>
        <w:rPr>
          <w:lang w:val="lv-LV"/>
        </w:rPr>
      </w:pPr>
      <w:r w:rsidRPr="00CD4311">
        <w:rPr>
          <w:rStyle w:val="FootnoteReference"/>
        </w:rPr>
        <w:footnoteRef/>
      </w:r>
      <w:r w:rsidRPr="00CD4311">
        <w:t xml:space="preserve"> </w:t>
      </w:r>
      <w:proofErr w:type="spellStart"/>
      <w:r w:rsidRPr="00297B46">
        <w:rPr>
          <w:i/>
          <w:lang w:val="lv-LV"/>
        </w:rPr>
        <w:t>Ibid</w:t>
      </w:r>
      <w:proofErr w:type="spellEnd"/>
      <w:r w:rsidRPr="00297B46">
        <w:rPr>
          <w:i/>
          <w:lang w:val="lv-LV"/>
        </w:rPr>
        <w:t>.</w:t>
      </w:r>
      <w:r w:rsidRPr="00CD4311">
        <w:rPr>
          <w:lang w:val="lv-LV"/>
        </w:rPr>
        <w:t>, p. 170.</w:t>
      </w:r>
    </w:p>
  </w:footnote>
  <w:footnote w:id="178">
    <w:p w14:paraId="1FC41F52" w14:textId="77777777" w:rsidR="000C7C76" w:rsidRPr="00CD4311" w:rsidRDefault="000C7C76" w:rsidP="00114953">
      <w:pPr>
        <w:pStyle w:val="FootnoteText"/>
        <w:jc w:val="both"/>
        <w:rPr>
          <w:lang w:val="lv-LV"/>
        </w:rPr>
      </w:pPr>
      <w:r w:rsidRPr="00CD4311">
        <w:rPr>
          <w:rStyle w:val="FootnoteReference"/>
        </w:rPr>
        <w:footnoteRef/>
      </w:r>
      <w:r w:rsidRPr="00CD4311">
        <w:t xml:space="preserve"> </w:t>
      </w:r>
      <w:proofErr w:type="spellStart"/>
      <w:r w:rsidRPr="00297B46">
        <w:rPr>
          <w:i/>
          <w:lang w:val="lv-LV"/>
        </w:rPr>
        <w:t>Ibid</w:t>
      </w:r>
      <w:proofErr w:type="spellEnd"/>
      <w:r w:rsidRPr="00CD4311">
        <w:rPr>
          <w:lang w:val="lv-LV"/>
        </w:rPr>
        <w:t>., p. 171.</w:t>
      </w:r>
    </w:p>
  </w:footnote>
  <w:footnote w:id="179">
    <w:p w14:paraId="41F26295" w14:textId="77777777" w:rsidR="000C7C76" w:rsidRPr="00CD4311" w:rsidRDefault="000C7C76" w:rsidP="00114953">
      <w:pPr>
        <w:pStyle w:val="FootnoteText"/>
        <w:jc w:val="both"/>
        <w:rPr>
          <w:lang w:val="lv-LV"/>
        </w:rPr>
      </w:pPr>
      <w:r w:rsidRPr="00CD4311">
        <w:rPr>
          <w:rStyle w:val="FootnoteReference"/>
        </w:rPr>
        <w:footnoteRef/>
      </w:r>
      <w:r w:rsidRPr="00CD4311">
        <w:t xml:space="preserve"> </w:t>
      </w:r>
      <w:proofErr w:type="spellStart"/>
      <w:r w:rsidRPr="00297B46">
        <w:rPr>
          <w:i/>
          <w:lang w:val="lv-LV"/>
        </w:rPr>
        <w:t>Ibid</w:t>
      </w:r>
      <w:proofErr w:type="spellEnd"/>
      <w:r w:rsidRPr="00CD4311">
        <w:rPr>
          <w:lang w:val="lv-LV"/>
        </w:rPr>
        <w:t>., p. 157, 170.</w:t>
      </w:r>
    </w:p>
  </w:footnote>
  <w:footnote w:id="180">
    <w:p w14:paraId="70B119CB" w14:textId="77777777" w:rsidR="000C7C76" w:rsidRPr="00CD4311" w:rsidRDefault="000C7C76" w:rsidP="00114953">
      <w:pPr>
        <w:pStyle w:val="FootnoteText"/>
        <w:jc w:val="both"/>
        <w:rPr>
          <w:lang w:val="lv-LV"/>
        </w:rPr>
      </w:pPr>
      <w:r w:rsidRPr="00CD4311">
        <w:rPr>
          <w:rStyle w:val="FootnoteReference"/>
        </w:rPr>
        <w:footnoteRef/>
      </w:r>
      <w:r w:rsidRPr="00CD4311">
        <w:t xml:space="preserve"> </w:t>
      </w:r>
      <w:proofErr w:type="spellStart"/>
      <w:r w:rsidRPr="00CD4311">
        <w:t>Estonian</w:t>
      </w:r>
      <w:proofErr w:type="spellEnd"/>
      <w:r w:rsidRPr="00CD4311">
        <w:t xml:space="preserve"> </w:t>
      </w:r>
      <w:proofErr w:type="spellStart"/>
      <w:r w:rsidRPr="00CD4311">
        <w:rPr>
          <w:lang w:val="lv-LV"/>
        </w:rPr>
        <w:t>Notarisation</w:t>
      </w:r>
      <w:proofErr w:type="spellEnd"/>
      <w:r w:rsidRPr="00CD4311">
        <w:rPr>
          <w:lang w:val="lv-LV"/>
        </w:rPr>
        <w:t xml:space="preserve"> </w:t>
      </w:r>
      <w:proofErr w:type="spellStart"/>
      <w:r w:rsidRPr="00CD4311">
        <w:rPr>
          <w:lang w:val="lv-LV"/>
        </w:rPr>
        <w:t>Act</w:t>
      </w:r>
      <w:proofErr w:type="spellEnd"/>
      <w:r w:rsidRPr="00CD4311">
        <w:rPr>
          <w:lang w:val="lv-LV"/>
        </w:rPr>
        <w:t xml:space="preserve"> (</w:t>
      </w:r>
      <w:proofErr w:type="spellStart"/>
      <w:r w:rsidRPr="00CD4311">
        <w:rPr>
          <w:lang w:val="lv-LV"/>
        </w:rPr>
        <w:t>Toestamisseadus</w:t>
      </w:r>
      <w:proofErr w:type="spellEnd"/>
      <w:r w:rsidRPr="00CD4311">
        <w:rPr>
          <w:lang w:val="lv-LV"/>
        </w:rPr>
        <w:t xml:space="preserve">). </w:t>
      </w:r>
      <w:r w:rsidRPr="00CD4311">
        <w:rPr>
          <w:lang w:val="lv-LV"/>
        </w:rPr>
        <w:t xml:space="preserve">RT I 2001, 93, 564. Tulkojums angļu valodā pieejams šeit: </w:t>
      </w:r>
      <w:hyperlink r:id="rId17" w:history="1">
        <w:r w:rsidRPr="00CD4311">
          <w:rPr>
            <w:rStyle w:val="Hyperlink"/>
            <w:color w:val="auto"/>
            <w:lang w:val="lv-LV"/>
          </w:rPr>
          <w:t>https://www.riigiteataja.ee/en/eli/506062016001/consolide</w:t>
        </w:r>
      </w:hyperlink>
      <w:r w:rsidRPr="00CD4311">
        <w:rPr>
          <w:lang w:val="lv-LV"/>
        </w:rPr>
        <w:t xml:space="preserve"> </w:t>
      </w:r>
    </w:p>
  </w:footnote>
  <w:footnote w:id="181">
    <w:p w14:paraId="55377136" w14:textId="77777777" w:rsidR="000C7C76" w:rsidRPr="000C7C76" w:rsidRDefault="000C7C76" w:rsidP="00114953">
      <w:pPr>
        <w:pStyle w:val="CommentText"/>
        <w:jc w:val="both"/>
        <w:rPr>
          <w:rFonts w:ascii="Times New Roman" w:hAnsi="Times New Roman" w:cs="Times New Roman"/>
          <w:lang w:val="lv-LV"/>
        </w:rPr>
      </w:pPr>
      <w:r w:rsidRPr="00CD4311">
        <w:rPr>
          <w:rStyle w:val="FootnoteReference"/>
        </w:rPr>
        <w:footnoteRef/>
      </w:r>
      <w:r w:rsidRPr="000C7C76">
        <w:rPr>
          <w:lang w:val="lv-LV"/>
        </w:rPr>
        <w:t xml:space="preserve"> </w:t>
      </w:r>
      <w:r w:rsidRPr="00CD4311">
        <w:rPr>
          <w:rFonts w:ascii="Times New Roman" w:hAnsi="Times New Roman" w:cs="Times New Roman"/>
          <w:lang w:val="lv-LV"/>
        </w:rPr>
        <w:t xml:space="preserve">Rīkojums igauņu valodā pieejams šeit: </w:t>
      </w:r>
      <w:hyperlink r:id="rId18" w:history="1">
        <w:r w:rsidRPr="000C7C76">
          <w:rPr>
            <w:rStyle w:val="Hyperlink"/>
            <w:rFonts w:ascii="Times New Roman" w:hAnsi="Times New Roman" w:cs="Times New Roman"/>
            <w:color w:val="auto"/>
            <w:lang w:val="lv-LV"/>
          </w:rPr>
          <w:t>https://www.riigiteataja.ee/akt/86779</w:t>
        </w:r>
      </w:hyperlink>
      <w:r w:rsidRPr="000C7C76">
        <w:rPr>
          <w:rFonts w:ascii="Times New Roman" w:hAnsi="Times New Roman" w:cs="Times New Roman"/>
          <w:lang w:val="lv-LV"/>
        </w:rPr>
        <w:t xml:space="preserve"> </w:t>
      </w:r>
    </w:p>
    <w:p w14:paraId="4AFF172F" w14:textId="77777777" w:rsidR="000C7C76" w:rsidRPr="00CD4311" w:rsidRDefault="000C7C76" w:rsidP="00114953">
      <w:pPr>
        <w:pStyle w:val="FootnoteText"/>
        <w:rPr>
          <w:lang w:val="lv-LV"/>
        </w:rPr>
      </w:pPr>
    </w:p>
  </w:footnote>
  <w:footnote w:id="182">
    <w:p w14:paraId="37293580" w14:textId="77777777" w:rsidR="000C7C76" w:rsidRPr="00CD4311" w:rsidRDefault="000C7C76" w:rsidP="00114953">
      <w:pPr>
        <w:pStyle w:val="FootnoteText"/>
        <w:jc w:val="both"/>
        <w:rPr>
          <w:lang w:val="lv-LV"/>
        </w:rPr>
      </w:pPr>
      <w:r>
        <w:rPr>
          <w:rStyle w:val="FootnoteReference"/>
        </w:rPr>
        <w:footnoteRef/>
      </w:r>
      <w:r>
        <w:t xml:space="preserve"> </w:t>
      </w:r>
      <w:r w:rsidRPr="00CD4311">
        <w:rPr>
          <w:lang w:val="lv-LV"/>
        </w:rPr>
        <w:t>Latvijas Republikas Ārlietu ministrijas 2017.gada 28.marta vēstule Nr.43-8202 “Par pilnvaru taisīšanu Latvijas diplomātiskajās un konsulārajās pārstāvniecībās”. Nav publicēta.</w:t>
      </w:r>
    </w:p>
  </w:footnote>
  <w:footnote w:id="183">
    <w:p w14:paraId="561A500F" w14:textId="526696C0" w:rsidR="000C7C76" w:rsidRPr="002E65A8" w:rsidRDefault="000C7C76" w:rsidP="002E65A8">
      <w:pPr>
        <w:pStyle w:val="FootnoteText"/>
        <w:jc w:val="both"/>
        <w:rPr>
          <w:lang w:val="lv-LV"/>
        </w:rPr>
      </w:pPr>
      <w:r>
        <w:rPr>
          <w:rStyle w:val="FootnoteReference"/>
        </w:rPr>
        <w:footnoteRef/>
      </w:r>
      <w:r>
        <w:t xml:space="preserve"> </w:t>
      </w:r>
      <w:r>
        <w:rPr>
          <w:lang w:val="lv-LV"/>
        </w:rPr>
        <w:t xml:space="preserve">Skat.: 1) Par Koncepciju par starptautisko privāttiesību nacionālo regulējumu: MK rīkojums nr. 859. </w:t>
      </w:r>
      <w:r w:rsidRPr="002E65A8">
        <w:rPr>
          <w:i/>
          <w:lang w:val="lv-LV"/>
        </w:rPr>
        <w:t>Latvijas Vēstnesis</w:t>
      </w:r>
      <w:r>
        <w:rPr>
          <w:lang w:val="lv-LV"/>
        </w:rPr>
        <w:t xml:space="preserve">, 2006. 3.novembris, nr. 177, 2009, nr. 13; 2) Par aktualitāti zaudējušajiem attīstības plānošanas dokumentiem un Ministru kabineta rīkojumiem: MK rīkojums nr. 209. </w:t>
      </w:r>
      <w:r w:rsidRPr="002E65A8">
        <w:rPr>
          <w:i/>
          <w:lang w:val="lv-LV"/>
        </w:rPr>
        <w:t>Latvijas Vēstnesis</w:t>
      </w:r>
      <w:r>
        <w:rPr>
          <w:lang w:val="lv-LV"/>
        </w:rPr>
        <w:t>, 2010. 16.aprīlis, nr. 61.</w:t>
      </w:r>
    </w:p>
  </w:footnote>
  <w:footnote w:id="184">
    <w:p w14:paraId="42F637A8" w14:textId="77777777" w:rsidR="000C7C76" w:rsidRPr="00CD4311" w:rsidRDefault="000C7C76" w:rsidP="00114953">
      <w:pPr>
        <w:pStyle w:val="FootnoteText"/>
        <w:jc w:val="both"/>
        <w:rPr>
          <w:lang w:val="fr-FR"/>
        </w:rPr>
      </w:pPr>
      <w:r>
        <w:rPr>
          <w:rStyle w:val="FootnoteReference"/>
        </w:rPr>
        <w:footnoteRef/>
      </w:r>
      <w:r>
        <w:t xml:space="preserve"> </w:t>
      </w:r>
      <w:proofErr w:type="spellStart"/>
      <w:r w:rsidRPr="00CD4311">
        <w:rPr>
          <w:lang w:val="fr-FR"/>
        </w:rPr>
        <w:t>Fongaro</w:t>
      </w:r>
      <w:proofErr w:type="spellEnd"/>
      <w:r w:rsidRPr="00CD4311">
        <w:rPr>
          <w:lang w:val="fr-FR"/>
        </w:rPr>
        <w:t xml:space="preserve"> E. </w:t>
      </w:r>
      <w:proofErr w:type="spellStart"/>
      <w:r w:rsidRPr="00CD4311">
        <w:rPr>
          <w:lang w:val="fr-FR"/>
        </w:rPr>
        <w:t>Comm</w:t>
      </w:r>
      <w:proofErr w:type="spellEnd"/>
      <w:r w:rsidRPr="00CD4311">
        <w:rPr>
          <w:lang w:val="fr-FR"/>
        </w:rPr>
        <w:t xml:space="preserve">. De l’arrêt </w:t>
      </w:r>
      <w:proofErr w:type="spellStart"/>
      <w:r w:rsidRPr="00CD4311">
        <w:rPr>
          <w:lang w:val="fr-FR"/>
        </w:rPr>
        <w:t>cass</w:t>
      </w:r>
      <w:proofErr w:type="spellEnd"/>
      <w:r w:rsidRPr="00CD4311">
        <w:rPr>
          <w:lang w:val="fr-FR"/>
        </w:rPr>
        <w:t xml:space="preserve">. civ. 14 avril 2016, n° 15-18.157 « Sté Monte </w:t>
      </w:r>
      <w:proofErr w:type="spellStart"/>
      <w:r w:rsidRPr="00CD4311">
        <w:rPr>
          <w:lang w:val="fr-FR"/>
        </w:rPr>
        <w:t>Paschi</w:t>
      </w:r>
      <w:proofErr w:type="spellEnd"/>
      <w:r w:rsidRPr="00CD4311">
        <w:rPr>
          <w:lang w:val="fr-FR"/>
        </w:rPr>
        <w:t xml:space="preserve"> Banque » // Journal du droit international, n° 1, 2017. Paris, p. 168.</w:t>
      </w:r>
    </w:p>
    <w:p w14:paraId="7AC1FECC" w14:textId="77777777" w:rsidR="000C7C76" w:rsidRPr="00CD4311" w:rsidRDefault="000C7C76" w:rsidP="00114953">
      <w:pPr>
        <w:pStyle w:val="FootnoteText"/>
        <w:rPr>
          <w:lang w:val="lv-LV"/>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169F9E" w14:textId="77777777" w:rsidR="000C7C76" w:rsidRPr="00D6379C" w:rsidRDefault="000C7C76">
    <w:pPr>
      <w:pStyle w:val="Header"/>
      <w:rPr>
        <w:rFonts w:ascii="Times New Roman" w:hAnsi="Times New Roman" w:cs="Times New Roman"/>
        <w:sz w:val="20"/>
        <w:szCs w:val="20"/>
      </w:rPr>
    </w:pPr>
    <w:r w:rsidRPr="00D6379C">
      <w:rPr>
        <w:rFonts w:ascii="Times New Roman" w:hAnsi="Times New Roman" w:cs="Times New Roman"/>
        <w:sz w:val="20"/>
        <w:szCs w:val="20"/>
      </w:rPr>
      <w:t xml:space="preserve">© </w:t>
    </w:r>
    <w:proofErr w:type="spellStart"/>
    <w:r w:rsidRPr="00D6379C">
      <w:rPr>
        <w:rFonts w:ascii="Times New Roman" w:hAnsi="Times New Roman" w:cs="Times New Roman"/>
        <w:sz w:val="20"/>
        <w:szCs w:val="20"/>
      </w:rPr>
      <w:t>Baiba</w:t>
    </w:r>
    <w:proofErr w:type="spellEnd"/>
    <w:r w:rsidRPr="00D6379C">
      <w:rPr>
        <w:rFonts w:ascii="Times New Roman" w:hAnsi="Times New Roman" w:cs="Times New Roman"/>
        <w:sz w:val="20"/>
        <w:szCs w:val="20"/>
      </w:rPr>
      <w:t xml:space="preserve"> </w:t>
    </w:r>
    <w:proofErr w:type="spellStart"/>
    <w:r w:rsidRPr="00D6379C">
      <w:rPr>
        <w:rFonts w:ascii="Times New Roman" w:hAnsi="Times New Roman" w:cs="Times New Roman"/>
        <w:sz w:val="20"/>
        <w:szCs w:val="20"/>
      </w:rPr>
      <w:t>Rudevska</w:t>
    </w:r>
    <w:proofErr w:type="spellEnd"/>
    <w:r w:rsidRPr="00D6379C">
      <w:rPr>
        <w:rFonts w:ascii="Times New Roman" w:hAnsi="Times New Roman" w:cs="Times New Roman"/>
        <w:sz w:val="20"/>
        <w:szCs w:val="20"/>
      </w:rPr>
      <w:t>, 2017</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DBBEF5" w14:textId="77777777" w:rsidR="000C7C76" w:rsidRPr="00D6379C" w:rsidRDefault="000C7C76">
    <w:pPr>
      <w:pStyle w:val="Header"/>
      <w:rPr>
        <w:rFonts w:ascii="Times New Roman" w:hAnsi="Times New Roman" w:cs="Times New Roman"/>
        <w:sz w:val="20"/>
        <w:szCs w:val="20"/>
      </w:rPr>
    </w:pPr>
    <w:r w:rsidRPr="00D6379C">
      <w:rPr>
        <w:rFonts w:ascii="Times New Roman" w:hAnsi="Times New Roman" w:cs="Times New Roman"/>
        <w:sz w:val="20"/>
        <w:szCs w:val="20"/>
      </w:rPr>
      <w:t xml:space="preserve">© </w:t>
    </w:r>
    <w:proofErr w:type="spellStart"/>
    <w:r w:rsidRPr="00D6379C">
      <w:rPr>
        <w:rFonts w:ascii="Times New Roman" w:hAnsi="Times New Roman" w:cs="Times New Roman"/>
        <w:sz w:val="20"/>
        <w:szCs w:val="20"/>
      </w:rPr>
      <w:t>Baiba</w:t>
    </w:r>
    <w:proofErr w:type="spellEnd"/>
    <w:r w:rsidRPr="00D6379C">
      <w:rPr>
        <w:rFonts w:ascii="Times New Roman" w:hAnsi="Times New Roman" w:cs="Times New Roman"/>
        <w:sz w:val="20"/>
        <w:szCs w:val="20"/>
      </w:rPr>
      <w:t xml:space="preserve"> </w:t>
    </w:r>
    <w:proofErr w:type="spellStart"/>
    <w:r w:rsidRPr="00D6379C">
      <w:rPr>
        <w:rFonts w:ascii="Times New Roman" w:hAnsi="Times New Roman" w:cs="Times New Roman"/>
        <w:sz w:val="20"/>
        <w:szCs w:val="20"/>
      </w:rPr>
      <w:t>Rudevska</w:t>
    </w:r>
    <w:proofErr w:type="spellEnd"/>
    <w:r w:rsidRPr="00D6379C">
      <w:rPr>
        <w:rFonts w:ascii="Times New Roman" w:hAnsi="Times New Roman" w:cs="Times New Roman"/>
        <w:sz w:val="20"/>
        <w:szCs w:val="20"/>
      </w:rPr>
      <w:t>, 2017</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794E08"/>
    <w:multiLevelType w:val="hybridMultilevel"/>
    <w:tmpl w:val="1E8E8A12"/>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109552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14953"/>
    <w:rsid w:val="00044C64"/>
    <w:rsid w:val="0005036E"/>
    <w:rsid w:val="00070724"/>
    <w:rsid w:val="00076D9D"/>
    <w:rsid w:val="000B2482"/>
    <w:rsid w:val="000C7C76"/>
    <w:rsid w:val="00114953"/>
    <w:rsid w:val="00146330"/>
    <w:rsid w:val="001E34E9"/>
    <w:rsid w:val="002564F3"/>
    <w:rsid w:val="00275C12"/>
    <w:rsid w:val="00297B46"/>
    <w:rsid w:val="00297BED"/>
    <w:rsid w:val="002B5D4D"/>
    <w:rsid w:val="002E65A8"/>
    <w:rsid w:val="003200B6"/>
    <w:rsid w:val="00343F36"/>
    <w:rsid w:val="003554BE"/>
    <w:rsid w:val="003B0C82"/>
    <w:rsid w:val="003B66A4"/>
    <w:rsid w:val="003C2166"/>
    <w:rsid w:val="003D75B3"/>
    <w:rsid w:val="003F4A22"/>
    <w:rsid w:val="0043629E"/>
    <w:rsid w:val="00480738"/>
    <w:rsid w:val="00485054"/>
    <w:rsid w:val="004D1E51"/>
    <w:rsid w:val="004D22FA"/>
    <w:rsid w:val="005118DE"/>
    <w:rsid w:val="00565D81"/>
    <w:rsid w:val="00573847"/>
    <w:rsid w:val="005A792F"/>
    <w:rsid w:val="005B3270"/>
    <w:rsid w:val="005D77AB"/>
    <w:rsid w:val="00603127"/>
    <w:rsid w:val="00605CB6"/>
    <w:rsid w:val="00607B45"/>
    <w:rsid w:val="00614CD0"/>
    <w:rsid w:val="0063246F"/>
    <w:rsid w:val="006D0D31"/>
    <w:rsid w:val="006F7E38"/>
    <w:rsid w:val="00706D6C"/>
    <w:rsid w:val="0071420C"/>
    <w:rsid w:val="00721DDA"/>
    <w:rsid w:val="007463DB"/>
    <w:rsid w:val="00791AB8"/>
    <w:rsid w:val="007B02D0"/>
    <w:rsid w:val="007D074F"/>
    <w:rsid w:val="007D5283"/>
    <w:rsid w:val="00861A5A"/>
    <w:rsid w:val="0090259F"/>
    <w:rsid w:val="009123C5"/>
    <w:rsid w:val="00960770"/>
    <w:rsid w:val="00963E58"/>
    <w:rsid w:val="00A53106"/>
    <w:rsid w:val="00B64EF2"/>
    <w:rsid w:val="00B72FCB"/>
    <w:rsid w:val="00B851F2"/>
    <w:rsid w:val="00BA2D75"/>
    <w:rsid w:val="00BA7F97"/>
    <w:rsid w:val="00BF3A72"/>
    <w:rsid w:val="00BF783F"/>
    <w:rsid w:val="00C22C4E"/>
    <w:rsid w:val="00C31059"/>
    <w:rsid w:val="00C40495"/>
    <w:rsid w:val="00C761DB"/>
    <w:rsid w:val="00C86BF3"/>
    <w:rsid w:val="00C91762"/>
    <w:rsid w:val="00CA6703"/>
    <w:rsid w:val="00CB1F8C"/>
    <w:rsid w:val="00CD4311"/>
    <w:rsid w:val="00CD70F0"/>
    <w:rsid w:val="00CE601D"/>
    <w:rsid w:val="00D6379C"/>
    <w:rsid w:val="00DB4336"/>
    <w:rsid w:val="00DE4B94"/>
    <w:rsid w:val="00E20A5E"/>
    <w:rsid w:val="00E77EAD"/>
    <w:rsid w:val="00ED2559"/>
    <w:rsid w:val="00ED2C02"/>
    <w:rsid w:val="00ED3A4D"/>
    <w:rsid w:val="00F409A4"/>
    <w:rsid w:val="00F42A41"/>
    <w:rsid w:val="00F63FC2"/>
    <w:rsid w:val="00F946DA"/>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5048496"/>
  <w14:defaultImageDpi w14:val="300"/>
  <w15:docId w15:val="{77FDE063-9E77-41E3-B474-A6317C444F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495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14953"/>
    <w:pPr>
      <w:ind w:left="720"/>
      <w:contextualSpacing/>
    </w:pPr>
  </w:style>
  <w:style w:type="paragraph" w:styleId="Footer">
    <w:name w:val="footer"/>
    <w:basedOn w:val="Normal"/>
    <w:link w:val="FooterChar"/>
    <w:uiPriority w:val="99"/>
    <w:unhideWhenUsed/>
    <w:rsid w:val="00114953"/>
    <w:pPr>
      <w:tabs>
        <w:tab w:val="center" w:pos="4536"/>
        <w:tab w:val="right" w:pos="9072"/>
      </w:tabs>
    </w:pPr>
  </w:style>
  <w:style w:type="character" w:customStyle="1" w:styleId="FooterChar">
    <w:name w:val="Footer Char"/>
    <w:basedOn w:val="DefaultParagraphFont"/>
    <w:link w:val="Footer"/>
    <w:uiPriority w:val="99"/>
    <w:rsid w:val="00114953"/>
  </w:style>
  <w:style w:type="character" w:styleId="PageNumber">
    <w:name w:val="page number"/>
    <w:basedOn w:val="DefaultParagraphFont"/>
    <w:uiPriority w:val="99"/>
    <w:semiHidden/>
    <w:unhideWhenUsed/>
    <w:rsid w:val="00114953"/>
  </w:style>
  <w:style w:type="paragraph" w:styleId="FootnoteText">
    <w:name w:val="footnote text"/>
    <w:basedOn w:val="Normal"/>
    <w:link w:val="FootnoteTextChar"/>
    <w:uiPriority w:val="99"/>
    <w:unhideWhenUsed/>
    <w:rsid w:val="00114953"/>
    <w:rPr>
      <w:rFonts w:ascii="Times New Roman" w:eastAsiaTheme="minorHAnsi" w:hAnsi="Times New Roman" w:cs="Times New Roman"/>
      <w:sz w:val="20"/>
      <w:szCs w:val="20"/>
      <w:lang w:val="de-DE" w:eastAsia="en-US"/>
    </w:rPr>
  </w:style>
  <w:style w:type="character" w:customStyle="1" w:styleId="FootnoteTextChar">
    <w:name w:val="Footnote Text Char"/>
    <w:basedOn w:val="DefaultParagraphFont"/>
    <w:link w:val="FootnoteText"/>
    <w:uiPriority w:val="99"/>
    <w:rsid w:val="00114953"/>
    <w:rPr>
      <w:rFonts w:ascii="Times New Roman" w:eastAsiaTheme="minorHAnsi" w:hAnsi="Times New Roman" w:cs="Times New Roman"/>
      <w:sz w:val="20"/>
      <w:szCs w:val="20"/>
      <w:lang w:val="de-DE" w:eastAsia="en-US"/>
    </w:rPr>
  </w:style>
  <w:style w:type="character" w:styleId="FootnoteReference">
    <w:name w:val="footnote reference"/>
    <w:basedOn w:val="DefaultParagraphFont"/>
    <w:uiPriority w:val="99"/>
    <w:unhideWhenUsed/>
    <w:rsid w:val="00114953"/>
    <w:rPr>
      <w:vertAlign w:val="superscript"/>
    </w:rPr>
  </w:style>
  <w:style w:type="character" w:styleId="Hyperlink">
    <w:name w:val="Hyperlink"/>
    <w:basedOn w:val="DefaultParagraphFont"/>
    <w:uiPriority w:val="99"/>
    <w:unhideWhenUsed/>
    <w:rsid w:val="00114953"/>
    <w:rPr>
      <w:color w:val="0000FF" w:themeColor="hyperlink"/>
      <w:u w:val="single"/>
    </w:rPr>
  </w:style>
  <w:style w:type="table" w:styleId="TableGrid">
    <w:name w:val="Table Grid"/>
    <w:basedOn w:val="TableNormal"/>
    <w:uiPriority w:val="39"/>
    <w:rsid w:val="00114953"/>
    <w:rPr>
      <w:rFonts w:ascii="Times New Roman" w:eastAsiaTheme="minorHAnsi" w:hAnsi="Times New Roman" w:cs="Times New Roman"/>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v213">
    <w:name w:val="tv213"/>
    <w:basedOn w:val="Normal"/>
    <w:rsid w:val="00114953"/>
    <w:pPr>
      <w:spacing w:before="100" w:beforeAutospacing="1" w:after="100" w:afterAutospacing="1"/>
    </w:pPr>
    <w:rPr>
      <w:rFonts w:ascii="Times New Roman" w:eastAsia="Times New Roman" w:hAnsi="Times New Roman" w:cs="Times New Roman"/>
      <w:lang w:val="de-DE" w:eastAsia="de-DE"/>
    </w:rPr>
  </w:style>
  <w:style w:type="paragraph" w:customStyle="1" w:styleId="labojumupamats">
    <w:name w:val="labojumu_pamats"/>
    <w:basedOn w:val="Normal"/>
    <w:rsid w:val="00114953"/>
    <w:pPr>
      <w:spacing w:before="100" w:beforeAutospacing="1" w:after="100" w:afterAutospacing="1"/>
    </w:pPr>
    <w:rPr>
      <w:rFonts w:ascii="Times New Roman" w:eastAsia="Times New Roman" w:hAnsi="Times New Roman" w:cs="Times New Roman"/>
      <w:lang w:val="de-DE" w:eastAsia="de-DE"/>
    </w:rPr>
  </w:style>
  <w:style w:type="character" w:styleId="PlaceholderText">
    <w:name w:val="Placeholder Text"/>
    <w:basedOn w:val="DefaultParagraphFont"/>
    <w:uiPriority w:val="99"/>
    <w:semiHidden/>
    <w:rsid w:val="00114953"/>
    <w:rPr>
      <w:color w:val="808080"/>
    </w:rPr>
  </w:style>
  <w:style w:type="paragraph" w:styleId="BalloonText">
    <w:name w:val="Balloon Text"/>
    <w:basedOn w:val="Normal"/>
    <w:link w:val="BalloonTextChar"/>
    <w:uiPriority w:val="99"/>
    <w:semiHidden/>
    <w:unhideWhenUsed/>
    <w:rsid w:val="00114953"/>
    <w:rPr>
      <w:rFonts w:ascii="Tahoma" w:hAnsi="Tahoma" w:cs="Tahoma"/>
      <w:sz w:val="16"/>
      <w:szCs w:val="16"/>
    </w:rPr>
  </w:style>
  <w:style w:type="character" w:customStyle="1" w:styleId="BalloonTextChar">
    <w:name w:val="Balloon Text Char"/>
    <w:basedOn w:val="DefaultParagraphFont"/>
    <w:link w:val="BalloonText"/>
    <w:uiPriority w:val="99"/>
    <w:semiHidden/>
    <w:rsid w:val="00114953"/>
    <w:rPr>
      <w:rFonts w:ascii="Tahoma" w:hAnsi="Tahoma" w:cs="Tahoma"/>
      <w:sz w:val="16"/>
      <w:szCs w:val="16"/>
    </w:rPr>
  </w:style>
  <w:style w:type="character" w:customStyle="1" w:styleId="HideTWBExt">
    <w:name w:val="HideTWBExt"/>
    <w:rsid w:val="00114953"/>
    <w:rPr>
      <w:rFonts w:ascii="Arial" w:hAnsi="Arial"/>
      <w:noProof/>
      <w:vanish/>
      <w:color w:val="000080"/>
      <w:sz w:val="20"/>
      <w:lang w:val="lv-LV" w:eastAsia="lv-LV"/>
    </w:rPr>
  </w:style>
  <w:style w:type="paragraph" w:customStyle="1" w:styleId="CoverNormal">
    <w:name w:val="CoverNormal"/>
    <w:basedOn w:val="Normal"/>
    <w:rsid w:val="00114953"/>
    <w:pPr>
      <w:widowControl w:val="0"/>
      <w:ind w:left="1418"/>
    </w:pPr>
    <w:rPr>
      <w:rFonts w:ascii="Times New Roman" w:eastAsia="Times New Roman" w:hAnsi="Times New Roman" w:cs="Times New Roman"/>
      <w:szCs w:val="20"/>
      <w:lang w:val="lv-LV" w:eastAsia="lv-LV"/>
    </w:rPr>
  </w:style>
  <w:style w:type="character" w:styleId="FollowedHyperlink">
    <w:name w:val="FollowedHyperlink"/>
    <w:basedOn w:val="DefaultParagraphFont"/>
    <w:uiPriority w:val="99"/>
    <w:semiHidden/>
    <w:unhideWhenUsed/>
    <w:rsid w:val="00114953"/>
    <w:rPr>
      <w:color w:val="800080" w:themeColor="followedHyperlink"/>
      <w:u w:val="single"/>
    </w:rPr>
  </w:style>
  <w:style w:type="character" w:styleId="CommentReference">
    <w:name w:val="annotation reference"/>
    <w:basedOn w:val="DefaultParagraphFont"/>
    <w:uiPriority w:val="99"/>
    <w:semiHidden/>
    <w:unhideWhenUsed/>
    <w:rsid w:val="00114953"/>
    <w:rPr>
      <w:sz w:val="16"/>
      <w:szCs w:val="16"/>
    </w:rPr>
  </w:style>
  <w:style w:type="paragraph" w:styleId="CommentText">
    <w:name w:val="annotation text"/>
    <w:basedOn w:val="Normal"/>
    <w:link w:val="CommentTextChar"/>
    <w:uiPriority w:val="99"/>
    <w:semiHidden/>
    <w:unhideWhenUsed/>
    <w:rsid w:val="00114953"/>
    <w:rPr>
      <w:sz w:val="20"/>
      <w:szCs w:val="20"/>
    </w:rPr>
  </w:style>
  <w:style w:type="character" w:customStyle="1" w:styleId="CommentTextChar">
    <w:name w:val="Comment Text Char"/>
    <w:basedOn w:val="DefaultParagraphFont"/>
    <w:link w:val="CommentText"/>
    <w:uiPriority w:val="99"/>
    <w:semiHidden/>
    <w:rsid w:val="00114953"/>
    <w:rPr>
      <w:sz w:val="20"/>
      <w:szCs w:val="20"/>
    </w:rPr>
  </w:style>
  <w:style w:type="paragraph" w:styleId="CommentSubject">
    <w:name w:val="annotation subject"/>
    <w:basedOn w:val="CommentText"/>
    <w:next w:val="CommentText"/>
    <w:link w:val="CommentSubjectChar"/>
    <w:uiPriority w:val="99"/>
    <w:semiHidden/>
    <w:unhideWhenUsed/>
    <w:rsid w:val="00114953"/>
    <w:rPr>
      <w:b/>
      <w:bCs/>
    </w:rPr>
  </w:style>
  <w:style w:type="character" w:customStyle="1" w:styleId="CommentSubjectChar">
    <w:name w:val="Comment Subject Char"/>
    <w:basedOn w:val="CommentTextChar"/>
    <w:link w:val="CommentSubject"/>
    <w:uiPriority w:val="99"/>
    <w:semiHidden/>
    <w:rsid w:val="00114953"/>
    <w:rPr>
      <w:b/>
      <w:bCs/>
      <w:sz w:val="20"/>
      <w:szCs w:val="20"/>
    </w:rPr>
  </w:style>
  <w:style w:type="paragraph" w:customStyle="1" w:styleId="norm">
    <w:name w:val="norm"/>
    <w:basedOn w:val="Normal"/>
    <w:rsid w:val="00114953"/>
    <w:pPr>
      <w:spacing w:before="100" w:beforeAutospacing="1" w:after="100" w:afterAutospacing="1"/>
    </w:pPr>
    <w:rPr>
      <w:rFonts w:ascii="Times" w:hAnsi="Times"/>
      <w:sz w:val="20"/>
      <w:szCs w:val="20"/>
    </w:rPr>
  </w:style>
  <w:style w:type="paragraph" w:styleId="Header">
    <w:name w:val="header"/>
    <w:basedOn w:val="Normal"/>
    <w:link w:val="HeaderChar"/>
    <w:uiPriority w:val="99"/>
    <w:unhideWhenUsed/>
    <w:rsid w:val="00D6379C"/>
    <w:pPr>
      <w:tabs>
        <w:tab w:val="center" w:pos="4536"/>
        <w:tab w:val="right" w:pos="9072"/>
      </w:tabs>
    </w:pPr>
  </w:style>
  <w:style w:type="character" w:customStyle="1" w:styleId="HeaderChar">
    <w:name w:val="Header Char"/>
    <w:basedOn w:val="DefaultParagraphFont"/>
    <w:link w:val="Header"/>
    <w:uiPriority w:val="99"/>
    <w:rsid w:val="00D6379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diagramData" Target="diagrams/data1.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diagramDrawing" Target="diagrams/drawing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Colors" Target="diagrams/colors1.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diagramQuickStyle" Target="diagrams/quickStyle1.xml"/><Relationship Id="rId4" Type="http://schemas.openxmlformats.org/officeDocument/2006/relationships/settings" Target="settings.xml"/><Relationship Id="rId9" Type="http://schemas.openxmlformats.org/officeDocument/2006/relationships/diagramLayout" Target="diagrams/layout1.xm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8" Type="http://schemas.openxmlformats.org/officeDocument/2006/relationships/hyperlink" Target="http://www.hcch.net/upload/guide12e.pdf" TargetMode="External"/><Relationship Id="rId13" Type="http://schemas.openxmlformats.org/officeDocument/2006/relationships/hyperlink" Target="http://www.hcch.net" TargetMode="External"/><Relationship Id="rId18" Type="http://schemas.openxmlformats.org/officeDocument/2006/relationships/hyperlink" Target="https://www.riigiteataja.ee/akt/86779" TargetMode="External"/><Relationship Id="rId3" Type="http://schemas.openxmlformats.org/officeDocument/2006/relationships/hyperlink" Target="http://www.bmjv.de" TargetMode="External"/><Relationship Id="rId7" Type="http://schemas.openxmlformats.org/officeDocument/2006/relationships/hyperlink" Target="http://www.juris.de" TargetMode="External"/><Relationship Id="rId12" Type="http://schemas.openxmlformats.org/officeDocument/2006/relationships/hyperlink" Target="http://www.hcch.net" TargetMode="External"/><Relationship Id="rId17" Type="http://schemas.openxmlformats.org/officeDocument/2006/relationships/hyperlink" Target="https://www.riigiteataja.ee/en/eli/506062016001/consolide" TargetMode="External"/><Relationship Id="rId2" Type="http://schemas.openxmlformats.org/officeDocument/2006/relationships/hyperlink" Target="http://www.juris.de" TargetMode="External"/><Relationship Id="rId16" Type="http://schemas.openxmlformats.org/officeDocument/2006/relationships/hyperlink" Target="http://www.legislation.gov.uk/ukpga/2006/46/contents" TargetMode="External"/><Relationship Id="rId1" Type="http://schemas.openxmlformats.org/officeDocument/2006/relationships/hyperlink" Target="http://www.hcch.net" TargetMode="External"/><Relationship Id="rId6" Type="http://schemas.openxmlformats.org/officeDocument/2006/relationships/hyperlink" Target="http://www.juris.de" TargetMode="External"/><Relationship Id="rId11" Type="http://schemas.openxmlformats.org/officeDocument/2006/relationships/hyperlink" Target="http://www.hcch.net" TargetMode="External"/><Relationship Id="rId5" Type="http://schemas.openxmlformats.org/officeDocument/2006/relationships/hyperlink" Target="http://www.juris.de" TargetMode="External"/><Relationship Id="rId15" Type="http://schemas.openxmlformats.org/officeDocument/2006/relationships/hyperlink" Target="http://www.juris.de" TargetMode="External"/><Relationship Id="rId10" Type="http://schemas.openxmlformats.org/officeDocument/2006/relationships/hyperlink" Target="http://www.hcch.net/en/instruments/conventions/" TargetMode="External"/><Relationship Id="rId4" Type="http://schemas.openxmlformats.org/officeDocument/2006/relationships/hyperlink" Target="http://www.gesetze-im-internet.de" TargetMode="External"/><Relationship Id="rId9" Type="http://schemas.openxmlformats.org/officeDocument/2006/relationships/hyperlink" Target="http://www.am.gov.lv/lv/KonsularaInformacija/pakalpojumi/legalizacija/" TargetMode="External"/><Relationship Id="rId14" Type="http://schemas.openxmlformats.org/officeDocument/2006/relationships/hyperlink" Target="http://www.am.gov.lv/lv/KonsularaInformacija/pakalpojumi/apostille/" TargetMode="External"/></Relationships>
</file>

<file path=word/diagrams/colors1.xml><?xml version="1.0" encoding="utf-8"?>
<dgm:colorsDef xmlns:dgm="http://schemas.openxmlformats.org/drawingml/2006/diagram" xmlns:a="http://schemas.openxmlformats.org/drawingml/2006/main" uniqueId="urn:microsoft.com/office/officeart/2005/8/colors/accent1_4">
  <dgm:title val=""/>
  <dgm:desc val=""/>
  <dgm:catLst>
    <dgm:cat type="accent1" pri="11400"/>
  </dgm:catLst>
  <dgm:styleLbl name="node0">
    <dgm:fillClrLst meth="cycle">
      <a:schemeClr val="accent1">
        <a:shade val="60000"/>
      </a:schemeClr>
    </dgm:fillClrLst>
    <dgm:linClrLst meth="repeat">
      <a:schemeClr val="lt1"/>
    </dgm:linClrLst>
    <dgm:effectClrLst/>
    <dgm:txLinClrLst/>
    <dgm:txFillClrLst/>
    <dgm:txEffectClrLst/>
  </dgm:styleLbl>
  <dgm:styleLbl name="node1">
    <dgm:fillClrLst meth="cycle">
      <a:schemeClr val="accent1">
        <a:shade val="50000"/>
      </a:schemeClr>
      <a:schemeClr val="accent1">
        <a:tint val="55000"/>
      </a:schemeClr>
    </dgm:fillClrLst>
    <dgm:linClrLst meth="repeat">
      <a:schemeClr val="lt1"/>
    </dgm:linClrLst>
    <dgm:effectClrLst/>
    <dgm:txLinClrLst/>
    <dgm:txFillClrLst/>
    <dgm:txEffectClrLst/>
  </dgm:styleLbl>
  <dgm:styleLbl name="alignNode1">
    <dgm:fillClrLst meth="cycle">
      <a:schemeClr val="accent1">
        <a:shade val="50000"/>
      </a:schemeClr>
      <a:schemeClr val="accent1">
        <a:tint val="55000"/>
      </a:schemeClr>
    </dgm:fillClrLst>
    <dgm:linClrLst meth="cycle">
      <a:schemeClr val="accent1">
        <a:shade val="50000"/>
      </a:schemeClr>
      <a:schemeClr val="accent1">
        <a:tint val="55000"/>
      </a:schemeClr>
    </dgm:linClrLst>
    <dgm:effectClrLst/>
    <dgm:txLinClrLst/>
    <dgm:txFillClrLst/>
    <dgm:txEffectClrLst/>
  </dgm:styleLbl>
  <dgm:styleLbl name="lnNode1">
    <dgm:fillClrLst meth="cycle">
      <a:schemeClr val="accent1">
        <a:shade val="50000"/>
      </a:schemeClr>
      <a:schemeClr val="accent1">
        <a:tint val="55000"/>
      </a:schemeClr>
    </dgm:fillClrLst>
    <dgm:linClrLst meth="repeat">
      <a:schemeClr val="lt1"/>
    </dgm:linClrLst>
    <dgm:effectClrLst/>
    <dgm:txLinClrLst/>
    <dgm:txFillClrLst/>
    <dgm:txEffectClrLst/>
  </dgm:styleLbl>
  <dgm:styleLbl name="vennNode1">
    <dgm:fillClrLst meth="cycle">
      <a:schemeClr val="accent1">
        <a:shade val="80000"/>
        <a:alpha val="50000"/>
      </a:schemeClr>
      <a:schemeClr val="accent1">
        <a:tint val="50000"/>
        <a:alpha val="50000"/>
      </a:schemeClr>
    </dgm:fillClrLst>
    <dgm:linClrLst meth="repeat">
      <a:schemeClr val="lt1"/>
    </dgm:linClrLst>
    <dgm:effectClrLst/>
    <dgm:txLinClrLst/>
    <dgm:txFillClrLst/>
    <dgm:txEffectClrLst/>
  </dgm:styleLbl>
  <dgm:styleLbl name="node2">
    <dgm:fillClrLst>
      <a:schemeClr val="accent1">
        <a:shade val="80000"/>
      </a:schemeClr>
    </dgm:fillClrLst>
    <dgm:linClrLst meth="repeat">
      <a:schemeClr val="lt1"/>
    </dgm:linClrLst>
    <dgm:effectClrLst/>
    <dgm:txLinClrLst/>
    <dgm:txFillClrLst/>
    <dgm:txEffectClrLst/>
  </dgm:styleLbl>
  <dgm:styleLbl name="node3">
    <dgm:fillClrLst>
      <a:schemeClr val="accent1">
        <a:tint val="99000"/>
      </a:schemeClr>
    </dgm:fillClrLst>
    <dgm:linClrLst meth="repeat">
      <a:schemeClr val="lt1"/>
    </dgm:linClrLst>
    <dgm:effectClrLst/>
    <dgm:txLinClrLst/>
    <dgm:txFillClrLst/>
    <dgm:txEffectClrLst/>
  </dgm:styleLbl>
  <dgm:styleLbl name="node4">
    <dgm:fillClrLst>
      <a:schemeClr val="accent1">
        <a:tint val="70000"/>
      </a:schemeClr>
    </dgm:fillClrLst>
    <dgm:linClrLst meth="repeat">
      <a:schemeClr val="lt1"/>
    </dgm:linClrLst>
    <dgm:effectClrLst/>
    <dgm:txLinClrLst/>
    <dgm:txFillClrLst/>
    <dgm:txEffectClrLst/>
  </dgm:styleLbl>
  <dgm:styleLbl name="fgImgPlace1">
    <dgm:fillClrLst>
      <a:schemeClr val="accent1">
        <a:tint val="50000"/>
      </a:schemeClr>
      <a:schemeClr val="accent1">
        <a:tint val="55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1">
        <a:tint val="55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1">
        <a:tint val="55000"/>
      </a:schemeClr>
    </dgm:fillClrLst>
    <dgm:linClrLst meth="repeat">
      <a:schemeClr val="lt1"/>
    </dgm:linClrLst>
    <dgm:effectClrLst/>
    <dgm:txLinClrLst/>
    <dgm:txFillClrLst meth="repeat">
      <a:schemeClr val="lt1"/>
    </dgm:txFillClrLst>
    <dgm:txEffectClrLst/>
  </dgm:styleLbl>
  <dgm:styleLbl name="sibTrans2D1">
    <dgm:fillClrLst meth="cycle">
      <a:schemeClr val="accent1">
        <a:shade val="90000"/>
      </a:schemeClr>
      <a:schemeClr val="accent1">
        <a:tint val="50000"/>
      </a:schemeClr>
    </dgm:fillClrLst>
    <dgm:linClrLst meth="cycle">
      <a:schemeClr val="accent1">
        <a:shade val="90000"/>
      </a:schemeClr>
      <a:schemeClr val="accent1">
        <a:tint val="50000"/>
      </a:schemeClr>
    </dgm:linClrLst>
    <dgm:effectClrLst/>
    <dgm:txLinClrLst/>
    <dgm:txFillClrLst/>
    <dgm:txEffectClrLst/>
  </dgm:styleLbl>
  <dgm:styleLbl name="fgSibTrans2D1">
    <dgm:fillClrLst meth="cycle">
      <a:schemeClr val="accent1">
        <a:shade val="90000"/>
      </a:schemeClr>
      <a:schemeClr val="accent1">
        <a:tint val="50000"/>
      </a:schemeClr>
    </dgm:fillClrLst>
    <dgm:linClrLst meth="cycle">
      <a:schemeClr val="accent1">
        <a:shade val="90000"/>
      </a:schemeClr>
      <a:schemeClr val="accent1">
        <a:tint val="50000"/>
      </a:schemeClr>
    </dgm:linClrLst>
    <dgm:effectClrLst/>
    <dgm:txLinClrLst/>
    <dgm:txFillClrLst/>
    <dgm:txEffectClrLst/>
  </dgm:styleLbl>
  <dgm:styleLbl name="bgSibTrans2D1">
    <dgm:fillClrLst meth="cycle">
      <a:schemeClr val="accent1">
        <a:shade val="90000"/>
      </a:schemeClr>
      <a:schemeClr val="accent1">
        <a:tint val="50000"/>
      </a:schemeClr>
    </dgm:fillClrLst>
    <dgm:linClrLst meth="cycle">
      <a:schemeClr val="accent1">
        <a:shade val="90000"/>
      </a:schemeClr>
      <a:schemeClr val="accent1">
        <a:tint val="50000"/>
      </a:schemeClr>
    </dgm:linClrLst>
    <dgm:effectClrLst/>
    <dgm:txLinClrLst/>
    <dgm:txFillClrLst/>
    <dgm:txEffectClrLst/>
  </dgm:styleLbl>
  <dgm:styleLbl name="sibTrans1D1">
    <dgm:fillClrLst meth="cycle">
      <a:schemeClr val="accent1">
        <a:shade val="90000"/>
      </a:schemeClr>
      <a:schemeClr val="accent1">
        <a:tint val="50000"/>
      </a:schemeClr>
    </dgm:fillClrLst>
    <dgm:linClrLst meth="cycle">
      <a:schemeClr val="accent1">
        <a:shade val="90000"/>
      </a:schemeClr>
      <a:schemeClr val="accent1">
        <a:tint val="50000"/>
      </a:schemeClr>
    </dgm:linClrLst>
    <dgm:effectClrLst/>
    <dgm:txLinClrLst/>
    <dgm:txFillClrLst meth="repeat">
      <a:schemeClr val="tx1"/>
    </dgm:txFillClrLst>
    <dgm:txEffectClrLst/>
  </dgm:styleLbl>
  <dgm:styleLbl name="callout">
    <dgm:fillClrLst meth="repeat">
      <a:schemeClr val="accent1"/>
    </dgm:fillClrLst>
    <dgm:linClrLst meth="repeat">
      <a:schemeClr val="accent1"/>
    </dgm:linClrLst>
    <dgm:effectClrLst/>
    <dgm:txLinClrLst/>
    <dgm:txFillClrLst meth="repeat">
      <a:schemeClr val="tx1"/>
    </dgm:txFillClrLst>
    <dgm:txEffectClrLst/>
  </dgm:styleLbl>
  <dgm:styleLbl name="asst0">
    <dgm:fillClrLst meth="repeat">
      <a:schemeClr val="accent1">
        <a:shade val="80000"/>
      </a:schemeClr>
    </dgm:fillClrLst>
    <dgm:linClrLst meth="repeat">
      <a:schemeClr val="lt1"/>
    </dgm:linClrLst>
    <dgm:effectClrLst/>
    <dgm:txLinClrLst/>
    <dgm:txFillClrLst/>
    <dgm:txEffectClrLst/>
  </dgm:styleLbl>
  <dgm:styleLbl name="asst1">
    <dgm:fillClrLst meth="repeat">
      <a:schemeClr val="accent1">
        <a:shade val="80000"/>
      </a:schemeClr>
    </dgm:fillClrLst>
    <dgm:linClrLst meth="repeat">
      <a:schemeClr val="lt1"/>
    </dgm:linClrLst>
    <dgm:effectClrLst/>
    <dgm:txLinClrLst/>
    <dgm:txFillClrLst/>
    <dgm:txEffectClrLst/>
  </dgm:styleLbl>
  <dgm:styleLbl name="asst2">
    <dgm:fillClrLst>
      <a:schemeClr val="accent1">
        <a:tint val="90000"/>
      </a:schemeClr>
    </dgm:fillClrLst>
    <dgm:linClrLst meth="repeat">
      <a:schemeClr val="lt1"/>
    </dgm:linClrLst>
    <dgm:effectClrLst/>
    <dgm:txLinClrLst/>
    <dgm:txFillClrLst/>
    <dgm:txEffectClrLst/>
  </dgm:styleLbl>
  <dgm:styleLbl name="asst3">
    <dgm:fillClrLst>
      <a:schemeClr val="accent1">
        <a:tint val="70000"/>
      </a:schemeClr>
    </dgm:fillClrLst>
    <dgm:linClrLst meth="repeat">
      <a:schemeClr val="lt1"/>
    </dgm:linClrLst>
    <dgm:effectClrLst/>
    <dgm:txLinClrLst/>
    <dgm:txFillClrLst/>
    <dgm:txEffectClrLst/>
  </dgm:styleLbl>
  <dgm:styleLbl name="asst4">
    <dgm:fillClrLst>
      <a:schemeClr val="accent1">
        <a:tint val="50000"/>
      </a:schemeClr>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shade val="80000"/>
      </a:schemeClr>
    </dgm:linClrLst>
    <dgm:effectClrLst/>
    <dgm:txLinClrLst/>
    <dgm:txFillClrLst/>
    <dgm:txEffectClrLst/>
  </dgm:styleLbl>
  <dgm:styleLbl name="parChTrans2D2">
    <dgm:fillClrLst meth="repeat">
      <a:schemeClr val="accent1">
        <a:tint val="90000"/>
      </a:schemeClr>
    </dgm:fillClrLst>
    <dgm:linClrLst meth="repeat">
      <a:schemeClr val="accent1">
        <a:tint val="90000"/>
      </a:schemeClr>
    </dgm:linClrLst>
    <dgm:effectClrLst/>
    <dgm:txLinClrLst/>
    <dgm:txFillClrLst/>
    <dgm:txEffectClrLst/>
  </dgm:styleLbl>
  <dgm:styleLbl name="parChTrans2D3">
    <dgm:fillClrLst meth="repeat">
      <a:schemeClr val="accent1">
        <a:tint val="70000"/>
      </a:schemeClr>
    </dgm:fillClrLst>
    <dgm:linClrLst meth="repeat">
      <a:schemeClr val="accent1">
        <a:tint val="70000"/>
      </a:schemeClr>
    </dgm:linClrLst>
    <dgm:effectClrLst/>
    <dgm:txLinClrLst/>
    <dgm:txFillClrLst/>
    <dgm:txEffectClrLst/>
  </dgm:styleLbl>
  <dgm:styleLbl name="parChTrans2D4">
    <dgm:fillClrLst meth="repeat">
      <a:schemeClr val="accent1">
        <a:tint val="50000"/>
      </a:schemeClr>
    </dgm:fillClrLst>
    <dgm:linClrLst meth="repeat">
      <a:schemeClr val="accent1">
        <a:tint val="50000"/>
      </a:schemeClr>
    </dgm:linClrLst>
    <dgm:effectClrLst/>
    <dgm:txLinClrLst/>
    <dgm:txFillClrLst meth="repeat">
      <a:schemeClr val="dk1"/>
    </dgm:txFillClrLst>
    <dgm:txEffectClrLst/>
  </dgm:styleLbl>
  <dgm:styleLbl name="parChTrans1D1">
    <dgm:fillClrLst meth="repeat">
      <a:schemeClr val="accent1">
        <a:shade val="80000"/>
      </a:schemeClr>
    </dgm:fillClrLst>
    <dgm:linClrLst meth="repeat">
      <a:schemeClr val="accent1">
        <a:shade val="80000"/>
      </a:schemeClr>
    </dgm:linClrLst>
    <dgm:effectClrLst/>
    <dgm:txLinClrLst/>
    <dgm:txFillClrLst meth="repeat">
      <a:schemeClr val="tx1"/>
    </dgm:txFillClrLst>
    <dgm:txEffectClrLst/>
  </dgm:styleLbl>
  <dgm:styleLbl name="parChTrans1D2">
    <dgm:fillClrLst meth="repeat">
      <a:schemeClr val="accent1">
        <a:tint val="90000"/>
      </a:schemeClr>
    </dgm:fillClrLst>
    <dgm:linClrLst meth="repeat">
      <a:schemeClr val="accent1">
        <a:tint val="90000"/>
      </a:schemeClr>
    </dgm:linClrLst>
    <dgm:effectClrLst/>
    <dgm:txLinClrLst/>
    <dgm:txFillClrLst meth="repeat">
      <a:schemeClr val="tx1"/>
    </dgm:txFillClrLst>
    <dgm:txEffectClrLst/>
  </dgm:styleLbl>
  <dgm:styleLbl name="parChTrans1D3">
    <dgm:fillClrLst meth="repeat">
      <a:schemeClr val="accent1">
        <a:tint val="70000"/>
      </a:schemeClr>
    </dgm:fillClrLst>
    <dgm:linClrLst meth="repeat">
      <a:schemeClr val="accent1">
        <a:tint val="70000"/>
      </a:schemeClr>
    </dgm:linClrLst>
    <dgm:effectClrLst/>
    <dgm:txLinClrLst/>
    <dgm:txFillClrLst meth="repeat">
      <a:schemeClr val="tx1"/>
    </dgm:txFillClrLst>
    <dgm:txEffectClrLst/>
  </dgm:styleLbl>
  <dgm:styleLbl name="parChTrans1D4">
    <dgm:fillClrLst meth="repeat">
      <a:schemeClr val="accent1">
        <a:tint val="50000"/>
      </a:schemeClr>
    </dgm:fillClrLst>
    <dgm:linClrLst meth="repeat">
      <a:schemeClr val="accent1">
        <a:tint val="50000"/>
      </a:schemeClr>
    </dgm:linClrLst>
    <dgm:effectClrLst/>
    <dgm:txLinClrLst/>
    <dgm:txFillClrLst meth="repeat">
      <a:schemeClr val="tx1"/>
    </dgm:txFillClrLst>
    <dgm:txEffectClrLst/>
  </dgm:styleLbl>
  <dgm:styleLbl name="fgAcc1">
    <dgm:fillClrLst meth="repeat">
      <a:schemeClr val="lt1">
        <a:alpha val="90000"/>
      </a:schemeClr>
    </dgm:fillClrLst>
    <dgm:linClrLst meth="cycle">
      <a:schemeClr val="accent1">
        <a:shade val="50000"/>
      </a:schemeClr>
      <a:schemeClr val="accent1">
        <a:tint val="55000"/>
      </a:schemeClr>
    </dgm:linClrLst>
    <dgm:effectClrLst/>
    <dgm:txLinClrLst/>
    <dgm:txFillClrLst meth="repeat">
      <a:schemeClr val="dk1"/>
    </dgm:txFillClrLst>
    <dgm:txEffectClrLst/>
  </dgm:styleLbl>
  <dgm:styleLbl name="conFgAcc1">
    <dgm:fillClrLst meth="repeat">
      <a:schemeClr val="lt1">
        <a:alpha val="90000"/>
      </a:schemeClr>
    </dgm:fillClrLst>
    <dgm:linClrLst meth="cycle">
      <a:schemeClr val="accent1">
        <a:shade val="50000"/>
      </a:schemeClr>
      <a:schemeClr val="accent1">
        <a:tint val="55000"/>
      </a:schemeClr>
    </dgm:linClrLst>
    <dgm:effectClrLst/>
    <dgm:txLinClrLst/>
    <dgm:txFillClrLst meth="repeat">
      <a:schemeClr val="dk1"/>
    </dgm:txFillClrLst>
    <dgm:txEffectClrLst/>
  </dgm:styleLbl>
  <dgm:styleLbl name="alignAcc1">
    <dgm:fillClrLst meth="repeat">
      <a:schemeClr val="lt1">
        <a:alpha val="90000"/>
      </a:schemeClr>
    </dgm:fillClrLst>
    <dgm:linClrLst meth="cycle">
      <a:schemeClr val="accent1">
        <a:shade val="50000"/>
      </a:schemeClr>
      <a:schemeClr val="accent1">
        <a:tint val="55000"/>
      </a:schemeClr>
    </dgm:linClrLst>
    <dgm:effectClrLst/>
    <dgm:txLinClrLst/>
    <dgm:txFillClrLst meth="repeat">
      <a:schemeClr val="dk1"/>
    </dgm:txFillClrLst>
    <dgm:txEffectClrLst/>
  </dgm:styleLbl>
  <dgm:styleLbl name="trAlignAcc1">
    <dgm:fillClrLst meth="repeat">
      <a:schemeClr val="lt1">
        <a:alpha val="55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cycle">
      <a:schemeClr val="accent1">
        <a:shade val="50000"/>
      </a:schemeClr>
      <a:schemeClr val="accent1">
        <a:tint val="55000"/>
      </a:schemeClr>
    </dgm:linClrLst>
    <dgm:effectClrLst/>
    <dgm:txLinClrLst/>
    <dgm:txFillClrLst meth="repeat">
      <a:schemeClr val="dk1"/>
    </dgm:txFillClrLst>
    <dgm:txEffectClrLst/>
  </dgm:styleLbl>
  <dgm:styleLbl name="solidFgAcc1">
    <dgm:fillClrLst meth="repeat">
      <a:schemeClr val="lt1"/>
    </dgm:fillClrLst>
    <dgm:linClrLst meth="cycle">
      <a:schemeClr val="accent1">
        <a:shade val="50000"/>
      </a:schemeClr>
      <a:schemeClr val="accent1">
        <a:tint val="55000"/>
      </a:schemeClr>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55000"/>
      </a:schemeClr>
    </dgm:fillClrLst>
    <dgm:linClrLst meth="repeat">
      <a:schemeClr val="accent1">
        <a:alpha val="90000"/>
        <a:tint val="55000"/>
      </a:schemeClr>
    </dgm:linClrLst>
    <dgm:effectClrLst/>
    <dgm:txLinClrLst/>
    <dgm:txFillClrLst meth="repeat">
      <a:schemeClr val="dk1"/>
    </dgm:txFillClrLst>
    <dgm:txEffectClrLst/>
  </dgm:styleLbl>
  <dgm:styleLbl name="alignAccFollowNode1">
    <dgm:fillClrLst meth="repeat">
      <a:schemeClr val="accent1">
        <a:alpha val="90000"/>
        <a:tint val="55000"/>
      </a:schemeClr>
    </dgm:fillClrLst>
    <dgm:linClrLst meth="repeat">
      <a:schemeClr val="accent1">
        <a:alpha val="90000"/>
        <a:tint val="55000"/>
      </a:schemeClr>
    </dgm:linClrLst>
    <dgm:effectClrLst/>
    <dgm:txLinClrLst/>
    <dgm:txFillClrLst meth="repeat">
      <a:schemeClr val="dk1"/>
    </dgm:txFillClrLst>
    <dgm:txEffectClrLst/>
  </dgm:styleLbl>
  <dgm:styleLbl name="bgAccFollowNode1">
    <dgm:fillClrLst meth="repeat">
      <a:schemeClr val="accent1">
        <a:alpha val="90000"/>
        <a:tint val="55000"/>
      </a:schemeClr>
    </dgm:fillClrLst>
    <dgm:linClrLst meth="repeat">
      <a:schemeClr val="lt1"/>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a:shade val="80000"/>
      </a:schemeClr>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a:tint val="90000"/>
      </a:schemeClr>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a:tint val="70000"/>
      </a:schemeClr>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a:tint val="50000"/>
      </a:schemeClr>
    </dgm:linClrLst>
    <dgm:effectClrLst/>
    <dgm:txLinClrLst/>
    <dgm:txFillClrLst meth="repeat">
      <a:schemeClr val="dk1"/>
    </dgm:txFillClrLst>
    <dgm:txEffectClrLst/>
  </dgm:styleLbl>
  <dgm:styleLbl name="bgShp">
    <dgm:fillClrLst meth="repeat">
      <a:schemeClr val="accent1">
        <a:tint val="55000"/>
      </a:schemeClr>
    </dgm:fillClrLst>
    <dgm:linClrLst meth="repeat">
      <a:schemeClr val="dk1"/>
    </dgm:linClrLst>
    <dgm:effectClrLst/>
    <dgm:txLinClrLst/>
    <dgm:txFillClrLst meth="repeat">
      <a:schemeClr val="dk1"/>
    </dgm:txFillClrLst>
    <dgm:txEffectClrLst/>
  </dgm:styleLbl>
  <dgm:styleLbl name="dkBgShp">
    <dgm:fillClrLst meth="repeat">
      <a:schemeClr val="accent1">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55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55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91198F24-459F-AB45-ABAF-0BC131EB52BC}" type="doc">
      <dgm:prSet loTypeId="urn:microsoft.com/office/officeart/2005/8/layout/hierarchy1" loCatId="" qsTypeId="urn:microsoft.com/office/officeart/2005/8/quickstyle/simple4" qsCatId="simple" csTypeId="urn:microsoft.com/office/officeart/2005/8/colors/accent1_4" csCatId="accent1" phldr="1"/>
      <dgm:spPr/>
      <dgm:t>
        <a:bodyPr/>
        <a:lstStyle/>
        <a:p>
          <a:endParaRPr lang="fr-FR"/>
        </a:p>
      </dgm:t>
    </dgm:pt>
    <dgm:pt modelId="{1DD639FE-68B9-4F45-AEF7-1F57E731D432}">
      <dgm:prSet phldrT="[Texte]" custT="1"/>
      <dgm:spPr/>
      <dgm:t>
        <a:bodyPr/>
        <a:lstStyle/>
        <a:p>
          <a:r>
            <a:rPr lang="fr-FR" sz="1100" b="1">
              <a:latin typeface="Times New Roman"/>
              <a:cs typeface="Times New Roman"/>
            </a:rPr>
            <a:t>Ārvalsts publiskā dokumenta pārbaudes metodes</a:t>
          </a:r>
        </a:p>
      </dgm:t>
    </dgm:pt>
    <dgm:pt modelId="{3C587F4E-7119-8D48-A406-5736B66C37A6}" type="parTrans" cxnId="{83D67283-C296-9C4F-BAA1-20DE37CE6E38}">
      <dgm:prSet/>
      <dgm:spPr/>
      <dgm:t>
        <a:bodyPr/>
        <a:lstStyle/>
        <a:p>
          <a:endParaRPr lang="fr-FR"/>
        </a:p>
      </dgm:t>
    </dgm:pt>
    <dgm:pt modelId="{7A716B83-C093-1244-B403-1DE5F550A526}" type="sibTrans" cxnId="{83D67283-C296-9C4F-BAA1-20DE37CE6E38}">
      <dgm:prSet/>
      <dgm:spPr/>
      <dgm:t>
        <a:bodyPr/>
        <a:lstStyle/>
        <a:p>
          <a:endParaRPr lang="fr-FR"/>
        </a:p>
      </dgm:t>
    </dgm:pt>
    <dgm:pt modelId="{BED3435A-66B4-634F-AE38-4D4E1F3272C0}">
      <dgm:prSet phldrT="[Texte]" custT="1"/>
      <dgm:spPr/>
      <dgm:t>
        <a:bodyPr/>
        <a:lstStyle/>
        <a:p>
          <a:r>
            <a:rPr lang="fr-FR" sz="1100">
              <a:latin typeface="Times New Roman"/>
              <a:cs typeface="Times New Roman"/>
            </a:rPr>
            <a:t>Satura pārbaude</a:t>
          </a:r>
        </a:p>
      </dgm:t>
    </dgm:pt>
    <dgm:pt modelId="{F4392A64-92B9-6743-AB12-6D0662BB0724}" type="parTrans" cxnId="{B72142CC-622E-3042-97E8-5A2A0ECB420F}">
      <dgm:prSet/>
      <dgm:spPr/>
      <dgm:t>
        <a:bodyPr/>
        <a:lstStyle/>
        <a:p>
          <a:endParaRPr lang="fr-FR"/>
        </a:p>
      </dgm:t>
    </dgm:pt>
    <dgm:pt modelId="{D9EAA288-BB7B-2340-9AC5-FA61173B07F9}" type="sibTrans" cxnId="{B72142CC-622E-3042-97E8-5A2A0ECB420F}">
      <dgm:prSet/>
      <dgm:spPr/>
      <dgm:t>
        <a:bodyPr/>
        <a:lstStyle/>
        <a:p>
          <a:endParaRPr lang="fr-FR"/>
        </a:p>
      </dgm:t>
    </dgm:pt>
    <dgm:pt modelId="{C1EA21DB-6601-BD4E-91FA-F3CE72BC5897}">
      <dgm:prSet phldrT="[Texte]" custT="1"/>
      <dgm:spPr/>
      <dgm:t>
        <a:bodyPr/>
        <a:lstStyle/>
        <a:p>
          <a:r>
            <a:rPr lang="fr-FR" sz="1100">
              <a:latin typeface="Times New Roman"/>
              <a:cs typeface="Times New Roman"/>
            </a:rPr>
            <a:t>Atzīšanas (akceptēšanas) metode</a:t>
          </a:r>
        </a:p>
      </dgm:t>
    </dgm:pt>
    <dgm:pt modelId="{FE55C355-FEF1-CD4F-83E0-F6DDA49C59CA}" type="parTrans" cxnId="{15FDCE0D-98BE-7E48-BFB9-6391CF0E839D}">
      <dgm:prSet/>
      <dgm:spPr/>
      <dgm:t>
        <a:bodyPr/>
        <a:lstStyle/>
        <a:p>
          <a:endParaRPr lang="fr-FR"/>
        </a:p>
      </dgm:t>
    </dgm:pt>
    <dgm:pt modelId="{F3735CD0-EEC1-A346-99C8-92BB7EDF0609}" type="sibTrans" cxnId="{15FDCE0D-98BE-7E48-BFB9-6391CF0E839D}">
      <dgm:prSet/>
      <dgm:spPr/>
      <dgm:t>
        <a:bodyPr/>
        <a:lstStyle/>
        <a:p>
          <a:endParaRPr lang="fr-FR"/>
        </a:p>
      </dgm:t>
    </dgm:pt>
    <dgm:pt modelId="{D76C702D-9652-C946-83BD-71B5D30A5E4D}">
      <dgm:prSet phldrT="[Texte]" custT="1"/>
      <dgm:spPr/>
      <dgm:t>
        <a:bodyPr/>
        <a:lstStyle/>
        <a:p>
          <a:r>
            <a:rPr lang="fr-FR" sz="1100">
              <a:latin typeface="Times New Roman"/>
              <a:cs typeface="Times New Roman"/>
            </a:rPr>
            <a:t>Formas pārbaude</a:t>
          </a:r>
        </a:p>
      </dgm:t>
    </dgm:pt>
    <dgm:pt modelId="{12272DAB-D592-694B-A4F0-906640B6EF91}" type="parTrans" cxnId="{C3BAAF48-EF37-C749-B46B-1F5F25C3D2DB}">
      <dgm:prSet/>
      <dgm:spPr/>
      <dgm:t>
        <a:bodyPr/>
        <a:lstStyle/>
        <a:p>
          <a:endParaRPr lang="fr-FR"/>
        </a:p>
      </dgm:t>
    </dgm:pt>
    <dgm:pt modelId="{7B983A12-8F55-8941-BA9D-3F6BFC9D4A26}" type="sibTrans" cxnId="{C3BAAF48-EF37-C749-B46B-1F5F25C3D2DB}">
      <dgm:prSet/>
      <dgm:spPr/>
      <dgm:t>
        <a:bodyPr/>
        <a:lstStyle/>
        <a:p>
          <a:endParaRPr lang="fr-FR"/>
        </a:p>
      </dgm:t>
    </dgm:pt>
    <dgm:pt modelId="{7508A9E5-98BD-0740-A6EB-B255070E54EF}">
      <dgm:prSet phldrT="[Texte]" custT="1"/>
      <dgm:spPr/>
      <dgm:t>
        <a:bodyPr/>
        <a:lstStyle/>
        <a:p>
          <a:r>
            <a:rPr lang="fr-FR" sz="1100">
              <a:latin typeface="Times New Roman"/>
              <a:cs typeface="Times New Roman"/>
            </a:rPr>
            <a:t>Substitūcijas jeb ekvivalences teorija (metode)</a:t>
          </a:r>
        </a:p>
      </dgm:t>
    </dgm:pt>
    <dgm:pt modelId="{5756A43F-A054-CA41-B97B-5CDE526C006F}" type="parTrans" cxnId="{77B29E10-EBF2-CF48-8E1C-91441EA12413}">
      <dgm:prSet/>
      <dgm:spPr/>
      <dgm:t>
        <a:bodyPr/>
        <a:lstStyle/>
        <a:p>
          <a:endParaRPr lang="fr-FR"/>
        </a:p>
      </dgm:t>
    </dgm:pt>
    <dgm:pt modelId="{0B64B513-1B95-5B48-A5BF-A2786B2C559F}" type="sibTrans" cxnId="{77B29E10-EBF2-CF48-8E1C-91441EA12413}">
      <dgm:prSet/>
      <dgm:spPr/>
      <dgm:t>
        <a:bodyPr/>
        <a:lstStyle/>
        <a:p>
          <a:endParaRPr lang="fr-FR"/>
        </a:p>
      </dgm:t>
    </dgm:pt>
    <dgm:pt modelId="{A7721522-5304-7D48-9884-1710B253E295}" type="pres">
      <dgm:prSet presAssocID="{91198F24-459F-AB45-ABAF-0BC131EB52BC}" presName="hierChild1" presStyleCnt="0">
        <dgm:presLayoutVars>
          <dgm:chPref val="1"/>
          <dgm:dir/>
          <dgm:animOne val="branch"/>
          <dgm:animLvl val="lvl"/>
          <dgm:resizeHandles/>
        </dgm:presLayoutVars>
      </dgm:prSet>
      <dgm:spPr/>
    </dgm:pt>
    <dgm:pt modelId="{ECD4E3D1-B0F1-EA43-8A59-2CE3BF0DDEAB}" type="pres">
      <dgm:prSet presAssocID="{1DD639FE-68B9-4F45-AEF7-1F57E731D432}" presName="hierRoot1" presStyleCnt="0"/>
      <dgm:spPr/>
    </dgm:pt>
    <dgm:pt modelId="{6326D9F6-CA95-4D49-865E-05D19B2E0E9C}" type="pres">
      <dgm:prSet presAssocID="{1DD639FE-68B9-4F45-AEF7-1F57E731D432}" presName="composite" presStyleCnt="0"/>
      <dgm:spPr/>
    </dgm:pt>
    <dgm:pt modelId="{7250C091-AC47-0B46-8006-981B9D9D3502}" type="pres">
      <dgm:prSet presAssocID="{1DD639FE-68B9-4F45-AEF7-1F57E731D432}" presName="background" presStyleLbl="node0" presStyleIdx="0" presStyleCnt="1"/>
      <dgm:spPr/>
    </dgm:pt>
    <dgm:pt modelId="{E1803029-3CA8-BB49-BF63-70107A5054A3}" type="pres">
      <dgm:prSet presAssocID="{1DD639FE-68B9-4F45-AEF7-1F57E731D432}" presName="text" presStyleLbl="fgAcc0" presStyleIdx="0" presStyleCnt="1">
        <dgm:presLayoutVars>
          <dgm:chPref val="3"/>
        </dgm:presLayoutVars>
      </dgm:prSet>
      <dgm:spPr/>
    </dgm:pt>
    <dgm:pt modelId="{57D646EA-8B44-6141-AC24-37E77ECA5DCF}" type="pres">
      <dgm:prSet presAssocID="{1DD639FE-68B9-4F45-AEF7-1F57E731D432}" presName="hierChild2" presStyleCnt="0"/>
      <dgm:spPr/>
    </dgm:pt>
    <dgm:pt modelId="{910563F6-9711-2C42-AA31-1D34783504F6}" type="pres">
      <dgm:prSet presAssocID="{F4392A64-92B9-6743-AB12-6D0662BB0724}" presName="Name10" presStyleLbl="parChTrans1D2" presStyleIdx="0" presStyleCnt="2"/>
      <dgm:spPr/>
    </dgm:pt>
    <dgm:pt modelId="{01FFE332-D4B4-1C40-B152-B7ACCF0AF1D8}" type="pres">
      <dgm:prSet presAssocID="{BED3435A-66B4-634F-AE38-4D4E1F3272C0}" presName="hierRoot2" presStyleCnt="0"/>
      <dgm:spPr/>
    </dgm:pt>
    <dgm:pt modelId="{D73089A7-74AE-3F4E-826B-CF4F7909D4C0}" type="pres">
      <dgm:prSet presAssocID="{BED3435A-66B4-634F-AE38-4D4E1F3272C0}" presName="composite2" presStyleCnt="0"/>
      <dgm:spPr/>
    </dgm:pt>
    <dgm:pt modelId="{4DBE0B3D-5865-9844-8B4E-3801E2BF12DC}" type="pres">
      <dgm:prSet presAssocID="{BED3435A-66B4-634F-AE38-4D4E1F3272C0}" presName="background2" presStyleLbl="node2" presStyleIdx="0" presStyleCnt="2"/>
      <dgm:spPr/>
    </dgm:pt>
    <dgm:pt modelId="{C69F52A0-30C3-114B-8122-59BED35D8BEC}" type="pres">
      <dgm:prSet presAssocID="{BED3435A-66B4-634F-AE38-4D4E1F3272C0}" presName="text2" presStyleLbl="fgAcc2" presStyleIdx="0" presStyleCnt="2">
        <dgm:presLayoutVars>
          <dgm:chPref val="3"/>
        </dgm:presLayoutVars>
      </dgm:prSet>
      <dgm:spPr/>
    </dgm:pt>
    <dgm:pt modelId="{A7D808FB-6F0D-8347-9C74-6B11D6D6363E}" type="pres">
      <dgm:prSet presAssocID="{BED3435A-66B4-634F-AE38-4D4E1F3272C0}" presName="hierChild3" presStyleCnt="0"/>
      <dgm:spPr/>
    </dgm:pt>
    <dgm:pt modelId="{6560EDA2-97AA-9643-A97D-E8C00FE56575}" type="pres">
      <dgm:prSet presAssocID="{FE55C355-FEF1-CD4F-83E0-F6DDA49C59CA}" presName="Name17" presStyleLbl="parChTrans1D3" presStyleIdx="0" presStyleCnt="2"/>
      <dgm:spPr/>
    </dgm:pt>
    <dgm:pt modelId="{4DD00A5A-2585-324E-A6A3-810B70B01B52}" type="pres">
      <dgm:prSet presAssocID="{C1EA21DB-6601-BD4E-91FA-F3CE72BC5897}" presName="hierRoot3" presStyleCnt="0"/>
      <dgm:spPr/>
    </dgm:pt>
    <dgm:pt modelId="{8D6C0753-5D32-D94D-BA3C-9E3521F4073E}" type="pres">
      <dgm:prSet presAssocID="{C1EA21DB-6601-BD4E-91FA-F3CE72BC5897}" presName="composite3" presStyleCnt="0"/>
      <dgm:spPr/>
    </dgm:pt>
    <dgm:pt modelId="{977F06FA-04F5-7E4B-A90E-574395AB745A}" type="pres">
      <dgm:prSet presAssocID="{C1EA21DB-6601-BD4E-91FA-F3CE72BC5897}" presName="background3" presStyleLbl="node3" presStyleIdx="0" presStyleCnt="2"/>
      <dgm:spPr/>
    </dgm:pt>
    <dgm:pt modelId="{4626B659-5673-6E41-96E4-09F7994B61B3}" type="pres">
      <dgm:prSet presAssocID="{C1EA21DB-6601-BD4E-91FA-F3CE72BC5897}" presName="text3" presStyleLbl="fgAcc3" presStyleIdx="0" presStyleCnt="2">
        <dgm:presLayoutVars>
          <dgm:chPref val="3"/>
        </dgm:presLayoutVars>
      </dgm:prSet>
      <dgm:spPr/>
    </dgm:pt>
    <dgm:pt modelId="{79AD4AE0-C261-DF47-BC06-529AA4C422AA}" type="pres">
      <dgm:prSet presAssocID="{C1EA21DB-6601-BD4E-91FA-F3CE72BC5897}" presName="hierChild4" presStyleCnt="0"/>
      <dgm:spPr/>
    </dgm:pt>
    <dgm:pt modelId="{A3712888-A411-514D-B72A-F98AA7CFD96B}" type="pres">
      <dgm:prSet presAssocID="{12272DAB-D592-694B-A4F0-906640B6EF91}" presName="Name10" presStyleLbl="parChTrans1D2" presStyleIdx="1" presStyleCnt="2"/>
      <dgm:spPr/>
    </dgm:pt>
    <dgm:pt modelId="{821E6C77-2A6A-2343-9CF1-8938E72D0733}" type="pres">
      <dgm:prSet presAssocID="{D76C702D-9652-C946-83BD-71B5D30A5E4D}" presName="hierRoot2" presStyleCnt="0"/>
      <dgm:spPr/>
    </dgm:pt>
    <dgm:pt modelId="{675416C1-B47A-0442-848A-3F0BD8B7566F}" type="pres">
      <dgm:prSet presAssocID="{D76C702D-9652-C946-83BD-71B5D30A5E4D}" presName="composite2" presStyleCnt="0"/>
      <dgm:spPr/>
    </dgm:pt>
    <dgm:pt modelId="{B6E3C3E0-1895-C24C-A23E-3FF7325A4101}" type="pres">
      <dgm:prSet presAssocID="{D76C702D-9652-C946-83BD-71B5D30A5E4D}" presName="background2" presStyleLbl="node2" presStyleIdx="1" presStyleCnt="2"/>
      <dgm:spPr/>
    </dgm:pt>
    <dgm:pt modelId="{B0E45855-9A19-554C-827B-C909AB8D381D}" type="pres">
      <dgm:prSet presAssocID="{D76C702D-9652-C946-83BD-71B5D30A5E4D}" presName="text2" presStyleLbl="fgAcc2" presStyleIdx="1" presStyleCnt="2">
        <dgm:presLayoutVars>
          <dgm:chPref val="3"/>
        </dgm:presLayoutVars>
      </dgm:prSet>
      <dgm:spPr/>
    </dgm:pt>
    <dgm:pt modelId="{34F2E892-2096-8046-B976-3E3A37BC5721}" type="pres">
      <dgm:prSet presAssocID="{D76C702D-9652-C946-83BD-71B5D30A5E4D}" presName="hierChild3" presStyleCnt="0"/>
      <dgm:spPr/>
    </dgm:pt>
    <dgm:pt modelId="{87D699D7-E4EF-5B4A-A2F8-D41AE8192289}" type="pres">
      <dgm:prSet presAssocID="{5756A43F-A054-CA41-B97B-5CDE526C006F}" presName="Name17" presStyleLbl="parChTrans1D3" presStyleIdx="1" presStyleCnt="2"/>
      <dgm:spPr/>
    </dgm:pt>
    <dgm:pt modelId="{23E93ED2-AB07-2A49-BC10-F0024CEF5448}" type="pres">
      <dgm:prSet presAssocID="{7508A9E5-98BD-0740-A6EB-B255070E54EF}" presName="hierRoot3" presStyleCnt="0"/>
      <dgm:spPr/>
    </dgm:pt>
    <dgm:pt modelId="{B83A38CF-F52D-C040-96E4-9C75AA871236}" type="pres">
      <dgm:prSet presAssocID="{7508A9E5-98BD-0740-A6EB-B255070E54EF}" presName="composite3" presStyleCnt="0"/>
      <dgm:spPr/>
    </dgm:pt>
    <dgm:pt modelId="{02973076-4A35-3544-A5EF-1FA1EC9F1BCB}" type="pres">
      <dgm:prSet presAssocID="{7508A9E5-98BD-0740-A6EB-B255070E54EF}" presName="background3" presStyleLbl="node3" presStyleIdx="1" presStyleCnt="2"/>
      <dgm:spPr/>
    </dgm:pt>
    <dgm:pt modelId="{B2405972-F3F4-F44F-9C58-7C4287BDBB9C}" type="pres">
      <dgm:prSet presAssocID="{7508A9E5-98BD-0740-A6EB-B255070E54EF}" presName="text3" presStyleLbl="fgAcc3" presStyleIdx="1" presStyleCnt="2">
        <dgm:presLayoutVars>
          <dgm:chPref val="3"/>
        </dgm:presLayoutVars>
      </dgm:prSet>
      <dgm:spPr/>
    </dgm:pt>
    <dgm:pt modelId="{774BB328-5642-4248-9919-744476C3420B}" type="pres">
      <dgm:prSet presAssocID="{7508A9E5-98BD-0740-A6EB-B255070E54EF}" presName="hierChild4" presStyleCnt="0"/>
      <dgm:spPr/>
    </dgm:pt>
  </dgm:ptLst>
  <dgm:cxnLst>
    <dgm:cxn modelId="{15FDCE0D-98BE-7E48-BFB9-6391CF0E839D}" srcId="{BED3435A-66B4-634F-AE38-4D4E1F3272C0}" destId="{C1EA21DB-6601-BD4E-91FA-F3CE72BC5897}" srcOrd="0" destOrd="0" parTransId="{FE55C355-FEF1-CD4F-83E0-F6DDA49C59CA}" sibTransId="{F3735CD0-EEC1-A346-99C8-92BB7EDF0609}"/>
    <dgm:cxn modelId="{77B29E10-EBF2-CF48-8E1C-91441EA12413}" srcId="{D76C702D-9652-C946-83BD-71B5D30A5E4D}" destId="{7508A9E5-98BD-0740-A6EB-B255070E54EF}" srcOrd="0" destOrd="0" parTransId="{5756A43F-A054-CA41-B97B-5CDE526C006F}" sibTransId="{0B64B513-1B95-5B48-A5BF-A2786B2C559F}"/>
    <dgm:cxn modelId="{0A7DF810-ABC0-B946-8DDB-A77D7F4D4F56}" type="presOf" srcId="{7508A9E5-98BD-0740-A6EB-B255070E54EF}" destId="{B2405972-F3F4-F44F-9C58-7C4287BDBB9C}" srcOrd="0" destOrd="0" presId="urn:microsoft.com/office/officeart/2005/8/layout/hierarchy1"/>
    <dgm:cxn modelId="{D0DA0B11-069F-3047-B6BD-D909A42AFBBE}" type="presOf" srcId="{D76C702D-9652-C946-83BD-71B5D30A5E4D}" destId="{B0E45855-9A19-554C-827B-C909AB8D381D}" srcOrd="0" destOrd="0" presId="urn:microsoft.com/office/officeart/2005/8/layout/hierarchy1"/>
    <dgm:cxn modelId="{DEFDCD23-B417-5949-8F5C-16FFFD6FD0BA}" type="presOf" srcId="{F4392A64-92B9-6743-AB12-6D0662BB0724}" destId="{910563F6-9711-2C42-AA31-1D34783504F6}" srcOrd="0" destOrd="0" presId="urn:microsoft.com/office/officeart/2005/8/layout/hierarchy1"/>
    <dgm:cxn modelId="{81AE5D39-E49F-2749-A571-5A937224506D}" type="presOf" srcId="{91198F24-459F-AB45-ABAF-0BC131EB52BC}" destId="{A7721522-5304-7D48-9884-1710B253E295}" srcOrd="0" destOrd="0" presId="urn:microsoft.com/office/officeart/2005/8/layout/hierarchy1"/>
    <dgm:cxn modelId="{9E65F45F-AD60-6C47-8A62-8C9B4F383CE3}" type="presOf" srcId="{C1EA21DB-6601-BD4E-91FA-F3CE72BC5897}" destId="{4626B659-5673-6E41-96E4-09F7994B61B3}" srcOrd="0" destOrd="0" presId="urn:microsoft.com/office/officeart/2005/8/layout/hierarchy1"/>
    <dgm:cxn modelId="{E80BC047-4FCD-5F4A-9A9C-347875334F11}" type="presOf" srcId="{5756A43F-A054-CA41-B97B-5CDE526C006F}" destId="{87D699D7-E4EF-5B4A-A2F8-D41AE8192289}" srcOrd="0" destOrd="0" presId="urn:microsoft.com/office/officeart/2005/8/layout/hierarchy1"/>
    <dgm:cxn modelId="{C3BAAF48-EF37-C749-B46B-1F5F25C3D2DB}" srcId="{1DD639FE-68B9-4F45-AEF7-1F57E731D432}" destId="{D76C702D-9652-C946-83BD-71B5D30A5E4D}" srcOrd="1" destOrd="0" parTransId="{12272DAB-D592-694B-A4F0-906640B6EF91}" sibTransId="{7B983A12-8F55-8941-BA9D-3F6BFC9D4A26}"/>
    <dgm:cxn modelId="{83D67283-C296-9C4F-BAA1-20DE37CE6E38}" srcId="{91198F24-459F-AB45-ABAF-0BC131EB52BC}" destId="{1DD639FE-68B9-4F45-AEF7-1F57E731D432}" srcOrd="0" destOrd="0" parTransId="{3C587F4E-7119-8D48-A406-5736B66C37A6}" sibTransId="{7A716B83-C093-1244-B403-1DE5F550A526}"/>
    <dgm:cxn modelId="{5BC76792-C177-A24E-BF77-A33C211FBDB3}" type="presOf" srcId="{12272DAB-D592-694B-A4F0-906640B6EF91}" destId="{A3712888-A411-514D-B72A-F98AA7CFD96B}" srcOrd="0" destOrd="0" presId="urn:microsoft.com/office/officeart/2005/8/layout/hierarchy1"/>
    <dgm:cxn modelId="{95FED7C0-6A79-BE4D-B370-71E5D96F6849}" type="presOf" srcId="{1DD639FE-68B9-4F45-AEF7-1F57E731D432}" destId="{E1803029-3CA8-BB49-BF63-70107A5054A3}" srcOrd="0" destOrd="0" presId="urn:microsoft.com/office/officeart/2005/8/layout/hierarchy1"/>
    <dgm:cxn modelId="{C57B75C2-6E43-1A4D-B38F-DF8A7F43C078}" type="presOf" srcId="{BED3435A-66B4-634F-AE38-4D4E1F3272C0}" destId="{C69F52A0-30C3-114B-8122-59BED35D8BEC}" srcOrd="0" destOrd="0" presId="urn:microsoft.com/office/officeart/2005/8/layout/hierarchy1"/>
    <dgm:cxn modelId="{B72142CC-622E-3042-97E8-5A2A0ECB420F}" srcId="{1DD639FE-68B9-4F45-AEF7-1F57E731D432}" destId="{BED3435A-66B4-634F-AE38-4D4E1F3272C0}" srcOrd="0" destOrd="0" parTransId="{F4392A64-92B9-6743-AB12-6D0662BB0724}" sibTransId="{D9EAA288-BB7B-2340-9AC5-FA61173B07F9}"/>
    <dgm:cxn modelId="{A617E1D2-BD4F-304B-AA1F-5D92D88797A7}" type="presOf" srcId="{FE55C355-FEF1-CD4F-83E0-F6DDA49C59CA}" destId="{6560EDA2-97AA-9643-A97D-E8C00FE56575}" srcOrd="0" destOrd="0" presId="urn:microsoft.com/office/officeart/2005/8/layout/hierarchy1"/>
    <dgm:cxn modelId="{80C3CE0E-09DF-5647-8395-1F246E574204}" type="presParOf" srcId="{A7721522-5304-7D48-9884-1710B253E295}" destId="{ECD4E3D1-B0F1-EA43-8A59-2CE3BF0DDEAB}" srcOrd="0" destOrd="0" presId="urn:microsoft.com/office/officeart/2005/8/layout/hierarchy1"/>
    <dgm:cxn modelId="{C01C29C3-6CED-A744-994E-B327DDB5E7B8}" type="presParOf" srcId="{ECD4E3D1-B0F1-EA43-8A59-2CE3BF0DDEAB}" destId="{6326D9F6-CA95-4D49-865E-05D19B2E0E9C}" srcOrd="0" destOrd="0" presId="urn:microsoft.com/office/officeart/2005/8/layout/hierarchy1"/>
    <dgm:cxn modelId="{6A2CEB2C-7047-A848-B0D4-66FD24A047C7}" type="presParOf" srcId="{6326D9F6-CA95-4D49-865E-05D19B2E0E9C}" destId="{7250C091-AC47-0B46-8006-981B9D9D3502}" srcOrd="0" destOrd="0" presId="urn:microsoft.com/office/officeart/2005/8/layout/hierarchy1"/>
    <dgm:cxn modelId="{46D6396A-498C-F540-A7AF-3909FEFAE401}" type="presParOf" srcId="{6326D9F6-CA95-4D49-865E-05D19B2E0E9C}" destId="{E1803029-3CA8-BB49-BF63-70107A5054A3}" srcOrd="1" destOrd="0" presId="urn:microsoft.com/office/officeart/2005/8/layout/hierarchy1"/>
    <dgm:cxn modelId="{BA5419EB-ECD4-7D47-A146-25E8A3B2589C}" type="presParOf" srcId="{ECD4E3D1-B0F1-EA43-8A59-2CE3BF0DDEAB}" destId="{57D646EA-8B44-6141-AC24-37E77ECA5DCF}" srcOrd="1" destOrd="0" presId="urn:microsoft.com/office/officeart/2005/8/layout/hierarchy1"/>
    <dgm:cxn modelId="{FE21037B-497B-C546-B6A0-A63F559702E2}" type="presParOf" srcId="{57D646EA-8B44-6141-AC24-37E77ECA5DCF}" destId="{910563F6-9711-2C42-AA31-1D34783504F6}" srcOrd="0" destOrd="0" presId="urn:microsoft.com/office/officeart/2005/8/layout/hierarchy1"/>
    <dgm:cxn modelId="{E4EB36B5-3C65-DB4F-882C-B0545FF876B2}" type="presParOf" srcId="{57D646EA-8B44-6141-AC24-37E77ECA5DCF}" destId="{01FFE332-D4B4-1C40-B152-B7ACCF0AF1D8}" srcOrd="1" destOrd="0" presId="urn:microsoft.com/office/officeart/2005/8/layout/hierarchy1"/>
    <dgm:cxn modelId="{ED74A58A-7BDF-CC4A-9588-379B3A66361D}" type="presParOf" srcId="{01FFE332-D4B4-1C40-B152-B7ACCF0AF1D8}" destId="{D73089A7-74AE-3F4E-826B-CF4F7909D4C0}" srcOrd="0" destOrd="0" presId="urn:microsoft.com/office/officeart/2005/8/layout/hierarchy1"/>
    <dgm:cxn modelId="{675925D7-76BF-B840-92CE-899C948BDA38}" type="presParOf" srcId="{D73089A7-74AE-3F4E-826B-CF4F7909D4C0}" destId="{4DBE0B3D-5865-9844-8B4E-3801E2BF12DC}" srcOrd="0" destOrd="0" presId="urn:microsoft.com/office/officeart/2005/8/layout/hierarchy1"/>
    <dgm:cxn modelId="{47D449C2-3964-E34D-A7BD-4393E66D6ECE}" type="presParOf" srcId="{D73089A7-74AE-3F4E-826B-CF4F7909D4C0}" destId="{C69F52A0-30C3-114B-8122-59BED35D8BEC}" srcOrd="1" destOrd="0" presId="urn:microsoft.com/office/officeart/2005/8/layout/hierarchy1"/>
    <dgm:cxn modelId="{12EEE95E-4CE9-204A-BC23-4600A756C40C}" type="presParOf" srcId="{01FFE332-D4B4-1C40-B152-B7ACCF0AF1D8}" destId="{A7D808FB-6F0D-8347-9C74-6B11D6D6363E}" srcOrd="1" destOrd="0" presId="urn:microsoft.com/office/officeart/2005/8/layout/hierarchy1"/>
    <dgm:cxn modelId="{23ECD038-5448-0C44-A5B0-DA64C36E13B7}" type="presParOf" srcId="{A7D808FB-6F0D-8347-9C74-6B11D6D6363E}" destId="{6560EDA2-97AA-9643-A97D-E8C00FE56575}" srcOrd="0" destOrd="0" presId="urn:microsoft.com/office/officeart/2005/8/layout/hierarchy1"/>
    <dgm:cxn modelId="{CD4955B8-046D-C34D-8D8D-3566F3DC4A5B}" type="presParOf" srcId="{A7D808FB-6F0D-8347-9C74-6B11D6D6363E}" destId="{4DD00A5A-2585-324E-A6A3-810B70B01B52}" srcOrd="1" destOrd="0" presId="urn:microsoft.com/office/officeart/2005/8/layout/hierarchy1"/>
    <dgm:cxn modelId="{67E2A227-5650-2041-94BE-3F78C18F3F38}" type="presParOf" srcId="{4DD00A5A-2585-324E-A6A3-810B70B01B52}" destId="{8D6C0753-5D32-D94D-BA3C-9E3521F4073E}" srcOrd="0" destOrd="0" presId="urn:microsoft.com/office/officeart/2005/8/layout/hierarchy1"/>
    <dgm:cxn modelId="{F960C7B8-8FCC-4C44-BF37-CA3DACFFE1ED}" type="presParOf" srcId="{8D6C0753-5D32-D94D-BA3C-9E3521F4073E}" destId="{977F06FA-04F5-7E4B-A90E-574395AB745A}" srcOrd="0" destOrd="0" presId="urn:microsoft.com/office/officeart/2005/8/layout/hierarchy1"/>
    <dgm:cxn modelId="{0D4565E9-A205-5C42-B6E0-B5D256E4317C}" type="presParOf" srcId="{8D6C0753-5D32-D94D-BA3C-9E3521F4073E}" destId="{4626B659-5673-6E41-96E4-09F7994B61B3}" srcOrd="1" destOrd="0" presId="urn:microsoft.com/office/officeart/2005/8/layout/hierarchy1"/>
    <dgm:cxn modelId="{0965DE1A-49A0-C644-ADAD-2058EE5FB8CC}" type="presParOf" srcId="{4DD00A5A-2585-324E-A6A3-810B70B01B52}" destId="{79AD4AE0-C261-DF47-BC06-529AA4C422AA}" srcOrd="1" destOrd="0" presId="urn:microsoft.com/office/officeart/2005/8/layout/hierarchy1"/>
    <dgm:cxn modelId="{E68E614C-B9FE-994F-9A9A-5570F3E89D02}" type="presParOf" srcId="{57D646EA-8B44-6141-AC24-37E77ECA5DCF}" destId="{A3712888-A411-514D-B72A-F98AA7CFD96B}" srcOrd="2" destOrd="0" presId="urn:microsoft.com/office/officeart/2005/8/layout/hierarchy1"/>
    <dgm:cxn modelId="{62C9C866-90F6-6B45-BF79-032A09CF33E7}" type="presParOf" srcId="{57D646EA-8B44-6141-AC24-37E77ECA5DCF}" destId="{821E6C77-2A6A-2343-9CF1-8938E72D0733}" srcOrd="3" destOrd="0" presId="urn:microsoft.com/office/officeart/2005/8/layout/hierarchy1"/>
    <dgm:cxn modelId="{5CA1594D-99D2-2248-9F6F-B06971D769E3}" type="presParOf" srcId="{821E6C77-2A6A-2343-9CF1-8938E72D0733}" destId="{675416C1-B47A-0442-848A-3F0BD8B7566F}" srcOrd="0" destOrd="0" presId="urn:microsoft.com/office/officeart/2005/8/layout/hierarchy1"/>
    <dgm:cxn modelId="{9BAA7D18-EB19-EE4D-B401-CF5B62B11CFE}" type="presParOf" srcId="{675416C1-B47A-0442-848A-3F0BD8B7566F}" destId="{B6E3C3E0-1895-C24C-A23E-3FF7325A4101}" srcOrd="0" destOrd="0" presId="urn:microsoft.com/office/officeart/2005/8/layout/hierarchy1"/>
    <dgm:cxn modelId="{4306069A-35DD-A24A-86C8-628777B212E7}" type="presParOf" srcId="{675416C1-B47A-0442-848A-3F0BD8B7566F}" destId="{B0E45855-9A19-554C-827B-C909AB8D381D}" srcOrd="1" destOrd="0" presId="urn:microsoft.com/office/officeart/2005/8/layout/hierarchy1"/>
    <dgm:cxn modelId="{0609BB31-CB7E-C64B-94FE-181926024A71}" type="presParOf" srcId="{821E6C77-2A6A-2343-9CF1-8938E72D0733}" destId="{34F2E892-2096-8046-B976-3E3A37BC5721}" srcOrd="1" destOrd="0" presId="urn:microsoft.com/office/officeart/2005/8/layout/hierarchy1"/>
    <dgm:cxn modelId="{E80D0CF9-D955-9F42-BDE5-B44F625F975B}" type="presParOf" srcId="{34F2E892-2096-8046-B976-3E3A37BC5721}" destId="{87D699D7-E4EF-5B4A-A2F8-D41AE8192289}" srcOrd="0" destOrd="0" presId="urn:microsoft.com/office/officeart/2005/8/layout/hierarchy1"/>
    <dgm:cxn modelId="{677BFE0E-67D1-8547-BE1E-7AAEB6BF0554}" type="presParOf" srcId="{34F2E892-2096-8046-B976-3E3A37BC5721}" destId="{23E93ED2-AB07-2A49-BC10-F0024CEF5448}" srcOrd="1" destOrd="0" presId="urn:microsoft.com/office/officeart/2005/8/layout/hierarchy1"/>
    <dgm:cxn modelId="{2F8178CF-A086-0444-84D7-6142EBC61BC1}" type="presParOf" srcId="{23E93ED2-AB07-2A49-BC10-F0024CEF5448}" destId="{B83A38CF-F52D-C040-96E4-9C75AA871236}" srcOrd="0" destOrd="0" presId="urn:microsoft.com/office/officeart/2005/8/layout/hierarchy1"/>
    <dgm:cxn modelId="{6A326B0F-0759-1A44-9C81-3A1E14DBF62B}" type="presParOf" srcId="{B83A38CF-F52D-C040-96E4-9C75AA871236}" destId="{02973076-4A35-3544-A5EF-1FA1EC9F1BCB}" srcOrd="0" destOrd="0" presId="urn:microsoft.com/office/officeart/2005/8/layout/hierarchy1"/>
    <dgm:cxn modelId="{8640141F-DF26-9145-8FCC-4DBE9292374A}" type="presParOf" srcId="{B83A38CF-F52D-C040-96E4-9C75AA871236}" destId="{B2405972-F3F4-F44F-9C58-7C4287BDBB9C}" srcOrd="1" destOrd="0" presId="urn:microsoft.com/office/officeart/2005/8/layout/hierarchy1"/>
    <dgm:cxn modelId="{DBE5DEF3-B1C1-B247-9086-E17457D115EF}" type="presParOf" srcId="{23E93ED2-AB07-2A49-BC10-F0024CEF5448}" destId="{774BB328-5642-4248-9919-744476C3420B}" srcOrd="1" destOrd="0" presId="urn:microsoft.com/office/officeart/2005/8/layout/hierarchy1"/>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7D699D7-E4EF-5B4A-A2F8-D41AE8192289}">
      <dsp:nvSpPr>
        <dsp:cNvPr id="0" name=""/>
        <dsp:cNvSpPr/>
      </dsp:nvSpPr>
      <dsp:spPr>
        <a:xfrm>
          <a:off x="3383280" y="1926983"/>
          <a:ext cx="91440" cy="359016"/>
        </a:xfrm>
        <a:custGeom>
          <a:avLst/>
          <a:gdLst/>
          <a:ahLst/>
          <a:cxnLst/>
          <a:rect l="0" t="0" r="0" b="0"/>
          <a:pathLst>
            <a:path>
              <a:moveTo>
                <a:pt x="45720" y="0"/>
              </a:moveTo>
              <a:lnTo>
                <a:pt x="45720" y="359016"/>
              </a:lnTo>
            </a:path>
          </a:pathLst>
        </a:custGeom>
        <a:noFill/>
        <a:ln w="9525" cap="flat" cmpd="sng" algn="ctr">
          <a:solidFill>
            <a:schemeClr val="accent1">
              <a:tint val="70000"/>
              <a:hueOff val="0"/>
              <a:satOff val="0"/>
              <a:lumOff val="0"/>
              <a:alphaOff val="0"/>
            </a:schemeClr>
          </a:solidFill>
          <a:prstDash val="solid"/>
        </a:ln>
        <a:effectLst/>
      </dsp:spPr>
      <dsp:style>
        <a:lnRef idx="1">
          <a:scrgbClr r="0" g="0" b="0"/>
        </a:lnRef>
        <a:fillRef idx="0">
          <a:scrgbClr r="0" g="0" b="0"/>
        </a:fillRef>
        <a:effectRef idx="0">
          <a:scrgbClr r="0" g="0" b="0"/>
        </a:effectRef>
        <a:fontRef idx="minor"/>
      </dsp:style>
    </dsp:sp>
    <dsp:sp modelId="{A3712888-A411-514D-B72A-F98AA7CFD96B}">
      <dsp:nvSpPr>
        <dsp:cNvPr id="0" name=""/>
        <dsp:cNvSpPr/>
      </dsp:nvSpPr>
      <dsp:spPr>
        <a:xfrm>
          <a:off x="2674620" y="784097"/>
          <a:ext cx="754379" cy="359016"/>
        </a:xfrm>
        <a:custGeom>
          <a:avLst/>
          <a:gdLst/>
          <a:ahLst/>
          <a:cxnLst/>
          <a:rect l="0" t="0" r="0" b="0"/>
          <a:pathLst>
            <a:path>
              <a:moveTo>
                <a:pt x="0" y="0"/>
              </a:moveTo>
              <a:lnTo>
                <a:pt x="0" y="244659"/>
              </a:lnTo>
              <a:lnTo>
                <a:pt x="754379" y="244659"/>
              </a:lnTo>
              <a:lnTo>
                <a:pt x="754379" y="359016"/>
              </a:lnTo>
            </a:path>
          </a:pathLst>
        </a:custGeom>
        <a:noFill/>
        <a:ln w="9525" cap="flat" cmpd="sng" algn="ctr">
          <a:solidFill>
            <a:schemeClr val="accent1">
              <a:tint val="90000"/>
              <a:hueOff val="0"/>
              <a:satOff val="0"/>
              <a:lumOff val="0"/>
              <a:alphaOff val="0"/>
            </a:schemeClr>
          </a:solidFill>
          <a:prstDash val="solid"/>
        </a:ln>
        <a:effectLst/>
      </dsp:spPr>
      <dsp:style>
        <a:lnRef idx="1">
          <a:scrgbClr r="0" g="0" b="0"/>
        </a:lnRef>
        <a:fillRef idx="0">
          <a:scrgbClr r="0" g="0" b="0"/>
        </a:fillRef>
        <a:effectRef idx="0">
          <a:scrgbClr r="0" g="0" b="0"/>
        </a:effectRef>
        <a:fontRef idx="minor"/>
      </dsp:style>
    </dsp:sp>
    <dsp:sp modelId="{6560EDA2-97AA-9643-A97D-E8C00FE56575}">
      <dsp:nvSpPr>
        <dsp:cNvPr id="0" name=""/>
        <dsp:cNvSpPr/>
      </dsp:nvSpPr>
      <dsp:spPr>
        <a:xfrm>
          <a:off x="1874519" y="1926983"/>
          <a:ext cx="91440" cy="359016"/>
        </a:xfrm>
        <a:custGeom>
          <a:avLst/>
          <a:gdLst/>
          <a:ahLst/>
          <a:cxnLst/>
          <a:rect l="0" t="0" r="0" b="0"/>
          <a:pathLst>
            <a:path>
              <a:moveTo>
                <a:pt x="45720" y="0"/>
              </a:moveTo>
              <a:lnTo>
                <a:pt x="45720" y="359016"/>
              </a:lnTo>
            </a:path>
          </a:pathLst>
        </a:custGeom>
        <a:noFill/>
        <a:ln w="9525" cap="flat" cmpd="sng" algn="ctr">
          <a:solidFill>
            <a:schemeClr val="accent1">
              <a:tint val="70000"/>
              <a:hueOff val="0"/>
              <a:satOff val="0"/>
              <a:lumOff val="0"/>
              <a:alphaOff val="0"/>
            </a:schemeClr>
          </a:solidFill>
          <a:prstDash val="solid"/>
        </a:ln>
        <a:effectLst/>
      </dsp:spPr>
      <dsp:style>
        <a:lnRef idx="1">
          <a:scrgbClr r="0" g="0" b="0"/>
        </a:lnRef>
        <a:fillRef idx="0">
          <a:scrgbClr r="0" g="0" b="0"/>
        </a:fillRef>
        <a:effectRef idx="0">
          <a:scrgbClr r="0" g="0" b="0"/>
        </a:effectRef>
        <a:fontRef idx="minor"/>
      </dsp:style>
    </dsp:sp>
    <dsp:sp modelId="{910563F6-9711-2C42-AA31-1D34783504F6}">
      <dsp:nvSpPr>
        <dsp:cNvPr id="0" name=""/>
        <dsp:cNvSpPr/>
      </dsp:nvSpPr>
      <dsp:spPr>
        <a:xfrm>
          <a:off x="1920240" y="784097"/>
          <a:ext cx="754380" cy="359016"/>
        </a:xfrm>
        <a:custGeom>
          <a:avLst/>
          <a:gdLst/>
          <a:ahLst/>
          <a:cxnLst/>
          <a:rect l="0" t="0" r="0" b="0"/>
          <a:pathLst>
            <a:path>
              <a:moveTo>
                <a:pt x="754380" y="0"/>
              </a:moveTo>
              <a:lnTo>
                <a:pt x="754380" y="244659"/>
              </a:lnTo>
              <a:lnTo>
                <a:pt x="0" y="244659"/>
              </a:lnTo>
              <a:lnTo>
                <a:pt x="0" y="359016"/>
              </a:lnTo>
            </a:path>
          </a:pathLst>
        </a:custGeom>
        <a:noFill/>
        <a:ln w="9525" cap="flat" cmpd="sng" algn="ctr">
          <a:solidFill>
            <a:schemeClr val="accent1">
              <a:tint val="90000"/>
              <a:hueOff val="0"/>
              <a:satOff val="0"/>
              <a:lumOff val="0"/>
              <a:alphaOff val="0"/>
            </a:schemeClr>
          </a:solidFill>
          <a:prstDash val="solid"/>
        </a:ln>
        <a:effectLst/>
      </dsp:spPr>
      <dsp:style>
        <a:lnRef idx="1">
          <a:scrgbClr r="0" g="0" b="0"/>
        </a:lnRef>
        <a:fillRef idx="0">
          <a:scrgbClr r="0" g="0" b="0"/>
        </a:fillRef>
        <a:effectRef idx="0">
          <a:scrgbClr r="0" g="0" b="0"/>
        </a:effectRef>
        <a:fontRef idx="minor"/>
      </dsp:style>
    </dsp:sp>
    <dsp:sp modelId="{7250C091-AC47-0B46-8006-981B9D9D3502}">
      <dsp:nvSpPr>
        <dsp:cNvPr id="0" name=""/>
        <dsp:cNvSpPr/>
      </dsp:nvSpPr>
      <dsp:spPr>
        <a:xfrm>
          <a:off x="2057400" y="228"/>
          <a:ext cx="1234440" cy="783869"/>
        </a:xfrm>
        <a:prstGeom prst="roundRect">
          <a:avLst>
            <a:gd name="adj" fmla="val 10000"/>
          </a:avLst>
        </a:prstGeom>
        <a:gradFill rotWithShape="0">
          <a:gsLst>
            <a:gs pos="0">
              <a:schemeClr val="accent1">
                <a:shade val="60000"/>
                <a:hueOff val="0"/>
                <a:satOff val="0"/>
                <a:lumOff val="0"/>
                <a:alphaOff val="0"/>
                <a:tint val="100000"/>
                <a:shade val="100000"/>
                <a:satMod val="130000"/>
              </a:schemeClr>
            </a:gs>
            <a:gs pos="100000">
              <a:schemeClr val="accent1">
                <a:shade val="60000"/>
                <a:hueOff val="0"/>
                <a:satOff val="0"/>
                <a:lumOff val="0"/>
                <a:alphaOff val="0"/>
                <a:tint val="50000"/>
                <a:shade val="100000"/>
                <a:satMod val="350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sp>
    <dsp:sp modelId="{E1803029-3CA8-BB49-BF63-70107A5054A3}">
      <dsp:nvSpPr>
        <dsp:cNvPr id="0" name=""/>
        <dsp:cNvSpPr/>
      </dsp:nvSpPr>
      <dsp:spPr>
        <a:xfrm>
          <a:off x="2194560" y="130530"/>
          <a:ext cx="1234440" cy="783869"/>
        </a:xfrm>
        <a:prstGeom prst="roundRect">
          <a:avLst>
            <a:gd name="adj" fmla="val 10000"/>
          </a:avLst>
        </a:prstGeom>
        <a:solidFill>
          <a:schemeClr val="lt1">
            <a:alpha val="90000"/>
            <a:hueOff val="0"/>
            <a:satOff val="0"/>
            <a:lumOff val="0"/>
            <a:alphaOff val="0"/>
          </a:schemeClr>
        </a:solidFill>
        <a:ln w="9525" cap="flat" cmpd="sng" algn="ctr">
          <a:solidFill>
            <a:schemeClr val="accent1">
              <a:shade val="80000"/>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lang="fr-FR" sz="1100" b="1" kern="1200">
              <a:latin typeface="Times New Roman"/>
              <a:cs typeface="Times New Roman"/>
            </a:rPr>
            <a:t>Ārvalsts publiskā dokumenta pārbaudes metodes</a:t>
          </a:r>
        </a:p>
      </dsp:txBody>
      <dsp:txXfrm>
        <a:off x="2217519" y="153489"/>
        <a:ext cx="1188522" cy="737951"/>
      </dsp:txXfrm>
    </dsp:sp>
    <dsp:sp modelId="{4DBE0B3D-5865-9844-8B4E-3801E2BF12DC}">
      <dsp:nvSpPr>
        <dsp:cNvPr id="0" name=""/>
        <dsp:cNvSpPr/>
      </dsp:nvSpPr>
      <dsp:spPr>
        <a:xfrm>
          <a:off x="1303019" y="1143114"/>
          <a:ext cx="1234440" cy="783869"/>
        </a:xfrm>
        <a:prstGeom prst="roundRect">
          <a:avLst>
            <a:gd name="adj" fmla="val 10000"/>
          </a:avLst>
        </a:prstGeom>
        <a:gradFill rotWithShape="0">
          <a:gsLst>
            <a:gs pos="0">
              <a:schemeClr val="accent1">
                <a:shade val="80000"/>
                <a:hueOff val="0"/>
                <a:satOff val="0"/>
                <a:lumOff val="0"/>
                <a:alphaOff val="0"/>
                <a:tint val="100000"/>
                <a:shade val="100000"/>
                <a:satMod val="130000"/>
              </a:schemeClr>
            </a:gs>
            <a:gs pos="100000">
              <a:schemeClr val="accent1">
                <a:shade val="80000"/>
                <a:hueOff val="0"/>
                <a:satOff val="0"/>
                <a:lumOff val="0"/>
                <a:alphaOff val="0"/>
                <a:tint val="50000"/>
                <a:shade val="100000"/>
                <a:satMod val="350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sp>
    <dsp:sp modelId="{C69F52A0-30C3-114B-8122-59BED35D8BEC}">
      <dsp:nvSpPr>
        <dsp:cNvPr id="0" name=""/>
        <dsp:cNvSpPr/>
      </dsp:nvSpPr>
      <dsp:spPr>
        <a:xfrm>
          <a:off x="1440179" y="1273416"/>
          <a:ext cx="1234440" cy="783869"/>
        </a:xfrm>
        <a:prstGeom prst="roundRect">
          <a:avLst>
            <a:gd name="adj" fmla="val 10000"/>
          </a:avLst>
        </a:prstGeom>
        <a:solidFill>
          <a:schemeClr val="lt1">
            <a:alpha val="90000"/>
            <a:hueOff val="0"/>
            <a:satOff val="0"/>
            <a:lumOff val="0"/>
            <a:alphaOff val="0"/>
          </a:schemeClr>
        </a:solidFill>
        <a:ln w="9525" cap="flat" cmpd="sng" algn="ctr">
          <a:solidFill>
            <a:schemeClr val="accent1">
              <a:tint val="90000"/>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lang="fr-FR" sz="1100" kern="1200">
              <a:latin typeface="Times New Roman"/>
              <a:cs typeface="Times New Roman"/>
            </a:rPr>
            <a:t>Satura pārbaude</a:t>
          </a:r>
        </a:p>
      </dsp:txBody>
      <dsp:txXfrm>
        <a:off x="1463138" y="1296375"/>
        <a:ext cx="1188522" cy="737951"/>
      </dsp:txXfrm>
    </dsp:sp>
    <dsp:sp modelId="{977F06FA-04F5-7E4B-A90E-574395AB745A}">
      <dsp:nvSpPr>
        <dsp:cNvPr id="0" name=""/>
        <dsp:cNvSpPr/>
      </dsp:nvSpPr>
      <dsp:spPr>
        <a:xfrm>
          <a:off x="1303019" y="2285999"/>
          <a:ext cx="1234440" cy="783869"/>
        </a:xfrm>
        <a:prstGeom prst="roundRect">
          <a:avLst>
            <a:gd name="adj" fmla="val 10000"/>
          </a:avLst>
        </a:prstGeom>
        <a:gradFill rotWithShape="0">
          <a:gsLst>
            <a:gs pos="0">
              <a:schemeClr val="accent1">
                <a:tint val="99000"/>
                <a:hueOff val="0"/>
                <a:satOff val="0"/>
                <a:lumOff val="0"/>
                <a:alphaOff val="0"/>
                <a:tint val="100000"/>
                <a:shade val="100000"/>
                <a:satMod val="130000"/>
              </a:schemeClr>
            </a:gs>
            <a:gs pos="100000">
              <a:schemeClr val="accent1">
                <a:tint val="99000"/>
                <a:hueOff val="0"/>
                <a:satOff val="0"/>
                <a:lumOff val="0"/>
                <a:alphaOff val="0"/>
                <a:tint val="50000"/>
                <a:shade val="100000"/>
                <a:satMod val="350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sp>
    <dsp:sp modelId="{4626B659-5673-6E41-96E4-09F7994B61B3}">
      <dsp:nvSpPr>
        <dsp:cNvPr id="0" name=""/>
        <dsp:cNvSpPr/>
      </dsp:nvSpPr>
      <dsp:spPr>
        <a:xfrm>
          <a:off x="1440179" y="2416301"/>
          <a:ext cx="1234440" cy="783869"/>
        </a:xfrm>
        <a:prstGeom prst="roundRect">
          <a:avLst>
            <a:gd name="adj" fmla="val 10000"/>
          </a:avLst>
        </a:prstGeom>
        <a:solidFill>
          <a:schemeClr val="lt1">
            <a:alpha val="90000"/>
            <a:hueOff val="0"/>
            <a:satOff val="0"/>
            <a:lumOff val="0"/>
            <a:alphaOff val="0"/>
          </a:schemeClr>
        </a:solidFill>
        <a:ln w="9525" cap="flat" cmpd="sng" algn="ctr">
          <a:solidFill>
            <a:schemeClr val="accent1">
              <a:tint val="70000"/>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lang="fr-FR" sz="1100" kern="1200">
              <a:latin typeface="Times New Roman"/>
              <a:cs typeface="Times New Roman"/>
            </a:rPr>
            <a:t>Atzīšanas (akceptēšanas) metode</a:t>
          </a:r>
        </a:p>
      </dsp:txBody>
      <dsp:txXfrm>
        <a:off x="1463138" y="2439260"/>
        <a:ext cx="1188522" cy="737951"/>
      </dsp:txXfrm>
    </dsp:sp>
    <dsp:sp modelId="{B6E3C3E0-1895-C24C-A23E-3FF7325A4101}">
      <dsp:nvSpPr>
        <dsp:cNvPr id="0" name=""/>
        <dsp:cNvSpPr/>
      </dsp:nvSpPr>
      <dsp:spPr>
        <a:xfrm>
          <a:off x="2811780" y="1143114"/>
          <a:ext cx="1234440" cy="783869"/>
        </a:xfrm>
        <a:prstGeom prst="roundRect">
          <a:avLst>
            <a:gd name="adj" fmla="val 10000"/>
          </a:avLst>
        </a:prstGeom>
        <a:gradFill rotWithShape="0">
          <a:gsLst>
            <a:gs pos="0">
              <a:schemeClr val="accent1">
                <a:shade val="80000"/>
                <a:hueOff val="0"/>
                <a:satOff val="0"/>
                <a:lumOff val="0"/>
                <a:alphaOff val="0"/>
                <a:tint val="100000"/>
                <a:shade val="100000"/>
                <a:satMod val="130000"/>
              </a:schemeClr>
            </a:gs>
            <a:gs pos="100000">
              <a:schemeClr val="accent1">
                <a:shade val="80000"/>
                <a:hueOff val="0"/>
                <a:satOff val="0"/>
                <a:lumOff val="0"/>
                <a:alphaOff val="0"/>
                <a:tint val="50000"/>
                <a:shade val="100000"/>
                <a:satMod val="350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sp>
    <dsp:sp modelId="{B0E45855-9A19-554C-827B-C909AB8D381D}">
      <dsp:nvSpPr>
        <dsp:cNvPr id="0" name=""/>
        <dsp:cNvSpPr/>
      </dsp:nvSpPr>
      <dsp:spPr>
        <a:xfrm>
          <a:off x="2948940" y="1273416"/>
          <a:ext cx="1234440" cy="783869"/>
        </a:xfrm>
        <a:prstGeom prst="roundRect">
          <a:avLst>
            <a:gd name="adj" fmla="val 10000"/>
          </a:avLst>
        </a:prstGeom>
        <a:solidFill>
          <a:schemeClr val="lt1">
            <a:alpha val="90000"/>
            <a:hueOff val="0"/>
            <a:satOff val="0"/>
            <a:lumOff val="0"/>
            <a:alphaOff val="0"/>
          </a:schemeClr>
        </a:solidFill>
        <a:ln w="9525" cap="flat" cmpd="sng" algn="ctr">
          <a:solidFill>
            <a:schemeClr val="accent1">
              <a:tint val="90000"/>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lang="fr-FR" sz="1100" kern="1200">
              <a:latin typeface="Times New Roman"/>
              <a:cs typeface="Times New Roman"/>
            </a:rPr>
            <a:t>Formas pārbaude</a:t>
          </a:r>
        </a:p>
      </dsp:txBody>
      <dsp:txXfrm>
        <a:off x="2971899" y="1296375"/>
        <a:ext cx="1188522" cy="737951"/>
      </dsp:txXfrm>
    </dsp:sp>
    <dsp:sp modelId="{02973076-4A35-3544-A5EF-1FA1EC9F1BCB}">
      <dsp:nvSpPr>
        <dsp:cNvPr id="0" name=""/>
        <dsp:cNvSpPr/>
      </dsp:nvSpPr>
      <dsp:spPr>
        <a:xfrm>
          <a:off x="2811780" y="2286000"/>
          <a:ext cx="1234440" cy="783869"/>
        </a:xfrm>
        <a:prstGeom prst="roundRect">
          <a:avLst>
            <a:gd name="adj" fmla="val 10000"/>
          </a:avLst>
        </a:prstGeom>
        <a:gradFill rotWithShape="0">
          <a:gsLst>
            <a:gs pos="0">
              <a:schemeClr val="accent1">
                <a:tint val="99000"/>
                <a:hueOff val="0"/>
                <a:satOff val="0"/>
                <a:lumOff val="0"/>
                <a:alphaOff val="0"/>
                <a:tint val="100000"/>
                <a:shade val="100000"/>
                <a:satMod val="130000"/>
              </a:schemeClr>
            </a:gs>
            <a:gs pos="100000">
              <a:schemeClr val="accent1">
                <a:tint val="99000"/>
                <a:hueOff val="0"/>
                <a:satOff val="0"/>
                <a:lumOff val="0"/>
                <a:alphaOff val="0"/>
                <a:tint val="50000"/>
                <a:shade val="100000"/>
                <a:satMod val="350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sp>
    <dsp:sp modelId="{B2405972-F3F4-F44F-9C58-7C4287BDBB9C}">
      <dsp:nvSpPr>
        <dsp:cNvPr id="0" name=""/>
        <dsp:cNvSpPr/>
      </dsp:nvSpPr>
      <dsp:spPr>
        <a:xfrm>
          <a:off x="2948940" y="2416302"/>
          <a:ext cx="1234440" cy="783869"/>
        </a:xfrm>
        <a:prstGeom prst="roundRect">
          <a:avLst>
            <a:gd name="adj" fmla="val 10000"/>
          </a:avLst>
        </a:prstGeom>
        <a:solidFill>
          <a:schemeClr val="lt1">
            <a:alpha val="90000"/>
            <a:hueOff val="0"/>
            <a:satOff val="0"/>
            <a:lumOff val="0"/>
            <a:alphaOff val="0"/>
          </a:schemeClr>
        </a:solidFill>
        <a:ln w="9525" cap="flat" cmpd="sng" algn="ctr">
          <a:solidFill>
            <a:schemeClr val="accent1">
              <a:tint val="70000"/>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lang="fr-FR" sz="1100" kern="1200">
              <a:latin typeface="Times New Roman"/>
              <a:cs typeface="Times New Roman"/>
            </a:rPr>
            <a:t>Substitūcijas jeb ekvivalences teorija (metode)</a:t>
          </a:r>
        </a:p>
      </dsp:txBody>
      <dsp:txXfrm>
        <a:off x="2971899" y="2439261"/>
        <a:ext cx="1188522" cy="737951"/>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1">
  <dgm:title val=""/>
  <dgm:desc val=""/>
  <dgm:catLst>
    <dgm:cat type="hierarchy" pri="2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hierChild1">
    <dgm:varLst>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primFontSz" for="des" ptType="node" op="equ" val="65"/>
      <dgm:constr type="w" for="des" forName="composite" refType="w"/>
      <dgm:constr type="h" for="des" forName="composite" refType="w" refFor="des" refForName="composite" fact="0.667"/>
      <dgm:constr type="w" for="des" forName="composite2" refType="w" refFor="des" refForName="composite"/>
      <dgm:constr type="h" for="des" forName="composite2" refType="h" refFor="des" refForName="composite"/>
      <dgm:constr type="w" for="des" forName="composite3" refType="w" refFor="des" refForName="composite"/>
      <dgm:constr type="h" for="des" forName="composite3" refType="h" refFor="des" refForName="composite"/>
      <dgm:constr type="w" for="des" forName="composite4" refType="w" refFor="des" refForName="composite"/>
      <dgm:constr type="h" for="des" forName="composite4" refType="h" refFor="des" refForName="composite"/>
      <dgm:constr type="w" for="des" forName="composite5" refType="w" refFor="des" refForName="composite"/>
      <dgm:constr type="h" for="des" forName="composite5" refType="h" refFor="des" refForName="composite"/>
      <dgm:constr type="sibSp" refType="w" refFor="des" refForName="composite" fact="0.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p" for="des" forName="hierRoot1" refType="h" refFor="des" refForName="composite" fact="0.25"/>
      <dgm:constr type="sp" for="des" forName="hierRoot2" refType="sp" refFor="des" refForName="hierRoot1"/>
      <dgm:constr type="sp" for="des" forName="hierRoot3" refType="sp" refFor="des" refForName="hierRoot1"/>
      <dgm:constr type="sp" for="des" forName="hierRoot4" refType="sp" refFor="des" refForName="hierRoot1"/>
      <dgm:constr type="sp" for="des" forName="hierRoot5" refType="sp" refFor="des" refForName="hierRoot1"/>
    </dgm:constrLst>
    <dgm:ruleLst/>
    <dgm:forEach name="Name3" axis="ch">
      <dgm:forEach name="Name4" axis="self" ptType="node">
        <dgm:layoutNode name="hierRoot1">
          <dgm:alg type="hierRoot"/>
          <dgm:shape xmlns:r="http://schemas.openxmlformats.org/officeDocument/2006/relationships" r:blip="">
            <dgm:adjLst/>
          </dgm:shape>
          <dgm:presOf/>
          <dgm:constrLst>
            <dgm:constr type="bendDist" for="des" ptType="parTrans" refType="sp" fact="0.5"/>
          </dgm:constrLst>
          <dgm:ruleLst/>
          <dgm:layoutNode name="composite">
            <dgm:alg type="composite"/>
            <dgm:shape xmlns:r="http://schemas.openxmlformats.org/officeDocument/2006/relationships" r:blip="">
              <dgm:adjLst/>
            </dgm:shape>
            <dgm:presOf/>
            <dgm:constrLst>
              <dgm:constr type="w" for="ch" forName="background" refType="w" fact="0.9"/>
              <dgm:constr type="h" for="ch" forName="background" refType="w" refFor="ch" refForName="background" fact="0.635"/>
              <dgm:constr type="t" for="ch" forName="background"/>
              <dgm:constr type="l" for="ch" forName="background"/>
              <dgm:constr type="w" for="ch" forName="text" refType="w" fact="0.9"/>
              <dgm:constr type="h" for="ch" forName="text" refType="w" refFor="ch" refForName="text" fact="0.635"/>
              <dgm:constr type="t" for="ch" forName="text" refType="w" fact="0.095"/>
              <dgm:constr type="l" for="ch" forName="text" refType="w" fact="0.1"/>
            </dgm:constrLst>
            <dgm:ruleLst/>
            <dgm:layoutNode name="background" styleLbl="node0" moveWith="text">
              <dgm:alg type="sp"/>
              <dgm:shape xmlns:r="http://schemas.openxmlformats.org/officeDocument/2006/relationships" type="roundRect" r:blip="">
                <dgm:adjLst>
                  <dgm:adj idx="1" val="0.1"/>
                </dgm:adjLst>
              </dgm:shape>
              <dgm:presOf/>
              <dgm:constrLst/>
              <dgm:ruleLst/>
            </dgm:layoutNode>
            <dgm:layoutNode name="text" styleLbl="fgAcc0">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2">
            <dgm:choose name="Name5">
              <dgm:if name="Name6" func="var" arg="dir" op="equ" val="norm">
                <dgm:alg type="hierChild">
                  <dgm:param type="linDir" val="fromL"/>
                </dgm:alg>
              </dgm:if>
              <dgm:else name="Name7">
                <dgm:alg type="hierChild">
                  <dgm:param type="linDir" val="fromR"/>
                </dgm:alg>
              </dgm:else>
            </dgm:choose>
            <dgm:shape xmlns:r="http://schemas.openxmlformats.org/officeDocument/2006/relationships" r:blip="">
              <dgm:adjLst/>
            </dgm:shape>
            <dgm:presOf/>
            <dgm:constrLst/>
            <dgm:ruleLst/>
            <dgm:forEach name="Name8" axis="ch">
              <dgm:forEach name="Name9" axis="self" ptType="parTrans" cnt="1">
                <dgm:layoutNode name="Name10">
                  <dgm:alg type="conn">
                    <dgm:param type="dim" val="1D"/>
                    <dgm:param type="endSty" val="noArr"/>
                    <dgm:param type="connRout" val="bend"/>
                    <dgm:param type="bendPt" val="end"/>
                    <dgm:param type="begPts" val="bCtr"/>
                    <dgm:param type="endPts" val="tCtr"/>
                    <dgm:param type="srcNode" val="background"/>
                    <dgm:param type="dstNode" val="background2"/>
                  </dgm:alg>
                  <dgm:shape xmlns:r="http://schemas.openxmlformats.org/officeDocument/2006/relationships" type="conn" r:blip="" zOrderOff="-999">
                    <dgm:adjLst/>
                  </dgm:shape>
                  <dgm:presOf axis="self"/>
                  <dgm:constrLst>
                    <dgm:constr type="begPad"/>
                    <dgm:constr type="endPad"/>
                  </dgm:constrLst>
                  <dgm:ruleLst/>
                </dgm:layoutNode>
              </dgm:forEach>
              <dgm:forEach name="Name11" axis="self" ptType="node">
                <dgm:layoutNode name="hierRoot2">
                  <dgm:alg type="hierRoot"/>
                  <dgm:shape xmlns:r="http://schemas.openxmlformats.org/officeDocument/2006/relationships" r:blip="">
                    <dgm:adjLst/>
                  </dgm:shape>
                  <dgm:presOf/>
                  <dgm:constrLst>
                    <dgm:constr type="bendDist" for="des" ptType="parTrans" refType="sp" fact="0.5"/>
                  </dgm:constrLst>
                  <dgm:ruleLst/>
                  <dgm:layoutNode name="composite2">
                    <dgm:alg type="composite"/>
                    <dgm:shape xmlns:r="http://schemas.openxmlformats.org/officeDocument/2006/relationships" r:blip="">
                      <dgm:adjLst/>
                    </dgm:shape>
                    <dgm:presOf/>
                    <dgm:constrLst>
                      <dgm:constr type="w" for="ch" forName="background2" refType="w" fact="0.9"/>
                      <dgm:constr type="h" for="ch" forName="background2" refType="w" refFor="ch" refForName="background2" fact="0.635"/>
                      <dgm:constr type="t" for="ch" forName="background2"/>
                      <dgm:constr type="l" for="ch" forName="background2"/>
                      <dgm:constr type="w" for="ch" forName="text2" refType="w" fact="0.9"/>
                      <dgm:constr type="h" for="ch" forName="text2" refType="w" refFor="ch" refForName="text2" fact="0.635"/>
                      <dgm:constr type="t" for="ch" forName="text2" refType="w" fact="0.095"/>
                      <dgm:constr type="l" for="ch" forName="text2" refType="w" fact="0.1"/>
                    </dgm:constrLst>
                    <dgm:ruleLst/>
                    <dgm:layoutNode name="background2" moveWith="text2">
                      <dgm:alg type="sp"/>
                      <dgm:shape xmlns:r="http://schemas.openxmlformats.org/officeDocument/2006/relationships" type="roundRect" r:blip="">
                        <dgm:adjLst>
                          <dgm:adj idx="1" val="0.1"/>
                        </dgm:adjLst>
                      </dgm:shape>
                      <dgm:presOf/>
                      <dgm:constrLst/>
                      <dgm:ruleLst/>
                    </dgm:layoutNode>
                    <dgm:layoutNode name="text2" styleLbl="fgAcc2">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3">
                    <dgm:choose name="Name12">
                      <dgm:if name="Name13" func="var" arg="dir" op="equ" val="norm">
                        <dgm:alg type="hierChild">
                          <dgm:param type="linDir" val="fromL"/>
                        </dgm:alg>
                      </dgm:if>
                      <dgm:else name="Name14">
                        <dgm:alg type="hierChild">
                          <dgm:param type="linDir" val="fromR"/>
                        </dgm:alg>
                      </dgm:else>
                    </dgm:choose>
                    <dgm:shape xmlns:r="http://schemas.openxmlformats.org/officeDocument/2006/relationships" r:blip="">
                      <dgm:adjLst/>
                    </dgm:shape>
                    <dgm:presOf/>
                    <dgm:constrLst/>
                    <dgm:ruleLst/>
                    <dgm:forEach name="Name15" axis="ch">
                      <dgm:forEach name="Name16" axis="self" ptType="parTrans" cnt="1">
                        <dgm:layoutNode name="Name17">
                          <dgm:alg type="conn">
                            <dgm:param type="dim" val="1D"/>
                            <dgm:param type="endSty" val="noArr"/>
                            <dgm:param type="connRout" val="bend"/>
                            <dgm:param type="bendPt" val="end"/>
                            <dgm:param type="begPts" val="bCtr"/>
                            <dgm:param type="endPts" val="tCtr"/>
                            <dgm:param type="srcNode" val="background2"/>
                            <dgm:param type="dstNode" val="background3"/>
                          </dgm:alg>
                          <dgm:shape xmlns:r="http://schemas.openxmlformats.org/officeDocument/2006/relationships" type="conn" r:blip="" zOrderOff="-999">
                            <dgm:adjLst/>
                          </dgm:shape>
                          <dgm:presOf axis="self"/>
                          <dgm:constrLst>
                            <dgm:constr type="begPad"/>
                            <dgm:constr type="endPad"/>
                          </dgm:constrLst>
                          <dgm:ruleLst/>
                        </dgm:layoutNode>
                      </dgm:forEach>
                      <dgm:forEach name="Name18" axis="self" ptType="node">
                        <dgm:layoutNode name="hierRoot3">
                          <dgm:alg type="hierRoot"/>
                          <dgm:shape xmlns:r="http://schemas.openxmlformats.org/officeDocument/2006/relationships" r:blip="">
                            <dgm:adjLst/>
                          </dgm:shape>
                          <dgm:presOf/>
                          <dgm:constrLst>
                            <dgm:constr type="bendDist" for="des" ptType="parTrans" refType="sp" fact="0.5"/>
                          </dgm:constrLst>
                          <dgm:ruleLst/>
                          <dgm:layoutNode name="composite3">
                            <dgm:alg type="composite"/>
                            <dgm:shape xmlns:r="http://schemas.openxmlformats.org/officeDocument/2006/relationships" r:blip="">
                              <dgm:adjLst/>
                            </dgm:shape>
                            <dgm:presOf/>
                            <dgm:constrLst>
                              <dgm:constr type="w" for="ch" forName="background3" refType="w" fact="0.9"/>
                              <dgm:constr type="h" for="ch" forName="background3" refType="w" refFor="ch" refForName="background3" fact="0.635"/>
                              <dgm:constr type="t" for="ch" forName="background3"/>
                              <dgm:constr type="l" for="ch" forName="background3"/>
                              <dgm:constr type="w" for="ch" forName="text3" refType="w" fact="0.9"/>
                              <dgm:constr type="h" for="ch" forName="text3" refType="w" refFor="ch" refForName="text3" fact="0.635"/>
                              <dgm:constr type="t" for="ch" forName="text3" refType="w" fact="0.095"/>
                              <dgm:constr type="l" for="ch" forName="text3" refType="w" fact="0.1"/>
                            </dgm:constrLst>
                            <dgm:ruleLst/>
                            <dgm:layoutNode name="background3" moveWith="text3">
                              <dgm:alg type="sp"/>
                              <dgm:shape xmlns:r="http://schemas.openxmlformats.org/officeDocument/2006/relationships" type="roundRect" r:blip="">
                                <dgm:adjLst>
                                  <dgm:adj idx="1" val="0.1"/>
                                </dgm:adjLst>
                              </dgm:shape>
                              <dgm:presOf/>
                              <dgm:constrLst/>
                              <dgm:ruleLst/>
                            </dgm:layoutNode>
                            <dgm:layoutNode name="text3" styleLbl="fgAcc3">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4">
                            <dgm:choose name="Name19">
                              <dgm:if name="Name20" func="var" arg="dir" op="equ" val="norm">
                                <dgm:alg type="hierChild">
                                  <dgm:param type="linDir" val="fromL"/>
                                </dgm:alg>
                              </dgm:if>
                              <dgm:else name="Name21">
                                <dgm:alg type="hierChild">
                                  <dgm:param type="linDir" val="fromR"/>
                                </dgm:alg>
                              </dgm:else>
                            </dgm:choose>
                            <dgm:shape xmlns:r="http://schemas.openxmlformats.org/officeDocument/2006/relationships" r:blip="">
                              <dgm:adjLst/>
                            </dgm:shape>
                            <dgm:presOf/>
                            <dgm:constrLst/>
                            <dgm:ruleLst/>
                            <dgm:forEach name="repeat" axis="ch">
                              <dgm:forEach name="Name22" axis="self" ptType="parTrans" cnt="1">
                                <dgm:layoutNode name="Name23">
                                  <dgm:choose name="Name24">
                                    <dgm:if name="Name25" axis="self" func="depth" op="lte" val="4">
                                      <dgm:alg type="conn">
                                        <dgm:param type="dim" val="1D"/>
                                        <dgm:param type="endSty" val="noArr"/>
                                        <dgm:param type="connRout" val="bend"/>
                                        <dgm:param type="bendPt" val="end"/>
                                        <dgm:param type="begPts" val="bCtr"/>
                                        <dgm:param type="endPts" val="tCtr"/>
                                        <dgm:param type="srcNode" val="background3"/>
                                        <dgm:param type="dstNode" val="background4"/>
                                      </dgm:alg>
                                    </dgm:if>
                                    <dgm:else name="Name26">
                                      <dgm:alg type="conn">
                                        <dgm:param type="dim" val="1D"/>
                                        <dgm:param type="endSty" val="noArr"/>
                                        <dgm:param type="connRout" val="bend"/>
                                        <dgm:param type="bendPt" val="end"/>
                                        <dgm:param type="begPts" val="bCtr"/>
                                        <dgm:param type="endPts" val="tCtr"/>
                                        <dgm:param type="srcNode" val="background4"/>
                                        <dgm:param type="dstNode" val="background4"/>
                                      </dgm:alg>
                                    </dgm:else>
                                  </dgm:choose>
                                  <dgm:shape xmlns:r="http://schemas.openxmlformats.org/officeDocument/2006/relationships" type="conn" r:blip="" zOrderOff="-999">
                                    <dgm:adjLst/>
                                  </dgm:shape>
                                  <dgm:presOf axis="self"/>
                                  <dgm:constrLst>
                                    <dgm:constr type="begPad"/>
                                    <dgm:constr type="endPad"/>
                                  </dgm:constrLst>
                                  <dgm:ruleLst/>
                                </dgm:layoutNode>
                              </dgm:forEach>
                              <dgm:forEach name="Name27" axis="self" ptType="node">
                                <dgm:layoutNode name="hierRoot4">
                                  <dgm:alg type="hierRoot"/>
                                  <dgm:shape xmlns:r="http://schemas.openxmlformats.org/officeDocument/2006/relationships" r:blip="">
                                    <dgm:adjLst/>
                                  </dgm:shape>
                                  <dgm:presOf/>
                                  <dgm:constrLst>
                                    <dgm:constr type="bendDist" for="des" ptType="parTrans" refType="sp" fact="0.5"/>
                                  </dgm:constrLst>
                                  <dgm:ruleLst/>
                                  <dgm:layoutNode name="composite4">
                                    <dgm:alg type="composite"/>
                                    <dgm:shape xmlns:r="http://schemas.openxmlformats.org/officeDocument/2006/relationships" r:blip="">
                                      <dgm:adjLst/>
                                    </dgm:shape>
                                    <dgm:presOf/>
                                    <dgm:constrLst>
                                      <dgm:constr type="w" for="ch" forName="background4" refType="w" fact="0.9"/>
                                      <dgm:constr type="h" for="ch" forName="background4" refType="w" refFor="ch" refForName="background4" fact="0.635"/>
                                      <dgm:constr type="t" for="ch" forName="background4"/>
                                      <dgm:constr type="l" for="ch" forName="background4"/>
                                      <dgm:constr type="w" for="ch" forName="text4" refType="w" fact="0.9"/>
                                      <dgm:constr type="h" for="ch" forName="text4" refType="w" refFor="ch" refForName="text4" fact="0.635"/>
                                      <dgm:constr type="t" for="ch" forName="text4" refType="w" fact="0.095"/>
                                      <dgm:constr type="l" for="ch" forName="text4" refType="w" fact="0.1"/>
                                    </dgm:constrLst>
                                    <dgm:ruleLst/>
                                    <dgm:layoutNode name="background4" moveWith="text4">
                                      <dgm:alg type="sp"/>
                                      <dgm:shape xmlns:r="http://schemas.openxmlformats.org/officeDocument/2006/relationships" type="roundRect" r:blip="">
                                        <dgm:adjLst>
                                          <dgm:adj idx="1" val="0.1"/>
                                        </dgm:adjLst>
                                      </dgm:shape>
                                      <dgm:presOf/>
                                      <dgm:constrLst/>
                                      <dgm:ruleLst/>
                                    </dgm:layoutNode>
                                    <dgm:layoutNode name="text4" styleLbl="fgAcc4">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5">
                                    <dgm:choose name="Name28">
                                      <dgm:if name="Name29" func="var" arg="dir" op="equ" val="norm">
                                        <dgm:alg type="hierChild">
                                          <dgm:param type="linDir" val="fromL"/>
                                        </dgm:alg>
                                      </dgm:if>
                                      <dgm:else name="Name30">
                                        <dgm:alg type="hierChild">
                                          <dgm:param type="linDir" val="fromR"/>
                                        </dgm:alg>
                                      </dgm:else>
                                    </dgm:choose>
                                    <dgm:shape xmlns:r="http://schemas.openxmlformats.org/officeDocument/2006/relationships" r:blip="">
                                      <dgm:adjLst/>
                                    </dgm:shape>
                                    <dgm:presOf/>
                                    <dgm:constrLst/>
                                    <dgm:ruleLst/>
                                    <dgm:forEach name="Name31" ref="repeat"/>
                                  </dgm:layoutNode>
                                </dgm:layoutNode>
                              </dgm:forEach>
                            </dgm:forEach>
                          </dgm:layoutNode>
                        </dgm:layoutNode>
                      </dgm:forEach>
                    </dgm:forEach>
                  </dgm:layoutNode>
                </dgm:layoutNode>
              </dgm:forEach>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4">
  <dgm:title val=""/>
  <dgm:desc val=""/>
  <dgm:catLst>
    <dgm:cat type="simple" pri="10400"/>
  </dgm:catLst>
  <dgm:scene3d>
    <a:camera prst="orthographicFront"/>
    <a:lightRig rig="threePt" dir="t"/>
  </dgm:scene3d>
  <dgm:styleLbl name="node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vennNode1">
    <dgm:scene3d>
      <a:camera prst="orthographicFront"/>
      <a:lightRig rig="threePt" dir="t"/>
    </dgm:scene3d>
    <dgm:sp3d/>
    <dgm:txPr/>
    <dgm:style>
      <a:lnRef idx="0">
        <a:scrgbClr r="0" g="0" b="0"/>
      </a:lnRef>
      <a:fillRef idx="3">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node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align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b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1">
        <a:scrgbClr r="0" g="0" b="0"/>
      </a:effectRef>
      <a:fontRef idx="minor"/>
    </dgm:style>
  </dgm:styleLbl>
  <dgm:styleLbl name="asst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3">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2D4">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0">
        <a:scrgbClr r="0" g="0" b="0"/>
      </a:lnRef>
      <a:fillRef idx="3">
        <a:scrgbClr r="0" g="0" b="0"/>
      </a:fillRef>
      <a:effectRef idx="2">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DCEA31-8155-5E4A-B112-06CFB03B87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62</Pages>
  <Words>24234</Words>
  <Characters>138139</Characters>
  <Application>Microsoft Office Word</Application>
  <DocSecurity>0</DocSecurity>
  <Lines>1151</Lines>
  <Paragraphs>324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162049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Baiba Rudevska</dc:creator>
  <cp:keywords/>
  <dc:description/>
  <cp:lastModifiedBy>Gatis Litvins</cp:lastModifiedBy>
  <cp:revision>3</cp:revision>
  <dcterms:created xsi:type="dcterms:W3CDTF">2023-12-05T08:19:00Z</dcterms:created>
  <dcterms:modified xsi:type="dcterms:W3CDTF">2023-12-05T08:21:00Z</dcterms:modified>
</cp:coreProperties>
</file>